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888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620"/>
        <w:gridCol w:w="1995"/>
        <w:gridCol w:w="4265"/>
      </w:tblGrid>
      <w:tr w:rsidR="00CC585C" w:rsidRPr="00A23FB4" w14:paraId="6DEE87BF" w14:textId="77777777" w:rsidTr="007A3283">
        <w:trPr>
          <w:cantSplit/>
          <w:trHeight w:val="696"/>
        </w:trPr>
        <w:tc>
          <w:tcPr>
            <w:tcW w:w="8880" w:type="dxa"/>
            <w:gridSpan w:val="3"/>
            <w:tcBorders>
              <w:top w:val="single" w:sz="4" w:space="0" w:color="auto"/>
              <w:left w:val="single" w:sz="4" w:space="0" w:color="auto"/>
              <w:bottom w:val="single" w:sz="6" w:space="0" w:color="auto"/>
              <w:right w:val="single" w:sz="4" w:space="0" w:color="auto"/>
            </w:tcBorders>
            <w:shd w:val="clear" w:color="auto" w:fill="FFFFFF"/>
            <w:hideMark/>
          </w:tcPr>
          <w:p w14:paraId="43C16939" w14:textId="3A9BF901" w:rsidR="00CC585C" w:rsidRPr="00A23FB4" w:rsidRDefault="00CC585C" w:rsidP="00134FD7">
            <w:pPr>
              <w:suppressAutoHyphens/>
              <w:jc w:val="center"/>
              <w:rPr>
                <w:rFonts w:ascii="Calibri" w:hAnsi="Calibri"/>
                <w:b/>
                <w:smallCaps/>
                <w:sz w:val="56"/>
                <w:szCs w:val="36"/>
                <w:lang w:eastAsia="ar-SA"/>
              </w:rPr>
            </w:pPr>
            <w:r w:rsidRPr="00A23FB4">
              <w:rPr>
                <w:rFonts w:ascii="Calibri" w:hAnsi="Calibri"/>
                <w:b/>
                <w:smallCaps/>
                <w:sz w:val="56"/>
                <w:szCs w:val="36"/>
              </w:rPr>
              <w:t xml:space="preserve">TOM </w:t>
            </w:r>
            <w:r w:rsidR="00262498">
              <w:rPr>
                <w:rFonts w:ascii="Calibri" w:hAnsi="Calibri"/>
                <w:b/>
                <w:smallCaps/>
                <w:sz w:val="56"/>
                <w:szCs w:val="36"/>
              </w:rPr>
              <w:t>V</w:t>
            </w:r>
            <w:bookmarkStart w:id="0" w:name="_GoBack"/>
            <w:bookmarkEnd w:id="0"/>
            <w:r w:rsidR="007C7E83" w:rsidRPr="00A23FB4">
              <w:rPr>
                <w:rFonts w:ascii="Calibri" w:hAnsi="Calibri"/>
                <w:b/>
                <w:smallCaps/>
                <w:sz w:val="56"/>
                <w:szCs w:val="36"/>
              </w:rPr>
              <w:t>III</w:t>
            </w:r>
          </w:p>
        </w:tc>
      </w:tr>
      <w:tr w:rsidR="00CC585C" w:rsidRPr="00A23FB4" w14:paraId="768D8648" w14:textId="77777777" w:rsidTr="007A3283">
        <w:trPr>
          <w:trHeight w:val="140"/>
        </w:trPr>
        <w:tc>
          <w:tcPr>
            <w:tcW w:w="8880" w:type="dxa"/>
            <w:gridSpan w:val="3"/>
            <w:tcBorders>
              <w:top w:val="single" w:sz="6" w:space="0" w:color="auto"/>
              <w:left w:val="single" w:sz="4" w:space="0" w:color="auto"/>
              <w:bottom w:val="single" w:sz="6" w:space="0" w:color="auto"/>
              <w:right w:val="single" w:sz="4" w:space="0" w:color="auto"/>
            </w:tcBorders>
            <w:shd w:val="clear" w:color="auto" w:fill="FFFFFF"/>
          </w:tcPr>
          <w:p w14:paraId="332BD586" w14:textId="77777777" w:rsidR="0050186B" w:rsidRPr="0050186B" w:rsidRDefault="0050186B" w:rsidP="0050186B">
            <w:pPr>
              <w:jc w:val="center"/>
              <w:rPr>
                <w:rFonts w:ascii="Calibri" w:hAnsi="Calibri"/>
                <w:b/>
                <w:smallCaps/>
                <w:sz w:val="40"/>
                <w:szCs w:val="40"/>
              </w:rPr>
            </w:pPr>
            <w:r w:rsidRPr="0050186B">
              <w:rPr>
                <w:rFonts w:ascii="Calibri" w:hAnsi="Calibri"/>
                <w:b/>
                <w:smallCaps/>
                <w:sz w:val="40"/>
                <w:szCs w:val="40"/>
              </w:rPr>
              <w:t>SZCZEGÓŁOWE SPECYFIKACJE TECHNICZNE</w:t>
            </w:r>
          </w:p>
          <w:p w14:paraId="4684FA92" w14:textId="4AC95902" w:rsidR="00CC585C" w:rsidRPr="00A23FB4" w:rsidRDefault="0050186B" w:rsidP="0050186B">
            <w:pPr>
              <w:suppressAutoHyphens/>
              <w:rPr>
                <w:rFonts w:ascii="Calibri" w:hAnsi="Calibri"/>
                <w:smallCaps/>
                <w:sz w:val="8"/>
                <w:szCs w:val="8"/>
                <w:lang w:eastAsia="ar-SA"/>
              </w:rPr>
            </w:pPr>
            <w:r w:rsidRPr="0050186B">
              <w:rPr>
                <w:rFonts w:ascii="Calibri" w:hAnsi="Calibri"/>
                <w:b/>
                <w:smallCaps/>
                <w:sz w:val="40"/>
                <w:szCs w:val="40"/>
              </w:rPr>
              <w:t>WYKONANIA I ODBIORU ROBÓT BUDOWLANYCH</w:t>
            </w:r>
            <w:r w:rsidRPr="0050186B">
              <w:rPr>
                <w:rFonts w:ascii="Calibri" w:hAnsi="Calibri"/>
                <w:b/>
                <w:smallCaps/>
                <w:sz w:val="40"/>
                <w:szCs w:val="40"/>
                <w:lang w:eastAsia="ar-SA"/>
              </w:rPr>
              <w:t xml:space="preserve"> </w:t>
            </w:r>
          </w:p>
        </w:tc>
      </w:tr>
      <w:tr w:rsidR="004F38F8" w:rsidRPr="00A23FB4" w14:paraId="443DF1E5" w14:textId="77777777" w:rsidTr="00317F56">
        <w:trPr>
          <w:cantSplit/>
          <w:trHeight w:val="1304"/>
        </w:trPr>
        <w:tc>
          <w:tcPr>
            <w:tcW w:w="8880" w:type="dxa"/>
            <w:gridSpan w:val="3"/>
            <w:tcBorders>
              <w:top w:val="single" w:sz="6" w:space="0" w:color="auto"/>
              <w:left w:val="single" w:sz="4" w:space="0" w:color="auto"/>
              <w:right w:val="single" w:sz="4" w:space="0" w:color="auto"/>
            </w:tcBorders>
            <w:shd w:val="clear" w:color="auto" w:fill="FFFFFF"/>
            <w:hideMark/>
          </w:tcPr>
          <w:p w14:paraId="04A4E04F" w14:textId="21DBD0C2" w:rsidR="004F38F8" w:rsidRPr="004F38F8" w:rsidRDefault="00506838" w:rsidP="00BD630A">
            <w:pPr>
              <w:spacing w:before="240" w:line="276" w:lineRule="auto"/>
              <w:jc w:val="center"/>
              <w:rPr>
                <w:rFonts w:ascii="Calibri" w:hAnsi="Calibri"/>
                <w:smallCaps/>
                <w:sz w:val="32"/>
                <w:szCs w:val="32"/>
              </w:rPr>
            </w:pPr>
            <w:r>
              <w:rPr>
                <w:rFonts w:ascii="Calibri" w:hAnsi="Calibri"/>
                <w:b/>
                <w:smallCaps/>
                <w:noProof/>
                <w:sz w:val="32"/>
                <w:szCs w:val="32"/>
              </w:rPr>
              <w:t>„</w:t>
            </w:r>
            <w:r w:rsidR="00E52828" w:rsidRPr="00E52828">
              <w:rPr>
                <w:rFonts w:ascii="Calibri" w:hAnsi="Calibri"/>
                <w:b/>
                <w:smallCaps/>
                <w:noProof/>
                <w:sz w:val="32"/>
                <w:szCs w:val="32"/>
              </w:rPr>
              <w:t>Rozbudowa ul. Wrocławskiej w ciągu drogi powiatowej w Tyńcu Małym wraz z rozbudową istniejącego skrzyżowania typu rondo na połączeniu dróg krajowych nr 35 i 35a oraz łącznika węzła Kobierzyce drogi S8e oraz infrastrukturą towarzyszącą w ramach zadania „Rozbudowa skrzyżowania typu rondo w ciągu DK35 koło m. Tyniec Mały usprawniająca skomunikowanie obszarów Podstrefy Wrocław – Kobierzyce TSSE EURO PARK WISŁOSAN</w:t>
            </w:r>
            <w:r w:rsidR="00E52828">
              <w:rPr>
                <w:rFonts w:ascii="Calibri" w:hAnsi="Calibri"/>
                <w:b/>
                <w:smallCaps/>
                <w:noProof/>
                <w:sz w:val="32"/>
                <w:szCs w:val="32"/>
              </w:rPr>
              <w:t>”</w:t>
            </w:r>
            <w:r>
              <w:rPr>
                <w:rFonts w:ascii="Calibri" w:hAnsi="Calibri"/>
                <w:b/>
                <w:smallCaps/>
                <w:noProof/>
                <w:sz w:val="32"/>
                <w:szCs w:val="32"/>
              </w:rPr>
              <w:t>”</w:t>
            </w:r>
          </w:p>
        </w:tc>
      </w:tr>
      <w:tr w:rsidR="004F38F8" w:rsidRPr="00A23FB4" w14:paraId="69A68CD4" w14:textId="77777777" w:rsidTr="00DD4ED2">
        <w:trPr>
          <w:trHeight w:val="1138"/>
        </w:trPr>
        <w:tc>
          <w:tcPr>
            <w:tcW w:w="2620" w:type="dxa"/>
            <w:tcBorders>
              <w:top w:val="single" w:sz="6" w:space="0" w:color="auto"/>
              <w:left w:val="single" w:sz="4" w:space="0" w:color="auto"/>
              <w:right w:val="single" w:sz="6" w:space="0" w:color="auto"/>
            </w:tcBorders>
            <w:shd w:val="clear" w:color="auto" w:fill="FFFFFF"/>
            <w:hideMark/>
          </w:tcPr>
          <w:p w14:paraId="1775A4B4" w14:textId="77777777" w:rsidR="004F38F8" w:rsidRPr="00A23FB4" w:rsidRDefault="004F38F8" w:rsidP="004F38F8">
            <w:pPr>
              <w:rPr>
                <w:rFonts w:ascii="Calibri" w:hAnsi="Calibri"/>
                <w:bCs/>
                <w:smallCaps/>
                <w:sz w:val="28"/>
                <w:szCs w:val="28"/>
              </w:rPr>
            </w:pPr>
            <w:r w:rsidRPr="00A23FB4">
              <w:rPr>
                <w:rFonts w:ascii="Calibri" w:hAnsi="Calibri"/>
                <w:bCs/>
                <w:smallCaps/>
                <w:sz w:val="28"/>
                <w:szCs w:val="28"/>
              </w:rPr>
              <w:t>Inwestor :</w:t>
            </w:r>
          </w:p>
        </w:tc>
        <w:tc>
          <w:tcPr>
            <w:tcW w:w="1995" w:type="dxa"/>
            <w:tcBorders>
              <w:top w:val="single" w:sz="6" w:space="0" w:color="auto"/>
              <w:left w:val="single" w:sz="6" w:space="0" w:color="auto"/>
              <w:right w:val="single" w:sz="4" w:space="0" w:color="FFFFFF" w:themeColor="background1"/>
            </w:tcBorders>
            <w:shd w:val="clear" w:color="auto" w:fill="FFFFFF"/>
            <w:vAlign w:val="center"/>
            <w:hideMark/>
          </w:tcPr>
          <w:p w14:paraId="173C3DF2" w14:textId="2C75DF62" w:rsidR="004F38F8" w:rsidRPr="00A23FB4" w:rsidRDefault="00A77515" w:rsidP="004F38F8">
            <w:pPr>
              <w:spacing w:line="360" w:lineRule="auto"/>
              <w:jc w:val="center"/>
              <w:rPr>
                <w:rFonts w:ascii="Calibri" w:hAnsi="Calibri"/>
                <w:b/>
                <w:smallCaps/>
                <w:sz w:val="24"/>
              </w:rPr>
            </w:pPr>
            <w:r w:rsidRPr="00A77515">
              <w:rPr>
                <w:rFonts w:ascii="Calibri" w:hAnsi="Calibri"/>
                <w:b/>
                <w:smallCaps/>
                <w:noProof/>
                <w:sz w:val="24"/>
              </w:rPr>
              <w:drawing>
                <wp:inline distT="0" distB="0" distL="0" distR="0" wp14:anchorId="48AC6C0D" wp14:editId="141233DE">
                  <wp:extent cx="656492" cy="785667"/>
                  <wp:effectExtent l="0" t="0" r="0" b="0"/>
                  <wp:docPr id="1409461263" name="Obraz 2" descr="Herb powiatu wrocławskiego – Wikipedia, wolna encyklop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Herb powiatu wrocławskiego – Wikipedia, wolna encyklopedi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58739" cy="788356"/>
                          </a:xfrm>
                          <a:prstGeom prst="rect">
                            <a:avLst/>
                          </a:prstGeom>
                          <a:noFill/>
                          <a:ln>
                            <a:noFill/>
                          </a:ln>
                        </pic:spPr>
                      </pic:pic>
                    </a:graphicData>
                  </a:graphic>
                </wp:inline>
              </w:drawing>
            </w:r>
          </w:p>
        </w:tc>
        <w:tc>
          <w:tcPr>
            <w:tcW w:w="4265" w:type="dxa"/>
            <w:tcBorders>
              <w:top w:val="single" w:sz="6" w:space="0" w:color="auto"/>
              <w:left w:val="single" w:sz="4" w:space="0" w:color="FFFFFF" w:themeColor="background1"/>
              <w:right w:val="single" w:sz="4" w:space="0" w:color="auto"/>
            </w:tcBorders>
            <w:shd w:val="clear" w:color="auto" w:fill="FFFFFF"/>
          </w:tcPr>
          <w:p w14:paraId="6F66993B" w14:textId="77777777" w:rsidR="004F38F8" w:rsidRDefault="00A77515" w:rsidP="004F38F8">
            <w:pPr>
              <w:spacing w:line="360" w:lineRule="auto"/>
              <w:rPr>
                <w:rFonts w:ascii="Calibri" w:hAnsi="Calibri"/>
                <w:b/>
                <w:smallCaps/>
                <w:noProof/>
                <w:sz w:val="24"/>
              </w:rPr>
            </w:pPr>
            <w:r>
              <w:rPr>
                <w:rFonts w:ascii="Calibri" w:hAnsi="Calibri"/>
                <w:b/>
                <w:smallCaps/>
                <w:noProof/>
                <w:sz w:val="24"/>
              </w:rPr>
              <w:t>Powiat Wrocławski</w:t>
            </w:r>
          </w:p>
          <w:p w14:paraId="3C764C9B" w14:textId="77777777" w:rsidR="00A77515" w:rsidRDefault="00A77515" w:rsidP="004F38F8">
            <w:pPr>
              <w:spacing w:line="360" w:lineRule="auto"/>
              <w:rPr>
                <w:rFonts w:ascii="Calibri" w:hAnsi="Calibri"/>
                <w:b/>
                <w:smallCaps/>
                <w:noProof/>
                <w:sz w:val="24"/>
              </w:rPr>
            </w:pPr>
            <w:r>
              <w:rPr>
                <w:rFonts w:ascii="Calibri" w:hAnsi="Calibri"/>
                <w:b/>
                <w:smallCaps/>
                <w:noProof/>
                <w:sz w:val="24"/>
              </w:rPr>
              <w:t>ul. Tadeusza Kościuszki 131</w:t>
            </w:r>
          </w:p>
          <w:p w14:paraId="2EE3865E" w14:textId="7A030A26" w:rsidR="00A77515" w:rsidRPr="00A23FB4" w:rsidRDefault="00A77515" w:rsidP="004F38F8">
            <w:pPr>
              <w:spacing w:line="360" w:lineRule="auto"/>
              <w:rPr>
                <w:rFonts w:ascii="Calibri" w:hAnsi="Calibri"/>
                <w:b/>
                <w:smallCaps/>
                <w:sz w:val="24"/>
              </w:rPr>
            </w:pPr>
            <w:r>
              <w:rPr>
                <w:rFonts w:ascii="Calibri" w:hAnsi="Calibri"/>
                <w:b/>
                <w:smallCaps/>
                <w:noProof/>
                <w:sz w:val="24"/>
              </w:rPr>
              <w:t>50-440 Wrocław</w:t>
            </w:r>
          </w:p>
        </w:tc>
      </w:tr>
      <w:tr w:rsidR="004F38F8" w:rsidRPr="00A23FB4" w14:paraId="7A910F17" w14:textId="77777777" w:rsidTr="00463AD7">
        <w:tc>
          <w:tcPr>
            <w:tcW w:w="2620" w:type="dxa"/>
            <w:tcBorders>
              <w:top w:val="single" w:sz="6" w:space="0" w:color="auto"/>
              <w:left w:val="single" w:sz="4" w:space="0" w:color="auto"/>
              <w:bottom w:val="single" w:sz="6" w:space="0" w:color="auto"/>
              <w:right w:val="single" w:sz="6" w:space="0" w:color="auto"/>
            </w:tcBorders>
            <w:shd w:val="clear" w:color="auto" w:fill="FFFFFF"/>
          </w:tcPr>
          <w:p w14:paraId="35758233" w14:textId="77777777" w:rsidR="004F38F8" w:rsidRPr="00A23FB4" w:rsidRDefault="004F38F8" w:rsidP="004F38F8">
            <w:pPr>
              <w:rPr>
                <w:rFonts w:ascii="Calibri" w:hAnsi="Calibri"/>
                <w:smallCaps/>
                <w:sz w:val="28"/>
                <w:szCs w:val="28"/>
              </w:rPr>
            </w:pPr>
            <w:r w:rsidRPr="00A23FB4">
              <w:rPr>
                <w:rFonts w:ascii="Calibri" w:hAnsi="Calibri"/>
                <w:bCs/>
                <w:smallCaps/>
                <w:sz w:val="28"/>
                <w:szCs w:val="28"/>
              </w:rPr>
              <w:t>Jednostka projektowa:</w:t>
            </w:r>
          </w:p>
          <w:p w14:paraId="7810A88E" w14:textId="77777777" w:rsidR="004F38F8" w:rsidRPr="00A23FB4" w:rsidRDefault="004F38F8" w:rsidP="004F38F8">
            <w:pPr>
              <w:rPr>
                <w:rFonts w:ascii="Calibri" w:hAnsi="Calibri"/>
                <w:smallCaps/>
                <w:sz w:val="28"/>
                <w:szCs w:val="28"/>
              </w:rPr>
            </w:pPr>
          </w:p>
          <w:p w14:paraId="321F3B1C" w14:textId="77777777" w:rsidR="004F38F8" w:rsidRPr="00A23FB4" w:rsidRDefault="004F38F8" w:rsidP="004F38F8">
            <w:pPr>
              <w:rPr>
                <w:rFonts w:ascii="Calibri" w:hAnsi="Calibri"/>
                <w:smallCaps/>
                <w:sz w:val="28"/>
                <w:szCs w:val="28"/>
              </w:rPr>
            </w:pPr>
          </w:p>
          <w:p w14:paraId="732B6DD2" w14:textId="77777777" w:rsidR="004F38F8" w:rsidRPr="00A23FB4" w:rsidRDefault="004F38F8" w:rsidP="004F38F8">
            <w:pPr>
              <w:rPr>
                <w:rFonts w:ascii="Calibri" w:hAnsi="Calibri"/>
                <w:smallCaps/>
                <w:sz w:val="28"/>
                <w:szCs w:val="28"/>
              </w:rPr>
            </w:pPr>
          </w:p>
        </w:tc>
        <w:tc>
          <w:tcPr>
            <w:tcW w:w="1995" w:type="dxa"/>
            <w:tcBorders>
              <w:top w:val="single" w:sz="6" w:space="0" w:color="auto"/>
              <w:left w:val="single" w:sz="6" w:space="0" w:color="auto"/>
              <w:bottom w:val="single" w:sz="6" w:space="0" w:color="auto"/>
              <w:right w:val="single" w:sz="4" w:space="0" w:color="FFFFFF" w:themeColor="background1"/>
            </w:tcBorders>
            <w:shd w:val="clear" w:color="auto" w:fill="FFFFFF"/>
          </w:tcPr>
          <w:p w14:paraId="64210A85" w14:textId="77777777" w:rsidR="004F38F8" w:rsidRPr="00A23FB4" w:rsidRDefault="004F38F8" w:rsidP="004F38F8">
            <w:pPr>
              <w:rPr>
                <w:rFonts w:ascii="Calibri" w:hAnsi="Calibri"/>
                <w:smallCaps/>
              </w:rPr>
            </w:pPr>
            <w:r w:rsidRPr="00A23FB4">
              <w:rPr>
                <w:rFonts w:ascii="Calibri" w:hAnsi="Calibri"/>
                <w:b/>
                <w:smallCaps/>
                <w:noProof/>
                <w:sz w:val="24"/>
              </w:rPr>
              <w:drawing>
                <wp:anchor distT="0" distB="0" distL="114300" distR="114300" simplePos="0" relativeHeight="251659264" behindDoc="0" locked="0" layoutInCell="1" allowOverlap="1" wp14:anchorId="3412D9A3" wp14:editId="5234056D">
                  <wp:simplePos x="0" y="0"/>
                  <wp:positionH relativeFrom="margin">
                    <wp:align>center</wp:align>
                  </wp:positionH>
                  <wp:positionV relativeFrom="margin">
                    <wp:align>bottom</wp:align>
                  </wp:positionV>
                  <wp:extent cx="1047750" cy="762000"/>
                  <wp:effectExtent l="19050" t="0" r="0" b="0"/>
                  <wp:wrapTight wrapText="bothSides">
                    <wp:wrapPolygon edited="0">
                      <wp:start x="-393" y="0"/>
                      <wp:lineTo x="-393" y="21060"/>
                      <wp:lineTo x="21600" y="21060"/>
                      <wp:lineTo x="21600" y="0"/>
                      <wp:lineTo x="-393" y="0"/>
                    </wp:wrapPolygon>
                  </wp:wrapTight>
                  <wp:docPr id="3" name="Obraz 1" descr="logo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logo05"/>
                          <pic:cNvPicPr>
                            <a:picLocks noChangeAspect="1" noChangeArrowheads="1"/>
                          </pic:cNvPicPr>
                        </pic:nvPicPr>
                        <pic:blipFill>
                          <a:blip r:embed="rId9" cstate="print"/>
                          <a:srcRect/>
                          <a:stretch>
                            <a:fillRect/>
                          </a:stretch>
                        </pic:blipFill>
                        <pic:spPr bwMode="auto">
                          <a:xfrm>
                            <a:off x="0" y="0"/>
                            <a:ext cx="1047750" cy="762000"/>
                          </a:xfrm>
                          <a:prstGeom prst="rect">
                            <a:avLst/>
                          </a:prstGeom>
                          <a:noFill/>
                        </pic:spPr>
                      </pic:pic>
                    </a:graphicData>
                  </a:graphic>
                </wp:anchor>
              </w:drawing>
            </w:r>
          </w:p>
        </w:tc>
        <w:tc>
          <w:tcPr>
            <w:tcW w:w="4265" w:type="dxa"/>
            <w:tcBorders>
              <w:top w:val="single" w:sz="6" w:space="0" w:color="auto"/>
              <w:left w:val="single" w:sz="4" w:space="0" w:color="FFFFFF" w:themeColor="background1"/>
              <w:bottom w:val="single" w:sz="6" w:space="0" w:color="auto"/>
              <w:right w:val="single" w:sz="4" w:space="0" w:color="auto"/>
            </w:tcBorders>
            <w:shd w:val="clear" w:color="auto" w:fill="FFFFFF"/>
          </w:tcPr>
          <w:p w14:paraId="629D8C9F" w14:textId="77777777" w:rsidR="004F38F8" w:rsidRPr="00A23FB4" w:rsidRDefault="004F38F8" w:rsidP="004F38F8">
            <w:pPr>
              <w:rPr>
                <w:rFonts w:ascii="Calibri" w:hAnsi="Calibri"/>
                <w:b/>
                <w:smallCaps/>
                <w:noProof/>
                <w:sz w:val="24"/>
              </w:rPr>
            </w:pPr>
          </w:p>
          <w:p w14:paraId="512896B6" w14:textId="77777777" w:rsidR="004F38F8" w:rsidRPr="00A23FB4" w:rsidRDefault="004F38F8" w:rsidP="004F38F8">
            <w:pPr>
              <w:spacing w:line="276" w:lineRule="auto"/>
              <w:rPr>
                <w:rFonts w:ascii="Calibri" w:hAnsi="Calibri"/>
                <w:b/>
                <w:smallCaps/>
                <w:noProof/>
                <w:sz w:val="24"/>
              </w:rPr>
            </w:pPr>
            <w:r w:rsidRPr="00A23FB4">
              <w:rPr>
                <w:rFonts w:ascii="Calibri" w:hAnsi="Calibri"/>
                <w:b/>
                <w:smallCaps/>
                <w:noProof/>
                <w:sz w:val="24"/>
              </w:rPr>
              <w:t>Biuro Inżynierskie TRAKT</w:t>
            </w:r>
          </w:p>
          <w:p w14:paraId="1D2AB3FD" w14:textId="77777777" w:rsidR="004F38F8" w:rsidRPr="00A23FB4" w:rsidRDefault="004F38F8" w:rsidP="004F38F8">
            <w:pPr>
              <w:spacing w:line="276" w:lineRule="auto"/>
              <w:rPr>
                <w:rFonts w:ascii="Calibri" w:hAnsi="Calibri"/>
                <w:b/>
                <w:smallCaps/>
                <w:noProof/>
                <w:sz w:val="24"/>
              </w:rPr>
            </w:pPr>
            <w:r w:rsidRPr="00A23FB4">
              <w:rPr>
                <w:rFonts w:ascii="Calibri" w:hAnsi="Calibri"/>
                <w:b/>
                <w:smallCaps/>
                <w:noProof/>
                <w:sz w:val="24"/>
              </w:rPr>
              <w:t>Sędzisław 50</w:t>
            </w:r>
          </w:p>
          <w:p w14:paraId="0A47ABA8" w14:textId="77777777" w:rsidR="004F38F8" w:rsidRPr="00A23FB4" w:rsidRDefault="004F38F8" w:rsidP="004F38F8">
            <w:pPr>
              <w:spacing w:line="276" w:lineRule="auto"/>
              <w:rPr>
                <w:rFonts w:ascii="Calibri" w:hAnsi="Calibri"/>
                <w:b/>
                <w:smallCaps/>
                <w:noProof/>
                <w:sz w:val="24"/>
              </w:rPr>
            </w:pPr>
            <w:r w:rsidRPr="00A23FB4">
              <w:rPr>
                <w:rFonts w:ascii="Calibri" w:hAnsi="Calibri"/>
                <w:b/>
                <w:smallCaps/>
                <w:noProof/>
                <w:sz w:val="24"/>
              </w:rPr>
              <w:t>58-410 Marciszów</w:t>
            </w:r>
          </w:p>
        </w:tc>
      </w:tr>
      <w:tr w:rsidR="004F38F8" w:rsidRPr="00A23FB4" w14:paraId="473746E3" w14:textId="77777777" w:rsidTr="008D1155">
        <w:trPr>
          <w:trHeight w:val="1138"/>
        </w:trPr>
        <w:tc>
          <w:tcPr>
            <w:tcW w:w="2620" w:type="dxa"/>
            <w:tcBorders>
              <w:top w:val="single" w:sz="6" w:space="0" w:color="auto"/>
              <w:left w:val="single" w:sz="4" w:space="0" w:color="auto"/>
              <w:right w:val="single" w:sz="6" w:space="0" w:color="auto"/>
            </w:tcBorders>
            <w:shd w:val="clear" w:color="auto" w:fill="FFFFFF"/>
          </w:tcPr>
          <w:p w14:paraId="29FCD500" w14:textId="77777777" w:rsidR="004F38F8" w:rsidRPr="00A23FB4" w:rsidRDefault="004F38F8" w:rsidP="004F38F8">
            <w:pPr>
              <w:rPr>
                <w:rFonts w:ascii="Calibri" w:hAnsi="Calibri"/>
                <w:smallCaps/>
                <w:sz w:val="28"/>
                <w:szCs w:val="28"/>
              </w:rPr>
            </w:pPr>
            <w:r w:rsidRPr="00A23FB4">
              <w:rPr>
                <w:rFonts w:ascii="Calibri" w:hAnsi="Calibri"/>
                <w:smallCaps/>
                <w:sz w:val="28"/>
                <w:szCs w:val="28"/>
              </w:rPr>
              <w:t>Lokalizacja inwestycji</w:t>
            </w:r>
          </w:p>
          <w:p w14:paraId="63842D5A" w14:textId="77777777" w:rsidR="004F38F8" w:rsidRPr="00A23FB4" w:rsidRDefault="004F38F8" w:rsidP="004F38F8">
            <w:pPr>
              <w:rPr>
                <w:rFonts w:ascii="Calibri" w:hAnsi="Calibri"/>
                <w:smallCaps/>
                <w:sz w:val="28"/>
                <w:szCs w:val="28"/>
              </w:rPr>
            </w:pPr>
            <w:r w:rsidRPr="00A23FB4">
              <w:rPr>
                <w:rFonts w:ascii="Calibri" w:hAnsi="Calibri"/>
                <w:smallCaps/>
                <w:sz w:val="28"/>
                <w:szCs w:val="28"/>
              </w:rPr>
              <w:t>(adres inwestycji)</w:t>
            </w:r>
          </w:p>
        </w:tc>
        <w:tc>
          <w:tcPr>
            <w:tcW w:w="6260" w:type="dxa"/>
            <w:gridSpan w:val="2"/>
            <w:tcBorders>
              <w:top w:val="single" w:sz="6" w:space="0" w:color="auto"/>
              <w:left w:val="single" w:sz="6" w:space="0" w:color="auto"/>
              <w:right w:val="single" w:sz="4" w:space="0" w:color="auto"/>
            </w:tcBorders>
            <w:shd w:val="clear" w:color="auto" w:fill="FFFFFF"/>
          </w:tcPr>
          <w:p w14:paraId="60CCB30E" w14:textId="753B9C24" w:rsidR="004F38F8" w:rsidRPr="00A23FB4" w:rsidRDefault="006D1C54" w:rsidP="004F38F8">
            <w:pPr>
              <w:rPr>
                <w:rFonts w:ascii="Calibri" w:hAnsi="Calibri"/>
                <w:b/>
                <w:smallCaps/>
                <w:sz w:val="24"/>
              </w:rPr>
            </w:pPr>
            <w:r>
              <w:rPr>
                <w:rFonts w:ascii="Calibri" w:hAnsi="Calibri"/>
                <w:b/>
                <w:smallCaps/>
                <w:sz w:val="24"/>
              </w:rPr>
              <w:t>Tyniec Mały</w:t>
            </w:r>
          </w:p>
          <w:p w14:paraId="35E6459D" w14:textId="77777777" w:rsidR="006D1C54" w:rsidRDefault="004F38F8" w:rsidP="004F38F8">
            <w:pPr>
              <w:rPr>
                <w:rFonts w:ascii="Calibri" w:hAnsi="Calibri"/>
                <w:smallCaps/>
                <w:sz w:val="24"/>
              </w:rPr>
            </w:pPr>
            <w:r w:rsidRPr="00A23FB4">
              <w:rPr>
                <w:rFonts w:ascii="Calibri" w:hAnsi="Calibri"/>
                <w:smallCaps/>
                <w:sz w:val="24"/>
              </w:rPr>
              <w:t>Woj.</w:t>
            </w:r>
            <w:r>
              <w:rPr>
                <w:rFonts w:ascii="Calibri" w:hAnsi="Calibri"/>
                <w:smallCaps/>
                <w:sz w:val="24"/>
              </w:rPr>
              <w:t xml:space="preserve"> </w:t>
            </w:r>
            <w:r w:rsidR="00A77515">
              <w:rPr>
                <w:rFonts w:ascii="Calibri" w:hAnsi="Calibri"/>
                <w:smallCaps/>
                <w:sz w:val="24"/>
              </w:rPr>
              <w:t>dolno</w:t>
            </w:r>
            <w:r>
              <w:rPr>
                <w:rFonts w:ascii="Calibri" w:hAnsi="Calibri"/>
                <w:smallCaps/>
                <w:sz w:val="24"/>
              </w:rPr>
              <w:t xml:space="preserve">śląskie, </w:t>
            </w:r>
            <w:r w:rsidRPr="00A23FB4">
              <w:rPr>
                <w:rFonts w:ascii="Calibri" w:hAnsi="Calibri"/>
                <w:smallCaps/>
                <w:sz w:val="24"/>
              </w:rPr>
              <w:t xml:space="preserve"> Powiat </w:t>
            </w:r>
            <w:r w:rsidR="00A77515">
              <w:rPr>
                <w:rFonts w:ascii="Calibri" w:hAnsi="Calibri"/>
                <w:smallCaps/>
                <w:sz w:val="24"/>
              </w:rPr>
              <w:t>wrocławski</w:t>
            </w:r>
            <w:r>
              <w:rPr>
                <w:rFonts w:ascii="Calibri" w:hAnsi="Calibri"/>
                <w:smallCaps/>
                <w:sz w:val="24"/>
              </w:rPr>
              <w:t xml:space="preserve">, </w:t>
            </w:r>
            <w:r w:rsidR="00A77515">
              <w:rPr>
                <w:rFonts w:ascii="Calibri" w:hAnsi="Calibri"/>
                <w:smallCaps/>
                <w:sz w:val="24"/>
              </w:rPr>
              <w:t>Gm. Kobierzyce</w:t>
            </w:r>
            <w:r w:rsidR="006D1C54">
              <w:rPr>
                <w:rFonts w:ascii="Calibri" w:hAnsi="Calibri"/>
                <w:smallCaps/>
                <w:sz w:val="24"/>
              </w:rPr>
              <w:t>,</w:t>
            </w:r>
          </w:p>
          <w:p w14:paraId="583D6ACE" w14:textId="68B9AB1C" w:rsidR="004F38F8" w:rsidRPr="00A23FB4" w:rsidRDefault="004F38F8" w:rsidP="004F38F8">
            <w:pPr>
              <w:rPr>
                <w:rFonts w:ascii="Calibri" w:hAnsi="Calibri"/>
                <w:smallCaps/>
              </w:rPr>
            </w:pPr>
            <w:r>
              <w:rPr>
                <w:rFonts w:ascii="Calibri" w:hAnsi="Calibri"/>
                <w:smallCaps/>
                <w:sz w:val="24"/>
              </w:rPr>
              <w:t xml:space="preserve">Miasto </w:t>
            </w:r>
            <w:r w:rsidR="00A77515">
              <w:rPr>
                <w:rFonts w:ascii="Calibri" w:hAnsi="Calibri"/>
                <w:smallCaps/>
                <w:sz w:val="24"/>
              </w:rPr>
              <w:t>Tyniec Mały</w:t>
            </w:r>
          </w:p>
        </w:tc>
      </w:tr>
      <w:tr w:rsidR="004F38F8" w:rsidRPr="00A23FB4" w14:paraId="777238EC" w14:textId="77777777" w:rsidTr="00E537B0">
        <w:tc>
          <w:tcPr>
            <w:tcW w:w="2620" w:type="dxa"/>
            <w:tcBorders>
              <w:top w:val="single" w:sz="6" w:space="0" w:color="auto"/>
              <w:left w:val="single" w:sz="4" w:space="0" w:color="auto"/>
              <w:bottom w:val="single" w:sz="6" w:space="0" w:color="auto"/>
              <w:right w:val="single" w:sz="6" w:space="0" w:color="auto"/>
            </w:tcBorders>
            <w:shd w:val="clear" w:color="auto" w:fill="FFFFFF"/>
            <w:hideMark/>
          </w:tcPr>
          <w:p w14:paraId="2EA75B71" w14:textId="77777777" w:rsidR="004F38F8" w:rsidRPr="00A23FB4" w:rsidRDefault="004F38F8" w:rsidP="004F38F8">
            <w:pPr>
              <w:rPr>
                <w:rFonts w:ascii="Calibri" w:hAnsi="Calibri"/>
                <w:smallCaps/>
                <w:sz w:val="28"/>
                <w:szCs w:val="28"/>
              </w:rPr>
            </w:pPr>
            <w:r w:rsidRPr="00A23FB4">
              <w:rPr>
                <w:rFonts w:ascii="Calibri" w:hAnsi="Calibri"/>
                <w:smallCaps/>
                <w:sz w:val="28"/>
                <w:szCs w:val="28"/>
              </w:rPr>
              <w:t>CPV</w:t>
            </w:r>
          </w:p>
        </w:tc>
        <w:tc>
          <w:tcPr>
            <w:tcW w:w="6260" w:type="dxa"/>
            <w:gridSpan w:val="2"/>
            <w:tcBorders>
              <w:top w:val="single" w:sz="6" w:space="0" w:color="auto"/>
              <w:left w:val="single" w:sz="6" w:space="0" w:color="auto"/>
              <w:bottom w:val="single" w:sz="6" w:space="0" w:color="auto"/>
              <w:right w:val="single" w:sz="4" w:space="0" w:color="auto"/>
            </w:tcBorders>
            <w:shd w:val="clear" w:color="auto" w:fill="FFFFFF"/>
            <w:hideMark/>
          </w:tcPr>
          <w:p w14:paraId="656BC3E2" w14:textId="77777777" w:rsidR="004F38F8" w:rsidRPr="00A23FB4" w:rsidRDefault="004F38F8" w:rsidP="004F38F8">
            <w:pPr>
              <w:ind w:left="1206" w:hanging="1206"/>
              <w:rPr>
                <w:rFonts w:ascii="Calibri" w:eastAsia="Tahoma,Bold" w:hAnsi="Calibri" w:cs="Tahoma"/>
                <w:smallCaps/>
                <w:sz w:val="18"/>
                <w:szCs w:val="18"/>
                <w:lang w:eastAsia="en-US"/>
              </w:rPr>
            </w:pPr>
            <w:r w:rsidRPr="00A23FB4">
              <w:rPr>
                <w:rFonts w:ascii="Calibri" w:eastAsia="Tahoma,Bold" w:hAnsi="Calibri" w:cs="Tahoma,Bold"/>
                <w:b/>
                <w:bCs/>
                <w:smallCaps/>
                <w:sz w:val="18"/>
                <w:szCs w:val="18"/>
                <w:lang w:eastAsia="en-US"/>
              </w:rPr>
              <w:t xml:space="preserve">71320000-7 </w:t>
            </w:r>
            <w:r w:rsidRPr="00A23FB4">
              <w:rPr>
                <w:rFonts w:ascii="Calibri" w:eastAsia="Tahoma,Bold" w:hAnsi="Calibri" w:cs="Tahoma"/>
                <w:smallCaps/>
                <w:sz w:val="18"/>
                <w:szCs w:val="18"/>
                <w:lang w:eastAsia="en-US"/>
              </w:rPr>
              <w:t>Usługi w zakresie projektowania</w:t>
            </w:r>
          </w:p>
          <w:p w14:paraId="72469A07" w14:textId="77777777" w:rsidR="004F38F8" w:rsidRPr="00A23FB4" w:rsidRDefault="004F38F8" w:rsidP="004F38F8">
            <w:pPr>
              <w:ind w:left="1206" w:hanging="1206"/>
              <w:rPr>
                <w:rFonts w:ascii="Calibri" w:eastAsia="Tahoma,Bold" w:hAnsi="Calibri" w:cs="Tahoma"/>
                <w:smallCaps/>
                <w:sz w:val="18"/>
                <w:szCs w:val="18"/>
                <w:lang w:eastAsia="en-US"/>
              </w:rPr>
            </w:pPr>
            <w:r w:rsidRPr="00A23FB4">
              <w:rPr>
                <w:rFonts w:ascii="Calibri" w:eastAsia="Tahoma,Bold" w:hAnsi="Calibri" w:cs="Tahoma,Bold"/>
                <w:b/>
                <w:bCs/>
                <w:smallCaps/>
                <w:sz w:val="18"/>
                <w:szCs w:val="18"/>
                <w:lang w:eastAsia="en-US"/>
              </w:rPr>
              <w:t xml:space="preserve">45230000-8 </w:t>
            </w:r>
            <w:r w:rsidRPr="00A23FB4">
              <w:rPr>
                <w:rFonts w:ascii="Calibri" w:eastAsia="Tahoma,Bold" w:hAnsi="Calibri" w:cs="Tahoma"/>
                <w:smallCaps/>
                <w:sz w:val="18"/>
                <w:szCs w:val="18"/>
                <w:lang w:eastAsia="en-US"/>
              </w:rPr>
              <w:t>Roboty budowlane w zakresie budowy rurociągów, linii komunikacyjnych i elektroenergetycznych, autostrad, dróg, lotnisk i kolei, wyrównywanie terenu.</w:t>
            </w:r>
          </w:p>
          <w:p w14:paraId="198FF216" w14:textId="77777777" w:rsidR="004F38F8" w:rsidRPr="00A23FB4" w:rsidRDefault="004F38F8" w:rsidP="004F38F8">
            <w:pPr>
              <w:pStyle w:val="Zwykytekst"/>
              <w:ind w:left="1206" w:hanging="1206"/>
              <w:rPr>
                <w:rFonts w:ascii="Calibri" w:hAnsi="Calibri" w:cs="Tahoma"/>
                <w:smallCaps/>
                <w:sz w:val="18"/>
                <w:szCs w:val="18"/>
              </w:rPr>
            </w:pPr>
            <w:r w:rsidRPr="00A23FB4">
              <w:rPr>
                <w:rFonts w:ascii="Calibri" w:hAnsi="Calibri" w:cs="Tahoma"/>
                <w:b/>
                <w:smallCaps/>
                <w:sz w:val="18"/>
                <w:szCs w:val="18"/>
              </w:rPr>
              <w:t>45100000-8</w:t>
            </w:r>
            <w:r w:rsidRPr="00A23FB4">
              <w:rPr>
                <w:rFonts w:ascii="Calibri" w:hAnsi="Calibri" w:cs="Tahoma"/>
                <w:smallCaps/>
                <w:sz w:val="18"/>
                <w:szCs w:val="18"/>
              </w:rPr>
              <w:t xml:space="preserve">    Przygotowanie terenu pod budowę</w:t>
            </w:r>
          </w:p>
          <w:p w14:paraId="4246ED11" w14:textId="77777777" w:rsidR="004F38F8" w:rsidRPr="00A23FB4" w:rsidRDefault="004F38F8" w:rsidP="004F38F8">
            <w:pPr>
              <w:pStyle w:val="Zwykytekst"/>
              <w:ind w:left="1206" w:hanging="1206"/>
              <w:rPr>
                <w:rFonts w:ascii="Calibri" w:hAnsi="Calibri" w:cs="Tahoma"/>
                <w:smallCaps/>
                <w:sz w:val="18"/>
                <w:szCs w:val="18"/>
              </w:rPr>
            </w:pPr>
            <w:r w:rsidRPr="00A23FB4">
              <w:rPr>
                <w:rFonts w:ascii="Calibri" w:hAnsi="Calibri" w:cs="Tahoma"/>
                <w:b/>
                <w:smallCaps/>
                <w:sz w:val="18"/>
                <w:szCs w:val="18"/>
              </w:rPr>
              <w:t>45111200-0</w:t>
            </w:r>
            <w:r w:rsidRPr="00A23FB4">
              <w:rPr>
                <w:rFonts w:ascii="Calibri" w:hAnsi="Calibri" w:cs="Tahoma"/>
                <w:smallCaps/>
                <w:sz w:val="18"/>
                <w:szCs w:val="18"/>
              </w:rPr>
              <w:t xml:space="preserve">   Roboty w zakresie przygotowania terenu pod budowę i roboty ziemne</w:t>
            </w:r>
          </w:p>
          <w:p w14:paraId="36016C0F" w14:textId="77777777" w:rsidR="004F38F8" w:rsidRPr="00A23FB4" w:rsidRDefault="004F38F8" w:rsidP="004F38F8">
            <w:pPr>
              <w:pStyle w:val="Zwykytekst"/>
              <w:ind w:left="1206" w:hanging="1206"/>
              <w:rPr>
                <w:rFonts w:ascii="Calibri" w:hAnsi="Calibri" w:cs="Tahoma"/>
                <w:smallCaps/>
                <w:sz w:val="18"/>
                <w:szCs w:val="18"/>
              </w:rPr>
            </w:pPr>
            <w:r w:rsidRPr="00A23FB4">
              <w:rPr>
                <w:rFonts w:ascii="Calibri" w:hAnsi="Calibri" w:cs="Tahoma"/>
                <w:b/>
                <w:smallCaps/>
                <w:sz w:val="18"/>
                <w:szCs w:val="18"/>
              </w:rPr>
              <w:t>45112700-2</w:t>
            </w:r>
            <w:r w:rsidRPr="00A23FB4">
              <w:rPr>
                <w:rFonts w:ascii="Calibri" w:hAnsi="Calibri" w:cs="Tahoma"/>
                <w:smallCaps/>
                <w:sz w:val="18"/>
                <w:szCs w:val="18"/>
              </w:rPr>
              <w:t xml:space="preserve">   Roboty w zakresie kształtowania terenu</w:t>
            </w:r>
          </w:p>
          <w:p w14:paraId="6F9B4ED8" w14:textId="77777777" w:rsidR="004F38F8" w:rsidRPr="00A23FB4" w:rsidRDefault="004F38F8" w:rsidP="004F38F8">
            <w:pPr>
              <w:pStyle w:val="Zwykytekst"/>
              <w:ind w:left="1206" w:hanging="1206"/>
              <w:rPr>
                <w:rFonts w:ascii="Calibri" w:hAnsi="Calibri" w:cs="Tahoma"/>
                <w:smallCaps/>
                <w:sz w:val="18"/>
                <w:szCs w:val="18"/>
              </w:rPr>
            </w:pPr>
            <w:r w:rsidRPr="00A23FB4">
              <w:rPr>
                <w:rFonts w:ascii="Calibri" w:hAnsi="Calibri" w:cs="Tahoma"/>
                <w:b/>
                <w:smallCaps/>
                <w:sz w:val="18"/>
                <w:szCs w:val="18"/>
              </w:rPr>
              <w:t>45231000-5</w:t>
            </w:r>
            <w:r w:rsidRPr="00A23FB4">
              <w:rPr>
                <w:rFonts w:ascii="Calibri" w:hAnsi="Calibri" w:cs="Tahoma"/>
                <w:smallCaps/>
                <w:sz w:val="18"/>
                <w:szCs w:val="18"/>
              </w:rPr>
              <w:t xml:space="preserve">   Roboty budowlane w zakresie budowy rurociągów, ciągów komunikacyjnych i linii energetycznych</w:t>
            </w:r>
          </w:p>
          <w:p w14:paraId="342C94AD" w14:textId="77777777" w:rsidR="004F38F8" w:rsidRPr="00A23FB4" w:rsidRDefault="004F38F8" w:rsidP="004F38F8">
            <w:pPr>
              <w:pStyle w:val="Zwykytekst"/>
              <w:ind w:left="1206" w:hanging="1206"/>
              <w:rPr>
                <w:rFonts w:ascii="Calibri" w:hAnsi="Calibri" w:cs="Tahoma"/>
                <w:smallCaps/>
                <w:sz w:val="18"/>
                <w:szCs w:val="18"/>
              </w:rPr>
            </w:pPr>
            <w:r w:rsidRPr="00A23FB4">
              <w:rPr>
                <w:rFonts w:ascii="Calibri" w:hAnsi="Calibri" w:cs="Tahoma"/>
                <w:b/>
                <w:smallCaps/>
                <w:sz w:val="18"/>
                <w:szCs w:val="18"/>
              </w:rPr>
              <w:t>45232130-2</w:t>
            </w:r>
            <w:r w:rsidRPr="00A23FB4">
              <w:rPr>
                <w:rFonts w:ascii="Calibri" w:hAnsi="Calibri" w:cs="Tahoma"/>
                <w:smallCaps/>
                <w:sz w:val="18"/>
                <w:szCs w:val="18"/>
              </w:rPr>
              <w:t xml:space="preserve">    Roboty budowlane w zakresie rurociągów do odprowadzania wód burzowych</w:t>
            </w:r>
          </w:p>
          <w:p w14:paraId="2D509361" w14:textId="77777777" w:rsidR="004F38F8" w:rsidRPr="00A23FB4" w:rsidRDefault="004F38F8" w:rsidP="004F38F8">
            <w:pPr>
              <w:pStyle w:val="Zwykytekst"/>
              <w:ind w:left="1206" w:hanging="1206"/>
              <w:rPr>
                <w:rFonts w:ascii="Calibri" w:hAnsi="Calibri" w:cs="Tahoma"/>
                <w:smallCaps/>
                <w:sz w:val="18"/>
                <w:szCs w:val="18"/>
              </w:rPr>
            </w:pPr>
            <w:r w:rsidRPr="00A23FB4">
              <w:rPr>
                <w:rFonts w:ascii="Calibri" w:hAnsi="Calibri" w:cs="Tahoma"/>
                <w:b/>
                <w:smallCaps/>
                <w:sz w:val="18"/>
                <w:szCs w:val="18"/>
              </w:rPr>
              <w:t>45233120-6</w:t>
            </w:r>
            <w:r w:rsidRPr="00A23FB4">
              <w:rPr>
                <w:rFonts w:ascii="Calibri" w:hAnsi="Calibri" w:cs="Tahoma"/>
                <w:smallCaps/>
                <w:sz w:val="18"/>
                <w:szCs w:val="18"/>
              </w:rPr>
              <w:t xml:space="preserve">    Roboty w zakresie budowy dróg</w:t>
            </w:r>
          </w:p>
          <w:p w14:paraId="0732C49D" w14:textId="77777777" w:rsidR="004F38F8" w:rsidRPr="00A23FB4" w:rsidRDefault="004F38F8" w:rsidP="004F38F8">
            <w:pPr>
              <w:pStyle w:val="Zwykytekst"/>
              <w:ind w:left="1206" w:hanging="1206"/>
              <w:rPr>
                <w:rFonts w:ascii="Calibri" w:hAnsi="Calibri" w:cs="Tahoma"/>
                <w:smallCaps/>
                <w:sz w:val="18"/>
                <w:szCs w:val="18"/>
              </w:rPr>
            </w:pPr>
            <w:r w:rsidRPr="00A23FB4">
              <w:rPr>
                <w:rFonts w:ascii="Calibri" w:hAnsi="Calibri" w:cs="Tahoma"/>
                <w:b/>
                <w:smallCaps/>
                <w:sz w:val="18"/>
                <w:szCs w:val="18"/>
              </w:rPr>
              <w:t>45233150-5</w:t>
            </w:r>
            <w:r w:rsidRPr="00A23FB4">
              <w:rPr>
                <w:rFonts w:ascii="Calibri" w:hAnsi="Calibri" w:cs="Tahoma"/>
                <w:smallCaps/>
                <w:sz w:val="18"/>
                <w:szCs w:val="18"/>
              </w:rPr>
              <w:t xml:space="preserve">    Roboty w zakresie regulacji ruchu</w:t>
            </w:r>
          </w:p>
          <w:p w14:paraId="41AD5C61" w14:textId="77777777" w:rsidR="004F38F8" w:rsidRPr="00A23FB4" w:rsidRDefault="004F38F8" w:rsidP="004F38F8">
            <w:pPr>
              <w:pStyle w:val="Zwykytekst"/>
              <w:ind w:left="1206" w:hanging="1206"/>
              <w:rPr>
                <w:rFonts w:ascii="Calibri" w:hAnsi="Calibri" w:cs="Tahoma"/>
                <w:smallCaps/>
                <w:sz w:val="18"/>
                <w:szCs w:val="18"/>
              </w:rPr>
            </w:pPr>
            <w:r w:rsidRPr="00A23FB4">
              <w:rPr>
                <w:rFonts w:ascii="Calibri" w:hAnsi="Calibri" w:cs="Tahoma"/>
                <w:b/>
                <w:smallCaps/>
                <w:sz w:val="18"/>
                <w:szCs w:val="18"/>
              </w:rPr>
              <w:t>45233200-1</w:t>
            </w:r>
            <w:r w:rsidRPr="00A23FB4">
              <w:rPr>
                <w:rFonts w:ascii="Calibri" w:hAnsi="Calibri" w:cs="Tahoma"/>
                <w:smallCaps/>
                <w:sz w:val="18"/>
                <w:szCs w:val="18"/>
              </w:rPr>
              <w:t xml:space="preserve">    Roboty w zakresie różnych nawierzchni</w:t>
            </w:r>
          </w:p>
          <w:p w14:paraId="32BDC88F" w14:textId="77777777" w:rsidR="004F38F8" w:rsidRPr="00A23FB4" w:rsidRDefault="004F38F8" w:rsidP="004F38F8">
            <w:pPr>
              <w:pStyle w:val="Zwykytekst"/>
              <w:ind w:left="1206" w:hanging="1206"/>
              <w:rPr>
                <w:rFonts w:ascii="Calibri" w:hAnsi="Calibri" w:cs="Tahoma"/>
                <w:smallCaps/>
                <w:sz w:val="18"/>
                <w:szCs w:val="18"/>
              </w:rPr>
            </w:pPr>
            <w:r w:rsidRPr="00A23FB4">
              <w:rPr>
                <w:rFonts w:ascii="Calibri" w:hAnsi="Calibri" w:cs="Tahoma"/>
                <w:b/>
                <w:smallCaps/>
                <w:sz w:val="18"/>
                <w:szCs w:val="18"/>
              </w:rPr>
              <w:t>45233220-7</w:t>
            </w:r>
            <w:r w:rsidRPr="00A23FB4">
              <w:rPr>
                <w:rFonts w:ascii="Calibri" w:hAnsi="Calibri" w:cs="Tahoma"/>
                <w:smallCaps/>
                <w:sz w:val="18"/>
                <w:szCs w:val="18"/>
              </w:rPr>
              <w:t xml:space="preserve">    Roboty w zakresie nawierzchni dróg</w:t>
            </w:r>
          </w:p>
          <w:p w14:paraId="35C3EF31" w14:textId="77777777" w:rsidR="004F38F8" w:rsidRPr="00A23FB4" w:rsidRDefault="004F38F8" w:rsidP="004F38F8">
            <w:pPr>
              <w:pStyle w:val="Zwykytekst"/>
              <w:ind w:left="1206" w:hanging="1206"/>
              <w:rPr>
                <w:rFonts w:ascii="Calibri" w:hAnsi="Calibri" w:cs="Tahoma"/>
                <w:smallCaps/>
                <w:sz w:val="18"/>
                <w:szCs w:val="18"/>
              </w:rPr>
            </w:pPr>
            <w:r w:rsidRPr="00A23FB4">
              <w:rPr>
                <w:rFonts w:ascii="Calibri" w:hAnsi="Calibri" w:cs="Tahoma"/>
                <w:b/>
                <w:smallCaps/>
                <w:sz w:val="18"/>
                <w:szCs w:val="18"/>
              </w:rPr>
              <w:t>45233221-4</w:t>
            </w:r>
            <w:r w:rsidRPr="00A23FB4">
              <w:rPr>
                <w:rFonts w:ascii="Calibri" w:hAnsi="Calibri" w:cs="Tahoma"/>
                <w:smallCaps/>
                <w:sz w:val="18"/>
                <w:szCs w:val="18"/>
              </w:rPr>
              <w:t xml:space="preserve">    Malowanie nawierzchni</w:t>
            </w:r>
          </w:p>
          <w:p w14:paraId="38BBEB17" w14:textId="77777777" w:rsidR="004F38F8" w:rsidRPr="00A23FB4" w:rsidRDefault="004F38F8" w:rsidP="004F38F8">
            <w:pPr>
              <w:pStyle w:val="Zwykytekst"/>
              <w:ind w:left="1206" w:hanging="1206"/>
              <w:rPr>
                <w:rFonts w:ascii="Calibri" w:hAnsi="Calibri" w:cs="Tahoma"/>
                <w:smallCaps/>
                <w:sz w:val="18"/>
                <w:szCs w:val="18"/>
              </w:rPr>
            </w:pPr>
            <w:r w:rsidRPr="00A23FB4">
              <w:rPr>
                <w:rFonts w:ascii="Calibri" w:hAnsi="Calibri" w:cs="Tahoma"/>
                <w:b/>
                <w:smallCaps/>
                <w:sz w:val="18"/>
                <w:szCs w:val="18"/>
              </w:rPr>
              <w:t>45233290-8</w:t>
            </w:r>
            <w:r w:rsidRPr="00A23FB4">
              <w:rPr>
                <w:rFonts w:ascii="Calibri" w:hAnsi="Calibri" w:cs="Tahoma"/>
                <w:smallCaps/>
                <w:sz w:val="18"/>
                <w:szCs w:val="18"/>
              </w:rPr>
              <w:t xml:space="preserve">    Instalowanie znaków drogowych</w:t>
            </w:r>
          </w:p>
          <w:p w14:paraId="1C36A55A" w14:textId="77777777" w:rsidR="004F38F8" w:rsidRPr="00A23FB4" w:rsidRDefault="004F38F8" w:rsidP="004F38F8">
            <w:pPr>
              <w:pStyle w:val="Zwykytekst"/>
              <w:ind w:left="1206" w:hanging="1206"/>
              <w:rPr>
                <w:rFonts w:ascii="Calibri" w:hAnsi="Calibri" w:cs="Tahoma"/>
                <w:smallCaps/>
              </w:rPr>
            </w:pPr>
            <w:r w:rsidRPr="00A23FB4">
              <w:rPr>
                <w:rFonts w:ascii="Calibri" w:hAnsi="Calibri" w:cs="Tahoma"/>
                <w:b/>
                <w:smallCaps/>
                <w:sz w:val="18"/>
                <w:szCs w:val="18"/>
              </w:rPr>
              <w:t>45112710-5</w:t>
            </w:r>
            <w:r w:rsidRPr="00A23FB4">
              <w:rPr>
                <w:rFonts w:ascii="Calibri" w:hAnsi="Calibri" w:cs="Tahoma"/>
                <w:smallCaps/>
                <w:sz w:val="18"/>
                <w:szCs w:val="18"/>
              </w:rPr>
              <w:t xml:space="preserve">    Roboty w zakresie kształtowania terenów zielonych</w:t>
            </w:r>
          </w:p>
        </w:tc>
      </w:tr>
      <w:tr w:rsidR="004F38F8" w:rsidRPr="00A23FB4" w14:paraId="521871AE" w14:textId="77777777" w:rsidTr="00E537B0">
        <w:tc>
          <w:tcPr>
            <w:tcW w:w="2620" w:type="dxa"/>
            <w:tcBorders>
              <w:top w:val="single" w:sz="6" w:space="0" w:color="auto"/>
              <w:left w:val="single" w:sz="4" w:space="0" w:color="auto"/>
              <w:bottom w:val="single" w:sz="6" w:space="0" w:color="auto"/>
              <w:right w:val="single" w:sz="6" w:space="0" w:color="auto"/>
            </w:tcBorders>
            <w:shd w:val="clear" w:color="auto" w:fill="FFFFFF"/>
            <w:hideMark/>
          </w:tcPr>
          <w:p w14:paraId="73FE9DA8" w14:textId="77777777" w:rsidR="004F38F8" w:rsidRPr="00A23FB4" w:rsidRDefault="004F38F8" w:rsidP="004F38F8">
            <w:pPr>
              <w:rPr>
                <w:rFonts w:ascii="Calibri" w:hAnsi="Calibri"/>
                <w:smallCaps/>
                <w:sz w:val="28"/>
                <w:szCs w:val="28"/>
              </w:rPr>
            </w:pPr>
            <w:r w:rsidRPr="00A23FB4">
              <w:rPr>
                <w:rFonts w:ascii="Calibri" w:hAnsi="Calibri"/>
                <w:smallCaps/>
                <w:sz w:val="28"/>
                <w:szCs w:val="28"/>
              </w:rPr>
              <w:t>Data opracowania</w:t>
            </w:r>
          </w:p>
        </w:tc>
        <w:tc>
          <w:tcPr>
            <w:tcW w:w="6260" w:type="dxa"/>
            <w:gridSpan w:val="2"/>
            <w:tcBorders>
              <w:top w:val="single" w:sz="6" w:space="0" w:color="auto"/>
              <w:left w:val="single" w:sz="6" w:space="0" w:color="auto"/>
              <w:bottom w:val="single" w:sz="6" w:space="0" w:color="auto"/>
              <w:right w:val="single" w:sz="4" w:space="0" w:color="auto"/>
            </w:tcBorders>
            <w:shd w:val="clear" w:color="auto" w:fill="FFFFFF"/>
            <w:hideMark/>
          </w:tcPr>
          <w:p w14:paraId="09F333D7" w14:textId="6F1A60A9" w:rsidR="004F38F8" w:rsidRPr="00A23FB4" w:rsidRDefault="004F38F8" w:rsidP="004F38F8">
            <w:pPr>
              <w:rPr>
                <w:rFonts w:ascii="Calibri" w:hAnsi="Calibri"/>
                <w:smallCaps/>
              </w:rPr>
            </w:pPr>
            <w:r w:rsidRPr="00A23FB4">
              <w:rPr>
                <w:rFonts w:ascii="Calibri" w:hAnsi="Calibri"/>
                <w:smallCaps/>
                <w:sz w:val="28"/>
              </w:rPr>
              <w:t>L</w:t>
            </w:r>
            <w:r>
              <w:rPr>
                <w:rFonts w:ascii="Calibri" w:hAnsi="Calibri"/>
                <w:smallCaps/>
                <w:sz w:val="28"/>
              </w:rPr>
              <w:t>ipiec</w:t>
            </w:r>
            <w:r w:rsidRPr="00A23FB4">
              <w:rPr>
                <w:rFonts w:ascii="Calibri" w:hAnsi="Calibri"/>
                <w:smallCaps/>
                <w:sz w:val="28"/>
              </w:rPr>
              <w:t xml:space="preserve"> 202</w:t>
            </w:r>
            <w:r w:rsidR="009A5E24">
              <w:rPr>
                <w:rFonts w:ascii="Calibri" w:hAnsi="Calibri"/>
                <w:smallCaps/>
                <w:sz w:val="28"/>
              </w:rPr>
              <w:t>5</w:t>
            </w:r>
          </w:p>
        </w:tc>
      </w:tr>
      <w:tr w:rsidR="004F38F8" w:rsidRPr="00A23FB4" w14:paraId="4411738D" w14:textId="77777777" w:rsidTr="000321EA">
        <w:trPr>
          <w:trHeight w:val="331"/>
        </w:trPr>
        <w:tc>
          <w:tcPr>
            <w:tcW w:w="2620" w:type="dxa"/>
            <w:tcBorders>
              <w:top w:val="single" w:sz="6" w:space="0" w:color="auto"/>
              <w:left w:val="single" w:sz="4" w:space="0" w:color="auto"/>
              <w:bottom w:val="single" w:sz="4" w:space="0" w:color="auto"/>
              <w:right w:val="single" w:sz="6" w:space="0" w:color="auto"/>
            </w:tcBorders>
            <w:shd w:val="clear" w:color="auto" w:fill="FFFFFF"/>
            <w:hideMark/>
          </w:tcPr>
          <w:p w14:paraId="0ECE115B" w14:textId="77777777" w:rsidR="004F38F8" w:rsidRPr="00A23FB4" w:rsidRDefault="004F38F8" w:rsidP="004F38F8">
            <w:pPr>
              <w:rPr>
                <w:rFonts w:ascii="Calibri" w:hAnsi="Calibri"/>
                <w:smallCaps/>
                <w:sz w:val="28"/>
                <w:szCs w:val="28"/>
              </w:rPr>
            </w:pPr>
            <w:r w:rsidRPr="00A23FB4">
              <w:rPr>
                <w:rFonts w:ascii="Calibri" w:hAnsi="Calibri"/>
                <w:smallCaps/>
                <w:sz w:val="28"/>
                <w:szCs w:val="28"/>
              </w:rPr>
              <w:t xml:space="preserve">Opracował </w:t>
            </w:r>
          </w:p>
        </w:tc>
        <w:tc>
          <w:tcPr>
            <w:tcW w:w="6260" w:type="dxa"/>
            <w:gridSpan w:val="2"/>
            <w:tcBorders>
              <w:top w:val="single" w:sz="6" w:space="0" w:color="auto"/>
              <w:left w:val="single" w:sz="6" w:space="0" w:color="auto"/>
              <w:bottom w:val="single" w:sz="4" w:space="0" w:color="auto"/>
              <w:right w:val="single" w:sz="4" w:space="0" w:color="auto"/>
            </w:tcBorders>
          </w:tcPr>
          <w:p w14:paraId="239E5212" w14:textId="55067AF7" w:rsidR="004F38F8" w:rsidRPr="00A23FB4" w:rsidRDefault="004F38F8" w:rsidP="004F38F8">
            <w:pPr>
              <w:rPr>
                <w:rFonts w:ascii="Calibri" w:hAnsi="Calibri"/>
                <w:smallCaps/>
              </w:rPr>
            </w:pPr>
            <w:r w:rsidRPr="00A23FB4">
              <w:rPr>
                <w:rFonts w:ascii="Calibri" w:hAnsi="Calibri"/>
                <w:smallCaps/>
              </w:rPr>
              <w:t>mgr inż. Grzegorz Lewowski – upr. 263/DOŚ/13</w:t>
            </w:r>
          </w:p>
          <w:p w14:paraId="0BBF46F2" w14:textId="77777777" w:rsidR="004F38F8" w:rsidRPr="00A23FB4" w:rsidRDefault="004F38F8" w:rsidP="004F38F8">
            <w:pPr>
              <w:rPr>
                <w:rFonts w:ascii="Calibri" w:hAnsi="Calibri"/>
                <w:smallCaps/>
              </w:rPr>
            </w:pPr>
          </w:p>
        </w:tc>
      </w:tr>
    </w:tbl>
    <w:p w14:paraId="559811D2" w14:textId="7BFA51B5" w:rsidR="007607C5" w:rsidRPr="00A23FB4" w:rsidRDefault="00A123F1" w:rsidP="009A5E24">
      <w:pPr>
        <w:overflowPunct/>
        <w:autoSpaceDE/>
        <w:autoSpaceDN/>
        <w:adjustRightInd/>
        <w:jc w:val="left"/>
        <w:textAlignment w:val="auto"/>
      </w:pPr>
      <w:r w:rsidRPr="00A23FB4">
        <w:rPr>
          <w:rFonts w:ascii="Calibri" w:hAnsi="Calibri" w:cs="Calibri"/>
        </w:rPr>
        <w:br w:type="page"/>
      </w:r>
      <w:r w:rsidR="007607C5" w:rsidRPr="00A23FB4">
        <w:lastRenderedPageBreak/>
        <w:t xml:space="preserve">SPIS TREŚCI: </w:t>
      </w:r>
    </w:p>
    <w:p w14:paraId="0363F7F9" w14:textId="4D1FEFAB" w:rsidR="00372507" w:rsidRDefault="00794C29">
      <w:pPr>
        <w:pStyle w:val="Spistreci1"/>
        <w:rPr>
          <w:rFonts w:eastAsiaTheme="minorEastAsia" w:cstheme="minorBidi"/>
          <w:b w:val="0"/>
          <w:bCs w:val="0"/>
          <w:kern w:val="2"/>
          <w:sz w:val="24"/>
          <w:szCs w:val="24"/>
          <w14:ligatures w14:val="standardContextual"/>
        </w:rPr>
      </w:pPr>
      <w:r w:rsidRPr="00A23FB4">
        <w:rPr>
          <w:caps/>
        </w:rPr>
        <w:fldChar w:fldCharType="begin"/>
      </w:r>
      <w:r w:rsidR="007607C5" w:rsidRPr="00A23FB4">
        <w:rPr>
          <w:caps/>
        </w:rPr>
        <w:instrText xml:space="preserve"> TOC \o "1-1" \h \z \u </w:instrText>
      </w:r>
      <w:r w:rsidRPr="00A23FB4">
        <w:rPr>
          <w:caps/>
        </w:rPr>
        <w:fldChar w:fldCharType="separate"/>
      </w:r>
      <w:hyperlink w:anchor="_Toc206275464" w:history="1">
        <w:r w:rsidR="00372507" w:rsidRPr="000D0E85">
          <w:rPr>
            <w:rStyle w:val="Hipercze"/>
          </w:rPr>
          <w:t>D-M-00.00.00 WYMAGANIA OGÓLNE</w:t>
        </w:r>
        <w:r w:rsidR="00372507">
          <w:rPr>
            <w:webHidden/>
          </w:rPr>
          <w:tab/>
        </w:r>
        <w:r w:rsidR="00372507">
          <w:rPr>
            <w:webHidden/>
          </w:rPr>
          <w:fldChar w:fldCharType="begin"/>
        </w:r>
        <w:r w:rsidR="00372507">
          <w:rPr>
            <w:webHidden/>
          </w:rPr>
          <w:instrText xml:space="preserve"> PAGEREF _Toc206275464 \h </w:instrText>
        </w:r>
        <w:r w:rsidR="00372507">
          <w:rPr>
            <w:webHidden/>
          </w:rPr>
        </w:r>
        <w:r w:rsidR="00372507">
          <w:rPr>
            <w:webHidden/>
          </w:rPr>
          <w:fldChar w:fldCharType="separate"/>
        </w:r>
        <w:r w:rsidR="000B3523">
          <w:rPr>
            <w:webHidden/>
          </w:rPr>
          <w:t>3</w:t>
        </w:r>
        <w:r w:rsidR="00372507">
          <w:rPr>
            <w:webHidden/>
          </w:rPr>
          <w:fldChar w:fldCharType="end"/>
        </w:r>
      </w:hyperlink>
    </w:p>
    <w:p w14:paraId="2D2CB20C" w14:textId="23508C64" w:rsidR="00372507" w:rsidRDefault="000B3523">
      <w:pPr>
        <w:pStyle w:val="Spistreci1"/>
        <w:rPr>
          <w:rFonts w:eastAsiaTheme="minorEastAsia" w:cstheme="minorBidi"/>
          <w:b w:val="0"/>
          <w:bCs w:val="0"/>
          <w:kern w:val="2"/>
          <w:sz w:val="24"/>
          <w:szCs w:val="24"/>
          <w14:ligatures w14:val="standardContextual"/>
        </w:rPr>
      </w:pPr>
      <w:hyperlink w:anchor="_Toc206275465" w:history="1">
        <w:r w:rsidR="00372507" w:rsidRPr="000D0E85">
          <w:rPr>
            <w:rStyle w:val="Hipercze"/>
          </w:rPr>
          <w:t>D-01.01.01 ODTWORZENIE TRASY I PUNKTÓW WYSOKOŚCIOWYCH</w:t>
        </w:r>
        <w:r w:rsidR="00372507">
          <w:rPr>
            <w:webHidden/>
          </w:rPr>
          <w:tab/>
        </w:r>
        <w:r w:rsidR="00372507">
          <w:rPr>
            <w:webHidden/>
          </w:rPr>
          <w:fldChar w:fldCharType="begin"/>
        </w:r>
        <w:r w:rsidR="00372507">
          <w:rPr>
            <w:webHidden/>
          </w:rPr>
          <w:instrText xml:space="preserve"> PAGEREF _Toc206275465 \h </w:instrText>
        </w:r>
        <w:r w:rsidR="00372507">
          <w:rPr>
            <w:webHidden/>
          </w:rPr>
        </w:r>
        <w:r w:rsidR="00372507">
          <w:rPr>
            <w:webHidden/>
          </w:rPr>
          <w:fldChar w:fldCharType="separate"/>
        </w:r>
        <w:r>
          <w:rPr>
            <w:webHidden/>
          </w:rPr>
          <w:t>17</w:t>
        </w:r>
        <w:r w:rsidR="00372507">
          <w:rPr>
            <w:webHidden/>
          </w:rPr>
          <w:fldChar w:fldCharType="end"/>
        </w:r>
      </w:hyperlink>
    </w:p>
    <w:p w14:paraId="26B73EBE" w14:textId="38D92C76" w:rsidR="00372507" w:rsidRDefault="000B3523">
      <w:pPr>
        <w:pStyle w:val="Spistreci1"/>
        <w:rPr>
          <w:rFonts w:eastAsiaTheme="minorEastAsia" w:cstheme="minorBidi"/>
          <w:b w:val="0"/>
          <w:bCs w:val="0"/>
          <w:kern w:val="2"/>
          <w:sz w:val="24"/>
          <w:szCs w:val="24"/>
          <w14:ligatures w14:val="standardContextual"/>
        </w:rPr>
      </w:pPr>
      <w:hyperlink w:anchor="_Toc206275466" w:history="1">
        <w:r w:rsidR="00372507" w:rsidRPr="000D0E85">
          <w:rPr>
            <w:rStyle w:val="Hipercze"/>
          </w:rPr>
          <w:t>D-01.02.01  USUNIĘCIE DRZEW I KRZAKÓW</w:t>
        </w:r>
        <w:r w:rsidR="00372507">
          <w:rPr>
            <w:webHidden/>
          </w:rPr>
          <w:tab/>
        </w:r>
        <w:r w:rsidR="00372507">
          <w:rPr>
            <w:webHidden/>
          </w:rPr>
          <w:fldChar w:fldCharType="begin"/>
        </w:r>
        <w:r w:rsidR="00372507">
          <w:rPr>
            <w:webHidden/>
          </w:rPr>
          <w:instrText xml:space="preserve"> PAGEREF _Toc206275466 \h </w:instrText>
        </w:r>
        <w:r w:rsidR="00372507">
          <w:rPr>
            <w:webHidden/>
          </w:rPr>
        </w:r>
        <w:r w:rsidR="00372507">
          <w:rPr>
            <w:webHidden/>
          </w:rPr>
          <w:fldChar w:fldCharType="separate"/>
        </w:r>
        <w:r>
          <w:rPr>
            <w:webHidden/>
          </w:rPr>
          <w:t>21</w:t>
        </w:r>
        <w:r w:rsidR="00372507">
          <w:rPr>
            <w:webHidden/>
          </w:rPr>
          <w:fldChar w:fldCharType="end"/>
        </w:r>
      </w:hyperlink>
    </w:p>
    <w:p w14:paraId="5EEEC455" w14:textId="48B9CD93" w:rsidR="00372507" w:rsidRDefault="000B3523">
      <w:pPr>
        <w:pStyle w:val="Spistreci1"/>
        <w:rPr>
          <w:rFonts w:eastAsiaTheme="minorEastAsia" w:cstheme="minorBidi"/>
          <w:b w:val="0"/>
          <w:bCs w:val="0"/>
          <w:kern w:val="2"/>
          <w:sz w:val="24"/>
          <w:szCs w:val="24"/>
          <w14:ligatures w14:val="standardContextual"/>
        </w:rPr>
      </w:pPr>
      <w:hyperlink w:anchor="_Toc206275467" w:history="1">
        <w:r w:rsidR="00372507" w:rsidRPr="000D0E85">
          <w:rPr>
            <w:rStyle w:val="Hipercze"/>
          </w:rPr>
          <w:t>D-01.02.02 ZDJĘCIE  WARSTWY  HUMUSU  I/LUB  DARNINY</w:t>
        </w:r>
        <w:r w:rsidR="00372507">
          <w:rPr>
            <w:webHidden/>
          </w:rPr>
          <w:tab/>
        </w:r>
        <w:r w:rsidR="00372507">
          <w:rPr>
            <w:webHidden/>
          </w:rPr>
          <w:fldChar w:fldCharType="begin"/>
        </w:r>
        <w:r w:rsidR="00372507">
          <w:rPr>
            <w:webHidden/>
          </w:rPr>
          <w:instrText xml:space="preserve"> PAGEREF _Toc206275467 \h </w:instrText>
        </w:r>
        <w:r w:rsidR="00372507">
          <w:rPr>
            <w:webHidden/>
          </w:rPr>
        </w:r>
        <w:r w:rsidR="00372507">
          <w:rPr>
            <w:webHidden/>
          </w:rPr>
          <w:fldChar w:fldCharType="separate"/>
        </w:r>
        <w:r>
          <w:rPr>
            <w:webHidden/>
          </w:rPr>
          <w:t>24</w:t>
        </w:r>
        <w:r w:rsidR="00372507">
          <w:rPr>
            <w:webHidden/>
          </w:rPr>
          <w:fldChar w:fldCharType="end"/>
        </w:r>
      </w:hyperlink>
    </w:p>
    <w:p w14:paraId="08EECB65" w14:textId="5BFE5E3B" w:rsidR="00372507" w:rsidRDefault="000B3523">
      <w:pPr>
        <w:pStyle w:val="Spistreci1"/>
        <w:rPr>
          <w:rFonts w:eastAsiaTheme="minorEastAsia" w:cstheme="minorBidi"/>
          <w:b w:val="0"/>
          <w:bCs w:val="0"/>
          <w:kern w:val="2"/>
          <w:sz w:val="24"/>
          <w:szCs w:val="24"/>
          <w14:ligatures w14:val="standardContextual"/>
        </w:rPr>
      </w:pPr>
      <w:hyperlink w:anchor="_Toc206275468" w:history="1">
        <w:r w:rsidR="00372507" w:rsidRPr="000D0E85">
          <w:rPr>
            <w:rStyle w:val="Hipercze"/>
          </w:rPr>
          <w:t>D-01.02.04 ROZBIÓRKI ELEMENTÓW DRÓG I ULIC</w:t>
        </w:r>
        <w:r w:rsidR="00372507">
          <w:rPr>
            <w:webHidden/>
          </w:rPr>
          <w:tab/>
        </w:r>
        <w:r w:rsidR="00372507">
          <w:rPr>
            <w:webHidden/>
          </w:rPr>
          <w:fldChar w:fldCharType="begin"/>
        </w:r>
        <w:r w:rsidR="00372507">
          <w:rPr>
            <w:webHidden/>
          </w:rPr>
          <w:instrText xml:space="preserve"> PAGEREF _Toc206275468 \h </w:instrText>
        </w:r>
        <w:r w:rsidR="00372507">
          <w:rPr>
            <w:webHidden/>
          </w:rPr>
        </w:r>
        <w:r w:rsidR="00372507">
          <w:rPr>
            <w:webHidden/>
          </w:rPr>
          <w:fldChar w:fldCharType="separate"/>
        </w:r>
        <w:r>
          <w:rPr>
            <w:webHidden/>
          </w:rPr>
          <w:t>27</w:t>
        </w:r>
        <w:r w:rsidR="00372507">
          <w:rPr>
            <w:webHidden/>
          </w:rPr>
          <w:fldChar w:fldCharType="end"/>
        </w:r>
      </w:hyperlink>
    </w:p>
    <w:p w14:paraId="4BFDA55A" w14:textId="542295AB" w:rsidR="00372507" w:rsidRDefault="000B3523">
      <w:pPr>
        <w:pStyle w:val="Spistreci1"/>
        <w:rPr>
          <w:rFonts w:eastAsiaTheme="minorEastAsia" w:cstheme="minorBidi"/>
          <w:b w:val="0"/>
          <w:bCs w:val="0"/>
          <w:kern w:val="2"/>
          <w:sz w:val="24"/>
          <w:szCs w:val="24"/>
          <w14:ligatures w14:val="standardContextual"/>
        </w:rPr>
      </w:pPr>
      <w:hyperlink w:anchor="_Toc206275469" w:history="1">
        <w:r w:rsidR="00372507" w:rsidRPr="000D0E85">
          <w:rPr>
            <w:rStyle w:val="Hipercze"/>
          </w:rPr>
          <w:t>D-01.02.05 FREZOWANIE NAWIERZCHNI ASFALTOWYCH NA ZIMNO</w:t>
        </w:r>
        <w:r w:rsidR="00372507">
          <w:rPr>
            <w:webHidden/>
          </w:rPr>
          <w:tab/>
        </w:r>
        <w:r w:rsidR="00372507">
          <w:rPr>
            <w:webHidden/>
          </w:rPr>
          <w:fldChar w:fldCharType="begin"/>
        </w:r>
        <w:r w:rsidR="00372507">
          <w:rPr>
            <w:webHidden/>
          </w:rPr>
          <w:instrText xml:space="preserve"> PAGEREF _Toc206275469 \h </w:instrText>
        </w:r>
        <w:r w:rsidR="00372507">
          <w:rPr>
            <w:webHidden/>
          </w:rPr>
        </w:r>
        <w:r w:rsidR="00372507">
          <w:rPr>
            <w:webHidden/>
          </w:rPr>
          <w:fldChar w:fldCharType="separate"/>
        </w:r>
        <w:r>
          <w:rPr>
            <w:webHidden/>
          </w:rPr>
          <w:t>30</w:t>
        </w:r>
        <w:r w:rsidR="00372507">
          <w:rPr>
            <w:webHidden/>
          </w:rPr>
          <w:fldChar w:fldCharType="end"/>
        </w:r>
      </w:hyperlink>
    </w:p>
    <w:p w14:paraId="5CBD485B" w14:textId="7060A000" w:rsidR="00372507" w:rsidRDefault="000B3523">
      <w:pPr>
        <w:pStyle w:val="Spistreci1"/>
        <w:rPr>
          <w:rFonts w:eastAsiaTheme="minorEastAsia" w:cstheme="minorBidi"/>
          <w:b w:val="0"/>
          <w:bCs w:val="0"/>
          <w:kern w:val="2"/>
          <w:sz w:val="24"/>
          <w:szCs w:val="24"/>
          <w14:ligatures w14:val="standardContextual"/>
        </w:rPr>
      </w:pPr>
      <w:hyperlink w:anchor="_Toc206275470" w:history="1">
        <w:r w:rsidR="00372507" w:rsidRPr="000D0E85">
          <w:rPr>
            <w:rStyle w:val="Hipercze"/>
          </w:rPr>
          <w:t>D-01.03.02 PRZEBUDOWA  KABLOWYCH  LINII ENERG.PRZY  PRZEBUDOWIE I  BUDOWIE DRÓG</w:t>
        </w:r>
        <w:r w:rsidR="00372507">
          <w:rPr>
            <w:webHidden/>
          </w:rPr>
          <w:tab/>
        </w:r>
        <w:r w:rsidR="00372507">
          <w:rPr>
            <w:webHidden/>
          </w:rPr>
          <w:fldChar w:fldCharType="begin"/>
        </w:r>
        <w:r w:rsidR="00372507">
          <w:rPr>
            <w:webHidden/>
          </w:rPr>
          <w:instrText xml:space="preserve"> PAGEREF _Toc206275470 \h </w:instrText>
        </w:r>
        <w:r w:rsidR="00372507">
          <w:rPr>
            <w:webHidden/>
          </w:rPr>
        </w:r>
        <w:r w:rsidR="00372507">
          <w:rPr>
            <w:webHidden/>
          </w:rPr>
          <w:fldChar w:fldCharType="separate"/>
        </w:r>
        <w:r>
          <w:rPr>
            <w:webHidden/>
          </w:rPr>
          <w:t>33</w:t>
        </w:r>
        <w:r w:rsidR="00372507">
          <w:rPr>
            <w:webHidden/>
          </w:rPr>
          <w:fldChar w:fldCharType="end"/>
        </w:r>
      </w:hyperlink>
    </w:p>
    <w:p w14:paraId="648DC304" w14:textId="4F88F41A" w:rsidR="00372507" w:rsidRDefault="000B3523">
      <w:pPr>
        <w:pStyle w:val="Spistreci1"/>
        <w:rPr>
          <w:rFonts w:eastAsiaTheme="minorEastAsia" w:cstheme="minorBidi"/>
          <w:b w:val="0"/>
          <w:bCs w:val="0"/>
          <w:kern w:val="2"/>
          <w:sz w:val="24"/>
          <w:szCs w:val="24"/>
          <w14:ligatures w14:val="standardContextual"/>
        </w:rPr>
      </w:pPr>
      <w:hyperlink w:anchor="_Toc206275471" w:history="1">
        <w:r w:rsidR="00372507" w:rsidRPr="000D0E85">
          <w:rPr>
            <w:rStyle w:val="Hipercze"/>
            <w:rFonts w:ascii="Calibri" w:hAnsi="Calibri"/>
          </w:rPr>
          <w:t>D-01.03.04 PRZEBUDOWA  KABLOWYCH  LINII TELEKOMUNIKACYJNYCH</w:t>
        </w:r>
        <w:r w:rsidR="00372507">
          <w:rPr>
            <w:webHidden/>
          </w:rPr>
          <w:tab/>
        </w:r>
        <w:r w:rsidR="00372507">
          <w:rPr>
            <w:webHidden/>
          </w:rPr>
          <w:fldChar w:fldCharType="begin"/>
        </w:r>
        <w:r w:rsidR="00372507">
          <w:rPr>
            <w:webHidden/>
          </w:rPr>
          <w:instrText xml:space="preserve"> PAGEREF _Toc206275471 \h </w:instrText>
        </w:r>
        <w:r w:rsidR="00372507">
          <w:rPr>
            <w:webHidden/>
          </w:rPr>
        </w:r>
        <w:r w:rsidR="00372507">
          <w:rPr>
            <w:webHidden/>
          </w:rPr>
          <w:fldChar w:fldCharType="separate"/>
        </w:r>
        <w:r>
          <w:rPr>
            <w:webHidden/>
          </w:rPr>
          <w:t>44</w:t>
        </w:r>
        <w:r w:rsidR="00372507">
          <w:rPr>
            <w:webHidden/>
          </w:rPr>
          <w:fldChar w:fldCharType="end"/>
        </w:r>
      </w:hyperlink>
    </w:p>
    <w:p w14:paraId="2D7F693D" w14:textId="07A893E5" w:rsidR="00372507" w:rsidRDefault="000B3523">
      <w:pPr>
        <w:pStyle w:val="Spistreci1"/>
        <w:rPr>
          <w:rFonts w:eastAsiaTheme="minorEastAsia" w:cstheme="minorBidi"/>
          <w:b w:val="0"/>
          <w:bCs w:val="0"/>
          <w:kern w:val="2"/>
          <w:sz w:val="24"/>
          <w:szCs w:val="24"/>
          <w14:ligatures w14:val="standardContextual"/>
        </w:rPr>
      </w:pPr>
      <w:hyperlink w:anchor="_Toc206275472" w:history="1">
        <w:r w:rsidR="00372507" w:rsidRPr="000D0E85">
          <w:rPr>
            <w:rStyle w:val="Hipercze"/>
            <w:rFonts w:cstheme="minorHAnsi"/>
          </w:rPr>
          <w:t>D-01.03.05 PRZEBUDOWA  PODZIEMNYCH  LINII WODOCIĄGOWYCH  PRZY PRZEBUDOWIE</w:t>
        </w:r>
        <w:r w:rsidR="00372507">
          <w:rPr>
            <w:webHidden/>
          </w:rPr>
          <w:tab/>
        </w:r>
        <w:r w:rsidR="00372507">
          <w:rPr>
            <w:webHidden/>
          </w:rPr>
          <w:fldChar w:fldCharType="begin"/>
        </w:r>
        <w:r w:rsidR="00372507">
          <w:rPr>
            <w:webHidden/>
          </w:rPr>
          <w:instrText xml:space="preserve"> PAGEREF _Toc206275472 \h </w:instrText>
        </w:r>
        <w:r w:rsidR="00372507">
          <w:rPr>
            <w:webHidden/>
          </w:rPr>
        </w:r>
        <w:r w:rsidR="00372507">
          <w:rPr>
            <w:webHidden/>
          </w:rPr>
          <w:fldChar w:fldCharType="separate"/>
        </w:r>
        <w:r>
          <w:rPr>
            <w:webHidden/>
          </w:rPr>
          <w:t>60</w:t>
        </w:r>
        <w:r w:rsidR="00372507">
          <w:rPr>
            <w:webHidden/>
          </w:rPr>
          <w:fldChar w:fldCharType="end"/>
        </w:r>
      </w:hyperlink>
    </w:p>
    <w:p w14:paraId="3DA2AACF" w14:textId="18510C58" w:rsidR="00372507" w:rsidRDefault="000B3523">
      <w:pPr>
        <w:pStyle w:val="Spistreci1"/>
        <w:rPr>
          <w:rFonts w:eastAsiaTheme="minorEastAsia" w:cstheme="minorBidi"/>
          <w:b w:val="0"/>
          <w:bCs w:val="0"/>
          <w:kern w:val="2"/>
          <w:sz w:val="24"/>
          <w:szCs w:val="24"/>
          <w14:ligatures w14:val="standardContextual"/>
        </w:rPr>
      </w:pPr>
      <w:hyperlink w:anchor="_Toc206275475" w:history="1">
        <w:r w:rsidR="00372507" w:rsidRPr="000D0E85">
          <w:rPr>
            <w:rStyle w:val="Hipercze"/>
            <w:rFonts w:cstheme="minorHAnsi"/>
          </w:rPr>
          <w:t>D-01.03.07 PRZEBUDOWA KANALIZACJI SANITARNEJ</w:t>
        </w:r>
        <w:r w:rsidR="00372507">
          <w:rPr>
            <w:webHidden/>
          </w:rPr>
          <w:tab/>
        </w:r>
        <w:r w:rsidR="00372507">
          <w:rPr>
            <w:webHidden/>
          </w:rPr>
          <w:fldChar w:fldCharType="begin"/>
        </w:r>
        <w:r w:rsidR="00372507">
          <w:rPr>
            <w:webHidden/>
          </w:rPr>
          <w:instrText xml:space="preserve"> PAGEREF _Toc206275475 \h </w:instrText>
        </w:r>
        <w:r w:rsidR="00372507">
          <w:rPr>
            <w:webHidden/>
          </w:rPr>
        </w:r>
        <w:r w:rsidR="00372507">
          <w:rPr>
            <w:webHidden/>
          </w:rPr>
          <w:fldChar w:fldCharType="separate"/>
        </w:r>
        <w:r>
          <w:rPr>
            <w:webHidden/>
          </w:rPr>
          <w:t>78</w:t>
        </w:r>
        <w:r w:rsidR="00372507">
          <w:rPr>
            <w:webHidden/>
          </w:rPr>
          <w:fldChar w:fldCharType="end"/>
        </w:r>
      </w:hyperlink>
    </w:p>
    <w:p w14:paraId="247F9653" w14:textId="2BF532C1" w:rsidR="00372507" w:rsidRDefault="000B3523">
      <w:pPr>
        <w:pStyle w:val="Spistreci1"/>
        <w:rPr>
          <w:rFonts w:eastAsiaTheme="minorEastAsia" w:cstheme="minorBidi"/>
          <w:b w:val="0"/>
          <w:bCs w:val="0"/>
          <w:kern w:val="2"/>
          <w:sz w:val="24"/>
          <w:szCs w:val="24"/>
          <w14:ligatures w14:val="standardContextual"/>
        </w:rPr>
      </w:pPr>
      <w:hyperlink w:anchor="_Toc206275476" w:history="1">
        <w:r w:rsidR="00372507" w:rsidRPr="000D0E85">
          <w:rPr>
            <w:rStyle w:val="Hipercze"/>
            <w:rFonts w:cstheme="minorHAnsi"/>
          </w:rPr>
          <w:t>D-02.01.01 WYKONANIE WYKOPÓW W GRUNTACH NIESKALISTYCH</w:t>
        </w:r>
        <w:r w:rsidR="00372507">
          <w:rPr>
            <w:webHidden/>
          </w:rPr>
          <w:tab/>
        </w:r>
        <w:r w:rsidR="00372507">
          <w:rPr>
            <w:webHidden/>
          </w:rPr>
          <w:fldChar w:fldCharType="begin"/>
        </w:r>
        <w:r w:rsidR="00372507">
          <w:rPr>
            <w:webHidden/>
          </w:rPr>
          <w:instrText xml:space="preserve"> PAGEREF _Toc206275476 \h </w:instrText>
        </w:r>
        <w:r w:rsidR="00372507">
          <w:rPr>
            <w:webHidden/>
          </w:rPr>
        </w:r>
        <w:r w:rsidR="00372507">
          <w:rPr>
            <w:webHidden/>
          </w:rPr>
          <w:fldChar w:fldCharType="separate"/>
        </w:r>
        <w:r>
          <w:rPr>
            <w:webHidden/>
          </w:rPr>
          <w:t>92</w:t>
        </w:r>
        <w:r w:rsidR="00372507">
          <w:rPr>
            <w:webHidden/>
          </w:rPr>
          <w:fldChar w:fldCharType="end"/>
        </w:r>
      </w:hyperlink>
    </w:p>
    <w:p w14:paraId="4DB6C0CC" w14:textId="7F5E6B1C" w:rsidR="00372507" w:rsidRDefault="000B3523">
      <w:pPr>
        <w:pStyle w:val="Spistreci1"/>
        <w:rPr>
          <w:rFonts w:eastAsiaTheme="minorEastAsia" w:cstheme="minorBidi"/>
          <w:b w:val="0"/>
          <w:bCs w:val="0"/>
          <w:kern w:val="2"/>
          <w:sz w:val="24"/>
          <w:szCs w:val="24"/>
          <w14:ligatures w14:val="standardContextual"/>
        </w:rPr>
      </w:pPr>
      <w:hyperlink w:anchor="_Toc206275477" w:history="1">
        <w:r w:rsidR="00372507" w:rsidRPr="000D0E85">
          <w:rPr>
            <w:rStyle w:val="Hipercze"/>
            <w:rFonts w:cstheme="minorHAnsi"/>
          </w:rPr>
          <w:t>D-02.03.01  NASYPY</w:t>
        </w:r>
        <w:r w:rsidR="00372507">
          <w:rPr>
            <w:webHidden/>
          </w:rPr>
          <w:tab/>
        </w:r>
        <w:r w:rsidR="00372507">
          <w:rPr>
            <w:webHidden/>
          </w:rPr>
          <w:fldChar w:fldCharType="begin"/>
        </w:r>
        <w:r w:rsidR="00372507">
          <w:rPr>
            <w:webHidden/>
          </w:rPr>
          <w:instrText xml:space="preserve"> PAGEREF _Toc206275477 \h </w:instrText>
        </w:r>
        <w:r w:rsidR="00372507">
          <w:rPr>
            <w:webHidden/>
          </w:rPr>
        </w:r>
        <w:r w:rsidR="00372507">
          <w:rPr>
            <w:webHidden/>
          </w:rPr>
          <w:fldChar w:fldCharType="separate"/>
        </w:r>
        <w:r>
          <w:rPr>
            <w:webHidden/>
          </w:rPr>
          <w:t>98</w:t>
        </w:r>
        <w:r w:rsidR="00372507">
          <w:rPr>
            <w:webHidden/>
          </w:rPr>
          <w:fldChar w:fldCharType="end"/>
        </w:r>
      </w:hyperlink>
    </w:p>
    <w:p w14:paraId="770F395C" w14:textId="070FF6D6" w:rsidR="00372507" w:rsidRDefault="000B3523">
      <w:pPr>
        <w:pStyle w:val="Spistreci1"/>
        <w:rPr>
          <w:rFonts w:eastAsiaTheme="minorEastAsia" w:cstheme="minorBidi"/>
          <w:b w:val="0"/>
          <w:bCs w:val="0"/>
          <w:kern w:val="2"/>
          <w:sz w:val="24"/>
          <w:szCs w:val="24"/>
          <w14:ligatures w14:val="standardContextual"/>
        </w:rPr>
      </w:pPr>
      <w:hyperlink w:anchor="_Toc206275478" w:history="1">
        <w:r w:rsidR="00372507" w:rsidRPr="000D0E85">
          <w:rPr>
            <w:rStyle w:val="Hipercze"/>
            <w:rFonts w:cstheme="minorHAnsi"/>
          </w:rPr>
          <w:t>D-03.02.01  KANALIZACJA DESZCZOWA</w:t>
        </w:r>
        <w:r w:rsidR="00372507">
          <w:rPr>
            <w:webHidden/>
          </w:rPr>
          <w:tab/>
        </w:r>
        <w:r w:rsidR="00372507">
          <w:rPr>
            <w:webHidden/>
          </w:rPr>
          <w:fldChar w:fldCharType="begin"/>
        </w:r>
        <w:r w:rsidR="00372507">
          <w:rPr>
            <w:webHidden/>
          </w:rPr>
          <w:instrText xml:space="preserve"> PAGEREF _Toc206275478 \h </w:instrText>
        </w:r>
        <w:r w:rsidR="00372507">
          <w:rPr>
            <w:webHidden/>
          </w:rPr>
        </w:r>
        <w:r w:rsidR="00372507">
          <w:rPr>
            <w:webHidden/>
          </w:rPr>
          <w:fldChar w:fldCharType="separate"/>
        </w:r>
        <w:r>
          <w:rPr>
            <w:webHidden/>
          </w:rPr>
          <w:t>109</w:t>
        </w:r>
        <w:r w:rsidR="00372507">
          <w:rPr>
            <w:webHidden/>
          </w:rPr>
          <w:fldChar w:fldCharType="end"/>
        </w:r>
      </w:hyperlink>
    </w:p>
    <w:p w14:paraId="1E1863CD" w14:textId="7C839B1C" w:rsidR="00372507" w:rsidRDefault="000B3523">
      <w:pPr>
        <w:pStyle w:val="Spistreci1"/>
        <w:rPr>
          <w:rFonts w:eastAsiaTheme="minorEastAsia" w:cstheme="minorBidi"/>
          <w:b w:val="0"/>
          <w:bCs w:val="0"/>
          <w:kern w:val="2"/>
          <w:sz w:val="24"/>
          <w:szCs w:val="24"/>
          <w14:ligatures w14:val="standardContextual"/>
        </w:rPr>
      </w:pPr>
      <w:hyperlink w:anchor="_Toc206275479" w:history="1">
        <w:r w:rsidR="00372507" w:rsidRPr="000D0E85">
          <w:rPr>
            <w:rStyle w:val="Hipercze"/>
            <w:rFonts w:ascii="Calibri" w:hAnsi="Calibri"/>
          </w:rPr>
          <w:t>D-03.10.01 KANAŁ TECHNOLOGICZNY</w:t>
        </w:r>
        <w:r w:rsidR="00372507">
          <w:rPr>
            <w:webHidden/>
          </w:rPr>
          <w:tab/>
        </w:r>
        <w:r w:rsidR="00372507">
          <w:rPr>
            <w:webHidden/>
          </w:rPr>
          <w:fldChar w:fldCharType="begin"/>
        </w:r>
        <w:r w:rsidR="00372507">
          <w:rPr>
            <w:webHidden/>
          </w:rPr>
          <w:instrText xml:space="preserve"> PAGEREF _Toc206275479 \h </w:instrText>
        </w:r>
        <w:r w:rsidR="00372507">
          <w:rPr>
            <w:webHidden/>
          </w:rPr>
        </w:r>
        <w:r w:rsidR="00372507">
          <w:rPr>
            <w:webHidden/>
          </w:rPr>
          <w:fldChar w:fldCharType="separate"/>
        </w:r>
        <w:r>
          <w:rPr>
            <w:webHidden/>
          </w:rPr>
          <w:t>117</w:t>
        </w:r>
        <w:r w:rsidR="00372507">
          <w:rPr>
            <w:webHidden/>
          </w:rPr>
          <w:fldChar w:fldCharType="end"/>
        </w:r>
      </w:hyperlink>
    </w:p>
    <w:p w14:paraId="28B9802C" w14:textId="0DCC8599" w:rsidR="00372507" w:rsidRDefault="000B3523">
      <w:pPr>
        <w:pStyle w:val="Spistreci1"/>
        <w:rPr>
          <w:rFonts w:eastAsiaTheme="minorEastAsia" w:cstheme="minorBidi"/>
          <w:b w:val="0"/>
          <w:bCs w:val="0"/>
          <w:kern w:val="2"/>
          <w:sz w:val="24"/>
          <w:szCs w:val="24"/>
          <w14:ligatures w14:val="standardContextual"/>
        </w:rPr>
      </w:pPr>
      <w:hyperlink w:anchor="_Toc206275480" w:history="1">
        <w:r w:rsidR="00372507" w:rsidRPr="000D0E85">
          <w:rPr>
            <w:rStyle w:val="Hipercze"/>
          </w:rPr>
          <w:t>D-04.01.01 KORYTO WRAZ Z PROFILOWANIEM I ZAGĘSZCZANIEM PODŁOŻA</w:t>
        </w:r>
        <w:r w:rsidR="00372507">
          <w:rPr>
            <w:webHidden/>
          </w:rPr>
          <w:tab/>
        </w:r>
        <w:r w:rsidR="00372507">
          <w:rPr>
            <w:webHidden/>
          </w:rPr>
          <w:fldChar w:fldCharType="begin"/>
        </w:r>
        <w:r w:rsidR="00372507">
          <w:rPr>
            <w:webHidden/>
          </w:rPr>
          <w:instrText xml:space="preserve"> PAGEREF _Toc206275480 \h </w:instrText>
        </w:r>
        <w:r w:rsidR="00372507">
          <w:rPr>
            <w:webHidden/>
          </w:rPr>
        </w:r>
        <w:r w:rsidR="00372507">
          <w:rPr>
            <w:webHidden/>
          </w:rPr>
          <w:fldChar w:fldCharType="separate"/>
        </w:r>
        <w:r>
          <w:rPr>
            <w:webHidden/>
          </w:rPr>
          <w:t>121</w:t>
        </w:r>
        <w:r w:rsidR="00372507">
          <w:rPr>
            <w:webHidden/>
          </w:rPr>
          <w:fldChar w:fldCharType="end"/>
        </w:r>
      </w:hyperlink>
    </w:p>
    <w:p w14:paraId="6F76E382" w14:textId="4D98330C" w:rsidR="00372507" w:rsidRDefault="000B3523">
      <w:pPr>
        <w:pStyle w:val="Spistreci1"/>
        <w:rPr>
          <w:rFonts w:eastAsiaTheme="minorEastAsia" w:cstheme="minorBidi"/>
          <w:b w:val="0"/>
          <w:bCs w:val="0"/>
          <w:kern w:val="2"/>
          <w:sz w:val="24"/>
          <w:szCs w:val="24"/>
          <w14:ligatures w14:val="standardContextual"/>
        </w:rPr>
      </w:pPr>
      <w:hyperlink w:anchor="_Toc206275481" w:history="1">
        <w:r w:rsidR="00372507" w:rsidRPr="000D0E85">
          <w:rPr>
            <w:rStyle w:val="Hipercze"/>
          </w:rPr>
          <w:t>D.04.03.01. OCZYSZCZENIE I SKROPIENIE WARSTW KONSTRUKCYJNYCH</w:t>
        </w:r>
        <w:r w:rsidR="00372507">
          <w:rPr>
            <w:webHidden/>
          </w:rPr>
          <w:tab/>
        </w:r>
        <w:r w:rsidR="00372507">
          <w:rPr>
            <w:webHidden/>
          </w:rPr>
          <w:fldChar w:fldCharType="begin"/>
        </w:r>
        <w:r w:rsidR="00372507">
          <w:rPr>
            <w:webHidden/>
          </w:rPr>
          <w:instrText xml:space="preserve"> PAGEREF _Toc206275481 \h </w:instrText>
        </w:r>
        <w:r w:rsidR="00372507">
          <w:rPr>
            <w:webHidden/>
          </w:rPr>
        </w:r>
        <w:r w:rsidR="00372507">
          <w:rPr>
            <w:webHidden/>
          </w:rPr>
          <w:fldChar w:fldCharType="separate"/>
        </w:r>
        <w:r>
          <w:rPr>
            <w:webHidden/>
          </w:rPr>
          <w:t>126</w:t>
        </w:r>
        <w:r w:rsidR="00372507">
          <w:rPr>
            <w:webHidden/>
          </w:rPr>
          <w:fldChar w:fldCharType="end"/>
        </w:r>
      </w:hyperlink>
    </w:p>
    <w:p w14:paraId="3F02F607" w14:textId="72689840" w:rsidR="00372507" w:rsidRDefault="000B3523">
      <w:pPr>
        <w:pStyle w:val="Spistreci1"/>
        <w:rPr>
          <w:rFonts w:eastAsiaTheme="minorEastAsia" w:cstheme="minorBidi"/>
          <w:b w:val="0"/>
          <w:bCs w:val="0"/>
          <w:kern w:val="2"/>
          <w:sz w:val="24"/>
          <w:szCs w:val="24"/>
          <w14:ligatures w14:val="standardContextual"/>
        </w:rPr>
      </w:pPr>
      <w:hyperlink w:anchor="_Toc206275482" w:history="1">
        <w:r w:rsidR="00372507" w:rsidRPr="000D0E85">
          <w:rPr>
            <w:rStyle w:val="Hipercze"/>
          </w:rPr>
          <w:t>D-04.04.02 PODBUDOWA Z KRUSZYWA ŁAMANEGO STABILIZOWANEGO MECHANICZNIE</w:t>
        </w:r>
        <w:r w:rsidR="00372507">
          <w:rPr>
            <w:webHidden/>
          </w:rPr>
          <w:tab/>
        </w:r>
        <w:r w:rsidR="00372507">
          <w:rPr>
            <w:webHidden/>
          </w:rPr>
          <w:fldChar w:fldCharType="begin"/>
        </w:r>
        <w:r w:rsidR="00372507">
          <w:rPr>
            <w:webHidden/>
          </w:rPr>
          <w:instrText xml:space="preserve"> PAGEREF _Toc206275482 \h </w:instrText>
        </w:r>
        <w:r w:rsidR="00372507">
          <w:rPr>
            <w:webHidden/>
          </w:rPr>
        </w:r>
        <w:r w:rsidR="00372507">
          <w:rPr>
            <w:webHidden/>
          </w:rPr>
          <w:fldChar w:fldCharType="separate"/>
        </w:r>
        <w:r>
          <w:rPr>
            <w:webHidden/>
          </w:rPr>
          <w:t>132</w:t>
        </w:r>
        <w:r w:rsidR="00372507">
          <w:rPr>
            <w:webHidden/>
          </w:rPr>
          <w:fldChar w:fldCharType="end"/>
        </w:r>
      </w:hyperlink>
    </w:p>
    <w:p w14:paraId="6FA5317F" w14:textId="3E40077A" w:rsidR="00372507" w:rsidRDefault="000B3523">
      <w:pPr>
        <w:pStyle w:val="Spistreci1"/>
        <w:rPr>
          <w:rFonts w:eastAsiaTheme="minorEastAsia" w:cstheme="minorBidi"/>
          <w:b w:val="0"/>
          <w:bCs w:val="0"/>
          <w:kern w:val="2"/>
          <w:sz w:val="24"/>
          <w:szCs w:val="24"/>
          <w14:ligatures w14:val="standardContextual"/>
        </w:rPr>
      </w:pPr>
      <w:hyperlink w:anchor="_Toc206275483" w:history="1">
        <w:r w:rsidR="00372507" w:rsidRPr="000D0E85">
          <w:rPr>
            <w:rStyle w:val="Hipercze"/>
          </w:rPr>
          <w:t>D-04.05.01 ULEPSZONE PODŁOŻE Z GRUNTÓW STABILIZOWANYCH CEMENTEM</w:t>
        </w:r>
        <w:r w:rsidR="00372507">
          <w:rPr>
            <w:webHidden/>
          </w:rPr>
          <w:tab/>
        </w:r>
        <w:r w:rsidR="00372507">
          <w:rPr>
            <w:webHidden/>
          </w:rPr>
          <w:fldChar w:fldCharType="begin"/>
        </w:r>
        <w:r w:rsidR="00372507">
          <w:rPr>
            <w:webHidden/>
          </w:rPr>
          <w:instrText xml:space="preserve"> PAGEREF _Toc206275483 \h </w:instrText>
        </w:r>
        <w:r w:rsidR="00372507">
          <w:rPr>
            <w:webHidden/>
          </w:rPr>
        </w:r>
        <w:r w:rsidR="00372507">
          <w:rPr>
            <w:webHidden/>
          </w:rPr>
          <w:fldChar w:fldCharType="separate"/>
        </w:r>
        <w:r>
          <w:rPr>
            <w:webHidden/>
          </w:rPr>
          <w:t>140</w:t>
        </w:r>
        <w:r w:rsidR="00372507">
          <w:rPr>
            <w:webHidden/>
          </w:rPr>
          <w:fldChar w:fldCharType="end"/>
        </w:r>
      </w:hyperlink>
    </w:p>
    <w:p w14:paraId="2F68D5DD" w14:textId="74405FA8" w:rsidR="00372507" w:rsidRDefault="000B3523">
      <w:pPr>
        <w:pStyle w:val="Spistreci1"/>
        <w:rPr>
          <w:rFonts w:eastAsiaTheme="minorEastAsia" w:cstheme="minorBidi"/>
          <w:b w:val="0"/>
          <w:bCs w:val="0"/>
          <w:kern w:val="2"/>
          <w:sz w:val="24"/>
          <w:szCs w:val="24"/>
          <w14:ligatures w14:val="standardContextual"/>
        </w:rPr>
      </w:pPr>
      <w:hyperlink w:anchor="_Toc206275484" w:history="1">
        <w:r w:rsidR="00372507" w:rsidRPr="000D0E85">
          <w:rPr>
            <w:rStyle w:val="Hipercze"/>
          </w:rPr>
          <w:t>D-04.06.01 PODBUDOWA Z BETONU</w:t>
        </w:r>
        <w:r w:rsidR="00372507">
          <w:rPr>
            <w:webHidden/>
          </w:rPr>
          <w:tab/>
        </w:r>
        <w:r w:rsidR="00372507">
          <w:rPr>
            <w:webHidden/>
          </w:rPr>
          <w:fldChar w:fldCharType="begin"/>
        </w:r>
        <w:r w:rsidR="00372507">
          <w:rPr>
            <w:webHidden/>
          </w:rPr>
          <w:instrText xml:space="preserve"> PAGEREF _Toc206275484 \h </w:instrText>
        </w:r>
        <w:r w:rsidR="00372507">
          <w:rPr>
            <w:webHidden/>
          </w:rPr>
        </w:r>
        <w:r w:rsidR="00372507">
          <w:rPr>
            <w:webHidden/>
          </w:rPr>
          <w:fldChar w:fldCharType="separate"/>
        </w:r>
        <w:r>
          <w:rPr>
            <w:webHidden/>
          </w:rPr>
          <w:t>147</w:t>
        </w:r>
        <w:r w:rsidR="00372507">
          <w:rPr>
            <w:webHidden/>
          </w:rPr>
          <w:fldChar w:fldCharType="end"/>
        </w:r>
      </w:hyperlink>
    </w:p>
    <w:p w14:paraId="63E15B85" w14:textId="4F052E57" w:rsidR="00372507" w:rsidRDefault="000B3523">
      <w:pPr>
        <w:pStyle w:val="Spistreci1"/>
        <w:rPr>
          <w:rFonts w:eastAsiaTheme="minorEastAsia" w:cstheme="minorBidi"/>
          <w:b w:val="0"/>
          <w:bCs w:val="0"/>
          <w:kern w:val="2"/>
          <w:sz w:val="24"/>
          <w:szCs w:val="24"/>
          <w14:ligatures w14:val="standardContextual"/>
        </w:rPr>
      </w:pPr>
      <w:hyperlink w:anchor="_Toc206275485" w:history="1">
        <w:r w:rsidR="00372507" w:rsidRPr="000D0E85">
          <w:rPr>
            <w:rStyle w:val="Hipercze"/>
            <w:rFonts w:cstheme="minorHAnsi"/>
          </w:rPr>
          <w:t>D-04.07.01A PODBUDOWA  Z  BETONU ASFALTOWEGO AC 22P</w:t>
        </w:r>
        <w:r w:rsidR="00372507">
          <w:rPr>
            <w:webHidden/>
          </w:rPr>
          <w:tab/>
        </w:r>
        <w:r w:rsidR="00372507">
          <w:rPr>
            <w:webHidden/>
          </w:rPr>
          <w:fldChar w:fldCharType="begin"/>
        </w:r>
        <w:r w:rsidR="00372507">
          <w:rPr>
            <w:webHidden/>
          </w:rPr>
          <w:instrText xml:space="preserve"> PAGEREF _Toc206275485 \h </w:instrText>
        </w:r>
        <w:r w:rsidR="00372507">
          <w:rPr>
            <w:webHidden/>
          </w:rPr>
        </w:r>
        <w:r w:rsidR="00372507">
          <w:rPr>
            <w:webHidden/>
          </w:rPr>
          <w:fldChar w:fldCharType="separate"/>
        </w:r>
        <w:r>
          <w:rPr>
            <w:webHidden/>
          </w:rPr>
          <w:t>153</w:t>
        </w:r>
        <w:r w:rsidR="00372507">
          <w:rPr>
            <w:webHidden/>
          </w:rPr>
          <w:fldChar w:fldCharType="end"/>
        </w:r>
      </w:hyperlink>
    </w:p>
    <w:p w14:paraId="5780EE28" w14:textId="7D358573" w:rsidR="00372507" w:rsidRDefault="000B3523">
      <w:pPr>
        <w:pStyle w:val="Spistreci1"/>
        <w:rPr>
          <w:rFonts w:eastAsiaTheme="minorEastAsia" w:cstheme="minorBidi"/>
          <w:b w:val="0"/>
          <w:bCs w:val="0"/>
          <w:kern w:val="2"/>
          <w:sz w:val="24"/>
          <w:szCs w:val="24"/>
          <w14:ligatures w14:val="standardContextual"/>
        </w:rPr>
      </w:pPr>
      <w:hyperlink w:anchor="_Toc206275486" w:history="1">
        <w:r w:rsidR="00372507" w:rsidRPr="000D0E85">
          <w:rPr>
            <w:rStyle w:val="Hipercze"/>
          </w:rPr>
          <w:t>D-05.03.01 NAWIERZCHNIA Z KOSTKI KAMIENNEJ</w:t>
        </w:r>
        <w:r w:rsidR="00372507">
          <w:rPr>
            <w:webHidden/>
          </w:rPr>
          <w:tab/>
        </w:r>
        <w:r w:rsidR="00372507">
          <w:rPr>
            <w:webHidden/>
          </w:rPr>
          <w:fldChar w:fldCharType="begin"/>
        </w:r>
        <w:r w:rsidR="00372507">
          <w:rPr>
            <w:webHidden/>
          </w:rPr>
          <w:instrText xml:space="preserve"> PAGEREF _Toc206275486 \h </w:instrText>
        </w:r>
        <w:r w:rsidR="00372507">
          <w:rPr>
            <w:webHidden/>
          </w:rPr>
        </w:r>
        <w:r w:rsidR="00372507">
          <w:rPr>
            <w:webHidden/>
          </w:rPr>
          <w:fldChar w:fldCharType="separate"/>
        </w:r>
        <w:r>
          <w:rPr>
            <w:webHidden/>
          </w:rPr>
          <w:t>166</w:t>
        </w:r>
        <w:r w:rsidR="00372507">
          <w:rPr>
            <w:webHidden/>
          </w:rPr>
          <w:fldChar w:fldCharType="end"/>
        </w:r>
      </w:hyperlink>
    </w:p>
    <w:p w14:paraId="083D6381" w14:textId="003D1E51" w:rsidR="00372507" w:rsidRDefault="000B3523">
      <w:pPr>
        <w:pStyle w:val="Spistreci1"/>
        <w:rPr>
          <w:rFonts w:eastAsiaTheme="minorEastAsia" w:cstheme="minorBidi"/>
          <w:b w:val="0"/>
          <w:bCs w:val="0"/>
          <w:kern w:val="2"/>
          <w:sz w:val="24"/>
          <w:szCs w:val="24"/>
          <w14:ligatures w14:val="standardContextual"/>
        </w:rPr>
      </w:pPr>
      <w:hyperlink w:anchor="_Toc206275487" w:history="1">
        <w:r w:rsidR="00372507" w:rsidRPr="000D0E85">
          <w:rPr>
            <w:rStyle w:val="Hipercze"/>
            <w:rFonts w:cstheme="minorHAnsi"/>
          </w:rPr>
          <w:t>D-05.03.05a   NAWIERZCHNIA Z BETONU ASFALTOWEGO WARSTWA WIĄŻĄCa</w:t>
        </w:r>
        <w:r w:rsidR="00372507">
          <w:rPr>
            <w:webHidden/>
          </w:rPr>
          <w:tab/>
        </w:r>
        <w:r w:rsidR="00372507">
          <w:rPr>
            <w:webHidden/>
          </w:rPr>
          <w:fldChar w:fldCharType="begin"/>
        </w:r>
        <w:r w:rsidR="00372507">
          <w:rPr>
            <w:webHidden/>
          </w:rPr>
          <w:instrText xml:space="preserve"> PAGEREF _Toc206275487 \h </w:instrText>
        </w:r>
        <w:r w:rsidR="00372507">
          <w:rPr>
            <w:webHidden/>
          </w:rPr>
        </w:r>
        <w:r w:rsidR="00372507">
          <w:rPr>
            <w:webHidden/>
          </w:rPr>
          <w:fldChar w:fldCharType="separate"/>
        </w:r>
        <w:r>
          <w:rPr>
            <w:webHidden/>
          </w:rPr>
          <w:t>172</w:t>
        </w:r>
        <w:r w:rsidR="00372507">
          <w:rPr>
            <w:webHidden/>
          </w:rPr>
          <w:fldChar w:fldCharType="end"/>
        </w:r>
      </w:hyperlink>
    </w:p>
    <w:p w14:paraId="361EFFB7" w14:textId="51A0782C" w:rsidR="00372507" w:rsidRDefault="000B3523">
      <w:pPr>
        <w:pStyle w:val="Spistreci1"/>
        <w:rPr>
          <w:rFonts w:eastAsiaTheme="minorEastAsia" w:cstheme="minorBidi"/>
          <w:b w:val="0"/>
          <w:bCs w:val="0"/>
          <w:kern w:val="2"/>
          <w:sz w:val="24"/>
          <w:szCs w:val="24"/>
          <w14:ligatures w14:val="standardContextual"/>
        </w:rPr>
      </w:pPr>
      <w:hyperlink w:anchor="_Toc206275488" w:history="1">
        <w:r w:rsidR="00372507" w:rsidRPr="000D0E85">
          <w:rPr>
            <w:rStyle w:val="Hipercze"/>
          </w:rPr>
          <w:t>D-05.03.13b NAWIERZCHNIA Z mieszanki matyksowo-grysowej (sma)</w:t>
        </w:r>
        <w:r w:rsidR="00372507">
          <w:rPr>
            <w:webHidden/>
          </w:rPr>
          <w:tab/>
        </w:r>
        <w:r w:rsidR="00372507">
          <w:rPr>
            <w:webHidden/>
          </w:rPr>
          <w:fldChar w:fldCharType="begin"/>
        </w:r>
        <w:r w:rsidR="00372507">
          <w:rPr>
            <w:webHidden/>
          </w:rPr>
          <w:instrText xml:space="preserve"> PAGEREF _Toc206275488 \h </w:instrText>
        </w:r>
        <w:r w:rsidR="00372507">
          <w:rPr>
            <w:webHidden/>
          </w:rPr>
        </w:r>
        <w:r w:rsidR="00372507">
          <w:rPr>
            <w:webHidden/>
          </w:rPr>
          <w:fldChar w:fldCharType="separate"/>
        </w:r>
        <w:r>
          <w:rPr>
            <w:webHidden/>
          </w:rPr>
          <w:t>185</w:t>
        </w:r>
        <w:r w:rsidR="00372507">
          <w:rPr>
            <w:webHidden/>
          </w:rPr>
          <w:fldChar w:fldCharType="end"/>
        </w:r>
      </w:hyperlink>
    </w:p>
    <w:p w14:paraId="5E44DDA1" w14:textId="6C310E78" w:rsidR="00372507" w:rsidRDefault="000B3523">
      <w:pPr>
        <w:pStyle w:val="Spistreci1"/>
        <w:rPr>
          <w:rFonts w:eastAsiaTheme="minorEastAsia" w:cstheme="minorBidi"/>
          <w:b w:val="0"/>
          <w:bCs w:val="0"/>
          <w:kern w:val="2"/>
          <w:sz w:val="24"/>
          <w:szCs w:val="24"/>
          <w14:ligatures w14:val="standardContextual"/>
        </w:rPr>
      </w:pPr>
      <w:hyperlink w:anchor="_Toc206275489" w:history="1">
        <w:r w:rsidR="00372507" w:rsidRPr="000D0E85">
          <w:rPr>
            <w:rStyle w:val="Hipercze"/>
          </w:rPr>
          <w:t>D-05.03.13a NAWIERZCHNIA  Z  BETONU ASFALTOWEGO.WARSTWA ŚCIERALNA WG  PN-EN</w:t>
        </w:r>
        <w:r w:rsidR="00372507">
          <w:rPr>
            <w:webHidden/>
          </w:rPr>
          <w:tab/>
        </w:r>
        <w:r w:rsidR="00372507">
          <w:rPr>
            <w:webHidden/>
          </w:rPr>
          <w:fldChar w:fldCharType="begin"/>
        </w:r>
        <w:r w:rsidR="00372507">
          <w:rPr>
            <w:webHidden/>
          </w:rPr>
          <w:instrText xml:space="preserve"> PAGEREF _Toc206275489 \h </w:instrText>
        </w:r>
        <w:r w:rsidR="00372507">
          <w:rPr>
            <w:webHidden/>
          </w:rPr>
        </w:r>
        <w:r w:rsidR="00372507">
          <w:rPr>
            <w:webHidden/>
          </w:rPr>
          <w:fldChar w:fldCharType="separate"/>
        </w:r>
        <w:r>
          <w:rPr>
            <w:webHidden/>
          </w:rPr>
          <w:t>199</w:t>
        </w:r>
        <w:r w:rsidR="00372507">
          <w:rPr>
            <w:webHidden/>
          </w:rPr>
          <w:fldChar w:fldCharType="end"/>
        </w:r>
      </w:hyperlink>
    </w:p>
    <w:p w14:paraId="12F754A4" w14:textId="267ADF9F" w:rsidR="00372507" w:rsidRDefault="000B3523">
      <w:pPr>
        <w:pStyle w:val="Spistreci1"/>
        <w:rPr>
          <w:rFonts w:eastAsiaTheme="minorEastAsia" w:cstheme="minorBidi"/>
          <w:b w:val="0"/>
          <w:bCs w:val="0"/>
          <w:kern w:val="2"/>
          <w:sz w:val="24"/>
          <w:szCs w:val="24"/>
          <w14:ligatures w14:val="standardContextual"/>
        </w:rPr>
      </w:pPr>
      <w:hyperlink w:anchor="_Toc206275490" w:history="1">
        <w:r w:rsidR="00372507" w:rsidRPr="000D0E85">
          <w:rPr>
            <w:rStyle w:val="Hipercze"/>
          </w:rPr>
          <w:t>D-05.03.23 NAWIERZCHNIA Z KOSTKI BRUKOWEJ BETONOWEJ</w:t>
        </w:r>
        <w:r w:rsidR="00372507">
          <w:rPr>
            <w:webHidden/>
          </w:rPr>
          <w:tab/>
        </w:r>
        <w:r w:rsidR="00372507">
          <w:rPr>
            <w:webHidden/>
          </w:rPr>
          <w:fldChar w:fldCharType="begin"/>
        </w:r>
        <w:r w:rsidR="00372507">
          <w:rPr>
            <w:webHidden/>
          </w:rPr>
          <w:instrText xml:space="preserve"> PAGEREF _Toc206275490 \h </w:instrText>
        </w:r>
        <w:r w:rsidR="00372507">
          <w:rPr>
            <w:webHidden/>
          </w:rPr>
        </w:r>
        <w:r w:rsidR="00372507">
          <w:rPr>
            <w:webHidden/>
          </w:rPr>
          <w:fldChar w:fldCharType="separate"/>
        </w:r>
        <w:r>
          <w:rPr>
            <w:webHidden/>
          </w:rPr>
          <w:t>213</w:t>
        </w:r>
        <w:r w:rsidR="00372507">
          <w:rPr>
            <w:webHidden/>
          </w:rPr>
          <w:fldChar w:fldCharType="end"/>
        </w:r>
      </w:hyperlink>
    </w:p>
    <w:p w14:paraId="3576C150" w14:textId="3241AF2B" w:rsidR="00372507" w:rsidRDefault="000B3523">
      <w:pPr>
        <w:pStyle w:val="Spistreci1"/>
        <w:rPr>
          <w:rFonts w:eastAsiaTheme="minorEastAsia" w:cstheme="minorBidi"/>
          <w:b w:val="0"/>
          <w:bCs w:val="0"/>
          <w:kern w:val="2"/>
          <w:sz w:val="24"/>
          <w:szCs w:val="24"/>
          <w14:ligatures w14:val="standardContextual"/>
        </w:rPr>
      </w:pPr>
      <w:hyperlink w:anchor="_Toc206275491" w:history="1">
        <w:r w:rsidR="00372507" w:rsidRPr="000D0E85">
          <w:rPr>
            <w:rStyle w:val="Hipercze"/>
          </w:rPr>
          <w:t>D.06.01.01 UMOCNIENIE  POWIERZCHNIOWE  SKARP,  ROWÓW  I  ŚCIEKÓW</w:t>
        </w:r>
        <w:r w:rsidR="00372507">
          <w:rPr>
            <w:webHidden/>
          </w:rPr>
          <w:tab/>
        </w:r>
        <w:r w:rsidR="00372507">
          <w:rPr>
            <w:webHidden/>
          </w:rPr>
          <w:fldChar w:fldCharType="begin"/>
        </w:r>
        <w:r w:rsidR="00372507">
          <w:rPr>
            <w:webHidden/>
          </w:rPr>
          <w:instrText xml:space="preserve"> PAGEREF _Toc206275491 \h </w:instrText>
        </w:r>
        <w:r w:rsidR="00372507">
          <w:rPr>
            <w:webHidden/>
          </w:rPr>
        </w:r>
        <w:r w:rsidR="00372507">
          <w:rPr>
            <w:webHidden/>
          </w:rPr>
          <w:fldChar w:fldCharType="separate"/>
        </w:r>
        <w:r>
          <w:rPr>
            <w:webHidden/>
          </w:rPr>
          <w:t>218</w:t>
        </w:r>
        <w:r w:rsidR="00372507">
          <w:rPr>
            <w:webHidden/>
          </w:rPr>
          <w:fldChar w:fldCharType="end"/>
        </w:r>
      </w:hyperlink>
    </w:p>
    <w:p w14:paraId="27E2FA92" w14:textId="51D49460" w:rsidR="00372507" w:rsidRDefault="000B3523">
      <w:pPr>
        <w:pStyle w:val="Spistreci1"/>
        <w:rPr>
          <w:rFonts w:eastAsiaTheme="minorEastAsia" w:cstheme="minorBidi"/>
          <w:b w:val="0"/>
          <w:bCs w:val="0"/>
          <w:kern w:val="2"/>
          <w:sz w:val="24"/>
          <w:szCs w:val="24"/>
          <w14:ligatures w14:val="standardContextual"/>
        </w:rPr>
      </w:pPr>
      <w:hyperlink w:anchor="_Toc206275492" w:history="1">
        <w:r w:rsidR="00372507" w:rsidRPr="000D0E85">
          <w:rPr>
            <w:rStyle w:val="Hipercze"/>
          </w:rPr>
          <w:t>D-07.01.01 OZNAKOWANIE POZIOME</w:t>
        </w:r>
        <w:r w:rsidR="00372507">
          <w:rPr>
            <w:webHidden/>
          </w:rPr>
          <w:tab/>
        </w:r>
        <w:r w:rsidR="00372507">
          <w:rPr>
            <w:webHidden/>
          </w:rPr>
          <w:fldChar w:fldCharType="begin"/>
        </w:r>
        <w:r w:rsidR="00372507">
          <w:rPr>
            <w:webHidden/>
          </w:rPr>
          <w:instrText xml:space="preserve"> PAGEREF _Toc206275492 \h </w:instrText>
        </w:r>
        <w:r w:rsidR="00372507">
          <w:rPr>
            <w:webHidden/>
          </w:rPr>
        </w:r>
        <w:r w:rsidR="00372507">
          <w:rPr>
            <w:webHidden/>
          </w:rPr>
          <w:fldChar w:fldCharType="separate"/>
        </w:r>
        <w:r>
          <w:rPr>
            <w:webHidden/>
          </w:rPr>
          <w:t>225</w:t>
        </w:r>
        <w:r w:rsidR="00372507">
          <w:rPr>
            <w:webHidden/>
          </w:rPr>
          <w:fldChar w:fldCharType="end"/>
        </w:r>
      </w:hyperlink>
    </w:p>
    <w:p w14:paraId="49B38B14" w14:textId="1EE73E36" w:rsidR="00372507" w:rsidRDefault="000B3523">
      <w:pPr>
        <w:pStyle w:val="Spistreci1"/>
        <w:rPr>
          <w:rFonts w:eastAsiaTheme="minorEastAsia" w:cstheme="minorBidi"/>
          <w:b w:val="0"/>
          <w:bCs w:val="0"/>
          <w:kern w:val="2"/>
          <w:sz w:val="24"/>
          <w:szCs w:val="24"/>
          <w14:ligatures w14:val="standardContextual"/>
        </w:rPr>
      </w:pPr>
      <w:hyperlink w:anchor="_Toc206275493" w:history="1">
        <w:r w:rsidR="00372507" w:rsidRPr="000D0E85">
          <w:rPr>
            <w:rStyle w:val="Hipercze"/>
          </w:rPr>
          <w:t>D-07.02.01 OZNAKOWANIE PIONOWE</w:t>
        </w:r>
        <w:r w:rsidR="00372507">
          <w:rPr>
            <w:webHidden/>
          </w:rPr>
          <w:tab/>
        </w:r>
        <w:r w:rsidR="00372507">
          <w:rPr>
            <w:webHidden/>
          </w:rPr>
          <w:fldChar w:fldCharType="begin"/>
        </w:r>
        <w:r w:rsidR="00372507">
          <w:rPr>
            <w:webHidden/>
          </w:rPr>
          <w:instrText xml:space="preserve"> PAGEREF _Toc206275493 \h </w:instrText>
        </w:r>
        <w:r w:rsidR="00372507">
          <w:rPr>
            <w:webHidden/>
          </w:rPr>
        </w:r>
        <w:r w:rsidR="00372507">
          <w:rPr>
            <w:webHidden/>
          </w:rPr>
          <w:fldChar w:fldCharType="separate"/>
        </w:r>
        <w:r>
          <w:rPr>
            <w:webHidden/>
          </w:rPr>
          <w:t>233</w:t>
        </w:r>
        <w:r w:rsidR="00372507">
          <w:rPr>
            <w:webHidden/>
          </w:rPr>
          <w:fldChar w:fldCharType="end"/>
        </w:r>
      </w:hyperlink>
    </w:p>
    <w:p w14:paraId="07EB6885" w14:textId="48B39942" w:rsidR="00372507" w:rsidRDefault="000B3523">
      <w:pPr>
        <w:pStyle w:val="Spistreci1"/>
        <w:rPr>
          <w:rFonts w:eastAsiaTheme="minorEastAsia" w:cstheme="minorBidi"/>
          <w:b w:val="0"/>
          <w:bCs w:val="0"/>
          <w:kern w:val="2"/>
          <w:sz w:val="24"/>
          <w:szCs w:val="24"/>
          <w14:ligatures w14:val="standardContextual"/>
        </w:rPr>
      </w:pPr>
      <w:hyperlink w:anchor="_Toc206275494" w:history="1">
        <w:r w:rsidR="00372507" w:rsidRPr="000D0E85">
          <w:rPr>
            <w:rStyle w:val="Hipercze"/>
          </w:rPr>
          <w:t>D.07.05.01 BARIERY OCHRONNE STALOWE</w:t>
        </w:r>
        <w:r w:rsidR="00372507">
          <w:rPr>
            <w:webHidden/>
          </w:rPr>
          <w:tab/>
        </w:r>
        <w:r w:rsidR="00372507">
          <w:rPr>
            <w:webHidden/>
          </w:rPr>
          <w:fldChar w:fldCharType="begin"/>
        </w:r>
        <w:r w:rsidR="00372507">
          <w:rPr>
            <w:webHidden/>
          </w:rPr>
          <w:instrText xml:space="preserve"> PAGEREF _Toc206275494 \h </w:instrText>
        </w:r>
        <w:r w:rsidR="00372507">
          <w:rPr>
            <w:webHidden/>
          </w:rPr>
        </w:r>
        <w:r w:rsidR="00372507">
          <w:rPr>
            <w:webHidden/>
          </w:rPr>
          <w:fldChar w:fldCharType="separate"/>
        </w:r>
        <w:r>
          <w:rPr>
            <w:webHidden/>
          </w:rPr>
          <w:t>242</w:t>
        </w:r>
        <w:r w:rsidR="00372507">
          <w:rPr>
            <w:webHidden/>
          </w:rPr>
          <w:fldChar w:fldCharType="end"/>
        </w:r>
      </w:hyperlink>
    </w:p>
    <w:p w14:paraId="6D155928" w14:textId="26389051" w:rsidR="00372507" w:rsidRDefault="000B3523">
      <w:pPr>
        <w:pStyle w:val="Spistreci1"/>
        <w:rPr>
          <w:rFonts w:eastAsiaTheme="minorEastAsia" w:cstheme="minorBidi"/>
          <w:b w:val="0"/>
          <w:bCs w:val="0"/>
          <w:kern w:val="2"/>
          <w:sz w:val="24"/>
          <w:szCs w:val="24"/>
          <w14:ligatures w14:val="standardContextual"/>
        </w:rPr>
      </w:pPr>
      <w:hyperlink w:anchor="_Toc206275495" w:history="1">
        <w:r w:rsidR="00372507" w:rsidRPr="000D0E85">
          <w:rPr>
            <w:rStyle w:val="Hipercze"/>
          </w:rPr>
          <w:t>SZCZEGÓŁOWE SPECYFIKACJE TECHNICZNE WYKONANIA I ODBIORU ROBÓT BUDOWLANYCH</w:t>
        </w:r>
        <w:r w:rsidR="00372507">
          <w:rPr>
            <w:webHidden/>
          </w:rPr>
          <w:tab/>
        </w:r>
        <w:r w:rsidR="00372507">
          <w:rPr>
            <w:webHidden/>
          </w:rPr>
          <w:fldChar w:fldCharType="begin"/>
        </w:r>
        <w:r w:rsidR="00372507">
          <w:rPr>
            <w:webHidden/>
          </w:rPr>
          <w:instrText xml:space="preserve"> PAGEREF _Toc206275495 \h </w:instrText>
        </w:r>
        <w:r w:rsidR="00372507">
          <w:rPr>
            <w:webHidden/>
          </w:rPr>
        </w:r>
        <w:r w:rsidR="00372507">
          <w:rPr>
            <w:webHidden/>
          </w:rPr>
          <w:fldChar w:fldCharType="separate"/>
        </w:r>
        <w:r>
          <w:rPr>
            <w:webHidden/>
          </w:rPr>
          <w:t>248</w:t>
        </w:r>
        <w:r w:rsidR="00372507">
          <w:rPr>
            <w:webHidden/>
          </w:rPr>
          <w:fldChar w:fldCharType="end"/>
        </w:r>
      </w:hyperlink>
    </w:p>
    <w:p w14:paraId="670A3F20" w14:textId="59198D6C" w:rsidR="00372507" w:rsidRDefault="000B3523">
      <w:pPr>
        <w:pStyle w:val="Spistreci1"/>
        <w:rPr>
          <w:rFonts w:eastAsiaTheme="minorEastAsia" w:cstheme="minorBidi"/>
          <w:b w:val="0"/>
          <w:bCs w:val="0"/>
          <w:kern w:val="2"/>
          <w:sz w:val="24"/>
          <w:szCs w:val="24"/>
          <w14:ligatures w14:val="standardContextual"/>
        </w:rPr>
      </w:pPr>
      <w:hyperlink w:anchor="_Toc206275496" w:history="1">
        <w:r w:rsidR="00372507" w:rsidRPr="000D0E85">
          <w:rPr>
            <w:rStyle w:val="Hipercze"/>
          </w:rPr>
          <w:t>D-07.06.02 URZĄDZENIA ZABEZPIECZAJĄCE RUCH PIESZYCH</w:t>
        </w:r>
        <w:r w:rsidR="00372507">
          <w:rPr>
            <w:webHidden/>
          </w:rPr>
          <w:tab/>
        </w:r>
        <w:r w:rsidR="00372507">
          <w:rPr>
            <w:webHidden/>
          </w:rPr>
          <w:fldChar w:fldCharType="begin"/>
        </w:r>
        <w:r w:rsidR="00372507">
          <w:rPr>
            <w:webHidden/>
          </w:rPr>
          <w:instrText xml:space="preserve"> PAGEREF _Toc206275496 \h </w:instrText>
        </w:r>
        <w:r w:rsidR="00372507">
          <w:rPr>
            <w:webHidden/>
          </w:rPr>
        </w:r>
        <w:r w:rsidR="00372507">
          <w:rPr>
            <w:webHidden/>
          </w:rPr>
          <w:fldChar w:fldCharType="separate"/>
        </w:r>
        <w:r>
          <w:rPr>
            <w:webHidden/>
          </w:rPr>
          <w:t>248</w:t>
        </w:r>
        <w:r w:rsidR="00372507">
          <w:rPr>
            <w:webHidden/>
          </w:rPr>
          <w:fldChar w:fldCharType="end"/>
        </w:r>
      </w:hyperlink>
    </w:p>
    <w:p w14:paraId="0F24A889" w14:textId="4C539F75" w:rsidR="00372507" w:rsidRDefault="000B3523">
      <w:pPr>
        <w:pStyle w:val="Spistreci1"/>
        <w:rPr>
          <w:rFonts w:eastAsiaTheme="minorEastAsia" w:cstheme="minorBidi"/>
          <w:b w:val="0"/>
          <w:bCs w:val="0"/>
          <w:kern w:val="2"/>
          <w:sz w:val="24"/>
          <w:szCs w:val="24"/>
          <w14:ligatures w14:val="standardContextual"/>
        </w:rPr>
      </w:pPr>
      <w:hyperlink w:anchor="_Toc206275497" w:history="1">
        <w:r w:rsidR="00372507" w:rsidRPr="000D0E85">
          <w:rPr>
            <w:rStyle w:val="Hipercze"/>
          </w:rPr>
          <w:t>D-07.07.01 OŚWIETLENIE   DRÓG</w:t>
        </w:r>
        <w:r w:rsidR="00372507">
          <w:rPr>
            <w:webHidden/>
          </w:rPr>
          <w:tab/>
        </w:r>
        <w:r w:rsidR="00372507">
          <w:rPr>
            <w:webHidden/>
          </w:rPr>
          <w:fldChar w:fldCharType="begin"/>
        </w:r>
        <w:r w:rsidR="00372507">
          <w:rPr>
            <w:webHidden/>
          </w:rPr>
          <w:instrText xml:space="preserve"> PAGEREF _Toc206275497 \h </w:instrText>
        </w:r>
        <w:r w:rsidR="00372507">
          <w:rPr>
            <w:webHidden/>
          </w:rPr>
        </w:r>
        <w:r w:rsidR="00372507">
          <w:rPr>
            <w:webHidden/>
          </w:rPr>
          <w:fldChar w:fldCharType="separate"/>
        </w:r>
        <w:r>
          <w:rPr>
            <w:webHidden/>
          </w:rPr>
          <w:t>257</w:t>
        </w:r>
        <w:r w:rsidR="00372507">
          <w:rPr>
            <w:webHidden/>
          </w:rPr>
          <w:fldChar w:fldCharType="end"/>
        </w:r>
      </w:hyperlink>
    </w:p>
    <w:p w14:paraId="0C62578E" w14:textId="43A3482A" w:rsidR="00372507" w:rsidRDefault="000B3523">
      <w:pPr>
        <w:pStyle w:val="Spistreci1"/>
        <w:rPr>
          <w:rFonts w:eastAsiaTheme="minorEastAsia" w:cstheme="minorBidi"/>
          <w:b w:val="0"/>
          <w:bCs w:val="0"/>
          <w:kern w:val="2"/>
          <w:sz w:val="24"/>
          <w:szCs w:val="24"/>
          <w14:ligatures w14:val="standardContextual"/>
        </w:rPr>
      </w:pPr>
      <w:hyperlink w:anchor="_Toc206275498" w:history="1">
        <w:r w:rsidR="00372507" w:rsidRPr="000D0E85">
          <w:rPr>
            <w:rStyle w:val="Hipercze"/>
          </w:rPr>
          <w:t>D-08.01.01 KRAWĘŻNIKI BETONOWE</w:t>
        </w:r>
        <w:r w:rsidR="00372507">
          <w:rPr>
            <w:webHidden/>
          </w:rPr>
          <w:tab/>
        </w:r>
        <w:r w:rsidR="00372507">
          <w:rPr>
            <w:webHidden/>
          </w:rPr>
          <w:fldChar w:fldCharType="begin"/>
        </w:r>
        <w:r w:rsidR="00372507">
          <w:rPr>
            <w:webHidden/>
          </w:rPr>
          <w:instrText xml:space="preserve"> PAGEREF _Toc206275498 \h </w:instrText>
        </w:r>
        <w:r w:rsidR="00372507">
          <w:rPr>
            <w:webHidden/>
          </w:rPr>
        </w:r>
        <w:r w:rsidR="00372507">
          <w:rPr>
            <w:webHidden/>
          </w:rPr>
          <w:fldChar w:fldCharType="separate"/>
        </w:r>
        <w:r>
          <w:rPr>
            <w:webHidden/>
          </w:rPr>
          <w:t>265</w:t>
        </w:r>
        <w:r w:rsidR="00372507">
          <w:rPr>
            <w:webHidden/>
          </w:rPr>
          <w:fldChar w:fldCharType="end"/>
        </w:r>
      </w:hyperlink>
    </w:p>
    <w:p w14:paraId="33C59683" w14:textId="298516BF" w:rsidR="00372507" w:rsidRDefault="000B3523">
      <w:pPr>
        <w:pStyle w:val="Spistreci1"/>
        <w:rPr>
          <w:rFonts w:eastAsiaTheme="minorEastAsia" w:cstheme="minorBidi"/>
          <w:b w:val="0"/>
          <w:bCs w:val="0"/>
          <w:kern w:val="2"/>
          <w:sz w:val="24"/>
          <w:szCs w:val="24"/>
          <w14:ligatures w14:val="standardContextual"/>
        </w:rPr>
      </w:pPr>
      <w:hyperlink w:anchor="_Toc206275499" w:history="1">
        <w:r w:rsidR="00372507" w:rsidRPr="000D0E85">
          <w:rPr>
            <w:rStyle w:val="Hipercze"/>
          </w:rPr>
          <w:t>D-08.01.02 KRAWĘŻNIKI KAMIENNE</w:t>
        </w:r>
        <w:r w:rsidR="00372507">
          <w:rPr>
            <w:webHidden/>
          </w:rPr>
          <w:tab/>
        </w:r>
        <w:r w:rsidR="00372507">
          <w:rPr>
            <w:webHidden/>
          </w:rPr>
          <w:fldChar w:fldCharType="begin"/>
        </w:r>
        <w:r w:rsidR="00372507">
          <w:rPr>
            <w:webHidden/>
          </w:rPr>
          <w:instrText xml:space="preserve"> PAGEREF _Toc206275499 \h </w:instrText>
        </w:r>
        <w:r w:rsidR="00372507">
          <w:rPr>
            <w:webHidden/>
          </w:rPr>
        </w:r>
        <w:r w:rsidR="00372507">
          <w:rPr>
            <w:webHidden/>
          </w:rPr>
          <w:fldChar w:fldCharType="separate"/>
        </w:r>
        <w:r>
          <w:rPr>
            <w:webHidden/>
          </w:rPr>
          <w:t>270</w:t>
        </w:r>
        <w:r w:rsidR="00372507">
          <w:rPr>
            <w:webHidden/>
          </w:rPr>
          <w:fldChar w:fldCharType="end"/>
        </w:r>
      </w:hyperlink>
    </w:p>
    <w:p w14:paraId="3E2BF4B5" w14:textId="613B52E5" w:rsidR="00372507" w:rsidRDefault="000B3523">
      <w:pPr>
        <w:pStyle w:val="Spistreci1"/>
        <w:rPr>
          <w:rFonts w:eastAsiaTheme="minorEastAsia" w:cstheme="minorBidi"/>
          <w:b w:val="0"/>
          <w:bCs w:val="0"/>
          <w:kern w:val="2"/>
          <w:sz w:val="24"/>
          <w:szCs w:val="24"/>
          <w14:ligatures w14:val="standardContextual"/>
        </w:rPr>
      </w:pPr>
      <w:hyperlink w:anchor="_Toc206275500" w:history="1">
        <w:r w:rsidR="00372507" w:rsidRPr="000D0E85">
          <w:rPr>
            <w:rStyle w:val="Hipercze"/>
          </w:rPr>
          <w:t>D-08.03.01. OBRZEŻA BETONOWE</w:t>
        </w:r>
        <w:r w:rsidR="00372507">
          <w:rPr>
            <w:webHidden/>
          </w:rPr>
          <w:tab/>
        </w:r>
        <w:r w:rsidR="00372507">
          <w:rPr>
            <w:webHidden/>
          </w:rPr>
          <w:fldChar w:fldCharType="begin"/>
        </w:r>
        <w:r w:rsidR="00372507">
          <w:rPr>
            <w:webHidden/>
          </w:rPr>
          <w:instrText xml:space="preserve"> PAGEREF _Toc206275500 \h </w:instrText>
        </w:r>
        <w:r w:rsidR="00372507">
          <w:rPr>
            <w:webHidden/>
          </w:rPr>
        </w:r>
        <w:r w:rsidR="00372507">
          <w:rPr>
            <w:webHidden/>
          </w:rPr>
          <w:fldChar w:fldCharType="separate"/>
        </w:r>
        <w:r>
          <w:rPr>
            <w:webHidden/>
          </w:rPr>
          <w:t>275</w:t>
        </w:r>
        <w:r w:rsidR="00372507">
          <w:rPr>
            <w:webHidden/>
          </w:rPr>
          <w:fldChar w:fldCharType="end"/>
        </w:r>
      </w:hyperlink>
    </w:p>
    <w:p w14:paraId="3757AAC8" w14:textId="4D7EFC44" w:rsidR="00372507" w:rsidRDefault="000B3523">
      <w:pPr>
        <w:pStyle w:val="Spistreci1"/>
        <w:rPr>
          <w:rFonts w:eastAsiaTheme="minorEastAsia" w:cstheme="minorBidi"/>
          <w:b w:val="0"/>
          <w:bCs w:val="0"/>
          <w:kern w:val="2"/>
          <w:sz w:val="24"/>
          <w:szCs w:val="24"/>
          <w14:ligatures w14:val="standardContextual"/>
        </w:rPr>
      </w:pPr>
      <w:hyperlink w:anchor="_Toc206275501" w:history="1">
        <w:r w:rsidR="00372507" w:rsidRPr="000D0E85">
          <w:rPr>
            <w:rStyle w:val="Hipercze"/>
          </w:rPr>
          <w:t>D-09.01.01 ZIELEŃ</w:t>
        </w:r>
        <w:r w:rsidR="00372507">
          <w:rPr>
            <w:webHidden/>
          </w:rPr>
          <w:tab/>
        </w:r>
        <w:r w:rsidR="00372507">
          <w:rPr>
            <w:webHidden/>
          </w:rPr>
          <w:fldChar w:fldCharType="begin"/>
        </w:r>
        <w:r w:rsidR="00372507">
          <w:rPr>
            <w:webHidden/>
          </w:rPr>
          <w:instrText xml:space="preserve"> PAGEREF _Toc206275501 \h </w:instrText>
        </w:r>
        <w:r w:rsidR="00372507">
          <w:rPr>
            <w:webHidden/>
          </w:rPr>
        </w:r>
        <w:r w:rsidR="00372507">
          <w:rPr>
            <w:webHidden/>
          </w:rPr>
          <w:fldChar w:fldCharType="separate"/>
        </w:r>
        <w:r>
          <w:rPr>
            <w:webHidden/>
          </w:rPr>
          <w:t>279</w:t>
        </w:r>
        <w:r w:rsidR="00372507">
          <w:rPr>
            <w:webHidden/>
          </w:rPr>
          <w:fldChar w:fldCharType="end"/>
        </w:r>
      </w:hyperlink>
    </w:p>
    <w:p w14:paraId="357B06F0" w14:textId="393F8B21" w:rsidR="00F8732A" w:rsidRDefault="00794C29" w:rsidP="00C86F6B">
      <w:pPr>
        <w:pStyle w:val="Nagwek1"/>
        <w:spacing w:before="0"/>
        <w:jc w:val="both"/>
        <w:rPr>
          <w:rFonts w:asciiTheme="minorHAnsi" w:hAnsiTheme="minorHAnsi"/>
          <w:caps w:val="0"/>
          <w:sz w:val="20"/>
          <w:szCs w:val="20"/>
        </w:rPr>
      </w:pPr>
      <w:r w:rsidRPr="00A23FB4">
        <w:rPr>
          <w:rFonts w:asciiTheme="minorHAnsi" w:hAnsiTheme="minorHAnsi"/>
          <w:caps w:val="0"/>
          <w:sz w:val="20"/>
          <w:szCs w:val="20"/>
        </w:rPr>
        <w:lastRenderedPageBreak/>
        <w:fldChar w:fldCharType="end"/>
      </w:r>
    </w:p>
    <w:p w14:paraId="6B2A5E19" w14:textId="77777777" w:rsidR="00E30D66" w:rsidRDefault="00E30D66" w:rsidP="00E30D66"/>
    <w:p w14:paraId="78062C4C" w14:textId="77777777" w:rsidR="00E30D66" w:rsidRDefault="00E30D66" w:rsidP="00E30D66"/>
    <w:p w14:paraId="318A1AD3" w14:textId="77777777" w:rsidR="00E30D66" w:rsidRPr="00E30D66" w:rsidRDefault="00E30D66" w:rsidP="00E30D66"/>
    <w:p w14:paraId="00771E74" w14:textId="4C38334D" w:rsidR="00B21C75" w:rsidRPr="00A23FB4" w:rsidRDefault="00B21C75">
      <w:pPr>
        <w:overflowPunct/>
        <w:autoSpaceDE/>
        <w:autoSpaceDN/>
        <w:adjustRightInd/>
        <w:jc w:val="left"/>
        <w:textAlignment w:val="auto"/>
        <w:rPr>
          <w:rFonts w:ascii="Calibri" w:hAnsi="Calibri" w:cs="Calibri"/>
          <w:b/>
          <w:sz w:val="22"/>
          <w:szCs w:val="22"/>
        </w:rPr>
      </w:pPr>
    </w:p>
    <w:p w14:paraId="74D804D4" w14:textId="6B228586" w:rsidR="00656AC1" w:rsidRPr="00A23FB4" w:rsidRDefault="0013384A" w:rsidP="007E255D">
      <w:pPr>
        <w:spacing w:line="360" w:lineRule="auto"/>
        <w:jc w:val="center"/>
        <w:rPr>
          <w:rFonts w:ascii="Calibri" w:hAnsi="Calibri" w:cs="Calibri"/>
          <w:b/>
          <w:sz w:val="22"/>
          <w:szCs w:val="22"/>
        </w:rPr>
      </w:pPr>
      <w:r>
        <w:rPr>
          <w:rFonts w:ascii="Calibri" w:hAnsi="Calibri" w:cs="Calibri"/>
          <w:b/>
          <w:sz w:val="22"/>
          <w:szCs w:val="22"/>
        </w:rPr>
        <w:t>SZCZEGÓŁOWE SPECYFIKACJE TECHNICZNE</w:t>
      </w:r>
      <w:r w:rsidR="00E22F37" w:rsidRPr="00A23FB4">
        <w:rPr>
          <w:rFonts w:ascii="Calibri" w:hAnsi="Calibri" w:cs="Calibri"/>
          <w:b/>
          <w:sz w:val="22"/>
          <w:szCs w:val="22"/>
        </w:rPr>
        <w:t xml:space="preserve"> WYKONANIA I ODBIORU ROBÓT BUDOWLANYCH</w:t>
      </w:r>
    </w:p>
    <w:p w14:paraId="1E3E3E2B" w14:textId="77777777" w:rsidR="00656AC1" w:rsidRPr="00A23FB4" w:rsidRDefault="00656AC1" w:rsidP="007E255D">
      <w:pPr>
        <w:pStyle w:val="Nagowek1"/>
        <w:spacing w:before="0"/>
      </w:pPr>
      <w:bookmarkStart w:id="1" w:name="_Toc285044228"/>
      <w:bookmarkStart w:id="2" w:name="_Toc352837476"/>
      <w:bookmarkStart w:id="3" w:name="_Toc460177597"/>
      <w:bookmarkStart w:id="4" w:name="_Toc206275464"/>
      <w:r w:rsidRPr="00A23FB4">
        <w:t>D-M-00.00.00 WYMAGANIA OGÓLNE</w:t>
      </w:r>
      <w:bookmarkEnd w:id="1"/>
      <w:bookmarkEnd w:id="2"/>
      <w:bookmarkEnd w:id="3"/>
      <w:bookmarkEnd w:id="4"/>
    </w:p>
    <w:p w14:paraId="54E3AE18" w14:textId="77777777" w:rsidR="00656AC1" w:rsidRPr="00A23FB4" w:rsidRDefault="00656AC1" w:rsidP="00990137">
      <w:pPr>
        <w:rPr>
          <w:rFonts w:ascii="Calibri" w:hAnsi="Calibri" w:cs="Calibri"/>
          <w:b/>
        </w:rPr>
      </w:pPr>
      <w:bookmarkStart w:id="5" w:name="_Toc404150096"/>
      <w:bookmarkStart w:id="6" w:name="_Toc416830698"/>
      <w:bookmarkStart w:id="7" w:name="_Toc6881279"/>
      <w:bookmarkStart w:id="8" w:name="_Toc6882152"/>
      <w:r w:rsidRPr="00A23FB4">
        <w:rPr>
          <w:rFonts w:ascii="Calibri" w:hAnsi="Calibri" w:cs="Calibri"/>
          <w:b/>
        </w:rPr>
        <w:t>1. WSTĘP</w:t>
      </w:r>
      <w:bookmarkEnd w:id="5"/>
      <w:bookmarkEnd w:id="6"/>
      <w:bookmarkEnd w:id="7"/>
      <w:bookmarkEnd w:id="8"/>
    </w:p>
    <w:p w14:paraId="3D9AAA95" w14:textId="5BA77D31" w:rsidR="00656AC1" w:rsidRPr="00A23FB4" w:rsidRDefault="00656AC1" w:rsidP="00364E4D">
      <w:pPr>
        <w:pStyle w:val="Nagwek4"/>
        <w:rPr>
          <w:rFonts w:ascii="Calibri" w:hAnsi="Calibri" w:cs="Calibri"/>
        </w:rPr>
      </w:pPr>
      <w:r w:rsidRPr="00A23FB4">
        <w:rPr>
          <w:rFonts w:ascii="Calibri" w:hAnsi="Calibri" w:cs="Calibri"/>
        </w:rPr>
        <w:t xml:space="preserve">1.1. Przedmiot </w:t>
      </w:r>
      <w:r w:rsidR="00D6320D">
        <w:rPr>
          <w:rFonts w:ascii="Calibri" w:hAnsi="Calibri" w:cs="Calibri"/>
        </w:rPr>
        <w:t>ST</w:t>
      </w:r>
      <w:r w:rsidR="00E22F37" w:rsidRPr="00A23FB4">
        <w:rPr>
          <w:rFonts w:ascii="Calibri" w:hAnsi="Calibri" w:cs="Calibri"/>
        </w:rPr>
        <w:t>WiORB</w:t>
      </w:r>
    </w:p>
    <w:p w14:paraId="718EE420" w14:textId="67A34985" w:rsidR="00656AC1" w:rsidRPr="00A23FB4" w:rsidRDefault="00656AC1" w:rsidP="00364E4D">
      <w:pPr>
        <w:pStyle w:val="tekstost"/>
        <w:rPr>
          <w:rFonts w:ascii="Calibri" w:hAnsi="Calibri" w:cs="Calibri"/>
        </w:rPr>
      </w:pPr>
      <w:r w:rsidRPr="00A23FB4">
        <w:rPr>
          <w:rFonts w:ascii="Calibri" w:hAnsi="Calibri" w:cs="Calibri"/>
        </w:rPr>
        <w:t xml:space="preserve">Przedmiotem </w:t>
      </w:r>
      <w:r w:rsidR="00E22F37" w:rsidRPr="00A23FB4">
        <w:rPr>
          <w:rFonts w:ascii="Calibri" w:hAnsi="Calibri" w:cs="Calibri"/>
        </w:rPr>
        <w:t xml:space="preserve">niniejszych </w:t>
      </w:r>
      <w:r w:rsidR="0013384A">
        <w:rPr>
          <w:rFonts w:ascii="Calibri" w:hAnsi="Calibri" w:cs="Calibri"/>
        </w:rPr>
        <w:t>specyfikacji</w:t>
      </w:r>
      <w:r w:rsidR="00E22F37" w:rsidRPr="00A23FB4">
        <w:rPr>
          <w:rFonts w:ascii="Calibri" w:hAnsi="Calibri" w:cs="Calibri"/>
        </w:rPr>
        <w:t xml:space="preserve"> </w:t>
      </w:r>
      <w:r w:rsidRPr="00A23FB4">
        <w:rPr>
          <w:rFonts w:ascii="Calibri" w:hAnsi="Calibri" w:cs="Calibri"/>
        </w:rPr>
        <w:t xml:space="preserve">są wymagania ogólne dotyczące wykonania i odbioru robót drogowych, wspólne dla wszystkich dalszych </w:t>
      </w:r>
      <w:r w:rsidR="009A5E24">
        <w:rPr>
          <w:rFonts w:ascii="Calibri" w:hAnsi="Calibri" w:cs="Calibri"/>
        </w:rPr>
        <w:t>szczegółowych specyfikacji technicznych</w:t>
      </w:r>
      <w:r w:rsidRPr="00A23FB4">
        <w:rPr>
          <w:rFonts w:ascii="Calibri" w:hAnsi="Calibri" w:cs="Calibri"/>
        </w:rPr>
        <w:t>.</w:t>
      </w:r>
    </w:p>
    <w:p w14:paraId="11D2A334" w14:textId="37E2BA1F" w:rsidR="00656AC1" w:rsidRPr="00A23FB4" w:rsidRDefault="00656AC1" w:rsidP="00364E4D">
      <w:pPr>
        <w:pStyle w:val="Nagwek4"/>
        <w:rPr>
          <w:rFonts w:ascii="Calibri" w:hAnsi="Calibri" w:cs="Calibri"/>
        </w:rPr>
      </w:pPr>
      <w:r w:rsidRPr="00A23FB4">
        <w:rPr>
          <w:rFonts w:ascii="Calibri" w:hAnsi="Calibri" w:cs="Calibri"/>
        </w:rPr>
        <w:t xml:space="preserve">1.2. Zakres stosowania </w:t>
      </w:r>
      <w:r w:rsidR="00D6320D">
        <w:rPr>
          <w:rFonts w:ascii="Calibri" w:hAnsi="Calibri" w:cs="Calibri"/>
        </w:rPr>
        <w:t>ST</w:t>
      </w:r>
      <w:r w:rsidR="00E22F37" w:rsidRPr="00A23FB4">
        <w:rPr>
          <w:rFonts w:ascii="Calibri" w:hAnsi="Calibri" w:cs="Calibri"/>
        </w:rPr>
        <w:t>WiORB</w:t>
      </w:r>
    </w:p>
    <w:p w14:paraId="63C4B4D0" w14:textId="2CD464BE" w:rsidR="00615B10" w:rsidRDefault="0013384A" w:rsidP="00615B10">
      <w:pPr>
        <w:overflowPunct/>
        <w:spacing w:before="240" w:line="276" w:lineRule="auto"/>
        <w:textAlignment w:val="auto"/>
        <w:rPr>
          <w:rFonts w:ascii="Calibri" w:hAnsi="Calibri" w:cs="Calibri"/>
        </w:rPr>
      </w:pPr>
      <w:r>
        <w:rPr>
          <w:rFonts w:ascii="Calibri" w:hAnsi="Calibri" w:cs="Calibri"/>
        </w:rPr>
        <w:t>Specyfikacje</w:t>
      </w:r>
      <w:r w:rsidR="00E22F37" w:rsidRPr="00A23FB4">
        <w:rPr>
          <w:rFonts w:ascii="Calibri" w:hAnsi="Calibri" w:cs="Calibri"/>
        </w:rPr>
        <w:t xml:space="preserve"> stanowią </w:t>
      </w:r>
      <w:r w:rsidR="00656AC1" w:rsidRPr="00A23FB4">
        <w:rPr>
          <w:rFonts w:ascii="Calibri" w:hAnsi="Calibri" w:cs="Calibri"/>
        </w:rPr>
        <w:t>dokument kontraktowy przy realizacji  zadania</w:t>
      </w:r>
      <w:r w:rsidR="00DB6B0E" w:rsidRPr="00A23FB4">
        <w:rPr>
          <w:rFonts w:asciiTheme="minorHAnsi" w:hAnsiTheme="minorHAnsi" w:cstheme="minorHAnsi"/>
          <w:bCs/>
        </w:rPr>
        <w:t xml:space="preserve"> </w:t>
      </w:r>
      <w:bookmarkStart w:id="9" w:name="_Hlk139619048"/>
      <w:r w:rsidR="00D6320D">
        <w:rPr>
          <w:rFonts w:asciiTheme="minorHAnsi" w:hAnsiTheme="minorHAnsi" w:cstheme="minorHAnsi"/>
          <w:bCs/>
        </w:rPr>
        <w:t>„</w:t>
      </w:r>
      <w:r w:rsidR="00D6320D" w:rsidRPr="00D6320D">
        <w:rPr>
          <w:rFonts w:asciiTheme="minorHAnsi" w:hAnsiTheme="minorHAnsi" w:cstheme="minorHAnsi"/>
          <w:bCs/>
        </w:rPr>
        <w:t xml:space="preserve">Rozbudowa ul. Wrocławskiej w ciągu drogi powiatowej w Tyńcu Małym wraz z rozbudową istniejącego skrzyżowania typu rondo na połączeniu dróg krajowych nr 35 i 35a oraz łącznika węzła Kobierzyce drogi S8e oraz infrastrukturą towarzyszącą w ramach zadania „Rozbudowa skrzyżowania typu rondo w ciągu DK35 koło m. Tyniec Mały usprawniająca skomunikowanie obszarów Podstrefy Wrocław – Kobierzyce TSSE EURO PARK WISŁOSAN”. </w:t>
      </w:r>
      <w:bookmarkEnd w:id="9"/>
    </w:p>
    <w:p w14:paraId="19C02B69" w14:textId="77C31EC1" w:rsidR="00656AC1" w:rsidRPr="00A23FB4" w:rsidRDefault="00656AC1" w:rsidP="00615B10">
      <w:pPr>
        <w:pStyle w:val="Nagwek4"/>
        <w:rPr>
          <w:rFonts w:ascii="Calibri" w:hAnsi="Calibri" w:cs="Calibri"/>
        </w:rPr>
      </w:pPr>
      <w:r w:rsidRPr="00A23FB4">
        <w:rPr>
          <w:rFonts w:ascii="Calibri" w:hAnsi="Calibri" w:cs="Calibri"/>
        </w:rPr>
        <w:t xml:space="preserve">1.3. Zakres robót objętych </w:t>
      </w:r>
      <w:r w:rsidR="00D6320D">
        <w:rPr>
          <w:rFonts w:ascii="Calibri" w:hAnsi="Calibri" w:cs="Calibri"/>
        </w:rPr>
        <w:t>ST</w:t>
      </w:r>
      <w:r w:rsidR="00E22F37" w:rsidRPr="00A23FB4">
        <w:rPr>
          <w:rFonts w:ascii="Calibri" w:hAnsi="Calibri" w:cs="Calibri"/>
        </w:rPr>
        <w:t>WiORB</w:t>
      </w:r>
    </w:p>
    <w:p w14:paraId="7C4E13DD" w14:textId="59C6C6F7" w:rsidR="00656AC1" w:rsidRPr="00A23FB4" w:rsidRDefault="00656AC1" w:rsidP="00364E4D">
      <w:pPr>
        <w:rPr>
          <w:rFonts w:ascii="Calibri" w:hAnsi="Calibri" w:cs="Calibri"/>
        </w:rPr>
      </w:pPr>
      <w:r w:rsidRPr="00A23FB4">
        <w:rPr>
          <w:rFonts w:ascii="Calibri" w:hAnsi="Calibri" w:cs="Calibri"/>
        </w:rPr>
        <w:t xml:space="preserve">Ustalenia zawarte w </w:t>
      </w:r>
      <w:r w:rsidR="00E22F37" w:rsidRPr="00A23FB4">
        <w:rPr>
          <w:rFonts w:ascii="Calibri" w:hAnsi="Calibri" w:cs="Calibri"/>
        </w:rPr>
        <w:t xml:space="preserve">niniejszych </w:t>
      </w:r>
      <w:r w:rsidR="0013384A">
        <w:rPr>
          <w:rFonts w:ascii="Calibri" w:hAnsi="Calibri" w:cs="Calibri"/>
        </w:rPr>
        <w:t>specyfikacji</w:t>
      </w:r>
      <w:r w:rsidR="00E22F37" w:rsidRPr="00A23FB4">
        <w:rPr>
          <w:rFonts w:ascii="Calibri" w:hAnsi="Calibri" w:cs="Calibri"/>
        </w:rPr>
        <w:t xml:space="preserve"> </w:t>
      </w:r>
      <w:r w:rsidRPr="00A23FB4">
        <w:rPr>
          <w:rFonts w:ascii="Calibri" w:hAnsi="Calibri" w:cs="Calibri"/>
        </w:rPr>
        <w:t xml:space="preserve">obejmują wymagania ogólne, wspólne dla robót objętych </w:t>
      </w:r>
      <w:r w:rsidR="00A46FA8" w:rsidRPr="00A23FB4">
        <w:rPr>
          <w:rFonts w:ascii="Calibri" w:hAnsi="Calibri" w:cs="Calibri"/>
        </w:rPr>
        <w:t>warunkami</w:t>
      </w:r>
      <w:r w:rsidRPr="00A23FB4">
        <w:rPr>
          <w:rFonts w:ascii="Calibri" w:hAnsi="Calibri" w:cs="Calibri"/>
        </w:rPr>
        <w:t xml:space="preserve"> technicznymi, zawartymi w dalszej części opracowania.</w:t>
      </w:r>
    </w:p>
    <w:p w14:paraId="5A5CF261" w14:textId="77777777" w:rsidR="00656AC1" w:rsidRPr="00A23FB4" w:rsidRDefault="00656AC1" w:rsidP="00364E4D">
      <w:pPr>
        <w:pStyle w:val="Nagwek4"/>
        <w:rPr>
          <w:rFonts w:ascii="Calibri" w:hAnsi="Calibri" w:cs="Calibri"/>
        </w:rPr>
      </w:pPr>
      <w:r w:rsidRPr="00A23FB4">
        <w:rPr>
          <w:rFonts w:ascii="Calibri" w:hAnsi="Calibri" w:cs="Calibri"/>
        </w:rPr>
        <w:t>1.4. Określenia podstawowe</w:t>
      </w:r>
    </w:p>
    <w:p w14:paraId="3ACB5F10" w14:textId="22CBF9A6" w:rsidR="00656AC1" w:rsidRPr="00A23FB4" w:rsidRDefault="00656AC1" w:rsidP="00364E4D">
      <w:pPr>
        <w:pStyle w:val="tekstost"/>
        <w:rPr>
          <w:rFonts w:ascii="Calibri" w:hAnsi="Calibri" w:cs="Calibri"/>
        </w:rPr>
      </w:pPr>
      <w:r w:rsidRPr="00A23FB4">
        <w:rPr>
          <w:rFonts w:ascii="Calibri" w:hAnsi="Calibri" w:cs="Calibri"/>
        </w:rPr>
        <w:t xml:space="preserve">Użyte w </w:t>
      </w:r>
      <w:r w:rsidR="00D6320D">
        <w:rPr>
          <w:rFonts w:ascii="Calibri" w:hAnsi="Calibri" w:cs="Calibri"/>
        </w:rPr>
        <w:t>ST</w:t>
      </w:r>
      <w:r w:rsidR="00E22F37" w:rsidRPr="00A23FB4">
        <w:rPr>
          <w:rFonts w:ascii="Calibri" w:hAnsi="Calibri" w:cs="Calibri"/>
        </w:rPr>
        <w:t>WiORB</w:t>
      </w:r>
      <w:r w:rsidRPr="00A23FB4">
        <w:rPr>
          <w:rFonts w:ascii="Calibri" w:hAnsi="Calibri" w:cs="Calibri"/>
        </w:rPr>
        <w:t xml:space="preserve"> wymienione poniżej określenia należy rozumieć w każdym przypadku następująco:</w:t>
      </w:r>
    </w:p>
    <w:p w14:paraId="270AAAE7" w14:textId="77777777" w:rsidR="00CB7796" w:rsidRPr="00A23FB4" w:rsidRDefault="00CB7796" w:rsidP="00364E4D">
      <w:pPr>
        <w:pStyle w:val="Nagwek7"/>
        <w:rPr>
          <w:rFonts w:ascii="Calibri" w:hAnsi="Calibri" w:cs="Calibri"/>
          <w:b/>
          <w:bCs/>
          <w:i/>
          <w:iCs/>
        </w:rPr>
      </w:pPr>
    </w:p>
    <w:p w14:paraId="5F4B1B56" w14:textId="77777777" w:rsidR="00656AC1" w:rsidRPr="00A23FB4" w:rsidRDefault="00656AC1" w:rsidP="00364E4D">
      <w:pPr>
        <w:pStyle w:val="Nagwek7"/>
        <w:rPr>
          <w:rFonts w:ascii="Calibri" w:hAnsi="Calibri" w:cs="Calibri"/>
        </w:rPr>
      </w:pPr>
      <w:r w:rsidRPr="00A23FB4">
        <w:rPr>
          <w:rFonts w:ascii="Calibri" w:hAnsi="Calibri" w:cs="Calibri"/>
          <w:b/>
          <w:bCs/>
          <w:i/>
          <w:iCs/>
        </w:rPr>
        <w:t>1.4.1.</w:t>
      </w:r>
      <w:r w:rsidRPr="00A23FB4">
        <w:rPr>
          <w:rFonts w:ascii="Calibri" w:hAnsi="Calibri" w:cs="Calibri"/>
        </w:rPr>
        <w:t xml:space="preserve"> Budowla drogowa - obiekt budowlany, nie będący budynkiem, stanowiący całość techniczno-użytkową (droga) albo jego część stanowiącą odrębny element konstrukcyjny lub technologiczny.</w:t>
      </w:r>
    </w:p>
    <w:p w14:paraId="5F648DA7" w14:textId="77777777" w:rsidR="00CB7796" w:rsidRPr="00A23FB4" w:rsidRDefault="00CB7796" w:rsidP="00364E4D">
      <w:pPr>
        <w:pStyle w:val="Nagwek7"/>
        <w:rPr>
          <w:rFonts w:ascii="Calibri" w:hAnsi="Calibri" w:cs="Calibri"/>
          <w:b/>
          <w:bCs/>
          <w:i/>
          <w:iCs/>
        </w:rPr>
      </w:pPr>
    </w:p>
    <w:p w14:paraId="2F9B3096" w14:textId="77777777" w:rsidR="00656AC1" w:rsidRPr="00A23FB4" w:rsidRDefault="00656AC1" w:rsidP="00364E4D">
      <w:pPr>
        <w:pStyle w:val="Nagwek7"/>
        <w:rPr>
          <w:rFonts w:ascii="Calibri" w:hAnsi="Calibri" w:cs="Calibri"/>
        </w:rPr>
      </w:pPr>
      <w:r w:rsidRPr="00A23FB4">
        <w:rPr>
          <w:rFonts w:ascii="Calibri" w:hAnsi="Calibri" w:cs="Calibri"/>
          <w:b/>
          <w:bCs/>
          <w:i/>
          <w:iCs/>
        </w:rPr>
        <w:t>1.4.2.</w:t>
      </w:r>
      <w:r w:rsidRPr="00A23FB4">
        <w:rPr>
          <w:rFonts w:ascii="Calibri" w:hAnsi="Calibri" w:cs="Calibri"/>
        </w:rPr>
        <w:t xml:space="preserve"> Chodnik - wyznaczony pas terenu przy jezdni lub odsunięty od jezdni, przeznaczony do ruchu pieszych.</w:t>
      </w:r>
    </w:p>
    <w:p w14:paraId="6FA3BA10" w14:textId="77777777" w:rsidR="00CB7796" w:rsidRPr="00A23FB4" w:rsidRDefault="00CB7796" w:rsidP="00364E4D">
      <w:pPr>
        <w:pStyle w:val="Nagwek7"/>
        <w:rPr>
          <w:rFonts w:ascii="Calibri" w:hAnsi="Calibri" w:cs="Calibri"/>
          <w:b/>
          <w:bCs/>
          <w:i/>
          <w:iCs/>
        </w:rPr>
      </w:pPr>
    </w:p>
    <w:p w14:paraId="7725F444" w14:textId="77777777" w:rsidR="00656AC1" w:rsidRPr="00A23FB4" w:rsidRDefault="00656AC1" w:rsidP="00364E4D">
      <w:pPr>
        <w:pStyle w:val="Nagwek7"/>
        <w:rPr>
          <w:rFonts w:ascii="Calibri" w:hAnsi="Calibri" w:cs="Calibri"/>
        </w:rPr>
      </w:pPr>
      <w:r w:rsidRPr="00A23FB4">
        <w:rPr>
          <w:rFonts w:ascii="Calibri" w:hAnsi="Calibri" w:cs="Calibri"/>
          <w:b/>
          <w:bCs/>
          <w:i/>
          <w:iCs/>
        </w:rPr>
        <w:t>1.4.3.</w:t>
      </w:r>
      <w:r w:rsidRPr="00A23FB4">
        <w:rPr>
          <w:rFonts w:ascii="Calibri" w:hAnsi="Calibri" w:cs="Calibri"/>
        </w:rPr>
        <w:t xml:space="preserve"> Droga - wydzielony pas terenu przeznaczony do ruchu lub postoju pojazdów oraz ruchu pieszych wraz z wszelkimi urządzeniami technicznymi związanymi z prowadzeniem i zabezpieczeniem ruchu.</w:t>
      </w:r>
    </w:p>
    <w:p w14:paraId="0618C9AC" w14:textId="77777777" w:rsidR="00CB7796" w:rsidRPr="00A23FB4" w:rsidRDefault="00CB7796" w:rsidP="00364E4D">
      <w:pPr>
        <w:pStyle w:val="Nagwek7"/>
        <w:rPr>
          <w:rFonts w:ascii="Calibri" w:hAnsi="Calibri" w:cs="Calibri"/>
          <w:b/>
          <w:bCs/>
          <w:i/>
          <w:iCs/>
        </w:rPr>
      </w:pPr>
    </w:p>
    <w:p w14:paraId="7FFD6D6C" w14:textId="77777777" w:rsidR="00656AC1" w:rsidRPr="00A23FB4" w:rsidRDefault="00656AC1" w:rsidP="00364E4D">
      <w:pPr>
        <w:pStyle w:val="Nagwek7"/>
        <w:rPr>
          <w:rFonts w:ascii="Calibri" w:hAnsi="Calibri" w:cs="Calibri"/>
        </w:rPr>
      </w:pPr>
      <w:r w:rsidRPr="00A23FB4">
        <w:rPr>
          <w:rFonts w:ascii="Calibri" w:hAnsi="Calibri" w:cs="Calibri"/>
          <w:b/>
          <w:bCs/>
          <w:i/>
          <w:iCs/>
        </w:rPr>
        <w:t>1.4.4.</w:t>
      </w:r>
      <w:r w:rsidRPr="00A23FB4">
        <w:rPr>
          <w:rFonts w:ascii="Calibri" w:hAnsi="Calibri" w:cs="Calibri"/>
        </w:rPr>
        <w:t xml:space="preserve"> Droga tymczasowa (montażowa) - droga specjalnie przygotowana, przeznaczona do ruchu pojazdów obsługujących zadanie budowlane na czas jego wykonania, przewidziana do usunięcia po jego zakończeniu.</w:t>
      </w:r>
    </w:p>
    <w:p w14:paraId="385BD34D" w14:textId="77777777" w:rsidR="00CB7796" w:rsidRPr="00A23FB4" w:rsidRDefault="00CB7796" w:rsidP="00364E4D">
      <w:pPr>
        <w:pStyle w:val="Nagwek7"/>
        <w:rPr>
          <w:rFonts w:ascii="Calibri" w:hAnsi="Calibri" w:cs="Calibri"/>
          <w:b/>
          <w:bCs/>
          <w:i/>
          <w:iCs/>
        </w:rPr>
      </w:pPr>
    </w:p>
    <w:p w14:paraId="35C60F9C" w14:textId="77777777" w:rsidR="00656AC1" w:rsidRPr="00A23FB4" w:rsidRDefault="00656AC1" w:rsidP="00364E4D">
      <w:pPr>
        <w:pStyle w:val="Nagwek7"/>
        <w:rPr>
          <w:rFonts w:ascii="Calibri" w:hAnsi="Calibri" w:cs="Calibri"/>
        </w:rPr>
      </w:pPr>
      <w:r w:rsidRPr="00A23FB4">
        <w:rPr>
          <w:rFonts w:ascii="Calibri" w:hAnsi="Calibri" w:cs="Calibri"/>
          <w:b/>
          <w:bCs/>
          <w:i/>
          <w:iCs/>
        </w:rPr>
        <w:t>1.4.5.</w:t>
      </w:r>
      <w:r w:rsidRPr="00A23FB4">
        <w:rPr>
          <w:rFonts w:ascii="Calibri" w:hAnsi="Calibri" w:cs="Calibri"/>
        </w:rPr>
        <w:t xml:space="preserve"> Dziennik budowy – zeszyt z ponumerowanymi stronami, opatrzony pieczęcią organu wydającego, wydany zgodnie z obowiązującymi przepisami, stanowiący urzędowy dokument przebiegu</w:t>
      </w:r>
      <w:r w:rsidR="00725A0D" w:rsidRPr="00A23FB4">
        <w:rPr>
          <w:rFonts w:ascii="Calibri" w:hAnsi="Calibri" w:cs="Calibri"/>
        </w:rPr>
        <w:t>p</w:t>
      </w:r>
      <w:r w:rsidRPr="00A23FB4">
        <w:rPr>
          <w:rFonts w:ascii="Calibri" w:hAnsi="Calibri" w:cs="Calibri"/>
        </w:rPr>
        <w:t xml:space="preserve"> robót budowlanych, służący do notowania zdarzeń i okoliczności zachodzących w toku wykonywania robót, rejestrowania dokonywanych odbiorów robót, przekazywania poleceń i innej korespondencji technicznej pomiędzy Inżynierem/Kierownikiem projektu, Wykonawcą i projektantem.</w:t>
      </w:r>
    </w:p>
    <w:p w14:paraId="0A5196F6" w14:textId="77777777" w:rsidR="00CB7796" w:rsidRPr="00A23FB4" w:rsidRDefault="00CB7796" w:rsidP="00364E4D">
      <w:pPr>
        <w:pStyle w:val="Nagwek7"/>
        <w:rPr>
          <w:rFonts w:ascii="Calibri" w:hAnsi="Calibri" w:cs="Calibri"/>
          <w:b/>
          <w:bCs/>
          <w:i/>
          <w:iCs/>
        </w:rPr>
      </w:pPr>
    </w:p>
    <w:p w14:paraId="77191330" w14:textId="77777777" w:rsidR="00656AC1" w:rsidRPr="00A23FB4" w:rsidRDefault="00656AC1" w:rsidP="00364E4D">
      <w:pPr>
        <w:pStyle w:val="Nagwek7"/>
        <w:rPr>
          <w:rFonts w:ascii="Calibri" w:hAnsi="Calibri" w:cs="Calibri"/>
        </w:rPr>
      </w:pPr>
      <w:r w:rsidRPr="00A23FB4">
        <w:rPr>
          <w:rFonts w:ascii="Calibri" w:hAnsi="Calibri" w:cs="Calibri"/>
          <w:b/>
          <w:bCs/>
          <w:i/>
          <w:iCs/>
        </w:rPr>
        <w:t>1.4.6.</w:t>
      </w:r>
      <w:r w:rsidRPr="00A23FB4">
        <w:rPr>
          <w:rFonts w:ascii="Calibri" w:hAnsi="Calibri" w:cs="Calibri"/>
        </w:rPr>
        <w:t xml:space="preserve"> Inżynier/Kierownik projektu – osoba wymieniona w danych kontraktowych (wyznaczona przez Zamawiającego, o której wyznaczeniu poinformowany jest Wykonawca), odpowiedzialna za nadzorowanie robót i administrowanie kontraktem.</w:t>
      </w:r>
    </w:p>
    <w:p w14:paraId="1801FEA4" w14:textId="77777777" w:rsidR="00CB7796" w:rsidRPr="00A23FB4" w:rsidRDefault="00CB7796" w:rsidP="00364E4D">
      <w:pPr>
        <w:pStyle w:val="Nagwek7"/>
        <w:rPr>
          <w:rFonts w:ascii="Calibri" w:hAnsi="Calibri" w:cs="Calibri"/>
          <w:b/>
          <w:bCs/>
          <w:i/>
          <w:iCs/>
        </w:rPr>
      </w:pPr>
    </w:p>
    <w:p w14:paraId="1F92AA21" w14:textId="77777777" w:rsidR="00656AC1" w:rsidRPr="00A23FB4" w:rsidRDefault="00656AC1" w:rsidP="00364E4D">
      <w:pPr>
        <w:pStyle w:val="Nagwek7"/>
        <w:rPr>
          <w:rFonts w:ascii="Calibri" w:hAnsi="Calibri" w:cs="Calibri"/>
        </w:rPr>
      </w:pPr>
      <w:r w:rsidRPr="00A23FB4">
        <w:rPr>
          <w:rFonts w:ascii="Calibri" w:hAnsi="Calibri" w:cs="Calibri"/>
          <w:b/>
          <w:bCs/>
          <w:i/>
          <w:iCs/>
        </w:rPr>
        <w:t>1.4.7.</w:t>
      </w:r>
      <w:r w:rsidRPr="00A23FB4">
        <w:rPr>
          <w:rFonts w:ascii="Calibri" w:hAnsi="Calibri" w:cs="Calibri"/>
        </w:rPr>
        <w:t xml:space="preserve"> Jezdnia - część korony drogi przeznaczona do ruchu pojazdów.</w:t>
      </w:r>
    </w:p>
    <w:p w14:paraId="58957194" w14:textId="77777777" w:rsidR="00CB7796" w:rsidRPr="00A23FB4" w:rsidRDefault="00CB7796" w:rsidP="00364E4D">
      <w:pPr>
        <w:pStyle w:val="Nagwek7"/>
        <w:rPr>
          <w:rFonts w:ascii="Calibri" w:hAnsi="Calibri" w:cs="Calibri"/>
          <w:b/>
          <w:bCs/>
          <w:i/>
          <w:iCs/>
        </w:rPr>
      </w:pPr>
    </w:p>
    <w:p w14:paraId="78332071" w14:textId="77777777" w:rsidR="00656AC1" w:rsidRPr="00A23FB4" w:rsidRDefault="00656AC1" w:rsidP="00364E4D">
      <w:pPr>
        <w:pStyle w:val="Nagwek7"/>
        <w:rPr>
          <w:rFonts w:ascii="Calibri" w:hAnsi="Calibri" w:cs="Calibri"/>
        </w:rPr>
      </w:pPr>
      <w:r w:rsidRPr="00A23FB4">
        <w:rPr>
          <w:rFonts w:ascii="Calibri" w:hAnsi="Calibri" w:cs="Calibri"/>
          <w:b/>
          <w:bCs/>
          <w:i/>
          <w:iCs/>
        </w:rPr>
        <w:t>1.4.8.</w:t>
      </w:r>
      <w:r w:rsidRPr="00A23FB4">
        <w:rPr>
          <w:rFonts w:ascii="Calibri" w:hAnsi="Calibri" w:cs="Calibri"/>
        </w:rPr>
        <w:t xml:space="preserve"> Kierownik budowy - osoba wyznaczona przez Wykonawcę, upoważniona do kierowania robotami i do występowania w jego imieniu w sprawach realizacji kontraktu.</w:t>
      </w:r>
    </w:p>
    <w:p w14:paraId="5C707B8C" w14:textId="77777777" w:rsidR="00CB7796" w:rsidRPr="00A23FB4" w:rsidRDefault="00CB7796" w:rsidP="00364E4D">
      <w:pPr>
        <w:pStyle w:val="Nagwek7"/>
        <w:rPr>
          <w:rFonts w:ascii="Calibri" w:hAnsi="Calibri" w:cs="Calibri"/>
          <w:b/>
          <w:bCs/>
          <w:i/>
          <w:iCs/>
        </w:rPr>
      </w:pPr>
    </w:p>
    <w:p w14:paraId="6240844C" w14:textId="77777777" w:rsidR="00656AC1" w:rsidRPr="00A23FB4" w:rsidRDefault="00656AC1" w:rsidP="00364E4D">
      <w:pPr>
        <w:pStyle w:val="Nagwek7"/>
        <w:rPr>
          <w:rFonts w:ascii="Calibri" w:hAnsi="Calibri" w:cs="Calibri"/>
        </w:rPr>
      </w:pPr>
      <w:r w:rsidRPr="00A23FB4">
        <w:rPr>
          <w:rFonts w:ascii="Calibri" w:hAnsi="Calibri" w:cs="Calibri"/>
          <w:b/>
          <w:bCs/>
          <w:i/>
          <w:iCs/>
        </w:rPr>
        <w:lastRenderedPageBreak/>
        <w:t>1.4.9.</w:t>
      </w:r>
      <w:r w:rsidRPr="00A23FB4">
        <w:rPr>
          <w:rFonts w:ascii="Calibri" w:hAnsi="Calibri" w:cs="Calibri"/>
        </w:rPr>
        <w:t xml:space="preserve"> Korona drogi - jezdnia (jezdnie) z poboczami lub chodnikami, zatokami, pasami awaryjnego postoju i pasami dzielącymi jezdnie.</w:t>
      </w:r>
    </w:p>
    <w:p w14:paraId="60203AAA" w14:textId="77777777" w:rsidR="00CB7796" w:rsidRPr="00A23FB4" w:rsidRDefault="00CB7796" w:rsidP="00364E4D">
      <w:pPr>
        <w:pStyle w:val="Nagwek7"/>
        <w:rPr>
          <w:rFonts w:ascii="Calibri" w:hAnsi="Calibri" w:cs="Calibri"/>
          <w:b/>
          <w:bCs/>
          <w:i/>
          <w:iCs/>
        </w:rPr>
      </w:pPr>
    </w:p>
    <w:p w14:paraId="4F776A8B" w14:textId="77777777" w:rsidR="00656AC1" w:rsidRPr="00A23FB4" w:rsidRDefault="00656AC1" w:rsidP="00364E4D">
      <w:pPr>
        <w:pStyle w:val="Nagwek7"/>
        <w:rPr>
          <w:rFonts w:ascii="Calibri" w:hAnsi="Calibri" w:cs="Calibri"/>
        </w:rPr>
      </w:pPr>
      <w:r w:rsidRPr="00A23FB4">
        <w:rPr>
          <w:rFonts w:ascii="Calibri" w:hAnsi="Calibri" w:cs="Calibri"/>
          <w:b/>
          <w:bCs/>
          <w:i/>
          <w:iCs/>
        </w:rPr>
        <w:t>1.4.10.</w:t>
      </w:r>
      <w:r w:rsidRPr="00A23FB4">
        <w:rPr>
          <w:rFonts w:ascii="Calibri" w:hAnsi="Calibri" w:cs="Calibri"/>
        </w:rPr>
        <w:t xml:space="preserve"> Konstrukcja nawierzchni - układ warstw nawierzchni wraz ze sposobem ich połączenia.</w:t>
      </w:r>
    </w:p>
    <w:p w14:paraId="333F27B8" w14:textId="77777777" w:rsidR="00CB7796" w:rsidRPr="00A23FB4" w:rsidRDefault="00CB7796" w:rsidP="00364E4D">
      <w:pPr>
        <w:pStyle w:val="Nagwek7"/>
        <w:rPr>
          <w:rFonts w:ascii="Calibri" w:hAnsi="Calibri" w:cs="Calibri"/>
          <w:b/>
          <w:bCs/>
          <w:i/>
          <w:iCs/>
        </w:rPr>
      </w:pPr>
    </w:p>
    <w:p w14:paraId="18E393CA" w14:textId="77777777" w:rsidR="00656AC1" w:rsidRPr="00A23FB4" w:rsidRDefault="00656AC1" w:rsidP="00364E4D">
      <w:pPr>
        <w:pStyle w:val="Nagwek7"/>
        <w:rPr>
          <w:rFonts w:ascii="Calibri" w:hAnsi="Calibri" w:cs="Calibri"/>
        </w:rPr>
      </w:pPr>
      <w:r w:rsidRPr="00A23FB4">
        <w:rPr>
          <w:rFonts w:ascii="Calibri" w:hAnsi="Calibri" w:cs="Calibri"/>
          <w:b/>
          <w:bCs/>
          <w:i/>
          <w:iCs/>
        </w:rPr>
        <w:t>1.4.11.</w:t>
      </w:r>
      <w:r w:rsidRPr="00A23FB4">
        <w:rPr>
          <w:rFonts w:ascii="Calibri" w:hAnsi="Calibri" w:cs="Calibri"/>
        </w:rPr>
        <w:t xml:space="preserve"> Korpus drogowy - nasyp lub ta część wykopu, która jest ograniczona koroną drogi i skarpami rowów.</w:t>
      </w:r>
    </w:p>
    <w:p w14:paraId="6DA96CF8" w14:textId="77777777" w:rsidR="00CB7796" w:rsidRPr="00A23FB4" w:rsidRDefault="00CB7796" w:rsidP="00364E4D">
      <w:pPr>
        <w:pStyle w:val="Nagwek7"/>
        <w:rPr>
          <w:rFonts w:ascii="Calibri" w:hAnsi="Calibri" w:cs="Calibri"/>
          <w:b/>
          <w:bCs/>
          <w:i/>
          <w:iCs/>
        </w:rPr>
      </w:pPr>
    </w:p>
    <w:p w14:paraId="17C655F7" w14:textId="77777777" w:rsidR="00656AC1" w:rsidRPr="00A23FB4" w:rsidRDefault="00656AC1" w:rsidP="00364E4D">
      <w:pPr>
        <w:pStyle w:val="Nagwek7"/>
        <w:rPr>
          <w:rFonts w:ascii="Calibri" w:hAnsi="Calibri" w:cs="Calibri"/>
        </w:rPr>
      </w:pPr>
      <w:r w:rsidRPr="00A23FB4">
        <w:rPr>
          <w:rFonts w:ascii="Calibri" w:hAnsi="Calibri" w:cs="Calibri"/>
          <w:b/>
          <w:bCs/>
          <w:i/>
          <w:iCs/>
        </w:rPr>
        <w:t>1.4.12.</w:t>
      </w:r>
      <w:r w:rsidRPr="00A23FB4">
        <w:rPr>
          <w:rFonts w:ascii="Calibri" w:hAnsi="Calibri" w:cs="Calibri"/>
        </w:rPr>
        <w:t xml:space="preserve"> Koryto - element uformowany w korpusie drogowym w celu ułożenia w nim konstrukcji nawierzchni.</w:t>
      </w:r>
    </w:p>
    <w:p w14:paraId="2EDC9F8D" w14:textId="77777777" w:rsidR="00656AC1" w:rsidRPr="00A23FB4" w:rsidRDefault="00656AC1" w:rsidP="00364E4D">
      <w:pPr>
        <w:pStyle w:val="Nagwek7"/>
        <w:rPr>
          <w:rFonts w:ascii="Calibri" w:hAnsi="Calibri" w:cs="Calibri"/>
        </w:rPr>
      </w:pPr>
      <w:r w:rsidRPr="00A23FB4">
        <w:rPr>
          <w:rFonts w:ascii="Calibri" w:hAnsi="Calibri" w:cs="Calibri"/>
          <w:b/>
          <w:bCs/>
          <w:i/>
          <w:iCs/>
        </w:rPr>
        <w:t>1.4.13.</w:t>
      </w:r>
      <w:r w:rsidRPr="00A23FB4">
        <w:rPr>
          <w:rFonts w:ascii="Calibri" w:hAnsi="Calibri" w:cs="Calibri"/>
        </w:rPr>
        <w:t xml:space="preserve"> Książka obmiarów - akceptowany przez Inżyniera/Kierownika projektu zeszyt z ponumerowanymi stronami, służący do wpisywania przez Wykonawcę obmiaru dokonywanych robót w formie wyliczeń, szkiców i ew. dodatkowych załączników. Wpisy w książce obmiarów podlegają potwierdzeniu przez Inżyniera/Kierownika projektu.</w:t>
      </w:r>
    </w:p>
    <w:p w14:paraId="60E1AE40" w14:textId="77777777" w:rsidR="00CB7796" w:rsidRPr="00A23FB4" w:rsidRDefault="00CB7796" w:rsidP="00364E4D">
      <w:pPr>
        <w:pStyle w:val="Nagwek7"/>
        <w:rPr>
          <w:rFonts w:ascii="Calibri" w:hAnsi="Calibri" w:cs="Calibri"/>
          <w:b/>
          <w:bCs/>
          <w:i/>
          <w:iCs/>
        </w:rPr>
      </w:pPr>
    </w:p>
    <w:p w14:paraId="4CE6B8C6" w14:textId="77777777" w:rsidR="00656AC1" w:rsidRPr="00A23FB4" w:rsidRDefault="00656AC1" w:rsidP="00364E4D">
      <w:pPr>
        <w:pStyle w:val="Nagwek7"/>
        <w:rPr>
          <w:rFonts w:ascii="Calibri" w:hAnsi="Calibri" w:cs="Calibri"/>
        </w:rPr>
      </w:pPr>
      <w:r w:rsidRPr="00A23FB4">
        <w:rPr>
          <w:rFonts w:ascii="Calibri" w:hAnsi="Calibri" w:cs="Calibri"/>
          <w:b/>
          <w:bCs/>
          <w:i/>
          <w:iCs/>
        </w:rPr>
        <w:t>1.4.14.</w:t>
      </w:r>
      <w:r w:rsidRPr="00A23FB4">
        <w:rPr>
          <w:rFonts w:ascii="Calibri" w:hAnsi="Calibri" w:cs="Calibri"/>
        </w:rPr>
        <w:t xml:space="preserve"> Laboratorium - drogowe lub inne laboratorium badawcze, zaakceptowane przez Zamawiającego, niezbędne do przeprowadzenia wszelkich badań i prób związanych z oceną jakości materiałów oraz robót.</w:t>
      </w:r>
    </w:p>
    <w:p w14:paraId="4A4B5082" w14:textId="77777777" w:rsidR="00CB7796" w:rsidRPr="00A23FB4" w:rsidRDefault="00CB7796" w:rsidP="00364E4D">
      <w:pPr>
        <w:pStyle w:val="Nagwek7"/>
        <w:rPr>
          <w:rFonts w:ascii="Calibri" w:hAnsi="Calibri" w:cs="Calibri"/>
          <w:b/>
          <w:bCs/>
          <w:i/>
          <w:iCs/>
        </w:rPr>
      </w:pPr>
    </w:p>
    <w:p w14:paraId="465C5721" w14:textId="77777777" w:rsidR="00656AC1" w:rsidRPr="00A23FB4" w:rsidRDefault="00656AC1" w:rsidP="00364E4D">
      <w:pPr>
        <w:pStyle w:val="Nagwek7"/>
        <w:rPr>
          <w:rFonts w:ascii="Calibri" w:hAnsi="Calibri" w:cs="Calibri"/>
        </w:rPr>
      </w:pPr>
      <w:r w:rsidRPr="00A23FB4">
        <w:rPr>
          <w:rFonts w:ascii="Calibri" w:hAnsi="Calibri" w:cs="Calibri"/>
          <w:b/>
          <w:bCs/>
          <w:i/>
          <w:iCs/>
        </w:rPr>
        <w:t>1.4.15.</w:t>
      </w:r>
      <w:r w:rsidRPr="00A23FB4">
        <w:rPr>
          <w:rFonts w:ascii="Calibri" w:hAnsi="Calibri" w:cs="Calibri"/>
        </w:rPr>
        <w:t xml:space="preserve"> Materiały - wszelkie tworzywa niezbędne do wykonania robót, zgodne z dokumentacją projektową i specyfikacjami technicznymi, zaakceptowane przez Inżyniera/Kierownika projektu.</w:t>
      </w:r>
    </w:p>
    <w:p w14:paraId="5F8766E7" w14:textId="77777777" w:rsidR="00CB7796" w:rsidRPr="00A23FB4" w:rsidRDefault="00CB7796" w:rsidP="00364E4D">
      <w:pPr>
        <w:pStyle w:val="Nagwek7"/>
        <w:rPr>
          <w:rFonts w:ascii="Calibri" w:hAnsi="Calibri" w:cs="Calibri"/>
          <w:b/>
          <w:bCs/>
          <w:i/>
          <w:iCs/>
        </w:rPr>
      </w:pPr>
    </w:p>
    <w:p w14:paraId="6883848E" w14:textId="77777777" w:rsidR="00656AC1" w:rsidRPr="00A23FB4" w:rsidRDefault="00656AC1" w:rsidP="00364E4D">
      <w:pPr>
        <w:pStyle w:val="Nagwek7"/>
        <w:rPr>
          <w:rFonts w:ascii="Calibri" w:hAnsi="Calibri" w:cs="Calibri"/>
        </w:rPr>
      </w:pPr>
      <w:r w:rsidRPr="00A23FB4">
        <w:rPr>
          <w:rFonts w:ascii="Calibri" w:hAnsi="Calibri" w:cs="Calibri"/>
          <w:b/>
          <w:bCs/>
          <w:i/>
          <w:iCs/>
        </w:rPr>
        <w:t>1.4.16.</w:t>
      </w:r>
      <w:r w:rsidRPr="00A23FB4">
        <w:rPr>
          <w:rFonts w:ascii="Calibri" w:hAnsi="Calibri" w:cs="Calibri"/>
        </w:rPr>
        <w:t xml:space="preserve"> Nawierzchnia - warstwa lub zespół warstw służących do przejmowania i rozkładania obciążeń od ruchu na podłoże gruntowe i zapewniających dogodne warunki dla ruchu.</w:t>
      </w:r>
    </w:p>
    <w:p w14:paraId="18813738" w14:textId="77777777" w:rsidR="00656AC1" w:rsidRPr="00A23FB4" w:rsidRDefault="00656AC1" w:rsidP="00364E4D">
      <w:pPr>
        <w:pStyle w:val="Nagwek7"/>
        <w:rPr>
          <w:rFonts w:ascii="Calibri" w:hAnsi="Calibri" w:cs="Calibri"/>
        </w:rPr>
      </w:pPr>
      <w:r w:rsidRPr="00A23FB4">
        <w:rPr>
          <w:rFonts w:ascii="Calibri" w:hAnsi="Calibri" w:cs="Calibri"/>
        </w:rPr>
        <w:t>Warstwa ścieralna - górna warstwa nawierzchni poddana bezpośrednio oddziaływaniu ruchu i czynników atmosferycznych.</w:t>
      </w:r>
    </w:p>
    <w:p w14:paraId="30302DF2" w14:textId="77777777" w:rsidR="00656AC1" w:rsidRPr="00A23FB4" w:rsidRDefault="00656AC1" w:rsidP="00364E4D">
      <w:pPr>
        <w:pStyle w:val="Nagwek7"/>
        <w:rPr>
          <w:rFonts w:ascii="Calibri" w:hAnsi="Calibri" w:cs="Calibri"/>
        </w:rPr>
      </w:pPr>
      <w:r w:rsidRPr="00A23FB4">
        <w:rPr>
          <w:rFonts w:ascii="Calibri" w:hAnsi="Calibri" w:cs="Calibri"/>
        </w:rPr>
        <w:t>Warstwa wiążąca - warstwa znajdująca się między warstwą ścieralną a podbudową, zapewniająca lepsze rozłożenie naprężeń w nawierzchni i przekazywanie ich na podbudowę.</w:t>
      </w:r>
    </w:p>
    <w:p w14:paraId="435F6525" w14:textId="77777777" w:rsidR="00656AC1" w:rsidRPr="00A23FB4" w:rsidRDefault="00656AC1" w:rsidP="00364E4D">
      <w:pPr>
        <w:pStyle w:val="Nagwek7"/>
        <w:rPr>
          <w:rFonts w:ascii="Calibri" w:hAnsi="Calibri" w:cs="Calibri"/>
        </w:rPr>
      </w:pPr>
      <w:r w:rsidRPr="00A23FB4">
        <w:rPr>
          <w:rFonts w:ascii="Calibri" w:hAnsi="Calibri" w:cs="Calibri"/>
        </w:rPr>
        <w:t>Podbudowa - dolna część nawierzchni służąca do przenoszenia obciążeń od ruchu na podłoże. Podbudowa może składać się z podbudowy zasadniczej i podbudowy pomocniczej.</w:t>
      </w:r>
    </w:p>
    <w:p w14:paraId="3DB81A2D" w14:textId="77777777" w:rsidR="00656AC1" w:rsidRPr="00A23FB4" w:rsidRDefault="00656AC1" w:rsidP="00364E4D">
      <w:pPr>
        <w:pStyle w:val="Nagwek7"/>
        <w:rPr>
          <w:rFonts w:ascii="Calibri" w:hAnsi="Calibri" w:cs="Calibri"/>
        </w:rPr>
      </w:pPr>
      <w:r w:rsidRPr="00A23FB4">
        <w:rPr>
          <w:rFonts w:ascii="Calibri" w:hAnsi="Calibri" w:cs="Calibri"/>
        </w:rPr>
        <w:t>Podbudowa zasadnicza - górna część podbudowy spełniająca funkcje nośne w konstrukcji nawierzchni. Może ona składać się z jednej lub dwóch warstw.</w:t>
      </w:r>
    </w:p>
    <w:p w14:paraId="5AD1131A" w14:textId="77777777" w:rsidR="00656AC1" w:rsidRPr="00A23FB4" w:rsidRDefault="00656AC1" w:rsidP="00364E4D">
      <w:pPr>
        <w:pStyle w:val="Nagwek7"/>
        <w:rPr>
          <w:rFonts w:ascii="Calibri" w:hAnsi="Calibri" w:cs="Calibri"/>
        </w:rPr>
      </w:pPr>
      <w:r w:rsidRPr="00A23FB4">
        <w:rPr>
          <w:rFonts w:ascii="Calibri" w:hAnsi="Calibri" w:cs="Calibri"/>
        </w:rPr>
        <w:t>Podbudowa pomocnicza - dolna część podbudowy spełniająca, obok funkcji nośnych, funkcje zabezpieczenia nawierzchni przed działaniem wody, mrozu i przenikaniem cząstek podłoża nawierzchni leżącej powyżej.</w:t>
      </w:r>
    </w:p>
    <w:p w14:paraId="21D6B5B9" w14:textId="77777777" w:rsidR="00CB7796" w:rsidRPr="00A23FB4" w:rsidRDefault="00CB7796" w:rsidP="00364E4D">
      <w:pPr>
        <w:pStyle w:val="Nagwek7"/>
        <w:rPr>
          <w:rFonts w:ascii="Calibri" w:hAnsi="Calibri" w:cs="Calibri"/>
          <w:b/>
          <w:bCs/>
          <w:i/>
          <w:iCs/>
        </w:rPr>
      </w:pPr>
    </w:p>
    <w:p w14:paraId="4506358D" w14:textId="77777777" w:rsidR="00656AC1" w:rsidRPr="00A23FB4" w:rsidRDefault="00656AC1" w:rsidP="00364E4D">
      <w:pPr>
        <w:pStyle w:val="Nagwek7"/>
        <w:rPr>
          <w:rFonts w:ascii="Calibri" w:hAnsi="Calibri" w:cs="Calibri"/>
        </w:rPr>
      </w:pPr>
      <w:r w:rsidRPr="00A23FB4">
        <w:rPr>
          <w:rFonts w:ascii="Calibri" w:hAnsi="Calibri" w:cs="Calibri"/>
          <w:b/>
          <w:bCs/>
          <w:i/>
          <w:iCs/>
        </w:rPr>
        <w:t>1.4.17.</w:t>
      </w:r>
      <w:r w:rsidRPr="00A23FB4">
        <w:rPr>
          <w:rFonts w:ascii="Calibri" w:hAnsi="Calibri" w:cs="Calibri"/>
        </w:rPr>
        <w:t xml:space="preserve"> Niweleta - wysokościowe i geometryczne rozwinięcie na płaszczyźnie pionowego przekroju w osi drogi.</w:t>
      </w:r>
    </w:p>
    <w:p w14:paraId="1A4136AB" w14:textId="77777777" w:rsidR="00CB7796" w:rsidRPr="00A23FB4" w:rsidRDefault="00CB7796" w:rsidP="00364E4D">
      <w:pPr>
        <w:pStyle w:val="Nagwek7"/>
        <w:rPr>
          <w:rFonts w:ascii="Calibri" w:hAnsi="Calibri" w:cs="Calibri"/>
          <w:b/>
          <w:bCs/>
          <w:i/>
          <w:iCs/>
        </w:rPr>
      </w:pPr>
    </w:p>
    <w:p w14:paraId="52DB0CCC" w14:textId="77777777" w:rsidR="00656AC1" w:rsidRPr="00A23FB4" w:rsidRDefault="00656AC1" w:rsidP="00364E4D">
      <w:pPr>
        <w:pStyle w:val="Nagwek7"/>
        <w:rPr>
          <w:rFonts w:ascii="Calibri" w:hAnsi="Calibri" w:cs="Calibri"/>
        </w:rPr>
      </w:pPr>
      <w:r w:rsidRPr="00A23FB4">
        <w:rPr>
          <w:rFonts w:ascii="Calibri" w:hAnsi="Calibri" w:cs="Calibri"/>
          <w:b/>
          <w:bCs/>
          <w:i/>
          <w:iCs/>
        </w:rPr>
        <w:t>1.4.18.</w:t>
      </w:r>
      <w:r w:rsidRPr="00A23FB4">
        <w:rPr>
          <w:rFonts w:ascii="Calibri" w:hAnsi="Calibri" w:cs="Calibri"/>
        </w:rPr>
        <w:t xml:space="preserve"> Odpowiednia (bliska) zgodność - zgodność wykonywanych robót z dopuszczonymi tolerancjami, a jeśli przedział tolerancji nie został określony - z przeciętnymi tolerancjami, przyjmowanymi zwyczajowo dla danego rodzaju robót budowlanych.</w:t>
      </w:r>
    </w:p>
    <w:p w14:paraId="3886BD4F" w14:textId="77777777" w:rsidR="00CB7796" w:rsidRPr="00A23FB4" w:rsidRDefault="00CB7796" w:rsidP="00364E4D">
      <w:pPr>
        <w:pStyle w:val="Nagwek7"/>
        <w:rPr>
          <w:rFonts w:ascii="Calibri" w:hAnsi="Calibri" w:cs="Calibri"/>
          <w:b/>
          <w:bCs/>
          <w:i/>
          <w:iCs/>
        </w:rPr>
      </w:pPr>
    </w:p>
    <w:p w14:paraId="24195951" w14:textId="77777777" w:rsidR="00656AC1" w:rsidRPr="00A23FB4" w:rsidRDefault="00656AC1" w:rsidP="00364E4D">
      <w:pPr>
        <w:pStyle w:val="Nagwek7"/>
        <w:rPr>
          <w:rFonts w:ascii="Calibri" w:hAnsi="Calibri" w:cs="Calibri"/>
        </w:rPr>
      </w:pPr>
      <w:r w:rsidRPr="00A23FB4">
        <w:rPr>
          <w:rFonts w:ascii="Calibri" w:hAnsi="Calibri" w:cs="Calibri"/>
          <w:b/>
          <w:bCs/>
          <w:i/>
          <w:iCs/>
        </w:rPr>
        <w:t>1.4.19.</w:t>
      </w:r>
      <w:r w:rsidRPr="00A23FB4">
        <w:rPr>
          <w:rFonts w:ascii="Calibri" w:hAnsi="Calibri" w:cs="Calibri"/>
        </w:rPr>
        <w:t xml:space="preserve"> Pas drogowy - wydzielony liniami granicznymi pas terenu przeznaczony do umieszczania w nim drogi i związanych z nią urządzeń oraz drzew i krzewów. Pas drogowy może również obejmować teren przewidziany do rozbudowy drogi i budowy urządzeń chroniących ludzi i środowisko przed uciążliwościami powodowanymi przez ruch na drodze.</w:t>
      </w:r>
    </w:p>
    <w:p w14:paraId="7B843530" w14:textId="77777777" w:rsidR="00CB7796" w:rsidRPr="00A23FB4" w:rsidRDefault="00CB7796" w:rsidP="00364E4D">
      <w:pPr>
        <w:pStyle w:val="Nagwek7"/>
        <w:rPr>
          <w:rFonts w:ascii="Calibri" w:hAnsi="Calibri" w:cs="Calibri"/>
          <w:b/>
          <w:bCs/>
          <w:i/>
          <w:iCs/>
        </w:rPr>
      </w:pPr>
    </w:p>
    <w:p w14:paraId="19F97E8E" w14:textId="77777777" w:rsidR="00656AC1" w:rsidRPr="00A23FB4" w:rsidRDefault="00656AC1" w:rsidP="00364E4D">
      <w:pPr>
        <w:pStyle w:val="Nagwek7"/>
        <w:rPr>
          <w:rFonts w:ascii="Calibri" w:hAnsi="Calibri" w:cs="Calibri"/>
        </w:rPr>
      </w:pPr>
      <w:r w:rsidRPr="00A23FB4">
        <w:rPr>
          <w:rFonts w:ascii="Calibri" w:hAnsi="Calibri" w:cs="Calibri"/>
          <w:b/>
          <w:bCs/>
          <w:i/>
          <w:iCs/>
        </w:rPr>
        <w:t>1.4.20.</w:t>
      </w:r>
      <w:r w:rsidRPr="00A23FB4">
        <w:rPr>
          <w:rFonts w:ascii="Calibri" w:hAnsi="Calibri" w:cs="Calibri"/>
        </w:rPr>
        <w:t xml:space="preserve"> Pobocze - część korony drogi przeznaczona do chwilowego postoju pojazdów, umieszczenia urządzeń organizacji i bezpieczeństwa ruchu oraz do ruchu pieszych, służąca jednocześnie do bocznego oparcia konstrukcji nawierzchni.</w:t>
      </w:r>
    </w:p>
    <w:p w14:paraId="1378DAD7" w14:textId="77777777" w:rsidR="00CB7796" w:rsidRPr="00A23FB4" w:rsidRDefault="00CB7796" w:rsidP="00364E4D">
      <w:pPr>
        <w:pStyle w:val="Nagwek7"/>
        <w:rPr>
          <w:rFonts w:ascii="Calibri" w:hAnsi="Calibri" w:cs="Calibri"/>
          <w:b/>
          <w:bCs/>
          <w:i/>
          <w:iCs/>
        </w:rPr>
      </w:pPr>
    </w:p>
    <w:p w14:paraId="1E702800" w14:textId="77777777" w:rsidR="00656AC1" w:rsidRPr="00A23FB4" w:rsidRDefault="00656AC1" w:rsidP="00364E4D">
      <w:pPr>
        <w:pStyle w:val="Nagwek7"/>
        <w:rPr>
          <w:rFonts w:ascii="Calibri" w:hAnsi="Calibri" w:cs="Calibri"/>
        </w:rPr>
      </w:pPr>
      <w:r w:rsidRPr="00A23FB4">
        <w:rPr>
          <w:rFonts w:ascii="Calibri" w:hAnsi="Calibri" w:cs="Calibri"/>
          <w:b/>
          <w:bCs/>
          <w:i/>
          <w:iCs/>
        </w:rPr>
        <w:t>1.4.21.</w:t>
      </w:r>
      <w:r w:rsidRPr="00A23FB4">
        <w:rPr>
          <w:rFonts w:ascii="Calibri" w:hAnsi="Calibri" w:cs="Calibri"/>
        </w:rPr>
        <w:t xml:space="preserve"> Podłoże nawierzchni - grunt rodzimy lub nasypowy, leżący pod nawierzchnią do głębokości przemarzania.</w:t>
      </w:r>
    </w:p>
    <w:p w14:paraId="4FBB3CD3" w14:textId="77777777" w:rsidR="00CB7796" w:rsidRPr="00A23FB4" w:rsidRDefault="00CB7796" w:rsidP="00364E4D">
      <w:pPr>
        <w:pStyle w:val="Nagwek7"/>
        <w:rPr>
          <w:rFonts w:ascii="Calibri" w:hAnsi="Calibri" w:cs="Calibri"/>
          <w:b/>
          <w:bCs/>
          <w:i/>
          <w:iCs/>
        </w:rPr>
      </w:pPr>
    </w:p>
    <w:p w14:paraId="5D1946AA" w14:textId="77777777" w:rsidR="00656AC1" w:rsidRPr="00A23FB4" w:rsidRDefault="00656AC1" w:rsidP="00364E4D">
      <w:pPr>
        <w:pStyle w:val="Nagwek7"/>
        <w:rPr>
          <w:rFonts w:ascii="Calibri" w:hAnsi="Calibri" w:cs="Calibri"/>
        </w:rPr>
      </w:pPr>
      <w:r w:rsidRPr="00A23FB4">
        <w:rPr>
          <w:rFonts w:ascii="Calibri" w:hAnsi="Calibri" w:cs="Calibri"/>
          <w:b/>
          <w:bCs/>
          <w:i/>
          <w:iCs/>
        </w:rPr>
        <w:t>1.4.22.</w:t>
      </w:r>
      <w:r w:rsidRPr="00A23FB4">
        <w:rPr>
          <w:rFonts w:ascii="Calibri" w:hAnsi="Calibri" w:cs="Calibri"/>
        </w:rPr>
        <w:t xml:space="preserve"> Podłoże ulepszone nawierzchni - górna warstwa podłoża, leżąca bezpośrednio pod nawierzchnią, ulepszona w celu umożliwienia przejęcia ruchu budowlanego i właściwego wykonania nawierzchni.</w:t>
      </w:r>
    </w:p>
    <w:p w14:paraId="2DB8C3B2" w14:textId="77777777" w:rsidR="00CB7796" w:rsidRPr="00A23FB4" w:rsidRDefault="00CB7796" w:rsidP="00364E4D">
      <w:pPr>
        <w:pStyle w:val="Nagwek7"/>
        <w:rPr>
          <w:rFonts w:ascii="Calibri" w:hAnsi="Calibri" w:cs="Calibri"/>
          <w:b/>
          <w:bCs/>
          <w:i/>
          <w:iCs/>
        </w:rPr>
      </w:pPr>
    </w:p>
    <w:p w14:paraId="243858A3" w14:textId="77777777" w:rsidR="00656AC1" w:rsidRPr="00A23FB4" w:rsidRDefault="00656AC1" w:rsidP="00364E4D">
      <w:pPr>
        <w:pStyle w:val="Nagwek7"/>
        <w:rPr>
          <w:rFonts w:ascii="Calibri" w:hAnsi="Calibri" w:cs="Calibri"/>
        </w:rPr>
      </w:pPr>
      <w:r w:rsidRPr="00A23FB4">
        <w:rPr>
          <w:rFonts w:ascii="Calibri" w:hAnsi="Calibri" w:cs="Calibri"/>
          <w:b/>
          <w:bCs/>
          <w:i/>
          <w:iCs/>
        </w:rPr>
        <w:t>1.4.23.</w:t>
      </w:r>
      <w:r w:rsidRPr="00A23FB4">
        <w:rPr>
          <w:rFonts w:ascii="Calibri" w:hAnsi="Calibri" w:cs="Calibri"/>
        </w:rPr>
        <w:t xml:space="preserve"> Polecenie Inżyniera/Kierownika projektu - wszelkie polecenia przekazane Wykonawcy przez Inżyniera/Kierownika projektu, w formie pisemnej, dotyczące sposobu realizacji robót lub innych spraw związanych z prowadzeniem budowy.</w:t>
      </w:r>
    </w:p>
    <w:p w14:paraId="20AD17F2" w14:textId="77777777" w:rsidR="00CB7796" w:rsidRPr="00A23FB4" w:rsidRDefault="00CB7796" w:rsidP="00364E4D">
      <w:pPr>
        <w:pStyle w:val="Nagwek7"/>
        <w:rPr>
          <w:rFonts w:ascii="Calibri" w:hAnsi="Calibri" w:cs="Calibri"/>
          <w:b/>
          <w:bCs/>
          <w:i/>
          <w:iCs/>
        </w:rPr>
      </w:pPr>
    </w:p>
    <w:p w14:paraId="2B7C5144" w14:textId="77777777" w:rsidR="00656AC1" w:rsidRPr="00A23FB4" w:rsidRDefault="00656AC1" w:rsidP="00364E4D">
      <w:pPr>
        <w:pStyle w:val="Nagwek7"/>
        <w:rPr>
          <w:rFonts w:ascii="Calibri" w:hAnsi="Calibri" w:cs="Calibri"/>
        </w:rPr>
      </w:pPr>
      <w:r w:rsidRPr="00A23FB4">
        <w:rPr>
          <w:rFonts w:ascii="Calibri" w:hAnsi="Calibri" w:cs="Calibri"/>
          <w:b/>
          <w:bCs/>
          <w:i/>
          <w:iCs/>
        </w:rPr>
        <w:t>1.4.24.</w:t>
      </w:r>
      <w:r w:rsidRPr="00A23FB4">
        <w:rPr>
          <w:rFonts w:ascii="Calibri" w:hAnsi="Calibri" w:cs="Calibri"/>
        </w:rPr>
        <w:t xml:space="preserve"> Projektant - uprawniona osoba prawna lub fizyczna będąca autorem dokumentacji projektowej.</w:t>
      </w:r>
    </w:p>
    <w:p w14:paraId="5B4679F0" w14:textId="77777777" w:rsidR="00CB7796" w:rsidRPr="00A23FB4" w:rsidRDefault="00CB7796" w:rsidP="00364E4D">
      <w:pPr>
        <w:pStyle w:val="Nagwek7"/>
        <w:rPr>
          <w:rFonts w:ascii="Calibri" w:hAnsi="Calibri" w:cs="Calibri"/>
          <w:b/>
          <w:bCs/>
          <w:i/>
          <w:iCs/>
        </w:rPr>
      </w:pPr>
    </w:p>
    <w:p w14:paraId="39C0DD08" w14:textId="77777777" w:rsidR="00656AC1" w:rsidRPr="00A23FB4" w:rsidRDefault="00656AC1" w:rsidP="00364E4D">
      <w:pPr>
        <w:pStyle w:val="Nagwek7"/>
        <w:rPr>
          <w:rFonts w:ascii="Calibri" w:hAnsi="Calibri" w:cs="Calibri"/>
        </w:rPr>
      </w:pPr>
      <w:r w:rsidRPr="00A23FB4">
        <w:rPr>
          <w:rFonts w:ascii="Calibri" w:hAnsi="Calibri" w:cs="Calibri"/>
          <w:b/>
          <w:bCs/>
          <w:i/>
          <w:iCs/>
        </w:rPr>
        <w:t>1.4.25.</w:t>
      </w:r>
      <w:r w:rsidRPr="00A23FB4">
        <w:rPr>
          <w:rFonts w:ascii="Calibri" w:hAnsi="Calibri" w:cs="Calibri"/>
        </w:rPr>
        <w:t xml:space="preserve"> Przedsięwzięcie budowlane - kompleksowa realizacja nowego połączenia drogowego lub całkowita modernizacja/przebudowa (zmiana parametrów geometrycznych trasy w planie i przekroju podłużnym) istniejącego połączenia.</w:t>
      </w:r>
    </w:p>
    <w:p w14:paraId="36EC4483" w14:textId="77777777" w:rsidR="00CB7796" w:rsidRPr="00A23FB4" w:rsidRDefault="00CB7796" w:rsidP="00364E4D">
      <w:pPr>
        <w:pStyle w:val="Nagwek7"/>
        <w:rPr>
          <w:rFonts w:ascii="Calibri" w:hAnsi="Calibri" w:cs="Calibri"/>
          <w:b/>
          <w:bCs/>
          <w:i/>
          <w:iCs/>
        </w:rPr>
      </w:pPr>
    </w:p>
    <w:p w14:paraId="210D2FCE" w14:textId="77777777" w:rsidR="00656AC1" w:rsidRPr="00A23FB4" w:rsidRDefault="00656AC1" w:rsidP="00364E4D">
      <w:pPr>
        <w:pStyle w:val="Nagwek7"/>
        <w:rPr>
          <w:rFonts w:ascii="Calibri" w:hAnsi="Calibri" w:cs="Calibri"/>
        </w:rPr>
      </w:pPr>
      <w:r w:rsidRPr="00A23FB4">
        <w:rPr>
          <w:rFonts w:ascii="Calibri" w:hAnsi="Calibri" w:cs="Calibri"/>
          <w:b/>
          <w:bCs/>
          <w:i/>
          <w:iCs/>
        </w:rPr>
        <w:t>1.4.26.</w:t>
      </w:r>
      <w:r w:rsidRPr="00A23FB4">
        <w:rPr>
          <w:rFonts w:ascii="Calibri" w:hAnsi="Calibri" w:cs="Calibri"/>
        </w:rPr>
        <w:t xml:space="preserve"> Przetargowa dokumentacja projektowa - część dokumentacji projektowej, która wskazuje lokalizację, charakterystykę i wymiary obiektu będącego przedmiotem robót.</w:t>
      </w:r>
    </w:p>
    <w:p w14:paraId="11EFBFFD" w14:textId="77777777" w:rsidR="00656AC1" w:rsidRPr="00A23FB4" w:rsidRDefault="00656AC1" w:rsidP="00364E4D">
      <w:pPr>
        <w:pStyle w:val="Nagwek7"/>
        <w:rPr>
          <w:rFonts w:ascii="Calibri" w:hAnsi="Calibri" w:cs="Calibri"/>
        </w:rPr>
      </w:pPr>
      <w:r w:rsidRPr="00A23FB4">
        <w:rPr>
          <w:rFonts w:ascii="Calibri" w:hAnsi="Calibri" w:cs="Calibri"/>
          <w:b/>
          <w:bCs/>
          <w:i/>
          <w:iCs/>
        </w:rPr>
        <w:t>1.4.27.</w:t>
      </w:r>
      <w:r w:rsidRPr="00A23FB4">
        <w:rPr>
          <w:rFonts w:ascii="Calibri" w:hAnsi="Calibri" w:cs="Calibri"/>
        </w:rPr>
        <w:t xml:space="preserve"> Rekultywacja - roboty mające na celu uporządkowanie i przywrócenie pierwotnych funkcji terenom naruszonym w czasie realizacji zadania budowlanego.</w:t>
      </w:r>
    </w:p>
    <w:p w14:paraId="35A511B2" w14:textId="77777777" w:rsidR="00CB7796" w:rsidRPr="00A23FB4" w:rsidRDefault="00CB7796" w:rsidP="00364E4D">
      <w:pPr>
        <w:pStyle w:val="Nagwek7"/>
        <w:rPr>
          <w:rFonts w:ascii="Calibri" w:hAnsi="Calibri" w:cs="Calibri"/>
          <w:b/>
          <w:bCs/>
          <w:i/>
          <w:iCs/>
        </w:rPr>
      </w:pPr>
    </w:p>
    <w:p w14:paraId="18A4A9C4" w14:textId="77777777" w:rsidR="00656AC1" w:rsidRPr="00A23FB4" w:rsidRDefault="00656AC1" w:rsidP="00364E4D">
      <w:pPr>
        <w:pStyle w:val="Nagwek7"/>
        <w:rPr>
          <w:rFonts w:ascii="Calibri" w:hAnsi="Calibri" w:cs="Calibri"/>
        </w:rPr>
      </w:pPr>
      <w:r w:rsidRPr="00A23FB4">
        <w:rPr>
          <w:rFonts w:ascii="Calibri" w:hAnsi="Calibri" w:cs="Calibri"/>
          <w:b/>
          <w:bCs/>
          <w:i/>
          <w:iCs/>
        </w:rPr>
        <w:t>1.4.28.</w:t>
      </w:r>
      <w:r w:rsidRPr="00A23FB4">
        <w:rPr>
          <w:rFonts w:ascii="Calibri" w:hAnsi="Calibri" w:cs="Calibri"/>
        </w:rPr>
        <w:t xml:space="preserve"> Ślepy kosztorys - wykaz robót z podaniem ich ilości (przedmiarem) w kolejności technologicznej ich wykonania.</w:t>
      </w:r>
    </w:p>
    <w:p w14:paraId="00117E5A" w14:textId="77777777" w:rsidR="00CB7796" w:rsidRPr="00A23FB4" w:rsidRDefault="00CB7796" w:rsidP="00364E4D">
      <w:pPr>
        <w:pStyle w:val="Nagwek7"/>
        <w:rPr>
          <w:rFonts w:ascii="Calibri" w:hAnsi="Calibri" w:cs="Calibri"/>
          <w:b/>
          <w:bCs/>
          <w:i/>
          <w:iCs/>
        </w:rPr>
      </w:pPr>
    </w:p>
    <w:p w14:paraId="3A28F460" w14:textId="77777777" w:rsidR="00656AC1" w:rsidRPr="00A23FB4" w:rsidRDefault="00656AC1" w:rsidP="00364E4D">
      <w:pPr>
        <w:pStyle w:val="Nagwek7"/>
        <w:rPr>
          <w:rFonts w:ascii="Calibri" w:hAnsi="Calibri" w:cs="Calibri"/>
        </w:rPr>
      </w:pPr>
      <w:r w:rsidRPr="00A23FB4">
        <w:rPr>
          <w:rFonts w:ascii="Calibri" w:hAnsi="Calibri" w:cs="Calibri"/>
          <w:b/>
          <w:bCs/>
          <w:i/>
          <w:iCs/>
        </w:rPr>
        <w:t>1.4.29.</w:t>
      </w:r>
      <w:r w:rsidRPr="00A23FB4">
        <w:rPr>
          <w:rFonts w:ascii="Calibri" w:hAnsi="Calibri" w:cs="Calibri"/>
        </w:rPr>
        <w:t xml:space="preserve"> Teren budowy - teren udostępniony przez Zamawiającego dla wykonania na nim robót oraz inne miejsca wymienione w kontrakcie jako tworzące część terenu budowy.</w:t>
      </w:r>
    </w:p>
    <w:p w14:paraId="5033CAC3" w14:textId="77777777" w:rsidR="00CB7796" w:rsidRPr="00A23FB4" w:rsidRDefault="00CB7796" w:rsidP="00364E4D">
      <w:pPr>
        <w:pStyle w:val="Nagwek7"/>
        <w:rPr>
          <w:rFonts w:ascii="Calibri" w:hAnsi="Calibri" w:cs="Calibri"/>
          <w:b/>
          <w:bCs/>
          <w:i/>
          <w:iCs/>
        </w:rPr>
      </w:pPr>
    </w:p>
    <w:p w14:paraId="6DF671AE" w14:textId="77777777" w:rsidR="00656AC1" w:rsidRPr="00A23FB4" w:rsidRDefault="00656AC1" w:rsidP="00364E4D">
      <w:pPr>
        <w:pStyle w:val="Nagwek7"/>
        <w:rPr>
          <w:rFonts w:ascii="Calibri" w:hAnsi="Calibri" w:cs="Calibri"/>
        </w:rPr>
      </w:pPr>
      <w:r w:rsidRPr="00A23FB4">
        <w:rPr>
          <w:rFonts w:ascii="Calibri" w:hAnsi="Calibri" w:cs="Calibri"/>
          <w:b/>
          <w:bCs/>
          <w:i/>
          <w:iCs/>
        </w:rPr>
        <w:t>1.4.30.</w:t>
      </w:r>
      <w:r w:rsidRPr="00A23FB4">
        <w:rPr>
          <w:rFonts w:ascii="Calibri" w:hAnsi="Calibri" w:cs="Calibri"/>
        </w:rPr>
        <w:t xml:space="preserve"> Zadanie budowlane - część przedsięwzięcia budowlanego, stanowiąca odrębną całość konstrukcyjną lub technologiczną, zdolną do samodzielnego pełnienia funkcji techniczno-użytkowych. Zadanie może polegać na wykonywaniu robót związanych z budową, modernizacją/ przebudową, utrzymaniem oraz ochroną budowli drogowej lub jej elementu.</w:t>
      </w:r>
    </w:p>
    <w:p w14:paraId="22740E0F" w14:textId="77777777" w:rsidR="00656AC1" w:rsidRPr="00A23FB4" w:rsidRDefault="00656AC1" w:rsidP="00364E4D">
      <w:pPr>
        <w:pStyle w:val="Nagwek4"/>
        <w:rPr>
          <w:rFonts w:ascii="Calibri" w:hAnsi="Calibri" w:cs="Calibri"/>
        </w:rPr>
      </w:pPr>
      <w:r w:rsidRPr="00A23FB4">
        <w:rPr>
          <w:rFonts w:ascii="Calibri" w:hAnsi="Calibri" w:cs="Calibri"/>
        </w:rPr>
        <w:t>1.5. Ogólne wymagania dotyczące robót</w:t>
      </w:r>
    </w:p>
    <w:p w14:paraId="594C1403" w14:textId="2256AC73" w:rsidR="00656AC1" w:rsidRPr="00A23FB4" w:rsidRDefault="00656AC1" w:rsidP="00364E4D">
      <w:pPr>
        <w:rPr>
          <w:rFonts w:ascii="Calibri" w:hAnsi="Calibri" w:cs="Calibri"/>
        </w:rPr>
      </w:pPr>
      <w:r w:rsidRPr="00A23FB4">
        <w:rPr>
          <w:rFonts w:ascii="Calibri" w:hAnsi="Calibri" w:cs="Calibri"/>
        </w:rPr>
        <w:t xml:space="preserve">Wykonawca jest odpowiedzialny za jakość wykonanych robót, bezpieczeństwo wszelkich czynności na terenie budowy, metody użyte przy budowie oraz za ich zgodność z dokumentacją projektową, </w:t>
      </w:r>
      <w:r w:rsidR="00D6320D">
        <w:rPr>
          <w:rFonts w:ascii="Calibri" w:hAnsi="Calibri" w:cs="Calibri"/>
        </w:rPr>
        <w:t>ST</w:t>
      </w:r>
      <w:r w:rsidR="00E22F37" w:rsidRPr="00A23FB4">
        <w:rPr>
          <w:rFonts w:ascii="Calibri" w:hAnsi="Calibri" w:cs="Calibri"/>
        </w:rPr>
        <w:t>WiORB</w:t>
      </w:r>
      <w:r w:rsidRPr="00A23FB4">
        <w:rPr>
          <w:rFonts w:ascii="Calibri" w:hAnsi="Calibri" w:cs="Calibri"/>
        </w:rPr>
        <w:t xml:space="preserve"> i poleceniami Inżyniera/Kierownika projektu.</w:t>
      </w:r>
    </w:p>
    <w:p w14:paraId="56A8AAA1" w14:textId="77777777" w:rsidR="00CB7796" w:rsidRPr="00A23FB4" w:rsidRDefault="00CB7796" w:rsidP="00364E4D">
      <w:pPr>
        <w:pStyle w:val="Nagwek7"/>
        <w:rPr>
          <w:rFonts w:ascii="Calibri" w:hAnsi="Calibri" w:cs="Calibri"/>
          <w:b/>
          <w:bCs/>
          <w:i/>
          <w:iCs/>
        </w:rPr>
      </w:pPr>
    </w:p>
    <w:p w14:paraId="1FA6BFC7" w14:textId="77777777" w:rsidR="00656AC1" w:rsidRPr="00A23FB4" w:rsidRDefault="00656AC1" w:rsidP="00364E4D">
      <w:pPr>
        <w:pStyle w:val="Nagwek7"/>
        <w:rPr>
          <w:rFonts w:ascii="Calibri" w:hAnsi="Calibri" w:cs="Calibri"/>
          <w:b/>
          <w:bCs/>
          <w:iCs/>
        </w:rPr>
      </w:pPr>
      <w:r w:rsidRPr="00A23FB4">
        <w:rPr>
          <w:rFonts w:ascii="Calibri" w:hAnsi="Calibri" w:cs="Calibri"/>
          <w:b/>
          <w:bCs/>
          <w:iCs/>
        </w:rPr>
        <w:t>1.5.1. Przekazanie terenu budowy</w:t>
      </w:r>
    </w:p>
    <w:p w14:paraId="5B17EE3D" w14:textId="5913EF9B" w:rsidR="00656AC1" w:rsidRPr="00A23FB4" w:rsidRDefault="00656AC1" w:rsidP="00364E4D">
      <w:pPr>
        <w:rPr>
          <w:rFonts w:ascii="Calibri" w:hAnsi="Calibri" w:cs="Calibri"/>
        </w:rPr>
      </w:pPr>
      <w:r w:rsidRPr="00A23FB4">
        <w:rPr>
          <w:rFonts w:ascii="Calibri" w:hAnsi="Calibri" w:cs="Calibri"/>
        </w:rPr>
        <w:t xml:space="preserve">Zamawiający w terminie określonym w dokumentach kontraktowych przekaże Wykonawcy teren budowy wraz ze wszystkimi wymaganymi uzgodnieniami prawnymi i administracyjnymi, lokalizację i współrzędne punktów głównych trasy oraz reperów, dziennik budowy oraz dwa egzemplarze dokumentacji projektowej i dwa komplety </w:t>
      </w:r>
      <w:r w:rsidR="00D6320D">
        <w:rPr>
          <w:rFonts w:ascii="Calibri" w:hAnsi="Calibri" w:cs="Calibri"/>
        </w:rPr>
        <w:t>ST</w:t>
      </w:r>
      <w:r w:rsidR="00E22F37" w:rsidRPr="00A23FB4">
        <w:rPr>
          <w:rFonts w:ascii="Calibri" w:hAnsi="Calibri" w:cs="Calibri"/>
        </w:rPr>
        <w:t>WiORB</w:t>
      </w:r>
      <w:r w:rsidRPr="00A23FB4">
        <w:rPr>
          <w:rFonts w:ascii="Calibri" w:hAnsi="Calibri" w:cs="Calibri"/>
        </w:rPr>
        <w:t>.</w:t>
      </w:r>
    </w:p>
    <w:p w14:paraId="401B75CC" w14:textId="77777777" w:rsidR="00656AC1" w:rsidRPr="00A23FB4" w:rsidRDefault="00656AC1" w:rsidP="00364E4D">
      <w:pPr>
        <w:rPr>
          <w:rFonts w:ascii="Calibri" w:hAnsi="Calibri" w:cs="Calibri"/>
        </w:rPr>
      </w:pPr>
      <w:r w:rsidRPr="00A23FB4">
        <w:rPr>
          <w:rFonts w:ascii="Calibri" w:hAnsi="Calibri" w:cs="Calibri"/>
        </w:rPr>
        <w:t>Na Wykonawcy spoczywa odpowiedzialność za ochronę przekazanych mu punktów pomiarowych do chwili odbioru ostatecznego robót. Uszkodzone lub zniszczone znaki geodezyjne Wykonawca odtworzy i utrwali na własny koszt.</w:t>
      </w:r>
    </w:p>
    <w:p w14:paraId="7882F291" w14:textId="77777777" w:rsidR="00CB7796" w:rsidRPr="00A23FB4" w:rsidRDefault="00CB7796" w:rsidP="00364E4D">
      <w:pPr>
        <w:pStyle w:val="Nagwek7"/>
        <w:rPr>
          <w:rFonts w:ascii="Calibri" w:hAnsi="Calibri" w:cs="Calibri"/>
          <w:b/>
          <w:bCs/>
          <w:i/>
          <w:iCs/>
        </w:rPr>
      </w:pPr>
    </w:p>
    <w:p w14:paraId="52A08E40" w14:textId="77777777" w:rsidR="00656AC1" w:rsidRPr="00A23FB4" w:rsidRDefault="00656AC1" w:rsidP="00364E4D">
      <w:pPr>
        <w:pStyle w:val="Nagwek7"/>
        <w:rPr>
          <w:rFonts w:ascii="Calibri" w:hAnsi="Calibri" w:cs="Calibri"/>
          <w:b/>
          <w:bCs/>
          <w:iCs/>
        </w:rPr>
      </w:pPr>
      <w:r w:rsidRPr="00A23FB4">
        <w:rPr>
          <w:rFonts w:ascii="Calibri" w:hAnsi="Calibri" w:cs="Calibri"/>
          <w:b/>
          <w:bCs/>
          <w:iCs/>
        </w:rPr>
        <w:t>1.5.2. Dokumentacja projektowa</w:t>
      </w:r>
    </w:p>
    <w:p w14:paraId="747E048A" w14:textId="77777777" w:rsidR="00656AC1" w:rsidRPr="00A23FB4" w:rsidRDefault="00656AC1" w:rsidP="00364E4D">
      <w:pPr>
        <w:rPr>
          <w:rFonts w:ascii="Calibri" w:hAnsi="Calibri" w:cs="Calibri"/>
        </w:rPr>
      </w:pPr>
      <w:r w:rsidRPr="00A23FB4">
        <w:rPr>
          <w:rFonts w:ascii="Calibri" w:hAnsi="Calibri" w:cs="Calibri"/>
        </w:rPr>
        <w:t>Dokumentacja projektowa będzie zawierać rysunki, obliczenia i dokumenty, zgodne z wykazem podanym w szczegółowych warunkach umowy.</w:t>
      </w:r>
    </w:p>
    <w:p w14:paraId="2181136D" w14:textId="77777777" w:rsidR="00CB7796" w:rsidRPr="00A23FB4" w:rsidRDefault="00CB7796" w:rsidP="00364E4D">
      <w:pPr>
        <w:rPr>
          <w:rFonts w:ascii="Calibri" w:hAnsi="Calibri" w:cs="Calibri"/>
        </w:rPr>
      </w:pPr>
    </w:p>
    <w:p w14:paraId="6FD308A6" w14:textId="7CAD089E" w:rsidR="00656AC1" w:rsidRPr="00A23FB4" w:rsidRDefault="00656AC1" w:rsidP="00364E4D">
      <w:pPr>
        <w:pStyle w:val="Nagwek7"/>
        <w:rPr>
          <w:rFonts w:ascii="Calibri" w:hAnsi="Calibri" w:cs="Calibri"/>
          <w:b/>
          <w:bCs/>
          <w:iCs/>
        </w:rPr>
      </w:pPr>
      <w:r w:rsidRPr="00A23FB4">
        <w:rPr>
          <w:rFonts w:ascii="Calibri" w:hAnsi="Calibri" w:cs="Calibri"/>
          <w:b/>
          <w:bCs/>
          <w:iCs/>
        </w:rPr>
        <w:t xml:space="preserve">1.5.3. Zgodność robót z dokumentacją projektową i </w:t>
      </w:r>
      <w:r w:rsidR="00D6320D">
        <w:rPr>
          <w:rFonts w:ascii="Calibri" w:hAnsi="Calibri" w:cs="Calibri"/>
          <w:b/>
          <w:bCs/>
          <w:iCs/>
        </w:rPr>
        <w:t>ST</w:t>
      </w:r>
      <w:r w:rsidR="00E22F37" w:rsidRPr="00A23FB4">
        <w:rPr>
          <w:rFonts w:ascii="Calibri" w:hAnsi="Calibri" w:cs="Calibri"/>
          <w:b/>
          <w:bCs/>
          <w:iCs/>
        </w:rPr>
        <w:t>WiORB</w:t>
      </w:r>
    </w:p>
    <w:p w14:paraId="0DFFB029" w14:textId="17AFC7D4" w:rsidR="00656AC1" w:rsidRPr="00A23FB4" w:rsidRDefault="00656AC1" w:rsidP="00364E4D">
      <w:pPr>
        <w:rPr>
          <w:rFonts w:ascii="Calibri" w:hAnsi="Calibri" w:cs="Calibri"/>
        </w:rPr>
      </w:pPr>
      <w:r w:rsidRPr="00A23FB4">
        <w:rPr>
          <w:rFonts w:ascii="Calibri" w:hAnsi="Calibri" w:cs="Calibri"/>
        </w:rPr>
        <w:t xml:space="preserve">Dokumentacja projektowa, </w:t>
      </w:r>
      <w:r w:rsidR="00D6320D">
        <w:rPr>
          <w:rFonts w:ascii="Calibri" w:hAnsi="Calibri" w:cs="Calibri"/>
        </w:rPr>
        <w:t>ST</w:t>
      </w:r>
      <w:r w:rsidR="00E22F37" w:rsidRPr="00A23FB4">
        <w:rPr>
          <w:rFonts w:ascii="Calibri" w:hAnsi="Calibri" w:cs="Calibri"/>
        </w:rPr>
        <w:t>WiORB</w:t>
      </w:r>
      <w:r w:rsidRPr="00A23FB4">
        <w:rPr>
          <w:rFonts w:ascii="Calibri" w:hAnsi="Calibri" w:cs="Calibri"/>
        </w:rPr>
        <w:t xml:space="preserve"> i wszystkie dodatkowe dokumenty </w:t>
      </w:r>
      <w:r w:rsidR="009A5E24">
        <w:rPr>
          <w:rFonts w:ascii="Calibri" w:hAnsi="Calibri" w:cs="Calibri"/>
        </w:rPr>
        <w:t xml:space="preserve">kontraktowe </w:t>
      </w:r>
      <w:r w:rsidRPr="00A23FB4">
        <w:rPr>
          <w:rFonts w:ascii="Calibri" w:hAnsi="Calibri" w:cs="Calibri"/>
        </w:rPr>
        <w:t>stanowią część umowy, a wymagania określone w choćby jednym z nich są obowiązujące dla Wykonawcy tak jakby zawarte były w całej dokumentacji.</w:t>
      </w:r>
    </w:p>
    <w:p w14:paraId="2515BF15" w14:textId="77777777" w:rsidR="00656AC1" w:rsidRPr="00A23FB4" w:rsidRDefault="00656AC1" w:rsidP="00364E4D">
      <w:pPr>
        <w:rPr>
          <w:rFonts w:ascii="Calibri" w:hAnsi="Calibri" w:cs="Calibri"/>
        </w:rPr>
      </w:pPr>
      <w:r w:rsidRPr="00A23FB4">
        <w:rPr>
          <w:rFonts w:ascii="Calibri" w:hAnsi="Calibri" w:cs="Calibri"/>
        </w:rPr>
        <w:t>W przypadku rozbieżności w ustaleniach poszczególnych dokumentów obowiązuje kolejność ich ważności wymieniona w „Ogólnych warunkach umowy”.</w:t>
      </w:r>
    </w:p>
    <w:p w14:paraId="4E504638" w14:textId="77777777" w:rsidR="00656AC1" w:rsidRPr="00A23FB4" w:rsidRDefault="00656AC1" w:rsidP="00364E4D">
      <w:pPr>
        <w:rPr>
          <w:rFonts w:ascii="Calibri" w:hAnsi="Calibri" w:cs="Calibri"/>
        </w:rPr>
      </w:pPr>
      <w:r w:rsidRPr="00A23FB4">
        <w:rPr>
          <w:rFonts w:ascii="Calibri" w:hAnsi="Calibri" w:cs="Calibri"/>
        </w:rPr>
        <w:t>Wykonawca nie może wykorzystywać błędów lub opuszczeń w dokumentach kontraktowych, a o ich wykryciu winien natychmiast powiadomić Inżyniera/Kierownika projektu, który podejmie decyzję o wprowadzeniu odpowiednich zmian i poprawek.</w:t>
      </w:r>
    </w:p>
    <w:p w14:paraId="78A2B805" w14:textId="77777777" w:rsidR="00656AC1" w:rsidRPr="00A23FB4" w:rsidRDefault="00656AC1" w:rsidP="00364E4D">
      <w:pPr>
        <w:rPr>
          <w:rFonts w:ascii="Calibri" w:hAnsi="Calibri" w:cs="Calibri"/>
        </w:rPr>
      </w:pPr>
      <w:r w:rsidRPr="00A23FB4">
        <w:rPr>
          <w:rFonts w:ascii="Calibri" w:hAnsi="Calibri" w:cs="Calibri"/>
        </w:rPr>
        <w:t>W przypadku rozbieżności, wymiary podane na piśmie są ważniejsze od wymiarów określonych na podstawie odczytu ze skali rysunku.</w:t>
      </w:r>
    </w:p>
    <w:p w14:paraId="157A8451" w14:textId="609C5CB0" w:rsidR="00656AC1" w:rsidRPr="00A23FB4" w:rsidRDefault="00656AC1" w:rsidP="00364E4D">
      <w:pPr>
        <w:rPr>
          <w:rFonts w:ascii="Calibri" w:hAnsi="Calibri" w:cs="Calibri"/>
        </w:rPr>
      </w:pPr>
      <w:r w:rsidRPr="00A23FB4">
        <w:rPr>
          <w:rFonts w:ascii="Calibri" w:hAnsi="Calibri" w:cs="Calibri"/>
        </w:rPr>
        <w:t xml:space="preserve">Wszystkie wykonane roboty i dostarczone materiały będą zgodne z dokumentacją projektową i </w:t>
      </w:r>
      <w:r w:rsidR="00D6320D">
        <w:rPr>
          <w:rFonts w:ascii="Calibri" w:hAnsi="Calibri" w:cs="Calibri"/>
        </w:rPr>
        <w:t>ST</w:t>
      </w:r>
      <w:r w:rsidR="00E22F37" w:rsidRPr="00A23FB4">
        <w:rPr>
          <w:rFonts w:ascii="Calibri" w:hAnsi="Calibri" w:cs="Calibri"/>
        </w:rPr>
        <w:t>WiORB</w:t>
      </w:r>
      <w:r w:rsidRPr="00A23FB4">
        <w:rPr>
          <w:rFonts w:ascii="Calibri" w:hAnsi="Calibri" w:cs="Calibri"/>
        </w:rPr>
        <w:t>.</w:t>
      </w:r>
    </w:p>
    <w:p w14:paraId="1832CB81" w14:textId="4F62AA6E" w:rsidR="00656AC1" w:rsidRPr="00A23FB4" w:rsidRDefault="00656AC1" w:rsidP="00364E4D">
      <w:pPr>
        <w:rPr>
          <w:rFonts w:ascii="Calibri" w:hAnsi="Calibri" w:cs="Calibri"/>
        </w:rPr>
      </w:pPr>
      <w:r w:rsidRPr="00A23FB4">
        <w:rPr>
          <w:rFonts w:ascii="Calibri" w:hAnsi="Calibri" w:cs="Calibri"/>
        </w:rPr>
        <w:t xml:space="preserve">Dane określone w dokumentacji projektowej i w </w:t>
      </w:r>
      <w:r w:rsidR="00D6320D">
        <w:rPr>
          <w:rFonts w:ascii="Calibri" w:hAnsi="Calibri" w:cs="Calibri"/>
        </w:rPr>
        <w:t>ST</w:t>
      </w:r>
      <w:r w:rsidR="00E22F37" w:rsidRPr="00A23FB4">
        <w:rPr>
          <w:rFonts w:ascii="Calibri" w:hAnsi="Calibri" w:cs="Calibri"/>
        </w:rPr>
        <w:t>WiORB</w:t>
      </w:r>
      <w:r w:rsidRPr="00A23FB4">
        <w:rPr>
          <w:rFonts w:ascii="Calibri" w:hAnsi="Calibri" w:cs="Calibri"/>
        </w:rPr>
        <w:t xml:space="preserve"> będą uważane za wartości docelowe, od których dopuszczalne są odchylenia w ramach określonego przedziału tolerancji. Cechy materiałów i elementów budowli muszą wykazywać zgodność z określonymi wymaganiami, a rozrzuty tych cech nie mogą przekraczać dopuszczalnego przedziału tolerancji.</w:t>
      </w:r>
    </w:p>
    <w:p w14:paraId="6FB5D08D" w14:textId="24082B9D" w:rsidR="00656AC1" w:rsidRPr="00A23FB4" w:rsidRDefault="00656AC1" w:rsidP="00364E4D">
      <w:pPr>
        <w:rPr>
          <w:rFonts w:ascii="Calibri" w:hAnsi="Calibri" w:cs="Calibri"/>
        </w:rPr>
      </w:pPr>
      <w:r w:rsidRPr="00A23FB4">
        <w:rPr>
          <w:rFonts w:ascii="Calibri" w:hAnsi="Calibri" w:cs="Calibri"/>
        </w:rPr>
        <w:t xml:space="preserve">W przypadku, gdy materiały lub roboty nie będą zgodne z dokumentacją projektową lub </w:t>
      </w:r>
      <w:r w:rsidR="000907B8">
        <w:rPr>
          <w:rFonts w:ascii="Calibri" w:hAnsi="Calibri" w:cs="Calibri"/>
        </w:rPr>
        <w:t>ST</w:t>
      </w:r>
      <w:r w:rsidR="00E22F37" w:rsidRPr="00A23FB4">
        <w:rPr>
          <w:rFonts w:ascii="Calibri" w:hAnsi="Calibri" w:cs="Calibri"/>
        </w:rPr>
        <w:t>WiORB</w:t>
      </w:r>
      <w:r w:rsidRPr="00A23FB4">
        <w:rPr>
          <w:rFonts w:ascii="Calibri" w:hAnsi="Calibri" w:cs="Calibri"/>
        </w:rPr>
        <w:t xml:space="preserve"> i wpłynie to na niezadowalającą jakość elementu budowli, to takie materiały zostaną zastąpione innymi, a elementy budowli </w:t>
      </w:r>
      <w:r w:rsidRPr="00A23FB4">
        <w:rPr>
          <w:rFonts w:ascii="Calibri" w:hAnsi="Calibri" w:cs="Calibri"/>
        </w:rPr>
        <w:lastRenderedPageBreak/>
        <w:t>rozebrane i wykonane ponownie na koszt Wykonawcy</w:t>
      </w:r>
      <w:r w:rsidR="009A5E24">
        <w:rPr>
          <w:rFonts w:ascii="Calibri" w:hAnsi="Calibri" w:cs="Calibri"/>
        </w:rPr>
        <w:t xml:space="preserve"> lub zostaną podjęte działania naprawcze przewidziane w szczegółowych specyfikacjach technicznych</w:t>
      </w:r>
      <w:r w:rsidRPr="00A23FB4">
        <w:rPr>
          <w:rFonts w:ascii="Calibri" w:hAnsi="Calibri" w:cs="Calibri"/>
        </w:rPr>
        <w:t>.</w:t>
      </w:r>
    </w:p>
    <w:p w14:paraId="2D0EB65F" w14:textId="77777777" w:rsidR="00CB7796" w:rsidRPr="00A23FB4" w:rsidRDefault="00CB7796" w:rsidP="00364E4D">
      <w:pPr>
        <w:pStyle w:val="Nagwek7"/>
        <w:rPr>
          <w:rFonts w:ascii="Calibri" w:hAnsi="Calibri" w:cs="Calibri"/>
          <w:b/>
          <w:bCs/>
          <w:i/>
          <w:iCs/>
        </w:rPr>
      </w:pPr>
    </w:p>
    <w:p w14:paraId="28772BD0" w14:textId="77777777" w:rsidR="00577B07" w:rsidRPr="00A23FB4" w:rsidRDefault="00577B07" w:rsidP="00364E4D">
      <w:pPr>
        <w:pStyle w:val="Nagwek7"/>
        <w:rPr>
          <w:rFonts w:ascii="Calibri" w:hAnsi="Calibri" w:cs="Calibri"/>
          <w:b/>
          <w:bCs/>
          <w:iCs/>
        </w:rPr>
      </w:pPr>
    </w:p>
    <w:p w14:paraId="7ED8811B" w14:textId="77777777" w:rsidR="00656AC1" w:rsidRPr="00A23FB4" w:rsidRDefault="00656AC1" w:rsidP="00364E4D">
      <w:pPr>
        <w:pStyle w:val="Nagwek7"/>
        <w:rPr>
          <w:rFonts w:ascii="Calibri" w:hAnsi="Calibri" w:cs="Calibri"/>
          <w:b/>
          <w:bCs/>
          <w:iCs/>
        </w:rPr>
      </w:pPr>
      <w:r w:rsidRPr="00A23FB4">
        <w:rPr>
          <w:rFonts w:ascii="Calibri" w:hAnsi="Calibri" w:cs="Calibri"/>
          <w:b/>
          <w:bCs/>
          <w:iCs/>
        </w:rPr>
        <w:t>1.5.4. Zabezpieczenie terenu budowy</w:t>
      </w:r>
    </w:p>
    <w:p w14:paraId="52DDF200" w14:textId="77777777" w:rsidR="00656AC1" w:rsidRPr="00A23FB4" w:rsidRDefault="00656AC1" w:rsidP="00364E4D">
      <w:pPr>
        <w:rPr>
          <w:rFonts w:ascii="Calibri" w:hAnsi="Calibri" w:cs="Calibri"/>
        </w:rPr>
      </w:pPr>
      <w:r w:rsidRPr="00A23FB4">
        <w:rPr>
          <w:rFonts w:ascii="Calibri" w:hAnsi="Calibri" w:cs="Calibri"/>
        </w:rPr>
        <w:t>Wykonawca jest zobowiązany do utrzymania ruchu publicznego oraz utrzymania istniejących obiektów (jezdnie, ciągi piesze, znaki drogowe, bariery ochronne, urządzenia odwodnienia itp.) na terenie budowy, w okresie trwania realizacji kontraktu, aż do zakończenia i odbioru ostatecznego robót.</w:t>
      </w:r>
    </w:p>
    <w:p w14:paraId="2799DA52" w14:textId="77777777" w:rsidR="00656AC1" w:rsidRPr="00A23FB4" w:rsidRDefault="00656AC1" w:rsidP="00364E4D">
      <w:pPr>
        <w:rPr>
          <w:rFonts w:ascii="Calibri" w:hAnsi="Calibri" w:cs="Calibri"/>
        </w:rPr>
      </w:pPr>
      <w:r w:rsidRPr="00A23FB4">
        <w:rPr>
          <w:rFonts w:ascii="Calibri" w:hAnsi="Calibri" w:cs="Calibri"/>
        </w:rPr>
        <w:t>W czasie wykonywania robót Wykonawca dostarczy, zainstaluje i będzie obsługiwał wszystkie tymczasowe urządzenia zabezpieczające takie jak: zapory, światła ostrzegawcze, sygnały, itp., zapewniając w ten sposób bezpieczeństwo pojazdów i pieszych.</w:t>
      </w:r>
    </w:p>
    <w:p w14:paraId="545939FB" w14:textId="77777777" w:rsidR="00656AC1" w:rsidRPr="00A23FB4" w:rsidRDefault="00656AC1" w:rsidP="00364E4D">
      <w:pPr>
        <w:rPr>
          <w:rFonts w:ascii="Calibri" w:hAnsi="Calibri" w:cs="Calibri"/>
        </w:rPr>
      </w:pPr>
      <w:r w:rsidRPr="00A23FB4">
        <w:rPr>
          <w:rFonts w:ascii="Calibri" w:hAnsi="Calibri" w:cs="Calibri"/>
        </w:rPr>
        <w:t>Wykonawca zapewni stałe warunki widoczności w dzień i w nocy tych zapór i znaków, dla których jest to nieodzowne ze względów bezpieczeństwa.</w:t>
      </w:r>
    </w:p>
    <w:p w14:paraId="7E1222E1" w14:textId="77777777" w:rsidR="00656AC1" w:rsidRPr="00A23FB4" w:rsidRDefault="00656AC1" w:rsidP="00364E4D">
      <w:pPr>
        <w:rPr>
          <w:rFonts w:ascii="Calibri" w:hAnsi="Calibri" w:cs="Calibri"/>
        </w:rPr>
      </w:pPr>
      <w:r w:rsidRPr="00A23FB4">
        <w:rPr>
          <w:rFonts w:ascii="Calibri" w:hAnsi="Calibri" w:cs="Calibri"/>
        </w:rPr>
        <w:t>Wszystkie znaki, zapory i inne urządzenia zabezpieczające będą akceptowane przez Inżyniera/Kierownika projektu.</w:t>
      </w:r>
    </w:p>
    <w:p w14:paraId="18D103A2" w14:textId="77777777" w:rsidR="00656AC1" w:rsidRPr="00A23FB4" w:rsidRDefault="00656AC1" w:rsidP="00364E4D">
      <w:pPr>
        <w:rPr>
          <w:rFonts w:ascii="Calibri" w:hAnsi="Calibri" w:cs="Calibri"/>
        </w:rPr>
      </w:pPr>
      <w:r w:rsidRPr="00A23FB4">
        <w:rPr>
          <w:rFonts w:ascii="Calibri" w:hAnsi="Calibri" w:cs="Calibri"/>
        </w:rPr>
        <w:t>Fakt przystąpienia do robót Wykonawca obwieści publicznie przed ich rozpoczęciem w sposób uzgodniony z Inżynierem/Kierownikiem projektu oraz przez umieszczenie, w miejscach i ilościach określonych przez Inżyniera/Kierownika projektu, tablic informacyjnych, których treść będzie zatwierdzona przez Inżyniera/Kierownika projektu. Tablice informacyjne będą utrzymywane przez Wykonawcę w dobrym stanie przez cały okres realizacji robót.</w:t>
      </w:r>
    </w:p>
    <w:p w14:paraId="258514ED" w14:textId="77777777" w:rsidR="00656AC1" w:rsidRPr="00A23FB4" w:rsidRDefault="00656AC1" w:rsidP="00364E4D">
      <w:pPr>
        <w:rPr>
          <w:rFonts w:ascii="Calibri" w:hAnsi="Calibri" w:cs="Calibri"/>
        </w:rPr>
      </w:pPr>
      <w:r w:rsidRPr="00A23FB4">
        <w:rPr>
          <w:rFonts w:ascii="Calibri" w:hAnsi="Calibri" w:cs="Calibri"/>
        </w:rPr>
        <w:t>Koszt zabezpieczenia terenu budowy nie podlega odrębnej zapłacie i przyjmuje się, że jest włączony w cenę kontraktową.</w:t>
      </w:r>
    </w:p>
    <w:p w14:paraId="7D808EFA" w14:textId="77777777" w:rsidR="00CB7796" w:rsidRPr="00A23FB4" w:rsidRDefault="00CB7796" w:rsidP="00364E4D">
      <w:pPr>
        <w:pStyle w:val="Nagwek7"/>
        <w:rPr>
          <w:rFonts w:ascii="Calibri" w:hAnsi="Calibri" w:cs="Calibri"/>
          <w:b/>
          <w:bCs/>
          <w:i/>
          <w:iCs/>
        </w:rPr>
      </w:pPr>
    </w:p>
    <w:p w14:paraId="47FA0694" w14:textId="77777777" w:rsidR="00656AC1" w:rsidRPr="00A23FB4" w:rsidRDefault="00656AC1" w:rsidP="00364E4D">
      <w:pPr>
        <w:pStyle w:val="Nagwek7"/>
        <w:rPr>
          <w:rFonts w:ascii="Calibri" w:hAnsi="Calibri" w:cs="Calibri"/>
          <w:b/>
          <w:bCs/>
          <w:iCs/>
        </w:rPr>
      </w:pPr>
      <w:r w:rsidRPr="00A23FB4">
        <w:rPr>
          <w:rFonts w:ascii="Calibri" w:hAnsi="Calibri" w:cs="Calibri"/>
          <w:b/>
          <w:bCs/>
          <w:iCs/>
        </w:rPr>
        <w:t>1.5.5. Ochrona środowiska w czasie wykonywania robót</w:t>
      </w:r>
    </w:p>
    <w:p w14:paraId="5DDB3C0C" w14:textId="77777777" w:rsidR="00656AC1" w:rsidRPr="00A23FB4" w:rsidRDefault="00656AC1" w:rsidP="00364E4D">
      <w:pPr>
        <w:rPr>
          <w:rFonts w:ascii="Calibri" w:hAnsi="Calibri" w:cs="Calibri"/>
        </w:rPr>
      </w:pPr>
      <w:r w:rsidRPr="00A23FB4">
        <w:rPr>
          <w:rFonts w:ascii="Calibri" w:hAnsi="Calibri" w:cs="Calibri"/>
        </w:rPr>
        <w:t>Wykonawca ma obowiązek znać i stosować w czasie prowadzenia robót wszelkie przepisy dotyczące ochrony środowiska naturalnego.</w:t>
      </w:r>
    </w:p>
    <w:p w14:paraId="3E9B81DC" w14:textId="77777777" w:rsidR="00656AC1" w:rsidRPr="00A23FB4" w:rsidRDefault="00656AC1" w:rsidP="00364E4D">
      <w:pPr>
        <w:rPr>
          <w:rFonts w:ascii="Calibri" w:hAnsi="Calibri" w:cs="Calibri"/>
        </w:rPr>
      </w:pPr>
      <w:r w:rsidRPr="00A23FB4">
        <w:rPr>
          <w:rFonts w:ascii="Calibri" w:hAnsi="Calibri" w:cs="Calibri"/>
        </w:rPr>
        <w:t>W okresie trwania budowy i wykańczania robót Wykonawca będzie:</w:t>
      </w:r>
    </w:p>
    <w:p w14:paraId="6ED1A52B" w14:textId="77777777" w:rsidR="00656AC1" w:rsidRPr="00A23FB4" w:rsidRDefault="00656AC1" w:rsidP="00954A11">
      <w:pPr>
        <w:numPr>
          <w:ilvl w:val="0"/>
          <w:numId w:val="2"/>
        </w:numPr>
        <w:rPr>
          <w:rFonts w:ascii="Calibri" w:hAnsi="Calibri" w:cs="Calibri"/>
        </w:rPr>
      </w:pPr>
      <w:r w:rsidRPr="00A23FB4">
        <w:rPr>
          <w:rFonts w:ascii="Calibri" w:hAnsi="Calibri" w:cs="Calibri"/>
        </w:rPr>
        <w:t>utrzymywać teren budowy i wykopy w stanie bez wody stojącej,</w:t>
      </w:r>
    </w:p>
    <w:p w14:paraId="7BBA5110" w14:textId="77777777" w:rsidR="00656AC1" w:rsidRPr="00A23FB4" w:rsidRDefault="00656AC1" w:rsidP="00954A11">
      <w:pPr>
        <w:numPr>
          <w:ilvl w:val="0"/>
          <w:numId w:val="2"/>
        </w:numPr>
        <w:rPr>
          <w:rFonts w:ascii="Calibri" w:hAnsi="Calibri" w:cs="Calibri"/>
        </w:rPr>
      </w:pPr>
      <w:r w:rsidRPr="00A23FB4">
        <w:rPr>
          <w:rFonts w:ascii="Calibri" w:hAnsi="Calibri" w:cs="Calibri"/>
        </w:rPr>
        <w:t xml:space="preserve">podejmować wszelkie uzasadnione kroki mające na celu stosowanie się do przepisów i norm dotyczących ochrony środowiska na terenie i wokół terenu budowy oraz będzie unikać uszkodzeń lub uciążliwości dla osób lub dóbr publicznych i innych, a wynikających z nadmiernego hałasu, wibracji, zanieczyszczenia lub innych przyczyn powstałych w następstwie jego sposobu działania. </w:t>
      </w:r>
    </w:p>
    <w:p w14:paraId="35C4C920" w14:textId="77777777" w:rsidR="00656AC1" w:rsidRPr="00A23FB4" w:rsidRDefault="00656AC1" w:rsidP="00364E4D">
      <w:pPr>
        <w:rPr>
          <w:rFonts w:ascii="Calibri" w:hAnsi="Calibri" w:cs="Calibri"/>
        </w:rPr>
      </w:pPr>
      <w:r w:rsidRPr="00A23FB4">
        <w:rPr>
          <w:rFonts w:ascii="Calibri" w:hAnsi="Calibri" w:cs="Calibri"/>
        </w:rPr>
        <w:t>Stosując się do tych wymagań będzie miał szczególny wzgląd na:</w:t>
      </w:r>
    </w:p>
    <w:p w14:paraId="5964A345" w14:textId="77777777" w:rsidR="00656AC1" w:rsidRPr="00A23FB4" w:rsidRDefault="00656AC1" w:rsidP="00954A11">
      <w:pPr>
        <w:numPr>
          <w:ilvl w:val="0"/>
          <w:numId w:val="3"/>
        </w:numPr>
        <w:rPr>
          <w:rFonts w:ascii="Calibri" w:hAnsi="Calibri" w:cs="Calibri"/>
        </w:rPr>
      </w:pPr>
      <w:r w:rsidRPr="00A23FB4">
        <w:rPr>
          <w:rFonts w:ascii="Calibri" w:hAnsi="Calibri" w:cs="Calibri"/>
        </w:rPr>
        <w:t>lokalizację baz, warsztatów, magazynów, składowisk, ukopów i dróg dojazdowych,</w:t>
      </w:r>
    </w:p>
    <w:p w14:paraId="04D87552" w14:textId="77777777" w:rsidR="00656AC1" w:rsidRPr="00A23FB4" w:rsidRDefault="00656AC1" w:rsidP="00954A11">
      <w:pPr>
        <w:numPr>
          <w:ilvl w:val="0"/>
          <w:numId w:val="3"/>
        </w:numPr>
        <w:rPr>
          <w:rFonts w:ascii="Calibri" w:hAnsi="Calibri" w:cs="Calibri"/>
        </w:rPr>
      </w:pPr>
      <w:r w:rsidRPr="00A23FB4">
        <w:rPr>
          <w:rFonts w:ascii="Calibri" w:hAnsi="Calibri" w:cs="Calibri"/>
        </w:rPr>
        <w:t>środki ostrożności i zabezpieczenia przed:</w:t>
      </w:r>
    </w:p>
    <w:p w14:paraId="7F1989CD" w14:textId="77777777" w:rsidR="00656AC1" w:rsidRPr="00A23FB4" w:rsidRDefault="00656AC1" w:rsidP="00954A11">
      <w:pPr>
        <w:numPr>
          <w:ilvl w:val="0"/>
          <w:numId w:val="4"/>
        </w:numPr>
        <w:rPr>
          <w:rFonts w:ascii="Calibri" w:hAnsi="Calibri" w:cs="Calibri"/>
        </w:rPr>
      </w:pPr>
      <w:r w:rsidRPr="00A23FB4">
        <w:rPr>
          <w:rFonts w:ascii="Calibri" w:hAnsi="Calibri" w:cs="Calibri"/>
        </w:rPr>
        <w:t>zanieczyszczeniem zbiorników i cieków wodnych pyłami lub substancjami toksycznymi,</w:t>
      </w:r>
    </w:p>
    <w:p w14:paraId="11C87476" w14:textId="77777777" w:rsidR="00656AC1" w:rsidRPr="00A23FB4" w:rsidRDefault="00656AC1" w:rsidP="00954A11">
      <w:pPr>
        <w:numPr>
          <w:ilvl w:val="0"/>
          <w:numId w:val="4"/>
        </w:numPr>
        <w:rPr>
          <w:rFonts w:ascii="Calibri" w:hAnsi="Calibri" w:cs="Calibri"/>
        </w:rPr>
      </w:pPr>
      <w:r w:rsidRPr="00A23FB4">
        <w:rPr>
          <w:rFonts w:ascii="Calibri" w:hAnsi="Calibri" w:cs="Calibri"/>
        </w:rPr>
        <w:t>zanieczyszczeniem powietrza pyłami i gazami,</w:t>
      </w:r>
    </w:p>
    <w:p w14:paraId="5228976D" w14:textId="77777777" w:rsidR="00656AC1" w:rsidRPr="00A23FB4" w:rsidRDefault="00656AC1" w:rsidP="00954A11">
      <w:pPr>
        <w:numPr>
          <w:ilvl w:val="0"/>
          <w:numId w:val="4"/>
        </w:numPr>
        <w:ind w:left="284" w:hanging="284"/>
        <w:rPr>
          <w:rFonts w:ascii="Calibri" w:hAnsi="Calibri" w:cs="Calibri"/>
        </w:rPr>
      </w:pPr>
      <w:r w:rsidRPr="00A23FB4">
        <w:rPr>
          <w:rFonts w:ascii="Calibri" w:hAnsi="Calibri" w:cs="Calibri"/>
        </w:rPr>
        <w:t>możliwością powstania pożaru.</w:t>
      </w:r>
    </w:p>
    <w:p w14:paraId="7A461227" w14:textId="77777777" w:rsidR="00CB7796" w:rsidRPr="00A23FB4" w:rsidRDefault="00CB7796" w:rsidP="00364E4D">
      <w:pPr>
        <w:pStyle w:val="Nagwek7"/>
        <w:rPr>
          <w:rFonts w:ascii="Calibri" w:hAnsi="Calibri" w:cs="Calibri"/>
          <w:b/>
          <w:bCs/>
          <w:i/>
          <w:iCs/>
        </w:rPr>
      </w:pPr>
    </w:p>
    <w:p w14:paraId="6D334F09" w14:textId="77777777" w:rsidR="00656AC1" w:rsidRPr="00A23FB4" w:rsidRDefault="00656AC1" w:rsidP="00364E4D">
      <w:pPr>
        <w:pStyle w:val="Nagwek7"/>
        <w:rPr>
          <w:rFonts w:ascii="Calibri" w:hAnsi="Calibri" w:cs="Calibri"/>
          <w:b/>
          <w:bCs/>
          <w:iCs/>
        </w:rPr>
      </w:pPr>
      <w:r w:rsidRPr="00A23FB4">
        <w:rPr>
          <w:rFonts w:ascii="Calibri" w:hAnsi="Calibri" w:cs="Calibri"/>
          <w:b/>
          <w:bCs/>
          <w:iCs/>
        </w:rPr>
        <w:t>1.5.6. Ochrona przeciwpożarowa</w:t>
      </w:r>
    </w:p>
    <w:p w14:paraId="646C099F" w14:textId="77777777" w:rsidR="00656AC1" w:rsidRPr="00A23FB4" w:rsidRDefault="00656AC1" w:rsidP="00364E4D">
      <w:pPr>
        <w:rPr>
          <w:rFonts w:ascii="Calibri" w:hAnsi="Calibri" w:cs="Calibri"/>
        </w:rPr>
      </w:pPr>
      <w:r w:rsidRPr="00A23FB4">
        <w:rPr>
          <w:rFonts w:ascii="Calibri" w:hAnsi="Calibri" w:cs="Calibri"/>
        </w:rPr>
        <w:t>Wykonawca będzie przestrzegać przepisy ochrony przeciwpożarowej.</w:t>
      </w:r>
    </w:p>
    <w:p w14:paraId="1FBA149F" w14:textId="77777777" w:rsidR="00656AC1" w:rsidRPr="00A23FB4" w:rsidRDefault="00656AC1" w:rsidP="00364E4D">
      <w:pPr>
        <w:rPr>
          <w:rFonts w:ascii="Calibri" w:hAnsi="Calibri" w:cs="Calibri"/>
        </w:rPr>
      </w:pPr>
      <w:r w:rsidRPr="00A23FB4">
        <w:rPr>
          <w:rFonts w:ascii="Calibri" w:hAnsi="Calibri" w:cs="Calibri"/>
        </w:rPr>
        <w:t>Wykonawca będzie utrzymywać, wymagany na podstawie odpowiednich przepisów sprawny sprzęt przeciwpożarowy, na terenie baz produkcyjnych, w pomieszczeniach biurowych, mieszkalnych, magazynach oraz w maszynach i pojazdach.</w:t>
      </w:r>
    </w:p>
    <w:p w14:paraId="40B5D4E7" w14:textId="77777777" w:rsidR="00656AC1" w:rsidRPr="00A23FB4" w:rsidRDefault="00656AC1" w:rsidP="00364E4D">
      <w:pPr>
        <w:rPr>
          <w:rFonts w:ascii="Calibri" w:hAnsi="Calibri" w:cs="Calibri"/>
        </w:rPr>
      </w:pPr>
      <w:r w:rsidRPr="00A23FB4">
        <w:rPr>
          <w:rFonts w:ascii="Calibri" w:hAnsi="Calibri" w:cs="Calibri"/>
        </w:rPr>
        <w:t>Materiały łatwopalne będą składowane w sposób zgodny z odpowiednimi przepisami i zabezpieczone przed dostępem osób trzecich.</w:t>
      </w:r>
    </w:p>
    <w:p w14:paraId="1AB58427" w14:textId="77777777" w:rsidR="00656AC1" w:rsidRPr="00A23FB4" w:rsidRDefault="00656AC1" w:rsidP="00364E4D">
      <w:pPr>
        <w:rPr>
          <w:rFonts w:ascii="Calibri" w:hAnsi="Calibri" w:cs="Calibri"/>
        </w:rPr>
      </w:pPr>
      <w:r w:rsidRPr="00A23FB4">
        <w:rPr>
          <w:rFonts w:ascii="Calibri" w:hAnsi="Calibri" w:cs="Calibri"/>
        </w:rPr>
        <w:t>Wykonawca będzie odpowiedzialny za wszelkie straty spowodowane pożarem wywołanym jako rezultat realizacji robót albo przez personel Wykonawcy.</w:t>
      </w:r>
    </w:p>
    <w:p w14:paraId="409B84AA" w14:textId="77777777" w:rsidR="00CB7796" w:rsidRPr="00A23FB4" w:rsidRDefault="00CB7796" w:rsidP="00364E4D">
      <w:pPr>
        <w:pStyle w:val="Nagwek7"/>
        <w:rPr>
          <w:rFonts w:ascii="Calibri" w:hAnsi="Calibri" w:cs="Calibri"/>
          <w:b/>
          <w:bCs/>
          <w:i/>
          <w:iCs/>
        </w:rPr>
      </w:pPr>
    </w:p>
    <w:p w14:paraId="293D45F3" w14:textId="77777777" w:rsidR="00656AC1" w:rsidRPr="00A23FB4" w:rsidRDefault="00656AC1" w:rsidP="00364E4D">
      <w:pPr>
        <w:pStyle w:val="Nagwek7"/>
        <w:rPr>
          <w:rFonts w:ascii="Calibri" w:hAnsi="Calibri" w:cs="Calibri"/>
          <w:b/>
          <w:bCs/>
          <w:iCs/>
        </w:rPr>
      </w:pPr>
      <w:r w:rsidRPr="00A23FB4">
        <w:rPr>
          <w:rFonts w:ascii="Calibri" w:hAnsi="Calibri" w:cs="Calibri"/>
          <w:b/>
          <w:bCs/>
          <w:iCs/>
        </w:rPr>
        <w:t>1.5.7. Materiały szkodliwe dla otoczenia</w:t>
      </w:r>
    </w:p>
    <w:p w14:paraId="2EB14D1A" w14:textId="77777777" w:rsidR="00656AC1" w:rsidRPr="00A23FB4" w:rsidRDefault="00656AC1" w:rsidP="00364E4D">
      <w:pPr>
        <w:rPr>
          <w:rFonts w:ascii="Calibri" w:hAnsi="Calibri" w:cs="Calibri"/>
        </w:rPr>
      </w:pPr>
      <w:r w:rsidRPr="00A23FB4">
        <w:rPr>
          <w:rFonts w:ascii="Calibri" w:hAnsi="Calibri" w:cs="Calibri"/>
        </w:rPr>
        <w:t>Materiały, które w sposób trwały są szkodliwe dla otoczenia, nie będą dopuszczone do użycia.</w:t>
      </w:r>
    </w:p>
    <w:p w14:paraId="62E79F68" w14:textId="77777777" w:rsidR="00656AC1" w:rsidRPr="00A23FB4" w:rsidRDefault="00656AC1" w:rsidP="00364E4D">
      <w:pPr>
        <w:rPr>
          <w:rFonts w:ascii="Calibri" w:hAnsi="Calibri" w:cs="Calibri"/>
        </w:rPr>
      </w:pPr>
      <w:r w:rsidRPr="00A23FB4">
        <w:rPr>
          <w:rFonts w:ascii="Calibri" w:hAnsi="Calibri" w:cs="Calibri"/>
        </w:rPr>
        <w:t>Nie dopuszcza się użycia materiałów wywołujących szkodliwe promieniowanie o stężeniu większym od dopuszczalnego, określonego odpowiednimi przepisami.</w:t>
      </w:r>
    </w:p>
    <w:p w14:paraId="6ADB4520" w14:textId="77777777" w:rsidR="00656AC1" w:rsidRPr="00A23FB4" w:rsidRDefault="00656AC1" w:rsidP="00364E4D">
      <w:pPr>
        <w:rPr>
          <w:rFonts w:ascii="Calibri" w:hAnsi="Calibri" w:cs="Calibri"/>
        </w:rPr>
      </w:pPr>
      <w:r w:rsidRPr="00A23FB4">
        <w:rPr>
          <w:rFonts w:ascii="Calibri" w:hAnsi="Calibri" w:cs="Calibri"/>
        </w:rPr>
        <w:t>Wszelkie materiały odpadowe użyte do robót będą miały aprobatę techniczną wydaną przez uprawnioną jednostkę, jednoznacznie określającą brak szkodliwego oddziaływania tych materiałów na środowisko.</w:t>
      </w:r>
    </w:p>
    <w:p w14:paraId="78F7CF7D" w14:textId="77777777" w:rsidR="00656AC1" w:rsidRPr="00A23FB4" w:rsidRDefault="00656AC1" w:rsidP="00364E4D">
      <w:pPr>
        <w:rPr>
          <w:rFonts w:ascii="Calibri" w:hAnsi="Calibri" w:cs="Calibri"/>
        </w:rPr>
      </w:pPr>
      <w:r w:rsidRPr="00A23FB4">
        <w:rPr>
          <w:rFonts w:ascii="Calibri" w:hAnsi="Calibri" w:cs="Calibri"/>
        </w:rPr>
        <w:t>Materiały, które są szkodliwe dla otoczenia tylko w czasie robót, a po zakończeniu robót ich szkodliwość zanika (np. materiały pylaste) mogą być użyte pod warunkiem przestrzegania wymagań technologicznych wbudowania. Jeżeli wymagają tego odpowiednie przepisy Wykonawca powinien otrzymać zgodę na użycie tych materiałów od właściwych organów administracji państwowej.</w:t>
      </w:r>
    </w:p>
    <w:p w14:paraId="55DFD9C8" w14:textId="77777777" w:rsidR="00656AC1" w:rsidRDefault="00656AC1" w:rsidP="00364E4D">
      <w:pPr>
        <w:rPr>
          <w:rFonts w:ascii="Calibri" w:hAnsi="Calibri" w:cs="Calibri"/>
        </w:rPr>
      </w:pPr>
      <w:r w:rsidRPr="00A23FB4">
        <w:rPr>
          <w:rFonts w:ascii="Calibri" w:hAnsi="Calibri" w:cs="Calibri"/>
        </w:rPr>
        <w:t>Jeżeli Wykonawca użył materiałów szkodliwych dla otoczenia zgodnie ze specyfikacjami, a ich użycie spowodowało jakiekolwiek zagrożenie środowiska, to konsekwencje tego poniesie Zamawiający.</w:t>
      </w:r>
    </w:p>
    <w:p w14:paraId="1C11F97B" w14:textId="77777777" w:rsidR="008E4B21" w:rsidRPr="00A23FB4" w:rsidRDefault="008E4B21" w:rsidP="00364E4D">
      <w:pPr>
        <w:rPr>
          <w:rFonts w:ascii="Calibri" w:hAnsi="Calibri" w:cs="Calibri"/>
        </w:rPr>
      </w:pPr>
    </w:p>
    <w:p w14:paraId="07B2B2BD" w14:textId="77777777" w:rsidR="00656AC1" w:rsidRPr="00A23FB4" w:rsidRDefault="00656AC1" w:rsidP="00364E4D">
      <w:pPr>
        <w:pStyle w:val="Nagwek7"/>
        <w:rPr>
          <w:rFonts w:ascii="Calibri" w:hAnsi="Calibri" w:cs="Calibri"/>
          <w:b/>
          <w:bCs/>
          <w:iCs/>
        </w:rPr>
      </w:pPr>
      <w:r w:rsidRPr="00A23FB4">
        <w:rPr>
          <w:rFonts w:ascii="Calibri" w:hAnsi="Calibri" w:cs="Calibri"/>
          <w:b/>
          <w:bCs/>
          <w:iCs/>
        </w:rPr>
        <w:t>1.5.8. Ochrona własności publicznej i prywatnej</w:t>
      </w:r>
    </w:p>
    <w:p w14:paraId="6D7FB168" w14:textId="77777777" w:rsidR="00656AC1" w:rsidRPr="00A23FB4" w:rsidRDefault="00656AC1" w:rsidP="00364E4D">
      <w:pPr>
        <w:rPr>
          <w:rFonts w:ascii="Calibri" w:hAnsi="Calibri" w:cs="Calibri"/>
        </w:rPr>
      </w:pPr>
      <w:r w:rsidRPr="00A23FB4">
        <w:rPr>
          <w:rFonts w:ascii="Calibri" w:hAnsi="Calibri" w:cs="Calibri"/>
        </w:rPr>
        <w:t>Wykonawca odpowiada za ochronę instalacji na powierzchni ziemi i za urządzenia podziemne, takie jak rurociągi, kable itp. oraz uzyska od odpowiednich władz będących właścicielami tych urządzeń potwierdzenie informacji dostarczonych mu przez Zamawiającego w ramach planu ich lokalizacji. Wykonawca zapewni właściwe oznaczenie i zabezpieczenie przed uszkodzeniem tych instalacji i urządzeń w czasie trwania budowy.</w:t>
      </w:r>
    </w:p>
    <w:p w14:paraId="56C5DE30" w14:textId="77777777" w:rsidR="00656AC1" w:rsidRPr="00A23FB4" w:rsidRDefault="00656AC1" w:rsidP="00364E4D">
      <w:pPr>
        <w:rPr>
          <w:rFonts w:ascii="Calibri" w:hAnsi="Calibri" w:cs="Calibri"/>
        </w:rPr>
      </w:pPr>
      <w:r w:rsidRPr="00A23FB4">
        <w:rPr>
          <w:rFonts w:ascii="Calibri" w:hAnsi="Calibri" w:cs="Calibri"/>
        </w:rPr>
        <w:t>Wykonawca zobowiązany jest umieścić w swoim harmonogramie rezerwę czasową dla wszelkiego rodzaju robót, które mają być wykonane w zakresie przełożenia instalacji i urządzeń podziemnych na terenie budowy i powiadomić Inżyniera/Kierownika projektu i władze lokalne o zamiarze rozpoczęcia robót. O fakcie przypadkowego uszkodzenia tych instalacji Wykonawca bezzwłocznie powiadomi Inżyniera/Kierownika projektu i zainteresowane władze oraz będzie z nimi współpracował dostarczając wszelkiej pomocy potrzebnej przy dokonywaniu napraw. Wykonawca będzie odpowiadać za wszelkie spowodowane przez jego działania uszkodzenia instalacji na powierzchni ziemi i urządzeń podziemnych wykazanych w dokumentach dostarczonych mu przez Zamawiającego.</w:t>
      </w:r>
    </w:p>
    <w:p w14:paraId="7FE9B791" w14:textId="77777777" w:rsidR="00656AC1" w:rsidRPr="00A23FB4" w:rsidRDefault="00656AC1" w:rsidP="00364E4D">
      <w:pPr>
        <w:rPr>
          <w:rFonts w:ascii="Calibri" w:hAnsi="Calibri" w:cs="Calibri"/>
        </w:rPr>
      </w:pPr>
      <w:r w:rsidRPr="00A23FB4">
        <w:rPr>
          <w:rFonts w:ascii="Calibri" w:hAnsi="Calibri" w:cs="Calibri"/>
        </w:rPr>
        <w:t>Wykonawca będzie realizować roboty w sposób powodujący minimalne niedogodności dla mieszkańców. Wykonawca odpowiada za wszelkie uszkodzenia zabudowy mieszkaniowej w sąsiedztwie budowy, spowodowane jego działalnością.</w:t>
      </w:r>
    </w:p>
    <w:p w14:paraId="4434379A" w14:textId="77777777" w:rsidR="00656AC1" w:rsidRPr="00A23FB4" w:rsidRDefault="00656AC1" w:rsidP="00364E4D">
      <w:pPr>
        <w:rPr>
          <w:rFonts w:ascii="Calibri" w:hAnsi="Calibri" w:cs="Calibri"/>
        </w:rPr>
      </w:pPr>
      <w:r w:rsidRPr="00A23FB4">
        <w:rPr>
          <w:rFonts w:ascii="Calibri" w:hAnsi="Calibri" w:cs="Calibri"/>
        </w:rPr>
        <w:t>Inżynier/Kierownik projektu będzie na bieżąco informowany o wszystkich umowach zawartych pomiędzy Wykonawcą a właścicielami nieruchomości i dotyczących korzystania z własności i dróg wewnętrznych. Jednakże, ani Inżynier/Kierownik projektu ani Zamawiający nie będzie ingerował w takie porozumienia, o ile nie będą one sprzeczne z postanowieniami zawartymi w warunkach umowy.</w:t>
      </w:r>
    </w:p>
    <w:p w14:paraId="2245E796" w14:textId="77777777" w:rsidR="00CB7796" w:rsidRPr="00A23FB4" w:rsidRDefault="00CB7796" w:rsidP="00364E4D">
      <w:pPr>
        <w:pStyle w:val="Nagwek7"/>
        <w:rPr>
          <w:rFonts w:ascii="Calibri" w:hAnsi="Calibri" w:cs="Calibri"/>
          <w:b/>
          <w:bCs/>
          <w:i/>
          <w:iCs/>
        </w:rPr>
      </w:pPr>
    </w:p>
    <w:p w14:paraId="6ED23AC2" w14:textId="77777777" w:rsidR="00656AC1" w:rsidRPr="00A23FB4" w:rsidRDefault="00656AC1" w:rsidP="00364E4D">
      <w:pPr>
        <w:pStyle w:val="Nagwek7"/>
        <w:rPr>
          <w:rFonts w:ascii="Calibri" w:hAnsi="Calibri" w:cs="Calibri"/>
          <w:b/>
          <w:bCs/>
          <w:iCs/>
        </w:rPr>
      </w:pPr>
      <w:r w:rsidRPr="00A23FB4">
        <w:rPr>
          <w:rFonts w:ascii="Calibri" w:hAnsi="Calibri" w:cs="Calibri"/>
          <w:b/>
          <w:bCs/>
          <w:iCs/>
        </w:rPr>
        <w:t>1.5.9. Ograniczenie obciążeń osi pojazdów</w:t>
      </w:r>
    </w:p>
    <w:p w14:paraId="12251971" w14:textId="77777777" w:rsidR="00656AC1" w:rsidRPr="00A23FB4" w:rsidRDefault="00656AC1" w:rsidP="00364E4D">
      <w:pPr>
        <w:rPr>
          <w:rFonts w:ascii="Calibri" w:hAnsi="Calibri" w:cs="Calibri"/>
        </w:rPr>
      </w:pPr>
      <w:r w:rsidRPr="00A23FB4">
        <w:rPr>
          <w:rFonts w:ascii="Calibri" w:hAnsi="Calibri" w:cs="Calibri"/>
        </w:rPr>
        <w:t>Wykonawca będzie stosować się do ustawowych ograniczeń nacisków osi na drogach publicznych przy transporcie materiałów i wyposażenia na i z terenu robót. Wykonawca uzyska wszelkie niezbędne zezwolenia i uzgodnienia od właściwych władz co do przewozu nietypowych wagowo ładunków (ponadnormatywnych) i o każdym takim przewozie będzie powiadamiał Inżyniera/Kierownika projektu. Inżynier/Kierownik projektu może polecić, aby pojazdy nie spełniające tych warunków zostały usunięte z terenu budowy. Pojazdy powodujące nadmierne obciążenie osiowe nie będą dopuszczone na świeżo ukończony fragment budowy w obrębie terenu budowy i Wykonawca będzie odpowiadał za naprawę wszelkich robót w ten sposób uszkodzonych, zgodnie z poleceniami Inżyniera/Kierownika projektu.</w:t>
      </w:r>
    </w:p>
    <w:p w14:paraId="344DCC5C" w14:textId="77777777" w:rsidR="00CB7796" w:rsidRPr="00A23FB4" w:rsidRDefault="00CB7796" w:rsidP="00364E4D">
      <w:pPr>
        <w:pStyle w:val="Nagwek7"/>
        <w:rPr>
          <w:rFonts w:ascii="Calibri" w:hAnsi="Calibri" w:cs="Calibri"/>
          <w:b/>
          <w:bCs/>
          <w:i/>
          <w:iCs/>
        </w:rPr>
      </w:pPr>
    </w:p>
    <w:p w14:paraId="27A5A3C4" w14:textId="77777777" w:rsidR="00656AC1" w:rsidRPr="00A23FB4" w:rsidRDefault="00656AC1" w:rsidP="00364E4D">
      <w:pPr>
        <w:pStyle w:val="Nagwek7"/>
        <w:rPr>
          <w:rFonts w:ascii="Calibri" w:hAnsi="Calibri" w:cs="Calibri"/>
          <w:b/>
          <w:bCs/>
          <w:iCs/>
        </w:rPr>
      </w:pPr>
      <w:r w:rsidRPr="00A23FB4">
        <w:rPr>
          <w:rFonts w:ascii="Calibri" w:hAnsi="Calibri" w:cs="Calibri"/>
          <w:b/>
          <w:bCs/>
          <w:iCs/>
        </w:rPr>
        <w:t>1.5.10. Bezpieczeństwo i higiena pracy</w:t>
      </w:r>
    </w:p>
    <w:p w14:paraId="18884E7A" w14:textId="77777777" w:rsidR="00656AC1" w:rsidRPr="00A23FB4" w:rsidRDefault="00656AC1" w:rsidP="00364E4D">
      <w:pPr>
        <w:rPr>
          <w:rFonts w:ascii="Calibri" w:hAnsi="Calibri" w:cs="Calibri"/>
        </w:rPr>
      </w:pPr>
      <w:r w:rsidRPr="00A23FB4">
        <w:rPr>
          <w:rFonts w:ascii="Calibri" w:hAnsi="Calibri" w:cs="Calibri"/>
        </w:rPr>
        <w:t>Podczas realizacji robót Wykonawca będzie przestrzegać przepisów dotyczących bezpieczeństwa i higieny pracy.</w:t>
      </w:r>
    </w:p>
    <w:p w14:paraId="4037619B" w14:textId="77777777" w:rsidR="00656AC1" w:rsidRPr="00A23FB4" w:rsidRDefault="00656AC1" w:rsidP="00364E4D">
      <w:pPr>
        <w:rPr>
          <w:rFonts w:ascii="Calibri" w:hAnsi="Calibri" w:cs="Calibri"/>
        </w:rPr>
      </w:pPr>
      <w:r w:rsidRPr="00A23FB4">
        <w:rPr>
          <w:rFonts w:ascii="Calibri" w:hAnsi="Calibri" w:cs="Calibri"/>
        </w:rPr>
        <w:t>W szczególności Wykonawca ma obowiązek zadbać, aby personel nie wykonywał pracy w warunkach niebezpiecznych, szkodliwych dla zdrowia oraz nie spełniających odpowiednich wymagań sanitarnych.</w:t>
      </w:r>
    </w:p>
    <w:p w14:paraId="27A8557F" w14:textId="77777777" w:rsidR="00656AC1" w:rsidRPr="00A23FB4" w:rsidRDefault="00656AC1" w:rsidP="00364E4D">
      <w:pPr>
        <w:rPr>
          <w:rFonts w:ascii="Calibri" w:hAnsi="Calibri" w:cs="Calibri"/>
        </w:rPr>
      </w:pPr>
      <w:r w:rsidRPr="00A23FB4">
        <w:rPr>
          <w:rFonts w:ascii="Calibri" w:hAnsi="Calibri" w:cs="Calibri"/>
        </w:rPr>
        <w:t>Wykonawca zapewni i będzie utrzymywał wszelkie urządzenia zabezpieczające, socj</w:t>
      </w:r>
      <w:r w:rsidR="007E255D" w:rsidRPr="00A23FB4">
        <w:rPr>
          <w:rFonts w:ascii="Calibri" w:hAnsi="Calibri" w:cs="Calibri"/>
        </w:rPr>
        <w:t>alne oraz sprzęt i </w:t>
      </w:r>
      <w:r w:rsidRPr="00A23FB4">
        <w:rPr>
          <w:rFonts w:ascii="Calibri" w:hAnsi="Calibri" w:cs="Calibri"/>
        </w:rPr>
        <w:t>odpowiednią odzież dla ochrony życia i zdrowia osób zatrudnionych na budowie oraz dla zapewnienia bezpieczeństwa publicznego.</w:t>
      </w:r>
    </w:p>
    <w:p w14:paraId="7FE4A8F9" w14:textId="77777777" w:rsidR="00656AC1" w:rsidRPr="00A23FB4" w:rsidRDefault="00656AC1" w:rsidP="00364E4D">
      <w:pPr>
        <w:rPr>
          <w:rFonts w:ascii="Calibri" w:hAnsi="Calibri" w:cs="Calibri"/>
        </w:rPr>
      </w:pPr>
      <w:r w:rsidRPr="00A23FB4">
        <w:rPr>
          <w:rFonts w:ascii="Calibri" w:hAnsi="Calibri" w:cs="Calibri"/>
        </w:rPr>
        <w:t>Uznaje się, że wszelkie koszty związane z wypełnieniem wymagań określonych powyżej nie podlegają odrębnej zapłacie i są uwzględnione w cenie kontraktowej.</w:t>
      </w:r>
    </w:p>
    <w:p w14:paraId="02334F5F" w14:textId="77777777" w:rsidR="003B234D" w:rsidRPr="00A23FB4" w:rsidRDefault="003B234D" w:rsidP="00364E4D">
      <w:pPr>
        <w:rPr>
          <w:rFonts w:ascii="Calibri" w:hAnsi="Calibri" w:cs="Calibri"/>
        </w:rPr>
      </w:pPr>
    </w:p>
    <w:p w14:paraId="0578AD2E" w14:textId="77777777" w:rsidR="00656AC1" w:rsidRPr="00A23FB4" w:rsidRDefault="00656AC1" w:rsidP="00364E4D">
      <w:pPr>
        <w:pStyle w:val="Nagwek7"/>
        <w:rPr>
          <w:rFonts w:ascii="Calibri" w:hAnsi="Calibri" w:cs="Calibri"/>
          <w:b/>
          <w:bCs/>
          <w:iCs/>
        </w:rPr>
      </w:pPr>
      <w:r w:rsidRPr="00A23FB4">
        <w:rPr>
          <w:rFonts w:ascii="Calibri" w:hAnsi="Calibri" w:cs="Calibri"/>
          <w:b/>
          <w:bCs/>
          <w:iCs/>
        </w:rPr>
        <w:t>1.5.11. Ochrona i utrzymanie robót</w:t>
      </w:r>
    </w:p>
    <w:p w14:paraId="01988400" w14:textId="77777777" w:rsidR="00656AC1" w:rsidRPr="00A23FB4" w:rsidRDefault="00656AC1" w:rsidP="00364E4D">
      <w:pPr>
        <w:rPr>
          <w:rFonts w:ascii="Calibri" w:hAnsi="Calibri" w:cs="Calibri"/>
        </w:rPr>
      </w:pPr>
      <w:bookmarkStart w:id="10" w:name="_Toc412518567"/>
      <w:r w:rsidRPr="00A23FB4">
        <w:rPr>
          <w:rFonts w:ascii="Calibri" w:hAnsi="Calibri" w:cs="Calibri"/>
        </w:rPr>
        <w:t>Wykonawca będzie odpowiadał za ochronę robót i za wszelkie materiały i urządzenia używane do robót od daty rozpoczęcia do daty wydania potwierdzenia zakończenia robót przez Inżyniera/Kierownika projektu.</w:t>
      </w:r>
      <w:bookmarkEnd w:id="10"/>
    </w:p>
    <w:p w14:paraId="530CA6A4" w14:textId="77777777" w:rsidR="00656AC1" w:rsidRPr="00A23FB4" w:rsidRDefault="00656AC1" w:rsidP="00364E4D">
      <w:pPr>
        <w:rPr>
          <w:rFonts w:ascii="Calibri" w:hAnsi="Calibri" w:cs="Calibri"/>
        </w:rPr>
      </w:pPr>
      <w:r w:rsidRPr="00A23FB4">
        <w:rPr>
          <w:rFonts w:ascii="Calibri" w:hAnsi="Calibri" w:cs="Calibri"/>
        </w:rPr>
        <w:t>Wykonawca będzie utrzymywać roboty do czasu odbioru ostatecznego. Utrzymanie powinno być prowadzone w taki sposób, aby budowla drogowa lub jej elementy były w zadowalającym stanie przez cały czas, do momentu odbioru ostatecznego.</w:t>
      </w:r>
    </w:p>
    <w:p w14:paraId="2761CA6F" w14:textId="77777777" w:rsidR="00656AC1" w:rsidRPr="00A23FB4" w:rsidRDefault="00656AC1" w:rsidP="00364E4D">
      <w:pPr>
        <w:rPr>
          <w:rFonts w:ascii="Calibri" w:hAnsi="Calibri" w:cs="Calibri"/>
        </w:rPr>
      </w:pPr>
      <w:r w:rsidRPr="00A23FB4">
        <w:rPr>
          <w:rFonts w:ascii="Calibri" w:hAnsi="Calibri" w:cs="Calibri"/>
        </w:rPr>
        <w:t>Jeśli Wykonawca w jakimkolwiek czasie zaniedba utrzymanie, to na polecenie Inżyniera/Kierownika projektu powinien rozpocząć roboty utrzymaniowe nie później niż w 24 godziny po otrzymaniu tego polecenia.</w:t>
      </w:r>
    </w:p>
    <w:p w14:paraId="6D9FCF1A" w14:textId="77777777" w:rsidR="00CB7796" w:rsidRDefault="00CB7796" w:rsidP="00364E4D">
      <w:pPr>
        <w:pStyle w:val="Nagwek7"/>
        <w:rPr>
          <w:rFonts w:ascii="Calibri" w:hAnsi="Calibri" w:cs="Calibri"/>
          <w:b/>
          <w:bCs/>
          <w:i/>
          <w:iCs/>
        </w:rPr>
      </w:pPr>
    </w:p>
    <w:p w14:paraId="4A5DDF0A" w14:textId="77777777" w:rsidR="001A73F7" w:rsidRDefault="001A73F7" w:rsidP="001A73F7"/>
    <w:p w14:paraId="22EAFF3E" w14:textId="77777777" w:rsidR="001A73F7" w:rsidRPr="001A73F7" w:rsidRDefault="001A73F7" w:rsidP="001A73F7"/>
    <w:p w14:paraId="26D8FCED" w14:textId="77777777" w:rsidR="00656AC1" w:rsidRPr="00A23FB4" w:rsidRDefault="00656AC1" w:rsidP="00364E4D">
      <w:pPr>
        <w:pStyle w:val="Nagwek7"/>
        <w:rPr>
          <w:rFonts w:ascii="Calibri" w:hAnsi="Calibri" w:cs="Calibri"/>
          <w:b/>
          <w:bCs/>
          <w:iCs/>
        </w:rPr>
      </w:pPr>
      <w:r w:rsidRPr="00A23FB4">
        <w:rPr>
          <w:rFonts w:ascii="Calibri" w:hAnsi="Calibri" w:cs="Calibri"/>
          <w:b/>
          <w:bCs/>
          <w:iCs/>
        </w:rPr>
        <w:t>1.5.12. Stosowanie się do prawa i innych przepisów</w:t>
      </w:r>
    </w:p>
    <w:p w14:paraId="6D6BD9E6" w14:textId="77777777" w:rsidR="00656AC1" w:rsidRPr="00A23FB4" w:rsidRDefault="00656AC1" w:rsidP="00364E4D">
      <w:pPr>
        <w:rPr>
          <w:rFonts w:ascii="Calibri" w:hAnsi="Calibri" w:cs="Calibri"/>
        </w:rPr>
      </w:pPr>
      <w:r w:rsidRPr="00A23FB4">
        <w:rPr>
          <w:rFonts w:ascii="Calibri" w:hAnsi="Calibri" w:cs="Calibri"/>
        </w:rPr>
        <w:t>Wykonawca zobowiązany jest znać wszystkie zarządzenia wydane przez władze centralne i miejscowe oraz inne przepisy, regulaminy i wytyczne, które są w jakikolwiek sposób związane z wykonywanymi robotami i będzie w pełni odpowiedzialny za przestrzeganie tych postanowień podczas prowadzenia robót.</w:t>
      </w:r>
    </w:p>
    <w:p w14:paraId="5D934989" w14:textId="77777777" w:rsidR="00656AC1" w:rsidRPr="00A23FB4" w:rsidRDefault="00656AC1" w:rsidP="00364E4D">
      <w:pPr>
        <w:rPr>
          <w:rFonts w:ascii="Calibri" w:hAnsi="Calibri" w:cs="Calibri"/>
        </w:rPr>
      </w:pPr>
      <w:r w:rsidRPr="00A23FB4">
        <w:rPr>
          <w:rFonts w:ascii="Calibri" w:hAnsi="Calibri" w:cs="Calibri"/>
        </w:rPr>
        <w:t>Wykonawca będzie przestrzegać praw patentowych i będzie w pełni odpowiedzialny za wypełnienie wszelkich wymagań prawnych odnośnie znaków firmowych, nazw lub innych chronionych praw w odniesieniu do sprzętu, materiałów lub urządzeń użytych lub związanych z wykonywaniem robót i w sposób ciągły będzie informować Inżyniera/Kierownika projektu o swoich działaniach, przedstawiając kopie zezwoleń i inne odnośne dokumenty. Wszelkie straty, koszty postępowania, obciążenia i wydatki wynikłe z lub związane z naruszeniem jakichkolwiek praw patentowych pokryje Wykonawca, z wyjątkiem przypadków, kiedy takie naruszenie wyniknie z wykonania projektu lub specyfikacji dostarczonej przez Inżyniera/Kierownika projektu.</w:t>
      </w:r>
    </w:p>
    <w:p w14:paraId="7678E5B5" w14:textId="77777777" w:rsidR="00CB7796" w:rsidRPr="00A23FB4" w:rsidRDefault="00CB7796" w:rsidP="00364E4D">
      <w:pPr>
        <w:pStyle w:val="Nagwek7"/>
        <w:rPr>
          <w:rFonts w:ascii="Calibri" w:hAnsi="Calibri" w:cs="Calibri"/>
          <w:b/>
          <w:bCs/>
          <w:i/>
          <w:iCs/>
        </w:rPr>
      </w:pPr>
    </w:p>
    <w:p w14:paraId="171141E6" w14:textId="77777777" w:rsidR="00656AC1" w:rsidRPr="00A23FB4" w:rsidRDefault="00656AC1" w:rsidP="00364E4D">
      <w:pPr>
        <w:pStyle w:val="Nagwek7"/>
        <w:rPr>
          <w:rFonts w:ascii="Calibri" w:hAnsi="Calibri" w:cs="Calibri"/>
          <w:b/>
          <w:bCs/>
          <w:iCs/>
        </w:rPr>
      </w:pPr>
      <w:r w:rsidRPr="00A23FB4">
        <w:rPr>
          <w:rFonts w:ascii="Calibri" w:hAnsi="Calibri" w:cs="Calibri"/>
          <w:b/>
          <w:bCs/>
          <w:iCs/>
        </w:rPr>
        <w:t>1.5.13. Równoważność norm i zbiorów przepisów prawnych</w:t>
      </w:r>
    </w:p>
    <w:p w14:paraId="0C19D2D3" w14:textId="77777777" w:rsidR="00656AC1" w:rsidRPr="00A23FB4" w:rsidRDefault="00656AC1" w:rsidP="00364E4D">
      <w:pPr>
        <w:rPr>
          <w:rFonts w:ascii="Calibri" w:hAnsi="Calibri" w:cs="Calibri"/>
        </w:rPr>
      </w:pPr>
      <w:r w:rsidRPr="00A23FB4">
        <w:rPr>
          <w:rFonts w:ascii="Calibri" w:hAnsi="Calibri" w:cs="Calibri"/>
        </w:rPr>
        <w:t>Gdziekolwiek w dokumentach kontraktowych powołane są konkretne normy i przepisy, które spełniać mają materiały, sprzęt i inne towary oraz wykonane i zbadane roboty, będą obowiązywać postanowienia najnowszego wydania lub poprawionego wydania powołanych norm i przepisów o ile w warunkach kontraktu nie postanowiono inaczej. W przypadku gdy powołane normy i przepisy są państwowe lub odnoszą się do konkretnego kraju lub regionu, mogą być również stosowane inne odpowiednie normy zapewniające równy lub wyższy poziom wykonania niż powołane normy lub przepisy, pod warunkiem ich sprawdzenia i pisemnego zatwierdzenia przez Inżyniera/Kierownika projektu. Różnice pomiędzy powołanymi normami a ich proponowanymi zamiennikami muszą być dokładnie opisane przez Wykonawcę i przedłożone Inżynierowi/Kierownikowi projektu do zatwierdzenia.</w:t>
      </w:r>
    </w:p>
    <w:p w14:paraId="55B999F4" w14:textId="77777777" w:rsidR="00656AC1" w:rsidRPr="00A23FB4" w:rsidRDefault="00656AC1" w:rsidP="00364E4D">
      <w:pPr>
        <w:pStyle w:val="Nagwek7"/>
        <w:rPr>
          <w:rFonts w:ascii="Calibri" w:hAnsi="Calibri" w:cs="Calibri"/>
          <w:b/>
          <w:bCs/>
          <w:i/>
          <w:iCs/>
        </w:rPr>
      </w:pPr>
    </w:p>
    <w:p w14:paraId="4C541369" w14:textId="77777777" w:rsidR="00656AC1" w:rsidRPr="00A23FB4" w:rsidRDefault="00656AC1" w:rsidP="00364E4D">
      <w:pPr>
        <w:pStyle w:val="Nagwek7"/>
        <w:rPr>
          <w:rFonts w:ascii="Calibri" w:hAnsi="Calibri" w:cs="Calibri"/>
          <w:b/>
          <w:bCs/>
          <w:iCs/>
        </w:rPr>
      </w:pPr>
      <w:r w:rsidRPr="00A23FB4">
        <w:rPr>
          <w:rFonts w:ascii="Calibri" w:hAnsi="Calibri" w:cs="Calibri"/>
          <w:b/>
          <w:bCs/>
          <w:iCs/>
        </w:rPr>
        <w:t>1.5.14. Wykopaliska</w:t>
      </w:r>
    </w:p>
    <w:p w14:paraId="507980F4" w14:textId="77777777" w:rsidR="00656AC1" w:rsidRPr="00A23FB4" w:rsidRDefault="00656AC1" w:rsidP="00364E4D">
      <w:pPr>
        <w:rPr>
          <w:rFonts w:ascii="Calibri" w:hAnsi="Calibri" w:cs="Calibri"/>
        </w:rPr>
      </w:pPr>
      <w:r w:rsidRPr="00A23FB4">
        <w:rPr>
          <w:rFonts w:ascii="Calibri" w:hAnsi="Calibri" w:cs="Calibri"/>
        </w:rPr>
        <w:t>Wszelkie wykopaliska, monety, przedmioty wartościowe, budowle oraz inne pozostałości o znaczeniu geologicznym lub archeologicznym odkryte na terenie budowy będą uważane za własność Zamawiającego. Wykonawca zobowiązany jest powiadomić Inżyniera/Kierownika projektu i postępować zgodnie z jego poleceniami. Jeżeli w wyniku tych poleceń Wykonawca poniesie koszty i/lub wystąpią opóźnienia w robotach, Inżynier/Kierownik projektu po uzgodnieniu z Zamawiającym i Wykonawcą ustali wydłużenie czasu wykonania robót i/lub wysokość kwoty, o którą należy zwiększyć cenę kontraktową.</w:t>
      </w:r>
    </w:p>
    <w:p w14:paraId="6054FA5D" w14:textId="77777777" w:rsidR="00990137" w:rsidRPr="00A23FB4" w:rsidRDefault="00990137" w:rsidP="00364E4D">
      <w:pPr>
        <w:rPr>
          <w:rFonts w:ascii="Calibri" w:hAnsi="Calibri" w:cs="Calibri"/>
        </w:rPr>
      </w:pPr>
    </w:p>
    <w:p w14:paraId="3715A6F0" w14:textId="77777777" w:rsidR="00656AC1" w:rsidRPr="00A23FB4" w:rsidRDefault="00656AC1" w:rsidP="00990137">
      <w:pPr>
        <w:rPr>
          <w:rFonts w:ascii="Calibri" w:hAnsi="Calibri" w:cs="Calibri"/>
          <w:b/>
        </w:rPr>
      </w:pPr>
      <w:bookmarkStart w:id="11" w:name="_Toc416830699"/>
      <w:bookmarkStart w:id="12" w:name="_Toc6881280"/>
      <w:bookmarkStart w:id="13" w:name="_Toc6882153"/>
      <w:r w:rsidRPr="00A23FB4">
        <w:rPr>
          <w:rFonts w:ascii="Calibri" w:hAnsi="Calibri" w:cs="Calibri"/>
          <w:b/>
        </w:rPr>
        <w:t>2. MATERIAŁY</w:t>
      </w:r>
      <w:bookmarkEnd w:id="11"/>
      <w:bookmarkEnd w:id="12"/>
      <w:bookmarkEnd w:id="13"/>
    </w:p>
    <w:p w14:paraId="54B22745" w14:textId="77777777" w:rsidR="00656AC1" w:rsidRPr="00A23FB4" w:rsidRDefault="00656AC1" w:rsidP="00364E4D">
      <w:pPr>
        <w:pStyle w:val="Nagwek4"/>
        <w:rPr>
          <w:rFonts w:ascii="Calibri" w:hAnsi="Calibri" w:cs="Calibri"/>
        </w:rPr>
      </w:pPr>
      <w:r w:rsidRPr="00A23FB4">
        <w:rPr>
          <w:rFonts w:ascii="Calibri" w:hAnsi="Calibri" w:cs="Calibri"/>
        </w:rPr>
        <w:t>2.1. Źródła uzyskania materiałów</w:t>
      </w:r>
    </w:p>
    <w:p w14:paraId="519952FD" w14:textId="77777777" w:rsidR="00656AC1" w:rsidRPr="00A23FB4" w:rsidRDefault="00656AC1" w:rsidP="00364E4D">
      <w:pPr>
        <w:rPr>
          <w:rFonts w:ascii="Calibri" w:hAnsi="Calibri" w:cs="Calibri"/>
        </w:rPr>
      </w:pPr>
      <w:r w:rsidRPr="00A23FB4">
        <w:rPr>
          <w:rFonts w:ascii="Calibri" w:hAnsi="Calibri" w:cs="Calibri"/>
        </w:rPr>
        <w:t xml:space="preserve">Co najmniej na </w:t>
      </w:r>
      <w:r w:rsidR="00854C49" w:rsidRPr="00A23FB4">
        <w:rPr>
          <w:rFonts w:ascii="Calibri" w:hAnsi="Calibri" w:cs="Calibri"/>
        </w:rPr>
        <w:t>dwa</w:t>
      </w:r>
      <w:r w:rsidRPr="00A23FB4">
        <w:rPr>
          <w:rFonts w:ascii="Calibri" w:hAnsi="Calibri" w:cs="Calibri"/>
        </w:rPr>
        <w:t xml:space="preserve"> tygodnie przed zaplanowanym wykorzystaniem jakichkolwiek materiałów przeznaczonych do robót, Wykonawca przedstawi Inżynierowi/Kierownikowi projektu do zatwierdzenia, szczegółowe informacje dotyczące proponowanego źródła wytwarzania, zamawiania lub wydobywania tych materiałów jak również odpowiednie świadectwa badań laboratoryjnych oraz próbki materiałów.</w:t>
      </w:r>
    </w:p>
    <w:p w14:paraId="02119459" w14:textId="77777777" w:rsidR="00656AC1" w:rsidRPr="00A23FB4" w:rsidRDefault="00656AC1" w:rsidP="00364E4D">
      <w:pPr>
        <w:rPr>
          <w:rFonts w:ascii="Calibri" w:hAnsi="Calibri" w:cs="Calibri"/>
        </w:rPr>
      </w:pPr>
      <w:r w:rsidRPr="00A23FB4">
        <w:rPr>
          <w:rFonts w:ascii="Calibri" w:hAnsi="Calibri" w:cs="Calibri"/>
        </w:rPr>
        <w:t>Zatwierdzenie partii materiałów z danego źródła nie oznacza automatycznie, że wszelkie materiały z danego źródła uzyskają zatwierdzenie.</w:t>
      </w:r>
    </w:p>
    <w:p w14:paraId="7774C50A" w14:textId="26BFB741" w:rsidR="00656AC1" w:rsidRPr="00A23FB4" w:rsidRDefault="00656AC1" w:rsidP="00364E4D">
      <w:pPr>
        <w:rPr>
          <w:rFonts w:ascii="Calibri" w:hAnsi="Calibri" w:cs="Calibri"/>
        </w:rPr>
      </w:pPr>
      <w:r w:rsidRPr="00A23FB4">
        <w:rPr>
          <w:rFonts w:ascii="Calibri" w:hAnsi="Calibri" w:cs="Calibri"/>
        </w:rPr>
        <w:t>Wykonawca zobowiązany jest do prowadzenia badań w celu wyk</w:t>
      </w:r>
      <w:r w:rsidR="007E255D" w:rsidRPr="00A23FB4">
        <w:rPr>
          <w:rFonts w:ascii="Calibri" w:hAnsi="Calibri" w:cs="Calibri"/>
        </w:rPr>
        <w:t>azania, że materiały uzyskane z </w:t>
      </w:r>
      <w:r w:rsidRPr="00A23FB4">
        <w:rPr>
          <w:rFonts w:ascii="Calibri" w:hAnsi="Calibri" w:cs="Calibri"/>
        </w:rPr>
        <w:t xml:space="preserve">dopuszczonego źródła w sposób ciągły spełniają wymagania </w:t>
      </w:r>
      <w:r w:rsidR="00AB0E2E">
        <w:rPr>
          <w:rFonts w:ascii="Calibri" w:hAnsi="Calibri" w:cs="Calibri"/>
        </w:rPr>
        <w:t>ST</w:t>
      </w:r>
      <w:r w:rsidR="00E22F37" w:rsidRPr="00A23FB4">
        <w:rPr>
          <w:rFonts w:ascii="Calibri" w:hAnsi="Calibri" w:cs="Calibri"/>
        </w:rPr>
        <w:t>WiORB</w:t>
      </w:r>
      <w:r w:rsidRPr="00A23FB4">
        <w:rPr>
          <w:rFonts w:ascii="Calibri" w:hAnsi="Calibri" w:cs="Calibri"/>
        </w:rPr>
        <w:t xml:space="preserve"> w czasie realizacji robót.</w:t>
      </w:r>
    </w:p>
    <w:p w14:paraId="55B7FF01" w14:textId="77777777" w:rsidR="00656AC1" w:rsidRPr="00A23FB4" w:rsidRDefault="00656AC1" w:rsidP="00364E4D">
      <w:pPr>
        <w:pStyle w:val="Nagwek4"/>
        <w:rPr>
          <w:rFonts w:ascii="Calibri" w:hAnsi="Calibri" w:cs="Calibri"/>
        </w:rPr>
      </w:pPr>
      <w:r w:rsidRPr="00A23FB4">
        <w:rPr>
          <w:rFonts w:ascii="Calibri" w:hAnsi="Calibri" w:cs="Calibri"/>
        </w:rPr>
        <w:t>2.2. Pozyskiwanie materiałów miejscowych</w:t>
      </w:r>
    </w:p>
    <w:p w14:paraId="0EBEA933" w14:textId="77777777" w:rsidR="00656AC1" w:rsidRPr="00A23FB4" w:rsidRDefault="00656AC1" w:rsidP="00364E4D">
      <w:pPr>
        <w:rPr>
          <w:rFonts w:ascii="Calibri" w:hAnsi="Calibri" w:cs="Calibri"/>
        </w:rPr>
      </w:pPr>
      <w:r w:rsidRPr="00A23FB4">
        <w:rPr>
          <w:rFonts w:ascii="Calibri" w:hAnsi="Calibri" w:cs="Calibri"/>
        </w:rPr>
        <w:t>Wykonawca odpowiada za uzyskanie pozwoleń od właścicieli i odnośnych władz na pozyskanie materiałów ze źródeł miejscowych włączając w to źródła wskazane przez Zamawiającego i jest zobowiązany dostarczyć Inżynierowi/Kierownikowi projektu wymagane dokumenty przed rozpoczęciem eksploatacji źródła.</w:t>
      </w:r>
    </w:p>
    <w:p w14:paraId="436DC937" w14:textId="77777777" w:rsidR="00656AC1" w:rsidRPr="00A23FB4" w:rsidRDefault="00656AC1" w:rsidP="00364E4D">
      <w:pPr>
        <w:rPr>
          <w:rFonts w:ascii="Calibri" w:hAnsi="Calibri" w:cs="Calibri"/>
        </w:rPr>
      </w:pPr>
      <w:r w:rsidRPr="00A23FB4">
        <w:rPr>
          <w:rFonts w:ascii="Calibri" w:hAnsi="Calibri" w:cs="Calibri"/>
        </w:rPr>
        <w:t>Wykonawca przedstawi Inżynierowi/Kierownikowi projektu do zatwierdzenia dokumentację zawierającą raporty z badań terenowych i laboratoryjnych oraz proponowaną przez siebie metodę wydobycia i selekcji, uwzględniając aktualne decyzje o eksploatacji, organów administracji państwowej i samorządowej.</w:t>
      </w:r>
    </w:p>
    <w:p w14:paraId="65CD2BF4" w14:textId="77777777" w:rsidR="00656AC1" w:rsidRPr="00A23FB4" w:rsidRDefault="00656AC1" w:rsidP="00364E4D">
      <w:pPr>
        <w:rPr>
          <w:rFonts w:ascii="Calibri" w:hAnsi="Calibri" w:cs="Calibri"/>
        </w:rPr>
      </w:pPr>
      <w:r w:rsidRPr="00A23FB4">
        <w:rPr>
          <w:rFonts w:ascii="Calibri" w:hAnsi="Calibri" w:cs="Calibri"/>
        </w:rPr>
        <w:t>Wykonawca ponosi odpowiedzialność za spełnienie wymagań ilościowych i jakościowych materiałów pochodzących ze źródeł miejscowych.</w:t>
      </w:r>
    </w:p>
    <w:p w14:paraId="0B1C1BD7" w14:textId="77777777" w:rsidR="00656AC1" w:rsidRPr="00A23FB4" w:rsidRDefault="00656AC1" w:rsidP="00364E4D">
      <w:pPr>
        <w:rPr>
          <w:rFonts w:ascii="Calibri" w:hAnsi="Calibri" w:cs="Calibri"/>
        </w:rPr>
      </w:pPr>
      <w:r w:rsidRPr="00A23FB4">
        <w:rPr>
          <w:rFonts w:ascii="Calibri" w:hAnsi="Calibri" w:cs="Calibri"/>
        </w:rPr>
        <w:t>Wykonawca ponosi wszystkie koszty, z tytułu wydobycia materiałów, dzierżawy i inne jakie okażą się potrzebne w związku  z dostarczeniem materiałów do robót.</w:t>
      </w:r>
    </w:p>
    <w:p w14:paraId="5064C5AB" w14:textId="77777777" w:rsidR="00656AC1" w:rsidRPr="00A23FB4" w:rsidRDefault="00656AC1" w:rsidP="00364E4D">
      <w:pPr>
        <w:rPr>
          <w:rFonts w:ascii="Calibri" w:hAnsi="Calibri" w:cs="Calibri"/>
        </w:rPr>
      </w:pPr>
      <w:r w:rsidRPr="00A23FB4">
        <w:rPr>
          <w:rFonts w:ascii="Calibri" w:hAnsi="Calibri" w:cs="Calibri"/>
        </w:rPr>
        <w:t>Humus i nadkład czasowo zdjęte z terenu wykopów, dokopów i miejsc pozyskania materiałów miejscowych będą formowane w hałdy i wykorzystane przy zasypce i rekultywacji terenu po ukończeniu robót.</w:t>
      </w:r>
    </w:p>
    <w:p w14:paraId="450024A9" w14:textId="77777777" w:rsidR="00656AC1" w:rsidRPr="00A23FB4" w:rsidRDefault="00656AC1" w:rsidP="00364E4D">
      <w:pPr>
        <w:rPr>
          <w:rFonts w:ascii="Calibri" w:hAnsi="Calibri" w:cs="Calibri"/>
        </w:rPr>
      </w:pPr>
      <w:r w:rsidRPr="00A23FB4">
        <w:rPr>
          <w:rFonts w:ascii="Calibri" w:hAnsi="Calibri" w:cs="Calibri"/>
        </w:rPr>
        <w:t>Wszystkie odpowiednie materiały pozyskane z wykopów na terenie budowy lub z innych miejsc wskazanych w dokumentach umowy będą wykorzystane do robót lub odwiezione na odkład odpowiednio do wymagań umowy lub wskazań Inżyniera/Kierownika projektu.</w:t>
      </w:r>
    </w:p>
    <w:p w14:paraId="318B44AE" w14:textId="77777777" w:rsidR="00656AC1" w:rsidRPr="00A23FB4" w:rsidRDefault="00656AC1" w:rsidP="00364E4D">
      <w:pPr>
        <w:rPr>
          <w:rFonts w:ascii="Calibri" w:hAnsi="Calibri" w:cs="Calibri"/>
        </w:rPr>
      </w:pPr>
      <w:r w:rsidRPr="00A23FB4">
        <w:rPr>
          <w:rFonts w:ascii="Calibri" w:hAnsi="Calibri" w:cs="Calibri"/>
        </w:rPr>
        <w:t>Wykonawca nie będzie prowadzić żadnych wykopów w obrębie terenu budowy poza tymi, które zostały wyszczególnione w dokumentach umowy, chyba, że uzyska na to pisemną zgodę Inżyniera/Kierownika projektu.</w:t>
      </w:r>
    </w:p>
    <w:p w14:paraId="46D6A685" w14:textId="77777777" w:rsidR="00656AC1" w:rsidRPr="00A23FB4" w:rsidRDefault="00656AC1" w:rsidP="00364E4D">
      <w:pPr>
        <w:rPr>
          <w:rFonts w:ascii="Calibri" w:hAnsi="Calibri" w:cs="Calibri"/>
        </w:rPr>
      </w:pPr>
      <w:r w:rsidRPr="00A23FB4">
        <w:rPr>
          <w:rFonts w:ascii="Calibri" w:hAnsi="Calibri" w:cs="Calibri"/>
        </w:rPr>
        <w:t>Eksploatacja źródeł materiałów będzie zgodna z wszelkimi regulacjami prawnymi obowiązującymi na danym obszarze.</w:t>
      </w:r>
    </w:p>
    <w:p w14:paraId="33BF17F4" w14:textId="77777777" w:rsidR="00656AC1" w:rsidRPr="00A23FB4" w:rsidRDefault="00656AC1" w:rsidP="00364E4D">
      <w:pPr>
        <w:pStyle w:val="Nagwek4"/>
        <w:rPr>
          <w:rFonts w:ascii="Calibri" w:hAnsi="Calibri" w:cs="Calibri"/>
        </w:rPr>
      </w:pPr>
      <w:r w:rsidRPr="00A23FB4">
        <w:rPr>
          <w:rFonts w:ascii="Calibri" w:hAnsi="Calibri" w:cs="Calibri"/>
        </w:rPr>
        <w:t>2.3. Materiały nie odpowiadające wymaganiom</w:t>
      </w:r>
    </w:p>
    <w:p w14:paraId="4506CB19" w14:textId="77777777" w:rsidR="00656AC1" w:rsidRPr="00A23FB4" w:rsidRDefault="00656AC1" w:rsidP="00364E4D">
      <w:pPr>
        <w:rPr>
          <w:rFonts w:ascii="Calibri" w:hAnsi="Calibri" w:cs="Calibri"/>
        </w:rPr>
      </w:pPr>
      <w:r w:rsidRPr="00A23FB4">
        <w:rPr>
          <w:rFonts w:ascii="Calibri" w:hAnsi="Calibri" w:cs="Calibri"/>
        </w:rPr>
        <w:t>Materiały nie odpowiadające wymaganiom zostaną przez Wykonawcę wywiezione z terenu budowy  i złożone w miejscu wskazanym przez Inżyniera/Kierownika projektu. Jeśli Inżynier/Kierownik projektu zezwoli Wykonawcy na użycie tych materiałów do innych robót, niż te dla których zostały zakupione, to koszt tych materiałów zostanie odpowiednio przewartościowany (skorygowany) przez Inżyniera/Kierownika projektu.</w:t>
      </w:r>
    </w:p>
    <w:p w14:paraId="30AA67A8" w14:textId="77777777" w:rsidR="00656AC1" w:rsidRPr="00A23FB4" w:rsidRDefault="00656AC1" w:rsidP="00364E4D">
      <w:pPr>
        <w:rPr>
          <w:rFonts w:ascii="Calibri" w:hAnsi="Calibri" w:cs="Calibri"/>
        </w:rPr>
      </w:pPr>
      <w:r w:rsidRPr="00A23FB4">
        <w:rPr>
          <w:rFonts w:ascii="Calibri" w:hAnsi="Calibri" w:cs="Calibri"/>
        </w:rPr>
        <w:t>Każdy rodzaj robót, w którym znajdują się nie zbadane i nie zaakceptowane materiały, Wykonawca wykonuje na własne ryzyko, licząc się z jego nieprzyjęciem, usunięciem  i niezapłaceniem</w:t>
      </w:r>
    </w:p>
    <w:p w14:paraId="14576F40" w14:textId="77777777" w:rsidR="00656AC1" w:rsidRPr="00A23FB4" w:rsidRDefault="00656AC1" w:rsidP="00364E4D">
      <w:pPr>
        <w:pStyle w:val="Nagwek4"/>
        <w:rPr>
          <w:rFonts w:ascii="Calibri" w:hAnsi="Calibri" w:cs="Calibri"/>
        </w:rPr>
      </w:pPr>
      <w:r w:rsidRPr="00A23FB4">
        <w:rPr>
          <w:rFonts w:ascii="Calibri" w:hAnsi="Calibri" w:cs="Calibri"/>
        </w:rPr>
        <w:t>2.4. Wariantowe stosowanie materiałów</w:t>
      </w:r>
    </w:p>
    <w:p w14:paraId="7953AE35" w14:textId="57EB17D7" w:rsidR="00656AC1" w:rsidRPr="00A23FB4" w:rsidRDefault="00656AC1" w:rsidP="00364E4D">
      <w:pPr>
        <w:rPr>
          <w:rFonts w:ascii="Calibri" w:hAnsi="Calibri" w:cs="Calibri"/>
        </w:rPr>
      </w:pPr>
      <w:r w:rsidRPr="00A23FB4">
        <w:rPr>
          <w:rFonts w:ascii="Calibri" w:hAnsi="Calibri" w:cs="Calibri"/>
        </w:rPr>
        <w:t xml:space="preserve">Jeśli dokumentacja projektowa lub </w:t>
      </w:r>
      <w:r w:rsidR="00AB0E2E">
        <w:rPr>
          <w:rFonts w:ascii="Calibri" w:hAnsi="Calibri" w:cs="Calibri"/>
        </w:rPr>
        <w:t>ST</w:t>
      </w:r>
      <w:r w:rsidR="00E22F37" w:rsidRPr="00A23FB4">
        <w:rPr>
          <w:rFonts w:ascii="Calibri" w:hAnsi="Calibri" w:cs="Calibri"/>
        </w:rPr>
        <w:t>WiORB</w:t>
      </w:r>
      <w:r w:rsidRPr="00A23FB4">
        <w:rPr>
          <w:rFonts w:ascii="Calibri" w:hAnsi="Calibri" w:cs="Calibri"/>
        </w:rPr>
        <w:t xml:space="preserve"> przewidują możliwość wariantowego zastosowania rodzaju materiału w wykonywanych robotach, Wykonawca powiadomi Inżyniera/Kierownika projektu o swoim zamiarze co najmniej </w:t>
      </w:r>
      <w:r w:rsidR="00854C49" w:rsidRPr="00A23FB4">
        <w:rPr>
          <w:rFonts w:ascii="Calibri" w:hAnsi="Calibri" w:cs="Calibri"/>
        </w:rPr>
        <w:t>2</w:t>
      </w:r>
      <w:r w:rsidRPr="00A23FB4">
        <w:rPr>
          <w:rFonts w:ascii="Calibri" w:hAnsi="Calibri" w:cs="Calibri"/>
        </w:rPr>
        <w:t xml:space="preserve"> tygodnie przed użyciem tego materiału, albo w okresie dłuższym, jeśli będzie to potrzebne z uwagi na wykonanie badań wymaganych przez Inżyniera</w:t>
      </w:r>
      <w:r w:rsidR="007E255D" w:rsidRPr="00A23FB4">
        <w:rPr>
          <w:rFonts w:ascii="Calibri" w:hAnsi="Calibri" w:cs="Calibri"/>
        </w:rPr>
        <w:t>/Kierownika projektu. Wybrany i </w:t>
      </w:r>
      <w:r w:rsidRPr="00A23FB4">
        <w:rPr>
          <w:rFonts w:ascii="Calibri" w:hAnsi="Calibri" w:cs="Calibri"/>
        </w:rPr>
        <w:t>zaakceptowany rodzaj materiału nie może być później zmieniany bez zgody Inżyniera/Kierownika projektu.</w:t>
      </w:r>
    </w:p>
    <w:p w14:paraId="1A4F1DCB" w14:textId="77777777" w:rsidR="00656AC1" w:rsidRPr="00A23FB4" w:rsidRDefault="00656AC1" w:rsidP="00364E4D">
      <w:pPr>
        <w:pStyle w:val="Nagwek4"/>
        <w:rPr>
          <w:rFonts w:ascii="Calibri" w:hAnsi="Calibri" w:cs="Calibri"/>
        </w:rPr>
      </w:pPr>
      <w:r w:rsidRPr="00A23FB4">
        <w:rPr>
          <w:rFonts w:ascii="Calibri" w:hAnsi="Calibri" w:cs="Calibri"/>
        </w:rPr>
        <w:t>2.5. Przechowywanie i składowanie materiałów</w:t>
      </w:r>
    </w:p>
    <w:p w14:paraId="6836B602" w14:textId="77777777" w:rsidR="00656AC1" w:rsidRPr="00A23FB4" w:rsidRDefault="00656AC1" w:rsidP="00364E4D">
      <w:pPr>
        <w:rPr>
          <w:rFonts w:ascii="Calibri" w:hAnsi="Calibri" w:cs="Calibri"/>
        </w:rPr>
      </w:pPr>
      <w:r w:rsidRPr="00A23FB4">
        <w:rPr>
          <w:rFonts w:ascii="Calibri" w:hAnsi="Calibri" w:cs="Calibri"/>
        </w:rPr>
        <w:t>Wykonawca zapewni, aby tymczasowo składowane materiały, do czasu gdy będą one użyte do robót, były zabezpieczone przed zanieczyszczeniami, zachowały swoją jakość i właściwości i były dostępne do kontroli przez Inżyniera/Kierownika projektu.</w:t>
      </w:r>
    </w:p>
    <w:p w14:paraId="15F14C96" w14:textId="77777777" w:rsidR="00656AC1" w:rsidRPr="00A23FB4" w:rsidRDefault="00656AC1" w:rsidP="00364E4D">
      <w:pPr>
        <w:rPr>
          <w:rFonts w:ascii="Calibri" w:hAnsi="Calibri" w:cs="Calibri"/>
        </w:rPr>
      </w:pPr>
      <w:r w:rsidRPr="00A23FB4">
        <w:rPr>
          <w:rFonts w:ascii="Calibri" w:hAnsi="Calibri" w:cs="Calibri"/>
        </w:rPr>
        <w:t>Miejsca czasowego składowania materiałów będą zlokalizowane w obrębie terenu budowy w miejscach uzgodnionych z Inżynierem/Kierownikiem projektu lub poza terenem budowy w miejscach zorganizowanych przez Wykonawcę i zaakceptowanych przez Inżyniera/Kierownika projektu.</w:t>
      </w:r>
    </w:p>
    <w:p w14:paraId="6513D282" w14:textId="77777777" w:rsidR="00656AC1" w:rsidRPr="00A23FB4" w:rsidRDefault="00656AC1" w:rsidP="00364E4D">
      <w:pPr>
        <w:pStyle w:val="Nagwek4"/>
        <w:rPr>
          <w:rFonts w:ascii="Calibri" w:hAnsi="Calibri" w:cs="Calibri"/>
        </w:rPr>
      </w:pPr>
      <w:r w:rsidRPr="00A23FB4">
        <w:rPr>
          <w:rFonts w:ascii="Calibri" w:hAnsi="Calibri" w:cs="Calibri"/>
        </w:rPr>
        <w:t>2.6. Inspekcja wytwórni materiałów</w:t>
      </w:r>
    </w:p>
    <w:p w14:paraId="447FB206" w14:textId="77777777" w:rsidR="00656AC1" w:rsidRPr="00A23FB4" w:rsidRDefault="00656AC1" w:rsidP="00364E4D">
      <w:pPr>
        <w:rPr>
          <w:rFonts w:ascii="Calibri" w:hAnsi="Calibri" w:cs="Calibri"/>
        </w:rPr>
      </w:pPr>
      <w:r w:rsidRPr="00A23FB4">
        <w:rPr>
          <w:rFonts w:ascii="Calibri" w:hAnsi="Calibri" w:cs="Calibri"/>
        </w:rPr>
        <w:t>Wytwórnie materiałów mogą być okresowo kontrolowane przez Inżyniera/Kierownika projektu w celu sprawdzenia zgodności stosowanych metod produkcji z wymaganiami. Próbki materiałów mogą być pobierane w celu sprawdzenia ich właściwości. Wyniki tych kontroli będą stanowić podstawę do akceptacji określonej partii materiałów pod względem jakości.</w:t>
      </w:r>
    </w:p>
    <w:p w14:paraId="71DD6020" w14:textId="77777777" w:rsidR="00656AC1" w:rsidRPr="00A23FB4" w:rsidRDefault="00656AC1" w:rsidP="00364E4D">
      <w:pPr>
        <w:rPr>
          <w:rFonts w:ascii="Calibri" w:hAnsi="Calibri" w:cs="Calibri"/>
        </w:rPr>
      </w:pPr>
      <w:r w:rsidRPr="00A23FB4">
        <w:rPr>
          <w:rFonts w:ascii="Calibri" w:hAnsi="Calibri" w:cs="Calibri"/>
        </w:rPr>
        <w:t>W przypadku, gdy Inżynier/Kierownik projektu będzie przeprowadzał inspekcję wytwórni, muszą być spełnione następujące warunki:</w:t>
      </w:r>
    </w:p>
    <w:p w14:paraId="54BDA48F" w14:textId="77777777" w:rsidR="00656AC1" w:rsidRPr="00A23FB4" w:rsidRDefault="00656AC1" w:rsidP="00954A11">
      <w:pPr>
        <w:numPr>
          <w:ilvl w:val="0"/>
          <w:numId w:val="5"/>
        </w:numPr>
        <w:rPr>
          <w:rFonts w:ascii="Calibri" w:hAnsi="Calibri" w:cs="Calibri"/>
        </w:rPr>
      </w:pPr>
      <w:r w:rsidRPr="00A23FB4">
        <w:rPr>
          <w:rFonts w:ascii="Calibri" w:hAnsi="Calibri" w:cs="Calibri"/>
        </w:rPr>
        <w:t>Inżynier/Kierownik projektu będzie miał zapewnioną współpracę i pomoc Wykonawcy oraz producenta materiałów w czasie przeprowadzania inspekcji,</w:t>
      </w:r>
    </w:p>
    <w:p w14:paraId="0A5EE263" w14:textId="77777777" w:rsidR="00656AC1" w:rsidRPr="00A23FB4" w:rsidRDefault="00656AC1" w:rsidP="00954A11">
      <w:pPr>
        <w:numPr>
          <w:ilvl w:val="0"/>
          <w:numId w:val="5"/>
        </w:numPr>
        <w:rPr>
          <w:rFonts w:ascii="Calibri" w:hAnsi="Calibri" w:cs="Calibri"/>
        </w:rPr>
      </w:pPr>
      <w:r w:rsidRPr="00A23FB4">
        <w:rPr>
          <w:rFonts w:ascii="Calibri" w:hAnsi="Calibri" w:cs="Calibri"/>
        </w:rPr>
        <w:t>Inżynier/Kierownik projektu będzie miał wolny dostęp, w dowolnym czasie, do tych części wytwórni, gdzie odbywa się produkcja materiałów przeznaczonych do realizacji robót,</w:t>
      </w:r>
    </w:p>
    <w:p w14:paraId="751F9AAC" w14:textId="77777777" w:rsidR="00656AC1" w:rsidRPr="00A23FB4" w:rsidRDefault="00656AC1" w:rsidP="00954A11">
      <w:pPr>
        <w:numPr>
          <w:ilvl w:val="0"/>
          <w:numId w:val="5"/>
        </w:numPr>
        <w:rPr>
          <w:rFonts w:ascii="Calibri" w:hAnsi="Calibri" w:cs="Calibri"/>
        </w:rPr>
      </w:pPr>
      <w:r w:rsidRPr="00A23FB4">
        <w:rPr>
          <w:rFonts w:ascii="Calibri" w:hAnsi="Calibri" w:cs="Calibri"/>
        </w:rPr>
        <w:t>Jeżeli produkcja odbywa się w miejscu nie należącym do Wykonawcy, Wykonawca uzyska dla Inżyniera/Kierownika projektu zezwolenie dla przeprowadzenia inspekcji i badań w tych miejscach.</w:t>
      </w:r>
    </w:p>
    <w:p w14:paraId="587DA6DA" w14:textId="77777777" w:rsidR="00990137" w:rsidRPr="00A23FB4" w:rsidRDefault="00990137" w:rsidP="00990137">
      <w:pPr>
        <w:ind w:left="283"/>
        <w:rPr>
          <w:rFonts w:ascii="Calibri" w:hAnsi="Calibri" w:cs="Calibri"/>
        </w:rPr>
      </w:pPr>
    </w:p>
    <w:p w14:paraId="6776E876" w14:textId="77777777" w:rsidR="003B234D" w:rsidRPr="00A23FB4" w:rsidRDefault="003B234D" w:rsidP="00990137">
      <w:pPr>
        <w:rPr>
          <w:rFonts w:ascii="Calibri" w:hAnsi="Calibri" w:cs="Calibri"/>
          <w:b/>
        </w:rPr>
      </w:pPr>
      <w:bookmarkStart w:id="14" w:name="_Toc416830700"/>
      <w:bookmarkStart w:id="15" w:name="_Toc6881281"/>
      <w:bookmarkStart w:id="16" w:name="_Toc6882154"/>
    </w:p>
    <w:p w14:paraId="57C0ECF4" w14:textId="77777777" w:rsidR="00656AC1" w:rsidRPr="00A23FB4" w:rsidRDefault="00656AC1" w:rsidP="00990137">
      <w:pPr>
        <w:rPr>
          <w:rFonts w:ascii="Calibri" w:hAnsi="Calibri" w:cs="Calibri"/>
          <w:b/>
        </w:rPr>
      </w:pPr>
      <w:r w:rsidRPr="00A23FB4">
        <w:rPr>
          <w:rFonts w:ascii="Calibri" w:hAnsi="Calibri" w:cs="Calibri"/>
          <w:b/>
        </w:rPr>
        <w:t>3. SPRZĘT</w:t>
      </w:r>
      <w:bookmarkEnd w:id="14"/>
      <w:bookmarkEnd w:id="15"/>
      <w:bookmarkEnd w:id="16"/>
    </w:p>
    <w:p w14:paraId="1F4F30AC" w14:textId="1DA1D5CE" w:rsidR="00656AC1" w:rsidRPr="00A23FB4" w:rsidRDefault="00656AC1" w:rsidP="00364E4D">
      <w:pPr>
        <w:rPr>
          <w:rFonts w:ascii="Calibri" w:hAnsi="Calibri" w:cs="Calibri"/>
        </w:rPr>
      </w:pPr>
      <w:r w:rsidRPr="00A23FB4">
        <w:rPr>
          <w:rFonts w:ascii="Calibri" w:hAnsi="Calibri" w:cs="Calibri"/>
        </w:rPr>
        <w:t xml:space="preserve">Wykonawca jest zobowiązany do używania jedynie takiego sprzętu, który nie spowoduje niekorzystnego wpływu na jakość wykonywanych robót. Sprzęt używany do robót powinien być zgodny z ofertą Wykonawcy i powinien odpowiadać pod względem typów i ilości wskazaniom zawartym w </w:t>
      </w:r>
      <w:r w:rsidR="00AB0E2E">
        <w:rPr>
          <w:rFonts w:ascii="Calibri" w:hAnsi="Calibri" w:cs="Calibri"/>
        </w:rPr>
        <w:t>ST</w:t>
      </w:r>
      <w:r w:rsidR="00E22F37" w:rsidRPr="00A23FB4">
        <w:rPr>
          <w:rFonts w:ascii="Calibri" w:hAnsi="Calibri" w:cs="Calibri"/>
        </w:rPr>
        <w:t>WiORB</w:t>
      </w:r>
      <w:r w:rsidRPr="00A23FB4">
        <w:rPr>
          <w:rFonts w:ascii="Calibri" w:hAnsi="Calibri" w:cs="Calibri"/>
        </w:rPr>
        <w:t xml:space="preserve">, </w:t>
      </w:r>
      <w:r w:rsidR="00854C49" w:rsidRPr="00A23FB4">
        <w:rPr>
          <w:rFonts w:ascii="Calibri" w:hAnsi="Calibri" w:cs="Calibri"/>
        </w:rPr>
        <w:t xml:space="preserve"> zatwierdzonym</w:t>
      </w:r>
      <w:r w:rsidR="00AB0E2E">
        <w:rPr>
          <w:rFonts w:ascii="Calibri" w:hAnsi="Calibri" w:cs="Calibri"/>
        </w:rPr>
        <w:t xml:space="preserve"> </w:t>
      </w:r>
      <w:r w:rsidRPr="00A23FB4">
        <w:rPr>
          <w:rFonts w:ascii="Calibri" w:hAnsi="Calibri" w:cs="Calibri"/>
        </w:rPr>
        <w:t>PZJ lub projekcie organizacji robót, zaakceptowanym przez Inżyniera/Kierownika projektu; w przypadku braku ustaleń w wymienionych wyżej dokumentach, sprzęt powinien być uzgodniony i zaakceptowany przez Inżyniera/Kierownika projektu.</w:t>
      </w:r>
    </w:p>
    <w:p w14:paraId="3C0AFCC5" w14:textId="6D8E53FE" w:rsidR="00656AC1" w:rsidRPr="00A23FB4" w:rsidRDefault="00656AC1" w:rsidP="00364E4D">
      <w:pPr>
        <w:rPr>
          <w:rFonts w:ascii="Calibri" w:hAnsi="Calibri" w:cs="Calibri"/>
        </w:rPr>
      </w:pPr>
      <w:r w:rsidRPr="00A23FB4">
        <w:rPr>
          <w:rFonts w:ascii="Calibri" w:hAnsi="Calibri" w:cs="Calibri"/>
        </w:rPr>
        <w:t xml:space="preserve">Liczba i wydajność sprzętu powinny gwarantować przeprowadzenie robót, zgodnie z zasadami określonymi w dokumentacji projektowej, </w:t>
      </w:r>
      <w:r w:rsidR="00AB0E2E">
        <w:rPr>
          <w:rFonts w:ascii="Calibri" w:hAnsi="Calibri" w:cs="Calibri"/>
        </w:rPr>
        <w:t>ST</w:t>
      </w:r>
      <w:r w:rsidR="00E22F37" w:rsidRPr="00A23FB4">
        <w:rPr>
          <w:rFonts w:ascii="Calibri" w:hAnsi="Calibri" w:cs="Calibri"/>
        </w:rPr>
        <w:t>WiORB</w:t>
      </w:r>
      <w:r w:rsidRPr="00A23FB4">
        <w:rPr>
          <w:rFonts w:ascii="Calibri" w:hAnsi="Calibri" w:cs="Calibri"/>
        </w:rPr>
        <w:t xml:space="preserve"> i wskazaniach Inżyniera/Kierownika projektu.</w:t>
      </w:r>
    </w:p>
    <w:p w14:paraId="0C8FD395" w14:textId="77777777" w:rsidR="00656AC1" w:rsidRPr="00A23FB4" w:rsidRDefault="00656AC1" w:rsidP="00364E4D">
      <w:pPr>
        <w:rPr>
          <w:rFonts w:ascii="Calibri" w:hAnsi="Calibri" w:cs="Calibri"/>
        </w:rPr>
      </w:pPr>
      <w:r w:rsidRPr="00A23FB4">
        <w:rPr>
          <w:rFonts w:ascii="Calibri" w:hAnsi="Calibri" w:cs="Calibri"/>
        </w:rPr>
        <w:t>Sprzęt będący własnością Wykonawcy lub wynajęty do wykonania robót ma być utrzymywany w dobrym stanie i gotowości do pracy. Powinien być zgodny z normami ochrony środowiska i przepisami dotyczącymi jego użytkowania.</w:t>
      </w:r>
    </w:p>
    <w:p w14:paraId="04B4AF95" w14:textId="77777777" w:rsidR="00656AC1" w:rsidRPr="00A23FB4" w:rsidRDefault="00656AC1" w:rsidP="00364E4D">
      <w:pPr>
        <w:rPr>
          <w:rFonts w:ascii="Calibri" w:hAnsi="Calibri" w:cs="Calibri"/>
        </w:rPr>
      </w:pPr>
      <w:r w:rsidRPr="00A23FB4">
        <w:rPr>
          <w:rFonts w:ascii="Calibri" w:hAnsi="Calibri" w:cs="Calibri"/>
        </w:rPr>
        <w:t>Wykonawca dostarczy Inżynierowi/Kierownikowi projektu kopie dokumentów potwierdzających dopuszczenie sprzętu do użytkowania i badań okresowych, tam gdzie jest to wymagane przepisami.</w:t>
      </w:r>
    </w:p>
    <w:p w14:paraId="22C0A04D" w14:textId="77777777" w:rsidR="00656AC1" w:rsidRPr="00A23FB4" w:rsidRDefault="00656AC1" w:rsidP="00364E4D">
      <w:pPr>
        <w:rPr>
          <w:rFonts w:ascii="Calibri" w:hAnsi="Calibri" w:cs="Calibri"/>
        </w:rPr>
      </w:pPr>
      <w:r w:rsidRPr="00A23FB4">
        <w:rPr>
          <w:rFonts w:ascii="Calibri" w:hAnsi="Calibri" w:cs="Calibri"/>
        </w:rPr>
        <w:t>Wykonawca będzie konserwować sprzęt jak również naprawiać lub wymieniać sprzęt niesprawny.</w:t>
      </w:r>
    </w:p>
    <w:p w14:paraId="52D27427" w14:textId="60D5FAF6" w:rsidR="00656AC1" w:rsidRPr="00A23FB4" w:rsidRDefault="00656AC1" w:rsidP="00364E4D">
      <w:pPr>
        <w:rPr>
          <w:rFonts w:ascii="Calibri" w:hAnsi="Calibri" w:cs="Calibri"/>
        </w:rPr>
      </w:pPr>
      <w:r w:rsidRPr="00A23FB4">
        <w:rPr>
          <w:rFonts w:ascii="Calibri" w:hAnsi="Calibri" w:cs="Calibri"/>
        </w:rPr>
        <w:t xml:space="preserve">Jeżeli dokumentacja projektowa lub </w:t>
      </w:r>
      <w:r w:rsidR="00AB0E2E">
        <w:rPr>
          <w:rFonts w:ascii="Calibri" w:hAnsi="Calibri" w:cs="Calibri"/>
        </w:rPr>
        <w:t>ST</w:t>
      </w:r>
      <w:r w:rsidR="00E22F37" w:rsidRPr="00A23FB4">
        <w:rPr>
          <w:rFonts w:ascii="Calibri" w:hAnsi="Calibri" w:cs="Calibri"/>
        </w:rPr>
        <w:t>WiORB</w:t>
      </w:r>
      <w:r w:rsidRPr="00A23FB4">
        <w:rPr>
          <w:rFonts w:ascii="Calibri" w:hAnsi="Calibri" w:cs="Calibri"/>
        </w:rPr>
        <w:t xml:space="preserve"> przewidują możliwość wariantowego użycia sprzętu przy wykonywanych robotach, Wykonawca powiadomi Inżyniera/Kierownika projektu o swoim zamiarze wyboru i uzyska jego akceptację przed użyciem sprzętu. Wybrany sprzęt, po akceptacji Inżyniera/Kierownika projektu, nie może być później zmieniany bez jego zgody.</w:t>
      </w:r>
    </w:p>
    <w:p w14:paraId="6EBECF43" w14:textId="77777777" w:rsidR="00656AC1" w:rsidRPr="00A23FB4" w:rsidRDefault="00656AC1" w:rsidP="00364E4D">
      <w:pPr>
        <w:rPr>
          <w:rFonts w:ascii="Calibri" w:hAnsi="Calibri" w:cs="Calibri"/>
        </w:rPr>
      </w:pPr>
      <w:r w:rsidRPr="00A23FB4">
        <w:rPr>
          <w:rFonts w:ascii="Calibri" w:hAnsi="Calibri" w:cs="Calibri"/>
        </w:rPr>
        <w:t>Jakikolwiek sprzęt, maszyny, urządzenia i narzędzia nie gwarantujące zachowania warunków umowy, zostaną przez Inżyniera/Kierownika projektu zdyskwalifikowane i nie dopuszczone do robót.</w:t>
      </w:r>
    </w:p>
    <w:p w14:paraId="2922280A" w14:textId="77777777" w:rsidR="00225404" w:rsidRPr="00A23FB4" w:rsidRDefault="00225404" w:rsidP="00364E4D">
      <w:pPr>
        <w:rPr>
          <w:rFonts w:ascii="Calibri" w:hAnsi="Calibri" w:cs="Calibri"/>
        </w:rPr>
      </w:pPr>
    </w:p>
    <w:p w14:paraId="1E66D449" w14:textId="77777777" w:rsidR="00656AC1" w:rsidRPr="00A23FB4" w:rsidRDefault="00656AC1" w:rsidP="00990137">
      <w:pPr>
        <w:rPr>
          <w:rFonts w:ascii="Calibri" w:hAnsi="Calibri" w:cs="Calibri"/>
          <w:b/>
        </w:rPr>
      </w:pPr>
      <w:bookmarkStart w:id="17" w:name="_Toc416830701"/>
      <w:bookmarkStart w:id="18" w:name="_Toc6881282"/>
      <w:bookmarkStart w:id="19" w:name="_Toc6882155"/>
      <w:r w:rsidRPr="00A23FB4">
        <w:rPr>
          <w:rFonts w:ascii="Calibri" w:hAnsi="Calibri" w:cs="Calibri"/>
          <w:b/>
        </w:rPr>
        <w:t>4. TRANSPORT</w:t>
      </w:r>
      <w:bookmarkEnd w:id="17"/>
      <w:bookmarkEnd w:id="18"/>
      <w:bookmarkEnd w:id="19"/>
    </w:p>
    <w:p w14:paraId="69EAC763" w14:textId="77777777" w:rsidR="00656AC1" w:rsidRPr="00A23FB4" w:rsidRDefault="00656AC1" w:rsidP="00364E4D">
      <w:pPr>
        <w:rPr>
          <w:rFonts w:ascii="Calibri" w:hAnsi="Calibri" w:cs="Calibri"/>
        </w:rPr>
      </w:pPr>
      <w:r w:rsidRPr="00A23FB4">
        <w:rPr>
          <w:rFonts w:ascii="Calibri" w:hAnsi="Calibri" w:cs="Calibri"/>
        </w:rPr>
        <w:t>Wykonawca jest zobowiązany do stosowania jedynie takich środków transportu, które nie wpłyną niekorzystnie na jakość wykonywanych robót i właściwości przewożonych materiałów.</w:t>
      </w:r>
    </w:p>
    <w:p w14:paraId="6EF01D1E" w14:textId="465386A8" w:rsidR="00656AC1" w:rsidRPr="00A23FB4" w:rsidRDefault="00656AC1" w:rsidP="00364E4D">
      <w:pPr>
        <w:rPr>
          <w:rFonts w:ascii="Calibri" w:hAnsi="Calibri" w:cs="Calibri"/>
        </w:rPr>
      </w:pPr>
      <w:r w:rsidRPr="00A23FB4">
        <w:rPr>
          <w:rFonts w:ascii="Calibri" w:hAnsi="Calibri" w:cs="Calibri"/>
        </w:rPr>
        <w:t xml:space="preserve">Liczba środków transportu powinna zapewniać prowadzenie robót zgodnie z zasadami określonymi w dokumentacji projektowej, </w:t>
      </w:r>
      <w:r w:rsidR="00AB0E2E">
        <w:rPr>
          <w:rFonts w:ascii="Calibri" w:hAnsi="Calibri" w:cs="Calibri"/>
        </w:rPr>
        <w:t>ST</w:t>
      </w:r>
      <w:r w:rsidR="00E22F37" w:rsidRPr="00A23FB4">
        <w:rPr>
          <w:rFonts w:ascii="Calibri" w:hAnsi="Calibri" w:cs="Calibri"/>
        </w:rPr>
        <w:t>WiORB</w:t>
      </w:r>
      <w:r w:rsidRPr="00A23FB4">
        <w:rPr>
          <w:rFonts w:ascii="Calibri" w:hAnsi="Calibri" w:cs="Calibri"/>
        </w:rPr>
        <w:t xml:space="preserve"> i wskazaniach Inżyniera/Kierownika projektu, w terminie przewidzianym umową.</w:t>
      </w:r>
    </w:p>
    <w:p w14:paraId="0C9A0748" w14:textId="77777777" w:rsidR="00656AC1" w:rsidRPr="00A23FB4" w:rsidRDefault="00656AC1" w:rsidP="00364E4D">
      <w:pPr>
        <w:rPr>
          <w:rFonts w:ascii="Calibri" w:hAnsi="Calibri" w:cs="Calibri"/>
        </w:rPr>
      </w:pPr>
      <w:r w:rsidRPr="00A23FB4">
        <w:rPr>
          <w:rFonts w:ascii="Calibri" w:hAnsi="Calibri" w:cs="Calibri"/>
        </w:rPr>
        <w:t>Przy ruchu na drogach publicznych pojazdy będą spełniać wymagania dotyczące przepisów ruchu drogowego w odniesieniu do dopuszczalnych nacisków na oś i innych parametrów technicznych. Środki transportu nie spełniające tych warunków mogą być dopuszczone przez Inżyniera/Kierownika projektu, pod warunkiem przywrócenia stanu pierwotnego użytkowanych odcinków dróg na koszt Wykonawcy.</w:t>
      </w:r>
    </w:p>
    <w:p w14:paraId="0C16008B" w14:textId="77777777" w:rsidR="00656AC1" w:rsidRPr="00A23FB4" w:rsidRDefault="00656AC1" w:rsidP="00364E4D">
      <w:pPr>
        <w:rPr>
          <w:rFonts w:ascii="Calibri" w:hAnsi="Calibri" w:cs="Calibri"/>
        </w:rPr>
      </w:pPr>
      <w:r w:rsidRPr="00A23FB4">
        <w:rPr>
          <w:rFonts w:ascii="Calibri" w:hAnsi="Calibri" w:cs="Calibri"/>
        </w:rPr>
        <w:t>Wykonawca będzie usuwać na bieżąco, na własny koszt, wszelkie zanieczyszczenia, uszkodzenia spowodowane jego pojazdami na drogach publicznych oraz dojazdach do terenu budowy.</w:t>
      </w:r>
    </w:p>
    <w:p w14:paraId="431F8E7E" w14:textId="77777777" w:rsidR="00225404" w:rsidRPr="00A23FB4" w:rsidRDefault="00225404" w:rsidP="00990137">
      <w:pPr>
        <w:rPr>
          <w:rFonts w:ascii="Calibri" w:hAnsi="Calibri" w:cs="Calibri"/>
          <w:b/>
        </w:rPr>
      </w:pPr>
      <w:bookmarkStart w:id="20" w:name="_Toc416830702"/>
      <w:bookmarkStart w:id="21" w:name="_Toc6881283"/>
      <w:bookmarkStart w:id="22" w:name="_Toc6882156"/>
    </w:p>
    <w:p w14:paraId="2CAA41E1" w14:textId="77777777" w:rsidR="00656AC1" w:rsidRPr="00A23FB4" w:rsidRDefault="00656AC1" w:rsidP="00990137">
      <w:pPr>
        <w:rPr>
          <w:rFonts w:ascii="Calibri" w:hAnsi="Calibri" w:cs="Calibri"/>
          <w:b/>
        </w:rPr>
      </w:pPr>
      <w:r w:rsidRPr="00A23FB4">
        <w:rPr>
          <w:rFonts w:ascii="Calibri" w:hAnsi="Calibri" w:cs="Calibri"/>
          <w:b/>
        </w:rPr>
        <w:t>5. WYKONANIE ROBÓT</w:t>
      </w:r>
      <w:bookmarkEnd w:id="20"/>
      <w:bookmarkEnd w:id="21"/>
      <w:bookmarkEnd w:id="22"/>
    </w:p>
    <w:p w14:paraId="1AAE20DE" w14:textId="142F54B4" w:rsidR="00656AC1" w:rsidRPr="00A23FB4" w:rsidRDefault="00656AC1" w:rsidP="00364E4D">
      <w:pPr>
        <w:pStyle w:val="tekstost"/>
        <w:rPr>
          <w:rFonts w:ascii="Calibri" w:hAnsi="Calibri" w:cs="Calibri"/>
        </w:rPr>
      </w:pPr>
      <w:r w:rsidRPr="00A23FB4">
        <w:rPr>
          <w:rFonts w:ascii="Calibri" w:hAnsi="Calibri" w:cs="Calibri"/>
        </w:rPr>
        <w:t xml:space="preserve">Wykonawca jest odpowiedzialny za prowadzenie robót zgodnie z warunkami umowy oraz za jakość zastosowanych materiałów i wykonywanych robót, za ich zgodność z dokumentacją projektową, wymaganiami </w:t>
      </w:r>
      <w:r w:rsidR="00AB0E2E">
        <w:rPr>
          <w:rFonts w:ascii="Calibri" w:hAnsi="Calibri" w:cs="Calibri"/>
        </w:rPr>
        <w:t>ST</w:t>
      </w:r>
      <w:r w:rsidR="00E22F37" w:rsidRPr="00A23FB4">
        <w:rPr>
          <w:rFonts w:ascii="Calibri" w:hAnsi="Calibri" w:cs="Calibri"/>
        </w:rPr>
        <w:t>WiORB</w:t>
      </w:r>
      <w:r w:rsidRPr="00A23FB4">
        <w:rPr>
          <w:rFonts w:ascii="Calibri" w:hAnsi="Calibri" w:cs="Calibri"/>
        </w:rPr>
        <w:t>, PZJ, projektem organizacji robót opracowanym przez Wykonawcę oraz poleceniami Inżyniera/Kierownika projektu.</w:t>
      </w:r>
    </w:p>
    <w:p w14:paraId="252FAD1B" w14:textId="77777777" w:rsidR="00656AC1" w:rsidRPr="00A23FB4" w:rsidRDefault="00656AC1" w:rsidP="00364E4D">
      <w:pPr>
        <w:pStyle w:val="tekstost"/>
        <w:rPr>
          <w:rFonts w:ascii="Calibri" w:hAnsi="Calibri" w:cs="Calibri"/>
        </w:rPr>
      </w:pPr>
      <w:r w:rsidRPr="00A23FB4">
        <w:rPr>
          <w:rFonts w:ascii="Calibri" w:hAnsi="Calibri" w:cs="Calibri"/>
        </w:rPr>
        <w:t>Wykonawca jest odpowiedzialny za stosowane metody wykonywania robót.</w:t>
      </w:r>
    </w:p>
    <w:p w14:paraId="3110B116" w14:textId="77777777" w:rsidR="00656AC1" w:rsidRPr="00A23FB4" w:rsidRDefault="00656AC1" w:rsidP="00364E4D">
      <w:pPr>
        <w:pStyle w:val="tekstost"/>
        <w:rPr>
          <w:rFonts w:ascii="Calibri" w:hAnsi="Calibri" w:cs="Calibri"/>
        </w:rPr>
      </w:pPr>
      <w:r w:rsidRPr="00A23FB4">
        <w:rPr>
          <w:rFonts w:ascii="Calibri" w:hAnsi="Calibri" w:cs="Calibri"/>
        </w:rPr>
        <w:t>Wykonawca jest odpowiedzialny za dokładne wytyczenie w planie i wyznaczenie wysokości wszystkich elementów robót zgodnie z wymiarami i rzędnymi określonymi w dokumentacji projektowej lub przekazanymi na piśmie przez Inżyniera/Kierownika projektu</w:t>
      </w:r>
    </w:p>
    <w:p w14:paraId="68666F62" w14:textId="77777777" w:rsidR="00656AC1" w:rsidRPr="00A23FB4" w:rsidRDefault="00656AC1" w:rsidP="00364E4D">
      <w:pPr>
        <w:pStyle w:val="tekstost"/>
        <w:rPr>
          <w:rFonts w:ascii="Calibri" w:hAnsi="Calibri" w:cs="Calibri"/>
        </w:rPr>
      </w:pPr>
      <w:r w:rsidRPr="00A23FB4">
        <w:rPr>
          <w:rFonts w:ascii="Calibri" w:hAnsi="Calibri" w:cs="Calibri"/>
        </w:rPr>
        <w:t>Błędy popełnione przez Wykonawcę w wytyczeniu i wyznaczaniu robót zostaną, usunięte przez Wykonawcę na własny koszt, z wyjątkiem, kiedy dany błąd okaże się skutkiem błędu zawartego w danych dostarczonych Wykonawcy na piśmie przez Inżyniera/Kierownika projektu.</w:t>
      </w:r>
    </w:p>
    <w:p w14:paraId="3CCBED00" w14:textId="77777777" w:rsidR="00656AC1" w:rsidRPr="00A23FB4" w:rsidRDefault="00656AC1" w:rsidP="00364E4D">
      <w:pPr>
        <w:pStyle w:val="tekstost"/>
        <w:rPr>
          <w:rFonts w:ascii="Calibri" w:hAnsi="Calibri" w:cs="Calibri"/>
        </w:rPr>
      </w:pPr>
      <w:r w:rsidRPr="00A23FB4">
        <w:rPr>
          <w:rFonts w:ascii="Calibri" w:hAnsi="Calibri" w:cs="Calibri"/>
        </w:rPr>
        <w:t>Sprawdzenie wytyczenia robót lub wyznaczenia wysokości przez Inżyniera/Kierownika projektu nie zwalnia Wykonawcy od odpowiedzialności za ich dokładność.</w:t>
      </w:r>
    </w:p>
    <w:p w14:paraId="764FF023" w14:textId="17CA5CF5" w:rsidR="00656AC1" w:rsidRPr="00A23FB4" w:rsidRDefault="00656AC1" w:rsidP="00364E4D">
      <w:pPr>
        <w:pStyle w:val="tekstost"/>
        <w:rPr>
          <w:rFonts w:ascii="Calibri" w:hAnsi="Calibri" w:cs="Calibri"/>
        </w:rPr>
      </w:pPr>
      <w:r w:rsidRPr="00A23FB4">
        <w:rPr>
          <w:rFonts w:ascii="Calibri" w:hAnsi="Calibri" w:cs="Calibri"/>
        </w:rPr>
        <w:t xml:space="preserve">Decyzje Inżyniera/Kierownika projektu dotyczące akceptacji lub odrzucenia materiałów i elementów robót będą oparte na wymaganiach określonych w dokumentach umowy, dokumentacji projektowej i w </w:t>
      </w:r>
      <w:r w:rsidR="00AB0E2E">
        <w:rPr>
          <w:rFonts w:ascii="Calibri" w:hAnsi="Calibri" w:cs="Calibri"/>
        </w:rPr>
        <w:t>ST</w:t>
      </w:r>
      <w:r w:rsidR="00E22F37" w:rsidRPr="00A23FB4">
        <w:rPr>
          <w:rFonts w:ascii="Calibri" w:hAnsi="Calibri" w:cs="Calibri"/>
        </w:rPr>
        <w:t>WiORB</w:t>
      </w:r>
      <w:r w:rsidRPr="00A23FB4">
        <w:rPr>
          <w:rFonts w:ascii="Calibri" w:hAnsi="Calibri" w:cs="Calibri"/>
        </w:rPr>
        <w:t>, a także w normach i wytycznych. Przy podejmowaniu decyzji Inżynier/Kierownik projektu uwzględni wyniki badań materiałów i robót, rozrzuty normalnie występujące przy produkcji i przy badaniach materiałów, doświadczenia z przeszłości, wyniki badań naukowych oraz inne czynniki wpływające na rozważaną kwestię.</w:t>
      </w:r>
    </w:p>
    <w:p w14:paraId="73BC786E" w14:textId="77777777" w:rsidR="00656AC1" w:rsidRPr="00A23FB4" w:rsidRDefault="00656AC1" w:rsidP="00364E4D">
      <w:pPr>
        <w:pStyle w:val="tekstost"/>
        <w:rPr>
          <w:rFonts w:ascii="Calibri" w:hAnsi="Calibri" w:cs="Calibri"/>
        </w:rPr>
      </w:pPr>
      <w:r w:rsidRPr="00A23FB4">
        <w:rPr>
          <w:rFonts w:ascii="Calibri" w:hAnsi="Calibri" w:cs="Calibri"/>
        </w:rPr>
        <w:t>Polecenia Inżyniera/Kierownika projektu powinny być wykonywane przez Wykonawcę w czasie określonym przez Inżyniera/Kierownika projektu, pod groźbą zatrzymania robót. Skutki finansowe z tego tytułu poniesie Wykonawca.</w:t>
      </w:r>
    </w:p>
    <w:p w14:paraId="20650EC5" w14:textId="77777777" w:rsidR="00225404" w:rsidRPr="00A23FB4" w:rsidRDefault="00225404" w:rsidP="00990137">
      <w:pPr>
        <w:rPr>
          <w:rFonts w:ascii="Calibri" w:hAnsi="Calibri" w:cs="Calibri"/>
          <w:b/>
        </w:rPr>
      </w:pPr>
      <w:bookmarkStart w:id="23" w:name="_Toc416830703"/>
      <w:bookmarkStart w:id="24" w:name="_Toc6881284"/>
      <w:bookmarkStart w:id="25" w:name="_Toc6882157"/>
    </w:p>
    <w:p w14:paraId="5FF46A50" w14:textId="77777777" w:rsidR="00656AC1" w:rsidRPr="00A23FB4" w:rsidRDefault="00656AC1" w:rsidP="00990137">
      <w:pPr>
        <w:rPr>
          <w:rFonts w:ascii="Calibri" w:hAnsi="Calibri" w:cs="Calibri"/>
          <w:b/>
        </w:rPr>
      </w:pPr>
      <w:r w:rsidRPr="00A23FB4">
        <w:rPr>
          <w:rFonts w:ascii="Calibri" w:hAnsi="Calibri" w:cs="Calibri"/>
          <w:b/>
        </w:rPr>
        <w:t>6. KONTROLA JAKOŚCI ROBÓT</w:t>
      </w:r>
      <w:bookmarkEnd w:id="23"/>
      <w:bookmarkEnd w:id="24"/>
      <w:bookmarkEnd w:id="25"/>
    </w:p>
    <w:p w14:paraId="3E9F7B98" w14:textId="77777777" w:rsidR="00656AC1" w:rsidRPr="00A23FB4" w:rsidRDefault="00656AC1" w:rsidP="00364E4D">
      <w:pPr>
        <w:pStyle w:val="Nagwek4"/>
        <w:rPr>
          <w:rFonts w:ascii="Calibri" w:hAnsi="Calibri" w:cs="Calibri"/>
        </w:rPr>
      </w:pPr>
      <w:r w:rsidRPr="00A23FB4">
        <w:rPr>
          <w:rFonts w:ascii="Calibri" w:hAnsi="Calibri" w:cs="Calibri"/>
        </w:rPr>
        <w:t xml:space="preserve">6.1. Program zapewnienia jakości </w:t>
      </w:r>
    </w:p>
    <w:p w14:paraId="07554BB7" w14:textId="68604F30" w:rsidR="00656AC1" w:rsidRPr="00A23FB4" w:rsidRDefault="00656AC1" w:rsidP="00364E4D">
      <w:pPr>
        <w:pStyle w:val="tekstost"/>
        <w:rPr>
          <w:rFonts w:ascii="Calibri" w:hAnsi="Calibri" w:cs="Calibri"/>
        </w:rPr>
      </w:pPr>
      <w:r w:rsidRPr="00A23FB4">
        <w:rPr>
          <w:rFonts w:ascii="Calibri" w:hAnsi="Calibri" w:cs="Calibri"/>
        </w:rPr>
        <w:t xml:space="preserve">Wykonawca jest zobowiązany opracować i przedstawić do akceptacji Inżyniera/Kierownika projektu program zapewnienia jakości. W programie zapewnienia jakości Wykonawca powinien określić, zamierzony sposób wykonywania robót, możliwości techniczne, kadrowe i plan organizacji robót gwarantujący wykonanie robót zgodnie z dokumentacją projektową, </w:t>
      </w:r>
      <w:r w:rsidR="00AB0E2E">
        <w:rPr>
          <w:rFonts w:ascii="Calibri" w:hAnsi="Calibri" w:cs="Calibri"/>
        </w:rPr>
        <w:t>ST</w:t>
      </w:r>
      <w:r w:rsidR="00E22F37" w:rsidRPr="00A23FB4">
        <w:rPr>
          <w:rFonts w:ascii="Calibri" w:hAnsi="Calibri" w:cs="Calibri"/>
        </w:rPr>
        <w:t>WiORB</w:t>
      </w:r>
      <w:r w:rsidRPr="00A23FB4">
        <w:rPr>
          <w:rFonts w:ascii="Calibri" w:hAnsi="Calibri" w:cs="Calibri"/>
        </w:rPr>
        <w:t xml:space="preserve"> oraz ustaleniami. </w:t>
      </w:r>
    </w:p>
    <w:p w14:paraId="6E46689F" w14:textId="77777777" w:rsidR="00656AC1" w:rsidRPr="00A23FB4" w:rsidRDefault="00656AC1" w:rsidP="00364E4D">
      <w:pPr>
        <w:pStyle w:val="tekstost"/>
        <w:rPr>
          <w:rFonts w:ascii="Calibri" w:hAnsi="Calibri" w:cs="Calibri"/>
        </w:rPr>
      </w:pPr>
      <w:r w:rsidRPr="00A23FB4">
        <w:rPr>
          <w:rFonts w:ascii="Calibri" w:hAnsi="Calibri" w:cs="Calibri"/>
        </w:rPr>
        <w:t>Program zapewnienia jakości powinien zawierać:</w:t>
      </w:r>
    </w:p>
    <w:p w14:paraId="1E287DFF" w14:textId="77777777" w:rsidR="00656AC1" w:rsidRPr="00A23FB4" w:rsidRDefault="00656AC1" w:rsidP="00364E4D">
      <w:pPr>
        <w:pStyle w:val="tekstost"/>
        <w:rPr>
          <w:rFonts w:ascii="Calibri" w:hAnsi="Calibri" w:cs="Calibri"/>
        </w:rPr>
      </w:pPr>
      <w:r w:rsidRPr="00A23FB4">
        <w:rPr>
          <w:rFonts w:ascii="Calibri" w:hAnsi="Calibri" w:cs="Calibri"/>
        </w:rPr>
        <w:t>a) część ogólną opisującą:</w:t>
      </w:r>
    </w:p>
    <w:p w14:paraId="12765836" w14:textId="77777777" w:rsidR="00656AC1" w:rsidRPr="00A23FB4" w:rsidRDefault="00656AC1" w:rsidP="00954A11">
      <w:pPr>
        <w:pStyle w:val="tekstost"/>
        <w:numPr>
          <w:ilvl w:val="0"/>
          <w:numId w:val="1"/>
        </w:numPr>
        <w:rPr>
          <w:rFonts w:ascii="Calibri" w:hAnsi="Calibri" w:cs="Calibri"/>
        </w:rPr>
      </w:pPr>
      <w:r w:rsidRPr="00A23FB4">
        <w:rPr>
          <w:rFonts w:ascii="Calibri" w:hAnsi="Calibri" w:cs="Calibri"/>
        </w:rPr>
        <w:t>organizację wykonania robót, w tym terminy i sposób prowadzenia robót,</w:t>
      </w:r>
    </w:p>
    <w:p w14:paraId="6122C869" w14:textId="77777777" w:rsidR="00656AC1" w:rsidRPr="00A23FB4" w:rsidRDefault="00656AC1" w:rsidP="00954A11">
      <w:pPr>
        <w:pStyle w:val="tekstost"/>
        <w:numPr>
          <w:ilvl w:val="0"/>
          <w:numId w:val="1"/>
        </w:numPr>
        <w:rPr>
          <w:rFonts w:ascii="Calibri" w:hAnsi="Calibri" w:cs="Calibri"/>
        </w:rPr>
      </w:pPr>
      <w:r w:rsidRPr="00A23FB4">
        <w:rPr>
          <w:rFonts w:ascii="Calibri" w:hAnsi="Calibri" w:cs="Calibri"/>
        </w:rPr>
        <w:t>organizację ruchu na budowie wraz z oznakowaniem robót,</w:t>
      </w:r>
    </w:p>
    <w:p w14:paraId="0E6F5836" w14:textId="77777777" w:rsidR="00656AC1" w:rsidRPr="00A23FB4" w:rsidRDefault="00656AC1" w:rsidP="00954A11">
      <w:pPr>
        <w:pStyle w:val="tekstost"/>
        <w:numPr>
          <w:ilvl w:val="0"/>
          <w:numId w:val="1"/>
        </w:numPr>
        <w:rPr>
          <w:rFonts w:ascii="Calibri" w:hAnsi="Calibri" w:cs="Calibri"/>
        </w:rPr>
      </w:pPr>
      <w:r w:rsidRPr="00A23FB4">
        <w:rPr>
          <w:rFonts w:ascii="Calibri" w:hAnsi="Calibri" w:cs="Calibri"/>
        </w:rPr>
        <w:t>sposób zapewnienia bhp.,</w:t>
      </w:r>
    </w:p>
    <w:p w14:paraId="6097D0F4" w14:textId="77777777" w:rsidR="00656AC1" w:rsidRPr="00A23FB4" w:rsidRDefault="00656AC1" w:rsidP="00954A11">
      <w:pPr>
        <w:pStyle w:val="tekstost"/>
        <w:numPr>
          <w:ilvl w:val="0"/>
          <w:numId w:val="1"/>
        </w:numPr>
        <w:rPr>
          <w:rFonts w:ascii="Calibri" w:hAnsi="Calibri" w:cs="Calibri"/>
        </w:rPr>
      </w:pPr>
      <w:r w:rsidRPr="00A23FB4">
        <w:rPr>
          <w:rFonts w:ascii="Calibri" w:hAnsi="Calibri" w:cs="Calibri"/>
        </w:rPr>
        <w:t>wykaz zespołów roboczych, ich kwalifikacje i przygotowanie praktyczne,</w:t>
      </w:r>
    </w:p>
    <w:p w14:paraId="3B380977" w14:textId="77777777" w:rsidR="00656AC1" w:rsidRPr="00A23FB4" w:rsidRDefault="00656AC1" w:rsidP="00954A11">
      <w:pPr>
        <w:pStyle w:val="tekstost"/>
        <w:numPr>
          <w:ilvl w:val="0"/>
          <w:numId w:val="1"/>
        </w:numPr>
        <w:rPr>
          <w:rFonts w:ascii="Calibri" w:hAnsi="Calibri" w:cs="Calibri"/>
        </w:rPr>
      </w:pPr>
      <w:r w:rsidRPr="00A23FB4">
        <w:rPr>
          <w:rFonts w:ascii="Calibri" w:hAnsi="Calibri" w:cs="Calibri"/>
        </w:rPr>
        <w:t>wykaz osób odpowiedzialnych za jakość i terminowość wykonania poszczególnych elementów robót,</w:t>
      </w:r>
    </w:p>
    <w:p w14:paraId="6FCFF87D" w14:textId="77777777" w:rsidR="00656AC1" w:rsidRPr="00A23FB4" w:rsidRDefault="00656AC1" w:rsidP="00954A11">
      <w:pPr>
        <w:pStyle w:val="tekstost"/>
        <w:numPr>
          <w:ilvl w:val="0"/>
          <w:numId w:val="1"/>
        </w:numPr>
        <w:rPr>
          <w:rFonts w:ascii="Calibri" w:hAnsi="Calibri" w:cs="Calibri"/>
        </w:rPr>
      </w:pPr>
      <w:r w:rsidRPr="00A23FB4">
        <w:rPr>
          <w:rFonts w:ascii="Calibri" w:hAnsi="Calibri" w:cs="Calibri"/>
        </w:rPr>
        <w:t>system (sposób i procedurę) proponowanej kontroli i sterowania jakością wykonywanych robót,</w:t>
      </w:r>
    </w:p>
    <w:p w14:paraId="187CC095" w14:textId="77777777" w:rsidR="00656AC1" w:rsidRPr="00A23FB4" w:rsidRDefault="00656AC1" w:rsidP="00954A11">
      <w:pPr>
        <w:pStyle w:val="tekstost"/>
        <w:numPr>
          <w:ilvl w:val="0"/>
          <w:numId w:val="1"/>
        </w:numPr>
        <w:rPr>
          <w:rFonts w:ascii="Calibri" w:hAnsi="Calibri" w:cs="Calibri"/>
        </w:rPr>
      </w:pPr>
      <w:r w:rsidRPr="00A23FB4">
        <w:rPr>
          <w:rFonts w:ascii="Calibri" w:hAnsi="Calibri" w:cs="Calibri"/>
        </w:rPr>
        <w:t>wyposażenie w sprzęt i urządzenia do pomiarów i kontroli (opis laboratorium własnego lub laboratorium, któremu Wykonawca zamierza zlecić prowadzenie badań),</w:t>
      </w:r>
    </w:p>
    <w:p w14:paraId="04F4E0A2" w14:textId="77777777" w:rsidR="00656AC1" w:rsidRPr="00A23FB4" w:rsidRDefault="00656AC1" w:rsidP="00954A11">
      <w:pPr>
        <w:pStyle w:val="tekstost"/>
        <w:numPr>
          <w:ilvl w:val="0"/>
          <w:numId w:val="1"/>
        </w:numPr>
        <w:rPr>
          <w:rFonts w:ascii="Calibri" w:hAnsi="Calibri" w:cs="Calibri"/>
        </w:rPr>
      </w:pPr>
      <w:r w:rsidRPr="00A23FB4">
        <w:rPr>
          <w:rFonts w:ascii="Calibri" w:hAnsi="Calibri" w:cs="Calibri"/>
        </w:rPr>
        <w:t>sposób oraz formę gromadzenia wyników badań laboratoryjnych, zapis pomiarów, nastaw mechanizmów sterujących, a także wyciąganych wniosków i zastosowanych korekt w procesie technologicznym, proponowany sposób i formę przekazywania tych informacji Inżynierowi/Kierownikowi projektu.</w:t>
      </w:r>
    </w:p>
    <w:p w14:paraId="415A6BC9" w14:textId="77777777" w:rsidR="00656AC1" w:rsidRPr="00A23FB4" w:rsidRDefault="00656AC1" w:rsidP="00364E4D">
      <w:pPr>
        <w:pStyle w:val="tekstost"/>
        <w:numPr>
          <w:ilvl w:val="12"/>
          <w:numId w:val="0"/>
        </w:numPr>
        <w:rPr>
          <w:rFonts w:ascii="Calibri" w:hAnsi="Calibri" w:cs="Calibri"/>
        </w:rPr>
      </w:pPr>
      <w:r w:rsidRPr="00A23FB4">
        <w:rPr>
          <w:rFonts w:ascii="Calibri" w:hAnsi="Calibri" w:cs="Calibri"/>
        </w:rPr>
        <w:t>b) część szczegółową opisującą dla każdego asortymentu robót:</w:t>
      </w:r>
    </w:p>
    <w:p w14:paraId="44E5DC0E" w14:textId="77777777" w:rsidR="00656AC1" w:rsidRPr="00A23FB4" w:rsidRDefault="00656AC1" w:rsidP="00954A11">
      <w:pPr>
        <w:pStyle w:val="tekstost"/>
        <w:numPr>
          <w:ilvl w:val="0"/>
          <w:numId w:val="1"/>
        </w:numPr>
        <w:rPr>
          <w:rFonts w:ascii="Calibri" w:hAnsi="Calibri" w:cs="Calibri"/>
        </w:rPr>
      </w:pPr>
      <w:r w:rsidRPr="00A23FB4">
        <w:rPr>
          <w:rFonts w:ascii="Calibri" w:hAnsi="Calibri" w:cs="Calibri"/>
        </w:rPr>
        <w:t>wykaz maszyn i urządzeń stosowanych na budowie z ich parametrami technicznymi oraz wyposażeniem w mechanizmy do sterowania i urządzenia pomiarowo-kontrolne,</w:t>
      </w:r>
    </w:p>
    <w:p w14:paraId="4137DD5A" w14:textId="77777777" w:rsidR="00656AC1" w:rsidRPr="00A23FB4" w:rsidRDefault="00656AC1" w:rsidP="00954A11">
      <w:pPr>
        <w:pStyle w:val="tekstost"/>
        <w:numPr>
          <w:ilvl w:val="0"/>
          <w:numId w:val="1"/>
        </w:numPr>
        <w:rPr>
          <w:rFonts w:ascii="Calibri" w:hAnsi="Calibri" w:cs="Calibri"/>
        </w:rPr>
      </w:pPr>
      <w:r w:rsidRPr="00A23FB4">
        <w:rPr>
          <w:rFonts w:ascii="Calibri" w:hAnsi="Calibri" w:cs="Calibri"/>
        </w:rPr>
        <w:t>rodzaje i ilość środków transportu oraz urządzeń do magazynowania i załadunku materiałów, spoiw, lepiszczy, kruszyw itp.,</w:t>
      </w:r>
    </w:p>
    <w:p w14:paraId="17339E7D" w14:textId="77777777" w:rsidR="00656AC1" w:rsidRPr="00A23FB4" w:rsidRDefault="00656AC1" w:rsidP="00954A11">
      <w:pPr>
        <w:pStyle w:val="tekstost"/>
        <w:numPr>
          <w:ilvl w:val="0"/>
          <w:numId w:val="1"/>
        </w:numPr>
        <w:rPr>
          <w:rFonts w:ascii="Calibri" w:hAnsi="Calibri" w:cs="Calibri"/>
        </w:rPr>
      </w:pPr>
      <w:r w:rsidRPr="00A23FB4">
        <w:rPr>
          <w:rFonts w:ascii="Calibri" w:hAnsi="Calibri" w:cs="Calibri"/>
        </w:rPr>
        <w:t>sposób zabezpieczenia i ochrony ładunków przed utratą ich właściwości w czasie transportu,</w:t>
      </w:r>
    </w:p>
    <w:p w14:paraId="3253DE41" w14:textId="77777777" w:rsidR="00656AC1" w:rsidRPr="00A23FB4" w:rsidRDefault="00656AC1" w:rsidP="00954A11">
      <w:pPr>
        <w:pStyle w:val="tekstost"/>
        <w:numPr>
          <w:ilvl w:val="0"/>
          <w:numId w:val="1"/>
        </w:numPr>
        <w:rPr>
          <w:rFonts w:ascii="Calibri" w:hAnsi="Calibri" w:cs="Calibri"/>
        </w:rPr>
      </w:pPr>
      <w:r w:rsidRPr="00A23FB4">
        <w:rPr>
          <w:rFonts w:ascii="Calibri" w:hAnsi="Calibri" w:cs="Calibri"/>
        </w:rPr>
        <w:t>sposób i procedurę pomiarów i badań (rodzaj i częstotliwość, pobieranie próbek, legalizacja i sprawdzanie urządzeń, itp.) prowadzonych podczas dostaw materiałów, wytwarzania mieszanek i wykonywania poszczególnych elementów robót,</w:t>
      </w:r>
    </w:p>
    <w:p w14:paraId="568229F8" w14:textId="77777777" w:rsidR="00656AC1" w:rsidRPr="00A23FB4" w:rsidRDefault="00656AC1" w:rsidP="00954A11">
      <w:pPr>
        <w:pStyle w:val="tekstost"/>
        <w:numPr>
          <w:ilvl w:val="0"/>
          <w:numId w:val="1"/>
        </w:numPr>
        <w:rPr>
          <w:rFonts w:ascii="Calibri" w:hAnsi="Calibri" w:cs="Calibri"/>
        </w:rPr>
      </w:pPr>
      <w:r w:rsidRPr="00A23FB4">
        <w:rPr>
          <w:rFonts w:ascii="Calibri" w:hAnsi="Calibri" w:cs="Calibri"/>
        </w:rPr>
        <w:t>sposób postępowania z materiałami i robotami nie odpowiadającymi wymaganiom.</w:t>
      </w:r>
    </w:p>
    <w:p w14:paraId="5A90FE70" w14:textId="77777777" w:rsidR="00656AC1" w:rsidRPr="00A23FB4" w:rsidRDefault="00656AC1" w:rsidP="00364E4D">
      <w:pPr>
        <w:pStyle w:val="Nagwek4"/>
        <w:rPr>
          <w:rFonts w:ascii="Calibri" w:hAnsi="Calibri" w:cs="Calibri"/>
        </w:rPr>
      </w:pPr>
      <w:r w:rsidRPr="00A23FB4">
        <w:rPr>
          <w:rFonts w:ascii="Calibri" w:hAnsi="Calibri" w:cs="Calibri"/>
        </w:rPr>
        <w:t>6.2. Zasady kontroli jakości robót</w:t>
      </w:r>
    </w:p>
    <w:p w14:paraId="077DE562" w14:textId="77777777" w:rsidR="00656AC1" w:rsidRPr="00A23FB4" w:rsidRDefault="00656AC1" w:rsidP="00364E4D">
      <w:pPr>
        <w:pStyle w:val="tekstost"/>
        <w:rPr>
          <w:rFonts w:ascii="Calibri" w:hAnsi="Calibri" w:cs="Calibri"/>
        </w:rPr>
      </w:pPr>
      <w:r w:rsidRPr="00A23FB4">
        <w:rPr>
          <w:rFonts w:ascii="Calibri" w:hAnsi="Calibri" w:cs="Calibri"/>
        </w:rPr>
        <w:t>Celem kontroli robót będzie takie sterowanie ich przygotowaniem i wykonaniem, aby osiągnąć założoną jakość robót.</w:t>
      </w:r>
    </w:p>
    <w:p w14:paraId="03D59A27" w14:textId="77777777" w:rsidR="00656AC1" w:rsidRPr="00A23FB4" w:rsidRDefault="00656AC1" w:rsidP="00364E4D">
      <w:pPr>
        <w:pStyle w:val="tekstost"/>
        <w:rPr>
          <w:rFonts w:ascii="Calibri" w:hAnsi="Calibri" w:cs="Calibri"/>
        </w:rPr>
      </w:pPr>
      <w:r w:rsidRPr="00A23FB4">
        <w:rPr>
          <w:rFonts w:ascii="Calibri" w:hAnsi="Calibri" w:cs="Calibri"/>
        </w:rPr>
        <w:t>Wykonawca jest odpowiedzialny za pełną kontrolę robót i jakości materiałów. Wykonawca zapewni odpowiedni system kontroli, włączając personel, laboratorium, sprzęt, zaopatrzenie i wszystkie urządzenia niezbędne do pobierania próbek i badań materiałów oraz robót.</w:t>
      </w:r>
    </w:p>
    <w:p w14:paraId="34876A77" w14:textId="77777777" w:rsidR="00656AC1" w:rsidRPr="00A23FB4" w:rsidRDefault="00656AC1" w:rsidP="00364E4D">
      <w:pPr>
        <w:pStyle w:val="tekstost"/>
        <w:rPr>
          <w:rFonts w:ascii="Calibri" w:hAnsi="Calibri" w:cs="Calibri"/>
        </w:rPr>
      </w:pPr>
      <w:r w:rsidRPr="00A23FB4">
        <w:rPr>
          <w:rFonts w:ascii="Calibri" w:hAnsi="Calibri" w:cs="Calibri"/>
        </w:rPr>
        <w:t>Przed zatwierdzeniem systemu kontroli Inżynier/Kierownik projektu może zażądać od Wykonawcy przeprowadzenia badań w celu zademonstrowania, że poziom ich wykonywania jest zadowalający.</w:t>
      </w:r>
    </w:p>
    <w:p w14:paraId="4A0C15B8" w14:textId="6F6D3C5A" w:rsidR="00656AC1" w:rsidRPr="00A23FB4" w:rsidRDefault="00656AC1" w:rsidP="00364E4D">
      <w:pPr>
        <w:pStyle w:val="tekstost"/>
        <w:rPr>
          <w:rFonts w:ascii="Calibri" w:hAnsi="Calibri" w:cs="Calibri"/>
        </w:rPr>
      </w:pPr>
      <w:r w:rsidRPr="00A23FB4">
        <w:rPr>
          <w:rFonts w:ascii="Calibri" w:hAnsi="Calibri" w:cs="Calibri"/>
        </w:rPr>
        <w:t xml:space="preserve">Wykonawca będzie przeprowadzać pomiary i badania materiałów oraz robót z częstotliwością zapewniającą stwierdzenie, że roboty wykonano zgodnie z wymaganiami zawartymi w dokumentacji projektowej i </w:t>
      </w:r>
      <w:r w:rsidR="00AB0E2E">
        <w:rPr>
          <w:rFonts w:ascii="Calibri" w:hAnsi="Calibri" w:cs="Calibri"/>
        </w:rPr>
        <w:t>S</w:t>
      </w:r>
      <w:r w:rsidR="00E22F37" w:rsidRPr="00A23FB4">
        <w:rPr>
          <w:rFonts w:ascii="Calibri" w:hAnsi="Calibri" w:cs="Calibri"/>
        </w:rPr>
        <w:t>WiORB</w:t>
      </w:r>
    </w:p>
    <w:p w14:paraId="4CAA206A" w14:textId="45C84E03" w:rsidR="00656AC1" w:rsidRPr="00A23FB4" w:rsidRDefault="00656AC1" w:rsidP="00364E4D">
      <w:pPr>
        <w:pStyle w:val="tekstost"/>
        <w:rPr>
          <w:rFonts w:ascii="Calibri" w:hAnsi="Calibri" w:cs="Calibri"/>
        </w:rPr>
      </w:pPr>
      <w:r w:rsidRPr="00A23FB4">
        <w:rPr>
          <w:rFonts w:ascii="Calibri" w:hAnsi="Calibri" w:cs="Calibri"/>
        </w:rPr>
        <w:t xml:space="preserve">Minimalne wymagania co do zakresu badań i ich częstotliwość są określone w </w:t>
      </w:r>
      <w:r w:rsidR="00AB0E2E">
        <w:rPr>
          <w:rFonts w:ascii="Calibri" w:hAnsi="Calibri" w:cs="Calibri"/>
        </w:rPr>
        <w:t>S</w:t>
      </w:r>
      <w:r w:rsidR="00E22F37" w:rsidRPr="00A23FB4">
        <w:rPr>
          <w:rFonts w:ascii="Calibri" w:hAnsi="Calibri" w:cs="Calibri"/>
        </w:rPr>
        <w:t>WiORB</w:t>
      </w:r>
      <w:r w:rsidRPr="00A23FB4">
        <w:rPr>
          <w:rFonts w:ascii="Calibri" w:hAnsi="Calibri" w:cs="Calibri"/>
        </w:rPr>
        <w:t>, normach i wytycznych. W przypadku, gdy nie zostały one tam określone, Inżynier/Kierownik projektu ustali jaki zakres kontroli jest konieczny, aby zapewnić wykonanie robót zgodnie z umową.</w:t>
      </w:r>
    </w:p>
    <w:p w14:paraId="35AA63EA" w14:textId="77777777" w:rsidR="00656AC1" w:rsidRPr="00A23FB4" w:rsidRDefault="00656AC1" w:rsidP="00364E4D">
      <w:pPr>
        <w:pStyle w:val="tekstost"/>
        <w:rPr>
          <w:rFonts w:ascii="Calibri" w:hAnsi="Calibri" w:cs="Calibri"/>
        </w:rPr>
      </w:pPr>
      <w:r w:rsidRPr="00A23FB4">
        <w:rPr>
          <w:rFonts w:ascii="Calibri" w:hAnsi="Calibri" w:cs="Calibri"/>
        </w:rPr>
        <w:t>Wykonawca dostarczy Inżynierowi/Kierownikowi projektu świadectwa, że wszystkie stosowane urządzenia i sprzęt badawczy posiadają ważną legalizację, zostały prawidłowo wykalibrowane i odpowiadają wymaganiom norm określających procedury badań.</w:t>
      </w:r>
    </w:p>
    <w:p w14:paraId="64C7E6F1" w14:textId="77777777" w:rsidR="00656AC1" w:rsidRPr="00A23FB4" w:rsidRDefault="00656AC1" w:rsidP="00364E4D">
      <w:pPr>
        <w:pStyle w:val="tekstost"/>
        <w:rPr>
          <w:rFonts w:ascii="Calibri" w:hAnsi="Calibri" w:cs="Calibri"/>
        </w:rPr>
      </w:pPr>
      <w:r w:rsidRPr="00A23FB4">
        <w:rPr>
          <w:rFonts w:ascii="Calibri" w:hAnsi="Calibri" w:cs="Calibri"/>
        </w:rPr>
        <w:t>Inżynier/Kierownik projektu będzie mieć nieograniczony dostęp do pomieszczeń laboratoryjnych, w celu ich inspekcji.</w:t>
      </w:r>
    </w:p>
    <w:p w14:paraId="63F38AB5" w14:textId="77777777" w:rsidR="00656AC1" w:rsidRPr="00A23FB4" w:rsidRDefault="00656AC1" w:rsidP="00364E4D">
      <w:pPr>
        <w:pStyle w:val="tekstost"/>
        <w:rPr>
          <w:rFonts w:ascii="Calibri" w:hAnsi="Calibri" w:cs="Calibri"/>
        </w:rPr>
      </w:pPr>
      <w:r w:rsidRPr="00A23FB4">
        <w:rPr>
          <w:rFonts w:ascii="Calibri" w:hAnsi="Calibri" w:cs="Calibri"/>
        </w:rPr>
        <w:t>Inżynier/Kierownik projektu będzie przekazywać Wykonawcy pisemne informacje o jakichkolwiek niedociągnięciach dotyczących urządzeń laboratoryjnych, sprzętu, zaopatrzenia laboratorium, pracy personelu lub metod badawczych. Jeżeli niedociągnięcia te będą tak poważne, że mogą wpłynąć ujemnie na wyniki badań, Inżynier/Kierownik projektu natychmiast wstrzyma użycie do robót badanych materiałów i dopuści je do użycia dopiero wtedy, gdy niedociągnięcia w pracy laboratorium Wykonawcy zostaną usunięte i stwierdzona zostanie odpowiednia jakość tych materiałów.</w:t>
      </w:r>
    </w:p>
    <w:p w14:paraId="111D35D2" w14:textId="77777777" w:rsidR="00656AC1" w:rsidRPr="00A23FB4" w:rsidRDefault="00656AC1" w:rsidP="00364E4D">
      <w:pPr>
        <w:pStyle w:val="tekstost"/>
        <w:rPr>
          <w:rFonts w:ascii="Calibri" w:hAnsi="Calibri" w:cs="Calibri"/>
        </w:rPr>
      </w:pPr>
      <w:r w:rsidRPr="00A23FB4">
        <w:rPr>
          <w:rFonts w:ascii="Calibri" w:hAnsi="Calibri" w:cs="Calibri"/>
        </w:rPr>
        <w:t>Wszystkie koszty związane z organizowaniem i prowadzeniem badań materiałów ponosi Wykonawca.</w:t>
      </w:r>
    </w:p>
    <w:p w14:paraId="28A67AA1" w14:textId="77777777" w:rsidR="00656AC1" w:rsidRPr="00A23FB4" w:rsidRDefault="00656AC1" w:rsidP="00364E4D">
      <w:pPr>
        <w:pStyle w:val="Nagwek4"/>
        <w:rPr>
          <w:rFonts w:ascii="Calibri" w:hAnsi="Calibri" w:cs="Calibri"/>
        </w:rPr>
      </w:pPr>
      <w:r w:rsidRPr="00A23FB4">
        <w:rPr>
          <w:rFonts w:ascii="Calibri" w:hAnsi="Calibri" w:cs="Calibri"/>
        </w:rPr>
        <w:t>6.3. Pobieranie próbek</w:t>
      </w:r>
    </w:p>
    <w:p w14:paraId="15BB34F4" w14:textId="77777777" w:rsidR="00656AC1" w:rsidRPr="00A23FB4" w:rsidRDefault="00656AC1" w:rsidP="00364E4D">
      <w:pPr>
        <w:pStyle w:val="tekstost"/>
        <w:rPr>
          <w:rFonts w:ascii="Calibri" w:hAnsi="Calibri" w:cs="Calibri"/>
        </w:rPr>
      </w:pPr>
      <w:r w:rsidRPr="00A23FB4">
        <w:rPr>
          <w:rFonts w:ascii="Calibri" w:hAnsi="Calibri" w:cs="Calibri"/>
        </w:rPr>
        <w:t>Próbki będą pobierane losowo. Zaleca się stosowanie statystycznych metod pobierania próbek, opartych na zasadzie, że wszystkie jednostkowe elementy produkcji mogą być z jednakowym prawdopodobieństwem wytypowane do badań.</w:t>
      </w:r>
    </w:p>
    <w:p w14:paraId="49EB2C89" w14:textId="77777777" w:rsidR="00656AC1" w:rsidRPr="00A23FB4" w:rsidRDefault="00656AC1" w:rsidP="00364E4D">
      <w:pPr>
        <w:pStyle w:val="tekstost"/>
        <w:rPr>
          <w:rFonts w:ascii="Calibri" w:hAnsi="Calibri" w:cs="Calibri"/>
        </w:rPr>
      </w:pPr>
      <w:r w:rsidRPr="00A23FB4">
        <w:rPr>
          <w:rFonts w:ascii="Calibri" w:hAnsi="Calibri" w:cs="Calibri"/>
        </w:rPr>
        <w:t>Inżynier/Kierownik projektu będzie mieć zapewnioną możliwość udziału w pobieraniu próbek.</w:t>
      </w:r>
    </w:p>
    <w:p w14:paraId="5E1870F0" w14:textId="77777777" w:rsidR="00656AC1" w:rsidRPr="00A23FB4" w:rsidRDefault="00656AC1" w:rsidP="00364E4D">
      <w:pPr>
        <w:pStyle w:val="tekstost"/>
        <w:rPr>
          <w:rFonts w:ascii="Calibri" w:hAnsi="Calibri" w:cs="Calibri"/>
        </w:rPr>
      </w:pPr>
      <w:r w:rsidRPr="00A23FB4">
        <w:rPr>
          <w:rFonts w:ascii="Calibri" w:hAnsi="Calibri" w:cs="Calibri"/>
        </w:rPr>
        <w:t>Pojemniki do pobierania próbek będą dostarczone przez Wykonawcę i zatwierdzone przez Inżyniera/Kierownika projektu. Próbki dostarczone przez Wykonawcę do badań wykonywanych przez Inżyniera/Kierownika projektu będą odpowiednio opisane i oznakowane, w sposób zaakceptowany przez Inżyniera/Kierownika projektu.</w:t>
      </w:r>
    </w:p>
    <w:p w14:paraId="6AB199FA" w14:textId="77777777" w:rsidR="00656AC1" w:rsidRPr="00A23FB4" w:rsidRDefault="00656AC1" w:rsidP="00364E4D">
      <w:pPr>
        <w:pStyle w:val="tekstost"/>
        <w:rPr>
          <w:rFonts w:ascii="Calibri" w:hAnsi="Calibri" w:cs="Calibri"/>
        </w:rPr>
      </w:pPr>
      <w:r w:rsidRPr="00A23FB4">
        <w:rPr>
          <w:rFonts w:ascii="Calibri" w:hAnsi="Calibri" w:cs="Calibri"/>
        </w:rPr>
        <w:t>Na zlecenie Inżyniera/Kierownika projektu Wykonawca będzie przeprowadzać dodatkowe badania tych materiałów, które budzą wątpliwości co do jakości, o ile kwestionowane materiały nie zostaną przez Wykonawcę usunięte lub ulepszone z własnej woli. Koszty tych dodatkowych badań pokrywa Wykonawca tylko w przypadku stwierdzenia usterek; w przeciwnym przypadku koszty te pokrywa Zamawiający.</w:t>
      </w:r>
    </w:p>
    <w:p w14:paraId="3A6CF026" w14:textId="77777777" w:rsidR="00656AC1" w:rsidRPr="00A23FB4" w:rsidRDefault="00656AC1" w:rsidP="00364E4D">
      <w:pPr>
        <w:pStyle w:val="Nagwek4"/>
        <w:rPr>
          <w:rFonts w:ascii="Calibri" w:hAnsi="Calibri" w:cs="Calibri"/>
        </w:rPr>
      </w:pPr>
      <w:r w:rsidRPr="00A23FB4">
        <w:rPr>
          <w:rFonts w:ascii="Calibri" w:hAnsi="Calibri" w:cs="Calibri"/>
        </w:rPr>
        <w:t>6.4. Badania i pomiary</w:t>
      </w:r>
    </w:p>
    <w:p w14:paraId="0045C3F7" w14:textId="74F6E8C1" w:rsidR="00656AC1" w:rsidRPr="00A23FB4" w:rsidRDefault="00656AC1" w:rsidP="00364E4D">
      <w:pPr>
        <w:pStyle w:val="tekstost"/>
        <w:rPr>
          <w:rFonts w:ascii="Calibri" w:hAnsi="Calibri" w:cs="Calibri"/>
        </w:rPr>
      </w:pPr>
      <w:r w:rsidRPr="00A23FB4">
        <w:rPr>
          <w:rFonts w:ascii="Calibri" w:hAnsi="Calibri" w:cs="Calibri"/>
        </w:rPr>
        <w:t xml:space="preserve">Wszystkie badania i pomiary będą przeprowadzone zgodnie z wymaganiami norm. W przypadku, gdy normy nie obejmują jakiegokolwiek badania wymaganego w </w:t>
      </w:r>
      <w:r w:rsidR="00AB0E2E">
        <w:rPr>
          <w:rFonts w:ascii="Calibri" w:hAnsi="Calibri" w:cs="Calibri"/>
        </w:rPr>
        <w:t>ST</w:t>
      </w:r>
      <w:r w:rsidR="00E22F37" w:rsidRPr="00A23FB4">
        <w:rPr>
          <w:rFonts w:ascii="Calibri" w:hAnsi="Calibri" w:cs="Calibri"/>
        </w:rPr>
        <w:t>WiORB</w:t>
      </w:r>
      <w:r w:rsidRPr="00A23FB4">
        <w:rPr>
          <w:rFonts w:ascii="Calibri" w:hAnsi="Calibri" w:cs="Calibri"/>
        </w:rPr>
        <w:t>, stosować można wytyczne krajowe, albo inne procedury, zaakceptowane przez Inżyniera/Kierownika projektu.</w:t>
      </w:r>
    </w:p>
    <w:p w14:paraId="0F7B8C43" w14:textId="77777777" w:rsidR="00656AC1" w:rsidRPr="00A23FB4" w:rsidRDefault="00656AC1" w:rsidP="00364E4D">
      <w:pPr>
        <w:pStyle w:val="tekstost"/>
        <w:rPr>
          <w:rFonts w:ascii="Calibri" w:hAnsi="Calibri" w:cs="Calibri"/>
        </w:rPr>
      </w:pPr>
      <w:r w:rsidRPr="00A23FB4">
        <w:rPr>
          <w:rFonts w:ascii="Calibri" w:hAnsi="Calibri" w:cs="Calibri"/>
        </w:rPr>
        <w:t>Przed przystąpieniem do pomiarów lub badań, Wykonawca powiadomi Inżyniera/Kierownika projektu o rodzaju, miejscu i terminie pomiaru lub badania. Po wykonaniu pomiaru lub badania, Wykonawca przedstawi na piśmie ich wyniki do akceptacji Inżyniera/Kierownika projektu.</w:t>
      </w:r>
    </w:p>
    <w:p w14:paraId="11C09C4B" w14:textId="77777777" w:rsidR="00656AC1" w:rsidRPr="00A23FB4" w:rsidRDefault="00656AC1" w:rsidP="00364E4D">
      <w:pPr>
        <w:pStyle w:val="Nagwek4"/>
        <w:rPr>
          <w:rFonts w:ascii="Calibri" w:hAnsi="Calibri" w:cs="Calibri"/>
        </w:rPr>
      </w:pPr>
      <w:r w:rsidRPr="00A23FB4">
        <w:rPr>
          <w:rFonts w:ascii="Calibri" w:hAnsi="Calibri" w:cs="Calibri"/>
        </w:rPr>
        <w:t>6.5. Raporty z badań</w:t>
      </w:r>
    </w:p>
    <w:p w14:paraId="2538A2B3" w14:textId="77777777" w:rsidR="00656AC1" w:rsidRPr="00A23FB4" w:rsidRDefault="00656AC1" w:rsidP="00364E4D">
      <w:pPr>
        <w:pStyle w:val="tekstost"/>
        <w:rPr>
          <w:rFonts w:ascii="Calibri" w:hAnsi="Calibri" w:cs="Calibri"/>
        </w:rPr>
      </w:pPr>
      <w:r w:rsidRPr="00A23FB4">
        <w:rPr>
          <w:rFonts w:ascii="Calibri" w:hAnsi="Calibri" w:cs="Calibri"/>
        </w:rPr>
        <w:t>Wykonawca będzie przekazywać Inżynierowi/Kierownikowi projektu kopie raportów z wynikami badań jak najszybciej, nie później jednak niż w terminie określonym w programie zapewnienia jakości.</w:t>
      </w:r>
    </w:p>
    <w:p w14:paraId="08C67492" w14:textId="77777777" w:rsidR="00656AC1" w:rsidRPr="00A23FB4" w:rsidRDefault="00656AC1" w:rsidP="00364E4D">
      <w:pPr>
        <w:pStyle w:val="tekstost"/>
        <w:rPr>
          <w:rFonts w:ascii="Calibri" w:hAnsi="Calibri" w:cs="Calibri"/>
        </w:rPr>
      </w:pPr>
      <w:r w:rsidRPr="00A23FB4">
        <w:rPr>
          <w:rFonts w:ascii="Calibri" w:hAnsi="Calibri" w:cs="Calibri"/>
        </w:rPr>
        <w:t>Wyniki badań (kopie) będą przekazywane Inżynierowi/Kierownikowi projektu na formularzach według dostarczonego przez niego wzoru lub innych, przez niego zaaprobowanych.</w:t>
      </w:r>
    </w:p>
    <w:p w14:paraId="4072ABED" w14:textId="77777777" w:rsidR="00656AC1" w:rsidRPr="00A23FB4" w:rsidRDefault="00656AC1" w:rsidP="00364E4D">
      <w:pPr>
        <w:pStyle w:val="Nagwek4"/>
        <w:rPr>
          <w:rFonts w:ascii="Calibri" w:hAnsi="Calibri" w:cs="Calibri"/>
        </w:rPr>
      </w:pPr>
      <w:r w:rsidRPr="00A23FB4">
        <w:rPr>
          <w:rFonts w:ascii="Calibri" w:hAnsi="Calibri" w:cs="Calibri"/>
        </w:rPr>
        <w:t>6.6. Badania prowadzone przez Inżyniera/Kierownika projektu</w:t>
      </w:r>
    </w:p>
    <w:p w14:paraId="0A3A875B" w14:textId="77777777" w:rsidR="00656AC1" w:rsidRPr="00A23FB4" w:rsidRDefault="00656AC1" w:rsidP="00364E4D">
      <w:pPr>
        <w:pStyle w:val="tekstost"/>
        <w:rPr>
          <w:rFonts w:ascii="Calibri" w:hAnsi="Calibri" w:cs="Calibri"/>
        </w:rPr>
      </w:pPr>
      <w:r w:rsidRPr="00A23FB4">
        <w:rPr>
          <w:rFonts w:ascii="Calibri" w:hAnsi="Calibri" w:cs="Calibri"/>
        </w:rPr>
        <w:t>Inżynier/Kierownik projektu jest uprawniony do dokonywania kontroli, pobierania próbek i badania materiałów w miejscu ich wytwarzania/pozyskiwania, a Wykonawca i producent materiałów powinien udzielić mu niezbędnej pomocy.</w:t>
      </w:r>
    </w:p>
    <w:p w14:paraId="026762E3" w14:textId="0679CD60" w:rsidR="00656AC1" w:rsidRPr="00A23FB4" w:rsidRDefault="00656AC1" w:rsidP="00364E4D">
      <w:pPr>
        <w:pStyle w:val="tekstost"/>
        <w:rPr>
          <w:rFonts w:ascii="Calibri" w:hAnsi="Calibri" w:cs="Calibri"/>
          <w:u w:val="single"/>
        </w:rPr>
      </w:pPr>
      <w:r w:rsidRPr="00A23FB4">
        <w:rPr>
          <w:rFonts w:ascii="Calibri" w:hAnsi="Calibri" w:cs="Calibri"/>
        </w:rPr>
        <w:t xml:space="preserve">Inżynier/Kierownik projektu, dokonując weryfikacji systemu kontroli robót prowadzonego przez Wykonawcę, poprzez między innymi swoje badania, będzie oceniać zgodność materiałów i robót z wymaganiami </w:t>
      </w:r>
      <w:r w:rsidR="00AB0E2E">
        <w:rPr>
          <w:rFonts w:ascii="Calibri" w:hAnsi="Calibri" w:cs="Calibri"/>
        </w:rPr>
        <w:t>ST</w:t>
      </w:r>
      <w:r w:rsidR="00E22F37" w:rsidRPr="00A23FB4">
        <w:rPr>
          <w:rFonts w:ascii="Calibri" w:hAnsi="Calibri" w:cs="Calibri"/>
        </w:rPr>
        <w:t>WiORB</w:t>
      </w:r>
      <w:r w:rsidRPr="00A23FB4">
        <w:rPr>
          <w:rFonts w:ascii="Calibri" w:hAnsi="Calibri" w:cs="Calibri"/>
        </w:rPr>
        <w:t xml:space="preserve"> na podstawie wyników własnych badań kontrolnych jak i wyników badań dostarczonych przez Wykonawcę.</w:t>
      </w:r>
    </w:p>
    <w:p w14:paraId="5349541D" w14:textId="7811F7A6" w:rsidR="00656AC1" w:rsidRPr="00A23FB4" w:rsidRDefault="00656AC1" w:rsidP="00364E4D">
      <w:pPr>
        <w:pStyle w:val="tekstost"/>
        <w:rPr>
          <w:rFonts w:ascii="Calibri" w:hAnsi="Calibri" w:cs="Calibri"/>
        </w:rPr>
      </w:pPr>
      <w:r w:rsidRPr="00A23FB4">
        <w:rPr>
          <w:rFonts w:ascii="Calibri" w:hAnsi="Calibri" w:cs="Calibri"/>
        </w:rPr>
        <w:t xml:space="preserve">Inżynier/Kierownik projektu powinien pobierać próbki materiałów i prowadzić badania niezależnie od Wykonawcy, na swój koszt. Jeżeli wyniki tych badań wykażą, że raporty Wykonawcy są niewiarygodne, to Inżynier/Kierownik projektu oprze się wyłącznie na własnych badaniach przy ocenie zgodności materiałów i robót z dokumentacją projektową i </w:t>
      </w:r>
      <w:r w:rsidR="00AB0E2E">
        <w:rPr>
          <w:rFonts w:ascii="Calibri" w:hAnsi="Calibri" w:cs="Calibri"/>
        </w:rPr>
        <w:t>ST</w:t>
      </w:r>
      <w:r w:rsidR="00E22F37" w:rsidRPr="00A23FB4">
        <w:rPr>
          <w:rFonts w:ascii="Calibri" w:hAnsi="Calibri" w:cs="Calibri"/>
        </w:rPr>
        <w:t>WiORB</w:t>
      </w:r>
      <w:r w:rsidRPr="00A23FB4">
        <w:rPr>
          <w:rFonts w:ascii="Calibri" w:hAnsi="Calibri" w:cs="Calibri"/>
        </w:rPr>
        <w:t>. Może również zlecić, sam lub poprzez Wykonawcę, przeprowadzenie powtórnych lub dodatkowych badań niezależnemu laboratorium. W takim przypadku całkowite koszty powtórnych lub dodatkowych badań i pobierania próbek poniesione zostaną przez Wykonawcę.</w:t>
      </w:r>
    </w:p>
    <w:p w14:paraId="3F2CB87A" w14:textId="77777777" w:rsidR="00656AC1" w:rsidRPr="00A23FB4" w:rsidRDefault="00656AC1" w:rsidP="00364E4D">
      <w:pPr>
        <w:pStyle w:val="Nagwek4"/>
        <w:rPr>
          <w:rFonts w:ascii="Calibri" w:hAnsi="Calibri" w:cs="Calibri"/>
        </w:rPr>
      </w:pPr>
      <w:r w:rsidRPr="00A23FB4">
        <w:rPr>
          <w:rFonts w:ascii="Calibri" w:hAnsi="Calibri" w:cs="Calibri"/>
        </w:rPr>
        <w:t>6.7. Certyfikaty i deklaracje</w:t>
      </w:r>
    </w:p>
    <w:p w14:paraId="31ADE5EE" w14:textId="77777777" w:rsidR="00656AC1" w:rsidRPr="00A23FB4" w:rsidRDefault="00656AC1" w:rsidP="00364E4D">
      <w:pPr>
        <w:pStyle w:val="tekstost"/>
        <w:rPr>
          <w:rFonts w:ascii="Calibri" w:hAnsi="Calibri" w:cs="Calibri"/>
        </w:rPr>
      </w:pPr>
      <w:r w:rsidRPr="00A23FB4">
        <w:rPr>
          <w:rFonts w:ascii="Calibri" w:hAnsi="Calibri" w:cs="Calibri"/>
        </w:rPr>
        <w:t>Inżynier/Kierownik projektu może dopuścić do użycia tylko te materiały, które posiadają:</w:t>
      </w:r>
    </w:p>
    <w:p w14:paraId="775AAB7B" w14:textId="77777777" w:rsidR="00656AC1" w:rsidRPr="00A23FB4" w:rsidRDefault="00656AC1" w:rsidP="00954A11">
      <w:pPr>
        <w:pStyle w:val="tekstost"/>
        <w:numPr>
          <w:ilvl w:val="0"/>
          <w:numId w:val="6"/>
        </w:numPr>
        <w:rPr>
          <w:rFonts w:ascii="Calibri" w:hAnsi="Calibri" w:cs="Calibri"/>
        </w:rPr>
      </w:pPr>
      <w:r w:rsidRPr="00A23FB4">
        <w:rPr>
          <w:rFonts w:ascii="Calibri" w:hAnsi="Calibri" w:cs="Calibri"/>
        </w:rPr>
        <w:t>certyfikat na znak bezpieczeństwa wykazujący, że zapewniono zgodność z kryteriami technicznymi określonymi na podstawie Polskich Norm, aprobat technicznych oraz właściwych przepisów i dokumentów technicznych,</w:t>
      </w:r>
    </w:p>
    <w:p w14:paraId="6C718D95" w14:textId="77777777" w:rsidR="00656AC1" w:rsidRPr="00A23FB4" w:rsidRDefault="00656AC1" w:rsidP="00954A11">
      <w:pPr>
        <w:pStyle w:val="tekstost"/>
        <w:numPr>
          <w:ilvl w:val="0"/>
          <w:numId w:val="6"/>
        </w:numPr>
        <w:rPr>
          <w:rFonts w:ascii="Calibri" w:hAnsi="Calibri" w:cs="Calibri"/>
        </w:rPr>
      </w:pPr>
      <w:r w:rsidRPr="00A23FB4">
        <w:rPr>
          <w:rFonts w:ascii="Calibri" w:hAnsi="Calibri" w:cs="Calibri"/>
        </w:rPr>
        <w:t>deklarację zgodności lub certyfikat zgodności z:</w:t>
      </w:r>
    </w:p>
    <w:p w14:paraId="5B518FBA" w14:textId="77777777" w:rsidR="00656AC1" w:rsidRPr="00A23FB4" w:rsidRDefault="00656AC1" w:rsidP="00954A11">
      <w:pPr>
        <w:pStyle w:val="tekstost"/>
        <w:numPr>
          <w:ilvl w:val="0"/>
          <w:numId w:val="1"/>
        </w:numPr>
        <w:rPr>
          <w:rFonts w:ascii="Calibri" w:hAnsi="Calibri" w:cs="Calibri"/>
        </w:rPr>
      </w:pPr>
      <w:r w:rsidRPr="00A23FB4">
        <w:rPr>
          <w:rFonts w:ascii="Calibri" w:hAnsi="Calibri" w:cs="Calibri"/>
        </w:rPr>
        <w:t>Polską Normą lub</w:t>
      </w:r>
    </w:p>
    <w:p w14:paraId="6303C37C" w14:textId="77777777" w:rsidR="00656AC1" w:rsidRPr="00A23FB4" w:rsidRDefault="00656AC1" w:rsidP="00954A11">
      <w:pPr>
        <w:pStyle w:val="tekstost"/>
        <w:numPr>
          <w:ilvl w:val="0"/>
          <w:numId w:val="1"/>
        </w:numPr>
        <w:rPr>
          <w:rFonts w:ascii="Calibri" w:hAnsi="Calibri" w:cs="Calibri"/>
        </w:rPr>
      </w:pPr>
      <w:r w:rsidRPr="00A23FB4">
        <w:rPr>
          <w:rFonts w:ascii="Calibri" w:hAnsi="Calibri" w:cs="Calibri"/>
        </w:rPr>
        <w:t>aprobatą techniczną, w przypadku wyrobów, dla których nie ustanowiono Polskiej Normy, jeżeli nie są objęte certyfikacją określoną w pkt 1</w:t>
      </w:r>
    </w:p>
    <w:p w14:paraId="226F61FC" w14:textId="49B33C4A" w:rsidR="00656AC1" w:rsidRPr="00A23FB4" w:rsidRDefault="00656AC1" w:rsidP="00364E4D">
      <w:pPr>
        <w:pStyle w:val="tekstost"/>
        <w:numPr>
          <w:ilvl w:val="12"/>
          <w:numId w:val="0"/>
        </w:numPr>
        <w:ind w:firstLine="283"/>
        <w:rPr>
          <w:rFonts w:ascii="Calibri" w:hAnsi="Calibri" w:cs="Calibri"/>
        </w:rPr>
      </w:pPr>
      <w:r w:rsidRPr="00A23FB4">
        <w:rPr>
          <w:rFonts w:ascii="Calibri" w:hAnsi="Calibri" w:cs="Calibri"/>
        </w:rPr>
        <w:t xml:space="preserve">i które spełniają wymogi </w:t>
      </w:r>
      <w:r w:rsidR="00AB0E2E">
        <w:rPr>
          <w:rFonts w:ascii="Calibri" w:hAnsi="Calibri" w:cs="Calibri"/>
        </w:rPr>
        <w:t>ST</w:t>
      </w:r>
      <w:r w:rsidR="00E22F37" w:rsidRPr="00A23FB4">
        <w:rPr>
          <w:rFonts w:ascii="Calibri" w:hAnsi="Calibri" w:cs="Calibri"/>
        </w:rPr>
        <w:t>WiORB</w:t>
      </w:r>
      <w:r w:rsidRPr="00A23FB4">
        <w:rPr>
          <w:rFonts w:ascii="Calibri" w:hAnsi="Calibri" w:cs="Calibri"/>
        </w:rPr>
        <w:t>.</w:t>
      </w:r>
    </w:p>
    <w:p w14:paraId="260ED6A4" w14:textId="3F735897" w:rsidR="00656AC1" w:rsidRPr="00A23FB4" w:rsidRDefault="00656AC1" w:rsidP="00364E4D">
      <w:pPr>
        <w:pStyle w:val="tekstost"/>
        <w:numPr>
          <w:ilvl w:val="12"/>
          <w:numId w:val="0"/>
        </w:numPr>
        <w:rPr>
          <w:rFonts w:ascii="Calibri" w:hAnsi="Calibri" w:cs="Calibri"/>
        </w:rPr>
      </w:pPr>
      <w:r w:rsidRPr="00A23FB4">
        <w:rPr>
          <w:rFonts w:ascii="Calibri" w:hAnsi="Calibri" w:cs="Calibri"/>
        </w:rPr>
        <w:t xml:space="preserve">W przypadku materiałów, dla których ww. dokumenty są wymagane przez </w:t>
      </w:r>
      <w:r w:rsidR="00AB0E2E">
        <w:rPr>
          <w:rFonts w:ascii="Calibri" w:hAnsi="Calibri" w:cs="Calibri"/>
        </w:rPr>
        <w:t>ST</w:t>
      </w:r>
      <w:r w:rsidR="00E22F37" w:rsidRPr="00A23FB4">
        <w:rPr>
          <w:rFonts w:ascii="Calibri" w:hAnsi="Calibri" w:cs="Calibri"/>
        </w:rPr>
        <w:t>WiORB</w:t>
      </w:r>
      <w:r w:rsidRPr="00A23FB4">
        <w:rPr>
          <w:rFonts w:ascii="Calibri" w:hAnsi="Calibri" w:cs="Calibri"/>
        </w:rPr>
        <w:t>, każda partia dostarczona do robót będzie posiadać te dokumenty, określające w sposób jednoznaczny jej cechy.</w:t>
      </w:r>
    </w:p>
    <w:p w14:paraId="224D201B" w14:textId="77777777" w:rsidR="00656AC1" w:rsidRPr="00A23FB4" w:rsidRDefault="00656AC1" w:rsidP="00364E4D">
      <w:pPr>
        <w:pStyle w:val="tekstost"/>
        <w:numPr>
          <w:ilvl w:val="12"/>
          <w:numId w:val="0"/>
        </w:numPr>
        <w:rPr>
          <w:rFonts w:ascii="Calibri" w:hAnsi="Calibri" w:cs="Calibri"/>
        </w:rPr>
      </w:pPr>
      <w:r w:rsidRPr="00A23FB4">
        <w:rPr>
          <w:rFonts w:ascii="Calibri" w:hAnsi="Calibri" w:cs="Calibri"/>
        </w:rPr>
        <w:t>Produkty przemysłowe muszą posiadać ww. dokumenty wydane przez producenta, a w razie potrzeby poparte wynikami badań wykonanych przez niego. Kopie wyników tych badań będą dostarczone przez Wykonawcę Inżynierowi/Kierownikowi projektu.</w:t>
      </w:r>
    </w:p>
    <w:p w14:paraId="03D56D13" w14:textId="77777777" w:rsidR="00656AC1" w:rsidRPr="00A23FB4" w:rsidRDefault="00656AC1" w:rsidP="00364E4D">
      <w:pPr>
        <w:pStyle w:val="tekstost"/>
        <w:numPr>
          <w:ilvl w:val="12"/>
          <w:numId w:val="0"/>
        </w:numPr>
        <w:rPr>
          <w:rFonts w:ascii="Calibri" w:hAnsi="Calibri" w:cs="Calibri"/>
        </w:rPr>
      </w:pPr>
      <w:r w:rsidRPr="00A23FB4">
        <w:rPr>
          <w:rFonts w:ascii="Calibri" w:hAnsi="Calibri" w:cs="Calibri"/>
        </w:rPr>
        <w:t>Jakiekolwiek materiały, które nie spełniają tych wymagań będą odrzucone.</w:t>
      </w:r>
    </w:p>
    <w:p w14:paraId="2DC62D66" w14:textId="77777777" w:rsidR="00656AC1" w:rsidRPr="00A23FB4" w:rsidRDefault="00656AC1" w:rsidP="00364E4D">
      <w:pPr>
        <w:pStyle w:val="Nagwek4"/>
        <w:rPr>
          <w:rFonts w:ascii="Calibri" w:hAnsi="Calibri" w:cs="Calibri"/>
        </w:rPr>
      </w:pPr>
      <w:r w:rsidRPr="00A23FB4">
        <w:rPr>
          <w:rFonts w:ascii="Calibri" w:hAnsi="Calibri" w:cs="Calibri"/>
        </w:rPr>
        <w:t>6.8. Dokumenty budowy</w:t>
      </w:r>
    </w:p>
    <w:p w14:paraId="26C85E13" w14:textId="77777777" w:rsidR="00656AC1" w:rsidRPr="00A23FB4" w:rsidRDefault="00656AC1" w:rsidP="00364E4D">
      <w:pPr>
        <w:pStyle w:val="tekstost"/>
        <w:numPr>
          <w:ilvl w:val="12"/>
          <w:numId w:val="0"/>
        </w:numPr>
        <w:rPr>
          <w:rFonts w:ascii="Calibri" w:hAnsi="Calibri" w:cs="Calibri"/>
        </w:rPr>
      </w:pPr>
      <w:r w:rsidRPr="00A23FB4">
        <w:rPr>
          <w:rFonts w:ascii="Calibri" w:hAnsi="Calibri" w:cs="Calibri"/>
        </w:rPr>
        <w:t>(1) Dziennik budowy</w:t>
      </w:r>
    </w:p>
    <w:p w14:paraId="6FCDC555" w14:textId="77777777" w:rsidR="00656AC1" w:rsidRPr="00A23FB4" w:rsidRDefault="00656AC1" w:rsidP="00364E4D">
      <w:pPr>
        <w:pStyle w:val="tekstost"/>
        <w:numPr>
          <w:ilvl w:val="12"/>
          <w:numId w:val="0"/>
        </w:numPr>
        <w:rPr>
          <w:rFonts w:ascii="Calibri" w:hAnsi="Calibri" w:cs="Calibri"/>
        </w:rPr>
      </w:pPr>
      <w:r w:rsidRPr="00A23FB4">
        <w:rPr>
          <w:rFonts w:ascii="Calibri" w:hAnsi="Calibri" w:cs="Calibri"/>
        </w:rPr>
        <w:t>Dziennik budowy jest wymaganym dokumentem prawnym obowiązującym Zamawiającego i Wykonawcę w okresie od przekazania Wykonawcy terenu budowy do końca okresu gwarancyjnego. Odpowiedzialność za prowadzenie dziennika budowy zgodnie z obowiązującymi przepisami Ustawy Prawo Budowlane spoczywa na Wykonawcy.</w:t>
      </w:r>
    </w:p>
    <w:p w14:paraId="44184431" w14:textId="77777777" w:rsidR="00656AC1" w:rsidRPr="00A23FB4" w:rsidRDefault="00656AC1" w:rsidP="00364E4D">
      <w:pPr>
        <w:pStyle w:val="tekstost"/>
        <w:numPr>
          <w:ilvl w:val="12"/>
          <w:numId w:val="0"/>
        </w:numPr>
        <w:rPr>
          <w:rFonts w:ascii="Calibri" w:hAnsi="Calibri" w:cs="Calibri"/>
        </w:rPr>
      </w:pPr>
      <w:r w:rsidRPr="00A23FB4">
        <w:rPr>
          <w:rFonts w:ascii="Calibri" w:hAnsi="Calibri" w:cs="Calibri"/>
        </w:rPr>
        <w:t>Zapisy w dzienniku budowy będą dokonywane na bieżąco i będą dotyczyć przebiegu robót, stanu bezpieczeństwa ludzi i mienia oraz technicznej i gospodarczej strony budowy.</w:t>
      </w:r>
    </w:p>
    <w:p w14:paraId="71FCDE72" w14:textId="77777777" w:rsidR="00656AC1" w:rsidRPr="00A23FB4" w:rsidRDefault="00656AC1" w:rsidP="00364E4D">
      <w:pPr>
        <w:pStyle w:val="tekstost"/>
        <w:numPr>
          <w:ilvl w:val="12"/>
          <w:numId w:val="0"/>
        </w:numPr>
        <w:rPr>
          <w:rFonts w:ascii="Calibri" w:hAnsi="Calibri" w:cs="Calibri"/>
        </w:rPr>
      </w:pPr>
      <w:r w:rsidRPr="00A23FB4">
        <w:rPr>
          <w:rFonts w:ascii="Calibri" w:hAnsi="Calibri" w:cs="Calibri"/>
        </w:rPr>
        <w:t>Każdy zapis w dzienniku budowy będzie opatrzony datą jego dokonania, podpisem osoby, która dokonała zapisu, z podaniem jej imienia i nazwiska oraz stanowiska służbowego. Zapisy będą czytelne, dokonane trwałą techniką, w porządku chronologicznym, bezpośrednio jeden pod drugim, bez przerw.</w:t>
      </w:r>
    </w:p>
    <w:p w14:paraId="0CEEA2AB" w14:textId="77777777" w:rsidR="00656AC1" w:rsidRPr="00A23FB4" w:rsidRDefault="00656AC1" w:rsidP="00364E4D">
      <w:pPr>
        <w:pStyle w:val="tekstost"/>
        <w:numPr>
          <w:ilvl w:val="12"/>
          <w:numId w:val="0"/>
        </w:numPr>
        <w:rPr>
          <w:rFonts w:ascii="Calibri" w:hAnsi="Calibri" w:cs="Calibri"/>
        </w:rPr>
      </w:pPr>
      <w:r w:rsidRPr="00A23FB4">
        <w:rPr>
          <w:rFonts w:ascii="Calibri" w:hAnsi="Calibri" w:cs="Calibri"/>
        </w:rPr>
        <w:t>Załączone do dziennika budowy protokoły i inne dokumenty będą oznaczone kolejnym numerem załącznika i opatrzone datą i podpisem Wykonawcy i Inżyniera/Kierownika projektu.</w:t>
      </w:r>
    </w:p>
    <w:p w14:paraId="39E33949" w14:textId="77777777" w:rsidR="00656AC1" w:rsidRPr="00A23FB4" w:rsidRDefault="00656AC1" w:rsidP="00364E4D">
      <w:pPr>
        <w:pStyle w:val="tekstost"/>
        <w:numPr>
          <w:ilvl w:val="12"/>
          <w:numId w:val="0"/>
        </w:numPr>
        <w:rPr>
          <w:rFonts w:ascii="Calibri" w:hAnsi="Calibri" w:cs="Calibri"/>
        </w:rPr>
      </w:pPr>
      <w:r w:rsidRPr="00A23FB4">
        <w:rPr>
          <w:rFonts w:ascii="Calibri" w:hAnsi="Calibri" w:cs="Calibri"/>
        </w:rPr>
        <w:t>Do dziennika budowy należy wpisywać w szczególności:</w:t>
      </w:r>
    </w:p>
    <w:p w14:paraId="5D198414" w14:textId="77777777" w:rsidR="00656AC1" w:rsidRPr="00A23FB4" w:rsidRDefault="00656AC1" w:rsidP="00954A11">
      <w:pPr>
        <w:pStyle w:val="tekstost"/>
        <w:numPr>
          <w:ilvl w:val="0"/>
          <w:numId w:val="1"/>
        </w:numPr>
        <w:rPr>
          <w:rFonts w:ascii="Calibri" w:hAnsi="Calibri" w:cs="Calibri"/>
        </w:rPr>
      </w:pPr>
      <w:r w:rsidRPr="00A23FB4">
        <w:rPr>
          <w:rFonts w:ascii="Calibri" w:hAnsi="Calibri" w:cs="Calibri"/>
        </w:rPr>
        <w:t>datę przekazania Wykonawcy terenu budowy,</w:t>
      </w:r>
    </w:p>
    <w:p w14:paraId="36ECD5F2" w14:textId="77777777" w:rsidR="00656AC1" w:rsidRPr="00A23FB4" w:rsidRDefault="00656AC1" w:rsidP="00954A11">
      <w:pPr>
        <w:pStyle w:val="tekstost"/>
        <w:numPr>
          <w:ilvl w:val="0"/>
          <w:numId w:val="1"/>
        </w:numPr>
        <w:rPr>
          <w:rFonts w:ascii="Calibri" w:hAnsi="Calibri" w:cs="Calibri"/>
        </w:rPr>
      </w:pPr>
      <w:r w:rsidRPr="00A23FB4">
        <w:rPr>
          <w:rFonts w:ascii="Calibri" w:hAnsi="Calibri" w:cs="Calibri"/>
        </w:rPr>
        <w:t>datę przekazania przez Zamawiającego dokumentacji projektowej,</w:t>
      </w:r>
    </w:p>
    <w:p w14:paraId="36D88739" w14:textId="77777777" w:rsidR="00656AC1" w:rsidRPr="00A23FB4" w:rsidRDefault="00656AC1" w:rsidP="00954A11">
      <w:pPr>
        <w:pStyle w:val="tekstost"/>
        <w:numPr>
          <w:ilvl w:val="0"/>
          <w:numId w:val="1"/>
        </w:numPr>
        <w:rPr>
          <w:rFonts w:ascii="Calibri" w:hAnsi="Calibri" w:cs="Calibri"/>
        </w:rPr>
      </w:pPr>
      <w:r w:rsidRPr="00A23FB4">
        <w:rPr>
          <w:rFonts w:ascii="Calibri" w:hAnsi="Calibri" w:cs="Calibri"/>
        </w:rPr>
        <w:t>datę uzgodnienia przez Inżyniera/Kierownika projektu programu zapewnienia jakości i harmonogramów robót,</w:t>
      </w:r>
    </w:p>
    <w:p w14:paraId="2BC8552C" w14:textId="77777777" w:rsidR="00656AC1" w:rsidRPr="00A23FB4" w:rsidRDefault="00656AC1" w:rsidP="00954A11">
      <w:pPr>
        <w:pStyle w:val="tekstost"/>
        <w:numPr>
          <w:ilvl w:val="0"/>
          <w:numId w:val="1"/>
        </w:numPr>
        <w:rPr>
          <w:rFonts w:ascii="Calibri" w:hAnsi="Calibri" w:cs="Calibri"/>
        </w:rPr>
      </w:pPr>
      <w:r w:rsidRPr="00A23FB4">
        <w:rPr>
          <w:rFonts w:ascii="Calibri" w:hAnsi="Calibri" w:cs="Calibri"/>
        </w:rPr>
        <w:t>terminy rozpoczęcia i zakończenia poszczególnych elementów robót,</w:t>
      </w:r>
    </w:p>
    <w:p w14:paraId="3F784D0E" w14:textId="77777777" w:rsidR="00656AC1" w:rsidRPr="00A23FB4" w:rsidRDefault="00656AC1" w:rsidP="00954A11">
      <w:pPr>
        <w:pStyle w:val="tekstost"/>
        <w:numPr>
          <w:ilvl w:val="0"/>
          <w:numId w:val="1"/>
        </w:numPr>
        <w:rPr>
          <w:rFonts w:ascii="Calibri" w:hAnsi="Calibri" w:cs="Calibri"/>
        </w:rPr>
      </w:pPr>
      <w:r w:rsidRPr="00A23FB4">
        <w:rPr>
          <w:rFonts w:ascii="Calibri" w:hAnsi="Calibri" w:cs="Calibri"/>
        </w:rPr>
        <w:t>przebieg robót, trudności i przeszkody w ich prowadzeniu, okresy i przyczyny przerw w robotach,</w:t>
      </w:r>
    </w:p>
    <w:p w14:paraId="0530E449" w14:textId="77777777" w:rsidR="00656AC1" w:rsidRPr="00A23FB4" w:rsidRDefault="00656AC1" w:rsidP="00954A11">
      <w:pPr>
        <w:pStyle w:val="tekstost"/>
        <w:numPr>
          <w:ilvl w:val="0"/>
          <w:numId w:val="1"/>
        </w:numPr>
        <w:rPr>
          <w:rFonts w:ascii="Calibri" w:hAnsi="Calibri" w:cs="Calibri"/>
        </w:rPr>
      </w:pPr>
      <w:r w:rsidRPr="00A23FB4">
        <w:rPr>
          <w:rFonts w:ascii="Calibri" w:hAnsi="Calibri" w:cs="Calibri"/>
        </w:rPr>
        <w:t>uwagi i polecenia Inżyniera/Kierownika projektu,</w:t>
      </w:r>
    </w:p>
    <w:p w14:paraId="3FB281F6" w14:textId="77777777" w:rsidR="00656AC1" w:rsidRPr="00A23FB4" w:rsidRDefault="00656AC1" w:rsidP="00954A11">
      <w:pPr>
        <w:pStyle w:val="tekstost"/>
        <w:numPr>
          <w:ilvl w:val="0"/>
          <w:numId w:val="1"/>
        </w:numPr>
        <w:rPr>
          <w:rFonts w:ascii="Calibri" w:hAnsi="Calibri" w:cs="Calibri"/>
        </w:rPr>
      </w:pPr>
      <w:r w:rsidRPr="00A23FB4">
        <w:rPr>
          <w:rFonts w:ascii="Calibri" w:hAnsi="Calibri" w:cs="Calibri"/>
        </w:rPr>
        <w:t>daty zarządzenia wstrzymania robót, z podaniem powodu,</w:t>
      </w:r>
    </w:p>
    <w:p w14:paraId="3E30921C" w14:textId="77777777" w:rsidR="00656AC1" w:rsidRPr="00A23FB4" w:rsidRDefault="00656AC1" w:rsidP="00954A11">
      <w:pPr>
        <w:pStyle w:val="tekstost"/>
        <w:numPr>
          <w:ilvl w:val="0"/>
          <w:numId w:val="1"/>
        </w:numPr>
        <w:rPr>
          <w:rFonts w:ascii="Calibri" w:hAnsi="Calibri" w:cs="Calibri"/>
        </w:rPr>
      </w:pPr>
      <w:r w:rsidRPr="00A23FB4">
        <w:rPr>
          <w:rFonts w:ascii="Calibri" w:hAnsi="Calibri" w:cs="Calibri"/>
        </w:rPr>
        <w:t>zgłoszenia i daty odbiorów robót zanikających i ulegających zakryciu, częściowych i ostatecznych odbiorów robót,</w:t>
      </w:r>
    </w:p>
    <w:p w14:paraId="68620A8B" w14:textId="77777777" w:rsidR="00656AC1" w:rsidRPr="00A23FB4" w:rsidRDefault="00656AC1" w:rsidP="00954A11">
      <w:pPr>
        <w:pStyle w:val="tekstost"/>
        <w:numPr>
          <w:ilvl w:val="0"/>
          <w:numId w:val="1"/>
        </w:numPr>
        <w:rPr>
          <w:rFonts w:ascii="Calibri" w:hAnsi="Calibri" w:cs="Calibri"/>
        </w:rPr>
      </w:pPr>
      <w:r w:rsidRPr="00A23FB4">
        <w:rPr>
          <w:rFonts w:ascii="Calibri" w:hAnsi="Calibri" w:cs="Calibri"/>
        </w:rPr>
        <w:t>wyjaśnienia, uwagi i propozycje Wykonawcy,</w:t>
      </w:r>
    </w:p>
    <w:p w14:paraId="143B768D" w14:textId="77777777" w:rsidR="00656AC1" w:rsidRPr="00A23FB4" w:rsidRDefault="00656AC1" w:rsidP="00954A11">
      <w:pPr>
        <w:pStyle w:val="tekstost"/>
        <w:numPr>
          <w:ilvl w:val="0"/>
          <w:numId w:val="1"/>
        </w:numPr>
        <w:rPr>
          <w:rFonts w:ascii="Calibri" w:hAnsi="Calibri" w:cs="Calibri"/>
        </w:rPr>
      </w:pPr>
      <w:r w:rsidRPr="00A23FB4">
        <w:rPr>
          <w:rFonts w:ascii="Calibri" w:hAnsi="Calibri" w:cs="Calibri"/>
        </w:rPr>
        <w:t>stan pogody i temperaturę powietrza w okresie wykonywania robót podlegających ograniczeniom lub wymaganiom szczególnym w związku z warunkami klimatycznymi,</w:t>
      </w:r>
    </w:p>
    <w:p w14:paraId="483FC2F5" w14:textId="77777777" w:rsidR="00656AC1" w:rsidRPr="00A23FB4" w:rsidRDefault="00656AC1" w:rsidP="00954A11">
      <w:pPr>
        <w:pStyle w:val="tekstost"/>
        <w:numPr>
          <w:ilvl w:val="0"/>
          <w:numId w:val="1"/>
        </w:numPr>
        <w:rPr>
          <w:rFonts w:ascii="Calibri" w:hAnsi="Calibri" w:cs="Calibri"/>
        </w:rPr>
      </w:pPr>
      <w:r w:rsidRPr="00A23FB4">
        <w:rPr>
          <w:rFonts w:ascii="Calibri" w:hAnsi="Calibri" w:cs="Calibri"/>
        </w:rPr>
        <w:t>zgodność rzeczywistych warunków geotechnicznych z ich opisem w dokumentacji projektowej,</w:t>
      </w:r>
    </w:p>
    <w:p w14:paraId="512712A2" w14:textId="77777777" w:rsidR="00656AC1" w:rsidRPr="00A23FB4" w:rsidRDefault="00656AC1" w:rsidP="00954A11">
      <w:pPr>
        <w:pStyle w:val="tekstost"/>
        <w:numPr>
          <w:ilvl w:val="0"/>
          <w:numId w:val="1"/>
        </w:numPr>
        <w:rPr>
          <w:rFonts w:ascii="Calibri" w:hAnsi="Calibri" w:cs="Calibri"/>
        </w:rPr>
      </w:pPr>
      <w:r w:rsidRPr="00A23FB4">
        <w:rPr>
          <w:rFonts w:ascii="Calibri" w:hAnsi="Calibri" w:cs="Calibri"/>
        </w:rPr>
        <w:t>dane dotyczące czynności geodezyjnych (pomiarowych) dokonywanych przed i w trakcie wykonywania robót,</w:t>
      </w:r>
    </w:p>
    <w:p w14:paraId="6302C4B0" w14:textId="77777777" w:rsidR="00656AC1" w:rsidRPr="00A23FB4" w:rsidRDefault="00656AC1" w:rsidP="00954A11">
      <w:pPr>
        <w:pStyle w:val="tekstost"/>
        <w:numPr>
          <w:ilvl w:val="0"/>
          <w:numId w:val="1"/>
        </w:numPr>
        <w:rPr>
          <w:rFonts w:ascii="Calibri" w:hAnsi="Calibri" w:cs="Calibri"/>
        </w:rPr>
      </w:pPr>
      <w:r w:rsidRPr="00A23FB4">
        <w:rPr>
          <w:rFonts w:ascii="Calibri" w:hAnsi="Calibri" w:cs="Calibri"/>
        </w:rPr>
        <w:t>dane dotyczące sposobu wykonywania zabezpieczenia robót,</w:t>
      </w:r>
    </w:p>
    <w:p w14:paraId="7C408D18" w14:textId="77777777" w:rsidR="00656AC1" w:rsidRPr="00A23FB4" w:rsidRDefault="00656AC1" w:rsidP="00954A11">
      <w:pPr>
        <w:pStyle w:val="tekstost"/>
        <w:numPr>
          <w:ilvl w:val="0"/>
          <w:numId w:val="1"/>
        </w:numPr>
        <w:rPr>
          <w:rFonts w:ascii="Calibri" w:hAnsi="Calibri" w:cs="Calibri"/>
        </w:rPr>
      </w:pPr>
      <w:r w:rsidRPr="00A23FB4">
        <w:rPr>
          <w:rFonts w:ascii="Calibri" w:hAnsi="Calibri" w:cs="Calibri"/>
        </w:rPr>
        <w:t>dane dotyczące jakości materiałów, pobierania próbek oraz wyniki przeprowadzonych badań z podaniem, kto je przeprowadzał,</w:t>
      </w:r>
    </w:p>
    <w:p w14:paraId="5371C6E8" w14:textId="77777777" w:rsidR="00656AC1" w:rsidRPr="00A23FB4" w:rsidRDefault="00656AC1" w:rsidP="00954A11">
      <w:pPr>
        <w:pStyle w:val="tekstost"/>
        <w:numPr>
          <w:ilvl w:val="0"/>
          <w:numId w:val="1"/>
        </w:numPr>
        <w:rPr>
          <w:rFonts w:ascii="Calibri" w:hAnsi="Calibri" w:cs="Calibri"/>
        </w:rPr>
      </w:pPr>
      <w:r w:rsidRPr="00A23FB4">
        <w:rPr>
          <w:rFonts w:ascii="Calibri" w:hAnsi="Calibri" w:cs="Calibri"/>
        </w:rPr>
        <w:t>wyniki prób poszczególnych elementów budowli z podaniem, kto je przeprowadzał,</w:t>
      </w:r>
    </w:p>
    <w:p w14:paraId="4EE88F6B" w14:textId="77777777" w:rsidR="00656AC1" w:rsidRPr="00A23FB4" w:rsidRDefault="00656AC1" w:rsidP="00954A11">
      <w:pPr>
        <w:pStyle w:val="tekstost"/>
        <w:numPr>
          <w:ilvl w:val="0"/>
          <w:numId w:val="1"/>
        </w:numPr>
        <w:rPr>
          <w:rFonts w:ascii="Calibri" w:hAnsi="Calibri" w:cs="Calibri"/>
        </w:rPr>
      </w:pPr>
      <w:r w:rsidRPr="00A23FB4">
        <w:rPr>
          <w:rFonts w:ascii="Calibri" w:hAnsi="Calibri" w:cs="Calibri"/>
        </w:rPr>
        <w:t>inne istotne informacje o przebiegu robót.</w:t>
      </w:r>
    </w:p>
    <w:p w14:paraId="4AD2CD3E" w14:textId="77777777" w:rsidR="00656AC1" w:rsidRPr="00A23FB4" w:rsidRDefault="00656AC1" w:rsidP="00364E4D">
      <w:pPr>
        <w:pStyle w:val="tekstost"/>
        <w:rPr>
          <w:rFonts w:ascii="Calibri" w:hAnsi="Calibri" w:cs="Calibri"/>
        </w:rPr>
      </w:pPr>
      <w:r w:rsidRPr="00A23FB4">
        <w:rPr>
          <w:rFonts w:ascii="Calibri" w:hAnsi="Calibri" w:cs="Calibri"/>
        </w:rPr>
        <w:t>Propozycje, uwagi i wyjaśnienia Wykonawcy, wpisane do dziennika budowy będą przedłożone Inżynierowi/Kierownikowi projektu do ustosunkowania się.</w:t>
      </w:r>
    </w:p>
    <w:p w14:paraId="1418A768" w14:textId="77777777" w:rsidR="00656AC1" w:rsidRPr="00A23FB4" w:rsidRDefault="00656AC1" w:rsidP="00364E4D">
      <w:pPr>
        <w:pStyle w:val="tekstost"/>
        <w:rPr>
          <w:rFonts w:ascii="Calibri" w:hAnsi="Calibri" w:cs="Calibri"/>
        </w:rPr>
      </w:pPr>
      <w:r w:rsidRPr="00A23FB4">
        <w:rPr>
          <w:rFonts w:ascii="Calibri" w:hAnsi="Calibri" w:cs="Calibri"/>
        </w:rPr>
        <w:t>Decyzje Inżyniera/Kierownika projektu wpisane do dziennika budowy Wykonawca podpisuje z zaznaczeniem ich przyjęcia lub zajęciem stanowiska.</w:t>
      </w:r>
    </w:p>
    <w:p w14:paraId="10DAF921" w14:textId="77777777" w:rsidR="00656AC1" w:rsidRPr="00A23FB4" w:rsidRDefault="00656AC1" w:rsidP="00364E4D">
      <w:pPr>
        <w:pStyle w:val="tekstost"/>
        <w:rPr>
          <w:rFonts w:ascii="Calibri" w:hAnsi="Calibri" w:cs="Calibri"/>
        </w:rPr>
      </w:pPr>
      <w:r w:rsidRPr="00A23FB4">
        <w:rPr>
          <w:rFonts w:ascii="Calibri" w:hAnsi="Calibri" w:cs="Calibri"/>
        </w:rPr>
        <w:t>Wpis projektanta do dziennika budowy obliguje Inżyniera/Kierownika projektu do ustosunkowania się. Projektant nie jest jednak stroną umowy i nie ma uprawnień do wydawania poleceń Wykonawcy robót.</w:t>
      </w:r>
    </w:p>
    <w:p w14:paraId="3B94313E" w14:textId="77777777" w:rsidR="00656AC1" w:rsidRPr="00A23FB4" w:rsidRDefault="00854C49" w:rsidP="00364E4D">
      <w:pPr>
        <w:pStyle w:val="tekstost"/>
        <w:keepNext/>
        <w:rPr>
          <w:rFonts w:ascii="Calibri" w:hAnsi="Calibri" w:cs="Calibri"/>
        </w:rPr>
      </w:pPr>
      <w:r w:rsidRPr="00A23FB4">
        <w:rPr>
          <w:rFonts w:ascii="Calibri" w:hAnsi="Calibri" w:cs="Calibri"/>
        </w:rPr>
        <w:t>(2</w:t>
      </w:r>
      <w:r w:rsidR="00656AC1" w:rsidRPr="00A23FB4">
        <w:rPr>
          <w:rFonts w:ascii="Calibri" w:hAnsi="Calibri" w:cs="Calibri"/>
        </w:rPr>
        <w:t>) Dokumenty laboratoryjne</w:t>
      </w:r>
    </w:p>
    <w:p w14:paraId="3F31F196" w14:textId="77777777" w:rsidR="00656AC1" w:rsidRPr="00A23FB4" w:rsidRDefault="00656AC1" w:rsidP="00364E4D">
      <w:pPr>
        <w:pStyle w:val="tekstost"/>
        <w:rPr>
          <w:rFonts w:ascii="Calibri" w:hAnsi="Calibri" w:cs="Calibri"/>
        </w:rPr>
      </w:pPr>
      <w:r w:rsidRPr="00A23FB4">
        <w:rPr>
          <w:rFonts w:ascii="Calibri" w:hAnsi="Calibri" w:cs="Calibri"/>
        </w:rPr>
        <w:t>Dzienniki laboratoryjne, deklaracje zgodności lub certyfikaty zgodności materiałów, orzeczenia o jakości materiałów, recepty robocze i kontrolne wyniki badań Wykonawcy będą gromadzone w formie uzgodnionej w programie zapewnienia jakości. Dokumenty te stanowią załączniki do odbioru robót. Winny być udostępnione na każde życzenie Inżyniera/Kierownika projektu</w:t>
      </w:r>
    </w:p>
    <w:p w14:paraId="7A0DEE11" w14:textId="77777777" w:rsidR="00656AC1" w:rsidRPr="00A23FB4" w:rsidRDefault="00854C49" w:rsidP="00364E4D">
      <w:pPr>
        <w:pStyle w:val="tekstost"/>
        <w:rPr>
          <w:rFonts w:ascii="Calibri" w:hAnsi="Calibri" w:cs="Calibri"/>
        </w:rPr>
      </w:pPr>
      <w:r w:rsidRPr="00A23FB4">
        <w:rPr>
          <w:rFonts w:ascii="Calibri" w:hAnsi="Calibri" w:cs="Calibri"/>
        </w:rPr>
        <w:t>(3</w:t>
      </w:r>
      <w:r w:rsidR="00656AC1" w:rsidRPr="00A23FB4">
        <w:rPr>
          <w:rFonts w:ascii="Calibri" w:hAnsi="Calibri" w:cs="Calibri"/>
        </w:rPr>
        <w:t>) Pozostałe dokumenty budowy</w:t>
      </w:r>
    </w:p>
    <w:p w14:paraId="0372F592" w14:textId="77777777" w:rsidR="00656AC1" w:rsidRPr="00A23FB4" w:rsidRDefault="00656AC1" w:rsidP="00364E4D">
      <w:pPr>
        <w:pStyle w:val="tekstost"/>
        <w:rPr>
          <w:rFonts w:ascii="Calibri" w:hAnsi="Calibri" w:cs="Calibri"/>
        </w:rPr>
      </w:pPr>
      <w:r w:rsidRPr="00A23FB4">
        <w:rPr>
          <w:rFonts w:ascii="Calibri" w:hAnsi="Calibri" w:cs="Calibri"/>
        </w:rPr>
        <w:t>Do dokumentów budowy zalicza się, oprócz wymienionych w punktach (1) - (3) następujące dokumenty:</w:t>
      </w:r>
    </w:p>
    <w:p w14:paraId="6C438B06" w14:textId="77777777" w:rsidR="00656AC1" w:rsidRPr="00A23FB4" w:rsidRDefault="00656AC1" w:rsidP="00954A11">
      <w:pPr>
        <w:pStyle w:val="tekstost"/>
        <w:numPr>
          <w:ilvl w:val="0"/>
          <w:numId w:val="7"/>
        </w:numPr>
        <w:ind w:left="288" w:hanging="288"/>
        <w:rPr>
          <w:rFonts w:ascii="Calibri" w:hAnsi="Calibri" w:cs="Calibri"/>
        </w:rPr>
      </w:pPr>
      <w:r w:rsidRPr="00A23FB4">
        <w:rPr>
          <w:rFonts w:ascii="Calibri" w:hAnsi="Calibri" w:cs="Calibri"/>
        </w:rPr>
        <w:t>zezwolenie na realizację inwestycji drogowej,</w:t>
      </w:r>
    </w:p>
    <w:p w14:paraId="76394CBA" w14:textId="77777777" w:rsidR="00656AC1" w:rsidRPr="00A23FB4" w:rsidRDefault="00656AC1" w:rsidP="00954A11">
      <w:pPr>
        <w:pStyle w:val="tekstost"/>
        <w:numPr>
          <w:ilvl w:val="0"/>
          <w:numId w:val="7"/>
        </w:numPr>
        <w:ind w:left="288" w:hanging="288"/>
        <w:rPr>
          <w:rFonts w:ascii="Calibri" w:hAnsi="Calibri" w:cs="Calibri"/>
        </w:rPr>
      </w:pPr>
      <w:r w:rsidRPr="00A23FB4">
        <w:rPr>
          <w:rFonts w:ascii="Calibri" w:hAnsi="Calibri" w:cs="Calibri"/>
        </w:rPr>
        <w:t>protokoły przekazania terenu budowy,</w:t>
      </w:r>
    </w:p>
    <w:p w14:paraId="0F417CFA" w14:textId="77777777" w:rsidR="00656AC1" w:rsidRPr="00A23FB4" w:rsidRDefault="00656AC1" w:rsidP="00954A11">
      <w:pPr>
        <w:pStyle w:val="tekstost"/>
        <w:numPr>
          <w:ilvl w:val="0"/>
          <w:numId w:val="7"/>
        </w:numPr>
        <w:ind w:left="288" w:hanging="288"/>
        <w:rPr>
          <w:rFonts w:ascii="Calibri" w:hAnsi="Calibri" w:cs="Calibri"/>
        </w:rPr>
      </w:pPr>
      <w:r w:rsidRPr="00A23FB4">
        <w:rPr>
          <w:rFonts w:ascii="Calibri" w:hAnsi="Calibri" w:cs="Calibri"/>
        </w:rPr>
        <w:t>umowy cywilno-prawne z osobami trzecimi i inne umowy cywilno-prawne,</w:t>
      </w:r>
    </w:p>
    <w:p w14:paraId="5E642A9B" w14:textId="77777777" w:rsidR="00656AC1" w:rsidRPr="00A23FB4" w:rsidRDefault="00656AC1" w:rsidP="00954A11">
      <w:pPr>
        <w:pStyle w:val="tekstost"/>
        <w:numPr>
          <w:ilvl w:val="0"/>
          <w:numId w:val="7"/>
        </w:numPr>
        <w:ind w:left="288" w:hanging="288"/>
        <w:rPr>
          <w:rFonts w:ascii="Calibri" w:hAnsi="Calibri" w:cs="Calibri"/>
        </w:rPr>
      </w:pPr>
      <w:r w:rsidRPr="00A23FB4">
        <w:rPr>
          <w:rFonts w:ascii="Calibri" w:hAnsi="Calibri" w:cs="Calibri"/>
        </w:rPr>
        <w:t>protokoły odbioru robót,</w:t>
      </w:r>
    </w:p>
    <w:p w14:paraId="43C36775" w14:textId="77777777" w:rsidR="00656AC1" w:rsidRPr="00A23FB4" w:rsidRDefault="00656AC1" w:rsidP="00954A11">
      <w:pPr>
        <w:pStyle w:val="tekstost"/>
        <w:numPr>
          <w:ilvl w:val="0"/>
          <w:numId w:val="7"/>
        </w:numPr>
        <w:ind w:left="288" w:hanging="288"/>
        <w:rPr>
          <w:rFonts w:ascii="Calibri" w:hAnsi="Calibri" w:cs="Calibri"/>
        </w:rPr>
      </w:pPr>
      <w:r w:rsidRPr="00A23FB4">
        <w:rPr>
          <w:rFonts w:ascii="Calibri" w:hAnsi="Calibri" w:cs="Calibri"/>
        </w:rPr>
        <w:t>protokoły z narad i ustaleń,</w:t>
      </w:r>
    </w:p>
    <w:p w14:paraId="3A64C39A" w14:textId="77777777" w:rsidR="00656AC1" w:rsidRPr="00A23FB4" w:rsidRDefault="00656AC1" w:rsidP="00954A11">
      <w:pPr>
        <w:pStyle w:val="tekstost"/>
        <w:numPr>
          <w:ilvl w:val="0"/>
          <w:numId w:val="7"/>
        </w:numPr>
        <w:ind w:left="288" w:hanging="288"/>
        <w:rPr>
          <w:rFonts w:ascii="Calibri" w:hAnsi="Calibri" w:cs="Calibri"/>
        </w:rPr>
      </w:pPr>
      <w:r w:rsidRPr="00A23FB4">
        <w:rPr>
          <w:rFonts w:ascii="Calibri" w:hAnsi="Calibri" w:cs="Calibri"/>
        </w:rPr>
        <w:t>korespondencję na budowie.</w:t>
      </w:r>
    </w:p>
    <w:p w14:paraId="46B0CB74" w14:textId="77777777" w:rsidR="00656AC1" w:rsidRPr="00A23FB4" w:rsidRDefault="00854C49" w:rsidP="00364E4D">
      <w:pPr>
        <w:pStyle w:val="tekstost"/>
        <w:rPr>
          <w:rFonts w:ascii="Calibri" w:hAnsi="Calibri" w:cs="Calibri"/>
        </w:rPr>
      </w:pPr>
      <w:r w:rsidRPr="00A23FB4">
        <w:rPr>
          <w:rFonts w:ascii="Calibri" w:hAnsi="Calibri" w:cs="Calibri"/>
        </w:rPr>
        <w:t>(4</w:t>
      </w:r>
      <w:r w:rsidR="00656AC1" w:rsidRPr="00A23FB4">
        <w:rPr>
          <w:rFonts w:ascii="Calibri" w:hAnsi="Calibri" w:cs="Calibri"/>
        </w:rPr>
        <w:t>) Przechowywanie dokumentów budowy</w:t>
      </w:r>
    </w:p>
    <w:p w14:paraId="0779F92F" w14:textId="77777777" w:rsidR="00656AC1" w:rsidRPr="00A23FB4" w:rsidRDefault="00656AC1" w:rsidP="00364E4D">
      <w:pPr>
        <w:pStyle w:val="tekstost"/>
        <w:rPr>
          <w:rFonts w:ascii="Calibri" w:hAnsi="Calibri" w:cs="Calibri"/>
        </w:rPr>
      </w:pPr>
      <w:r w:rsidRPr="00A23FB4">
        <w:rPr>
          <w:rFonts w:ascii="Calibri" w:hAnsi="Calibri" w:cs="Calibri"/>
        </w:rPr>
        <w:t>Dokumenty budowy będą przechowywane na terenie budowy w miejscu odpowiednio zabezpieczonym.</w:t>
      </w:r>
    </w:p>
    <w:p w14:paraId="6D5943F5" w14:textId="77777777" w:rsidR="00656AC1" w:rsidRPr="00A23FB4" w:rsidRDefault="00656AC1" w:rsidP="00364E4D">
      <w:pPr>
        <w:pStyle w:val="tekstost"/>
        <w:rPr>
          <w:rFonts w:ascii="Calibri" w:hAnsi="Calibri" w:cs="Calibri"/>
        </w:rPr>
      </w:pPr>
      <w:r w:rsidRPr="00A23FB4">
        <w:rPr>
          <w:rFonts w:ascii="Calibri" w:hAnsi="Calibri" w:cs="Calibri"/>
        </w:rPr>
        <w:t>Zaginięcie któregokolwiek z dokumentów budowy spowoduje jego natychmiastowe odtworzenie w formie przewidzianej prawem.</w:t>
      </w:r>
    </w:p>
    <w:p w14:paraId="1490FD93" w14:textId="77777777" w:rsidR="00656AC1" w:rsidRPr="00A23FB4" w:rsidRDefault="00656AC1" w:rsidP="00364E4D">
      <w:pPr>
        <w:pStyle w:val="tekstost"/>
        <w:rPr>
          <w:rFonts w:ascii="Calibri" w:hAnsi="Calibri" w:cs="Calibri"/>
        </w:rPr>
      </w:pPr>
      <w:r w:rsidRPr="00A23FB4">
        <w:rPr>
          <w:rFonts w:ascii="Calibri" w:hAnsi="Calibri" w:cs="Calibri"/>
        </w:rPr>
        <w:t>Wszelkie dokumenty budowy będą zawsze dostępne dla Inżyniera/Kierownika projektu i przedstawiane do wglądu na życzenie Zamawiającego.</w:t>
      </w:r>
    </w:p>
    <w:p w14:paraId="53E3C783" w14:textId="77777777" w:rsidR="007E137A" w:rsidRPr="00A23FB4" w:rsidRDefault="007E137A" w:rsidP="00364E4D">
      <w:pPr>
        <w:pStyle w:val="tekstost"/>
        <w:rPr>
          <w:rFonts w:ascii="Calibri" w:hAnsi="Calibri" w:cs="Calibri"/>
        </w:rPr>
      </w:pPr>
    </w:p>
    <w:p w14:paraId="6469C740" w14:textId="77777777" w:rsidR="007E137A" w:rsidRPr="00A23FB4" w:rsidRDefault="007E137A" w:rsidP="00364E4D">
      <w:pPr>
        <w:pStyle w:val="tekstost"/>
        <w:rPr>
          <w:rFonts w:ascii="Calibri" w:hAnsi="Calibri" w:cs="Calibri"/>
        </w:rPr>
      </w:pPr>
    </w:p>
    <w:p w14:paraId="490DDA36" w14:textId="77777777" w:rsidR="00656AC1" w:rsidRPr="00A23FB4" w:rsidRDefault="00656AC1" w:rsidP="00990137">
      <w:pPr>
        <w:rPr>
          <w:rFonts w:ascii="Calibri" w:hAnsi="Calibri" w:cs="Calibri"/>
          <w:b/>
        </w:rPr>
      </w:pPr>
      <w:bookmarkStart w:id="26" w:name="_Toc416830704"/>
      <w:bookmarkStart w:id="27" w:name="_Toc6881285"/>
      <w:bookmarkStart w:id="28" w:name="_Toc6882158"/>
      <w:r w:rsidRPr="00A23FB4">
        <w:rPr>
          <w:rFonts w:ascii="Calibri" w:hAnsi="Calibri" w:cs="Calibri"/>
          <w:b/>
        </w:rPr>
        <w:t>7. OBMIAR ROBÓT</w:t>
      </w:r>
      <w:bookmarkEnd w:id="26"/>
      <w:bookmarkEnd w:id="27"/>
      <w:bookmarkEnd w:id="28"/>
    </w:p>
    <w:p w14:paraId="5E629879" w14:textId="77777777" w:rsidR="009A5E24" w:rsidRDefault="009A5E24" w:rsidP="009A5E24">
      <w:pPr>
        <w:rPr>
          <w:rFonts w:asciiTheme="minorHAnsi" w:hAnsiTheme="minorHAnsi" w:cstheme="minorHAnsi"/>
        </w:rPr>
      </w:pPr>
    </w:p>
    <w:p w14:paraId="304CD992" w14:textId="6E12B2CF" w:rsidR="009A5E24" w:rsidRPr="009A5E24" w:rsidRDefault="009A5E24" w:rsidP="009A5E24">
      <w:pPr>
        <w:rPr>
          <w:rFonts w:asciiTheme="minorHAnsi" w:hAnsiTheme="minorHAnsi" w:cstheme="minorHAnsi"/>
        </w:rPr>
      </w:pPr>
      <w:r w:rsidRPr="009A5E24">
        <w:rPr>
          <w:rFonts w:asciiTheme="minorHAnsi" w:hAnsiTheme="minorHAnsi" w:cstheme="minorHAnsi"/>
        </w:rPr>
        <w:t xml:space="preserve">Kontrakt ryczałtowy - wartości poszczególnych elementów zryczałtowanych, zawarte są w Wykazie Płatności oraz uszczegółowione w Tabeli Rozliczeniowej. Jednostki obmiarowe określone w poszczególnych STWiORB, opracowanych na podstawie WWiORB będą służyły do określenia przez Inżyniera szacunkowego procentowego zaawansowania Robót. </w:t>
      </w:r>
    </w:p>
    <w:p w14:paraId="0F437AC0" w14:textId="77777777" w:rsidR="009A5E24" w:rsidRPr="009A5E24" w:rsidRDefault="009A5E24" w:rsidP="009A5E24">
      <w:pPr>
        <w:rPr>
          <w:rFonts w:asciiTheme="minorHAnsi" w:hAnsiTheme="minorHAnsi" w:cstheme="minorHAnsi"/>
        </w:rPr>
      </w:pPr>
      <w:r w:rsidRPr="009A5E24">
        <w:rPr>
          <w:rFonts w:asciiTheme="minorHAnsi" w:hAnsiTheme="minorHAnsi" w:cstheme="minorHAnsi"/>
        </w:rPr>
        <w:t xml:space="preserve">Ilości wskazane przez Wykonawcę w przedmiarze robót są ilościami szacunkowymi i nie mogą być brane za rzeczywiście poprawne dla wypełnienia zobowiązań Wykonawcy wynikających z Kontraktu. </w:t>
      </w:r>
    </w:p>
    <w:p w14:paraId="2AC8E0E2" w14:textId="77777777" w:rsidR="009A5E24" w:rsidRPr="009A5E24" w:rsidRDefault="009A5E24" w:rsidP="009A5E24">
      <w:pPr>
        <w:rPr>
          <w:rFonts w:asciiTheme="minorHAnsi" w:hAnsiTheme="minorHAnsi" w:cstheme="minorHAnsi"/>
        </w:rPr>
      </w:pPr>
      <w:r w:rsidRPr="009A5E24">
        <w:rPr>
          <w:rFonts w:asciiTheme="minorHAnsi" w:hAnsiTheme="minorHAnsi" w:cstheme="minorHAnsi"/>
        </w:rPr>
        <w:t xml:space="preserve">Z wyjątkiem, kiedy Kontrakt stanowi inaczej, Inżynier powinien poprzez pomiary potwierdzać ilość Robót. W przypadku konieczności pomierzenia części Robót przez Inżyniera, powinien o tym fakcie powiadomić upoważnionego przedstawiciela Wykonawcy, który ma obowiązek: </w:t>
      </w:r>
    </w:p>
    <w:p w14:paraId="7767FC5D" w14:textId="77777777" w:rsidR="009A5E24" w:rsidRPr="009A5E24" w:rsidRDefault="009A5E24" w:rsidP="009A5E24">
      <w:pPr>
        <w:rPr>
          <w:rFonts w:asciiTheme="minorHAnsi" w:hAnsiTheme="minorHAnsi" w:cstheme="minorHAnsi"/>
        </w:rPr>
      </w:pPr>
      <w:r w:rsidRPr="009A5E24">
        <w:rPr>
          <w:rFonts w:asciiTheme="minorHAnsi" w:hAnsiTheme="minorHAnsi" w:cstheme="minorHAnsi"/>
        </w:rPr>
        <w:t xml:space="preserve">– niezwłocznie stawić się lub zapewnić obecność kompetentnego przedstawiciela, aby pomóc w przeprowadzeniu takich pomiarów, </w:t>
      </w:r>
    </w:p>
    <w:p w14:paraId="6B4979D0" w14:textId="77777777" w:rsidR="009A5E24" w:rsidRPr="009A5E24" w:rsidRDefault="009A5E24" w:rsidP="009A5E24">
      <w:pPr>
        <w:rPr>
          <w:rFonts w:asciiTheme="minorHAnsi" w:hAnsiTheme="minorHAnsi" w:cstheme="minorHAnsi"/>
        </w:rPr>
      </w:pPr>
      <w:r w:rsidRPr="009A5E24">
        <w:rPr>
          <w:rFonts w:asciiTheme="minorHAnsi" w:hAnsiTheme="minorHAnsi" w:cstheme="minorHAnsi"/>
        </w:rPr>
        <w:t xml:space="preserve">– dostarczyć wszelkich informacji wymaganych przez Inżyniera. </w:t>
      </w:r>
    </w:p>
    <w:p w14:paraId="7CD30E7B" w14:textId="77777777" w:rsidR="009A5E24" w:rsidRPr="009A5E24" w:rsidRDefault="009A5E24" w:rsidP="009A5E24">
      <w:pPr>
        <w:rPr>
          <w:rFonts w:asciiTheme="minorHAnsi" w:hAnsiTheme="minorHAnsi" w:cstheme="minorHAnsi"/>
        </w:rPr>
      </w:pPr>
      <w:r w:rsidRPr="009A5E24">
        <w:rPr>
          <w:rFonts w:asciiTheme="minorHAnsi" w:hAnsiTheme="minorHAnsi" w:cstheme="minorHAnsi"/>
        </w:rPr>
        <w:t xml:space="preserve">Jeżeli Wykonawca nie weźmie udziału, zaniedba lub zapomni zapewnić obecność przedstawiciela, to pomiary wykonane przez Inżyniera lub przez niego zatwierdzone będą uznane za prawidłowe pomiary danej części Robót. Dla celów pomierzenia takich części Robót stałych, które są ustalane na podstawie zapisów i rysunków, Inżynier przygotuje zapisy i rysunki w trakcie postępu Robót, natomiast Wykonawca zawiadomiony pisemnie o sposobie i terminie powinien w terminie 14 dni dokonać sprawdzenia zapisów i rysunków w biurze Inżyniera i podpisać je, po dokonaniu uzgodnień końcowych. Jeżeli Wykonawca nie stawi się w celu sprawdzenia zapisów i rysunków, będą one uznane za prawidłowe. </w:t>
      </w:r>
    </w:p>
    <w:p w14:paraId="47DF7081" w14:textId="77777777" w:rsidR="009A5E24" w:rsidRPr="009A5E24" w:rsidRDefault="009A5E24" w:rsidP="009A5E24">
      <w:pPr>
        <w:rPr>
          <w:rFonts w:asciiTheme="minorHAnsi" w:hAnsiTheme="minorHAnsi" w:cstheme="minorHAnsi"/>
        </w:rPr>
      </w:pPr>
      <w:r w:rsidRPr="009A5E24">
        <w:rPr>
          <w:rFonts w:asciiTheme="minorHAnsi" w:hAnsiTheme="minorHAnsi" w:cstheme="minorHAnsi"/>
        </w:rPr>
        <w:t xml:space="preserve">W przypadku, kiedy Wykonawca po sprawdzeniu nie zgodzi się z wynikami obmiarów albo ich nie podpisze jako uzgodnionych, mimo wszystko zostaną one uznane za prawidłowe z wyjątkiem przypadków, kiedy Wykonawca w terminie 14 dni po dokonaniu sprawdzenia przedłoży Inżynierowi protokół niezgodności (rozbieżności), uznający zapisy względnie rysunki za nieprawidłowe. W tym przypadku Inżynier powinien ponownie sprawdzić zapisy, rysunki i wyliczenia, po czym albo je potwierdzi albo skoryguje. </w:t>
      </w:r>
    </w:p>
    <w:p w14:paraId="61EBED63" w14:textId="77777777" w:rsidR="009A5E24" w:rsidRPr="009A5E24" w:rsidRDefault="009A5E24" w:rsidP="009A5E24">
      <w:pPr>
        <w:rPr>
          <w:rFonts w:asciiTheme="minorHAnsi" w:hAnsiTheme="minorHAnsi" w:cstheme="minorHAnsi"/>
        </w:rPr>
      </w:pPr>
      <w:r w:rsidRPr="009A5E24">
        <w:rPr>
          <w:rFonts w:asciiTheme="minorHAnsi" w:hAnsiTheme="minorHAnsi" w:cstheme="minorHAnsi"/>
        </w:rPr>
        <w:t xml:space="preserve">Roboty stałe powinny być mierzone netto, niezależnie od zasad powszechnych, z wyjątkiem przypadków, kiedy w Kontrakcie postanowiono inaczej. </w:t>
      </w:r>
    </w:p>
    <w:p w14:paraId="22DFB95F" w14:textId="5C201152" w:rsidR="00656AC1" w:rsidRPr="00A23FB4" w:rsidRDefault="00656AC1" w:rsidP="00364E4D">
      <w:pPr>
        <w:pStyle w:val="tekstost"/>
        <w:rPr>
          <w:rFonts w:ascii="Calibri" w:hAnsi="Calibri" w:cs="Calibri"/>
        </w:rPr>
      </w:pPr>
    </w:p>
    <w:p w14:paraId="7BD73372" w14:textId="77777777" w:rsidR="00990137" w:rsidRPr="00A23FB4" w:rsidRDefault="00990137" w:rsidP="00364E4D">
      <w:pPr>
        <w:pStyle w:val="tekstost"/>
        <w:rPr>
          <w:rFonts w:ascii="Calibri" w:hAnsi="Calibri" w:cs="Calibri"/>
        </w:rPr>
      </w:pPr>
    </w:p>
    <w:p w14:paraId="09DD96A0" w14:textId="77777777" w:rsidR="00656AC1" w:rsidRPr="00A23FB4" w:rsidRDefault="00656AC1" w:rsidP="00990137">
      <w:pPr>
        <w:rPr>
          <w:rFonts w:ascii="Calibri" w:hAnsi="Calibri" w:cs="Calibri"/>
          <w:b/>
        </w:rPr>
      </w:pPr>
      <w:bookmarkStart w:id="29" w:name="_Toc416830705"/>
      <w:bookmarkStart w:id="30" w:name="_Toc6881286"/>
      <w:bookmarkStart w:id="31" w:name="_Toc6882159"/>
      <w:r w:rsidRPr="00A23FB4">
        <w:rPr>
          <w:rFonts w:ascii="Calibri" w:hAnsi="Calibri" w:cs="Calibri"/>
          <w:b/>
        </w:rPr>
        <w:t>8. ODBIÓR ROBÓT</w:t>
      </w:r>
      <w:bookmarkEnd w:id="29"/>
      <w:bookmarkEnd w:id="30"/>
      <w:bookmarkEnd w:id="31"/>
    </w:p>
    <w:p w14:paraId="14E8357F" w14:textId="77777777" w:rsidR="00656AC1" w:rsidRPr="00A23FB4" w:rsidRDefault="00656AC1" w:rsidP="00364E4D">
      <w:pPr>
        <w:pStyle w:val="Nagwek4"/>
        <w:rPr>
          <w:rFonts w:ascii="Calibri" w:hAnsi="Calibri" w:cs="Calibri"/>
        </w:rPr>
      </w:pPr>
      <w:r w:rsidRPr="00A23FB4">
        <w:rPr>
          <w:rFonts w:ascii="Calibri" w:hAnsi="Calibri" w:cs="Calibri"/>
        </w:rPr>
        <w:t>8.1. Rodzaje odbiorów robót</w:t>
      </w:r>
    </w:p>
    <w:p w14:paraId="2B58F38C" w14:textId="21DF2219" w:rsidR="00656AC1" w:rsidRPr="00A23FB4" w:rsidRDefault="00656AC1" w:rsidP="00364E4D">
      <w:pPr>
        <w:pStyle w:val="tekstost"/>
        <w:rPr>
          <w:rFonts w:ascii="Calibri" w:hAnsi="Calibri" w:cs="Calibri"/>
        </w:rPr>
      </w:pPr>
      <w:r w:rsidRPr="00A23FB4">
        <w:rPr>
          <w:rFonts w:ascii="Calibri" w:hAnsi="Calibri" w:cs="Calibri"/>
        </w:rPr>
        <w:t xml:space="preserve">W zależności od ustaleń odpowiednich </w:t>
      </w:r>
      <w:r w:rsidR="00D33A38">
        <w:rPr>
          <w:rFonts w:ascii="Calibri" w:hAnsi="Calibri" w:cs="Calibri"/>
        </w:rPr>
        <w:t>ST</w:t>
      </w:r>
      <w:r w:rsidR="00E22F37" w:rsidRPr="00A23FB4">
        <w:rPr>
          <w:rFonts w:ascii="Calibri" w:hAnsi="Calibri" w:cs="Calibri"/>
        </w:rPr>
        <w:t>WiORB</w:t>
      </w:r>
      <w:r w:rsidRPr="00A23FB4">
        <w:rPr>
          <w:rFonts w:ascii="Calibri" w:hAnsi="Calibri" w:cs="Calibri"/>
        </w:rPr>
        <w:t>, roboty podlegają następującym etapom odbioru:</w:t>
      </w:r>
    </w:p>
    <w:p w14:paraId="0E84145C" w14:textId="77777777" w:rsidR="00656AC1" w:rsidRPr="00A23FB4" w:rsidRDefault="00656AC1" w:rsidP="00954A11">
      <w:pPr>
        <w:pStyle w:val="tekstost"/>
        <w:numPr>
          <w:ilvl w:val="0"/>
          <w:numId w:val="8"/>
        </w:numPr>
        <w:rPr>
          <w:rFonts w:ascii="Calibri" w:hAnsi="Calibri" w:cs="Calibri"/>
        </w:rPr>
      </w:pPr>
      <w:r w:rsidRPr="00A23FB4">
        <w:rPr>
          <w:rFonts w:ascii="Calibri" w:hAnsi="Calibri" w:cs="Calibri"/>
        </w:rPr>
        <w:t>odbiorowi robót zanikających i ulegających zakryciu,</w:t>
      </w:r>
    </w:p>
    <w:p w14:paraId="7C0DC05F" w14:textId="77777777" w:rsidR="00656AC1" w:rsidRPr="00A23FB4" w:rsidRDefault="00656AC1" w:rsidP="00954A11">
      <w:pPr>
        <w:pStyle w:val="tekstost"/>
        <w:numPr>
          <w:ilvl w:val="0"/>
          <w:numId w:val="8"/>
        </w:numPr>
        <w:rPr>
          <w:rFonts w:ascii="Calibri" w:hAnsi="Calibri" w:cs="Calibri"/>
        </w:rPr>
      </w:pPr>
      <w:r w:rsidRPr="00A23FB4">
        <w:rPr>
          <w:rFonts w:ascii="Calibri" w:hAnsi="Calibri" w:cs="Calibri"/>
        </w:rPr>
        <w:t>odbiorowi częściowemu,</w:t>
      </w:r>
    </w:p>
    <w:p w14:paraId="3699EA22" w14:textId="77777777" w:rsidR="00656AC1" w:rsidRPr="00A23FB4" w:rsidRDefault="00656AC1" w:rsidP="00954A11">
      <w:pPr>
        <w:pStyle w:val="tekstost"/>
        <w:numPr>
          <w:ilvl w:val="0"/>
          <w:numId w:val="8"/>
        </w:numPr>
        <w:rPr>
          <w:rFonts w:ascii="Calibri" w:hAnsi="Calibri" w:cs="Calibri"/>
        </w:rPr>
      </w:pPr>
      <w:r w:rsidRPr="00A23FB4">
        <w:rPr>
          <w:rFonts w:ascii="Calibri" w:hAnsi="Calibri" w:cs="Calibri"/>
        </w:rPr>
        <w:t>odbiorowi ostatecznemu,</w:t>
      </w:r>
    </w:p>
    <w:p w14:paraId="49B7EA4D" w14:textId="77777777" w:rsidR="00656AC1" w:rsidRPr="00A23FB4" w:rsidRDefault="00656AC1" w:rsidP="00954A11">
      <w:pPr>
        <w:pStyle w:val="tekstost"/>
        <w:numPr>
          <w:ilvl w:val="0"/>
          <w:numId w:val="8"/>
        </w:numPr>
        <w:rPr>
          <w:rFonts w:ascii="Calibri" w:hAnsi="Calibri" w:cs="Calibri"/>
        </w:rPr>
      </w:pPr>
      <w:r w:rsidRPr="00A23FB4">
        <w:rPr>
          <w:rFonts w:ascii="Calibri" w:hAnsi="Calibri" w:cs="Calibri"/>
        </w:rPr>
        <w:t>odbiorowi pogwarancyjnemu.</w:t>
      </w:r>
    </w:p>
    <w:p w14:paraId="2FA45E8C" w14:textId="77777777" w:rsidR="00656AC1" w:rsidRPr="00A23FB4" w:rsidRDefault="00656AC1" w:rsidP="00364E4D">
      <w:pPr>
        <w:pStyle w:val="Nagwek4"/>
        <w:rPr>
          <w:rFonts w:ascii="Calibri" w:hAnsi="Calibri" w:cs="Calibri"/>
        </w:rPr>
      </w:pPr>
      <w:r w:rsidRPr="00A23FB4">
        <w:rPr>
          <w:rFonts w:ascii="Calibri" w:hAnsi="Calibri" w:cs="Calibri"/>
        </w:rPr>
        <w:t>8.2. Odbiór robót zanikających i ulegających zakryciu</w:t>
      </w:r>
    </w:p>
    <w:p w14:paraId="4FCBDAC7" w14:textId="77777777" w:rsidR="00656AC1" w:rsidRPr="00A23FB4" w:rsidRDefault="00656AC1" w:rsidP="00364E4D">
      <w:pPr>
        <w:pStyle w:val="tekstost"/>
        <w:rPr>
          <w:rFonts w:ascii="Calibri" w:hAnsi="Calibri" w:cs="Calibri"/>
        </w:rPr>
      </w:pPr>
      <w:r w:rsidRPr="00A23FB4">
        <w:rPr>
          <w:rFonts w:ascii="Calibri" w:hAnsi="Calibri" w:cs="Calibri"/>
        </w:rPr>
        <w:t>Odbiór robót zanikających i ulegających zakryciu polega na finalnej ocenie ilości i jakości wykonywanych robót, które w dalszym procesie realizacji ulegną zakryciu.</w:t>
      </w:r>
    </w:p>
    <w:p w14:paraId="5A94EDCA" w14:textId="77777777" w:rsidR="00656AC1" w:rsidRPr="00A23FB4" w:rsidRDefault="00656AC1" w:rsidP="00364E4D">
      <w:pPr>
        <w:pStyle w:val="tekstost"/>
        <w:rPr>
          <w:rFonts w:ascii="Calibri" w:hAnsi="Calibri" w:cs="Calibri"/>
        </w:rPr>
      </w:pPr>
      <w:r w:rsidRPr="00A23FB4">
        <w:rPr>
          <w:rFonts w:ascii="Calibri" w:hAnsi="Calibri" w:cs="Calibri"/>
        </w:rPr>
        <w:t>Odbiór robót zanikających i ulegających zakryciu będzie dokonany w czasie umożliwiającym wykonanie ewentualnych korekt i poprawek bez hamowania ogólnego postępu robót.</w:t>
      </w:r>
    </w:p>
    <w:p w14:paraId="1E7354FF" w14:textId="77777777" w:rsidR="00656AC1" w:rsidRPr="00A23FB4" w:rsidRDefault="00656AC1" w:rsidP="00364E4D">
      <w:pPr>
        <w:pStyle w:val="tekstost"/>
        <w:rPr>
          <w:rFonts w:ascii="Calibri" w:hAnsi="Calibri" w:cs="Calibri"/>
        </w:rPr>
      </w:pPr>
      <w:r w:rsidRPr="00A23FB4">
        <w:rPr>
          <w:rFonts w:ascii="Calibri" w:hAnsi="Calibri" w:cs="Calibri"/>
        </w:rPr>
        <w:t>Odbioru robót dokonuje Inżynier/Kierownik projektu.</w:t>
      </w:r>
    </w:p>
    <w:p w14:paraId="499082B8" w14:textId="77777777" w:rsidR="00656AC1" w:rsidRPr="00A23FB4" w:rsidRDefault="00656AC1" w:rsidP="00364E4D">
      <w:pPr>
        <w:pStyle w:val="tekstost"/>
        <w:rPr>
          <w:rFonts w:ascii="Calibri" w:hAnsi="Calibri" w:cs="Calibri"/>
        </w:rPr>
      </w:pPr>
      <w:r w:rsidRPr="00A23FB4">
        <w:rPr>
          <w:rFonts w:ascii="Calibri" w:hAnsi="Calibri" w:cs="Calibri"/>
        </w:rPr>
        <w:t>Gotowość danej części robót do odbioru zgłasza Wykonawca wpisem do dziennika budowy i jednoczesnym powiadomieniem Inżyniera/Kierownika projektu. Odbiór będzie przeprowadzony niezwłocznie, nie później jednak niż w ciągu 3 dni od daty zgłoszenia wpisem do dziennika budowy i powiadomienia o tym fakcie Inżyniera/Kierownika projektu.</w:t>
      </w:r>
    </w:p>
    <w:p w14:paraId="47F39CA4" w14:textId="171EC43E" w:rsidR="00656AC1" w:rsidRPr="00A23FB4" w:rsidRDefault="00656AC1" w:rsidP="00364E4D">
      <w:pPr>
        <w:pStyle w:val="tekstost"/>
        <w:rPr>
          <w:rFonts w:ascii="Calibri" w:hAnsi="Calibri" w:cs="Calibri"/>
        </w:rPr>
      </w:pPr>
      <w:r w:rsidRPr="00A23FB4">
        <w:rPr>
          <w:rFonts w:ascii="Calibri" w:hAnsi="Calibri" w:cs="Calibri"/>
        </w:rPr>
        <w:t xml:space="preserve">Jakość i ilość robót ulegających zakryciu ocenia Inżynier/Kierownik projektu na podstawie dokumentów zawierających komplet wyników badań laboratoryjnych i w oparciu o przeprowadzone pomiary, w konfrontacji z dokumentacją projektową, </w:t>
      </w:r>
      <w:r w:rsidR="00D33A38">
        <w:rPr>
          <w:rFonts w:ascii="Calibri" w:hAnsi="Calibri" w:cs="Calibri"/>
        </w:rPr>
        <w:t>ST</w:t>
      </w:r>
      <w:r w:rsidR="00E22F37" w:rsidRPr="00A23FB4">
        <w:rPr>
          <w:rFonts w:ascii="Calibri" w:hAnsi="Calibri" w:cs="Calibri"/>
        </w:rPr>
        <w:t>WiORB</w:t>
      </w:r>
      <w:r w:rsidRPr="00A23FB4">
        <w:rPr>
          <w:rFonts w:ascii="Calibri" w:hAnsi="Calibri" w:cs="Calibri"/>
        </w:rPr>
        <w:t xml:space="preserve"> i uprzednimi ustaleniami.</w:t>
      </w:r>
    </w:p>
    <w:p w14:paraId="67CD2A93" w14:textId="77777777" w:rsidR="00656AC1" w:rsidRPr="00A23FB4" w:rsidRDefault="00656AC1" w:rsidP="00364E4D">
      <w:pPr>
        <w:pStyle w:val="Nagwek4"/>
        <w:rPr>
          <w:rFonts w:ascii="Calibri" w:hAnsi="Calibri" w:cs="Calibri"/>
        </w:rPr>
      </w:pPr>
      <w:r w:rsidRPr="00A23FB4">
        <w:rPr>
          <w:rFonts w:ascii="Calibri" w:hAnsi="Calibri" w:cs="Calibri"/>
        </w:rPr>
        <w:t>8.3. Odbiór częściowy</w:t>
      </w:r>
    </w:p>
    <w:p w14:paraId="44E731ED" w14:textId="77777777" w:rsidR="00656AC1" w:rsidRPr="00A23FB4" w:rsidRDefault="00656AC1" w:rsidP="00364E4D">
      <w:pPr>
        <w:pStyle w:val="tekstost"/>
        <w:rPr>
          <w:rFonts w:ascii="Calibri" w:hAnsi="Calibri" w:cs="Calibri"/>
        </w:rPr>
      </w:pPr>
      <w:r w:rsidRPr="00A23FB4">
        <w:rPr>
          <w:rFonts w:ascii="Calibri" w:hAnsi="Calibri" w:cs="Calibri"/>
        </w:rPr>
        <w:t>Odbiór  częściowy polega na ocenie ilości i jakości wykonanych części robót. Odbioru częściowego robót dokonuje się wg zasad jak przy odbiorze ostatecznym robót. Odbioru robót dokonuje Inżynier/Kierownik projektu</w:t>
      </w:r>
    </w:p>
    <w:p w14:paraId="747339D8" w14:textId="77777777" w:rsidR="00656AC1" w:rsidRPr="00A23FB4" w:rsidRDefault="00656AC1" w:rsidP="00364E4D">
      <w:pPr>
        <w:pStyle w:val="Nagwek4"/>
        <w:rPr>
          <w:rFonts w:ascii="Calibri" w:hAnsi="Calibri" w:cs="Calibri"/>
        </w:rPr>
      </w:pPr>
      <w:r w:rsidRPr="00A23FB4">
        <w:rPr>
          <w:rFonts w:ascii="Calibri" w:hAnsi="Calibri" w:cs="Calibri"/>
        </w:rPr>
        <w:t>8.4. Odbiór ostateczny robót</w:t>
      </w:r>
    </w:p>
    <w:p w14:paraId="037F1121" w14:textId="77777777" w:rsidR="00656AC1" w:rsidRPr="00A23FB4" w:rsidRDefault="00656AC1" w:rsidP="00364E4D">
      <w:pPr>
        <w:pStyle w:val="Nagwek7"/>
        <w:rPr>
          <w:rFonts w:ascii="Calibri" w:hAnsi="Calibri" w:cs="Calibri"/>
          <w:b/>
          <w:bCs/>
          <w:iCs/>
        </w:rPr>
      </w:pPr>
      <w:r w:rsidRPr="00A23FB4">
        <w:rPr>
          <w:rFonts w:ascii="Calibri" w:hAnsi="Calibri" w:cs="Calibri"/>
          <w:b/>
          <w:bCs/>
          <w:iCs/>
        </w:rPr>
        <w:t>8.4.1. Zasady odbioru ostatecznego robót</w:t>
      </w:r>
    </w:p>
    <w:p w14:paraId="3CC0C3A1" w14:textId="77777777" w:rsidR="00656AC1" w:rsidRPr="00A23FB4" w:rsidRDefault="00656AC1" w:rsidP="00364E4D">
      <w:pPr>
        <w:rPr>
          <w:rFonts w:ascii="Calibri" w:hAnsi="Calibri" w:cs="Calibri"/>
        </w:rPr>
      </w:pPr>
      <w:r w:rsidRPr="00A23FB4">
        <w:rPr>
          <w:rFonts w:ascii="Calibri" w:hAnsi="Calibri" w:cs="Calibri"/>
        </w:rPr>
        <w:t>Odbiór ostateczny polega na finalnej ocenie rzeczywistego wykonania robót w odniesieniu do ich ilości, jakości i wartości.</w:t>
      </w:r>
    </w:p>
    <w:p w14:paraId="4A1DCA82" w14:textId="77777777" w:rsidR="00656AC1" w:rsidRPr="00A23FB4" w:rsidRDefault="00656AC1" w:rsidP="00364E4D">
      <w:pPr>
        <w:rPr>
          <w:rFonts w:ascii="Calibri" w:hAnsi="Calibri" w:cs="Calibri"/>
        </w:rPr>
      </w:pPr>
      <w:r w:rsidRPr="00A23FB4">
        <w:rPr>
          <w:rFonts w:ascii="Calibri" w:hAnsi="Calibri" w:cs="Calibri"/>
        </w:rPr>
        <w:t>Całkowite zakończenie robót oraz gotowość do odbioru ostatecznego będzie stwierdzona przez Wykonawcę wpisem do dziennika budowy z bezzwłocznym powiadomieniem na piśmie o tym fakcie Inżyniera/Kierownika projektu</w:t>
      </w:r>
    </w:p>
    <w:p w14:paraId="73EEC0F4" w14:textId="77777777" w:rsidR="00656AC1" w:rsidRPr="00A23FB4" w:rsidRDefault="00656AC1" w:rsidP="00364E4D">
      <w:pPr>
        <w:rPr>
          <w:rFonts w:ascii="Calibri" w:hAnsi="Calibri" w:cs="Calibri"/>
        </w:rPr>
      </w:pPr>
      <w:r w:rsidRPr="00A23FB4">
        <w:rPr>
          <w:rFonts w:ascii="Calibri" w:hAnsi="Calibri" w:cs="Calibri"/>
        </w:rPr>
        <w:t>Odbiór ostateczny robót nastąpi w terminie ustalonym w dokumentach umowy, licząc od dnia potwierdzenia przez Inżyniera/Kierownika projektu zakończenia robót i przyjęcia dokumentów, o których mowa w punkcie 8.4.2.</w:t>
      </w:r>
    </w:p>
    <w:p w14:paraId="296D47C7" w14:textId="76FF4A37" w:rsidR="00656AC1" w:rsidRPr="00A23FB4" w:rsidRDefault="00656AC1" w:rsidP="00364E4D">
      <w:pPr>
        <w:rPr>
          <w:rFonts w:ascii="Calibri" w:hAnsi="Calibri" w:cs="Calibri"/>
        </w:rPr>
      </w:pPr>
      <w:r w:rsidRPr="00A23FB4">
        <w:rPr>
          <w:rFonts w:ascii="Calibri" w:hAnsi="Calibri" w:cs="Calibri"/>
        </w:rPr>
        <w:t xml:space="preserve">Odbioru ostatecznego robót dokona komisja wyznaczona przez Zamawiającego w obecności Inżyniera/Kierownika projektu i Wykonawcy. Komisja odbierająca roboty dokona ich oceny jakościowej na podstawie przedłożonych dokumentów, wyników badań i pomiarów, ocenie wizualnej oraz zgodności wykonania robót z dokumentacją projektową i </w:t>
      </w:r>
      <w:r w:rsidR="00D33A38">
        <w:rPr>
          <w:rFonts w:ascii="Calibri" w:hAnsi="Calibri" w:cs="Calibri"/>
        </w:rPr>
        <w:t>ST</w:t>
      </w:r>
      <w:r w:rsidR="00E22F37" w:rsidRPr="00A23FB4">
        <w:rPr>
          <w:rFonts w:ascii="Calibri" w:hAnsi="Calibri" w:cs="Calibri"/>
        </w:rPr>
        <w:t>WiORB</w:t>
      </w:r>
      <w:r w:rsidRPr="00A23FB4">
        <w:rPr>
          <w:rFonts w:ascii="Calibri" w:hAnsi="Calibri" w:cs="Calibri"/>
        </w:rPr>
        <w:t>.</w:t>
      </w:r>
    </w:p>
    <w:p w14:paraId="60676FF0" w14:textId="77777777" w:rsidR="00656AC1" w:rsidRPr="00A23FB4" w:rsidRDefault="00656AC1" w:rsidP="00364E4D">
      <w:pPr>
        <w:rPr>
          <w:rFonts w:ascii="Calibri" w:hAnsi="Calibri" w:cs="Calibri"/>
        </w:rPr>
      </w:pPr>
      <w:r w:rsidRPr="00A23FB4">
        <w:rPr>
          <w:rFonts w:ascii="Calibri" w:hAnsi="Calibri" w:cs="Calibri"/>
        </w:rPr>
        <w:t>W toku odbioru ostatecznego robót komisja zapozna się z realizacją ustaleń przyjętych w trakcie odbiorów robót zanikających i ulegających zakryciu, zwłaszcza w zakresie wykonania robót uzupełniających i robót poprawkowych.</w:t>
      </w:r>
    </w:p>
    <w:p w14:paraId="7B3E316F" w14:textId="77777777" w:rsidR="00656AC1" w:rsidRPr="00A23FB4" w:rsidRDefault="00656AC1" w:rsidP="00364E4D">
      <w:pPr>
        <w:rPr>
          <w:rFonts w:ascii="Calibri" w:hAnsi="Calibri" w:cs="Calibri"/>
        </w:rPr>
      </w:pPr>
      <w:r w:rsidRPr="00A23FB4">
        <w:rPr>
          <w:rFonts w:ascii="Calibri" w:hAnsi="Calibri" w:cs="Calibri"/>
        </w:rPr>
        <w:t>W przypadkach niewykonania wyznaczonych robót poprawkowych lub robót uzupełniających w warstwie ścieralnej lub robotach wykończeniowych, komisja przerwie swoje czynności i ustali nowy termin odbioru ostatecznego.</w:t>
      </w:r>
    </w:p>
    <w:p w14:paraId="1BFB7B11" w14:textId="0382CE42" w:rsidR="00656AC1" w:rsidRPr="00A23FB4" w:rsidRDefault="00656AC1" w:rsidP="00364E4D">
      <w:pPr>
        <w:rPr>
          <w:rFonts w:ascii="Calibri" w:hAnsi="Calibri" w:cs="Calibri"/>
        </w:rPr>
      </w:pPr>
      <w:r w:rsidRPr="00A23FB4">
        <w:rPr>
          <w:rFonts w:ascii="Calibri" w:hAnsi="Calibri" w:cs="Calibri"/>
        </w:rPr>
        <w:t xml:space="preserve">W przypadku stwierdzenia przez komisję, że jakość wykonywanych robót w poszczególnych asortymentach nieznacznie odbiega od wymaganej dokumentacją projektową i </w:t>
      </w:r>
      <w:r w:rsidR="000907B8">
        <w:rPr>
          <w:rFonts w:ascii="Calibri" w:hAnsi="Calibri" w:cs="Calibri"/>
        </w:rPr>
        <w:t>ST</w:t>
      </w:r>
      <w:r w:rsidR="00E22F37" w:rsidRPr="00A23FB4">
        <w:rPr>
          <w:rFonts w:ascii="Calibri" w:hAnsi="Calibri" w:cs="Calibri"/>
        </w:rPr>
        <w:t>WiORB</w:t>
      </w:r>
      <w:r w:rsidRPr="00A23FB4">
        <w:rPr>
          <w:rFonts w:ascii="Calibri" w:hAnsi="Calibri" w:cs="Calibri"/>
        </w:rPr>
        <w:t xml:space="preserve"> z uwzględnieniem tolerancji i nie ma większego wpływu na cechy eksploatacyjne obiektu i bezpieczeństwo ruchu, komisja dokona potrąceń, oceniając pomniejszoną wartość wykonywanych robót w stosunku do wymagań przyjętych w dokumentach umowy.</w:t>
      </w:r>
    </w:p>
    <w:p w14:paraId="19AD0BE0" w14:textId="77777777" w:rsidR="009051F5" w:rsidRPr="00A23FB4" w:rsidRDefault="009051F5" w:rsidP="00364E4D">
      <w:pPr>
        <w:pStyle w:val="Nagwek7"/>
        <w:rPr>
          <w:rFonts w:ascii="Calibri" w:hAnsi="Calibri" w:cs="Calibri"/>
          <w:b/>
          <w:bCs/>
          <w:i/>
          <w:iCs/>
        </w:rPr>
      </w:pPr>
      <w:bookmarkStart w:id="32" w:name="_Toc412518599"/>
    </w:p>
    <w:p w14:paraId="1EAD5BE8" w14:textId="77777777" w:rsidR="00656AC1" w:rsidRPr="00A23FB4" w:rsidRDefault="00656AC1" w:rsidP="00364E4D">
      <w:pPr>
        <w:pStyle w:val="Nagwek7"/>
        <w:rPr>
          <w:rFonts w:ascii="Calibri" w:hAnsi="Calibri" w:cs="Calibri"/>
          <w:b/>
          <w:bCs/>
          <w:iCs/>
        </w:rPr>
      </w:pPr>
      <w:r w:rsidRPr="00A23FB4">
        <w:rPr>
          <w:rFonts w:ascii="Calibri" w:hAnsi="Calibri" w:cs="Calibri"/>
          <w:b/>
          <w:bCs/>
          <w:iCs/>
        </w:rPr>
        <w:t>8.4.2. Dokumenty do odbioru ostatecznego</w:t>
      </w:r>
      <w:bookmarkEnd w:id="32"/>
    </w:p>
    <w:p w14:paraId="7BAB8A5A" w14:textId="77777777" w:rsidR="00656AC1" w:rsidRPr="00A23FB4" w:rsidRDefault="00656AC1" w:rsidP="00364E4D">
      <w:pPr>
        <w:rPr>
          <w:rFonts w:ascii="Calibri" w:hAnsi="Calibri" w:cs="Calibri"/>
        </w:rPr>
      </w:pPr>
      <w:r w:rsidRPr="00A23FB4">
        <w:rPr>
          <w:rFonts w:ascii="Calibri" w:hAnsi="Calibri" w:cs="Calibri"/>
        </w:rPr>
        <w:t>Podstawowym dokumentem do dokonania odbioru ostatecznego robót jest protokół odbioru ostatecznego robót sporządzony wg wzoru ustalonego przez Zamawiającego.</w:t>
      </w:r>
    </w:p>
    <w:p w14:paraId="7EE78BF0" w14:textId="77777777" w:rsidR="00656AC1" w:rsidRPr="00A23FB4" w:rsidRDefault="00656AC1" w:rsidP="00364E4D">
      <w:pPr>
        <w:rPr>
          <w:rFonts w:ascii="Calibri" w:hAnsi="Calibri" w:cs="Calibri"/>
        </w:rPr>
      </w:pPr>
      <w:r w:rsidRPr="00A23FB4">
        <w:rPr>
          <w:rFonts w:ascii="Calibri" w:hAnsi="Calibri" w:cs="Calibri"/>
        </w:rPr>
        <w:t>Do odbioru ostatecznego Wykonawca jest zobowiązany przygotować następujące dokumenty:</w:t>
      </w:r>
    </w:p>
    <w:p w14:paraId="13F07019" w14:textId="77777777" w:rsidR="00656AC1" w:rsidRPr="00A23FB4" w:rsidRDefault="00656AC1" w:rsidP="00364E4D">
      <w:pPr>
        <w:rPr>
          <w:rFonts w:ascii="Calibri" w:hAnsi="Calibri" w:cs="Calibri"/>
        </w:rPr>
      </w:pPr>
      <w:r w:rsidRPr="00A23FB4">
        <w:rPr>
          <w:rFonts w:ascii="Calibri" w:hAnsi="Calibri" w:cs="Calibri"/>
        </w:rPr>
        <w:t>dokumentację projektową podstawową z naniesionymi zmianami oraz dodatkową, jeśli została sporządzona w trakcie realizacji umowy,</w:t>
      </w:r>
    </w:p>
    <w:p w14:paraId="0A0936F1" w14:textId="77777777" w:rsidR="00656AC1" w:rsidRPr="00A23FB4" w:rsidRDefault="00656AC1" w:rsidP="00364E4D">
      <w:pPr>
        <w:rPr>
          <w:rFonts w:ascii="Calibri" w:hAnsi="Calibri" w:cs="Calibri"/>
        </w:rPr>
      </w:pPr>
      <w:r w:rsidRPr="00A23FB4">
        <w:rPr>
          <w:rFonts w:ascii="Calibri" w:hAnsi="Calibri" w:cs="Calibri"/>
        </w:rPr>
        <w:t>szczegółowe specyfikacje techniczne (podstawowe z dokumentów umowy i ew. uzupełniające lub zamienne),</w:t>
      </w:r>
    </w:p>
    <w:p w14:paraId="1E8D7672" w14:textId="77777777" w:rsidR="00656AC1" w:rsidRPr="00A23FB4" w:rsidRDefault="00656AC1" w:rsidP="00364E4D">
      <w:pPr>
        <w:rPr>
          <w:rFonts w:ascii="Calibri" w:hAnsi="Calibri" w:cs="Calibri"/>
        </w:rPr>
      </w:pPr>
      <w:r w:rsidRPr="00A23FB4">
        <w:rPr>
          <w:rFonts w:ascii="Calibri" w:hAnsi="Calibri" w:cs="Calibri"/>
        </w:rPr>
        <w:t>recepty i ustalenia technologiczne,</w:t>
      </w:r>
    </w:p>
    <w:p w14:paraId="3405C46A" w14:textId="77777777" w:rsidR="00656AC1" w:rsidRPr="00A23FB4" w:rsidRDefault="00656AC1" w:rsidP="00364E4D">
      <w:pPr>
        <w:rPr>
          <w:rFonts w:ascii="Calibri" w:hAnsi="Calibri" w:cs="Calibri"/>
        </w:rPr>
      </w:pPr>
      <w:r w:rsidRPr="00A23FB4">
        <w:rPr>
          <w:rFonts w:ascii="Calibri" w:hAnsi="Calibri" w:cs="Calibri"/>
        </w:rPr>
        <w:t>dzienniki budowy i książki obmiarów (oryginały),</w:t>
      </w:r>
    </w:p>
    <w:p w14:paraId="5C4CD78B" w14:textId="02EC9030" w:rsidR="00656AC1" w:rsidRPr="00A23FB4" w:rsidRDefault="00656AC1" w:rsidP="00364E4D">
      <w:pPr>
        <w:rPr>
          <w:rFonts w:ascii="Calibri" w:hAnsi="Calibri" w:cs="Calibri"/>
        </w:rPr>
      </w:pPr>
      <w:r w:rsidRPr="00A23FB4">
        <w:rPr>
          <w:rFonts w:ascii="Calibri" w:hAnsi="Calibri" w:cs="Calibri"/>
        </w:rPr>
        <w:t xml:space="preserve">wyniki pomiarów kontrolnych oraz badań i oznaczeń laboratoryjnych, zgodne z </w:t>
      </w:r>
      <w:r w:rsidR="00D33A38">
        <w:rPr>
          <w:rFonts w:ascii="Calibri" w:hAnsi="Calibri" w:cs="Calibri"/>
        </w:rPr>
        <w:t>ST</w:t>
      </w:r>
      <w:r w:rsidR="00E22F37" w:rsidRPr="00A23FB4">
        <w:rPr>
          <w:rFonts w:ascii="Calibri" w:hAnsi="Calibri" w:cs="Calibri"/>
        </w:rPr>
        <w:t>WiORB</w:t>
      </w:r>
      <w:r w:rsidRPr="00A23FB4">
        <w:rPr>
          <w:rFonts w:ascii="Calibri" w:hAnsi="Calibri" w:cs="Calibri"/>
        </w:rPr>
        <w:t xml:space="preserve"> i ew. PZJ,</w:t>
      </w:r>
    </w:p>
    <w:p w14:paraId="0AF5E2D0" w14:textId="6D045EF3" w:rsidR="00656AC1" w:rsidRPr="00A23FB4" w:rsidRDefault="00656AC1" w:rsidP="00364E4D">
      <w:pPr>
        <w:rPr>
          <w:rFonts w:ascii="Calibri" w:hAnsi="Calibri" w:cs="Calibri"/>
        </w:rPr>
      </w:pPr>
      <w:r w:rsidRPr="00A23FB4">
        <w:rPr>
          <w:rFonts w:ascii="Calibri" w:hAnsi="Calibri" w:cs="Calibri"/>
        </w:rPr>
        <w:t xml:space="preserve">deklaracje zgodności lub certyfikaty zgodności wbudowanych materiałów zgodnie z </w:t>
      </w:r>
      <w:r w:rsidR="00D33A38">
        <w:rPr>
          <w:rFonts w:ascii="Calibri" w:hAnsi="Calibri" w:cs="Calibri"/>
        </w:rPr>
        <w:t>ST</w:t>
      </w:r>
      <w:r w:rsidR="00E22F37" w:rsidRPr="00A23FB4">
        <w:rPr>
          <w:rFonts w:ascii="Calibri" w:hAnsi="Calibri" w:cs="Calibri"/>
        </w:rPr>
        <w:t>WiORB</w:t>
      </w:r>
      <w:r w:rsidRPr="00A23FB4">
        <w:rPr>
          <w:rFonts w:ascii="Calibri" w:hAnsi="Calibri" w:cs="Calibri"/>
        </w:rPr>
        <w:t xml:space="preserve"> i ew. PZJ,</w:t>
      </w:r>
    </w:p>
    <w:p w14:paraId="160B0DF2" w14:textId="3416DD39" w:rsidR="00656AC1" w:rsidRPr="00A23FB4" w:rsidRDefault="00656AC1" w:rsidP="00364E4D">
      <w:pPr>
        <w:rPr>
          <w:rFonts w:ascii="Calibri" w:hAnsi="Calibri" w:cs="Calibri"/>
        </w:rPr>
      </w:pPr>
      <w:r w:rsidRPr="00A23FB4">
        <w:rPr>
          <w:rFonts w:ascii="Calibri" w:hAnsi="Calibri" w:cs="Calibri"/>
        </w:rPr>
        <w:t xml:space="preserve">opinię technologiczną sporządzoną na podstawie wszystkich wyników badań i pomiarów załączonych do dokumentów odbioru, wykonanych zgodnie z </w:t>
      </w:r>
      <w:r w:rsidR="00D33A38">
        <w:rPr>
          <w:rFonts w:ascii="Calibri" w:hAnsi="Calibri" w:cs="Calibri"/>
        </w:rPr>
        <w:t>ST</w:t>
      </w:r>
      <w:r w:rsidR="00E22F37" w:rsidRPr="00A23FB4">
        <w:rPr>
          <w:rFonts w:ascii="Calibri" w:hAnsi="Calibri" w:cs="Calibri"/>
        </w:rPr>
        <w:t>WiORB</w:t>
      </w:r>
      <w:r w:rsidRPr="00A23FB4">
        <w:rPr>
          <w:rFonts w:ascii="Calibri" w:hAnsi="Calibri" w:cs="Calibri"/>
        </w:rPr>
        <w:t xml:space="preserve"> i PZJ,</w:t>
      </w:r>
    </w:p>
    <w:p w14:paraId="4122C239" w14:textId="77777777" w:rsidR="00656AC1" w:rsidRPr="00A23FB4" w:rsidRDefault="00656AC1" w:rsidP="00364E4D">
      <w:pPr>
        <w:rPr>
          <w:rFonts w:ascii="Calibri" w:hAnsi="Calibri" w:cs="Calibri"/>
        </w:rPr>
      </w:pPr>
      <w:r w:rsidRPr="00A23FB4">
        <w:rPr>
          <w:rFonts w:ascii="Calibri" w:hAnsi="Calibri" w:cs="Calibri"/>
        </w:rPr>
        <w:t>rysunki (dokumentacje) na wykonanie robót towarzyszących (np. na przełożenie linii telefonicznej, energetycznej, gazowej, oświetlenia itp.) oraz protokoły odbioru i przekazania tych robót właścicielom urządzeń,</w:t>
      </w:r>
    </w:p>
    <w:p w14:paraId="6D81DF38" w14:textId="77777777" w:rsidR="00656AC1" w:rsidRPr="00A23FB4" w:rsidRDefault="00656AC1" w:rsidP="00364E4D">
      <w:pPr>
        <w:rPr>
          <w:rFonts w:ascii="Calibri" w:hAnsi="Calibri" w:cs="Calibri"/>
        </w:rPr>
      </w:pPr>
      <w:r w:rsidRPr="00A23FB4">
        <w:rPr>
          <w:rFonts w:ascii="Calibri" w:hAnsi="Calibri" w:cs="Calibri"/>
        </w:rPr>
        <w:t>geodezyjną inwentaryzację powykonawczą robót i sieci uzbrojenia terenu,</w:t>
      </w:r>
    </w:p>
    <w:p w14:paraId="2A5D515E" w14:textId="77777777" w:rsidR="00656AC1" w:rsidRPr="00A23FB4" w:rsidRDefault="00656AC1" w:rsidP="00364E4D">
      <w:pPr>
        <w:rPr>
          <w:rFonts w:ascii="Calibri" w:hAnsi="Calibri" w:cs="Calibri"/>
        </w:rPr>
      </w:pPr>
      <w:r w:rsidRPr="00A23FB4">
        <w:rPr>
          <w:rFonts w:ascii="Calibri" w:hAnsi="Calibri" w:cs="Calibri"/>
        </w:rPr>
        <w:t>kopię mapy zasadniczej powstałej w wyniku geodezyjnej inwentaryzacji powykonawczej.</w:t>
      </w:r>
    </w:p>
    <w:p w14:paraId="59075DE3" w14:textId="77777777" w:rsidR="00656AC1" w:rsidRPr="00A23FB4" w:rsidRDefault="00656AC1" w:rsidP="00364E4D">
      <w:pPr>
        <w:rPr>
          <w:rFonts w:ascii="Calibri" w:hAnsi="Calibri" w:cs="Calibri"/>
        </w:rPr>
      </w:pPr>
      <w:r w:rsidRPr="00A23FB4">
        <w:rPr>
          <w:rFonts w:ascii="Calibri" w:hAnsi="Calibri" w:cs="Calibri"/>
        </w:rPr>
        <w:t>W przypadku, gdy wg komisji, roboty pod względem przygotowania dokumentacyjnego nie będą gotowe do odbioru ostatecznego, komisja w porozumieniu z Wykonawcą wyznaczy ponowny termin odbioru ostatecznego robót.</w:t>
      </w:r>
    </w:p>
    <w:p w14:paraId="0AA9A609" w14:textId="77777777" w:rsidR="00656AC1" w:rsidRPr="00A23FB4" w:rsidRDefault="00656AC1" w:rsidP="00364E4D">
      <w:pPr>
        <w:rPr>
          <w:rFonts w:ascii="Calibri" w:hAnsi="Calibri" w:cs="Calibri"/>
        </w:rPr>
      </w:pPr>
      <w:r w:rsidRPr="00A23FB4">
        <w:rPr>
          <w:rFonts w:ascii="Calibri" w:hAnsi="Calibri" w:cs="Calibri"/>
        </w:rPr>
        <w:t>Wszystkie zarządzone przez komisję roboty poprawkowe lub uzupełniające będą zestawione wg wzoru ustalonego przez Zamawiającego.</w:t>
      </w:r>
    </w:p>
    <w:p w14:paraId="29534F35" w14:textId="77777777" w:rsidR="00656AC1" w:rsidRPr="00A23FB4" w:rsidRDefault="00656AC1" w:rsidP="00364E4D">
      <w:pPr>
        <w:rPr>
          <w:rFonts w:ascii="Calibri" w:hAnsi="Calibri" w:cs="Calibri"/>
        </w:rPr>
      </w:pPr>
      <w:r w:rsidRPr="00A23FB4">
        <w:rPr>
          <w:rFonts w:ascii="Calibri" w:hAnsi="Calibri" w:cs="Calibri"/>
        </w:rPr>
        <w:t>Termin wykonania robót poprawkowych i robót uzupełniających wyznaczy komisja.</w:t>
      </w:r>
    </w:p>
    <w:p w14:paraId="7C1276F9" w14:textId="77777777" w:rsidR="00656AC1" w:rsidRPr="00A23FB4" w:rsidRDefault="00656AC1" w:rsidP="00364E4D">
      <w:pPr>
        <w:pStyle w:val="Nagwek4"/>
        <w:rPr>
          <w:rFonts w:ascii="Calibri" w:hAnsi="Calibri" w:cs="Calibri"/>
        </w:rPr>
      </w:pPr>
      <w:r w:rsidRPr="00A23FB4">
        <w:rPr>
          <w:rFonts w:ascii="Calibri" w:hAnsi="Calibri" w:cs="Calibri"/>
        </w:rPr>
        <w:t>8.5. Odbiór pogwarancyjny</w:t>
      </w:r>
    </w:p>
    <w:p w14:paraId="6B6B1CAD" w14:textId="77777777" w:rsidR="00656AC1" w:rsidRPr="00A23FB4" w:rsidRDefault="00656AC1" w:rsidP="00364E4D">
      <w:pPr>
        <w:rPr>
          <w:rFonts w:ascii="Calibri" w:hAnsi="Calibri" w:cs="Calibri"/>
        </w:rPr>
      </w:pPr>
      <w:r w:rsidRPr="00A23FB4">
        <w:rPr>
          <w:rFonts w:ascii="Calibri" w:hAnsi="Calibri" w:cs="Calibri"/>
        </w:rPr>
        <w:t>Odbiór pogwarancyjny polega na ocenie wykonanych robót związanych z usunięciem wad stwierdzonych przy odbiorze ostatecznym i zaistniałych w okresie gwarancyjnym.</w:t>
      </w:r>
    </w:p>
    <w:p w14:paraId="0737FA2F" w14:textId="77777777" w:rsidR="00656AC1" w:rsidRPr="00A23FB4" w:rsidRDefault="00656AC1" w:rsidP="00364E4D">
      <w:pPr>
        <w:rPr>
          <w:rFonts w:ascii="Calibri" w:hAnsi="Calibri" w:cs="Calibri"/>
        </w:rPr>
      </w:pPr>
      <w:r w:rsidRPr="00A23FB4">
        <w:rPr>
          <w:rFonts w:ascii="Calibri" w:hAnsi="Calibri" w:cs="Calibri"/>
        </w:rPr>
        <w:t>Odbiór pogwarancyjny będzie dokonany na podstawie oceny wizualnej obiektu z uwzględnieniem zasad opisanych w punkcie 8.4 „Odbiór ostateczny robót”.</w:t>
      </w:r>
    </w:p>
    <w:p w14:paraId="09858EC1" w14:textId="77777777" w:rsidR="00990137" w:rsidRPr="00A23FB4" w:rsidRDefault="00990137" w:rsidP="00990137">
      <w:pPr>
        <w:rPr>
          <w:rFonts w:ascii="Calibri" w:hAnsi="Calibri" w:cs="Calibri"/>
          <w:b/>
        </w:rPr>
      </w:pPr>
      <w:bookmarkStart w:id="33" w:name="_Toc416830706"/>
      <w:bookmarkStart w:id="34" w:name="_Toc6881287"/>
      <w:bookmarkStart w:id="35" w:name="_Toc6882160"/>
    </w:p>
    <w:p w14:paraId="14E60AAC" w14:textId="77777777" w:rsidR="009A5E24" w:rsidRDefault="00656AC1" w:rsidP="009A5E24">
      <w:pPr>
        <w:rPr>
          <w:rFonts w:ascii="Calibri" w:hAnsi="Calibri" w:cs="Calibri"/>
          <w:b/>
        </w:rPr>
      </w:pPr>
      <w:r w:rsidRPr="00A23FB4">
        <w:rPr>
          <w:rFonts w:ascii="Calibri" w:hAnsi="Calibri" w:cs="Calibri"/>
          <w:b/>
        </w:rPr>
        <w:t>9. PODSTAWA PŁATNOŚCI</w:t>
      </w:r>
      <w:bookmarkEnd w:id="33"/>
      <w:bookmarkEnd w:id="34"/>
      <w:bookmarkEnd w:id="35"/>
    </w:p>
    <w:p w14:paraId="65FE518D" w14:textId="77777777" w:rsidR="009A5E24" w:rsidRDefault="009A5E24" w:rsidP="009A5E24">
      <w:pPr>
        <w:rPr>
          <w:rFonts w:ascii="Calibri" w:hAnsi="Calibri" w:cs="Calibri"/>
          <w:b/>
        </w:rPr>
      </w:pPr>
    </w:p>
    <w:p w14:paraId="033B4D68" w14:textId="77777777" w:rsidR="009A5E24" w:rsidRPr="009A5E24" w:rsidRDefault="009A5E24" w:rsidP="009A5E24">
      <w:pPr>
        <w:rPr>
          <w:rFonts w:asciiTheme="minorHAnsi" w:hAnsiTheme="minorHAnsi" w:cstheme="minorHAnsi"/>
        </w:rPr>
      </w:pPr>
      <w:r w:rsidRPr="009A5E24">
        <w:rPr>
          <w:rFonts w:asciiTheme="minorHAnsi" w:hAnsiTheme="minorHAnsi" w:cstheme="minorHAnsi"/>
        </w:rPr>
        <w:t xml:space="preserve">Wynagrodzenie ryczałtowe: zasady płatności podano w Umowie pomiędzy Zamawiającym i Wykonawcą. </w:t>
      </w:r>
    </w:p>
    <w:p w14:paraId="1515409D" w14:textId="77777777" w:rsidR="009A5E24" w:rsidRPr="009A5E24" w:rsidRDefault="009A5E24" w:rsidP="009A5E24">
      <w:pPr>
        <w:rPr>
          <w:rFonts w:asciiTheme="minorHAnsi" w:hAnsiTheme="minorHAnsi" w:cstheme="minorHAnsi"/>
        </w:rPr>
      </w:pPr>
      <w:r w:rsidRPr="009A5E24">
        <w:rPr>
          <w:rFonts w:asciiTheme="minorHAnsi" w:hAnsiTheme="minorHAnsi" w:cstheme="minorHAnsi"/>
        </w:rPr>
        <w:t xml:space="preserve">Podstawą płatności są wartości (kwoty) poszczególnych elementów zryczałtowanych podane przez Wykonawcę w Wykazie Płatności oraz uszczegółowione w Tabeli Rozliczeniowej. Tabela Rozliczeniowa (TRoz)” stanowi uszczegółowienie Wykazu Płatności i służy do celów oszacowania wartości i zaawansowania Robót oraz nie ma żadnego wpływu na Cenę Kontraktową należną na mocy Kontraktu. Wykonawca wykona TRoz na podstawie przedmiaru robót o stopniu szczegółowości nie mniejszym niż jak zostało to określone we wzorze załączonym do Warunków Kontraktu. </w:t>
      </w:r>
    </w:p>
    <w:p w14:paraId="6B5C897D" w14:textId="77777777" w:rsidR="009A5E24" w:rsidRPr="009A5E24" w:rsidRDefault="009A5E24" w:rsidP="009A5E24">
      <w:pPr>
        <w:rPr>
          <w:rFonts w:asciiTheme="minorHAnsi" w:hAnsiTheme="minorHAnsi" w:cstheme="minorHAnsi"/>
        </w:rPr>
      </w:pPr>
      <w:r w:rsidRPr="009A5E24">
        <w:rPr>
          <w:rFonts w:asciiTheme="minorHAnsi" w:hAnsiTheme="minorHAnsi" w:cstheme="minorHAnsi"/>
        </w:rPr>
        <w:t xml:space="preserve">Kwota ryczałtowa pozycji Wykazu Płatności oraz Tabeli Rozliczeniowej będzie uwzględniać wszystkie czynności, wymagania i badania składające się na jej wykonanie, określone dla tej roboty w Programie – Funkcjonalno – Użytkowym, WWiORB oraz opracowanych na ich podstawie STWiORB i Dokumentacji Projektowej. </w:t>
      </w:r>
    </w:p>
    <w:p w14:paraId="58137D68" w14:textId="77777777" w:rsidR="009A5E24" w:rsidRPr="009A5E24" w:rsidRDefault="009A5E24" w:rsidP="009A5E24">
      <w:pPr>
        <w:rPr>
          <w:rFonts w:asciiTheme="minorHAnsi" w:hAnsiTheme="minorHAnsi" w:cstheme="minorHAnsi"/>
        </w:rPr>
      </w:pPr>
      <w:r w:rsidRPr="009A5E24">
        <w:rPr>
          <w:rFonts w:asciiTheme="minorHAnsi" w:hAnsiTheme="minorHAnsi" w:cstheme="minorHAnsi"/>
        </w:rPr>
        <w:t xml:space="preserve">Kwoty ryczałtowe będą obejmować wszystkie koszty, w tym w szczególności: </w:t>
      </w:r>
    </w:p>
    <w:p w14:paraId="7EBEF64A" w14:textId="77777777" w:rsidR="009A5E24" w:rsidRPr="009A5E24" w:rsidRDefault="009A5E24" w:rsidP="009A5E24">
      <w:pPr>
        <w:rPr>
          <w:rFonts w:asciiTheme="minorHAnsi" w:hAnsiTheme="minorHAnsi" w:cstheme="minorHAnsi"/>
        </w:rPr>
      </w:pPr>
      <w:r w:rsidRPr="009A5E24">
        <w:rPr>
          <w:rFonts w:asciiTheme="minorHAnsi" w:hAnsiTheme="minorHAnsi" w:cstheme="minorHAnsi"/>
        </w:rPr>
        <w:t xml:space="preserve">– robociznę bezpośrednią wraz z towarzyszącymi kosztami, </w:t>
      </w:r>
    </w:p>
    <w:p w14:paraId="7EFB6A38" w14:textId="77777777" w:rsidR="009A5E24" w:rsidRPr="009A5E24" w:rsidRDefault="009A5E24" w:rsidP="009A5E24">
      <w:pPr>
        <w:rPr>
          <w:rFonts w:asciiTheme="minorHAnsi" w:hAnsiTheme="minorHAnsi" w:cstheme="minorHAnsi"/>
        </w:rPr>
      </w:pPr>
      <w:r w:rsidRPr="009A5E24">
        <w:rPr>
          <w:rFonts w:asciiTheme="minorHAnsi" w:hAnsiTheme="minorHAnsi" w:cstheme="minorHAnsi"/>
        </w:rPr>
        <w:t xml:space="preserve">– wartość użytych Materiałów wraz z kosztami zakupu, magazynowania, normatywnych ubytków i transportu na Plac Budowy (a dla urządzeń technologicznych – wraz z kosztami ich montażu i właściwych prób) i innymi towarzyszącymi kosztami, </w:t>
      </w:r>
    </w:p>
    <w:p w14:paraId="0E26D192" w14:textId="77777777" w:rsidR="009A5E24" w:rsidRPr="009A5E24" w:rsidRDefault="009A5E24" w:rsidP="009A5E24">
      <w:pPr>
        <w:rPr>
          <w:rFonts w:asciiTheme="minorHAnsi" w:hAnsiTheme="minorHAnsi" w:cstheme="minorHAnsi"/>
        </w:rPr>
      </w:pPr>
      <w:r w:rsidRPr="009A5E24">
        <w:rPr>
          <w:rFonts w:asciiTheme="minorHAnsi" w:hAnsiTheme="minorHAnsi" w:cstheme="minorHAnsi"/>
        </w:rPr>
        <w:t xml:space="preserve">– wartość pracy Sprzętu wraz z towarzyszącymi kosztami, </w:t>
      </w:r>
    </w:p>
    <w:p w14:paraId="02427ED2" w14:textId="77777777" w:rsidR="009A5E24" w:rsidRPr="009A5E24" w:rsidRDefault="009A5E24" w:rsidP="009A5E24">
      <w:pPr>
        <w:rPr>
          <w:rFonts w:asciiTheme="minorHAnsi" w:hAnsiTheme="minorHAnsi" w:cstheme="minorHAnsi"/>
        </w:rPr>
      </w:pPr>
      <w:r w:rsidRPr="009A5E24">
        <w:rPr>
          <w:rFonts w:asciiTheme="minorHAnsi" w:hAnsiTheme="minorHAnsi" w:cstheme="minorHAnsi"/>
        </w:rPr>
        <w:t xml:space="preserve">– koszty pośrednie - składnik kalkulacyjny jednostkowej ceny kosztorysowej uwzględniający ujęte w kosztach bezpośrednich koszty zaliczane zgodnie z odrębnymi przepisami do kosztów uzyskania przychodów, w szczególności koszty ogólne budowy oraz koszty zarządu, koszty urządzenia, eksploatacji i likwidacji Placu Budowy (w tym: doprowadzenie energii i wody, budowa dróg dojazdowych, ogrodzenia, zaplecza biurowego, szatniowego i socjalnego itp.), koszty oznakowania Robót, wydatki na BHP, usługi obce na rzecz budowy, opłaty dzierżawcze, opłaty za zajęcie pasa drogowego, ekspertyzy dotyczące wykonanych Robót, koszty ogólne przedsiębiorstwa Wykonawcy, itp. </w:t>
      </w:r>
    </w:p>
    <w:p w14:paraId="4C07FB48" w14:textId="77777777" w:rsidR="009A5E24" w:rsidRPr="009A5E24" w:rsidRDefault="009A5E24" w:rsidP="009A5E24">
      <w:pPr>
        <w:rPr>
          <w:rFonts w:asciiTheme="minorHAnsi" w:hAnsiTheme="minorHAnsi" w:cstheme="minorHAnsi"/>
        </w:rPr>
      </w:pPr>
      <w:r w:rsidRPr="009A5E24">
        <w:rPr>
          <w:rFonts w:asciiTheme="minorHAnsi" w:hAnsiTheme="minorHAnsi" w:cstheme="minorHAnsi"/>
        </w:rPr>
        <w:t xml:space="preserve">– koszt uporządkowania Placu Budowy po zakończeniu Robót, </w:t>
      </w:r>
    </w:p>
    <w:p w14:paraId="693FCD73" w14:textId="77777777" w:rsidR="009A5E24" w:rsidRPr="009A5E24" w:rsidRDefault="009A5E24" w:rsidP="009A5E24">
      <w:pPr>
        <w:rPr>
          <w:rFonts w:asciiTheme="minorHAnsi" w:hAnsiTheme="minorHAnsi" w:cstheme="minorHAnsi"/>
        </w:rPr>
      </w:pPr>
      <w:r w:rsidRPr="009A5E24">
        <w:rPr>
          <w:rFonts w:asciiTheme="minorHAnsi" w:hAnsiTheme="minorHAnsi" w:cstheme="minorHAnsi"/>
        </w:rPr>
        <w:t xml:space="preserve">– zysk kalkulacyjny, zawierający też ewentualne ryzyka Wykonawcy z tytułu Kontraktu w całym okresie jego realizacji, łącznie z okresem gwarancyjnym, koszt ubezpieczenia Kontraktu, koszt gwarancji zwrotu zaliczki i Zabezpieczenia Należytego Wykonania, a także inne koszty i opłaty bankowe, finansowe i ubezpieczeniowe, </w:t>
      </w:r>
    </w:p>
    <w:p w14:paraId="4FB9B2E2" w14:textId="77777777" w:rsidR="009A5E24" w:rsidRPr="009A5E24" w:rsidRDefault="009A5E24" w:rsidP="009A5E24">
      <w:pPr>
        <w:rPr>
          <w:rFonts w:asciiTheme="minorHAnsi" w:hAnsiTheme="minorHAnsi" w:cstheme="minorHAnsi"/>
        </w:rPr>
      </w:pPr>
      <w:r w:rsidRPr="009A5E24">
        <w:rPr>
          <w:rFonts w:asciiTheme="minorHAnsi" w:hAnsiTheme="minorHAnsi" w:cstheme="minorHAnsi"/>
        </w:rPr>
        <w:t xml:space="preserve">– koszty uzyskania wymaganych uzgodnień, pozwoleń, decyzji administracyjnych i odszkodowań, </w:t>
      </w:r>
    </w:p>
    <w:p w14:paraId="2210567B" w14:textId="77777777" w:rsidR="009A5E24" w:rsidRPr="009A5E24" w:rsidRDefault="009A5E24" w:rsidP="009A5E24">
      <w:pPr>
        <w:rPr>
          <w:rFonts w:asciiTheme="minorHAnsi" w:hAnsiTheme="minorHAnsi" w:cstheme="minorHAnsi"/>
        </w:rPr>
      </w:pPr>
      <w:r w:rsidRPr="009A5E24">
        <w:rPr>
          <w:rFonts w:asciiTheme="minorHAnsi" w:hAnsiTheme="minorHAnsi" w:cstheme="minorHAnsi"/>
        </w:rPr>
        <w:t xml:space="preserve">– wszystkie koszty unieszkodliwienia odpadów, w tym opłaty środowiskowe, </w:t>
      </w:r>
    </w:p>
    <w:p w14:paraId="67D26002" w14:textId="77777777" w:rsidR="009A5E24" w:rsidRPr="009A5E24" w:rsidRDefault="009A5E24" w:rsidP="009A5E24">
      <w:pPr>
        <w:rPr>
          <w:rFonts w:asciiTheme="minorHAnsi" w:hAnsiTheme="minorHAnsi" w:cstheme="minorHAnsi"/>
        </w:rPr>
      </w:pPr>
      <w:r w:rsidRPr="009A5E24">
        <w:rPr>
          <w:rFonts w:asciiTheme="minorHAnsi" w:hAnsiTheme="minorHAnsi" w:cstheme="minorHAnsi"/>
        </w:rPr>
        <w:t xml:space="preserve">– pozostałe koszty wymienione w pkt. 9 (Podstawa płatności) poszczególnych Szczegółowych Specyfikacji Technicznych. </w:t>
      </w:r>
    </w:p>
    <w:p w14:paraId="0CBA16D4" w14:textId="77777777" w:rsidR="009A5E24" w:rsidRPr="009A5E24" w:rsidRDefault="009A5E24" w:rsidP="009A5E24">
      <w:pPr>
        <w:rPr>
          <w:rFonts w:asciiTheme="minorHAnsi" w:hAnsiTheme="minorHAnsi" w:cstheme="minorHAnsi"/>
        </w:rPr>
      </w:pPr>
      <w:r w:rsidRPr="009A5E24">
        <w:rPr>
          <w:rFonts w:asciiTheme="minorHAnsi" w:hAnsiTheme="minorHAnsi" w:cstheme="minorHAnsi"/>
        </w:rPr>
        <w:t xml:space="preserve">– ubezpieczenie, ochrona Materiałów, </w:t>
      </w:r>
    </w:p>
    <w:p w14:paraId="27250AC9" w14:textId="5A0A7E48" w:rsidR="00656AC1" w:rsidRPr="009A5E24" w:rsidRDefault="009A5E24" w:rsidP="009A5E24">
      <w:pPr>
        <w:rPr>
          <w:rFonts w:asciiTheme="minorHAnsi" w:hAnsiTheme="minorHAnsi" w:cstheme="minorHAnsi"/>
          <w:b/>
        </w:rPr>
      </w:pPr>
      <w:r w:rsidRPr="009A5E24">
        <w:rPr>
          <w:rFonts w:asciiTheme="minorHAnsi" w:hAnsiTheme="minorHAnsi" w:cstheme="minorHAnsi"/>
        </w:rPr>
        <w:t>– podatki obliczone zgodnie z obowiązującymi przepisami</w:t>
      </w:r>
    </w:p>
    <w:p w14:paraId="531B89D9" w14:textId="77777777" w:rsidR="00990137" w:rsidRPr="00A23FB4" w:rsidRDefault="00990137" w:rsidP="00990137">
      <w:pPr>
        <w:rPr>
          <w:rFonts w:ascii="Calibri" w:hAnsi="Calibri" w:cs="Calibri"/>
          <w:b/>
        </w:rPr>
      </w:pPr>
      <w:bookmarkStart w:id="36" w:name="_Toc416830707"/>
      <w:bookmarkStart w:id="37" w:name="_Toc6881288"/>
      <w:bookmarkStart w:id="38" w:name="_Toc6882161"/>
    </w:p>
    <w:p w14:paraId="628438F3" w14:textId="77777777" w:rsidR="00656AC1" w:rsidRPr="00A23FB4" w:rsidRDefault="00656AC1" w:rsidP="00990137">
      <w:pPr>
        <w:rPr>
          <w:rFonts w:ascii="Calibri" w:hAnsi="Calibri" w:cs="Calibri"/>
          <w:b/>
        </w:rPr>
      </w:pPr>
      <w:r w:rsidRPr="00A23FB4">
        <w:rPr>
          <w:rFonts w:ascii="Calibri" w:hAnsi="Calibri" w:cs="Calibri"/>
          <w:b/>
        </w:rPr>
        <w:t>10. PRZEPISY ZWIĄZANE</w:t>
      </w:r>
      <w:bookmarkEnd w:id="36"/>
      <w:bookmarkEnd w:id="37"/>
      <w:bookmarkEnd w:id="38"/>
    </w:p>
    <w:p w14:paraId="0589AA6E" w14:textId="77777777" w:rsidR="00656AC1" w:rsidRPr="00C86F6B" w:rsidRDefault="00656AC1" w:rsidP="00262498">
      <w:pPr>
        <w:pStyle w:val="tekstost"/>
        <w:numPr>
          <w:ilvl w:val="0"/>
          <w:numId w:val="9"/>
        </w:numPr>
        <w:ind w:left="0"/>
        <w:rPr>
          <w:rFonts w:ascii="Calibri" w:hAnsi="Calibri" w:cs="Calibri"/>
          <w:sz w:val="18"/>
          <w:szCs w:val="18"/>
        </w:rPr>
      </w:pPr>
      <w:r w:rsidRPr="00C86F6B">
        <w:rPr>
          <w:rFonts w:ascii="Calibri" w:hAnsi="Calibri" w:cs="Calibri"/>
          <w:sz w:val="18"/>
          <w:szCs w:val="18"/>
        </w:rPr>
        <w:t>Ustawa z dnia 7 lipca 1994 r. - Prawo budowlane (</w:t>
      </w:r>
      <w:r w:rsidR="00DB6B0E" w:rsidRPr="00C86F6B">
        <w:rPr>
          <w:rFonts w:ascii="Calibri" w:hAnsi="Calibri" w:cs="Calibri"/>
          <w:sz w:val="18"/>
          <w:szCs w:val="18"/>
        </w:rPr>
        <w:t xml:space="preserve">tekst jednolity </w:t>
      </w:r>
      <w:r w:rsidRPr="00C86F6B">
        <w:rPr>
          <w:rFonts w:ascii="Calibri" w:hAnsi="Calibri" w:cs="Calibri"/>
          <w:sz w:val="18"/>
          <w:szCs w:val="18"/>
        </w:rPr>
        <w:t xml:space="preserve">Dz. U. </w:t>
      </w:r>
      <w:r w:rsidR="00DB6B0E" w:rsidRPr="00C86F6B">
        <w:rPr>
          <w:rFonts w:ascii="Calibri" w:hAnsi="Calibri" w:cs="Calibri"/>
          <w:sz w:val="18"/>
          <w:szCs w:val="18"/>
        </w:rPr>
        <w:t>2021 poz. 2351</w:t>
      </w:r>
      <w:r w:rsidRPr="00C86F6B">
        <w:rPr>
          <w:rFonts w:ascii="Calibri" w:hAnsi="Calibri" w:cs="Calibri"/>
          <w:sz w:val="18"/>
          <w:szCs w:val="18"/>
        </w:rPr>
        <w:t>).</w:t>
      </w:r>
    </w:p>
    <w:p w14:paraId="0D5C03DF" w14:textId="77777777" w:rsidR="00656AC1" w:rsidRPr="00C86F6B" w:rsidRDefault="00656AC1" w:rsidP="00262498">
      <w:pPr>
        <w:pStyle w:val="tekstost"/>
        <w:numPr>
          <w:ilvl w:val="0"/>
          <w:numId w:val="9"/>
        </w:numPr>
        <w:ind w:left="0"/>
        <w:rPr>
          <w:rFonts w:ascii="Calibri" w:hAnsi="Calibri" w:cs="Calibri"/>
          <w:sz w:val="18"/>
          <w:szCs w:val="18"/>
        </w:rPr>
      </w:pPr>
      <w:r w:rsidRPr="00C86F6B">
        <w:rPr>
          <w:rFonts w:ascii="Calibri" w:hAnsi="Calibri" w:cs="Calibri"/>
          <w:sz w:val="18"/>
          <w:szCs w:val="18"/>
        </w:rPr>
        <w:t>Zarządzenie Ministra Infrastruktury z dnia 19 listopada 2001 r. w sprawie dziennika budowy, montażu i rozbiórki oraz tablicy informacyjnej (Dz. U. Nr 138, poz. 1555).</w:t>
      </w:r>
    </w:p>
    <w:p w14:paraId="1E0D478C" w14:textId="77777777" w:rsidR="00656AC1" w:rsidRPr="00C86F6B" w:rsidRDefault="00656AC1" w:rsidP="00262498">
      <w:pPr>
        <w:pStyle w:val="tekstost"/>
        <w:numPr>
          <w:ilvl w:val="0"/>
          <w:numId w:val="9"/>
        </w:numPr>
        <w:ind w:left="0"/>
        <w:rPr>
          <w:rFonts w:ascii="Calibri" w:hAnsi="Calibri" w:cs="Calibri"/>
          <w:sz w:val="18"/>
          <w:szCs w:val="18"/>
        </w:rPr>
      </w:pPr>
      <w:r w:rsidRPr="00C86F6B">
        <w:rPr>
          <w:rFonts w:ascii="Calibri" w:hAnsi="Calibri" w:cs="Calibri"/>
          <w:sz w:val="18"/>
          <w:szCs w:val="18"/>
        </w:rPr>
        <w:t>Ustawa z dnia 21 marca 1985 r. o drogach publicznych (</w:t>
      </w:r>
      <w:r w:rsidR="00DB6B0E" w:rsidRPr="00C86F6B">
        <w:rPr>
          <w:rFonts w:ascii="Calibri" w:hAnsi="Calibri" w:cs="Calibri"/>
          <w:sz w:val="18"/>
          <w:szCs w:val="18"/>
        </w:rPr>
        <w:t xml:space="preserve">tekst jednolity </w:t>
      </w:r>
      <w:r w:rsidRPr="00C86F6B">
        <w:rPr>
          <w:rFonts w:ascii="Calibri" w:hAnsi="Calibri" w:cs="Calibri"/>
          <w:sz w:val="18"/>
          <w:szCs w:val="18"/>
        </w:rPr>
        <w:t xml:space="preserve">Dz. U. </w:t>
      </w:r>
      <w:r w:rsidR="00DB6B0E" w:rsidRPr="00C86F6B">
        <w:rPr>
          <w:rFonts w:ascii="Calibri" w:hAnsi="Calibri" w:cs="Calibri"/>
          <w:sz w:val="18"/>
          <w:szCs w:val="18"/>
        </w:rPr>
        <w:t>2022 poz.1693</w:t>
      </w:r>
      <w:r w:rsidRPr="00C86F6B">
        <w:rPr>
          <w:rFonts w:ascii="Calibri" w:hAnsi="Calibri" w:cs="Calibri"/>
          <w:sz w:val="18"/>
          <w:szCs w:val="18"/>
        </w:rPr>
        <w:t>).</w:t>
      </w:r>
    </w:p>
    <w:p w14:paraId="24B98DAF" w14:textId="77777777" w:rsidR="009051F5" w:rsidRPr="00A23FB4" w:rsidRDefault="009051F5" w:rsidP="00523702">
      <w:pPr>
        <w:rPr>
          <w:rFonts w:ascii="Calibri" w:hAnsi="Calibri" w:cs="Calibri"/>
          <w:b/>
          <w:sz w:val="22"/>
          <w:szCs w:val="22"/>
        </w:rPr>
      </w:pPr>
    </w:p>
    <w:p w14:paraId="4954026A" w14:textId="4AD25A04" w:rsidR="009A61EA" w:rsidRPr="00A23FB4" w:rsidRDefault="009A61EA">
      <w:pPr>
        <w:overflowPunct/>
        <w:autoSpaceDE/>
        <w:autoSpaceDN/>
        <w:adjustRightInd/>
        <w:jc w:val="left"/>
        <w:textAlignment w:val="auto"/>
        <w:rPr>
          <w:rFonts w:ascii="Calibri" w:hAnsi="Calibri" w:cs="Calibri"/>
          <w:b/>
          <w:sz w:val="22"/>
          <w:szCs w:val="22"/>
        </w:rPr>
      </w:pPr>
    </w:p>
    <w:p w14:paraId="58ECA683" w14:textId="77777777" w:rsidR="001A73F7" w:rsidRDefault="001A73F7">
      <w:pPr>
        <w:overflowPunct/>
        <w:autoSpaceDE/>
        <w:autoSpaceDN/>
        <w:adjustRightInd/>
        <w:jc w:val="left"/>
        <w:textAlignment w:val="auto"/>
        <w:rPr>
          <w:rFonts w:ascii="Calibri" w:hAnsi="Calibri" w:cs="Calibri"/>
          <w:b/>
          <w:sz w:val="22"/>
          <w:szCs w:val="22"/>
        </w:rPr>
      </w:pPr>
      <w:r>
        <w:rPr>
          <w:rFonts w:ascii="Calibri" w:hAnsi="Calibri" w:cs="Calibri"/>
          <w:b/>
          <w:sz w:val="22"/>
          <w:szCs w:val="22"/>
        </w:rPr>
        <w:br w:type="page"/>
      </w:r>
    </w:p>
    <w:p w14:paraId="36ED7B98" w14:textId="14C15BD5" w:rsidR="00877526" w:rsidRPr="00A23FB4" w:rsidRDefault="00EE6D03" w:rsidP="007E255D">
      <w:pPr>
        <w:spacing w:line="360" w:lineRule="auto"/>
        <w:jc w:val="center"/>
        <w:rPr>
          <w:rFonts w:ascii="Calibri" w:hAnsi="Calibri" w:cs="Calibri"/>
          <w:b/>
          <w:sz w:val="22"/>
          <w:szCs w:val="22"/>
        </w:rPr>
      </w:pPr>
      <w:r>
        <w:rPr>
          <w:rFonts w:ascii="Calibri" w:hAnsi="Calibri" w:cs="Calibri"/>
          <w:b/>
          <w:sz w:val="22"/>
          <w:szCs w:val="22"/>
        </w:rPr>
        <w:t>SZCZEGÓŁOWE SPECYFIKACJE TECHNICZNE</w:t>
      </w:r>
      <w:r w:rsidR="00877526" w:rsidRPr="00A23FB4">
        <w:rPr>
          <w:rFonts w:ascii="Calibri" w:hAnsi="Calibri" w:cs="Calibri"/>
          <w:b/>
          <w:sz w:val="22"/>
          <w:szCs w:val="22"/>
        </w:rPr>
        <w:t xml:space="preserve"> WYKONANIA I ODBIORU ROBÓT BUDOWLANYCH</w:t>
      </w:r>
    </w:p>
    <w:p w14:paraId="4FAB3CF3" w14:textId="77777777" w:rsidR="00877526" w:rsidRPr="00A23FB4" w:rsidRDefault="00877526" w:rsidP="007E255D">
      <w:pPr>
        <w:pStyle w:val="Nagowek1"/>
        <w:spacing w:before="0"/>
      </w:pPr>
      <w:bookmarkStart w:id="39" w:name="_Toc352837477"/>
      <w:bookmarkStart w:id="40" w:name="_Toc460177598"/>
      <w:bookmarkStart w:id="41" w:name="_Toc206275465"/>
      <w:r w:rsidRPr="00A23FB4">
        <w:t>D-01.01.01 ODTWORZENIE TRASY I PUNKTÓW WYSOKOŚCIOWYCH</w:t>
      </w:r>
      <w:bookmarkEnd w:id="39"/>
      <w:bookmarkEnd w:id="40"/>
      <w:bookmarkEnd w:id="41"/>
    </w:p>
    <w:p w14:paraId="774E2219" w14:textId="77777777" w:rsidR="00877526" w:rsidRPr="00A23FB4" w:rsidRDefault="00877526" w:rsidP="00877526"/>
    <w:p w14:paraId="0B7F0189" w14:textId="77777777" w:rsidR="00877526" w:rsidRPr="00A23FB4" w:rsidRDefault="00877526" w:rsidP="00877526">
      <w:pPr>
        <w:rPr>
          <w:rFonts w:ascii="Calibri" w:hAnsi="Calibri" w:cs="Calibri"/>
          <w:b/>
        </w:rPr>
      </w:pPr>
      <w:r w:rsidRPr="00A23FB4">
        <w:rPr>
          <w:rFonts w:ascii="Calibri" w:hAnsi="Calibri" w:cs="Calibri"/>
          <w:b/>
        </w:rPr>
        <w:t>1. WSTĘP</w:t>
      </w:r>
    </w:p>
    <w:p w14:paraId="226AA057" w14:textId="1E330B70" w:rsidR="00877526" w:rsidRPr="00A23FB4" w:rsidRDefault="00877526" w:rsidP="00877526">
      <w:pPr>
        <w:pStyle w:val="Nagwek4"/>
        <w:rPr>
          <w:rFonts w:ascii="Calibri" w:hAnsi="Calibri" w:cs="Calibri"/>
        </w:rPr>
      </w:pPr>
      <w:r w:rsidRPr="00A23FB4">
        <w:rPr>
          <w:rFonts w:ascii="Calibri" w:hAnsi="Calibri" w:cs="Calibri"/>
        </w:rPr>
        <w:t xml:space="preserve">1.1.Przedmiot </w:t>
      </w:r>
      <w:r w:rsidR="00D33A38">
        <w:rPr>
          <w:rFonts w:ascii="Calibri" w:hAnsi="Calibri" w:cs="Calibri"/>
        </w:rPr>
        <w:t>ST</w:t>
      </w:r>
      <w:r w:rsidRPr="00A23FB4">
        <w:rPr>
          <w:rFonts w:ascii="Calibri" w:hAnsi="Calibri" w:cs="Calibri"/>
        </w:rPr>
        <w:t>WiORB</w:t>
      </w:r>
    </w:p>
    <w:p w14:paraId="6F95EC97" w14:textId="7DB8A09C" w:rsidR="00877526" w:rsidRPr="00A23FB4" w:rsidRDefault="00877526" w:rsidP="00877526">
      <w:pPr>
        <w:tabs>
          <w:tab w:val="left" w:pos="0"/>
        </w:tabs>
        <w:rPr>
          <w:rFonts w:ascii="Calibri" w:hAnsi="Calibri" w:cs="Calibri"/>
        </w:rPr>
      </w:pPr>
      <w:r w:rsidRPr="00A23FB4">
        <w:rPr>
          <w:rFonts w:ascii="Calibri" w:hAnsi="Calibri" w:cs="Calibri"/>
        </w:rPr>
        <w:t>Przedmiotem niniejsz</w:t>
      </w:r>
      <w:r w:rsidR="001A73F7">
        <w:rPr>
          <w:rFonts w:ascii="Calibri" w:hAnsi="Calibri" w:cs="Calibri"/>
        </w:rPr>
        <w:t>ej</w:t>
      </w:r>
      <w:r w:rsidRPr="00A23FB4">
        <w:rPr>
          <w:rFonts w:ascii="Calibri" w:hAnsi="Calibri" w:cs="Calibri"/>
        </w:rPr>
        <w:t xml:space="preserve"> </w:t>
      </w:r>
      <w:r w:rsidR="00CC3578">
        <w:rPr>
          <w:rFonts w:ascii="Calibri" w:hAnsi="Calibri" w:cs="Calibri"/>
        </w:rPr>
        <w:t>specyfikacji</w:t>
      </w:r>
      <w:r w:rsidRPr="00A23FB4">
        <w:rPr>
          <w:rFonts w:ascii="Calibri" w:hAnsi="Calibri" w:cs="Calibri"/>
        </w:rPr>
        <w:t xml:space="preserve"> są wymagania dotyczące wykonan</w:t>
      </w:r>
      <w:r w:rsidR="0050007F" w:rsidRPr="00A23FB4">
        <w:rPr>
          <w:rFonts w:ascii="Calibri" w:hAnsi="Calibri" w:cs="Calibri"/>
        </w:rPr>
        <w:t>ia i odbioru robót związanych z </w:t>
      </w:r>
      <w:r w:rsidRPr="00A23FB4">
        <w:rPr>
          <w:rFonts w:ascii="Calibri" w:hAnsi="Calibri" w:cs="Calibri"/>
        </w:rPr>
        <w:t>odtworzeniem trasy drogowej i jej punktów wysokościowych.</w:t>
      </w:r>
    </w:p>
    <w:p w14:paraId="65A24587" w14:textId="1781CAF8" w:rsidR="00877526" w:rsidRPr="00A23FB4" w:rsidRDefault="00877526" w:rsidP="00877526">
      <w:pPr>
        <w:pStyle w:val="Nagwek4"/>
        <w:rPr>
          <w:rFonts w:ascii="Calibri" w:hAnsi="Calibri" w:cs="Calibri"/>
        </w:rPr>
      </w:pPr>
      <w:r w:rsidRPr="00A23FB4">
        <w:rPr>
          <w:rFonts w:ascii="Calibri" w:hAnsi="Calibri" w:cs="Calibri"/>
        </w:rPr>
        <w:t xml:space="preserve">1.2. Zakres stosowania </w:t>
      </w:r>
      <w:r w:rsidR="00D33A38">
        <w:rPr>
          <w:rFonts w:ascii="Calibri" w:hAnsi="Calibri" w:cs="Calibri"/>
        </w:rPr>
        <w:t>ST</w:t>
      </w:r>
      <w:r w:rsidRPr="00A23FB4">
        <w:rPr>
          <w:rFonts w:ascii="Calibri" w:hAnsi="Calibri" w:cs="Calibri"/>
        </w:rPr>
        <w:t>WiORB</w:t>
      </w:r>
    </w:p>
    <w:p w14:paraId="570909F3" w14:textId="6B29982D" w:rsidR="008E1F4E" w:rsidRPr="00D33A38" w:rsidRDefault="00575C66" w:rsidP="008E1F4E">
      <w:pPr>
        <w:overflowPunct/>
        <w:spacing w:before="240" w:line="276" w:lineRule="auto"/>
        <w:textAlignment w:val="auto"/>
        <w:rPr>
          <w:rFonts w:ascii="Calibri" w:hAnsi="Calibri" w:cs="Calibri"/>
          <w:i/>
        </w:rPr>
      </w:pPr>
      <w:r>
        <w:rPr>
          <w:rFonts w:ascii="Calibri" w:hAnsi="Calibri" w:cs="Calibri"/>
        </w:rPr>
        <w:t>Specyfikacj</w:t>
      </w:r>
      <w:r w:rsidR="001A73F7">
        <w:rPr>
          <w:rFonts w:ascii="Calibri" w:hAnsi="Calibri" w:cs="Calibri"/>
        </w:rPr>
        <w:t>a</w:t>
      </w:r>
      <w:r w:rsidRPr="00A23FB4">
        <w:rPr>
          <w:rFonts w:ascii="Calibri" w:hAnsi="Calibri" w:cs="Calibri"/>
        </w:rPr>
        <w:t xml:space="preserve"> </w:t>
      </w:r>
      <w:r w:rsidR="00877526" w:rsidRPr="00A23FB4">
        <w:rPr>
          <w:rFonts w:ascii="Calibri" w:hAnsi="Calibri" w:cs="Calibri"/>
        </w:rPr>
        <w:t>stanowi dokument kontraktowy przy realizacji  zadania</w:t>
      </w:r>
      <w:r w:rsidR="00DB6B0E" w:rsidRPr="00A23FB4">
        <w:rPr>
          <w:rFonts w:asciiTheme="minorHAnsi" w:hAnsiTheme="minorHAnsi" w:cstheme="minorHAnsi"/>
          <w:bCs/>
        </w:rPr>
        <w:t xml:space="preserve"> </w:t>
      </w:r>
      <w:r w:rsidR="00506838">
        <w:rPr>
          <w:rFonts w:ascii="Calibri" w:hAnsi="Calibri" w:cs="Calibri"/>
        </w:rPr>
        <w:t>„</w:t>
      </w:r>
      <w:r w:rsidR="00D33A38" w:rsidRPr="00D33A38">
        <w:rPr>
          <w:rFonts w:ascii="Calibri" w:hAnsi="Calibri" w:cs="Calibri"/>
          <w:i/>
        </w:rPr>
        <w:t>Rozbudowa ul. Wrocławskiej w ciągu drogi powiatowej w Tyńcu Małym wraz z rozbudową istniejącego skrzyżowania typu rondo na połączeniu dróg krajowych nr 35 i 35a oraz łącznika węzła Kobierzyce drogi S8e oraz infrastrukturą towarzyszącą w ramach zadania „Rozbudowa skrzyżowania typu rondo w ciągu DK35 koło m. Tyniec Mały usprawniająca skomunikowanie obszarów Podstrefy Wrocław – Kobierzyce TSSE EURO PARK WISŁOSAN”.</w:t>
      </w:r>
    </w:p>
    <w:p w14:paraId="6538B05A" w14:textId="77777777" w:rsidR="008E1F4E" w:rsidRPr="008E1F4E" w:rsidRDefault="008E1F4E" w:rsidP="008E1F4E">
      <w:pPr>
        <w:overflowPunct/>
        <w:spacing w:before="240" w:line="276" w:lineRule="auto"/>
        <w:textAlignment w:val="auto"/>
        <w:rPr>
          <w:rFonts w:ascii="Calibri" w:hAnsi="Calibri" w:cs="Calibri"/>
          <w:b/>
          <w:bCs/>
        </w:rPr>
      </w:pPr>
    </w:p>
    <w:p w14:paraId="77D9AEDA" w14:textId="3B0A0402" w:rsidR="00877526" w:rsidRPr="008E1F4E" w:rsidRDefault="00877526" w:rsidP="008E1F4E">
      <w:pPr>
        <w:rPr>
          <w:rFonts w:ascii="Calibri" w:hAnsi="Calibri" w:cs="Calibri"/>
          <w:b/>
          <w:bCs/>
        </w:rPr>
      </w:pPr>
      <w:r w:rsidRPr="008E1F4E">
        <w:rPr>
          <w:rFonts w:ascii="Calibri" w:hAnsi="Calibri" w:cs="Calibri"/>
          <w:b/>
          <w:bCs/>
        </w:rPr>
        <w:t xml:space="preserve">1.3. Zakres robót objętych </w:t>
      </w:r>
      <w:r w:rsidR="00D33A38">
        <w:rPr>
          <w:rFonts w:ascii="Calibri" w:hAnsi="Calibri" w:cs="Calibri"/>
          <w:b/>
          <w:bCs/>
        </w:rPr>
        <w:t>ST</w:t>
      </w:r>
      <w:r w:rsidRPr="008E1F4E">
        <w:rPr>
          <w:rFonts w:ascii="Calibri" w:hAnsi="Calibri" w:cs="Calibri"/>
          <w:b/>
          <w:bCs/>
        </w:rPr>
        <w:t>WiORB</w:t>
      </w:r>
    </w:p>
    <w:p w14:paraId="7515CF1D" w14:textId="6FA1F3F4" w:rsidR="00877526" w:rsidRPr="00A23FB4" w:rsidRDefault="00877526" w:rsidP="00577B07">
      <w:pPr>
        <w:tabs>
          <w:tab w:val="left" w:pos="0"/>
        </w:tabs>
        <w:spacing w:after="240"/>
        <w:rPr>
          <w:rFonts w:ascii="Calibri" w:hAnsi="Calibri" w:cs="Calibri"/>
        </w:rPr>
      </w:pPr>
      <w:r w:rsidRPr="00A23FB4">
        <w:rPr>
          <w:rFonts w:ascii="Calibri" w:hAnsi="Calibri" w:cs="Calibri"/>
        </w:rPr>
        <w:t xml:space="preserve">Ustalenia zawarte w niniejszych </w:t>
      </w:r>
      <w:r w:rsidR="00CC3578">
        <w:rPr>
          <w:rFonts w:ascii="Calibri" w:hAnsi="Calibri" w:cs="Calibri"/>
        </w:rPr>
        <w:t>specyfikacjach</w:t>
      </w:r>
      <w:r w:rsidRPr="00A23FB4">
        <w:rPr>
          <w:rFonts w:ascii="Calibri" w:hAnsi="Calibri" w:cs="Calibri"/>
        </w:rPr>
        <w:t xml:space="preserve"> dotyczą zasad prowadzenia robót związanych z wszystkimi czynnościami umożliwiającymi i mającymi na celu odtworzenie w terenie przebiegu trasy drogowej oraz położenia obiektów inżynierskich.</w:t>
      </w:r>
    </w:p>
    <w:p w14:paraId="60B7775B" w14:textId="77777777" w:rsidR="00877526" w:rsidRPr="00A23FB4" w:rsidRDefault="00877526" w:rsidP="00877526">
      <w:pPr>
        <w:tabs>
          <w:tab w:val="left" w:pos="0"/>
        </w:tabs>
        <w:rPr>
          <w:rFonts w:ascii="Calibri" w:hAnsi="Calibri" w:cs="Calibri"/>
          <w:b/>
          <w:bCs/>
          <w:iCs/>
        </w:rPr>
      </w:pPr>
      <w:r w:rsidRPr="00A23FB4">
        <w:rPr>
          <w:rFonts w:ascii="Calibri" w:hAnsi="Calibri" w:cs="Calibri"/>
          <w:b/>
          <w:bCs/>
          <w:iCs/>
        </w:rPr>
        <w:t>1.3.1. Odtworzenie trasy i punktów wysokościowych</w:t>
      </w:r>
    </w:p>
    <w:p w14:paraId="796AC695" w14:textId="77777777" w:rsidR="00877526" w:rsidRPr="00A23FB4" w:rsidRDefault="00877526" w:rsidP="00877526">
      <w:pPr>
        <w:tabs>
          <w:tab w:val="left" w:pos="0"/>
        </w:tabs>
        <w:rPr>
          <w:rFonts w:ascii="Calibri" w:hAnsi="Calibri" w:cs="Calibri"/>
        </w:rPr>
      </w:pPr>
      <w:r w:rsidRPr="00A23FB4">
        <w:rPr>
          <w:rFonts w:ascii="Calibri" w:hAnsi="Calibri" w:cs="Calibri"/>
        </w:rPr>
        <w:t>W zakres robót pomiarowych, związanych z odtworzeniem trasy i punktów wysokościowych wchodzą:</w:t>
      </w:r>
    </w:p>
    <w:p w14:paraId="10512AE2" w14:textId="77777777" w:rsidR="00877526" w:rsidRPr="00A23FB4" w:rsidRDefault="00877526" w:rsidP="00262498">
      <w:pPr>
        <w:numPr>
          <w:ilvl w:val="0"/>
          <w:numId w:val="10"/>
        </w:numPr>
        <w:tabs>
          <w:tab w:val="left" w:pos="0"/>
        </w:tabs>
        <w:rPr>
          <w:rFonts w:ascii="Calibri" w:hAnsi="Calibri" w:cs="Calibri"/>
        </w:rPr>
      </w:pPr>
      <w:r w:rsidRPr="00A23FB4">
        <w:rPr>
          <w:rFonts w:ascii="Calibri" w:hAnsi="Calibri" w:cs="Calibri"/>
        </w:rPr>
        <w:t>sprawdzenie wyznaczenia sytuacyjnego i wysokościowego punktów głównych osi trasy i punktów wysokościowych,</w:t>
      </w:r>
    </w:p>
    <w:p w14:paraId="14E6D12F" w14:textId="77777777" w:rsidR="00877526" w:rsidRPr="00A23FB4" w:rsidRDefault="00877526" w:rsidP="00262498">
      <w:pPr>
        <w:numPr>
          <w:ilvl w:val="0"/>
          <w:numId w:val="10"/>
        </w:numPr>
        <w:tabs>
          <w:tab w:val="left" w:pos="0"/>
        </w:tabs>
        <w:rPr>
          <w:rFonts w:ascii="Calibri" w:hAnsi="Calibri" w:cs="Calibri"/>
        </w:rPr>
      </w:pPr>
      <w:r w:rsidRPr="00A23FB4">
        <w:rPr>
          <w:rFonts w:ascii="Calibri" w:hAnsi="Calibri" w:cs="Calibri"/>
        </w:rPr>
        <w:t>uzupełnienie osi trasy dodatkowymi punktami (wyznaczenie osi),</w:t>
      </w:r>
    </w:p>
    <w:p w14:paraId="75F3AA93" w14:textId="77777777" w:rsidR="00877526" w:rsidRPr="00A23FB4" w:rsidRDefault="00877526" w:rsidP="00262498">
      <w:pPr>
        <w:numPr>
          <w:ilvl w:val="0"/>
          <w:numId w:val="10"/>
        </w:numPr>
        <w:tabs>
          <w:tab w:val="left" w:pos="0"/>
        </w:tabs>
        <w:rPr>
          <w:rFonts w:ascii="Calibri" w:hAnsi="Calibri" w:cs="Calibri"/>
        </w:rPr>
      </w:pPr>
      <w:r w:rsidRPr="00A23FB4">
        <w:rPr>
          <w:rFonts w:ascii="Calibri" w:hAnsi="Calibri" w:cs="Calibri"/>
        </w:rPr>
        <w:t>wyznaczenie dodatkowych punktów wysokościowych (reperów roboczych),</w:t>
      </w:r>
    </w:p>
    <w:p w14:paraId="1FE3B394" w14:textId="77777777" w:rsidR="00877526" w:rsidRPr="00A23FB4" w:rsidRDefault="00877526" w:rsidP="00262498">
      <w:pPr>
        <w:numPr>
          <w:ilvl w:val="0"/>
          <w:numId w:val="10"/>
        </w:numPr>
        <w:tabs>
          <w:tab w:val="left" w:pos="0"/>
        </w:tabs>
        <w:rPr>
          <w:rFonts w:ascii="Calibri" w:hAnsi="Calibri" w:cs="Calibri"/>
        </w:rPr>
      </w:pPr>
      <w:r w:rsidRPr="00A23FB4">
        <w:rPr>
          <w:rFonts w:ascii="Calibri" w:hAnsi="Calibri" w:cs="Calibri"/>
        </w:rPr>
        <w:t>wyznaczenie przekrojów poprzecznych,</w:t>
      </w:r>
    </w:p>
    <w:p w14:paraId="7D6CF713" w14:textId="77777777" w:rsidR="00877526" w:rsidRPr="00A23FB4" w:rsidRDefault="00877526" w:rsidP="00262498">
      <w:pPr>
        <w:numPr>
          <w:ilvl w:val="0"/>
          <w:numId w:val="10"/>
        </w:numPr>
        <w:tabs>
          <w:tab w:val="left" w:pos="0"/>
        </w:tabs>
        <w:rPr>
          <w:rFonts w:ascii="Calibri" w:hAnsi="Calibri" w:cs="Calibri"/>
        </w:rPr>
      </w:pPr>
      <w:r w:rsidRPr="00A23FB4">
        <w:rPr>
          <w:rFonts w:ascii="Calibri" w:hAnsi="Calibri" w:cs="Calibri"/>
        </w:rPr>
        <w:t>zastabilizowanie punktów w sposób trwały, ochrona ich przed zniszczeniem oraz oznakowanie w sposób ułatwiający odszukanie i ewentualne odtworzenie.</w:t>
      </w:r>
    </w:p>
    <w:p w14:paraId="584F8A96" w14:textId="77777777" w:rsidR="00877526" w:rsidRPr="00A23FB4" w:rsidRDefault="00877526" w:rsidP="00877526">
      <w:pPr>
        <w:pStyle w:val="Nagwek4"/>
        <w:rPr>
          <w:rFonts w:ascii="Calibri" w:hAnsi="Calibri" w:cs="Calibri"/>
        </w:rPr>
      </w:pPr>
      <w:r w:rsidRPr="00A23FB4">
        <w:rPr>
          <w:rFonts w:ascii="Calibri" w:hAnsi="Calibri" w:cs="Calibri"/>
        </w:rPr>
        <w:t>1.4. Określenia podstawowe</w:t>
      </w:r>
    </w:p>
    <w:p w14:paraId="7E8491E7" w14:textId="77777777" w:rsidR="00877526" w:rsidRPr="00A23FB4" w:rsidRDefault="00877526" w:rsidP="00877526">
      <w:pPr>
        <w:pStyle w:val="Nagwek7"/>
        <w:rPr>
          <w:rFonts w:ascii="Calibri" w:hAnsi="Calibri" w:cs="Calibri"/>
        </w:rPr>
      </w:pPr>
      <w:r w:rsidRPr="00A23FB4">
        <w:rPr>
          <w:rFonts w:ascii="Calibri" w:hAnsi="Calibri" w:cs="Calibri"/>
          <w:b/>
          <w:bCs/>
          <w:i/>
          <w:iCs/>
        </w:rPr>
        <w:t>1.4.1.</w:t>
      </w:r>
      <w:r w:rsidRPr="00A23FB4">
        <w:rPr>
          <w:rFonts w:ascii="Calibri" w:hAnsi="Calibri" w:cs="Calibri"/>
        </w:rPr>
        <w:t>Punkty główne trasy - punkty załamania osi trasy, punkty kierunkowe oraz początkowy i końcowy punkt trasy.</w:t>
      </w:r>
    </w:p>
    <w:p w14:paraId="3EDE3CF6" w14:textId="248CE105" w:rsidR="00877526" w:rsidRPr="00A23FB4" w:rsidRDefault="00877526" w:rsidP="00877526">
      <w:pPr>
        <w:pStyle w:val="Nagwek7"/>
        <w:rPr>
          <w:rFonts w:ascii="Calibri" w:hAnsi="Calibri" w:cs="Calibri"/>
        </w:rPr>
      </w:pPr>
      <w:r w:rsidRPr="00A23FB4">
        <w:rPr>
          <w:rFonts w:ascii="Calibri" w:hAnsi="Calibri" w:cs="Calibri"/>
          <w:b/>
          <w:bCs/>
          <w:i/>
          <w:iCs/>
        </w:rPr>
        <w:t>1.4.2.</w:t>
      </w:r>
      <w:r w:rsidRPr="00A23FB4">
        <w:rPr>
          <w:rFonts w:ascii="Calibri" w:hAnsi="Calibri" w:cs="Calibri"/>
        </w:rPr>
        <w:t xml:space="preserve">Pozostałe określenia podstawowe są zgodne z obowiązującymi, odpowiednimi polskimi normami i z definicjami podanymi w </w:t>
      </w:r>
      <w:r w:rsidR="00D33A38">
        <w:rPr>
          <w:rFonts w:ascii="Calibri" w:hAnsi="Calibri" w:cs="Calibri"/>
        </w:rPr>
        <w:t>ST</w:t>
      </w:r>
      <w:r w:rsidRPr="00A23FB4">
        <w:rPr>
          <w:rFonts w:ascii="Calibri" w:hAnsi="Calibri" w:cs="Calibri"/>
        </w:rPr>
        <w:t>WiORB D-M-00.00.00 „Wymagania ogólne” pkt 1.4.</w:t>
      </w:r>
    </w:p>
    <w:p w14:paraId="6ED56E86" w14:textId="77777777" w:rsidR="00877526" w:rsidRPr="00A23FB4" w:rsidRDefault="00877526" w:rsidP="00877526">
      <w:pPr>
        <w:pStyle w:val="Nagwek4"/>
        <w:rPr>
          <w:rFonts w:ascii="Calibri" w:hAnsi="Calibri" w:cs="Calibri"/>
        </w:rPr>
      </w:pPr>
      <w:r w:rsidRPr="00A23FB4">
        <w:rPr>
          <w:rFonts w:ascii="Calibri" w:hAnsi="Calibri" w:cs="Calibri"/>
        </w:rPr>
        <w:t>1.5. Ogólne wymagania dotyczące robót</w:t>
      </w:r>
    </w:p>
    <w:p w14:paraId="0CFDFDA0" w14:textId="0B74A5DD" w:rsidR="00877526" w:rsidRPr="00A23FB4" w:rsidRDefault="00877526" w:rsidP="00877526">
      <w:pPr>
        <w:tabs>
          <w:tab w:val="left" w:pos="0"/>
        </w:tabs>
        <w:rPr>
          <w:rFonts w:ascii="Calibri" w:hAnsi="Calibri" w:cs="Calibri"/>
        </w:rPr>
      </w:pPr>
      <w:r w:rsidRPr="00A23FB4">
        <w:rPr>
          <w:rFonts w:ascii="Calibri" w:hAnsi="Calibri" w:cs="Calibri"/>
        </w:rPr>
        <w:t xml:space="preserve">Ogólne wymagania dotyczące robót podano w </w:t>
      </w:r>
      <w:r w:rsidR="00D33A38">
        <w:rPr>
          <w:rFonts w:ascii="Calibri" w:hAnsi="Calibri" w:cs="Calibri"/>
        </w:rPr>
        <w:t>ST</w:t>
      </w:r>
      <w:r w:rsidRPr="00A23FB4">
        <w:rPr>
          <w:rFonts w:ascii="Calibri" w:hAnsi="Calibri" w:cs="Calibri"/>
        </w:rPr>
        <w:t>WiORB D-M-00.00.00 „Wymagania ogólne” pkt 1.5.</w:t>
      </w:r>
    </w:p>
    <w:p w14:paraId="06F788D1" w14:textId="77777777" w:rsidR="00877526" w:rsidRPr="00A23FB4" w:rsidRDefault="00877526" w:rsidP="00877526">
      <w:pPr>
        <w:rPr>
          <w:rFonts w:ascii="Calibri" w:hAnsi="Calibri" w:cs="Calibri"/>
          <w:b/>
        </w:rPr>
      </w:pPr>
    </w:p>
    <w:p w14:paraId="61487B69" w14:textId="77777777" w:rsidR="00877526" w:rsidRPr="00A23FB4" w:rsidRDefault="00877526" w:rsidP="00877526">
      <w:pPr>
        <w:rPr>
          <w:rFonts w:ascii="Calibri" w:hAnsi="Calibri" w:cs="Calibri"/>
          <w:b/>
        </w:rPr>
      </w:pPr>
      <w:r w:rsidRPr="00A23FB4">
        <w:rPr>
          <w:rFonts w:ascii="Calibri" w:hAnsi="Calibri" w:cs="Calibri"/>
          <w:b/>
        </w:rPr>
        <w:t>2. MATERIAŁY</w:t>
      </w:r>
    </w:p>
    <w:p w14:paraId="34B361E8" w14:textId="77777777" w:rsidR="00877526" w:rsidRPr="00A23FB4" w:rsidRDefault="00877526" w:rsidP="00877526">
      <w:pPr>
        <w:pStyle w:val="Nagwek4"/>
        <w:rPr>
          <w:rFonts w:ascii="Calibri" w:hAnsi="Calibri" w:cs="Calibri"/>
        </w:rPr>
      </w:pPr>
      <w:r w:rsidRPr="00A23FB4">
        <w:rPr>
          <w:rFonts w:ascii="Calibri" w:hAnsi="Calibri" w:cs="Calibri"/>
        </w:rPr>
        <w:t>2.1. Ogólne wymagania dotyczące materiałów</w:t>
      </w:r>
    </w:p>
    <w:p w14:paraId="60BFD74C" w14:textId="019BB1BA" w:rsidR="00877526" w:rsidRPr="00A23FB4" w:rsidRDefault="00877526" w:rsidP="00877526">
      <w:pPr>
        <w:tabs>
          <w:tab w:val="left" w:pos="0"/>
        </w:tabs>
        <w:rPr>
          <w:rFonts w:ascii="Calibri" w:hAnsi="Calibri" w:cs="Calibri"/>
        </w:rPr>
      </w:pPr>
      <w:r w:rsidRPr="00A23FB4">
        <w:rPr>
          <w:rFonts w:ascii="Calibri" w:hAnsi="Calibri" w:cs="Calibri"/>
        </w:rPr>
        <w:t xml:space="preserve">Ogólne wymagania dotyczące materiałów, ich pozyskiwania i składowania podano w </w:t>
      </w:r>
      <w:r w:rsidR="00D33A38">
        <w:rPr>
          <w:rFonts w:ascii="Calibri" w:hAnsi="Calibri" w:cs="Calibri"/>
        </w:rPr>
        <w:t>ST</w:t>
      </w:r>
      <w:r w:rsidRPr="00A23FB4">
        <w:rPr>
          <w:rFonts w:ascii="Calibri" w:hAnsi="Calibri" w:cs="Calibri"/>
        </w:rPr>
        <w:t>WiORB D-M-00.00.00 „Wymagania ogólne” pkt 2.</w:t>
      </w:r>
    </w:p>
    <w:p w14:paraId="3AB36C88" w14:textId="77777777" w:rsidR="00877526" w:rsidRPr="00A23FB4" w:rsidRDefault="00877526" w:rsidP="00877526">
      <w:pPr>
        <w:pStyle w:val="Nagwek4"/>
        <w:rPr>
          <w:rFonts w:ascii="Calibri" w:hAnsi="Calibri" w:cs="Calibri"/>
        </w:rPr>
      </w:pPr>
      <w:r w:rsidRPr="00A23FB4">
        <w:rPr>
          <w:rFonts w:ascii="Calibri" w:hAnsi="Calibri" w:cs="Calibri"/>
        </w:rPr>
        <w:t>2.2. Rodzaje materiałów</w:t>
      </w:r>
    </w:p>
    <w:p w14:paraId="105762CB" w14:textId="77777777" w:rsidR="00877526" w:rsidRPr="00A23FB4" w:rsidRDefault="00877526" w:rsidP="00877526">
      <w:pPr>
        <w:tabs>
          <w:tab w:val="left" w:pos="0"/>
        </w:tabs>
        <w:rPr>
          <w:rFonts w:ascii="Calibri" w:hAnsi="Calibri" w:cs="Calibri"/>
        </w:rPr>
      </w:pPr>
      <w:r w:rsidRPr="00A23FB4">
        <w:rPr>
          <w:rFonts w:ascii="Calibri" w:hAnsi="Calibri" w:cs="Calibri"/>
        </w:rPr>
        <w:t>Do utrwalenia punktów głównych trasy należy stosować pale drewniane z gwoździem lub prętem stalowym, słupki betonowe albo rury metalowe o długości około 0,50 metra.</w:t>
      </w:r>
    </w:p>
    <w:p w14:paraId="0375C0DE" w14:textId="77777777" w:rsidR="00877526" w:rsidRPr="00A23FB4" w:rsidRDefault="00877526" w:rsidP="00877526">
      <w:pPr>
        <w:tabs>
          <w:tab w:val="left" w:pos="0"/>
        </w:tabs>
        <w:rPr>
          <w:rFonts w:ascii="Calibri" w:hAnsi="Calibri" w:cs="Calibri"/>
        </w:rPr>
      </w:pPr>
      <w:r w:rsidRPr="00A23FB4">
        <w:rPr>
          <w:rFonts w:ascii="Calibri" w:hAnsi="Calibri" w:cs="Calibri"/>
        </w:rPr>
        <w:t>Pale drewniane umieszczone poza granicą robót ziemnych, w sąsiedztwie punktów załamania trasy, powinny mieć średnicę od  0,15 do 0,20 m  i długość od 1,5 do 1,7 m.</w:t>
      </w:r>
    </w:p>
    <w:p w14:paraId="5774C430" w14:textId="77777777" w:rsidR="00877526" w:rsidRPr="00A23FB4" w:rsidRDefault="00877526" w:rsidP="00877526">
      <w:pPr>
        <w:tabs>
          <w:tab w:val="left" w:pos="0"/>
        </w:tabs>
        <w:rPr>
          <w:rFonts w:ascii="Calibri" w:hAnsi="Calibri" w:cs="Calibri"/>
        </w:rPr>
      </w:pPr>
      <w:r w:rsidRPr="00A23FB4">
        <w:rPr>
          <w:rFonts w:ascii="Calibri" w:hAnsi="Calibri" w:cs="Calibri"/>
        </w:rPr>
        <w:t>Do stabilizacji pozostałych punktów należy stosować paliki drewniane średnicy od 0,05 do 0,08 m i długości około 0,30 m, a dla punktów utrwalanych w istniejącej nawierzchni bolce stalowe średnicy 5 mm i długości od  0,04 do 0,05 m.</w:t>
      </w:r>
    </w:p>
    <w:p w14:paraId="3597407A" w14:textId="77777777" w:rsidR="00877526" w:rsidRDefault="00877526" w:rsidP="00877526">
      <w:pPr>
        <w:tabs>
          <w:tab w:val="left" w:pos="0"/>
        </w:tabs>
        <w:rPr>
          <w:rFonts w:ascii="Calibri" w:hAnsi="Calibri" w:cs="Calibri"/>
        </w:rPr>
      </w:pPr>
      <w:r w:rsidRPr="00A23FB4">
        <w:rPr>
          <w:rFonts w:ascii="Calibri" w:hAnsi="Calibri" w:cs="Calibri"/>
        </w:rPr>
        <w:t>„Świadki” powinny mieć długość około 0,50 m i przekrój prostokątny.</w:t>
      </w:r>
    </w:p>
    <w:p w14:paraId="10AC44E0" w14:textId="77777777" w:rsidR="00877526" w:rsidRPr="00A23FB4" w:rsidRDefault="00877526" w:rsidP="00877526">
      <w:pPr>
        <w:rPr>
          <w:rFonts w:ascii="Calibri" w:hAnsi="Calibri" w:cs="Calibri"/>
          <w:b/>
        </w:rPr>
      </w:pPr>
    </w:p>
    <w:p w14:paraId="3BDAF33B" w14:textId="77777777" w:rsidR="00877526" w:rsidRPr="00A23FB4" w:rsidRDefault="00877526" w:rsidP="00877526">
      <w:pPr>
        <w:rPr>
          <w:rFonts w:ascii="Calibri" w:hAnsi="Calibri" w:cs="Calibri"/>
          <w:b/>
        </w:rPr>
      </w:pPr>
      <w:r w:rsidRPr="00A23FB4">
        <w:rPr>
          <w:rFonts w:ascii="Calibri" w:hAnsi="Calibri" w:cs="Calibri"/>
          <w:b/>
        </w:rPr>
        <w:t>3. SPRZĘT</w:t>
      </w:r>
    </w:p>
    <w:p w14:paraId="59B1FE91" w14:textId="77777777" w:rsidR="00877526" w:rsidRPr="00A23FB4" w:rsidRDefault="00877526" w:rsidP="00877526">
      <w:pPr>
        <w:pStyle w:val="Nagwek4"/>
        <w:rPr>
          <w:rFonts w:ascii="Calibri" w:hAnsi="Calibri" w:cs="Calibri"/>
        </w:rPr>
      </w:pPr>
      <w:r w:rsidRPr="00A23FB4">
        <w:rPr>
          <w:rFonts w:ascii="Calibri" w:hAnsi="Calibri" w:cs="Calibri"/>
        </w:rPr>
        <w:t>3.1. Ogólne wymagania dotyczące sprzętu</w:t>
      </w:r>
    </w:p>
    <w:p w14:paraId="1C7FDC3E" w14:textId="32A94D88" w:rsidR="00877526" w:rsidRPr="00A23FB4" w:rsidRDefault="00877526" w:rsidP="00877526">
      <w:pPr>
        <w:tabs>
          <w:tab w:val="left" w:pos="0"/>
        </w:tabs>
        <w:rPr>
          <w:rFonts w:ascii="Calibri" w:hAnsi="Calibri" w:cs="Calibri"/>
        </w:rPr>
      </w:pPr>
      <w:r w:rsidRPr="00A23FB4">
        <w:rPr>
          <w:rFonts w:ascii="Calibri" w:hAnsi="Calibri" w:cs="Calibri"/>
        </w:rPr>
        <w:t xml:space="preserve">Ogólne wymagania dotyczące sprzętu podano w </w:t>
      </w:r>
      <w:r w:rsidR="00D33A38">
        <w:rPr>
          <w:rFonts w:ascii="Calibri" w:hAnsi="Calibri" w:cs="Calibri"/>
        </w:rPr>
        <w:t>ST</w:t>
      </w:r>
      <w:r w:rsidRPr="00A23FB4">
        <w:rPr>
          <w:rFonts w:ascii="Calibri" w:hAnsi="Calibri" w:cs="Calibri"/>
        </w:rPr>
        <w:t>WiORB D-M-00.00.00 „Wymagania ogólne” pkt 3.</w:t>
      </w:r>
    </w:p>
    <w:p w14:paraId="7030E8A6" w14:textId="77777777" w:rsidR="00877526" w:rsidRPr="00A23FB4" w:rsidRDefault="00877526" w:rsidP="00877526">
      <w:pPr>
        <w:pStyle w:val="Nagwek4"/>
        <w:rPr>
          <w:rFonts w:ascii="Calibri" w:hAnsi="Calibri" w:cs="Calibri"/>
        </w:rPr>
      </w:pPr>
      <w:r w:rsidRPr="00A23FB4">
        <w:rPr>
          <w:rFonts w:ascii="Calibri" w:hAnsi="Calibri" w:cs="Calibri"/>
        </w:rPr>
        <w:t>3.2. Sprzęt pomiarowy</w:t>
      </w:r>
    </w:p>
    <w:p w14:paraId="1F5A1601" w14:textId="77777777" w:rsidR="00877526" w:rsidRPr="00A23FB4" w:rsidRDefault="00877526" w:rsidP="00877526">
      <w:pPr>
        <w:tabs>
          <w:tab w:val="left" w:pos="0"/>
        </w:tabs>
        <w:rPr>
          <w:rFonts w:ascii="Calibri" w:hAnsi="Calibri" w:cs="Calibri"/>
        </w:rPr>
      </w:pPr>
      <w:r w:rsidRPr="00A23FB4">
        <w:rPr>
          <w:rFonts w:ascii="Calibri" w:hAnsi="Calibri" w:cs="Calibri"/>
        </w:rPr>
        <w:t>Do odtworzenia sytuacyjnego trasy i punktów wysokościowych należy stosować następujący sprzęt:</w:t>
      </w:r>
    </w:p>
    <w:p w14:paraId="5E0AD4D7" w14:textId="77777777" w:rsidR="00877526" w:rsidRPr="00A23FB4" w:rsidRDefault="00877526" w:rsidP="00877526">
      <w:pPr>
        <w:numPr>
          <w:ilvl w:val="0"/>
          <w:numId w:val="1"/>
        </w:numPr>
        <w:tabs>
          <w:tab w:val="left" w:pos="0"/>
        </w:tabs>
        <w:rPr>
          <w:rFonts w:ascii="Calibri" w:hAnsi="Calibri" w:cs="Calibri"/>
        </w:rPr>
      </w:pPr>
      <w:r w:rsidRPr="00A23FB4">
        <w:rPr>
          <w:rFonts w:ascii="Calibri" w:hAnsi="Calibri" w:cs="Calibri"/>
        </w:rPr>
        <w:t>teodolity lub tachimetry,</w:t>
      </w:r>
    </w:p>
    <w:p w14:paraId="609429F3" w14:textId="77777777" w:rsidR="00877526" w:rsidRPr="00A23FB4" w:rsidRDefault="00877526" w:rsidP="00877526">
      <w:pPr>
        <w:numPr>
          <w:ilvl w:val="0"/>
          <w:numId w:val="1"/>
        </w:numPr>
        <w:tabs>
          <w:tab w:val="left" w:pos="0"/>
        </w:tabs>
        <w:rPr>
          <w:rFonts w:ascii="Calibri" w:hAnsi="Calibri" w:cs="Calibri"/>
        </w:rPr>
      </w:pPr>
      <w:r w:rsidRPr="00A23FB4">
        <w:rPr>
          <w:rFonts w:ascii="Calibri" w:hAnsi="Calibri" w:cs="Calibri"/>
        </w:rPr>
        <w:t>niwelatory,</w:t>
      </w:r>
    </w:p>
    <w:p w14:paraId="2F1A340F" w14:textId="77777777" w:rsidR="00877526" w:rsidRPr="00A23FB4" w:rsidRDefault="00877526" w:rsidP="00877526">
      <w:pPr>
        <w:numPr>
          <w:ilvl w:val="0"/>
          <w:numId w:val="1"/>
        </w:numPr>
        <w:tabs>
          <w:tab w:val="left" w:pos="0"/>
        </w:tabs>
        <w:rPr>
          <w:rFonts w:ascii="Calibri" w:hAnsi="Calibri" w:cs="Calibri"/>
        </w:rPr>
      </w:pPr>
      <w:r w:rsidRPr="00A23FB4">
        <w:rPr>
          <w:rFonts w:ascii="Calibri" w:hAnsi="Calibri" w:cs="Calibri"/>
        </w:rPr>
        <w:t>dalmierze,</w:t>
      </w:r>
    </w:p>
    <w:p w14:paraId="1B4BE2B1" w14:textId="77777777" w:rsidR="00877526" w:rsidRPr="00A23FB4" w:rsidRDefault="00877526" w:rsidP="00877526">
      <w:pPr>
        <w:numPr>
          <w:ilvl w:val="0"/>
          <w:numId w:val="1"/>
        </w:numPr>
        <w:tabs>
          <w:tab w:val="left" w:pos="0"/>
        </w:tabs>
        <w:rPr>
          <w:rFonts w:ascii="Calibri" w:hAnsi="Calibri" w:cs="Calibri"/>
        </w:rPr>
      </w:pPr>
      <w:r w:rsidRPr="00A23FB4">
        <w:rPr>
          <w:rFonts w:ascii="Calibri" w:hAnsi="Calibri" w:cs="Calibri"/>
        </w:rPr>
        <w:t>tyczki,</w:t>
      </w:r>
    </w:p>
    <w:p w14:paraId="49445F77" w14:textId="77777777" w:rsidR="00877526" w:rsidRPr="00A23FB4" w:rsidRDefault="00877526" w:rsidP="00877526">
      <w:pPr>
        <w:numPr>
          <w:ilvl w:val="0"/>
          <w:numId w:val="1"/>
        </w:numPr>
        <w:tabs>
          <w:tab w:val="left" w:pos="0"/>
        </w:tabs>
        <w:rPr>
          <w:rFonts w:ascii="Calibri" w:hAnsi="Calibri" w:cs="Calibri"/>
        </w:rPr>
      </w:pPr>
      <w:r w:rsidRPr="00A23FB4">
        <w:rPr>
          <w:rFonts w:ascii="Calibri" w:hAnsi="Calibri" w:cs="Calibri"/>
        </w:rPr>
        <w:t>łaty,</w:t>
      </w:r>
    </w:p>
    <w:p w14:paraId="2A74338A" w14:textId="77777777" w:rsidR="001A73F7" w:rsidRDefault="00877526" w:rsidP="00877526">
      <w:pPr>
        <w:numPr>
          <w:ilvl w:val="0"/>
          <w:numId w:val="1"/>
        </w:numPr>
        <w:tabs>
          <w:tab w:val="left" w:pos="0"/>
        </w:tabs>
        <w:rPr>
          <w:rFonts w:ascii="Calibri" w:hAnsi="Calibri" w:cs="Calibri"/>
        </w:rPr>
      </w:pPr>
      <w:r w:rsidRPr="00A23FB4">
        <w:rPr>
          <w:rFonts w:ascii="Calibri" w:hAnsi="Calibri" w:cs="Calibri"/>
        </w:rPr>
        <w:t>taśmy stalowe, szpilki</w:t>
      </w:r>
    </w:p>
    <w:p w14:paraId="5F0F36CA" w14:textId="79D9913A" w:rsidR="00877526" w:rsidRPr="00A23FB4" w:rsidRDefault="001A73F7" w:rsidP="00877526">
      <w:pPr>
        <w:numPr>
          <w:ilvl w:val="0"/>
          <w:numId w:val="1"/>
        </w:numPr>
        <w:tabs>
          <w:tab w:val="left" w:pos="0"/>
        </w:tabs>
        <w:rPr>
          <w:rFonts w:ascii="Calibri" w:hAnsi="Calibri" w:cs="Calibri"/>
        </w:rPr>
      </w:pPr>
      <w:r>
        <w:rPr>
          <w:rFonts w:ascii="Calibri" w:hAnsi="Calibri" w:cs="Calibri"/>
        </w:rPr>
        <w:t>sprzęt GPS</w:t>
      </w:r>
      <w:r w:rsidR="00877526" w:rsidRPr="00A23FB4">
        <w:rPr>
          <w:rFonts w:ascii="Calibri" w:hAnsi="Calibri" w:cs="Calibri"/>
        </w:rPr>
        <w:t>.</w:t>
      </w:r>
    </w:p>
    <w:p w14:paraId="65B5C610" w14:textId="77777777" w:rsidR="00877526" w:rsidRPr="00A23FB4" w:rsidRDefault="00877526" w:rsidP="00877526">
      <w:pPr>
        <w:tabs>
          <w:tab w:val="left" w:pos="0"/>
        </w:tabs>
        <w:rPr>
          <w:rFonts w:ascii="Calibri" w:hAnsi="Calibri" w:cs="Calibri"/>
        </w:rPr>
      </w:pPr>
      <w:r w:rsidRPr="00A23FB4">
        <w:rPr>
          <w:rFonts w:ascii="Calibri" w:hAnsi="Calibri" w:cs="Calibri"/>
        </w:rPr>
        <w:t>Sprzęt stosowany do odtworzenia trasy drogowej i jej punktów wysokościowych powinien gwarantować uzyskanie wymaganej dokładności pomiaru.</w:t>
      </w:r>
    </w:p>
    <w:p w14:paraId="097C361F" w14:textId="77777777" w:rsidR="00877526" w:rsidRPr="00A23FB4" w:rsidRDefault="00877526" w:rsidP="00877526">
      <w:pPr>
        <w:rPr>
          <w:rFonts w:ascii="Calibri" w:hAnsi="Calibri" w:cs="Calibri"/>
          <w:b/>
        </w:rPr>
      </w:pPr>
    </w:p>
    <w:p w14:paraId="7D3502B9" w14:textId="77777777" w:rsidR="00877526" w:rsidRPr="00A23FB4" w:rsidRDefault="00877526" w:rsidP="00877526">
      <w:pPr>
        <w:rPr>
          <w:rFonts w:ascii="Calibri" w:hAnsi="Calibri" w:cs="Calibri"/>
          <w:b/>
        </w:rPr>
      </w:pPr>
      <w:r w:rsidRPr="00A23FB4">
        <w:rPr>
          <w:rFonts w:ascii="Calibri" w:hAnsi="Calibri" w:cs="Calibri"/>
          <w:b/>
        </w:rPr>
        <w:t>4. TRANSPORT</w:t>
      </w:r>
    </w:p>
    <w:p w14:paraId="75B66DA3" w14:textId="77777777" w:rsidR="00877526" w:rsidRPr="00A23FB4" w:rsidRDefault="00877526" w:rsidP="00877526">
      <w:pPr>
        <w:pStyle w:val="Nagwek4"/>
        <w:rPr>
          <w:rFonts w:ascii="Calibri" w:hAnsi="Calibri" w:cs="Calibri"/>
        </w:rPr>
      </w:pPr>
      <w:r w:rsidRPr="00A23FB4">
        <w:rPr>
          <w:rFonts w:ascii="Calibri" w:hAnsi="Calibri" w:cs="Calibri"/>
        </w:rPr>
        <w:t>4.1. Ogólne wymagania dotyczące transportu</w:t>
      </w:r>
    </w:p>
    <w:p w14:paraId="7298FEEC" w14:textId="0C3ABCE8" w:rsidR="00877526" w:rsidRPr="00A23FB4" w:rsidRDefault="00877526" w:rsidP="00877526">
      <w:pPr>
        <w:tabs>
          <w:tab w:val="left" w:pos="0"/>
        </w:tabs>
        <w:rPr>
          <w:rFonts w:ascii="Calibri" w:hAnsi="Calibri" w:cs="Calibri"/>
        </w:rPr>
      </w:pPr>
      <w:r w:rsidRPr="00A23FB4">
        <w:rPr>
          <w:rFonts w:ascii="Calibri" w:hAnsi="Calibri" w:cs="Calibri"/>
        </w:rPr>
        <w:t xml:space="preserve">Ogólne wymagania dotyczące transportu podano w </w:t>
      </w:r>
      <w:r w:rsidR="00D33A38">
        <w:rPr>
          <w:rFonts w:ascii="Calibri" w:hAnsi="Calibri" w:cs="Calibri"/>
        </w:rPr>
        <w:t>ST</w:t>
      </w:r>
      <w:r w:rsidRPr="00A23FB4">
        <w:rPr>
          <w:rFonts w:ascii="Calibri" w:hAnsi="Calibri" w:cs="Calibri"/>
        </w:rPr>
        <w:t>WiORB D-M-00.00.00 „Wymagania ogólne” pkt 4.</w:t>
      </w:r>
    </w:p>
    <w:p w14:paraId="7278958C" w14:textId="77777777" w:rsidR="00877526" w:rsidRPr="00A23FB4" w:rsidRDefault="00877526" w:rsidP="00877526">
      <w:pPr>
        <w:pStyle w:val="Nagwek4"/>
        <w:rPr>
          <w:rFonts w:ascii="Calibri" w:hAnsi="Calibri" w:cs="Calibri"/>
        </w:rPr>
      </w:pPr>
      <w:r w:rsidRPr="00A23FB4">
        <w:rPr>
          <w:rFonts w:ascii="Calibri" w:hAnsi="Calibri" w:cs="Calibri"/>
        </w:rPr>
        <w:t>4.2. Transport sprzętu i materiałów</w:t>
      </w:r>
    </w:p>
    <w:p w14:paraId="170E18C5" w14:textId="77777777" w:rsidR="00877526" w:rsidRPr="00A23FB4" w:rsidRDefault="00877526" w:rsidP="00877526">
      <w:pPr>
        <w:tabs>
          <w:tab w:val="left" w:pos="0"/>
        </w:tabs>
        <w:rPr>
          <w:rFonts w:ascii="Calibri" w:hAnsi="Calibri" w:cs="Calibri"/>
        </w:rPr>
      </w:pPr>
      <w:r w:rsidRPr="00A23FB4">
        <w:rPr>
          <w:rFonts w:ascii="Calibri" w:hAnsi="Calibri" w:cs="Calibri"/>
        </w:rPr>
        <w:t>Sprzęt i materiały do odtworzenia trasy można przewozić dowolnymi środkami transportu.</w:t>
      </w:r>
    </w:p>
    <w:p w14:paraId="12D8E941" w14:textId="77777777" w:rsidR="00877526" w:rsidRPr="00A23FB4" w:rsidRDefault="00877526" w:rsidP="00877526">
      <w:pPr>
        <w:rPr>
          <w:rFonts w:ascii="Calibri" w:hAnsi="Calibri" w:cs="Calibri"/>
          <w:b/>
        </w:rPr>
      </w:pPr>
    </w:p>
    <w:p w14:paraId="2679121F" w14:textId="77777777" w:rsidR="00877526" w:rsidRPr="00A23FB4" w:rsidRDefault="00877526" w:rsidP="00877526">
      <w:pPr>
        <w:rPr>
          <w:rFonts w:ascii="Calibri" w:hAnsi="Calibri" w:cs="Calibri"/>
          <w:b/>
        </w:rPr>
      </w:pPr>
      <w:r w:rsidRPr="00A23FB4">
        <w:rPr>
          <w:rFonts w:ascii="Calibri" w:hAnsi="Calibri" w:cs="Calibri"/>
          <w:b/>
        </w:rPr>
        <w:t>5. WYKONANIE ROBÓT</w:t>
      </w:r>
    </w:p>
    <w:p w14:paraId="0DB8E8E3" w14:textId="77777777" w:rsidR="00877526" w:rsidRPr="00A23FB4" w:rsidRDefault="00877526" w:rsidP="00877526">
      <w:pPr>
        <w:pStyle w:val="Nagwek4"/>
        <w:rPr>
          <w:rFonts w:ascii="Calibri" w:hAnsi="Calibri" w:cs="Calibri"/>
        </w:rPr>
      </w:pPr>
      <w:r w:rsidRPr="00A23FB4">
        <w:rPr>
          <w:rFonts w:ascii="Calibri" w:hAnsi="Calibri" w:cs="Calibri"/>
        </w:rPr>
        <w:t>5.1. Ogólne zasady wykonania robót</w:t>
      </w:r>
    </w:p>
    <w:p w14:paraId="09CAF3BB" w14:textId="4A25A2F4" w:rsidR="00877526" w:rsidRPr="00A23FB4" w:rsidRDefault="00877526" w:rsidP="00877526">
      <w:pPr>
        <w:tabs>
          <w:tab w:val="left" w:pos="0"/>
        </w:tabs>
        <w:rPr>
          <w:rFonts w:ascii="Calibri" w:hAnsi="Calibri" w:cs="Calibri"/>
        </w:rPr>
      </w:pPr>
      <w:r w:rsidRPr="00A23FB4">
        <w:rPr>
          <w:rFonts w:ascii="Calibri" w:hAnsi="Calibri" w:cs="Calibri"/>
        </w:rPr>
        <w:t xml:space="preserve">Ogólne zasady wykonania robót podano w </w:t>
      </w:r>
      <w:r w:rsidR="00D33A38">
        <w:rPr>
          <w:rFonts w:ascii="Calibri" w:hAnsi="Calibri" w:cs="Calibri"/>
        </w:rPr>
        <w:t>ST</w:t>
      </w:r>
      <w:r w:rsidRPr="00A23FB4">
        <w:rPr>
          <w:rFonts w:ascii="Calibri" w:hAnsi="Calibri" w:cs="Calibri"/>
        </w:rPr>
        <w:t>WiORB D-M-00.00.00 „Wymagania ogólne” pkt 5.</w:t>
      </w:r>
    </w:p>
    <w:p w14:paraId="49F5074D" w14:textId="77777777" w:rsidR="00877526" w:rsidRPr="00A23FB4" w:rsidRDefault="00877526" w:rsidP="00877526">
      <w:pPr>
        <w:pStyle w:val="Nagwek4"/>
        <w:rPr>
          <w:rFonts w:ascii="Calibri" w:hAnsi="Calibri" w:cs="Calibri"/>
        </w:rPr>
      </w:pPr>
      <w:r w:rsidRPr="00A23FB4">
        <w:rPr>
          <w:rFonts w:ascii="Calibri" w:hAnsi="Calibri" w:cs="Calibri"/>
        </w:rPr>
        <w:t>5.2. Zasady wykonywania prac pomiarowych</w:t>
      </w:r>
    </w:p>
    <w:p w14:paraId="582601EB" w14:textId="77777777" w:rsidR="00877526" w:rsidRPr="00A23FB4" w:rsidRDefault="00877526" w:rsidP="00877526">
      <w:pPr>
        <w:tabs>
          <w:tab w:val="left" w:pos="0"/>
        </w:tabs>
        <w:rPr>
          <w:rFonts w:ascii="Calibri" w:hAnsi="Calibri" w:cs="Calibri"/>
        </w:rPr>
      </w:pPr>
      <w:r w:rsidRPr="00A23FB4">
        <w:rPr>
          <w:rFonts w:ascii="Calibri" w:hAnsi="Calibri" w:cs="Calibri"/>
        </w:rPr>
        <w:t>Prace pomiarowe powinny być wykonane zgodnie z obowiązującymi Instrukcjami GUGiK (od 1 do 7).</w:t>
      </w:r>
    </w:p>
    <w:p w14:paraId="45247242" w14:textId="77777777" w:rsidR="00877526" w:rsidRPr="00A23FB4" w:rsidRDefault="00877526" w:rsidP="00877526">
      <w:pPr>
        <w:tabs>
          <w:tab w:val="left" w:pos="0"/>
        </w:tabs>
        <w:rPr>
          <w:rFonts w:ascii="Calibri" w:hAnsi="Calibri" w:cs="Calibri"/>
        </w:rPr>
      </w:pPr>
      <w:r w:rsidRPr="00A23FB4">
        <w:rPr>
          <w:rFonts w:ascii="Calibri" w:hAnsi="Calibri" w:cs="Calibri"/>
        </w:rPr>
        <w:t>Przed przystąpieniem do robót Wykonawca powinien przejąć od Zamawiającego</w:t>
      </w:r>
      <w:r w:rsidR="0050007F" w:rsidRPr="00A23FB4">
        <w:rPr>
          <w:rFonts w:ascii="Calibri" w:hAnsi="Calibri" w:cs="Calibri"/>
        </w:rPr>
        <w:t xml:space="preserve"> dane zawierające lokalizację i </w:t>
      </w:r>
      <w:r w:rsidRPr="00A23FB4">
        <w:rPr>
          <w:rFonts w:ascii="Calibri" w:hAnsi="Calibri" w:cs="Calibri"/>
        </w:rPr>
        <w:t>współrzędne punktów głównych trasy oraz reperów.</w:t>
      </w:r>
    </w:p>
    <w:p w14:paraId="2240184F" w14:textId="77777777" w:rsidR="00877526" w:rsidRPr="00A23FB4" w:rsidRDefault="00877526" w:rsidP="00877526">
      <w:pPr>
        <w:tabs>
          <w:tab w:val="left" w:pos="0"/>
        </w:tabs>
        <w:rPr>
          <w:rFonts w:ascii="Calibri" w:hAnsi="Calibri" w:cs="Calibri"/>
        </w:rPr>
      </w:pPr>
      <w:r w:rsidRPr="00A23FB4">
        <w:rPr>
          <w:rFonts w:ascii="Calibri" w:hAnsi="Calibri" w:cs="Calibri"/>
        </w:rPr>
        <w:t>W oparciu o materiały dostarczone przez Zamawiającego, Wykonawca powinien przeprowadzić obliczeni</w:t>
      </w:r>
      <w:r w:rsidR="0050007F" w:rsidRPr="00A23FB4">
        <w:rPr>
          <w:rFonts w:ascii="Calibri" w:hAnsi="Calibri" w:cs="Calibri"/>
        </w:rPr>
        <w:t>a i </w:t>
      </w:r>
      <w:r w:rsidRPr="00A23FB4">
        <w:rPr>
          <w:rFonts w:ascii="Calibri" w:hAnsi="Calibri" w:cs="Calibri"/>
        </w:rPr>
        <w:t>pomiary geodezyjne niezbędne do szczegółowego wytyczenia robót.</w:t>
      </w:r>
    </w:p>
    <w:p w14:paraId="0FF1495F" w14:textId="77777777" w:rsidR="00877526" w:rsidRPr="00A23FB4" w:rsidRDefault="00877526" w:rsidP="00877526">
      <w:pPr>
        <w:tabs>
          <w:tab w:val="left" w:pos="0"/>
        </w:tabs>
        <w:rPr>
          <w:rFonts w:ascii="Calibri" w:hAnsi="Calibri" w:cs="Calibri"/>
        </w:rPr>
      </w:pPr>
      <w:r w:rsidRPr="00A23FB4">
        <w:rPr>
          <w:rFonts w:ascii="Calibri" w:hAnsi="Calibri" w:cs="Calibri"/>
        </w:rPr>
        <w:t>Prace pomiarowe powinny być wykonane przez osoby posiadające odpowiednie kwalifikacje i uprawnienia.</w:t>
      </w:r>
    </w:p>
    <w:p w14:paraId="36987D9B" w14:textId="77777777" w:rsidR="00877526" w:rsidRPr="00A23FB4" w:rsidRDefault="00877526" w:rsidP="00877526">
      <w:pPr>
        <w:tabs>
          <w:tab w:val="left" w:pos="0"/>
        </w:tabs>
        <w:rPr>
          <w:rFonts w:ascii="Calibri" w:hAnsi="Calibri" w:cs="Calibri"/>
        </w:rPr>
      </w:pPr>
      <w:r w:rsidRPr="00A23FB4">
        <w:rPr>
          <w:rFonts w:ascii="Calibri" w:hAnsi="Calibri" w:cs="Calibri"/>
        </w:rPr>
        <w:t>Wykonawca powinien natychmiast poinformować Inżyniera/Kierownika projektu o wszelkich błędach wykrytych w wytyczeniu punktów głównych trasy i (lub) reperów roboczych. Błędy te powinny być usunięte na koszt Zamawiającego.</w:t>
      </w:r>
    </w:p>
    <w:p w14:paraId="131770B6" w14:textId="77777777" w:rsidR="00877526" w:rsidRPr="00A23FB4" w:rsidRDefault="00877526" w:rsidP="00877526">
      <w:pPr>
        <w:tabs>
          <w:tab w:val="left" w:pos="0"/>
        </w:tabs>
        <w:rPr>
          <w:rFonts w:ascii="Calibri" w:hAnsi="Calibri" w:cs="Calibri"/>
        </w:rPr>
      </w:pPr>
      <w:r w:rsidRPr="00A23FB4">
        <w:rPr>
          <w:rFonts w:ascii="Calibri" w:hAnsi="Calibri" w:cs="Calibri"/>
        </w:rPr>
        <w:t>Wykonawca powinien sprawdzić czy rzędne terenu określone w dokum</w:t>
      </w:r>
      <w:r w:rsidR="0050007F" w:rsidRPr="00A23FB4">
        <w:rPr>
          <w:rFonts w:ascii="Calibri" w:hAnsi="Calibri" w:cs="Calibri"/>
        </w:rPr>
        <w:t>entacji projektowej są zgodne z </w:t>
      </w:r>
      <w:r w:rsidRPr="00A23FB4">
        <w:rPr>
          <w:rFonts w:ascii="Calibri" w:hAnsi="Calibri" w:cs="Calibri"/>
        </w:rPr>
        <w:t>rzeczywistymi rzędnymi terenu. Jeżeli Wykonawca stwierdzi, że rzeczywiste rzędne terenu istotnie różnią się od rzędnych określonych w dokumentacji projektowej, to powinien powiadomić o tym Inżyniera/Kierownika projektu. Ukształtowanie terenu w takim rejonie nie powinno być zmieniane przed podjęciem odpowiedniej decyzji przez Inżyniera/Kierownika projektu. Wszystkie roboty dodatkowe, wynikające z różnic rzędnych terenu podanych w dokumentacji projektowej i rzędnych rzeczywistych, akceptowane przez Inżyniera/Kierownika projektu, zostaną wykonane na koszt Zamawiającego. Zaniechanie powiadomienia Inżyniera/Kierownika projektu oznacza, że roboty dodatkowe w takim przypadku obciążą Wykonawcę.</w:t>
      </w:r>
    </w:p>
    <w:p w14:paraId="054BC1F3" w14:textId="77777777" w:rsidR="00877526" w:rsidRPr="00A23FB4" w:rsidRDefault="00877526" w:rsidP="00877526">
      <w:pPr>
        <w:tabs>
          <w:tab w:val="left" w:pos="0"/>
        </w:tabs>
        <w:rPr>
          <w:rFonts w:ascii="Calibri" w:hAnsi="Calibri" w:cs="Calibri"/>
        </w:rPr>
      </w:pPr>
      <w:r w:rsidRPr="00A23FB4">
        <w:rPr>
          <w:rFonts w:ascii="Calibri" w:hAnsi="Calibri" w:cs="Calibri"/>
        </w:rPr>
        <w:t>Wszystkie roboty, które bazują na pomiarach Wykonawcy, nie mogą być rozpoczęte przed zaakceptowaniem wyników pomiarów przez Inżyniera/Kierownika projektu.</w:t>
      </w:r>
    </w:p>
    <w:p w14:paraId="465C33DC" w14:textId="2AA56385" w:rsidR="00877526" w:rsidRDefault="00877526" w:rsidP="00877526">
      <w:pPr>
        <w:tabs>
          <w:tab w:val="left" w:pos="0"/>
        </w:tabs>
        <w:rPr>
          <w:rFonts w:ascii="Calibri" w:hAnsi="Calibri" w:cs="Calibri"/>
        </w:rPr>
      </w:pPr>
      <w:r w:rsidRPr="00A23FB4">
        <w:rPr>
          <w:rFonts w:ascii="Calibri" w:hAnsi="Calibri" w:cs="Calibri"/>
        </w:rPr>
        <w:t>Punkty wierzchołkowe, punkty główne trasy i punkty pośrednie osi trasy muszą być zaopatrzone w oznaczenia określające w sposób wyraźny i jednoznaczny charakterystykę i położenie tych punktów. Forma i wzór tych oznaczeń powinny być zaakceptowane przez Inżyniera/Kierownika projektu.</w:t>
      </w:r>
      <w:r w:rsidR="001A73F7">
        <w:rPr>
          <w:rFonts w:ascii="Calibri" w:hAnsi="Calibri" w:cs="Calibri"/>
        </w:rPr>
        <w:t xml:space="preserve"> </w:t>
      </w:r>
    </w:p>
    <w:p w14:paraId="5A3E5BAF" w14:textId="77777777" w:rsidR="00877526" w:rsidRPr="00A23FB4" w:rsidRDefault="00877526" w:rsidP="00877526">
      <w:pPr>
        <w:tabs>
          <w:tab w:val="left" w:pos="0"/>
        </w:tabs>
        <w:rPr>
          <w:rFonts w:ascii="Calibri" w:hAnsi="Calibri" w:cs="Calibri"/>
        </w:rPr>
      </w:pPr>
      <w:r w:rsidRPr="00A23FB4">
        <w:rPr>
          <w:rFonts w:ascii="Calibri" w:hAnsi="Calibri" w:cs="Calibri"/>
        </w:rPr>
        <w:t>Wykonawca jest odpowiedzialny za ochronę wszystkich punktów pomiarowych i ich oznaczeń w czasie trwania robót. Jeżeli znaki pomiarowe przekazane przez Zamawiającego zostaną zniszczone przez Wykonawcę świadomie lub wskutek zaniedbania, a ich odtworzenie jest konieczne do dalszego prowadzenia robót, to zostaną one odtworzone na koszt Wykonawcy.</w:t>
      </w:r>
    </w:p>
    <w:p w14:paraId="25501D78" w14:textId="77777777" w:rsidR="00877526" w:rsidRPr="00A23FB4" w:rsidRDefault="00877526" w:rsidP="00877526">
      <w:pPr>
        <w:tabs>
          <w:tab w:val="left" w:pos="0"/>
        </w:tabs>
        <w:rPr>
          <w:rFonts w:ascii="Calibri" w:hAnsi="Calibri" w:cs="Calibri"/>
        </w:rPr>
      </w:pPr>
      <w:r w:rsidRPr="00A23FB4">
        <w:rPr>
          <w:rFonts w:ascii="Calibri" w:hAnsi="Calibri" w:cs="Calibri"/>
        </w:rPr>
        <w:t>Wszystkie pozostałe prace pomiarowe konieczne dla prawidłowej realizacji robót należą do obowiązków Wykonawcy.</w:t>
      </w:r>
    </w:p>
    <w:p w14:paraId="0D8756B8" w14:textId="77777777" w:rsidR="00877526" w:rsidRPr="00A23FB4" w:rsidRDefault="00877526" w:rsidP="00877526">
      <w:pPr>
        <w:pStyle w:val="Nagwek4"/>
        <w:rPr>
          <w:rFonts w:ascii="Calibri" w:hAnsi="Calibri" w:cs="Calibri"/>
        </w:rPr>
      </w:pPr>
      <w:r w:rsidRPr="00A23FB4">
        <w:rPr>
          <w:rFonts w:ascii="Calibri" w:hAnsi="Calibri" w:cs="Calibri"/>
        </w:rPr>
        <w:t>5.3. Sprawdzenie wyznaczenia punktów głównych osi trasy i punktów wysokościowych</w:t>
      </w:r>
    </w:p>
    <w:p w14:paraId="1C168752" w14:textId="77777777" w:rsidR="00877526" w:rsidRPr="00A23FB4" w:rsidRDefault="00877526" w:rsidP="00877526">
      <w:pPr>
        <w:tabs>
          <w:tab w:val="left" w:pos="0"/>
        </w:tabs>
        <w:rPr>
          <w:rFonts w:ascii="Calibri" w:hAnsi="Calibri" w:cs="Calibri"/>
        </w:rPr>
      </w:pPr>
      <w:r w:rsidRPr="00A23FB4">
        <w:rPr>
          <w:rFonts w:ascii="Calibri" w:hAnsi="Calibri" w:cs="Calibri"/>
        </w:rPr>
        <w:t>Punkty wierzchołkowe trasy i inne punkty główne powinny być zastabilizowane w sposób trwały, przy użyciu pali drewnianych lub słupków betonowych, a także dowiązane do punktów pomocniczych, położonych poza granicą robót ziemnych. Maksymalna odległość pomiędzy punktami głównymi na odcinkach prostych nie może przekraczać 200 m.</w:t>
      </w:r>
    </w:p>
    <w:p w14:paraId="27520A4A" w14:textId="77777777" w:rsidR="00877526" w:rsidRPr="00A23FB4" w:rsidRDefault="00877526" w:rsidP="00877526">
      <w:pPr>
        <w:tabs>
          <w:tab w:val="left" w:pos="0"/>
        </w:tabs>
        <w:rPr>
          <w:rFonts w:ascii="Calibri" w:hAnsi="Calibri" w:cs="Calibri"/>
        </w:rPr>
      </w:pPr>
      <w:r w:rsidRPr="00A23FB4">
        <w:rPr>
          <w:rFonts w:ascii="Calibri" w:hAnsi="Calibri" w:cs="Calibri"/>
        </w:rPr>
        <w:t>Zamawiający powinien założyć robocze punkty wysokościowe (repery robocze) wzdłuż osi trasy drogowej.</w:t>
      </w:r>
    </w:p>
    <w:p w14:paraId="116186E3" w14:textId="77777777" w:rsidR="00877526" w:rsidRPr="00A23FB4" w:rsidRDefault="00877526" w:rsidP="00877526">
      <w:pPr>
        <w:tabs>
          <w:tab w:val="left" w:pos="0"/>
        </w:tabs>
        <w:rPr>
          <w:rFonts w:ascii="Calibri" w:hAnsi="Calibri" w:cs="Calibri"/>
        </w:rPr>
      </w:pPr>
      <w:r w:rsidRPr="00A23FB4">
        <w:rPr>
          <w:rFonts w:ascii="Calibri" w:hAnsi="Calibri" w:cs="Calibri"/>
        </w:rPr>
        <w:t>Maksymalna odległość między reperami roboczymi wzdłuż trasy drogowej powinna wynosić 200 metrów.</w:t>
      </w:r>
    </w:p>
    <w:p w14:paraId="6580694F" w14:textId="77777777" w:rsidR="00877526" w:rsidRPr="00A23FB4" w:rsidRDefault="00877526" w:rsidP="00877526">
      <w:pPr>
        <w:tabs>
          <w:tab w:val="left" w:pos="0"/>
        </w:tabs>
        <w:rPr>
          <w:rFonts w:ascii="Calibri" w:hAnsi="Calibri" w:cs="Calibri"/>
        </w:rPr>
      </w:pPr>
      <w:r w:rsidRPr="00A23FB4">
        <w:rPr>
          <w:rFonts w:ascii="Calibri" w:hAnsi="Calibri" w:cs="Calibri"/>
        </w:rPr>
        <w:t>Repery robocze należy założyć poza granicami robót związanych z wykonaniem trasy drogowej i obiektów towarzyszących. Jako repery robocze można wykorzystać punkty stałe na stabilnych, istniejących budowlach wzdłuż trasy drogowej. O ile brak takich punktów, repery robocze należy założyć w postaci słupków betonowych lub grubych kształtowników stalowych, osadzonych w gruncie w sposób wykluczający osiadanie, zaakceptowany przez Inżyniera/Kierownika projektu</w:t>
      </w:r>
    </w:p>
    <w:p w14:paraId="0A54FA68" w14:textId="77777777" w:rsidR="00877526" w:rsidRPr="00A23FB4" w:rsidRDefault="00877526" w:rsidP="00877526">
      <w:pPr>
        <w:tabs>
          <w:tab w:val="left" w:pos="0"/>
        </w:tabs>
        <w:rPr>
          <w:rFonts w:ascii="Calibri" w:hAnsi="Calibri" w:cs="Calibri"/>
        </w:rPr>
      </w:pPr>
      <w:r w:rsidRPr="00A23FB4">
        <w:rPr>
          <w:rFonts w:ascii="Calibri" w:hAnsi="Calibri" w:cs="Calibri"/>
        </w:rPr>
        <w:t>Rzędne reperów roboczych należy określać z taką dokładnością, aby średni błąd niwelacji po wyrównaniu był mniejszy od 4 mm/km, stosując niwelację podwójną w nawiązaniu do reperów państwowych.</w:t>
      </w:r>
    </w:p>
    <w:p w14:paraId="7917212C" w14:textId="77777777" w:rsidR="00877526" w:rsidRPr="00A23FB4" w:rsidRDefault="00877526" w:rsidP="00877526">
      <w:pPr>
        <w:tabs>
          <w:tab w:val="left" w:pos="0"/>
        </w:tabs>
        <w:rPr>
          <w:rFonts w:ascii="Calibri" w:hAnsi="Calibri" w:cs="Calibri"/>
        </w:rPr>
      </w:pPr>
      <w:r w:rsidRPr="00A23FB4">
        <w:rPr>
          <w:rFonts w:ascii="Calibri" w:hAnsi="Calibri" w:cs="Calibri"/>
        </w:rPr>
        <w:t>Repery robocze powinny być wyposażone w dodatkowe oznaczenia, zawierające wyraźne i jednoznaczne określenie nazwy reperu i jego rzędnej.</w:t>
      </w:r>
    </w:p>
    <w:p w14:paraId="07609A6F" w14:textId="77777777" w:rsidR="00877526" w:rsidRPr="00A23FB4" w:rsidRDefault="00877526" w:rsidP="00877526">
      <w:pPr>
        <w:pStyle w:val="Nagwek4"/>
        <w:rPr>
          <w:rFonts w:ascii="Calibri" w:hAnsi="Calibri" w:cs="Calibri"/>
        </w:rPr>
      </w:pPr>
      <w:r w:rsidRPr="00A23FB4">
        <w:rPr>
          <w:rFonts w:ascii="Calibri" w:hAnsi="Calibri" w:cs="Calibri"/>
        </w:rPr>
        <w:t>5.4. Odtworzenie osi trasy</w:t>
      </w:r>
    </w:p>
    <w:p w14:paraId="20115B22" w14:textId="77777777" w:rsidR="00877526" w:rsidRPr="00A23FB4" w:rsidRDefault="00877526" w:rsidP="00877526">
      <w:pPr>
        <w:tabs>
          <w:tab w:val="left" w:pos="0"/>
        </w:tabs>
        <w:rPr>
          <w:rFonts w:ascii="Calibri" w:hAnsi="Calibri" w:cs="Calibri"/>
        </w:rPr>
      </w:pPr>
      <w:r w:rsidRPr="00A23FB4">
        <w:rPr>
          <w:rFonts w:ascii="Calibri" w:hAnsi="Calibri" w:cs="Calibri"/>
        </w:rPr>
        <w:t>Tyczenie osi trasy należy wykonać w oparciu o dokumentację projektową oraz inne dane geodezyjne przekazane przez Zamawiającego, przy wykorzystaniu sieci poligonizacji państwowej albo innej osnowy geodezyjnej, określonej w dokumentacji projektowej.</w:t>
      </w:r>
    </w:p>
    <w:p w14:paraId="54E1F3C7" w14:textId="77777777" w:rsidR="00877526" w:rsidRPr="00A23FB4" w:rsidRDefault="00877526" w:rsidP="00877526">
      <w:pPr>
        <w:tabs>
          <w:tab w:val="left" w:pos="0"/>
        </w:tabs>
        <w:rPr>
          <w:rFonts w:ascii="Calibri" w:hAnsi="Calibri" w:cs="Calibri"/>
        </w:rPr>
      </w:pPr>
      <w:r w:rsidRPr="00A23FB4">
        <w:rPr>
          <w:rFonts w:ascii="Calibri" w:hAnsi="Calibri" w:cs="Calibri"/>
        </w:rPr>
        <w:t>Oś trasy powinna być wyznaczona w punktach głównych i w punktach pośrednich w odległości zależnej od charakterystyki terenu i ukształtowania trasy, lecz nie rzadziej niż co 50 metrów.</w:t>
      </w:r>
    </w:p>
    <w:p w14:paraId="7B51FD9E" w14:textId="77777777" w:rsidR="00877526" w:rsidRPr="00A23FB4" w:rsidRDefault="00877526" w:rsidP="00877526">
      <w:pPr>
        <w:tabs>
          <w:tab w:val="left" w:pos="0"/>
        </w:tabs>
        <w:rPr>
          <w:rFonts w:ascii="Calibri" w:hAnsi="Calibri" w:cs="Calibri"/>
        </w:rPr>
      </w:pPr>
      <w:r w:rsidRPr="00A23FB4">
        <w:rPr>
          <w:rFonts w:ascii="Calibri" w:hAnsi="Calibri" w:cs="Calibri"/>
        </w:rPr>
        <w:t>Dopuszczalne odchylenie sytuacyjne wytyczonej osi trasy w stosunku do dokumentacji projektowej nie może być większe niż 5 cm. Rzędne niwelety punktów osi trasy należy wyznaczyć z dokładnością do 1 cm w stosunku do rzędnych niwelety określonych w dokumentacji projektowej.</w:t>
      </w:r>
    </w:p>
    <w:p w14:paraId="137B9EEC" w14:textId="77777777" w:rsidR="00877526" w:rsidRPr="00A23FB4" w:rsidRDefault="00877526" w:rsidP="00877526">
      <w:pPr>
        <w:tabs>
          <w:tab w:val="left" w:pos="0"/>
        </w:tabs>
        <w:rPr>
          <w:rFonts w:ascii="Calibri" w:hAnsi="Calibri" w:cs="Calibri"/>
        </w:rPr>
      </w:pPr>
      <w:r w:rsidRPr="00A23FB4">
        <w:rPr>
          <w:rFonts w:ascii="Calibri" w:hAnsi="Calibri" w:cs="Calibri"/>
        </w:rPr>
        <w:t>Do utrwalenia osi trasy w terenie należy użyć materiałów wymienionych w pkt 2.2.</w:t>
      </w:r>
    </w:p>
    <w:p w14:paraId="088C756A" w14:textId="77777777" w:rsidR="00877526" w:rsidRPr="00A23FB4" w:rsidRDefault="00877526" w:rsidP="00877526">
      <w:pPr>
        <w:tabs>
          <w:tab w:val="left" w:pos="0"/>
        </w:tabs>
        <w:rPr>
          <w:rFonts w:ascii="Calibri" w:hAnsi="Calibri" w:cs="Calibri"/>
        </w:rPr>
      </w:pPr>
      <w:r w:rsidRPr="00A23FB4">
        <w:rPr>
          <w:rFonts w:ascii="Calibri" w:hAnsi="Calibri" w:cs="Calibri"/>
        </w:rPr>
        <w:t>Usunięcie pali z osi trasy jest dopuszczalne tylko wówczas, gdy Wykonawca robót zastąpi je odpowiednimi palami po obu stronach osi, umieszczonych poza granicą robót.</w:t>
      </w:r>
    </w:p>
    <w:p w14:paraId="0F812765" w14:textId="77777777" w:rsidR="00877526" w:rsidRPr="00A23FB4" w:rsidRDefault="00877526" w:rsidP="00877526">
      <w:pPr>
        <w:pStyle w:val="Nagwek4"/>
        <w:rPr>
          <w:rFonts w:ascii="Calibri" w:hAnsi="Calibri" w:cs="Calibri"/>
        </w:rPr>
      </w:pPr>
      <w:r w:rsidRPr="00A23FB4">
        <w:rPr>
          <w:rFonts w:ascii="Calibri" w:hAnsi="Calibri" w:cs="Calibri"/>
        </w:rPr>
        <w:t>5.5. Wyznaczenie przekrojów poprzecznych</w:t>
      </w:r>
    </w:p>
    <w:p w14:paraId="68D116E5" w14:textId="77777777" w:rsidR="00877526" w:rsidRPr="00A23FB4" w:rsidRDefault="00877526" w:rsidP="00877526">
      <w:pPr>
        <w:tabs>
          <w:tab w:val="left" w:pos="0"/>
        </w:tabs>
        <w:rPr>
          <w:rFonts w:ascii="Calibri" w:hAnsi="Calibri" w:cs="Calibri"/>
        </w:rPr>
      </w:pPr>
      <w:r w:rsidRPr="00A23FB4">
        <w:rPr>
          <w:rFonts w:ascii="Calibri" w:hAnsi="Calibri" w:cs="Calibri"/>
        </w:rPr>
        <w:t>Wyznaczenie przekrojów poprzecznych obejmuje wyznaczenie krawędzi nasypów i wykopów na powierzchni terenu (określenie granicy robót), zgodnie z dokumentacją projektową oraz w miejscach wymagających uzupełnienia dla poprawnego przeprowadzenia robót i w miejscach zaakceptowanych przez Inżyniera/Kierownika projektu.</w:t>
      </w:r>
    </w:p>
    <w:p w14:paraId="38683ACA" w14:textId="77777777" w:rsidR="00877526" w:rsidRPr="00A23FB4" w:rsidRDefault="00877526" w:rsidP="00877526">
      <w:pPr>
        <w:tabs>
          <w:tab w:val="left" w:pos="0"/>
        </w:tabs>
        <w:rPr>
          <w:rFonts w:ascii="Calibri" w:hAnsi="Calibri" w:cs="Calibri"/>
        </w:rPr>
      </w:pPr>
      <w:r w:rsidRPr="00A23FB4">
        <w:rPr>
          <w:rFonts w:ascii="Calibri" w:hAnsi="Calibri" w:cs="Calibri"/>
        </w:rPr>
        <w:t>Do wyznaczania krawędzi nasypów i wykopów należy stosować dobrze widoczne paliki lub wiechy. Wiechy należy stosować w przypadku nasypów o wysokości przekraczającej 1 metr oraz wykopów głębszych niż 1 metr. Odległość między palikami lub wiechami należy dostosować do ukształtowania terenu oraz geometrii trasy drogowej. Odległość ta co najmniej powinna odpowiadać odstępowi kolejnych przekrojów poprzecznych.</w:t>
      </w:r>
    </w:p>
    <w:p w14:paraId="11A42AEE" w14:textId="77777777" w:rsidR="00877526" w:rsidRPr="00A23FB4" w:rsidRDefault="00877526" w:rsidP="00877526">
      <w:pPr>
        <w:tabs>
          <w:tab w:val="left" w:pos="0"/>
        </w:tabs>
        <w:rPr>
          <w:rFonts w:ascii="Calibri" w:hAnsi="Calibri" w:cs="Calibri"/>
        </w:rPr>
      </w:pPr>
      <w:r w:rsidRPr="00A23FB4">
        <w:rPr>
          <w:rFonts w:ascii="Calibri" w:hAnsi="Calibri" w:cs="Calibri"/>
        </w:rPr>
        <w:t>Profilowanie przekrojów poprzecznych musi umożliwiać wykonanie nasypów i wykopów o kształcie zgodnym z dokumentacją projektową.</w:t>
      </w:r>
    </w:p>
    <w:p w14:paraId="620FB43E" w14:textId="77777777" w:rsidR="00877526" w:rsidRPr="00A23FB4" w:rsidRDefault="00877526" w:rsidP="00877526">
      <w:pPr>
        <w:rPr>
          <w:rFonts w:ascii="Calibri" w:hAnsi="Calibri" w:cs="Calibri"/>
          <w:b/>
        </w:rPr>
      </w:pPr>
    </w:p>
    <w:p w14:paraId="0F8288D1" w14:textId="77777777" w:rsidR="00877526" w:rsidRPr="00A23FB4" w:rsidRDefault="00877526" w:rsidP="00877526">
      <w:pPr>
        <w:rPr>
          <w:rFonts w:ascii="Calibri" w:hAnsi="Calibri" w:cs="Calibri"/>
          <w:b/>
        </w:rPr>
      </w:pPr>
      <w:r w:rsidRPr="00A23FB4">
        <w:rPr>
          <w:rFonts w:ascii="Calibri" w:hAnsi="Calibri" w:cs="Calibri"/>
          <w:b/>
        </w:rPr>
        <w:t>6. KONTROLA JAKOŚCI ROBÓT</w:t>
      </w:r>
    </w:p>
    <w:p w14:paraId="1DC768AF" w14:textId="77777777" w:rsidR="00877526" w:rsidRPr="00A23FB4" w:rsidRDefault="00877526" w:rsidP="00877526">
      <w:pPr>
        <w:pStyle w:val="Nagwek4"/>
        <w:rPr>
          <w:rFonts w:ascii="Calibri" w:hAnsi="Calibri" w:cs="Calibri"/>
        </w:rPr>
      </w:pPr>
      <w:r w:rsidRPr="00A23FB4">
        <w:rPr>
          <w:rFonts w:ascii="Calibri" w:hAnsi="Calibri" w:cs="Calibri"/>
        </w:rPr>
        <w:t>6.1. Ogólne zasady kontroli jakości robót</w:t>
      </w:r>
    </w:p>
    <w:p w14:paraId="0607C23E" w14:textId="74AB5F3C" w:rsidR="00877526" w:rsidRPr="00A23FB4" w:rsidRDefault="00877526" w:rsidP="00877526">
      <w:pPr>
        <w:tabs>
          <w:tab w:val="left" w:pos="0"/>
        </w:tabs>
        <w:rPr>
          <w:rFonts w:ascii="Calibri" w:hAnsi="Calibri" w:cs="Calibri"/>
        </w:rPr>
      </w:pPr>
      <w:r w:rsidRPr="00A23FB4">
        <w:rPr>
          <w:rFonts w:ascii="Calibri" w:hAnsi="Calibri" w:cs="Calibri"/>
        </w:rPr>
        <w:t xml:space="preserve">Ogólne zasady kontroli jakości robót podano w </w:t>
      </w:r>
      <w:r w:rsidR="00D33A38">
        <w:rPr>
          <w:rFonts w:ascii="Calibri" w:hAnsi="Calibri" w:cs="Calibri"/>
        </w:rPr>
        <w:t>ST</w:t>
      </w:r>
      <w:r w:rsidRPr="00A23FB4">
        <w:rPr>
          <w:rFonts w:ascii="Calibri" w:hAnsi="Calibri" w:cs="Calibri"/>
        </w:rPr>
        <w:t>WiORB D-M-00.00.00 „Wymagania ogólne” pkt 6.</w:t>
      </w:r>
    </w:p>
    <w:p w14:paraId="72B36EA1" w14:textId="77777777" w:rsidR="00877526" w:rsidRPr="00A23FB4" w:rsidRDefault="00877526" w:rsidP="00877526">
      <w:pPr>
        <w:pStyle w:val="Nagwek4"/>
        <w:rPr>
          <w:rFonts w:ascii="Calibri" w:hAnsi="Calibri" w:cs="Calibri"/>
        </w:rPr>
      </w:pPr>
      <w:r w:rsidRPr="00A23FB4">
        <w:rPr>
          <w:rFonts w:ascii="Calibri" w:hAnsi="Calibri" w:cs="Calibri"/>
        </w:rPr>
        <w:t>6.2. Kontrola jakości prac pomiarowych</w:t>
      </w:r>
    </w:p>
    <w:p w14:paraId="68A819D6" w14:textId="77777777" w:rsidR="00877526" w:rsidRPr="00A23FB4" w:rsidRDefault="00877526" w:rsidP="00877526">
      <w:pPr>
        <w:tabs>
          <w:tab w:val="left" w:pos="0"/>
        </w:tabs>
        <w:rPr>
          <w:rFonts w:ascii="Calibri" w:hAnsi="Calibri" w:cs="Calibri"/>
        </w:rPr>
      </w:pPr>
      <w:r w:rsidRPr="00A23FB4">
        <w:rPr>
          <w:rFonts w:ascii="Calibri" w:hAnsi="Calibri" w:cs="Calibri"/>
        </w:rPr>
        <w:t>Kontrolę jakości prac pomiarowych związanych z odtworzeniem trasy i punktów wysokościowych należy prowadzić według ogólnych zasad określonych w instrukcjach i wytycznych GUGiK (1,2,3,4,5,6,7) zgodnie z wymaganiami podanymi w pkt 5.4.</w:t>
      </w:r>
    </w:p>
    <w:p w14:paraId="13F4109E" w14:textId="77777777" w:rsidR="00877526" w:rsidRPr="00A23FB4" w:rsidRDefault="00877526" w:rsidP="00877526">
      <w:pPr>
        <w:rPr>
          <w:rFonts w:ascii="Calibri" w:hAnsi="Calibri" w:cs="Calibri"/>
          <w:b/>
        </w:rPr>
      </w:pPr>
    </w:p>
    <w:p w14:paraId="152E4A21" w14:textId="77777777" w:rsidR="00877526" w:rsidRPr="00A23FB4" w:rsidRDefault="00877526" w:rsidP="00877526">
      <w:pPr>
        <w:rPr>
          <w:rFonts w:ascii="Calibri" w:hAnsi="Calibri" w:cs="Calibri"/>
          <w:b/>
        </w:rPr>
      </w:pPr>
      <w:r w:rsidRPr="00A23FB4">
        <w:rPr>
          <w:rFonts w:ascii="Calibri" w:hAnsi="Calibri" w:cs="Calibri"/>
          <w:b/>
        </w:rPr>
        <w:t>7. OBMIAR ROBÓT</w:t>
      </w:r>
    </w:p>
    <w:p w14:paraId="58F134E8" w14:textId="741488E8" w:rsidR="001A73F7" w:rsidRDefault="001A73F7" w:rsidP="00877526">
      <w:pPr>
        <w:tabs>
          <w:tab w:val="left" w:pos="0"/>
        </w:tabs>
        <w:rPr>
          <w:rFonts w:ascii="Calibri" w:hAnsi="Calibri" w:cs="Calibri"/>
        </w:rPr>
      </w:pPr>
      <w:r>
        <w:rPr>
          <w:rFonts w:ascii="Calibri" w:hAnsi="Calibri" w:cs="Calibri"/>
        </w:rPr>
        <w:t>Kontrakt ryczałtowy</w:t>
      </w:r>
    </w:p>
    <w:p w14:paraId="12FFB1E8" w14:textId="44ADC1D0" w:rsidR="00877526" w:rsidRPr="00A23FB4" w:rsidRDefault="00877526" w:rsidP="00877526">
      <w:pPr>
        <w:tabs>
          <w:tab w:val="left" w:pos="0"/>
        </w:tabs>
        <w:rPr>
          <w:rFonts w:ascii="Calibri" w:hAnsi="Calibri" w:cs="Calibri"/>
        </w:rPr>
      </w:pPr>
      <w:r w:rsidRPr="00A23FB4">
        <w:rPr>
          <w:rFonts w:ascii="Calibri" w:hAnsi="Calibri" w:cs="Calibri"/>
        </w:rPr>
        <w:t xml:space="preserve">Ogólne zasady obmiaru robót podano w </w:t>
      </w:r>
      <w:r w:rsidR="00D33A38">
        <w:rPr>
          <w:rFonts w:ascii="Calibri" w:hAnsi="Calibri" w:cs="Calibri"/>
        </w:rPr>
        <w:t>ST</w:t>
      </w:r>
      <w:r w:rsidRPr="00A23FB4">
        <w:rPr>
          <w:rFonts w:ascii="Calibri" w:hAnsi="Calibri" w:cs="Calibri"/>
        </w:rPr>
        <w:t xml:space="preserve">WiORB D-M-00.00.00 </w:t>
      </w:r>
      <w:r w:rsidR="001A73F7">
        <w:rPr>
          <w:rFonts w:ascii="Calibri" w:hAnsi="Calibri" w:cs="Calibri"/>
        </w:rPr>
        <w:t>Wymagani</w:t>
      </w:r>
      <w:r w:rsidRPr="00A23FB4">
        <w:rPr>
          <w:rFonts w:ascii="Calibri" w:hAnsi="Calibri" w:cs="Calibri"/>
        </w:rPr>
        <w:t>a ogólne” pkt 7.</w:t>
      </w:r>
    </w:p>
    <w:p w14:paraId="4BE1C7DA" w14:textId="77777777" w:rsidR="00877526" w:rsidRPr="00A23FB4" w:rsidRDefault="00877526" w:rsidP="00877526">
      <w:pPr>
        <w:rPr>
          <w:rFonts w:ascii="Calibri" w:hAnsi="Calibri" w:cs="Calibri"/>
          <w:b/>
        </w:rPr>
      </w:pPr>
    </w:p>
    <w:p w14:paraId="2FBCC22D" w14:textId="77777777" w:rsidR="00877526" w:rsidRPr="00A23FB4" w:rsidRDefault="00877526" w:rsidP="00877526">
      <w:pPr>
        <w:rPr>
          <w:rFonts w:ascii="Calibri" w:hAnsi="Calibri" w:cs="Calibri"/>
          <w:b/>
        </w:rPr>
      </w:pPr>
      <w:r w:rsidRPr="00A23FB4">
        <w:rPr>
          <w:rFonts w:ascii="Calibri" w:hAnsi="Calibri" w:cs="Calibri"/>
          <w:b/>
        </w:rPr>
        <w:t>8. ODBIÓR ROBÓT</w:t>
      </w:r>
    </w:p>
    <w:p w14:paraId="7771F2DD" w14:textId="77777777" w:rsidR="00877526" w:rsidRPr="00A23FB4" w:rsidRDefault="00877526" w:rsidP="00877526">
      <w:pPr>
        <w:pStyle w:val="Nagwek4"/>
        <w:rPr>
          <w:rFonts w:ascii="Calibri" w:hAnsi="Calibri" w:cs="Calibri"/>
        </w:rPr>
      </w:pPr>
      <w:r w:rsidRPr="00A23FB4">
        <w:rPr>
          <w:rFonts w:ascii="Calibri" w:hAnsi="Calibri" w:cs="Calibri"/>
        </w:rPr>
        <w:t>8.1. Ogólne zasady odbioru robót</w:t>
      </w:r>
    </w:p>
    <w:p w14:paraId="697F032A" w14:textId="34AC94D0" w:rsidR="00877526" w:rsidRPr="00A23FB4" w:rsidRDefault="00877526" w:rsidP="00877526">
      <w:pPr>
        <w:tabs>
          <w:tab w:val="left" w:pos="0"/>
        </w:tabs>
        <w:rPr>
          <w:rFonts w:ascii="Calibri" w:hAnsi="Calibri" w:cs="Calibri"/>
        </w:rPr>
      </w:pPr>
      <w:r w:rsidRPr="00A23FB4">
        <w:rPr>
          <w:rFonts w:ascii="Calibri" w:hAnsi="Calibri" w:cs="Calibri"/>
        </w:rPr>
        <w:t xml:space="preserve">Ogólne zasady odbioru robót podano w </w:t>
      </w:r>
      <w:r w:rsidR="00C31EC5">
        <w:rPr>
          <w:rFonts w:ascii="Calibri" w:hAnsi="Calibri" w:cs="Calibri"/>
        </w:rPr>
        <w:t>ST</w:t>
      </w:r>
      <w:r w:rsidRPr="00A23FB4">
        <w:rPr>
          <w:rFonts w:ascii="Calibri" w:hAnsi="Calibri" w:cs="Calibri"/>
        </w:rPr>
        <w:t>WiORB D-M-00.00.00 „Wymagania ogólne” pkt 8.</w:t>
      </w:r>
    </w:p>
    <w:p w14:paraId="48A95E44" w14:textId="77777777" w:rsidR="00877526" w:rsidRPr="00A23FB4" w:rsidRDefault="00877526" w:rsidP="00877526">
      <w:pPr>
        <w:pStyle w:val="Nagwek4"/>
        <w:rPr>
          <w:rFonts w:ascii="Calibri" w:hAnsi="Calibri" w:cs="Calibri"/>
        </w:rPr>
      </w:pPr>
      <w:r w:rsidRPr="00A23FB4">
        <w:rPr>
          <w:rFonts w:ascii="Calibri" w:hAnsi="Calibri" w:cs="Calibri"/>
        </w:rPr>
        <w:t>8.2. Sposób odbioru robót</w:t>
      </w:r>
    </w:p>
    <w:p w14:paraId="249221C9" w14:textId="77777777" w:rsidR="00877526" w:rsidRPr="00A23FB4" w:rsidRDefault="00877526" w:rsidP="00877526">
      <w:pPr>
        <w:tabs>
          <w:tab w:val="left" w:pos="0"/>
        </w:tabs>
        <w:rPr>
          <w:rFonts w:ascii="Calibri" w:hAnsi="Calibri" w:cs="Calibri"/>
        </w:rPr>
      </w:pPr>
      <w:r w:rsidRPr="00A23FB4">
        <w:rPr>
          <w:rFonts w:ascii="Calibri" w:hAnsi="Calibri" w:cs="Calibri"/>
        </w:rPr>
        <w:t>Odbiór robót związanych z odtworzeniem trasy w terenie następuje na podstawie szkiców i dzienników pomiarów geodezyjnych lub protokółu z kontroli geodezyjnej, które Wykonawca przedkłada Inżynierowi/Kierownikowi projektu.</w:t>
      </w:r>
    </w:p>
    <w:p w14:paraId="1526CFA6" w14:textId="77777777" w:rsidR="00877526" w:rsidRPr="00A23FB4" w:rsidRDefault="00877526" w:rsidP="00877526">
      <w:pPr>
        <w:rPr>
          <w:rFonts w:ascii="Calibri" w:hAnsi="Calibri" w:cs="Calibri"/>
          <w:b/>
        </w:rPr>
      </w:pPr>
    </w:p>
    <w:p w14:paraId="0CF8CC8E" w14:textId="77777777" w:rsidR="00877526" w:rsidRPr="00A23FB4" w:rsidRDefault="00877526" w:rsidP="00877526">
      <w:pPr>
        <w:rPr>
          <w:rFonts w:ascii="Calibri" w:hAnsi="Calibri" w:cs="Calibri"/>
          <w:b/>
        </w:rPr>
      </w:pPr>
      <w:r w:rsidRPr="00A23FB4">
        <w:rPr>
          <w:rFonts w:ascii="Calibri" w:hAnsi="Calibri" w:cs="Calibri"/>
          <w:b/>
        </w:rPr>
        <w:t>9. PODSTAWA PŁATNOŚCI</w:t>
      </w:r>
    </w:p>
    <w:p w14:paraId="2EFE38F4" w14:textId="77777777" w:rsidR="001A73F7" w:rsidRDefault="001A73F7" w:rsidP="00877526">
      <w:pPr>
        <w:tabs>
          <w:tab w:val="left" w:pos="0"/>
        </w:tabs>
        <w:rPr>
          <w:rFonts w:ascii="Calibri" w:hAnsi="Calibri" w:cs="Calibri"/>
        </w:rPr>
      </w:pPr>
    </w:p>
    <w:p w14:paraId="778225D6" w14:textId="56F2784E" w:rsidR="001A73F7" w:rsidRDefault="001A73F7" w:rsidP="00877526">
      <w:pPr>
        <w:tabs>
          <w:tab w:val="left" w:pos="0"/>
        </w:tabs>
        <w:rPr>
          <w:rFonts w:ascii="Calibri" w:hAnsi="Calibri" w:cs="Calibri"/>
        </w:rPr>
      </w:pPr>
      <w:r>
        <w:rPr>
          <w:rFonts w:ascii="Calibri" w:hAnsi="Calibri" w:cs="Calibri"/>
        </w:rPr>
        <w:t>Kontrakt ryczałtowy</w:t>
      </w:r>
    </w:p>
    <w:p w14:paraId="1250217D" w14:textId="0275AD33" w:rsidR="00877526" w:rsidRPr="00A23FB4" w:rsidRDefault="00877526" w:rsidP="00877526">
      <w:pPr>
        <w:tabs>
          <w:tab w:val="left" w:pos="0"/>
        </w:tabs>
        <w:rPr>
          <w:rFonts w:ascii="Calibri" w:hAnsi="Calibri" w:cs="Calibri"/>
        </w:rPr>
      </w:pPr>
      <w:r w:rsidRPr="00A23FB4">
        <w:rPr>
          <w:rFonts w:ascii="Calibri" w:hAnsi="Calibri" w:cs="Calibri"/>
        </w:rPr>
        <w:t xml:space="preserve">Ogólne ustalenia dotyczące podstawy płatności podano w </w:t>
      </w:r>
      <w:r w:rsidR="00C31EC5">
        <w:rPr>
          <w:rFonts w:ascii="Calibri" w:hAnsi="Calibri" w:cs="Calibri"/>
        </w:rPr>
        <w:t>ST</w:t>
      </w:r>
      <w:r w:rsidRPr="00A23FB4">
        <w:rPr>
          <w:rFonts w:ascii="Calibri" w:hAnsi="Calibri" w:cs="Calibri"/>
        </w:rPr>
        <w:t>WiORB D-M-00.00.00 „Wymagania ogólne” pkt 9.</w:t>
      </w:r>
    </w:p>
    <w:p w14:paraId="1C8E7058" w14:textId="77777777" w:rsidR="00877526" w:rsidRPr="00A23FB4" w:rsidRDefault="00877526" w:rsidP="00877526">
      <w:pPr>
        <w:tabs>
          <w:tab w:val="left" w:pos="0"/>
        </w:tabs>
        <w:rPr>
          <w:rFonts w:ascii="Calibri" w:hAnsi="Calibri" w:cs="Calibri"/>
        </w:rPr>
      </w:pPr>
      <w:r w:rsidRPr="00A23FB4">
        <w:rPr>
          <w:rFonts w:ascii="Calibri" w:hAnsi="Calibri" w:cs="Calibri"/>
        </w:rPr>
        <w:tab/>
      </w:r>
    </w:p>
    <w:p w14:paraId="1F789BB0" w14:textId="77777777" w:rsidR="00877526" w:rsidRPr="00A23FB4" w:rsidRDefault="00877526" w:rsidP="00877526">
      <w:pPr>
        <w:rPr>
          <w:rFonts w:ascii="Calibri" w:hAnsi="Calibri" w:cs="Calibri"/>
          <w:b/>
        </w:rPr>
      </w:pPr>
      <w:r w:rsidRPr="00A23FB4">
        <w:rPr>
          <w:rFonts w:ascii="Calibri" w:hAnsi="Calibri" w:cs="Calibri"/>
          <w:b/>
        </w:rPr>
        <w:t>10. PRZEPISY ZWIĄZANE</w:t>
      </w:r>
    </w:p>
    <w:p w14:paraId="70F97FDB" w14:textId="77777777" w:rsidR="00877526" w:rsidRPr="00C86F6B" w:rsidRDefault="00877526" w:rsidP="00262498">
      <w:pPr>
        <w:numPr>
          <w:ilvl w:val="0"/>
          <w:numId w:val="11"/>
        </w:numPr>
        <w:tabs>
          <w:tab w:val="left" w:pos="0"/>
        </w:tabs>
        <w:rPr>
          <w:rFonts w:ascii="Calibri" w:hAnsi="Calibri" w:cs="Calibri"/>
          <w:sz w:val="18"/>
          <w:szCs w:val="18"/>
        </w:rPr>
      </w:pPr>
      <w:r w:rsidRPr="00C86F6B">
        <w:rPr>
          <w:rFonts w:ascii="Calibri" w:hAnsi="Calibri" w:cs="Calibri"/>
          <w:sz w:val="18"/>
          <w:szCs w:val="18"/>
        </w:rPr>
        <w:t>Instrukcja techniczna 0-1. Ogólne zasady wykonywania prac geodezyjnych.</w:t>
      </w:r>
    </w:p>
    <w:p w14:paraId="2EAAFB5B" w14:textId="77777777" w:rsidR="00877526" w:rsidRPr="00C86F6B" w:rsidRDefault="00877526" w:rsidP="00262498">
      <w:pPr>
        <w:numPr>
          <w:ilvl w:val="0"/>
          <w:numId w:val="11"/>
        </w:numPr>
        <w:tabs>
          <w:tab w:val="left" w:pos="0"/>
        </w:tabs>
        <w:rPr>
          <w:rFonts w:ascii="Calibri" w:hAnsi="Calibri" w:cs="Calibri"/>
          <w:sz w:val="18"/>
          <w:szCs w:val="18"/>
        </w:rPr>
      </w:pPr>
      <w:r w:rsidRPr="00C86F6B">
        <w:rPr>
          <w:rFonts w:ascii="Calibri" w:hAnsi="Calibri" w:cs="Calibri"/>
          <w:sz w:val="18"/>
          <w:szCs w:val="18"/>
        </w:rPr>
        <w:t>Instrukcja techniczna G-3. Geodezyjna obsługa inwestycji, Główny Urząd Geodezji i Kartografii, Warszawa 1979.</w:t>
      </w:r>
    </w:p>
    <w:p w14:paraId="7079A334" w14:textId="77777777" w:rsidR="00877526" w:rsidRPr="00C86F6B" w:rsidRDefault="00877526" w:rsidP="00262498">
      <w:pPr>
        <w:numPr>
          <w:ilvl w:val="0"/>
          <w:numId w:val="11"/>
        </w:numPr>
        <w:tabs>
          <w:tab w:val="left" w:pos="0"/>
        </w:tabs>
        <w:rPr>
          <w:rFonts w:ascii="Calibri" w:hAnsi="Calibri" w:cs="Calibri"/>
          <w:sz w:val="18"/>
          <w:szCs w:val="18"/>
        </w:rPr>
      </w:pPr>
      <w:r w:rsidRPr="00C86F6B">
        <w:rPr>
          <w:rFonts w:ascii="Calibri" w:hAnsi="Calibri" w:cs="Calibri"/>
          <w:sz w:val="18"/>
          <w:szCs w:val="18"/>
        </w:rPr>
        <w:t>Instrukcja techniczna G-1. Geodezyjna osnowa pozioma, GUGiK 1978.</w:t>
      </w:r>
    </w:p>
    <w:p w14:paraId="0576F73B" w14:textId="77777777" w:rsidR="00877526" w:rsidRPr="00C86F6B" w:rsidRDefault="00877526" w:rsidP="00262498">
      <w:pPr>
        <w:numPr>
          <w:ilvl w:val="0"/>
          <w:numId w:val="11"/>
        </w:numPr>
        <w:tabs>
          <w:tab w:val="left" w:pos="0"/>
        </w:tabs>
        <w:rPr>
          <w:rFonts w:ascii="Calibri" w:hAnsi="Calibri" w:cs="Calibri"/>
          <w:sz w:val="18"/>
          <w:szCs w:val="18"/>
        </w:rPr>
      </w:pPr>
      <w:r w:rsidRPr="00C86F6B">
        <w:rPr>
          <w:rFonts w:ascii="Calibri" w:hAnsi="Calibri" w:cs="Calibri"/>
          <w:sz w:val="18"/>
          <w:szCs w:val="18"/>
        </w:rPr>
        <w:t>Instrukcja techniczna G-2. Wysokościowa osnowa geodezyjna, GUGiK 1983.</w:t>
      </w:r>
    </w:p>
    <w:p w14:paraId="3FF7574B" w14:textId="77777777" w:rsidR="00877526" w:rsidRPr="00C86F6B" w:rsidRDefault="00877526" w:rsidP="00262498">
      <w:pPr>
        <w:numPr>
          <w:ilvl w:val="0"/>
          <w:numId w:val="11"/>
        </w:numPr>
        <w:tabs>
          <w:tab w:val="left" w:pos="0"/>
        </w:tabs>
        <w:rPr>
          <w:rFonts w:ascii="Calibri" w:hAnsi="Calibri" w:cs="Calibri"/>
          <w:sz w:val="18"/>
          <w:szCs w:val="18"/>
        </w:rPr>
      </w:pPr>
      <w:r w:rsidRPr="00C86F6B">
        <w:rPr>
          <w:rFonts w:ascii="Calibri" w:hAnsi="Calibri" w:cs="Calibri"/>
          <w:sz w:val="18"/>
          <w:szCs w:val="18"/>
        </w:rPr>
        <w:t>Instrukcja techniczna G-4. Pomiary sytuacyjne i wysokościowe, GUGiK 1979.</w:t>
      </w:r>
    </w:p>
    <w:p w14:paraId="0EDCAF51" w14:textId="77777777" w:rsidR="00877526" w:rsidRPr="00C86F6B" w:rsidRDefault="00877526" w:rsidP="00262498">
      <w:pPr>
        <w:numPr>
          <w:ilvl w:val="0"/>
          <w:numId w:val="11"/>
        </w:numPr>
        <w:tabs>
          <w:tab w:val="left" w:pos="0"/>
        </w:tabs>
        <w:rPr>
          <w:rFonts w:ascii="Calibri" w:hAnsi="Calibri" w:cs="Calibri"/>
          <w:sz w:val="18"/>
          <w:szCs w:val="18"/>
        </w:rPr>
      </w:pPr>
      <w:r w:rsidRPr="00C86F6B">
        <w:rPr>
          <w:rFonts w:ascii="Calibri" w:hAnsi="Calibri" w:cs="Calibri"/>
          <w:sz w:val="18"/>
          <w:szCs w:val="18"/>
        </w:rPr>
        <w:t>Wytyczne techniczne G-3.2. Pomiary realizacyjne, GUGiK 1983.</w:t>
      </w:r>
    </w:p>
    <w:p w14:paraId="433E6C73" w14:textId="77777777" w:rsidR="00877526" w:rsidRPr="00C86F6B" w:rsidRDefault="00877526" w:rsidP="00262498">
      <w:pPr>
        <w:numPr>
          <w:ilvl w:val="0"/>
          <w:numId w:val="11"/>
        </w:numPr>
        <w:tabs>
          <w:tab w:val="left" w:pos="0"/>
        </w:tabs>
        <w:rPr>
          <w:rFonts w:ascii="Calibri" w:hAnsi="Calibri" w:cs="Calibri"/>
          <w:sz w:val="18"/>
          <w:szCs w:val="18"/>
        </w:rPr>
      </w:pPr>
      <w:r w:rsidRPr="00C86F6B">
        <w:rPr>
          <w:rFonts w:ascii="Calibri" w:hAnsi="Calibri" w:cs="Calibri"/>
          <w:sz w:val="18"/>
          <w:szCs w:val="18"/>
        </w:rPr>
        <w:t>Wytyczne techniczne G-3.1. Osnowy realizacyjne, GUGiK 1983.</w:t>
      </w:r>
    </w:p>
    <w:p w14:paraId="4CD35031" w14:textId="77777777" w:rsidR="00877526" w:rsidRPr="00A23FB4" w:rsidRDefault="00877526" w:rsidP="00877526">
      <w:pPr>
        <w:numPr>
          <w:ilvl w:val="12"/>
          <w:numId w:val="0"/>
        </w:numPr>
        <w:tabs>
          <w:tab w:val="left" w:pos="0"/>
        </w:tabs>
        <w:rPr>
          <w:rFonts w:ascii="Calibri" w:hAnsi="Calibri" w:cs="Calibri"/>
        </w:rPr>
      </w:pPr>
    </w:p>
    <w:p w14:paraId="61B84E87" w14:textId="77777777" w:rsidR="00877526" w:rsidRPr="00A23FB4" w:rsidRDefault="00877526" w:rsidP="00877526">
      <w:pPr>
        <w:pStyle w:val="Standardowytekst"/>
        <w:jc w:val="center"/>
        <w:rPr>
          <w:rFonts w:ascii="Calibri" w:hAnsi="Calibri" w:cs="Calibri"/>
          <w:b/>
          <w:bCs/>
          <w:sz w:val="28"/>
          <w:szCs w:val="28"/>
        </w:rPr>
      </w:pPr>
    </w:p>
    <w:p w14:paraId="76A96C01" w14:textId="77777777" w:rsidR="00877526" w:rsidRPr="00A23FB4" w:rsidRDefault="00877526" w:rsidP="00877526">
      <w:pPr>
        <w:pStyle w:val="Standardowytekst"/>
        <w:jc w:val="center"/>
        <w:rPr>
          <w:rFonts w:ascii="Calibri" w:hAnsi="Calibri" w:cs="Calibri"/>
          <w:b/>
          <w:bCs/>
          <w:sz w:val="28"/>
          <w:szCs w:val="28"/>
        </w:rPr>
      </w:pPr>
    </w:p>
    <w:p w14:paraId="5CA14FD5" w14:textId="77777777" w:rsidR="00877526" w:rsidRPr="00A23FB4" w:rsidRDefault="00877526" w:rsidP="00F408AB">
      <w:pPr>
        <w:jc w:val="center"/>
        <w:rPr>
          <w:rFonts w:ascii="Calibri" w:hAnsi="Calibri" w:cs="Calibri"/>
          <w:b/>
          <w:sz w:val="22"/>
          <w:szCs w:val="22"/>
        </w:rPr>
      </w:pPr>
    </w:p>
    <w:p w14:paraId="338086C1" w14:textId="77777777" w:rsidR="00877526" w:rsidRPr="00A23FB4" w:rsidRDefault="00877526" w:rsidP="00F408AB">
      <w:pPr>
        <w:jc w:val="center"/>
        <w:rPr>
          <w:rFonts w:ascii="Calibri" w:hAnsi="Calibri" w:cs="Calibri"/>
          <w:b/>
          <w:sz w:val="22"/>
          <w:szCs w:val="22"/>
        </w:rPr>
      </w:pPr>
    </w:p>
    <w:p w14:paraId="64BE74ED" w14:textId="77777777" w:rsidR="00877526" w:rsidRPr="00A23FB4" w:rsidRDefault="00877526" w:rsidP="00F408AB">
      <w:pPr>
        <w:jc w:val="center"/>
        <w:rPr>
          <w:rFonts w:ascii="Calibri" w:hAnsi="Calibri" w:cs="Calibri"/>
          <w:b/>
          <w:sz w:val="22"/>
          <w:szCs w:val="22"/>
        </w:rPr>
      </w:pPr>
    </w:p>
    <w:p w14:paraId="799887A1" w14:textId="77777777" w:rsidR="00877526" w:rsidRPr="00A23FB4" w:rsidRDefault="00877526" w:rsidP="00F408AB">
      <w:pPr>
        <w:jc w:val="center"/>
        <w:rPr>
          <w:rFonts w:ascii="Calibri" w:hAnsi="Calibri" w:cs="Calibri"/>
          <w:b/>
          <w:sz w:val="22"/>
          <w:szCs w:val="22"/>
        </w:rPr>
      </w:pPr>
    </w:p>
    <w:p w14:paraId="4C6D9755" w14:textId="77777777" w:rsidR="00570DE6" w:rsidRPr="00A23FB4" w:rsidRDefault="00570DE6" w:rsidP="00F408AB">
      <w:pPr>
        <w:jc w:val="center"/>
        <w:rPr>
          <w:rFonts w:ascii="Calibri" w:hAnsi="Calibri" w:cs="Calibri"/>
          <w:b/>
          <w:sz w:val="22"/>
          <w:szCs w:val="22"/>
        </w:rPr>
      </w:pPr>
    </w:p>
    <w:p w14:paraId="23536761" w14:textId="77777777" w:rsidR="00570DE6" w:rsidRPr="00A23FB4" w:rsidRDefault="00570DE6" w:rsidP="00F408AB">
      <w:pPr>
        <w:jc w:val="center"/>
        <w:rPr>
          <w:rFonts w:ascii="Calibri" w:hAnsi="Calibri" w:cs="Calibri"/>
          <w:b/>
          <w:sz w:val="22"/>
          <w:szCs w:val="22"/>
        </w:rPr>
      </w:pPr>
    </w:p>
    <w:p w14:paraId="2EC959F8" w14:textId="77777777" w:rsidR="001A73F7" w:rsidRDefault="001A73F7">
      <w:pPr>
        <w:overflowPunct/>
        <w:autoSpaceDE/>
        <w:autoSpaceDN/>
        <w:adjustRightInd/>
        <w:jc w:val="left"/>
        <w:textAlignment w:val="auto"/>
        <w:rPr>
          <w:rFonts w:ascii="Calibri" w:hAnsi="Calibri" w:cs="Calibri"/>
          <w:b/>
          <w:sz w:val="22"/>
          <w:szCs w:val="22"/>
        </w:rPr>
      </w:pPr>
      <w:r>
        <w:rPr>
          <w:rFonts w:ascii="Calibri" w:hAnsi="Calibri" w:cs="Calibri"/>
          <w:b/>
          <w:sz w:val="22"/>
          <w:szCs w:val="22"/>
        </w:rPr>
        <w:br w:type="page"/>
      </w:r>
    </w:p>
    <w:p w14:paraId="51B1C35D" w14:textId="69DBC2B4" w:rsidR="00C975A0" w:rsidRPr="00A23FB4" w:rsidRDefault="00EE6D03" w:rsidP="00C975A0">
      <w:pPr>
        <w:spacing w:line="360" w:lineRule="auto"/>
        <w:jc w:val="center"/>
        <w:rPr>
          <w:rFonts w:ascii="Calibri" w:hAnsi="Calibri" w:cs="Calibri"/>
          <w:b/>
          <w:sz w:val="22"/>
          <w:szCs w:val="22"/>
        </w:rPr>
      </w:pPr>
      <w:r>
        <w:rPr>
          <w:rFonts w:ascii="Calibri" w:hAnsi="Calibri" w:cs="Calibri"/>
          <w:b/>
          <w:sz w:val="22"/>
          <w:szCs w:val="22"/>
        </w:rPr>
        <w:t>SZCZEGÓŁOWE SPECYFIKACJE TECHNICZNE</w:t>
      </w:r>
      <w:r w:rsidR="00C975A0" w:rsidRPr="00A23FB4">
        <w:rPr>
          <w:rFonts w:ascii="Calibri" w:hAnsi="Calibri" w:cs="Calibri"/>
          <w:b/>
          <w:sz w:val="22"/>
          <w:szCs w:val="22"/>
        </w:rPr>
        <w:t xml:space="preserve"> WYKONANIA I ODBIORU ROBÓT BUDOWLANYCH</w:t>
      </w:r>
      <w:bookmarkStart w:id="42" w:name="_Toc352837478"/>
      <w:bookmarkStart w:id="43" w:name="_Toc430694545"/>
    </w:p>
    <w:p w14:paraId="2BA0996F" w14:textId="77777777" w:rsidR="00C975A0" w:rsidRPr="00A23FB4" w:rsidRDefault="00C975A0" w:rsidP="00C975A0">
      <w:pPr>
        <w:pStyle w:val="Nagowek1"/>
        <w:spacing w:before="0"/>
      </w:pPr>
      <w:bookmarkStart w:id="44" w:name="_Toc206275466"/>
      <w:r w:rsidRPr="00A23FB4">
        <w:t>D-01.02.01  USUNIĘCIE DRZEW I KRZAKÓW</w:t>
      </w:r>
      <w:bookmarkEnd w:id="42"/>
      <w:bookmarkEnd w:id="43"/>
      <w:bookmarkEnd w:id="44"/>
    </w:p>
    <w:p w14:paraId="4B2AF836" w14:textId="77777777" w:rsidR="00C975A0" w:rsidRPr="00A23FB4" w:rsidRDefault="00C975A0" w:rsidP="00C975A0">
      <w:pPr>
        <w:pStyle w:val="Standardowytekst"/>
        <w:rPr>
          <w:rFonts w:ascii="Calibri" w:hAnsi="Calibri" w:cs="Calibri"/>
          <w:b/>
          <w:bCs/>
          <w:sz w:val="24"/>
          <w:szCs w:val="24"/>
        </w:rPr>
      </w:pPr>
    </w:p>
    <w:p w14:paraId="4A8114FF" w14:textId="77777777" w:rsidR="00C975A0" w:rsidRPr="00A23FB4" w:rsidRDefault="00C975A0" w:rsidP="00C975A0">
      <w:pPr>
        <w:rPr>
          <w:rFonts w:ascii="Calibri" w:hAnsi="Calibri" w:cs="Calibri"/>
          <w:b/>
        </w:rPr>
      </w:pPr>
      <w:r w:rsidRPr="00A23FB4">
        <w:rPr>
          <w:rFonts w:ascii="Calibri" w:hAnsi="Calibri" w:cs="Calibri"/>
          <w:b/>
        </w:rPr>
        <w:t>1. WSTĘP</w:t>
      </w:r>
    </w:p>
    <w:p w14:paraId="550F4B42" w14:textId="5AC62440" w:rsidR="00C975A0" w:rsidRPr="00A23FB4" w:rsidRDefault="00C975A0" w:rsidP="00C975A0">
      <w:pPr>
        <w:pStyle w:val="Nagwek4"/>
        <w:rPr>
          <w:rFonts w:ascii="Calibri" w:hAnsi="Calibri" w:cs="Calibri"/>
        </w:rPr>
      </w:pPr>
      <w:r w:rsidRPr="00A23FB4">
        <w:rPr>
          <w:rFonts w:ascii="Calibri" w:hAnsi="Calibri" w:cs="Calibri"/>
        </w:rPr>
        <w:t xml:space="preserve">1.1.Przedmiot </w:t>
      </w:r>
      <w:r w:rsidR="00C31EC5">
        <w:rPr>
          <w:rFonts w:ascii="Calibri" w:hAnsi="Calibri" w:cs="Calibri"/>
        </w:rPr>
        <w:t>ST</w:t>
      </w:r>
      <w:r w:rsidRPr="00A23FB4">
        <w:rPr>
          <w:rFonts w:ascii="Calibri" w:hAnsi="Calibri" w:cs="Calibri"/>
        </w:rPr>
        <w:t>WiORB</w:t>
      </w:r>
    </w:p>
    <w:p w14:paraId="46C70DE6" w14:textId="7CB3C100" w:rsidR="00C975A0" w:rsidRPr="00A23FB4" w:rsidRDefault="00C975A0" w:rsidP="00C975A0">
      <w:pPr>
        <w:tabs>
          <w:tab w:val="left" w:pos="0"/>
        </w:tabs>
        <w:rPr>
          <w:rFonts w:ascii="Calibri" w:hAnsi="Calibri" w:cs="Calibri"/>
        </w:rPr>
      </w:pPr>
      <w:r w:rsidRPr="00A23FB4">
        <w:rPr>
          <w:rFonts w:ascii="Calibri" w:hAnsi="Calibri" w:cs="Calibri"/>
        </w:rPr>
        <w:t>Przedmiotem niniejsz</w:t>
      </w:r>
      <w:r w:rsidR="001A73F7">
        <w:rPr>
          <w:rFonts w:ascii="Calibri" w:hAnsi="Calibri" w:cs="Calibri"/>
        </w:rPr>
        <w:t>ej</w:t>
      </w:r>
      <w:r w:rsidRPr="00A23FB4">
        <w:rPr>
          <w:rFonts w:ascii="Calibri" w:hAnsi="Calibri" w:cs="Calibri"/>
        </w:rPr>
        <w:t xml:space="preserve"> </w:t>
      </w:r>
      <w:r w:rsidR="00CC3578">
        <w:rPr>
          <w:rFonts w:ascii="Calibri" w:hAnsi="Calibri" w:cs="Calibri"/>
        </w:rPr>
        <w:t>specyfikacji</w:t>
      </w:r>
      <w:r w:rsidRPr="00A23FB4">
        <w:rPr>
          <w:rFonts w:ascii="Calibri" w:hAnsi="Calibri" w:cs="Calibri"/>
        </w:rPr>
        <w:t xml:space="preserve"> są wymagania dotyczące wykonan</w:t>
      </w:r>
      <w:r w:rsidR="0050007F" w:rsidRPr="00A23FB4">
        <w:rPr>
          <w:rFonts w:ascii="Calibri" w:hAnsi="Calibri" w:cs="Calibri"/>
        </w:rPr>
        <w:t>ia i odbioru robót związanych z </w:t>
      </w:r>
      <w:r w:rsidRPr="00A23FB4">
        <w:rPr>
          <w:rFonts w:ascii="Calibri" w:hAnsi="Calibri" w:cs="Calibri"/>
        </w:rPr>
        <w:t>usunięciem drzew i krzaków rosnących w pasie drogowym.</w:t>
      </w:r>
    </w:p>
    <w:p w14:paraId="5D6D121C" w14:textId="2AA4C242" w:rsidR="00C975A0" w:rsidRPr="00A23FB4" w:rsidRDefault="00C975A0" w:rsidP="00C975A0">
      <w:pPr>
        <w:pStyle w:val="Nagwek4"/>
        <w:rPr>
          <w:rFonts w:ascii="Calibri" w:hAnsi="Calibri" w:cs="Calibri"/>
        </w:rPr>
      </w:pPr>
      <w:r w:rsidRPr="00A23FB4">
        <w:rPr>
          <w:rFonts w:ascii="Calibri" w:hAnsi="Calibri" w:cs="Calibri"/>
        </w:rPr>
        <w:t xml:space="preserve">1.2. Zakres stosowania </w:t>
      </w:r>
      <w:r w:rsidR="00C31EC5">
        <w:rPr>
          <w:rFonts w:ascii="Calibri" w:hAnsi="Calibri" w:cs="Calibri"/>
        </w:rPr>
        <w:t>ST</w:t>
      </w:r>
      <w:r w:rsidRPr="00A23FB4">
        <w:rPr>
          <w:rFonts w:ascii="Calibri" w:hAnsi="Calibri" w:cs="Calibri"/>
        </w:rPr>
        <w:t>WiORB</w:t>
      </w:r>
    </w:p>
    <w:p w14:paraId="55D406DA" w14:textId="35BFD74E" w:rsidR="00CF795A" w:rsidRDefault="00575C66" w:rsidP="00CF795A">
      <w:pPr>
        <w:overflowPunct/>
        <w:spacing w:before="240" w:line="276" w:lineRule="auto"/>
        <w:textAlignment w:val="auto"/>
        <w:rPr>
          <w:rFonts w:ascii="Calibri" w:hAnsi="Calibri" w:cs="Calibri"/>
        </w:rPr>
      </w:pPr>
      <w:r>
        <w:rPr>
          <w:rFonts w:ascii="Calibri" w:hAnsi="Calibri" w:cs="Calibri"/>
        </w:rPr>
        <w:t>Specyfikacj</w:t>
      </w:r>
      <w:r w:rsidR="001A73F7">
        <w:rPr>
          <w:rFonts w:ascii="Calibri" w:hAnsi="Calibri" w:cs="Calibri"/>
        </w:rPr>
        <w:t>a</w:t>
      </w:r>
      <w:r w:rsidRPr="00A23FB4">
        <w:rPr>
          <w:rFonts w:ascii="Calibri" w:hAnsi="Calibri" w:cs="Calibri"/>
        </w:rPr>
        <w:t xml:space="preserve"> </w:t>
      </w:r>
      <w:r w:rsidR="00C975A0" w:rsidRPr="00A23FB4">
        <w:rPr>
          <w:rFonts w:ascii="Calibri" w:hAnsi="Calibri" w:cs="Calibri"/>
        </w:rPr>
        <w:t>stanowi dokument kontraktowy przy realizacji  zadania</w:t>
      </w:r>
      <w:r w:rsidR="00A66985" w:rsidRPr="00615B10">
        <w:rPr>
          <w:rFonts w:asciiTheme="minorHAnsi" w:hAnsiTheme="minorHAnsi" w:cstheme="minorHAnsi"/>
        </w:rPr>
        <w:t xml:space="preserve"> </w:t>
      </w:r>
      <w:r w:rsidR="00506838">
        <w:rPr>
          <w:rFonts w:ascii="Calibri" w:hAnsi="Calibri" w:cs="Calibri"/>
        </w:rPr>
        <w:t>„</w:t>
      </w:r>
      <w:r w:rsidR="00BA1CBA" w:rsidRPr="00BA1CBA">
        <w:rPr>
          <w:rFonts w:ascii="Calibri" w:hAnsi="Calibri" w:cs="Calibri"/>
        </w:rPr>
        <w:t>Rozbudowa ul. Wrocławskiej w ciągu drogi powiatowej w Tyńcu Małym wraz z rozbudową istniejącego skrzyżowania typu rondo na połączeniu dróg krajowych nr 35 i 35a oraz łącznika węzła Kobierzyce drogi S8e oraz infrastrukturą towarzyszącą w ramach zadania „Rozbudowa skrzyżowania typu rondo w ciągu DK35 koło m. Tyniec Mały usprawniająca skomunikowanie obszarów Podstrefy Wrocław – Kobierzyce TSSE EURO PARK WISŁOSAN”.</w:t>
      </w:r>
    </w:p>
    <w:p w14:paraId="730BE094" w14:textId="4217B056" w:rsidR="00615B10" w:rsidRDefault="00615B10" w:rsidP="00615B10">
      <w:pPr>
        <w:rPr>
          <w:rFonts w:ascii="Calibri" w:hAnsi="Calibri" w:cs="Calibri"/>
          <w:b/>
          <w:bCs/>
        </w:rPr>
      </w:pPr>
    </w:p>
    <w:p w14:paraId="49CDE1EA" w14:textId="46E78FEB" w:rsidR="00C975A0" w:rsidRPr="00BA1CBA" w:rsidRDefault="00C975A0" w:rsidP="00615B10">
      <w:pPr>
        <w:rPr>
          <w:rFonts w:ascii="Calibri" w:hAnsi="Calibri" w:cs="Calibri"/>
          <w:b/>
          <w:bCs/>
        </w:rPr>
      </w:pPr>
      <w:r w:rsidRPr="00BA1CBA">
        <w:rPr>
          <w:rFonts w:ascii="Calibri" w:hAnsi="Calibri" w:cs="Calibri"/>
          <w:b/>
          <w:bCs/>
        </w:rPr>
        <w:t xml:space="preserve">1.3. Zakres robót objętych </w:t>
      </w:r>
      <w:r w:rsidR="00C31EC5" w:rsidRPr="00BA1CBA">
        <w:rPr>
          <w:rFonts w:ascii="Calibri" w:hAnsi="Calibri" w:cs="Calibri"/>
          <w:b/>
          <w:bCs/>
        </w:rPr>
        <w:t>ST</w:t>
      </w:r>
      <w:r w:rsidRPr="00BA1CBA">
        <w:rPr>
          <w:rFonts w:ascii="Calibri" w:hAnsi="Calibri" w:cs="Calibri"/>
          <w:b/>
          <w:bCs/>
        </w:rPr>
        <w:t>WiORB</w:t>
      </w:r>
    </w:p>
    <w:p w14:paraId="7A609C74" w14:textId="3ABBFCEA" w:rsidR="00C975A0" w:rsidRPr="00A23FB4" w:rsidRDefault="00C975A0" w:rsidP="00C975A0">
      <w:pPr>
        <w:tabs>
          <w:tab w:val="left" w:pos="0"/>
        </w:tabs>
        <w:rPr>
          <w:rFonts w:ascii="Calibri" w:hAnsi="Calibri" w:cs="Calibri"/>
        </w:rPr>
      </w:pPr>
      <w:r w:rsidRPr="00A23FB4">
        <w:rPr>
          <w:rFonts w:ascii="Calibri" w:hAnsi="Calibri" w:cs="Calibri"/>
        </w:rPr>
        <w:t xml:space="preserve">Ustalenia zawarte w niniejszych </w:t>
      </w:r>
      <w:r w:rsidR="00EE6D03">
        <w:rPr>
          <w:rFonts w:ascii="Calibri" w:hAnsi="Calibri" w:cs="Calibri"/>
        </w:rPr>
        <w:t>specyfikacjach</w:t>
      </w:r>
      <w:r w:rsidRPr="00A23FB4">
        <w:rPr>
          <w:rFonts w:ascii="Calibri" w:hAnsi="Calibri" w:cs="Calibri"/>
        </w:rPr>
        <w:t xml:space="preserve"> dotyczą zasad prowadzenia robót związanych z usunięciem </w:t>
      </w:r>
      <w:r w:rsidR="00772205" w:rsidRPr="00A23FB4">
        <w:rPr>
          <w:rFonts w:ascii="Calibri" w:hAnsi="Calibri" w:cs="Calibri"/>
        </w:rPr>
        <w:t xml:space="preserve">drzew oraz </w:t>
      </w:r>
      <w:r w:rsidRPr="00A23FB4">
        <w:rPr>
          <w:rFonts w:ascii="Calibri" w:hAnsi="Calibri" w:cs="Calibri"/>
        </w:rPr>
        <w:t>krzaków, wykonywanych w ramach robót przygotowawczych.</w:t>
      </w:r>
    </w:p>
    <w:p w14:paraId="675F1529" w14:textId="77777777" w:rsidR="00C975A0" w:rsidRPr="00A23FB4" w:rsidRDefault="00C975A0" w:rsidP="00C975A0">
      <w:pPr>
        <w:pStyle w:val="Nagwek4"/>
        <w:rPr>
          <w:rFonts w:ascii="Calibri" w:hAnsi="Calibri" w:cs="Calibri"/>
        </w:rPr>
      </w:pPr>
      <w:r w:rsidRPr="00A23FB4">
        <w:rPr>
          <w:rFonts w:ascii="Calibri" w:hAnsi="Calibri" w:cs="Calibri"/>
        </w:rPr>
        <w:t>1.4. Określenia podstawowe</w:t>
      </w:r>
    </w:p>
    <w:p w14:paraId="45BBAC06" w14:textId="35A99AFF" w:rsidR="00C975A0" w:rsidRPr="00A23FB4" w:rsidRDefault="00C975A0" w:rsidP="00C975A0">
      <w:pPr>
        <w:tabs>
          <w:tab w:val="left" w:pos="0"/>
        </w:tabs>
        <w:rPr>
          <w:rFonts w:ascii="Calibri" w:hAnsi="Calibri" w:cs="Calibri"/>
        </w:rPr>
      </w:pPr>
      <w:r w:rsidRPr="00A23FB4">
        <w:rPr>
          <w:rFonts w:ascii="Calibri" w:hAnsi="Calibri" w:cs="Calibri"/>
        </w:rPr>
        <w:t>Stosowane określenia podstawowe są zgodne z obowiązującymi, odpow</w:t>
      </w:r>
      <w:r w:rsidR="0050007F" w:rsidRPr="00A23FB4">
        <w:rPr>
          <w:rFonts w:ascii="Calibri" w:hAnsi="Calibri" w:cs="Calibri"/>
        </w:rPr>
        <w:t>iednimi polskimi normami oraz z </w:t>
      </w:r>
      <w:r w:rsidRPr="00A23FB4">
        <w:rPr>
          <w:rFonts w:ascii="Calibri" w:hAnsi="Calibri" w:cs="Calibri"/>
        </w:rPr>
        <w:t xml:space="preserve">definicjami podanymi w </w:t>
      </w:r>
      <w:r w:rsidR="00C31EC5">
        <w:rPr>
          <w:rFonts w:ascii="Calibri" w:hAnsi="Calibri" w:cs="Calibri"/>
        </w:rPr>
        <w:t>ST</w:t>
      </w:r>
      <w:r w:rsidRPr="00A23FB4">
        <w:rPr>
          <w:rFonts w:ascii="Calibri" w:hAnsi="Calibri" w:cs="Calibri"/>
        </w:rPr>
        <w:t>WiORB D-M-00.00.00 „Wymagania ogólne” pkt 1.4.</w:t>
      </w:r>
    </w:p>
    <w:p w14:paraId="4BC32BC2" w14:textId="77777777" w:rsidR="00C975A0" w:rsidRPr="00A23FB4" w:rsidRDefault="00C975A0" w:rsidP="00C975A0">
      <w:pPr>
        <w:pStyle w:val="Nagwek4"/>
        <w:rPr>
          <w:rFonts w:ascii="Calibri" w:hAnsi="Calibri" w:cs="Calibri"/>
        </w:rPr>
      </w:pPr>
      <w:r w:rsidRPr="00A23FB4">
        <w:rPr>
          <w:rFonts w:ascii="Calibri" w:hAnsi="Calibri" w:cs="Calibri"/>
        </w:rPr>
        <w:t>1.5. Ogólne wymagania dotyczące robót</w:t>
      </w:r>
    </w:p>
    <w:p w14:paraId="1972998E" w14:textId="20D097B5" w:rsidR="00C975A0" w:rsidRPr="00A23FB4" w:rsidRDefault="00C975A0" w:rsidP="00C975A0">
      <w:pPr>
        <w:tabs>
          <w:tab w:val="left" w:pos="0"/>
        </w:tabs>
        <w:rPr>
          <w:rFonts w:ascii="Calibri" w:hAnsi="Calibri" w:cs="Calibri"/>
        </w:rPr>
      </w:pPr>
      <w:r w:rsidRPr="00A23FB4">
        <w:rPr>
          <w:rFonts w:ascii="Calibri" w:hAnsi="Calibri" w:cs="Calibri"/>
        </w:rPr>
        <w:t>Ogólne wymagania dotyczące robót podano w</w:t>
      </w:r>
      <w:r w:rsidR="00BA1CBA">
        <w:rPr>
          <w:rFonts w:ascii="Calibri" w:hAnsi="Calibri" w:cs="Calibri"/>
        </w:rPr>
        <w:t xml:space="preserve"> ST</w:t>
      </w:r>
      <w:r w:rsidRPr="00A23FB4">
        <w:rPr>
          <w:rFonts w:ascii="Calibri" w:hAnsi="Calibri" w:cs="Calibri"/>
        </w:rPr>
        <w:t>WiORB D-M-00.00.00 „Wymagania ogólne” pkt 1.5.</w:t>
      </w:r>
    </w:p>
    <w:p w14:paraId="5C799B86" w14:textId="77777777" w:rsidR="00C975A0" w:rsidRPr="00A23FB4" w:rsidRDefault="00C975A0" w:rsidP="00C975A0">
      <w:pPr>
        <w:tabs>
          <w:tab w:val="left" w:pos="0"/>
        </w:tabs>
        <w:rPr>
          <w:rFonts w:ascii="Calibri" w:hAnsi="Calibri" w:cs="Calibri"/>
        </w:rPr>
      </w:pPr>
    </w:p>
    <w:p w14:paraId="405053B3" w14:textId="77777777" w:rsidR="00C975A0" w:rsidRPr="00A23FB4" w:rsidRDefault="00C975A0" w:rsidP="00C975A0">
      <w:pPr>
        <w:rPr>
          <w:rFonts w:ascii="Calibri" w:hAnsi="Calibri" w:cs="Calibri"/>
          <w:b/>
        </w:rPr>
      </w:pPr>
      <w:r w:rsidRPr="00A23FB4">
        <w:rPr>
          <w:rFonts w:ascii="Calibri" w:hAnsi="Calibri" w:cs="Calibri"/>
          <w:b/>
        </w:rPr>
        <w:t>2. MATERIAŁY</w:t>
      </w:r>
    </w:p>
    <w:p w14:paraId="64A7C2B5" w14:textId="77777777" w:rsidR="00C975A0" w:rsidRPr="00A23FB4" w:rsidRDefault="00C975A0" w:rsidP="00C975A0">
      <w:pPr>
        <w:tabs>
          <w:tab w:val="left" w:pos="0"/>
        </w:tabs>
        <w:rPr>
          <w:rFonts w:ascii="Calibri" w:hAnsi="Calibri" w:cs="Calibri"/>
        </w:rPr>
      </w:pPr>
      <w:r w:rsidRPr="00A23FB4">
        <w:rPr>
          <w:rFonts w:ascii="Calibri" w:hAnsi="Calibri" w:cs="Calibri"/>
        </w:rPr>
        <w:t>Nie występują.</w:t>
      </w:r>
    </w:p>
    <w:p w14:paraId="12E57AF0" w14:textId="77777777" w:rsidR="00C975A0" w:rsidRPr="00A23FB4" w:rsidRDefault="00C975A0" w:rsidP="00C975A0">
      <w:pPr>
        <w:tabs>
          <w:tab w:val="left" w:pos="0"/>
        </w:tabs>
        <w:rPr>
          <w:rFonts w:ascii="Calibri" w:hAnsi="Calibri" w:cs="Calibri"/>
        </w:rPr>
      </w:pPr>
    </w:p>
    <w:p w14:paraId="08AA1338" w14:textId="77777777" w:rsidR="00C975A0" w:rsidRPr="00A23FB4" w:rsidRDefault="00C975A0" w:rsidP="00C975A0">
      <w:pPr>
        <w:rPr>
          <w:rFonts w:ascii="Calibri" w:hAnsi="Calibri" w:cs="Calibri"/>
          <w:b/>
        </w:rPr>
      </w:pPr>
      <w:r w:rsidRPr="00A23FB4">
        <w:rPr>
          <w:rFonts w:ascii="Calibri" w:hAnsi="Calibri" w:cs="Calibri"/>
          <w:b/>
        </w:rPr>
        <w:t>3. SPRZĘT</w:t>
      </w:r>
    </w:p>
    <w:p w14:paraId="7FB01080" w14:textId="77777777" w:rsidR="00C975A0" w:rsidRPr="00A23FB4" w:rsidRDefault="00C975A0" w:rsidP="00C975A0">
      <w:pPr>
        <w:pStyle w:val="Nagwek4"/>
        <w:tabs>
          <w:tab w:val="left" w:pos="9914"/>
        </w:tabs>
        <w:rPr>
          <w:rFonts w:ascii="Calibri" w:hAnsi="Calibri" w:cs="Calibri"/>
        </w:rPr>
      </w:pPr>
      <w:r w:rsidRPr="00A23FB4">
        <w:rPr>
          <w:rFonts w:ascii="Calibri" w:hAnsi="Calibri" w:cs="Calibri"/>
        </w:rPr>
        <w:t>3.1. Ogólne wymagania dotyczące sprzętu</w:t>
      </w:r>
    </w:p>
    <w:p w14:paraId="2075F171" w14:textId="058DAA2E" w:rsidR="00C975A0" w:rsidRPr="00A23FB4" w:rsidRDefault="00C975A0" w:rsidP="00C975A0">
      <w:pPr>
        <w:tabs>
          <w:tab w:val="left" w:pos="0"/>
          <w:tab w:val="left" w:pos="9914"/>
        </w:tabs>
        <w:rPr>
          <w:rFonts w:ascii="Calibri" w:hAnsi="Calibri" w:cs="Calibri"/>
        </w:rPr>
      </w:pPr>
      <w:r w:rsidRPr="00A23FB4">
        <w:rPr>
          <w:rFonts w:ascii="Calibri" w:hAnsi="Calibri" w:cs="Calibri"/>
        </w:rPr>
        <w:t xml:space="preserve">Ogólne wymagania dotyczące sprzętu podano w </w:t>
      </w:r>
      <w:r w:rsidR="00BA1CBA">
        <w:rPr>
          <w:rFonts w:ascii="Calibri" w:hAnsi="Calibri" w:cs="Calibri"/>
        </w:rPr>
        <w:t>ST</w:t>
      </w:r>
      <w:r w:rsidRPr="00A23FB4">
        <w:rPr>
          <w:rFonts w:ascii="Calibri" w:hAnsi="Calibri" w:cs="Calibri"/>
        </w:rPr>
        <w:t>WiORB D-M-00.00.00 „Wymagania ogólne” pkt 3.</w:t>
      </w:r>
    </w:p>
    <w:p w14:paraId="67BC481A" w14:textId="77777777" w:rsidR="00C975A0" w:rsidRPr="00A23FB4" w:rsidRDefault="00C975A0" w:rsidP="00C975A0">
      <w:pPr>
        <w:pStyle w:val="Nagwek4"/>
        <w:tabs>
          <w:tab w:val="left" w:pos="9914"/>
        </w:tabs>
        <w:rPr>
          <w:rFonts w:ascii="Calibri" w:hAnsi="Calibri" w:cs="Calibri"/>
        </w:rPr>
      </w:pPr>
      <w:r w:rsidRPr="00A23FB4">
        <w:rPr>
          <w:rFonts w:ascii="Calibri" w:hAnsi="Calibri" w:cs="Calibri"/>
        </w:rPr>
        <w:t>3.2. Sprzęt do usuwania drzew i krzaków</w:t>
      </w:r>
    </w:p>
    <w:p w14:paraId="3D26F54C" w14:textId="77777777" w:rsidR="00C975A0" w:rsidRPr="00A23FB4" w:rsidRDefault="00C975A0" w:rsidP="00C975A0">
      <w:pPr>
        <w:tabs>
          <w:tab w:val="left" w:pos="0"/>
          <w:tab w:val="left" w:pos="9914"/>
        </w:tabs>
        <w:rPr>
          <w:rFonts w:ascii="Calibri" w:hAnsi="Calibri" w:cs="Calibri"/>
        </w:rPr>
      </w:pPr>
      <w:r w:rsidRPr="00A23FB4">
        <w:rPr>
          <w:rFonts w:ascii="Calibri" w:hAnsi="Calibri" w:cs="Calibri"/>
        </w:rPr>
        <w:t>Do wykonywania robót związanych z usunięciem drzew i krzaków należy stosować:</w:t>
      </w:r>
    </w:p>
    <w:p w14:paraId="1A9D3503" w14:textId="77777777" w:rsidR="00C975A0" w:rsidRPr="00A23FB4" w:rsidRDefault="00A66985" w:rsidP="00A66985">
      <w:pPr>
        <w:numPr>
          <w:ilvl w:val="0"/>
          <w:numId w:val="1"/>
        </w:numPr>
        <w:tabs>
          <w:tab w:val="left" w:pos="0"/>
          <w:tab w:val="left" w:pos="567"/>
        </w:tabs>
        <w:ind w:left="360" w:firstLine="0"/>
        <w:rPr>
          <w:rFonts w:ascii="Calibri" w:hAnsi="Calibri" w:cs="Calibri"/>
          <w:b/>
          <w:bCs/>
        </w:rPr>
      </w:pPr>
      <w:r w:rsidRPr="00A23FB4">
        <w:rPr>
          <w:rFonts w:ascii="Calibri" w:hAnsi="Calibri" w:cs="Calibri"/>
        </w:rPr>
        <w:t xml:space="preserve">  p</w:t>
      </w:r>
      <w:r w:rsidR="00C975A0" w:rsidRPr="00A23FB4">
        <w:rPr>
          <w:rFonts w:ascii="Calibri" w:hAnsi="Calibri" w:cs="Calibri"/>
        </w:rPr>
        <w:t>iły mechaniczne,</w:t>
      </w:r>
    </w:p>
    <w:p w14:paraId="1C0763BF" w14:textId="77777777" w:rsidR="00C975A0" w:rsidRPr="00A23FB4" w:rsidRDefault="00A66985" w:rsidP="00A66985">
      <w:pPr>
        <w:pStyle w:val="Akapitzlist"/>
        <w:numPr>
          <w:ilvl w:val="0"/>
          <w:numId w:val="1"/>
        </w:numPr>
        <w:tabs>
          <w:tab w:val="left" w:pos="0"/>
          <w:tab w:val="left" w:pos="9914"/>
        </w:tabs>
        <w:rPr>
          <w:rFonts w:ascii="Calibri" w:hAnsi="Calibri" w:cs="Calibri"/>
          <w:b/>
          <w:bCs/>
        </w:rPr>
      </w:pPr>
      <w:r w:rsidRPr="00A23FB4">
        <w:rPr>
          <w:rFonts w:ascii="Calibri" w:hAnsi="Calibri" w:cs="Calibri"/>
        </w:rPr>
        <w:t>m</w:t>
      </w:r>
      <w:r w:rsidR="00C975A0" w:rsidRPr="00A23FB4">
        <w:rPr>
          <w:rFonts w:ascii="Calibri" w:hAnsi="Calibri" w:cs="Calibri"/>
        </w:rPr>
        <w:t>aszyny przeznaczone do karczowania pni oraz ich usunięcia z pasa drogowego,</w:t>
      </w:r>
    </w:p>
    <w:p w14:paraId="628A5DF1" w14:textId="77777777" w:rsidR="00C975A0" w:rsidRPr="00A23FB4" w:rsidRDefault="00A66985" w:rsidP="00A66985">
      <w:pPr>
        <w:pStyle w:val="Akapitzlist"/>
        <w:numPr>
          <w:ilvl w:val="0"/>
          <w:numId w:val="1"/>
        </w:numPr>
        <w:tabs>
          <w:tab w:val="left" w:pos="0"/>
          <w:tab w:val="left" w:pos="9914"/>
        </w:tabs>
        <w:rPr>
          <w:rFonts w:ascii="Calibri" w:hAnsi="Calibri" w:cs="Calibri"/>
          <w:b/>
          <w:bCs/>
        </w:rPr>
      </w:pPr>
      <w:r w:rsidRPr="00A23FB4">
        <w:rPr>
          <w:rFonts w:ascii="Calibri" w:hAnsi="Calibri" w:cs="Calibri"/>
        </w:rPr>
        <w:t>f</w:t>
      </w:r>
      <w:r w:rsidR="00C975A0" w:rsidRPr="00A23FB4">
        <w:rPr>
          <w:rFonts w:ascii="Calibri" w:hAnsi="Calibri" w:cs="Calibri"/>
        </w:rPr>
        <w:t>rezarki do pni,</w:t>
      </w:r>
    </w:p>
    <w:p w14:paraId="7142D24C" w14:textId="77777777" w:rsidR="00C975A0" w:rsidRPr="00A23FB4" w:rsidRDefault="00A66985" w:rsidP="00A66985">
      <w:pPr>
        <w:pStyle w:val="Akapitzlist"/>
        <w:numPr>
          <w:ilvl w:val="0"/>
          <w:numId w:val="1"/>
        </w:numPr>
        <w:tabs>
          <w:tab w:val="left" w:pos="0"/>
          <w:tab w:val="left" w:pos="9914"/>
        </w:tabs>
        <w:rPr>
          <w:rFonts w:ascii="Calibri" w:hAnsi="Calibri" w:cs="Calibri"/>
          <w:b/>
          <w:bCs/>
        </w:rPr>
      </w:pPr>
      <w:r w:rsidRPr="00A23FB4">
        <w:rPr>
          <w:rFonts w:ascii="Calibri" w:hAnsi="Calibri" w:cs="Calibri"/>
        </w:rPr>
        <w:t>s</w:t>
      </w:r>
      <w:r w:rsidR="00C975A0" w:rsidRPr="00A23FB4">
        <w:rPr>
          <w:rFonts w:ascii="Calibri" w:hAnsi="Calibri" w:cs="Calibri"/>
        </w:rPr>
        <w:t>pycharki,</w:t>
      </w:r>
    </w:p>
    <w:p w14:paraId="2B8A8F18" w14:textId="77777777" w:rsidR="00C975A0" w:rsidRPr="00A23FB4" w:rsidRDefault="00A66985" w:rsidP="00A66985">
      <w:pPr>
        <w:pStyle w:val="Akapitzlist"/>
        <w:numPr>
          <w:ilvl w:val="0"/>
          <w:numId w:val="1"/>
        </w:numPr>
        <w:tabs>
          <w:tab w:val="left" w:pos="0"/>
          <w:tab w:val="left" w:pos="9914"/>
        </w:tabs>
        <w:rPr>
          <w:rFonts w:ascii="Calibri" w:hAnsi="Calibri" w:cs="Calibri"/>
          <w:b/>
          <w:bCs/>
        </w:rPr>
      </w:pPr>
      <w:r w:rsidRPr="00A23FB4">
        <w:rPr>
          <w:rFonts w:ascii="Calibri" w:hAnsi="Calibri" w:cs="Calibri"/>
        </w:rPr>
        <w:t>k</w:t>
      </w:r>
      <w:r w:rsidR="00C975A0" w:rsidRPr="00A23FB4">
        <w:rPr>
          <w:rFonts w:ascii="Calibri" w:hAnsi="Calibri" w:cs="Calibri"/>
        </w:rPr>
        <w:t>oparki lub ciągniki ze specjalnym osprzętem do prowadzenia prac związanych z wyrębem drzew.</w:t>
      </w:r>
    </w:p>
    <w:p w14:paraId="7DA04B54" w14:textId="77777777" w:rsidR="00C975A0" w:rsidRPr="00A23FB4" w:rsidRDefault="00C975A0" w:rsidP="00C975A0">
      <w:pPr>
        <w:tabs>
          <w:tab w:val="left" w:pos="0"/>
          <w:tab w:val="left" w:pos="9914"/>
        </w:tabs>
        <w:rPr>
          <w:rFonts w:ascii="Calibri" w:hAnsi="Calibri" w:cs="Calibri"/>
          <w:b/>
          <w:bCs/>
        </w:rPr>
      </w:pPr>
    </w:p>
    <w:p w14:paraId="0976DDE4" w14:textId="77777777" w:rsidR="00C975A0" w:rsidRPr="00A23FB4" w:rsidRDefault="00C975A0" w:rsidP="00C975A0">
      <w:pPr>
        <w:rPr>
          <w:rFonts w:ascii="Calibri" w:hAnsi="Calibri" w:cs="Calibri"/>
          <w:b/>
        </w:rPr>
      </w:pPr>
      <w:r w:rsidRPr="00A23FB4">
        <w:rPr>
          <w:rFonts w:ascii="Calibri" w:hAnsi="Calibri" w:cs="Calibri"/>
          <w:b/>
        </w:rPr>
        <w:t>4. TRANSPORT</w:t>
      </w:r>
    </w:p>
    <w:p w14:paraId="302B176C" w14:textId="77777777" w:rsidR="00C975A0" w:rsidRPr="00A23FB4" w:rsidRDefault="00C975A0" w:rsidP="00C975A0">
      <w:pPr>
        <w:pStyle w:val="Nagwek4"/>
        <w:tabs>
          <w:tab w:val="left" w:pos="9914"/>
        </w:tabs>
        <w:rPr>
          <w:rFonts w:ascii="Calibri" w:hAnsi="Calibri" w:cs="Calibri"/>
        </w:rPr>
      </w:pPr>
      <w:r w:rsidRPr="00A23FB4">
        <w:rPr>
          <w:rFonts w:ascii="Calibri" w:hAnsi="Calibri" w:cs="Calibri"/>
        </w:rPr>
        <w:t>4.1. Ogólne wymagania dotyczące transportu</w:t>
      </w:r>
    </w:p>
    <w:p w14:paraId="002E486E" w14:textId="1DD37E18" w:rsidR="00C975A0" w:rsidRPr="00A23FB4" w:rsidRDefault="00C975A0" w:rsidP="00C975A0">
      <w:pPr>
        <w:tabs>
          <w:tab w:val="left" w:pos="0"/>
          <w:tab w:val="left" w:pos="9914"/>
        </w:tabs>
        <w:rPr>
          <w:rFonts w:ascii="Calibri" w:hAnsi="Calibri" w:cs="Calibri"/>
        </w:rPr>
      </w:pPr>
      <w:r w:rsidRPr="00A23FB4">
        <w:rPr>
          <w:rFonts w:ascii="Calibri" w:hAnsi="Calibri" w:cs="Calibri"/>
        </w:rPr>
        <w:t xml:space="preserve">Ogólne wymagania dotyczące transportu podano w </w:t>
      </w:r>
      <w:r w:rsidR="00C31EC5">
        <w:rPr>
          <w:rFonts w:ascii="Calibri" w:hAnsi="Calibri" w:cs="Calibri"/>
        </w:rPr>
        <w:t>ST</w:t>
      </w:r>
      <w:r w:rsidRPr="00A23FB4">
        <w:rPr>
          <w:rFonts w:ascii="Calibri" w:hAnsi="Calibri" w:cs="Calibri"/>
        </w:rPr>
        <w:t>WiORB D-M-00.00.00 „Wymagania ogólne” pkt 4.</w:t>
      </w:r>
    </w:p>
    <w:p w14:paraId="0A9D4E4D" w14:textId="77777777" w:rsidR="00C975A0" w:rsidRPr="00A23FB4" w:rsidRDefault="00C975A0" w:rsidP="00C975A0">
      <w:pPr>
        <w:pStyle w:val="Nagwek4"/>
        <w:tabs>
          <w:tab w:val="left" w:pos="9914"/>
        </w:tabs>
        <w:rPr>
          <w:rFonts w:ascii="Calibri" w:hAnsi="Calibri" w:cs="Calibri"/>
        </w:rPr>
      </w:pPr>
      <w:r w:rsidRPr="00A23FB4">
        <w:rPr>
          <w:rFonts w:ascii="Calibri" w:hAnsi="Calibri" w:cs="Calibri"/>
        </w:rPr>
        <w:t>4.2. Transport pni i karpiny</w:t>
      </w:r>
    </w:p>
    <w:p w14:paraId="4FD18523" w14:textId="77777777" w:rsidR="00C975A0" w:rsidRPr="00A23FB4" w:rsidRDefault="00C975A0" w:rsidP="00C975A0">
      <w:pPr>
        <w:tabs>
          <w:tab w:val="left" w:pos="0"/>
          <w:tab w:val="left" w:pos="9914"/>
        </w:tabs>
        <w:rPr>
          <w:rFonts w:ascii="Calibri" w:hAnsi="Calibri" w:cs="Calibri"/>
        </w:rPr>
      </w:pPr>
      <w:r w:rsidRPr="00A23FB4">
        <w:rPr>
          <w:rFonts w:ascii="Calibri" w:hAnsi="Calibri" w:cs="Calibri"/>
        </w:rPr>
        <w:t>Pnie, karpinę oraz gałęzie należy przewozić transportem samochodowym.</w:t>
      </w:r>
    </w:p>
    <w:p w14:paraId="33ED7B87" w14:textId="77777777" w:rsidR="00C975A0" w:rsidRPr="00A23FB4" w:rsidRDefault="00C975A0" w:rsidP="00C975A0">
      <w:pPr>
        <w:tabs>
          <w:tab w:val="left" w:pos="0"/>
          <w:tab w:val="left" w:pos="9914"/>
        </w:tabs>
        <w:rPr>
          <w:rFonts w:ascii="Calibri" w:hAnsi="Calibri" w:cs="Calibri"/>
        </w:rPr>
      </w:pPr>
      <w:r w:rsidRPr="00A23FB4">
        <w:rPr>
          <w:rFonts w:ascii="Calibri" w:hAnsi="Calibri" w:cs="Calibri"/>
        </w:rPr>
        <w:t>Pnie przedstawiające wartość jako materiał użytkowy (np. budowlany, meblarski itp.) powinny być transportowane w sposób nie powodujący ich uszkodzeń.</w:t>
      </w:r>
    </w:p>
    <w:p w14:paraId="38A8C335" w14:textId="77777777" w:rsidR="00C975A0" w:rsidRPr="00A23FB4" w:rsidRDefault="00C975A0" w:rsidP="00C975A0">
      <w:pPr>
        <w:rPr>
          <w:rFonts w:ascii="Calibri" w:hAnsi="Calibri" w:cs="Calibri"/>
          <w:b/>
        </w:rPr>
      </w:pPr>
    </w:p>
    <w:p w14:paraId="3D55A7F0" w14:textId="77777777" w:rsidR="006200A9" w:rsidRDefault="006200A9" w:rsidP="00C975A0">
      <w:pPr>
        <w:rPr>
          <w:rFonts w:ascii="Calibri" w:hAnsi="Calibri" w:cs="Calibri"/>
          <w:b/>
        </w:rPr>
      </w:pPr>
    </w:p>
    <w:p w14:paraId="2A8495E3" w14:textId="77777777" w:rsidR="00C975A0" w:rsidRPr="00A23FB4" w:rsidRDefault="00C975A0" w:rsidP="00C975A0">
      <w:pPr>
        <w:rPr>
          <w:rFonts w:ascii="Calibri" w:hAnsi="Calibri" w:cs="Calibri"/>
          <w:b/>
        </w:rPr>
      </w:pPr>
      <w:r w:rsidRPr="00A23FB4">
        <w:rPr>
          <w:rFonts w:ascii="Calibri" w:hAnsi="Calibri" w:cs="Calibri"/>
          <w:b/>
        </w:rPr>
        <w:t>5. WYKONANIE ROBÓT</w:t>
      </w:r>
    </w:p>
    <w:p w14:paraId="3B76EB13" w14:textId="77777777" w:rsidR="00C975A0" w:rsidRPr="00A23FB4" w:rsidRDefault="00C975A0" w:rsidP="00C975A0">
      <w:pPr>
        <w:pStyle w:val="Nagwek4"/>
        <w:tabs>
          <w:tab w:val="left" w:pos="9914"/>
        </w:tabs>
        <w:rPr>
          <w:rFonts w:ascii="Calibri" w:hAnsi="Calibri" w:cs="Calibri"/>
        </w:rPr>
      </w:pPr>
      <w:r w:rsidRPr="00A23FB4">
        <w:rPr>
          <w:rFonts w:ascii="Calibri" w:hAnsi="Calibri" w:cs="Calibri"/>
        </w:rPr>
        <w:t>5.1. Ogólne zasady wykonania robót</w:t>
      </w:r>
    </w:p>
    <w:p w14:paraId="5C2507ED" w14:textId="570C9E49" w:rsidR="00C975A0" w:rsidRPr="00A23FB4" w:rsidRDefault="00C975A0" w:rsidP="00C975A0">
      <w:pPr>
        <w:tabs>
          <w:tab w:val="left" w:pos="0"/>
          <w:tab w:val="left" w:pos="9914"/>
        </w:tabs>
        <w:rPr>
          <w:rFonts w:ascii="Calibri" w:hAnsi="Calibri" w:cs="Calibri"/>
        </w:rPr>
      </w:pPr>
      <w:r w:rsidRPr="00A23FB4">
        <w:rPr>
          <w:rFonts w:ascii="Calibri" w:hAnsi="Calibri" w:cs="Calibri"/>
        </w:rPr>
        <w:t xml:space="preserve">Ogólne zasady wykonania robót podano w </w:t>
      </w:r>
      <w:r w:rsidR="00C31EC5">
        <w:rPr>
          <w:rFonts w:ascii="Calibri" w:hAnsi="Calibri" w:cs="Calibri"/>
        </w:rPr>
        <w:t>ST</w:t>
      </w:r>
      <w:r w:rsidRPr="00A23FB4">
        <w:rPr>
          <w:rFonts w:ascii="Calibri" w:hAnsi="Calibri" w:cs="Calibri"/>
        </w:rPr>
        <w:t>WiORB D-M-00.00.00 „Wymagania ogólne” pkt 5.</w:t>
      </w:r>
    </w:p>
    <w:p w14:paraId="13ADE8A4" w14:textId="77777777" w:rsidR="00C975A0" w:rsidRPr="00A23FB4" w:rsidRDefault="00C975A0" w:rsidP="00C975A0">
      <w:pPr>
        <w:pStyle w:val="Nagwek4"/>
        <w:tabs>
          <w:tab w:val="left" w:pos="9914"/>
        </w:tabs>
        <w:rPr>
          <w:rFonts w:ascii="Calibri" w:hAnsi="Calibri" w:cs="Calibri"/>
        </w:rPr>
      </w:pPr>
      <w:r w:rsidRPr="00A23FB4">
        <w:rPr>
          <w:rFonts w:ascii="Calibri" w:hAnsi="Calibri" w:cs="Calibri"/>
        </w:rPr>
        <w:t>5.2. Zasady oczyszczania terenu z drzew i krzaków</w:t>
      </w:r>
    </w:p>
    <w:p w14:paraId="11C29161" w14:textId="77777777" w:rsidR="00C975A0" w:rsidRPr="00A23FB4" w:rsidRDefault="00C975A0" w:rsidP="00C975A0">
      <w:pPr>
        <w:tabs>
          <w:tab w:val="left" w:pos="0"/>
          <w:tab w:val="left" w:pos="9914"/>
        </w:tabs>
        <w:rPr>
          <w:rFonts w:ascii="Calibri" w:hAnsi="Calibri" w:cs="Calibri"/>
        </w:rPr>
      </w:pPr>
      <w:r w:rsidRPr="00A23FB4">
        <w:rPr>
          <w:rFonts w:ascii="Calibri" w:hAnsi="Calibri" w:cs="Calibri"/>
        </w:rPr>
        <w:t>Roboty związane z usunięciem drzew i krzaków obejmują wycięcie i wykarczowanie drzew i krzaków, wywiezienie pni, karpiny i gałęzi poza teren budowy na wskazane miejsce, zasypanie dołów oraz ewentualne spalenie na miejscu pozostałości po wykarczowaniu.</w:t>
      </w:r>
    </w:p>
    <w:p w14:paraId="704FF9BF" w14:textId="77777777" w:rsidR="00C975A0" w:rsidRPr="00A23FB4" w:rsidRDefault="00C975A0" w:rsidP="00C975A0">
      <w:pPr>
        <w:tabs>
          <w:tab w:val="left" w:pos="0"/>
          <w:tab w:val="left" w:pos="9914"/>
        </w:tabs>
        <w:rPr>
          <w:rFonts w:ascii="Calibri" w:hAnsi="Calibri" w:cs="Calibri"/>
        </w:rPr>
      </w:pPr>
      <w:r w:rsidRPr="00A23FB4">
        <w:rPr>
          <w:rFonts w:ascii="Calibri" w:hAnsi="Calibri" w:cs="Calibri"/>
        </w:rPr>
        <w:t>Teren pod budowę drogi w pasie robót ziemnych, w miejscach dokopów i w innych miejscach wskazanych w dokumentacji projektowej, powinien być oczyszczony z drzew i krzaków.</w:t>
      </w:r>
    </w:p>
    <w:p w14:paraId="472D077A" w14:textId="77777777" w:rsidR="00C975A0" w:rsidRPr="00A23FB4" w:rsidRDefault="00C975A0" w:rsidP="00C975A0">
      <w:pPr>
        <w:tabs>
          <w:tab w:val="left" w:pos="0"/>
          <w:tab w:val="left" w:pos="9914"/>
        </w:tabs>
        <w:rPr>
          <w:rFonts w:ascii="Calibri" w:hAnsi="Calibri" w:cs="Calibri"/>
        </w:rPr>
      </w:pPr>
      <w:r w:rsidRPr="00A23FB4">
        <w:rPr>
          <w:rFonts w:ascii="Calibri" w:hAnsi="Calibri" w:cs="Calibri"/>
        </w:rPr>
        <w:t>Wycinkę drzew o właściwościach materiału użytkowego należy wykonywać w tzw. sezonie rębnym, ustalonym przez Inżyniera/Kierownika projektu.</w:t>
      </w:r>
    </w:p>
    <w:p w14:paraId="2584AD29" w14:textId="77777777" w:rsidR="00C975A0" w:rsidRPr="00A23FB4" w:rsidRDefault="00C975A0" w:rsidP="00C975A0">
      <w:pPr>
        <w:tabs>
          <w:tab w:val="left" w:pos="0"/>
          <w:tab w:val="left" w:pos="9914"/>
        </w:tabs>
        <w:rPr>
          <w:rFonts w:ascii="Calibri" w:hAnsi="Calibri" w:cs="Calibri"/>
        </w:rPr>
      </w:pPr>
      <w:r w:rsidRPr="00A23FB4">
        <w:rPr>
          <w:rFonts w:ascii="Calibri" w:hAnsi="Calibri" w:cs="Calibri"/>
        </w:rPr>
        <w:t>W miejscach dokopów i tych wykopów, z których grunt jest przeznaczony do wbudowania w nasypy, teren należy oczyścić z roślinności, wykarczować pnie i usunąć korzenie tak, aby zawartość części organicznych w gruntach przeznaczonych do wbudowania w nasypy nie przekraczała 2%.</w:t>
      </w:r>
    </w:p>
    <w:p w14:paraId="6DF3CF90" w14:textId="77777777" w:rsidR="00C975A0" w:rsidRPr="00A23FB4" w:rsidRDefault="00C975A0" w:rsidP="00C975A0">
      <w:pPr>
        <w:tabs>
          <w:tab w:val="left" w:pos="0"/>
          <w:tab w:val="left" w:pos="9914"/>
        </w:tabs>
        <w:rPr>
          <w:rFonts w:ascii="Calibri" w:hAnsi="Calibri" w:cs="Calibri"/>
        </w:rPr>
      </w:pPr>
      <w:r w:rsidRPr="00A23FB4">
        <w:rPr>
          <w:rFonts w:ascii="Calibri" w:hAnsi="Calibri" w:cs="Calibri"/>
        </w:rPr>
        <w:t>W miejscach nasypów teren należy oczyścić tak, aby części roślinności nie znajdowały się na głębokości do 60 cm poniżej niwelety robót ziemnych i linii skarp nasypu, z wyjątkiem przypadków podanych w punkcie 5.3.</w:t>
      </w:r>
    </w:p>
    <w:p w14:paraId="3D6EC711" w14:textId="77777777" w:rsidR="00C975A0" w:rsidRPr="00A23FB4" w:rsidRDefault="00C975A0" w:rsidP="00C975A0">
      <w:pPr>
        <w:tabs>
          <w:tab w:val="left" w:pos="0"/>
          <w:tab w:val="left" w:pos="9914"/>
        </w:tabs>
        <w:rPr>
          <w:rFonts w:ascii="Calibri" w:hAnsi="Calibri" w:cs="Calibri"/>
        </w:rPr>
      </w:pPr>
      <w:r w:rsidRPr="00A23FB4">
        <w:rPr>
          <w:rFonts w:ascii="Calibri" w:hAnsi="Calibri" w:cs="Calibri"/>
        </w:rPr>
        <w:t>Roślinność istniejąca w pasie robót drogowych, nie przeznaczona do usunięcia, powinna być przez Wykonawcę zabezpieczona przed uszkodzeniem. Jeżeli roślinność, która ma być zachowana, zostanie uszkodzona lub zniszczona przez Wykonawcę, to powinna być ona odtworzona na koszt Wykonawcy, w sposób zaakceptowany przez odpowiednie władze.</w:t>
      </w:r>
    </w:p>
    <w:p w14:paraId="5DD7A579" w14:textId="77777777" w:rsidR="00C975A0" w:rsidRPr="00A23FB4" w:rsidRDefault="00C975A0" w:rsidP="00C975A0">
      <w:pPr>
        <w:pStyle w:val="Nagwek4"/>
        <w:tabs>
          <w:tab w:val="left" w:pos="9914"/>
        </w:tabs>
        <w:rPr>
          <w:rFonts w:ascii="Calibri" w:hAnsi="Calibri" w:cs="Calibri"/>
        </w:rPr>
      </w:pPr>
      <w:r w:rsidRPr="00A23FB4">
        <w:rPr>
          <w:rFonts w:ascii="Calibri" w:hAnsi="Calibri" w:cs="Calibri"/>
        </w:rPr>
        <w:t>5.3. Usunięcie drzew i krzaków</w:t>
      </w:r>
    </w:p>
    <w:p w14:paraId="34F40C0B" w14:textId="77777777" w:rsidR="00C975A0" w:rsidRPr="00A23FB4" w:rsidRDefault="00C975A0" w:rsidP="00C975A0">
      <w:pPr>
        <w:tabs>
          <w:tab w:val="left" w:pos="0"/>
          <w:tab w:val="left" w:pos="9914"/>
        </w:tabs>
        <w:rPr>
          <w:rFonts w:ascii="Calibri" w:hAnsi="Calibri" w:cs="Calibri"/>
        </w:rPr>
      </w:pPr>
      <w:r w:rsidRPr="00A23FB4">
        <w:rPr>
          <w:rFonts w:ascii="Calibri" w:hAnsi="Calibri" w:cs="Calibri"/>
        </w:rPr>
        <w:t>Pnie drzew i krzaków znajdujące się w pasie robót ziemnych, powinny być wykarczowane.</w:t>
      </w:r>
    </w:p>
    <w:p w14:paraId="117EC9DB" w14:textId="5A26268E" w:rsidR="00C975A0" w:rsidRPr="00A23FB4" w:rsidRDefault="00C975A0" w:rsidP="00C975A0">
      <w:pPr>
        <w:tabs>
          <w:tab w:val="left" w:pos="0"/>
          <w:tab w:val="left" w:pos="9914"/>
        </w:tabs>
        <w:rPr>
          <w:rFonts w:ascii="Calibri" w:hAnsi="Calibri" w:cs="Calibri"/>
        </w:rPr>
      </w:pPr>
      <w:r w:rsidRPr="00A23FB4">
        <w:rPr>
          <w:rFonts w:ascii="Calibri" w:hAnsi="Calibri" w:cs="Calibri"/>
        </w:rPr>
        <w:t xml:space="preserve">Poza miejscami wykopów doły po wykarczowanych pniach należy wypełnić gruntem przydatnym do budowy nasypów i zagęścić, do stopnia zagęszczenia nie mniejszego niż 0,97. Grunt użyty do wypełnienia dołów winien odpowiadać wymaganiom </w:t>
      </w:r>
      <w:r w:rsidR="00C31EC5">
        <w:rPr>
          <w:rFonts w:ascii="Calibri" w:hAnsi="Calibri" w:cs="Calibri"/>
        </w:rPr>
        <w:t>ST</w:t>
      </w:r>
      <w:r w:rsidRPr="00A23FB4">
        <w:rPr>
          <w:rFonts w:ascii="Calibri" w:hAnsi="Calibri" w:cs="Calibri"/>
        </w:rPr>
        <w:t>WiORB D-02.03.01 Nasypy</w:t>
      </w:r>
    </w:p>
    <w:p w14:paraId="48129174" w14:textId="77777777" w:rsidR="00C975A0" w:rsidRPr="00A23FB4" w:rsidRDefault="00C975A0" w:rsidP="00C975A0">
      <w:pPr>
        <w:tabs>
          <w:tab w:val="left" w:pos="0"/>
          <w:tab w:val="left" w:pos="9914"/>
        </w:tabs>
        <w:rPr>
          <w:rFonts w:ascii="Calibri" w:hAnsi="Calibri" w:cs="Calibri"/>
        </w:rPr>
      </w:pPr>
      <w:r w:rsidRPr="00A23FB4">
        <w:rPr>
          <w:rFonts w:ascii="Calibri" w:hAnsi="Calibri" w:cs="Calibri"/>
        </w:rPr>
        <w:t>Doły w obrębie przewidywanych wykopów, należy tymczasowo zabezpieczyć przed gromadzeniem się w nich wody.</w:t>
      </w:r>
    </w:p>
    <w:p w14:paraId="0B62E024" w14:textId="77777777" w:rsidR="00C975A0" w:rsidRPr="00A23FB4" w:rsidRDefault="006200A9" w:rsidP="00C975A0">
      <w:pPr>
        <w:tabs>
          <w:tab w:val="left" w:pos="0"/>
          <w:tab w:val="left" w:pos="9914"/>
        </w:tabs>
        <w:rPr>
          <w:rFonts w:ascii="Calibri" w:hAnsi="Calibri" w:cs="Calibri"/>
        </w:rPr>
      </w:pPr>
      <w:r w:rsidRPr="00A23FB4">
        <w:rPr>
          <w:rFonts w:ascii="Calibri" w:hAnsi="Calibri" w:cs="Calibri"/>
        </w:rPr>
        <w:t>Zaleca się prowadzenie robót w</w:t>
      </w:r>
      <w:r w:rsidR="00C975A0" w:rsidRPr="00A23FB4">
        <w:rPr>
          <w:rFonts w:ascii="Calibri" w:hAnsi="Calibri" w:cs="Calibri"/>
        </w:rPr>
        <w:t xml:space="preserve"> taki sposób, aby drzewa przedstawiające wartość jako materiał użytkowy (np. budowlany, meblarski itp.) nie utraciły tej właściwości w czasie robót.</w:t>
      </w:r>
    </w:p>
    <w:p w14:paraId="6B3D861D" w14:textId="77777777" w:rsidR="00C975A0" w:rsidRPr="00A23FB4" w:rsidRDefault="00C975A0" w:rsidP="00C975A0">
      <w:pPr>
        <w:tabs>
          <w:tab w:val="left" w:pos="0"/>
          <w:tab w:val="left" w:pos="9914"/>
        </w:tabs>
        <w:rPr>
          <w:rFonts w:ascii="Calibri" w:hAnsi="Calibri" w:cs="Calibri"/>
        </w:rPr>
      </w:pPr>
      <w:r w:rsidRPr="00A23FB4">
        <w:rPr>
          <w:rFonts w:ascii="Calibri" w:hAnsi="Calibri" w:cs="Calibri"/>
        </w:rPr>
        <w:t>Materiał z wycinki – Gruzbiznę</w:t>
      </w:r>
      <w:r w:rsidR="006200A9" w:rsidRPr="00A23FB4">
        <w:rPr>
          <w:rFonts w:ascii="Calibri" w:hAnsi="Calibri" w:cs="Calibri"/>
        </w:rPr>
        <w:t>, g</w:t>
      </w:r>
      <w:r w:rsidRPr="00A23FB4">
        <w:rPr>
          <w:rFonts w:ascii="Calibri" w:hAnsi="Calibri" w:cs="Calibri"/>
        </w:rPr>
        <w:t>ałęziówkę i karpinę Wykonawca zagospodaruje we własnym zakresie.</w:t>
      </w:r>
    </w:p>
    <w:p w14:paraId="324EF9DA" w14:textId="77777777" w:rsidR="00C975A0" w:rsidRPr="00A23FB4" w:rsidRDefault="00C975A0" w:rsidP="00C975A0">
      <w:pPr>
        <w:pStyle w:val="Nagwek4"/>
        <w:tabs>
          <w:tab w:val="left" w:pos="9914"/>
        </w:tabs>
        <w:rPr>
          <w:rFonts w:ascii="Calibri" w:hAnsi="Calibri" w:cs="Calibri"/>
        </w:rPr>
      </w:pPr>
      <w:r w:rsidRPr="00A23FB4">
        <w:rPr>
          <w:rFonts w:ascii="Calibri" w:hAnsi="Calibri" w:cs="Calibri"/>
        </w:rPr>
        <w:t>5.4. Zniszczenie pozostałości po usuniętej roślinności</w:t>
      </w:r>
    </w:p>
    <w:p w14:paraId="1AD3E8A7" w14:textId="77777777" w:rsidR="00C975A0" w:rsidRPr="00A23FB4" w:rsidRDefault="00C975A0" w:rsidP="00C975A0">
      <w:pPr>
        <w:tabs>
          <w:tab w:val="left" w:pos="0"/>
          <w:tab w:val="left" w:pos="9914"/>
        </w:tabs>
        <w:rPr>
          <w:rFonts w:ascii="Calibri" w:hAnsi="Calibri" w:cs="Calibri"/>
        </w:rPr>
      </w:pPr>
      <w:r w:rsidRPr="00A23FB4">
        <w:rPr>
          <w:rFonts w:ascii="Calibri" w:hAnsi="Calibri" w:cs="Calibri"/>
        </w:rPr>
        <w:t>Sposób zniszczenia pozostałości po usuniętej roślinności powinien być zgodny z ustaleniami dokumentacji projektowej lub wskazaniami Inżyniera/Kierownika projektu.</w:t>
      </w:r>
    </w:p>
    <w:p w14:paraId="4E911AF2" w14:textId="77777777" w:rsidR="00C975A0" w:rsidRPr="00A23FB4" w:rsidRDefault="00C975A0" w:rsidP="00C975A0">
      <w:pPr>
        <w:tabs>
          <w:tab w:val="left" w:pos="0"/>
          <w:tab w:val="left" w:pos="9914"/>
        </w:tabs>
        <w:rPr>
          <w:rFonts w:ascii="Calibri" w:hAnsi="Calibri" w:cs="Calibri"/>
        </w:rPr>
      </w:pPr>
      <w:r w:rsidRPr="00A23FB4">
        <w:rPr>
          <w:rFonts w:ascii="Calibri" w:hAnsi="Calibri" w:cs="Calibri"/>
        </w:rPr>
        <w:t>Jeżeli dopuszczono przerobienie gałęzi na korę drzewną za pomocą specjalistycznego sprzętu, to sposób wykonania powinien odpowiadać zaleceniom producenta sprzętu. Nieużyteczne pozostałości po przeróbce powinny być usunięte przez Wykonawcę z terenu budowy.</w:t>
      </w:r>
    </w:p>
    <w:p w14:paraId="2FC38C4F" w14:textId="77777777" w:rsidR="00C975A0" w:rsidRPr="00A23FB4" w:rsidRDefault="00C975A0" w:rsidP="00C975A0">
      <w:pPr>
        <w:tabs>
          <w:tab w:val="left" w:pos="0"/>
          <w:tab w:val="left" w:pos="9914"/>
        </w:tabs>
        <w:rPr>
          <w:rFonts w:ascii="Calibri" w:hAnsi="Calibri" w:cs="Calibri"/>
        </w:rPr>
      </w:pPr>
      <w:r w:rsidRPr="00A23FB4">
        <w:rPr>
          <w:rFonts w:ascii="Calibri" w:hAnsi="Calibri" w:cs="Calibri"/>
        </w:rPr>
        <w:t>Nie dopuszcza się spalania na miejscu roślinności usuniętej w czasie robót</w:t>
      </w:r>
    </w:p>
    <w:p w14:paraId="7BEA76BB" w14:textId="77777777" w:rsidR="00C975A0" w:rsidRPr="00A23FB4" w:rsidRDefault="00C975A0" w:rsidP="00C975A0">
      <w:pPr>
        <w:tabs>
          <w:tab w:val="left" w:pos="0"/>
          <w:tab w:val="left" w:pos="9914"/>
        </w:tabs>
        <w:rPr>
          <w:rFonts w:ascii="Calibri" w:hAnsi="Calibri" w:cs="Calibri"/>
        </w:rPr>
      </w:pPr>
    </w:p>
    <w:p w14:paraId="6CD9E170" w14:textId="77777777" w:rsidR="00C975A0" w:rsidRPr="00A23FB4" w:rsidRDefault="00C975A0" w:rsidP="00C975A0">
      <w:pPr>
        <w:rPr>
          <w:rFonts w:ascii="Calibri" w:hAnsi="Calibri" w:cs="Calibri"/>
          <w:b/>
        </w:rPr>
      </w:pPr>
      <w:r w:rsidRPr="00A23FB4">
        <w:rPr>
          <w:rFonts w:ascii="Calibri" w:hAnsi="Calibri" w:cs="Calibri"/>
          <w:b/>
        </w:rPr>
        <w:t>6. KONTROLA JAKOŚCI ROBÓT</w:t>
      </w:r>
    </w:p>
    <w:p w14:paraId="7DAA691D" w14:textId="77777777" w:rsidR="00C975A0" w:rsidRPr="00A23FB4" w:rsidRDefault="00C975A0" w:rsidP="00C975A0">
      <w:pPr>
        <w:pStyle w:val="Nagwek4"/>
        <w:tabs>
          <w:tab w:val="left" w:pos="9914"/>
        </w:tabs>
        <w:rPr>
          <w:rFonts w:ascii="Calibri" w:hAnsi="Calibri" w:cs="Calibri"/>
        </w:rPr>
      </w:pPr>
      <w:r w:rsidRPr="00A23FB4">
        <w:rPr>
          <w:rFonts w:ascii="Calibri" w:hAnsi="Calibri" w:cs="Calibri"/>
        </w:rPr>
        <w:t>6.1. Ogólne zasady kontroli jakości robót</w:t>
      </w:r>
    </w:p>
    <w:p w14:paraId="0D8F7F3D" w14:textId="065BE09E" w:rsidR="00C975A0" w:rsidRPr="00A23FB4" w:rsidRDefault="00C975A0" w:rsidP="00C975A0">
      <w:pPr>
        <w:tabs>
          <w:tab w:val="left" w:pos="0"/>
          <w:tab w:val="left" w:pos="9914"/>
        </w:tabs>
        <w:rPr>
          <w:rFonts w:ascii="Calibri" w:hAnsi="Calibri" w:cs="Calibri"/>
        </w:rPr>
      </w:pPr>
      <w:r w:rsidRPr="00A23FB4">
        <w:rPr>
          <w:rFonts w:ascii="Calibri" w:hAnsi="Calibri" w:cs="Calibri"/>
        </w:rPr>
        <w:t xml:space="preserve">Ogólne zasady kontroli jakości robót podano w </w:t>
      </w:r>
      <w:r w:rsidR="00C31EC5">
        <w:rPr>
          <w:rFonts w:ascii="Calibri" w:hAnsi="Calibri" w:cs="Calibri"/>
        </w:rPr>
        <w:t>ST</w:t>
      </w:r>
      <w:r w:rsidRPr="00A23FB4">
        <w:rPr>
          <w:rFonts w:ascii="Calibri" w:hAnsi="Calibri" w:cs="Calibri"/>
        </w:rPr>
        <w:t>WiORB D-M-00.00.00 „Wymagania ogólne” pkt 6.</w:t>
      </w:r>
    </w:p>
    <w:p w14:paraId="55110AD2" w14:textId="77777777" w:rsidR="00C975A0" w:rsidRPr="00A23FB4" w:rsidRDefault="00C975A0" w:rsidP="00C975A0">
      <w:pPr>
        <w:pStyle w:val="Nagwek4"/>
        <w:tabs>
          <w:tab w:val="left" w:pos="9914"/>
        </w:tabs>
        <w:rPr>
          <w:rFonts w:ascii="Calibri" w:hAnsi="Calibri" w:cs="Calibri"/>
        </w:rPr>
      </w:pPr>
      <w:r w:rsidRPr="00A23FB4">
        <w:rPr>
          <w:rFonts w:ascii="Calibri" w:hAnsi="Calibri" w:cs="Calibri"/>
        </w:rPr>
        <w:t>6.2. Kontrola robót przy usuwaniu drzew i krzaków</w:t>
      </w:r>
    </w:p>
    <w:p w14:paraId="6A3625B2" w14:textId="645F7665" w:rsidR="00C975A0" w:rsidRDefault="00C975A0" w:rsidP="00CF795A">
      <w:pPr>
        <w:tabs>
          <w:tab w:val="left" w:pos="0"/>
          <w:tab w:val="left" w:pos="9914"/>
        </w:tabs>
        <w:rPr>
          <w:rFonts w:ascii="Calibri" w:hAnsi="Calibri" w:cs="Calibri"/>
        </w:rPr>
      </w:pPr>
      <w:r w:rsidRPr="00A23FB4">
        <w:rPr>
          <w:rFonts w:ascii="Calibri" w:hAnsi="Calibri" w:cs="Calibri"/>
        </w:rPr>
        <w:t xml:space="preserve">Sprawdzenie jakości robót polega na wizualnej ocenie kompletności usunięcia roślinności, wykarczowania korzeni i zasypania dołów. Zagęszczenie gruntu wypełniającego doły powinno być nie mniejsze niż 0,97. Grunt użyty do wypełnienia dołów winien odpowiadać wymaganiom </w:t>
      </w:r>
      <w:r w:rsidR="00C31EC5">
        <w:rPr>
          <w:rFonts w:ascii="Calibri" w:hAnsi="Calibri" w:cs="Calibri"/>
        </w:rPr>
        <w:t>ST</w:t>
      </w:r>
      <w:r w:rsidRPr="00A23FB4">
        <w:rPr>
          <w:rFonts w:ascii="Calibri" w:hAnsi="Calibri" w:cs="Calibri"/>
        </w:rPr>
        <w:t xml:space="preserve">WiORB D-02.03.01 Nasypy. </w:t>
      </w:r>
    </w:p>
    <w:p w14:paraId="1753FF59" w14:textId="77777777" w:rsidR="00C86F6B" w:rsidRPr="00CF795A" w:rsidRDefault="00C86F6B" w:rsidP="00CF795A">
      <w:pPr>
        <w:tabs>
          <w:tab w:val="left" w:pos="0"/>
          <w:tab w:val="left" w:pos="9914"/>
        </w:tabs>
        <w:rPr>
          <w:rFonts w:ascii="Calibri" w:hAnsi="Calibri" w:cs="Calibri"/>
        </w:rPr>
      </w:pPr>
    </w:p>
    <w:p w14:paraId="3A5113AD" w14:textId="77777777" w:rsidR="00570DE6" w:rsidRPr="00A23FB4" w:rsidRDefault="00570DE6" w:rsidP="00C975A0">
      <w:pPr>
        <w:rPr>
          <w:rFonts w:ascii="Calibri" w:hAnsi="Calibri" w:cs="Calibri"/>
          <w:b/>
        </w:rPr>
      </w:pPr>
    </w:p>
    <w:p w14:paraId="536CB0E8" w14:textId="77777777" w:rsidR="00C975A0" w:rsidRPr="00A23FB4" w:rsidRDefault="00C975A0" w:rsidP="00C975A0">
      <w:pPr>
        <w:rPr>
          <w:rFonts w:ascii="Calibri" w:hAnsi="Calibri" w:cs="Calibri"/>
          <w:b/>
        </w:rPr>
      </w:pPr>
      <w:r w:rsidRPr="00A23FB4">
        <w:rPr>
          <w:rFonts w:ascii="Calibri" w:hAnsi="Calibri" w:cs="Calibri"/>
          <w:b/>
        </w:rPr>
        <w:t>7. OBMIAR ROBÓT</w:t>
      </w:r>
    </w:p>
    <w:p w14:paraId="3EBAD209" w14:textId="77777777" w:rsidR="001A73F7" w:rsidRDefault="001A73F7" w:rsidP="00C975A0">
      <w:pPr>
        <w:tabs>
          <w:tab w:val="left" w:pos="0"/>
          <w:tab w:val="left" w:pos="9914"/>
        </w:tabs>
        <w:rPr>
          <w:rFonts w:ascii="Calibri" w:hAnsi="Calibri" w:cs="Calibri"/>
        </w:rPr>
      </w:pPr>
    </w:p>
    <w:p w14:paraId="16DF0373" w14:textId="04940CC7" w:rsidR="001A73F7" w:rsidRDefault="001A73F7" w:rsidP="00C975A0">
      <w:pPr>
        <w:tabs>
          <w:tab w:val="left" w:pos="0"/>
          <w:tab w:val="left" w:pos="9914"/>
        </w:tabs>
        <w:rPr>
          <w:rFonts w:ascii="Calibri" w:hAnsi="Calibri" w:cs="Calibri"/>
        </w:rPr>
      </w:pPr>
      <w:r>
        <w:rPr>
          <w:rFonts w:ascii="Calibri" w:hAnsi="Calibri" w:cs="Calibri"/>
        </w:rPr>
        <w:t>Kontrakt ryczałtowy</w:t>
      </w:r>
    </w:p>
    <w:p w14:paraId="1E87A55D" w14:textId="2C64174F" w:rsidR="00C975A0" w:rsidRPr="00A23FB4" w:rsidRDefault="00C975A0" w:rsidP="00C975A0">
      <w:pPr>
        <w:tabs>
          <w:tab w:val="left" w:pos="0"/>
          <w:tab w:val="left" w:pos="9914"/>
        </w:tabs>
        <w:rPr>
          <w:rFonts w:ascii="Calibri" w:hAnsi="Calibri" w:cs="Calibri"/>
        </w:rPr>
      </w:pPr>
      <w:r w:rsidRPr="00A23FB4">
        <w:rPr>
          <w:rFonts w:ascii="Calibri" w:hAnsi="Calibri" w:cs="Calibri"/>
        </w:rPr>
        <w:t xml:space="preserve">Ogólne zasady obmiaru robót podano w </w:t>
      </w:r>
      <w:r w:rsidR="00C31EC5">
        <w:rPr>
          <w:rFonts w:ascii="Calibri" w:hAnsi="Calibri" w:cs="Calibri"/>
        </w:rPr>
        <w:t>ST</w:t>
      </w:r>
      <w:r w:rsidRPr="00A23FB4">
        <w:rPr>
          <w:rFonts w:ascii="Calibri" w:hAnsi="Calibri" w:cs="Calibri"/>
        </w:rPr>
        <w:t>WiORB D-M-00.00.00 „Wymagania ogólne” pkt 7.</w:t>
      </w:r>
    </w:p>
    <w:p w14:paraId="5F15C889" w14:textId="77777777" w:rsidR="00C975A0" w:rsidRPr="00A23FB4" w:rsidRDefault="00C975A0" w:rsidP="00C975A0">
      <w:pPr>
        <w:tabs>
          <w:tab w:val="left" w:pos="0"/>
          <w:tab w:val="left" w:pos="9914"/>
        </w:tabs>
        <w:rPr>
          <w:rFonts w:ascii="Calibri" w:hAnsi="Calibri" w:cs="Calibri"/>
        </w:rPr>
      </w:pPr>
    </w:p>
    <w:p w14:paraId="61BB196B" w14:textId="77777777" w:rsidR="00C975A0" w:rsidRPr="00A23FB4" w:rsidRDefault="00C975A0" w:rsidP="00C975A0">
      <w:pPr>
        <w:rPr>
          <w:rFonts w:ascii="Calibri" w:hAnsi="Calibri" w:cs="Calibri"/>
          <w:b/>
        </w:rPr>
      </w:pPr>
      <w:r w:rsidRPr="00A23FB4">
        <w:rPr>
          <w:rFonts w:ascii="Calibri" w:hAnsi="Calibri" w:cs="Calibri"/>
          <w:b/>
        </w:rPr>
        <w:t>8. ODBIÓR ROBÓT</w:t>
      </w:r>
    </w:p>
    <w:p w14:paraId="61CAFC0E" w14:textId="77777777" w:rsidR="00C975A0" w:rsidRPr="00A23FB4" w:rsidRDefault="00C975A0" w:rsidP="00C975A0">
      <w:pPr>
        <w:pStyle w:val="Nagwek4"/>
        <w:tabs>
          <w:tab w:val="left" w:pos="9914"/>
        </w:tabs>
        <w:rPr>
          <w:rFonts w:ascii="Calibri" w:hAnsi="Calibri" w:cs="Calibri"/>
        </w:rPr>
      </w:pPr>
      <w:r w:rsidRPr="00A23FB4">
        <w:rPr>
          <w:rFonts w:ascii="Calibri" w:hAnsi="Calibri" w:cs="Calibri"/>
        </w:rPr>
        <w:t>8.1. Ogólne zasady odbioru robót</w:t>
      </w:r>
    </w:p>
    <w:p w14:paraId="43348B4A" w14:textId="6F8B5554" w:rsidR="00C975A0" w:rsidRPr="00A23FB4" w:rsidRDefault="00C975A0" w:rsidP="00C975A0">
      <w:pPr>
        <w:numPr>
          <w:ilvl w:val="12"/>
          <w:numId w:val="0"/>
        </w:numPr>
        <w:tabs>
          <w:tab w:val="left" w:pos="0"/>
          <w:tab w:val="left" w:pos="9914"/>
        </w:tabs>
        <w:rPr>
          <w:rFonts w:ascii="Calibri" w:hAnsi="Calibri" w:cs="Calibri"/>
        </w:rPr>
      </w:pPr>
      <w:r w:rsidRPr="00A23FB4">
        <w:rPr>
          <w:rFonts w:ascii="Calibri" w:hAnsi="Calibri" w:cs="Calibri"/>
        </w:rPr>
        <w:t xml:space="preserve">Ogólne zasady odbioru robót podano w </w:t>
      </w:r>
      <w:r w:rsidR="00C31EC5">
        <w:rPr>
          <w:rFonts w:ascii="Calibri" w:hAnsi="Calibri" w:cs="Calibri"/>
        </w:rPr>
        <w:t>ST</w:t>
      </w:r>
      <w:r w:rsidRPr="00A23FB4">
        <w:rPr>
          <w:rFonts w:ascii="Calibri" w:hAnsi="Calibri" w:cs="Calibri"/>
        </w:rPr>
        <w:t>WiORB D-M-00.00.00 „Wymagania ogólne” pkt 8.</w:t>
      </w:r>
    </w:p>
    <w:p w14:paraId="51D0666E" w14:textId="77777777" w:rsidR="00C975A0" w:rsidRPr="00A23FB4" w:rsidRDefault="00C975A0" w:rsidP="00C975A0">
      <w:pPr>
        <w:pStyle w:val="Nagwek4"/>
        <w:tabs>
          <w:tab w:val="left" w:pos="9914"/>
        </w:tabs>
        <w:rPr>
          <w:rFonts w:ascii="Calibri" w:hAnsi="Calibri" w:cs="Calibri"/>
        </w:rPr>
      </w:pPr>
      <w:r w:rsidRPr="00A23FB4">
        <w:rPr>
          <w:rFonts w:ascii="Calibri" w:hAnsi="Calibri" w:cs="Calibri"/>
        </w:rPr>
        <w:t>8.2. Odbiór robót zanikających i ulegających zakryciu</w:t>
      </w:r>
    </w:p>
    <w:p w14:paraId="42F66DEA" w14:textId="77777777" w:rsidR="00C975A0" w:rsidRPr="00A23FB4" w:rsidRDefault="00C975A0" w:rsidP="00C975A0">
      <w:pPr>
        <w:numPr>
          <w:ilvl w:val="12"/>
          <w:numId w:val="0"/>
        </w:numPr>
        <w:tabs>
          <w:tab w:val="left" w:pos="0"/>
          <w:tab w:val="left" w:pos="9914"/>
        </w:tabs>
        <w:rPr>
          <w:rFonts w:ascii="Calibri" w:hAnsi="Calibri" w:cs="Calibri"/>
        </w:rPr>
      </w:pPr>
      <w:r w:rsidRPr="00A23FB4">
        <w:rPr>
          <w:rFonts w:ascii="Calibri" w:hAnsi="Calibri" w:cs="Calibri"/>
        </w:rPr>
        <w:t>Odbiorowi robót zanikających i ulegających zakryciu podlega sprawdzenie dołów po wykarczowanych pniach, przed ich zasypaniem.</w:t>
      </w:r>
    </w:p>
    <w:p w14:paraId="02E38FB1" w14:textId="77777777" w:rsidR="00C975A0" w:rsidRPr="00A23FB4" w:rsidRDefault="00C975A0" w:rsidP="00C975A0">
      <w:pPr>
        <w:numPr>
          <w:ilvl w:val="12"/>
          <w:numId w:val="0"/>
        </w:numPr>
        <w:tabs>
          <w:tab w:val="left" w:pos="0"/>
          <w:tab w:val="left" w:pos="9914"/>
        </w:tabs>
        <w:rPr>
          <w:rFonts w:ascii="Calibri" w:hAnsi="Calibri" w:cs="Calibri"/>
        </w:rPr>
      </w:pPr>
    </w:p>
    <w:p w14:paraId="6F0C1911" w14:textId="77777777" w:rsidR="00C975A0" w:rsidRPr="00A23FB4" w:rsidRDefault="00C975A0" w:rsidP="00C975A0">
      <w:pPr>
        <w:rPr>
          <w:rFonts w:ascii="Calibri" w:hAnsi="Calibri" w:cs="Calibri"/>
          <w:b/>
        </w:rPr>
      </w:pPr>
      <w:r w:rsidRPr="00A23FB4">
        <w:rPr>
          <w:rFonts w:ascii="Calibri" w:hAnsi="Calibri" w:cs="Calibri"/>
          <w:b/>
        </w:rPr>
        <w:t>9. PODSTAWA PŁATNOŚCI</w:t>
      </w:r>
    </w:p>
    <w:p w14:paraId="3E2AA1FB" w14:textId="77777777" w:rsidR="00C975A0" w:rsidRPr="00A23FB4" w:rsidRDefault="00C975A0" w:rsidP="00C975A0">
      <w:pPr>
        <w:pStyle w:val="Nagwek4"/>
        <w:tabs>
          <w:tab w:val="left" w:pos="9914"/>
        </w:tabs>
        <w:rPr>
          <w:rFonts w:ascii="Calibri" w:hAnsi="Calibri" w:cs="Calibri"/>
        </w:rPr>
      </w:pPr>
      <w:r w:rsidRPr="00A23FB4">
        <w:rPr>
          <w:rFonts w:ascii="Calibri" w:hAnsi="Calibri" w:cs="Calibri"/>
        </w:rPr>
        <w:t>9.1. Ogólne ustalenia dotyczące podstawy płatności</w:t>
      </w:r>
    </w:p>
    <w:p w14:paraId="66967CDB" w14:textId="77777777" w:rsidR="001A73F7" w:rsidRDefault="001A73F7" w:rsidP="00C975A0">
      <w:pPr>
        <w:numPr>
          <w:ilvl w:val="12"/>
          <w:numId w:val="0"/>
        </w:numPr>
        <w:tabs>
          <w:tab w:val="left" w:pos="0"/>
          <w:tab w:val="left" w:pos="9914"/>
        </w:tabs>
        <w:rPr>
          <w:rFonts w:ascii="Calibri" w:hAnsi="Calibri" w:cs="Calibri"/>
        </w:rPr>
      </w:pPr>
    </w:p>
    <w:p w14:paraId="64766482" w14:textId="58D10AC1" w:rsidR="001A73F7" w:rsidRDefault="001A73F7" w:rsidP="00C975A0">
      <w:pPr>
        <w:numPr>
          <w:ilvl w:val="12"/>
          <w:numId w:val="0"/>
        </w:numPr>
        <w:tabs>
          <w:tab w:val="left" w:pos="0"/>
          <w:tab w:val="left" w:pos="9914"/>
        </w:tabs>
        <w:rPr>
          <w:rFonts w:ascii="Calibri" w:hAnsi="Calibri" w:cs="Calibri"/>
        </w:rPr>
      </w:pPr>
      <w:r>
        <w:rPr>
          <w:rFonts w:ascii="Calibri" w:hAnsi="Calibri" w:cs="Calibri"/>
        </w:rPr>
        <w:t>Kontrakt ryczałtowy</w:t>
      </w:r>
    </w:p>
    <w:p w14:paraId="0494EDE2" w14:textId="20186F66" w:rsidR="00C975A0" w:rsidRPr="00A23FB4" w:rsidRDefault="00C975A0" w:rsidP="00C975A0">
      <w:pPr>
        <w:numPr>
          <w:ilvl w:val="12"/>
          <w:numId w:val="0"/>
        </w:numPr>
        <w:tabs>
          <w:tab w:val="left" w:pos="0"/>
          <w:tab w:val="left" w:pos="9914"/>
        </w:tabs>
        <w:rPr>
          <w:rFonts w:ascii="Calibri" w:hAnsi="Calibri" w:cs="Calibri"/>
        </w:rPr>
      </w:pPr>
      <w:r w:rsidRPr="00A23FB4">
        <w:rPr>
          <w:rFonts w:ascii="Calibri" w:hAnsi="Calibri" w:cs="Calibri"/>
        </w:rPr>
        <w:t xml:space="preserve">Ogólne ustalenia dotyczące podstawy płatności podano w </w:t>
      </w:r>
      <w:r w:rsidR="00C31EC5">
        <w:rPr>
          <w:rFonts w:ascii="Calibri" w:hAnsi="Calibri" w:cs="Calibri"/>
        </w:rPr>
        <w:t>ST</w:t>
      </w:r>
      <w:r w:rsidRPr="00A23FB4">
        <w:rPr>
          <w:rFonts w:ascii="Calibri" w:hAnsi="Calibri" w:cs="Calibri"/>
        </w:rPr>
        <w:t>WiORB D-M-00.00.00 „Wymagania ogólne” pkt 9.</w:t>
      </w:r>
    </w:p>
    <w:p w14:paraId="6076A674" w14:textId="77777777" w:rsidR="00C975A0" w:rsidRPr="00A23FB4" w:rsidRDefault="00C975A0" w:rsidP="00C975A0">
      <w:pPr>
        <w:numPr>
          <w:ilvl w:val="12"/>
          <w:numId w:val="0"/>
        </w:numPr>
        <w:tabs>
          <w:tab w:val="left" w:pos="0"/>
          <w:tab w:val="left" w:pos="9914"/>
        </w:tabs>
        <w:rPr>
          <w:rFonts w:ascii="Calibri" w:hAnsi="Calibri" w:cs="Calibri"/>
        </w:rPr>
      </w:pPr>
    </w:p>
    <w:p w14:paraId="42DCA88D" w14:textId="77777777" w:rsidR="00C975A0" w:rsidRPr="00A23FB4" w:rsidRDefault="00C975A0" w:rsidP="00C975A0">
      <w:pPr>
        <w:rPr>
          <w:rFonts w:ascii="Calibri" w:hAnsi="Calibri" w:cs="Calibri"/>
          <w:b/>
        </w:rPr>
      </w:pPr>
      <w:r w:rsidRPr="00A23FB4">
        <w:rPr>
          <w:rFonts w:ascii="Calibri" w:hAnsi="Calibri" w:cs="Calibri"/>
          <w:b/>
        </w:rPr>
        <w:t>10. PRZEPISY ZWIĄZANE</w:t>
      </w:r>
    </w:p>
    <w:p w14:paraId="263AFF18" w14:textId="77777777" w:rsidR="00C975A0" w:rsidRPr="00A23FB4" w:rsidRDefault="00C975A0" w:rsidP="00C975A0">
      <w:pPr>
        <w:numPr>
          <w:ilvl w:val="12"/>
          <w:numId w:val="0"/>
        </w:numPr>
        <w:tabs>
          <w:tab w:val="left" w:pos="9914"/>
        </w:tabs>
        <w:rPr>
          <w:rFonts w:ascii="Calibri" w:hAnsi="Calibri" w:cs="Calibri"/>
        </w:rPr>
      </w:pPr>
      <w:r w:rsidRPr="00A23FB4">
        <w:rPr>
          <w:rFonts w:ascii="Calibri" w:hAnsi="Calibri" w:cs="Calibri"/>
        </w:rPr>
        <w:t>Nie występują.</w:t>
      </w:r>
    </w:p>
    <w:p w14:paraId="4058F557" w14:textId="77777777" w:rsidR="00C975A0" w:rsidRPr="00A23FB4" w:rsidRDefault="00C975A0">
      <w:pPr>
        <w:overflowPunct/>
        <w:autoSpaceDE/>
        <w:autoSpaceDN/>
        <w:adjustRightInd/>
        <w:jc w:val="left"/>
        <w:textAlignment w:val="auto"/>
        <w:rPr>
          <w:rFonts w:ascii="Calibri" w:hAnsi="Calibri" w:cs="Calibri"/>
        </w:rPr>
      </w:pPr>
      <w:r w:rsidRPr="00A23FB4">
        <w:rPr>
          <w:rFonts w:ascii="Calibri" w:hAnsi="Calibri" w:cs="Calibri"/>
        </w:rPr>
        <w:br w:type="page"/>
      </w:r>
    </w:p>
    <w:p w14:paraId="2FC8D83C" w14:textId="39AE4061" w:rsidR="00C975A0" w:rsidRPr="00A23FB4" w:rsidRDefault="00C975A0">
      <w:pPr>
        <w:overflowPunct/>
        <w:autoSpaceDE/>
        <w:autoSpaceDN/>
        <w:adjustRightInd/>
        <w:jc w:val="left"/>
        <w:textAlignment w:val="auto"/>
        <w:rPr>
          <w:rFonts w:ascii="Calibri" w:hAnsi="Calibri" w:cs="Calibri"/>
        </w:rPr>
      </w:pPr>
    </w:p>
    <w:p w14:paraId="471C302A" w14:textId="5C393658" w:rsidR="00877526" w:rsidRPr="00A23FB4" w:rsidRDefault="00783235" w:rsidP="007E255D">
      <w:pPr>
        <w:spacing w:line="360" w:lineRule="auto"/>
        <w:jc w:val="center"/>
        <w:rPr>
          <w:rFonts w:ascii="Calibri" w:hAnsi="Calibri" w:cs="Calibri"/>
          <w:b/>
          <w:sz w:val="22"/>
          <w:szCs w:val="22"/>
        </w:rPr>
      </w:pPr>
      <w:r>
        <w:rPr>
          <w:rFonts w:ascii="Calibri" w:hAnsi="Calibri" w:cs="Calibri"/>
          <w:b/>
          <w:sz w:val="22"/>
          <w:szCs w:val="22"/>
        </w:rPr>
        <w:t>SZCZEGÓŁOWE SPECYFIKACJE TECHNICZNE</w:t>
      </w:r>
      <w:r w:rsidR="00877526" w:rsidRPr="00A23FB4">
        <w:rPr>
          <w:rFonts w:ascii="Calibri" w:hAnsi="Calibri" w:cs="Calibri"/>
          <w:b/>
          <w:sz w:val="22"/>
          <w:szCs w:val="22"/>
        </w:rPr>
        <w:t xml:space="preserve"> WYKONANIA I ODBIORU ROBÓT BUDOWLANYCH</w:t>
      </w:r>
    </w:p>
    <w:p w14:paraId="1F70A835" w14:textId="77777777" w:rsidR="00877526" w:rsidRPr="00A23FB4" w:rsidRDefault="00877526" w:rsidP="007E255D">
      <w:pPr>
        <w:pStyle w:val="Nagowek1"/>
        <w:spacing w:before="0" w:line="360" w:lineRule="auto"/>
      </w:pPr>
      <w:bookmarkStart w:id="45" w:name="_Toc352837479"/>
      <w:bookmarkStart w:id="46" w:name="_Toc460177600"/>
      <w:bookmarkStart w:id="47" w:name="_Toc206275467"/>
      <w:r w:rsidRPr="00A23FB4">
        <w:t>D-01.02.02</w:t>
      </w:r>
      <w:bookmarkStart w:id="48" w:name="_Toc279993375"/>
      <w:r w:rsidR="00A66985" w:rsidRPr="00A23FB4">
        <w:t xml:space="preserve"> </w:t>
      </w:r>
      <w:r w:rsidRPr="00A23FB4">
        <w:t>ZDJĘCIE  WARSTWY  HUMUSU  I/LUB  DARNINY</w:t>
      </w:r>
      <w:bookmarkEnd w:id="45"/>
      <w:bookmarkEnd w:id="46"/>
      <w:bookmarkEnd w:id="47"/>
      <w:bookmarkEnd w:id="48"/>
    </w:p>
    <w:p w14:paraId="3FF1B0C7" w14:textId="77777777" w:rsidR="00877526" w:rsidRPr="00A23FB4" w:rsidRDefault="00877526" w:rsidP="00877526">
      <w:pPr>
        <w:rPr>
          <w:rFonts w:ascii="Calibri" w:hAnsi="Calibri" w:cs="Calibri"/>
          <w:b/>
        </w:rPr>
      </w:pPr>
    </w:p>
    <w:p w14:paraId="36178C9F" w14:textId="77777777" w:rsidR="00877526" w:rsidRPr="00A23FB4" w:rsidRDefault="00877526" w:rsidP="00877526">
      <w:pPr>
        <w:rPr>
          <w:rFonts w:ascii="Calibri" w:hAnsi="Calibri" w:cs="Calibri"/>
          <w:b/>
        </w:rPr>
      </w:pPr>
      <w:r w:rsidRPr="00A23FB4">
        <w:rPr>
          <w:rFonts w:ascii="Calibri" w:hAnsi="Calibri" w:cs="Calibri"/>
          <w:b/>
        </w:rPr>
        <w:t>1. WSTĘP</w:t>
      </w:r>
    </w:p>
    <w:p w14:paraId="407A90CB" w14:textId="0D4B0E56" w:rsidR="00877526" w:rsidRPr="00A23FB4" w:rsidRDefault="00877526" w:rsidP="00877526">
      <w:pPr>
        <w:pStyle w:val="Nagwek4"/>
        <w:rPr>
          <w:rFonts w:ascii="Calibri" w:hAnsi="Calibri" w:cs="Calibri"/>
        </w:rPr>
      </w:pPr>
      <w:r w:rsidRPr="00A23FB4">
        <w:rPr>
          <w:rFonts w:ascii="Calibri" w:hAnsi="Calibri" w:cs="Calibri"/>
        </w:rPr>
        <w:t xml:space="preserve">1.1. Przedmiot </w:t>
      </w:r>
      <w:r w:rsidR="00C31EC5">
        <w:rPr>
          <w:rFonts w:ascii="Calibri" w:hAnsi="Calibri" w:cs="Calibri"/>
        </w:rPr>
        <w:t>ST</w:t>
      </w:r>
      <w:r w:rsidRPr="00A23FB4">
        <w:rPr>
          <w:rFonts w:ascii="Calibri" w:hAnsi="Calibri" w:cs="Calibri"/>
        </w:rPr>
        <w:t>WiORB</w:t>
      </w:r>
    </w:p>
    <w:p w14:paraId="39119E34" w14:textId="4E3F2CAA" w:rsidR="00877526" w:rsidRPr="00A23FB4" w:rsidRDefault="00877526" w:rsidP="00877526">
      <w:pPr>
        <w:tabs>
          <w:tab w:val="left" w:pos="0"/>
        </w:tabs>
        <w:rPr>
          <w:rFonts w:ascii="Calibri" w:hAnsi="Calibri" w:cs="Calibri"/>
        </w:rPr>
      </w:pPr>
      <w:r w:rsidRPr="00A23FB4">
        <w:rPr>
          <w:rFonts w:ascii="Calibri" w:hAnsi="Calibri" w:cs="Calibri"/>
        </w:rPr>
        <w:t>Przedmiotem niniejsz</w:t>
      </w:r>
      <w:r w:rsidR="001A73F7">
        <w:rPr>
          <w:rFonts w:ascii="Calibri" w:hAnsi="Calibri" w:cs="Calibri"/>
        </w:rPr>
        <w:t>ej</w:t>
      </w:r>
      <w:r w:rsidRPr="00A23FB4">
        <w:rPr>
          <w:rFonts w:ascii="Calibri" w:hAnsi="Calibri" w:cs="Calibri"/>
        </w:rPr>
        <w:t xml:space="preserve"> </w:t>
      </w:r>
      <w:r w:rsidR="00EE6D03">
        <w:rPr>
          <w:rFonts w:ascii="Calibri" w:hAnsi="Calibri" w:cs="Calibri"/>
        </w:rPr>
        <w:t>specyfikacji</w:t>
      </w:r>
      <w:r w:rsidRPr="00A23FB4">
        <w:rPr>
          <w:rFonts w:ascii="Calibri" w:hAnsi="Calibri" w:cs="Calibri"/>
        </w:rPr>
        <w:t xml:space="preserve"> są wymagania dotyczące wykonania i odbioru robót związanych ze zdjęciem warstwy humusu i/lub darniny.</w:t>
      </w:r>
    </w:p>
    <w:p w14:paraId="73EEFE4A" w14:textId="6B91DADE" w:rsidR="00877526" w:rsidRPr="00A23FB4" w:rsidRDefault="00877526" w:rsidP="00877526">
      <w:pPr>
        <w:pStyle w:val="Nagwek4"/>
        <w:rPr>
          <w:rFonts w:ascii="Calibri" w:hAnsi="Calibri" w:cs="Calibri"/>
        </w:rPr>
      </w:pPr>
      <w:r w:rsidRPr="00A23FB4">
        <w:rPr>
          <w:rFonts w:ascii="Calibri" w:hAnsi="Calibri" w:cs="Calibri"/>
        </w:rPr>
        <w:t xml:space="preserve">1.2. Zakres stosowania </w:t>
      </w:r>
      <w:r w:rsidR="00C31EC5">
        <w:rPr>
          <w:rFonts w:ascii="Calibri" w:hAnsi="Calibri" w:cs="Calibri"/>
        </w:rPr>
        <w:t>ST</w:t>
      </w:r>
      <w:r w:rsidRPr="00A23FB4">
        <w:rPr>
          <w:rFonts w:ascii="Calibri" w:hAnsi="Calibri" w:cs="Calibri"/>
        </w:rPr>
        <w:t>WiORB</w:t>
      </w:r>
    </w:p>
    <w:p w14:paraId="2A327B7A" w14:textId="1BB3A6FA" w:rsidR="00CF795A" w:rsidRDefault="00575C66" w:rsidP="00CF795A">
      <w:pPr>
        <w:overflowPunct/>
        <w:spacing w:before="240" w:line="276" w:lineRule="auto"/>
        <w:textAlignment w:val="auto"/>
        <w:rPr>
          <w:rFonts w:ascii="Calibri" w:hAnsi="Calibri" w:cs="Calibri"/>
        </w:rPr>
      </w:pPr>
      <w:r>
        <w:rPr>
          <w:rFonts w:ascii="Calibri" w:hAnsi="Calibri" w:cs="Calibri"/>
        </w:rPr>
        <w:t>Specyfikacj</w:t>
      </w:r>
      <w:r w:rsidR="001A73F7">
        <w:rPr>
          <w:rFonts w:ascii="Calibri" w:hAnsi="Calibri" w:cs="Calibri"/>
        </w:rPr>
        <w:t>a</w:t>
      </w:r>
      <w:r w:rsidRPr="00A23FB4">
        <w:rPr>
          <w:rFonts w:ascii="Calibri" w:hAnsi="Calibri" w:cs="Calibri"/>
        </w:rPr>
        <w:t xml:space="preserve"> </w:t>
      </w:r>
      <w:r w:rsidR="00877526" w:rsidRPr="00A23FB4">
        <w:rPr>
          <w:rFonts w:ascii="Calibri" w:hAnsi="Calibri" w:cs="Calibri"/>
        </w:rPr>
        <w:t>stanowi dokument kontraktowy przy realizacji  zadania</w:t>
      </w:r>
      <w:r w:rsidR="00A66985" w:rsidRPr="00A23FB4">
        <w:rPr>
          <w:rFonts w:asciiTheme="minorHAnsi" w:hAnsiTheme="minorHAnsi" w:cstheme="minorHAnsi"/>
          <w:bCs/>
        </w:rPr>
        <w:t xml:space="preserve"> </w:t>
      </w:r>
      <w:r w:rsidR="00506838">
        <w:rPr>
          <w:rFonts w:ascii="Calibri" w:hAnsi="Calibri" w:cs="Calibri"/>
        </w:rPr>
        <w:t>„</w:t>
      </w:r>
      <w:r w:rsidR="00633F7C" w:rsidRPr="00633F7C">
        <w:rPr>
          <w:rFonts w:ascii="Calibri" w:hAnsi="Calibri" w:cs="Calibri"/>
        </w:rPr>
        <w:t>Rozbudowa ul. Wrocławskiej w ciągu drogi powiatowej w Tyńcu Małym wraz z rozbudową istniejącego skrzyżowania typu rondo na połączeniu dróg krajowych nr 35 i 35a oraz łącznika węzła Kobierzyce drogi S8e oraz infrastrukturą towarzyszącą w ramach zadania „Rozbudowa skrzyżowania typu rondo w ciągu DK35 koło m. Tyniec Mały usprawniająca skomunikowanie obszarów Podstrefy Wrocław – Kobierzyce TSSE EURO PARK WISŁOSAN”.</w:t>
      </w:r>
    </w:p>
    <w:p w14:paraId="3960E17B" w14:textId="6DB7CEC2" w:rsidR="00615B10" w:rsidRPr="00615B10" w:rsidRDefault="00615B10" w:rsidP="00615B10">
      <w:pPr>
        <w:rPr>
          <w:b/>
          <w:bCs/>
          <w:smallCaps/>
          <w:sz w:val="28"/>
          <w:szCs w:val="28"/>
        </w:rPr>
      </w:pPr>
    </w:p>
    <w:p w14:paraId="7E4C5ED8" w14:textId="74267A6E" w:rsidR="00877526" w:rsidRPr="00615B10" w:rsidRDefault="00877526" w:rsidP="00615B10">
      <w:pPr>
        <w:rPr>
          <w:rFonts w:ascii="Calibri" w:hAnsi="Calibri" w:cs="Calibri"/>
          <w:b/>
          <w:bCs/>
        </w:rPr>
      </w:pPr>
      <w:r w:rsidRPr="00615B10">
        <w:rPr>
          <w:rFonts w:ascii="Calibri" w:hAnsi="Calibri" w:cs="Calibri"/>
          <w:b/>
          <w:bCs/>
        </w:rPr>
        <w:t xml:space="preserve">1.3. Zakres robót objętych </w:t>
      </w:r>
      <w:r w:rsidR="00C31EC5">
        <w:rPr>
          <w:rFonts w:ascii="Calibri" w:hAnsi="Calibri" w:cs="Calibri"/>
          <w:b/>
          <w:bCs/>
        </w:rPr>
        <w:t>ST</w:t>
      </w:r>
      <w:r w:rsidRPr="00615B10">
        <w:rPr>
          <w:rFonts w:ascii="Calibri" w:hAnsi="Calibri" w:cs="Calibri"/>
          <w:b/>
          <w:bCs/>
        </w:rPr>
        <w:t>WiORB</w:t>
      </w:r>
    </w:p>
    <w:p w14:paraId="52DF8798" w14:textId="787E81A7" w:rsidR="00877526" w:rsidRPr="00A23FB4" w:rsidRDefault="00877526" w:rsidP="00877526">
      <w:pPr>
        <w:tabs>
          <w:tab w:val="right" w:leader="dot" w:pos="-1985"/>
          <w:tab w:val="left" w:pos="426"/>
          <w:tab w:val="right" w:leader="dot" w:pos="8505"/>
        </w:tabs>
        <w:rPr>
          <w:rFonts w:ascii="Calibri" w:hAnsi="Calibri" w:cs="Calibri"/>
        </w:rPr>
      </w:pPr>
      <w:r w:rsidRPr="00A23FB4">
        <w:rPr>
          <w:rFonts w:ascii="Calibri" w:hAnsi="Calibri" w:cs="Calibri"/>
        </w:rPr>
        <w:t xml:space="preserve">Ustalenia zawarte w niniejszych </w:t>
      </w:r>
      <w:r w:rsidR="00783235">
        <w:rPr>
          <w:rFonts w:ascii="Calibri" w:hAnsi="Calibri" w:cs="Calibri"/>
        </w:rPr>
        <w:t>specyfikacji</w:t>
      </w:r>
      <w:r w:rsidRPr="00A23FB4">
        <w:rPr>
          <w:rFonts w:ascii="Calibri" w:hAnsi="Calibri" w:cs="Calibri"/>
        </w:rPr>
        <w:t xml:space="preserve"> dotyczą zasad prowadzenia robót związanych ze zdjęciem warstwy humusu i/lub darniny, wykonywanych w ramach robót przygotowawczych.</w:t>
      </w:r>
    </w:p>
    <w:p w14:paraId="6461A743" w14:textId="77777777" w:rsidR="00877526" w:rsidRPr="00A23FB4" w:rsidRDefault="00877526" w:rsidP="00877526">
      <w:pPr>
        <w:pStyle w:val="Nagwek4"/>
        <w:rPr>
          <w:rFonts w:ascii="Calibri" w:hAnsi="Calibri" w:cs="Calibri"/>
        </w:rPr>
      </w:pPr>
      <w:r w:rsidRPr="00A23FB4">
        <w:rPr>
          <w:rFonts w:ascii="Calibri" w:hAnsi="Calibri" w:cs="Calibri"/>
        </w:rPr>
        <w:t>1.4. Określenia podstawowe</w:t>
      </w:r>
    </w:p>
    <w:p w14:paraId="115A9567" w14:textId="30A5F557" w:rsidR="00877526" w:rsidRPr="00A23FB4" w:rsidRDefault="00877526" w:rsidP="00877526">
      <w:pPr>
        <w:tabs>
          <w:tab w:val="left" w:pos="0"/>
        </w:tabs>
        <w:rPr>
          <w:rFonts w:ascii="Calibri" w:hAnsi="Calibri" w:cs="Calibri"/>
        </w:rPr>
      </w:pPr>
      <w:r w:rsidRPr="00A23FB4">
        <w:rPr>
          <w:rFonts w:ascii="Calibri" w:hAnsi="Calibri" w:cs="Calibri"/>
        </w:rPr>
        <w:t>Stosowane określenia podstawowe są zgodne z obowiązującymi, odpow</w:t>
      </w:r>
      <w:r w:rsidR="004F22F4" w:rsidRPr="00A23FB4">
        <w:rPr>
          <w:rFonts w:ascii="Calibri" w:hAnsi="Calibri" w:cs="Calibri"/>
        </w:rPr>
        <w:t>iednimi polskimi normami oraz z </w:t>
      </w:r>
      <w:r w:rsidRPr="00A23FB4">
        <w:rPr>
          <w:rFonts w:ascii="Calibri" w:hAnsi="Calibri" w:cs="Calibri"/>
        </w:rPr>
        <w:t xml:space="preserve">definicjami podanymi w </w:t>
      </w:r>
      <w:r w:rsidR="00C31EC5">
        <w:rPr>
          <w:rFonts w:ascii="Calibri" w:hAnsi="Calibri" w:cs="Calibri"/>
        </w:rPr>
        <w:t>ST</w:t>
      </w:r>
      <w:r w:rsidRPr="00A23FB4">
        <w:rPr>
          <w:rFonts w:ascii="Calibri" w:hAnsi="Calibri" w:cs="Calibri"/>
        </w:rPr>
        <w:t>WiORB D-M-00.00.00 „Wymagania ogólne” pkt 1.4.</w:t>
      </w:r>
    </w:p>
    <w:p w14:paraId="5B223EA6" w14:textId="77777777" w:rsidR="00877526" w:rsidRPr="00A23FB4" w:rsidRDefault="00877526" w:rsidP="00877526">
      <w:pPr>
        <w:pStyle w:val="Nagwek4"/>
        <w:rPr>
          <w:rFonts w:ascii="Calibri" w:hAnsi="Calibri" w:cs="Calibri"/>
        </w:rPr>
      </w:pPr>
      <w:r w:rsidRPr="00A23FB4">
        <w:rPr>
          <w:rFonts w:ascii="Calibri" w:hAnsi="Calibri" w:cs="Calibri"/>
        </w:rPr>
        <w:t>1.5. Ogólne wymagania dotyczące robót</w:t>
      </w:r>
    </w:p>
    <w:p w14:paraId="4BCA42EA" w14:textId="475473CA" w:rsidR="00877526" w:rsidRPr="00A23FB4" w:rsidRDefault="00877526" w:rsidP="00877526">
      <w:pPr>
        <w:tabs>
          <w:tab w:val="left" w:pos="0"/>
        </w:tabs>
        <w:rPr>
          <w:rFonts w:ascii="Calibri" w:hAnsi="Calibri" w:cs="Calibri"/>
        </w:rPr>
      </w:pPr>
      <w:r w:rsidRPr="00A23FB4">
        <w:rPr>
          <w:rFonts w:ascii="Calibri" w:hAnsi="Calibri" w:cs="Calibri"/>
        </w:rPr>
        <w:t xml:space="preserve">Ogólne wymagania dotyczące robót podano w </w:t>
      </w:r>
      <w:r w:rsidR="00C31EC5">
        <w:rPr>
          <w:rFonts w:ascii="Calibri" w:hAnsi="Calibri" w:cs="Calibri"/>
        </w:rPr>
        <w:t>ST</w:t>
      </w:r>
      <w:r w:rsidRPr="00A23FB4">
        <w:rPr>
          <w:rFonts w:ascii="Calibri" w:hAnsi="Calibri" w:cs="Calibri"/>
        </w:rPr>
        <w:t>WiORB D-M-00.00.00 „Wymagania ogólne” pkt 1.5.</w:t>
      </w:r>
    </w:p>
    <w:p w14:paraId="2975F854" w14:textId="77777777" w:rsidR="00877526" w:rsidRPr="00A23FB4" w:rsidRDefault="00877526" w:rsidP="00877526">
      <w:pPr>
        <w:rPr>
          <w:rFonts w:ascii="Calibri" w:hAnsi="Calibri" w:cs="Calibri"/>
          <w:b/>
        </w:rPr>
      </w:pPr>
    </w:p>
    <w:p w14:paraId="2DC488E1" w14:textId="77777777" w:rsidR="00877526" w:rsidRPr="00A23FB4" w:rsidRDefault="00877526" w:rsidP="00877526">
      <w:pPr>
        <w:rPr>
          <w:rFonts w:ascii="Calibri" w:hAnsi="Calibri" w:cs="Calibri"/>
          <w:b/>
        </w:rPr>
      </w:pPr>
      <w:r w:rsidRPr="00A23FB4">
        <w:rPr>
          <w:rFonts w:ascii="Calibri" w:hAnsi="Calibri" w:cs="Calibri"/>
          <w:b/>
        </w:rPr>
        <w:t>2. MATERIAŁY</w:t>
      </w:r>
    </w:p>
    <w:p w14:paraId="67C3FBD3" w14:textId="77777777" w:rsidR="00877526" w:rsidRPr="00A23FB4" w:rsidRDefault="00877526" w:rsidP="00877526">
      <w:pPr>
        <w:tabs>
          <w:tab w:val="left" w:pos="0"/>
        </w:tabs>
        <w:rPr>
          <w:rFonts w:ascii="Calibri" w:hAnsi="Calibri" w:cs="Calibri"/>
        </w:rPr>
      </w:pPr>
      <w:r w:rsidRPr="00A23FB4">
        <w:rPr>
          <w:rFonts w:ascii="Calibri" w:hAnsi="Calibri" w:cs="Calibri"/>
        </w:rPr>
        <w:t>Nie występują.</w:t>
      </w:r>
    </w:p>
    <w:p w14:paraId="64A0B08E" w14:textId="77777777" w:rsidR="00877526" w:rsidRPr="00A23FB4" w:rsidRDefault="00877526" w:rsidP="00877526">
      <w:pPr>
        <w:rPr>
          <w:rFonts w:ascii="Calibri" w:hAnsi="Calibri" w:cs="Calibri"/>
          <w:b/>
        </w:rPr>
      </w:pPr>
    </w:p>
    <w:p w14:paraId="03A22ECD" w14:textId="77777777" w:rsidR="00877526" w:rsidRPr="00A23FB4" w:rsidRDefault="00877526" w:rsidP="00877526">
      <w:pPr>
        <w:rPr>
          <w:rFonts w:ascii="Calibri" w:hAnsi="Calibri" w:cs="Calibri"/>
          <w:b/>
        </w:rPr>
      </w:pPr>
      <w:r w:rsidRPr="00A23FB4">
        <w:rPr>
          <w:rFonts w:ascii="Calibri" w:hAnsi="Calibri" w:cs="Calibri"/>
          <w:b/>
        </w:rPr>
        <w:t>3. SPRZĘT</w:t>
      </w:r>
    </w:p>
    <w:p w14:paraId="7FEA2192" w14:textId="77777777" w:rsidR="00877526" w:rsidRPr="00A23FB4" w:rsidRDefault="00877526" w:rsidP="00877526">
      <w:pPr>
        <w:pStyle w:val="Nagwek4"/>
        <w:rPr>
          <w:rFonts w:ascii="Calibri" w:hAnsi="Calibri" w:cs="Calibri"/>
        </w:rPr>
      </w:pPr>
      <w:r w:rsidRPr="00A23FB4">
        <w:rPr>
          <w:rFonts w:ascii="Calibri" w:hAnsi="Calibri" w:cs="Calibri"/>
        </w:rPr>
        <w:t>3.1. Ogólne wymagania dotyczące sprzętu</w:t>
      </w:r>
    </w:p>
    <w:p w14:paraId="5416D998" w14:textId="41E3249D" w:rsidR="00877526" w:rsidRPr="00A23FB4" w:rsidRDefault="00877526" w:rsidP="00877526">
      <w:pPr>
        <w:tabs>
          <w:tab w:val="right" w:leader="dot" w:pos="-1985"/>
          <w:tab w:val="left" w:pos="426"/>
          <w:tab w:val="right" w:leader="dot" w:pos="8505"/>
        </w:tabs>
        <w:rPr>
          <w:rFonts w:ascii="Calibri" w:hAnsi="Calibri" w:cs="Calibri"/>
        </w:rPr>
      </w:pPr>
      <w:r w:rsidRPr="00A23FB4">
        <w:rPr>
          <w:rFonts w:ascii="Calibri" w:hAnsi="Calibri" w:cs="Calibri"/>
        </w:rPr>
        <w:t xml:space="preserve">Ogólne wymagania dotyczące sprzętu podano w </w:t>
      </w:r>
      <w:r w:rsidR="00C31EC5">
        <w:rPr>
          <w:rFonts w:ascii="Calibri" w:hAnsi="Calibri" w:cs="Calibri"/>
        </w:rPr>
        <w:t>ST</w:t>
      </w:r>
      <w:r w:rsidRPr="00A23FB4">
        <w:rPr>
          <w:rFonts w:ascii="Calibri" w:hAnsi="Calibri" w:cs="Calibri"/>
        </w:rPr>
        <w:t>WiORB D-M-00.00.00 „Wymagania ogólne” pkt 3.</w:t>
      </w:r>
    </w:p>
    <w:p w14:paraId="0BA68A4B" w14:textId="77777777" w:rsidR="00877526" w:rsidRPr="00A23FB4" w:rsidRDefault="00877526" w:rsidP="00877526">
      <w:pPr>
        <w:pStyle w:val="Nagwek4"/>
        <w:rPr>
          <w:rFonts w:ascii="Calibri" w:hAnsi="Calibri" w:cs="Calibri"/>
        </w:rPr>
      </w:pPr>
      <w:r w:rsidRPr="00A23FB4">
        <w:rPr>
          <w:rFonts w:ascii="Calibri" w:hAnsi="Calibri" w:cs="Calibri"/>
        </w:rPr>
        <w:t>3.2. Sprzęt do zdjęcia humusu i/lub darniny</w:t>
      </w:r>
    </w:p>
    <w:p w14:paraId="0F140C35" w14:textId="77777777" w:rsidR="00877526" w:rsidRPr="00A23FB4" w:rsidRDefault="00877526" w:rsidP="00877526">
      <w:pPr>
        <w:tabs>
          <w:tab w:val="right" w:leader="dot" w:pos="-1985"/>
          <w:tab w:val="left" w:pos="426"/>
          <w:tab w:val="right" w:leader="dot" w:pos="8505"/>
        </w:tabs>
        <w:rPr>
          <w:rFonts w:ascii="Calibri" w:hAnsi="Calibri" w:cs="Calibri"/>
        </w:rPr>
      </w:pPr>
      <w:r w:rsidRPr="00A23FB4">
        <w:rPr>
          <w:rFonts w:ascii="Calibri" w:hAnsi="Calibri" w:cs="Calibri"/>
        </w:rPr>
        <w:t>Do wykonania robót związanych ze zdjęciem warstwy humusu lub/i darniny nie nadającej się do powtórnego użycia należy stosować:</w:t>
      </w:r>
    </w:p>
    <w:p w14:paraId="0F250022" w14:textId="77777777" w:rsidR="00877526" w:rsidRPr="00A23FB4" w:rsidRDefault="00877526" w:rsidP="00262498">
      <w:pPr>
        <w:numPr>
          <w:ilvl w:val="0"/>
          <w:numId w:val="15"/>
        </w:numPr>
        <w:tabs>
          <w:tab w:val="left" w:pos="283"/>
          <w:tab w:val="left" w:pos="426"/>
          <w:tab w:val="right" w:leader="dot" w:pos="8505"/>
        </w:tabs>
        <w:suppressAutoHyphens/>
        <w:autoSpaceDN/>
        <w:adjustRightInd/>
        <w:rPr>
          <w:rFonts w:ascii="Calibri" w:hAnsi="Calibri" w:cs="Calibri"/>
        </w:rPr>
      </w:pPr>
      <w:r w:rsidRPr="00A23FB4">
        <w:rPr>
          <w:rFonts w:ascii="Calibri" w:hAnsi="Calibri" w:cs="Calibri"/>
        </w:rPr>
        <w:t>równiarki,</w:t>
      </w:r>
    </w:p>
    <w:p w14:paraId="1982D8A5" w14:textId="77777777" w:rsidR="00877526" w:rsidRPr="00A23FB4" w:rsidRDefault="00877526" w:rsidP="00262498">
      <w:pPr>
        <w:numPr>
          <w:ilvl w:val="0"/>
          <w:numId w:val="15"/>
        </w:numPr>
        <w:tabs>
          <w:tab w:val="left" w:pos="283"/>
          <w:tab w:val="left" w:pos="426"/>
          <w:tab w:val="right" w:leader="dot" w:pos="8505"/>
        </w:tabs>
        <w:suppressAutoHyphens/>
        <w:autoSpaceDN/>
        <w:adjustRightInd/>
        <w:rPr>
          <w:rFonts w:ascii="Calibri" w:hAnsi="Calibri" w:cs="Calibri"/>
        </w:rPr>
      </w:pPr>
      <w:r w:rsidRPr="00A23FB4">
        <w:rPr>
          <w:rFonts w:ascii="Calibri" w:hAnsi="Calibri" w:cs="Calibri"/>
        </w:rPr>
        <w:t>spycharki,</w:t>
      </w:r>
    </w:p>
    <w:p w14:paraId="4BBDDF93" w14:textId="77777777" w:rsidR="00877526" w:rsidRPr="00A23FB4" w:rsidRDefault="00877526" w:rsidP="00262498">
      <w:pPr>
        <w:numPr>
          <w:ilvl w:val="0"/>
          <w:numId w:val="15"/>
        </w:numPr>
        <w:tabs>
          <w:tab w:val="left" w:pos="283"/>
          <w:tab w:val="left" w:pos="426"/>
          <w:tab w:val="right" w:leader="dot" w:pos="8505"/>
        </w:tabs>
        <w:suppressAutoHyphens/>
        <w:autoSpaceDN/>
        <w:adjustRightInd/>
        <w:rPr>
          <w:rFonts w:ascii="Calibri" w:hAnsi="Calibri" w:cs="Calibri"/>
        </w:rPr>
      </w:pPr>
      <w:r w:rsidRPr="00A23FB4">
        <w:rPr>
          <w:rFonts w:ascii="Calibri" w:hAnsi="Calibri" w:cs="Calibri"/>
        </w:rPr>
        <w:t>koparki</w:t>
      </w:r>
    </w:p>
    <w:p w14:paraId="4E36D5A1" w14:textId="77777777" w:rsidR="00877526" w:rsidRPr="00A23FB4" w:rsidRDefault="00877526" w:rsidP="00262498">
      <w:pPr>
        <w:numPr>
          <w:ilvl w:val="0"/>
          <w:numId w:val="15"/>
        </w:numPr>
        <w:tabs>
          <w:tab w:val="left" w:pos="283"/>
          <w:tab w:val="left" w:pos="426"/>
          <w:tab w:val="right" w:leader="dot" w:pos="8505"/>
        </w:tabs>
        <w:suppressAutoHyphens/>
        <w:autoSpaceDN/>
        <w:adjustRightInd/>
        <w:rPr>
          <w:rFonts w:ascii="Calibri" w:hAnsi="Calibri" w:cs="Calibri"/>
        </w:rPr>
      </w:pPr>
      <w:r w:rsidRPr="00A23FB4">
        <w:rPr>
          <w:rFonts w:ascii="Calibri" w:hAnsi="Calibri" w:cs="Calibri"/>
        </w:rPr>
        <w:t>łopaty, szpadle i inny sprzęt do ręcznego wykonywania robót ziemnych - w miejscach, gdzie prawidłowe wykonanie robót sprzętem zmechanizowanym nie jest możliwe,</w:t>
      </w:r>
    </w:p>
    <w:p w14:paraId="28AE696A" w14:textId="77777777" w:rsidR="00877526" w:rsidRPr="00A23FB4" w:rsidRDefault="00877526" w:rsidP="00262498">
      <w:pPr>
        <w:numPr>
          <w:ilvl w:val="0"/>
          <w:numId w:val="15"/>
        </w:numPr>
        <w:tabs>
          <w:tab w:val="left" w:pos="283"/>
          <w:tab w:val="left" w:pos="426"/>
          <w:tab w:val="right" w:leader="dot" w:pos="8505"/>
        </w:tabs>
        <w:suppressAutoHyphens/>
        <w:autoSpaceDN/>
        <w:adjustRightInd/>
        <w:rPr>
          <w:rFonts w:ascii="Calibri" w:hAnsi="Calibri" w:cs="Calibri"/>
        </w:rPr>
      </w:pPr>
      <w:r w:rsidRPr="00A23FB4">
        <w:rPr>
          <w:rFonts w:ascii="Calibri" w:hAnsi="Calibri" w:cs="Calibri"/>
        </w:rPr>
        <w:t>koparki i samochody samowyładowcze - w przypadku transportu na odległość wymagającą zastosowania takiego sprzętu.</w:t>
      </w:r>
    </w:p>
    <w:p w14:paraId="460EDEE0" w14:textId="77777777" w:rsidR="00877526" w:rsidRPr="00A23FB4" w:rsidRDefault="00877526" w:rsidP="00877526">
      <w:pPr>
        <w:tabs>
          <w:tab w:val="right" w:leader="dot" w:pos="-1985"/>
          <w:tab w:val="left" w:pos="426"/>
          <w:tab w:val="right" w:leader="dot" w:pos="8505"/>
        </w:tabs>
        <w:rPr>
          <w:rFonts w:ascii="Calibri" w:hAnsi="Calibri" w:cs="Calibri"/>
        </w:rPr>
      </w:pPr>
      <w:r w:rsidRPr="00A23FB4">
        <w:rPr>
          <w:rFonts w:ascii="Calibri" w:hAnsi="Calibri" w:cs="Calibri"/>
        </w:rPr>
        <w:t>Do wykonania robót związanych ze zdjęciem warstwy darniny nadającej się do powtórnego użycia, należy stosować:</w:t>
      </w:r>
    </w:p>
    <w:p w14:paraId="43890946" w14:textId="77777777" w:rsidR="00877526" w:rsidRPr="00A23FB4" w:rsidRDefault="00877526" w:rsidP="00262498">
      <w:pPr>
        <w:numPr>
          <w:ilvl w:val="0"/>
          <w:numId w:val="15"/>
        </w:numPr>
        <w:tabs>
          <w:tab w:val="left" w:pos="283"/>
          <w:tab w:val="left" w:pos="426"/>
          <w:tab w:val="right" w:leader="dot" w:pos="8505"/>
        </w:tabs>
        <w:suppressAutoHyphens/>
        <w:autoSpaceDN/>
        <w:adjustRightInd/>
        <w:rPr>
          <w:rFonts w:ascii="Calibri" w:hAnsi="Calibri" w:cs="Calibri"/>
        </w:rPr>
      </w:pPr>
      <w:r w:rsidRPr="00A23FB4">
        <w:rPr>
          <w:rFonts w:ascii="Calibri" w:hAnsi="Calibri" w:cs="Calibri"/>
        </w:rPr>
        <w:t>noże do cięcia darniny według zasad określonych w p. 5.3,</w:t>
      </w:r>
    </w:p>
    <w:p w14:paraId="7B358A5C" w14:textId="77777777" w:rsidR="00877526" w:rsidRDefault="00877526" w:rsidP="00262498">
      <w:pPr>
        <w:numPr>
          <w:ilvl w:val="0"/>
          <w:numId w:val="15"/>
        </w:numPr>
        <w:tabs>
          <w:tab w:val="left" w:pos="283"/>
          <w:tab w:val="left" w:pos="426"/>
          <w:tab w:val="right" w:leader="dot" w:pos="8505"/>
        </w:tabs>
        <w:suppressAutoHyphens/>
        <w:autoSpaceDN/>
        <w:adjustRightInd/>
        <w:rPr>
          <w:rFonts w:ascii="Calibri" w:hAnsi="Calibri" w:cs="Calibri"/>
        </w:rPr>
      </w:pPr>
      <w:r w:rsidRPr="00A23FB4">
        <w:rPr>
          <w:rFonts w:ascii="Calibri" w:hAnsi="Calibri" w:cs="Calibri"/>
        </w:rPr>
        <w:t>łopaty i szpadle.</w:t>
      </w:r>
    </w:p>
    <w:p w14:paraId="28A8C1C8" w14:textId="77777777" w:rsidR="009D24CE" w:rsidRDefault="009D24CE" w:rsidP="009D24CE">
      <w:pPr>
        <w:tabs>
          <w:tab w:val="left" w:pos="283"/>
          <w:tab w:val="left" w:pos="426"/>
          <w:tab w:val="right" w:leader="dot" w:pos="8505"/>
        </w:tabs>
        <w:suppressAutoHyphens/>
        <w:autoSpaceDN/>
        <w:adjustRightInd/>
        <w:rPr>
          <w:rFonts w:ascii="Calibri" w:hAnsi="Calibri" w:cs="Calibri"/>
        </w:rPr>
      </w:pPr>
    </w:p>
    <w:p w14:paraId="54B76540" w14:textId="77777777" w:rsidR="009D24CE" w:rsidRDefault="009D24CE" w:rsidP="009D24CE">
      <w:pPr>
        <w:tabs>
          <w:tab w:val="left" w:pos="283"/>
          <w:tab w:val="left" w:pos="426"/>
          <w:tab w:val="right" w:leader="dot" w:pos="8505"/>
        </w:tabs>
        <w:suppressAutoHyphens/>
        <w:autoSpaceDN/>
        <w:adjustRightInd/>
        <w:rPr>
          <w:rFonts w:ascii="Calibri" w:hAnsi="Calibri" w:cs="Calibri"/>
        </w:rPr>
      </w:pPr>
    </w:p>
    <w:p w14:paraId="0D3BCAA2" w14:textId="77777777" w:rsidR="009D24CE" w:rsidRPr="00A23FB4" w:rsidRDefault="009D24CE" w:rsidP="009D24CE">
      <w:pPr>
        <w:tabs>
          <w:tab w:val="left" w:pos="283"/>
          <w:tab w:val="left" w:pos="426"/>
          <w:tab w:val="right" w:leader="dot" w:pos="8505"/>
        </w:tabs>
        <w:suppressAutoHyphens/>
        <w:autoSpaceDN/>
        <w:adjustRightInd/>
        <w:rPr>
          <w:rFonts w:ascii="Calibri" w:hAnsi="Calibri" w:cs="Calibri"/>
        </w:rPr>
      </w:pPr>
    </w:p>
    <w:p w14:paraId="5009D3A5" w14:textId="77777777" w:rsidR="00877526" w:rsidRPr="00A23FB4" w:rsidRDefault="00877526" w:rsidP="00877526">
      <w:pPr>
        <w:rPr>
          <w:rFonts w:ascii="Calibri" w:hAnsi="Calibri" w:cs="Calibri"/>
          <w:b/>
        </w:rPr>
      </w:pPr>
    </w:p>
    <w:p w14:paraId="24095442" w14:textId="77777777" w:rsidR="00877526" w:rsidRPr="00A23FB4" w:rsidRDefault="00877526" w:rsidP="00877526">
      <w:pPr>
        <w:rPr>
          <w:rFonts w:ascii="Calibri" w:hAnsi="Calibri" w:cs="Calibri"/>
          <w:b/>
        </w:rPr>
      </w:pPr>
      <w:r w:rsidRPr="00A23FB4">
        <w:rPr>
          <w:rFonts w:ascii="Calibri" w:hAnsi="Calibri" w:cs="Calibri"/>
          <w:b/>
        </w:rPr>
        <w:t>4. TRANSPORT</w:t>
      </w:r>
    </w:p>
    <w:p w14:paraId="14F2305C" w14:textId="77777777" w:rsidR="00877526" w:rsidRPr="00A23FB4" w:rsidRDefault="00877526" w:rsidP="00877526">
      <w:pPr>
        <w:pStyle w:val="Nagwek4"/>
        <w:rPr>
          <w:rFonts w:ascii="Calibri" w:hAnsi="Calibri" w:cs="Calibri"/>
        </w:rPr>
      </w:pPr>
      <w:r w:rsidRPr="00A23FB4">
        <w:rPr>
          <w:rFonts w:ascii="Calibri" w:hAnsi="Calibri" w:cs="Calibri"/>
        </w:rPr>
        <w:t>4.1. Ogólne wymagania dotyczące transportu</w:t>
      </w:r>
    </w:p>
    <w:p w14:paraId="2A35FEBB" w14:textId="429B53A1" w:rsidR="00877526" w:rsidRPr="00A23FB4" w:rsidRDefault="00877526" w:rsidP="00877526">
      <w:pPr>
        <w:tabs>
          <w:tab w:val="right" w:leader="dot" w:pos="-1985"/>
          <w:tab w:val="left" w:pos="426"/>
          <w:tab w:val="right" w:leader="dot" w:pos="8505"/>
        </w:tabs>
        <w:rPr>
          <w:rFonts w:ascii="Calibri" w:hAnsi="Calibri" w:cs="Calibri"/>
        </w:rPr>
      </w:pPr>
      <w:r w:rsidRPr="00A23FB4">
        <w:rPr>
          <w:rFonts w:ascii="Calibri" w:hAnsi="Calibri" w:cs="Calibri"/>
        </w:rPr>
        <w:t xml:space="preserve">Ogólne wymagania dotyczące transportu podano w </w:t>
      </w:r>
      <w:r w:rsidR="00C31EC5">
        <w:rPr>
          <w:rFonts w:ascii="Calibri" w:hAnsi="Calibri" w:cs="Calibri"/>
        </w:rPr>
        <w:t>ST</w:t>
      </w:r>
      <w:r w:rsidRPr="00A23FB4">
        <w:rPr>
          <w:rFonts w:ascii="Calibri" w:hAnsi="Calibri" w:cs="Calibri"/>
        </w:rPr>
        <w:t>WiORB D-M-00.00.00 „Wymagania ogólne” pkt 4.</w:t>
      </w:r>
    </w:p>
    <w:p w14:paraId="747A2672" w14:textId="77777777" w:rsidR="00877526" w:rsidRPr="00A23FB4" w:rsidRDefault="00877526" w:rsidP="00877526">
      <w:pPr>
        <w:pStyle w:val="Nagwek4"/>
        <w:rPr>
          <w:rFonts w:ascii="Calibri" w:hAnsi="Calibri" w:cs="Calibri"/>
        </w:rPr>
      </w:pPr>
      <w:r w:rsidRPr="00A23FB4">
        <w:rPr>
          <w:rFonts w:ascii="Calibri" w:hAnsi="Calibri" w:cs="Calibri"/>
        </w:rPr>
        <w:t>4.2. Transport humusu i darniny</w:t>
      </w:r>
    </w:p>
    <w:p w14:paraId="0D21CD71" w14:textId="77777777" w:rsidR="00877526" w:rsidRPr="00A23FB4" w:rsidRDefault="00877526" w:rsidP="00877526">
      <w:pPr>
        <w:tabs>
          <w:tab w:val="right" w:leader="dot" w:pos="-1985"/>
          <w:tab w:val="left" w:pos="426"/>
          <w:tab w:val="right" w:leader="dot" w:pos="8505"/>
        </w:tabs>
        <w:rPr>
          <w:rFonts w:ascii="Calibri" w:hAnsi="Calibri" w:cs="Calibri"/>
        </w:rPr>
      </w:pPr>
      <w:r w:rsidRPr="00A23FB4">
        <w:rPr>
          <w:rFonts w:ascii="Calibri" w:hAnsi="Calibri" w:cs="Calibri"/>
        </w:rPr>
        <w:t>Humus należy przemieszczać z zastosowaniem równiarek lub spycharek albo przewozić transportem samochodowym. Wybór środka transportu zależy od odległości, warunków lokalnych i przeznaczenia humusu.</w:t>
      </w:r>
    </w:p>
    <w:p w14:paraId="64D31C6C" w14:textId="77777777" w:rsidR="00877526" w:rsidRPr="00A23FB4" w:rsidRDefault="00877526" w:rsidP="00877526">
      <w:pPr>
        <w:tabs>
          <w:tab w:val="right" w:leader="dot" w:pos="-1985"/>
          <w:tab w:val="left" w:pos="426"/>
          <w:tab w:val="right" w:leader="dot" w:pos="8505"/>
        </w:tabs>
        <w:rPr>
          <w:rFonts w:ascii="Calibri" w:hAnsi="Calibri" w:cs="Calibri"/>
        </w:rPr>
      </w:pPr>
      <w:r w:rsidRPr="00A23FB4">
        <w:rPr>
          <w:rFonts w:ascii="Calibri" w:hAnsi="Calibri" w:cs="Calibri"/>
        </w:rPr>
        <w:t>Darninę należy przewozić transportem samochodowym. W przypadku darniny przeznaczonej do powtórnego zastosowania, powinna ona być transportowana w sposób nie powodujący uszkodzeń.</w:t>
      </w:r>
    </w:p>
    <w:p w14:paraId="11F65A2B" w14:textId="77777777" w:rsidR="00877526" w:rsidRPr="00A23FB4" w:rsidRDefault="00877526" w:rsidP="00877526">
      <w:pPr>
        <w:rPr>
          <w:rFonts w:ascii="Calibri" w:hAnsi="Calibri" w:cs="Calibri"/>
          <w:b/>
        </w:rPr>
      </w:pPr>
    </w:p>
    <w:p w14:paraId="32EDCB8F" w14:textId="77777777" w:rsidR="00877526" w:rsidRPr="00A23FB4" w:rsidRDefault="00877526" w:rsidP="00877526">
      <w:pPr>
        <w:rPr>
          <w:rFonts w:ascii="Calibri" w:hAnsi="Calibri" w:cs="Calibri"/>
          <w:b/>
        </w:rPr>
      </w:pPr>
      <w:r w:rsidRPr="00A23FB4">
        <w:rPr>
          <w:rFonts w:ascii="Calibri" w:hAnsi="Calibri" w:cs="Calibri"/>
          <w:b/>
        </w:rPr>
        <w:t>5. WYKONANIE ROBÓT</w:t>
      </w:r>
    </w:p>
    <w:p w14:paraId="67A6FFAB" w14:textId="77777777" w:rsidR="00877526" w:rsidRPr="00A23FB4" w:rsidRDefault="00877526" w:rsidP="00877526">
      <w:pPr>
        <w:pStyle w:val="Nagwek4"/>
        <w:rPr>
          <w:rFonts w:ascii="Calibri" w:hAnsi="Calibri" w:cs="Calibri"/>
        </w:rPr>
      </w:pPr>
      <w:r w:rsidRPr="00A23FB4">
        <w:rPr>
          <w:rFonts w:ascii="Calibri" w:hAnsi="Calibri" w:cs="Calibri"/>
        </w:rPr>
        <w:t>5.1. Ogólne zasady wykonania robót</w:t>
      </w:r>
    </w:p>
    <w:p w14:paraId="0CAB3158" w14:textId="0DCC0528" w:rsidR="00877526" w:rsidRPr="00A23FB4" w:rsidRDefault="00877526" w:rsidP="00877526">
      <w:pPr>
        <w:tabs>
          <w:tab w:val="right" w:leader="dot" w:pos="-1985"/>
          <w:tab w:val="left" w:pos="426"/>
          <w:tab w:val="right" w:leader="dot" w:pos="8505"/>
        </w:tabs>
        <w:rPr>
          <w:rFonts w:ascii="Calibri" w:hAnsi="Calibri" w:cs="Calibri"/>
        </w:rPr>
      </w:pPr>
      <w:r w:rsidRPr="00A23FB4">
        <w:rPr>
          <w:rFonts w:ascii="Calibri" w:hAnsi="Calibri" w:cs="Calibri"/>
        </w:rPr>
        <w:t xml:space="preserve">Ogólne zasady wykonania robót podano w </w:t>
      </w:r>
      <w:r w:rsidR="00C31EC5">
        <w:rPr>
          <w:rFonts w:ascii="Calibri" w:hAnsi="Calibri" w:cs="Calibri"/>
        </w:rPr>
        <w:t>ST</w:t>
      </w:r>
      <w:r w:rsidRPr="00A23FB4">
        <w:rPr>
          <w:rFonts w:ascii="Calibri" w:hAnsi="Calibri" w:cs="Calibri"/>
        </w:rPr>
        <w:t>WiORB D-M-00.00.00 „Wymagania ogólne” pkt 5.</w:t>
      </w:r>
    </w:p>
    <w:p w14:paraId="1E90B7DD" w14:textId="77777777" w:rsidR="00877526" w:rsidRPr="00A23FB4" w:rsidRDefault="00877526" w:rsidP="00877526">
      <w:pPr>
        <w:tabs>
          <w:tab w:val="right" w:leader="dot" w:pos="-1985"/>
          <w:tab w:val="left" w:pos="426"/>
          <w:tab w:val="right" w:leader="dot" w:pos="8505"/>
        </w:tabs>
        <w:rPr>
          <w:rFonts w:ascii="Calibri" w:hAnsi="Calibri" w:cs="Calibri"/>
        </w:rPr>
      </w:pPr>
      <w:r w:rsidRPr="00A23FB4">
        <w:rPr>
          <w:rFonts w:ascii="Calibri" w:hAnsi="Calibri" w:cs="Calibri"/>
        </w:rPr>
        <w:t>Teren pod budowę drogi w pasie robót ziemnych, powinien być oczyszczony z humusu i/lub darniny.</w:t>
      </w:r>
    </w:p>
    <w:p w14:paraId="30EA6A49" w14:textId="77777777" w:rsidR="00877526" w:rsidRPr="00A23FB4" w:rsidRDefault="00877526" w:rsidP="00877526">
      <w:pPr>
        <w:pStyle w:val="Nagwek4"/>
        <w:rPr>
          <w:rFonts w:ascii="Calibri" w:hAnsi="Calibri" w:cs="Calibri"/>
        </w:rPr>
      </w:pPr>
      <w:r w:rsidRPr="00A23FB4">
        <w:rPr>
          <w:rFonts w:ascii="Calibri" w:hAnsi="Calibri" w:cs="Calibri"/>
        </w:rPr>
        <w:t>5.2. Zdjęcie warstwy humusu</w:t>
      </w:r>
    </w:p>
    <w:p w14:paraId="2BFC338F" w14:textId="77777777" w:rsidR="00877526" w:rsidRPr="00A23FB4" w:rsidRDefault="00877526" w:rsidP="00877526">
      <w:pPr>
        <w:tabs>
          <w:tab w:val="right" w:leader="dot" w:pos="-1985"/>
          <w:tab w:val="left" w:pos="426"/>
          <w:tab w:val="right" w:leader="dot" w:pos="8505"/>
        </w:tabs>
        <w:rPr>
          <w:rFonts w:ascii="Calibri" w:hAnsi="Calibri" w:cs="Calibri"/>
        </w:rPr>
      </w:pPr>
      <w:r w:rsidRPr="00A23FB4">
        <w:rPr>
          <w:rFonts w:ascii="Calibri" w:hAnsi="Calibri" w:cs="Calibri"/>
        </w:rPr>
        <w:t>Warstwa humusu powinna być zdjęta z przeznaczeniem do późniejszego użycia przy umacnianiu skarp, zakładaniu trawników, sadzeniu drzew i krzewów oraz do innych czynności określonych w dokumentacji projektowej. Zagospodarowanie nadmiaru humusu powinno być wykonane zgodnie z ustaleniami dokumentacji projektowej lub wskazaniami Inżyniera.</w:t>
      </w:r>
    </w:p>
    <w:p w14:paraId="0552C1E8" w14:textId="77777777" w:rsidR="00877526" w:rsidRPr="00A23FB4" w:rsidRDefault="00877526" w:rsidP="00877526">
      <w:pPr>
        <w:tabs>
          <w:tab w:val="right" w:leader="dot" w:pos="-1985"/>
          <w:tab w:val="left" w:pos="426"/>
          <w:tab w:val="right" w:leader="dot" w:pos="8505"/>
        </w:tabs>
        <w:rPr>
          <w:rFonts w:ascii="Calibri" w:hAnsi="Calibri" w:cs="Calibri"/>
        </w:rPr>
      </w:pPr>
      <w:r w:rsidRPr="00A23FB4">
        <w:rPr>
          <w:rFonts w:ascii="Calibri" w:hAnsi="Calibri" w:cs="Calibri"/>
        </w:rPr>
        <w:t>Humus należy zdejmować mechanicznie z zastosowaniem równiarek, spycharek bądź koparek. W wyjątkowych sytuacjach, gdy zastosowanie maszyn nie jest wystarczające dla prawidłowego wykonania robót, względnie może stanowić zagrożenie dla bezpieczeństwa robót (zmienna grubość warstwy humusu, sąsiedztwo budowli), należy dodatkowo stosować ręczne wykonanie robót, jako uzupełnienie prac wykonywanych  mechanicznie.</w:t>
      </w:r>
    </w:p>
    <w:p w14:paraId="52E5834C" w14:textId="77777777" w:rsidR="00877526" w:rsidRPr="00A23FB4" w:rsidRDefault="00877526" w:rsidP="00877526">
      <w:pPr>
        <w:tabs>
          <w:tab w:val="right" w:leader="dot" w:pos="-1985"/>
          <w:tab w:val="left" w:pos="426"/>
          <w:tab w:val="right" w:leader="dot" w:pos="8505"/>
        </w:tabs>
        <w:rPr>
          <w:rFonts w:ascii="Calibri" w:hAnsi="Calibri" w:cs="Calibri"/>
        </w:rPr>
      </w:pPr>
      <w:r w:rsidRPr="00A23FB4">
        <w:rPr>
          <w:rFonts w:ascii="Calibri" w:hAnsi="Calibri" w:cs="Calibri"/>
        </w:rPr>
        <w:t>Warstwę humusu należy zdjąć z powierzchni całego pasa robót ziemnych oraz w innych miejscach określonych w dokumentacji projektowej lub wskazanych przez Inżyniera.</w:t>
      </w:r>
    </w:p>
    <w:p w14:paraId="49EAE648" w14:textId="77777777" w:rsidR="00877526" w:rsidRPr="00A23FB4" w:rsidRDefault="00877526" w:rsidP="00877526">
      <w:pPr>
        <w:tabs>
          <w:tab w:val="right" w:leader="dot" w:pos="-1985"/>
          <w:tab w:val="left" w:pos="426"/>
          <w:tab w:val="right" w:leader="dot" w:pos="8505"/>
        </w:tabs>
        <w:rPr>
          <w:rFonts w:ascii="Calibri" w:hAnsi="Calibri" w:cs="Calibri"/>
        </w:rPr>
      </w:pPr>
      <w:r w:rsidRPr="00A23FB4">
        <w:rPr>
          <w:rFonts w:ascii="Calibri" w:hAnsi="Calibri" w:cs="Calibri"/>
        </w:rPr>
        <w:t>Grubość zdejmowanej warstwy humusu (zależna od głębokości jego zalegania, wysokości nasypu, potrzeb jego wykorzystania na budowie itp.) powinna być zgodna z ustaleniami dokumentacji projektowej, lub wskazana przez Inżyniera, według faktycznego stanu występowania.</w:t>
      </w:r>
    </w:p>
    <w:p w14:paraId="539132AB" w14:textId="77777777" w:rsidR="00877526" w:rsidRPr="00A23FB4" w:rsidRDefault="00877526" w:rsidP="00877526">
      <w:pPr>
        <w:tabs>
          <w:tab w:val="right" w:leader="dot" w:pos="-1985"/>
          <w:tab w:val="left" w:pos="426"/>
          <w:tab w:val="right" w:leader="dot" w:pos="8505"/>
        </w:tabs>
        <w:rPr>
          <w:rFonts w:ascii="Calibri" w:hAnsi="Calibri" w:cs="Calibri"/>
        </w:rPr>
      </w:pPr>
      <w:r w:rsidRPr="00A23FB4">
        <w:rPr>
          <w:rFonts w:ascii="Calibri" w:hAnsi="Calibri" w:cs="Calibri"/>
        </w:rPr>
        <w:t>Zdjęty humus należy składować w regularnych pryzmach. Miejsca składowania humusu powinny być przez Wykonawcę tak dobrane, aby humus był zabezpieczony przed zanieczyszczeniem, a także najeżdżaniem przez pojazdy. Nie należy zdejmować humusu w czasie intensywnych opadów i bezpośrednio po nich, aby uniknąć zanieczyszczenia gliną lub innym gruntem nieorganicznym.</w:t>
      </w:r>
    </w:p>
    <w:p w14:paraId="0451B426" w14:textId="77777777" w:rsidR="00877526" w:rsidRPr="00A23FB4" w:rsidRDefault="00877526" w:rsidP="00877526">
      <w:pPr>
        <w:pStyle w:val="Nagwek4"/>
        <w:rPr>
          <w:rFonts w:ascii="Calibri" w:hAnsi="Calibri" w:cs="Calibri"/>
        </w:rPr>
      </w:pPr>
      <w:r w:rsidRPr="00A23FB4">
        <w:rPr>
          <w:rFonts w:ascii="Calibri" w:hAnsi="Calibri" w:cs="Calibri"/>
        </w:rPr>
        <w:t>5.3. Zdjęcie darniny</w:t>
      </w:r>
    </w:p>
    <w:p w14:paraId="4D78CA1B" w14:textId="77777777" w:rsidR="00877526" w:rsidRPr="00A23FB4" w:rsidRDefault="00877526" w:rsidP="00877526">
      <w:pPr>
        <w:tabs>
          <w:tab w:val="right" w:leader="dot" w:pos="-1985"/>
          <w:tab w:val="left" w:pos="426"/>
          <w:tab w:val="right" w:leader="dot" w:pos="8505"/>
        </w:tabs>
        <w:rPr>
          <w:rFonts w:ascii="Calibri" w:hAnsi="Calibri" w:cs="Calibri"/>
        </w:rPr>
      </w:pPr>
      <w:r w:rsidRPr="00A23FB4">
        <w:rPr>
          <w:rFonts w:ascii="Calibri" w:hAnsi="Calibri" w:cs="Calibri"/>
        </w:rPr>
        <w:t>Jeżeli powierzchnia terenu w obrębie pasa przeznaczonego pod budowę trasy drogowej jest pokryta darniną przeznaczoną do umocnienia skarp, darninę należy zdjąć w sposób, który nie spowoduje jej uszkodzeń i przechowywać w odpowiednich warunkach do czasu wykorzystania.</w:t>
      </w:r>
    </w:p>
    <w:p w14:paraId="2DEE3F68" w14:textId="77777777" w:rsidR="00877526" w:rsidRPr="00A23FB4" w:rsidRDefault="00877526" w:rsidP="00877526">
      <w:pPr>
        <w:tabs>
          <w:tab w:val="right" w:leader="dot" w:pos="-1985"/>
          <w:tab w:val="left" w:pos="426"/>
          <w:tab w:val="right" w:leader="dot" w:pos="8505"/>
        </w:tabs>
        <w:rPr>
          <w:rFonts w:ascii="Calibri" w:hAnsi="Calibri" w:cs="Calibri"/>
        </w:rPr>
      </w:pPr>
      <w:r w:rsidRPr="00A23FB4">
        <w:rPr>
          <w:rFonts w:ascii="Calibri" w:hAnsi="Calibri" w:cs="Calibri"/>
        </w:rPr>
        <w:t>Wysokie trawy powinny być skoszone przed zdjęciem darniny. Darninę należy ciąć w regularne, prostokątne pasy o szerokości około 0,30 metra lub w kwadraty o długości boku około 0,30 metra. Grubość darniny powinna wynosić od 0,05 do 0,10 metra.</w:t>
      </w:r>
    </w:p>
    <w:p w14:paraId="28034B34" w14:textId="77777777" w:rsidR="00877526" w:rsidRPr="00A23FB4" w:rsidRDefault="00877526" w:rsidP="00877526">
      <w:pPr>
        <w:tabs>
          <w:tab w:val="right" w:leader="dot" w:pos="-1985"/>
          <w:tab w:val="left" w:pos="426"/>
          <w:tab w:val="right" w:leader="dot" w:pos="8505"/>
        </w:tabs>
        <w:rPr>
          <w:rFonts w:ascii="Calibri" w:hAnsi="Calibri" w:cs="Calibri"/>
        </w:rPr>
      </w:pPr>
      <w:r w:rsidRPr="00A23FB4">
        <w:rPr>
          <w:rFonts w:ascii="Calibri" w:hAnsi="Calibri" w:cs="Calibri"/>
        </w:rPr>
        <w:t>Należy dążyć do jak najszybszego użycia pozyskanej darniny. Jeżeli darnina przed powtórnym wykorzystaniem musi być składowana, to zaleca się jej rozłożenie na gruncie rodzimym. Jeżeli brak miejsca na takie rozłożenie darniny, to należy ją magazynować w regularnych pryzmach. W porze rozwoju roślin darninę należy składować w warstwach trawą do dołu. W pozostałym okresie darninę należy składować warstwami na przemian trawą do góry i trawą do dołu. Czas składowania darniny przed wbudowaniem nie powinien przekraczać 4 tygodni.</w:t>
      </w:r>
    </w:p>
    <w:p w14:paraId="2168DC3D" w14:textId="52023CF1" w:rsidR="00877526" w:rsidRDefault="00877526" w:rsidP="00877526">
      <w:pPr>
        <w:tabs>
          <w:tab w:val="right" w:leader="dot" w:pos="-1985"/>
          <w:tab w:val="left" w:pos="426"/>
          <w:tab w:val="right" w:leader="dot" w:pos="8505"/>
        </w:tabs>
        <w:rPr>
          <w:rFonts w:ascii="Calibri" w:hAnsi="Calibri" w:cs="Calibri"/>
        </w:rPr>
      </w:pPr>
      <w:r w:rsidRPr="00A23FB4">
        <w:rPr>
          <w:rFonts w:ascii="Calibri" w:hAnsi="Calibri" w:cs="Calibri"/>
        </w:rPr>
        <w:t xml:space="preserve">Darninę nie nadającą się do powtórnego wykorzystania należy usunąć mechanicznie, z zastosowaniem równiarek, spycharek lub koparek i przewieźć na miejsce wskazane w </w:t>
      </w:r>
      <w:r w:rsidR="000907B8">
        <w:rPr>
          <w:rFonts w:ascii="Calibri" w:hAnsi="Calibri" w:cs="Calibri"/>
        </w:rPr>
        <w:t>ST</w:t>
      </w:r>
      <w:r w:rsidRPr="00A23FB4">
        <w:rPr>
          <w:rFonts w:ascii="Calibri" w:hAnsi="Calibri" w:cs="Calibri"/>
        </w:rPr>
        <w:t>WiORB lub przez Inżyniera.</w:t>
      </w:r>
    </w:p>
    <w:p w14:paraId="1B2CF986" w14:textId="77777777" w:rsidR="001A73F7" w:rsidRDefault="001A73F7" w:rsidP="00877526">
      <w:pPr>
        <w:tabs>
          <w:tab w:val="right" w:leader="dot" w:pos="-1985"/>
          <w:tab w:val="left" w:pos="426"/>
          <w:tab w:val="right" w:leader="dot" w:pos="8505"/>
        </w:tabs>
        <w:rPr>
          <w:rFonts w:ascii="Calibri" w:hAnsi="Calibri" w:cs="Calibri"/>
        </w:rPr>
      </w:pPr>
    </w:p>
    <w:p w14:paraId="266B06B6" w14:textId="77777777" w:rsidR="001A73F7" w:rsidRDefault="001A73F7" w:rsidP="00877526">
      <w:pPr>
        <w:tabs>
          <w:tab w:val="right" w:leader="dot" w:pos="-1985"/>
          <w:tab w:val="left" w:pos="426"/>
          <w:tab w:val="right" w:leader="dot" w:pos="8505"/>
        </w:tabs>
        <w:rPr>
          <w:rFonts w:ascii="Calibri" w:hAnsi="Calibri" w:cs="Calibri"/>
        </w:rPr>
      </w:pPr>
    </w:p>
    <w:p w14:paraId="12AF7A61" w14:textId="77777777" w:rsidR="001A73F7" w:rsidRPr="00A23FB4" w:rsidRDefault="001A73F7" w:rsidP="00877526">
      <w:pPr>
        <w:tabs>
          <w:tab w:val="right" w:leader="dot" w:pos="-1985"/>
          <w:tab w:val="left" w:pos="426"/>
          <w:tab w:val="right" w:leader="dot" w:pos="8505"/>
        </w:tabs>
        <w:rPr>
          <w:rFonts w:ascii="Calibri" w:hAnsi="Calibri" w:cs="Calibri"/>
        </w:rPr>
      </w:pPr>
    </w:p>
    <w:p w14:paraId="4ED5DB8A" w14:textId="77777777" w:rsidR="00877526" w:rsidRPr="00A23FB4" w:rsidRDefault="00877526" w:rsidP="00877526">
      <w:pPr>
        <w:rPr>
          <w:rFonts w:ascii="Calibri" w:hAnsi="Calibri" w:cs="Calibri"/>
          <w:b/>
        </w:rPr>
      </w:pPr>
    </w:p>
    <w:p w14:paraId="7D540CA1" w14:textId="77777777" w:rsidR="00877526" w:rsidRPr="00A23FB4" w:rsidRDefault="00877526" w:rsidP="00877526">
      <w:pPr>
        <w:rPr>
          <w:rFonts w:ascii="Calibri" w:hAnsi="Calibri" w:cs="Calibri"/>
          <w:b/>
        </w:rPr>
      </w:pPr>
      <w:r w:rsidRPr="00A23FB4">
        <w:rPr>
          <w:rFonts w:ascii="Calibri" w:hAnsi="Calibri" w:cs="Calibri"/>
          <w:b/>
        </w:rPr>
        <w:t>6. KONTROLA JAKOŚCI ROBÓT</w:t>
      </w:r>
    </w:p>
    <w:p w14:paraId="1C7571FA" w14:textId="77777777" w:rsidR="00877526" w:rsidRPr="00A23FB4" w:rsidRDefault="00877526" w:rsidP="00877526">
      <w:pPr>
        <w:pStyle w:val="Nagwek4"/>
        <w:rPr>
          <w:rFonts w:ascii="Calibri" w:hAnsi="Calibri" w:cs="Calibri"/>
        </w:rPr>
      </w:pPr>
      <w:r w:rsidRPr="00A23FB4">
        <w:rPr>
          <w:rFonts w:ascii="Calibri" w:hAnsi="Calibri" w:cs="Calibri"/>
        </w:rPr>
        <w:t>6.1. Ogólne zasady kontroli jakości robót</w:t>
      </w:r>
    </w:p>
    <w:p w14:paraId="60A25677" w14:textId="17A83982" w:rsidR="00877526" w:rsidRPr="00A23FB4" w:rsidRDefault="00877526" w:rsidP="00877526">
      <w:pPr>
        <w:tabs>
          <w:tab w:val="right" w:leader="dot" w:pos="-1985"/>
          <w:tab w:val="left" w:pos="426"/>
          <w:tab w:val="right" w:leader="dot" w:pos="8505"/>
        </w:tabs>
        <w:rPr>
          <w:rFonts w:ascii="Calibri" w:hAnsi="Calibri" w:cs="Calibri"/>
        </w:rPr>
      </w:pPr>
      <w:r w:rsidRPr="00A23FB4">
        <w:rPr>
          <w:rFonts w:ascii="Calibri" w:hAnsi="Calibri" w:cs="Calibri"/>
        </w:rPr>
        <w:t xml:space="preserve">Ogólne zasady kontroli jakości robót podano w </w:t>
      </w:r>
      <w:r w:rsidR="00633F7C">
        <w:rPr>
          <w:rFonts w:ascii="Calibri" w:hAnsi="Calibri" w:cs="Calibri"/>
        </w:rPr>
        <w:t>ST</w:t>
      </w:r>
      <w:r w:rsidRPr="00A23FB4">
        <w:rPr>
          <w:rFonts w:ascii="Calibri" w:hAnsi="Calibri" w:cs="Calibri"/>
        </w:rPr>
        <w:t>WiORB D-M-00.00.00 „Wymagania ogólne” pkt 6.</w:t>
      </w:r>
    </w:p>
    <w:p w14:paraId="4EDBFA7B" w14:textId="77777777" w:rsidR="00877526" w:rsidRPr="00A23FB4" w:rsidRDefault="00877526" w:rsidP="00877526">
      <w:pPr>
        <w:pStyle w:val="Nagwek4"/>
        <w:rPr>
          <w:rFonts w:ascii="Calibri" w:hAnsi="Calibri" w:cs="Calibri"/>
        </w:rPr>
      </w:pPr>
      <w:r w:rsidRPr="00A23FB4">
        <w:rPr>
          <w:rFonts w:ascii="Calibri" w:hAnsi="Calibri" w:cs="Calibri"/>
        </w:rPr>
        <w:t>6.2. Kontrola usunięcia humusu lub/i darniny</w:t>
      </w:r>
    </w:p>
    <w:p w14:paraId="7432046F" w14:textId="1F594E3D" w:rsidR="00A66985" w:rsidRPr="00A23FB4" w:rsidRDefault="00877526" w:rsidP="004F22F4">
      <w:pPr>
        <w:tabs>
          <w:tab w:val="right" w:leader="dot" w:pos="-1985"/>
          <w:tab w:val="left" w:pos="426"/>
          <w:tab w:val="right" w:leader="dot" w:pos="8505"/>
        </w:tabs>
        <w:spacing w:after="240"/>
        <w:rPr>
          <w:rFonts w:ascii="Calibri" w:hAnsi="Calibri" w:cs="Calibri"/>
        </w:rPr>
      </w:pPr>
      <w:r w:rsidRPr="00A23FB4">
        <w:rPr>
          <w:rFonts w:ascii="Calibri" w:hAnsi="Calibri" w:cs="Calibri"/>
        </w:rPr>
        <w:t>Sprawdzenie jakości robót polega na wizualnej ocenie kompletności usunięcia humusu lub/i darniny.</w:t>
      </w:r>
    </w:p>
    <w:p w14:paraId="3DE1013F" w14:textId="77777777" w:rsidR="004F22F4" w:rsidRPr="00A23FB4" w:rsidRDefault="004F22F4" w:rsidP="004F22F4">
      <w:pPr>
        <w:overflowPunct/>
        <w:textAlignment w:val="auto"/>
        <w:rPr>
          <w:rFonts w:asciiTheme="minorHAnsi" w:hAnsiTheme="minorHAnsi" w:cstheme="minorHAnsi"/>
          <w:b/>
        </w:rPr>
      </w:pPr>
      <w:r w:rsidRPr="00A23FB4">
        <w:rPr>
          <w:rFonts w:asciiTheme="minorHAnsi" w:hAnsiTheme="minorHAnsi" w:cstheme="minorHAnsi"/>
          <w:b/>
        </w:rPr>
        <w:t>7. OBMIAR ROBÓT</w:t>
      </w:r>
    </w:p>
    <w:p w14:paraId="79DC0117" w14:textId="77777777" w:rsidR="001A73F7" w:rsidRDefault="001A73F7" w:rsidP="004F22F4">
      <w:pPr>
        <w:overflowPunct/>
        <w:textAlignment w:val="auto"/>
        <w:rPr>
          <w:rFonts w:asciiTheme="minorHAnsi" w:hAnsiTheme="minorHAnsi" w:cstheme="minorHAnsi"/>
        </w:rPr>
      </w:pPr>
    </w:p>
    <w:p w14:paraId="40B93287" w14:textId="6D65EA57" w:rsidR="001A73F7" w:rsidRDefault="001A73F7" w:rsidP="004F22F4">
      <w:pPr>
        <w:overflowPunct/>
        <w:textAlignment w:val="auto"/>
        <w:rPr>
          <w:rFonts w:asciiTheme="minorHAnsi" w:hAnsiTheme="minorHAnsi" w:cstheme="minorHAnsi"/>
        </w:rPr>
      </w:pPr>
      <w:r>
        <w:rPr>
          <w:rFonts w:asciiTheme="minorHAnsi" w:hAnsiTheme="minorHAnsi" w:cstheme="minorHAnsi"/>
        </w:rPr>
        <w:t>Kontrakt ryczałtowy</w:t>
      </w:r>
    </w:p>
    <w:p w14:paraId="7BF9AF84" w14:textId="70F6A231" w:rsidR="004F22F4" w:rsidRPr="00A23FB4" w:rsidRDefault="004F22F4" w:rsidP="004F22F4">
      <w:pPr>
        <w:overflowPunct/>
        <w:textAlignment w:val="auto"/>
        <w:rPr>
          <w:rFonts w:asciiTheme="minorHAnsi" w:hAnsiTheme="minorHAnsi" w:cstheme="minorHAnsi"/>
        </w:rPr>
      </w:pPr>
      <w:r w:rsidRPr="00A23FB4">
        <w:rPr>
          <w:rFonts w:asciiTheme="minorHAnsi" w:hAnsiTheme="minorHAnsi" w:cstheme="minorHAnsi"/>
        </w:rPr>
        <w:t xml:space="preserve">Ogólne zasady obmiaru Robót podano w </w:t>
      </w:r>
      <w:r w:rsidR="00C31EC5">
        <w:rPr>
          <w:rFonts w:asciiTheme="minorHAnsi" w:hAnsiTheme="minorHAnsi" w:cstheme="minorHAnsi"/>
        </w:rPr>
        <w:t>ST</w:t>
      </w:r>
      <w:r w:rsidRPr="00A23FB4">
        <w:rPr>
          <w:rFonts w:asciiTheme="minorHAnsi" w:hAnsiTheme="minorHAnsi" w:cstheme="minorHAnsi"/>
        </w:rPr>
        <w:t>WiORB DM.00.00.00 „Wymagania ogólne” p.7.</w:t>
      </w:r>
    </w:p>
    <w:p w14:paraId="34CF4ECB" w14:textId="77777777" w:rsidR="004F22F4" w:rsidRPr="00A23FB4" w:rsidRDefault="004F22F4" w:rsidP="004F22F4">
      <w:pPr>
        <w:overflowPunct/>
        <w:textAlignment w:val="auto"/>
        <w:rPr>
          <w:rFonts w:asciiTheme="minorHAnsi" w:hAnsiTheme="minorHAnsi" w:cstheme="minorHAnsi"/>
        </w:rPr>
      </w:pPr>
    </w:p>
    <w:p w14:paraId="100E94B2" w14:textId="77777777" w:rsidR="004F22F4" w:rsidRPr="00A23FB4" w:rsidRDefault="004F22F4" w:rsidP="004F22F4">
      <w:pPr>
        <w:overflowPunct/>
        <w:textAlignment w:val="auto"/>
        <w:rPr>
          <w:rFonts w:asciiTheme="minorHAnsi" w:hAnsiTheme="minorHAnsi" w:cstheme="minorHAnsi"/>
          <w:b/>
        </w:rPr>
      </w:pPr>
      <w:r w:rsidRPr="00A23FB4">
        <w:rPr>
          <w:rFonts w:asciiTheme="minorHAnsi" w:hAnsiTheme="minorHAnsi" w:cstheme="minorHAnsi"/>
          <w:b/>
        </w:rPr>
        <w:t>8. ODBIÓR ROBÓT</w:t>
      </w:r>
    </w:p>
    <w:p w14:paraId="1A6B2711" w14:textId="1686842D" w:rsidR="004F22F4" w:rsidRPr="00A23FB4" w:rsidRDefault="004F22F4" w:rsidP="004F22F4">
      <w:pPr>
        <w:overflowPunct/>
        <w:spacing w:after="240"/>
        <w:textAlignment w:val="auto"/>
        <w:rPr>
          <w:rFonts w:asciiTheme="minorHAnsi" w:hAnsiTheme="minorHAnsi" w:cstheme="minorHAnsi"/>
        </w:rPr>
      </w:pPr>
      <w:r w:rsidRPr="00A23FB4">
        <w:rPr>
          <w:rFonts w:asciiTheme="minorHAnsi" w:hAnsiTheme="minorHAnsi" w:cstheme="minorHAnsi"/>
        </w:rPr>
        <w:t xml:space="preserve">Ogólne zasady odbioru Robót podano w </w:t>
      </w:r>
      <w:r w:rsidR="00C31EC5">
        <w:rPr>
          <w:rFonts w:asciiTheme="minorHAnsi" w:hAnsiTheme="minorHAnsi" w:cstheme="minorHAnsi"/>
        </w:rPr>
        <w:t>ST</w:t>
      </w:r>
      <w:r w:rsidRPr="00A23FB4">
        <w:rPr>
          <w:rFonts w:asciiTheme="minorHAnsi" w:hAnsiTheme="minorHAnsi" w:cstheme="minorHAnsi"/>
        </w:rPr>
        <w:t>WiORB DM.00.00.00 „Wymagania ogólne” p.8.</w:t>
      </w:r>
    </w:p>
    <w:p w14:paraId="1BC665B5" w14:textId="77777777" w:rsidR="004F22F4" w:rsidRPr="00A23FB4" w:rsidRDefault="004F22F4" w:rsidP="004F22F4">
      <w:pPr>
        <w:rPr>
          <w:rFonts w:ascii="Calibri" w:hAnsi="Calibri" w:cs="Calibri"/>
          <w:b/>
        </w:rPr>
      </w:pPr>
      <w:r w:rsidRPr="00A23FB4">
        <w:rPr>
          <w:rFonts w:ascii="Calibri" w:hAnsi="Calibri" w:cs="Calibri"/>
          <w:b/>
        </w:rPr>
        <w:t>9. PODSTAWA PŁATNOŚCI</w:t>
      </w:r>
    </w:p>
    <w:p w14:paraId="2538A2E1" w14:textId="77777777" w:rsidR="004F22F4" w:rsidRPr="00A23FB4" w:rsidRDefault="004F22F4" w:rsidP="004F22F4">
      <w:pPr>
        <w:pStyle w:val="Nagwek4"/>
        <w:tabs>
          <w:tab w:val="left" w:pos="9914"/>
        </w:tabs>
        <w:rPr>
          <w:rFonts w:ascii="Calibri" w:hAnsi="Calibri" w:cs="Calibri"/>
        </w:rPr>
      </w:pPr>
      <w:r w:rsidRPr="00A23FB4">
        <w:rPr>
          <w:rFonts w:ascii="Calibri" w:hAnsi="Calibri" w:cs="Calibri"/>
        </w:rPr>
        <w:t>9.1. Ogólne ustalenia dotyczące podstawy płatności</w:t>
      </w:r>
    </w:p>
    <w:p w14:paraId="245B8AE8" w14:textId="77777777" w:rsidR="001A73F7" w:rsidRDefault="001A73F7" w:rsidP="004F22F4">
      <w:pPr>
        <w:numPr>
          <w:ilvl w:val="12"/>
          <w:numId w:val="0"/>
        </w:numPr>
        <w:tabs>
          <w:tab w:val="left" w:pos="0"/>
          <w:tab w:val="left" w:pos="9914"/>
        </w:tabs>
        <w:rPr>
          <w:rFonts w:ascii="Calibri" w:hAnsi="Calibri" w:cs="Calibri"/>
        </w:rPr>
      </w:pPr>
    </w:p>
    <w:p w14:paraId="396D7F1D" w14:textId="20136D79" w:rsidR="001A73F7" w:rsidRDefault="001A73F7" w:rsidP="004F22F4">
      <w:pPr>
        <w:numPr>
          <w:ilvl w:val="12"/>
          <w:numId w:val="0"/>
        </w:numPr>
        <w:tabs>
          <w:tab w:val="left" w:pos="0"/>
          <w:tab w:val="left" w:pos="9914"/>
        </w:tabs>
        <w:rPr>
          <w:rFonts w:ascii="Calibri" w:hAnsi="Calibri" w:cs="Calibri"/>
        </w:rPr>
      </w:pPr>
      <w:r>
        <w:rPr>
          <w:rFonts w:ascii="Calibri" w:hAnsi="Calibri" w:cs="Calibri"/>
        </w:rPr>
        <w:t>Kontrakt ryczałtowy</w:t>
      </w:r>
    </w:p>
    <w:p w14:paraId="08CD4837" w14:textId="0822C85E" w:rsidR="004F22F4" w:rsidRPr="00A23FB4" w:rsidRDefault="004F22F4" w:rsidP="004F22F4">
      <w:pPr>
        <w:numPr>
          <w:ilvl w:val="12"/>
          <w:numId w:val="0"/>
        </w:numPr>
        <w:tabs>
          <w:tab w:val="left" w:pos="0"/>
          <w:tab w:val="left" w:pos="9914"/>
        </w:tabs>
        <w:rPr>
          <w:rFonts w:ascii="Calibri" w:hAnsi="Calibri" w:cs="Calibri"/>
        </w:rPr>
      </w:pPr>
      <w:r w:rsidRPr="00A23FB4">
        <w:rPr>
          <w:rFonts w:ascii="Calibri" w:hAnsi="Calibri" w:cs="Calibri"/>
        </w:rPr>
        <w:t xml:space="preserve">Ogólne ustalenia dotyczące podstawy płatności podano w </w:t>
      </w:r>
      <w:r w:rsidR="00C31EC5">
        <w:rPr>
          <w:rFonts w:ascii="Calibri" w:hAnsi="Calibri" w:cs="Calibri"/>
        </w:rPr>
        <w:t>ST</w:t>
      </w:r>
      <w:r w:rsidRPr="00A23FB4">
        <w:rPr>
          <w:rFonts w:ascii="Calibri" w:hAnsi="Calibri" w:cs="Calibri"/>
        </w:rPr>
        <w:t>WiORB D-M-00.00.00 „Wymagania ogólne” pkt 9.</w:t>
      </w:r>
    </w:p>
    <w:p w14:paraId="46581B7B" w14:textId="77777777" w:rsidR="004F22F4" w:rsidRPr="00A23FB4" w:rsidRDefault="004F22F4" w:rsidP="004F22F4">
      <w:pPr>
        <w:numPr>
          <w:ilvl w:val="12"/>
          <w:numId w:val="0"/>
        </w:numPr>
        <w:tabs>
          <w:tab w:val="left" w:pos="0"/>
          <w:tab w:val="left" w:pos="9914"/>
        </w:tabs>
        <w:rPr>
          <w:rFonts w:ascii="Calibri" w:hAnsi="Calibri" w:cs="Calibri"/>
        </w:rPr>
      </w:pPr>
    </w:p>
    <w:p w14:paraId="3D230BAF" w14:textId="77777777" w:rsidR="004F22F4" w:rsidRPr="00A23FB4" w:rsidRDefault="004F22F4" w:rsidP="004F22F4">
      <w:pPr>
        <w:rPr>
          <w:rFonts w:ascii="Calibri" w:hAnsi="Calibri" w:cs="Calibri"/>
          <w:b/>
        </w:rPr>
      </w:pPr>
      <w:r w:rsidRPr="00A23FB4">
        <w:rPr>
          <w:rFonts w:ascii="Calibri" w:hAnsi="Calibri" w:cs="Calibri"/>
          <w:b/>
        </w:rPr>
        <w:t>10. PRZEPISY ZWIĄZANE</w:t>
      </w:r>
    </w:p>
    <w:p w14:paraId="048415CA" w14:textId="77777777" w:rsidR="004F22F4" w:rsidRPr="00A23FB4" w:rsidRDefault="004F22F4" w:rsidP="004F22F4">
      <w:pPr>
        <w:numPr>
          <w:ilvl w:val="12"/>
          <w:numId w:val="0"/>
        </w:numPr>
        <w:tabs>
          <w:tab w:val="left" w:pos="9914"/>
        </w:tabs>
        <w:rPr>
          <w:rFonts w:ascii="Calibri" w:hAnsi="Calibri" w:cs="Calibri"/>
        </w:rPr>
      </w:pPr>
      <w:r w:rsidRPr="00A23FB4">
        <w:rPr>
          <w:rFonts w:ascii="Calibri" w:hAnsi="Calibri" w:cs="Calibri"/>
        </w:rPr>
        <w:t>Nie występują.</w:t>
      </w:r>
    </w:p>
    <w:p w14:paraId="1495E12F" w14:textId="07698BE2" w:rsidR="004F22F4" w:rsidRPr="001D229B" w:rsidRDefault="004F22F4" w:rsidP="001D229B">
      <w:pPr>
        <w:overflowPunct/>
        <w:autoSpaceDE/>
        <w:autoSpaceDN/>
        <w:adjustRightInd/>
        <w:jc w:val="left"/>
        <w:textAlignment w:val="auto"/>
        <w:rPr>
          <w:rFonts w:ascii="Calibri" w:hAnsi="Calibri" w:cs="Calibri"/>
        </w:rPr>
      </w:pPr>
      <w:r w:rsidRPr="00A23FB4">
        <w:rPr>
          <w:rFonts w:ascii="Calibri" w:hAnsi="Calibri" w:cs="Calibri"/>
        </w:rPr>
        <w:br w:type="page"/>
      </w:r>
    </w:p>
    <w:p w14:paraId="54EC80CB" w14:textId="6CE88BB2" w:rsidR="004F22F4" w:rsidRPr="00A23FB4" w:rsidRDefault="004F22F4">
      <w:pPr>
        <w:overflowPunct/>
        <w:autoSpaceDE/>
        <w:autoSpaceDN/>
        <w:adjustRightInd/>
        <w:jc w:val="left"/>
        <w:textAlignment w:val="auto"/>
        <w:rPr>
          <w:rFonts w:ascii="Calibri" w:hAnsi="Calibri" w:cs="Calibri"/>
        </w:rPr>
      </w:pPr>
    </w:p>
    <w:p w14:paraId="1015D8D8" w14:textId="2BD50001" w:rsidR="007D6030" w:rsidRPr="00A23FB4" w:rsidRDefault="00EE6D03" w:rsidP="007D6030">
      <w:pPr>
        <w:spacing w:line="360" w:lineRule="auto"/>
        <w:jc w:val="center"/>
        <w:rPr>
          <w:rFonts w:ascii="Calibri" w:hAnsi="Calibri" w:cs="Calibri"/>
          <w:b/>
          <w:sz w:val="22"/>
          <w:szCs w:val="22"/>
        </w:rPr>
      </w:pPr>
      <w:bookmarkStart w:id="49" w:name="_Toc500421919"/>
      <w:r>
        <w:rPr>
          <w:rFonts w:ascii="Calibri" w:hAnsi="Calibri" w:cs="Calibri"/>
          <w:b/>
          <w:sz w:val="22"/>
          <w:szCs w:val="22"/>
        </w:rPr>
        <w:t>SZCZEGÓŁOWE SPECYFIKACJE TECHNICZNE</w:t>
      </w:r>
      <w:r w:rsidR="007D6030" w:rsidRPr="00A23FB4">
        <w:rPr>
          <w:rFonts w:ascii="Calibri" w:hAnsi="Calibri" w:cs="Calibri"/>
          <w:b/>
          <w:sz w:val="22"/>
          <w:szCs w:val="22"/>
        </w:rPr>
        <w:t xml:space="preserve"> WYKONANIA I ODBIORU ROBÓT BUDOWLANYCH</w:t>
      </w:r>
    </w:p>
    <w:p w14:paraId="312C9BEE" w14:textId="77777777" w:rsidR="007D6030" w:rsidRPr="00A23FB4" w:rsidRDefault="00452B98" w:rsidP="006970FA">
      <w:pPr>
        <w:pStyle w:val="Nagowek1"/>
        <w:spacing w:before="0"/>
      </w:pPr>
      <w:bookmarkStart w:id="50" w:name="_Toc206275468"/>
      <w:r w:rsidRPr="00A23FB4">
        <w:t>D</w:t>
      </w:r>
      <w:r w:rsidR="001E6B33" w:rsidRPr="00A23FB4">
        <w:t>-</w:t>
      </w:r>
      <w:r w:rsidRPr="00A23FB4">
        <w:t>01.02.04 ROZBIÓRKI ELEMENTÓW DRÓG I ULIC</w:t>
      </w:r>
      <w:bookmarkEnd w:id="49"/>
      <w:bookmarkEnd w:id="50"/>
    </w:p>
    <w:p w14:paraId="1766BB8D" w14:textId="77777777" w:rsidR="00A66985" w:rsidRPr="00A23FB4" w:rsidRDefault="00A66985" w:rsidP="006970FA">
      <w:pPr>
        <w:pStyle w:val="Nagowek1"/>
        <w:spacing w:before="0"/>
      </w:pPr>
    </w:p>
    <w:p w14:paraId="5B35CBA4" w14:textId="77777777" w:rsidR="00452B98" w:rsidRPr="00A23FB4" w:rsidRDefault="00452B98" w:rsidP="006970FA">
      <w:pPr>
        <w:rPr>
          <w:rFonts w:asciiTheme="minorHAnsi" w:hAnsiTheme="minorHAnsi"/>
          <w:b/>
        </w:rPr>
      </w:pPr>
      <w:r w:rsidRPr="00A23FB4">
        <w:rPr>
          <w:rFonts w:asciiTheme="minorHAnsi" w:hAnsiTheme="minorHAnsi"/>
          <w:b/>
        </w:rPr>
        <w:t>1. WSTĘP</w:t>
      </w:r>
    </w:p>
    <w:p w14:paraId="39D22DFE" w14:textId="21464938" w:rsidR="00452B98" w:rsidRPr="00A23FB4" w:rsidRDefault="00452B98" w:rsidP="00452B98">
      <w:pPr>
        <w:pStyle w:val="Nagwek3"/>
        <w:rPr>
          <w:rFonts w:asciiTheme="minorHAnsi" w:hAnsiTheme="minorHAnsi" w:cstheme="minorHAnsi"/>
        </w:rPr>
      </w:pPr>
      <w:r w:rsidRPr="00A23FB4">
        <w:rPr>
          <w:rFonts w:asciiTheme="minorHAnsi" w:hAnsiTheme="minorHAnsi" w:cstheme="minorHAnsi"/>
        </w:rPr>
        <w:t xml:space="preserve">1.1. </w:t>
      </w:r>
      <w:r w:rsidR="00B51FFB" w:rsidRPr="00A23FB4">
        <w:rPr>
          <w:rFonts w:asciiTheme="minorHAnsi" w:hAnsiTheme="minorHAnsi" w:cstheme="minorHAnsi"/>
          <w:caps w:val="0"/>
        </w:rPr>
        <w:t xml:space="preserve">Przedmiot </w:t>
      </w:r>
      <w:r w:rsidR="00AA446C">
        <w:rPr>
          <w:rFonts w:asciiTheme="minorHAnsi" w:hAnsiTheme="minorHAnsi" w:cstheme="minorHAnsi"/>
          <w:caps w:val="0"/>
        </w:rPr>
        <w:t>STWiORB</w:t>
      </w:r>
    </w:p>
    <w:p w14:paraId="4F3B33D4" w14:textId="6822481E" w:rsidR="00452B98" w:rsidRPr="00A23FB4" w:rsidRDefault="00452B98" w:rsidP="00452B98">
      <w:pPr>
        <w:overflowPunct/>
        <w:textAlignment w:val="auto"/>
        <w:rPr>
          <w:rFonts w:asciiTheme="minorHAnsi" w:hAnsiTheme="minorHAnsi" w:cstheme="minorHAnsi"/>
        </w:rPr>
      </w:pPr>
      <w:r w:rsidRPr="00A23FB4">
        <w:rPr>
          <w:rFonts w:asciiTheme="minorHAnsi" w:hAnsiTheme="minorHAnsi" w:cstheme="minorHAnsi"/>
        </w:rPr>
        <w:t>Przedmiotem niniejsz</w:t>
      </w:r>
      <w:r w:rsidR="001A73F7">
        <w:rPr>
          <w:rFonts w:asciiTheme="minorHAnsi" w:hAnsiTheme="minorHAnsi" w:cstheme="minorHAnsi"/>
        </w:rPr>
        <w:t>ej</w:t>
      </w:r>
      <w:r w:rsidRPr="00A23FB4">
        <w:rPr>
          <w:rFonts w:asciiTheme="minorHAnsi" w:hAnsiTheme="minorHAnsi" w:cstheme="minorHAnsi"/>
        </w:rPr>
        <w:t xml:space="preserve"> </w:t>
      </w:r>
      <w:r w:rsidR="00EE6D03">
        <w:rPr>
          <w:rFonts w:asciiTheme="minorHAnsi" w:hAnsiTheme="minorHAnsi" w:cstheme="minorHAnsi"/>
        </w:rPr>
        <w:t>Szczególow</w:t>
      </w:r>
      <w:r w:rsidR="001A73F7">
        <w:rPr>
          <w:rFonts w:asciiTheme="minorHAnsi" w:hAnsiTheme="minorHAnsi" w:cstheme="minorHAnsi"/>
        </w:rPr>
        <w:t>ej</w:t>
      </w:r>
      <w:r w:rsidR="00EE6D03" w:rsidRPr="00EE6D03">
        <w:rPr>
          <w:rFonts w:asciiTheme="minorHAnsi" w:hAnsiTheme="minorHAnsi" w:cstheme="minorHAnsi"/>
        </w:rPr>
        <w:t xml:space="preserve"> </w:t>
      </w:r>
      <w:r w:rsidR="00EE6D03">
        <w:rPr>
          <w:rFonts w:asciiTheme="minorHAnsi" w:hAnsiTheme="minorHAnsi" w:cstheme="minorHAnsi"/>
        </w:rPr>
        <w:t>Specyfikacji</w:t>
      </w:r>
      <w:r w:rsidR="00EE6D03" w:rsidRPr="00EE6D03">
        <w:rPr>
          <w:rFonts w:asciiTheme="minorHAnsi" w:hAnsiTheme="minorHAnsi" w:cstheme="minorHAnsi"/>
        </w:rPr>
        <w:t xml:space="preserve"> </w:t>
      </w:r>
      <w:r w:rsidR="00EE6D03">
        <w:rPr>
          <w:rFonts w:asciiTheme="minorHAnsi" w:hAnsiTheme="minorHAnsi" w:cstheme="minorHAnsi"/>
        </w:rPr>
        <w:t>Techniczn</w:t>
      </w:r>
      <w:r w:rsidR="001A73F7">
        <w:rPr>
          <w:rFonts w:asciiTheme="minorHAnsi" w:hAnsiTheme="minorHAnsi" w:cstheme="minorHAnsi"/>
        </w:rPr>
        <w:t>ej</w:t>
      </w:r>
      <w:r w:rsidRPr="00A23FB4">
        <w:rPr>
          <w:rFonts w:asciiTheme="minorHAnsi" w:hAnsiTheme="minorHAnsi" w:cstheme="minorHAnsi"/>
        </w:rPr>
        <w:t xml:space="preserve"> Wykonania i Odbioru Robót Budowlanych</w:t>
      </w:r>
      <w:r w:rsidR="001A73F7">
        <w:rPr>
          <w:rFonts w:asciiTheme="minorHAnsi" w:hAnsiTheme="minorHAnsi" w:cstheme="minorHAnsi"/>
        </w:rPr>
        <w:t xml:space="preserve"> (STWiORB)</w:t>
      </w:r>
      <w:r w:rsidRPr="00A23FB4">
        <w:rPr>
          <w:rFonts w:asciiTheme="minorHAnsi" w:hAnsiTheme="minorHAnsi" w:cstheme="minorHAnsi"/>
        </w:rPr>
        <w:t xml:space="preserve"> są wymagania dotyczące wykonania</w:t>
      </w:r>
      <w:r w:rsidR="00A66985" w:rsidRPr="00A23FB4">
        <w:rPr>
          <w:rFonts w:asciiTheme="minorHAnsi" w:hAnsiTheme="minorHAnsi" w:cstheme="minorHAnsi"/>
        </w:rPr>
        <w:t xml:space="preserve"> </w:t>
      </w:r>
      <w:r w:rsidRPr="00A23FB4">
        <w:rPr>
          <w:rFonts w:asciiTheme="minorHAnsi" w:hAnsiTheme="minorHAnsi" w:cstheme="minorHAnsi"/>
        </w:rPr>
        <w:t xml:space="preserve">i odbioru Robót związanych z </w:t>
      </w:r>
      <w:r w:rsidR="00A66985" w:rsidRPr="00A23FB4">
        <w:rPr>
          <w:rFonts w:asciiTheme="minorHAnsi" w:hAnsiTheme="minorHAnsi" w:cstheme="minorHAnsi"/>
        </w:rPr>
        <w:t xml:space="preserve">rozbiórką elementów dróg i ulic. </w:t>
      </w:r>
    </w:p>
    <w:p w14:paraId="2D401B97" w14:textId="5AAC1285" w:rsidR="00452B98" w:rsidRPr="00A23FB4" w:rsidRDefault="00452B98" w:rsidP="00452B98">
      <w:pPr>
        <w:pStyle w:val="Nagwek3"/>
        <w:rPr>
          <w:rFonts w:asciiTheme="minorHAnsi" w:hAnsiTheme="minorHAnsi" w:cstheme="minorHAnsi"/>
        </w:rPr>
      </w:pPr>
      <w:r w:rsidRPr="00A23FB4">
        <w:rPr>
          <w:rFonts w:asciiTheme="minorHAnsi" w:hAnsiTheme="minorHAnsi" w:cstheme="minorHAnsi"/>
        </w:rPr>
        <w:t xml:space="preserve">1.2. </w:t>
      </w:r>
      <w:r w:rsidR="00B51FFB" w:rsidRPr="00A23FB4">
        <w:rPr>
          <w:rFonts w:asciiTheme="minorHAnsi" w:hAnsiTheme="minorHAnsi" w:cstheme="minorHAnsi"/>
          <w:caps w:val="0"/>
        </w:rPr>
        <w:t xml:space="preserve">Zakres stosowania </w:t>
      </w:r>
      <w:r w:rsidR="00AA446C">
        <w:rPr>
          <w:rFonts w:asciiTheme="minorHAnsi" w:hAnsiTheme="minorHAnsi" w:cstheme="minorHAnsi"/>
          <w:caps w:val="0"/>
        </w:rPr>
        <w:t>STWiORB</w:t>
      </w:r>
    </w:p>
    <w:p w14:paraId="425CCEB7" w14:textId="2B006395" w:rsidR="00CF795A" w:rsidRDefault="00575C66" w:rsidP="00CF795A">
      <w:pPr>
        <w:overflowPunct/>
        <w:spacing w:before="240" w:line="276" w:lineRule="auto"/>
        <w:textAlignment w:val="auto"/>
        <w:rPr>
          <w:rFonts w:ascii="Calibri" w:hAnsi="Calibri" w:cs="Calibri"/>
        </w:rPr>
      </w:pPr>
      <w:r>
        <w:rPr>
          <w:rFonts w:ascii="Calibri" w:hAnsi="Calibri" w:cs="Calibri"/>
        </w:rPr>
        <w:t>Specyfikacj</w:t>
      </w:r>
      <w:r w:rsidR="001A73F7">
        <w:rPr>
          <w:rFonts w:ascii="Calibri" w:hAnsi="Calibri" w:cs="Calibri"/>
        </w:rPr>
        <w:t>a</w:t>
      </w:r>
      <w:r w:rsidRPr="00A23FB4">
        <w:rPr>
          <w:rFonts w:asciiTheme="minorHAnsi" w:hAnsiTheme="minorHAnsi" w:cstheme="minorHAnsi"/>
        </w:rPr>
        <w:t xml:space="preserve"> </w:t>
      </w:r>
      <w:r w:rsidR="00452B98" w:rsidRPr="00A23FB4">
        <w:rPr>
          <w:rFonts w:asciiTheme="minorHAnsi" w:hAnsiTheme="minorHAnsi" w:cstheme="minorHAnsi"/>
        </w:rPr>
        <w:t>stanowi dokument kontraktowy przy realizacji  zadania</w:t>
      </w:r>
      <w:r w:rsidR="00A66985" w:rsidRPr="00A23FB4">
        <w:rPr>
          <w:rFonts w:asciiTheme="minorHAnsi" w:hAnsiTheme="minorHAnsi" w:cstheme="minorHAnsi"/>
          <w:bCs/>
        </w:rPr>
        <w:t xml:space="preserve"> </w:t>
      </w:r>
      <w:r w:rsidR="00506838">
        <w:rPr>
          <w:rFonts w:ascii="Calibri" w:hAnsi="Calibri" w:cs="Calibri"/>
        </w:rPr>
        <w:t>„</w:t>
      </w:r>
      <w:r w:rsidR="00575F3F" w:rsidRPr="00575F3F">
        <w:rPr>
          <w:rFonts w:ascii="Calibri" w:hAnsi="Calibri" w:cs="Calibri"/>
        </w:rPr>
        <w:t>Rozbudowa ul. Wrocławskiej w ciągu drogi powiatowej w Tyńcu Małym wraz z rozbudową istniejącego skrzyżowania typu rondo na połączeniu dróg krajowych nr 35 i 35a oraz łącznika węzła Kobierzyce drogi S8e oraz infrastrukturą towarzyszącą w ramach zadania „Rozbudowa skrzyżowania typu rondo w ciągu DK35 koło m. Tyniec Mały usprawniająca skomunikowanie obszarów Podstrefy Wrocław – Kobierzyce TSSE EURO PARK WISŁOSAN”</w:t>
      </w:r>
      <w:r w:rsidR="00372507">
        <w:rPr>
          <w:rFonts w:ascii="Calibri" w:hAnsi="Calibri" w:cs="Calibri"/>
        </w:rPr>
        <w:t>.</w:t>
      </w:r>
    </w:p>
    <w:p w14:paraId="10BE8BF0" w14:textId="7D7312A6" w:rsidR="00615B10" w:rsidRPr="00615B10" w:rsidRDefault="00615B10" w:rsidP="00615B10">
      <w:pPr>
        <w:rPr>
          <w:rFonts w:asciiTheme="minorHAnsi" w:hAnsiTheme="minorHAnsi" w:cstheme="minorHAnsi"/>
          <w:b/>
          <w:bCs/>
        </w:rPr>
      </w:pPr>
    </w:p>
    <w:p w14:paraId="3ADB49CE" w14:textId="6A36B508" w:rsidR="00452B98" w:rsidRPr="00615B10" w:rsidRDefault="00452B98" w:rsidP="00615B10">
      <w:pPr>
        <w:rPr>
          <w:rFonts w:asciiTheme="minorHAnsi" w:hAnsiTheme="minorHAnsi" w:cstheme="minorHAnsi"/>
          <w:b/>
          <w:bCs/>
        </w:rPr>
      </w:pPr>
      <w:r w:rsidRPr="00615B10">
        <w:rPr>
          <w:rFonts w:asciiTheme="minorHAnsi" w:hAnsiTheme="minorHAnsi" w:cstheme="minorHAnsi"/>
          <w:b/>
          <w:bCs/>
        </w:rPr>
        <w:t xml:space="preserve">1.3. </w:t>
      </w:r>
      <w:r w:rsidR="00B51FFB" w:rsidRPr="00615B10">
        <w:rPr>
          <w:rFonts w:asciiTheme="minorHAnsi" w:hAnsiTheme="minorHAnsi" w:cstheme="minorHAnsi"/>
          <w:b/>
          <w:bCs/>
        </w:rPr>
        <w:t xml:space="preserve">Zakres robót objętych </w:t>
      </w:r>
      <w:r w:rsidR="00AA446C">
        <w:rPr>
          <w:rFonts w:asciiTheme="minorHAnsi" w:hAnsiTheme="minorHAnsi" w:cstheme="minorHAnsi"/>
          <w:b/>
          <w:bCs/>
        </w:rPr>
        <w:t>STWiORB</w:t>
      </w:r>
    </w:p>
    <w:p w14:paraId="09AB251A" w14:textId="7B383DC9" w:rsidR="00452B98" w:rsidRPr="00A23FB4" w:rsidRDefault="00452B98" w:rsidP="00452B98">
      <w:pPr>
        <w:overflowPunct/>
        <w:textAlignment w:val="auto"/>
        <w:rPr>
          <w:rFonts w:asciiTheme="minorHAnsi" w:hAnsiTheme="minorHAnsi" w:cstheme="minorHAnsi"/>
        </w:rPr>
      </w:pPr>
      <w:r w:rsidRPr="00A23FB4">
        <w:rPr>
          <w:rFonts w:asciiTheme="minorHAnsi" w:hAnsiTheme="minorHAnsi" w:cstheme="minorHAnsi"/>
        </w:rPr>
        <w:t xml:space="preserve">Ustalenia zawarte w niniejszych </w:t>
      </w:r>
      <w:r w:rsidR="00AA446C">
        <w:rPr>
          <w:rFonts w:asciiTheme="minorHAnsi" w:hAnsiTheme="minorHAnsi" w:cstheme="minorHAnsi"/>
        </w:rPr>
        <w:t>ST</w:t>
      </w:r>
      <w:r w:rsidRPr="00A23FB4">
        <w:rPr>
          <w:rFonts w:asciiTheme="minorHAnsi" w:hAnsiTheme="minorHAnsi" w:cstheme="minorHAnsi"/>
        </w:rPr>
        <w:t>WiORB obejmują rozbiórkę, załadunek i odwóz na miejsce</w:t>
      </w:r>
      <w:r w:rsidR="00A66985" w:rsidRPr="00A23FB4">
        <w:rPr>
          <w:rFonts w:asciiTheme="minorHAnsi" w:hAnsiTheme="minorHAnsi" w:cstheme="minorHAnsi"/>
        </w:rPr>
        <w:t xml:space="preserve"> </w:t>
      </w:r>
      <w:r w:rsidRPr="00A23FB4">
        <w:rPr>
          <w:rFonts w:asciiTheme="minorHAnsi" w:hAnsiTheme="minorHAnsi" w:cstheme="minorHAnsi"/>
        </w:rPr>
        <w:t>składowania, elementów i warstw konstrukcji nawierzchni będących w kolizji z planowanymi robotami.</w:t>
      </w:r>
    </w:p>
    <w:p w14:paraId="05BB11F1" w14:textId="77777777" w:rsidR="00452B98" w:rsidRPr="00A23FB4" w:rsidRDefault="00452B98" w:rsidP="00452B98">
      <w:pPr>
        <w:pStyle w:val="Nagwek4"/>
        <w:rPr>
          <w:rFonts w:asciiTheme="minorHAnsi" w:hAnsiTheme="minorHAnsi" w:cstheme="minorHAnsi"/>
        </w:rPr>
      </w:pPr>
      <w:r w:rsidRPr="00A23FB4">
        <w:rPr>
          <w:rFonts w:asciiTheme="minorHAnsi" w:hAnsiTheme="minorHAnsi" w:cstheme="minorHAnsi"/>
        </w:rPr>
        <w:t>1.4. Określenia podstawowe</w:t>
      </w:r>
    </w:p>
    <w:p w14:paraId="74AC0691" w14:textId="0C1438D8" w:rsidR="00452B98" w:rsidRPr="00A23FB4" w:rsidRDefault="00452B98" w:rsidP="00452B98">
      <w:pPr>
        <w:overflowPunct/>
        <w:textAlignment w:val="auto"/>
        <w:rPr>
          <w:rFonts w:asciiTheme="minorHAnsi" w:hAnsiTheme="minorHAnsi" w:cstheme="minorHAnsi"/>
        </w:rPr>
      </w:pPr>
      <w:r w:rsidRPr="00A23FB4">
        <w:rPr>
          <w:rFonts w:asciiTheme="minorHAnsi" w:hAnsiTheme="minorHAnsi" w:cstheme="minorHAnsi"/>
        </w:rPr>
        <w:t xml:space="preserve">Określenia podane w niniejszych </w:t>
      </w:r>
      <w:r w:rsidR="00AA446C">
        <w:rPr>
          <w:rFonts w:asciiTheme="minorHAnsi" w:hAnsiTheme="minorHAnsi" w:cstheme="minorHAnsi"/>
        </w:rPr>
        <w:t>ST</w:t>
      </w:r>
      <w:r w:rsidRPr="00A23FB4">
        <w:rPr>
          <w:rFonts w:asciiTheme="minorHAnsi" w:hAnsiTheme="minorHAnsi" w:cstheme="minorHAnsi"/>
        </w:rPr>
        <w:t>WiORB są zgodne z obowiązującymi normami, wytycznymi i określeniami</w:t>
      </w:r>
    </w:p>
    <w:p w14:paraId="0684D57A" w14:textId="6B775CB8" w:rsidR="00452B98" w:rsidRPr="00A23FB4" w:rsidRDefault="00452B98" w:rsidP="00452B98">
      <w:pPr>
        <w:overflowPunct/>
        <w:textAlignment w:val="auto"/>
        <w:rPr>
          <w:rFonts w:asciiTheme="minorHAnsi" w:hAnsiTheme="minorHAnsi" w:cstheme="minorHAnsi"/>
        </w:rPr>
      </w:pPr>
      <w:r w:rsidRPr="00A23FB4">
        <w:rPr>
          <w:rFonts w:asciiTheme="minorHAnsi" w:hAnsiTheme="minorHAnsi" w:cstheme="minorHAnsi"/>
        </w:rPr>
        <w:t xml:space="preserve">podanymi w </w:t>
      </w:r>
      <w:r w:rsidR="00AA446C">
        <w:rPr>
          <w:rFonts w:asciiTheme="minorHAnsi" w:hAnsiTheme="minorHAnsi" w:cstheme="minorHAnsi"/>
        </w:rPr>
        <w:t>ST</w:t>
      </w:r>
      <w:r w:rsidRPr="00A23FB4">
        <w:rPr>
          <w:rFonts w:asciiTheme="minorHAnsi" w:hAnsiTheme="minorHAnsi" w:cstheme="minorHAnsi"/>
        </w:rPr>
        <w:t>WiORB DM.00.00.00.</w:t>
      </w:r>
    </w:p>
    <w:p w14:paraId="30FE52E8" w14:textId="77777777" w:rsidR="00452B98" w:rsidRPr="00A23FB4" w:rsidRDefault="00452B98" w:rsidP="00452B98">
      <w:pPr>
        <w:pStyle w:val="Nagwek3"/>
        <w:rPr>
          <w:rFonts w:asciiTheme="minorHAnsi" w:hAnsiTheme="minorHAnsi" w:cstheme="minorHAnsi"/>
        </w:rPr>
      </w:pPr>
      <w:r w:rsidRPr="00A23FB4">
        <w:rPr>
          <w:rFonts w:asciiTheme="minorHAnsi" w:hAnsiTheme="minorHAnsi" w:cstheme="minorHAnsi"/>
        </w:rPr>
        <w:t xml:space="preserve">1.5. </w:t>
      </w:r>
      <w:r w:rsidR="00B51FFB" w:rsidRPr="00A23FB4">
        <w:rPr>
          <w:rFonts w:asciiTheme="minorHAnsi" w:hAnsiTheme="minorHAnsi" w:cstheme="minorHAnsi"/>
          <w:caps w:val="0"/>
        </w:rPr>
        <w:t>Wymagania ogólne</w:t>
      </w:r>
    </w:p>
    <w:p w14:paraId="27BF60DB" w14:textId="62A24511" w:rsidR="007D6030" w:rsidRPr="00A23FB4" w:rsidRDefault="00452B98" w:rsidP="007D6030">
      <w:pPr>
        <w:overflowPunct/>
        <w:textAlignment w:val="auto"/>
        <w:rPr>
          <w:rFonts w:asciiTheme="minorHAnsi" w:hAnsiTheme="minorHAnsi" w:cstheme="minorHAnsi"/>
        </w:rPr>
      </w:pPr>
      <w:r w:rsidRPr="00A23FB4">
        <w:rPr>
          <w:rFonts w:asciiTheme="minorHAnsi" w:hAnsiTheme="minorHAnsi" w:cstheme="minorHAnsi"/>
        </w:rPr>
        <w:t xml:space="preserve">Wymagania ogólne podano w </w:t>
      </w:r>
      <w:r w:rsidR="00AA446C">
        <w:rPr>
          <w:rFonts w:asciiTheme="minorHAnsi" w:hAnsiTheme="minorHAnsi" w:cstheme="minorHAnsi"/>
        </w:rPr>
        <w:t>ST</w:t>
      </w:r>
      <w:r w:rsidRPr="00A23FB4">
        <w:rPr>
          <w:rFonts w:asciiTheme="minorHAnsi" w:hAnsiTheme="minorHAnsi" w:cstheme="minorHAnsi"/>
        </w:rPr>
        <w:t>WiORB DM.00.00.00.</w:t>
      </w:r>
    </w:p>
    <w:p w14:paraId="73F36B7A" w14:textId="77777777" w:rsidR="007D6030" w:rsidRPr="00A23FB4" w:rsidRDefault="007D6030" w:rsidP="007D6030">
      <w:pPr>
        <w:overflowPunct/>
        <w:textAlignment w:val="auto"/>
        <w:rPr>
          <w:rFonts w:asciiTheme="minorHAnsi" w:hAnsiTheme="minorHAnsi" w:cstheme="minorHAnsi"/>
        </w:rPr>
      </w:pPr>
    </w:p>
    <w:p w14:paraId="5C6F10D1" w14:textId="77777777" w:rsidR="00452B98" w:rsidRPr="00A23FB4" w:rsidRDefault="00452B98" w:rsidP="007D6030">
      <w:pPr>
        <w:overflowPunct/>
        <w:textAlignment w:val="auto"/>
        <w:rPr>
          <w:rFonts w:asciiTheme="minorHAnsi" w:hAnsiTheme="minorHAnsi" w:cstheme="minorHAnsi"/>
          <w:b/>
        </w:rPr>
      </w:pPr>
      <w:r w:rsidRPr="00A23FB4">
        <w:rPr>
          <w:rFonts w:asciiTheme="minorHAnsi" w:hAnsiTheme="minorHAnsi" w:cstheme="minorHAnsi"/>
          <w:b/>
        </w:rPr>
        <w:t>2. MATERIAŁY</w:t>
      </w:r>
    </w:p>
    <w:p w14:paraId="2BE5188A" w14:textId="77777777" w:rsidR="007D6030" w:rsidRPr="00A23FB4" w:rsidRDefault="00452B98" w:rsidP="007D6030">
      <w:pPr>
        <w:overflowPunct/>
        <w:textAlignment w:val="auto"/>
        <w:rPr>
          <w:rFonts w:asciiTheme="minorHAnsi" w:hAnsiTheme="minorHAnsi" w:cstheme="minorHAnsi"/>
        </w:rPr>
      </w:pPr>
      <w:r w:rsidRPr="00A23FB4">
        <w:rPr>
          <w:rFonts w:asciiTheme="minorHAnsi" w:hAnsiTheme="minorHAnsi" w:cstheme="minorHAnsi"/>
        </w:rPr>
        <w:t>Materiały potrzebne do wykonania robót nie występują.</w:t>
      </w:r>
    </w:p>
    <w:p w14:paraId="0EEB2E38" w14:textId="77777777" w:rsidR="007D6030" w:rsidRPr="00A23FB4" w:rsidRDefault="007D6030" w:rsidP="007D6030">
      <w:pPr>
        <w:overflowPunct/>
        <w:textAlignment w:val="auto"/>
        <w:rPr>
          <w:rFonts w:asciiTheme="minorHAnsi" w:hAnsiTheme="minorHAnsi" w:cstheme="minorHAnsi"/>
        </w:rPr>
      </w:pPr>
    </w:p>
    <w:p w14:paraId="6F58C3C7" w14:textId="77777777" w:rsidR="00452B98" w:rsidRPr="00A23FB4" w:rsidRDefault="00452B98" w:rsidP="007D6030">
      <w:pPr>
        <w:overflowPunct/>
        <w:textAlignment w:val="auto"/>
        <w:rPr>
          <w:rFonts w:asciiTheme="minorHAnsi" w:hAnsiTheme="minorHAnsi" w:cstheme="minorHAnsi"/>
          <w:b/>
        </w:rPr>
      </w:pPr>
      <w:r w:rsidRPr="00A23FB4">
        <w:rPr>
          <w:rFonts w:asciiTheme="minorHAnsi" w:hAnsiTheme="minorHAnsi" w:cstheme="minorHAnsi"/>
          <w:b/>
        </w:rPr>
        <w:t>3. SPRZĘT</w:t>
      </w:r>
    </w:p>
    <w:p w14:paraId="3B5B944B" w14:textId="77777777" w:rsidR="00452B98" w:rsidRPr="00A23FB4" w:rsidRDefault="00452B98" w:rsidP="00452B98">
      <w:pPr>
        <w:pStyle w:val="Nagwek3"/>
        <w:rPr>
          <w:rFonts w:asciiTheme="minorHAnsi" w:hAnsiTheme="minorHAnsi" w:cstheme="minorHAnsi"/>
        </w:rPr>
      </w:pPr>
      <w:r w:rsidRPr="00A23FB4">
        <w:rPr>
          <w:rFonts w:asciiTheme="minorHAnsi" w:hAnsiTheme="minorHAnsi" w:cstheme="minorHAnsi"/>
        </w:rPr>
        <w:t xml:space="preserve">3.1. </w:t>
      </w:r>
      <w:r w:rsidR="00B51FFB" w:rsidRPr="00A23FB4">
        <w:rPr>
          <w:rFonts w:asciiTheme="minorHAnsi" w:hAnsiTheme="minorHAnsi" w:cstheme="minorHAnsi"/>
          <w:caps w:val="0"/>
        </w:rPr>
        <w:t>Ogólne wymagania dotyczące sprzętu</w:t>
      </w:r>
    </w:p>
    <w:p w14:paraId="4354C368" w14:textId="0E8E8A3E" w:rsidR="00452B98" w:rsidRPr="00A23FB4" w:rsidRDefault="00452B98" w:rsidP="00452B98">
      <w:pPr>
        <w:overflowPunct/>
        <w:textAlignment w:val="auto"/>
        <w:rPr>
          <w:rFonts w:asciiTheme="minorHAnsi" w:hAnsiTheme="minorHAnsi" w:cstheme="minorHAnsi"/>
        </w:rPr>
      </w:pPr>
      <w:r w:rsidRPr="00A23FB4">
        <w:rPr>
          <w:rFonts w:asciiTheme="minorHAnsi" w:hAnsiTheme="minorHAnsi" w:cstheme="minorHAnsi"/>
        </w:rPr>
        <w:t xml:space="preserve">Ogólne wymagania dotyczące sprzętu podano w </w:t>
      </w:r>
      <w:r w:rsidR="00AA446C">
        <w:rPr>
          <w:rFonts w:asciiTheme="minorHAnsi" w:hAnsiTheme="minorHAnsi" w:cstheme="minorHAnsi"/>
        </w:rPr>
        <w:t>ST</w:t>
      </w:r>
      <w:r w:rsidRPr="00A23FB4">
        <w:rPr>
          <w:rFonts w:asciiTheme="minorHAnsi" w:hAnsiTheme="minorHAnsi" w:cstheme="minorHAnsi"/>
        </w:rPr>
        <w:t>WiORB DM.00.00.00 „Wymagania ogólne” p.3.</w:t>
      </w:r>
    </w:p>
    <w:p w14:paraId="25D95588" w14:textId="77777777" w:rsidR="00452B98" w:rsidRPr="00A23FB4" w:rsidRDefault="00452B98" w:rsidP="00452B98">
      <w:pPr>
        <w:overflowPunct/>
        <w:textAlignment w:val="auto"/>
        <w:rPr>
          <w:rFonts w:asciiTheme="minorHAnsi" w:hAnsiTheme="minorHAnsi" w:cstheme="minorHAnsi"/>
        </w:rPr>
      </w:pPr>
      <w:r w:rsidRPr="00A23FB4">
        <w:rPr>
          <w:rFonts w:asciiTheme="minorHAnsi" w:hAnsiTheme="minorHAnsi" w:cstheme="minorHAnsi"/>
        </w:rPr>
        <w:t>Ponadto używany sprzęt powinien być zgodny z wymaganiami Kontraktu i PZJ oraz uzyskać akceptację Inżyniera.</w:t>
      </w:r>
    </w:p>
    <w:p w14:paraId="1DB319B3" w14:textId="77777777" w:rsidR="00452B98" w:rsidRPr="00A23FB4" w:rsidRDefault="00452B98" w:rsidP="00452B98">
      <w:pPr>
        <w:pStyle w:val="Nagwek3"/>
        <w:rPr>
          <w:rFonts w:asciiTheme="minorHAnsi" w:hAnsiTheme="minorHAnsi" w:cstheme="minorHAnsi"/>
        </w:rPr>
      </w:pPr>
      <w:r w:rsidRPr="00A23FB4">
        <w:rPr>
          <w:rFonts w:asciiTheme="minorHAnsi" w:hAnsiTheme="minorHAnsi" w:cstheme="minorHAnsi"/>
        </w:rPr>
        <w:t xml:space="preserve">3.2. </w:t>
      </w:r>
      <w:r w:rsidR="00B51FFB" w:rsidRPr="00A23FB4">
        <w:rPr>
          <w:rFonts w:asciiTheme="minorHAnsi" w:hAnsiTheme="minorHAnsi" w:cstheme="minorHAnsi"/>
          <w:caps w:val="0"/>
        </w:rPr>
        <w:t>Sprzęt do rozbiórek</w:t>
      </w:r>
    </w:p>
    <w:p w14:paraId="7AEDB2F4" w14:textId="77777777" w:rsidR="00452B98" w:rsidRPr="00A23FB4" w:rsidRDefault="00452B98" w:rsidP="00452B98">
      <w:pPr>
        <w:overflowPunct/>
        <w:textAlignment w:val="auto"/>
        <w:rPr>
          <w:rFonts w:asciiTheme="minorHAnsi" w:hAnsiTheme="minorHAnsi" w:cstheme="minorHAnsi"/>
        </w:rPr>
      </w:pPr>
      <w:r w:rsidRPr="00A23FB4">
        <w:rPr>
          <w:rFonts w:asciiTheme="minorHAnsi" w:hAnsiTheme="minorHAnsi" w:cstheme="minorHAnsi"/>
        </w:rPr>
        <w:t>Do robót rozbiórkowych winien być użyty sprzęt gwarantujący skuteczne i bezpieczne wykonanie prac, taki jak:</w:t>
      </w:r>
    </w:p>
    <w:p w14:paraId="0BF72D0F" w14:textId="77777777" w:rsidR="00452B98" w:rsidRPr="00A23FB4" w:rsidRDefault="00452B98" w:rsidP="00452B98">
      <w:pPr>
        <w:overflowPunct/>
        <w:textAlignment w:val="auto"/>
        <w:rPr>
          <w:rFonts w:asciiTheme="minorHAnsi" w:hAnsiTheme="minorHAnsi" w:cstheme="minorHAnsi"/>
        </w:rPr>
      </w:pPr>
      <w:r w:rsidRPr="00A23FB4">
        <w:rPr>
          <w:rFonts w:asciiTheme="minorHAnsi" w:hAnsiTheme="minorHAnsi" w:cstheme="minorHAnsi"/>
        </w:rPr>
        <w:t>- sprzęt pomiarowy,</w:t>
      </w:r>
    </w:p>
    <w:p w14:paraId="24885A03" w14:textId="77777777" w:rsidR="00452B98" w:rsidRPr="00A23FB4" w:rsidRDefault="00452B98" w:rsidP="00452B98">
      <w:pPr>
        <w:overflowPunct/>
        <w:textAlignment w:val="auto"/>
        <w:rPr>
          <w:rFonts w:asciiTheme="minorHAnsi" w:hAnsiTheme="minorHAnsi" w:cstheme="minorHAnsi"/>
        </w:rPr>
      </w:pPr>
      <w:r w:rsidRPr="00A23FB4">
        <w:rPr>
          <w:rFonts w:asciiTheme="minorHAnsi" w:hAnsiTheme="minorHAnsi" w:cstheme="minorHAnsi"/>
        </w:rPr>
        <w:t>- koparki,</w:t>
      </w:r>
    </w:p>
    <w:p w14:paraId="1DF1FC75" w14:textId="77777777" w:rsidR="00452B98" w:rsidRPr="00A23FB4" w:rsidRDefault="00452B98" w:rsidP="00452B98">
      <w:pPr>
        <w:overflowPunct/>
        <w:textAlignment w:val="auto"/>
        <w:rPr>
          <w:rFonts w:asciiTheme="minorHAnsi" w:hAnsiTheme="minorHAnsi" w:cstheme="minorHAnsi"/>
        </w:rPr>
      </w:pPr>
      <w:r w:rsidRPr="00A23FB4">
        <w:rPr>
          <w:rFonts w:asciiTheme="minorHAnsi" w:hAnsiTheme="minorHAnsi" w:cstheme="minorHAnsi"/>
        </w:rPr>
        <w:t>- ładowarki,</w:t>
      </w:r>
    </w:p>
    <w:p w14:paraId="676EE666" w14:textId="77777777" w:rsidR="00452B98" w:rsidRPr="00A23FB4" w:rsidRDefault="00452B98" w:rsidP="00452B98">
      <w:pPr>
        <w:overflowPunct/>
        <w:textAlignment w:val="auto"/>
        <w:rPr>
          <w:rFonts w:asciiTheme="minorHAnsi" w:hAnsiTheme="minorHAnsi" w:cstheme="minorHAnsi"/>
        </w:rPr>
      </w:pPr>
      <w:r w:rsidRPr="00A23FB4">
        <w:rPr>
          <w:rFonts w:asciiTheme="minorHAnsi" w:hAnsiTheme="minorHAnsi" w:cstheme="minorHAnsi"/>
        </w:rPr>
        <w:t>- równiarki,</w:t>
      </w:r>
    </w:p>
    <w:p w14:paraId="2489C55A" w14:textId="77777777" w:rsidR="00452B98" w:rsidRPr="00A23FB4" w:rsidRDefault="00452B98" w:rsidP="00452B98">
      <w:pPr>
        <w:overflowPunct/>
        <w:textAlignment w:val="auto"/>
        <w:rPr>
          <w:rFonts w:asciiTheme="minorHAnsi" w:hAnsiTheme="minorHAnsi" w:cstheme="minorHAnsi"/>
        </w:rPr>
      </w:pPr>
      <w:r w:rsidRPr="00A23FB4">
        <w:rPr>
          <w:rFonts w:asciiTheme="minorHAnsi" w:hAnsiTheme="minorHAnsi" w:cstheme="minorHAnsi"/>
        </w:rPr>
        <w:t>- spycharki,</w:t>
      </w:r>
    </w:p>
    <w:p w14:paraId="5464CF8E" w14:textId="77777777" w:rsidR="00452B98" w:rsidRPr="00A23FB4" w:rsidRDefault="00452B98" w:rsidP="00452B98">
      <w:pPr>
        <w:overflowPunct/>
        <w:textAlignment w:val="auto"/>
        <w:rPr>
          <w:rFonts w:asciiTheme="minorHAnsi" w:hAnsiTheme="minorHAnsi" w:cstheme="minorHAnsi"/>
        </w:rPr>
      </w:pPr>
      <w:r w:rsidRPr="00A23FB4">
        <w:rPr>
          <w:rFonts w:asciiTheme="minorHAnsi" w:hAnsiTheme="minorHAnsi" w:cstheme="minorHAnsi"/>
        </w:rPr>
        <w:t>- zagęszczarki,</w:t>
      </w:r>
    </w:p>
    <w:p w14:paraId="3A7B6DD4" w14:textId="77777777" w:rsidR="00452B98" w:rsidRPr="00A23FB4" w:rsidRDefault="00452B98" w:rsidP="00452B98">
      <w:pPr>
        <w:overflowPunct/>
        <w:textAlignment w:val="auto"/>
        <w:rPr>
          <w:rFonts w:asciiTheme="minorHAnsi" w:hAnsiTheme="minorHAnsi" w:cstheme="minorHAnsi"/>
        </w:rPr>
      </w:pPr>
      <w:r w:rsidRPr="00A23FB4">
        <w:rPr>
          <w:rFonts w:asciiTheme="minorHAnsi" w:hAnsiTheme="minorHAnsi" w:cstheme="minorHAnsi"/>
        </w:rPr>
        <w:t>- piła spalinowa,</w:t>
      </w:r>
    </w:p>
    <w:p w14:paraId="2C311F6E" w14:textId="77777777" w:rsidR="00452B98" w:rsidRPr="00A23FB4" w:rsidRDefault="00452B98" w:rsidP="00452B98">
      <w:pPr>
        <w:overflowPunct/>
        <w:textAlignment w:val="auto"/>
        <w:rPr>
          <w:rFonts w:asciiTheme="minorHAnsi" w:hAnsiTheme="minorHAnsi" w:cstheme="minorHAnsi"/>
        </w:rPr>
      </w:pPr>
      <w:r w:rsidRPr="00A23FB4">
        <w:rPr>
          <w:rFonts w:asciiTheme="minorHAnsi" w:hAnsiTheme="minorHAnsi" w:cstheme="minorHAnsi"/>
        </w:rPr>
        <w:t>- młot pneumatyczny ze sprężarką spalinową lub młot spalinowy,</w:t>
      </w:r>
    </w:p>
    <w:p w14:paraId="738F8863" w14:textId="77777777" w:rsidR="00452B98" w:rsidRPr="00A23FB4" w:rsidRDefault="00452B98" w:rsidP="00452B98">
      <w:pPr>
        <w:overflowPunct/>
        <w:textAlignment w:val="auto"/>
        <w:rPr>
          <w:rFonts w:asciiTheme="minorHAnsi" w:hAnsiTheme="minorHAnsi" w:cstheme="minorHAnsi"/>
        </w:rPr>
      </w:pPr>
      <w:r w:rsidRPr="00A23FB4">
        <w:rPr>
          <w:rFonts w:asciiTheme="minorHAnsi" w:hAnsiTheme="minorHAnsi" w:cstheme="minorHAnsi"/>
        </w:rPr>
        <w:t>- szlifierka kątowa z tarczami zapasowymi,</w:t>
      </w:r>
    </w:p>
    <w:p w14:paraId="64703E77" w14:textId="77777777" w:rsidR="00452B98" w:rsidRPr="00A23FB4" w:rsidRDefault="00452B98" w:rsidP="00452B98">
      <w:pPr>
        <w:overflowPunct/>
        <w:textAlignment w:val="auto"/>
        <w:rPr>
          <w:rFonts w:asciiTheme="minorHAnsi" w:hAnsiTheme="minorHAnsi" w:cstheme="minorHAnsi"/>
        </w:rPr>
      </w:pPr>
      <w:r w:rsidRPr="00A23FB4">
        <w:rPr>
          <w:rFonts w:asciiTheme="minorHAnsi" w:hAnsiTheme="minorHAnsi" w:cstheme="minorHAnsi"/>
        </w:rPr>
        <w:t>- palnik acetylenowo – tlenowy z osprzętem,</w:t>
      </w:r>
    </w:p>
    <w:p w14:paraId="411948DA" w14:textId="77777777" w:rsidR="00452B98" w:rsidRPr="00A23FB4" w:rsidRDefault="00452B98" w:rsidP="00452B98">
      <w:pPr>
        <w:overflowPunct/>
        <w:textAlignment w:val="auto"/>
        <w:rPr>
          <w:rFonts w:asciiTheme="minorHAnsi" w:hAnsiTheme="minorHAnsi" w:cstheme="minorHAnsi"/>
        </w:rPr>
      </w:pPr>
      <w:r w:rsidRPr="00A23FB4">
        <w:rPr>
          <w:rFonts w:asciiTheme="minorHAnsi" w:hAnsiTheme="minorHAnsi" w:cstheme="minorHAnsi"/>
        </w:rPr>
        <w:t>- dźwig,</w:t>
      </w:r>
    </w:p>
    <w:p w14:paraId="020CA313" w14:textId="77777777" w:rsidR="00452B98" w:rsidRPr="00A23FB4" w:rsidRDefault="00452B98" w:rsidP="00452B98">
      <w:pPr>
        <w:overflowPunct/>
        <w:textAlignment w:val="auto"/>
        <w:rPr>
          <w:rFonts w:asciiTheme="minorHAnsi" w:hAnsiTheme="minorHAnsi" w:cstheme="minorHAnsi"/>
        </w:rPr>
      </w:pPr>
      <w:r w:rsidRPr="00A23FB4">
        <w:rPr>
          <w:rFonts w:asciiTheme="minorHAnsi" w:hAnsiTheme="minorHAnsi" w:cstheme="minorHAnsi"/>
        </w:rPr>
        <w:t>- sprzęt ręczny,</w:t>
      </w:r>
    </w:p>
    <w:p w14:paraId="39D8B524" w14:textId="77777777" w:rsidR="007D6030" w:rsidRPr="00A23FB4" w:rsidRDefault="00452B98" w:rsidP="007D6030">
      <w:pPr>
        <w:overflowPunct/>
        <w:textAlignment w:val="auto"/>
        <w:rPr>
          <w:rFonts w:asciiTheme="minorHAnsi" w:hAnsiTheme="minorHAnsi" w:cstheme="minorHAnsi"/>
        </w:rPr>
      </w:pPr>
      <w:r w:rsidRPr="00A23FB4">
        <w:rPr>
          <w:rFonts w:asciiTheme="minorHAnsi" w:hAnsiTheme="minorHAnsi" w:cstheme="minorHAnsi"/>
        </w:rPr>
        <w:t>- inny sprzęt przedstawiony przez Wykonawcę w PZJ i zatwierdzony przez Inżyniera.</w:t>
      </w:r>
    </w:p>
    <w:p w14:paraId="49AA0A7C" w14:textId="77777777" w:rsidR="007D6030" w:rsidRPr="00A23FB4" w:rsidRDefault="007D6030" w:rsidP="007D6030">
      <w:pPr>
        <w:overflowPunct/>
        <w:textAlignment w:val="auto"/>
        <w:rPr>
          <w:rFonts w:asciiTheme="minorHAnsi" w:hAnsiTheme="minorHAnsi" w:cstheme="minorHAnsi"/>
        </w:rPr>
      </w:pPr>
    </w:p>
    <w:p w14:paraId="1B6110D0" w14:textId="77777777" w:rsidR="00452B98" w:rsidRPr="00A23FB4" w:rsidRDefault="00452B98" w:rsidP="00B51FFB">
      <w:pPr>
        <w:overflowPunct/>
        <w:spacing w:after="240"/>
        <w:textAlignment w:val="auto"/>
        <w:rPr>
          <w:rFonts w:asciiTheme="minorHAnsi" w:hAnsiTheme="minorHAnsi" w:cstheme="minorHAnsi"/>
          <w:b/>
        </w:rPr>
      </w:pPr>
      <w:r w:rsidRPr="00A23FB4">
        <w:rPr>
          <w:rFonts w:asciiTheme="minorHAnsi" w:hAnsiTheme="minorHAnsi" w:cstheme="minorHAnsi"/>
          <w:b/>
        </w:rPr>
        <w:t>4. TRANSPORT</w:t>
      </w:r>
    </w:p>
    <w:p w14:paraId="75CEC643" w14:textId="77777777" w:rsidR="00452B98" w:rsidRPr="00A23FB4" w:rsidRDefault="00452B98" w:rsidP="00B51FFB">
      <w:pPr>
        <w:pStyle w:val="Nagwek3"/>
        <w:spacing w:before="0"/>
        <w:rPr>
          <w:rFonts w:asciiTheme="minorHAnsi" w:hAnsiTheme="minorHAnsi" w:cstheme="minorHAnsi"/>
        </w:rPr>
      </w:pPr>
      <w:r w:rsidRPr="00A23FB4">
        <w:rPr>
          <w:rFonts w:asciiTheme="minorHAnsi" w:hAnsiTheme="minorHAnsi" w:cstheme="minorHAnsi"/>
        </w:rPr>
        <w:t xml:space="preserve">4.1. </w:t>
      </w:r>
      <w:r w:rsidR="00B51FFB" w:rsidRPr="00A23FB4">
        <w:rPr>
          <w:rFonts w:asciiTheme="minorHAnsi" w:hAnsiTheme="minorHAnsi" w:cstheme="minorHAnsi"/>
          <w:caps w:val="0"/>
        </w:rPr>
        <w:t>Ogólne wymagania dotyczące transportu</w:t>
      </w:r>
    </w:p>
    <w:p w14:paraId="1898FC37" w14:textId="115525D3" w:rsidR="00452B98" w:rsidRPr="00A23FB4" w:rsidRDefault="00452B98" w:rsidP="00452B98">
      <w:pPr>
        <w:overflowPunct/>
        <w:textAlignment w:val="auto"/>
        <w:rPr>
          <w:rFonts w:asciiTheme="minorHAnsi" w:hAnsiTheme="minorHAnsi" w:cstheme="minorHAnsi"/>
        </w:rPr>
      </w:pPr>
      <w:r w:rsidRPr="00A23FB4">
        <w:rPr>
          <w:rFonts w:asciiTheme="minorHAnsi" w:hAnsiTheme="minorHAnsi" w:cstheme="minorHAnsi"/>
        </w:rPr>
        <w:t xml:space="preserve">Ogólne wymagania dotyczące transportu podano w </w:t>
      </w:r>
      <w:r w:rsidR="00AA446C">
        <w:rPr>
          <w:rFonts w:asciiTheme="minorHAnsi" w:hAnsiTheme="minorHAnsi" w:cstheme="minorHAnsi"/>
        </w:rPr>
        <w:t>ST</w:t>
      </w:r>
      <w:r w:rsidRPr="00A23FB4">
        <w:rPr>
          <w:rFonts w:asciiTheme="minorHAnsi" w:hAnsiTheme="minorHAnsi" w:cstheme="minorHAnsi"/>
        </w:rPr>
        <w:t>WiORB DM.00.00.00 „Wymagania ogólne” p.4.</w:t>
      </w:r>
    </w:p>
    <w:p w14:paraId="401097D5" w14:textId="77777777" w:rsidR="00452B98" w:rsidRPr="00A23FB4" w:rsidRDefault="00452B98" w:rsidP="00452B98">
      <w:pPr>
        <w:pStyle w:val="Nagwek3"/>
        <w:rPr>
          <w:rFonts w:asciiTheme="minorHAnsi" w:hAnsiTheme="minorHAnsi" w:cstheme="minorHAnsi"/>
        </w:rPr>
      </w:pPr>
      <w:r w:rsidRPr="00A23FB4">
        <w:rPr>
          <w:rFonts w:asciiTheme="minorHAnsi" w:hAnsiTheme="minorHAnsi" w:cstheme="minorHAnsi"/>
        </w:rPr>
        <w:t xml:space="preserve">4.2. </w:t>
      </w:r>
      <w:r w:rsidR="00B51FFB" w:rsidRPr="00A23FB4">
        <w:rPr>
          <w:rFonts w:asciiTheme="minorHAnsi" w:hAnsiTheme="minorHAnsi" w:cstheme="minorHAnsi"/>
          <w:caps w:val="0"/>
        </w:rPr>
        <w:t>Transport materiałów z rozbiórki</w:t>
      </w:r>
    </w:p>
    <w:p w14:paraId="579D95A7" w14:textId="77777777" w:rsidR="00452B98" w:rsidRPr="00A23FB4" w:rsidRDefault="00452B98" w:rsidP="00452B98">
      <w:pPr>
        <w:overflowPunct/>
        <w:textAlignment w:val="auto"/>
        <w:rPr>
          <w:rFonts w:asciiTheme="minorHAnsi" w:hAnsiTheme="minorHAnsi" w:cstheme="minorHAnsi"/>
        </w:rPr>
      </w:pPr>
      <w:r w:rsidRPr="00A23FB4">
        <w:rPr>
          <w:rFonts w:asciiTheme="minorHAnsi" w:hAnsiTheme="minorHAnsi" w:cstheme="minorHAnsi"/>
        </w:rPr>
        <w:t>Środki transportu:</w:t>
      </w:r>
    </w:p>
    <w:p w14:paraId="53830840" w14:textId="77777777" w:rsidR="00452B98" w:rsidRPr="00A23FB4" w:rsidRDefault="00452B98" w:rsidP="00452B98">
      <w:pPr>
        <w:overflowPunct/>
        <w:textAlignment w:val="auto"/>
        <w:rPr>
          <w:rFonts w:asciiTheme="minorHAnsi" w:hAnsiTheme="minorHAnsi" w:cstheme="minorHAnsi"/>
        </w:rPr>
      </w:pPr>
      <w:r w:rsidRPr="00A23FB4">
        <w:rPr>
          <w:rFonts w:asciiTheme="minorHAnsi" w:hAnsiTheme="minorHAnsi" w:cstheme="minorHAnsi"/>
        </w:rPr>
        <w:t>- samochody samowyładowcze,</w:t>
      </w:r>
    </w:p>
    <w:p w14:paraId="64E05E42" w14:textId="77777777" w:rsidR="00452B98" w:rsidRPr="00A23FB4" w:rsidRDefault="00452B98" w:rsidP="00452B98">
      <w:pPr>
        <w:overflowPunct/>
        <w:textAlignment w:val="auto"/>
        <w:rPr>
          <w:rFonts w:asciiTheme="minorHAnsi" w:hAnsiTheme="minorHAnsi" w:cstheme="minorHAnsi"/>
        </w:rPr>
      </w:pPr>
      <w:r w:rsidRPr="00A23FB4">
        <w:rPr>
          <w:rFonts w:asciiTheme="minorHAnsi" w:hAnsiTheme="minorHAnsi" w:cstheme="minorHAnsi"/>
        </w:rPr>
        <w:t>- samochody skrzyniowe,</w:t>
      </w:r>
    </w:p>
    <w:p w14:paraId="0E8CF01B" w14:textId="77777777" w:rsidR="00452B98" w:rsidRPr="00A23FB4" w:rsidRDefault="00452B98" w:rsidP="00452B98">
      <w:pPr>
        <w:overflowPunct/>
        <w:textAlignment w:val="auto"/>
        <w:rPr>
          <w:rFonts w:asciiTheme="minorHAnsi" w:hAnsiTheme="minorHAnsi" w:cstheme="minorHAnsi"/>
        </w:rPr>
      </w:pPr>
      <w:r w:rsidRPr="00A23FB4">
        <w:rPr>
          <w:rFonts w:asciiTheme="minorHAnsi" w:hAnsiTheme="minorHAnsi" w:cstheme="minorHAnsi"/>
        </w:rPr>
        <w:t>- samochody dostawcze,</w:t>
      </w:r>
    </w:p>
    <w:p w14:paraId="4FE40563" w14:textId="77777777" w:rsidR="007D6030" w:rsidRPr="00A23FB4" w:rsidRDefault="00452B98" w:rsidP="007D6030">
      <w:pPr>
        <w:overflowPunct/>
        <w:textAlignment w:val="auto"/>
        <w:rPr>
          <w:rFonts w:asciiTheme="minorHAnsi" w:hAnsiTheme="minorHAnsi" w:cstheme="minorHAnsi"/>
        </w:rPr>
      </w:pPr>
      <w:r w:rsidRPr="00A23FB4">
        <w:rPr>
          <w:rFonts w:asciiTheme="minorHAnsi" w:hAnsiTheme="minorHAnsi" w:cstheme="minorHAnsi"/>
        </w:rPr>
        <w:t>- inne środki transportu wymienione w PZJ i zatwierdzone przez Inżyniera.</w:t>
      </w:r>
    </w:p>
    <w:p w14:paraId="79AF8F09" w14:textId="77777777" w:rsidR="007D6030" w:rsidRPr="00A23FB4" w:rsidRDefault="007D6030" w:rsidP="007D6030">
      <w:pPr>
        <w:overflowPunct/>
        <w:textAlignment w:val="auto"/>
        <w:rPr>
          <w:rFonts w:asciiTheme="minorHAnsi" w:hAnsiTheme="minorHAnsi" w:cstheme="minorHAnsi"/>
        </w:rPr>
      </w:pPr>
    </w:p>
    <w:p w14:paraId="5F0F57EF" w14:textId="77777777" w:rsidR="00B51FFB" w:rsidRPr="00A23FB4" w:rsidRDefault="00452B98" w:rsidP="00B51FFB">
      <w:pPr>
        <w:overflowPunct/>
        <w:spacing w:after="240"/>
        <w:textAlignment w:val="auto"/>
        <w:rPr>
          <w:rFonts w:asciiTheme="minorHAnsi" w:hAnsiTheme="minorHAnsi" w:cstheme="minorHAnsi"/>
          <w:b/>
        </w:rPr>
      </w:pPr>
      <w:r w:rsidRPr="00A23FB4">
        <w:rPr>
          <w:rFonts w:asciiTheme="minorHAnsi" w:hAnsiTheme="minorHAnsi" w:cstheme="minorHAnsi"/>
          <w:b/>
        </w:rPr>
        <w:t>5. WYKONANIE ROBÓT</w:t>
      </w:r>
    </w:p>
    <w:p w14:paraId="6AAD5BD7" w14:textId="77777777" w:rsidR="00452B98" w:rsidRPr="00A23FB4" w:rsidRDefault="00452B98" w:rsidP="00B51FFB">
      <w:pPr>
        <w:overflowPunct/>
        <w:textAlignment w:val="auto"/>
        <w:rPr>
          <w:rFonts w:asciiTheme="minorHAnsi" w:hAnsiTheme="minorHAnsi" w:cstheme="minorHAnsi"/>
          <w:b/>
          <w:bCs/>
        </w:rPr>
      </w:pPr>
      <w:r w:rsidRPr="00A23FB4">
        <w:rPr>
          <w:rFonts w:asciiTheme="minorHAnsi" w:hAnsiTheme="minorHAnsi" w:cstheme="minorHAnsi"/>
          <w:b/>
          <w:bCs/>
        </w:rPr>
        <w:t>5.1. Ogólne zasady wykonania Robót</w:t>
      </w:r>
    </w:p>
    <w:p w14:paraId="17A93627" w14:textId="7ABDCE6E" w:rsidR="00452B98" w:rsidRPr="00A23FB4" w:rsidRDefault="00452B98" w:rsidP="00452B98">
      <w:pPr>
        <w:overflowPunct/>
        <w:textAlignment w:val="auto"/>
        <w:rPr>
          <w:rFonts w:asciiTheme="minorHAnsi" w:hAnsiTheme="minorHAnsi" w:cstheme="minorHAnsi"/>
        </w:rPr>
      </w:pPr>
      <w:r w:rsidRPr="00A23FB4">
        <w:rPr>
          <w:rFonts w:asciiTheme="minorHAnsi" w:hAnsiTheme="minorHAnsi" w:cstheme="minorHAnsi"/>
        </w:rPr>
        <w:t xml:space="preserve">Ogólne zasady wykonania robót podano w </w:t>
      </w:r>
      <w:r w:rsidR="00AA446C">
        <w:rPr>
          <w:rFonts w:asciiTheme="minorHAnsi" w:hAnsiTheme="minorHAnsi" w:cstheme="minorHAnsi"/>
        </w:rPr>
        <w:t>ST</w:t>
      </w:r>
      <w:r w:rsidRPr="00A23FB4">
        <w:rPr>
          <w:rFonts w:asciiTheme="minorHAnsi" w:hAnsiTheme="minorHAnsi" w:cstheme="minorHAnsi"/>
        </w:rPr>
        <w:t>WiORB DM.00.00.00. „Wymagania ogólne” p.5.</w:t>
      </w:r>
    </w:p>
    <w:p w14:paraId="518F30FC" w14:textId="77777777" w:rsidR="00452B98" w:rsidRPr="00A23FB4" w:rsidRDefault="00452B98" w:rsidP="00452B98">
      <w:pPr>
        <w:pStyle w:val="Nagwek3"/>
        <w:rPr>
          <w:rFonts w:asciiTheme="minorHAnsi" w:hAnsiTheme="minorHAnsi" w:cstheme="minorHAnsi"/>
        </w:rPr>
      </w:pPr>
      <w:r w:rsidRPr="00A23FB4">
        <w:rPr>
          <w:rFonts w:asciiTheme="minorHAnsi" w:hAnsiTheme="minorHAnsi" w:cstheme="minorHAnsi"/>
        </w:rPr>
        <w:t xml:space="preserve">5.2. </w:t>
      </w:r>
      <w:r w:rsidR="00B51FFB" w:rsidRPr="00A23FB4">
        <w:rPr>
          <w:rFonts w:asciiTheme="minorHAnsi" w:hAnsiTheme="minorHAnsi" w:cstheme="minorHAnsi"/>
          <w:caps w:val="0"/>
        </w:rPr>
        <w:t>Wykonanie robót rozbiórkowych</w:t>
      </w:r>
    </w:p>
    <w:p w14:paraId="7D5723F0" w14:textId="77777777" w:rsidR="00452B98" w:rsidRPr="00A23FB4" w:rsidRDefault="00452B98" w:rsidP="00452B98">
      <w:pPr>
        <w:overflowPunct/>
        <w:textAlignment w:val="auto"/>
        <w:rPr>
          <w:rFonts w:asciiTheme="minorHAnsi" w:hAnsiTheme="minorHAnsi" w:cstheme="minorHAnsi"/>
        </w:rPr>
      </w:pPr>
      <w:r w:rsidRPr="00A23FB4">
        <w:rPr>
          <w:rFonts w:asciiTheme="minorHAnsi" w:hAnsiTheme="minorHAnsi" w:cstheme="minorHAnsi"/>
        </w:rPr>
        <w:t>Materiały</w:t>
      </w:r>
      <w:r w:rsidR="00654A93" w:rsidRPr="00A23FB4">
        <w:rPr>
          <w:rFonts w:asciiTheme="minorHAnsi" w:hAnsiTheme="minorHAnsi" w:cstheme="minorHAnsi"/>
        </w:rPr>
        <w:t xml:space="preserve"> pochodzące z rozbiórki takie jak: </w:t>
      </w:r>
    </w:p>
    <w:p w14:paraId="130A99B6" w14:textId="77777777" w:rsidR="00452B98" w:rsidRPr="00A23FB4" w:rsidRDefault="00452B98" w:rsidP="00262498">
      <w:pPr>
        <w:pStyle w:val="Akapitzlist"/>
        <w:numPr>
          <w:ilvl w:val="0"/>
          <w:numId w:val="178"/>
        </w:numPr>
        <w:suppressAutoHyphens/>
        <w:overflowPunct/>
        <w:autoSpaceDE/>
        <w:textAlignment w:val="auto"/>
        <w:rPr>
          <w:rFonts w:asciiTheme="minorHAnsi" w:hAnsiTheme="minorHAnsi" w:cstheme="minorHAnsi"/>
        </w:rPr>
      </w:pPr>
      <w:r w:rsidRPr="00A23FB4">
        <w:rPr>
          <w:rFonts w:asciiTheme="minorHAnsi" w:hAnsiTheme="minorHAnsi" w:cstheme="minorHAnsi"/>
        </w:rPr>
        <w:t>frezowina z rozbiórki nawierzchni bitumicznych</w:t>
      </w:r>
    </w:p>
    <w:p w14:paraId="18B7A7C6" w14:textId="77777777" w:rsidR="00452B98" w:rsidRPr="00A23FB4" w:rsidRDefault="00452B98" w:rsidP="00262498">
      <w:pPr>
        <w:pStyle w:val="Akapitzlist"/>
        <w:numPr>
          <w:ilvl w:val="0"/>
          <w:numId w:val="178"/>
        </w:numPr>
        <w:suppressAutoHyphens/>
        <w:overflowPunct/>
        <w:autoSpaceDE/>
        <w:textAlignment w:val="auto"/>
        <w:rPr>
          <w:rFonts w:asciiTheme="minorHAnsi" w:hAnsiTheme="minorHAnsi" w:cstheme="minorHAnsi"/>
        </w:rPr>
      </w:pPr>
      <w:r w:rsidRPr="00A23FB4">
        <w:rPr>
          <w:rFonts w:asciiTheme="minorHAnsi" w:hAnsiTheme="minorHAnsi" w:cstheme="minorHAnsi"/>
        </w:rPr>
        <w:t>kostka granitowa</w:t>
      </w:r>
    </w:p>
    <w:p w14:paraId="58AC0370" w14:textId="77777777" w:rsidR="00452B98" w:rsidRPr="00A23FB4" w:rsidRDefault="00452B98" w:rsidP="00262498">
      <w:pPr>
        <w:pStyle w:val="Akapitzlist"/>
        <w:numPr>
          <w:ilvl w:val="0"/>
          <w:numId w:val="178"/>
        </w:numPr>
        <w:suppressAutoHyphens/>
        <w:overflowPunct/>
        <w:autoSpaceDE/>
        <w:textAlignment w:val="auto"/>
        <w:rPr>
          <w:rFonts w:asciiTheme="minorHAnsi" w:hAnsiTheme="minorHAnsi" w:cstheme="minorHAnsi"/>
        </w:rPr>
      </w:pPr>
      <w:r w:rsidRPr="00A23FB4">
        <w:rPr>
          <w:rFonts w:asciiTheme="minorHAnsi" w:hAnsiTheme="minorHAnsi" w:cstheme="minorHAnsi"/>
        </w:rPr>
        <w:t>kostka betonowa</w:t>
      </w:r>
    </w:p>
    <w:p w14:paraId="5A0CB57B" w14:textId="77777777" w:rsidR="00424692" w:rsidRPr="00A23FB4" w:rsidRDefault="00424692" w:rsidP="00262498">
      <w:pPr>
        <w:pStyle w:val="Akapitzlist"/>
        <w:numPr>
          <w:ilvl w:val="0"/>
          <w:numId w:val="178"/>
        </w:numPr>
        <w:suppressAutoHyphens/>
        <w:overflowPunct/>
        <w:autoSpaceDE/>
        <w:textAlignment w:val="auto"/>
        <w:rPr>
          <w:rFonts w:asciiTheme="minorHAnsi" w:hAnsiTheme="minorHAnsi" w:cstheme="minorHAnsi"/>
        </w:rPr>
      </w:pPr>
      <w:r w:rsidRPr="00A23FB4">
        <w:rPr>
          <w:rFonts w:asciiTheme="minorHAnsi" w:hAnsiTheme="minorHAnsi" w:cstheme="minorHAnsi"/>
        </w:rPr>
        <w:t>płytki betonowe</w:t>
      </w:r>
    </w:p>
    <w:p w14:paraId="349B08B3" w14:textId="77777777" w:rsidR="00452B98" w:rsidRPr="00A23FB4" w:rsidRDefault="00452B98" w:rsidP="00262498">
      <w:pPr>
        <w:pStyle w:val="Akapitzlist"/>
        <w:numPr>
          <w:ilvl w:val="0"/>
          <w:numId w:val="178"/>
        </w:numPr>
        <w:suppressAutoHyphens/>
        <w:overflowPunct/>
        <w:autoSpaceDE/>
        <w:textAlignment w:val="auto"/>
        <w:rPr>
          <w:rFonts w:asciiTheme="minorHAnsi" w:hAnsiTheme="minorHAnsi" w:cstheme="minorHAnsi"/>
        </w:rPr>
      </w:pPr>
      <w:r w:rsidRPr="00A23FB4">
        <w:rPr>
          <w:rFonts w:asciiTheme="minorHAnsi" w:hAnsiTheme="minorHAnsi" w:cstheme="minorHAnsi"/>
        </w:rPr>
        <w:t>znaki drogowe</w:t>
      </w:r>
    </w:p>
    <w:p w14:paraId="3AA98CC6" w14:textId="77777777" w:rsidR="00452B98" w:rsidRPr="00A23FB4" w:rsidRDefault="00452B98" w:rsidP="00262498">
      <w:pPr>
        <w:pStyle w:val="Akapitzlist"/>
        <w:numPr>
          <w:ilvl w:val="0"/>
          <w:numId w:val="178"/>
        </w:numPr>
        <w:suppressAutoHyphens/>
        <w:overflowPunct/>
        <w:autoSpaceDE/>
        <w:textAlignment w:val="auto"/>
        <w:rPr>
          <w:rFonts w:asciiTheme="minorHAnsi" w:hAnsiTheme="minorHAnsi" w:cstheme="minorHAnsi"/>
        </w:rPr>
      </w:pPr>
      <w:r w:rsidRPr="00A23FB4">
        <w:rPr>
          <w:rFonts w:asciiTheme="minorHAnsi" w:hAnsiTheme="minorHAnsi" w:cstheme="minorHAnsi"/>
        </w:rPr>
        <w:t>element żeliwne kanalizacji deszczowej</w:t>
      </w:r>
    </w:p>
    <w:p w14:paraId="158A684A" w14:textId="77777777" w:rsidR="00452B98" w:rsidRPr="00A23FB4" w:rsidRDefault="00452B98" w:rsidP="00262498">
      <w:pPr>
        <w:pStyle w:val="Akapitzlist"/>
        <w:numPr>
          <w:ilvl w:val="0"/>
          <w:numId w:val="178"/>
        </w:numPr>
        <w:suppressAutoHyphens/>
        <w:overflowPunct/>
        <w:autoSpaceDE/>
        <w:textAlignment w:val="auto"/>
        <w:rPr>
          <w:rFonts w:asciiTheme="minorHAnsi" w:hAnsiTheme="minorHAnsi" w:cstheme="minorHAnsi"/>
        </w:rPr>
      </w:pPr>
      <w:r w:rsidRPr="00A23FB4">
        <w:rPr>
          <w:rFonts w:asciiTheme="minorHAnsi" w:hAnsiTheme="minorHAnsi" w:cstheme="minorHAnsi"/>
        </w:rPr>
        <w:t>barierki drogowe</w:t>
      </w:r>
    </w:p>
    <w:p w14:paraId="79CFA8FC" w14:textId="77777777" w:rsidR="00452B98" w:rsidRPr="00A23FB4" w:rsidRDefault="00452B98" w:rsidP="00654A93">
      <w:pPr>
        <w:rPr>
          <w:rFonts w:asciiTheme="minorHAnsi" w:hAnsiTheme="minorHAnsi" w:cstheme="minorHAnsi"/>
        </w:rPr>
      </w:pPr>
      <w:r w:rsidRPr="00A23FB4">
        <w:rPr>
          <w:rFonts w:asciiTheme="minorHAnsi" w:hAnsiTheme="minorHAnsi" w:cstheme="minorHAnsi"/>
        </w:rPr>
        <w:t>Wykonawca</w:t>
      </w:r>
      <w:r w:rsidR="00654A93" w:rsidRPr="00A23FB4">
        <w:rPr>
          <w:rFonts w:asciiTheme="minorHAnsi" w:hAnsiTheme="minorHAnsi" w:cstheme="minorHAnsi"/>
        </w:rPr>
        <w:t xml:space="preserve"> wykorzysta lub zutylizuje we własnym zakresie. </w:t>
      </w:r>
    </w:p>
    <w:p w14:paraId="2E92BE0A" w14:textId="77777777" w:rsidR="00452B98" w:rsidRPr="00A23FB4" w:rsidRDefault="00452B98" w:rsidP="00452B98">
      <w:pPr>
        <w:rPr>
          <w:rFonts w:asciiTheme="minorHAnsi" w:hAnsiTheme="minorHAnsi" w:cstheme="minorHAnsi"/>
        </w:rPr>
      </w:pPr>
      <w:r w:rsidRPr="00A23FB4">
        <w:rPr>
          <w:rFonts w:asciiTheme="minorHAnsi" w:hAnsiTheme="minorHAnsi" w:cstheme="minorHAnsi"/>
        </w:rPr>
        <w:t xml:space="preserve">Słupy i lampy oświetleniowe stanowią własność </w:t>
      </w:r>
      <w:r w:rsidR="00717A76" w:rsidRPr="00A23FB4">
        <w:rPr>
          <w:rFonts w:asciiTheme="minorHAnsi" w:hAnsiTheme="minorHAnsi" w:cstheme="minorHAnsi"/>
        </w:rPr>
        <w:t xml:space="preserve">spółek grupy </w:t>
      </w:r>
      <w:r w:rsidRPr="00A23FB4">
        <w:rPr>
          <w:rFonts w:asciiTheme="minorHAnsi" w:hAnsiTheme="minorHAnsi" w:cstheme="minorHAnsi"/>
        </w:rPr>
        <w:t>Tauron S.A</w:t>
      </w:r>
      <w:r w:rsidR="00654A93" w:rsidRPr="00A23FB4">
        <w:rPr>
          <w:rFonts w:asciiTheme="minorHAnsi" w:hAnsiTheme="minorHAnsi" w:cstheme="minorHAnsi"/>
        </w:rPr>
        <w:t xml:space="preserve"> oraz słupy teleokunikacyjne stanowiące własność ORANGE </w:t>
      </w:r>
      <w:r w:rsidRPr="00A23FB4">
        <w:rPr>
          <w:rFonts w:asciiTheme="minorHAnsi" w:hAnsiTheme="minorHAnsi" w:cstheme="minorHAnsi"/>
        </w:rPr>
        <w:t xml:space="preserve"> i winny być przewiezione </w:t>
      </w:r>
      <w:r w:rsidR="00717A76" w:rsidRPr="00A23FB4">
        <w:rPr>
          <w:rFonts w:asciiTheme="minorHAnsi" w:hAnsiTheme="minorHAnsi" w:cstheme="minorHAnsi"/>
        </w:rPr>
        <w:t>na składowisko wskazane przez</w:t>
      </w:r>
      <w:r w:rsidR="00654A93" w:rsidRPr="00A23FB4">
        <w:rPr>
          <w:rFonts w:asciiTheme="minorHAnsi" w:hAnsiTheme="minorHAnsi" w:cstheme="minorHAnsi"/>
        </w:rPr>
        <w:t>właściciela</w:t>
      </w:r>
      <w:r w:rsidR="00717A76" w:rsidRPr="00A23FB4">
        <w:rPr>
          <w:rFonts w:asciiTheme="minorHAnsi" w:hAnsiTheme="minorHAnsi" w:cstheme="minorHAnsi"/>
        </w:rPr>
        <w:t>i przekazane</w:t>
      </w:r>
      <w:r w:rsidRPr="00A23FB4">
        <w:rPr>
          <w:rFonts w:asciiTheme="minorHAnsi" w:hAnsiTheme="minorHAnsi" w:cstheme="minorHAnsi"/>
        </w:rPr>
        <w:t xml:space="preserve"> za potwierdzeniem odbioru.</w:t>
      </w:r>
    </w:p>
    <w:p w14:paraId="4E914E17" w14:textId="77777777" w:rsidR="00452B98" w:rsidRPr="00A23FB4" w:rsidRDefault="00654A93" w:rsidP="00452B98">
      <w:pPr>
        <w:overflowPunct/>
        <w:textAlignment w:val="auto"/>
        <w:rPr>
          <w:rFonts w:asciiTheme="minorHAnsi" w:hAnsiTheme="minorHAnsi" w:cstheme="minorHAnsi"/>
        </w:rPr>
      </w:pPr>
      <w:r w:rsidRPr="00A23FB4">
        <w:rPr>
          <w:rFonts w:asciiTheme="minorHAnsi" w:hAnsiTheme="minorHAnsi" w:cstheme="minorHAnsi"/>
        </w:rPr>
        <w:t>M</w:t>
      </w:r>
      <w:r w:rsidR="00452B98" w:rsidRPr="00A23FB4">
        <w:rPr>
          <w:rFonts w:asciiTheme="minorHAnsi" w:hAnsiTheme="minorHAnsi" w:cstheme="minorHAnsi"/>
        </w:rPr>
        <w:t>ateriały podlegające utylizacji pozostające własnością Wykonawcy, zostaną zutylizowane zgodnie z przepisami Ustawy z dnia 27 kwietnia 2001 r. o odpadach (tj. Dz. U. z 2007 r. Nr 39, poz. 251, ze zmianami) i rozliczone napodstawie dokumentu potwierdzającego przekazanie materiałów do utylizacji.</w:t>
      </w:r>
    </w:p>
    <w:p w14:paraId="376D94A2" w14:textId="77777777" w:rsidR="00452B98" w:rsidRPr="00A23FB4" w:rsidRDefault="00452B98" w:rsidP="00452B98">
      <w:pPr>
        <w:overflowPunct/>
        <w:textAlignment w:val="auto"/>
        <w:rPr>
          <w:rFonts w:asciiTheme="minorHAnsi" w:hAnsiTheme="minorHAnsi" w:cstheme="minorHAnsi"/>
        </w:rPr>
      </w:pPr>
      <w:r w:rsidRPr="00A23FB4">
        <w:rPr>
          <w:rFonts w:asciiTheme="minorHAnsi" w:hAnsiTheme="minorHAnsi" w:cstheme="minorHAnsi"/>
        </w:rPr>
        <w:t>Decyzję o ewentualnym zakwalifikowaniu materiału z rozbiórki do ponownego wbudowania, po spełnieniuodpowiednich wymagań, podejmuje Inżynier. Wszystkie elementy możliwe do powtórnego wykorzystania powinnybyć rozbierane bez powodowania uszkodzeń.</w:t>
      </w:r>
    </w:p>
    <w:p w14:paraId="01EBE13F" w14:textId="77777777" w:rsidR="00452B98" w:rsidRPr="00A23FB4" w:rsidRDefault="00452B98" w:rsidP="00452B98">
      <w:pPr>
        <w:overflowPunct/>
        <w:textAlignment w:val="auto"/>
        <w:rPr>
          <w:rFonts w:asciiTheme="minorHAnsi" w:hAnsiTheme="minorHAnsi" w:cstheme="minorHAnsi"/>
        </w:rPr>
      </w:pPr>
      <w:r w:rsidRPr="00A23FB4">
        <w:rPr>
          <w:rFonts w:asciiTheme="minorHAnsi" w:hAnsiTheme="minorHAnsi" w:cstheme="minorHAnsi"/>
        </w:rPr>
        <w:t>Doły (wykopy) powstałe po rozbiórce elementów dróg, słupów, znajdujące się w miejscach, gdzie będą wykonanewykopy drogowe, powinny być tymczasowo zabezpieczone. W szczególności należy zapobiec gromadzeniu sięw nich wody opadowej. Doły w miejscach, gdzie nie przewiduje się wykonania wykopów drogowych należy wypełnićwarstwami, odpowiednim gruntem do poziomu otaczającego terenu i zagęścić do uzyskania wskaźnika zagęszczeniaIs ≥ 0,97, badanego zgodnie z BN-77/8931-12, w którym wskaźnik zagęszczenia Is należy określać w porównaniu dowyników otrzymanych wg normalnej próby Proctora przeprowadzonej zgodnie z normą PN</w:t>
      </w:r>
      <w:r w:rsidR="00236601" w:rsidRPr="00A23FB4">
        <w:rPr>
          <w:rFonts w:asciiTheme="minorHAnsi" w:hAnsiTheme="minorHAnsi" w:cstheme="minorHAnsi"/>
        </w:rPr>
        <w:t>-</w:t>
      </w:r>
      <w:r w:rsidRPr="00A23FB4">
        <w:rPr>
          <w:rFonts w:asciiTheme="minorHAnsi" w:hAnsiTheme="minorHAnsi" w:cstheme="minorHAnsi"/>
        </w:rPr>
        <w:t>B-04481:1988. Badanienależy przeprowadzać metodą cylindra wciskanego, objętościomierza piaskowego lub wodnego. Właściwą metodęnależy dobrać do rodzaju gruntu znajdującego się w nasypie.</w:t>
      </w:r>
    </w:p>
    <w:p w14:paraId="512CF1EC" w14:textId="77777777" w:rsidR="00452B98" w:rsidRPr="00A23FB4" w:rsidRDefault="00452B98" w:rsidP="00452B98">
      <w:pPr>
        <w:overflowPunct/>
        <w:textAlignment w:val="auto"/>
        <w:rPr>
          <w:rFonts w:asciiTheme="minorHAnsi" w:hAnsiTheme="minorHAnsi" w:cstheme="minorHAnsi"/>
        </w:rPr>
      </w:pPr>
      <w:r w:rsidRPr="00A23FB4">
        <w:rPr>
          <w:rFonts w:asciiTheme="minorHAnsi" w:hAnsiTheme="minorHAnsi" w:cstheme="minorHAnsi"/>
        </w:rPr>
        <w:t>Załadunek gruzu na środki transportu należy prowadzić za pomocą koparki lub ładowarki. W trakcie przewozu gruzu</w:t>
      </w:r>
    </w:p>
    <w:p w14:paraId="4449C1E1" w14:textId="77777777" w:rsidR="00452B98" w:rsidRPr="00A23FB4" w:rsidRDefault="00452B98" w:rsidP="00452B98">
      <w:pPr>
        <w:overflowPunct/>
        <w:textAlignment w:val="auto"/>
        <w:rPr>
          <w:rFonts w:asciiTheme="minorHAnsi" w:hAnsiTheme="minorHAnsi" w:cstheme="minorHAnsi"/>
        </w:rPr>
      </w:pPr>
      <w:r w:rsidRPr="00A23FB4">
        <w:rPr>
          <w:rFonts w:asciiTheme="minorHAnsi" w:hAnsiTheme="minorHAnsi" w:cstheme="minorHAnsi"/>
        </w:rPr>
        <w:t>Wykonawca ma obowiązek bieżącego utrzymania czystości dróg transportowych.</w:t>
      </w:r>
    </w:p>
    <w:p w14:paraId="5C9FA8BB" w14:textId="77777777" w:rsidR="00452B98" w:rsidRPr="00A23FB4" w:rsidRDefault="00452B98" w:rsidP="00452B98">
      <w:pPr>
        <w:overflowPunct/>
        <w:textAlignment w:val="auto"/>
        <w:rPr>
          <w:rFonts w:asciiTheme="minorHAnsi" w:hAnsiTheme="minorHAnsi" w:cstheme="minorHAnsi"/>
        </w:rPr>
      </w:pPr>
    </w:p>
    <w:p w14:paraId="7418FF86" w14:textId="77777777" w:rsidR="00452B98" w:rsidRPr="00A23FB4" w:rsidRDefault="00452B98" w:rsidP="00452B98">
      <w:pPr>
        <w:pStyle w:val="Nagwek2"/>
        <w:jc w:val="both"/>
        <w:rPr>
          <w:rFonts w:asciiTheme="minorHAnsi" w:hAnsiTheme="minorHAnsi" w:cstheme="minorHAnsi"/>
          <w:sz w:val="20"/>
          <w:szCs w:val="20"/>
        </w:rPr>
      </w:pPr>
      <w:r w:rsidRPr="00A23FB4">
        <w:rPr>
          <w:rFonts w:asciiTheme="minorHAnsi" w:hAnsiTheme="minorHAnsi" w:cstheme="minorHAnsi"/>
          <w:sz w:val="20"/>
          <w:szCs w:val="20"/>
        </w:rPr>
        <w:t>6. KONTROLA JAKOŚCI ROBÓT</w:t>
      </w:r>
    </w:p>
    <w:p w14:paraId="7E0F9F9A" w14:textId="77777777" w:rsidR="00452B98" w:rsidRPr="00A23FB4" w:rsidRDefault="00452B98" w:rsidP="00452B98">
      <w:pPr>
        <w:pStyle w:val="Nagwek3"/>
        <w:rPr>
          <w:rFonts w:asciiTheme="minorHAnsi" w:hAnsiTheme="minorHAnsi" w:cstheme="minorHAnsi"/>
        </w:rPr>
      </w:pPr>
      <w:r w:rsidRPr="00A23FB4">
        <w:rPr>
          <w:rFonts w:asciiTheme="minorHAnsi" w:hAnsiTheme="minorHAnsi" w:cstheme="minorHAnsi"/>
        </w:rPr>
        <w:t xml:space="preserve">6.1. </w:t>
      </w:r>
      <w:r w:rsidR="00B51FFB" w:rsidRPr="00A23FB4">
        <w:rPr>
          <w:rFonts w:asciiTheme="minorHAnsi" w:hAnsiTheme="minorHAnsi" w:cstheme="minorHAnsi"/>
          <w:caps w:val="0"/>
        </w:rPr>
        <w:t>Ogólne zasady kontroli jakości robót</w:t>
      </w:r>
    </w:p>
    <w:p w14:paraId="386AD4C0" w14:textId="411065E9" w:rsidR="00452B98" w:rsidRPr="00A23FB4" w:rsidRDefault="00452B98" w:rsidP="00452B98">
      <w:pPr>
        <w:overflowPunct/>
        <w:textAlignment w:val="auto"/>
        <w:rPr>
          <w:rFonts w:asciiTheme="minorHAnsi" w:hAnsiTheme="minorHAnsi" w:cstheme="minorHAnsi"/>
        </w:rPr>
      </w:pPr>
      <w:r w:rsidRPr="00A23FB4">
        <w:rPr>
          <w:rFonts w:asciiTheme="minorHAnsi" w:hAnsiTheme="minorHAnsi" w:cstheme="minorHAnsi"/>
        </w:rPr>
        <w:t xml:space="preserve">Ogólne zasady kontroli jakości Robót podano w </w:t>
      </w:r>
      <w:r w:rsidR="006F4B9D">
        <w:rPr>
          <w:rFonts w:asciiTheme="minorHAnsi" w:hAnsiTheme="minorHAnsi" w:cstheme="minorHAnsi"/>
        </w:rPr>
        <w:t>ST</w:t>
      </w:r>
      <w:r w:rsidRPr="00A23FB4">
        <w:rPr>
          <w:rFonts w:asciiTheme="minorHAnsi" w:hAnsiTheme="minorHAnsi" w:cstheme="minorHAnsi"/>
        </w:rPr>
        <w:t>WiORB DM.00.00.00 „Wymagania ogólne” p.6.</w:t>
      </w:r>
    </w:p>
    <w:p w14:paraId="7570A2B0" w14:textId="77777777" w:rsidR="00452B98" w:rsidRPr="00A23FB4" w:rsidRDefault="00452B98" w:rsidP="00452B98">
      <w:pPr>
        <w:pStyle w:val="Nagwek3"/>
        <w:rPr>
          <w:rFonts w:asciiTheme="minorHAnsi" w:hAnsiTheme="minorHAnsi" w:cstheme="minorHAnsi"/>
        </w:rPr>
      </w:pPr>
      <w:r w:rsidRPr="00A23FB4">
        <w:rPr>
          <w:rFonts w:asciiTheme="minorHAnsi" w:hAnsiTheme="minorHAnsi" w:cstheme="minorHAnsi"/>
        </w:rPr>
        <w:t xml:space="preserve">6.2. </w:t>
      </w:r>
      <w:r w:rsidR="00B51FFB" w:rsidRPr="00A23FB4">
        <w:rPr>
          <w:rFonts w:asciiTheme="minorHAnsi" w:hAnsiTheme="minorHAnsi" w:cstheme="minorHAnsi"/>
          <w:caps w:val="0"/>
        </w:rPr>
        <w:t>Kontrola jakości</w:t>
      </w:r>
    </w:p>
    <w:p w14:paraId="7D1E2B13" w14:textId="77777777" w:rsidR="00452B98" w:rsidRPr="00A23FB4" w:rsidRDefault="00452B98" w:rsidP="00452B98">
      <w:pPr>
        <w:overflowPunct/>
        <w:textAlignment w:val="auto"/>
        <w:rPr>
          <w:rFonts w:asciiTheme="minorHAnsi" w:hAnsiTheme="minorHAnsi" w:cstheme="minorHAnsi"/>
        </w:rPr>
      </w:pPr>
      <w:r w:rsidRPr="00A23FB4">
        <w:rPr>
          <w:rFonts w:asciiTheme="minorHAnsi" w:hAnsiTheme="minorHAnsi" w:cstheme="minorHAnsi"/>
        </w:rPr>
        <w:t>Kontrola jakości wykonanych Robót rozbiórkowych polega na wizualnej ocenie kompletności wykonanych robót orazwywozu gruzu z miejsca budowy, jak również sprawdzeniu stopnia uszkodzenia elementów przewidzianych dopowtórnego wykorzystania.</w:t>
      </w:r>
    </w:p>
    <w:p w14:paraId="096782E6" w14:textId="77777777" w:rsidR="00452B98" w:rsidRPr="00A23FB4" w:rsidRDefault="00452B98" w:rsidP="00452B98">
      <w:pPr>
        <w:overflowPunct/>
        <w:textAlignment w:val="auto"/>
        <w:rPr>
          <w:rFonts w:asciiTheme="minorHAnsi" w:hAnsiTheme="minorHAnsi" w:cstheme="minorHAnsi"/>
        </w:rPr>
      </w:pPr>
      <w:r w:rsidRPr="00A23FB4">
        <w:rPr>
          <w:rFonts w:asciiTheme="minorHAnsi" w:hAnsiTheme="minorHAnsi" w:cstheme="minorHAnsi"/>
        </w:rPr>
        <w:t>Zagęszczenie gruntu wypełniającego ewentualne doły po usuniętych elementach powinno spełniać wymagania</w:t>
      </w:r>
    </w:p>
    <w:p w14:paraId="631562EE" w14:textId="0D7A21C3" w:rsidR="00452B98" w:rsidRPr="00A23FB4" w:rsidRDefault="00452B98" w:rsidP="00452B98">
      <w:pPr>
        <w:overflowPunct/>
        <w:textAlignment w:val="auto"/>
        <w:rPr>
          <w:rFonts w:asciiTheme="minorHAnsi" w:hAnsiTheme="minorHAnsi" w:cstheme="minorHAnsi"/>
        </w:rPr>
      </w:pPr>
      <w:r w:rsidRPr="00A23FB4">
        <w:rPr>
          <w:rFonts w:asciiTheme="minorHAnsi" w:hAnsiTheme="minorHAnsi" w:cstheme="minorHAnsi"/>
        </w:rPr>
        <w:t xml:space="preserve">określone w p.5.2 niniejszych </w:t>
      </w:r>
      <w:r w:rsidR="006F4B9D">
        <w:rPr>
          <w:rFonts w:asciiTheme="minorHAnsi" w:hAnsiTheme="minorHAnsi" w:cstheme="minorHAnsi"/>
        </w:rPr>
        <w:t>ST</w:t>
      </w:r>
      <w:r w:rsidRPr="00A23FB4">
        <w:rPr>
          <w:rFonts w:asciiTheme="minorHAnsi" w:hAnsiTheme="minorHAnsi" w:cstheme="minorHAnsi"/>
        </w:rPr>
        <w:t>WiORB.</w:t>
      </w:r>
    </w:p>
    <w:p w14:paraId="46813933" w14:textId="77777777" w:rsidR="00452B98" w:rsidRPr="00A23FB4" w:rsidRDefault="00452B98" w:rsidP="00452B98">
      <w:pPr>
        <w:overflowPunct/>
        <w:textAlignment w:val="auto"/>
        <w:rPr>
          <w:rFonts w:asciiTheme="minorHAnsi" w:hAnsiTheme="minorHAnsi" w:cstheme="minorHAnsi"/>
        </w:rPr>
      </w:pPr>
    </w:p>
    <w:p w14:paraId="667C3337" w14:textId="77777777" w:rsidR="00452B98" w:rsidRPr="00A23FB4" w:rsidRDefault="00452B98" w:rsidP="00452B98">
      <w:pPr>
        <w:overflowPunct/>
        <w:textAlignment w:val="auto"/>
        <w:rPr>
          <w:rFonts w:asciiTheme="minorHAnsi" w:hAnsiTheme="minorHAnsi" w:cstheme="minorHAnsi"/>
          <w:b/>
        </w:rPr>
      </w:pPr>
      <w:r w:rsidRPr="00A23FB4">
        <w:rPr>
          <w:rFonts w:asciiTheme="minorHAnsi" w:hAnsiTheme="minorHAnsi" w:cstheme="minorHAnsi"/>
          <w:b/>
        </w:rPr>
        <w:t>7. OBMIAR ROBÓT</w:t>
      </w:r>
    </w:p>
    <w:p w14:paraId="2C4FDA61" w14:textId="77777777" w:rsidR="001A73F7" w:rsidRDefault="001A73F7" w:rsidP="001A73F7">
      <w:pPr>
        <w:numPr>
          <w:ilvl w:val="12"/>
          <w:numId w:val="0"/>
        </w:numPr>
        <w:tabs>
          <w:tab w:val="left" w:pos="0"/>
          <w:tab w:val="left" w:pos="9914"/>
        </w:tabs>
        <w:rPr>
          <w:rFonts w:ascii="Calibri" w:hAnsi="Calibri" w:cs="Calibri"/>
        </w:rPr>
      </w:pPr>
    </w:p>
    <w:p w14:paraId="0D29EC6F" w14:textId="1C600FEE" w:rsidR="001A73F7" w:rsidRDefault="001A73F7" w:rsidP="001A73F7">
      <w:pPr>
        <w:numPr>
          <w:ilvl w:val="12"/>
          <w:numId w:val="0"/>
        </w:numPr>
        <w:tabs>
          <w:tab w:val="left" w:pos="0"/>
          <w:tab w:val="left" w:pos="9914"/>
        </w:tabs>
        <w:rPr>
          <w:rFonts w:ascii="Calibri" w:hAnsi="Calibri" w:cs="Calibri"/>
        </w:rPr>
      </w:pPr>
      <w:r>
        <w:rPr>
          <w:rFonts w:ascii="Calibri" w:hAnsi="Calibri" w:cs="Calibri"/>
        </w:rPr>
        <w:t>Kontrakt ryczałtowy</w:t>
      </w:r>
    </w:p>
    <w:p w14:paraId="45C5AF14" w14:textId="546AE828" w:rsidR="00452B98" w:rsidRPr="00A23FB4" w:rsidRDefault="00452B98" w:rsidP="00452B98">
      <w:pPr>
        <w:overflowPunct/>
        <w:textAlignment w:val="auto"/>
        <w:rPr>
          <w:rFonts w:asciiTheme="minorHAnsi" w:hAnsiTheme="minorHAnsi" w:cstheme="minorHAnsi"/>
        </w:rPr>
      </w:pPr>
      <w:r w:rsidRPr="00A23FB4">
        <w:rPr>
          <w:rFonts w:asciiTheme="minorHAnsi" w:hAnsiTheme="minorHAnsi" w:cstheme="minorHAnsi"/>
        </w:rPr>
        <w:t xml:space="preserve">Ogólne zasady obmiaru Robót podano w </w:t>
      </w:r>
      <w:r w:rsidR="006F4B9D">
        <w:rPr>
          <w:rFonts w:asciiTheme="minorHAnsi" w:hAnsiTheme="minorHAnsi" w:cstheme="minorHAnsi"/>
        </w:rPr>
        <w:t>ST</w:t>
      </w:r>
      <w:r w:rsidRPr="00A23FB4">
        <w:rPr>
          <w:rFonts w:asciiTheme="minorHAnsi" w:hAnsiTheme="minorHAnsi" w:cstheme="minorHAnsi"/>
        </w:rPr>
        <w:t>WiORB DM.00.00.00 „Wymagania ogólne” p.7.</w:t>
      </w:r>
    </w:p>
    <w:p w14:paraId="4BDA73E6" w14:textId="77777777" w:rsidR="00452B98" w:rsidRPr="00A23FB4" w:rsidRDefault="00452B98" w:rsidP="00452B98">
      <w:pPr>
        <w:overflowPunct/>
        <w:textAlignment w:val="auto"/>
        <w:rPr>
          <w:rFonts w:asciiTheme="minorHAnsi" w:hAnsiTheme="minorHAnsi" w:cstheme="minorHAnsi"/>
        </w:rPr>
      </w:pPr>
    </w:p>
    <w:p w14:paraId="169D0C09" w14:textId="77777777" w:rsidR="00452B98" w:rsidRPr="00A23FB4" w:rsidRDefault="00452B98" w:rsidP="00452B98">
      <w:pPr>
        <w:overflowPunct/>
        <w:textAlignment w:val="auto"/>
        <w:rPr>
          <w:rFonts w:asciiTheme="minorHAnsi" w:hAnsiTheme="minorHAnsi" w:cstheme="minorHAnsi"/>
          <w:b/>
        </w:rPr>
      </w:pPr>
      <w:r w:rsidRPr="00A23FB4">
        <w:rPr>
          <w:rFonts w:asciiTheme="minorHAnsi" w:hAnsiTheme="minorHAnsi" w:cstheme="minorHAnsi"/>
          <w:b/>
        </w:rPr>
        <w:t>8. ODBIÓR ROBÓT</w:t>
      </w:r>
    </w:p>
    <w:p w14:paraId="21E361B4" w14:textId="25325D0F" w:rsidR="00452B98" w:rsidRPr="00A23FB4" w:rsidRDefault="00452B98" w:rsidP="00452B98">
      <w:pPr>
        <w:overflowPunct/>
        <w:textAlignment w:val="auto"/>
        <w:rPr>
          <w:rFonts w:asciiTheme="minorHAnsi" w:hAnsiTheme="minorHAnsi" w:cstheme="minorHAnsi"/>
        </w:rPr>
      </w:pPr>
      <w:r w:rsidRPr="00A23FB4">
        <w:rPr>
          <w:rFonts w:asciiTheme="minorHAnsi" w:hAnsiTheme="minorHAnsi" w:cstheme="minorHAnsi"/>
        </w:rPr>
        <w:t xml:space="preserve">Ogólne zasady odbioru Robót podano w </w:t>
      </w:r>
      <w:r w:rsidR="006F4B9D">
        <w:rPr>
          <w:rFonts w:asciiTheme="minorHAnsi" w:hAnsiTheme="minorHAnsi" w:cstheme="minorHAnsi"/>
        </w:rPr>
        <w:t>ST</w:t>
      </w:r>
      <w:r w:rsidRPr="00A23FB4">
        <w:rPr>
          <w:rFonts w:asciiTheme="minorHAnsi" w:hAnsiTheme="minorHAnsi" w:cstheme="minorHAnsi"/>
        </w:rPr>
        <w:t>WiORB DM.00.00.00 „Wymagania ogólne” p.8.</w:t>
      </w:r>
    </w:p>
    <w:p w14:paraId="2B280537" w14:textId="77777777" w:rsidR="00452B98" w:rsidRPr="00A23FB4" w:rsidRDefault="00452B98" w:rsidP="00452B98">
      <w:pPr>
        <w:overflowPunct/>
        <w:textAlignment w:val="auto"/>
        <w:rPr>
          <w:rFonts w:asciiTheme="minorHAnsi" w:hAnsiTheme="minorHAnsi" w:cstheme="minorHAnsi"/>
        </w:rPr>
      </w:pPr>
    </w:p>
    <w:p w14:paraId="395CEC1E" w14:textId="77777777" w:rsidR="00452B98" w:rsidRPr="00A23FB4" w:rsidRDefault="00452B98" w:rsidP="00452B98">
      <w:pPr>
        <w:overflowPunct/>
        <w:textAlignment w:val="auto"/>
        <w:rPr>
          <w:rFonts w:asciiTheme="minorHAnsi" w:hAnsiTheme="minorHAnsi" w:cstheme="minorHAnsi"/>
          <w:b/>
        </w:rPr>
      </w:pPr>
      <w:r w:rsidRPr="00A23FB4">
        <w:rPr>
          <w:rFonts w:asciiTheme="minorHAnsi" w:hAnsiTheme="minorHAnsi" w:cstheme="minorHAnsi"/>
          <w:b/>
        </w:rPr>
        <w:t>9. PODSTAWA PŁATNOŚCI</w:t>
      </w:r>
    </w:p>
    <w:p w14:paraId="6778E788" w14:textId="77777777" w:rsidR="001A73F7" w:rsidRDefault="001A73F7" w:rsidP="00452B98">
      <w:pPr>
        <w:overflowPunct/>
        <w:textAlignment w:val="auto"/>
        <w:rPr>
          <w:rFonts w:asciiTheme="minorHAnsi" w:hAnsiTheme="minorHAnsi" w:cstheme="minorHAnsi"/>
        </w:rPr>
      </w:pPr>
    </w:p>
    <w:p w14:paraId="3CDB0C45" w14:textId="0E798891" w:rsidR="00452B98" w:rsidRPr="00A23FB4" w:rsidRDefault="00452B98" w:rsidP="00452B98">
      <w:pPr>
        <w:overflowPunct/>
        <w:textAlignment w:val="auto"/>
        <w:rPr>
          <w:rFonts w:asciiTheme="minorHAnsi" w:hAnsiTheme="minorHAnsi" w:cstheme="minorHAnsi"/>
        </w:rPr>
      </w:pPr>
      <w:r w:rsidRPr="00A23FB4">
        <w:rPr>
          <w:rFonts w:asciiTheme="minorHAnsi" w:hAnsiTheme="minorHAnsi" w:cstheme="minorHAnsi"/>
        </w:rPr>
        <w:t>Wynagrodzenia ryczałtowe: zasady płatności podano w umowie między Zamawiającym, a Wykonawcą.</w:t>
      </w:r>
    </w:p>
    <w:p w14:paraId="3A7296F2" w14:textId="4AC352EA" w:rsidR="00452B98" w:rsidRPr="00A23FB4" w:rsidRDefault="00452B98" w:rsidP="00452B98">
      <w:pPr>
        <w:overflowPunct/>
        <w:textAlignment w:val="auto"/>
        <w:rPr>
          <w:rFonts w:asciiTheme="minorHAnsi" w:hAnsiTheme="minorHAnsi" w:cstheme="minorHAnsi"/>
        </w:rPr>
      </w:pPr>
      <w:r w:rsidRPr="00A23FB4">
        <w:rPr>
          <w:rFonts w:asciiTheme="minorHAnsi" w:hAnsiTheme="minorHAnsi" w:cstheme="minorHAnsi"/>
        </w:rPr>
        <w:t xml:space="preserve">Ogólne zasady płatności podano w </w:t>
      </w:r>
      <w:r w:rsidR="006F4B9D">
        <w:rPr>
          <w:rFonts w:asciiTheme="minorHAnsi" w:hAnsiTheme="minorHAnsi" w:cstheme="minorHAnsi"/>
        </w:rPr>
        <w:t>ST</w:t>
      </w:r>
      <w:r w:rsidRPr="00A23FB4">
        <w:rPr>
          <w:rFonts w:asciiTheme="minorHAnsi" w:hAnsiTheme="minorHAnsi" w:cstheme="minorHAnsi"/>
        </w:rPr>
        <w:t>WiORB DM.00.00.00 „Wymagania ogólne” p.9.</w:t>
      </w:r>
    </w:p>
    <w:p w14:paraId="5915A09F" w14:textId="77777777" w:rsidR="00452B98" w:rsidRPr="00A23FB4" w:rsidRDefault="00452B98" w:rsidP="00452B98">
      <w:pPr>
        <w:overflowPunct/>
        <w:textAlignment w:val="auto"/>
        <w:rPr>
          <w:rFonts w:asciiTheme="minorHAnsi" w:hAnsiTheme="minorHAnsi" w:cstheme="minorHAnsi"/>
        </w:rPr>
      </w:pPr>
    </w:p>
    <w:p w14:paraId="2DBFE461" w14:textId="77777777" w:rsidR="00452B98" w:rsidRPr="00A23FB4" w:rsidRDefault="00452B98" w:rsidP="00452B98">
      <w:pPr>
        <w:overflowPunct/>
        <w:textAlignment w:val="auto"/>
        <w:rPr>
          <w:rFonts w:asciiTheme="minorHAnsi" w:hAnsiTheme="minorHAnsi" w:cstheme="minorHAnsi"/>
          <w:b/>
        </w:rPr>
      </w:pPr>
      <w:r w:rsidRPr="00A23FB4">
        <w:rPr>
          <w:rFonts w:asciiTheme="minorHAnsi" w:hAnsiTheme="minorHAnsi" w:cstheme="minorHAnsi"/>
          <w:b/>
        </w:rPr>
        <w:t>10. PRZEPISY ZWIĄZANE</w:t>
      </w:r>
    </w:p>
    <w:p w14:paraId="35A9374E" w14:textId="77777777" w:rsidR="00452B98" w:rsidRPr="00C86F6B" w:rsidRDefault="00452B98" w:rsidP="00452B98">
      <w:pPr>
        <w:overflowPunct/>
        <w:textAlignment w:val="auto"/>
        <w:rPr>
          <w:rFonts w:asciiTheme="minorHAnsi" w:hAnsiTheme="minorHAnsi" w:cstheme="minorHAnsi"/>
          <w:sz w:val="18"/>
          <w:szCs w:val="18"/>
        </w:rPr>
      </w:pPr>
      <w:r w:rsidRPr="00C86F6B">
        <w:rPr>
          <w:rFonts w:asciiTheme="minorHAnsi" w:hAnsiTheme="minorHAnsi" w:cstheme="minorHAnsi"/>
          <w:sz w:val="18"/>
          <w:szCs w:val="18"/>
        </w:rPr>
        <w:t>1. Ustawa z dnia 27.04.2001 r. – Prawo ochrony środowiska. (Dz. U. Nr 2008.25.150),</w:t>
      </w:r>
    </w:p>
    <w:p w14:paraId="37BB6B8D" w14:textId="77777777" w:rsidR="00452B98" w:rsidRPr="00C86F6B" w:rsidRDefault="00452B98" w:rsidP="00452B98">
      <w:pPr>
        <w:rPr>
          <w:rFonts w:asciiTheme="minorHAnsi" w:hAnsiTheme="minorHAnsi" w:cstheme="minorHAnsi"/>
          <w:sz w:val="18"/>
          <w:szCs w:val="18"/>
        </w:rPr>
      </w:pPr>
      <w:r w:rsidRPr="00C86F6B">
        <w:rPr>
          <w:rFonts w:asciiTheme="minorHAnsi" w:hAnsiTheme="minorHAnsi" w:cstheme="minorHAnsi"/>
          <w:sz w:val="18"/>
          <w:szCs w:val="18"/>
        </w:rPr>
        <w:t>2. Ustawa z dnia 27.04.2001 r. – O odpadach (Dz. U. z 2007r. nr39 poz.251) wraz z późniejszymi zmianami.</w:t>
      </w:r>
    </w:p>
    <w:p w14:paraId="2C19CD40" w14:textId="77777777" w:rsidR="00452B98" w:rsidRPr="00A23FB4" w:rsidRDefault="00452B98" w:rsidP="00452B98">
      <w:pPr>
        <w:rPr>
          <w:rFonts w:asciiTheme="minorHAnsi" w:hAnsiTheme="minorHAnsi" w:cstheme="minorHAnsi"/>
          <w:b/>
          <w:bCs/>
          <w:sz w:val="28"/>
          <w:szCs w:val="28"/>
        </w:rPr>
      </w:pPr>
    </w:p>
    <w:p w14:paraId="74E3DF99" w14:textId="77777777" w:rsidR="007D6030" w:rsidRPr="00A23FB4" w:rsidRDefault="007D6030">
      <w:pPr>
        <w:overflowPunct/>
        <w:autoSpaceDE/>
        <w:autoSpaceDN/>
        <w:adjustRightInd/>
        <w:jc w:val="left"/>
        <w:textAlignment w:val="auto"/>
        <w:rPr>
          <w:rFonts w:ascii="Calibri" w:hAnsi="Calibri" w:cs="Calibri"/>
          <w:b/>
          <w:sz w:val="22"/>
          <w:szCs w:val="22"/>
        </w:rPr>
      </w:pPr>
      <w:r w:rsidRPr="00A23FB4">
        <w:rPr>
          <w:rFonts w:ascii="Calibri" w:hAnsi="Calibri" w:cs="Calibri"/>
          <w:b/>
          <w:sz w:val="22"/>
          <w:szCs w:val="22"/>
        </w:rPr>
        <w:br w:type="page"/>
      </w:r>
    </w:p>
    <w:p w14:paraId="6505D822" w14:textId="3044304A" w:rsidR="00C17D59" w:rsidRPr="00A23FB4" w:rsidRDefault="00C17D59">
      <w:pPr>
        <w:overflowPunct/>
        <w:autoSpaceDE/>
        <w:autoSpaceDN/>
        <w:adjustRightInd/>
        <w:jc w:val="left"/>
        <w:textAlignment w:val="auto"/>
        <w:rPr>
          <w:rFonts w:ascii="Calibri" w:hAnsi="Calibri" w:cs="Calibri"/>
          <w:b/>
          <w:sz w:val="22"/>
          <w:szCs w:val="22"/>
        </w:rPr>
      </w:pPr>
    </w:p>
    <w:p w14:paraId="2C416B64" w14:textId="6DFA985F" w:rsidR="00A74742" w:rsidRPr="00A23FB4" w:rsidRDefault="00F2625C" w:rsidP="00A74742">
      <w:pPr>
        <w:pStyle w:val="Standardowytekst"/>
        <w:spacing w:line="360" w:lineRule="auto"/>
        <w:jc w:val="center"/>
        <w:rPr>
          <w:rFonts w:ascii="Calibri" w:hAnsi="Calibri" w:cs="Calibri"/>
          <w:b/>
          <w:sz w:val="22"/>
          <w:szCs w:val="22"/>
        </w:rPr>
      </w:pPr>
      <w:r>
        <w:rPr>
          <w:rFonts w:ascii="Calibri" w:hAnsi="Calibri" w:cs="Calibri"/>
          <w:b/>
          <w:sz w:val="22"/>
          <w:szCs w:val="22"/>
        </w:rPr>
        <w:t>SZCZEGÓŁOWE SPECYFIKACJE TECHNICZNE</w:t>
      </w:r>
      <w:r w:rsidR="00A74742" w:rsidRPr="00A23FB4">
        <w:rPr>
          <w:rFonts w:ascii="Calibri" w:hAnsi="Calibri" w:cs="Calibri"/>
          <w:b/>
          <w:sz w:val="22"/>
          <w:szCs w:val="22"/>
        </w:rPr>
        <w:t xml:space="preserve"> WYKONYWANIA I ODBIORU ROBÓT BUDOWLANYCH</w:t>
      </w:r>
    </w:p>
    <w:p w14:paraId="64C1A967" w14:textId="77777777" w:rsidR="00A74742" w:rsidRPr="00A23FB4" w:rsidRDefault="00A74742" w:rsidP="00A74742">
      <w:pPr>
        <w:pStyle w:val="Nagowek1"/>
        <w:spacing w:before="0"/>
      </w:pPr>
      <w:bookmarkStart w:id="51" w:name="_Toc296923098"/>
      <w:bookmarkStart w:id="52" w:name="_Toc333441661"/>
      <w:bookmarkStart w:id="53" w:name="_Toc333657238"/>
      <w:bookmarkStart w:id="54" w:name="_Toc334095423"/>
      <w:bookmarkStart w:id="55" w:name="_Toc352837481"/>
      <w:bookmarkStart w:id="56" w:name="_Toc460177602"/>
      <w:bookmarkStart w:id="57" w:name="_Toc206275469"/>
      <w:r w:rsidRPr="00A23FB4">
        <w:t>D-01.02.05 FREZOWANIE NAWIERZCHNI ASFALTOWYCH NA ZIMNO</w:t>
      </w:r>
      <w:bookmarkEnd w:id="51"/>
      <w:bookmarkEnd w:id="52"/>
      <w:bookmarkEnd w:id="53"/>
      <w:bookmarkEnd w:id="54"/>
      <w:bookmarkEnd w:id="55"/>
      <w:bookmarkEnd w:id="56"/>
      <w:bookmarkEnd w:id="57"/>
    </w:p>
    <w:p w14:paraId="748CB898" w14:textId="77777777" w:rsidR="00A74742" w:rsidRPr="00A23FB4" w:rsidRDefault="00A74742" w:rsidP="00A74742">
      <w:pPr>
        <w:rPr>
          <w:rFonts w:ascii="Calibri" w:hAnsi="Calibri" w:cs="Calibri"/>
          <w:b/>
        </w:rPr>
      </w:pPr>
    </w:p>
    <w:p w14:paraId="559299CD" w14:textId="77777777" w:rsidR="00A74742" w:rsidRPr="00A23FB4" w:rsidRDefault="00A74742" w:rsidP="00A74742">
      <w:pPr>
        <w:rPr>
          <w:rFonts w:ascii="Calibri" w:hAnsi="Calibri" w:cs="Calibri"/>
          <w:b/>
        </w:rPr>
      </w:pPr>
      <w:r w:rsidRPr="00A23FB4">
        <w:rPr>
          <w:rFonts w:ascii="Calibri" w:hAnsi="Calibri" w:cs="Calibri"/>
          <w:b/>
        </w:rPr>
        <w:t>1. WSTĘP</w:t>
      </w:r>
    </w:p>
    <w:p w14:paraId="74232D9A" w14:textId="139FEEC3" w:rsidR="00A74742" w:rsidRPr="00A23FB4" w:rsidRDefault="00A74742" w:rsidP="00A74742">
      <w:pPr>
        <w:pStyle w:val="Nagwek4"/>
        <w:tabs>
          <w:tab w:val="left" w:pos="9914"/>
        </w:tabs>
        <w:rPr>
          <w:rFonts w:ascii="Calibri" w:hAnsi="Calibri" w:cs="Calibri"/>
        </w:rPr>
      </w:pPr>
      <w:r w:rsidRPr="00A23FB4">
        <w:rPr>
          <w:rFonts w:ascii="Calibri" w:hAnsi="Calibri" w:cs="Calibri"/>
        </w:rPr>
        <w:t xml:space="preserve">1.1. Przedmiot </w:t>
      </w:r>
      <w:r w:rsidR="006F4B9D">
        <w:rPr>
          <w:rFonts w:ascii="Calibri" w:hAnsi="Calibri" w:cs="Calibri"/>
        </w:rPr>
        <w:t>ST</w:t>
      </w:r>
      <w:r w:rsidRPr="00A23FB4">
        <w:rPr>
          <w:rFonts w:ascii="Calibri" w:hAnsi="Calibri" w:cs="Calibri"/>
        </w:rPr>
        <w:t>WiORB</w:t>
      </w:r>
    </w:p>
    <w:p w14:paraId="04996EE0" w14:textId="77AD7D67" w:rsidR="00A74742" w:rsidRPr="00A23FB4" w:rsidRDefault="00A74742" w:rsidP="00A74742">
      <w:pPr>
        <w:pStyle w:val="Standardowytekst"/>
        <w:tabs>
          <w:tab w:val="left" w:pos="9914"/>
        </w:tabs>
        <w:rPr>
          <w:rFonts w:ascii="Calibri" w:hAnsi="Calibri" w:cs="Calibri"/>
        </w:rPr>
      </w:pPr>
      <w:r w:rsidRPr="00A23FB4">
        <w:rPr>
          <w:rFonts w:ascii="Calibri" w:hAnsi="Calibri" w:cs="Calibri"/>
        </w:rPr>
        <w:t>Przedmiotem niniejsz</w:t>
      </w:r>
      <w:r w:rsidR="001A73F7">
        <w:rPr>
          <w:rFonts w:ascii="Calibri" w:hAnsi="Calibri" w:cs="Calibri"/>
        </w:rPr>
        <w:t>ej</w:t>
      </w:r>
      <w:r w:rsidRPr="00A23FB4">
        <w:rPr>
          <w:rFonts w:ascii="Calibri" w:hAnsi="Calibri" w:cs="Calibri"/>
        </w:rPr>
        <w:t xml:space="preserve"> </w:t>
      </w:r>
      <w:r w:rsidR="00F2625C">
        <w:rPr>
          <w:rFonts w:ascii="Calibri" w:hAnsi="Calibri" w:cs="Calibri"/>
        </w:rPr>
        <w:t>specyfikacji</w:t>
      </w:r>
      <w:r w:rsidRPr="00A23FB4">
        <w:rPr>
          <w:rFonts w:ascii="Calibri" w:hAnsi="Calibri" w:cs="Calibri"/>
        </w:rPr>
        <w:t xml:space="preserve"> są wymagania dotyczące wykonania i odbioru robót związanych </w:t>
      </w:r>
      <w:r w:rsidRPr="00A23FB4">
        <w:rPr>
          <w:rFonts w:ascii="Calibri" w:hAnsi="Calibri" w:cs="Calibri"/>
        </w:rPr>
        <w:br/>
        <w:t>z frezowaniem nawierzchni asfaltowych na zimno i zagospodarowaniem destruktu.</w:t>
      </w:r>
    </w:p>
    <w:p w14:paraId="0D3F39A8" w14:textId="4B4A8F01" w:rsidR="00A74742" w:rsidRPr="00A23FB4" w:rsidRDefault="00A74742" w:rsidP="00A74742">
      <w:pPr>
        <w:pStyle w:val="Nagwek4"/>
        <w:tabs>
          <w:tab w:val="left" w:pos="9914"/>
        </w:tabs>
        <w:rPr>
          <w:rFonts w:ascii="Calibri" w:hAnsi="Calibri" w:cs="Calibri"/>
        </w:rPr>
      </w:pPr>
      <w:r w:rsidRPr="00A23FB4">
        <w:rPr>
          <w:rFonts w:ascii="Calibri" w:hAnsi="Calibri" w:cs="Calibri"/>
        </w:rPr>
        <w:t xml:space="preserve">1.2. Zakres stosowania </w:t>
      </w:r>
      <w:r w:rsidR="006F4B9D">
        <w:rPr>
          <w:rFonts w:ascii="Calibri" w:hAnsi="Calibri" w:cs="Calibri"/>
        </w:rPr>
        <w:t>ST</w:t>
      </w:r>
      <w:r w:rsidRPr="00A23FB4">
        <w:rPr>
          <w:rFonts w:ascii="Calibri" w:hAnsi="Calibri" w:cs="Calibri"/>
        </w:rPr>
        <w:t>WiORB</w:t>
      </w:r>
    </w:p>
    <w:p w14:paraId="7AD0F76F" w14:textId="48F92258" w:rsidR="00CF795A" w:rsidRPr="006F4B9D" w:rsidRDefault="00575C66" w:rsidP="00CF795A">
      <w:pPr>
        <w:overflowPunct/>
        <w:spacing w:before="240" w:line="276" w:lineRule="auto"/>
        <w:textAlignment w:val="auto"/>
        <w:rPr>
          <w:rFonts w:ascii="Calibri" w:hAnsi="Calibri" w:cs="Calibri"/>
          <w:i/>
        </w:rPr>
      </w:pPr>
      <w:r>
        <w:rPr>
          <w:rFonts w:ascii="Calibri" w:hAnsi="Calibri" w:cs="Calibri"/>
        </w:rPr>
        <w:t>Specyfikacj</w:t>
      </w:r>
      <w:r w:rsidR="001A73F7">
        <w:rPr>
          <w:rFonts w:ascii="Calibri" w:hAnsi="Calibri" w:cs="Calibri"/>
        </w:rPr>
        <w:t>a</w:t>
      </w:r>
      <w:r w:rsidRPr="00A23FB4">
        <w:rPr>
          <w:rFonts w:ascii="Calibri" w:hAnsi="Calibri" w:cs="Calibri"/>
        </w:rPr>
        <w:t xml:space="preserve"> </w:t>
      </w:r>
      <w:r w:rsidR="00A74742" w:rsidRPr="00A23FB4">
        <w:rPr>
          <w:rFonts w:ascii="Calibri" w:hAnsi="Calibri" w:cs="Calibri"/>
        </w:rPr>
        <w:t>stanowi dokument kontraktowy przy realizacji  zadania</w:t>
      </w:r>
      <w:r w:rsidR="00A66985" w:rsidRPr="00A23FB4">
        <w:rPr>
          <w:rFonts w:asciiTheme="minorHAnsi" w:hAnsiTheme="minorHAnsi" w:cstheme="minorHAnsi"/>
          <w:bCs/>
        </w:rPr>
        <w:t xml:space="preserve"> </w:t>
      </w:r>
      <w:r w:rsidR="00506838">
        <w:rPr>
          <w:rFonts w:ascii="Calibri" w:hAnsi="Calibri" w:cs="Calibri"/>
        </w:rPr>
        <w:t>„</w:t>
      </w:r>
      <w:r w:rsidR="006F4B9D" w:rsidRPr="006F4B9D">
        <w:rPr>
          <w:rFonts w:ascii="Calibri" w:hAnsi="Calibri" w:cs="Calibri"/>
          <w:i/>
        </w:rPr>
        <w:t>Rozbudowa ul. Wrocławskiej w ciągu drogi powiatowej w Tyńcu Małym wraz z rozbudową istniejącego skrzyżowania typu rondo na połączeniu dróg krajowych nr 35 i 35a oraz łącznika węzła Kobierzyce drogi S8e oraz infrastrukturą towarzyszącą w ramach zadania „Rozbudowa skrzyżowania typu rondo w ciągu DK35 koło m. Tyniec Mały usprawniająca skomunikowanie obszarów Podstrefy Wrocław – Kobierzyce TSSE EURO PARK WISŁOSAN”.</w:t>
      </w:r>
    </w:p>
    <w:p w14:paraId="2339FE31" w14:textId="77777777" w:rsidR="00CF795A" w:rsidRPr="00CF795A" w:rsidRDefault="00CF795A" w:rsidP="00CF795A">
      <w:pPr>
        <w:rPr>
          <w:rFonts w:ascii="Calibri" w:hAnsi="Calibri" w:cs="Calibri"/>
          <w:b/>
          <w:bCs/>
        </w:rPr>
      </w:pPr>
    </w:p>
    <w:p w14:paraId="312C15CA" w14:textId="1F3088C1" w:rsidR="00A74742" w:rsidRPr="00CF795A" w:rsidRDefault="00A74742" w:rsidP="00CF795A">
      <w:pPr>
        <w:rPr>
          <w:rFonts w:ascii="Calibri" w:hAnsi="Calibri" w:cs="Calibri"/>
          <w:b/>
          <w:bCs/>
        </w:rPr>
      </w:pPr>
      <w:r w:rsidRPr="00CF795A">
        <w:rPr>
          <w:rFonts w:ascii="Calibri" w:hAnsi="Calibri" w:cs="Calibri"/>
          <w:b/>
          <w:bCs/>
        </w:rPr>
        <w:t xml:space="preserve">1.3. Zakres robót objętych </w:t>
      </w:r>
      <w:r w:rsidR="006F4B9D">
        <w:rPr>
          <w:rFonts w:ascii="Calibri" w:hAnsi="Calibri" w:cs="Calibri"/>
          <w:b/>
          <w:bCs/>
        </w:rPr>
        <w:t>ST</w:t>
      </w:r>
      <w:r w:rsidRPr="00CF795A">
        <w:rPr>
          <w:rFonts w:ascii="Calibri" w:hAnsi="Calibri" w:cs="Calibri"/>
          <w:b/>
          <w:bCs/>
        </w:rPr>
        <w:t>WiORB</w:t>
      </w:r>
    </w:p>
    <w:p w14:paraId="034CAE9E" w14:textId="7EE907EE" w:rsidR="00A74742" w:rsidRPr="00A23FB4" w:rsidRDefault="00A74742" w:rsidP="00A74742">
      <w:pPr>
        <w:tabs>
          <w:tab w:val="left" w:pos="9914"/>
        </w:tabs>
        <w:rPr>
          <w:rFonts w:ascii="Calibri" w:hAnsi="Calibri" w:cs="Calibri"/>
        </w:rPr>
      </w:pPr>
      <w:r w:rsidRPr="00A23FB4">
        <w:rPr>
          <w:rFonts w:ascii="Calibri" w:hAnsi="Calibri" w:cs="Calibri"/>
        </w:rPr>
        <w:t xml:space="preserve">Ustalenia zawarte w niniejszych </w:t>
      </w:r>
      <w:r w:rsidR="00783235">
        <w:rPr>
          <w:rFonts w:ascii="Calibri" w:hAnsi="Calibri" w:cs="Calibri"/>
        </w:rPr>
        <w:t>specyfikacji</w:t>
      </w:r>
      <w:r w:rsidRPr="00A23FB4">
        <w:rPr>
          <w:rFonts w:ascii="Calibri" w:hAnsi="Calibri" w:cs="Calibri"/>
        </w:rPr>
        <w:t xml:space="preserve"> dotyczą zasad prowadzenia robót związanych z frezowaniem nawierzchni asfaltowych na zimno. Frezowanie nawierzchni asfaltowych na zimno może być wykonywane </w:t>
      </w:r>
      <w:r w:rsidRPr="00A23FB4">
        <w:rPr>
          <w:rFonts w:ascii="Calibri" w:hAnsi="Calibri" w:cs="Calibri"/>
        </w:rPr>
        <w:br/>
        <w:t>w celu rozbiórki warstw bitumicznych na żądaną głębokość i wykorzystania destruktu bitumicznego w innych miejscach.</w:t>
      </w:r>
    </w:p>
    <w:p w14:paraId="2FD39AC6" w14:textId="77777777" w:rsidR="00A74742" w:rsidRPr="00A23FB4" w:rsidRDefault="00A74742" w:rsidP="00A74742">
      <w:pPr>
        <w:pStyle w:val="Nagwek4"/>
        <w:tabs>
          <w:tab w:val="left" w:pos="9914"/>
        </w:tabs>
        <w:rPr>
          <w:rFonts w:ascii="Calibri" w:hAnsi="Calibri" w:cs="Calibri"/>
        </w:rPr>
      </w:pPr>
      <w:r w:rsidRPr="00A23FB4">
        <w:rPr>
          <w:rFonts w:ascii="Calibri" w:hAnsi="Calibri" w:cs="Calibri"/>
        </w:rPr>
        <w:t>1.4. Określenia podstawowe</w:t>
      </w:r>
    </w:p>
    <w:p w14:paraId="63E55A53" w14:textId="77777777" w:rsidR="00A74742" w:rsidRPr="00A23FB4" w:rsidRDefault="00A74742" w:rsidP="00A74742">
      <w:pPr>
        <w:pStyle w:val="Nagwek7"/>
        <w:tabs>
          <w:tab w:val="left" w:pos="9914"/>
        </w:tabs>
        <w:rPr>
          <w:rFonts w:ascii="Calibri" w:hAnsi="Calibri" w:cs="Calibri"/>
        </w:rPr>
      </w:pPr>
      <w:r w:rsidRPr="00A23FB4">
        <w:rPr>
          <w:rFonts w:ascii="Calibri" w:hAnsi="Calibri" w:cs="Calibri"/>
          <w:b/>
          <w:bCs/>
          <w:i/>
          <w:iCs/>
        </w:rPr>
        <w:t>1.4.1.</w:t>
      </w:r>
      <w:r w:rsidRPr="00A23FB4">
        <w:rPr>
          <w:rFonts w:ascii="Calibri" w:hAnsi="Calibri" w:cs="Calibri"/>
        </w:rPr>
        <w:t>Frezowanie nawierzchni asfaltowej na zimno - kontrolowany proces skrawania górnej warstwy nawierzchni asfaltowej, bez jej ogrzania, na określoną głębokość.</w:t>
      </w:r>
    </w:p>
    <w:p w14:paraId="70C6FC10" w14:textId="2B892B52" w:rsidR="00A74742" w:rsidRPr="00A23FB4" w:rsidRDefault="00A74742" w:rsidP="00A74742">
      <w:pPr>
        <w:pStyle w:val="Nagwek7"/>
        <w:tabs>
          <w:tab w:val="left" w:pos="9914"/>
        </w:tabs>
        <w:rPr>
          <w:rFonts w:ascii="Calibri" w:hAnsi="Calibri" w:cs="Calibri"/>
        </w:rPr>
      </w:pPr>
      <w:r w:rsidRPr="00A23FB4">
        <w:rPr>
          <w:rFonts w:ascii="Calibri" w:hAnsi="Calibri" w:cs="Calibri"/>
          <w:b/>
          <w:bCs/>
          <w:i/>
          <w:iCs/>
        </w:rPr>
        <w:t>1.4.2.</w:t>
      </w:r>
      <w:r w:rsidRPr="00A23FB4">
        <w:rPr>
          <w:rFonts w:ascii="Calibri" w:hAnsi="Calibri" w:cs="Calibri"/>
        </w:rPr>
        <w:t xml:space="preserve">Pozostałe określenia są zgodne z obowiązującymi, odpowiednimi polskimi normami i z definicjami podanymi w </w:t>
      </w:r>
      <w:r w:rsidR="006F4B9D">
        <w:rPr>
          <w:rFonts w:ascii="Calibri" w:hAnsi="Calibri" w:cs="Calibri"/>
        </w:rPr>
        <w:t>ST</w:t>
      </w:r>
      <w:r w:rsidRPr="00A23FB4">
        <w:rPr>
          <w:rFonts w:ascii="Calibri" w:hAnsi="Calibri" w:cs="Calibri"/>
        </w:rPr>
        <w:t>WiORB D-M-00.00.00 „Wymagania ogólne” pkt 1.4.</w:t>
      </w:r>
    </w:p>
    <w:p w14:paraId="1CC0F0D2" w14:textId="77777777" w:rsidR="00A74742" w:rsidRPr="00A23FB4" w:rsidRDefault="00A74742" w:rsidP="00A74742">
      <w:pPr>
        <w:pStyle w:val="Nagwek4"/>
        <w:tabs>
          <w:tab w:val="left" w:pos="9914"/>
        </w:tabs>
        <w:rPr>
          <w:rFonts w:ascii="Calibri" w:hAnsi="Calibri" w:cs="Calibri"/>
        </w:rPr>
      </w:pPr>
      <w:r w:rsidRPr="00A23FB4">
        <w:rPr>
          <w:rFonts w:ascii="Calibri" w:hAnsi="Calibri" w:cs="Calibri"/>
        </w:rPr>
        <w:t>1.5. Ogólne wymagania dotyczące robót</w:t>
      </w:r>
    </w:p>
    <w:p w14:paraId="30E35745" w14:textId="587C7353" w:rsidR="00A74742" w:rsidRPr="00A23FB4" w:rsidRDefault="00A74742" w:rsidP="00A74742">
      <w:pPr>
        <w:tabs>
          <w:tab w:val="left" w:pos="9914"/>
        </w:tabs>
        <w:rPr>
          <w:rFonts w:ascii="Calibri" w:hAnsi="Calibri" w:cs="Calibri"/>
        </w:rPr>
      </w:pPr>
      <w:r w:rsidRPr="00A23FB4">
        <w:rPr>
          <w:rFonts w:ascii="Calibri" w:hAnsi="Calibri" w:cs="Calibri"/>
        </w:rPr>
        <w:t xml:space="preserve">Ogólne wymagania dotyczące robót podano w </w:t>
      </w:r>
      <w:r w:rsidR="006F4B9D">
        <w:rPr>
          <w:rFonts w:ascii="Calibri" w:hAnsi="Calibri" w:cs="Calibri"/>
        </w:rPr>
        <w:t>ST</w:t>
      </w:r>
      <w:r w:rsidRPr="00A23FB4">
        <w:rPr>
          <w:rFonts w:ascii="Calibri" w:hAnsi="Calibri" w:cs="Calibri"/>
        </w:rPr>
        <w:t>WiORB D-M-00.00.00 „Wymagania ogólne” pkt 1.5.</w:t>
      </w:r>
    </w:p>
    <w:p w14:paraId="1C97C7A3" w14:textId="77777777" w:rsidR="00A74742" w:rsidRPr="00A23FB4" w:rsidRDefault="00A74742" w:rsidP="00A74742">
      <w:pPr>
        <w:rPr>
          <w:rFonts w:ascii="Calibri" w:hAnsi="Calibri" w:cs="Calibri"/>
          <w:b/>
        </w:rPr>
      </w:pPr>
    </w:p>
    <w:p w14:paraId="05D27C54" w14:textId="77777777" w:rsidR="00A74742" w:rsidRPr="00A23FB4" w:rsidRDefault="00A74742" w:rsidP="00A74742">
      <w:pPr>
        <w:rPr>
          <w:rFonts w:ascii="Calibri" w:hAnsi="Calibri" w:cs="Calibri"/>
          <w:b/>
        </w:rPr>
      </w:pPr>
      <w:r w:rsidRPr="00A23FB4">
        <w:rPr>
          <w:rFonts w:ascii="Calibri" w:hAnsi="Calibri" w:cs="Calibri"/>
          <w:b/>
        </w:rPr>
        <w:t>2. MATERIAŁY</w:t>
      </w:r>
    </w:p>
    <w:p w14:paraId="76F85A42" w14:textId="77777777" w:rsidR="00A74742" w:rsidRPr="00A23FB4" w:rsidRDefault="00A74742" w:rsidP="00A74742">
      <w:pPr>
        <w:tabs>
          <w:tab w:val="left" w:pos="9914"/>
        </w:tabs>
        <w:rPr>
          <w:rFonts w:ascii="Calibri" w:hAnsi="Calibri" w:cs="Calibri"/>
        </w:rPr>
      </w:pPr>
      <w:r w:rsidRPr="00A23FB4">
        <w:rPr>
          <w:rFonts w:ascii="Calibri" w:hAnsi="Calibri" w:cs="Calibri"/>
        </w:rPr>
        <w:t>Nie występują.</w:t>
      </w:r>
    </w:p>
    <w:p w14:paraId="30AB9B93" w14:textId="77777777" w:rsidR="00A74742" w:rsidRPr="00A23FB4" w:rsidRDefault="00A74742" w:rsidP="00A74742">
      <w:pPr>
        <w:rPr>
          <w:rFonts w:ascii="Calibri" w:hAnsi="Calibri" w:cs="Calibri"/>
          <w:b/>
        </w:rPr>
      </w:pPr>
    </w:p>
    <w:p w14:paraId="427C2B25" w14:textId="77777777" w:rsidR="00A74742" w:rsidRPr="00A23FB4" w:rsidRDefault="00A74742" w:rsidP="00A74742">
      <w:pPr>
        <w:rPr>
          <w:rFonts w:ascii="Calibri" w:hAnsi="Calibri" w:cs="Calibri"/>
          <w:b/>
        </w:rPr>
      </w:pPr>
      <w:r w:rsidRPr="00A23FB4">
        <w:rPr>
          <w:rFonts w:ascii="Calibri" w:hAnsi="Calibri" w:cs="Calibri"/>
          <w:b/>
        </w:rPr>
        <w:t>3. SPRZĘT</w:t>
      </w:r>
    </w:p>
    <w:p w14:paraId="309014FE" w14:textId="77777777" w:rsidR="00A74742" w:rsidRPr="00A23FB4" w:rsidRDefault="00A74742" w:rsidP="00A74742">
      <w:pPr>
        <w:pStyle w:val="Nagwek4"/>
        <w:tabs>
          <w:tab w:val="left" w:pos="9914"/>
        </w:tabs>
        <w:rPr>
          <w:rFonts w:ascii="Calibri" w:hAnsi="Calibri" w:cs="Calibri"/>
        </w:rPr>
      </w:pPr>
      <w:r w:rsidRPr="00A23FB4">
        <w:rPr>
          <w:rFonts w:ascii="Calibri" w:hAnsi="Calibri" w:cs="Calibri"/>
        </w:rPr>
        <w:t>3.1. Ogólne wymagania dotyczące sprzętu</w:t>
      </w:r>
    </w:p>
    <w:p w14:paraId="228212FE" w14:textId="7C36FA80" w:rsidR="00A74742" w:rsidRPr="00A23FB4" w:rsidRDefault="00A74742" w:rsidP="00A74742">
      <w:pPr>
        <w:tabs>
          <w:tab w:val="left" w:pos="9914"/>
        </w:tabs>
        <w:rPr>
          <w:rFonts w:ascii="Calibri" w:hAnsi="Calibri" w:cs="Calibri"/>
        </w:rPr>
      </w:pPr>
      <w:r w:rsidRPr="00A23FB4">
        <w:rPr>
          <w:rFonts w:ascii="Calibri" w:hAnsi="Calibri" w:cs="Calibri"/>
        </w:rPr>
        <w:t xml:space="preserve">Ogólne wymagania dotyczące sprzętu podano w </w:t>
      </w:r>
      <w:r w:rsidR="006F4B9D">
        <w:rPr>
          <w:rFonts w:ascii="Calibri" w:hAnsi="Calibri" w:cs="Calibri"/>
        </w:rPr>
        <w:t>ST</w:t>
      </w:r>
      <w:r w:rsidRPr="00A23FB4">
        <w:rPr>
          <w:rFonts w:ascii="Calibri" w:hAnsi="Calibri" w:cs="Calibri"/>
        </w:rPr>
        <w:t>WiORB D-M-00.00.00 „Wymagania ogólne” pkt 3.</w:t>
      </w:r>
    </w:p>
    <w:p w14:paraId="731F4F05" w14:textId="77777777" w:rsidR="00A74742" w:rsidRPr="00A23FB4" w:rsidRDefault="00A74742" w:rsidP="00A74742">
      <w:pPr>
        <w:pStyle w:val="Nagwek4"/>
        <w:tabs>
          <w:tab w:val="left" w:pos="9914"/>
        </w:tabs>
        <w:rPr>
          <w:rFonts w:ascii="Calibri" w:hAnsi="Calibri" w:cs="Calibri"/>
        </w:rPr>
      </w:pPr>
      <w:r w:rsidRPr="00A23FB4">
        <w:rPr>
          <w:rFonts w:ascii="Calibri" w:hAnsi="Calibri" w:cs="Calibri"/>
        </w:rPr>
        <w:t>3.2. Sprzęt do frezowania</w:t>
      </w:r>
    </w:p>
    <w:p w14:paraId="13276E3A" w14:textId="77777777" w:rsidR="00A74742" w:rsidRPr="00A23FB4" w:rsidRDefault="00A74742" w:rsidP="00A74742">
      <w:pPr>
        <w:tabs>
          <w:tab w:val="left" w:pos="9914"/>
        </w:tabs>
        <w:rPr>
          <w:rFonts w:ascii="Calibri" w:hAnsi="Calibri" w:cs="Calibri"/>
        </w:rPr>
      </w:pPr>
      <w:r w:rsidRPr="00A23FB4">
        <w:rPr>
          <w:rFonts w:ascii="Calibri" w:hAnsi="Calibri" w:cs="Calibri"/>
        </w:rPr>
        <w:t>Należy stosować frezarki drogowe umożliwiające frezowanie nawierzchni asfaltowej na zimno na określoną głębokość.</w:t>
      </w:r>
    </w:p>
    <w:p w14:paraId="6ABC60D6" w14:textId="77777777" w:rsidR="00A74742" w:rsidRPr="00A23FB4" w:rsidRDefault="00A74742" w:rsidP="00A74742">
      <w:pPr>
        <w:tabs>
          <w:tab w:val="left" w:pos="9914"/>
        </w:tabs>
        <w:rPr>
          <w:rFonts w:ascii="Calibri" w:hAnsi="Calibri" w:cs="Calibri"/>
        </w:rPr>
      </w:pPr>
      <w:r w:rsidRPr="00A23FB4">
        <w:rPr>
          <w:rFonts w:ascii="Calibri" w:hAnsi="Calibri" w:cs="Calibri"/>
        </w:rPr>
        <w:t>Frezarka powinna być sterowana elektronicznie i zapewniać zachowanie wymaganej równości oraz pochyleń poprzecznych i podłużnych powierzchni po frezowaniu.</w:t>
      </w:r>
    </w:p>
    <w:p w14:paraId="57DBF3AB" w14:textId="77777777" w:rsidR="00A74742" w:rsidRPr="00A23FB4" w:rsidRDefault="00A74742" w:rsidP="00A74742">
      <w:pPr>
        <w:tabs>
          <w:tab w:val="left" w:pos="9914"/>
        </w:tabs>
        <w:rPr>
          <w:rFonts w:ascii="Calibri" w:hAnsi="Calibri" w:cs="Calibri"/>
        </w:rPr>
      </w:pPr>
      <w:r w:rsidRPr="00A23FB4">
        <w:rPr>
          <w:rFonts w:ascii="Calibri" w:hAnsi="Calibri" w:cs="Calibri"/>
        </w:rPr>
        <w:t>Szerokość bębna frezującego powinna być co najmniej równa 500 mm. Frezarki musi być wyposażone w przenośnik sfrezowanego materiału, podający go z jezdni na środki transportu.</w:t>
      </w:r>
    </w:p>
    <w:p w14:paraId="2C1FBF9D" w14:textId="77777777" w:rsidR="00A74742" w:rsidRPr="00A23FB4" w:rsidRDefault="00A74742" w:rsidP="00A74742">
      <w:pPr>
        <w:tabs>
          <w:tab w:val="left" w:pos="9914"/>
        </w:tabs>
        <w:rPr>
          <w:rFonts w:ascii="Calibri" w:hAnsi="Calibri" w:cs="Calibri"/>
        </w:rPr>
      </w:pPr>
      <w:r w:rsidRPr="00A23FB4">
        <w:rPr>
          <w:rFonts w:ascii="Calibri" w:hAnsi="Calibri" w:cs="Calibri"/>
        </w:rPr>
        <w:t>Frezarka winna być zaopatrzona w systemy odpylania. Za zgodą Inżyniera/Kierownika projektu można dopuścić frezarki bez tego systemu:</w:t>
      </w:r>
    </w:p>
    <w:p w14:paraId="5906B15E" w14:textId="77777777" w:rsidR="00A74742" w:rsidRDefault="00A74742" w:rsidP="00A74742">
      <w:pPr>
        <w:tabs>
          <w:tab w:val="left" w:pos="9914"/>
        </w:tabs>
        <w:rPr>
          <w:rFonts w:ascii="Calibri" w:hAnsi="Calibri" w:cs="Calibri"/>
        </w:rPr>
      </w:pPr>
      <w:r w:rsidRPr="00A23FB4">
        <w:rPr>
          <w:rFonts w:ascii="Calibri" w:hAnsi="Calibri" w:cs="Calibri"/>
        </w:rPr>
        <w:t>Wykonawca może używać tylko frezarki zaakceptowane przez Inżyniera/Kierownika projektu. Wykonawca powinien przedstawić dane techniczne frezarek, a w przypadkach jakichkolwiek wątpliwości przeprowadzić demonstrację pracy frezarki, na własny koszt.</w:t>
      </w:r>
    </w:p>
    <w:p w14:paraId="6FDD06E7" w14:textId="77777777" w:rsidR="00F817A5" w:rsidRDefault="00F817A5" w:rsidP="00A74742">
      <w:pPr>
        <w:tabs>
          <w:tab w:val="left" w:pos="9914"/>
        </w:tabs>
        <w:rPr>
          <w:rFonts w:ascii="Calibri" w:hAnsi="Calibri" w:cs="Calibri"/>
        </w:rPr>
      </w:pPr>
    </w:p>
    <w:p w14:paraId="0853B864" w14:textId="77777777" w:rsidR="00F817A5" w:rsidRPr="00A23FB4" w:rsidRDefault="00F817A5" w:rsidP="00A74742">
      <w:pPr>
        <w:tabs>
          <w:tab w:val="left" w:pos="9914"/>
        </w:tabs>
        <w:rPr>
          <w:rFonts w:ascii="Calibri" w:hAnsi="Calibri" w:cs="Calibri"/>
        </w:rPr>
      </w:pPr>
    </w:p>
    <w:p w14:paraId="70CF39FD" w14:textId="77777777" w:rsidR="00A74742" w:rsidRPr="00A23FB4" w:rsidRDefault="00A74742" w:rsidP="00A74742">
      <w:pPr>
        <w:rPr>
          <w:rFonts w:ascii="Calibri" w:hAnsi="Calibri" w:cs="Calibri"/>
          <w:b/>
        </w:rPr>
      </w:pPr>
    </w:p>
    <w:p w14:paraId="58F08CC1" w14:textId="77777777" w:rsidR="00A74742" w:rsidRPr="00A23FB4" w:rsidRDefault="00A74742" w:rsidP="00A74742">
      <w:pPr>
        <w:rPr>
          <w:rFonts w:ascii="Calibri" w:hAnsi="Calibri" w:cs="Calibri"/>
          <w:b/>
        </w:rPr>
      </w:pPr>
      <w:r w:rsidRPr="00A23FB4">
        <w:rPr>
          <w:rFonts w:ascii="Calibri" w:hAnsi="Calibri" w:cs="Calibri"/>
          <w:b/>
        </w:rPr>
        <w:t>4. TRANSPORT</w:t>
      </w:r>
    </w:p>
    <w:p w14:paraId="1F54AD0B" w14:textId="77777777" w:rsidR="00A74742" w:rsidRPr="00A23FB4" w:rsidRDefault="00A74742" w:rsidP="00A74742">
      <w:pPr>
        <w:pStyle w:val="Nagwek4"/>
        <w:tabs>
          <w:tab w:val="left" w:pos="9914"/>
        </w:tabs>
        <w:rPr>
          <w:rFonts w:ascii="Calibri" w:hAnsi="Calibri" w:cs="Calibri"/>
        </w:rPr>
      </w:pPr>
      <w:r w:rsidRPr="00A23FB4">
        <w:rPr>
          <w:rFonts w:ascii="Calibri" w:hAnsi="Calibri" w:cs="Calibri"/>
        </w:rPr>
        <w:t>4.1. Ogólne wymagania dotyczące transportu</w:t>
      </w:r>
    </w:p>
    <w:p w14:paraId="0E7F4C2D" w14:textId="40BE5A19" w:rsidR="00A74742" w:rsidRPr="00A23FB4" w:rsidRDefault="00A74742" w:rsidP="00A74742">
      <w:pPr>
        <w:tabs>
          <w:tab w:val="left" w:pos="9914"/>
        </w:tabs>
        <w:rPr>
          <w:rFonts w:ascii="Calibri" w:hAnsi="Calibri" w:cs="Calibri"/>
        </w:rPr>
      </w:pPr>
      <w:r w:rsidRPr="00A23FB4">
        <w:rPr>
          <w:rFonts w:ascii="Calibri" w:hAnsi="Calibri" w:cs="Calibri"/>
        </w:rPr>
        <w:t xml:space="preserve">Ogólne wymagania dotyczące transportu podano w </w:t>
      </w:r>
      <w:r w:rsidR="006F4B9D">
        <w:rPr>
          <w:rFonts w:ascii="Calibri" w:hAnsi="Calibri" w:cs="Calibri"/>
        </w:rPr>
        <w:t>ST</w:t>
      </w:r>
      <w:r w:rsidRPr="00A23FB4">
        <w:rPr>
          <w:rFonts w:ascii="Calibri" w:hAnsi="Calibri" w:cs="Calibri"/>
        </w:rPr>
        <w:t>WiORB D-M-00.00.00 „Wymagania ogólne” pkt 4.</w:t>
      </w:r>
    </w:p>
    <w:p w14:paraId="449A1145" w14:textId="77777777" w:rsidR="00A74742" w:rsidRPr="00A23FB4" w:rsidRDefault="00A74742" w:rsidP="00A74742">
      <w:pPr>
        <w:pStyle w:val="Nagwek4"/>
        <w:tabs>
          <w:tab w:val="left" w:pos="9914"/>
        </w:tabs>
        <w:rPr>
          <w:rFonts w:ascii="Calibri" w:hAnsi="Calibri" w:cs="Calibri"/>
        </w:rPr>
      </w:pPr>
      <w:r w:rsidRPr="00A23FB4">
        <w:rPr>
          <w:rFonts w:ascii="Calibri" w:hAnsi="Calibri" w:cs="Calibri"/>
        </w:rPr>
        <w:t>4.2. Transport sfrezowanego materiału</w:t>
      </w:r>
    </w:p>
    <w:p w14:paraId="65956360" w14:textId="77777777" w:rsidR="00A74742" w:rsidRPr="00A23FB4" w:rsidRDefault="00A74742" w:rsidP="00424692">
      <w:pPr>
        <w:tabs>
          <w:tab w:val="left" w:pos="9914"/>
        </w:tabs>
        <w:spacing w:after="240"/>
        <w:rPr>
          <w:rFonts w:ascii="Calibri" w:hAnsi="Calibri" w:cs="Calibri"/>
        </w:rPr>
      </w:pPr>
      <w:r w:rsidRPr="00A23FB4">
        <w:rPr>
          <w:rFonts w:ascii="Calibri" w:hAnsi="Calibri" w:cs="Calibri"/>
        </w:rPr>
        <w:t>Transport sfrezowanego materiału powinien być tak zorganizowany, aby zapewnić pracę frezarki bez postojów. Materiał może być wywożony dowolnymi środkami transportowymi.</w:t>
      </w:r>
    </w:p>
    <w:p w14:paraId="2F123583" w14:textId="77777777" w:rsidR="00A74742" w:rsidRPr="00A23FB4" w:rsidRDefault="00A74742" w:rsidP="00A74742">
      <w:pPr>
        <w:rPr>
          <w:rFonts w:ascii="Calibri" w:hAnsi="Calibri" w:cs="Calibri"/>
          <w:b/>
        </w:rPr>
      </w:pPr>
      <w:r w:rsidRPr="00A23FB4">
        <w:rPr>
          <w:rFonts w:ascii="Calibri" w:hAnsi="Calibri" w:cs="Calibri"/>
          <w:b/>
        </w:rPr>
        <w:t>5. WYKONANIE ROBÓT</w:t>
      </w:r>
    </w:p>
    <w:p w14:paraId="689BC20C" w14:textId="77777777" w:rsidR="00A74742" w:rsidRPr="00A23FB4" w:rsidRDefault="00A74742" w:rsidP="00A74742">
      <w:pPr>
        <w:pStyle w:val="Nagwek4"/>
        <w:tabs>
          <w:tab w:val="left" w:pos="9914"/>
        </w:tabs>
        <w:rPr>
          <w:rFonts w:ascii="Calibri" w:hAnsi="Calibri" w:cs="Calibri"/>
        </w:rPr>
      </w:pPr>
      <w:r w:rsidRPr="00A23FB4">
        <w:rPr>
          <w:rFonts w:ascii="Calibri" w:hAnsi="Calibri" w:cs="Calibri"/>
        </w:rPr>
        <w:t>5.1. Ogólne zasady wykonania robót</w:t>
      </w:r>
    </w:p>
    <w:p w14:paraId="3A702FEF" w14:textId="38D18294" w:rsidR="00A74742" w:rsidRPr="00A23FB4" w:rsidRDefault="00A74742" w:rsidP="00A74742">
      <w:pPr>
        <w:tabs>
          <w:tab w:val="left" w:pos="9914"/>
        </w:tabs>
        <w:rPr>
          <w:rFonts w:ascii="Calibri" w:hAnsi="Calibri" w:cs="Calibri"/>
        </w:rPr>
      </w:pPr>
      <w:r w:rsidRPr="00A23FB4">
        <w:rPr>
          <w:rFonts w:ascii="Calibri" w:hAnsi="Calibri" w:cs="Calibri"/>
        </w:rPr>
        <w:t xml:space="preserve">Ogólne zasady wykonania robót podano w </w:t>
      </w:r>
      <w:r w:rsidR="006F4B9D">
        <w:rPr>
          <w:rFonts w:ascii="Calibri" w:hAnsi="Calibri" w:cs="Calibri"/>
        </w:rPr>
        <w:t>ST</w:t>
      </w:r>
      <w:r w:rsidRPr="00A23FB4">
        <w:rPr>
          <w:rFonts w:ascii="Calibri" w:hAnsi="Calibri" w:cs="Calibri"/>
        </w:rPr>
        <w:t>WiORB D-M-00.00.00 „Wymagania ogólne” pkt 5.</w:t>
      </w:r>
    </w:p>
    <w:p w14:paraId="7CEBBB0A" w14:textId="77777777" w:rsidR="00A74742" w:rsidRPr="00A23FB4" w:rsidRDefault="00A74742" w:rsidP="00A74742">
      <w:pPr>
        <w:pStyle w:val="Nagwek4"/>
        <w:tabs>
          <w:tab w:val="left" w:pos="9914"/>
        </w:tabs>
        <w:rPr>
          <w:rFonts w:ascii="Calibri" w:hAnsi="Calibri" w:cs="Calibri"/>
        </w:rPr>
      </w:pPr>
      <w:r w:rsidRPr="00A23FB4">
        <w:rPr>
          <w:rFonts w:ascii="Calibri" w:hAnsi="Calibri" w:cs="Calibri"/>
        </w:rPr>
        <w:t>5.2. Wykonanie frezowania</w:t>
      </w:r>
    </w:p>
    <w:p w14:paraId="7A7358F4" w14:textId="77777777" w:rsidR="00A74742" w:rsidRPr="00A23FB4" w:rsidRDefault="00A74742" w:rsidP="00A74742">
      <w:pPr>
        <w:tabs>
          <w:tab w:val="left" w:pos="9914"/>
        </w:tabs>
        <w:rPr>
          <w:rFonts w:ascii="Calibri" w:hAnsi="Calibri" w:cs="Calibri"/>
        </w:rPr>
      </w:pPr>
      <w:r w:rsidRPr="00A23FB4">
        <w:rPr>
          <w:rFonts w:ascii="Calibri" w:hAnsi="Calibri" w:cs="Calibri"/>
        </w:rPr>
        <w:t>Nawierzchnia powinna być frezowana do głębokości, szerokości i pochyleń zgodnych z dokumentacją projektową.</w:t>
      </w:r>
    </w:p>
    <w:p w14:paraId="36287F41" w14:textId="77777777" w:rsidR="00A74742" w:rsidRPr="00A23FB4" w:rsidRDefault="00A74742" w:rsidP="00A74742">
      <w:pPr>
        <w:tabs>
          <w:tab w:val="left" w:pos="9914"/>
        </w:tabs>
        <w:rPr>
          <w:rFonts w:ascii="Calibri" w:hAnsi="Calibri" w:cs="Calibri"/>
        </w:rPr>
      </w:pPr>
      <w:r w:rsidRPr="00A23FB4">
        <w:rPr>
          <w:rFonts w:ascii="Calibri" w:hAnsi="Calibri" w:cs="Calibri"/>
        </w:rPr>
        <w:t>Jeżeli ruch drogowy ma być dopuszczony po sfrezowanej części jezdni, to wówczas, ze względów bezpieczeństwa należy spełnić następujące warunki:</w:t>
      </w:r>
    </w:p>
    <w:p w14:paraId="4AA6A8C5" w14:textId="77777777" w:rsidR="00A74742" w:rsidRPr="00A23FB4" w:rsidRDefault="00A74742" w:rsidP="00262498">
      <w:pPr>
        <w:numPr>
          <w:ilvl w:val="0"/>
          <w:numId w:val="16"/>
        </w:numPr>
        <w:tabs>
          <w:tab w:val="left" w:pos="9914"/>
        </w:tabs>
        <w:rPr>
          <w:rFonts w:ascii="Calibri" w:hAnsi="Calibri" w:cs="Calibri"/>
        </w:rPr>
      </w:pPr>
      <w:r w:rsidRPr="00A23FB4">
        <w:rPr>
          <w:rFonts w:ascii="Calibri" w:hAnsi="Calibri" w:cs="Calibri"/>
        </w:rPr>
        <w:t>należy usunąć ścięty materiał i oczyścić nawierzchnię,</w:t>
      </w:r>
    </w:p>
    <w:p w14:paraId="76A56455" w14:textId="77777777" w:rsidR="00A74742" w:rsidRPr="00A23FB4" w:rsidRDefault="00A74742" w:rsidP="00262498">
      <w:pPr>
        <w:numPr>
          <w:ilvl w:val="0"/>
          <w:numId w:val="16"/>
        </w:numPr>
        <w:tabs>
          <w:tab w:val="left" w:pos="9914"/>
        </w:tabs>
        <w:rPr>
          <w:rFonts w:ascii="Calibri" w:hAnsi="Calibri" w:cs="Calibri"/>
        </w:rPr>
      </w:pPr>
      <w:r w:rsidRPr="00A23FB4">
        <w:rPr>
          <w:rFonts w:ascii="Calibri" w:hAnsi="Calibri" w:cs="Calibri"/>
        </w:rPr>
        <w:t>przy frezowaniu poszczególnych pasów ruchu, wysokość podłużnych pionowych krawędzi nie może przekraczać 40 mm,</w:t>
      </w:r>
    </w:p>
    <w:p w14:paraId="4206F7C1" w14:textId="77777777" w:rsidR="00A74742" w:rsidRPr="00A23FB4" w:rsidRDefault="00A74742" w:rsidP="00262498">
      <w:pPr>
        <w:numPr>
          <w:ilvl w:val="0"/>
          <w:numId w:val="16"/>
        </w:numPr>
        <w:tabs>
          <w:tab w:val="left" w:pos="9914"/>
        </w:tabs>
        <w:rPr>
          <w:rFonts w:ascii="Calibri" w:hAnsi="Calibri" w:cs="Calibri"/>
        </w:rPr>
      </w:pPr>
      <w:r w:rsidRPr="00A23FB4">
        <w:rPr>
          <w:rFonts w:ascii="Calibri" w:hAnsi="Calibri" w:cs="Calibri"/>
        </w:rPr>
        <w:t>przy lokalnych naprawach polegających na sfrezowaniu nawierzchni przy linii krawężnika (ścieku) dopuszcza się większy uskok niż określono w pkt b), ale przy głębokości większej od 75 mm wymaga on specjalnego oznakowania,</w:t>
      </w:r>
    </w:p>
    <w:p w14:paraId="205B9017" w14:textId="77777777" w:rsidR="00A74742" w:rsidRPr="00A23FB4" w:rsidRDefault="00A74742" w:rsidP="00262498">
      <w:pPr>
        <w:numPr>
          <w:ilvl w:val="0"/>
          <w:numId w:val="16"/>
        </w:numPr>
        <w:tabs>
          <w:tab w:val="left" w:pos="9914"/>
        </w:tabs>
        <w:rPr>
          <w:rFonts w:ascii="Calibri" w:hAnsi="Calibri" w:cs="Calibri"/>
        </w:rPr>
      </w:pPr>
      <w:r w:rsidRPr="00A23FB4">
        <w:rPr>
          <w:rFonts w:ascii="Calibri" w:hAnsi="Calibri" w:cs="Calibri"/>
        </w:rPr>
        <w:t>krawędzie poprzeczne na zakończenie dnia roboczego powinny być klinowo ścięte.</w:t>
      </w:r>
    </w:p>
    <w:p w14:paraId="73B38830" w14:textId="77777777" w:rsidR="00A74742" w:rsidRPr="00A23FB4" w:rsidRDefault="00A74742" w:rsidP="00A74742">
      <w:pPr>
        <w:pStyle w:val="Nagwek4"/>
        <w:tabs>
          <w:tab w:val="left" w:pos="9914"/>
        </w:tabs>
        <w:rPr>
          <w:rFonts w:ascii="Calibri" w:hAnsi="Calibri" w:cs="Calibri"/>
        </w:rPr>
      </w:pPr>
      <w:r w:rsidRPr="00A23FB4">
        <w:rPr>
          <w:rFonts w:ascii="Calibri" w:hAnsi="Calibri" w:cs="Calibri"/>
        </w:rPr>
        <w:t>5.3 Składowanie i wywóz materiału z frezowania</w:t>
      </w:r>
    </w:p>
    <w:p w14:paraId="497C7E5E" w14:textId="77777777" w:rsidR="00A74742" w:rsidRPr="00A23FB4" w:rsidRDefault="00A74742" w:rsidP="00A74742">
      <w:pPr>
        <w:tabs>
          <w:tab w:val="left" w:pos="9914"/>
        </w:tabs>
        <w:rPr>
          <w:rFonts w:ascii="Calibri" w:hAnsi="Calibri" w:cs="Calibri"/>
        </w:rPr>
      </w:pPr>
      <w:r w:rsidRPr="00A23FB4">
        <w:rPr>
          <w:rFonts w:ascii="Calibri" w:hAnsi="Calibri" w:cs="Calibri"/>
        </w:rPr>
        <w:t>Sfrezowany materiał Wykonawca winien przekazać Zamawiającemu. Sfrezowany materiał Wykonawca przetransportuje w miejsca wskazane prze Zamawiającego. Przewiduje się transport wyłącznie na terenie Gminy Nowa Ruda  na odległość nie większą niż 22 km. Przewiduje się więcej niż jedno miejsce wbudowania. Transport można wykonywać dowolnymi środkami transportu zgodnie z D-00.00.00</w:t>
      </w:r>
    </w:p>
    <w:p w14:paraId="4808A966" w14:textId="77777777" w:rsidR="00A74742" w:rsidRPr="00A23FB4" w:rsidRDefault="00A74742" w:rsidP="00A74742">
      <w:pPr>
        <w:tabs>
          <w:tab w:val="left" w:pos="9914"/>
        </w:tabs>
        <w:rPr>
          <w:rFonts w:ascii="Calibri" w:hAnsi="Calibri" w:cs="Calibri"/>
        </w:rPr>
      </w:pPr>
      <w:r w:rsidRPr="00A23FB4">
        <w:rPr>
          <w:rFonts w:ascii="Calibri" w:hAnsi="Calibri" w:cs="Calibri"/>
        </w:rPr>
        <w:t>Sfrezowany materiał winien być niezwłocznie usunięty z placu budowy. Dopuszcza się hałdowanie destruktu na tymczasowym placu składowym i wywiezienie w momencie odpowiednim dla Wykonawcy jeżeli nie utrudni to prowadzenia prac oraz będzie zgodne z zasadami BHP oraz planem BIOZ. Koszty tymczasowego składowania i materiału obciążają Wykonawcę.</w:t>
      </w:r>
    </w:p>
    <w:p w14:paraId="0F579250" w14:textId="77777777" w:rsidR="00A74742" w:rsidRPr="00A23FB4" w:rsidRDefault="00A74742" w:rsidP="00A74742">
      <w:pPr>
        <w:rPr>
          <w:rFonts w:ascii="Calibri" w:hAnsi="Calibri" w:cs="Calibri"/>
          <w:b/>
        </w:rPr>
      </w:pPr>
    </w:p>
    <w:p w14:paraId="2D94BBE3" w14:textId="77777777" w:rsidR="00A74742" w:rsidRPr="00A23FB4" w:rsidRDefault="00A74742" w:rsidP="00A74742">
      <w:pPr>
        <w:rPr>
          <w:rFonts w:ascii="Calibri" w:hAnsi="Calibri" w:cs="Calibri"/>
          <w:b/>
        </w:rPr>
      </w:pPr>
      <w:r w:rsidRPr="00A23FB4">
        <w:rPr>
          <w:rFonts w:ascii="Calibri" w:hAnsi="Calibri" w:cs="Calibri"/>
          <w:b/>
        </w:rPr>
        <w:t>6. KONTROLA JAKOŚCI ROBÓT</w:t>
      </w:r>
    </w:p>
    <w:p w14:paraId="3DF8CF7A" w14:textId="77777777" w:rsidR="00A74742" w:rsidRPr="00A23FB4" w:rsidRDefault="00A74742" w:rsidP="00A74742">
      <w:pPr>
        <w:pStyle w:val="Nagwek4"/>
        <w:tabs>
          <w:tab w:val="left" w:pos="9914"/>
        </w:tabs>
        <w:rPr>
          <w:rFonts w:ascii="Calibri" w:hAnsi="Calibri" w:cs="Calibri"/>
        </w:rPr>
      </w:pPr>
      <w:r w:rsidRPr="00A23FB4">
        <w:rPr>
          <w:rFonts w:ascii="Calibri" w:hAnsi="Calibri" w:cs="Calibri"/>
        </w:rPr>
        <w:t>6.1. Ogólne zasady kontroli jakości robót</w:t>
      </w:r>
    </w:p>
    <w:p w14:paraId="0D3C5743" w14:textId="7D5BE18B" w:rsidR="00A74742" w:rsidRPr="00A23FB4" w:rsidRDefault="00A74742" w:rsidP="00A74742">
      <w:pPr>
        <w:tabs>
          <w:tab w:val="left" w:pos="9914"/>
        </w:tabs>
        <w:rPr>
          <w:rFonts w:ascii="Calibri" w:hAnsi="Calibri" w:cs="Calibri"/>
        </w:rPr>
      </w:pPr>
      <w:r w:rsidRPr="00A23FB4">
        <w:rPr>
          <w:rFonts w:ascii="Calibri" w:hAnsi="Calibri" w:cs="Calibri"/>
        </w:rPr>
        <w:t xml:space="preserve">Ogólne zasady kontroli jakości robót podano w </w:t>
      </w:r>
      <w:r w:rsidR="006F4B9D">
        <w:rPr>
          <w:rFonts w:ascii="Calibri" w:hAnsi="Calibri" w:cs="Calibri"/>
        </w:rPr>
        <w:t>ST</w:t>
      </w:r>
      <w:r w:rsidRPr="00A23FB4">
        <w:rPr>
          <w:rFonts w:ascii="Calibri" w:hAnsi="Calibri" w:cs="Calibri"/>
        </w:rPr>
        <w:t>WiORB D-M-00.00.00 „Wymagania ogólne” pkt 6.</w:t>
      </w:r>
    </w:p>
    <w:p w14:paraId="5EEC53F2" w14:textId="77777777" w:rsidR="00A74742" w:rsidRPr="00A23FB4" w:rsidRDefault="00A74742" w:rsidP="00A74742">
      <w:pPr>
        <w:pStyle w:val="Nagwek4"/>
        <w:tabs>
          <w:tab w:val="left" w:pos="9914"/>
        </w:tabs>
        <w:rPr>
          <w:rFonts w:ascii="Calibri" w:hAnsi="Calibri" w:cs="Calibri"/>
        </w:rPr>
      </w:pPr>
      <w:r w:rsidRPr="00A23FB4">
        <w:rPr>
          <w:rFonts w:ascii="Calibri" w:hAnsi="Calibri" w:cs="Calibri"/>
        </w:rPr>
        <w:t>6.2. Częstotliwość oraz zakres pomiarów kontrolnych</w:t>
      </w:r>
    </w:p>
    <w:p w14:paraId="2B5D4401" w14:textId="77777777" w:rsidR="00A74742" w:rsidRPr="00A23FB4" w:rsidRDefault="00A74742" w:rsidP="00A74742">
      <w:pPr>
        <w:tabs>
          <w:tab w:val="left" w:pos="0"/>
        </w:tabs>
        <w:rPr>
          <w:rFonts w:ascii="Calibri" w:hAnsi="Calibri" w:cs="Calibri"/>
          <w:b/>
          <w:bCs/>
          <w:i/>
          <w:iCs/>
        </w:rPr>
      </w:pPr>
      <w:r w:rsidRPr="00A23FB4">
        <w:rPr>
          <w:rFonts w:ascii="Calibri" w:hAnsi="Calibri" w:cs="Calibri"/>
          <w:b/>
          <w:bCs/>
          <w:i/>
          <w:iCs/>
        </w:rPr>
        <w:t>6.2.1. Minimalna częstotliwość pomiarów</w:t>
      </w:r>
    </w:p>
    <w:p w14:paraId="3406B314" w14:textId="77777777" w:rsidR="00A74742" w:rsidRPr="00A23FB4" w:rsidRDefault="00A74742" w:rsidP="00424692">
      <w:pPr>
        <w:tabs>
          <w:tab w:val="left" w:pos="9914"/>
        </w:tabs>
        <w:spacing w:after="240"/>
        <w:rPr>
          <w:rFonts w:ascii="Calibri" w:hAnsi="Calibri" w:cs="Calibri"/>
        </w:rPr>
      </w:pPr>
      <w:r w:rsidRPr="00A23FB4">
        <w:rPr>
          <w:rFonts w:ascii="Calibri" w:hAnsi="Calibri" w:cs="Calibri"/>
        </w:rPr>
        <w:t>Częstotliwość oraz zakres pomiarów dla nawierzchni frezowanej na zimno podano w tablicy 1.</w:t>
      </w:r>
    </w:p>
    <w:p w14:paraId="0010E282" w14:textId="77777777" w:rsidR="00A74742" w:rsidRPr="00A23FB4" w:rsidRDefault="00A74742" w:rsidP="00A74742">
      <w:pPr>
        <w:tabs>
          <w:tab w:val="left" w:pos="9914"/>
        </w:tabs>
        <w:rPr>
          <w:rFonts w:ascii="Calibri" w:hAnsi="Calibri" w:cs="Calibri"/>
        </w:rPr>
      </w:pPr>
      <w:r w:rsidRPr="00A23FB4">
        <w:rPr>
          <w:rFonts w:ascii="Calibri" w:hAnsi="Calibri" w:cs="Calibri"/>
        </w:rPr>
        <w:t>Tablica 1. Częstotliwość oraz zakres pomiarów kontrolnych nawierzchni frezowanej na zimno</w:t>
      </w:r>
    </w:p>
    <w:tbl>
      <w:tblPr>
        <w:tblW w:w="0" w:type="auto"/>
        <w:tblInd w:w="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96"/>
        <w:gridCol w:w="3507"/>
        <w:gridCol w:w="3507"/>
      </w:tblGrid>
      <w:tr w:rsidR="00A74742" w:rsidRPr="00A23FB4" w14:paraId="674C3602" w14:textId="77777777" w:rsidTr="00502D10">
        <w:tc>
          <w:tcPr>
            <w:tcW w:w="496" w:type="dxa"/>
            <w:tcBorders>
              <w:bottom w:val="double" w:sz="6" w:space="0" w:color="auto"/>
            </w:tcBorders>
          </w:tcPr>
          <w:p w14:paraId="22CE3958" w14:textId="77777777" w:rsidR="00A74742" w:rsidRPr="00A23FB4" w:rsidRDefault="00A74742" w:rsidP="00502D10">
            <w:pPr>
              <w:tabs>
                <w:tab w:val="left" w:pos="9914"/>
              </w:tabs>
              <w:rPr>
                <w:rFonts w:ascii="Calibri" w:hAnsi="Calibri" w:cs="Calibri"/>
              </w:rPr>
            </w:pPr>
            <w:r w:rsidRPr="00A23FB4">
              <w:rPr>
                <w:rFonts w:ascii="Calibri" w:hAnsi="Calibri" w:cs="Calibri"/>
              </w:rPr>
              <w:t>Lp.</w:t>
            </w:r>
          </w:p>
        </w:tc>
        <w:tc>
          <w:tcPr>
            <w:tcW w:w="3507" w:type="dxa"/>
            <w:tcBorders>
              <w:bottom w:val="double" w:sz="6" w:space="0" w:color="auto"/>
            </w:tcBorders>
          </w:tcPr>
          <w:p w14:paraId="5C7AAD93" w14:textId="77777777" w:rsidR="00A74742" w:rsidRPr="00A23FB4" w:rsidRDefault="00A74742" w:rsidP="00502D10">
            <w:pPr>
              <w:tabs>
                <w:tab w:val="left" w:pos="9914"/>
              </w:tabs>
              <w:rPr>
                <w:rFonts w:ascii="Calibri" w:hAnsi="Calibri" w:cs="Calibri"/>
              </w:rPr>
            </w:pPr>
            <w:r w:rsidRPr="00A23FB4">
              <w:rPr>
                <w:rFonts w:ascii="Calibri" w:hAnsi="Calibri" w:cs="Calibri"/>
              </w:rPr>
              <w:t>Właściwość nawierzchni</w:t>
            </w:r>
          </w:p>
        </w:tc>
        <w:tc>
          <w:tcPr>
            <w:tcW w:w="3507" w:type="dxa"/>
            <w:tcBorders>
              <w:bottom w:val="double" w:sz="6" w:space="0" w:color="auto"/>
            </w:tcBorders>
          </w:tcPr>
          <w:p w14:paraId="6961C840" w14:textId="77777777" w:rsidR="00A74742" w:rsidRPr="00A23FB4" w:rsidRDefault="00A74742" w:rsidP="00502D10">
            <w:pPr>
              <w:tabs>
                <w:tab w:val="left" w:pos="9914"/>
              </w:tabs>
              <w:rPr>
                <w:rFonts w:ascii="Calibri" w:hAnsi="Calibri" w:cs="Calibri"/>
              </w:rPr>
            </w:pPr>
            <w:r w:rsidRPr="00A23FB4">
              <w:rPr>
                <w:rFonts w:ascii="Calibri" w:hAnsi="Calibri" w:cs="Calibri"/>
              </w:rPr>
              <w:t>Minimalna częstotliwość pomiarów</w:t>
            </w:r>
          </w:p>
        </w:tc>
      </w:tr>
      <w:tr w:rsidR="00A74742" w:rsidRPr="00A23FB4" w14:paraId="6874A7C7" w14:textId="77777777" w:rsidTr="00502D10">
        <w:tc>
          <w:tcPr>
            <w:tcW w:w="496" w:type="dxa"/>
            <w:tcBorders>
              <w:top w:val="nil"/>
            </w:tcBorders>
          </w:tcPr>
          <w:p w14:paraId="71C0E71B" w14:textId="77777777" w:rsidR="00A74742" w:rsidRPr="00A23FB4" w:rsidRDefault="00A74742" w:rsidP="00502D10">
            <w:pPr>
              <w:tabs>
                <w:tab w:val="left" w:pos="9914"/>
              </w:tabs>
              <w:rPr>
                <w:rFonts w:ascii="Calibri" w:hAnsi="Calibri" w:cs="Calibri"/>
              </w:rPr>
            </w:pPr>
            <w:r w:rsidRPr="00A23FB4">
              <w:rPr>
                <w:rFonts w:ascii="Calibri" w:hAnsi="Calibri" w:cs="Calibri"/>
              </w:rPr>
              <w:t>1</w:t>
            </w:r>
          </w:p>
        </w:tc>
        <w:tc>
          <w:tcPr>
            <w:tcW w:w="3507" w:type="dxa"/>
            <w:tcBorders>
              <w:top w:val="nil"/>
            </w:tcBorders>
          </w:tcPr>
          <w:p w14:paraId="106EE4BB" w14:textId="77777777" w:rsidR="00A74742" w:rsidRPr="00A23FB4" w:rsidRDefault="00A74742" w:rsidP="00502D10">
            <w:pPr>
              <w:tabs>
                <w:tab w:val="left" w:pos="9914"/>
              </w:tabs>
              <w:rPr>
                <w:rFonts w:ascii="Calibri" w:hAnsi="Calibri" w:cs="Calibri"/>
              </w:rPr>
            </w:pPr>
            <w:r w:rsidRPr="00A23FB4">
              <w:rPr>
                <w:rFonts w:ascii="Calibri" w:hAnsi="Calibri" w:cs="Calibri"/>
              </w:rPr>
              <w:t>Równość podłużna</w:t>
            </w:r>
          </w:p>
        </w:tc>
        <w:tc>
          <w:tcPr>
            <w:tcW w:w="3507" w:type="dxa"/>
            <w:tcBorders>
              <w:top w:val="nil"/>
            </w:tcBorders>
          </w:tcPr>
          <w:p w14:paraId="09499F65" w14:textId="77777777" w:rsidR="00A74742" w:rsidRPr="00A23FB4" w:rsidRDefault="00A74742" w:rsidP="00502D10">
            <w:pPr>
              <w:tabs>
                <w:tab w:val="left" w:pos="9914"/>
              </w:tabs>
              <w:rPr>
                <w:rFonts w:ascii="Calibri" w:hAnsi="Calibri" w:cs="Calibri"/>
              </w:rPr>
            </w:pPr>
            <w:r w:rsidRPr="00A23FB4">
              <w:rPr>
                <w:rFonts w:ascii="Calibri" w:hAnsi="Calibri" w:cs="Calibri"/>
              </w:rPr>
              <w:t>łatą 4-metrową co 20 metrów</w:t>
            </w:r>
          </w:p>
        </w:tc>
      </w:tr>
      <w:tr w:rsidR="00A74742" w:rsidRPr="00A23FB4" w14:paraId="2089B4C2" w14:textId="77777777" w:rsidTr="00502D10">
        <w:tc>
          <w:tcPr>
            <w:tcW w:w="496" w:type="dxa"/>
          </w:tcPr>
          <w:p w14:paraId="5E555F13" w14:textId="77777777" w:rsidR="00A74742" w:rsidRPr="00A23FB4" w:rsidRDefault="00A74742" w:rsidP="00502D10">
            <w:pPr>
              <w:tabs>
                <w:tab w:val="left" w:pos="9914"/>
              </w:tabs>
              <w:rPr>
                <w:rFonts w:ascii="Calibri" w:hAnsi="Calibri" w:cs="Calibri"/>
              </w:rPr>
            </w:pPr>
            <w:r w:rsidRPr="00A23FB4">
              <w:rPr>
                <w:rFonts w:ascii="Calibri" w:hAnsi="Calibri" w:cs="Calibri"/>
              </w:rPr>
              <w:t>2</w:t>
            </w:r>
          </w:p>
        </w:tc>
        <w:tc>
          <w:tcPr>
            <w:tcW w:w="3507" w:type="dxa"/>
          </w:tcPr>
          <w:p w14:paraId="0C2D3751" w14:textId="77777777" w:rsidR="00A74742" w:rsidRPr="00A23FB4" w:rsidRDefault="00A74742" w:rsidP="00502D10">
            <w:pPr>
              <w:tabs>
                <w:tab w:val="left" w:pos="9914"/>
              </w:tabs>
              <w:rPr>
                <w:rFonts w:ascii="Calibri" w:hAnsi="Calibri" w:cs="Calibri"/>
              </w:rPr>
            </w:pPr>
            <w:r w:rsidRPr="00A23FB4">
              <w:rPr>
                <w:rFonts w:ascii="Calibri" w:hAnsi="Calibri" w:cs="Calibri"/>
              </w:rPr>
              <w:t>Szerokość frezowania</w:t>
            </w:r>
          </w:p>
        </w:tc>
        <w:tc>
          <w:tcPr>
            <w:tcW w:w="3507" w:type="dxa"/>
          </w:tcPr>
          <w:p w14:paraId="3DAFE8FB" w14:textId="77777777" w:rsidR="00A74742" w:rsidRPr="00A23FB4" w:rsidRDefault="00A74742" w:rsidP="00502D10">
            <w:pPr>
              <w:tabs>
                <w:tab w:val="left" w:pos="9914"/>
              </w:tabs>
              <w:rPr>
                <w:rFonts w:ascii="Calibri" w:hAnsi="Calibri" w:cs="Calibri"/>
              </w:rPr>
            </w:pPr>
            <w:r w:rsidRPr="00A23FB4">
              <w:rPr>
                <w:rFonts w:ascii="Calibri" w:hAnsi="Calibri" w:cs="Calibri"/>
              </w:rPr>
              <w:t>co 50 m</w:t>
            </w:r>
          </w:p>
        </w:tc>
      </w:tr>
      <w:tr w:rsidR="00A74742" w:rsidRPr="00A23FB4" w14:paraId="04516B0C" w14:textId="77777777" w:rsidTr="00502D10">
        <w:tc>
          <w:tcPr>
            <w:tcW w:w="496" w:type="dxa"/>
          </w:tcPr>
          <w:p w14:paraId="5DE84C91" w14:textId="77777777" w:rsidR="00A74742" w:rsidRPr="00A23FB4" w:rsidRDefault="00A74742" w:rsidP="00502D10">
            <w:pPr>
              <w:tabs>
                <w:tab w:val="left" w:pos="9914"/>
              </w:tabs>
              <w:rPr>
                <w:rFonts w:ascii="Calibri" w:hAnsi="Calibri" w:cs="Calibri"/>
              </w:rPr>
            </w:pPr>
            <w:r w:rsidRPr="00A23FB4">
              <w:rPr>
                <w:rFonts w:ascii="Calibri" w:hAnsi="Calibri" w:cs="Calibri"/>
              </w:rPr>
              <w:t>3</w:t>
            </w:r>
          </w:p>
        </w:tc>
        <w:tc>
          <w:tcPr>
            <w:tcW w:w="3507" w:type="dxa"/>
          </w:tcPr>
          <w:p w14:paraId="33CE4B91" w14:textId="77777777" w:rsidR="00A74742" w:rsidRPr="00A23FB4" w:rsidRDefault="00A74742" w:rsidP="00502D10">
            <w:pPr>
              <w:tabs>
                <w:tab w:val="left" w:pos="9914"/>
              </w:tabs>
              <w:rPr>
                <w:rFonts w:ascii="Calibri" w:hAnsi="Calibri" w:cs="Calibri"/>
              </w:rPr>
            </w:pPr>
            <w:r w:rsidRPr="00A23FB4">
              <w:rPr>
                <w:rFonts w:ascii="Calibri" w:hAnsi="Calibri" w:cs="Calibri"/>
              </w:rPr>
              <w:t>Głębokość frezowania</w:t>
            </w:r>
          </w:p>
        </w:tc>
        <w:tc>
          <w:tcPr>
            <w:tcW w:w="3507" w:type="dxa"/>
          </w:tcPr>
          <w:p w14:paraId="0C35BAF1" w14:textId="77777777" w:rsidR="00A74742" w:rsidRPr="00A23FB4" w:rsidRDefault="00A74742" w:rsidP="00502D10">
            <w:pPr>
              <w:tabs>
                <w:tab w:val="left" w:pos="9914"/>
              </w:tabs>
              <w:rPr>
                <w:rFonts w:ascii="Calibri" w:hAnsi="Calibri" w:cs="Calibri"/>
              </w:rPr>
            </w:pPr>
            <w:r w:rsidRPr="00A23FB4">
              <w:rPr>
                <w:rFonts w:ascii="Calibri" w:hAnsi="Calibri" w:cs="Calibri"/>
              </w:rPr>
              <w:t xml:space="preserve">na bieżąco, </w:t>
            </w:r>
          </w:p>
        </w:tc>
      </w:tr>
    </w:tbl>
    <w:p w14:paraId="42846761" w14:textId="77777777" w:rsidR="00A74742" w:rsidRPr="00A23FB4" w:rsidRDefault="00A74742" w:rsidP="00A74742">
      <w:pPr>
        <w:tabs>
          <w:tab w:val="left" w:pos="9914"/>
        </w:tabs>
        <w:rPr>
          <w:rFonts w:ascii="Calibri" w:hAnsi="Calibri" w:cs="Calibri"/>
          <w:b/>
          <w:bCs/>
        </w:rPr>
      </w:pPr>
    </w:p>
    <w:p w14:paraId="6C7EBAAB" w14:textId="77777777" w:rsidR="00A74742" w:rsidRPr="00A23FB4" w:rsidRDefault="00A74742" w:rsidP="00A74742">
      <w:pPr>
        <w:tabs>
          <w:tab w:val="left" w:pos="0"/>
        </w:tabs>
        <w:rPr>
          <w:rFonts w:ascii="Calibri" w:hAnsi="Calibri" w:cs="Calibri"/>
          <w:b/>
          <w:bCs/>
          <w:i/>
          <w:iCs/>
        </w:rPr>
      </w:pPr>
      <w:r w:rsidRPr="00A23FB4">
        <w:rPr>
          <w:rFonts w:ascii="Calibri" w:hAnsi="Calibri" w:cs="Calibri"/>
          <w:b/>
          <w:bCs/>
          <w:i/>
          <w:iCs/>
        </w:rPr>
        <w:t>6.2.2. Równość nawierzchni</w:t>
      </w:r>
    </w:p>
    <w:p w14:paraId="54CC286F" w14:textId="77777777" w:rsidR="00A74742" w:rsidRPr="00A23FB4" w:rsidRDefault="00A74742" w:rsidP="00A74742">
      <w:pPr>
        <w:tabs>
          <w:tab w:val="left" w:pos="9914"/>
        </w:tabs>
        <w:rPr>
          <w:rFonts w:ascii="Calibri" w:hAnsi="Calibri" w:cs="Calibri"/>
        </w:rPr>
      </w:pPr>
      <w:r w:rsidRPr="00A23FB4">
        <w:rPr>
          <w:rFonts w:ascii="Calibri" w:hAnsi="Calibri" w:cs="Calibri"/>
        </w:rPr>
        <w:t>Nierówności powierzchni po frezowaniu mierzone łatą 4-metrową zgodnie z BN-68/8931-04 nie powinny przekraczać 6 mm.</w:t>
      </w:r>
    </w:p>
    <w:p w14:paraId="3737FCF9" w14:textId="77777777" w:rsidR="00A74742" w:rsidRPr="00A23FB4" w:rsidRDefault="00A74742" w:rsidP="00A74742">
      <w:pPr>
        <w:tabs>
          <w:tab w:val="left" w:pos="0"/>
        </w:tabs>
        <w:rPr>
          <w:rFonts w:ascii="Calibri" w:hAnsi="Calibri" w:cs="Calibri"/>
          <w:b/>
          <w:bCs/>
          <w:i/>
          <w:iCs/>
        </w:rPr>
      </w:pPr>
      <w:r w:rsidRPr="00A23FB4">
        <w:rPr>
          <w:rFonts w:ascii="Calibri" w:hAnsi="Calibri" w:cs="Calibri"/>
          <w:b/>
          <w:bCs/>
          <w:i/>
          <w:iCs/>
        </w:rPr>
        <w:t>6.2.3. Spadki poprzeczne</w:t>
      </w:r>
    </w:p>
    <w:p w14:paraId="79F09D57" w14:textId="77777777" w:rsidR="00A74742" w:rsidRPr="00A23FB4" w:rsidRDefault="00A74742" w:rsidP="00A74742">
      <w:pPr>
        <w:tabs>
          <w:tab w:val="left" w:pos="9914"/>
        </w:tabs>
        <w:rPr>
          <w:rFonts w:ascii="Calibri" w:hAnsi="Calibri" w:cs="Calibri"/>
        </w:rPr>
      </w:pPr>
      <w:r w:rsidRPr="00A23FB4">
        <w:rPr>
          <w:rFonts w:ascii="Calibri" w:hAnsi="Calibri" w:cs="Calibri"/>
        </w:rPr>
        <w:t>Spadki poprzeczne nawierzchni po frezowaniu powinny być zgodne z dokumentacją projektową, z tolerancją ± 0,5%.</w:t>
      </w:r>
    </w:p>
    <w:p w14:paraId="1ED11E59" w14:textId="77777777" w:rsidR="00A74742" w:rsidRPr="00A23FB4" w:rsidRDefault="00A74742" w:rsidP="00A74742">
      <w:pPr>
        <w:tabs>
          <w:tab w:val="left" w:pos="0"/>
        </w:tabs>
        <w:rPr>
          <w:rFonts w:ascii="Calibri" w:hAnsi="Calibri" w:cs="Calibri"/>
          <w:b/>
          <w:bCs/>
          <w:i/>
          <w:iCs/>
        </w:rPr>
      </w:pPr>
    </w:p>
    <w:p w14:paraId="57860D07" w14:textId="77777777" w:rsidR="00A74742" w:rsidRPr="00A23FB4" w:rsidRDefault="00A74742" w:rsidP="00A74742">
      <w:pPr>
        <w:tabs>
          <w:tab w:val="left" w:pos="0"/>
        </w:tabs>
        <w:rPr>
          <w:rFonts w:ascii="Calibri" w:hAnsi="Calibri" w:cs="Calibri"/>
          <w:b/>
          <w:bCs/>
          <w:i/>
          <w:iCs/>
        </w:rPr>
      </w:pPr>
    </w:p>
    <w:p w14:paraId="4CAEB76F" w14:textId="77777777" w:rsidR="00A74742" w:rsidRPr="00A23FB4" w:rsidRDefault="00A74742" w:rsidP="00A74742">
      <w:pPr>
        <w:tabs>
          <w:tab w:val="left" w:pos="0"/>
        </w:tabs>
        <w:rPr>
          <w:rFonts w:ascii="Calibri" w:hAnsi="Calibri" w:cs="Calibri"/>
          <w:b/>
          <w:bCs/>
          <w:i/>
          <w:iCs/>
        </w:rPr>
      </w:pPr>
      <w:r w:rsidRPr="00A23FB4">
        <w:rPr>
          <w:rFonts w:ascii="Calibri" w:hAnsi="Calibri" w:cs="Calibri"/>
          <w:b/>
          <w:bCs/>
          <w:i/>
          <w:iCs/>
        </w:rPr>
        <w:t>6.2.4. Szerokość frezowania</w:t>
      </w:r>
    </w:p>
    <w:p w14:paraId="65BFFAC2" w14:textId="77777777" w:rsidR="00A74742" w:rsidRPr="00A23FB4" w:rsidRDefault="00A74742" w:rsidP="00A74742">
      <w:pPr>
        <w:tabs>
          <w:tab w:val="left" w:pos="9914"/>
        </w:tabs>
        <w:rPr>
          <w:rFonts w:ascii="Calibri" w:hAnsi="Calibri" w:cs="Calibri"/>
        </w:rPr>
      </w:pPr>
      <w:r w:rsidRPr="00A23FB4">
        <w:rPr>
          <w:rFonts w:ascii="Calibri" w:hAnsi="Calibri" w:cs="Calibri"/>
        </w:rPr>
        <w:t>Szerokość frezowania powinna odpowiadać szerokości określonej w dokumentacji projektowej z dokładnością ± 5 cm.</w:t>
      </w:r>
    </w:p>
    <w:p w14:paraId="1103D1BA" w14:textId="77777777" w:rsidR="00A74742" w:rsidRPr="00A23FB4" w:rsidRDefault="00A74742" w:rsidP="00A74742">
      <w:pPr>
        <w:tabs>
          <w:tab w:val="left" w:pos="0"/>
        </w:tabs>
        <w:rPr>
          <w:rFonts w:ascii="Calibri" w:hAnsi="Calibri" w:cs="Calibri"/>
          <w:b/>
          <w:bCs/>
          <w:iCs/>
        </w:rPr>
      </w:pPr>
      <w:r w:rsidRPr="00A23FB4">
        <w:rPr>
          <w:rFonts w:ascii="Calibri" w:hAnsi="Calibri" w:cs="Calibri"/>
          <w:b/>
          <w:bCs/>
          <w:iCs/>
        </w:rPr>
        <w:t>6.2.5. Głębokość frezowania</w:t>
      </w:r>
    </w:p>
    <w:p w14:paraId="5A91799A" w14:textId="77777777" w:rsidR="00A74742" w:rsidRPr="00A23FB4" w:rsidRDefault="00A74742" w:rsidP="00A74742">
      <w:pPr>
        <w:tabs>
          <w:tab w:val="left" w:pos="9914"/>
        </w:tabs>
        <w:rPr>
          <w:rFonts w:ascii="Calibri" w:hAnsi="Calibri" w:cs="Calibri"/>
        </w:rPr>
      </w:pPr>
      <w:r w:rsidRPr="00A23FB4">
        <w:rPr>
          <w:rFonts w:ascii="Calibri" w:hAnsi="Calibri" w:cs="Calibri"/>
        </w:rPr>
        <w:t>Głębokość frezowania powinna odpowiadać głębokości określonej w dokumentacji projektowej z dokładnością ± 5 mm.</w:t>
      </w:r>
    </w:p>
    <w:p w14:paraId="19F2E928" w14:textId="77777777" w:rsidR="00A74742" w:rsidRPr="00A23FB4" w:rsidRDefault="00A74742" w:rsidP="00A74742">
      <w:pPr>
        <w:rPr>
          <w:rFonts w:ascii="Calibri" w:hAnsi="Calibri" w:cs="Calibri"/>
          <w:b/>
        </w:rPr>
      </w:pPr>
    </w:p>
    <w:p w14:paraId="16E75FB4" w14:textId="77777777" w:rsidR="00A74742" w:rsidRPr="00A23FB4" w:rsidRDefault="00A74742" w:rsidP="00A74742">
      <w:pPr>
        <w:rPr>
          <w:rFonts w:ascii="Calibri" w:hAnsi="Calibri" w:cs="Calibri"/>
          <w:b/>
        </w:rPr>
      </w:pPr>
      <w:r w:rsidRPr="00A23FB4">
        <w:rPr>
          <w:rFonts w:ascii="Calibri" w:hAnsi="Calibri" w:cs="Calibri"/>
          <w:b/>
        </w:rPr>
        <w:t>7. OBMIAR ROBÓT</w:t>
      </w:r>
    </w:p>
    <w:p w14:paraId="454F2A66" w14:textId="77777777" w:rsidR="00A74742" w:rsidRPr="00A23FB4" w:rsidRDefault="00A74742" w:rsidP="00A74742">
      <w:pPr>
        <w:pStyle w:val="Nagwek4"/>
        <w:tabs>
          <w:tab w:val="left" w:pos="9914"/>
        </w:tabs>
        <w:rPr>
          <w:rFonts w:ascii="Calibri" w:hAnsi="Calibri" w:cs="Calibri"/>
        </w:rPr>
      </w:pPr>
      <w:r w:rsidRPr="00A23FB4">
        <w:rPr>
          <w:rFonts w:ascii="Calibri" w:hAnsi="Calibri" w:cs="Calibri"/>
        </w:rPr>
        <w:t>7.1. Ogólne zasady obmiaru robót</w:t>
      </w:r>
    </w:p>
    <w:p w14:paraId="6890E4D3" w14:textId="77777777" w:rsidR="001A73F7" w:rsidRDefault="001A73F7" w:rsidP="001A73F7">
      <w:pPr>
        <w:numPr>
          <w:ilvl w:val="12"/>
          <w:numId w:val="0"/>
        </w:numPr>
        <w:tabs>
          <w:tab w:val="left" w:pos="0"/>
          <w:tab w:val="left" w:pos="9914"/>
        </w:tabs>
        <w:rPr>
          <w:rFonts w:ascii="Calibri" w:hAnsi="Calibri" w:cs="Calibri"/>
        </w:rPr>
      </w:pPr>
    </w:p>
    <w:p w14:paraId="7EFEC4F6" w14:textId="0ED6FC12" w:rsidR="001A73F7" w:rsidRDefault="001A73F7" w:rsidP="001A73F7">
      <w:pPr>
        <w:numPr>
          <w:ilvl w:val="12"/>
          <w:numId w:val="0"/>
        </w:numPr>
        <w:tabs>
          <w:tab w:val="left" w:pos="0"/>
          <w:tab w:val="left" w:pos="9914"/>
        </w:tabs>
        <w:rPr>
          <w:rFonts w:ascii="Calibri" w:hAnsi="Calibri" w:cs="Calibri"/>
        </w:rPr>
      </w:pPr>
      <w:r>
        <w:rPr>
          <w:rFonts w:ascii="Calibri" w:hAnsi="Calibri" w:cs="Calibri"/>
        </w:rPr>
        <w:t>Kontrakt ryczałtowy</w:t>
      </w:r>
    </w:p>
    <w:p w14:paraId="091A52C4" w14:textId="60AAC5E7" w:rsidR="00A74742" w:rsidRPr="00A23FB4" w:rsidRDefault="00A74742" w:rsidP="00A74742">
      <w:pPr>
        <w:tabs>
          <w:tab w:val="left" w:pos="9914"/>
        </w:tabs>
        <w:rPr>
          <w:rFonts w:ascii="Calibri" w:hAnsi="Calibri" w:cs="Calibri"/>
        </w:rPr>
      </w:pPr>
      <w:r w:rsidRPr="00A23FB4">
        <w:rPr>
          <w:rFonts w:ascii="Calibri" w:hAnsi="Calibri" w:cs="Calibri"/>
        </w:rPr>
        <w:t xml:space="preserve">Ogólne zasady obmiaru robót podano w </w:t>
      </w:r>
      <w:r w:rsidR="006F4B9D">
        <w:rPr>
          <w:rFonts w:ascii="Calibri" w:hAnsi="Calibri" w:cs="Calibri"/>
        </w:rPr>
        <w:t>ST</w:t>
      </w:r>
      <w:r w:rsidRPr="00A23FB4">
        <w:rPr>
          <w:rFonts w:ascii="Calibri" w:hAnsi="Calibri" w:cs="Calibri"/>
        </w:rPr>
        <w:t>WiORB D-M-00.00.00 „Wymagania ogólne” pkt 7.</w:t>
      </w:r>
    </w:p>
    <w:p w14:paraId="691F4B00" w14:textId="77777777" w:rsidR="00A74742" w:rsidRPr="00A23FB4" w:rsidRDefault="00A74742" w:rsidP="00A74742">
      <w:pPr>
        <w:rPr>
          <w:rFonts w:ascii="Calibri" w:hAnsi="Calibri" w:cs="Calibri"/>
          <w:b/>
        </w:rPr>
      </w:pPr>
    </w:p>
    <w:p w14:paraId="708D3981" w14:textId="77777777" w:rsidR="00A74742" w:rsidRPr="00A23FB4" w:rsidRDefault="00A74742" w:rsidP="00A74742">
      <w:pPr>
        <w:rPr>
          <w:rFonts w:ascii="Calibri" w:hAnsi="Calibri" w:cs="Calibri"/>
          <w:b/>
        </w:rPr>
      </w:pPr>
      <w:r w:rsidRPr="00A23FB4">
        <w:rPr>
          <w:rFonts w:ascii="Calibri" w:hAnsi="Calibri" w:cs="Calibri"/>
          <w:b/>
        </w:rPr>
        <w:t>8. ODBIÓR ROBÓT</w:t>
      </w:r>
    </w:p>
    <w:p w14:paraId="74E40963" w14:textId="7F53C5D8" w:rsidR="00A74742" w:rsidRPr="00A23FB4" w:rsidRDefault="00A74742" w:rsidP="00A74742">
      <w:pPr>
        <w:tabs>
          <w:tab w:val="left" w:pos="9914"/>
        </w:tabs>
        <w:rPr>
          <w:rFonts w:ascii="Calibri" w:hAnsi="Calibri" w:cs="Calibri"/>
        </w:rPr>
      </w:pPr>
      <w:r w:rsidRPr="00A23FB4">
        <w:rPr>
          <w:rFonts w:ascii="Calibri" w:hAnsi="Calibri" w:cs="Calibri"/>
        </w:rPr>
        <w:t xml:space="preserve">Ogólne zasady odbioru robót podano w </w:t>
      </w:r>
      <w:r w:rsidR="006F4B9D">
        <w:rPr>
          <w:rFonts w:ascii="Calibri" w:hAnsi="Calibri" w:cs="Calibri"/>
        </w:rPr>
        <w:t>ST</w:t>
      </w:r>
      <w:r w:rsidRPr="00A23FB4">
        <w:rPr>
          <w:rFonts w:ascii="Calibri" w:hAnsi="Calibri" w:cs="Calibri"/>
        </w:rPr>
        <w:t>WiORB D-M-00.00.00 „Wymagania ogólne” pkt 8.</w:t>
      </w:r>
    </w:p>
    <w:p w14:paraId="6B492129" w14:textId="76E01F57" w:rsidR="00A74742" w:rsidRPr="00A23FB4" w:rsidRDefault="00A74742" w:rsidP="00A74742">
      <w:pPr>
        <w:tabs>
          <w:tab w:val="left" w:pos="9914"/>
        </w:tabs>
        <w:rPr>
          <w:rFonts w:ascii="Calibri" w:hAnsi="Calibri" w:cs="Calibri"/>
        </w:rPr>
      </w:pPr>
      <w:r w:rsidRPr="00A23FB4">
        <w:rPr>
          <w:rFonts w:ascii="Calibri" w:hAnsi="Calibri" w:cs="Calibri"/>
        </w:rPr>
        <w:t xml:space="preserve">Roboty uznaje się za wykonane zgodnie z dokumentacją projektową, </w:t>
      </w:r>
      <w:r w:rsidR="006F4B9D">
        <w:rPr>
          <w:rFonts w:ascii="Calibri" w:hAnsi="Calibri" w:cs="Calibri"/>
        </w:rPr>
        <w:t>ST</w:t>
      </w:r>
      <w:r w:rsidRPr="00A23FB4">
        <w:rPr>
          <w:rFonts w:ascii="Calibri" w:hAnsi="Calibri" w:cs="Calibri"/>
        </w:rPr>
        <w:t>WiORB i wymaganiami Inżyniera/Kierownika projektu, jeżeli wszystkie pomiary i badania z zachowaniem tolerancji wg pkt 6 dały wyniki pozytywne.</w:t>
      </w:r>
    </w:p>
    <w:p w14:paraId="6F8A0805" w14:textId="77777777" w:rsidR="00A74742" w:rsidRPr="00A23FB4" w:rsidRDefault="00A74742" w:rsidP="00A74742">
      <w:pPr>
        <w:rPr>
          <w:rFonts w:ascii="Calibri" w:hAnsi="Calibri" w:cs="Calibri"/>
          <w:b/>
        </w:rPr>
      </w:pPr>
    </w:p>
    <w:p w14:paraId="1D6297D6" w14:textId="77777777" w:rsidR="00A74742" w:rsidRPr="00A23FB4" w:rsidRDefault="00A74742" w:rsidP="00A74742">
      <w:pPr>
        <w:rPr>
          <w:rFonts w:ascii="Calibri" w:hAnsi="Calibri" w:cs="Calibri"/>
          <w:b/>
        </w:rPr>
      </w:pPr>
      <w:r w:rsidRPr="00A23FB4">
        <w:rPr>
          <w:rFonts w:ascii="Calibri" w:hAnsi="Calibri" w:cs="Calibri"/>
          <w:b/>
        </w:rPr>
        <w:t>9. PODSTAWA PŁATNOŚCI</w:t>
      </w:r>
    </w:p>
    <w:p w14:paraId="6A67B57F" w14:textId="77777777" w:rsidR="00A74742" w:rsidRPr="00A23FB4" w:rsidRDefault="00A74742" w:rsidP="00A74742">
      <w:pPr>
        <w:pStyle w:val="Nagwek4"/>
        <w:tabs>
          <w:tab w:val="left" w:pos="9914"/>
        </w:tabs>
        <w:rPr>
          <w:rFonts w:ascii="Calibri" w:hAnsi="Calibri" w:cs="Calibri"/>
        </w:rPr>
      </w:pPr>
      <w:r w:rsidRPr="00A23FB4">
        <w:rPr>
          <w:rFonts w:ascii="Calibri" w:hAnsi="Calibri" w:cs="Calibri"/>
        </w:rPr>
        <w:t>9.1. Ogólne ustalenia dotyczące podstawy płatności</w:t>
      </w:r>
    </w:p>
    <w:p w14:paraId="02E9F1FF" w14:textId="77777777" w:rsidR="001A73F7" w:rsidRDefault="001A73F7" w:rsidP="001A73F7">
      <w:pPr>
        <w:numPr>
          <w:ilvl w:val="12"/>
          <w:numId w:val="0"/>
        </w:numPr>
        <w:tabs>
          <w:tab w:val="left" w:pos="0"/>
          <w:tab w:val="left" w:pos="9914"/>
        </w:tabs>
        <w:rPr>
          <w:rFonts w:ascii="Calibri" w:hAnsi="Calibri" w:cs="Calibri"/>
        </w:rPr>
      </w:pPr>
      <w:r>
        <w:rPr>
          <w:rFonts w:ascii="Calibri" w:hAnsi="Calibri" w:cs="Calibri"/>
        </w:rPr>
        <w:t>Kontrakt ryczałtowy</w:t>
      </w:r>
    </w:p>
    <w:p w14:paraId="27AAB14A" w14:textId="19A76BE4" w:rsidR="00A74742" w:rsidRPr="00A23FB4" w:rsidRDefault="00A74742" w:rsidP="00A74742">
      <w:pPr>
        <w:tabs>
          <w:tab w:val="left" w:pos="9914"/>
        </w:tabs>
        <w:rPr>
          <w:rFonts w:ascii="Calibri" w:hAnsi="Calibri" w:cs="Calibri"/>
        </w:rPr>
      </w:pPr>
      <w:r w:rsidRPr="00A23FB4">
        <w:rPr>
          <w:rFonts w:ascii="Calibri" w:hAnsi="Calibri" w:cs="Calibri"/>
        </w:rPr>
        <w:t xml:space="preserve">Ogólne ustalenia dotyczące podstawy płatności podano w </w:t>
      </w:r>
      <w:r w:rsidR="006F4B9D">
        <w:rPr>
          <w:rFonts w:ascii="Calibri" w:hAnsi="Calibri" w:cs="Calibri"/>
        </w:rPr>
        <w:t>ST</w:t>
      </w:r>
      <w:r w:rsidRPr="00A23FB4">
        <w:rPr>
          <w:rFonts w:ascii="Calibri" w:hAnsi="Calibri" w:cs="Calibri"/>
        </w:rPr>
        <w:t>WiORB D-M-00.00.00 „Wymagania ogólne” pkt 9.</w:t>
      </w:r>
      <w:r w:rsidRPr="00A23FB4">
        <w:rPr>
          <w:rFonts w:ascii="Calibri" w:hAnsi="Calibri" w:cs="Calibri"/>
        </w:rPr>
        <w:tab/>
      </w:r>
    </w:p>
    <w:p w14:paraId="64DF5F6F" w14:textId="77777777" w:rsidR="00A74742" w:rsidRPr="00A23FB4" w:rsidRDefault="00A74742" w:rsidP="00A74742">
      <w:pPr>
        <w:rPr>
          <w:rFonts w:ascii="Calibri" w:hAnsi="Calibri" w:cs="Calibri"/>
          <w:b/>
        </w:rPr>
      </w:pPr>
      <w:r w:rsidRPr="00A23FB4">
        <w:rPr>
          <w:rFonts w:ascii="Calibri" w:hAnsi="Calibri" w:cs="Calibri"/>
          <w:b/>
        </w:rPr>
        <w:t>10. PRZEPISY ZWIĄZANE</w:t>
      </w:r>
    </w:p>
    <w:p w14:paraId="685D1B42" w14:textId="77777777" w:rsidR="00A74742" w:rsidRPr="00A23FB4" w:rsidRDefault="00A74742" w:rsidP="00A74742">
      <w:pPr>
        <w:rPr>
          <w:rFonts w:ascii="Calibri" w:hAnsi="Calibri" w:cs="Calibri"/>
          <w:b/>
        </w:rPr>
      </w:pPr>
    </w:p>
    <w:p w14:paraId="56EBAF6E" w14:textId="77777777" w:rsidR="00A74742" w:rsidRPr="00A23FB4" w:rsidRDefault="00A74742" w:rsidP="00A74742">
      <w:pPr>
        <w:tabs>
          <w:tab w:val="left" w:pos="9914"/>
        </w:tabs>
        <w:rPr>
          <w:rFonts w:ascii="Calibri" w:hAnsi="Calibri" w:cs="Calibri"/>
          <w:b/>
          <w:bCs/>
        </w:rPr>
      </w:pPr>
      <w:r w:rsidRPr="00A23FB4">
        <w:rPr>
          <w:rFonts w:ascii="Calibri" w:hAnsi="Calibri" w:cs="Calibri"/>
          <w:b/>
          <w:bCs/>
        </w:rPr>
        <w:t>Normy</w:t>
      </w:r>
      <w:r w:rsidRPr="00A23FB4">
        <w:rPr>
          <w:rFonts w:ascii="Calibri" w:hAnsi="Calibri" w:cs="Calibri"/>
        </w:rPr>
        <w:tab/>
      </w:r>
    </w:p>
    <w:p w14:paraId="2AB603DA" w14:textId="77777777" w:rsidR="00A74742" w:rsidRPr="00C86F6B" w:rsidRDefault="00A74742" w:rsidP="00A74742">
      <w:pPr>
        <w:tabs>
          <w:tab w:val="left" w:pos="9914"/>
        </w:tabs>
        <w:rPr>
          <w:rFonts w:ascii="Calibri" w:hAnsi="Calibri" w:cs="Calibri"/>
          <w:sz w:val="18"/>
          <w:szCs w:val="18"/>
        </w:rPr>
      </w:pPr>
      <w:r w:rsidRPr="00C86F6B">
        <w:rPr>
          <w:rFonts w:ascii="Calibri" w:hAnsi="Calibri" w:cs="Calibri"/>
          <w:sz w:val="18"/>
          <w:szCs w:val="18"/>
        </w:rPr>
        <w:t>1. BN-68/8931-04 Drogi samochodowe. Pomiar równości nawierzchni planografem i łatą.</w:t>
      </w:r>
    </w:p>
    <w:p w14:paraId="23BE8376" w14:textId="77777777" w:rsidR="00C17D59" w:rsidRPr="00A23FB4" w:rsidRDefault="00C17D59">
      <w:pPr>
        <w:overflowPunct/>
        <w:autoSpaceDE/>
        <w:autoSpaceDN/>
        <w:adjustRightInd/>
        <w:jc w:val="left"/>
        <w:textAlignment w:val="auto"/>
        <w:rPr>
          <w:rFonts w:ascii="Calibri" w:hAnsi="Calibri" w:cs="Calibri"/>
        </w:rPr>
      </w:pPr>
    </w:p>
    <w:p w14:paraId="5EC6015C" w14:textId="77777777" w:rsidR="001E6B33" w:rsidRPr="00A23FB4" w:rsidRDefault="001E6B33">
      <w:pPr>
        <w:overflowPunct/>
        <w:autoSpaceDE/>
        <w:autoSpaceDN/>
        <w:adjustRightInd/>
        <w:jc w:val="left"/>
        <w:textAlignment w:val="auto"/>
        <w:rPr>
          <w:rFonts w:ascii="Calibri" w:hAnsi="Calibri" w:cs="Calibri"/>
        </w:rPr>
      </w:pPr>
      <w:r w:rsidRPr="00A23FB4">
        <w:rPr>
          <w:rFonts w:ascii="Calibri" w:hAnsi="Calibri" w:cs="Calibri"/>
        </w:rPr>
        <w:br w:type="page"/>
      </w:r>
    </w:p>
    <w:p w14:paraId="6D2F08CD" w14:textId="42FD4DD7" w:rsidR="000B1D44" w:rsidRPr="00A23FB4" w:rsidRDefault="000B1D44">
      <w:pPr>
        <w:overflowPunct/>
        <w:autoSpaceDE/>
        <w:autoSpaceDN/>
        <w:adjustRightInd/>
        <w:jc w:val="left"/>
        <w:textAlignment w:val="auto"/>
        <w:rPr>
          <w:rFonts w:ascii="Calibri" w:hAnsi="Calibri" w:cs="Calibri"/>
          <w:b/>
          <w:sz w:val="22"/>
          <w:szCs w:val="22"/>
        </w:rPr>
      </w:pPr>
    </w:p>
    <w:p w14:paraId="40718D45" w14:textId="746DE674" w:rsidR="00C9677E" w:rsidRPr="003D707D" w:rsidRDefault="00783235" w:rsidP="00C9677E">
      <w:pPr>
        <w:spacing w:line="360" w:lineRule="auto"/>
        <w:jc w:val="center"/>
        <w:rPr>
          <w:rFonts w:ascii="Calibri" w:hAnsi="Calibri" w:cs="Calibri"/>
          <w:b/>
          <w:sz w:val="22"/>
          <w:szCs w:val="22"/>
        </w:rPr>
      </w:pPr>
      <w:r>
        <w:rPr>
          <w:rFonts w:ascii="Calibri" w:hAnsi="Calibri" w:cs="Calibri"/>
          <w:b/>
          <w:sz w:val="22"/>
          <w:szCs w:val="22"/>
        </w:rPr>
        <w:t>SZCZEGÓŁOWE SPECYFIKACJE TECHNICZNE</w:t>
      </w:r>
      <w:r w:rsidR="00C9677E" w:rsidRPr="003D707D">
        <w:rPr>
          <w:rFonts w:ascii="Calibri" w:hAnsi="Calibri" w:cs="Calibri"/>
          <w:b/>
          <w:sz w:val="22"/>
          <w:szCs w:val="22"/>
        </w:rPr>
        <w:t xml:space="preserve"> WYKONANIA I ODBIORU ROBÓT BUDOWLANYCH</w:t>
      </w:r>
    </w:p>
    <w:p w14:paraId="5F456003" w14:textId="77777777" w:rsidR="00C9677E" w:rsidRPr="00A23FB4" w:rsidRDefault="001E2EEB" w:rsidP="00C9677E">
      <w:pPr>
        <w:pStyle w:val="Nagowek1"/>
        <w:spacing w:before="0"/>
      </w:pPr>
      <w:bookmarkStart w:id="58" w:name="_Toc206275470"/>
      <w:r w:rsidRPr="003D707D">
        <w:t>D-</w:t>
      </w:r>
      <w:r w:rsidR="00C9677E" w:rsidRPr="003D707D">
        <w:t>01.03.02 PRZEBUDOWA  KABLOWYCH  LINII ENERG</w:t>
      </w:r>
      <w:r w:rsidR="009B7BBC" w:rsidRPr="003D707D">
        <w:t>.</w:t>
      </w:r>
      <w:r w:rsidR="00C9677E" w:rsidRPr="003D707D">
        <w:t>PRZY  PRZEBUDOWIE I  BUDOWIE DRÓG</w:t>
      </w:r>
      <w:bookmarkEnd w:id="58"/>
    </w:p>
    <w:p w14:paraId="03814C07" w14:textId="77777777" w:rsidR="00C9677E" w:rsidRPr="00A23FB4" w:rsidRDefault="00C9677E" w:rsidP="00C9677E">
      <w:pPr>
        <w:jc w:val="center"/>
        <w:rPr>
          <w:rFonts w:asciiTheme="minorHAnsi" w:hAnsiTheme="minorHAnsi" w:cstheme="minorHAnsi"/>
          <w:b/>
        </w:rPr>
      </w:pPr>
    </w:p>
    <w:p w14:paraId="124E6277" w14:textId="77777777" w:rsidR="00C9677E" w:rsidRPr="00A23FB4" w:rsidRDefault="00C9677E" w:rsidP="00C9677E">
      <w:pPr>
        <w:pStyle w:val="Nagwek3"/>
        <w:rPr>
          <w:rFonts w:asciiTheme="minorHAnsi" w:hAnsiTheme="minorHAnsi"/>
        </w:rPr>
      </w:pPr>
      <w:bookmarkStart w:id="59" w:name="_Toc466861801"/>
      <w:r w:rsidRPr="00A23FB4">
        <w:rPr>
          <w:rFonts w:asciiTheme="minorHAnsi" w:hAnsiTheme="minorHAnsi"/>
        </w:rPr>
        <w:t>1. WSTĘP</w:t>
      </w:r>
      <w:bookmarkEnd w:id="59"/>
    </w:p>
    <w:p w14:paraId="6424325D" w14:textId="56A2DB89" w:rsidR="00C9677E" w:rsidRPr="00A23FB4" w:rsidRDefault="00C9677E" w:rsidP="00C9677E">
      <w:pPr>
        <w:pStyle w:val="Nagwek4"/>
        <w:rPr>
          <w:rFonts w:asciiTheme="minorHAnsi" w:hAnsiTheme="minorHAnsi"/>
        </w:rPr>
      </w:pPr>
      <w:r w:rsidRPr="00A23FB4">
        <w:rPr>
          <w:rFonts w:asciiTheme="minorHAnsi" w:hAnsiTheme="minorHAnsi"/>
        </w:rPr>
        <w:t xml:space="preserve">1.1. Przedmiot </w:t>
      </w:r>
      <w:r w:rsidR="006F4B9D">
        <w:rPr>
          <w:rFonts w:asciiTheme="minorHAnsi" w:hAnsiTheme="minorHAnsi"/>
        </w:rPr>
        <w:t>ST</w:t>
      </w:r>
      <w:r w:rsidRPr="00A23FB4">
        <w:rPr>
          <w:rFonts w:asciiTheme="minorHAnsi" w:hAnsiTheme="minorHAnsi"/>
        </w:rPr>
        <w:t>WiORB</w:t>
      </w:r>
    </w:p>
    <w:p w14:paraId="5BAD1065" w14:textId="6F6AD883" w:rsidR="00C9677E" w:rsidRPr="00A23FB4" w:rsidRDefault="00C9677E" w:rsidP="00C9677E">
      <w:pPr>
        <w:pStyle w:val="tekstost"/>
        <w:rPr>
          <w:rFonts w:asciiTheme="minorHAnsi" w:hAnsiTheme="minorHAnsi" w:cstheme="minorHAnsi"/>
        </w:rPr>
      </w:pPr>
      <w:r w:rsidRPr="00A23FB4">
        <w:rPr>
          <w:rFonts w:asciiTheme="minorHAnsi" w:hAnsiTheme="minorHAnsi" w:cstheme="minorHAnsi"/>
        </w:rPr>
        <w:t>Przedmiotem niniejsz</w:t>
      </w:r>
      <w:r w:rsidR="001A73F7">
        <w:rPr>
          <w:rFonts w:asciiTheme="minorHAnsi" w:hAnsiTheme="minorHAnsi" w:cstheme="minorHAnsi"/>
        </w:rPr>
        <w:t>ej</w:t>
      </w:r>
      <w:r w:rsidRPr="00A23FB4">
        <w:rPr>
          <w:rFonts w:asciiTheme="minorHAnsi" w:hAnsiTheme="minorHAnsi" w:cstheme="minorHAnsi"/>
        </w:rPr>
        <w:t xml:space="preserve"> </w:t>
      </w:r>
      <w:r w:rsidR="00783235">
        <w:rPr>
          <w:rFonts w:asciiTheme="minorHAnsi" w:hAnsiTheme="minorHAnsi" w:cstheme="minorHAnsi"/>
        </w:rPr>
        <w:t>Szczegółow</w:t>
      </w:r>
      <w:r w:rsidR="001A73F7">
        <w:rPr>
          <w:rFonts w:asciiTheme="minorHAnsi" w:hAnsiTheme="minorHAnsi" w:cstheme="minorHAnsi"/>
        </w:rPr>
        <w:t>ej</w:t>
      </w:r>
      <w:r w:rsidR="00783235">
        <w:rPr>
          <w:rFonts w:asciiTheme="minorHAnsi" w:hAnsiTheme="minorHAnsi" w:cstheme="minorHAnsi"/>
        </w:rPr>
        <w:t xml:space="preserve"> Specyfikacji Techniczn</w:t>
      </w:r>
      <w:r w:rsidR="001A73F7">
        <w:rPr>
          <w:rFonts w:asciiTheme="minorHAnsi" w:hAnsiTheme="minorHAnsi" w:cstheme="minorHAnsi"/>
        </w:rPr>
        <w:t>ej</w:t>
      </w:r>
      <w:r w:rsidR="00783235">
        <w:rPr>
          <w:rFonts w:asciiTheme="minorHAnsi" w:hAnsiTheme="minorHAnsi" w:cstheme="minorHAnsi"/>
        </w:rPr>
        <w:t xml:space="preserve"> W</w:t>
      </w:r>
      <w:r w:rsidRPr="00A23FB4">
        <w:rPr>
          <w:rFonts w:asciiTheme="minorHAnsi" w:hAnsiTheme="minorHAnsi" w:cstheme="minorHAnsi"/>
        </w:rPr>
        <w:t xml:space="preserve">ykonania i </w:t>
      </w:r>
      <w:r w:rsidR="00783235">
        <w:rPr>
          <w:rFonts w:asciiTheme="minorHAnsi" w:hAnsiTheme="minorHAnsi" w:cstheme="minorHAnsi"/>
        </w:rPr>
        <w:t>O</w:t>
      </w:r>
      <w:r w:rsidRPr="00A23FB4">
        <w:rPr>
          <w:rFonts w:asciiTheme="minorHAnsi" w:hAnsiTheme="minorHAnsi" w:cstheme="minorHAnsi"/>
        </w:rPr>
        <w:t xml:space="preserve">dbioru </w:t>
      </w:r>
      <w:r w:rsidR="00783235">
        <w:rPr>
          <w:rFonts w:asciiTheme="minorHAnsi" w:hAnsiTheme="minorHAnsi" w:cstheme="minorHAnsi"/>
        </w:rPr>
        <w:t>R</w:t>
      </w:r>
      <w:r w:rsidRPr="00A23FB4">
        <w:rPr>
          <w:rFonts w:asciiTheme="minorHAnsi" w:hAnsiTheme="minorHAnsi" w:cstheme="minorHAnsi"/>
        </w:rPr>
        <w:t xml:space="preserve">obót </w:t>
      </w:r>
      <w:r w:rsidR="00783235">
        <w:rPr>
          <w:rFonts w:asciiTheme="minorHAnsi" w:hAnsiTheme="minorHAnsi" w:cstheme="minorHAnsi"/>
        </w:rPr>
        <w:t>B</w:t>
      </w:r>
      <w:r w:rsidRPr="00A23FB4">
        <w:rPr>
          <w:rFonts w:asciiTheme="minorHAnsi" w:hAnsiTheme="minorHAnsi" w:cstheme="minorHAnsi"/>
        </w:rPr>
        <w:t>udowlanych (</w:t>
      </w:r>
      <w:r w:rsidR="006F4B9D">
        <w:rPr>
          <w:rFonts w:asciiTheme="minorHAnsi" w:hAnsiTheme="minorHAnsi" w:cstheme="minorHAnsi"/>
        </w:rPr>
        <w:t>ST</w:t>
      </w:r>
      <w:r w:rsidRPr="00A23FB4">
        <w:rPr>
          <w:rFonts w:asciiTheme="minorHAnsi" w:hAnsiTheme="minorHAnsi" w:cstheme="minorHAnsi"/>
        </w:rPr>
        <w:t xml:space="preserve">WiORB) są wymagania dotyczące wykonania i odbioru kablowych linii energetycznych przy </w:t>
      </w:r>
      <w:r w:rsidR="001A73F7">
        <w:rPr>
          <w:rFonts w:asciiTheme="minorHAnsi" w:hAnsiTheme="minorHAnsi" w:cstheme="minorHAnsi"/>
        </w:rPr>
        <w:t xml:space="preserve">ich </w:t>
      </w:r>
      <w:r w:rsidRPr="00A23FB4">
        <w:rPr>
          <w:rFonts w:asciiTheme="minorHAnsi" w:hAnsiTheme="minorHAnsi" w:cstheme="minorHAnsi"/>
        </w:rPr>
        <w:t>przebudowie</w:t>
      </w:r>
      <w:r w:rsidR="008B531E">
        <w:rPr>
          <w:rFonts w:asciiTheme="minorHAnsi" w:hAnsiTheme="minorHAnsi" w:cstheme="minorHAnsi"/>
        </w:rPr>
        <w:t xml:space="preserve"> w związku z kolizjami z projektowanymi robotami drogowymi</w:t>
      </w:r>
      <w:r w:rsidRPr="00A23FB4">
        <w:rPr>
          <w:rFonts w:asciiTheme="minorHAnsi" w:hAnsiTheme="minorHAnsi" w:cstheme="minorHAnsi"/>
        </w:rPr>
        <w:t>.</w:t>
      </w:r>
    </w:p>
    <w:p w14:paraId="195AE123" w14:textId="246DF5F7" w:rsidR="00C9677E" w:rsidRPr="00A23FB4" w:rsidRDefault="00C9677E" w:rsidP="00C9677E">
      <w:pPr>
        <w:pStyle w:val="Nagwek4"/>
        <w:rPr>
          <w:rFonts w:asciiTheme="minorHAnsi" w:hAnsiTheme="minorHAnsi"/>
        </w:rPr>
      </w:pPr>
      <w:r w:rsidRPr="00A23FB4">
        <w:rPr>
          <w:rFonts w:asciiTheme="minorHAnsi" w:hAnsiTheme="minorHAnsi"/>
        </w:rPr>
        <w:t xml:space="preserve">1.2. Zakres stosowania </w:t>
      </w:r>
      <w:r w:rsidR="006F4B9D">
        <w:rPr>
          <w:rFonts w:asciiTheme="minorHAnsi" w:hAnsiTheme="minorHAnsi"/>
        </w:rPr>
        <w:t>ST</w:t>
      </w:r>
      <w:r w:rsidRPr="00A23FB4">
        <w:rPr>
          <w:rFonts w:asciiTheme="minorHAnsi" w:hAnsiTheme="minorHAnsi"/>
        </w:rPr>
        <w:t>WiORB</w:t>
      </w:r>
    </w:p>
    <w:p w14:paraId="6A9EEDF5" w14:textId="18A7744B" w:rsidR="00CF795A" w:rsidRPr="006F4B9D" w:rsidRDefault="00575C66" w:rsidP="00CF795A">
      <w:pPr>
        <w:overflowPunct/>
        <w:spacing w:before="240" w:line="276" w:lineRule="auto"/>
        <w:textAlignment w:val="auto"/>
        <w:rPr>
          <w:rFonts w:ascii="Calibri" w:hAnsi="Calibri" w:cs="Calibri"/>
          <w:i/>
        </w:rPr>
      </w:pPr>
      <w:r>
        <w:rPr>
          <w:rFonts w:ascii="Calibri" w:hAnsi="Calibri" w:cs="Calibri"/>
        </w:rPr>
        <w:t>Specyfikacj</w:t>
      </w:r>
      <w:r w:rsidR="008B531E">
        <w:rPr>
          <w:rFonts w:ascii="Calibri" w:hAnsi="Calibri" w:cs="Calibri"/>
        </w:rPr>
        <w:t>a</w:t>
      </w:r>
      <w:r w:rsidRPr="00A23FB4">
        <w:rPr>
          <w:rFonts w:asciiTheme="minorHAnsi" w:hAnsiTheme="minorHAnsi" w:cs="Calibri"/>
        </w:rPr>
        <w:t xml:space="preserve"> </w:t>
      </w:r>
      <w:r w:rsidR="00C9677E" w:rsidRPr="00A23FB4">
        <w:rPr>
          <w:rFonts w:asciiTheme="minorHAnsi" w:hAnsiTheme="minorHAnsi" w:cs="Calibri"/>
        </w:rPr>
        <w:t>stanowi dokument kontraktowy przy realizacji  zadania</w:t>
      </w:r>
      <w:r w:rsidR="00A66985" w:rsidRPr="00A23FB4">
        <w:rPr>
          <w:rFonts w:asciiTheme="minorHAnsi" w:hAnsiTheme="minorHAnsi" w:cstheme="minorHAnsi"/>
          <w:bCs/>
        </w:rPr>
        <w:t xml:space="preserve"> </w:t>
      </w:r>
      <w:r w:rsidR="00506838">
        <w:rPr>
          <w:rFonts w:ascii="Calibri" w:hAnsi="Calibri" w:cs="Calibri"/>
        </w:rPr>
        <w:t>„</w:t>
      </w:r>
      <w:r w:rsidR="006F4B9D" w:rsidRPr="006F4B9D">
        <w:rPr>
          <w:rFonts w:ascii="Calibri" w:hAnsi="Calibri" w:cs="Calibri"/>
          <w:i/>
        </w:rPr>
        <w:t>Rozbudowa ul. Wrocławskiej w ciągu drogi powiatowej w Tyńcu Małym wraz z rozbudową istniejącego skrzyżowania typu rondo na połączeniu dróg krajowych nr 35 i 35a oraz łącznika węzła Kobierzyce drogi S8e oraz infrastrukturą towarzyszącą w ramach zadania „Rozbudowa skrzyżowania typu rondo w ciągu DK35 koło m. Tyniec Mały usprawniająca skomunikowanie obszarów Podstrefy Wrocław – Kobierzyce TSSE EURO PARK WISŁOSAN”.</w:t>
      </w:r>
    </w:p>
    <w:p w14:paraId="4E7BCB83" w14:textId="6E1BB83B" w:rsidR="00C9677E" w:rsidRPr="00A23FB4" w:rsidRDefault="00C9677E" w:rsidP="00C9677E">
      <w:pPr>
        <w:rPr>
          <w:rFonts w:asciiTheme="minorHAnsi" w:hAnsiTheme="minorHAnsi" w:cs="Calibri"/>
        </w:rPr>
      </w:pPr>
    </w:p>
    <w:p w14:paraId="7E3B4B95" w14:textId="33F9F61B" w:rsidR="00C9677E" w:rsidRPr="00A23FB4" w:rsidRDefault="00C9677E" w:rsidP="00C9677E">
      <w:pPr>
        <w:pStyle w:val="Nagwek4"/>
        <w:rPr>
          <w:rFonts w:asciiTheme="minorHAnsi" w:hAnsiTheme="minorHAnsi"/>
        </w:rPr>
      </w:pPr>
      <w:r w:rsidRPr="00A23FB4">
        <w:rPr>
          <w:rFonts w:asciiTheme="minorHAnsi" w:hAnsiTheme="minorHAnsi"/>
        </w:rPr>
        <w:t xml:space="preserve">1.3. Zakres robót objętych </w:t>
      </w:r>
      <w:r w:rsidR="006F4B9D">
        <w:rPr>
          <w:rFonts w:asciiTheme="minorHAnsi" w:hAnsiTheme="minorHAnsi"/>
        </w:rPr>
        <w:t>ST</w:t>
      </w:r>
      <w:r w:rsidRPr="00A23FB4">
        <w:rPr>
          <w:rFonts w:asciiTheme="minorHAnsi" w:hAnsiTheme="minorHAnsi"/>
        </w:rPr>
        <w:t>WiORB</w:t>
      </w:r>
    </w:p>
    <w:p w14:paraId="43CFA204"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Ustalenia zawarte w niniejszej specyfikacji mają zastosowanie do przebudowy linii kablowych kolidujących z przebudową i budową placu.</w:t>
      </w:r>
    </w:p>
    <w:p w14:paraId="0F875C48" w14:textId="77777777" w:rsidR="00C9677E" w:rsidRPr="00A23FB4" w:rsidRDefault="00C9677E" w:rsidP="00C9677E">
      <w:pPr>
        <w:pStyle w:val="Nagwek4"/>
        <w:rPr>
          <w:rFonts w:asciiTheme="minorHAnsi" w:hAnsiTheme="minorHAnsi"/>
        </w:rPr>
      </w:pPr>
      <w:r w:rsidRPr="00A23FB4">
        <w:rPr>
          <w:rFonts w:asciiTheme="minorHAnsi" w:hAnsiTheme="minorHAnsi"/>
        </w:rPr>
        <w:t>1.4. Określenia podstawowe</w:t>
      </w:r>
    </w:p>
    <w:p w14:paraId="56EBEE0D" w14:textId="77777777" w:rsidR="00C9677E" w:rsidRPr="00A23FB4" w:rsidRDefault="00C9677E" w:rsidP="00262498">
      <w:pPr>
        <w:numPr>
          <w:ilvl w:val="0"/>
          <w:numId w:val="36"/>
        </w:numPr>
        <w:tabs>
          <w:tab w:val="clear" w:pos="1381"/>
          <w:tab w:val="left" w:pos="0"/>
          <w:tab w:val="num" w:pos="567"/>
        </w:tabs>
        <w:ind w:left="0" w:firstLine="0"/>
        <w:rPr>
          <w:rFonts w:asciiTheme="minorHAnsi" w:hAnsiTheme="minorHAnsi" w:cstheme="minorHAnsi"/>
        </w:rPr>
      </w:pPr>
      <w:r w:rsidRPr="00A23FB4">
        <w:rPr>
          <w:rFonts w:asciiTheme="minorHAnsi" w:hAnsiTheme="minorHAnsi" w:cstheme="minorHAnsi"/>
        </w:rPr>
        <w:t>Linia kablowa - kabel wielożyłowy lub wiązka kabli jednożyłowych w układzie wielofazowym albo kilka kabli jedno- lub wielożyłowych połączonych równolegle, łącznie z osprzętem, ułożone na wspólnej trasie i łączące zaciski tych samych dwóch urządzeń elektrycznych jedno- lub wielofazowych.</w:t>
      </w:r>
    </w:p>
    <w:p w14:paraId="48DB5389" w14:textId="77777777" w:rsidR="00F817A5" w:rsidRDefault="00C9677E" w:rsidP="00262498">
      <w:pPr>
        <w:numPr>
          <w:ilvl w:val="0"/>
          <w:numId w:val="36"/>
        </w:numPr>
        <w:tabs>
          <w:tab w:val="clear" w:pos="1381"/>
          <w:tab w:val="num" w:pos="1560"/>
        </w:tabs>
        <w:spacing w:before="120" w:after="120"/>
        <w:ind w:left="284" w:hanging="284"/>
        <w:rPr>
          <w:rFonts w:asciiTheme="minorHAnsi" w:hAnsiTheme="minorHAnsi" w:cstheme="minorHAnsi"/>
        </w:rPr>
      </w:pPr>
      <w:r w:rsidRPr="00A23FB4">
        <w:rPr>
          <w:rFonts w:asciiTheme="minorHAnsi" w:hAnsiTheme="minorHAnsi" w:cstheme="minorHAnsi"/>
        </w:rPr>
        <w:t>Trasa kablowa - pas terenu, w którym ułożone są jedna lub więcej linii kablowych.</w:t>
      </w:r>
    </w:p>
    <w:p w14:paraId="6A015C6F" w14:textId="77777777" w:rsidR="00F817A5" w:rsidRDefault="00C9677E" w:rsidP="00262498">
      <w:pPr>
        <w:numPr>
          <w:ilvl w:val="0"/>
          <w:numId w:val="36"/>
        </w:numPr>
        <w:tabs>
          <w:tab w:val="clear" w:pos="1381"/>
          <w:tab w:val="num" w:pos="1560"/>
        </w:tabs>
        <w:spacing w:before="120" w:after="120"/>
        <w:ind w:left="284" w:hanging="284"/>
        <w:rPr>
          <w:rFonts w:asciiTheme="minorHAnsi" w:hAnsiTheme="minorHAnsi" w:cstheme="minorHAnsi"/>
        </w:rPr>
      </w:pPr>
      <w:r w:rsidRPr="00F817A5">
        <w:rPr>
          <w:rFonts w:asciiTheme="minorHAnsi" w:hAnsiTheme="minorHAnsi" w:cstheme="minorHAnsi"/>
        </w:rPr>
        <w:t>Napięcie znamionowe linii - napięcie międzyprzewodowe, na które linia kablowa została zbudowana.</w:t>
      </w:r>
    </w:p>
    <w:p w14:paraId="175B3B50" w14:textId="77777777" w:rsidR="00F817A5" w:rsidRDefault="00C9677E" w:rsidP="00262498">
      <w:pPr>
        <w:numPr>
          <w:ilvl w:val="0"/>
          <w:numId w:val="36"/>
        </w:numPr>
        <w:tabs>
          <w:tab w:val="clear" w:pos="1381"/>
          <w:tab w:val="num" w:pos="1560"/>
        </w:tabs>
        <w:spacing w:before="120" w:after="120"/>
        <w:ind w:left="284" w:hanging="284"/>
        <w:rPr>
          <w:rFonts w:asciiTheme="minorHAnsi" w:hAnsiTheme="minorHAnsi" w:cstheme="minorHAnsi"/>
        </w:rPr>
      </w:pPr>
      <w:r w:rsidRPr="00F817A5">
        <w:rPr>
          <w:rFonts w:asciiTheme="minorHAnsi" w:hAnsiTheme="minorHAnsi" w:cstheme="minorHAnsi"/>
        </w:rPr>
        <w:t>Osprzęt linii kablowej - zbiór elementów przeznaczonych do łączenia, rozgałęziania lub zakończenia kabli</w:t>
      </w:r>
      <w:r w:rsidR="00F817A5">
        <w:rPr>
          <w:rFonts w:asciiTheme="minorHAnsi" w:hAnsiTheme="minorHAnsi" w:cstheme="minorHAnsi"/>
        </w:rPr>
        <w:t>.</w:t>
      </w:r>
    </w:p>
    <w:p w14:paraId="3E3FDCBA" w14:textId="283BC0AB" w:rsidR="00C9677E" w:rsidRPr="00F817A5" w:rsidRDefault="00C9677E" w:rsidP="00262498">
      <w:pPr>
        <w:numPr>
          <w:ilvl w:val="0"/>
          <w:numId w:val="36"/>
        </w:numPr>
        <w:tabs>
          <w:tab w:val="clear" w:pos="1381"/>
          <w:tab w:val="num" w:pos="1560"/>
        </w:tabs>
        <w:spacing w:before="120" w:after="120"/>
        <w:ind w:left="284" w:hanging="284"/>
        <w:rPr>
          <w:rFonts w:asciiTheme="minorHAnsi" w:hAnsiTheme="minorHAnsi" w:cstheme="minorHAnsi"/>
        </w:rPr>
      </w:pPr>
      <w:r w:rsidRPr="00F817A5">
        <w:rPr>
          <w:rFonts w:asciiTheme="minorHAnsi" w:hAnsiTheme="minorHAnsi" w:cstheme="minorHAnsi"/>
        </w:rPr>
        <w:t>Osłona kabla - konstrukcja przeznaczona do ochrony kabla przed uszkodzeniami mechanicznymi, chemicznymi i działaniem łuku elektrycznego.</w:t>
      </w:r>
    </w:p>
    <w:p w14:paraId="3303A376" w14:textId="77777777" w:rsidR="00C9677E" w:rsidRPr="00A23FB4" w:rsidRDefault="00C9677E" w:rsidP="00262498">
      <w:pPr>
        <w:numPr>
          <w:ilvl w:val="0"/>
          <w:numId w:val="36"/>
        </w:numPr>
        <w:tabs>
          <w:tab w:val="clear" w:pos="1381"/>
          <w:tab w:val="left" w:pos="0"/>
          <w:tab w:val="num" w:pos="567"/>
        </w:tabs>
        <w:spacing w:after="120"/>
        <w:ind w:left="0" w:firstLine="0"/>
        <w:rPr>
          <w:rFonts w:asciiTheme="minorHAnsi" w:hAnsiTheme="minorHAnsi" w:cstheme="minorHAnsi"/>
        </w:rPr>
      </w:pPr>
      <w:r w:rsidRPr="00A23FB4">
        <w:rPr>
          <w:rFonts w:asciiTheme="minorHAnsi" w:hAnsiTheme="minorHAnsi" w:cstheme="minorHAnsi"/>
        </w:rPr>
        <w:t>Przykrycie - słoma ułożona nad kablem w celu ochrony przed mechanicznym uszkodzeniem od góry.</w:t>
      </w:r>
    </w:p>
    <w:p w14:paraId="2DA2C22E" w14:textId="77777777" w:rsidR="00C9677E" w:rsidRPr="00A23FB4" w:rsidRDefault="00C9677E" w:rsidP="00262498">
      <w:pPr>
        <w:numPr>
          <w:ilvl w:val="0"/>
          <w:numId w:val="36"/>
        </w:numPr>
        <w:tabs>
          <w:tab w:val="clear" w:pos="1381"/>
          <w:tab w:val="left" w:pos="0"/>
          <w:tab w:val="num" w:pos="567"/>
        </w:tabs>
        <w:spacing w:after="120"/>
        <w:ind w:left="0" w:firstLine="0"/>
        <w:rPr>
          <w:rFonts w:asciiTheme="minorHAnsi" w:hAnsiTheme="minorHAnsi" w:cstheme="minorHAnsi"/>
        </w:rPr>
      </w:pPr>
      <w:r w:rsidRPr="00A23FB4">
        <w:rPr>
          <w:rFonts w:asciiTheme="minorHAnsi" w:hAnsiTheme="minorHAnsi" w:cstheme="minorHAnsi"/>
        </w:rPr>
        <w:t>Przegroda - osłona ułożona wzdłuż kabla w celu oddzielenia go od sąsiedniego kabla lub od innych urządzeń.</w:t>
      </w:r>
    </w:p>
    <w:p w14:paraId="58003028" w14:textId="77777777" w:rsidR="00C9677E" w:rsidRPr="00A23FB4" w:rsidRDefault="00C9677E" w:rsidP="00262498">
      <w:pPr>
        <w:numPr>
          <w:ilvl w:val="0"/>
          <w:numId w:val="36"/>
        </w:numPr>
        <w:tabs>
          <w:tab w:val="clear" w:pos="1381"/>
          <w:tab w:val="left" w:pos="0"/>
          <w:tab w:val="num" w:pos="567"/>
        </w:tabs>
        <w:spacing w:after="120"/>
        <w:ind w:left="0" w:firstLine="0"/>
        <w:rPr>
          <w:rFonts w:asciiTheme="minorHAnsi" w:hAnsiTheme="minorHAnsi" w:cstheme="minorHAnsi"/>
        </w:rPr>
      </w:pPr>
      <w:r w:rsidRPr="00A23FB4">
        <w:rPr>
          <w:rFonts w:asciiTheme="minorHAnsi" w:hAnsiTheme="minorHAnsi" w:cstheme="minorHAnsi"/>
        </w:rPr>
        <w:t>Skrzyżowanie - takie miejsce na trasie linii kablowej, w którym jakakolwiek część rzutu poziomego linii kablowej przecina lub pokrywa jakąkolwiek część rzutu poziomego innej linii kablowej lub innego urządzenia podziemnego.</w:t>
      </w:r>
    </w:p>
    <w:p w14:paraId="1A445962" w14:textId="77777777" w:rsidR="00C9677E" w:rsidRPr="00A23FB4" w:rsidRDefault="00C9677E" w:rsidP="00262498">
      <w:pPr>
        <w:numPr>
          <w:ilvl w:val="0"/>
          <w:numId w:val="36"/>
        </w:numPr>
        <w:tabs>
          <w:tab w:val="clear" w:pos="1381"/>
          <w:tab w:val="left" w:pos="0"/>
          <w:tab w:val="num" w:pos="567"/>
        </w:tabs>
        <w:spacing w:after="120"/>
        <w:ind w:left="0" w:firstLine="0"/>
        <w:rPr>
          <w:rFonts w:asciiTheme="minorHAnsi" w:hAnsiTheme="minorHAnsi" w:cstheme="minorHAnsi"/>
        </w:rPr>
      </w:pPr>
      <w:r w:rsidRPr="00A23FB4">
        <w:rPr>
          <w:rFonts w:asciiTheme="minorHAnsi" w:hAnsiTheme="minorHAnsi" w:cstheme="minorHAnsi"/>
        </w:rPr>
        <w:t>Zbliżenie - takie miejsce na trasie linii kablowej, w którym odległość między linią kablową, urządzeniem podziemnym lub drogą komunikacyjną itp. jest mniejsza niż odległość dopuszczalna dla danych warunków układania bez stosowania przegród  lub osłon zabezpieczających i w których nie występuje skrzyżowanie.</w:t>
      </w:r>
    </w:p>
    <w:p w14:paraId="4B25B8D4" w14:textId="77777777" w:rsidR="00C9677E" w:rsidRPr="00A23FB4" w:rsidRDefault="00C9677E" w:rsidP="00262498">
      <w:pPr>
        <w:numPr>
          <w:ilvl w:val="0"/>
          <w:numId w:val="36"/>
        </w:numPr>
        <w:tabs>
          <w:tab w:val="clear" w:pos="1381"/>
          <w:tab w:val="left" w:pos="0"/>
          <w:tab w:val="num" w:pos="567"/>
        </w:tabs>
        <w:spacing w:after="120"/>
        <w:ind w:left="0" w:firstLine="0"/>
        <w:rPr>
          <w:rFonts w:asciiTheme="minorHAnsi" w:hAnsiTheme="minorHAnsi" w:cstheme="minorHAnsi"/>
        </w:rPr>
      </w:pPr>
      <w:r w:rsidRPr="00A23FB4">
        <w:rPr>
          <w:rFonts w:asciiTheme="minorHAnsi" w:hAnsiTheme="minorHAnsi" w:cstheme="minorHAnsi"/>
        </w:rPr>
        <w:t>Przepust kablowy - konstrukcja o przekroju okrągłym przeznaczona do ochrony kabla przed uszkodzeniami mechanicznymi, chemicznymi i działaniem łuku elektrycznego.</w:t>
      </w:r>
    </w:p>
    <w:p w14:paraId="013067A6" w14:textId="77777777" w:rsidR="00C9677E" w:rsidRPr="00A23FB4" w:rsidRDefault="00C9677E" w:rsidP="00262498">
      <w:pPr>
        <w:numPr>
          <w:ilvl w:val="0"/>
          <w:numId w:val="36"/>
        </w:numPr>
        <w:tabs>
          <w:tab w:val="clear" w:pos="1381"/>
          <w:tab w:val="left" w:pos="0"/>
          <w:tab w:val="num" w:pos="567"/>
        </w:tabs>
        <w:spacing w:after="120"/>
        <w:ind w:left="0" w:firstLine="0"/>
        <w:rPr>
          <w:rFonts w:asciiTheme="minorHAnsi" w:hAnsiTheme="minorHAnsi" w:cstheme="minorHAnsi"/>
        </w:rPr>
      </w:pPr>
      <w:r w:rsidRPr="00A23FB4">
        <w:rPr>
          <w:rFonts w:asciiTheme="minorHAnsi" w:hAnsiTheme="minorHAnsi" w:cstheme="minorHAnsi"/>
        </w:rPr>
        <w:t>Dodatkowa ochrona przeciwporażeniowa - ochrona części przewodzących, dostępnych w wypadku pojawienia się na nich napięcia w warunkach zakłóceniowych.</w:t>
      </w:r>
    </w:p>
    <w:p w14:paraId="3904FB7C" w14:textId="2C3A9159" w:rsidR="00C9677E" w:rsidRPr="00A23FB4" w:rsidRDefault="00C9677E" w:rsidP="00262498">
      <w:pPr>
        <w:numPr>
          <w:ilvl w:val="0"/>
          <w:numId w:val="36"/>
        </w:numPr>
        <w:tabs>
          <w:tab w:val="clear" w:pos="1381"/>
          <w:tab w:val="num" w:pos="567"/>
        </w:tabs>
        <w:ind w:left="0" w:firstLine="0"/>
        <w:rPr>
          <w:rFonts w:asciiTheme="minorHAnsi" w:hAnsiTheme="minorHAnsi" w:cstheme="minorHAnsi"/>
        </w:rPr>
      </w:pPr>
      <w:r w:rsidRPr="00A23FB4">
        <w:rPr>
          <w:rFonts w:asciiTheme="minorHAnsi" w:hAnsiTheme="minorHAnsi" w:cstheme="minorHAnsi"/>
        </w:rPr>
        <w:t xml:space="preserve">Pozostałe określenia podstawowe są zgodne z normą PN-61/E-01002 i definicjami podanymi w </w:t>
      </w:r>
      <w:r w:rsidR="000907B8">
        <w:rPr>
          <w:rFonts w:asciiTheme="minorHAnsi" w:hAnsiTheme="minorHAnsi" w:cstheme="minorHAnsi"/>
        </w:rPr>
        <w:t>ST</w:t>
      </w:r>
      <w:r w:rsidRPr="00A23FB4">
        <w:rPr>
          <w:rFonts w:asciiTheme="minorHAnsi" w:hAnsiTheme="minorHAnsi" w:cstheme="minorHAnsi"/>
        </w:rPr>
        <w:t>WiORB D-M-00.00.00 „Wymagania ogólne”.</w:t>
      </w:r>
    </w:p>
    <w:p w14:paraId="0F309606" w14:textId="77777777" w:rsidR="00C9677E" w:rsidRPr="00A23FB4" w:rsidRDefault="00C9677E" w:rsidP="00C9677E">
      <w:pPr>
        <w:pStyle w:val="Nagwek4"/>
        <w:rPr>
          <w:rFonts w:asciiTheme="minorHAnsi" w:hAnsiTheme="minorHAnsi"/>
        </w:rPr>
      </w:pPr>
      <w:r w:rsidRPr="00A23FB4">
        <w:rPr>
          <w:rFonts w:asciiTheme="minorHAnsi" w:hAnsiTheme="minorHAnsi"/>
        </w:rPr>
        <w:t>1.5. Ogólne wymagania dotyczące robót</w:t>
      </w:r>
    </w:p>
    <w:p w14:paraId="55F8182E" w14:textId="36DA74C4" w:rsidR="00C9677E" w:rsidRPr="00A23FB4" w:rsidRDefault="00C9677E" w:rsidP="00C9677E">
      <w:pPr>
        <w:rPr>
          <w:rFonts w:asciiTheme="minorHAnsi" w:hAnsiTheme="minorHAnsi" w:cstheme="minorHAnsi"/>
        </w:rPr>
      </w:pPr>
      <w:r w:rsidRPr="00A23FB4">
        <w:rPr>
          <w:rFonts w:asciiTheme="minorHAnsi" w:hAnsiTheme="minorHAnsi" w:cstheme="minorHAnsi"/>
        </w:rPr>
        <w:t xml:space="preserve">Ogólne wymagania dotyczące robót podano w </w:t>
      </w:r>
      <w:r w:rsidR="006F4B9D">
        <w:rPr>
          <w:rFonts w:asciiTheme="minorHAnsi" w:hAnsiTheme="minorHAnsi" w:cstheme="minorHAnsi"/>
        </w:rPr>
        <w:t>ST</w:t>
      </w:r>
      <w:r w:rsidRPr="00A23FB4">
        <w:rPr>
          <w:rFonts w:asciiTheme="minorHAnsi" w:hAnsiTheme="minorHAnsi" w:cstheme="minorHAnsi"/>
        </w:rPr>
        <w:t>WiORB D-M-00.00.00 „Wymagania ogólne” .</w:t>
      </w:r>
    </w:p>
    <w:p w14:paraId="29C478CD"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Wykonawca przed przystąpieniem do wykonywania robót, powinien przedstawić do aprobaty Inżyniera  program zapewnienia jakości (PZJ).</w:t>
      </w:r>
    </w:p>
    <w:p w14:paraId="715B0D03" w14:textId="77777777" w:rsidR="00C9677E" w:rsidRPr="00A23FB4" w:rsidRDefault="00C9677E" w:rsidP="00C9677E">
      <w:pPr>
        <w:pStyle w:val="Nagwek3"/>
        <w:rPr>
          <w:rFonts w:asciiTheme="minorHAnsi" w:hAnsiTheme="minorHAnsi"/>
        </w:rPr>
      </w:pPr>
      <w:bookmarkStart w:id="60" w:name="_Toc466861802"/>
      <w:r w:rsidRPr="00A23FB4">
        <w:rPr>
          <w:rFonts w:asciiTheme="minorHAnsi" w:hAnsiTheme="minorHAnsi"/>
        </w:rPr>
        <w:t>2. MATERIAŁY</w:t>
      </w:r>
      <w:bookmarkEnd w:id="60"/>
    </w:p>
    <w:p w14:paraId="4D0F234D" w14:textId="77777777" w:rsidR="00C9677E" w:rsidRPr="00A23FB4" w:rsidRDefault="00C9677E" w:rsidP="00C9677E">
      <w:pPr>
        <w:pStyle w:val="Nagwek4"/>
        <w:rPr>
          <w:rFonts w:asciiTheme="minorHAnsi" w:hAnsiTheme="minorHAnsi"/>
        </w:rPr>
      </w:pPr>
      <w:r w:rsidRPr="00A23FB4">
        <w:rPr>
          <w:rFonts w:asciiTheme="minorHAnsi" w:hAnsiTheme="minorHAnsi"/>
        </w:rPr>
        <w:t>2.1. Ogólne wymagania</w:t>
      </w:r>
    </w:p>
    <w:p w14:paraId="58CA1A83" w14:textId="5FAA5B59" w:rsidR="00C9677E" w:rsidRPr="00A23FB4" w:rsidRDefault="00C9677E" w:rsidP="00C9677E">
      <w:pPr>
        <w:rPr>
          <w:rFonts w:asciiTheme="minorHAnsi" w:hAnsiTheme="minorHAnsi" w:cstheme="minorHAnsi"/>
        </w:rPr>
      </w:pPr>
      <w:r w:rsidRPr="00A23FB4">
        <w:rPr>
          <w:rFonts w:asciiTheme="minorHAnsi" w:hAnsiTheme="minorHAnsi" w:cstheme="minorHAnsi"/>
        </w:rPr>
        <w:t xml:space="preserve">Ogólne wymagania dotyczące materiałów podano w </w:t>
      </w:r>
      <w:r w:rsidR="006F4B9D">
        <w:rPr>
          <w:rFonts w:asciiTheme="minorHAnsi" w:hAnsiTheme="minorHAnsi" w:cstheme="minorHAnsi"/>
        </w:rPr>
        <w:t>ST</w:t>
      </w:r>
      <w:r w:rsidRPr="00A23FB4">
        <w:rPr>
          <w:rFonts w:asciiTheme="minorHAnsi" w:hAnsiTheme="minorHAnsi" w:cstheme="minorHAnsi"/>
        </w:rPr>
        <w:t>WiORB D-M-00.00.00 „Wymagania ogólne”.</w:t>
      </w:r>
    </w:p>
    <w:p w14:paraId="5C67EFC0"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Wszystkie zakupione przez Wykonawcę materiały, dla których normy PN i BN przewidują posiadanie zaświadczenia o jakości lub atestu, powinny być zaopatrzone przez producenta w taki dokument.</w:t>
      </w:r>
    </w:p>
    <w:p w14:paraId="1A6582A0" w14:textId="77777777" w:rsidR="00C9677E" w:rsidRPr="00A23FB4" w:rsidRDefault="00C9677E" w:rsidP="00C9677E">
      <w:pPr>
        <w:tabs>
          <w:tab w:val="left" w:pos="0"/>
        </w:tabs>
        <w:rPr>
          <w:rFonts w:asciiTheme="minorHAnsi" w:hAnsiTheme="minorHAnsi" w:cstheme="minorHAnsi"/>
        </w:rPr>
      </w:pPr>
      <w:r w:rsidRPr="00A23FB4">
        <w:rPr>
          <w:rFonts w:asciiTheme="minorHAnsi" w:hAnsiTheme="minorHAnsi" w:cstheme="minorHAnsi"/>
        </w:rPr>
        <w:t>Inne materiały powinny być wyposażone w takie dokumenty na życzenie Inżyniera.</w:t>
      </w:r>
    </w:p>
    <w:p w14:paraId="435100DA" w14:textId="77777777" w:rsidR="00C9677E" w:rsidRPr="00A23FB4" w:rsidRDefault="00C9677E" w:rsidP="00C9677E">
      <w:pPr>
        <w:pStyle w:val="Nagwek4"/>
        <w:rPr>
          <w:rFonts w:asciiTheme="minorHAnsi" w:hAnsiTheme="minorHAnsi"/>
        </w:rPr>
      </w:pPr>
      <w:r w:rsidRPr="00A23FB4">
        <w:rPr>
          <w:rFonts w:asciiTheme="minorHAnsi" w:hAnsiTheme="minorHAnsi"/>
        </w:rPr>
        <w:t>2.2. Kable</w:t>
      </w:r>
    </w:p>
    <w:p w14:paraId="159A850A"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Przy przebudowie istniejących linii kablowych lub budowie nowych należy stosować kable uzgodnione z zakładem energetycznym oraz zgodne z dokumentacją projektową.</w:t>
      </w:r>
    </w:p>
    <w:p w14:paraId="63EE7BF1"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Jeżeli dokumentacja projektowa nie przewiduje inaczej, to w kablowych liniach elektroenergetycznych należy stosować następujące typy kabli:</w:t>
      </w:r>
    </w:p>
    <w:p w14:paraId="4F15A5F1" w14:textId="77777777" w:rsidR="00C9677E" w:rsidRPr="00A23FB4" w:rsidRDefault="00C9677E" w:rsidP="00262498">
      <w:pPr>
        <w:numPr>
          <w:ilvl w:val="0"/>
          <w:numId w:val="35"/>
        </w:numPr>
        <w:rPr>
          <w:rFonts w:asciiTheme="minorHAnsi" w:hAnsiTheme="minorHAnsi" w:cstheme="minorHAnsi"/>
        </w:rPr>
      </w:pPr>
      <w:r w:rsidRPr="00A23FB4">
        <w:rPr>
          <w:rFonts w:asciiTheme="minorHAnsi" w:hAnsiTheme="minorHAnsi" w:cstheme="minorHAnsi"/>
        </w:rPr>
        <w:t>YAKY wg PN-76/E-90301 o napięciu znamionowym do 1 kV,</w:t>
      </w:r>
    </w:p>
    <w:p w14:paraId="0C8BDCC8" w14:textId="77777777" w:rsidR="00C9677E" w:rsidRPr="00A23FB4" w:rsidRDefault="00C9677E" w:rsidP="00262498">
      <w:pPr>
        <w:numPr>
          <w:ilvl w:val="0"/>
          <w:numId w:val="35"/>
        </w:numPr>
        <w:rPr>
          <w:rFonts w:asciiTheme="minorHAnsi" w:hAnsiTheme="minorHAnsi" w:cstheme="minorHAnsi"/>
        </w:rPr>
      </w:pPr>
      <w:r w:rsidRPr="00A23FB4">
        <w:rPr>
          <w:rFonts w:asciiTheme="minorHAnsi" w:hAnsiTheme="minorHAnsi" w:cstheme="minorHAnsi"/>
        </w:rPr>
        <w:t>YHAKX wg PN-76/E-90306 lub HAKnFtA wg PN-76/E-90251 o napięciu znamionowym od 1 do 30 kV,</w:t>
      </w:r>
    </w:p>
    <w:p w14:paraId="6CA18A0B" w14:textId="77777777" w:rsidR="00C9677E" w:rsidRPr="00A23FB4" w:rsidRDefault="00C9677E" w:rsidP="00262498">
      <w:pPr>
        <w:numPr>
          <w:ilvl w:val="0"/>
          <w:numId w:val="35"/>
        </w:numPr>
        <w:rPr>
          <w:rFonts w:asciiTheme="minorHAnsi" w:hAnsiTheme="minorHAnsi" w:cstheme="minorHAnsi"/>
        </w:rPr>
      </w:pPr>
      <w:r w:rsidRPr="00A23FB4">
        <w:rPr>
          <w:rFonts w:asciiTheme="minorHAnsi" w:hAnsiTheme="minorHAnsi" w:cstheme="minorHAnsi"/>
        </w:rPr>
        <w:t>YKSY wg PN-76/E-90304 dla linii sygnalizacyjnych.</w:t>
      </w:r>
    </w:p>
    <w:p w14:paraId="0C39BA57"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Przekrój żył kabli powinien być dobrany w zależności od dopuszczalnego spadku napięcia i dopuszczalnej temperatury nagrzania kabla przez prądy robocze i zwarciowe wg zarządzenia MGiE oraz powinien spełniać wymagania skuteczności zerowania w instalacjach zerowanych wg zarządzenia Ministra Przemysłu</w:t>
      </w:r>
    </w:p>
    <w:p w14:paraId="1DAE5647"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Bębny z kablami należy przechowywać w pomieszczeniach pokrytych dachem, na utwardzonym podłożu.</w:t>
      </w:r>
    </w:p>
    <w:p w14:paraId="44309DE3" w14:textId="77777777" w:rsidR="00C9677E" w:rsidRPr="00A23FB4" w:rsidRDefault="00C9677E" w:rsidP="00C9677E">
      <w:pPr>
        <w:pStyle w:val="Nagwek4"/>
        <w:rPr>
          <w:rFonts w:asciiTheme="minorHAnsi" w:hAnsiTheme="minorHAnsi"/>
        </w:rPr>
      </w:pPr>
      <w:r w:rsidRPr="00A23FB4">
        <w:rPr>
          <w:rFonts w:asciiTheme="minorHAnsi" w:hAnsiTheme="minorHAnsi"/>
        </w:rPr>
        <w:t>2.3. Mufy i głowice kablowe</w:t>
      </w:r>
    </w:p>
    <w:p w14:paraId="1825DADE"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Mufy i głowice powinny być dostosowane do typu kabla, jego napięcia znamionowego, przekroju i liczby żył oraz do mocy zwarcia, występujących w miejscach ich zainstalowania. Mufy przelotowe kabli o powłoce metalowej o napięciu znamionowym wyższym niż 1 kV powinny mieć wkładki metalowe do łączenia z powłokami metalowymi łączonych kabli.</w:t>
      </w:r>
    </w:p>
    <w:p w14:paraId="7F4A4279"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Mufy i głowice kablowe powinny być zgodne z postanowieniami PN-74/E-06401.</w:t>
      </w:r>
    </w:p>
    <w:p w14:paraId="5EE51544" w14:textId="77777777" w:rsidR="00C9677E" w:rsidRPr="00A23FB4" w:rsidRDefault="00C9677E" w:rsidP="00C9677E">
      <w:pPr>
        <w:pStyle w:val="Nagwek4"/>
        <w:rPr>
          <w:rFonts w:asciiTheme="minorHAnsi" w:hAnsiTheme="minorHAnsi"/>
        </w:rPr>
      </w:pPr>
      <w:r w:rsidRPr="00A23FB4">
        <w:rPr>
          <w:rFonts w:asciiTheme="minorHAnsi" w:hAnsiTheme="minorHAnsi"/>
        </w:rPr>
        <w:t>2.4. Piasek</w:t>
      </w:r>
    </w:p>
    <w:p w14:paraId="156DAE8B"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Piasek do układania kabli w gruncie powinien odpowiadać wymaganiom BN-87/6774-04.</w:t>
      </w:r>
    </w:p>
    <w:p w14:paraId="2BCDBFFF" w14:textId="77777777" w:rsidR="00C9677E" w:rsidRPr="00A23FB4" w:rsidRDefault="00C9677E" w:rsidP="00C9677E">
      <w:pPr>
        <w:pStyle w:val="Nagwek4"/>
        <w:rPr>
          <w:rFonts w:asciiTheme="minorHAnsi" w:hAnsiTheme="minorHAnsi"/>
        </w:rPr>
      </w:pPr>
      <w:r w:rsidRPr="00A23FB4">
        <w:rPr>
          <w:rFonts w:asciiTheme="minorHAnsi" w:hAnsiTheme="minorHAnsi"/>
        </w:rPr>
        <w:t>2.5. Folia</w:t>
      </w:r>
    </w:p>
    <w:p w14:paraId="0F4B67A4"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Folię należy stosować do ochrony kabli przed uszkodzeniami mechanicznymi. Zaleca się stosowanie folii kalendrowanej z uplastycznionego PCW o grubości od 0,4 do 0,6 mm, gat. I. Dla ochrony kabli o napięciu znamionowym do 1 kV należy stosować folię koloru niebieskiego, a przy napięciach od 1 do 30 kV, koloru czerwonego.</w:t>
      </w:r>
    </w:p>
    <w:p w14:paraId="5AD3B56D"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Szerokość folii powinna być taka, aby przykrywała ułożone kable, lecz nie węższa niż 20 cm.</w:t>
      </w:r>
    </w:p>
    <w:p w14:paraId="06E3EEF1"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Folia powinna spełniać wymagania BN-68/6353-03.</w:t>
      </w:r>
    </w:p>
    <w:p w14:paraId="71524CF1" w14:textId="77777777" w:rsidR="00C9677E" w:rsidRPr="00A23FB4" w:rsidRDefault="00C9677E" w:rsidP="00C9677E">
      <w:pPr>
        <w:pStyle w:val="Nagwek4"/>
        <w:rPr>
          <w:rFonts w:asciiTheme="minorHAnsi" w:hAnsiTheme="minorHAnsi"/>
        </w:rPr>
      </w:pPr>
      <w:r w:rsidRPr="00A23FB4">
        <w:rPr>
          <w:rFonts w:asciiTheme="minorHAnsi" w:hAnsiTheme="minorHAnsi"/>
        </w:rPr>
        <w:t>2.6. Przepusty kablowe</w:t>
      </w:r>
    </w:p>
    <w:p w14:paraId="7D5EBEFF"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Przepusty kablowe powinny być wykonane z materiałów niepalnych, z tworzyw sztucznych lub stali, wytrzymałych mechanicznie, chemicznie i odpornych na działanie łuku elektrycznego.</w:t>
      </w:r>
    </w:p>
    <w:p w14:paraId="36D229CF"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Rury używane na przepusty powinny być dostatecznie wytrzymałe na działanie sił ściskających, z jakimi należy liczyć się w miejscu ich ułożenia. Wnętrza ścianek powinny być gładkie lub powleczone warstwą wygładzającą ich powierzchnię, dla ułatwienia przesuwania się kabli.</w:t>
      </w:r>
    </w:p>
    <w:p w14:paraId="379AB6B4"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Zaleca się stosowanie na przepusty kablowe rur stalowych lub rur z polichlorku winylu (PCW) o średnicy wewnętrznej nie mniejszej niż 100 mm dla kabli do 1 kV i średnicy 150 mm dla kabli od 1 do 30 kV.</w:t>
      </w:r>
    </w:p>
    <w:p w14:paraId="455FDC53"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Rury stalowe powinny odpowiadać wymaganiom normy PN-80/H-74219, a rury PCW normy PN-80/89205.</w:t>
      </w:r>
    </w:p>
    <w:p w14:paraId="09943A31"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Rury na przepusty kablowe należy przechowywać na utwardzonym placu, w miejscach zabezpieczonych przed działaniem sił mechanicznych.</w:t>
      </w:r>
    </w:p>
    <w:p w14:paraId="16891BB5" w14:textId="77777777" w:rsidR="00C9677E" w:rsidRPr="00A23FB4" w:rsidRDefault="00C9677E" w:rsidP="00C9677E">
      <w:pPr>
        <w:pStyle w:val="Nagwek3"/>
        <w:rPr>
          <w:rFonts w:asciiTheme="minorHAnsi" w:hAnsiTheme="minorHAnsi"/>
        </w:rPr>
      </w:pPr>
      <w:bookmarkStart w:id="61" w:name="_Toc466861803"/>
      <w:r w:rsidRPr="00A23FB4">
        <w:rPr>
          <w:rFonts w:asciiTheme="minorHAnsi" w:hAnsiTheme="minorHAnsi"/>
        </w:rPr>
        <w:t>3. SPRZĘT</w:t>
      </w:r>
      <w:bookmarkEnd w:id="61"/>
    </w:p>
    <w:p w14:paraId="24F8A12F" w14:textId="77777777" w:rsidR="00C9677E" w:rsidRPr="00A23FB4" w:rsidRDefault="00C9677E" w:rsidP="00C9677E">
      <w:pPr>
        <w:pStyle w:val="Nagwek4"/>
        <w:rPr>
          <w:rFonts w:asciiTheme="minorHAnsi" w:hAnsiTheme="minorHAnsi"/>
        </w:rPr>
      </w:pPr>
      <w:r w:rsidRPr="00A23FB4">
        <w:rPr>
          <w:rFonts w:asciiTheme="minorHAnsi" w:hAnsiTheme="minorHAnsi"/>
        </w:rPr>
        <w:t>3.1. Ogólne wymagania</w:t>
      </w:r>
    </w:p>
    <w:p w14:paraId="714C44EA"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Wykonawca jest zobowiązany do używania jedynie takiego sprzętu, który nie spowoduje niekorzystnego wpływu na jakość wykonywanych robót, zarówno w miejscu tych robót, jak też przy wykonywaniu czynności pomocniczych oraz w czasie transportu, załadunku i wyładunku materiałów, sprzętu itp.</w:t>
      </w:r>
    </w:p>
    <w:p w14:paraId="15FCB1BB"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Sprzęt używany przez Wykonawcę powinien uzyskać akceptację Inżyniera.</w:t>
      </w:r>
    </w:p>
    <w:p w14:paraId="1A3B1BFE"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 xml:space="preserve">Liczba i wydajność sprzętu powinna gwarantować wykonanie robót zgodnie z zasadami określonymi w dokumentacji projektowej, </w:t>
      </w:r>
      <w:r w:rsidR="00824125" w:rsidRPr="00A23FB4">
        <w:rPr>
          <w:rFonts w:asciiTheme="minorHAnsi" w:hAnsiTheme="minorHAnsi" w:cstheme="minorHAnsi"/>
        </w:rPr>
        <w:t>wytycznymi</w:t>
      </w:r>
      <w:r w:rsidRPr="00A23FB4">
        <w:rPr>
          <w:rFonts w:asciiTheme="minorHAnsi" w:hAnsiTheme="minorHAnsi" w:cstheme="minorHAnsi"/>
        </w:rPr>
        <w:t xml:space="preserve"> i wskazaniach Inżyniera w terminie przewidzianym kontraktem.</w:t>
      </w:r>
    </w:p>
    <w:p w14:paraId="68AD9692" w14:textId="77777777" w:rsidR="00C9677E" w:rsidRPr="00A23FB4" w:rsidRDefault="00C9677E" w:rsidP="00C9677E">
      <w:pPr>
        <w:pStyle w:val="Nagwek4"/>
        <w:rPr>
          <w:rFonts w:asciiTheme="minorHAnsi" w:hAnsiTheme="minorHAnsi"/>
        </w:rPr>
      </w:pPr>
      <w:r w:rsidRPr="00A23FB4">
        <w:rPr>
          <w:rFonts w:asciiTheme="minorHAnsi" w:hAnsiTheme="minorHAnsi"/>
        </w:rPr>
        <w:t>3.2. Sprzęt do wykonania linii  kablowej</w:t>
      </w:r>
    </w:p>
    <w:p w14:paraId="66763AD3"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Wykonawca przystępujący do przebudowy linii kablowej winien wykazać się możliwością korzystania z następujących maszyn i sprzętu, gwarantujących właściwą jakość robót:</w:t>
      </w:r>
    </w:p>
    <w:p w14:paraId="60BB9E0C" w14:textId="77777777" w:rsidR="00C9677E" w:rsidRPr="00A23FB4" w:rsidRDefault="00C9677E" w:rsidP="00262498">
      <w:pPr>
        <w:numPr>
          <w:ilvl w:val="0"/>
          <w:numId w:val="35"/>
        </w:numPr>
        <w:rPr>
          <w:rFonts w:asciiTheme="minorHAnsi" w:hAnsiTheme="minorHAnsi" w:cstheme="minorHAnsi"/>
        </w:rPr>
      </w:pPr>
      <w:r w:rsidRPr="00A23FB4">
        <w:rPr>
          <w:rFonts w:asciiTheme="minorHAnsi" w:hAnsiTheme="minorHAnsi" w:cstheme="minorHAnsi"/>
        </w:rPr>
        <w:t>spawarki transformatorowej,</w:t>
      </w:r>
    </w:p>
    <w:p w14:paraId="18AB13B2" w14:textId="77777777" w:rsidR="00C9677E" w:rsidRPr="00A23FB4" w:rsidRDefault="00C9677E" w:rsidP="00262498">
      <w:pPr>
        <w:numPr>
          <w:ilvl w:val="0"/>
          <w:numId w:val="35"/>
        </w:numPr>
        <w:rPr>
          <w:rFonts w:asciiTheme="minorHAnsi" w:hAnsiTheme="minorHAnsi" w:cstheme="minorHAnsi"/>
        </w:rPr>
      </w:pPr>
      <w:r w:rsidRPr="00A23FB4">
        <w:rPr>
          <w:rFonts w:asciiTheme="minorHAnsi" w:hAnsiTheme="minorHAnsi" w:cstheme="minorHAnsi"/>
        </w:rPr>
        <w:t>zagęszczarki wibracyjnej spalinowej,</w:t>
      </w:r>
    </w:p>
    <w:p w14:paraId="761F4543" w14:textId="77777777" w:rsidR="00C9677E" w:rsidRPr="00A23FB4" w:rsidRDefault="00C9677E" w:rsidP="00262498">
      <w:pPr>
        <w:numPr>
          <w:ilvl w:val="0"/>
          <w:numId w:val="35"/>
        </w:numPr>
        <w:rPr>
          <w:rFonts w:asciiTheme="minorHAnsi" w:hAnsiTheme="minorHAnsi" w:cstheme="minorHAnsi"/>
        </w:rPr>
      </w:pPr>
      <w:r w:rsidRPr="00A23FB4">
        <w:rPr>
          <w:rFonts w:asciiTheme="minorHAnsi" w:hAnsiTheme="minorHAnsi" w:cstheme="minorHAnsi"/>
        </w:rPr>
        <w:t xml:space="preserve">ręcznego zestawu świdrów do wiercenia poziomego otworów do </w:t>
      </w:r>
      <w:r w:rsidRPr="00A23FB4">
        <w:rPr>
          <w:rFonts w:asciiTheme="minorHAnsi" w:hAnsiTheme="minorHAnsi" w:cstheme="minorHAnsi"/>
        </w:rPr>
        <w:sym w:font="Symbol" w:char="F0C6"/>
      </w:r>
      <w:r w:rsidRPr="00A23FB4">
        <w:rPr>
          <w:rFonts w:asciiTheme="minorHAnsi" w:hAnsiTheme="minorHAnsi" w:cstheme="minorHAnsi"/>
        </w:rPr>
        <w:t xml:space="preserve"> 15 cm,</w:t>
      </w:r>
    </w:p>
    <w:p w14:paraId="28B124FC" w14:textId="77777777" w:rsidR="00C9677E" w:rsidRPr="00A23FB4" w:rsidRDefault="00C9677E" w:rsidP="00262498">
      <w:pPr>
        <w:numPr>
          <w:ilvl w:val="0"/>
          <w:numId w:val="35"/>
        </w:numPr>
        <w:rPr>
          <w:rFonts w:asciiTheme="minorHAnsi" w:hAnsiTheme="minorHAnsi" w:cstheme="minorHAnsi"/>
        </w:rPr>
      </w:pPr>
      <w:r w:rsidRPr="00A23FB4">
        <w:rPr>
          <w:rFonts w:asciiTheme="minorHAnsi" w:hAnsiTheme="minorHAnsi" w:cstheme="minorHAnsi"/>
        </w:rPr>
        <w:t>wciągarki mechanicznej z napędem elektrycznym od 5 do 10 t.,</w:t>
      </w:r>
    </w:p>
    <w:p w14:paraId="2EE4A4F3" w14:textId="77777777" w:rsidR="00C9677E" w:rsidRPr="00A23FB4" w:rsidRDefault="00C9677E" w:rsidP="00262498">
      <w:pPr>
        <w:numPr>
          <w:ilvl w:val="0"/>
          <w:numId w:val="35"/>
        </w:numPr>
        <w:rPr>
          <w:rFonts w:asciiTheme="minorHAnsi" w:hAnsiTheme="minorHAnsi" w:cstheme="minorHAnsi"/>
        </w:rPr>
      </w:pPr>
      <w:r w:rsidRPr="00A23FB4">
        <w:rPr>
          <w:rFonts w:asciiTheme="minorHAnsi" w:hAnsiTheme="minorHAnsi" w:cstheme="minorHAnsi"/>
        </w:rPr>
        <w:t>zespołu prądotwórczego trójfazowego, przewoźnego 20 kVA.</w:t>
      </w:r>
    </w:p>
    <w:p w14:paraId="1498CA1C" w14:textId="77777777" w:rsidR="00C9677E" w:rsidRPr="00A23FB4" w:rsidRDefault="00C9677E" w:rsidP="00C9677E">
      <w:pPr>
        <w:pStyle w:val="Nagwek3"/>
        <w:rPr>
          <w:rFonts w:asciiTheme="minorHAnsi" w:hAnsiTheme="minorHAnsi"/>
        </w:rPr>
      </w:pPr>
      <w:bookmarkStart w:id="62" w:name="_Toc466861804"/>
      <w:r w:rsidRPr="00A23FB4">
        <w:rPr>
          <w:rFonts w:asciiTheme="minorHAnsi" w:hAnsiTheme="minorHAnsi"/>
        </w:rPr>
        <w:t>4. TRANSPORT</w:t>
      </w:r>
      <w:bookmarkEnd w:id="62"/>
    </w:p>
    <w:p w14:paraId="448E40C1" w14:textId="77777777" w:rsidR="00C9677E" w:rsidRPr="00A23FB4" w:rsidRDefault="00C9677E" w:rsidP="00C9677E">
      <w:pPr>
        <w:pStyle w:val="Nagwek4"/>
        <w:rPr>
          <w:rFonts w:asciiTheme="minorHAnsi" w:hAnsiTheme="minorHAnsi"/>
        </w:rPr>
      </w:pPr>
      <w:r w:rsidRPr="00A23FB4">
        <w:rPr>
          <w:rFonts w:asciiTheme="minorHAnsi" w:hAnsiTheme="minorHAnsi"/>
        </w:rPr>
        <w:t>4.1. Ogólne wymagania</w:t>
      </w:r>
    </w:p>
    <w:p w14:paraId="205708E0"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Wykonawca jest zobowiązany do stosowania jedynie takich środków transportu, które nie wpłyną niekorzystnie na jakość wykonywanych robót.</w:t>
      </w:r>
    </w:p>
    <w:p w14:paraId="45FC4E45"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 xml:space="preserve">Liczba środków transportu powinna gwarantować prowadzenie robót zgodnie z zasadami określonymi w dokumentacji projektowej, </w:t>
      </w:r>
      <w:r w:rsidR="00824125" w:rsidRPr="00A23FB4">
        <w:rPr>
          <w:rFonts w:asciiTheme="minorHAnsi" w:hAnsiTheme="minorHAnsi" w:cstheme="minorHAnsi"/>
        </w:rPr>
        <w:t>wytycznymi</w:t>
      </w:r>
      <w:r w:rsidRPr="00A23FB4">
        <w:rPr>
          <w:rFonts w:asciiTheme="minorHAnsi" w:hAnsiTheme="minorHAnsi" w:cstheme="minorHAnsi"/>
        </w:rPr>
        <w:t xml:space="preserve"> i wskazaniach Inżyniera, w terminie przewidzianym kontraktem.</w:t>
      </w:r>
    </w:p>
    <w:p w14:paraId="7B537F2F" w14:textId="77777777" w:rsidR="00C9677E" w:rsidRPr="00A23FB4" w:rsidRDefault="00C9677E" w:rsidP="00C9677E">
      <w:pPr>
        <w:pStyle w:val="Nagwek4"/>
        <w:rPr>
          <w:rFonts w:asciiTheme="minorHAnsi" w:hAnsiTheme="minorHAnsi"/>
        </w:rPr>
      </w:pPr>
      <w:r w:rsidRPr="00A23FB4">
        <w:rPr>
          <w:rFonts w:asciiTheme="minorHAnsi" w:hAnsiTheme="minorHAnsi"/>
        </w:rPr>
        <w:t>4.2. Środki transportu</w:t>
      </w:r>
    </w:p>
    <w:p w14:paraId="4D433146"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Wykonawca przystępujący do przebudowy linii kablowej powinien wykazać się możliwością korzystania z następujących  środków transportu:</w:t>
      </w:r>
    </w:p>
    <w:p w14:paraId="25C6265E" w14:textId="77777777" w:rsidR="00C9677E" w:rsidRPr="00A23FB4" w:rsidRDefault="00C9677E" w:rsidP="00262498">
      <w:pPr>
        <w:numPr>
          <w:ilvl w:val="0"/>
          <w:numId w:val="35"/>
        </w:numPr>
        <w:rPr>
          <w:rFonts w:asciiTheme="minorHAnsi" w:hAnsiTheme="minorHAnsi" w:cstheme="minorHAnsi"/>
        </w:rPr>
      </w:pPr>
      <w:r w:rsidRPr="00A23FB4">
        <w:rPr>
          <w:rFonts w:asciiTheme="minorHAnsi" w:hAnsiTheme="minorHAnsi" w:cstheme="minorHAnsi"/>
        </w:rPr>
        <w:t>samochodu skrzyniowego,</w:t>
      </w:r>
    </w:p>
    <w:p w14:paraId="3DBAB91E" w14:textId="77777777" w:rsidR="00C9677E" w:rsidRPr="00A23FB4" w:rsidRDefault="00C9677E" w:rsidP="00262498">
      <w:pPr>
        <w:numPr>
          <w:ilvl w:val="0"/>
          <w:numId w:val="35"/>
        </w:numPr>
        <w:rPr>
          <w:rFonts w:asciiTheme="minorHAnsi" w:hAnsiTheme="minorHAnsi" w:cstheme="minorHAnsi"/>
        </w:rPr>
      </w:pPr>
      <w:r w:rsidRPr="00A23FB4">
        <w:rPr>
          <w:rFonts w:asciiTheme="minorHAnsi" w:hAnsiTheme="minorHAnsi" w:cstheme="minorHAnsi"/>
        </w:rPr>
        <w:t>samochodu dostawczego,</w:t>
      </w:r>
    </w:p>
    <w:p w14:paraId="3F5C8CFD" w14:textId="77777777" w:rsidR="00C9677E" w:rsidRPr="00A23FB4" w:rsidRDefault="00C9677E" w:rsidP="00262498">
      <w:pPr>
        <w:numPr>
          <w:ilvl w:val="0"/>
          <w:numId w:val="35"/>
        </w:numPr>
        <w:rPr>
          <w:rFonts w:asciiTheme="minorHAnsi" w:hAnsiTheme="minorHAnsi" w:cstheme="minorHAnsi"/>
        </w:rPr>
      </w:pPr>
      <w:r w:rsidRPr="00A23FB4">
        <w:rPr>
          <w:rFonts w:asciiTheme="minorHAnsi" w:hAnsiTheme="minorHAnsi" w:cstheme="minorHAnsi"/>
        </w:rPr>
        <w:t>przyczepy do przewożenia kabli,</w:t>
      </w:r>
    </w:p>
    <w:p w14:paraId="5C999EA0" w14:textId="77777777" w:rsidR="00C9677E" w:rsidRPr="00A23FB4" w:rsidRDefault="00C9677E" w:rsidP="00262498">
      <w:pPr>
        <w:numPr>
          <w:ilvl w:val="0"/>
          <w:numId w:val="35"/>
        </w:numPr>
        <w:rPr>
          <w:rFonts w:asciiTheme="minorHAnsi" w:hAnsiTheme="minorHAnsi" w:cstheme="minorHAnsi"/>
        </w:rPr>
      </w:pPr>
      <w:r w:rsidRPr="00A23FB4">
        <w:rPr>
          <w:rFonts w:asciiTheme="minorHAnsi" w:hAnsiTheme="minorHAnsi" w:cstheme="minorHAnsi"/>
        </w:rPr>
        <w:t>samochodu samowyładowczego,</w:t>
      </w:r>
    </w:p>
    <w:p w14:paraId="0C673C5D" w14:textId="77777777" w:rsidR="00C9677E" w:rsidRPr="00A23FB4" w:rsidRDefault="00C9677E" w:rsidP="00262498">
      <w:pPr>
        <w:numPr>
          <w:ilvl w:val="0"/>
          <w:numId w:val="35"/>
        </w:numPr>
        <w:rPr>
          <w:rFonts w:asciiTheme="minorHAnsi" w:hAnsiTheme="minorHAnsi" w:cstheme="minorHAnsi"/>
        </w:rPr>
      </w:pPr>
      <w:r w:rsidRPr="00A23FB4">
        <w:rPr>
          <w:rFonts w:asciiTheme="minorHAnsi" w:hAnsiTheme="minorHAnsi" w:cstheme="minorHAnsi"/>
        </w:rPr>
        <w:t>ciągnika kołowego.</w:t>
      </w:r>
    </w:p>
    <w:p w14:paraId="6F838643"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Na środkach transportu przewożone materiały powinny być zabezpieczone przed ich przemieszczaniem i układane zgodnie z warunkami transportu wydanymi przez ich wytwórcę.</w:t>
      </w:r>
    </w:p>
    <w:p w14:paraId="23C2A750" w14:textId="77777777" w:rsidR="00C9677E" w:rsidRPr="00A23FB4" w:rsidRDefault="00C9677E" w:rsidP="00C9677E">
      <w:pPr>
        <w:pStyle w:val="Nagwek3"/>
        <w:rPr>
          <w:rFonts w:asciiTheme="minorHAnsi" w:hAnsiTheme="minorHAnsi"/>
        </w:rPr>
      </w:pPr>
      <w:bookmarkStart w:id="63" w:name="_Toc466861805"/>
      <w:r w:rsidRPr="00A23FB4">
        <w:rPr>
          <w:rFonts w:asciiTheme="minorHAnsi" w:hAnsiTheme="minorHAnsi"/>
        </w:rPr>
        <w:t>5. WYKONANIE ROBÓT</w:t>
      </w:r>
      <w:bookmarkEnd w:id="63"/>
    </w:p>
    <w:p w14:paraId="7D995BFC" w14:textId="77777777" w:rsidR="00C9677E" w:rsidRPr="00A23FB4" w:rsidRDefault="00C9677E" w:rsidP="00C9677E">
      <w:pPr>
        <w:pStyle w:val="Nagwek3"/>
        <w:rPr>
          <w:rFonts w:asciiTheme="minorHAnsi" w:hAnsiTheme="minorHAnsi"/>
        </w:rPr>
      </w:pPr>
      <w:r w:rsidRPr="00A23FB4">
        <w:rPr>
          <w:rFonts w:asciiTheme="minorHAnsi" w:hAnsiTheme="minorHAnsi"/>
        </w:rPr>
        <w:t>5.1. Przebudowa linii kablowych</w:t>
      </w:r>
    </w:p>
    <w:p w14:paraId="7F6ACE06"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Przy przebudowie i budowie dróg, występujące elektroenergetyczne lub sygnalizacyjne linie kablowe, które nie spełniają wymagań PN-76/E-05125 powinny być przebudowane.</w:t>
      </w:r>
    </w:p>
    <w:p w14:paraId="3F6EC992"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Metoda przebudowy uzależniona jest od warunków technicznych wydawanych przez użytkownika linii. Warunki te określają ogólne zasady przebudowy i okres, w którym możliwe jest odłączenie napięcia w linii przebudowywanej.</w:t>
      </w:r>
    </w:p>
    <w:p w14:paraId="1837B697"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Wykonawca powinien opracować i przedstawić do akceptacji Inżyniera harmonogram robót, zawierający uzgodnione z użytkownikiem okresy wyłączenia napięcia w przebudowywanych liniach kablowych.</w:t>
      </w:r>
    </w:p>
    <w:p w14:paraId="2C647C73"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Jeżeli dokumentacja projektowa nie przewiduje inaczej to kolidujące linie kablowe należy przebudowywać zachowując następującą kolejność robót:</w:t>
      </w:r>
    </w:p>
    <w:p w14:paraId="26070718" w14:textId="77777777" w:rsidR="00C9677E" w:rsidRPr="00A23FB4" w:rsidRDefault="00C9677E" w:rsidP="00262498">
      <w:pPr>
        <w:numPr>
          <w:ilvl w:val="0"/>
          <w:numId w:val="35"/>
        </w:numPr>
        <w:rPr>
          <w:rFonts w:asciiTheme="minorHAnsi" w:hAnsiTheme="minorHAnsi" w:cstheme="minorHAnsi"/>
        </w:rPr>
      </w:pPr>
      <w:r w:rsidRPr="00A23FB4">
        <w:rPr>
          <w:rFonts w:asciiTheme="minorHAnsi" w:hAnsiTheme="minorHAnsi" w:cstheme="minorHAnsi"/>
        </w:rPr>
        <w:t>wybudowanie nowego niekolidującego z drogą odcinka linii mającego parametry nie gorsze niż przebudowywana linia kablowa,</w:t>
      </w:r>
    </w:p>
    <w:p w14:paraId="76A7E9D9" w14:textId="77777777" w:rsidR="00C9677E" w:rsidRPr="00A23FB4" w:rsidRDefault="00C9677E" w:rsidP="00262498">
      <w:pPr>
        <w:numPr>
          <w:ilvl w:val="0"/>
          <w:numId w:val="35"/>
        </w:numPr>
        <w:rPr>
          <w:rFonts w:asciiTheme="minorHAnsi" w:hAnsiTheme="minorHAnsi" w:cstheme="minorHAnsi"/>
        </w:rPr>
      </w:pPr>
      <w:r w:rsidRPr="00A23FB4">
        <w:rPr>
          <w:rFonts w:asciiTheme="minorHAnsi" w:hAnsiTheme="minorHAnsi" w:cstheme="minorHAnsi"/>
        </w:rPr>
        <w:t>wyłączenie napięcia zasilającego tę linię,</w:t>
      </w:r>
    </w:p>
    <w:p w14:paraId="22C32AA3" w14:textId="77777777" w:rsidR="00C9677E" w:rsidRPr="00A23FB4" w:rsidRDefault="00C9677E" w:rsidP="00262498">
      <w:pPr>
        <w:numPr>
          <w:ilvl w:val="0"/>
          <w:numId w:val="35"/>
        </w:numPr>
        <w:rPr>
          <w:rFonts w:asciiTheme="minorHAnsi" w:hAnsiTheme="minorHAnsi" w:cstheme="minorHAnsi"/>
        </w:rPr>
      </w:pPr>
      <w:r w:rsidRPr="00A23FB4">
        <w:rPr>
          <w:rFonts w:asciiTheme="minorHAnsi" w:hAnsiTheme="minorHAnsi" w:cstheme="minorHAnsi"/>
        </w:rPr>
        <w:t>wykonanie podłączenia nowego odcinka linii z istniejącym, poza obszarem kolizji z drogą,</w:t>
      </w:r>
    </w:p>
    <w:p w14:paraId="34476BFC" w14:textId="77777777" w:rsidR="00C9677E" w:rsidRPr="00A23FB4" w:rsidRDefault="00C9677E" w:rsidP="00262498">
      <w:pPr>
        <w:numPr>
          <w:ilvl w:val="0"/>
          <w:numId w:val="35"/>
        </w:numPr>
        <w:rPr>
          <w:rFonts w:asciiTheme="minorHAnsi" w:hAnsiTheme="minorHAnsi" w:cstheme="minorHAnsi"/>
        </w:rPr>
      </w:pPr>
      <w:r w:rsidRPr="00A23FB4">
        <w:rPr>
          <w:rFonts w:asciiTheme="minorHAnsi" w:hAnsiTheme="minorHAnsi" w:cstheme="minorHAnsi"/>
        </w:rPr>
        <w:t>zdemontowanie kolizyjnego odcinka linii.</w:t>
      </w:r>
    </w:p>
    <w:p w14:paraId="330661F0"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Przebudowę linii należy wykonywać zgodnie z normami i przepisami budowy oraz bezpieczeństwa i higieny pracy.</w:t>
      </w:r>
    </w:p>
    <w:p w14:paraId="16E8014B" w14:textId="77777777" w:rsidR="00C9677E" w:rsidRPr="00A23FB4" w:rsidRDefault="00C9677E" w:rsidP="00C9677E">
      <w:pPr>
        <w:pStyle w:val="Nagwek3"/>
        <w:rPr>
          <w:rFonts w:asciiTheme="minorHAnsi" w:hAnsiTheme="minorHAnsi"/>
        </w:rPr>
      </w:pPr>
      <w:r w:rsidRPr="00A23FB4">
        <w:rPr>
          <w:rFonts w:asciiTheme="minorHAnsi" w:hAnsiTheme="minorHAnsi"/>
        </w:rPr>
        <w:t>5.2. Demontaż linii kablowej</w:t>
      </w:r>
    </w:p>
    <w:p w14:paraId="5D864A33"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 xml:space="preserve">Demontaż kolizyjnego odcinka linii kablowej należy wykonać zgodnie z dokumentacją projektową, </w:t>
      </w:r>
      <w:r w:rsidR="00824125" w:rsidRPr="00A23FB4">
        <w:rPr>
          <w:rFonts w:asciiTheme="minorHAnsi" w:hAnsiTheme="minorHAnsi" w:cstheme="minorHAnsi"/>
        </w:rPr>
        <w:t>wytycznymi</w:t>
      </w:r>
      <w:r w:rsidRPr="00A23FB4">
        <w:rPr>
          <w:rFonts w:asciiTheme="minorHAnsi" w:hAnsiTheme="minorHAnsi" w:cstheme="minorHAnsi"/>
        </w:rPr>
        <w:t xml:space="preserve"> oraz zaleceniami użytkownika tej linii.</w:t>
      </w:r>
    </w:p>
    <w:p w14:paraId="03D969F6"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Wykonawca ma obowiązek wykonania demontażu linii kablowej w możliwie taki sposób, aby jej elementy nie zostały uszkodzone lub zniszczone.</w:t>
      </w:r>
    </w:p>
    <w:p w14:paraId="46C2B744"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W przypadku niemożności zdemontowania elementów linii bez ich uszkodzenia, Wykonawca powinien powiadomić o tym Inżyniera i uzyskać od niego zgodę na jej uszkodzenie lub zniszczenie.</w:t>
      </w:r>
    </w:p>
    <w:p w14:paraId="36FD8EAF"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W szczególnych przypadkach Wykonawca może pozostawić element linii bez jego demontażu, o ile uzyska na to zgodę Inżyniera.</w:t>
      </w:r>
    </w:p>
    <w:p w14:paraId="3857A764"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Wszelkie wykopy związane z odkopaniem linii kablowej powinny być zasypane gruntem zagęszczanym warstwami co 20 cm i wyrównane do poziomu istniejącego terenu.</w:t>
      </w:r>
    </w:p>
    <w:p w14:paraId="15BD7CAD"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Wykonawca zobowiązany jest do nieodpłatnego przekazania Zamawiającemu wszystkich materiałów pochodzących z demontażu i dostarczenie ich do wskazanego miejsca.</w:t>
      </w:r>
    </w:p>
    <w:p w14:paraId="2164A80E" w14:textId="77777777" w:rsidR="00C9677E" w:rsidRPr="00A23FB4" w:rsidRDefault="00C9677E" w:rsidP="00C9677E">
      <w:pPr>
        <w:pStyle w:val="Nagwek3"/>
        <w:rPr>
          <w:rFonts w:asciiTheme="minorHAnsi" w:hAnsiTheme="minorHAnsi"/>
        </w:rPr>
      </w:pPr>
      <w:r w:rsidRPr="00A23FB4">
        <w:rPr>
          <w:rFonts w:asciiTheme="minorHAnsi" w:hAnsiTheme="minorHAnsi"/>
        </w:rPr>
        <w:t>5.3. Rowy pod kable</w:t>
      </w:r>
    </w:p>
    <w:p w14:paraId="2D8FE532"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Rowy pod kable należy wykonywać za pomocą sprzętu mechanicznego lub ręcznie w zależności od warunków terenowych i podziemnego uzbrojenia terenu, po uprzednim wytyczeniu ich tras przez służby geodezyjne.</w:t>
      </w:r>
    </w:p>
    <w:p w14:paraId="04588D47"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Wymiary poprzeczne rowów uzależnione są od rodzaju kabli i ich ilości układanych w jednej warstwie.</w:t>
      </w:r>
    </w:p>
    <w:p w14:paraId="543095AA"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Głębokość rowu określona jest głębokością ułożenia kabla wg p. 5.4.4 powiększoną o 10 cm, natomiast szerokość dna rowu obliczamy ze wzoru:</w:t>
      </w:r>
    </w:p>
    <w:p w14:paraId="66EA6F6D" w14:textId="77777777" w:rsidR="00C9677E" w:rsidRPr="00A23FB4" w:rsidRDefault="00C9677E" w:rsidP="00C9677E">
      <w:pPr>
        <w:jc w:val="center"/>
        <w:rPr>
          <w:rFonts w:asciiTheme="minorHAnsi" w:hAnsiTheme="minorHAnsi" w:cstheme="minorHAnsi"/>
        </w:rPr>
      </w:pPr>
      <w:r w:rsidRPr="00A23FB4">
        <w:rPr>
          <w:rFonts w:asciiTheme="minorHAnsi" w:hAnsiTheme="minorHAnsi" w:cstheme="minorHAnsi"/>
        </w:rPr>
        <w:t>S = nd + (n-1) a + 20  [cm]</w:t>
      </w:r>
    </w:p>
    <w:p w14:paraId="4AC18C2D"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gdzie:</w:t>
      </w:r>
      <w:r w:rsidRPr="00A23FB4">
        <w:rPr>
          <w:rFonts w:asciiTheme="minorHAnsi" w:hAnsiTheme="minorHAnsi" w:cstheme="minorHAnsi"/>
        </w:rPr>
        <w:tab/>
        <w:t>n - ilość kabli w jednej warstwie,</w:t>
      </w:r>
    </w:p>
    <w:p w14:paraId="7E2B838B"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ab/>
        <w:t>d - suma średnic zewn. Wszystkich kabli w warstwie,</w:t>
      </w:r>
    </w:p>
    <w:p w14:paraId="66626C98"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ab/>
        <w:t>a - suma odległości pomiędzy kablami wg tablicy 1.</w:t>
      </w:r>
    </w:p>
    <w:p w14:paraId="68ED0238" w14:textId="77777777" w:rsidR="00C9677E" w:rsidRPr="00A23FB4" w:rsidRDefault="00C9677E" w:rsidP="00C9677E">
      <w:pPr>
        <w:spacing w:before="120"/>
        <w:rPr>
          <w:rFonts w:asciiTheme="minorHAnsi" w:hAnsiTheme="minorHAnsi" w:cstheme="minorHAnsi"/>
        </w:rPr>
      </w:pPr>
      <w:r w:rsidRPr="00A23FB4">
        <w:rPr>
          <w:rFonts w:asciiTheme="minorHAnsi" w:hAnsiTheme="minorHAnsi" w:cstheme="minorHAnsi"/>
        </w:rPr>
        <w:t xml:space="preserve">Tablica 1. Odległości między kablami ułożonymi w gruncie przy skrzyżowaniach </w:t>
      </w:r>
    </w:p>
    <w:p w14:paraId="677B19F9" w14:textId="77777777" w:rsidR="00C9677E" w:rsidRPr="00A23FB4" w:rsidRDefault="00C9677E" w:rsidP="00C9677E">
      <w:pPr>
        <w:spacing w:after="120"/>
        <w:rPr>
          <w:rFonts w:asciiTheme="minorHAnsi" w:hAnsiTheme="minorHAnsi" w:cstheme="minorHAnsi"/>
        </w:rPr>
      </w:pPr>
      <w:r w:rsidRPr="00A23FB4">
        <w:rPr>
          <w:rFonts w:asciiTheme="minorHAnsi" w:hAnsiTheme="minorHAnsi" w:cstheme="minorHAnsi"/>
        </w:rPr>
        <w:tab/>
        <w:t xml:space="preserve">    i zbliżeniach</w:t>
      </w:r>
    </w:p>
    <w:tbl>
      <w:tblPr>
        <w:tblW w:w="0" w:type="auto"/>
        <w:tblLayout w:type="fixed"/>
        <w:tblCellMar>
          <w:left w:w="70" w:type="dxa"/>
          <w:right w:w="70" w:type="dxa"/>
        </w:tblCellMar>
        <w:tblLook w:val="0000" w:firstRow="0" w:lastRow="0" w:firstColumn="0" w:lastColumn="0" w:noHBand="0" w:noVBand="0"/>
      </w:tblPr>
      <w:tblGrid>
        <w:gridCol w:w="5032"/>
        <w:gridCol w:w="1239"/>
        <w:gridCol w:w="1239"/>
      </w:tblGrid>
      <w:tr w:rsidR="00C9677E" w:rsidRPr="00A23FB4" w14:paraId="484F417C" w14:textId="77777777" w:rsidTr="00AD0C50">
        <w:tc>
          <w:tcPr>
            <w:tcW w:w="5032" w:type="dxa"/>
            <w:tcBorders>
              <w:top w:val="single" w:sz="6" w:space="0" w:color="auto"/>
              <w:left w:val="single" w:sz="6" w:space="0" w:color="auto"/>
            </w:tcBorders>
          </w:tcPr>
          <w:p w14:paraId="78A05A6B" w14:textId="77777777" w:rsidR="00C9677E" w:rsidRPr="00A23FB4" w:rsidRDefault="00C9677E" w:rsidP="00AD0C50">
            <w:pPr>
              <w:jc w:val="center"/>
              <w:rPr>
                <w:rFonts w:asciiTheme="minorHAnsi" w:hAnsiTheme="minorHAnsi" w:cstheme="minorHAnsi"/>
              </w:rPr>
            </w:pPr>
          </w:p>
          <w:p w14:paraId="3AB9A977" w14:textId="77777777" w:rsidR="00C9677E" w:rsidRPr="00A23FB4" w:rsidRDefault="00C9677E" w:rsidP="00AD0C50">
            <w:pPr>
              <w:jc w:val="center"/>
              <w:rPr>
                <w:rFonts w:asciiTheme="minorHAnsi" w:hAnsiTheme="minorHAnsi" w:cstheme="minorHAnsi"/>
              </w:rPr>
            </w:pPr>
            <w:r w:rsidRPr="00A23FB4">
              <w:rPr>
                <w:rFonts w:asciiTheme="minorHAnsi" w:hAnsiTheme="minorHAnsi" w:cstheme="minorHAnsi"/>
              </w:rPr>
              <w:t>Skrzyżowanie</w:t>
            </w:r>
          </w:p>
        </w:tc>
        <w:tc>
          <w:tcPr>
            <w:tcW w:w="2478" w:type="dxa"/>
            <w:gridSpan w:val="2"/>
            <w:tcBorders>
              <w:top w:val="single" w:sz="6" w:space="0" w:color="auto"/>
              <w:left w:val="single" w:sz="6" w:space="0" w:color="auto"/>
              <w:bottom w:val="single" w:sz="6" w:space="0" w:color="auto"/>
              <w:right w:val="single" w:sz="6" w:space="0" w:color="auto"/>
            </w:tcBorders>
          </w:tcPr>
          <w:p w14:paraId="7FA717F6" w14:textId="77777777" w:rsidR="00C9677E" w:rsidRPr="00A23FB4" w:rsidRDefault="00C9677E" w:rsidP="00AD0C50">
            <w:pPr>
              <w:jc w:val="center"/>
              <w:rPr>
                <w:rFonts w:asciiTheme="minorHAnsi" w:hAnsiTheme="minorHAnsi" w:cstheme="minorHAnsi"/>
              </w:rPr>
            </w:pPr>
            <w:r w:rsidRPr="00A23FB4">
              <w:rPr>
                <w:rFonts w:asciiTheme="minorHAnsi" w:hAnsiTheme="minorHAnsi" w:cstheme="minorHAnsi"/>
              </w:rPr>
              <w:t>Najmniejsza dopuszczalna odległość  w cm</w:t>
            </w:r>
          </w:p>
        </w:tc>
      </w:tr>
      <w:tr w:rsidR="00C9677E" w:rsidRPr="00A23FB4" w14:paraId="2F60F936" w14:textId="77777777" w:rsidTr="00AD0C50">
        <w:tc>
          <w:tcPr>
            <w:tcW w:w="5032" w:type="dxa"/>
            <w:tcBorders>
              <w:left w:val="single" w:sz="6" w:space="0" w:color="auto"/>
              <w:bottom w:val="double" w:sz="6" w:space="0" w:color="auto"/>
            </w:tcBorders>
          </w:tcPr>
          <w:p w14:paraId="23901B79" w14:textId="77777777" w:rsidR="00C9677E" w:rsidRPr="00A23FB4" w:rsidRDefault="00C9677E" w:rsidP="00AD0C50">
            <w:pPr>
              <w:jc w:val="center"/>
              <w:rPr>
                <w:rFonts w:asciiTheme="minorHAnsi" w:hAnsiTheme="minorHAnsi" w:cstheme="minorHAnsi"/>
              </w:rPr>
            </w:pPr>
            <w:r w:rsidRPr="00A23FB4">
              <w:rPr>
                <w:rFonts w:asciiTheme="minorHAnsi" w:hAnsiTheme="minorHAnsi" w:cstheme="minorHAnsi"/>
              </w:rPr>
              <w:t>lub zbliżenie</w:t>
            </w:r>
          </w:p>
        </w:tc>
        <w:tc>
          <w:tcPr>
            <w:tcW w:w="1239" w:type="dxa"/>
            <w:tcBorders>
              <w:top w:val="single" w:sz="6" w:space="0" w:color="auto"/>
              <w:left w:val="single" w:sz="6" w:space="0" w:color="auto"/>
              <w:bottom w:val="double" w:sz="6" w:space="0" w:color="auto"/>
              <w:right w:val="single" w:sz="6" w:space="0" w:color="auto"/>
            </w:tcBorders>
          </w:tcPr>
          <w:p w14:paraId="6A7ABA3C" w14:textId="77777777" w:rsidR="00C9677E" w:rsidRPr="00A23FB4" w:rsidRDefault="00C9677E" w:rsidP="00AD0C50">
            <w:pPr>
              <w:jc w:val="center"/>
              <w:rPr>
                <w:rFonts w:asciiTheme="minorHAnsi" w:hAnsiTheme="minorHAnsi" w:cstheme="minorHAnsi"/>
              </w:rPr>
            </w:pPr>
            <w:r w:rsidRPr="00A23FB4">
              <w:rPr>
                <w:rFonts w:asciiTheme="minorHAnsi" w:hAnsiTheme="minorHAnsi" w:cstheme="minorHAnsi"/>
              </w:rPr>
              <w:t>pionowa przy skrzyżowaniu</w:t>
            </w:r>
          </w:p>
        </w:tc>
        <w:tc>
          <w:tcPr>
            <w:tcW w:w="1239" w:type="dxa"/>
            <w:tcBorders>
              <w:top w:val="single" w:sz="6" w:space="0" w:color="auto"/>
              <w:left w:val="single" w:sz="6" w:space="0" w:color="auto"/>
              <w:bottom w:val="double" w:sz="6" w:space="0" w:color="auto"/>
              <w:right w:val="single" w:sz="6" w:space="0" w:color="auto"/>
            </w:tcBorders>
          </w:tcPr>
          <w:p w14:paraId="0147825E" w14:textId="77777777" w:rsidR="00C9677E" w:rsidRPr="00A23FB4" w:rsidRDefault="00C9677E" w:rsidP="00AD0C50">
            <w:pPr>
              <w:jc w:val="center"/>
              <w:rPr>
                <w:rFonts w:asciiTheme="minorHAnsi" w:hAnsiTheme="minorHAnsi" w:cstheme="minorHAnsi"/>
              </w:rPr>
            </w:pPr>
            <w:r w:rsidRPr="00A23FB4">
              <w:rPr>
                <w:rFonts w:asciiTheme="minorHAnsi" w:hAnsiTheme="minorHAnsi" w:cstheme="minorHAnsi"/>
              </w:rPr>
              <w:t>pozioma przy zbliżeniu</w:t>
            </w:r>
          </w:p>
        </w:tc>
      </w:tr>
      <w:tr w:rsidR="00C9677E" w:rsidRPr="00A23FB4" w14:paraId="20DFC251" w14:textId="77777777" w:rsidTr="00AD0C50">
        <w:tc>
          <w:tcPr>
            <w:tcW w:w="5032" w:type="dxa"/>
            <w:tcBorders>
              <w:left w:val="single" w:sz="6" w:space="0" w:color="auto"/>
              <w:bottom w:val="single" w:sz="6" w:space="0" w:color="auto"/>
              <w:right w:val="single" w:sz="6" w:space="0" w:color="auto"/>
            </w:tcBorders>
          </w:tcPr>
          <w:p w14:paraId="364554C6" w14:textId="77777777" w:rsidR="00C9677E" w:rsidRPr="00A23FB4" w:rsidRDefault="00C9677E" w:rsidP="00AD0C50">
            <w:pPr>
              <w:rPr>
                <w:rFonts w:asciiTheme="minorHAnsi" w:hAnsiTheme="minorHAnsi" w:cstheme="minorHAnsi"/>
              </w:rPr>
            </w:pPr>
            <w:r w:rsidRPr="00A23FB4">
              <w:rPr>
                <w:rFonts w:asciiTheme="minorHAnsi" w:hAnsiTheme="minorHAnsi" w:cstheme="minorHAnsi"/>
              </w:rPr>
              <w:t>Kabli elektroenergetycznych na napięcie znamionowe do          1 kV z kablami tego samego rodzaju lub sygnalizacyjnymi</w:t>
            </w:r>
          </w:p>
        </w:tc>
        <w:tc>
          <w:tcPr>
            <w:tcW w:w="1239" w:type="dxa"/>
            <w:tcBorders>
              <w:left w:val="single" w:sz="6" w:space="0" w:color="auto"/>
              <w:bottom w:val="single" w:sz="6" w:space="0" w:color="auto"/>
              <w:right w:val="single" w:sz="6" w:space="0" w:color="auto"/>
            </w:tcBorders>
          </w:tcPr>
          <w:p w14:paraId="1CD21233" w14:textId="77777777" w:rsidR="00C9677E" w:rsidRPr="00A23FB4" w:rsidRDefault="00C9677E" w:rsidP="00AD0C50">
            <w:pPr>
              <w:spacing w:before="120"/>
              <w:jc w:val="center"/>
              <w:rPr>
                <w:rFonts w:asciiTheme="minorHAnsi" w:hAnsiTheme="minorHAnsi" w:cstheme="minorHAnsi"/>
              </w:rPr>
            </w:pPr>
            <w:r w:rsidRPr="00A23FB4">
              <w:rPr>
                <w:rFonts w:asciiTheme="minorHAnsi" w:hAnsiTheme="minorHAnsi" w:cstheme="minorHAnsi"/>
              </w:rPr>
              <w:t>25</w:t>
            </w:r>
          </w:p>
        </w:tc>
        <w:tc>
          <w:tcPr>
            <w:tcW w:w="1239" w:type="dxa"/>
            <w:tcBorders>
              <w:left w:val="single" w:sz="6" w:space="0" w:color="auto"/>
              <w:bottom w:val="single" w:sz="6" w:space="0" w:color="auto"/>
              <w:right w:val="single" w:sz="6" w:space="0" w:color="auto"/>
            </w:tcBorders>
          </w:tcPr>
          <w:p w14:paraId="4210FDA7" w14:textId="77777777" w:rsidR="00C9677E" w:rsidRPr="00A23FB4" w:rsidRDefault="00C9677E" w:rsidP="00AD0C50">
            <w:pPr>
              <w:spacing w:before="120"/>
              <w:jc w:val="center"/>
              <w:rPr>
                <w:rFonts w:asciiTheme="minorHAnsi" w:hAnsiTheme="minorHAnsi" w:cstheme="minorHAnsi"/>
              </w:rPr>
            </w:pPr>
            <w:r w:rsidRPr="00A23FB4">
              <w:rPr>
                <w:rFonts w:asciiTheme="minorHAnsi" w:hAnsiTheme="minorHAnsi" w:cstheme="minorHAnsi"/>
              </w:rPr>
              <w:t>10</w:t>
            </w:r>
          </w:p>
        </w:tc>
      </w:tr>
      <w:tr w:rsidR="00C9677E" w:rsidRPr="00A23FB4" w14:paraId="260A5C69" w14:textId="77777777" w:rsidTr="00AD0C50">
        <w:tc>
          <w:tcPr>
            <w:tcW w:w="5032" w:type="dxa"/>
            <w:tcBorders>
              <w:top w:val="single" w:sz="6" w:space="0" w:color="auto"/>
              <w:left w:val="single" w:sz="6" w:space="0" w:color="auto"/>
              <w:bottom w:val="single" w:sz="6" w:space="0" w:color="auto"/>
              <w:right w:val="single" w:sz="6" w:space="0" w:color="auto"/>
            </w:tcBorders>
          </w:tcPr>
          <w:p w14:paraId="432E5E50" w14:textId="77777777" w:rsidR="00C9677E" w:rsidRPr="00A23FB4" w:rsidRDefault="00C9677E" w:rsidP="00AD0C50">
            <w:pPr>
              <w:rPr>
                <w:rFonts w:asciiTheme="minorHAnsi" w:hAnsiTheme="minorHAnsi" w:cstheme="minorHAnsi"/>
              </w:rPr>
            </w:pPr>
            <w:r w:rsidRPr="00A23FB4">
              <w:rPr>
                <w:rFonts w:asciiTheme="minorHAnsi" w:hAnsiTheme="minorHAnsi" w:cstheme="minorHAnsi"/>
              </w:rPr>
              <w:t>Kabli sygnalizacyjnych i kabli przeznaczonych do zasilania urządzeń oświetleniowych z kablami tego samego rodzaju</w:t>
            </w:r>
          </w:p>
        </w:tc>
        <w:tc>
          <w:tcPr>
            <w:tcW w:w="1239" w:type="dxa"/>
            <w:tcBorders>
              <w:top w:val="single" w:sz="6" w:space="0" w:color="auto"/>
              <w:left w:val="single" w:sz="6" w:space="0" w:color="auto"/>
              <w:bottom w:val="single" w:sz="6" w:space="0" w:color="auto"/>
              <w:right w:val="single" w:sz="6" w:space="0" w:color="auto"/>
            </w:tcBorders>
          </w:tcPr>
          <w:p w14:paraId="64E50870" w14:textId="77777777" w:rsidR="00C9677E" w:rsidRPr="00A23FB4" w:rsidRDefault="00C9677E" w:rsidP="00AD0C50">
            <w:pPr>
              <w:spacing w:before="120"/>
              <w:jc w:val="center"/>
              <w:rPr>
                <w:rFonts w:asciiTheme="minorHAnsi" w:hAnsiTheme="minorHAnsi" w:cstheme="minorHAnsi"/>
              </w:rPr>
            </w:pPr>
            <w:r w:rsidRPr="00A23FB4">
              <w:rPr>
                <w:rFonts w:asciiTheme="minorHAnsi" w:hAnsiTheme="minorHAnsi" w:cstheme="minorHAnsi"/>
              </w:rPr>
              <w:t>25</w:t>
            </w:r>
          </w:p>
        </w:tc>
        <w:tc>
          <w:tcPr>
            <w:tcW w:w="1239" w:type="dxa"/>
            <w:tcBorders>
              <w:top w:val="single" w:sz="6" w:space="0" w:color="auto"/>
              <w:left w:val="single" w:sz="6" w:space="0" w:color="auto"/>
              <w:bottom w:val="single" w:sz="6" w:space="0" w:color="auto"/>
              <w:right w:val="single" w:sz="6" w:space="0" w:color="auto"/>
            </w:tcBorders>
          </w:tcPr>
          <w:p w14:paraId="4181A7AD" w14:textId="77777777" w:rsidR="00C9677E" w:rsidRPr="00A23FB4" w:rsidRDefault="00C9677E" w:rsidP="00AD0C50">
            <w:pPr>
              <w:jc w:val="center"/>
              <w:rPr>
                <w:rFonts w:asciiTheme="minorHAnsi" w:hAnsiTheme="minorHAnsi" w:cstheme="minorHAnsi"/>
              </w:rPr>
            </w:pPr>
            <w:r w:rsidRPr="00A23FB4">
              <w:rPr>
                <w:rFonts w:asciiTheme="minorHAnsi" w:hAnsiTheme="minorHAnsi" w:cstheme="minorHAnsi"/>
              </w:rPr>
              <w:t>mogą się stykać</w:t>
            </w:r>
          </w:p>
        </w:tc>
      </w:tr>
      <w:tr w:rsidR="00C9677E" w:rsidRPr="00A23FB4" w14:paraId="27EE46C6" w14:textId="77777777" w:rsidTr="00AD0C50">
        <w:tc>
          <w:tcPr>
            <w:tcW w:w="5032" w:type="dxa"/>
            <w:tcBorders>
              <w:top w:val="single" w:sz="6" w:space="0" w:color="auto"/>
              <w:left w:val="single" w:sz="6" w:space="0" w:color="auto"/>
              <w:bottom w:val="single" w:sz="6" w:space="0" w:color="auto"/>
              <w:right w:val="single" w:sz="6" w:space="0" w:color="auto"/>
            </w:tcBorders>
          </w:tcPr>
          <w:p w14:paraId="7687E356" w14:textId="77777777" w:rsidR="00C9677E" w:rsidRPr="00A23FB4" w:rsidRDefault="00C9677E" w:rsidP="00AD0C50">
            <w:pPr>
              <w:rPr>
                <w:rFonts w:asciiTheme="minorHAnsi" w:hAnsiTheme="minorHAnsi" w:cstheme="minorHAnsi"/>
              </w:rPr>
            </w:pPr>
            <w:r w:rsidRPr="00A23FB4">
              <w:rPr>
                <w:rFonts w:asciiTheme="minorHAnsi" w:hAnsiTheme="minorHAnsi" w:cstheme="minorHAnsi"/>
              </w:rPr>
              <w:t>Kabli elektroenergetycznych na napięcie znamionowe do          1 kV z kablami elektroenergetycznymi na napięcie znamionowe wyższe niż 1 kV</w:t>
            </w:r>
          </w:p>
        </w:tc>
        <w:tc>
          <w:tcPr>
            <w:tcW w:w="1239" w:type="dxa"/>
            <w:tcBorders>
              <w:top w:val="single" w:sz="6" w:space="0" w:color="auto"/>
              <w:left w:val="single" w:sz="6" w:space="0" w:color="auto"/>
              <w:bottom w:val="single" w:sz="6" w:space="0" w:color="auto"/>
              <w:right w:val="single" w:sz="6" w:space="0" w:color="auto"/>
            </w:tcBorders>
          </w:tcPr>
          <w:p w14:paraId="5629471D" w14:textId="77777777" w:rsidR="00C9677E" w:rsidRPr="00A23FB4" w:rsidRDefault="00C9677E" w:rsidP="00AD0C50">
            <w:pPr>
              <w:jc w:val="center"/>
              <w:rPr>
                <w:rFonts w:asciiTheme="minorHAnsi" w:hAnsiTheme="minorHAnsi" w:cstheme="minorHAnsi"/>
              </w:rPr>
            </w:pPr>
          </w:p>
          <w:p w14:paraId="0899FA88" w14:textId="77777777" w:rsidR="00C9677E" w:rsidRPr="00A23FB4" w:rsidRDefault="00C9677E" w:rsidP="00AD0C50">
            <w:pPr>
              <w:jc w:val="center"/>
              <w:rPr>
                <w:rFonts w:asciiTheme="minorHAnsi" w:hAnsiTheme="minorHAnsi" w:cstheme="minorHAnsi"/>
              </w:rPr>
            </w:pPr>
            <w:r w:rsidRPr="00A23FB4">
              <w:rPr>
                <w:rFonts w:asciiTheme="minorHAnsi" w:hAnsiTheme="minorHAnsi" w:cstheme="minorHAnsi"/>
              </w:rPr>
              <w:t>50</w:t>
            </w:r>
          </w:p>
        </w:tc>
        <w:tc>
          <w:tcPr>
            <w:tcW w:w="1239" w:type="dxa"/>
            <w:tcBorders>
              <w:top w:val="single" w:sz="6" w:space="0" w:color="auto"/>
              <w:left w:val="single" w:sz="6" w:space="0" w:color="auto"/>
              <w:bottom w:val="single" w:sz="6" w:space="0" w:color="auto"/>
              <w:right w:val="single" w:sz="6" w:space="0" w:color="auto"/>
            </w:tcBorders>
          </w:tcPr>
          <w:p w14:paraId="162CE277" w14:textId="77777777" w:rsidR="00C9677E" w:rsidRPr="00A23FB4" w:rsidRDefault="00C9677E" w:rsidP="00AD0C50">
            <w:pPr>
              <w:jc w:val="center"/>
              <w:rPr>
                <w:rFonts w:asciiTheme="minorHAnsi" w:hAnsiTheme="minorHAnsi" w:cstheme="minorHAnsi"/>
              </w:rPr>
            </w:pPr>
          </w:p>
          <w:p w14:paraId="52F8A567" w14:textId="77777777" w:rsidR="00C9677E" w:rsidRPr="00A23FB4" w:rsidRDefault="00C9677E" w:rsidP="00AD0C50">
            <w:pPr>
              <w:jc w:val="center"/>
              <w:rPr>
                <w:rFonts w:asciiTheme="minorHAnsi" w:hAnsiTheme="minorHAnsi" w:cstheme="minorHAnsi"/>
              </w:rPr>
            </w:pPr>
            <w:r w:rsidRPr="00A23FB4">
              <w:rPr>
                <w:rFonts w:asciiTheme="minorHAnsi" w:hAnsiTheme="minorHAnsi" w:cstheme="minorHAnsi"/>
              </w:rPr>
              <w:t>10</w:t>
            </w:r>
          </w:p>
        </w:tc>
      </w:tr>
      <w:tr w:rsidR="00C9677E" w:rsidRPr="00A23FB4" w14:paraId="4845724D" w14:textId="77777777" w:rsidTr="00AD0C50">
        <w:tc>
          <w:tcPr>
            <w:tcW w:w="5032" w:type="dxa"/>
            <w:tcBorders>
              <w:top w:val="single" w:sz="6" w:space="0" w:color="auto"/>
              <w:left w:val="single" w:sz="6" w:space="0" w:color="auto"/>
              <w:bottom w:val="single" w:sz="6" w:space="0" w:color="auto"/>
              <w:right w:val="single" w:sz="6" w:space="0" w:color="auto"/>
            </w:tcBorders>
          </w:tcPr>
          <w:p w14:paraId="7B1DD20C" w14:textId="77777777" w:rsidR="00C9677E" w:rsidRPr="00A23FB4" w:rsidRDefault="00C9677E" w:rsidP="00AD0C50">
            <w:pPr>
              <w:rPr>
                <w:rFonts w:asciiTheme="minorHAnsi" w:hAnsiTheme="minorHAnsi" w:cstheme="minorHAnsi"/>
              </w:rPr>
            </w:pPr>
            <w:r w:rsidRPr="00A23FB4">
              <w:rPr>
                <w:rFonts w:asciiTheme="minorHAnsi" w:hAnsiTheme="minorHAnsi" w:cstheme="minorHAnsi"/>
              </w:rPr>
              <w:t>Kabli elektroenergetycznych na napięcie znamionowe wyższe niż 1 kV i nie przekraczające 10 kV z kablami tego samego typu</w:t>
            </w:r>
          </w:p>
        </w:tc>
        <w:tc>
          <w:tcPr>
            <w:tcW w:w="1239" w:type="dxa"/>
            <w:tcBorders>
              <w:top w:val="single" w:sz="6" w:space="0" w:color="auto"/>
              <w:left w:val="single" w:sz="6" w:space="0" w:color="auto"/>
              <w:bottom w:val="single" w:sz="6" w:space="0" w:color="auto"/>
              <w:right w:val="single" w:sz="6" w:space="0" w:color="auto"/>
            </w:tcBorders>
          </w:tcPr>
          <w:p w14:paraId="4210186F" w14:textId="77777777" w:rsidR="00C9677E" w:rsidRPr="00A23FB4" w:rsidRDefault="00C9677E" w:rsidP="00AD0C50">
            <w:pPr>
              <w:jc w:val="center"/>
              <w:rPr>
                <w:rFonts w:asciiTheme="minorHAnsi" w:hAnsiTheme="minorHAnsi" w:cstheme="minorHAnsi"/>
              </w:rPr>
            </w:pPr>
          </w:p>
          <w:p w14:paraId="7E8640BF" w14:textId="77777777" w:rsidR="00C9677E" w:rsidRPr="00A23FB4" w:rsidRDefault="00C9677E" w:rsidP="00AD0C50">
            <w:pPr>
              <w:jc w:val="center"/>
              <w:rPr>
                <w:rFonts w:asciiTheme="minorHAnsi" w:hAnsiTheme="minorHAnsi" w:cstheme="minorHAnsi"/>
              </w:rPr>
            </w:pPr>
            <w:r w:rsidRPr="00A23FB4">
              <w:rPr>
                <w:rFonts w:asciiTheme="minorHAnsi" w:hAnsiTheme="minorHAnsi" w:cstheme="minorHAnsi"/>
              </w:rPr>
              <w:t>50</w:t>
            </w:r>
          </w:p>
        </w:tc>
        <w:tc>
          <w:tcPr>
            <w:tcW w:w="1239" w:type="dxa"/>
            <w:tcBorders>
              <w:top w:val="single" w:sz="6" w:space="0" w:color="auto"/>
              <w:left w:val="single" w:sz="6" w:space="0" w:color="auto"/>
              <w:bottom w:val="single" w:sz="6" w:space="0" w:color="auto"/>
              <w:right w:val="single" w:sz="6" w:space="0" w:color="auto"/>
            </w:tcBorders>
          </w:tcPr>
          <w:p w14:paraId="7F6EEB33" w14:textId="77777777" w:rsidR="00C9677E" w:rsidRPr="00A23FB4" w:rsidRDefault="00C9677E" w:rsidP="00AD0C50">
            <w:pPr>
              <w:jc w:val="center"/>
              <w:rPr>
                <w:rFonts w:asciiTheme="minorHAnsi" w:hAnsiTheme="minorHAnsi" w:cstheme="minorHAnsi"/>
              </w:rPr>
            </w:pPr>
          </w:p>
          <w:p w14:paraId="5D4201A1" w14:textId="77777777" w:rsidR="00C9677E" w:rsidRPr="00A23FB4" w:rsidRDefault="00C9677E" w:rsidP="00AD0C50">
            <w:pPr>
              <w:jc w:val="center"/>
              <w:rPr>
                <w:rFonts w:asciiTheme="minorHAnsi" w:hAnsiTheme="minorHAnsi" w:cstheme="minorHAnsi"/>
              </w:rPr>
            </w:pPr>
            <w:r w:rsidRPr="00A23FB4">
              <w:rPr>
                <w:rFonts w:asciiTheme="minorHAnsi" w:hAnsiTheme="minorHAnsi" w:cstheme="minorHAnsi"/>
              </w:rPr>
              <w:t>10</w:t>
            </w:r>
          </w:p>
        </w:tc>
      </w:tr>
      <w:tr w:rsidR="00C9677E" w:rsidRPr="00A23FB4" w14:paraId="4DC2431D" w14:textId="77777777" w:rsidTr="00AD0C50">
        <w:tc>
          <w:tcPr>
            <w:tcW w:w="5032" w:type="dxa"/>
            <w:tcBorders>
              <w:top w:val="single" w:sz="6" w:space="0" w:color="auto"/>
              <w:left w:val="single" w:sz="6" w:space="0" w:color="auto"/>
              <w:bottom w:val="single" w:sz="6" w:space="0" w:color="auto"/>
              <w:right w:val="single" w:sz="6" w:space="0" w:color="auto"/>
            </w:tcBorders>
          </w:tcPr>
          <w:p w14:paraId="2B3ED4A2" w14:textId="77777777" w:rsidR="00C9677E" w:rsidRPr="00A23FB4" w:rsidRDefault="00C9677E" w:rsidP="00AD0C50">
            <w:pPr>
              <w:rPr>
                <w:rFonts w:asciiTheme="minorHAnsi" w:hAnsiTheme="minorHAnsi" w:cstheme="minorHAnsi"/>
              </w:rPr>
            </w:pPr>
            <w:r w:rsidRPr="00A23FB4">
              <w:rPr>
                <w:rFonts w:asciiTheme="minorHAnsi" w:hAnsiTheme="minorHAnsi" w:cstheme="minorHAnsi"/>
              </w:rPr>
              <w:t>Kabli elektroenergetycznych na napięcie znamionowe wyższe niż 10 kV z kablami tego samego rodzaju</w:t>
            </w:r>
          </w:p>
        </w:tc>
        <w:tc>
          <w:tcPr>
            <w:tcW w:w="1239" w:type="dxa"/>
            <w:tcBorders>
              <w:top w:val="single" w:sz="6" w:space="0" w:color="auto"/>
              <w:left w:val="single" w:sz="6" w:space="0" w:color="auto"/>
              <w:bottom w:val="single" w:sz="6" w:space="0" w:color="auto"/>
              <w:right w:val="single" w:sz="6" w:space="0" w:color="auto"/>
            </w:tcBorders>
          </w:tcPr>
          <w:p w14:paraId="24700A78" w14:textId="77777777" w:rsidR="00C9677E" w:rsidRPr="00A23FB4" w:rsidRDefault="00C9677E" w:rsidP="00AD0C50">
            <w:pPr>
              <w:spacing w:before="120"/>
              <w:jc w:val="center"/>
              <w:rPr>
                <w:rFonts w:asciiTheme="minorHAnsi" w:hAnsiTheme="minorHAnsi" w:cstheme="minorHAnsi"/>
              </w:rPr>
            </w:pPr>
            <w:r w:rsidRPr="00A23FB4">
              <w:rPr>
                <w:rFonts w:asciiTheme="minorHAnsi" w:hAnsiTheme="minorHAnsi" w:cstheme="minorHAnsi"/>
              </w:rPr>
              <w:t>50</w:t>
            </w:r>
          </w:p>
        </w:tc>
        <w:tc>
          <w:tcPr>
            <w:tcW w:w="1239" w:type="dxa"/>
            <w:tcBorders>
              <w:top w:val="single" w:sz="6" w:space="0" w:color="auto"/>
              <w:left w:val="single" w:sz="6" w:space="0" w:color="auto"/>
              <w:bottom w:val="single" w:sz="6" w:space="0" w:color="auto"/>
              <w:right w:val="single" w:sz="6" w:space="0" w:color="auto"/>
            </w:tcBorders>
          </w:tcPr>
          <w:p w14:paraId="794E593C" w14:textId="77777777" w:rsidR="00C9677E" w:rsidRPr="00A23FB4" w:rsidRDefault="00C9677E" w:rsidP="00AD0C50">
            <w:pPr>
              <w:spacing w:before="120"/>
              <w:jc w:val="center"/>
              <w:rPr>
                <w:rFonts w:asciiTheme="minorHAnsi" w:hAnsiTheme="minorHAnsi" w:cstheme="minorHAnsi"/>
              </w:rPr>
            </w:pPr>
            <w:r w:rsidRPr="00A23FB4">
              <w:rPr>
                <w:rFonts w:asciiTheme="minorHAnsi" w:hAnsiTheme="minorHAnsi" w:cstheme="minorHAnsi"/>
              </w:rPr>
              <w:t>25</w:t>
            </w:r>
          </w:p>
        </w:tc>
      </w:tr>
      <w:tr w:rsidR="00C9677E" w:rsidRPr="00A23FB4" w14:paraId="317907C0" w14:textId="77777777" w:rsidTr="00AD0C50">
        <w:tc>
          <w:tcPr>
            <w:tcW w:w="5032" w:type="dxa"/>
            <w:tcBorders>
              <w:top w:val="single" w:sz="6" w:space="0" w:color="auto"/>
              <w:left w:val="single" w:sz="6" w:space="0" w:color="auto"/>
              <w:bottom w:val="single" w:sz="6" w:space="0" w:color="auto"/>
              <w:right w:val="single" w:sz="6" w:space="0" w:color="auto"/>
            </w:tcBorders>
          </w:tcPr>
          <w:p w14:paraId="3095942A" w14:textId="77777777" w:rsidR="00C9677E" w:rsidRPr="00A23FB4" w:rsidRDefault="00C9677E" w:rsidP="00AD0C50">
            <w:pPr>
              <w:spacing w:before="60" w:after="60"/>
              <w:rPr>
                <w:rFonts w:asciiTheme="minorHAnsi" w:hAnsiTheme="minorHAnsi" w:cstheme="minorHAnsi"/>
              </w:rPr>
            </w:pPr>
            <w:r w:rsidRPr="00A23FB4">
              <w:rPr>
                <w:rFonts w:asciiTheme="minorHAnsi" w:hAnsiTheme="minorHAnsi" w:cstheme="minorHAnsi"/>
              </w:rPr>
              <w:t>Kabli elektroenergetycznych z kablami telekomunikacyjnymi</w:t>
            </w:r>
          </w:p>
        </w:tc>
        <w:tc>
          <w:tcPr>
            <w:tcW w:w="1239" w:type="dxa"/>
            <w:tcBorders>
              <w:top w:val="single" w:sz="6" w:space="0" w:color="auto"/>
              <w:left w:val="single" w:sz="6" w:space="0" w:color="auto"/>
              <w:bottom w:val="single" w:sz="6" w:space="0" w:color="auto"/>
              <w:right w:val="single" w:sz="6" w:space="0" w:color="auto"/>
            </w:tcBorders>
          </w:tcPr>
          <w:p w14:paraId="7561E6EC" w14:textId="77777777" w:rsidR="00C9677E" w:rsidRPr="00A23FB4" w:rsidRDefault="00C9677E" w:rsidP="00AD0C50">
            <w:pPr>
              <w:spacing w:before="60" w:after="60"/>
              <w:jc w:val="center"/>
              <w:rPr>
                <w:rFonts w:asciiTheme="minorHAnsi" w:hAnsiTheme="minorHAnsi" w:cstheme="minorHAnsi"/>
              </w:rPr>
            </w:pPr>
            <w:r w:rsidRPr="00A23FB4">
              <w:rPr>
                <w:rFonts w:asciiTheme="minorHAnsi" w:hAnsiTheme="minorHAnsi" w:cstheme="minorHAnsi"/>
              </w:rPr>
              <w:t>50</w:t>
            </w:r>
          </w:p>
        </w:tc>
        <w:tc>
          <w:tcPr>
            <w:tcW w:w="1239" w:type="dxa"/>
            <w:tcBorders>
              <w:top w:val="single" w:sz="6" w:space="0" w:color="auto"/>
              <w:left w:val="single" w:sz="6" w:space="0" w:color="auto"/>
              <w:bottom w:val="single" w:sz="6" w:space="0" w:color="auto"/>
              <w:right w:val="single" w:sz="6" w:space="0" w:color="auto"/>
            </w:tcBorders>
          </w:tcPr>
          <w:p w14:paraId="47E4D981" w14:textId="77777777" w:rsidR="00C9677E" w:rsidRPr="00A23FB4" w:rsidRDefault="00C9677E" w:rsidP="00AD0C50">
            <w:pPr>
              <w:spacing w:before="60" w:after="60"/>
              <w:jc w:val="center"/>
              <w:rPr>
                <w:rFonts w:asciiTheme="minorHAnsi" w:hAnsiTheme="minorHAnsi" w:cstheme="minorHAnsi"/>
              </w:rPr>
            </w:pPr>
            <w:r w:rsidRPr="00A23FB4">
              <w:rPr>
                <w:rFonts w:asciiTheme="minorHAnsi" w:hAnsiTheme="minorHAnsi" w:cstheme="minorHAnsi"/>
              </w:rPr>
              <w:t>50</w:t>
            </w:r>
          </w:p>
        </w:tc>
      </w:tr>
      <w:tr w:rsidR="00C9677E" w:rsidRPr="00A23FB4" w14:paraId="4B0B2E94" w14:textId="77777777" w:rsidTr="00AD0C50">
        <w:tc>
          <w:tcPr>
            <w:tcW w:w="5032" w:type="dxa"/>
            <w:tcBorders>
              <w:top w:val="single" w:sz="6" w:space="0" w:color="auto"/>
              <w:left w:val="single" w:sz="6" w:space="0" w:color="auto"/>
              <w:bottom w:val="single" w:sz="6" w:space="0" w:color="auto"/>
              <w:right w:val="single" w:sz="6" w:space="0" w:color="auto"/>
            </w:tcBorders>
          </w:tcPr>
          <w:p w14:paraId="0B2B1B15" w14:textId="77777777" w:rsidR="00C9677E" w:rsidRPr="00A23FB4" w:rsidRDefault="00C9677E" w:rsidP="00AD0C50">
            <w:pPr>
              <w:spacing w:before="60" w:after="60"/>
              <w:rPr>
                <w:rFonts w:asciiTheme="minorHAnsi" w:hAnsiTheme="minorHAnsi" w:cstheme="minorHAnsi"/>
              </w:rPr>
            </w:pPr>
            <w:r w:rsidRPr="00A23FB4">
              <w:rPr>
                <w:rFonts w:asciiTheme="minorHAnsi" w:hAnsiTheme="minorHAnsi" w:cstheme="minorHAnsi"/>
              </w:rPr>
              <w:t>Kabli różnych użytkowników</w:t>
            </w:r>
          </w:p>
        </w:tc>
        <w:tc>
          <w:tcPr>
            <w:tcW w:w="1239" w:type="dxa"/>
            <w:tcBorders>
              <w:top w:val="single" w:sz="6" w:space="0" w:color="auto"/>
              <w:left w:val="single" w:sz="6" w:space="0" w:color="auto"/>
              <w:bottom w:val="single" w:sz="6" w:space="0" w:color="auto"/>
              <w:right w:val="single" w:sz="6" w:space="0" w:color="auto"/>
            </w:tcBorders>
          </w:tcPr>
          <w:p w14:paraId="0FBAAF4D" w14:textId="77777777" w:rsidR="00C9677E" w:rsidRPr="00A23FB4" w:rsidRDefault="00C9677E" w:rsidP="00AD0C50">
            <w:pPr>
              <w:spacing w:before="60" w:after="60"/>
              <w:jc w:val="center"/>
              <w:rPr>
                <w:rFonts w:asciiTheme="minorHAnsi" w:hAnsiTheme="minorHAnsi" w:cstheme="minorHAnsi"/>
              </w:rPr>
            </w:pPr>
            <w:r w:rsidRPr="00A23FB4">
              <w:rPr>
                <w:rFonts w:asciiTheme="minorHAnsi" w:hAnsiTheme="minorHAnsi" w:cstheme="minorHAnsi"/>
              </w:rPr>
              <w:t>50</w:t>
            </w:r>
          </w:p>
        </w:tc>
        <w:tc>
          <w:tcPr>
            <w:tcW w:w="1239" w:type="dxa"/>
            <w:tcBorders>
              <w:top w:val="single" w:sz="6" w:space="0" w:color="auto"/>
              <w:left w:val="single" w:sz="6" w:space="0" w:color="auto"/>
              <w:bottom w:val="single" w:sz="6" w:space="0" w:color="auto"/>
              <w:right w:val="single" w:sz="6" w:space="0" w:color="auto"/>
            </w:tcBorders>
          </w:tcPr>
          <w:p w14:paraId="07E3D912" w14:textId="77777777" w:rsidR="00C9677E" w:rsidRPr="00A23FB4" w:rsidRDefault="00C9677E" w:rsidP="00AD0C50">
            <w:pPr>
              <w:spacing w:before="60" w:after="60"/>
              <w:jc w:val="center"/>
              <w:rPr>
                <w:rFonts w:asciiTheme="minorHAnsi" w:hAnsiTheme="minorHAnsi" w:cstheme="minorHAnsi"/>
              </w:rPr>
            </w:pPr>
            <w:r w:rsidRPr="00A23FB4">
              <w:rPr>
                <w:rFonts w:asciiTheme="minorHAnsi" w:hAnsiTheme="minorHAnsi" w:cstheme="minorHAnsi"/>
              </w:rPr>
              <w:t>50</w:t>
            </w:r>
          </w:p>
        </w:tc>
      </w:tr>
      <w:tr w:rsidR="00C9677E" w:rsidRPr="00A23FB4" w14:paraId="5F7271B5" w14:textId="77777777" w:rsidTr="00AD0C50">
        <w:tc>
          <w:tcPr>
            <w:tcW w:w="5032" w:type="dxa"/>
            <w:tcBorders>
              <w:top w:val="single" w:sz="6" w:space="0" w:color="auto"/>
              <w:left w:val="single" w:sz="6" w:space="0" w:color="auto"/>
              <w:bottom w:val="single" w:sz="6" w:space="0" w:color="auto"/>
              <w:right w:val="single" w:sz="6" w:space="0" w:color="auto"/>
            </w:tcBorders>
          </w:tcPr>
          <w:p w14:paraId="0706AF99" w14:textId="77777777" w:rsidR="00C9677E" w:rsidRPr="00A23FB4" w:rsidRDefault="00C9677E" w:rsidP="00AD0C50">
            <w:pPr>
              <w:spacing w:before="60" w:after="60"/>
              <w:rPr>
                <w:rFonts w:asciiTheme="minorHAnsi" w:hAnsiTheme="minorHAnsi" w:cstheme="minorHAnsi"/>
              </w:rPr>
            </w:pPr>
            <w:r w:rsidRPr="00A23FB4">
              <w:rPr>
                <w:rFonts w:asciiTheme="minorHAnsi" w:hAnsiTheme="minorHAnsi" w:cstheme="minorHAnsi"/>
              </w:rPr>
              <w:t>Kabli z mufami sąsiednich kabli`</w:t>
            </w:r>
          </w:p>
        </w:tc>
        <w:tc>
          <w:tcPr>
            <w:tcW w:w="1239" w:type="dxa"/>
            <w:tcBorders>
              <w:top w:val="single" w:sz="6" w:space="0" w:color="auto"/>
              <w:left w:val="single" w:sz="6" w:space="0" w:color="auto"/>
              <w:bottom w:val="single" w:sz="6" w:space="0" w:color="auto"/>
              <w:right w:val="single" w:sz="6" w:space="0" w:color="auto"/>
            </w:tcBorders>
          </w:tcPr>
          <w:p w14:paraId="268B2D2B" w14:textId="77777777" w:rsidR="00C9677E" w:rsidRPr="00A23FB4" w:rsidRDefault="00C9677E" w:rsidP="00AD0C50">
            <w:pPr>
              <w:spacing w:before="60" w:after="60"/>
              <w:jc w:val="center"/>
              <w:rPr>
                <w:rFonts w:asciiTheme="minorHAnsi" w:hAnsiTheme="minorHAnsi" w:cstheme="minorHAnsi"/>
              </w:rPr>
            </w:pPr>
            <w:r w:rsidRPr="00A23FB4">
              <w:rPr>
                <w:rFonts w:asciiTheme="minorHAnsi" w:hAnsiTheme="minorHAnsi" w:cstheme="minorHAnsi"/>
              </w:rPr>
              <w:t>-</w:t>
            </w:r>
          </w:p>
        </w:tc>
        <w:tc>
          <w:tcPr>
            <w:tcW w:w="1239" w:type="dxa"/>
            <w:tcBorders>
              <w:top w:val="single" w:sz="6" w:space="0" w:color="auto"/>
              <w:left w:val="single" w:sz="6" w:space="0" w:color="auto"/>
              <w:bottom w:val="single" w:sz="6" w:space="0" w:color="auto"/>
              <w:right w:val="single" w:sz="6" w:space="0" w:color="auto"/>
            </w:tcBorders>
          </w:tcPr>
          <w:p w14:paraId="44508105" w14:textId="77777777" w:rsidR="00C9677E" w:rsidRPr="00A23FB4" w:rsidRDefault="00C9677E" w:rsidP="00AD0C50">
            <w:pPr>
              <w:spacing w:before="60" w:after="60"/>
              <w:jc w:val="center"/>
              <w:rPr>
                <w:rFonts w:asciiTheme="minorHAnsi" w:hAnsiTheme="minorHAnsi" w:cstheme="minorHAnsi"/>
              </w:rPr>
            </w:pPr>
            <w:r w:rsidRPr="00A23FB4">
              <w:rPr>
                <w:rFonts w:asciiTheme="minorHAnsi" w:hAnsiTheme="minorHAnsi" w:cstheme="minorHAnsi"/>
              </w:rPr>
              <w:t>25</w:t>
            </w:r>
          </w:p>
        </w:tc>
      </w:tr>
    </w:tbl>
    <w:p w14:paraId="4481253D" w14:textId="77777777" w:rsidR="00C9677E" w:rsidRPr="00A23FB4" w:rsidRDefault="00C9677E" w:rsidP="00C9677E">
      <w:pPr>
        <w:pStyle w:val="Nagwek4"/>
        <w:rPr>
          <w:rFonts w:asciiTheme="minorHAnsi" w:hAnsiTheme="minorHAnsi"/>
        </w:rPr>
      </w:pPr>
      <w:r w:rsidRPr="00A23FB4">
        <w:rPr>
          <w:rFonts w:asciiTheme="minorHAnsi" w:hAnsiTheme="minorHAnsi"/>
        </w:rPr>
        <w:t>5.4. Układanie kabli</w:t>
      </w:r>
    </w:p>
    <w:p w14:paraId="297E71FF" w14:textId="77777777" w:rsidR="00C9677E" w:rsidRPr="00A23FB4" w:rsidRDefault="00C9677E" w:rsidP="00262498">
      <w:pPr>
        <w:numPr>
          <w:ilvl w:val="0"/>
          <w:numId w:val="37"/>
        </w:numPr>
        <w:spacing w:after="120"/>
        <w:ind w:left="284" w:hanging="284"/>
        <w:rPr>
          <w:rFonts w:asciiTheme="minorHAnsi" w:hAnsiTheme="minorHAnsi" w:cstheme="minorHAnsi"/>
        </w:rPr>
      </w:pPr>
      <w:r w:rsidRPr="00A23FB4">
        <w:rPr>
          <w:rFonts w:asciiTheme="minorHAnsi" w:hAnsiTheme="minorHAnsi" w:cstheme="minorHAnsi"/>
        </w:rPr>
        <w:t>Ogólne wymagania</w:t>
      </w:r>
    </w:p>
    <w:p w14:paraId="72E81F7F"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Układanie kabli powinno być wykonane w sposób wykluczający ich uszkodzenie przez zginanie, skręcanie, rozciąganie itp. Ponadto przy układaniu powinny być zachowane środki ostrożności zapobiegające uszkodzeniu innych kabli lub urządzeń znajdujących się na trasie budowanej linii.</w:t>
      </w:r>
    </w:p>
    <w:p w14:paraId="4E0D3F80"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Zaleca się stosowanie rolek w przypadku układania kabli o masie większej niż  4 kg/m. Rolki powinny być ustawione w takich odległościach od siebie, aby spoczywający na nich kabel nie dotykał podłoża.</w:t>
      </w:r>
    </w:p>
    <w:p w14:paraId="6D49EEC9"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Podczas przechowywania, układania i montażu, końce kabla należy zabezpieczyć przed wilgocią oraz wpływami chemicznymi i atmosferycznymi przez:</w:t>
      </w:r>
    </w:p>
    <w:p w14:paraId="485A7454" w14:textId="77777777" w:rsidR="00C9677E" w:rsidRPr="00A23FB4" w:rsidRDefault="00C9677E" w:rsidP="00262498">
      <w:pPr>
        <w:numPr>
          <w:ilvl w:val="0"/>
          <w:numId w:val="35"/>
        </w:numPr>
        <w:rPr>
          <w:rFonts w:asciiTheme="minorHAnsi" w:hAnsiTheme="minorHAnsi" w:cstheme="minorHAnsi"/>
        </w:rPr>
      </w:pPr>
      <w:r w:rsidRPr="00A23FB4">
        <w:rPr>
          <w:rFonts w:asciiTheme="minorHAnsi" w:hAnsiTheme="minorHAnsi" w:cstheme="minorHAnsi"/>
        </w:rPr>
        <w:t>szczelne zalutowanie powłoki,</w:t>
      </w:r>
    </w:p>
    <w:p w14:paraId="512D9627" w14:textId="77777777" w:rsidR="00C9677E" w:rsidRPr="00A23FB4" w:rsidRDefault="00C9677E" w:rsidP="00262498">
      <w:pPr>
        <w:numPr>
          <w:ilvl w:val="0"/>
          <w:numId w:val="35"/>
        </w:numPr>
        <w:rPr>
          <w:rFonts w:asciiTheme="minorHAnsi" w:hAnsiTheme="minorHAnsi" w:cstheme="minorHAnsi"/>
        </w:rPr>
      </w:pPr>
      <w:r w:rsidRPr="00A23FB4">
        <w:rPr>
          <w:rFonts w:asciiTheme="minorHAnsi" w:hAnsiTheme="minorHAnsi" w:cstheme="minorHAnsi"/>
        </w:rPr>
        <w:t>nałożenie kapturka z tworzywa sztucznego (rodzaju jak izolacja).</w:t>
      </w:r>
    </w:p>
    <w:p w14:paraId="5CE635A0" w14:textId="77777777" w:rsidR="00C9677E" w:rsidRPr="00A23FB4" w:rsidRDefault="00C9677E" w:rsidP="00262498">
      <w:pPr>
        <w:numPr>
          <w:ilvl w:val="0"/>
          <w:numId w:val="38"/>
        </w:numPr>
        <w:spacing w:before="120" w:after="120"/>
        <w:ind w:left="284" w:hanging="284"/>
        <w:rPr>
          <w:rFonts w:asciiTheme="minorHAnsi" w:hAnsiTheme="minorHAnsi" w:cstheme="minorHAnsi"/>
          <w:b/>
        </w:rPr>
      </w:pPr>
      <w:r w:rsidRPr="00A23FB4">
        <w:rPr>
          <w:rFonts w:asciiTheme="minorHAnsi" w:hAnsiTheme="minorHAnsi" w:cstheme="minorHAnsi"/>
        </w:rPr>
        <w:t>Temperatura otoczenia i kabla</w:t>
      </w:r>
    </w:p>
    <w:p w14:paraId="06A424B4"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Temperatura otoczenia i kabla przy układaniu nie powinna być niższa niż:</w:t>
      </w:r>
    </w:p>
    <w:p w14:paraId="6220BE3E" w14:textId="77777777" w:rsidR="00C9677E" w:rsidRPr="00A23FB4" w:rsidRDefault="00C9677E" w:rsidP="00262498">
      <w:pPr>
        <w:numPr>
          <w:ilvl w:val="0"/>
          <w:numId w:val="39"/>
        </w:numPr>
        <w:rPr>
          <w:rFonts w:asciiTheme="minorHAnsi" w:hAnsiTheme="minorHAnsi" w:cstheme="minorHAnsi"/>
        </w:rPr>
      </w:pPr>
      <w:r w:rsidRPr="00A23FB4">
        <w:rPr>
          <w:rFonts w:asciiTheme="minorHAnsi" w:hAnsiTheme="minorHAnsi" w:cstheme="minorHAnsi"/>
        </w:rPr>
        <w:t>4</w:t>
      </w:r>
      <w:r w:rsidRPr="00A23FB4">
        <w:rPr>
          <w:rFonts w:asciiTheme="minorHAnsi" w:hAnsiTheme="minorHAnsi" w:cstheme="minorHAnsi"/>
          <w:vertAlign w:val="superscript"/>
        </w:rPr>
        <w:t>o</w:t>
      </w:r>
      <w:r w:rsidRPr="00A23FB4">
        <w:rPr>
          <w:rFonts w:asciiTheme="minorHAnsi" w:hAnsiTheme="minorHAnsi" w:cstheme="minorHAnsi"/>
        </w:rPr>
        <w:t>C - w przypadku kabli o izolacji papierowej o powłoce metalowej,</w:t>
      </w:r>
    </w:p>
    <w:p w14:paraId="1D2F3AD9" w14:textId="77777777" w:rsidR="00C9677E" w:rsidRPr="00A23FB4" w:rsidRDefault="00C9677E" w:rsidP="00262498">
      <w:pPr>
        <w:numPr>
          <w:ilvl w:val="0"/>
          <w:numId w:val="39"/>
        </w:numPr>
        <w:rPr>
          <w:rFonts w:asciiTheme="minorHAnsi" w:hAnsiTheme="minorHAnsi" w:cstheme="minorHAnsi"/>
        </w:rPr>
      </w:pPr>
      <w:r w:rsidRPr="00A23FB4">
        <w:rPr>
          <w:rFonts w:asciiTheme="minorHAnsi" w:hAnsiTheme="minorHAnsi" w:cstheme="minorHAnsi"/>
        </w:rPr>
        <w:t>0</w:t>
      </w:r>
      <w:r w:rsidRPr="00A23FB4">
        <w:rPr>
          <w:rFonts w:asciiTheme="minorHAnsi" w:hAnsiTheme="minorHAnsi" w:cstheme="minorHAnsi"/>
          <w:vertAlign w:val="superscript"/>
        </w:rPr>
        <w:t>o</w:t>
      </w:r>
      <w:r w:rsidRPr="00A23FB4">
        <w:rPr>
          <w:rFonts w:asciiTheme="minorHAnsi" w:hAnsiTheme="minorHAnsi" w:cstheme="minorHAnsi"/>
        </w:rPr>
        <w:t>C - w przypadku kabli o izolacji i powłoce z tworzyw sztucznych.</w:t>
      </w:r>
    </w:p>
    <w:p w14:paraId="37F16702"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W przypadku kabli o innej konstrukcji niż wymienione w pozycji a) i b) temperatura otoczenia i temperatura układanego kabla - wg ustaleń wytwórcy.</w:t>
      </w:r>
    </w:p>
    <w:p w14:paraId="430978D7"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Zabrania się podgrzewania kabli ogniem.</w:t>
      </w:r>
    </w:p>
    <w:p w14:paraId="5D6DA406"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Wzrost temperatury otoczenia ułożonego kabla na dowolnie małym odcinku trasy linii kablowej powodowany przez sąsiednie źródła ciepła, np. rurociąg cieplny, nie powinien przekraczać 5</w:t>
      </w:r>
      <w:r w:rsidRPr="00A23FB4">
        <w:rPr>
          <w:rFonts w:asciiTheme="minorHAnsi" w:hAnsiTheme="minorHAnsi" w:cstheme="minorHAnsi"/>
          <w:vertAlign w:val="superscript"/>
        </w:rPr>
        <w:t>o</w:t>
      </w:r>
      <w:r w:rsidRPr="00A23FB4">
        <w:rPr>
          <w:rFonts w:asciiTheme="minorHAnsi" w:hAnsiTheme="minorHAnsi" w:cstheme="minorHAnsi"/>
        </w:rPr>
        <w:t>C.</w:t>
      </w:r>
    </w:p>
    <w:p w14:paraId="523A64CD" w14:textId="77777777" w:rsidR="00C9677E" w:rsidRPr="00A23FB4" w:rsidRDefault="00C9677E" w:rsidP="00262498">
      <w:pPr>
        <w:numPr>
          <w:ilvl w:val="0"/>
          <w:numId w:val="40"/>
        </w:numPr>
        <w:spacing w:before="120" w:after="120"/>
        <w:ind w:left="284" w:hanging="284"/>
        <w:rPr>
          <w:rFonts w:asciiTheme="minorHAnsi" w:hAnsiTheme="minorHAnsi" w:cstheme="minorHAnsi"/>
        </w:rPr>
      </w:pPr>
      <w:r w:rsidRPr="00A23FB4">
        <w:rPr>
          <w:rFonts w:asciiTheme="minorHAnsi" w:hAnsiTheme="minorHAnsi" w:cstheme="minorHAnsi"/>
        </w:rPr>
        <w:t>Zginanie kabli</w:t>
      </w:r>
    </w:p>
    <w:p w14:paraId="2539F885"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Przy układaniu kabli można zginać kabel tylko w przypadkach koniecznych, przy czym promień gięcia powinien być możliwie duży, nie mniejszy niż:</w:t>
      </w:r>
    </w:p>
    <w:p w14:paraId="3BFFDD4F" w14:textId="77777777" w:rsidR="00C9677E" w:rsidRPr="00A23FB4" w:rsidRDefault="00C9677E" w:rsidP="00262498">
      <w:pPr>
        <w:numPr>
          <w:ilvl w:val="0"/>
          <w:numId w:val="41"/>
        </w:numPr>
        <w:rPr>
          <w:rFonts w:asciiTheme="minorHAnsi" w:hAnsiTheme="minorHAnsi" w:cstheme="minorHAnsi"/>
        </w:rPr>
      </w:pPr>
      <w:r w:rsidRPr="00A23FB4">
        <w:rPr>
          <w:rFonts w:asciiTheme="minorHAnsi" w:hAnsiTheme="minorHAnsi" w:cstheme="minorHAnsi"/>
        </w:rPr>
        <w:t>25-krotna zewnętrzna średnica kabla - w przypadku kabli olejowych,</w:t>
      </w:r>
    </w:p>
    <w:p w14:paraId="61D9F51E" w14:textId="77777777" w:rsidR="00C9677E" w:rsidRPr="00A23FB4" w:rsidRDefault="00C9677E" w:rsidP="00262498">
      <w:pPr>
        <w:numPr>
          <w:ilvl w:val="0"/>
          <w:numId w:val="41"/>
        </w:numPr>
        <w:rPr>
          <w:rFonts w:asciiTheme="minorHAnsi" w:hAnsiTheme="minorHAnsi" w:cstheme="minorHAnsi"/>
        </w:rPr>
      </w:pPr>
      <w:r w:rsidRPr="00A23FB4">
        <w:rPr>
          <w:rFonts w:asciiTheme="minorHAnsi" w:hAnsiTheme="minorHAnsi" w:cstheme="minorHAnsi"/>
        </w:rPr>
        <w:t>20-krotna zewnętrzna średnica kabla - w przypadku kabli jednożyłowych o izolacji papierowej i o powłoce ołowianej, kabli o izolacji polietylenowej i o powłoce polwinitowej oraz kabli wielożyłowych o izolacji papierowej i o powłoce aluminiowej o liczbie żył nie przekraczających 4,</w:t>
      </w:r>
    </w:p>
    <w:p w14:paraId="019D5C70" w14:textId="77777777" w:rsidR="00C9677E" w:rsidRPr="00A23FB4" w:rsidRDefault="00C9677E" w:rsidP="00262498">
      <w:pPr>
        <w:numPr>
          <w:ilvl w:val="0"/>
          <w:numId w:val="41"/>
        </w:numPr>
        <w:rPr>
          <w:rFonts w:asciiTheme="minorHAnsi" w:hAnsiTheme="minorHAnsi" w:cstheme="minorHAnsi"/>
        </w:rPr>
      </w:pPr>
      <w:r w:rsidRPr="00A23FB4">
        <w:rPr>
          <w:rFonts w:asciiTheme="minorHAnsi" w:hAnsiTheme="minorHAnsi" w:cstheme="minorHAnsi"/>
        </w:rPr>
        <w:t>15-krotna zewnętrzna średnica kabla - w przypadku kabli wielożyłowych o izolacji papierowej i o powłoce ołowianej oraz w przypadku kabli wielożyłowych skręcanych z kabli jednożyłowych o liczbie żył nie przekraczających 4.</w:t>
      </w:r>
    </w:p>
    <w:p w14:paraId="0CEFF4AE" w14:textId="4250BDC9" w:rsidR="00C9677E" w:rsidRPr="00552189" w:rsidRDefault="00C9677E" w:rsidP="00262498">
      <w:pPr>
        <w:pStyle w:val="Akapitzlist"/>
        <w:numPr>
          <w:ilvl w:val="0"/>
          <w:numId w:val="40"/>
        </w:numPr>
        <w:spacing w:before="120" w:after="120"/>
        <w:rPr>
          <w:rFonts w:asciiTheme="minorHAnsi" w:hAnsiTheme="minorHAnsi" w:cstheme="minorHAnsi"/>
        </w:rPr>
      </w:pPr>
      <w:r w:rsidRPr="00552189">
        <w:rPr>
          <w:rFonts w:asciiTheme="minorHAnsi" w:hAnsiTheme="minorHAnsi" w:cstheme="minorHAnsi"/>
        </w:rPr>
        <w:t>Układanie kabli bezpośrednio w gruncie</w:t>
      </w:r>
    </w:p>
    <w:p w14:paraId="6C8A6F55"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Kable należy układać na dnie rowu pod kable, jeżeli grunt jest piaszczysty, w pozostałych przypadkach kable należy układać na warstwie piasku o grubości co najmniej 10 cm. Nie należy układać kabli bezpośrednio na dnie wykopu kamiennego lub w gruncie, który mógłby uszkodzić kabel, ani bezpośrednio zasypywać takim gruntem.</w:t>
      </w:r>
    </w:p>
    <w:p w14:paraId="15DDF718"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Kable należy zasypywać warstwą piasku o grubości co najmniej 10 cm, następnie warstwą rodzimego gruntu o grubości co najmniej 15 cm, a następnie przykryć folią z tworzywa sztucznego. Odległość folii od kabla powinna wynosić co najmniej 25 cm.</w:t>
      </w:r>
    </w:p>
    <w:p w14:paraId="7F5D2277"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Grunt należy zagęszczać warstwami co najmniej 20 cm. Wskaźnik zagęszczenia gruntu powinien osiągnąć co najmniej 0,85 wg BN-72/8932-01.</w:t>
      </w:r>
    </w:p>
    <w:p w14:paraId="33002BC3"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Głębokość ułożenia kabli w gruncie mierzona od powierzchni gruntu do zewnętrznej powierzchni kabla powinna wynosić nie mniej niż:</w:t>
      </w:r>
    </w:p>
    <w:p w14:paraId="289BAD7C" w14:textId="77777777" w:rsidR="00C9677E" w:rsidRPr="00A23FB4" w:rsidRDefault="00C9677E" w:rsidP="00262498">
      <w:pPr>
        <w:numPr>
          <w:ilvl w:val="0"/>
          <w:numId w:val="35"/>
        </w:numPr>
        <w:rPr>
          <w:rFonts w:asciiTheme="minorHAnsi" w:hAnsiTheme="minorHAnsi" w:cstheme="minorHAnsi"/>
        </w:rPr>
      </w:pPr>
      <w:r w:rsidRPr="00A23FB4">
        <w:rPr>
          <w:rFonts w:asciiTheme="minorHAnsi" w:hAnsiTheme="minorHAnsi" w:cstheme="minorHAnsi"/>
        </w:rPr>
        <w:t>70 cm - w przypadku kabli o napięciu znamionowym do 1 kV, z wyjątkiem kabli ułożonych w gruncie na użytkach rolnych,</w:t>
      </w:r>
    </w:p>
    <w:p w14:paraId="775B391F" w14:textId="77777777" w:rsidR="00C9677E" w:rsidRPr="00A23FB4" w:rsidRDefault="00C9677E" w:rsidP="00262498">
      <w:pPr>
        <w:numPr>
          <w:ilvl w:val="0"/>
          <w:numId w:val="35"/>
        </w:numPr>
        <w:rPr>
          <w:rFonts w:asciiTheme="minorHAnsi" w:hAnsiTheme="minorHAnsi" w:cstheme="minorHAnsi"/>
        </w:rPr>
      </w:pPr>
      <w:r w:rsidRPr="00A23FB4">
        <w:rPr>
          <w:rFonts w:asciiTheme="minorHAnsi" w:hAnsiTheme="minorHAnsi" w:cstheme="minorHAnsi"/>
        </w:rPr>
        <w:t>80 cm - w przypadku kabli o napięciu znamionowym wyższym niż 1 kV, lecz nie przekraczającym 15 kV, z wyjątkiem kabli ułożonych w gruncie na użytkach rolnych,</w:t>
      </w:r>
    </w:p>
    <w:p w14:paraId="01AB5A9E" w14:textId="77777777" w:rsidR="00C9677E" w:rsidRPr="00A23FB4" w:rsidRDefault="00C9677E" w:rsidP="00262498">
      <w:pPr>
        <w:numPr>
          <w:ilvl w:val="0"/>
          <w:numId w:val="35"/>
        </w:numPr>
        <w:rPr>
          <w:rFonts w:asciiTheme="minorHAnsi" w:hAnsiTheme="minorHAnsi" w:cstheme="minorHAnsi"/>
        </w:rPr>
      </w:pPr>
      <w:r w:rsidRPr="00A23FB4">
        <w:rPr>
          <w:rFonts w:asciiTheme="minorHAnsi" w:hAnsiTheme="minorHAnsi" w:cstheme="minorHAnsi"/>
        </w:rPr>
        <w:t xml:space="preserve">90 cm - w przypadku kabli o napięciu znamionowym do 15 kV ułożonych w gruncie na użytkach rolnych, </w:t>
      </w:r>
    </w:p>
    <w:p w14:paraId="25C018B8" w14:textId="77777777" w:rsidR="00C9677E" w:rsidRPr="00A23FB4" w:rsidRDefault="00C9677E" w:rsidP="00262498">
      <w:pPr>
        <w:numPr>
          <w:ilvl w:val="0"/>
          <w:numId w:val="35"/>
        </w:numPr>
        <w:rPr>
          <w:rFonts w:asciiTheme="minorHAnsi" w:hAnsiTheme="minorHAnsi" w:cstheme="minorHAnsi"/>
        </w:rPr>
      </w:pPr>
      <w:r w:rsidRPr="00A23FB4">
        <w:rPr>
          <w:rFonts w:asciiTheme="minorHAnsi" w:hAnsiTheme="minorHAnsi" w:cstheme="minorHAnsi"/>
        </w:rPr>
        <w:t>100 cm - w przypadku kabli o napięciu znamionowym wyższym niż 15 kV .</w:t>
      </w:r>
    </w:p>
    <w:p w14:paraId="558122F6"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Kable powinny być ułożone w rowie linią falistą z zapasem (od 1 do 3% długości wykopu) wystarczającym do skompensowania możliwych przesunięć gruntu. Przy mufach zaleca się pozostawić zapas kabli po obu stronach mufy, łącznie nie mniej niż:</w:t>
      </w:r>
    </w:p>
    <w:p w14:paraId="56271939" w14:textId="77777777" w:rsidR="00C9677E" w:rsidRPr="00A23FB4" w:rsidRDefault="00C9677E" w:rsidP="00262498">
      <w:pPr>
        <w:numPr>
          <w:ilvl w:val="0"/>
          <w:numId w:val="35"/>
        </w:numPr>
        <w:rPr>
          <w:rFonts w:asciiTheme="minorHAnsi" w:hAnsiTheme="minorHAnsi" w:cstheme="minorHAnsi"/>
        </w:rPr>
      </w:pPr>
      <w:r w:rsidRPr="00A23FB4">
        <w:rPr>
          <w:rFonts w:asciiTheme="minorHAnsi" w:hAnsiTheme="minorHAnsi" w:cstheme="minorHAnsi"/>
        </w:rPr>
        <w:t>4 m - w przypadku kabli o izolacji papierowej nasyconej lub z tworzyw sztucznych, o napięciu znamionowym od 15 do 40 kV,</w:t>
      </w:r>
    </w:p>
    <w:p w14:paraId="34FF8217" w14:textId="77777777" w:rsidR="00C9677E" w:rsidRPr="00A23FB4" w:rsidRDefault="00C9677E" w:rsidP="00262498">
      <w:pPr>
        <w:numPr>
          <w:ilvl w:val="0"/>
          <w:numId w:val="35"/>
        </w:numPr>
        <w:rPr>
          <w:rFonts w:asciiTheme="minorHAnsi" w:hAnsiTheme="minorHAnsi" w:cstheme="minorHAnsi"/>
        </w:rPr>
      </w:pPr>
      <w:r w:rsidRPr="00A23FB4">
        <w:rPr>
          <w:rFonts w:asciiTheme="minorHAnsi" w:hAnsiTheme="minorHAnsi" w:cstheme="minorHAnsi"/>
        </w:rPr>
        <w:t>3 m - w przypadku kabli o izolacji papierowej nasyconej lub z tworzyw sztucznych, o napięciu znamionowym od 1 do 10 kV,</w:t>
      </w:r>
    </w:p>
    <w:p w14:paraId="492E72CA" w14:textId="77777777" w:rsidR="00C9677E" w:rsidRPr="00A23FB4" w:rsidRDefault="00C9677E" w:rsidP="00262498">
      <w:pPr>
        <w:numPr>
          <w:ilvl w:val="0"/>
          <w:numId w:val="35"/>
        </w:numPr>
        <w:rPr>
          <w:rFonts w:asciiTheme="minorHAnsi" w:hAnsiTheme="minorHAnsi" w:cstheme="minorHAnsi"/>
        </w:rPr>
      </w:pPr>
      <w:r w:rsidRPr="00A23FB4">
        <w:rPr>
          <w:rFonts w:asciiTheme="minorHAnsi" w:hAnsiTheme="minorHAnsi" w:cstheme="minorHAnsi"/>
        </w:rPr>
        <w:t>1 m - w przypadku kabli o izolacji z tworzyw sztucznych, o napięciu znamionowym          1 kV.</w:t>
      </w:r>
    </w:p>
    <w:p w14:paraId="15F67F56" w14:textId="77777777" w:rsidR="00C9677E" w:rsidRPr="00A23FB4" w:rsidRDefault="00C9677E" w:rsidP="00262498">
      <w:pPr>
        <w:numPr>
          <w:ilvl w:val="0"/>
          <w:numId w:val="43"/>
        </w:numPr>
        <w:spacing w:before="120" w:after="120"/>
        <w:ind w:left="284" w:hanging="284"/>
        <w:rPr>
          <w:rFonts w:asciiTheme="minorHAnsi" w:hAnsiTheme="minorHAnsi" w:cstheme="minorHAnsi"/>
        </w:rPr>
      </w:pPr>
      <w:r w:rsidRPr="00A23FB4">
        <w:rPr>
          <w:rFonts w:asciiTheme="minorHAnsi" w:hAnsiTheme="minorHAnsi" w:cstheme="minorHAnsi"/>
        </w:rPr>
        <w:t>Układanie kabli na słupach linii napowietrznych</w:t>
      </w:r>
    </w:p>
    <w:p w14:paraId="2C7FB274"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Przy kablowaniu odcinków linii napowietrznych, konieczne jest wprowadzenie kabla na ich słupy i połączenie jego żył z przewodami napowietrznymi.</w:t>
      </w:r>
    </w:p>
    <w:p w14:paraId="39EDC610"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Kabel należy chronić rurą stalową do wysokości nie mniejszej niż 2,5 m od powierzchni gruntu. Średnica wewnętrzna rury nie może być mniejsza niż 1,5-krotna zewnętrzna średnica wprowadzanego kabla i jednocześnie nie mniejsza niż 50 mm.</w:t>
      </w:r>
    </w:p>
    <w:p w14:paraId="71D416F2"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Kabel na słupie powinien być przymocowany do jego ścianki za pomocą uchwytów o szerokości równej co najmniej zewnętrznej jego średnicy. W przypadku mocowania kabla bez opancerzenia, uchwyty powinny być zaopatrzone w elastyczne wkładki o grubości co najmniej 2 mm, a kształt uchwytów powinien być taki, aby kabel nie uległ uszkodzeniu.</w:t>
      </w:r>
    </w:p>
    <w:p w14:paraId="70813886" w14:textId="77777777" w:rsidR="00C9677E" w:rsidRPr="00A23FB4" w:rsidRDefault="00C9677E" w:rsidP="00C9677E">
      <w:pPr>
        <w:pStyle w:val="Nagwek4"/>
        <w:rPr>
          <w:rFonts w:asciiTheme="minorHAnsi" w:hAnsiTheme="minorHAnsi"/>
        </w:rPr>
      </w:pPr>
      <w:r w:rsidRPr="00A23FB4">
        <w:rPr>
          <w:rFonts w:asciiTheme="minorHAnsi" w:hAnsiTheme="minorHAnsi"/>
        </w:rPr>
        <w:t>5.5. Skrzyżowania i zbliżenia kabli między sobą</w:t>
      </w:r>
    </w:p>
    <w:p w14:paraId="28625B33"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Skrzyżowania kabli między sobą należy wykonywać tak, aby kabel wyższego napięcia był zakopany głębiej niż kabel niższego napięcia, a linia elektroenergetyczne lub sygnalizacyjna głębiej niż linia telekomunikacyjna.</w:t>
      </w:r>
    </w:p>
    <w:p w14:paraId="60518A5E" w14:textId="77777777" w:rsidR="00C9677E" w:rsidRPr="00A23FB4" w:rsidRDefault="00C9677E" w:rsidP="00C9677E">
      <w:pPr>
        <w:pStyle w:val="Nagwek4"/>
        <w:rPr>
          <w:rFonts w:asciiTheme="minorHAnsi" w:hAnsiTheme="minorHAnsi"/>
        </w:rPr>
      </w:pPr>
      <w:r w:rsidRPr="00A23FB4">
        <w:rPr>
          <w:rFonts w:asciiTheme="minorHAnsi" w:hAnsiTheme="minorHAnsi"/>
        </w:rPr>
        <w:t>5.6. Skrzyżowania i zbliżenia kabli z innymi urządzeniami podziemnymi</w:t>
      </w:r>
    </w:p>
    <w:p w14:paraId="333625FF"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Zaleca się krzyżować kable z urządzeniami podziemnymi pod kątem zbliżonym do 90</w:t>
      </w:r>
      <w:r w:rsidRPr="00A23FB4">
        <w:rPr>
          <w:rFonts w:asciiTheme="minorHAnsi" w:hAnsiTheme="minorHAnsi" w:cstheme="minorHAnsi"/>
          <w:vertAlign w:val="superscript"/>
        </w:rPr>
        <w:t>o</w:t>
      </w:r>
      <w:r w:rsidRPr="00A23FB4">
        <w:rPr>
          <w:rFonts w:asciiTheme="minorHAnsi" w:hAnsiTheme="minorHAnsi" w:cstheme="minorHAnsi"/>
        </w:rPr>
        <w:t xml:space="preserve"> i w miarę możliwości w najwęższym miejscu krzyżowanego urządzenia. Każdy z krzyżujących się kabli elektroenergetycznych i sygnalizacyjnych ułożony bezpośrednio w gruncie powinien być chroniony przed uszkodzeniem w miejscu skrzyżowania i na długości po 50 cm w obie strony od miejsca skrzyżowania. Przy skrzyżowaniu kabli z rurociągami podziemnymi zaleca się układanie kabli nad rurociągami.</w:t>
      </w:r>
    </w:p>
    <w:p w14:paraId="3F5C660D" w14:textId="77777777" w:rsidR="00C9677E" w:rsidRPr="00A23FB4" w:rsidRDefault="00C9677E" w:rsidP="00C9677E">
      <w:pPr>
        <w:spacing w:before="120"/>
        <w:rPr>
          <w:rFonts w:asciiTheme="minorHAnsi" w:hAnsiTheme="minorHAnsi" w:cstheme="minorHAnsi"/>
        </w:rPr>
      </w:pPr>
      <w:r w:rsidRPr="00A23FB4">
        <w:rPr>
          <w:rFonts w:asciiTheme="minorHAnsi" w:hAnsiTheme="minorHAnsi" w:cstheme="minorHAnsi"/>
        </w:rPr>
        <w:t xml:space="preserve">Tablica 2. Najmniejsze dopuszczalne odległości kabli ułożonych w gruncie od innych </w:t>
      </w:r>
    </w:p>
    <w:p w14:paraId="56C3E653" w14:textId="77777777" w:rsidR="00C9677E" w:rsidRPr="00A23FB4" w:rsidRDefault="00C9677E" w:rsidP="00C9677E">
      <w:pPr>
        <w:spacing w:after="120"/>
        <w:rPr>
          <w:rFonts w:asciiTheme="minorHAnsi" w:hAnsiTheme="minorHAnsi" w:cstheme="minorHAnsi"/>
        </w:rPr>
      </w:pPr>
      <w:r w:rsidRPr="00A23FB4">
        <w:rPr>
          <w:rFonts w:asciiTheme="minorHAnsi" w:hAnsiTheme="minorHAnsi" w:cstheme="minorHAnsi"/>
        </w:rPr>
        <w:tab/>
        <w:t xml:space="preserve">    urządzeń podziemnych</w:t>
      </w:r>
    </w:p>
    <w:tbl>
      <w:tblPr>
        <w:tblW w:w="0" w:type="auto"/>
        <w:tblLayout w:type="fixed"/>
        <w:tblCellMar>
          <w:left w:w="70" w:type="dxa"/>
          <w:right w:w="70" w:type="dxa"/>
        </w:tblCellMar>
        <w:tblLook w:val="0000" w:firstRow="0" w:lastRow="0" w:firstColumn="0" w:lastColumn="0" w:noHBand="0" w:noVBand="0"/>
      </w:tblPr>
      <w:tblGrid>
        <w:gridCol w:w="3898"/>
        <w:gridCol w:w="1806"/>
        <w:gridCol w:w="1806"/>
      </w:tblGrid>
      <w:tr w:rsidR="00C9677E" w:rsidRPr="00A23FB4" w14:paraId="753E303E" w14:textId="77777777" w:rsidTr="00AD0C50">
        <w:tc>
          <w:tcPr>
            <w:tcW w:w="3898" w:type="dxa"/>
            <w:tcBorders>
              <w:top w:val="single" w:sz="6" w:space="0" w:color="auto"/>
              <w:left w:val="single" w:sz="6" w:space="0" w:color="auto"/>
            </w:tcBorders>
          </w:tcPr>
          <w:p w14:paraId="3467E3AE" w14:textId="77777777" w:rsidR="00C9677E" w:rsidRPr="00A23FB4" w:rsidRDefault="00C9677E" w:rsidP="00AD0C50">
            <w:pPr>
              <w:rPr>
                <w:rFonts w:asciiTheme="minorHAnsi" w:hAnsiTheme="minorHAnsi" w:cstheme="minorHAnsi"/>
              </w:rPr>
            </w:pPr>
          </w:p>
        </w:tc>
        <w:tc>
          <w:tcPr>
            <w:tcW w:w="3612" w:type="dxa"/>
            <w:gridSpan w:val="2"/>
            <w:tcBorders>
              <w:top w:val="single" w:sz="6" w:space="0" w:color="auto"/>
              <w:left w:val="single" w:sz="6" w:space="0" w:color="auto"/>
              <w:bottom w:val="single" w:sz="6" w:space="0" w:color="auto"/>
              <w:right w:val="single" w:sz="6" w:space="0" w:color="auto"/>
            </w:tcBorders>
          </w:tcPr>
          <w:p w14:paraId="109668C6" w14:textId="77777777" w:rsidR="00C9677E" w:rsidRPr="00A23FB4" w:rsidRDefault="00C9677E" w:rsidP="00AD0C50">
            <w:pPr>
              <w:jc w:val="center"/>
              <w:rPr>
                <w:rFonts w:asciiTheme="minorHAnsi" w:hAnsiTheme="minorHAnsi" w:cstheme="minorHAnsi"/>
              </w:rPr>
            </w:pPr>
            <w:r w:rsidRPr="00A23FB4">
              <w:rPr>
                <w:rFonts w:asciiTheme="minorHAnsi" w:hAnsiTheme="minorHAnsi" w:cstheme="minorHAnsi"/>
              </w:rPr>
              <w:t>Najmniejsza dopuszczalna odległość  w cm</w:t>
            </w:r>
          </w:p>
        </w:tc>
      </w:tr>
      <w:tr w:rsidR="00C9677E" w:rsidRPr="00A23FB4" w14:paraId="49137804" w14:textId="77777777" w:rsidTr="00AD0C50">
        <w:tc>
          <w:tcPr>
            <w:tcW w:w="3898" w:type="dxa"/>
            <w:tcBorders>
              <w:left w:val="single" w:sz="6" w:space="0" w:color="auto"/>
              <w:bottom w:val="double" w:sz="6" w:space="0" w:color="auto"/>
            </w:tcBorders>
          </w:tcPr>
          <w:p w14:paraId="6DCDC331" w14:textId="77777777" w:rsidR="00C9677E" w:rsidRPr="00A23FB4" w:rsidRDefault="00C9677E" w:rsidP="00AD0C50">
            <w:pPr>
              <w:jc w:val="center"/>
              <w:rPr>
                <w:rFonts w:asciiTheme="minorHAnsi" w:hAnsiTheme="minorHAnsi" w:cstheme="minorHAnsi"/>
              </w:rPr>
            </w:pPr>
            <w:r w:rsidRPr="00A23FB4">
              <w:rPr>
                <w:rFonts w:asciiTheme="minorHAnsi" w:hAnsiTheme="minorHAnsi" w:cstheme="minorHAnsi"/>
              </w:rPr>
              <w:t>Rodzaj urządzenia podziemnego</w:t>
            </w:r>
          </w:p>
        </w:tc>
        <w:tc>
          <w:tcPr>
            <w:tcW w:w="1806" w:type="dxa"/>
            <w:tcBorders>
              <w:top w:val="single" w:sz="6" w:space="0" w:color="auto"/>
              <w:left w:val="single" w:sz="6" w:space="0" w:color="auto"/>
              <w:bottom w:val="double" w:sz="6" w:space="0" w:color="auto"/>
              <w:right w:val="single" w:sz="6" w:space="0" w:color="auto"/>
            </w:tcBorders>
          </w:tcPr>
          <w:p w14:paraId="09C614A2" w14:textId="77777777" w:rsidR="00C9677E" w:rsidRPr="00A23FB4" w:rsidRDefault="00C9677E" w:rsidP="00AD0C50">
            <w:pPr>
              <w:jc w:val="center"/>
              <w:rPr>
                <w:rFonts w:asciiTheme="minorHAnsi" w:hAnsiTheme="minorHAnsi" w:cstheme="minorHAnsi"/>
              </w:rPr>
            </w:pPr>
            <w:r w:rsidRPr="00A23FB4">
              <w:rPr>
                <w:rFonts w:asciiTheme="minorHAnsi" w:hAnsiTheme="minorHAnsi" w:cstheme="minorHAnsi"/>
              </w:rPr>
              <w:t>pionowa przy skrzyżowaniu</w:t>
            </w:r>
          </w:p>
        </w:tc>
        <w:tc>
          <w:tcPr>
            <w:tcW w:w="1806" w:type="dxa"/>
            <w:tcBorders>
              <w:top w:val="single" w:sz="6" w:space="0" w:color="auto"/>
              <w:left w:val="single" w:sz="6" w:space="0" w:color="auto"/>
              <w:bottom w:val="double" w:sz="6" w:space="0" w:color="auto"/>
              <w:right w:val="single" w:sz="6" w:space="0" w:color="auto"/>
            </w:tcBorders>
          </w:tcPr>
          <w:p w14:paraId="0F1238A3" w14:textId="77777777" w:rsidR="00C9677E" w:rsidRPr="00A23FB4" w:rsidRDefault="00C9677E" w:rsidP="00AD0C50">
            <w:pPr>
              <w:jc w:val="center"/>
              <w:rPr>
                <w:rFonts w:asciiTheme="minorHAnsi" w:hAnsiTheme="minorHAnsi" w:cstheme="minorHAnsi"/>
              </w:rPr>
            </w:pPr>
            <w:r w:rsidRPr="00A23FB4">
              <w:rPr>
                <w:rFonts w:asciiTheme="minorHAnsi" w:hAnsiTheme="minorHAnsi" w:cstheme="minorHAnsi"/>
              </w:rPr>
              <w:t>pozioma przy zbliżeniu</w:t>
            </w:r>
          </w:p>
        </w:tc>
      </w:tr>
      <w:tr w:rsidR="00C9677E" w:rsidRPr="00A23FB4" w14:paraId="3EBA52B6" w14:textId="77777777" w:rsidTr="00AD0C50">
        <w:tc>
          <w:tcPr>
            <w:tcW w:w="3898" w:type="dxa"/>
            <w:tcBorders>
              <w:left w:val="single" w:sz="6" w:space="0" w:color="auto"/>
              <w:bottom w:val="single" w:sz="6" w:space="0" w:color="auto"/>
              <w:right w:val="single" w:sz="6" w:space="0" w:color="auto"/>
            </w:tcBorders>
          </w:tcPr>
          <w:p w14:paraId="0AF01124" w14:textId="77777777" w:rsidR="00C9677E" w:rsidRPr="00A23FB4" w:rsidRDefault="00C9677E" w:rsidP="00AD0C50">
            <w:pPr>
              <w:rPr>
                <w:rFonts w:asciiTheme="minorHAnsi" w:hAnsiTheme="minorHAnsi" w:cstheme="minorHAnsi"/>
              </w:rPr>
            </w:pPr>
            <w:r w:rsidRPr="00A23FB4">
              <w:rPr>
                <w:rFonts w:asciiTheme="minorHAnsi" w:hAnsiTheme="minorHAnsi" w:cstheme="minorHAnsi"/>
              </w:rPr>
              <w:t>Rurociągi wodociągowe, ściekowe, cieplne, gazowe z gazami niepalnymi i rurociągi z gazami palnymi o ciśnieniu do 0,5 at</w:t>
            </w:r>
          </w:p>
        </w:tc>
        <w:tc>
          <w:tcPr>
            <w:tcW w:w="1806" w:type="dxa"/>
            <w:tcBorders>
              <w:left w:val="single" w:sz="6" w:space="0" w:color="auto"/>
              <w:bottom w:val="single" w:sz="6" w:space="0" w:color="auto"/>
              <w:right w:val="single" w:sz="6" w:space="0" w:color="auto"/>
            </w:tcBorders>
          </w:tcPr>
          <w:p w14:paraId="36CE43D5" w14:textId="77777777" w:rsidR="00C9677E" w:rsidRPr="00A23FB4" w:rsidRDefault="00C9677E" w:rsidP="00AD0C50">
            <w:pPr>
              <w:jc w:val="center"/>
              <w:rPr>
                <w:rFonts w:asciiTheme="minorHAnsi" w:hAnsiTheme="minorHAnsi" w:cstheme="minorHAnsi"/>
              </w:rPr>
            </w:pPr>
            <w:r w:rsidRPr="00A23FB4">
              <w:rPr>
                <w:rFonts w:asciiTheme="minorHAnsi" w:hAnsiTheme="minorHAnsi" w:cstheme="minorHAnsi"/>
              </w:rPr>
              <w:t>80</w:t>
            </w:r>
            <w:r w:rsidRPr="00A23FB4">
              <w:rPr>
                <w:rFonts w:asciiTheme="minorHAnsi" w:hAnsiTheme="minorHAnsi" w:cstheme="minorHAnsi"/>
                <w:vertAlign w:val="superscript"/>
              </w:rPr>
              <w:t>1)</w:t>
            </w:r>
            <w:r w:rsidRPr="00A23FB4">
              <w:rPr>
                <w:rFonts w:asciiTheme="minorHAnsi" w:hAnsiTheme="minorHAnsi" w:cstheme="minorHAnsi"/>
              </w:rPr>
              <w:t xml:space="preserve"> przy średnicy rurociągu do           250 mm i 150</w:t>
            </w:r>
            <w:r w:rsidRPr="00A23FB4">
              <w:rPr>
                <w:rFonts w:asciiTheme="minorHAnsi" w:hAnsiTheme="minorHAnsi" w:cstheme="minorHAnsi"/>
                <w:vertAlign w:val="superscript"/>
              </w:rPr>
              <w:t>2)</w:t>
            </w:r>
          </w:p>
        </w:tc>
        <w:tc>
          <w:tcPr>
            <w:tcW w:w="1806" w:type="dxa"/>
            <w:tcBorders>
              <w:left w:val="single" w:sz="6" w:space="0" w:color="auto"/>
              <w:bottom w:val="single" w:sz="6" w:space="0" w:color="auto"/>
              <w:right w:val="single" w:sz="6" w:space="0" w:color="auto"/>
            </w:tcBorders>
          </w:tcPr>
          <w:p w14:paraId="220D0D3C" w14:textId="77777777" w:rsidR="00C9677E" w:rsidRPr="00A23FB4" w:rsidRDefault="00C9677E" w:rsidP="00AD0C50">
            <w:pPr>
              <w:jc w:val="center"/>
              <w:rPr>
                <w:rFonts w:asciiTheme="minorHAnsi" w:hAnsiTheme="minorHAnsi" w:cstheme="minorHAnsi"/>
              </w:rPr>
            </w:pPr>
          </w:p>
          <w:p w14:paraId="69C17BE1" w14:textId="77777777" w:rsidR="00C9677E" w:rsidRPr="00A23FB4" w:rsidRDefault="00C9677E" w:rsidP="00AD0C50">
            <w:pPr>
              <w:jc w:val="center"/>
              <w:rPr>
                <w:rFonts w:asciiTheme="minorHAnsi" w:hAnsiTheme="minorHAnsi" w:cstheme="minorHAnsi"/>
              </w:rPr>
            </w:pPr>
            <w:r w:rsidRPr="00A23FB4">
              <w:rPr>
                <w:rFonts w:asciiTheme="minorHAnsi" w:hAnsiTheme="minorHAnsi" w:cstheme="minorHAnsi"/>
              </w:rPr>
              <w:t>50</w:t>
            </w:r>
          </w:p>
        </w:tc>
      </w:tr>
      <w:tr w:rsidR="00C9677E" w:rsidRPr="00A23FB4" w14:paraId="46EA2AD3" w14:textId="77777777" w:rsidTr="00AD0C50">
        <w:tc>
          <w:tcPr>
            <w:tcW w:w="3898" w:type="dxa"/>
            <w:tcBorders>
              <w:top w:val="single" w:sz="6" w:space="0" w:color="auto"/>
              <w:left w:val="single" w:sz="6" w:space="0" w:color="auto"/>
              <w:bottom w:val="single" w:sz="6" w:space="0" w:color="auto"/>
              <w:right w:val="single" w:sz="6" w:space="0" w:color="auto"/>
            </w:tcBorders>
          </w:tcPr>
          <w:p w14:paraId="0D03E025" w14:textId="77777777" w:rsidR="00C9677E" w:rsidRPr="00A23FB4" w:rsidRDefault="00C9677E" w:rsidP="00AD0C50">
            <w:pPr>
              <w:spacing w:before="60" w:after="60"/>
              <w:rPr>
                <w:rFonts w:asciiTheme="minorHAnsi" w:hAnsiTheme="minorHAnsi" w:cstheme="minorHAnsi"/>
              </w:rPr>
            </w:pPr>
            <w:r w:rsidRPr="00A23FB4">
              <w:rPr>
                <w:rFonts w:asciiTheme="minorHAnsi" w:hAnsiTheme="minorHAnsi" w:cstheme="minorHAnsi"/>
              </w:rPr>
              <w:t>Rurociągi z cieczami palnymi</w:t>
            </w:r>
          </w:p>
        </w:tc>
        <w:tc>
          <w:tcPr>
            <w:tcW w:w="1806" w:type="dxa"/>
            <w:tcBorders>
              <w:top w:val="single" w:sz="6" w:space="0" w:color="auto"/>
              <w:left w:val="single" w:sz="6" w:space="0" w:color="auto"/>
              <w:bottom w:val="single" w:sz="6" w:space="0" w:color="auto"/>
              <w:right w:val="single" w:sz="6" w:space="0" w:color="auto"/>
            </w:tcBorders>
          </w:tcPr>
          <w:p w14:paraId="68BA9E9E" w14:textId="77777777" w:rsidR="00C9677E" w:rsidRPr="00A23FB4" w:rsidRDefault="00C9677E" w:rsidP="00AD0C50">
            <w:pPr>
              <w:spacing w:before="60" w:after="60"/>
              <w:jc w:val="center"/>
              <w:rPr>
                <w:rFonts w:asciiTheme="minorHAnsi" w:hAnsiTheme="minorHAnsi" w:cstheme="minorHAnsi"/>
              </w:rPr>
            </w:pPr>
            <w:r w:rsidRPr="00A23FB4">
              <w:rPr>
                <w:rFonts w:asciiTheme="minorHAnsi" w:hAnsiTheme="minorHAnsi" w:cstheme="minorHAnsi"/>
              </w:rPr>
              <w:t>przy średnicy</w:t>
            </w:r>
          </w:p>
        </w:tc>
        <w:tc>
          <w:tcPr>
            <w:tcW w:w="1806" w:type="dxa"/>
            <w:tcBorders>
              <w:top w:val="single" w:sz="6" w:space="0" w:color="auto"/>
              <w:left w:val="single" w:sz="6" w:space="0" w:color="auto"/>
              <w:bottom w:val="single" w:sz="6" w:space="0" w:color="auto"/>
              <w:right w:val="single" w:sz="6" w:space="0" w:color="auto"/>
            </w:tcBorders>
          </w:tcPr>
          <w:p w14:paraId="5A63EF8F" w14:textId="77777777" w:rsidR="00C9677E" w:rsidRPr="00A23FB4" w:rsidRDefault="00C9677E" w:rsidP="00AD0C50">
            <w:pPr>
              <w:spacing w:before="60" w:after="60"/>
              <w:jc w:val="center"/>
              <w:rPr>
                <w:rFonts w:asciiTheme="minorHAnsi" w:hAnsiTheme="minorHAnsi" w:cstheme="minorHAnsi"/>
              </w:rPr>
            </w:pPr>
            <w:r w:rsidRPr="00A23FB4">
              <w:rPr>
                <w:rFonts w:asciiTheme="minorHAnsi" w:hAnsiTheme="minorHAnsi" w:cstheme="minorHAnsi"/>
              </w:rPr>
              <w:t>100</w:t>
            </w:r>
          </w:p>
        </w:tc>
      </w:tr>
      <w:tr w:rsidR="00C9677E" w:rsidRPr="00A23FB4" w14:paraId="6EEF7CB9" w14:textId="77777777" w:rsidTr="00AD0C50">
        <w:tc>
          <w:tcPr>
            <w:tcW w:w="3898" w:type="dxa"/>
            <w:tcBorders>
              <w:top w:val="single" w:sz="6" w:space="0" w:color="auto"/>
              <w:left w:val="single" w:sz="6" w:space="0" w:color="auto"/>
              <w:bottom w:val="single" w:sz="6" w:space="0" w:color="auto"/>
              <w:right w:val="single" w:sz="6" w:space="0" w:color="auto"/>
            </w:tcBorders>
          </w:tcPr>
          <w:p w14:paraId="2079AD62" w14:textId="77777777" w:rsidR="00C9677E" w:rsidRPr="00A23FB4" w:rsidRDefault="00C9677E" w:rsidP="00AD0C50">
            <w:pPr>
              <w:rPr>
                <w:rFonts w:asciiTheme="minorHAnsi" w:hAnsiTheme="minorHAnsi" w:cstheme="minorHAnsi"/>
              </w:rPr>
            </w:pPr>
            <w:r w:rsidRPr="00A23FB4">
              <w:rPr>
                <w:rFonts w:asciiTheme="minorHAnsi" w:hAnsiTheme="minorHAnsi" w:cstheme="minorHAnsi"/>
              </w:rPr>
              <w:t>Rurociągi z gazami palnymi o ciśnieniu wyższym niż 0,5 at i nie przekraczającym 4 at</w:t>
            </w:r>
          </w:p>
        </w:tc>
        <w:tc>
          <w:tcPr>
            <w:tcW w:w="1806" w:type="dxa"/>
            <w:tcBorders>
              <w:top w:val="single" w:sz="6" w:space="0" w:color="auto"/>
              <w:left w:val="single" w:sz="6" w:space="0" w:color="auto"/>
              <w:bottom w:val="single" w:sz="6" w:space="0" w:color="auto"/>
              <w:right w:val="single" w:sz="6" w:space="0" w:color="auto"/>
            </w:tcBorders>
          </w:tcPr>
          <w:p w14:paraId="76FD3C13" w14:textId="77777777" w:rsidR="00C9677E" w:rsidRPr="00A23FB4" w:rsidRDefault="00C9677E" w:rsidP="00AD0C50">
            <w:pPr>
              <w:jc w:val="center"/>
              <w:rPr>
                <w:rFonts w:asciiTheme="minorHAnsi" w:hAnsiTheme="minorHAnsi" w:cstheme="minorHAnsi"/>
              </w:rPr>
            </w:pPr>
            <w:r w:rsidRPr="00A23FB4">
              <w:rPr>
                <w:rFonts w:asciiTheme="minorHAnsi" w:hAnsiTheme="minorHAnsi" w:cstheme="minorHAnsi"/>
              </w:rPr>
              <w:t>większej  niż           250 mm</w:t>
            </w:r>
          </w:p>
        </w:tc>
        <w:tc>
          <w:tcPr>
            <w:tcW w:w="1806" w:type="dxa"/>
            <w:tcBorders>
              <w:top w:val="single" w:sz="6" w:space="0" w:color="auto"/>
              <w:left w:val="single" w:sz="6" w:space="0" w:color="auto"/>
              <w:bottom w:val="single" w:sz="6" w:space="0" w:color="auto"/>
              <w:right w:val="single" w:sz="6" w:space="0" w:color="auto"/>
            </w:tcBorders>
          </w:tcPr>
          <w:p w14:paraId="6BF69CEF" w14:textId="77777777" w:rsidR="00C9677E" w:rsidRPr="00A23FB4" w:rsidRDefault="00C9677E" w:rsidP="00AD0C50">
            <w:pPr>
              <w:spacing w:before="120"/>
              <w:jc w:val="center"/>
              <w:rPr>
                <w:rFonts w:asciiTheme="minorHAnsi" w:hAnsiTheme="minorHAnsi" w:cstheme="minorHAnsi"/>
              </w:rPr>
            </w:pPr>
            <w:r w:rsidRPr="00A23FB4">
              <w:rPr>
                <w:rFonts w:asciiTheme="minorHAnsi" w:hAnsiTheme="minorHAnsi" w:cstheme="minorHAnsi"/>
              </w:rPr>
              <w:t>100</w:t>
            </w:r>
          </w:p>
        </w:tc>
      </w:tr>
      <w:tr w:rsidR="00C9677E" w:rsidRPr="00A23FB4" w14:paraId="5C652DC3" w14:textId="77777777" w:rsidTr="00AD0C50">
        <w:tc>
          <w:tcPr>
            <w:tcW w:w="3898" w:type="dxa"/>
            <w:tcBorders>
              <w:top w:val="single" w:sz="6" w:space="0" w:color="auto"/>
              <w:left w:val="single" w:sz="6" w:space="0" w:color="auto"/>
              <w:bottom w:val="single" w:sz="6" w:space="0" w:color="auto"/>
              <w:right w:val="single" w:sz="6" w:space="0" w:color="auto"/>
            </w:tcBorders>
          </w:tcPr>
          <w:p w14:paraId="7490C7CE" w14:textId="77777777" w:rsidR="00C9677E" w:rsidRPr="00A23FB4" w:rsidRDefault="00C9677E" w:rsidP="00AD0C50">
            <w:pPr>
              <w:rPr>
                <w:rFonts w:asciiTheme="minorHAnsi" w:hAnsiTheme="minorHAnsi" w:cstheme="minorHAnsi"/>
              </w:rPr>
            </w:pPr>
            <w:r w:rsidRPr="00A23FB4">
              <w:rPr>
                <w:rFonts w:asciiTheme="minorHAnsi" w:hAnsiTheme="minorHAnsi" w:cstheme="minorHAnsi"/>
              </w:rPr>
              <w:t>Rurociągi z gazami palnymi o ciśnieniu wyższym niż 4 at</w:t>
            </w:r>
          </w:p>
        </w:tc>
        <w:tc>
          <w:tcPr>
            <w:tcW w:w="3612" w:type="dxa"/>
            <w:gridSpan w:val="2"/>
            <w:tcBorders>
              <w:top w:val="single" w:sz="6" w:space="0" w:color="auto"/>
              <w:left w:val="single" w:sz="6" w:space="0" w:color="auto"/>
              <w:bottom w:val="single" w:sz="6" w:space="0" w:color="auto"/>
              <w:right w:val="single" w:sz="6" w:space="0" w:color="auto"/>
            </w:tcBorders>
          </w:tcPr>
          <w:p w14:paraId="714E1AC0" w14:textId="77777777" w:rsidR="00C9677E" w:rsidRPr="00A23FB4" w:rsidRDefault="00C9677E" w:rsidP="00AD0C50">
            <w:pPr>
              <w:spacing w:before="120"/>
              <w:jc w:val="center"/>
              <w:rPr>
                <w:rFonts w:asciiTheme="minorHAnsi" w:hAnsiTheme="minorHAnsi" w:cstheme="minorHAnsi"/>
              </w:rPr>
            </w:pPr>
            <w:r w:rsidRPr="00A23FB4">
              <w:rPr>
                <w:rFonts w:asciiTheme="minorHAnsi" w:hAnsiTheme="minorHAnsi" w:cstheme="minorHAnsi"/>
              </w:rPr>
              <w:t>BN-71/8976-31 [17]</w:t>
            </w:r>
          </w:p>
        </w:tc>
      </w:tr>
      <w:tr w:rsidR="00C9677E" w:rsidRPr="00A23FB4" w14:paraId="1ED40EEC" w14:textId="77777777" w:rsidTr="00AD0C50">
        <w:tc>
          <w:tcPr>
            <w:tcW w:w="3898" w:type="dxa"/>
            <w:tcBorders>
              <w:top w:val="single" w:sz="6" w:space="0" w:color="auto"/>
              <w:left w:val="single" w:sz="6" w:space="0" w:color="auto"/>
              <w:bottom w:val="single" w:sz="6" w:space="0" w:color="auto"/>
              <w:right w:val="single" w:sz="6" w:space="0" w:color="auto"/>
            </w:tcBorders>
          </w:tcPr>
          <w:p w14:paraId="30996EFA" w14:textId="77777777" w:rsidR="00C9677E" w:rsidRPr="00A23FB4" w:rsidRDefault="00C9677E" w:rsidP="00AD0C50">
            <w:pPr>
              <w:spacing w:before="60" w:after="60"/>
              <w:rPr>
                <w:rFonts w:asciiTheme="minorHAnsi" w:hAnsiTheme="minorHAnsi" w:cstheme="minorHAnsi"/>
              </w:rPr>
            </w:pPr>
            <w:r w:rsidRPr="00A23FB4">
              <w:rPr>
                <w:rFonts w:asciiTheme="minorHAnsi" w:hAnsiTheme="minorHAnsi" w:cstheme="minorHAnsi"/>
              </w:rPr>
              <w:t>Zbiorniki z płynami palnymi</w:t>
            </w:r>
          </w:p>
        </w:tc>
        <w:tc>
          <w:tcPr>
            <w:tcW w:w="1806" w:type="dxa"/>
            <w:tcBorders>
              <w:top w:val="single" w:sz="6" w:space="0" w:color="auto"/>
              <w:left w:val="single" w:sz="6" w:space="0" w:color="auto"/>
              <w:bottom w:val="single" w:sz="6" w:space="0" w:color="auto"/>
              <w:right w:val="single" w:sz="6" w:space="0" w:color="auto"/>
            </w:tcBorders>
          </w:tcPr>
          <w:p w14:paraId="09433E32" w14:textId="77777777" w:rsidR="00C9677E" w:rsidRPr="00A23FB4" w:rsidRDefault="00C9677E" w:rsidP="00AD0C50">
            <w:pPr>
              <w:spacing w:before="60" w:after="60"/>
              <w:jc w:val="center"/>
              <w:rPr>
                <w:rFonts w:asciiTheme="minorHAnsi" w:hAnsiTheme="minorHAnsi" w:cstheme="minorHAnsi"/>
              </w:rPr>
            </w:pPr>
            <w:r w:rsidRPr="00A23FB4">
              <w:rPr>
                <w:rFonts w:asciiTheme="minorHAnsi" w:hAnsiTheme="minorHAnsi" w:cstheme="minorHAnsi"/>
              </w:rPr>
              <w:t>200</w:t>
            </w:r>
          </w:p>
        </w:tc>
        <w:tc>
          <w:tcPr>
            <w:tcW w:w="1806" w:type="dxa"/>
            <w:tcBorders>
              <w:top w:val="single" w:sz="6" w:space="0" w:color="auto"/>
              <w:left w:val="single" w:sz="6" w:space="0" w:color="auto"/>
              <w:bottom w:val="single" w:sz="6" w:space="0" w:color="auto"/>
              <w:right w:val="single" w:sz="6" w:space="0" w:color="auto"/>
            </w:tcBorders>
          </w:tcPr>
          <w:p w14:paraId="73B5C1AD" w14:textId="77777777" w:rsidR="00C9677E" w:rsidRPr="00A23FB4" w:rsidRDefault="00C9677E" w:rsidP="00AD0C50">
            <w:pPr>
              <w:spacing w:before="60" w:after="60"/>
              <w:jc w:val="center"/>
              <w:rPr>
                <w:rFonts w:asciiTheme="minorHAnsi" w:hAnsiTheme="minorHAnsi" w:cstheme="minorHAnsi"/>
              </w:rPr>
            </w:pPr>
            <w:r w:rsidRPr="00A23FB4">
              <w:rPr>
                <w:rFonts w:asciiTheme="minorHAnsi" w:hAnsiTheme="minorHAnsi" w:cstheme="minorHAnsi"/>
              </w:rPr>
              <w:t>200</w:t>
            </w:r>
          </w:p>
        </w:tc>
      </w:tr>
      <w:tr w:rsidR="00C9677E" w:rsidRPr="00A23FB4" w14:paraId="4A726D4C" w14:textId="77777777" w:rsidTr="00AD0C50">
        <w:tc>
          <w:tcPr>
            <w:tcW w:w="3898" w:type="dxa"/>
            <w:tcBorders>
              <w:top w:val="single" w:sz="6" w:space="0" w:color="auto"/>
              <w:left w:val="single" w:sz="6" w:space="0" w:color="auto"/>
              <w:bottom w:val="single" w:sz="6" w:space="0" w:color="auto"/>
              <w:right w:val="single" w:sz="6" w:space="0" w:color="auto"/>
            </w:tcBorders>
          </w:tcPr>
          <w:p w14:paraId="484D3DFD" w14:textId="77777777" w:rsidR="00C9677E" w:rsidRPr="00A23FB4" w:rsidRDefault="00C9677E" w:rsidP="00AD0C50">
            <w:pPr>
              <w:rPr>
                <w:rFonts w:asciiTheme="minorHAnsi" w:hAnsiTheme="minorHAnsi" w:cstheme="minorHAnsi"/>
              </w:rPr>
            </w:pPr>
            <w:r w:rsidRPr="00A23FB4">
              <w:rPr>
                <w:rFonts w:asciiTheme="minorHAnsi" w:hAnsiTheme="minorHAnsi" w:cstheme="minorHAnsi"/>
              </w:rPr>
              <w:t>Części podziemne linii napowietrznych (ustój, podpora, odciążka)</w:t>
            </w:r>
          </w:p>
        </w:tc>
        <w:tc>
          <w:tcPr>
            <w:tcW w:w="1806" w:type="dxa"/>
            <w:tcBorders>
              <w:top w:val="single" w:sz="6" w:space="0" w:color="auto"/>
              <w:left w:val="single" w:sz="6" w:space="0" w:color="auto"/>
              <w:bottom w:val="single" w:sz="6" w:space="0" w:color="auto"/>
              <w:right w:val="single" w:sz="6" w:space="0" w:color="auto"/>
            </w:tcBorders>
          </w:tcPr>
          <w:p w14:paraId="564FECF9" w14:textId="77777777" w:rsidR="00C9677E" w:rsidRPr="00A23FB4" w:rsidRDefault="00C9677E" w:rsidP="00AD0C50">
            <w:pPr>
              <w:spacing w:before="120"/>
              <w:jc w:val="center"/>
              <w:rPr>
                <w:rFonts w:asciiTheme="minorHAnsi" w:hAnsiTheme="minorHAnsi" w:cstheme="minorHAnsi"/>
              </w:rPr>
            </w:pPr>
            <w:r w:rsidRPr="00A23FB4">
              <w:rPr>
                <w:rFonts w:asciiTheme="minorHAnsi" w:hAnsiTheme="minorHAnsi" w:cstheme="minorHAnsi"/>
              </w:rPr>
              <w:t>-</w:t>
            </w:r>
          </w:p>
        </w:tc>
        <w:tc>
          <w:tcPr>
            <w:tcW w:w="1806" w:type="dxa"/>
            <w:tcBorders>
              <w:top w:val="single" w:sz="6" w:space="0" w:color="auto"/>
              <w:left w:val="single" w:sz="6" w:space="0" w:color="auto"/>
              <w:bottom w:val="single" w:sz="6" w:space="0" w:color="auto"/>
              <w:right w:val="single" w:sz="6" w:space="0" w:color="auto"/>
            </w:tcBorders>
          </w:tcPr>
          <w:p w14:paraId="5342F308" w14:textId="77777777" w:rsidR="00C9677E" w:rsidRPr="00A23FB4" w:rsidRDefault="00C9677E" w:rsidP="00AD0C50">
            <w:pPr>
              <w:spacing w:before="120"/>
              <w:jc w:val="center"/>
              <w:rPr>
                <w:rFonts w:asciiTheme="minorHAnsi" w:hAnsiTheme="minorHAnsi" w:cstheme="minorHAnsi"/>
              </w:rPr>
            </w:pPr>
            <w:r w:rsidRPr="00A23FB4">
              <w:rPr>
                <w:rFonts w:asciiTheme="minorHAnsi" w:hAnsiTheme="minorHAnsi" w:cstheme="minorHAnsi"/>
              </w:rPr>
              <w:t>80</w:t>
            </w:r>
          </w:p>
        </w:tc>
      </w:tr>
      <w:tr w:rsidR="00C9677E" w:rsidRPr="00A23FB4" w14:paraId="7AFB6775" w14:textId="77777777" w:rsidTr="00AD0C50">
        <w:tc>
          <w:tcPr>
            <w:tcW w:w="3898" w:type="dxa"/>
            <w:tcBorders>
              <w:top w:val="single" w:sz="6" w:space="0" w:color="auto"/>
              <w:left w:val="single" w:sz="6" w:space="0" w:color="auto"/>
              <w:bottom w:val="single" w:sz="6" w:space="0" w:color="auto"/>
              <w:right w:val="single" w:sz="6" w:space="0" w:color="auto"/>
            </w:tcBorders>
          </w:tcPr>
          <w:p w14:paraId="22D7CBF6" w14:textId="77777777" w:rsidR="00C9677E" w:rsidRPr="00A23FB4" w:rsidRDefault="00C9677E" w:rsidP="00AD0C50">
            <w:pPr>
              <w:rPr>
                <w:rFonts w:asciiTheme="minorHAnsi" w:hAnsiTheme="minorHAnsi" w:cstheme="minorHAnsi"/>
              </w:rPr>
            </w:pPr>
            <w:r w:rsidRPr="00A23FB4">
              <w:rPr>
                <w:rFonts w:asciiTheme="minorHAnsi" w:hAnsiTheme="minorHAnsi" w:cstheme="minorHAnsi"/>
              </w:rPr>
              <w:t>Ściany budynków i inne budowle, np. tunele, kanały</w:t>
            </w:r>
          </w:p>
        </w:tc>
        <w:tc>
          <w:tcPr>
            <w:tcW w:w="1806" w:type="dxa"/>
            <w:tcBorders>
              <w:top w:val="single" w:sz="6" w:space="0" w:color="auto"/>
              <w:left w:val="single" w:sz="6" w:space="0" w:color="auto"/>
              <w:bottom w:val="single" w:sz="6" w:space="0" w:color="auto"/>
              <w:right w:val="single" w:sz="6" w:space="0" w:color="auto"/>
            </w:tcBorders>
          </w:tcPr>
          <w:p w14:paraId="4BB85D8E" w14:textId="77777777" w:rsidR="00C9677E" w:rsidRPr="00A23FB4" w:rsidRDefault="00C9677E" w:rsidP="00AD0C50">
            <w:pPr>
              <w:spacing w:before="120"/>
              <w:jc w:val="center"/>
              <w:rPr>
                <w:rFonts w:asciiTheme="minorHAnsi" w:hAnsiTheme="minorHAnsi" w:cstheme="minorHAnsi"/>
              </w:rPr>
            </w:pPr>
            <w:r w:rsidRPr="00A23FB4">
              <w:rPr>
                <w:rFonts w:asciiTheme="minorHAnsi" w:hAnsiTheme="minorHAnsi" w:cstheme="minorHAnsi"/>
              </w:rPr>
              <w:t>-</w:t>
            </w:r>
          </w:p>
        </w:tc>
        <w:tc>
          <w:tcPr>
            <w:tcW w:w="1806" w:type="dxa"/>
            <w:tcBorders>
              <w:top w:val="single" w:sz="6" w:space="0" w:color="auto"/>
              <w:left w:val="single" w:sz="6" w:space="0" w:color="auto"/>
              <w:bottom w:val="single" w:sz="6" w:space="0" w:color="auto"/>
              <w:right w:val="single" w:sz="6" w:space="0" w:color="auto"/>
            </w:tcBorders>
          </w:tcPr>
          <w:p w14:paraId="7AE9EB78" w14:textId="77777777" w:rsidR="00C9677E" w:rsidRPr="00A23FB4" w:rsidRDefault="00C9677E" w:rsidP="00AD0C50">
            <w:pPr>
              <w:spacing w:before="120"/>
              <w:jc w:val="center"/>
              <w:rPr>
                <w:rFonts w:asciiTheme="minorHAnsi" w:hAnsiTheme="minorHAnsi" w:cstheme="minorHAnsi"/>
              </w:rPr>
            </w:pPr>
            <w:r w:rsidRPr="00A23FB4">
              <w:rPr>
                <w:rFonts w:asciiTheme="minorHAnsi" w:hAnsiTheme="minorHAnsi" w:cstheme="minorHAnsi"/>
              </w:rPr>
              <w:t>50</w:t>
            </w:r>
          </w:p>
        </w:tc>
      </w:tr>
      <w:tr w:rsidR="00C9677E" w:rsidRPr="00A23FB4" w14:paraId="57061AA5" w14:textId="77777777" w:rsidTr="00AD0C50">
        <w:tc>
          <w:tcPr>
            <w:tcW w:w="3898" w:type="dxa"/>
            <w:tcBorders>
              <w:top w:val="single" w:sz="6" w:space="0" w:color="auto"/>
              <w:left w:val="single" w:sz="6" w:space="0" w:color="auto"/>
              <w:bottom w:val="single" w:sz="6" w:space="0" w:color="auto"/>
              <w:right w:val="single" w:sz="6" w:space="0" w:color="auto"/>
            </w:tcBorders>
          </w:tcPr>
          <w:p w14:paraId="19BCDFEE" w14:textId="77777777" w:rsidR="00C9677E" w:rsidRPr="00A23FB4" w:rsidRDefault="00C9677E" w:rsidP="00AD0C50">
            <w:pPr>
              <w:rPr>
                <w:rFonts w:asciiTheme="minorHAnsi" w:hAnsiTheme="minorHAnsi" w:cstheme="minorHAnsi"/>
              </w:rPr>
            </w:pPr>
            <w:r w:rsidRPr="00A23FB4">
              <w:rPr>
                <w:rFonts w:asciiTheme="minorHAnsi" w:hAnsiTheme="minorHAnsi" w:cstheme="minorHAnsi"/>
              </w:rPr>
              <w:t>Urządzenia ochrony budowli od wyładowań atmosferycznych</w:t>
            </w:r>
          </w:p>
        </w:tc>
        <w:tc>
          <w:tcPr>
            <w:tcW w:w="1806" w:type="dxa"/>
            <w:tcBorders>
              <w:top w:val="single" w:sz="6" w:space="0" w:color="auto"/>
              <w:left w:val="single" w:sz="6" w:space="0" w:color="auto"/>
              <w:bottom w:val="single" w:sz="6" w:space="0" w:color="auto"/>
              <w:right w:val="single" w:sz="6" w:space="0" w:color="auto"/>
            </w:tcBorders>
          </w:tcPr>
          <w:p w14:paraId="7DE75AA4" w14:textId="77777777" w:rsidR="00C9677E" w:rsidRPr="00A23FB4" w:rsidRDefault="00C9677E" w:rsidP="00AD0C50">
            <w:pPr>
              <w:spacing w:before="120"/>
              <w:jc w:val="center"/>
              <w:rPr>
                <w:rFonts w:asciiTheme="minorHAnsi" w:hAnsiTheme="minorHAnsi" w:cstheme="minorHAnsi"/>
              </w:rPr>
            </w:pPr>
            <w:r w:rsidRPr="00A23FB4">
              <w:rPr>
                <w:rFonts w:asciiTheme="minorHAnsi" w:hAnsiTheme="minorHAnsi" w:cstheme="minorHAnsi"/>
              </w:rPr>
              <w:t>50</w:t>
            </w:r>
          </w:p>
        </w:tc>
        <w:tc>
          <w:tcPr>
            <w:tcW w:w="1806" w:type="dxa"/>
            <w:tcBorders>
              <w:top w:val="single" w:sz="6" w:space="0" w:color="auto"/>
              <w:left w:val="single" w:sz="6" w:space="0" w:color="auto"/>
              <w:bottom w:val="single" w:sz="6" w:space="0" w:color="auto"/>
              <w:right w:val="single" w:sz="6" w:space="0" w:color="auto"/>
            </w:tcBorders>
          </w:tcPr>
          <w:p w14:paraId="2F8D33B9" w14:textId="77777777" w:rsidR="00C9677E" w:rsidRPr="00A23FB4" w:rsidRDefault="00C9677E" w:rsidP="00AD0C50">
            <w:pPr>
              <w:spacing w:before="120"/>
              <w:jc w:val="center"/>
              <w:rPr>
                <w:rFonts w:asciiTheme="minorHAnsi" w:hAnsiTheme="minorHAnsi" w:cstheme="minorHAnsi"/>
              </w:rPr>
            </w:pPr>
            <w:r w:rsidRPr="00A23FB4">
              <w:rPr>
                <w:rFonts w:asciiTheme="minorHAnsi" w:hAnsiTheme="minorHAnsi" w:cstheme="minorHAnsi"/>
              </w:rPr>
              <w:t>50</w:t>
            </w:r>
          </w:p>
        </w:tc>
      </w:tr>
    </w:tbl>
    <w:p w14:paraId="20390F00" w14:textId="77777777" w:rsidR="00C9677E" w:rsidRPr="00A23FB4" w:rsidRDefault="00C9677E" w:rsidP="00262498">
      <w:pPr>
        <w:numPr>
          <w:ilvl w:val="0"/>
          <w:numId w:val="44"/>
        </w:numPr>
        <w:spacing w:before="60"/>
        <w:ind w:left="284" w:hanging="284"/>
        <w:rPr>
          <w:rFonts w:asciiTheme="minorHAnsi" w:hAnsiTheme="minorHAnsi" w:cstheme="minorHAnsi"/>
        </w:rPr>
      </w:pPr>
      <w:r w:rsidRPr="00A23FB4">
        <w:rPr>
          <w:rFonts w:asciiTheme="minorHAnsi" w:hAnsiTheme="minorHAnsi" w:cstheme="minorHAnsi"/>
        </w:rPr>
        <w:t>dopuszcza się zmniejszenie odległości do 50 cm pod warunkiem zastosowania rury ochronnej</w:t>
      </w:r>
    </w:p>
    <w:p w14:paraId="48012B6C" w14:textId="77777777" w:rsidR="00C9677E" w:rsidRPr="00A23FB4" w:rsidRDefault="00C9677E" w:rsidP="00262498">
      <w:pPr>
        <w:numPr>
          <w:ilvl w:val="0"/>
          <w:numId w:val="44"/>
        </w:numPr>
        <w:ind w:left="284" w:hanging="284"/>
        <w:rPr>
          <w:rFonts w:asciiTheme="minorHAnsi" w:hAnsiTheme="minorHAnsi" w:cstheme="minorHAnsi"/>
        </w:rPr>
      </w:pPr>
      <w:r w:rsidRPr="00A23FB4">
        <w:rPr>
          <w:rFonts w:asciiTheme="minorHAnsi" w:hAnsiTheme="minorHAnsi" w:cstheme="minorHAnsi"/>
        </w:rPr>
        <w:t>dopuszcza się zmniejszenie odległości do 80 cm pod warunkiem zastosowania rury ochronnej.</w:t>
      </w:r>
    </w:p>
    <w:p w14:paraId="6FEB9F74" w14:textId="77777777" w:rsidR="00C9677E" w:rsidRPr="00A23FB4" w:rsidRDefault="00C9677E" w:rsidP="00C9677E">
      <w:pPr>
        <w:pStyle w:val="Nagwek4"/>
        <w:rPr>
          <w:rFonts w:asciiTheme="minorHAnsi" w:hAnsiTheme="minorHAnsi"/>
        </w:rPr>
      </w:pPr>
      <w:r w:rsidRPr="00A23FB4">
        <w:rPr>
          <w:rFonts w:asciiTheme="minorHAnsi" w:hAnsiTheme="minorHAnsi"/>
        </w:rPr>
        <w:t>5.7. Skrzyżowania i zbliżenia kabli z drogami</w:t>
      </w:r>
    </w:p>
    <w:p w14:paraId="3D512172"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Kable powinny się krzyżować z drogami pod kątem zbliżonym do 90</w:t>
      </w:r>
      <w:r w:rsidRPr="00A23FB4">
        <w:rPr>
          <w:rFonts w:asciiTheme="minorHAnsi" w:hAnsiTheme="minorHAnsi" w:cstheme="minorHAnsi"/>
          <w:vertAlign w:val="superscript"/>
        </w:rPr>
        <w:t>o</w:t>
      </w:r>
      <w:r w:rsidRPr="00A23FB4">
        <w:rPr>
          <w:rFonts w:asciiTheme="minorHAnsi" w:hAnsiTheme="minorHAnsi" w:cstheme="minorHAnsi"/>
        </w:rPr>
        <w:t xml:space="preserve"> i w miarę możliwości w jej najwęższym miejscu.</w:t>
      </w:r>
    </w:p>
    <w:p w14:paraId="6C7CF970" w14:textId="77777777" w:rsidR="00C9677E" w:rsidRDefault="00C9677E" w:rsidP="00C9677E">
      <w:pPr>
        <w:rPr>
          <w:rFonts w:asciiTheme="minorHAnsi" w:hAnsiTheme="minorHAnsi" w:cstheme="minorHAnsi"/>
        </w:rPr>
      </w:pPr>
      <w:r w:rsidRPr="00A23FB4">
        <w:rPr>
          <w:rFonts w:asciiTheme="minorHAnsi" w:hAnsiTheme="minorHAnsi" w:cstheme="minorHAnsi"/>
        </w:rPr>
        <w:t>Przy ułożeniu kabla bezpośrednio w gruncie ochrona kabla od urządzeń mechanicznych w miejscach skrzyżowania z drogą, powinna odpowiadać postanowieniom zawartym w tablicy 3.</w:t>
      </w:r>
    </w:p>
    <w:p w14:paraId="5E7CF670" w14:textId="77777777" w:rsidR="00BE573D" w:rsidRDefault="00BE573D" w:rsidP="00C9677E">
      <w:pPr>
        <w:rPr>
          <w:rFonts w:asciiTheme="minorHAnsi" w:hAnsiTheme="minorHAnsi" w:cstheme="minorHAnsi"/>
        </w:rPr>
      </w:pPr>
    </w:p>
    <w:p w14:paraId="5658B077" w14:textId="77777777" w:rsidR="00BE573D" w:rsidRDefault="00BE573D" w:rsidP="00C9677E">
      <w:pPr>
        <w:rPr>
          <w:rFonts w:asciiTheme="minorHAnsi" w:hAnsiTheme="minorHAnsi" w:cstheme="minorHAnsi"/>
        </w:rPr>
      </w:pPr>
    </w:p>
    <w:p w14:paraId="195C803B" w14:textId="77777777" w:rsidR="00BE573D" w:rsidRPr="00A23FB4" w:rsidRDefault="00BE573D" w:rsidP="00C9677E">
      <w:pPr>
        <w:rPr>
          <w:rFonts w:asciiTheme="minorHAnsi" w:hAnsiTheme="minorHAnsi" w:cstheme="minorHAnsi"/>
        </w:rPr>
      </w:pPr>
    </w:p>
    <w:p w14:paraId="117A3487" w14:textId="77777777" w:rsidR="00C9677E" w:rsidRPr="00A23FB4" w:rsidRDefault="00C9677E" w:rsidP="00C9677E">
      <w:pPr>
        <w:spacing w:before="60" w:after="60"/>
        <w:rPr>
          <w:rFonts w:asciiTheme="minorHAnsi" w:hAnsiTheme="minorHAnsi" w:cstheme="minorHAnsi"/>
        </w:rPr>
      </w:pPr>
      <w:r w:rsidRPr="00A23FB4">
        <w:rPr>
          <w:rFonts w:asciiTheme="minorHAnsi" w:hAnsiTheme="minorHAnsi" w:cstheme="minorHAnsi"/>
        </w:rPr>
        <w:t>Tablica 3. Długości przepustów kablowych przy skrzyżowaniu z drogami i rurociągami</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755"/>
        <w:gridCol w:w="3755"/>
      </w:tblGrid>
      <w:tr w:rsidR="00C9677E" w:rsidRPr="00A23FB4" w14:paraId="21203B7E" w14:textId="77777777" w:rsidTr="00AD0C50">
        <w:tc>
          <w:tcPr>
            <w:tcW w:w="3755" w:type="dxa"/>
            <w:tcBorders>
              <w:bottom w:val="double" w:sz="6" w:space="0" w:color="auto"/>
            </w:tcBorders>
          </w:tcPr>
          <w:p w14:paraId="183DD5D1" w14:textId="77777777" w:rsidR="00C9677E" w:rsidRPr="00A23FB4" w:rsidRDefault="00C9677E" w:rsidP="00AD0C50">
            <w:pPr>
              <w:spacing w:before="60" w:after="60"/>
              <w:jc w:val="center"/>
              <w:rPr>
                <w:rFonts w:asciiTheme="minorHAnsi" w:hAnsiTheme="minorHAnsi" w:cstheme="minorHAnsi"/>
              </w:rPr>
            </w:pPr>
            <w:r w:rsidRPr="00A23FB4">
              <w:rPr>
                <w:rFonts w:asciiTheme="minorHAnsi" w:hAnsiTheme="minorHAnsi" w:cstheme="minorHAnsi"/>
              </w:rPr>
              <w:t>Rodzaj krzyżowanego obiektu</w:t>
            </w:r>
          </w:p>
        </w:tc>
        <w:tc>
          <w:tcPr>
            <w:tcW w:w="3755" w:type="dxa"/>
            <w:tcBorders>
              <w:bottom w:val="double" w:sz="6" w:space="0" w:color="auto"/>
            </w:tcBorders>
          </w:tcPr>
          <w:p w14:paraId="1740844D" w14:textId="77777777" w:rsidR="00C9677E" w:rsidRPr="00A23FB4" w:rsidRDefault="00C9677E" w:rsidP="00AD0C50">
            <w:pPr>
              <w:spacing w:before="60" w:after="60"/>
              <w:jc w:val="center"/>
              <w:rPr>
                <w:rFonts w:asciiTheme="minorHAnsi" w:hAnsiTheme="minorHAnsi" w:cstheme="minorHAnsi"/>
              </w:rPr>
            </w:pPr>
            <w:r w:rsidRPr="00A23FB4">
              <w:rPr>
                <w:rFonts w:asciiTheme="minorHAnsi" w:hAnsiTheme="minorHAnsi" w:cstheme="minorHAnsi"/>
              </w:rPr>
              <w:t>Długość przepustu na skrzyżowaniu</w:t>
            </w:r>
          </w:p>
        </w:tc>
      </w:tr>
      <w:tr w:rsidR="00C9677E" w:rsidRPr="00A23FB4" w14:paraId="022B0619" w14:textId="77777777" w:rsidTr="00AD0C50">
        <w:tc>
          <w:tcPr>
            <w:tcW w:w="3755" w:type="dxa"/>
            <w:tcBorders>
              <w:top w:val="nil"/>
            </w:tcBorders>
          </w:tcPr>
          <w:p w14:paraId="6C97091E" w14:textId="77777777" w:rsidR="00C9677E" w:rsidRPr="00A23FB4" w:rsidRDefault="00C9677E" w:rsidP="00AD0C50">
            <w:pPr>
              <w:spacing w:before="120"/>
              <w:rPr>
                <w:rFonts w:asciiTheme="minorHAnsi" w:hAnsiTheme="minorHAnsi" w:cstheme="minorHAnsi"/>
              </w:rPr>
            </w:pPr>
            <w:r w:rsidRPr="00A23FB4">
              <w:rPr>
                <w:rFonts w:asciiTheme="minorHAnsi" w:hAnsiTheme="minorHAnsi" w:cstheme="minorHAnsi"/>
              </w:rPr>
              <w:t>Rurociąg</w:t>
            </w:r>
          </w:p>
        </w:tc>
        <w:tc>
          <w:tcPr>
            <w:tcW w:w="3755" w:type="dxa"/>
            <w:tcBorders>
              <w:top w:val="nil"/>
            </w:tcBorders>
          </w:tcPr>
          <w:p w14:paraId="7945B483" w14:textId="77777777" w:rsidR="00C9677E" w:rsidRPr="00A23FB4" w:rsidRDefault="00C9677E" w:rsidP="00AD0C50">
            <w:pPr>
              <w:rPr>
                <w:rFonts w:asciiTheme="minorHAnsi" w:hAnsiTheme="minorHAnsi" w:cstheme="minorHAnsi"/>
              </w:rPr>
            </w:pPr>
            <w:r w:rsidRPr="00A23FB4">
              <w:rPr>
                <w:rFonts w:asciiTheme="minorHAnsi" w:hAnsiTheme="minorHAnsi" w:cstheme="minorHAnsi"/>
              </w:rPr>
              <w:t>średnica rurociągu z dodaniem po 50 cm           z każdej strony</w:t>
            </w:r>
          </w:p>
        </w:tc>
      </w:tr>
      <w:tr w:rsidR="00C9677E" w:rsidRPr="00A23FB4" w14:paraId="4353B245" w14:textId="77777777" w:rsidTr="00AD0C50">
        <w:tc>
          <w:tcPr>
            <w:tcW w:w="3755" w:type="dxa"/>
          </w:tcPr>
          <w:p w14:paraId="47958DFA" w14:textId="77777777" w:rsidR="00C9677E" w:rsidRPr="00A23FB4" w:rsidRDefault="00C9677E" w:rsidP="00AD0C50">
            <w:pPr>
              <w:spacing w:before="120"/>
              <w:rPr>
                <w:rFonts w:asciiTheme="minorHAnsi" w:hAnsiTheme="minorHAnsi" w:cstheme="minorHAnsi"/>
              </w:rPr>
            </w:pPr>
            <w:r w:rsidRPr="00A23FB4">
              <w:rPr>
                <w:rFonts w:asciiTheme="minorHAnsi" w:hAnsiTheme="minorHAnsi" w:cstheme="minorHAnsi"/>
              </w:rPr>
              <w:t>Droga o przekroju ulicznym z krawężnikami</w:t>
            </w:r>
          </w:p>
        </w:tc>
        <w:tc>
          <w:tcPr>
            <w:tcW w:w="3755" w:type="dxa"/>
          </w:tcPr>
          <w:p w14:paraId="4F747FB2" w14:textId="77777777" w:rsidR="00C9677E" w:rsidRPr="00A23FB4" w:rsidRDefault="00C9677E" w:rsidP="00AD0C50">
            <w:pPr>
              <w:rPr>
                <w:rFonts w:asciiTheme="minorHAnsi" w:hAnsiTheme="minorHAnsi" w:cstheme="minorHAnsi"/>
              </w:rPr>
            </w:pPr>
            <w:r w:rsidRPr="00A23FB4">
              <w:rPr>
                <w:rFonts w:asciiTheme="minorHAnsi" w:hAnsiTheme="minorHAnsi" w:cstheme="minorHAnsi"/>
              </w:rPr>
              <w:t>szerokość jezdni z krawężnikami z dodaniem po 50 cm z każdej strony</w:t>
            </w:r>
          </w:p>
        </w:tc>
      </w:tr>
      <w:tr w:rsidR="00C9677E" w:rsidRPr="00A23FB4" w14:paraId="466FFAFE" w14:textId="77777777" w:rsidTr="00AD0C50">
        <w:tc>
          <w:tcPr>
            <w:tcW w:w="3755" w:type="dxa"/>
          </w:tcPr>
          <w:p w14:paraId="7CEADC67" w14:textId="77777777" w:rsidR="00C9677E" w:rsidRPr="00A23FB4" w:rsidRDefault="00C9677E" w:rsidP="00AD0C50">
            <w:pPr>
              <w:spacing w:before="120"/>
              <w:rPr>
                <w:rFonts w:asciiTheme="minorHAnsi" w:hAnsiTheme="minorHAnsi" w:cstheme="minorHAnsi"/>
              </w:rPr>
            </w:pPr>
            <w:r w:rsidRPr="00A23FB4">
              <w:rPr>
                <w:rFonts w:asciiTheme="minorHAnsi" w:hAnsiTheme="minorHAnsi" w:cstheme="minorHAnsi"/>
              </w:rPr>
              <w:t>Droga o przekroju szlakowym z rowami odwadniającymi</w:t>
            </w:r>
          </w:p>
        </w:tc>
        <w:tc>
          <w:tcPr>
            <w:tcW w:w="3755" w:type="dxa"/>
          </w:tcPr>
          <w:p w14:paraId="5916455E" w14:textId="77777777" w:rsidR="00C9677E" w:rsidRPr="00A23FB4" w:rsidRDefault="00C9677E" w:rsidP="00AD0C50">
            <w:pPr>
              <w:rPr>
                <w:rFonts w:asciiTheme="minorHAnsi" w:hAnsiTheme="minorHAnsi" w:cstheme="minorHAnsi"/>
              </w:rPr>
            </w:pPr>
            <w:r w:rsidRPr="00A23FB4">
              <w:rPr>
                <w:rFonts w:asciiTheme="minorHAnsi" w:hAnsiTheme="minorHAnsi" w:cstheme="minorHAnsi"/>
              </w:rPr>
              <w:t>szerokość korony drogi i szerokości obu rowów do zewnętrznej krawędzi ich skarpy z dodaniem po 100 cm z każdej strony</w:t>
            </w:r>
          </w:p>
        </w:tc>
      </w:tr>
      <w:tr w:rsidR="00C9677E" w:rsidRPr="00A23FB4" w14:paraId="76079ABA" w14:textId="77777777" w:rsidTr="00AD0C50">
        <w:tc>
          <w:tcPr>
            <w:tcW w:w="3755" w:type="dxa"/>
          </w:tcPr>
          <w:p w14:paraId="50FCC5ED" w14:textId="77777777" w:rsidR="00C9677E" w:rsidRPr="00A23FB4" w:rsidRDefault="00C9677E" w:rsidP="00AD0C50">
            <w:pPr>
              <w:rPr>
                <w:rFonts w:asciiTheme="minorHAnsi" w:hAnsiTheme="minorHAnsi" w:cstheme="minorHAnsi"/>
              </w:rPr>
            </w:pPr>
          </w:p>
          <w:p w14:paraId="0C420545" w14:textId="77777777" w:rsidR="00C9677E" w:rsidRPr="00A23FB4" w:rsidRDefault="00C9677E" w:rsidP="00AD0C50">
            <w:pPr>
              <w:rPr>
                <w:rFonts w:asciiTheme="minorHAnsi" w:hAnsiTheme="minorHAnsi" w:cstheme="minorHAnsi"/>
              </w:rPr>
            </w:pPr>
            <w:r w:rsidRPr="00A23FB4">
              <w:rPr>
                <w:rFonts w:asciiTheme="minorHAnsi" w:hAnsiTheme="minorHAnsi" w:cstheme="minorHAnsi"/>
              </w:rPr>
              <w:t>Droga w nasypie</w:t>
            </w:r>
          </w:p>
        </w:tc>
        <w:tc>
          <w:tcPr>
            <w:tcW w:w="3755" w:type="dxa"/>
          </w:tcPr>
          <w:p w14:paraId="5BD0D852" w14:textId="77777777" w:rsidR="00C9677E" w:rsidRPr="00A23FB4" w:rsidRDefault="00C9677E" w:rsidP="00AD0C50">
            <w:pPr>
              <w:rPr>
                <w:rFonts w:asciiTheme="minorHAnsi" w:hAnsiTheme="minorHAnsi" w:cstheme="minorHAnsi"/>
              </w:rPr>
            </w:pPr>
            <w:r w:rsidRPr="00A23FB4">
              <w:rPr>
                <w:rFonts w:asciiTheme="minorHAnsi" w:hAnsiTheme="minorHAnsi" w:cstheme="minorHAnsi"/>
              </w:rPr>
              <w:t>szerokość korony drogi i szerokość rzutu skarp nasypów z dodaniem po 100 cm z każdej strony od dolnej krawędzi nasypu</w:t>
            </w:r>
          </w:p>
        </w:tc>
      </w:tr>
    </w:tbl>
    <w:p w14:paraId="1CC7C2B7" w14:textId="77777777" w:rsidR="00C9677E" w:rsidRPr="00A23FB4" w:rsidRDefault="00C9677E" w:rsidP="00C9677E">
      <w:pPr>
        <w:rPr>
          <w:rFonts w:asciiTheme="minorHAnsi" w:hAnsiTheme="minorHAnsi" w:cstheme="minorHAnsi"/>
        </w:rPr>
      </w:pPr>
    </w:p>
    <w:p w14:paraId="3685A4BF"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W przypadku przekrojów półulicznych, z jednostronnym rowem lub jednostronnym nasypem - długości przepustów należy ustalać odpowiednio wg ww. wzorów.</w:t>
      </w:r>
    </w:p>
    <w:p w14:paraId="400E0B0E"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Najmniejsza odległość pionowa między górną częścią osłony kabla a płaszczyzną jezdni nie powinna być mniejsza niż 100 cm.</w:t>
      </w:r>
    </w:p>
    <w:p w14:paraId="75CADF7D"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Odległość między górną częścią osłony kabla a dnem rowu odwadniającego powinna wynosić co najmniej 50 cm.</w:t>
      </w:r>
    </w:p>
    <w:p w14:paraId="02ECC296"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Ww. minimalne odległości od powierzchni jezdni i dna rowu mogą być zwiększone, gdyż dla konkretnego odcinka drogi powinny wynikać z warunków określonych przez zarząd drogowy (uwzględniających projektowaną przebudowę konstrukcji nawierzchni lub pogłębienie rowu).</w:t>
      </w:r>
    </w:p>
    <w:p w14:paraId="4FF1B7DA"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Kable należy układać poza pasem drogowym w odległości co najmniej 1 m od jego granicy.</w:t>
      </w:r>
    </w:p>
    <w:p w14:paraId="07270B5B"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Odległość kabli od zadrzewienia drogowego (od pni drzew) powinna wynosić co najmniej 2 m.</w:t>
      </w:r>
    </w:p>
    <w:p w14:paraId="7FEB4E6A"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W przypadku niemożności prowadzenia linii kablowych poza pasem drogowym: na terenach zalewowych, zalesionych lub zajętych pod sady, dopuszcza się układanie ich w pasie drogowym na skarpach nasypów lub na częściach pasa poza koroną drogi.</w:t>
      </w:r>
    </w:p>
    <w:p w14:paraId="012C26BB"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Roboty przy układaniu kablowych linii elektroenergetycznych na skrzyżowaniach z drogami i na odcinkach ewentualnego wejścia linią kablową na teren pasa drogowego przy zbliżeniach do drogi - wymagają zezwolenia ze strony zarządu drogowego i należy je wykonywać na warunkach podanych w tym zezwoleniu, zgodnie z ustawą o drogach publicznych.</w:t>
      </w:r>
    </w:p>
    <w:p w14:paraId="15D68EE8" w14:textId="77777777" w:rsidR="00C9677E" w:rsidRPr="00A23FB4" w:rsidRDefault="00C9677E" w:rsidP="00C9677E">
      <w:pPr>
        <w:pStyle w:val="Nagwek4"/>
        <w:rPr>
          <w:rFonts w:asciiTheme="minorHAnsi" w:hAnsiTheme="minorHAnsi"/>
        </w:rPr>
      </w:pPr>
      <w:r w:rsidRPr="00A23FB4">
        <w:rPr>
          <w:rFonts w:asciiTheme="minorHAnsi" w:hAnsiTheme="minorHAnsi"/>
        </w:rPr>
        <w:t>5.8. Wykonanie muf i głowic</w:t>
      </w:r>
    </w:p>
    <w:p w14:paraId="63350BE2"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Łączenie, odgałęzianie i zakańczanie kabli należy wykonywać przy użyciu muf i głowic kablowych.</w:t>
      </w:r>
    </w:p>
    <w:p w14:paraId="0515CBE3"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Nie należy stosować muf odgałęźnych do kabli o napięciu znamionowym wyższym niż 1 kV.</w:t>
      </w:r>
    </w:p>
    <w:p w14:paraId="303B791D"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Mufy i głowice powinny być tak umieszczone, aby nie było utrudnione wykonywanie prac montażowych.</w:t>
      </w:r>
    </w:p>
    <w:p w14:paraId="74A22978"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W przypadku wiązek kabli składających się z kabli jednożyłowych, zaleca się przesunięcie względem siebie (wzdłuż kabla) muf montowanych na poszczególnych kablach.</w:t>
      </w:r>
    </w:p>
    <w:p w14:paraId="0C1DDBEE"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Metalowe wkładki muf przelotowych powinny być przylutowane szczelnie do powłok metalowych kabli.</w:t>
      </w:r>
    </w:p>
    <w:p w14:paraId="708AEC56"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Miejsca połączeń żył kabli w mufach powinny być izolowane oddzielnie, przy czym rozkład pola elektrycznego w izolacji tych miejsc powinien być zbliżony do rozkładu pola w kablu. Na izolację miejsc łączenia żył zaleca się stosować materiały izolacyjne o własnościach zbliżonych do własności izolacji łączonych kabli. Dopuszcza się niewykonywanie oddzielnego izolowania miejsc łączenia żył kabli o napięciu znamionowym nie przekraczającym 1 kV, jeżeli mufy wykonywane są z żywic samoutwardzalnych.</w:t>
      </w:r>
    </w:p>
    <w:p w14:paraId="1C9985E5"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Izolatory i kadłuby głowic oraz wkładki metalowe muf do kabli o izolacji papierowej powinny być wypełnione zalewą izolacyjną o właściwościach syciwa, którym nasycona jest papierowa izolacja kabla. W przypadku muf i głowic do kabli o izolacji papierowej na napięcie nie przekraczające 1 kV dopuszcza się stosowanie zalewy izolacyjnej bitumicznej wg E-16 .</w:t>
      </w:r>
    </w:p>
    <w:p w14:paraId="48B27656"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Izolatory i kadłuby głowic oraz kadłuby muf do kabla o izolacji z tworzyw sztucznych powinny być wypełnione zalewą izolacyjną nie działającą szkodliwie na izolację i inne elementy tych kabli. Mufy przelotowe kabli olejowych umieszczone bezpośrednio w gruncie powinny mieć osłonę otaczającą wykonaną z materiałów niepalnych, np. z cegieł wg BN-64/6791-02, połączonych zaprawą cementowo-wapienną wg PN-65/B-1450 i wykonaną zgodnie z dokumentacją projektową.</w:t>
      </w:r>
    </w:p>
    <w:p w14:paraId="01729A69" w14:textId="77777777" w:rsidR="00C9677E" w:rsidRPr="00A23FB4" w:rsidRDefault="00C9677E" w:rsidP="00C9677E">
      <w:pPr>
        <w:pStyle w:val="Nagwek4"/>
        <w:rPr>
          <w:rFonts w:asciiTheme="minorHAnsi" w:hAnsiTheme="minorHAnsi"/>
        </w:rPr>
      </w:pPr>
      <w:r w:rsidRPr="00A23FB4">
        <w:rPr>
          <w:rFonts w:asciiTheme="minorHAnsi" w:hAnsiTheme="minorHAnsi"/>
        </w:rPr>
        <w:t>5.9. Wykonanie połączeń powłok, pancerzy i żył kabli</w:t>
      </w:r>
    </w:p>
    <w:p w14:paraId="249A6777"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Własności elektryczne połączeń powinny być zgodne z normą PN-74/E-06401. Przewodność połączenia metalowych powłok kabli lub pancerzy powinna być nie mniejsza niż przewodność łączonych powłok lub pancerzy. W przypadku łączenia aluminiowych powłok kabli dopuszcza się przewodność połączenia nie mniejszą niż 0,7 przewodności powłoki.</w:t>
      </w:r>
    </w:p>
    <w:p w14:paraId="52801859"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Metalowe powłoki kabli oraz pancerze powinny być połączone metalicznie ze sobą oraz z metalowymi kadłubami muf przelotowych i głowic. Połączenia powłok aluminiowych ze sobą i kadłubem mufy należy wykonywać wewnątrz mufy przy użyciu przewodów aluminiowych o przekroju nie mniejszym niż 10 mm</w:t>
      </w:r>
      <w:r w:rsidRPr="00A23FB4">
        <w:rPr>
          <w:rFonts w:asciiTheme="minorHAnsi" w:hAnsiTheme="minorHAnsi" w:cstheme="minorHAnsi"/>
          <w:vertAlign w:val="superscript"/>
        </w:rPr>
        <w:t>2</w:t>
      </w:r>
      <w:r w:rsidRPr="00A23FB4">
        <w:rPr>
          <w:rFonts w:asciiTheme="minorHAnsi" w:hAnsiTheme="minorHAnsi" w:cstheme="minorHAnsi"/>
        </w:rPr>
        <w:t>. Połączenia ze  sobą powłok, żył powrotnych i pancerzy kabli z materiałów innych niż aluminium należy wykonać przewodami miedzianymi o przekroju nie mniejszym niż 6 mm</w:t>
      </w:r>
      <w:r w:rsidRPr="00A23FB4">
        <w:rPr>
          <w:rFonts w:asciiTheme="minorHAnsi" w:hAnsiTheme="minorHAnsi" w:cstheme="minorHAnsi"/>
          <w:vertAlign w:val="superscript"/>
        </w:rPr>
        <w:t>2</w:t>
      </w:r>
      <w:r w:rsidRPr="00A23FB4">
        <w:rPr>
          <w:rFonts w:asciiTheme="minorHAnsi" w:hAnsiTheme="minorHAnsi" w:cstheme="minorHAnsi"/>
        </w:rPr>
        <w:t>.</w:t>
      </w:r>
    </w:p>
    <w:p w14:paraId="1732E4B1"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Połączenia powinny być wykonywane przez lutowanie lub spawanie. W przypadku muf  z wkładkami metalowymi przylutowanymi do metalowych powłok obu łączonych odcinków kabli, nie wymaga się dodatkowego łączenia powłok przy użyciu oddzielnych przewodów.</w:t>
      </w:r>
    </w:p>
    <w:p w14:paraId="167C07B6" w14:textId="77777777" w:rsidR="00C9677E" w:rsidRPr="00A23FB4" w:rsidRDefault="00C9677E" w:rsidP="00C9677E">
      <w:pPr>
        <w:pStyle w:val="Nagwek4"/>
        <w:rPr>
          <w:rFonts w:asciiTheme="minorHAnsi" w:hAnsiTheme="minorHAnsi"/>
        </w:rPr>
      </w:pPr>
      <w:r w:rsidRPr="00A23FB4">
        <w:rPr>
          <w:rFonts w:asciiTheme="minorHAnsi" w:hAnsiTheme="minorHAnsi"/>
        </w:rPr>
        <w:t>5.10. Układanie przepustów kablowych</w:t>
      </w:r>
    </w:p>
    <w:p w14:paraId="2F408771"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Przepusty kablowe należy wykonywać z rur stalowych lub z PCW o średnicy wewnętrznej nie mniejszej niż 100 mm dla kabli do 1 kV i 150 mm dla kabli powyżej 1 kV.</w:t>
      </w:r>
    </w:p>
    <w:p w14:paraId="5998C7FA"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Przepusty kablowe należy układać w miejscach, gdzie kabel narażony jest na uszkodzenia mechaniczne. W jednym przepuście powinien być ułożony tylko jeden kabel; nie dotyczy to kabli jednożyłowych tworzących układ wielofazowy i kabli sygnalizacyjnych.</w:t>
      </w:r>
    </w:p>
    <w:p w14:paraId="553C9810"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 xml:space="preserve"> Głębokość umieszczenia przepustów kablowych w gruncie, mierzona od powierzchni terenu do górnej powierzchni rury, powinna wynosić co najmniej 70 cm - w terenie bez nawierzchni i 100 cm od nawierzchni drogi (niwelety) przeznaczonej do ruchu kołowego.</w:t>
      </w:r>
    </w:p>
    <w:p w14:paraId="10A27A47"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Minimalna głębokość umieszczenia przepustu kablowego pod jezdnią drogi może być zwiększona, gdyż powinna wynikać z warunków określonych przez zarząd drogowy dla danego odcinka drogi.</w:t>
      </w:r>
    </w:p>
    <w:p w14:paraId="4439AED0"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W miejscach skrzyżowań z drogami istniejącymi o konstrukcji nierozbieralnej, przepusty powinny być wykonywane metodą wiercenia poziomego, przewidując przepusty rezerwowe dla umożliwienia ułożenia kabli dodatkowych lub wymiany kabli uszkodzonych bez rozkopywania dróg.</w:t>
      </w:r>
    </w:p>
    <w:p w14:paraId="73F4442A"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Miejsca wprowadzenia kabli do rur powinny być uszczelnione nasmołowanymi szmatami, sznurami lub pakułami, uniemożliwiającymi przedostawanie się do ich wnętrza wody i przed ich zamuleniem.</w:t>
      </w:r>
    </w:p>
    <w:p w14:paraId="7CE800F5" w14:textId="77777777" w:rsidR="00C9677E" w:rsidRPr="00A23FB4" w:rsidRDefault="00C9677E" w:rsidP="00C9677E">
      <w:pPr>
        <w:pStyle w:val="Nagwek4"/>
        <w:rPr>
          <w:rFonts w:asciiTheme="minorHAnsi" w:hAnsiTheme="minorHAnsi"/>
        </w:rPr>
      </w:pPr>
      <w:r w:rsidRPr="00A23FB4">
        <w:rPr>
          <w:rFonts w:asciiTheme="minorHAnsi" w:hAnsiTheme="minorHAnsi"/>
        </w:rPr>
        <w:t>5.11. Ochrona przeciwporażeniowa</w:t>
      </w:r>
    </w:p>
    <w:p w14:paraId="6B79A106"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Metalowe głowice kabli powinny być połączone z uziemieniami w sposób widoczny. Powłoki aluminiowe kabli mogą być bezpośrednio połączone w rozdzielni z szyną zerową lub uziemiającą.</w:t>
      </w:r>
    </w:p>
    <w:p w14:paraId="34236448"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Pancerze i powłoki metalowe kabli oraz metalowe kadłuby muf powinny stanowić nieprzerwany ciąg przewodzący linii kablowej.</w:t>
      </w:r>
    </w:p>
    <w:p w14:paraId="4CCAF6CC" w14:textId="77777777" w:rsidR="00C9677E" w:rsidRPr="00A23FB4" w:rsidRDefault="00C9677E" w:rsidP="00C9677E">
      <w:pPr>
        <w:pStyle w:val="Nagwek4"/>
        <w:rPr>
          <w:rFonts w:asciiTheme="minorHAnsi" w:hAnsiTheme="minorHAnsi"/>
        </w:rPr>
      </w:pPr>
      <w:r w:rsidRPr="00A23FB4">
        <w:rPr>
          <w:rFonts w:asciiTheme="minorHAnsi" w:hAnsiTheme="minorHAnsi"/>
        </w:rPr>
        <w:t>5.12. Oznaczenie linii kablowych</w:t>
      </w:r>
    </w:p>
    <w:p w14:paraId="216AC561"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Kable ułożone w gruncie powinny być zaopatrzone na całej długości w trwałe oznaczniki (np. opaski kablowe typu OK.]) rozmieszczone w odstępach nie większych niż 10 m oraz przy mufach i miejscach charakterystycznych, np. przy skrzyżowaniach.</w:t>
      </w:r>
    </w:p>
    <w:p w14:paraId="1822E8D7"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Kable ułożone w powietrzu powinny być zaopatrzone w trwałe oznaczniki przy głowicach oraz w takich miejscach i w takich odstępach, aby rozróżnienie kabla nie nastręczało trudności.</w:t>
      </w:r>
    </w:p>
    <w:p w14:paraId="0E4B4857"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Na oznacznikach powinny znajdować się trwałe napisy zawierające:</w:t>
      </w:r>
    </w:p>
    <w:p w14:paraId="7922E8F9" w14:textId="77777777" w:rsidR="00C9677E" w:rsidRPr="00A23FB4" w:rsidRDefault="00C9677E" w:rsidP="00262498">
      <w:pPr>
        <w:numPr>
          <w:ilvl w:val="0"/>
          <w:numId w:val="35"/>
        </w:numPr>
        <w:rPr>
          <w:rFonts w:asciiTheme="minorHAnsi" w:hAnsiTheme="minorHAnsi" w:cstheme="minorHAnsi"/>
        </w:rPr>
      </w:pPr>
      <w:r w:rsidRPr="00A23FB4">
        <w:rPr>
          <w:rFonts w:asciiTheme="minorHAnsi" w:hAnsiTheme="minorHAnsi" w:cstheme="minorHAnsi"/>
        </w:rPr>
        <w:t>symbol i numer ewidencyjny linii,</w:t>
      </w:r>
    </w:p>
    <w:p w14:paraId="4B50A193" w14:textId="77777777" w:rsidR="00C9677E" w:rsidRPr="00A23FB4" w:rsidRDefault="00C9677E" w:rsidP="00262498">
      <w:pPr>
        <w:numPr>
          <w:ilvl w:val="0"/>
          <w:numId w:val="35"/>
        </w:numPr>
        <w:rPr>
          <w:rFonts w:asciiTheme="minorHAnsi" w:hAnsiTheme="minorHAnsi" w:cstheme="minorHAnsi"/>
        </w:rPr>
      </w:pPr>
      <w:r w:rsidRPr="00A23FB4">
        <w:rPr>
          <w:rFonts w:asciiTheme="minorHAnsi" w:hAnsiTheme="minorHAnsi" w:cstheme="minorHAnsi"/>
        </w:rPr>
        <w:t>oznaczenie kabla,</w:t>
      </w:r>
    </w:p>
    <w:p w14:paraId="6F536DD3" w14:textId="77777777" w:rsidR="00C9677E" w:rsidRPr="00A23FB4" w:rsidRDefault="00C9677E" w:rsidP="00262498">
      <w:pPr>
        <w:numPr>
          <w:ilvl w:val="0"/>
          <w:numId w:val="35"/>
        </w:numPr>
        <w:rPr>
          <w:rFonts w:asciiTheme="minorHAnsi" w:hAnsiTheme="minorHAnsi" w:cstheme="minorHAnsi"/>
        </w:rPr>
      </w:pPr>
      <w:r w:rsidRPr="00A23FB4">
        <w:rPr>
          <w:rFonts w:asciiTheme="minorHAnsi" w:hAnsiTheme="minorHAnsi" w:cstheme="minorHAnsi"/>
        </w:rPr>
        <w:t>znak użytkownika kabla,</w:t>
      </w:r>
    </w:p>
    <w:p w14:paraId="6EA9274B" w14:textId="77777777" w:rsidR="00C9677E" w:rsidRPr="00A23FB4" w:rsidRDefault="00C9677E" w:rsidP="00262498">
      <w:pPr>
        <w:numPr>
          <w:ilvl w:val="0"/>
          <w:numId w:val="35"/>
        </w:numPr>
        <w:rPr>
          <w:rFonts w:asciiTheme="minorHAnsi" w:hAnsiTheme="minorHAnsi" w:cstheme="minorHAnsi"/>
        </w:rPr>
      </w:pPr>
      <w:r w:rsidRPr="00A23FB4">
        <w:rPr>
          <w:rFonts w:asciiTheme="minorHAnsi" w:hAnsiTheme="minorHAnsi" w:cstheme="minorHAnsi"/>
        </w:rPr>
        <w:t>znak fazy (przy kablach jednożyłowych),</w:t>
      </w:r>
    </w:p>
    <w:p w14:paraId="6A555AF6" w14:textId="77777777" w:rsidR="00C9677E" w:rsidRPr="00A23FB4" w:rsidRDefault="00C9677E" w:rsidP="00262498">
      <w:pPr>
        <w:numPr>
          <w:ilvl w:val="0"/>
          <w:numId w:val="35"/>
        </w:numPr>
        <w:rPr>
          <w:rFonts w:asciiTheme="minorHAnsi" w:hAnsiTheme="minorHAnsi" w:cstheme="minorHAnsi"/>
        </w:rPr>
      </w:pPr>
      <w:r w:rsidRPr="00A23FB4">
        <w:rPr>
          <w:rFonts w:asciiTheme="minorHAnsi" w:hAnsiTheme="minorHAnsi" w:cstheme="minorHAnsi"/>
        </w:rPr>
        <w:t>rok ułożenia kabla.</w:t>
      </w:r>
    </w:p>
    <w:p w14:paraId="678F6CCD"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Trasa kabli ułożonych w gruncie na terenach niezabudowanych z dala od charakterystycznych stałych punktów terenu, powinna być oznaczona trwałymi oznacznikami trasy, np. słupkami betonowymi typu SD [19] wkopanymi w grunt, w sposób nie utrudniający komunikacji. Na oznacznikach trasy należy umieścić trwały napis w postaci ogólnego symbolu kabla „K”. Na prostej trasie kabla oznaczniki powinny być umieszczone w odstępach około 100 m, ponadto należy je umieszczać w miejscach zmiany kierunku kabla i w miejscach skrzyżowań lub zbliżeń.</w:t>
      </w:r>
    </w:p>
    <w:p w14:paraId="044DE1B9"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Oznaczniki trasy kabli układanych w gruncie na użytkach rolnych należy umieszczać tak, aby nie utrudniały prac rolnych i stosować takie oznaczniki, które umożliwią łatwe i jednoznaczne określenie przebiegu trasy kabla.</w:t>
      </w:r>
    </w:p>
    <w:p w14:paraId="3AD9233D" w14:textId="77777777" w:rsidR="00C9677E" w:rsidRPr="00A23FB4" w:rsidRDefault="00C9677E" w:rsidP="00C9677E">
      <w:pPr>
        <w:pStyle w:val="Nagwek3"/>
        <w:rPr>
          <w:rFonts w:asciiTheme="minorHAnsi" w:hAnsiTheme="minorHAnsi"/>
        </w:rPr>
      </w:pPr>
      <w:bookmarkStart w:id="64" w:name="_Toc466861806"/>
      <w:r w:rsidRPr="00A23FB4">
        <w:rPr>
          <w:rFonts w:asciiTheme="minorHAnsi" w:hAnsiTheme="minorHAnsi"/>
        </w:rPr>
        <w:t>6. KONTROLA JAKOŚCI ROBÓT</w:t>
      </w:r>
      <w:bookmarkEnd w:id="64"/>
    </w:p>
    <w:p w14:paraId="3729BB5E" w14:textId="77777777" w:rsidR="00C9677E" w:rsidRPr="00A23FB4" w:rsidRDefault="00C9677E" w:rsidP="00C9677E">
      <w:pPr>
        <w:pStyle w:val="Nagwek4"/>
        <w:rPr>
          <w:rFonts w:asciiTheme="minorHAnsi" w:hAnsiTheme="minorHAnsi"/>
        </w:rPr>
      </w:pPr>
      <w:r w:rsidRPr="00A23FB4">
        <w:rPr>
          <w:rFonts w:asciiTheme="minorHAnsi" w:hAnsiTheme="minorHAnsi"/>
        </w:rPr>
        <w:t>6.1. Ogólne zasady kontroli jakości robót</w:t>
      </w:r>
    </w:p>
    <w:p w14:paraId="5705E7AE" w14:textId="39BBE9B4" w:rsidR="00C9677E" w:rsidRPr="00A23FB4" w:rsidRDefault="00C9677E" w:rsidP="00C9677E">
      <w:pPr>
        <w:rPr>
          <w:rFonts w:asciiTheme="minorHAnsi" w:hAnsiTheme="minorHAnsi" w:cstheme="minorHAnsi"/>
        </w:rPr>
      </w:pPr>
      <w:r w:rsidRPr="00A23FB4">
        <w:rPr>
          <w:rFonts w:asciiTheme="minorHAnsi" w:hAnsiTheme="minorHAnsi" w:cstheme="minorHAnsi"/>
        </w:rPr>
        <w:t xml:space="preserve">Ogólne zasady kontroli jakości robót podano w </w:t>
      </w:r>
      <w:r w:rsidR="00353527">
        <w:rPr>
          <w:rFonts w:asciiTheme="minorHAnsi" w:hAnsiTheme="minorHAnsi" w:cstheme="minorHAnsi"/>
        </w:rPr>
        <w:t>ST</w:t>
      </w:r>
      <w:r w:rsidRPr="00A23FB4">
        <w:rPr>
          <w:rFonts w:asciiTheme="minorHAnsi" w:hAnsiTheme="minorHAnsi" w:cstheme="minorHAnsi"/>
        </w:rPr>
        <w:t>WiORB D-M-00.00.00 „Wymagania ogólne”.</w:t>
      </w:r>
    </w:p>
    <w:p w14:paraId="1895D295"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Celem kontroli jest stwierdzenie osiągnięcia założonej jakości wykonywanych robót przy przebudowie linii kablowej..</w:t>
      </w:r>
    </w:p>
    <w:p w14:paraId="46BC65D6"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Wykonawca ma obowiązek wykonania pełnego zakresu badań na budowie w celu wskazania Inżynierowi zgodności dostarczonych materiałów i realizowanych robót z dokumentacją projektową,</w:t>
      </w:r>
      <w:r w:rsidR="00824125" w:rsidRPr="00A23FB4">
        <w:rPr>
          <w:rFonts w:asciiTheme="minorHAnsi" w:hAnsiTheme="minorHAnsi" w:cstheme="minorHAnsi"/>
        </w:rPr>
        <w:t>wytycznymi</w:t>
      </w:r>
      <w:r w:rsidRPr="00A23FB4">
        <w:rPr>
          <w:rFonts w:asciiTheme="minorHAnsi" w:hAnsiTheme="minorHAnsi" w:cstheme="minorHAnsi"/>
        </w:rPr>
        <w:t xml:space="preserve"> i PZJ.</w:t>
      </w:r>
    </w:p>
    <w:p w14:paraId="449B9610"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Materiały posiadające atest producenta stwierdzający ich pełną zgodność z warunkami podanymi w specyfikacjach, mogą być przez Inżyniera dopuszczone do użycia bez badań.</w:t>
      </w:r>
    </w:p>
    <w:p w14:paraId="1FD8BD0E"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Przed przystąpieniem do badania, Wykonawca powinien powiadomić Inżyniera o rodzaju i terminie badania.</w:t>
      </w:r>
    </w:p>
    <w:p w14:paraId="58D98260"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Po wykonaniu badania, Wykonawca przedstawia na piśmie wyniki badań do akceptacji Inżyniera.</w:t>
      </w:r>
    </w:p>
    <w:p w14:paraId="2B6B70DF"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Wykonawca powiadamia pisemnie Inżyniera o zakończeniu każdej roboty zanikającej, którą może kontynuować dopiero po stwierdzeniu przez Inżyniera i ewentualnie przedstawiciela, odpowiedniego dla danego terenu Zakładu Energetycznego - założonej jakości.</w:t>
      </w:r>
    </w:p>
    <w:p w14:paraId="53D5E63D" w14:textId="77777777" w:rsidR="00C9677E" w:rsidRPr="00A23FB4" w:rsidRDefault="00C9677E" w:rsidP="00C9677E">
      <w:pPr>
        <w:pStyle w:val="Nagwek4"/>
        <w:rPr>
          <w:rFonts w:asciiTheme="minorHAnsi" w:hAnsiTheme="minorHAnsi"/>
        </w:rPr>
      </w:pPr>
      <w:r w:rsidRPr="00A23FB4">
        <w:rPr>
          <w:rFonts w:asciiTheme="minorHAnsi" w:hAnsiTheme="minorHAnsi"/>
        </w:rPr>
        <w:t>6.2. Badania przed przystąpieniem do robót</w:t>
      </w:r>
    </w:p>
    <w:p w14:paraId="4FEE9A16"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Przed przystąpieniem do robót, Wykonawca powinien uzyskać od producentów zaświadczenia o jakości lub atesty stosowanych materiałów.</w:t>
      </w:r>
    </w:p>
    <w:p w14:paraId="0F9A155D"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Na żądanie Inżyniera, należy dokonać testowania sprzętu posiadającego możliwość nastawienia mechanizmów regulacyjnych.</w:t>
      </w:r>
    </w:p>
    <w:p w14:paraId="25323C52"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W wyniku badań testujących należy przedstawić Inżynierowi świadectwa cechowania.</w:t>
      </w:r>
    </w:p>
    <w:p w14:paraId="1340DDB9" w14:textId="77777777" w:rsidR="00C9677E" w:rsidRPr="00A23FB4" w:rsidRDefault="00C9677E" w:rsidP="00C9677E">
      <w:pPr>
        <w:pStyle w:val="Nagwek4"/>
        <w:rPr>
          <w:rFonts w:asciiTheme="minorHAnsi" w:hAnsiTheme="minorHAnsi"/>
        </w:rPr>
      </w:pPr>
      <w:r w:rsidRPr="00A23FB4">
        <w:rPr>
          <w:rFonts w:asciiTheme="minorHAnsi" w:hAnsiTheme="minorHAnsi"/>
        </w:rPr>
        <w:t>6.3. Badania w czasie wykonywania robót</w:t>
      </w:r>
    </w:p>
    <w:p w14:paraId="3A86C412" w14:textId="77777777" w:rsidR="00C9677E" w:rsidRPr="00A23FB4" w:rsidRDefault="00C9677E" w:rsidP="00262498">
      <w:pPr>
        <w:keepNext/>
        <w:numPr>
          <w:ilvl w:val="0"/>
          <w:numId w:val="45"/>
        </w:numPr>
        <w:spacing w:after="120"/>
        <w:ind w:left="284" w:hanging="284"/>
        <w:rPr>
          <w:rFonts w:asciiTheme="minorHAnsi" w:hAnsiTheme="minorHAnsi" w:cstheme="minorHAnsi"/>
        </w:rPr>
      </w:pPr>
      <w:r w:rsidRPr="00A23FB4">
        <w:rPr>
          <w:rFonts w:asciiTheme="minorHAnsi" w:hAnsiTheme="minorHAnsi" w:cstheme="minorHAnsi"/>
        </w:rPr>
        <w:t>Rowy pod kable</w:t>
      </w:r>
    </w:p>
    <w:p w14:paraId="5F1CB36A"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Po wykonaniu rowów pod kable, sprawdzeniu podlegają wymiary poprzeczne rowu i zgodność ich tras z dokumentacją geodezyjną.</w:t>
      </w:r>
    </w:p>
    <w:p w14:paraId="6B1BD148"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Odchyłka trasy rowu od wytyczenia geodezyjnego nie powinna przekraczać 0,5 m.</w:t>
      </w:r>
    </w:p>
    <w:p w14:paraId="2538A6F4" w14:textId="77777777" w:rsidR="00C9677E" w:rsidRPr="00A23FB4" w:rsidRDefault="00C9677E" w:rsidP="00262498">
      <w:pPr>
        <w:numPr>
          <w:ilvl w:val="0"/>
          <w:numId w:val="46"/>
        </w:numPr>
        <w:spacing w:before="120" w:after="120"/>
        <w:ind w:left="284" w:hanging="284"/>
        <w:rPr>
          <w:rFonts w:asciiTheme="minorHAnsi" w:hAnsiTheme="minorHAnsi" w:cstheme="minorHAnsi"/>
        </w:rPr>
      </w:pPr>
      <w:r w:rsidRPr="00A23FB4">
        <w:rPr>
          <w:rFonts w:asciiTheme="minorHAnsi" w:hAnsiTheme="minorHAnsi" w:cstheme="minorHAnsi"/>
        </w:rPr>
        <w:t>Kable i osprzęt kablowy</w:t>
      </w:r>
    </w:p>
    <w:p w14:paraId="0969926B"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Sprawdzenie polega na stwierdzeniu ich zgodności z wymaganiami norm przedmiotowych lub dokumentów, według których zostały wykonane, na podstawie atestów, protokółów odbioru albo innych dokumentów.</w:t>
      </w:r>
    </w:p>
    <w:p w14:paraId="3222DA0E" w14:textId="77777777" w:rsidR="00C9677E" w:rsidRPr="00A23FB4" w:rsidRDefault="00C9677E" w:rsidP="00262498">
      <w:pPr>
        <w:numPr>
          <w:ilvl w:val="0"/>
          <w:numId w:val="47"/>
        </w:numPr>
        <w:spacing w:before="120" w:after="120"/>
        <w:ind w:left="284" w:hanging="284"/>
        <w:rPr>
          <w:rFonts w:asciiTheme="minorHAnsi" w:hAnsiTheme="minorHAnsi" w:cstheme="minorHAnsi"/>
        </w:rPr>
      </w:pPr>
      <w:r w:rsidRPr="00A23FB4">
        <w:rPr>
          <w:rFonts w:asciiTheme="minorHAnsi" w:hAnsiTheme="minorHAnsi" w:cstheme="minorHAnsi"/>
        </w:rPr>
        <w:t>Układanie kabli</w:t>
      </w:r>
    </w:p>
    <w:p w14:paraId="7E1413FD"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W czasie wykonywania i po zakończeniu robót kablowych należy przeprowadzić następujące pomiary:</w:t>
      </w:r>
    </w:p>
    <w:p w14:paraId="634FC6FF" w14:textId="77777777" w:rsidR="00C9677E" w:rsidRPr="00A23FB4" w:rsidRDefault="00C9677E" w:rsidP="00262498">
      <w:pPr>
        <w:numPr>
          <w:ilvl w:val="0"/>
          <w:numId w:val="35"/>
        </w:numPr>
        <w:rPr>
          <w:rFonts w:asciiTheme="minorHAnsi" w:hAnsiTheme="minorHAnsi" w:cstheme="minorHAnsi"/>
        </w:rPr>
      </w:pPr>
      <w:r w:rsidRPr="00A23FB4">
        <w:rPr>
          <w:rFonts w:asciiTheme="minorHAnsi" w:hAnsiTheme="minorHAnsi" w:cstheme="minorHAnsi"/>
        </w:rPr>
        <w:t>głębokości zakopania kabla,</w:t>
      </w:r>
    </w:p>
    <w:p w14:paraId="069208AB" w14:textId="77777777" w:rsidR="00C9677E" w:rsidRPr="00A23FB4" w:rsidRDefault="00C9677E" w:rsidP="00262498">
      <w:pPr>
        <w:numPr>
          <w:ilvl w:val="0"/>
          <w:numId w:val="35"/>
        </w:numPr>
        <w:rPr>
          <w:rFonts w:asciiTheme="minorHAnsi" w:hAnsiTheme="minorHAnsi" w:cstheme="minorHAnsi"/>
        </w:rPr>
      </w:pPr>
      <w:r w:rsidRPr="00A23FB4">
        <w:rPr>
          <w:rFonts w:asciiTheme="minorHAnsi" w:hAnsiTheme="minorHAnsi" w:cstheme="minorHAnsi"/>
        </w:rPr>
        <w:t>grubości podsypki piaskowej nad i pod kablem,</w:t>
      </w:r>
    </w:p>
    <w:p w14:paraId="2B634E68" w14:textId="77777777" w:rsidR="00C9677E" w:rsidRPr="00A23FB4" w:rsidRDefault="00C9677E" w:rsidP="00262498">
      <w:pPr>
        <w:numPr>
          <w:ilvl w:val="0"/>
          <w:numId w:val="35"/>
        </w:numPr>
        <w:rPr>
          <w:rFonts w:asciiTheme="minorHAnsi" w:hAnsiTheme="minorHAnsi" w:cstheme="minorHAnsi"/>
        </w:rPr>
      </w:pPr>
      <w:r w:rsidRPr="00A23FB4">
        <w:rPr>
          <w:rFonts w:asciiTheme="minorHAnsi" w:hAnsiTheme="minorHAnsi" w:cstheme="minorHAnsi"/>
        </w:rPr>
        <w:t>odległości folii ochronnej od kabla,</w:t>
      </w:r>
    </w:p>
    <w:p w14:paraId="1BC3ADCC" w14:textId="77777777" w:rsidR="00C9677E" w:rsidRPr="00A23FB4" w:rsidRDefault="00C9677E" w:rsidP="00262498">
      <w:pPr>
        <w:numPr>
          <w:ilvl w:val="0"/>
          <w:numId w:val="35"/>
        </w:numPr>
        <w:rPr>
          <w:rFonts w:asciiTheme="minorHAnsi" w:hAnsiTheme="minorHAnsi" w:cstheme="minorHAnsi"/>
        </w:rPr>
      </w:pPr>
      <w:r w:rsidRPr="00A23FB4">
        <w:rPr>
          <w:rFonts w:asciiTheme="minorHAnsi" w:hAnsiTheme="minorHAnsi" w:cstheme="minorHAnsi"/>
        </w:rPr>
        <w:t>stopnia zagęszczenia gruntu nad kablem i rozplantowanie nadmiaru gruntu.</w:t>
      </w:r>
    </w:p>
    <w:p w14:paraId="3CEF1F8F"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Pomiary należy wykonywać co 10 m budowanej linii kablowej, a uzyskane wyniki mogą być uznane za dobre, jeżeli odbiegają od założonych w dokumentacji nie więcej niż o 10%.</w:t>
      </w:r>
    </w:p>
    <w:p w14:paraId="3C9A907C" w14:textId="77777777" w:rsidR="00C9677E" w:rsidRPr="00A23FB4" w:rsidRDefault="00C9677E" w:rsidP="00262498">
      <w:pPr>
        <w:numPr>
          <w:ilvl w:val="0"/>
          <w:numId w:val="48"/>
        </w:numPr>
        <w:spacing w:before="120" w:after="120"/>
        <w:ind w:left="284" w:hanging="284"/>
        <w:rPr>
          <w:rFonts w:asciiTheme="minorHAnsi" w:hAnsiTheme="minorHAnsi" w:cstheme="minorHAnsi"/>
        </w:rPr>
      </w:pPr>
      <w:r w:rsidRPr="00A23FB4">
        <w:rPr>
          <w:rFonts w:asciiTheme="minorHAnsi" w:hAnsiTheme="minorHAnsi" w:cstheme="minorHAnsi"/>
        </w:rPr>
        <w:t>Sprawdzenie ciągłości żył</w:t>
      </w:r>
    </w:p>
    <w:p w14:paraId="10A5AF3B"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Sprawdzenie ciągłości żył roboczych i powrotnych oraz zgodności faz należy wykonać przy użyciu przyrządów o napięciu nie przekraczającym 24 V. Wynik sprawdzenia należy uznać za dodatni, jeżeli poszczególne żyły nie mają przerw oraz jeśli poszczególne fazy na obu końcach linii są oznaczone identycznie.</w:t>
      </w:r>
    </w:p>
    <w:p w14:paraId="3F40172B" w14:textId="77777777" w:rsidR="00C9677E" w:rsidRPr="00A23FB4" w:rsidRDefault="00C9677E" w:rsidP="00262498">
      <w:pPr>
        <w:numPr>
          <w:ilvl w:val="0"/>
          <w:numId w:val="49"/>
        </w:numPr>
        <w:spacing w:before="120" w:after="120"/>
        <w:ind w:left="284" w:hanging="284"/>
        <w:rPr>
          <w:rFonts w:asciiTheme="minorHAnsi" w:hAnsiTheme="minorHAnsi" w:cstheme="minorHAnsi"/>
        </w:rPr>
      </w:pPr>
      <w:r w:rsidRPr="00A23FB4">
        <w:rPr>
          <w:rFonts w:asciiTheme="minorHAnsi" w:hAnsiTheme="minorHAnsi" w:cstheme="minorHAnsi"/>
        </w:rPr>
        <w:t>Pomiar rezystancji izolacji</w:t>
      </w:r>
    </w:p>
    <w:p w14:paraId="18C590F5"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Pomiar należy wykonać za pomocą megaomomierza o napięciu nie mniejszym niż 2,5 kV, dokonując odczytu po czasie niezbędnym do ustalenia się mierzonej wartości. Wynik należy uznać za dodatni, jeżeli rezystancja izolacji wynosi co najmniej:</w:t>
      </w:r>
    </w:p>
    <w:p w14:paraId="6E56D3A7" w14:textId="77777777" w:rsidR="00C9677E" w:rsidRPr="00A23FB4" w:rsidRDefault="00C9677E" w:rsidP="00262498">
      <w:pPr>
        <w:numPr>
          <w:ilvl w:val="0"/>
          <w:numId w:val="35"/>
        </w:numPr>
        <w:rPr>
          <w:rFonts w:asciiTheme="minorHAnsi" w:hAnsiTheme="minorHAnsi" w:cstheme="minorHAnsi"/>
        </w:rPr>
      </w:pPr>
      <w:r w:rsidRPr="00A23FB4">
        <w:rPr>
          <w:rFonts w:asciiTheme="minorHAnsi" w:hAnsiTheme="minorHAnsi" w:cstheme="minorHAnsi"/>
        </w:rPr>
        <w:t>20 M</w:t>
      </w:r>
      <w:r w:rsidRPr="00A23FB4">
        <w:rPr>
          <w:rFonts w:asciiTheme="minorHAnsi" w:hAnsiTheme="minorHAnsi" w:cstheme="minorHAnsi"/>
        </w:rPr>
        <w:sym w:font="Symbol" w:char="F057"/>
      </w:r>
      <w:r w:rsidRPr="00A23FB4">
        <w:rPr>
          <w:rFonts w:asciiTheme="minorHAnsi" w:hAnsiTheme="minorHAnsi" w:cstheme="minorHAnsi"/>
        </w:rPr>
        <w:t>/km - linii wykonanych kablami elektroenergetycznymi o izolacji z papieru nasyconego, o napięciu znamionowym do 1 kV,</w:t>
      </w:r>
    </w:p>
    <w:p w14:paraId="1402A6E8" w14:textId="77777777" w:rsidR="00C9677E" w:rsidRPr="00A23FB4" w:rsidRDefault="00C9677E" w:rsidP="00262498">
      <w:pPr>
        <w:numPr>
          <w:ilvl w:val="0"/>
          <w:numId w:val="35"/>
        </w:numPr>
        <w:rPr>
          <w:rFonts w:asciiTheme="minorHAnsi" w:hAnsiTheme="minorHAnsi" w:cstheme="minorHAnsi"/>
        </w:rPr>
      </w:pPr>
      <w:r w:rsidRPr="00A23FB4">
        <w:rPr>
          <w:rFonts w:asciiTheme="minorHAnsi" w:hAnsiTheme="minorHAnsi" w:cstheme="minorHAnsi"/>
        </w:rPr>
        <w:t>50 M</w:t>
      </w:r>
      <w:r w:rsidRPr="00A23FB4">
        <w:rPr>
          <w:rFonts w:asciiTheme="minorHAnsi" w:hAnsiTheme="minorHAnsi" w:cstheme="minorHAnsi"/>
        </w:rPr>
        <w:sym w:font="Symbol" w:char="F057"/>
      </w:r>
      <w:r w:rsidRPr="00A23FB4">
        <w:rPr>
          <w:rFonts w:asciiTheme="minorHAnsi" w:hAnsiTheme="minorHAnsi" w:cstheme="minorHAnsi"/>
        </w:rPr>
        <w:t>/km - linii wykonanych kablami elektroenergetycznymi o izolacji z papieru nasyconego, o napięciu znamionowym wyższym niż 1 kV oraz kablami elektroenergetycznymi o izolacji z tworzyw sztucznych,</w:t>
      </w:r>
    </w:p>
    <w:p w14:paraId="44C9C1DC" w14:textId="77777777" w:rsidR="00C9677E" w:rsidRPr="00A23FB4" w:rsidRDefault="00C9677E" w:rsidP="00262498">
      <w:pPr>
        <w:numPr>
          <w:ilvl w:val="0"/>
          <w:numId w:val="35"/>
        </w:numPr>
        <w:rPr>
          <w:rFonts w:asciiTheme="minorHAnsi" w:hAnsiTheme="minorHAnsi" w:cstheme="minorHAnsi"/>
        </w:rPr>
      </w:pPr>
      <w:r w:rsidRPr="00A23FB4">
        <w:rPr>
          <w:rFonts w:asciiTheme="minorHAnsi" w:hAnsiTheme="minorHAnsi" w:cstheme="minorHAnsi"/>
        </w:rPr>
        <w:t>0,75 dopuszczalnej wartości rezystancji izolacji kabli wykonanych wg PN-76/E-90300.</w:t>
      </w:r>
    </w:p>
    <w:p w14:paraId="0B1EFBE0" w14:textId="77777777" w:rsidR="00C9677E" w:rsidRPr="00A23FB4" w:rsidRDefault="00C9677E" w:rsidP="00C9677E">
      <w:pPr>
        <w:rPr>
          <w:rFonts w:asciiTheme="minorHAnsi" w:hAnsiTheme="minorHAnsi" w:cstheme="minorHAnsi"/>
        </w:rPr>
      </w:pPr>
    </w:p>
    <w:p w14:paraId="3EB189E1" w14:textId="77777777" w:rsidR="00C9677E" w:rsidRPr="00A23FB4" w:rsidRDefault="00C9677E" w:rsidP="00C9677E">
      <w:pPr>
        <w:rPr>
          <w:rFonts w:asciiTheme="minorHAnsi" w:hAnsiTheme="minorHAnsi" w:cstheme="minorHAnsi"/>
        </w:rPr>
      </w:pPr>
    </w:p>
    <w:p w14:paraId="3C035DD9" w14:textId="77777777" w:rsidR="00C9677E" w:rsidRPr="00A23FB4" w:rsidRDefault="00C9677E" w:rsidP="00262498">
      <w:pPr>
        <w:numPr>
          <w:ilvl w:val="0"/>
          <w:numId w:val="50"/>
        </w:numPr>
        <w:spacing w:after="120"/>
        <w:ind w:left="284" w:hanging="284"/>
        <w:rPr>
          <w:rFonts w:asciiTheme="minorHAnsi" w:hAnsiTheme="minorHAnsi" w:cstheme="minorHAnsi"/>
        </w:rPr>
      </w:pPr>
      <w:r w:rsidRPr="00A23FB4">
        <w:rPr>
          <w:rFonts w:asciiTheme="minorHAnsi" w:hAnsiTheme="minorHAnsi" w:cstheme="minorHAnsi"/>
        </w:rPr>
        <w:t>Próba napięciowa izolacji</w:t>
      </w:r>
    </w:p>
    <w:p w14:paraId="683410E4"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Próbie napięciowej izolacji podlegają wszystkie linie kablowe. Dopuszcza się niewykonywanie próby napięciowej izolacji linii wykonanych kablami o napięciu znamionowym do 1 kV. Próbę napięciową należy wykonać prądem stałym lub wyprostowanym.</w:t>
      </w:r>
    </w:p>
    <w:p w14:paraId="3078EA79"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W przypadku linii kablowej o napięciu znamionowym wyższym niż 1 kV, prąd upływu należy mierzyć oddzielnie dla każdej żyły.</w:t>
      </w:r>
    </w:p>
    <w:p w14:paraId="29C7F029"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Wynik próby napięciowej izolacji należy uznać za dodatni, jeżeli:</w:t>
      </w:r>
    </w:p>
    <w:p w14:paraId="76552451" w14:textId="77777777" w:rsidR="00C9677E" w:rsidRPr="00A23FB4" w:rsidRDefault="00C9677E" w:rsidP="00262498">
      <w:pPr>
        <w:numPr>
          <w:ilvl w:val="0"/>
          <w:numId w:val="35"/>
        </w:numPr>
        <w:rPr>
          <w:rFonts w:asciiTheme="minorHAnsi" w:hAnsiTheme="minorHAnsi" w:cstheme="minorHAnsi"/>
        </w:rPr>
      </w:pPr>
      <w:r w:rsidRPr="00A23FB4">
        <w:rPr>
          <w:rFonts w:asciiTheme="minorHAnsi" w:hAnsiTheme="minorHAnsi" w:cstheme="minorHAnsi"/>
        </w:rPr>
        <w:t>izolacja każdej żyły wytrzyma przez 20 min. bez przeskoku, przebicia i bez objawów przebicia częściowego, napięcie probiercze o wartości równej 0,75 napięcia probierczego kabla wg PN-76/E-90250 [4] i PN-76/E-90300 [6],</w:t>
      </w:r>
    </w:p>
    <w:p w14:paraId="3B5F25F2" w14:textId="77777777" w:rsidR="00C9677E" w:rsidRPr="00A23FB4" w:rsidRDefault="00C9677E" w:rsidP="00262498">
      <w:pPr>
        <w:numPr>
          <w:ilvl w:val="0"/>
          <w:numId w:val="35"/>
        </w:numPr>
        <w:rPr>
          <w:rFonts w:asciiTheme="minorHAnsi" w:hAnsiTheme="minorHAnsi" w:cstheme="minorHAnsi"/>
        </w:rPr>
      </w:pPr>
      <w:r w:rsidRPr="00A23FB4">
        <w:rPr>
          <w:rFonts w:asciiTheme="minorHAnsi" w:hAnsiTheme="minorHAnsi" w:cstheme="minorHAnsi"/>
        </w:rPr>
        <w:t xml:space="preserve">wartość prądu upływu dla poszczególnych żył nie przekroczy 300 </w:t>
      </w:r>
      <w:r w:rsidRPr="00A23FB4">
        <w:rPr>
          <w:rFonts w:asciiTheme="minorHAnsi" w:hAnsiTheme="minorHAnsi" w:cstheme="minorHAnsi"/>
        </w:rPr>
        <w:sym w:font="Symbol" w:char="F06D"/>
      </w:r>
      <w:r w:rsidRPr="00A23FB4">
        <w:rPr>
          <w:rFonts w:asciiTheme="minorHAnsi" w:hAnsiTheme="minorHAnsi" w:cstheme="minorHAnsi"/>
        </w:rPr>
        <w:t xml:space="preserve">A/km i nie wzrasta w czasie ostatnich 4 min. badania; w liniach o długości nie przekraczającej 300 m dopuszcza się wartość prądu upływu 100 </w:t>
      </w:r>
      <w:r w:rsidRPr="00A23FB4">
        <w:rPr>
          <w:rFonts w:asciiTheme="minorHAnsi" w:hAnsiTheme="minorHAnsi" w:cstheme="minorHAnsi"/>
        </w:rPr>
        <w:sym w:font="Symbol" w:char="F06D"/>
      </w:r>
      <w:r w:rsidRPr="00A23FB4">
        <w:rPr>
          <w:rFonts w:asciiTheme="minorHAnsi" w:hAnsiTheme="minorHAnsi" w:cstheme="minorHAnsi"/>
        </w:rPr>
        <w:t>A.</w:t>
      </w:r>
    </w:p>
    <w:p w14:paraId="4C3F8BC1" w14:textId="77777777" w:rsidR="00C9677E" w:rsidRPr="00A23FB4" w:rsidRDefault="00C9677E" w:rsidP="00C9677E">
      <w:pPr>
        <w:pStyle w:val="Nagwek4"/>
        <w:rPr>
          <w:rFonts w:asciiTheme="minorHAnsi" w:hAnsiTheme="minorHAnsi"/>
        </w:rPr>
      </w:pPr>
      <w:r w:rsidRPr="00A23FB4">
        <w:rPr>
          <w:rFonts w:asciiTheme="minorHAnsi" w:hAnsiTheme="minorHAnsi"/>
        </w:rPr>
        <w:t>6.4. Badania po wykonaniu robót</w:t>
      </w:r>
    </w:p>
    <w:p w14:paraId="3CE158F5"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W przypadku zadawalających wyników pomiarów i badań wykonanych przed i w czasie wykonywania robót, na wniosek Wykonawcy, Inżynier może wyrazić zgodę na niewykonywanie badań po wykonaniu robót.</w:t>
      </w:r>
    </w:p>
    <w:p w14:paraId="2C1E93C9" w14:textId="77777777" w:rsidR="00C9677E" w:rsidRPr="00A23FB4" w:rsidRDefault="00C9677E" w:rsidP="00C9677E">
      <w:pPr>
        <w:pStyle w:val="Nagwek3"/>
        <w:rPr>
          <w:rFonts w:asciiTheme="minorHAnsi" w:hAnsiTheme="minorHAnsi"/>
        </w:rPr>
      </w:pPr>
      <w:bookmarkStart w:id="65" w:name="_Toc466861807"/>
      <w:r w:rsidRPr="00A23FB4">
        <w:rPr>
          <w:rFonts w:asciiTheme="minorHAnsi" w:hAnsiTheme="minorHAnsi"/>
        </w:rPr>
        <w:t>7. OBMIAR ROBÓT</w:t>
      </w:r>
      <w:bookmarkEnd w:id="65"/>
    </w:p>
    <w:p w14:paraId="6F41631F" w14:textId="77777777" w:rsidR="008B531E" w:rsidRDefault="008B531E" w:rsidP="008B531E">
      <w:pPr>
        <w:numPr>
          <w:ilvl w:val="12"/>
          <w:numId w:val="0"/>
        </w:numPr>
        <w:tabs>
          <w:tab w:val="left" w:pos="0"/>
          <w:tab w:val="left" w:pos="9914"/>
        </w:tabs>
        <w:rPr>
          <w:rFonts w:ascii="Calibri" w:hAnsi="Calibri" w:cs="Calibri"/>
        </w:rPr>
      </w:pPr>
    </w:p>
    <w:p w14:paraId="5610D229" w14:textId="5E5B4A61" w:rsidR="008B531E" w:rsidRDefault="008B531E" w:rsidP="008B531E">
      <w:pPr>
        <w:numPr>
          <w:ilvl w:val="12"/>
          <w:numId w:val="0"/>
        </w:numPr>
        <w:tabs>
          <w:tab w:val="left" w:pos="0"/>
          <w:tab w:val="left" w:pos="9914"/>
        </w:tabs>
        <w:rPr>
          <w:rFonts w:ascii="Calibri" w:hAnsi="Calibri" w:cs="Calibri"/>
        </w:rPr>
      </w:pPr>
      <w:r>
        <w:rPr>
          <w:rFonts w:ascii="Calibri" w:hAnsi="Calibri" w:cs="Calibri"/>
        </w:rPr>
        <w:t>Kontrakt ryczałtowy</w:t>
      </w:r>
    </w:p>
    <w:p w14:paraId="2C184543" w14:textId="1DF40017" w:rsidR="00C9677E" w:rsidRPr="00A23FB4" w:rsidRDefault="00C9677E" w:rsidP="00C9677E">
      <w:pPr>
        <w:rPr>
          <w:rFonts w:asciiTheme="minorHAnsi" w:hAnsiTheme="minorHAnsi" w:cstheme="minorHAnsi"/>
        </w:rPr>
      </w:pPr>
      <w:r w:rsidRPr="00A23FB4">
        <w:rPr>
          <w:rFonts w:asciiTheme="minorHAnsi" w:hAnsiTheme="minorHAnsi" w:cstheme="minorHAnsi"/>
        </w:rPr>
        <w:t xml:space="preserve">Ogólne wymagania dotyczące obmiaru robót podano w </w:t>
      </w:r>
      <w:r w:rsidR="00353527">
        <w:rPr>
          <w:rFonts w:asciiTheme="minorHAnsi" w:hAnsiTheme="minorHAnsi" w:cstheme="minorHAnsi"/>
        </w:rPr>
        <w:t>ST</w:t>
      </w:r>
      <w:r w:rsidRPr="00A23FB4">
        <w:rPr>
          <w:rFonts w:asciiTheme="minorHAnsi" w:hAnsiTheme="minorHAnsi" w:cstheme="minorHAnsi"/>
        </w:rPr>
        <w:t>WiORB D-M-00.00.00 „Wymagania ogólne”.</w:t>
      </w:r>
    </w:p>
    <w:p w14:paraId="3A25DA81" w14:textId="77777777" w:rsidR="00C9677E" w:rsidRPr="00A23FB4" w:rsidRDefault="00C9677E" w:rsidP="00C9677E">
      <w:pPr>
        <w:pStyle w:val="Nagwek3"/>
        <w:rPr>
          <w:rFonts w:asciiTheme="minorHAnsi" w:hAnsiTheme="minorHAnsi"/>
        </w:rPr>
      </w:pPr>
      <w:bookmarkStart w:id="66" w:name="_Toc466861808"/>
      <w:r w:rsidRPr="00A23FB4">
        <w:rPr>
          <w:rFonts w:asciiTheme="minorHAnsi" w:hAnsiTheme="minorHAnsi"/>
        </w:rPr>
        <w:t>8. ODBIÓR ROBÓT</w:t>
      </w:r>
      <w:bookmarkEnd w:id="66"/>
    </w:p>
    <w:p w14:paraId="593C656C" w14:textId="450F217B" w:rsidR="00C9677E" w:rsidRPr="00A23FB4" w:rsidRDefault="00C9677E" w:rsidP="00C9677E">
      <w:pPr>
        <w:rPr>
          <w:rFonts w:asciiTheme="minorHAnsi" w:hAnsiTheme="minorHAnsi" w:cstheme="minorHAnsi"/>
        </w:rPr>
      </w:pPr>
      <w:r w:rsidRPr="00A23FB4">
        <w:rPr>
          <w:rFonts w:asciiTheme="minorHAnsi" w:hAnsiTheme="minorHAnsi" w:cstheme="minorHAnsi"/>
        </w:rPr>
        <w:t xml:space="preserve">Ogólne wymagania dotyczące odbioru robót podano w </w:t>
      </w:r>
      <w:r w:rsidR="00353527">
        <w:rPr>
          <w:rFonts w:asciiTheme="minorHAnsi" w:hAnsiTheme="minorHAnsi" w:cstheme="minorHAnsi"/>
        </w:rPr>
        <w:t>ST</w:t>
      </w:r>
      <w:r w:rsidRPr="00A23FB4">
        <w:rPr>
          <w:rFonts w:asciiTheme="minorHAnsi" w:hAnsiTheme="minorHAnsi" w:cstheme="minorHAnsi"/>
        </w:rPr>
        <w:t>WiORB D-M-00.00.00 „Wymagania ogólne”.</w:t>
      </w:r>
    </w:p>
    <w:p w14:paraId="7D0BC2E9"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Przy przekazywaniu linii kablowej do eksploatacji, Wykonawca zobowiązany jest dostarczyć Zamawiającemu następujące dokumenty:</w:t>
      </w:r>
    </w:p>
    <w:p w14:paraId="47416D50" w14:textId="77777777" w:rsidR="00C9677E" w:rsidRPr="00A23FB4" w:rsidRDefault="00C9677E" w:rsidP="00262498">
      <w:pPr>
        <w:numPr>
          <w:ilvl w:val="0"/>
          <w:numId w:val="35"/>
        </w:numPr>
        <w:rPr>
          <w:rFonts w:asciiTheme="minorHAnsi" w:hAnsiTheme="minorHAnsi" w:cstheme="minorHAnsi"/>
        </w:rPr>
      </w:pPr>
      <w:r w:rsidRPr="00A23FB4">
        <w:rPr>
          <w:rFonts w:asciiTheme="minorHAnsi" w:hAnsiTheme="minorHAnsi" w:cstheme="minorHAnsi"/>
        </w:rPr>
        <w:t>projektową dokumentację powykonawczą,</w:t>
      </w:r>
    </w:p>
    <w:p w14:paraId="340B7BE4" w14:textId="77777777" w:rsidR="00C9677E" w:rsidRPr="00A23FB4" w:rsidRDefault="00C9677E" w:rsidP="00262498">
      <w:pPr>
        <w:numPr>
          <w:ilvl w:val="0"/>
          <w:numId w:val="35"/>
        </w:numPr>
        <w:rPr>
          <w:rFonts w:asciiTheme="minorHAnsi" w:hAnsiTheme="minorHAnsi" w:cstheme="minorHAnsi"/>
        </w:rPr>
      </w:pPr>
      <w:r w:rsidRPr="00A23FB4">
        <w:rPr>
          <w:rFonts w:asciiTheme="minorHAnsi" w:hAnsiTheme="minorHAnsi" w:cstheme="minorHAnsi"/>
        </w:rPr>
        <w:t>geodezyjną dokumentację powykonawczą,</w:t>
      </w:r>
    </w:p>
    <w:p w14:paraId="379CADE6" w14:textId="77777777" w:rsidR="00C9677E" w:rsidRPr="00A23FB4" w:rsidRDefault="00C9677E" w:rsidP="00262498">
      <w:pPr>
        <w:numPr>
          <w:ilvl w:val="0"/>
          <w:numId w:val="35"/>
        </w:numPr>
        <w:rPr>
          <w:rFonts w:asciiTheme="minorHAnsi" w:hAnsiTheme="minorHAnsi" w:cstheme="minorHAnsi"/>
        </w:rPr>
      </w:pPr>
      <w:r w:rsidRPr="00A23FB4">
        <w:rPr>
          <w:rFonts w:asciiTheme="minorHAnsi" w:hAnsiTheme="minorHAnsi" w:cstheme="minorHAnsi"/>
        </w:rPr>
        <w:t>protokóły z dokonanych pomiarów,</w:t>
      </w:r>
    </w:p>
    <w:p w14:paraId="10C822C1" w14:textId="77777777" w:rsidR="00C9677E" w:rsidRPr="00A23FB4" w:rsidRDefault="00C9677E" w:rsidP="00262498">
      <w:pPr>
        <w:numPr>
          <w:ilvl w:val="0"/>
          <w:numId w:val="35"/>
        </w:numPr>
        <w:rPr>
          <w:rFonts w:asciiTheme="minorHAnsi" w:hAnsiTheme="minorHAnsi" w:cstheme="minorHAnsi"/>
        </w:rPr>
      </w:pPr>
      <w:r w:rsidRPr="00A23FB4">
        <w:rPr>
          <w:rFonts w:asciiTheme="minorHAnsi" w:hAnsiTheme="minorHAnsi" w:cstheme="minorHAnsi"/>
        </w:rPr>
        <w:t>protokóły odbioru robót zanikających,</w:t>
      </w:r>
    </w:p>
    <w:p w14:paraId="68EA038D" w14:textId="77777777" w:rsidR="00C9677E" w:rsidRPr="00A23FB4" w:rsidRDefault="00C9677E" w:rsidP="00262498">
      <w:pPr>
        <w:numPr>
          <w:ilvl w:val="0"/>
          <w:numId w:val="35"/>
        </w:numPr>
        <w:rPr>
          <w:rFonts w:asciiTheme="minorHAnsi" w:hAnsiTheme="minorHAnsi" w:cstheme="minorHAnsi"/>
        </w:rPr>
      </w:pPr>
      <w:r w:rsidRPr="00A23FB4">
        <w:rPr>
          <w:rFonts w:asciiTheme="minorHAnsi" w:hAnsiTheme="minorHAnsi" w:cstheme="minorHAnsi"/>
        </w:rPr>
        <w:t>ewentualną ocenę robót wydaną przez zakład energetyczny.</w:t>
      </w:r>
    </w:p>
    <w:p w14:paraId="74973653" w14:textId="77777777" w:rsidR="00C9677E" w:rsidRPr="00A23FB4" w:rsidRDefault="00C9677E" w:rsidP="00C9677E">
      <w:pPr>
        <w:pStyle w:val="Nagwek3"/>
        <w:rPr>
          <w:rFonts w:asciiTheme="minorHAnsi" w:hAnsiTheme="minorHAnsi"/>
        </w:rPr>
      </w:pPr>
      <w:bookmarkStart w:id="67" w:name="_Toc466861809"/>
      <w:r w:rsidRPr="00A23FB4">
        <w:rPr>
          <w:rFonts w:asciiTheme="minorHAnsi" w:hAnsiTheme="minorHAnsi"/>
        </w:rPr>
        <w:t>9. PODSTAWA PŁATNOŚCI</w:t>
      </w:r>
      <w:bookmarkEnd w:id="67"/>
    </w:p>
    <w:p w14:paraId="3A848E14" w14:textId="77777777" w:rsidR="008B531E" w:rsidRDefault="008B531E" w:rsidP="008B531E">
      <w:pPr>
        <w:numPr>
          <w:ilvl w:val="12"/>
          <w:numId w:val="0"/>
        </w:numPr>
        <w:tabs>
          <w:tab w:val="left" w:pos="0"/>
          <w:tab w:val="left" w:pos="9914"/>
        </w:tabs>
        <w:rPr>
          <w:rFonts w:ascii="Calibri" w:hAnsi="Calibri" w:cs="Calibri"/>
        </w:rPr>
      </w:pPr>
      <w:r>
        <w:rPr>
          <w:rFonts w:ascii="Calibri" w:hAnsi="Calibri" w:cs="Calibri"/>
        </w:rPr>
        <w:t>Kontrakt ryczałtowy</w:t>
      </w:r>
    </w:p>
    <w:p w14:paraId="680C02E3" w14:textId="4C194D1E" w:rsidR="00C9677E" w:rsidRPr="00A23FB4" w:rsidRDefault="00C9677E" w:rsidP="00C9677E">
      <w:pPr>
        <w:rPr>
          <w:rFonts w:asciiTheme="minorHAnsi" w:hAnsiTheme="minorHAnsi" w:cstheme="minorHAnsi"/>
        </w:rPr>
      </w:pPr>
      <w:r w:rsidRPr="00A23FB4">
        <w:rPr>
          <w:rFonts w:asciiTheme="minorHAnsi" w:hAnsiTheme="minorHAnsi" w:cstheme="minorHAnsi"/>
        </w:rPr>
        <w:t xml:space="preserve">Ogólne wymagania dotyczące podstawy płatności podano w </w:t>
      </w:r>
      <w:r w:rsidR="00353527">
        <w:rPr>
          <w:rFonts w:asciiTheme="minorHAnsi" w:hAnsiTheme="minorHAnsi" w:cstheme="minorHAnsi"/>
        </w:rPr>
        <w:t>ST</w:t>
      </w:r>
      <w:r w:rsidRPr="00A23FB4">
        <w:rPr>
          <w:rFonts w:asciiTheme="minorHAnsi" w:hAnsiTheme="minorHAnsi" w:cstheme="minorHAnsi"/>
        </w:rPr>
        <w:t>WiORB D-M-00.00.00 „Wymagania ogólne”.</w:t>
      </w:r>
    </w:p>
    <w:p w14:paraId="2FD7BEAB" w14:textId="77777777" w:rsidR="00C9677E" w:rsidRPr="00A23FB4" w:rsidRDefault="00C9677E" w:rsidP="00C9677E">
      <w:pPr>
        <w:pStyle w:val="Nagwek3"/>
        <w:rPr>
          <w:rFonts w:asciiTheme="minorHAnsi" w:hAnsiTheme="minorHAnsi"/>
        </w:rPr>
      </w:pPr>
      <w:bookmarkStart w:id="68" w:name="_Toc466861810"/>
      <w:r w:rsidRPr="00A23FB4">
        <w:rPr>
          <w:rFonts w:asciiTheme="minorHAnsi" w:hAnsiTheme="minorHAnsi"/>
        </w:rPr>
        <w:t>10. PRZEPISY ZWIĄZANE</w:t>
      </w:r>
      <w:bookmarkEnd w:id="68"/>
    </w:p>
    <w:p w14:paraId="02BA77CC" w14:textId="77777777" w:rsidR="00C9677E" w:rsidRPr="00A23FB4" w:rsidRDefault="00C9677E" w:rsidP="00C9677E">
      <w:pPr>
        <w:pStyle w:val="Nagwek4"/>
        <w:rPr>
          <w:rFonts w:asciiTheme="minorHAnsi" w:hAnsiTheme="minorHAnsi"/>
        </w:rPr>
      </w:pPr>
      <w:r w:rsidRPr="00A23FB4">
        <w:rPr>
          <w:rFonts w:asciiTheme="minorHAnsi" w:hAnsiTheme="minorHAnsi"/>
        </w:rPr>
        <w:t>10.1. Normy</w:t>
      </w:r>
    </w:p>
    <w:tbl>
      <w:tblPr>
        <w:tblW w:w="0" w:type="auto"/>
        <w:tblLayout w:type="fixed"/>
        <w:tblCellMar>
          <w:left w:w="70" w:type="dxa"/>
          <w:right w:w="70" w:type="dxa"/>
        </w:tblCellMar>
        <w:tblLook w:val="0000" w:firstRow="0" w:lastRow="0" w:firstColumn="0" w:lastColumn="0" w:noHBand="0" w:noVBand="0"/>
      </w:tblPr>
      <w:tblGrid>
        <w:gridCol w:w="496"/>
        <w:gridCol w:w="2026"/>
        <w:gridCol w:w="6762"/>
      </w:tblGrid>
      <w:tr w:rsidR="00C9677E" w:rsidRPr="00A23FB4" w14:paraId="1EC985C3" w14:textId="77777777" w:rsidTr="00AD0C50">
        <w:tc>
          <w:tcPr>
            <w:tcW w:w="496" w:type="dxa"/>
          </w:tcPr>
          <w:p w14:paraId="46928023" w14:textId="77777777" w:rsidR="00C9677E" w:rsidRPr="00C86F6B" w:rsidRDefault="00C9677E" w:rsidP="00C86F6B">
            <w:pPr>
              <w:tabs>
                <w:tab w:val="left" w:pos="9914"/>
              </w:tabs>
              <w:rPr>
                <w:rFonts w:ascii="Calibri" w:hAnsi="Calibri" w:cs="Calibri"/>
                <w:sz w:val="18"/>
                <w:szCs w:val="18"/>
              </w:rPr>
            </w:pPr>
            <w:r w:rsidRPr="00C86F6B">
              <w:rPr>
                <w:rFonts w:ascii="Calibri" w:hAnsi="Calibri" w:cs="Calibri"/>
                <w:sz w:val="18"/>
                <w:szCs w:val="18"/>
              </w:rPr>
              <w:t>1.</w:t>
            </w:r>
          </w:p>
        </w:tc>
        <w:tc>
          <w:tcPr>
            <w:tcW w:w="2026" w:type="dxa"/>
          </w:tcPr>
          <w:p w14:paraId="7D4A8CF0" w14:textId="77777777" w:rsidR="00C9677E" w:rsidRPr="00C86F6B" w:rsidRDefault="00C9677E" w:rsidP="00C86F6B">
            <w:pPr>
              <w:tabs>
                <w:tab w:val="left" w:pos="9914"/>
              </w:tabs>
              <w:rPr>
                <w:rFonts w:ascii="Calibri" w:hAnsi="Calibri" w:cs="Calibri"/>
                <w:sz w:val="18"/>
                <w:szCs w:val="18"/>
              </w:rPr>
            </w:pPr>
            <w:r w:rsidRPr="00C86F6B">
              <w:rPr>
                <w:rFonts w:ascii="Calibri" w:hAnsi="Calibri" w:cs="Calibri"/>
                <w:sz w:val="18"/>
                <w:szCs w:val="18"/>
              </w:rPr>
              <w:t>PN-61/E-01002</w:t>
            </w:r>
          </w:p>
        </w:tc>
        <w:tc>
          <w:tcPr>
            <w:tcW w:w="6762" w:type="dxa"/>
          </w:tcPr>
          <w:p w14:paraId="300DDC4F" w14:textId="77777777" w:rsidR="00C9677E" w:rsidRPr="00C86F6B" w:rsidRDefault="00C9677E" w:rsidP="00C86F6B">
            <w:pPr>
              <w:tabs>
                <w:tab w:val="left" w:pos="9914"/>
              </w:tabs>
              <w:rPr>
                <w:rFonts w:ascii="Calibri" w:hAnsi="Calibri" w:cs="Calibri"/>
                <w:sz w:val="18"/>
                <w:szCs w:val="18"/>
              </w:rPr>
            </w:pPr>
            <w:r w:rsidRPr="00C86F6B">
              <w:rPr>
                <w:rFonts w:ascii="Calibri" w:hAnsi="Calibri" w:cs="Calibri"/>
                <w:sz w:val="18"/>
                <w:szCs w:val="18"/>
              </w:rPr>
              <w:t>Przewody elektryczne. Nazwy i określenia.</w:t>
            </w:r>
          </w:p>
        </w:tc>
      </w:tr>
      <w:tr w:rsidR="00C9677E" w:rsidRPr="00A23FB4" w14:paraId="4828E130" w14:textId="77777777" w:rsidTr="00AD0C50">
        <w:tc>
          <w:tcPr>
            <w:tcW w:w="496" w:type="dxa"/>
          </w:tcPr>
          <w:p w14:paraId="341D531F" w14:textId="77777777" w:rsidR="00C9677E" w:rsidRPr="00C86F6B" w:rsidRDefault="00C9677E" w:rsidP="00C86F6B">
            <w:pPr>
              <w:tabs>
                <w:tab w:val="left" w:pos="9914"/>
              </w:tabs>
              <w:rPr>
                <w:rFonts w:ascii="Calibri" w:hAnsi="Calibri" w:cs="Calibri"/>
                <w:sz w:val="18"/>
                <w:szCs w:val="18"/>
              </w:rPr>
            </w:pPr>
            <w:r w:rsidRPr="00C86F6B">
              <w:rPr>
                <w:rFonts w:ascii="Calibri" w:hAnsi="Calibri" w:cs="Calibri"/>
                <w:sz w:val="18"/>
                <w:szCs w:val="18"/>
              </w:rPr>
              <w:t>2.</w:t>
            </w:r>
          </w:p>
        </w:tc>
        <w:tc>
          <w:tcPr>
            <w:tcW w:w="2026" w:type="dxa"/>
          </w:tcPr>
          <w:p w14:paraId="640A9876" w14:textId="77777777" w:rsidR="00C9677E" w:rsidRPr="00C86F6B" w:rsidRDefault="00C9677E" w:rsidP="00C86F6B">
            <w:pPr>
              <w:tabs>
                <w:tab w:val="left" w:pos="9914"/>
              </w:tabs>
              <w:rPr>
                <w:rFonts w:ascii="Calibri" w:hAnsi="Calibri" w:cs="Calibri"/>
                <w:sz w:val="18"/>
                <w:szCs w:val="18"/>
              </w:rPr>
            </w:pPr>
            <w:r w:rsidRPr="00C86F6B">
              <w:rPr>
                <w:rFonts w:ascii="Calibri" w:hAnsi="Calibri" w:cs="Calibri"/>
                <w:sz w:val="18"/>
                <w:szCs w:val="18"/>
              </w:rPr>
              <w:t>PN-76/E-05125</w:t>
            </w:r>
          </w:p>
        </w:tc>
        <w:tc>
          <w:tcPr>
            <w:tcW w:w="6762" w:type="dxa"/>
          </w:tcPr>
          <w:p w14:paraId="0587DCA9" w14:textId="77777777" w:rsidR="00C9677E" w:rsidRPr="00C86F6B" w:rsidRDefault="00C9677E" w:rsidP="00C86F6B">
            <w:pPr>
              <w:tabs>
                <w:tab w:val="left" w:pos="9914"/>
              </w:tabs>
              <w:rPr>
                <w:rFonts w:ascii="Calibri" w:hAnsi="Calibri" w:cs="Calibri"/>
                <w:sz w:val="18"/>
                <w:szCs w:val="18"/>
              </w:rPr>
            </w:pPr>
            <w:r w:rsidRPr="00C86F6B">
              <w:rPr>
                <w:rFonts w:ascii="Calibri" w:hAnsi="Calibri" w:cs="Calibri"/>
                <w:sz w:val="18"/>
                <w:szCs w:val="18"/>
              </w:rPr>
              <w:t>Elektroenergetyczne i sygnalizacyjne linie kablowe. Projektowanie i budowa.</w:t>
            </w:r>
          </w:p>
        </w:tc>
      </w:tr>
      <w:tr w:rsidR="00C9677E" w:rsidRPr="00A23FB4" w14:paraId="1A93C4AD" w14:textId="77777777" w:rsidTr="00AD0C50">
        <w:tc>
          <w:tcPr>
            <w:tcW w:w="496" w:type="dxa"/>
          </w:tcPr>
          <w:p w14:paraId="6353C534" w14:textId="77777777" w:rsidR="00C9677E" w:rsidRPr="00C86F6B" w:rsidRDefault="00C9677E" w:rsidP="00C86F6B">
            <w:pPr>
              <w:tabs>
                <w:tab w:val="left" w:pos="9914"/>
              </w:tabs>
              <w:rPr>
                <w:rFonts w:ascii="Calibri" w:hAnsi="Calibri" w:cs="Calibri"/>
                <w:sz w:val="18"/>
                <w:szCs w:val="18"/>
              </w:rPr>
            </w:pPr>
            <w:r w:rsidRPr="00C86F6B">
              <w:rPr>
                <w:rFonts w:ascii="Calibri" w:hAnsi="Calibri" w:cs="Calibri"/>
                <w:sz w:val="18"/>
                <w:szCs w:val="18"/>
              </w:rPr>
              <w:t>3.</w:t>
            </w:r>
          </w:p>
        </w:tc>
        <w:tc>
          <w:tcPr>
            <w:tcW w:w="2026" w:type="dxa"/>
          </w:tcPr>
          <w:p w14:paraId="1FC142C5" w14:textId="77777777" w:rsidR="00C9677E" w:rsidRPr="00C86F6B" w:rsidRDefault="00C9677E" w:rsidP="00C86F6B">
            <w:pPr>
              <w:tabs>
                <w:tab w:val="left" w:pos="9914"/>
              </w:tabs>
              <w:rPr>
                <w:rFonts w:ascii="Calibri" w:hAnsi="Calibri" w:cs="Calibri"/>
                <w:sz w:val="18"/>
                <w:szCs w:val="18"/>
              </w:rPr>
            </w:pPr>
            <w:r w:rsidRPr="00C86F6B">
              <w:rPr>
                <w:rFonts w:ascii="Calibri" w:hAnsi="Calibri" w:cs="Calibri"/>
                <w:sz w:val="18"/>
                <w:szCs w:val="18"/>
              </w:rPr>
              <w:t>PN-74/E-06401</w:t>
            </w:r>
          </w:p>
        </w:tc>
        <w:tc>
          <w:tcPr>
            <w:tcW w:w="6762" w:type="dxa"/>
          </w:tcPr>
          <w:p w14:paraId="542B421A" w14:textId="77777777" w:rsidR="00C9677E" w:rsidRPr="00C86F6B" w:rsidRDefault="00C9677E" w:rsidP="00C86F6B">
            <w:pPr>
              <w:tabs>
                <w:tab w:val="left" w:pos="9914"/>
              </w:tabs>
              <w:rPr>
                <w:rFonts w:ascii="Calibri" w:hAnsi="Calibri" w:cs="Calibri"/>
                <w:sz w:val="18"/>
                <w:szCs w:val="18"/>
              </w:rPr>
            </w:pPr>
            <w:r w:rsidRPr="00C86F6B">
              <w:rPr>
                <w:rFonts w:ascii="Calibri" w:hAnsi="Calibri" w:cs="Calibri"/>
                <w:sz w:val="18"/>
                <w:szCs w:val="18"/>
              </w:rPr>
              <w:t>Elektroenergetyczne linie kablowe. Osprzęt do kabli o napięciu znamionowym do 60 kV. Ogólne wymagania i badania.</w:t>
            </w:r>
          </w:p>
        </w:tc>
      </w:tr>
      <w:tr w:rsidR="00C9677E" w:rsidRPr="00A23FB4" w14:paraId="579AD262" w14:textId="77777777" w:rsidTr="00AD0C50">
        <w:tc>
          <w:tcPr>
            <w:tcW w:w="496" w:type="dxa"/>
          </w:tcPr>
          <w:p w14:paraId="31ECE389" w14:textId="77777777" w:rsidR="00C9677E" w:rsidRPr="00C86F6B" w:rsidRDefault="00C9677E" w:rsidP="00C86F6B">
            <w:pPr>
              <w:tabs>
                <w:tab w:val="left" w:pos="9914"/>
              </w:tabs>
              <w:rPr>
                <w:rFonts w:ascii="Calibri" w:hAnsi="Calibri" w:cs="Calibri"/>
                <w:sz w:val="18"/>
                <w:szCs w:val="18"/>
              </w:rPr>
            </w:pPr>
            <w:r w:rsidRPr="00C86F6B">
              <w:rPr>
                <w:rFonts w:ascii="Calibri" w:hAnsi="Calibri" w:cs="Calibri"/>
                <w:sz w:val="18"/>
                <w:szCs w:val="18"/>
              </w:rPr>
              <w:t>4.</w:t>
            </w:r>
          </w:p>
        </w:tc>
        <w:tc>
          <w:tcPr>
            <w:tcW w:w="2026" w:type="dxa"/>
          </w:tcPr>
          <w:p w14:paraId="67E1CB92" w14:textId="77777777" w:rsidR="00C9677E" w:rsidRPr="00C86F6B" w:rsidRDefault="00C9677E" w:rsidP="00C86F6B">
            <w:pPr>
              <w:tabs>
                <w:tab w:val="left" w:pos="9914"/>
              </w:tabs>
              <w:rPr>
                <w:rFonts w:ascii="Calibri" w:hAnsi="Calibri" w:cs="Calibri"/>
                <w:sz w:val="18"/>
                <w:szCs w:val="18"/>
              </w:rPr>
            </w:pPr>
            <w:r w:rsidRPr="00C86F6B">
              <w:rPr>
                <w:rFonts w:ascii="Calibri" w:hAnsi="Calibri" w:cs="Calibri"/>
                <w:sz w:val="18"/>
                <w:szCs w:val="18"/>
              </w:rPr>
              <w:t>PN-76/E-90250</w:t>
            </w:r>
          </w:p>
        </w:tc>
        <w:tc>
          <w:tcPr>
            <w:tcW w:w="6762" w:type="dxa"/>
          </w:tcPr>
          <w:p w14:paraId="5C4B80D8" w14:textId="77777777" w:rsidR="00C9677E" w:rsidRPr="00C86F6B" w:rsidRDefault="00C9677E" w:rsidP="00C86F6B">
            <w:pPr>
              <w:tabs>
                <w:tab w:val="left" w:pos="9914"/>
              </w:tabs>
              <w:rPr>
                <w:rFonts w:ascii="Calibri" w:hAnsi="Calibri" w:cs="Calibri"/>
                <w:sz w:val="18"/>
                <w:szCs w:val="18"/>
              </w:rPr>
            </w:pPr>
            <w:r w:rsidRPr="00C86F6B">
              <w:rPr>
                <w:rFonts w:ascii="Calibri" w:hAnsi="Calibri" w:cs="Calibri"/>
                <w:sz w:val="18"/>
                <w:szCs w:val="18"/>
              </w:rPr>
              <w:t>Kable elektroenergetyczne o izolacji i powłoce metalowej na napięcie znamionowe nie przekraczające 23/40 kV.</w:t>
            </w:r>
          </w:p>
        </w:tc>
      </w:tr>
      <w:tr w:rsidR="00C9677E" w:rsidRPr="00A23FB4" w14:paraId="01D1549C" w14:textId="77777777" w:rsidTr="00AD0C50">
        <w:tc>
          <w:tcPr>
            <w:tcW w:w="496" w:type="dxa"/>
          </w:tcPr>
          <w:p w14:paraId="6985D35D" w14:textId="77777777" w:rsidR="00C9677E" w:rsidRPr="00C86F6B" w:rsidRDefault="00C9677E" w:rsidP="00C86F6B">
            <w:pPr>
              <w:tabs>
                <w:tab w:val="left" w:pos="9914"/>
              </w:tabs>
              <w:rPr>
                <w:rFonts w:ascii="Calibri" w:hAnsi="Calibri" w:cs="Calibri"/>
                <w:sz w:val="18"/>
                <w:szCs w:val="18"/>
              </w:rPr>
            </w:pPr>
            <w:r w:rsidRPr="00C86F6B">
              <w:rPr>
                <w:rFonts w:ascii="Calibri" w:hAnsi="Calibri" w:cs="Calibri"/>
                <w:sz w:val="18"/>
                <w:szCs w:val="18"/>
              </w:rPr>
              <w:t>5.</w:t>
            </w:r>
          </w:p>
        </w:tc>
        <w:tc>
          <w:tcPr>
            <w:tcW w:w="2026" w:type="dxa"/>
          </w:tcPr>
          <w:p w14:paraId="4E0A87DA" w14:textId="77777777" w:rsidR="00C9677E" w:rsidRPr="00C86F6B" w:rsidRDefault="00C9677E" w:rsidP="00C86F6B">
            <w:pPr>
              <w:tabs>
                <w:tab w:val="left" w:pos="9914"/>
              </w:tabs>
              <w:rPr>
                <w:rFonts w:ascii="Calibri" w:hAnsi="Calibri" w:cs="Calibri"/>
                <w:sz w:val="18"/>
                <w:szCs w:val="18"/>
              </w:rPr>
            </w:pPr>
            <w:r w:rsidRPr="00C86F6B">
              <w:rPr>
                <w:rFonts w:ascii="Calibri" w:hAnsi="Calibri" w:cs="Calibri"/>
                <w:sz w:val="18"/>
                <w:szCs w:val="18"/>
              </w:rPr>
              <w:t>PN-76/E-90251</w:t>
            </w:r>
          </w:p>
        </w:tc>
        <w:tc>
          <w:tcPr>
            <w:tcW w:w="6762" w:type="dxa"/>
          </w:tcPr>
          <w:p w14:paraId="050A93B6" w14:textId="77777777" w:rsidR="00C9677E" w:rsidRPr="00C86F6B" w:rsidRDefault="00C9677E" w:rsidP="00C86F6B">
            <w:pPr>
              <w:tabs>
                <w:tab w:val="left" w:pos="9914"/>
              </w:tabs>
              <w:rPr>
                <w:rFonts w:ascii="Calibri" w:hAnsi="Calibri" w:cs="Calibri"/>
                <w:sz w:val="18"/>
                <w:szCs w:val="18"/>
              </w:rPr>
            </w:pPr>
            <w:r w:rsidRPr="00C86F6B">
              <w:rPr>
                <w:rFonts w:ascii="Calibri" w:hAnsi="Calibri" w:cs="Calibri"/>
                <w:sz w:val="18"/>
                <w:szCs w:val="18"/>
              </w:rPr>
              <w:t>Kable elektroenergetyczne o izolacji papierowej i powłoce metalowej. Kable o powłoce ołowianej na napięcie znamionowe nie przekraczające 23/40 kV.</w:t>
            </w:r>
          </w:p>
        </w:tc>
      </w:tr>
      <w:tr w:rsidR="00C9677E" w:rsidRPr="00A23FB4" w14:paraId="580D301F" w14:textId="77777777" w:rsidTr="00AD0C50">
        <w:tc>
          <w:tcPr>
            <w:tcW w:w="496" w:type="dxa"/>
          </w:tcPr>
          <w:p w14:paraId="56A78D95" w14:textId="77777777" w:rsidR="00C9677E" w:rsidRPr="00C86F6B" w:rsidRDefault="00C9677E" w:rsidP="00C86F6B">
            <w:pPr>
              <w:tabs>
                <w:tab w:val="left" w:pos="9914"/>
              </w:tabs>
              <w:rPr>
                <w:rFonts w:ascii="Calibri" w:hAnsi="Calibri" w:cs="Calibri"/>
                <w:sz w:val="18"/>
                <w:szCs w:val="18"/>
              </w:rPr>
            </w:pPr>
            <w:r w:rsidRPr="00C86F6B">
              <w:rPr>
                <w:rFonts w:ascii="Calibri" w:hAnsi="Calibri" w:cs="Calibri"/>
                <w:sz w:val="18"/>
                <w:szCs w:val="18"/>
              </w:rPr>
              <w:t>6.</w:t>
            </w:r>
          </w:p>
        </w:tc>
        <w:tc>
          <w:tcPr>
            <w:tcW w:w="2026" w:type="dxa"/>
          </w:tcPr>
          <w:p w14:paraId="74EF6DB6" w14:textId="77777777" w:rsidR="00C9677E" w:rsidRPr="00C86F6B" w:rsidRDefault="00C9677E" w:rsidP="00C86F6B">
            <w:pPr>
              <w:tabs>
                <w:tab w:val="left" w:pos="9914"/>
              </w:tabs>
              <w:rPr>
                <w:rFonts w:ascii="Calibri" w:hAnsi="Calibri" w:cs="Calibri"/>
                <w:sz w:val="18"/>
                <w:szCs w:val="18"/>
              </w:rPr>
            </w:pPr>
            <w:r w:rsidRPr="00C86F6B">
              <w:rPr>
                <w:rFonts w:ascii="Calibri" w:hAnsi="Calibri" w:cs="Calibri"/>
                <w:sz w:val="18"/>
                <w:szCs w:val="18"/>
              </w:rPr>
              <w:t>PN-76/E-90300</w:t>
            </w:r>
          </w:p>
        </w:tc>
        <w:tc>
          <w:tcPr>
            <w:tcW w:w="6762" w:type="dxa"/>
          </w:tcPr>
          <w:p w14:paraId="2050D522" w14:textId="77777777" w:rsidR="00C9677E" w:rsidRPr="00C86F6B" w:rsidRDefault="00C9677E" w:rsidP="00C86F6B">
            <w:pPr>
              <w:tabs>
                <w:tab w:val="left" w:pos="9914"/>
              </w:tabs>
              <w:rPr>
                <w:rFonts w:ascii="Calibri" w:hAnsi="Calibri" w:cs="Calibri"/>
                <w:sz w:val="18"/>
                <w:szCs w:val="18"/>
              </w:rPr>
            </w:pPr>
            <w:r w:rsidRPr="00C86F6B">
              <w:rPr>
                <w:rFonts w:ascii="Calibri" w:hAnsi="Calibri" w:cs="Calibri"/>
                <w:sz w:val="18"/>
                <w:szCs w:val="18"/>
              </w:rPr>
              <w:t>Kable elektroenergetyczne i sygnalizacyjne o izolacji z tworzyw termoplastycznych, na napięcie znamionowe nie przekraczające 18/30 kV. Ogólne wymagania i badania.</w:t>
            </w:r>
          </w:p>
        </w:tc>
      </w:tr>
      <w:tr w:rsidR="00C9677E" w:rsidRPr="00A23FB4" w14:paraId="58443803" w14:textId="77777777" w:rsidTr="00AD0C50">
        <w:tc>
          <w:tcPr>
            <w:tcW w:w="496" w:type="dxa"/>
          </w:tcPr>
          <w:p w14:paraId="0CFC0D00" w14:textId="77777777" w:rsidR="00C9677E" w:rsidRPr="00C86F6B" w:rsidRDefault="00C9677E" w:rsidP="00C86F6B">
            <w:pPr>
              <w:tabs>
                <w:tab w:val="left" w:pos="9914"/>
              </w:tabs>
              <w:rPr>
                <w:rFonts w:ascii="Calibri" w:hAnsi="Calibri" w:cs="Calibri"/>
                <w:sz w:val="18"/>
                <w:szCs w:val="18"/>
              </w:rPr>
            </w:pPr>
            <w:r w:rsidRPr="00C86F6B">
              <w:rPr>
                <w:rFonts w:ascii="Calibri" w:hAnsi="Calibri" w:cs="Calibri"/>
                <w:sz w:val="18"/>
                <w:szCs w:val="18"/>
              </w:rPr>
              <w:t>7.</w:t>
            </w:r>
          </w:p>
        </w:tc>
        <w:tc>
          <w:tcPr>
            <w:tcW w:w="2026" w:type="dxa"/>
          </w:tcPr>
          <w:p w14:paraId="3C8B7684" w14:textId="77777777" w:rsidR="00C9677E" w:rsidRPr="00C86F6B" w:rsidRDefault="00C9677E" w:rsidP="00C86F6B">
            <w:pPr>
              <w:tabs>
                <w:tab w:val="left" w:pos="9914"/>
              </w:tabs>
              <w:rPr>
                <w:rFonts w:ascii="Calibri" w:hAnsi="Calibri" w:cs="Calibri"/>
                <w:sz w:val="18"/>
                <w:szCs w:val="18"/>
              </w:rPr>
            </w:pPr>
            <w:r w:rsidRPr="00C86F6B">
              <w:rPr>
                <w:rFonts w:ascii="Calibri" w:hAnsi="Calibri" w:cs="Calibri"/>
                <w:sz w:val="18"/>
                <w:szCs w:val="18"/>
              </w:rPr>
              <w:t>PN-76/E-90301</w:t>
            </w:r>
          </w:p>
        </w:tc>
        <w:tc>
          <w:tcPr>
            <w:tcW w:w="6762" w:type="dxa"/>
          </w:tcPr>
          <w:p w14:paraId="4D4E84A9" w14:textId="77777777" w:rsidR="00C9677E" w:rsidRPr="00C86F6B" w:rsidRDefault="00C9677E" w:rsidP="00C86F6B">
            <w:pPr>
              <w:tabs>
                <w:tab w:val="left" w:pos="9914"/>
              </w:tabs>
              <w:rPr>
                <w:rFonts w:ascii="Calibri" w:hAnsi="Calibri" w:cs="Calibri"/>
                <w:sz w:val="18"/>
                <w:szCs w:val="18"/>
              </w:rPr>
            </w:pPr>
            <w:r w:rsidRPr="00C86F6B">
              <w:rPr>
                <w:rFonts w:ascii="Calibri" w:hAnsi="Calibri" w:cs="Calibri"/>
                <w:sz w:val="18"/>
                <w:szCs w:val="18"/>
              </w:rPr>
              <w:t>Kable elektroenergetyczne o izolacji z tworzyw termoplastycznych i powłoce polwinitowej na napięcie znamionowe 0,6/1 kV.</w:t>
            </w:r>
          </w:p>
        </w:tc>
      </w:tr>
      <w:tr w:rsidR="00C9677E" w:rsidRPr="00A23FB4" w14:paraId="5DD254DB" w14:textId="77777777" w:rsidTr="00AD0C50">
        <w:tc>
          <w:tcPr>
            <w:tcW w:w="496" w:type="dxa"/>
          </w:tcPr>
          <w:p w14:paraId="4C25A527" w14:textId="77777777" w:rsidR="00C9677E" w:rsidRPr="00C86F6B" w:rsidRDefault="00C9677E" w:rsidP="00C86F6B">
            <w:pPr>
              <w:tabs>
                <w:tab w:val="left" w:pos="9914"/>
              </w:tabs>
              <w:rPr>
                <w:rFonts w:ascii="Calibri" w:hAnsi="Calibri" w:cs="Calibri"/>
                <w:sz w:val="18"/>
                <w:szCs w:val="18"/>
              </w:rPr>
            </w:pPr>
            <w:r w:rsidRPr="00C86F6B">
              <w:rPr>
                <w:rFonts w:ascii="Calibri" w:hAnsi="Calibri" w:cs="Calibri"/>
                <w:sz w:val="18"/>
                <w:szCs w:val="18"/>
              </w:rPr>
              <w:t>8.</w:t>
            </w:r>
          </w:p>
        </w:tc>
        <w:tc>
          <w:tcPr>
            <w:tcW w:w="2026" w:type="dxa"/>
          </w:tcPr>
          <w:p w14:paraId="5B3DAFBE" w14:textId="77777777" w:rsidR="00C9677E" w:rsidRPr="00C86F6B" w:rsidRDefault="00C9677E" w:rsidP="00C86F6B">
            <w:pPr>
              <w:tabs>
                <w:tab w:val="left" w:pos="9914"/>
              </w:tabs>
              <w:rPr>
                <w:rFonts w:ascii="Calibri" w:hAnsi="Calibri" w:cs="Calibri"/>
                <w:sz w:val="18"/>
                <w:szCs w:val="18"/>
              </w:rPr>
            </w:pPr>
            <w:r w:rsidRPr="00C86F6B">
              <w:rPr>
                <w:rFonts w:ascii="Calibri" w:hAnsi="Calibri" w:cs="Calibri"/>
                <w:sz w:val="18"/>
                <w:szCs w:val="18"/>
              </w:rPr>
              <w:t>PN-76/E-90304</w:t>
            </w:r>
          </w:p>
        </w:tc>
        <w:tc>
          <w:tcPr>
            <w:tcW w:w="6762" w:type="dxa"/>
          </w:tcPr>
          <w:p w14:paraId="688BFF69" w14:textId="77777777" w:rsidR="00C9677E" w:rsidRPr="00C86F6B" w:rsidRDefault="00C9677E" w:rsidP="00C86F6B">
            <w:pPr>
              <w:tabs>
                <w:tab w:val="left" w:pos="9914"/>
              </w:tabs>
              <w:rPr>
                <w:rFonts w:ascii="Calibri" w:hAnsi="Calibri" w:cs="Calibri"/>
                <w:sz w:val="18"/>
                <w:szCs w:val="18"/>
              </w:rPr>
            </w:pPr>
            <w:r w:rsidRPr="00C86F6B">
              <w:rPr>
                <w:rFonts w:ascii="Calibri" w:hAnsi="Calibri" w:cs="Calibri"/>
                <w:sz w:val="18"/>
                <w:szCs w:val="18"/>
              </w:rPr>
              <w:t>Kable sygnalizacyjne o izolacji z tworzyw termoplastycznych i powłoce polwinitowej na napięcie znamionowe 0,6/1 kV.</w:t>
            </w:r>
          </w:p>
        </w:tc>
      </w:tr>
      <w:tr w:rsidR="00C9677E" w:rsidRPr="00A23FB4" w14:paraId="2D1B2DB3" w14:textId="77777777" w:rsidTr="00AD0C50">
        <w:tc>
          <w:tcPr>
            <w:tcW w:w="496" w:type="dxa"/>
          </w:tcPr>
          <w:p w14:paraId="690E3D1B" w14:textId="77777777" w:rsidR="00C9677E" w:rsidRPr="00C86F6B" w:rsidRDefault="00C9677E" w:rsidP="00C86F6B">
            <w:pPr>
              <w:tabs>
                <w:tab w:val="left" w:pos="9914"/>
              </w:tabs>
              <w:rPr>
                <w:rFonts w:ascii="Calibri" w:hAnsi="Calibri" w:cs="Calibri"/>
                <w:sz w:val="18"/>
                <w:szCs w:val="18"/>
              </w:rPr>
            </w:pPr>
            <w:r w:rsidRPr="00C86F6B">
              <w:rPr>
                <w:rFonts w:ascii="Calibri" w:hAnsi="Calibri" w:cs="Calibri"/>
                <w:sz w:val="18"/>
                <w:szCs w:val="18"/>
              </w:rPr>
              <w:t>9.</w:t>
            </w:r>
          </w:p>
        </w:tc>
        <w:tc>
          <w:tcPr>
            <w:tcW w:w="2026" w:type="dxa"/>
          </w:tcPr>
          <w:p w14:paraId="624B360F" w14:textId="77777777" w:rsidR="00C9677E" w:rsidRPr="00C86F6B" w:rsidRDefault="00C9677E" w:rsidP="00C86F6B">
            <w:pPr>
              <w:tabs>
                <w:tab w:val="left" w:pos="9914"/>
              </w:tabs>
              <w:rPr>
                <w:rFonts w:ascii="Calibri" w:hAnsi="Calibri" w:cs="Calibri"/>
                <w:sz w:val="18"/>
                <w:szCs w:val="18"/>
              </w:rPr>
            </w:pPr>
            <w:r w:rsidRPr="00C86F6B">
              <w:rPr>
                <w:rFonts w:ascii="Calibri" w:hAnsi="Calibri" w:cs="Calibri"/>
                <w:sz w:val="18"/>
                <w:szCs w:val="18"/>
              </w:rPr>
              <w:t>PN-76/E-90306</w:t>
            </w:r>
          </w:p>
        </w:tc>
        <w:tc>
          <w:tcPr>
            <w:tcW w:w="6762" w:type="dxa"/>
          </w:tcPr>
          <w:p w14:paraId="7A65C3F3" w14:textId="77777777" w:rsidR="00C9677E" w:rsidRPr="00C86F6B" w:rsidRDefault="00C9677E" w:rsidP="00C86F6B">
            <w:pPr>
              <w:tabs>
                <w:tab w:val="left" w:pos="9914"/>
              </w:tabs>
              <w:rPr>
                <w:rFonts w:ascii="Calibri" w:hAnsi="Calibri" w:cs="Calibri"/>
                <w:sz w:val="18"/>
                <w:szCs w:val="18"/>
              </w:rPr>
            </w:pPr>
            <w:r w:rsidRPr="00C86F6B">
              <w:rPr>
                <w:rFonts w:ascii="Calibri" w:hAnsi="Calibri" w:cs="Calibri"/>
                <w:sz w:val="18"/>
                <w:szCs w:val="18"/>
              </w:rPr>
              <w:t>Kable elektroenergetyczne o izolacji polietylenowej, na napięcie znamionowe powyżej 3,6/6 kV.</w:t>
            </w:r>
          </w:p>
        </w:tc>
      </w:tr>
      <w:tr w:rsidR="00C9677E" w:rsidRPr="00A23FB4" w14:paraId="0D3B77E8" w14:textId="77777777" w:rsidTr="00AD0C50">
        <w:tc>
          <w:tcPr>
            <w:tcW w:w="496" w:type="dxa"/>
          </w:tcPr>
          <w:p w14:paraId="06B4FF94" w14:textId="77777777" w:rsidR="00C9677E" w:rsidRPr="00C86F6B" w:rsidRDefault="00C9677E" w:rsidP="00C86F6B">
            <w:pPr>
              <w:tabs>
                <w:tab w:val="left" w:pos="9914"/>
              </w:tabs>
              <w:rPr>
                <w:rFonts w:ascii="Calibri" w:hAnsi="Calibri" w:cs="Calibri"/>
                <w:sz w:val="18"/>
                <w:szCs w:val="18"/>
              </w:rPr>
            </w:pPr>
            <w:r w:rsidRPr="00C86F6B">
              <w:rPr>
                <w:rFonts w:ascii="Calibri" w:hAnsi="Calibri" w:cs="Calibri"/>
                <w:sz w:val="18"/>
                <w:szCs w:val="18"/>
              </w:rPr>
              <w:t>10.</w:t>
            </w:r>
          </w:p>
        </w:tc>
        <w:tc>
          <w:tcPr>
            <w:tcW w:w="2026" w:type="dxa"/>
          </w:tcPr>
          <w:p w14:paraId="68BD722E" w14:textId="77777777" w:rsidR="00C9677E" w:rsidRPr="00C86F6B" w:rsidRDefault="00C9677E" w:rsidP="00C86F6B">
            <w:pPr>
              <w:tabs>
                <w:tab w:val="left" w:pos="9914"/>
              </w:tabs>
              <w:rPr>
                <w:rFonts w:ascii="Calibri" w:hAnsi="Calibri" w:cs="Calibri"/>
                <w:sz w:val="18"/>
                <w:szCs w:val="18"/>
              </w:rPr>
            </w:pPr>
            <w:r w:rsidRPr="00C86F6B">
              <w:rPr>
                <w:rFonts w:ascii="Calibri" w:hAnsi="Calibri" w:cs="Calibri"/>
                <w:sz w:val="18"/>
                <w:szCs w:val="18"/>
              </w:rPr>
              <w:t>PN-65/B-14503</w:t>
            </w:r>
          </w:p>
        </w:tc>
        <w:tc>
          <w:tcPr>
            <w:tcW w:w="6762" w:type="dxa"/>
          </w:tcPr>
          <w:p w14:paraId="46D24F5D" w14:textId="77777777" w:rsidR="00C9677E" w:rsidRPr="00C86F6B" w:rsidRDefault="00C9677E" w:rsidP="00C86F6B">
            <w:pPr>
              <w:tabs>
                <w:tab w:val="left" w:pos="9914"/>
              </w:tabs>
              <w:rPr>
                <w:rFonts w:ascii="Calibri" w:hAnsi="Calibri" w:cs="Calibri"/>
                <w:sz w:val="18"/>
                <w:szCs w:val="18"/>
              </w:rPr>
            </w:pPr>
            <w:r w:rsidRPr="00C86F6B">
              <w:rPr>
                <w:rFonts w:ascii="Calibri" w:hAnsi="Calibri" w:cs="Calibri"/>
                <w:sz w:val="18"/>
                <w:szCs w:val="18"/>
              </w:rPr>
              <w:t>Zaprawy budowlane cementowo-wapienne.</w:t>
            </w:r>
          </w:p>
        </w:tc>
      </w:tr>
      <w:tr w:rsidR="00C9677E" w:rsidRPr="00A23FB4" w14:paraId="1F746D14" w14:textId="77777777" w:rsidTr="00AD0C50">
        <w:tc>
          <w:tcPr>
            <w:tcW w:w="496" w:type="dxa"/>
          </w:tcPr>
          <w:p w14:paraId="3D73BFF2" w14:textId="77777777" w:rsidR="00C9677E" w:rsidRPr="00C86F6B" w:rsidRDefault="00C9677E" w:rsidP="00C86F6B">
            <w:pPr>
              <w:tabs>
                <w:tab w:val="left" w:pos="9914"/>
              </w:tabs>
              <w:rPr>
                <w:rFonts w:ascii="Calibri" w:hAnsi="Calibri" w:cs="Calibri"/>
                <w:sz w:val="18"/>
                <w:szCs w:val="18"/>
              </w:rPr>
            </w:pPr>
            <w:r w:rsidRPr="00C86F6B">
              <w:rPr>
                <w:rFonts w:ascii="Calibri" w:hAnsi="Calibri" w:cs="Calibri"/>
                <w:sz w:val="18"/>
                <w:szCs w:val="18"/>
              </w:rPr>
              <w:t>11.</w:t>
            </w:r>
          </w:p>
        </w:tc>
        <w:tc>
          <w:tcPr>
            <w:tcW w:w="2026" w:type="dxa"/>
          </w:tcPr>
          <w:p w14:paraId="1C977764" w14:textId="77777777" w:rsidR="00C9677E" w:rsidRPr="00C86F6B" w:rsidRDefault="00C9677E" w:rsidP="00C86F6B">
            <w:pPr>
              <w:tabs>
                <w:tab w:val="left" w:pos="9914"/>
              </w:tabs>
              <w:rPr>
                <w:rFonts w:ascii="Calibri" w:hAnsi="Calibri" w:cs="Calibri"/>
                <w:sz w:val="18"/>
                <w:szCs w:val="18"/>
              </w:rPr>
            </w:pPr>
            <w:r w:rsidRPr="00C86F6B">
              <w:rPr>
                <w:rFonts w:ascii="Calibri" w:hAnsi="Calibri" w:cs="Calibri"/>
                <w:sz w:val="18"/>
                <w:szCs w:val="18"/>
              </w:rPr>
              <w:t>PN-80/C-89205</w:t>
            </w:r>
          </w:p>
        </w:tc>
        <w:tc>
          <w:tcPr>
            <w:tcW w:w="6762" w:type="dxa"/>
          </w:tcPr>
          <w:p w14:paraId="79CBEDF3" w14:textId="77777777" w:rsidR="00C9677E" w:rsidRPr="00C86F6B" w:rsidRDefault="00C9677E" w:rsidP="00C86F6B">
            <w:pPr>
              <w:tabs>
                <w:tab w:val="left" w:pos="9914"/>
              </w:tabs>
              <w:rPr>
                <w:rFonts w:ascii="Calibri" w:hAnsi="Calibri" w:cs="Calibri"/>
                <w:sz w:val="18"/>
                <w:szCs w:val="18"/>
              </w:rPr>
            </w:pPr>
            <w:r w:rsidRPr="00C86F6B">
              <w:rPr>
                <w:rFonts w:ascii="Calibri" w:hAnsi="Calibri" w:cs="Calibri"/>
                <w:sz w:val="18"/>
                <w:szCs w:val="18"/>
              </w:rPr>
              <w:t>Rury z nieplastyfikowanego polichlorku winylu.</w:t>
            </w:r>
          </w:p>
        </w:tc>
      </w:tr>
      <w:tr w:rsidR="00C9677E" w:rsidRPr="00A23FB4" w14:paraId="265E97CA" w14:textId="77777777" w:rsidTr="00AD0C50">
        <w:tc>
          <w:tcPr>
            <w:tcW w:w="496" w:type="dxa"/>
          </w:tcPr>
          <w:p w14:paraId="50895E06" w14:textId="77777777" w:rsidR="00C9677E" w:rsidRPr="00C86F6B" w:rsidRDefault="00C9677E" w:rsidP="00C86F6B">
            <w:pPr>
              <w:tabs>
                <w:tab w:val="left" w:pos="9914"/>
              </w:tabs>
              <w:rPr>
                <w:rFonts w:ascii="Calibri" w:hAnsi="Calibri" w:cs="Calibri"/>
                <w:sz w:val="18"/>
                <w:szCs w:val="18"/>
              </w:rPr>
            </w:pPr>
            <w:r w:rsidRPr="00C86F6B">
              <w:rPr>
                <w:rFonts w:ascii="Calibri" w:hAnsi="Calibri" w:cs="Calibri"/>
                <w:sz w:val="18"/>
                <w:szCs w:val="18"/>
              </w:rPr>
              <w:t>12.</w:t>
            </w:r>
          </w:p>
        </w:tc>
        <w:tc>
          <w:tcPr>
            <w:tcW w:w="2026" w:type="dxa"/>
          </w:tcPr>
          <w:p w14:paraId="40E8EA24" w14:textId="77777777" w:rsidR="00C9677E" w:rsidRPr="00C86F6B" w:rsidRDefault="00C9677E" w:rsidP="00C86F6B">
            <w:pPr>
              <w:tabs>
                <w:tab w:val="left" w:pos="9914"/>
              </w:tabs>
              <w:rPr>
                <w:rFonts w:ascii="Calibri" w:hAnsi="Calibri" w:cs="Calibri"/>
                <w:sz w:val="18"/>
                <w:szCs w:val="18"/>
              </w:rPr>
            </w:pPr>
            <w:r w:rsidRPr="00C86F6B">
              <w:rPr>
                <w:rFonts w:ascii="Calibri" w:hAnsi="Calibri" w:cs="Calibri"/>
                <w:sz w:val="18"/>
                <w:szCs w:val="18"/>
              </w:rPr>
              <w:t>PN-b0/H-74219</w:t>
            </w:r>
          </w:p>
        </w:tc>
        <w:tc>
          <w:tcPr>
            <w:tcW w:w="6762" w:type="dxa"/>
          </w:tcPr>
          <w:p w14:paraId="426B3860" w14:textId="77777777" w:rsidR="00C9677E" w:rsidRPr="00C86F6B" w:rsidRDefault="00C9677E" w:rsidP="00C86F6B">
            <w:pPr>
              <w:tabs>
                <w:tab w:val="left" w:pos="9914"/>
              </w:tabs>
              <w:rPr>
                <w:rFonts w:ascii="Calibri" w:hAnsi="Calibri" w:cs="Calibri"/>
                <w:sz w:val="18"/>
                <w:szCs w:val="18"/>
              </w:rPr>
            </w:pPr>
            <w:r w:rsidRPr="00C86F6B">
              <w:rPr>
                <w:rFonts w:ascii="Calibri" w:hAnsi="Calibri" w:cs="Calibri"/>
                <w:sz w:val="18"/>
                <w:szCs w:val="18"/>
              </w:rPr>
              <w:t>Rury stalowe bez szwu walcowane na gorąco ogólnego zastosowania.</w:t>
            </w:r>
          </w:p>
        </w:tc>
      </w:tr>
      <w:tr w:rsidR="00C9677E" w:rsidRPr="00A23FB4" w14:paraId="2B83D74E" w14:textId="77777777" w:rsidTr="00AD0C50">
        <w:tc>
          <w:tcPr>
            <w:tcW w:w="496" w:type="dxa"/>
          </w:tcPr>
          <w:p w14:paraId="15F1DCDA" w14:textId="77777777" w:rsidR="00C9677E" w:rsidRPr="00C86F6B" w:rsidRDefault="00C9677E" w:rsidP="00C86F6B">
            <w:pPr>
              <w:tabs>
                <w:tab w:val="left" w:pos="9914"/>
              </w:tabs>
              <w:rPr>
                <w:rFonts w:ascii="Calibri" w:hAnsi="Calibri" w:cs="Calibri"/>
                <w:sz w:val="18"/>
                <w:szCs w:val="18"/>
              </w:rPr>
            </w:pPr>
            <w:r w:rsidRPr="00C86F6B">
              <w:rPr>
                <w:rFonts w:ascii="Calibri" w:hAnsi="Calibri" w:cs="Calibri"/>
                <w:sz w:val="18"/>
                <w:szCs w:val="18"/>
              </w:rPr>
              <w:t>13.</w:t>
            </w:r>
          </w:p>
        </w:tc>
        <w:tc>
          <w:tcPr>
            <w:tcW w:w="2026" w:type="dxa"/>
          </w:tcPr>
          <w:p w14:paraId="7AB26112" w14:textId="77777777" w:rsidR="00C9677E" w:rsidRPr="00C86F6B" w:rsidRDefault="00C9677E" w:rsidP="00C86F6B">
            <w:pPr>
              <w:tabs>
                <w:tab w:val="left" w:pos="9914"/>
              </w:tabs>
              <w:rPr>
                <w:rFonts w:ascii="Calibri" w:hAnsi="Calibri" w:cs="Calibri"/>
                <w:sz w:val="18"/>
                <w:szCs w:val="18"/>
              </w:rPr>
            </w:pPr>
            <w:r w:rsidRPr="00C86F6B">
              <w:rPr>
                <w:rFonts w:ascii="Calibri" w:hAnsi="Calibri" w:cs="Calibri"/>
                <w:sz w:val="18"/>
                <w:szCs w:val="18"/>
              </w:rPr>
              <w:t>BN-64/6791-02</w:t>
            </w:r>
          </w:p>
        </w:tc>
        <w:tc>
          <w:tcPr>
            <w:tcW w:w="6762" w:type="dxa"/>
          </w:tcPr>
          <w:p w14:paraId="2842F37D" w14:textId="77777777" w:rsidR="00C9677E" w:rsidRPr="00C86F6B" w:rsidRDefault="00C9677E" w:rsidP="00C86F6B">
            <w:pPr>
              <w:tabs>
                <w:tab w:val="left" w:pos="9914"/>
              </w:tabs>
              <w:rPr>
                <w:rFonts w:ascii="Calibri" w:hAnsi="Calibri" w:cs="Calibri"/>
                <w:sz w:val="18"/>
                <w:szCs w:val="18"/>
              </w:rPr>
            </w:pPr>
            <w:r w:rsidRPr="00C86F6B">
              <w:rPr>
                <w:rFonts w:ascii="Calibri" w:hAnsi="Calibri" w:cs="Calibri"/>
                <w:sz w:val="18"/>
                <w:szCs w:val="18"/>
              </w:rPr>
              <w:t>Cegła budowlana pełna.</w:t>
            </w:r>
          </w:p>
        </w:tc>
      </w:tr>
      <w:tr w:rsidR="00C9677E" w:rsidRPr="00A23FB4" w14:paraId="2724388B" w14:textId="77777777" w:rsidTr="00AD0C50">
        <w:tc>
          <w:tcPr>
            <w:tcW w:w="496" w:type="dxa"/>
          </w:tcPr>
          <w:p w14:paraId="7BE79D74" w14:textId="77777777" w:rsidR="00C9677E" w:rsidRPr="00C86F6B" w:rsidRDefault="00C9677E" w:rsidP="00C86F6B">
            <w:pPr>
              <w:tabs>
                <w:tab w:val="left" w:pos="9914"/>
              </w:tabs>
              <w:rPr>
                <w:rFonts w:ascii="Calibri" w:hAnsi="Calibri" w:cs="Calibri"/>
                <w:sz w:val="18"/>
                <w:szCs w:val="18"/>
              </w:rPr>
            </w:pPr>
            <w:r w:rsidRPr="00C86F6B">
              <w:rPr>
                <w:rFonts w:ascii="Calibri" w:hAnsi="Calibri" w:cs="Calibri"/>
                <w:sz w:val="18"/>
                <w:szCs w:val="18"/>
              </w:rPr>
              <w:t>14.</w:t>
            </w:r>
          </w:p>
        </w:tc>
        <w:tc>
          <w:tcPr>
            <w:tcW w:w="2026" w:type="dxa"/>
          </w:tcPr>
          <w:p w14:paraId="7F906E56" w14:textId="77777777" w:rsidR="00C9677E" w:rsidRPr="00C86F6B" w:rsidRDefault="00C9677E" w:rsidP="00C86F6B">
            <w:pPr>
              <w:tabs>
                <w:tab w:val="left" w:pos="9914"/>
              </w:tabs>
              <w:rPr>
                <w:rFonts w:ascii="Calibri" w:hAnsi="Calibri" w:cs="Calibri"/>
                <w:sz w:val="18"/>
                <w:szCs w:val="18"/>
              </w:rPr>
            </w:pPr>
            <w:r w:rsidRPr="00C86F6B">
              <w:rPr>
                <w:rFonts w:ascii="Calibri" w:hAnsi="Calibri" w:cs="Calibri"/>
                <w:sz w:val="18"/>
                <w:szCs w:val="18"/>
              </w:rPr>
              <w:t>BN-72/8932-01</w:t>
            </w:r>
          </w:p>
        </w:tc>
        <w:tc>
          <w:tcPr>
            <w:tcW w:w="6762" w:type="dxa"/>
          </w:tcPr>
          <w:p w14:paraId="62E5DB8A" w14:textId="77777777" w:rsidR="00C9677E" w:rsidRPr="00C86F6B" w:rsidRDefault="00C9677E" w:rsidP="00C86F6B">
            <w:pPr>
              <w:tabs>
                <w:tab w:val="left" w:pos="9914"/>
              </w:tabs>
              <w:rPr>
                <w:rFonts w:ascii="Calibri" w:hAnsi="Calibri" w:cs="Calibri"/>
                <w:sz w:val="18"/>
                <w:szCs w:val="18"/>
              </w:rPr>
            </w:pPr>
            <w:r w:rsidRPr="00C86F6B">
              <w:rPr>
                <w:rFonts w:ascii="Calibri" w:hAnsi="Calibri" w:cs="Calibri"/>
                <w:sz w:val="18"/>
                <w:szCs w:val="18"/>
              </w:rPr>
              <w:t>Budowle drogowe i kolejowe. Roboty ziemne.</w:t>
            </w:r>
          </w:p>
        </w:tc>
      </w:tr>
      <w:tr w:rsidR="00C9677E" w:rsidRPr="00A23FB4" w14:paraId="6722244A" w14:textId="77777777" w:rsidTr="00AD0C50">
        <w:tc>
          <w:tcPr>
            <w:tcW w:w="496" w:type="dxa"/>
          </w:tcPr>
          <w:p w14:paraId="3399E631" w14:textId="77777777" w:rsidR="00C9677E" w:rsidRPr="00C86F6B" w:rsidRDefault="00C9677E" w:rsidP="00C86F6B">
            <w:pPr>
              <w:tabs>
                <w:tab w:val="left" w:pos="9914"/>
              </w:tabs>
              <w:rPr>
                <w:rFonts w:ascii="Calibri" w:hAnsi="Calibri" w:cs="Calibri"/>
                <w:sz w:val="18"/>
                <w:szCs w:val="18"/>
              </w:rPr>
            </w:pPr>
            <w:r w:rsidRPr="00C86F6B">
              <w:rPr>
                <w:rFonts w:ascii="Calibri" w:hAnsi="Calibri" w:cs="Calibri"/>
                <w:sz w:val="18"/>
                <w:szCs w:val="18"/>
              </w:rPr>
              <w:t>15.</w:t>
            </w:r>
          </w:p>
        </w:tc>
        <w:tc>
          <w:tcPr>
            <w:tcW w:w="2026" w:type="dxa"/>
          </w:tcPr>
          <w:p w14:paraId="3220BA65" w14:textId="77777777" w:rsidR="00C9677E" w:rsidRPr="00C86F6B" w:rsidRDefault="00C9677E" w:rsidP="00C86F6B">
            <w:pPr>
              <w:tabs>
                <w:tab w:val="left" w:pos="9914"/>
              </w:tabs>
              <w:rPr>
                <w:rFonts w:ascii="Calibri" w:hAnsi="Calibri" w:cs="Calibri"/>
                <w:sz w:val="18"/>
                <w:szCs w:val="18"/>
              </w:rPr>
            </w:pPr>
            <w:r w:rsidRPr="00C86F6B">
              <w:rPr>
                <w:rFonts w:ascii="Calibri" w:hAnsi="Calibri" w:cs="Calibri"/>
                <w:sz w:val="18"/>
                <w:szCs w:val="18"/>
              </w:rPr>
              <w:t>BN-68/6353-03</w:t>
            </w:r>
          </w:p>
        </w:tc>
        <w:tc>
          <w:tcPr>
            <w:tcW w:w="6762" w:type="dxa"/>
          </w:tcPr>
          <w:p w14:paraId="2C9B914E" w14:textId="77777777" w:rsidR="00C9677E" w:rsidRPr="00C86F6B" w:rsidRDefault="00C9677E" w:rsidP="00C86F6B">
            <w:pPr>
              <w:tabs>
                <w:tab w:val="left" w:pos="9914"/>
              </w:tabs>
              <w:rPr>
                <w:rFonts w:ascii="Calibri" w:hAnsi="Calibri" w:cs="Calibri"/>
                <w:sz w:val="18"/>
                <w:szCs w:val="18"/>
              </w:rPr>
            </w:pPr>
            <w:r w:rsidRPr="00C86F6B">
              <w:rPr>
                <w:rFonts w:ascii="Calibri" w:hAnsi="Calibri" w:cs="Calibri"/>
                <w:sz w:val="18"/>
                <w:szCs w:val="18"/>
              </w:rPr>
              <w:t>Folia kalendrowana techniczna z uplastycznionego polichlorku winylu.</w:t>
            </w:r>
          </w:p>
        </w:tc>
      </w:tr>
      <w:tr w:rsidR="00C9677E" w:rsidRPr="00A23FB4" w14:paraId="45427473" w14:textId="77777777" w:rsidTr="00AD0C50">
        <w:tc>
          <w:tcPr>
            <w:tcW w:w="496" w:type="dxa"/>
          </w:tcPr>
          <w:p w14:paraId="23D72B9D" w14:textId="77777777" w:rsidR="00C9677E" w:rsidRPr="00C86F6B" w:rsidRDefault="00C9677E" w:rsidP="00C86F6B">
            <w:pPr>
              <w:tabs>
                <w:tab w:val="left" w:pos="9914"/>
              </w:tabs>
              <w:rPr>
                <w:rFonts w:ascii="Calibri" w:hAnsi="Calibri" w:cs="Calibri"/>
                <w:sz w:val="18"/>
                <w:szCs w:val="18"/>
              </w:rPr>
            </w:pPr>
            <w:r w:rsidRPr="00C86F6B">
              <w:rPr>
                <w:rFonts w:ascii="Calibri" w:hAnsi="Calibri" w:cs="Calibri"/>
                <w:sz w:val="18"/>
                <w:szCs w:val="18"/>
              </w:rPr>
              <w:t>16.</w:t>
            </w:r>
          </w:p>
        </w:tc>
        <w:tc>
          <w:tcPr>
            <w:tcW w:w="2026" w:type="dxa"/>
          </w:tcPr>
          <w:p w14:paraId="10B0DBC3" w14:textId="77777777" w:rsidR="00C9677E" w:rsidRPr="00C86F6B" w:rsidRDefault="00C9677E" w:rsidP="00C86F6B">
            <w:pPr>
              <w:tabs>
                <w:tab w:val="left" w:pos="9914"/>
              </w:tabs>
              <w:rPr>
                <w:rFonts w:ascii="Calibri" w:hAnsi="Calibri" w:cs="Calibri"/>
                <w:sz w:val="18"/>
                <w:szCs w:val="18"/>
              </w:rPr>
            </w:pPr>
            <w:r w:rsidRPr="00C86F6B">
              <w:rPr>
                <w:rFonts w:ascii="Calibri" w:hAnsi="Calibri" w:cs="Calibri"/>
                <w:sz w:val="18"/>
                <w:szCs w:val="18"/>
              </w:rPr>
              <w:t>BN-87/6774-04</w:t>
            </w:r>
          </w:p>
        </w:tc>
        <w:tc>
          <w:tcPr>
            <w:tcW w:w="6762" w:type="dxa"/>
          </w:tcPr>
          <w:p w14:paraId="6BEB8461" w14:textId="77777777" w:rsidR="00C9677E" w:rsidRPr="00C86F6B" w:rsidRDefault="00C9677E" w:rsidP="00C86F6B">
            <w:pPr>
              <w:tabs>
                <w:tab w:val="left" w:pos="9914"/>
              </w:tabs>
              <w:rPr>
                <w:rFonts w:ascii="Calibri" w:hAnsi="Calibri" w:cs="Calibri"/>
                <w:sz w:val="18"/>
                <w:szCs w:val="18"/>
              </w:rPr>
            </w:pPr>
            <w:r w:rsidRPr="00C86F6B">
              <w:rPr>
                <w:rFonts w:ascii="Calibri" w:hAnsi="Calibri" w:cs="Calibri"/>
                <w:sz w:val="18"/>
                <w:szCs w:val="18"/>
              </w:rPr>
              <w:t>Kruszywa mineralne do nawierzchni drogowych. Piasek.</w:t>
            </w:r>
          </w:p>
        </w:tc>
      </w:tr>
      <w:tr w:rsidR="00C9677E" w:rsidRPr="00A23FB4" w14:paraId="529C8AE0" w14:textId="77777777" w:rsidTr="00AD0C50">
        <w:tc>
          <w:tcPr>
            <w:tcW w:w="496" w:type="dxa"/>
          </w:tcPr>
          <w:p w14:paraId="217A3952" w14:textId="77777777" w:rsidR="00C9677E" w:rsidRPr="00C86F6B" w:rsidRDefault="00C9677E" w:rsidP="00C86F6B">
            <w:pPr>
              <w:tabs>
                <w:tab w:val="left" w:pos="9914"/>
              </w:tabs>
              <w:rPr>
                <w:rFonts w:ascii="Calibri" w:hAnsi="Calibri" w:cs="Calibri"/>
                <w:sz w:val="18"/>
                <w:szCs w:val="18"/>
              </w:rPr>
            </w:pPr>
            <w:r w:rsidRPr="00C86F6B">
              <w:rPr>
                <w:rFonts w:ascii="Calibri" w:hAnsi="Calibri" w:cs="Calibri"/>
                <w:sz w:val="18"/>
                <w:szCs w:val="18"/>
              </w:rPr>
              <w:t>17.</w:t>
            </w:r>
          </w:p>
        </w:tc>
        <w:tc>
          <w:tcPr>
            <w:tcW w:w="2026" w:type="dxa"/>
          </w:tcPr>
          <w:p w14:paraId="68F5B496" w14:textId="77777777" w:rsidR="00C9677E" w:rsidRPr="00C86F6B" w:rsidRDefault="00C9677E" w:rsidP="00C86F6B">
            <w:pPr>
              <w:tabs>
                <w:tab w:val="left" w:pos="9914"/>
              </w:tabs>
              <w:rPr>
                <w:rFonts w:ascii="Calibri" w:hAnsi="Calibri" w:cs="Calibri"/>
                <w:sz w:val="18"/>
                <w:szCs w:val="18"/>
              </w:rPr>
            </w:pPr>
            <w:r w:rsidRPr="00C86F6B">
              <w:rPr>
                <w:rFonts w:ascii="Calibri" w:hAnsi="Calibri" w:cs="Calibri"/>
                <w:sz w:val="18"/>
                <w:szCs w:val="18"/>
              </w:rPr>
              <w:t>BN-71/8976-31</w:t>
            </w:r>
          </w:p>
        </w:tc>
        <w:tc>
          <w:tcPr>
            <w:tcW w:w="6762" w:type="dxa"/>
          </w:tcPr>
          <w:p w14:paraId="351DC85E" w14:textId="77777777" w:rsidR="00C9677E" w:rsidRPr="00C86F6B" w:rsidRDefault="00C9677E" w:rsidP="00C86F6B">
            <w:pPr>
              <w:tabs>
                <w:tab w:val="left" w:pos="9914"/>
              </w:tabs>
              <w:rPr>
                <w:rFonts w:ascii="Calibri" w:hAnsi="Calibri" w:cs="Calibri"/>
                <w:sz w:val="18"/>
                <w:szCs w:val="18"/>
              </w:rPr>
            </w:pPr>
            <w:r w:rsidRPr="00C86F6B">
              <w:rPr>
                <w:rFonts w:ascii="Calibri" w:hAnsi="Calibri" w:cs="Calibri"/>
                <w:sz w:val="18"/>
                <w:szCs w:val="18"/>
              </w:rPr>
              <w:t>Odległości poziome gazociągów wysokiego ciśnienia od obiektów terenowych.</w:t>
            </w:r>
          </w:p>
        </w:tc>
      </w:tr>
      <w:tr w:rsidR="00C9677E" w:rsidRPr="00A23FB4" w14:paraId="417FF5AD" w14:textId="77777777" w:rsidTr="00AD0C50">
        <w:tc>
          <w:tcPr>
            <w:tcW w:w="496" w:type="dxa"/>
          </w:tcPr>
          <w:p w14:paraId="5A888D36" w14:textId="77777777" w:rsidR="00C9677E" w:rsidRPr="00C86F6B" w:rsidRDefault="00C9677E" w:rsidP="00C86F6B">
            <w:pPr>
              <w:tabs>
                <w:tab w:val="left" w:pos="9914"/>
              </w:tabs>
              <w:rPr>
                <w:rFonts w:ascii="Calibri" w:hAnsi="Calibri" w:cs="Calibri"/>
                <w:sz w:val="18"/>
                <w:szCs w:val="18"/>
              </w:rPr>
            </w:pPr>
            <w:r w:rsidRPr="00C86F6B">
              <w:rPr>
                <w:rFonts w:ascii="Calibri" w:hAnsi="Calibri" w:cs="Calibri"/>
                <w:sz w:val="18"/>
                <w:szCs w:val="18"/>
              </w:rPr>
              <w:t>18.</w:t>
            </w:r>
          </w:p>
        </w:tc>
        <w:tc>
          <w:tcPr>
            <w:tcW w:w="2026" w:type="dxa"/>
          </w:tcPr>
          <w:p w14:paraId="439E48A7" w14:textId="77777777" w:rsidR="00C9677E" w:rsidRPr="00C86F6B" w:rsidRDefault="00C9677E" w:rsidP="00C86F6B">
            <w:pPr>
              <w:tabs>
                <w:tab w:val="left" w:pos="9914"/>
              </w:tabs>
              <w:rPr>
                <w:rFonts w:ascii="Calibri" w:hAnsi="Calibri" w:cs="Calibri"/>
                <w:sz w:val="18"/>
                <w:szCs w:val="18"/>
              </w:rPr>
            </w:pPr>
            <w:r w:rsidRPr="00C86F6B">
              <w:rPr>
                <w:rFonts w:ascii="Calibri" w:hAnsi="Calibri" w:cs="Calibri"/>
                <w:sz w:val="18"/>
                <w:szCs w:val="18"/>
              </w:rPr>
              <w:t>BN-73/3725-16</w:t>
            </w:r>
          </w:p>
        </w:tc>
        <w:tc>
          <w:tcPr>
            <w:tcW w:w="6762" w:type="dxa"/>
          </w:tcPr>
          <w:p w14:paraId="2A56080F" w14:textId="77777777" w:rsidR="00C9677E" w:rsidRPr="00C86F6B" w:rsidRDefault="00C9677E" w:rsidP="00C86F6B">
            <w:pPr>
              <w:tabs>
                <w:tab w:val="left" w:pos="9914"/>
              </w:tabs>
              <w:rPr>
                <w:rFonts w:ascii="Calibri" w:hAnsi="Calibri" w:cs="Calibri"/>
                <w:sz w:val="18"/>
                <w:szCs w:val="18"/>
              </w:rPr>
            </w:pPr>
            <w:r w:rsidRPr="00C86F6B">
              <w:rPr>
                <w:rFonts w:ascii="Calibri" w:hAnsi="Calibri" w:cs="Calibri"/>
                <w:sz w:val="18"/>
                <w:szCs w:val="18"/>
              </w:rPr>
              <w:t>Znakowanie kabli, przewodów i żył (analogia).</w:t>
            </w:r>
          </w:p>
        </w:tc>
      </w:tr>
      <w:tr w:rsidR="00C9677E" w:rsidRPr="00A23FB4" w14:paraId="5537BBEB" w14:textId="77777777" w:rsidTr="00AD0C50">
        <w:tc>
          <w:tcPr>
            <w:tcW w:w="496" w:type="dxa"/>
          </w:tcPr>
          <w:p w14:paraId="6500B999" w14:textId="77777777" w:rsidR="00C9677E" w:rsidRPr="00C86F6B" w:rsidRDefault="00C9677E" w:rsidP="00C86F6B">
            <w:pPr>
              <w:tabs>
                <w:tab w:val="left" w:pos="9914"/>
              </w:tabs>
              <w:rPr>
                <w:rFonts w:ascii="Calibri" w:hAnsi="Calibri" w:cs="Calibri"/>
                <w:sz w:val="18"/>
                <w:szCs w:val="18"/>
              </w:rPr>
            </w:pPr>
            <w:r w:rsidRPr="00C86F6B">
              <w:rPr>
                <w:rFonts w:ascii="Calibri" w:hAnsi="Calibri" w:cs="Calibri"/>
                <w:sz w:val="18"/>
                <w:szCs w:val="18"/>
              </w:rPr>
              <w:t>19.</w:t>
            </w:r>
          </w:p>
        </w:tc>
        <w:tc>
          <w:tcPr>
            <w:tcW w:w="2026" w:type="dxa"/>
          </w:tcPr>
          <w:p w14:paraId="67DD14EC" w14:textId="77777777" w:rsidR="00C9677E" w:rsidRPr="00C86F6B" w:rsidRDefault="00C9677E" w:rsidP="00C86F6B">
            <w:pPr>
              <w:tabs>
                <w:tab w:val="left" w:pos="9914"/>
              </w:tabs>
              <w:rPr>
                <w:rFonts w:ascii="Calibri" w:hAnsi="Calibri" w:cs="Calibri"/>
                <w:sz w:val="18"/>
                <w:szCs w:val="18"/>
              </w:rPr>
            </w:pPr>
            <w:r w:rsidRPr="00C86F6B">
              <w:rPr>
                <w:rFonts w:ascii="Calibri" w:hAnsi="Calibri" w:cs="Calibri"/>
                <w:sz w:val="18"/>
                <w:szCs w:val="18"/>
              </w:rPr>
              <w:t>BN-74/3233-17</w:t>
            </w:r>
          </w:p>
        </w:tc>
        <w:tc>
          <w:tcPr>
            <w:tcW w:w="6762" w:type="dxa"/>
          </w:tcPr>
          <w:p w14:paraId="2778829E" w14:textId="77777777" w:rsidR="00C9677E" w:rsidRPr="00C86F6B" w:rsidRDefault="00C9677E" w:rsidP="00C86F6B">
            <w:pPr>
              <w:tabs>
                <w:tab w:val="left" w:pos="9914"/>
              </w:tabs>
              <w:rPr>
                <w:rFonts w:ascii="Calibri" w:hAnsi="Calibri" w:cs="Calibri"/>
                <w:sz w:val="18"/>
                <w:szCs w:val="18"/>
              </w:rPr>
            </w:pPr>
            <w:r w:rsidRPr="00C86F6B">
              <w:rPr>
                <w:rFonts w:ascii="Calibri" w:hAnsi="Calibri" w:cs="Calibri"/>
                <w:sz w:val="18"/>
                <w:szCs w:val="18"/>
              </w:rPr>
              <w:t>Słupki oznaczeniowe i oznaczeniowo-pomiarowe.</w:t>
            </w:r>
          </w:p>
        </w:tc>
      </w:tr>
      <w:tr w:rsidR="00C9677E" w:rsidRPr="00A23FB4" w14:paraId="491CE14D" w14:textId="77777777" w:rsidTr="00AD0C50">
        <w:tc>
          <w:tcPr>
            <w:tcW w:w="496" w:type="dxa"/>
          </w:tcPr>
          <w:p w14:paraId="5630FC03" w14:textId="77777777" w:rsidR="00C9677E" w:rsidRPr="00C86F6B" w:rsidRDefault="00C9677E" w:rsidP="00C86F6B">
            <w:pPr>
              <w:tabs>
                <w:tab w:val="left" w:pos="9914"/>
              </w:tabs>
              <w:rPr>
                <w:rFonts w:ascii="Calibri" w:hAnsi="Calibri" w:cs="Calibri"/>
                <w:sz w:val="18"/>
                <w:szCs w:val="18"/>
              </w:rPr>
            </w:pPr>
            <w:r w:rsidRPr="00C86F6B">
              <w:rPr>
                <w:rFonts w:ascii="Calibri" w:hAnsi="Calibri" w:cs="Calibri"/>
                <w:sz w:val="18"/>
                <w:szCs w:val="18"/>
              </w:rPr>
              <w:t>20.</w:t>
            </w:r>
          </w:p>
        </w:tc>
        <w:tc>
          <w:tcPr>
            <w:tcW w:w="2026" w:type="dxa"/>
          </w:tcPr>
          <w:p w14:paraId="3040F088" w14:textId="77777777" w:rsidR="00C9677E" w:rsidRPr="00C86F6B" w:rsidRDefault="00C9677E" w:rsidP="00C86F6B">
            <w:pPr>
              <w:tabs>
                <w:tab w:val="left" w:pos="9914"/>
              </w:tabs>
              <w:rPr>
                <w:rFonts w:ascii="Calibri" w:hAnsi="Calibri" w:cs="Calibri"/>
                <w:sz w:val="18"/>
                <w:szCs w:val="18"/>
              </w:rPr>
            </w:pPr>
            <w:r w:rsidRPr="00C86F6B">
              <w:rPr>
                <w:rFonts w:ascii="Calibri" w:hAnsi="Calibri" w:cs="Calibri"/>
                <w:sz w:val="18"/>
                <w:szCs w:val="18"/>
              </w:rPr>
              <w:t>E-16</w:t>
            </w:r>
          </w:p>
        </w:tc>
        <w:tc>
          <w:tcPr>
            <w:tcW w:w="6762" w:type="dxa"/>
          </w:tcPr>
          <w:p w14:paraId="46586B65" w14:textId="77777777" w:rsidR="00C9677E" w:rsidRPr="00C86F6B" w:rsidRDefault="00C9677E" w:rsidP="00C86F6B">
            <w:pPr>
              <w:tabs>
                <w:tab w:val="left" w:pos="9914"/>
              </w:tabs>
              <w:rPr>
                <w:rFonts w:ascii="Calibri" w:hAnsi="Calibri" w:cs="Calibri"/>
                <w:sz w:val="18"/>
                <w:szCs w:val="18"/>
              </w:rPr>
            </w:pPr>
            <w:r w:rsidRPr="00C86F6B">
              <w:rPr>
                <w:rFonts w:ascii="Calibri" w:hAnsi="Calibri" w:cs="Calibri"/>
                <w:sz w:val="18"/>
                <w:szCs w:val="18"/>
              </w:rPr>
              <w:t>Zalewy kablowe.</w:t>
            </w:r>
          </w:p>
        </w:tc>
      </w:tr>
    </w:tbl>
    <w:p w14:paraId="73FC181E" w14:textId="77777777" w:rsidR="00C9677E" w:rsidRPr="00A23FB4" w:rsidRDefault="00C9677E" w:rsidP="00C9677E">
      <w:pPr>
        <w:pStyle w:val="Nagwek4"/>
        <w:rPr>
          <w:rFonts w:asciiTheme="minorHAnsi" w:hAnsiTheme="minorHAnsi"/>
        </w:rPr>
      </w:pPr>
      <w:r w:rsidRPr="00A23FB4">
        <w:rPr>
          <w:rFonts w:asciiTheme="minorHAnsi" w:hAnsiTheme="minorHAnsi"/>
        </w:rPr>
        <w:t>10.2. Inne dokumenty</w:t>
      </w:r>
    </w:p>
    <w:p w14:paraId="29362C3D" w14:textId="77777777" w:rsidR="00C9677E" w:rsidRPr="00C86F6B" w:rsidRDefault="00C9677E" w:rsidP="00262498">
      <w:pPr>
        <w:pStyle w:val="Akapitzlist"/>
        <w:numPr>
          <w:ilvl w:val="0"/>
          <w:numId w:val="237"/>
        </w:numPr>
        <w:tabs>
          <w:tab w:val="left" w:pos="9914"/>
        </w:tabs>
        <w:rPr>
          <w:rFonts w:ascii="Calibri" w:hAnsi="Calibri" w:cs="Calibri"/>
          <w:sz w:val="18"/>
          <w:szCs w:val="18"/>
        </w:rPr>
      </w:pPr>
      <w:r w:rsidRPr="00C86F6B">
        <w:rPr>
          <w:rFonts w:ascii="Calibri" w:hAnsi="Calibri" w:cs="Calibri"/>
          <w:sz w:val="18"/>
          <w:szCs w:val="18"/>
        </w:rPr>
        <w:t>Przepisy budowy urządzeń elektrycznych. PBUE wyd. 1980 r.</w:t>
      </w:r>
    </w:p>
    <w:p w14:paraId="1E4BE506" w14:textId="77777777" w:rsidR="00C9677E" w:rsidRPr="00C86F6B" w:rsidRDefault="00C9677E" w:rsidP="00262498">
      <w:pPr>
        <w:pStyle w:val="Akapitzlist"/>
        <w:numPr>
          <w:ilvl w:val="0"/>
          <w:numId w:val="237"/>
        </w:numPr>
        <w:tabs>
          <w:tab w:val="left" w:pos="9914"/>
        </w:tabs>
        <w:rPr>
          <w:rFonts w:ascii="Calibri" w:hAnsi="Calibri" w:cs="Calibri"/>
          <w:sz w:val="18"/>
          <w:szCs w:val="18"/>
        </w:rPr>
      </w:pPr>
      <w:r w:rsidRPr="00C86F6B">
        <w:rPr>
          <w:rFonts w:ascii="Calibri" w:hAnsi="Calibri" w:cs="Calibri"/>
          <w:sz w:val="18"/>
          <w:szCs w:val="18"/>
        </w:rPr>
        <w:t>Rozporządzenie Ministra Budownictwa i Przemysłu Materiałów Budowlanych w sprawie bezpieczeństwa i higieny pracy przy wykonywaniu robót budowlano-montażowych i rozbiórkowych. Dz. U. Nr 13 z dnia 10.04.1972 r.</w:t>
      </w:r>
    </w:p>
    <w:p w14:paraId="609DC7E2" w14:textId="77777777" w:rsidR="00C9677E" w:rsidRPr="00C86F6B" w:rsidRDefault="00C9677E" w:rsidP="00262498">
      <w:pPr>
        <w:pStyle w:val="Akapitzlist"/>
        <w:numPr>
          <w:ilvl w:val="0"/>
          <w:numId w:val="237"/>
        </w:numPr>
        <w:tabs>
          <w:tab w:val="left" w:pos="9914"/>
        </w:tabs>
        <w:rPr>
          <w:rFonts w:ascii="Calibri" w:hAnsi="Calibri" w:cs="Calibri"/>
          <w:sz w:val="18"/>
          <w:szCs w:val="18"/>
        </w:rPr>
      </w:pPr>
      <w:r w:rsidRPr="00C86F6B">
        <w:rPr>
          <w:rFonts w:ascii="Calibri" w:hAnsi="Calibri" w:cs="Calibri"/>
          <w:sz w:val="18"/>
          <w:szCs w:val="18"/>
        </w:rPr>
        <w:t>Rozporządzenie Ministra Przemysłu z dnia 26.11.1990 r. w sprawie warunków technicznych, jakim powinny odpowiadać urządzenia elektroenergetyczne w zakresie ochrony przeciwporażeniowej. Dz. U. Nr 81 z dnia 26.11.1990 r.</w:t>
      </w:r>
    </w:p>
    <w:p w14:paraId="200A057E" w14:textId="77777777" w:rsidR="00C9677E" w:rsidRPr="00C86F6B" w:rsidRDefault="00C9677E" w:rsidP="00262498">
      <w:pPr>
        <w:pStyle w:val="Akapitzlist"/>
        <w:numPr>
          <w:ilvl w:val="0"/>
          <w:numId w:val="237"/>
        </w:numPr>
        <w:tabs>
          <w:tab w:val="left" w:pos="9914"/>
        </w:tabs>
        <w:rPr>
          <w:rFonts w:ascii="Calibri" w:hAnsi="Calibri" w:cs="Calibri"/>
          <w:sz w:val="18"/>
          <w:szCs w:val="18"/>
        </w:rPr>
      </w:pPr>
      <w:r w:rsidRPr="00C86F6B">
        <w:rPr>
          <w:rFonts w:ascii="Calibri" w:hAnsi="Calibri" w:cs="Calibri"/>
          <w:sz w:val="18"/>
          <w:szCs w:val="18"/>
        </w:rPr>
        <w:t>Zarządzenie nr 29 Ministra Górnictwa i Energetyki z dnia 17 lipca 1974 r. w sprawie doboru przewodów i kabli elektroenergetycznych do obciążeń prądem elektrycznym.</w:t>
      </w:r>
    </w:p>
    <w:p w14:paraId="3B8164D3" w14:textId="77777777" w:rsidR="00C9677E" w:rsidRPr="00C86F6B" w:rsidRDefault="00C9677E" w:rsidP="00262498">
      <w:pPr>
        <w:pStyle w:val="Akapitzlist"/>
        <w:numPr>
          <w:ilvl w:val="0"/>
          <w:numId w:val="237"/>
        </w:numPr>
        <w:tabs>
          <w:tab w:val="left" w:pos="9914"/>
        </w:tabs>
        <w:rPr>
          <w:rFonts w:ascii="Calibri" w:hAnsi="Calibri" w:cs="Calibri"/>
          <w:sz w:val="18"/>
          <w:szCs w:val="18"/>
        </w:rPr>
      </w:pPr>
      <w:r w:rsidRPr="00C86F6B">
        <w:rPr>
          <w:rFonts w:ascii="Calibri" w:hAnsi="Calibri" w:cs="Calibri"/>
          <w:sz w:val="18"/>
          <w:szCs w:val="18"/>
        </w:rPr>
        <w:t>Ustawa o drogach publicznych z dnia 21.03.1985 r. Dz. U. Nr 14 z dnia 15.04.1985 r.</w:t>
      </w:r>
    </w:p>
    <w:p w14:paraId="6E05D960" w14:textId="77777777" w:rsidR="00C9677E" w:rsidRPr="00A23FB4" w:rsidRDefault="00C9677E">
      <w:pPr>
        <w:overflowPunct/>
        <w:autoSpaceDE/>
        <w:autoSpaceDN/>
        <w:adjustRightInd/>
        <w:jc w:val="left"/>
        <w:textAlignment w:val="auto"/>
        <w:rPr>
          <w:rFonts w:asciiTheme="minorHAnsi" w:hAnsiTheme="minorHAnsi" w:cstheme="minorHAnsi"/>
          <w:b/>
          <w:sz w:val="22"/>
          <w:szCs w:val="22"/>
        </w:rPr>
      </w:pPr>
      <w:r w:rsidRPr="00A23FB4">
        <w:rPr>
          <w:rFonts w:asciiTheme="minorHAnsi" w:hAnsiTheme="minorHAnsi" w:cstheme="minorHAnsi"/>
          <w:b/>
          <w:sz w:val="22"/>
          <w:szCs w:val="22"/>
        </w:rPr>
        <w:br w:type="page"/>
      </w:r>
    </w:p>
    <w:p w14:paraId="71713933" w14:textId="0AA00B79" w:rsidR="00C9677E" w:rsidRPr="00A23FB4" w:rsidRDefault="00C9677E">
      <w:pPr>
        <w:overflowPunct/>
        <w:autoSpaceDE/>
        <w:autoSpaceDN/>
        <w:adjustRightInd/>
        <w:jc w:val="left"/>
        <w:textAlignment w:val="auto"/>
        <w:rPr>
          <w:rFonts w:asciiTheme="minorHAnsi" w:hAnsiTheme="minorHAnsi" w:cstheme="minorHAnsi"/>
          <w:b/>
          <w:sz w:val="22"/>
          <w:szCs w:val="22"/>
        </w:rPr>
      </w:pPr>
    </w:p>
    <w:p w14:paraId="1FAC4726" w14:textId="346703BD" w:rsidR="00C9677E" w:rsidRPr="00A23FB4" w:rsidRDefault="00783235" w:rsidP="00C9677E">
      <w:pPr>
        <w:spacing w:line="360" w:lineRule="auto"/>
        <w:jc w:val="center"/>
        <w:rPr>
          <w:rFonts w:ascii="Calibri" w:hAnsi="Calibri" w:cs="Calibri"/>
          <w:b/>
          <w:sz w:val="22"/>
          <w:szCs w:val="22"/>
        </w:rPr>
      </w:pPr>
      <w:r>
        <w:rPr>
          <w:rFonts w:ascii="Calibri" w:hAnsi="Calibri" w:cs="Calibri"/>
          <w:b/>
          <w:sz w:val="22"/>
          <w:szCs w:val="22"/>
        </w:rPr>
        <w:t>SZCZEGÓŁOWE SPECYFIKACJE TECHNICZNE</w:t>
      </w:r>
      <w:r w:rsidR="00C9677E" w:rsidRPr="00A23FB4">
        <w:rPr>
          <w:rFonts w:ascii="Calibri" w:hAnsi="Calibri" w:cs="Calibri"/>
          <w:b/>
          <w:sz w:val="22"/>
          <w:szCs w:val="22"/>
        </w:rPr>
        <w:t xml:space="preserve"> WYKONYWANIA I ODBIORU ROBÓT BUDOWLANYCH</w:t>
      </w:r>
    </w:p>
    <w:p w14:paraId="2F324CC1" w14:textId="77777777" w:rsidR="00C9677E" w:rsidRPr="00A23FB4" w:rsidRDefault="001E2EEB" w:rsidP="00577B07">
      <w:pPr>
        <w:pStyle w:val="Nagwek1"/>
        <w:spacing w:before="0" w:line="360" w:lineRule="auto"/>
        <w:rPr>
          <w:rFonts w:ascii="Calibri" w:hAnsi="Calibri" w:cs="Calibri"/>
          <w:sz w:val="22"/>
          <w:szCs w:val="22"/>
        </w:rPr>
      </w:pPr>
      <w:bookmarkStart w:id="69" w:name="_Toc206275471"/>
      <w:r>
        <w:rPr>
          <w:rFonts w:ascii="Calibri" w:hAnsi="Calibri" w:cs="Calibri"/>
          <w:sz w:val="22"/>
          <w:szCs w:val="22"/>
        </w:rPr>
        <w:t>D-</w:t>
      </w:r>
      <w:r w:rsidR="00C9677E" w:rsidRPr="00A23FB4">
        <w:rPr>
          <w:rFonts w:ascii="Calibri" w:hAnsi="Calibri" w:cs="Calibri"/>
          <w:sz w:val="22"/>
          <w:szCs w:val="22"/>
        </w:rPr>
        <w:t>01.03.04 PRZEBUDOWA  KABLOWYCH  LINII TELEKOMUNIKACYJNYCH</w:t>
      </w:r>
      <w:bookmarkEnd w:id="69"/>
    </w:p>
    <w:p w14:paraId="37B75AAF" w14:textId="77777777" w:rsidR="00C9677E" w:rsidRPr="00A23FB4" w:rsidRDefault="00C9677E" w:rsidP="00C9677E">
      <w:pPr>
        <w:pStyle w:val="Nagwek3"/>
        <w:rPr>
          <w:rFonts w:asciiTheme="minorHAnsi" w:hAnsiTheme="minorHAnsi"/>
        </w:rPr>
      </w:pPr>
      <w:bookmarkStart w:id="70" w:name="_Toc468518130"/>
      <w:r w:rsidRPr="00A23FB4">
        <w:rPr>
          <w:rFonts w:asciiTheme="minorHAnsi" w:hAnsiTheme="minorHAnsi"/>
        </w:rPr>
        <w:t>1. WSTĘP</w:t>
      </w:r>
      <w:bookmarkEnd w:id="70"/>
    </w:p>
    <w:p w14:paraId="101ECBDC" w14:textId="6F726669" w:rsidR="00C9677E" w:rsidRPr="00A23FB4" w:rsidRDefault="00C9677E" w:rsidP="00C9677E">
      <w:pPr>
        <w:pStyle w:val="Nagwek4"/>
        <w:rPr>
          <w:rFonts w:asciiTheme="minorHAnsi" w:hAnsiTheme="minorHAnsi"/>
        </w:rPr>
      </w:pPr>
      <w:r w:rsidRPr="00A23FB4">
        <w:rPr>
          <w:rFonts w:asciiTheme="minorHAnsi" w:hAnsiTheme="minorHAnsi"/>
        </w:rPr>
        <w:t>1.1. Przedmiot</w:t>
      </w:r>
      <w:r w:rsidR="00DC596B">
        <w:rPr>
          <w:rFonts w:asciiTheme="minorHAnsi" w:hAnsiTheme="minorHAnsi"/>
        </w:rPr>
        <w:t xml:space="preserve"> ST</w:t>
      </w:r>
      <w:r w:rsidRPr="00A23FB4">
        <w:rPr>
          <w:rFonts w:asciiTheme="minorHAnsi" w:hAnsiTheme="minorHAnsi"/>
        </w:rPr>
        <w:t>WiORB</w:t>
      </w:r>
    </w:p>
    <w:p w14:paraId="087F7A10" w14:textId="646927F5" w:rsidR="00C9677E" w:rsidRPr="00A23FB4" w:rsidRDefault="00C9677E" w:rsidP="00C9677E">
      <w:pPr>
        <w:pStyle w:val="tekstost"/>
        <w:rPr>
          <w:rFonts w:asciiTheme="minorHAnsi" w:hAnsiTheme="minorHAnsi" w:cstheme="minorHAnsi"/>
        </w:rPr>
      </w:pPr>
      <w:r w:rsidRPr="00A23FB4">
        <w:rPr>
          <w:rFonts w:asciiTheme="minorHAnsi" w:hAnsiTheme="minorHAnsi" w:cstheme="minorHAnsi"/>
        </w:rPr>
        <w:t>Przedmiotem niniejsz</w:t>
      </w:r>
      <w:r w:rsidR="008B531E">
        <w:rPr>
          <w:rFonts w:asciiTheme="minorHAnsi" w:hAnsiTheme="minorHAnsi" w:cstheme="minorHAnsi"/>
        </w:rPr>
        <w:t>ej</w:t>
      </w:r>
      <w:r w:rsidRPr="00A23FB4">
        <w:rPr>
          <w:rFonts w:asciiTheme="minorHAnsi" w:hAnsiTheme="minorHAnsi" w:cstheme="minorHAnsi"/>
        </w:rPr>
        <w:t xml:space="preserve"> </w:t>
      </w:r>
      <w:r w:rsidR="00783235">
        <w:rPr>
          <w:rFonts w:asciiTheme="minorHAnsi" w:hAnsiTheme="minorHAnsi" w:cstheme="minorHAnsi"/>
        </w:rPr>
        <w:t>Szczegółow</w:t>
      </w:r>
      <w:r w:rsidR="008B531E">
        <w:rPr>
          <w:rFonts w:asciiTheme="minorHAnsi" w:hAnsiTheme="minorHAnsi" w:cstheme="minorHAnsi"/>
        </w:rPr>
        <w:t>ej</w:t>
      </w:r>
      <w:r w:rsidR="00783235">
        <w:rPr>
          <w:rFonts w:asciiTheme="minorHAnsi" w:hAnsiTheme="minorHAnsi" w:cstheme="minorHAnsi"/>
        </w:rPr>
        <w:t xml:space="preserve"> Specyfikacji Techniczn</w:t>
      </w:r>
      <w:r w:rsidR="008B531E">
        <w:rPr>
          <w:rFonts w:asciiTheme="minorHAnsi" w:hAnsiTheme="minorHAnsi" w:cstheme="minorHAnsi"/>
        </w:rPr>
        <w:t>ej</w:t>
      </w:r>
      <w:r w:rsidRPr="00A23FB4">
        <w:rPr>
          <w:rFonts w:asciiTheme="minorHAnsi" w:hAnsiTheme="minorHAnsi" w:cstheme="minorHAnsi"/>
        </w:rPr>
        <w:t xml:space="preserve"> </w:t>
      </w:r>
      <w:r w:rsidR="00783235">
        <w:rPr>
          <w:rFonts w:asciiTheme="minorHAnsi" w:hAnsiTheme="minorHAnsi" w:cstheme="minorHAnsi"/>
        </w:rPr>
        <w:t>W</w:t>
      </w:r>
      <w:r w:rsidRPr="00A23FB4">
        <w:rPr>
          <w:rFonts w:asciiTheme="minorHAnsi" w:hAnsiTheme="minorHAnsi" w:cstheme="minorHAnsi"/>
        </w:rPr>
        <w:t xml:space="preserve">ykonania i </w:t>
      </w:r>
      <w:r w:rsidR="00783235">
        <w:rPr>
          <w:rFonts w:asciiTheme="minorHAnsi" w:hAnsiTheme="minorHAnsi" w:cstheme="minorHAnsi"/>
        </w:rPr>
        <w:t>O</w:t>
      </w:r>
      <w:r w:rsidRPr="00A23FB4">
        <w:rPr>
          <w:rFonts w:asciiTheme="minorHAnsi" w:hAnsiTheme="minorHAnsi" w:cstheme="minorHAnsi"/>
        </w:rPr>
        <w:t xml:space="preserve">dbioru </w:t>
      </w:r>
      <w:r w:rsidR="00783235">
        <w:rPr>
          <w:rFonts w:asciiTheme="minorHAnsi" w:hAnsiTheme="minorHAnsi" w:cstheme="minorHAnsi"/>
        </w:rPr>
        <w:t>R</w:t>
      </w:r>
      <w:r w:rsidRPr="00A23FB4">
        <w:rPr>
          <w:rFonts w:asciiTheme="minorHAnsi" w:hAnsiTheme="minorHAnsi" w:cstheme="minorHAnsi"/>
        </w:rPr>
        <w:t xml:space="preserve">obót </w:t>
      </w:r>
      <w:r w:rsidR="00783235">
        <w:rPr>
          <w:rFonts w:asciiTheme="minorHAnsi" w:hAnsiTheme="minorHAnsi" w:cstheme="minorHAnsi"/>
        </w:rPr>
        <w:t>B</w:t>
      </w:r>
      <w:r w:rsidRPr="00A23FB4">
        <w:rPr>
          <w:rFonts w:asciiTheme="minorHAnsi" w:hAnsiTheme="minorHAnsi" w:cstheme="minorHAnsi"/>
        </w:rPr>
        <w:t>udowlanych (</w:t>
      </w:r>
      <w:r w:rsidR="000907B8">
        <w:rPr>
          <w:rFonts w:asciiTheme="minorHAnsi" w:hAnsiTheme="minorHAnsi" w:cstheme="minorHAnsi"/>
        </w:rPr>
        <w:t>ST</w:t>
      </w:r>
      <w:r w:rsidRPr="00A23FB4">
        <w:rPr>
          <w:rFonts w:asciiTheme="minorHAnsi" w:hAnsiTheme="minorHAnsi" w:cstheme="minorHAnsi"/>
        </w:rPr>
        <w:t xml:space="preserve">WiORB) są wymagania dotyczące wykonania i odbioru przebudowy kablowych linii telekomunikacyjnych przy przebudowie </w:t>
      </w:r>
      <w:r w:rsidR="007F4946" w:rsidRPr="00A23FB4">
        <w:rPr>
          <w:rFonts w:asciiTheme="minorHAnsi" w:hAnsiTheme="minorHAnsi" w:cstheme="minorHAnsi"/>
        </w:rPr>
        <w:t>dróg</w:t>
      </w:r>
      <w:r w:rsidRPr="00A23FB4">
        <w:rPr>
          <w:rFonts w:asciiTheme="minorHAnsi" w:hAnsiTheme="minorHAnsi" w:cstheme="minorHAnsi"/>
        </w:rPr>
        <w:t>.</w:t>
      </w:r>
    </w:p>
    <w:p w14:paraId="1D7A61B3" w14:textId="63F2FB55" w:rsidR="00C9677E" w:rsidRPr="00A23FB4" w:rsidRDefault="00C9677E" w:rsidP="00C9677E">
      <w:pPr>
        <w:pStyle w:val="Nagwek4"/>
        <w:rPr>
          <w:rFonts w:asciiTheme="minorHAnsi" w:hAnsiTheme="minorHAnsi"/>
        </w:rPr>
      </w:pPr>
      <w:r w:rsidRPr="00A23FB4">
        <w:rPr>
          <w:rFonts w:asciiTheme="minorHAnsi" w:hAnsiTheme="minorHAnsi"/>
        </w:rPr>
        <w:t xml:space="preserve">1.2. Zakres stosowania </w:t>
      </w:r>
      <w:r w:rsidR="00DC596B">
        <w:rPr>
          <w:rFonts w:asciiTheme="minorHAnsi" w:hAnsiTheme="minorHAnsi"/>
        </w:rPr>
        <w:t>ST</w:t>
      </w:r>
      <w:r w:rsidRPr="00A23FB4">
        <w:rPr>
          <w:rFonts w:asciiTheme="minorHAnsi" w:hAnsiTheme="minorHAnsi"/>
        </w:rPr>
        <w:t>WiORB</w:t>
      </w:r>
    </w:p>
    <w:p w14:paraId="7B02D81B" w14:textId="0CE5BD5A" w:rsidR="00C9677E" w:rsidRDefault="00575C66" w:rsidP="00CF795A">
      <w:pPr>
        <w:overflowPunct/>
        <w:spacing w:before="240" w:line="276" w:lineRule="auto"/>
        <w:textAlignment w:val="auto"/>
        <w:rPr>
          <w:rFonts w:asciiTheme="minorHAnsi" w:hAnsiTheme="minorHAnsi" w:cstheme="minorHAnsi"/>
          <w:bCs/>
        </w:rPr>
      </w:pPr>
      <w:r>
        <w:rPr>
          <w:rFonts w:ascii="Calibri" w:hAnsi="Calibri" w:cs="Calibri"/>
        </w:rPr>
        <w:t>Specyfikacj</w:t>
      </w:r>
      <w:r w:rsidR="008B531E">
        <w:rPr>
          <w:rFonts w:ascii="Calibri" w:hAnsi="Calibri" w:cs="Calibri"/>
        </w:rPr>
        <w:t>a</w:t>
      </w:r>
      <w:r w:rsidRPr="00A23FB4">
        <w:rPr>
          <w:rFonts w:asciiTheme="minorHAnsi" w:hAnsiTheme="minorHAnsi" w:cs="Calibri"/>
        </w:rPr>
        <w:t xml:space="preserve"> </w:t>
      </w:r>
      <w:r w:rsidR="00C9677E" w:rsidRPr="00A23FB4">
        <w:rPr>
          <w:rFonts w:asciiTheme="minorHAnsi" w:hAnsiTheme="minorHAnsi" w:cs="Calibri"/>
        </w:rPr>
        <w:t>stanowi dokument kontraktowy przy realizacji  zadania</w:t>
      </w:r>
      <w:r w:rsidR="00A66985" w:rsidRPr="00A23FB4">
        <w:rPr>
          <w:rFonts w:asciiTheme="minorHAnsi" w:hAnsiTheme="minorHAnsi" w:cstheme="minorHAnsi"/>
          <w:bCs/>
        </w:rPr>
        <w:t xml:space="preserve"> </w:t>
      </w:r>
      <w:r w:rsidR="00506838">
        <w:rPr>
          <w:rFonts w:ascii="Calibri" w:hAnsi="Calibri" w:cs="Calibri"/>
        </w:rPr>
        <w:t>„</w:t>
      </w:r>
      <w:r w:rsidR="00DC596B" w:rsidRPr="00DC596B">
        <w:rPr>
          <w:rFonts w:ascii="Calibri" w:hAnsi="Calibri" w:cs="Calibri"/>
        </w:rPr>
        <w:t>Rozbudowa ul. Wrocławskiej w ciągu drogi powiatowej w Tyńcu Małym wraz z rozbudową istniejącego skrzyżowania typu rondo na połączeniu dróg krajowych nr 35 i 35a oraz łącznika węzła Kobierzyce drogi S8e oraz infrastrukturą towarzyszącą w ramach zadania „Rozbudowa skrzyżowania typu rondo w ciągu DK35 koło m. Tyniec Mały usprawniająca skomunikowanie obszarów Podstrefy Wrocław – Kobierzyce TSSE EURO PARK WISŁOSAN”.</w:t>
      </w:r>
    </w:p>
    <w:p w14:paraId="7AF5AD40" w14:textId="77777777" w:rsidR="00DC596B" w:rsidRPr="00CF795A" w:rsidRDefault="00DC596B" w:rsidP="00CF795A">
      <w:pPr>
        <w:overflowPunct/>
        <w:spacing w:before="240" w:line="276" w:lineRule="auto"/>
        <w:textAlignment w:val="auto"/>
        <w:rPr>
          <w:rFonts w:ascii="Calibri" w:hAnsi="Calibri" w:cs="Calibri"/>
        </w:rPr>
      </w:pPr>
    </w:p>
    <w:p w14:paraId="372979F9" w14:textId="4893C532" w:rsidR="00C9677E" w:rsidRPr="00A23FB4" w:rsidRDefault="00C9677E" w:rsidP="00C9677E">
      <w:pPr>
        <w:rPr>
          <w:rFonts w:asciiTheme="minorHAnsi" w:hAnsiTheme="minorHAnsi"/>
          <w:b/>
          <w:bCs/>
        </w:rPr>
      </w:pPr>
      <w:r w:rsidRPr="00A23FB4">
        <w:rPr>
          <w:rFonts w:asciiTheme="minorHAnsi" w:hAnsiTheme="minorHAnsi"/>
          <w:b/>
          <w:bCs/>
        </w:rPr>
        <w:t xml:space="preserve">1.3. Zakres robót objętych </w:t>
      </w:r>
      <w:r w:rsidR="00DC596B">
        <w:rPr>
          <w:rFonts w:asciiTheme="minorHAnsi" w:hAnsiTheme="minorHAnsi"/>
          <w:b/>
          <w:bCs/>
        </w:rPr>
        <w:t>ST</w:t>
      </w:r>
      <w:r w:rsidRPr="00A23FB4">
        <w:rPr>
          <w:rFonts w:asciiTheme="minorHAnsi" w:hAnsiTheme="minorHAnsi"/>
          <w:b/>
          <w:bCs/>
        </w:rPr>
        <w:t>WiORB</w:t>
      </w:r>
    </w:p>
    <w:p w14:paraId="4D390A2A" w14:textId="27D1C12F" w:rsidR="00C9677E" w:rsidRPr="00A23FB4" w:rsidRDefault="00C9677E" w:rsidP="00C9677E">
      <w:pPr>
        <w:rPr>
          <w:rFonts w:asciiTheme="minorHAnsi" w:hAnsiTheme="minorHAnsi" w:cstheme="minorHAnsi"/>
        </w:rPr>
      </w:pPr>
      <w:r w:rsidRPr="00A23FB4">
        <w:rPr>
          <w:rFonts w:asciiTheme="minorHAnsi" w:hAnsiTheme="minorHAnsi" w:cstheme="minorHAnsi"/>
        </w:rPr>
        <w:t xml:space="preserve">Roboty omówione w </w:t>
      </w:r>
      <w:r w:rsidR="00F439CE">
        <w:rPr>
          <w:rFonts w:asciiTheme="minorHAnsi" w:hAnsiTheme="minorHAnsi" w:cstheme="minorHAnsi"/>
        </w:rPr>
        <w:t>ST</w:t>
      </w:r>
      <w:r w:rsidRPr="00A23FB4">
        <w:rPr>
          <w:rFonts w:asciiTheme="minorHAnsi" w:hAnsiTheme="minorHAnsi" w:cstheme="minorHAnsi"/>
        </w:rPr>
        <w:t>WiORB mają zastosowanie do przebudowy kablowych linii telekomuni</w:t>
      </w:r>
      <w:r w:rsidR="007F4946" w:rsidRPr="00A23FB4">
        <w:rPr>
          <w:rFonts w:asciiTheme="minorHAnsi" w:hAnsiTheme="minorHAnsi" w:cstheme="minorHAnsi"/>
        </w:rPr>
        <w:t>kacyjnych przy przebudowie drogi</w:t>
      </w:r>
      <w:r w:rsidRPr="00A23FB4">
        <w:rPr>
          <w:rFonts w:asciiTheme="minorHAnsi" w:hAnsiTheme="minorHAnsi" w:cstheme="minorHAnsi"/>
        </w:rPr>
        <w:t>.</w:t>
      </w:r>
    </w:p>
    <w:p w14:paraId="2047DCC1" w14:textId="77777777" w:rsidR="00C9677E" w:rsidRPr="00A23FB4" w:rsidRDefault="00C9677E" w:rsidP="00C9677E">
      <w:pPr>
        <w:pStyle w:val="Nagwek4"/>
        <w:rPr>
          <w:rFonts w:asciiTheme="minorHAnsi" w:hAnsiTheme="minorHAnsi"/>
        </w:rPr>
      </w:pPr>
      <w:r w:rsidRPr="00A23FB4">
        <w:rPr>
          <w:rFonts w:asciiTheme="minorHAnsi" w:hAnsiTheme="minorHAnsi"/>
        </w:rPr>
        <w:t>1.4. Określenia podstawowe</w:t>
      </w:r>
    </w:p>
    <w:p w14:paraId="7FEC9660" w14:textId="77777777" w:rsidR="00C9677E" w:rsidRPr="00A23FB4" w:rsidRDefault="00C9677E" w:rsidP="00262498">
      <w:pPr>
        <w:numPr>
          <w:ilvl w:val="0"/>
          <w:numId w:val="51"/>
        </w:numPr>
        <w:tabs>
          <w:tab w:val="left" w:pos="0"/>
        </w:tabs>
        <w:ind w:left="0" w:firstLine="0"/>
        <w:rPr>
          <w:rFonts w:asciiTheme="minorHAnsi" w:hAnsiTheme="minorHAnsi" w:cstheme="minorHAnsi"/>
        </w:rPr>
      </w:pPr>
      <w:r w:rsidRPr="00A23FB4">
        <w:rPr>
          <w:rFonts w:asciiTheme="minorHAnsi" w:hAnsiTheme="minorHAnsi" w:cstheme="minorHAnsi"/>
        </w:rPr>
        <w:t>Kanalizacja kablowa - zespół ciągów podziemnych z wbudowanymi studniami przeznaczony do prowadzenia kabli telekomunikacyjnych.</w:t>
      </w:r>
    </w:p>
    <w:p w14:paraId="3251DEE8" w14:textId="77777777" w:rsidR="00C9677E" w:rsidRPr="00A23FB4" w:rsidRDefault="00C9677E" w:rsidP="00262498">
      <w:pPr>
        <w:numPr>
          <w:ilvl w:val="0"/>
          <w:numId w:val="51"/>
        </w:numPr>
        <w:spacing w:before="120" w:after="120"/>
        <w:ind w:left="0" w:firstLine="0"/>
        <w:rPr>
          <w:rFonts w:asciiTheme="minorHAnsi" w:hAnsiTheme="minorHAnsi" w:cstheme="minorHAnsi"/>
        </w:rPr>
      </w:pPr>
      <w:r w:rsidRPr="00A23FB4">
        <w:rPr>
          <w:rFonts w:asciiTheme="minorHAnsi" w:hAnsiTheme="minorHAnsi" w:cstheme="minorHAnsi"/>
        </w:rPr>
        <w:t xml:space="preserve">Kanalizacja magistralna - kanalizacja kablowa wielootworowa przeznaczona do kabli linii magistralnych, międzycentralowych, międzymiastowych okręgowych i pośrednich. </w:t>
      </w:r>
    </w:p>
    <w:p w14:paraId="09E131D7" w14:textId="77777777" w:rsidR="00C9677E" w:rsidRPr="00A23FB4" w:rsidRDefault="00C9677E" w:rsidP="00262498">
      <w:pPr>
        <w:numPr>
          <w:ilvl w:val="0"/>
          <w:numId w:val="51"/>
        </w:numPr>
        <w:spacing w:after="120"/>
        <w:ind w:left="0" w:firstLine="0"/>
        <w:rPr>
          <w:rFonts w:asciiTheme="minorHAnsi" w:hAnsiTheme="minorHAnsi" w:cstheme="minorHAnsi"/>
        </w:rPr>
      </w:pPr>
      <w:r w:rsidRPr="00A23FB4">
        <w:rPr>
          <w:rFonts w:asciiTheme="minorHAnsi" w:hAnsiTheme="minorHAnsi" w:cstheme="minorHAnsi"/>
        </w:rPr>
        <w:t>Kanalizacja rozdzielcza - kanalizacja kablowa jedno- lub dwutorowa przeznaczona do kabli linii rozdzielczych.</w:t>
      </w:r>
    </w:p>
    <w:p w14:paraId="1F41CA7E" w14:textId="77777777" w:rsidR="00C9677E" w:rsidRPr="00A23FB4" w:rsidRDefault="00C9677E" w:rsidP="00262498">
      <w:pPr>
        <w:numPr>
          <w:ilvl w:val="0"/>
          <w:numId w:val="51"/>
        </w:numPr>
        <w:spacing w:after="120"/>
        <w:ind w:left="0" w:firstLine="0"/>
        <w:rPr>
          <w:rFonts w:asciiTheme="minorHAnsi" w:hAnsiTheme="minorHAnsi" w:cstheme="minorHAnsi"/>
        </w:rPr>
      </w:pPr>
      <w:r w:rsidRPr="00A23FB4">
        <w:rPr>
          <w:rFonts w:asciiTheme="minorHAnsi" w:hAnsiTheme="minorHAnsi" w:cstheme="minorHAnsi"/>
        </w:rPr>
        <w:t>Blok kanalizacji kablowej - blok betonowy z jednym lub wieloma otworami stosowany do zestawienia ciągów kanalizacji kablowej.</w:t>
      </w:r>
    </w:p>
    <w:p w14:paraId="3A01FEE4" w14:textId="77777777" w:rsidR="00C9677E" w:rsidRPr="00A23FB4" w:rsidRDefault="00C9677E" w:rsidP="00262498">
      <w:pPr>
        <w:numPr>
          <w:ilvl w:val="0"/>
          <w:numId w:val="51"/>
        </w:numPr>
        <w:spacing w:after="120"/>
        <w:ind w:left="0" w:firstLine="0"/>
        <w:rPr>
          <w:rFonts w:asciiTheme="minorHAnsi" w:hAnsiTheme="minorHAnsi" w:cstheme="minorHAnsi"/>
        </w:rPr>
      </w:pPr>
      <w:r w:rsidRPr="00A23FB4">
        <w:rPr>
          <w:rFonts w:asciiTheme="minorHAnsi" w:hAnsiTheme="minorHAnsi" w:cstheme="minorHAnsi"/>
        </w:rPr>
        <w:t>Ciąg kanalizacji - bloki kanalizacji kablowej lub rury ułożone w wykopie jeden za drugim i połączone pojedynczo lub w zestawach pozwalających uzyskać potrzebną liczbę otworów kanalizacji.</w:t>
      </w:r>
    </w:p>
    <w:p w14:paraId="799C56BA" w14:textId="77777777" w:rsidR="00C9677E" w:rsidRPr="00A23FB4" w:rsidRDefault="00C9677E" w:rsidP="00262498">
      <w:pPr>
        <w:numPr>
          <w:ilvl w:val="0"/>
          <w:numId w:val="51"/>
        </w:numPr>
        <w:tabs>
          <w:tab w:val="left" w:pos="0"/>
        </w:tabs>
        <w:spacing w:after="120"/>
        <w:ind w:left="0" w:firstLine="0"/>
        <w:rPr>
          <w:rFonts w:asciiTheme="minorHAnsi" w:hAnsiTheme="minorHAnsi" w:cstheme="minorHAnsi"/>
        </w:rPr>
      </w:pPr>
      <w:r w:rsidRPr="00A23FB4">
        <w:rPr>
          <w:rFonts w:asciiTheme="minorHAnsi" w:hAnsiTheme="minorHAnsi" w:cstheme="minorHAnsi"/>
        </w:rPr>
        <w:t>Studnia kablowa - pomieszczenia podziemne wbudowane między ciągi kanalizacji kablowej w celu umożliwienia wciągania, montażu i konserwacji kabli.</w:t>
      </w:r>
    </w:p>
    <w:p w14:paraId="7DB81EF8" w14:textId="77777777" w:rsidR="00C9677E" w:rsidRPr="00A23FB4" w:rsidRDefault="00C9677E" w:rsidP="00262498">
      <w:pPr>
        <w:numPr>
          <w:ilvl w:val="0"/>
          <w:numId w:val="51"/>
        </w:numPr>
        <w:tabs>
          <w:tab w:val="left" w:pos="0"/>
        </w:tabs>
        <w:spacing w:after="120"/>
        <w:ind w:left="0" w:firstLine="0"/>
        <w:rPr>
          <w:rFonts w:asciiTheme="minorHAnsi" w:hAnsiTheme="minorHAnsi" w:cstheme="minorHAnsi"/>
        </w:rPr>
      </w:pPr>
      <w:r w:rsidRPr="00A23FB4">
        <w:rPr>
          <w:rFonts w:asciiTheme="minorHAnsi" w:hAnsiTheme="minorHAnsi" w:cstheme="minorHAnsi"/>
        </w:rPr>
        <w:t>Studnia kablowa magistralna - studnia kablowa wbudowana między ciągi kanalizacji magistralnej.</w:t>
      </w:r>
    </w:p>
    <w:p w14:paraId="1B89049C" w14:textId="77777777" w:rsidR="00C9677E" w:rsidRPr="00A23FB4" w:rsidRDefault="00C9677E" w:rsidP="00262498">
      <w:pPr>
        <w:numPr>
          <w:ilvl w:val="0"/>
          <w:numId w:val="51"/>
        </w:numPr>
        <w:tabs>
          <w:tab w:val="left" w:pos="0"/>
        </w:tabs>
        <w:spacing w:after="120"/>
        <w:ind w:left="0" w:firstLine="0"/>
        <w:rPr>
          <w:rFonts w:asciiTheme="minorHAnsi" w:hAnsiTheme="minorHAnsi" w:cstheme="minorHAnsi"/>
        </w:rPr>
      </w:pPr>
      <w:r w:rsidRPr="00A23FB4">
        <w:rPr>
          <w:rFonts w:asciiTheme="minorHAnsi" w:hAnsiTheme="minorHAnsi" w:cstheme="minorHAnsi"/>
        </w:rPr>
        <w:t>Studnia kablowa rozdzielcza - studnia kablowa wbudowana między ciągi kanalizacji rozdzielczej.</w:t>
      </w:r>
    </w:p>
    <w:p w14:paraId="72829987" w14:textId="77777777" w:rsidR="00C9677E" w:rsidRPr="00A23FB4" w:rsidRDefault="00C9677E" w:rsidP="00262498">
      <w:pPr>
        <w:numPr>
          <w:ilvl w:val="0"/>
          <w:numId w:val="51"/>
        </w:numPr>
        <w:tabs>
          <w:tab w:val="left" w:pos="0"/>
        </w:tabs>
        <w:spacing w:after="120"/>
        <w:ind w:left="0" w:firstLine="0"/>
        <w:rPr>
          <w:rFonts w:asciiTheme="minorHAnsi" w:hAnsiTheme="minorHAnsi" w:cstheme="minorHAnsi"/>
        </w:rPr>
      </w:pPr>
      <w:r w:rsidRPr="00A23FB4">
        <w:rPr>
          <w:rFonts w:asciiTheme="minorHAnsi" w:hAnsiTheme="minorHAnsi" w:cstheme="minorHAnsi"/>
        </w:rPr>
        <w:t>Studnia kablowa szafkowa - studnia kablowa przed szafką lub rozdzielnicą kablową.</w:t>
      </w:r>
    </w:p>
    <w:p w14:paraId="1748CD7A" w14:textId="77777777" w:rsidR="00C9677E" w:rsidRPr="00A23FB4" w:rsidRDefault="00C9677E" w:rsidP="00262498">
      <w:pPr>
        <w:numPr>
          <w:ilvl w:val="0"/>
          <w:numId w:val="51"/>
        </w:numPr>
        <w:tabs>
          <w:tab w:val="left" w:pos="0"/>
        </w:tabs>
        <w:spacing w:after="120"/>
        <w:ind w:left="0" w:firstLine="0"/>
        <w:rPr>
          <w:rFonts w:asciiTheme="minorHAnsi" w:hAnsiTheme="minorHAnsi" w:cstheme="minorHAnsi"/>
        </w:rPr>
      </w:pPr>
      <w:r w:rsidRPr="00A23FB4">
        <w:rPr>
          <w:rFonts w:asciiTheme="minorHAnsi" w:hAnsiTheme="minorHAnsi" w:cstheme="minorHAnsi"/>
        </w:rPr>
        <w:t>Szafka kablowa - metalowe lub z mas termoplastycznych pudło wraz z konstrukcją wsporczą do montażu głowic kablowych.</w:t>
      </w:r>
    </w:p>
    <w:p w14:paraId="5EFF777E" w14:textId="77777777" w:rsidR="00C9677E" w:rsidRPr="00A23FB4" w:rsidRDefault="00C9677E" w:rsidP="00262498">
      <w:pPr>
        <w:numPr>
          <w:ilvl w:val="0"/>
          <w:numId w:val="51"/>
        </w:numPr>
        <w:tabs>
          <w:tab w:val="left" w:pos="0"/>
        </w:tabs>
        <w:spacing w:after="120"/>
        <w:ind w:left="0" w:firstLine="0"/>
        <w:rPr>
          <w:rFonts w:asciiTheme="minorHAnsi" w:hAnsiTheme="minorHAnsi" w:cstheme="minorHAnsi"/>
        </w:rPr>
      </w:pPr>
      <w:r w:rsidRPr="00A23FB4">
        <w:rPr>
          <w:rFonts w:asciiTheme="minorHAnsi" w:hAnsiTheme="minorHAnsi" w:cstheme="minorHAnsi"/>
        </w:rPr>
        <w:t>Kablowa sieć miejscowa - sieć łączy telefonicznych z urządzeniami liniowymi, łącząca centrale telefoniczne między sobą oraz centrale telefoniczne ze stacjami abonenckimi.</w:t>
      </w:r>
    </w:p>
    <w:p w14:paraId="09980321" w14:textId="77777777" w:rsidR="00C9677E" w:rsidRPr="00A23FB4" w:rsidRDefault="00C9677E" w:rsidP="00262498">
      <w:pPr>
        <w:numPr>
          <w:ilvl w:val="0"/>
          <w:numId w:val="51"/>
        </w:numPr>
        <w:tabs>
          <w:tab w:val="left" w:pos="0"/>
        </w:tabs>
        <w:spacing w:after="120"/>
        <w:ind w:left="0" w:firstLine="0"/>
        <w:rPr>
          <w:rFonts w:asciiTheme="minorHAnsi" w:hAnsiTheme="minorHAnsi" w:cstheme="minorHAnsi"/>
        </w:rPr>
      </w:pPr>
      <w:r w:rsidRPr="00A23FB4">
        <w:rPr>
          <w:rFonts w:asciiTheme="minorHAnsi" w:hAnsiTheme="minorHAnsi" w:cstheme="minorHAnsi"/>
        </w:rPr>
        <w:t>Sieć międzycentralowa - część linii miejscowej obejmująca linie łączące centrale telefoniczne w jednym mieście.</w:t>
      </w:r>
    </w:p>
    <w:p w14:paraId="27BCC11D" w14:textId="77777777" w:rsidR="00C9677E" w:rsidRPr="00A23FB4" w:rsidRDefault="00C9677E" w:rsidP="00262498">
      <w:pPr>
        <w:numPr>
          <w:ilvl w:val="0"/>
          <w:numId w:val="51"/>
        </w:numPr>
        <w:tabs>
          <w:tab w:val="left" w:pos="0"/>
        </w:tabs>
        <w:spacing w:after="120"/>
        <w:ind w:left="0" w:firstLine="0"/>
        <w:rPr>
          <w:rFonts w:asciiTheme="minorHAnsi" w:hAnsiTheme="minorHAnsi" w:cstheme="minorHAnsi"/>
        </w:rPr>
      </w:pPr>
      <w:r w:rsidRPr="00A23FB4">
        <w:rPr>
          <w:rFonts w:asciiTheme="minorHAnsi" w:hAnsiTheme="minorHAnsi" w:cstheme="minorHAnsi"/>
        </w:rPr>
        <w:t>Sieć abonencka - część sieci miejscowej od centrali miejscowej do aparatów telefonicznych.</w:t>
      </w:r>
    </w:p>
    <w:p w14:paraId="0F492AE3" w14:textId="77777777" w:rsidR="00C9677E" w:rsidRPr="00A23FB4" w:rsidRDefault="00C9677E" w:rsidP="00262498">
      <w:pPr>
        <w:numPr>
          <w:ilvl w:val="0"/>
          <w:numId w:val="51"/>
        </w:numPr>
        <w:tabs>
          <w:tab w:val="left" w:pos="0"/>
        </w:tabs>
        <w:spacing w:after="120"/>
        <w:ind w:left="0" w:firstLine="0"/>
        <w:rPr>
          <w:rFonts w:asciiTheme="minorHAnsi" w:hAnsiTheme="minorHAnsi" w:cstheme="minorHAnsi"/>
        </w:rPr>
      </w:pPr>
      <w:r w:rsidRPr="00A23FB4">
        <w:rPr>
          <w:rFonts w:asciiTheme="minorHAnsi" w:hAnsiTheme="minorHAnsi" w:cstheme="minorHAnsi"/>
        </w:rPr>
        <w:t>Sieć magistralna - część linii abonenckiej obejmująca linie od szafek kablowych do głowic, puszek i skrzynek kablowych.</w:t>
      </w:r>
    </w:p>
    <w:p w14:paraId="04FF0688" w14:textId="77777777" w:rsidR="00C9677E" w:rsidRPr="00A23FB4" w:rsidRDefault="00C9677E" w:rsidP="00262498">
      <w:pPr>
        <w:numPr>
          <w:ilvl w:val="0"/>
          <w:numId w:val="51"/>
        </w:numPr>
        <w:tabs>
          <w:tab w:val="left" w:pos="0"/>
        </w:tabs>
        <w:spacing w:after="120"/>
        <w:ind w:left="0" w:firstLine="0"/>
        <w:rPr>
          <w:rFonts w:asciiTheme="minorHAnsi" w:hAnsiTheme="minorHAnsi" w:cstheme="minorHAnsi"/>
        </w:rPr>
      </w:pPr>
      <w:r w:rsidRPr="00A23FB4">
        <w:rPr>
          <w:rFonts w:asciiTheme="minorHAnsi" w:hAnsiTheme="minorHAnsi" w:cstheme="minorHAnsi"/>
        </w:rPr>
        <w:t>Sieć rozdzielcza - część linii abonenckiej obejmująca linie od szafek kablowych do głowic, puszek i skrzynek kablowych.</w:t>
      </w:r>
    </w:p>
    <w:p w14:paraId="46AA4E7F" w14:textId="77777777" w:rsidR="00C9677E" w:rsidRPr="00A23FB4" w:rsidRDefault="00C9677E" w:rsidP="00262498">
      <w:pPr>
        <w:numPr>
          <w:ilvl w:val="0"/>
          <w:numId w:val="51"/>
        </w:numPr>
        <w:tabs>
          <w:tab w:val="left" w:pos="0"/>
        </w:tabs>
        <w:spacing w:after="120"/>
        <w:ind w:left="0" w:firstLine="0"/>
        <w:rPr>
          <w:rFonts w:asciiTheme="minorHAnsi" w:hAnsiTheme="minorHAnsi" w:cstheme="minorHAnsi"/>
        </w:rPr>
      </w:pPr>
      <w:r w:rsidRPr="00A23FB4">
        <w:rPr>
          <w:rFonts w:asciiTheme="minorHAnsi" w:hAnsiTheme="minorHAnsi" w:cstheme="minorHAnsi"/>
        </w:rPr>
        <w:t>Łącze - zestaw przewodów i urządzeń między centralami, centralą a aparatem abonenckim.</w:t>
      </w:r>
    </w:p>
    <w:p w14:paraId="0E9235BB" w14:textId="77777777" w:rsidR="00C9677E" w:rsidRPr="00A23FB4" w:rsidRDefault="00C9677E" w:rsidP="00262498">
      <w:pPr>
        <w:numPr>
          <w:ilvl w:val="0"/>
          <w:numId w:val="51"/>
        </w:numPr>
        <w:tabs>
          <w:tab w:val="left" w:pos="0"/>
        </w:tabs>
        <w:spacing w:after="120"/>
        <w:ind w:left="0" w:firstLine="0"/>
        <w:rPr>
          <w:rFonts w:asciiTheme="minorHAnsi" w:hAnsiTheme="minorHAnsi" w:cstheme="minorHAnsi"/>
        </w:rPr>
      </w:pPr>
      <w:r w:rsidRPr="00A23FB4">
        <w:rPr>
          <w:rFonts w:asciiTheme="minorHAnsi" w:hAnsiTheme="minorHAnsi" w:cstheme="minorHAnsi"/>
        </w:rPr>
        <w:t>Tor abonencki - para żył kablowych lub napowietrznych między centralą a aparatem telefonicznym.</w:t>
      </w:r>
    </w:p>
    <w:p w14:paraId="1A240760" w14:textId="77777777" w:rsidR="00C9677E" w:rsidRPr="00A23FB4" w:rsidRDefault="00C9677E" w:rsidP="00262498">
      <w:pPr>
        <w:numPr>
          <w:ilvl w:val="0"/>
          <w:numId w:val="51"/>
        </w:numPr>
        <w:tabs>
          <w:tab w:val="left" w:pos="0"/>
        </w:tabs>
        <w:spacing w:after="120"/>
        <w:ind w:left="0" w:firstLine="0"/>
        <w:rPr>
          <w:rFonts w:asciiTheme="minorHAnsi" w:hAnsiTheme="minorHAnsi" w:cstheme="minorHAnsi"/>
        </w:rPr>
      </w:pPr>
      <w:r w:rsidRPr="00A23FB4">
        <w:rPr>
          <w:rFonts w:asciiTheme="minorHAnsi" w:hAnsiTheme="minorHAnsi" w:cstheme="minorHAnsi"/>
        </w:rPr>
        <w:t>Tor międzycentralowy - dwie lub trzy żyły w linii pomiędzy centralami w jednym mieście.</w:t>
      </w:r>
    </w:p>
    <w:p w14:paraId="733BA971" w14:textId="77777777" w:rsidR="00C9677E" w:rsidRPr="00A23FB4" w:rsidRDefault="00C9677E" w:rsidP="00262498">
      <w:pPr>
        <w:numPr>
          <w:ilvl w:val="0"/>
          <w:numId w:val="51"/>
        </w:numPr>
        <w:tabs>
          <w:tab w:val="left" w:pos="0"/>
        </w:tabs>
        <w:spacing w:after="120"/>
        <w:ind w:left="0" w:firstLine="0"/>
        <w:rPr>
          <w:rFonts w:asciiTheme="minorHAnsi" w:hAnsiTheme="minorHAnsi" w:cstheme="minorHAnsi"/>
        </w:rPr>
      </w:pPr>
      <w:r w:rsidRPr="00A23FB4">
        <w:rPr>
          <w:rFonts w:asciiTheme="minorHAnsi" w:hAnsiTheme="minorHAnsi" w:cstheme="minorHAnsi"/>
        </w:rPr>
        <w:t>Telekomunikacyjna linia kablowa dalekosiężna - linia wybudowana z kabli typu dalekosiężnego.</w:t>
      </w:r>
    </w:p>
    <w:p w14:paraId="52E03D66" w14:textId="77777777" w:rsidR="00C9677E" w:rsidRPr="00A23FB4" w:rsidRDefault="00C9677E" w:rsidP="00262498">
      <w:pPr>
        <w:numPr>
          <w:ilvl w:val="0"/>
          <w:numId w:val="51"/>
        </w:numPr>
        <w:tabs>
          <w:tab w:val="left" w:pos="0"/>
        </w:tabs>
        <w:spacing w:after="120"/>
        <w:ind w:left="0" w:firstLine="0"/>
        <w:rPr>
          <w:rFonts w:asciiTheme="minorHAnsi" w:hAnsiTheme="minorHAnsi" w:cstheme="minorHAnsi"/>
        </w:rPr>
      </w:pPr>
      <w:r w:rsidRPr="00A23FB4">
        <w:rPr>
          <w:rFonts w:asciiTheme="minorHAnsi" w:hAnsiTheme="minorHAnsi" w:cstheme="minorHAnsi"/>
        </w:rPr>
        <w:t>Telekomunikacyjna linia kablowa międzymiastowa - linia łącząca co najmniej dwie centrale międzymiastowe.</w:t>
      </w:r>
    </w:p>
    <w:p w14:paraId="7FA05AE0" w14:textId="77777777" w:rsidR="00C9677E" w:rsidRPr="00A23FB4" w:rsidRDefault="00C9677E" w:rsidP="00262498">
      <w:pPr>
        <w:numPr>
          <w:ilvl w:val="0"/>
          <w:numId w:val="51"/>
        </w:numPr>
        <w:tabs>
          <w:tab w:val="left" w:pos="0"/>
        </w:tabs>
        <w:spacing w:after="120"/>
        <w:ind w:left="0" w:firstLine="0"/>
        <w:rPr>
          <w:rFonts w:asciiTheme="minorHAnsi" w:hAnsiTheme="minorHAnsi" w:cstheme="minorHAnsi"/>
        </w:rPr>
      </w:pPr>
      <w:r w:rsidRPr="00A23FB4">
        <w:rPr>
          <w:rFonts w:asciiTheme="minorHAnsi" w:hAnsiTheme="minorHAnsi" w:cstheme="minorHAnsi"/>
        </w:rPr>
        <w:t>Telekomunikacyjna linia kablowa wewnątrzstrefowa - linia łącząca centralę okręgową z centralą międzymiastową.</w:t>
      </w:r>
    </w:p>
    <w:p w14:paraId="45CB4800" w14:textId="77777777" w:rsidR="00C9677E" w:rsidRPr="00A23FB4" w:rsidRDefault="00C9677E" w:rsidP="00262498">
      <w:pPr>
        <w:numPr>
          <w:ilvl w:val="0"/>
          <w:numId w:val="51"/>
        </w:numPr>
        <w:tabs>
          <w:tab w:val="left" w:pos="0"/>
        </w:tabs>
        <w:spacing w:after="120"/>
        <w:ind w:left="0" w:firstLine="0"/>
        <w:rPr>
          <w:rFonts w:asciiTheme="minorHAnsi" w:hAnsiTheme="minorHAnsi" w:cstheme="minorHAnsi"/>
        </w:rPr>
      </w:pPr>
      <w:r w:rsidRPr="00A23FB4">
        <w:rPr>
          <w:rFonts w:asciiTheme="minorHAnsi" w:hAnsiTheme="minorHAnsi" w:cstheme="minorHAnsi"/>
        </w:rPr>
        <w:t>Odcinek wzmacniakowy - odcinek linii kablowej między dwoma sąsiednimi stacjami wzmacniakowymi.</w:t>
      </w:r>
    </w:p>
    <w:p w14:paraId="2295EEF6" w14:textId="77777777" w:rsidR="00C9677E" w:rsidRPr="00A23FB4" w:rsidRDefault="00C9677E" w:rsidP="00262498">
      <w:pPr>
        <w:numPr>
          <w:ilvl w:val="0"/>
          <w:numId w:val="51"/>
        </w:numPr>
        <w:tabs>
          <w:tab w:val="left" w:pos="0"/>
        </w:tabs>
        <w:spacing w:after="120"/>
        <w:ind w:left="0" w:firstLine="0"/>
        <w:rPr>
          <w:rFonts w:asciiTheme="minorHAnsi" w:hAnsiTheme="minorHAnsi" w:cstheme="minorHAnsi"/>
        </w:rPr>
      </w:pPr>
      <w:r w:rsidRPr="00A23FB4">
        <w:rPr>
          <w:rFonts w:asciiTheme="minorHAnsi" w:hAnsiTheme="minorHAnsi" w:cstheme="minorHAnsi"/>
        </w:rPr>
        <w:t>Długość trasowa linii kablowej lub jej odcinka - długość przebiegu trasy linii bez uwzględnienia falowania i zapasów kabla.</w:t>
      </w:r>
    </w:p>
    <w:p w14:paraId="6CFD075D" w14:textId="77777777" w:rsidR="00C9677E" w:rsidRPr="00A23FB4" w:rsidRDefault="00C9677E" w:rsidP="00262498">
      <w:pPr>
        <w:numPr>
          <w:ilvl w:val="0"/>
          <w:numId w:val="51"/>
        </w:numPr>
        <w:tabs>
          <w:tab w:val="left" w:pos="0"/>
        </w:tabs>
        <w:spacing w:after="120"/>
        <w:ind w:left="0" w:firstLine="0"/>
        <w:rPr>
          <w:rFonts w:asciiTheme="minorHAnsi" w:hAnsiTheme="minorHAnsi" w:cstheme="minorHAnsi"/>
        </w:rPr>
      </w:pPr>
      <w:r w:rsidRPr="00A23FB4">
        <w:rPr>
          <w:rFonts w:asciiTheme="minorHAnsi" w:hAnsiTheme="minorHAnsi" w:cstheme="minorHAnsi"/>
        </w:rPr>
        <w:t>Długość elektryczna - rzeczywista długość zmontowanego kabla z uwzględnieniem falowania i zapasów kabla.</w:t>
      </w:r>
    </w:p>
    <w:p w14:paraId="42107D3C" w14:textId="77777777" w:rsidR="00C9677E" w:rsidRPr="00A23FB4" w:rsidRDefault="00C9677E" w:rsidP="00262498">
      <w:pPr>
        <w:numPr>
          <w:ilvl w:val="0"/>
          <w:numId w:val="51"/>
        </w:numPr>
        <w:tabs>
          <w:tab w:val="left" w:pos="0"/>
        </w:tabs>
        <w:spacing w:after="120"/>
        <w:ind w:left="0" w:firstLine="0"/>
        <w:rPr>
          <w:rFonts w:asciiTheme="minorHAnsi" w:hAnsiTheme="minorHAnsi" w:cstheme="minorHAnsi"/>
        </w:rPr>
      </w:pPr>
      <w:r w:rsidRPr="00A23FB4">
        <w:rPr>
          <w:rFonts w:asciiTheme="minorHAnsi" w:hAnsiTheme="minorHAnsi" w:cstheme="minorHAnsi"/>
        </w:rPr>
        <w:t>Falowanie kabla - sposób układania kabla, przy którym długość kabla układanego jest większa od długości trasy, na której układa się kabel.</w:t>
      </w:r>
    </w:p>
    <w:p w14:paraId="0DA149C8" w14:textId="77777777" w:rsidR="00C9677E" w:rsidRPr="00A23FB4" w:rsidRDefault="00C9677E" w:rsidP="00262498">
      <w:pPr>
        <w:numPr>
          <w:ilvl w:val="0"/>
          <w:numId w:val="51"/>
        </w:numPr>
        <w:tabs>
          <w:tab w:val="left" w:pos="0"/>
        </w:tabs>
        <w:spacing w:after="120"/>
        <w:ind w:left="0" w:firstLine="0"/>
        <w:rPr>
          <w:rFonts w:asciiTheme="minorHAnsi" w:hAnsiTheme="minorHAnsi" w:cstheme="minorHAnsi"/>
        </w:rPr>
      </w:pPr>
      <w:r w:rsidRPr="00A23FB4">
        <w:rPr>
          <w:rFonts w:asciiTheme="minorHAnsi" w:hAnsiTheme="minorHAnsi" w:cstheme="minorHAnsi"/>
        </w:rPr>
        <w:t>Zespół pupinizacyjny - cewka lub odpowiednio połączony zespół cewek pupinizacyjnych w obudowie.</w:t>
      </w:r>
    </w:p>
    <w:p w14:paraId="7F982F1B" w14:textId="77777777" w:rsidR="00C9677E" w:rsidRPr="00A23FB4" w:rsidRDefault="00C9677E" w:rsidP="00262498">
      <w:pPr>
        <w:numPr>
          <w:ilvl w:val="0"/>
          <w:numId w:val="51"/>
        </w:numPr>
        <w:tabs>
          <w:tab w:val="left" w:pos="0"/>
        </w:tabs>
        <w:spacing w:after="120"/>
        <w:ind w:left="0" w:firstLine="0"/>
        <w:rPr>
          <w:rFonts w:asciiTheme="minorHAnsi" w:hAnsiTheme="minorHAnsi" w:cstheme="minorHAnsi"/>
        </w:rPr>
      </w:pPr>
      <w:r w:rsidRPr="00A23FB4">
        <w:rPr>
          <w:rFonts w:asciiTheme="minorHAnsi" w:hAnsiTheme="minorHAnsi" w:cstheme="minorHAnsi"/>
        </w:rPr>
        <w:t>Pupinizacja - wmontowanie w kabel dalekosiężny cewek, których zadaniem jest zrównanie reaktancji pojemnościowej z reaktancją indukcyjną kabla.</w:t>
      </w:r>
    </w:p>
    <w:p w14:paraId="0C541A85" w14:textId="46D9E49F" w:rsidR="00C9677E" w:rsidRPr="00A23FB4" w:rsidRDefault="00C9677E" w:rsidP="00262498">
      <w:pPr>
        <w:numPr>
          <w:ilvl w:val="0"/>
          <w:numId w:val="51"/>
        </w:numPr>
        <w:ind w:left="0" w:firstLine="0"/>
        <w:rPr>
          <w:rFonts w:asciiTheme="minorHAnsi" w:hAnsiTheme="minorHAnsi" w:cstheme="minorHAnsi"/>
        </w:rPr>
      </w:pPr>
      <w:r w:rsidRPr="00A23FB4">
        <w:rPr>
          <w:rFonts w:asciiTheme="minorHAnsi" w:hAnsiTheme="minorHAnsi" w:cstheme="minorHAnsi"/>
        </w:rPr>
        <w:t xml:space="preserve">Pozostałe określenia podstawowe są zgodne z obowiązującymi polskimi normami i definicjami podanymi w </w:t>
      </w:r>
      <w:r w:rsidR="00F439CE">
        <w:rPr>
          <w:rFonts w:asciiTheme="minorHAnsi" w:hAnsiTheme="minorHAnsi" w:cstheme="minorHAnsi"/>
        </w:rPr>
        <w:t>ST</w:t>
      </w:r>
      <w:r w:rsidRPr="00A23FB4">
        <w:rPr>
          <w:rFonts w:asciiTheme="minorHAnsi" w:hAnsiTheme="minorHAnsi" w:cstheme="minorHAnsi"/>
        </w:rPr>
        <w:t>WiORB D-M-00.00.00 „Wymagania ogólne”.</w:t>
      </w:r>
    </w:p>
    <w:p w14:paraId="118A0F99" w14:textId="77777777" w:rsidR="00C9677E" w:rsidRPr="00A23FB4" w:rsidRDefault="00C9677E" w:rsidP="00C9677E">
      <w:pPr>
        <w:pStyle w:val="Nagwek4"/>
        <w:rPr>
          <w:rFonts w:asciiTheme="minorHAnsi" w:hAnsiTheme="minorHAnsi"/>
        </w:rPr>
      </w:pPr>
      <w:r w:rsidRPr="00A23FB4">
        <w:rPr>
          <w:rFonts w:asciiTheme="minorHAnsi" w:hAnsiTheme="minorHAnsi"/>
        </w:rPr>
        <w:t>1.5. Ogólne wymagania dotyczące robót</w:t>
      </w:r>
    </w:p>
    <w:p w14:paraId="78852BA8" w14:textId="2D44E71A" w:rsidR="00C9677E" w:rsidRPr="00A23FB4" w:rsidRDefault="00C9677E" w:rsidP="00C9677E">
      <w:pPr>
        <w:rPr>
          <w:rFonts w:asciiTheme="minorHAnsi" w:hAnsiTheme="minorHAnsi" w:cstheme="minorHAnsi"/>
        </w:rPr>
      </w:pPr>
      <w:r w:rsidRPr="00A23FB4">
        <w:rPr>
          <w:rFonts w:asciiTheme="minorHAnsi" w:hAnsiTheme="minorHAnsi" w:cstheme="minorHAnsi"/>
        </w:rPr>
        <w:t xml:space="preserve">Ogólne wymagania dotyczące robót podano w </w:t>
      </w:r>
      <w:r w:rsidR="00F439CE">
        <w:rPr>
          <w:rFonts w:asciiTheme="minorHAnsi" w:hAnsiTheme="minorHAnsi" w:cstheme="minorHAnsi"/>
        </w:rPr>
        <w:t>ST</w:t>
      </w:r>
      <w:r w:rsidRPr="00A23FB4">
        <w:rPr>
          <w:rFonts w:asciiTheme="minorHAnsi" w:hAnsiTheme="minorHAnsi" w:cstheme="minorHAnsi"/>
        </w:rPr>
        <w:t>WiORB D-M-00.00.00 „Wymagania ogólne”.</w:t>
      </w:r>
    </w:p>
    <w:p w14:paraId="27E8CC63" w14:textId="77777777" w:rsidR="00C9677E" w:rsidRPr="00A23FB4" w:rsidRDefault="00C9677E" w:rsidP="00C9677E">
      <w:pPr>
        <w:pStyle w:val="Nagwek3"/>
        <w:rPr>
          <w:rFonts w:asciiTheme="minorHAnsi" w:hAnsiTheme="minorHAnsi"/>
        </w:rPr>
      </w:pPr>
      <w:bookmarkStart w:id="71" w:name="_Toc468518131"/>
      <w:r w:rsidRPr="00A23FB4">
        <w:rPr>
          <w:rFonts w:asciiTheme="minorHAnsi" w:hAnsiTheme="minorHAnsi"/>
        </w:rPr>
        <w:t>2. MATERIAŁY</w:t>
      </w:r>
      <w:bookmarkEnd w:id="71"/>
    </w:p>
    <w:p w14:paraId="28F5AB49" w14:textId="77777777" w:rsidR="00C9677E" w:rsidRPr="00A23FB4" w:rsidRDefault="00C9677E" w:rsidP="00C9677E">
      <w:pPr>
        <w:pStyle w:val="Nagwek4"/>
        <w:rPr>
          <w:rFonts w:asciiTheme="minorHAnsi" w:hAnsiTheme="minorHAnsi"/>
        </w:rPr>
      </w:pPr>
      <w:r w:rsidRPr="00A23FB4">
        <w:rPr>
          <w:rFonts w:asciiTheme="minorHAnsi" w:hAnsiTheme="minorHAnsi"/>
        </w:rPr>
        <w:t>2.1. Ogólne wymagania</w:t>
      </w:r>
    </w:p>
    <w:p w14:paraId="73B8E7A2" w14:textId="3AA2CD5B" w:rsidR="00C9677E" w:rsidRPr="00A23FB4" w:rsidRDefault="00C9677E" w:rsidP="00C9677E">
      <w:pPr>
        <w:rPr>
          <w:rFonts w:asciiTheme="minorHAnsi" w:hAnsiTheme="minorHAnsi" w:cstheme="minorHAnsi"/>
        </w:rPr>
      </w:pPr>
      <w:r w:rsidRPr="00A23FB4">
        <w:rPr>
          <w:rFonts w:asciiTheme="minorHAnsi" w:hAnsiTheme="minorHAnsi" w:cstheme="minorHAnsi"/>
        </w:rPr>
        <w:t xml:space="preserve">Ogólne wymagania dotyczące materiałów podano w </w:t>
      </w:r>
      <w:r w:rsidR="00F439CE">
        <w:rPr>
          <w:rFonts w:asciiTheme="minorHAnsi" w:hAnsiTheme="minorHAnsi" w:cstheme="minorHAnsi"/>
        </w:rPr>
        <w:t>ST</w:t>
      </w:r>
      <w:r w:rsidRPr="00A23FB4">
        <w:rPr>
          <w:rFonts w:asciiTheme="minorHAnsi" w:hAnsiTheme="minorHAnsi" w:cstheme="minorHAnsi"/>
        </w:rPr>
        <w:t>WiORB D-M-00.00.00 „Wymagania ogólne”.</w:t>
      </w:r>
    </w:p>
    <w:p w14:paraId="179B2312"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Materiały do budowy kablowych linii telekomunikacyjnych nabywane są przez Wykonawcę u wytwórców. Każdy materiał musi mieć atest wytwórcy stwierdzający zgodność jego wykonania z odpowiednimi normami.</w:t>
      </w:r>
    </w:p>
    <w:p w14:paraId="359D2EB3" w14:textId="77777777" w:rsidR="00C9677E" w:rsidRPr="00A23FB4" w:rsidRDefault="00C9677E" w:rsidP="00C9677E">
      <w:pPr>
        <w:pStyle w:val="Nagwek4"/>
        <w:rPr>
          <w:rFonts w:asciiTheme="minorHAnsi" w:hAnsiTheme="minorHAnsi"/>
        </w:rPr>
      </w:pPr>
      <w:r w:rsidRPr="00A23FB4">
        <w:rPr>
          <w:rFonts w:asciiTheme="minorHAnsi" w:hAnsiTheme="minorHAnsi"/>
        </w:rPr>
        <w:t>2.2. Materiały budowlane</w:t>
      </w:r>
    </w:p>
    <w:p w14:paraId="6A15559A" w14:textId="77777777" w:rsidR="00C9677E" w:rsidRPr="00A23FB4" w:rsidRDefault="00C9677E" w:rsidP="00262498">
      <w:pPr>
        <w:numPr>
          <w:ilvl w:val="0"/>
          <w:numId w:val="52"/>
        </w:numPr>
        <w:spacing w:after="120"/>
        <w:ind w:left="284" w:hanging="284"/>
        <w:rPr>
          <w:rFonts w:asciiTheme="minorHAnsi" w:hAnsiTheme="minorHAnsi" w:cstheme="minorHAnsi"/>
        </w:rPr>
      </w:pPr>
      <w:r w:rsidRPr="00A23FB4">
        <w:rPr>
          <w:rFonts w:asciiTheme="minorHAnsi" w:hAnsiTheme="minorHAnsi" w:cstheme="minorHAnsi"/>
        </w:rPr>
        <w:t>Cement</w:t>
      </w:r>
    </w:p>
    <w:p w14:paraId="4F81E736"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Do wykonania studni kablowych zaleca się stosowanie cementu portlandzkiego, spełniającego wymagania normy PN-88/B-30000.</w:t>
      </w:r>
    </w:p>
    <w:p w14:paraId="458FDC88"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Cement powinien być dostarczony w opakowaniach spełniających wymagania BN-88/6731-08 i składowany w suchych i zadaszonych pomieszczeniach.</w:t>
      </w:r>
    </w:p>
    <w:p w14:paraId="3B0C260C" w14:textId="77777777" w:rsidR="00C9677E" w:rsidRPr="00A23FB4" w:rsidRDefault="00C9677E" w:rsidP="00262498">
      <w:pPr>
        <w:numPr>
          <w:ilvl w:val="0"/>
          <w:numId w:val="53"/>
        </w:numPr>
        <w:spacing w:before="120" w:after="120"/>
        <w:ind w:left="284" w:hanging="284"/>
        <w:rPr>
          <w:rFonts w:asciiTheme="minorHAnsi" w:hAnsiTheme="minorHAnsi" w:cstheme="minorHAnsi"/>
          <w:b/>
        </w:rPr>
      </w:pPr>
      <w:r w:rsidRPr="00A23FB4">
        <w:rPr>
          <w:rFonts w:asciiTheme="minorHAnsi" w:hAnsiTheme="minorHAnsi" w:cstheme="minorHAnsi"/>
        </w:rPr>
        <w:t>Piasek</w:t>
      </w:r>
    </w:p>
    <w:p w14:paraId="5C1C6FA0"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Piasek do budowy studni kablowych i do układania kabli w ziemi powinien odpowiadać wymaganiom BN-87/6774-04.</w:t>
      </w:r>
    </w:p>
    <w:p w14:paraId="49F34216" w14:textId="77777777" w:rsidR="00C9677E" w:rsidRPr="00A23FB4" w:rsidRDefault="00C9677E" w:rsidP="00262498">
      <w:pPr>
        <w:numPr>
          <w:ilvl w:val="0"/>
          <w:numId w:val="54"/>
        </w:numPr>
        <w:spacing w:before="120" w:after="120"/>
        <w:ind w:left="284" w:hanging="284"/>
        <w:rPr>
          <w:rFonts w:asciiTheme="minorHAnsi" w:hAnsiTheme="minorHAnsi" w:cstheme="minorHAnsi"/>
        </w:rPr>
      </w:pPr>
      <w:r w:rsidRPr="00A23FB4">
        <w:rPr>
          <w:rFonts w:asciiTheme="minorHAnsi" w:hAnsiTheme="minorHAnsi" w:cstheme="minorHAnsi"/>
        </w:rPr>
        <w:t>Woda</w:t>
      </w:r>
    </w:p>
    <w:p w14:paraId="143B3497" w14:textId="77777777" w:rsidR="00C9677E" w:rsidRPr="00A23FB4" w:rsidRDefault="00C9677E" w:rsidP="00C9677E">
      <w:pPr>
        <w:rPr>
          <w:rFonts w:asciiTheme="minorHAnsi" w:hAnsiTheme="minorHAnsi" w:cstheme="minorHAnsi"/>
          <w:b/>
        </w:rPr>
      </w:pPr>
      <w:r w:rsidRPr="00A23FB4">
        <w:rPr>
          <w:rFonts w:asciiTheme="minorHAnsi" w:hAnsiTheme="minorHAnsi" w:cstheme="minorHAnsi"/>
        </w:rPr>
        <w:t>Woda do betonu powinna być „odmiany 1”, zgodnie z wymaganiami PN-88/B-32250. Barwa wody powinna odpowiadać barwie wody wodociągowej. Woda nie powinna wydzielać zapachu gnilnego oraz nie powinna zawierać zawiesiny, np. grudek.</w:t>
      </w:r>
    </w:p>
    <w:p w14:paraId="3E5D3C3A" w14:textId="77777777" w:rsidR="00C9677E" w:rsidRPr="00A23FB4" w:rsidRDefault="00C9677E" w:rsidP="00C9677E">
      <w:pPr>
        <w:pStyle w:val="Nagwek4"/>
        <w:rPr>
          <w:rFonts w:asciiTheme="minorHAnsi" w:hAnsiTheme="minorHAnsi"/>
        </w:rPr>
      </w:pPr>
      <w:r w:rsidRPr="00A23FB4">
        <w:rPr>
          <w:rFonts w:asciiTheme="minorHAnsi" w:hAnsiTheme="minorHAnsi"/>
        </w:rPr>
        <w:t>2.3. Elementy prefabrykowane</w:t>
      </w:r>
    </w:p>
    <w:p w14:paraId="19DC5FD4" w14:textId="77777777" w:rsidR="00C9677E" w:rsidRPr="00A23FB4" w:rsidRDefault="00C9677E" w:rsidP="00262498">
      <w:pPr>
        <w:numPr>
          <w:ilvl w:val="0"/>
          <w:numId w:val="55"/>
        </w:numPr>
        <w:spacing w:after="120"/>
        <w:ind w:left="284" w:hanging="284"/>
        <w:rPr>
          <w:rFonts w:asciiTheme="minorHAnsi" w:hAnsiTheme="minorHAnsi" w:cstheme="minorHAnsi"/>
        </w:rPr>
      </w:pPr>
      <w:r w:rsidRPr="00A23FB4">
        <w:rPr>
          <w:rFonts w:asciiTheme="minorHAnsi" w:hAnsiTheme="minorHAnsi" w:cstheme="minorHAnsi"/>
        </w:rPr>
        <w:t>Prefabrykowane studnie kablowe</w:t>
      </w:r>
    </w:p>
    <w:p w14:paraId="36550AED"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Prefabrykowane studnie kablowe powinny być wykonane z betonu klasy B 20 zgodnie z normą PN-88/B-06250.</w:t>
      </w:r>
    </w:p>
    <w:p w14:paraId="779107CD"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Studnie kablowe i jej prefabrykowane elementy mogą być składowane na polu składowym nie zabezpieczonym przed wpływami atmosferycznymi. Elementy studni powinny być ustawione warstwami na wyrównanym podłożu, przy czym poszczególne odmiany należy układać w oddzielnych stosach.</w:t>
      </w:r>
    </w:p>
    <w:p w14:paraId="11E53E49" w14:textId="77777777" w:rsidR="00C9677E" w:rsidRPr="00A23FB4" w:rsidRDefault="00C9677E" w:rsidP="00262498">
      <w:pPr>
        <w:numPr>
          <w:ilvl w:val="0"/>
          <w:numId w:val="56"/>
        </w:numPr>
        <w:spacing w:after="120"/>
        <w:ind w:left="284" w:hanging="284"/>
        <w:rPr>
          <w:rFonts w:asciiTheme="minorHAnsi" w:hAnsiTheme="minorHAnsi" w:cstheme="minorHAnsi"/>
        </w:rPr>
      </w:pPr>
      <w:r w:rsidRPr="00A23FB4">
        <w:rPr>
          <w:rFonts w:asciiTheme="minorHAnsi" w:hAnsiTheme="minorHAnsi" w:cstheme="minorHAnsi"/>
        </w:rPr>
        <w:t>Bloki betonowe płaskie</w:t>
      </w:r>
    </w:p>
    <w:p w14:paraId="22931EE8"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Bloki betonowe płaskie powinny być zgodne z BN-74/3233-15.</w:t>
      </w:r>
    </w:p>
    <w:p w14:paraId="01158074"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Składowanie powinno być identyczne jak elementów studni kablowych.</w:t>
      </w:r>
    </w:p>
    <w:p w14:paraId="30ED9146" w14:textId="77777777" w:rsidR="00C9677E" w:rsidRPr="00A23FB4" w:rsidRDefault="00C9677E" w:rsidP="00C9677E">
      <w:pPr>
        <w:pStyle w:val="Nagwek4"/>
        <w:rPr>
          <w:rFonts w:asciiTheme="minorHAnsi" w:hAnsiTheme="minorHAnsi"/>
        </w:rPr>
      </w:pPr>
      <w:r w:rsidRPr="00A23FB4">
        <w:rPr>
          <w:rFonts w:asciiTheme="minorHAnsi" w:hAnsiTheme="minorHAnsi"/>
        </w:rPr>
        <w:t>2.4. Materiały gotowe</w:t>
      </w:r>
    </w:p>
    <w:p w14:paraId="24EAE793" w14:textId="77777777" w:rsidR="00C9677E" w:rsidRPr="00A23FB4" w:rsidRDefault="00C9677E" w:rsidP="00262498">
      <w:pPr>
        <w:numPr>
          <w:ilvl w:val="0"/>
          <w:numId w:val="57"/>
        </w:numPr>
        <w:spacing w:after="120"/>
        <w:ind w:left="284" w:hanging="284"/>
        <w:rPr>
          <w:rFonts w:asciiTheme="minorHAnsi" w:hAnsiTheme="minorHAnsi" w:cstheme="minorHAnsi"/>
        </w:rPr>
      </w:pPr>
      <w:r w:rsidRPr="00A23FB4">
        <w:rPr>
          <w:rFonts w:asciiTheme="minorHAnsi" w:hAnsiTheme="minorHAnsi" w:cstheme="minorHAnsi"/>
        </w:rPr>
        <w:t>Rury z polichlorku winylu (PCW)</w:t>
      </w:r>
    </w:p>
    <w:p w14:paraId="62C2B9C5"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Stosowane do budowy ciągów kanalizacyjnych rury z polichlorku winylu powinny odpowiadać normie PN-80/C-89203.</w:t>
      </w:r>
    </w:p>
    <w:p w14:paraId="635DA813"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Rury należy przechowywać na utwardzonym placu, w nienasłonecznionych  miejscach zabezpieczonych przed działaniem sił mechanicznych.</w:t>
      </w:r>
    </w:p>
    <w:p w14:paraId="1B05B978" w14:textId="77777777" w:rsidR="00C9677E" w:rsidRPr="00A23FB4" w:rsidRDefault="00C9677E" w:rsidP="00262498">
      <w:pPr>
        <w:numPr>
          <w:ilvl w:val="0"/>
          <w:numId w:val="58"/>
        </w:numPr>
        <w:spacing w:before="120" w:after="120"/>
        <w:ind w:left="284" w:hanging="284"/>
        <w:rPr>
          <w:rFonts w:asciiTheme="minorHAnsi" w:hAnsiTheme="minorHAnsi" w:cstheme="minorHAnsi"/>
        </w:rPr>
      </w:pPr>
      <w:r w:rsidRPr="00A23FB4">
        <w:rPr>
          <w:rFonts w:asciiTheme="minorHAnsi" w:hAnsiTheme="minorHAnsi" w:cstheme="minorHAnsi"/>
        </w:rPr>
        <w:t>Elementy studni kablowych</w:t>
      </w:r>
    </w:p>
    <w:p w14:paraId="45A8FEE5"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Do budowy studni kablowych należy stosować następujące ich części:</w:t>
      </w:r>
    </w:p>
    <w:p w14:paraId="7F4769E9" w14:textId="77777777" w:rsidR="00C9677E" w:rsidRPr="00A23FB4" w:rsidRDefault="00C9677E" w:rsidP="00262498">
      <w:pPr>
        <w:numPr>
          <w:ilvl w:val="0"/>
          <w:numId w:val="35"/>
        </w:numPr>
        <w:rPr>
          <w:rFonts w:asciiTheme="minorHAnsi" w:hAnsiTheme="minorHAnsi" w:cstheme="minorHAnsi"/>
        </w:rPr>
      </w:pPr>
      <w:r w:rsidRPr="00A23FB4">
        <w:rPr>
          <w:rFonts w:asciiTheme="minorHAnsi" w:hAnsiTheme="minorHAnsi" w:cstheme="minorHAnsi"/>
        </w:rPr>
        <w:t>wietrznik do pokryw odpowiadający BN-73/3233-02,</w:t>
      </w:r>
    </w:p>
    <w:p w14:paraId="71B6FDDD" w14:textId="77777777" w:rsidR="00C9677E" w:rsidRPr="00A23FB4" w:rsidRDefault="00C9677E" w:rsidP="00262498">
      <w:pPr>
        <w:numPr>
          <w:ilvl w:val="0"/>
          <w:numId w:val="35"/>
        </w:numPr>
        <w:rPr>
          <w:rFonts w:asciiTheme="minorHAnsi" w:hAnsiTheme="minorHAnsi" w:cstheme="minorHAnsi"/>
        </w:rPr>
      </w:pPr>
      <w:r w:rsidRPr="00A23FB4">
        <w:rPr>
          <w:rFonts w:asciiTheme="minorHAnsi" w:hAnsiTheme="minorHAnsi" w:cstheme="minorHAnsi"/>
        </w:rPr>
        <w:t>ramy i pokrywy odpowiadające BN-73/3233-03,</w:t>
      </w:r>
    </w:p>
    <w:p w14:paraId="1435E89F" w14:textId="77777777" w:rsidR="00C9677E" w:rsidRPr="00A23FB4" w:rsidRDefault="00C9677E" w:rsidP="00262498">
      <w:pPr>
        <w:numPr>
          <w:ilvl w:val="0"/>
          <w:numId w:val="35"/>
        </w:numPr>
        <w:rPr>
          <w:rFonts w:asciiTheme="minorHAnsi" w:hAnsiTheme="minorHAnsi" w:cstheme="minorHAnsi"/>
        </w:rPr>
      </w:pPr>
      <w:r w:rsidRPr="00A23FB4">
        <w:rPr>
          <w:rFonts w:asciiTheme="minorHAnsi" w:hAnsiTheme="minorHAnsi" w:cstheme="minorHAnsi"/>
        </w:rPr>
        <w:t>wsporniki kablowe odpowiadające BN-69/9378-30.</w:t>
      </w:r>
    </w:p>
    <w:p w14:paraId="7329CD70"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Powyższe elementy powinny być składowane w pomieszczeniach suchych i zadaszonych.</w:t>
      </w:r>
    </w:p>
    <w:p w14:paraId="25BB2BF0" w14:textId="77777777" w:rsidR="00C9677E" w:rsidRPr="00A23FB4" w:rsidRDefault="00C9677E" w:rsidP="00262498">
      <w:pPr>
        <w:numPr>
          <w:ilvl w:val="0"/>
          <w:numId w:val="59"/>
        </w:numPr>
        <w:spacing w:before="120" w:after="120"/>
        <w:ind w:left="284" w:hanging="284"/>
        <w:rPr>
          <w:rFonts w:asciiTheme="minorHAnsi" w:hAnsiTheme="minorHAnsi" w:cstheme="minorHAnsi"/>
        </w:rPr>
      </w:pPr>
      <w:r w:rsidRPr="00A23FB4">
        <w:rPr>
          <w:rFonts w:asciiTheme="minorHAnsi" w:hAnsiTheme="minorHAnsi" w:cstheme="minorHAnsi"/>
        </w:rPr>
        <w:t>Szafki kablowe</w:t>
      </w:r>
    </w:p>
    <w:p w14:paraId="18915F8C"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Budowane w ciągach kanalizacji teletechnicznej szafki kablowe powinny być zgodne z normą BN-86/3223-16.</w:t>
      </w:r>
    </w:p>
    <w:p w14:paraId="1C0B2AAB"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Szafki kablowe metalowe i z tworzyw sztucznych należy przechowywać w suchych i zadaszonych pomieszczeniach.</w:t>
      </w:r>
    </w:p>
    <w:p w14:paraId="7370AD6C" w14:textId="77777777" w:rsidR="00C9677E" w:rsidRPr="00A23FB4" w:rsidRDefault="00C9677E" w:rsidP="00262498">
      <w:pPr>
        <w:numPr>
          <w:ilvl w:val="0"/>
          <w:numId w:val="60"/>
        </w:numPr>
        <w:spacing w:before="120" w:after="120"/>
        <w:ind w:hanging="284"/>
        <w:rPr>
          <w:rFonts w:asciiTheme="minorHAnsi" w:hAnsiTheme="minorHAnsi" w:cstheme="minorHAnsi"/>
        </w:rPr>
      </w:pPr>
      <w:r w:rsidRPr="00A23FB4">
        <w:rPr>
          <w:rFonts w:asciiTheme="minorHAnsi" w:hAnsiTheme="minorHAnsi" w:cstheme="minorHAnsi"/>
        </w:rPr>
        <w:t>Skrzynki kablowe</w:t>
      </w:r>
    </w:p>
    <w:p w14:paraId="44B9F721"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Skrzynki kablowe instalowane na słupach kablowych powinny być zgodne z normą BN-80/3231-25 i BN-80/3231-28 .</w:t>
      </w:r>
    </w:p>
    <w:p w14:paraId="2D4A803C"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Skrzynki kablowe powinny być przechowywane w suchych pomieszczeniach i nie narażone na uszkodzenia mechaniczne.</w:t>
      </w:r>
    </w:p>
    <w:p w14:paraId="1E265012" w14:textId="77777777" w:rsidR="00C9677E" w:rsidRPr="00A23FB4" w:rsidRDefault="00C9677E" w:rsidP="00262498">
      <w:pPr>
        <w:numPr>
          <w:ilvl w:val="0"/>
          <w:numId w:val="61"/>
        </w:numPr>
        <w:spacing w:before="120" w:after="120"/>
        <w:ind w:left="284" w:hanging="284"/>
        <w:rPr>
          <w:rFonts w:asciiTheme="minorHAnsi" w:hAnsiTheme="minorHAnsi" w:cstheme="minorHAnsi"/>
        </w:rPr>
      </w:pPr>
      <w:r w:rsidRPr="00A23FB4">
        <w:rPr>
          <w:rFonts w:asciiTheme="minorHAnsi" w:hAnsiTheme="minorHAnsi" w:cstheme="minorHAnsi"/>
        </w:rPr>
        <w:t>Zespoły i skrzynie pupinizacyjne</w:t>
      </w:r>
    </w:p>
    <w:p w14:paraId="3EDA86F3"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Zespoły i skrzynie pupinizacyjne powinny odpowiadać normie BN-79/3223-02.</w:t>
      </w:r>
    </w:p>
    <w:p w14:paraId="6077EBE5"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Skrzynie zespołów pupinizacyjnych powinny być przechowywane w pozycji normalnej pracy, zabezpieczone przed bezpośrednim działaniem promieni słonecznych.</w:t>
      </w:r>
    </w:p>
    <w:p w14:paraId="73A1A54D"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Zespoły pupinizacyjne luzem powinny być przechowywane w opakowaniu fabrycznym, w pozycji pionowej, w temperaturze od 0</w:t>
      </w:r>
      <w:r w:rsidRPr="00A23FB4">
        <w:rPr>
          <w:rFonts w:asciiTheme="minorHAnsi" w:hAnsiTheme="minorHAnsi" w:cstheme="minorHAnsi"/>
          <w:vertAlign w:val="superscript"/>
        </w:rPr>
        <w:t>o</w:t>
      </w:r>
      <w:r w:rsidRPr="00A23FB4">
        <w:rPr>
          <w:rFonts w:asciiTheme="minorHAnsi" w:hAnsiTheme="minorHAnsi" w:cstheme="minorHAnsi"/>
        </w:rPr>
        <w:t>C do 30</w:t>
      </w:r>
      <w:r w:rsidRPr="00A23FB4">
        <w:rPr>
          <w:rFonts w:asciiTheme="minorHAnsi" w:hAnsiTheme="minorHAnsi" w:cstheme="minorHAnsi"/>
          <w:vertAlign w:val="superscript"/>
        </w:rPr>
        <w:t>o</w:t>
      </w:r>
      <w:r w:rsidRPr="00A23FB4">
        <w:rPr>
          <w:rFonts w:asciiTheme="minorHAnsi" w:hAnsiTheme="minorHAnsi" w:cstheme="minorHAnsi"/>
        </w:rPr>
        <w:t>C i wilgotności nie większej niż 80%.</w:t>
      </w:r>
    </w:p>
    <w:p w14:paraId="1B4F7782" w14:textId="77777777" w:rsidR="00C9677E" w:rsidRPr="00A23FB4" w:rsidRDefault="00C9677E" w:rsidP="00262498">
      <w:pPr>
        <w:numPr>
          <w:ilvl w:val="0"/>
          <w:numId w:val="62"/>
        </w:numPr>
        <w:spacing w:before="120" w:after="120"/>
        <w:ind w:left="284" w:hanging="284"/>
        <w:rPr>
          <w:rFonts w:asciiTheme="minorHAnsi" w:hAnsiTheme="minorHAnsi" w:cstheme="minorHAnsi"/>
        </w:rPr>
      </w:pPr>
      <w:r w:rsidRPr="00A23FB4">
        <w:rPr>
          <w:rFonts w:asciiTheme="minorHAnsi" w:hAnsiTheme="minorHAnsi" w:cstheme="minorHAnsi"/>
        </w:rPr>
        <w:t>Kable</w:t>
      </w:r>
    </w:p>
    <w:p w14:paraId="52A86581"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Typy kabli telekomunikacyjnych, ich pojemności i średnice żył ustala się w uzgodnieniu z urzędem telekomunikacyjnym odpowiednim dla danego terenu.</w:t>
      </w:r>
    </w:p>
    <w:p w14:paraId="214AF74F" w14:textId="73FB19C9" w:rsidR="00C9677E" w:rsidRPr="00A23FB4" w:rsidRDefault="00C9677E" w:rsidP="00C9677E">
      <w:pPr>
        <w:rPr>
          <w:rFonts w:asciiTheme="minorHAnsi" w:hAnsiTheme="minorHAnsi" w:cstheme="minorHAnsi"/>
        </w:rPr>
      </w:pPr>
      <w:r w:rsidRPr="00A23FB4">
        <w:rPr>
          <w:rFonts w:asciiTheme="minorHAnsi" w:hAnsiTheme="minorHAnsi" w:cstheme="minorHAnsi"/>
        </w:rPr>
        <w:t xml:space="preserve">Zastosowane kable powinny odpowiadać wymogom odpowiednich norm wg wykazu w punkcie 10.1 </w:t>
      </w:r>
      <w:r w:rsidR="000907B8">
        <w:rPr>
          <w:rFonts w:asciiTheme="minorHAnsi" w:hAnsiTheme="minorHAnsi" w:cstheme="minorHAnsi"/>
        </w:rPr>
        <w:t>ST</w:t>
      </w:r>
      <w:r w:rsidRPr="00A23FB4">
        <w:rPr>
          <w:rFonts w:asciiTheme="minorHAnsi" w:hAnsiTheme="minorHAnsi" w:cstheme="minorHAnsi"/>
        </w:rPr>
        <w:t>WiORB.</w:t>
      </w:r>
    </w:p>
    <w:p w14:paraId="53FE4553"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Kable telekomunikacyjne dostarczane są na bębnach drewnianych, których wielkości określone są w normie PN-76/D-79353 i zależą od średnicy kabla i jego powłoki.</w:t>
      </w:r>
    </w:p>
    <w:p w14:paraId="5CB660C2"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Każdy bęben jest nacechowany numerem wielkości i numerem ewidencyjnym oraz następującymi znakami i napisami:</w:t>
      </w:r>
    </w:p>
    <w:p w14:paraId="5BAAE9FC" w14:textId="77777777" w:rsidR="00C9677E" w:rsidRPr="00A23FB4" w:rsidRDefault="00C9677E" w:rsidP="00262498">
      <w:pPr>
        <w:numPr>
          <w:ilvl w:val="0"/>
          <w:numId w:val="35"/>
        </w:numPr>
        <w:rPr>
          <w:rFonts w:asciiTheme="minorHAnsi" w:hAnsiTheme="minorHAnsi" w:cstheme="minorHAnsi"/>
        </w:rPr>
      </w:pPr>
      <w:r w:rsidRPr="00A23FB4">
        <w:rPr>
          <w:rFonts w:asciiTheme="minorHAnsi" w:hAnsiTheme="minorHAnsi" w:cstheme="minorHAnsi"/>
        </w:rPr>
        <w:t>nazwą i znakiem fabrycznym producenta,</w:t>
      </w:r>
    </w:p>
    <w:p w14:paraId="46DF5DE2" w14:textId="77777777" w:rsidR="00C9677E" w:rsidRPr="00A23FB4" w:rsidRDefault="00C9677E" w:rsidP="00262498">
      <w:pPr>
        <w:numPr>
          <w:ilvl w:val="0"/>
          <w:numId w:val="35"/>
        </w:numPr>
        <w:rPr>
          <w:rFonts w:asciiTheme="minorHAnsi" w:hAnsiTheme="minorHAnsi" w:cstheme="minorHAnsi"/>
        </w:rPr>
      </w:pPr>
      <w:r w:rsidRPr="00A23FB4">
        <w:rPr>
          <w:rFonts w:asciiTheme="minorHAnsi" w:hAnsiTheme="minorHAnsi" w:cstheme="minorHAnsi"/>
        </w:rPr>
        <w:t>strzałką wskazującą kierunek obrotów bębna przy toczeniu.</w:t>
      </w:r>
    </w:p>
    <w:p w14:paraId="0221922E"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Do jednej z tarcz bębna przymocowana jest tabliczka, na której podany jest typ kabla, jego długość i ciężar oraz producent.</w:t>
      </w:r>
    </w:p>
    <w:p w14:paraId="5CF1917A"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Stosuje się następujące typy kabli:</w:t>
      </w:r>
    </w:p>
    <w:p w14:paraId="3A66D9F4" w14:textId="77777777" w:rsidR="00C9677E" w:rsidRPr="00A23FB4" w:rsidRDefault="00C9677E" w:rsidP="00262498">
      <w:pPr>
        <w:numPr>
          <w:ilvl w:val="0"/>
          <w:numId w:val="63"/>
        </w:numPr>
        <w:rPr>
          <w:rFonts w:asciiTheme="minorHAnsi" w:hAnsiTheme="minorHAnsi" w:cstheme="minorHAnsi"/>
        </w:rPr>
      </w:pPr>
      <w:r w:rsidRPr="00A23FB4">
        <w:rPr>
          <w:rFonts w:asciiTheme="minorHAnsi" w:hAnsiTheme="minorHAnsi" w:cstheme="minorHAnsi"/>
        </w:rPr>
        <w:t>Kable kanałowe - w liniach kablowych kanałowych powinny być stosowane telekomunikacyjne kable miejscowe o izolacji papierowej i powłoce ołowianej (TKM), wg PN-85/T-90310 i PN-85/T-90311 oraz telekomunikacyjne kable miejscowe o izolacji papierowo-powietrznej i powłoce polietylenowej z zaporą przeciwwilgociową (XTKMwX) wg PN-83/T-90331. W uzgodnieniu z odpowiednim urzędem telekomunikacyjnym można stosować telekomunikacyjne kable miejscowe o izolacji polietylenowej (XTKMX) wg PN-83/T-90330.</w:t>
      </w:r>
    </w:p>
    <w:p w14:paraId="16C42DF3" w14:textId="77777777" w:rsidR="00C9677E" w:rsidRPr="00A23FB4" w:rsidRDefault="00C9677E" w:rsidP="00262498">
      <w:pPr>
        <w:numPr>
          <w:ilvl w:val="0"/>
          <w:numId w:val="63"/>
        </w:numPr>
        <w:rPr>
          <w:rFonts w:asciiTheme="minorHAnsi" w:hAnsiTheme="minorHAnsi" w:cstheme="minorHAnsi"/>
        </w:rPr>
      </w:pPr>
      <w:r w:rsidRPr="00A23FB4">
        <w:rPr>
          <w:rFonts w:asciiTheme="minorHAnsi" w:hAnsiTheme="minorHAnsi" w:cstheme="minorHAnsi"/>
        </w:rPr>
        <w:t>Kable ziemne - w liniach kablowych ziemnych powinny być stosowane telekomunikacyjne kable miejscowe o izolacji papierowej i powłoce ołowianej opancerzone wg PN-85/T-90311.</w:t>
      </w:r>
    </w:p>
    <w:p w14:paraId="7F23819D" w14:textId="77777777" w:rsidR="00C9677E" w:rsidRPr="00A23FB4" w:rsidRDefault="00C9677E" w:rsidP="00C9677E">
      <w:pPr>
        <w:ind w:left="284"/>
        <w:rPr>
          <w:rFonts w:asciiTheme="minorHAnsi" w:hAnsiTheme="minorHAnsi" w:cstheme="minorHAnsi"/>
        </w:rPr>
      </w:pPr>
      <w:r w:rsidRPr="00A23FB4">
        <w:rPr>
          <w:rFonts w:asciiTheme="minorHAnsi" w:hAnsiTheme="minorHAnsi" w:cstheme="minorHAnsi"/>
        </w:rPr>
        <w:t>W uzgodnieniu z urzędem telekomunikacyjnym można stosować telekomunikacyjne kable miejscowe o izolacji polietylenowej wg PN-83/T-90330 oraz o izolacji i powłoce polietylenowej z zaporą przeciwwilgociową, nieopancerzone i opancerzone z osłoną polietylenową lub polwinitową, wg PN-83/T-90331.</w:t>
      </w:r>
    </w:p>
    <w:p w14:paraId="10306909" w14:textId="77777777" w:rsidR="00C9677E" w:rsidRPr="00A23FB4" w:rsidRDefault="00C9677E" w:rsidP="00262498">
      <w:pPr>
        <w:numPr>
          <w:ilvl w:val="0"/>
          <w:numId w:val="64"/>
        </w:numPr>
        <w:tabs>
          <w:tab w:val="left" w:pos="284"/>
        </w:tabs>
        <w:ind w:left="284" w:hanging="284"/>
        <w:rPr>
          <w:rFonts w:asciiTheme="minorHAnsi" w:hAnsiTheme="minorHAnsi" w:cstheme="minorHAnsi"/>
        </w:rPr>
      </w:pPr>
      <w:r w:rsidRPr="00A23FB4">
        <w:rPr>
          <w:rFonts w:asciiTheme="minorHAnsi" w:hAnsiTheme="minorHAnsi" w:cstheme="minorHAnsi"/>
        </w:rPr>
        <w:t>Kable nadziemne - w odcinkach nadziemnych kablowych powinny być stosowane telekomunikacyjne kable miejscowe o izolacji papierowej i powłoce ołowianej (TKM), wg PN-85/T-90311 oraz o izolacji i powłoce z tworzyw termoplastycznych wg PN-83/T-90330. Ilość czwórek w tych kablach nie może przekroczyć 30.</w:t>
      </w:r>
    </w:p>
    <w:p w14:paraId="2C3A41A2" w14:textId="77777777" w:rsidR="00C9677E" w:rsidRPr="00A23FB4" w:rsidRDefault="00C9677E" w:rsidP="00262498">
      <w:pPr>
        <w:numPr>
          <w:ilvl w:val="0"/>
          <w:numId w:val="64"/>
        </w:numPr>
        <w:tabs>
          <w:tab w:val="left" w:pos="284"/>
        </w:tabs>
        <w:ind w:left="284" w:hanging="284"/>
        <w:rPr>
          <w:rFonts w:asciiTheme="minorHAnsi" w:hAnsiTheme="minorHAnsi" w:cstheme="minorHAnsi"/>
        </w:rPr>
      </w:pPr>
      <w:r w:rsidRPr="00A23FB4">
        <w:rPr>
          <w:rFonts w:asciiTheme="minorHAnsi" w:hAnsiTheme="minorHAnsi" w:cstheme="minorHAnsi"/>
        </w:rPr>
        <w:t>Kable dalekosiężne - do budowy telekomunikacyjnych linii kablowych dalekosiężnych należy stosować następujące kable:</w:t>
      </w:r>
    </w:p>
    <w:p w14:paraId="51F4A2A4" w14:textId="77777777" w:rsidR="00C9677E" w:rsidRPr="00A23FB4" w:rsidRDefault="00C9677E" w:rsidP="00262498">
      <w:pPr>
        <w:numPr>
          <w:ilvl w:val="0"/>
          <w:numId w:val="65"/>
        </w:numPr>
        <w:tabs>
          <w:tab w:val="left" w:pos="567"/>
        </w:tabs>
        <w:rPr>
          <w:rFonts w:asciiTheme="minorHAnsi" w:hAnsiTheme="minorHAnsi" w:cstheme="minorHAnsi"/>
        </w:rPr>
      </w:pPr>
      <w:r w:rsidRPr="00A23FB4">
        <w:rPr>
          <w:rFonts w:asciiTheme="minorHAnsi" w:hAnsiTheme="minorHAnsi" w:cstheme="minorHAnsi"/>
        </w:rPr>
        <w:t>dalekosiężne symetryczne z wiązkami parowymi, o izolacji polietylenowej piankowej i o powłoce aluminiowej, nieopancerzonej i opancerzonej z osłonami ochronnymi wg PN-84/T-90340, PN-84/T-90341, PN-84/T-90342,</w:t>
      </w:r>
    </w:p>
    <w:p w14:paraId="31104FA9" w14:textId="77777777" w:rsidR="00C9677E" w:rsidRPr="00A23FB4" w:rsidRDefault="00C9677E" w:rsidP="00262498">
      <w:pPr>
        <w:numPr>
          <w:ilvl w:val="0"/>
          <w:numId w:val="65"/>
        </w:numPr>
        <w:tabs>
          <w:tab w:val="left" w:pos="567"/>
        </w:tabs>
        <w:rPr>
          <w:rFonts w:asciiTheme="minorHAnsi" w:hAnsiTheme="minorHAnsi" w:cstheme="minorHAnsi"/>
        </w:rPr>
      </w:pPr>
      <w:r w:rsidRPr="00A23FB4">
        <w:rPr>
          <w:rFonts w:asciiTheme="minorHAnsi" w:hAnsiTheme="minorHAnsi" w:cstheme="minorHAnsi"/>
        </w:rPr>
        <w:t>dalekosiężne symetryczne z wiązkami czwórkowymi, o izolacji polietylenowej i o powłoce ołowianej, z osłonami ochronnymi wg PN-84/T-90345, PN-84/T-90346, PN-84/T-90347,</w:t>
      </w:r>
    </w:p>
    <w:p w14:paraId="59CCD751" w14:textId="77777777" w:rsidR="00C9677E" w:rsidRPr="00A23FB4" w:rsidRDefault="00C9677E" w:rsidP="00262498">
      <w:pPr>
        <w:numPr>
          <w:ilvl w:val="0"/>
          <w:numId w:val="65"/>
        </w:numPr>
        <w:tabs>
          <w:tab w:val="left" w:pos="567"/>
        </w:tabs>
        <w:rPr>
          <w:rFonts w:asciiTheme="minorHAnsi" w:hAnsiTheme="minorHAnsi" w:cstheme="minorHAnsi"/>
        </w:rPr>
      </w:pPr>
      <w:r w:rsidRPr="00A23FB4">
        <w:rPr>
          <w:rFonts w:asciiTheme="minorHAnsi" w:hAnsiTheme="minorHAnsi" w:cstheme="minorHAnsi"/>
        </w:rPr>
        <w:t>dalekosiężne symetryczne z wiązkami czwórkowymi, o izolacji papierowo-powietrznej i polistyrenowo-powietrznej, o powłoce metalowej, z osłonami ochronnymi wg PN-87/T-90350, PN-87/T-90351, PN-87/T-90352,</w:t>
      </w:r>
    </w:p>
    <w:p w14:paraId="226D1EDC" w14:textId="77777777" w:rsidR="00C9677E" w:rsidRPr="00A23FB4" w:rsidRDefault="00C9677E" w:rsidP="00262498">
      <w:pPr>
        <w:numPr>
          <w:ilvl w:val="0"/>
          <w:numId w:val="65"/>
        </w:numPr>
        <w:tabs>
          <w:tab w:val="left" w:pos="567"/>
        </w:tabs>
        <w:rPr>
          <w:rFonts w:asciiTheme="minorHAnsi" w:hAnsiTheme="minorHAnsi" w:cstheme="minorHAnsi"/>
        </w:rPr>
      </w:pPr>
      <w:r w:rsidRPr="00A23FB4">
        <w:rPr>
          <w:rFonts w:asciiTheme="minorHAnsi" w:hAnsiTheme="minorHAnsi" w:cstheme="minorHAnsi"/>
        </w:rPr>
        <w:t>miejscowe z żyłami o izolacji papierowej i powłoce ołowianej, nieopancerzone i opancerzone z osłonami ochronnymi wg PN-85/T-90310, PN-85/T-90311,</w:t>
      </w:r>
    </w:p>
    <w:p w14:paraId="4F45AEFE" w14:textId="77777777" w:rsidR="00C9677E" w:rsidRPr="00A23FB4" w:rsidRDefault="00C9677E" w:rsidP="00262498">
      <w:pPr>
        <w:numPr>
          <w:ilvl w:val="0"/>
          <w:numId w:val="65"/>
        </w:numPr>
        <w:tabs>
          <w:tab w:val="left" w:pos="567"/>
        </w:tabs>
        <w:rPr>
          <w:rFonts w:asciiTheme="minorHAnsi" w:hAnsiTheme="minorHAnsi" w:cstheme="minorHAnsi"/>
        </w:rPr>
      </w:pPr>
      <w:r w:rsidRPr="00A23FB4">
        <w:rPr>
          <w:rFonts w:asciiTheme="minorHAnsi" w:hAnsiTheme="minorHAnsi" w:cstheme="minorHAnsi"/>
        </w:rPr>
        <w:t>miejscowe z żyłami o izolacji i powłoce polietylenowej lub stalowej, nieopancerzone i opancerzone z osłonami ochronnymi wg PN-83/T-90330, PN-83/T-90331, PN-83/T-90332, a także ekranowane o powłoce stalowej wg WT-84/K-187,</w:t>
      </w:r>
    </w:p>
    <w:p w14:paraId="3F5734A5" w14:textId="77777777" w:rsidR="00C9677E" w:rsidRPr="00A23FB4" w:rsidRDefault="00C9677E" w:rsidP="00262498">
      <w:pPr>
        <w:numPr>
          <w:ilvl w:val="0"/>
          <w:numId w:val="65"/>
        </w:numPr>
        <w:tabs>
          <w:tab w:val="left" w:pos="567"/>
        </w:tabs>
        <w:rPr>
          <w:rFonts w:asciiTheme="minorHAnsi" w:hAnsiTheme="minorHAnsi" w:cstheme="minorHAnsi"/>
        </w:rPr>
      </w:pPr>
      <w:r w:rsidRPr="00A23FB4">
        <w:rPr>
          <w:rFonts w:asciiTheme="minorHAnsi" w:hAnsiTheme="minorHAnsi" w:cstheme="minorHAnsi"/>
        </w:rPr>
        <w:t>dalekosiężne współosiowe z parami typu 1.2/4.4 i 2.6/15 o powłokach ołowianych i aluminiowych, nieopancerzone i opancerzone wg WT-86/K-91.02 i WT-86/K-245.02,</w:t>
      </w:r>
    </w:p>
    <w:p w14:paraId="0F8B66C6" w14:textId="77777777" w:rsidR="00C9677E" w:rsidRPr="00A23FB4" w:rsidRDefault="00C9677E" w:rsidP="00262498">
      <w:pPr>
        <w:numPr>
          <w:ilvl w:val="0"/>
          <w:numId w:val="65"/>
        </w:numPr>
        <w:tabs>
          <w:tab w:val="left" w:pos="567"/>
        </w:tabs>
        <w:rPr>
          <w:rFonts w:asciiTheme="minorHAnsi" w:hAnsiTheme="minorHAnsi" w:cstheme="minorHAnsi"/>
        </w:rPr>
      </w:pPr>
      <w:r w:rsidRPr="00A23FB4">
        <w:rPr>
          <w:rFonts w:asciiTheme="minorHAnsi" w:hAnsiTheme="minorHAnsi" w:cstheme="minorHAnsi"/>
        </w:rPr>
        <w:t>dalekosiężne rozdzielcze z wiązkami czwórkowymi i parowymi o izolacji polietylenowej piankowej i o powłoce ołowianej, odpowiednio wg WT-80/K-132 i WT-80/K-133,</w:t>
      </w:r>
    </w:p>
    <w:p w14:paraId="71F282AF" w14:textId="77777777" w:rsidR="00C9677E" w:rsidRPr="00A23FB4" w:rsidRDefault="00C9677E" w:rsidP="00262498">
      <w:pPr>
        <w:numPr>
          <w:ilvl w:val="0"/>
          <w:numId w:val="65"/>
        </w:numPr>
        <w:tabs>
          <w:tab w:val="left" w:pos="567"/>
        </w:tabs>
        <w:rPr>
          <w:rFonts w:asciiTheme="minorHAnsi" w:hAnsiTheme="minorHAnsi" w:cstheme="minorHAnsi"/>
        </w:rPr>
      </w:pPr>
      <w:r w:rsidRPr="00A23FB4">
        <w:rPr>
          <w:rFonts w:asciiTheme="minorHAnsi" w:hAnsiTheme="minorHAnsi" w:cstheme="minorHAnsi"/>
        </w:rPr>
        <w:t>dalekosiężne z wiązkami czwórkowymi o izolacji piankowej, ekranowe, o powłoce stalowej, z osłoną polietylenową wg WT-84/K-186.</w:t>
      </w:r>
    </w:p>
    <w:p w14:paraId="7F8C5BB9" w14:textId="77777777" w:rsidR="00C9677E" w:rsidRPr="00A23FB4" w:rsidRDefault="00C9677E" w:rsidP="00C9677E">
      <w:pPr>
        <w:tabs>
          <w:tab w:val="left" w:pos="567"/>
        </w:tabs>
        <w:rPr>
          <w:rFonts w:asciiTheme="minorHAnsi" w:hAnsiTheme="minorHAnsi" w:cstheme="minorHAnsi"/>
        </w:rPr>
      </w:pPr>
      <w:r w:rsidRPr="00A23FB4">
        <w:rPr>
          <w:rFonts w:asciiTheme="minorHAnsi" w:hAnsiTheme="minorHAnsi" w:cstheme="minorHAnsi"/>
        </w:rPr>
        <w:t>Ustalenie typu kabla, ilości żył, rodzaju izolacji i osłony ze względu na przebudowę, a nie budowę linii kablowej należy do odpowiedniego Zakładu Radiokomunikacji i Teletransmisji.</w:t>
      </w:r>
    </w:p>
    <w:p w14:paraId="46A7B4A1" w14:textId="77777777" w:rsidR="00C9677E" w:rsidRPr="00A23FB4" w:rsidRDefault="00C9677E" w:rsidP="00C9677E">
      <w:pPr>
        <w:pStyle w:val="Nagwek3"/>
        <w:rPr>
          <w:rFonts w:asciiTheme="minorHAnsi" w:hAnsiTheme="minorHAnsi"/>
        </w:rPr>
      </w:pPr>
      <w:bookmarkStart w:id="72" w:name="_Toc467298651"/>
      <w:bookmarkStart w:id="73" w:name="_Toc468518132"/>
      <w:r w:rsidRPr="00A23FB4">
        <w:rPr>
          <w:rFonts w:asciiTheme="minorHAnsi" w:hAnsiTheme="minorHAnsi"/>
        </w:rPr>
        <w:t>3. SPRZĘT</w:t>
      </w:r>
      <w:bookmarkEnd w:id="72"/>
      <w:bookmarkEnd w:id="73"/>
    </w:p>
    <w:p w14:paraId="2AC95809" w14:textId="77777777" w:rsidR="00C9677E" w:rsidRPr="00A23FB4" w:rsidRDefault="00C9677E" w:rsidP="00C9677E">
      <w:pPr>
        <w:pStyle w:val="Nagwek4"/>
        <w:rPr>
          <w:rFonts w:asciiTheme="minorHAnsi" w:hAnsiTheme="minorHAnsi"/>
        </w:rPr>
      </w:pPr>
      <w:r w:rsidRPr="00A23FB4">
        <w:rPr>
          <w:rFonts w:asciiTheme="minorHAnsi" w:hAnsiTheme="minorHAnsi"/>
        </w:rPr>
        <w:t>3.1. Ogólne wymagania</w:t>
      </w:r>
    </w:p>
    <w:p w14:paraId="0943190E"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Wykonawca jest zobowiązany do używania jedynie takiego sprzętu, który nie spowoduje niekorzystnego wpływu na jakość wykonywanych robót, zarówno w miejscu tych robót, jak też przy wykonywaniu czynności pomocniczych oraz w czasie transportu, załadunku i wyładunku materiałów, sprzętu itp.</w:t>
      </w:r>
    </w:p>
    <w:p w14:paraId="6E24E202"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Sprzęt używany przez Wykonawcę powinien uzyskać akceptację Inżyniera.</w:t>
      </w:r>
    </w:p>
    <w:p w14:paraId="17FF6236"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 xml:space="preserve">Liczba i wydajność sprzętu powinna gwarantować wykonanie robót zgodnie z zasadami określonymi w dokumentacji projektowej, </w:t>
      </w:r>
      <w:r w:rsidR="00824125" w:rsidRPr="00A23FB4">
        <w:rPr>
          <w:rFonts w:asciiTheme="minorHAnsi" w:hAnsiTheme="minorHAnsi" w:cstheme="minorHAnsi"/>
        </w:rPr>
        <w:t>wytycznymi</w:t>
      </w:r>
      <w:r w:rsidRPr="00A23FB4">
        <w:rPr>
          <w:rFonts w:asciiTheme="minorHAnsi" w:hAnsiTheme="minorHAnsi" w:cstheme="minorHAnsi"/>
        </w:rPr>
        <w:t xml:space="preserve"> i wskazaniach Inżyniera w terminie przewidzianym kontraktem.</w:t>
      </w:r>
    </w:p>
    <w:p w14:paraId="3B677248" w14:textId="77777777" w:rsidR="00C9677E" w:rsidRPr="00A23FB4" w:rsidRDefault="00C9677E" w:rsidP="00C9677E">
      <w:pPr>
        <w:pStyle w:val="Nagwek4"/>
        <w:rPr>
          <w:rFonts w:asciiTheme="minorHAnsi" w:hAnsiTheme="minorHAnsi"/>
        </w:rPr>
      </w:pPr>
      <w:r w:rsidRPr="00A23FB4">
        <w:rPr>
          <w:rFonts w:asciiTheme="minorHAnsi" w:hAnsiTheme="minorHAnsi"/>
        </w:rPr>
        <w:t>3.2. Sprzęt do budowy kablowych linii telekomunikacyjnych</w:t>
      </w:r>
    </w:p>
    <w:p w14:paraId="0A9804A2" w14:textId="77777777" w:rsidR="00C9677E" w:rsidRPr="00A23FB4" w:rsidRDefault="00C9677E" w:rsidP="00C9677E">
      <w:pPr>
        <w:tabs>
          <w:tab w:val="left" w:pos="567"/>
        </w:tabs>
        <w:rPr>
          <w:rFonts w:asciiTheme="minorHAnsi" w:hAnsiTheme="minorHAnsi" w:cstheme="minorHAnsi"/>
        </w:rPr>
      </w:pPr>
      <w:r w:rsidRPr="00A23FB4">
        <w:rPr>
          <w:rFonts w:asciiTheme="minorHAnsi" w:hAnsiTheme="minorHAnsi" w:cstheme="minorHAnsi"/>
        </w:rPr>
        <w:t>Wykonawca przystępujący do wykonania przebudowy kablowych linii  telekomunikacyjnych powinien  wykazać się możliwością korzystania z następujących maszyn i sprzętu, w zależności od zakresu robót gwarantujących właściwą jakość robót:</w:t>
      </w:r>
    </w:p>
    <w:p w14:paraId="04F6717A" w14:textId="77777777" w:rsidR="00C9677E" w:rsidRPr="00A23FB4" w:rsidRDefault="00C9677E" w:rsidP="00262498">
      <w:pPr>
        <w:numPr>
          <w:ilvl w:val="0"/>
          <w:numId w:val="35"/>
        </w:numPr>
        <w:tabs>
          <w:tab w:val="left" w:pos="567"/>
        </w:tabs>
        <w:rPr>
          <w:rFonts w:asciiTheme="minorHAnsi" w:hAnsiTheme="minorHAnsi" w:cstheme="minorHAnsi"/>
        </w:rPr>
      </w:pPr>
      <w:r w:rsidRPr="00A23FB4">
        <w:rPr>
          <w:rFonts w:asciiTheme="minorHAnsi" w:hAnsiTheme="minorHAnsi" w:cstheme="minorHAnsi"/>
        </w:rPr>
        <w:t>ubijak spalinowy,</w:t>
      </w:r>
    </w:p>
    <w:p w14:paraId="7D6C18C1" w14:textId="77777777" w:rsidR="00C9677E" w:rsidRPr="00A23FB4" w:rsidRDefault="00C9677E" w:rsidP="00262498">
      <w:pPr>
        <w:numPr>
          <w:ilvl w:val="0"/>
          <w:numId w:val="35"/>
        </w:numPr>
        <w:tabs>
          <w:tab w:val="left" w:pos="567"/>
        </w:tabs>
        <w:rPr>
          <w:rFonts w:asciiTheme="minorHAnsi" w:hAnsiTheme="minorHAnsi" w:cstheme="minorHAnsi"/>
        </w:rPr>
      </w:pPr>
      <w:r w:rsidRPr="00A23FB4">
        <w:rPr>
          <w:rFonts w:asciiTheme="minorHAnsi" w:hAnsiTheme="minorHAnsi" w:cstheme="minorHAnsi"/>
        </w:rPr>
        <w:t>żurawik hydrauliczny,</w:t>
      </w:r>
    </w:p>
    <w:p w14:paraId="36FE903C" w14:textId="77777777" w:rsidR="00C9677E" w:rsidRPr="00A23FB4" w:rsidRDefault="00C9677E" w:rsidP="00262498">
      <w:pPr>
        <w:numPr>
          <w:ilvl w:val="0"/>
          <w:numId w:val="35"/>
        </w:numPr>
        <w:tabs>
          <w:tab w:val="left" w:pos="567"/>
        </w:tabs>
        <w:rPr>
          <w:rFonts w:asciiTheme="minorHAnsi" w:hAnsiTheme="minorHAnsi" w:cstheme="minorHAnsi"/>
        </w:rPr>
      </w:pPr>
      <w:r w:rsidRPr="00A23FB4">
        <w:rPr>
          <w:rFonts w:asciiTheme="minorHAnsi" w:hAnsiTheme="minorHAnsi" w:cstheme="minorHAnsi"/>
        </w:rPr>
        <w:t>sprężarka powietrzna spalinowa, przewoźna,</w:t>
      </w:r>
    </w:p>
    <w:p w14:paraId="5EF02BD5" w14:textId="77777777" w:rsidR="00C9677E" w:rsidRPr="00A23FB4" w:rsidRDefault="00C9677E" w:rsidP="00262498">
      <w:pPr>
        <w:numPr>
          <w:ilvl w:val="0"/>
          <w:numId w:val="35"/>
        </w:numPr>
        <w:tabs>
          <w:tab w:val="left" w:pos="567"/>
        </w:tabs>
        <w:rPr>
          <w:rFonts w:asciiTheme="minorHAnsi" w:hAnsiTheme="minorHAnsi" w:cstheme="minorHAnsi"/>
        </w:rPr>
      </w:pPr>
      <w:r w:rsidRPr="00A23FB4">
        <w:rPr>
          <w:rFonts w:asciiTheme="minorHAnsi" w:hAnsiTheme="minorHAnsi" w:cstheme="minorHAnsi"/>
        </w:rPr>
        <w:t>wciągarka mechaniczna kabli,</w:t>
      </w:r>
    </w:p>
    <w:p w14:paraId="3ECE62A5" w14:textId="77777777" w:rsidR="00C9677E" w:rsidRPr="00A23FB4" w:rsidRDefault="00C9677E" w:rsidP="00262498">
      <w:pPr>
        <w:numPr>
          <w:ilvl w:val="0"/>
          <w:numId w:val="35"/>
        </w:numPr>
        <w:tabs>
          <w:tab w:val="left" w:pos="567"/>
        </w:tabs>
        <w:rPr>
          <w:rFonts w:asciiTheme="minorHAnsi" w:hAnsiTheme="minorHAnsi" w:cstheme="minorHAnsi"/>
        </w:rPr>
      </w:pPr>
      <w:r w:rsidRPr="00A23FB4">
        <w:rPr>
          <w:rFonts w:asciiTheme="minorHAnsi" w:hAnsiTheme="minorHAnsi" w:cstheme="minorHAnsi"/>
        </w:rPr>
        <w:t>wciągarka ręczna kabli,</w:t>
      </w:r>
    </w:p>
    <w:p w14:paraId="0EAB2CBC" w14:textId="77777777" w:rsidR="00C9677E" w:rsidRPr="00A23FB4" w:rsidRDefault="00C9677E" w:rsidP="00262498">
      <w:pPr>
        <w:numPr>
          <w:ilvl w:val="0"/>
          <w:numId w:val="35"/>
        </w:numPr>
        <w:tabs>
          <w:tab w:val="left" w:pos="567"/>
        </w:tabs>
        <w:rPr>
          <w:rFonts w:asciiTheme="minorHAnsi" w:hAnsiTheme="minorHAnsi" w:cstheme="minorHAnsi"/>
        </w:rPr>
      </w:pPr>
      <w:r w:rsidRPr="00A23FB4">
        <w:rPr>
          <w:rFonts w:asciiTheme="minorHAnsi" w:hAnsiTheme="minorHAnsi" w:cstheme="minorHAnsi"/>
        </w:rPr>
        <w:t>miernik sprzężeń pojemnościowych,</w:t>
      </w:r>
    </w:p>
    <w:p w14:paraId="57DFE523" w14:textId="77777777" w:rsidR="00C9677E" w:rsidRPr="00A23FB4" w:rsidRDefault="00C9677E" w:rsidP="00262498">
      <w:pPr>
        <w:numPr>
          <w:ilvl w:val="0"/>
          <w:numId w:val="35"/>
        </w:numPr>
        <w:tabs>
          <w:tab w:val="left" w:pos="567"/>
        </w:tabs>
        <w:rPr>
          <w:rFonts w:asciiTheme="minorHAnsi" w:hAnsiTheme="minorHAnsi" w:cstheme="minorHAnsi"/>
        </w:rPr>
      </w:pPr>
      <w:r w:rsidRPr="00A23FB4">
        <w:rPr>
          <w:rFonts w:asciiTheme="minorHAnsi" w:hAnsiTheme="minorHAnsi" w:cstheme="minorHAnsi"/>
        </w:rPr>
        <w:t>sprężarka powietrzna, spalinowa, przewoźna,</w:t>
      </w:r>
    </w:p>
    <w:p w14:paraId="43665C70" w14:textId="77777777" w:rsidR="00C9677E" w:rsidRPr="00A23FB4" w:rsidRDefault="00C9677E" w:rsidP="00262498">
      <w:pPr>
        <w:numPr>
          <w:ilvl w:val="0"/>
          <w:numId w:val="35"/>
        </w:numPr>
        <w:tabs>
          <w:tab w:val="left" w:pos="567"/>
        </w:tabs>
        <w:rPr>
          <w:rFonts w:asciiTheme="minorHAnsi" w:hAnsiTheme="minorHAnsi" w:cstheme="minorHAnsi"/>
        </w:rPr>
      </w:pPr>
      <w:r w:rsidRPr="00A23FB4">
        <w:rPr>
          <w:rFonts w:asciiTheme="minorHAnsi" w:hAnsiTheme="minorHAnsi" w:cstheme="minorHAnsi"/>
        </w:rPr>
        <w:t>megomierz,</w:t>
      </w:r>
    </w:p>
    <w:p w14:paraId="48F4FDAB" w14:textId="77777777" w:rsidR="00C9677E" w:rsidRPr="00A23FB4" w:rsidRDefault="00C9677E" w:rsidP="00262498">
      <w:pPr>
        <w:numPr>
          <w:ilvl w:val="0"/>
          <w:numId w:val="35"/>
        </w:numPr>
        <w:tabs>
          <w:tab w:val="left" w:pos="567"/>
        </w:tabs>
        <w:rPr>
          <w:rFonts w:asciiTheme="minorHAnsi" w:hAnsiTheme="minorHAnsi" w:cstheme="minorHAnsi"/>
        </w:rPr>
      </w:pPr>
      <w:r w:rsidRPr="00A23FB4">
        <w:rPr>
          <w:rFonts w:asciiTheme="minorHAnsi" w:hAnsiTheme="minorHAnsi" w:cstheme="minorHAnsi"/>
        </w:rPr>
        <w:t>mostek kablowy,</w:t>
      </w:r>
    </w:p>
    <w:p w14:paraId="79B45FCF" w14:textId="77777777" w:rsidR="00C9677E" w:rsidRPr="00A23FB4" w:rsidRDefault="00C9677E" w:rsidP="00262498">
      <w:pPr>
        <w:numPr>
          <w:ilvl w:val="0"/>
          <w:numId w:val="35"/>
        </w:numPr>
        <w:tabs>
          <w:tab w:val="left" w:pos="567"/>
        </w:tabs>
        <w:rPr>
          <w:rFonts w:asciiTheme="minorHAnsi" w:hAnsiTheme="minorHAnsi" w:cstheme="minorHAnsi"/>
        </w:rPr>
      </w:pPr>
      <w:r w:rsidRPr="00A23FB4">
        <w:rPr>
          <w:rFonts w:asciiTheme="minorHAnsi" w:hAnsiTheme="minorHAnsi" w:cstheme="minorHAnsi"/>
        </w:rPr>
        <w:t>generator poziomu do 20 kHz,</w:t>
      </w:r>
    </w:p>
    <w:p w14:paraId="17CC8E79" w14:textId="77777777" w:rsidR="00C9677E" w:rsidRPr="00A23FB4" w:rsidRDefault="00C9677E" w:rsidP="00262498">
      <w:pPr>
        <w:numPr>
          <w:ilvl w:val="0"/>
          <w:numId w:val="35"/>
        </w:numPr>
        <w:tabs>
          <w:tab w:val="left" w:pos="567"/>
        </w:tabs>
        <w:rPr>
          <w:rFonts w:asciiTheme="minorHAnsi" w:hAnsiTheme="minorHAnsi" w:cstheme="minorHAnsi"/>
        </w:rPr>
      </w:pPr>
      <w:r w:rsidRPr="00A23FB4">
        <w:rPr>
          <w:rFonts w:asciiTheme="minorHAnsi" w:hAnsiTheme="minorHAnsi" w:cstheme="minorHAnsi"/>
        </w:rPr>
        <w:t>miernik poziomu do 20 kHz,</w:t>
      </w:r>
    </w:p>
    <w:p w14:paraId="1D827E9E" w14:textId="77777777" w:rsidR="00C9677E" w:rsidRPr="00A23FB4" w:rsidRDefault="00C9677E" w:rsidP="00262498">
      <w:pPr>
        <w:numPr>
          <w:ilvl w:val="0"/>
          <w:numId w:val="35"/>
        </w:numPr>
        <w:tabs>
          <w:tab w:val="left" w:pos="567"/>
        </w:tabs>
        <w:rPr>
          <w:rFonts w:asciiTheme="minorHAnsi" w:hAnsiTheme="minorHAnsi" w:cstheme="minorHAnsi"/>
        </w:rPr>
      </w:pPr>
      <w:r w:rsidRPr="00A23FB4">
        <w:rPr>
          <w:rFonts w:asciiTheme="minorHAnsi" w:hAnsiTheme="minorHAnsi" w:cstheme="minorHAnsi"/>
        </w:rPr>
        <w:t>przesłuchomierz,</w:t>
      </w:r>
    </w:p>
    <w:p w14:paraId="324031E4" w14:textId="77777777" w:rsidR="00C9677E" w:rsidRPr="00A23FB4" w:rsidRDefault="00C9677E" w:rsidP="00262498">
      <w:pPr>
        <w:numPr>
          <w:ilvl w:val="0"/>
          <w:numId w:val="35"/>
        </w:numPr>
        <w:tabs>
          <w:tab w:val="left" w:pos="567"/>
        </w:tabs>
        <w:rPr>
          <w:rFonts w:asciiTheme="minorHAnsi" w:hAnsiTheme="minorHAnsi" w:cstheme="minorHAnsi"/>
        </w:rPr>
      </w:pPr>
      <w:r w:rsidRPr="00A23FB4">
        <w:rPr>
          <w:rFonts w:asciiTheme="minorHAnsi" w:hAnsiTheme="minorHAnsi" w:cstheme="minorHAnsi"/>
        </w:rPr>
        <w:t>koparka jednonaczyniowa kołowa,</w:t>
      </w:r>
    </w:p>
    <w:p w14:paraId="63C6BE09" w14:textId="77777777" w:rsidR="00C9677E" w:rsidRPr="00A23FB4" w:rsidRDefault="00C9677E" w:rsidP="00262498">
      <w:pPr>
        <w:numPr>
          <w:ilvl w:val="0"/>
          <w:numId w:val="35"/>
        </w:numPr>
        <w:tabs>
          <w:tab w:val="left" w:pos="567"/>
        </w:tabs>
        <w:rPr>
          <w:rFonts w:asciiTheme="minorHAnsi" w:hAnsiTheme="minorHAnsi" w:cstheme="minorHAnsi"/>
        </w:rPr>
      </w:pPr>
      <w:r w:rsidRPr="00A23FB4">
        <w:rPr>
          <w:rFonts w:asciiTheme="minorHAnsi" w:hAnsiTheme="minorHAnsi" w:cstheme="minorHAnsi"/>
        </w:rPr>
        <w:t>urządzenie do przebić poziomych,</w:t>
      </w:r>
    </w:p>
    <w:p w14:paraId="5A7540AD" w14:textId="77777777" w:rsidR="00C9677E" w:rsidRPr="00A23FB4" w:rsidRDefault="00C9677E" w:rsidP="00262498">
      <w:pPr>
        <w:numPr>
          <w:ilvl w:val="0"/>
          <w:numId w:val="35"/>
        </w:numPr>
        <w:tabs>
          <w:tab w:val="left" w:pos="567"/>
        </w:tabs>
        <w:rPr>
          <w:rFonts w:asciiTheme="minorHAnsi" w:hAnsiTheme="minorHAnsi" w:cstheme="minorHAnsi"/>
        </w:rPr>
      </w:pPr>
      <w:r w:rsidRPr="00A23FB4">
        <w:rPr>
          <w:rFonts w:asciiTheme="minorHAnsi" w:hAnsiTheme="minorHAnsi" w:cstheme="minorHAnsi"/>
        </w:rPr>
        <w:t>ciągnik balastowy,</w:t>
      </w:r>
    </w:p>
    <w:p w14:paraId="5F3F0BC8" w14:textId="77777777" w:rsidR="00C9677E" w:rsidRPr="00A23FB4" w:rsidRDefault="00C9677E" w:rsidP="00262498">
      <w:pPr>
        <w:numPr>
          <w:ilvl w:val="0"/>
          <w:numId w:val="35"/>
        </w:numPr>
        <w:tabs>
          <w:tab w:val="left" w:pos="567"/>
        </w:tabs>
        <w:rPr>
          <w:rFonts w:asciiTheme="minorHAnsi" w:hAnsiTheme="minorHAnsi" w:cstheme="minorHAnsi"/>
        </w:rPr>
      </w:pPr>
      <w:r w:rsidRPr="00A23FB4">
        <w:rPr>
          <w:rFonts w:asciiTheme="minorHAnsi" w:hAnsiTheme="minorHAnsi" w:cstheme="minorHAnsi"/>
        </w:rPr>
        <w:t>koparka na podwoziu gąsiennicowym,</w:t>
      </w:r>
    </w:p>
    <w:p w14:paraId="10B3D6D2" w14:textId="77777777" w:rsidR="00C9677E" w:rsidRPr="00A23FB4" w:rsidRDefault="00C9677E" w:rsidP="00262498">
      <w:pPr>
        <w:numPr>
          <w:ilvl w:val="0"/>
          <w:numId w:val="35"/>
        </w:numPr>
        <w:tabs>
          <w:tab w:val="left" w:pos="567"/>
        </w:tabs>
        <w:rPr>
          <w:rFonts w:asciiTheme="minorHAnsi" w:hAnsiTheme="minorHAnsi" w:cstheme="minorHAnsi"/>
        </w:rPr>
      </w:pPr>
      <w:r w:rsidRPr="00A23FB4">
        <w:rPr>
          <w:rFonts w:asciiTheme="minorHAnsi" w:hAnsiTheme="minorHAnsi" w:cstheme="minorHAnsi"/>
        </w:rPr>
        <w:t>żuraw samochodowy 6 t,</w:t>
      </w:r>
    </w:p>
    <w:p w14:paraId="5E44DDA0" w14:textId="77777777" w:rsidR="00C9677E" w:rsidRPr="00A23FB4" w:rsidRDefault="00C9677E" w:rsidP="00262498">
      <w:pPr>
        <w:numPr>
          <w:ilvl w:val="0"/>
          <w:numId w:val="35"/>
        </w:numPr>
        <w:tabs>
          <w:tab w:val="left" w:pos="567"/>
        </w:tabs>
        <w:rPr>
          <w:rFonts w:asciiTheme="minorHAnsi" w:hAnsiTheme="minorHAnsi" w:cstheme="minorHAnsi"/>
        </w:rPr>
      </w:pPr>
      <w:r w:rsidRPr="00A23FB4">
        <w:rPr>
          <w:rFonts w:asciiTheme="minorHAnsi" w:hAnsiTheme="minorHAnsi" w:cstheme="minorHAnsi"/>
        </w:rPr>
        <w:t>ciągnik siodłowy z naczepą,</w:t>
      </w:r>
    </w:p>
    <w:p w14:paraId="12F72AD4" w14:textId="77777777" w:rsidR="00C9677E" w:rsidRPr="00A23FB4" w:rsidRDefault="00C9677E" w:rsidP="00262498">
      <w:pPr>
        <w:numPr>
          <w:ilvl w:val="0"/>
          <w:numId w:val="35"/>
        </w:numPr>
        <w:tabs>
          <w:tab w:val="left" w:pos="567"/>
        </w:tabs>
        <w:rPr>
          <w:rFonts w:asciiTheme="minorHAnsi" w:hAnsiTheme="minorHAnsi" w:cstheme="minorHAnsi"/>
        </w:rPr>
      </w:pPr>
      <w:r w:rsidRPr="00A23FB4">
        <w:rPr>
          <w:rFonts w:asciiTheme="minorHAnsi" w:hAnsiTheme="minorHAnsi" w:cstheme="minorHAnsi"/>
        </w:rPr>
        <w:t>pługoukładacz kabli na ciągniku gąsiennicowym,</w:t>
      </w:r>
    </w:p>
    <w:p w14:paraId="2F32C97A" w14:textId="77777777" w:rsidR="00C9677E" w:rsidRPr="00A23FB4" w:rsidRDefault="00C9677E" w:rsidP="00262498">
      <w:pPr>
        <w:numPr>
          <w:ilvl w:val="0"/>
          <w:numId w:val="35"/>
        </w:numPr>
        <w:tabs>
          <w:tab w:val="left" w:pos="567"/>
        </w:tabs>
        <w:rPr>
          <w:rFonts w:asciiTheme="minorHAnsi" w:hAnsiTheme="minorHAnsi" w:cstheme="minorHAnsi"/>
        </w:rPr>
      </w:pPr>
      <w:r w:rsidRPr="00A23FB4">
        <w:rPr>
          <w:rFonts w:asciiTheme="minorHAnsi" w:hAnsiTheme="minorHAnsi" w:cstheme="minorHAnsi"/>
        </w:rPr>
        <w:t>ciągnik gąsiennicowy,</w:t>
      </w:r>
    </w:p>
    <w:p w14:paraId="4A682B94" w14:textId="77777777" w:rsidR="00C9677E" w:rsidRPr="00A23FB4" w:rsidRDefault="00C9677E" w:rsidP="00262498">
      <w:pPr>
        <w:numPr>
          <w:ilvl w:val="0"/>
          <w:numId w:val="35"/>
        </w:numPr>
        <w:tabs>
          <w:tab w:val="left" w:pos="567"/>
        </w:tabs>
        <w:rPr>
          <w:rFonts w:asciiTheme="minorHAnsi" w:hAnsiTheme="minorHAnsi" w:cstheme="minorHAnsi"/>
        </w:rPr>
      </w:pPr>
      <w:r w:rsidRPr="00A23FB4">
        <w:rPr>
          <w:rFonts w:asciiTheme="minorHAnsi" w:hAnsiTheme="minorHAnsi" w:cstheme="minorHAnsi"/>
        </w:rPr>
        <w:t>miernik pojemności skutecznej,</w:t>
      </w:r>
    </w:p>
    <w:p w14:paraId="195CB9F0" w14:textId="77777777" w:rsidR="00C9677E" w:rsidRPr="00A23FB4" w:rsidRDefault="00C9677E" w:rsidP="00262498">
      <w:pPr>
        <w:numPr>
          <w:ilvl w:val="0"/>
          <w:numId w:val="35"/>
        </w:numPr>
        <w:tabs>
          <w:tab w:val="left" w:pos="567"/>
        </w:tabs>
        <w:rPr>
          <w:rFonts w:asciiTheme="minorHAnsi" w:hAnsiTheme="minorHAnsi" w:cstheme="minorHAnsi"/>
        </w:rPr>
      </w:pPr>
      <w:r w:rsidRPr="00A23FB4">
        <w:rPr>
          <w:rFonts w:asciiTheme="minorHAnsi" w:hAnsiTheme="minorHAnsi" w:cstheme="minorHAnsi"/>
        </w:rPr>
        <w:t>zespół prądnicowy jednofazowy do 2,5 kVA,</w:t>
      </w:r>
    </w:p>
    <w:p w14:paraId="1555F89E" w14:textId="77777777" w:rsidR="00C9677E" w:rsidRPr="00A23FB4" w:rsidRDefault="00C9677E" w:rsidP="00262498">
      <w:pPr>
        <w:numPr>
          <w:ilvl w:val="0"/>
          <w:numId w:val="35"/>
        </w:numPr>
        <w:tabs>
          <w:tab w:val="left" w:pos="567"/>
        </w:tabs>
        <w:rPr>
          <w:rFonts w:asciiTheme="minorHAnsi" w:hAnsiTheme="minorHAnsi" w:cstheme="minorHAnsi"/>
        </w:rPr>
      </w:pPr>
      <w:r w:rsidRPr="00A23FB4">
        <w:rPr>
          <w:rFonts w:asciiTheme="minorHAnsi" w:hAnsiTheme="minorHAnsi" w:cstheme="minorHAnsi"/>
        </w:rPr>
        <w:t>próbnik wytrzymałości izolacji,</w:t>
      </w:r>
    </w:p>
    <w:p w14:paraId="1E2F835E" w14:textId="77777777" w:rsidR="00C9677E" w:rsidRPr="00A23FB4" w:rsidRDefault="00C9677E" w:rsidP="00262498">
      <w:pPr>
        <w:numPr>
          <w:ilvl w:val="0"/>
          <w:numId w:val="35"/>
        </w:numPr>
        <w:tabs>
          <w:tab w:val="left" w:pos="567"/>
        </w:tabs>
        <w:rPr>
          <w:rFonts w:asciiTheme="minorHAnsi" w:hAnsiTheme="minorHAnsi" w:cstheme="minorHAnsi"/>
        </w:rPr>
      </w:pPr>
      <w:r w:rsidRPr="00A23FB4">
        <w:rPr>
          <w:rFonts w:asciiTheme="minorHAnsi" w:hAnsiTheme="minorHAnsi" w:cstheme="minorHAnsi"/>
        </w:rPr>
        <w:t>wzmacniacz heterodynowy,</w:t>
      </w:r>
    </w:p>
    <w:p w14:paraId="1FCF68F2" w14:textId="77777777" w:rsidR="00C9677E" w:rsidRPr="00A23FB4" w:rsidRDefault="00C9677E" w:rsidP="00262498">
      <w:pPr>
        <w:numPr>
          <w:ilvl w:val="0"/>
          <w:numId w:val="35"/>
        </w:numPr>
        <w:tabs>
          <w:tab w:val="left" w:pos="567"/>
        </w:tabs>
        <w:rPr>
          <w:rFonts w:asciiTheme="minorHAnsi" w:hAnsiTheme="minorHAnsi" w:cstheme="minorHAnsi"/>
        </w:rPr>
      </w:pPr>
      <w:r w:rsidRPr="00A23FB4">
        <w:rPr>
          <w:rFonts w:asciiTheme="minorHAnsi" w:hAnsiTheme="minorHAnsi" w:cstheme="minorHAnsi"/>
        </w:rPr>
        <w:t>miernik oporności pozornej,</w:t>
      </w:r>
    </w:p>
    <w:p w14:paraId="72F9BD70" w14:textId="77777777" w:rsidR="00C9677E" w:rsidRPr="00A23FB4" w:rsidRDefault="00C9677E" w:rsidP="00262498">
      <w:pPr>
        <w:numPr>
          <w:ilvl w:val="0"/>
          <w:numId w:val="35"/>
        </w:numPr>
        <w:tabs>
          <w:tab w:val="left" w:pos="567"/>
        </w:tabs>
        <w:rPr>
          <w:rFonts w:asciiTheme="minorHAnsi" w:hAnsiTheme="minorHAnsi" w:cstheme="minorHAnsi"/>
        </w:rPr>
      </w:pPr>
      <w:r w:rsidRPr="00A23FB4">
        <w:rPr>
          <w:rFonts w:asciiTheme="minorHAnsi" w:hAnsiTheme="minorHAnsi" w:cstheme="minorHAnsi"/>
        </w:rPr>
        <w:t>poziomoskop,</w:t>
      </w:r>
    </w:p>
    <w:p w14:paraId="71E5745C" w14:textId="77777777" w:rsidR="00C9677E" w:rsidRPr="00A23FB4" w:rsidRDefault="00C9677E" w:rsidP="00262498">
      <w:pPr>
        <w:numPr>
          <w:ilvl w:val="0"/>
          <w:numId w:val="35"/>
        </w:numPr>
        <w:tabs>
          <w:tab w:val="left" w:pos="567"/>
        </w:tabs>
        <w:rPr>
          <w:rFonts w:asciiTheme="minorHAnsi" w:hAnsiTheme="minorHAnsi" w:cstheme="minorHAnsi"/>
        </w:rPr>
      </w:pPr>
      <w:r w:rsidRPr="00A23FB4">
        <w:rPr>
          <w:rFonts w:asciiTheme="minorHAnsi" w:hAnsiTheme="minorHAnsi" w:cstheme="minorHAnsi"/>
        </w:rPr>
        <w:t>równoważnik nastawny,</w:t>
      </w:r>
    </w:p>
    <w:p w14:paraId="0AADE53C" w14:textId="77777777" w:rsidR="00C9677E" w:rsidRPr="00A23FB4" w:rsidRDefault="00C9677E" w:rsidP="00262498">
      <w:pPr>
        <w:numPr>
          <w:ilvl w:val="0"/>
          <w:numId w:val="35"/>
        </w:numPr>
        <w:tabs>
          <w:tab w:val="left" w:pos="567"/>
        </w:tabs>
        <w:rPr>
          <w:rFonts w:asciiTheme="minorHAnsi" w:hAnsiTheme="minorHAnsi" w:cstheme="minorHAnsi"/>
        </w:rPr>
      </w:pPr>
      <w:r w:rsidRPr="00A23FB4">
        <w:rPr>
          <w:rFonts w:asciiTheme="minorHAnsi" w:hAnsiTheme="minorHAnsi" w:cstheme="minorHAnsi"/>
        </w:rPr>
        <w:t>transformator symetryczny,</w:t>
      </w:r>
    </w:p>
    <w:p w14:paraId="4C3FF35B" w14:textId="77777777" w:rsidR="00C9677E" w:rsidRPr="00A23FB4" w:rsidRDefault="00C9677E" w:rsidP="00262498">
      <w:pPr>
        <w:numPr>
          <w:ilvl w:val="0"/>
          <w:numId w:val="35"/>
        </w:numPr>
        <w:tabs>
          <w:tab w:val="left" w:pos="567"/>
        </w:tabs>
        <w:rPr>
          <w:rFonts w:asciiTheme="minorHAnsi" w:hAnsiTheme="minorHAnsi" w:cstheme="minorHAnsi"/>
        </w:rPr>
      </w:pPr>
      <w:r w:rsidRPr="00A23FB4">
        <w:rPr>
          <w:rFonts w:asciiTheme="minorHAnsi" w:hAnsiTheme="minorHAnsi" w:cstheme="minorHAnsi"/>
        </w:rPr>
        <w:t>wzmacniacz mocy,</w:t>
      </w:r>
    </w:p>
    <w:p w14:paraId="4C67CB9D" w14:textId="77777777" w:rsidR="00C9677E" w:rsidRPr="00A23FB4" w:rsidRDefault="00C9677E" w:rsidP="00262498">
      <w:pPr>
        <w:numPr>
          <w:ilvl w:val="0"/>
          <w:numId w:val="35"/>
        </w:numPr>
        <w:tabs>
          <w:tab w:val="left" w:pos="567"/>
        </w:tabs>
        <w:rPr>
          <w:rFonts w:asciiTheme="minorHAnsi" w:hAnsiTheme="minorHAnsi" w:cstheme="minorHAnsi"/>
        </w:rPr>
      </w:pPr>
      <w:r w:rsidRPr="00A23FB4">
        <w:rPr>
          <w:rFonts w:asciiTheme="minorHAnsi" w:hAnsiTheme="minorHAnsi" w:cstheme="minorHAnsi"/>
        </w:rPr>
        <w:t>oscyloskopowy miernik sprzężeń.</w:t>
      </w:r>
    </w:p>
    <w:p w14:paraId="44FB32E8" w14:textId="77777777" w:rsidR="00C9677E" w:rsidRPr="00A23FB4" w:rsidRDefault="00C9677E" w:rsidP="00C9677E">
      <w:pPr>
        <w:pStyle w:val="Nagwek3"/>
        <w:rPr>
          <w:rFonts w:asciiTheme="minorHAnsi" w:hAnsiTheme="minorHAnsi"/>
        </w:rPr>
      </w:pPr>
      <w:bookmarkStart w:id="74" w:name="_Toc468518133"/>
      <w:r w:rsidRPr="00A23FB4">
        <w:rPr>
          <w:rFonts w:asciiTheme="minorHAnsi" w:hAnsiTheme="minorHAnsi"/>
        </w:rPr>
        <w:t>4. TRANSPORT</w:t>
      </w:r>
      <w:bookmarkEnd w:id="74"/>
    </w:p>
    <w:p w14:paraId="73DCC532" w14:textId="77777777" w:rsidR="00C9677E" w:rsidRPr="00A23FB4" w:rsidRDefault="00C9677E" w:rsidP="00C9677E">
      <w:pPr>
        <w:pStyle w:val="Nagwek4"/>
        <w:rPr>
          <w:rFonts w:asciiTheme="minorHAnsi" w:hAnsiTheme="minorHAnsi"/>
        </w:rPr>
      </w:pPr>
      <w:r w:rsidRPr="00A23FB4">
        <w:rPr>
          <w:rFonts w:asciiTheme="minorHAnsi" w:hAnsiTheme="minorHAnsi"/>
        </w:rPr>
        <w:t>4.1. Wymagania ogólne</w:t>
      </w:r>
    </w:p>
    <w:p w14:paraId="778603F9"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Wykonawca jest obowiązany do stosowania jedynie takich środków transportu, które nie wpłyną niekorzystnie na jakość wykonywanych robót.</w:t>
      </w:r>
    </w:p>
    <w:p w14:paraId="6B536E8D"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 xml:space="preserve">Liczba środków transportu powinna gwarantować prowadzenie robót zgodnie z zasadami określonymi w dokumentacji projektowej, </w:t>
      </w:r>
      <w:r w:rsidR="00824125" w:rsidRPr="00A23FB4">
        <w:rPr>
          <w:rFonts w:asciiTheme="minorHAnsi" w:hAnsiTheme="minorHAnsi" w:cstheme="minorHAnsi"/>
        </w:rPr>
        <w:t>wytycznymi</w:t>
      </w:r>
      <w:r w:rsidRPr="00A23FB4">
        <w:rPr>
          <w:rFonts w:asciiTheme="minorHAnsi" w:hAnsiTheme="minorHAnsi" w:cstheme="minorHAnsi"/>
        </w:rPr>
        <w:t xml:space="preserve"> i wskazaniach Inżyniera, w terminie przewidzianym kontraktem.</w:t>
      </w:r>
    </w:p>
    <w:p w14:paraId="7AC5043D" w14:textId="77777777" w:rsidR="00C9677E" w:rsidRPr="00A23FB4" w:rsidRDefault="00C9677E" w:rsidP="00C9677E">
      <w:pPr>
        <w:pStyle w:val="Nagwek4"/>
        <w:rPr>
          <w:rFonts w:asciiTheme="minorHAnsi" w:hAnsiTheme="minorHAnsi"/>
        </w:rPr>
      </w:pPr>
      <w:r w:rsidRPr="00A23FB4">
        <w:rPr>
          <w:rFonts w:asciiTheme="minorHAnsi" w:hAnsiTheme="minorHAnsi"/>
        </w:rPr>
        <w:t>4.2. Transport materiałów i elementów</w:t>
      </w:r>
    </w:p>
    <w:p w14:paraId="7340A373"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Wykonawca przystępujący do przebudowy kablowych linii telekomunikacyjnych powinien wykazać się możliwością korzystania z następujących środków transportu, w zależności od zakresu robót:</w:t>
      </w:r>
    </w:p>
    <w:p w14:paraId="11CB6665" w14:textId="77777777" w:rsidR="00C9677E" w:rsidRPr="00A23FB4" w:rsidRDefault="00C9677E" w:rsidP="00262498">
      <w:pPr>
        <w:numPr>
          <w:ilvl w:val="0"/>
          <w:numId w:val="35"/>
        </w:numPr>
        <w:rPr>
          <w:rFonts w:asciiTheme="minorHAnsi" w:hAnsiTheme="minorHAnsi" w:cstheme="minorHAnsi"/>
        </w:rPr>
      </w:pPr>
      <w:r w:rsidRPr="00A23FB4">
        <w:rPr>
          <w:rFonts w:asciiTheme="minorHAnsi" w:hAnsiTheme="minorHAnsi" w:cstheme="minorHAnsi"/>
        </w:rPr>
        <w:t>samochód skrzyniowy,</w:t>
      </w:r>
    </w:p>
    <w:p w14:paraId="4323EEA8" w14:textId="77777777" w:rsidR="00C9677E" w:rsidRPr="00A23FB4" w:rsidRDefault="00C9677E" w:rsidP="00262498">
      <w:pPr>
        <w:numPr>
          <w:ilvl w:val="0"/>
          <w:numId w:val="35"/>
        </w:numPr>
        <w:rPr>
          <w:rFonts w:asciiTheme="minorHAnsi" w:hAnsiTheme="minorHAnsi" w:cstheme="minorHAnsi"/>
        </w:rPr>
      </w:pPr>
      <w:r w:rsidRPr="00A23FB4">
        <w:rPr>
          <w:rFonts w:asciiTheme="minorHAnsi" w:hAnsiTheme="minorHAnsi" w:cstheme="minorHAnsi"/>
        </w:rPr>
        <w:t>samochód samowyładowczy,</w:t>
      </w:r>
    </w:p>
    <w:p w14:paraId="54878530" w14:textId="77777777" w:rsidR="00C9677E" w:rsidRPr="00A23FB4" w:rsidRDefault="00C9677E" w:rsidP="00262498">
      <w:pPr>
        <w:numPr>
          <w:ilvl w:val="0"/>
          <w:numId w:val="35"/>
        </w:numPr>
        <w:rPr>
          <w:rFonts w:asciiTheme="minorHAnsi" w:hAnsiTheme="minorHAnsi" w:cstheme="minorHAnsi"/>
        </w:rPr>
      </w:pPr>
      <w:r w:rsidRPr="00A23FB4">
        <w:rPr>
          <w:rFonts w:asciiTheme="minorHAnsi" w:hAnsiTheme="minorHAnsi" w:cstheme="minorHAnsi"/>
        </w:rPr>
        <w:t>samochód dostawczy,</w:t>
      </w:r>
    </w:p>
    <w:p w14:paraId="6E0D5A53" w14:textId="77777777" w:rsidR="00C9677E" w:rsidRPr="00A23FB4" w:rsidRDefault="00C9677E" w:rsidP="00262498">
      <w:pPr>
        <w:numPr>
          <w:ilvl w:val="0"/>
          <w:numId w:val="35"/>
        </w:numPr>
        <w:rPr>
          <w:rFonts w:asciiTheme="minorHAnsi" w:hAnsiTheme="minorHAnsi" w:cstheme="minorHAnsi"/>
        </w:rPr>
      </w:pPr>
      <w:r w:rsidRPr="00A23FB4">
        <w:rPr>
          <w:rFonts w:asciiTheme="minorHAnsi" w:hAnsiTheme="minorHAnsi" w:cstheme="minorHAnsi"/>
        </w:rPr>
        <w:t>przyczepa dłużycowa,</w:t>
      </w:r>
    </w:p>
    <w:p w14:paraId="114F24D5" w14:textId="77777777" w:rsidR="00C9677E" w:rsidRPr="00A23FB4" w:rsidRDefault="00C9677E" w:rsidP="00262498">
      <w:pPr>
        <w:numPr>
          <w:ilvl w:val="0"/>
          <w:numId w:val="35"/>
        </w:numPr>
        <w:rPr>
          <w:rFonts w:asciiTheme="minorHAnsi" w:hAnsiTheme="minorHAnsi" w:cstheme="minorHAnsi"/>
        </w:rPr>
      </w:pPr>
      <w:r w:rsidRPr="00A23FB4">
        <w:rPr>
          <w:rFonts w:asciiTheme="minorHAnsi" w:hAnsiTheme="minorHAnsi" w:cstheme="minorHAnsi"/>
        </w:rPr>
        <w:t>przyczepa do przewozu kabli,</w:t>
      </w:r>
    </w:p>
    <w:p w14:paraId="2444AA77" w14:textId="77777777" w:rsidR="00C9677E" w:rsidRPr="00A23FB4" w:rsidRDefault="00C9677E" w:rsidP="00262498">
      <w:pPr>
        <w:numPr>
          <w:ilvl w:val="0"/>
          <w:numId w:val="35"/>
        </w:numPr>
        <w:rPr>
          <w:rFonts w:asciiTheme="minorHAnsi" w:hAnsiTheme="minorHAnsi" w:cstheme="minorHAnsi"/>
        </w:rPr>
      </w:pPr>
      <w:r w:rsidRPr="00A23FB4">
        <w:rPr>
          <w:rFonts w:asciiTheme="minorHAnsi" w:hAnsiTheme="minorHAnsi" w:cstheme="minorHAnsi"/>
        </w:rPr>
        <w:t>przyczepa niskopodwoziowa.</w:t>
      </w:r>
    </w:p>
    <w:p w14:paraId="794C5BB6"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Na środkach transportu przewożone materiały i elementy powinny być zabezpieczone przed ich przemieszczaniem, układane zgodnie z warunkami transportu wydanymi przez wytwórcę dla poszczególnych elementów.</w:t>
      </w:r>
    </w:p>
    <w:p w14:paraId="01675613" w14:textId="77777777" w:rsidR="00C9677E" w:rsidRPr="00A23FB4" w:rsidRDefault="00C9677E" w:rsidP="00C9677E">
      <w:pPr>
        <w:pStyle w:val="Nagwek3"/>
        <w:rPr>
          <w:rFonts w:asciiTheme="minorHAnsi" w:hAnsiTheme="minorHAnsi"/>
        </w:rPr>
      </w:pPr>
      <w:bookmarkStart w:id="75" w:name="_Toc468518134"/>
      <w:r w:rsidRPr="00A23FB4">
        <w:rPr>
          <w:rFonts w:asciiTheme="minorHAnsi" w:hAnsiTheme="minorHAnsi"/>
        </w:rPr>
        <w:t>5. WYKONANIE ROBÓT</w:t>
      </w:r>
      <w:bookmarkEnd w:id="75"/>
    </w:p>
    <w:p w14:paraId="745DBB3D" w14:textId="77777777" w:rsidR="00C9677E" w:rsidRPr="00A23FB4" w:rsidRDefault="00C9677E" w:rsidP="00C9677E">
      <w:pPr>
        <w:pStyle w:val="Nagwek4"/>
        <w:rPr>
          <w:rFonts w:asciiTheme="minorHAnsi" w:hAnsiTheme="minorHAnsi"/>
        </w:rPr>
      </w:pPr>
      <w:r w:rsidRPr="00A23FB4">
        <w:rPr>
          <w:rFonts w:asciiTheme="minorHAnsi" w:hAnsiTheme="minorHAnsi"/>
        </w:rPr>
        <w:t>5.1. Ogólne zasady wykonania robót</w:t>
      </w:r>
    </w:p>
    <w:p w14:paraId="4AE51709"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Przy przebudowie i budowie dróg występujące kablowe linie telekomunikacyjne, które nie spełniają wymagań norm BN-73/8984-05, BN-76/8984-17, BN-88/8984-17/03 i BN-89/8984-18 podlegają przebudowie.</w:t>
      </w:r>
    </w:p>
    <w:p w14:paraId="51B18DA9"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Technologia przebudowy uzależniona jest od warunków technicznych wydawanych przez użytkownika linii, który w sposób ogólny określa sposób przebudowy.</w:t>
      </w:r>
    </w:p>
    <w:p w14:paraId="23945A9F"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Jeżeli dokumentacja projektowa nie przewiduje inaczej, to kolizyjne kablowe linie telekomunikacyjne należy przebudować zachowując następującą kolejność robót:</w:t>
      </w:r>
    </w:p>
    <w:p w14:paraId="0D655185" w14:textId="77777777" w:rsidR="00C9677E" w:rsidRPr="00A23FB4" w:rsidRDefault="00C9677E" w:rsidP="00262498">
      <w:pPr>
        <w:numPr>
          <w:ilvl w:val="0"/>
          <w:numId w:val="35"/>
        </w:numPr>
        <w:rPr>
          <w:rFonts w:asciiTheme="minorHAnsi" w:hAnsiTheme="minorHAnsi" w:cstheme="minorHAnsi"/>
        </w:rPr>
      </w:pPr>
      <w:r w:rsidRPr="00A23FB4">
        <w:rPr>
          <w:rFonts w:asciiTheme="minorHAnsi" w:hAnsiTheme="minorHAnsi" w:cstheme="minorHAnsi"/>
        </w:rPr>
        <w:t>wybudować nowy niekolidujący odcinek linii mający identyczne parametry techniczne jak linia istniejąca,</w:t>
      </w:r>
    </w:p>
    <w:p w14:paraId="02F500EF" w14:textId="77777777" w:rsidR="00C9677E" w:rsidRPr="00A23FB4" w:rsidRDefault="00C9677E" w:rsidP="00262498">
      <w:pPr>
        <w:numPr>
          <w:ilvl w:val="0"/>
          <w:numId w:val="35"/>
        </w:numPr>
        <w:rPr>
          <w:rFonts w:asciiTheme="minorHAnsi" w:hAnsiTheme="minorHAnsi" w:cstheme="minorHAnsi"/>
        </w:rPr>
      </w:pPr>
      <w:r w:rsidRPr="00A23FB4">
        <w:rPr>
          <w:rFonts w:asciiTheme="minorHAnsi" w:hAnsiTheme="minorHAnsi" w:cstheme="minorHAnsi"/>
        </w:rPr>
        <w:t>wykonać połączenie nowego odcinka linii z istniejącym poza obszarem kolizji z drogą, przy zachowaniu ciągłości pracy poszczególnych obwodów linii,</w:t>
      </w:r>
    </w:p>
    <w:p w14:paraId="0C318B59" w14:textId="77777777" w:rsidR="00C9677E" w:rsidRPr="00A23FB4" w:rsidRDefault="00C9677E" w:rsidP="00262498">
      <w:pPr>
        <w:numPr>
          <w:ilvl w:val="0"/>
          <w:numId w:val="35"/>
        </w:numPr>
        <w:jc w:val="left"/>
        <w:rPr>
          <w:rFonts w:asciiTheme="minorHAnsi" w:hAnsiTheme="minorHAnsi" w:cstheme="minorHAnsi"/>
        </w:rPr>
      </w:pPr>
      <w:r w:rsidRPr="00A23FB4">
        <w:rPr>
          <w:rFonts w:asciiTheme="minorHAnsi" w:hAnsiTheme="minorHAnsi" w:cstheme="minorHAnsi"/>
        </w:rPr>
        <w:t>zdemontować kolizyjny odcinek linii.</w:t>
      </w:r>
    </w:p>
    <w:p w14:paraId="63BB837D"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Roboty należy wykonać zgodnie z normami i przepisami budowy, bezpieczeństwa i higieny pracy.</w:t>
      </w:r>
    </w:p>
    <w:p w14:paraId="2BB03F0C"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 xml:space="preserve">Demontaż kolizyjnych odcinków kablowych linii telekomunikacyjnych należy wykonać zgodnie z dokumentacją projektową i </w:t>
      </w:r>
      <w:r w:rsidR="00824125" w:rsidRPr="00A23FB4">
        <w:rPr>
          <w:rFonts w:asciiTheme="minorHAnsi" w:hAnsiTheme="minorHAnsi" w:cstheme="minorHAnsi"/>
        </w:rPr>
        <w:t>wytycznymi</w:t>
      </w:r>
      <w:r w:rsidRPr="00A23FB4">
        <w:rPr>
          <w:rFonts w:asciiTheme="minorHAnsi" w:hAnsiTheme="minorHAnsi" w:cstheme="minorHAnsi"/>
        </w:rPr>
        <w:t xml:space="preserve"> oraz zaleceniami użytkownika tych urządzeń.</w:t>
      </w:r>
    </w:p>
    <w:p w14:paraId="236F8874"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Wykonawca ma obowiązek wykonania demontażu linii w taki sposób, aby demontowane elementy nie zostały zniszczone i znajdowały się w stanie poprzedzającym demontaż.</w:t>
      </w:r>
    </w:p>
    <w:p w14:paraId="08D27C7F"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W przypadku niemożności zdemontowania elementów bez ich uszkodzenia, Wykonawca powinien powiadomić o tym Inżyniera i uzyskać od niego zgodę na ich uszkodzenie lub zniszczenie.</w:t>
      </w:r>
    </w:p>
    <w:p w14:paraId="0DFECA03"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W szczególnych przypadkach Wykonawca może pozostawić elementy linii bez demontażu, o ile uzyska na to zgodę Inżyniera.</w:t>
      </w:r>
    </w:p>
    <w:p w14:paraId="02989F93"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Wykopy powstałe po demontażu elementów linii powinny być zasypane zagęszczonym  gruntem i wyrównane do poziomu terenu. Wskaźnik zagęszczenia powinien być równy 0,85.</w:t>
      </w:r>
    </w:p>
    <w:p w14:paraId="342E6CA5"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Wykonawca przekaże nieodpłatnie użytkownikowi zdemontowane materiały.</w:t>
      </w:r>
    </w:p>
    <w:p w14:paraId="740AD028" w14:textId="77777777" w:rsidR="00C9677E" w:rsidRPr="00A23FB4" w:rsidRDefault="00C9677E" w:rsidP="00262498">
      <w:pPr>
        <w:numPr>
          <w:ilvl w:val="0"/>
          <w:numId w:val="66"/>
        </w:numPr>
        <w:spacing w:before="120" w:after="120"/>
        <w:ind w:left="284" w:hanging="284"/>
        <w:rPr>
          <w:rFonts w:asciiTheme="minorHAnsi" w:hAnsiTheme="minorHAnsi" w:cstheme="minorHAnsi"/>
        </w:rPr>
      </w:pPr>
      <w:r w:rsidRPr="00A23FB4">
        <w:rPr>
          <w:rFonts w:asciiTheme="minorHAnsi" w:hAnsiTheme="minorHAnsi" w:cstheme="minorHAnsi"/>
        </w:rPr>
        <w:t>Kanalizacja teletechniczna</w:t>
      </w:r>
    </w:p>
    <w:p w14:paraId="5DE073AF" w14:textId="77777777" w:rsidR="00C9677E" w:rsidRPr="00A23FB4" w:rsidRDefault="00C9677E" w:rsidP="00262498">
      <w:pPr>
        <w:numPr>
          <w:ilvl w:val="0"/>
          <w:numId w:val="67"/>
        </w:numPr>
        <w:spacing w:after="120"/>
        <w:ind w:left="284" w:hanging="284"/>
        <w:rPr>
          <w:rFonts w:asciiTheme="minorHAnsi" w:hAnsiTheme="minorHAnsi" w:cstheme="minorHAnsi"/>
        </w:rPr>
      </w:pPr>
      <w:r w:rsidRPr="00A23FB4">
        <w:rPr>
          <w:rFonts w:asciiTheme="minorHAnsi" w:hAnsiTheme="minorHAnsi" w:cstheme="minorHAnsi"/>
        </w:rPr>
        <w:t>Lokalizacja kanalizacji</w:t>
      </w:r>
    </w:p>
    <w:p w14:paraId="06C2E2CF"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Wzdłuż dróg kanalizacja kablowa powinna być ułożona równolegle do osi drogi poza pasem drogowym lub za zgodą zarządu drogowego w pasie drogowym.</w:t>
      </w:r>
    </w:p>
    <w:p w14:paraId="7D83D7B1" w14:textId="77777777" w:rsidR="00C9677E" w:rsidRPr="00A23FB4" w:rsidRDefault="00C9677E" w:rsidP="00262498">
      <w:pPr>
        <w:numPr>
          <w:ilvl w:val="0"/>
          <w:numId w:val="68"/>
        </w:numPr>
        <w:spacing w:before="120" w:after="120"/>
        <w:ind w:left="284" w:hanging="284"/>
        <w:rPr>
          <w:rFonts w:asciiTheme="minorHAnsi" w:hAnsiTheme="minorHAnsi" w:cstheme="minorHAnsi"/>
        </w:rPr>
      </w:pPr>
      <w:r w:rsidRPr="00A23FB4">
        <w:rPr>
          <w:rFonts w:asciiTheme="minorHAnsi" w:hAnsiTheme="minorHAnsi" w:cstheme="minorHAnsi"/>
        </w:rPr>
        <w:t>Usytuowanie studni kablowych</w:t>
      </w:r>
    </w:p>
    <w:p w14:paraId="45F69FDB"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Studnie kablowe powinny być usytuowane w następujących miejscach kanalizacji:</w:t>
      </w:r>
    </w:p>
    <w:p w14:paraId="215F6675" w14:textId="77777777" w:rsidR="00C9677E" w:rsidRPr="00A23FB4" w:rsidRDefault="00C9677E" w:rsidP="00262498">
      <w:pPr>
        <w:numPr>
          <w:ilvl w:val="0"/>
          <w:numId w:val="69"/>
        </w:numPr>
        <w:rPr>
          <w:rFonts w:asciiTheme="minorHAnsi" w:hAnsiTheme="minorHAnsi" w:cstheme="minorHAnsi"/>
        </w:rPr>
      </w:pPr>
      <w:r w:rsidRPr="00A23FB4">
        <w:rPr>
          <w:rFonts w:asciiTheme="minorHAnsi" w:hAnsiTheme="minorHAnsi" w:cstheme="minorHAnsi"/>
        </w:rPr>
        <w:t>na prostej trasie kanalizacji oraz w miejscach zmian poziomu kanalizacji - studnie przelotowe,</w:t>
      </w:r>
    </w:p>
    <w:p w14:paraId="63EA5E6F" w14:textId="77777777" w:rsidR="00C9677E" w:rsidRPr="00A23FB4" w:rsidRDefault="00C9677E" w:rsidP="00262498">
      <w:pPr>
        <w:numPr>
          <w:ilvl w:val="0"/>
          <w:numId w:val="69"/>
        </w:numPr>
        <w:rPr>
          <w:rFonts w:asciiTheme="minorHAnsi" w:hAnsiTheme="minorHAnsi" w:cstheme="minorHAnsi"/>
        </w:rPr>
      </w:pPr>
      <w:r w:rsidRPr="00A23FB4">
        <w:rPr>
          <w:rFonts w:asciiTheme="minorHAnsi" w:hAnsiTheme="minorHAnsi" w:cstheme="minorHAnsi"/>
        </w:rPr>
        <w:t>na załomach trasy - studnie narożne,</w:t>
      </w:r>
    </w:p>
    <w:p w14:paraId="3135B08D" w14:textId="77777777" w:rsidR="00C9677E" w:rsidRPr="00A23FB4" w:rsidRDefault="00C9677E" w:rsidP="00262498">
      <w:pPr>
        <w:numPr>
          <w:ilvl w:val="0"/>
          <w:numId w:val="69"/>
        </w:numPr>
        <w:rPr>
          <w:rFonts w:asciiTheme="minorHAnsi" w:hAnsiTheme="minorHAnsi" w:cstheme="minorHAnsi"/>
        </w:rPr>
      </w:pPr>
      <w:r w:rsidRPr="00A23FB4">
        <w:rPr>
          <w:rFonts w:asciiTheme="minorHAnsi" w:hAnsiTheme="minorHAnsi" w:cstheme="minorHAnsi"/>
        </w:rPr>
        <w:t>na odgałęzieniach kanalizacji - studnie odgałęźne,</w:t>
      </w:r>
    </w:p>
    <w:p w14:paraId="73C2DE19" w14:textId="77777777" w:rsidR="00C9677E" w:rsidRPr="00A23FB4" w:rsidRDefault="00C9677E" w:rsidP="00262498">
      <w:pPr>
        <w:numPr>
          <w:ilvl w:val="0"/>
          <w:numId w:val="69"/>
        </w:numPr>
        <w:rPr>
          <w:rFonts w:asciiTheme="minorHAnsi" w:hAnsiTheme="minorHAnsi" w:cstheme="minorHAnsi"/>
        </w:rPr>
      </w:pPr>
      <w:r w:rsidRPr="00A23FB4">
        <w:rPr>
          <w:rFonts w:asciiTheme="minorHAnsi" w:hAnsiTheme="minorHAnsi" w:cstheme="minorHAnsi"/>
        </w:rPr>
        <w:t>przed szafkami kablowymi - studnie szafkowe,</w:t>
      </w:r>
    </w:p>
    <w:p w14:paraId="15CF4CDC" w14:textId="77777777" w:rsidR="00C9677E" w:rsidRPr="00A23FB4" w:rsidRDefault="00C9677E" w:rsidP="00262498">
      <w:pPr>
        <w:numPr>
          <w:ilvl w:val="0"/>
          <w:numId w:val="69"/>
        </w:numPr>
        <w:rPr>
          <w:rFonts w:asciiTheme="minorHAnsi" w:hAnsiTheme="minorHAnsi" w:cstheme="minorHAnsi"/>
        </w:rPr>
      </w:pPr>
      <w:r w:rsidRPr="00A23FB4">
        <w:rPr>
          <w:rFonts w:asciiTheme="minorHAnsi" w:hAnsiTheme="minorHAnsi" w:cstheme="minorHAnsi"/>
        </w:rPr>
        <w:t>na zakończeniach kanalizacji - studnie końcowe.</w:t>
      </w:r>
    </w:p>
    <w:p w14:paraId="4CC45D6D" w14:textId="77777777" w:rsidR="00C9677E" w:rsidRPr="00A23FB4" w:rsidRDefault="00C9677E" w:rsidP="00262498">
      <w:pPr>
        <w:numPr>
          <w:ilvl w:val="0"/>
          <w:numId w:val="70"/>
        </w:numPr>
        <w:spacing w:before="120" w:after="120"/>
        <w:ind w:left="284" w:hanging="284"/>
        <w:rPr>
          <w:rFonts w:asciiTheme="minorHAnsi" w:hAnsiTheme="minorHAnsi" w:cstheme="minorHAnsi"/>
        </w:rPr>
      </w:pPr>
      <w:r w:rsidRPr="00A23FB4">
        <w:rPr>
          <w:rFonts w:asciiTheme="minorHAnsi" w:hAnsiTheme="minorHAnsi" w:cstheme="minorHAnsi"/>
        </w:rPr>
        <w:t>Długość przelotów między studniami</w:t>
      </w:r>
    </w:p>
    <w:p w14:paraId="2440FFB5"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Długość przelotów między sąsiednimi studniami nie powinna przekraczać:</w:t>
      </w:r>
    </w:p>
    <w:p w14:paraId="6C9E85D0" w14:textId="77777777" w:rsidR="00C9677E" w:rsidRPr="00A23FB4" w:rsidRDefault="00C9677E" w:rsidP="00262498">
      <w:pPr>
        <w:numPr>
          <w:ilvl w:val="0"/>
          <w:numId w:val="71"/>
        </w:numPr>
        <w:rPr>
          <w:rFonts w:asciiTheme="minorHAnsi" w:hAnsiTheme="minorHAnsi" w:cstheme="minorHAnsi"/>
        </w:rPr>
      </w:pPr>
      <w:r w:rsidRPr="00A23FB4">
        <w:rPr>
          <w:rFonts w:asciiTheme="minorHAnsi" w:hAnsiTheme="minorHAnsi" w:cstheme="minorHAnsi"/>
        </w:rPr>
        <w:t>120 m między studniami magistralnymi dla kanalizacji z rur stalowych lub bloków betonowych,</w:t>
      </w:r>
    </w:p>
    <w:p w14:paraId="18806C35" w14:textId="77777777" w:rsidR="00C9677E" w:rsidRPr="00A23FB4" w:rsidRDefault="00C9677E" w:rsidP="00262498">
      <w:pPr>
        <w:numPr>
          <w:ilvl w:val="0"/>
          <w:numId w:val="71"/>
        </w:numPr>
        <w:rPr>
          <w:rFonts w:asciiTheme="minorHAnsi" w:hAnsiTheme="minorHAnsi" w:cstheme="minorHAnsi"/>
        </w:rPr>
      </w:pPr>
      <w:r w:rsidRPr="00A23FB4">
        <w:rPr>
          <w:rFonts w:asciiTheme="minorHAnsi" w:hAnsiTheme="minorHAnsi" w:cstheme="minorHAnsi"/>
        </w:rPr>
        <w:t>150 m między studniami magistralnymi dla kanalizacji z rur PCW,</w:t>
      </w:r>
    </w:p>
    <w:p w14:paraId="11C3F99C" w14:textId="77777777" w:rsidR="00C9677E" w:rsidRPr="00A23FB4" w:rsidRDefault="00C9677E" w:rsidP="00262498">
      <w:pPr>
        <w:numPr>
          <w:ilvl w:val="0"/>
          <w:numId w:val="71"/>
        </w:numPr>
        <w:rPr>
          <w:rFonts w:asciiTheme="minorHAnsi" w:hAnsiTheme="minorHAnsi" w:cstheme="minorHAnsi"/>
        </w:rPr>
      </w:pPr>
      <w:r w:rsidRPr="00A23FB4">
        <w:rPr>
          <w:rFonts w:asciiTheme="minorHAnsi" w:hAnsiTheme="minorHAnsi" w:cstheme="minorHAnsi"/>
        </w:rPr>
        <w:t>100 m między studniami rozdzielczymi SK2 dla kanalizacji z rur stalowych lub bloków betonowych,</w:t>
      </w:r>
    </w:p>
    <w:p w14:paraId="264B8CAC" w14:textId="77777777" w:rsidR="00C9677E" w:rsidRPr="00A23FB4" w:rsidRDefault="00C9677E" w:rsidP="00262498">
      <w:pPr>
        <w:numPr>
          <w:ilvl w:val="0"/>
          <w:numId w:val="71"/>
        </w:numPr>
        <w:rPr>
          <w:rFonts w:asciiTheme="minorHAnsi" w:hAnsiTheme="minorHAnsi" w:cstheme="minorHAnsi"/>
        </w:rPr>
      </w:pPr>
      <w:r w:rsidRPr="00A23FB4">
        <w:rPr>
          <w:rFonts w:asciiTheme="minorHAnsi" w:hAnsiTheme="minorHAnsi" w:cstheme="minorHAnsi"/>
        </w:rPr>
        <w:t>120 m między studniami rozdzielczymi SK2 dla kanalizacji z rur PCW,</w:t>
      </w:r>
    </w:p>
    <w:p w14:paraId="3B606266" w14:textId="77777777" w:rsidR="00C9677E" w:rsidRPr="00A23FB4" w:rsidRDefault="00C9677E" w:rsidP="00262498">
      <w:pPr>
        <w:numPr>
          <w:ilvl w:val="0"/>
          <w:numId w:val="71"/>
        </w:numPr>
        <w:rPr>
          <w:rFonts w:asciiTheme="minorHAnsi" w:hAnsiTheme="minorHAnsi" w:cstheme="minorHAnsi"/>
        </w:rPr>
      </w:pPr>
      <w:r w:rsidRPr="00A23FB4">
        <w:rPr>
          <w:rFonts w:asciiTheme="minorHAnsi" w:hAnsiTheme="minorHAnsi" w:cstheme="minorHAnsi"/>
        </w:rPr>
        <w:t>50 m między studniami rozdzielczymi SK2 i SK1 dla kanalizacji z rur stalowych i bloków betonowych,</w:t>
      </w:r>
    </w:p>
    <w:p w14:paraId="7BABBA91" w14:textId="77777777" w:rsidR="00C9677E" w:rsidRPr="00A23FB4" w:rsidRDefault="00C9677E" w:rsidP="00262498">
      <w:pPr>
        <w:numPr>
          <w:ilvl w:val="0"/>
          <w:numId w:val="71"/>
        </w:numPr>
        <w:rPr>
          <w:rFonts w:asciiTheme="minorHAnsi" w:hAnsiTheme="minorHAnsi" w:cstheme="minorHAnsi"/>
        </w:rPr>
      </w:pPr>
      <w:r w:rsidRPr="00A23FB4">
        <w:rPr>
          <w:rFonts w:asciiTheme="minorHAnsi" w:hAnsiTheme="minorHAnsi" w:cstheme="minorHAnsi"/>
        </w:rPr>
        <w:t>70 m między studniami rozdzielczymi SK2 i SK1 dla kanalizacji z rur PCW.</w:t>
      </w:r>
    </w:p>
    <w:p w14:paraId="062152E0" w14:textId="77777777" w:rsidR="00C9677E" w:rsidRPr="00A23FB4" w:rsidRDefault="00C9677E" w:rsidP="00262498">
      <w:pPr>
        <w:numPr>
          <w:ilvl w:val="0"/>
          <w:numId w:val="72"/>
        </w:numPr>
        <w:spacing w:before="120" w:after="120"/>
        <w:ind w:left="284" w:hanging="284"/>
        <w:rPr>
          <w:rFonts w:asciiTheme="minorHAnsi" w:hAnsiTheme="minorHAnsi" w:cstheme="minorHAnsi"/>
        </w:rPr>
      </w:pPr>
      <w:r w:rsidRPr="00A23FB4">
        <w:rPr>
          <w:rFonts w:asciiTheme="minorHAnsi" w:hAnsiTheme="minorHAnsi" w:cstheme="minorHAnsi"/>
        </w:rPr>
        <w:t>Głębokość ułożenia kanalizacji</w:t>
      </w:r>
    </w:p>
    <w:p w14:paraId="47751B24"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Głębokość ułożenia kanalizacji powinna być taka, aby najmniejsze pokrycie liczone od poziomu terenu lub chodnika do górnej powierzchni kanalizacji wynosiło:</w:t>
      </w:r>
    </w:p>
    <w:p w14:paraId="729EFDA8" w14:textId="77777777" w:rsidR="00C9677E" w:rsidRPr="00A23FB4" w:rsidRDefault="00C9677E" w:rsidP="00262498">
      <w:pPr>
        <w:numPr>
          <w:ilvl w:val="0"/>
          <w:numId w:val="73"/>
        </w:numPr>
        <w:rPr>
          <w:rFonts w:asciiTheme="minorHAnsi" w:hAnsiTheme="minorHAnsi" w:cstheme="minorHAnsi"/>
        </w:rPr>
      </w:pPr>
      <w:r w:rsidRPr="00A23FB4">
        <w:rPr>
          <w:rFonts w:asciiTheme="minorHAnsi" w:hAnsiTheme="minorHAnsi" w:cstheme="minorHAnsi"/>
        </w:rPr>
        <w:t>0,7 m dla kanalizacji magistralnej,</w:t>
      </w:r>
    </w:p>
    <w:p w14:paraId="5875FE1B" w14:textId="77777777" w:rsidR="00C9677E" w:rsidRPr="00A23FB4" w:rsidRDefault="00C9677E" w:rsidP="00262498">
      <w:pPr>
        <w:numPr>
          <w:ilvl w:val="0"/>
          <w:numId w:val="73"/>
        </w:numPr>
        <w:rPr>
          <w:rFonts w:asciiTheme="minorHAnsi" w:hAnsiTheme="minorHAnsi" w:cstheme="minorHAnsi"/>
        </w:rPr>
      </w:pPr>
      <w:r w:rsidRPr="00A23FB4">
        <w:rPr>
          <w:rFonts w:asciiTheme="minorHAnsi" w:hAnsiTheme="minorHAnsi" w:cstheme="minorHAnsi"/>
        </w:rPr>
        <w:t>0,6 m dla kanalizacji rozdzielczej 2-otworowej,</w:t>
      </w:r>
    </w:p>
    <w:p w14:paraId="41A23730" w14:textId="77777777" w:rsidR="00C9677E" w:rsidRPr="00A23FB4" w:rsidRDefault="00C9677E" w:rsidP="00262498">
      <w:pPr>
        <w:numPr>
          <w:ilvl w:val="0"/>
          <w:numId w:val="73"/>
        </w:numPr>
        <w:rPr>
          <w:rFonts w:asciiTheme="minorHAnsi" w:hAnsiTheme="minorHAnsi" w:cstheme="minorHAnsi"/>
        </w:rPr>
      </w:pPr>
      <w:r w:rsidRPr="00A23FB4">
        <w:rPr>
          <w:rFonts w:asciiTheme="minorHAnsi" w:hAnsiTheme="minorHAnsi" w:cstheme="minorHAnsi"/>
        </w:rPr>
        <w:t>0,5 m dla kanalizacji rozdzielczej 1-otworowej.</w:t>
      </w:r>
    </w:p>
    <w:p w14:paraId="072BFD10"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Przy przejściach pod jezdnią głębokość ułożenia kanalizacji powinna być taka, aby odległość od nawierzchni nie była mniejsza od 0,8 m. W przypadkach uwarunkowanych trudnościami technicznymi dopuszcza się zmniejszenie głębokości ułożenia kanalizacji do 0,4 m jeśli jest zbudowana z rur PCW i 0,2 m jeśli jest zbudowana z bloków betonowych.</w:t>
      </w:r>
    </w:p>
    <w:p w14:paraId="3D98135F" w14:textId="77777777" w:rsidR="00C9677E" w:rsidRPr="00A23FB4" w:rsidRDefault="00C9677E" w:rsidP="00262498">
      <w:pPr>
        <w:numPr>
          <w:ilvl w:val="0"/>
          <w:numId w:val="74"/>
        </w:numPr>
        <w:spacing w:after="120"/>
        <w:ind w:left="284" w:hanging="284"/>
        <w:rPr>
          <w:rFonts w:asciiTheme="minorHAnsi" w:hAnsiTheme="minorHAnsi" w:cstheme="minorHAnsi"/>
        </w:rPr>
      </w:pPr>
      <w:r w:rsidRPr="00A23FB4">
        <w:rPr>
          <w:rFonts w:asciiTheme="minorHAnsi" w:hAnsiTheme="minorHAnsi" w:cstheme="minorHAnsi"/>
        </w:rPr>
        <w:t>Prostoliniowość przebiegu</w:t>
      </w:r>
    </w:p>
    <w:p w14:paraId="0E2C0512"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Kanalizacja powinna, na odcinkach między sąsiednimi studniami, przebiegać po linii prostej.</w:t>
      </w:r>
    </w:p>
    <w:p w14:paraId="49CB4A0C"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Dopuszczalne odchylenia osi kanalizacji z bloków betonowych od linii prostej wynoszą:</w:t>
      </w:r>
    </w:p>
    <w:p w14:paraId="16E48547" w14:textId="77777777" w:rsidR="00C9677E" w:rsidRPr="00A23FB4" w:rsidRDefault="00C9677E" w:rsidP="00262498">
      <w:pPr>
        <w:numPr>
          <w:ilvl w:val="0"/>
          <w:numId w:val="75"/>
        </w:numPr>
        <w:rPr>
          <w:rFonts w:asciiTheme="minorHAnsi" w:hAnsiTheme="minorHAnsi" w:cstheme="minorHAnsi"/>
        </w:rPr>
      </w:pPr>
      <w:r w:rsidRPr="00A23FB4">
        <w:rPr>
          <w:rFonts w:asciiTheme="minorHAnsi" w:hAnsiTheme="minorHAnsi" w:cstheme="minorHAnsi"/>
        </w:rPr>
        <w:t>3 cm przy przelocie między studniami do 30 m,</w:t>
      </w:r>
    </w:p>
    <w:p w14:paraId="57D9C33E" w14:textId="77777777" w:rsidR="00C9677E" w:rsidRPr="00A23FB4" w:rsidRDefault="00C9677E" w:rsidP="00262498">
      <w:pPr>
        <w:numPr>
          <w:ilvl w:val="0"/>
          <w:numId w:val="75"/>
        </w:numPr>
        <w:rPr>
          <w:rFonts w:asciiTheme="minorHAnsi" w:hAnsiTheme="minorHAnsi" w:cstheme="minorHAnsi"/>
        </w:rPr>
      </w:pPr>
      <w:r w:rsidRPr="00A23FB4">
        <w:rPr>
          <w:rFonts w:asciiTheme="minorHAnsi" w:hAnsiTheme="minorHAnsi" w:cstheme="minorHAnsi"/>
        </w:rPr>
        <w:t>5 cm przy przelocie między studniami od 30 do 50 m,</w:t>
      </w:r>
    </w:p>
    <w:p w14:paraId="5824022E" w14:textId="77777777" w:rsidR="00C9677E" w:rsidRPr="00A23FB4" w:rsidRDefault="00C9677E" w:rsidP="00262498">
      <w:pPr>
        <w:numPr>
          <w:ilvl w:val="0"/>
          <w:numId w:val="75"/>
        </w:numPr>
        <w:rPr>
          <w:rFonts w:asciiTheme="minorHAnsi" w:hAnsiTheme="minorHAnsi" w:cstheme="minorHAnsi"/>
        </w:rPr>
      </w:pPr>
      <w:r w:rsidRPr="00A23FB4">
        <w:rPr>
          <w:rFonts w:asciiTheme="minorHAnsi" w:hAnsiTheme="minorHAnsi" w:cstheme="minorHAnsi"/>
        </w:rPr>
        <w:t>7 cm przy przelotach między studniami od 50 do 75 m,</w:t>
      </w:r>
    </w:p>
    <w:p w14:paraId="787484AF" w14:textId="77777777" w:rsidR="00C9677E" w:rsidRPr="00A23FB4" w:rsidRDefault="00C9677E" w:rsidP="00262498">
      <w:pPr>
        <w:numPr>
          <w:ilvl w:val="0"/>
          <w:numId w:val="75"/>
        </w:numPr>
        <w:rPr>
          <w:rFonts w:asciiTheme="minorHAnsi" w:hAnsiTheme="minorHAnsi" w:cstheme="minorHAnsi"/>
        </w:rPr>
      </w:pPr>
      <w:r w:rsidRPr="00A23FB4">
        <w:rPr>
          <w:rFonts w:asciiTheme="minorHAnsi" w:hAnsiTheme="minorHAnsi" w:cstheme="minorHAnsi"/>
        </w:rPr>
        <w:t>10 cm przy przelotach między studniami od 75 do 100 m,</w:t>
      </w:r>
    </w:p>
    <w:p w14:paraId="291335F2" w14:textId="77777777" w:rsidR="00C9677E" w:rsidRPr="00A23FB4" w:rsidRDefault="00C9677E" w:rsidP="00262498">
      <w:pPr>
        <w:numPr>
          <w:ilvl w:val="0"/>
          <w:numId w:val="75"/>
        </w:numPr>
        <w:rPr>
          <w:rFonts w:asciiTheme="minorHAnsi" w:hAnsiTheme="minorHAnsi" w:cstheme="minorHAnsi"/>
        </w:rPr>
      </w:pPr>
      <w:r w:rsidRPr="00A23FB4">
        <w:rPr>
          <w:rFonts w:asciiTheme="minorHAnsi" w:hAnsiTheme="minorHAnsi" w:cstheme="minorHAnsi"/>
        </w:rPr>
        <w:t>12 cm przy przelotach między studniami od 100 do 120 m.</w:t>
      </w:r>
    </w:p>
    <w:p w14:paraId="61094EDE"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Dopuszczalne odchylenia osi kanalizacji od linii prostej dotyczą miejsc, w których konieczne jest ominięcie przeszkód terenowych.</w:t>
      </w:r>
    </w:p>
    <w:p w14:paraId="3D237F34"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W celu ominięcia przeszkód ciągi kanalizacji z rur PCW mogą być wygięte tak, aby promień wygięcia nie był mniejszy od 6 m.</w:t>
      </w:r>
    </w:p>
    <w:p w14:paraId="15D3BE97" w14:textId="77777777" w:rsidR="00C9677E" w:rsidRPr="00A23FB4" w:rsidRDefault="00C9677E" w:rsidP="00262498">
      <w:pPr>
        <w:numPr>
          <w:ilvl w:val="0"/>
          <w:numId w:val="76"/>
        </w:numPr>
        <w:spacing w:before="120" w:after="120"/>
        <w:ind w:left="284" w:hanging="284"/>
        <w:rPr>
          <w:rFonts w:asciiTheme="minorHAnsi" w:hAnsiTheme="minorHAnsi" w:cstheme="minorHAnsi"/>
        </w:rPr>
      </w:pPr>
      <w:r w:rsidRPr="00A23FB4">
        <w:rPr>
          <w:rFonts w:asciiTheme="minorHAnsi" w:hAnsiTheme="minorHAnsi" w:cstheme="minorHAnsi"/>
        </w:rPr>
        <w:t>Spadek kanalizacji</w:t>
      </w:r>
    </w:p>
    <w:p w14:paraId="77437261"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Kanalizacja powinna być układana ze spadkiem od 1 do 3%. Przy wprowadzaniu do komór kablowych spadek można zwiększyć do 2%, a do budynków do 5%.</w:t>
      </w:r>
    </w:p>
    <w:p w14:paraId="7187F709" w14:textId="77777777" w:rsidR="00C9677E" w:rsidRPr="00A23FB4" w:rsidRDefault="00C9677E" w:rsidP="00262498">
      <w:pPr>
        <w:numPr>
          <w:ilvl w:val="0"/>
          <w:numId w:val="77"/>
        </w:numPr>
        <w:spacing w:before="120" w:after="120"/>
        <w:ind w:left="284" w:hanging="284"/>
        <w:rPr>
          <w:rFonts w:asciiTheme="minorHAnsi" w:hAnsiTheme="minorHAnsi" w:cstheme="minorHAnsi"/>
        </w:rPr>
      </w:pPr>
      <w:r w:rsidRPr="00A23FB4">
        <w:rPr>
          <w:rFonts w:asciiTheme="minorHAnsi" w:hAnsiTheme="minorHAnsi" w:cstheme="minorHAnsi"/>
        </w:rPr>
        <w:t>Ciągi kanalizacji</w:t>
      </w:r>
    </w:p>
    <w:p w14:paraId="081D0198" w14:textId="77777777" w:rsidR="00C9677E" w:rsidRPr="00A23FB4" w:rsidRDefault="00C9677E" w:rsidP="00262498">
      <w:pPr>
        <w:numPr>
          <w:ilvl w:val="0"/>
          <w:numId w:val="78"/>
        </w:numPr>
        <w:spacing w:after="120"/>
        <w:ind w:left="284" w:hanging="284"/>
        <w:rPr>
          <w:rFonts w:asciiTheme="minorHAnsi" w:hAnsiTheme="minorHAnsi" w:cstheme="minorHAnsi"/>
        </w:rPr>
      </w:pPr>
      <w:r w:rsidRPr="00A23FB4">
        <w:rPr>
          <w:rFonts w:asciiTheme="minorHAnsi" w:hAnsiTheme="minorHAnsi" w:cstheme="minorHAnsi"/>
        </w:rPr>
        <w:t>Wymagania ogólne</w:t>
      </w:r>
    </w:p>
    <w:p w14:paraId="5BD2D84B"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Ilość otworów kanalizacji powinna być ustalona w uzgodnieniu z urzędem telekomunikacyjnym odpowiednim dla danego terenu.</w:t>
      </w:r>
    </w:p>
    <w:p w14:paraId="42C0984D" w14:textId="77777777" w:rsidR="00C9677E" w:rsidRPr="00A23FB4" w:rsidRDefault="00C9677E" w:rsidP="00262498">
      <w:pPr>
        <w:numPr>
          <w:ilvl w:val="0"/>
          <w:numId w:val="79"/>
        </w:numPr>
        <w:spacing w:before="120" w:after="120"/>
        <w:ind w:left="284" w:hanging="284"/>
        <w:rPr>
          <w:rFonts w:asciiTheme="minorHAnsi" w:hAnsiTheme="minorHAnsi" w:cstheme="minorHAnsi"/>
        </w:rPr>
      </w:pPr>
      <w:r w:rsidRPr="00A23FB4">
        <w:rPr>
          <w:rFonts w:asciiTheme="minorHAnsi" w:hAnsiTheme="minorHAnsi" w:cstheme="minorHAnsi"/>
        </w:rPr>
        <w:t>Zestawy z bloków betonowych</w:t>
      </w:r>
    </w:p>
    <w:p w14:paraId="719FA0C1"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Do zestawów kanalizacji z bloków betonowych należy stosować bloki betonowe wg BN-74/3233-15.</w:t>
      </w:r>
    </w:p>
    <w:p w14:paraId="13E703B4" w14:textId="77777777" w:rsidR="00C9677E" w:rsidRPr="00A23FB4" w:rsidRDefault="00C9677E" w:rsidP="00262498">
      <w:pPr>
        <w:numPr>
          <w:ilvl w:val="0"/>
          <w:numId w:val="80"/>
        </w:numPr>
        <w:spacing w:before="120" w:after="120"/>
        <w:ind w:left="284" w:hanging="284"/>
        <w:rPr>
          <w:rFonts w:asciiTheme="minorHAnsi" w:hAnsiTheme="minorHAnsi" w:cstheme="minorHAnsi"/>
        </w:rPr>
      </w:pPr>
      <w:r w:rsidRPr="00A23FB4">
        <w:rPr>
          <w:rFonts w:asciiTheme="minorHAnsi" w:hAnsiTheme="minorHAnsi" w:cstheme="minorHAnsi"/>
        </w:rPr>
        <w:t>Zestawy z rur PCW</w:t>
      </w:r>
    </w:p>
    <w:p w14:paraId="2085BFF9" w14:textId="773500F3" w:rsidR="00C9677E" w:rsidRPr="00A23FB4" w:rsidRDefault="00C9677E" w:rsidP="00C9677E">
      <w:pPr>
        <w:rPr>
          <w:rFonts w:asciiTheme="minorHAnsi" w:hAnsiTheme="minorHAnsi" w:cstheme="minorHAnsi"/>
        </w:rPr>
      </w:pPr>
      <w:r w:rsidRPr="00A23FB4">
        <w:rPr>
          <w:rFonts w:asciiTheme="minorHAnsi" w:hAnsiTheme="minorHAnsi" w:cstheme="minorHAnsi"/>
        </w:rPr>
        <w:t>Do zestawów kanalizacji z rur PCW należy stosować rury z nieplastyfikowanego polichlorku winylu o średnicy 120 mm (110 mm) i grubościach ścianek nie mniejszych od 2 mm wg BN-80/C-89203.</w:t>
      </w:r>
    </w:p>
    <w:p w14:paraId="4622740C" w14:textId="77777777" w:rsidR="00C9677E" w:rsidRPr="00A23FB4" w:rsidRDefault="00C9677E" w:rsidP="00262498">
      <w:pPr>
        <w:numPr>
          <w:ilvl w:val="0"/>
          <w:numId w:val="81"/>
        </w:numPr>
        <w:spacing w:before="120" w:after="120"/>
        <w:ind w:left="284" w:hanging="284"/>
        <w:rPr>
          <w:rFonts w:asciiTheme="minorHAnsi" w:hAnsiTheme="minorHAnsi" w:cstheme="minorHAnsi"/>
        </w:rPr>
      </w:pPr>
      <w:r w:rsidRPr="00A23FB4">
        <w:rPr>
          <w:rFonts w:asciiTheme="minorHAnsi" w:hAnsiTheme="minorHAnsi" w:cstheme="minorHAnsi"/>
        </w:rPr>
        <w:t>Roboty ziemne</w:t>
      </w:r>
    </w:p>
    <w:p w14:paraId="32CAB9DD" w14:textId="77777777" w:rsidR="00C9677E" w:rsidRPr="00A23FB4" w:rsidRDefault="00C9677E" w:rsidP="00262498">
      <w:pPr>
        <w:numPr>
          <w:ilvl w:val="0"/>
          <w:numId w:val="82"/>
        </w:numPr>
        <w:spacing w:after="120"/>
        <w:ind w:left="284" w:hanging="284"/>
        <w:rPr>
          <w:rFonts w:asciiTheme="minorHAnsi" w:hAnsiTheme="minorHAnsi" w:cstheme="minorHAnsi"/>
        </w:rPr>
      </w:pPr>
      <w:r w:rsidRPr="00A23FB4">
        <w:rPr>
          <w:rFonts w:asciiTheme="minorHAnsi" w:hAnsiTheme="minorHAnsi" w:cstheme="minorHAnsi"/>
        </w:rPr>
        <w:t>Trasa kanalizacji</w:t>
      </w:r>
    </w:p>
    <w:p w14:paraId="26493465"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Wytyczona w terenie trasa kanalizacji kablowej powinna być zgodna z podaną w dokumentacji projektowej.</w:t>
      </w:r>
    </w:p>
    <w:p w14:paraId="616BC9C0" w14:textId="77777777" w:rsidR="00C9677E" w:rsidRPr="00A23FB4" w:rsidRDefault="00C9677E" w:rsidP="00262498">
      <w:pPr>
        <w:numPr>
          <w:ilvl w:val="0"/>
          <w:numId w:val="83"/>
        </w:numPr>
        <w:spacing w:before="120" w:after="120"/>
        <w:ind w:left="284" w:hanging="284"/>
        <w:rPr>
          <w:rFonts w:asciiTheme="minorHAnsi" w:hAnsiTheme="minorHAnsi" w:cstheme="minorHAnsi"/>
        </w:rPr>
      </w:pPr>
      <w:r w:rsidRPr="00A23FB4">
        <w:rPr>
          <w:rFonts w:asciiTheme="minorHAnsi" w:hAnsiTheme="minorHAnsi" w:cstheme="minorHAnsi"/>
        </w:rPr>
        <w:t>Głębokość wykopów</w:t>
      </w:r>
    </w:p>
    <w:p w14:paraId="7F27BA64" w14:textId="77777777" w:rsidR="00C9677E" w:rsidRDefault="00C9677E" w:rsidP="00C9677E">
      <w:pPr>
        <w:rPr>
          <w:rFonts w:asciiTheme="minorHAnsi" w:hAnsiTheme="minorHAnsi" w:cstheme="minorHAnsi"/>
        </w:rPr>
      </w:pPr>
      <w:r w:rsidRPr="00A23FB4">
        <w:rPr>
          <w:rFonts w:asciiTheme="minorHAnsi" w:hAnsiTheme="minorHAnsi" w:cstheme="minorHAnsi"/>
        </w:rPr>
        <w:t>Głębokości wykopów podane są w tablicy 3 normy BN-73/8984-05. W przypadkach przewidywanej rozbudowy kanalizacji wykopy powinny być odpowiednio głębsze.</w:t>
      </w:r>
    </w:p>
    <w:p w14:paraId="0C5497E2" w14:textId="77777777" w:rsidR="00B953D1" w:rsidRPr="00A23FB4" w:rsidRDefault="00B953D1" w:rsidP="00C9677E">
      <w:pPr>
        <w:rPr>
          <w:rFonts w:asciiTheme="minorHAnsi" w:hAnsiTheme="minorHAnsi" w:cstheme="minorHAnsi"/>
        </w:rPr>
      </w:pPr>
    </w:p>
    <w:p w14:paraId="322680E5" w14:textId="77777777" w:rsidR="00C9677E" w:rsidRPr="00A23FB4" w:rsidRDefault="00C9677E" w:rsidP="00262498">
      <w:pPr>
        <w:numPr>
          <w:ilvl w:val="0"/>
          <w:numId w:val="84"/>
        </w:numPr>
        <w:spacing w:after="120"/>
        <w:ind w:left="284" w:hanging="284"/>
        <w:rPr>
          <w:rFonts w:asciiTheme="minorHAnsi" w:hAnsiTheme="minorHAnsi" w:cstheme="minorHAnsi"/>
        </w:rPr>
      </w:pPr>
      <w:r w:rsidRPr="00A23FB4">
        <w:rPr>
          <w:rFonts w:asciiTheme="minorHAnsi" w:hAnsiTheme="minorHAnsi" w:cstheme="minorHAnsi"/>
        </w:rPr>
        <w:t>Szerokość wykopów</w:t>
      </w:r>
    </w:p>
    <w:p w14:paraId="0A2BA0B2"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Szerokości wykopów podane są w tablicy 4 normy BN-73/8984-05.</w:t>
      </w:r>
    </w:p>
    <w:p w14:paraId="46C0756D" w14:textId="77777777" w:rsidR="00C9677E" w:rsidRPr="00A23FB4" w:rsidRDefault="00C9677E" w:rsidP="00262498">
      <w:pPr>
        <w:numPr>
          <w:ilvl w:val="0"/>
          <w:numId w:val="85"/>
        </w:numPr>
        <w:spacing w:before="120" w:after="120"/>
        <w:ind w:left="284" w:hanging="284"/>
        <w:rPr>
          <w:rFonts w:asciiTheme="minorHAnsi" w:hAnsiTheme="minorHAnsi" w:cstheme="minorHAnsi"/>
        </w:rPr>
      </w:pPr>
      <w:r w:rsidRPr="00A23FB4">
        <w:rPr>
          <w:rFonts w:asciiTheme="minorHAnsi" w:hAnsiTheme="minorHAnsi" w:cstheme="minorHAnsi"/>
        </w:rPr>
        <w:t>Przygotowanie wykopów</w:t>
      </w:r>
    </w:p>
    <w:p w14:paraId="6065A93E"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Wykopy powinny być tak przygotowane, aby spełniały wymagania podane w punkcie 5.9 normy BN-73/8984-05. Ściany wykopów powinny być pochyłe.</w:t>
      </w:r>
    </w:p>
    <w:p w14:paraId="371A96C7" w14:textId="77777777" w:rsidR="00C9677E" w:rsidRPr="00A23FB4" w:rsidRDefault="00C9677E" w:rsidP="00262498">
      <w:pPr>
        <w:numPr>
          <w:ilvl w:val="0"/>
          <w:numId w:val="86"/>
        </w:numPr>
        <w:spacing w:before="120" w:after="120"/>
        <w:ind w:left="284" w:hanging="284"/>
        <w:rPr>
          <w:rFonts w:asciiTheme="minorHAnsi" w:hAnsiTheme="minorHAnsi" w:cstheme="minorHAnsi"/>
        </w:rPr>
      </w:pPr>
      <w:r w:rsidRPr="00A23FB4">
        <w:rPr>
          <w:rFonts w:asciiTheme="minorHAnsi" w:hAnsiTheme="minorHAnsi" w:cstheme="minorHAnsi"/>
        </w:rPr>
        <w:t>Wyrównanie i wzmocnienie dna wykopu</w:t>
      </w:r>
    </w:p>
    <w:p w14:paraId="12170F50"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Przed ułożeniem kanalizacji dno wykopu powinno być wyrównane i ukształtowane ze spadkiem zgodnie z wymaganiami pkt 3.6 normy BN-73/8984-05. W gruntach mało spoistych na dno wykopu należy ułożyć ławę z betonu kl. B20 o grubości co najmniej 10 cm.</w:t>
      </w:r>
    </w:p>
    <w:p w14:paraId="19B31A53" w14:textId="77777777" w:rsidR="00C9677E" w:rsidRPr="00A23FB4" w:rsidRDefault="00C9677E" w:rsidP="00262498">
      <w:pPr>
        <w:numPr>
          <w:ilvl w:val="0"/>
          <w:numId w:val="87"/>
        </w:numPr>
        <w:spacing w:before="120" w:after="120"/>
        <w:ind w:left="284" w:hanging="284"/>
        <w:rPr>
          <w:rFonts w:asciiTheme="minorHAnsi" w:hAnsiTheme="minorHAnsi" w:cstheme="minorHAnsi"/>
        </w:rPr>
      </w:pPr>
      <w:r w:rsidRPr="00A23FB4">
        <w:rPr>
          <w:rFonts w:asciiTheme="minorHAnsi" w:hAnsiTheme="minorHAnsi" w:cstheme="minorHAnsi"/>
        </w:rPr>
        <w:t>Układanie ciągów kanalizacji</w:t>
      </w:r>
    </w:p>
    <w:p w14:paraId="0705A6B7" w14:textId="77777777" w:rsidR="00C9677E" w:rsidRPr="00A23FB4" w:rsidRDefault="00C9677E" w:rsidP="00262498">
      <w:pPr>
        <w:numPr>
          <w:ilvl w:val="0"/>
          <w:numId w:val="88"/>
        </w:numPr>
        <w:spacing w:after="120"/>
        <w:ind w:left="284" w:hanging="284"/>
        <w:rPr>
          <w:rFonts w:asciiTheme="minorHAnsi" w:hAnsiTheme="minorHAnsi" w:cstheme="minorHAnsi"/>
        </w:rPr>
      </w:pPr>
      <w:r w:rsidRPr="00A23FB4">
        <w:rPr>
          <w:rFonts w:asciiTheme="minorHAnsi" w:hAnsiTheme="minorHAnsi" w:cstheme="minorHAnsi"/>
        </w:rPr>
        <w:t>Układanie bloków betonowych</w:t>
      </w:r>
    </w:p>
    <w:p w14:paraId="7ED975AC"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Układane bloki betonowe powinny być oczyszczone. Na odcinku od studni do studni bloki powinny być układane bez załamań i wyboczeń w pionie i poziomie. Miejsce styków bloków, po połączeniu ich kołkami stalowymi z pręta o średnicy 8 mm, powinny być polane wodą i pokryte zaprawą z betonu kl. B20 szerokości około 10 cm i grubości co najmniej 2 cm.</w:t>
      </w:r>
    </w:p>
    <w:p w14:paraId="7784345A"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Po zestawieniu dwóch kolejnych bloków powinna być sprawdzona współosiowość obu bloków za pomocą sprawdzianu wg BN-76/3238-13.</w:t>
      </w:r>
    </w:p>
    <w:p w14:paraId="25D95E0D" w14:textId="77777777" w:rsidR="00C9677E" w:rsidRPr="00A23FB4" w:rsidRDefault="00C9677E" w:rsidP="00262498">
      <w:pPr>
        <w:numPr>
          <w:ilvl w:val="0"/>
          <w:numId w:val="89"/>
        </w:numPr>
        <w:spacing w:before="120" w:after="120"/>
        <w:ind w:left="284" w:hanging="284"/>
        <w:rPr>
          <w:rFonts w:asciiTheme="minorHAnsi" w:hAnsiTheme="minorHAnsi" w:cstheme="minorHAnsi"/>
        </w:rPr>
      </w:pPr>
      <w:r w:rsidRPr="00A23FB4">
        <w:rPr>
          <w:rFonts w:asciiTheme="minorHAnsi" w:hAnsiTheme="minorHAnsi" w:cstheme="minorHAnsi"/>
        </w:rPr>
        <w:t>Układanie rur PCW</w:t>
      </w:r>
    </w:p>
    <w:p w14:paraId="1EF9EE38"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Z pojedynczych rur PCW należy tworzyć zestawy kanalizacji wg ustalonych z urzędem telekomunikacyjnym ilości otworów w warstwach.</w:t>
      </w:r>
    </w:p>
    <w:p w14:paraId="7534977B"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Odległości pomiędzy poszczególnymi rurami w warstwie nie powinny być mniejsze od 2 cm, a między warstwami od 3 cm. Na przygotowane dno wykopu należy ułożyć jedną lub kilka rur w jednej warstwie. W przypadku układania następnych warstw, ułożoną warstwę rur należy zasypać piaskiem lub przesianym gruntem, wyrównać i ubijać ubijakiem mechanicznym.</w:t>
      </w:r>
    </w:p>
    <w:p w14:paraId="7DA45246" w14:textId="77777777" w:rsidR="00C9677E" w:rsidRPr="00A23FB4" w:rsidRDefault="00C9677E" w:rsidP="00262498">
      <w:pPr>
        <w:numPr>
          <w:ilvl w:val="0"/>
          <w:numId w:val="90"/>
        </w:numPr>
        <w:spacing w:before="120" w:after="120"/>
        <w:ind w:left="284" w:hanging="284"/>
        <w:rPr>
          <w:rFonts w:asciiTheme="minorHAnsi" w:hAnsiTheme="minorHAnsi" w:cstheme="minorHAnsi"/>
        </w:rPr>
      </w:pPr>
      <w:r w:rsidRPr="00A23FB4">
        <w:rPr>
          <w:rFonts w:asciiTheme="minorHAnsi" w:hAnsiTheme="minorHAnsi" w:cstheme="minorHAnsi"/>
        </w:rPr>
        <w:t>Zasypywanie kanalizacji</w:t>
      </w:r>
    </w:p>
    <w:p w14:paraId="23F54CBB" w14:textId="77777777" w:rsidR="00C9677E" w:rsidRPr="00A23FB4" w:rsidRDefault="00C9677E" w:rsidP="00262498">
      <w:pPr>
        <w:numPr>
          <w:ilvl w:val="0"/>
          <w:numId w:val="91"/>
        </w:numPr>
        <w:spacing w:after="120"/>
        <w:ind w:left="284" w:hanging="284"/>
        <w:rPr>
          <w:rFonts w:asciiTheme="minorHAnsi" w:hAnsiTheme="minorHAnsi" w:cstheme="minorHAnsi"/>
        </w:rPr>
      </w:pPr>
      <w:r w:rsidRPr="00A23FB4">
        <w:rPr>
          <w:rFonts w:asciiTheme="minorHAnsi" w:hAnsiTheme="minorHAnsi" w:cstheme="minorHAnsi"/>
        </w:rPr>
        <w:t>Zasypywanie kanalizacji z bloków betonowych</w:t>
      </w:r>
    </w:p>
    <w:p w14:paraId="148D5ACF"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Zasypywanie ciągów kanalizacji z bloków betonowych należy rozpoczynać od zasypania przestrzeni między ściankami wykopu i bocznymi ściankami bloków piaskiem lub rozkruszonym gruntem.</w:t>
      </w:r>
    </w:p>
    <w:p w14:paraId="0DE16582"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Następne bloki powinny być zasypane rozdrobnionym gruntem w warstwie o grubości około 10 cm bez ubijania, a z kolei warstwami rodzimego gruntu o grubości po około 20 cm ubijając każdą warstwę ubijakami mechanicznymi.</w:t>
      </w:r>
    </w:p>
    <w:p w14:paraId="1AFFE972" w14:textId="77777777" w:rsidR="00C9677E" w:rsidRPr="00A23FB4" w:rsidRDefault="00C9677E" w:rsidP="00C9677E">
      <w:pPr>
        <w:rPr>
          <w:rFonts w:asciiTheme="minorHAnsi" w:hAnsiTheme="minorHAnsi" w:cstheme="minorHAnsi"/>
        </w:rPr>
      </w:pPr>
    </w:p>
    <w:p w14:paraId="66AB7D40" w14:textId="77777777" w:rsidR="00C9677E" w:rsidRPr="00A23FB4" w:rsidRDefault="00C9677E" w:rsidP="00C9677E">
      <w:pPr>
        <w:rPr>
          <w:rFonts w:asciiTheme="minorHAnsi" w:hAnsiTheme="minorHAnsi" w:cstheme="minorHAnsi"/>
        </w:rPr>
      </w:pPr>
    </w:p>
    <w:p w14:paraId="5BF0DAFD" w14:textId="77777777" w:rsidR="00C9677E" w:rsidRPr="00A23FB4" w:rsidRDefault="00C9677E" w:rsidP="00262498">
      <w:pPr>
        <w:numPr>
          <w:ilvl w:val="0"/>
          <w:numId w:val="92"/>
        </w:numPr>
        <w:spacing w:after="120"/>
        <w:ind w:left="284" w:hanging="284"/>
        <w:rPr>
          <w:rFonts w:asciiTheme="minorHAnsi" w:hAnsiTheme="minorHAnsi" w:cstheme="minorHAnsi"/>
        </w:rPr>
      </w:pPr>
      <w:r w:rsidRPr="00A23FB4">
        <w:rPr>
          <w:rFonts w:asciiTheme="minorHAnsi" w:hAnsiTheme="minorHAnsi" w:cstheme="minorHAnsi"/>
        </w:rPr>
        <w:t>Zasypywanie kanalizacji z rur PCW</w:t>
      </w:r>
    </w:p>
    <w:p w14:paraId="420DF47A"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Ostatnią, górną warstwę kanalizacji z rur PCW należy przysypać piaskiem lub przesianym gruntem do grubości przykrycia nie mniejszej od 5 cm, a następnie warstwą piasku lub przesianego gruntu grubości około 20 cm. Następnie należy zasypać wykop gruntem warstwami co 20 cm i ubijać ubijakami mechanicznymi.</w:t>
      </w:r>
    </w:p>
    <w:p w14:paraId="2C68BA9F" w14:textId="77777777" w:rsidR="00C9677E" w:rsidRPr="00A23FB4" w:rsidRDefault="00C9677E" w:rsidP="00262498">
      <w:pPr>
        <w:numPr>
          <w:ilvl w:val="0"/>
          <w:numId w:val="93"/>
        </w:numPr>
        <w:spacing w:before="120" w:after="120"/>
        <w:rPr>
          <w:rFonts w:asciiTheme="minorHAnsi" w:hAnsiTheme="minorHAnsi" w:cstheme="minorHAnsi"/>
        </w:rPr>
      </w:pPr>
      <w:r w:rsidRPr="00A23FB4">
        <w:rPr>
          <w:rFonts w:asciiTheme="minorHAnsi" w:hAnsiTheme="minorHAnsi" w:cstheme="minorHAnsi"/>
        </w:rPr>
        <w:t>Skrzyżowania i zbliżenia kanalizacji</w:t>
      </w:r>
    </w:p>
    <w:p w14:paraId="48CC387B" w14:textId="77777777" w:rsidR="00C9677E" w:rsidRPr="00A23FB4" w:rsidRDefault="00C9677E" w:rsidP="00262498">
      <w:pPr>
        <w:numPr>
          <w:ilvl w:val="0"/>
          <w:numId w:val="94"/>
        </w:numPr>
        <w:spacing w:after="120"/>
        <w:ind w:left="284" w:hanging="284"/>
        <w:rPr>
          <w:rFonts w:asciiTheme="minorHAnsi" w:hAnsiTheme="minorHAnsi" w:cstheme="minorHAnsi"/>
        </w:rPr>
      </w:pPr>
      <w:r w:rsidRPr="00A23FB4">
        <w:rPr>
          <w:rFonts w:asciiTheme="minorHAnsi" w:hAnsiTheme="minorHAnsi" w:cstheme="minorHAnsi"/>
        </w:rPr>
        <w:t>Trasa kanalizacji</w:t>
      </w:r>
    </w:p>
    <w:p w14:paraId="5D9FB4E7" w14:textId="05FF3968" w:rsidR="00C9677E" w:rsidRPr="00A23FB4" w:rsidRDefault="00C9677E" w:rsidP="00C9677E">
      <w:pPr>
        <w:rPr>
          <w:rFonts w:asciiTheme="minorHAnsi" w:hAnsiTheme="minorHAnsi" w:cstheme="minorHAnsi"/>
        </w:rPr>
      </w:pPr>
      <w:r w:rsidRPr="00A23FB4">
        <w:rPr>
          <w:rFonts w:asciiTheme="minorHAnsi" w:hAnsiTheme="minorHAnsi" w:cstheme="minorHAnsi"/>
        </w:rPr>
        <w:t xml:space="preserve">Na skrzyżowaniach z jezdniami trasa kanalizacji powinna być  zgodna z wymaganiami podanymi w punkcie 5.1.8.1 niniejszej </w:t>
      </w:r>
      <w:r w:rsidR="00B953D1">
        <w:rPr>
          <w:rFonts w:asciiTheme="minorHAnsi" w:hAnsiTheme="minorHAnsi" w:cstheme="minorHAnsi"/>
        </w:rPr>
        <w:t>ST</w:t>
      </w:r>
      <w:r w:rsidRPr="00A23FB4">
        <w:rPr>
          <w:rFonts w:asciiTheme="minorHAnsi" w:hAnsiTheme="minorHAnsi" w:cstheme="minorHAnsi"/>
        </w:rPr>
        <w:t>WiORB i zlokalizowana pod kątem 90</w:t>
      </w:r>
      <w:r w:rsidRPr="00A23FB4">
        <w:rPr>
          <w:rFonts w:asciiTheme="minorHAnsi" w:hAnsiTheme="minorHAnsi" w:cstheme="minorHAnsi"/>
          <w:vertAlign w:val="superscript"/>
        </w:rPr>
        <w:t>o</w:t>
      </w:r>
      <w:r w:rsidRPr="00A23FB4">
        <w:rPr>
          <w:rFonts w:asciiTheme="minorHAnsi" w:hAnsiTheme="minorHAnsi" w:cstheme="minorHAnsi"/>
        </w:rPr>
        <w:t xml:space="preserve"> do osi jezdni z dopuszczalną odchyłką 15</w:t>
      </w:r>
      <w:r w:rsidRPr="00A23FB4">
        <w:rPr>
          <w:rFonts w:asciiTheme="minorHAnsi" w:hAnsiTheme="minorHAnsi" w:cstheme="minorHAnsi"/>
          <w:vertAlign w:val="superscript"/>
        </w:rPr>
        <w:t>o</w:t>
      </w:r>
      <w:r w:rsidRPr="00A23FB4">
        <w:rPr>
          <w:rFonts w:asciiTheme="minorHAnsi" w:hAnsiTheme="minorHAnsi" w:cstheme="minorHAnsi"/>
        </w:rPr>
        <w:t>. Pod projektowanymi drogami kanalizację teletechniczną należy układać w wykopach przed robotami drogowymi, a pod jezdniami istniejącymi metodą poziomego wiercenia sprzętem dostępnym Wykonawcy i zaakceptowanym przez Inżyniera.</w:t>
      </w:r>
    </w:p>
    <w:p w14:paraId="52EBE32D" w14:textId="77777777" w:rsidR="00C9677E" w:rsidRPr="00A23FB4" w:rsidRDefault="00C9677E" w:rsidP="00262498">
      <w:pPr>
        <w:numPr>
          <w:ilvl w:val="0"/>
          <w:numId w:val="95"/>
        </w:numPr>
        <w:spacing w:before="120" w:after="120"/>
        <w:ind w:left="284" w:hanging="284"/>
        <w:rPr>
          <w:rFonts w:asciiTheme="minorHAnsi" w:hAnsiTheme="minorHAnsi" w:cstheme="minorHAnsi"/>
        </w:rPr>
      </w:pPr>
      <w:r w:rsidRPr="00A23FB4">
        <w:rPr>
          <w:rFonts w:asciiTheme="minorHAnsi" w:hAnsiTheme="minorHAnsi" w:cstheme="minorHAnsi"/>
        </w:rPr>
        <w:t>Skrzyżowania i zbliżenia z urządzeniami podziemnymi</w:t>
      </w:r>
    </w:p>
    <w:p w14:paraId="3E770658" w14:textId="17E4A2D4" w:rsidR="00C9677E" w:rsidRPr="00A23FB4" w:rsidRDefault="00C9677E" w:rsidP="00C9677E">
      <w:pPr>
        <w:rPr>
          <w:rFonts w:asciiTheme="minorHAnsi" w:hAnsiTheme="minorHAnsi" w:cstheme="minorHAnsi"/>
        </w:rPr>
      </w:pPr>
      <w:r w:rsidRPr="00A23FB4">
        <w:rPr>
          <w:rFonts w:asciiTheme="minorHAnsi" w:hAnsiTheme="minorHAnsi" w:cstheme="minorHAnsi"/>
        </w:rPr>
        <w:t xml:space="preserve">Przy skrzyżowaniach z innymi urządzeniami podziemnymi kanalizacja kablowa powinna znajdować się w zasadzie nad tymi urządzeniami. Inne rozwiązania dopuszcza się tylko w wyjątkowych przypadkach, gdy pokrycie kanalizacji górą byłoby mniejsze od wymaganego wg pkt 5.1.4 niniejszej </w:t>
      </w:r>
      <w:r w:rsidR="00B953D1">
        <w:rPr>
          <w:rFonts w:asciiTheme="minorHAnsi" w:hAnsiTheme="minorHAnsi" w:cstheme="minorHAnsi"/>
        </w:rPr>
        <w:t>ST</w:t>
      </w:r>
      <w:r w:rsidRPr="00A23FB4">
        <w:rPr>
          <w:rFonts w:asciiTheme="minorHAnsi" w:hAnsiTheme="minorHAnsi" w:cstheme="minorHAnsi"/>
        </w:rPr>
        <w:t>WiORB.</w:t>
      </w:r>
    </w:p>
    <w:p w14:paraId="773B455E"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Najważniejsze dopuszczalne odległości w rzucie pionowym lub poziomym między krawędziami ciągów kanalizacji a innymi urządzeniami podziemnymi nie powinny być mniejsze od podanych w tablicy 5 normy BN-73/8984-05.</w:t>
      </w:r>
    </w:p>
    <w:p w14:paraId="37E11A77" w14:textId="77777777" w:rsidR="00C9677E" w:rsidRPr="00A23FB4" w:rsidRDefault="00C9677E" w:rsidP="00C9677E">
      <w:pPr>
        <w:pStyle w:val="Nagwek4"/>
        <w:rPr>
          <w:rFonts w:asciiTheme="minorHAnsi" w:hAnsiTheme="minorHAnsi"/>
        </w:rPr>
      </w:pPr>
      <w:r w:rsidRPr="00A23FB4">
        <w:rPr>
          <w:rFonts w:asciiTheme="minorHAnsi" w:hAnsiTheme="minorHAnsi"/>
        </w:rPr>
        <w:t>5.2. Studnie kablowe</w:t>
      </w:r>
    </w:p>
    <w:p w14:paraId="51C10FAF" w14:textId="77777777" w:rsidR="00C9677E" w:rsidRPr="00A23FB4" w:rsidRDefault="00C9677E" w:rsidP="00262498">
      <w:pPr>
        <w:numPr>
          <w:ilvl w:val="0"/>
          <w:numId w:val="96"/>
        </w:numPr>
        <w:spacing w:after="120"/>
        <w:ind w:left="284" w:hanging="284"/>
        <w:rPr>
          <w:rFonts w:asciiTheme="minorHAnsi" w:hAnsiTheme="minorHAnsi" w:cstheme="minorHAnsi"/>
        </w:rPr>
      </w:pPr>
      <w:r w:rsidRPr="00A23FB4">
        <w:rPr>
          <w:rFonts w:asciiTheme="minorHAnsi" w:hAnsiTheme="minorHAnsi" w:cstheme="minorHAnsi"/>
        </w:rPr>
        <w:t>Stosowane typy studni kablowych</w:t>
      </w:r>
    </w:p>
    <w:p w14:paraId="76839F36"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Na ciągach kanalizacji kablowej należy stosować studnie kablowe wg klasyfikacji i wymiarów zgodnych z wymaganiami normy BN-85/8984-01.</w:t>
      </w:r>
    </w:p>
    <w:p w14:paraId="327FD760"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Studnie kablowe należy stosować wg zasad:</w:t>
      </w:r>
    </w:p>
    <w:p w14:paraId="6D7641FB" w14:textId="77777777" w:rsidR="00C9677E" w:rsidRPr="00A23FB4" w:rsidRDefault="00C9677E" w:rsidP="00262498">
      <w:pPr>
        <w:numPr>
          <w:ilvl w:val="0"/>
          <w:numId w:val="97"/>
        </w:numPr>
        <w:rPr>
          <w:rFonts w:asciiTheme="minorHAnsi" w:hAnsiTheme="minorHAnsi" w:cstheme="minorHAnsi"/>
        </w:rPr>
      </w:pPr>
      <w:r w:rsidRPr="00A23FB4">
        <w:rPr>
          <w:rFonts w:asciiTheme="minorHAnsi" w:hAnsiTheme="minorHAnsi" w:cstheme="minorHAnsi"/>
        </w:rPr>
        <w:t>SK1   - kanalizacja 1-otworowa rozdzielcza,</w:t>
      </w:r>
    </w:p>
    <w:p w14:paraId="6CCE3EA8" w14:textId="77777777" w:rsidR="00C9677E" w:rsidRPr="00A23FB4" w:rsidRDefault="00C9677E" w:rsidP="00262498">
      <w:pPr>
        <w:numPr>
          <w:ilvl w:val="0"/>
          <w:numId w:val="97"/>
        </w:numPr>
        <w:rPr>
          <w:rFonts w:asciiTheme="minorHAnsi" w:hAnsiTheme="minorHAnsi" w:cstheme="minorHAnsi"/>
        </w:rPr>
      </w:pPr>
      <w:r w:rsidRPr="00A23FB4">
        <w:rPr>
          <w:rFonts w:asciiTheme="minorHAnsi" w:hAnsiTheme="minorHAnsi" w:cstheme="minorHAnsi"/>
        </w:rPr>
        <w:t>SK2   - kanalizacja 2-otworowa rozdzielcza,</w:t>
      </w:r>
    </w:p>
    <w:p w14:paraId="3F469244" w14:textId="77777777" w:rsidR="00C9677E" w:rsidRPr="00A23FB4" w:rsidRDefault="00C9677E" w:rsidP="00262498">
      <w:pPr>
        <w:numPr>
          <w:ilvl w:val="0"/>
          <w:numId w:val="97"/>
        </w:numPr>
        <w:rPr>
          <w:rFonts w:asciiTheme="minorHAnsi" w:hAnsiTheme="minorHAnsi" w:cstheme="minorHAnsi"/>
        </w:rPr>
      </w:pPr>
      <w:r w:rsidRPr="00A23FB4">
        <w:rPr>
          <w:rFonts w:asciiTheme="minorHAnsi" w:hAnsiTheme="minorHAnsi" w:cstheme="minorHAnsi"/>
        </w:rPr>
        <w:t>SK6   - kanalizacja od 2 do 6 otworów magistralna,</w:t>
      </w:r>
    </w:p>
    <w:p w14:paraId="11660F73" w14:textId="77777777" w:rsidR="00C9677E" w:rsidRPr="00A23FB4" w:rsidRDefault="00C9677E" w:rsidP="00262498">
      <w:pPr>
        <w:numPr>
          <w:ilvl w:val="0"/>
          <w:numId w:val="97"/>
        </w:numPr>
        <w:rPr>
          <w:rFonts w:asciiTheme="minorHAnsi" w:hAnsiTheme="minorHAnsi" w:cstheme="minorHAnsi"/>
        </w:rPr>
      </w:pPr>
      <w:r w:rsidRPr="00A23FB4">
        <w:rPr>
          <w:rFonts w:asciiTheme="minorHAnsi" w:hAnsiTheme="minorHAnsi" w:cstheme="minorHAnsi"/>
        </w:rPr>
        <w:t>SK12 - kanalizacja od 6 do 12 otworów magistralna,</w:t>
      </w:r>
    </w:p>
    <w:p w14:paraId="136B72F7" w14:textId="77777777" w:rsidR="00C9677E" w:rsidRPr="00A23FB4" w:rsidRDefault="00C9677E" w:rsidP="00262498">
      <w:pPr>
        <w:numPr>
          <w:ilvl w:val="0"/>
          <w:numId w:val="97"/>
        </w:numPr>
        <w:rPr>
          <w:rFonts w:asciiTheme="minorHAnsi" w:hAnsiTheme="minorHAnsi" w:cstheme="minorHAnsi"/>
        </w:rPr>
      </w:pPr>
      <w:r w:rsidRPr="00A23FB4">
        <w:rPr>
          <w:rFonts w:asciiTheme="minorHAnsi" w:hAnsiTheme="minorHAnsi" w:cstheme="minorHAnsi"/>
        </w:rPr>
        <w:t>SK24 - kanalizacja od 12 do 24 otworów magistralna,</w:t>
      </w:r>
    </w:p>
    <w:p w14:paraId="1C262C73" w14:textId="77777777" w:rsidR="00C9677E" w:rsidRPr="00A23FB4" w:rsidRDefault="00C9677E" w:rsidP="00262498">
      <w:pPr>
        <w:numPr>
          <w:ilvl w:val="0"/>
          <w:numId w:val="97"/>
        </w:numPr>
        <w:rPr>
          <w:rFonts w:asciiTheme="minorHAnsi" w:hAnsiTheme="minorHAnsi" w:cstheme="minorHAnsi"/>
        </w:rPr>
      </w:pPr>
      <w:r w:rsidRPr="00A23FB4">
        <w:rPr>
          <w:rFonts w:asciiTheme="minorHAnsi" w:hAnsiTheme="minorHAnsi" w:cstheme="minorHAnsi"/>
        </w:rPr>
        <w:t>SKS   - przed szafkami kablowymi.</w:t>
      </w:r>
    </w:p>
    <w:p w14:paraId="7F83EC86" w14:textId="77777777" w:rsidR="00C9677E" w:rsidRPr="00A23FB4" w:rsidRDefault="00C9677E" w:rsidP="00262498">
      <w:pPr>
        <w:numPr>
          <w:ilvl w:val="0"/>
          <w:numId w:val="98"/>
        </w:numPr>
        <w:spacing w:before="120" w:after="120"/>
        <w:ind w:left="284" w:hanging="284"/>
        <w:rPr>
          <w:rFonts w:asciiTheme="minorHAnsi" w:hAnsiTheme="minorHAnsi" w:cstheme="minorHAnsi"/>
        </w:rPr>
      </w:pPr>
      <w:r w:rsidRPr="00A23FB4">
        <w:rPr>
          <w:rFonts w:asciiTheme="minorHAnsi" w:hAnsiTheme="minorHAnsi" w:cstheme="minorHAnsi"/>
        </w:rPr>
        <w:t>Wykonywanie studni bezpośrednio na budowie</w:t>
      </w:r>
    </w:p>
    <w:p w14:paraId="0315CC17"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Studnie bezpośrednio na budowie powinny być wykonywane zgodnie z normą BN-73/8984-05] i typową dokumentacją na nie.</w:t>
      </w:r>
    </w:p>
    <w:p w14:paraId="7643481F" w14:textId="77777777" w:rsidR="00C9677E" w:rsidRPr="00A23FB4" w:rsidRDefault="00C9677E" w:rsidP="00262498">
      <w:pPr>
        <w:numPr>
          <w:ilvl w:val="0"/>
          <w:numId w:val="99"/>
        </w:numPr>
        <w:spacing w:before="120" w:after="120"/>
        <w:ind w:left="284" w:hanging="284"/>
        <w:rPr>
          <w:rFonts w:asciiTheme="minorHAnsi" w:hAnsiTheme="minorHAnsi" w:cstheme="minorHAnsi"/>
        </w:rPr>
      </w:pPr>
      <w:r w:rsidRPr="00A23FB4">
        <w:rPr>
          <w:rFonts w:asciiTheme="minorHAnsi" w:hAnsiTheme="minorHAnsi" w:cstheme="minorHAnsi"/>
        </w:rPr>
        <w:t>Wykonywanie studni z prefabrykatów</w:t>
      </w:r>
    </w:p>
    <w:p w14:paraId="0E32CF31"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Wykonywanie studni kablowych z prefabrykatów powinno być zgodne z wymaganiami zawartymi w typowej dokumentacji na te studnie (katalog).</w:t>
      </w:r>
    </w:p>
    <w:p w14:paraId="4E435401" w14:textId="77777777" w:rsidR="00C9677E" w:rsidRPr="00A23FB4" w:rsidRDefault="00C9677E" w:rsidP="00C9677E">
      <w:pPr>
        <w:pStyle w:val="Nagwek4"/>
        <w:rPr>
          <w:rFonts w:asciiTheme="minorHAnsi" w:hAnsiTheme="minorHAnsi"/>
        </w:rPr>
      </w:pPr>
      <w:r w:rsidRPr="00A23FB4">
        <w:rPr>
          <w:rFonts w:asciiTheme="minorHAnsi" w:hAnsiTheme="minorHAnsi"/>
        </w:rPr>
        <w:t>5.3. Telekomunikacyjne sieci kablowe miejscowe</w:t>
      </w:r>
    </w:p>
    <w:p w14:paraId="07FA95F7" w14:textId="77777777" w:rsidR="00C9677E" w:rsidRPr="00A23FB4" w:rsidRDefault="00C9677E" w:rsidP="00262498">
      <w:pPr>
        <w:numPr>
          <w:ilvl w:val="0"/>
          <w:numId w:val="100"/>
        </w:numPr>
        <w:spacing w:after="120"/>
        <w:ind w:left="284" w:hanging="284"/>
        <w:rPr>
          <w:rFonts w:asciiTheme="minorHAnsi" w:hAnsiTheme="minorHAnsi" w:cstheme="minorHAnsi"/>
          <w:b/>
        </w:rPr>
      </w:pPr>
      <w:r w:rsidRPr="00A23FB4">
        <w:rPr>
          <w:rFonts w:asciiTheme="minorHAnsi" w:hAnsiTheme="minorHAnsi" w:cstheme="minorHAnsi"/>
        </w:rPr>
        <w:t>Stosowane typy kabli</w:t>
      </w:r>
    </w:p>
    <w:p w14:paraId="3357D1EA" w14:textId="6A551564" w:rsidR="00C9677E" w:rsidRPr="00A23FB4" w:rsidRDefault="00C9677E" w:rsidP="00C9677E">
      <w:pPr>
        <w:rPr>
          <w:rFonts w:asciiTheme="minorHAnsi" w:hAnsiTheme="minorHAnsi" w:cstheme="minorHAnsi"/>
        </w:rPr>
      </w:pPr>
      <w:r w:rsidRPr="00A23FB4">
        <w:rPr>
          <w:rFonts w:asciiTheme="minorHAnsi" w:hAnsiTheme="minorHAnsi" w:cstheme="minorHAnsi"/>
        </w:rPr>
        <w:t xml:space="preserve">Typy stosowanych kabli podaje się w punkcie 2.4.6 </w:t>
      </w:r>
      <w:r w:rsidR="00B953D1">
        <w:rPr>
          <w:rFonts w:asciiTheme="minorHAnsi" w:hAnsiTheme="minorHAnsi" w:cstheme="minorHAnsi"/>
        </w:rPr>
        <w:t>ST</w:t>
      </w:r>
      <w:r w:rsidRPr="00A23FB4">
        <w:rPr>
          <w:rFonts w:asciiTheme="minorHAnsi" w:hAnsiTheme="minorHAnsi" w:cstheme="minorHAnsi"/>
        </w:rPr>
        <w:t>WiORB.</w:t>
      </w:r>
    </w:p>
    <w:p w14:paraId="4B1CC5CA" w14:textId="77777777" w:rsidR="00C9677E" w:rsidRPr="00A23FB4" w:rsidRDefault="00C9677E" w:rsidP="00262498">
      <w:pPr>
        <w:numPr>
          <w:ilvl w:val="0"/>
          <w:numId w:val="101"/>
        </w:numPr>
        <w:spacing w:before="120" w:after="120"/>
        <w:ind w:left="284" w:hanging="284"/>
        <w:rPr>
          <w:rFonts w:asciiTheme="minorHAnsi" w:hAnsiTheme="minorHAnsi" w:cstheme="minorHAnsi"/>
        </w:rPr>
      </w:pPr>
      <w:r w:rsidRPr="00A23FB4">
        <w:rPr>
          <w:rFonts w:asciiTheme="minorHAnsi" w:hAnsiTheme="minorHAnsi" w:cstheme="minorHAnsi"/>
        </w:rPr>
        <w:t>Pupinizacja kabli</w:t>
      </w:r>
    </w:p>
    <w:p w14:paraId="29DCB0AC"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Jeśli przebudowywane telekomunikacyjne linie miejscowe są pupinizowane, w przebudowie należy zachować parametry elektryczne pupinizowanych czwórek.</w:t>
      </w:r>
    </w:p>
    <w:p w14:paraId="12728B9B" w14:textId="77777777" w:rsidR="00C9677E" w:rsidRPr="00A23FB4" w:rsidRDefault="00C9677E" w:rsidP="00262498">
      <w:pPr>
        <w:numPr>
          <w:ilvl w:val="0"/>
          <w:numId w:val="102"/>
        </w:numPr>
        <w:spacing w:before="120" w:after="120"/>
        <w:ind w:left="284" w:hanging="284"/>
        <w:rPr>
          <w:rFonts w:asciiTheme="minorHAnsi" w:hAnsiTheme="minorHAnsi" w:cstheme="minorHAnsi"/>
          <w:b/>
        </w:rPr>
      </w:pPr>
      <w:r w:rsidRPr="00A23FB4">
        <w:rPr>
          <w:rFonts w:asciiTheme="minorHAnsi" w:hAnsiTheme="minorHAnsi" w:cstheme="minorHAnsi"/>
        </w:rPr>
        <w:t>Układanie kabli w kanalizacji</w:t>
      </w:r>
    </w:p>
    <w:p w14:paraId="4F6279F9"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Układanie kabli w kanalizacji powinno być wykonywane z zachowaniem następujących postanowień:</w:t>
      </w:r>
    </w:p>
    <w:p w14:paraId="0FEE15EF" w14:textId="77777777" w:rsidR="00C9677E" w:rsidRPr="00A23FB4" w:rsidRDefault="00C9677E" w:rsidP="00262498">
      <w:pPr>
        <w:numPr>
          <w:ilvl w:val="0"/>
          <w:numId w:val="103"/>
        </w:numPr>
        <w:rPr>
          <w:rFonts w:asciiTheme="minorHAnsi" w:hAnsiTheme="minorHAnsi" w:cstheme="minorHAnsi"/>
        </w:rPr>
      </w:pPr>
      <w:r w:rsidRPr="00A23FB4">
        <w:rPr>
          <w:rFonts w:asciiTheme="minorHAnsi" w:hAnsiTheme="minorHAnsi" w:cstheme="minorHAnsi"/>
        </w:rPr>
        <w:t>w pierwszej kolejności należy zajmować otwory w dolnej warstwie ciągu kanalizacji, a do jednego otworu nie wolno wciągać więcej niż:</w:t>
      </w:r>
    </w:p>
    <w:p w14:paraId="3BCC2873" w14:textId="77777777" w:rsidR="00C9677E" w:rsidRPr="00A23FB4" w:rsidRDefault="00C9677E" w:rsidP="00262498">
      <w:pPr>
        <w:numPr>
          <w:ilvl w:val="0"/>
          <w:numId w:val="104"/>
        </w:numPr>
        <w:ind w:left="284" w:firstLine="0"/>
        <w:jc w:val="left"/>
        <w:rPr>
          <w:rFonts w:asciiTheme="minorHAnsi" w:hAnsiTheme="minorHAnsi" w:cstheme="minorHAnsi"/>
        </w:rPr>
      </w:pPr>
      <w:r w:rsidRPr="00A23FB4">
        <w:rPr>
          <w:rFonts w:asciiTheme="minorHAnsi" w:hAnsiTheme="minorHAnsi" w:cstheme="minorHAnsi"/>
        </w:rPr>
        <w:t>1 kabel, jeżeli średnica zewnętrzna jest większa od 50 mm,</w:t>
      </w:r>
    </w:p>
    <w:p w14:paraId="22388737" w14:textId="77777777" w:rsidR="00C9677E" w:rsidRPr="00A23FB4" w:rsidRDefault="00C9677E" w:rsidP="00262498">
      <w:pPr>
        <w:numPr>
          <w:ilvl w:val="0"/>
          <w:numId w:val="104"/>
        </w:numPr>
        <w:ind w:left="284" w:firstLine="0"/>
        <w:jc w:val="left"/>
        <w:rPr>
          <w:rFonts w:asciiTheme="minorHAnsi" w:hAnsiTheme="minorHAnsi" w:cstheme="minorHAnsi"/>
        </w:rPr>
      </w:pPr>
      <w:r w:rsidRPr="00A23FB4">
        <w:rPr>
          <w:rFonts w:asciiTheme="minorHAnsi" w:hAnsiTheme="minorHAnsi" w:cstheme="minorHAnsi"/>
        </w:rPr>
        <w:t>2 kable, jeżeli suma ich średnic nie przekracza 75% średnicy otworu,</w:t>
      </w:r>
    </w:p>
    <w:p w14:paraId="6DA80EBC" w14:textId="77777777" w:rsidR="00C9677E" w:rsidRPr="00A23FB4" w:rsidRDefault="00C9677E" w:rsidP="00262498">
      <w:pPr>
        <w:numPr>
          <w:ilvl w:val="0"/>
          <w:numId w:val="104"/>
        </w:numPr>
        <w:rPr>
          <w:rFonts w:asciiTheme="minorHAnsi" w:hAnsiTheme="minorHAnsi" w:cstheme="minorHAnsi"/>
        </w:rPr>
      </w:pPr>
      <w:r w:rsidRPr="00A23FB4">
        <w:rPr>
          <w:rFonts w:asciiTheme="minorHAnsi" w:hAnsiTheme="minorHAnsi" w:cstheme="minorHAnsi"/>
        </w:rPr>
        <w:t>3 i więcej kabli, jeżeli suma ich średnic nie przekracza wielkości średnicy otworu kanalizacji,</w:t>
      </w:r>
    </w:p>
    <w:p w14:paraId="634A469E" w14:textId="77777777" w:rsidR="00C9677E" w:rsidRPr="00A23FB4" w:rsidRDefault="00C9677E" w:rsidP="00262498">
      <w:pPr>
        <w:numPr>
          <w:ilvl w:val="0"/>
          <w:numId w:val="105"/>
        </w:numPr>
        <w:rPr>
          <w:rFonts w:asciiTheme="minorHAnsi" w:hAnsiTheme="minorHAnsi" w:cstheme="minorHAnsi"/>
        </w:rPr>
      </w:pPr>
      <w:r w:rsidRPr="00A23FB4">
        <w:rPr>
          <w:rFonts w:asciiTheme="minorHAnsi" w:hAnsiTheme="minorHAnsi" w:cstheme="minorHAnsi"/>
        </w:rPr>
        <w:t>w studniach kablowych kable powinny być ułożone na wspornikach kablowych, kable nie powinny się krzyżować między sobą, promień wygięcia kabla TKM nie powinien być mniejszy od 10-krotnej jego średnicy, a kabla XTKM od 12-krotnej jego średnicy.</w:t>
      </w:r>
    </w:p>
    <w:p w14:paraId="33841336" w14:textId="77777777" w:rsidR="00C9677E" w:rsidRPr="00A23FB4" w:rsidRDefault="00C9677E" w:rsidP="00262498">
      <w:pPr>
        <w:numPr>
          <w:ilvl w:val="0"/>
          <w:numId w:val="106"/>
        </w:numPr>
        <w:spacing w:before="120" w:after="120"/>
        <w:ind w:left="284" w:hanging="284"/>
        <w:rPr>
          <w:rFonts w:asciiTheme="minorHAnsi" w:hAnsiTheme="minorHAnsi" w:cstheme="minorHAnsi"/>
        </w:rPr>
      </w:pPr>
      <w:r w:rsidRPr="00A23FB4">
        <w:rPr>
          <w:rFonts w:asciiTheme="minorHAnsi" w:hAnsiTheme="minorHAnsi" w:cstheme="minorHAnsi"/>
        </w:rPr>
        <w:t>Układanie kabli w ziemi</w:t>
      </w:r>
    </w:p>
    <w:p w14:paraId="6CE1C319"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Kable ziemne sieci miejscowej powinny być ułożone równolegle do osi drogi i równolegle do ciągów innych urządzeń podziemnych.</w:t>
      </w:r>
    </w:p>
    <w:p w14:paraId="2C069709"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Kabel ziemny powinien być ułożony w wykopie linią falistą, przy czym zwiększenie długości na falowanie powinno wynosić co najmniej 2</w:t>
      </w:r>
      <w:r w:rsidRPr="00A23FB4">
        <w:rPr>
          <w:rFonts w:asciiTheme="minorHAnsi" w:hAnsiTheme="minorHAnsi" w:cstheme="minorHAnsi"/>
        </w:rPr>
        <w:sym w:font="Times New Roman" w:char="2030"/>
      </w:r>
      <w:r w:rsidRPr="00A23FB4">
        <w:rPr>
          <w:rFonts w:asciiTheme="minorHAnsi" w:hAnsiTheme="minorHAnsi" w:cstheme="minorHAnsi"/>
        </w:rPr>
        <w:t>, a na terenach zapadlinowych co najmniej 2% długości trasowej.</w:t>
      </w:r>
    </w:p>
    <w:p w14:paraId="13DCFEFA"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Głębokość ułożenia kabla w ziemi liczona od powierzchni do odzieży nie powinna być mniejsza od 0,8 m. W miejscach skrzyżowania kabla z innymi urządzeniami podziemnymi dopuszcza się zmniejszenie tej odległości do 0,5 m.</w:t>
      </w:r>
    </w:p>
    <w:p w14:paraId="202E73F8"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Przy złączach kablowych w ziemi, zapasy kabli nie powinny być mniejsze od 0,25 m, a przy skrzyni pupinizacyjnej od 0,5 m z każdej strony złącza lub skrzyni.</w:t>
      </w:r>
    </w:p>
    <w:p w14:paraId="3123BEF2" w14:textId="77777777" w:rsidR="00C9677E" w:rsidRPr="00A23FB4" w:rsidRDefault="00C9677E" w:rsidP="00C9677E">
      <w:pPr>
        <w:rPr>
          <w:rFonts w:asciiTheme="minorHAnsi" w:hAnsiTheme="minorHAnsi" w:cstheme="minorHAnsi"/>
        </w:rPr>
      </w:pPr>
    </w:p>
    <w:p w14:paraId="43611930" w14:textId="77777777" w:rsidR="00C9677E" w:rsidRPr="00A23FB4" w:rsidRDefault="00C9677E" w:rsidP="00262498">
      <w:pPr>
        <w:numPr>
          <w:ilvl w:val="0"/>
          <w:numId w:val="107"/>
        </w:numPr>
        <w:spacing w:after="120"/>
        <w:ind w:left="284" w:hanging="284"/>
        <w:rPr>
          <w:rFonts w:asciiTheme="minorHAnsi" w:hAnsiTheme="minorHAnsi" w:cstheme="minorHAnsi"/>
        </w:rPr>
      </w:pPr>
      <w:r w:rsidRPr="00A23FB4">
        <w:rPr>
          <w:rFonts w:asciiTheme="minorHAnsi" w:hAnsiTheme="minorHAnsi" w:cstheme="minorHAnsi"/>
        </w:rPr>
        <w:t>Zawieszanie kabli</w:t>
      </w:r>
    </w:p>
    <w:p w14:paraId="7F102704"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Kable linii nadziemnych należy zawieszać na linkach nośnych lub drutach, zakończonych naprężnikami śrubowymi wg BN-70/3233-05.</w:t>
      </w:r>
    </w:p>
    <w:p w14:paraId="29B5C9D4"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Odległość między sąsiednimi haczykami zawieszonymi na lince nośnej lub drucie, powinna wynosić:</w:t>
      </w:r>
    </w:p>
    <w:p w14:paraId="3E0C89C8" w14:textId="77777777" w:rsidR="00C9677E" w:rsidRPr="00A23FB4" w:rsidRDefault="00C9677E" w:rsidP="00262498">
      <w:pPr>
        <w:numPr>
          <w:ilvl w:val="0"/>
          <w:numId w:val="104"/>
        </w:numPr>
        <w:rPr>
          <w:rFonts w:asciiTheme="minorHAnsi" w:hAnsiTheme="minorHAnsi" w:cstheme="minorHAnsi"/>
        </w:rPr>
      </w:pPr>
      <w:r w:rsidRPr="00A23FB4">
        <w:rPr>
          <w:rFonts w:asciiTheme="minorHAnsi" w:hAnsiTheme="minorHAnsi" w:cstheme="minorHAnsi"/>
        </w:rPr>
        <w:t>0,25 m - dla kabli o średnicy do 18 mm,</w:t>
      </w:r>
    </w:p>
    <w:p w14:paraId="020E873D" w14:textId="77777777" w:rsidR="00C9677E" w:rsidRPr="00A23FB4" w:rsidRDefault="00C9677E" w:rsidP="00262498">
      <w:pPr>
        <w:numPr>
          <w:ilvl w:val="0"/>
          <w:numId w:val="104"/>
        </w:numPr>
        <w:rPr>
          <w:rFonts w:asciiTheme="minorHAnsi" w:hAnsiTheme="minorHAnsi" w:cstheme="minorHAnsi"/>
        </w:rPr>
      </w:pPr>
      <w:r w:rsidRPr="00A23FB4">
        <w:rPr>
          <w:rFonts w:asciiTheme="minorHAnsi" w:hAnsiTheme="minorHAnsi" w:cstheme="minorHAnsi"/>
        </w:rPr>
        <w:t>0,3   m - dla kabli o średnicy powyżej 18 mm.</w:t>
      </w:r>
    </w:p>
    <w:p w14:paraId="0266F0E0"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Wysokość zawieszenia kabla od dróg nie powinna być mniejsza od 3,5 m w odniesieniu do najniżej położonego punktu kabla od powierzchni terenu.</w:t>
      </w:r>
    </w:p>
    <w:p w14:paraId="42338051" w14:textId="77777777" w:rsidR="00C9677E" w:rsidRPr="00A23FB4" w:rsidRDefault="00C9677E" w:rsidP="00262498">
      <w:pPr>
        <w:numPr>
          <w:ilvl w:val="0"/>
          <w:numId w:val="108"/>
        </w:numPr>
        <w:spacing w:before="120" w:after="120"/>
        <w:ind w:left="284" w:hanging="284"/>
        <w:rPr>
          <w:rFonts w:asciiTheme="minorHAnsi" w:hAnsiTheme="minorHAnsi" w:cstheme="minorHAnsi"/>
        </w:rPr>
      </w:pPr>
      <w:r w:rsidRPr="00A23FB4">
        <w:rPr>
          <w:rFonts w:asciiTheme="minorHAnsi" w:hAnsiTheme="minorHAnsi" w:cstheme="minorHAnsi"/>
        </w:rPr>
        <w:t>Wprowadzenie kabli na słupy kablowe</w:t>
      </w:r>
    </w:p>
    <w:p w14:paraId="4CCE8414"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Odcinek kabla wprowadzony do skrzynki kablowej na słupie linii napowietrznej powinien być zabezpieczony osłoną ochronną lub rurą z PCW do wysokości 3 m w górę i 0,5 m w dół od powierzchni ziemi. Przy słupie powinien być ułożony zapas kabla.</w:t>
      </w:r>
    </w:p>
    <w:p w14:paraId="29ADD19A"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Wprowadzone na słup kable należy zakończyć głowicami mocowanymi w skrzynkach kablowych 10 x 2 wg BN-80/3231-25 i 30 x 2 wg BN-85/3231-28.</w:t>
      </w:r>
    </w:p>
    <w:p w14:paraId="0C4ECEB9" w14:textId="77777777" w:rsidR="00C9677E" w:rsidRPr="00A23FB4" w:rsidRDefault="00C9677E" w:rsidP="00262498">
      <w:pPr>
        <w:numPr>
          <w:ilvl w:val="0"/>
          <w:numId w:val="109"/>
        </w:numPr>
        <w:spacing w:before="120" w:after="120"/>
        <w:ind w:left="284" w:hanging="284"/>
        <w:rPr>
          <w:rFonts w:asciiTheme="minorHAnsi" w:hAnsiTheme="minorHAnsi" w:cstheme="minorHAnsi"/>
        </w:rPr>
      </w:pPr>
      <w:r w:rsidRPr="00A23FB4">
        <w:rPr>
          <w:rFonts w:asciiTheme="minorHAnsi" w:hAnsiTheme="minorHAnsi" w:cstheme="minorHAnsi"/>
        </w:rPr>
        <w:t>Montaż kabli</w:t>
      </w:r>
    </w:p>
    <w:p w14:paraId="465D5783" w14:textId="77777777" w:rsidR="00C9677E" w:rsidRPr="00A23FB4" w:rsidRDefault="00C9677E" w:rsidP="00C9677E">
      <w:pPr>
        <w:spacing w:after="120"/>
        <w:rPr>
          <w:rFonts w:asciiTheme="minorHAnsi" w:hAnsiTheme="minorHAnsi" w:cstheme="minorHAnsi"/>
        </w:rPr>
      </w:pPr>
      <w:r w:rsidRPr="00A23FB4">
        <w:rPr>
          <w:rFonts w:asciiTheme="minorHAnsi" w:hAnsiTheme="minorHAnsi" w:cstheme="minorHAnsi"/>
        </w:rPr>
        <w:t>Złącza na kablach obołowionych powinny odpowiadać wymaganiom normy BN-65/8984-11. Złącza na kablach XTKMX powinny być wykonane zgodnie z instrukcją montażu.</w:t>
      </w:r>
    </w:p>
    <w:p w14:paraId="05F3214C" w14:textId="77777777" w:rsidR="00C9677E" w:rsidRPr="00A23FB4" w:rsidRDefault="00C9677E" w:rsidP="00262498">
      <w:pPr>
        <w:numPr>
          <w:ilvl w:val="0"/>
          <w:numId w:val="110"/>
        </w:numPr>
        <w:spacing w:after="120"/>
        <w:rPr>
          <w:rFonts w:asciiTheme="minorHAnsi" w:hAnsiTheme="minorHAnsi" w:cstheme="minorHAnsi"/>
        </w:rPr>
      </w:pPr>
      <w:r w:rsidRPr="00A23FB4">
        <w:rPr>
          <w:rFonts w:asciiTheme="minorHAnsi" w:hAnsiTheme="minorHAnsi" w:cstheme="minorHAnsi"/>
        </w:rPr>
        <w:t xml:space="preserve">Skrzyżowania i zbliżenia </w:t>
      </w:r>
    </w:p>
    <w:p w14:paraId="5B5118E1" w14:textId="77777777" w:rsidR="00C9677E" w:rsidRPr="00A23FB4" w:rsidRDefault="00C9677E" w:rsidP="00262498">
      <w:pPr>
        <w:numPr>
          <w:ilvl w:val="0"/>
          <w:numId w:val="111"/>
        </w:numPr>
        <w:spacing w:after="120"/>
        <w:rPr>
          <w:rFonts w:asciiTheme="minorHAnsi" w:hAnsiTheme="minorHAnsi" w:cstheme="minorHAnsi"/>
        </w:rPr>
      </w:pPr>
      <w:r w:rsidRPr="00A23FB4">
        <w:rPr>
          <w:rFonts w:asciiTheme="minorHAnsi" w:hAnsiTheme="minorHAnsi" w:cstheme="minorHAnsi"/>
        </w:rPr>
        <w:t>Skrzyżowania i zbliżenia kabli ziemnych z drogami</w:t>
      </w:r>
    </w:p>
    <w:p w14:paraId="51345963" w14:textId="77777777" w:rsidR="00C9677E" w:rsidRPr="00A23FB4" w:rsidRDefault="00C9677E" w:rsidP="00C9677E">
      <w:pPr>
        <w:spacing w:after="120"/>
        <w:rPr>
          <w:rFonts w:asciiTheme="minorHAnsi" w:hAnsiTheme="minorHAnsi" w:cstheme="minorHAnsi"/>
        </w:rPr>
      </w:pPr>
      <w:r w:rsidRPr="00A23FB4">
        <w:rPr>
          <w:rFonts w:asciiTheme="minorHAnsi" w:hAnsiTheme="minorHAnsi" w:cstheme="minorHAnsi"/>
        </w:rPr>
        <w:t>Przejście kabla ziemnego pod drogami powinno być wykonane w rurach stalowych, betonowych lub innych o nie gorszej wytrzymałości mechanicznej, układanych zgodnie z wymaganiami BN-73/8984-05.</w:t>
      </w:r>
    </w:p>
    <w:p w14:paraId="60560926" w14:textId="77777777" w:rsidR="00C9677E" w:rsidRPr="00A23FB4" w:rsidRDefault="00C9677E" w:rsidP="00262498">
      <w:pPr>
        <w:numPr>
          <w:ilvl w:val="0"/>
          <w:numId w:val="112"/>
        </w:numPr>
        <w:spacing w:after="120"/>
        <w:rPr>
          <w:rFonts w:asciiTheme="minorHAnsi" w:hAnsiTheme="minorHAnsi" w:cstheme="minorHAnsi"/>
        </w:rPr>
      </w:pPr>
      <w:r w:rsidRPr="00A23FB4">
        <w:rPr>
          <w:rFonts w:asciiTheme="minorHAnsi" w:hAnsiTheme="minorHAnsi" w:cstheme="minorHAnsi"/>
        </w:rPr>
        <w:t>Skrzyżowania kabli ziemnych z rurociągami</w:t>
      </w:r>
    </w:p>
    <w:p w14:paraId="5FA9DD01" w14:textId="77777777" w:rsidR="00C9677E" w:rsidRPr="00A23FB4" w:rsidRDefault="00C9677E" w:rsidP="00C9677E">
      <w:pPr>
        <w:spacing w:after="120"/>
        <w:rPr>
          <w:rFonts w:asciiTheme="minorHAnsi" w:hAnsiTheme="minorHAnsi" w:cstheme="minorHAnsi"/>
        </w:rPr>
      </w:pPr>
      <w:r w:rsidRPr="00A23FB4">
        <w:rPr>
          <w:rFonts w:asciiTheme="minorHAnsi" w:hAnsiTheme="minorHAnsi" w:cstheme="minorHAnsi"/>
        </w:rPr>
        <w:t>Przy skrzyżowaniu linii kablowej z rurociągiem podziemnym, kabel powinien być ułożony nad rurociągiem. Jeśli odległość w pionie między rurociągiem a kablem mniejsza jest od podanych w tablicy 5 normy BN-76/8984-17, należy stosować jako rurę ochronną stalową lub inną o nie gorszych właściwościach na długości po 1,0 m z obu stron miejsca skrzyżowania od gabarytu rurociągu.</w:t>
      </w:r>
    </w:p>
    <w:p w14:paraId="12906647" w14:textId="77777777" w:rsidR="00C9677E" w:rsidRPr="00A23FB4" w:rsidRDefault="00C9677E" w:rsidP="00262498">
      <w:pPr>
        <w:numPr>
          <w:ilvl w:val="0"/>
          <w:numId w:val="113"/>
        </w:numPr>
        <w:spacing w:after="120"/>
        <w:ind w:left="284" w:hanging="284"/>
        <w:rPr>
          <w:rFonts w:asciiTheme="minorHAnsi" w:hAnsiTheme="minorHAnsi" w:cstheme="minorHAnsi"/>
        </w:rPr>
      </w:pPr>
      <w:r w:rsidRPr="00A23FB4">
        <w:rPr>
          <w:rFonts w:asciiTheme="minorHAnsi" w:hAnsiTheme="minorHAnsi" w:cstheme="minorHAnsi"/>
        </w:rPr>
        <w:t>Skrzyżowania telekomunikacyjnych kabli ziemnych z kablami  elektroenergetycznymi</w:t>
      </w:r>
    </w:p>
    <w:p w14:paraId="48B06F62" w14:textId="77777777" w:rsidR="00C9677E" w:rsidRPr="00A23FB4" w:rsidRDefault="00C9677E" w:rsidP="00C9677E">
      <w:pPr>
        <w:spacing w:after="120"/>
        <w:rPr>
          <w:rFonts w:asciiTheme="minorHAnsi" w:hAnsiTheme="minorHAnsi" w:cstheme="minorHAnsi"/>
        </w:rPr>
      </w:pPr>
      <w:r w:rsidRPr="00A23FB4">
        <w:rPr>
          <w:rFonts w:asciiTheme="minorHAnsi" w:hAnsiTheme="minorHAnsi" w:cstheme="minorHAnsi"/>
        </w:rPr>
        <w:t>Skrzyżowania telekomunikacyjnych kabli miejscowych z elektroenergetycznymi liniami kablowymi powinny być wykonane zgodnie z wymaganiami PN-78/E-05125.</w:t>
      </w:r>
    </w:p>
    <w:p w14:paraId="33ADE848" w14:textId="77777777" w:rsidR="00C9677E" w:rsidRPr="00A23FB4" w:rsidRDefault="00C9677E" w:rsidP="00262498">
      <w:pPr>
        <w:numPr>
          <w:ilvl w:val="0"/>
          <w:numId w:val="114"/>
        </w:numPr>
        <w:spacing w:after="120"/>
        <w:ind w:left="284" w:hanging="284"/>
        <w:rPr>
          <w:rFonts w:asciiTheme="minorHAnsi" w:hAnsiTheme="minorHAnsi" w:cstheme="minorHAnsi"/>
        </w:rPr>
      </w:pPr>
      <w:r w:rsidRPr="00A23FB4">
        <w:rPr>
          <w:rFonts w:asciiTheme="minorHAnsi" w:hAnsiTheme="minorHAnsi" w:cstheme="minorHAnsi"/>
        </w:rPr>
        <w:t>Zbliżenia telekomunikacyjnych kabli ziemnych z podbudową linii elektroenergetycznych</w:t>
      </w:r>
    </w:p>
    <w:p w14:paraId="31B4D84A"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Zbliżenia telekomunikacyjnej linii kablowej z podbudową linii elektroenergetycznych powinny być zgodne z PN-75/E-05100.</w:t>
      </w:r>
    </w:p>
    <w:p w14:paraId="01DA6953" w14:textId="77777777" w:rsidR="00C9677E" w:rsidRPr="00A23FB4" w:rsidRDefault="00C9677E" w:rsidP="00262498">
      <w:pPr>
        <w:numPr>
          <w:ilvl w:val="0"/>
          <w:numId w:val="115"/>
        </w:numPr>
        <w:spacing w:before="120" w:after="120"/>
        <w:ind w:left="284" w:hanging="284"/>
        <w:rPr>
          <w:rFonts w:asciiTheme="minorHAnsi" w:hAnsiTheme="minorHAnsi" w:cstheme="minorHAnsi"/>
        </w:rPr>
      </w:pPr>
      <w:r w:rsidRPr="00A23FB4">
        <w:rPr>
          <w:rFonts w:asciiTheme="minorHAnsi" w:hAnsiTheme="minorHAnsi" w:cstheme="minorHAnsi"/>
        </w:rPr>
        <w:t>Najmniejsze dopuszczalne odległości kabla ziemnego od innych urządzeń i obiektów</w:t>
      </w:r>
    </w:p>
    <w:p w14:paraId="330751D8"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Najmniejsze dopuszczalne odległości kabla ziemnego od innych urządzeń i obiektów podane są w tablicy 5 normy BN-76/8984-17.</w:t>
      </w:r>
    </w:p>
    <w:p w14:paraId="3ADBAA42" w14:textId="77777777" w:rsidR="00C9677E" w:rsidRPr="00A23FB4" w:rsidRDefault="00C9677E" w:rsidP="00262498">
      <w:pPr>
        <w:numPr>
          <w:ilvl w:val="0"/>
          <w:numId w:val="116"/>
        </w:numPr>
        <w:spacing w:before="120" w:after="120"/>
        <w:ind w:left="284" w:hanging="284"/>
        <w:rPr>
          <w:rFonts w:asciiTheme="minorHAnsi" w:hAnsiTheme="minorHAnsi" w:cstheme="minorHAnsi"/>
        </w:rPr>
      </w:pPr>
      <w:r w:rsidRPr="00A23FB4">
        <w:rPr>
          <w:rFonts w:asciiTheme="minorHAnsi" w:hAnsiTheme="minorHAnsi" w:cstheme="minorHAnsi"/>
        </w:rPr>
        <w:t>Skrzyżowania telekomunikacyjnych linii kablowych nadziemnych z drogami</w:t>
      </w:r>
    </w:p>
    <w:p w14:paraId="181F67D7"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Najmniejsza dopuszczalna wysokość zawieszenia telekomunikacyjnych kabli nadziemnych przy skrzyżowaniu z drogami powinna wynosić 5 m.</w:t>
      </w:r>
    </w:p>
    <w:p w14:paraId="07DF6FFC" w14:textId="77777777" w:rsidR="00C9677E" w:rsidRPr="00A23FB4" w:rsidRDefault="00C9677E" w:rsidP="00262498">
      <w:pPr>
        <w:numPr>
          <w:ilvl w:val="0"/>
          <w:numId w:val="117"/>
        </w:numPr>
        <w:spacing w:before="120"/>
        <w:ind w:left="284" w:hanging="284"/>
        <w:rPr>
          <w:rFonts w:asciiTheme="minorHAnsi" w:hAnsiTheme="minorHAnsi" w:cstheme="minorHAnsi"/>
        </w:rPr>
      </w:pPr>
      <w:r w:rsidRPr="00A23FB4">
        <w:rPr>
          <w:rFonts w:asciiTheme="minorHAnsi" w:hAnsiTheme="minorHAnsi" w:cstheme="minorHAnsi"/>
        </w:rPr>
        <w:t>Ochrona linii kablowych</w:t>
      </w:r>
    </w:p>
    <w:p w14:paraId="21D7D7F6" w14:textId="77777777" w:rsidR="00C9677E" w:rsidRPr="00A23FB4" w:rsidRDefault="00C9677E" w:rsidP="00262498">
      <w:pPr>
        <w:numPr>
          <w:ilvl w:val="0"/>
          <w:numId w:val="118"/>
        </w:numPr>
        <w:spacing w:before="120"/>
        <w:ind w:left="284" w:hanging="284"/>
        <w:rPr>
          <w:rFonts w:asciiTheme="minorHAnsi" w:hAnsiTheme="minorHAnsi" w:cstheme="minorHAnsi"/>
        </w:rPr>
      </w:pPr>
      <w:r w:rsidRPr="00A23FB4">
        <w:rPr>
          <w:rFonts w:asciiTheme="minorHAnsi" w:hAnsiTheme="minorHAnsi" w:cstheme="minorHAnsi"/>
        </w:rPr>
        <w:t>Zabezpieczenie kabli od uszkodzeń mechanicznych</w:t>
      </w:r>
    </w:p>
    <w:p w14:paraId="7084C1CB" w14:textId="77777777" w:rsidR="00C9677E" w:rsidRPr="00A23FB4" w:rsidRDefault="00C9677E" w:rsidP="00C9677E">
      <w:pPr>
        <w:spacing w:before="120"/>
        <w:rPr>
          <w:rFonts w:asciiTheme="minorHAnsi" w:hAnsiTheme="minorHAnsi" w:cstheme="minorHAnsi"/>
        </w:rPr>
      </w:pPr>
      <w:r w:rsidRPr="00A23FB4">
        <w:rPr>
          <w:rFonts w:asciiTheme="minorHAnsi" w:hAnsiTheme="minorHAnsi" w:cstheme="minorHAnsi"/>
        </w:rPr>
        <w:t>Kabel ziemny powinien być zabezpieczony od uszkodzeń mechanicznych przykrywami kablowymi w następujących przypadkach:</w:t>
      </w:r>
    </w:p>
    <w:p w14:paraId="300B8940" w14:textId="77777777" w:rsidR="00C9677E" w:rsidRPr="00A23FB4" w:rsidRDefault="00C9677E" w:rsidP="00262498">
      <w:pPr>
        <w:numPr>
          <w:ilvl w:val="0"/>
          <w:numId w:val="119"/>
        </w:numPr>
        <w:rPr>
          <w:rFonts w:asciiTheme="minorHAnsi" w:hAnsiTheme="minorHAnsi" w:cstheme="minorHAnsi"/>
        </w:rPr>
      </w:pPr>
      <w:r w:rsidRPr="00A23FB4">
        <w:rPr>
          <w:rFonts w:asciiTheme="minorHAnsi" w:hAnsiTheme="minorHAnsi" w:cstheme="minorHAnsi"/>
        </w:rPr>
        <w:t>na całym przebiegu w terenie zabudowanym oraz dodatkowo po 10 m z każdej strony granicy zabudowy,</w:t>
      </w:r>
    </w:p>
    <w:p w14:paraId="459D2382" w14:textId="77777777" w:rsidR="00C9677E" w:rsidRPr="00A23FB4" w:rsidRDefault="00C9677E" w:rsidP="00262498">
      <w:pPr>
        <w:numPr>
          <w:ilvl w:val="0"/>
          <w:numId w:val="119"/>
        </w:numPr>
        <w:rPr>
          <w:rFonts w:asciiTheme="minorHAnsi" w:hAnsiTheme="minorHAnsi" w:cstheme="minorHAnsi"/>
        </w:rPr>
      </w:pPr>
      <w:r w:rsidRPr="00A23FB4">
        <w:rPr>
          <w:rFonts w:asciiTheme="minorHAnsi" w:hAnsiTheme="minorHAnsi" w:cstheme="minorHAnsi"/>
        </w:rPr>
        <w:t>przy zbliżeniach z kablami elektroenergetycznymi i innymi urządzeniami podziemnymi o odległościach mniejszych od 1,0 m - na całej długości zbliżenia.</w:t>
      </w:r>
    </w:p>
    <w:p w14:paraId="3868021A" w14:textId="77777777" w:rsidR="00C9677E" w:rsidRPr="00A23FB4" w:rsidRDefault="00C9677E" w:rsidP="00262498">
      <w:pPr>
        <w:numPr>
          <w:ilvl w:val="0"/>
          <w:numId w:val="120"/>
        </w:numPr>
        <w:spacing w:before="120" w:after="120"/>
        <w:ind w:left="284" w:hanging="284"/>
        <w:rPr>
          <w:rFonts w:asciiTheme="minorHAnsi" w:hAnsiTheme="minorHAnsi" w:cstheme="minorHAnsi"/>
        </w:rPr>
      </w:pPr>
      <w:r w:rsidRPr="00A23FB4">
        <w:rPr>
          <w:rFonts w:asciiTheme="minorHAnsi" w:hAnsiTheme="minorHAnsi" w:cstheme="minorHAnsi"/>
        </w:rPr>
        <w:t>Zabezpieczenie kabli od wyładowań atmosferycznych</w:t>
      </w:r>
    </w:p>
    <w:p w14:paraId="09256B0D"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W miejscach wprowadzenia torów napowietrznych do kabli sieci miejscowej należy w skrzynkach kablowych na słupach stosować zespoły odgromnikowo-bezpiecznikowe.</w:t>
      </w:r>
    </w:p>
    <w:p w14:paraId="7B888FC3" w14:textId="77777777" w:rsidR="00C9677E" w:rsidRPr="00A23FB4" w:rsidRDefault="00C9677E" w:rsidP="00262498">
      <w:pPr>
        <w:numPr>
          <w:ilvl w:val="0"/>
          <w:numId w:val="121"/>
        </w:numPr>
        <w:spacing w:before="120" w:after="120"/>
        <w:ind w:left="284" w:hanging="284"/>
        <w:rPr>
          <w:rFonts w:asciiTheme="minorHAnsi" w:hAnsiTheme="minorHAnsi" w:cstheme="minorHAnsi"/>
        </w:rPr>
      </w:pPr>
      <w:r w:rsidRPr="00A23FB4">
        <w:rPr>
          <w:rFonts w:asciiTheme="minorHAnsi" w:hAnsiTheme="minorHAnsi" w:cstheme="minorHAnsi"/>
        </w:rPr>
        <w:t>Kontrola ciśnieniowa szczelności powłok kabli</w:t>
      </w:r>
    </w:p>
    <w:p w14:paraId="410014F7"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W sieciach miejscowych należy stosować bezpiecznikowy system kontroli ciśnieniowej kabli wg BN-76/8984-26. Kontrolą ciśnieniową powinny być objęte kable międzycentralowe i magistralne.</w:t>
      </w:r>
    </w:p>
    <w:p w14:paraId="3B311B93" w14:textId="77777777" w:rsidR="00C9677E" w:rsidRPr="00A23FB4" w:rsidRDefault="00C9677E" w:rsidP="00262498">
      <w:pPr>
        <w:numPr>
          <w:ilvl w:val="0"/>
          <w:numId w:val="122"/>
        </w:numPr>
        <w:spacing w:before="120" w:after="120"/>
        <w:ind w:left="284" w:hanging="284"/>
        <w:rPr>
          <w:rFonts w:asciiTheme="minorHAnsi" w:hAnsiTheme="minorHAnsi" w:cstheme="minorHAnsi"/>
        </w:rPr>
      </w:pPr>
      <w:r w:rsidRPr="00A23FB4">
        <w:rPr>
          <w:rFonts w:asciiTheme="minorHAnsi" w:hAnsiTheme="minorHAnsi" w:cstheme="minorHAnsi"/>
        </w:rPr>
        <w:t>Znakowanie telekomunikacyjnych kabli miejscowych</w:t>
      </w:r>
    </w:p>
    <w:p w14:paraId="65FBBA0E" w14:textId="77777777" w:rsidR="00C9677E" w:rsidRPr="00A23FB4" w:rsidRDefault="00C9677E" w:rsidP="00262498">
      <w:pPr>
        <w:numPr>
          <w:ilvl w:val="0"/>
          <w:numId w:val="123"/>
        </w:numPr>
        <w:spacing w:after="120"/>
        <w:ind w:left="284" w:hanging="284"/>
        <w:rPr>
          <w:rFonts w:asciiTheme="minorHAnsi" w:hAnsiTheme="minorHAnsi" w:cstheme="minorHAnsi"/>
        </w:rPr>
      </w:pPr>
      <w:r w:rsidRPr="00A23FB4">
        <w:rPr>
          <w:rFonts w:asciiTheme="minorHAnsi" w:hAnsiTheme="minorHAnsi" w:cstheme="minorHAnsi"/>
        </w:rPr>
        <w:t>Wymagania ogólne</w:t>
      </w:r>
    </w:p>
    <w:p w14:paraId="051D9B42"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Trwałą i wyraźną numerację należy umieszczać na szafkach kablowych, kablach, głowicach oraz puszkach i skrzynkach kablowych. Numerację należy wykonać za pomocą szablonów wg BN-73/3238-08.</w:t>
      </w:r>
    </w:p>
    <w:p w14:paraId="5BD9E33B" w14:textId="77777777" w:rsidR="00C9677E" w:rsidRPr="00A23FB4" w:rsidRDefault="00C9677E" w:rsidP="00262498">
      <w:pPr>
        <w:numPr>
          <w:ilvl w:val="0"/>
          <w:numId w:val="124"/>
        </w:numPr>
        <w:spacing w:before="120" w:after="120"/>
        <w:ind w:left="284" w:hanging="284"/>
        <w:rPr>
          <w:rFonts w:asciiTheme="minorHAnsi" w:hAnsiTheme="minorHAnsi" w:cstheme="minorHAnsi"/>
        </w:rPr>
      </w:pPr>
      <w:r w:rsidRPr="00A23FB4">
        <w:rPr>
          <w:rFonts w:asciiTheme="minorHAnsi" w:hAnsiTheme="minorHAnsi" w:cstheme="minorHAnsi"/>
        </w:rPr>
        <w:t>Znakowanie kabli</w:t>
      </w:r>
    </w:p>
    <w:p w14:paraId="50EF275F"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Znakowanie kabli w kanalizacji powinno być wykonane w studniach kablowych za pomocą opasek oznaczeniowych wg BN-72/3233-13 z wyraźnie odciśniętymi numerami.</w:t>
      </w:r>
    </w:p>
    <w:p w14:paraId="01C658A8"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Oznaczenie położenia kabla ziemnego w miejscach, w których brak jest stałych i trwałych obiektów, powinno być wykonane słupkami oznaczeniowymi wg BN-74/3233-17 .</w:t>
      </w:r>
    </w:p>
    <w:p w14:paraId="3143E326" w14:textId="77777777" w:rsidR="00C9677E" w:rsidRPr="00A23FB4" w:rsidRDefault="00C9677E" w:rsidP="00C9677E">
      <w:pPr>
        <w:pStyle w:val="Nagwek4"/>
        <w:rPr>
          <w:rFonts w:asciiTheme="minorHAnsi" w:hAnsiTheme="minorHAnsi"/>
        </w:rPr>
      </w:pPr>
      <w:r w:rsidRPr="00A23FB4">
        <w:rPr>
          <w:rFonts w:asciiTheme="minorHAnsi" w:hAnsiTheme="minorHAnsi"/>
        </w:rPr>
        <w:t>5.4. Telekomunikacyjne kable wewnątrzstrefowe i dalekosiężne</w:t>
      </w:r>
    </w:p>
    <w:p w14:paraId="146DF28A" w14:textId="77777777" w:rsidR="00C9677E" w:rsidRPr="00A23FB4" w:rsidRDefault="00C9677E" w:rsidP="00262498">
      <w:pPr>
        <w:numPr>
          <w:ilvl w:val="0"/>
          <w:numId w:val="125"/>
        </w:numPr>
        <w:spacing w:after="120"/>
        <w:ind w:left="284" w:hanging="284"/>
        <w:rPr>
          <w:rFonts w:asciiTheme="minorHAnsi" w:hAnsiTheme="minorHAnsi" w:cstheme="minorHAnsi"/>
        </w:rPr>
      </w:pPr>
      <w:r w:rsidRPr="00A23FB4">
        <w:rPr>
          <w:rFonts w:asciiTheme="minorHAnsi" w:hAnsiTheme="minorHAnsi" w:cstheme="minorHAnsi"/>
        </w:rPr>
        <w:t>Uwagi ogólne</w:t>
      </w:r>
    </w:p>
    <w:p w14:paraId="58FE586C" w14:textId="4475F255" w:rsidR="00C9677E" w:rsidRPr="00A23FB4" w:rsidRDefault="00C9677E" w:rsidP="00C9677E">
      <w:pPr>
        <w:rPr>
          <w:rFonts w:asciiTheme="minorHAnsi" w:hAnsiTheme="minorHAnsi" w:cstheme="minorHAnsi"/>
        </w:rPr>
      </w:pPr>
      <w:r w:rsidRPr="00A23FB4">
        <w:rPr>
          <w:rFonts w:asciiTheme="minorHAnsi" w:hAnsiTheme="minorHAnsi" w:cstheme="minorHAnsi"/>
        </w:rPr>
        <w:t xml:space="preserve">Zasady budowy telekomunikacyjnych kabli wewnątrzstrefowych (okręgowych) i dalekosiężnych (międzymiastowych) są jednakowe i dlatego w dalszej części niniejszej </w:t>
      </w:r>
      <w:r w:rsidR="00215ACF">
        <w:rPr>
          <w:rFonts w:asciiTheme="minorHAnsi" w:hAnsiTheme="minorHAnsi" w:cstheme="minorHAnsi"/>
        </w:rPr>
        <w:t>ST</w:t>
      </w:r>
      <w:r w:rsidRPr="00A23FB4">
        <w:rPr>
          <w:rFonts w:asciiTheme="minorHAnsi" w:hAnsiTheme="minorHAnsi" w:cstheme="minorHAnsi"/>
        </w:rPr>
        <w:t>WiORB nie rozróżnia się tego podziału.</w:t>
      </w:r>
    </w:p>
    <w:p w14:paraId="3092FB3B" w14:textId="77777777" w:rsidR="00C9677E" w:rsidRPr="00A23FB4" w:rsidRDefault="00C9677E" w:rsidP="00C9677E">
      <w:pPr>
        <w:spacing w:before="120" w:after="120"/>
        <w:rPr>
          <w:rFonts w:asciiTheme="minorHAnsi" w:hAnsiTheme="minorHAnsi" w:cstheme="minorHAnsi"/>
        </w:rPr>
      </w:pPr>
      <w:r w:rsidRPr="00A23FB4">
        <w:rPr>
          <w:rFonts w:asciiTheme="minorHAnsi" w:hAnsiTheme="minorHAnsi" w:cstheme="minorHAnsi"/>
          <w:b/>
        </w:rPr>
        <w:t xml:space="preserve">5.4.2. </w:t>
      </w:r>
      <w:r w:rsidRPr="00A23FB4">
        <w:rPr>
          <w:rFonts w:asciiTheme="minorHAnsi" w:hAnsiTheme="minorHAnsi" w:cstheme="minorHAnsi"/>
        </w:rPr>
        <w:t>Stosowane typy kabli</w:t>
      </w:r>
    </w:p>
    <w:p w14:paraId="11BCD1AA"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Typy kabli podaje się w punkcie 2.4.6.</w:t>
      </w:r>
    </w:p>
    <w:p w14:paraId="13C42853" w14:textId="77777777" w:rsidR="00C9677E" w:rsidRPr="00A23FB4" w:rsidRDefault="00C9677E" w:rsidP="00262498">
      <w:pPr>
        <w:numPr>
          <w:ilvl w:val="0"/>
          <w:numId w:val="126"/>
        </w:numPr>
        <w:spacing w:before="120" w:after="120"/>
        <w:ind w:left="284" w:hanging="284"/>
        <w:rPr>
          <w:rFonts w:asciiTheme="minorHAnsi" w:hAnsiTheme="minorHAnsi" w:cstheme="minorHAnsi"/>
        </w:rPr>
      </w:pPr>
      <w:r w:rsidRPr="00A23FB4">
        <w:rPr>
          <w:rFonts w:asciiTheme="minorHAnsi" w:hAnsiTheme="minorHAnsi" w:cstheme="minorHAnsi"/>
        </w:rPr>
        <w:t>Wybór trasy linii kablowej</w:t>
      </w:r>
    </w:p>
    <w:p w14:paraId="674BA927" w14:textId="77777777" w:rsidR="00C9677E" w:rsidRPr="00A23FB4" w:rsidRDefault="00C9677E" w:rsidP="00262498">
      <w:pPr>
        <w:numPr>
          <w:ilvl w:val="0"/>
          <w:numId w:val="127"/>
        </w:numPr>
        <w:spacing w:after="120"/>
        <w:ind w:left="284" w:hanging="284"/>
        <w:rPr>
          <w:rFonts w:asciiTheme="minorHAnsi" w:hAnsiTheme="minorHAnsi" w:cstheme="minorHAnsi"/>
        </w:rPr>
      </w:pPr>
      <w:r w:rsidRPr="00A23FB4">
        <w:rPr>
          <w:rFonts w:asciiTheme="minorHAnsi" w:hAnsiTheme="minorHAnsi" w:cstheme="minorHAnsi"/>
        </w:rPr>
        <w:t>Usytuowanie linii kablowej wzdłuż dróg</w:t>
      </w:r>
    </w:p>
    <w:p w14:paraId="5CA5356D"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Trasa przebiegu linii kablowej wzdłuż dróg powinna być usytuowana poza pasem drogowym w odległości co najmniej 1 m od jego granicy.</w:t>
      </w:r>
    </w:p>
    <w:p w14:paraId="48FF84E4"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Na odcinkach dróg przechodzących przez tereny zabudowane, zalesione, zalewowe i bagniste lub zajęte przez różne obiekty nie pozwalające na dotrzymanie wymagań zbliżeń i skrzyżowań, dopuszcza się usytuowanie kabla odpowiednio w pasie drogowym:</w:t>
      </w:r>
    </w:p>
    <w:p w14:paraId="0D9A070F" w14:textId="77777777" w:rsidR="00C9677E" w:rsidRPr="00A23FB4" w:rsidRDefault="00C9677E" w:rsidP="00262498">
      <w:pPr>
        <w:numPr>
          <w:ilvl w:val="0"/>
          <w:numId w:val="104"/>
        </w:numPr>
        <w:rPr>
          <w:rFonts w:asciiTheme="minorHAnsi" w:hAnsiTheme="minorHAnsi" w:cstheme="minorHAnsi"/>
          <w:b/>
        </w:rPr>
      </w:pPr>
      <w:r w:rsidRPr="00A23FB4">
        <w:rPr>
          <w:rFonts w:asciiTheme="minorHAnsi" w:hAnsiTheme="minorHAnsi" w:cstheme="minorHAnsi"/>
        </w:rPr>
        <w:t>w koronie drogi na poboczu jezdni, na terenach bezpośrednio zabudowanych bez odcinków lub terenów zalewowo-bagnistych,</w:t>
      </w:r>
    </w:p>
    <w:p w14:paraId="690D70F6" w14:textId="77777777" w:rsidR="00C9677E" w:rsidRPr="00A23FB4" w:rsidRDefault="00C9677E" w:rsidP="00262498">
      <w:pPr>
        <w:numPr>
          <w:ilvl w:val="0"/>
          <w:numId w:val="104"/>
        </w:numPr>
        <w:rPr>
          <w:rFonts w:asciiTheme="minorHAnsi" w:hAnsiTheme="minorHAnsi" w:cstheme="minorHAnsi"/>
          <w:b/>
        </w:rPr>
      </w:pPr>
      <w:r w:rsidRPr="00A23FB4">
        <w:rPr>
          <w:rFonts w:asciiTheme="minorHAnsi" w:hAnsiTheme="minorHAnsi" w:cstheme="minorHAnsi"/>
        </w:rPr>
        <w:t>poza koroną drogi - w przypadkach, gdy poza pasem drogowym istnieją tereny zalesione lub zadrzewione,</w:t>
      </w:r>
    </w:p>
    <w:p w14:paraId="43B37525" w14:textId="77777777" w:rsidR="00C9677E" w:rsidRPr="00A23FB4" w:rsidRDefault="00C9677E" w:rsidP="00262498">
      <w:pPr>
        <w:numPr>
          <w:ilvl w:val="0"/>
          <w:numId w:val="104"/>
        </w:numPr>
        <w:rPr>
          <w:rFonts w:asciiTheme="minorHAnsi" w:hAnsiTheme="minorHAnsi" w:cstheme="minorHAnsi"/>
          <w:b/>
        </w:rPr>
      </w:pPr>
      <w:r w:rsidRPr="00A23FB4">
        <w:rPr>
          <w:rFonts w:asciiTheme="minorHAnsi" w:hAnsiTheme="minorHAnsi" w:cstheme="minorHAnsi"/>
        </w:rPr>
        <w:t>w koronie drogi na poboczu za zgodą zarządu drogi.</w:t>
      </w:r>
    </w:p>
    <w:p w14:paraId="56A1D5DF"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Odległość ułożonego kabla od istniejącego lub projektowanego zadrzewienia drogowego powinna wynosić co najmniej 2 m licząc od lica pni drzew.</w:t>
      </w:r>
    </w:p>
    <w:p w14:paraId="1996A627"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Odcinki instalacyjne kabli powinny być tak ułożone, aby złącza kablowe i skrzynie pupinizacyjne były usytuowane w miejscach zapewniających trwałe poziome ich położenie.</w:t>
      </w:r>
    </w:p>
    <w:p w14:paraId="4370ED5A" w14:textId="77777777" w:rsidR="00C9677E" w:rsidRPr="00A23FB4" w:rsidRDefault="00C9677E" w:rsidP="00262498">
      <w:pPr>
        <w:numPr>
          <w:ilvl w:val="0"/>
          <w:numId w:val="128"/>
        </w:numPr>
        <w:spacing w:before="120" w:after="120"/>
        <w:ind w:left="284" w:hanging="284"/>
        <w:rPr>
          <w:rFonts w:asciiTheme="minorHAnsi" w:hAnsiTheme="minorHAnsi" w:cstheme="minorHAnsi"/>
        </w:rPr>
      </w:pPr>
      <w:r w:rsidRPr="00A23FB4">
        <w:rPr>
          <w:rFonts w:asciiTheme="minorHAnsi" w:hAnsiTheme="minorHAnsi" w:cstheme="minorHAnsi"/>
        </w:rPr>
        <w:t>Dobór osłon złączowych i muf</w:t>
      </w:r>
    </w:p>
    <w:p w14:paraId="5E4E5E99"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 xml:space="preserve">Osłony złączowe i mufy powinny być zgodne z dokumentacją projektową i </w:t>
      </w:r>
      <w:r w:rsidR="00824125" w:rsidRPr="00A23FB4">
        <w:rPr>
          <w:rFonts w:asciiTheme="minorHAnsi" w:hAnsiTheme="minorHAnsi" w:cstheme="minorHAnsi"/>
        </w:rPr>
        <w:t>wytycznymi</w:t>
      </w:r>
      <w:r w:rsidRPr="00A23FB4">
        <w:rPr>
          <w:rFonts w:asciiTheme="minorHAnsi" w:hAnsiTheme="minorHAnsi" w:cstheme="minorHAnsi"/>
        </w:rPr>
        <w:t xml:space="preserve"> oraz dostosowane do typu kabla, średnic i liczby żył oraz średnicy zewnętrznej kabla, jak również warunków środowiskowych.</w:t>
      </w:r>
    </w:p>
    <w:p w14:paraId="7F9009AA" w14:textId="77777777" w:rsidR="00C9677E" w:rsidRPr="00A23FB4" w:rsidRDefault="00C9677E" w:rsidP="00262498">
      <w:pPr>
        <w:numPr>
          <w:ilvl w:val="0"/>
          <w:numId w:val="129"/>
        </w:numPr>
        <w:spacing w:before="120" w:after="120"/>
        <w:ind w:left="284" w:hanging="284"/>
        <w:rPr>
          <w:rFonts w:asciiTheme="minorHAnsi" w:hAnsiTheme="minorHAnsi" w:cstheme="minorHAnsi"/>
        </w:rPr>
      </w:pPr>
      <w:r w:rsidRPr="00A23FB4">
        <w:rPr>
          <w:rFonts w:asciiTheme="minorHAnsi" w:hAnsiTheme="minorHAnsi" w:cstheme="minorHAnsi"/>
        </w:rPr>
        <w:t>Odcinki pupinizacyjne</w:t>
      </w:r>
    </w:p>
    <w:p w14:paraId="53CFC926"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Nominalna długość odcinka pupinizacyjnego powinna wynosić 1700 m ± 2%. Długość ta powinna być jednakowa dla całej linii, z dopuszczalną różnicą między sąsiednimi odcinkami pupinizacyjnymi ± 10 m.</w:t>
      </w:r>
    </w:p>
    <w:p w14:paraId="6564A386" w14:textId="77777777" w:rsidR="00C9677E" w:rsidRPr="00A23FB4" w:rsidRDefault="00C9677E" w:rsidP="00262498">
      <w:pPr>
        <w:numPr>
          <w:ilvl w:val="0"/>
          <w:numId w:val="130"/>
        </w:numPr>
        <w:spacing w:before="120" w:after="120"/>
        <w:ind w:left="284" w:hanging="284"/>
        <w:rPr>
          <w:rFonts w:asciiTheme="minorHAnsi" w:hAnsiTheme="minorHAnsi" w:cstheme="minorHAnsi"/>
        </w:rPr>
      </w:pPr>
      <w:r w:rsidRPr="00A23FB4">
        <w:rPr>
          <w:rFonts w:asciiTheme="minorHAnsi" w:hAnsiTheme="minorHAnsi" w:cstheme="minorHAnsi"/>
        </w:rPr>
        <w:t>Układanie kabli w ziemi</w:t>
      </w:r>
    </w:p>
    <w:p w14:paraId="60E23B05" w14:textId="77777777" w:rsidR="00C9677E" w:rsidRPr="00A23FB4" w:rsidRDefault="00C9677E" w:rsidP="00262498">
      <w:pPr>
        <w:numPr>
          <w:ilvl w:val="0"/>
          <w:numId w:val="131"/>
        </w:numPr>
        <w:spacing w:after="120"/>
        <w:ind w:left="284" w:hanging="284"/>
        <w:rPr>
          <w:rFonts w:asciiTheme="minorHAnsi" w:hAnsiTheme="minorHAnsi" w:cstheme="minorHAnsi"/>
        </w:rPr>
      </w:pPr>
      <w:r w:rsidRPr="00A23FB4">
        <w:rPr>
          <w:rFonts w:asciiTheme="minorHAnsi" w:hAnsiTheme="minorHAnsi" w:cstheme="minorHAnsi"/>
        </w:rPr>
        <w:t>Wymagania ogólne</w:t>
      </w:r>
    </w:p>
    <w:p w14:paraId="61FF2BDF"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Odcinki kabli mogą być układane ręcznie lub za pomocą maszyn. Zastosowana technologia układania kabli w ziemi powinna zapewnić właściwe ułożenie kabli.</w:t>
      </w:r>
    </w:p>
    <w:p w14:paraId="1542E9EC"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Kable w ziemi powinny być układane bez naprężeń z falowaniem 0,3% długości.</w:t>
      </w:r>
    </w:p>
    <w:p w14:paraId="4314C964"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Przy zmianie kierunku trasy linii kablowej promień gięcia kabla nie może być mniejszy od:</w:t>
      </w:r>
    </w:p>
    <w:p w14:paraId="0F7EE62F" w14:textId="77777777" w:rsidR="00C9677E" w:rsidRPr="00A23FB4" w:rsidRDefault="00C9677E" w:rsidP="00262498">
      <w:pPr>
        <w:numPr>
          <w:ilvl w:val="0"/>
          <w:numId w:val="104"/>
        </w:numPr>
        <w:rPr>
          <w:rFonts w:asciiTheme="minorHAnsi" w:hAnsiTheme="minorHAnsi" w:cstheme="minorHAnsi"/>
        </w:rPr>
      </w:pPr>
      <w:r w:rsidRPr="00A23FB4">
        <w:rPr>
          <w:rFonts w:asciiTheme="minorHAnsi" w:hAnsiTheme="minorHAnsi" w:cstheme="minorHAnsi"/>
        </w:rPr>
        <w:t>20-krotnej średnicy zewnętrznej - w przypadku kabli współosiowych,</w:t>
      </w:r>
    </w:p>
    <w:p w14:paraId="12515F49" w14:textId="77777777" w:rsidR="00C9677E" w:rsidRPr="00A23FB4" w:rsidRDefault="00C9677E" w:rsidP="00262498">
      <w:pPr>
        <w:numPr>
          <w:ilvl w:val="0"/>
          <w:numId w:val="104"/>
        </w:numPr>
        <w:rPr>
          <w:rFonts w:asciiTheme="minorHAnsi" w:hAnsiTheme="minorHAnsi" w:cstheme="minorHAnsi"/>
        </w:rPr>
      </w:pPr>
      <w:r w:rsidRPr="00A23FB4">
        <w:rPr>
          <w:rFonts w:asciiTheme="minorHAnsi" w:hAnsiTheme="minorHAnsi" w:cstheme="minorHAnsi"/>
        </w:rPr>
        <w:t>16-krotnej średnicy zewnętrznej - w przypadku kabli symetrycznych z żyłami z izolacją polistyrenowo-powietrzną,</w:t>
      </w:r>
    </w:p>
    <w:p w14:paraId="56C12E90" w14:textId="77777777" w:rsidR="00C9677E" w:rsidRPr="00A23FB4" w:rsidRDefault="00C9677E" w:rsidP="00262498">
      <w:pPr>
        <w:numPr>
          <w:ilvl w:val="0"/>
          <w:numId w:val="104"/>
        </w:numPr>
        <w:rPr>
          <w:rFonts w:asciiTheme="minorHAnsi" w:hAnsiTheme="minorHAnsi" w:cstheme="minorHAnsi"/>
        </w:rPr>
      </w:pPr>
      <w:r w:rsidRPr="00A23FB4">
        <w:rPr>
          <w:rFonts w:asciiTheme="minorHAnsi" w:hAnsiTheme="minorHAnsi" w:cstheme="minorHAnsi"/>
        </w:rPr>
        <w:t>13-krotnej średnicy zewnętrznej - w przypadku kabli symetrycznych z powłoką ołowianą.</w:t>
      </w:r>
    </w:p>
    <w:p w14:paraId="4C24293F" w14:textId="77777777" w:rsidR="00C9677E" w:rsidRPr="00A23FB4" w:rsidRDefault="00C9677E" w:rsidP="00262498">
      <w:pPr>
        <w:numPr>
          <w:ilvl w:val="0"/>
          <w:numId w:val="132"/>
        </w:numPr>
        <w:spacing w:before="120" w:after="120"/>
        <w:ind w:left="284" w:hanging="284"/>
        <w:rPr>
          <w:rFonts w:asciiTheme="minorHAnsi" w:hAnsiTheme="minorHAnsi" w:cstheme="minorHAnsi"/>
        </w:rPr>
      </w:pPr>
      <w:r w:rsidRPr="00A23FB4">
        <w:rPr>
          <w:rFonts w:asciiTheme="minorHAnsi" w:hAnsiTheme="minorHAnsi" w:cstheme="minorHAnsi"/>
        </w:rPr>
        <w:t>Głębokość układania kabli</w:t>
      </w:r>
    </w:p>
    <w:p w14:paraId="224F350C"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Głębokość ułożenia kabla w ziemi mierzona od dolnej powierzchni kabla ułożonego na dnie rowu powinna wynosić:</w:t>
      </w:r>
    </w:p>
    <w:p w14:paraId="53B2DB0F" w14:textId="77777777" w:rsidR="00C9677E" w:rsidRPr="00A23FB4" w:rsidRDefault="00C9677E" w:rsidP="00262498">
      <w:pPr>
        <w:numPr>
          <w:ilvl w:val="0"/>
          <w:numId w:val="104"/>
        </w:numPr>
        <w:rPr>
          <w:rFonts w:asciiTheme="minorHAnsi" w:hAnsiTheme="minorHAnsi" w:cstheme="minorHAnsi"/>
        </w:rPr>
      </w:pPr>
      <w:r w:rsidRPr="00A23FB4">
        <w:rPr>
          <w:rFonts w:asciiTheme="minorHAnsi" w:hAnsiTheme="minorHAnsi" w:cstheme="minorHAnsi"/>
        </w:rPr>
        <w:t>1 m - dla kabli z torami współosiowymi oraz symetrycznymi dla systemów 60-krotnych      i wyższych,</w:t>
      </w:r>
    </w:p>
    <w:p w14:paraId="0F8AB627" w14:textId="77777777" w:rsidR="00C9677E" w:rsidRPr="00A23FB4" w:rsidRDefault="00C9677E" w:rsidP="00262498">
      <w:pPr>
        <w:numPr>
          <w:ilvl w:val="0"/>
          <w:numId w:val="104"/>
        </w:numPr>
        <w:rPr>
          <w:rFonts w:asciiTheme="minorHAnsi" w:hAnsiTheme="minorHAnsi" w:cstheme="minorHAnsi"/>
        </w:rPr>
      </w:pPr>
      <w:r w:rsidRPr="00A23FB4">
        <w:rPr>
          <w:rFonts w:asciiTheme="minorHAnsi" w:hAnsiTheme="minorHAnsi" w:cstheme="minorHAnsi"/>
        </w:rPr>
        <w:t>0,8 m - dla pozostałych kabli symetrycznych.</w:t>
      </w:r>
    </w:p>
    <w:p w14:paraId="577AB8A1" w14:textId="77777777" w:rsidR="00C9677E" w:rsidRPr="00A23FB4" w:rsidRDefault="00C9677E" w:rsidP="00262498">
      <w:pPr>
        <w:numPr>
          <w:ilvl w:val="0"/>
          <w:numId w:val="133"/>
        </w:numPr>
        <w:spacing w:before="120" w:after="120"/>
        <w:ind w:left="284" w:hanging="284"/>
        <w:rPr>
          <w:rFonts w:asciiTheme="minorHAnsi" w:hAnsiTheme="minorHAnsi" w:cstheme="minorHAnsi"/>
        </w:rPr>
      </w:pPr>
      <w:r w:rsidRPr="00A23FB4">
        <w:rPr>
          <w:rFonts w:asciiTheme="minorHAnsi" w:hAnsiTheme="minorHAnsi" w:cstheme="minorHAnsi"/>
        </w:rPr>
        <w:t>Zapasy kabli</w:t>
      </w:r>
    </w:p>
    <w:p w14:paraId="1A09D6C0"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W czasie układania kabli należy pozostawić następujące zapasy kabli:</w:t>
      </w:r>
    </w:p>
    <w:p w14:paraId="06804A90" w14:textId="77777777" w:rsidR="00C9677E" w:rsidRPr="00A23FB4" w:rsidRDefault="00C9677E" w:rsidP="00262498">
      <w:pPr>
        <w:numPr>
          <w:ilvl w:val="0"/>
          <w:numId w:val="104"/>
        </w:numPr>
        <w:rPr>
          <w:rFonts w:asciiTheme="minorHAnsi" w:hAnsiTheme="minorHAnsi" w:cstheme="minorHAnsi"/>
          <w:b/>
        </w:rPr>
      </w:pPr>
      <w:r w:rsidRPr="00A23FB4">
        <w:rPr>
          <w:rFonts w:asciiTheme="minorHAnsi" w:hAnsiTheme="minorHAnsi" w:cstheme="minorHAnsi"/>
        </w:rPr>
        <w:t>w miejscach styku dwóch odcinków fabrykacyjnych; końcówki kabli dla wykonania złącza powinny zachodzić na siebie na długość 1,5 m,</w:t>
      </w:r>
    </w:p>
    <w:p w14:paraId="02B91C61" w14:textId="77777777" w:rsidR="00C9677E" w:rsidRPr="00A23FB4" w:rsidRDefault="00C9677E" w:rsidP="00262498">
      <w:pPr>
        <w:numPr>
          <w:ilvl w:val="0"/>
          <w:numId w:val="104"/>
        </w:numPr>
        <w:rPr>
          <w:rFonts w:asciiTheme="minorHAnsi" w:hAnsiTheme="minorHAnsi" w:cstheme="minorHAnsi"/>
          <w:b/>
        </w:rPr>
      </w:pPr>
      <w:r w:rsidRPr="00A23FB4">
        <w:rPr>
          <w:rFonts w:asciiTheme="minorHAnsi" w:hAnsiTheme="minorHAnsi" w:cstheme="minorHAnsi"/>
        </w:rPr>
        <w:t>przy złączach na kablach symetrycznych należy przewidzieć zapasy po 0,3 m z każdej strony złącza,</w:t>
      </w:r>
    </w:p>
    <w:p w14:paraId="12827335" w14:textId="77777777" w:rsidR="00C9677E" w:rsidRPr="00A23FB4" w:rsidRDefault="00C9677E" w:rsidP="00262498">
      <w:pPr>
        <w:numPr>
          <w:ilvl w:val="0"/>
          <w:numId w:val="104"/>
        </w:numPr>
        <w:rPr>
          <w:rFonts w:asciiTheme="minorHAnsi" w:hAnsiTheme="minorHAnsi" w:cstheme="minorHAnsi"/>
          <w:b/>
        </w:rPr>
      </w:pPr>
      <w:r w:rsidRPr="00A23FB4">
        <w:rPr>
          <w:rFonts w:asciiTheme="minorHAnsi" w:hAnsiTheme="minorHAnsi" w:cstheme="minorHAnsi"/>
        </w:rPr>
        <w:t>przy złączach na kablach współosiowych należy przewidzieć zapasy po 0,5 m z każdej strony złącza,</w:t>
      </w:r>
    </w:p>
    <w:p w14:paraId="318A740D" w14:textId="77777777" w:rsidR="00C9677E" w:rsidRPr="00A23FB4" w:rsidRDefault="00C9677E" w:rsidP="00262498">
      <w:pPr>
        <w:numPr>
          <w:ilvl w:val="0"/>
          <w:numId w:val="104"/>
        </w:numPr>
        <w:rPr>
          <w:rFonts w:asciiTheme="minorHAnsi" w:hAnsiTheme="minorHAnsi" w:cstheme="minorHAnsi"/>
          <w:b/>
        </w:rPr>
      </w:pPr>
      <w:r w:rsidRPr="00A23FB4">
        <w:rPr>
          <w:rFonts w:asciiTheme="minorHAnsi" w:hAnsiTheme="minorHAnsi" w:cstheme="minorHAnsi"/>
        </w:rPr>
        <w:t>przy skrzyniach pupinizacyjnych należy przewidzieć ułożenie zapasów po 1,5 m z każdej strony skrzyni.</w:t>
      </w:r>
    </w:p>
    <w:p w14:paraId="2792DF41" w14:textId="77777777" w:rsidR="00C9677E" w:rsidRPr="00A23FB4" w:rsidRDefault="00C9677E" w:rsidP="00262498">
      <w:pPr>
        <w:numPr>
          <w:ilvl w:val="0"/>
          <w:numId w:val="134"/>
        </w:numPr>
        <w:spacing w:before="120" w:after="120"/>
        <w:ind w:left="284" w:hanging="284"/>
        <w:rPr>
          <w:rFonts w:asciiTheme="minorHAnsi" w:hAnsiTheme="minorHAnsi" w:cstheme="minorHAnsi"/>
        </w:rPr>
      </w:pPr>
      <w:r w:rsidRPr="00A23FB4">
        <w:rPr>
          <w:rFonts w:asciiTheme="minorHAnsi" w:hAnsiTheme="minorHAnsi" w:cstheme="minorHAnsi"/>
        </w:rPr>
        <w:t>Oznaczenie przebiegu kabla</w:t>
      </w:r>
    </w:p>
    <w:p w14:paraId="488B93DC"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W dokumentacji powykonawczej linii kablowej powinny być zwymiarowane wzdłużnie i poprzecznie:</w:t>
      </w:r>
    </w:p>
    <w:p w14:paraId="2DB43132" w14:textId="77777777" w:rsidR="00C9677E" w:rsidRPr="00A23FB4" w:rsidRDefault="00C9677E" w:rsidP="00262498">
      <w:pPr>
        <w:numPr>
          <w:ilvl w:val="0"/>
          <w:numId w:val="104"/>
        </w:numPr>
        <w:rPr>
          <w:rFonts w:asciiTheme="minorHAnsi" w:hAnsiTheme="minorHAnsi" w:cstheme="minorHAnsi"/>
          <w:b/>
        </w:rPr>
      </w:pPr>
      <w:r w:rsidRPr="00A23FB4">
        <w:rPr>
          <w:rFonts w:asciiTheme="minorHAnsi" w:hAnsiTheme="minorHAnsi" w:cstheme="minorHAnsi"/>
        </w:rPr>
        <w:t>przebieg kabla,</w:t>
      </w:r>
    </w:p>
    <w:p w14:paraId="74D00F92" w14:textId="77777777" w:rsidR="00C9677E" w:rsidRPr="00A23FB4" w:rsidRDefault="00C9677E" w:rsidP="00262498">
      <w:pPr>
        <w:numPr>
          <w:ilvl w:val="0"/>
          <w:numId w:val="104"/>
        </w:numPr>
        <w:rPr>
          <w:rFonts w:asciiTheme="minorHAnsi" w:hAnsiTheme="minorHAnsi" w:cstheme="minorHAnsi"/>
          <w:b/>
        </w:rPr>
      </w:pPr>
      <w:r w:rsidRPr="00A23FB4">
        <w:rPr>
          <w:rFonts w:asciiTheme="minorHAnsi" w:hAnsiTheme="minorHAnsi" w:cstheme="minorHAnsi"/>
        </w:rPr>
        <w:t>położenie złączy, skrzyń pupinizacyjnych, stacji wzmacniakowych, przepustów dla kabla oraz zapasów kabla.</w:t>
      </w:r>
    </w:p>
    <w:p w14:paraId="6CF24E05"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Domiarowanie powinno być wykonane do istniejących w terenie obiektów stałych lub do słupków oznaczeniowych ustawionych w czasie budowy linii kablowej. Należy stosować słupki oznaczeniowe (SO) lub oznaczeniowo-pomiarowe wg BN-74/3233-17.</w:t>
      </w:r>
    </w:p>
    <w:p w14:paraId="26A80AEE" w14:textId="77777777" w:rsidR="00C9677E" w:rsidRPr="00A23FB4" w:rsidRDefault="00C9677E" w:rsidP="00262498">
      <w:pPr>
        <w:numPr>
          <w:ilvl w:val="0"/>
          <w:numId w:val="135"/>
        </w:numPr>
        <w:spacing w:before="120" w:after="120"/>
        <w:ind w:left="284" w:hanging="284"/>
        <w:rPr>
          <w:rFonts w:asciiTheme="minorHAnsi" w:hAnsiTheme="minorHAnsi" w:cstheme="minorHAnsi"/>
        </w:rPr>
      </w:pPr>
      <w:r w:rsidRPr="00A23FB4">
        <w:rPr>
          <w:rFonts w:asciiTheme="minorHAnsi" w:hAnsiTheme="minorHAnsi" w:cstheme="minorHAnsi"/>
        </w:rPr>
        <w:t>Układanie kabli w kanalizacji kablowej</w:t>
      </w:r>
    </w:p>
    <w:p w14:paraId="17B822B5" w14:textId="77777777" w:rsidR="00C9677E" w:rsidRPr="00A23FB4" w:rsidRDefault="00C9677E" w:rsidP="00262498">
      <w:pPr>
        <w:numPr>
          <w:ilvl w:val="0"/>
          <w:numId w:val="136"/>
        </w:numPr>
        <w:spacing w:after="120"/>
        <w:ind w:left="284" w:hanging="284"/>
        <w:rPr>
          <w:rFonts w:asciiTheme="minorHAnsi" w:hAnsiTheme="minorHAnsi" w:cstheme="minorHAnsi"/>
        </w:rPr>
      </w:pPr>
      <w:r w:rsidRPr="00A23FB4">
        <w:rPr>
          <w:rFonts w:asciiTheme="minorHAnsi" w:hAnsiTheme="minorHAnsi" w:cstheme="minorHAnsi"/>
        </w:rPr>
        <w:t>Odcinki instalacyjne</w:t>
      </w:r>
    </w:p>
    <w:p w14:paraId="0E182FDB"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Odcinki instalacyjne kabli powinny być zgodne z dokumentacją projektową.</w:t>
      </w:r>
    </w:p>
    <w:p w14:paraId="50F09D94" w14:textId="77777777" w:rsidR="00C9677E" w:rsidRPr="00A23FB4" w:rsidRDefault="00C9677E" w:rsidP="00262498">
      <w:pPr>
        <w:numPr>
          <w:ilvl w:val="0"/>
          <w:numId w:val="137"/>
        </w:numPr>
        <w:spacing w:before="120" w:after="120"/>
        <w:ind w:left="284" w:hanging="284"/>
        <w:rPr>
          <w:rFonts w:asciiTheme="minorHAnsi" w:hAnsiTheme="minorHAnsi" w:cstheme="minorHAnsi"/>
        </w:rPr>
      </w:pPr>
      <w:r w:rsidRPr="00A23FB4">
        <w:rPr>
          <w:rFonts w:asciiTheme="minorHAnsi" w:hAnsiTheme="minorHAnsi" w:cstheme="minorHAnsi"/>
        </w:rPr>
        <w:t>Znakowanie kabli</w:t>
      </w:r>
    </w:p>
    <w:p w14:paraId="39DA195F"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Kable w studniach kablowych powinny być oznaczone opaskami kablowymi wg BN-78/3233-13 [24] zawierającymi numer kabla.</w:t>
      </w:r>
    </w:p>
    <w:p w14:paraId="7F0C2CD9" w14:textId="77777777" w:rsidR="00C9677E" w:rsidRPr="00A23FB4" w:rsidRDefault="00C9677E" w:rsidP="00262498">
      <w:pPr>
        <w:numPr>
          <w:ilvl w:val="0"/>
          <w:numId w:val="138"/>
        </w:numPr>
        <w:spacing w:before="120" w:after="120"/>
        <w:ind w:left="284" w:hanging="284"/>
        <w:rPr>
          <w:rFonts w:asciiTheme="minorHAnsi" w:hAnsiTheme="minorHAnsi" w:cstheme="minorHAnsi"/>
        </w:rPr>
      </w:pPr>
      <w:r w:rsidRPr="00A23FB4">
        <w:rPr>
          <w:rFonts w:asciiTheme="minorHAnsi" w:hAnsiTheme="minorHAnsi" w:cstheme="minorHAnsi"/>
        </w:rPr>
        <w:t>Skrzyżowania i zbliżenia</w:t>
      </w:r>
    </w:p>
    <w:p w14:paraId="11216AC9" w14:textId="77777777" w:rsidR="00C9677E" w:rsidRPr="00A23FB4" w:rsidRDefault="00C9677E" w:rsidP="00262498">
      <w:pPr>
        <w:numPr>
          <w:ilvl w:val="0"/>
          <w:numId w:val="139"/>
        </w:numPr>
        <w:spacing w:after="120"/>
        <w:ind w:left="284" w:hanging="284"/>
        <w:rPr>
          <w:rFonts w:asciiTheme="minorHAnsi" w:hAnsiTheme="minorHAnsi" w:cstheme="minorHAnsi"/>
        </w:rPr>
      </w:pPr>
      <w:r w:rsidRPr="00A23FB4">
        <w:rPr>
          <w:rFonts w:asciiTheme="minorHAnsi" w:hAnsiTheme="minorHAnsi" w:cstheme="minorHAnsi"/>
        </w:rPr>
        <w:t>Wymagania ogólne</w:t>
      </w:r>
    </w:p>
    <w:p w14:paraId="4A0A4E80" w14:textId="77777777" w:rsidR="00C9677E" w:rsidRPr="00A23FB4" w:rsidRDefault="00C9677E" w:rsidP="00C9677E">
      <w:pPr>
        <w:rPr>
          <w:rFonts w:asciiTheme="minorHAnsi" w:hAnsiTheme="minorHAnsi" w:cstheme="minorHAnsi"/>
          <w:b/>
        </w:rPr>
      </w:pPr>
      <w:r w:rsidRPr="00A23FB4">
        <w:rPr>
          <w:rFonts w:asciiTheme="minorHAnsi" w:hAnsiTheme="minorHAnsi" w:cstheme="minorHAnsi"/>
        </w:rPr>
        <w:t>Przebieg linii kablowej powinien  być wykonany tak, aby liczba miejsc kolizyjnych z innymi urządzeniami była jak najmniejsza.</w:t>
      </w:r>
    </w:p>
    <w:p w14:paraId="08726829"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Skrzyżowanie kabli z drogami powinno być pod kątem 90</w:t>
      </w:r>
      <w:r w:rsidRPr="00A23FB4">
        <w:rPr>
          <w:rFonts w:asciiTheme="minorHAnsi" w:hAnsiTheme="minorHAnsi" w:cstheme="minorHAnsi"/>
          <w:vertAlign w:val="superscript"/>
        </w:rPr>
        <w:t>o</w:t>
      </w:r>
      <w:r w:rsidRPr="00A23FB4">
        <w:rPr>
          <w:rFonts w:asciiTheme="minorHAnsi" w:hAnsiTheme="minorHAnsi" w:cstheme="minorHAnsi"/>
        </w:rPr>
        <w:t xml:space="preserve"> z dopuszczalną odchyłką do 15</w:t>
      </w:r>
      <w:r w:rsidRPr="00A23FB4">
        <w:rPr>
          <w:rFonts w:asciiTheme="minorHAnsi" w:hAnsiTheme="minorHAnsi" w:cstheme="minorHAnsi"/>
          <w:vertAlign w:val="superscript"/>
        </w:rPr>
        <w:t>o</w:t>
      </w:r>
      <w:r w:rsidRPr="00A23FB4">
        <w:rPr>
          <w:rFonts w:asciiTheme="minorHAnsi" w:hAnsiTheme="minorHAnsi" w:cstheme="minorHAnsi"/>
        </w:rPr>
        <w:t>.</w:t>
      </w:r>
    </w:p>
    <w:p w14:paraId="28129056" w14:textId="77777777" w:rsidR="00C9677E" w:rsidRPr="00A23FB4" w:rsidRDefault="00C9677E" w:rsidP="00262498">
      <w:pPr>
        <w:numPr>
          <w:ilvl w:val="0"/>
          <w:numId w:val="140"/>
        </w:numPr>
        <w:spacing w:before="120" w:after="120"/>
        <w:ind w:left="284" w:hanging="284"/>
        <w:rPr>
          <w:rFonts w:asciiTheme="minorHAnsi" w:hAnsiTheme="minorHAnsi" w:cstheme="minorHAnsi"/>
        </w:rPr>
      </w:pPr>
      <w:r w:rsidRPr="00A23FB4">
        <w:rPr>
          <w:rFonts w:asciiTheme="minorHAnsi" w:hAnsiTheme="minorHAnsi" w:cstheme="minorHAnsi"/>
        </w:rPr>
        <w:t>Skrzyżowania i zbliżenia z drogami</w:t>
      </w:r>
    </w:p>
    <w:p w14:paraId="6B3809DB"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Na skrzyżowaniach z drogami kable powinny być ułożone w kanalizacji kablowej lub też w rurach ochronnych stalowych, betonowych lub grubościennych z PCW ułożonych zgodnie z wymaganiami wg BN-73/8984-05.</w:t>
      </w:r>
    </w:p>
    <w:p w14:paraId="5FDF15DC"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Rury ochronne powinny być ułożone poziomo na całej szerokości drogi i co najmniej po 0,5 m poza krawędzie drogi. Przy każdym końcu rury ochronnej powinien być ułożony zapas kabla o długości co najmniej 1 m.</w:t>
      </w:r>
    </w:p>
    <w:p w14:paraId="0C568A24"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Rury ochronne powinny być układane na głębokości:</w:t>
      </w:r>
    </w:p>
    <w:p w14:paraId="6EFE4C29" w14:textId="77777777" w:rsidR="00C9677E" w:rsidRPr="00A23FB4" w:rsidRDefault="00C9677E" w:rsidP="00262498">
      <w:pPr>
        <w:numPr>
          <w:ilvl w:val="0"/>
          <w:numId w:val="104"/>
        </w:numPr>
        <w:ind w:left="328"/>
        <w:rPr>
          <w:rFonts w:asciiTheme="minorHAnsi" w:hAnsiTheme="minorHAnsi" w:cstheme="minorHAnsi"/>
        </w:rPr>
      </w:pPr>
      <w:r w:rsidRPr="00A23FB4">
        <w:rPr>
          <w:rFonts w:asciiTheme="minorHAnsi" w:hAnsiTheme="minorHAnsi" w:cstheme="minorHAnsi"/>
        </w:rPr>
        <w:t xml:space="preserve">co najmniej 1,0 m od górnej powierzchni dróg </w:t>
      </w:r>
    </w:p>
    <w:p w14:paraId="2CBCACDE" w14:textId="77777777" w:rsidR="00C9677E" w:rsidRPr="00A23FB4" w:rsidRDefault="00C9677E" w:rsidP="00262498">
      <w:pPr>
        <w:numPr>
          <w:ilvl w:val="0"/>
          <w:numId w:val="104"/>
        </w:numPr>
        <w:ind w:left="328"/>
        <w:rPr>
          <w:rFonts w:asciiTheme="minorHAnsi" w:hAnsiTheme="minorHAnsi" w:cstheme="minorHAnsi"/>
        </w:rPr>
      </w:pPr>
      <w:r w:rsidRPr="00A23FB4">
        <w:rPr>
          <w:rFonts w:asciiTheme="minorHAnsi" w:hAnsiTheme="minorHAnsi" w:cstheme="minorHAnsi"/>
        </w:rPr>
        <w:t>co najmniej 0,5 m pod dnem rowu odwadniającego.</w:t>
      </w:r>
    </w:p>
    <w:p w14:paraId="5D4090BF"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W przypadku równoległego usytuowania trasy linii kablowej w pasie drogowym odległość kabla powinna wynosić co najmniej:</w:t>
      </w:r>
    </w:p>
    <w:p w14:paraId="10FDCFE6" w14:textId="77777777" w:rsidR="00C9677E" w:rsidRPr="00A23FB4" w:rsidRDefault="00C9677E" w:rsidP="00262498">
      <w:pPr>
        <w:numPr>
          <w:ilvl w:val="0"/>
          <w:numId w:val="104"/>
        </w:numPr>
        <w:rPr>
          <w:rFonts w:asciiTheme="minorHAnsi" w:hAnsiTheme="minorHAnsi" w:cstheme="minorHAnsi"/>
        </w:rPr>
      </w:pPr>
      <w:r w:rsidRPr="00A23FB4">
        <w:rPr>
          <w:rFonts w:asciiTheme="minorHAnsi" w:hAnsiTheme="minorHAnsi" w:cstheme="minorHAnsi"/>
        </w:rPr>
        <w:t>1 m od krawędzi rowu odwadniającego lub linii podstawy nasypu,</w:t>
      </w:r>
    </w:p>
    <w:p w14:paraId="741D5C3B" w14:textId="77777777" w:rsidR="00C9677E" w:rsidRPr="00A23FB4" w:rsidRDefault="00C9677E" w:rsidP="00262498">
      <w:pPr>
        <w:numPr>
          <w:ilvl w:val="0"/>
          <w:numId w:val="104"/>
        </w:numPr>
        <w:rPr>
          <w:rFonts w:asciiTheme="minorHAnsi" w:hAnsiTheme="minorHAnsi" w:cstheme="minorHAnsi"/>
        </w:rPr>
      </w:pPr>
      <w:r w:rsidRPr="00A23FB4">
        <w:rPr>
          <w:rFonts w:asciiTheme="minorHAnsi" w:hAnsiTheme="minorHAnsi" w:cstheme="minorHAnsi"/>
        </w:rPr>
        <w:t>1 m na zewnątrz od krawędzi jezdni, jeżeli istnieje konieczność usytuowania kabla w koronie drogi,</w:t>
      </w:r>
    </w:p>
    <w:p w14:paraId="25682DAF" w14:textId="77777777" w:rsidR="00C9677E" w:rsidRPr="00A23FB4" w:rsidRDefault="00C9677E" w:rsidP="00262498">
      <w:pPr>
        <w:numPr>
          <w:ilvl w:val="0"/>
          <w:numId w:val="104"/>
        </w:numPr>
        <w:rPr>
          <w:rFonts w:asciiTheme="minorHAnsi" w:hAnsiTheme="minorHAnsi" w:cstheme="minorHAnsi"/>
        </w:rPr>
      </w:pPr>
      <w:r w:rsidRPr="00A23FB4">
        <w:rPr>
          <w:rFonts w:asciiTheme="minorHAnsi" w:hAnsiTheme="minorHAnsi" w:cstheme="minorHAnsi"/>
        </w:rPr>
        <w:t>0,5 m od krawędzi jezdni, w chodniku lub pasie zieleni.</w:t>
      </w:r>
    </w:p>
    <w:p w14:paraId="28AD5BEE" w14:textId="77777777" w:rsidR="00C9677E" w:rsidRPr="00A23FB4" w:rsidRDefault="00C9677E" w:rsidP="00262498">
      <w:pPr>
        <w:numPr>
          <w:ilvl w:val="0"/>
          <w:numId w:val="141"/>
        </w:numPr>
        <w:spacing w:before="120" w:after="120"/>
        <w:ind w:left="284" w:hanging="284"/>
        <w:rPr>
          <w:rFonts w:asciiTheme="minorHAnsi" w:hAnsiTheme="minorHAnsi" w:cstheme="minorHAnsi"/>
        </w:rPr>
      </w:pPr>
      <w:r w:rsidRPr="00A23FB4">
        <w:rPr>
          <w:rFonts w:asciiTheme="minorHAnsi" w:hAnsiTheme="minorHAnsi" w:cstheme="minorHAnsi"/>
        </w:rPr>
        <w:t>Skrzyżowania i zbliżenia z rurociągami</w:t>
      </w:r>
    </w:p>
    <w:p w14:paraId="1DAC8CA2"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Przy skrzyżowaniu z rurociągami podziemnymi kable należy układać nad rurociągami w rurach ochronnych.</w:t>
      </w:r>
    </w:p>
    <w:p w14:paraId="7F9BEE27"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Długość rury powinna przekraczać o 1 m szerokość obrysu rurociągu z każdej jego strony. Dopuszcza się zabezpieczenie kabla blokami betonowymi wg BN-79/8976-78.</w:t>
      </w:r>
    </w:p>
    <w:p w14:paraId="1C0C3D10"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Dopuszcza się również ułożenie kabla pod rurociągami, jeżeli górna powierzchnia jego ułożenia jest na głębokości mniejszej niż 0,5 m. W tym przypadku kabel powinien być ułożony w rurze ochronnej lub zabezpieczony pustakami kablowymi wg BN-79/8976-78.</w:t>
      </w:r>
    </w:p>
    <w:p w14:paraId="1C8F620F" w14:textId="77777777" w:rsidR="00C9677E" w:rsidRPr="00A23FB4" w:rsidRDefault="00C9677E" w:rsidP="00262498">
      <w:pPr>
        <w:numPr>
          <w:ilvl w:val="0"/>
          <w:numId w:val="142"/>
        </w:numPr>
        <w:spacing w:before="120" w:after="120"/>
        <w:ind w:left="284" w:hanging="284"/>
        <w:rPr>
          <w:rFonts w:asciiTheme="minorHAnsi" w:hAnsiTheme="minorHAnsi" w:cstheme="minorHAnsi"/>
        </w:rPr>
      </w:pPr>
      <w:r w:rsidRPr="00A23FB4">
        <w:rPr>
          <w:rFonts w:asciiTheme="minorHAnsi" w:hAnsiTheme="minorHAnsi" w:cstheme="minorHAnsi"/>
        </w:rPr>
        <w:t>Skrzyżowania i zbliżenia z kablami elektroenergetycznymi</w:t>
      </w:r>
    </w:p>
    <w:p w14:paraId="43B1ABB8"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Skrzyżowania i zbliżenia telekomunikacyjnych linii kablowych z liniami kablowymi elektroenergetycznymi powinny być wykonane wg PN-76/E-05125.</w:t>
      </w:r>
    </w:p>
    <w:p w14:paraId="12159C9F" w14:textId="77777777" w:rsidR="00C9677E" w:rsidRPr="00A23FB4" w:rsidRDefault="00C9677E" w:rsidP="00262498">
      <w:pPr>
        <w:numPr>
          <w:ilvl w:val="0"/>
          <w:numId w:val="143"/>
        </w:numPr>
        <w:spacing w:before="120" w:after="120"/>
        <w:ind w:left="284" w:hanging="284"/>
        <w:rPr>
          <w:rFonts w:asciiTheme="minorHAnsi" w:hAnsiTheme="minorHAnsi" w:cstheme="minorHAnsi"/>
        </w:rPr>
      </w:pPr>
      <w:r w:rsidRPr="00A23FB4">
        <w:rPr>
          <w:rFonts w:asciiTheme="minorHAnsi" w:hAnsiTheme="minorHAnsi" w:cstheme="minorHAnsi"/>
        </w:rPr>
        <w:t>Skrzyżowania i zbliżenia z napowietrznymi liniami elektroenergetycznymi i stacjami transformatorowymi</w:t>
      </w:r>
    </w:p>
    <w:p w14:paraId="62262D04"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Skrzyżowania i zbliżenia telekomunikacyjnych linii kablowych z napowietrznymi liniami elektroenergetycznymi i stacjami transformatorowymi powinny być wykonane wg PN-75/E-5100.</w:t>
      </w:r>
    </w:p>
    <w:p w14:paraId="6D99E790" w14:textId="77777777" w:rsidR="00C9677E" w:rsidRPr="00A23FB4" w:rsidRDefault="00C9677E" w:rsidP="00262498">
      <w:pPr>
        <w:numPr>
          <w:ilvl w:val="0"/>
          <w:numId w:val="144"/>
        </w:numPr>
        <w:spacing w:before="120" w:after="120"/>
        <w:ind w:left="284" w:hanging="284"/>
        <w:rPr>
          <w:rFonts w:asciiTheme="minorHAnsi" w:hAnsiTheme="minorHAnsi" w:cstheme="minorHAnsi"/>
        </w:rPr>
      </w:pPr>
      <w:r w:rsidRPr="00A23FB4">
        <w:rPr>
          <w:rFonts w:asciiTheme="minorHAnsi" w:hAnsiTheme="minorHAnsi" w:cstheme="minorHAnsi"/>
        </w:rPr>
        <w:t>Ochrona linii kablowych</w:t>
      </w:r>
    </w:p>
    <w:p w14:paraId="44557BD8" w14:textId="77777777" w:rsidR="00C9677E" w:rsidRPr="00A23FB4" w:rsidRDefault="00C9677E" w:rsidP="00262498">
      <w:pPr>
        <w:numPr>
          <w:ilvl w:val="0"/>
          <w:numId w:val="145"/>
        </w:numPr>
        <w:spacing w:after="120"/>
        <w:ind w:left="284" w:hanging="284"/>
        <w:rPr>
          <w:rFonts w:asciiTheme="minorHAnsi" w:hAnsiTheme="minorHAnsi" w:cstheme="minorHAnsi"/>
        </w:rPr>
      </w:pPr>
      <w:r w:rsidRPr="00A23FB4">
        <w:rPr>
          <w:rFonts w:asciiTheme="minorHAnsi" w:hAnsiTheme="minorHAnsi" w:cstheme="minorHAnsi"/>
        </w:rPr>
        <w:t>Ochrona kabli przed uszkodzeniami mechanicznymi</w:t>
      </w:r>
    </w:p>
    <w:p w14:paraId="1E7CE31D"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Kable ułożone bezpośrednio w ziemi powinny być dodatkowo zabezpieczone przed uszkodzeniami mechanicznymi w następujących przypadkach:</w:t>
      </w:r>
    </w:p>
    <w:p w14:paraId="38219A9D" w14:textId="77777777" w:rsidR="00C9677E" w:rsidRPr="00A23FB4" w:rsidRDefault="00C9677E" w:rsidP="00262498">
      <w:pPr>
        <w:numPr>
          <w:ilvl w:val="0"/>
          <w:numId w:val="146"/>
        </w:numPr>
        <w:rPr>
          <w:rFonts w:asciiTheme="minorHAnsi" w:hAnsiTheme="minorHAnsi" w:cstheme="minorHAnsi"/>
        </w:rPr>
      </w:pPr>
      <w:r w:rsidRPr="00A23FB4">
        <w:rPr>
          <w:rFonts w:asciiTheme="minorHAnsi" w:hAnsiTheme="minorHAnsi" w:cstheme="minorHAnsi"/>
        </w:rPr>
        <w:t>na terenach zabudowanych miast, osiedli i wsi - w granicach zabudowy i po 10 m poza granicą,</w:t>
      </w:r>
    </w:p>
    <w:p w14:paraId="7C355305" w14:textId="77777777" w:rsidR="00C9677E" w:rsidRPr="00A23FB4" w:rsidRDefault="00C9677E" w:rsidP="00262498">
      <w:pPr>
        <w:numPr>
          <w:ilvl w:val="0"/>
          <w:numId w:val="146"/>
        </w:numPr>
        <w:rPr>
          <w:rFonts w:asciiTheme="minorHAnsi" w:hAnsiTheme="minorHAnsi" w:cstheme="minorHAnsi"/>
        </w:rPr>
      </w:pPr>
      <w:r w:rsidRPr="00A23FB4">
        <w:rPr>
          <w:rFonts w:asciiTheme="minorHAnsi" w:hAnsiTheme="minorHAnsi" w:cstheme="minorHAnsi"/>
        </w:rPr>
        <w:t>w miejscach ułożenia złączy kablowych, skrzyni pupinizacyjnych oraz po 1 m poza tymi miejscami,</w:t>
      </w:r>
    </w:p>
    <w:p w14:paraId="24BEECCA" w14:textId="77777777" w:rsidR="00C9677E" w:rsidRPr="00A23FB4" w:rsidRDefault="00C9677E" w:rsidP="00262498">
      <w:pPr>
        <w:numPr>
          <w:ilvl w:val="0"/>
          <w:numId w:val="146"/>
        </w:numPr>
        <w:rPr>
          <w:rFonts w:asciiTheme="minorHAnsi" w:hAnsiTheme="minorHAnsi" w:cstheme="minorHAnsi"/>
        </w:rPr>
      </w:pPr>
      <w:r w:rsidRPr="00A23FB4">
        <w:rPr>
          <w:rFonts w:asciiTheme="minorHAnsi" w:hAnsiTheme="minorHAnsi" w:cstheme="minorHAnsi"/>
        </w:rPr>
        <w:t>w miejscach położonych w odległości mniejszej niż 2 m do słupów linii telekomunikacyjnych lub elektroenergetycznych, a także od drzew na terenie leśnym.</w:t>
      </w:r>
    </w:p>
    <w:p w14:paraId="4B8ED288"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Kable ułożone bezpośrednio w ziemi zabezpiecza się przed uszkodzeniami mechanicznymi przez:</w:t>
      </w:r>
    </w:p>
    <w:p w14:paraId="412F7A62" w14:textId="77777777" w:rsidR="00C9677E" w:rsidRPr="00A23FB4" w:rsidRDefault="00C9677E" w:rsidP="00262498">
      <w:pPr>
        <w:numPr>
          <w:ilvl w:val="0"/>
          <w:numId w:val="104"/>
        </w:numPr>
        <w:rPr>
          <w:rFonts w:asciiTheme="minorHAnsi" w:hAnsiTheme="minorHAnsi" w:cstheme="minorHAnsi"/>
        </w:rPr>
      </w:pPr>
      <w:r w:rsidRPr="00A23FB4">
        <w:rPr>
          <w:rFonts w:asciiTheme="minorHAnsi" w:hAnsiTheme="minorHAnsi" w:cstheme="minorHAnsi"/>
        </w:rPr>
        <w:t>ułożenie nad kablem taśmy ostrzegawczej w kolorze żółtym z napisem „Uwaga kabel” - w połowie głębokości ułożenia kabla,</w:t>
      </w:r>
    </w:p>
    <w:p w14:paraId="5576C64F" w14:textId="77777777" w:rsidR="00C9677E" w:rsidRPr="00A23FB4" w:rsidRDefault="00C9677E" w:rsidP="00262498">
      <w:pPr>
        <w:numPr>
          <w:ilvl w:val="0"/>
          <w:numId w:val="104"/>
        </w:numPr>
        <w:rPr>
          <w:rFonts w:asciiTheme="minorHAnsi" w:hAnsiTheme="minorHAnsi" w:cstheme="minorHAnsi"/>
        </w:rPr>
      </w:pPr>
      <w:r w:rsidRPr="00A23FB4">
        <w:rPr>
          <w:rFonts w:asciiTheme="minorHAnsi" w:hAnsiTheme="minorHAnsi" w:cstheme="minorHAnsi"/>
        </w:rPr>
        <w:t>ułożenie nad kablem kształtek ceramicznych, przykryw betonowych lub żelbetowych wg BN-72/3233-12 [40] na 10 cm warstwie piasku lub rozkruszonego gruntu.</w:t>
      </w:r>
    </w:p>
    <w:p w14:paraId="48A2B431" w14:textId="77777777" w:rsidR="00C9677E" w:rsidRPr="00A23FB4" w:rsidRDefault="00C9677E" w:rsidP="00262498">
      <w:pPr>
        <w:numPr>
          <w:ilvl w:val="0"/>
          <w:numId w:val="147"/>
        </w:numPr>
        <w:spacing w:before="120" w:after="120"/>
        <w:ind w:left="284" w:hanging="284"/>
        <w:rPr>
          <w:rFonts w:asciiTheme="minorHAnsi" w:hAnsiTheme="minorHAnsi" w:cstheme="minorHAnsi"/>
        </w:rPr>
      </w:pPr>
      <w:r w:rsidRPr="00A23FB4">
        <w:rPr>
          <w:rFonts w:asciiTheme="minorHAnsi" w:hAnsiTheme="minorHAnsi" w:cstheme="minorHAnsi"/>
        </w:rPr>
        <w:t>Ochrona kabli ziemnych przed wyładowaniami atmosferycznymi</w:t>
      </w:r>
    </w:p>
    <w:p w14:paraId="24E7A06E"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Ochrona kabli ułożonych w ziemi przed wyładowaniami atmosferycznymi powinna być wykonana zgodnie z wytycznymi ochrony odgromowej telekomunikacyjnych kabli dalekosiężnych o powłokach metalowych.</w:t>
      </w:r>
    </w:p>
    <w:p w14:paraId="650273A0" w14:textId="77777777" w:rsidR="00C9677E" w:rsidRPr="00A23FB4" w:rsidRDefault="00C9677E" w:rsidP="00262498">
      <w:pPr>
        <w:numPr>
          <w:ilvl w:val="0"/>
          <w:numId w:val="148"/>
        </w:numPr>
        <w:spacing w:before="120" w:after="120"/>
        <w:ind w:left="284" w:hanging="284"/>
        <w:rPr>
          <w:rFonts w:asciiTheme="minorHAnsi" w:hAnsiTheme="minorHAnsi" w:cstheme="minorHAnsi"/>
        </w:rPr>
      </w:pPr>
      <w:r w:rsidRPr="00A23FB4">
        <w:rPr>
          <w:rFonts w:asciiTheme="minorHAnsi" w:hAnsiTheme="minorHAnsi" w:cstheme="minorHAnsi"/>
        </w:rPr>
        <w:t>Ochrona kabli przed korozją</w:t>
      </w:r>
    </w:p>
    <w:p w14:paraId="2A1AAEE6"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Kable telekomunikacyjne powinny być zabezpieczone przed działaniem korozji elektrochemicznej przez zastosowanie ochrony biernej i ochrony katodowej zgodnie z PN-77/E-05030/00 i 01.</w:t>
      </w:r>
    </w:p>
    <w:p w14:paraId="5CB46500" w14:textId="77777777" w:rsidR="00C9677E" w:rsidRPr="00A23FB4" w:rsidRDefault="00C9677E" w:rsidP="00262498">
      <w:pPr>
        <w:numPr>
          <w:ilvl w:val="0"/>
          <w:numId w:val="149"/>
        </w:numPr>
        <w:spacing w:after="120"/>
        <w:ind w:left="284" w:hanging="284"/>
        <w:rPr>
          <w:rFonts w:asciiTheme="minorHAnsi" w:hAnsiTheme="minorHAnsi" w:cstheme="minorHAnsi"/>
        </w:rPr>
      </w:pPr>
      <w:r w:rsidRPr="00A23FB4">
        <w:rPr>
          <w:rFonts w:asciiTheme="minorHAnsi" w:hAnsiTheme="minorHAnsi" w:cstheme="minorHAnsi"/>
        </w:rPr>
        <w:t>Ochrona ciśnieniowa linii kablowych</w:t>
      </w:r>
    </w:p>
    <w:p w14:paraId="0F939ABA"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Wszystkie linie kablowe międzymiastowe i wewnątrzstrefowe powinny być szczelne, a więc ośrodki tych kabli powinny być trwale zabezpieczone przed dostępem wilgoci za pomocą powłok kablowych. Linie kablowe powinny być poddane kontroli ciśnieniowej z automatycznym dopełnieniem gazu wg BN-76/8984-26 [20].</w:t>
      </w:r>
    </w:p>
    <w:p w14:paraId="2CA3905D" w14:textId="77777777" w:rsidR="00C9677E" w:rsidRPr="00A23FB4" w:rsidRDefault="00C9677E" w:rsidP="00C9677E">
      <w:pPr>
        <w:pStyle w:val="Nagwek3"/>
        <w:rPr>
          <w:rFonts w:asciiTheme="minorHAnsi" w:hAnsiTheme="minorHAnsi"/>
        </w:rPr>
      </w:pPr>
      <w:bookmarkStart w:id="76" w:name="_Toc468518135"/>
      <w:r w:rsidRPr="00A23FB4">
        <w:rPr>
          <w:rFonts w:asciiTheme="minorHAnsi" w:hAnsiTheme="minorHAnsi"/>
        </w:rPr>
        <w:t>6. KONTROLA JAKOŚCI ROBÓT</w:t>
      </w:r>
      <w:bookmarkEnd w:id="76"/>
    </w:p>
    <w:p w14:paraId="19E5FB81" w14:textId="77777777" w:rsidR="00C9677E" w:rsidRPr="00A23FB4" w:rsidRDefault="00C9677E" w:rsidP="00C9677E">
      <w:pPr>
        <w:pStyle w:val="Nagwek4"/>
        <w:rPr>
          <w:rFonts w:asciiTheme="minorHAnsi" w:hAnsiTheme="minorHAnsi"/>
        </w:rPr>
      </w:pPr>
      <w:r w:rsidRPr="00A23FB4">
        <w:rPr>
          <w:rFonts w:asciiTheme="minorHAnsi" w:hAnsiTheme="minorHAnsi"/>
        </w:rPr>
        <w:t>6.1. Ogólne zasady kontroli jakości robót</w:t>
      </w:r>
    </w:p>
    <w:p w14:paraId="26EE54CA" w14:textId="74741E34" w:rsidR="00C9677E" w:rsidRPr="00A23FB4" w:rsidRDefault="00C9677E" w:rsidP="00C9677E">
      <w:pPr>
        <w:rPr>
          <w:rFonts w:asciiTheme="minorHAnsi" w:hAnsiTheme="minorHAnsi" w:cstheme="minorHAnsi"/>
        </w:rPr>
      </w:pPr>
      <w:r w:rsidRPr="00A23FB4">
        <w:rPr>
          <w:rFonts w:asciiTheme="minorHAnsi" w:hAnsiTheme="minorHAnsi" w:cstheme="minorHAnsi"/>
        </w:rPr>
        <w:t xml:space="preserve">Ogólne zasady kontroli jakości robót podano w </w:t>
      </w:r>
      <w:r w:rsidR="00215ACF">
        <w:rPr>
          <w:rFonts w:asciiTheme="minorHAnsi" w:hAnsiTheme="minorHAnsi" w:cstheme="minorHAnsi"/>
        </w:rPr>
        <w:t>ST</w:t>
      </w:r>
      <w:r w:rsidRPr="00A23FB4">
        <w:rPr>
          <w:rFonts w:asciiTheme="minorHAnsi" w:hAnsiTheme="minorHAnsi" w:cstheme="minorHAnsi"/>
        </w:rPr>
        <w:t>WiORB D-M-00.00.00 „Wymagania ogólne”.</w:t>
      </w:r>
    </w:p>
    <w:p w14:paraId="20378374"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Celem kontroli jest stwierdzenie osiągnięcia założonej jakości wykonywanych robót przy przebudowie linii kablowej.</w:t>
      </w:r>
    </w:p>
    <w:p w14:paraId="0CBACA37"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 xml:space="preserve">Wykonawca ma obowiązek wykonania pełnego zakresu badań na budowie w celu wskazania Inżynierowi zgodności dostarczonych materiałów i realizowanych robót z dokumentacją projektową oraz wymaganiami </w:t>
      </w:r>
      <w:r w:rsidR="00824125" w:rsidRPr="00A23FB4">
        <w:rPr>
          <w:rFonts w:asciiTheme="minorHAnsi" w:hAnsiTheme="minorHAnsi" w:cstheme="minorHAnsi"/>
        </w:rPr>
        <w:t>wytycznymi</w:t>
      </w:r>
      <w:r w:rsidRPr="00A23FB4">
        <w:rPr>
          <w:rFonts w:asciiTheme="minorHAnsi" w:hAnsiTheme="minorHAnsi" w:cstheme="minorHAnsi"/>
        </w:rPr>
        <w:t xml:space="preserve"> i PZJ.</w:t>
      </w:r>
    </w:p>
    <w:p w14:paraId="74EC67FC"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Przed przystąpieniem do badania, Wykonawca powinien powiadomić Inżyniera o rodzaju i terminie badania.</w:t>
      </w:r>
    </w:p>
    <w:p w14:paraId="2C5E1DBE"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Po wykonaniu badania, Wykonawca przedstawia na piśmie wyniki badań do akceptacji Inżyniera.</w:t>
      </w:r>
    </w:p>
    <w:p w14:paraId="31A7CAC8"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Wykonawca powiadamia pisemnie Inżyniera o zakończeniu każdej roboty zanikającej, którą może kontynuować dopiero po pisemnej akceptacji odbioru przez Inżyniera.</w:t>
      </w:r>
    </w:p>
    <w:p w14:paraId="0D1B1C72"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Kontrola jakości robót telekomunikacyjnych powinna odbywać się w obecności przedstawicieli urzędu telekomunikacyjnego i zakładu radiokomunikacji i teletransmisji. Jakość robót musi uzyskać akceptację tych instytucji.</w:t>
      </w:r>
    </w:p>
    <w:p w14:paraId="641F0752" w14:textId="77777777" w:rsidR="00C9677E" w:rsidRPr="00A23FB4" w:rsidRDefault="00C9677E" w:rsidP="00C9677E">
      <w:pPr>
        <w:pStyle w:val="Nagwek4"/>
        <w:rPr>
          <w:rFonts w:asciiTheme="minorHAnsi" w:hAnsiTheme="minorHAnsi"/>
        </w:rPr>
      </w:pPr>
      <w:r w:rsidRPr="00A23FB4">
        <w:rPr>
          <w:rFonts w:asciiTheme="minorHAnsi" w:hAnsiTheme="minorHAnsi"/>
        </w:rPr>
        <w:t>6.2. Kanalizacja teletechniczna</w:t>
      </w:r>
    </w:p>
    <w:p w14:paraId="1568C0B0"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Kontrola jakości wykonania kanalizacji teletechnicznej polega na sprawdzeniu:</w:t>
      </w:r>
    </w:p>
    <w:p w14:paraId="6EB4E8FD" w14:textId="77777777" w:rsidR="00C9677E" w:rsidRPr="00A23FB4" w:rsidRDefault="00C9677E" w:rsidP="00262498">
      <w:pPr>
        <w:numPr>
          <w:ilvl w:val="0"/>
          <w:numId w:val="104"/>
        </w:numPr>
        <w:rPr>
          <w:rFonts w:asciiTheme="minorHAnsi" w:hAnsiTheme="minorHAnsi" w:cstheme="minorHAnsi"/>
        </w:rPr>
      </w:pPr>
      <w:r w:rsidRPr="00A23FB4">
        <w:rPr>
          <w:rFonts w:asciiTheme="minorHAnsi" w:hAnsiTheme="minorHAnsi" w:cstheme="minorHAnsi"/>
        </w:rPr>
        <w:t>trasy kanalizacji przez oględziny uporządkowania terenu wzdłuż ciągów kanalizacji w miejscach studzien kablowych,</w:t>
      </w:r>
    </w:p>
    <w:p w14:paraId="2D5B35EF" w14:textId="77777777" w:rsidR="00C9677E" w:rsidRPr="00A23FB4" w:rsidRDefault="00C9677E" w:rsidP="00262498">
      <w:pPr>
        <w:numPr>
          <w:ilvl w:val="0"/>
          <w:numId w:val="104"/>
        </w:numPr>
        <w:rPr>
          <w:rFonts w:asciiTheme="minorHAnsi" w:hAnsiTheme="minorHAnsi" w:cstheme="minorHAnsi"/>
        </w:rPr>
      </w:pPr>
      <w:r w:rsidRPr="00A23FB4">
        <w:rPr>
          <w:rFonts w:asciiTheme="minorHAnsi" w:hAnsiTheme="minorHAnsi" w:cstheme="minorHAnsi"/>
        </w:rPr>
        <w:t>przebiegu kanalizacji na zgodność z dokumentacją projektową,</w:t>
      </w:r>
    </w:p>
    <w:p w14:paraId="1F30EDC3" w14:textId="77777777" w:rsidR="00C9677E" w:rsidRPr="00A23FB4" w:rsidRDefault="00C9677E" w:rsidP="00262498">
      <w:pPr>
        <w:numPr>
          <w:ilvl w:val="0"/>
          <w:numId w:val="104"/>
        </w:numPr>
        <w:rPr>
          <w:rFonts w:asciiTheme="minorHAnsi" w:hAnsiTheme="minorHAnsi" w:cstheme="minorHAnsi"/>
        </w:rPr>
      </w:pPr>
      <w:r w:rsidRPr="00A23FB4">
        <w:rPr>
          <w:rFonts w:asciiTheme="minorHAnsi" w:hAnsiTheme="minorHAnsi" w:cstheme="minorHAnsi"/>
        </w:rPr>
        <w:t>prawidłowości wykonania ciągów kanalizacji polegającej na sprawdzeniu drożności rur, wykonania skrzyżowań z obiektami,</w:t>
      </w:r>
    </w:p>
    <w:p w14:paraId="331E26CF" w14:textId="77777777" w:rsidR="00C9677E" w:rsidRPr="00A23FB4" w:rsidRDefault="00C9677E" w:rsidP="00262498">
      <w:pPr>
        <w:numPr>
          <w:ilvl w:val="0"/>
          <w:numId w:val="104"/>
        </w:numPr>
        <w:rPr>
          <w:rFonts w:asciiTheme="minorHAnsi" w:hAnsiTheme="minorHAnsi" w:cstheme="minorHAnsi"/>
        </w:rPr>
      </w:pPr>
      <w:r w:rsidRPr="00A23FB4">
        <w:rPr>
          <w:rFonts w:asciiTheme="minorHAnsi" w:hAnsiTheme="minorHAnsi" w:cstheme="minorHAnsi"/>
        </w:rPr>
        <w:t>prawidłowości budowy studni kablowych polegającej na sprawdzeniu wymagań normy BN-85/8984-01 [4].</w:t>
      </w:r>
    </w:p>
    <w:p w14:paraId="26C3AC4A" w14:textId="77777777" w:rsidR="00C9677E" w:rsidRPr="00A23FB4" w:rsidRDefault="00C9677E" w:rsidP="00C9677E">
      <w:pPr>
        <w:pStyle w:val="Nagwek4"/>
        <w:rPr>
          <w:rFonts w:asciiTheme="minorHAnsi" w:hAnsiTheme="minorHAnsi"/>
        </w:rPr>
      </w:pPr>
      <w:r w:rsidRPr="00A23FB4">
        <w:rPr>
          <w:rFonts w:asciiTheme="minorHAnsi" w:hAnsiTheme="minorHAnsi"/>
        </w:rPr>
        <w:t>6.3. Telekomunikacyjne kable miejscowe</w:t>
      </w:r>
    </w:p>
    <w:p w14:paraId="3BB56B99"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Kontrola jakości wykonania przebudowy telekomunikacyjnych kabli miejscowych polega na sprawdzeniu:</w:t>
      </w:r>
    </w:p>
    <w:p w14:paraId="39EDA8D2" w14:textId="77777777" w:rsidR="00C9677E" w:rsidRPr="00A23FB4" w:rsidRDefault="00C9677E" w:rsidP="00262498">
      <w:pPr>
        <w:numPr>
          <w:ilvl w:val="0"/>
          <w:numId w:val="104"/>
        </w:numPr>
        <w:rPr>
          <w:rFonts w:asciiTheme="minorHAnsi" w:hAnsiTheme="minorHAnsi" w:cstheme="minorHAnsi"/>
        </w:rPr>
      </w:pPr>
      <w:r w:rsidRPr="00A23FB4">
        <w:rPr>
          <w:rFonts w:asciiTheme="minorHAnsi" w:hAnsiTheme="minorHAnsi" w:cstheme="minorHAnsi"/>
        </w:rPr>
        <w:t>tras kablowych,</w:t>
      </w:r>
    </w:p>
    <w:p w14:paraId="6D724AC4" w14:textId="77777777" w:rsidR="00C9677E" w:rsidRPr="00A23FB4" w:rsidRDefault="00C9677E" w:rsidP="00262498">
      <w:pPr>
        <w:numPr>
          <w:ilvl w:val="0"/>
          <w:numId w:val="104"/>
        </w:numPr>
        <w:rPr>
          <w:rFonts w:asciiTheme="minorHAnsi" w:hAnsiTheme="minorHAnsi" w:cstheme="minorHAnsi"/>
        </w:rPr>
      </w:pPr>
      <w:r w:rsidRPr="00A23FB4">
        <w:rPr>
          <w:rFonts w:asciiTheme="minorHAnsi" w:hAnsiTheme="minorHAnsi" w:cstheme="minorHAnsi"/>
        </w:rPr>
        <w:t>skrzyżowań i zbliżeń kabli doziemnych,</w:t>
      </w:r>
    </w:p>
    <w:p w14:paraId="54AB302C" w14:textId="77777777" w:rsidR="00C9677E" w:rsidRPr="00A23FB4" w:rsidRDefault="00C9677E" w:rsidP="00262498">
      <w:pPr>
        <w:numPr>
          <w:ilvl w:val="0"/>
          <w:numId w:val="104"/>
        </w:numPr>
        <w:rPr>
          <w:rFonts w:asciiTheme="minorHAnsi" w:hAnsiTheme="minorHAnsi" w:cstheme="minorHAnsi"/>
        </w:rPr>
      </w:pPr>
      <w:r w:rsidRPr="00A23FB4">
        <w:rPr>
          <w:rFonts w:asciiTheme="minorHAnsi" w:hAnsiTheme="minorHAnsi" w:cstheme="minorHAnsi"/>
        </w:rPr>
        <w:t>ochrony linii kablowych,</w:t>
      </w:r>
    </w:p>
    <w:p w14:paraId="4663E246" w14:textId="77777777" w:rsidR="00C9677E" w:rsidRPr="00A23FB4" w:rsidRDefault="00C9677E" w:rsidP="00262498">
      <w:pPr>
        <w:numPr>
          <w:ilvl w:val="0"/>
          <w:numId w:val="104"/>
        </w:numPr>
        <w:rPr>
          <w:rFonts w:asciiTheme="minorHAnsi" w:hAnsiTheme="minorHAnsi" w:cstheme="minorHAnsi"/>
        </w:rPr>
      </w:pPr>
      <w:r w:rsidRPr="00A23FB4">
        <w:rPr>
          <w:rFonts w:asciiTheme="minorHAnsi" w:hAnsiTheme="minorHAnsi" w:cstheme="minorHAnsi"/>
        </w:rPr>
        <w:t>szczelności powłok,</w:t>
      </w:r>
    </w:p>
    <w:p w14:paraId="00EC6C8D" w14:textId="77777777" w:rsidR="00C9677E" w:rsidRPr="00A23FB4" w:rsidRDefault="00C9677E" w:rsidP="00262498">
      <w:pPr>
        <w:numPr>
          <w:ilvl w:val="0"/>
          <w:numId w:val="104"/>
        </w:numPr>
        <w:rPr>
          <w:rFonts w:asciiTheme="minorHAnsi" w:hAnsiTheme="minorHAnsi" w:cstheme="minorHAnsi"/>
        </w:rPr>
      </w:pPr>
      <w:r w:rsidRPr="00A23FB4">
        <w:rPr>
          <w:rFonts w:asciiTheme="minorHAnsi" w:hAnsiTheme="minorHAnsi" w:cstheme="minorHAnsi"/>
        </w:rPr>
        <w:t>zabezpieczenia kabli przed korozją.</w:t>
      </w:r>
    </w:p>
    <w:p w14:paraId="090D1DE4"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Wymagania dotyczące powyższych czynności podane są w punkcie 7.2 normy BN-76/8984-17.</w:t>
      </w:r>
    </w:p>
    <w:p w14:paraId="57405DF0"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Ponadto należy przeprowadzić próby i badania elektryczne na zgodność z punktem 4 normy BN-76/8984-17.</w:t>
      </w:r>
    </w:p>
    <w:p w14:paraId="5B60A8AC" w14:textId="77777777" w:rsidR="00C9677E" w:rsidRPr="00A23FB4" w:rsidRDefault="00C9677E" w:rsidP="00C9677E">
      <w:pPr>
        <w:pStyle w:val="Nagwek4"/>
        <w:rPr>
          <w:rFonts w:asciiTheme="minorHAnsi" w:hAnsiTheme="minorHAnsi"/>
        </w:rPr>
      </w:pPr>
      <w:r w:rsidRPr="00A23FB4">
        <w:rPr>
          <w:rFonts w:asciiTheme="minorHAnsi" w:hAnsiTheme="minorHAnsi"/>
        </w:rPr>
        <w:t>6.4. Telekomunikacyjne kable dalekosiężne</w:t>
      </w:r>
    </w:p>
    <w:p w14:paraId="2633C6F9"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Kontrola jakości wykonania przebudowy telekomunikacyjnych kabli dalekosiężnych polega na sprawdzeniu:</w:t>
      </w:r>
    </w:p>
    <w:p w14:paraId="2B64F4EE" w14:textId="77777777" w:rsidR="00C9677E" w:rsidRPr="00A23FB4" w:rsidRDefault="00C9677E" w:rsidP="00262498">
      <w:pPr>
        <w:numPr>
          <w:ilvl w:val="0"/>
          <w:numId w:val="104"/>
        </w:numPr>
        <w:rPr>
          <w:rFonts w:asciiTheme="minorHAnsi" w:hAnsiTheme="minorHAnsi" w:cstheme="minorHAnsi"/>
        </w:rPr>
      </w:pPr>
      <w:r w:rsidRPr="00A23FB4">
        <w:rPr>
          <w:rFonts w:asciiTheme="minorHAnsi" w:hAnsiTheme="minorHAnsi" w:cstheme="minorHAnsi"/>
        </w:rPr>
        <w:t>montażu kabla i jego elementów poprzez oględziny,</w:t>
      </w:r>
    </w:p>
    <w:p w14:paraId="5B152A52" w14:textId="77777777" w:rsidR="00C9677E" w:rsidRPr="00A23FB4" w:rsidRDefault="00C9677E" w:rsidP="00262498">
      <w:pPr>
        <w:numPr>
          <w:ilvl w:val="0"/>
          <w:numId w:val="104"/>
        </w:numPr>
        <w:rPr>
          <w:rFonts w:asciiTheme="minorHAnsi" w:hAnsiTheme="minorHAnsi" w:cstheme="minorHAnsi"/>
        </w:rPr>
      </w:pPr>
      <w:r w:rsidRPr="00A23FB4">
        <w:rPr>
          <w:rFonts w:asciiTheme="minorHAnsi" w:hAnsiTheme="minorHAnsi" w:cstheme="minorHAnsi"/>
        </w:rPr>
        <w:t>wymiarów,</w:t>
      </w:r>
    </w:p>
    <w:p w14:paraId="56058027" w14:textId="77777777" w:rsidR="00C9677E" w:rsidRPr="00A23FB4" w:rsidRDefault="00C9677E" w:rsidP="00262498">
      <w:pPr>
        <w:numPr>
          <w:ilvl w:val="0"/>
          <w:numId w:val="104"/>
        </w:numPr>
        <w:rPr>
          <w:rFonts w:asciiTheme="minorHAnsi" w:hAnsiTheme="minorHAnsi" w:cstheme="minorHAnsi"/>
        </w:rPr>
      </w:pPr>
      <w:r w:rsidRPr="00A23FB4">
        <w:rPr>
          <w:rFonts w:asciiTheme="minorHAnsi" w:hAnsiTheme="minorHAnsi" w:cstheme="minorHAnsi"/>
        </w:rPr>
        <w:t>materiałów,</w:t>
      </w:r>
    </w:p>
    <w:p w14:paraId="2C123561" w14:textId="77777777" w:rsidR="00C9677E" w:rsidRPr="00A23FB4" w:rsidRDefault="00C9677E" w:rsidP="00262498">
      <w:pPr>
        <w:numPr>
          <w:ilvl w:val="0"/>
          <w:numId w:val="104"/>
        </w:numPr>
        <w:rPr>
          <w:rFonts w:asciiTheme="minorHAnsi" w:hAnsiTheme="minorHAnsi" w:cstheme="minorHAnsi"/>
        </w:rPr>
      </w:pPr>
      <w:r w:rsidRPr="00A23FB4">
        <w:rPr>
          <w:rFonts w:asciiTheme="minorHAnsi" w:hAnsiTheme="minorHAnsi" w:cstheme="minorHAnsi"/>
        </w:rPr>
        <w:t>poprawności doboru średnic żył i pojemności jednostkowych,</w:t>
      </w:r>
    </w:p>
    <w:p w14:paraId="5196A294" w14:textId="77777777" w:rsidR="00C9677E" w:rsidRPr="00A23FB4" w:rsidRDefault="00C9677E" w:rsidP="00262498">
      <w:pPr>
        <w:numPr>
          <w:ilvl w:val="0"/>
          <w:numId w:val="104"/>
        </w:numPr>
        <w:rPr>
          <w:rFonts w:asciiTheme="minorHAnsi" w:hAnsiTheme="minorHAnsi" w:cstheme="minorHAnsi"/>
        </w:rPr>
      </w:pPr>
      <w:r w:rsidRPr="00A23FB4">
        <w:rPr>
          <w:rFonts w:asciiTheme="minorHAnsi" w:hAnsiTheme="minorHAnsi" w:cstheme="minorHAnsi"/>
        </w:rPr>
        <w:t>doboru osłon złączy i muf,</w:t>
      </w:r>
    </w:p>
    <w:p w14:paraId="1AE7E787" w14:textId="77777777" w:rsidR="00C9677E" w:rsidRPr="00A23FB4" w:rsidRDefault="00C9677E" w:rsidP="00262498">
      <w:pPr>
        <w:numPr>
          <w:ilvl w:val="0"/>
          <w:numId w:val="104"/>
        </w:numPr>
        <w:rPr>
          <w:rFonts w:asciiTheme="minorHAnsi" w:hAnsiTheme="minorHAnsi" w:cstheme="minorHAnsi"/>
        </w:rPr>
      </w:pPr>
      <w:r w:rsidRPr="00A23FB4">
        <w:rPr>
          <w:rFonts w:asciiTheme="minorHAnsi" w:hAnsiTheme="minorHAnsi" w:cstheme="minorHAnsi"/>
        </w:rPr>
        <w:t>długości odcinków pupinizacyjnych,</w:t>
      </w:r>
    </w:p>
    <w:p w14:paraId="4DA9DEC3" w14:textId="77777777" w:rsidR="00C9677E" w:rsidRPr="00A23FB4" w:rsidRDefault="00C9677E" w:rsidP="00262498">
      <w:pPr>
        <w:numPr>
          <w:ilvl w:val="0"/>
          <w:numId w:val="104"/>
        </w:numPr>
        <w:rPr>
          <w:rFonts w:asciiTheme="minorHAnsi" w:hAnsiTheme="minorHAnsi" w:cstheme="minorHAnsi"/>
        </w:rPr>
      </w:pPr>
      <w:r w:rsidRPr="00A23FB4">
        <w:rPr>
          <w:rFonts w:asciiTheme="minorHAnsi" w:hAnsiTheme="minorHAnsi" w:cstheme="minorHAnsi"/>
        </w:rPr>
        <w:t>głębokości ułożenia kabla w ziemi,</w:t>
      </w:r>
    </w:p>
    <w:p w14:paraId="08D3CBF0" w14:textId="77777777" w:rsidR="00C9677E" w:rsidRPr="00A23FB4" w:rsidRDefault="00C9677E" w:rsidP="00262498">
      <w:pPr>
        <w:numPr>
          <w:ilvl w:val="0"/>
          <w:numId w:val="104"/>
        </w:numPr>
        <w:rPr>
          <w:rFonts w:asciiTheme="minorHAnsi" w:hAnsiTheme="minorHAnsi" w:cstheme="minorHAnsi"/>
        </w:rPr>
      </w:pPr>
      <w:r w:rsidRPr="00A23FB4">
        <w:rPr>
          <w:rFonts w:asciiTheme="minorHAnsi" w:hAnsiTheme="minorHAnsi" w:cstheme="minorHAnsi"/>
        </w:rPr>
        <w:t>wykonania zbliżeń i skrzyżowań linii kablowej,</w:t>
      </w:r>
    </w:p>
    <w:p w14:paraId="40437BA5" w14:textId="77777777" w:rsidR="00C9677E" w:rsidRPr="00A23FB4" w:rsidRDefault="00C9677E" w:rsidP="00262498">
      <w:pPr>
        <w:numPr>
          <w:ilvl w:val="0"/>
          <w:numId w:val="104"/>
        </w:numPr>
        <w:rPr>
          <w:rFonts w:asciiTheme="minorHAnsi" w:hAnsiTheme="minorHAnsi" w:cstheme="minorHAnsi"/>
        </w:rPr>
      </w:pPr>
      <w:r w:rsidRPr="00A23FB4">
        <w:rPr>
          <w:rFonts w:asciiTheme="minorHAnsi" w:hAnsiTheme="minorHAnsi" w:cstheme="minorHAnsi"/>
        </w:rPr>
        <w:t>montażu złączy kablowych,</w:t>
      </w:r>
    </w:p>
    <w:p w14:paraId="77EB5163" w14:textId="77777777" w:rsidR="00C9677E" w:rsidRPr="00A23FB4" w:rsidRDefault="00C9677E" w:rsidP="00262498">
      <w:pPr>
        <w:numPr>
          <w:ilvl w:val="0"/>
          <w:numId w:val="104"/>
        </w:numPr>
        <w:rPr>
          <w:rFonts w:asciiTheme="minorHAnsi" w:hAnsiTheme="minorHAnsi" w:cstheme="minorHAnsi"/>
        </w:rPr>
      </w:pPr>
      <w:r w:rsidRPr="00A23FB4">
        <w:rPr>
          <w:rFonts w:asciiTheme="minorHAnsi" w:hAnsiTheme="minorHAnsi" w:cstheme="minorHAnsi"/>
        </w:rPr>
        <w:t>ochrony przed uszkodzeniami mechanicznymi,</w:t>
      </w:r>
    </w:p>
    <w:p w14:paraId="199E4B1D" w14:textId="77777777" w:rsidR="00C9677E" w:rsidRPr="00A23FB4" w:rsidRDefault="00C9677E" w:rsidP="00262498">
      <w:pPr>
        <w:numPr>
          <w:ilvl w:val="0"/>
          <w:numId w:val="104"/>
        </w:numPr>
        <w:rPr>
          <w:rFonts w:asciiTheme="minorHAnsi" w:hAnsiTheme="minorHAnsi" w:cstheme="minorHAnsi"/>
        </w:rPr>
      </w:pPr>
      <w:r w:rsidRPr="00A23FB4">
        <w:rPr>
          <w:rFonts w:asciiTheme="minorHAnsi" w:hAnsiTheme="minorHAnsi" w:cstheme="minorHAnsi"/>
        </w:rPr>
        <w:t>ochrony od wyładowań atmosferycznych,</w:t>
      </w:r>
    </w:p>
    <w:p w14:paraId="68B44CA8" w14:textId="77777777" w:rsidR="00C9677E" w:rsidRPr="00A23FB4" w:rsidRDefault="00C9677E" w:rsidP="00262498">
      <w:pPr>
        <w:numPr>
          <w:ilvl w:val="0"/>
          <w:numId w:val="104"/>
        </w:numPr>
        <w:rPr>
          <w:rFonts w:asciiTheme="minorHAnsi" w:hAnsiTheme="minorHAnsi" w:cstheme="minorHAnsi"/>
        </w:rPr>
      </w:pPr>
      <w:r w:rsidRPr="00A23FB4">
        <w:rPr>
          <w:rFonts w:asciiTheme="minorHAnsi" w:hAnsiTheme="minorHAnsi" w:cstheme="minorHAnsi"/>
        </w:rPr>
        <w:t>ochrony ciśnieniowej,</w:t>
      </w:r>
    </w:p>
    <w:p w14:paraId="67EDC0EA" w14:textId="77777777" w:rsidR="00C9677E" w:rsidRPr="00A23FB4" w:rsidRDefault="00C9677E" w:rsidP="00262498">
      <w:pPr>
        <w:numPr>
          <w:ilvl w:val="0"/>
          <w:numId w:val="104"/>
        </w:numPr>
        <w:rPr>
          <w:rFonts w:asciiTheme="minorHAnsi" w:hAnsiTheme="minorHAnsi" w:cstheme="minorHAnsi"/>
        </w:rPr>
      </w:pPr>
      <w:r w:rsidRPr="00A23FB4">
        <w:rPr>
          <w:rFonts w:asciiTheme="minorHAnsi" w:hAnsiTheme="minorHAnsi" w:cstheme="minorHAnsi"/>
        </w:rPr>
        <w:t>wykonania środków ochrony przed korozją.</w:t>
      </w:r>
    </w:p>
    <w:p w14:paraId="270EC2D3"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Ponadto należy przeprowadzić próby badania i pomiary elektryczne na zgodność z wymaganiami punktu 11 normy BN-89/8984-18.</w:t>
      </w:r>
    </w:p>
    <w:p w14:paraId="7C54EF1E" w14:textId="77777777" w:rsidR="00C9677E" w:rsidRPr="00A23FB4" w:rsidRDefault="00C9677E" w:rsidP="00C9677E">
      <w:pPr>
        <w:pStyle w:val="Nagwek4"/>
        <w:rPr>
          <w:rFonts w:asciiTheme="minorHAnsi" w:hAnsiTheme="minorHAnsi"/>
        </w:rPr>
      </w:pPr>
      <w:r w:rsidRPr="00A23FB4">
        <w:rPr>
          <w:rFonts w:asciiTheme="minorHAnsi" w:hAnsiTheme="minorHAnsi"/>
        </w:rPr>
        <w:t>6.5. Ocena wyników badań</w:t>
      </w:r>
    </w:p>
    <w:p w14:paraId="61664343" w14:textId="2A13F57F" w:rsidR="00C9677E" w:rsidRPr="00A23FB4" w:rsidRDefault="00C9677E" w:rsidP="00C9677E">
      <w:pPr>
        <w:rPr>
          <w:rFonts w:asciiTheme="minorHAnsi" w:hAnsiTheme="minorHAnsi" w:cstheme="minorHAnsi"/>
        </w:rPr>
      </w:pPr>
      <w:r w:rsidRPr="00A23FB4">
        <w:rPr>
          <w:rFonts w:asciiTheme="minorHAnsi" w:hAnsiTheme="minorHAnsi" w:cstheme="minorHAnsi"/>
        </w:rPr>
        <w:t xml:space="preserve">Przedstawioną do odbioru kablową linię telekomunikacyjną należy uznać za wykonaną zgodnie z wymaganiami normy, jeżeli sprawdzenia i pomiary podane w rozdziale 6 </w:t>
      </w:r>
      <w:r w:rsidR="002B1C7B">
        <w:rPr>
          <w:rFonts w:asciiTheme="minorHAnsi" w:hAnsiTheme="minorHAnsi" w:cstheme="minorHAnsi"/>
        </w:rPr>
        <w:t>ST</w:t>
      </w:r>
      <w:r w:rsidRPr="00A23FB4">
        <w:rPr>
          <w:rFonts w:asciiTheme="minorHAnsi" w:hAnsiTheme="minorHAnsi" w:cstheme="minorHAnsi"/>
        </w:rPr>
        <w:t>WiORB dały dodatni wynik.</w:t>
      </w:r>
    </w:p>
    <w:p w14:paraId="2B2F5ACD"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 xml:space="preserve">Elementy linii i kanalizacji, które w wyniku przeprowadzonych badań otrzymały ocenę ujemną, powinny być wymienione lub poprawione i ponownie zgłoszone do odbioru. </w:t>
      </w:r>
    </w:p>
    <w:p w14:paraId="52BB2ECE" w14:textId="77777777" w:rsidR="00C9677E" w:rsidRPr="00A23FB4" w:rsidRDefault="00C9677E" w:rsidP="00C9677E">
      <w:pPr>
        <w:pStyle w:val="Nagwek3"/>
        <w:rPr>
          <w:rFonts w:asciiTheme="minorHAnsi" w:hAnsiTheme="minorHAnsi"/>
        </w:rPr>
      </w:pPr>
      <w:bookmarkStart w:id="77" w:name="_Toc467298654"/>
      <w:bookmarkStart w:id="78" w:name="_Toc468518136"/>
      <w:r w:rsidRPr="00A23FB4">
        <w:rPr>
          <w:rFonts w:asciiTheme="minorHAnsi" w:hAnsiTheme="minorHAnsi"/>
        </w:rPr>
        <w:t>7. OBMIAR ROBÓT</w:t>
      </w:r>
      <w:bookmarkEnd w:id="77"/>
      <w:bookmarkEnd w:id="78"/>
    </w:p>
    <w:p w14:paraId="5D9DFBF3" w14:textId="77777777" w:rsidR="008B531E" w:rsidRDefault="008B531E" w:rsidP="008B531E">
      <w:pPr>
        <w:numPr>
          <w:ilvl w:val="12"/>
          <w:numId w:val="0"/>
        </w:numPr>
        <w:tabs>
          <w:tab w:val="left" w:pos="0"/>
          <w:tab w:val="left" w:pos="9914"/>
        </w:tabs>
        <w:rPr>
          <w:rFonts w:ascii="Calibri" w:hAnsi="Calibri" w:cs="Calibri"/>
        </w:rPr>
      </w:pPr>
    </w:p>
    <w:p w14:paraId="076C01BD" w14:textId="558B5739" w:rsidR="008B531E" w:rsidRDefault="008B531E" w:rsidP="008B531E">
      <w:pPr>
        <w:numPr>
          <w:ilvl w:val="12"/>
          <w:numId w:val="0"/>
        </w:numPr>
        <w:tabs>
          <w:tab w:val="left" w:pos="0"/>
          <w:tab w:val="left" w:pos="9914"/>
        </w:tabs>
        <w:rPr>
          <w:rFonts w:ascii="Calibri" w:hAnsi="Calibri" w:cs="Calibri"/>
        </w:rPr>
      </w:pPr>
      <w:r>
        <w:rPr>
          <w:rFonts w:ascii="Calibri" w:hAnsi="Calibri" w:cs="Calibri"/>
        </w:rPr>
        <w:t>Kontrakt ryczałtowy</w:t>
      </w:r>
    </w:p>
    <w:p w14:paraId="71FF87D9" w14:textId="222E3DD2" w:rsidR="00C9677E" w:rsidRPr="00A23FB4" w:rsidRDefault="00C9677E" w:rsidP="00C9677E">
      <w:pPr>
        <w:rPr>
          <w:rFonts w:asciiTheme="minorHAnsi" w:hAnsiTheme="minorHAnsi" w:cstheme="minorHAnsi"/>
        </w:rPr>
      </w:pPr>
      <w:r w:rsidRPr="00A23FB4">
        <w:rPr>
          <w:rFonts w:asciiTheme="minorHAnsi" w:hAnsiTheme="minorHAnsi" w:cstheme="minorHAnsi"/>
        </w:rPr>
        <w:t xml:space="preserve">Ogólne wymagania dotyczące obmiaru robót podano w </w:t>
      </w:r>
      <w:r w:rsidR="002B1C7B">
        <w:rPr>
          <w:rFonts w:asciiTheme="minorHAnsi" w:hAnsiTheme="minorHAnsi" w:cstheme="minorHAnsi"/>
        </w:rPr>
        <w:t>ST</w:t>
      </w:r>
      <w:r w:rsidRPr="00A23FB4">
        <w:rPr>
          <w:rFonts w:asciiTheme="minorHAnsi" w:hAnsiTheme="minorHAnsi" w:cstheme="minorHAnsi"/>
        </w:rPr>
        <w:t>WiORB D-M-00.00.00 „Wymagania ogólne”.</w:t>
      </w:r>
    </w:p>
    <w:p w14:paraId="730B8910" w14:textId="77777777" w:rsidR="00C9677E" w:rsidRPr="00A23FB4" w:rsidRDefault="00C9677E" w:rsidP="00C9677E">
      <w:pPr>
        <w:pStyle w:val="Nagwek3"/>
        <w:rPr>
          <w:rFonts w:asciiTheme="minorHAnsi" w:hAnsiTheme="minorHAnsi"/>
        </w:rPr>
      </w:pPr>
      <w:bookmarkStart w:id="79" w:name="_Toc467298655"/>
      <w:bookmarkStart w:id="80" w:name="_Toc468518137"/>
      <w:r w:rsidRPr="00A23FB4">
        <w:rPr>
          <w:rFonts w:asciiTheme="minorHAnsi" w:hAnsiTheme="minorHAnsi"/>
        </w:rPr>
        <w:t>8. ODBIÓR ROBÓT</w:t>
      </w:r>
      <w:bookmarkEnd w:id="79"/>
      <w:bookmarkEnd w:id="80"/>
    </w:p>
    <w:p w14:paraId="1C96271F" w14:textId="2E3118C5" w:rsidR="00C9677E" w:rsidRPr="00A23FB4" w:rsidRDefault="00C9677E" w:rsidP="00C9677E">
      <w:pPr>
        <w:rPr>
          <w:rFonts w:asciiTheme="minorHAnsi" w:hAnsiTheme="minorHAnsi" w:cstheme="minorHAnsi"/>
        </w:rPr>
      </w:pPr>
      <w:r w:rsidRPr="00A23FB4">
        <w:rPr>
          <w:rFonts w:asciiTheme="minorHAnsi" w:hAnsiTheme="minorHAnsi" w:cstheme="minorHAnsi"/>
        </w:rPr>
        <w:t xml:space="preserve">Ogólne wymagania dotyczące odbioru robót podano w </w:t>
      </w:r>
      <w:r w:rsidR="002B1C7B">
        <w:rPr>
          <w:rFonts w:asciiTheme="minorHAnsi" w:hAnsiTheme="minorHAnsi" w:cstheme="minorHAnsi"/>
        </w:rPr>
        <w:t>ST</w:t>
      </w:r>
      <w:r w:rsidRPr="00A23FB4">
        <w:rPr>
          <w:rFonts w:asciiTheme="minorHAnsi" w:hAnsiTheme="minorHAnsi" w:cstheme="minorHAnsi"/>
        </w:rPr>
        <w:t>WiORB D-M-00.00.00 „Wymagania ogólne”.</w:t>
      </w:r>
    </w:p>
    <w:p w14:paraId="476790ED"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Po wykonaniu przebudowy kanalizacji teletechnicznej i kabli telekomunikacyjnych do eksploatacji, Wykonawca zobowiązany jest dostarczyć Zamawiającemu następujące dokumenty:</w:t>
      </w:r>
    </w:p>
    <w:p w14:paraId="6B2FA491" w14:textId="77777777" w:rsidR="00C9677E" w:rsidRPr="00A23FB4" w:rsidRDefault="00C9677E" w:rsidP="00262498">
      <w:pPr>
        <w:numPr>
          <w:ilvl w:val="0"/>
          <w:numId w:val="35"/>
        </w:numPr>
        <w:rPr>
          <w:rFonts w:asciiTheme="minorHAnsi" w:hAnsiTheme="minorHAnsi" w:cstheme="minorHAnsi"/>
        </w:rPr>
      </w:pPr>
      <w:r w:rsidRPr="00A23FB4">
        <w:rPr>
          <w:rFonts w:asciiTheme="minorHAnsi" w:hAnsiTheme="minorHAnsi" w:cstheme="minorHAnsi"/>
        </w:rPr>
        <w:t>aktualną powykonawczą dokumentację projektową,</w:t>
      </w:r>
    </w:p>
    <w:p w14:paraId="1DC95207" w14:textId="77777777" w:rsidR="00C9677E" w:rsidRPr="00A23FB4" w:rsidRDefault="00C9677E" w:rsidP="00262498">
      <w:pPr>
        <w:numPr>
          <w:ilvl w:val="0"/>
          <w:numId w:val="35"/>
        </w:numPr>
        <w:rPr>
          <w:rFonts w:asciiTheme="minorHAnsi" w:hAnsiTheme="minorHAnsi" w:cstheme="minorHAnsi"/>
        </w:rPr>
      </w:pPr>
      <w:r w:rsidRPr="00A23FB4">
        <w:rPr>
          <w:rFonts w:asciiTheme="minorHAnsi" w:hAnsiTheme="minorHAnsi" w:cstheme="minorHAnsi"/>
        </w:rPr>
        <w:t>geodezyjną dokumentację powykonawczą,</w:t>
      </w:r>
    </w:p>
    <w:p w14:paraId="4F5C9A0E" w14:textId="77777777" w:rsidR="00C9677E" w:rsidRPr="00A23FB4" w:rsidRDefault="00C9677E" w:rsidP="00262498">
      <w:pPr>
        <w:numPr>
          <w:ilvl w:val="0"/>
          <w:numId w:val="35"/>
        </w:numPr>
        <w:rPr>
          <w:rFonts w:asciiTheme="minorHAnsi" w:hAnsiTheme="minorHAnsi" w:cstheme="minorHAnsi"/>
        </w:rPr>
      </w:pPr>
      <w:r w:rsidRPr="00A23FB4">
        <w:rPr>
          <w:rFonts w:asciiTheme="minorHAnsi" w:hAnsiTheme="minorHAnsi" w:cstheme="minorHAnsi"/>
        </w:rPr>
        <w:t>protokóły z dokonanych pomiarów,</w:t>
      </w:r>
    </w:p>
    <w:p w14:paraId="2E8ED7D0" w14:textId="77777777" w:rsidR="00C9677E" w:rsidRPr="00A23FB4" w:rsidRDefault="00C9677E" w:rsidP="00262498">
      <w:pPr>
        <w:numPr>
          <w:ilvl w:val="0"/>
          <w:numId w:val="35"/>
        </w:numPr>
        <w:rPr>
          <w:rFonts w:asciiTheme="minorHAnsi" w:hAnsiTheme="minorHAnsi" w:cstheme="minorHAnsi"/>
        </w:rPr>
      </w:pPr>
      <w:r w:rsidRPr="00A23FB4">
        <w:rPr>
          <w:rFonts w:asciiTheme="minorHAnsi" w:hAnsiTheme="minorHAnsi" w:cstheme="minorHAnsi"/>
        </w:rPr>
        <w:t>protokóły odbioru robót zanikających,</w:t>
      </w:r>
    </w:p>
    <w:p w14:paraId="38FA2067" w14:textId="77777777" w:rsidR="00C9677E" w:rsidRPr="00A23FB4" w:rsidRDefault="00C9677E" w:rsidP="00262498">
      <w:pPr>
        <w:numPr>
          <w:ilvl w:val="0"/>
          <w:numId w:val="35"/>
        </w:numPr>
        <w:rPr>
          <w:rFonts w:asciiTheme="minorHAnsi" w:hAnsiTheme="minorHAnsi" w:cstheme="minorHAnsi"/>
        </w:rPr>
      </w:pPr>
      <w:r w:rsidRPr="00A23FB4">
        <w:rPr>
          <w:rFonts w:asciiTheme="minorHAnsi" w:hAnsiTheme="minorHAnsi" w:cstheme="minorHAnsi"/>
        </w:rPr>
        <w:t>protokół odbioru robót przez właściwy urząd telekomunikacyjny i zakład radiokomunikacji i teletransmisji.</w:t>
      </w:r>
    </w:p>
    <w:p w14:paraId="6EB9E116" w14:textId="77777777" w:rsidR="00C9677E" w:rsidRPr="00A23FB4" w:rsidRDefault="00C9677E" w:rsidP="00C9677E">
      <w:pPr>
        <w:pStyle w:val="Nagwek3"/>
        <w:rPr>
          <w:rFonts w:asciiTheme="minorHAnsi" w:hAnsiTheme="minorHAnsi"/>
        </w:rPr>
      </w:pPr>
      <w:bookmarkStart w:id="81" w:name="_Toc467298656"/>
      <w:bookmarkStart w:id="82" w:name="_Toc468518138"/>
      <w:r w:rsidRPr="00A23FB4">
        <w:rPr>
          <w:rFonts w:asciiTheme="minorHAnsi" w:hAnsiTheme="minorHAnsi"/>
        </w:rPr>
        <w:t>9. PODSTAWA PŁATNOŚCI</w:t>
      </w:r>
      <w:bookmarkEnd w:id="81"/>
      <w:bookmarkEnd w:id="82"/>
    </w:p>
    <w:p w14:paraId="2BFD8F9A" w14:textId="77777777" w:rsidR="008B531E" w:rsidRDefault="008B531E" w:rsidP="008B531E">
      <w:pPr>
        <w:numPr>
          <w:ilvl w:val="12"/>
          <w:numId w:val="0"/>
        </w:numPr>
        <w:tabs>
          <w:tab w:val="left" w:pos="0"/>
          <w:tab w:val="left" w:pos="9914"/>
        </w:tabs>
        <w:rPr>
          <w:rFonts w:ascii="Calibri" w:hAnsi="Calibri" w:cs="Calibri"/>
        </w:rPr>
      </w:pPr>
    </w:p>
    <w:p w14:paraId="10D775BE" w14:textId="34CCB30B" w:rsidR="008B531E" w:rsidRDefault="008B531E" w:rsidP="008B531E">
      <w:pPr>
        <w:numPr>
          <w:ilvl w:val="12"/>
          <w:numId w:val="0"/>
        </w:numPr>
        <w:tabs>
          <w:tab w:val="left" w:pos="0"/>
          <w:tab w:val="left" w:pos="9914"/>
        </w:tabs>
        <w:rPr>
          <w:rFonts w:ascii="Calibri" w:hAnsi="Calibri" w:cs="Calibri"/>
        </w:rPr>
      </w:pPr>
      <w:r>
        <w:rPr>
          <w:rFonts w:ascii="Calibri" w:hAnsi="Calibri" w:cs="Calibri"/>
        </w:rPr>
        <w:t>Kontrakt ryczałtowy</w:t>
      </w:r>
    </w:p>
    <w:p w14:paraId="6BFD08BE" w14:textId="1537529D" w:rsidR="00C9677E" w:rsidRPr="00A23FB4" w:rsidRDefault="00C9677E" w:rsidP="00C9677E">
      <w:pPr>
        <w:rPr>
          <w:rFonts w:asciiTheme="minorHAnsi" w:hAnsiTheme="minorHAnsi" w:cstheme="minorHAnsi"/>
        </w:rPr>
      </w:pPr>
      <w:r w:rsidRPr="00A23FB4">
        <w:rPr>
          <w:rFonts w:asciiTheme="minorHAnsi" w:hAnsiTheme="minorHAnsi" w:cstheme="minorHAnsi"/>
        </w:rPr>
        <w:t xml:space="preserve">Ogólne wymagania dotyczące płatności podano w </w:t>
      </w:r>
      <w:r w:rsidR="002B1C7B">
        <w:rPr>
          <w:rFonts w:asciiTheme="minorHAnsi" w:hAnsiTheme="minorHAnsi" w:cstheme="minorHAnsi"/>
        </w:rPr>
        <w:t>ST</w:t>
      </w:r>
      <w:r w:rsidRPr="00A23FB4">
        <w:rPr>
          <w:rFonts w:asciiTheme="minorHAnsi" w:hAnsiTheme="minorHAnsi" w:cstheme="minorHAnsi"/>
        </w:rPr>
        <w:t>WiORB D-M-00.00.00 „Wymagania ogólne”.</w:t>
      </w:r>
    </w:p>
    <w:p w14:paraId="654555AF"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ab/>
      </w:r>
    </w:p>
    <w:p w14:paraId="2FF513BC" w14:textId="77777777" w:rsidR="00C9677E" w:rsidRPr="00A23FB4" w:rsidRDefault="00C9677E" w:rsidP="00C9677E">
      <w:pPr>
        <w:pStyle w:val="Nagwek3"/>
        <w:rPr>
          <w:rFonts w:asciiTheme="minorHAnsi" w:hAnsiTheme="minorHAnsi"/>
        </w:rPr>
      </w:pPr>
      <w:bookmarkStart w:id="83" w:name="_Toc468518139"/>
      <w:r w:rsidRPr="00A23FB4">
        <w:rPr>
          <w:rFonts w:asciiTheme="minorHAnsi" w:hAnsiTheme="minorHAnsi"/>
        </w:rPr>
        <w:t>10. PRZEPISY ZWIĄZANE</w:t>
      </w:r>
      <w:bookmarkEnd w:id="83"/>
    </w:p>
    <w:p w14:paraId="6802E21F" w14:textId="77777777" w:rsidR="00C9677E" w:rsidRPr="00A23FB4" w:rsidRDefault="00C9677E" w:rsidP="00C9677E">
      <w:pPr>
        <w:pStyle w:val="Nagwek4"/>
        <w:rPr>
          <w:rFonts w:asciiTheme="minorHAnsi" w:hAnsiTheme="minorHAnsi"/>
        </w:rPr>
      </w:pPr>
      <w:r w:rsidRPr="00A23FB4">
        <w:rPr>
          <w:rFonts w:asciiTheme="minorHAnsi" w:hAnsiTheme="minorHAnsi"/>
        </w:rPr>
        <w:t>10.1. Normy</w:t>
      </w:r>
    </w:p>
    <w:tbl>
      <w:tblPr>
        <w:tblW w:w="0" w:type="auto"/>
        <w:tblLayout w:type="fixed"/>
        <w:tblCellMar>
          <w:left w:w="70" w:type="dxa"/>
          <w:right w:w="70" w:type="dxa"/>
        </w:tblCellMar>
        <w:tblLook w:val="0000" w:firstRow="0" w:lastRow="0" w:firstColumn="0" w:lastColumn="0" w:noHBand="0" w:noVBand="0"/>
      </w:tblPr>
      <w:tblGrid>
        <w:gridCol w:w="496"/>
        <w:gridCol w:w="1842"/>
        <w:gridCol w:w="7371"/>
      </w:tblGrid>
      <w:tr w:rsidR="00C9677E" w:rsidRPr="00A23FB4" w14:paraId="67A5521A" w14:textId="77777777" w:rsidTr="00AD0C50">
        <w:tc>
          <w:tcPr>
            <w:tcW w:w="496" w:type="dxa"/>
          </w:tcPr>
          <w:p w14:paraId="51A99C66" w14:textId="77777777" w:rsidR="00C9677E" w:rsidRPr="00C86F6B" w:rsidRDefault="00C9677E" w:rsidP="00AD0C50">
            <w:pPr>
              <w:jc w:val="right"/>
              <w:rPr>
                <w:rFonts w:asciiTheme="minorHAnsi" w:hAnsiTheme="minorHAnsi" w:cstheme="minorHAnsi"/>
                <w:sz w:val="18"/>
                <w:szCs w:val="18"/>
              </w:rPr>
            </w:pPr>
            <w:r w:rsidRPr="00C86F6B">
              <w:rPr>
                <w:rFonts w:asciiTheme="minorHAnsi" w:hAnsiTheme="minorHAnsi" w:cstheme="minorHAnsi"/>
                <w:sz w:val="18"/>
                <w:szCs w:val="18"/>
              </w:rPr>
              <w:t>1.</w:t>
            </w:r>
          </w:p>
        </w:tc>
        <w:tc>
          <w:tcPr>
            <w:tcW w:w="1842" w:type="dxa"/>
          </w:tcPr>
          <w:p w14:paraId="72E1C66D" w14:textId="77777777" w:rsidR="00C9677E" w:rsidRPr="00C86F6B" w:rsidRDefault="00C9677E" w:rsidP="00AD0C50">
            <w:pPr>
              <w:rPr>
                <w:rFonts w:asciiTheme="minorHAnsi" w:hAnsiTheme="minorHAnsi" w:cstheme="minorHAnsi"/>
                <w:sz w:val="18"/>
                <w:szCs w:val="18"/>
              </w:rPr>
            </w:pPr>
            <w:r w:rsidRPr="00C86F6B">
              <w:rPr>
                <w:rFonts w:asciiTheme="minorHAnsi" w:hAnsiTheme="minorHAnsi" w:cstheme="minorHAnsi"/>
                <w:sz w:val="18"/>
                <w:szCs w:val="18"/>
              </w:rPr>
              <w:t>BN-87/6774-04</w:t>
            </w:r>
          </w:p>
        </w:tc>
        <w:tc>
          <w:tcPr>
            <w:tcW w:w="7371" w:type="dxa"/>
          </w:tcPr>
          <w:p w14:paraId="5A86277A" w14:textId="77777777" w:rsidR="00C9677E" w:rsidRPr="00C86F6B" w:rsidRDefault="00C9677E" w:rsidP="00AD0C50">
            <w:pPr>
              <w:rPr>
                <w:rFonts w:asciiTheme="minorHAnsi" w:hAnsiTheme="minorHAnsi" w:cstheme="minorHAnsi"/>
                <w:sz w:val="18"/>
                <w:szCs w:val="18"/>
              </w:rPr>
            </w:pPr>
            <w:r w:rsidRPr="00C86F6B">
              <w:rPr>
                <w:rFonts w:asciiTheme="minorHAnsi" w:hAnsiTheme="minorHAnsi" w:cstheme="minorHAnsi"/>
                <w:sz w:val="18"/>
                <w:szCs w:val="18"/>
              </w:rPr>
              <w:t>Kruszywa mineralne do nawierzchni drogowych. Piasek.</w:t>
            </w:r>
          </w:p>
        </w:tc>
      </w:tr>
      <w:tr w:rsidR="00C9677E" w:rsidRPr="00A23FB4" w14:paraId="076B5287" w14:textId="77777777" w:rsidTr="00AD0C50">
        <w:tc>
          <w:tcPr>
            <w:tcW w:w="496" w:type="dxa"/>
          </w:tcPr>
          <w:p w14:paraId="4C4BA708" w14:textId="77777777" w:rsidR="00C9677E" w:rsidRPr="00C86F6B" w:rsidRDefault="00C9677E" w:rsidP="00AD0C50">
            <w:pPr>
              <w:jc w:val="right"/>
              <w:rPr>
                <w:rFonts w:asciiTheme="minorHAnsi" w:hAnsiTheme="minorHAnsi" w:cstheme="minorHAnsi"/>
                <w:sz w:val="18"/>
                <w:szCs w:val="18"/>
              </w:rPr>
            </w:pPr>
            <w:r w:rsidRPr="00C86F6B">
              <w:rPr>
                <w:rFonts w:asciiTheme="minorHAnsi" w:hAnsiTheme="minorHAnsi" w:cstheme="minorHAnsi"/>
                <w:sz w:val="18"/>
                <w:szCs w:val="18"/>
              </w:rPr>
              <w:t>2.</w:t>
            </w:r>
          </w:p>
        </w:tc>
        <w:tc>
          <w:tcPr>
            <w:tcW w:w="1842" w:type="dxa"/>
          </w:tcPr>
          <w:p w14:paraId="0D53B3DA" w14:textId="77777777" w:rsidR="00C9677E" w:rsidRPr="00C86F6B" w:rsidRDefault="00C9677E" w:rsidP="00AD0C50">
            <w:pPr>
              <w:rPr>
                <w:rFonts w:asciiTheme="minorHAnsi" w:hAnsiTheme="minorHAnsi" w:cstheme="minorHAnsi"/>
                <w:sz w:val="18"/>
                <w:szCs w:val="18"/>
              </w:rPr>
            </w:pPr>
            <w:r w:rsidRPr="00C86F6B">
              <w:rPr>
                <w:rFonts w:asciiTheme="minorHAnsi" w:hAnsiTheme="minorHAnsi" w:cstheme="minorHAnsi"/>
                <w:sz w:val="18"/>
                <w:szCs w:val="18"/>
              </w:rPr>
              <w:t>PN-88/B-32250</w:t>
            </w:r>
          </w:p>
        </w:tc>
        <w:tc>
          <w:tcPr>
            <w:tcW w:w="7371" w:type="dxa"/>
          </w:tcPr>
          <w:p w14:paraId="5F2772C8" w14:textId="77777777" w:rsidR="00C9677E" w:rsidRPr="00C86F6B" w:rsidRDefault="00C9677E" w:rsidP="00AD0C50">
            <w:pPr>
              <w:rPr>
                <w:rFonts w:asciiTheme="minorHAnsi" w:hAnsiTheme="minorHAnsi" w:cstheme="minorHAnsi"/>
                <w:sz w:val="18"/>
                <w:szCs w:val="18"/>
              </w:rPr>
            </w:pPr>
            <w:r w:rsidRPr="00C86F6B">
              <w:rPr>
                <w:rFonts w:asciiTheme="minorHAnsi" w:hAnsiTheme="minorHAnsi" w:cstheme="minorHAnsi"/>
                <w:sz w:val="18"/>
                <w:szCs w:val="18"/>
              </w:rPr>
              <w:t>Materiały budowlane. Woda do betonów i zapraw.</w:t>
            </w:r>
          </w:p>
        </w:tc>
      </w:tr>
      <w:tr w:rsidR="00C9677E" w:rsidRPr="00A23FB4" w14:paraId="284F21DE" w14:textId="77777777" w:rsidTr="00AD0C50">
        <w:tc>
          <w:tcPr>
            <w:tcW w:w="496" w:type="dxa"/>
          </w:tcPr>
          <w:p w14:paraId="3B49BFCA" w14:textId="77777777" w:rsidR="00C9677E" w:rsidRPr="00C86F6B" w:rsidRDefault="00C9677E" w:rsidP="00AD0C50">
            <w:pPr>
              <w:jc w:val="right"/>
              <w:rPr>
                <w:rFonts w:asciiTheme="minorHAnsi" w:hAnsiTheme="minorHAnsi" w:cstheme="minorHAnsi"/>
                <w:sz w:val="18"/>
                <w:szCs w:val="18"/>
              </w:rPr>
            </w:pPr>
            <w:r w:rsidRPr="00C86F6B">
              <w:rPr>
                <w:rFonts w:asciiTheme="minorHAnsi" w:hAnsiTheme="minorHAnsi" w:cstheme="minorHAnsi"/>
                <w:sz w:val="18"/>
                <w:szCs w:val="18"/>
              </w:rPr>
              <w:t>3.</w:t>
            </w:r>
          </w:p>
        </w:tc>
        <w:tc>
          <w:tcPr>
            <w:tcW w:w="1842" w:type="dxa"/>
          </w:tcPr>
          <w:p w14:paraId="174F6B72" w14:textId="77777777" w:rsidR="00C9677E" w:rsidRPr="00C86F6B" w:rsidRDefault="00C9677E" w:rsidP="00AD0C50">
            <w:pPr>
              <w:rPr>
                <w:rFonts w:asciiTheme="minorHAnsi" w:hAnsiTheme="minorHAnsi" w:cstheme="minorHAnsi"/>
                <w:sz w:val="18"/>
                <w:szCs w:val="18"/>
              </w:rPr>
            </w:pPr>
            <w:r w:rsidRPr="00C86F6B">
              <w:rPr>
                <w:rFonts w:asciiTheme="minorHAnsi" w:hAnsiTheme="minorHAnsi" w:cstheme="minorHAnsi"/>
                <w:sz w:val="18"/>
                <w:szCs w:val="18"/>
              </w:rPr>
              <w:t>PN-88/B-06250</w:t>
            </w:r>
          </w:p>
        </w:tc>
        <w:tc>
          <w:tcPr>
            <w:tcW w:w="7371" w:type="dxa"/>
          </w:tcPr>
          <w:p w14:paraId="5CD9BDB1" w14:textId="77777777" w:rsidR="00C9677E" w:rsidRPr="00C86F6B" w:rsidRDefault="00C9677E" w:rsidP="00AD0C50">
            <w:pPr>
              <w:rPr>
                <w:rFonts w:asciiTheme="minorHAnsi" w:hAnsiTheme="minorHAnsi" w:cstheme="minorHAnsi"/>
                <w:sz w:val="18"/>
                <w:szCs w:val="18"/>
              </w:rPr>
            </w:pPr>
            <w:r w:rsidRPr="00C86F6B">
              <w:rPr>
                <w:rFonts w:asciiTheme="minorHAnsi" w:hAnsiTheme="minorHAnsi" w:cstheme="minorHAnsi"/>
                <w:sz w:val="18"/>
                <w:szCs w:val="18"/>
              </w:rPr>
              <w:t>Beton zwykły.</w:t>
            </w:r>
          </w:p>
        </w:tc>
      </w:tr>
      <w:tr w:rsidR="00C9677E" w:rsidRPr="00A23FB4" w14:paraId="7760C0BA" w14:textId="77777777" w:rsidTr="00AD0C50">
        <w:tc>
          <w:tcPr>
            <w:tcW w:w="496" w:type="dxa"/>
          </w:tcPr>
          <w:p w14:paraId="7ED31112" w14:textId="77777777" w:rsidR="00C9677E" w:rsidRPr="00C86F6B" w:rsidRDefault="00C9677E" w:rsidP="00AD0C50">
            <w:pPr>
              <w:jc w:val="right"/>
              <w:rPr>
                <w:rFonts w:asciiTheme="minorHAnsi" w:hAnsiTheme="minorHAnsi" w:cstheme="minorHAnsi"/>
                <w:sz w:val="18"/>
                <w:szCs w:val="18"/>
              </w:rPr>
            </w:pPr>
            <w:r w:rsidRPr="00C86F6B">
              <w:rPr>
                <w:rFonts w:asciiTheme="minorHAnsi" w:hAnsiTheme="minorHAnsi" w:cstheme="minorHAnsi"/>
                <w:sz w:val="18"/>
                <w:szCs w:val="18"/>
              </w:rPr>
              <w:t>4.</w:t>
            </w:r>
          </w:p>
        </w:tc>
        <w:tc>
          <w:tcPr>
            <w:tcW w:w="1842" w:type="dxa"/>
          </w:tcPr>
          <w:p w14:paraId="0242CE10" w14:textId="77777777" w:rsidR="00C9677E" w:rsidRPr="00C86F6B" w:rsidRDefault="00C9677E" w:rsidP="00AD0C50">
            <w:pPr>
              <w:rPr>
                <w:rFonts w:asciiTheme="minorHAnsi" w:hAnsiTheme="minorHAnsi" w:cstheme="minorHAnsi"/>
                <w:sz w:val="18"/>
                <w:szCs w:val="18"/>
              </w:rPr>
            </w:pPr>
            <w:r w:rsidRPr="00C86F6B">
              <w:rPr>
                <w:rFonts w:asciiTheme="minorHAnsi" w:hAnsiTheme="minorHAnsi" w:cstheme="minorHAnsi"/>
                <w:sz w:val="18"/>
                <w:szCs w:val="18"/>
              </w:rPr>
              <w:t>BN-85/8984-01</w:t>
            </w:r>
          </w:p>
        </w:tc>
        <w:tc>
          <w:tcPr>
            <w:tcW w:w="7371" w:type="dxa"/>
          </w:tcPr>
          <w:p w14:paraId="57E7EC4A" w14:textId="77777777" w:rsidR="00C9677E" w:rsidRPr="00C86F6B" w:rsidRDefault="00C9677E" w:rsidP="00AD0C50">
            <w:pPr>
              <w:rPr>
                <w:rFonts w:asciiTheme="minorHAnsi" w:hAnsiTheme="minorHAnsi" w:cstheme="minorHAnsi"/>
                <w:sz w:val="18"/>
                <w:szCs w:val="18"/>
              </w:rPr>
            </w:pPr>
            <w:r w:rsidRPr="00C86F6B">
              <w:rPr>
                <w:rFonts w:asciiTheme="minorHAnsi" w:hAnsiTheme="minorHAnsi" w:cstheme="minorHAnsi"/>
                <w:sz w:val="18"/>
                <w:szCs w:val="18"/>
              </w:rPr>
              <w:t>Telekomunikacyjne sieci kablowe miejscowe. Studnie kablowe. Klasyfikacja i wymiary.</w:t>
            </w:r>
          </w:p>
        </w:tc>
      </w:tr>
      <w:tr w:rsidR="00C9677E" w:rsidRPr="00A23FB4" w14:paraId="25A48EA8" w14:textId="77777777" w:rsidTr="00AD0C50">
        <w:tc>
          <w:tcPr>
            <w:tcW w:w="496" w:type="dxa"/>
          </w:tcPr>
          <w:p w14:paraId="55CE9B5A" w14:textId="77777777" w:rsidR="00C9677E" w:rsidRPr="00C86F6B" w:rsidRDefault="00C9677E" w:rsidP="00AD0C50">
            <w:pPr>
              <w:jc w:val="right"/>
              <w:rPr>
                <w:rFonts w:asciiTheme="minorHAnsi" w:hAnsiTheme="minorHAnsi" w:cstheme="minorHAnsi"/>
                <w:sz w:val="18"/>
                <w:szCs w:val="18"/>
              </w:rPr>
            </w:pPr>
            <w:r w:rsidRPr="00C86F6B">
              <w:rPr>
                <w:rFonts w:asciiTheme="minorHAnsi" w:hAnsiTheme="minorHAnsi" w:cstheme="minorHAnsi"/>
                <w:sz w:val="18"/>
                <w:szCs w:val="18"/>
              </w:rPr>
              <w:t>5.</w:t>
            </w:r>
          </w:p>
        </w:tc>
        <w:tc>
          <w:tcPr>
            <w:tcW w:w="1842" w:type="dxa"/>
          </w:tcPr>
          <w:p w14:paraId="722AA83B" w14:textId="77777777" w:rsidR="00C9677E" w:rsidRPr="00C86F6B" w:rsidRDefault="00C9677E" w:rsidP="00AD0C50">
            <w:pPr>
              <w:rPr>
                <w:rFonts w:asciiTheme="minorHAnsi" w:hAnsiTheme="minorHAnsi" w:cstheme="minorHAnsi"/>
                <w:sz w:val="18"/>
                <w:szCs w:val="18"/>
              </w:rPr>
            </w:pPr>
            <w:r w:rsidRPr="00C86F6B">
              <w:rPr>
                <w:rFonts w:asciiTheme="minorHAnsi" w:hAnsiTheme="minorHAnsi" w:cstheme="minorHAnsi"/>
                <w:sz w:val="18"/>
                <w:szCs w:val="18"/>
              </w:rPr>
              <w:t>BN-74/3233-15</w:t>
            </w:r>
          </w:p>
        </w:tc>
        <w:tc>
          <w:tcPr>
            <w:tcW w:w="7371" w:type="dxa"/>
          </w:tcPr>
          <w:p w14:paraId="6984C5C9" w14:textId="77777777" w:rsidR="00C9677E" w:rsidRPr="00C86F6B" w:rsidRDefault="00C9677E" w:rsidP="00AD0C50">
            <w:pPr>
              <w:rPr>
                <w:rFonts w:asciiTheme="minorHAnsi" w:hAnsiTheme="minorHAnsi" w:cstheme="minorHAnsi"/>
                <w:sz w:val="18"/>
                <w:szCs w:val="18"/>
              </w:rPr>
            </w:pPr>
            <w:r w:rsidRPr="00C86F6B">
              <w:rPr>
                <w:rFonts w:asciiTheme="minorHAnsi" w:hAnsiTheme="minorHAnsi" w:cstheme="minorHAnsi"/>
                <w:sz w:val="18"/>
                <w:szCs w:val="18"/>
              </w:rPr>
              <w:t>Bloki betonowe płaskie.</w:t>
            </w:r>
          </w:p>
        </w:tc>
      </w:tr>
      <w:tr w:rsidR="00C9677E" w:rsidRPr="00A23FB4" w14:paraId="00D636ED" w14:textId="77777777" w:rsidTr="00AD0C50">
        <w:tc>
          <w:tcPr>
            <w:tcW w:w="496" w:type="dxa"/>
          </w:tcPr>
          <w:p w14:paraId="35018651" w14:textId="77777777" w:rsidR="00C9677E" w:rsidRPr="00C86F6B" w:rsidRDefault="00C9677E" w:rsidP="00AD0C50">
            <w:pPr>
              <w:jc w:val="right"/>
              <w:rPr>
                <w:rFonts w:asciiTheme="minorHAnsi" w:hAnsiTheme="minorHAnsi" w:cstheme="minorHAnsi"/>
                <w:sz w:val="18"/>
                <w:szCs w:val="18"/>
              </w:rPr>
            </w:pPr>
            <w:r w:rsidRPr="00C86F6B">
              <w:rPr>
                <w:rFonts w:asciiTheme="minorHAnsi" w:hAnsiTheme="minorHAnsi" w:cstheme="minorHAnsi"/>
                <w:sz w:val="18"/>
                <w:szCs w:val="18"/>
              </w:rPr>
              <w:t>6.</w:t>
            </w:r>
          </w:p>
        </w:tc>
        <w:tc>
          <w:tcPr>
            <w:tcW w:w="1842" w:type="dxa"/>
          </w:tcPr>
          <w:p w14:paraId="168AAF9D" w14:textId="77777777" w:rsidR="00C9677E" w:rsidRPr="00C86F6B" w:rsidRDefault="00C9677E" w:rsidP="00AD0C50">
            <w:pPr>
              <w:rPr>
                <w:rFonts w:asciiTheme="minorHAnsi" w:hAnsiTheme="minorHAnsi" w:cstheme="minorHAnsi"/>
                <w:sz w:val="18"/>
                <w:szCs w:val="18"/>
              </w:rPr>
            </w:pPr>
            <w:r w:rsidRPr="00C86F6B">
              <w:rPr>
                <w:rFonts w:asciiTheme="minorHAnsi" w:hAnsiTheme="minorHAnsi" w:cstheme="minorHAnsi"/>
                <w:sz w:val="18"/>
                <w:szCs w:val="18"/>
              </w:rPr>
              <w:t>BN-80/C-89203</w:t>
            </w:r>
          </w:p>
        </w:tc>
        <w:tc>
          <w:tcPr>
            <w:tcW w:w="7371" w:type="dxa"/>
          </w:tcPr>
          <w:p w14:paraId="617FD9DF" w14:textId="77777777" w:rsidR="00C9677E" w:rsidRPr="00C86F6B" w:rsidRDefault="00C9677E" w:rsidP="00AD0C50">
            <w:pPr>
              <w:rPr>
                <w:rFonts w:asciiTheme="minorHAnsi" w:hAnsiTheme="minorHAnsi" w:cstheme="minorHAnsi"/>
                <w:sz w:val="18"/>
                <w:szCs w:val="18"/>
              </w:rPr>
            </w:pPr>
            <w:r w:rsidRPr="00C86F6B">
              <w:rPr>
                <w:rFonts w:asciiTheme="minorHAnsi" w:hAnsiTheme="minorHAnsi" w:cstheme="minorHAnsi"/>
                <w:sz w:val="18"/>
                <w:szCs w:val="18"/>
              </w:rPr>
              <w:t>Rury z nieplastyfikowanego polichlorku winylu (PCW).</w:t>
            </w:r>
          </w:p>
        </w:tc>
      </w:tr>
      <w:tr w:rsidR="00C9677E" w:rsidRPr="00A23FB4" w14:paraId="1945C6F5" w14:textId="77777777" w:rsidTr="00AD0C50">
        <w:tc>
          <w:tcPr>
            <w:tcW w:w="496" w:type="dxa"/>
          </w:tcPr>
          <w:p w14:paraId="3505DFB1" w14:textId="77777777" w:rsidR="00C9677E" w:rsidRPr="00C86F6B" w:rsidRDefault="00C9677E" w:rsidP="00AD0C50">
            <w:pPr>
              <w:jc w:val="right"/>
              <w:rPr>
                <w:rFonts w:asciiTheme="minorHAnsi" w:hAnsiTheme="minorHAnsi" w:cstheme="minorHAnsi"/>
                <w:sz w:val="18"/>
                <w:szCs w:val="18"/>
              </w:rPr>
            </w:pPr>
            <w:r w:rsidRPr="00C86F6B">
              <w:rPr>
                <w:rFonts w:asciiTheme="minorHAnsi" w:hAnsiTheme="minorHAnsi" w:cstheme="minorHAnsi"/>
                <w:sz w:val="18"/>
                <w:szCs w:val="18"/>
              </w:rPr>
              <w:t>7.</w:t>
            </w:r>
          </w:p>
        </w:tc>
        <w:tc>
          <w:tcPr>
            <w:tcW w:w="1842" w:type="dxa"/>
          </w:tcPr>
          <w:p w14:paraId="3D63489E" w14:textId="77777777" w:rsidR="00C9677E" w:rsidRPr="00C86F6B" w:rsidRDefault="00C9677E" w:rsidP="00AD0C50">
            <w:pPr>
              <w:rPr>
                <w:rFonts w:asciiTheme="minorHAnsi" w:hAnsiTheme="minorHAnsi" w:cstheme="minorHAnsi"/>
                <w:sz w:val="18"/>
                <w:szCs w:val="18"/>
              </w:rPr>
            </w:pPr>
            <w:r w:rsidRPr="00C86F6B">
              <w:rPr>
                <w:rFonts w:asciiTheme="minorHAnsi" w:hAnsiTheme="minorHAnsi" w:cstheme="minorHAnsi"/>
                <w:sz w:val="18"/>
                <w:szCs w:val="18"/>
              </w:rPr>
              <w:t>PN-76/D-79353</w:t>
            </w:r>
          </w:p>
        </w:tc>
        <w:tc>
          <w:tcPr>
            <w:tcW w:w="7371" w:type="dxa"/>
          </w:tcPr>
          <w:p w14:paraId="24E5A709" w14:textId="77777777" w:rsidR="00C9677E" w:rsidRPr="00C86F6B" w:rsidRDefault="00C9677E" w:rsidP="00AD0C50">
            <w:pPr>
              <w:rPr>
                <w:rFonts w:asciiTheme="minorHAnsi" w:hAnsiTheme="minorHAnsi" w:cstheme="minorHAnsi"/>
                <w:sz w:val="18"/>
                <w:szCs w:val="18"/>
              </w:rPr>
            </w:pPr>
            <w:r w:rsidRPr="00C86F6B">
              <w:rPr>
                <w:rFonts w:asciiTheme="minorHAnsi" w:hAnsiTheme="minorHAnsi" w:cstheme="minorHAnsi"/>
                <w:sz w:val="18"/>
                <w:szCs w:val="18"/>
              </w:rPr>
              <w:t>Bębny kablowe.</w:t>
            </w:r>
          </w:p>
        </w:tc>
      </w:tr>
      <w:tr w:rsidR="00C9677E" w:rsidRPr="00A23FB4" w14:paraId="5017F289" w14:textId="77777777" w:rsidTr="00AD0C50">
        <w:tc>
          <w:tcPr>
            <w:tcW w:w="496" w:type="dxa"/>
          </w:tcPr>
          <w:p w14:paraId="24EE71CF" w14:textId="77777777" w:rsidR="00C9677E" w:rsidRPr="00C86F6B" w:rsidRDefault="00C9677E" w:rsidP="00AD0C50">
            <w:pPr>
              <w:jc w:val="right"/>
              <w:rPr>
                <w:rFonts w:asciiTheme="minorHAnsi" w:hAnsiTheme="minorHAnsi" w:cstheme="minorHAnsi"/>
                <w:sz w:val="18"/>
                <w:szCs w:val="18"/>
              </w:rPr>
            </w:pPr>
            <w:r w:rsidRPr="00C86F6B">
              <w:rPr>
                <w:rFonts w:asciiTheme="minorHAnsi" w:hAnsiTheme="minorHAnsi" w:cstheme="minorHAnsi"/>
                <w:sz w:val="18"/>
                <w:szCs w:val="18"/>
              </w:rPr>
              <w:t>8.</w:t>
            </w:r>
          </w:p>
        </w:tc>
        <w:tc>
          <w:tcPr>
            <w:tcW w:w="1842" w:type="dxa"/>
          </w:tcPr>
          <w:p w14:paraId="6A90CCA4" w14:textId="77777777" w:rsidR="00C9677E" w:rsidRPr="00C86F6B" w:rsidRDefault="00C9677E" w:rsidP="00AD0C50">
            <w:pPr>
              <w:rPr>
                <w:rFonts w:asciiTheme="minorHAnsi" w:hAnsiTheme="minorHAnsi" w:cstheme="minorHAnsi"/>
                <w:sz w:val="18"/>
                <w:szCs w:val="18"/>
              </w:rPr>
            </w:pPr>
            <w:r w:rsidRPr="00C86F6B">
              <w:rPr>
                <w:rFonts w:asciiTheme="minorHAnsi" w:hAnsiTheme="minorHAnsi" w:cstheme="minorHAnsi"/>
                <w:sz w:val="18"/>
                <w:szCs w:val="18"/>
              </w:rPr>
              <w:t>BN-73/8984-05</w:t>
            </w:r>
          </w:p>
        </w:tc>
        <w:tc>
          <w:tcPr>
            <w:tcW w:w="7371" w:type="dxa"/>
          </w:tcPr>
          <w:p w14:paraId="5007A37E" w14:textId="77777777" w:rsidR="00C9677E" w:rsidRPr="00C86F6B" w:rsidRDefault="00C9677E" w:rsidP="00AD0C50">
            <w:pPr>
              <w:rPr>
                <w:rFonts w:asciiTheme="minorHAnsi" w:hAnsiTheme="minorHAnsi" w:cstheme="minorHAnsi"/>
                <w:sz w:val="18"/>
                <w:szCs w:val="18"/>
              </w:rPr>
            </w:pPr>
            <w:r w:rsidRPr="00C86F6B">
              <w:rPr>
                <w:rFonts w:asciiTheme="minorHAnsi" w:hAnsiTheme="minorHAnsi" w:cstheme="minorHAnsi"/>
                <w:sz w:val="18"/>
                <w:szCs w:val="18"/>
              </w:rPr>
              <w:t>Kanalizacja kablowa. Ogólne wymagania i badania.</w:t>
            </w:r>
          </w:p>
        </w:tc>
      </w:tr>
      <w:tr w:rsidR="00C9677E" w:rsidRPr="00A23FB4" w14:paraId="79FDB480" w14:textId="77777777" w:rsidTr="00AD0C50">
        <w:tc>
          <w:tcPr>
            <w:tcW w:w="496" w:type="dxa"/>
          </w:tcPr>
          <w:p w14:paraId="41C062D6" w14:textId="77777777" w:rsidR="00C9677E" w:rsidRPr="00C86F6B" w:rsidRDefault="00C9677E" w:rsidP="00AD0C50">
            <w:pPr>
              <w:jc w:val="right"/>
              <w:rPr>
                <w:rFonts w:asciiTheme="minorHAnsi" w:hAnsiTheme="minorHAnsi" w:cstheme="minorHAnsi"/>
                <w:sz w:val="18"/>
                <w:szCs w:val="18"/>
              </w:rPr>
            </w:pPr>
            <w:r w:rsidRPr="00C86F6B">
              <w:rPr>
                <w:rFonts w:asciiTheme="minorHAnsi" w:hAnsiTheme="minorHAnsi" w:cstheme="minorHAnsi"/>
                <w:sz w:val="18"/>
                <w:szCs w:val="18"/>
              </w:rPr>
              <w:t>9.</w:t>
            </w:r>
          </w:p>
        </w:tc>
        <w:tc>
          <w:tcPr>
            <w:tcW w:w="1842" w:type="dxa"/>
          </w:tcPr>
          <w:p w14:paraId="0C9C8942" w14:textId="77777777" w:rsidR="00C9677E" w:rsidRPr="00C86F6B" w:rsidRDefault="00C9677E" w:rsidP="00AD0C50">
            <w:pPr>
              <w:rPr>
                <w:rFonts w:asciiTheme="minorHAnsi" w:hAnsiTheme="minorHAnsi" w:cstheme="minorHAnsi"/>
                <w:sz w:val="18"/>
                <w:szCs w:val="18"/>
              </w:rPr>
            </w:pPr>
            <w:r w:rsidRPr="00C86F6B">
              <w:rPr>
                <w:rFonts w:asciiTheme="minorHAnsi" w:hAnsiTheme="minorHAnsi" w:cstheme="minorHAnsi"/>
                <w:sz w:val="18"/>
                <w:szCs w:val="18"/>
              </w:rPr>
              <w:t>BN-76/3238-13</w:t>
            </w:r>
          </w:p>
        </w:tc>
        <w:tc>
          <w:tcPr>
            <w:tcW w:w="7371" w:type="dxa"/>
          </w:tcPr>
          <w:p w14:paraId="6C4A5076" w14:textId="77777777" w:rsidR="00C9677E" w:rsidRPr="00C86F6B" w:rsidRDefault="00C9677E" w:rsidP="00AD0C50">
            <w:pPr>
              <w:rPr>
                <w:rFonts w:asciiTheme="minorHAnsi" w:hAnsiTheme="minorHAnsi" w:cstheme="minorHAnsi"/>
                <w:sz w:val="18"/>
                <w:szCs w:val="18"/>
              </w:rPr>
            </w:pPr>
            <w:r w:rsidRPr="00C86F6B">
              <w:rPr>
                <w:rFonts w:asciiTheme="minorHAnsi" w:hAnsiTheme="minorHAnsi" w:cstheme="minorHAnsi"/>
                <w:sz w:val="18"/>
                <w:szCs w:val="18"/>
              </w:rPr>
              <w:t>Narzędzia teletechniczne i przybory pomocnicze. Sprawdzian do układania bloków betonowych.</w:t>
            </w:r>
          </w:p>
        </w:tc>
      </w:tr>
      <w:tr w:rsidR="00C9677E" w:rsidRPr="00A23FB4" w14:paraId="39E5F5A9" w14:textId="77777777" w:rsidTr="00AD0C50">
        <w:tc>
          <w:tcPr>
            <w:tcW w:w="496" w:type="dxa"/>
          </w:tcPr>
          <w:p w14:paraId="15029999" w14:textId="77777777" w:rsidR="00C9677E" w:rsidRPr="00C86F6B" w:rsidRDefault="00C9677E" w:rsidP="00AD0C50">
            <w:pPr>
              <w:jc w:val="right"/>
              <w:rPr>
                <w:rFonts w:asciiTheme="minorHAnsi" w:hAnsiTheme="minorHAnsi" w:cstheme="minorHAnsi"/>
                <w:sz w:val="18"/>
                <w:szCs w:val="18"/>
              </w:rPr>
            </w:pPr>
            <w:r w:rsidRPr="00C86F6B">
              <w:rPr>
                <w:rFonts w:asciiTheme="minorHAnsi" w:hAnsiTheme="minorHAnsi" w:cstheme="minorHAnsi"/>
                <w:sz w:val="18"/>
                <w:szCs w:val="18"/>
              </w:rPr>
              <w:t>10.</w:t>
            </w:r>
          </w:p>
        </w:tc>
        <w:tc>
          <w:tcPr>
            <w:tcW w:w="1842" w:type="dxa"/>
          </w:tcPr>
          <w:p w14:paraId="1FCB493E" w14:textId="77777777" w:rsidR="00C9677E" w:rsidRPr="00C86F6B" w:rsidRDefault="00C9677E" w:rsidP="00AD0C50">
            <w:pPr>
              <w:rPr>
                <w:rFonts w:asciiTheme="minorHAnsi" w:hAnsiTheme="minorHAnsi" w:cstheme="minorHAnsi"/>
                <w:sz w:val="18"/>
                <w:szCs w:val="18"/>
              </w:rPr>
            </w:pPr>
            <w:r w:rsidRPr="00C86F6B">
              <w:rPr>
                <w:rFonts w:asciiTheme="minorHAnsi" w:hAnsiTheme="minorHAnsi" w:cstheme="minorHAnsi"/>
                <w:sz w:val="18"/>
                <w:szCs w:val="18"/>
              </w:rPr>
              <w:t>PN-85/T-90310</w:t>
            </w:r>
          </w:p>
        </w:tc>
        <w:tc>
          <w:tcPr>
            <w:tcW w:w="7371" w:type="dxa"/>
          </w:tcPr>
          <w:p w14:paraId="54C58E03" w14:textId="77777777" w:rsidR="00C9677E" w:rsidRPr="00C86F6B" w:rsidRDefault="00C9677E" w:rsidP="00AD0C50">
            <w:pPr>
              <w:rPr>
                <w:rFonts w:asciiTheme="minorHAnsi" w:hAnsiTheme="minorHAnsi" w:cstheme="minorHAnsi"/>
                <w:sz w:val="18"/>
                <w:szCs w:val="18"/>
              </w:rPr>
            </w:pPr>
            <w:r w:rsidRPr="00C86F6B">
              <w:rPr>
                <w:rFonts w:asciiTheme="minorHAnsi" w:hAnsiTheme="minorHAnsi" w:cstheme="minorHAnsi"/>
                <w:sz w:val="18"/>
                <w:szCs w:val="18"/>
              </w:rPr>
              <w:t>Telekomunikacyjne kable miejscowe z wiązkami czwórkowymi o izolacji papierowej i powłoce ołowianej. Ogólne wymagania i badania.</w:t>
            </w:r>
          </w:p>
        </w:tc>
      </w:tr>
      <w:tr w:rsidR="00C9677E" w:rsidRPr="00A23FB4" w14:paraId="0122A741" w14:textId="77777777" w:rsidTr="00AD0C50">
        <w:tc>
          <w:tcPr>
            <w:tcW w:w="496" w:type="dxa"/>
          </w:tcPr>
          <w:p w14:paraId="460E35CD" w14:textId="77777777" w:rsidR="00C9677E" w:rsidRPr="00C86F6B" w:rsidRDefault="00C9677E" w:rsidP="00AD0C50">
            <w:pPr>
              <w:jc w:val="right"/>
              <w:rPr>
                <w:rFonts w:asciiTheme="minorHAnsi" w:hAnsiTheme="minorHAnsi" w:cstheme="minorHAnsi"/>
                <w:sz w:val="18"/>
                <w:szCs w:val="18"/>
              </w:rPr>
            </w:pPr>
            <w:r w:rsidRPr="00C86F6B">
              <w:rPr>
                <w:rFonts w:asciiTheme="minorHAnsi" w:hAnsiTheme="minorHAnsi" w:cstheme="minorHAnsi"/>
                <w:sz w:val="18"/>
                <w:szCs w:val="18"/>
              </w:rPr>
              <w:t>11.</w:t>
            </w:r>
          </w:p>
        </w:tc>
        <w:tc>
          <w:tcPr>
            <w:tcW w:w="1842" w:type="dxa"/>
          </w:tcPr>
          <w:p w14:paraId="2A32D869" w14:textId="77777777" w:rsidR="00C9677E" w:rsidRPr="00C86F6B" w:rsidRDefault="00C9677E" w:rsidP="00AD0C50">
            <w:pPr>
              <w:rPr>
                <w:rFonts w:asciiTheme="minorHAnsi" w:hAnsiTheme="minorHAnsi" w:cstheme="minorHAnsi"/>
                <w:sz w:val="18"/>
                <w:szCs w:val="18"/>
              </w:rPr>
            </w:pPr>
            <w:r w:rsidRPr="00C86F6B">
              <w:rPr>
                <w:rFonts w:asciiTheme="minorHAnsi" w:hAnsiTheme="minorHAnsi" w:cstheme="minorHAnsi"/>
                <w:sz w:val="18"/>
                <w:szCs w:val="18"/>
              </w:rPr>
              <w:t>PN-85/T-90311</w:t>
            </w:r>
          </w:p>
        </w:tc>
        <w:tc>
          <w:tcPr>
            <w:tcW w:w="7371" w:type="dxa"/>
          </w:tcPr>
          <w:p w14:paraId="7BA4ECF0" w14:textId="77777777" w:rsidR="00C9677E" w:rsidRPr="00C86F6B" w:rsidRDefault="00C9677E" w:rsidP="00AD0C50">
            <w:pPr>
              <w:rPr>
                <w:rFonts w:asciiTheme="minorHAnsi" w:hAnsiTheme="minorHAnsi" w:cstheme="minorHAnsi"/>
                <w:sz w:val="18"/>
                <w:szCs w:val="18"/>
              </w:rPr>
            </w:pPr>
            <w:r w:rsidRPr="00C86F6B">
              <w:rPr>
                <w:rFonts w:asciiTheme="minorHAnsi" w:hAnsiTheme="minorHAnsi" w:cstheme="minorHAnsi"/>
                <w:sz w:val="18"/>
                <w:szCs w:val="18"/>
              </w:rPr>
              <w:t>Telekomunikacyjne kable miejscowe z wiązkami czwórkowymi o izolacji papierowej, o powłoce ołowianej, nieopancerzone i opancerzone.</w:t>
            </w:r>
          </w:p>
        </w:tc>
      </w:tr>
      <w:tr w:rsidR="00C9677E" w:rsidRPr="00A23FB4" w14:paraId="559341F3" w14:textId="77777777" w:rsidTr="00AD0C50">
        <w:tc>
          <w:tcPr>
            <w:tcW w:w="496" w:type="dxa"/>
          </w:tcPr>
          <w:p w14:paraId="29772A07" w14:textId="77777777" w:rsidR="00C9677E" w:rsidRPr="00C86F6B" w:rsidRDefault="00C9677E" w:rsidP="00AD0C50">
            <w:pPr>
              <w:jc w:val="right"/>
              <w:rPr>
                <w:rFonts w:asciiTheme="minorHAnsi" w:hAnsiTheme="minorHAnsi" w:cstheme="minorHAnsi"/>
                <w:sz w:val="18"/>
                <w:szCs w:val="18"/>
              </w:rPr>
            </w:pPr>
            <w:r w:rsidRPr="00C86F6B">
              <w:rPr>
                <w:rFonts w:asciiTheme="minorHAnsi" w:hAnsiTheme="minorHAnsi" w:cstheme="minorHAnsi"/>
                <w:sz w:val="18"/>
                <w:szCs w:val="18"/>
              </w:rPr>
              <w:t>12.</w:t>
            </w:r>
          </w:p>
        </w:tc>
        <w:tc>
          <w:tcPr>
            <w:tcW w:w="1842" w:type="dxa"/>
          </w:tcPr>
          <w:p w14:paraId="5B9417F9" w14:textId="77777777" w:rsidR="00C9677E" w:rsidRPr="00C86F6B" w:rsidRDefault="00C9677E" w:rsidP="00AD0C50">
            <w:pPr>
              <w:rPr>
                <w:rFonts w:asciiTheme="minorHAnsi" w:hAnsiTheme="minorHAnsi" w:cstheme="minorHAnsi"/>
                <w:sz w:val="18"/>
                <w:szCs w:val="18"/>
              </w:rPr>
            </w:pPr>
            <w:r w:rsidRPr="00C86F6B">
              <w:rPr>
                <w:rFonts w:asciiTheme="minorHAnsi" w:hAnsiTheme="minorHAnsi" w:cstheme="minorHAnsi"/>
                <w:sz w:val="18"/>
                <w:szCs w:val="18"/>
              </w:rPr>
              <w:t>PN-85/T-90331</w:t>
            </w:r>
          </w:p>
        </w:tc>
        <w:tc>
          <w:tcPr>
            <w:tcW w:w="7371" w:type="dxa"/>
          </w:tcPr>
          <w:p w14:paraId="5B689119" w14:textId="77777777" w:rsidR="00C9677E" w:rsidRPr="00C86F6B" w:rsidRDefault="00C9677E" w:rsidP="00AD0C50">
            <w:pPr>
              <w:rPr>
                <w:rFonts w:asciiTheme="minorHAnsi" w:hAnsiTheme="minorHAnsi" w:cstheme="minorHAnsi"/>
                <w:sz w:val="18"/>
                <w:szCs w:val="18"/>
              </w:rPr>
            </w:pPr>
            <w:r w:rsidRPr="00C86F6B">
              <w:rPr>
                <w:rFonts w:asciiTheme="minorHAnsi" w:hAnsiTheme="minorHAnsi" w:cstheme="minorHAnsi"/>
                <w:sz w:val="18"/>
                <w:szCs w:val="18"/>
              </w:rPr>
              <w:t>Telekomunikacyjne kable miejscowe z wiązkami czwórkowymi, pęczkowe, o izolacji polietylenowej z zaporą przeciwwilgociową, nieopancerzone i opancerzone z osłoną polietylenową lub polwinitową.</w:t>
            </w:r>
          </w:p>
        </w:tc>
      </w:tr>
      <w:tr w:rsidR="00C9677E" w:rsidRPr="00A23FB4" w14:paraId="32E5C1D0" w14:textId="77777777" w:rsidTr="00AD0C50">
        <w:tc>
          <w:tcPr>
            <w:tcW w:w="496" w:type="dxa"/>
          </w:tcPr>
          <w:p w14:paraId="0D55E744" w14:textId="77777777" w:rsidR="00C9677E" w:rsidRPr="00C86F6B" w:rsidRDefault="00C9677E" w:rsidP="00AD0C50">
            <w:pPr>
              <w:jc w:val="right"/>
              <w:rPr>
                <w:rFonts w:asciiTheme="minorHAnsi" w:hAnsiTheme="minorHAnsi" w:cstheme="minorHAnsi"/>
                <w:sz w:val="18"/>
                <w:szCs w:val="18"/>
              </w:rPr>
            </w:pPr>
            <w:r w:rsidRPr="00C86F6B">
              <w:rPr>
                <w:rFonts w:asciiTheme="minorHAnsi" w:hAnsiTheme="minorHAnsi" w:cstheme="minorHAnsi"/>
                <w:sz w:val="18"/>
                <w:szCs w:val="18"/>
              </w:rPr>
              <w:t>13.</w:t>
            </w:r>
          </w:p>
        </w:tc>
        <w:tc>
          <w:tcPr>
            <w:tcW w:w="1842" w:type="dxa"/>
          </w:tcPr>
          <w:p w14:paraId="3395C2F7" w14:textId="77777777" w:rsidR="00C9677E" w:rsidRPr="00C86F6B" w:rsidRDefault="00C9677E" w:rsidP="00AD0C50">
            <w:pPr>
              <w:rPr>
                <w:rFonts w:asciiTheme="minorHAnsi" w:hAnsiTheme="minorHAnsi" w:cstheme="minorHAnsi"/>
                <w:sz w:val="18"/>
                <w:szCs w:val="18"/>
              </w:rPr>
            </w:pPr>
            <w:r w:rsidRPr="00C86F6B">
              <w:rPr>
                <w:rFonts w:asciiTheme="minorHAnsi" w:hAnsiTheme="minorHAnsi" w:cstheme="minorHAnsi"/>
                <w:sz w:val="18"/>
                <w:szCs w:val="18"/>
              </w:rPr>
              <w:t>PN-83/T-90330</w:t>
            </w:r>
          </w:p>
        </w:tc>
        <w:tc>
          <w:tcPr>
            <w:tcW w:w="7371" w:type="dxa"/>
          </w:tcPr>
          <w:p w14:paraId="13655E77" w14:textId="77777777" w:rsidR="00C9677E" w:rsidRPr="00C86F6B" w:rsidRDefault="00C9677E" w:rsidP="00AD0C50">
            <w:pPr>
              <w:rPr>
                <w:rFonts w:asciiTheme="minorHAnsi" w:hAnsiTheme="minorHAnsi" w:cstheme="minorHAnsi"/>
                <w:sz w:val="18"/>
                <w:szCs w:val="18"/>
              </w:rPr>
            </w:pPr>
            <w:r w:rsidRPr="00C86F6B">
              <w:rPr>
                <w:rFonts w:asciiTheme="minorHAnsi" w:hAnsiTheme="minorHAnsi" w:cstheme="minorHAnsi"/>
                <w:sz w:val="18"/>
                <w:szCs w:val="18"/>
              </w:rPr>
              <w:t>Telekomunikacyjne kable miejscowe z wiązkami czwórkowymi, pęczkowe, o izolacji polietylenowej. Ogólne wymagania i badania.</w:t>
            </w:r>
          </w:p>
        </w:tc>
      </w:tr>
      <w:tr w:rsidR="00C9677E" w:rsidRPr="00A23FB4" w14:paraId="5A794A8F" w14:textId="77777777" w:rsidTr="00AD0C50">
        <w:tc>
          <w:tcPr>
            <w:tcW w:w="496" w:type="dxa"/>
          </w:tcPr>
          <w:p w14:paraId="33492673" w14:textId="77777777" w:rsidR="00C9677E" w:rsidRPr="00C86F6B" w:rsidRDefault="00C9677E" w:rsidP="00AD0C50">
            <w:pPr>
              <w:jc w:val="right"/>
              <w:rPr>
                <w:rFonts w:asciiTheme="minorHAnsi" w:hAnsiTheme="minorHAnsi" w:cstheme="minorHAnsi"/>
                <w:sz w:val="18"/>
                <w:szCs w:val="18"/>
              </w:rPr>
            </w:pPr>
            <w:r w:rsidRPr="00C86F6B">
              <w:rPr>
                <w:rFonts w:asciiTheme="minorHAnsi" w:hAnsiTheme="minorHAnsi" w:cstheme="minorHAnsi"/>
                <w:sz w:val="18"/>
                <w:szCs w:val="18"/>
              </w:rPr>
              <w:t>14.</w:t>
            </w:r>
          </w:p>
        </w:tc>
        <w:tc>
          <w:tcPr>
            <w:tcW w:w="1842" w:type="dxa"/>
          </w:tcPr>
          <w:p w14:paraId="1854D41C" w14:textId="77777777" w:rsidR="00C9677E" w:rsidRPr="00C86F6B" w:rsidRDefault="00C9677E" w:rsidP="00AD0C50">
            <w:pPr>
              <w:rPr>
                <w:rFonts w:asciiTheme="minorHAnsi" w:hAnsiTheme="minorHAnsi" w:cstheme="minorHAnsi"/>
                <w:sz w:val="18"/>
                <w:szCs w:val="18"/>
              </w:rPr>
            </w:pPr>
            <w:r w:rsidRPr="00C86F6B">
              <w:rPr>
                <w:rFonts w:asciiTheme="minorHAnsi" w:hAnsiTheme="minorHAnsi" w:cstheme="minorHAnsi"/>
                <w:sz w:val="18"/>
                <w:szCs w:val="18"/>
              </w:rPr>
              <w:t>BN-80/3231-25</w:t>
            </w:r>
          </w:p>
        </w:tc>
        <w:tc>
          <w:tcPr>
            <w:tcW w:w="7371" w:type="dxa"/>
          </w:tcPr>
          <w:p w14:paraId="0959F0D8" w14:textId="77777777" w:rsidR="00C9677E" w:rsidRPr="00C86F6B" w:rsidRDefault="00C9677E" w:rsidP="00AD0C50">
            <w:pPr>
              <w:rPr>
                <w:rFonts w:asciiTheme="minorHAnsi" w:hAnsiTheme="minorHAnsi" w:cstheme="minorHAnsi"/>
                <w:sz w:val="18"/>
                <w:szCs w:val="18"/>
              </w:rPr>
            </w:pPr>
            <w:r w:rsidRPr="00C86F6B">
              <w:rPr>
                <w:rFonts w:asciiTheme="minorHAnsi" w:hAnsiTheme="minorHAnsi" w:cstheme="minorHAnsi"/>
                <w:sz w:val="18"/>
                <w:szCs w:val="18"/>
              </w:rPr>
              <w:t>Skrzynka kablowa 10/20.</w:t>
            </w:r>
          </w:p>
        </w:tc>
      </w:tr>
      <w:tr w:rsidR="00C9677E" w:rsidRPr="00A23FB4" w14:paraId="285C42B4" w14:textId="77777777" w:rsidTr="00AD0C50">
        <w:tc>
          <w:tcPr>
            <w:tcW w:w="496" w:type="dxa"/>
          </w:tcPr>
          <w:p w14:paraId="7A2E43B6" w14:textId="77777777" w:rsidR="00C9677E" w:rsidRPr="00C86F6B" w:rsidRDefault="00C9677E" w:rsidP="00AD0C50">
            <w:pPr>
              <w:jc w:val="right"/>
              <w:rPr>
                <w:rFonts w:asciiTheme="minorHAnsi" w:hAnsiTheme="minorHAnsi" w:cstheme="minorHAnsi"/>
                <w:sz w:val="18"/>
                <w:szCs w:val="18"/>
              </w:rPr>
            </w:pPr>
            <w:r w:rsidRPr="00C86F6B">
              <w:rPr>
                <w:rFonts w:asciiTheme="minorHAnsi" w:hAnsiTheme="minorHAnsi" w:cstheme="minorHAnsi"/>
                <w:sz w:val="18"/>
                <w:szCs w:val="18"/>
              </w:rPr>
              <w:t>15.</w:t>
            </w:r>
          </w:p>
        </w:tc>
        <w:tc>
          <w:tcPr>
            <w:tcW w:w="1842" w:type="dxa"/>
          </w:tcPr>
          <w:p w14:paraId="5BE88F4E" w14:textId="77777777" w:rsidR="00C9677E" w:rsidRPr="00C86F6B" w:rsidRDefault="00C9677E" w:rsidP="00AD0C50">
            <w:pPr>
              <w:rPr>
                <w:rFonts w:asciiTheme="minorHAnsi" w:hAnsiTheme="minorHAnsi" w:cstheme="minorHAnsi"/>
                <w:sz w:val="18"/>
                <w:szCs w:val="18"/>
              </w:rPr>
            </w:pPr>
            <w:r w:rsidRPr="00C86F6B">
              <w:rPr>
                <w:rFonts w:asciiTheme="minorHAnsi" w:hAnsiTheme="minorHAnsi" w:cstheme="minorHAnsi"/>
                <w:sz w:val="18"/>
                <w:szCs w:val="18"/>
              </w:rPr>
              <w:t>BN-85/3231-28</w:t>
            </w:r>
          </w:p>
        </w:tc>
        <w:tc>
          <w:tcPr>
            <w:tcW w:w="7371" w:type="dxa"/>
          </w:tcPr>
          <w:p w14:paraId="03CE9CA6" w14:textId="77777777" w:rsidR="00C9677E" w:rsidRPr="00C86F6B" w:rsidRDefault="00C9677E" w:rsidP="00AD0C50">
            <w:pPr>
              <w:rPr>
                <w:rFonts w:asciiTheme="minorHAnsi" w:hAnsiTheme="minorHAnsi" w:cstheme="minorHAnsi"/>
                <w:sz w:val="18"/>
                <w:szCs w:val="18"/>
              </w:rPr>
            </w:pPr>
            <w:r w:rsidRPr="00C86F6B">
              <w:rPr>
                <w:rFonts w:asciiTheme="minorHAnsi" w:hAnsiTheme="minorHAnsi" w:cstheme="minorHAnsi"/>
                <w:sz w:val="18"/>
                <w:szCs w:val="18"/>
              </w:rPr>
              <w:t>Skrzynki kablowe 30-parowe.</w:t>
            </w:r>
          </w:p>
        </w:tc>
      </w:tr>
      <w:tr w:rsidR="00C9677E" w:rsidRPr="00A23FB4" w14:paraId="50CEA872" w14:textId="77777777" w:rsidTr="00AD0C50">
        <w:tc>
          <w:tcPr>
            <w:tcW w:w="496" w:type="dxa"/>
          </w:tcPr>
          <w:p w14:paraId="7677C848" w14:textId="77777777" w:rsidR="00C9677E" w:rsidRPr="00C86F6B" w:rsidRDefault="00C9677E" w:rsidP="00AD0C50">
            <w:pPr>
              <w:jc w:val="right"/>
              <w:rPr>
                <w:rFonts w:asciiTheme="minorHAnsi" w:hAnsiTheme="minorHAnsi" w:cstheme="minorHAnsi"/>
                <w:sz w:val="18"/>
                <w:szCs w:val="18"/>
              </w:rPr>
            </w:pPr>
            <w:r w:rsidRPr="00C86F6B">
              <w:rPr>
                <w:rFonts w:asciiTheme="minorHAnsi" w:hAnsiTheme="minorHAnsi" w:cstheme="minorHAnsi"/>
                <w:sz w:val="18"/>
                <w:szCs w:val="18"/>
              </w:rPr>
              <w:t>16.</w:t>
            </w:r>
          </w:p>
        </w:tc>
        <w:tc>
          <w:tcPr>
            <w:tcW w:w="1842" w:type="dxa"/>
          </w:tcPr>
          <w:p w14:paraId="6C4B6AA3" w14:textId="77777777" w:rsidR="00C9677E" w:rsidRPr="00C86F6B" w:rsidRDefault="00C9677E" w:rsidP="00AD0C50">
            <w:pPr>
              <w:rPr>
                <w:rFonts w:asciiTheme="minorHAnsi" w:hAnsiTheme="minorHAnsi" w:cstheme="minorHAnsi"/>
                <w:sz w:val="18"/>
                <w:szCs w:val="18"/>
              </w:rPr>
            </w:pPr>
            <w:r w:rsidRPr="00C86F6B">
              <w:rPr>
                <w:rFonts w:asciiTheme="minorHAnsi" w:hAnsiTheme="minorHAnsi" w:cstheme="minorHAnsi"/>
                <w:sz w:val="18"/>
                <w:szCs w:val="18"/>
              </w:rPr>
              <w:t>BN-65/8984-11</w:t>
            </w:r>
          </w:p>
        </w:tc>
        <w:tc>
          <w:tcPr>
            <w:tcW w:w="7371" w:type="dxa"/>
          </w:tcPr>
          <w:p w14:paraId="2446F26B" w14:textId="77777777" w:rsidR="00C9677E" w:rsidRPr="00C86F6B" w:rsidRDefault="00C9677E" w:rsidP="00AD0C50">
            <w:pPr>
              <w:rPr>
                <w:rFonts w:asciiTheme="minorHAnsi" w:hAnsiTheme="minorHAnsi" w:cstheme="minorHAnsi"/>
                <w:sz w:val="18"/>
                <w:szCs w:val="18"/>
              </w:rPr>
            </w:pPr>
            <w:r w:rsidRPr="00C86F6B">
              <w:rPr>
                <w:rFonts w:asciiTheme="minorHAnsi" w:hAnsiTheme="minorHAnsi" w:cstheme="minorHAnsi"/>
                <w:sz w:val="18"/>
                <w:szCs w:val="18"/>
              </w:rPr>
              <w:t>Złącza lutowane. Wymagania techniczne.</w:t>
            </w:r>
          </w:p>
        </w:tc>
      </w:tr>
      <w:tr w:rsidR="00C9677E" w:rsidRPr="00A23FB4" w14:paraId="472F7AB1" w14:textId="77777777" w:rsidTr="00AD0C50">
        <w:tc>
          <w:tcPr>
            <w:tcW w:w="496" w:type="dxa"/>
          </w:tcPr>
          <w:p w14:paraId="2320F263" w14:textId="77777777" w:rsidR="00C9677E" w:rsidRPr="00C86F6B" w:rsidRDefault="00C9677E" w:rsidP="00AD0C50">
            <w:pPr>
              <w:jc w:val="right"/>
              <w:rPr>
                <w:rFonts w:asciiTheme="minorHAnsi" w:hAnsiTheme="minorHAnsi" w:cstheme="minorHAnsi"/>
                <w:sz w:val="18"/>
                <w:szCs w:val="18"/>
              </w:rPr>
            </w:pPr>
            <w:r w:rsidRPr="00C86F6B">
              <w:rPr>
                <w:rFonts w:asciiTheme="minorHAnsi" w:hAnsiTheme="minorHAnsi" w:cstheme="minorHAnsi"/>
                <w:sz w:val="18"/>
                <w:szCs w:val="18"/>
              </w:rPr>
              <w:t>17.</w:t>
            </w:r>
          </w:p>
        </w:tc>
        <w:tc>
          <w:tcPr>
            <w:tcW w:w="1842" w:type="dxa"/>
          </w:tcPr>
          <w:p w14:paraId="41FF72B1" w14:textId="77777777" w:rsidR="00C9677E" w:rsidRPr="00C86F6B" w:rsidRDefault="00C9677E" w:rsidP="00AD0C50">
            <w:pPr>
              <w:rPr>
                <w:rFonts w:asciiTheme="minorHAnsi" w:hAnsiTheme="minorHAnsi" w:cstheme="minorHAnsi"/>
                <w:sz w:val="18"/>
                <w:szCs w:val="18"/>
              </w:rPr>
            </w:pPr>
            <w:r w:rsidRPr="00C86F6B">
              <w:rPr>
                <w:rFonts w:asciiTheme="minorHAnsi" w:hAnsiTheme="minorHAnsi" w:cstheme="minorHAnsi"/>
                <w:sz w:val="18"/>
                <w:szCs w:val="18"/>
              </w:rPr>
              <w:t>BN-76/8984-17</w:t>
            </w:r>
          </w:p>
        </w:tc>
        <w:tc>
          <w:tcPr>
            <w:tcW w:w="7371" w:type="dxa"/>
          </w:tcPr>
          <w:p w14:paraId="7FDFC903" w14:textId="77777777" w:rsidR="00C9677E" w:rsidRPr="00C86F6B" w:rsidRDefault="00C9677E" w:rsidP="00AD0C50">
            <w:pPr>
              <w:rPr>
                <w:rFonts w:asciiTheme="minorHAnsi" w:hAnsiTheme="minorHAnsi" w:cstheme="minorHAnsi"/>
                <w:sz w:val="18"/>
                <w:szCs w:val="18"/>
              </w:rPr>
            </w:pPr>
            <w:r w:rsidRPr="00C86F6B">
              <w:rPr>
                <w:rFonts w:asciiTheme="minorHAnsi" w:hAnsiTheme="minorHAnsi" w:cstheme="minorHAnsi"/>
                <w:sz w:val="18"/>
                <w:szCs w:val="18"/>
              </w:rPr>
              <w:t>Telekomunikacyjne sieci miejscowe. Ogólne wymagania.</w:t>
            </w:r>
          </w:p>
        </w:tc>
      </w:tr>
      <w:tr w:rsidR="00C9677E" w:rsidRPr="00A23FB4" w14:paraId="65C2ECF0" w14:textId="77777777" w:rsidTr="00AD0C50">
        <w:tc>
          <w:tcPr>
            <w:tcW w:w="496" w:type="dxa"/>
          </w:tcPr>
          <w:p w14:paraId="0382A2DC" w14:textId="77777777" w:rsidR="00C9677E" w:rsidRPr="00C86F6B" w:rsidRDefault="00C9677E" w:rsidP="00AD0C50">
            <w:pPr>
              <w:jc w:val="right"/>
              <w:rPr>
                <w:rFonts w:asciiTheme="minorHAnsi" w:hAnsiTheme="minorHAnsi" w:cstheme="minorHAnsi"/>
                <w:sz w:val="18"/>
                <w:szCs w:val="18"/>
              </w:rPr>
            </w:pPr>
            <w:r w:rsidRPr="00C86F6B">
              <w:rPr>
                <w:rFonts w:asciiTheme="minorHAnsi" w:hAnsiTheme="minorHAnsi" w:cstheme="minorHAnsi"/>
                <w:sz w:val="18"/>
                <w:szCs w:val="18"/>
              </w:rPr>
              <w:t>18.</w:t>
            </w:r>
          </w:p>
        </w:tc>
        <w:tc>
          <w:tcPr>
            <w:tcW w:w="1842" w:type="dxa"/>
          </w:tcPr>
          <w:p w14:paraId="45AE7B22" w14:textId="77777777" w:rsidR="00C9677E" w:rsidRPr="00C86F6B" w:rsidRDefault="00C9677E" w:rsidP="00AD0C50">
            <w:pPr>
              <w:rPr>
                <w:rFonts w:asciiTheme="minorHAnsi" w:hAnsiTheme="minorHAnsi" w:cstheme="minorHAnsi"/>
                <w:sz w:val="18"/>
                <w:szCs w:val="18"/>
              </w:rPr>
            </w:pPr>
            <w:r w:rsidRPr="00C86F6B">
              <w:rPr>
                <w:rFonts w:asciiTheme="minorHAnsi" w:hAnsiTheme="minorHAnsi" w:cstheme="minorHAnsi"/>
                <w:sz w:val="18"/>
                <w:szCs w:val="18"/>
              </w:rPr>
              <w:t>PN-76/E-05125</w:t>
            </w:r>
          </w:p>
        </w:tc>
        <w:tc>
          <w:tcPr>
            <w:tcW w:w="7371" w:type="dxa"/>
          </w:tcPr>
          <w:p w14:paraId="51B69D72" w14:textId="77777777" w:rsidR="00C9677E" w:rsidRPr="00C86F6B" w:rsidRDefault="00C9677E" w:rsidP="00AD0C50">
            <w:pPr>
              <w:rPr>
                <w:rFonts w:asciiTheme="minorHAnsi" w:hAnsiTheme="minorHAnsi" w:cstheme="minorHAnsi"/>
                <w:sz w:val="18"/>
                <w:szCs w:val="18"/>
              </w:rPr>
            </w:pPr>
            <w:r w:rsidRPr="00C86F6B">
              <w:rPr>
                <w:rFonts w:asciiTheme="minorHAnsi" w:hAnsiTheme="minorHAnsi" w:cstheme="minorHAnsi"/>
                <w:sz w:val="18"/>
                <w:szCs w:val="18"/>
              </w:rPr>
              <w:t>Elektroenergetyczne i sygnalizacyjne linie kablowe. Projektowanie i budowa.</w:t>
            </w:r>
          </w:p>
        </w:tc>
      </w:tr>
      <w:tr w:rsidR="00C9677E" w:rsidRPr="00A23FB4" w14:paraId="7E24310C" w14:textId="77777777" w:rsidTr="00AD0C50">
        <w:tc>
          <w:tcPr>
            <w:tcW w:w="496" w:type="dxa"/>
          </w:tcPr>
          <w:p w14:paraId="02089AD1" w14:textId="77777777" w:rsidR="00C9677E" w:rsidRPr="00C86F6B" w:rsidRDefault="00C9677E" w:rsidP="00AD0C50">
            <w:pPr>
              <w:jc w:val="right"/>
              <w:rPr>
                <w:rFonts w:asciiTheme="minorHAnsi" w:hAnsiTheme="minorHAnsi" w:cstheme="minorHAnsi"/>
                <w:sz w:val="18"/>
                <w:szCs w:val="18"/>
              </w:rPr>
            </w:pPr>
            <w:r w:rsidRPr="00C86F6B">
              <w:rPr>
                <w:rFonts w:asciiTheme="minorHAnsi" w:hAnsiTheme="minorHAnsi" w:cstheme="minorHAnsi"/>
                <w:sz w:val="18"/>
                <w:szCs w:val="18"/>
              </w:rPr>
              <w:t>19.</w:t>
            </w:r>
          </w:p>
        </w:tc>
        <w:tc>
          <w:tcPr>
            <w:tcW w:w="1842" w:type="dxa"/>
          </w:tcPr>
          <w:p w14:paraId="1F27FF6C" w14:textId="77777777" w:rsidR="00C9677E" w:rsidRPr="00C86F6B" w:rsidRDefault="00C9677E" w:rsidP="00AD0C50">
            <w:pPr>
              <w:rPr>
                <w:rFonts w:asciiTheme="minorHAnsi" w:hAnsiTheme="minorHAnsi" w:cstheme="minorHAnsi"/>
                <w:sz w:val="18"/>
                <w:szCs w:val="18"/>
              </w:rPr>
            </w:pPr>
            <w:r w:rsidRPr="00C86F6B">
              <w:rPr>
                <w:rFonts w:asciiTheme="minorHAnsi" w:hAnsiTheme="minorHAnsi" w:cstheme="minorHAnsi"/>
                <w:sz w:val="18"/>
                <w:szCs w:val="18"/>
              </w:rPr>
              <w:t>PN-75/E-05100</w:t>
            </w:r>
          </w:p>
        </w:tc>
        <w:tc>
          <w:tcPr>
            <w:tcW w:w="7371" w:type="dxa"/>
          </w:tcPr>
          <w:p w14:paraId="5C7E8E41" w14:textId="77777777" w:rsidR="00C9677E" w:rsidRPr="00C86F6B" w:rsidRDefault="00C9677E" w:rsidP="00AD0C50">
            <w:pPr>
              <w:rPr>
                <w:rFonts w:asciiTheme="minorHAnsi" w:hAnsiTheme="minorHAnsi" w:cstheme="minorHAnsi"/>
                <w:sz w:val="18"/>
                <w:szCs w:val="18"/>
              </w:rPr>
            </w:pPr>
            <w:r w:rsidRPr="00C86F6B">
              <w:rPr>
                <w:rFonts w:asciiTheme="minorHAnsi" w:hAnsiTheme="minorHAnsi" w:cstheme="minorHAnsi"/>
                <w:sz w:val="18"/>
                <w:szCs w:val="18"/>
              </w:rPr>
              <w:t>Elektroenergetyczne linie napowietrzne. Projektowanie i budowa.</w:t>
            </w:r>
          </w:p>
        </w:tc>
      </w:tr>
      <w:tr w:rsidR="00C9677E" w:rsidRPr="00A23FB4" w14:paraId="0D5C4C0C" w14:textId="77777777" w:rsidTr="00AD0C50">
        <w:tc>
          <w:tcPr>
            <w:tcW w:w="496" w:type="dxa"/>
          </w:tcPr>
          <w:p w14:paraId="4D7A869B" w14:textId="77777777" w:rsidR="00C9677E" w:rsidRPr="00C86F6B" w:rsidRDefault="00C9677E" w:rsidP="00AD0C50">
            <w:pPr>
              <w:jc w:val="right"/>
              <w:rPr>
                <w:rFonts w:asciiTheme="minorHAnsi" w:hAnsiTheme="minorHAnsi" w:cstheme="minorHAnsi"/>
                <w:sz w:val="18"/>
                <w:szCs w:val="18"/>
              </w:rPr>
            </w:pPr>
            <w:r w:rsidRPr="00C86F6B">
              <w:rPr>
                <w:rFonts w:asciiTheme="minorHAnsi" w:hAnsiTheme="minorHAnsi" w:cstheme="minorHAnsi"/>
                <w:sz w:val="18"/>
                <w:szCs w:val="18"/>
              </w:rPr>
              <w:t>20.</w:t>
            </w:r>
          </w:p>
        </w:tc>
        <w:tc>
          <w:tcPr>
            <w:tcW w:w="1842" w:type="dxa"/>
          </w:tcPr>
          <w:p w14:paraId="708ABBDA" w14:textId="77777777" w:rsidR="00C9677E" w:rsidRPr="00C86F6B" w:rsidRDefault="00C9677E" w:rsidP="00AD0C50">
            <w:pPr>
              <w:rPr>
                <w:rFonts w:asciiTheme="minorHAnsi" w:hAnsiTheme="minorHAnsi" w:cstheme="minorHAnsi"/>
                <w:sz w:val="18"/>
                <w:szCs w:val="18"/>
              </w:rPr>
            </w:pPr>
            <w:r w:rsidRPr="00C86F6B">
              <w:rPr>
                <w:rFonts w:asciiTheme="minorHAnsi" w:hAnsiTheme="minorHAnsi" w:cstheme="minorHAnsi"/>
                <w:sz w:val="18"/>
                <w:szCs w:val="18"/>
              </w:rPr>
              <w:t>BN-76/8984-26</w:t>
            </w:r>
          </w:p>
        </w:tc>
        <w:tc>
          <w:tcPr>
            <w:tcW w:w="7371" w:type="dxa"/>
          </w:tcPr>
          <w:p w14:paraId="15558858" w14:textId="77777777" w:rsidR="00C9677E" w:rsidRPr="00C86F6B" w:rsidRDefault="00C9677E" w:rsidP="00AD0C50">
            <w:pPr>
              <w:rPr>
                <w:rFonts w:asciiTheme="minorHAnsi" w:hAnsiTheme="minorHAnsi" w:cstheme="minorHAnsi"/>
                <w:sz w:val="18"/>
                <w:szCs w:val="18"/>
              </w:rPr>
            </w:pPr>
            <w:r w:rsidRPr="00C86F6B">
              <w:rPr>
                <w:rFonts w:asciiTheme="minorHAnsi" w:hAnsiTheme="minorHAnsi" w:cstheme="minorHAnsi"/>
                <w:sz w:val="18"/>
                <w:szCs w:val="18"/>
              </w:rPr>
              <w:t>Kontrola ciśnieniowa kabli telekomunikacyjnych. System z automatycznym dopełniaczem gazu. Ogólne wymagania i badania.</w:t>
            </w:r>
          </w:p>
        </w:tc>
      </w:tr>
      <w:tr w:rsidR="00C9677E" w:rsidRPr="00A23FB4" w14:paraId="374F7FB9" w14:textId="77777777" w:rsidTr="00AD0C50">
        <w:tc>
          <w:tcPr>
            <w:tcW w:w="496" w:type="dxa"/>
          </w:tcPr>
          <w:p w14:paraId="28DE250E" w14:textId="77777777" w:rsidR="00C9677E" w:rsidRPr="00C86F6B" w:rsidRDefault="00C9677E" w:rsidP="00AD0C50">
            <w:pPr>
              <w:jc w:val="right"/>
              <w:rPr>
                <w:rFonts w:asciiTheme="minorHAnsi" w:hAnsiTheme="minorHAnsi" w:cstheme="minorHAnsi"/>
                <w:sz w:val="18"/>
                <w:szCs w:val="18"/>
              </w:rPr>
            </w:pPr>
            <w:r w:rsidRPr="00C86F6B">
              <w:rPr>
                <w:rFonts w:asciiTheme="minorHAnsi" w:hAnsiTheme="minorHAnsi" w:cstheme="minorHAnsi"/>
                <w:sz w:val="18"/>
                <w:szCs w:val="18"/>
              </w:rPr>
              <w:t>21.</w:t>
            </w:r>
          </w:p>
        </w:tc>
        <w:tc>
          <w:tcPr>
            <w:tcW w:w="1842" w:type="dxa"/>
          </w:tcPr>
          <w:p w14:paraId="6D404281" w14:textId="77777777" w:rsidR="00C9677E" w:rsidRPr="00C86F6B" w:rsidRDefault="00C9677E" w:rsidP="00AD0C50">
            <w:pPr>
              <w:rPr>
                <w:rFonts w:asciiTheme="minorHAnsi" w:hAnsiTheme="minorHAnsi" w:cstheme="minorHAnsi"/>
                <w:sz w:val="18"/>
                <w:szCs w:val="18"/>
              </w:rPr>
            </w:pPr>
            <w:r w:rsidRPr="00C86F6B">
              <w:rPr>
                <w:rFonts w:asciiTheme="minorHAnsi" w:hAnsiTheme="minorHAnsi" w:cstheme="minorHAnsi"/>
                <w:sz w:val="18"/>
                <w:szCs w:val="18"/>
              </w:rPr>
              <w:t>BN-73/3238-08</w:t>
            </w:r>
          </w:p>
        </w:tc>
        <w:tc>
          <w:tcPr>
            <w:tcW w:w="7371" w:type="dxa"/>
          </w:tcPr>
          <w:p w14:paraId="55444673" w14:textId="77777777" w:rsidR="00C9677E" w:rsidRPr="00C86F6B" w:rsidRDefault="00C9677E" w:rsidP="00AD0C50">
            <w:pPr>
              <w:rPr>
                <w:rFonts w:asciiTheme="minorHAnsi" w:hAnsiTheme="minorHAnsi" w:cstheme="minorHAnsi"/>
                <w:sz w:val="18"/>
                <w:szCs w:val="18"/>
              </w:rPr>
            </w:pPr>
            <w:r w:rsidRPr="00C86F6B">
              <w:rPr>
                <w:rFonts w:asciiTheme="minorHAnsi" w:hAnsiTheme="minorHAnsi" w:cstheme="minorHAnsi"/>
                <w:sz w:val="18"/>
                <w:szCs w:val="18"/>
              </w:rPr>
              <w:t>Telekomunikacyjne linie napowietrzne i kablowe sieci miejskiej. Szablony do znakowania.</w:t>
            </w:r>
          </w:p>
        </w:tc>
      </w:tr>
      <w:tr w:rsidR="00C9677E" w:rsidRPr="00A23FB4" w14:paraId="004A7561" w14:textId="77777777" w:rsidTr="00AD0C50">
        <w:tc>
          <w:tcPr>
            <w:tcW w:w="496" w:type="dxa"/>
          </w:tcPr>
          <w:p w14:paraId="7FE39CCB" w14:textId="77777777" w:rsidR="00C9677E" w:rsidRPr="00C86F6B" w:rsidRDefault="00C9677E" w:rsidP="00AD0C50">
            <w:pPr>
              <w:jc w:val="right"/>
              <w:rPr>
                <w:rFonts w:asciiTheme="minorHAnsi" w:hAnsiTheme="minorHAnsi" w:cstheme="minorHAnsi"/>
                <w:sz w:val="18"/>
                <w:szCs w:val="18"/>
              </w:rPr>
            </w:pPr>
            <w:r w:rsidRPr="00C86F6B">
              <w:rPr>
                <w:rFonts w:asciiTheme="minorHAnsi" w:hAnsiTheme="minorHAnsi" w:cstheme="minorHAnsi"/>
                <w:sz w:val="18"/>
                <w:szCs w:val="18"/>
              </w:rPr>
              <w:t>22.</w:t>
            </w:r>
          </w:p>
        </w:tc>
        <w:tc>
          <w:tcPr>
            <w:tcW w:w="1842" w:type="dxa"/>
          </w:tcPr>
          <w:p w14:paraId="5A03079D" w14:textId="77777777" w:rsidR="00C9677E" w:rsidRPr="00C86F6B" w:rsidRDefault="00C9677E" w:rsidP="00AD0C50">
            <w:pPr>
              <w:rPr>
                <w:rFonts w:asciiTheme="minorHAnsi" w:hAnsiTheme="minorHAnsi" w:cstheme="minorHAnsi"/>
                <w:sz w:val="18"/>
                <w:szCs w:val="18"/>
              </w:rPr>
            </w:pPr>
            <w:r w:rsidRPr="00C86F6B">
              <w:rPr>
                <w:rFonts w:asciiTheme="minorHAnsi" w:hAnsiTheme="minorHAnsi" w:cstheme="minorHAnsi"/>
                <w:sz w:val="18"/>
                <w:szCs w:val="18"/>
              </w:rPr>
              <w:t>BN-72/3233-13</w:t>
            </w:r>
          </w:p>
        </w:tc>
        <w:tc>
          <w:tcPr>
            <w:tcW w:w="7371" w:type="dxa"/>
          </w:tcPr>
          <w:p w14:paraId="4147F338" w14:textId="77777777" w:rsidR="00C9677E" w:rsidRPr="00C86F6B" w:rsidRDefault="00C9677E" w:rsidP="00AD0C50">
            <w:pPr>
              <w:rPr>
                <w:rFonts w:asciiTheme="minorHAnsi" w:hAnsiTheme="minorHAnsi" w:cstheme="minorHAnsi"/>
                <w:sz w:val="18"/>
                <w:szCs w:val="18"/>
              </w:rPr>
            </w:pPr>
            <w:r w:rsidRPr="00C86F6B">
              <w:rPr>
                <w:rFonts w:asciiTheme="minorHAnsi" w:hAnsiTheme="minorHAnsi" w:cstheme="minorHAnsi"/>
                <w:sz w:val="18"/>
                <w:szCs w:val="18"/>
              </w:rPr>
              <w:t>Telekomunikacyjne linie kablowe. Opaski oznaczeniowe.</w:t>
            </w:r>
          </w:p>
        </w:tc>
      </w:tr>
      <w:tr w:rsidR="00C9677E" w:rsidRPr="00A23FB4" w14:paraId="09B75775" w14:textId="77777777" w:rsidTr="00AD0C50">
        <w:tc>
          <w:tcPr>
            <w:tcW w:w="496" w:type="dxa"/>
          </w:tcPr>
          <w:p w14:paraId="4385A909" w14:textId="77777777" w:rsidR="00C9677E" w:rsidRPr="00C86F6B" w:rsidRDefault="00C9677E" w:rsidP="00AD0C50">
            <w:pPr>
              <w:jc w:val="right"/>
              <w:rPr>
                <w:rFonts w:asciiTheme="minorHAnsi" w:hAnsiTheme="minorHAnsi" w:cstheme="minorHAnsi"/>
                <w:sz w:val="18"/>
                <w:szCs w:val="18"/>
              </w:rPr>
            </w:pPr>
            <w:r w:rsidRPr="00C86F6B">
              <w:rPr>
                <w:rFonts w:asciiTheme="minorHAnsi" w:hAnsiTheme="minorHAnsi" w:cstheme="minorHAnsi"/>
                <w:sz w:val="18"/>
                <w:szCs w:val="18"/>
              </w:rPr>
              <w:t>23.</w:t>
            </w:r>
          </w:p>
        </w:tc>
        <w:tc>
          <w:tcPr>
            <w:tcW w:w="1842" w:type="dxa"/>
          </w:tcPr>
          <w:p w14:paraId="79B28AD8" w14:textId="77777777" w:rsidR="00C9677E" w:rsidRPr="00C86F6B" w:rsidRDefault="00C9677E" w:rsidP="00AD0C50">
            <w:pPr>
              <w:rPr>
                <w:rFonts w:asciiTheme="minorHAnsi" w:hAnsiTheme="minorHAnsi" w:cstheme="minorHAnsi"/>
                <w:sz w:val="18"/>
                <w:szCs w:val="18"/>
              </w:rPr>
            </w:pPr>
            <w:r w:rsidRPr="00C86F6B">
              <w:rPr>
                <w:rFonts w:asciiTheme="minorHAnsi" w:hAnsiTheme="minorHAnsi" w:cstheme="minorHAnsi"/>
                <w:sz w:val="18"/>
                <w:szCs w:val="18"/>
              </w:rPr>
              <w:t>BN-74/3233-17</w:t>
            </w:r>
          </w:p>
        </w:tc>
        <w:tc>
          <w:tcPr>
            <w:tcW w:w="7371" w:type="dxa"/>
          </w:tcPr>
          <w:p w14:paraId="5185811F" w14:textId="77777777" w:rsidR="00C9677E" w:rsidRPr="00C86F6B" w:rsidRDefault="00C9677E" w:rsidP="00AD0C50">
            <w:pPr>
              <w:rPr>
                <w:rFonts w:asciiTheme="minorHAnsi" w:hAnsiTheme="minorHAnsi" w:cstheme="minorHAnsi"/>
                <w:sz w:val="18"/>
                <w:szCs w:val="18"/>
              </w:rPr>
            </w:pPr>
            <w:r w:rsidRPr="00C86F6B">
              <w:rPr>
                <w:rFonts w:asciiTheme="minorHAnsi" w:hAnsiTheme="minorHAnsi" w:cstheme="minorHAnsi"/>
                <w:sz w:val="18"/>
                <w:szCs w:val="18"/>
              </w:rPr>
              <w:t>Telekomunikacyjne linie kablowe. Słupki oznaczeniowe i oznaczeniowo-pomiarowe.</w:t>
            </w:r>
          </w:p>
        </w:tc>
      </w:tr>
      <w:tr w:rsidR="00C9677E" w:rsidRPr="00A23FB4" w14:paraId="3A60CD0C" w14:textId="77777777" w:rsidTr="00AD0C50">
        <w:tc>
          <w:tcPr>
            <w:tcW w:w="496" w:type="dxa"/>
          </w:tcPr>
          <w:p w14:paraId="59A2EB22" w14:textId="77777777" w:rsidR="00C9677E" w:rsidRPr="00C86F6B" w:rsidRDefault="00C9677E" w:rsidP="00AD0C50">
            <w:pPr>
              <w:jc w:val="right"/>
              <w:rPr>
                <w:rFonts w:asciiTheme="minorHAnsi" w:hAnsiTheme="minorHAnsi" w:cstheme="minorHAnsi"/>
                <w:sz w:val="18"/>
                <w:szCs w:val="18"/>
              </w:rPr>
            </w:pPr>
            <w:r w:rsidRPr="00C86F6B">
              <w:rPr>
                <w:rFonts w:asciiTheme="minorHAnsi" w:hAnsiTheme="minorHAnsi" w:cstheme="minorHAnsi"/>
                <w:sz w:val="18"/>
                <w:szCs w:val="18"/>
              </w:rPr>
              <w:t>24.</w:t>
            </w:r>
          </w:p>
        </w:tc>
        <w:tc>
          <w:tcPr>
            <w:tcW w:w="1842" w:type="dxa"/>
          </w:tcPr>
          <w:p w14:paraId="5A236A11" w14:textId="77777777" w:rsidR="00C9677E" w:rsidRPr="00C86F6B" w:rsidRDefault="00C9677E" w:rsidP="00AD0C50">
            <w:pPr>
              <w:rPr>
                <w:rFonts w:asciiTheme="minorHAnsi" w:hAnsiTheme="minorHAnsi" w:cstheme="minorHAnsi"/>
                <w:sz w:val="18"/>
                <w:szCs w:val="18"/>
              </w:rPr>
            </w:pPr>
            <w:r w:rsidRPr="00C86F6B">
              <w:rPr>
                <w:rFonts w:asciiTheme="minorHAnsi" w:hAnsiTheme="minorHAnsi" w:cstheme="minorHAnsi"/>
                <w:sz w:val="18"/>
                <w:szCs w:val="18"/>
              </w:rPr>
              <w:t>PN-84/T-90340</w:t>
            </w:r>
          </w:p>
        </w:tc>
        <w:tc>
          <w:tcPr>
            <w:tcW w:w="7371" w:type="dxa"/>
          </w:tcPr>
          <w:p w14:paraId="1BA8EB8A" w14:textId="77777777" w:rsidR="00C9677E" w:rsidRPr="00C86F6B" w:rsidRDefault="00C9677E" w:rsidP="00AD0C50">
            <w:pPr>
              <w:rPr>
                <w:rFonts w:asciiTheme="minorHAnsi" w:hAnsiTheme="minorHAnsi" w:cstheme="minorHAnsi"/>
                <w:sz w:val="18"/>
                <w:szCs w:val="18"/>
              </w:rPr>
            </w:pPr>
            <w:r w:rsidRPr="00C86F6B">
              <w:rPr>
                <w:rFonts w:asciiTheme="minorHAnsi" w:hAnsiTheme="minorHAnsi" w:cstheme="minorHAnsi"/>
                <w:sz w:val="18"/>
                <w:szCs w:val="18"/>
              </w:rPr>
              <w:t>Telekomunikacyjne kable dalekosiężne symetryczne z wiązkami parowymi, o izolacji polietylenowej piankowej. Ogólne wymagania i badania.</w:t>
            </w:r>
          </w:p>
        </w:tc>
      </w:tr>
      <w:tr w:rsidR="00C9677E" w:rsidRPr="00A23FB4" w14:paraId="049BF950" w14:textId="77777777" w:rsidTr="00AD0C50">
        <w:tc>
          <w:tcPr>
            <w:tcW w:w="496" w:type="dxa"/>
          </w:tcPr>
          <w:p w14:paraId="2EA71CE1" w14:textId="77777777" w:rsidR="00C9677E" w:rsidRPr="00C86F6B" w:rsidRDefault="00C9677E" w:rsidP="00AD0C50">
            <w:pPr>
              <w:jc w:val="right"/>
              <w:rPr>
                <w:rFonts w:asciiTheme="minorHAnsi" w:hAnsiTheme="minorHAnsi" w:cstheme="minorHAnsi"/>
                <w:sz w:val="18"/>
                <w:szCs w:val="18"/>
              </w:rPr>
            </w:pPr>
            <w:r w:rsidRPr="00C86F6B">
              <w:rPr>
                <w:rFonts w:asciiTheme="minorHAnsi" w:hAnsiTheme="minorHAnsi" w:cstheme="minorHAnsi"/>
                <w:sz w:val="18"/>
                <w:szCs w:val="18"/>
              </w:rPr>
              <w:t>25.</w:t>
            </w:r>
          </w:p>
        </w:tc>
        <w:tc>
          <w:tcPr>
            <w:tcW w:w="1842" w:type="dxa"/>
          </w:tcPr>
          <w:p w14:paraId="5C0B9D35" w14:textId="77777777" w:rsidR="00C9677E" w:rsidRPr="00C86F6B" w:rsidRDefault="00C9677E" w:rsidP="00AD0C50">
            <w:pPr>
              <w:rPr>
                <w:rFonts w:asciiTheme="minorHAnsi" w:hAnsiTheme="minorHAnsi" w:cstheme="minorHAnsi"/>
                <w:sz w:val="18"/>
                <w:szCs w:val="18"/>
              </w:rPr>
            </w:pPr>
            <w:r w:rsidRPr="00C86F6B">
              <w:rPr>
                <w:rFonts w:asciiTheme="minorHAnsi" w:hAnsiTheme="minorHAnsi" w:cstheme="minorHAnsi"/>
                <w:sz w:val="18"/>
                <w:szCs w:val="18"/>
              </w:rPr>
              <w:t>PN-84/T-90341</w:t>
            </w:r>
          </w:p>
        </w:tc>
        <w:tc>
          <w:tcPr>
            <w:tcW w:w="7371" w:type="dxa"/>
          </w:tcPr>
          <w:p w14:paraId="449AE04E" w14:textId="77777777" w:rsidR="00C9677E" w:rsidRPr="00C86F6B" w:rsidRDefault="00C9677E" w:rsidP="00AD0C50">
            <w:pPr>
              <w:rPr>
                <w:rFonts w:asciiTheme="minorHAnsi" w:hAnsiTheme="minorHAnsi" w:cstheme="minorHAnsi"/>
                <w:sz w:val="18"/>
                <w:szCs w:val="18"/>
              </w:rPr>
            </w:pPr>
            <w:r w:rsidRPr="00C86F6B">
              <w:rPr>
                <w:rFonts w:asciiTheme="minorHAnsi" w:hAnsiTheme="minorHAnsi" w:cstheme="minorHAnsi"/>
                <w:sz w:val="18"/>
                <w:szCs w:val="18"/>
              </w:rPr>
              <w:t>Telekomunikacyjne kable dalekosiężne symetryczne z wiązkami parowymi, o izolacji polietylenowej piankowej, o powłoce aluminiowej z osłoną ochronną polietylenową.</w:t>
            </w:r>
          </w:p>
        </w:tc>
      </w:tr>
      <w:tr w:rsidR="00C9677E" w:rsidRPr="00A23FB4" w14:paraId="6DE368D7" w14:textId="77777777" w:rsidTr="00AD0C50">
        <w:tc>
          <w:tcPr>
            <w:tcW w:w="496" w:type="dxa"/>
          </w:tcPr>
          <w:p w14:paraId="6EB837E5" w14:textId="77777777" w:rsidR="00C9677E" w:rsidRPr="00C86F6B" w:rsidRDefault="00C9677E" w:rsidP="00AD0C50">
            <w:pPr>
              <w:jc w:val="right"/>
              <w:rPr>
                <w:rFonts w:asciiTheme="minorHAnsi" w:hAnsiTheme="minorHAnsi" w:cstheme="minorHAnsi"/>
                <w:sz w:val="18"/>
                <w:szCs w:val="18"/>
              </w:rPr>
            </w:pPr>
            <w:r w:rsidRPr="00C86F6B">
              <w:rPr>
                <w:rFonts w:asciiTheme="minorHAnsi" w:hAnsiTheme="minorHAnsi" w:cstheme="minorHAnsi"/>
                <w:sz w:val="18"/>
                <w:szCs w:val="18"/>
              </w:rPr>
              <w:t>26.</w:t>
            </w:r>
          </w:p>
        </w:tc>
        <w:tc>
          <w:tcPr>
            <w:tcW w:w="1842" w:type="dxa"/>
          </w:tcPr>
          <w:p w14:paraId="2C45311F" w14:textId="77777777" w:rsidR="00C9677E" w:rsidRPr="00C86F6B" w:rsidRDefault="00C9677E" w:rsidP="00AD0C50">
            <w:pPr>
              <w:rPr>
                <w:rFonts w:asciiTheme="minorHAnsi" w:hAnsiTheme="minorHAnsi" w:cstheme="minorHAnsi"/>
                <w:sz w:val="18"/>
                <w:szCs w:val="18"/>
              </w:rPr>
            </w:pPr>
            <w:r w:rsidRPr="00C86F6B">
              <w:rPr>
                <w:rFonts w:asciiTheme="minorHAnsi" w:hAnsiTheme="minorHAnsi" w:cstheme="minorHAnsi"/>
                <w:sz w:val="18"/>
                <w:szCs w:val="18"/>
              </w:rPr>
              <w:t>PN-84/T-90342</w:t>
            </w:r>
          </w:p>
        </w:tc>
        <w:tc>
          <w:tcPr>
            <w:tcW w:w="7371" w:type="dxa"/>
          </w:tcPr>
          <w:p w14:paraId="757A3F83" w14:textId="77777777" w:rsidR="00C9677E" w:rsidRPr="00C86F6B" w:rsidRDefault="00C9677E" w:rsidP="00AD0C50">
            <w:pPr>
              <w:rPr>
                <w:rFonts w:asciiTheme="minorHAnsi" w:hAnsiTheme="minorHAnsi" w:cstheme="minorHAnsi"/>
                <w:sz w:val="18"/>
                <w:szCs w:val="18"/>
              </w:rPr>
            </w:pPr>
            <w:r w:rsidRPr="00C86F6B">
              <w:rPr>
                <w:rFonts w:asciiTheme="minorHAnsi" w:hAnsiTheme="minorHAnsi" w:cstheme="minorHAnsi"/>
                <w:sz w:val="18"/>
                <w:szCs w:val="18"/>
              </w:rPr>
              <w:t>Telekomunikacyjne kable dalekosiężne symetryczne z wiązkami parowymi, o izolacji polietylenowej piankowej, o powłoce aluminiowej, opancerzone, w osłonach z materiałów termoplastycznych.</w:t>
            </w:r>
          </w:p>
        </w:tc>
      </w:tr>
      <w:tr w:rsidR="00C9677E" w:rsidRPr="00A23FB4" w14:paraId="34E6A33D" w14:textId="77777777" w:rsidTr="00AD0C50">
        <w:tc>
          <w:tcPr>
            <w:tcW w:w="496" w:type="dxa"/>
          </w:tcPr>
          <w:p w14:paraId="483A01CE" w14:textId="77777777" w:rsidR="00C9677E" w:rsidRPr="00C86F6B" w:rsidRDefault="00C9677E" w:rsidP="00AD0C50">
            <w:pPr>
              <w:jc w:val="right"/>
              <w:rPr>
                <w:rFonts w:asciiTheme="minorHAnsi" w:hAnsiTheme="minorHAnsi" w:cstheme="minorHAnsi"/>
                <w:sz w:val="18"/>
                <w:szCs w:val="18"/>
              </w:rPr>
            </w:pPr>
            <w:r w:rsidRPr="00C86F6B">
              <w:rPr>
                <w:rFonts w:asciiTheme="minorHAnsi" w:hAnsiTheme="minorHAnsi" w:cstheme="minorHAnsi"/>
                <w:sz w:val="18"/>
                <w:szCs w:val="18"/>
              </w:rPr>
              <w:t>27.</w:t>
            </w:r>
          </w:p>
        </w:tc>
        <w:tc>
          <w:tcPr>
            <w:tcW w:w="1842" w:type="dxa"/>
          </w:tcPr>
          <w:p w14:paraId="746425DB" w14:textId="77777777" w:rsidR="00C9677E" w:rsidRPr="00C86F6B" w:rsidRDefault="00C9677E" w:rsidP="00AD0C50">
            <w:pPr>
              <w:rPr>
                <w:rFonts w:asciiTheme="minorHAnsi" w:hAnsiTheme="minorHAnsi" w:cstheme="minorHAnsi"/>
                <w:sz w:val="18"/>
                <w:szCs w:val="18"/>
              </w:rPr>
            </w:pPr>
            <w:r w:rsidRPr="00C86F6B">
              <w:rPr>
                <w:rFonts w:asciiTheme="minorHAnsi" w:hAnsiTheme="minorHAnsi" w:cstheme="minorHAnsi"/>
                <w:sz w:val="18"/>
                <w:szCs w:val="18"/>
              </w:rPr>
              <w:t>PN-84/T-90345</w:t>
            </w:r>
          </w:p>
        </w:tc>
        <w:tc>
          <w:tcPr>
            <w:tcW w:w="7371" w:type="dxa"/>
          </w:tcPr>
          <w:p w14:paraId="410D4396" w14:textId="77777777" w:rsidR="00C9677E" w:rsidRPr="00C86F6B" w:rsidRDefault="00C9677E" w:rsidP="00AD0C50">
            <w:pPr>
              <w:rPr>
                <w:rFonts w:asciiTheme="minorHAnsi" w:hAnsiTheme="minorHAnsi" w:cstheme="minorHAnsi"/>
                <w:sz w:val="18"/>
                <w:szCs w:val="18"/>
              </w:rPr>
            </w:pPr>
            <w:r w:rsidRPr="00C86F6B">
              <w:rPr>
                <w:rFonts w:asciiTheme="minorHAnsi" w:hAnsiTheme="minorHAnsi" w:cstheme="minorHAnsi"/>
                <w:sz w:val="18"/>
                <w:szCs w:val="18"/>
              </w:rPr>
              <w:t>Telekomunikacyjne kable dalekosiężne symetryczne z wiązkami czwórkowymi o izolacji polietylenowej piankowej. Ogólne wymagania i badania.</w:t>
            </w:r>
          </w:p>
        </w:tc>
      </w:tr>
      <w:tr w:rsidR="00C9677E" w:rsidRPr="00A23FB4" w14:paraId="60DA863D" w14:textId="77777777" w:rsidTr="00AD0C50">
        <w:tc>
          <w:tcPr>
            <w:tcW w:w="496" w:type="dxa"/>
          </w:tcPr>
          <w:p w14:paraId="0F113B85" w14:textId="77777777" w:rsidR="00C9677E" w:rsidRPr="00C86F6B" w:rsidRDefault="00C9677E" w:rsidP="00AD0C50">
            <w:pPr>
              <w:jc w:val="right"/>
              <w:rPr>
                <w:rFonts w:asciiTheme="minorHAnsi" w:hAnsiTheme="minorHAnsi" w:cstheme="minorHAnsi"/>
                <w:sz w:val="18"/>
                <w:szCs w:val="18"/>
              </w:rPr>
            </w:pPr>
            <w:r w:rsidRPr="00C86F6B">
              <w:rPr>
                <w:rFonts w:asciiTheme="minorHAnsi" w:hAnsiTheme="minorHAnsi" w:cstheme="minorHAnsi"/>
                <w:sz w:val="18"/>
                <w:szCs w:val="18"/>
              </w:rPr>
              <w:t>28.</w:t>
            </w:r>
          </w:p>
        </w:tc>
        <w:tc>
          <w:tcPr>
            <w:tcW w:w="1842" w:type="dxa"/>
          </w:tcPr>
          <w:p w14:paraId="2325276C" w14:textId="77777777" w:rsidR="00C9677E" w:rsidRPr="00C86F6B" w:rsidRDefault="00C9677E" w:rsidP="00AD0C50">
            <w:pPr>
              <w:rPr>
                <w:rFonts w:asciiTheme="minorHAnsi" w:hAnsiTheme="minorHAnsi" w:cstheme="minorHAnsi"/>
                <w:sz w:val="18"/>
                <w:szCs w:val="18"/>
              </w:rPr>
            </w:pPr>
            <w:r w:rsidRPr="00C86F6B">
              <w:rPr>
                <w:rFonts w:asciiTheme="minorHAnsi" w:hAnsiTheme="minorHAnsi" w:cstheme="minorHAnsi"/>
                <w:sz w:val="18"/>
                <w:szCs w:val="18"/>
              </w:rPr>
              <w:t>PN-84/T-90347</w:t>
            </w:r>
          </w:p>
        </w:tc>
        <w:tc>
          <w:tcPr>
            <w:tcW w:w="7371" w:type="dxa"/>
          </w:tcPr>
          <w:p w14:paraId="6366265C" w14:textId="77777777" w:rsidR="00C9677E" w:rsidRPr="00C86F6B" w:rsidRDefault="00C9677E" w:rsidP="00AD0C50">
            <w:pPr>
              <w:rPr>
                <w:rFonts w:asciiTheme="minorHAnsi" w:hAnsiTheme="minorHAnsi" w:cstheme="minorHAnsi"/>
                <w:sz w:val="18"/>
                <w:szCs w:val="18"/>
              </w:rPr>
            </w:pPr>
            <w:r w:rsidRPr="00C86F6B">
              <w:rPr>
                <w:rFonts w:asciiTheme="minorHAnsi" w:hAnsiTheme="minorHAnsi" w:cstheme="minorHAnsi"/>
                <w:sz w:val="18"/>
                <w:szCs w:val="18"/>
              </w:rPr>
              <w:t>Telekomunikacyjne kable dalekosiężne symetryczne z wiązkami czwórkowymi o izolacji polietylenowej piankowej i o powłoce ołowianej, opancerzone, z osłonami ochronnymi z tworzyw termoplastycznych.</w:t>
            </w:r>
          </w:p>
        </w:tc>
      </w:tr>
      <w:tr w:rsidR="00C9677E" w:rsidRPr="00A23FB4" w14:paraId="68084AB7" w14:textId="77777777" w:rsidTr="00AD0C50">
        <w:tc>
          <w:tcPr>
            <w:tcW w:w="496" w:type="dxa"/>
          </w:tcPr>
          <w:p w14:paraId="3A5CC4CD" w14:textId="77777777" w:rsidR="00C9677E" w:rsidRPr="00C86F6B" w:rsidRDefault="00C9677E" w:rsidP="00AD0C50">
            <w:pPr>
              <w:jc w:val="right"/>
              <w:rPr>
                <w:rFonts w:asciiTheme="minorHAnsi" w:hAnsiTheme="minorHAnsi" w:cstheme="minorHAnsi"/>
                <w:sz w:val="18"/>
                <w:szCs w:val="18"/>
              </w:rPr>
            </w:pPr>
            <w:r w:rsidRPr="00C86F6B">
              <w:rPr>
                <w:rFonts w:asciiTheme="minorHAnsi" w:hAnsiTheme="minorHAnsi" w:cstheme="minorHAnsi"/>
                <w:sz w:val="18"/>
                <w:szCs w:val="18"/>
              </w:rPr>
              <w:t>29.</w:t>
            </w:r>
          </w:p>
        </w:tc>
        <w:tc>
          <w:tcPr>
            <w:tcW w:w="1842" w:type="dxa"/>
          </w:tcPr>
          <w:p w14:paraId="13F6C2DE" w14:textId="77777777" w:rsidR="00C9677E" w:rsidRPr="00C86F6B" w:rsidRDefault="00C9677E" w:rsidP="00AD0C50">
            <w:pPr>
              <w:rPr>
                <w:rFonts w:asciiTheme="minorHAnsi" w:hAnsiTheme="minorHAnsi" w:cstheme="minorHAnsi"/>
                <w:sz w:val="18"/>
                <w:szCs w:val="18"/>
              </w:rPr>
            </w:pPr>
            <w:r w:rsidRPr="00C86F6B">
              <w:rPr>
                <w:rFonts w:asciiTheme="minorHAnsi" w:hAnsiTheme="minorHAnsi" w:cstheme="minorHAnsi"/>
                <w:sz w:val="18"/>
                <w:szCs w:val="18"/>
              </w:rPr>
              <w:t>PN-87/T-90351</w:t>
            </w:r>
          </w:p>
        </w:tc>
        <w:tc>
          <w:tcPr>
            <w:tcW w:w="7371" w:type="dxa"/>
          </w:tcPr>
          <w:p w14:paraId="7C9E82AE" w14:textId="77777777" w:rsidR="00C9677E" w:rsidRPr="00C86F6B" w:rsidRDefault="00C9677E" w:rsidP="00AD0C50">
            <w:pPr>
              <w:rPr>
                <w:rFonts w:asciiTheme="minorHAnsi" w:hAnsiTheme="minorHAnsi" w:cstheme="minorHAnsi"/>
                <w:sz w:val="18"/>
                <w:szCs w:val="18"/>
              </w:rPr>
            </w:pPr>
            <w:r w:rsidRPr="00C86F6B">
              <w:rPr>
                <w:rFonts w:asciiTheme="minorHAnsi" w:hAnsiTheme="minorHAnsi" w:cstheme="minorHAnsi"/>
                <w:sz w:val="18"/>
                <w:szCs w:val="18"/>
              </w:rPr>
              <w:t>Telekomunikacyjne kable dalekosiężne symetryczne o izolacji papierowo-powietrznej i powłoce ołowianej. Rodzaje kabli.</w:t>
            </w:r>
          </w:p>
        </w:tc>
      </w:tr>
      <w:tr w:rsidR="00C9677E" w:rsidRPr="00A23FB4" w14:paraId="4D2F2F3B" w14:textId="77777777" w:rsidTr="00AD0C50">
        <w:tc>
          <w:tcPr>
            <w:tcW w:w="496" w:type="dxa"/>
          </w:tcPr>
          <w:p w14:paraId="212731EA" w14:textId="77777777" w:rsidR="00C9677E" w:rsidRPr="00C86F6B" w:rsidRDefault="00C9677E" w:rsidP="00AD0C50">
            <w:pPr>
              <w:jc w:val="right"/>
              <w:rPr>
                <w:rFonts w:asciiTheme="minorHAnsi" w:hAnsiTheme="minorHAnsi" w:cstheme="minorHAnsi"/>
                <w:sz w:val="18"/>
                <w:szCs w:val="18"/>
              </w:rPr>
            </w:pPr>
            <w:r w:rsidRPr="00C86F6B">
              <w:rPr>
                <w:rFonts w:asciiTheme="minorHAnsi" w:hAnsiTheme="minorHAnsi" w:cstheme="minorHAnsi"/>
                <w:sz w:val="18"/>
                <w:szCs w:val="18"/>
              </w:rPr>
              <w:t>30.</w:t>
            </w:r>
          </w:p>
        </w:tc>
        <w:tc>
          <w:tcPr>
            <w:tcW w:w="1842" w:type="dxa"/>
          </w:tcPr>
          <w:p w14:paraId="77B292E7" w14:textId="77777777" w:rsidR="00C9677E" w:rsidRPr="00C86F6B" w:rsidRDefault="00C9677E" w:rsidP="00AD0C50">
            <w:pPr>
              <w:rPr>
                <w:rFonts w:asciiTheme="minorHAnsi" w:hAnsiTheme="minorHAnsi" w:cstheme="minorHAnsi"/>
                <w:sz w:val="18"/>
                <w:szCs w:val="18"/>
              </w:rPr>
            </w:pPr>
            <w:r w:rsidRPr="00C86F6B">
              <w:rPr>
                <w:rFonts w:asciiTheme="minorHAnsi" w:hAnsiTheme="minorHAnsi" w:cstheme="minorHAnsi"/>
                <w:sz w:val="18"/>
                <w:szCs w:val="18"/>
              </w:rPr>
              <w:t>PN-87/T-90352</w:t>
            </w:r>
          </w:p>
        </w:tc>
        <w:tc>
          <w:tcPr>
            <w:tcW w:w="7371" w:type="dxa"/>
          </w:tcPr>
          <w:p w14:paraId="18BAB144" w14:textId="77777777" w:rsidR="00C9677E" w:rsidRPr="00C86F6B" w:rsidRDefault="00C9677E" w:rsidP="00AD0C50">
            <w:pPr>
              <w:rPr>
                <w:rFonts w:asciiTheme="minorHAnsi" w:hAnsiTheme="minorHAnsi" w:cstheme="minorHAnsi"/>
                <w:sz w:val="18"/>
                <w:szCs w:val="18"/>
              </w:rPr>
            </w:pPr>
            <w:r w:rsidRPr="00C86F6B">
              <w:rPr>
                <w:rFonts w:asciiTheme="minorHAnsi" w:hAnsiTheme="minorHAnsi" w:cstheme="minorHAnsi"/>
                <w:sz w:val="18"/>
                <w:szCs w:val="18"/>
              </w:rPr>
              <w:t>Telekomunikacyjne kable dalekosiężne symetryczne o izolacji polietylenowo-powietrznej i powłoce ołowianej. Rodzaje kabli.</w:t>
            </w:r>
          </w:p>
        </w:tc>
      </w:tr>
      <w:tr w:rsidR="00C9677E" w:rsidRPr="00A23FB4" w14:paraId="010F17AA" w14:textId="77777777" w:rsidTr="00AD0C50">
        <w:tc>
          <w:tcPr>
            <w:tcW w:w="496" w:type="dxa"/>
          </w:tcPr>
          <w:p w14:paraId="2633C6BF" w14:textId="77777777" w:rsidR="00C9677E" w:rsidRPr="00C86F6B" w:rsidRDefault="00C9677E" w:rsidP="00AD0C50">
            <w:pPr>
              <w:jc w:val="right"/>
              <w:rPr>
                <w:rFonts w:asciiTheme="minorHAnsi" w:hAnsiTheme="minorHAnsi" w:cstheme="minorHAnsi"/>
                <w:sz w:val="18"/>
                <w:szCs w:val="18"/>
              </w:rPr>
            </w:pPr>
            <w:r w:rsidRPr="00C86F6B">
              <w:rPr>
                <w:rFonts w:asciiTheme="minorHAnsi" w:hAnsiTheme="minorHAnsi" w:cstheme="minorHAnsi"/>
                <w:sz w:val="18"/>
                <w:szCs w:val="18"/>
              </w:rPr>
              <w:t>31.</w:t>
            </w:r>
          </w:p>
        </w:tc>
        <w:tc>
          <w:tcPr>
            <w:tcW w:w="1842" w:type="dxa"/>
          </w:tcPr>
          <w:p w14:paraId="2B5C5ED6" w14:textId="77777777" w:rsidR="00C9677E" w:rsidRPr="00C86F6B" w:rsidRDefault="00C9677E" w:rsidP="00AD0C50">
            <w:pPr>
              <w:rPr>
                <w:rFonts w:asciiTheme="minorHAnsi" w:hAnsiTheme="minorHAnsi" w:cstheme="minorHAnsi"/>
                <w:sz w:val="18"/>
                <w:szCs w:val="18"/>
              </w:rPr>
            </w:pPr>
            <w:r w:rsidRPr="00C86F6B">
              <w:rPr>
                <w:rFonts w:asciiTheme="minorHAnsi" w:hAnsiTheme="minorHAnsi" w:cstheme="minorHAnsi"/>
                <w:sz w:val="18"/>
                <w:szCs w:val="18"/>
              </w:rPr>
              <w:t>PN-83/T-90332</w:t>
            </w:r>
          </w:p>
        </w:tc>
        <w:tc>
          <w:tcPr>
            <w:tcW w:w="7371" w:type="dxa"/>
          </w:tcPr>
          <w:p w14:paraId="11AEFC3B" w14:textId="77777777" w:rsidR="00C9677E" w:rsidRPr="00C86F6B" w:rsidRDefault="00C9677E" w:rsidP="00AD0C50">
            <w:pPr>
              <w:rPr>
                <w:rFonts w:asciiTheme="minorHAnsi" w:hAnsiTheme="minorHAnsi" w:cstheme="minorHAnsi"/>
                <w:sz w:val="18"/>
                <w:szCs w:val="18"/>
              </w:rPr>
            </w:pPr>
            <w:r w:rsidRPr="00C86F6B">
              <w:rPr>
                <w:rFonts w:asciiTheme="minorHAnsi" w:hAnsiTheme="minorHAnsi" w:cstheme="minorHAnsi"/>
                <w:sz w:val="18"/>
                <w:szCs w:val="18"/>
              </w:rPr>
              <w:t>Telekomunikacyjne kable miejscowe z wiązkami czwórkowymi, pęczkowe, o izolacji polietylenowej, o powłoce stalowej, spawanej, falowanej, z osłoną polietylenową lub polwinitową.</w:t>
            </w:r>
          </w:p>
        </w:tc>
      </w:tr>
      <w:tr w:rsidR="00C9677E" w:rsidRPr="00A23FB4" w14:paraId="7D7DF7D2" w14:textId="77777777" w:rsidTr="00AD0C50">
        <w:tc>
          <w:tcPr>
            <w:tcW w:w="496" w:type="dxa"/>
          </w:tcPr>
          <w:p w14:paraId="3B0B7906" w14:textId="77777777" w:rsidR="00C9677E" w:rsidRPr="00C86F6B" w:rsidRDefault="00C9677E" w:rsidP="00AD0C50">
            <w:pPr>
              <w:jc w:val="right"/>
              <w:rPr>
                <w:rFonts w:asciiTheme="minorHAnsi" w:hAnsiTheme="minorHAnsi" w:cstheme="minorHAnsi"/>
                <w:sz w:val="18"/>
                <w:szCs w:val="18"/>
              </w:rPr>
            </w:pPr>
            <w:r w:rsidRPr="00C86F6B">
              <w:rPr>
                <w:rFonts w:asciiTheme="minorHAnsi" w:hAnsiTheme="minorHAnsi" w:cstheme="minorHAnsi"/>
                <w:sz w:val="18"/>
                <w:szCs w:val="18"/>
              </w:rPr>
              <w:t>32.</w:t>
            </w:r>
          </w:p>
        </w:tc>
        <w:tc>
          <w:tcPr>
            <w:tcW w:w="1842" w:type="dxa"/>
          </w:tcPr>
          <w:p w14:paraId="422EB1B9" w14:textId="77777777" w:rsidR="00C9677E" w:rsidRPr="00C86F6B" w:rsidRDefault="00C9677E" w:rsidP="00AD0C50">
            <w:pPr>
              <w:rPr>
                <w:rFonts w:asciiTheme="minorHAnsi" w:hAnsiTheme="minorHAnsi" w:cstheme="minorHAnsi"/>
                <w:sz w:val="18"/>
                <w:szCs w:val="18"/>
              </w:rPr>
            </w:pPr>
            <w:r w:rsidRPr="00C86F6B">
              <w:rPr>
                <w:rFonts w:asciiTheme="minorHAnsi" w:hAnsiTheme="minorHAnsi" w:cstheme="minorHAnsi"/>
                <w:sz w:val="18"/>
                <w:szCs w:val="18"/>
              </w:rPr>
              <w:t>WT-84/K-187</w:t>
            </w:r>
          </w:p>
        </w:tc>
        <w:tc>
          <w:tcPr>
            <w:tcW w:w="7371" w:type="dxa"/>
          </w:tcPr>
          <w:p w14:paraId="1464E3A5" w14:textId="77777777" w:rsidR="00C9677E" w:rsidRPr="00C86F6B" w:rsidRDefault="00C9677E" w:rsidP="00AD0C50">
            <w:pPr>
              <w:rPr>
                <w:rFonts w:asciiTheme="minorHAnsi" w:hAnsiTheme="minorHAnsi" w:cstheme="minorHAnsi"/>
                <w:sz w:val="18"/>
                <w:szCs w:val="18"/>
              </w:rPr>
            </w:pPr>
            <w:r w:rsidRPr="00C86F6B">
              <w:rPr>
                <w:rFonts w:asciiTheme="minorHAnsi" w:hAnsiTheme="minorHAnsi" w:cstheme="minorHAnsi"/>
                <w:sz w:val="18"/>
                <w:szCs w:val="18"/>
              </w:rPr>
              <w:t>Telekomunikacyjne kable miejscowe pęczkowe, o izolacji polietylenowej, ekranowane o powłoce stalowej spawanej, falowanej i osłoną polietylenową.</w:t>
            </w:r>
          </w:p>
        </w:tc>
      </w:tr>
      <w:tr w:rsidR="00C9677E" w:rsidRPr="00A23FB4" w14:paraId="28E32584" w14:textId="77777777" w:rsidTr="00AD0C50">
        <w:tc>
          <w:tcPr>
            <w:tcW w:w="496" w:type="dxa"/>
          </w:tcPr>
          <w:p w14:paraId="64992D0C" w14:textId="77777777" w:rsidR="00C9677E" w:rsidRPr="00C86F6B" w:rsidRDefault="00C9677E" w:rsidP="00AD0C50">
            <w:pPr>
              <w:jc w:val="right"/>
              <w:rPr>
                <w:rFonts w:asciiTheme="minorHAnsi" w:hAnsiTheme="minorHAnsi" w:cstheme="minorHAnsi"/>
                <w:sz w:val="18"/>
                <w:szCs w:val="18"/>
              </w:rPr>
            </w:pPr>
            <w:r w:rsidRPr="00C86F6B">
              <w:rPr>
                <w:rFonts w:asciiTheme="minorHAnsi" w:hAnsiTheme="minorHAnsi" w:cstheme="minorHAnsi"/>
                <w:sz w:val="18"/>
                <w:szCs w:val="18"/>
              </w:rPr>
              <w:t>33.</w:t>
            </w:r>
          </w:p>
        </w:tc>
        <w:tc>
          <w:tcPr>
            <w:tcW w:w="1842" w:type="dxa"/>
          </w:tcPr>
          <w:p w14:paraId="636205A4" w14:textId="77777777" w:rsidR="00C9677E" w:rsidRPr="00C86F6B" w:rsidRDefault="00C9677E" w:rsidP="00AD0C50">
            <w:pPr>
              <w:rPr>
                <w:rFonts w:asciiTheme="minorHAnsi" w:hAnsiTheme="minorHAnsi" w:cstheme="minorHAnsi"/>
                <w:sz w:val="18"/>
                <w:szCs w:val="18"/>
              </w:rPr>
            </w:pPr>
            <w:r w:rsidRPr="00C86F6B">
              <w:rPr>
                <w:rFonts w:asciiTheme="minorHAnsi" w:hAnsiTheme="minorHAnsi" w:cstheme="minorHAnsi"/>
                <w:sz w:val="18"/>
                <w:szCs w:val="18"/>
              </w:rPr>
              <w:t>WT-86/K-094.02</w:t>
            </w:r>
          </w:p>
        </w:tc>
        <w:tc>
          <w:tcPr>
            <w:tcW w:w="7371" w:type="dxa"/>
          </w:tcPr>
          <w:p w14:paraId="427F4E14" w14:textId="77777777" w:rsidR="00C9677E" w:rsidRPr="00C86F6B" w:rsidRDefault="00C9677E" w:rsidP="00AD0C50">
            <w:pPr>
              <w:rPr>
                <w:rFonts w:asciiTheme="minorHAnsi" w:hAnsiTheme="minorHAnsi" w:cstheme="minorHAnsi"/>
                <w:sz w:val="18"/>
                <w:szCs w:val="18"/>
              </w:rPr>
            </w:pPr>
            <w:r w:rsidRPr="00C86F6B">
              <w:rPr>
                <w:rFonts w:asciiTheme="minorHAnsi" w:hAnsiTheme="minorHAnsi" w:cstheme="minorHAnsi"/>
                <w:sz w:val="18"/>
                <w:szCs w:val="18"/>
              </w:rPr>
              <w:t>Telekomunikacyjne kable dalekosiężne z parami współosiowymi małowymiarowymi, o powłoce aluminiowej, nieopancerzone i opancerzone, z osłonami ochronnymi z tworzyw termoplastycznych.</w:t>
            </w:r>
          </w:p>
        </w:tc>
      </w:tr>
      <w:tr w:rsidR="00C9677E" w:rsidRPr="00A23FB4" w14:paraId="1235F183" w14:textId="77777777" w:rsidTr="00AD0C50">
        <w:tc>
          <w:tcPr>
            <w:tcW w:w="496" w:type="dxa"/>
          </w:tcPr>
          <w:p w14:paraId="2D230109" w14:textId="77777777" w:rsidR="00C9677E" w:rsidRPr="00C86F6B" w:rsidRDefault="00C9677E" w:rsidP="00AD0C50">
            <w:pPr>
              <w:jc w:val="right"/>
              <w:rPr>
                <w:rFonts w:asciiTheme="minorHAnsi" w:hAnsiTheme="minorHAnsi" w:cstheme="minorHAnsi"/>
                <w:sz w:val="18"/>
                <w:szCs w:val="18"/>
              </w:rPr>
            </w:pPr>
            <w:r w:rsidRPr="00C86F6B">
              <w:rPr>
                <w:rFonts w:asciiTheme="minorHAnsi" w:hAnsiTheme="minorHAnsi" w:cstheme="minorHAnsi"/>
                <w:sz w:val="18"/>
                <w:szCs w:val="18"/>
              </w:rPr>
              <w:t>34.</w:t>
            </w:r>
          </w:p>
        </w:tc>
        <w:tc>
          <w:tcPr>
            <w:tcW w:w="1842" w:type="dxa"/>
          </w:tcPr>
          <w:p w14:paraId="32EB8612" w14:textId="77777777" w:rsidR="00C9677E" w:rsidRPr="00C86F6B" w:rsidRDefault="00C9677E" w:rsidP="00AD0C50">
            <w:pPr>
              <w:rPr>
                <w:rFonts w:asciiTheme="minorHAnsi" w:hAnsiTheme="minorHAnsi" w:cstheme="minorHAnsi"/>
                <w:sz w:val="18"/>
                <w:szCs w:val="18"/>
              </w:rPr>
            </w:pPr>
            <w:r w:rsidRPr="00C86F6B">
              <w:rPr>
                <w:rFonts w:asciiTheme="minorHAnsi" w:hAnsiTheme="minorHAnsi" w:cstheme="minorHAnsi"/>
                <w:sz w:val="18"/>
                <w:szCs w:val="18"/>
              </w:rPr>
              <w:t>WT-86/K-245.02</w:t>
            </w:r>
          </w:p>
        </w:tc>
        <w:tc>
          <w:tcPr>
            <w:tcW w:w="7371" w:type="dxa"/>
          </w:tcPr>
          <w:p w14:paraId="1083252D" w14:textId="77777777" w:rsidR="00C9677E" w:rsidRPr="00C86F6B" w:rsidRDefault="00C9677E" w:rsidP="00AD0C50">
            <w:pPr>
              <w:rPr>
                <w:rFonts w:asciiTheme="minorHAnsi" w:hAnsiTheme="minorHAnsi" w:cstheme="minorHAnsi"/>
                <w:sz w:val="18"/>
                <w:szCs w:val="18"/>
              </w:rPr>
            </w:pPr>
            <w:r w:rsidRPr="00C86F6B">
              <w:rPr>
                <w:rFonts w:asciiTheme="minorHAnsi" w:hAnsiTheme="minorHAnsi" w:cstheme="minorHAnsi"/>
                <w:sz w:val="18"/>
                <w:szCs w:val="18"/>
              </w:rPr>
              <w:t>Telekomunikacyjne kable dalekosiężne z parami współosiowymi normalnowymiarowymi, o powłoce metalowej, opancerzone, z osłonami polietylenowymi.</w:t>
            </w:r>
          </w:p>
        </w:tc>
      </w:tr>
      <w:tr w:rsidR="00C9677E" w:rsidRPr="00A23FB4" w14:paraId="4B9A4648" w14:textId="77777777" w:rsidTr="00AD0C50">
        <w:tc>
          <w:tcPr>
            <w:tcW w:w="496" w:type="dxa"/>
          </w:tcPr>
          <w:p w14:paraId="3A7EF0FA" w14:textId="77777777" w:rsidR="00C9677E" w:rsidRPr="00C86F6B" w:rsidRDefault="00C9677E" w:rsidP="00AD0C50">
            <w:pPr>
              <w:jc w:val="right"/>
              <w:rPr>
                <w:rFonts w:asciiTheme="minorHAnsi" w:hAnsiTheme="minorHAnsi" w:cstheme="minorHAnsi"/>
                <w:sz w:val="18"/>
                <w:szCs w:val="18"/>
              </w:rPr>
            </w:pPr>
            <w:r w:rsidRPr="00C86F6B">
              <w:rPr>
                <w:rFonts w:asciiTheme="minorHAnsi" w:hAnsiTheme="minorHAnsi" w:cstheme="minorHAnsi"/>
                <w:sz w:val="18"/>
                <w:szCs w:val="18"/>
              </w:rPr>
              <w:t>35.</w:t>
            </w:r>
          </w:p>
        </w:tc>
        <w:tc>
          <w:tcPr>
            <w:tcW w:w="1842" w:type="dxa"/>
          </w:tcPr>
          <w:p w14:paraId="32EF7E1D" w14:textId="77777777" w:rsidR="00C9677E" w:rsidRPr="00C86F6B" w:rsidRDefault="00C9677E" w:rsidP="00AD0C50">
            <w:pPr>
              <w:rPr>
                <w:rFonts w:asciiTheme="minorHAnsi" w:hAnsiTheme="minorHAnsi" w:cstheme="minorHAnsi"/>
                <w:sz w:val="18"/>
                <w:szCs w:val="18"/>
              </w:rPr>
            </w:pPr>
            <w:r w:rsidRPr="00C86F6B">
              <w:rPr>
                <w:rFonts w:asciiTheme="minorHAnsi" w:hAnsiTheme="minorHAnsi" w:cstheme="minorHAnsi"/>
                <w:sz w:val="18"/>
                <w:szCs w:val="18"/>
              </w:rPr>
              <w:t>WT-80/K-132</w:t>
            </w:r>
          </w:p>
        </w:tc>
        <w:tc>
          <w:tcPr>
            <w:tcW w:w="7371" w:type="dxa"/>
          </w:tcPr>
          <w:p w14:paraId="28C5E977" w14:textId="77777777" w:rsidR="00C9677E" w:rsidRPr="00C86F6B" w:rsidRDefault="00C9677E" w:rsidP="00AD0C50">
            <w:pPr>
              <w:rPr>
                <w:rFonts w:asciiTheme="minorHAnsi" w:hAnsiTheme="minorHAnsi" w:cstheme="minorHAnsi"/>
                <w:sz w:val="18"/>
                <w:szCs w:val="18"/>
              </w:rPr>
            </w:pPr>
            <w:r w:rsidRPr="00C86F6B">
              <w:rPr>
                <w:rFonts w:asciiTheme="minorHAnsi" w:hAnsiTheme="minorHAnsi" w:cstheme="minorHAnsi"/>
                <w:sz w:val="18"/>
                <w:szCs w:val="18"/>
              </w:rPr>
              <w:t>Telekomunikacyjne kable dalekosiężne rozdzielcze z wiązkami czwórkowymi o izolacji polietylenowej piankowej i o powłoce ołowianej.</w:t>
            </w:r>
          </w:p>
        </w:tc>
      </w:tr>
      <w:tr w:rsidR="00C9677E" w:rsidRPr="00A23FB4" w14:paraId="68CE4371" w14:textId="77777777" w:rsidTr="00AD0C50">
        <w:tc>
          <w:tcPr>
            <w:tcW w:w="496" w:type="dxa"/>
          </w:tcPr>
          <w:p w14:paraId="78872001" w14:textId="77777777" w:rsidR="00C9677E" w:rsidRPr="00C86F6B" w:rsidRDefault="00C9677E" w:rsidP="00AD0C50">
            <w:pPr>
              <w:jc w:val="right"/>
              <w:rPr>
                <w:rFonts w:asciiTheme="minorHAnsi" w:hAnsiTheme="minorHAnsi" w:cstheme="minorHAnsi"/>
                <w:sz w:val="18"/>
                <w:szCs w:val="18"/>
              </w:rPr>
            </w:pPr>
            <w:r w:rsidRPr="00C86F6B">
              <w:rPr>
                <w:rFonts w:asciiTheme="minorHAnsi" w:hAnsiTheme="minorHAnsi" w:cstheme="minorHAnsi"/>
                <w:sz w:val="18"/>
                <w:szCs w:val="18"/>
              </w:rPr>
              <w:t>36.</w:t>
            </w:r>
          </w:p>
        </w:tc>
        <w:tc>
          <w:tcPr>
            <w:tcW w:w="1842" w:type="dxa"/>
          </w:tcPr>
          <w:p w14:paraId="72E3BD1F" w14:textId="77777777" w:rsidR="00C9677E" w:rsidRPr="00C86F6B" w:rsidRDefault="00C9677E" w:rsidP="00AD0C50">
            <w:pPr>
              <w:rPr>
                <w:rFonts w:asciiTheme="minorHAnsi" w:hAnsiTheme="minorHAnsi" w:cstheme="minorHAnsi"/>
                <w:sz w:val="18"/>
                <w:szCs w:val="18"/>
              </w:rPr>
            </w:pPr>
            <w:r w:rsidRPr="00C86F6B">
              <w:rPr>
                <w:rFonts w:asciiTheme="minorHAnsi" w:hAnsiTheme="minorHAnsi" w:cstheme="minorHAnsi"/>
                <w:sz w:val="18"/>
                <w:szCs w:val="18"/>
              </w:rPr>
              <w:t>WT-80/K-133</w:t>
            </w:r>
          </w:p>
        </w:tc>
        <w:tc>
          <w:tcPr>
            <w:tcW w:w="7371" w:type="dxa"/>
          </w:tcPr>
          <w:p w14:paraId="25DB4AB8" w14:textId="77777777" w:rsidR="00C9677E" w:rsidRPr="00C86F6B" w:rsidRDefault="00C9677E" w:rsidP="00AD0C50">
            <w:pPr>
              <w:rPr>
                <w:rFonts w:asciiTheme="minorHAnsi" w:hAnsiTheme="minorHAnsi" w:cstheme="minorHAnsi"/>
                <w:sz w:val="18"/>
                <w:szCs w:val="18"/>
              </w:rPr>
            </w:pPr>
            <w:r w:rsidRPr="00C86F6B">
              <w:rPr>
                <w:rFonts w:asciiTheme="minorHAnsi" w:hAnsiTheme="minorHAnsi" w:cstheme="minorHAnsi"/>
                <w:sz w:val="18"/>
                <w:szCs w:val="18"/>
              </w:rPr>
              <w:t>Telekomunikacyjny kabel rozdzielczy z wiązkami parowymi o izolacji polietylenowej piankowej i  powłoce ołowianej.</w:t>
            </w:r>
          </w:p>
        </w:tc>
      </w:tr>
      <w:tr w:rsidR="00C9677E" w:rsidRPr="00A23FB4" w14:paraId="658CC35E" w14:textId="77777777" w:rsidTr="00AD0C50">
        <w:tc>
          <w:tcPr>
            <w:tcW w:w="496" w:type="dxa"/>
          </w:tcPr>
          <w:p w14:paraId="4BFE34A5" w14:textId="77777777" w:rsidR="00C9677E" w:rsidRPr="00C86F6B" w:rsidRDefault="00C9677E" w:rsidP="00AD0C50">
            <w:pPr>
              <w:jc w:val="right"/>
              <w:rPr>
                <w:rFonts w:asciiTheme="minorHAnsi" w:hAnsiTheme="minorHAnsi" w:cstheme="minorHAnsi"/>
                <w:sz w:val="18"/>
                <w:szCs w:val="18"/>
              </w:rPr>
            </w:pPr>
            <w:r w:rsidRPr="00C86F6B">
              <w:rPr>
                <w:rFonts w:asciiTheme="minorHAnsi" w:hAnsiTheme="minorHAnsi" w:cstheme="minorHAnsi"/>
                <w:sz w:val="18"/>
                <w:szCs w:val="18"/>
              </w:rPr>
              <w:t>37.</w:t>
            </w:r>
          </w:p>
        </w:tc>
        <w:tc>
          <w:tcPr>
            <w:tcW w:w="1842" w:type="dxa"/>
          </w:tcPr>
          <w:p w14:paraId="72367BAD" w14:textId="77777777" w:rsidR="00C9677E" w:rsidRPr="00C86F6B" w:rsidRDefault="00C9677E" w:rsidP="00AD0C50">
            <w:pPr>
              <w:rPr>
                <w:rFonts w:asciiTheme="minorHAnsi" w:hAnsiTheme="minorHAnsi" w:cstheme="minorHAnsi"/>
                <w:sz w:val="18"/>
                <w:szCs w:val="18"/>
              </w:rPr>
            </w:pPr>
            <w:r w:rsidRPr="00C86F6B">
              <w:rPr>
                <w:rFonts w:asciiTheme="minorHAnsi" w:hAnsiTheme="minorHAnsi" w:cstheme="minorHAnsi"/>
                <w:sz w:val="18"/>
                <w:szCs w:val="18"/>
              </w:rPr>
              <w:t>WT-84/K-186</w:t>
            </w:r>
          </w:p>
        </w:tc>
        <w:tc>
          <w:tcPr>
            <w:tcW w:w="7371" w:type="dxa"/>
          </w:tcPr>
          <w:p w14:paraId="2F337E9B" w14:textId="77777777" w:rsidR="00C9677E" w:rsidRPr="00C86F6B" w:rsidRDefault="00C9677E" w:rsidP="00AD0C50">
            <w:pPr>
              <w:rPr>
                <w:rFonts w:asciiTheme="minorHAnsi" w:hAnsiTheme="minorHAnsi" w:cstheme="minorHAnsi"/>
                <w:sz w:val="18"/>
                <w:szCs w:val="18"/>
              </w:rPr>
            </w:pPr>
            <w:r w:rsidRPr="00C86F6B">
              <w:rPr>
                <w:rFonts w:asciiTheme="minorHAnsi" w:hAnsiTheme="minorHAnsi" w:cstheme="minorHAnsi"/>
                <w:sz w:val="18"/>
                <w:szCs w:val="18"/>
              </w:rPr>
              <w:t>Telekomunikacyjne kable dalekosiężne rozdzielcze z wiązkami czwórkowymi o izolacji polietylenowej piankowej, ekranowane w powłoce stalowej, z osłoną polietylenową.</w:t>
            </w:r>
          </w:p>
        </w:tc>
      </w:tr>
      <w:tr w:rsidR="00C9677E" w:rsidRPr="00A23FB4" w14:paraId="3CD7F18C" w14:textId="77777777" w:rsidTr="00AD0C50">
        <w:tc>
          <w:tcPr>
            <w:tcW w:w="496" w:type="dxa"/>
          </w:tcPr>
          <w:p w14:paraId="642FDCCA" w14:textId="77777777" w:rsidR="00C9677E" w:rsidRPr="00C86F6B" w:rsidRDefault="00C9677E" w:rsidP="00AD0C50">
            <w:pPr>
              <w:jc w:val="right"/>
              <w:rPr>
                <w:rFonts w:asciiTheme="minorHAnsi" w:hAnsiTheme="minorHAnsi" w:cstheme="minorHAnsi"/>
                <w:sz w:val="18"/>
                <w:szCs w:val="18"/>
              </w:rPr>
            </w:pPr>
            <w:r w:rsidRPr="00C86F6B">
              <w:rPr>
                <w:rFonts w:asciiTheme="minorHAnsi" w:hAnsiTheme="minorHAnsi" w:cstheme="minorHAnsi"/>
                <w:sz w:val="18"/>
                <w:szCs w:val="18"/>
              </w:rPr>
              <w:t>38.</w:t>
            </w:r>
          </w:p>
        </w:tc>
        <w:tc>
          <w:tcPr>
            <w:tcW w:w="1842" w:type="dxa"/>
          </w:tcPr>
          <w:p w14:paraId="1B3623F3" w14:textId="77777777" w:rsidR="00C9677E" w:rsidRPr="00C86F6B" w:rsidRDefault="00C9677E" w:rsidP="00AD0C50">
            <w:pPr>
              <w:rPr>
                <w:rFonts w:asciiTheme="minorHAnsi" w:hAnsiTheme="minorHAnsi" w:cstheme="minorHAnsi"/>
                <w:sz w:val="18"/>
                <w:szCs w:val="18"/>
              </w:rPr>
            </w:pPr>
            <w:r w:rsidRPr="00C86F6B">
              <w:rPr>
                <w:rFonts w:asciiTheme="minorHAnsi" w:hAnsiTheme="minorHAnsi" w:cstheme="minorHAnsi"/>
                <w:sz w:val="18"/>
                <w:szCs w:val="18"/>
              </w:rPr>
              <w:t>BN-88/8984-17/03</w:t>
            </w:r>
          </w:p>
        </w:tc>
        <w:tc>
          <w:tcPr>
            <w:tcW w:w="7371" w:type="dxa"/>
          </w:tcPr>
          <w:p w14:paraId="070DF0B5" w14:textId="77777777" w:rsidR="00C9677E" w:rsidRPr="00C86F6B" w:rsidRDefault="00C9677E" w:rsidP="00AD0C50">
            <w:pPr>
              <w:rPr>
                <w:rFonts w:asciiTheme="minorHAnsi" w:hAnsiTheme="minorHAnsi" w:cstheme="minorHAnsi"/>
                <w:sz w:val="18"/>
                <w:szCs w:val="18"/>
              </w:rPr>
            </w:pPr>
            <w:r w:rsidRPr="00C86F6B">
              <w:rPr>
                <w:rFonts w:asciiTheme="minorHAnsi" w:hAnsiTheme="minorHAnsi" w:cstheme="minorHAnsi"/>
                <w:sz w:val="18"/>
                <w:szCs w:val="18"/>
              </w:rPr>
              <w:t>Telekomunikacyjne sieci miejscowe. Linie kablowe. Ogólne wymagania i badania.</w:t>
            </w:r>
          </w:p>
        </w:tc>
      </w:tr>
      <w:tr w:rsidR="00C9677E" w:rsidRPr="00A23FB4" w14:paraId="269523C9" w14:textId="77777777" w:rsidTr="00AD0C50">
        <w:tc>
          <w:tcPr>
            <w:tcW w:w="496" w:type="dxa"/>
          </w:tcPr>
          <w:p w14:paraId="435A5EA0" w14:textId="77777777" w:rsidR="00C9677E" w:rsidRPr="00C86F6B" w:rsidRDefault="00C9677E" w:rsidP="00AD0C50">
            <w:pPr>
              <w:jc w:val="right"/>
              <w:rPr>
                <w:rFonts w:asciiTheme="minorHAnsi" w:hAnsiTheme="minorHAnsi" w:cstheme="minorHAnsi"/>
                <w:sz w:val="18"/>
                <w:szCs w:val="18"/>
              </w:rPr>
            </w:pPr>
            <w:r w:rsidRPr="00C86F6B">
              <w:rPr>
                <w:rFonts w:asciiTheme="minorHAnsi" w:hAnsiTheme="minorHAnsi" w:cstheme="minorHAnsi"/>
                <w:sz w:val="18"/>
                <w:szCs w:val="18"/>
              </w:rPr>
              <w:t>39.</w:t>
            </w:r>
          </w:p>
        </w:tc>
        <w:tc>
          <w:tcPr>
            <w:tcW w:w="1842" w:type="dxa"/>
          </w:tcPr>
          <w:p w14:paraId="7CED0700" w14:textId="77777777" w:rsidR="00C9677E" w:rsidRPr="00C86F6B" w:rsidRDefault="00C9677E" w:rsidP="00AD0C50">
            <w:pPr>
              <w:rPr>
                <w:rFonts w:asciiTheme="minorHAnsi" w:hAnsiTheme="minorHAnsi" w:cstheme="minorHAnsi"/>
                <w:sz w:val="18"/>
                <w:szCs w:val="18"/>
              </w:rPr>
            </w:pPr>
            <w:r w:rsidRPr="00C86F6B">
              <w:rPr>
                <w:rFonts w:asciiTheme="minorHAnsi" w:hAnsiTheme="minorHAnsi" w:cstheme="minorHAnsi"/>
                <w:sz w:val="18"/>
                <w:szCs w:val="18"/>
              </w:rPr>
              <w:t>BN-79/8976-78-78</w:t>
            </w:r>
          </w:p>
        </w:tc>
        <w:tc>
          <w:tcPr>
            <w:tcW w:w="7371" w:type="dxa"/>
          </w:tcPr>
          <w:p w14:paraId="2C3273E7" w14:textId="77777777" w:rsidR="00C9677E" w:rsidRPr="00C86F6B" w:rsidRDefault="00C9677E" w:rsidP="00AD0C50">
            <w:pPr>
              <w:rPr>
                <w:rFonts w:asciiTheme="minorHAnsi" w:hAnsiTheme="minorHAnsi" w:cstheme="minorHAnsi"/>
                <w:sz w:val="18"/>
                <w:szCs w:val="18"/>
              </w:rPr>
            </w:pPr>
            <w:r w:rsidRPr="00C86F6B">
              <w:rPr>
                <w:rFonts w:asciiTheme="minorHAnsi" w:hAnsiTheme="minorHAnsi" w:cstheme="minorHAnsi"/>
                <w:sz w:val="18"/>
                <w:szCs w:val="18"/>
              </w:rPr>
              <w:t>Pustak kablowy.</w:t>
            </w:r>
          </w:p>
        </w:tc>
      </w:tr>
      <w:tr w:rsidR="00C9677E" w:rsidRPr="00A23FB4" w14:paraId="437DBC3E" w14:textId="77777777" w:rsidTr="00AD0C50">
        <w:tc>
          <w:tcPr>
            <w:tcW w:w="496" w:type="dxa"/>
          </w:tcPr>
          <w:p w14:paraId="428A98B5" w14:textId="77777777" w:rsidR="00C9677E" w:rsidRPr="00C86F6B" w:rsidRDefault="00C9677E" w:rsidP="00AD0C50">
            <w:pPr>
              <w:jc w:val="right"/>
              <w:rPr>
                <w:rFonts w:asciiTheme="minorHAnsi" w:hAnsiTheme="minorHAnsi" w:cstheme="minorHAnsi"/>
                <w:sz w:val="18"/>
                <w:szCs w:val="18"/>
              </w:rPr>
            </w:pPr>
            <w:r w:rsidRPr="00C86F6B">
              <w:rPr>
                <w:rFonts w:asciiTheme="minorHAnsi" w:hAnsiTheme="minorHAnsi" w:cstheme="minorHAnsi"/>
                <w:sz w:val="18"/>
                <w:szCs w:val="18"/>
              </w:rPr>
              <w:t>40.</w:t>
            </w:r>
          </w:p>
        </w:tc>
        <w:tc>
          <w:tcPr>
            <w:tcW w:w="1842" w:type="dxa"/>
          </w:tcPr>
          <w:p w14:paraId="5A11248E" w14:textId="77777777" w:rsidR="00C9677E" w:rsidRPr="00C86F6B" w:rsidRDefault="00C9677E" w:rsidP="00AD0C50">
            <w:pPr>
              <w:rPr>
                <w:rFonts w:asciiTheme="minorHAnsi" w:hAnsiTheme="minorHAnsi" w:cstheme="minorHAnsi"/>
                <w:sz w:val="18"/>
                <w:szCs w:val="18"/>
              </w:rPr>
            </w:pPr>
            <w:r w:rsidRPr="00C86F6B">
              <w:rPr>
                <w:rFonts w:asciiTheme="minorHAnsi" w:hAnsiTheme="minorHAnsi" w:cstheme="minorHAnsi"/>
                <w:sz w:val="18"/>
                <w:szCs w:val="18"/>
              </w:rPr>
              <w:t>BN-72/3233-72</w:t>
            </w:r>
          </w:p>
        </w:tc>
        <w:tc>
          <w:tcPr>
            <w:tcW w:w="7371" w:type="dxa"/>
          </w:tcPr>
          <w:p w14:paraId="5EB43C64" w14:textId="77777777" w:rsidR="00C9677E" w:rsidRPr="00C86F6B" w:rsidRDefault="00C9677E" w:rsidP="00AD0C50">
            <w:pPr>
              <w:rPr>
                <w:rFonts w:asciiTheme="minorHAnsi" w:hAnsiTheme="minorHAnsi" w:cstheme="minorHAnsi"/>
                <w:sz w:val="18"/>
                <w:szCs w:val="18"/>
              </w:rPr>
            </w:pPr>
            <w:r w:rsidRPr="00C86F6B">
              <w:rPr>
                <w:rFonts w:asciiTheme="minorHAnsi" w:hAnsiTheme="minorHAnsi" w:cstheme="minorHAnsi"/>
                <w:sz w:val="18"/>
                <w:szCs w:val="18"/>
              </w:rPr>
              <w:t>Prefabrykowana przykrywa żelbetowa.</w:t>
            </w:r>
          </w:p>
        </w:tc>
      </w:tr>
      <w:tr w:rsidR="00C9677E" w:rsidRPr="00A23FB4" w14:paraId="2BA9C537" w14:textId="77777777" w:rsidTr="00AD0C50">
        <w:tc>
          <w:tcPr>
            <w:tcW w:w="496" w:type="dxa"/>
          </w:tcPr>
          <w:p w14:paraId="49AB704A" w14:textId="77777777" w:rsidR="00C9677E" w:rsidRPr="00C86F6B" w:rsidRDefault="00C9677E" w:rsidP="00AD0C50">
            <w:pPr>
              <w:jc w:val="right"/>
              <w:rPr>
                <w:rFonts w:asciiTheme="minorHAnsi" w:hAnsiTheme="minorHAnsi" w:cstheme="minorHAnsi"/>
                <w:sz w:val="18"/>
                <w:szCs w:val="18"/>
              </w:rPr>
            </w:pPr>
            <w:r w:rsidRPr="00C86F6B">
              <w:rPr>
                <w:rFonts w:asciiTheme="minorHAnsi" w:hAnsiTheme="minorHAnsi" w:cstheme="minorHAnsi"/>
                <w:sz w:val="18"/>
                <w:szCs w:val="18"/>
              </w:rPr>
              <w:t>41.</w:t>
            </w:r>
          </w:p>
        </w:tc>
        <w:tc>
          <w:tcPr>
            <w:tcW w:w="1842" w:type="dxa"/>
          </w:tcPr>
          <w:p w14:paraId="50FF9196" w14:textId="77777777" w:rsidR="00C9677E" w:rsidRPr="00C86F6B" w:rsidRDefault="00C9677E" w:rsidP="00AD0C50">
            <w:pPr>
              <w:rPr>
                <w:rFonts w:asciiTheme="minorHAnsi" w:hAnsiTheme="minorHAnsi" w:cstheme="minorHAnsi"/>
                <w:sz w:val="18"/>
                <w:szCs w:val="18"/>
              </w:rPr>
            </w:pPr>
            <w:r w:rsidRPr="00C86F6B">
              <w:rPr>
                <w:rFonts w:asciiTheme="minorHAnsi" w:hAnsiTheme="minorHAnsi" w:cstheme="minorHAnsi"/>
                <w:sz w:val="18"/>
                <w:szCs w:val="18"/>
              </w:rPr>
              <w:t>PN-77/E-05030/00      i 01</w:t>
            </w:r>
          </w:p>
        </w:tc>
        <w:tc>
          <w:tcPr>
            <w:tcW w:w="7371" w:type="dxa"/>
          </w:tcPr>
          <w:p w14:paraId="77810500" w14:textId="77777777" w:rsidR="00C9677E" w:rsidRPr="00C86F6B" w:rsidRDefault="00C9677E" w:rsidP="00AD0C50">
            <w:pPr>
              <w:rPr>
                <w:rFonts w:asciiTheme="minorHAnsi" w:hAnsiTheme="minorHAnsi" w:cstheme="minorHAnsi"/>
                <w:sz w:val="18"/>
                <w:szCs w:val="18"/>
              </w:rPr>
            </w:pPr>
            <w:r w:rsidRPr="00C86F6B">
              <w:rPr>
                <w:rFonts w:asciiTheme="minorHAnsi" w:hAnsiTheme="minorHAnsi" w:cstheme="minorHAnsi"/>
                <w:sz w:val="18"/>
                <w:szCs w:val="18"/>
              </w:rPr>
              <w:t>Ochrona przed korozją. Ochrona katodowa. Wspólne wymagania i badania. Ochrona metalowych części podziemnych.</w:t>
            </w:r>
          </w:p>
        </w:tc>
      </w:tr>
      <w:tr w:rsidR="00C9677E" w:rsidRPr="00A23FB4" w14:paraId="1869BB51" w14:textId="77777777" w:rsidTr="00AD0C50">
        <w:tc>
          <w:tcPr>
            <w:tcW w:w="496" w:type="dxa"/>
          </w:tcPr>
          <w:p w14:paraId="2AFF9E55" w14:textId="77777777" w:rsidR="00C9677E" w:rsidRPr="00C86F6B" w:rsidRDefault="00C9677E" w:rsidP="00AD0C50">
            <w:pPr>
              <w:jc w:val="right"/>
              <w:rPr>
                <w:rFonts w:asciiTheme="minorHAnsi" w:hAnsiTheme="minorHAnsi" w:cstheme="minorHAnsi"/>
                <w:sz w:val="18"/>
                <w:szCs w:val="18"/>
              </w:rPr>
            </w:pPr>
            <w:r w:rsidRPr="00C86F6B">
              <w:rPr>
                <w:rFonts w:asciiTheme="minorHAnsi" w:hAnsiTheme="minorHAnsi" w:cstheme="minorHAnsi"/>
                <w:sz w:val="18"/>
                <w:szCs w:val="18"/>
              </w:rPr>
              <w:t>42.</w:t>
            </w:r>
          </w:p>
        </w:tc>
        <w:tc>
          <w:tcPr>
            <w:tcW w:w="1842" w:type="dxa"/>
          </w:tcPr>
          <w:p w14:paraId="2B69E411" w14:textId="77777777" w:rsidR="00C9677E" w:rsidRPr="00C86F6B" w:rsidRDefault="00C9677E" w:rsidP="00AD0C50">
            <w:pPr>
              <w:rPr>
                <w:rFonts w:asciiTheme="minorHAnsi" w:hAnsiTheme="minorHAnsi" w:cstheme="minorHAnsi"/>
                <w:sz w:val="18"/>
                <w:szCs w:val="18"/>
              </w:rPr>
            </w:pPr>
            <w:r w:rsidRPr="00C86F6B">
              <w:rPr>
                <w:rFonts w:asciiTheme="minorHAnsi" w:hAnsiTheme="minorHAnsi" w:cstheme="minorHAnsi"/>
                <w:sz w:val="18"/>
                <w:szCs w:val="18"/>
              </w:rPr>
              <w:t>BN-89/8984-18</w:t>
            </w:r>
          </w:p>
        </w:tc>
        <w:tc>
          <w:tcPr>
            <w:tcW w:w="7371" w:type="dxa"/>
          </w:tcPr>
          <w:p w14:paraId="185F3B11" w14:textId="77777777" w:rsidR="00C9677E" w:rsidRPr="00C86F6B" w:rsidRDefault="00C9677E" w:rsidP="00AD0C50">
            <w:pPr>
              <w:rPr>
                <w:rFonts w:asciiTheme="minorHAnsi" w:hAnsiTheme="minorHAnsi" w:cstheme="minorHAnsi"/>
                <w:sz w:val="18"/>
                <w:szCs w:val="18"/>
              </w:rPr>
            </w:pPr>
            <w:r w:rsidRPr="00C86F6B">
              <w:rPr>
                <w:rFonts w:asciiTheme="minorHAnsi" w:hAnsiTheme="minorHAnsi" w:cstheme="minorHAnsi"/>
                <w:sz w:val="18"/>
                <w:szCs w:val="18"/>
              </w:rPr>
              <w:t>Telekomunikacyjne linie kablowe dalekosiężne. Ogólne wymagania i badania.</w:t>
            </w:r>
          </w:p>
        </w:tc>
      </w:tr>
      <w:tr w:rsidR="00C9677E" w:rsidRPr="00A23FB4" w14:paraId="446F4366" w14:textId="77777777" w:rsidTr="00AD0C50">
        <w:tc>
          <w:tcPr>
            <w:tcW w:w="496" w:type="dxa"/>
          </w:tcPr>
          <w:p w14:paraId="2B43D87C" w14:textId="77777777" w:rsidR="00C9677E" w:rsidRPr="00C86F6B" w:rsidRDefault="00C9677E" w:rsidP="00AD0C50">
            <w:pPr>
              <w:jc w:val="right"/>
              <w:rPr>
                <w:rFonts w:asciiTheme="minorHAnsi" w:hAnsiTheme="minorHAnsi" w:cstheme="minorHAnsi"/>
                <w:sz w:val="18"/>
                <w:szCs w:val="18"/>
              </w:rPr>
            </w:pPr>
            <w:r w:rsidRPr="00C86F6B">
              <w:rPr>
                <w:rFonts w:asciiTheme="minorHAnsi" w:hAnsiTheme="minorHAnsi" w:cstheme="minorHAnsi"/>
                <w:sz w:val="18"/>
                <w:szCs w:val="18"/>
              </w:rPr>
              <w:t>43.</w:t>
            </w:r>
          </w:p>
        </w:tc>
        <w:tc>
          <w:tcPr>
            <w:tcW w:w="1842" w:type="dxa"/>
          </w:tcPr>
          <w:p w14:paraId="64D4E084" w14:textId="77777777" w:rsidR="00C9677E" w:rsidRPr="00C86F6B" w:rsidRDefault="00C9677E" w:rsidP="00AD0C50">
            <w:pPr>
              <w:rPr>
                <w:rFonts w:asciiTheme="minorHAnsi" w:hAnsiTheme="minorHAnsi" w:cstheme="minorHAnsi"/>
                <w:sz w:val="18"/>
                <w:szCs w:val="18"/>
              </w:rPr>
            </w:pPr>
            <w:r w:rsidRPr="00C86F6B">
              <w:rPr>
                <w:rFonts w:asciiTheme="minorHAnsi" w:hAnsiTheme="minorHAnsi" w:cstheme="minorHAnsi"/>
                <w:sz w:val="18"/>
                <w:szCs w:val="18"/>
              </w:rPr>
              <w:t>PN-88/B-30000</w:t>
            </w:r>
          </w:p>
        </w:tc>
        <w:tc>
          <w:tcPr>
            <w:tcW w:w="7371" w:type="dxa"/>
          </w:tcPr>
          <w:p w14:paraId="55B60F21" w14:textId="77777777" w:rsidR="00C9677E" w:rsidRPr="00C86F6B" w:rsidRDefault="00C9677E" w:rsidP="00AD0C50">
            <w:pPr>
              <w:rPr>
                <w:rFonts w:asciiTheme="minorHAnsi" w:hAnsiTheme="minorHAnsi" w:cstheme="minorHAnsi"/>
                <w:sz w:val="18"/>
                <w:szCs w:val="18"/>
              </w:rPr>
            </w:pPr>
            <w:r w:rsidRPr="00C86F6B">
              <w:rPr>
                <w:rFonts w:asciiTheme="minorHAnsi" w:hAnsiTheme="minorHAnsi" w:cstheme="minorHAnsi"/>
                <w:sz w:val="18"/>
                <w:szCs w:val="18"/>
              </w:rPr>
              <w:t>Projekty budowlane. Obliczenia statyczne.</w:t>
            </w:r>
          </w:p>
        </w:tc>
      </w:tr>
      <w:tr w:rsidR="00C9677E" w:rsidRPr="00A23FB4" w14:paraId="7A46F719" w14:textId="77777777" w:rsidTr="00AD0C50">
        <w:tc>
          <w:tcPr>
            <w:tcW w:w="496" w:type="dxa"/>
          </w:tcPr>
          <w:p w14:paraId="7B7974CC" w14:textId="77777777" w:rsidR="00C9677E" w:rsidRPr="00C86F6B" w:rsidRDefault="00C9677E" w:rsidP="00AD0C50">
            <w:pPr>
              <w:jc w:val="right"/>
              <w:rPr>
                <w:rFonts w:asciiTheme="minorHAnsi" w:hAnsiTheme="minorHAnsi" w:cstheme="minorHAnsi"/>
                <w:sz w:val="18"/>
                <w:szCs w:val="18"/>
              </w:rPr>
            </w:pPr>
            <w:r w:rsidRPr="00C86F6B">
              <w:rPr>
                <w:rFonts w:asciiTheme="minorHAnsi" w:hAnsiTheme="minorHAnsi" w:cstheme="minorHAnsi"/>
                <w:sz w:val="18"/>
                <w:szCs w:val="18"/>
              </w:rPr>
              <w:t>44.</w:t>
            </w:r>
          </w:p>
        </w:tc>
        <w:tc>
          <w:tcPr>
            <w:tcW w:w="1842" w:type="dxa"/>
          </w:tcPr>
          <w:p w14:paraId="7D82A0A7" w14:textId="77777777" w:rsidR="00C9677E" w:rsidRPr="00C86F6B" w:rsidRDefault="00C9677E" w:rsidP="00AD0C50">
            <w:pPr>
              <w:rPr>
                <w:rFonts w:asciiTheme="minorHAnsi" w:hAnsiTheme="minorHAnsi" w:cstheme="minorHAnsi"/>
                <w:sz w:val="18"/>
                <w:szCs w:val="18"/>
              </w:rPr>
            </w:pPr>
            <w:r w:rsidRPr="00C86F6B">
              <w:rPr>
                <w:rFonts w:asciiTheme="minorHAnsi" w:hAnsiTheme="minorHAnsi" w:cstheme="minorHAnsi"/>
                <w:sz w:val="18"/>
                <w:szCs w:val="18"/>
              </w:rPr>
              <w:t>BN-73/3233-02</w:t>
            </w:r>
          </w:p>
        </w:tc>
        <w:tc>
          <w:tcPr>
            <w:tcW w:w="7371" w:type="dxa"/>
          </w:tcPr>
          <w:p w14:paraId="175A3243" w14:textId="77777777" w:rsidR="00C9677E" w:rsidRPr="00C86F6B" w:rsidRDefault="00C9677E" w:rsidP="00AD0C50">
            <w:pPr>
              <w:rPr>
                <w:rFonts w:asciiTheme="minorHAnsi" w:hAnsiTheme="minorHAnsi" w:cstheme="minorHAnsi"/>
                <w:sz w:val="18"/>
                <w:szCs w:val="18"/>
              </w:rPr>
            </w:pPr>
            <w:r w:rsidRPr="00C86F6B">
              <w:rPr>
                <w:rFonts w:asciiTheme="minorHAnsi" w:hAnsiTheme="minorHAnsi" w:cstheme="minorHAnsi"/>
                <w:sz w:val="18"/>
                <w:szCs w:val="18"/>
              </w:rPr>
              <w:t>Telekomunikacyjne sieci kablowe miejscowe. Wietrznik do pokryw.</w:t>
            </w:r>
          </w:p>
        </w:tc>
      </w:tr>
      <w:tr w:rsidR="00C9677E" w:rsidRPr="00A23FB4" w14:paraId="1AD51A63" w14:textId="77777777" w:rsidTr="00AD0C50">
        <w:tc>
          <w:tcPr>
            <w:tcW w:w="496" w:type="dxa"/>
          </w:tcPr>
          <w:p w14:paraId="0F827438" w14:textId="77777777" w:rsidR="00C9677E" w:rsidRPr="00C86F6B" w:rsidRDefault="00C9677E" w:rsidP="00AD0C50">
            <w:pPr>
              <w:jc w:val="right"/>
              <w:rPr>
                <w:rFonts w:asciiTheme="minorHAnsi" w:hAnsiTheme="minorHAnsi" w:cstheme="minorHAnsi"/>
                <w:sz w:val="18"/>
                <w:szCs w:val="18"/>
              </w:rPr>
            </w:pPr>
            <w:r w:rsidRPr="00C86F6B">
              <w:rPr>
                <w:rFonts w:asciiTheme="minorHAnsi" w:hAnsiTheme="minorHAnsi" w:cstheme="minorHAnsi"/>
                <w:sz w:val="18"/>
                <w:szCs w:val="18"/>
              </w:rPr>
              <w:t>45.</w:t>
            </w:r>
          </w:p>
        </w:tc>
        <w:tc>
          <w:tcPr>
            <w:tcW w:w="1842" w:type="dxa"/>
          </w:tcPr>
          <w:p w14:paraId="1AB13ED2" w14:textId="77777777" w:rsidR="00C9677E" w:rsidRPr="00C86F6B" w:rsidRDefault="00C9677E" w:rsidP="00AD0C50">
            <w:pPr>
              <w:rPr>
                <w:rFonts w:asciiTheme="minorHAnsi" w:hAnsiTheme="minorHAnsi" w:cstheme="minorHAnsi"/>
                <w:sz w:val="18"/>
                <w:szCs w:val="18"/>
              </w:rPr>
            </w:pPr>
            <w:r w:rsidRPr="00C86F6B">
              <w:rPr>
                <w:rFonts w:asciiTheme="minorHAnsi" w:hAnsiTheme="minorHAnsi" w:cstheme="minorHAnsi"/>
                <w:sz w:val="18"/>
                <w:szCs w:val="18"/>
              </w:rPr>
              <w:t>BN-73/3233-03</w:t>
            </w:r>
          </w:p>
        </w:tc>
        <w:tc>
          <w:tcPr>
            <w:tcW w:w="7371" w:type="dxa"/>
          </w:tcPr>
          <w:p w14:paraId="1CC3B3CA" w14:textId="77777777" w:rsidR="00C9677E" w:rsidRPr="00C86F6B" w:rsidRDefault="00C9677E" w:rsidP="00AD0C50">
            <w:pPr>
              <w:rPr>
                <w:rFonts w:asciiTheme="minorHAnsi" w:hAnsiTheme="minorHAnsi" w:cstheme="minorHAnsi"/>
                <w:sz w:val="18"/>
                <w:szCs w:val="18"/>
              </w:rPr>
            </w:pPr>
            <w:r w:rsidRPr="00C86F6B">
              <w:rPr>
                <w:rFonts w:asciiTheme="minorHAnsi" w:hAnsiTheme="minorHAnsi" w:cstheme="minorHAnsi"/>
                <w:sz w:val="18"/>
                <w:szCs w:val="18"/>
              </w:rPr>
              <w:t>Ramy i oprawy pokryw.</w:t>
            </w:r>
          </w:p>
        </w:tc>
      </w:tr>
      <w:tr w:rsidR="00C9677E" w:rsidRPr="00A23FB4" w14:paraId="6F1765CD" w14:textId="77777777" w:rsidTr="00AD0C50">
        <w:tc>
          <w:tcPr>
            <w:tcW w:w="496" w:type="dxa"/>
          </w:tcPr>
          <w:p w14:paraId="7C61FECF" w14:textId="77777777" w:rsidR="00C9677E" w:rsidRPr="00C86F6B" w:rsidRDefault="00C9677E" w:rsidP="00AD0C50">
            <w:pPr>
              <w:jc w:val="right"/>
              <w:rPr>
                <w:rFonts w:asciiTheme="minorHAnsi" w:hAnsiTheme="minorHAnsi" w:cstheme="minorHAnsi"/>
                <w:sz w:val="18"/>
                <w:szCs w:val="18"/>
              </w:rPr>
            </w:pPr>
            <w:r w:rsidRPr="00C86F6B">
              <w:rPr>
                <w:rFonts w:asciiTheme="minorHAnsi" w:hAnsiTheme="minorHAnsi" w:cstheme="minorHAnsi"/>
                <w:sz w:val="18"/>
                <w:szCs w:val="18"/>
              </w:rPr>
              <w:t>46.</w:t>
            </w:r>
          </w:p>
        </w:tc>
        <w:tc>
          <w:tcPr>
            <w:tcW w:w="1842" w:type="dxa"/>
          </w:tcPr>
          <w:p w14:paraId="567949E7" w14:textId="77777777" w:rsidR="00C9677E" w:rsidRPr="00C86F6B" w:rsidRDefault="00C9677E" w:rsidP="00AD0C50">
            <w:pPr>
              <w:rPr>
                <w:rFonts w:asciiTheme="minorHAnsi" w:hAnsiTheme="minorHAnsi" w:cstheme="minorHAnsi"/>
                <w:sz w:val="18"/>
                <w:szCs w:val="18"/>
              </w:rPr>
            </w:pPr>
            <w:r w:rsidRPr="00C86F6B">
              <w:rPr>
                <w:rFonts w:asciiTheme="minorHAnsi" w:hAnsiTheme="minorHAnsi" w:cstheme="minorHAnsi"/>
                <w:sz w:val="18"/>
                <w:szCs w:val="18"/>
              </w:rPr>
              <w:t>BN-69/9378-30</w:t>
            </w:r>
          </w:p>
        </w:tc>
        <w:tc>
          <w:tcPr>
            <w:tcW w:w="7371" w:type="dxa"/>
          </w:tcPr>
          <w:p w14:paraId="061502C1" w14:textId="77777777" w:rsidR="00C9677E" w:rsidRPr="00C86F6B" w:rsidRDefault="00C9677E" w:rsidP="00AD0C50">
            <w:pPr>
              <w:rPr>
                <w:rFonts w:asciiTheme="minorHAnsi" w:hAnsiTheme="minorHAnsi" w:cstheme="minorHAnsi"/>
                <w:sz w:val="18"/>
                <w:szCs w:val="18"/>
              </w:rPr>
            </w:pPr>
            <w:r w:rsidRPr="00C86F6B">
              <w:rPr>
                <w:rFonts w:asciiTheme="minorHAnsi" w:hAnsiTheme="minorHAnsi" w:cstheme="minorHAnsi"/>
                <w:sz w:val="18"/>
                <w:szCs w:val="18"/>
              </w:rPr>
              <w:t>Telekomunikacyjne sieci kablowe miejscowe. Wsporniki kablowe.</w:t>
            </w:r>
          </w:p>
        </w:tc>
      </w:tr>
      <w:tr w:rsidR="00C9677E" w:rsidRPr="00A23FB4" w14:paraId="04829EE3" w14:textId="77777777" w:rsidTr="00AD0C50">
        <w:tc>
          <w:tcPr>
            <w:tcW w:w="496" w:type="dxa"/>
          </w:tcPr>
          <w:p w14:paraId="6FA95272" w14:textId="77777777" w:rsidR="00C9677E" w:rsidRPr="00C86F6B" w:rsidRDefault="00C9677E" w:rsidP="00AD0C50">
            <w:pPr>
              <w:jc w:val="right"/>
              <w:rPr>
                <w:rFonts w:asciiTheme="minorHAnsi" w:hAnsiTheme="minorHAnsi" w:cstheme="minorHAnsi"/>
                <w:sz w:val="18"/>
                <w:szCs w:val="18"/>
              </w:rPr>
            </w:pPr>
            <w:r w:rsidRPr="00C86F6B">
              <w:rPr>
                <w:rFonts w:asciiTheme="minorHAnsi" w:hAnsiTheme="minorHAnsi" w:cstheme="minorHAnsi"/>
                <w:sz w:val="18"/>
                <w:szCs w:val="18"/>
              </w:rPr>
              <w:t>47.</w:t>
            </w:r>
          </w:p>
        </w:tc>
        <w:tc>
          <w:tcPr>
            <w:tcW w:w="1842" w:type="dxa"/>
          </w:tcPr>
          <w:p w14:paraId="4DCCCBAF" w14:textId="77777777" w:rsidR="00C9677E" w:rsidRPr="00C86F6B" w:rsidRDefault="00C9677E" w:rsidP="00AD0C50">
            <w:pPr>
              <w:rPr>
                <w:rFonts w:asciiTheme="minorHAnsi" w:hAnsiTheme="minorHAnsi" w:cstheme="minorHAnsi"/>
                <w:sz w:val="18"/>
                <w:szCs w:val="18"/>
              </w:rPr>
            </w:pPr>
            <w:r w:rsidRPr="00C86F6B">
              <w:rPr>
                <w:rFonts w:asciiTheme="minorHAnsi" w:hAnsiTheme="minorHAnsi" w:cstheme="minorHAnsi"/>
                <w:sz w:val="18"/>
                <w:szCs w:val="18"/>
              </w:rPr>
              <w:t>BN-86/3223-16</w:t>
            </w:r>
          </w:p>
        </w:tc>
        <w:tc>
          <w:tcPr>
            <w:tcW w:w="7371" w:type="dxa"/>
          </w:tcPr>
          <w:p w14:paraId="44AEE48C" w14:textId="77777777" w:rsidR="00C9677E" w:rsidRPr="00C86F6B" w:rsidRDefault="00C9677E" w:rsidP="00AD0C50">
            <w:pPr>
              <w:rPr>
                <w:rFonts w:asciiTheme="minorHAnsi" w:hAnsiTheme="minorHAnsi" w:cstheme="minorHAnsi"/>
                <w:sz w:val="18"/>
                <w:szCs w:val="18"/>
              </w:rPr>
            </w:pPr>
            <w:r w:rsidRPr="00C86F6B">
              <w:rPr>
                <w:rFonts w:asciiTheme="minorHAnsi" w:hAnsiTheme="minorHAnsi" w:cstheme="minorHAnsi"/>
                <w:sz w:val="18"/>
                <w:szCs w:val="18"/>
              </w:rPr>
              <w:t>Telekomunikacyjne sieci miejscowe. Szafki kablowe.</w:t>
            </w:r>
          </w:p>
        </w:tc>
      </w:tr>
      <w:tr w:rsidR="00C9677E" w:rsidRPr="00A23FB4" w14:paraId="3471D87F" w14:textId="77777777" w:rsidTr="00AD0C50">
        <w:tc>
          <w:tcPr>
            <w:tcW w:w="496" w:type="dxa"/>
          </w:tcPr>
          <w:p w14:paraId="22161DA5" w14:textId="77777777" w:rsidR="00C9677E" w:rsidRPr="00C86F6B" w:rsidRDefault="00C9677E" w:rsidP="00AD0C50">
            <w:pPr>
              <w:jc w:val="right"/>
              <w:rPr>
                <w:rFonts w:asciiTheme="minorHAnsi" w:hAnsiTheme="minorHAnsi" w:cstheme="minorHAnsi"/>
                <w:sz w:val="18"/>
                <w:szCs w:val="18"/>
              </w:rPr>
            </w:pPr>
            <w:r w:rsidRPr="00C86F6B">
              <w:rPr>
                <w:rFonts w:asciiTheme="minorHAnsi" w:hAnsiTheme="minorHAnsi" w:cstheme="minorHAnsi"/>
                <w:sz w:val="18"/>
                <w:szCs w:val="18"/>
              </w:rPr>
              <w:t>48.</w:t>
            </w:r>
          </w:p>
        </w:tc>
        <w:tc>
          <w:tcPr>
            <w:tcW w:w="1842" w:type="dxa"/>
          </w:tcPr>
          <w:p w14:paraId="457BF8BD" w14:textId="77777777" w:rsidR="00C9677E" w:rsidRPr="00C86F6B" w:rsidRDefault="00C9677E" w:rsidP="00AD0C50">
            <w:pPr>
              <w:rPr>
                <w:rFonts w:asciiTheme="minorHAnsi" w:hAnsiTheme="minorHAnsi" w:cstheme="minorHAnsi"/>
                <w:sz w:val="18"/>
                <w:szCs w:val="18"/>
              </w:rPr>
            </w:pPr>
            <w:r w:rsidRPr="00C86F6B">
              <w:rPr>
                <w:rFonts w:asciiTheme="minorHAnsi" w:hAnsiTheme="minorHAnsi" w:cstheme="minorHAnsi"/>
                <w:sz w:val="18"/>
                <w:szCs w:val="18"/>
              </w:rPr>
              <w:t>BN-79/3223-02</w:t>
            </w:r>
          </w:p>
        </w:tc>
        <w:tc>
          <w:tcPr>
            <w:tcW w:w="7371" w:type="dxa"/>
          </w:tcPr>
          <w:p w14:paraId="40025489" w14:textId="77777777" w:rsidR="00C9677E" w:rsidRPr="00C86F6B" w:rsidRDefault="00C9677E" w:rsidP="00AD0C50">
            <w:pPr>
              <w:rPr>
                <w:rFonts w:asciiTheme="minorHAnsi" w:hAnsiTheme="minorHAnsi" w:cstheme="minorHAnsi"/>
                <w:sz w:val="18"/>
                <w:szCs w:val="18"/>
              </w:rPr>
            </w:pPr>
            <w:r w:rsidRPr="00C86F6B">
              <w:rPr>
                <w:rFonts w:asciiTheme="minorHAnsi" w:hAnsiTheme="minorHAnsi" w:cstheme="minorHAnsi"/>
                <w:sz w:val="18"/>
                <w:szCs w:val="18"/>
              </w:rPr>
              <w:t>Telekomunikacyjne linie kablowe. Zespoły pupinizacyjne i skrzynie zespołów pupinizacyjnych.</w:t>
            </w:r>
          </w:p>
        </w:tc>
      </w:tr>
      <w:tr w:rsidR="00C9677E" w:rsidRPr="00A23FB4" w14:paraId="5E3F4D7B" w14:textId="77777777" w:rsidTr="00AD0C50">
        <w:tc>
          <w:tcPr>
            <w:tcW w:w="496" w:type="dxa"/>
          </w:tcPr>
          <w:p w14:paraId="0E8B59FB" w14:textId="77777777" w:rsidR="00C9677E" w:rsidRPr="00C86F6B" w:rsidRDefault="00C9677E" w:rsidP="00AD0C50">
            <w:pPr>
              <w:jc w:val="right"/>
              <w:rPr>
                <w:rFonts w:asciiTheme="minorHAnsi" w:hAnsiTheme="minorHAnsi" w:cstheme="minorHAnsi"/>
                <w:sz w:val="18"/>
                <w:szCs w:val="18"/>
              </w:rPr>
            </w:pPr>
            <w:r w:rsidRPr="00C86F6B">
              <w:rPr>
                <w:rFonts w:asciiTheme="minorHAnsi" w:hAnsiTheme="minorHAnsi" w:cstheme="minorHAnsi"/>
                <w:sz w:val="18"/>
                <w:szCs w:val="18"/>
              </w:rPr>
              <w:t>49.</w:t>
            </w:r>
          </w:p>
        </w:tc>
        <w:tc>
          <w:tcPr>
            <w:tcW w:w="1842" w:type="dxa"/>
          </w:tcPr>
          <w:p w14:paraId="13079D7F" w14:textId="77777777" w:rsidR="00C9677E" w:rsidRPr="00C86F6B" w:rsidRDefault="00C9677E" w:rsidP="00AD0C50">
            <w:pPr>
              <w:rPr>
                <w:rFonts w:asciiTheme="minorHAnsi" w:hAnsiTheme="minorHAnsi" w:cstheme="minorHAnsi"/>
                <w:sz w:val="18"/>
                <w:szCs w:val="18"/>
              </w:rPr>
            </w:pPr>
            <w:r w:rsidRPr="00C86F6B">
              <w:rPr>
                <w:rFonts w:asciiTheme="minorHAnsi" w:hAnsiTheme="minorHAnsi" w:cstheme="minorHAnsi"/>
                <w:sz w:val="18"/>
                <w:szCs w:val="18"/>
              </w:rPr>
              <w:t>BN-70/3233-05</w:t>
            </w:r>
          </w:p>
        </w:tc>
        <w:tc>
          <w:tcPr>
            <w:tcW w:w="7371" w:type="dxa"/>
          </w:tcPr>
          <w:p w14:paraId="2631C42A" w14:textId="77777777" w:rsidR="00C9677E" w:rsidRPr="00C86F6B" w:rsidRDefault="00C9677E" w:rsidP="00AD0C50">
            <w:pPr>
              <w:rPr>
                <w:rFonts w:asciiTheme="minorHAnsi" w:hAnsiTheme="minorHAnsi" w:cstheme="minorHAnsi"/>
                <w:sz w:val="18"/>
                <w:szCs w:val="18"/>
              </w:rPr>
            </w:pPr>
            <w:r w:rsidRPr="00C86F6B">
              <w:rPr>
                <w:rFonts w:asciiTheme="minorHAnsi" w:hAnsiTheme="minorHAnsi" w:cstheme="minorHAnsi"/>
                <w:sz w:val="18"/>
                <w:szCs w:val="18"/>
              </w:rPr>
              <w:t>Haczyk i opaski do zawieszania telefonicznych kabli miejscowych.</w:t>
            </w:r>
          </w:p>
        </w:tc>
      </w:tr>
      <w:tr w:rsidR="00C9677E" w:rsidRPr="00A23FB4" w14:paraId="1322B4EB" w14:textId="77777777" w:rsidTr="00AD0C50">
        <w:tc>
          <w:tcPr>
            <w:tcW w:w="496" w:type="dxa"/>
          </w:tcPr>
          <w:p w14:paraId="3D8C59CD" w14:textId="77777777" w:rsidR="00C9677E" w:rsidRPr="00C86F6B" w:rsidRDefault="00C9677E" w:rsidP="00AD0C50">
            <w:pPr>
              <w:jc w:val="right"/>
              <w:rPr>
                <w:rFonts w:asciiTheme="minorHAnsi" w:hAnsiTheme="minorHAnsi" w:cstheme="minorHAnsi"/>
                <w:sz w:val="18"/>
                <w:szCs w:val="18"/>
              </w:rPr>
            </w:pPr>
            <w:r w:rsidRPr="00C86F6B">
              <w:rPr>
                <w:rFonts w:asciiTheme="minorHAnsi" w:hAnsiTheme="minorHAnsi" w:cstheme="minorHAnsi"/>
                <w:sz w:val="18"/>
                <w:szCs w:val="18"/>
              </w:rPr>
              <w:t>50.</w:t>
            </w:r>
          </w:p>
        </w:tc>
        <w:tc>
          <w:tcPr>
            <w:tcW w:w="1842" w:type="dxa"/>
          </w:tcPr>
          <w:p w14:paraId="4C5DD973" w14:textId="77777777" w:rsidR="00C9677E" w:rsidRPr="00C86F6B" w:rsidRDefault="00C9677E" w:rsidP="00AD0C50">
            <w:pPr>
              <w:rPr>
                <w:rFonts w:asciiTheme="minorHAnsi" w:hAnsiTheme="minorHAnsi" w:cstheme="minorHAnsi"/>
                <w:sz w:val="18"/>
                <w:szCs w:val="18"/>
              </w:rPr>
            </w:pPr>
            <w:r w:rsidRPr="00C86F6B">
              <w:rPr>
                <w:rFonts w:asciiTheme="minorHAnsi" w:hAnsiTheme="minorHAnsi" w:cstheme="minorHAnsi"/>
                <w:sz w:val="18"/>
                <w:szCs w:val="18"/>
              </w:rPr>
              <w:t>BN-88/6731-08</w:t>
            </w:r>
          </w:p>
        </w:tc>
        <w:tc>
          <w:tcPr>
            <w:tcW w:w="7371" w:type="dxa"/>
          </w:tcPr>
          <w:p w14:paraId="476BF1A9" w14:textId="77777777" w:rsidR="00C9677E" w:rsidRPr="00C86F6B" w:rsidRDefault="00C9677E" w:rsidP="00AD0C50">
            <w:pPr>
              <w:rPr>
                <w:rFonts w:asciiTheme="minorHAnsi" w:hAnsiTheme="minorHAnsi" w:cstheme="minorHAnsi"/>
                <w:sz w:val="18"/>
                <w:szCs w:val="18"/>
              </w:rPr>
            </w:pPr>
            <w:r w:rsidRPr="00C86F6B">
              <w:rPr>
                <w:rFonts w:asciiTheme="minorHAnsi" w:hAnsiTheme="minorHAnsi" w:cstheme="minorHAnsi"/>
                <w:sz w:val="18"/>
                <w:szCs w:val="18"/>
              </w:rPr>
              <w:t>Cement. Transport i przechowywanie.</w:t>
            </w:r>
          </w:p>
        </w:tc>
      </w:tr>
      <w:tr w:rsidR="00C9677E" w:rsidRPr="00A23FB4" w14:paraId="6780C27B" w14:textId="77777777" w:rsidTr="00AD0C50">
        <w:tc>
          <w:tcPr>
            <w:tcW w:w="496" w:type="dxa"/>
          </w:tcPr>
          <w:p w14:paraId="35834AA7" w14:textId="77777777" w:rsidR="00C9677E" w:rsidRPr="00C86F6B" w:rsidRDefault="00C9677E" w:rsidP="00AD0C50">
            <w:pPr>
              <w:jc w:val="right"/>
              <w:rPr>
                <w:rFonts w:asciiTheme="minorHAnsi" w:hAnsiTheme="minorHAnsi" w:cstheme="minorHAnsi"/>
                <w:sz w:val="18"/>
                <w:szCs w:val="18"/>
              </w:rPr>
            </w:pPr>
            <w:r w:rsidRPr="00C86F6B">
              <w:rPr>
                <w:rFonts w:asciiTheme="minorHAnsi" w:hAnsiTheme="minorHAnsi" w:cstheme="minorHAnsi"/>
                <w:sz w:val="18"/>
                <w:szCs w:val="18"/>
              </w:rPr>
              <w:t>51.</w:t>
            </w:r>
          </w:p>
        </w:tc>
        <w:tc>
          <w:tcPr>
            <w:tcW w:w="1842" w:type="dxa"/>
          </w:tcPr>
          <w:p w14:paraId="08D3B3C0" w14:textId="77777777" w:rsidR="00C9677E" w:rsidRPr="00C86F6B" w:rsidRDefault="00C9677E" w:rsidP="00AD0C50">
            <w:pPr>
              <w:rPr>
                <w:rFonts w:asciiTheme="minorHAnsi" w:hAnsiTheme="minorHAnsi" w:cstheme="minorHAnsi"/>
                <w:sz w:val="18"/>
                <w:szCs w:val="18"/>
              </w:rPr>
            </w:pPr>
            <w:r w:rsidRPr="00C86F6B">
              <w:rPr>
                <w:rFonts w:asciiTheme="minorHAnsi" w:hAnsiTheme="minorHAnsi" w:cstheme="minorHAnsi"/>
                <w:sz w:val="18"/>
                <w:szCs w:val="18"/>
              </w:rPr>
              <w:t>PN-84/T-90346</w:t>
            </w:r>
          </w:p>
        </w:tc>
        <w:tc>
          <w:tcPr>
            <w:tcW w:w="7371" w:type="dxa"/>
          </w:tcPr>
          <w:p w14:paraId="3CA38060" w14:textId="77777777" w:rsidR="00C9677E" w:rsidRPr="00C86F6B" w:rsidRDefault="00C9677E" w:rsidP="00AD0C50">
            <w:pPr>
              <w:rPr>
                <w:rFonts w:asciiTheme="minorHAnsi" w:hAnsiTheme="minorHAnsi" w:cstheme="minorHAnsi"/>
                <w:sz w:val="18"/>
                <w:szCs w:val="18"/>
              </w:rPr>
            </w:pPr>
            <w:r w:rsidRPr="00C86F6B">
              <w:rPr>
                <w:rFonts w:asciiTheme="minorHAnsi" w:hAnsiTheme="minorHAnsi" w:cstheme="minorHAnsi"/>
                <w:sz w:val="18"/>
                <w:szCs w:val="18"/>
              </w:rPr>
              <w:t>Telekomunikacyjne linie dalekosiężne symetryczne z wiązkami czwórkowymi o izolacji polietylenowej piankowej i o powłoce aluminiowej z osłoną ochronną polietylenową.</w:t>
            </w:r>
          </w:p>
        </w:tc>
      </w:tr>
      <w:tr w:rsidR="00C9677E" w:rsidRPr="00A23FB4" w14:paraId="051CC884" w14:textId="77777777" w:rsidTr="00AD0C50">
        <w:tc>
          <w:tcPr>
            <w:tcW w:w="496" w:type="dxa"/>
          </w:tcPr>
          <w:p w14:paraId="51B1E032" w14:textId="77777777" w:rsidR="00C9677E" w:rsidRPr="00C86F6B" w:rsidRDefault="00C9677E" w:rsidP="00AD0C50">
            <w:pPr>
              <w:jc w:val="right"/>
              <w:rPr>
                <w:rFonts w:asciiTheme="minorHAnsi" w:hAnsiTheme="minorHAnsi" w:cstheme="minorHAnsi"/>
                <w:sz w:val="18"/>
                <w:szCs w:val="18"/>
              </w:rPr>
            </w:pPr>
            <w:r w:rsidRPr="00C86F6B">
              <w:rPr>
                <w:rFonts w:asciiTheme="minorHAnsi" w:hAnsiTheme="minorHAnsi" w:cstheme="minorHAnsi"/>
                <w:sz w:val="18"/>
                <w:szCs w:val="18"/>
              </w:rPr>
              <w:t>52.</w:t>
            </w:r>
          </w:p>
        </w:tc>
        <w:tc>
          <w:tcPr>
            <w:tcW w:w="1842" w:type="dxa"/>
          </w:tcPr>
          <w:p w14:paraId="2FF2AD24" w14:textId="77777777" w:rsidR="00C9677E" w:rsidRPr="00C86F6B" w:rsidRDefault="00C9677E" w:rsidP="00AD0C50">
            <w:pPr>
              <w:rPr>
                <w:rFonts w:asciiTheme="minorHAnsi" w:hAnsiTheme="minorHAnsi" w:cstheme="minorHAnsi"/>
                <w:sz w:val="18"/>
                <w:szCs w:val="18"/>
              </w:rPr>
            </w:pPr>
            <w:r w:rsidRPr="00C86F6B">
              <w:rPr>
                <w:rFonts w:asciiTheme="minorHAnsi" w:hAnsiTheme="minorHAnsi" w:cstheme="minorHAnsi"/>
                <w:sz w:val="18"/>
                <w:szCs w:val="18"/>
              </w:rPr>
              <w:t>PN-87/T-90350</w:t>
            </w:r>
          </w:p>
        </w:tc>
        <w:tc>
          <w:tcPr>
            <w:tcW w:w="7371" w:type="dxa"/>
          </w:tcPr>
          <w:p w14:paraId="0BE902CA" w14:textId="77777777" w:rsidR="00C9677E" w:rsidRPr="00C86F6B" w:rsidRDefault="00C9677E" w:rsidP="00AD0C50">
            <w:pPr>
              <w:rPr>
                <w:rFonts w:asciiTheme="minorHAnsi" w:hAnsiTheme="minorHAnsi" w:cstheme="minorHAnsi"/>
                <w:sz w:val="18"/>
                <w:szCs w:val="18"/>
              </w:rPr>
            </w:pPr>
            <w:r w:rsidRPr="00C86F6B">
              <w:rPr>
                <w:rFonts w:asciiTheme="minorHAnsi" w:hAnsiTheme="minorHAnsi" w:cstheme="minorHAnsi"/>
                <w:sz w:val="18"/>
                <w:szCs w:val="18"/>
              </w:rPr>
              <w:t>Telekomunikacyjne kable dalekosiężne symetryczne o powłoce ołowianej. Ogólne wymagania i badania.</w:t>
            </w:r>
          </w:p>
        </w:tc>
      </w:tr>
    </w:tbl>
    <w:p w14:paraId="3C452E38" w14:textId="77777777" w:rsidR="00C9677E" w:rsidRPr="00A23FB4" w:rsidRDefault="00C9677E" w:rsidP="00C9677E">
      <w:pPr>
        <w:pStyle w:val="Nagwek4"/>
        <w:rPr>
          <w:rFonts w:asciiTheme="minorHAnsi" w:hAnsiTheme="minorHAnsi"/>
        </w:rPr>
      </w:pPr>
      <w:r w:rsidRPr="00A23FB4">
        <w:rPr>
          <w:rFonts w:asciiTheme="minorHAnsi" w:hAnsiTheme="minorHAnsi"/>
        </w:rPr>
        <w:t>10.2. Inne dokumenty</w:t>
      </w:r>
    </w:p>
    <w:p w14:paraId="450AF203" w14:textId="77777777" w:rsidR="00C9677E" w:rsidRPr="00C86F6B" w:rsidRDefault="00C9677E" w:rsidP="00262498">
      <w:pPr>
        <w:pStyle w:val="Akapitzlist"/>
        <w:numPr>
          <w:ilvl w:val="0"/>
          <w:numId w:val="238"/>
        </w:numPr>
        <w:jc w:val="left"/>
        <w:rPr>
          <w:rFonts w:asciiTheme="minorHAnsi" w:hAnsiTheme="minorHAnsi" w:cstheme="minorHAnsi"/>
          <w:sz w:val="18"/>
          <w:szCs w:val="18"/>
        </w:rPr>
      </w:pPr>
      <w:r w:rsidRPr="00C86F6B">
        <w:rPr>
          <w:rFonts w:asciiTheme="minorHAnsi" w:hAnsiTheme="minorHAnsi" w:cstheme="minorHAnsi"/>
          <w:sz w:val="18"/>
          <w:szCs w:val="18"/>
        </w:rPr>
        <w:t>Instrukcja montażu telefonicznych kabli miejscowych o izolacji papierowo-powietrznej i powłoce polietylenowej z zaporą przeciwwilgociową (XTKM) - ZBŁ - 1970 r.</w:t>
      </w:r>
    </w:p>
    <w:p w14:paraId="4FF3247F" w14:textId="77777777" w:rsidR="00C9677E" w:rsidRPr="00C86F6B" w:rsidRDefault="00C9677E" w:rsidP="00262498">
      <w:pPr>
        <w:pStyle w:val="Akapitzlist"/>
        <w:numPr>
          <w:ilvl w:val="0"/>
          <w:numId w:val="238"/>
        </w:numPr>
        <w:jc w:val="left"/>
        <w:rPr>
          <w:rFonts w:asciiTheme="minorHAnsi" w:hAnsiTheme="minorHAnsi" w:cstheme="minorHAnsi"/>
          <w:sz w:val="18"/>
          <w:szCs w:val="18"/>
        </w:rPr>
      </w:pPr>
      <w:r w:rsidRPr="00C86F6B">
        <w:rPr>
          <w:rFonts w:asciiTheme="minorHAnsi" w:hAnsiTheme="minorHAnsi" w:cstheme="minorHAnsi"/>
          <w:sz w:val="18"/>
          <w:szCs w:val="18"/>
        </w:rPr>
        <w:t>Ustawa Rady Ministrów nr 60 z dnia 21 marca 1985 r. o drogach publicznych.</w:t>
      </w:r>
    </w:p>
    <w:p w14:paraId="3DCBF9F3" w14:textId="77777777" w:rsidR="00C9677E" w:rsidRPr="00C86F6B" w:rsidRDefault="00C9677E" w:rsidP="00262498">
      <w:pPr>
        <w:pStyle w:val="Akapitzlist"/>
        <w:numPr>
          <w:ilvl w:val="0"/>
          <w:numId w:val="238"/>
        </w:numPr>
        <w:jc w:val="left"/>
        <w:rPr>
          <w:rFonts w:asciiTheme="minorHAnsi" w:hAnsiTheme="minorHAnsi" w:cstheme="minorHAnsi"/>
          <w:sz w:val="18"/>
          <w:szCs w:val="18"/>
        </w:rPr>
      </w:pPr>
      <w:r w:rsidRPr="00C86F6B">
        <w:rPr>
          <w:rFonts w:asciiTheme="minorHAnsi" w:hAnsiTheme="minorHAnsi" w:cstheme="minorHAnsi"/>
          <w:sz w:val="18"/>
          <w:szCs w:val="18"/>
        </w:rPr>
        <w:t>Rozporządzenie Ministra Budownictwa i Przemysłu Maszyn Budowlanych w sprawie bezpieczeństwa i higieny pracy przy wykonywaniu robót budowlano-montażowych i rozbiórkowych. Dziennik Ustaw Nr 13 z dnia 10 kwietnia 1972 r.</w:t>
      </w:r>
    </w:p>
    <w:p w14:paraId="5540A2A3" w14:textId="77777777" w:rsidR="00C9677E" w:rsidRPr="00A23FB4" w:rsidRDefault="00C9677E" w:rsidP="00C9677E">
      <w:pPr>
        <w:rPr>
          <w:rFonts w:asciiTheme="minorHAnsi" w:hAnsiTheme="minorHAnsi" w:cstheme="minorHAnsi"/>
        </w:rPr>
      </w:pPr>
    </w:p>
    <w:p w14:paraId="2BAC2C5F" w14:textId="77777777" w:rsidR="00C9677E" w:rsidRPr="00A23FB4" w:rsidRDefault="00C9677E" w:rsidP="00C9677E">
      <w:pPr>
        <w:rPr>
          <w:rFonts w:asciiTheme="minorHAnsi" w:hAnsiTheme="minorHAnsi" w:cstheme="minorHAnsi"/>
        </w:rPr>
      </w:pPr>
    </w:p>
    <w:p w14:paraId="072EF43C" w14:textId="77777777" w:rsidR="00C9677E" w:rsidRPr="00A23FB4" w:rsidRDefault="00C9677E" w:rsidP="00C9677E">
      <w:pPr>
        <w:rPr>
          <w:rFonts w:asciiTheme="minorHAnsi" w:hAnsiTheme="minorHAnsi" w:cstheme="minorHAnsi"/>
        </w:rPr>
      </w:pPr>
    </w:p>
    <w:p w14:paraId="2F5C4C5C"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ab/>
      </w:r>
    </w:p>
    <w:p w14:paraId="02EA1F7F" w14:textId="77777777" w:rsidR="00C9677E" w:rsidRPr="00A23FB4" w:rsidRDefault="00C9677E" w:rsidP="00C9677E">
      <w:pPr>
        <w:rPr>
          <w:rFonts w:asciiTheme="minorHAnsi" w:hAnsiTheme="minorHAnsi" w:cstheme="minorHAnsi"/>
        </w:rPr>
      </w:pPr>
    </w:p>
    <w:p w14:paraId="6AC6F5D8" w14:textId="77777777" w:rsidR="00C9677E" w:rsidRPr="00A23FB4" w:rsidRDefault="00C9677E" w:rsidP="00C9677E">
      <w:pPr>
        <w:spacing w:before="120" w:after="120"/>
        <w:rPr>
          <w:rFonts w:asciiTheme="minorHAnsi" w:hAnsiTheme="minorHAnsi" w:cstheme="minorHAnsi"/>
        </w:rPr>
      </w:pPr>
      <w:r w:rsidRPr="00A23FB4">
        <w:rPr>
          <w:rFonts w:asciiTheme="minorHAnsi" w:hAnsiTheme="minorHAnsi" w:cstheme="minorHAnsi"/>
        </w:rPr>
        <w:tab/>
      </w:r>
    </w:p>
    <w:p w14:paraId="6DD24DD7" w14:textId="77777777" w:rsidR="00C9677E" w:rsidRPr="00A23FB4" w:rsidRDefault="00C9677E" w:rsidP="00C9677E">
      <w:pPr>
        <w:rPr>
          <w:rFonts w:asciiTheme="minorHAnsi" w:hAnsiTheme="minorHAnsi" w:cstheme="minorHAnsi"/>
        </w:rPr>
      </w:pPr>
    </w:p>
    <w:p w14:paraId="380110F1" w14:textId="77777777" w:rsidR="00C9677E" w:rsidRPr="00A23FB4" w:rsidRDefault="00C9677E">
      <w:pPr>
        <w:overflowPunct/>
        <w:autoSpaceDE/>
        <w:autoSpaceDN/>
        <w:adjustRightInd/>
        <w:jc w:val="left"/>
        <w:textAlignment w:val="auto"/>
        <w:rPr>
          <w:rFonts w:asciiTheme="minorHAnsi" w:hAnsiTheme="minorHAnsi" w:cstheme="minorHAnsi"/>
          <w:b/>
          <w:sz w:val="22"/>
          <w:szCs w:val="22"/>
        </w:rPr>
      </w:pPr>
      <w:r w:rsidRPr="00A23FB4">
        <w:rPr>
          <w:rFonts w:asciiTheme="minorHAnsi" w:hAnsiTheme="minorHAnsi" w:cstheme="minorHAnsi"/>
          <w:b/>
          <w:sz w:val="22"/>
          <w:szCs w:val="22"/>
        </w:rPr>
        <w:br w:type="page"/>
      </w:r>
    </w:p>
    <w:p w14:paraId="1BF3AD51" w14:textId="459CEC9C" w:rsidR="00C9677E" w:rsidRPr="00A23FB4" w:rsidRDefault="00783235" w:rsidP="00C9677E">
      <w:pPr>
        <w:spacing w:line="360" w:lineRule="auto"/>
        <w:jc w:val="center"/>
        <w:rPr>
          <w:rFonts w:ascii="Calibri" w:hAnsi="Calibri" w:cs="Calibri"/>
          <w:b/>
          <w:sz w:val="22"/>
          <w:szCs w:val="22"/>
        </w:rPr>
      </w:pPr>
      <w:bookmarkStart w:id="84" w:name="_Toc500421951"/>
      <w:r>
        <w:rPr>
          <w:rFonts w:ascii="Calibri" w:hAnsi="Calibri" w:cs="Calibri"/>
          <w:b/>
          <w:sz w:val="22"/>
          <w:szCs w:val="22"/>
        </w:rPr>
        <w:t>SZCZEGÓŁOWE SPECYFIKACJE TECHNICZNE</w:t>
      </w:r>
      <w:r w:rsidR="00C9677E" w:rsidRPr="00A23FB4">
        <w:rPr>
          <w:rFonts w:ascii="Calibri" w:hAnsi="Calibri" w:cs="Calibri"/>
          <w:b/>
          <w:sz w:val="22"/>
          <w:szCs w:val="22"/>
        </w:rPr>
        <w:t xml:space="preserve"> WYKONYWANIA I ODBIORU ROBÓT BUDOWLANYCH</w:t>
      </w:r>
    </w:p>
    <w:p w14:paraId="6E4CC601" w14:textId="77777777" w:rsidR="00C9677E" w:rsidRPr="00A23FB4" w:rsidRDefault="00C9677E" w:rsidP="00C9677E">
      <w:pPr>
        <w:pStyle w:val="Nagwek1"/>
        <w:spacing w:before="0"/>
        <w:rPr>
          <w:rFonts w:asciiTheme="minorHAnsi" w:hAnsiTheme="minorHAnsi" w:cstheme="minorHAnsi"/>
          <w:sz w:val="22"/>
          <w:szCs w:val="22"/>
        </w:rPr>
      </w:pPr>
      <w:bookmarkStart w:id="85" w:name="_Toc206275472"/>
      <w:r w:rsidRPr="00A23FB4">
        <w:rPr>
          <w:rFonts w:asciiTheme="minorHAnsi" w:hAnsiTheme="minorHAnsi" w:cstheme="minorHAnsi"/>
          <w:sz w:val="22"/>
          <w:szCs w:val="22"/>
        </w:rPr>
        <w:t>D-01.03.05 PRZEBUDOWA  PODZIEMNYCH  LINII WODOCIĄGOWYCH  PRZY PRZEBUDOWIE</w:t>
      </w:r>
      <w:bookmarkEnd w:id="84"/>
      <w:bookmarkEnd w:id="85"/>
    </w:p>
    <w:p w14:paraId="1254FC71" w14:textId="77777777" w:rsidR="00C9677E" w:rsidRPr="00A23FB4" w:rsidRDefault="00C9677E" w:rsidP="00C9677E">
      <w:pPr>
        <w:pStyle w:val="Nagwek3"/>
        <w:rPr>
          <w:rFonts w:asciiTheme="minorHAnsi" w:hAnsiTheme="minorHAnsi"/>
        </w:rPr>
      </w:pPr>
      <w:bookmarkStart w:id="86" w:name="_Toc468000822"/>
      <w:r w:rsidRPr="00A23FB4">
        <w:rPr>
          <w:rFonts w:asciiTheme="minorHAnsi" w:hAnsiTheme="minorHAnsi"/>
        </w:rPr>
        <w:t>1. WSTĘP</w:t>
      </w:r>
      <w:bookmarkEnd w:id="86"/>
    </w:p>
    <w:p w14:paraId="61653A10" w14:textId="7A9BC313" w:rsidR="00C9677E" w:rsidRPr="00A23FB4" w:rsidRDefault="00C9677E" w:rsidP="00C9677E">
      <w:pPr>
        <w:pStyle w:val="Nagwek4"/>
        <w:rPr>
          <w:rFonts w:asciiTheme="minorHAnsi" w:hAnsiTheme="minorHAnsi"/>
        </w:rPr>
      </w:pPr>
      <w:r w:rsidRPr="00A23FB4">
        <w:rPr>
          <w:rFonts w:asciiTheme="minorHAnsi" w:hAnsiTheme="minorHAnsi"/>
        </w:rPr>
        <w:t xml:space="preserve">1.1. Przedmiot </w:t>
      </w:r>
      <w:r w:rsidR="002B1C7B">
        <w:rPr>
          <w:rFonts w:asciiTheme="minorHAnsi" w:hAnsiTheme="minorHAnsi"/>
        </w:rPr>
        <w:t>ST</w:t>
      </w:r>
      <w:r w:rsidRPr="00A23FB4">
        <w:rPr>
          <w:rFonts w:asciiTheme="minorHAnsi" w:hAnsiTheme="minorHAnsi"/>
        </w:rPr>
        <w:t>WiORB</w:t>
      </w:r>
    </w:p>
    <w:p w14:paraId="03716ECD" w14:textId="59D3C875" w:rsidR="00C9677E" w:rsidRPr="00A23FB4" w:rsidRDefault="00C9677E" w:rsidP="00C9677E">
      <w:pPr>
        <w:pStyle w:val="tekstost"/>
        <w:rPr>
          <w:rFonts w:asciiTheme="minorHAnsi" w:hAnsiTheme="minorHAnsi" w:cstheme="minorHAnsi"/>
        </w:rPr>
      </w:pPr>
      <w:r w:rsidRPr="00A23FB4">
        <w:rPr>
          <w:rFonts w:asciiTheme="minorHAnsi" w:hAnsiTheme="minorHAnsi" w:cstheme="minorHAnsi"/>
        </w:rPr>
        <w:t>Przedmiotem niniejsz</w:t>
      </w:r>
      <w:r w:rsidR="008B531E">
        <w:rPr>
          <w:rFonts w:asciiTheme="minorHAnsi" w:hAnsiTheme="minorHAnsi" w:cstheme="minorHAnsi"/>
        </w:rPr>
        <w:t>ej</w:t>
      </w:r>
      <w:r w:rsidRPr="00A23FB4">
        <w:rPr>
          <w:rFonts w:asciiTheme="minorHAnsi" w:hAnsiTheme="minorHAnsi" w:cstheme="minorHAnsi"/>
        </w:rPr>
        <w:t xml:space="preserve"> </w:t>
      </w:r>
      <w:r w:rsidR="00783235">
        <w:rPr>
          <w:rFonts w:asciiTheme="minorHAnsi" w:hAnsiTheme="minorHAnsi" w:cstheme="minorHAnsi"/>
        </w:rPr>
        <w:t>szczegółow</w:t>
      </w:r>
      <w:r w:rsidR="008B531E">
        <w:rPr>
          <w:rFonts w:asciiTheme="minorHAnsi" w:hAnsiTheme="minorHAnsi" w:cstheme="minorHAnsi"/>
        </w:rPr>
        <w:t>ej</w:t>
      </w:r>
      <w:r w:rsidR="00783235">
        <w:rPr>
          <w:rFonts w:asciiTheme="minorHAnsi" w:hAnsiTheme="minorHAnsi" w:cstheme="minorHAnsi"/>
        </w:rPr>
        <w:t xml:space="preserve"> specyfikacji techniczn</w:t>
      </w:r>
      <w:r w:rsidR="008B531E">
        <w:rPr>
          <w:rFonts w:asciiTheme="minorHAnsi" w:hAnsiTheme="minorHAnsi" w:cstheme="minorHAnsi"/>
        </w:rPr>
        <w:t>ej</w:t>
      </w:r>
      <w:r w:rsidR="00783235">
        <w:rPr>
          <w:rFonts w:asciiTheme="minorHAnsi" w:hAnsiTheme="minorHAnsi" w:cstheme="minorHAnsi"/>
        </w:rPr>
        <w:t xml:space="preserve"> </w:t>
      </w:r>
      <w:r w:rsidRPr="00A23FB4">
        <w:rPr>
          <w:rFonts w:asciiTheme="minorHAnsi" w:hAnsiTheme="minorHAnsi" w:cstheme="minorHAnsi"/>
        </w:rPr>
        <w:t>wykonania i odbioru robót budowlanych (</w:t>
      </w:r>
      <w:r w:rsidR="002B1C7B">
        <w:rPr>
          <w:rFonts w:asciiTheme="minorHAnsi" w:hAnsiTheme="minorHAnsi" w:cstheme="minorHAnsi"/>
        </w:rPr>
        <w:t>ST</w:t>
      </w:r>
      <w:r w:rsidRPr="00A23FB4">
        <w:rPr>
          <w:rFonts w:asciiTheme="minorHAnsi" w:hAnsiTheme="minorHAnsi" w:cstheme="minorHAnsi"/>
        </w:rPr>
        <w:t>WiORB)  są wymagania dotyczące wykonania i odbioru podziemnych linii wodociągowych przy przebudowie  i budowie dróg.</w:t>
      </w:r>
    </w:p>
    <w:p w14:paraId="31B47309" w14:textId="73B31D6B" w:rsidR="00C9677E" w:rsidRPr="00A23FB4" w:rsidRDefault="00C9677E" w:rsidP="00C9677E">
      <w:pPr>
        <w:pStyle w:val="Nagwek4"/>
        <w:rPr>
          <w:rFonts w:asciiTheme="minorHAnsi" w:hAnsiTheme="minorHAnsi"/>
        </w:rPr>
      </w:pPr>
      <w:r w:rsidRPr="00A23FB4">
        <w:rPr>
          <w:rFonts w:asciiTheme="minorHAnsi" w:hAnsiTheme="minorHAnsi"/>
        </w:rPr>
        <w:t xml:space="preserve">1.2. Zakres stosowania </w:t>
      </w:r>
      <w:r w:rsidR="002B1C7B">
        <w:rPr>
          <w:rFonts w:asciiTheme="minorHAnsi" w:hAnsiTheme="minorHAnsi"/>
        </w:rPr>
        <w:t>ST</w:t>
      </w:r>
      <w:r w:rsidRPr="00A23FB4">
        <w:rPr>
          <w:rFonts w:asciiTheme="minorHAnsi" w:hAnsiTheme="minorHAnsi"/>
        </w:rPr>
        <w:t>WiORB</w:t>
      </w:r>
    </w:p>
    <w:p w14:paraId="72ADDB76" w14:textId="15C108BF" w:rsidR="00C9677E" w:rsidRPr="00CF795A" w:rsidRDefault="00575C66" w:rsidP="00CF795A">
      <w:pPr>
        <w:overflowPunct/>
        <w:spacing w:before="240" w:line="276" w:lineRule="auto"/>
        <w:textAlignment w:val="auto"/>
        <w:rPr>
          <w:rFonts w:ascii="Calibri" w:hAnsi="Calibri" w:cs="Calibri"/>
        </w:rPr>
      </w:pPr>
      <w:r>
        <w:rPr>
          <w:rFonts w:ascii="Calibri" w:hAnsi="Calibri" w:cs="Calibri"/>
        </w:rPr>
        <w:t>Specyfikacj</w:t>
      </w:r>
      <w:r w:rsidR="008B531E">
        <w:rPr>
          <w:rFonts w:ascii="Calibri" w:hAnsi="Calibri" w:cs="Calibri"/>
        </w:rPr>
        <w:t>a</w:t>
      </w:r>
      <w:r w:rsidRPr="00A23FB4">
        <w:rPr>
          <w:rFonts w:asciiTheme="minorHAnsi" w:hAnsiTheme="minorHAnsi" w:cs="Calibri"/>
        </w:rPr>
        <w:t xml:space="preserve"> </w:t>
      </w:r>
      <w:r w:rsidR="00C9677E" w:rsidRPr="00A23FB4">
        <w:rPr>
          <w:rFonts w:asciiTheme="minorHAnsi" w:hAnsiTheme="minorHAnsi" w:cs="Calibri"/>
        </w:rPr>
        <w:t>stanowi dokument kontraktowy przy realizacji  zadania</w:t>
      </w:r>
      <w:r w:rsidR="007F4946" w:rsidRPr="00A23FB4">
        <w:rPr>
          <w:rFonts w:asciiTheme="minorHAnsi" w:hAnsiTheme="minorHAnsi" w:cstheme="minorHAnsi"/>
          <w:bCs/>
        </w:rPr>
        <w:t xml:space="preserve"> </w:t>
      </w:r>
      <w:r w:rsidR="00506838">
        <w:rPr>
          <w:rFonts w:ascii="Calibri" w:hAnsi="Calibri" w:cs="Calibri"/>
        </w:rPr>
        <w:t>„</w:t>
      </w:r>
      <w:r w:rsidR="002B1C7B" w:rsidRPr="002B1C7B">
        <w:rPr>
          <w:rFonts w:ascii="Calibri" w:hAnsi="Calibri" w:cs="Calibri"/>
        </w:rPr>
        <w:t>Rozbudowa ul. Wrocławskiej w ciągu drogi powiatowej w Tyńcu Małym wraz z rozbudową istniejącego skrzyżowania typu rondo na połączeniu dróg krajowych nr 35 i 35a oraz łącznika węzła Kobierzyce drogi S8e oraz infrastrukturą towarzyszącą w ramach zadania „Rozbudowa skrzyżowania typu rondo w ciągu DK35 koło m. Tyniec Mały usprawniająca skomunikowanie obszarów Podstrefy Wrocław – Kobierzyce TSSE EURO PARK WISŁOSAN”.</w:t>
      </w:r>
    </w:p>
    <w:p w14:paraId="12C92ABE" w14:textId="2A1EDC82" w:rsidR="00C9677E" w:rsidRPr="00A23FB4" w:rsidRDefault="00C9677E" w:rsidP="00C9677E">
      <w:pPr>
        <w:pStyle w:val="Nagwek4"/>
        <w:rPr>
          <w:rFonts w:asciiTheme="minorHAnsi" w:hAnsiTheme="minorHAnsi"/>
        </w:rPr>
      </w:pPr>
      <w:r w:rsidRPr="00A23FB4">
        <w:rPr>
          <w:rFonts w:asciiTheme="minorHAnsi" w:hAnsiTheme="minorHAnsi"/>
        </w:rPr>
        <w:t xml:space="preserve">1.3. Zakres robót objętych </w:t>
      </w:r>
      <w:r w:rsidR="002B1C7B">
        <w:rPr>
          <w:rFonts w:asciiTheme="minorHAnsi" w:hAnsiTheme="minorHAnsi"/>
        </w:rPr>
        <w:t>ST</w:t>
      </w:r>
      <w:r w:rsidRPr="00A23FB4">
        <w:rPr>
          <w:rFonts w:asciiTheme="minorHAnsi" w:hAnsiTheme="minorHAnsi"/>
        </w:rPr>
        <w:t>WiORB</w:t>
      </w:r>
    </w:p>
    <w:p w14:paraId="4A796BA7" w14:textId="3D03AD8B" w:rsidR="00C9677E" w:rsidRPr="00A23FB4" w:rsidRDefault="00C9677E" w:rsidP="00C9677E">
      <w:pPr>
        <w:rPr>
          <w:rFonts w:asciiTheme="minorHAnsi" w:hAnsiTheme="minorHAnsi" w:cstheme="minorHAnsi"/>
        </w:rPr>
      </w:pPr>
      <w:r w:rsidRPr="00A23FB4">
        <w:rPr>
          <w:rFonts w:asciiTheme="minorHAnsi" w:hAnsiTheme="minorHAnsi" w:cstheme="minorHAnsi"/>
        </w:rPr>
        <w:t xml:space="preserve">Niniejsze </w:t>
      </w:r>
      <w:r w:rsidR="00783235">
        <w:rPr>
          <w:rFonts w:asciiTheme="minorHAnsi" w:hAnsiTheme="minorHAnsi" w:cstheme="minorHAnsi"/>
        </w:rPr>
        <w:t>specyfikacje</w:t>
      </w:r>
      <w:r w:rsidRPr="00A23FB4">
        <w:rPr>
          <w:rFonts w:asciiTheme="minorHAnsi" w:hAnsiTheme="minorHAnsi" w:cstheme="minorHAnsi"/>
        </w:rPr>
        <w:t xml:space="preserve"> dotyczą przebudowy podziemnych linii wodociągowych kolidujących z przebudową i budową dróg.</w:t>
      </w:r>
    </w:p>
    <w:p w14:paraId="2F23BB16"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Zakres stosowania dotyczy wykonania przebudowy linii wodociągowych zarówno w gruntach nienawodnionych jak i nawodnionych, w środowisku słabo i silnie agresywnym (po odpowiednim zabezpieczeniu elementów betonowych i stalowych).</w:t>
      </w:r>
    </w:p>
    <w:p w14:paraId="08CD1788" w14:textId="77777777" w:rsidR="00C9677E" w:rsidRPr="00A23FB4" w:rsidRDefault="00C9677E" w:rsidP="00C9677E">
      <w:pPr>
        <w:pStyle w:val="Nagwek4"/>
        <w:rPr>
          <w:rFonts w:asciiTheme="minorHAnsi" w:hAnsiTheme="minorHAnsi"/>
        </w:rPr>
      </w:pPr>
      <w:r w:rsidRPr="00A23FB4">
        <w:rPr>
          <w:rFonts w:asciiTheme="minorHAnsi" w:hAnsiTheme="minorHAnsi"/>
        </w:rPr>
        <w:t>1.4. Określenia podstawowe</w:t>
      </w:r>
    </w:p>
    <w:p w14:paraId="3F0C7C65" w14:textId="77777777" w:rsidR="00C9677E" w:rsidRPr="00A23FB4" w:rsidRDefault="00C9677E" w:rsidP="00262498">
      <w:pPr>
        <w:numPr>
          <w:ilvl w:val="0"/>
          <w:numId w:val="150"/>
        </w:numPr>
        <w:tabs>
          <w:tab w:val="left" w:pos="0"/>
        </w:tabs>
        <w:ind w:left="0" w:firstLine="0"/>
        <w:rPr>
          <w:rFonts w:asciiTheme="minorHAnsi" w:hAnsiTheme="minorHAnsi" w:cstheme="minorHAnsi"/>
        </w:rPr>
      </w:pPr>
      <w:r w:rsidRPr="00A23FB4">
        <w:rPr>
          <w:rFonts w:asciiTheme="minorHAnsi" w:hAnsiTheme="minorHAnsi" w:cstheme="minorHAnsi"/>
        </w:rPr>
        <w:t>Przewód wodociągowy - rurociąg wraz z urządzeniami przeznaczony do dostarczenia wody odbiorcom.</w:t>
      </w:r>
    </w:p>
    <w:p w14:paraId="5D0D0D2D" w14:textId="77777777" w:rsidR="00C9677E" w:rsidRPr="00A23FB4" w:rsidRDefault="00C9677E" w:rsidP="00262498">
      <w:pPr>
        <w:numPr>
          <w:ilvl w:val="0"/>
          <w:numId w:val="150"/>
        </w:numPr>
        <w:spacing w:before="120" w:after="120"/>
        <w:ind w:left="0" w:firstLine="0"/>
        <w:rPr>
          <w:rFonts w:asciiTheme="minorHAnsi" w:hAnsiTheme="minorHAnsi" w:cstheme="minorHAnsi"/>
        </w:rPr>
      </w:pPr>
      <w:r w:rsidRPr="00A23FB4">
        <w:rPr>
          <w:rFonts w:asciiTheme="minorHAnsi" w:hAnsiTheme="minorHAnsi" w:cstheme="minorHAnsi"/>
        </w:rPr>
        <w:t xml:space="preserve">Rura ochronna - rura o średnicy większej od przewodu wodociągowego służąca do przenoszenia obciążeń zewnętrznych i do odprowadzenia na bezpieczną odległość poza przeszkodę terenową (korpus drogowy) ewentualnych przecieków wody. </w:t>
      </w:r>
    </w:p>
    <w:p w14:paraId="58BF530F" w14:textId="77777777" w:rsidR="00C9677E" w:rsidRPr="00A23FB4" w:rsidRDefault="00C9677E" w:rsidP="00262498">
      <w:pPr>
        <w:numPr>
          <w:ilvl w:val="0"/>
          <w:numId w:val="150"/>
        </w:numPr>
        <w:spacing w:after="120"/>
        <w:ind w:left="0" w:firstLine="0"/>
        <w:rPr>
          <w:rFonts w:asciiTheme="minorHAnsi" w:hAnsiTheme="minorHAnsi" w:cstheme="minorHAnsi"/>
        </w:rPr>
      </w:pPr>
      <w:r w:rsidRPr="00A23FB4">
        <w:rPr>
          <w:rFonts w:asciiTheme="minorHAnsi" w:hAnsiTheme="minorHAnsi" w:cstheme="minorHAnsi"/>
        </w:rPr>
        <w:t>Studzienka - komora wodociągowa - obiekt na przewodzie wodociągowym, przeznaczony do zainstalowania armatury lub na końcach rury ochronnej.</w:t>
      </w:r>
    </w:p>
    <w:p w14:paraId="3EE24CE0" w14:textId="77777777" w:rsidR="00C9677E" w:rsidRPr="00A23FB4" w:rsidRDefault="00C9677E" w:rsidP="00262498">
      <w:pPr>
        <w:numPr>
          <w:ilvl w:val="0"/>
          <w:numId w:val="150"/>
        </w:numPr>
        <w:spacing w:after="120"/>
        <w:ind w:left="0" w:firstLine="0"/>
        <w:rPr>
          <w:rFonts w:asciiTheme="minorHAnsi" w:hAnsiTheme="minorHAnsi" w:cstheme="minorHAnsi"/>
        </w:rPr>
      </w:pPr>
      <w:r w:rsidRPr="00A23FB4">
        <w:rPr>
          <w:rFonts w:asciiTheme="minorHAnsi" w:hAnsiTheme="minorHAnsi" w:cstheme="minorHAnsi"/>
        </w:rPr>
        <w:t>Rurka sygnalizacyjna - przewód podłączony do jednego końca rury ochronnej służący do zasygnalizowania nieszczelności przewodu wodociągowego.</w:t>
      </w:r>
    </w:p>
    <w:p w14:paraId="0AAC12D5" w14:textId="77777777" w:rsidR="00C9677E" w:rsidRPr="00A23FB4" w:rsidRDefault="00C9677E" w:rsidP="00262498">
      <w:pPr>
        <w:numPr>
          <w:ilvl w:val="0"/>
          <w:numId w:val="150"/>
        </w:numPr>
        <w:spacing w:after="120"/>
        <w:ind w:left="0" w:firstLine="0"/>
        <w:rPr>
          <w:rFonts w:asciiTheme="minorHAnsi" w:hAnsiTheme="minorHAnsi" w:cstheme="minorHAnsi"/>
        </w:rPr>
      </w:pPr>
      <w:r w:rsidRPr="00A23FB4">
        <w:rPr>
          <w:rFonts w:asciiTheme="minorHAnsi" w:hAnsiTheme="minorHAnsi" w:cstheme="minorHAnsi"/>
        </w:rPr>
        <w:t>Obudowa tunelowa - obiekt stanowiący obudowę przełazową przewodu lub kilku przewodów wodociągowych magistralnych pozwalający na montaż oraz obsługę rurociągów i elementów wyposażenia sieci bez naruszenia korpusu drogi.</w:t>
      </w:r>
    </w:p>
    <w:p w14:paraId="71E4EF1C" w14:textId="5EE46746" w:rsidR="00C9677E" w:rsidRPr="00D424B0" w:rsidRDefault="00C9677E" w:rsidP="00262498">
      <w:pPr>
        <w:pStyle w:val="Akapitzlist"/>
        <w:numPr>
          <w:ilvl w:val="0"/>
          <w:numId w:val="150"/>
        </w:numPr>
        <w:rPr>
          <w:rFonts w:asciiTheme="minorHAnsi" w:hAnsiTheme="minorHAnsi" w:cstheme="minorHAnsi"/>
        </w:rPr>
      </w:pPr>
      <w:r w:rsidRPr="00D424B0">
        <w:rPr>
          <w:rFonts w:asciiTheme="minorHAnsi" w:hAnsiTheme="minorHAnsi" w:cstheme="minorHAnsi"/>
        </w:rPr>
        <w:t>wodociąg - zespół współpracujących ze sobą obiektów i urządzeń inżynierskich, przeznaczony do zaopatrywania ludności i przemysłu w wodę,</w:t>
      </w:r>
    </w:p>
    <w:p w14:paraId="76B5E71A" w14:textId="77777777" w:rsidR="00C9677E" w:rsidRPr="00A23FB4" w:rsidRDefault="00C9677E" w:rsidP="00262498">
      <w:pPr>
        <w:numPr>
          <w:ilvl w:val="0"/>
          <w:numId w:val="150"/>
        </w:numPr>
        <w:ind w:left="284" w:hanging="284"/>
        <w:rPr>
          <w:rFonts w:asciiTheme="minorHAnsi" w:hAnsiTheme="minorHAnsi" w:cstheme="minorHAnsi"/>
        </w:rPr>
      </w:pPr>
      <w:r w:rsidRPr="00A23FB4">
        <w:rPr>
          <w:rFonts w:asciiTheme="minorHAnsi" w:hAnsiTheme="minorHAnsi" w:cstheme="minorHAnsi"/>
        </w:rPr>
        <w:t>wodociąg grupowy - wodociąg zasilający w wodę co najmniej dwie jednostki osadnicze lub co najmniej jedną jednostkę osadniczą i co najmniej jeden zakład produkcyjny nie leżący w granicach tej jednostki osadniczej,</w:t>
      </w:r>
    </w:p>
    <w:p w14:paraId="3B6FB9DF" w14:textId="77777777" w:rsidR="00C9677E" w:rsidRPr="00A23FB4" w:rsidRDefault="00C9677E" w:rsidP="00262498">
      <w:pPr>
        <w:numPr>
          <w:ilvl w:val="0"/>
          <w:numId w:val="150"/>
        </w:numPr>
        <w:ind w:left="284" w:hanging="284"/>
        <w:rPr>
          <w:rFonts w:asciiTheme="minorHAnsi" w:hAnsiTheme="minorHAnsi" w:cstheme="minorHAnsi"/>
        </w:rPr>
      </w:pPr>
      <w:r w:rsidRPr="00A23FB4">
        <w:rPr>
          <w:rFonts w:asciiTheme="minorHAnsi" w:hAnsiTheme="minorHAnsi" w:cstheme="minorHAnsi"/>
        </w:rPr>
        <w:t xml:space="preserve">sieć wodociągowa zewnętrzna - układ przewodów wodociągowych znajdujący się poza budynkiem odbiorców, zaopatrujący w wodę ludność lub zakłady produkcyjne, </w:t>
      </w:r>
    </w:p>
    <w:p w14:paraId="483A695E" w14:textId="77777777" w:rsidR="00C9677E" w:rsidRPr="00A23FB4" w:rsidRDefault="00C9677E" w:rsidP="00262498">
      <w:pPr>
        <w:numPr>
          <w:ilvl w:val="0"/>
          <w:numId w:val="150"/>
        </w:numPr>
        <w:ind w:left="284" w:hanging="284"/>
        <w:rPr>
          <w:rFonts w:asciiTheme="minorHAnsi" w:hAnsiTheme="minorHAnsi" w:cstheme="minorHAnsi"/>
        </w:rPr>
      </w:pPr>
      <w:r w:rsidRPr="00A23FB4">
        <w:rPr>
          <w:rFonts w:asciiTheme="minorHAnsi" w:hAnsiTheme="minorHAnsi" w:cstheme="minorHAnsi"/>
        </w:rPr>
        <w:t>przewód wodociągowy magistralny; magistrala wodociągowa - przewód wodociągowy doprowadzający wodę od stacji wodociągowej do przewodów rozdzielczych,</w:t>
      </w:r>
    </w:p>
    <w:p w14:paraId="03E90E53" w14:textId="77777777" w:rsidR="00C9677E" w:rsidRPr="00A23FB4" w:rsidRDefault="00C9677E" w:rsidP="00262498">
      <w:pPr>
        <w:numPr>
          <w:ilvl w:val="0"/>
          <w:numId w:val="150"/>
        </w:numPr>
        <w:ind w:left="284" w:hanging="284"/>
        <w:rPr>
          <w:rFonts w:asciiTheme="minorHAnsi" w:hAnsiTheme="minorHAnsi" w:cstheme="minorHAnsi"/>
        </w:rPr>
      </w:pPr>
      <w:r w:rsidRPr="00A23FB4">
        <w:rPr>
          <w:rFonts w:asciiTheme="minorHAnsi" w:hAnsiTheme="minorHAnsi" w:cstheme="minorHAnsi"/>
        </w:rPr>
        <w:t>przewód wodociągowy rozdzielczy - przewód wodociągowy doprowadzający wodę od przewodu magistralnego do przyłączy domowych i innych punktów czerpalnych,</w:t>
      </w:r>
    </w:p>
    <w:p w14:paraId="1ED72B18" w14:textId="77777777" w:rsidR="00C9677E" w:rsidRPr="00A23FB4" w:rsidRDefault="00C9677E" w:rsidP="00262498">
      <w:pPr>
        <w:numPr>
          <w:ilvl w:val="0"/>
          <w:numId w:val="150"/>
        </w:numPr>
        <w:ind w:left="284" w:hanging="284"/>
        <w:rPr>
          <w:rFonts w:asciiTheme="minorHAnsi" w:hAnsiTheme="minorHAnsi" w:cstheme="minorHAnsi"/>
        </w:rPr>
      </w:pPr>
      <w:r w:rsidRPr="00A23FB4">
        <w:rPr>
          <w:rFonts w:asciiTheme="minorHAnsi" w:hAnsiTheme="minorHAnsi" w:cstheme="minorHAnsi"/>
        </w:rPr>
        <w:t>przyłącze domowe; połączenie domowe - przewód wodociągowy z wodomierzem łączący sieć wodociągową z wewnętrzną instalacją obiektu zasilanego w wodę,</w:t>
      </w:r>
    </w:p>
    <w:p w14:paraId="3F9D0040" w14:textId="77777777" w:rsidR="00C9677E" w:rsidRPr="00A23FB4" w:rsidRDefault="00C9677E" w:rsidP="00262498">
      <w:pPr>
        <w:numPr>
          <w:ilvl w:val="0"/>
          <w:numId w:val="150"/>
        </w:numPr>
        <w:ind w:left="284" w:hanging="284"/>
        <w:rPr>
          <w:rFonts w:asciiTheme="minorHAnsi" w:hAnsiTheme="minorHAnsi" w:cstheme="minorHAnsi"/>
        </w:rPr>
      </w:pPr>
      <w:r w:rsidRPr="00A23FB4">
        <w:rPr>
          <w:rFonts w:asciiTheme="minorHAnsi" w:hAnsiTheme="minorHAnsi" w:cstheme="minorHAnsi"/>
        </w:rPr>
        <w:t>przewód wodociągowy tranzytowy i przesyłowy - przewód wodociągowy bez odgałęzień, przeznaczony wyłącznie do transportu wody na dużą odległość i łączący źródło wody ze zbiornikiem początkowym lub magistralą wodociągową,</w:t>
      </w:r>
    </w:p>
    <w:p w14:paraId="051F6A80" w14:textId="77777777" w:rsidR="00C9677E" w:rsidRDefault="00C9677E" w:rsidP="00262498">
      <w:pPr>
        <w:numPr>
          <w:ilvl w:val="0"/>
          <w:numId w:val="150"/>
        </w:numPr>
        <w:ind w:left="284" w:hanging="284"/>
        <w:rPr>
          <w:rFonts w:asciiTheme="minorHAnsi" w:hAnsiTheme="minorHAnsi" w:cstheme="minorHAnsi"/>
        </w:rPr>
      </w:pPr>
      <w:r w:rsidRPr="00A23FB4">
        <w:rPr>
          <w:rFonts w:asciiTheme="minorHAnsi" w:hAnsiTheme="minorHAnsi" w:cstheme="minorHAnsi"/>
        </w:rPr>
        <w:t>kompensator na sieci - urządzenie zabezpieczające przewód przed powstaniem nadmiernych naprężeń osiowych.</w:t>
      </w:r>
    </w:p>
    <w:p w14:paraId="124A7139" w14:textId="77777777" w:rsidR="00D424B0" w:rsidRPr="00A23FB4" w:rsidRDefault="00D424B0" w:rsidP="00262498">
      <w:pPr>
        <w:numPr>
          <w:ilvl w:val="0"/>
          <w:numId w:val="150"/>
        </w:numPr>
        <w:ind w:left="0" w:firstLine="0"/>
        <w:rPr>
          <w:rFonts w:asciiTheme="minorHAnsi" w:hAnsiTheme="minorHAnsi" w:cstheme="minorHAnsi"/>
        </w:rPr>
      </w:pPr>
      <w:r w:rsidRPr="00A23FB4">
        <w:rPr>
          <w:rFonts w:asciiTheme="minorHAnsi" w:hAnsiTheme="minorHAnsi" w:cstheme="minorHAnsi"/>
        </w:rPr>
        <w:t xml:space="preserve">Pozostałe określenia podstawowe są zgodne z obowiązującą polską normą PN-87/B-1060, PN-82/M-01600 i definicjami podanymi w </w:t>
      </w:r>
      <w:r>
        <w:rPr>
          <w:rFonts w:asciiTheme="minorHAnsi" w:hAnsiTheme="minorHAnsi" w:cstheme="minorHAnsi"/>
        </w:rPr>
        <w:t>ST</w:t>
      </w:r>
      <w:r w:rsidRPr="00A23FB4">
        <w:rPr>
          <w:rFonts w:asciiTheme="minorHAnsi" w:hAnsiTheme="minorHAnsi" w:cstheme="minorHAnsi"/>
        </w:rPr>
        <w:t>WiORB D-M-00.00.00 „Wymagania ogólne”.</w:t>
      </w:r>
    </w:p>
    <w:p w14:paraId="1B687B2F" w14:textId="77777777" w:rsidR="00D424B0" w:rsidRPr="00A23FB4" w:rsidRDefault="00D424B0" w:rsidP="00D424B0">
      <w:pPr>
        <w:ind w:left="284"/>
        <w:rPr>
          <w:rFonts w:asciiTheme="minorHAnsi" w:hAnsiTheme="minorHAnsi" w:cstheme="minorHAnsi"/>
        </w:rPr>
      </w:pPr>
    </w:p>
    <w:p w14:paraId="21455C69" w14:textId="77777777" w:rsidR="00C9677E" w:rsidRPr="00A23FB4" w:rsidRDefault="00C9677E" w:rsidP="00C9677E">
      <w:pPr>
        <w:pStyle w:val="Nagwek4"/>
        <w:rPr>
          <w:rFonts w:asciiTheme="minorHAnsi" w:hAnsiTheme="minorHAnsi"/>
        </w:rPr>
      </w:pPr>
      <w:r w:rsidRPr="00A23FB4">
        <w:rPr>
          <w:rFonts w:asciiTheme="minorHAnsi" w:hAnsiTheme="minorHAnsi"/>
        </w:rPr>
        <w:t>1.5. Ogólne wymagania dotyczące robót</w:t>
      </w:r>
    </w:p>
    <w:p w14:paraId="7CF6EC8D" w14:textId="5AEA4334" w:rsidR="00C9677E" w:rsidRPr="00A23FB4" w:rsidRDefault="00C9677E" w:rsidP="00C9677E">
      <w:pPr>
        <w:rPr>
          <w:rFonts w:asciiTheme="minorHAnsi" w:hAnsiTheme="minorHAnsi" w:cstheme="minorHAnsi"/>
        </w:rPr>
      </w:pPr>
      <w:r w:rsidRPr="00A23FB4">
        <w:rPr>
          <w:rFonts w:asciiTheme="minorHAnsi" w:hAnsiTheme="minorHAnsi" w:cstheme="minorHAnsi"/>
        </w:rPr>
        <w:t xml:space="preserve">Ogólne wymagania dotyczące robót podano w </w:t>
      </w:r>
      <w:r w:rsidR="002B1C7B">
        <w:rPr>
          <w:rFonts w:asciiTheme="minorHAnsi" w:hAnsiTheme="minorHAnsi" w:cstheme="minorHAnsi"/>
        </w:rPr>
        <w:t>ST</w:t>
      </w:r>
      <w:r w:rsidRPr="00A23FB4">
        <w:rPr>
          <w:rFonts w:asciiTheme="minorHAnsi" w:hAnsiTheme="minorHAnsi" w:cstheme="minorHAnsi"/>
        </w:rPr>
        <w:t>WiORB D-M-00.00.00 „Wymagania ogólne”.</w:t>
      </w:r>
    </w:p>
    <w:p w14:paraId="27DDD735" w14:textId="77777777" w:rsidR="00C9677E" w:rsidRPr="00A23FB4" w:rsidRDefault="00C9677E" w:rsidP="00C9677E">
      <w:pPr>
        <w:pStyle w:val="Nagwek3"/>
        <w:rPr>
          <w:rFonts w:asciiTheme="minorHAnsi" w:hAnsiTheme="minorHAnsi"/>
        </w:rPr>
      </w:pPr>
      <w:bookmarkStart w:id="87" w:name="_Toc467555865"/>
      <w:bookmarkStart w:id="88" w:name="_Toc468000823"/>
      <w:r w:rsidRPr="00A23FB4">
        <w:rPr>
          <w:rFonts w:asciiTheme="minorHAnsi" w:hAnsiTheme="minorHAnsi"/>
        </w:rPr>
        <w:t>2. MATERIAŁY</w:t>
      </w:r>
      <w:bookmarkEnd w:id="87"/>
      <w:bookmarkEnd w:id="88"/>
    </w:p>
    <w:p w14:paraId="0495DB02" w14:textId="77777777" w:rsidR="00C9677E" w:rsidRPr="00A23FB4" w:rsidRDefault="00C9677E" w:rsidP="00C9677E">
      <w:pPr>
        <w:pStyle w:val="Nagwek4"/>
        <w:rPr>
          <w:rFonts w:asciiTheme="minorHAnsi" w:hAnsiTheme="minorHAnsi"/>
        </w:rPr>
      </w:pPr>
      <w:r w:rsidRPr="00A23FB4">
        <w:rPr>
          <w:rFonts w:asciiTheme="minorHAnsi" w:hAnsiTheme="minorHAnsi"/>
        </w:rPr>
        <w:t>2.1. Ogólne wymagania</w:t>
      </w:r>
    </w:p>
    <w:p w14:paraId="03FF8B89" w14:textId="2B570643" w:rsidR="00C9677E" w:rsidRPr="00A23FB4" w:rsidRDefault="00C9677E" w:rsidP="00C9677E">
      <w:pPr>
        <w:rPr>
          <w:rFonts w:asciiTheme="minorHAnsi" w:hAnsiTheme="minorHAnsi" w:cstheme="minorHAnsi"/>
        </w:rPr>
      </w:pPr>
      <w:r w:rsidRPr="00A23FB4">
        <w:rPr>
          <w:rFonts w:asciiTheme="minorHAnsi" w:hAnsiTheme="minorHAnsi" w:cstheme="minorHAnsi"/>
        </w:rPr>
        <w:t xml:space="preserve">Ogólne wymagania dotyczące materiałów podano w </w:t>
      </w:r>
      <w:r w:rsidR="002B1C7B">
        <w:rPr>
          <w:rFonts w:asciiTheme="minorHAnsi" w:hAnsiTheme="minorHAnsi" w:cstheme="minorHAnsi"/>
        </w:rPr>
        <w:t>ST</w:t>
      </w:r>
      <w:r w:rsidRPr="00A23FB4">
        <w:rPr>
          <w:rFonts w:asciiTheme="minorHAnsi" w:hAnsiTheme="minorHAnsi" w:cstheme="minorHAnsi"/>
        </w:rPr>
        <w:t>WiORB D-M-00.00.00 „Wymagania ogólne”.</w:t>
      </w:r>
    </w:p>
    <w:p w14:paraId="7D98B5E5"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Wszystkie zakupione przez Wykonawcę materiały, dla których normy PN i BN przewidują posiadanie zaświadczenia o jakości lub atestu, powinny być zaopatrzone przez producenta w taki dokument.</w:t>
      </w:r>
    </w:p>
    <w:p w14:paraId="66871C0F"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Inne materiały powinny być wyposażone w takie dokumenty na życzenie Inżyniera.</w:t>
      </w:r>
    </w:p>
    <w:p w14:paraId="684C4DAE" w14:textId="77777777" w:rsidR="00C9677E" w:rsidRPr="00A23FB4" w:rsidRDefault="00C9677E" w:rsidP="00C9677E">
      <w:pPr>
        <w:pStyle w:val="Nagwek4"/>
        <w:rPr>
          <w:rFonts w:asciiTheme="minorHAnsi" w:hAnsiTheme="minorHAnsi"/>
        </w:rPr>
      </w:pPr>
      <w:r w:rsidRPr="00A23FB4">
        <w:rPr>
          <w:rFonts w:asciiTheme="minorHAnsi" w:hAnsiTheme="minorHAnsi"/>
        </w:rPr>
        <w:t>2.2. Rury przewodowe</w:t>
      </w:r>
    </w:p>
    <w:p w14:paraId="524CEB12"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Rodzaj rur, ich średnice zależne są od istniejących przewodów i ustala się je z odpowiednim użytkownikiem sieci wodociągowej.</w:t>
      </w:r>
    </w:p>
    <w:p w14:paraId="6BE2E9BA"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Do wykonania sieci wodociągowej stosuje się następujące materiały:</w:t>
      </w:r>
    </w:p>
    <w:p w14:paraId="7E58F130" w14:textId="77777777" w:rsidR="00D424B0" w:rsidRDefault="00C9677E" w:rsidP="00262498">
      <w:pPr>
        <w:pStyle w:val="Akapitzlist"/>
        <w:numPr>
          <w:ilvl w:val="1"/>
          <w:numId w:val="41"/>
        </w:numPr>
        <w:rPr>
          <w:rFonts w:asciiTheme="minorHAnsi" w:hAnsiTheme="minorHAnsi" w:cstheme="minorHAnsi"/>
        </w:rPr>
      </w:pPr>
      <w:r w:rsidRPr="00D424B0">
        <w:rPr>
          <w:rFonts w:asciiTheme="minorHAnsi" w:hAnsiTheme="minorHAnsi" w:cstheme="minorHAnsi"/>
        </w:rPr>
        <w:t>rury ciśnieniowe z nieplastyfikowanego polichlorku winylu (PCW) wg PN-74/C-89204,</w:t>
      </w:r>
    </w:p>
    <w:p w14:paraId="7B354B61" w14:textId="77777777" w:rsidR="00D424B0" w:rsidRDefault="00C9677E" w:rsidP="00262498">
      <w:pPr>
        <w:pStyle w:val="Akapitzlist"/>
        <w:numPr>
          <w:ilvl w:val="1"/>
          <w:numId w:val="41"/>
        </w:numPr>
        <w:rPr>
          <w:rFonts w:asciiTheme="minorHAnsi" w:hAnsiTheme="minorHAnsi" w:cstheme="minorHAnsi"/>
        </w:rPr>
      </w:pPr>
      <w:r w:rsidRPr="00D424B0">
        <w:rPr>
          <w:rFonts w:asciiTheme="minorHAnsi" w:hAnsiTheme="minorHAnsi" w:cstheme="minorHAnsi"/>
        </w:rPr>
        <w:t>rury ciśnieniowe z polietylenu twardego (PE) wg BN-74/6366-04 i BN-74/6366-03,</w:t>
      </w:r>
    </w:p>
    <w:p w14:paraId="792592E4" w14:textId="77777777" w:rsidR="00D424B0" w:rsidRDefault="00C9677E" w:rsidP="00262498">
      <w:pPr>
        <w:pStyle w:val="Akapitzlist"/>
        <w:numPr>
          <w:ilvl w:val="1"/>
          <w:numId w:val="41"/>
        </w:numPr>
        <w:rPr>
          <w:rFonts w:asciiTheme="minorHAnsi" w:hAnsiTheme="minorHAnsi" w:cstheme="minorHAnsi"/>
        </w:rPr>
      </w:pPr>
      <w:r w:rsidRPr="00D424B0">
        <w:rPr>
          <w:rFonts w:asciiTheme="minorHAnsi" w:hAnsiTheme="minorHAnsi" w:cstheme="minorHAnsi"/>
        </w:rPr>
        <w:t>rury ciśnieniowe z polipropylenu (PP) wg BN-80/6366-08,</w:t>
      </w:r>
    </w:p>
    <w:p w14:paraId="03CBF89B" w14:textId="77777777" w:rsidR="00D424B0" w:rsidRDefault="00C9677E" w:rsidP="00262498">
      <w:pPr>
        <w:pStyle w:val="Akapitzlist"/>
        <w:numPr>
          <w:ilvl w:val="1"/>
          <w:numId w:val="41"/>
        </w:numPr>
        <w:rPr>
          <w:rFonts w:asciiTheme="minorHAnsi" w:hAnsiTheme="minorHAnsi" w:cstheme="minorHAnsi"/>
        </w:rPr>
      </w:pPr>
      <w:r w:rsidRPr="00D424B0">
        <w:rPr>
          <w:rFonts w:asciiTheme="minorHAnsi" w:hAnsiTheme="minorHAnsi" w:cstheme="minorHAnsi"/>
        </w:rPr>
        <w:t>rury stalowe bez szwu walcowane na gorąco ogólnego zastosowania wg PN-80/H-74219 malowane wewnątrz asfaltozą (WM) i zabezpieczone zewnątrz powłoką bitumiczną z pojedynczą (ZO1) lub podwójną przekładką (ZO2),</w:t>
      </w:r>
    </w:p>
    <w:p w14:paraId="06979D02" w14:textId="77777777" w:rsidR="00D424B0" w:rsidRDefault="00C9677E" w:rsidP="00262498">
      <w:pPr>
        <w:pStyle w:val="Akapitzlist"/>
        <w:numPr>
          <w:ilvl w:val="1"/>
          <w:numId w:val="41"/>
        </w:numPr>
        <w:rPr>
          <w:rFonts w:asciiTheme="minorHAnsi" w:hAnsiTheme="minorHAnsi" w:cstheme="minorHAnsi"/>
        </w:rPr>
      </w:pPr>
      <w:r w:rsidRPr="00D424B0">
        <w:rPr>
          <w:rFonts w:asciiTheme="minorHAnsi" w:hAnsiTheme="minorHAnsi" w:cstheme="minorHAnsi"/>
        </w:rPr>
        <w:t>rury żeliwne ciśnieniowe do połączeń sztywnych (kielichowe i kołnierzowe) wg PN-84/H-74101,</w:t>
      </w:r>
    </w:p>
    <w:p w14:paraId="19296144" w14:textId="63567371" w:rsidR="00C9677E" w:rsidRPr="00D424B0" w:rsidRDefault="00C9677E" w:rsidP="00262498">
      <w:pPr>
        <w:pStyle w:val="Akapitzlist"/>
        <w:numPr>
          <w:ilvl w:val="1"/>
          <w:numId w:val="41"/>
        </w:numPr>
        <w:rPr>
          <w:rFonts w:asciiTheme="minorHAnsi" w:hAnsiTheme="minorHAnsi" w:cstheme="minorHAnsi"/>
        </w:rPr>
      </w:pPr>
      <w:r w:rsidRPr="00D424B0">
        <w:rPr>
          <w:rFonts w:asciiTheme="minorHAnsi" w:hAnsiTheme="minorHAnsi" w:cstheme="minorHAnsi"/>
        </w:rPr>
        <w:t>rury żeliwne ciśnieniowe do połączeń elastycznych śrubowych (kołnierzowe) wg PN-84/H-74102.</w:t>
      </w:r>
    </w:p>
    <w:p w14:paraId="63853A34" w14:textId="77777777" w:rsidR="00C9677E" w:rsidRPr="00A23FB4" w:rsidRDefault="00C9677E" w:rsidP="00C9677E">
      <w:pPr>
        <w:pStyle w:val="Nagwek4"/>
        <w:rPr>
          <w:rFonts w:asciiTheme="minorHAnsi" w:hAnsiTheme="minorHAnsi"/>
        </w:rPr>
      </w:pPr>
      <w:r w:rsidRPr="00A23FB4">
        <w:rPr>
          <w:rFonts w:asciiTheme="minorHAnsi" w:hAnsiTheme="minorHAnsi"/>
        </w:rPr>
        <w:t>2.3. Rury ochronne</w:t>
      </w:r>
    </w:p>
    <w:p w14:paraId="0916C831"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Rury ochronne należy wykonać z materiałów trwałych, szczelnych, wytrzymałych mechanicznie i odpornych na działanie czynników agresywnych.</w:t>
      </w:r>
    </w:p>
    <w:p w14:paraId="4A0AB779"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Powierzchnie ścianek powinny być od wewnątrz i zewnątrz odpowiednio zaizolowane.</w:t>
      </w:r>
    </w:p>
    <w:p w14:paraId="182D753A" w14:textId="77777777" w:rsidR="00C9677E" w:rsidRPr="00A23FB4" w:rsidRDefault="00C9677E" w:rsidP="00262498">
      <w:pPr>
        <w:numPr>
          <w:ilvl w:val="0"/>
          <w:numId w:val="151"/>
        </w:numPr>
        <w:spacing w:before="120" w:after="120"/>
        <w:ind w:left="284" w:hanging="284"/>
        <w:rPr>
          <w:rFonts w:asciiTheme="minorHAnsi" w:hAnsiTheme="minorHAnsi" w:cstheme="minorHAnsi"/>
        </w:rPr>
      </w:pPr>
      <w:r w:rsidRPr="00A23FB4">
        <w:rPr>
          <w:rFonts w:asciiTheme="minorHAnsi" w:hAnsiTheme="minorHAnsi" w:cstheme="minorHAnsi"/>
        </w:rPr>
        <w:t>Korpus rury ochronnej</w:t>
      </w:r>
    </w:p>
    <w:p w14:paraId="22F6E480"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Do wykonania rur ochronnych należy stosować:</w:t>
      </w:r>
    </w:p>
    <w:p w14:paraId="7EECBADA" w14:textId="77777777" w:rsidR="00D424B0" w:rsidRDefault="00C9677E" w:rsidP="00262498">
      <w:pPr>
        <w:pStyle w:val="Akapitzlist"/>
        <w:numPr>
          <w:ilvl w:val="0"/>
          <w:numId w:val="286"/>
        </w:numPr>
        <w:rPr>
          <w:rFonts w:asciiTheme="minorHAnsi" w:hAnsiTheme="minorHAnsi" w:cstheme="minorHAnsi"/>
        </w:rPr>
      </w:pPr>
      <w:r w:rsidRPr="00D424B0">
        <w:rPr>
          <w:rFonts w:asciiTheme="minorHAnsi" w:hAnsiTheme="minorHAnsi" w:cstheme="minorHAnsi"/>
        </w:rPr>
        <w:t>rury stalowe, bez szwu walcowane na gorąco ogólnego zastosowania wg PN-80/H-74219 malowane wewnętrznie asfaltozą (WM) i zabezpieczone zewnętrznie powłoką bitumiczną z podwójną przekładką (ZO2),</w:t>
      </w:r>
    </w:p>
    <w:p w14:paraId="08C15955" w14:textId="765390F3" w:rsidR="00C9677E" w:rsidRPr="00D424B0" w:rsidRDefault="00C9677E" w:rsidP="00262498">
      <w:pPr>
        <w:pStyle w:val="Akapitzlist"/>
        <w:numPr>
          <w:ilvl w:val="0"/>
          <w:numId w:val="286"/>
        </w:numPr>
        <w:rPr>
          <w:rFonts w:asciiTheme="minorHAnsi" w:hAnsiTheme="minorHAnsi" w:cstheme="minorHAnsi"/>
        </w:rPr>
      </w:pPr>
      <w:r w:rsidRPr="00D424B0">
        <w:rPr>
          <w:rFonts w:asciiTheme="minorHAnsi" w:hAnsiTheme="minorHAnsi" w:cstheme="minorHAnsi"/>
        </w:rPr>
        <w:t>rury żelbetowe kielichowe „Wipro” wg BN-83/8971-06.01 zabezpieczone izolacją zewnętrzną i wewnętrzną przy użyciu „Bitizolu R” oraz „Bitizolu P”; złącza uszczelnione za pomocą fabrycznego pierścienia gumowego.</w:t>
      </w:r>
    </w:p>
    <w:p w14:paraId="7C8CB491"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Zakończenie rury ochronnej w zależności od kategorii drogi należy wykonać za pomocą studzienek - komór wodociągowych lub specjalnych uszczelnień z zastosowaniem rurki sygnalizacyjnej.</w:t>
      </w:r>
    </w:p>
    <w:p w14:paraId="3CF822B3" w14:textId="4A229999" w:rsidR="00C9677E" w:rsidRPr="00D424B0" w:rsidRDefault="00C9677E" w:rsidP="00262498">
      <w:pPr>
        <w:pStyle w:val="Akapitzlist"/>
        <w:numPr>
          <w:ilvl w:val="0"/>
          <w:numId w:val="151"/>
        </w:numPr>
        <w:spacing w:before="120" w:after="120"/>
        <w:rPr>
          <w:rFonts w:asciiTheme="minorHAnsi" w:hAnsiTheme="minorHAnsi" w:cstheme="minorHAnsi"/>
        </w:rPr>
      </w:pPr>
      <w:r w:rsidRPr="00D424B0">
        <w:rPr>
          <w:rFonts w:asciiTheme="minorHAnsi" w:hAnsiTheme="minorHAnsi" w:cstheme="minorHAnsi"/>
        </w:rPr>
        <w:t>Uszczelnienia rur ochronnych</w:t>
      </w:r>
    </w:p>
    <w:p w14:paraId="165808F8"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Do uszczelnienia końcówek rur ochronnych należy stosować:</w:t>
      </w:r>
    </w:p>
    <w:p w14:paraId="79B9D97F" w14:textId="77777777" w:rsidR="00D424B0" w:rsidRDefault="00C9677E" w:rsidP="00262498">
      <w:pPr>
        <w:pStyle w:val="Akapitzlist"/>
        <w:numPr>
          <w:ilvl w:val="1"/>
          <w:numId w:val="37"/>
        </w:numPr>
        <w:rPr>
          <w:rFonts w:asciiTheme="minorHAnsi" w:hAnsiTheme="minorHAnsi" w:cstheme="minorHAnsi"/>
        </w:rPr>
      </w:pPr>
      <w:r w:rsidRPr="00D424B0">
        <w:rPr>
          <w:rFonts w:asciiTheme="minorHAnsi" w:hAnsiTheme="minorHAnsi" w:cstheme="minorHAnsi"/>
        </w:rPr>
        <w:t>półpierścienie wykonane z blachy stalowej grubo walcowanej na gorąco StO grubości od 5 do 19 mm,</w:t>
      </w:r>
    </w:p>
    <w:p w14:paraId="6C15EF5B" w14:textId="77777777" w:rsidR="00D424B0" w:rsidRDefault="00C9677E" w:rsidP="00262498">
      <w:pPr>
        <w:pStyle w:val="Akapitzlist"/>
        <w:numPr>
          <w:ilvl w:val="1"/>
          <w:numId w:val="37"/>
        </w:numPr>
        <w:rPr>
          <w:rFonts w:asciiTheme="minorHAnsi" w:hAnsiTheme="minorHAnsi" w:cstheme="minorHAnsi"/>
        </w:rPr>
      </w:pPr>
      <w:r w:rsidRPr="00D424B0">
        <w:rPr>
          <w:rFonts w:asciiTheme="minorHAnsi" w:hAnsiTheme="minorHAnsi" w:cstheme="minorHAnsi"/>
        </w:rPr>
        <w:t>pręty dystansowe (minimum 3 szt.) okrągłe walcowane na gorąco StO średnicy od 8 do 14 mm,</w:t>
      </w:r>
    </w:p>
    <w:p w14:paraId="3BE6C695" w14:textId="77777777" w:rsidR="00D424B0" w:rsidRDefault="00C9677E" w:rsidP="00262498">
      <w:pPr>
        <w:pStyle w:val="Akapitzlist"/>
        <w:numPr>
          <w:ilvl w:val="1"/>
          <w:numId w:val="37"/>
        </w:numPr>
        <w:rPr>
          <w:rFonts w:asciiTheme="minorHAnsi" w:hAnsiTheme="minorHAnsi" w:cstheme="minorHAnsi"/>
        </w:rPr>
      </w:pPr>
      <w:r w:rsidRPr="00D424B0">
        <w:rPr>
          <w:rFonts w:asciiTheme="minorHAnsi" w:hAnsiTheme="minorHAnsi" w:cstheme="minorHAnsi"/>
        </w:rPr>
        <w:t>sznur konopny kręcony, czesankowy, surowy,</w:t>
      </w:r>
    </w:p>
    <w:p w14:paraId="1D4CCA46" w14:textId="57F70E27" w:rsidR="00C9677E" w:rsidRPr="00D424B0" w:rsidRDefault="00C9677E" w:rsidP="00262498">
      <w:pPr>
        <w:pStyle w:val="Akapitzlist"/>
        <w:numPr>
          <w:ilvl w:val="1"/>
          <w:numId w:val="37"/>
        </w:numPr>
        <w:rPr>
          <w:rFonts w:asciiTheme="minorHAnsi" w:hAnsiTheme="minorHAnsi" w:cstheme="minorHAnsi"/>
        </w:rPr>
      </w:pPr>
      <w:r w:rsidRPr="00D424B0">
        <w:rPr>
          <w:rFonts w:asciiTheme="minorHAnsi" w:hAnsiTheme="minorHAnsi" w:cstheme="minorHAnsi"/>
        </w:rPr>
        <w:t>asfalt izolacyjny wysokotopliwy IW-80, IW-100.</w:t>
      </w:r>
    </w:p>
    <w:p w14:paraId="25F8A9FC" w14:textId="2F2E9AFA" w:rsidR="00C9677E" w:rsidRPr="00D424B0" w:rsidRDefault="00C9677E" w:rsidP="00262498">
      <w:pPr>
        <w:pStyle w:val="Akapitzlist"/>
        <w:numPr>
          <w:ilvl w:val="0"/>
          <w:numId w:val="151"/>
        </w:numPr>
        <w:spacing w:before="120" w:after="120"/>
        <w:rPr>
          <w:rFonts w:asciiTheme="minorHAnsi" w:hAnsiTheme="minorHAnsi" w:cstheme="minorHAnsi"/>
        </w:rPr>
      </w:pPr>
      <w:r w:rsidRPr="00D424B0">
        <w:rPr>
          <w:rFonts w:asciiTheme="minorHAnsi" w:hAnsiTheme="minorHAnsi" w:cstheme="minorHAnsi"/>
        </w:rPr>
        <w:t>Rurka sygnalizacyjna</w:t>
      </w:r>
    </w:p>
    <w:p w14:paraId="4F9DF81F"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Do wykonania rurek sygnalizacyjnych należy stosować:</w:t>
      </w:r>
    </w:p>
    <w:p w14:paraId="567D3E50" w14:textId="77777777" w:rsidR="00D424B0" w:rsidRDefault="00C9677E" w:rsidP="00262498">
      <w:pPr>
        <w:pStyle w:val="Akapitzlist"/>
        <w:numPr>
          <w:ilvl w:val="0"/>
          <w:numId w:val="287"/>
        </w:numPr>
        <w:rPr>
          <w:rFonts w:asciiTheme="minorHAnsi" w:hAnsiTheme="minorHAnsi" w:cstheme="minorHAnsi"/>
        </w:rPr>
      </w:pPr>
      <w:r w:rsidRPr="00D424B0">
        <w:rPr>
          <w:rFonts w:asciiTheme="minorHAnsi" w:hAnsiTheme="minorHAnsi" w:cstheme="minorHAnsi"/>
        </w:rPr>
        <w:t>rury stalowe instalacyjne S-Cz-G średnicy 25 mm wg PN-74/H-74200,</w:t>
      </w:r>
    </w:p>
    <w:p w14:paraId="33D5D896" w14:textId="2BF44EBC" w:rsidR="00C9677E" w:rsidRPr="00D424B0" w:rsidRDefault="00C9677E" w:rsidP="00262498">
      <w:pPr>
        <w:pStyle w:val="Akapitzlist"/>
        <w:numPr>
          <w:ilvl w:val="0"/>
          <w:numId w:val="287"/>
        </w:numPr>
        <w:rPr>
          <w:rFonts w:asciiTheme="minorHAnsi" w:hAnsiTheme="minorHAnsi" w:cstheme="minorHAnsi"/>
        </w:rPr>
      </w:pPr>
      <w:r w:rsidRPr="00D424B0">
        <w:rPr>
          <w:rFonts w:asciiTheme="minorHAnsi" w:hAnsiTheme="minorHAnsi" w:cstheme="minorHAnsi"/>
        </w:rPr>
        <w:t>skrzynki uliczne stosowane w instalacjach wodnych zgodnie z wymaganiami normy PN-85/M-74081.</w:t>
      </w:r>
    </w:p>
    <w:p w14:paraId="2DE2B3C2" w14:textId="77777777" w:rsidR="00C9677E" w:rsidRPr="00A23FB4" w:rsidRDefault="00C9677E" w:rsidP="00C9677E">
      <w:pPr>
        <w:pStyle w:val="Nagwek4"/>
        <w:rPr>
          <w:rFonts w:asciiTheme="minorHAnsi" w:hAnsiTheme="minorHAnsi"/>
        </w:rPr>
      </w:pPr>
      <w:r w:rsidRPr="00A23FB4">
        <w:rPr>
          <w:rFonts w:asciiTheme="minorHAnsi" w:hAnsiTheme="minorHAnsi"/>
        </w:rPr>
        <w:t>2.4. Studzienki wodociągowe</w:t>
      </w:r>
    </w:p>
    <w:p w14:paraId="6D16D4F8"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Studzienka powinna być wykonana z materiałów trwałych.</w:t>
      </w:r>
    </w:p>
    <w:p w14:paraId="1FF5107A" w14:textId="6ECA17D8" w:rsidR="00C9677E" w:rsidRPr="00D424B0" w:rsidRDefault="00C9677E" w:rsidP="00262498">
      <w:pPr>
        <w:pStyle w:val="Akapitzlist"/>
        <w:numPr>
          <w:ilvl w:val="2"/>
          <w:numId w:val="64"/>
        </w:numPr>
        <w:spacing w:after="120"/>
        <w:rPr>
          <w:rFonts w:asciiTheme="minorHAnsi" w:hAnsiTheme="minorHAnsi" w:cstheme="minorHAnsi"/>
        </w:rPr>
      </w:pPr>
      <w:r w:rsidRPr="00D424B0">
        <w:rPr>
          <w:rFonts w:asciiTheme="minorHAnsi" w:hAnsiTheme="minorHAnsi" w:cstheme="minorHAnsi"/>
        </w:rPr>
        <w:t>Komora robocza</w:t>
      </w:r>
    </w:p>
    <w:p w14:paraId="1785DED5"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Komora robocza powyżej wejścia rury ochronnej i przewodowej powinna być wykonana:</w:t>
      </w:r>
    </w:p>
    <w:p w14:paraId="7C0E93FD" w14:textId="77777777" w:rsidR="00D424B0" w:rsidRDefault="00C9677E" w:rsidP="00262498">
      <w:pPr>
        <w:pStyle w:val="Akapitzlist"/>
        <w:numPr>
          <w:ilvl w:val="0"/>
          <w:numId w:val="288"/>
        </w:numPr>
        <w:rPr>
          <w:rFonts w:asciiTheme="minorHAnsi" w:hAnsiTheme="minorHAnsi" w:cstheme="minorHAnsi"/>
        </w:rPr>
      </w:pPr>
      <w:r w:rsidRPr="00D424B0">
        <w:rPr>
          <w:rFonts w:asciiTheme="minorHAnsi" w:hAnsiTheme="minorHAnsi" w:cstheme="minorHAnsi"/>
        </w:rPr>
        <w:t>w wersji prefabrykowanej, z kręgów betonowych lub żelbetowych, spełniających wymagania normy BN-86/8971-08,</w:t>
      </w:r>
    </w:p>
    <w:p w14:paraId="08683C47" w14:textId="221ADFF6" w:rsidR="00C9677E" w:rsidRPr="00D424B0" w:rsidRDefault="00C9677E" w:rsidP="00262498">
      <w:pPr>
        <w:pStyle w:val="Akapitzlist"/>
        <w:numPr>
          <w:ilvl w:val="0"/>
          <w:numId w:val="288"/>
        </w:numPr>
        <w:rPr>
          <w:rFonts w:asciiTheme="minorHAnsi" w:hAnsiTheme="minorHAnsi" w:cstheme="minorHAnsi"/>
        </w:rPr>
      </w:pPr>
      <w:r w:rsidRPr="00D424B0">
        <w:rPr>
          <w:rFonts w:asciiTheme="minorHAnsi" w:hAnsiTheme="minorHAnsi" w:cstheme="minorHAnsi"/>
        </w:rPr>
        <w:t>w wersji murowanej z cegły kanalizacyjnej spełniającej wymagania normy PN-76/B-12037.</w:t>
      </w:r>
    </w:p>
    <w:p w14:paraId="21DD2A17"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Komora robocza poniżej wejścia rur powinna być wykonana:</w:t>
      </w:r>
    </w:p>
    <w:p w14:paraId="0B08A0DD" w14:textId="77777777" w:rsidR="00D424B0" w:rsidRDefault="00C9677E" w:rsidP="00262498">
      <w:pPr>
        <w:pStyle w:val="Akapitzlist"/>
        <w:numPr>
          <w:ilvl w:val="0"/>
          <w:numId w:val="289"/>
        </w:numPr>
        <w:rPr>
          <w:rFonts w:asciiTheme="minorHAnsi" w:hAnsiTheme="minorHAnsi" w:cstheme="minorHAnsi"/>
        </w:rPr>
      </w:pPr>
      <w:r w:rsidRPr="00D424B0">
        <w:rPr>
          <w:rFonts w:asciiTheme="minorHAnsi" w:hAnsiTheme="minorHAnsi" w:cstheme="minorHAnsi"/>
        </w:rPr>
        <w:t>w wersji monolitycznej z betonu hydrotechnicznego klasy B25; W-4; M-100 zgodnie z wymaganiami normy BN-62/6738-03, 04, 07,</w:t>
      </w:r>
    </w:p>
    <w:p w14:paraId="0C01D31A" w14:textId="3E16C822" w:rsidR="00C9677E" w:rsidRPr="00D424B0" w:rsidRDefault="00C9677E" w:rsidP="00262498">
      <w:pPr>
        <w:pStyle w:val="Akapitzlist"/>
        <w:numPr>
          <w:ilvl w:val="0"/>
          <w:numId w:val="289"/>
        </w:numPr>
        <w:rPr>
          <w:rFonts w:asciiTheme="minorHAnsi" w:hAnsiTheme="minorHAnsi" w:cstheme="minorHAnsi"/>
        </w:rPr>
      </w:pPr>
      <w:r w:rsidRPr="00D424B0">
        <w:rPr>
          <w:rFonts w:asciiTheme="minorHAnsi" w:hAnsiTheme="minorHAnsi" w:cstheme="minorHAnsi"/>
        </w:rPr>
        <w:t>lub alternatywnie z cegły kanalizacyjnej jak wyżej.</w:t>
      </w:r>
    </w:p>
    <w:p w14:paraId="3D0C5666" w14:textId="2DD624B1" w:rsidR="00C9677E" w:rsidRPr="00234278" w:rsidRDefault="00C9677E" w:rsidP="00262498">
      <w:pPr>
        <w:pStyle w:val="Akapitzlist"/>
        <w:numPr>
          <w:ilvl w:val="2"/>
          <w:numId w:val="64"/>
        </w:numPr>
        <w:spacing w:before="120" w:after="120"/>
        <w:rPr>
          <w:rFonts w:asciiTheme="minorHAnsi" w:hAnsiTheme="minorHAnsi" w:cstheme="minorHAnsi"/>
        </w:rPr>
      </w:pPr>
      <w:r w:rsidRPr="00234278">
        <w:rPr>
          <w:rFonts w:asciiTheme="minorHAnsi" w:hAnsiTheme="minorHAnsi" w:cstheme="minorHAnsi"/>
        </w:rPr>
        <w:t>Strop</w:t>
      </w:r>
    </w:p>
    <w:p w14:paraId="1D5B6B9C"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Na strop należy stosować płyty żelbetowe pokrywowe, monolityczne lub prefabrykowane. Wyjątkowo, przy dużym zagłębieniu studzienki, powinno się stosować płytę żelbetową pośrednią wraz z kominem włazowym.</w:t>
      </w:r>
    </w:p>
    <w:p w14:paraId="573C105E" w14:textId="3B4A4DA4" w:rsidR="00C9677E" w:rsidRPr="00234278" w:rsidRDefault="00C9677E" w:rsidP="00262498">
      <w:pPr>
        <w:pStyle w:val="Akapitzlist"/>
        <w:numPr>
          <w:ilvl w:val="2"/>
          <w:numId w:val="64"/>
        </w:numPr>
        <w:spacing w:before="120" w:after="120"/>
        <w:rPr>
          <w:rFonts w:asciiTheme="minorHAnsi" w:hAnsiTheme="minorHAnsi" w:cstheme="minorHAnsi"/>
        </w:rPr>
      </w:pPr>
      <w:r w:rsidRPr="00234278">
        <w:rPr>
          <w:rFonts w:asciiTheme="minorHAnsi" w:hAnsiTheme="minorHAnsi" w:cstheme="minorHAnsi"/>
        </w:rPr>
        <w:t>Komin włazowy</w:t>
      </w:r>
    </w:p>
    <w:p w14:paraId="364CD80A"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Komin włazowy powinien  być wykonany z kręgów betonowych lub żelbetowych o średnicy 0,80 m zgodnie z normą BN-86/8971-08.</w:t>
      </w:r>
    </w:p>
    <w:p w14:paraId="3D08D512" w14:textId="5F20ACF6" w:rsidR="00C9677E" w:rsidRPr="00234278" w:rsidRDefault="00C9677E" w:rsidP="00262498">
      <w:pPr>
        <w:pStyle w:val="Akapitzlist"/>
        <w:numPr>
          <w:ilvl w:val="2"/>
          <w:numId w:val="64"/>
        </w:numPr>
        <w:spacing w:before="120" w:after="120"/>
        <w:rPr>
          <w:rFonts w:asciiTheme="minorHAnsi" w:hAnsiTheme="minorHAnsi" w:cstheme="minorHAnsi"/>
        </w:rPr>
      </w:pPr>
      <w:r w:rsidRPr="00234278">
        <w:rPr>
          <w:rFonts w:asciiTheme="minorHAnsi" w:hAnsiTheme="minorHAnsi" w:cstheme="minorHAnsi"/>
        </w:rPr>
        <w:t>Dno</w:t>
      </w:r>
    </w:p>
    <w:p w14:paraId="16E2DA6D"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Dno studzienki wykonuje się jako monolityczne z betonu hydrotechnicznego o właściwościach podanych w punkcie 2.4.1.</w:t>
      </w:r>
    </w:p>
    <w:p w14:paraId="17E234A2" w14:textId="1C72D06B" w:rsidR="00C9677E" w:rsidRPr="00234278" w:rsidRDefault="00C9677E" w:rsidP="00262498">
      <w:pPr>
        <w:pStyle w:val="Akapitzlist"/>
        <w:numPr>
          <w:ilvl w:val="2"/>
          <w:numId w:val="64"/>
        </w:numPr>
        <w:spacing w:before="120" w:after="120"/>
        <w:rPr>
          <w:rFonts w:asciiTheme="minorHAnsi" w:hAnsiTheme="minorHAnsi" w:cstheme="minorHAnsi"/>
        </w:rPr>
      </w:pPr>
      <w:r w:rsidRPr="00234278">
        <w:rPr>
          <w:rFonts w:asciiTheme="minorHAnsi" w:hAnsiTheme="minorHAnsi" w:cstheme="minorHAnsi"/>
        </w:rPr>
        <w:t>Właz kanałowy</w:t>
      </w:r>
    </w:p>
    <w:p w14:paraId="5C09E4B2"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Należy stosować włazy kanałowe klasy C z otworami wentylacyjnymi wg PN-87/H-74051 o średnicy minimalnej 60 cm.</w:t>
      </w:r>
    </w:p>
    <w:p w14:paraId="02976333" w14:textId="7860B203" w:rsidR="00C9677E" w:rsidRPr="00234278" w:rsidRDefault="00C9677E" w:rsidP="00262498">
      <w:pPr>
        <w:pStyle w:val="Akapitzlist"/>
        <w:numPr>
          <w:ilvl w:val="2"/>
          <w:numId w:val="64"/>
        </w:numPr>
        <w:spacing w:before="120" w:after="120"/>
        <w:rPr>
          <w:rFonts w:asciiTheme="minorHAnsi" w:hAnsiTheme="minorHAnsi" w:cstheme="minorHAnsi"/>
        </w:rPr>
      </w:pPr>
      <w:r w:rsidRPr="00234278">
        <w:rPr>
          <w:rFonts w:asciiTheme="minorHAnsi" w:hAnsiTheme="minorHAnsi" w:cstheme="minorHAnsi"/>
        </w:rPr>
        <w:t>Stopnie włazowe</w:t>
      </w:r>
    </w:p>
    <w:p w14:paraId="04C5498A"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Powinny być stosowane stopnie żeliwne odpowiadające wymaganiom normy PN-64/H-74086. Dopuszcza się stosowanie klamer stalowych, zabezpieczonych przed korozją.</w:t>
      </w:r>
    </w:p>
    <w:p w14:paraId="1FA2D47B" w14:textId="7F4F121D" w:rsidR="00C9677E" w:rsidRPr="00234278" w:rsidRDefault="00C9677E" w:rsidP="00262498">
      <w:pPr>
        <w:pStyle w:val="Akapitzlist"/>
        <w:numPr>
          <w:ilvl w:val="2"/>
          <w:numId w:val="64"/>
        </w:numPr>
        <w:spacing w:before="120" w:after="120"/>
        <w:rPr>
          <w:rFonts w:asciiTheme="minorHAnsi" w:hAnsiTheme="minorHAnsi" w:cstheme="minorHAnsi"/>
        </w:rPr>
      </w:pPr>
      <w:r w:rsidRPr="00234278">
        <w:rPr>
          <w:rFonts w:asciiTheme="minorHAnsi" w:hAnsiTheme="minorHAnsi" w:cstheme="minorHAnsi"/>
        </w:rPr>
        <w:t>Przejścia rurociągów przez ściany</w:t>
      </w:r>
    </w:p>
    <w:p w14:paraId="44BE36A2"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W zależności od potrzeb i konstrukcji stosuje się zgodnie z KB8-13.7 910:</w:t>
      </w:r>
    </w:p>
    <w:p w14:paraId="5042CC24" w14:textId="77777777" w:rsidR="00C9677E" w:rsidRPr="00A23FB4" w:rsidRDefault="00C9677E" w:rsidP="00262498">
      <w:pPr>
        <w:numPr>
          <w:ilvl w:val="0"/>
          <w:numId w:val="37"/>
        </w:numPr>
        <w:rPr>
          <w:rFonts w:asciiTheme="minorHAnsi" w:hAnsiTheme="minorHAnsi" w:cstheme="minorHAnsi"/>
        </w:rPr>
      </w:pPr>
      <w:r w:rsidRPr="00A23FB4">
        <w:rPr>
          <w:rFonts w:asciiTheme="minorHAnsi" w:hAnsiTheme="minorHAnsi" w:cstheme="minorHAnsi"/>
        </w:rPr>
        <w:t>przejścia beztulejowe z uszczelnieniem za pomocą sznura smołowanego i kitu asfaltowego. Grubość warstwy szczeliwa powinna wynosić od 2 do 4 cm,</w:t>
      </w:r>
    </w:p>
    <w:p w14:paraId="2D9E56CC" w14:textId="77777777" w:rsidR="00C9677E" w:rsidRPr="00A23FB4" w:rsidRDefault="00C9677E" w:rsidP="00262498">
      <w:pPr>
        <w:numPr>
          <w:ilvl w:val="0"/>
          <w:numId w:val="37"/>
        </w:numPr>
        <w:rPr>
          <w:rFonts w:asciiTheme="minorHAnsi" w:hAnsiTheme="minorHAnsi" w:cstheme="minorHAnsi"/>
        </w:rPr>
      </w:pPr>
      <w:r w:rsidRPr="00A23FB4">
        <w:rPr>
          <w:rFonts w:asciiTheme="minorHAnsi" w:hAnsiTheme="minorHAnsi" w:cstheme="minorHAnsi"/>
        </w:rPr>
        <w:t>przejścia wodoszczelne nasuwkowe z zastosowaniem szczeliwa w postaci sznura smołowanego zabezpieczonego z zewnątrz warstwą ołowiu lub ubitej folii aluminiowej,</w:t>
      </w:r>
    </w:p>
    <w:p w14:paraId="2E74A228" w14:textId="77777777" w:rsidR="00C9677E" w:rsidRPr="00A23FB4" w:rsidRDefault="00C9677E" w:rsidP="00262498">
      <w:pPr>
        <w:numPr>
          <w:ilvl w:val="0"/>
          <w:numId w:val="37"/>
        </w:numPr>
        <w:rPr>
          <w:rFonts w:asciiTheme="minorHAnsi" w:hAnsiTheme="minorHAnsi" w:cstheme="minorHAnsi"/>
        </w:rPr>
      </w:pPr>
      <w:r w:rsidRPr="00A23FB4">
        <w:rPr>
          <w:rFonts w:asciiTheme="minorHAnsi" w:hAnsiTheme="minorHAnsi" w:cstheme="minorHAnsi"/>
        </w:rPr>
        <w:t>przejścia wodoszczelne dławicowe składające się ze stalowej tulei z przyspawanymi kołnierzami oporowymi, wewnątrz której jest przyspawany pierścień w celu stworzenia oporu dla uszczelnienia dociskanego przez dławik. Materiałem uszczelniającym może być sznur smołowany, kit asfaltowy, folia aluminiowa lub inne materiały uszczelniające zaakceptowane przez Inżyniera.</w:t>
      </w:r>
    </w:p>
    <w:p w14:paraId="4B7DAE66" w14:textId="40B4B914" w:rsidR="00C9677E" w:rsidRPr="00234278" w:rsidRDefault="00C9677E" w:rsidP="00262498">
      <w:pPr>
        <w:pStyle w:val="Akapitzlist"/>
        <w:numPr>
          <w:ilvl w:val="2"/>
          <w:numId w:val="64"/>
        </w:numPr>
        <w:spacing w:before="120" w:after="120"/>
        <w:rPr>
          <w:rFonts w:asciiTheme="minorHAnsi" w:hAnsiTheme="minorHAnsi" w:cstheme="minorHAnsi"/>
        </w:rPr>
      </w:pPr>
      <w:r w:rsidRPr="00234278">
        <w:rPr>
          <w:rFonts w:asciiTheme="minorHAnsi" w:hAnsiTheme="minorHAnsi" w:cstheme="minorHAnsi"/>
        </w:rPr>
        <w:t>Izolacja zewnętrzna</w:t>
      </w:r>
    </w:p>
    <w:p w14:paraId="2F985F0A"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Zewnętrzne powłoki izolacyjne zależne są od zewnętrznych warunków korozyjnych i należy je wykonać wg PN-82/B-01801 i PN-86/B-01811 oraz zgodnie z Instrukcją ITB nr 240 i 259.</w:t>
      </w:r>
    </w:p>
    <w:p w14:paraId="0382D043" w14:textId="77777777" w:rsidR="00C9677E" w:rsidRPr="00A23FB4" w:rsidRDefault="00C9677E" w:rsidP="00C9677E">
      <w:pPr>
        <w:pStyle w:val="Nagwek4"/>
        <w:rPr>
          <w:rFonts w:asciiTheme="minorHAnsi" w:hAnsiTheme="minorHAnsi"/>
        </w:rPr>
      </w:pPr>
      <w:r w:rsidRPr="00A23FB4">
        <w:rPr>
          <w:rFonts w:asciiTheme="minorHAnsi" w:hAnsiTheme="minorHAnsi"/>
        </w:rPr>
        <w:t>2.5. Komory wodociągowe</w:t>
      </w:r>
    </w:p>
    <w:p w14:paraId="4C7C54B5"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Komora powinna być wykonana z materiałów trwałych wg indywidualnej dokumentacji projektowej.</w:t>
      </w:r>
    </w:p>
    <w:p w14:paraId="58CA90B3" w14:textId="288B4E75" w:rsidR="00C9677E" w:rsidRPr="00234278" w:rsidRDefault="00C9677E" w:rsidP="00262498">
      <w:pPr>
        <w:pStyle w:val="Akapitzlist"/>
        <w:numPr>
          <w:ilvl w:val="2"/>
          <w:numId w:val="290"/>
        </w:numPr>
        <w:spacing w:before="120" w:after="120"/>
        <w:rPr>
          <w:rFonts w:asciiTheme="minorHAnsi" w:hAnsiTheme="minorHAnsi" w:cstheme="minorHAnsi"/>
        </w:rPr>
      </w:pPr>
      <w:r w:rsidRPr="00234278">
        <w:rPr>
          <w:rFonts w:asciiTheme="minorHAnsi" w:hAnsiTheme="minorHAnsi" w:cstheme="minorHAnsi"/>
        </w:rPr>
        <w:t>Komora robocza</w:t>
      </w:r>
    </w:p>
    <w:p w14:paraId="6E1E00E9"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Komora robocza może być wykonana:</w:t>
      </w:r>
    </w:p>
    <w:p w14:paraId="588FDE31" w14:textId="77777777" w:rsidR="00234278" w:rsidRDefault="00C9677E" w:rsidP="00262498">
      <w:pPr>
        <w:pStyle w:val="Akapitzlist"/>
        <w:numPr>
          <w:ilvl w:val="0"/>
          <w:numId w:val="291"/>
        </w:numPr>
        <w:rPr>
          <w:rFonts w:asciiTheme="minorHAnsi" w:hAnsiTheme="minorHAnsi" w:cstheme="minorHAnsi"/>
        </w:rPr>
      </w:pPr>
      <w:r w:rsidRPr="00234278">
        <w:rPr>
          <w:rFonts w:asciiTheme="minorHAnsi" w:hAnsiTheme="minorHAnsi" w:cstheme="minorHAnsi"/>
        </w:rPr>
        <w:t>jako żelbetowa wraz z domieszkami uszczelniającymi o stopniu wodoszczelności W4 wg PN-88/B-06250,</w:t>
      </w:r>
    </w:p>
    <w:p w14:paraId="318C5347" w14:textId="4B8215EC" w:rsidR="00C9677E" w:rsidRPr="00234278" w:rsidRDefault="00C9677E" w:rsidP="00262498">
      <w:pPr>
        <w:pStyle w:val="Akapitzlist"/>
        <w:numPr>
          <w:ilvl w:val="0"/>
          <w:numId w:val="291"/>
        </w:numPr>
        <w:rPr>
          <w:rFonts w:asciiTheme="minorHAnsi" w:hAnsiTheme="minorHAnsi" w:cstheme="minorHAnsi"/>
        </w:rPr>
      </w:pPr>
      <w:r w:rsidRPr="00234278">
        <w:rPr>
          <w:rFonts w:asciiTheme="minorHAnsi" w:hAnsiTheme="minorHAnsi" w:cstheme="minorHAnsi"/>
        </w:rPr>
        <w:t>lub z cegły kanalizacyjnej spełniającej wymagania normy PN-76/B-12037.</w:t>
      </w:r>
    </w:p>
    <w:p w14:paraId="6F6386E2" w14:textId="77777777" w:rsidR="00CF21DF" w:rsidRPr="00A23FB4" w:rsidRDefault="00CF21DF" w:rsidP="00CF21DF">
      <w:pPr>
        <w:ind w:left="283"/>
        <w:rPr>
          <w:rFonts w:asciiTheme="minorHAnsi" w:hAnsiTheme="minorHAnsi" w:cstheme="minorHAnsi"/>
        </w:rPr>
      </w:pPr>
    </w:p>
    <w:p w14:paraId="583A7FDD" w14:textId="53A9F7B2" w:rsidR="00C9677E" w:rsidRPr="00234278" w:rsidRDefault="00C9677E" w:rsidP="00262498">
      <w:pPr>
        <w:pStyle w:val="Akapitzlist"/>
        <w:numPr>
          <w:ilvl w:val="2"/>
          <w:numId w:val="290"/>
        </w:numPr>
        <w:spacing w:before="120" w:after="120"/>
        <w:rPr>
          <w:rFonts w:asciiTheme="minorHAnsi" w:hAnsiTheme="minorHAnsi" w:cstheme="minorHAnsi"/>
        </w:rPr>
      </w:pPr>
      <w:r w:rsidRPr="00234278">
        <w:rPr>
          <w:rFonts w:asciiTheme="minorHAnsi" w:hAnsiTheme="minorHAnsi" w:cstheme="minorHAnsi"/>
        </w:rPr>
        <w:t>Strop</w:t>
      </w:r>
    </w:p>
    <w:p w14:paraId="5748338D"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Zaleca się stosowanie stropów płytowych żelbetowych monolitycznych lub prefabrykowanych. W przypadku gdy wymiary armatury lub innego wyposażenia nie pozwalają na wykorzystanie włazów, do wyjmowania i wkładania tych elementów należy stosować elementy żelbetowe łatwe do demontażu.</w:t>
      </w:r>
    </w:p>
    <w:p w14:paraId="07EE8224" w14:textId="5542D3BC" w:rsidR="00C9677E" w:rsidRPr="00234278" w:rsidRDefault="00C9677E" w:rsidP="00262498">
      <w:pPr>
        <w:pStyle w:val="Akapitzlist"/>
        <w:numPr>
          <w:ilvl w:val="2"/>
          <w:numId w:val="290"/>
        </w:numPr>
        <w:spacing w:before="120" w:after="120"/>
        <w:rPr>
          <w:rFonts w:asciiTheme="minorHAnsi" w:hAnsiTheme="minorHAnsi" w:cstheme="minorHAnsi"/>
        </w:rPr>
      </w:pPr>
      <w:r w:rsidRPr="00234278">
        <w:rPr>
          <w:rFonts w:asciiTheme="minorHAnsi" w:hAnsiTheme="minorHAnsi" w:cstheme="minorHAnsi"/>
        </w:rPr>
        <w:t>Dno</w:t>
      </w:r>
    </w:p>
    <w:p w14:paraId="6403515A"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Dno komory wykonuje się jako żelbetowe z domieszkami uszczelniającymi.</w:t>
      </w:r>
    </w:p>
    <w:p w14:paraId="6E54E553" w14:textId="6084ABAC" w:rsidR="00C9677E" w:rsidRPr="00234278" w:rsidRDefault="00C9677E" w:rsidP="00262498">
      <w:pPr>
        <w:pStyle w:val="Akapitzlist"/>
        <w:numPr>
          <w:ilvl w:val="2"/>
          <w:numId w:val="290"/>
        </w:numPr>
        <w:spacing w:before="120" w:after="120"/>
        <w:rPr>
          <w:rFonts w:asciiTheme="minorHAnsi" w:hAnsiTheme="minorHAnsi" w:cstheme="minorHAnsi"/>
        </w:rPr>
      </w:pPr>
      <w:r w:rsidRPr="00234278">
        <w:rPr>
          <w:rFonts w:asciiTheme="minorHAnsi" w:hAnsiTheme="minorHAnsi" w:cstheme="minorHAnsi"/>
        </w:rPr>
        <w:t>Komin włazowy</w:t>
      </w:r>
    </w:p>
    <w:p w14:paraId="49EE961D"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Komin włazowy stosowany przy dużym zagłębieniu powinien być wykonany z kręgów betonowych lub żelbetowych o średnicy 0,80 m odpowiadających wymaganiom normy BN-86/8971-08.</w:t>
      </w:r>
    </w:p>
    <w:p w14:paraId="6101C534" w14:textId="641C5CC3" w:rsidR="00C9677E" w:rsidRPr="00234278" w:rsidRDefault="00C9677E" w:rsidP="00262498">
      <w:pPr>
        <w:pStyle w:val="Akapitzlist"/>
        <w:numPr>
          <w:ilvl w:val="2"/>
          <w:numId w:val="290"/>
        </w:numPr>
        <w:spacing w:before="120" w:after="120"/>
        <w:rPr>
          <w:rFonts w:asciiTheme="minorHAnsi" w:hAnsiTheme="minorHAnsi" w:cstheme="minorHAnsi"/>
        </w:rPr>
      </w:pPr>
      <w:r w:rsidRPr="00234278">
        <w:rPr>
          <w:rFonts w:asciiTheme="minorHAnsi" w:hAnsiTheme="minorHAnsi" w:cstheme="minorHAnsi"/>
        </w:rPr>
        <w:t>Właz kanałowy</w:t>
      </w:r>
    </w:p>
    <w:p w14:paraId="1BF74099" w14:textId="77777777" w:rsidR="00C9677E" w:rsidRPr="00A23FB4" w:rsidRDefault="00C9677E" w:rsidP="00C9677E">
      <w:pPr>
        <w:spacing w:after="120"/>
        <w:rPr>
          <w:rFonts w:asciiTheme="minorHAnsi" w:hAnsiTheme="minorHAnsi" w:cstheme="minorHAnsi"/>
        </w:rPr>
      </w:pPr>
      <w:r w:rsidRPr="00A23FB4">
        <w:rPr>
          <w:rFonts w:asciiTheme="minorHAnsi" w:hAnsiTheme="minorHAnsi" w:cstheme="minorHAnsi"/>
        </w:rPr>
        <w:t>Patrz punkt 2.4.5.</w:t>
      </w:r>
    </w:p>
    <w:p w14:paraId="7775E5DA" w14:textId="42F50310" w:rsidR="00C9677E" w:rsidRPr="00234278" w:rsidRDefault="00C9677E" w:rsidP="00262498">
      <w:pPr>
        <w:pStyle w:val="Akapitzlist"/>
        <w:numPr>
          <w:ilvl w:val="2"/>
          <w:numId w:val="290"/>
        </w:numPr>
        <w:spacing w:after="120"/>
        <w:rPr>
          <w:rFonts w:asciiTheme="minorHAnsi" w:hAnsiTheme="minorHAnsi" w:cstheme="minorHAnsi"/>
        </w:rPr>
      </w:pPr>
      <w:r w:rsidRPr="00234278">
        <w:rPr>
          <w:rFonts w:asciiTheme="minorHAnsi" w:hAnsiTheme="minorHAnsi" w:cstheme="minorHAnsi"/>
        </w:rPr>
        <w:t>Stopnie włazowe</w:t>
      </w:r>
    </w:p>
    <w:p w14:paraId="00FFC5D9" w14:textId="77777777" w:rsidR="00C9677E" w:rsidRPr="00A23FB4" w:rsidRDefault="00C9677E" w:rsidP="00C9677E">
      <w:pPr>
        <w:spacing w:after="120"/>
        <w:rPr>
          <w:rFonts w:asciiTheme="minorHAnsi" w:hAnsiTheme="minorHAnsi" w:cstheme="minorHAnsi"/>
        </w:rPr>
      </w:pPr>
      <w:r w:rsidRPr="00A23FB4">
        <w:rPr>
          <w:rFonts w:asciiTheme="minorHAnsi" w:hAnsiTheme="minorHAnsi" w:cstheme="minorHAnsi"/>
        </w:rPr>
        <w:t>Powinny być stosowane stopnie żeliwne wg PN-64/H-74086. Dopuszcza się stosowanie klamer stalowych, zabezpieczonych przed korozją.</w:t>
      </w:r>
    </w:p>
    <w:p w14:paraId="6F55CDCD" w14:textId="5C21CCEB" w:rsidR="00C9677E" w:rsidRPr="00A23FB4" w:rsidRDefault="00234278" w:rsidP="00234278">
      <w:pPr>
        <w:spacing w:after="120"/>
        <w:rPr>
          <w:rFonts w:asciiTheme="minorHAnsi" w:hAnsiTheme="minorHAnsi" w:cstheme="minorHAnsi"/>
        </w:rPr>
      </w:pPr>
      <w:r>
        <w:rPr>
          <w:rFonts w:asciiTheme="minorHAnsi" w:hAnsiTheme="minorHAnsi" w:cstheme="minorHAnsi"/>
        </w:rPr>
        <w:t>2.5.7</w:t>
      </w:r>
      <w:r w:rsidR="00C9677E" w:rsidRPr="00A23FB4">
        <w:rPr>
          <w:rFonts w:asciiTheme="minorHAnsi" w:hAnsiTheme="minorHAnsi" w:cstheme="minorHAnsi"/>
        </w:rPr>
        <w:t>Przejścia rurociągów przez ściany</w:t>
      </w:r>
    </w:p>
    <w:p w14:paraId="49C5259D" w14:textId="77777777" w:rsidR="00C9677E" w:rsidRPr="00A23FB4" w:rsidRDefault="00C9677E" w:rsidP="00C9677E">
      <w:pPr>
        <w:spacing w:after="120"/>
        <w:rPr>
          <w:rFonts w:asciiTheme="minorHAnsi" w:hAnsiTheme="minorHAnsi" w:cstheme="minorHAnsi"/>
        </w:rPr>
      </w:pPr>
      <w:r w:rsidRPr="00A23FB4">
        <w:rPr>
          <w:rFonts w:asciiTheme="minorHAnsi" w:hAnsiTheme="minorHAnsi" w:cstheme="minorHAnsi"/>
        </w:rPr>
        <w:t>Patrz punkt 2.4.7.</w:t>
      </w:r>
    </w:p>
    <w:p w14:paraId="2B40CBE2" w14:textId="4F7D22D6" w:rsidR="00C9677E" w:rsidRPr="00A23FB4" w:rsidRDefault="00234278" w:rsidP="00234278">
      <w:pPr>
        <w:spacing w:after="120"/>
        <w:rPr>
          <w:rFonts w:asciiTheme="minorHAnsi" w:hAnsiTheme="minorHAnsi" w:cstheme="minorHAnsi"/>
        </w:rPr>
      </w:pPr>
      <w:r>
        <w:rPr>
          <w:rFonts w:asciiTheme="minorHAnsi" w:hAnsiTheme="minorHAnsi" w:cstheme="minorHAnsi"/>
        </w:rPr>
        <w:t xml:space="preserve">2.5.8 </w:t>
      </w:r>
      <w:r w:rsidR="00C9677E" w:rsidRPr="00A23FB4">
        <w:rPr>
          <w:rFonts w:asciiTheme="minorHAnsi" w:hAnsiTheme="minorHAnsi" w:cstheme="minorHAnsi"/>
        </w:rPr>
        <w:t>Izolacja zewnętrzna</w:t>
      </w:r>
    </w:p>
    <w:p w14:paraId="6FDA5A64" w14:textId="77777777" w:rsidR="00C9677E" w:rsidRPr="00A23FB4" w:rsidRDefault="00C9677E" w:rsidP="00C9677E">
      <w:pPr>
        <w:spacing w:after="120"/>
        <w:rPr>
          <w:rFonts w:asciiTheme="minorHAnsi" w:hAnsiTheme="minorHAnsi" w:cstheme="minorHAnsi"/>
        </w:rPr>
      </w:pPr>
      <w:r w:rsidRPr="00A23FB4">
        <w:rPr>
          <w:rFonts w:asciiTheme="minorHAnsi" w:hAnsiTheme="minorHAnsi" w:cstheme="minorHAnsi"/>
        </w:rPr>
        <w:t xml:space="preserve">Patrz punkt 2.4.8. </w:t>
      </w:r>
    </w:p>
    <w:p w14:paraId="26CA9E7F" w14:textId="77777777" w:rsidR="00C9677E" w:rsidRPr="00A23FB4" w:rsidRDefault="00C9677E" w:rsidP="00C9677E">
      <w:pPr>
        <w:pStyle w:val="Nagwek4"/>
        <w:rPr>
          <w:rFonts w:asciiTheme="minorHAnsi" w:hAnsiTheme="minorHAnsi"/>
        </w:rPr>
      </w:pPr>
      <w:r w:rsidRPr="00A23FB4">
        <w:rPr>
          <w:rFonts w:asciiTheme="minorHAnsi" w:hAnsiTheme="minorHAnsi"/>
        </w:rPr>
        <w:t>2.6. Beton</w:t>
      </w:r>
    </w:p>
    <w:p w14:paraId="462F44D4"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Beton hydrotechniczny klasy B15, B20, B25 powinien być zgodny z wymaganiami normy BN-62/6738-07 i PN-88/B-06250.</w:t>
      </w:r>
    </w:p>
    <w:p w14:paraId="1E7058ED" w14:textId="77777777" w:rsidR="00C9677E" w:rsidRPr="00A23FB4" w:rsidRDefault="00C9677E" w:rsidP="00C9677E">
      <w:pPr>
        <w:pStyle w:val="Nagwek4"/>
        <w:rPr>
          <w:rFonts w:asciiTheme="minorHAnsi" w:hAnsiTheme="minorHAnsi"/>
        </w:rPr>
      </w:pPr>
      <w:r w:rsidRPr="00A23FB4">
        <w:rPr>
          <w:rFonts w:asciiTheme="minorHAnsi" w:hAnsiTheme="minorHAnsi"/>
        </w:rPr>
        <w:t>2.7. Zaprawa cementowa</w:t>
      </w:r>
    </w:p>
    <w:p w14:paraId="571042C1"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Zaprawa cementowa powinna odpowiadać warunkom normy PN-90/B-14501.</w:t>
      </w:r>
    </w:p>
    <w:p w14:paraId="25DDCAF8" w14:textId="77777777" w:rsidR="00C9677E" w:rsidRPr="00A23FB4" w:rsidRDefault="00C9677E" w:rsidP="00C9677E">
      <w:pPr>
        <w:pStyle w:val="Nagwek4"/>
        <w:rPr>
          <w:rFonts w:asciiTheme="minorHAnsi" w:hAnsiTheme="minorHAnsi"/>
        </w:rPr>
      </w:pPr>
      <w:r w:rsidRPr="00A23FB4">
        <w:rPr>
          <w:rFonts w:asciiTheme="minorHAnsi" w:hAnsiTheme="minorHAnsi"/>
        </w:rPr>
        <w:t>2.8. Kruszywo na podsypkę</w:t>
      </w:r>
    </w:p>
    <w:p w14:paraId="48C0524D"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Podsypka pod studzienki, komory, rurociągi może być wykonana z tłucznia lub żwiru. Użyty materiał na podsypkę powinien odpowiadać wymaganiom norm: PN-86/B-06712, BN-66/6774-01 i BN-84/6774-02.</w:t>
      </w:r>
    </w:p>
    <w:p w14:paraId="15223562" w14:textId="77777777" w:rsidR="00C9677E" w:rsidRPr="00A23FB4" w:rsidRDefault="00C9677E" w:rsidP="00C9677E">
      <w:pPr>
        <w:pStyle w:val="Nagwek4"/>
        <w:rPr>
          <w:rFonts w:asciiTheme="minorHAnsi" w:hAnsiTheme="minorHAnsi"/>
        </w:rPr>
      </w:pPr>
      <w:r w:rsidRPr="00A23FB4">
        <w:rPr>
          <w:rFonts w:asciiTheme="minorHAnsi" w:hAnsiTheme="minorHAnsi"/>
        </w:rPr>
        <w:t>2.9. Armatura odcinająca</w:t>
      </w:r>
    </w:p>
    <w:p w14:paraId="5C66A92C"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Jako armaturę odcinającą (przepływ wody) należy stosować:</w:t>
      </w:r>
    </w:p>
    <w:p w14:paraId="57364B08" w14:textId="77777777" w:rsidR="00234278" w:rsidRDefault="00C9677E" w:rsidP="00262498">
      <w:pPr>
        <w:pStyle w:val="Akapitzlist"/>
        <w:numPr>
          <w:ilvl w:val="0"/>
          <w:numId w:val="292"/>
        </w:numPr>
        <w:rPr>
          <w:rFonts w:asciiTheme="minorHAnsi" w:hAnsiTheme="minorHAnsi" w:cstheme="minorHAnsi"/>
        </w:rPr>
      </w:pPr>
      <w:r w:rsidRPr="00234278">
        <w:rPr>
          <w:rFonts w:asciiTheme="minorHAnsi" w:hAnsiTheme="minorHAnsi" w:cstheme="minorHAnsi"/>
        </w:rPr>
        <w:t>zasuwy żeliwne klinowe owalne kielichowe (z obudową lub bez obudowy) wg PN-83/M-74003,</w:t>
      </w:r>
    </w:p>
    <w:p w14:paraId="432E4524" w14:textId="1BB3AE66" w:rsidR="00C9677E" w:rsidRPr="00234278" w:rsidRDefault="00C9677E" w:rsidP="00262498">
      <w:pPr>
        <w:pStyle w:val="Akapitzlist"/>
        <w:numPr>
          <w:ilvl w:val="0"/>
          <w:numId w:val="292"/>
        </w:numPr>
        <w:rPr>
          <w:rFonts w:asciiTheme="minorHAnsi" w:hAnsiTheme="minorHAnsi" w:cstheme="minorHAnsi"/>
        </w:rPr>
      </w:pPr>
      <w:r w:rsidRPr="00234278">
        <w:rPr>
          <w:rFonts w:asciiTheme="minorHAnsi" w:hAnsiTheme="minorHAnsi" w:cstheme="minorHAnsi"/>
        </w:rPr>
        <w:t>zasuwy żeliwne klinowe owalne kołnierzowe (z obudową lub bez obudowy) wg PN-83/M-74024.</w:t>
      </w:r>
    </w:p>
    <w:p w14:paraId="611F5DC7" w14:textId="77777777" w:rsidR="00C9677E" w:rsidRPr="00A23FB4" w:rsidRDefault="00C9677E" w:rsidP="00C9677E">
      <w:pPr>
        <w:pStyle w:val="Nagwek4"/>
        <w:rPr>
          <w:rFonts w:asciiTheme="minorHAnsi" w:hAnsiTheme="minorHAnsi"/>
        </w:rPr>
      </w:pPr>
      <w:r w:rsidRPr="00A23FB4">
        <w:rPr>
          <w:rFonts w:asciiTheme="minorHAnsi" w:hAnsiTheme="minorHAnsi"/>
        </w:rPr>
        <w:t>2.10. Elementy montażowe</w:t>
      </w:r>
    </w:p>
    <w:p w14:paraId="0B5D841F"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Jako elementy montażowe należy stosować:</w:t>
      </w:r>
    </w:p>
    <w:p w14:paraId="4F86B58B" w14:textId="77777777" w:rsidR="00234278" w:rsidRDefault="00C9677E" w:rsidP="00262498">
      <w:pPr>
        <w:pStyle w:val="Akapitzlist"/>
        <w:numPr>
          <w:ilvl w:val="0"/>
          <w:numId w:val="293"/>
        </w:numPr>
        <w:rPr>
          <w:rFonts w:asciiTheme="minorHAnsi" w:hAnsiTheme="minorHAnsi" w:cstheme="minorHAnsi"/>
        </w:rPr>
      </w:pPr>
      <w:r w:rsidRPr="00234278">
        <w:rPr>
          <w:rFonts w:asciiTheme="minorHAnsi" w:hAnsiTheme="minorHAnsi" w:cstheme="minorHAnsi"/>
        </w:rPr>
        <w:t>nasuwki żeliwne odpowiadające wymaganiom normy PN-84/H-74101,</w:t>
      </w:r>
    </w:p>
    <w:p w14:paraId="771058B3" w14:textId="092AF1B0" w:rsidR="00C9677E" w:rsidRPr="00234278" w:rsidRDefault="00C9677E" w:rsidP="00262498">
      <w:pPr>
        <w:pStyle w:val="Akapitzlist"/>
        <w:numPr>
          <w:ilvl w:val="0"/>
          <w:numId w:val="293"/>
        </w:numPr>
        <w:rPr>
          <w:rFonts w:asciiTheme="minorHAnsi" w:hAnsiTheme="minorHAnsi" w:cstheme="minorHAnsi"/>
        </w:rPr>
      </w:pPr>
      <w:r w:rsidRPr="00234278">
        <w:rPr>
          <w:rFonts w:asciiTheme="minorHAnsi" w:hAnsiTheme="minorHAnsi" w:cstheme="minorHAnsi"/>
        </w:rPr>
        <w:t>kompensatory dławnicowe kołnierzowe żeliwne wg PN-89/M-74301.</w:t>
      </w:r>
    </w:p>
    <w:p w14:paraId="4927BDD1" w14:textId="77777777" w:rsidR="00C9677E" w:rsidRPr="00A23FB4" w:rsidRDefault="00C9677E" w:rsidP="00C9677E">
      <w:pPr>
        <w:pStyle w:val="Nagwek4"/>
        <w:rPr>
          <w:rFonts w:asciiTheme="minorHAnsi" w:hAnsiTheme="minorHAnsi"/>
        </w:rPr>
      </w:pPr>
      <w:r w:rsidRPr="00A23FB4">
        <w:rPr>
          <w:rFonts w:asciiTheme="minorHAnsi" w:hAnsiTheme="minorHAnsi"/>
        </w:rPr>
        <w:t>2.11. Hydranty nadziemne</w:t>
      </w:r>
    </w:p>
    <w:p w14:paraId="14A9DF42"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Należy stosować hydranty nadziemne o średnicy nominalnej 80 mm i 100 mm odpowiadające wymaganiom normy PN-89/M-74091 i BN-70/5213-04.</w:t>
      </w:r>
    </w:p>
    <w:p w14:paraId="53E6A2C5" w14:textId="77777777" w:rsidR="00C9677E" w:rsidRPr="00A23FB4" w:rsidRDefault="00C9677E" w:rsidP="00C9677E">
      <w:pPr>
        <w:pStyle w:val="Nagwek4"/>
        <w:rPr>
          <w:rFonts w:asciiTheme="minorHAnsi" w:hAnsiTheme="minorHAnsi"/>
        </w:rPr>
      </w:pPr>
      <w:r w:rsidRPr="00A23FB4">
        <w:rPr>
          <w:rFonts w:asciiTheme="minorHAnsi" w:hAnsiTheme="minorHAnsi"/>
        </w:rPr>
        <w:t>2.12. Bloki oporowe</w:t>
      </w:r>
    </w:p>
    <w:p w14:paraId="51FF3775"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Należy stosować:</w:t>
      </w:r>
    </w:p>
    <w:p w14:paraId="0C20935D" w14:textId="77777777" w:rsidR="00234278" w:rsidRDefault="00C9677E" w:rsidP="00262498">
      <w:pPr>
        <w:pStyle w:val="Akapitzlist"/>
        <w:numPr>
          <w:ilvl w:val="0"/>
          <w:numId w:val="294"/>
        </w:numPr>
        <w:rPr>
          <w:rFonts w:asciiTheme="minorHAnsi" w:hAnsiTheme="minorHAnsi" w:cstheme="minorHAnsi"/>
        </w:rPr>
      </w:pPr>
      <w:r w:rsidRPr="00234278">
        <w:rPr>
          <w:rFonts w:asciiTheme="minorHAnsi" w:hAnsiTheme="minorHAnsi" w:cstheme="minorHAnsi"/>
        </w:rPr>
        <w:t>bloki oporowe prefabrykowane z betonu zwykłego klasy B25 odpowiadające wymaganiom normy BN-81/9192-04 i BN-81/9192-05 do przewodów o średnicach od 100 do 400 mm i ciśnieniu próbnym nie przekraczającym 0,98 MPa,</w:t>
      </w:r>
    </w:p>
    <w:p w14:paraId="4E0BA65F" w14:textId="23E10F9C" w:rsidR="00C9677E" w:rsidRPr="00234278" w:rsidRDefault="00C9677E" w:rsidP="00262498">
      <w:pPr>
        <w:pStyle w:val="Akapitzlist"/>
        <w:numPr>
          <w:ilvl w:val="0"/>
          <w:numId w:val="294"/>
        </w:numPr>
        <w:rPr>
          <w:rFonts w:asciiTheme="minorHAnsi" w:hAnsiTheme="minorHAnsi" w:cstheme="minorHAnsi"/>
        </w:rPr>
      </w:pPr>
      <w:r w:rsidRPr="00234278">
        <w:rPr>
          <w:rFonts w:asciiTheme="minorHAnsi" w:hAnsiTheme="minorHAnsi" w:cstheme="minorHAnsi"/>
        </w:rPr>
        <w:t>bloki oporowe żelbetowe do przewodów o średnicach powyżej 400 mm wykonane z betonu klasy B25 z zastosowaniem stali zbrojeniowej St3S i 18G2 wg indywidualnej dokumentacji projektowej.</w:t>
      </w:r>
    </w:p>
    <w:p w14:paraId="2FFA755C" w14:textId="77777777" w:rsidR="00C9677E" w:rsidRPr="00A23FB4" w:rsidRDefault="00C9677E" w:rsidP="00C9677E">
      <w:pPr>
        <w:pStyle w:val="Nagwek4"/>
        <w:rPr>
          <w:rFonts w:asciiTheme="minorHAnsi" w:hAnsiTheme="minorHAnsi"/>
        </w:rPr>
      </w:pPr>
      <w:r w:rsidRPr="00A23FB4">
        <w:rPr>
          <w:rFonts w:asciiTheme="minorHAnsi" w:hAnsiTheme="minorHAnsi"/>
        </w:rPr>
        <w:t>2.13. Składowanie materiałów</w:t>
      </w:r>
    </w:p>
    <w:p w14:paraId="36752503" w14:textId="19E4245F" w:rsidR="00C9677E" w:rsidRPr="00234278" w:rsidRDefault="00C9677E" w:rsidP="00262498">
      <w:pPr>
        <w:pStyle w:val="Akapitzlist"/>
        <w:numPr>
          <w:ilvl w:val="2"/>
          <w:numId w:val="295"/>
        </w:numPr>
        <w:spacing w:after="120"/>
        <w:rPr>
          <w:rFonts w:asciiTheme="minorHAnsi" w:hAnsiTheme="minorHAnsi" w:cstheme="minorHAnsi"/>
        </w:rPr>
      </w:pPr>
      <w:r w:rsidRPr="00234278">
        <w:rPr>
          <w:rFonts w:asciiTheme="minorHAnsi" w:hAnsiTheme="minorHAnsi" w:cstheme="minorHAnsi"/>
        </w:rPr>
        <w:t>Rury przewodowe i ochronne</w:t>
      </w:r>
    </w:p>
    <w:p w14:paraId="4719AEB8"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Rury należy przechowywać w położeniu poziomym na płaskim, równym podłożu, w sposób gwarantujący zabezpieczenie ich przed uszkodzeniem i opadami atmosferycznymi oraz spełnienie warunków bhp.</w:t>
      </w:r>
    </w:p>
    <w:p w14:paraId="3F509F63"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Ponadto:</w:t>
      </w:r>
    </w:p>
    <w:p w14:paraId="12FF6AF1" w14:textId="77777777" w:rsidR="00C9677E" w:rsidRPr="00A23FB4" w:rsidRDefault="00C9677E" w:rsidP="00262498">
      <w:pPr>
        <w:numPr>
          <w:ilvl w:val="0"/>
          <w:numId w:val="152"/>
        </w:numPr>
        <w:rPr>
          <w:rFonts w:asciiTheme="minorHAnsi" w:hAnsiTheme="minorHAnsi" w:cstheme="minorHAnsi"/>
        </w:rPr>
      </w:pPr>
      <w:r w:rsidRPr="00A23FB4">
        <w:rPr>
          <w:rFonts w:asciiTheme="minorHAnsi" w:hAnsiTheme="minorHAnsi" w:cstheme="minorHAnsi"/>
        </w:rPr>
        <w:t>rury z tworzyw sztucznych (PCW, PE i PP) należy składować w taki sposób, aby stykały się one z podłożem na całej swej długości. Można je składować na gęsto ułożonych podkładach. Wysokość sterty rur nie powinna przekraczać: rur PCW i PE 1,5 m, natomiast rur PP - 1,0 m. Składowane rury nie powinny być narażone na bezpośrednie działanie promieniowania słonecznego. Temperatura w miejscu przechowywania nie powinna przekraczać 30</w:t>
      </w:r>
      <w:r w:rsidRPr="00A23FB4">
        <w:rPr>
          <w:rFonts w:asciiTheme="minorHAnsi" w:hAnsiTheme="minorHAnsi" w:cstheme="minorHAnsi"/>
          <w:vertAlign w:val="superscript"/>
        </w:rPr>
        <w:t>o</w:t>
      </w:r>
      <w:r w:rsidRPr="00A23FB4">
        <w:rPr>
          <w:rFonts w:asciiTheme="minorHAnsi" w:hAnsiTheme="minorHAnsi" w:cstheme="minorHAnsi"/>
        </w:rPr>
        <w:t>C,</w:t>
      </w:r>
    </w:p>
    <w:p w14:paraId="6BB64816" w14:textId="77777777" w:rsidR="00C9677E" w:rsidRPr="00A23FB4" w:rsidRDefault="00C9677E" w:rsidP="00262498">
      <w:pPr>
        <w:numPr>
          <w:ilvl w:val="0"/>
          <w:numId w:val="152"/>
        </w:numPr>
        <w:rPr>
          <w:rFonts w:asciiTheme="minorHAnsi" w:hAnsiTheme="minorHAnsi" w:cstheme="minorHAnsi"/>
        </w:rPr>
      </w:pPr>
      <w:r w:rsidRPr="00A23FB4">
        <w:rPr>
          <w:rFonts w:asciiTheme="minorHAnsi" w:hAnsiTheme="minorHAnsi" w:cstheme="minorHAnsi"/>
        </w:rPr>
        <w:t>rury stalowe można przechowywać w wiązkach lub luzem. Rury o średnicach poniżej 30 mm tylko w wiązkach,</w:t>
      </w:r>
    </w:p>
    <w:p w14:paraId="4AF85819" w14:textId="77777777" w:rsidR="00C9677E" w:rsidRPr="00A23FB4" w:rsidRDefault="00C9677E" w:rsidP="00262498">
      <w:pPr>
        <w:numPr>
          <w:ilvl w:val="0"/>
          <w:numId w:val="152"/>
        </w:numPr>
        <w:rPr>
          <w:rFonts w:asciiTheme="minorHAnsi" w:hAnsiTheme="minorHAnsi" w:cstheme="minorHAnsi"/>
        </w:rPr>
      </w:pPr>
      <w:r w:rsidRPr="00A23FB4">
        <w:rPr>
          <w:rFonts w:asciiTheme="minorHAnsi" w:hAnsiTheme="minorHAnsi" w:cstheme="minorHAnsi"/>
        </w:rPr>
        <w:t>rury żeliwne i żelbetowe powinny być ułożone w stosach na przemian kielichami lub kołnierzami. Warstwy rur należy przedzielić listwami drewnianymi, przy czym listwy te powinny być grubsze od wystających części.</w:t>
      </w:r>
    </w:p>
    <w:p w14:paraId="34588456" w14:textId="1227A444" w:rsidR="00C9677E" w:rsidRPr="00234278" w:rsidRDefault="00C9677E" w:rsidP="00262498">
      <w:pPr>
        <w:pStyle w:val="Akapitzlist"/>
        <w:numPr>
          <w:ilvl w:val="2"/>
          <w:numId w:val="295"/>
        </w:numPr>
        <w:spacing w:before="120" w:after="120"/>
        <w:rPr>
          <w:rFonts w:asciiTheme="minorHAnsi" w:hAnsiTheme="minorHAnsi" w:cstheme="minorHAnsi"/>
        </w:rPr>
      </w:pPr>
      <w:r w:rsidRPr="00234278">
        <w:rPr>
          <w:rFonts w:asciiTheme="minorHAnsi" w:hAnsiTheme="minorHAnsi" w:cstheme="minorHAnsi"/>
        </w:rPr>
        <w:t>Armatura przemysłowa (zasuwy, nasuwki, kompensatory, hydranty)</w:t>
      </w:r>
    </w:p>
    <w:p w14:paraId="42D99522"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Armatura zgodnie z normą PN-92/M-74001 powinna być przechowywana w pomieszczeniach zabezpieczonych przed wpływami atmosferycznymi i czynnikami powodującymi korozję.</w:t>
      </w:r>
    </w:p>
    <w:p w14:paraId="303B148A" w14:textId="19E692C6" w:rsidR="00C9677E" w:rsidRPr="00234278" w:rsidRDefault="00C9677E" w:rsidP="00262498">
      <w:pPr>
        <w:pStyle w:val="Akapitzlist"/>
        <w:numPr>
          <w:ilvl w:val="2"/>
          <w:numId w:val="295"/>
        </w:numPr>
        <w:spacing w:after="120"/>
        <w:rPr>
          <w:rFonts w:asciiTheme="minorHAnsi" w:hAnsiTheme="minorHAnsi" w:cstheme="minorHAnsi"/>
        </w:rPr>
      </w:pPr>
      <w:r w:rsidRPr="00234278">
        <w:rPr>
          <w:rFonts w:asciiTheme="minorHAnsi" w:hAnsiTheme="minorHAnsi" w:cstheme="minorHAnsi"/>
        </w:rPr>
        <w:t>Włazy, stopnie i skrzynki uliczne</w:t>
      </w:r>
    </w:p>
    <w:p w14:paraId="658FCE25"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Włazy, stopnie i skrzynki mogą być przechowywane na wolnym powietrzu z dala od substancji działających korodująco. Składowiska powinny być utwardzone i odwodnione.</w:t>
      </w:r>
    </w:p>
    <w:p w14:paraId="58E43D61"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Włazy powinny być posegregowane wg klas.</w:t>
      </w:r>
    </w:p>
    <w:p w14:paraId="47138735" w14:textId="5F5C39E0" w:rsidR="00C9677E" w:rsidRPr="00234278" w:rsidRDefault="00C9677E" w:rsidP="00262498">
      <w:pPr>
        <w:pStyle w:val="Akapitzlist"/>
        <w:numPr>
          <w:ilvl w:val="2"/>
          <w:numId w:val="295"/>
        </w:numPr>
        <w:spacing w:before="120" w:after="120"/>
        <w:rPr>
          <w:rFonts w:asciiTheme="minorHAnsi" w:hAnsiTheme="minorHAnsi" w:cstheme="minorHAnsi"/>
        </w:rPr>
      </w:pPr>
      <w:r w:rsidRPr="00234278">
        <w:rPr>
          <w:rFonts w:asciiTheme="minorHAnsi" w:hAnsiTheme="minorHAnsi" w:cstheme="minorHAnsi"/>
        </w:rPr>
        <w:t>Kręgi</w:t>
      </w:r>
    </w:p>
    <w:p w14:paraId="5336D558"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Kręgi należy składować na placach lub gruncie nieutwardzonym wyrównanym i odwodnionym pod warunkiem, że nacisk kręgów przekazywany na grunt nie przekracza 0,5 MPa.</w:t>
      </w:r>
    </w:p>
    <w:p w14:paraId="79A369AE"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Przy składowaniu wyrobów w pozycji wbudowania wysokość składowania nie powinna przekraczać 1,8 m. Składowanie powinno umożliwić dostęp do poszczególnych stosów wyrobów lub pojedynczych kręgów.</w:t>
      </w:r>
    </w:p>
    <w:p w14:paraId="0D1A3AD0" w14:textId="251C6271" w:rsidR="00C9677E" w:rsidRPr="00A23FB4" w:rsidRDefault="00234278" w:rsidP="00234278">
      <w:pPr>
        <w:spacing w:before="120" w:after="120"/>
        <w:rPr>
          <w:rFonts w:asciiTheme="minorHAnsi" w:hAnsiTheme="minorHAnsi" w:cstheme="minorHAnsi"/>
        </w:rPr>
      </w:pPr>
      <w:r>
        <w:rPr>
          <w:rFonts w:asciiTheme="minorHAnsi" w:hAnsiTheme="minorHAnsi" w:cstheme="minorHAnsi"/>
        </w:rPr>
        <w:t xml:space="preserve">2.13.5 </w:t>
      </w:r>
      <w:r w:rsidR="00C9677E" w:rsidRPr="00A23FB4">
        <w:rPr>
          <w:rFonts w:asciiTheme="minorHAnsi" w:hAnsiTheme="minorHAnsi" w:cstheme="minorHAnsi"/>
        </w:rPr>
        <w:t>Cegła kanalizacyjna</w:t>
      </w:r>
    </w:p>
    <w:p w14:paraId="424F081E"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Cegła kanalizacyjna może być przechowywana na składowiskach otwartych.</w:t>
      </w:r>
    </w:p>
    <w:p w14:paraId="6CF73678"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Wykonawca jest zobowiązany do składowania cegieł na składowiskach wyrównanych i utwardzonych, z odpowiednimi spadkami umożliwiającymi odprowadzenie wód opadowych. Składowiska powinny być oczyszczone z gruzu, błota lub innych zanieczyszczeń.</w:t>
      </w:r>
    </w:p>
    <w:p w14:paraId="62F1960C"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Cegły w miejscu składowania powinny być ułożone w sposób uporządkowany, zapewniający łatwość przeliczenia, racjonalne wykorzystanie miejsca i zgodny z wymaganiami bhp.</w:t>
      </w:r>
    </w:p>
    <w:p w14:paraId="69163F52"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Cegły powinny być ułożone w jednostkach ładunkowych lub luzem w stosach albo pryzmach. Jednostki ładunkowe mogą być ułożone jedne nad drugimi maksymalnie w 3 warstwach o łącznej wysokości nie przekraczającej 3,0 m.</w:t>
      </w:r>
    </w:p>
    <w:p w14:paraId="15881B63"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Przy składowaniu cegieł luzem maksymalna wysokość stosów i pryzm nie powinna przekraczać 2,2 m.</w:t>
      </w:r>
    </w:p>
    <w:p w14:paraId="218F5C57" w14:textId="2742ABBB" w:rsidR="00C9677E" w:rsidRPr="00234278" w:rsidRDefault="00C9677E" w:rsidP="00262498">
      <w:pPr>
        <w:pStyle w:val="Akapitzlist"/>
        <w:numPr>
          <w:ilvl w:val="2"/>
          <w:numId w:val="296"/>
        </w:numPr>
        <w:spacing w:before="120" w:after="120"/>
        <w:rPr>
          <w:rFonts w:asciiTheme="minorHAnsi" w:hAnsiTheme="minorHAnsi" w:cstheme="minorHAnsi"/>
          <w:b/>
        </w:rPr>
      </w:pPr>
      <w:r w:rsidRPr="00234278">
        <w:rPr>
          <w:rFonts w:asciiTheme="minorHAnsi" w:hAnsiTheme="minorHAnsi" w:cstheme="minorHAnsi"/>
        </w:rPr>
        <w:t>Bloki oporowe</w:t>
      </w:r>
    </w:p>
    <w:p w14:paraId="13D63200"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Składowisko prefabrykatów bloków oporowych należy lokalizować jak najbliżej miejsca wbudowania. Bloki oporowe  należy ustawiać w pozycji wbudowania, bloki typoszeregu można składować w pozycji leżącej na podkładach drewnianych warstwami po 3 lub 4 sztuki.</w:t>
      </w:r>
    </w:p>
    <w:p w14:paraId="1B48ECEA" w14:textId="3781507B" w:rsidR="00C9677E" w:rsidRPr="00234278" w:rsidRDefault="00C9677E" w:rsidP="00262498">
      <w:pPr>
        <w:pStyle w:val="Akapitzlist"/>
        <w:numPr>
          <w:ilvl w:val="2"/>
          <w:numId w:val="296"/>
        </w:numPr>
        <w:spacing w:before="120" w:after="120"/>
        <w:rPr>
          <w:rFonts w:asciiTheme="minorHAnsi" w:hAnsiTheme="minorHAnsi" w:cstheme="minorHAnsi"/>
        </w:rPr>
      </w:pPr>
      <w:r w:rsidRPr="00234278">
        <w:rPr>
          <w:rFonts w:asciiTheme="minorHAnsi" w:hAnsiTheme="minorHAnsi" w:cstheme="minorHAnsi"/>
        </w:rPr>
        <w:t>Kruszywo</w:t>
      </w:r>
    </w:p>
    <w:p w14:paraId="57B5885A"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Składowisko kruszywa powinno być zlokalizowane jak najbliżej wykonywanego odcinka wodociągu.</w:t>
      </w:r>
    </w:p>
    <w:p w14:paraId="6A3CB923"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Podłoże składowiska powinno być równe, utwardzone, z odpowiednim odwodnieniem, zabezpieczające kruszywo przed zanieczyszczeniem w czasie jego składowania i poboru.</w:t>
      </w:r>
    </w:p>
    <w:p w14:paraId="369768C1" w14:textId="77777777" w:rsidR="00CF21DF" w:rsidRPr="00A23FB4" w:rsidRDefault="00CF21DF" w:rsidP="00C9677E">
      <w:pPr>
        <w:rPr>
          <w:rFonts w:asciiTheme="minorHAnsi" w:hAnsiTheme="minorHAnsi" w:cstheme="minorHAnsi"/>
        </w:rPr>
      </w:pPr>
    </w:p>
    <w:p w14:paraId="699A834F" w14:textId="77777777" w:rsidR="00C9677E" w:rsidRDefault="00C9677E" w:rsidP="00C9677E">
      <w:pPr>
        <w:rPr>
          <w:rFonts w:asciiTheme="minorHAnsi" w:hAnsiTheme="minorHAnsi" w:cstheme="minorHAnsi"/>
        </w:rPr>
      </w:pPr>
    </w:p>
    <w:p w14:paraId="4D957F7A" w14:textId="77777777" w:rsidR="00C86F6B" w:rsidRDefault="00C86F6B" w:rsidP="00C9677E">
      <w:pPr>
        <w:rPr>
          <w:rFonts w:asciiTheme="minorHAnsi" w:hAnsiTheme="minorHAnsi" w:cstheme="minorHAnsi"/>
        </w:rPr>
      </w:pPr>
    </w:p>
    <w:p w14:paraId="2001F704" w14:textId="77777777" w:rsidR="00C86F6B" w:rsidRPr="00A23FB4" w:rsidRDefault="00C86F6B" w:rsidP="00C9677E">
      <w:pPr>
        <w:rPr>
          <w:rFonts w:asciiTheme="minorHAnsi" w:hAnsiTheme="minorHAnsi" w:cstheme="minorHAnsi"/>
        </w:rPr>
      </w:pPr>
    </w:p>
    <w:p w14:paraId="67AC6DAD" w14:textId="77777777" w:rsidR="00C9677E" w:rsidRPr="00A23FB4" w:rsidRDefault="00C9677E" w:rsidP="00C9677E">
      <w:pPr>
        <w:spacing w:after="120"/>
        <w:rPr>
          <w:rFonts w:asciiTheme="minorHAnsi" w:hAnsiTheme="minorHAnsi" w:cstheme="minorHAnsi"/>
        </w:rPr>
      </w:pPr>
      <w:r w:rsidRPr="00234278">
        <w:rPr>
          <w:rFonts w:asciiTheme="minorHAnsi" w:hAnsiTheme="minorHAnsi" w:cstheme="minorHAnsi"/>
          <w:bCs/>
        </w:rPr>
        <w:t>2.13.8.</w:t>
      </w:r>
      <w:r w:rsidRPr="00A23FB4">
        <w:rPr>
          <w:rFonts w:asciiTheme="minorHAnsi" w:hAnsiTheme="minorHAnsi" w:cstheme="minorHAnsi"/>
          <w:b/>
        </w:rPr>
        <w:t xml:space="preserve"> </w:t>
      </w:r>
      <w:r w:rsidRPr="00A23FB4">
        <w:rPr>
          <w:rFonts w:asciiTheme="minorHAnsi" w:hAnsiTheme="minorHAnsi" w:cstheme="minorHAnsi"/>
        </w:rPr>
        <w:t>Cement</w:t>
      </w:r>
    </w:p>
    <w:p w14:paraId="5CF868FA"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Cement powinien być przechowywany w silosach. Na budowie powinny znajdować się silosy w ilości zapewniającej ciągłość robót.</w:t>
      </w:r>
    </w:p>
    <w:p w14:paraId="40E02493"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Składowanie cementu w workach Wykonawca zapewni w magazynach zamkniętych. Składowany cement musi być bezwzględnie odizolowany od wilgoci.</w:t>
      </w:r>
    </w:p>
    <w:p w14:paraId="71E7E880"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Czas przechowywania cementu nie może być dłuższy niż 3 miesiące.</w:t>
      </w:r>
    </w:p>
    <w:p w14:paraId="68CF732E" w14:textId="77777777" w:rsidR="00C9677E" w:rsidRPr="00A23FB4" w:rsidRDefault="00C9677E" w:rsidP="00C9677E">
      <w:pPr>
        <w:pStyle w:val="Nagwek3"/>
        <w:rPr>
          <w:rFonts w:asciiTheme="minorHAnsi" w:hAnsiTheme="minorHAnsi"/>
        </w:rPr>
      </w:pPr>
      <w:bookmarkStart w:id="89" w:name="_Toc468000824"/>
      <w:r w:rsidRPr="00A23FB4">
        <w:rPr>
          <w:rFonts w:asciiTheme="minorHAnsi" w:hAnsiTheme="minorHAnsi"/>
        </w:rPr>
        <w:t>3. SPRZĘT</w:t>
      </w:r>
      <w:bookmarkEnd w:id="89"/>
    </w:p>
    <w:p w14:paraId="79828F23" w14:textId="77777777" w:rsidR="00C9677E" w:rsidRPr="00A23FB4" w:rsidRDefault="00C9677E" w:rsidP="00C9677E">
      <w:pPr>
        <w:pStyle w:val="Nagwek4"/>
        <w:rPr>
          <w:rFonts w:asciiTheme="minorHAnsi" w:hAnsiTheme="minorHAnsi"/>
        </w:rPr>
      </w:pPr>
      <w:r w:rsidRPr="00A23FB4">
        <w:rPr>
          <w:rFonts w:asciiTheme="minorHAnsi" w:hAnsiTheme="minorHAnsi"/>
        </w:rPr>
        <w:t>3.1. Ogólne wymagania dotyczące sprzętu</w:t>
      </w:r>
    </w:p>
    <w:p w14:paraId="20BA3358" w14:textId="404162AB" w:rsidR="00C9677E" w:rsidRPr="00A23FB4" w:rsidRDefault="00C9677E" w:rsidP="00C9677E">
      <w:pPr>
        <w:rPr>
          <w:rFonts w:asciiTheme="minorHAnsi" w:hAnsiTheme="minorHAnsi" w:cstheme="minorHAnsi"/>
        </w:rPr>
      </w:pPr>
      <w:r w:rsidRPr="00A23FB4">
        <w:rPr>
          <w:rFonts w:asciiTheme="minorHAnsi" w:hAnsiTheme="minorHAnsi" w:cstheme="minorHAnsi"/>
        </w:rPr>
        <w:t xml:space="preserve">Ogólne wymagania dotyczące sprzętu podano w </w:t>
      </w:r>
      <w:r w:rsidR="002B1C7B">
        <w:rPr>
          <w:rFonts w:asciiTheme="minorHAnsi" w:hAnsiTheme="minorHAnsi" w:cstheme="minorHAnsi"/>
        </w:rPr>
        <w:t>ST</w:t>
      </w:r>
      <w:r w:rsidRPr="00A23FB4">
        <w:rPr>
          <w:rFonts w:asciiTheme="minorHAnsi" w:hAnsiTheme="minorHAnsi" w:cstheme="minorHAnsi"/>
        </w:rPr>
        <w:t>WiORB D-M-00.00.00 „Wymagania ogólne” pkt 3.</w:t>
      </w:r>
    </w:p>
    <w:p w14:paraId="225073BD" w14:textId="77777777" w:rsidR="00C9677E" w:rsidRPr="00A23FB4" w:rsidRDefault="00C9677E" w:rsidP="00C9677E">
      <w:pPr>
        <w:pStyle w:val="Nagwek4"/>
        <w:rPr>
          <w:rFonts w:asciiTheme="minorHAnsi" w:hAnsiTheme="minorHAnsi"/>
        </w:rPr>
      </w:pPr>
      <w:r w:rsidRPr="00A23FB4">
        <w:rPr>
          <w:rFonts w:asciiTheme="minorHAnsi" w:hAnsiTheme="minorHAnsi"/>
        </w:rPr>
        <w:t>3.2. Sprzęt do robót ziemnych przygotowawczych i wykończeniowych</w:t>
      </w:r>
    </w:p>
    <w:p w14:paraId="0374D90E"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W zależności od potrzeb, Wykonawca zapewni następujący sprzęt do wykonania robót ziemnych i wykończeniowych:</w:t>
      </w:r>
    </w:p>
    <w:p w14:paraId="3E1E10F9" w14:textId="77777777" w:rsidR="00B0480C" w:rsidRDefault="00C9677E" w:rsidP="00262498">
      <w:pPr>
        <w:pStyle w:val="Akapitzlist"/>
        <w:numPr>
          <w:ilvl w:val="0"/>
          <w:numId w:val="273"/>
        </w:numPr>
        <w:rPr>
          <w:rFonts w:asciiTheme="minorHAnsi" w:hAnsiTheme="minorHAnsi" w:cstheme="minorHAnsi"/>
        </w:rPr>
      </w:pPr>
      <w:r w:rsidRPr="00B0480C">
        <w:rPr>
          <w:rFonts w:asciiTheme="minorHAnsi" w:hAnsiTheme="minorHAnsi" w:cstheme="minorHAnsi"/>
        </w:rPr>
        <w:t>piłę do cięcia asfaltu i betonu,</w:t>
      </w:r>
    </w:p>
    <w:p w14:paraId="18D9AE6E" w14:textId="77777777" w:rsidR="00B0480C" w:rsidRDefault="00C9677E" w:rsidP="00262498">
      <w:pPr>
        <w:pStyle w:val="Akapitzlist"/>
        <w:numPr>
          <w:ilvl w:val="0"/>
          <w:numId w:val="273"/>
        </w:numPr>
        <w:rPr>
          <w:rFonts w:asciiTheme="minorHAnsi" w:hAnsiTheme="minorHAnsi" w:cstheme="minorHAnsi"/>
        </w:rPr>
      </w:pPr>
      <w:r w:rsidRPr="00B0480C">
        <w:rPr>
          <w:rFonts w:asciiTheme="minorHAnsi" w:hAnsiTheme="minorHAnsi" w:cstheme="minorHAnsi"/>
        </w:rPr>
        <w:t>piłę motorową łańcuchową 4,2 KM,</w:t>
      </w:r>
    </w:p>
    <w:p w14:paraId="57348274" w14:textId="77777777" w:rsidR="00B0480C" w:rsidRDefault="00C9677E" w:rsidP="00262498">
      <w:pPr>
        <w:pStyle w:val="Akapitzlist"/>
        <w:numPr>
          <w:ilvl w:val="0"/>
          <w:numId w:val="273"/>
        </w:numPr>
        <w:rPr>
          <w:rFonts w:asciiTheme="minorHAnsi" w:hAnsiTheme="minorHAnsi" w:cstheme="minorHAnsi"/>
        </w:rPr>
      </w:pPr>
      <w:r w:rsidRPr="00B0480C">
        <w:rPr>
          <w:rFonts w:asciiTheme="minorHAnsi" w:hAnsiTheme="minorHAnsi" w:cstheme="minorHAnsi"/>
        </w:rPr>
        <w:t>żuraw budowlany samochodowy o nośności do 10 ton,</w:t>
      </w:r>
    </w:p>
    <w:p w14:paraId="16BD7ACA" w14:textId="77777777" w:rsidR="00B0480C" w:rsidRDefault="00C9677E" w:rsidP="00262498">
      <w:pPr>
        <w:pStyle w:val="Akapitzlist"/>
        <w:numPr>
          <w:ilvl w:val="0"/>
          <w:numId w:val="273"/>
        </w:numPr>
        <w:rPr>
          <w:rFonts w:asciiTheme="minorHAnsi" w:hAnsiTheme="minorHAnsi" w:cstheme="minorHAnsi"/>
        </w:rPr>
      </w:pPr>
      <w:r w:rsidRPr="00B0480C">
        <w:rPr>
          <w:rFonts w:asciiTheme="minorHAnsi" w:hAnsiTheme="minorHAnsi" w:cstheme="minorHAnsi"/>
        </w:rPr>
        <w:t>koparkę podsiębierną 0,25 m</w:t>
      </w:r>
      <w:r w:rsidRPr="00B0480C">
        <w:rPr>
          <w:rFonts w:asciiTheme="minorHAnsi" w:hAnsiTheme="minorHAnsi" w:cstheme="minorHAnsi"/>
          <w:vertAlign w:val="superscript"/>
        </w:rPr>
        <w:t>3</w:t>
      </w:r>
      <w:r w:rsidRPr="00B0480C">
        <w:rPr>
          <w:rFonts w:asciiTheme="minorHAnsi" w:hAnsiTheme="minorHAnsi" w:cstheme="minorHAnsi"/>
        </w:rPr>
        <w:t xml:space="preserve"> do 0,40 m</w:t>
      </w:r>
      <w:r w:rsidRPr="00B0480C">
        <w:rPr>
          <w:rFonts w:asciiTheme="minorHAnsi" w:hAnsiTheme="minorHAnsi" w:cstheme="minorHAnsi"/>
          <w:vertAlign w:val="superscript"/>
        </w:rPr>
        <w:t>3</w:t>
      </w:r>
      <w:r w:rsidRPr="00B0480C">
        <w:rPr>
          <w:rFonts w:asciiTheme="minorHAnsi" w:hAnsiTheme="minorHAnsi" w:cstheme="minorHAnsi"/>
        </w:rPr>
        <w:t>,</w:t>
      </w:r>
    </w:p>
    <w:p w14:paraId="57C29163" w14:textId="77777777" w:rsidR="00B0480C" w:rsidRDefault="00C9677E" w:rsidP="00262498">
      <w:pPr>
        <w:pStyle w:val="Akapitzlist"/>
        <w:numPr>
          <w:ilvl w:val="0"/>
          <w:numId w:val="273"/>
        </w:numPr>
        <w:rPr>
          <w:rFonts w:asciiTheme="minorHAnsi" w:hAnsiTheme="minorHAnsi" w:cstheme="minorHAnsi"/>
        </w:rPr>
      </w:pPr>
      <w:r w:rsidRPr="00B0480C">
        <w:rPr>
          <w:rFonts w:asciiTheme="minorHAnsi" w:hAnsiTheme="minorHAnsi" w:cstheme="minorHAnsi"/>
        </w:rPr>
        <w:t>spycharkę kołową lub gąsiennicową do 100 KM,</w:t>
      </w:r>
    </w:p>
    <w:p w14:paraId="7DE270E3" w14:textId="77777777" w:rsidR="00B0480C" w:rsidRDefault="00C9677E" w:rsidP="00262498">
      <w:pPr>
        <w:pStyle w:val="Akapitzlist"/>
        <w:numPr>
          <w:ilvl w:val="0"/>
          <w:numId w:val="273"/>
        </w:numPr>
        <w:rPr>
          <w:rFonts w:asciiTheme="minorHAnsi" w:hAnsiTheme="minorHAnsi" w:cstheme="minorHAnsi"/>
        </w:rPr>
      </w:pPr>
      <w:r w:rsidRPr="00B0480C">
        <w:rPr>
          <w:rFonts w:asciiTheme="minorHAnsi" w:hAnsiTheme="minorHAnsi" w:cstheme="minorHAnsi"/>
        </w:rPr>
        <w:t>sprzęt do zagęszczania gruntu, a mianowicie: zagęszczarkę wibracyjną, ubijak spalinowy, walec wibracyjny,</w:t>
      </w:r>
    </w:p>
    <w:p w14:paraId="25C69B60" w14:textId="433C5DAC" w:rsidR="00C9677E" w:rsidRPr="00B0480C" w:rsidRDefault="00C9677E" w:rsidP="00262498">
      <w:pPr>
        <w:pStyle w:val="Akapitzlist"/>
        <w:numPr>
          <w:ilvl w:val="0"/>
          <w:numId w:val="273"/>
        </w:numPr>
        <w:rPr>
          <w:rFonts w:asciiTheme="minorHAnsi" w:hAnsiTheme="minorHAnsi" w:cstheme="minorHAnsi"/>
        </w:rPr>
      </w:pPr>
      <w:r w:rsidRPr="00B0480C">
        <w:rPr>
          <w:rFonts w:asciiTheme="minorHAnsi" w:hAnsiTheme="minorHAnsi" w:cstheme="minorHAnsi"/>
        </w:rPr>
        <w:t>specjalistyczny sprzęt do uzupełniania nawierzchni.</w:t>
      </w:r>
    </w:p>
    <w:p w14:paraId="4F4387BE" w14:textId="77777777" w:rsidR="00C9677E" w:rsidRPr="00A23FB4" w:rsidRDefault="00C9677E" w:rsidP="00C9677E">
      <w:pPr>
        <w:pStyle w:val="Nagwek4"/>
        <w:rPr>
          <w:rFonts w:asciiTheme="minorHAnsi" w:hAnsiTheme="minorHAnsi"/>
        </w:rPr>
      </w:pPr>
      <w:r w:rsidRPr="00A23FB4">
        <w:rPr>
          <w:rFonts w:asciiTheme="minorHAnsi" w:hAnsiTheme="minorHAnsi"/>
        </w:rPr>
        <w:t>3.3. Sprzęt do robót montażowych</w:t>
      </w:r>
    </w:p>
    <w:p w14:paraId="6CBB6401"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W zależności od potrzeb i przyjętej technologii robót, Wykonawca zapewni następujący sprzęt montażowy:</w:t>
      </w:r>
    </w:p>
    <w:p w14:paraId="07154718" w14:textId="77777777" w:rsidR="00B0480C" w:rsidRDefault="00C9677E" w:rsidP="00262498">
      <w:pPr>
        <w:pStyle w:val="Akapitzlist"/>
        <w:numPr>
          <w:ilvl w:val="0"/>
          <w:numId w:val="274"/>
        </w:numPr>
        <w:rPr>
          <w:rFonts w:asciiTheme="minorHAnsi" w:hAnsiTheme="minorHAnsi" w:cstheme="minorHAnsi"/>
        </w:rPr>
      </w:pPr>
      <w:r w:rsidRPr="00B0480C">
        <w:rPr>
          <w:rFonts w:asciiTheme="minorHAnsi" w:hAnsiTheme="minorHAnsi" w:cstheme="minorHAnsi"/>
        </w:rPr>
        <w:t>samochód dostawczy do 0,9 t,</w:t>
      </w:r>
    </w:p>
    <w:p w14:paraId="374C3485" w14:textId="77777777" w:rsidR="00B0480C" w:rsidRDefault="00C9677E" w:rsidP="00262498">
      <w:pPr>
        <w:pStyle w:val="Akapitzlist"/>
        <w:numPr>
          <w:ilvl w:val="0"/>
          <w:numId w:val="274"/>
        </w:numPr>
        <w:rPr>
          <w:rFonts w:asciiTheme="minorHAnsi" w:hAnsiTheme="minorHAnsi" w:cstheme="minorHAnsi"/>
        </w:rPr>
      </w:pPr>
      <w:r w:rsidRPr="00B0480C">
        <w:rPr>
          <w:rFonts w:asciiTheme="minorHAnsi" w:hAnsiTheme="minorHAnsi" w:cstheme="minorHAnsi"/>
        </w:rPr>
        <w:t>samochód skrzyniowy do 5 t,</w:t>
      </w:r>
    </w:p>
    <w:p w14:paraId="3ACA5A61" w14:textId="77777777" w:rsidR="00B0480C" w:rsidRDefault="00C9677E" w:rsidP="00262498">
      <w:pPr>
        <w:pStyle w:val="Akapitzlist"/>
        <w:numPr>
          <w:ilvl w:val="0"/>
          <w:numId w:val="274"/>
        </w:numPr>
        <w:rPr>
          <w:rFonts w:asciiTheme="minorHAnsi" w:hAnsiTheme="minorHAnsi" w:cstheme="minorHAnsi"/>
        </w:rPr>
      </w:pPr>
      <w:r w:rsidRPr="00B0480C">
        <w:rPr>
          <w:rFonts w:asciiTheme="minorHAnsi" w:hAnsiTheme="minorHAnsi" w:cstheme="minorHAnsi"/>
        </w:rPr>
        <w:t>samochód skrzyniowy od 5 do 10 t,</w:t>
      </w:r>
    </w:p>
    <w:p w14:paraId="4A560AF7" w14:textId="77777777" w:rsidR="00B0480C" w:rsidRDefault="00C9677E" w:rsidP="00262498">
      <w:pPr>
        <w:pStyle w:val="Akapitzlist"/>
        <w:numPr>
          <w:ilvl w:val="0"/>
          <w:numId w:val="274"/>
        </w:numPr>
        <w:rPr>
          <w:rFonts w:asciiTheme="minorHAnsi" w:hAnsiTheme="minorHAnsi" w:cstheme="minorHAnsi"/>
        </w:rPr>
      </w:pPr>
      <w:r w:rsidRPr="00B0480C">
        <w:rPr>
          <w:rFonts w:asciiTheme="minorHAnsi" w:hAnsiTheme="minorHAnsi" w:cstheme="minorHAnsi"/>
        </w:rPr>
        <w:t>samochód samowyładowczy od 25 do 30 t,</w:t>
      </w:r>
    </w:p>
    <w:p w14:paraId="0768B76E" w14:textId="77777777" w:rsidR="00B0480C" w:rsidRDefault="00C9677E" w:rsidP="00262498">
      <w:pPr>
        <w:pStyle w:val="Akapitzlist"/>
        <w:numPr>
          <w:ilvl w:val="0"/>
          <w:numId w:val="274"/>
        </w:numPr>
        <w:rPr>
          <w:rFonts w:asciiTheme="minorHAnsi" w:hAnsiTheme="minorHAnsi" w:cstheme="minorHAnsi"/>
        </w:rPr>
      </w:pPr>
      <w:r w:rsidRPr="00B0480C">
        <w:rPr>
          <w:rFonts w:asciiTheme="minorHAnsi" w:hAnsiTheme="minorHAnsi" w:cstheme="minorHAnsi"/>
        </w:rPr>
        <w:t>samochód beczkowóz 4 t,</w:t>
      </w:r>
    </w:p>
    <w:p w14:paraId="29A54D11" w14:textId="77777777" w:rsidR="00B0480C" w:rsidRDefault="00C9677E" w:rsidP="00262498">
      <w:pPr>
        <w:pStyle w:val="Akapitzlist"/>
        <w:numPr>
          <w:ilvl w:val="0"/>
          <w:numId w:val="274"/>
        </w:numPr>
        <w:rPr>
          <w:rFonts w:asciiTheme="minorHAnsi" w:hAnsiTheme="minorHAnsi" w:cstheme="minorHAnsi"/>
        </w:rPr>
      </w:pPr>
      <w:r w:rsidRPr="00B0480C">
        <w:rPr>
          <w:rFonts w:asciiTheme="minorHAnsi" w:hAnsiTheme="minorHAnsi" w:cstheme="minorHAnsi"/>
        </w:rPr>
        <w:t>beczkowóz ciągniony 4000 dm</w:t>
      </w:r>
      <w:r w:rsidRPr="00B0480C">
        <w:rPr>
          <w:rFonts w:asciiTheme="minorHAnsi" w:hAnsiTheme="minorHAnsi" w:cstheme="minorHAnsi"/>
          <w:vertAlign w:val="superscript"/>
        </w:rPr>
        <w:t>3</w:t>
      </w:r>
      <w:r w:rsidRPr="00B0480C">
        <w:rPr>
          <w:rFonts w:asciiTheme="minorHAnsi" w:hAnsiTheme="minorHAnsi" w:cstheme="minorHAnsi"/>
        </w:rPr>
        <w:t>,</w:t>
      </w:r>
    </w:p>
    <w:p w14:paraId="4E80EF37" w14:textId="77777777" w:rsidR="00B0480C" w:rsidRDefault="00C9677E" w:rsidP="00262498">
      <w:pPr>
        <w:pStyle w:val="Akapitzlist"/>
        <w:numPr>
          <w:ilvl w:val="0"/>
          <w:numId w:val="274"/>
        </w:numPr>
        <w:rPr>
          <w:rFonts w:asciiTheme="minorHAnsi" w:hAnsiTheme="minorHAnsi" w:cstheme="minorHAnsi"/>
        </w:rPr>
      </w:pPr>
      <w:r w:rsidRPr="00B0480C">
        <w:rPr>
          <w:rFonts w:asciiTheme="minorHAnsi" w:hAnsiTheme="minorHAnsi" w:cstheme="minorHAnsi"/>
        </w:rPr>
        <w:t>przyczepę dłużycową do 10 t,</w:t>
      </w:r>
    </w:p>
    <w:p w14:paraId="0734C4A0" w14:textId="77777777" w:rsidR="00B0480C" w:rsidRDefault="00C9677E" w:rsidP="00262498">
      <w:pPr>
        <w:pStyle w:val="Akapitzlist"/>
        <w:numPr>
          <w:ilvl w:val="0"/>
          <w:numId w:val="274"/>
        </w:numPr>
        <w:rPr>
          <w:rFonts w:asciiTheme="minorHAnsi" w:hAnsiTheme="minorHAnsi" w:cstheme="minorHAnsi"/>
        </w:rPr>
      </w:pPr>
      <w:r w:rsidRPr="00B0480C">
        <w:rPr>
          <w:rFonts w:asciiTheme="minorHAnsi" w:hAnsiTheme="minorHAnsi" w:cstheme="minorHAnsi"/>
        </w:rPr>
        <w:t>żurawie samochodowe do 4 t, od 5 do 6 t, od 7 do 10 t,</w:t>
      </w:r>
    </w:p>
    <w:p w14:paraId="52EC5E81" w14:textId="77777777" w:rsidR="00B0480C" w:rsidRDefault="00C9677E" w:rsidP="00262498">
      <w:pPr>
        <w:pStyle w:val="Akapitzlist"/>
        <w:numPr>
          <w:ilvl w:val="0"/>
          <w:numId w:val="274"/>
        </w:numPr>
        <w:rPr>
          <w:rFonts w:asciiTheme="minorHAnsi" w:hAnsiTheme="minorHAnsi" w:cstheme="minorHAnsi"/>
        </w:rPr>
      </w:pPr>
      <w:r w:rsidRPr="00B0480C">
        <w:rPr>
          <w:rFonts w:asciiTheme="minorHAnsi" w:hAnsiTheme="minorHAnsi" w:cstheme="minorHAnsi"/>
        </w:rPr>
        <w:t>żurawie samojezdne kołowe do 5 t, od 7 do 10 t,</w:t>
      </w:r>
    </w:p>
    <w:p w14:paraId="6C5639D6" w14:textId="77777777" w:rsidR="00B0480C" w:rsidRDefault="00C9677E" w:rsidP="00262498">
      <w:pPr>
        <w:pStyle w:val="Akapitzlist"/>
        <w:numPr>
          <w:ilvl w:val="0"/>
          <w:numId w:val="274"/>
        </w:numPr>
        <w:rPr>
          <w:rFonts w:asciiTheme="minorHAnsi" w:hAnsiTheme="minorHAnsi" w:cstheme="minorHAnsi"/>
        </w:rPr>
      </w:pPr>
      <w:r w:rsidRPr="00B0480C">
        <w:rPr>
          <w:rFonts w:asciiTheme="minorHAnsi" w:hAnsiTheme="minorHAnsi" w:cstheme="minorHAnsi"/>
        </w:rPr>
        <w:t>wciągarkę ręczną od 3 do 5 t,</w:t>
      </w:r>
    </w:p>
    <w:p w14:paraId="7A4716FB" w14:textId="77777777" w:rsidR="00B0480C" w:rsidRDefault="00C9677E" w:rsidP="00262498">
      <w:pPr>
        <w:pStyle w:val="Akapitzlist"/>
        <w:numPr>
          <w:ilvl w:val="0"/>
          <w:numId w:val="274"/>
        </w:numPr>
        <w:rPr>
          <w:rFonts w:asciiTheme="minorHAnsi" w:hAnsiTheme="minorHAnsi" w:cstheme="minorHAnsi"/>
        </w:rPr>
      </w:pPr>
      <w:r w:rsidRPr="00B0480C">
        <w:rPr>
          <w:rFonts w:asciiTheme="minorHAnsi" w:hAnsiTheme="minorHAnsi" w:cstheme="minorHAnsi"/>
        </w:rPr>
        <w:t>wciągarkę mechaniczną z napędem elektrycznym do 1,6 t, od 3,2 do 5 t,</w:t>
      </w:r>
    </w:p>
    <w:p w14:paraId="2516AABE" w14:textId="77777777" w:rsidR="00B0480C" w:rsidRDefault="00C9677E" w:rsidP="00262498">
      <w:pPr>
        <w:pStyle w:val="Akapitzlist"/>
        <w:numPr>
          <w:ilvl w:val="0"/>
          <w:numId w:val="274"/>
        </w:numPr>
        <w:rPr>
          <w:rFonts w:asciiTheme="minorHAnsi" w:hAnsiTheme="minorHAnsi" w:cstheme="minorHAnsi"/>
        </w:rPr>
      </w:pPr>
      <w:r w:rsidRPr="00B0480C">
        <w:rPr>
          <w:rFonts w:asciiTheme="minorHAnsi" w:hAnsiTheme="minorHAnsi" w:cstheme="minorHAnsi"/>
        </w:rPr>
        <w:t>wyciąg wolnostojący z napędem spalinowym 0,5 t,</w:t>
      </w:r>
    </w:p>
    <w:p w14:paraId="27F40D68" w14:textId="77777777" w:rsidR="00B0480C" w:rsidRDefault="00C9677E" w:rsidP="00262498">
      <w:pPr>
        <w:pStyle w:val="Akapitzlist"/>
        <w:numPr>
          <w:ilvl w:val="0"/>
          <w:numId w:val="274"/>
        </w:numPr>
        <w:rPr>
          <w:rFonts w:asciiTheme="minorHAnsi" w:hAnsiTheme="minorHAnsi" w:cstheme="minorHAnsi"/>
        </w:rPr>
      </w:pPr>
      <w:r w:rsidRPr="00B0480C">
        <w:rPr>
          <w:rFonts w:asciiTheme="minorHAnsi" w:hAnsiTheme="minorHAnsi" w:cstheme="minorHAnsi"/>
        </w:rPr>
        <w:t>spawarkę elektryczną wirującą 300 A,</w:t>
      </w:r>
    </w:p>
    <w:p w14:paraId="20BCD806" w14:textId="77777777" w:rsidR="00B0480C" w:rsidRDefault="00C9677E" w:rsidP="00262498">
      <w:pPr>
        <w:pStyle w:val="Akapitzlist"/>
        <w:numPr>
          <w:ilvl w:val="0"/>
          <w:numId w:val="274"/>
        </w:numPr>
        <w:rPr>
          <w:rFonts w:asciiTheme="minorHAnsi" w:hAnsiTheme="minorHAnsi" w:cstheme="minorHAnsi"/>
        </w:rPr>
      </w:pPr>
      <w:r w:rsidRPr="00B0480C">
        <w:rPr>
          <w:rFonts w:asciiTheme="minorHAnsi" w:hAnsiTheme="minorHAnsi" w:cstheme="minorHAnsi"/>
        </w:rPr>
        <w:t>zespół prądotwórczy trójfazowy przewoźny 20 KVA,</w:t>
      </w:r>
    </w:p>
    <w:p w14:paraId="6F503D4E" w14:textId="77777777" w:rsidR="00B0480C" w:rsidRDefault="00C9677E" w:rsidP="00262498">
      <w:pPr>
        <w:pStyle w:val="Akapitzlist"/>
        <w:numPr>
          <w:ilvl w:val="0"/>
          <w:numId w:val="274"/>
        </w:numPr>
        <w:rPr>
          <w:rFonts w:asciiTheme="minorHAnsi" w:hAnsiTheme="minorHAnsi" w:cstheme="minorHAnsi"/>
        </w:rPr>
      </w:pPr>
      <w:r w:rsidRPr="00B0480C">
        <w:rPr>
          <w:rFonts w:asciiTheme="minorHAnsi" w:hAnsiTheme="minorHAnsi" w:cstheme="minorHAnsi"/>
        </w:rPr>
        <w:t>kocioł do gotowania lepiku od 50 do 100 dm</w:t>
      </w:r>
      <w:r w:rsidRPr="00B0480C">
        <w:rPr>
          <w:rFonts w:asciiTheme="minorHAnsi" w:hAnsiTheme="minorHAnsi" w:cstheme="minorHAnsi"/>
          <w:vertAlign w:val="superscript"/>
        </w:rPr>
        <w:t>3</w:t>
      </w:r>
      <w:r w:rsidRPr="00B0480C">
        <w:rPr>
          <w:rFonts w:asciiTheme="minorHAnsi" w:hAnsiTheme="minorHAnsi" w:cstheme="minorHAnsi"/>
        </w:rPr>
        <w:t>,</w:t>
      </w:r>
    </w:p>
    <w:p w14:paraId="49CA8EDC" w14:textId="77777777" w:rsidR="00B0480C" w:rsidRDefault="00C9677E" w:rsidP="00262498">
      <w:pPr>
        <w:pStyle w:val="Akapitzlist"/>
        <w:numPr>
          <w:ilvl w:val="0"/>
          <w:numId w:val="274"/>
        </w:numPr>
        <w:rPr>
          <w:rFonts w:asciiTheme="minorHAnsi" w:hAnsiTheme="minorHAnsi" w:cstheme="minorHAnsi"/>
        </w:rPr>
      </w:pPr>
      <w:r w:rsidRPr="00B0480C">
        <w:rPr>
          <w:rFonts w:asciiTheme="minorHAnsi" w:hAnsiTheme="minorHAnsi" w:cstheme="minorHAnsi"/>
        </w:rPr>
        <w:t>pojemnik do betonu do 0,75 dm</w:t>
      </w:r>
      <w:r w:rsidRPr="00B0480C">
        <w:rPr>
          <w:rFonts w:asciiTheme="minorHAnsi" w:hAnsiTheme="minorHAnsi" w:cstheme="minorHAnsi"/>
          <w:vertAlign w:val="superscript"/>
        </w:rPr>
        <w:t>3</w:t>
      </w:r>
      <w:r w:rsidRPr="00B0480C">
        <w:rPr>
          <w:rFonts w:asciiTheme="minorHAnsi" w:hAnsiTheme="minorHAnsi" w:cstheme="minorHAnsi"/>
        </w:rPr>
        <w:t>,</w:t>
      </w:r>
    </w:p>
    <w:p w14:paraId="10A8EA96" w14:textId="77777777" w:rsidR="00B0480C" w:rsidRDefault="00C9677E" w:rsidP="00262498">
      <w:pPr>
        <w:pStyle w:val="Akapitzlist"/>
        <w:numPr>
          <w:ilvl w:val="0"/>
          <w:numId w:val="274"/>
        </w:numPr>
        <w:rPr>
          <w:rFonts w:asciiTheme="minorHAnsi" w:hAnsiTheme="minorHAnsi" w:cstheme="minorHAnsi"/>
        </w:rPr>
      </w:pPr>
      <w:r w:rsidRPr="00B0480C">
        <w:rPr>
          <w:rFonts w:asciiTheme="minorHAnsi" w:hAnsiTheme="minorHAnsi" w:cstheme="minorHAnsi"/>
        </w:rPr>
        <w:t>giętarkę do prętów mechaniczna,</w:t>
      </w:r>
    </w:p>
    <w:p w14:paraId="34422885" w14:textId="5E6981E4" w:rsidR="00C9677E" w:rsidRPr="00B0480C" w:rsidRDefault="00C9677E" w:rsidP="00262498">
      <w:pPr>
        <w:pStyle w:val="Akapitzlist"/>
        <w:numPr>
          <w:ilvl w:val="0"/>
          <w:numId w:val="274"/>
        </w:numPr>
        <w:rPr>
          <w:rFonts w:asciiTheme="minorHAnsi" w:hAnsiTheme="minorHAnsi" w:cstheme="minorHAnsi"/>
        </w:rPr>
      </w:pPr>
      <w:r w:rsidRPr="00B0480C">
        <w:rPr>
          <w:rFonts w:asciiTheme="minorHAnsi" w:hAnsiTheme="minorHAnsi" w:cstheme="minorHAnsi"/>
        </w:rPr>
        <w:t>nożyce do prętów mechaniczne elektryczne.</w:t>
      </w:r>
    </w:p>
    <w:p w14:paraId="6919577F"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Sprzęt montażowy i środki transportu muszą być w pełni sprawne i dostosowane do technologii i warunków wykonywanych robót oraz wymogów wynikających z racjonalnego ich wykorzystania na budowie.</w:t>
      </w:r>
    </w:p>
    <w:p w14:paraId="0C3E9388" w14:textId="77777777" w:rsidR="00C9677E" w:rsidRPr="00A23FB4" w:rsidRDefault="00C9677E" w:rsidP="00C9677E">
      <w:pPr>
        <w:pStyle w:val="Nagwek3"/>
        <w:rPr>
          <w:rFonts w:asciiTheme="minorHAnsi" w:hAnsiTheme="minorHAnsi"/>
        </w:rPr>
      </w:pPr>
      <w:bookmarkStart w:id="90" w:name="_Toc468000825"/>
      <w:r w:rsidRPr="00A23FB4">
        <w:rPr>
          <w:rFonts w:asciiTheme="minorHAnsi" w:hAnsiTheme="minorHAnsi"/>
        </w:rPr>
        <w:t>4. TRANSPORT</w:t>
      </w:r>
      <w:bookmarkEnd w:id="90"/>
    </w:p>
    <w:p w14:paraId="57AE8D90" w14:textId="77777777" w:rsidR="00C9677E" w:rsidRPr="00A23FB4" w:rsidRDefault="00C9677E" w:rsidP="00C9677E">
      <w:pPr>
        <w:pStyle w:val="Nagwek4"/>
        <w:rPr>
          <w:rFonts w:asciiTheme="minorHAnsi" w:hAnsiTheme="minorHAnsi"/>
        </w:rPr>
      </w:pPr>
      <w:r w:rsidRPr="00A23FB4">
        <w:rPr>
          <w:rFonts w:asciiTheme="minorHAnsi" w:hAnsiTheme="minorHAnsi"/>
        </w:rPr>
        <w:t>4.1. Ogólne wymagania dotyczące transportu</w:t>
      </w:r>
    </w:p>
    <w:p w14:paraId="5E79C040" w14:textId="79BA1267" w:rsidR="00C9677E" w:rsidRPr="00A23FB4" w:rsidRDefault="00C9677E" w:rsidP="00C9677E">
      <w:pPr>
        <w:rPr>
          <w:rFonts w:asciiTheme="minorHAnsi" w:hAnsiTheme="minorHAnsi" w:cstheme="minorHAnsi"/>
        </w:rPr>
      </w:pPr>
      <w:r w:rsidRPr="00A23FB4">
        <w:rPr>
          <w:rFonts w:asciiTheme="minorHAnsi" w:hAnsiTheme="minorHAnsi" w:cstheme="minorHAnsi"/>
        </w:rPr>
        <w:t xml:space="preserve">Ogólne wymagania dotyczące transportu podano w </w:t>
      </w:r>
      <w:r w:rsidR="002B1C7B">
        <w:rPr>
          <w:rFonts w:asciiTheme="minorHAnsi" w:hAnsiTheme="minorHAnsi" w:cstheme="minorHAnsi"/>
        </w:rPr>
        <w:t>ST</w:t>
      </w:r>
      <w:r w:rsidRPr="00A23FB4">
        <w:rPr>
          <w:rFonts w:asciiTheme="minorHAnsi" w:hAnsiTheme="minorHAnsi" w:cstheme="minorHAnsi"/>
        </w:rPr>
        <w:t>WiORB D-M-00.00.00 „Wymagania ogólne” pkt 4.</w:t>
      </w:r>
    </w:p>
    <w:p w14:paraId="7FD14983" w14:textId="77777777" w:rsidR="00C9677E" w:rsidRPr="00A23FB4" w:rsidRDefault="00C9677E" w:rsidP="00C9677E">
      <w:pPr>
        <w:pStyle w:val="Nagwek4"/>
        <w:rPr>
          <w:rFonts w:asciiTheme="minorHAnsi" w:hAnsiTheme="minorHAnsi"/>
        </w:rPr>
      </w:pPr>
      <w:r w:rsidRPr="00A23FB4">
        <w:rPr>
          <w:rFonts w:asciiTheme="minorHAnsi" w:hAnsiTheme="minorHAnsi"/>
        </w:rPr>
        <w:t>4.2. Transport rur przewodowych i ochronnych</w:t>
      </w:r>
    </w:p>
    <w:p w14:paraId="1AFE26DF"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Rury można przewozić dowolnymi środkami transportu wyłącznie w położeniu poziomym.</w:t>
      </w:r>
    </w:p>
    <w:p w14:paraId="2325EB4A"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Rury powinny być ładowane obok siebie na całej powierzchni i zabezpieczone przed przesuwaniem się przez podklinowanie lub inny sposób.</w:t>
      </w:r>
    </w:p>
    <w:p w14:paraId="00C04B28"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Rury w czasie transportu nie powinny stykać się z ostrymi przedmiotami, mogącymi spowodować uszkodzenia mechaniczne.</w:t>
      </w:r>
    </w:p>
    <w:p w14:paraId="6C0FE5C4"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W przypadku przewożenia rur transportem kolejowym, należy przestrzegać przepisy o ładowaniu i wyładowywaniu wagonów towarowych w komunikacji wewnętrznej (załącznik nr 10 DKP) oraz ładować do granic wykorzystania wagonu.</w:t>
      </w:r>
    </w:p>
    <w:p w14:paraId="38EE7ECD"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Podczas prac przeładunkowych rur nie należy rzucać, a szczególną ostrożność należy zachować przy przeładunku rur z tworzyw sztucznych w temperaturze blisko 0</w:t>
      </w:r>
      <w:r w:rsidRPr="00A23FB4">
        <w:rPr>
          <w:rFonts w:asciiTheme="minorHAnsi" w:hAnsiTheme="minorHAnsi" w:cstheme="minorHAnsi"/>
          <w:vertAlign w:val="superscript"/>
        </w:rPr>
        <w:t>o</w:t>
      </w:r>
      <w:r w:rsidRPr="00A23FB4">
        <w:rPr>
          <w:rFonts w:asciiTheme="minorHAnsi" w:hAnsiTheme="minorHAnsi" w:cstheme="minorHAnsi"/>
        </w:rPr>
        <w:t>C i niższej.</w:t>
      </w:r>
    </w:p>
    <w:p w14:paraId="30834163"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Przy wielowarstwowym układaniu rur górna warstwa nie  może przewyższać ścian środka transportu o więcej niż 1/3 średnicy zewnętrznej wyrobu. Pierwszą warstwę rur kielichowych i kołnierzowych należy układać na podkładach drewnianych, podobnie poszczególne warstwy należy przedzielać elementami drewnianymi o grubości większej niż wystające części rur.</w:t>
      </w:r>
    </w:p>
    <w:p w14:paraId="36702E4F" w14:textId="77777777" w:rsidR="00C9677E" w:rsidRPr="00A23FB4" w:rsidRDefault="00C9677E" w:rsidP="00C9677E">
      <w:pPr>
        <w:pStyle w:val="Nagwek4"/>
        <w:rPr>
          <w:rFonts w:asciiTheme="minorHAnsi" w:hAnsiTheme="minorHAnsi"/>
        </w:rPr>
      </w:pPr>
      <w:r w:rsidRPr="00A23FB4">
        <w:rPr>
          <w:rFonts w:asciiTheme="minorHAnsi" w:hAnsiTheme="minorHAnsi"/>
        </w:rPr>
        <w:t>4.3. Transport armatury przemysłowej</w:t>
      </w:r>
    </w:p>
    <w:p w14:paraId="08AD6126"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Transport armatury powinien odbywać się krytymi środkami transportu, zgodnie z obowiązującymi przepisami transportowymi. Armatura transportowana luzem powinna być zabezpieczona przed przemieszczaniem i uszkodzeniami mechanicznymi.</w:t>
      </w:r>
    </w:p>
    <w:p w14:paraId="7E74971D"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Armatura drobna (</w:t>
      </w:r>
      <w:r w:rsidRPr="00A23FB4">
        <w:rPr>
          <w:rFonts w:asciiTheme="minorHAnsi" w:hAnsiTheme="minorHAnsi" w:cstheme="minorHAnsi"/>
        </w:rPr>
        <w:sym w:font="Symbol" w:char="F0A3"/>
      </w:r>
      <w:r w:rsidRPr="00A23FB4">
        <w:rPr>
          <w:rFonts w:asciiTheme="minorHAnsi" w:hAnsiTheme="minorHAnsi" w:cstheme="minorHAnsi"/>
        </w:rPr>
        <w:t xml:space="preserve"> DN25) powinna być pakowana w skrzynie lub pojemniki.</w:t>
      </w:r>
    </w:p>
    <w:p w14:paraId="59D62919" w14:textId="77777777" w:rsidR="00C9677E" w:rsidRPr="00A23FB4" w:rsidRDefault="00C9677E" w:rsidP="00C9677E">
      <w:pPr>
        <w:pStyle w:val="Nagwek4"/>
        <w:rPr>
          <w:rFonts w:asciiTheme="minorHAnsi" w:hAnsiTheme="minorHAnsi"/>
        </w:rPr>
      </w:pPr>
      <w:r w:rsidRPr="00A23FB4">
        <w:rPr>
          <w:rFonts w:asciiTheme="minorHAnsi" w:hAnsiTheme="minorHAnsi"/>
        </w:rPr>
        <w:t>4.4. Transport włazów kanałowych, stopni i skrzynek ulicznych</w:t>
      </w:r>
    </w:p>
    <w:p w14:paraId="07F37DC6"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Włazy, stopnie i skrzynki mogą być transportowane dowolnymi środkami komunikacyjnymi.</w:t>
      </w:r>
    </w:p>
    <w:p w14:paraId="232CD8AB"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Wykonawca zabezpieczy w czasie transportu elementy przed przemieszczeniem i uszkodzeniem.</w:t>
      </w:r>
    </w:p>
    <w:p w14:paraId="0A80D365"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Włazy typu ciężkiego mogą być przewożone luzem, natomiast typu lekkiego oraz stopnie i skrzynki należy łączyć w jednostki ładunkowe i układać je na paletach.</w:t>
      </w:r>
    </w:p>
    <w:p w14:paraId="0B3A70CF"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Rozmieszczenie jednostek powinno umożliwiać użycie sprzętu mechanicznego do rozładunku.</w:t>
      </w:r>
    </w:p>
    <w:p w14:paraId="5C0661A1" w14:textId="77777777" w:rsidR="00C9677E" w:rsidRPr="00A23FB4" w:rsidRDefault="00C9677E" w:rsidP="00C9677E">
      <w:pPr>
        <w:pStyle w:val="Nagwek4"/>
        <w:rPr>
          <w:rFonts w:asciiTheme="minorHAnsi" w:hAnsiTheme="minorHAnsi"/>
        </w:rPr>
      </w:pPr>
      <w:r w:rsidRPr="00A23FB4">
        <w:rPr>
          <w:rFonts w:asciiTheme="minorHAnsi" w:hAnsiTheme="minorHAnsi"/>
        </w:rPr>
        <w:t>4.5. Transport kręgów</w:t>
      </w:r>
    </w:p>
    <w:p w14:paraId="7BDC52AC"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Transport kręgów powinien odbywać się samochodami w pozycji wbudowania lub prostopadle do pozycji wbudowania.</w:t>
      </w:r>
    </w:p>
    <w:p w14:paraId="4E5C93FC"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Dla zabezpieczenia przed uszkodzeniem przewożonych elementów, Wykonawca dokona ich usztywnienia przez zastosowanie przekładek, rozpór i klinów z drewna, gumy lub innych odpowiednich materiałów.</w:t>
      </w:r>
    </w:p>
    <w:p w14:paraId="50A5FBFE"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Podnoszenie i opuszczanie kręgów 0,8; 1,2 i 1,4 należy wykonywać za pomocą minimum trzech lin zawiesia rozmieszczonych równomiernie na obwodzie prefabrykatu.</w:t>
      </w:r>
    </w:p>
    <w:p w14:paraId="0AC12A20" w14:textId="77777777" w:rsidR="00C9677E" w:rsidRPr="00A23FB4" w:rsidRDefault="00C9677E" w:rsidP="00C9677E">
      <w:pPr>
        <w:pStyle w:val="Nagwek4"/>
        <w:rPr>
          <w:rFonts w:asciiTheme="minorHAnsi" w:hAnsiTheme="minorHAnsi"/>
        </w:rPr>
      </w:pPr>
      <w:r w:rsidRPr="00A23FB4">
        <w:rPr>
          <w:rFonts w:asciiTheme="minorHAnsi" w:hAnsiTheme="minorHAnsi"/>
        </w:rPr>
        <w:t>4.6. Transport cegły kanalizacyjnej</w:t>
      </w:r>
    </w:p>
    <w:p w14:paraId="2F79C1DA"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Cegła kanalizacyjna może być przewożona dowolnymi środkami transportu samochodowego w jednej warstwie.</w:t>
      </w:r>
    </w:p>
    <w:p w14:paraId="6D0E92D2"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Cegły transportowane luzem należy układać na środkach przewozowych ściśle jedne obok drugich, w jednakowej liczbie warstw na powierzchni środka transportu.</w:t>
      </w:r>
    </w:p>
    <w:p w14:paraId="63237F31"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Wysokość ładunku nie powinna przekraczać wysokości burt.</w:t>
      </w:r>
    </w:p>
    <w:p w14:paraId="63D37335"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Cegły luzem mogą być przewożone środkami transportu samochodowego pod warunkiem stosowania opinek.</w:t>
      </w:r>
    </w:p>
    <w:p w14:paraId="41F7B47C"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Załadunek i wyładunek cegły w jednostkach ładunkowych powinien odbywać się mechanicznie, za pomocą urządzeń wyposażonych w osprzęt kleszczowy, widłowy lub chwytakowy.</w:t>
      </w:r>
    </w:p>
    <w:p w14:paraId="56D3D907"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Załadunek i wyładunek wyrobów przewożonych luzem powinien odbywać się ręcznie przy użyciu przyrządów pomocniczych.</w:t>
      </w:r>
    </w:p>
    <w:p w14:paraId="1839D589" w14:textId="77777777" w:rsidR="00C9677E" w:rsidRPr="00A23FB4" w:rsidRDefault="00C9677E" w:rsidP="00C9677E">
      <w:pPr>
        <w:pStyle w:val="Nagwek4"/>
        <w:rPr>
          <w:rFonts w:asciiTheme="minorHAnsi" w:hAnsiTheme="minorHAnsi"/>
        </w:rPr>
      </w:pPr>
      <w:r w:rsidRPr="00A23FB4">
        <w:rPr>
          <w:rFonts w:asciiTheme="minorHAnsi" w:hAnsiTheme="minorHAnsi"/>
        </w:rPr>
        <w:t>4.7. Transport bloków oporowych</w:t>
      </w:r>
    </w:p>
    <w:p w14:paraId="7DC1A323"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Transport bloków może odbywać się dowolnymi środkami transportu.</w:t>
      </w:r>
    </w:p>
    <w:p w14:paraId="089C62AA"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Bloki mogą być układane w pozycji pionowej lub poziomej tak, aby przy równomiernym rozłożeniu ładunku wykorzystana była nośność środka transportu.</w:t>
      </w:r>
    </w:p>
    <w:p w14:paraId="7281CB6D"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Ładunek powinien być zabezpieczony przed możliwością przesuwu w czasie jazdy przez maksymalne wyeliminowanie luzów i wypełnienie pozostałych szczelin (między ładunkiem a burtami pojazdu) materiałem odpadowym (np. stare opony, kawałki drewna itp.).</w:t>
      </w:r>
    </w:p>
    <w:p w14:paraId="78661339" w14:textId="77777777" w:rsidR="00C9677E" w:rsidRPr="00A23FB4" w:rsidRDefault="00C9677E" w:rsidP="00C9677E">
      <w:pPr>
        <w:pStyle w:val="Nagwek4"/>
        <w:rPr>
          <w:rFonts w:asciiTheme="minorHAnsi" w:hAnsiTheme="minorHAnsi"/>
        </w:rPr>
      </w:pPr>
      <w:r w:rsidRPr="00A23FB4">
        <w:rPr>
          <w:rFonts w:asciiTheme="minorHAnsi" w:hAnsiTheme="minorHAnsi"/>
        </w:rPr>
        <w:t>4.8. Transport mieszanki betonowej i zapraw</w:t>
      </w:r>
    </w:p>
    <w:p w14:paraId="7EFC7102"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Do przewozu mieszanki betonowej Wykonawca zapewni takie środki transportu, które nie spowodują:</w:t>
      </w:r>
    </w:p>
    <w:p w14:paraId="0EF11A23" w14:textId="77777777" w:rsidR="00B0480C" w:rsidRDefault="00C9677E" w:rsidP="00262498">
      <w:pPr>
        <w:pStyle w:val="Akapitzlist"/>
        <w:numPr>
          <w:ilvl w:val="0"/>
          <w:numId w:val="275"/>
        </w:numPr>
        <w:rPr>
          <w:rFonts w:asciiTheme="minorHAnsi" w:hAnsiTheme="minorHAnsi" w:cstheme="minorHAnsi"/>
        </w:rPr>
      </w:pPr>
      <w:r w:rsidRPr="00B0480C">
        <w:rPr>
          <w:rFonts w:asciiTheme="minorHAnsi" w:hAnsiTheme="minorHAnsi" w:cstheme="minorHAnsi"/>
        </w:rPr>
        <w:t>segregacji składników,</w:t>
      </w:r>
    </w:p>
    <w:p w14:paraId="0BEFA9B4" w14:textId="77777777" w:rsidR="00B0480C" w:rsidRDefault="00C9677E" w:rsidP="00262498">
      <w:pPr>
        <w:pStyle w:val="Akapitzlist"/>
        <w:numPr>
          <w:ilvl w:val="0"/>
          <w:numId w:val="275"/>
        </w:numPr>
        <w:rPr>
          <w:rFonts w:asciiTheme="minorHAnsi" w:hAnsiTheme="minorHAnsi" w:cstheme="minorHAnsi"/>
        </w:rPr>
      </w:pPr>
      <w:r w:rsidRPr="00B0480C">
        <w:rPr>
          <w:rFonts w:asciiTheme="minorHAnsi" w:hAnsiTheme="minorHAnsi" w:cstheme="minorHAnsi"/>
        </w:rPr>
        <w:t>zmiany składu mieszanki,</w:t>
      </w:r>
    </w:p>
    <w:p w14:paraId="24F3E781" w14:textId="77777777" w:rsidR="00B0480C" w:rsidRDefault="00C9677E" w:rsidP="00262498">
      <w:pPr>
        <w:pStyle w:val="Akapitzlist"/>
        <w:numPr>
          <w:ilvl w:val="0"/>
          <w:numId w:val="275"/>
        </w:numPr>
        <w:rPr>
          <w:rFonts w:asciiTheme="minorHAnsi" w:hAnsiTheme="minorHAnsi" w:cstheme="minorHAnsi"/>
        </w:rPr>
      </w:pPr>
      <w:r w:rsidRPr="00B0480C">
        <w:rPr>
          <w:rFonts w:asciiTheme="minorHAnsi" w:hAnsiTheme="minorHAnsi" w:cstheme="minorHAnsi"/>
        </w:rPr>
        <w:t>zanieczyszczenia mieszanki,</w:t>
      </w:r>
    </w:p>
    <w:p w14:paraId="09EAAE97" w14:textId="7863BA6D" w:rsidR="00C9677E" w:rsidRPr="00B0480C" w:rsidRDefault="00C9677E" w:rsidP="00262498">
      <w:pPr>
        <w:pStyle w:val="Akapitzlist"/>
        <w:numPr>
          <w:ilvl w:val="0"/>
          <w:numId w:val="275"/>
        </w:numPr>
        <w:rPr>
          <w:rFonts w:asciiTheme="minorHAnsi" w:hAnsiTheme="minorHAnsi" w:cstheme="minorHAnsi"/>
        </w:rPr>
      </w:pPr>
      <w:r w:rsidRPr="00B0480C">
        <w:rPr>
          <w:rFonts w:asciiTheme="minorHAnsi" w:hAnsiTheme="minorHAnsi" w:cstheme="minorHAnsi"/>
        </w:rPr>
        <w:t>obniżenia temperatury przekraczającej granicę określoną w wymaganiach technologicznych</w:t>
      </w:r>
    </w:p>
    <w:p w14:paraId="0B388A69"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oraz zapewnią właściwy czas transportu umożliwiający prawidłowe wbudowanie i zagęszczenie mieszanki.</w:t>
      </w:r>
    </w:p>
    <w:p w14:paraId="1322906D" w14:textId="77777777" w:rsidR="00C9677E" w:rsidRPr="00A23FB4" w:rsidRDefault="00C9677E" w:rsidP="00C9677E">
      <w:pPr>
        <w:pStyle w:val="Nagwek4"/>
        <w:rPr>
          <w:rFonts w:asciiTheme="minorHAnsi" w:hAnsiTheme="minorHAnsi"/>
        </w:rPr>
      </w:pPr>
      <w:r w:rsidRPr="00A23FB4">
        <w:rPr>
          <w:rFonts w:asciiTheme="minorHAnsi" w:hAnsiTheme="minorHAnsi"/>
        </w:rPr>
        <w:t>4.9. Transport kruszywa</w:t>
      </w:r>
    </w:p>
    <w:p w14:paraId="300B5481"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Kruszywa użyte na podsypkę mogą być transportowane dowolnymi środkami.</w:t>
      </w:r>
    </w:p>
    <w:p w14:paraId="3DB5A777"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Wykonawca zapewni środki transportowe w ilości gwarantującej ciągłość dostaw materiałów, w miarę postępu robót.</w:t>
      </w:r>
    </w:p>
    <w:p w14:paraId="7CE64875" w14:textId="77777777" w:rsidR="00C9677E" w:rsidRPr="00A23FB4" w:rsidRDefault="00C9677E" w:rsidP="00C9677E">
      <w:pPr>
        <w:pStyle w:val="Nagwek4"/>
        <w:rPr>
          <w:rFonts w:asciiTheme="minorHAnsi" w:hAnsiTheme="minorHAnsi"/>
        </w:rPr>
      </w:pPr>
      <w:r w:rsidRPr="00A23FB4">
        <w:rPr>
          <w:rFonts w:asciiTheme="minorHAnsi" w:hAnsiTheme="minorHAnsi"/>
        </w:rPr>
        <w:t>4.10. Transport  cementu</w:t>
      </w:r>
    </w:p>
    <w:p w14:paraId="2976B49B"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Wykonawca zapewni transport cementu luzem samochodami - cementowozami, natomiast transport cementu w workach samochodami krytymi, chroniącymi cement przed wilgocią.</w:t>
      </w:r>
    </w:p>
    <w:p w14:paraId="49FB5AC7" w14:textId="77777777" w:rsidR="00C9677E" w:rsidRPr="00A23FB4" w:rsidRDefault="00C9677E" w:rsidP="00C9677E">
      <w:pPr>
        <w:pStyle w:val="Nagwek3"/>
        <w:rPr>
          <w:rFonts w:asciiTheme="minorHAnsi" w:hAnsiTheme="minorHAnsi"/>
        </w:rPr>
      </w:pPr>
      <w:bookmarkStart w:id="91" w:name="_Toc468000826"/>
      <w:r w:rsidRPr="00A23FB4">
        <w:rPr>
          <w:rFonts w:asciiTheme="minorHAnsi" w:hAnsiTheme="minorHAnsi"/>
        </w:rPr>
        <w:t>5. WYKONANIE ROBÓT</w:t>
      </w:r>
      <w:bookmarkEnd w:id="91"/>
    </w:p>
    <w:p w14:paraId="4AD64E2C" w14:textId="77777777" w:rsidR="00C9677E" w:rsidRPr="00A23FB4" w:rsidRDefault="00C9677E" w:rsidP="00C9677E">
      <w:pPr>
        <w:pStyle w:val="Nagwek4"/>
        <w:rPr>
          <w:rFonts w:asciiTheme="minorHAnsi" w:hAnsiTheme="minorHAnsi"/>
        </w:rPr>
      </w:pPr>
      <w:r w:rsidRPr="00A23FB4">
        <w:rPr>
          <w:rFonts w:asciiTheme="minorHAnsi" w:hAnsiTheme="minorHAnsi"/>
        </w:rPr>
        <w:t>5.1. Ogólne zasady wykonania robót</w:t>
      </w:r>
    </w:p>
    <w:p w14:paraId="1A81CB93" w14:textId="78B101FE" w:rsidR="00C9677E" w:rsidRPr="00A23FB4" w:rsidRDefault="00C9677E" w:rsidP="00C9677E">
      <w:pPr>
        <w:rPr>
          <w:rFonts w:asciiTheme="minorHAnsi" w:hAnsiTheme="minorHAnsi" w:cstheme="minorHAnsi"/>
        </w:rPr>
      </w:pPr>
      <w:r w:rsidRPr="00A23FB4">
        <w:rPr>
          <w:rFonts w:asciiTheme="minorHAnsi" w:hAnsiTheme="minorHAnsi" w:cstheme="minorHAnsi"/>
        </w:rPr>
        <w:t xml:space="preserve">Ogólne zasady wykonania robót podano w </w:t>
      </w:r>
      <w:r w:rsidR="002B1C7B">
        <w:rPr>
          <w:rFonts w:asciiTheme="minorHAnsi" w:hAnsiTheme="minorHAnsi" w:cstheme="minorHAnsi"/>
        </w:rPr>
        <w:t>ST</w:t>
      </w:r>
      <w:r w:rsidRPr="00A23FB4">
        <w:rPr>
          <w:rFonts w:asciiTheme="minorHAnsi" w:hAnsiTheme="minorHAnsi" w:cstheme="minorHAnsi"/>
        </w:rPr>
        <w:t>WiORB D-M-00.00.00 „Wymagania ogólne” pkt 5.</w:t>
      </w:r>
    </w:p>
    <w:p w14:paraId="006B74DD" w14:textId="77777777" w:rsidR="00C9677E" w:rsidRPr="00A23FB4" w:rsidRDefault="00C9677E" w:rsidP="00C9677E">
      <w:pPr>
        <w:pStyle w:val="Nagwek4"/>
        <w:rPr>
          <w:rFonts w:asciiTheme="minorHAnsi" w:hAnsiTheme="minorHAnsi"/>
        </w:rPr>
      </w:pPr>
      <w:r w:rsidRPr="00A23FB4">
        <w:rPr>
          <w:rFonts w:asciiTheme="minorHAnsi" w:hAnsiTheme="minorHAnsi"/>
        </w:rPr>
        <w:t>5.2. Roboty przygotowawcze</w:t>
      </w:r>
    </w:p>
    <w:p w14:paraId="356EE713"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Przed przystąpieniem do robót Wykonawca dokona ich wytyczenia i trwale oznaczy je w terenie za pomocą kołków osiowych, kołków świadków i kołków krawędziowych.</w:t>
      </w:r>
    </w:p>
    <w:p w14:paraId="7AA3A4DC"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W przypadku niedostatecznej ilości reperów stałych Wykonawca wbuduje repery tymczasowe (z rzędnymi sprawdzanymi przez służby geodezyjne), a szkice sytuacyjne reperów i ich rzędne przekaże Inżynierowi.</w:t>
      </w:r>
    </w:p>
    <w:p w14:paraId="72F872DF"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W celu zabezpieczenia wykopów przed zalaniem wodą pompowaną z wykopów lub z opadów atmosferycznych powinny być zachowane przez Wykonawcę co najmniej następujące warunki:</w:t>
      </w:r>
    </w:p>
    <w:p w14:paraId="405BC508" w14:textId="77777777" w:rsidR="00C9677E" w:rsidRPr="00A23FB4" w:rsidRDefault="00C9677E" w:rsidP="00262498">
      <w:pPr>
        <w:numPr>
          <w:ilvl w:val="0"/>
          <w:numId w:val="153"/>
        </w:numPr>
        <w:rPr>
          <w:rFonts w:asciiTheme="minorHAnsi" w:hAnsiTheme="minorHAnsi" w:cstheme="minorHAnsi"/>
        </w:rPr>
      </w:pPr>
      <w:r w:rsidRPr="00A23FB4">
        <w:rPr>
          <w:rFonts w:asciiTheme="minorHAnsi" w:hAnsiTheme="minorHAnsi" w:cstheme="minorHAnsi"/>
        </w:rPr>
        <w:t>górne krawędzie bali przyściennych powinny wystawać co najmniej 15 cm ponad szczelnie przylegający teren;</w:t>
      </w:r>
    </w:p>
    <w:p w14:paraId="1BA28CAA" w14:textId="77777777" w:rsidR="00C9677E" w:rsidRPr="00A23FB4" w:rsidRDefault="00C9677E" w:rsidP="00262498">
      <w:pPr>
        <w:numPr>
          <w:ilvl w:val="0"/>
          <w:numId w:val="153"/>
        </w:numPr>
        <w:rPr>
          <w:rFonts w:asciiTheme="minorHAnsi" w:hAnsiTheme="minorHAnsi" w:cstheme="minorHAnsi"/>
        </w:rPr>
      </w:pPr>
      <w:r w:rsidRPr="00A23FB4">
        <w:rPr>
          <w:rFonts w:asciiTheme="minorHAnsi" w:hAnsiTheme="minorHAnsi" w:cstheme="minorHAnsi"/>
        </w:rPr>
        <w:t>powierzchnia terenu powinna być wyprofilowana ze spadkiem umożliwiającym łatwy odpływ wody poza teren przylegający do wykopu;</w:t>
      </w:r>
    </w:p>
    <w:p w14:paraId="45FB178B" w14:textId="77777777" w:rsidR="00C9677E" w:rsidRPr="00A23FB4" w:rsidRDefault="00C9677E" w:rsidP="00262498">
      <w:pPr>
        <w:numPr>
          <w:ilvl w:val="0"/>
          <w:numId w:val="153"/>
        </w:numPr>
        <w:rPr>
          <w:rFonts w:asciiTheme="minorHAnsi" w:hAnsiTheme="minorHAnsi" w:cstheme="minorHAnsi"/>
        </w:rPr>
      </w:pPr>
      <w:r w:rsidRPr="00A23FB4">
        <w:rPr>
          <w:rFonts w:asciiTheme="minorHAnsi" w:hAnsiTheme="minorHAnsi" w:cstheme="minorHAnsi"/>
        </w:rPr>
        <w:t>w razie konieczności wykonany zostanie ciąg odprowadzający wodę na bezpieczną odległość.</w:t>
      </w:r>
    </w:p>
    <w:p w14:paraId="4CC31BC4" w14:textId="77777777" w:rsidR="00C9677E" w:rsidRPr="00A23FB4" w:rsidRDefault="00C9677E" w:rsidP="00C9677E">
      <w:pPr>
        <w:pStyle w:val="Nagwek4"/>
        <w:rPr>
          <w:rFonts w:asciiTheme="minorHAnsi" w:hAnsiTheme="minorHAnsi"/>
        </w:rPr>
      </w:pPr>
      <w:r w:rsidRPr="00A23FB4">
        <w:rPr>
          <w:rFonts w:asciiTheme="minorHAnsi" w:hAnsiTheme="minorHAnsi"/>
        </w:rPr>
        <w:t>5.3. Roboty ziemne</w:t>
      </w:r>
    </w:p>
    <w:p w14:paraId="740D1A19"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W przypadku usytuowania wykopu w jezdni Wykonawca dokona rozbiórki nawierzchni i podbudowy, a materiał z rozbiórki odwiezie i złoży w miejscu uzgodnionym z Inżynierem.</w:t>
      </w:r>
    </w:p>
    <w:p w14:paraId="35AF2080"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Wykopy należy wykonać jako otwarte obudowane. Jeżeli materiały obudowy nie są fabrycznie zabezpieczone przed szkodliwym wpływem warunków atmosferycznych, to powinny one być zabezpieczone przez Wykonawcę poprzez zastosowanie odpowiednich środków antykorozyjnych lub impregnacyjnych właściwych dla danego materiału.</w:t>
      </w:r>
    </w:p>
    <w:p w14:paraId="1A7EAC3D"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Metody wykonywania wykopów (ręcznie lub mechanicznie) powinny być dostosowane do głębokości wykopów, danych geotechnicznych oraz posiadanego sprzętu mechanicznego.</w:t>
      </w:r>
    </w:p>
    <w:p w14:paraId="08A25C8E"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Wydobyty grunt z wykopu powinien być wywieziony przez Wykonawcę w miejsce wskazane przez Inżyniera.</w:t>
      </w:r>
    </w:p>
    <w:p w14:paraId="57C5767F"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Wykopy pod przewody powinny być rozpoczynane od najniżej położonego punktu rurociągu przesuwając się stopniowo do góry. Wykonanie obrysu wykopu należy dokonać przez ułożenie przy jego krawędziach bali lub dyli deskowania w ten sposób, aby jednocześnie były ustalone odcinki robocze. Elementy te należy przytwierdzić kołkami lub klamrami.</w:t>
      </w:r>
    </w:p>
    <w:p w14:paraId="4D5FC7D8"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Minimalna szerokość wykopu w świetle ewentualnej obudowy powinna być dostosowana do średnicy przewodu i wynosić 0,8 m plus średnica zewnętrzna przewodu. Deskowanie ścian wykopu należy prowadzić w miarę jego głębienia.</w:t>
      </w:r>
    </w:p>
    <w:p w14:paraId="6E827DE9"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Dno wykopu powinno być równe i wykonane ze spadkiem ustalonym w dokumentacji projektowej, przy czym powinno być ono na poziomie wyższym od rzędnej projektowanej o 0,20 m.</w:t>
      </w:r>
    </w:p>
    <w:p w14:paraId="1F2548AF"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Zdjęcie pozostawionej warstwy (0,20 m) gruntu należy wykonać bezpośrednio przed ułożeniem przewodów. Usunięcie tej warstwy Wykonawca wykona ręcznie lub w sposób uzgodniony z Inżynierem.</w:t>
      </w:r>
    </w:p>
    <w:p w14:paraId="746230EC" w14:textId="77777777" w:rsidR="00C9677E" w:rsidRPr="00A23FB4" w:rsidRDefault="00C9677E" w:rsidP="00C9677E">
      <w:pPr>
        <w:pStyle w:val="Nagwek4"/>
        <w:rPr>
          <w:rFonts w:asciiTheme="minorHAnsi" w:hAnsiTheme="minorHAnsi"/>
        </w:rPr>
      </w:pPr>
      <w:r w:rsidRPr="00A23FB4">
        <w:rPr>
          <w:rFonts w:asciiTheme="minorHAnsi" w:hAnsiTheme="minorHAnsi"/>
        </w:rPr>
        <w:t>5.4. Przygotowanie podłoża</w:t>
      </w:r>
    </w:p>
    <w:p w14:paraId="75FBB548"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Rodzaj podłoża jest zależny od rodzaju gruntu w wykopie.</w:t>
      </w:r>
    </w:p>
    <w:p w14:paraId="54668C8E"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W gruntach suchych piaszczystych, żwirowo-piaszczystych i piaszczysto-gliniastych o wytrzymałości powyżej 0,05 MPa podłożem jest grunt naturalny przy nienaruszonym dnie wykopu, spełniający wymagania normy PN-85/B-10726.</w:t>
      </w:r>
    </w:p>
    <w:p w14:paraId="7D2B1819"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W gruntach spoistych lub skalistych należy wykonać podłoże wzmocnione z warstw pospółki lub żwiru z domieszką piasku grubości od 15 do 20 cm, zgodnie z PN-53/B-06584.</w:t>
      </w:r>
    </w:p>
    <w:p w14:paraId="7948623A"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W gruntach nawodnionych (odwadnianych w trakcie robót) podłoże należy wykonać z warstwy żwiru lub tłucznia z piaskiem grubości od 15 do 20 cm łącznie z ułożonymi sączkami odwadniającymi.</w:t>
      </w:r>
    </w:p>
    <w:p w14:paraId="68ED41AE"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 xml:space="preserve">Dla rur żeliwnych o średnicy powyżej 400 mm na warstwie odwadniającej należy wykonać fundament betonowy zgodnie z dokumentacją projektową lub </w:t>
      </w:r>
      <w:r w:rsidR="00824125" w:rsidRPr="00A23FB4">
        <w:rPr>
          <w:rFonts w:asciiTheme="minorHAnsi" w:hAnsiTheme="minorHAnsi" w:cstheme="minorHAnsi"/>
        </w:rPr>
        <w:t>wytycznymi</w:t>
      </w:r>
      <w:r w:rsidRPr="00A23FB4">
        <w:rPr>
          <w:rFonts w:asciiTheme="minorHAnsi" w:hAnsiTheme="minorHAnsi" w:cstheme="minorHAnsi"/>
        </w:rPr>
        <w:t>.</w:t>
      </w:r>
    </w:p>
    <w:p w14:paraId="70FD9EBA"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W gruntach kurzawkowych oraz w gruntach torfiastych podłoże należy wykonać zgodnie z indywidualną dokumentacją projektową zaakceptowaną przez Inżyniera. Wykonawca dokona zagęszczenia wykonywanego podłoża do I</w:t>
      </w:r>
      <w:r w:rsidRPr="00A23FB4">
        <w:rPr>
          <w:rFonts w:asciiTheme="minorHAnsi" w:hAnsiTheme="minorHAnsi" w:cstheme="minorHAnsi"/>
          <w:vertAlign w:val="subscript"/>
        </w:rPr>
        <w:t>S</w:t>
      </w:r>
      <w:r w:rsidRPr="00A23FB4">
        <w:rPr>
          <w:rFonts w:asciiTheme="minorHAnsi" w:hAnsiTheme="minorHAnsi" w:cstheme="minorHAnsi"/>
        </w:rPr>
        <w:t xml:space="preserve"> nie mniej niż 0,95.</w:t>
      </w:r>
    </w:p>
    <w:p w14:paraId="4CBF42B3" w14:textId="77777777" w:rsidR="00C9677E" w:rsidRPr="00A23FB4" w:rsidRDefault="00C9677E" w:rsidP="00C9677E">
      <w:pPr>
        <w:rPr>
          <w:rFonts w:asciiTheme="minorHAnsi" w:hAnsiTheme="minorHAnsi" w:cstheme="minorHAnsi"/>
        </w:rPr>
      </w:pPr>
    </w:p>
    <w:p w14:paraId="606EB40D" w14:textId="77777777" w:rsidR="00C9677E" w:rsidRPr="00A23FB4" w:rsidRDefault="00C9677E" w:rsidP="00C9677E">
      <w:pPr>
        <w:pStyle w:val="Nagwek4"/>
        <w:rPr>
          <w:rFonts w:asciiTheme="minorHAnsi" w:hAnsiTheme="minorHAnsi"/>
        </w:rPr>
      </w:pPr>
      <w:r w:rsidRPr="00A23FB4">
        <w:rPr>
          <w:rFonts w:asciiTheme="minorHAnsi" w:hAnsiTheme="minorHAnsi"/>
        </w:rPr>
        <w:t>5.5. Roboty montażowe</w:t>
      </w:r>
    </w:p>
    <w:p w14:paraId="11FE4D90" w14:textId="77777777" w:rsidR="00C9677E" w:rsidRPr="00A23FB4" w:rsidRDefault="00C9677E" w:rsidP="00262498">
      <w:pPr>
        <w:numPr>
          <w:ilvl w:val="0"/>
          <w:numId w:val="154"/>
        </w:numPr>
        <w:spacing w:after="120"/>
        <w:ind w:left="284" w:hanging="284"/>
        <w:rPr>
          <w:rFonts w:asciiTheme="minorHAnsi" w:hAnsiTheme="minorHAnsi" w:cstheme="minorHAnsi"/>
        </w:rPr>
      </w:pPr>
      <w:r w:rsidRPr="00A23FB4">
        <w:rPr>
          <w:rFonts w:asciiTheme="minorHAnsi" w:hAnsiTheme="minorHAnsi" w:cstheme="minorHAnsi"/>
        </w:rPr>
        <w:t>Warunki ogólne</w:t>
      </w:r>
    </w:p>
    <w:p w14:paraId="63F243EF"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Najmniejsze spadki przewodów powinny zapewnić możliwość spuszczenia wody z rurociągów nie mniej jednak niż 0,1%.</w:t>
      </w:r>
    </w:p>
    <w:p w14:paraId="6025119F"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Głębokość ułożenia przewodów przy nie stosowaniu izolacji cieplnej i środków zabezpieczających podłoże i przewód przed przemarzaniem powinna być taka, aby jego przykrycie (hn) mierzone od wierzchu przewodu do powierzchni projektowanego terenu było większe niż głębokość przemarzania gruntów hz, wg PN-81/B-03020  o 0,4 m dla rur o średnicy poniżej 1000 mm i o 0,2 m dla rur o średnicy 1000 mm oraz powyżej.</w:t>
      </w:r>
    </w:p>
    <w:p w14:paraId="0921ECE3"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I tak przykrycie to powinno odpowiednio wynosić:</w:t>
      </w:r>
    </w:p>
    <w:p w14:paraId="475DA3A0" w14:textId="77777777" w:rsidR="00B0480C" w:rsidRDefault="00C9677E" w:rsidP="00262498">
      <w:pPr>
        <w:pStyle w:val="Akapitzlist"/>
        <w:numPr>
          <w:ilvl w:val="0"/>
          <w:numId w:val="276"/>
        </w:numPr>
        <w:rPr>
          <w:rFonts w:asciiTheme="minorHAnsi" w:hAnsiTheme="minorHAnsi" w:cstheme="minorHAnsi"/>
        </w:rPr>
      </w:pPr>
      <w:r w:rsidRPr="00B0480C">
        <w:rPr>
          <w:rFonts w:asciiTheme="minorHAnsi" w:hAnsiTheme="minorHAnsi" w:cstheme="minorHAnsi"/>
        </w:rPr>
        <w:t>w strefie o hz = 0,8 m, hn = 1,2 m i 1,0 m</w:t>
      </w:r>
    </w:p>
    <w:p w14:paraId="78147E5A" w14:textId="77777777" w:rsidR="00B0480C" w:rsidRDefault="00C9677E" w:rsidP="00262498">
      <w:pPr>
        <w:pStyle w:val="Akapitzlist"/>
        <w:numPr>
          <w:ilvl w:val="0"/>
          <w:numId w:val="276"/>
        </w:numPr>
        <w:rPr>
          <w:rFonts w:asciiTheme="minorHAnsi" w:hAnsiTheme="minorHAnsi" w:cstheme="minorHAnsi"/>
        </w:rPr>
      </w:pPr>
      <w:r w:rsidRPr="00B0480C">
        <w:rPr>
          <w:rFonts w:asciiTheme="minorHAnsi" w:hAnsiTheme="minorHAnsi" w:cstheme="minorHAnsi"/>
        </w:rPr>
        <w:t>w strefie o hz = 1,0 m, hn = 1,4 m i 1,2 m</w:t>
      </w:r>
      <w:r w:rsidRPr="00B0480C">
        <w:rPr>
          <w:rFonts w:asciiTheme="minorHAnsi" w:hAnsiTheme="minorHAnsi" w:cstheme="minorHAnsi"/>
        </w:rPr>
        <w:tab/>
      </w:r>
    </w:p>
    <w:p w14:paraId="657237F7" w14:textId="77777777" w:rsidR="00B0480C" w:rsidRDefault="00C9677E" w:rsidP="00262498">
      <w:pPr>
        <w:pStyle w:val="Akapitzlist"/>
        <w:numPr>
          <w:ilvl w:val="0"/>
          <w:numId w:val="276"/>
        </w:numPr>
        <w:rPr>
          <w:rFonts w:asciiTheme="minorHAnsi" w:hAnsiTheme="minorHAnsi" w:cstheme="minorHAnsi"/>
        </w:rPr>
      </w:pPr>
      <w:r w:rsidRPr="00B0480C">
        <w:rPr>
          <w:rFonts w:asciiTheme="minorHAnsi" w:hAnsiTheme="minorHAnsi" w:cstheme="minorHAnsi"/>
        </w:rPr>
        <w:t>w strefie o hz = 1,2 m, hn = 1,6 m i 1,4 m</w:t>
      </w:r>
    </w:p>
    <w:p w14:paraId="157BE255" w14:textId="672A8661" w:rsidR="00C9677E" w:rsidRPr="00B0480C" w:rsidRDefault="00C9677E" w:rsidP="00262498">
      <w:pPr>
        <w:pStyle w:val="Akapitzlist"/>
        <w:numPr>
          <w:ilvl w:val="0"/>
          <w:numId w:val="276"/>
        </w:numPr>
        <w:rPr>
          <w:rFonts w:asciiTheme="minorHAnsi" w:hAnsiTheme="minorHAnsi" w:cstheme="minorHAnsi"/>
        </w:rPr>
      </w:pPr>
      <w:r w:rsidRPr="00B0480C">
        <w:rPr>
          <w:rFonts w:asciiTheme="minorHAnsi" w:hAnsiTheme="minorHAnsi" w:cstheme="minorHAnsi"/>
        </w:rPr>
        <w:t>w strefie o hz = 1,4 m, hn = 1,8 m i 1,6 m.</w:t>
      </w:r>
    </w:p>
    <w:p w14:paraId="4CA69CA3"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Dławice zasuw powinny być zabezpieczone izolacją cieplną w przypadku, gdy wierzch dławicy znajduje się powyżej dolnej granicy przemarzania w danej strefie.</w:t>
      </w:r>
    </w:p>
    <w:p w14:paraId="2ED4058B"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Odległość osi przewodu w planie od urządzeń podziemnych i naziemnych oraz od ściany budowli powinna być zgodna z dokumentacją.</w:t>
      </w:r>
    </w:p>
    <w:p w14:paraId="16E579DE" w14:textId="77777777" w:rsidR="00C9677E" w:rsidRPr="00A23FB4" w:rsidRDefault="00C9677E" w:rsidP="00262498">
      <w:pPr>
        <w:numPr>
          <w:ilvl w:val="0"/>
          <w:numId w:val="155"/>
        </w:numPr>
        <w:spacing w:before="120" w:after="120"/>
        <w:ind w:left="284" w:hanging="284"/>
        <w:rPr>
          <w:rFonts w:asciiTheme="minorHAnsi" w:hAnsiTheme="minorHAnsi" w:cstheme="minorHAnsi"/>
        </w:rPr>
      </w:pPr>
      <w:r w:rsidRPr="00A23FB4">
        <w:rPr>
          <w:rFonts w:asciiTheme="minorHAnsi" w:hAnsiTheme="minorHAnsi" w:cstheme="minorHAnsi"/>
        </w:rPr>
        <w:t>Wytyczne wykonania przewodów</w:t>
      </w:r>
    </w:p>
    <w:p w14:paraId="7C81015A"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Przewód (rura ochronna) powinien być tak ułożony na podłożu naturalnym, aby opierał się na nim wzdłuż całej długości co najmniej na 1/4 swego obwodu, symetrycznie do swojej osi. Na podłożu wzmocnionym przewód powinien być ułożony zgodnie z dokumentacją projektową.</w:t>
      </w:r>
    </w:p>
    <w:p w14:paraId="7C1DD360"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Poszczególne odcinki rur powinny być unieruchomione przez obsypanie piaskiem pośrodku długości rury i mocno podbite tak, aby rura nie zmieniła położenia do czasu wykonania uszczelnienia złączy.</w:t>
      </w:r>
    </w:p>
    <w:p w14:paraId="1F43097B"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Połączenie rur należy wykonywać w sposób następujący:</w:t>
      </w:r>
    </w:p>
    <w:p w14:paraId="642E43A0" w14:textId="77777777" w:rsidR="00B0480C" w:rsidRDefault="00C9677E" w:rsidP="00262498">
      <w:pPr>
        <w:pStyle w:val="Akapitzlist"/>
        <w:numPr>
          <w:ilvl w:val="0"/>
          <w:numId w:val="277"/>
        </w:numPr>
        <w:rPr>
          <w:rFonts w:asciiTheme="minorHAnsi" w:hAnsiTheme="minorHAnsi" w:cstheme="minorHAnsi"/>
        </w:rPr>
      </w:pPr>
      <w:r w:rsidRPr="00B0480C">
        <w:rPr>
          <w:rFonts w:asciiTheme="minorHAnsi" w:hAnsiTheme="minorHAnsi" w:cstheme="minorHAnsi"/>
        </w:rPr>
        <w:t>rury z tworzyw sztucznych poprzez kielichy przy użyciu uszczelek gumowych lub przez zgrzewanie,</w:t>
      </w:r>
    </w:p>
    <w:p w14:paraId="1235AD47" w14:textId="77777777" w:rsidR="00B0480C" w:rsidRDefault="00C9677E" w:rsidP="00262498">
      <w:pPr>
        <w:pStyle w:val="Akapitzlist"/>
        <w:numPr>
          <w:ilvl w:val="0"/>
          <w:numId w:val="277"/>
        </w:numPr>
        <w:rPr>
          <w:rFonts w:asciiTheme="minorHAnsi" w:hAnsiTheme="minorHAnsi" w:cstheme="minorHAnsi"/>
        </w:rPr>
      </w:pPr>
      <w:r w:rsidRPr="00B0480C">
        <w:rPr>
          <w:rFonts w:asciiTheme="minorHAnsi" w:hAnsiTheme="minorHAnsi" w:cstheme="minorHAnsi"/>
        </w:rPr>
        <w:t>rury stalowe złączami spawanymi,</w:t>
      </w:r>
    </w:p>
    <w:p w14:paraId="64BBF642" w14:textId="417A770B" w:rsidR="00C9677E" w:rsidRPr="00B0480C" w:rsidRDefault="00C9677E" w:rsidP="00262498">
      <w:pPr>
        <w:pStyle w:val="Akapitzlist"/>
        <w:numPr>
          <w:ilvl w:val="0"/>
          <w:numId w:val="277"/>
        </w:numPr>
        <w:rPr>
          <w:rFonts w:asciiTheme="minorHAnsi" w:hAnsiTheme="minorHAnsi" w:cstheme="minorHAnsi"/>
        </w:rPr>
      </w:pPr>
      <w:r w:rsidRPr="00B0480C">
        <w:rPr>
          <w:rFonts w:asciiTheme="minorHAnsi" w:hAnsiTheme="minorHAnsi" w:cstheme="minorHAnsi"/>
        </w:rPr>
        <w:t>rury żeliwne poprzez kielichy lub nasuwki uszczelnione sznurem konopnym surowym i smołowanym oraz folią aluminiową lub ołowiem.</w:t>
      </w:r>
    </w:p>
    <w:p w14:paraId="19E32A48"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Połączenia rur żeliwnych kołnierzowych należy wykonywać złączami uszczelnionymi pierścieniami gumowymi.</w:t>
      </w:r>
    </w:p>
    <w:p w14:paraId="3AD9B9A3"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Do wykonywania zmian kierunków przewodu należy stosować łuki, kolana i trójniki w przypadkach, gdy kąt nachylenia w stopniach przekracza następujące wielkości:</w:t>
      </w:r>
    </w:p>
    <w:p w14:paraId="4DB385DE" w14:textId="77777777" w:rsidR="00C9677E" w:rsidRPr="00A23FB4" w:rsidRDefault="00C9677E" w:rsidP="00262498">
      <w:pPr>
        <w:numPr>
          <w:ilvl w:val="0"/>
          <w:numId w:val="156"/>
        </w:numPr>
        <w:rPr>
          <w:rFonts w:asciiTheme="minorHAnsi" w:hAnsiTheme="minorHAnsi" w:cstheme="minorHAnsi"/>
        </w:rPr>
      </w:pPr>
      <w:r w:rsidRPr="00A23FB4">
        <w:rPr>
          <w:rFonts w:asciiTheme="minorHAnsi" w:hAnsiTheme="minorHAnsi" w:cstheme="minorHAnsi"/>
        </w:rPr>
        <w:t>dla przewodów z tworzyw sztucznych, gdy kąt odchylenia przekracza wielkość dopuszczalnej strzałki ugięcia przewodu podaną w warunkach technicznych wytwórni,</w:t>
      </w:r>
    </w:p>
    <w:p w14:paraId="7B2385D0" w14:textId="77777777" w:rsidR="00C9677E" w:rsidRPr="00A23FB4" w:rsidRDefault="00C9677E" w:rsidP="00262498">
      <w:pPr>
        <w:numPr>
          <w:ilvl w:val="0"/>
          <w:numId w:val="156"/>
        </w:numPr>
        <w:rPr>
          <w:rFonts w:asciiTheme="minorHAnsi" w:hAnsiTheme="minorHAnsi" w:cstheme="minorHAnsi"/>
        </w:rPr>
      </w:pPr>
      <w:r w:rsidRPr="00A23FB4">
        <w:rPr>
          <w:rFonts w:asciiTheme="minorHAnsi" w:hAnsiTheme="minorHAnsi" w:cstheme="minorHAnsi"/>
        </w:rPr>
        <w:t>dla pozostałych przewodów, gdy wielkość zmiany kierunku w pionie lub poziomie na połączeniu rur (złączu kielichowym) przekracza 2</w:t>
      </w:r>
      <w:r w:rsidRPr="00A23FB4">
        <w:rPr>
          <w:rFonts w:asciiTheme="minorHAnsi" w:hAnsiTheme="minorHAnsi" w:cstheme="minorHAnsi"/>
          <w:vertAlign w:val="superscript"/>
        </w:rPr>
        <w:t>o</w:t>
      </w:r>
      <w:r w:rsidRPr="00A23FB4">
        <w:rPr>
          <w:rFonts w:asciiTheme="minorHAnsi" w:hAnsiTheme="minorHAnsi" w:cstheme="minorHAnsi"/>
        </w:rPr>
        <w:t xml:space="preserve"> kąta odchylenia.</w:t>
      </w:r>
    </w:p>
    <w:p w14:paraId="1CD1798C"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Wykonawca jest zobowiązany do układania rur z tworzyw sztucznych w temperaturze od +5 do +30</w:t>
      </w:r>
      <w:r w:rsidRPr="00A23FB4">
        <w:rPr>
          <w:rFonts w:asciiTheme="minorHAnsi" w:hAnsiTheme="minorHAnsi" w:cstheme="minorHAnsi"/>
          <w:vertAlign w:val="superscript"/>
        </w:rPr>
        <w:t>o</w:t>
      </w:r>
      <w:r w:rsidRPr="00A23FB4">
        <w:rPr>
          <w:rFonts w:asciiTheme="minorHAnsi" w:hAnsiTheme="minorHAnsi" w:cstheme="minorHAnsi"/>
        </w:rPr>
        <w:t>C.</w:t>
      </w:r>
    </w:p>
    <w:p w14:paraId="2B30A270"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Zabezpieczenie przewodu przed przemieszczaniem się w planie i pionie na skutek parcia wody powinno być zgodne z dokumentacją, przy czym bloki oporowe lub inne umocnienia należy umieszczać: przy końcówkach, odgałęzieniach, pod zasuwami, hydrantami, a także na zmianach kierunku:</w:t>
      </w:r>
    </w:p>
    <w:p w14:paraId="3248F0C7" w14:textId="77777777" w:rsidR="00B0480C" w:rsidRDefault="00C9677E" w:rsidP="00262498">
      <w:pPr>
        <w:pStyle w:val="Akapitzlist"/>
        <w:numPr>
          <w:ilvl w:val="0"/>
          <w:numId w:val="278"/>
        </w:numPr>
        <w:rPr>
          <w:rFonts w:asciiTheme="minorHAnsi" w:hAnsiTheme="minorHAnsi" w:cstheme="minorHAnsi"/>
        </w:rPr>
      </w:pPr>
      <w:r w:rsidRPr="00B0480C">
        <w:rPr>
          <w:rFonts w:asciiTheme="minorHAnsi" w:hAnsiTheme="minorHAnsi" w:cstheme="minorHAnsi"/>
        </w:rPr>
        <w:t>dla przewodów z tworzyw sztucznych przy zastosowaniu kształtek,</w:t>
      </w:r>
    </w:p>
    <w:p w14:paraId="077852B7" w14:textId="20748CC4" w:rsidR="00C9677E" w:rsidRPr="00B0480C" w:rsidRDefault="00C9677E" w:rsidP="00262498">
      <w:pPr>
        <w:pStyle w:val="Akapitzlist"/>
        <w:numPr>
          <w:ilvl w:val="0"/>
          <w:numId w:val="278"/>
        </w:numPr>
        <w:rPr>
          <w:rFonts w:asciiTheme="minorHAnsi" w:hAnsiTheme="minorHAnsi" w:cstheme="minorHAnsi"/>
        </w:rPr>
      </w:pPr>
      <w:r w:rsidRPr="00B0480C">
        <w:rPr>
          <w:rFonts w:asciiTheme="minorHAnsi" w:hAnsiTheme="minorHAnsi" w:cstheme="minorHAnsi"/>
        </w:rPr>
        <w:t>dla przewodów żeliwnych i stalowych (nie łączonych przez spawanie na styk) o średnicy powyżej 200 mm i kącie odchylenia większym niż 10</w:t>
      </w:r>
      <w:r w:rsidRPr="00B0480C">
        <w:rPr>
          <w:rFonts w:asciiTheme="minorHAnsi" w:hAnsiTheme="minorHAnsi" w:cstheme="minorHAnsi"/>
          <w:vertAlign w:val="superscript"/>
        </w:rPr>
        <w:t>o</w:t>
      </w:r>
      <w:r w:rsidRPr="00B0480C">
        <w:rPr>
          <w:rFonts w:asciiTheme="minorHAnsi" w:hAnsiTheme="minorHAnsi" w:cstheme="minorHAnsi"/>
        </w:rPr>
        <w:t>.</w:t>
      </w:r>
    </w:p>
    <w:p w14:paraId="2E09D9D9" w14:textId="77777777" w:rsidR="00C9677E" w:rsidRPr="00A23FB4" w:rsidRDefault="00C9677E" w:rsidP="00262498">
      <w:pPr>
        <w:numPr>
          <w:ilvl w:val="0"/>
          <w:numId w:val="157"/>
        </w:numPr>
        <w:spacing w:before="120" w:after="120"/>
        <w:ind w:left="284" w:hanging="284"/>
        <w:rPr>
          <w:rFonts w:asciiTheme="minorHAnsi" w:hAnsiTheme="minorHAnsi" w:cstheme="minorHAnsi"/>
        </w:rPr>
      </w:pPr>
      <w:r w:rsidRPr="00A23FB4">
        <w:rPr>
          <w:rFonts w:asciiTheme="minorHAnsi" w:hAnsiTheme="minorHAnsi" w:cstheme="minorHAnsi"/>
        </w:rPr>
        <w:t>Wytyczne wykonania rur ochronnych</w:t>
      </w:r>
    </w:p>
    <w:p w14:paraId="4AF7297B"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Przejścia przewodu pod drogami o ciężkim ruchu pojazdów, tj. o obciążeniu jezdni ruchem powyżej 10 000 ton na dobę, liczbę pojazdów powyżej 2300 na dobę oraz przez obiekt powinny być wykonane w rurze ochronnej.</w:t>
      </w:r>
    </w:p>
    <w:p w14:paraId="06FF30C0"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Końce rury ochronnej powinny być usytuowane poza korpusem drogowym w odległości od 1 do 2 m od podstawy nasypu, a w przypadku istnienia rowów odwadniających - poza nimi.</w:t>
      </w:r>
    </w:p>
    <w:p w14:paraId="06FDD9CB"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Rura ochronna pod autostradami i drogami ekspresowymi powinna się kończyć w studzienkach lub komorach (w których przewód powinien być przystosowany do demontażu). Zasuwy odcinające powinny znajdować się na zewnątrz studzienek.</w:t>
      </w:r>
    </w:p>
    <w:p w14:paraId="53990262"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Pod pozostałymi drogami rurę ochronną należy zakończyć pierścieniami uszczelniającymi i zaopatrzyć w rurkę sygnalizacyjną średnicy 25 mm wprowadzoną do poziomu terenu, a jej zakończenie umieścić w skrzynce do zasuw.</w:t>
      </w:r>
    </w:p>
    <w:p w14:paraId="2FFD47F0"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Pierścienie uszczelniające mają za zadanie zabezpieczenie wolnej przestrzeni między przewodem a rurą ochronną przed dostaniem się do jej wnętrza wody lub innych zanieczyszczeń oraz przed wydostaniem się na zewnątrz w niekontrolowany sposób wody pochodzącej z ewentualnej awarii przewodu.</w:t>
      </w:r>
    </w:p>
    <w:p w14:paraId="22BD8FF7" w14:textId="77777777" w:rsidR="00C9677E" w:rsidRPr="00A23FB4" w:rsidRDefault="00C9677E" w:rsidP="00262498">
      <w:pPr>
        <w:numPr>
          <w:ilvl w:val="0"/>
          <w:numId w:val="158"/>
        </w:numPr>
        <w:spacing w:before="120" w:after="120"/>
        <w:ind w:left="284" w:hanging="284"/>
        <w:rPr>
          <w:rFonts w:asciiTheme="minorHAnsi" w:hAnsiTheme="minorHAnsi" w:cstheme="minorHAnsi"/>
        </w:rPr>
      </w:pPr>
      <w:r w:rsidRPr="00A23FB4">
        <w:rPr>
          <w:rFonts w:asciiTheme="minorHAnsi" w:hAnsiTheme="minorHAnsi" w:cstheme="minorHAnsi"/>
        </w:rPr>
        <w:t>Studzienki i komory wodociągowe</w:t>
      </w:r>
    </w:p>
    <w:p w14:paraId="5D48BF09" w14:textId="77777777" w:rsidR="00C9677E" w:rsidRPr="00A23FB4" w:rsidRDefault="00C9677E" w:rsidP="00262498">
      <w:pPr>
        <w:numPr>
          <w:ilvl w:val="0"/>
          <w:numId w:val="159"/>
        </w:numPr>
        <w:spacing w:after="120"/>
        <w:ind w:left="284" w:hanging="284"/>
        <w:rPr>
          <w:rFonts w:asciiTheme="minorHAnsi" w:hAnsiTheme="minorHAnsi" w:cstheme="minorHAnsi"/>
        </w:rPr>
      </w:pPr>
      <w:r w:rsidRPr="00A23FB4">
        <w:rPr>
          <w:rFonts w:asciiTheme="minorHAnsi" w:hAnsiTheme="minorHAnsi" w:cstheme="minorHAnsi"/>
        </w:rPr>
        <w:t>Ogólne wytyczne wykonania</w:t>
      </w:r>
    </w:p>
    <w:p w14:paraId="4AD5A0F9"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Studzienki powinny być wykonywane zgodnie z dokumentacją projektową. O ile w dokumentacji nie przewidziano inaczej, to Wykonawca powinien przestrzegać następujących zasad, wg PN-91/B-10728 [13]:</w:t>
      </w:r>
    </w:p>
    <w:p w14:paraId="4BE13577" w14:textId="77777777" w:rsidR="00D424B0" w:rsidRDefault="00C9677E" w:rsidP="00262498">
      <w:pPr>
        <w:pStyle w:val="Akapitzlist"/>
        <w:numPr>
          <w:ilvl w:val="0"/>
          <w:numId w:val="279"/>
        </w:numPr>
        <w:rPr>
          <w:rFonts w:asciiTheme="minorHAnsi" w:hAnsiTheme="minorHAnsi" w:cstheme="minorHAnsi"/>
        </w:rPr>
      </w:pPr>
      <w:r w:rsidRPr="00D424B0">
        <w:rPr>
          <w:rFonts w:asciiTheme="minorHAnsi" w:hAnsiTheme="minorHAnsi" w:cstheme="minorHAnsi"/>
        </w:rPr>
        <w:t>wysokość robocza studzienki wodociągowej powinna być nie mniejsza niż 180 cm,</w:t>
      </w:r>
    </w:p>
    <w:p w14:paraId="7B5116CC" w14:textId="77777777" w:rsidR="00D424B0" w:rsidRDefault="00C9677E" w:rsidP="00262498">
      <w:pPr>
        <w:pStyle w:val="Akapitzlist"/>
        <w:numPr>
          <w:ilvl w:val="0"/>
          <w:numId w:val="279"/>
        </w:numPr>
        <w:rPr>
          <w:rFonts w:asciiTheme="minorHAnsi" w:hAnsiTheme="minorHAnsi" w:cstheme="minorHAnsi"/>
        </w:rPr>
      </w:pPr>
      <w:r w:rsidRPr="00D424B0">
        <w:rPr>
          <w:rFonts w:asciiTheme="minorHAnsi" w:hAnsiTheme="minorHAnsi" w:cstheme="minorHAnsi"/>
        </w:rPr>
        <w:t>inne wymiary wewnętrzne studzienki powinny być dostosowane do średnicy przewodu, do wielkości i rodzaju zainstalowanej armatury lub innego wyposażenia. Minimalne odległości pomiędzy przewodami, armaturą lub innym wyposażeniem a ścianami, stropem oraz dnem studzienki - według tablicy nr 1,</w:t>
      </w:r>
    </w:p>
    <w:p w14:paraId="4732E4EF" w14:textId="77777777" w:rsidR="00D424B0" w:rsidRDefault="00C9677E" w:rsidP="00262498">
      <w:pPr>
        <w:pStyle w:val="Akapitzlist"/>
        <w:numPr>
          <w:ilvl w:val="0"/>
          <w:numId w:val="279"/>
        </w:numPr>
        <w:rPr>
          <w:rFonts w:asciiTheme="minorHAnsi" w:hAnsiTheme="minorHAnsi" w:cstheme="minorHAnsi"/>
        </w:rPr>
      </w:pPr>
      <w:r w:rsidRPr="00D424B0">
        <w:rPr>
          <w:rFonts w:asciiTheme="minorHAnsi" w:hAnsiTheme="minorHAnsi" w:cstheme="minorHAnsi"/>
        </w:rPr>
        <w:t>ponadto średnica studzienki kołowej, długość i szerokość studzienki prostokątnej nie powinny być mniejsze niż 120 cm,</w:t>
      </w:r>
    </w:p>
    <w:p w14:paraId="5AB32786" w14:textId="56AD08AE" w:rsidR="00C9677E" w:rsidRPr="00D424B0" w:rsidRDefault="00C9677E" w:rsidP="00262498">
      <w:pPr>
        <w:pStyle w:val="Akapitzlist"/>
        <w:numPr>
          <w:ilvl w:val="0"/>
          <w:numId w:val="279"/>
        </w:numPr>
        <w:rPr>
          <w:rFonts w:asciiTheme="minorHAnsi" w:hAnsiTheme="minorHAnsi" w:cstheme="minorHAnsi"/>
        </w:rPr>
      </w:pPr>
      <w:r w:rsidRPr="00D424B0">
        <w:rPr>
          <w:rFonts w:asciiTheme="minorHAnsi" w:hAnsiTheme="minorHAnsi" w:cstheme="minorHAnsi"/>
        </w:rPr>
        <w:t>studzienki (komory) wodociągowe powinny być stosowane dla zainstalowania w nich stosownej armatury lub innego wyposażenia, a ponadto służą jako zakończenie rur ochronnych (zgodnie z punktem 5.5.3),</w:t>
      </w:r>
    </w:p>
    <w:p w14:paraId="26002E93" w14:textId="77777777" w:rsidR="00C9677E" w:rsidRPr="00A23FB4" w:rsidRDefault="00C9677E" w:rsidP="00C9677E">
      <w:pPr>
        <w:rPr>
          <w:rFonts w:asciiTheme="minorHAnsi" w:hAnsiTheme="minorHAnsi" w:cstheme="minorHAnsi"/>
        </w:rPr>
      </w:pPr>
    </w:p>
    <w:p w14:paraId="700790A5" w14:textId="77777777" w:rsidR="00C9677E" w:rsidRPr="00A23FB4" w:rsidRDefault="00C9677E" w:rsidP="00C9677E">
      <w:pPr>
        <w:rPr>
          <w:rFonts w:asciiTheme="minorHAnsi" w:hAnsiTheme="minorHAnsi" w:cstheme="minorHAnsi"/>
        </w:rPr>
      </w:pPr>
    </w:p>
    <w:p w14:paraId="6D450293" w14:textId="77777777" w:rsidR="00C9677E" w:rsidRPr="00A23FB4" w:rsidRDefault="00C9677E" w:rsidP="00C9677E">
      <w:pPr>
        <w:spacing w:after="120"/>
        <w:rPr>
          <w:rFonts w:asciiTheme="minorHAnsi" w:hAnsiTheme="minorHAnsi" w:cstheme="minorHAnsi"/>
        </w:rPr>
      </w:pPr>
      <w:r w:rsidRPr="00A23FB4">
        <w:rPr>
          <w:rFonts w:asciiTheme="minorHAnsi" w:hAnsiTheme="minorHAnsi" w:cstheme="minorHAnsi"/>
        </w:rPr>
        <w:t>Tablica 1.</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307"/>
        <w:gridCol w:w="1276"/>
      </w:tblGrid>
      <w:tr w:rsidR="00C9677E" w:rsidRPr="00A23FB4" w14:paraId="10666580" w14:textId="77777777" w:rsidTr="00AD0C50">
        <w:tc>
          <w:tcPr>
            <w:tcW w:w="6307" w:type="dxa"/>
            <w:tcBorders>
              <w:bottom w:val="double" w:sz="6" w:space="0" w:color="auto"/>
            </w:tcBorders>
          </w:tcPr>
          <w:p w14:paraId="0B80AC54" w14:textId="77777777" w:rsidR="00C9677E" w:rsidRPr="00A23FB4" w:rsidRDefault="00C9677E" w:rsidP="00AD0C50">
            <w:pPr>
              <w:spacing w:before="60" w:after="60"/>
              <w:jc w:val="center"/>
              <w:rPr>
                <w:rFonts w:asciiTheme="minorHAnsi" w:hAnsiTheme="minorHAnsi" w:cstheme="minorHAnsi"/>
              </w:rPr>
            </w:pPr>
            <w:r w:rsidRPr="00A23FB4">
              <w:rPr>
                <w:rFonts w:asciiTheme="minorHAnsi" w:hAnsiTheme="minorHAnsi" w:cstheme="minorHAnsi"/>
              </w:rPr>
              <w:t>Wyszczególnienie</w:t>
            </w:r>
          </w:p>
        </w:tc>
        <w:tc>
          <w:tcPr>
            <w:tcW w:w="1276" w:type="dxa"/>
            <w:tcBorders>
              <w:bottom w:val="double" w:sz="6" w:space="0" w:color="auto"/>
            </w:tcBorders>
          </w:tcPr>
          <w:p w14:paraId="625FCDC8" w14:textId="77777777" w:rsidR="00C9677E" w:rsidRPr="00A23FB4" w:rsidRDefault="00C9677E" w:rsidP="00AD0C50">
            <w:pPr>
              <w:spacing w:before="60" w:after="60"/>
              <w:jc w:val="center"/>
              <w:rPr>
                <w:rFonts w:asciiTheme="minorHAnsi" w:hAnsiTheme="minorHAnsi" w:cstheme="minorHAnsi"/>
              </w:rPr>
            </w:pPr>
            <w:r w:rsidRPr="00A23FB4">
              <w:rPr>
                <w:rFonts w:asciiTheme="minorHAnsi" w:hAnsiTheme="minorHAnsi" w:cstheme="minorHAnsi"/>
              </w:rPr>
              <w:t>Minimum, cm</w:t>
            </w:r>
          </w:p>
        </w:tc>
      </w:tr>
      <w:tr w:rsidR="00C9677E" w:rsidRPr="00A23FB4" w14:paraId="691F450C" w14:textId="77777777" w:rsidTr="00AD0C50">
        <w:tc>
          <w:tcPr>
            <w:tcW w:w="6307" w:type="dxa"/>
            <w:tcBorders>
              <w:top w:val="nil"/>
            </w:tcBorders>
          </w:tcPr>
          <w:p w14:paraId="43508BEF" w14:textId="77777777" w:rsidR="00C9677E" w:rsidRPr="00A23FB4" w:rsidRDefault="00C9677E" w:rsidP="00AD0C50">
            <w:pPr>
              <w:rPr>
                <w:rFonts w:asciiTheme="minorHAnsi" w:hAnsiTheme="minorHAnsi" w:cstheme="minorHAnsi"/>
              </w:rPr>
            </w:pPr>
            <w:r w:rsidRPr="00A23FB4">
              <w:rPr>
                <w:rFonts w:asciiTheme="minorHAnsi" w:hAnsiTheme="minorHAnsi" w:cstheme="minorHAnsi"/>
              </w:rPr>
              <w:t>Odległość od ścian studzienki w miejscu nie wymagającym przechodzenia obsługi:</w:t>
            </w:r>
          </w:p>
          <w:p w14:paraId="7F8478B9" w14:textId="77777777" w:rsidR="00D424B0" w:rsidRDefault="00C9677E" w:rsidP="00262498">
            <w:pPr>
              <w:pStyle w:val="1"/>
              <w:numPr>
                <w:ilvl w:val="0"/>
                <w:numId w:val="160"/>
              </w:numPr>
            </w:pPr>
            <w:bookmarkStart w:id="92" w:name="_Toc206275473"/>
            <w:r w:rsidRPr="00A23FB4">
              <w:t>do zewnętrznej powierzchni rury lub armatury, dl</w:t>
            </w:r>
            <w:r w:rsidR="00D424B0">
              <w:t>a</w:t>
            </w:r>
            <w:r w:rsidRPr="00A23FB4">
              <w:t>średnicy nominalnej:</w:t>
            </w:r>
            <w:bookmarkEnd w:id="92"/>
          </w:p>
          <w:p w14:paraId="3945A371" w14:textId="38CBDA5A" w:rsidR="00C9677E" w:rsidRPr="00D424B0" w:rsidRDefault="00C9677E" w:rsidP="00262498">
            <w:pPr>
              <w:pStyle w:val="1"/>
              <w:numPr>
                <w:ilvl w:val="0"/>
                <w:numId w:val="280"/>
              </w:numPr>
            </w:pPr>
            <w:bookmarkStart w:id="93" w:name="_Toc206275474"/>
            <w:r w:rsidRPr="00D424B0">
              <w:t>do 400 mm</w:t>
            </w:r>
            <w:bookmarkEnd w:id="93"/>
          </w:p>
          <w:p w14:paraId="3F9BF76C" w14:textId="77777777" w:rsidR="00C9677E" w:rsidRPr="00D424B0" w:rsidRDefault="00C9677E" w:rsidP="00262498">
            <w:pPr>
              <w:pStyle w:val="Akapitzlist"/>
              <w:numPr>
                <w:ilvl w:val="0"/>
                <w:numId w:val="280"/>
              </w:numPr>
              <w:tabs>
                <w:tab w:val="left" w:pos="284"/>
              </w:tabs>
              <w:rPr>
                <w:rFonts w:asciiTheme="minorHAnsi" w:hAnsiTheme="minorHAnsi" w:cstheme="minorHAnsi"/>
              </w:rPr>
            </w:pPr>
            <w:r w:rsidRPr="00D424B0">
              <w:rPr>
                <w:rFonts w:asciiTheme="minorHAnsi" w:hAnsiTheme="minorHAnsi" w:cstheme="minorHAnsi"/>
              </w:rPr>
              <w:t>powyżej 400 do 800 mm</w:t>
            </w:r>
          </w:p>
          <w:p w14:paraId="5D6FCE1D" w14:textId="77777777" w:rsidR="00C9677E" w:rsidRPr="00D424B0" w:rsidRDefault="00C9677E" w:rsidP="00262498">
            <w:pPr>
              <w:pStyle w:val="Akapitzlist"/>
              <w:numPr>
                <w:ilvl w:val="0"/>
                <w:numId w:val="280"/>
              </w:numPr>
              <w:tabs>
                <w:tab w:val="left" w:pos="284"/>
              </w:tabs>
              <w:rPr>
                <w:rFonts w:asciiTheme="minorHAnsi" w:hAnsiTheme="minorHAnsi" w:cstheme="minorHAnsi"/>
              </w:rPr>
            </w:pPr>
            <w:r w:rsidRPr="00D424B0">
              <w:rPr>
                <w:rFonts w:asciiTheme="minorHAnsi" w:hAnsiTheme="minorHAnsi" w:cstheme="minorHAnsi"/>
              </w:rPr>
              <w:t>powyżej 800 mm</w:t>
            </w:r>
          </w:p>
          <w:p w14:paraId="25430D3F" w14:textId="77777777" w:rsidR="00C9677E" w:rsidRPr="00A23FB4" w:rsidRDefault="00C9677E" w:rsidP="00262498">
            <w:pPr>
              <w:numPr>
                <w:ilvl w:val="0"/>
                <w:numId w:val="160"/>
              </w:numPr>
              <w:tabs>
                <w:tab w:val="left" w:pos="284"/>
              </w:tabs>
              <w:rPr>
                <w:rFonts w:asciiTheme="minorHAnsi" w:hAnsiTheme="minorHAnsi" w:cstheme="minorHAnsi"/>
              </w:rPr>
            </w:pPr>
            <w:r w:rsidRPr="00A23FB4">
              <w:rPr>
                <w:rFonts w:asciiTheme="minorHAnsi" w:hAnsiTheme="minorHAnsi" w:cstheme="minorHAnsi"/>
              </w:rPr>
              <w:t>do zewnętrznej krawędzi kołnierza</w:t>
            </w:r>
            <w:r w:rsidRPr="00A23FB4">
              <w:rPr>
                <w:rFonts w:asciiTheme="minorHAnsi" w:hAnsiTheme="minorHAnsi" w:cstheme="minorHAnsi"/>
                <w:vertAlign w:val="superscript"/>
              </w:rPr>
              <w:t>1)</w:t>
            </w:r>
            <w:r w:rsidRPr="00A23FB4">
              <w:rPr>
                <w:rFonts w:asciiTheme="minorHAnsi" w:hAnsiTheme="minorHAnsi" w:cstheme="minorHAnsi"/>
              </w:rPr>
              <w:t>, dla średnicy nominalnej:</w:t>
            </w:r>
          </w:p>
          <w:p w14:paraId="185FF425" w14:textId="77777777" w:rsidR="00C9677E" w:rsidRPr="00D424B0" w:rsidRDefault="00C9677E" w:rsidP="00262498">
            <w:pPr>
              <w:pStyle w:val="Akapitzlist"/>
              <w:numPr>
                <w:ilvl w:val="0"/>
                <w:numId w:val="281"/>
              </w:numPr>
              <w:tabs>
                <w:tab w:val="left" w:pos="284"/>
              </w:tabs>
              <w:rPr>
                <w:rFonts w:asciiTheme="minorHAnsi" w:hAnsiTheme="minorHAnsi" w:cstheme="minorHAnsi"/>
              </w:rPr>
            </w:pPr>
            <w:r w:rsidRPr="00D424B0">
              <w:rPr>
                <w:rFonts w:asciiTheme="minorHAnsi" w:hAnsiTheme="minorHAnsi" w:cstheme="minorHAnsi"/>
              </w:rPr>
              <w:t>do 500 mm</w:t>
            </w:r>
          </w:p>
          <w:p w14:paraId="3425E325" w14:textId="77777777" w:rsidR="00C9677E" w:rsidRPr="00D424B0" w:rsidRDefault="00C9677E" w:rsidP="00262498">
            <w:pPr>
              <w:pStyle w:val="Akapitzlist"/>
              <w:numPr>
                <w:ilvl w:val="0"/>
                <w:numId w:val="281"/>
              </w:numPr>
              <w:tabs>
                <w:tab w:val="left" w:pos="284"/>
              </w:tabs>
              <w:rPr>
                <w:rFonts w:asciiTheme="minorHAnsi" w:hAnsiTheme="minorHAnsi" w:cstheme="minorHAnsi"/>
              </w:rPr>
            </w:pPr>
            <w:r w:rsidRPr="00D424B0">
              <w:rPr>
                <w:rFonts w:asciiTheme="minorHAnsi" w:hAnsiTheme="minorHAnsi" w:cstheme="minorHAnsi"/>
              </w:rPr>
              <w:t>powyżej 500 mm</w:t>
            </w:r>
          </w:p>
          <w:p w14:paraId="2C87C2A8" w14:textId="77777777" w:rsidR="00C9677E" w:rsidRPr="00A23FB4" w:rsidRDefault="00C9677E" w:rsidP="00262498">
            <w:pPr>
              <w:numPr>
                <w:ilvl w:val="0"/>
                <w:numId w:val="160"/>
              </w:numPr>
              <w:tabs>
                <w:tab w:val="left" w:pos="284"/>
              </w:tabs>
              <w:rPr>
                <w:rFonts w:asciiTheme="minorHAnsi" w:hAnsiTheme="minorHAnsi" w:cstheme="minorHAnsi"/>
              </w:rPr>
            </w:pPr>
            <w:r w:rsidRPr="00A23FB4">
              <w:rPr>
                <w:rFonts w:asciiTheme="minorHAnsi" w:hAnsiTheme="minorHAnsi" w:cstheme="minorHAnsi"/>
              </w:rPr>
              <w:t>do zewnętrznej krawędzi kielicha</w:t>
            </w:r>
            <w:r w:rsidRPr="00A23FB4">
              <w:rPr>
                <w:rFonts w:asciiTheme="minorHAnsi" w:hAnsiTheme="minorHAnsi" w:cstheme="minorHAnsi"/>
                <w:vertAlign w:val="superscript"/>
              </w:rPr>
              <w:t>1)</w:t>
            </w:r>
          </w:p>
        </w:tc>
        <w:tc>
          <w:tcPr>
            <w:tcW w:w="1276" w:type="dxa"/>
            <w:tcBorders>
              <w:top w:val="nil"/>
            </w:tcBorders>
          </w:tcPr>
          <w:p w14:paraId="6F43740E" w14:textId="77777777" w:rsidR="00C9677E" w:rsidRPr="00A23FB4" w:rsidRDefault="00C9677E" w:rsidP="00AD0C50">
            <w:pPr>
              <w:jc w:val="center"/>
              <w:rPr>
                <w:rFonts w:asciiTheme="minorHAnsi" w:hAnsiTheme="minorHAnsi" w:cstheme="minorHAnsi"/>
              </w:rPr>
            </w:pPr>
          </w:p>
          <w:p w14:paraId="09C832CD" w14:textId="77777777" w:rsidR="00C9677E" w:rsidRPr="00A23FB4" w:rsidRDefault="00C9677E" w:rsidP="00AD0C50">
            <w:pPr>
              <w:jc w:val="center"/>
              <w:rPr>
                <w:rFonts w:asciiTheme="minorHAnsi" w:hAnsiTheme="minorHAnsi" w:cstheme="minorHAnsi"/>
              </w:rPr>
            </w:pPr>
          </w:p>
          <w:p w14:paraId="6051A3BC" w14:textId="610B2F16" w:rsidR="00C9677E" w:rsidRDefault="00C9677E" w:rsidP="00AD0C50">
            <w:pPr>
              <w:jc w:val="center"/>
              <w:rPr>
                <w:rFonts w:asciiTheme="minorHAnsi" w:hAnsiTheme="minorHAnsi" w:cstheme="minorHAnsi"/>
              </w:rPr>
            </w:pPr>
          </w:p>
          <w:p w14:paraId="5E92208B" w14:textId="77777777" w:rsidR="00D424B0" w:rsidRDefault="00D424B0" w:rsidP="00AD0C50">
            <w:pPr>
              <w:jc w:val="center"/>
              <w:rPr>
                <w:rFonts w:asciiTheme="minorHAnsi" w:hAnsiTheme="minorHAnsi" w:cstheme="minorHAnsi"/>
              </w:rPr>
            </w:pPr>
          </w:p>
          <w:p w14:paraId="7AACF215" w14:textId="77777777" w:rsidR="00D424B0" w:rsidRPr="00A23FB4" w:rsidRDefault="00D424B0" w:rsidP="00AD0C50">
            <w:pPr>
              <w:jc w:val="center"/>
              <w:rPr>
                <w:rFonts w:asciiTheme="minorHAnsi" w:hAnsiTheme="minorHAnsi" w:cstheme="minorHAnsi"/>
              </w:rPr>
            </w:pPr>
          </w:p>
          <w:p w14:paraId="37034527" w14:textId="77777777" w:rsidR="00C9677E" w:rsidRPr="00A23FB4" w:rsidRDefault="00C9677E" w:rsidP="00AD0C50">
            <w:pPr>
              <w:jc w:val="center"/>
              <w:rPr>
                <w:rFonts w:asciiTheme="minorHAnsi" w:hAnsiTheme="minorHAnsi" w:cstheme="minorHAnsi"/>
              </w:rPr>
            </w:pPr>
            <w:r w:rsidRPr="00A23FB4">
              <w:rPr>
                <w:rFonts w:asciiTheme="minorHAnsi" w:hAnsiTheme="minorHAnsi" w:cstheme="minorHAnsi"/>
              </w:rPr>
              <w:t>50</w:t>
            </w:r>
          </w:p>
          <w:p w14:paraId="1380CB8D" w14:textId="77777777" w:rsidR="00C9677E" w:rsidRPr="00A23FB4" w:rsidRDefault="00C9677E" w:rsidP="00AD0C50">
            <w:pPr>
              <w:jc w:val="center"/>
              <w:rPr>
                <w:rFonts w:asciiTheme="minorHAnsi" w:hAnsiTheme="minorHAnsi" w:cstheme="minorHAnsi"/>
              </w:rPr>
            </w:pPr>
            <w:r w:rsidRPr="00A23FB4">
              <w:rPr>
                <w:rFonts w:asciiTheme="minorHAnsi" w:hAnsiTheme="minorHAnsi" w:cstheme="minorHAnsi"/>
              </w:rPr>
              <w:t>60</w:t>
            </w:r>
          </w:p>
          <w:p w14:paraId="4F0DA6A8" w14:textId="77777777" w:rsidR="00C9677E" w:rsidRPr="00A23FB4" w:rsidRDefault="00C9677E" w:rsidP="00AD0C50">
            <w:pPr>
              <w:jc w:val="center"/>
              <w:rPr>
                <w:rFonts w:asciiTheme="minorHAnsi" w:hAnsiTheme="minorHAnsi" w:cstheme="minorHAnsi"/>
              </w:rPr>
            </w:pPr>
            <w:r w:rsidRPr="00A23FB4">
              <w:rPr>
                <w:rFonts w:asciiTheme="minorHAnsi" w:hAnsiTheme="minorHAnsi" w:cstheme="minorHAnsi"/>
              </w:rPr>
              <w:t>70</w:t>
            </w:r>
          </w:p>
          <w:p w14:paraId="59BF4AFA" w14:textId="77777777" w:rsidR="00C9677E" w:rsidRPr="00A23FB4" w:rsidRDefault="00C9677E" w:rsidP="00AD0C50">
            <w:pPr>
              <w:jc w:val="center"/>
              <w:rPr>
                <w:rFonts w:asciiTheme="minorHAnsi" w:hAnsiTheme="minorHAnsi" w:cstheme="minorHAnsi"/>
              </w:rPr>
            </w:pPr>
          </w:p>
          <w:p w14:paraId="1AAC51C2" w14:textId="77777777" w:rsidR="00C9677E" w:rsidRPr="00A23FB4" w:rsidRDefault="00C9677E" w:rsidP="00AD0C50">
            <w:pPr>
              <w:jc w:val="center"/>
              <w:rPr>
                <w:rFonts w:asciiTheme="minorHAnsi" w:hAnsiTheme="minorHAnsi" w:cstheme="minorHAnsi"/>
              </w:rPr>
            </w:pPr>
            <w:r w:rsidRPr="00A23FB4">
              <w:rPr>
                <w:rFonts w:asciiTheme="minorHAnsi" w:hAnsiTheme="minorHAnsi" w:cstheme="minorHAnsi"/>
              </w:rPr>
              <w:t>45</w:t>
            </w:r>
          </w:p>
          <w:p w14:paraId="5FC93965" w14:textId="77777777" w:rsidR="00C9677E" w:rsidRPr="00A23FB4" w:rsidRDefault="00C9677E" w:rsidP="00AD0C50">
            <w:pPr>
              <w:jc w:val="center"/>
              <w:rPr>
                <w:rFonts w:asciiTheme="minorHAnsi" w:hAnsiTheme="minorHAnsi" w:cstheme="minorHAnsi"/>
              </w:rPr>
            </w:pPr>
            <w:r w:rsidRPr="00A23FB4">
              <w:rPr>
                <w:rFonts w:asciiTheme="minorHAnsi" w:hAnsiTheme="minorHAnsi" w:cstheme="minorHAnsi"/>
              </w:rPr>
              <w:t>60</w:t>
            </w:r>
          </w:p>
          <w:p w14:paraId="60531A49" w14:textId="77777777" w:rsidR="00D424B0" w:rsidRDefault="00D424B0" w:rsidP="00AD0C50">
            <w:pPr>
              <w:jc w:val="center"/>
              <w:rPr>
                <w:rFonts w:asciiTheme="minorHAnsi" w:hAnsiTheme="minorHAnsi" w:cstheme="minorHAnsi"/>
              </w:rPr>
            </w:pPr>
          </w:p>
          <w:p w14:paraId="45ABC131" w14:textId="57CFF767" w:rsidR="00C9677E" w:rsidRPr="00A23FB4" w:rsidRDefault="00C9677E" w:rsidP="00AD0C50">
            <w:pPr>
              <w:jc w:val="center"/>
              <w:rPr>
                <w:rFonts w:asciiTheme="minorHAnsi" w:hAnsiTheme="minorHAnsi" w:cstheme="minorHAnsi"/>
              </w:rPr>
            </w:pPr>
            <w:r w:rsidRPr="00A23FB4">
              <w:rPr>
                <w:rFonts w:asciiTheme="minorHAnsi" w:hAnsiTheme="minorHAnsi" w:cstheme="minorHAnsi"/>
              </w:rPr>
              <w:t>60</w:t>
            </w:r>
          </w:p>
        </w:tc>
      </w:tr>
      <w:tr w:rsidR="00C9677E" w:rsidRPr="00A23FB4" w14:paraId="577C04A5" w14:textId="77777777" w:rsidTr="00AD0C50">
        <w:tc>
          <w:tcPr>
            <w:tcW w:w="6307" w:type="dxa"/>
          </w:tcPr>
          <w:p w14:paraId="6FA8CBCD" w14:textId="77777777" w:rsidR="00C9677E" w:rsidRPr="00A23FB4" w:rsidRDefault="00C9677E" w:rsidP="00AD0C50">
            <w:pPr>
              <w:rPr>
                <w:rFonts w:asciiTheme="minorHAnsi" w:hAnsiTheme="minorHAnsi" w:cstheme="minorHAnsi"/>
              </w:rPr>
            </w:pPr>
            <w:r w:rsidRPr="00A23FB4">
              <w:rPr>
                <w:rFonts w:asciiTheme="minorHAnsi" w:hAnsiTheme="minorHAnsi" w:cstheme="minorHAnsi"/>
              </w:rPr>
              <w:t>Odległość od ścian studzienki w miejscu wymagającym przechodzenia obsługi - do zewnętrznej powierzchni rury, dla średnicy nominalnej:</w:t>
            </w:r>
          </w:p>
          <w:p w14:paraId="399F6DA3" w14:textId="77777777" w:rsidR="00C9677E" w:rsidRPr="00D424B0" w:rsidRDefault="00C9677E" w:rsidP="00262498">
            <w:pPr>
              <w:pStyle w:val="Akapitzlist"/>
              <w:numPr>
                <w:ilvl w:val="0"/>
                <w:numId w:val="282"/>
              </w:numPr>
              <w:rPr>
                <w:rFonts w:asciiTheme="minorHAnsi" w:hAnsiTheme="minorHAnsi" w:cstheme="minorHAnsi"/>
              </w:rPr>
            </w:pPr>
            <w:r w:rsidRPr="00D424B0">
              <w:rPr>
                <w:rFonts w:asciiTheme="minorHAnsi" w:hAnsiTheme="minorHAnsi" w:cstheme="minorHAnsi"/>
              </w:rPr>
              <w:t>do 400 mm</w:t>
            </w:r>
          </w:p>
          <w:p w14:paraId="343DCAED" w14:textId="77777777" w:rsidR="00C9677E" w:rsidRPr="00D424B0" w:rsidRDefault="00C9677E" w:rsidP="00262498">
            <w:pPr>
              <w:pStyle w:val="Akapitzlist"/>
              <w:numPr>
                <w:ilvl w:val="0"/>
                <w:numId w:val="282"/>
              </w:numPr>
              <w:rPr>
                <w:rFonts w:asciiTheme="minorHAnsi" w:hAnsiTheme="minorHAnsi" w:cstheme="minorHAnsi"/>
              </w:rPr>
            </w:pPr>
            <w:r w:rsidRPr="00D424B0">
              <w:rPr>
                <w:rFonts w:asciiTheme="minorHAnsi" w:hAnsiTheme="minorHAnsi" w:cstheme="minorHAnsi"/>
              </w:rPr>
              <w:t>powyżej 400 do 800 mm</w:t>
            </w:r>
          </w:p>
          <w:p w14:paraId="419EAF3A" w14:textId="77777777" w:rsidR="00C9677E" w:rsidRPr="00D424B0" w:rsidRDefault="00C9677E" w:rsidP="00262498">
            <w:pPr>
              <w:pStyle w:val="Akapitzlist"/>
              <w:numPr>
                <w:ilvl w:val="0"/>
                <w:numId w:val="282"/>
              </w:numPr>
              <w:rPr>
                <w:rFonts w:asciiTheme="minorHAnsi" w:hAnsiTheme="minorHAnsi" w:cstheme="minorHAnsi"/>
              </w:rPr>
            </w:pPr>
            <w:r w:rsidRPr="00D424B0">
              <w:rPr>
                <w:rFonts w:asciiTheme="minorHAnsi" w:hAnsiTheme="minorHAnsi" w:cstheme="minorHAnsi"/>
              </w:rPr>
              <w:t>powyżej 800 mm</w:t>
            </w:r>
          </w:p>
        </w:tc>
        <w:tc>
          <w:tcPr>
            <w:tcW w:w="1276" w:type="dxa"/>
          </w:tcPr>
          <w:p w14:paraId="7FB528B2" w14:textId="77777777" w:rsidR="00C9677E" w:rsidRPr="00A23FB4" w:rsidRDefault="00C9677E" w:rsidP="00AD0C50">
            <w:pPr>
              <w:jc w:val="center"/>
              <w:rPr>
                <w:rFonts w:asciiTheme="minorHAnsi" w:hAnsiTheme="minorHAnsi" w:cstheme="minorHAnsi"/>
              </w:rPr>
            </w:pPr>
          </w:p>
          <w:p w14:paraId="63E732B1" w14:textId="77777777" w:rsidR="00C9677E" w:rsidRPr="00A23FB4" w:rsidRDefault="00C9677E" w:rsidP="00AD0C50">
            <w:pPr>
              <w:jc w:val="center"/>
              <w:rPr>
                <w:rFonts w:asciiTheme="minorHAnsi" w:hAnsiTheme="minorHAnsi" w:cstheme="minorHAnsi"/>
              </w:rPr>
            </w:pPr>
          </w:p>
          <w:p w14:paraId="37909E39" w14:textId="77777777" w:rsidR="00C9677E" w:rsidRPr="00A23FB4" w:rsidRDefault="00C9677E" w:rsidP="00AD0C50">
            <w:pPr>
              <w:jc w:val="center"/>
              <w:rPr>
                <w:rFonts w:asciiTheme="minorHAnsi" w:hAnsiTheme="minorHAnsi" w:cstheme="minorHAnsi"/>
              </w:rPr>
            </w:pPr>
            <w:r w:rsidRPr="00A23FB4">
              <w:rPr>
                <w:rFonts w:asciiTheme="minorHAnsi" w:hAnsiTheme="minorHAnsi" w:cstheme="minorHAnsi"/>
              </w:rPr>
              <w:t>70</w:t>
            </w:r>
          </w:p>
          <w:p w14:paraId="4212B617" w14:textId="77777777" w:rsidR="00C9677E" w:rsidRPr="00A23FB4" w:rsidRDefault="00C9677E" w:rsidP="00AD0C50">
            <w:pPr>
              <w:jc w:val="center"/>
              <w:rPr>
                <w:rFonts w:asciiTheme="minorHAnsi" w:hAnsiTheme="minorHAnsi" w:cstheme="minorHAnsi"/>
              </w:rPr>
            </w:pPr>
            <w:r w:rsidRPr="00A23FB4">
              <w:rPr>
                <w:rFonts w:asciiTheme="minorHAnsi" w:hAnsiTheme="minorHAnsi" w:cstheme="minorHAnsi"/>
              </w:rPr>
              <w:t>90</w:t>
            </w:r>
          </w:p>
          <w:p w14:paraId="62E071D6" w14:textId="77777777" w:rsidR="00C9677E" w:rsidRPr="00A23FB4" w:rsidRDefault="00C9677E" w:rsidP="00AD0C50">
            <w:pPr>
              <w:jc w:val="center"/>
              <w:rPr>
                <w:rFonts w:asciiTheme="minorHAnsi" w:hAnsiTheme="minorHAnsi" w:cstheme="minorHAnsi"/>
              </w:rPr>
            </w:pPr>
            <w:r w:rsidRPr="00A23FB4">
              <w:rPr>
                <w:rFonts w:asciiTheme="minorHAnsi" w:hAnsiTheme="minorHAnsi" w:cstheme="minorHAnsi"/>
              </w:rPr>
              <w:t>110</w:t>
            </w:r>
          </w:p>
        </w:tc>
      </w:tr>
      <w:tr w:rsidR="00C9677E" w:rsidRPr="00A23FB4" w14:paraId="443FC179" w14:textId="77777777" w:rsidTr="00AD0C50">
        <w:tc>
          <w:tcPr>
            <w:tcW w:w="6307" w:type="dxa"/>
          </w:tcPr>
          <w:p w14:paraId="4BCB08FB" w14:textId="77777777" w:rsidR="00C9677E" w:rsidRPr="00A23FB4" w:rsidRDefault="00C9677E" w:rsidP="00AD0C50">
            <w:pPr>
              <w:rPr>
                <w:rFonts w:asciiTheme="minorHAnsi" w:hAnsiTheme="minorHAnsi" w:cstheme="minorHAnsi"/>
              </w:rPr>
            </w:pPr>
            <w:r w:rsidRPr="00A23FB4">
              <w:rPr>
                <w:rFonts w:asciiTheme="minorHAnsi" w:hAnsiTheme="minorHAnsi" w:cstheme="minorHAnsi"/>
              </w:rPr>
              <w:t>Odległość od ścian studzienki, w przypadku instalowania nasuwki - do zewnętrznej krawędzi kielicha</w:t>
            </w:r>
            <w:r w:rsidRPr="00A23FB4">
              <w:rPr>
                <w:rFonts w:asciiTheme="minorHAnsi" w:hAnsiTheme="minorHAnsi" w:cstheme="minorHAnsi"/>
                <w:vertAlign w:val="superscript"/>
              </w:rPr>
              <w:t>1)</w:t>
            </w:r>
            <w:r w:rsidRPr="00A23FB4">
              <w:rPr>
                <w:rFonts w:asciiTheme="minorHAnsi" w:hAnsiTheme="minorHAnsi" w:cstheme="minorHAnsi"/>
              </w:rPr>
              <w:t xml:space="preserve"> lub kołnierza</w:t>
            </w:r>
            <w:r w:rsidRPr="00A23FB4">
              <w:rPr>
                <w:rFonts w:asciiTheme="minorHAnsi" w:hAnsiTheme="minorHAnsi" w:cstheme="minorHAnsi"/>
                <w:vertAlign w:val="superscript"/>
              </w:rPr>
              <w:t>1)</w:t>
            </w:r>
            <w:r w:rsidRPr="00A23FB4">
              <w:rPr>
                <w:rFonts w:asciiTheme="minorHAnsi" w:hAnsiTheme="minorHAnsi" w:cstheme="minorHAnsi"/>
              </w:rPr>
              <w:t>, dla średnicy nominalnej:</w:t>
            </w:r>
          </w:p>
          <w:p w14:paraId="47245342" w14:textId="77777777" w:rsidR="00C9677E" w:rsidRPr="00D424B0" w:rsidRDefault="00C9677E" w:rsidP="00262498">
            <w:pPr>
              <w:pStyle w:val="Akapitzlist"/>
              <w:numPr>
                <w:ilvl w:val="0"/>
                <w:numId w:val="283"/>
              </w:numPr>
              <w:rPr>
                <w:rFonts w:asciiTheme="minorHAnsi" w:hAnsiTheme="minorHAnsi" w:cstheme="minorHAnsi"/>
              </w:rPr>
            </w:pPr>
            <w:r w:rsidRPr="00D424B0">
              <w:rPr>
                <w:rFonts w:asciiTheme="minorHAnsi" w:hAnsiTheme="minorHAnsi" w:cstheme="minorHAnsi"/>
              </w:rPr>
              <w:t>do 500 mm</w:t>
            </w:r>
          </w:p>
          <w:p w14:paraId="579AEF28" w14:textId="77777777" w:rsidR="00C9677E" w:rsidRPr="00D424B0" w:rsidRDefault="00C9677E" w:rsidP="00262498">
            <w:pPr>
              <w:pStyle w:val="Akapitzlist"/>
              <w:numPr>
                <w:ilvl w:val="0"/>
                <w:numId w:val="283"/>
              </w:numPr>
              <w:rPr>
                <w:rFonts w:asciiTheme="minorHAnsi" w:hAnsiTheme="minorHAnsi" w:cstheme="minorHAnsi"/>
              </w:rPr>
            </w:pPr>
            <w:r w:rsidRPr="00D424B0">
              <w:rPr>
                <w:rFonts w:asciiTheme="minorHAnsi" w:hAnsiTheme="minorHAnsi" w:cstheme="minorHAnsi"/>
              </w:rPr>
              <w:t>powyżej 500 mm</w:t>
            </w:r>
          </w:p>
        </w:tc>
        <w:tc>
          <w:tcPr>
            <w:tcW w:w="1276" w:type="dxa"/>
          </w:tcPr>
          <w:p w14:paraId="6DD5A5C0" w14:textId="77777777" w:rsidR="00C9677E" w:rsidRPr="00A23FB4" w:rsidRDefault="00C9677E" w:rsidP="00AD0C50">
            <w:pPr>
              <w:jc w:val="center"/>
              <w:rPr>
                <w:rFonts w:asciiTheme="minorHAnsi" w:hAnsiTheme="minorHAnsi" w:cstheme="minorHAnsi"/>
              </w:rPr>
            </w:pPr>
          </w:p>
          <w:p w14:paraId="384496E2" w14:textId="77777777" w:rsidR="00C9677E" w:rsidRPr="00A23FB4" w:rsidRDefault="00C9677E" w:rsidP="00AD0C50">
            <w:pPr>
              <w:jc w:val="center"/>
              <w:rPr>
                <w:rFonts w:asciiTheme="minorHAnsi" w:hAnsiTheme="minorHAnsi" w:cstheme="minorHAnsi"/>
              </w:rPr>
            </w:pPr>
          </w:p>
          <w:p w14:paraId="3A5D37BD" w14:textId="77777777" w:rsidR="00C9677E" w:rsidRPr="00A23FB4" w:rsidRDefault="00C9677E" w:rsidP="00AD0C50">
            <w:pPr>
              <w:jc w:val="center"/>
              <w:rPr>
                <w:rFonts w:asciiTheme="minorHAnsi" w:hAnsiTheme="minorHAnsi" w:cstheme="minorHAnsi"/>
              </w:rPr>
            </w:pPr>
            <w:r w:rsidRPr="00A23FB4">
              <w:rPr>
                <w:rFonts w:asciiTheme="minorHAnsi" w:hAnsiTheme="minorHAnsi" w:cstheme="minorHAnsi"/>
              </w:rPr>
              <w:t>60</w:t>
            </w:r>
          </w:p>
          <w:p w14:paraId="25302D1F" w14:textId="77777777" w:rsidR="00C9677E" w:rsidRPr="00A23FB4" w:rsidRDefault="00C9677E" w:rsidP="00AD0C50">
            <w:pPr>
              <w:jc w:val="center"/>
              <w:rPr>
                <w:rFonts w:asciiTheme="minorHAnsi" w:hAnsiTheme="minorHAnsi" w:cstheme="minorHAnsi"/>
              </w:rPr>
            </w:pPr>
            <w:r w:rsidRPr="00A23FB4">
              <w:rPr>
                <w:rFonts w:asciiTheme="minorHAnsi" w:hAnsiTheme="minorHAnsi" w:cstheme="minorHAnsi"/>
              </w:rPr>
              <w:t>80</w:t>
            </w:r>
          </w:p>
        </w:tc>
      </w:tr>
      <w:tr w:rsidR="00C9677E" w:rsidRPr="00A23FB4" w14:paraId="3FA558A8" w14:textId="77777777" w:rsidTr="00AD0C50">
        <w:tc>
          <w:tcPr>
            <w:tcW w:w="6307" w:type="dxa"/>
          </w:tcPr>
          <w:p w14:paraId="5CEE162C" w14:textId="77777777" w:rsidR="00C9677E" w:rsidRPr="00A23FB4" w:rsidRDefault="00C9677E" w:rsidP="00AD0C50">
            <w:pPr>
              <w:rPr>
                <w:rFonts w:asciiTheme="minorHAnsi" w:hAnsiTheme="minorHAnsi" w:cstheme="minorHAnsi"/>
              </w:rPr>
            </w:pPr>
            <w:r w:rsidRPr="00A23FB4">
              <w:rPr>
                <w:rFonts w:asciiTheme="minorHAnsi" w:hAnsiTheme="minorHAnsi" w:cstheme="minorHAnsi"/>
              </w:rPr>
              <w:t>Odległość od dna studzienki do powierzchni rury, dla średnicy nominalnej:</w:t>
            </w:r>
          </w:p>
          <w:p w14:paraId="34D5804F" w14:textId="77777777" w:rsidR="00C9677E" w:rsidRPr="00D424B0" w:rsidRDefault="00C9677E" w:rsidP="00262498">
            <w:pPr>
              <w:pStyle w:val="Akapitzlist"/>
              <w:numPr>
                <w:ilvl w:val="0"/>
                <w:numId w:val="284"/>
              </w:numPr>
              <w:rPr>
                <w:rFonts w:asciiTheme="minorHAnsi" w:hAnsiTheme="minorHAnsi" w:cstheme="minorHAnsi"/>
              </w:rPr>
            </w:pPr>
            <w:r w:rsidRPr="00D424B0">
              <w:rPr>
                <w:rFonts w:asciiTheme="minorHAnsi" w:hAnsiTheme="minorHAnsi" w:cstheme="minorHAnsi"/>
              </w:rPr>
              <w:t>do 400 mm</w:t>
            </w:r>
          </w:p>
          <w:p w14:paraId="7DA826DE" w14:textId="77777777" w:rsidR="00C9677E" w:rsidRPr="00D424B0" w:rsidRDefault="00C9677E" w:rsidP="00262498">
            <w:pPr>
              <w:pStyle w:val="Akapitzlist"/>
              <w:numPr>
                <w:ilvl w:val="0"/>
                <w:numId w:val="284"/>
              </w:numPr>
              <w:rPr>
                <w:rFonts w:asciiTheme="minorHAnsi" w:hAnsiTheme="minorHAnsi" w:cstheme="minorHAnsi"/>
              </w:rPr>
            </w:pPr>
            <w:r w:rsidRPr="00D424B0">
              <w:rPr>
                <w:rFonts w:asciiTheme="minorHAnsi" w:hAnsiTheme="minorHAnsi" w:cstheme="minorHAnsi"/>
              </w:rPr>
              <w:t>powyżej 400 mm</w:t>
            </w:r>
          </w:p>
        </w:tc>
        <w:tc>
          <w:tcPr>
            <w:tcW w:w="1276" w:type="dxa"/>
          </w:tcPr>
          <w:p w14:paraId="36E8207D" w14:textId="77777777" w:rsidR="00C9677E" w:rsidRPr="00A23FB4" w:rsidRDefault="00C9677E" w:rsidP="00AD0C50">
            <w:pPr>
              <w:jc w:val="center"/>
              <w:rPr>
                <w:rFonts w:asciiTheme="minorHAnsi" w:hAnsiTheme="minorHAnsi" w:cstheme="minorHAnsi"/>
              </w:rPr>
            </w:pPr>
          </w:p>
          <w:p w14:paraId="02332F69" w14:textId="77777777" w:rsidR="00C9677E" w:rsidRPr="00A23FB4" w:rsidRDefault="00C9677E" w:rsidP="00AD0C50">
            <w:pPr>
              <w:jc w:val="center"/>
              <w:rPr>
                <w:rFonts w:asciiTheme="minorHAnsi" w:hAnsiTheme="minorHAnsi" w:cstheme="minorHAnsi"/>
              </w:rPr>
            </w:pPr>
            <w:r w:rsidRPr="00A23FB4">
              <w:rPr>
                <w:rFonts w:asciiTheme="minorHAnsi" w:hAnsiTheme="minorHAnsi" w:cstheme="minorHAnsi"/>
              </w:rPr>
              <w:t>60</w:t>
            </w:r>
          </w:p>
          <w:p w14:paraId="00AE7403" w14:textId="77777777" w:rsidR="00C9677E" w:rsidRPr="00A23FB4" w:rsidRDefault="00C9677E" w:rsidP="00AD0C50">
            <w:pPr>
              <w:jc w:val="center"/>
              <w:rPr>
                <w:rFonts w:asciiTheme="minorHAnsi" w:hAnsiTheme="minorHAnsi" w:cstheme="minorHAnsi"/>
              </w:rPr>
            </w:pPr>
            <w:r w:rsidRPr="00A23FB4">
              <w:rPr>
                <w:rFonts w:asciiTheme="minorHAnsi" w:hAnsiTheme="minorHAnsi" w:cstheme="minorHAnsi"/>
              </w:rPr>
              <w:t>70</w:t>
            </w:r>
          </w:p>
        </w:tc>
      </w:tr>
      <w:tr w:rsidR="00C9677E" w:rsidRPr="00A23FB4" w14:paraId="1A0B1E2E" w14:textId="77777777" w:rsidTr="00AD0C50">
        <w:tc>
          <w:tcPr>
            <w:tcW w:w="6307" w:type="dxa"/>
          </w:tcPr>
          <w:p w14:paraId="4546ED08" w14:textId="77777777" w:rsidR="00C9677E" w:rsidRPr="00A23FB4" w:rsidRDefault="00C9677E" w:rsidP="00AD0C50">
            <w:pPr>
              <w:rPr>
                <w:rFonts w:asciiTheme="minorHAnsi" w:hAnsiTheme="minorHAnsi" w:cstheme="minorHAnsi"/>
              </w:rPr>
            </w:pPr>
            <w:r w:rsidRPr="00A23FB4">
              <w:rPr>
                <w:rFonts w:asciiTheme="minorHAnsi" w:hAnsiTheme="minorHAnsi" w:cstheme="minorHAnsi"/>
              </w:rPr>
              <w:t>Odległość od wewnętrznej powierzchni stropu do wierzchu wrzeciona zaworu lub zasuwy w stanie otwartym</w:t>
            </w:r>
          </w:p>
        </w:tc>
        <w:tc>
          <w:tcPr>
            <w:tcW w:w="1276" w:type="dxa"/>
          </w:tcPr>
          <w:p w14:paraId="4D0027FE" w14:textId="77777777" w:rsidR="00C9677E" w:rsidRPr="00A23FB4" w:rsidRDefault="00C9677E" w:rsidP="00AD0C50">
            <w:pPr>
              <w:spacing w:before="120"/>
              <w:jc w:val="center"/>
              <w:rPr>
                <w:rFonts w:asciiTheme="minorHAnsi" w:hAnsiTheme="minorHAnsi" w:cstheme="minorHAnsi"/>
              </w:rPr>
            </w:pPr>
            <w:r w:rsidRPr="00A23FB4">
              <w:rPr>
                <w:rFonts w:asciiTheme="minorHAnsi" w:hAnsiTheme="minorHAnsi" w:cstheme="minorHAnsi"/>
              </w:rPr>
              <w:t>20</w:t>
            </w:r>
          </w:p>
        </w:tc>
      </w:tr>
      <w:tr w:rsidR="00C9677E" w:rsidRPr="00A23FB4" w14:paraId="68099669" w14:textId="77777777" w:rsidTr="00AD0C50">
        <w:tc>
          <w:tcPr>
            <w:tcW w:w="7583" w:type="dxa"/>
            <w:gridSpan w:val="2"/>
          </w:tcPr>
          <w:p w14:paraId="37919B8F" w14:textId="77777777" w:rsidR="00C9677E" w:rsidRPr="00A23FB4" w:rsidRDefault="00C9677E" w:rsidP="00AD0C50">
            <w:pPr>
              <w:rPr>
                <w:rFonts w:asciiTheme="minorHAnsi" w:hAnsiTheme="minorHAnsi" w:cstheme="minorHAnsi"/>
              </w:rPr>
            </w:pPr>
            <w:r w:rsidRPr="00A23FB4">
              <w:rPr>
                <w:rFonts w:asciiTheme="minorHAnsi" w:hAnsiTheme="minorHAnsi" w:cstheme="minorHAnsi"/>
              </w:rPr>
              <w:t>1) mierzona równolegle do osi rurociągu</w:t>
            </w:r>
          </w:p>
        </w:tc>
      </w:tr>
    </w:tbl>
    <w:p w14:paraId="52DC35B3" w14:textId="77777777" w:rsidR="00C9677E" w:rsidRPr="00A23FB4" w:rsidRDefault="00C9677E" w:rsidP="00C9677E">
      <w:pPr>
        <w:rPr>
          <w:rFonts w:asciiTheme="minorHAnsi" w:hAnsiTheme="minorHAnsi" w:cstheme="minorHAnsi"/>
        </w:rPr>
      </w:pPr>
    </w:p>
    <w:p w14:paraId="65050205" w14:textId="34B3FA57" w:rsidR="00C9677E" w:rsidRPr="00A23FB4" w:rsidRDefault="00D424B0" w:rsidP="00D424B0">
      <w:pPr>
        <w:rPr>
          <w:rFonts w:asciiTheme="minorHAnsi" w:hAnsiTheme="minorHAnsi" w:cstheme="minorHAnsi"/>
        </w:rPr>
      </w:pPr>
      <w:r>
        <w:rPr>
          <w:rFonts w:asciiTheme="minorHAnsi" w:hAnsiTheme="minorHAnsi" w:cstheme="minorHAnsi"/>
        </w:rPr>
        <w:t>S</w:t>
      </w:r>
      <w:r w:rsidR="00C9677E" w:rsidRPr="00A23FB4">
        <w:rPr>
          <w:rFonts w:asciiTheme="minorHAnsi" w:hAnsiTheme="minorHAnsi" w:cstheme="minorHAnsi"/>
        </w:rPr>
        <w:t>tudzienki należy lokalizować z zachowaniem następujących wymagań:</w:t>
      </w:r>
    </w:p>
    <w:p w14:paraId="0C2B6C89" w14:textId="77777777" w:rsidR="00C9677E" w:rsidRPr="00A23FB4" w:rsidRDefault="00C9677E" w:rsidP="00262498">
      <w:pPr>
        <w:numPr>
          <w:ilvl w:val="0"/>
          <w:numId w:val="161"/>
        </w:numPr>
        <w:rPr>
          <w:rFonts w:asciiTheme="minorHAnsi" w:hAnsiTheme="minorHAnsi" w:cstheme="minorHAnsi"/>
        </w:rPr>
      </w:pPr>
      <w:r w:rsidRPr="00A23FB4">
        <w:rPr>
          <w:rFonts w:asciiTheme="minorHAnsi" w:hAnsiTheme="minorHAnsi" w:cstheme="minorHAnsi"/>
        </w:rPr>
        <w:t>powinna być zapewniona możliwość dojścia do studzienki,</w:t>
      </w:r>
    </w:p>
    <w:p w14:paraId="78EF7AC4" w14:textId="77777777" w:rsidR="00C9677E" w:rsidRPr="00A23FB4" w:rsidRDefault="00C9677E" w:rsidP="00262498">
      <w:pPr>
        <w:numPr>
          <w:ilvl w:val="0"/>
          <w:numId w:val="161"/>
        </w:numPr>
        <w:rPr>
          <w:rFonts w:asciiTheme="minorHAnsi" w:hAnsiTheme="minorHAnsi" w:cstheme="minorHAnsi"/>
        </w:rPr>
      </w:pPr>
      <w:r w:rsidRPr="00A23FB4">
        <w:rPr>
          <w:rFonts w:asciiTheme="minorHAnsi" w:hAnsiTheme="minorHAnsi" w:cstheme="minorHAnsi"/>
        </w:rPr>
        <w:t>studzienka, w której masa poszczególnych elementów podlegających montażowi i demontażowi wynosi powyżej 500 kg, powinna mieć zapewnioną możliwość dojazdu; zaleca się zapewnienie możliwości dojazdu do każdej studzienki,</w:t>
      </w:r>
    </w:p>
    <w:p w14:paraId="1645977C" w14:textId="77777777" w:rsidR="00C9677E" w:rsidRPr="00A23FB4" w:rsidRDefault="00C9677E" w:rsidP="00262498">
      <w:pPr>
        <w:numPr>
          <w:ilvl w:val="0"/>
          <w:numId w:val="161"/>
        </w:numPr>
        <w:rPr>
          <w:rFonts w:asciiTheme="minorHAnsi" w:hAnsiTheme="minorHAnsi" w:cstheme="minorHAnsi"/>
        </w:rPr>
      </w:pPr>
      <w:r w:rsidRPr="00A23FB4">
        <w:rPr>
          <w:rFonts w:asciiTheme="minorHAnsi" w:hAnsiTheme="minorHAnsi" w:cstheme="minorHAnsi"/>
        </w:rPr>
        <w:t>należy unikać lokalizowania studzienek na terenach zamkniętych i prywatnych,</w:t>
      </w:r>
    </w:p>
    <w:p w14:paraId="06D12147" w14:textId="77777777" w:rsidR="00C9677E" w:rsidRPr="00A23FB4" w:rsidRDefault="00C9677E" w:rsidP="00262498">
      <w:pPr>
        <w:numPr>
          <w:ilvl w:val="0"/>
          <w:numId w:val="161"/>
        </w:numPr>
        <w:rPr>
          <w:rFonts w:asciiTheme="minorHAnsi" w:hAnsiTheme="minorHAnsi" w:cstheme="minorHAnsi"/>
        </w:rPr>
      </w:pPr>
      <w:r w:rsidRPr="00A23FB4">
        <w:rPr>
          <w:rFonts w:asciiTheme="minorHAnsi" w:hAnsiTheme="minorHAnsi" w:cstheme="minorHAnsi"/>
        </w:rPr>
        <w:t>w miarę możliwości należy unikać lokalizowania studzienek w jezdniach ulic i dróg,</w:t>
      </w:r>
    </w:p>
    <w:p w14:paraId="1FF6613C" w14:textId="77777777" w:rsidR="00C9677E" w:rsidRPr="00A23FB4" w:rsidRDefault="00C9677E" w:rsidP="00262498">
      <w:pPr>
        <w:numPr>
          <w:ilvl w:val="0"/>
          <w:numId w:val="161"/>
        </w:numPr>
        <w:rPr>
          <w:rFonts w:asciiTheme="minorHAnsi" w:hAnsiTheme="minorHAnsi" w:cstheme="minorHAnsi"/>
        </w:rPr>
      </w:pPr>
      <w:r w:rsidRPr="00A23FB4">
        <w:rPr>
          <w:rFonts w:asciiTheme="minorHAnsi" w:hAnsiTheme="minorHAnsi" w:cstheme="minorHAnsi"/>
        </w:rPr>
        <w:t>nie należy lokalizować studzienek w ściekach ulicznych, zagłębieniach terenu i innych miejscach narażonych na dopływ wody spływającej po powierzchni terenu,</w:t>
      </w:r>
    </w:p>
    <w:p w14:paraId="49FCF65D" w14:textId="77777777" w:rsidR="00C9677E" w:rsidRPr="00A23FB4" w:rsidRDefault="00C9677E" w:rsidP="00262498">
      <w:pPr>
        <w:numPr>
          <w:ilvl w:val="0"/>
          <w:numId w:val="161"/>
        </w:numPr>
        <w:rPr>
          <w:rFonts w:asciiTheme="minorHAnsi" w:hAnsiTheme="minorHAnsi" w:cstheme="minorHAnsi"/>
        </w:rPr>
      </w:pPr>
      <w:r w:rsidRPr="00A23FB4">
        <w:rPr>
          <w:rFonts w:asciiTheme="minorHAnsi" w:hAnsiTheme="minorHAnsi" w:cstheme="minorHAnsi"/>
        </w:rPr>
        <w:t>odległość krawędzi dna wykopu od pionowej ściany fundamentu budowli sąsiadującej z wykopem oraz ewentualne zabezpieczenie tej budowli - wg PN-81/B-10725 punkt 4.1.2 i 4.1.3 [11],</w:t>
      </w:r>
    </w:p>
    <w:p w14:paraId="08843723" w14:textId="77777777" w:rsidR="00C9677E" w:rsidRPr="00A23FB4" w:rsidRDefault="00C9677E" w:rsidP="00262498">
      <w:pPr>
        <w:numPr>
          <w:ilvl w:val="0"/>
          <w:numId w:val="161"/>
        </w:numPr>
        <w:rPr>
          <w:rFonts w:asciiTheme="minorHAnsi" w:hAnsiTheme="minorHAnsi" w:cstheme="minorHAnsi"/>
        </w:rPr>
      </w:pPr>
      <w:r w:rsidRPr="00A23FB4">
        <w:rPr>
          <w:rFonts w:asciiTheme="minorHAnsi" w:hAnsiTheme="minorHAnsi" w:cstheme="minorHAnsi"/>
        </w:rPr>
        <w:t>odległość studzienki od przewodów gazowych (od skrajni rury) - 1 m,</w:t>
      </w:r>
    </w:p>
    <w:p w14:paraId="5343FC07" w14:textId="136EB8B3" w:rsidR="00C9677E" w:rsidRPr="00A23FB4" w:rsidRDefault="00D424B0" w:rsidP="00D424B0">
      <w:pPr>
        <w:rPr>
          <w:rFonts w:asciiTheme="minorHAnsi" w:hAnsiTheme="minorHAnsi" w:cstheme="minorHAnsi"/>
        </w:rPr>
      </w:pPr>
      <w:r>
        <w:rPr>
          <w:rFonts w:asciiTheme="minorHAnsi" w:hAnsiTheme="minorHAnsi" w:cstheme="minorHAnsi"/>
        </w:rPr>
        <w:t>S</w:t>
      </w:r>
      <w:r w:rsidR="00C9677E" w:rsidRPr="00A23FB4">
        <w:rPr>
          <w:rFonts w:asciiTheme="minorHAnsi" w:hAnsiTheme="minorHAnsi" w:cstheme="minorHAnsi"/>
        </w:rPr>
        <w:t>tudzienki należy wykonywać na uprzednio wzmocnionym (warstwą tłucznia lub żwiru) dnie wykopu i przygotowanym fundamencie betonowym,</w:t>
      </w:r>
    </w:p>
    <w:p w14:paraId="722868DD" w14:textId="1F56FED4" w:rsidR="00C9677E" w:rsidRPr="00A23FB4" w:rsidRDefault="00D424B0" w:rsidP="00D424B0">
      <w:pPr>
        <w:rPr>
          <w:rFonts w:asciiTheme="minorHAnsi" w:hAnsiTheme="minorHAnsi" w:cstheme="minorHAnsi"/>
        </w:rPr>
      </w:pPr>
      <w:r>
        <w:rPr>
          <w:rFonts w:asciiTheme="minorHAnsi" w:hAnsiTheme="minorHAnsi" w:cstheme="minorHAnsi"/>
        </w:rPr>
        <w:t>S</w:t>
      </w:r>
      <w:r w:rsidR="00C9677E" w:rsidRPr="00A23FB4">
        <w:rPr>
          <w:rFonts w:asciiTheme="minorHAnsi" w:hAnsiTheme="minorHAnsi" w:cstheme="minorHAnsi"/>
        </w:rPr>
        <w:t>tudzienki wykonywać należy zasadniczo w wykopie szeroko przestrzennym. W trudnych zaś warunkach gruntowych (przy występowaniu wody gruntowej, kurzawki itp.) - w wykopie wzmocnionym.</w:t>
      </w:r>
    </w:p>
    <w:p w14:paraId="134BDBB3" w14:textId="77777777" w:rsidR="00C9677E" w:rsidRPr="00A23FB4" w:rsidRDefault="00C9677E" w:rsidP="00234278">
      <w:pPr>
        <w:spacing w:before="120" w:after="120"/>
        <w:rPr>
          <w:rFonts w:asciiTheme="minorHAnsi" w:hAnsiTheme="minorHAnsi" w:cstheme="minorHAnsi"/>
        </w:rPr>
      </w:pPr>
      <w:r w:rsidRPr="00A23FB4">
        <w:rPr>
          <w:rFonts w:asciiTheme="minorHAnsi" w:hAnsiTheme="minorHAnsi" w:cstheme="minorHAnsi"/>
        </w:rPr>
        <w:t>Wykonanie studzienek wodociągowych</w:t>
      </w:r>
    </w:p>
    <w:p w14:paraId="60382DC7"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Studzienki wodociągowe składają się z następujących zasadniczych części:</w:t>
      </w:r>
    </w:p>
    <w:p w14:paraId="66411DA2" w14:textId="77777777" w:rsidR="00C9677E" w:rsidRPr="00D424B0" w:rsidRDefault="00C9677E" w:rsidP="00262498">
      <w:pPr>
        <w:pStyle w:val="Akapitzlist"/>
        <w:numPr>
          <w:ilvl w:val="0"/>
          <w:numId w:val="285"/>
        </w:numPr>
        <w:rPr>
          <w:rFonts w:asciiTheme="minorHAnsi" w:hAnsiTheme="minorHAnsi" w:cstheme="minorHAnsi"/>
        </w:rPr>
      </w:pPr>
      <w:r w:rsidRPr="00D424B0">
        <w:rPr>
          <w:rFonts w:asciiTheme="minorHAnsi" w:hAnsiTheme="minorHAnsi" w:cstheme="minorHAnsi"/>
        </w:rPr>
        <w:t>komory roboczej,</w:t>
      </w:r>
    </w:p>
    <w:p w14:paraId="6B1AB0BB" w14:textId="77777777" w:rsidR="00C9677E" w:rsidRPr="00D424B0" w:rsidRDefault="00C9677E" w:rsidP="00262498">
      <w:pPr>
        <w:pStyle w:val="Akapitzlist"/>
        <w:numPr>
          <w:ilvl w:val="0"/>
          <w:numId w:val="285"/>
        </w:numPr>
        <w:rPr>
          <w:rFonts w:asciiTheme="minorHAnsi" w:hAnsiTheme="minorHAnsi" w:cstheme="minorHAnsi"/>
        </w:rPr>
      </w:pPr>
      <w:r w:rsidRPr="00D424B0">
        <w:rPr>
          <w:rFonts w:asciiTheme="minorHAnsi" w:hAnsiTheme="minorHAnsi" w:cstheme="minorHAnsi"/>
        </w:rPr>
        <w:t>stropu z otworem włazowym ewentualnie kominem włazowym,</w:t>
      </w:r>
    </w:p>
    <w:p w14:paraId="79FAF0D0" w14:textId="77777777" w:rsidR="00C9677E" w:rsidRPr="00D424B0" w:rsidRDefault="00C9677E" w:rsidP="00262498">
      <w:pPr>
        <w:pStyle w:val="Akapitzlist"/>
        <w:numPr>
          <w:ilvl w:val="0"/>
          <w:numId w:val="285"/>
        </w:numPr>
        <w:rPr>
          <w:rFonts w:asciiTheme="minorHAnsi" w:hAnsiTheme="minorHAnsi" w:cstheme="minorHAnsi"/>
        </w:rPr>
      </w:pPr>
      <w:r w:rsidRPr="00D424B0">
        <w:rPr>
          <w:rFonts w:asciiTheme="minorHAnsi" w:hAnsiTheme="minorHAnsi" w:cstheme="minorHAnsi"/>
        </w:rPr>
        <w:t>dna,</w:t>
      </w:r>
    </w:p>
    <w:p w14:paraId="2AF55792" w14:textId="77777777" w:rsidR="00C9677E" w:rsidRPr="00D424B0" w:rsidRDefault="00C9677E" w:rsidP="00262498">
      <w:pPr>
        <w:pStyle w:val="Akapitzlist"/>
        <w:numPr>
          <w:ilvl w:val="0"/>
          <w:numId w:val="285"/>
        </w:numPr>
        <w:rPr>
          <w:rFonts w:asciiTheme="minorHAnsi" w:hAnsiTheme="minorHAnsi" w:cstheme="minorHAnsi"/>
        </w:rPr>
      </w:pPr>
      <w:r w:rsidRPr="00D424B0">
        <w:rPr>
          <w:rFonts w:asciiTheme="minorHAnsi" w:hAnsiTheme="minorHAnsi" w:cstheme="minorHAnsi"/>
        </w:rPr>
        <w:t>włazu kanałowego i stopni włazowych.</w:t>
      </w:r>
    </w:p>
    <w:p w14:paraId="212D4732"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Studzienki wodociągowe z uwagi na głębokość ułożenia przewodu wykonywane są zazwyczaj bez kominów włazowych.</w:t>
      </w:r>
    </w:p>
    <w:p w14:paraId="611103C2"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Wybór konstrukcji studzienki powinien spełniać następujące warunki:</w:t>
      </w:r>
    </w:p>
    <w:p w14:paraId="64CA04F6" w14:textId="77777777" w:rsidR="00C9677E" w:rsidRPr="00A23FB4" w:rsidRDefault="00C9677E" w:rsidP="00262498">
      <w:pPr>
        <w:numPr>
          <w:ilvl w:val="0"/>
          <w:numId w:val="163"/>
        </w:numPr>
        <w:rPr>
          <w:rFonts w:asciiTheme="minorHAnsi" w:hAnsiTheme="minorHAnsi" w:cstheme="minorHAnsi"/>
        </w:rPr>
      </w:pPr>
      <w:r w:rsidRPr="00A23FB4">
        <w:rPr>
          <w:rFonts w:asciiTheme="minorHAnsi" w:hAnsiTheme="minorHAnsi" w:cstheme="minorHAnsi"/>
        </w:rPr>
        <w:t>studzienki monolityczne należy stosować wtedy, gdy poziom wody gruntowej znajduje się powyżej dna studzienki oraz gdy wynika to z lokalnych warunków konstrukcyjnych (obciążenia statyczne i dynamiczne, kształt oraz wymiary studzienki),</w:t>
      </w:r>
    </w:p>
    <w:p w14:paraId="352D4941" w14:textId="77777777" w:rsidR="00C9677E" w:rsidRPr="00A23FB4" w:rsidRDefault="00C9677E" w:rsidP="00262498">
      <w:pPr>
        <w:numPr>
          <w:ilvl w:val="0"/>
          <w:numId w:val="163"/>
        </w:numPr>
        <w:rPr>
          <w:rFonts w:asciiTheme="minorHAnsi" w:hAnsiTheme="minorHAnsi" w:cstheme="minorHAnsi"/>
        </w:rPr>
      </w:pPr>
      <w:r w:rsidRPr="00A23FB4">
        <w:rPr>
          <w:rFonts w:asciiTheme="minorHAnsi" w:hAnsiTheme="minorHAnsi" w:cstheme="minorHAnsi"/>
        </w:rPr>
        <w:t>studzienki prefabrykowane należy stosować w gruntach suchych, powyżej poziomu wody gruntowej,</w:t>
      </w:r>
    </w:p>
    <w:p w14:paraId="25600E11" w14:textId="77777777" w:rsidR="00C9677E" w:rsidRPr="00A23FB4" w:rsidRDefault="00C9677E" w:rsidP="00262498">
      <w:pPr>
        <w:numPr>
          <w:ilvl w:val="0"/>
          <w:numId w:val="163"/>
        </w:numPr>
        <w:rPr>
          <w:rFonts w:asciiTheme="minorHAnsi" w:hAnsiTheme="minorHAnsi" w:cstheme="minorHAnsi"/>
        </w:rPr>
      </w:pPr>
      <w:r w:rsidRPr="00A23FB4">
        <w:rPr>
          <w:rFonts w:asciiTheme="minorHAnsi" w:hAnsiTheme="minorHAnsi" w:cstheme="minorHAnsi"/>
        </w:rPr>
        <w:t>studzienki murowane i murowane-mieszane zaleca się stosować głównie w gruntach suchych.</w:t>
      </w:r>
    </w:p>
    <w:p w14:paraId="710878A4"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Ściany w studzienkach monolitycznych i prefabrykowanych powinny być szczelne, gładkie od wewnątrz i nie tynkowane. Złącza prefabrykatów użytych do budowy studzienek powinny być zatarte na gładko.</w:t>
      </w:r>
    </w:p>
    <w:p w14:paraId="6D091CF1"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Elementy przejść przez ściany, np. tuleje, nasuwki, rury itp. jak w punkcie 2.4.7, powinny być osadzone w konstrukcji ściany w trakcie budowy.</w:t>
      </w:r>
    </w:p>
    <w:p w14:paraId="11A84303"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 xml:space="preserve">Ściany studzienek murowanych należy od zewnątrz pokryć zaprawą cementową, wg PN-90/B-14501. Powierzchnie ścian powinny być zabezpieczone przed wilgocią lub wodą gruntową. </w:t>
      </w:r>
    </w:p>
    <w:p w14:paraId="7F1F8E7F"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Strop studzienki powinien zapewniać możliwość wymiany (demontażu i montażu) nierozbieralnych elementów armatury i innego wyposażenia studzienki.</w:t>
      </w:r>
    </w:p>
    <w:p w14:paraId="78AA981E"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Otwory montażowe w stropie powinny być stosowane wtedy, gdy wymiary ww. elementów nie pozwalają na wykorzystanie włazów do wyjmowania i układania tych elementów. Otwory montażowe należy w miarę możliwości umieszczać nad armaturą. Otwory te powinny być zabezpieczone przed dopływem wody z zewnątrz. Pokrywy tych otworów powinny być wyposażone w uchwyty montażowe zabezpieczone przed korozją.</w:t>
      </w:r>
    </w:p>
    <w:p w14:paraId="439AAC03"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Powierzchnia dna studzienki powinna być wykonana z zaprawy cementowej zatartej na gładko.</w:t>
      </w:r>
    </w:p>
    <w:p w14:paraId="1FC5C556" w14:textId="4E0D7D19" w:rsidR="00C9677E" w:rsidRPr="00A23FB4" w:rsidRDefault="00C9677E" w:rsidP="00C9677E">
      <w:pPr>
        <w:rPr>
          <w:rFonts w:asciiTheme="minorHAnsi" w:hAnsiTheme="minorHAnsi" w:cstheme="minorHAnsi"/>
        </w:rPr>
      </w:pPr>
      <w:r w:rsidRPr="00A23FB4">
        <w:rPr>
          <w:rFonts w:asciiTheme="minorHAnsi" w:hAnsiTheme="minorHAnsi" w:cstheme="minorHAnsi"/>
        </w:rPr>
        <w:t>W dnie powinno być wykonane wgłębienie na wodę o minimalnych wymiarach</w:t>
      </w:r>
      <w:r w:rsidR="00944724">
        <w:rPr>
          <w:rFonts w:asciiTheme="minorHAnsi" w:hAnsiTheme="minorHAnsi" w:cstheme="minorHAnsi"/>
        </w:rPr>
        <w:t xml:space="preserve"> 2</w:t>
      </w:r>
      <w:r w:rsidRPr="00A23FB4">
        <w:rPr>
          <w:rFonts w:asciiTheme="minorHAnsi" w:hAnsiTheme="minorHAnsi" w:cstheme="minorHAnsi"/>
        </w:rPr>
        <w:t>5 x 25 cm i głębokości 20 cm. Spadek dna w kierunku tego zagłębienia powinien wynosić minimum 2%.</w:t>
      </w:r>
    </w:p>
    <w:p w14:paraId="01302A58"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Minimalna liczba włazów, w zależności od powierzchni studzienki w planie, powinna wynosić: do 4 m</w:t>
      </w:r>
      <w:r w:rsidRPr="00A23FB4">
        <w:rPr>
          <w:rFonts w:asciiTheme="minorHAnsi" w:hAnsiTheme="minorHAnsi" w:cstheme="minorHAnsi"/>
          <w:vertAlign w:val="superscript"/>
        </w:rPr>
        <w:t>2</w:t>
      </w:r>
      <w:r w:rsidRPr="00A23FB4">
        <w:rPr>
          <w:rFonts w:asciiTheme="minorHAnsi" w:hAnsiTheme="minorHAnsi" w:cstheme="minorHAnsi"/>
        </w:rPr>
        <w:t xml:space="preserve"> - 1 sztuka, od 4 do 10 m</w:t>
      </w:r>
      <w:r w:rsidRPr="00A23FB4">
        <w:rPr>
          <w:rFonts w:asciiTheme="minorHAnsi" w:hAnsiTheme="minorHAnsi" w:cstheme="minorHAnsi"/>
          <w:vertAlign w:val="superscript"/>
        </w:rPr>
        <w:t>2</w:t>
      </w:r>
      <w:r w:rsidRPr="00A23FB4">
        <w:rPr>
          <w:rFonts w:asciiTheme="minorHAnsi" w:hAnsiTheme="minorHAnsi" w:cstheme="minorHAnsi"/>
        </w:rPr>
        <w:t xml:space="preserve"> - 2 sztuki, powyżej 10 m</w:t>
      </w:r>
      <w:r w:rsidRPr="00A23FB4">
        <w:rPr>
          <w:rFonts w:asciiTheme="minorHAnsi" w:hAnsiTheme="minorHAnsi" w:cstheme="minorHAnsi"/>
          <w:vertAlign w:val="superscript"/>
        </w:rPr>
        <w:t>2</w:t>
      </w:r>
      <w:r w:rsidRPr="00A23FB4">
        <w:rPr>
          <w:rFonts w:asciiTheme="minorHAnsi" w:hAnsiTheme="minorHAnsi" w:cstheme="minorHAnsi"/>
        </w:rPr>
        <w:t xml:space="preserve"> - 3 sztuki.</w:t>
      </w:r>
    </w:p>
    <w:p w14:paraId="2FD52AFE"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Poziom wierzchu włazu powinien być równy z powierzchnią utwardzoną, natomiast w trawnikach itp. wierzch włazu powinien wystawać co najmniej 8 cm ponad powierzchnię terenu.</w:t>
      </w:r>
    </w:p>
    <w:p w14:paraId="1FDF0E85"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W ścianie komory roboczej i ewentualnego komina włazowego należy zamontować stopnie włazowe. Dopuszcza się stosowanie klamer stalowych zabezpieczonych przed korozją.</w:t>
      </w:r>
    </w:p>
    <w:p w14:paraId="4B3CC4CB"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Odstęp pomiędzy kolejnymi stopniami lub klamrami nie powinien przekraczać 30 cm.</w:t>
      </w:r>
    </w:p>
    <w:p w14:paraId="755671FA"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Studzienki o kubaturze powyżej 100 m</w:t>
      </w:r>
      <w:r w:rsidRPr="00A23FB4">
        <w:rPr>
          <w:rFonts w:asciiTheme="minorHAnsi" w:hAnsiTheme="minorHAnsi" w:cstheme="minorHAnsi"/>
          <w:vertAlign w:val="superscript"/>
        </w:rPr>
        <w:t>3</w:t>
      </w:r>
      <w:r w:rsidRPr="00A23FB4">
        <w:rPr>
          <w:rFonts w:asciiTheme="minorHAnsi" w:hAnsiTheme="minorHAnsi" w:cstheme="minorHAnsi"/>
        </w:rPr>
        <w:t xml:space="preserve"> zlokalizowane w zieleńcach itp. powinny być wyposażone w rury nawiewne i wywiewne. Nawiew powinien znajdować się na wysokości 30 cm nad dnem, a wywiew - pod stropem.</w:t>
      </w:r>
    </w:p>
    <w:p w14:paraId="105F7E42"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Grubość warstwy ziemi nad stropem powinna być nie mniejsza niż 50 cm, albo należy zastosować równorzędną izolację cieplną.</w:t>
      </w:r>
    </w:p>
    <w:p w14:paraId="3A7B55F6" w14:textId="77777777" w:rsidR="00C9677E" w:rsidRPr="00A23FB4" w:rsidRDefault="00C9677E" w:rsidP="00262498">
      <w:pPr>
        <w:numPr>
          <w:ilvl w:val="0"/>
          <w:numId w:val="164"/>
        </w:numPr>
        <w:spacing w:before="120" w:after="120"/>
        <w:ind w:left="284" w:hanging="284"/>
        <w:rPr>
          <w:rFonts w:asciiTheme="minorHAnsi" w:hAnsiTheme="minorHAnsi" w:cstheme="minorHAnsi"/>
        </w:rPr>
      </w:pPr>
      <w:r w:rsidRPr="00A23FB4">
        <w:rPr>
          <w:rFonts w:asciiTheme="minorHAnsi" w:hAnsiTheme="minorHAnsi" w:cstheme="minorHAnsi"/>
        </w:rPr>
        <w:t>Wykonanie obudowy tunelowej</w:t>
      </w:r>
    </w:p>
    <w:p w14:paraId="289D89BF" w14:textId="77777777" w:rsidR="00C9677E" w:rsidRPr="00A23FB4" w:rsidRDefault="00C9677E" w:rsidP="00262498">
      <w:pPr>
        <w:numPr>
          <w:ilvl w:val="0"/>
          <w:numId w:val="165"/>
        </w:numPr>
        <w:spacing w:after="120"/>
        <w:ind w:left="284" w:hanging="284"/>
        <w:rPr>
          <w:rFonts w:asciiTheme="minorHAnsi" w:hAnsiTheme="minorHAnsi" w:cstheme="minorHAnsi"/>
        </w:rPr>
      </w:pPr>
      <w:r w:rsidRPr="00A23FB4">
        <w:rPr>
          <w:rFonts w:asciiTheme="minorHAnsi" w:hAnsiTheme="minorHAnsi" w:cstheme="minorHAnsi"/>
        </w:rPr>
        <w:t>Ogólne wytyczne wykonania</w:t>
      </w:r>
    </w:p>
    <w:p w14:paraId="3EBA33E3"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Obudowy tunelowe przełazowe stosuje się na przejściu przewodów wodociągowych magistralnych pod drogami o istotnym znaczeniu dla ruchu pojazdów, jak w punkcie 5.5.3.</w:t>
      </w:r>
    </w:p>
    <w:p w14:paraId="08655A98"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Obudowy tunelowe należy wykonywać w oparciu o dokumentację projektową.</w:t>
      </w:r>
    </w:p>
    <w:p w14:paraId="33512581" w14:textId="77777777" w:rsidR="00C9677E" w:rsidRPr="00A23FB4" w:rsidRDefault="00C9677E" w:rsidP="00262498">
      <w:pPr>
        <w:numPr>
          <w:ilvl w:val="0"/>
          <w:numId w:val="166"/>
        </w:numPr>
        <w:spacing w:before="120" w:after="120"/>
        <w:ind w:left="284" w:hanging="284"/>
        <w:rPr>
          <w:rFonts w:asciiTheme="minorHAnsi" w:hAnsiTheme="minorHAnsi" w:cstheme="minorHAnsi"/>
        </w:rPr>
      </w:pPr>
      <w:r w:rsidRPr="00A23FB4">
        <w:rPr>
          <w:rFonts w:asciiTheme="minorHAnsi" w:hAnsiTheme="minorHAnsi" w:cstheme="minorHAnsi"/>
        </w:rPr>
        <w:t>Wykonanie obudowy</w:t>
      </w:r>
    </w:p>
    <w:p w14:paraId="4B1886C0"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Obudowy te składają się z następujących części:</w:t>
      </w:r>
    </w:p>
    <w:p w14:paraId="62FE7E37" w14:textId="77777777" w:rsidR="00234278" w:rsidRDefault="00C9677E" w:rsidP="00262498">
      <w:pPr>
        <w:pStyle w:val="Akapitzlist"/>
        <w:numPr>
          <w:ilvl w:val="0"/>
          <w:numId w:val="297"/>
        </w:numPr>
        <w:rPr>
          <w:rFonts w:asciiTheme="minorHAnsi" w:hAnsiTheme="minorHAnsi" w:cstheme="minorHAnsi"/>
        </w:rPr>
      </w:pPr>
      <w:r w:rsidRPr="00234278">
        <w:rPr>
          <w:rFonts w:asciiTheme="minorHAnsi" w:hAnsiTheme="minorHAnsi" w:cstheme="minorHAnsi"/>
        </w:rPr>
        <w:t>tunelu usytuowanego pod korpusem drogi,</w:t>
      </w:r>
    </w:p>
    <w:p w14:paraId="5D1D5718" w14:textId="77777777" w:rsidR="00234278" w:rsidRDefault="00C9677E" w:rsidP="00262498">
      <w:pPr>
        <w:pStyle w:val="Akapitzlist"/>
        <w:numPr>
          <w:ilvl w:val="0"/>
          <w:numId w:val="297"/>
        </w:numPr>
        <w:rPr>
          <w:rFonts w:asciiTheme="minorHAnsi" w:hAnsiTheme="minorHAnsi" w:cstheme="minorHAnsi"/>
        </w:rPr>
      </w:pPr>
      <w:r w:rsidRPr="00234278">
        <w:rPr>
          <w:rFonts w:asciiTheme="minorHAnsi" w:hAnsiTheme="minorHAnsi" w:cstheme="minorHAnsi"/>
        </w:rPr>
        <w:t>komory montażowej,</w:t>
      </w:r>
    </w:p>
    <w:p w14:paraId="318C1A25" w14:textId="77777777" w:rsidR="00234278" w:rsidRDefault="00C9677E" w:rsidP="00262498">
      <w:pPr>
        <w:pStyle w:val="Akapitzlist"/>
        <w:numPr>
          <w:ilvl w:val="0"/>
          <w:numId w:val="297"/>
        </w:numPr>
        <w:rPr>
          <w:rFonts w:asciiTheme="minorHAnsi" w:hAnsiTheme="minorHAnsi" w:cstheme="minorHAnsi"/>
        </w:rPr>
      </w:pPr>
      <w:r w:rsidRPr="00234278">
        <w:rPr>
          <w:rFonts w:asciiTheme="minorHAnsi" w:hAnsiTheme="minorHAnsi" w:cstheme="minorHAnsi"/>
        </w:rPr>
        <w:t>komory kontrolnej,</w:t>
      </w:r>
    </w:p>
    <w:p w14:paraId="68F7F6C6" w14:textId="47A21F00" w:rsidR="00C9677E" w:rsidRPr="00234278" w:rsidRDefault="00C9677E" w:rsidP="00262498">
      <w:pPr>
        <w:pStyle w:val="Akapitzlist"/>
        <w:numPr>
          <w:ilvl w:val="0"/>
          <w:numId w:val="297"/>
        </w:numPr>
        <w:rPr>
          <w:rFonts w:asciiTheme="minorHAnsi" w:hAnsiTheme="minorHAnsi" w:cstheme="minorHAnsi"/>
        </w:rPr>
      </w:pPr>
      <w:r w:rsidRPr="00234278">
        <w:rPr>
          <w:rFonts w:asciiTheme="minorHAnsi" w:hAnsiTheme="minorHAnsi" w:cstheme="minorHAnsi"/>
        </w:rPr>
        <w:t>kominów włazowych.</w:t>
      </w:r>
    </w:p>
    <w:p w14:paraId="0BC2F6CE"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Wysokość tunelu zależna jest od średnicy przewodów wodociągowych, nie powinna być jednak mniejsza niż 210 cm.</w:t>
      </w:r>
    </w:p>
    <w:p w14:paraId="5182ED64"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Szerokość tunelu zależna jest również od średnicy przewodów i powinna uwzględniać wymagania zawarte w tablicy 1 punkt 5.5.4.1 oraz spełniać wymagania odnośnie konieczności przemieszczania rur, ich montażu oraz bezpiecznej komunikacji w tunelu.</w:t>
      </w:r>
    </w:p>
    <w:p w14:paraId="26D9E3C8"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Dno tunelu powinno posiadać spadek minimum 0,5% w kierunku komory montażowej lub kontrolnej w zależności od ukształtowania terenu.</w:t>
      </w:r>
    </w:p>
    <w:p w14:paraId="100429F4"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Komora montażowa służy dla wprowadzenia do obudowy rur oraz armatury i innego wyposażenia. Wysokość komory zależna jest m.in. od wielkości wprowadzanych elementów oraz wysokości zamontowanych zasuw odcinających.</w:t>
      </w:r>
    </w:p>
    <w:p w14:paraId="0ACA3542"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Szerokość zależy od średnicy przewodów oraz zainstalowanej armatury i innego wyposażenia.</w:t>
      </w:r>
    </w:p>
    <w:p w14:paraId="0A69E0A0"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Przy ustalaniu wymiarów komory należy ponadto zachować ustalenia zawarte w tablicy 1 punkt 5.5.4.1.</w:t>
      </w:r>
    </w:p>
    <w:p w14:paraId="1ADAFDB8"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Strop komory montażowej powinien być w całości wykonany z elementów umożliwiających ich zdejmowanie.</w:t>
      </w:r>
    </w:p>
    <w:p w14:paraId="5E443A08"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Pozostałe wymagania budowlane dotyczące wykonania ścian, dna, otworów montażowych i przykrycia komory oraz wymagania instalacyjne dotyczące: włazów, stopni włazowych, przejść przez ściany, wentylacji, jak przy wymaganiach dotyczących studzienek (komór) wodociągowych pkt 5.5.4.2.</w:t>
      </w:r>
    </w:p>
    <w:p w14:paraId="7A733BF7"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Komora kontrolna powinna spełniać wymagania dotyczące studzienek (komór) wodociągowych pkt 5.5.4.2.</w:t>
      </w:r>
    </w:p>
    <w:p w14:paraId="31D0649F"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W jednej z komór, w zależności od spadku dna obudowy tunelowej, należy wykonać w dnie studzienkę na wodę pochodzącą z przewodów wodociągowych oraz ewentualnych przecieków armatury i samej obudowy.</w:t>
      </w:r>
    </w:p>
    <w:p w14:paraId="22B10533"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Minimalne wymiary takiej studzienki powinny wynosić: w planie 80 cm x 80 cm (lub średnicy 80 cm), głębokość od 80 do 100 cm. Obudowa tunelowa powinna być objęta oddzielną specyfikacją.</w:t>
      </w:r>
    </w:p>
    <w:p w14:paraId="7C213C68" w14:textId="77777777" w:rsidR="00C9677E" w:rsidRPr="00A23FB4" w:rsidRDefault="00C9677E" w:rsidP="00262498">
      <w:pPr>
        <w:numPr>
          <w:ilvl w:val="0"/>
          <w:numId w:val="167"/>
        </w:numPr>
        <w:spacing w:before="120" w:after="120"/>
        <w:ind w:left="284" w:hanging="284"/>
        <w:rPr>
          <w:rFonts w:asciiTheme="minorHAnsi" w:hAnsiTheme="minorHAnsi" w:cstheme="minorHAnsi"/>
        </w:rPr>
      </w:pPr>
      <w:r w:rsidRPr="00A23FB4">
        <w:rPr>
          <w:rFonts w:asciiTheme="minorHAnsi" w:hAnsiTheme="minorHAnsi" w:cstheme="minorHAnsi"/>
        </w:rPr>
        <w:t>Wytyczne wykonania bloków oporowych</w:t>
      </w:r>
    </w:p>
    <w:p w14:paraId="22175B8B"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Bloki oporowe należy umieszczać przy wszystkich węzłach (odgałęzieniach), pod zasuwami i hydrantami, a także na zmianach kierunku: dla przewodów z tworzyw sztucznych przy zastosowaniu kształtek, zaś dla przewodów żeliwnych i stalowych (nie łączonych przez spawanie na styk) o średnicy powyżej 200 mm i kącie odchylenia większym niż 10</w:t>
      </w:r>
      <w:r w:rsidRPr="00A23FB4">
        <w:rPr>
          <w:rFonts w:asciiTheme="minorHAnsi" w:hAnsiTheme="minorHAnsi" w:cstheme="minorHAnsi"/>
          <w:vertAlign w:val="superscript"/>
        </w:rPr>
        <w:t>o</w:t>
      </w:r>
      <w:r w:rsidRPr="00A23FB4">
        <w:rPr>
          <w:rFonts w:asciiTheme="minorHAnsi" w:hAnsiTheme="minorHAnsi" w:cstheme="minorHAnsi"/>
        </w:rPr>
        <w:t>.</w:t>
      </w:r>
    </w:p>
    <w:p w14:paraId="751F9D6A"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Blok oporowy powinien być tak ustawiony, aby swą tylną ścianą opierał się o grunt nienaruszony. W przypadku braku możliwości spełnienia tego warunku, należy przestrzeń między tylną ścianą bloku a gruntem rodzimym zalać betonem klasy B7,5 przygotowanym na miejscu.</w:t>
      </w:r>
    </w:p>
    <w:p w14:paraId="58E6D501"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Odległość między blokiem oporowym i ścianką przewodu wodociągowego powinna być nie mniejsza niż 0,10 m. Przestrzeń między przewodem a blokiem należy zalać betonem klasy B7,5 izolując go od przewodu dwoma warstwami papy.</w:t>
      </w:r>
    </w:p>
    <w:p w14:paraId="2A867DFA"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Wykop do rzędnej wierzchu bloku można wykonywać dowolną metodą, natomiast poniżej - do rzędnej spodu bloku - wykop należy pogłębić ręcznie tuż przed jego posadowieniem, zgodnie z normą BN-81/9192-04.</w:t>
      </w:r>
    </w:p>
    <w:p w14:paraId="049BA7E8"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Wykop w miejscu wbudowania bloku należy zasypywać (do rzędnej wierzchu bloku) od strony przewodu wodociągowego.</w:t>
      </w:r>
    </w:p>
    <w:p w14:paraId="628518B7" w14:textId="77777777" w:rsidR="00C9677E" w:rsidRPr="00A23FB4" w:rsidRDefault="00C9677E" w:rsidP="00262498">
      <w:pPr>
        <w:numPr>
          <w:ilvl w:val="0"/>
          <w:numId w:val="168"/>
        </w:numPr>
        <w:spacing w:before="120" w:after="120"/>
        <w:ind w:left="284" w:hanging="284"/>
        <w:rPr>
          <w:rFonts w:asciiTheme="minorHAnsi" w:hAnsiTheme="minorHAnsi" w:cstheme="minorHAnsi"/>
        </w:rPr>
      </w:pPr>
      <w:r w:rsidRPr="00A23FB4">
        <w:rPr>
          <w:rFonts w:asciiTheme="minorHAnsi" w:hAnsiTheme="minorHAnsi" w:cstheme="minorHAnsi"/>
        </w:rPr>
        <w:t>Armatura odcinająca</w:t>
      </w:r>
    </w:p>
    <w:p w14:paraId="27120F7B"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Armaturę odcinającą (zasuwy) należy instalować:</w:t>
      </w:r>
    </w:p>
    <w:p w14:paraId="7245FF03" w14:textId="77777777" w:rsidR="00234278" w:rsidRDefault="00C9677E" w:rsidP="00262498">
      <w:pPr>
        <w:pStyle w:val="Akapitzlist"/>
        <w:numPr>
          <w:ilvl w:val="0"/>
          <w:numId w:val="160"/>
        </w:numPr>
        <w:rPr>
          <w:rFonts w:asciiTheme="minorHAnsi" w:hAnsiTheme="minorHAnsi" w:cstheme="minorHAnsi"/>
        </w:rPr>
      </w:pPr>
      <w:r w:rsidRPr="00234278">
        <w:rPr>
          <w:rFonts w:asciiTheme="minorHAnsi" w:hAnsiTheme="minorHAnsi" w:cstheme="minorHAnsi"/>
        </w:rPr>
        <w:t>w komorze montażowej i kontrolnej obudowy tunelowej,</w:t>
      </w:r>
    </w:p>
    <w:p w14:paraId="5B380469" w14:textId="77777777" w:rsidR="00234278" w:rsidRDefault="00C9677E" w:rsidP="00262498">
      <w:pPr>
        <w:pStyle w:val="Akapitzlist"/>
        <w:numPr>
          <w:ilvl w:val="0"/>
          <w:numId w:val="160"/>
        </w:numPr>
        <w:rPr>
          <w:rFonts w:asciiTheme="minorHAnsi" w:hAnsiTheme="minorHAnsi" w:cstheme="minorHAnsi"/>
        </w:rPr>
      </w:pPr>
      <w:r w:rsidRPr="00234278">
        <w:rPr>
          <w:rFonts w:asciiTheme="minorHAnsi" w:hAnsiTheme="minorHAnsi" w:cstheme="minorHAnsi"/>
        </w:rPr>
        <w:t>na przewodach wodociągowych przy rurach ochronnych na zewnątrz studzienek,</w:t>
      </w:r>
    </w:p>
    <w:p w14:paraId="2DC950CE" w14:textId="77777777" w:rsidR="00234278" w:rsidRDefault="00C9677E" w:rsidP="00262498">
      <w:pPr>
        <w:pStyle w:val="Akapitzlist"/>
        <w:numPr>
          <w:ilvl w:val="0"/>
          <w:numId w:val="160"/>
        </w:numPr>
        <w:rPr>
          <w:rFonts w:asciiTheme="minorHAnsi" w:hAnsiTheme="minorHAnsi" w:cstheme="minorHAnsi"/>
        </w:rPr>
      </w:pPr>
      <w:r w:rsidRPr="00234278">
        <w:rPr>
          <w:rFonts w:asciiTheme="minorHAnsi" w:hAnsiTheme="minorHAnsi" w:cstheme="minorHAnsi"/>
        </w:rPr>
        <w:t>na węzłach wodociągowych (przy odgałęzieniach),</w:t>
      </w:r>
    </w:p>
    <w:p w14:paraId="32E3C65B" w14:textId="77777777" w:rsidR="00234278" w:rsidRDefault="00C9677E" w:rsidP="00262498">
      <w:pPr>
        <w:pStyle w:val="Akapitzlist"/>
        <w:numPr>
          <w:ilvl w:val="0"/>
          <w:numId w:val="160"/>
        </w:numPr>
        <w:rPr>
          <w:rFonts w:asciiTheme="minorHAnsi" w:hAnsiTheme="minorHAnsi" w:cstheme="minorHAnsi"/>
        </w:rPr>
      </w:pPr>
      <w:r w:rsidRPr="00234278">
        <w:rPr>
          <w:rFonts w:asciiTheme="minorHAnsi" w:hAnsiTheme="minorHAnsi" w:cstheme="minorHAnsi"/>
        </w:rPr>
        <w:t>na odgałęzieniu do hydrantu,</w:t>
      </w:r>
    </w:p>
    <w:p w14:paraId="0D8B4C47" w14:textId="7A6940B1" w:rsidR="00C9677E" w:rsidRPr="00234278" w:rsidRDefault="00C9677E" w:rsidP="00262498">
      <w:pPr>
        <w:pStyle w:val="Akapitzlist"/>
        <w:numPr>
          <w:ilvl w:val="0"/>
          <w:numId w:val="160"/>
        </w:numPr>
        <w:rPr>
          <w:rFonts w:asciiTheme="minorHAnsi" w:hAnsiTheme="minorHAnsi" w:cstheme="minorHAnsi"/>
        </w:rPr>
      </w:pPr>
      <w:r w:rsidRPr="00234278">
        <w:rPr>
          <w:rFonts w:asciiTheme="minorHAnsi" w:hAnsiTheme="minorHAnsi" w:cstheme="minorHAnsi"/>
        </w:rPr>
        <w:t>w innych miejscach wskazanych przez użytkownika wodociągów.</w:t>
      </w:r>
    </w:p>
    <w:p w14:paraId="33FA0208" w14:textId="77777777" w:rsidR="00C9677E" w:rsidRPr="00A23FB4" w:rsidRDefault="00C9677E" w:rsidP="00262498">
      <w:pPr>
        <w:numPr>
          <w:ilvl w:val="0"/>
          <w:numId w:val="169"/>
        </w:numPr>
        <w:spacing w:before="120" w:after="120"/>
        <w:ind w:left="284" w:hanging="284"/>
        <w:rPr>
          <w:rFonts w:asciiTheme="minorHAnsi" w:hAnsiTheme="minorHAnsi" w:cstheme="minorHAnsi"/>
        </w:rPr>
      </w:pPr>
      <w:r w:rsidRPr="00A23FB4">
        <w:rPr>
          <w:rFonts w:asciiTheme="minorHAnsi" w:hAnsiTheme="minorHAnsi" w:cstheme="minorHAnsi"/>
        </w:rPr>
        <w:t>Hydranty nadziemne</w:t>
      </w:r>
    </w:p>
    <w:p w14:paraId="192CB644"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Hydranty należy umieszczać:</w:t>
      </w:r>
    </w:p>
    <w:p w14:paraId="6CEE05A4" w14:textId="77777777" w:rsidR="00234278" w:rsidRDefault="00C9677E" w:rsidP="00262498">
      <w:pPr>
        <w:pStyle w:val="Akapitzlist"/>
        <w:numPr>
          <w:ilvl w:val="0"/>
          <w:numId w:val="298"/>
        </w:numPr>
        <w:rPr>
          <w:rFonts w:asciiTheme="minorHAnsi" w:hAnsiTheme="minorHAnsi" w:cstheme="minorHAnsi"/>
        </w:rPr>
      </w:pPr>
      <w:r w:rsidRPr="00234278">
        <w:rPr>
          <w:rFonts w:asciiTheme="minorHAnsi" w:hAnsiTheme="minorHAnsi" w:cstheme="minorHAnsi"/>
        </w:rPr>
        <w:t>w terenie zabudowanym w odległości 100 m jeden od drugiego,</w:t>
      </w:r>
    </w:p>
    <w:p w14:paraId="79CCD509" w14:textId="77777777" w:rsidR="00234278" w:rsidRDefault="00C9677E" w:rsidP="00262498">
      <w:pPr>
        <w:pStyle w:val="Akapitzlist"/>
        <w:numPr>
          <w:ilvl w:val="0"/>
          <w:numId w:val="298"/>
        </w:numPr>
        <w:rPr>
          <w:rFonts w:asciiTheme="minorHAnsi" w:hAnsiTheme="minorHAnsi" w:cstheme="minorHAnsi"/>
        </w:rPr>
      </w:pPr>
      <w:r w:rsidRPr="00234278">
        <w:rPr>
          <w:rFonts w:asciiTheme="minorHAnsi" w:hAnsiTheme="minorHAnsi" w:cstheme="minorHAnsi"/>
        </w:rPr>
        <w:t>w najniższych (dla odwodnienia) i najwyższych (dla odpowietrzenia) punktach sieci wodociągowej rozdzielczej,</w:t>
      </w:r>
    </w:p>
    <w:p w14:paraId="3D2A68B9" w14:textId="132E7F0D" w:rsidR="00C9677E" w:rsidRPr="00234278" w:rsidRDefault="00C9677E" w:rsidP="00262498">
      <w:pPr>
        <w:pStyle w:val="Akapitzlist"/>
        <w:numPr>
          <w:ilvl w:val="0"/>
          <w:numId w:val="298"/>
        </w:numPr>
        <w:rPr>
          <w:rFonts w:asciiTheme="minorHAnsi" w:hAnsiTheme="minorHAnsi" w:cstheme="minorHAnsi"/>
        </w:rPr>
      </w:pPr>
      <w:r w:rsidRPr="00234278">
        <w:rPr>
          <w:rFonts w:asciiTheme="minorHAnsi" w:hAnsiTheme="minorHAnsi" w:cstheme="minorHAnsi"/>
        </w:rPr>
        <w:t>w innych miejscach wskazanych przez użytkownika wodociągów.</w:t>
      </w:r>
    </w:p>
    <w:p w14:paraId="1F005474" w14:textId="77777777" w:rsidR="00C9677E" w:rsidRPr="00A23FB4" w:rsidRDefault="00C9677E" w:rsidP="00262498">
      <w:pPr>
        <w:numPr>
          <w:ilvl w:val="0"/>
          <w:numId w:val="170"/>
        </w:numPr>
        <w:spacing w:before="120" w:after="120"/>
        <w:ind w:left="284" w:hanging="284"/>
        <w:rPr>
          <w:rFonts w:asciiTheme="minorHAnsi" w:hAnsiTheme="minorHAnsi" w:cstheme="minorHAnsi"/>
        </w:rPr>
      </w:pPr>
      <w:r w:rsidRPr="00A23FB4">
        <w:rPr>
          <w:rFonts w:asciiTheme="minorHAnsi" w:hAnsiTheme="minorHAnsi" w:cstheme="minorHAnsi"/>
        </w:rPr>
        <w:t>Elementy montażowe</w:t>
      </w:r>
    </w:p>
    <w:p w14:paraId="6AB4B869"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Elementy te należy stosować:</w:t>
      </w:r>
    </w:p>
    <w:p w14:paraId="5B879D9E" w14:textId="77777777" w:rsidR="00234278" w:rsidRDefault="00C9677E" w:rsidP="00262498">
      <w:pPr>
        <w:pStyle w:val="Akapitzlist"/>
        <w:numPr>
          <w:ilvl w:val="0"/>
          <w:numId w:val="299"/>
        </w:numPr>
        <w:rPr>
          <w:rFonts w:asciiTheme="minorHAnsi" w:hAnsiTheme="minorHAnsi" w:cstheme="minorHAnsi"/>
        </w:rPr>
      </w:pPr>
      <w:r w:rsidRPr="00234278">
        <w:rPr>
          <w:rFonts w:asciiTheme="minorHAnsi" w:hAnsiTheme="minorHAnsi" w:cstheme="minorHAnsi"/>
        </w:rPr>
        <w:t>kompensatory dławnicowe dla montażu zasuw przy studzienkach wodociągowych,</w:t>
      </w:r>
    </w:p>
    <w:p w14:paraId="30F8D0FE" w14:textId="1F88BB56" w:rsidR="00C9677E" w:rsidRPr="00234278" w:rsidRDefault="00C9677E" w:rsidP="00262498">
      <w:pPr>
        <w:pStyle w:val="Akapitzlist"/>
        <w:numPr>
          <w:ilvl w:val="0"/>
          <w:numId w:val="299"/>
        </w:numPr>
        <w:rPr>
          <w:rFonts w:asciiTheme="minorHAnsi" w:hAnsiTheme="minorHAnsi" w:cstheme="minorHAnsi"/>
        </w:rPr>
      </w:pPr>
      <w:r w:rsidRPr="00234278">
        <w:rPr>
          <w:rFonts w:asciiTheme="minorHAnsi" w:hAnsiTheme="minorHAnsi" w:cstheme="minorHAnsi"/>
        </w:rPr>
        <w:t>nasuwki dla montażu zasuw i przewodów zlokalizowanych w gruncie oraz dla łączenia przebudowanych odcinków przewodów z istniejącymi.</w:t>
      </w:r>
    </w:p>
    <w:p w14:paraId="54766F06" w14:textId="77777777" w:rsidR="00C9677E" w:rsidRPr="00A23FB4" w:rsidRDefault="00C9677E" w:rsidP="00262498">
      <w:pPr>
        <w:numPr>
          <w:ilvl w:val="0"/>
          <w:numId w:val="171"/>
        </w:numPr>
        <w:spacing w:before="120" w:after="120"/>
        <w:ind w:left="284" w:hanging="284"/>
        <w:rPr>
          <w:rFonts w:asciiTheme="minorHAnsi" w:hAnsiTheme="minorHAnsi" w:cstheme="minorHAnsi"/>
        </w:rPr>
      </w:pPr>
      <w:r w:rsidRPr="00A23FB4">
        <w:rPr>
          <w:rFonts w:asciiTheme="minorHAnsi" w:hAnsiTheme="minorHAnsi" w:cstheme="minorHAnsi"/>
        </w:rPr>
        <w:t>Izolacje</w:t>
      </w:r>
    </w:p>
    <w:p w14:paraId="5E8E0F58" w14:textId="77777777" w:rsidR="00C9677E" w:rsidRPr="00A23FB4" w:rsidRDefault="00C9677E" w:rsidP="00262498">
      <w:pPr>
        <w:numPr>
          <w:ilvl w:val="0"/>
          <w:numId w:val="172"/>
        </w:numPr>
        <w:spacing w:after="120"/>
        <w:ind w:left="284" w:hanging="284"/>
        <w:rPr>
          <w:rFonts w:asciiTheme="minorHAnsi" w:hAnsiTheme="minorHAnsi" w:cstheme="minorHAnsi"/>
        </w:rPr>
      </w:pPr>
      <w:r w:rsidRPr="00A23FB4">
        <w:rPr>
          <w:rFonts w:asciiTheme="minorHAnsi" w:hAnsiTheme="minorHAnsi" w:cstheme="minorHAnsi"/>
        </w:rPr>
        <w:t>Zabezpieczenie przewodu</w:t>
      </w:r>
    </w:p>
    <w:p w14:paraId="0AEF9ED4"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Rury oraz elementy żeliwne i stalowe, złącza na połączenie uszczelką gumową, na połączenie łącznikami, śrubowe lub uszczelnione folią aluminiową powinny być zabezpieczone zgodnie z dokumentacją.</w:t>
      </w:r>
    </w:p>
    <w:p w14:paraId="25ACE829"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Izolacja powinna stanowić szczelną jednolitą powłokę przylegającą do wierzchu przewodu na całym obwodzie i nie powinna mieć pęcherzy powietrznych, odprysków i pęknięć.</w:t>
      </w:r>
    </w:p>
    <w:p w14:paraId="755328C2"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Połączenia rur żeliwnych i stalowych po przeprowadzeniu badania szczelności odcinka przewodu powinny być dokładnie oczyszczone, a następnie zaizolowane. Izolacja złączy powinna zachodzić co najmniej 10 cm poza połączenie z izolacją rur. Do izolacji rur należy stosować: lepiki asfaltowe odpowiadające normie PN-57/B-24625, asfalty przemysłowe izolacyjne PS odpowiadające normie PN-76/C-96178, welon z włókna szklanego wg BN-87/6755-06.</w:t>
      </w:r>
    </w:p>
    <w:p w14:paraId="124F9FB4"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Bitumiczne powłoki na rurach należy wykonywać w oparciu o normy PN-70/M-97051 oraz BN-76/0648-76.</w:t>
      </w:r>
    </w:p>
    <w:p w14:paraId="13AE6E5F" w14:textId="77777777" w:rsidR="00C9677E" w:rsidRPr="00A23FB4" w:rsidRDefault="00C9677E" w:rsidP="00262498">
      <w:pPr>
        <w:numPr>
          <w:ilvl w:val="0"/>
          <w:numId w:val="173"/>
        </w:numPr>
        <w:spacing w:before="120" w:after="120"/>
        <w:ind w:left="284" w:hanging="284"/>
        <w:rPr>
          <w:rFonts w:asciiTheme="minorHAnsi" w:hAnsiTheme="minorHAnsi" w:cstheme="minorHAnsi"/>
        </w:rPr>
      </w:pPr>
      <w:r w:rsidRPr="00A23FB4">
        <w:rPr>
          <w:rFonts w:asciiTheme="minorHAnsi" w:hAnsiTheme="minorHAnsi" w:cstheme="minorHAnsi"/>
        </w:rPr>
        <w:t>Zabezpieczenie studzienek</w:t>
      </w:r>
    </w:p>
    <w:p w14:paraId="25CCEBE9"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Studzienki powinny być z zewnątrz zabezpieczone przed korozją w sposób odpowiadający rodzajowi i stopniowi agresywności środowiska, przy czym:</w:t>
      </w:r>
    </w:p>
    <w:p w14:paraId="731D8901" w14:textId="77777777" w:rsidR="00234278" w:rsidRDefault="00C9677E" w:rsidP="00262498">
      <w:pPr>
        <w:pStyle w:val="Akapitzlist"/>
        <w:numPr>
          <w:ilvl w:val="0"/>
          <w:numId w:val="300"/>
        </w:numPr>
        <w:rPr>
          <w:rFonts w:asciiTheme="minorHAnsi" w:hAnsiTheme="minorHAnsi" w:cstheme="minorHAnsi"/>
        </w:rPr>
      </w:pPr>
      <w:r w:rsidRPr="00234278">
        <w:rPr>
          <w:rFonts w:asciiTheme="minorHAnsi" w:hAnsiTheme="minorHAnsi" w:cstheme="minorHAnsi"/>
        </w:rPr>
        <w:t>izolacja powierzchniowa studzienek powinna stanowić szczelną jednolitą powłokę, przywierającą do zewnętrznej powierzchni ścian, sięgać 0,5 m ponad najwyższy poziom wód w terenie, a połączenia izolacji pionowej i poziomej oraz styki powinny zachodzić wzajemnie na siebie na szerokość co najmniej 0,1 m,</w:t>
      </w:r>
    </w:p>
    <w:p w14:paraId="59FE96E1" w14:textId="515CE081" w:rsidR="00C9677E" w:rsidRPr="00234278" w:rsidRDefault="00C9677E" w:rsidP="00262498">
      <w:pPr>
        <w:pStyle w:val="Akapitzlist"/>
        <w:numPr>
          <w:ilvl w:val="0"/>
          <w:numId w:val="300"/>
        </w:numPr>
        <w:rPr>
          <w:rFonts w:asciiTheme="minorHAnsi" w:hAnsiTheme="minorHAnsi" w:cstheme="minorHAnsi"/>
        </w:rPr>
      </w:pPr>
      <w:r w:rsidRPr="00234278">
        <w:rPr>
          <w:rFonts w:asciiTheme="minorHAnsi" w:hAnsiTheme="minorHAnsi" w:cstheme="minorHAnsi"/>
        </w:rPr>
        <w:t>okładziny zabezpieczające izolację studzienek powinny sięgać co najmniej 0,1 m powyżej izolacji pionowej, a spoiny ich powinny być dokładnie wypełnione.</w:t>
      </w:r>
    </w:p>
    <w:p w14:paraId="16EF2190"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Powłoki izolacyjne powierzchni studzienek należy wykonywać w oparciu o normę PN-82/B-01801 i PN-86/B-01811 oraz Instrukcję ITB nr 240 i 259.</w:t>
      </w:r>
    </w:p>
    <w:p w14:paraId="6EE75366"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Zabezpieczeniu podlegają również rury żelbetowe typu „Wipro” (stosowane jako rury ochronne) zgodnie z zasadami zawartymi w ww. Instrukcji).</w:t>
      </w:r>
    </w:p>
    <w:p w14:paraId="3B7751D6"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W środowisku słabo agresywnym, niezależnie od czynnika agresji, studzienki należy zabezpieczyć przez zagruntowanie bitizolem R oraz trzykrotne posmarowanie lepikiem asfaltowym stosowanym na gorąco wg PN-58/C-96177.</w:t>
      </w:r>
    </w:p>
    <w:p w14:paraId="6B8B5A3A"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W środowisku silnie agresywnym (z uwagi na dużą różnorodność i bardzo duży przedział natężenia czynnika agresji) Wykonawca uzgodni sposób zabezpieczenia powierzchni studzienek i rur z Inżynierem.</w:t>
      </w:r>
    </w:p>
    <w:p w14:paraId="5C115AF4" w14:textId="77777777" w:rsidR="00C9677E" w:rsidRPr="00A23FB4" w:rsidRDefault="00C9677E" w:rsidP="00262498">
      <w:pPr>
        <w:numPr>
          <w:ilvl w:val="0"/>
          <w:numId w:val="174"/>
        </w:numPr>
        <w:spacing w:before="120" w:after="120"/>
        <w:ind w:left="284" w:hanging="284"/>
        <w:rPr>
          <w:rFonts w:asciiTheme="minorHAnsi" w:hAnsiTheme="minorHAnsi" w:cstheme="minorHAnsi"/>
        </w:rPr>
      </w:pPr>
      <w:r w:rsidRPr="00A23FB4">
        <w:rPr>
          <w:rFonts w:asciiTheme="minorHAnsi" w:hAnsiTheme="minorHAnsi" w:cstheme="minorHAnsi"/>
        </w:rPr>
        <w:t>Zasypanie wykopów i ich zagęszczenie</w:t>
      </w:r>
    </w:p>
    <w:p w14:paraId="20DB3475"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Użyty materiał i sposób zasypania nie powinny spowodować uszkodzenia ułożonego przewodu i obiektów na przewodzie oraz izolacji wodoochronnej, przeciwwilgociowej i cieplnej.</w:t>
      </w:r>
    </w:p>
    <w:p w14:paraId="147842F9"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Grubość warstwy ochronnej zasypu strefy niebezpiecznej wg PN-53/B-06584 powinna wynosić:</w:t>
      </w:r>
    </w:p>
    <w:p w14:paraId="73C8E0B1" w14:textId="77777777" w:rsidR="00234278" w:rsidRDefault="00C9677E" w:rsidP="00262498">
      <w:pPr>
        <w:pStyle w:val="Akapitzlist"/>
        <w:numPr>
          <w:ilvl w:val="0"/>
          <w:numId w:val="301"/>
        </w:numPr>
        <w:rPr>
          <w:rFonts w:asciiTheme="minorHAnsi" w:hAnsiTheme="minorHAnsi" w:cstheme="minorHAnsi"/>
        </w:rPr>
      </w:pPr>
      <w:r w:rsidRPr="00234278">
        <w:rPr>
          <w:rFonts w:asciiTheme="minorHAnsi" w:hAnsiTheme="minorHAnsi" w:cstheme="minorHAnsi"/>
        </w:rPr>
        <w:t>dla przewodów z rur żeliwnych - 0,5 m,</w:t>
      </w:r>
    </w:p>
    <w:p w14:paraId="057A22E4" w14:textId="142BEA51" w:rsidR="00C9677E" w:rsidRPr="00234278" w:rsidRDefault="00C9677E" w:rsidP="00262498">
      <w:pPr>
        <w:pStyle w:val="Akapitzlist"/>
        <w:numPr>
          <w:ilvl w:val="0"/>
          <w:numId w:val="301"/>
        </w:numPr>
        <w:rPr>
          <w:rFonts w:asciiTheme="minorHAnsi" w:hAnsiTheme="minorHAnsi" w:cstheme="minorHAnsi"/>
        </w:rPr>
      </w:pPr>
      <w:r w:rsidRPr="00234278">
        <w:rPr>
          <w:rFonts w:asciiTheme="minorHAnsi" w:hAnsiTheme="minorHAnsi" w:cstheme="minorHAnsi"/>
        </w:rPr>
        <w:t>dla przewodów z innych rur       - 0,3 m.</w:t>
      </w:r>
    </w:p>
    <w:p w14:paraId="39994232"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Materiałem zasypu w obrębie strefy niebezpiecznej powinien być grunt nieskalisty, bez grud i kamieni, mineralny, sypki, drobno- i średnioziarnisty wg PN-74/B-02480.</w:t>
      </w:r>
    </w:p>
    <w:p w14:paraId="478D48F0"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Materiał zasypu w obrębie strefy niebezpiecznej powinien być zagęszczony ubijakiem ręcznym po obu stronach przewodu, zgodnie z PN-68/B-06050.</w:t>
      </w:r>
    </w:p>
    <w:p w14:paraId="1233F1B0"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Pozostałe warstwy gruntu dopuszcza się zagęszczać mechanicznie, o ile nie spowoduje to uszkodzenia przewodu. Wskaźnik zagęszczenia gruntu powinien być nie mniejszy niż 0,97.</w:t>
      </w:r>
    </w:p>
    <w:p w14:paraId="6DCB9FE3"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W przypadku prowadzenia robót ziemnych w istniejącej drodze o nawierzchni ulepszonej i trudności osiągnięcia wskaźnika zagęszczenia gruntu co najmniej 1, należy zastąpić górną warstwę zasypu wzmocnioną podbudową drogi.</w:t>
      </w:r>
    </w:p>
    <w:p w14:paraId="37C1B516" w14:textId="77777777" w:rsidR="00C9677E" w:rsidRPr="00A23FB4" w:rsidRDefault="00C9677E" w:rsidP="00C9677E">
      <w:pPr>
        <w:pStyle w:val="Nagwek3"/>
        <w:rPr>
          <w:rFonts w:asciiTheme="minorHAnsi" w:hAnsiTheme="minorHAnsi"/>
        </w:rPr>
      </w:pPr>
      <w:bookmarkStart w:id="94" w:name="_Toc467555868"/>
      <w:bookmarkStart w:id="95" w:name="_Toc468000827"/>
      <w:r w:rsidRPr="00A23FB4">
        <w:rPr>
          <w:rFonts w:asciiTheme="minorHAnsi" w:hAnsiTheme="minorHAnsi"/>
        </w:rPr>
        <w:t>6. KONTROLA JAKOŚCI ROBÓT</w:t>
      </w:r>
      <w:bookmarkEnd w:id="94"/>
      <w:bookmarkEnd w:id="95"/>
    </w:p>
    <w:p w14:paraId="1D4CDCF1" w14:textId="77777777" w:rsidR="00C9677E" w:rsidRPr="00A23FB4" w:rsidRDefault="00C9677E" w:rsidP="00C9677E">
      <w:pPr>
        <w:pStyle w:val="Nagwek4"/>
        <w:rPr>
          <w:rFonts w:asciiTheme="minorHAnsi" w:hAnsiTheme="minorHAnsi"/>
        </w:rPr>
      </w:pPr>
      <w:r w:rsidRPr="00A23FB4">
        <w:rPr>
          <w:rFonts w:asciiTheme="minorHAnsi" w:hAnsiTheme="minorHAnsi"/>
        </w:rPr>
        <w:t>6.1. Ogólne zasady kontroli jakości robót</w:t>
      </w:r>
    </w:p>
    <w:p w14:paraId="28C4DC20" w14:textId="1DDAEAA8" w:rsidR="00C9677E" w:rsidRPr="00A23FB4" w:rsidRDefault="00C9677E" w:rsidP="00C9677E">
      <w:pPr>
        <w:rPr>
          <w:rFonts w:asciiTheme="minorHAnsi" w:hAnsiTheme="minorHAnsi" w:cstheme="minorHAnsi"/>
        </w:rPr>
      </w:pPr>
      <w:r w:rsidRPr="00A23FB4">
        <w:rPr>
          <w:rFonts w:asciiTheme="minorHAnsi" w:hAnsiTheme="minorHAnsi" w:cstheme="minorHAnsi"/>
        </w:rPr>
        <w:t xml:space="preserve">Ogólne zasady kontroli jakości robót podano w </w:t>
      </w:r>
      <w:r w:rsidR="00CA1B27">
        <w:rPr>
          <w:rFonts w:asciiTheme="minorHAnsi" w:hAnsiTheme="minorHAnsi" w:cstheme="minorHAnsi"/>
        </w:rPr>
        <w:t>ST</w:t>
      </w:r>
      <w:r w:rsidRPr="00A23FB4">
        <w:rPr>
          <w:rFonts w:asciiTheme="minorHAnsi" w:hAnsiTheme="minorHAnsi" w:cstheme="minorHAnsi"/>
        </w:rPr>
        <w:t>WiORB D-M-00.00.00 „Wymagania ogólne” pkt 6.</w:t>
      </w:r>
    </w:p>
    <w:p w14:paraId="233D718C" w14:textId="77777777" w:rsidR="00C9677E" w:rsidRPr="00A23FB4" w:rsidRDefault="00C9677E" w:rsidP="00C9677E">
      <w:pPr>
        <w:pStyle w:val="Nagwek4"/>
        <w:rPr>
          <w:rFonts w:asciiTheme="minorHAnsi" w:hAnsiTheme="minorHAnsi"/>
        </w:rPr>
      </w:pPr>
      <w:r w:rsidRPr="00A23FB4">
        <w:rPr>
          <w:rFonts w:asciiTheme="minorHAnsi" w:hAnsiTheme="minorHAnsi"/>
        </w:rPr>
        <w:t>6.2. Kontrola, pomiary i badania</w:t>
      </w:r>
    </w:p>
    <w:p w14:paraId="0739CB00" w14:textId="77777777" w:rsidR="00C9677E" w:rsidRPr="00A23FB4" w:rsidRDefault="00C9677E" w:rsidP="00262498">
      <w:pPr>
        <w:numPr>
          <w:ilvl w:val="0"/>
          <w:numId w:val="175"/>
        </w:numPr>
        <w:spacing w:after="120"/>
        <w:ind w:left="284" w:hanging="284"/>
        <w:rPr>
          <w:rFonts w:asciiTheme="minorHAnsi" w:hAnsiTheme="minorHAnsi" w:cstheme="minorHAnsi"/>
        </w:rPr>
      </w:pPr>
      <w:r w:rsidRPr="00A23FB4">
        <w:rPr>
          <w:rFonts w:asciiTheme="minorHAnsi" w:hAnsiTheme="minorHAnsi" w:cstheme="minorHAnsi"/>
        </w:rPr>
        <w:t>Badania przed przystąpieniem do robót</w:t>
      </w:r>
    </w:p>
    <w:p w14:paraId="4F2D68E2"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Przed przystąpieniem do robót Wykonawca powinien wykonać badania mające na celu:</w:t>
      </w:r>
    </w:p>
    <w:p w14:paraId="31F520A7" w14:textId="77777777" w:rsidR="00234278" w:rsidRDefault="00C9677E" w:rsidP="00262498">
      <w:pPr>
        <w:pStyle w:val="Akapitzlist"/>
        <w:numPr>
          <w:ilvl w:val="0"/>
          <w:numId w:val="302"/>
        </w:numPr>
        <w:rPr>
          <w:rFonts w:asciiTheme="minorHAnsi" w:hAnsiTheme="minorHAnsi" w:cstheme="minorHAnsi"/>
        </w:rPr>
      </w:pPr>
      <w:r w:rsidRPr="00234278">
        <w:rPr>
          <w:rFonts w:asciiTheme="minorHAnsi" w:hAnsiTheme="minorHAnsi" w:cstheme="minorHAnsi"/>
        </w:rPr>
        <w:t>zakwalifikowania gruntów do odpowiedniej kategorii,</w:t>
      </w:r>
    </w:p>
    <w:p w14:paraId="67A490D8" w14:textId="77777777" w:rsidR="00234278" w:rsidRDefault="00C9677E" w:rsidP="00262498">
      <w:pPr>
        <w:pStyle w:val="Akapitzlist"/>
        <w:numPr>
          <w:ilvl w:val="0"/>
          <w:numId w:val="302"/>
        </w:numPr>
        <w:rPr>
          <w:rFonts w:asciiTheme="minorHAnsi" w:hAnsiTheme="minorHAnsi" w:cstheme="minorHAnsi"/>
        </w:rPr>
      </w:pPr>
      <w:r w:rsidRPr="00234278">
        <w:rPr>
          <w:rFonts w:asciiTheme="minorHAnsi" w:hAnsiTheme="minorHAnsi" w:cstheme="minorHAnsi"/>
        </w:rPr>
        <w:t>określenie rodzaju gruntu i jego uwarstwienia,</w:t>
      </w:r>
    </w:p>
    <w:p w14:paraId="72D5A5DF" w14:textId="77777777" w:rsidR="00234278" w:rsidRDefault="00C9677E" w:rsidP="00262498">
      <w:pPr>
        <w:pStyle w:val="Akapitzlist"/>
        <w:numPr>
          <w:ilvl w:val="0"/>
          <w:numId w:val="302"/>
        </w:numPr>
        <w:rPr>
          <w:rFonts w:asciiTheme="minorHAnsi" w:hAnsiTheme="minorHAnsi" w:cstheme="minorHAnsi"/>
        </w:rPr>
      </w:pPr>
      <w:r w:rsidRPr="00234278">
        <w:rPr>
          <w:rFonts w:asciiTheme="minorHAnsi" w:hAnsiTheme="minorHAnsi" w:cstheme="minorHAnsi"/>
        </w:rPr>
        <w:t>określenie stanu terenu,</w:t>
      </w:r>
    </w:p>
    <w:p w14:paraId="34D9F0AE" w14:textId="77777777" w:rsidR="00234278" w:rsidRDefault="00C9677E" w:rsidP="00262498">
      <w:pPr>
        <w:pStyle w:val="Akapitzlist"/>
        <w:numPr>
          <w:ilvl w:val="0"/>
          <w:numId w:val="302"/>
        </w:numPr>
        <w:rPr>
          <w:rFonts w:asciiTheme="minorHAnsi" w:hAnsiTheme="minorHAnsi" w:cstheme="minorHAnsi"/>
        </w:rPr>
      </w:pPr>
      <w:r w:rsidRPr="00234278">
        <w:rPr>
          <w:rFonts w:asciiTheme="minorHAnsi" w:hAnsiTheme="minorHAnsi" w:cstheme="minorHAnsi"/>
        </w:rPr>
        <w:t>ustalenie składu betonu i zapraw,</w:t>
      </w:r>
    </w:p>
    <w:p w14:paraId="7FAE6FB1" w14:textId="77777777" w:rsidR="00234278" w:rsidRDefault="00C9677E" w:rsidP="00262498">
      <w:pPr>
        <w:pStyle w:val="Akapitzlist"/>
        <w:numPr>
          <w:ilvl w:val="0"/>
          <w:numId w:val="302"/>
        </w:numPr>
        <w:rPr>
          <w:rFonts w:asciiTheme="minorHAnsi" w:hAnsiTheme="minorHAnsi" w:cstheme="minorHAnsi"/>
        </w:rPr>
      </w:pPr>
      <w:r w:rsidRPr="00234278">
        <w:rPr>
          <w:rFonts w:asciiTheme="minorHAnsi" w:hAnsiTheme="minorHAnsi" w:cstheme="minorHAnsi"/>
        </w:rPr>
        <w:t>ustalenie sposobu zabezpieczenia wykopów przed zalaniem wodą,</w:t>
      </w:r>
    </w:p>
    <w:p w14:paraId="1E27C142" w14:textId="79BF84C0" w:rsidR="00C9677E" w:rsidRPr="00234278" w:rsidRDefault="00C9677E" w:rsidP="00262498">
      <w:pPr>
        <w:pStyle w:val="Akapitzlist"/>
        <w:numPr>
          <w:ilvl w:val="0"/>
          <w:numId w:val="302"/>
        </w:numPr>
        <w:rPr>
          <w:rFonts w:asciiTheme="minorHAnsi" w:hAnsiTheme="minorHAnsi" w:cstheme="minorHAnsi"/>
        </w:rPr>
      </w:pPr>
      <w:r w:rsidRPr="00234278">
        <w:rPr>
          <w:rFonts w:asciiTheme="minorHAnsi" w:hAnsiTheme="minorHAnsi" w:cstheme="minorHAnsi"/>
        </w:rPr>
        <w:t>ustalenie metod wykonywania wykopów,ustalenie metod prowadzenia robót i ich kontroli w czasie trwania budowy.</w:t>
      </w:r>
    </w:p>
    <w:p w14:paraId="762DCD07" w14:textId="77777777" w:rsidR="00C9677E" w:rsidRPr="00A23FB4" w:rsidRDefault="00C9677E" w:rsidP="00262498">
      <w:pPr>
        <w:numPr>
          <w:ilvl w:val="0"/>
          <w:numId w:val="176"/>
        </w:numPr>
        <w:spacing w:after="120"/>
        <w:ind w:left="284" w:hanging="284"/>
        <w:rPr>
          <w:rFonts w:asciiTheme="minorHAnsi" w:hAnsiTheme="minorHAnsi" w:cstheme="minorHAnsi"/>
        </w:rPr>
      </w:pPr>
      <w:r w:rsidRPr="00A23FB4">
        <w:rPr>
          <w:rFonts w:asciiTheme="minorHAnsi" w:hAnsiTheme="minorHAnsi" w:cstheme="minorHAnsi"/>
        </w:rPr>
        <w:t>Kontrola, pomiary i badania w czasie robót</w:t>
      </w:r>
    </w:p>
    <w:p w14:paraId="561F6D64"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Wykonawca jest zobowiązany do stałej i systematycznej kontroli prowadzonych robót w zakresie i z częstotliwością zaakceptowaną przez Inżyniera w oparciu o normę BN-83/8836-02, PN-81/B-10725 i PN-91/B-10728.</w:t>
      </w:r>
    </w:p>
    <w:p w14:paraId="0EB48C3E"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W szczególności kontrola powinna obejmować:</w:t>
      </w:r>
    </w:p>
    <w:p w14:paraId="59CEAF71" w14:textId="77777777" w:rsidR="00234278" w:rsidRDefault="00C9677E" w:rsidP="00262498">
      <w:pPr>
        <w:pStyle w:val="Akapitzlist"/>
        <w:numPr>
          <w:ilvl w:val="0"/>
          <w:numId w:val="303"/>
        </w:numPr>
        <w:rPr>
          <w:rFonts w:asciiTheme="minorHAnsi" w:hAnsiTheme="minorHAnsi" w:cstheme="minorHAnsi"/>
        </w:rPr>
      </w:pPr>
      <w:r w:rsidRPr="00234278">
        <w:rPr>
          <w:rFonts w:asciiTheme="minorHAnsi" w:hAnsiTheme="minorHAnsi" w:cstheme="minorHAnsi"/>
        </w:rPr>
        <w:t>sprawdzenie rzędnych założonych ław celowniczych w nawiązaniu do podanych na placu budowy stałych punktów niwelacyjnych z dokładnością odczytu do 1 mm,</w:t>
      </w:r>
    </w:p>
    <w:p w14:paraId="4A245591" w14:textId="77777777" w:rsidR="00234278" w:rsidRDefault="00C9677E" w:rsidP="00262498">
      <w:pPr>
        <w:pStyle w:val="Akapitzlist"/>
        <w:numPr>
          <w:ilvl w:val="0"/>
          <w:numId w:val="303"/>
        </w:numPr>
        <w:rPr>
          <w:rFonts w:asciiTheme="minorHAnsi" w:hAnsiTheme="minorHAnsi" w:cstheme="minorHAnsi"/>
        </w:rPr>
      </w:pPr>
      <w:r w:rsidRPr="00234278">
        <w:rPr>
          <w:rFonts w:asciiTheme="minorHAnsi" w:hAnsiTheme="minorHAnsi" w:cstheme="minorHAnsi"/>
        </w:rPr>
        <w:t>sprawdzenie metod wykonywania wykopów,</w:t>
      </w:r>
    </w:p>
    <w:p w14:paraId="6E10219D" w14:textId="77777777" w:rsidR="00234278" w:rsidRDefault="00C9677E" w:rsidP="00262498">
      <w:pPr>
        <w:pStyle w:val="Akapitzlist"/>
        <w:numPr>
          <w:ilvl w:val="0"/>
          <w:numId w:val="303"/>
        </w:numPr>
        <w:rPr>
          <w:rFonts w:asciiTheme="minorHAnsi" w:hAnsiTheme="minorHAnsi" w:cstheme="minorHAnsi"/>
        </w:rPr>
      </w:pPr>
      <w:r w:rsidRPr="00234278">
        <w:rPr>
          <w:rFonts w:asciiTheme="minorHAnsi" w:hAnsiTheme="minorHAnsi" w:cstheme="minorHAnsi"/>
        </w:rPr>
        <w:t>zbadanie materiałów i elementów obudowy pod kątem ich zgodności z cechami podanymi w dokumentacji technicznej i warunkami technicznymi podanymi przez wytwórcę,</w:t>
      </w:r>
    </w:p>
    <w:p w14:paraId="23F8BF9A" w14:textId="77777777" w:rsidR="00234278" w:rsidRDefault="00C9677E" w:rsidP="00262498">
      <w:pPr>
        <w:pStyle w:val="Akapitzlist"/>
        <w:numPr>
          <w:ilvl w:val="0"/>
          <w:numId w:val="303"/>
        </w:numPr>
        <w:rPr>
          <w:rFonts w:asciiTheme="minorHAnsi" w:hAnsiTheme="minorHAnsi" w:cstheme="minorHAnsi"/>
        </w:rPr>
      </w:pPr>
      <w:r w:rsidRPr="00234278">
        <w:rPr>
          <w:rFonts w:asciiTheme="minorHAnsi" w:hAnsiTheme="minorHAnsi" w:cstheme="minorHAnsi"/>
        </w:rPr>
        <w:t>badanie zachowania warunków bezpieczeństwa pracy,</w:t>
      </w:r>
    </w:p>
    <w:p w14:paraId="76B7D63A" w14:textId="77777777" w:rsidR="00234278" w:rsidRDefault="00C9677E" w:rsidP="00262498">
      <w:pPr>
        <w:pStyle w:val="Akapitzlist"/>
        <w:numPr>
          <w:ilvl w:val="0"/>
          <w:numId w:val="303"/>
        </w:numPr>
        <w:rPr>
          <w:rFonts w:asciiTheme="minorHAnsi" w:hAnsiTheme="minorHAnsi" w:cstheme="minorHAnsi"/>
        </w:rPr>
      </w:pPr>
      <w:r w:rsidRPr="00234278">
        <w:rPr>
          <w:rFonts w:asciiTheme="minorHAnsi" w:hAnsiTheme="minorHAnsi" w:cstheme="minorHAnsi"/>
        </w:rPr>
        <w:t>badanie zabezpieczenia wykopów przed zalaniem wodą,</w:t>
      </w:r>
    </w:p>
    <w:p w14:paraId="338146DA" w14:textId="77777777" w:rsidR="00234278" w:rsidRDefault="00C9677E" w:rsidP="00262498">
      <w:pPr>
        <w:pStyle w:val="Akapitzlist"/>
        <w:numPr>
          <w:ilvl w:val="0"/>
          <w:numId w:val="303"/>
        </w:numPr>
        <w:rPr>
          <w:rFonts w:asciiTheme="minorHAnsi" w:hAnsiTheme="minorHAnsi" w:cstheme="minorHAnsi"/>
        </w:rPr>
      </w:pPr>
      <w:r w:rsidRPr="00234278">
        <w:rPr>
          <w:rFonts w:asciiTheme="minorHAnsi" w:hAnsiTheme="minorHAnsi" w:cstheme="minorHAnsi"/>
        </w:rPr>
        <w:t>badanie prawidłowości podłoża naturalnego, w tym głównie jego nienaruszalności, wilgotności i zgodności z określonym w dokumentacji,</w:t>
      </w:r>
    </w:p>
    <w:p w14:paraId="0FB0AE33" w14:textId="77777777" w:rsidR="00234278" w:rsidRDefault="00C9677E" w:rsidP="00262498">
      <w:pPr>
        <w:pStyle w:val="Akapitzlist"/>
        <w:numPr>
          <w:ilvl w:val="0"/>
          <w:numId w:val="303"/>
        </w:numPr>
        <w:rPr>
          <w:rFonts w:asciiTheme="minorHAnsi" w:hAnsiTheme="minorHAnsi" w:cstheme="minorHAnsi"/>
        </w:rPr>
      </w:pPr>
      <w:r w:rsidRPr="00234278">
        <w:rPr>
          <w:rFonts w:asciiTheme="minorHAnsi" w:hAnsiTheme="minorHAnsi" w:cstheme="minorHAnsi"/>
        </w:rPr>
        <w:t>badanie i pomiary szerokości, grubości i zagęszczenia wykonanego podłoża wzmocnionego z kruszywa lub betonu,</w:t>
      </w:r>
    </w:p>
    <w:p w14:paraId="44573A07" w14:textId="77777777" w:rsidR="00234278" w:rsidRDefault="00C9677E" w:rsidP="00262498">
      <w:pPr>
        <w:pStyle w:val="Akapitzlist"/>
        <w:numPr>
          <w:ilvl w:val="0"/>
          <w:numId w:val="303"/>
        </w:numPr>
        <w:rPr>
          <w:rFonts w:asciiTheme="minorHAnsi" w:hAnsiTheme="minorHAnsi" w:cstheme="minorHAnsi"/>
        </w:rPr>
      </w:pPr>
      <w:r w:rsidRPr="00234278">
        <w:rPr>
          <w:rFonts w:asciiTheme="minorHAnsi" w:hAnsiTheme="minorHAnsi" w:cstheme="minorHAnsi"/>
        </w:rPr>
        <w:t>badanie ewentualnego drenażu,</w:t>
      </w:r>
    </w:p>
    <w:p w14:paraId="700C5448" w14:textId="77777777" w:rsidR="00234278" w:rsidRDefault="00C9677E" w:rsidP="00262498">
      <w:pPr>
        <w:pStyle w:val="Akapitzlist"/>
        <w:numPr>
          <w:ilvl w:val="0"/>
          <w:numId w:val="303"/>
        </w:numPr>
        <w:rPr>
          <w:rFonts w:asciiTheme="minorHAnsi" w:hAnsiTheme="minorHAnsi" w:cstheme="minorHAnsi"/>
        </w:rPr>
      </w:pPr>
      <w:r w:rsidRPr="00234278">
        <w:rPr>
          <w:rFonts w:asciiTheme="minorHAnsi" w:hAnsiTheme="minorHAnsi" w:cstheme="minorHAnsi"/>
        </w:rPr>
        <w:t>badanie w zakresie zgodności z dokumentacją techniczną i warunkami określonymi w odpowiednich normach przedmiotowych lub warunkami technicznymi wytwórni materiałów, ewentualnie innymi umownymi warunkami,</w:t>
      </w:r>
    </w:p>
    <w:p w14:paraId="3E440B32" w14:textId="77777777" w:rsidR="00234278" w:rsidRDefault="00C9677E" w:rsidP="00262498">
      <w:pPr>
        <w:pStyle w:val="Akapitzlist"/>
        <w:numPr>
          <w:ilvl w:val="0"/>
          <w:numId w:val="303"/>
        </w:numPr>
        <w:rPr>
          <w:rFonts w:asciiTheme="minorHAnsi" w:hAnsiTheme="minorHAnsi" w:cstheme="minorHAnsi"/>
        </w:rPr>
      </w:pPr>
      <w:r w:rsidRPr="00234278">
        <w:rPr>
          <w:rFonts w:asciiTheme="minorHAnsi" w:hAnsiTheme="minorHAnsi" w:cstheme="minorHAnsi"/>
        </w:rPr>
        <w:t>badanie głębokości ułożenia przewodu, jego odległości od budowli sąsiadujących i ich zabezpieczenia,</w:t>
      </w:r>
    </w:p>
    <w:p w14:paraId="3385A38D" w14:textId="77777777" w:rsidR="00234278" w:rsidRDefault="00C9677E" w:rsidP="00262498">
      <w:pPr>
        <w:pStyle w:val="Akapitzlist"/>
        <w:numPr>
          <w:ilvl w:val="0"/>
          <w:numId w:val="303"/>
        </w:numPr>
        <w:rPr>
          <w:rFonts w:asciiTheme="minorHAnsi" w:hAnsiTheme="minorHAnsi" w:cstheme="minorHAnsi"/>
        </w:rPr>
      </w:pPr>
      <w:r w:rsidRPr="00234278">
        <w:rPr>
          <w:rFonts w:asciiTheme="minorHAnsi" w:hAnsiTheme="minorHAnsi" w:cstheme="minorHAnsi"/>
        </w:rPr>
        <w:t>badanie ułożenia przewodu na podłożu,</w:t>
      </w:r>
    </w:p>
    <w:p w14:paraId="4E78D9FA" w14:textId="77777777" w:rsidR="00234278" w:rsidRDefault="00C9677E" w:rsidP="00262498">
      <w:pPr>
        <w:pStyle w:val="Akapitzlist"/>
        <w:numPr>
          <w:ilvl w:val="0"/>
          <w:numId w:val="303"/>
        </w:numPr>
        <w:rPr>
          <w:rFonts w:asciiTheme="minorHAnsi" w:hAnsiTheme="minorHAnsi" w:cstheme="minorHAnsi"/>
        </w:rPr>
      </w:pPr>
      <w:r w:rsidRPr="00234278">
        <w:rPr>
          <w:rFonts w:asciiTheme="minorHAnsi" w:hAnsiTheme="minorHAnsi" w:cstheme="minorHAnsi"/>
        </w:rPr>
        <w:t>badanie odchylenia osi przewodu i jego spadku,</w:t>
      </w:r>
    </w:p>
    <w:p w14:paraId="65283989" w14:textId="77777777" w:rsidR="00234278" w:rsidRDefault="00C9677E" w:rsidP="00262498">
      <w:pPr>
        <w:pStyle w:val="Akapitzlist"/>
        <w:numPr>
          <w:ilvl w:val="0"/>
          <w:numId w:val="303"/>
        </w:numPr>
        <w:rPr>
          <w:rFonts w:asciiTheme="minorHAnsi" w:hAnsiTheme="minorHAnsi" w:cstheme="minorHAnsi"/>
        </w:rPr>
      </w:pPr>
      <w:r w:rsidRPr="00234278">
        <w:rPr>
          <w:rFonts w:asciiTheme="minorHAnsi" w:hAnsiTheme="minorHAnsi" w:cstheme="minorHAnsi"/>
        </w:rPr>
        <w:t>badanie zastosowanych złączy i ich uszczelnienie,</w:t>
      </w:r>
    </w:p>
    <w:p w14:paraId="0E40987B" w14:textId="77777777" w:rsidR="00234278" w:rsidRDefault="00C9677E" w:rsidP="00262498">
      <w:pPr>
        <w:pStyle w:val="Akapitzlist"/>
        <w:numPr>
          <w:ilvl w:val="0"/>
          <w:numId w:val="303"/>
        </w:numPr>
        <w:rPr>
          <w:rFonts w:asciiTheme="minorHAnsi" w:hAnsiTheme="minorHAnsi" w:cstheme="minorHAnsi"/>
        </w:rPr>
      </w:pPr>
      <w:r w:rsidRPr="00234278">
        <w:rPr>
          <w:rFonts w:asciiTheme="minorHAnsi" w:hAnsiTheme="minorHAnsi" w:cstheme="minorHAnsi"/>
        </w:rPr>
        <w:t>badanie zmiany kierunków przewodu i ich zabezpieczenia przed przemieszczaniem,</w:t>
      </w:r>
    </w:p>
    <w:p w14:paraId="467FA180" w14:textId="77777777" w:rsidR="00234278" w:rsidRDefault="00C9677E" w:rsidP="00262498">
      <w:pPr>
        <w:pStyle w:val="Akapitzlist"/>
        <w:numPr>
          <w:ilvl w:val="0"/>
          <w:numId w:val="303"/>
        </w:numPr>
        <w:rPr>
          <w:rFonts w:asciiTheme="minorHAnsi" w:hAnsiTheme="minorHAnsi" w:cstheme="minorHAnsi"/>
        </w:rPr>
      </w:pPr>
      <w:r w:rsidRPr="00234278">
        <w:rPr>
          <w:rFonts w:asciiTheme="minorHAnsi" w:hAnsiTheme="minorHAnsi" w:cstheme="minorHAnsi"/>
        </w:rPr>
        <w:t>badanie zabezpieczenia przewodu przy przejściu pod drogami (rury ochronne, obudowy tunelowe),</w:t>
      </w:r>
    </w:p>
    <w:p w14:paraId="58B9B605" w14:textId="77777777" w:rsidR="00234278" w:rsidRDefault="00C9677E" w:rsidP="00262498">
      <w:pPr>
        <w:pStyle w:val="Akapitzlist"/>
        <w:numPr>
          <w:ilvl w:val="0"/>
          <w:numId w:val="303"/>
        </w:numPr>
        <w:rPr>
          <w:rFonts w:asciiTheme="minorHAnsi" w:hAnsiTheme="minorHAnsi" w:cstheme="minorHAnsi"/>
        </w:rPr>
      </w:pPr>
      <w:r w:rsidRPr="00234278">
        <w:rPr>
          <w:rFonts w:asciiTheme="minorHAnsi" w:hAnsiTheme="minorHAnsi" w:cstheme="minorHAnsi"/>
        </w:rPr>
        <w:t>badanie zabezpieczenia przed korozją i prądami błądzącymi,</w:t>
      </w:r>
    </w:p>
    <w:p w14:paraId="38643F73" w14:textId="77777777" w:rsidR="00234278" w:rsidRDefault="00C9677E" w:rsidP="00262498">
      <w:pPr>
        <w:pStyle w:val="Akapitzlist"/>
        <w:numPr>
          <w:ilvl w:val="0"/>
          <w:numId w:val="303"/>
        </w:numPr>
        <w:rPr>
          <w:rFonts w:asciiTheme="minorHAnsi" w:hAnsiTheme="minorHAnsi" w:cstheme="minorHAnsi"/>
        </w:rPr>
      </w:pPr>
      <w:r w:rsidRPr="00234278">
        <w:rPr>
          <w:rFonts w:asciiTheme="minorHAnsi" w:hAnsiTheme="minorHAnsi" w:cstheme="minorHAnsi"/>
        </w:rPr>
        <w:t>badanie wykonania obiektów budowlanych na przewodzie wodociągowym (w tym: badanie podłoża, sprawdzenie zbrojenia konstrukcji, izolacji wodoszczelnej, zabezpieczenia przed korozją, sprawdzenie przejść rurociągów przez ściany, sprawdzenie montażu przewodów i armatury, sprawdzenie rzędnych posadowienia pokryw włazów oraz sprawdzenie stopni włazowych, otworów montażowych i urządzeń wentylacyjnych),</w:t>
      </w:r>
    </w:p>
    <w:p w14:paraId="2E9183D1" w14:textId="77777777" w:rsidR="00234278" w:rsidRDefault="00C9677E" w:rsidP="00262498">
      <w:pPr>
        <w:pStyle w:val="Akapitzlist"/>
        <w:numPr>
          <w:ilvl w:val="0"/>
          <w:numId w:val="303"/>
        </w:numPr>
        <w:rPr>
          <w:rFonts w:asciiTheme="minorHAnsi" w:hAnsiTheme="minorHAnsi" w:cstheme="minorHAnsi"/>
        </w:rPr>
      </w:pPr>
      <w:r w:rsidRPr="00234278">
        <w:rPr>
          <w:rFonts w:asciiTheme="minorHAnsi" w:hAnsiTheme="minorHAnsi" w:cstheme="minorHAnsi"/>
        </w:rPr>
        <w:t>badanie szczelności całego przewodu,</w:t>
      </w:r>
    </w:p>
    <w:p w14:paraId="7A131CD3" w14:textId="77777777" w:rsidR="00234278" w:rsidRDefault="00C9677E" w:rsidP="00262498">
      <w:pPr>
        <w:pStyle w:val="Akapitzlist"/>
        <w:numPr>
          <w:ilvl w:val="0"/>
          <w:numId w:val="303"/>
        </w:numPr>
        <w:rPr>
          <w:rFonts w:asciiTheme="minorHAnsi" w:hAnsiTheme="minorHAnsi" w:cstheme="minorHAnsi"/>
        </w:rPr>
      </w:pPr>
      <w:r w:rsidRPr="00234278">
        <w:rPr>
          <w:rFonts w:asciiTheme="minorHAnsi" w:hAnsiTheme="minorHAnsi" w:cstheme="minorHAnsi"/>
        </w:rPr>
        <w:t>badanie warstwy ochronnej zasypu przewodu,</w:t>
      </w:r>
    </w:p>
    <w:p w14:paraId="1CF35958" w14:textId="597F0C99" w:rsidR="00C9677E" w:rsidRPr="00234278" w:rsidRDefault="00C9677E" w:rsidP="00262498">
      <w:pPr>
        <w:pStyle w:val="Akapitzlist"/>
        <w:numPr>
          <w:ilvl w:val="0"/>
          <w:numId w:val="303"/>
        </w:numPr>
        <w:rPr>
          <w:rFonts w:asciiTheme="minorHAnsi" w:hAnsiTheme="minorHAnsi" w:cstheme="minorHAnsi"/>
        </w:rPr>
      </w:pPr>
      <w:r w:rsidRPr="00234278">
        <w:rPr>
          <w:rFonts w:asciiTheme="minorHAnsi" w:hAnsiTheme="minorHAnsi" w:cstheme="minorHAnsi"/>
        </w:rPr>
        <w:t>badanie zasypu przewodu do powierzchni terenu poprzez badanie wskaźników zagęszczenia poszczególnych jego warstw.</w:t>
      </w:r>
    </w:p>
    <w:p w14:paraId="3EB73380" w14:textId="77777777" w:rsidR="00C9677E" w:rsidRPr="00A23FB4" w:rsidRDefault="00C9677E" w:rsidP="00234278">
      <w:pPr>
        <w:spacing w:before="120" w:after="120"/>
        <w:rPr>
          <w:rFonts w:asciiTheme="minorHAnsi" w:hAnsiTheme="minorHAnsi" w:cstheme="minorHAnsi"/>
        </w:rPr>
      </w:pPr>
      <w:r w:rsidRPr="00A23FB4">
        <w:rPr>
          <w:rFonts w:asciiTheme="minorHAnsi" w:hAnsiTheme="minorHAnsi" w:cstheme="minorHAnsi"/>
        </w:rPr>
        <w:t>Dopuszczalne tolerancje i wymagania:</w:t>
      </w:r>
    </w:p>
    <w:p w14:paraId="269CE543" w14:textId="77777777" w:rsidR="00234278" w:rsidRDefault="00C9677E" w:rsidP="00262498">
      <w:pPr>
        <w:pStyle w:val="Akapitzlist"/>
        <w:numPr>
          <w:ilvl w:val="0"/>
          <w:numId w:val="304"/>
        </w:numPr>
        <w:rPr>
          <w:rFonts w:asciiTheme="minorHAnsi" w:hAnsiTheme="minorHAnsi" w:cstheme="minorHAnsi"/>
        </w:rPr>
      </w:pPr>
      <w:r w:rsidRPr="00234278">
        <w:rPr>
          <w:rFonts w:asciiTheme="minorHAnsi" w:hAnsiTheme="minorHAnsi" w:cstheme="minorHAnsi"/>
        </w:rPr>
        <w:t>odchylenie odległości krawędzi wykopu w dnie od ustalonej w planie osi wykopu nie powinno wynosić więcej niż ± 5 cm,</w:t>
      </w:r>
    </w:p>
    <w:p w14:paraId="2EE24A5E" w14:textId="77777777" w:rsidR="00234278" w:rsidRDefault="00C9677E" w:rsidP="00262498">
      <w:pPr>
        <w:pStyle w:val="Akapitzlist"/>
        <w:numPr>
          <w:ilvl w:val="0"/>
          <w:numId w:val="304"/>
        </w:numPr>
        <w:rPr>
          <w:rFonts w:asciiTheme="minorHAnsi" w:hAnsiTheme="minorHAnsi" w:cstheme="minorHAnsi"/>
        </w:rPr>
      </w:pPr>
      <w:r w:rsidRPr="00234278">
        <w:rPr>
          <w:rFonts w:asciiTheme="minorHAnsi" w:hAnsiTheme="minorHAnsi" w:cstheme="minorHAnsi"/>
        </w:rPr>
        <w:t>odchylenie wymiarów w planie nie powinno być większe niż 0,1 m,</w:t>
      </w:r>
    </w:p>
    <w:p w14:paraId="0FD0016A" w14:textId="77777777" w:rsidR="00234278" w:rsidRDefault="00C9677E" w:rsidP="00262498">
      <w:pPr>
        <w:pStyle w:val="Akapitzlist"/>
        <w:numPr>
          <w:ilvl w:val="0"/>
          <w:numId w:val="304"/>
        </w:numPr>
        <w:rPr>
          <w:rFonts w:asciiTheme="minorHAnsi" w:hAnsiTheme="minorHAnsi" w:cstheme="minorHAnsi"/>
        </w:rPr>
      </w:pPr>
      <w:r w:rsidRPr="00234278">
        <w:rPr>
          <w:rFonts w:asciiTheme="minorHAnsi" w:hAnsiTheme="minorHAnsi" w:cstheme="minorHAnsi"/>
        </w:rPr>
        <w:t>odchylenie grubości warstwy zabezpieczającej naturalne podłoże nie powinno przekroczyć ± 3 cm,</w:t>
      </w:r>
    </w:p>
    <w:p w14:paraId="3138F129" w14:textId="77777777" w:rsidR="00234278" w:rsidRDefault="00C9677E" w:rsidP="00262498">
      <w:pPr>
        <w:pStyle w:val="Akapitzlist"/>
        <w:numPr>
          <w:ilvl w:val="0"/>
          <w:numId w:val="304"/>
        </w:numPr>
        <w:rPr>
          <w:rFonts w:asciiTheme="minorHAnsi" w:hAnsiTheme="minorHAnsi" w:cstheme="minorHAnsi"/>
        </w:rPr>
      </w:pPr>
      <w:r w:rsidRPr="00234278">
        <w:rPr>
          <w:rFonts w:asciiTheme="minorHAnsi" w:hAnsiTheme="minorHAnsi" w:cstheme="minorHAnsi"/>
        </w:rPr>
        <w:t>dopuszczalne odchylenia w planie krawędzi wykonanego podłoża wzmocnionego od ustalonego na ławach celowniczych kierunku osi przewodu nie powinny przekraczać: dla przewodów z tworzyw sztucznych 10 cm, dla pozostałych przewodów 5 cm,</w:t>
      </w:r>
    </w:p>
    <w:p w14:paraId="02CD80B4" w14:textId="77777777" w:rsidR="00234278" w:rsidRDefault="00C9677E" w:rsidP="00262498">
      <w:pPr>
        <w:pStyle w:val="Akapitzlist"/>
        <w:numPr>
          <w:ilvl w:val="0"/>
          <w:numId w:val="304"/>
        </w:numPr>
        <w:rPr>
          <w:rFonts w:asciiTheme="minorHAnsi" w:hAnsiTheme="minorHAnsi" w:cstheme="minorHAnsi"/>
        </w:rPr>
      </w:pPr>
      <w:r w:rsidRPr="00234278">
        <w:rPr>
          <w:rFonts w:asciiTheme="minorHAnsi" w:hAnsiTheme="minorHAnsi" w:cstheme="minorHAnsi"/>
        </w:rPr>
        <w:t>różnice rzędnych wykonanego podłoża nie powinny przekroczyć w żadnym jego punkcie: dla przewodów z tworzyw sztucznych ± 5 cm, dla pozostałych przewodów ± 2cm,</w:t>
      </w:r>
    </w:p>
    <w:p w14:paraId="063AFDDC" w14:textId="77777777" w:rsidR="00234278" w:rsidRDefault="00C9677E" w:rsidP="00262498">
      <w:pPr>
        <w:pStyle w:val="Akapitzlist"/>
        <w:numPr>
          <w:ilvl w:val="0"/>
          <w:numId w:val="304"/>
        </w:numPr>
        <w:rPr>
          <w:rFonts w:asciiTheme="minorHAnsi" w:hAnsiTheme="minorHAnsi" w:cstheme="minorHAnsi"/>
        </w:rPr>
      </w:pPr>
      <w:r w:rsidRPr="00234278">
        <w:rPr>
          <w:rFonts w:asciiTheme="minorHAnsi" w:hAnsiTheme="minorHAnsi" w:cstheme="minorHAnsi"/>
        </w:rPr>
        <w:t>dopuszczalne odchylenia osi przewodu od ustalonego na ławach celowniczych nie powinny przekroczyć: dla przewodów z tworzyw sztucznych 10 cm, dla pozostałych przewodów 2 cm,</w:t>
      </w:r>
    </w:p>
    <w:p w14:paraId="3DE8F6D7" w14:textId="77777777" w:rsidR="00234278" w:rsidRDefault="00C9677E" w:rsidP="00262498">
      <w:pPr>
        <w:pStyle w:val="Akapitzlist"/>
        <w:numPr>
          <w:ilvl w:val="0"/>
          <w:numId w:val="304"/>
        </w:numPr>
        <w:rPr>
          <w:rFonts w:asciiTheme="minorHAnsi" w:hAnsiTheme="minorHAnsi" w:cstheme="minorHAnsi"/>
        </w:rPr>
      </w:pPr>
      <w:r w:rsidRPr="00234278">
        <w:rPr>
          <w:rFonts w:asciiTheme="minorHAnsi" w:hAnsiTheme="minorHAnsi" w:cstheme="minorHAnsi"/>
        </w:rPr>
        <w:t>dopuszczalne odchylenia spadku przewodu nie powinny w żadnym jego punkcie przekroczyć: dla przewodów z tworzyw sztucznych ± 5 cm, dla pozostałych przewodów   ± 2cm i  nie mogą spowodować na odcinku przewodu przeciwnego spadku ani zmniejszenia jego do zera,</w:t>
      </w:r>
    </w:p>
    <w:p w14:paraId="1C943577" w14:textId="0E8275AC" w:rsidR="00C9677E" w:rsidRPr="00234278" w:rsidRDefault="00C9677E" w:rsidP="00262498">
      <w:pPr>
        <w:pStyle w:val="Akapitzlist"/>
        <w:numPr>
          <w:ilvl w:val="0"/>
          <w:numId w:val="304"/>
        </w:numPr>
        <w:rPr>
          <w:rFonts w:asciiTheme="minorHAnsi" w:hAnsiTheme="minorHAnsi" w:cstheme="minorHAnsi"/>
        </w:rPr>
      </w:pPr>
      <w:r w:rsidRPr="00234278">
        <w:rPr>
          <w:rFonts w:asciiTheme="minorHAnsi" w:hAnsiTheme="minorHAnsi" w:cstheme="minorHAnsi"/>
        </w:rPr>
        <w:t>stopień zagęszczenia zasypki wykopów określony w trzech miejscach na długości 100 m nie powinien wynosić mniej niż 0,97.</w:t>
      </w:r>
    </w:p>
    <w:p w14:paraId="7CD3DCF6" w14:textId="77777777" w:rsidR="00C9677E" w:rsidRPr="00A23FB4" w:rsidRDefault="00C9677E" w:rsidP="00C9677E">
      <w:pPr>
        <w:pStyle w:val="Nagwek3"/>
        <w:rPr>
          <w:rFonts w:asciiTheme="minorHAnsi" w:hAnsiTheme="minorHAnsi"/>
        </w:rPr>
      </w:pPr>
      <w:bookmarkStart w:id="96" w:name="_Toc467555869"/>
      <w:bookmarkStart w:id="97" w:name="_Toc468000828"/>
      <w:r w:rsidRPr="00A23FB4">
        <w:rPr>
          <w:rFonts w:asciiTheme="minorHAnsi" w:hAnsiTheme="minorHAnsi"/>
        </w:rPr>
        <w:t>7. OBMIAR ROBÓT</w:t>
      </w:r>
      <w:bookmarkEnd w:id="96"/>
      <w:bookmarkEnd w:id="97"/>
    </w:p>
    <w:p w14:paraId="2A8F6AAF" w14:textId="77777777" w:rsidR="008B531E" w:rsidRDefault="008B531E" w:rsidP="008B531E">
      <w:pPr>
        <w:numPr>
          <w:ilvl w:val="12"/>
          <w:numId w:val="0"/>
        </w:numPr>
        <w:tabs>
          <w:tab w:val="left" w:pos="0"/>
          <w:tab w:val="left" w:pos="9914"/>
        </w:tabs>
        <w:rPr>
          <w:rFonts w:ascii="Calibri" w:hAnsi="Calibri" w:cs="Calibri"/>
        </w:rPr>
      </w:pPr>
    </w:p>
    <w:p w14:paraId="3E7F350D" w14:textId="31231954" w:rsidR="008B531E" w:rsidRDefault="008B531E" w:rsidP="008B531E">
      <w:pPr>
        <w:numPr>
          <w:ilvl w:val="12"/>
          <w:numId w:val="0"/>
        </w:numPr>
        <w:tabs>
          <w:tab w:val="left" w:pos="0"/>
          <w:tab w:val="left" w:pos="9914"/>
        </w:tabs>
        <w:rPr>
          <w:rFonts w:ascii="Calibri" w:hAnsi="Calibri" w:cs="Calibri"/>
        </w:rPr>
      </w:pPr>
      <w:r>
        <w:rPr>
          <w:rFonts w:ascii="Calibri" w:hAnsi="Calibri" w:cs="Calibri"/>
        </w:rPr>
        <w:t>Kontrakt ryczałtowy</w:t>
      </w:r>
    </w:p>
    <w:p w14:paraId="66D0B530" w14:textId="123655BB" w:rsidR="00C9677E" w:rsidRPr="00A23FB4" w:rsidRDefault="00C9677E" w:rsidP="00C9677E">
      <w:pPr>
        <w:rPr>
          <w:rFonts w:asciiTheme="minorHAnsi" w:hAnsiTheme="minorHAnsi" w:cstheme="minorHAnsi"/>
        </w:rPr>
      </w:pPr>
      <w:r w:rsidRPr="00A23FB4">
        <w:rPr>
          <w:rFonts w:asciiTheme="minorHAnsi" w:hAnsiTheme="minorHAnsi" w:cstheme="minorHAnsi"/>
        </w:rPr>
        <w:t xml:space="preserve">Ogólne zasady obmiaru robót podano w </w:t>
      </w:r>
      <w:r w:rsidR="00CA1B27">
        <w:rPr>
          <w:rFonts w:asciiTheme="minorHAnsi" w:hAnsiTheme="minorHAnsi" w:cstheme="minorHAnsi"/>
        </w:rPr>
        <w:t>ST</w:t>
      </w:r>
      <w:r w:rsidRPr="00A23FB4">
        <w:rPr>
          <w:rFonts w:asciiTheme="minorHAnsi" w:hAnsiTheme="minorHAnsi" w:cstheme="minorHAnsi"/>
        </w:rPr>
        <w:t>WiORB D-M-00.00.00 „Wymagania ogólne” pkt 7.</w:t>
      </w:r>
    </w:p>
    <w:p w14:paraId="6FC3DAF6" w14:textId="77777777" w:rsidR="00C9677E" w:rsidRPr="00A23FB4" w:rsidRDefault="00C9677E" w:rsidP="00C9677E">
      <w:pPr>
        <w:pStyle w:val="Nagwek3"/>
        <w:rPr>
          <w:rFonts w:asciiTheme="minorHAnsi" w:hAnsiTheme="minorHAnsi"/>
        </w:rPr>
      </w:pPr>
      <w:bookmarkStart w:id="98" w:name="_Toc468000829"/>
      <w:r w:rsidRPr="00A23FB4">
        <w:rPr>
          <w:rFonts w:asciiTheme="minorHAnsi" w:hAnsiTheme="minorHAnsi"/>
        </w:rPr>
        <w:t>8. ODBIÓR ROBÓT</w:t>
      </w:r>
      <w:bookmarkEnd w:id="98"/>
    </w:p>
    <w:p w14:paraId="47B3F81E" w14:textId="77777777" w:rsidR="00C9677E" w:rsidRPr="00A23FB4" w:rsidRDefault="00C9677E" w:rsidP="00C9677E">
      <w:pPr>
        <w:pStyle w:val="Nagwek4"/>
        <w:rPr>
          <w:rFonts w:asciiTheme="minorHAnsi" w:hAnsiTheme="minorHAnsi"/>
        </w:rPr>
      </w:pPr>
      <w:r w:rsidRPr="00A23FB4">
        <w:rPr>
          <w:rFonts w:asciiTheme="minorHAnsi" w:hAnsiTheme="minorHAnsi"/>
        </w:rPr>
        <w:t>8.1. Ogólne zasady odbioru robót</w:t>
      </w:r>
    </w:p>
    <w:p w14:paraId="5E426E57" w14:textId="5CC1D4C1" w:rsidR="00C9677E" w:rsidRPr="00A23FB4" w:rsidRDefault="00C9677E" w:rsidP="00C9677E">
      <w:pPr>
        <w:rPr>
          <w:rFonts w:asciiTheme="minorHAnsi" w:hAnsiTheme="minorHAnsi" w:cstheme="minorHAnsi"/>
        </w:rPr>
      </w:pPr>
      <w:r w:rsidRPr="00A23FB4">
        <w:rPr>
          <w:rFonts w:asciiTheme="minorHAnsi" w:hAnsiTheme="minorHAnsi" w:cstheme="minorHAnsi"/>
        </w:rPr>
        <w:t xml:space="preserve">Ogólne zasady odbioru robót podano w </w:t>
      </w:r>
      <w:r w:rsidR="000907B8">
        <w:rPr>
          <w:rFonts w:asciiTheme="minorHAnsi" w:hAnsiTheme="minorHAnsi" w:cstheme="minorHAnsi"/>
        </w:rPr>
        <w:t>ST</w:t>
      </w:r>
      <w:r w:rsidRPr="00A23FB4">
        <w:rPr>
          <w:rFonts w:asciiTheme="minorHAnsi" w:hAnsiTheme="minorHAnsi" w:cstheme="minorHAnsi"/>
        </w:rPr>
        <w:t>WiORB D-M-00.00.00 „Wymagania ogólne” pkt 8.</w:t>
      </w:r>
    </w:p>
    <w:p w14:paraId="358FD879"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 xml:space="preserve">Roboty uznaje się za wykonane zgodnie z dokumentacją projektową, </w:t>
      </w:r>
      <w:r w:rsidR="00824125" w:rsidRPr="00A23FB4">
        <w:rPr>
          <w:rFonts w:asciiTheme="minorHAnsi" w:hAnsiTheme="minorHAnsi" w:cstheme="minorHAnsi"/>
        </w:rPr>
        <w:t>wytycznymi</w:t>
      </w:r>
      <w:r w:rsidRPr="00A23FB4">
        <w:rPr>
          <w:rFonts w:asciiTheme="minorHAnsi" w:hAnsiTheme="minorHAnsi" w:cstheme="minorHAnsi"/>
        </w:rPr>
        <w:t xml:space="preserve"> i wymaganiami Inżyniera, jeżeli wszystkie pomiary i badania z zachowaniem tolerancji wg pkt 6 dały wyniki pozytywne.</w:t>
      </w:r>
    </w:p>
    <w:p w14:paraId="6A705DC4" w14:textId="77777777" w:rsidR="00C9677E" w:rsidRPr="00A23FB4" w:rsidRDefault="00C9677E" w:rsidP="00C9677E">
      <w:pPr>
        <w:pStyle w:val="Nagwek4"/>
        <w:rPr>
          <w:rFonts w:asciiTheme="minorHAnsi" w:hAnsiTheme="minorHAnsi"/>
        </w:rPr>
      </w:pPr>
      <w:r w:rsidRPr="00A23FB4">
        <w:rPr>
          <w:rFonts w:asciiTheme="minorHAnsi" w:hAnsiTheme="minorHAnsi"/>
        </w:rPr>
        <w:t>8.2. Odbiór robót zanikających i ulegających zakryciu</w:t>
      </w:r>
    </w:p>
    <w:p w14:paraId="73CA10CD"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Odbiorowi robót zanikających i ulegających zakryciu podlegają wszystkie technologiczne czynności związane z przebudową linii wodociągowych, a mianowicie:</w:t>
      </w:r>
    </w:p>
    <w:p w14:paraId="15C5619A" w14:textId="77777777" w:rsidR="00234278" w:rsidRDefault="00C9677E" w:rsidP="00262498">
      <w:pPr>
        <w:pStyle w:val="Akapitzlist"/>
        <w:numPr>
          <w:ilvl w:val="0"/>
          <w:numId w:val="305"/>
        </w:numPr>
        <w:rPr>
          <w:rFonts w:asciiTheme="minorHAnsi" w:hAnsiTheme="minorHAnsi" w:cstheme="minorHAnsi"/>
        </w:rPr>
      </w:pPr>
      <w:r w:rsidRPr="00234278">
        <w:rPr>
          <w:rFonts w:asciiTheme="minorHAnsi" w:hAnsiTheme="minorHAnsi" w:cstheme="minorHAnsi"/>
        </w:rPr>
        <w:t>roboty przygotowawcze,</w:t>
      </w:r>
    </w:p>
    <w:p w14:paraId="56B620A5" w14:textId="77777777" w:rsidR="00234278" w:rsidRDefault="00C9677E" w:rsidP="00262498">
      <w:pPr>
        <w:pStyle w:val="Akapitzlist"/>
        <w:numPr>
          <w:ilvl w:val="0"/>
          <w:numId w:val="305"/>
        </w:numPr>
        <w:rPr>
          <w:rFonts w:asciiTheme="minorHAnsi" w:hAnsiTheme="minorHAnsi" w:cstheme="minorHAnsi"/>
        </w:rPr>
      </w:pPr>
      <w:r w:rsidRPr="00234278">
        <w:rPr>
          <w:rFonts w:asciiTheme="minorHAnsi" w:hAnsiTheme="minorHAnsi" w:cstheme="minorHAnsi"/>
        </w:rPr>
        <w:t>roboty ziemne z obudową ścian wykopów,</w:t>
      </w:r>
    </w:p>
    <w:p w14:paraId="6B83BC3E" w14:textId="77777777" w:rsidR="00234278" w:rsidRDefault="00C9677E" w:rsidP="00262498">
      <w:pPr>
        <w:pStyle w:val="Akapitzlist"/>
        <w:numPr>
          <w:ilvl w:val="0"/>
          <w:numId w:val="305"/>
        </w:numPr>
        <w:rPr>
          <w:rFonts w:asciiTheme="minorHAnsi" w:hAnsiTheme="minorHAnsi" w:cstheme="minorHAnsi"/>
        </w:rPr>
      </w:pPr>
      <w:r w:rsidRPr="00234278">
        <w:rPr>
          <w:rFonts w:asciiTheme="minorHAnsi" w:hAnsiTheme="minorHAnsi" w:cstheme="minorHAnsi"/>
        </w:rPr>
        <w:t>przygotowanie podłoża,</w:t>
      </w:r>
    </w:p>
    <w:p w14:paraId="07483858" w14:textId="77777777" w:rsidR="00234278" w:rsidRDefault="00C9677E" w:rsidP="00262498">
      <w:pPr>
        <w:pStyle w:val="Akapitzlist"/>
        <w:numPr>
          <w:ilvl w:val="0"/>
          <w:numId w:val="305"/>
        </w:numPr>
        <w:rPr>
          <w:rFonts w:asciiTheme="minorHAnsi" w:hAnsiTheme="minorHAnsi" w:cstheme="minorHAnsi"/>
        </w:rPr>
      </w:pPr>
      <w:r w:rsidRPr="00234278">
        <w:rPr>
          <w:rFonts w:asciiTheme="minorHAnsi" w:hAnsiTheme="minorHAnsi" w:cstheme="minorHAnsi"/>
        </w:rPr>
        <w:t>roboty montażowe wykonania rurociągów,</w:t>
      </w:r>
    </w:p>
    <w:p w14:paraId="480E5718" w14:textId="77777777" w:rsidR="00234278" w:rsidRDefault="00C9677E" w:rsidP="00262498">
      <w:pPr>
        <w:pStyle w:val="Akapitzlist"/>
        <w:numPr>
          <w:ilvl w:val="0"/>
          <w:numId w:val="305"/>
        </w:numPr>
        <w:rPr>
          <w:rFonts w:asciiTheme="minorHAnsi" w:hAnsiTheme="minorHAnsi" w:cstheme="minorHAnsi"/>
        </w:rPr>
      </w:pPr>
      <w:r w:rsidRPr="00234278">
        <w:rPr>
          <w:rFonts w:asciiTheme="minorHAnsi" w:hAnsiTheme="minorHAnsi" w:cstheme="minorHAnsi"/>
        </w:rPr>
        <w:t>wykonanie studzienek wodociągowych,</w:t>
      </w:r>
    </w:p>
    <w:p w14:paraId="32C69843" w14:textId="77777777" w:rsidR="00234278" w:rsidRDefault="00C9677E" w:rsidP="00262498">
      <w:pPr>
        <w:pStyle w:val="Akapitzlist"/>
        <w:numPr>
          <w:ilvl w:val="0"/>
          <w:numId w:val="305"/>
        </w:numPr>
        <w:rPr>
          <w:rFonts w:asciiTheme="minorHAnsi" w:hAnsiTheme="minorHAnsi" w:cstheme="minorHAnsi"/>
        </w:rPr>
      </w:pPr>
      <w:r w:rsidRPr="00234278">
        <w:rPr>
          <w:rFonts w:asciiTheme="minorHAnsi" w:hAnsiTheme="minorHAnsi" w:cstheme="minorHAnsi"/>
        </w:rPr>
        <w:t>wykonanie komór wodociągowych,</w:t>
      </w:r>
    </w:p>
    <w:p w14:paraId="6331E88B" w14:textId="77777777" w:rsidR="00234278" w:rsidRDefault="00C9677E" w:rsidP="00262498">
      <w:pPr>
        <w:pStyle w:val="Akapitzlist"/>
        <w:numPr>
          <w:ilvl w:val="0"/>
          <w:numId w:val="305"/>
        </w:numPr>
        <w:rPr>
          <w:rFonts w:asciiTheme="minorHAnsi" w:hAnsiTheme="minorHAnsi" w:cstheme="minorHAnsi"/>
        </w:rPr>
      </w:pPr>
      <w:r w:rsidRPr="00234278">
        <w:rPr>
          <w:rFonts w:asciiTheme="minorHAnsi" w:hAnsiTheme="minorHAnsi" w:cstheme="minorHAnsi"/>
        </w:rPr>
        <w:t>wykonanie rur ochronnych,</w:t>
      </w:r>
    </w:p>
    <w:p w14:paraId="09143219" w14:textId="77777777" w:rsidR="00234278" w:rsidRDefault="00C9677E" w:rsidP="00262498">
      <w:pPr>
        <w:pStyle w:val="Akapitzlist"/>
        <w:numPr>
          <w:ilvl w:val="0"/>
          <w:numId w:val="305"/>
        </w:numPr>
        <w:rPr>
          <w:rFonts w:asciiTheme="minorHAnsi" w:hAnsiTheme="minorHAnsi" w:cstheme="minorHAnsi"/>
        </w:rPr>
      </w:pPr>
      <w:r w:rsidRPr="00234278">
        <w:rPr>
          <w:rFonts w:asciiTheme="minorHAnsi" w:hAnsiTheme="minorHAnsi" w:cstheme="minorHAnsi"/>
        </w:rPr>
        <w:t>wykonanie obudowy tunelowej,</w:t>
      </w:r>
    </w:p>
    <w:p w14:paraId="6BD073BE" w14:textId="77777777" w:rsidR="00234278" w:rsidRDefault="00C9677E" w:rsidP="00262498">
      <w:pPr>
        <w:pStyle w:val="Akapitzlist"/>
        <w:numPr>
          <w:ilvl w:val="0"/>
          <w:numId w:val="305"/>
        </w:numPr>
        <w:rPr>
          <w:rFonts w:asciiTheme="minorHAnsi" w:hAnsiTheme="minorHAnsi" w:cstheme="minorHAnsi"/>
        </w:rPr>
      </w:pPr>
      <w:r w:rsidRPr="00234278">
        <w:rPr>
          <w:rFonts w:asciiTheme="minorHAnsi" w:hAnsiTheme="minorHAnsi" w:cstheme="minorHAnsi"/>
        </w:rPr>
        <w:t>wykonanie izolacji,</w:t>
      </w:r>
    </w:p>
    <w:p w14:paraId="670076AA" w14:textId="177E8567" w:rsidR="00C9677E" w:rsidRPr="00234278" w:rsidRDefault="00C9677E" w:rsidP="00262498">
      <w:pPr>
        <w:pStyle w:val="Akapitzlist"/>
        <w:numPr>
          <w:ilvl w:val="0"/>
          <w:numId w:val="305"/>
        </w:numPr>
        <w:rPr>
          <w:rFonts w:asciiTheme="minorHAnsi" w:hAnsiTheme="minorHAnsi" w:cstheme="minorHAnsi"/>
        </w:rPr>
      </w:pPr>
      <w:r w:rsidRPr="00234278">
        <w:rPr>
          <w:rFonts w:asciiTheme="minorHAnsi" w:hAnsiTheme="minorHAnsi" w:cstheme="minorHAnsi"/>
        </w:rPr>
        <w:t>próby szczelności przewodów, zasypanie i zagęszczenie wykopu.</w:t>
      </w:r>
    </w:p>
    <w:p w14:paraId="17D539C4"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Odbiór robót zanikających powinien być dokonany w czasie umożliwiającym wykonanie korekt i poprawek bez hamowania ogólnego postępu robót.</w:t>
      </w:r>
    </w:p>
    <w:p w14:paraId="6A15DE28"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Długość odcinka robót ziemnych poddana odbiorowi nie powinna być mniejsza od 50 m i powinna wynosić: około 300 m dla przewodów z rur żeliwnych i z tworzywa sztucznego PE bez względu na sposób prowadzenia wykopów oraz dla przewodów z rur stalowych i PCW, w przypadku ułożenia ich w wykopach o ścianach umocnionych, zaś dla przewodów ułożonych w wykopach nieumocnionych z rur PCW około 600 m, z rur stalowych około 1000 m.</w:t>
      </w:r>
    </w:p>
    <w:p w14:paraId="63F88915"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Dopuszcza się zwiększenie lub zmniejszenie długości przeznaczonego do odbioru odcinka przewodu z tym, że powinna być ona uzależniona od warunków lokalnych oraz umiejscowienia uzbrojenia lub uzasadniona względami techniczno-ekonomicznymi.</w:t>
      </w:r>
    </w:p>
    <w:p w14:paraId="50AFE1B0" w14:textId="17E6A570" w:rsidR="00C9677E" w:rsidRPr="00A23FB4" w:rsidRDefault="00C9677E" w:rsidP="00C9677E">
      <w:pPr>
        <w:rPr>
          <w:rFonts w:asciiTheme="minorHAnsi" w:hAnsiTheme="minorHAnsi" w:cstheme="minorHAnsi"/>
        </w:rPr>
      </w:pPr>
      <w:r w:rsidRPr="00A23FB4">
        <w:rPr>
          <w:rFonts w:asciiTheme="minorHAnsi" w:hAnsiTheme="minorHAnsi" w:cstheme="minorHAnsi"/>
        </w:rPr>
        <w:t xml:space="preserve">Inżynier dokonuje odbioru robót zanikających zgodnie z zasadami określonymi w </w:t>
      </w:r>
      <w:r w:rsidR="000907B8">
        <w:rPr>
          <w:rFonts w:asciiTheme="minorHAnsi" w:hAnsiTheme="minorHAnsi" w:cstheme="minorHAnsi"/>
        </w:rPr>
        <w:t>ST</w:t>
      </w:r>
      <w:r w:rsidRPr="00A23FB4">
        <w:rPr>
          <w:rFonts w:asciiTheme="minorHAnsi" w:hAnsiTheme="minorHAnsi" w:cstheme="minorHAnsi"/>
        </w:rPr>
        <w:t>WiORB D-M-00.00.00 „Wymagania ogólne” pkt 8.2.</w:t>
      </w:r>
    </w:p>
    <w:p w14:paraId="06720ED5" w14:textId="77777777" w:rsidR="00C9677E" w:rsidRPr="00A23FB4" w:rsidRDefault="00C9677E" w:rsidP="00C9677E">
      <w:pPr>
        <w:pStyle w:val="Nagwek4"/>
        <w:rPr>
          <w:rFonts w:asciiTheme="minorHAnsi" w:hAnsiTheme="minorHAnsi"/>
        </w:rPr>
      </w:pPr>
      <w:r w:rsidRPr="00A23FB4">
        <w:rPr>
          <w:rFonts w:asciiTheme="minorHAnsi" w:hAnsiTheme="minorHAnsi"/>
        </w:rPr>
        <w:t>8.3. Odbiór końcowy</w:t>
      </w:r>
    </w:p>
    <w:p w14:paraId="60AFB873"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Odbiorowi końcowemu wg PN-81/B-10725 i PN-91/B-10728 podlega:</w:t>
      </w:r>
    </w:p>
    <w:p w14:paraId="24E7D2EB" w14:textId="77777777" w:rsidR="009F3E17" w:rsidRDefault="00C9677E" w:rsidP="00262498">
      <w:pPr>
        <w:pStyle w:val="Akapitzlist"/>
        <w:numPr>
          <w:ilvl w:val="0"/>
          <w:numId w:val="306"/>
        </w:numPr>
        <w:rPr>
          <w:rFonts w:asciiTheme="minorHAnsi" w:hAnsiTheme="minorHAnsi" w:cstheme="minorHAnsi"/>
        </w:rPr>
      </w:pPr>
      <w:r w:rsidRPr="009F3E17">
        <w:rPr>
          <w:rFonts w:asciiTheme="minorHAnsi" w:hAnsiTheme="minorHAnsi" w:cstheme="minorHAnsi"/>
        </w:rPr>
        <w:t>sprawdzenie kompletności dokumentacji do odbioru technicznego końcowego (polegające na sprawdzeniu protokółów badań przeprowadzonych przy odbiorach technicznych częściowych),</w:t>
      </w:r>
    </w:p>
    <w:p w14:paraId="74C7D8BC" w14:textId="77777777" w:rsidR="009F3E17" w:rsidRDefault="00C9677E" w:rsidP="00262498">
      <w:pPr>
        <w:pStyle w:val="Akapitzlist"/>
        <w:numPr>
          <w:ilvl w:val="0"/>
          <w:numId w:val="306"/>
        </w:numPr>
        <w:rPr>
          <w:rFonts w:asciiTheme="minorHAnsi" w:hAnsiTheme="minorHAnsi" w:cstheme="minorHAnsi"/>
        </w:rPr>
      </w:pPr>
      <w:r w:rsidRPr="009F3E17">
        <w:rPr>
          <w:rFonts w:asciiTheme="minorHAnsi" w:hAnsiTheme="minorHAnsi" w:cstheme="minorHAnsi"/>
        </w:rPr>
        <w:t>badanie szczelności studzienki,</w:t>
      </w:r>
    </w:p>
    <w:p w14:paraId="3CFC822D" w14:textId="77777777" w:rsidR="009F3E17" w:rsidRDefault="00C9677E" w:rsidP="00262498">
      <w:pPr>
        <w:pStyle w:val="Akapitzlist"/>
        <w:numPr>
          <w:ilvl w:val="0"/>
          <w:numId w:val="306"/>
        </w:numPr>
        <w:rPr>
          <w:rFonts w:asciiTheme="minorHAnsi" w:hAnsiTheme="minorHAnsi" w:cstheme="minorHAnsi"/>
        </w:rPr>
      </w:pPr>
      <w:r w:rsidRPr="009F3E17">
        <w:rPr>
          <w:rFonts w:asciiTheme="minorHAnsi" w:hAnsiTheme="minorHAnsi" w:cstheme="minorHAnsi"/>
        </w:rPr>
        <w:t>badanie szczelności całego przewodu (przeprowadzone przy całkowicie ukończonym i zasypanym przewodzie, otwartych zasuwach - zgodnie z punktem 8.2.4.3 normy PN-81/B-10725,</w:t>
      </w:r>
    </w:p>
    <w:p w14:paraId="10937435" w14:textId="0489FEB1" w:rsidR="00C9677E" w:rsidRPr="009F3E17" w:rsidRDefault="00C9677E" w:rsidP="00262498">
      <w:pPr>
        <w:pStyle w:val="Akapitzlist"/>
        <w:numPr>
          <w:ilvl w:val="0"/>
          <w:numId w:val="306"/>
        </w:numPr>
        <w:rPr>
          <w:rFonts w:asciiTheme="minorHAnsi" w:hAnsiTheme="minorHAnsi" w:cstheme="minorHAnsi"/>
        </w:rPr>
      </w:pPr>
      <w:r w:rsidRPr="009F3E17">
        <w:rPr>
          <w:rFonts w:asciiTheme="minorHAnsi" w:hAnsiTheme="minorHAnsi" w:cstheme="minorHAnsi"/>
        </w:rPr>
        <w:t>badanie jakości wody (przeprowadzone stosownie do odpowiednich norm obowiązujących w zakresie badań fizykochemicznych i bakteriologicznych wody).</w:t>
      </w:r>
    </w:p>
    <w:p w14:paraId="03DDC357"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Wyniki przeprowadzonych badań podczas odbioru powinny być ujęte w formie protokółu, szczegółowo omówione, wpisane do dziennika budowy i podpisane przez nadzór techniczny oraz członków komisji przeprowadzającej badania.</w:t>
      </w:r>
    </w:p>
    <w:p w14:paraId="6D9B88EA"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Wyniki badań przeprowadzonych podczas odbioru końcowego należy uznać za dokładne, jeżeli wszystkie wymagania (badanie dokumentacji i szczelności całego przewodu) zostały spełnione.</w:t>
      </w:r>
    </w:p>
    <w:p w14:paraId="02E06E93" w14:textId="77777777" w:rsidR="00C9677E" w:rsidRPr="00A23FB4" w:rsidRDefault="00C9677E" w:rsidP="00C9677E">
      <w:pPr>
        <w:rPr>
          <w:rFonts w:asciiTheme="minorHAnsi" w:hAnsiTheme="minorHAnsi" w:cstheme="minorHAnsi"/>
        </w:rPr>
      </w:pPr>
      <w:r w:rsidRPr="00A23FB4">
        <w:rPr>
          <w:rFonts w:asciiTheme="minorHAnsi" w:hAnsiTheme="minorHAnsi" w:cstheme="minorHAnsi"/>
        </w:rPr>
        <w:t>Jeżeli któreś z wymagań przy odbiorze technicznym końcowym nie zostało spełnione, należy ocenić jego wpływ na stopień sprawności działania przewodu i w zależności od tego określić konieczne dalsze postępowanie.</w:t>
      </w:r>
    </w:p>
    <w:p w14:paraId="76FEB0BA" w14:textId="77777777" w:rsidR="00C9677E" w:rsidRPr="00A23FB4" w:rsidRDefault="00C9677E" w:rsidP="00C9677E">
      <w:pPr>
        <w:pStyle w:val="Nagwek3"/>
        <w:rPr>
          <w:rFonts w:asciiTheme="minorHAnsi" w:hAnsiTheme="minorHAnsi"/>
        </w:rPr>
      </w:pPr>
      <w:bookmarkStart w:id="99" w:name="_Toc468000830"/>
      <w:r w:rsidRPr="00A23FB4">
        <w:rPr>
          <w:rFonts w:asciiTheme="minorHAnsi" w:hAnsiTheme="minorHAnsi"/>
        </w:rPr>
        <w:t>9. PODSTAWA PŁATNOŚCI</w:t>
      </w:r>
      <w:bookmarkEnd w:id="99"/>
    </w:p>
    <w:p w14:paraId="630B6631" w14:textId="77777777" w:rsidR="008B531E" w:rsidRDefault="008B531E" w:rsidP="008B531E">
      <w:pPr>
        <w:numPr>
          <w:ilvl w:val="12"/>
          <w:numId w:val="0"/>
        </w:numPr>
        <w:tabs>
          <w:tab w:val="left" w:pos="0"/>
          <w:tab w:val="left" w:pos="9914"/>
        </w:tabs>
        <w:rPr>
          <w:rFonts w:ascii="Calibri" w:hAnsi="Calibri" w:cs="Calibri"/>
        </w:rPr>
      </w:pPr>
    </w:p>
    <w:p w14:paraId="5AFC73C5" w14:textId="21F22F40" w:rsidR="008B531E" w:rsidRDefault="008B531E" w:rsidP="008B531E">
      <w:pPr>
        <w:numPr>
          <w:ilvl w:val="12"/>
          <w:numId w:val="0"/>
        </w:numPr>
        <w:tabs>
          <w:tab w:val="left" w:pos="0"/>
          <w:tab w:val="left" w:pos="9914"/>
        </w:tabs>
        <w:rPr>
          <w:rFonts w:ascii="Calibri" w:hAnsi="Calibri" w:cs="Calibri"/>
        </w:rPr>
      </w:pPr>
      <w:r>
        <w:rPr>
          <w:rFonts w:ascii="Calibri" w:hAnsi="Calibri" w:cs="Calibri"/>
        </w:rPr>
        <w:t>Kontrakt ryczałtowy</w:t>
      </w:r>
    </w:p>
    <w:p w14:paraId="23CEB9AC" w14:textId="686E620E" w:rsidR="00C9677E" w:rsidRPr="00A23FB4" w:rsidRDefault="00C9677E" w:rsidP="00C9677E">
      <w:pPr>
        <w:rPr>
          <w:rFonts w:asciiTheme="minorHAnsi" w:hAnsiTheme="minorHAnsi" w:cstheme="minorHAnsi"/>
        </w:rPr>
      </w:pPr>
      <w:r w:rsidRPr="00A23FB4">
        <w:rPr>
          <w:rFonts w:asciiTheme="minorHAnsi" w:hAnsiTheme="minorHAnsi" w:cstheme="minorHAnsi"/>
        </w:rPr>
        <w:t xml:space="preserve">Ogólne ustalenia dotyczące podstawy płatności podano w </w:t>
      </w:r>
      <w:r w:rsidR="00CA1B27">
        <w:rPr>
          <w:rFonts w:asciiTheme="minorHAnsi" w:hAnsiTheme="minorHAnsi" w:cstheme="minorHAnsi"/>
        </w:rPr>
        <w:t>ST</w:t>
      </w:r>
      <w:r w:rsidRPr="00A23FB4">
        <w:rPr>
          <w:rFonts w:asciiTheme="minorHAnsi" w:hAnsiTheme="minorHAnsi" w:cstheme="minorHAnsi"/>
        </w:rPr>
        <w:t>WiORB D-M-00.00.00 „Wymagania ogólne” pkt 9.</w:t>
      </w:r>
    </w:p>
    <w:p w14:paraId="4CB5CDD5" w14:textId="77777777" w:rsidR="00C9677E" w:rsidRPr="00A23FB4" w:rsidRDefault="00C9677E" w:rsidP="00C9677E">
      <w:pPr>
        <w:pStyle w:val="Nagwek3"/>
        <w:rPr>
          <w:rFonts w:asciiTheme="minorHAnsi" w:hAnsiTheme="minorHAnsi"/>
        </w:rPr>
      </w:pPr>
      <w:bookmarkStart w:id="100" w:name="_Toc468000831"/>
      <w:r w:rsidRPr="00A23FB4">
        <w:rPr>
          <w:rFonts w:asciiTheme="minorHAnsi" w:hAnsiTheme="minorHAnsi"/>
        </w:rPr>
        <w:t>10. PRZEPISY ZWIĄZANE</w:t>
      </w:r>
      <w:bookmarkEnd w:id="100"/>
    </w:p>
    <w:p w14:paraId="75A62FC1" w14:textId="77777777" w:rsidR="00C9677E" w:rsidRPr="00A23FB4" w:rsidRDefault="00C9677E" w:rsidP="00C9677E">
      <w:pPr>
        <w:pStyle w:val="Nagwek4"/>
        <w:rPr>
          <w:rFonts w:asciiTheme="minorHAnsi" w:hAnsiTheme="minorHAnsi"/>
        </w:rPr>
      </w:pPr>
      <w:r w:rsidRPr="00A23FB4">
        <w:rPr>
          <w:rFonts w:asciiTheme="minorHAnsi" w:hAnsiTheme="minorHAnsi"/>
        </w:rPr>
        <w:t>10.1. Normy</w:t>
      </w:r>
    </w:p>
    <w:tbl>
      <w:tblPr>
        <w:tblW w:w="0" w:type="auto"/>
        <w:tblLayout w:type="fixed"/>
        <w:tblCellMar>
          <w:left w:w="70" w:type="dxa"/>
          <w:right w:w="70" w:type="dxa"/>
        </w:tblCellMar>
        <w:tblLook w:val="0000" w:firstRow="0" w:lastRow="0" w:firstColumn="0" w:lastColumn="0" w:noHBand="0" w:noVBand="0"/>
      </w:tblPr>
      <w:tblGrid>
        <w:gridCol w:w="496"/>
        <w:gridCol w:w="1984"/>
        <w:gridCol w:w="5030"/>
        <w:gridCol w:w="1632"/>
      </w:tblGrid>
      <w:tr w:rsidR="00C9677E" w:rsidRPr="00A23FB4" w14:paraId="2219AE18" w14:textId="77777777" w:rsidTr="00AD0C50">
        <w:tc>
          <w:tcPr>
            <w:tcW w:w="496" w:type="dxa"/>
          </w:tcPr>
          <w:p w14:paraId="0382F4FB" w14:textId="77777777" w:rsidR="00C9677E" w:rsidRPr="00C86F6B" w:rsidRDefault="00C9677E" w:rsidP="00AD0C50">
            <w:pPr>
              <w:jc w:val="right"/>
              <w:rPr>
                <w:rFonts w:asciiTheme="minorHAnsi" w:hAnsiTheme="minorHAnsi" w:cstheme="minorHAnsi"/>
                <w:sz w:val="18"/>
                <w:szCs w:val="18"/>
              </w:rPr>
            </w:pPr>
            <w:r w:rsidRPr="00C86F6B">
              <w:rPr>
                <w:rFonts w:asciiTheme="minorHAnsi" w:hAnsiTheme="minorHAnsi" w:cstheme="minorHAnsi"/>
                <w:sz w:val="18"/>
                <w:szCs w:val="18"/>
              </w:rPr>
              <w:t>1.</w:t>
            </w:r>
          </w:p>
        </w:tc>
        <w:tc>
          <w:tcPr>
            <w:tcW w:w="1984" w:type="dxa"/>
          </w:tcPr>
          <w:p w14:paraId="51FCEA05" w14:textId="77777777" w:rsidR="00C9677E" w:rsidRPr="00C86F6B" w:rsidRDefault="00C9677E" w:rsidP="00AD0C50">
            <w:pPr>
              <w:rPr>
                <w:rFonts w:asciiTheme="minorHAnsi" w:hAnsiTheme="minorHAnsi" w:cstheme="minorHAnsi"/>
                <w:sz w:val="18"/>
                <w:szCs w:val="18"/>
              </w:rPr>
            </w:pPr>
            <w:r w:rsidRPr="00C86F6B">
              <w:rPr>
                <w:rFonts w:asciiTheme="minorHAnsi" w:hAnsiTheme="minorHAnsi" w:cstheme="minorHAnsi"/>
                <w:sz w:val="18"/>
                <w:szCs w:val="18"/>
              </w:rPr>
              <w:t>PN-87/B-01060</w:t>
            </w:r>
          </w:p>
        </w:tc>
        <w:tc>
          <w:tcPr>
            <w:tcW w:w="6662" w:type="dxa"/>
            <w:gridSpan w:val="2"/>
          </w:tcPr>
          <w:p w14:paraId="6EAA9B6E" w14:textId="77777777" w:rsidR="00C9677E" w:rsidRPr="00C86F6B" w:rsidRDefault="00C9677E" w:rsidP="00AD0C50">
            <w:pPr>
              <w:rPr>
                <w:rFonts w:asciiTheme="minorHAnsi" w:hAnsiTheme="minorHAnsi" w:cstheme="minorHAnsi"/>
                <w:sz w:val="18"/>
                <w:szCs w:val="18"/>
              </w:rPr>
            </w:pPr>
            <w:r w:rsidRPr="00C86F6B">
              <w:rPr>
                <w:rFonts w:asciiTheme="minorHAnsi" w:hAnsiTheme="minorHAnsi" w:cstheme="minorHAnsi"/>
                <w:sz w:val="18"/>
                <w:szCs w:val="18"/>
              </w:rPr>
              <w:t>Sieć wodociągowa zewnętrzna. Obiekty i elementy wyposażenia. Terminologia.</w:t>
            </w:r>
          </w:p>
        </w:tc>
      </w:tr>
      <w:tr w:rsidR="00C9677E" w:rsidRPr="00A23FB4" w14:paraId="39E6F705" w14:textId="77777777" w:rsidTr="00AD0C50">
        <w:tc>
          <w:tcPr>
            <w:tcW w:w="496" w:type="dxa"/>
          </w:tcPr>
          <w:p w14:paraId="4E388E2F" w14:textId="77777777" w:rsidR="00C9677E" w:rsidRPr="00C86F6B" w:rsidRDefault="00C9677E" w:rsidP="00AD0C50">
            <w:pPr>
              <w:jc w:val="right"/>
              <w:rPr>
                <w:rFonts w:asciiTheme="minorHAnsi" w:hAnsiTheme="minorHAnsi" w:cstheme="minorHAnsi"/>
                <w:sz w:val="18"/>
                <w:szCs w:val="18"/>
              </w:rPr>
            </w:pPr>
            <w:r w:rsidRPr="00C86F6B">
              <w:rPr>
                <w:rFonts w:asciiTheme="minorHAnsi" w:hAnsiTheme="minorHAnsi" w:cstheme="minorHAnsi"/>
                <w:sz w:val="18"/>
                <w:szCs w:val="18"/>
              </w:rPr>
              <w:t>2.</w:t>
            </w:r>
          </w:p>
        </w:tc>
        <w:tc>
          <w:tcPr>
            <w:tcW w:w="1984" w:type="dxa"/>
          </w:tcPr>
          <w:p w14:paraId="6AB37524" w14:textId="77777777" w:rsidR="00C9677E" w:rsidRPr="00C86F6B" w:rsidRDefault="00C9677E" w:rsidP="00AD0C50">
            <w:pPr>
              <w:rPr>
                <w:rFonts w:asciiTheme="minorHAnsi" w:hAnsiTheme="minorHAnsi" w:cstheme="minorHAnsi"/>
                <w:sz w:val="18"/>
                <w:szCs w:val="18"/>
              </w:rPr>
            </w:pPr>
            <w:r w:rsidRPr="00C86F6B">
              <w:rPr>
                <w:rFonts w:asciiTheme="minorHAnsi" w:hAnsiTheme="minorHAnsi" w:cstheme="minorHAnsi"/>
                <w:sz w:val="18"/>
                <w:szCs w:val="18"/>
              </w:rPr>
              <w:t>PN-80/B-01800</w:t>
            </w:r>
          </w:p>
        </w:tc>
        <w:tc>
          <w:tcPr>
            <w:tcW w:w="6662" w:type="dxa"/>
            <w:gridSpan w:val="2"/>
          </w:tcPr>
          <w:p w14:paraId="01A1DEA4" w14:textId="77777777" w:rsidR="00C9677E" w:rsidRPr="00C86F6B" w:rsidRDefault="00C9677E" w:rsidP="00AD0C50">
            <w:pPr>
              <w:rPr>
                <w:rFonts w:asciiTheme="minorHAnsi" w:hAnsiTheme="minorHAnsi" w:cstheme="minorHAnsi"/>
                <w:sz w:val="18"/>
                <w:szCs w:val="18"/>
              </w:rPr>
            </w:pPr>
            <w:r w:rsidRPr="00C86F6B">
              <w:rPr>
                <w:rFonts w:asciiTheme="minorHAnsi" w:hAnsiTheme="minorHAnsi" w:cstheme="minorHAnsi"/>
                <w:sz w:val="18"/>
                <w:szCs w:val="18"/>
              </w:rPr>
              <w:t>Antykorozyjne zabezpieczenia w budownictwie. Konstrukcje betonowe i żelbetowe. Klasyfikacja i określenie środowisk.</w:t>
            </w:r>
          </w:p>
        </w:tc>
      </w:tr>
      <w:tr w:rsidR="00C9677E" w:rsidRPr="00A23FB4" w14:paraId="21A48659" w14:textId="77777777" w:rsidTr="00AD0C50">
        <w:tc>
          <w:tcPr>
            <w:tcW w:w="496" w:type="dxa"/>
          </w:tcPr>
          <w:p w14:paraId="6C9F528E" w14:textId="77777777" w:rsidR="00C9677E" w:rsidRPr="00C86F6B" w:rsidRDefault="00C9677E" w:rsidP="00AD0C50">
            <w:pPr>
              <w:jc w:val="right"/>
              <w:rPr>
                <w:rFonts w:asciiTheme="minorHAnsi" w:hAnsiTheme="minorHAnsi" w:cstheme="minorHAnsi"/>
                <w:sz w:val="18"/>
                <w:szCs w:val="18"/>
              </w:rPr>
            </w:pPr>
            <w:r w:rsidRPr="00C86F6B">
              <w:rPr>
                <w:rFonts w:asciiTheme="minorHAnsi" w:hAnsiTheme="minorHAnsi" w:cstheme="minorHAnsi"/>
                <w:sz w:val="18"/>
                <w:szCs w:val="18"/>
              </w:rPr>
              <w:t>3.</w:t>
            </w:r>
          </w:p>
        </w:tc>
        <w:tc>
          <w:tcPr>
            <w:tcW w:w="1984" w:type="dxa"/>
          </w:tcPr>
          <w:p w14:paraId="372F11CA" w14:textId="77777777" w:rsidR="00C9677E" w:rsidRPr="00C86F6B" w:rsidRDefault="00C9677E" w:rsidP="00AD0C50">
            <w:pPr>
              <w:rPr>
                <w:rFonts w:asciiTheme="minorHAnsi" w:hAnsiTheme="minorHAnsi" w:cstheme="minorHAnsi"/>
                <w:sz w:val="18"/>
                <w:szCs w:val="18"/>
              </w:rPr>
            </w:pPr>
            <w:r w:rsidRPr="00C86F6B">
              <w:rPr>
                <w:rFonts w:asciiTheme="minorHAnsi" w:hAnsiTheme="minorHAnsi" w:cstheme="minorHAnsi"/>
                <w:sz w:val="18"/>
                <w:szCs w:val="18"/>
              </w:rPr>
              <w:t>PN-82/B-01801</w:t>
            </w:r>
          </w:p>
        </w:tc>
        <w:tc>
          <w:tcPr>
            <w:tcW w:w="6662" w:type="dxa"/>
            <w:gridSpan w:val="2"/>
          </w:tcPr>
          <w:p w14:paraId="23CA4422" w14:textId="77777777" w:rsidR="00C9677E" w:rsidRPr="00C86F6B" w:rsidRDefault="00C9677E" w:rsidP="00AD0C50">
            <w:pPr>
              <w:rPr>
                <w:rFonts w:asciiTheme="minorHAnsi" w:hAnsiTheme="minorHAnsi" w:cstheme="minorHAnsi"/>
                <w:sz w:val="18"/>
                <w:szCs w:val="18"/>
              </w:rPr>
            </w:pPr>
            <w:r w:rsidRPr="00C86F6B">
              <w:rPr>
                <w:rFonts w:asciiTheme="minorHAnsi" w:hAnsiTheme="minorHAnsi" w:cstheme="minorHAnsi"/>
                <w:sz w:val="18"/>
                <w:szCs w:val="18"/>
              </w:rPr>
              <w:t>Antykorozyjne zabezpieczenia w budownictwie. Konstrukcje betonowe i żelbetowe. Podstawowe zasady projektowania.</w:t>
            </w:r>
          </w:p>
        </w:tc>
      </w:tr>
      <w:tr w:rsidR="00C9677E" w:rsidRPr="00A23FB4" w14:paraId="4C3827E1" w14:textId="77777777" w:rsidTr="00AD0C50">
        <w:tc>
          <w:tcPr>
            <w:tcW w:w="496" w:type="dxa"/>
          </w:tcPr>
          <w:p w14:paraId="3FC2CE70" w14:textId="77777777" w:rsidR="00C9677E" w:rsidRPr="00C86F6B" w:rsidRDefault="00C9677E" w:rsidP="00AD0C50">
            <w:pPr>
              <w:jc w:val="right"/>
              <w:rPr>
                <w:rFonts w:asciiTheme="minorHAnsi" w:hAnsiTheme="minorHAnsi" w:cstheme="minorHAnsi"/>
                <w:sz w:val="18"/>
                <w:szCs w:val="18"/>
              </w:rPr>
            </w:pPr>
            <w:r w:rsidRPr="00C86F6B">
              <w:rPr>
                <w:rFonts w:asciiTheme="minorHAnsi" w:hAnsiTheme="minorHAnsi" w:cstheme="minorHAnsi"/>
                <w:sz w:val="18"/>
                <w:szCs w:val="18"/>
              </w:rPr>
              <w:t>4.</w:t>
            </w:r>
          </w:p>
        </w:tc>
        <w:tc>
          <w:tcPr>
            <w:tcW w:w="1984" w:type="dxa"/>
          </w:tcPr>
          <w:p w14:paraId="2F766AD1" w14:textId="77777777" w:rsidR="00C9677E" w:rsidRPr="00C86F6B" w:rsidRDefault="00C9677E" w:rsidP="00AD0C50">
            <w:pPr>
              <w:rPr>
                <w:rFonts w:asciiTheme="minorHAnsi" w:hAnsiTheme="minorHAnsi" w:cstheme="minorHAnsi"/>
                <w:sz w:val="18"/>
                <w:szCs w:val="18"/>
              </w:rPr>
            </w:pPr>
            <w:r w:rsidRPr="00C86F6B">
              <w:rPr>
                <w:rFonts w:asciiTheme="minorHAnsi" w:hAnsiTheme="minorHAnsi" w:cstheme="minorHAnsi"/>
                <w:sz w:val="18"/>
                <w:szCs w:val="18"/>
              </w:rPr>
              <w:t>PN-86/B-01811</w:t>
            </w:r>
          </w:p>
        </w:tc>
        <w:tc>
          <w:tcPr>
            <w:tcW w:w="6662" w:type="dxa"/>
            <w:gridSpan w:val="2"/>
          </w:tcPr>
          <w:p w14:paraId="6CEC9C61" w14:textId="77777777" w:rsidR="00C9677E" w:rsidRPr="00C86F6B" w:rsidRDefault="00C9677E" w:rsidP="00AD0C50">
            <w:pPr>
              <w:rPr>
                <w:rFonts w:asciiTheme="minorHAnsi" w:hAnsiTheme="minorHAnsi" w:cstheme="minorHAnsi"/>
                <w:sz w:val="18"/>
                <w:szCs w:val="18"/>
              </w:rPr>
            </w:pPr>
            <w:r w:rsidRPr="00C86F6B">
              <w:rPr>
                <w:rFonts w:asciiTheme="minorHAnsi" w:hAnsiTheme="minorHAnsi" w:cstheme="minorHAnsi"/>
                <w:sz w:val="18"/>
                <w:szCs w:val="18"/>
              </w:rPr>
              <w:t>Antykorozyjne zabezpieczenia w budownictwie. Konstrukcje betonowe i żelbetowe. Ochrona materiałowo-strukturalna. Wymagania.</w:t>
            </w:r>
          </w:p>
        </w:tc>
      </w:tr>
      <w:tr w:rsidR="00C9677E" w:rsidRPr="00A23FB4" w14:paraId="4D38C192" w14:textId="77777777" w:rsidTr="00AD0C50">
        <w:tc>
          <w:tcPr>
            <w:tcW w:w="496" w:type="dxa"/>
          </w:tcPr>
          <w:p w14:paraId="215EB948" w14:textId="77777777" w:rsidR="00C9677E" w:rsidRPr="00C86F6B" w:rsidRDefault="00C9677E" w:rsidP="00AD0C50">
            <w:pPr>
              <w:jc w:val="right"/>
              <w:rPr>
                <w:rFonts w:asciiTheme="minorHAnsi" w:hAnsiTheme="minorHAnsi" w:cstheme="minorHAnsi"/>
                <w:sz w:val="18"/>
                <w:szCs w:val="18"/>
              </w:rPr>
            </w:pPr>
            <w:r w:rsidRPr="00C86F6B">
              <w:rPr>
                <w:rFonts w:asciiTheme="minorHAnsi" w:hAnsiTheme="minorHAnsi" w:cstheme="minorHAnsi"/>
                <w:sz w:val="18"/>
                <w:szCs w:val="18"/>
              </w:rPr>
              <w:t>5.</w:t>
            </w:r>
          </w:p>
        </w:tc>
        <w:tc>
          <w:tcPr>
            <w:tcW w:w="1984" w:type="dxa"/>
          </w:tcPr>
          <w:p w14:paraId="49F6D121" w14:textId="77777777" w:rsidR="00C9677E" w:rsidRPr="00C86F6B" w:rsidRDefault="00C9677E" w:rsidP="00AD0C50">
            <w:pPr>
              <w:rPr>
                <w:rFonts w:asciiTheme="minorHAnsi" w:hAnsiTheme="minorHAnsi" w:cstheme="minorHAnsi"/>
                <w:sz w:val="18"/>
                <w:szCs w:val="18"/>
              </w:rPr>
            </w:pPr>
            <w:r w:rsidRPr="00C86F6B">
              <w:rPr>
                <w:rFonts w:asciiTheme="minorHAnsi" w:hAnsiTheme="minorHAnsi" w:cstheme="minorHAnsi"/>
                <w:sz w:val="18"/>
                <w:szCs w:val="18"/>
              </w:rPr>
              <w:t>PN-74/B-02480</w:t>
            </w:r>
          </w:p>
        </w:tc>
        <w:tc>
          <w:tcPr>
            <w:tcW w:w="6662" w:type="dxa"/>
            <w:gridSpan w:val="2"/>
          </w:tcPr>
          <w:p w14:paraId="1CC1ADE4" w14:textId="77777777" w:rsidR="00C9677E" w:rsidRPr="00C86F6B" w:rsidRDefault="00C9677E" w:rsidP="00AD0C50">
            <w:pPr>
              <w:rPr>
                <w:rFonts w:asciiTheme="minorHAnsi" w:hAnsiTheme="minorHAnsi" w:cstheme="minorHAnsi"/>
                <w:sz w:val="18"/>
                <w:szCs w:val="18"/>
              </w:rPr>
            </w:pPr>
            <w:r w:rsidRPr="00C86F6B">
              <w:rPr>
                <w:rFonts w:asciiTheme="minorHAnsi" w:hAnsiTheme="minorHAnsi" w:cstheme="minorHAnsi"/>
                <w:sz w:val="18"/>
                <w:szCs w:val="18"/>
              </w:rPr>
              <w:t>Grunty budowlane. Podział, nazwy, symbole i określenia.</w:t>
            </w:r>
          </w:p>
        </w:tc>
      </w:tr>
      <w:tr w:rsidR="00C9677E" w:rsidRPr="00A23FB4" w14:paraId="6A3598ED" w14:textId="77777777" w:rsidTr="00AD0C50">
        <w:tc>
          <w:tcPr>
            <w:tcW w:w="496" w:type="dxa"/>
          </w:tcPr>
          <w:p w14:paraId="1566CB4B" w14:textId="77777777" w:rsidR="00C9677E" w:rsidRPr="00C86F6B" w:rsidRDefault="00C9677E" w:rsidP="00AD0C50">
            <w:pPr>
              <w:jc w:val="right"/>
              <w:rPr>
                <w:rFonts w:asciiTheme="minorHAnsi" w:hAnsiTheme="minorHAnsi" w:cstheme="minorHAnsi"/>
                <w:sz w:val="18"/>
                <w:szCs w:val="18"/>
              </w:rPr>
            </w:pPr>
            <w:r w:rsidRPr="00C86F6B">
              <w:rPr>
                <w:rFonts w:asciiTheme="minorHAnsi" w:hAnsiTheme="minorHAnsi" w:cstheme="minorHAnsi"/>
                <w:sz w:val="18"/>
                <w:szCs w:val="18"/>
              </w:rPr>
              <w:t>6.</w:t>
            </w:r>
          </w:p>
        </w:tc>
        <w:tc>
          <w:tcPr>
            <w:tcW w:w="1984" w:type="dxa"/>
          </w:tcPr>
          <w:p w14:paraId="2391BA24" w14:textId="77777777" w:rsidR="00C9677E" w:rsidRPr="00C86F6B" w:rsidRDefault="00C9677E" w:rsidP="00AD0C50">
            <w:pPr>
              <w:rPr>
                <w:rFonts w:asciiTheme="minorHAnsi" w:hAnsiTheme="minorHAnsi" w:cstheme="minorHAnsi"/>
                <w:sz w:val="18"/>
                <w:szCs w:val="18"/>
              </w:rPr>
            </w:pPr>
            <w:r w:rsidRPr="00C86F6B">
              <w:rPr>
                <w:rFonts w:asciiTheme="minorHAnsi" w:hAnsiTheme="minorHAnsi" w:cstheme="minorHAnsi"/>
                <w:sz w:val="18"/>
                <w:szCs w:val="18"/>
              </w:rPr>
              <w:t>PN-81/B-03020</w:t>
            </w:r>
          </w:p>
        </w:tc>
        <w:tc>
          <w:tcPr>
            <w:tcW w:w="6662" w:type="dxa"/>
            <w:gridSpan w:val="2"/>
          </w:tcPr>
          <w:p w14:paraId="289EABE8" w14:textId="77777777" w:rsidR="00C9677E" w:rsidRPr="00C86F6B" w:rsidRDefault="00C9677E" w:rsidP="00AD0C50">
            <w:pPr>
              <w:rPr>
                <w:rFonts w:asciiTheme="minorHAnsi" w:hAnsiTheme="minorHAnsi" w:cstheme="minorHAnsi"/>
                <w:sz w:val="18"/>
                <w:szCs w:val="18"/>
              </w:rPr>
            </w:pPr>
            <w:r w:rsidRPr="00C86F6B">
              <w:rPr>
                <w:rFonts w:asciiTheme="minorHAnsi" w:hAnsiTheme="minorHAnsi" w:cstheme="minorHAnsi"/>
                <w:sz w:val="18"/>
                <w:szCs w:val="18"/>
              </w:rPr>
              <w:t>Grunty budowlane. Posadowienia bezpośrednie budowli. Obliczenia statyczne i projektowanie.</w:t>
            </w:r>
          </w:p>
        </w:tc>
      </w:tr>
      <w:tr w:rsidR="00C9677E" w:rsidRPr="00A23FB4" w14:paraId="0F34D6C9" w14:textId="77777777" w:rsidTr="00AD0C50">
        <w:tc>
          <w:tcPr>
            <w:tcW w:w="496" w:type="dxa"/>
          </w:tcPr>
          <w:p w14:paraId="2538BE66" w14:textId="77777777" w:rsidR="00C9677E" w:rsidRPr="00C86F6B" w:rsidRDefault="00C9677E" w:rsidP="00AD0C50">
            <w:pPr>
              <w:jc w:val="right"/>
              <w:rPr>
                <w:rFonts w:asciiTheme="minorHAnsi" w:hAnsiTheme="minorHAnsi" w:cstheme="minorHAnsi"/>
                <w:sz w:val="18"/>
                <w:szCs w:val="18"/>
              </w:rPr>
            </w:pPr>
            <w:r w:rsidRPr="00C86F6B">
              <w:rPr>
                <w:rFonts w:asciiTheme="minorHAnsi" w:hAnsiTheme="minorHAnsi" w:cstheme="minorHAnsi"/>
                <w:sz w:val="18"/>
                <w:szCs w:val="18"/>
              </w:rPr>
              <w:t>7.</w:t>
            </w:r>
          </w:p>
        </w:tc>
        <w:tc>
          <w:tcPr>
            <w:tcW w:w="1984" w:type="dxa"/>
          </w:tcPr>
          <w:p w14:paraId="0CED2407" w14:textId="77777777" w:rsidR="00C9677E" w:rsidRPr="00C86F6B" w:rsidRDefault="00C9677E" w:rsidP="00AD0C50">
            <w:pPr>
              <w:rPr>
                <w:rFonts w:asciiTheme="minorHAnsi" w:hAnsiTheme="minorHAnsi" w:cstheme="minorHAnsi"/>
                <w:sz w:val="18"/>
                <w:szCs w:val="18"/>
              </w:rPr>
            </w:pPr>
            <w:r w:rsidRPr="00C86F6B">
              <w:rPr>
                <w:rFonts w:asciiTheme="minorHAnsi" w:hAnsiTheme="minorHAnsi" w:cstheme="minorHAnsi"/>
                <w:sz w:val="18"/>
                <w:szCs w:val="18"/>
              </w:rPr>
              <w:t>PN-68/B-06050</w:t>
            </w:r>
          </w:p>
        </w:tc>
        <w:tc>
          <w:tcPr>
            <w:tcW w:w="6662" w:type="dxa"/>
            <w:gridSpan w:val="2"/>
          </w:tcPr>
          <w:p w14:paraId="008BD346" w14:textId="77777777" w:rsidR="00C9677E" w:rsidRPr="00C86F6B" w:rsidRDefault="00C9677E" w:rsidP="00AD0C50">
            <w:pPr>
              <w:rPr>
                <w:rFonts w:asciiTheme="minorHAnsi" w:hAnsiTheme="minorHAnsi" w:cstheme="minorHAnsi"/>
                <w:sz w:val="18"/>
                <w:szCs w:val="18"/>
              </w:rPr>
            </w:pPr>
            <w:r w:rsidRPr="00C86F6B">
              <w:rPr>
                <w:rFonts w:asciiTheme="minorHAnsi" w:hAnsiTheme="minorHAnsi" w:cstheme="minorHAnsi"/>
                <w:sz w:val="18"/>
                <w:szCs w:val="18"/>
              </w:rPr>
              <w:t>Roboty ziemne budowlane. Wymagania w zakresie wykonywania i badania przy odbiorze.</w:t>
            </w:r>
          </w:p>
        </w:tc>
      </w:tr>
      <w:tr w:rsidR="00C9677E" w:rsidRPr="00A23FB4" w14:paraId="3A243ACC" w14:textId="77777777" w:rsidTr="00AD0C50">
        <w:tc>
          <w:tcPr>
            <w:tcW w:w="496" w:type="dxa"/>
          </w:tcPr>
          <w:p w14:paraId="792092E4" w14:textId="77777777" w:rsidR="00C9677E" w:rsidRPr="00C86F6B" w:rsidRDefault="00C9677E" w:rsidP="00AD0C50">
            <w:pPr>
              <w:jc w:val="right"/>
              <w:rPr>
                <w:rFonts w:asciiTheme="minorHAnsi" w:hAnsiTheme="minorHAnsi" w:cstheme="minorHAnsi"/>
                <w:sz w:val="18"/>
                <w:szCs w:val="18"/>
              </w:rPr>
            </w:pPr>
            <w:r w:rsidRPr="00C86F6B">
              <w:rPr>
                <w:rFonts w:asciiTheme="minorHAnsi" w:hAnsiTheme="minorHAnsi" w:cstheme="minorHAnsi"/>
                <w:sz w:val="18"/>
                <w:szCs w:val="18"/>
              </w:rPr>
              <w:t>8.</w:t>
            </w:r>
          </w:p>
        </w:tc>
        <w:tc>
          <w:tcPr>
            <w:tcW w:w="1984" w:type="dxa"/>
          </w:tcPr>
          <w:p w14:paraId="71B0312B" w14:textId="77777777" w:rsidR="00C9677E" w:rsidRPr="00C86F6B" w:rsidRDefault="00C9677E" w:rsidP="00AD0C50">
            <w:pPr>
              <w:rPr>
                <w:rFonts w:asciiTheme="minorHAnsi" w:hAnsiTheme="minorHAnsi" w:cstheme="minorHAnsi"/>
                <w:sz w:val="18"/>
                <w:szCs w:val="18"/>
              </w:rPr>
            </w:pPr>
            <w:r w:rsidRPr="00C86F6B">
              <w:rPr>
                <w:rFonts w:asciiTheme="minorHAnsi" w:hAnsiTheme="minorHAnsi" w:cstheme="minorHAnsi"/>
                <w:sz w:val="18"/>
                <w:szCs w:val="18"/>
              </w:rPr>
              <w:t>PN-88/B-06250</w:t>
            </w:r>
          </w:p>
        </w:tc>
        <w:tc>
          <w:tcPr>
            <w:tcW w:w="6662" w:type="dxa"/>
            <w:gridSpan w:val="2"/>
          </w:tcPr>
          <w:p w14:paraId="0F5B3C47" w14:textId="77777777" w:rsidR="00C9677E" w:rsidRPr="00C86F6B" w:rsidRDefault="00C9677E" w:rsidP="00AD0C50">
            <w:pPr>
              <w:rPr>
                <w:rFonts w:asciiTheme="minorHAnsi" w:hAnsiTheme="minorHAnsi" w:cstheme="minorHAnsi"/>
                <w:sz w:val="18"/>
                <w:szCs w:val="18"/>
              </w:rPr>
            </w:pPr>
            <w:r w:rsidRPr="00C86F6B">
              <w:rPr>
                <w:rFonts w:asciiTheme="minorHAnsi" w:hAnsiTheme="minorHAnsi" w:cstheme="minorHAnsi"/>
                <w:sz w:val="18"/>
                <w:szCs w:val="18"/>
              </w:rPr>
              <w:t>Beton zwykły.</w:t>
            </w:r>
          </w:p>
        </w:tc>
      </w:tr>
      <w:tr w:rsidR="00C9677E" w:rsidRPr="00A23FB4" w14:paraId="466E06E5" w14:textId="77777777" w:rsidTr="00AD0C50">
        <w:tc>
          <w:tcPr>
            <w:tcW w:w="496" w:type="dxa"/>
          </w:tcPr>
          <w:p w14:paraId="1AF07722" w14:textId="77777777" w:rsidR="00C9677E" w:rsidRPr="00C86F6B" w:rsidRDefault="00C9677E" w:rsidP="00AD0C50">
            <w:pPr>
              <w:jc w:val="right"/>
              <w:rPr>
                <w:rFonts w:asciiTheme="minorHAnsi" w:hAnsiTheme="minorHAnsi" w:cstheme="minorHAnsi"/>
                <w:sz w:val="18"/>
                <w:szCs w:val="18"/>
              </w:rPr>
            </w:pPr>
            <w:r w:rsidRPr="00C86F6B">
              <w:rPr>
                <w:rFonts w:asciiTheme="minorHAnsi" w:hAnsiTheme="minorHAnsi" w:cstheme="minorHAnsi"/>
                <w:sz w:val="18"/>
                <w:szCs w:val="18"/>
              </w:rPr>
              <w:t>9.</w:t>
            </w:r>
          </w:p>
        </w:tc>
        <w:tc>
          <w:tcPr>
            <w:tcW w:w="1984" w:type="dxa"/>
          </w:tcPr>
          <w:p w14:paraId="161710B9" w14:textId="77777777" w:rsidR="00C9677E" w:rsidRPr="00C86F6B" w:rsidRDefault="00C9677E" w:rsidP="00AD0C50">
            <w:pPr>
              <w:rPr>
                <w:rFonts w:asciiTheme="minorHAnsi" w:hAnsiTheme="minorHAnsi" w:cstheme="minorHAnsi"/>
                <w:sz w:val="18"/>
                <w:szCs w:val="18"/>
              </w:rPr>
            </w:pPr>
            <w:r w:rsidRPr="00C86F6B">
              <w:rPr>
                <w:rFonts w:asciiTheme="minorHAnsi" w:hAnsiTheme="minorHAnsi" w:cstheme="minorHAnsi"/>
                <w:sz w:val="18"/>
                <w:szCs w:val="18"/>
              </w:rPr>
              <w:t>PN-53/B-06584</w:t>
            </w:r>
          </w:p>
        </w:tc>
        <w:tc>
          <w:tcPr>
            <w:tcW w:w="6662" w:type="dxa"/>
            <w:gridSpan w:val="2"/>
          </w:tcPr>
          <w:p w14:paraId="0DE9339F" w14:textId="77777777" w:rsidR="00C9677E" w:rsidRPr="00C86F6B" w:rsidRDefault="00C9677E" w:rsidP="00AD0C50">
            <w:pPr>
              <w:rPr>
                <w:rFonts w:asciiTheme="minorHAnsi" w:hAnsiTheme="minorHAnsi" w:cstheme="minorHAnsi"/>
                <w:sz w:val="18"/>
                <w:szCs w:val="18"/>
              </w:rPr>
            </w:pPr>
            <w:r w:rsidRPr="00C86F6B">
              <w:rPr>
                <w:rFonts w:asciiTheme="minorHAnsi" w:hAnsiTheme="minorHAnsi" w:cstheme="minorHAnsi"/>
                <w:sz w:val="18"/>
                <w:szCs w:val="18"/>
              </w:rPr>
              <w:t>Rury betonowe. Budowa kanałów w wykopach.</w:t>
            </w:r>
          </w:p>
        </w:tc>
      </w:tr>
      <w:tr w:rsidR="00C9677E" w:rsidRPr="00A23FB4" w14:paraId="7C76077C" w14:textId="77777777" w:rsidTr="00AD0C50">
        <w:tc>
          <w:tcPr>
            <w:tcW w:w="496" w:type="dxa"/>
          </w:tcPr>
          <w:p w14:paraId="060B5883" w14:textId="77777777" w:rsidR="00C9677E" w:rsidRPr="00C86F6B" w:rsidRDefault="00C9677E" w:rsidP="00AD0C50">
            <w:pPr>
              <w:jc w:val="right"/>
              <w:rPr>
                <w:rFonts w:asciiTheme="minorHAnsi" w:hAnsiTheme="minorHAnsi" w:cstheme="minorHAnsi"/>
                <w:sz w:val="18"/>
                <w:szCs w:val="18"/>
              </w:rPr>
            </w:pPr>
            <w:r w:rsidRPr="00C86F6B">
              <w:rPr>
                <w:rFonts w:asciiTheme="minorHAnsi" w:hAnsiTheme="minorHAnsi" w:cstheme="minorHAnsi"/>
                <w:sz w:val="18"/>
                <w:szCs w:val="18"/>
              </w:rPr>
              <w:t>10.</w:t>
            </w:r>
          </w:p>
        </w:tc>
        <w:tc>
          <w:tcPr>
            <w:tcW w:w="1984" w:type="dxa"/>
          </w:tcPr>
          <w:p w14:paraId="7C4F3A7B" w14:textId="77777777" w:rsidR="00C9677E" w:rsidRPr="00C86F6B" w:rsidRDefault="00C9677E" w:rsidP="00AD0C50">
            <w:pPr>
              <w:rPr>
                <w:rFonts w:asciiTheme="minorHAnsi" w:hAnsiTheme="minorHAnsi" w:cstheme="minorHAnsi"/>
                <w:sz w:val="18"/>
                <w:szCs w:val="18"/>
              </w:rPr>
            </w:pPr>
            <w:r w:rsidRPr="00C86F6B">
              <w:rPr>
                <w:rFonts w:asciiTheme="minorHAnsi" w:hAnsiTheme="minorHAnsi" w:cstheme="minorHAnsi"/>
                <w:sz w:val="18"/>
                <w:szCs w:val="18"/>
              </w:rPr>
              <w:t>PN-86/B-06712</w:t>
            </w:r>
          </w:p>
        </w:tc>
        <w:tc>
          <w:tcPr>
            <w:tcW w:w="6662" w:type="dxa"/>
            <w:gridSpan w:val="2"/>
          </w:tcPr>
          <w:p w14:paraId="068376ED" w14:textId="77777777" w:rsidR="00C9677E" w:rsidRPr="00C86F6B" w:rsidRDefault="00C9677E" w:rsidP="00AD0C50">
            <w:pPr>
              <w:rPr>
                <w:rFonts w:asciiTheme="minorHAnsi" w:hAnsiTheme="minorHAnsi" w:cstheme="minorHAnsi"/>
                <w:sz w:val="18"/>
                <w:szCs w:val="18"/>
              </w:rPr>
            </w:pPr>
            <w:r w:rsidRPr="00C86F6B">
              <w:rPr>
                <w:rFonts w:asciiTheme="minorHAnsi" w:hAnsiTheme="minorHAnsi" w:cstheme="minorHAnsi"/>
                <w:sz w:val="18"/>
                <w:szCs w:val="18"/>
              </w:rPr>
              <w:t>Kruszywa mineralne do betonu.</w:t>
            </w:r>
          </w:p>
        </w:tc>
      </w:tr>
      <w:tr w:rsidR="00C9677E" w:rsidRPr="00A23FB4" w14:paraId="01B8BB20" w14:textId="77777777" w:rsidTr="00AD0C50">
        <w:tc>
          <w:tcPr>
            <w:tcW w:w="496" w:type="dxa"/>
          </w:tcPr>
          <w:p w14:paraId="570A1263" w14:textId="77777777" w:rsidR="00C9677E" w:rsidRPr="00C86F6B" w:rsidRDefault="00C9677E" w:rsidP="00AD0C50">
            <w:pPr>
              <w:jc w:val="right"/>
              <w:rPr>
                <w:rFonts w:asciiTheme="minorHAnsi" w:hAnsiTheme="minorHAnsi" w:cstheme="minorHAnsi"/>
                <w:sz w:val="18"/>
                <w:szCs w:val="18"/>
              </w:rPr>
            </w:pPr>
            <w:r w:rsidRPr="00C86F6B">
              <w:rPr>
                <w:rFonts w:asciiTheme="minorHAnsi" w:hAnsiTheme="minorHAnsi" w:cstheme="minorHAnsi"/>
                <w:sz w:val="18"/>
                <w:szCs w:val="18"/>
              </w:rPr>
              <w:t>11.</w:t>
            </w:r>
          </w:p>
        </w:tc>
        <w:tc>
          <w:tcPr>
            <w:tcW w:w="1984" w:type="dxa"/>
          </w:tcPr>
          <w:p w14:paraId="387040FF" w14:textId="77777777" w:rsidR="00C9677E" w:rsidRPr="00C86F6B" w:rsidRDefault="00C9677E" w:rsidP="00AD0C50">
            <w:pPr>
              <w:rPr>
                <w:rFonts w:asciiTheme="minorHAnsi" w:hAnsiTheme="minorHAnsi" w:cstheme="minorHAnsi"/>
                <w:sz w:val="18"/>
                <w:szCs w:val="18"/>
              </w:rPr>
            </w:pPr>
            <w:r w:rsidRPr="00C86F6B">
              <w:rPr>
                <w:rFonts w:asciiTheme="minorHAnsi" w:hAnsiTheme="minorHAnsi" w:cstheme="minorHAnsi"/>
                <w:sz w:val="18"/>
                <w:szCs w:val="18"/>
              </w:rPr>
              <w:t>PN-81/B-10725</w:t>
            </w:r>
          </w:p>
        </w:tc>
        <w:tc>
          <w:tcPr>
            <w:tcW w:w="6662" w:type="dxa"/>
            <w:gridSpan w:val="2"/>
          </w:tcPr>
          <w:p w14:paraId="457A5918" w14:textId="77777777" w:rsidR="00C9677E" w:rsidRPr="00C86F6B" w:rsidRDefault="00C9677E" w:rsidP="00AD0C50">
            <w:pPr>
              <w:rPr>
                <w:rFonts w:asciiTheme="minorHAnsi" w:hAnsiTheme="minorHAnsi" w:cstheme="minorHAnsi"/>
                <w:sz w:val="18"/>
                <w:szCs w:val="18"/>
              </w:rPr>
            </w:pPr>
            <w:r w:rsidRPr="00C86F6B">
              <w:rPr>
                <w:rFonts w:asciiTheme="minorHAnsi" w:hAnsiTheme="minorHAnsi" w:cstheme="minorHAnsi"/>
                <w:sz w:val="18"/>
                <w:szCs w:val="18"/>
              </w:rPr>
              <w:t>Wodociągi. Przewody zewnętrzne. Wymagania i badania przy odbiorze.</w:t>
            </w:r>
          </w:p>
        </w:tc>
      </w:tr>
      <w:tr w:rsidR="00C9677E" w:rsidRPr="00A23FB4" w14:paraId="3900947D" w14:textId="77777777" w:rsidTr="00AD0C50">
        <w:tc>
          <w:tcPr>
            <w:tcW w:w="496" w:type="dxa"/>
          </w:tcPr>
          <w:p w14:paraId="26EF6017" w14:textId="77777777" w:rsidR="00C9677E" w:rsidRPr="00C86F6B" w:rsidRDefault="00C9677E" w:rsidP="00AD0C50">
            <w:pPr>
              <w:jc w:val="right"/>
              <w:rPr>
                <w:rFonts w:asciiTheme="minorHAnsi" w:hAnsiTheme="minorHAnsi" w:cstheme="minorHAnsi"/>
                <w:sz w:val="18"/>
                <w:szCs w:val="18"/>
              </w:rPr>
            </w:pPr>
            <w:r w:rsidRPr="00C86F6B">
              <w:rPr>
                <w:rFonts w:asciiTheme="minorHAnsi" w:hAnsiTheme="minorHAnsi" w:cstheme="minorHAnsi"/>
                <w:sz w:val="18"/>
                <w:szCs w:val="18"/>
              </w:rPr>
              <w:t>12.</w:t>
            </w:r>
          </w:p>
        </w:tc>
        <w:tc>
          <w:tcPr>
            <w:tcW w:w="1984" w:type="dxa"/>
          </w:tcPr>
          <w:p w14:paraId="4846254E" w14:textId="77777777" w:rsidR="00C9677E" w:rsidRPr="00C86F6B" w:rsidRDefault="00C9677E" w:rsidP="00AD0C50">
            <w:pPr>
              <w:rPr>
                <w:rFonts w:asciiTheme="minorHAnsi" w:hAnsiTheme="minorHAnsi" w:cstheme="minorHAnsi"/>
                <w:sz w:val="18"/>
                <w:szCs w:val="18"/>
              </w:rPr>
            </w:pPr>
            <w:r w:rsidRPr="00C86F6B">
              <w:rPr>
                <w:rFonts w:asciiTheme="minorHAnsi" w:hAnsiTheme="minorHAnsi" w:cstheme="minorHAnsi"/>
                <w:sz w:val="18"/>
                <w:szCs w:val="18"/>
              </w:rPr>
              <w:t>PN-85/B-10726</w:t>
            </w:r>
          </w:p>
        </w:tc>
        <w:tc>
          <w:tcPr>
            <w:tcW w:w="6662" w:type="dxa"/>
            <w:gridSpan w:val="2"/>
          </w:tcPr>
          <w:p w14:paraId="4611EEBD" w14:textId="77777777" w:rsidR="00C9677E" w:rsidRPr="00C86F6B" w:rsidRDefault="00C9677E" w:rsidP="00AD0C50">
            <w:pPr>
              <w:rPr>
                <w:rFonts w:asciiTheme="minorHAnsi" w:hAnsiTheme="minorHAnsi" w:cstheme="minorHAnsi"/>
                <w:sz w:val="18"/>
                <w:szCs w:val="18"/>
              </w:rPr>
            </w:pPr>
            <w:r w:rsidRPr="00C86F6B">
              <w:rPr>
                <w:rFonts w:asciiTheme="minorHAnsi" w:hAnsiTheme="minorHAnsi" w:cstheme="minorHAnsi"/>
                <w:sz w:val="18"/>
                <w:szCs w:val="18"/>
              </w:rPr>
              <w:t>Wodociągi. Przewody z rur stalowych i żeliwnych na terenach górniczych. Wymagania i badania.</w:t>
            </w:r>
          </w:p>
        </w:tc>
      </w:tr>
      <w:tr w:rsidR="00C9677E" w:rsidRPr="00A23FB4" w14:paraId="23BD2733" w14:textId="77777777" w:rsidTr="00AD0C50">
        <w:tc>
          <w:tcPr>
            <w:tcW w:w="496" w:type="dxa"/>
          </w:tcPr>
          <w:p w14:paraId="664D525B" w14:textId="77777777" w:rsidR="00C9677E" w:rsidRPr="00C86F6B" w:rsidRDefault="00C9677E" w:rsidP="00AD0C50">
            <w:pPr>
              <w:jc w:val="right"/>
              <w:rPr>
                <w:rFonts w:asciiTheme="minorHAnsi" w:hAnsiTheme="minorHAnsi" w:cstheme="minorHAnsi"/>
                <w:sz w:val="18"/>
                <w:szCs w:val="18"/>
              </w:rPr>
            </w:pPr>
            <w:r w:rsidRPr="00C86F6B">
              <w:rPr>
                <w:rFonts w:asciiTheme="minorHAnsi" w:hAnsiTheme="minorHAnsi" w:cstheme="minorHAnsi"/>
                <w:sz w:val="18"/>
                <w:szCs w:val="18"/>
              </w:rPr>
              <w:t>13.</w:t>
            </w:r>
          </w:p>
        </w:tc>
        <w:tc>
          <w:tcPr>
            <w:tcW w:w="1984" w:type="dxa"/>
          </w:tcPr>
          <w:p w14:paraId="3F5D49D2" w14:textId="77777777" w:rsidR="00C9677E" w:rsidRPr="00C86F6B" w:rsidRDefault="00C9677E" w:rsidP="00AD0C50">
            <w:pPr>
              <w:rPr>
                <w:rFonts w:asciiTheme="minorHAnsi" w:hAnsiTheme="minorHAnsi" w:cstheme="minorHAnsi"/>
                <w:sz w:val="18"/>
                <w:szCs w:val="18"/>
              </w:rPr>
            </w:pPr>
            <w:r w:rsidRPr="00C86F6B">
              <w:rPr>
                <w:rFonts w:asciiTheme="minorHAnsi" w:hAnsiTheme="minorHAnsi" w:cstheme="minorHAnsi"/>
                <w:sz w:val="18"/>
                <w:szCs w:val="18"/>
              </w:rPr>
              <w:t>PN-91/B-10728</w:t>
            </w:r>
          </w:p>
        </w:tc>
        <w:tc>
          <w:tcPr>
            <w:tcW w:w="6662" w:type="dxa"/>
            <w:gridSpan w:val="2"/>
          </w:tcPr>
          <w:p w14:paraId="78E5D22E" w14:textId="77777777" w:rsidR="00C9677E" w:rsidRPr="00C86F6B" w:rsidRDefault="00C9677E" w:rsidP="00AD0C50">
            <w:pPr>
              <w:rPr>
                <w:rFonts w:asciiTheme="minorHAnsi" w:hAnsiTheme="minorHAnsi" w:cstheme="minorHAnsi"/>
                <w:sz w:val="18"/>
                <w:szCs w:val="18"/>
              </w:rPr>
            </w:pPr>
            <w:r w:rsidRPr="00C86F6B">
              <w:rPr>
                <w:rFonts w:asciiTheme="minorHAnsi" w:hAnsiTheme="minorHAnsi" w:cstheme="minorHAnsi"/>
                <w:sz w:val="18"/>
                <w:szCs w:val="18"/>
              </w:rPr>
              <w:t>Studzienki wodociągowe.</w:t>
            </w:r>
          </w:p>
        </w:tc>
      </w:tr>
      <w:tr w:rsidR="00C9677E" w:rsidRPr="00A23FB4" w14:paraId="03311ABC" w14:textId="77777777" w:rsidTr="00AD0C50">
        <w:tc>
          <w:tcPr>
            <w:tcW w:w="496" w:type="dxa"/>
          </w:tcPr>
          <w:p w14:paraId="2A958600" w14:textId="77777777" w:rsidR="00C9677E" w:rsidRPr="00C86F6B" w:rsidRDefault="00C9677E" w:rsidP="00AD0C50">
            <w:pPr>
              <w:jc w:val="right"/>
              <w:rPr>
                <w:rFonts w:asciiTheme="minorHAnsi" w:hAnsiTheme="minorHAnsi" w:cstheme="minorHAnsi"/>
                <w:sz w:val="18"/>
                <w:szCs w:val="18"/>
              </w:rPr>
            </w:pPr>
            <w:r w:rsidRPr="00C86F6B">
              <w:rPr>
                <w:rFonts w:asciiTheme="minorHAnsi" w:hAnsiTheme="minorHAnsi" w:cstheme="minorHAnsi"/>
                <w:sz w:val="18"/>
                <w:szCs w:val="18"/>
              </w:rPr>
              <w:t>14.</w:t>
            </w:r>
          </w:p>
        </w:tc>
        <w:tc>
          <w:tcPr>
            <w:tcW w:w="1984" w:type="dxa"/>
          </w:tcPr>
          <w:p w14:paraId="454289DD" w14:textId="77777777" w:rsidR="00C9677E" w:rsidRPr="00C86F6B" w:rsidRDefault="00C9677E" w:rsidP="00AD0C50">
            <w:pPr>
              <w:rPr>
                <w:rFonts w:asciiTheme="minorHAnsi" w:hAnsiTheme="minorHAnsi" w:cstheme="minorHAnsi"/>
                <w:sz w:val="18"/>
                <w:szCs w:val="18"/>
              </w:rPr>
            </w:pPr>
            <w:r w:rsidRPr="00C86F6B">
              <w:rPr>
                <w:rFonts w:asciiTheme="minorHAnsi" w:hAnsiTheme="minorHAnsi" w:cstheme="minorHAnsi"/>
                <w:sz w:val="18"/>
                <w:szCs w:val="18"/>
              </w:rPr>
              <w:t>PN-76/B-12037</w:t>
            </w:r>
          </w:p>
        </w:tc>
        <w:tc>
          <w:tcPr>
            <w:tcW w:w="6662" w:type="dxa"/>
            <w:gridSpan w:val="2"/>
          </w:tcPr>
          <w:p w14:paraId="24AFB14A" w14:textId="77777777" w:rsidR="00C9677E" w:rsidRPr="00C86F6B" w:rsidRDefault="00C9677E" w:rsidP="00AD0C50">
            <w:pPr>
              <w:rPr>
                <w:rFonts w:asciiTheme="minorHAnsi" w:hAnsiTheme="minorHAnsi" w:cstheme="minorHAnsi"/>
                <w:sz w:val="18"/>
                <w:szCs w:val="18"/>
              </w:rPr>
            </w:pPr>
            <w:r w:rsidRPr="00C86F6B">
              <w:rPr>
                <w:rFonts w:asciiTheme="minorHAnsi" w:hAnsiTheme="minorHAnsi" w:cstheme="minorHAnsi"/>
                <w:sz w:val="18"/>
                <w:szCs w:val="18"/>
              </w:rPr>
              <w:t>Cegła pełna wypalana z gliny - kanalizacyjna.</w:t>
            </w:r>
          </w:p>
        </w:tc>
      </w:tr>
      <w:tr w:rsidR="00C9677E" w:rsidRPr="00A23FB4" w14:paraId="6306B8B5" w14:textId="77777777" w:rsidTr="00AD0C50">
        <w:tc>
          <w:tcPr>
            <w:tcW w:w="496" w:type="dxa"/>
          </w:tcPr>
          <w:p w14:paraId="0DDB5047" w14:textId="77777777" w:rsidR="00C9677E" w:rsidRPr="00C86F6B" w:rsidRDefault="00C9677E" w:rsidP="00AD0C50">
            <w:pPr>
              <w:jc w:val="right"/>
              <w:rPr>
                <w:rFonts w:asciiTheme="minorHAnsi" w:hAnsiTheme="minorHAnsi" w:cstheme="minorHAnsi"/>
                <w:sz w:val="18"/>
                <w:szCs w:val="18"/>
              </w:rPr>
            </w:pPr>
            <w:r w:rsidRPr="00C86F6B">
              <w:rPr>
                <w:rFonts w:asciiTheme="minorHAnsi" w:hAnsiTheme="minorHAnsi" w:cstheme="minorHAnsi"/>
                <w:sz w:val="18"/>
                <w:szCs w:val="18"/>
              </w:rPr>
              <w:t>15.</w:t>
            </w:r>
          </w:p>
        </w:tc>
        <w:tc>
          <w:tcPr>
            <w:tcW w:w="1984" w:type="dxa"/>
          </w:tcPr>
          <w:p w14:paraId="31A36D31" w14:textId="77777777" w:rsidR="00C9677E" w:rsidRPr="00C86F6B" w:rsidRDefault="00C9677E" w:rsidP="00AD0C50">
            <w:pPr>
              <w:rPr>
                <w:rFonts w:asciiTheme="minorHAnsi" w:hAnsiTheme="minorHAnsi" w:cstheme="minorHAnsi"/>
                <w:sz w:val="18"/>
                <w:szCs w:val="18"/>
              </w:rPr>
            </w:pPr>
            <w:r w:rsidRPr="00C86F6B">
              <w:rPr>
                <w:rFonts w:asciiTheme="minorHAnsi" w:hAnsiTheme="minorHAnsi" w:cstheme="minorHAnsi"/>
                <w:sz w:val="18"/>
                <w:szCs w:val="18"/>
              </w:rPr>
              <w:t>PN-90/B-14501</w:t>
            </w:r>
          </w:p>
        </w:tc>
        <w:tc>
          <w:tcPr>
            <w:tcW w:w="6662" w:type="dxa"/>
            <w:gridSpan w:val="2"/>
          </w:tcPr>
          <w:p w14:paraId="65A0C086" w14:textId="77777777" w:rsidR="00C9677E" w:rsidRPr="00C86F6B" w:rsidRDefault="00C9677E" w:rsidP="00AD0C50">
            <w:pPr>
              <w:rPr>
                <w:rFonts w:asciiTheme="minorHAnsi" w:hAnsiTheme="minorHAnsi" w:cstheme="minorHAnsi"/>
                <w:sz w:val="18"/>
                <w:szCs w:val="18"/>
              </w:rPr>
            </w:pPr>
            <w:r w:rsidRPr="00C86F6B">
              <w:rPr>
                <w:rFonts w:asciiTheme="minorHAnsi" w:hAnsiTheme="minorHAnsi" w:cstheme="minorHAnsi"/>
                <w:sz w:val="18"/>
                <w:szCs w:val="18"/>
              </w:rPr>
              <w:t>Zaprawy budowlane zwykłe.</w:t>
            </w:r>
          </w:p>
        </w:tc>
      </w:tr>
      <w:tr w:rsidR="00C9677E" w:rsidRPr="00A23FB4" w14:paraId="3992B677" w14:textId="77777777" w:rsidTr="00AD0C50">
        <w:tc>
          <w:tcPr>
            <w:tcW w:w="496" w:type="dxa"/>
          </w:tcPr>
          <w:p w14:paraId="13E8E467" w14:textId="77777777" w:rsidR="00C9677E" w:rsidRPr="00C86F6B" w:rsidRDefault="00C9677E" w:rsidP="00AD0C50">
            <w:pPr>
              <w:jc w:val="right"/>
              <w:rPr>
                <w:rFonts w:asciiTheme="minorHAnsi" w:hAnsiTheme="minorHAnsi" w:cstheme="minorHAnsi"/>
                <w:sz w:val="18"/>
                <w:szCs w:val="18"/>
              </w:rPr>
            </w:pPr>
            <w:r w:rsidRPr="00C86F6B">
              <w:rPr>
                <w:rFonts w:asciiTheme="minorHAnsi" w:hAnsiTheme="minorHAnsi" w:cstheme="minorHAnsi"/>
                <w:sz w:val="18"/>
                <w:szCs w:val="18"/>
              </w:rPr>
              <w:t>16.</w:t>
            </w:r>
          </w:p>
        </w:tc>
        <w:tc>
          <w:tcPr>
            <w:tcW w:w="1984" w:type="dxa"/>
          </w:tcPr>
          <w:p w14:paraId="688F056D" w14:textId="77777777" w:rsidR="00C9677E" w:rsidRPr="00C86F6B" w:rsidRDefault="00C9677E" w:rsidP="00AD0C50">
            <w:pPr>
              <w:rPr>
                <w:rFonts w:asciiTheme="minorHAnsi" w:hAnsiTheme="minorHAnsi" w:cstheme="minorHAnsi"/>
                <w:sz w:val="18"/>
                <w:szCs w:val="18"/>
              </w:rPr>
            </w:pPr>
            <w:r w:rsidRPr="00C86F6B">
              <w:rPr>
                <w:rFonts w:asciiTheme="minorHAnsi" w:hAnsiTheme="minorHAnsi" w:cstheme="minorHAnsi"/>
                <w:sz w:val="18"/>
                <w:szCs w:val="18"/>
              </w:rPr>
              <w:t>PN-74/B-24622</w:t>
            </w:r>
          </w:p>
        </w:tc>
        <w:tc>
          <w:tcPr>
            <w:tcW w:w="6662" w:type="dxa"/>
            <w:gridSpan w:val="2"/>
          </w:tcPr>
          <w:p w14:paraId="51D027C6" w14:textId="77777777" w:rsidR="00C9677E" w:rsidRPr="00C86F6B" w:rsidRDefault="00C9677E" w:rsidP="00AD0C50">
            <w:pPr>
              <w:rPr>
                <w:rFonts w:asciiTheme="minorHAnsi" w:hAnsiTheme="minorHAnsi" w:cstheme="minorHAnsi"/>
                <w:sz w:val="18"/>
                <w:szCs w:val="18"/>
              </w:rPr>
            </w:pPr>
            <w:r w:rsidRPr="00C86F6B">
              <w:rPr>
                <w:rFonts w:asciiTheme="minorHAnsi" w:hAnsiTheme="minorHAnsi" w:cstheme="minorHAnsi"/>
                <w:sz w:val="18"/>
                <w:szCs w:val="18"/>
              </w:rPr>
              <w:t>Roztwór asfaltowy do gruntowania.</w:t>
            </w:r>
          </w:p>
        </w:tc>
      </w:tr>
      <w:tr w:rsidR="00C9677E" w:rsidRPr="00A23FB4" w14:paraId="1115D294" w14:textId="77777777" w:rsidTr="00AD0C50">
        <w:tc>
          <w:tcPr>
            <w:tcW w:w="496" w:type="dxa"/>
          </w:tcPr>
          <w:p w14:paraId="4C6EBD69" w14:textId="77777777" w:rsidR="00C9677E" w:rsidRPr="00C86F6B" w:rsidRDefault="00C9677E" w:rsidP="00AD0C50">
            <w:pPr>
              <w:jc w:val="right"/>
              <w:rPr>
                <w:rFonts w:asciiTheme="minorHAnsi" w:hAnsiTheme="minorHAnsi" w:cstheme="minorHAnsi"/>
                <w:sz w:val="18"/>
                <w:szCs w:val="18"/>
              </w:rPr>
            </w:pPr>
            <w:r w:rsidRPr="00C86F6B">
              <w:rPr>
                <w:rFonts w:asciiTheme="minorHAnsi" w:hAnsiTheme="minorHAnsi" w:cstheme="minorHAnsi"/>
                <w:sz w:val="18"/>
                <w:szCs w:val="18"/>
              </w:rPr>
              <w:t>17.</w:t>
            </w:r>
          </w:p>
        </w:tc>
        <w:tc>
          <w:tcPr>
            <w:tcW w:w="1984" w:type="dxa"/>
          </w:tcPr>
          <w:p w14:paraId="4F65383D" w14:textId="77777777" w:rsidR="00C9677E" w:rsidRPr="00C86F6B" w:rsidRDefault="00C9677E" w:rsidP="00AD0C50">
            <w:pPr>
              <w:rPr>
                <w:rFonts w:asciiTheme="minorHAnsi" w:hAnsiTheme="minorHAnsi" w:cstheme="minorHAnsi"/>
                <w:sz w:val="18"/>
                <w:szCs w:val="18"/>
              </w:rPr>
            </w:pPr>
            <w:r w:rsidRPr="00C86F6B">
              <w:rPr>
                <w:rFonts w:asciiTheme="minorHAnsi" w:hAnsiTheme="minorHAnsi" w:cstheme="minorHAnsi"/>
                <w:sz w:val="18"/>
                <w:szCs w:val="18"/>
              </w:rPr>
              <w:t>PN-57/B-24625</w:t>
            </w:r>
          </w:p>
        </w:tc>
        <w:tc>
          <w:tcPr>
            <w:tcW w:w="6662" w:type="dxa"/>
            <w:gridSpan w:val="2"/>
          </w:tcPr>
          <w:p w14:paraId="792B66DB" w14:textId="77777777" w:rsidR="00C9677E" w:rsidRPr="00C86F6B" w:rsidRDefault="00C9677E" w:rsidP="00AD0C50">
            <w:pPr>
              <w:rPr>
                <w:rFonts w:asciiTheme="minorHAnsi" w:hAnsiTheme="minorHAnsi" w:cstheme="minorHAnsi"/>
                <w:sz w:val="18"/>
                <w:szCs w:val="18"/>
              </w:rPr>
            </w:pPr>
            <w:r w:rsidRPr="00C86F6B">
              <w:rPr>
                <w:rFonts w:asciiTheme="minorHAnsi" w:hAnsiTheme="minorHAnsi" w:cstheme="minorHAnsi"/>
                <w:sz w:val="18"/>
                <w:szCs w:val="18"/>
              </w:rPr>
              <w:t>Lepik asfaltowy z wypełniaczami stosowany na gorąco.</w:t>
            </w:r>
          </w:p>
        </w:tc>
      </w:tr>
      <w:tr w:rsidR="00C9677E" w:rsidRPr="00A23FB4" w14:paraId="76CFB127" w14:textId="77777777" w:rsidTr="00AD0C50">
        <w:tc>
          <w:tcPr>
            <w:tcW w:w="496" w:type="dxa"/>
          </w:tcPr>
          <w:p w14:paraId="0D3C245A" w14:textId="77777777" w:rsidR="00C9677E" w:rsidRPr="00C86F6B" w:rsidRDefault="00C9677E" w:rsidP="00AD0C50">
            <w:pPr>
              <w:jc w:val="right"/>
              <w:rPr>
                <w:rFonts w:asciiTheme="minorHAnsi" w:hAnsiTheme="minorHAnsi" w:cstheme="minorHAnsi"/>
                <w:sz w:val="18"/>
                <w:szCs w:val="18"/>
              </w:rPr>
            </w:pPr>
            <w:r w:rsidRPr="00C86F6B">
              <w:rPr>
                <w:rFonts w:asciiTheme="minorHAnsi" w:hAnsiTheme="minorHAnsi" w:cstheme="minorHAnsi"/>
                <w:sz w:val="18"/>
                <w:szCs w:val="18"/>
              </w:rPr>
              <w:t>18.</w:t>
            </w:r>
          </w:p>
        </w:tc>
        <w:tc>
          <w:tcPr>
            <w:tcW w:w="1984" w:type="dxa"/>
          </w:tcPr>
          <w:p w14:paraId="574B4718" w14:textId="77777777" w:rsidR="00C9677E" w:rsidRPr="00C86F6B" w:rsidRDefault="00C9677E" w:rsidP="00AD0C50">
            <w:pPr>
              <w:rPr>
                <w:rFonts w:asciiTheme="minorHAnsi" w:hAnsiTheme="minorHAnsi" w:cstheme="minorHAnsi"/>
                <w:sz w:val="18"/>
                <w:szCs w:val="18"/>
              </w:rPr>
            </w:pPr>
            <w:r w:rsidRPr="00C86F6B">
              <w:rPr>
                <w:rFonts w:asciiTheme="minorHAnsi" w:hAnsiTheme="minorHAnsi" w:cstheme="minorHAnsi"/>
                <w:sz w:val="18"/>
                <w:szCs w:val="18"/>
              </w:rPr>
              <w:t>PN-74/C-89200</w:t>
            </w:r>
          </w:p>
        </w:tc>
        <w:tc>
          <w:tcPr>
            <w:tcW w:w="6662" w:type="dxa"/>
            <w:gridSpan w:val="2"/>
          </w:tcPr>
          <w:p w14:paraId="7DF3389C" w14:textId="77777777" w:rsidR="00C9677E" w:rsidRPr="00C86F6B" w:rsidRDefault="00C9677E" w:rsidP="00AD0C50">
            <w:pPr>
              <w:rPr>
                <w:rFonts w:asciiTheme="minorHAnsi" w:hAnsiTheme="minorHAnsi" w:cstheme="minorHAnsi"/>
                <w:sz w:val="18"/>
                <w:szCs w:val="18"/>
              </w:rPr>
            </w:pPr>
            <w:r w:rsidRPr="00C86F6B">
              <w:rPr>
                <w:rFonts w:asciiTheme="minorHAnsi" w:hAnsiTheme="minorHAnsi" w:cstheme="minorHAnsi"/>
                <w:sz w:val="18"/>
                <w:szCs w:val="18"/>
              </w:rPr>
              <w:t>Rury z nieplastyfikowanego polichlorku winylu. Wymiary.</w:t>
            </w:r>
          </w:p>
        </w:tc>
      </w:tr>
      <w:tr w:rsidR="00C9677E" w:rsidRPr="00A23FB4" w14:paraId="02DC209C" w14:textId="77777777" w:rsidTr="00AD0C50">
        <w:tc>
          <w:tcPr>
            <w:tcW w:w="496" w:type="dxa"/>
          </w:tcPr>
          <w:p w14:paraId="18CC285F" w14:textId="77777777" w:rsidR="00C9677E" w:rsidRPr="00C86F6B" w:rsidRDefault="00C9677E" w:rsidP="00AD0C50">
            <w:pPr>
              <w:jc w:val="right"/>
              <w:rPr>
                <w:rFonts w:asciiTheme="minorHAnsi" w:hAnsiTheme="minorHAnsi" w:cstheme="minorHAnsi"/>
                <w:sz w:val="18"/>
                <w:szCs w:val="18"/>
              </w:rPr>
            </w:pPr>
            <w:r w:rsidRPr="00C86F6B">
              <w:rPr>
                <w:rFonts w:asciiTheme="minorHAnsi" w:hAnsiTheme="minorHAnsi" w:cstheme="minorHAnsi"/>
                <w:sz w:val="18"/>
                <w:szCs w:val="18"/>
              </w:rPr>
              <w:t>19.</w:t>
            </w:r>
          </w:p>
        </w:tc>
        <w:tc>
          <w:tcPr>
            <w:tcW w:w="1984" w:type="dxa"/>
          </w:tcPr>
          <w:p w14:paraId="6B357A15" w14:textId="77777777" w:rsidR="00C9677E" w:rsidRPr="00C86F6B" w:rsidRDefault="00C9677E" w:rsidP="00AD0C50">
            <w:pPr>
              <w:rPr>
                <w:rFonts w:asciiTheme="minorHAnsi" w:hAnsiTheme="minorHAnsi" w:cstheme="minorHAnsi"/>
                <w:sz w:val="18"/>
                <w:szCs w:val="18"/>
              </w:rPr>
            </w:pPr>
            <w:r w:rsidRPr="00C86F6B">
              <w:rPr>
                <w:rFonts w:asciiTheme="minorHAnsi" w:hAnsiTheme="minorHAnsi" w:cstheme="minorHAnsi"/>
                <w:sz w:val="18"/>
                <w:szCs w:val="18"/>
              </w:rPr>
              <w:t>PN-76/C-89202</w:t>
            </w:r>
          </w:p>
        </w:tc>
        <w:tc>
          <w:tcPr>
            <w:tcW w:w="6662" w:type="dxa"/>
            <w:gridSpan w:val="2"/>
          </w:tcPr>
          <w:p w14:paraId="7D9972F5" w14:textId="77777777" w:rsidR="00C9677E" w:rsidRPr="00C86F6B" w:rsidRDefault="00C9677E" w:rsidP="00AD0C50">
            <w:pPr>
              <w:rPr>
                <w:rFonts w:asciiTheme="minorHAnsi" w:hAnsiTheme="minorHAnsi" w:cstheme="minorHAnsi"/>
                <w:sz w:val="18"/>
                <w:szCs w:val="18"/>
              </w:rPr>
            </w:pPr>
            <w:r w:rsidRPr="00C86F6B">
              <w:rPr>
                <w:rFonts w:asciiTheme="minorHAnsi" w:hAnsiTheme="minorHAnsi" w:cstheme="minorHAnsi"/>
                <w:sz w:val="18"/>
                <w:szCs w:val="18"/>
              </w:rPr>
              <w:t>Kształtki do rur ciśnieniowych z nieplastyfikowanego polichlorku winylu.</w:t>
            </w:r>
          </w:p>
        </w:tc>
      </w:tr>
      <w:tr w:rsidR="00C9677E" w:rsidRPr="00A23FB4" w14:paraId="123FCB85" w14:textId="77777777" w:rsidTr="00AD0C50">
        <w:tc>
          <w:tcPr>
            <w:tcW w:w="496" w:type="dxa"/>
          </w:tcPr>
          <w:p w14:paraId="51DBC109" w14:textId="77777777" w:rsidR="00C9677E" w:rsidRPr="00C86F6B" w:rsidRDefault="00C9677E" w:rsidP="00AD0C50">
            <w:pPr>
              <w:jc w:val="right"/>
              <w:rPr>
                <w:rFonts w:asciiTheme="minorHAnsi" w:hAnsiTheme="minorHAnsi" w:cstheme="minorHAnsi"/>
                <w:sz w:val="18"/>
                <w:szCs w:val="18"/>
              </w:rPr>
            </w:pPr>
            <w:r w:rsidRPr="00C86F6B">
              <w:rPr>
                <w:rFonts w:asciiTheme="minorHAnsi" w:hAnsiTheme="minorHAnsi" w:cstheme="minorHAnsi"/>
                <w:sz w:val="18"/>
                <w:szCs w:val="18"/>
              </w:rPr>
              <w:t>20.</w:t>
            </w:r>
          </w:p>
        </w:tc>
        <w:tc>
          <w:tcPr>
            <w:tcW w:w="1984" w:type="dxa"/>
          </w:tcPr>
          <w:p w14:paraId="7689513B" w14:textId="77777777" w:rsidR="00C9677E" w:rsidRPr="00C86F6B" w:rsidRDefault="00C9677E" w:rsidP="00AD0C50">
            <w:pPr>
              <w:rPr>
                <w:rFonts w:asciiTheme="minorHAnsi" w:hAnsiTheme="minorHAnsi" w:cstheme="minorHAnsi"/>
                <w:sz w:val="18"/>
                <w:szCs w:val="18"/>
              </w:rPr>
            </w:pPr>
            <w:r w:rsidRPr="00C86F6B">
              <w:rPr>
                <w:rFonts w:asciiTheme="minorHAnsi" w:hAnsiTheme="minorHAnsi" w:cstheme="minorHAnsi"/>
                <w:sz w:val="18"/>
                <w:szCs w:val="18"/>
              </w:rPr>
              <w:t>PN-74/C-89204</w:t>
            </w:r>
          </w:p>
        </w:tc>
        <w:tc>
          <w:tcPr>
            <w:tcW w:w="6662" w:type="dxa"/>
            <w:gridSpan w:val="2"/>
          </w:tcPr>
          <w:p w14:paraId="0CFE48E9" w14:textId="77777777" w:rsidR="00C9677E" w:rsidRPr="00C86F6B" w:rsidRDefault="00C9677E" w:rsidP="00AD0C50">
            <w:pPr>
              <w:rPr>
                <w:rFonts w:asciiTheme="minorHAnsi" w:hAnsiTheme="minorHAnsi" w:cstheme="minorHAnsi"/>
                <w:sz w:val="18"/>
                <w:szCs w:val="18"/>
              </w:rPr>
            </w:pPr>
            <w:r w:rsidRPr="00C86F6B">
              <w:rPr>
                <w:rFonts w:asciiTheme="minorHAnsi" w:hAnsiTheme="minorHAnsi" w:cstheme="minorHAnsi"/>
                <w:sz w:val="18"/>
                <w:szCs w:val="18"/>
              </w:rPr>
              <w:t>Rury ciśnieniowe z nieplastyfikowanego polichlorku winylu. Wymagania i badania.</w:t>
            </w:r>
          </w:p>
        </w:tc>
      </w:tr>
      <w:tr w:rsidR="00C9677E" w:rsidRPr="00A23FB4" w14:paraId="47B81993" w14:textId="77777777" w:rsidTr="00AD0C50">
        <w:tc>
          <w:tcPr>
            <w:tcW w:w="496" w:type="dxa"/>
          </w:tcPr>
          <w:p w14:paraId="346F5BA0" w14:textId="77777777" w:rsidR="00C9677E" w:rsidRPr="00C86F6B" w:rsidRDefault="00C9677E" w:rsidP="00AD0C50">
            <w:pPr>
              <w:jc w:val="right"/>
              <w:rPr>
                <w:rFonts w:asciiTheme="minorHAnsi" w:hAnsiTheme="minorHAnsi" w:cstheme="minorHAnsi"/>
                <w:sz w:val="18"/>
                <w:szCs w:val="18"/>
              </w:rPr>
            </w:pPr>
            <w:r w:rsidRPr="00C86F6B">
              <w:rPr>
                <w:rFonts w:asciiTheme="minorHAnsi" w:hAnsiTheme="minorHAnsi" w:cstheme="minorHAnsi"/>
                <w:sz w:val="18"/>
                <w:szCs w:val="18"/>
              </w:rPr>
              <w:t>21.</w:t>
            </w:r>
          </w:p>
        </w:tc>
        <w:tc>
          <w:tcPr>
            <w:tcW w:w="1984" w:type="dxa"/>
          </w:tcPr>
          <w:p w14:paraId="2F1AC658" w14:textId="77777777" w:rsidR="00C9677E" w:rsidRPr="00C86F6B" w:rsidRDefault="00C9677E" w:rsidP="00AD0C50">
            <w:pPr>
              <w:rPr>
                <w:rFonts w:asciiTheme="minorHAnsi" w:hAnsiTheme="minorHAnsi" w:cstheme="minorHAnsi"/>
                <w:sz w:val="18"/>
                <w:szCs w:val="18"/>
              </w:rPr>
            </w:pPr>
            <w:r w:rsidRPr="00C86F6B">
              <w:rPr>
                <w:rFonts w:asciiTheme="minorHAnsi" w:hAnsiTheme="minorHAnsi" w:cstheme="minorHAnsi"/>
                <w:sz w:val="18"/>
                <w:szCs w:val="18"/>
              </w:rPr>
              <w:t>PN-58/C-96177</w:t>
            </w:r>
          </w:p>
        </w:tc>
        <w:tc>
          <w:tcPr>
            <w:tcW w:w="6662" w:type="dxa"/>
            <w:gridSpan w:val="2"/>
          </w:tcPr>
          <w:p w14:paraId="3137E0CE" w14:textId="77777777" w:rsidR="00C9677E" w:rsidRPr="00C86F6B" w:rsidRDefault="00C9677E" w:rsidP="00AD0C50">
            <w:pPr>
              <w:rPr>
                <w:rFonts w:asciiTheme="minorHAnsi" w:hAnsiTheme="minorHAnsi" w:cstheme="minorHAnsi"/>
                <w:sz w:val="18"/>
                <w:szCs w:val="18"/>
              </w:rPr>
            </w:pPr>
            <w:r w:rsidRPr="00C86F6B">
              <w:rPr>
                <w:rFonts w:asciiTheme="minorHAnsi" w:hAnsiTheme="minorHAnsi" w:cstheme="minorHAnsi"/>
                <w:sz w:val="18"/>
                <w:szCs w:val="18"/>
              </w:rPr>
              <w:t>Lepik asfaltowy bez wypełniaczy stosowany na gorąco.</w:t>
            </w:r>
          </w:p>
        </w:tc>
      </w:tr>
      <w:tr w:rsidR="00C9677E" w:rsidRPr="00A23FB4" w14:paraId="333B073C" w14:textId="77777777" w:rsidTr="00AD0C50">
        <w:tc>
          <w:tcPr>
            <w:tcW w:w="496" w:type="dxa"/>
          </w:tcPr>
          <w:p w14:paraId="7CB9F4F7" w14:textId="77777777" w:rsidR="00C9677E" w:rsidRPr="00C86F6B" w:rsidRDefault="00C9677E" w:rsidP="00AD0C50">
            <w:pPr>
              <w:jc w:val="right"/>
              <w:rPr>
                <w:rFonts w:asciiTheme="minorHAnsi" w:hAnsiTheme="minorHAnsi" w:cstheme="minorHAnsi"/>
                <w:sz w:val="18"/>
                <w:szCs w:val="18"/>
              </w:rPr>
            </w:pPr>
            <w:r w:rsidRPr="00C86F6B">
              <w:rPr>
                <w:rFonts w:asciiTheme="minorHAnsi" w:hAnsiTheme="minorHAnsi" w:cstheme="minorHAnsi"/>
                <w:sz w:val="18"/>
                <w:szCs w:val="18"/>
              </w:rPr>
              <w:t>22.</w:t>
            </w:r>
          </w:p>
        </w:tc>
        <w:tc>
          <w:tcPr>
            <w:tcW w:w="1984" w:type="dxa"/>
          </w:tcPr>
          <w:p w14:paraId="04F79C66" w14:textId="77777777" w:rsidR="00C9677E" w:rsidRPr="00C86F6B" w:rsidRDefault="00C9677E" w:rsidP="00AD0C50">
            <w:pPr>
              <w:rPr>
                <w:rFonts w:asciiTheme="minorHAnsi" w:hAnsiTheme="minorHAnsi" w:cstheme="minorHAnsi"/>
                <w:sz w:val="18"/>
                <w:szCs w:val="18"/>
              </w:rPr>
            </w:pPr>
            <w:r w:rsidRPr="00C86F6B">
              <w:rPr>
                <w:rFonts w:asciiTheme="minorHAnsi" w:hAnsiTheme="minorHAnsi" w:cstheme="minorHAnsi"/>
                <w:sz w:val="18"/>
                <w:szCs w:val="18"/>
              </w:rPr>
              <w:t>PN-76/C-96178</w:t>
            </w:r>
          </w:p>
        </w:tc>
        <w:tc>
          <w:tcPr>
            <w:tcW w:w="6662" w:type="dxa"/>
            <w:gridSpan w:val="2"/>
          </w:tcPr>
          <w:p w14:paraId="2A37A17D" w14:textId="77777777" w:rsidR="00C9677E" w:rsidRPr="00C86F6B" w:rsidRDefault="00C9677E" w:rsidP="00AD0C50">
            <w:pPr>
              <w:rPr>
                <w:rFonts w:asciiTheme="minorHAnsi" w:hAnsiTheme="minorHAnsi" w:cstheme="minorHAnsi"/>
                <w:sz w:val="18"/>
                <w:szCs w:val="18"/>
              </w:rPr>
            </w:pPr>
            <w:r w:rsidRPr="00C86F6B">
              <w:rPr>
                <w:rFonts w:asciiTheme="minorHAnsi" w:hAnsiTheme="minorHAnsi" w:cstheme="minorHAnsi"/>
                <w:sz w:val="18"/>
                <w:szCs w:val="18"/>
              </w:rPr>
              <w:t>Asfalty przemysłowe. Postanowienia ogólne i zakres normy.</w:t>
            </w:r>
          </w:p>
        </w:tc>
      </w:tr>
      <w:tr w:rsidR="00C9677E" w:rsidRPr="00A23FB4" w14:paraId="51900972" w14:textId="77777777" w:rsidTr="00AD0C50">
        <w:tc>
          <w:tcPr>
            <w:tcW w:w="496" w:type="dxa"/>
          </w:tcPr>
          <w:p w14:paraId="7A9165EE" w14:textId="77777777" w:rsidR="00C9677E" w:rsidRPr="00C86F6B" w:rsidRDefault="00C9677E" w:rsidP="00AD0C50">
            <w:pPr>
              <w:jc w:val="right"/>
              <w:rPr>
                <w:rFonts w:asciiTheme="minorHAnsi" w:hAnsiTheme="minorHAnsi" w:cstheme="minorHAnsi"/>
                <w:sz w:val="18"/>
                <w:szCs w:val="18"/>
              </w:rPr>
            </w:pPr>
            <w:r w:rsidRPr="00C86F6B">
              <w:rPr>
                <w:rFonts w:asciiTheme="minorHAnsi" w:hAnsiTheme="minorHAnsi" w:cstheme="minorHAnsi"/>
                <w:sz w:val="18"/>
                <w:szCs w:val="18"/>
              </w:rPr>
              <w:t>23.</w:t>
            </w:r>
          </w:p>
        </w:tc>
        <w:tc>
          <w:tcPr>
            <w:tcW w:w="1984" w:type="dxa"/>
          </w:tcPr>
          <w:p w14:paraId="37005332" w14:textId="77777777" w:rsidR="00C9677E" w:rsidRPr="00C86F6B" w:rsidRDefault="00C9677E" w:rsidP="00AD0C50">
            <w:pPr>
              <w:rPr>
                <w:rFonts w:asciiTheme="minorHAnsi" w:hAnsiTheme="minorHAnsi" w:cstheme="minorHAnsi"/>
                <w:sz w:val="18"/>
                <w:szCs w:val="18"/>
              </w:rPr>
            </w:pPr>
            <w:r w:rsidRPr="00C86F6B">
              <w:rPr>
                <w:rFonts w:asciiTheme="minorHAnsi" w:hAnsiTheme="minorHAnsi" w:cstheme="minorHAnsi"/>
                <w:sz w:val="18"/>
                <w:szCs w:val="18"/>
              </w:rPr>
              <w:t>PN-87/H-74051</w:t>
            </w:r>
          </w:p>
        </w:tc>
        <w:tc>
          <w:tcPr>
            <w:tcW w:w="6662" w:type="dxa"/>
            <w:gridSpan w:val="2"/>
          </w:tcPr>
          <w:p w14:paraId="22848932" w14:textId="77777777" w:rsidR="00C9677E" w:rsidRPr="00C86F6B" w:rsidRDefault="00C9677E" w:rsidP="00AD0C50">
            <w:pPr>
              <w:rPr>
                <w:rFonts w:asciiTheme="minorHAnsi" w:hAnsiTheme="minorHAnsi" w:cstheme="minorHAnsi"/>
                <w:sz w:val="18"/>
                <w:szCs w:val="18"/>
              </w:rPr>
            </w:pPr>
            <w:r w:rsidRPr="00C86F6B">
              <w:rPr>
                <w:rFonts w:asciiTheme="minorHAnsi" w:hAnsiTheme="minorHAnsi" w:cstheme="minorHAnsi"/>
                <w:sz w:val="18"/>
                <w:szCs w:val="18"/>
              </w:rPr>
              <w:t>Włazy kanałowe. Ogólne wymagania i badania.</w:t>
            </w:r>
          </w:p>
        </w:tc>
      </w:tr>
      <w:tr w:rsidR="00C9677E" w:rsidRPr="00A23FB4" w14:paraId="294BD036" w14:textId="77777777" w:rsidTr="00AD0C50">
        <w:tc>
          <w:tcPr>
            <w:tcW w:w="496" w:type="dxa"/>
          </w:tcPr>
          <w:p w14:paraId="1DC742CB" w14:textId="77777777" w:rsidR="00C9677E" w:rsidRPr="00C86F6B" w:rsidRDefault="00C9677E" w:rsidP="00AD0C50">
            <w:pPr>
              <w:jc w:val="right"/>
              <w:rPr>
                <w:rFonts w:asciiTheme="minorHAnsi" w:hAnsiTheme="minorHAnsi" w:cstheme="minorHAnsi"/>
                <w:sz w:val="18"/>
                <w:szCs w:val="18"/>
              </w:rPr>
            </w:pPr>
            <w:r w:rsidRPr="00C86F6B">
              <w:rPr>
                <w:rFonts w:asciiTheme="minorHAnsi" w:hAnsiTheme="minorHAnsi" w:cstheme="minorHAnsi"/>
                <w:sz w:val="18"/>
                <w:szCs w:val="18"/>
              </w:rPr>
              <w:t>24.</w:t>
            </w:r>
          </w:p>
        </w:tc>
        <w:tc>
          <w:tcPr>
            <w:tcW w:w="1984" w:type="dxa"/>
          </w:tcPr>
          <w:p w14:paraId="005A1A33" w14:textId="77777777" w:rsidR="00C9677E" w:rsidRPr="00C86F6B" w:rsidRDefault="00C9677E" w:rsidP="00AD0C50">
            <w:pPr>
              <w:rPr>
                <w:rFonts w:asciiTheme="minorHAnsi" w:hAnsiTheme="minorHAnsi" w:cstheme="minorHAnsi"/>
                <w:sz w:val="18"/>
                <w:szCs w:val="18"/>
              </w:rPr>
            </w:pPr>
            <w:r w:rsidRPr="00C86F6B">
              <w:rPr>
                <w:rFonts w:asciiTheme="minorHAnsi" w:hAnsiTheme="minorHAnsi" w:cstheme="minorHAnsi"/>
                <w:sz w:val="18"/>
                <w:szCs w:val="18"/>
              </w:rPr>
              <w:t>PN-64/H-74086</w:t>
            </w:r>
          </w:p>
        </w:tc>
        <w:tc>
          <w:tcPr>
            <w:tcW w:w="6662" w:type="dxa"/>
            <w:gridSpan w:val="2"/>
          </w:tcPr>
          <w:p w14:paraId="1BABCFB3" w14:textId="77777777" w:rsidR="00C9677E" w:rsidRPr="00C86F6B" w:rsidRDefault="00C9677E" w:rsidP="00AD0C50">
            <w:pPr>
              <w:rPr>
                <w:rFonts w:asciiTheme="minorHAnsi" w:hAnsiTheme="minorHAnsi" w:cstheme="minorHAnsi"/>
                <w:sz w:val="18"/>
                <w:szCs w:val="18"/>
              </w:rPr>
            </w:pPr>
            <w:r w:rsidRPr="00C86F6B">
              <w:rPr>
                <w:rFonts w:asciiTheme="minorHAnsi" w:hAnsiTheme="minorHAnsi" w:cstheme="minorHAnsi"/>
                <w:sz w:val="18"/>
                <w:szCs w:val="18"/>
              </w:rPr>
              <w:t>Stopnie żeliwne do studzienek kontrolnych.</w:t>
            </w:r>
          </w:p>
        </w:tc>
      </w:tr>
      <w:tr w:rsidR="00C9677E" w:rsidRPr="00A23FB4" w14:paraId="2904B7C1" w14:textId="77777777" w:rsidTr="00AD0C50">
        <w:tc>
          <w:tcPr>
            <w:tcW w:w="496" w:type="dxa"/>
          </w:tcPr>
          <w:p w14:paraId="5C7F62BC" w14:textId="77777777" w:rsidR="00C9677E" w:rsidRPr="00C86F6B" w:rsidRDefault="00C9677E" w:rsidP="00AD0C50">
            <w:pPr>
              <w:jc w:val="right"/>
              <w:rPr>
                <w:rFonts w:asciiTheme="minorHAnsi" w:hAnsiTheme="minorHAnsi" w:cstheme="minorHAnsi"/>
                <w:sz w:val="18"/>
                <w:szCs w:val="18"/>
              </w:rPr>
            </w:pPr>
            <w:r w:rsidRPr="00C86F6B">
              <w:rPr>
                <w:rFonts w:asciiTheme="minorHAnsi" w:hAnsiTheme="minorHAnsi" w:cstheme="minorHAnsi"/>
                <w:sz w:val="18"/>
                <w:szCs w:val="18"/>
              </w:rPr>
              <w:t>25.</w:t>
            </w:r>
          </w:p>
        </w:tc>
        <w:tc>
          <w:tcPr>
            <w:tcW w:w="1984" w:type="dxa"/>
          </w:tcPr>
          <w:p w14:paraId="1DFBAC34" w14:textId="77777777" w:rsidR="00C9677E" w:rsidRPr="00C86F6B" w:rsidRDefault="00C9677E" w:rsidP="00AD0C50">
            <w:pPr>
              <w:rPr>
                <w:rFonts w:asciiTheme="minorHAnsi" w:hAnsiTheme="minorHAnsi" w:cstheme="minorHAnsi"/>
                <w:sz w:val="18"/>
                <w:szCs w:val="18"/>
              </w:rPr>
            </w:pPr>
            <w:r w:rsidRPr="00C86F6B">
              <w:rPr>
                <w:rFonts w:asciiTheme="minorHAnsi" w:hAnsiTheme="minorHAnsi" w:cstheme="minorHAnsi"/>
                <w:sz w:val="18"/>
                <w:szCs w:val="18"/>
              </w:rPr>
              <w:t>PN-81/H-74100</w:t>
            </w:r>
          </w:p>
        </w:tc>
        <w:tc>
          <w:tcPr>
            <w:tcW w:w="6662" w:type="dxa"/>
            <w:gridSpan w:val="2"/>
          </w:tcPr>
          <w:p w14:paraId="5B09FB90" w14:textId="77777777" w:rsidR="00C9677E" w:rsidRPr="00C86F6B" w:rsidRDefault="00C9677E" w:rsidP="00AD0C50">
            <w:pPr>
              <w:rPr>
                <w:rFonts w:asciiTheme="minorHAnsi" w:hAnsiTheme="minorHAnsi" w:cstheme="minorHAnsi"/>
                <w:sz w:val="18"/>
                <w:szCs w:val="18"/>
              </w:rPr>
            </w:pPr>
            <w:r w:rsidRPr="00C86F6B">
              <w:rPr>
                <w:rFonts w:asciiTheme="minorHAnsi" w:hAnsiTheme="minorHAnsi" w:cstheme="minorHAnsi"/>
                <w:sz w:val="18"/>
                <w:szCs w:val="18"/>
              </w:rPr>
              <w:t>Rury żeliwne ciśnieniowe. Wymagania i badania.</w:t>
            </w:r>
          </w:p>
        </w:tc>
      </w:tr>
      <w:tr w:rsidR="00C9677E" w:rsidRPr="00A23FB4" w14:paraId="09BDF489" w14:textId="77777777" w:rsidTr="00AD0C50">
        <w:tc>
          <w:tcPr>
            <w:tcW w:w="496" w:type="dxa"/>
          </w:tcPr>
          <w:p w14:paraId="350A24EE" w14:textId="77777777" w:rsidR="00C9677E" w:rsidRPr="00C86F6B" w:rsidRDefault="00C9677E" w:rsidP="00AD0C50">
            <w:pPr>
              <w:jc w:val="right"/>
              <w:rPr>
                <w:rFonts w:asciiTheme="minorHAnsi" w:hAnsiTheme="minorHAnsi" w:cstheme="minorHAnsi"/>
                <w:sz w:val="18"/>
                <w:szCs w:val="18"/>
              </w:rPr>
            </w:pPr>
            <w:r w:rsidRPr="00C86F6B">
              <w:rPr>
                <w:rFonts w:asciiTheme="minorHAnsi" w:hAnsiTheme="minorHAnsi" w:cstheme="minorHAnsi"/>
                <w:sz w:val="18"/>
                <w:szCs w:val="18"/>
              </w:rPr>
              <w:t>26.</w:t>
            </w:r>
          </w:p>
        </w:tc>
        <w:tc>
          <w:tcPr>
            <w:tcW w:w="1984" w:type="dxa"/>
          </w:tcPr>
          <w:p w14:paraId="613792AE" w14:textId="77777777" w:rsidR="00C9677E" w:rsidRPr="00C86F6B" w:rsidRDefault="00C9677E" w:rsidP="00AD0C50">
            <w:pPr>
              <w:rPr>
                <w:rFonts w:asciiTheme="minorHAnsi" w:hAnsiTheme="minorHAnsi" w:cstheme="minorHAnsi"/>
                <w:sz w:val="18"/>
                <w:szCs w:val="18"/>
              </w:rPr>
            </w:pPr>
            <w:r w:rsidRPr="00C86F6B">
              <w:rPr>
                <w:rFonts w:asciiTheme="minorHAnsi" w:hAnsiTheme="minorHAnsi" w:cstheme="minorHAnsi"/>
                <w:sz w:val="18"/>
                <w:szCs w:val="18"/>
              </w:rPr>
              <w:t>PN-84/H-74101</w:t>
            </w:r>
          </w:p>
        </w:tc>
        <w:tc>
          <w:tcPr>
            <w:tcW w:w="6662" w:type="dxa"/>
            <w:gridSpan w:val="2"/>
          </w:tcPr>
          <w:p w14:paraId="2C02FD58" w14:textId="77777777" w:rsidR="00C9677E" w:rsidRPr="00C86F6B" w:rsidRDefault="00C9677E" w:rsidP="00AD0C50">
            <w:pPr>
              <w:rPr>
                <w:rFonts w:asciiTheme="minorHAnsi" w:hAnsiTheme="minorHAnsi" w:cstheme="minorHAnsi"/>
                <w:sz w:val="18"/>
                <w:szCs w:val="18"/>
              </w:rPr>
            </w:pPr>
            <w:r w:rsidRPr="00C86F6B">
              <w:rPr>
                <w:rFonts w:asciiTheme="minorHAnsi" w:hAnsiTheme="minorHAnsi" w:cstheme="minorHAnsi"/>
                <w:sz w:val="18"/>
                <w:szCs w:val="18"/>
              </w:rPr>
              <w:t>Rury żeliwne ciśnieniowe do połączeń sztywnych.</w:t>
            </w:r>
          </w:p>
        </w:tc>
      </w:tr>
      <w:tr w:rsidR="00C9677E" w:rsidRPr="00A23FB4" w14:paraId="42EC2C2E" w14:textId="77777777" w:rsidTr="00AD0C50">
        <w:tc>
          <w:tcPr>
            <w:tcW w:w="496" w:type="dxa"/>
          </w:tcPr>
          <w:p w14:paraId="575ADDE5" w14:textId="77777777" w:rsidR="00C9677E" w:rsidRPr="00C86F6B" w:rsidRDefault="00C9677E" w:rsidP="00AD0C50">
            <w:pPr>
              <w:jc w:val="right"/>
              <w:rPr>
                <w:rFonts w:asciiTheme="minorHAnsi" w:hAnsiTheme="minorHAnsi" w:cstheme="minorHAnsi"/>
                <w:sz w:val="18"/>
                <w:szCs w:val="18"/>
              </w:rPr>
            </w:pPr>
            <w:r w:rsidRPr="00C86F6B">
              <w:rPr>
                <w:rFonts w:asciiTheme="minorHAnsi" w:hAnsiTheme="minorHAnsi" w:cstheme="minorHAnsi"/>
                <w:sz w:val="18"/>
                <w:szCs w:val="18"/>
              </w:rPr>
              <w:t>27.</w:t>
            </w:r>
          </w:p>
        </w:tc>
        <w:tc>
          <w:tcPr>
            <w:tcW w:w="1984" w:type="dxa"/>
          </w:tcPr>
          <w:p w14:paraId="53FF87E3" w14:textId="77777777" w:rsidR="00C9677E" w:rsidRPr="00C86F6B" w:rsidRDefault="00C9677E" w:rsidP="00AD0C50">
            <w:pPr>
              <w:rPr>
                <w:rFonts w:asciiTheme="minorHAnsi" w:hAnsiTheme="minorHAnsi" w:cstheme="minorHAnsi"/>
                <w:sz w:val="18"/>
                <w:szCs w:val="18"/>
              </w:rPr>
            </w:pPr>
            <w:r w:rsidRPr="00C86F6B">
              <w:rPr>
                <w:rFonts w:asciiTheme="minorHAnsi" w:hAnsiTheme="minorHAnsi" w:cstheme="minorHAnsi"/>
                <w:sz w:val="18"/>
                <w:szCs w:val="18"/>
              </w:rPr>
              <w:t>PN-84/H-74102</w:t>
            </w:r>
          </w:p>
        </w:tc>
        <w:tc>
          <w:tcPr>
            <w:tcW w:w="6662" w:type="dxa"/>
            <w:gridSpan w:val="2"/>
          </w:tcPr>
          <w:p w14:paraId="0D0CE64F" w14:textId="77777777" w:rsidR="00C9677E" w:rsidRPr="00C86F6B" w:rsidRDefault="00C9677E" w:rsidP="00AD0C50">
            <w:pPr>
              <w:rPr>
                <w:rFonts w:asciiTheme="minorHAnsi" w:hAnsiTheme="minorHAnsi" w:cstheme="minorHAnsi"/>
                <w:sz w:val="18"/>
                <w:szCs w:val="18"/>
              </w:rPr>
            </w:pPr>
            <w:r w:rsidRPr="00C86F6B">
              <w:rPr>
                <w:rFonts w:asciiTheme="minorHAnsi" w:hAnsiTheme="minorHAnsi" w:cstheme="minorHAnsi"/>
                <w:sz w:val="18"/>
                <w:szCs w:val="18"/>
              </w:rPr>
              <w:t>Rury żeliwne ciśnieniowe do połączeń elastycznych śrubowych.</w:t>
            </w:r>
          </w:p>
        </w:tc>
      </w:tr>
      <w:tr w:rsidR="00C9677E" w:rsidRPr="00A23FB4" w14:paraId="7EAEC5F4" w14:textId="77777777" w:rsidTr="00AD0C50">
        <w:tc>
          <w:tcPr>
            <w:tcW w:w="496" w:type="dxa"/>
          </w:tcPr>
          <w:p w14:paraId="7967C57C" w14:textId="77777777" w:rsidR="00C9677E" w:rsidRPr="00C86F6B" w:rsidRDefault="00C9677E" w:rsidP="00AD0C50">
            <w:pPr>
              <w:jc w:val="right"/>
              <w:rPr>
                <w:rFonts w:asciiTheme="minorHAnsi" w:hAnsiTheme="minorHAnsi" w:cstheme="minorHAnsi"/>
                <w:sz w:val="18"/>
                <w:szCs w:val="18"/>
              </w:rPr>
            </w:pPr>
            <w:r w:rsidRPr="00C86F6B">
              <w:rPr>
                <w:rFonts w:asciiTheme="minorHAnsi" w:hAnsiTheme="minorHAnsi" w:cstheme="minorHAnsi"/>
                <w:sz w:val="18"/>
                <w:szCs w:val="18"/>
              </w:rPr>
              <w:t>28.</w:t>
            </w:r>
          </w:p>
        </w:tc>
        <w:tc>
          <w:tcPr>
            <w:tcW w:w="1984" w:type="dxa"/>
          </w:tcPr>
          <w:p w14:paraId="1D103204" w14:textId="77777777" w:rsidR="00C9677E" w:rsidRPr="00C86F6B" w:rsidRDefault="00C9677E" w:rsidP="00AD0C50">
            <w:pPr>
              <w:rPr>
                <w:rFonts w:asciiTheme="minorHAnsi" w:hAnsiTheme="minorHAnsi" w:cstheme="minorHAnsi"/>
                <w:sz w:val="18"/>
                <w:szCs w:val="18"/>
              </w:rPr>
            </w:pPr>
            <w:r w:rsidRPr="00C86F6B">
              <w:rPr>
                <w:rFonts w:asciiTheme="minorHAnsi" w:hAnsiTheme="minorHAnsi" w:cstheme="minorHAnsi"/>
                <w:sz w:val="18"/>
                <w:szCs w:val="18"/>
              </w:rPr>
              <w:t>PN-74/H-74200</w:t>
            </w:r>
          </w:p>
        </w:tc>
        <w:tc>
          <w:tcPr>
            <w:tcW w:w="6662" w:type="dxa"/>
            <w:gridSpan w:val="2"/>
          </w:tcPr>
          <w:p w14:paraId="115B829F" w14:textId="77777777" w:rsidR="00C9677E" w:rsidRPr="00C86F6B" w:rsidRDefault="00C9677E" w:rsidP="00AD0C50">
            <w:pPr>
              <w:rPr>
                <w:rFonts w:asciiTheme="minorHAnsi" w:hAnsiTheme="minorHAnsi" w:cstheme="minorHAnsi"/>
                <w:sz w:val="18"/>
                <w:szCs w:val="18"/>
              </w:rPr>
            </w:pPr>
            <w:r w:rsidRPr="00C86F6B">
              <w:rPr>
                <w:rFonts w:asciiTheme="minorHAnsi" w:hAnsiTheme="minorHAnsi" w:cstheme="minorHAnsi"/>
                <w:sz w:val="18"/>
                <w:szCs w:val="18"/>
              </w:rPr>
              <w:t>Rury stalowe ze szwem gwintowane.</w:t>
            </w:r>
          </w:p>
        </w:tc>
      </w:tr>
      <w:tr w:rsidR="00C9677E" w:rsidRPr="00A23FB4" w14:paraId="6ABB06A2" w14:textId="77777777" w:rsidTr="00AD0C50">
        <w:tc>
          <w:tcPr>
            <w:tcW w:w="496" w:type="dxa"/>
          </w:tcPr>
          <w:p w14:paraId="11ED2AB0" w14:textId="77777777" w:rsidR="00C9677E" w:rsidRPr="00C86F6B" w:rsidRDefault="00C9677E" w:rsidP="00AD0C50">
            <w:pPr>
              <w:jc w:val="right"/>
              <w:rPr>
                <w:rFonts w:asciiTheme="minorHAnsi" w:hAnsiTheme="minorHAnsi" w:cstheme="minorHAnsi"/>
                <w:sz w:val="18"/>
                <w:szCs w:val="18"/>
              </w:rPr>
            </w:pPr>
            <w:r w:rsidRPr="00C86F6B">
              <w:rPr>
                <w:rFonts w:asciiTheme="minorHAnsi" w:hAnsiTheme="minorHAnsi" w:cstheme="minorHAnsi"/>
                <w:sz w:val="18"/>
                <w:szCs w:val="18"/>
              </w:rPr>
              <w:t>29.</w:t>
            </w:r>
          </w:p>
        </w:tc>
        <w:tc>
          <w:tcPr>
            <w:tcW w:w="1984" w:type="dxa"/>
          </w:tcPr>
          <w:p w14:paraId="528B5DF4" w14:textId="77777777" w:rsidR="00C9677E" w:rsidRPr="00C86F6B" w:rsidRDefault="00C9677E" w:rsidP="00AD0C50">
            <w:pPr>
              <w:rPr>
                <w:rFonts w:asciiTheme="minorHAnsi" w:hAnsiTheme="minorHAnsi" w:cstheme="minorHAnsi"/>
                <w:sz w:val="18"/>
                <w:szCs w:val="18"/>
              </w:rPr>
            </w:pPr>
            <w:r w:rsidRPr="00C86F6B">
              <w:rPr>
                <w:rFonts w:asciiTheme="minorHAnsi" w:hAnsiTheme="minorHAnsi" w:cstheme="minorHAnsi"/>
                <w:sz w:val="18"/>
                <w:szCs w:val="18"/>
              </w:rPr>
              <w:t>PN-80/H-74219</w:t>
            </w:r>
          </w:p>
        </w:tc>
        <w:tc>
          <w:tcPr>
            <w:tcW w:w="6662" w:type="dxa"/>
            <w:gridSpan w:val="2"/>
          </w:tcPr>
          <w:p w14:paraId="47A04670" w14:textId="77777777" w:rsidR="00C9677E" w:rsidRPr="00C86F6B" w:rsidRDefault="00C9677E" w:rsidP="00AD0C50">
            <w:pPr>
              <w:rPr>
                <w:rFonts w:asciiTheme="minorHAnsi" w:hAnsiTheme="minorHAnsi" w:cstheme="minorHAnsi"/>
                <w:sz w:val="18"/>
                <w:szCs w:val="18"/>
              </w:rPr>
            </w:pPr>
            <w:r w:rsidRPr="00C86F6B">
              <w:rPr>
                <w:rFonts w:asciiTheme="minorHAnsi" w:hAnsiTheme="minorHAnsi" w:cstheme="minorHAnsi"/>
                <w:sz w:val="18"/>
                <w:szCs w:val="18"/>
              </w:rPr>
              <w:t>Rury stalowe bez szwu walcowane na gorąco ogólnego zastosowania.</w:t>
            </w:r>
          </w:p>
        </w:tc>
      </w:tr>
      <w:tr w:rsidR="00C9677E" w:rsidRPr="00A23FB4" w14:paraId="18241135" w14:textId="77777777" w:rsidTr="00AD0C50">
        <w:tc>
          <w:tcPr>
            <w:tcW w:w="496" w:type="dxa"/>
          </w:tcPr>
          <w:p w14:paraId="23FA6DCA" w14:textId="77777777" w:rsidR="00C9677E" w:rsidRPr="00C86F6B" w:rsidRDefault="00C9677E" w:rsidP="00AD0C50">
            <w:pPr>
              <w:jc w:val="right"/>
              <w:rPr>
                <w:rFonts w:asciiTheme="minorHAnsi" w:hAnsiTheme="minorHAnsi" w:cstheme="minorHAnsi"/>
                <w:sz w:val="18"/>
                <w:szCs w:val="18"/>
              </w:rPr>
            </w:pPr>
            <w:r w:rsidRPr="00C86F6B">
              <w:rPr>
                <w:rFonts w:asciiTheme="minorHAnsi" w:hAnsiTheme="minorHAnsi" w:cstheme="minorHAnsi"/>
                <w:sz w:val="18"/>
                <w:szCs w:val="18"/>
              </w:rPr>
              <w:t>30.</w:t>
            </w:r>
          </w:p>
        </w:tc>
        <w:tc>
          <w:tcPr>
            <w:tcW w:w="1984" w:type="dxa"/>
          </w:tcPr>
          <w:p w14:paraId="5952984D" w14:textId="77777777" w:rsidR="00C9677E" w:rsidRPr="00C86F6B" w:rsidRDefault="00C9677E" w:rsidP="00AD0C50">
            <w:pPr>
              <w:rPr>
                <w:rFonts w:asciiTheme="minorHAnsi" w:hAnsiTheme="minorHAnsi" w:cstheme="minorHAnsi"/>
                <w:sz w:val="18"/>
                <w:szCs w:val="18"/>
              </w:rPr>
            </w:pPr>
            <w:r w:rsidRPr="00C86F6B">
              <w:rPr>
                <w:rFonts w:asciiTheme="minorHAnsi" w:hAnsiTheme="minorHAnsi" w:cstheme="minorHAnsi"/>
                <w:sz w:val="18"/>
                <w:szCs w:val="18"/>
              </w:rPr>
              <w:t>PN-79/H-74244</w:t>
            </w:r>
          </w:p>
        </w:tc>
        <w:tc>
          <w:tcPr>
            <w:tcW w:w="6662" w:type="dxa"/>
            <w:gridSpan w:val="2"/>
          </w:tcPr>
          <w:p w14:paraId="50A9AB79" w14:textId="77777777" w:rsidR="00C9677E" w:rsidRPr="00C86F6B" w:rsidRDefault="00C9677E" w:rsidP="00AD0C50">
            <w:pPr>
              <w:rPr>
                <w:rFonts w:asciiTheme="minorHAnsi" w:hAnsiTheme="minorHAnsi" w:cstheme="minorHAnsi"/>
                <w:sz w:val="18"/>
                <w:szCs w:val="18"/>
              </w:rPr>
            </w:pPr>
            <w:r w:rsidRPr="00C86F6B">
              <w:rPr>
                <w:rFonts w:asciiTheme="minorHAnsi" w:hAnsiTheme="minorHAnsi" w:cstheme="minorHAnsi"/>
                <w:sz w:val="18"/>
                <w:szCs w:val="18"/>
              </w:rPr>
              <w:t>Rury stalowe ze szwem przewodowe.</w:t>
            </w:r>
          </w:p>
        </w:tc>
      </w:tr>
      <w:tr w:rsidR="00C9677E" w:rsidRPr="00A23FB4" w14:paraId="6BAA9403" w14:textId="77777777" w:rsidTr="00AD0C50">
        <w:tc>
          <w:tcPr>
            <w:tcW w:w="496" w:type="dxa"/>
          </w:tcPr>
          <w:p w14:paraId="3AB4E656" w14:textId="77777777" w:rsidR="00C9677E" w:rsidRPr="00C86F6B" w:rsidRDefault="00C9677E" w:rsidP="00AD0C50">
            <w:pPr>
              <w:jc w:val="right"/>
              <w:rPr>
                <w:rFonts w:asciiTheme="minorHAnsi" w:hAnsiTheme="minorHAnsi" w:cstheme="minorHAnsi"/>
                <w:sz w:val="18"/>
                <w:szCs w:val="18"/>
              </w:rPr>
            </w:pPr>
            <w:r w:rsidRPr="00C86F6B">
              <w:rPr>
                <w:rFonts w:asciiTheme="minorHAnsi" w:hAnsiTheme="minorHAnsi" w:cstheme="minorHAnsi"/>
                <w:sz w:val="18"/>
                <w:szCs w:val="18"/>
              </w:rPr>
              <w:t>31.</w:t>
            </w:r>
          </w:p>
        </w:tc>
        <w:tc>
          <w:tcPr>
            <w:tcW w:w="1984" w:type="dxa"/>
          </w:tcPr>
          <w:p w14:paraId="48F5410A" w14:textId="77777777" w:rsidR="00C9677E" w:rsidRPr="00C86F6B" w:rsidRDefault="00C9677E" w:rsidP="00AD0C50">
            <w:pPr>
              <w:rPr>
                <w:rFonts w:asciiTheme="minorHAnsi" w:hAnsiTheme="minorHAnsi" w:cstheme="minorHAnsi"/>
                <w:sz w:val="18"/>
                <w:szCs w:val="18"/>
              </w:rPr>
            </w:pPr>
            <w:r w:rsidRPr="00C86F6B">
              <w:rPr>
                <w:rFonts w:asciiTheme="minorHAnsi" w:hAnsiTheme="minorHAnsi" w:cstheme="minorHAnsi"/>
                <w:sz w:val="18"/>
                <w:szCs w:val="18"/>
              </w:rPr>
              <w:t>PN-86/H-74374</w:t>
            </w:r>
          </w:p>
        </w:tc>
        <w:tc>
          <w:tcPr>
            <w:tcW w:w="6662" w:type="dxa"/>
            <w:gridSpan w:val="2"/>
          </w:tcPr>
          <w:p w14:paraId="03CD07A2" w14:textId="77777777" w:rsidR="00C9677E" w:rsidRPr="00C86F6B" w:rsidRDefault="00C9677E" w:rsidP="00AD0C50">
            <w:pPr>
              <w:rPr>
                <w:rFonts w:asciiTheme="minorHAnsi" w:hAnsiTheme="minorHAnsi" w:cstheme="minorHAnsi"/>
                <w:sz w:val="18"/>
                <w:szCs w:val="18"/>
              </w:rPr>
            </w:pPr>
            <w:r w:rsidRPr="00C86F6B">
              <w:rPr>
                <w:rFonts w:asciiTheme="minorHAnsi" w:hAnsiTheme="minorHAnsi" w:cstheme="minorHAnsi"/>
                <w:sz w:val="18"/>
                <w:szCs w:val="18"/>
              </w:rPr>
              <w:t>Połączenia kołnierzowe. Uszczelki. Wymagania ogólne.</w:t>
            </w:r>
          </w:p>
        </w:tc>
      </w:tr>
      <w:tr w:rsidR="00C9677E" w:rsidRPr="00A23FB4" w14:paraId="4661AC61" w14:textId="77777777" w:rsidTr="00AD0C50">
        <w:tc>
          <w:tcPr>
            <w:tcW w:w="496" w:type="dxa"/>
          </w:tcPr>
          <w:p w14:paraId="09FD1FD8" w14:textId="77777777" w:rsidR="00C9677E" w:rsidRPr="00C86F6B" w:rsidRDefault="00C9677E" w:rsidP="00AD0C50">
            <w:pPr>
              <w:jc w:val="right"/>
              <w:rPr>
                <w:rFonts w:asciiTheme="minorHAnsi" w:hAnsiTheme="minorHAnsi" w:cstheme="minorHAnsi"/>
                <w:sz w:val="18"/>
                <w:szCs w:val="18"/>
              </w:rPr>
            </w:pPr>
            <w:r w:rsidRPr="00C86F6B">
              <w:rPr>
                <w:rFonts w:asciiTheme="minorHAnsi" w:hAnsiTheme="minorHAnsi" w:cstheme="minorHAnsi"/>
                <w:sz w:val="18"/>
                <w:szCs w:val="18"/>
              </w:rPr>
              <w:t>32.</w:t>
            </w:r>
          </w:p>
        </w:tc>
        <w:tc>
          <w:tcPr>
            <w:tcW w:w="1984" w:type="dxa"/>
          </w:tcPr>
          <w:p w14:paraId="4EBB528C" w14:textId="77777777" w:rsidR="00C9677E" w:rsidRPr="00C86F6B" w:rsidRDefault="00C9677E" w:rsidP="00AD0C50">
            <w:pPr>
              <w:rPr>
                <w:rFonts w:asciiTheme="minorHAnsi" w:hAnsiTheme="minorHAnsi" w:cstheme="minorHAnsi"/>
                <w:sz w:val="18"/>
                <w:szCs w:val="18"/>
              </w:rPr>
            </w:pPr>
            <w:r w:rsidRPr="00C86F6B">
              <w:rPr>
                <w:rFonts w:asciiTheme="minorHAnsi" w:hAnsiTheme="minorHAnsi" w:cstheme="minorHAnsi"/>
                <w:sz w:val="18"/>
                <w:szCs w:val="18"/>
              </w:rPr>
              <w:t>PN-70/H-97051</w:t>
            </w:r>
          </w:p>
        </w:tc>
        <w:tc>
          <w:tcPr>
            <w:tcW w:w="6662" w:type="dxa"/>
            <w:gridSpan w:val="2"/>
          </w:tcPr>
          <w:p w14:paraId="035A9DBA" w14:textId="77777777" w:rsidR="00C9677E" w:rsidRPr="00C86F6B" w:rsidRDefault="00C9677E" w:rsidP="00AD0C50">
            <w:pPr>
              <w:rPr>
                <w:rFonts w:asciiTheme="minorHAnsi" w:hAnsiTheme="minorHAnsi" w:cstheme="minorHAnsi"/>
                <w:sz w:val="18"/>
                <w:szCs w:val="18"/>
              </w:rPr>
            </w:pPr>
            <w:r w:rsidRPr="00C86F6B">
              <w:rPr>
                <w:rFonts w:asciiTheme="minorHAnsi" w:hAnsiTheme="minorHAnsi" w:cstheme="minorHAnsi"/>
                <w:sz w:val="18"/>
                <w:szCs w:val="18"/>
              </w:rPr>
              <w:t>Ochrona przed korozją. Przygotowanie powierzchni stali, staliwa i żeliwa do malowania. Ogólne wytyczne.</w:t>
            </w:r>
          </w:p>
        </w:tc>
      </w:tr>
      <w:tr w:rsidR="00C9677E" w:rsidRPr="00A23FB4" w14:paraId="2844EEF0" w14:textId="77777777" w:rsidTr="00AD0C50">
        <w:tc>
          <w:tcPr>
            <w:tcW w:w="496" w:type="dxa"/>
          </w:tcPr>
          <w:p w14:paraId="2C1EEDD7" w14:textId="77777777" w:rsidR="00C9677E" w:rsidRPr="00C86F6B" w:rsidRDefault="00C9677E" w:rsidP="00AD0C50">
            <w:pPr>
              <w:jc w:val="right"/>
              <w:rPr>
                <w:rFonts w:asciiTheme="minorHAnsi" w:hAnsiTheme="minorHAnsi" w:cstheme="minorHAnsi"/>
                <w:sz w:val="18"/>
                <w:szCs w:val="18"/>
              </w:rPr>
            </w:pPr>
            <w:r w:rsidRPr="00C86F6B">
              <w:rPr>
                <w:rFonts w:asciiTheme="minorHAnsi" w:hAnsiTheme="minorHAnsi" w:cstheme="minorHAnsi"/>
                <w:sz w:val="18"/>
                <w:szCs w:val="18"/>
              </w:rPr>
              <w:t>33.</w:t>
            </w:r>
          </w:p>
        </w:tc>
        <w:tc>
          <w:tcPr>
            <w:tcW w:w="1984" w:type="dxa"/>
          </w:tcPr>
          <w:p w14:paraId="39971A76" w14:textId="77777777" w:rsidR="00C9677E" w:rsidRPr="00C86F6B" w:rsidRDefault="00C9677E" w:rsidP="00AD0C50">
            <w:pPr>
              <w:rPr>
                <w:rFonts w:asciiTheme="minorHAnsi" w:hAnsiTheme="minorHAnsi" w:cstheme="minorHAnsi"/>
                <w:sz w:val="18"/>
                <w:szCs w:val="18"/>
              </w:rPr>
            </w:pPr>
            <w:r w:rsidRPr="00C86F6B">
              <w:rPr>
                <w:rFonts w:asciiTheme="minorHAnsi" w:hAnsiTheme="minorHAnsi" w:cstheme="minorHAnsi"/>
                <w:sz w:val="18"/>
                <w:szCs w:val="18"/>
              </w:rPr>
              <w:t>PN-82/M-01600</w:t>
            </w:r>
          </w:p>
        </w:tc>
        <w:tc>
          <w:tcPr>
            <w:tcW w:w="6662" w:type="dxa"/>
            <w:gridSpan w:val="2"/>
          </w:tcPr>
          <w:p w14:paraId="74DEF409" w14:textId="77777777" w:rsidR="00C9677E" w:rsidRPr="00C86F6B" w:rsidRDefault="00C9677E" w:rsidP="00AD0C50">
            <w:pPr>
              <w:rPr>
                <w:rFonts w:asciiTheme="minorHAnsi" w:hAnsiTheme="minorHAnsi" w:cstheme="minorHAnsi"/>
                <w:sz w:val="18"/>
                <w:szCs w:val="18"/>
              </w:rPr>
            </w:pPr>
            <w:r w:rsidRPr="00C86F6B">
              <w:rPr>
                <w:rFonts w:asciiTheme="minorHAnsi" w:hAnsiTheme="minorHAnsi" w:cstheme="minorHAnsi"/>
                <w:sz w:val="18"/>
                <w:szCs w:val="18"/>
              </w:rPr>
              <w:t>Armatura przemysłowa. Terminologia.</w:t>
            </w:r>
          </w:p>
        </w:tc>
      </w:tr>
      <w:tr w:rsidR="00C9677E" w:rsidRPr="00A23FB4" w14:paraId="03AC081B" w14:textId="77777777" w:rsidTr="00AD0C50">
        <w:tc>
          <w:tcPr>
            <w:tcW w:w="496" w:type="dxa"/>
          </w:tcPr>
          <w:p w14:paraId="778F35CA" w14:textId="77777777" w:rsidR="00C9677E" w:rsidRPr="00C86F6B" w:rsidRDefault="00C9677E" w:rsidP="00AD0C50">
            <w:pPr>
              <w:jc w:val="right"/>
              <w:rPr>
                <w:rFonts w:asciiTheme="minorHAnsi" w:hAnsiTheme="minorHAnsi" w:cstheme="minorHAnsi"/>
                <w:sz w:val="18"/>
                <w:szCs w:val="18"/>
              </w:rPr>
            </w:pPr>
            <w:r w:rsidRPr="00C86F6B">
              <w:rPr>
                <w:rFonts w:asciiTheme="minorHAnsi" w:hAnsiTheme="minorHAnsi" w:cstheme="minorHAnsi"/>
                <w:sz w:val="18"/>
                <w:szCs w:val="18"/>
              </w:rPr>
              <w:t>34.</w:t>
            </w:r>
          </w:p>
        </w:tc>
        <w:tc>
          <w:tcPr>
            <w:tcW w:w="1984" w:type="dxa"/>
          </w:tcPr>
          <w:p w14:paraId="4C0F86F6" w14:textId="77777777" w:rsidR="00C9677E" w:rsidRPr="00C86F6B" w:rsidRDefault="00C9677E" w:rsidP="00AD0C50">
            <w:pPr>
              <w:rPr>
                <w:rFonts w:asciiTheme="minorHAnsi" w:hAnsiTheme="minorHAnsi" w:cstheme="minorHAnsi"/>
                <w:sz w:val="18"/>
                <w:szCs w:val="18"/>
              </w:rPr>
            </w:pPr>
            <w:r w:rsidRPr="00C86F6B">
              <w:rPr>
                <w:rFonts w:asciiTheme="minorHAnsi" w:hAnsiTheme="minorHAnsi" w:cstheme="minorHAnsi"/>
                <w:sz w:val="18"/>
                <w:szCs w:val="18"/>
              </w:rPr>
              <w:t>PN-92/M-74001</w:t>
            </w:r>
          </w:p>
        </w:tc>
        <w:tc>
          <w:tcPr>
            <w:tcW w:w="6662" w:type="dxa"/>
            <w:gridSpan w:val="2"/>
          </w:tcPr>
          <w:p w14:paraId="0AB95985" w14:textId="77777777" w:rsidR="00C9677E" w:rsidRPr="00C86F6B" w:rsidRDefault="00C9677E" w:rsidP="00AD0C50">
            <w:pPr>
              <w:rPr>
                <w:rFonts w:asciiTheme="minorHAnsi" w:hAnsiTheme="minorHAnsi" w:cstheme="minorHAnsi"/>
                <w:sz w:val="18"/>
                <w:szCs w:val="18"/>
              </w:rPr>
            </w:pPr>
            <w:r w:rsidRPr="00C86F6B">
              <w:rPr>
                <w:rFonts w:asciiTheme="minorHAnsi" w:hAnsiTheme="minorHAnsi" w:cstheme="minorHAnsi"/>
                <w:sz w:val="18"/>
                <w:szCs w:val="18"/>
              </w:rPr>
              <w:t>Armatura przemysłowa. Ogólne wymagania i badania.</w:t>
            </w:r>
          </w:p>
        </w:tc>
      </w:tr>
      <w:tr w:rsidR="00C9677E" w:rsidRPr="00A23FB4" w14:paraId="1206CDAB" w14:textId="77777777" w:rsidTr="00AD0C50">
        <w:tc>
          <w:tcPr>
            <w:tcW w:w="496" w:type="dxa"/>
          </w:tcPr>
          <w:p w14:paraId="79BF9D8A" w14:textId="77777777" w:rsidR="00C9677E" w:rsidRPr="00C86F6B" w:rsidRDefault="00C9677E" w:rsidP="00AD0C50">
            <w:pPr>
              <w:jc w:val="right"/>
              <w:rPr>
                <w:rFonts w:asciiTheme="minorHAnsi" w:hAnsiTheme="minorHAnsi" w:cstheme="minorHAnsi"/>
                <w:sz w:val="18"/>
                <w:szCs w:val="18"/>
              </w:rPr>
            </w:pPr>
            <w:r w:rsidRPr="00C86F6B">
              <w:rPr>
                <w:rFonts w:asciiTheme="minorHAnsi" w:hAnsiTheme="minorHAnsi" w:cstheme="minorHAnsi"/>
                <w:sz w:val="18"/>
                <w:szCs w:val="18"/>
              </w:rPr>
              <w:t>35.</w:t>
            </w:r>
          </w:p>
        </w:tc>
        <w:tc>
          <w:tcPr>
            <w:tcW w:w="1984" w:type="dxa"/>
          </w:tcPr>
          <w:p w14:paraId="470BBE01" w14:textId="77777777" w:rsidR="00C9677E" w:rsidRPr="00C86F6B" w:rsidRDefault="00C9677E" w:rsidP="00AD0C50">
            <w:pPr>
              <w:rPr>
                <w:rFonts w:asciiTheme="minorHAnsi" w:hAnsiTheme="minorHAnsi" w:cstheme="minorHAnsi"/>
                <w:sz w:val="18"/>
                <w:szCs w:val="18"/>
              </w:rPr>
            </w:pPr>
            <w:r w:rsidRPr="00C86F6B">
              <w:rPr>
                <w:rFonts w:asciiTheme="minorHAnsi" w:hAnsiTheme="minorHAnsi" w:cstheme="minorHAnsi"/>
                <w:sz w:val="18"/>
                <w:szCs w:val="18"/>
              </w:rPr>
              <w:t>PN-84/M-74003</w:t>
            </w:r>
          </w:p>
        </w:tc>
        <w:tc>
          <w:tcPr>
            <w:tcW w:w="6662" w:type="dxa"/>
            <w:gridSpan w:val="2"/>
          </w:tcPr>
          <w:p w14:paraId="28850468" w14:textId="77777777" w:rsidR="00C9677E" w:rsidRPr="00C86F6B" w:rsidRDefault="00C9677E" w:rsidP="00AD0C50">
            <w:pPr>
              <w:rPr>
                <w:rFonts w:asciiTheme="minorHAnsi" w:hAnsiTheme="minorHAnsi" w:cstheme="minorHAnsi"/>
                <w:sz w:val="18"/>
                <w:szCs w:val="18"/>
              </w:rPr>
            </w:pPr>
            <w:r w:rsidRPr="00C86F6B">
              <w:rPr>
                <w:rFonts w:asciiTheme="minorHAnsi" w:hAnsiTheme="minorHAnsi" w:cstheme="minorHAnsi"/>
                <w:sz w:val="18"/>
                <w:szCs w:val="18"/>
              </w:rPr>
              <w:t>Armatura przemysłowa. Zasuwy klinowe kielichowe żeliwne na ciśnienie nominalne 1 MPa.</w:t>
            </w:r>
          </w:p>
        </w:tc>
      </w:tr>
      <w:tr w:rsidR="00C9677E" w:rsidRPr="00A23FB4" w14:paraId="32D29D64" w14:textId="77777777" w:rsidTr="00AD0C50">
        <w:tc>
          <w:tcPr>
            <w:tcW w:w="496" w:type="dxa"/>
          </w:tcPr>
          <w:p w14:paraId="2A0CE254" w14:textId="77777777" w:rsidR="00C9677E" w:rsidRPr="00C86F6B" w:rsidRDefault="00C9677E" w:rsidP="00AD0C50">
            <w:pPr>
              <w:jc w:val="right"/>
              <w:rPr>
                <w:rFonts w:asciiTheme="minorHAnsi" w:hAnsiTheme="minorHAnsi" w:cstheme="minorHAnsi"/>
                <w:sz w:val="18"/>
                <w:szCs w:val="18"/>
              </w:rPr>
            </w:pPr>
            <w:r w:rsidRPr="00C86F6B">
              <w:rPr>
                <w:rFonts w:asciiTheme="minorHAnsi" w:hAnsiTheme="minorHAnsi" w:cstheme="minorHAnsi"/>
                <w:sz w:val="18"/>
                <w:szCs w:val="18"/>
              </w:rPr>
              <w:t>36.</w:t>
            </w:r>
          </w:p>
        </w:tc>
        <w:tc>
          <w:tcPr>
            <w:tcW w:w="1984" w:type="dxa"/>
          </w:tcPr>
          <w:p w14:paraId="4B5375C0" w14:textId="77777777" w:rsidR="00C9677E" w:rsidRPr="00C86F6B" w:rsidRDefault="00C9677E" w:rsidP="00AD0C50">
            <w:pPr>
              <w:rPr>
                <w:rFonts w:asciiTheme="minorHAnsi" w:hAnsiTheme="minorHAnsi" w:cstheme="minorHAnsi"/>
                <w:sz w:val="18"/>
                <w:szCs w:val="18"/>
              </w:rPr>
            </w:pPr>
            <w:r w:rsidRPr="00C86F6B">
              <w:rPr>
                <w:rFonts w:asciiTheme="minorHAnsi" w:hAnsiTheme="minorHAnsi" w:cstheme="minorHAnsi"/>
                <w:sz w:val="18"/>
                <w:szCs w:val="18"/>
              </w:rPr>
              <w:t>PN-83/M-74024/00</w:t>
            </w:r>
          </w:p>
        </w:tc>
        <w:tc>
          <w:tcPr>
            <w:tcW w:w="6662" w:type="dxa"/>
            <w:gridSpan w:val="2"/>
          </w:tcPr>
          <w:p w14:paraId="5BD91A4B" w14:textId="77777777" w:rsidR="00C9677E" w:rsidRPr="00C86F6B" w:rsidRDefault="00C9677E" w:rsidP="00AD0C50">
            <w:pPr>
              <w:rPr>
                <w:rFonts w:asciiTheme="minorHAnsi" w:hAnsiTheme="minorHAnsi" w:cstheme="minorHAnsi"/>
                <w:sz w:val="18"/>
                <w:szCs w:val="18"/>
              </w:rPr>
            </w:pPr>
            <w:r w:rsidRPr="00C86F6B">
              <w:rPr>
                <w:rFonts w:asciiTheme="minorHAnsi" w:hAnsiTheme="minorHAnsi" w:cstheme="minorHAnsi"/>
                <w:sz w:val="18"/>
                <w:szCs w:val="18"/>
              </w:rPr>
              <w:t>Armatura przemysłowa. Zasuwy klinowe kołnierzowe żeliwne. Wymagania i badania.</w:t>
            </w:r>
          </w:p>
        </w:tc>
      </w:tr>
      <w:tr w:rsidR="00C9677E" w:rsidRPr="00A23FB4" w14:paraId="156210A9" w14:textId="77777777" w:rsidTr="00AD0C50">
        <w:tc>
          <w:tcPr>
            <w:tcW w:w="496" w:type="dxa"/>
          </w:tcPr>
          <w:p w14:paraId="54ECDF9E" w14:textId="77777777" w:rsidR="00C9677E" w:rsidRPr="00C86F6B" w:rsidRDefault="00C9677E" w:rsidP="00AD0C50">
            <w:pPr>
              <w:jc w:val="right"/>
              <w:rPr>
                <w:rFonts w:asciiTheme="minorHAnsi" w:hAnsiTheme="minorHAnsi" w:cstheme="minorHAnsi"/>
                <w:sz w:val="18"/>
                <w:szCs w:val="18"/>
              </w:rPr>
            </w:pPr>
            <w:r w:rsidRPr="00C86F6B">
              <w:rPr>
                <w:rFonts w:asciiTheme="minorHAnsi" w:hAnsiTheme="minorHAnsi" w:cstheme="minorHAnsi"/>
                <w:sz w:val="18"/>
                <w:szCs w:val="18"/>
              </w:rPr>
              <w:t>37.</w:t>
            </w:r>
          </w:p>
        </w:tc>
        <w:tc>
          <w:tcPr>
            <w:tcW w:w="1984" w:type="dxa"/>
          </w:tcPr>
          <w:p w14:paraId="1E4B8585" w14:textId="77777777" w:rsidR="00C9677E" w:rsidRPr="00C86F6B" w:rsidRDefault="00C9677E" w:rsidP="00AD0C50">
            <w:pPr>
              <w:rPr>
                <w:rFonts w:asciiTheme="minorHAnsi" w:hAnsiTheme="minorHAnsi" w:cstheme="minorHAnsi"/>
                <w:sz w:val="18"/>
                <w:szCs w:val="18"/>
              </w:rPr>
            </w:pPr>
            <w:r w:rsidRPr="00C86F6B">
              <w:rPr>
                <w:rFonts w:asciiTheme="minorHAnsi" w:hAnsiTheme="minorHAnsi" w:cstheme="minorHAnsi"/>
                <w:sz w:val="18"/>
                <w:szCs w:val="18"/>
              </w:rPr>
              <w:t>PN-83/M-74024/02</w:t>
            </w:r>
          </w:p>
        </w:tc>
        <w:tc>
          <w:tcPr>
            <w:tcW w:w="6662" w:type="dxa"/>
            <w:gridSpan w:val="2"/>
          </w:tcPr>
          <w:p w14:paraId="524DFFFB" w14:textId="77777777" w:rsidR="00C9677E" w:rsidRPr="00C86F6B" w:rsidRDefault="00C9677E" w:rsidP="00AD0C50">
            <w:pPr>
              <w:rPr>
                <w:rFonts w:asciiTheme="minorHAnsi" w:hAnsiTheme="minorHAnsi" w:cstheme="minorHAnsi"/>
                <w:sz w:val="18"/>
                <w:szCs w:val="18"/>
              </w:rPr>
            </w:pPr>
            <w:r w:rsidRPr="00C86F6B">
              <w:rPr>
                <w:rFonts w:asciiTheme="minorHAnsi" w:hAnsiTheme="minorHAnsi" w:cstheme="minorHAnsi"/>
                <w:sz w:val="18"/>
                <w:szCs w:val="18"/>
              </w:rPr>
              <w:t>Armatura przemysłowa. Zasuwy klinowe kołnierzowe żeliwne na ciśnienie nominalne 0,63 MPa.</w:t>
            </w:r>
          </w:p>
        </w:tc>
      </w:tr>
      <w:tr w:rsidR="00C9677E" w:rsidRPr="00A23FB4" w14:paraId="251ACE79" w14:textId="77777777" w:rsidTr="00AD0C50">
        <w:tc>
          <w:tcPr>
            <w:tcW w:w="496" w:type="dxa"/>
          </w:tcPr>
          <w:p w14:paraId="6E25DA04" w14:textId="77777777" w:rsidR="00C9677E" w:rsidRPr="00C86F6B" w:rsidRDefault="00C9677E" w:rsidP="00AD0C50">
            <w:pPr>
              <w:jc w:val="right"/>
              <w:rPr>
                <w:rFonts w:asciiTheme="minorHAnsi" w:hAnsiTheme="minorHAnsi" w:cstheme="minorHAnsi"/>
                <w:sz w:val="18"/>
                <w:szCs w:val="18"/>
              </w:rPr>
            </w:pPr>
            <w:r w:rsidRPr="00C86F6B">
              <w:rPr>
                <w:rFonts w:asciiTheme="minorHAnsi" w:hAnsiTheme="minorHAnsi" w:cstheme="minorHAnsi"/>
                <w:sz w:val="18"/>
                <w:szCs w:val="18"/>
              </w:rPr>
              <w:t>38.</w:t>
            </w:r>
          </w:p>
        </w:tc>
        <w:tc>
          <w:tcPr>
            <w:tcW w:w="1984" w:type="dxa"/>
          </w:tcPr>
          <w:p w14:paraId="3D29B541" w14:textId="77777777" w:rsidR="00C9677E" w:rsidRPr="00C86F6B" w:rsidRDefault="00C9677E" w:rsidP="00AD0C50">
            <w:pPr>
              <w:rPr>
                <w:rFonts w:asciiTheme="minorHAnsi" w:hAnsiTheme="minorHAnsi" w:cstheme="minorHAnsi"/>
                <w:sz w:val="18"/>
                <w:szCs w:val="18"/>
              </w:rPr>
            </w:pPr>
            <w:r w:rsidRPr="00C86F6B">
              <w:rPr>
                <w:rFonts w:asciiTheme="minorHAnsi" w:hAnsiTheme="minorHAnsi" w:cstheme="minorHAnsi"/>
                <w:sz w:val="18"/>
                <w:szCs w:val="18"/>
              </w:rPr>
              <w:t>PN-83/M-74024/03</w:t>
            </w:r>
          </w:p>
        </w:tc>
        <w:tc>
          <w:tcPr>
            <w:tcW w:w="6662" w:type="dxa"/>
            <w:gridSpan w:val="2"/>
          </w:tcPr>
          <w:p w14:paraId="041B4460" w14:textId="77777777" w:rsidR="00C9677E" w:rsidRPr="00C86F6B" w:rsidRDefault="00C9677E" w:rsidP="00AD0C50">
            <w:pPr>
              <w:rPr>
                <w:rFonts w:asciiTheme="minorHAnsi" w:hAnsiTheme="minorHAnsi" w:cstheme="minorHAnsi"/>
                <w:sz w:val="18"/>
                <w:szCs w:val="18"/>
              </w:rPr>
            </w:pPr>
            <w:r w:rsidRPr="00C86F6B">
              <w:rPr>
                <w:rFonts w:asciiTheme="minorHAnsi" w:hAnsiTheme="minorHAnsi" w:cstheme="minorHAnsi"/>
                <w:sz w:val="18"/>
                <w:szCs w:val="18"/>
              </w:rPr>
              <w:t>Armatura przemysłowa. Zasuwy klinowe kołnierzowe żeliwne na ciśnienie nominalne 1 MPa.</w:t>
            </w:r>
          </w:p>
        </w:tc>
      </w:tr>
      <w:tr w:rsidR="00C9677E" w:rsidRPr="00A23FB4" w14:paraId="076BFD79" w14:textId="77777777" w:rsidTr="00AD0C50">
        <w:tc>
          <w:tcPr>
            <w:tcW w:w="496" w:type="dxa"/>
          </w:tcPr>
          <w:p w14:paraId="106FC942" w14:textId="77777777" w:rsidR="00C9677E" w:rsidRPr="00C86F6B" w:rsidRDefault="00C9677E" w:rsidP="00AD0C50">
            <w:pPr>
              <w:jc w:val="right"/>
              <w:rPr>
                <w:rFonts w:asciiTheme="minorHAnsi" w:hAnsiTheme="minorHAnsi" w:cstheme="minorHAnsi"/>
                <w:sz w:val="18"/>
                <w:szCs w:val="18"/>
              </w:rPr>
            </w:pPr>
            <w:r w:rsidRPr="00C86F6B">
              <w:rPr>
                <w:rFonts w:asciiTheme="minorHAnsi" w:hAnsiTheme="minorHAnsi" w:cstheme="minorHAnsi"/>
                <w:sz w:val="18"/>
                <w:szCs w:val="18"/>
              </w:rPr>
              <w:t>39.</w:t>
            </w:r>
          </w:p>
        </w:tc>
        <w:tc>
          <w:tcPr>
            <w:tcW w:w="1984" w:type="dxa"/>
          </w:tcPr>
          <w:p w14:paraId="2B889F87" w14:textId="77777777" w:rsidR="00C9677E" w:rsidRPr="00C86F6B" w:rsidRDefault="00C9677E" w:rsidP="00AD0C50">
            <w:pPr>
              <w:rPr>
                <w:rFonts w:asciiTheme="minorHAnsi" w:hAnsiTheme="minorHAnsi" w:cstheme="minorHAnsi"/>
                <w:sz w:val="18"/>
                <w:szCs w:val="18"/>
              </w:rPr>
            </w:pPr>
            <w:r w:rsidRPr="00C86F6B">
              <w:rPr>
                <w:rFonts w:asciiTheme="minorHAnsi" w:hAnsiTheme="minorHAnsi" w:cstheme="minorHAnsi"/>
                <w:sz w:val="18"/>
                <w:szCs w:val="18"/>
              </w:rPr>
              <w:t>PN-85/M-74081</w:t>
            </w:r>
          </w:p>
        </w:tc>
        <w:tc>
          <w:tcPr>
            <w:tcW w:w="6662" w:type="dxa"/>
            <w:gridSpan w:val="2"/>
          </w:tcPr>
          <w:p w14:paraId="335CBA83" w14:textId="77777777" w:rsidR="00C9677E" w:rsidRPr="00C86F6B" w:rsidRDefault="00C9677E" w:rsidP="00AD0C50">
            <w:pPr>
              <w:rPr>
                <w:rFonts w:asciiTheme="minorHAnsi" w:hAnsiTheme="minorHAnsi" w:cstheme="minorHAnsi"/>
                <w:sz w:val="18"/>
                <w:szCs w:val="18"/>
              </w:rPr>
            </w:pPr>
            <w:r w:rsidRPr="00C86F6B">
              <w:rPr>
                <w:rFonts w:asciiTheme="minorHAnsi" w:hAnsiTheme="minorHAnsi" w:cstheme="minorHAnsi"/>
                <w:sz w:val="18"/>
                <w:szCs w:val="18"/>
              </w:rPr>
              <w:t>Skrzynki uliczne stosowane w instalacjach wodnych i gazowych.</w:t>
            </w:r>
          </w:p>
        </w:tc>
      </w:tr>
      <w:tr w:rsidR="00C9677E" w:rsidRPr="00A23FB4" w14:paraId="59DF55E8" w14:textId="77777777" w:rsidTr="00AD0C50">
        <w:tc>
          <w:tcPr>
            <w:tcW w:w="496" w:type="dxa"/>
          </w:tcPr>
          <w:p w14:paraId="54E7C22E" w14:textId="77777777" w:rsidR="00C9677E" w:rsidRPr="00C86F6B" w:rsidRDefault="00C9677E" w:rsidP="00AD0C50">
            <w:pPr>
              <w:jc w:val="right"/>
              <w:rPr>
                <w:rFonts w:asciiTheme="minorHAnsi" w:hAnsiTheme="minorHAnsi" w:cstheme="minorHAnsi"/>
                <w:sz w:val="18"/>
                <w:szCs w:val="18"/>
              </w:rPr>
            </w:pPr>
            <w:r w:rsidRPr="00C86F6B">
              <w:rPr>
                <w:rFonts w:asciiTheme="minorHAnsi" w:hAnsiTheme="minorHAnsi" w:cstheme="minorHAnsi"/>
                <w:sz w:val="18"/>
                <w:szCs w:val="18"/>
              </w:rPr>
              <w:t>40.</w:t>
            </w:r>
          </w:p>
        </w:tc>
        <w:tc>
          <w:tcPr>
            <w:tcW w:w="1984" w:type="dxa"/>
          </w:tcPr>
          <w:p w14:paraId="5A113387" w14:textId="77777777" w:rsidR="00C9677E" w:rsidRPr="00C86F6B" w:rsidRDefault="00C9677E" w:rsidP="00AD0C50">
            <w:pPr>
              <w:rPr>
                <w:rFonts w:asciiTheme="minorHAnsi" w:hAnsiTheme="minorHAnsi" w:cstheme="minorHAnsi"/>
                <w:sz w:val="18"/>
                <w:szCs w:val="18"/>
              </w:rPr>
            </w:pPr>
            <w:r w:rsidRPr="00C86F6B">
              <w:rPr>
                <w:rFonts w:asciiTheme="minorHAnsi" w:hAnsiTheme="minorHAnsi" w:cstheme="minorHAnsi"/>
                <w:sz w:val="18"/>
                <w:szCs w:val="18"/>
              </w:rPr>
              <w:t>PN-89/M-74091</w:t>
            </w:r>
          </w:p>
        </w:tc>
        <w:tc>
          <w:tcPr>
            <w:tcW w:w="6662" w:type="dxa"/>
            <w:gridSpan w:val="2"/>
          </w:tcPr>
          <w:p w14:paraId="60F2B38F" w14:textId="77777777" w:rsidR="00C9677E" w:rsidRPr="00C86F6B" w:rsidRDefault="00C9677E" w:rsidP="00AD0C50">
            <w:pPr>
              <w:rPr>
                <w:rFonts w:asciiTheme="minorHAnsi" w:hAnsiTheme="minorHAnsi" w:cstheme="minorHAnsi"/>
                <w:sz w:val="18"/>
                <w:szCs w:val="18"/>
              </w:rPr>
            </w:pPr>
            <w:r w:rsidRPr="00C86F6B">
              <w:rPr>
                <w:rFonts w:asciiTheme="minorHAnsi" w:hAnsiTheme="minorHAnsi" w:cstheme="minorHAnsi"/>
                <w:sz w:val="18"/>
                <w:szCs w:val="18"/>
              </w:rPr>
              <w:t>Armatura przemysłowa. Hydranty nadziemne na ciśnienie nominalne 1 MPa.</w:t>
            </w:r>
          </w:p>
        </w:tc>
      </w:tr>
      <w:tr w:rsidR="00C9677E" w:rsidRPr="00A23FB4" w14:paraId="7C46D3AA" w14:textId="77777777" w:rsidTr="00AD0C50">
        <w:tc>
          <w:tcPr>
            <w:tcW w:w="496" w:type="dxa"/>
          </w:tcPr>
          <w:p w14:paraId="67EF80C4" w14:textId="77777777" w:rsidR="00C9677E" w:rsidRPr="00C86F6B" w:rsidRDefault="00C9677E" w:rsidP="00AD0C50">
            <w:pPr>
              <w:jc w:val="right"/>
              <w:rPr>
                <w:rFonts w:asciiTheme="minorHAnsi" w:hAnsiTheme="minorHAnsi" w:cstheme="minorHAnsi"/>
                <w:sz w:val="18"/>
                <w:szCs w:val="18"/>
              </w:rPr>
            </w:pPr>
            <w:r w:rsidRPr="00C86F6B">
              <w:rPr>
                <w:rFonts w:asciiTheme="minorHAnsi" w:hAnsiTheme="minorHAnsi" w:cstheme="minorHAnsi"/>
                <w:sz w:val="18"/>
                <w:szCs w:val="18"/>
              </w:rPr>
              <w:t>41.</w:t>
            </w:r>
          </w:p>
        </w:tc>
        <w:tc>
          <w:tcPr>
            <w:tcW w:w="1984" w:type="dxa"/>
          </w:tcPr>
          <w:p w14:paraId="6A2BD716" w14:textId="77777777" w:rsidR="00C9677E" w:rsidRPr="00C86F6B" w:rsidRDefault="00C9677E" w:rsidP="00AD0C50">
            <w:pPr>
              <w:rPr>
                <w:rFonts w:asciiTheme="minorHAnsi" w:hAnsiTheme="minorHAnsi" w:cstheme="minorHAnsi"/>
                <w:sz w:val="18"/>
                <w:szCs w:val="18"/>
              </w:rPr>
            </w:pPr>
            <w:r w:rsidRPr="00C86F6B">
              <w:rPr>
                <w:rFonts w:asciiTheme="minorHAnsi" w:hAnsiTheme="minorHAnsi" w:cstheme="minorHAnsi"/>
                <w:sz w:val="18"/>
                <w:szCs w:val="18"/>
              </w:rPr>
              <w:t>PN-89/M-74301</w:t>
            </w:r>
          </w:p>
        </w:tc>
        <w:tc>
          <w:tcPr>
            <w:tcW w:w="6662" w:type="dxa"/>
            <w:gridSpan w:val="2"/>
          </w:tcPr>
          <w:p w14:paraId="2EE758CF" w14:textId="77777777" w:rsidR="00C9677E" w:rsidRPr="00C86F6B" w:rsidRDefault="00C9677E" w:rsidP="00AD0C50">
            <w:pPr>
              <w:rPr>
                <w:rFonts w:asciiTheme="minorHAnsi" w:hAnsiTheme="minorHAnsi" w:cstheme="minorHAnsi"/>
                <w:sz w:val="18"/>
                <w:szCs w:val="18"/>
              </w:rPr>
            </w:pPr>
            <w:r w:rsidRPr="00C86F6B">
              <w:rPr>
                <w:rFonts w:asciiTheme="minorHAnsi" w:hAnsiTheme="minorHAnsi" w:cstheme="minorHAnsi"/>
                <w:sz w:val="18"/>
                <w:szCs w:val="18"/>
              </w:rPr>
              <w:t>Armatura przemysłowa. Kompensatory jednodławicowe kołnierzowe żeliwne na ciśnienie nominalne 1 i 1,6 MPa.</w:t>
            </w:r>
          </w:p>
        </w:tc>
      </w:tr>
      <w:tr w:rsidR="00C9677E" w:rsidRPr="00A23FB4" w14:paraId="30EF7226" w14:textId="77777777" w:rsidTr="00AD0C50">
        <w:tc>
          <w:tcPr>
            <w:tcW w:w="496" w:type="dxa"/>
          </w:tcPr>
          <w:p w14:paraId="44331220" w14:textId="77777777" w:rsidR="00C9677E" w:rsidRPr="00C86F6B" w:rsidRDefault="00C9677E" w:rsidP="00AD0C50">
            <w:pPr>
              <w:jc w:val="right"/>
              <w:rPr>
                <w:rFonts w:asciiTheme="minorHAnsi" w:hAnsiTheme="minorHAnsi" w:cstheme="minorHAnsi"/>
                <w:sz w:val="18"/>
                <w:szCs w:val="18"/>
              </w:rPr>
            </w:pPr>
            <w:r w:rsidRPr="00C86F6B">
              <w:rPr>
                <w:rFonts w:asciiTheme="minorHAnsi" w:hAnsiTheme="minorHAnsi" w:cstheme="minorHAnsi"/>
                <w:sz w:val="18"/>
                <w:szCs w:val="18"/>
              </w:rPr>
              <w:t>42.</w:t>
            </w:r>
          </w:p>
        </w:tc>
        <w:tc>
          <w:tcPr>
            <w:tcW w:w="1984" w:type="dxa"/>
          </w:tcPr>
          <w:p w14:paraId="764B28B8" w14:textId="77777777" w:rsidR="00C9677E" w:rsidRPr="00C86F6B" w:rsidRDefault="00C9677E" w:rsidP="00AD0C50">
            <w:pPr>
              <w:rPr>
                <w:rFonts w:asciiTheme="minorHAnsi" w:hAnsiTheme="minorHAnsi" w:cstheme="minorHAnsi"/>
                <w:sz w:val="18"/>
                <w:szCs w:val="18"/>
              </w:rPr>
            </w:pPr>
            <w:r w:rsidRPr="00C86F6B">
              <w:rPr>
                <w:rFonts w:asciiTheme="minorHAnsi" w:hAnsiTheme="minorHAnsi" w:cstheme="minorHAnsi"/>
                <w:sz w:val="18"/>
                <w:szCs w:val="18"/>
              </w:rPr>
              <w:t>BN-76/0648-76</w:t>
            </w:r>
          </w:p>
        </w:tc>
        <w:tc>
          <w:tcPr>
            <w:tcW w:w="6662" w:type="dxa"/>
            <w:gridSpan w:val="2"/>
          </w:tcPr>
          <w:p w14:paraId="3C66058B" w14:textId="77777777" w:rsidR="00C9677E" w:rsidRPr="00C86F6B" w:rsidRDefault="00C9677E" w:rsidP="00AD0C50">
            <w:pPr>
              <w:rPr>
                <w:rFonts w:asciiTheme="minorHAnsi" w:hAnsiTheme="minorHAnsi" w:cstheme="minorHAnsi"/>
                <w:sz w:val="18"/>
                <w:szCs w:val="18"/>
              </w:rPr>
            </w:pPr>
            <w:r w:rsidRPr="00C86F6B">
              <w:rPr>
                <w:rFonts w:asciiTheme="minorHAnsi" w:hAnsiTheme="minorHAnsi" w:cstheme="minorHAnsi"/>
                <w:sz w:val="18"/>
                <w:szCs w:val="18"/>
              </w:rPr>
              <w:t>Bitumiczne powłoki na rurach stalowych układanych w ziemi.</w:t>
            </w:r>
          </w:p>
        </w:tc>
      </w:tr>
      <w:tr w:rsidR="00C9677E" w:rsidRPr="00A23FB4" w14:paraId="0745ACEA" w14:textId="77777777" w:rsidTr="00AD0C50">
        <w:tc>
          <w:tcPr>
            <w:tcW w:w="496" w:type="dxa"/>
          </w:tcPr>
          <w:p w14:paraId="6CFAEEAC" w14:textId="77777777" w:rsidR="00C9677E" w:rsidRPr="00C86F6B" w:rsidRDefault="00C9677E" w:rsidP="00AD0C50">
            <w:pPr>
              <w:jc w:val="right"/>
              <w:rPr>
                <w:rFonts w:asciiTheme="minorHAnsi" w:hAnsiTheme="minorHAnsi" w:cstheme="minorHAnsi"/>
                <w:sz w:val="18"/>
                <w:szCs w:val="18"/>
              </w:rPr>
            </w:pPr>
            <w:r w:rsidRPr="00C86F6B">
              <w:rPr>
                <w:rFonts w:asciiTheme="minorHAnsi" w:hAnsiTheme="minorHAnsi" w:cstheme="minorHAnsi"/>
                <w:sz w:val="18"/>
                <w:szCs w:val="18"/>
              </w:rPr>
              <w:t>43.</w:t>
            </w:r>
          </w:p>
        </w:tc>
        <w:tc>
          <w:tcPr>
            <w:tcW w:w="1984" w:type="dxa"/>
          </w:tcPr>
          <w:p w14:paraId="71A338A3" w14:textId="77777777" w:rsidR="00C9677E" w:rsidRPr="00C86F6B" w:rsidRDefault="00C9677E" w:rsidP="00AD0C50">
            <w:pPr>
              <w:rPr>
                <w:rFonts w:asciiTheme="minorHAnsi" w:hAnsiTheme="minorHAnsi" w:cstheme="minorHAnsi"/>
                <w:sz w:val="18"/>
                <w:szCs w:val="18"/>
              </w:rPr>
            </w:pPr>
            <w:r w:rsidRPr="00C86F6B">
              <w:rPr>
                <w:rFonts w:asciiTheme="minorHAnsi" w:hAnsiTheme="minorHAnsi" w:cstheme="minorHAnsi"/>
                <w:sz w:val="18"/>
                <w:szCs w:val="18"/>
              </w:rPr>
              <w:t>BN-77/5213-04</w:t>
            </w:r>
          </w:p>
        </w:tc>
        <w:tc>
          <w:tcPr>
            <w:tcW w:w="6662" w:type="dxa"/>
            <w:gridSpan w:val="2"/>
          </w:tcPr>
          <w:p w14:paraId="1DC0C4AC" w14:textId="77777777" w:rsidR="00C9677E" w:rsidRPr="00C86F6B" w:rsidRDefault="00C9677E" w:rsidP="00AD0C50">
            <w:pPr>
              <w:rPr>
                <w:rFonts w:asciiTheme="minorHAnsi" w:hAnsiTheme="minorHAnsi" w:cstheme="minorHAnsi"/>
                <w:sz w:val="18"/>
                <w:szCs w:val="18"/>
              </w:rPr>
            </w:pPr>
            <w:r w:rsidRPr="00C86F6B">
              <w:rPr>
                <w:rFonts w:asciiTheme="minorHAnsi" w:hAnsiTheme="minorHAnsi" w:cstheme="minorHAnsi"/>
                <w:sz w:val="18"/>
                <w:szCs w:val="18"/>
              </w:rPr>
              <w:t>Armatura przemysłowa. Hydranty. Wymagania i badania.</w:t>
            </w:r>
          </w:p>
        </w:tc>
      </w:tr>
      <w:tr w:rsidR="00C9677E" w:rsidRPr="00A23FB4" w14:paraId="0629875F" w14:textId="77777777" w:rsidTr="00AD0C50">
        <w:tc>
          <w:tcPr>
            <w:tcW w:w="496" w:type="dxa"/>
          </w:tcPr>
          <w:p w14:paraId="170749DA" w14:textId="77777777" w:rsidR="00C9677E" w:rsidRPr="00C86F6B" w:rsidRDefault="00C9677E" w:rsidP="00AD0C50">
            <w:pPr>
              <w:jc w:val="right"/>
              <w:rPr>
                <w:rFonts w:asciiTheme="minorHAnsi" w:hAnsiTheme="minorHAnsi" w:cstheme="minorHAnsi"/>
                <w:sz w:val="18"/>
                <w:szCs w:val="18"/>
              </w:rPr>
            </w:pPr>
            <w:r w:rsidRPr="00C86F6B">
              <w:rPr>
                <w:rFonts w:asciiTheme="minorHAnsi" w:hAnsiTheme="minorHAnsi" w:cstheme="minorHAnsi"/>
                <w:sz w:val="18"/>
                <w:szCs w:val="18"/>
              </w:rPr>
              <w:t>44.</w:t>
            </w:r>
          </w:p>
        </w:tc>
        <w:tc>
          <w:tcPr>
            <w:tcW w:w="1984" w:type="dxa"/>
          </w:tcPr>
          <w:p w14:paraId="0DA8F68E" w14:textId="77777777" w:rsidR="00C9677E" w:rsidRPr="00C86F6B" w:rsidRDefault="00C9677E" w:rsidP="00AD0C50">
            <w:pPr>
              <w:rPr>
                <w:rFonts w:asciiTheme="minorHAnsi" w:hAnsiTheme="minorHAnsi" w:cstheme="minorHAnsi"/>
                <w:sz w:val="18"/>
                <w:szCs w:val="18"/>
              </w:rPr>
            </w:pPr>
            <w:r w:rsidRPr="00C86F6B">
              <w:rPr>
                <w:rFonts w:asciiTheme="minorHAnsi" w:hAnsiTheme="minorHAnsi" w:cstheme="minorHAnsi"/>
                <w:sz w:val="18"/>
                <w:szCs w:val="18"/>
              </w:rPr>
              <w:t>BN-75/5220-02</w:t>
            </w:r>
          </w:p>
        </w:tc>
        <w:tc>
          <w:tcPr>
            <w:tcW w:w="6662" w:type="dxa"/>
            <w:gridSpan w:val="2"/>
          </w:tcPr>
          <w:p w14:paraId="26076E91" w14:textId="77777777" w:rsidR="00C9677E" w:rsidRPr="00C86F6B" w:rsidRDefault="00C9677E" w:rsidP="00AD0C50">
            <w:pPr>
              <w:rPr>
                <w:rFonts w:asciiTheme="minorHAnsi" w:hAnsiTheme="minorHAnsi" w:cstheme="minorHAnsi"/>
                <w:sz w:val="18"/>
                <w:szCs w:val="18"/>
              </w:rPr>
            </w:pPr>
            <w:r w:rsidRPr="00C86F6B">
              <w:rPr>
                <w:rFonts w:asciiTheme="minorHAnsi" w:hAnsiTheme="minorHAnsi" w:cstheme="minorHAnsi"/>
                <w:sz w:val="18"/>
                <w:szCs w:val="18"/>
              </w:rPr>
              <w:t>Ochrona przed korozją. Wymagania ogólne i ocena wykonania.</w:t>
            </w:r>
          </w:p>
        </w:tc>
      </w:tr>
      <w:tr w:rsidR="00C9677E" w:rsidRPr="00A23FB4" w14:paraId="3B1641F8" w14:textId="77777777" w:rsidTr="00AD0C50">
        <w:tc>
          <w:tcPr>
            <w:tcW w:w="496" w:type="dxa"/>
          </w:tcPr>
          <w:p w14:paraId="023B0110" w14:textId="77777777" w:rsidR="00C9677E" w:rsidRPr="00C86F6B" w:rsidRDefault="00C9677E" w:rsidP="00AD0C50">
            <w:pPr>
              <w:jc w:val="right"/>
              <w:rPr>
                <w:rFonts w:asciiTheme="minorHAnsi" w:hAnsiTheme="minorHAnsi" w:cstheme="minorHAnsi"/>
                <w:sz w:val="18"/>
                <w:szCs w:val="18"/>
              </w:rPr>
            </w:pPr>
            <w:r w:rsidRPr="00C86F6B">
              <w:rPr>
                <w:rFonts w:asciiTheme="minorHAnsi" w:hAnsiTheme="minorHAnsi" w:cstheme="minorHAnsi"/>
                <w:sz w:val="18"/>
                <w:szCs w:val="18"/>
              </w:rPr>
              <w:t>45.</w:t>
            </w:r>
          </w:p>
        </w:tc>
        <w:tc>
          <w:tcPr>
            <w:tcW w:w="1984" w:type="dxa"/>
          </w:tcPr>
          <w:p w14:paraId="2CA4631C" w14:textId="77777777" w:rsidR="00C9677E" w:rsidRPr="00C86F6B" w:rsidRDefault="00C9677E" w:rsidP="00AD0C50">
            <w:pPr>
              <w:rPr>
                <w:rFonts w:asciiTheme="minorHAnsi" w:hAnsiTheme="minorHAnsi" w:cstheme="minorHAnsi"/>
                <w:sz w:val="18"/>
                <w:szCs w:val="18"/>
              </w:rPr>
            </w:pPr>
            <w:r w:rsidRPr="00C86F6B">
              <w:rPr>
                <w:rFonts w:asciiTheme="minorHAnsi" w:hAnsiTheme="minorHAnsi" w:cstheme="minorHAnsi"/>
                <w:sz w:val="18"/>
                <w:szCs w:val="18"/>
              </w:rPr>
              <w:t>BN-74/6366-03</w:t>
            </w:r>
          </w:p>
        </w:tc>
        <w:tc>
          <w:tcPr>
            <w:tcW w:w="6662" w:type="dxa"/>
            <w:gridSpan w:val="2"/>
          </w:tcPr>
          <w:p w14:paraId="397AE7AA" w14:textId="77777777" w:rsidR="00C9677E" w:rsidRPr="00C86F6B" w:rsidRDefault="00C9677E" w:rsidP="00AD0C50">
            <w:pPr>
              <w:rPr>
                <w:rFonts w:asciiTheme="minorHAnsi" w:hAnsiTheme="minorHAnsi" w:cstheme="minorHAnsi"/>
                <w:sz w:val="18"/>
                <w:szCs w:val="18"/>
              </w:rPr>
            </w:pPr>
            <w:r w:rsidRPr="00C86F6B">
              <w:rPr>
                <w:rFonts w:asciiTheme="minorHAnsi" w:hAnsiTheme="minorHAnsi" w:cstheme="minorHAnsi"/>
                <w:sz w:val="18"/>
                <w:szCs w:val="18"/>
              </w:rPr>
              <w:t>Rury polietylenowe typ 50. Wymiary.</w:t>
            </w:r>
          </w:p>
        </w:tc>
      </w:tr>
      <w:tr w:rsidR="00C9677E" w:rsidRPr="00A23FB4" w14:paraId="7292D436" w14:textId="77777777" w:rsidTr="00AD0C50">
        <w:tc>
          <w:tcPr>
            <w:tcW w:w="496" w:type="dxa"/>
          </w:tcPr>
          <w:p w14:paraId="5FED9F6F" w14:textId="77777777" w:rsidR="00C9677E" w:rsidRPr="00C86F6B" w:rsidRDefault="00C9677E" w:rsidP="00AD0C50">
            <w:pPr>
              <w:jc w:val="right"/>
              <w:rPr>
                <w:rFonts w:asciiTheme="minorHAnsi" w:hAnsiTheme="minorHAnsi" w:cstheme="minorHAnsi"/>
                <w:sz w:val="18"/>
                <w:szCs w:val="18"/>
              </w:rPr>
            </w:pPr>
            <w:r w:rsidRPr="00C86F6B">
              <w:rPr>
                <w:rFonts w:asciiTheme="minorHAnsi" w:hAnsiTheme="minorHAnsi" w:cstheme="minorHAnsi"/>
                <w:sz w:val="18"/>
                <w:szCs w:val="18"/>
              </w:rPr>
              <w:t>46.</w:t>
            </w:r>
          </w:p>
        </w:tc>
        <w:tc>
          <w:tcPr>
            <w:tcW w:w="1984" w:type="dxa"/>
          </w:tcPr>
          <w:p w14:paraId="3A0A4515" w14:textId="77777777" w:rsidR="00C9677E" w:rsidRPr="00C86F6B" w:rsidRDefault="00C9677E" w:rsidP="00AD0C50">
            <w:pPr>
              <w:rPr>
                <w:rFonts w:asciiTheme="minorHAnsi" w:hAnsiTheme="minorHAnsi" w:cstheme="minorHAnsi"/>
                <w:sz w:val="18"/>
                <w:szCs w:val="18"/>
              </w:rPr>
            </w:pPr>
            <w:r w:rsidRPr="00C86F6B">
              <w:rPr>
                <w:rFonts w:asciiTheme="minorHAnsi" w:hAnsiTheme="minorHAnsi" w:cstheme="minorHAnsi"/>
                <w:sz w:val="18"/>
                <w:szCs w:val="18"/>
              </w:rPr>
              <w:t>BN-74/6366-04</w:t>
            </w:r>
          </w:p>
        </w:tc>
        <w:tc>
          <w:tcPr>
            <w:tcW w:w="6662" w:type="dxa"/>
            <w:gridSpan w:val="2"/>
          </w:tcPr>
          <w:p w14:paraId="370915B7" w14:textId="77777777" w:rsidR="00C9677E" w:rsidRPr="00C86F6B" w:rsidRDefault="00C9677E" w:rsidP="00AD0C50">
            <w:pPr>
              <w:rPr>
                <w:rFonts w:asciiTheme="minorHAnsi" w:hAnsiTheme="minorHAnsi" w:cstheme="minorHAnsi"/>
                <w:sz w:val="18"/>
                <w:szCs w:val="18"/>
              </w:rPr>
            </w:pPr>
            <w:r w:rsidRPr="00C86F6B">
              <w:rPr>
                <w:rFonts w:asciiTheme="minorHAnsi" w:hAnsiTheme="minorHAnsi" w:cstheme="minorHAnsi"/>
                <w:sz w:val="18"/>
                <w:szCs w:val="18"/>
              </w:rPr>
              <w:t>Rury polietylenowe typ 50. Wymagania techniczne.</w:t>
            </w:r>
          </w:p>
        </w:tc>
      </w:tr>
      <w:tr w:rsidR="00C9677E" w:rsidRPr="00A23FB4" w14:paraId="5CA50970" w14:textId="77777777" w:rsidTr="00AD0C50">
        <w:tc>
          <w:tcPr>
            <w:tcW w:w="496" w:type="dxa"/>
          </w:tcPr>
          <w:p w14:paraId="05E40771" w14:textId="77777777" w:rsidR="00C9677E" w:rsidRPr="00C86F6B" w:rsidRDefault="00C9677E" w:rsidP="00AD0C50">
            <w:pPr>
              <w:jc w:val="right"/>
              <w:rPr>
                <w:rFonts w:asciiTheme="minorHAnsi" w:hAnsiTheme="minorHAnsi" w:cstheme="minorHAnsi"/>
                <w:sz w:val="18"/>
                <w:szCs w:val="18"/>
              </w:rPr>
            </w:pPr>
            <w:r w:rsidRPr="00C86F6B">
              <w:rPr>
                <w:rFonts w:asciiTheme="minorHAnsi" w:hAnsiTheme="minorHAnsi" w:cstheme="minorHAnsi"/>
                <w:sz w:val="18"/>
                <w:szCs w:val="18"/>
              </w:rPr>
              <w:t>47.</w:t>
            </w:r>
          </w:p>
        </w:tc>
        <w:tc>
          <w:tcPr>
            <w:tcW w:w="1984" w:type="dxa"/>
          </w:tcPr>
          <w:p w14:paraId="17FE3C37" w14:textId="77777777" w:rsidR="00C9677E" w:rsidRPr="00C86F6B" w:rsidRDefault="00C9677E" w:rsidP="00AD0C50">
            <w:pPr>
              <w:rPr>
                <w:rFonts w:asciiTheme="minorHAnsi" w:hAnsiTheme="minorHAnsi" w:cstheme="minorHAnsi"/>
                <w:sz w:val="18"/>
                <w:szCs w:val="18"/>
              </w:rPr>
            </w:pPr>
            <w:r w:rsidRPr="00C86F6B">
              <w:rPr>
                <w:rFonts w:asciiTheme="minorHAnsi" w:hAnsiTheme="minorHAnsi" w:cstheme="minorHAnsi"/>
                <w:sz w:val="18"/>
                <w:szCs w:val="18"/>
              </w:rPr>
              <w:t>BN-80/6366-08</w:t>
            </w:r>
          </w:p>
        </w:tc>
        <w:tc>
          <w:tcPr>
            <w:tcW w:w="6662" w:type="dxa"/>
            <w:gridSpan w:val="2"/>
          </w:tcPr>
          <w:p w14:paraId="0F58CC5F" w14:textId="77777777" w:rsidR="00C9677E" w:rsidRPr="00C86F6B" w:rsidRDefault="00C9677E" w:rsidP="00AD0C50">
            <w:pPr>
              <w:rPr>
                <w:rFonts w:asciiTheme="minorHAnsi" w:hAnsiTheme="minorHAnsi" w:cstheme="minorHAnsi"/>
                <w:sz w:val="18"/>
                <w:szCs w:val="18"/>
              </w:rPr>
            </w:pPr>
            <w:r w:rsidRPr="00C86F6B">
              <w:rPr>
                <w:rFonts w:asciiTheme="minorHAnsi" w:hAnsiTheme="minorHAnsi" w:cstheme="minorHAnsi"/>
                <w:sz w:val="18"/>
                <w:szCs w:val="18"/>
              </w:rPr>
              <w:t>Rury ciśnieniowe z polipropylenu. Wymagania i badania.</w:t>
            </w:r>
          </w:p>
        </w:tc>
      </w:tr>
      <w:tr w:rsidR="00C9677E" w:rsidRPr="00A23FB4" w14:paraId="7FA948B3" w14:textId="77777777" w:rsidTr="00AD0C50">
        <w:tc>
          <w:tcPr>
            <w:tcW w:w="496" w:type="dxa"/>
          </w:tcPr>
          <w:p w14:paraId="4267FEFB" w14:textId="77777777" w:rsidR="00C9677E" w:rsidRPr="00C86F6B" w:rsidRDefault="00C9677E" w:rsidP="00AD0C50">
            <w:pPr>
              <w:jc w:val="right"/>
              <w:rPr>
                <w:rFonts w:asciiTheme="minorHAnsi" w:hAnsiTheme="minorHAnsi" w:cstheme="minorHAnsi"/>
                <w:sz w:val="18"/>
                <w:szCs w:val="18"/>
              </w:rPr>
            </w:pPr>
            <w:r w:rsidRPr="00C86F6B">
              <w:rPr>
                <w:rFonts w:asciiTheme="minorHAnsi" w:hAnsiTheme="minorHAnsi" w:cstheme="minorHAnsi"/>
                <w:sz w:val="18"/>
                <w:szCs w:val="18"/>
              </w:rPr>
              <w:t>48.</w:t>
            </w:r>
          </w:p>
        </w:tc>
        <w:tc>
          <w:tcPr>
            <w:tcW w:w="1984" w:type="dxa"/>
          </w:tcPr>
          <w:p w14:paraId="2AADAF3D" w14:textId="77777777" w:rsidR="00C9677E" w:rsidRPr="00C86F6B" w:rsidRDefault="00C9677E" w:rsidP="00AD0C50">
            <w:pPr>
              <w:rPr>
                <w:rFonts w:asciiTheme="minorHAnsi" w:hAnsiTheme="minorHAnsi" w:cstheme="minorHAnsi"/>
                <w:sz w:val="18"/>
                <w:szCs w:val="18"/>
              </w:rPr>
            </w:pPr>
            <w:r w:rsidRPr="00C86F6B">
              <w:rPr>
                <w:rFonts w:asciiTheme="minorHAnsi" w:hAnsiTheme="minorHAnsi" w:cstheme="minorHAnsi"/>
                <w:sz w:val="18"/>
                <w:szCs w:val="18"/>
              </w:rPr>
              <w:t>BN-77/6731-08</w:t>
            </w:r>
          </w:p>
        </w:tc>
        <w:tc>
          <w:tcPr>
            <w:tcW w:w="6662" w:type="dxa"/>
            <w:gridSpan w:val="2"/>
          </w:tcPr>
          <w:p w14:paraId="642878A5" w14:textId="77777777" w:rsidR="00C9677E" w:rsidRPr="00C86F6B" w:rsidRDefault="00C9677E" w:rsidP="00AD0C50">
            <w:pPr>
              <w:rPr>
                <w:rFonts w:asciiTheme="minorHAnsi" w:hAnsiTheme="minorHAnsi" w:cstheme="minorHAnsi"/>
                <w:sz w:val="18"/>
                <w:szCs w:val="18"/>
              </w:rPr>
            </w:pPr>
            <w:r w:rsidRPr="00C86F6B">
              <w:rPr>
                <w:rFonts w:asciiTheme="minorHAnsi" w:hAnsiTheme="minorHAnsi" w:cstheme="minorHAnsi"/>
                <w:sz w:val="18"/>
                <w:szCs w:val="18"/>
              </w:rPr>
              <w:t>Cement. Transport i przechowywanie.</w:t>
            </w:r>
          </w:p>
        </w:tc>
      </w:tr>
      <w:tr w:rsidR="00C9677E" w:rsidRPr="00A23FB4" w14:paraId="0593416A" w14:textId="77777777" w:rsidTr="00AD0C50">
        <w:tc>
          <w:tcPr>
            <w:tcW w:w="496" w:type="dxa"/>
          </w:tcPr>
          <w:p w14:paraId="1C56F769" w14:textId="77777777" w:rsidR="00C9677E" w:rsidRPr="00C86F6B" w:rsidRDefault="00C9677E" w:rsidP="00AD0C50">
            <w:pPr>
              <w:jc w:val="right"/>
              <w:rPr>
                <w:rFonts w:asciiTheme="minorHAnsi" w:hAnsiTheme="minorHAnsi" w:cstheme="minorHAnsi"/>
                <w:sz w:val="18"/>
                <w:szCs w:val="18"/>
              </w:rPr>
            </w:pPr>
            <w:r w:rsidRPr="00C86F6B">
              <w:rPr>
                <w:rFonts w:asciiTheme="minorHAnsi" w:hAnsiTheme="minorHAnsi" w:cstheme="minorHAnsi"/>
                <w:sz w:val="18"/>
                <w:szCs w:val="18"/>
              </w:rPr>
              <w:t>49.</w:t>
            </w:r>
          </w:p>
        </w:tc>
        <w:tc>
          <w:tcPr>
            <w:tcW w:w="1984" w:type="dxa"/>
          </w:tcPr>
          <w:p w14:paraId="4F5E3EB3" w14:textId="77777777" w:rsidR="00C9677E" w:rsidRPr="00C86F6B" w:rsidRDefault="00C9677E" w:rsidP="00AD0C50">
            <w:pPr>
              <w:rPr>
                <w:rFonts w:asciiTheme="minorHAnsi" w:hAnsiTheme="minorHAnsi" w:cstheme="minorHAnsi"/>
                <w:sz w:val="18"/>
                <w:szCs w:val="18"/>
              </w:rPr>
            </w:pPr>
            <w:r w:rsidRPr="00C86F6B">
              <w:rPr>
                <w:rFonts w:asciiTheme="minorHAnsi" w:hAnsiTheme="minorHAnsi" w:cstheme="minorHAnsi"/>
                <w:sz w:val="18"/>
                <w:szCs w:val="18"/>
              </w:rPr>
              <w:t>BN-62/6738-03,04,07</w:t>
            </w:r>
          </w:p>
        </w:tc>
        <w:tc>
          <w:tcPr>
            <w:tcW w:w="6662" w:type="dxa"/>
            <w:gridSpan w:val="2"/>
          </w:tcPr>
          <w:p w14:paraId="6D9844C6" w14:textId="77777777" w:rsidR="00C9677E" w:rsidRPr="00C86F6B" w:rsidRDefault="00C9677E" w:rsidP="00AD0C50">
            <w:pPr>
              <w:rPr>
                <w:rFonts w:asciiTheme="minorHAnsi" w:hAnsiTheme="minorHAnsi" w:cstheme="minorHAnsi"/>
                <w:sz w:val="18"/>
                <w:szCs w:val="18"/>
              </w:rPr>
            </w:pPr>
            <w:r w:rsidRPr="00C86F6B">
              <w:rPr>
                <w:rFonts w:asciiTheme="minorHAnsi" w:hAnsiTheme="minorHAnsi" w:cstheme="minorHAnsi"/>
                <w:sz w:val="18"/>
                <w:szCs w:val="18"/>
              </w:rPr>
              <w:t>Beton hydrotechniczny. Wymagania techniczne.</w:t>
            </w:r>
          </w:p>
        </w:tc>
      </w:tr>
      <w:tr w:rsidR="00C9677E" w:rsidRPr="00A23FB4" w14:paraId="2446DB5F" w14:textId="77777777" w:rsidTr="00AD0C50">
        <w:tc>
          <w:tcPr>
            <w:tcW w:w="496" w:type="dxa"/>
          </w:tcPr>
          <w:p w14:paraId="7D413F1E" w14:textId="77777777" w:rsidR="00C9677E" w:rsidRPr="00C86F6B" w:rsidRDefault="00C9677E" w:rsidP="00AD0C50">
            <w:pPr>
              <w:jc w:val="right"/>
              <w:rPr>
                <w:rFonts w:asciiTheme="minorHAnsi" w:hAnsiTheme="minorHAnsi" w:cstheme="minorHAnsi"/>
                <w:sz w:val="18"/>
                <w:szCs w:val="18"/>
              </w:rPr>
            </w:pPr>
            <w:r w:rsidRPr="00C86F6B">
              <w:rPr>
                <w:rFonts w:asciiTheme="minorHAnsi" w:hAnsiTheme="minorHAnsi" w:cstheme="minorHAnsi"/>
                <w:sz w:val="18"/>
                <w:szCs w:val="18"/>
              </w:rPr>
              <w:t>50.</w:t>
            </w:r>
          </w:p>
        </w:tc>
        <w:tc>
          <w:tcPr>
            <w:tcW w:w="1984" w:type="dxa"/>
          </w:tcPr>
          <w:p w14:paraId="4B1F6A44" w14:textId="77777777" w:rsidR="00C9677E" w:rsidRPr="00C86F6B" w:rsidRDefault="00C9677E" w:rsidP="00AD0C50">
            <w:pPr>
              <w:rPr>
                <w:rFonts w:asciiTheme="minorHAnsi" w:hAnsiTheme="minorHAnsi" w:cstheme="minorHAnsi"/>
                <w:sz w:val="18"/>
                <w:szCs w:val="18"/>
              </w:rPr>
            </w:pPr>
            <w:r w:rsidRPr="00C86F6B">
              <w:rPr>
                <w:rFonts w:asciiTheme="minorHAnsi" w:hAnsiTheme="minorHAnsi" w:cstheme="minorHAnsi"/>
                <w:sz w:val="18"/>
                <w:szCs w:val="18"/>
              </w:rPr>
              <w:t>BN-87/6755-06</w:t>
            </w:r>
          </w:p>
        </w:tc>
        <w:tc>
          <w:tcPr>
            <w:tcW w:w="6662" w:type="dxa"/>
            <w:gridSpan w:val="2"/>
          </w:tcPr>
          <w:p w14:paraId="0F3CA306" w14:textId="77777777" w:rsidR="00C9677E" w:rsidRPr="00C86F6B" w:rsidRDefault="00C9677E" w:rsidP="00AD0C50">
            <w:pPr>
              <w:rPr>
                <w:rFonts w:asciiTheme="minorHAnsi" w:hAnsiTheme="minorHAnsi" w:cstheme="minorHAnsi"/>
                <w:sz w:val="18"/>
                <w:szCs w:val="18"/>
              </w:rPr>
            </w:pPr>
            <w:r w:rsidRPr="00C86F6B">
              <w:rPr>
                <w:rFonts w:asciiTheme="minorHAnsi" w:hAnsiTheme="minorHAnsi" w:cstheme="minorHAnsi"/>
                <w:sz w:val="18"/>
                <w:szCs w:val="18"/>
              </w:rPr>
              <w:t>Welon z włókien szklanych.</w:t>
            </w:r>
          </w:p>
        </w:tc>
      </w:tr>
      <w:tr w:rsidR="00C9677E" w:rsidRPr="00A23FB4" w14:paraId="18F08DA0" w14:textId="77777777" w:rsidTr="00AD0C50">
        <w:tc>
          <w:tcPr>
            <w:tcW w:w="496" w:type="dxa"/>
          </w:tcPr>
          <w:p w14:paraId="4D5A9C36" w14:textId="77777777" w:rsidR="00C9677E" w:rsidRPr="00C86F6B" w:rsidRDefault="00C9677E" w:rsidP="00AD0C50">
            <w:pPr>
              <w:jc w:val="right"/>
              <w:rPr>
                <w:rFonts w:asciiTheme="minorHAnsi" w:hAnsiTheme="minorHAnsi" w:cstheme="minorHAnsi"/>
                <w:sz w:val="18"/>
                <w:szCs w:val="18"/>
              </w:rPr>
            </w:pPr>
            <w:r w:rsidRPr="00C86F6B">
              <w:rPr>
                <w:rFonts w:asciiTheme="minorHAnsi" w:hAnsiTheme="minorHAnsi" w:cstheme="minorHAnsi"/>
                <w:sz w:val="18"/>
                <w:szCs w:val="18"/>
              </w:rPr>
              <w:t>51.</w:t>
            </w:r>
          </w:p>
        </w:tc>
        <w:tc>
          <w:tcPr>
            <w:tcW w:w="1984" w:type="dxa"/>
          </w:tcPr>
          <w:p w14:paraId="28278F26" w14:textId="77777777" w:rsidR="00C9677E" w:rsidRPr="00C86F6B" w:rsidRDefault="00C9677E" w:rsidP="00AD0C50">
            <w:pPr>
              <w:rPr>
                <w:rFonts w:asciiTheme="minorHAnsi" w:hAnsiTheme="minorHAnsi" w:cstheme="minorHAnsi"/>
                <w:sz w:val="18"/>
                <w:szCs w:val="18"/>
              </w:rPr>
            </w:pPr>
            <w:r w:rsidRPr="00C86F6B">
              <w:rPr>
                <w:rFonts w:asciiTheme="minorHAnsi" w:hAnsiTheme="minorHAnsi" w:cstheme="minorHAnsi"/>
                <w:sz w:val="18"/>
                <w:szCs w:val="18"/>
              </w:rPr>
              <w:t>BN-66/6774-01</w:t>
            </w:r>
          </w:p>
        </w:tc>
        <w:tc>
          <w:tcPr>
            <w:tcW w:w="6662" w:type="dxa"/>
            <w:gridSpan w:val="2"/>
          </w:tcPr>
          <w:p w14:paraId="10AB5BE1" w14:textId="77777777" w:rsidR="00C9677E" w:rsidRPr="00C86F6B" w:rsidRDefault="00C9677E" w:rsidP="00AD0C50">
            <w:pPr>
              <w:rPr>
                <w:rFonts w:asciiTheme="minorHAnsi" w:hAnsiTheme="minorHAnsi" w:cstheme="minorHAnsi"/>
                <w:sz w:val="18"/>
                <w:szCs w:val="18"/>
              </w:rPr>
            </w:pPr>
            <w:r w:rsidRPr="00C86F6B">
              <w:rPr>
                <w:rFonts w:asciiTheme="minorHAnsi" w:hAnsiTheme="minorHAnsi" w:cstheme="minorHAnsi"/>
                <w:sz w:val="18"/>
                <w:szCs w:val="18"/>
              </w:rPr>
              <w:t>Kruszywo naturalne do nawierzchni drogowych i kolejowych. Żwir i pospółka.</w:t>
            </w:r>
          </w:p>
        </w:tc>
      </w:tr>
      <w:tr w:rsidR="00C9677E" w:rsidRPr="00A23FB4" w14:paraId="7CEE1B2B" w14:textId="77777777" w:rsidTr="00AD0C50">
        <w:tc>
          <w:tcPr>
            <w:tcW w:w="496" w:type="dxa"/>
          </w:tcPr>
          <w:p w14:paraId="5F75E028" w14:textId="77777777" w:rsidR="00C9677E" w:rsidRPr="00C86F6B" w:rsidRDefault="00C9677E" w:rsidP="00AD0C50">
            <w:pPr>
              <w:jc w:val="right"/>
              <w:rPr>
                <w:rFonts w:asciiTheme="minorHAnsi" w:hAnsiTheme="minorHAnsi" w:cstheme="minorHAnsi"/>
                <w:sz w:val="18"/>
                <w:szCs w:val="18"/>
              </w:rPr>
            </w:pPr>
            <w:r w:rsidRPr="00C86F6B">
              <w:rPr>
                <w:rFonts w:asciiTheme="minorHAnsi" w:hAnsiTheme="minorHAnsi" w:cstheme="minorHAnsi"/>
                <w:sz w:val="18"/>
                <w:szCs w:val="18"/>
              </w:rPr>
              <w:t>52.</w:t>
            </w:r>
          </w:p>
        </w:tc>
        <w:tc>
          <w:tcPr>
            <w:tcW w:w="1984" w:type="dxa"/>
          </w:tcPr>
          <w:p w14:paraId="48253EBD" w14:textId="77777777" w:rsidR="00C9677E" w:rsidRPr="00C86F6B" w:rsidRDefault="00C9677E" w:rsidP="00AD0C50">
            <w:pPr>
              <w:rPr>
                <w:rFonts w:asciiTheme="minorHAnsi" w:hAnsiTheme="minorHAnsi" w:cstheme="minorHAnsi"/>
                <w:sz w:val="18"/>
                <w:szCs w:val="18"/>
              </w:rPr>
            </w:pPr>
            <w:r w:rsidRPr="00C86F6B">
              <w:rPr>
                <w:rFonts w:asciiTheme="minorHAnsi" w:hAnsiTheme="minorHAnsi" w:cstheme="minorHAnsi"/>
                <w:sz w:val="18"/>
                <w:szCs w:val="18"/>
              </w:rPr>
              <w:t>BN-84/6774-02</w:t>
            </w:r>
          </w:p>
        </w:tc>
        <w:tc>
          <w:tcPr>
            <w:tcW w:w="6662" w:type="dxa"/>
            <w:gridSpan w:val="2"/>
          </w:tcPr>
          <w:p w14:paraId="57E4BB31" w14:textId="77777777" w:rsidR="00C9677E" w:rsidRPr="00C86F6B" w:rsidRDefault="00C9677E" w:rsidP="00AD0C50">
            <w:pPr>
              <w:rPr>
                <w:rFonts w:asciiTheme="minorHAnsi" w:hAnsiTheme="minorHAnsi" w:cstheme="minorHAnsi"/>
                <w:sz w:val="18"/>
                <w:szCs w:val="18"/>
              </w:rPr>
            </w:pPr>
            <w:r w:rsidRPr="00C86F6B">
              <w:rPr>
                <w:rFonts w:asciiTheme="minorHAnsi" w:hAnsiTheme="minorHAnsi" w:cstheme="minorHAnsi"/>
                <w:sz w:val="18"/>
                <w:szCs w:val="18"/>
              </w:rPr>
              <w:t>Kruszywo mineralne. Kruszywo kamienne łamane do nawierzchni drogowych.</w:t>
            </w:r>
          </w:p>
        </w:tc>
      </w:tr>
      <w:tr w:rsidR="00C9677E" w:rsidRPr="00A23FB4" w14:paraId="3EC7F08B" w14:textId="77777777" w:rsidTr="00AD0C50">
        <w:tc>
          <w:tcPr>
            <w:tcW w:w="496" w:type="dxa"/>
          </w:tcPr>
          <w:p w14:paraId="55952EB1" w14:textId="77777777" w:rsidR="00C9677E" w:rsidRPr="00C86F6B" w:rsidRDefault="00C9677E" w:rsidP="00AD0C50">
            <w:pPr>
              <w:jc w:val="right"/>
              <w:rPr>
                <w:rFonts w:asciiTheme="minorHAnsi" w:hAnsiTheme="minorHAnsi" w:cstheme="minorHAnsi"/>
                <w:sz w:val="18"/>
                <w:szCs w:val="18"/>
              </w:rPr>
            </w:pPr>
            <w:r w:rsidRPr="00C86F6B">
              <w:rPr>
                <w:rFonts w:asciiTheme="minorHAnsi" w:hAnsiTheme="minorHAnsi" w:cstheme="minorHAnsi"/>
                <w:sz w:val="18"/>
                <w:szCs w:val="18"/>
              </w:rPr>
              <w:t>53.</w:t>
            </w:r>
          </w:p>
        </w:tc>
        <w:tc>
          <w:tcPr>
            <w:tcW w:w="1984" w:type="dxa"/>
          </w:tcPr>
          <w:p w14:paraId="572D0FB2" w14:textId="77777777" w:rsidR="00C9677E" w:rsidRPr="00C86F6B" w:rsidRDefault="00C9677E" w:rsidP="00AD0C50">
            <w:pPr>
              <w:rPr>
                <w:rFonts w:asciiTheme="minorHAnsi" w:hAnsiTheme="minorHAnsi" w:cstheme="minorHAnsi"/>
                <w:sz w:val="18"/>
                <w:szCs w:val="18"/>
              </w:rPr>
            </w:pPr>
            <w:r w:rsidRPr="00C86F6B">
              <w:rPr>
                <w:rFonts w:asciiTheme="minorHAnsi" w:hAnsiTheme="minorHAnsi" w:cstheme="minorHAnsi"/>
                <w:sz w:val="18"/>
                <w:szCs w:val="18"/>
              </w:rPr>
              <w:t>BN-83/8836-02</w:t>
            </w:r>
          </w:p>
        </w:tc>
        <w:tc>
          <w:tcPr>
            <w:tcW w:w="6662" w:type="dxa"/>
            <w:gridSpan w:val="2"/>
          </w:tcPr>
          <w:p w14:paraId="76BFFFDE" w14:textId="77777777" w:rsidR="00C9677E" w:rsidRPr="00C86F6B" w:rsidRDefault="00C9677E" w:rsidP="00AD0C50">
            <w:pPr>
              <w:rPr>
                <w:rFonts w:asciiTheme="minorHAnsi" w:hAnsiTheme="minorHAnsi" w:cstheme="minorHAnsi"/>
                <w:sz w:val="18"/>
                <w:szCs w:val="18"/>
              </w:rPr>
            </w:pPr>
            <w:r w:rsidRPr="00C86F6B">
              <w:rPr>
                <w:rFonts w:asciiTheme="minorHAnsi" w:hAnsiTheme="minorHAnsi" w:cstheme="minorHAnsi"/>
                <w:sz w:val="18"/>
                <w:szCs w:val="18"/>
              </w:rPr>
              <w:t>Przewody podziemne. Roboty ziemne. Wymagania i badania przy odbiorze.</w:t>
            </w:r>
          </w:p>
        </w:tc>
      </w:tr>
      <w:tr w:rsidR="00C9677E" w:rsidRPr="00A23FB4" w14:paraId="2C3F34C2" w14:textId="77777777" w:rsidTr="00AD0C50">
        <w:tc>
          <w:tcPr>
            <w:tcW w:w="496" w:type="dxa"/>
          </w:tcPr>
          <w:p w14:paraId="1763D8F1" w14:textId="77777777" w:rsidR="00C9677E" w:rsidRPr="00C86F6B" w:rsidRDefault="00C9677E" w:rsidP="00AD0C50">
            <w:pPr>
              <w:jc w:val="right"/>
              <w:rPr>
                <w:rFonts w:asciiTheme="minorHAnsi" w:hAnsiTheme="minorHAnsi" w:cstheme="minorHAnsi"/>
                <w:sz w:val="18"/>
                <w:szCs w:val="18"/>
              </w:rPr>
            </w:pPr>
            <w:r w:rsidRPr="00C86F6B">
              <w:rPr>
                <w:rFonts w:asciiTheme="minorHAnsi" w:hAnsiTheme="minorHAnsi" w:cstheme="minorHAnsi"/>
                <w:sz w:val="18"/>
                <w:szCs w:val="18"/>
              </w:rPr>
              <w:t>54.</w:t>
            </w:r>
          </w:p>
        </w:tc>
        <w:tc>
          <w:tcPr>
            <w:tcW w:w="1984" w:type="dxa"/>
          </w:tcPr>
          <w:p w14:paraId="6C866439" w14:textId="77777777" w:rsidR="00C9677E" w:rsidRPr="00C86F6B" w:rsidRDefault="00C9677E" w:rsidP="00AD0C50">
            <w:pPr>
              <w:rPr>
                <w:rFonts w:asciiTheme="minorHAnsi" w:hAnsiTheme="minorHAnsi" w:cstheme="minorHAnsi"/>
                <w:sz w:val="18"/>
                <w:szCs w:val="18"/>
              </w:rPr>
            </w:pPr>
            <w:r w:rsidRPr="00C86F6B">
              <w:rPr>
                <w:rFonts w:asciiTheme="minorHAnsi" w:hAnsiTheme="minorHAnsi" w:cstheme="minorHAnsi"/>
                <w:sz w:val="18"/>
                <w:szCs w:val="18"/>
              </w:rPr>
              <w:t>BN-83/8971-06.01</w:t>
            </w:r>
          </w:p>
        </w:tc>
        <w:tc>
          <w:tcPr>
            <w:tcW w:w="6662" w:type="dxa"/>
            <w:gridSpan w:val="2"/>
          </w:tcPr>
          <w:p w14:paraId="7ABFD444" w14:textId="77777777" w:rsidR="00C9677E" w:rsidRPr="00C86F6B" w:rsidRDefault="00C9677E" w:rsidP="00AD0C50">
            <w:pPr>
              <w:rPr>
                <w:rFonts w:asciiTheme="minorHAnsi" w:hAnsiTheme="minorHAnsi" w:cstheme="minorHAnsi"/>
                <w:sz w:val="18"/>
                <w:szCs w:val="18"/>
              </w:rPr>
            </w:pPr>
            <w:r w:rsidRPr="00C86F6B">
              <w:rPr>
                <w:rFonts w:asciiTheme="minorHAnsi" w:hAnsiTheme="minorHAnsi" w:cstheme="minorHAnsi"/>
                <w:sz w:val="18"/>
                <w:szCs w:val="18"/>
              </w:rPr>
              <w:t>Rury bezciśnieniowe. Kielichowe rury betonowe i żelbetowe „Wipro”.</w:t>
            </w:r>
          </w:p>
        </w:tc>
      </w:tr>
      <w:tr w:rsidR="00C9677E" w:rsidRPr="00A23FB4" w14:paraId="75427991" w14:textId="77777777" w:rsidTr="00AD0C50">
        <w:tc>
          <w:tcPr>
            <w:tcW w:w="496" w:type="dxa"/>
          </w:tcPr>
          <w:p w14:paraId="0FD7BA4A" w14:textId="77777777" w:rsidR="00C9677E" w:rsidRPr="00C86F6B" w:rsidRDefault="00C9677E" w:rsidP="00AD0C50">
            <w:pPr>
              <w:jc w:val="right"/>
              <w:rPr>
                <w:rFonts w:asciiTheme="minorHAnsi" w:hAnsiTheme="minorHAnsi" w:cstheme="minorHAnsi"/>
                <w:sz w:val="18"/>
                <w:szCs w:val="18"/>
              </w:rPr>
            </w:pPr>
            <w:r w:rsidRPr="00C86F6B">
              <w:rPr>
                <w:rFonts w:asciiTheme="minorHAnsi" w:hAnsiTheme="minorHAnsi" w:cstheme="minorHAnsi"/>
                <w:sz w:val="18"/>
                <w:szCs w:val="18"/>
              </w:rPr>
              <w:t>55.</w:t>
            </w:r>
          </w:p>
        </w:tc>
        <w:tc>
          <w:tcPr>
            <w:tcW w:w="1984" w:type="dxa"/>
          </w:tcPr>
          <w:p w14:paraId="62126B1E" w14:textId="77777777" w:rsidR="00C9677E" w:rsidRPr="00C86F6B" w:rsidRDefault="00C9677E" w:rsidP="00AD0C50">
            <w:pPr>
              <w:rPr>
                <w:rFonts w:asciiTheme="minorHAnsi" w:hAnsiTheme="minorHAnsi" w:cstheme="minorHAnsi"/>
                <w:sz w:val="18"/>
                <w:szCs w:val="18"/>
              </w:rPr>
            </w:pPr>
            <w:r w:rsidRPr="00C86F6B">
              <w:rPr>
                <w:rFonts w:asciiTheme="minorHAnsi" w:hAnsiTheme="minorHAnsi" w:cstheme="minorHAnsi"/>
                <w:sz w:val="18"/>
                <w:szCs w:val="18"/>
              </w:rPr>
              <w:t>BN-86/8971-08</w:t>
            </w:r>
          </w:p>
        </w:tc>
        <w:tc>
          <w:tcPr>
            <w:tcW w:w="6662" w:type="dxa"/>
            <w:gridSpan w:val="2"/>
          </w:tcPr>
          <w:p w14:paraId="77A44D9D" w14:textId="77777777" w:rsidR="00C9677E" w:rsidRPr="00C86F6B" w:rsidRDefault="00C9677E" w:rsidP="00AD0C50">
            <w:pPr>
              <w:rPr>
                <w:rFonts w:asciiTheme="minorHAnsi" w:hAnsiTheme="minorHAnsi" w:cstheme="minorHAnsi"/>
                <w:sz w:val="18"/>
                <w:szCs w:val="18"/>
              </w:rPr>
            </w:pPr>
            <w:r w:rsidRPr="00C86F6B">
              <w:rPr>
                <w:rFonts w:asciiTheme="minorHAnsi" w:hAnsiTheme="minorHAnsi" w:cstheme="minorHAnsi"/>
                <w:sz w:val="18"/>
                <w:szCs w:val="18"/>
              </w:rPr>
              <w:t>Prefabrykaty budowlane z betonu. Kręgi betonowe i żelbetowe.</w:t>
            </w:r>
          </w:p>
        </w:tc>
      </w:tr>
      <w:tr w:rsidR="00C9677E" w:rsidRPr="00A23FB4" w14:paraId="224BB5F5" w14:textId="77777777" w:rsidTr="00AD0C50">
        <w:tc>
          <w:tcPr>
            <w:tcW w:w="496" w:type="dxa"/>
          </w:tcPr>
          <w:p w14:paraId="123EA17F" w14:textId="77777777" w:rsidR="00C9677E" w:rsidRPr="00C86F6B" w:rsidRDefault="00C9677E" w:rsidP="00AD0C50">
            <w:pPr>
              <w:jc w:val="right"/>
              <w:rPr>
                <w:rFonts w:asciiTheme="minorHAnsi" w:hAnsiTheme="minorHAnsi" w:cstheme="minorHAnsi"/>
                <w:sz w:val="18"/>
                <w:szCs w:val="18"/>
              </w:rPr>
            </w:pPr>
            <w:r w:rsidRPr="00C86F6B">
              <w:rPr>
                <w:rFonts w:asciiTheme="minorHAnsi" w:hAnsiTheme="minorHAnsi" w:cstheme="minorHAnsi"/>
                <w:sz w:val="18"/>
                <w:szCs w:val="18"/>
              </w:rPr>
              <w:t>56.</w:t>
            </w:r>
          </w:p>
        </w:tc>
        <w:tc>
          <w:tcPr>
            <w:tcW w:w="1984" w:type="dxa"/>
          </w:tcPr>
          <w:p w14:paraId="07C63552" w14:textId="77777777" w:rsidR="00C9677E" w:rsidRPr="00C86F6B" w:rsidRDefault="00C9677E" w:rsidP="00AD0C50">
            <w:pPr>
              <w:rPr>
                <w:rFonts w:asciiTheme="minorHAnsi" w:hAnsiTheme="minorHAnsi" w:cstheme="minorHAnsi"/>
                <w:sz w:val="18"/>
                <w:szCs w:val="18"/>
              </w:rPr>
            </w:pPr>
            <w:r w:rsidRPr="00C86F6B">
              <w:rPr>
                <w:rFonts w:asciiTheme="minorHAnsi" w:hAnsiTheme="minorHAnsi" w:cstheme="minorHAnsi"/>
                <w:sz w:val="18"/>
                <w:szCs w:val="18"/>
              </w:rPr>
              <w:t>BN-86/9192-03</w:t>
            </w:r>
          </w:p>
        </w:tc>
        <w:tc>
          <w:tcPr>
            <w:tcW w:w="6662" w:type="dxa"/>
            <w:gridSpan w:val="2"/>
          </w:tcPr>
          <w:p w14:paraId="59F83665" w14:textId="77777777" w:rsidR="00C9677E" w:rsidRPr="00C86F6B" w:rsidRDefault="00C9677E" w:rsidP="00AD0C50">
            <w:pPr>
              <w:rPr>
                <w:rFonts w:asciiTheme="minorHAnsi" w:hAnsiTheme="minorHAnsi" w:cstheme="minorHAnsi"/>
                <w:sz w:val="18"/>
                <w:szCs w:val="18"/>
              </w:rPr>
            </w:pPr>
            <w:r w:rsidRPr="00C86F6B">
              <w:rPr>
                <w:rFonts w:asciiTheme="minorHAnsi" w:hAnsiTheme="minorHAnsi" w:cstheme="minorHAnsi"/>
                <w:sz w:val="18"/>
                <w:szCs w:val="18"/>
              </w:rPr>
              <w:t>Wodociągi wiejskie. Przewody ciśnieniowe z rur stalowych i żeliwnych. Wymagania i badania przy odbiorze.</w:t>
            </w:r>
          </w:p>
        </w:tc>
      </w:tr>
      <w:tr w:rsidR="00C9677E" w:rsidRPr="00A23FB4" w14:paraId="5A2E18C8" w14:textId="77777777" w:rsidTr="00AD0C50">
        <w:tc>
          <w:tcPr>
            <w:tcW w:w="496" w:type="dxa"/>
          </w:tcPr>
          <w:p w14:paraId="4D9035BF" w14:textId="77777777" w:rsidR="00C9677E" w:rsidRPr="00C86F6B" w:rsidRDefault="00C9677E" w:rsidP="00AD0C50">
            <w:pPr>
              <w:jc w:val="right"/>
              <w:rPr>
                <w:rFonts w:asciiTheme="minorHAnsi" w:hAnsiTheme="minorHAnsi" w:cstheme="minorHAnsi"/>
                <w:sz w:val="18"/>
                <w:szCs w:val="18"/>
              </w:rPr>
            </w:pPr>
            <w:r w:rsidRPr="00C86F6B">
              <w:rPr>
                <w:rFonts w:asciiTheme="minorHAnsi" w:hAnsiTheme="minorHAnsi" w:cstheme="minorHAnsi"/>
                <w:sz w:val="18"/>
                <w:szCs w:val="18"/>
              </w:rPr>
              <w:t>57.</w:t>
            </w:r>
          </w:p>
        </w:tc>
        <w:tc>
          <w:tcPr>
            <w:tcW w:w="1984" w:type="dxa"/>
          </w:tcPr>
          <w:p w14:paraId="306AADA4" w14:textId="77777777" w:rsidR="00C9677E" w:rsidRPr="00C86F6B" w:rsidRDefault="00C9677E" w:rsidP="00AD0C50">
            <w:pPr>
              <w:rPr>
                <w:rFonts w:asciiTheme="minorHAnsi" w:hAnsiTheme="minorHAnsi" w:cstheme="minorHAnsi"/>
                <w:sz w:val="18"/>
                <w:szCs w:val="18"/>
              </w:rPr>
            </w:pPr>
            <w:r w:rsidRPr="00C86F6B">
              <w:rPr>
                <w:rFonts w:asciiTheme="minorHAnsi" w:hAnsiTheme="minorHAnsi" w:cstheme="minorHAnsi"/>
                <w:sz w:val="18"/>
                <w:szCs w:val="18"/>
              </w:rPr>
              <w:t>BN-81/9192-04</w:t>
            </w:r>
          </w:p>
        </w:tc>
        <w:tc>
          <w:tcPr>
            <w:tcW w:w="6662" w:type="dxa"/>
            <w:gridSpan w:val="2"/>
          </w:tcPr>
          <w:p w14:paraId="07942A79" w14:textId="77777777" w:rsidR="00C9677E" w:rsidRPr="00C86F6B" w:rsidRDefault="00C9677E" w:rsidP="00AD0C50">
            <w:pPr>
              <w:rPr>
                <w:rFonts w:asciiTheme="minorHAnsi" w:hAnsiTheme="minorHAnsi" w:cstheme="minorHAnsi"/>
                <w:sz w:val="18"/>
                <w:szCs w:val="18"/>
              </w:rPr>
            </w:pPr>
            <w:r w:rsidRPr="00C86F6B">
              <w:rPr>
                <w:rFonts w:asciiTheme="minorHAnsi" w:hAnsiTheme="minorHAnsi" w:cstheme="minorHAnsi"/>
                <w:sz w:val="18"/>
                <w:szCs w:val="18"/>
              </w:rPr>
              <w:t>Wodociągi wiejskie. Bloki oporowe prefabrykowane. Warunki techniczne wykonania i wbudowania.</w:t>
            </w:r>
          </w:p>
        </w:tc>
      </w:tr>
      <w:tr w:rsidR="00C9677E" w:rsidRPr="00A23FB4" w14:paraId="50123DF6" w14:textId="77777777" w:rsidTr="00AD0C50">
        <w:tc>
          <w:tcPr>
            <w:tcW w:w="496" w:type="dxa"/>
          </w:tcPr>
          <w:p w14:paraId="35798CAB" w14:textId="77777777" w:rsidR="00C9677E" w:rsidRPr="00C86F6B" w:rsidRDefault="00C9677E" w:rsidP="00AD0C50">
            <w:pPr>
              <w:jc w:val="right"/>
              <w:rPr>
                <w:rFonts w:asciiTheme="minorHAnsi" w:hAnsiTheme="minorHAnsi" w:cstheme="minorHAnsi"/>
                <w:sz w:val="18"/>
                <w:szCs w:val="18"/>
              </w:rPr>
            </w:pPr>
            <w:r w:rsidRPr="00C86F6B">
              <w:rPr>
                <w:rFonts w:asciiTheme="minorHAnsi" w:hAnsiTheme="minorHAnsi" w:cstheme="minorHAnsi"/>
                <w:sz w:val="18"/>
                <w:szCs w:val="18"/>
              </w:rPr>
              <w:t>58.</w:t>
            </w:r>
          </w:p>
        </w:tc>
        <w:tc>
          <w:tcPr>
            <w:tcW w:w="1984" w:type="dxa"/>
          </w:tcPr>
          <w:p w14:paraId="13165810" w14:textId="77777777" w:rsidR="00C9677E" w:rsidRPr="00C86F6B" w:rsidRDefault="00C9677E" w:rsidP="00AD0C50">
            <w:pPr>
              <w:rPr>
                <w:rFonts w:asciiTheme="minorHAnsi" w:hAnsiTheme="minorHAnsi" w:cstheme="minorHAnsi"/>
                <w:sz w:val="18"/>
                <w:szCs w:val="18"/>
              </w:rPr>
            </w:pPr>
            <w:r w:rsidRPr="00C86F6B">
              <w:rPr>
                <w:rFonts w:asciiTheme="minorHAnsi" w:hAnsiTheme="minorHAnsi" w:cstheme="minorHAnsi"/>
                <w:sz w:val="18"/>
                <w:szCs w:val="18"/>
              </w:rPr>
              <w:t>BN-81/9192-05</w:t>
            </w:r>
          </w:p>
        </w:tc>
        <w:tc>
          <w:tcPr>
            <w:tcW w:w="6662" w:type="dxa"/>
            <w:gridSpan w:val="2"/>
          </w:tcPr>
          <w:p w14:paraId="5B3D0C6B" w14:textId="77777777" w:rsidR="00C9677E" w:rsidRPr="00C86F6B" w:rsidRDefault="00C9677E" w:rsidP="00AD0C50">
            <w:pPr>
              <w:rPr>
                <w:rFonts w:asciiTheme="minorHAnsi" w:hAnsiTheme="minorHAnsi" w:cstheme="minorHAnsi"/>
                <w:sz w:val="18"/>
                <w:szCs w:val="18"/>
              </w:rPr>
            </w:pPr>
            <w:r w:rsidRPr="00C86F6B">
              <w:rPr>
                <w:rFonts w:asciiTheme="minorHAnsi" w:hAnsiTheme="minorHAnsi" w:cstheme="minorHAnsi"/>
                <w:sz w:val="18"/>
                <w:szCs w:val="18"/>
              </w:rPr>
              <w:t>Wodociągi wiejskie. Bloki oporowe. Wymiary i warunki stosowania.</w:t>
            </w:r>
          </w:p>
        </w:tc>
      </w:tr>
      <w:tr w:rsidR="00C9677E" w:rsidRPr="00A23FB4" w14:paraId="55EC5198" w14:textId="77777777" w:rsidTr="00AD0C50">
        <w:trPr>
          <w:gridAfter w:val="1"/>
          <w:wAfter w:w="1632" w:type="dxa"/>
        </w:trPr>
        <w:tc>
          <w:tcPr>
            <w:tcW w:w="496" w:type="dxa"/>
          </w:tcPr>
          <w:p w14:paraId="66DFDF15" w14:textId="77777777" w:rsidR="00C9677E" w:rsidRPr="00C86F6B" w:rsidRDefault="00C9677E" w:rsidP="00AD0C50">
            <w:pPr>
              <w:jc w:val="right"/>
              <w:rPr>
                <w:rFonts w:asciiTheme="minorHAnsi" w:hAnsiTheme="minorHAnsi" w:cstheme="minorHAnsi"/>
                <w:sz w:val="18"/>
                <w:szCs w:val="18"/>
              </w:rPr>
            </w:pPr>
            <w:r w:rsidRPr="00C86F6B">
              <w:rPr>
                <w:rFonts w:asciiTheme="minorHAnsi" w:hAnsiTheme="minorHAnsi" w:cstheme="minorHAnsi"/>
                <w:sz w:val="18"/>
                <w:szCs w:val="18"/>
              </w:rPr>
              <w:t>59.</w:t>
            </w:r>
          </w:p>
        </w:tc>
        <w:tc>
          <w:tcPr>
            <w:tcW w:w="1984" w:type="dxa"/>
          </w:tcPr>
          <w:p w14:paraId="357E04DE" w14:textId="77777777" w:rsidR="00C9677E" w:rsidRPr="00C86F6B" w:rsidRDefault="00C9677E" w:rsidP="00AD0C50">
            <w:pPr>
              <w:rPr>
                <w:rFonts w:asciiTheme="minorHAnsi" w:hAnsiTheme="minorHAnsi" w:cstheme="minorHAnsi"/>
                <w:sz w:val="18"/>
                <w:szCs w:val="18"/>
              </w:rPr>
            </w:pPr>
            <w:r w:rsidRPr="00C86F6B">
              <w:rPr>
                <w:rFonts w:asciiTheme="minorHAnsi" w:hAnsiTheme="minorHAnsi" w:cstheme="minorHAnsi"/>
                <w:sz w:val="18"/>
                <w:szCs w:val="18"/>
              </w:rPr>
              <w:t>BN-82/9192-06</w:t>
            </w:r>
          </w:p>
        </w:tc>
        <w:tc>
          <w:tcPr>
            <w:tcW w:w="5030" w:type="dxa"/>
          </w:tcPr>
          <w:p w14:paraId="3E8D8321" w14:textId="77777777" w:rsidR="00C9677E" w:rsidRPr="00C86F6B" w:rsidRDefault="00C9677E" w:rsidP="00AD0C50">
            <w:pPr>
              <w:rPr>
                <w:rFonts w:asciiTheme="minorHAnsi" w:hAnsiTheme="minorHAnsi" w:cstheme="minorHAnsi"/>
                <w:sz w:val="18"/>
                <w:szCs w:val="18"/>
              </w:rPr>
            </w:pPr>
            <w:r w:rsidRPr="00C86F6B">
              <w:rPr>
                <w:rFonts w:asciiTheme="minorHAnsi" w:hAnsiTheme="minorHAnsi" w:cstheme="minorHAnsi"/>
                <w:sz w:val="18"/>
                <w:szCs w:val="18"/>
              </w:rPr>
              <w:t>Wodociągi wiejskie. Szczelność przewodów z PCW układanych metodą bezodkrywkową. Wymagania i badania przy odbiorze.</w:t>
            </w:r>
          </w:p>
        </w:tc>
      </w:tr>
    </w:tbl>
    <w:p w14:paraId="66030E6E" w14:textId="77777777" w:rsidR="00C9677E" w:rsidRPr="00A23FB4" w:rsidRDefault="00C9677E" w:rsidP="00C9677E">
      <w:pPr>
        <w:pStyle w:val="Nagwek4"/>
        <w:rPr>
          <w:rFonts w:asciiTheme="minorHAnsi" w:hAnsiTheme="minorHAnsi"/>
        </w:rPr>
      </w:pPr>
      <w:r w:rsidRPr="00A23FB4">
        <w:rPr>
          <w:rFonts w:asciiTheme="minorHAnsi" w:hAnsiTheme="minorHAnsi"/>
        </w:rPr>
        <w:t>10.2. Inne dokumenty</w:t>
      </w:r>
    </w:p>
    <w:p w14:paraId="1E4D867A" w14:textId="77777777" w:rsidR="00C9677E" w:rsidRPr="00C86F6B" w:rsidRDefault="00C9677E" w:rsidP="00262498">
      <w:pPr>
        <w:numPr>
          <w:ilvl w:val="0"/>
          <w:numId w:val="177"/>
        </w:numPr>
        <w:ind w:left="397" w:hanging="284"/>
        <w:rPr>
          <w:rFonts w:asciiTheme="minorHAnsi" w:hAnsiTheme="minorHAnsi" w:cstheme="minorHAnsi"/>
          <w:sz w:val="18"/>
          <w:szCs w:val="18"/>
        </w:rPr>
      </w:pPr>
      <w:r w:rsidRPr="00C86F6B">
        <w:rPr>
          <w:rFonts w:asciiTheme="minorHAnsi" w:hAnsiTheme="minorHAnsi" w:cstheme="minorHAnsi"/>
          <w:sz w:val="18"/>
          <w:szCs w:val="18"/>
        </w:rPr>
        <w:t>Instrukcja nr 240 ITB. Instrukcja zabezpieczenia przed korozją konstrukcji betonowych i żelbetowych. Instytut Techniki Budowlanej, Warszawa 1982 r.</w:t>
      </w:r>
    </w:p>
    <w:p w14:paraId="1F2CBB1B" w14:textId="77777777" w:rsidR="00C9677E" w:rsidRPr="00C86F6B" w:rsidRDefault="00C9677E" w:rsidP="00262498">
      <w:pPr>
        <w:numPr>
          <w:ilvl w:val="0"/>
          <w:numId w:val="177"/>
        </w:numPr>
        <w:ind w:left="397" w:hanging="284"/>
        <w:rPr>
          <w:rFonts w:asciiTheme="minorHAnsi" w:hAnsiTheme="minorHAnsi" w:cstheme="minorHAnsi"/>
          <w:sz w:val="18"/>
          <w:szCs w:val="18"/>
        </w:rPr>
      </w:pPr>
      <w:r w:rsidRPr="00C86F6B">
        <w:rPr>
          <w:rFonts w:asciiTheme="minorHAnsi" w:hAnsiTheme="minorHAnsi" w:cstheme="minorHAnsi"/>
          <w:sz w:val="18"/>
          <w:szCs w:val="18"/>
        </w:rPr>
        <w:t>Instrukcja nr 259 ITB. Wymagania dla biur projektowych w sprawie zabezpieczenia przed korozją projektowanych budowli. Instytut techniki Budowlanej, Warszawa        1984 r.</w:t>
      </w:r>
    </w:p>
    <w:p w14:paraId="1212CAE9" w14:textId="77777777" w:rsidR="00C9677E" w:rsidRPr="00C86F6B" w:rsidRDefault="00C9677E" w:rsidP="00262498">
      <w:pPr>
        <w:numPr>
          <w:ilvl w:val="0"/>
          <w:numId w:val="177"/>
        </w:numPr>
        <w:ind w:left="397" w:hanging="284"/>
        <w:rPr>
          <w:rFonts w:asciiTheme="minorHAnsi" w:hAnsiTheme="minorHAnsi" w:cstheme="minorHAnsi"/>
          <w:sz w:val="18"/>
          <w:szCs w:val="18"/>
        </w:rPr>
      </w:pPr>
      <w:r w:rsidRPr="00C86F6B">
        <w:rPr>
          <w:rFonts w:asciiTheme="minorHAnsi" w:hAnsiTheme="minorHAnsi" w:cstheme="minorHAnsi"/>
          <w:sz w:val="18"/>
          <w:szCs w:val="18"/>
        </w:rPr>
        <w:t>Katalog budownictwa</w:t>
      </w:r>
    </w:p>
    <w:tbl>
      <w:tblPr>
        <w:tblW w:w="0" w:type="auto"/>
        <w:tblInd w:w="354" w:type="dxa"/>
        <w:tblLayout w:type="fixed"/>
        <w:tblCellMar>
          <w:left w:w="70" w:type="dxa"/>
          <w:right w:w="70" w:type="dxa"/>
        </w:tblCellMar>
        <w:tblLook w:val="0000" w:firstRow="0" w:lastRow="0" w:firstColumn="0" w:lastColumn="0" w:noHBand="0" w:noVBand="0"/>
      </w:tblPr>
      <w:tblGrid>
        <w:gridCol w:w="1701"/>
        <w:gridCol w:w="5455"/>
      </w:tblGrid>
      <w:tr w:rsidR="00C9677E" w:rsidRPr="00C86F6B" w14:paraId="46BE588F" w14:textId="77777777" w:rsidTr="00AD0C50">
        <w:tc>
          <w:tcPr>
            <w:tcW w:w="1701" w:type="dxa"/>
          </w:tcPr>
          <w:p w14:paraId="75FF06C9" w14:textId="77777777" w:rsidR="00C9677E" w:rsidRPr="00C86F6B" w:rsidRDefault="00C9677E" w:rsidP="00AD0C50">
            <w:pPr>
              <w:rPr>
                <w:rFonts w:asciiTheme="minorHAnsi" w:hAnsiTheme="minorHAnsi" w:cstheme="minorHAnsi"/>
                <w:sz w:val="18"/>
                <w:szCs w:val="18"/>
              </w:rPr>
            </w:pPr>
            <w:r w:rsidRPr="00C86F6B">
              <w:rPr>
                <w:rFonts w:asciiTheme="minorHAnsi" w:hAnsiTheme="minorHAnsi" w:cstheme="minorHAnsi"/>
                <w:sz w:val="18"/>
                <w:szCs w:val="18"/>
              </w:rPr>
              <w:t xml:space="preserve"> KB 4 - 4.11.6 (1)</w:t>
            </w:r>
          </w:p>
        </w:tc>
        <w:tc>
          <w:tcPr>
            <w:tcW w:w="5455" w:type="dxa"/>
          </w:tcPr>
          <w:p w14:paraId="53B44B6C" w14:textId="77777777" w:rsidR="00C9677E" w:rsidRPr="00C86F6B" w:rsidRDefault="00C9677E" w:rsidP="00AD0C50">
            <w:pPr>
              <w:rPr>
                <w:rFonts w:asciiTheme="minorHAnsi" w:hAnsiTheme="minorHAnsi" w:cstheme="minorHAnsi"/>
                <w:sz w:val="18"/>
                <w:szCs w:val="18"/>
              </w:rPr>
            </w:pPr>
            <w:r w:rsidRPr="00C86F6B">
              <w:rPr>
                <w:rFonts w:asciiTheme="minorHAnsi" w:hAnsiTheme="minorHAnsi" w:cstheme="minorHAnsi"/>
                <w:sz w:val="18"/>
                <w:szCs w:val="18"/>
              </w:rPr>
              <w:t>przejścia rurociągami wodociągowymi pod przeszkodami - typ       P1 do P6 (marzec 1979 r.)</w:t>
            </w:r>
          </w:p>
        </w:tc>
      </w:tr>
      <w:tr w:rsidR="00C9677E" w:rsidRPr="00C86F6B" w14:paraId="01716896" w14:textId="77777777" w:rsidTr="00AD0C50">
        <w:tc>
          <w:tcPr>
            <w:tcW w:w="1701" w:type="dxa"/>
          </w:tcPr>
          <w:p w14:paraId="0F583620" w14:textId="77777777" w:rsidR="00C9677E" w:rsidRPr="00C86F6B" w:rsidRDefault="00C9677E" w:rsidP="00AD0C50">
            <w:pPr>
              <w:rPr>
                <w:rFonts w:asciiTheme="minorHAnsi" w:hAnsiTheme="minorHAnsi" w:cstheme="minorHAnsi"/>
                <w:sz w:val="18"/>
                <w:szCs w:val="18"/>
              </w:rPr>
            </w:pPr>
            <w:r w:rsidRPr="00C86F6B">
              <w:rPr>
                <w:rFonts w:asciiTheme="minorHAnsi" w:hAnsiTheme="minorHAnsi" w:cstheme="minorHAnsi"/>
                <w:sz w:val="18"/>
                <w:szCs w:val="18"/>
              </w:rPr>
              <w:t xml:space="preserve"> KB 4 - 4.11.5 (5)</w:t>
            </w:r>
          </w:p>
        </w:tc>
        <w:tc>
          <w:tcPr>
            <w:tcW w:w="5455" w:type="dxa"/>
          </w:tcPr>
          <w:p w14:paraId="46212ABD" w14:textId="77777777" w:rsidR="00C9677E" w:rsidRPr="00C86F6B" w:rsidRDefault="00C9677E" w:rsidP="00AD0C50">
            <w:pPr>
              <w:rPr>
                <w:rFonts w:asciiTheme="minorHAnsi" w:hAnsiTheme="minorHAnsi" w:cstheme="minorHAnsi"/>
                <w:sz w:val="18"/>
                <w:szCs w:val="18"/>
              </w:rPr>
            </w:pPr>
            <w:r w:rsidRPr="00C86F6B">
              <w:rPr>
                <w:rFonts w:asciiTheme="minorHAnsi" w:hAnsiTheme="minorHAnsi" w:cstheme="minorHAnsi"/>
                <w:sz w:val="18"/>
                <w:szCs w:val="18"/>
              </w:rPr>
              <w:t>studzienki wodociągowe dla zasuw (czerwiec 1973 r.)</w:t>
            </w:r>
          </w:p>
        </w:tc>
      </w:tr>
      <w:tr w:rsidR="00C9677E" w:rsidRPr="00C86F6B" w14:paraId="0AABAFA0" w14:textId="77777777" w:rsidTr="00AD0C50">
        <w:tc>
          <w:tcPr>
            <w:tcW w:w="1701" w:type="dxa"/>
          </w:tcPr>
          <w:p w14:paraId="76C5E063" w14:textId="77777777" w:rsidR="00C9677E" w:rsidRPr="00C86F6B" w:rsidRDefault="00C9677E" w:rsidP="00AD0C50">
            <w:pPr>
              <w:rPr>
                <w:rFonts w:asciiTheme="minorHAnsi" w:hAnsiTheme="minorHAnsi" w:cstheme="minorHAnsi"/>
                <w:sz w:val="18"/>
                <w:szCs w:val="18"/>
              </w:rPr>
            </w:pPr>
            <w:r w:rsidRPr="00C86F6B">
              <w:rPr>
                <w:rFonts w:asciiTheme="minorHAnsi" w:hAnsiTheme="minorHAnsi" w:cstheme="minorHAnsi"/>
                <w:sz w:val="18"/>
                <w:szCs w:val="18"/>
              </w:rPr>
              <w:t xml:space="preserve"> KB 8 - 13.7 (1)</w:t>
            </w:r>
          </w:p>
        </w:tc>
        <w:tc>
          <w:tcPr>
            <w:tcW w:w="5455" w:type="dxa"/>
          </w:tcPr>
          <w:p w14:paraId="203E2204" w14:textId="77777777" w:rsidR="00C9677E" w:rsidRPr="00C86F6B" w:rsidRDefault="00C9677E" w:rsidP="00AD0C50">
            <w:pPr>
              <w:rPr>
                <w:rFonts w:asciiTheme="minorHAnsi" w:hAnsiTheme="minorHAnsi" w:cstheme="minorHAnsi"/>
                <w:sz w:val="18"/>
                <w:szCs w:val="18"/>
              </w:rPr>
            </w:pPr>
            <w:r w:rsidRPr="00C86F6B">
              <w:rPr>
                <w:rFonts w:asciiTheme="minorHAnsi" w:hAnsiTheme="minorHAnsi" w:cstheme="minorHAnsi"/>
                <w:sz w:val="18"/>
                <w:szCs w:val="18"/>
              </w:rPr>
              <w:t>przejścia przez ściany budowli rurociągami wodociągowymi              i kanalizacyjnymi (czerwiec 1989r.).</w:t>
            </w:r>
          </w:p>
        </w:tc>
      </w:tr>
    </w:tbl>
    <w:p w14:paraId="777D3B21" w14:textId="77777777" w:rsidR="00C9677E" w:rsidRPr="00A23FB4" w:rsidRDefault="00C9677E" w:rsidP="007E255D">
      <w:pPr>
        <w:pStyle w:val="Standardowytekst"/>
        <w:spacing w:line="360" w:lineRule="auto"/>
        <w:jc w:val="center"/>
        <w:rPr>
          <w:rFonts w:asciiTheme="minorHAnsi" w:hAnsiTheme="minorHAnsi" w:cstheme="minorHAnsi"/>
          <w:b/>
          <w:sz w:val="22"/>
          <w:szCs w:val="22"/>
        </w:rPr>
      </w:pPr>
    </w:p>
    <w:p w14:paraId="1A524F10" w14:textId="77777777" w:rsidR="00C9677E" w:rsidRPr="00A23FB4" w:rsidRDefault="00C9677E">
      <w:pPr>
        <w:overflowPunct/>
        <w:autoSpaceDE/>
        <w:autoSpaceDN/>
        <w:adjustRightInd/>
        <w:jc w:val="left"/>
        <w:textAlignment w:val="auto"/>
        <w:rPr>
          <w:rFonts w:asciiTheme="minorHAnsi" w:hAnsiTheme="minorHAnsi" w:cstheme="minorHAnsi"/>
          <w:b/>
          <w:sz w:val="22"/>
          <w:szCs w:val="22"/>
        </w:rPr>
      </w:pPr>
      <w:r w:rsidRPr="00A23FB4">
        <w:rPr>
          <w:rFonts w:asciiTheme="minorHAnsi" w:hAnsiTheme="minorHAnsi" w:cstheme="minorHAnsi"/>
          <w:b/>
          <w:sz w:val="22"/>
          <w:szCs w:val="22"/>
        </w:rPr>
        <w:br w:type="page"/>
      </w:r>
    </w:p>
    <w:p w14:paraId="62AFC5D8" w14:textId="4370EF2E" w:rsidR="008C656F" w:rsidRPr="00A23FB4" w:rsidRDefault="006707A0" w:rsidP="008C656F">
      <w:pPr>
        <w:spacing w:line="360" w:lineRule="auto"/>
        <w:jc w:val="center"/>
        <w:rPr>
          <w:rFonts w:asciiTheme="minorHAnsi" w:hAnsiTheme="minorHAnsi" w:cstheme="minorHAnsi"/>
          <w:b/>
          <w:smallCaps/>
          <w:sz w:val="22"/>
          <w:szCs w:val="22"/>
        </w:rPr>
      </w:pPr>
      <w:bookmarkStart w:id="101" w:name="_Toc70322535"/>
      <w:r>
        <w:rPr>
          <w:rFonts w:ascii="Calibri" w:hAnsi="Calibri" w:cs="Calibri"/>
          <w:b/>
          <w:sz w:val="22"/>
          <w:szCs w:val="22"/>
        </w:rPr>
        <w:t>SZCZEGÓŁOWE SPECYFIKACJE TECHNICZNE</w:t>
      </w:r>
      <w:r w:rsidR="008C656F" w:rsidRPr="00A23FB4">
        <w:rPr>
          <w:rFonts w:asciiTheme="minorHAnsi" w:hAnsiTheme="minorHAnsi" w:cstheme="minorHAnsi"/>
          <w:b/>
          <w:smallCaps/>
          <w:sz w:val="22"/>
          <w:szCs w:val="22"/>
        </w:rPr>
        <w:t xml:space="preserve"> WYKONANIA I ODBIORU ROBÓT BUDOWLANYCH</w:t>
      </w:r>
    </w:p>
    <w:p w14:paraId="0C45CFAE" w14:textId="77777777" w:rsidR="008C656F" w:rsidRPr="00A23FB4" w:rsidRDefault="008C656F" w:rsidP="008C656F">
      <w:pPr>
        <w:pStyle w:val="Nagwek1"/>
        <w:spacing w:before="0"/>
        <w:rPr>
          <w:rFonts w:asciiTheme="minorHAnsi" w:hAnsiTheme="minorHAnsi" w:cstheme="minorHAnsi"/>
          <w:sz w:val="22"/>
          <w:szCs w:val="22"/>
        </w:rPr>
      </w:pPr>
      <w:bookmarkStart w:id="102" w:name="_Toc206275475"/>
      <w:r w:rsidRPr="00A23FB4">
        <w:rPr>
          <w:rFonts w:asciiTheme="minorHAnsi" w:hAnsiTheme="minorHAnsi" w:cstheme="minorHAnsi"/>
          <w:caps w:val="0"/>
          <w:sz w:val="22"/>
          <w:szCs w:val="22"/>
        </w:rPr>
        <w:t xml:space="preserve">D-01.03.07 </w:t>
      </w:r>
      <w:bookmarkEnd w:id="101"/>
      <w:r w:rsidRPr="00A23FB4">
        <w:rPr>
          <w:rFonts w:asciiTheme="minorHAnsi" w:hAnsiTheme="minorHAnsi" w:cstheme="minorHAnsi"/>
          <w:caps w:val="0"/>
          <w:sz w:val="22"/>
          <w:szCs w:val="22"/>
        </w:rPr>
        <w:t>PRZEBUDOWA KANALIZACJI SANITARNEJ</w:t>
      </w:r>
      <w:bookmarkEnd w:id="102"/>
    </w:p>
    <w:p w14:paraId="6D3D0260" w14:textId="77777777" w:rsidR="008C656F" w:rsidRPr="00A23FB4" w:rsidRDefault="008C656F" w:rsidP="008C656F">
      <w:pPr>
        <w:spacing w:after="240"/>
        <w:rPr>
          <w:rFonts w:asciiTheme="minorHAnsi" w:hAnsiTheme="minorHAnsi" w:cstheme="minorHAnsi"/>
          <w:b/>
        </w:rPr>
      </w:pPr>
      <w:bookmarkStart w:id="103" w:name="_Toc466459507"/>
      <w:r w:rsidRPr="00A23FB4">
        <w:rPr>
          <w:rFonts w:asciiTheme="minorHAnsi" w:hAnsiTheme="minorHAnsi" w:cstheme="minorHAnsi"/>
          <w:b/>
        </w:rPr>
        <w:t xml:space="preserve">1. </w:t>
      </w:r>
      <w:bookmarkEnd w:id="103"/>
      <w:r w:rsidRPr="00A23FB4">
        <w:rPr>
          <w:rFonts w:asciiTheme="minorHAnsi" w:hAnsiTheme="minorHAnsi" w:cstheme="minorHAnsi"/>
          <w:b/>
        </w:rPr>
        <w:t>WSTĘP</w:t>
      </w:r>
    </w:p>
    <w:p w14:paraId="5891179B" w14:textId="68AAA9BC" w:rsidR="008C656F" w:rsidRPr="00A23FB4" w:rsidRDefault="008C656F" w:rsidP="008C656F">
      <w:pPr>
        <w:spacing w:after="240"/>
        <w:rPr>
          <w:rFonts w:asciiTheme="minorHAnsi" w:hAnsiTheme="minorHAnsi" w:cstheme="minorHAnsi"/>
          <w:b/>
        </w:rPr>
      </w:pPr>
      <w:r w:rsidRPr="00A23FB4">
        <w:rPr>
          <w:rFonts w:asciiTheme="minorHAnsi" w:hAnsiTheme="minorHAnsi" w:cstheme="minorHAnsi"/>
          <w:b/>
        </w:rPr>
        <w:t xml:space="preserve">1.1.Przedmiot </w:t>
      </w:r>
      <w:r w:rsidR="00CA1B27">
        <w:rPr>
          <w:rFonts w:asciiTheme="minorHAnsi" w:hAnsiTheme="minorHAnsi" w:cstheme="minorHAnsi"/>
          <w:b/>
        </w:rPr>
        <w:t>ST</w:t>
      </w:r>
      <w:r w:rsidRPr="00A23FB4">
        <w:rPr>
          <w:rFonts w:asciiTheme="minorHAnsi" w:hAnsiTheme="minorHAnsi" w:cstheme="minorHAnsi"/>
          <w:b/>
        </w:rPr>
        <w:t>WiORB</w:t>
      </w:r>
    </w:p>
    <w:p w14:paraId="51438387" w14:textId="11818648" w:rsidR="008C656F" w:rsidRPr="00A23FB4" w:rsidRDefault="008C656F" w:rsidP="008C656F">
      <w:pPr>
        <w:rPr>
          <w:rFonts w:asciiTheme="minorHAnsi" w:hAnsiTheme="minorHAnsi" w:cstheme="minorHAnsi"/>
        </w:rPr>
      </w:pPr>
      <w:r w:rsidRPr="00A23FB4">
        <w:rPr>
          <w:rFonts w:asciiTheme="minorHAnsi" w:hAnsiTheme="minorHAnsi" w:cstheme="minorHAnsi"/>
        </w:rPr>
        <w:t>Przedmiotem niniejsz</w:t>
      </w:r>
      <w:r w:rsidR="008B531E">
        <w:rPr>
          <w:rFonts w:asciiTheme="minorHAnsi" w:hAnsiTheme="minorHAnsi" w:cstheme="minorHAnsi"/>
        </w:rPr>
        <w:t>ej specyfikacji technicznej wykonania i odbioru robót budowlanych</w:t>
      </w:r>
      <w:r w:rsidRPr="00A23FB4">
        <w:rPr>
          <w:rFonts w:asciiTheme="minorHAnsi" w:hAnsiTheme="minorHAnsi" w:cstheme="minorHAnsi"/>
        </w:rPr>
        <w:t xml:space="preserve"> </w:t>
      </w:r>
      <w:r w:rsidR="00CA1B27">
        <w:rPr>
          <w:rFonts w:asciiTheme="minorHAnsi" w:hAnsiTheme="minorHAnsi" w:cstheme="minorHAnsi"/>
        </w:rPr>
        <w:t>ST</w:t>
      </w:r>
      <w:r w:rsidRPr="00A23FB4">
        <w:rPr>
          <w:rFonts w:asciiTheme="minorHAnsi" w:hAnsiTheme="minorHAnsi" w:cstheme="minorHAnsi"/>
        </w:rPr>
        <w:t>WiORB są wymagania dotyczące wykonania i odbioru kanalizacji sanitarnej – grawitacyjnej</w:t>
      </w:r>
      <w:r w:rsidR="008B531E">
        <w:rPr>
          <w:rFonts w:asciiTheme="minorHAnsi" w:hAnsiTheme="minorHAnsi" w:cstheme="minorHAnsi"/>
        </w:rPr>
        <w:t xml:space="preserve"> przy przebudowie dróg</w:t>
      </w:r>
      <w:r w:rsidRPr="00A23FB4">
        <w:rPr>
          <w:rFonts w:asciiTheme="minorHAnsi" w:hAnsiTheme="minorHAnsi" w:cstheme="minorHAnsi"/>
        </w:rPr>
        <w:t>.</w:t>
      </w:r>
    </w:p>
    <w:p w14:paraId="2619B34D" w14:textId="569B3588" w:rsidR="008C656F" w:rsidRPr="00A23FB4" w:rsidRDefault="008C656F" w:rsidP="008C656F">
      <w:pPr>
        <w:spacing w:before="240" w:after="240"/>
        <w:rPr>
          <w:rFonts w:asciiTheme="minorHAnsi" w:hAnsiTheme="minorHAnsi" w:cstheme="minorHAnsi"/>
          <w:b/>
        </w:rPr>
      </w:pPr>
      <w:r w:rsidRPr="00A23FB4">
        <w:rPr>
          <w:rFonts w:asciiTheme="minorHAnsi" w:hAnsiTheme="minorHAnsi" w:cstheme="minorHAnsi"/>
          <w:b/>
        </w:rPr>
        <w:t xml:space="preserve">1.2. Zakres stosowania </w:t>
      </w:r>
      <w:r w:rsidR="00CA1B27">
        <w:rPr>
          <w:rFonts w:asciiTheme="minorHAnsi" w:hAnsiTheme="minorHAnsi" w:cstheme="minorHAnsi"/>
          <w:b/>
        </w:rPr>
        <w:t>ST</w:t>
      </w:r>
      <w:r w:rsidRPr="00A23FB4">
        <w:rPr>
          <w:rFonts w:asciiTheme="minorHAnsi" w:hAnsiTheme="minorHAnsi" w:cstheme="minorHAnsi"/>
          <w:b/>
        </w:rPr>
        <w:t>WiORB</w:t>
      </w:r>
    </w:p>
    <w:p w14:paraId="17B9ED26" w14:textId="2CF069A5" w:rsidR="00506838" w:rsidRDefault="00575C66" w:rsidP="00506838">
      <w:pPr>
        <w:overflowPunct/>
        <w:spacing w:before="240" w:line="276" w:lineRule="auto"/>
        <w:textAlignment w:val="auto"/>
        <w:rPr>
          <w:rFonts w:ascii="Calibri" w:hAnsi="Calibri" w:cs="Calibri"/>
        </w:rPr>
      </w:pPr>
      <w:bookmarkStart w:id="104" w:name="_heading=h.zu0gcz" w:colFirst="0" w:colLast="0"/>
      <w:bookmarkEnd w:id="104"/>
      <w:r>
        <w:rPr>
          <w:rFonts w:ascii="Calibri" w:hAnsi="Calibri" w:cs="Calibri"/>
        </w:rPr>
        <w:t>Specyfikacj</w:t>
      </w:r>
      <w:r w:rsidR="008B531E">
        <w:rPr>
          <w:rFonts w:ascii="Calibri" w:hAnsi="Calibri" w:cs="Calibri"/>
        </w:rPr>
        <w:t>a</w:t>
      </w:r>
      <w:r w:rsidRPr="00A23FB4">
        <w:rPr>
          <w:rFonts w:asciiTheme="minorHAnsi" w:hAnsiTheme="minorHAnsi" w:cs="Calibri"/>
        </w:rPr>
        <w:t xml:space="preserve"> </w:t>
      </w:r>
      <w:r w:rsidR="008C656F" w:rsidRPr="00A23FB4">
        <w:rPr>
          <w:rFonts w:asciiTheme="minorHAnsi" w:hAnsiTheme="minorHAnsi" w:cs="Calibri"/>
        </w:rPr>
        <w:t>stanowi dokument</w:t>
      </w:r>
      <w:r w:rsidR="006707A0">
        <w:rPr>
          <w:rFonts w:asciiTheme="minorHAnsi" w:hAnsiTheme="minorHAnsi" w:cs="Calibri"/>
        </w:rPr>
        <w:t xml:space="preserve"> </w:t>
      </w:r>
      <w:r w:rsidR="008C656F" w:rsidRPr="00A23FB4">
        <w:rPr>
          <w:rFonts w:asciiTheme="minorHAnsi" w:hAnsiTheme="minorHAnsi" w:cs="Calibri"/>
        </w:rPr>
        <w:t xml:space="preserve">kontraktowy przy realizacji  </w:t>
      </w:r>
      <w:r w:rsidR="00506838">
        <w:rPr>
          <w:rFonts w:ascii="Calibri" w:hAnsi="Calibri" w:cs="Calibri"/>
        </w:rPr>
        <w:t>„</w:t>
      </w:r>
      <w:r w:rsidR="00CA1B27" w:rsidRPr="00CA1B27">
        <w:rPr>
          <w:rFonts w:ascii="Calibri" w:hAnsi="Calibri" w:cs="Calibri"/>
        </w:rPr>
        <w:t>Rozbudowa ul. Wrocławskiej w ciągu drogi powiatowej w Tyńcu Małym wraz z rozbudową istniejącego skrzyżowania typu rondo na połączeniu dróg krajowych nr 35 i 35a oraz łącznika węzła Kobierzyce drogi S8e oraz infrastrukturą towarzyszącą w ramach zadania „</w:t>
      </w:r>
      <w:r w:rsidR="00575F3F" w:rsidRPr="00575F3F">
        <w:rPr>
          <w:rFonts w:ascii="Calibri" w:hAnsi="Calibri" w:cs="Calibri"/>
        </w:rPr>
        <w:t>Rozbudowa ul. Wrocławskiej w ciągu drogi powiatowej w Tyńcu Małym wraz z rozbudową istniejącego skrzyżowania typu rondo na połączeniu dróg krajowych nr 35 i 35a oraz łącznika węzła Kobierzyce drogi S8e oraz infrastrukturą towarzyszącą w ramach zadania „Rozbudowa skrzyżowania typu rondo w ciągu DK35 koło m. Tyniec Mały usprawniająca skomunikowanie obszarów Podstrefy Wrocław – Kobierzyce TSSE EURO PARK WISŁOSAN”</w:t>
      </w:r>
    </w:p>
    <w:p w14:paraId="430061F8" w14:textId="52CB8A91" w:rsidR="008C656F" w:rsidRPr="00A23FB4" w:rsidRDefault="008C656F" w:rsidP="008C656F">
      <w:pPr>
        <w:rPr>
          <w:rFonts w:asciiTheme="minorHAnsi" w:hAnsiTheme="minorHAnsi" w:cs="Calibri"/>
        </w:rPr>
      </w:pPr>
    </w:p>
    <w:p w14:paraId="00BB4E80" w14:textId="5B81C737" w:rsidR="008C656F" w:rsidRPr="00A23FB4" w:rsidRDefault="008C656F" w:rsidP="008C656F">
      <w:pPr>
        <w:spacing w:before="240" w:after="240"/>
        <w:rPr>
          <w:rFonts w:asciiTheme="minorHAnsi" w:hAnsiTheme="minorHAnsi" w:cstheme="minorHAnsi"/>
          <w:b/>
        </w:rPr>
      </w:pPr>
      <w:r w:rsidRPr="00A23FB4">
        <w:rPr>
          <w:rFonts w:asciiTheme="minorHAnsi" w:hAnsiTheme="minorHAnsi" w:cstheme="minorHAnsi"/>
          <w:b/>
        </w:rPr>
        <w:t xml:space="preserve">1.3. Zakres robót objętych </w:t>
      </w:r>
      <w:r w:rsidR="00CA1B27">
        <w:rPr>
          <w:rFonts w:asciiTheme="minorHAnsi" w:hAnsiTheme="minorHAnsi" w:cstheme="minorHAnsi"/>
          <w:b/>
        </w:rPr>
        <w:t>ST</w:t>
      </w:r>
      <w:r w:rsidR="00BD13E6" w:rsidRPr="00A23FB4">
        <w:rPr>
          <w:rFonts w:asciiTheme="minorHAnsi" w:hAnsiTheme="minorHAnsi" w:cstheme="minorHAnsi"/>
          <w:b/>
        </w:rPr>
        <w:t>WiORB</w:t>
      </w:r>
    </w:p>
    <w:p w14:paraId="2CBF2B17" w14:textId="160AE218" w:rsidR="008C656F" w:rsidRPr="00A23FB4" w:rsidRDefault="008C656F" w:rsidP="008C656F">
      <w:pPr>
        <w:pStyle w:val="Normalny2"/>
        <w:pBdr>
          <w:top w:val="nil"/>
          <w:left w:val="nil"/>
          <w:bottom w:val="nil"/>
          <w:right w:val="nil"/>
          <w:between w:val="nil"/>
        </w:pBdr>
        <w:jc w:val="both"/>
      </w:pPr>
      <w:r w:rsidRPr="00A23FB4">
        <w:t xml:space="preserve">Ustalenia zawarte w niniejszych </w:t>
      </w:r>
      <w:r w:rsidR="00CA1B27">
        <w:t>ST</w:t>
      </w:r>
      <w:r w:rsidRPr="00A23FB4">
        <w:t>WiORB dotyczą zasad prowadzenia robót związanych z wykonaniem kanalizacji sanitarnej obejmują w szczególności:</w:t>
      </w:r>
    </w:p>
    <w:p w14:paraId="266DB9B5" w14:textId="77777777" w:rsidR="009F3E17" w:rsidRDefault="00BD13E6" w:rsidP="00262498">
      <w:pPr>
        <w:pStyle w:val="Normalny2"/>
        <w:widowControl w:val="0"/>
        <w:numPr>
          <w:ilvl w:val="0"/>
          <w:numId w:val="307"/>
        </w:numPr>
        <w:pBdr>
          <w:top w:val="nil"/>
          <w:left w:val="nil"/>
          <w:bottom w:val="nil"/>
          <w:right w:val="nil"/>
          <w:between w:val="nil"/>
        </w:pBdr>
      </w:pPr>
      <w:r w:rsidRPr="00A23FB4">
        <w:t>prze</w:t>
      </w:r>
      <w:r w:rsidR="008C656F" w:rsidRPr="00A23FB4">
        <w:t xml:space="preserve">budowę </w:t>
      </w:r>
      <w:r w:rsidRPr="00A23FB4">
        <w:t>sieci</w:t>
      </w:r>
      <w:r w:rsidR="008C656F" w:rsidRPr="00A23FB4">
        <w:t xml:space="preserve"> kanalizacji sanitarnej grawitacyjnej </w:t>
      </w:r>
    </w:p>
    <w:p w14:paraId="673395BF" w14:textId="77777777" w:rsidR="009F3E17" w:rsidRDefault="008C656F" w:rsidP="00262498">
      <w:pPr>
        <w:pStyle w:val="Normalny2"/>
        <w:widowControl w:val="0"/>
        <w:numPr>
          <w:ilvl w:val="0"/>
          <w:numId w:val="307"/>
        </w:numPr>
        <w:pBdr>
          <w:top w:val="nil"/>
          <w:left w:val="nil"/>
          <w:bottom w:val="nil"/>
          <w:right w:val="nil"/>
          <w:between w:val="nil"/>
        </w:pBdr>
      </w:pPr>
      <w:r w:rsidRPr="00A23FB4">
        <w:t xml:space="preserve">montaż armatury i wyposażenia studni </w:t>
      </w:r>
    </w:p>
    <w:p w14:paraId="7D92B9F2" w14:textId="77777777" w:rsidR="009F3E17" w:rsidRDefault="008C656F" w:rsidP="00262498">
      <w:pPr>
        <w:pStyle w:val="Normalny2"/>
        <w:widowControl w:val="0"/>
        <w:numPr>
          <w:ilvl w:val="0"/>
          <w:numId w:val="307"/>
        </w:numPr>
        <w:pBdr>
          <w:top w:val="nil"/>
          <w:left w:val="nil"/>
          <w:bottom w:val="nil"/>
          <w:right w:val="nil"/>
          <w:between w:val="nil"/>
        </w:pBdr>
      </w:pPr>
      <w:r w:rsidRPr="00A23FB4">
        <w:t>odwodnienie wykopów na czas robót</w:t>
      </w:r>
    </w:p>
    <w:p w14:paraId="18149730" w14:textId="77777777" w:rsidR="009F3E17" w:rsidRDefault="008C656F" w:rsidP="00262498">
      <w:pPr>
        <w:pStyle w:val="Normalny2"/>
        <w:widowControl w:val="0"/>
        <w:numPr>
          <w:ilvl w:val="0"/>
          <w:numId w:val="307"/>
        </w:numPr>
        <w:pBdr>
          <w:top w:val="nil"/>
          <w:left w:val="nil"/>
          <w:bottom w:val="nil"/>
          <w:right w:val="nil"/>
          <w:between w:val="nil"/>
        </w:pBdr>
      </w:pPr>
      <w:r w:rsidRPr="00A23FB4">
        <w:t>wykonanie prób szczelności</w:t>
      </w:r>
      <w:bookmarkStart w:id="105" w:name="_heading=h.3jtnz0s" w:colFirst="0" w:colLast="0"/>
      <w:bookmarkEnd w:id="105"/>
    </w:p>
    <w:p w14:paraId="0A1AB79E" w14:textId="10B55899" w:rsidR="008C656F" w:rsidRPr="00A23FB4" w:rsidRDefault="008C656F" w:rsidP="00262498">
      <w:pPr>
        <w:pStyle w:val="Normalny2"/>
        <w:widowControl w:val="0"/>
        <w:numPr>
          <w:ilvl w:val="0"/>
          <w:numId w:val="307"/>
        </w:numPr>
        <w:pBdr>
          <w:top w:val="nil"/>
          <w:left w:val="nil"/>
          <w:bottom w:val="nil"/>
          <w:right w:val="nil"/>
          <w:between w:val="nil"/>
        </w:pBdr>
      </w:pPr>
      <w:r w:rsidRPr="00A23FB4">
        <w:t>roboty tymczasowe i towarzyszące.</w:t>
      </w:r>
    </w:p>
    <w:p w14:paraId="3E02D056" w14:textId="77777777" w:rsidR="008C656F" w:rsidRPr="00A23FB4" w:rsidRDefault="008C656F" w:rsidP="008C656F">
      <w:pPr>
        <w:spacing w:before="240" w:after="240"/>
        <w:rPr>
          <w:rFonts w:asciiTheme="minorHAnsi" w:hAnsiTheme="minorHAnsi" w:cstheme="minorHAnsi"/>
          <w:b/>
        </w:rPr>
      </w:pPr>
      <w:r w:rsidRPr="00A23FB4">
        <w:rPr>
          <w:rFonts w:asciiTheme="minorHAnsi" w:hAnsiTheme="minorHAnsi" w:cstheme="minorHAnsi"/>
          <w:b/>
        </w:rPr>
        <w:t>1.4. Określenia podstawowe</w:t>
      </w:r>
    </w:p>
    <w:p w14:paraId="0CFF45F7" w14:textId="77777777" w:rsidR="008C656F" w:rsidRPr="00A23FB4" w:rsidRDefault="008C656F" w:rsidP="008C656F">
      <w:pPr>
        <w:pStyle w:val="Normalny2"/>
        <w:pBdr>
          <w:top w:val="nil"/>
          <w:left w:val="nil"/>
          <w:bottom w:val="nil"/>
          <w:right w:val="nil"/>
          <w:between w:val="nil"/>
        </w:pBdr>
        <w:ind w:left="851" w:hanging="851"/>
        <w:jc w:val="both"/>
      </w:pPr>
      <w:r w:rsidRPr="00A23FB4">
        <w:t>1.4.1.</w:t>
      </w:r>
      <w:r w:rsidRPr="00A23FB4">
        <w:tab/>
        <w:t>Kanalizacja grawitacyjna - system kanalizacyjny, w którym przepływ ścieków następuje dzięki sile ciężkości</w:t>
      </w:r>
    </w:p>
    <w:p w14:paraId="382BDC96" w14:textId="77777777" w:rsidR="008C656F" w:rsidRPr="00A23FB4" w:rsidRDefault="008C656F" w:rsidP="008C656F">
      <w:pPr>
        <w:pStyle w:val="Normalny2"/>
        <w:pBdr>
          <w:top w:val="nil"/>
          <w:left w:val="nil"/>
          <w:bottom w:val="nil"/>
          <w:right w:val="nil"/>
          <w:between w:val="nil"/>
        </w:pBdr>
        <w:ind w:left="851" w:hanging="851"/>
        <w:jc w:val="both"/>
      </w:pPr>
      <w:r w:rsidRPr="00A23FB4">
        <w:t>1.4.2.</w:t>
      </w:r>
      <w:r w:rsidRPr="00A23FB4">
        <w:tab/>
        <w:t>Kanalizacja sanitarna – sieć kanalizacyjna zewnętrzna przeznaczona do odprowadzania ścieków bytowo-gospodarczych i przemysłowych.</w:t>
      </w:r>
    </w:p>
    <w:p w14:paraId="05BA47C1" w14:textId="77777777" w:rsidR="008C656F" w:rsidRPr="00A23FB4" w:rsidRDefault="008C656F" w:rsidP="008C656F">
      <w:pPr>
        <w:pStyle w:val="Normalny2"/>
        <w:pBdr>
          <w:top w:val="nil"/>
          <w:left w:val="nil"/>
          <w:bottom w:val="nil"/>
          <w:right w:val="nil"/>
          <w:between w:val="nil"/>
        </w:pBdr>
        <w:ind w:left="851" w:hanging="851"/>
        <w:jc w:val="both"/>
      </w:pPr>
      <w:r w:rsidRPr="00A23FB4">
        <w:t>1.4.3.</w:t>
      </w:r>
      <w:r w:rsidRPr="00A23FB4">
        <w:tab/>
        <w:t>Kanał - liniowa budowla przeznaczona do grawitacyjnego odprowadzania ścieków.</w:t>
      </w:r>
    </w:p>
    <w:p w14:paraId="565F61BF" w14:textId="77777777" w:rsidR="008C656F" w:rsidRPr="00A23FB4" w:rsidRDefault="008C656F" w:rsidP="008C656F">
      <w:pPr>
        <w:pStyle w:val="Normalny2"/>
        <w:pBdr>
          <w:top w:val="nil"/>
          <w:left w:val="nil"/>
          <w:bottom w:val="nil"/>
          <w:right w:val="nil"/>
          <w:between w:val="nil"/>
        </w:pBdr>
        <w:ind w:left="851" w:hanging="851"/>
        <w:jc w:val="both"/>
      </w:pPr>
      <w:r w:rsidRPr="00A23FB4">
        <w:t>1.4.4.</w:t>
      </w:r>
      <w:r w:rsidRPr="00A23FB4">
        <w:tab/>
        <w:t>Kolektor główny - kanał przeznaczony do zbierania ścieków z kanałów bocznych i odprowadzenia ich do odbiornika.</w:t>
      </w:r>
    </w:p>
    <w:p w14:paraId="2435C3CA" w14:textId="77777777" w:rsidR="008C656F" w:rsidRPr="00A23FB4" w:rsidRDefault="008C656F" w:rsidP="008C656F">
      <w:pPr>
        <w:pStyle w:val="Normalny2"/>
        <w:pBdr>
          <w:top w:val="nil"/>
          <w:left w:val="nil"/>
          <w:bottom w:val="nil"/>
          <w:right w:val="nil"/>
          <w:between w:val="nil"/>
        </w:pBdr>
        <w:ind w:left="851" w:hanging="851"/>
        <w:jc w:val="both"/>
      </w:pPr>
      <w:r w:rsidRPr="00A23FB4">
        <w:t>1.4.5.</w:t>
      </w:r>
      <w:r w:rsidRPr="00A23FB4">
        <w:tab/>
        <w:t>Kanał sanitarny – kanał przeznaczony do odprowadzania ścieków bytowo-gospodarczych.</w:t>
      </w:r>
    </w:p>
    <w:p w14:paraId="3DA4E956" w14:textId="77777777" w:rsidR="008C656F" w:rsidRPr="00A23FB4" w:rsidRDefault="008C656F" w:rsidP="008C656F">
      <w:pPr>
        <w:pStyle w:val="Normalny2"/>
        <w:pBdr>
          <w:top w:val="nil"/>
          <w:left w:val="nil"/>
          <w:bottom w:val="nil"/>
          <w:right w:val="nil"/>
          <w:between w:val="nil"/>
        </w:pBdr>
        <w:ind w:left="851" w:hanging="851"/>
        <w:jc w:val="both"/>
      </w:pPr>
      <w:r w:rsidRPr="00A23FB4">
        <w:t>1.4.6.</w:t>
      </w:r>
      <w:r w:rsidRPr="00A23FB4">
        <w:tab/>
        <w:t>Rurociąg tłoczny – kanał sanitarny zewnętrzny przeznaczony dla prowadzenia ścieków sanitarnych do oczyszczalni względnie do kanalizacji grawitacyjnej.</w:t>
      </w:r>
    </w:p>
    <w:p w14:paraId="7A98509F" w14:textId="77777777" w:rsidR="008C656F" w:rsidRPr="00A23FB4" w:rsidRDefault="008C656F" w:rsidP="008C656F">
      <w:pPr>
        <w:pStyle w:val="Normalny2"/>
        <w:pBdr>
          <w:top w:val="nil"/>
          <w:left w:val="nil"/>
          <w:bottom w:val="nil"/>
          <w:right w:val="nil"/>
          <w:between w:val="nil"/>
        </w:pBdr>
        <w:ind w:left="851" w:hanging="851"/>
        <w:jc w:val="both"/>
      </w:pPr>
      <w:r w:rsidRPr="00A23FB4">
        <w:t>1.4.7.</w:t>
      </w:r>
      <w:r w:rsidRPr="00A23FB4">
        <w:tab/>
        <w:t>Kanał nieprzełazowy - kanał zamknięty o wysokości wewnętrznej mniejszej niż 1,0 m.</w:t>
      </w:r>
    </w:p>
    <w:p w14:paraId="4059CF6F" w14:textId="77777777" w:rsidR="008C656F" w:rsidRPr="00A23FB4" w:rsidRDefault="008C656F" w:rsidP="008C656F">
      <w:pPr>
        <w:pStyle w:val="Normalny2"/>
        <w:pBdr>
          <w:top w:val="nil"/>
          <w:left w:val="nil"/>
          <w:bottom w:val="nil"/>
          <w:right w:val="nil"/>
          <w:between w:val="nil"/>
        </w:pBdr>
        <w:ind w:left="851" w:hanging="851"/>
        <w:jc w:val="both"/>
      </w:pPr>
      <w:r w:rsidRPr="00A23FB4">
        <w:t>1.4.8.</w:t>
      </w:r>
      <w:r w:rsidRPr="00A23FB4">
        <w:tab/>
        <w:t>Kanał przełazowy - kanał zamknięty o wysokości wewnętrznej równej lub większej niż 1,0 m.</w:t>
      </w:r>
    </w:p>
    <w:p w14:paraId="5077AFE9" w14:textId="77777777" w:rsidR="008C656F" w:rsidRPr="00A23FB4" w:rsidRDefault="008C656F" w:rsidP="008C656F">
      <w:pPr>
        <w:pStyle w:val="Normalny2"/>
        <w:pBdr>
          <w:top w:val="nil"/>
          <w:left w:val="nil"/>
          <w:bottom w:val="nil"/>
          <w:right w:val="nil"/>
          <w:between w:val="nil"/>
        </w:pBdr>
        <w:ind w:left="851" w:hanging="851"/>
        <w:jc w:val="both"/>
      </w:pPr>
      <w:r w:rsidRPr="00A23FB4">
        <w:t>1.4.9.</w:t>
      </w:r>
      <w:r w:rsidRPr="00A23FB4">
        <w:tab/>
        <w:t>Przyłącze kanalizacyjne – odcinek przewodu łączącego wewnętrzną instalację kanalizacyjną w nieruchomości odbiorcy usług z siecią kanalizacyjną, za pierwszą studzienką, licząc od strony budynku, a w przypadku jej braku do granicy nieruchomości gruntowej.</w:t>
      </w:r>
    </w:p>
    <w:p w14:paraId="1AA46EA4" w14:textId="77777777" w:rsidR="008C656F" w:rsidRPr="00A23FB4" w:rsidRDefault="008C656F" w:rsidP="008C656F">
      <w:pPr>
        <w:pStyle w:val="Normalny2"/>
        <w:pBdr>
          <w:top w:val="nil"/>
          <w:left w:val="nil"/>
          <w:bottom w:val="nil"/>
          <w:right w:val="nil"/>
          <w:between w:val="nil"/>
        </w:pBdr>
        <w:ind w:left="851" w:hanging="851"/>
        <w:jc w:val="both"/>
      </w:pPr>
      <w:r w:rsidRPr="00A23FB4">
        <w:t>1.4.10.</w:t>
      </w:r>
      <w:r w:rsidRPr="00A23FB4">
        <w:tab/>
        <w:t>Urządzenia kanalizacyjne - sieci kanalizacyjne, wyloty urządzeń kanalizacyjnych służących do wprowadzania ścieków do wód lub do ziemi oraz urządzenia podczyszczające i oczyszczające ścieki oraz przepompownie ścieków.</w:t>
      </w:r>
    </w:p>
    <w:p w14:paraId="313539C2" w14:textId="77777777" w:rsidR="008C656F" w:rsidRPr="00A23FB4" w:rsidRDefault="008C656F" w:rsidP="008C656F">
      <w:pPr>
        <w:pStyle w:val="Normalny2"/>
        <w:pBdr>
          <w:top w:val="nil"/>
          <w:left w:val="nil"/>
          <w:bottom w:val="nil"/>
          <w:right w:val="nil"/>
          <w:between w:val="nil"/>
        </w:pBdr>
        <w:ind w:left="851" w:hanging="851"/>
        <w:jc w:val="both"/>
      </w:pPr>
      <w:r w:rsidRPr="00A23FB4">
        <w:t>1.4.11.</w:t>
      </w:r>
      <w:r w:rsidRPr="00A23FB4">
        <w:tab/>
        <w:t>Pompownia ścieków – obiekt inżynierski wyposażony w zespoły pompowe, instalacje i pomocnicze urządzenia techniczne, przeznaczony do przepompowywania ścieków z poziomu niższego na wyższy.</w:t>
      </w:r>
    </w:p>
    <w:p w14:paraId="61F59972" w14:textId="77777777" w:rsidR="008C656F" w:rsidRPr="00A23FB4" w:rsidRDefault="008C656F" w:rsidP="008C656F">
      <w:pPr>
        <w:pStyle w:val="Normalny2"/>
        <w:pBdr>
          <w:top w:val="nil"/>
          <w:left w:val="nil"/>
          <w:bottom w:val="nil"/>
          <w:right w:val="nil"/>
          <w:between w:val="nil"/>
        </w:pBdr>
        <w:ind w:left="851" w:hanging="851"/>
        <w:jc w:val="both"/>
      </w:pPr>
      <w:r w:rsidRPr="00A23FB4">
        <w:t>1.4.12.</w:t>
      </w:r>
      <w:r w:rsidRPr="00A23FB4">
        <w:tab/>
        <w:t>Studzienka kanalizacyjna - studzienka rewizyjna - na kanale nieprzełazowym przeznaczona do kontroli i prawidłowej eksploatacji kanałów.</w:t>
      </w:r>
    </w:p>
    <w:p w14:paraId="260C9FAE" w14:textId="77777777" w:rsidR="008C656F" w:rsidRPr="00A23FB4" w:rsidRDefault="008C656F" w:rsidP="008C656F">
      <w:pPr>
        <w:pStyle w:val="Normalny2"/>
        <w:pBdr>
          <w:top w:val="nil"/>
          <w:left w:val="nil"/>
          <w:bottom w:val="nil"/>
          <w:right w:val="nil"/>
          <w:between w:val="nil"/>
        </w:pBdr>
        <w:ind w:left="851" w:hanging="851"/>
        <w:jc w:val="both"/>
      </w:pPr>
      <w:r w:rsidRPr="00A23FB4">
        <w:t>1.4.13.</w:t>
      </w:r>
      <w:r w:rsidRPr="00A23FB4">
        <w:tab/>
        <w:t xml:space="preserve">Studzienka przelotowa - studzienka kanalizacyjna zlokalizowana na załamaniach osi kanału w </w:t>
      </w:r>
      <w:r w:rsidRPr="00A23FB4">
        <w:tab/>
        <w:t>planie, na załamaniach spadku kanału oraz na odcinkach prostych.</w:t>
      </w:r>
    </w:p>
    <w:p w14:paraId="4D5693F4" w14:textId="77777777" w:rsidR="008C656F" w:rsidRPr="00A23FB4" w:rsidRDefault="008C656F" w:rsidP="008C656F">
      <w:pPr>
        <w:pStyle w:val="Normalny2"/>
        <w:pBdr>
          <w:top w:val="nil"/>
          <w:left w:val="nil"/>
          <w:bottom w:val="nil"/>
          <w:right w:val="nil"/>
          <w:between w:val="nil"/>
        </w:pBdr>
        <w:ind w:left="851" w:hanging="851"/>
        <w:jc w:val="both"/>
      </w:pPr>
      <w:r w:rsidRPr="00A23FB4">
        <w:t>1.4.14.</w:t>
      </w:r>
      <w:r w:rsidRPr="00A23FB4">
        <w:tab/>
        <w:t>Rura ochronna – rura o średnicy większej od rury przewodowej, służąca do przenoszenia obciążeń zewnętrznych i do zabezpieczenia przewodu przy przejściu pod przeszkodą terenową.</w:t>
      </w:r>
    </w:p>
    <w:p w14:paraId="0D76C4E5" w14:textId="77777777" w:rsidR="008C656F" w:rsidRPr="00A23FB4" w:rsidRDefault="008C656F" w:rsidP="008C656F">
      <w:pPr>
        <w:pStyle w:val="Normalny2"/>
        <w:pBdr>
          <w:top w:val="nil"/>
          <w:left w:val="nil"/>
          <w:bottom w:val="nil"/>
          <w:right w:val="nil"/>
          <w:between w:val="nil"/>
        </w:pBdr>
        <w:ind w:left="851" w:hanging="851"/>
        <w:jc w:val="both"/>
      </w:pPr>
      <w:r w:rsidRPr="00A23FB4">
        <w:t>1.4.15.</w:t>
      </w:r>
      <w:r w:rsidRPr="00A23FB4">
        <w:tab/>
        <w:t>Kształtka – element inny niż rura, umożliwiający odchylenie, zmianę kierunku lub zmianę średnicy przewodu, kształtkami określane są również łączniki kołnierzowe, kielichowe i nasuwkowe.</w:t>
      </w:r>
    </w:p>
    <w:p w14:paraId="206C4316" w14:textId="77777777" w:rsidR="008C656F" w:rsidRPr="00A23FB4" w:rsidRDefault="008C656F" w:rsidP="008C656F">
      <w:pPr>
        <w:pStyle w:val="Normalny2"/>
        <w:pBdr>
          <w:top w:val="nil"/>
          <w:left w:val="nil"/>
          <w:bottom w:val="nil"/>
          <w:right w:val="nil"/>
          <w:between w:val="nil"/>
        </w:pBdr>
        <w:ind w:left="851" w:hanging="851"/>
        <w:jc w:val="both"/>
      </w:pPr>
      <w:r w:rsidRPr="00A23FB4">
        <w:t>1.4.16.</w:t>
      </w:r>
      <w:r w:rsidRPr="00A23FB4">
        <w:tab/>
        <w:t>Prefabrykat (element prefabrykowany) - część konstrukcyjna wykonana w zakładzie przemysłowym, z której po zmontowaniu na budowie, można wykonać konkretny element.</w:t>
      </w:r>
    </w:p>
    <w:p w14:paraId="745657D0" w14:textId="77777777" w:rsidR="008C656F" w:rsidRPr="00A23FB4" w:rsidRDefault="008C656F" w:rsidP="008C656F">
      <w:pPr>
        <w:pStyle w:val="Normalny2"/>
        <w:pBdr>
          <w:top w:val="nil"/>
          <w:left w:val="nil"/>
          <w:bottom w:val="nil"/>
          <w:right w:val="nil"/>
          <w:between w:val="nil"/>
        </w:pBdr>
        <w:ind w:left="851" w:hanging="851"/>
        <w:jc w:val="both"/>
      </w:pPr>
      <w:r w:rsidRPr="00A23FB4">
        <w:t>1.4.17.</w:t>
      </w:r>
      <w:r w:rsidRPr="00A23FB4">
        <w:tab/>
        <w:t>Komora robocza - zasadnicza część studzienki przeznaczona do czynności eksploatacyjnych. Wysokość komory roboczej jest to odległość pomiędzy rzędną dolnej powierzchni płyty lub innego elementu przykrycia studzienki lub komory, a rzędną spocznika.</w:t>
      </w:r>
    </w:p>
    <w:p w14:paraId="2F73C8F0" w14:textId="77777777" w:rsidR="008C656F" w:rsidRPr="00A23FB4" w:rsidRDefault="008C656F" w:rsidP="008C656F">
      <w:pPr>
        <w:pStyle w:val="Normalny2"/>
        <w:pBdr>
          <w:top w:val="nil"/>
          <w:left w:val="nil"/>
          <w:bottom w:val="nil"/>
          <w:right w:val="nil"/>
          <w:between w:val="nil"/>
        </w:pBdr>
        <w:ind w:left="851" w:hanging="851"/>
        <w:jc w:val="both"/>
      </w:pPr>
      <w:r w:rsidRPr="00A23FB4">
        <w:t>1.4.18.</w:t>
      </w:r>
      <w:r w:rsidRPr="00A23FB4">
        <w:tab/>
        <w:t xml:space="preserve">Komin włazowy - szyb połączeniowy komory roboczej z powierzchnią ziemi, przeznaczony do </w:t>
      </w:r>
      <w:r w:rsidRPr="00A23FB4">
        <w:tab/>
        <w:t>zejścia obsługi do komory roboczej.</w:t>
      </w:r>
    </w:p>
    <w:p w14:paraId="07F07B21" w14:textId="77777777" w:rsidR="008C656F" w:rsidRPr="00A23FB4" w:rsidRDefault="008C656F" w:rsidP="008C656F">
      <w:pPr>
        <w:pStyle w:val="Normalny2"/>
        <w:pBdr>
          <w:top w:val="nil"/>
          <w:left w:val="nil"/>
          <w:bottom w:val="nil"/>
          <w:right w:val="nil"/>
          <w:between w:val="nil"/>
        </w:pBdr>
        <w:ind w:left="851" w:hanging="851"/>
        <w:jc w:val="both"/>
      </w:pPr>
      <w:r w:rsidRPr="00A23FB4">
        <w:t>1.4.19.</w:t>
      </w:r>
      <w:r w:rsidRPr="00A23FB4">
        <w:tab/>
        <w:t>Płyta przykrycia studzienki lub komory - płyta przykrywająca komorę roboczą.</w:t>
      </w:r>
    </w:p>
    <w:p w14:paraId="2FB04F98" w14:textId="77777777" w:rsidR="008C656F" w:rsidRPr="00A23FB4" w:rsidRDefault="008C656F" w:rsidP="008C656F">
      <w:pPr>
        <w:pStyle w:val="Normalny2"/>
        <w:pBdr>
          <w:top w:val="nil"/>
          <w:left w:val="nil"/>
          <w:bottom w:val="nil"/>
          <w:right w:val="nil"/>
          <w:between w:val="nil"/>
        </w:pBdr>
        <w:ind w:left="851" w:hanging="851"/>
        <w:jc w:val="both"/>
      </w:pPr>
      <w:r w:rsidRPr="00A23FB4">
        <w:t>1.4.20.</w:t>
      </w:r>
      <w:r w:rsidRPr="00A23FB4">
        <w:tab/>
        <w:t>Właz kanałowy - element żeliwny przeznaczony do przykrycia podziemnych studzienek rewizyjnych lub komór kanalizacyjnych, umożliwiający dostęp do urządzeń kanalizacyjnych.</w:t>
      </w:r>
    </w:p>
    <w:p w14:paraId="19EA5350" w14:textId="77777777" w:rsidR="008C656F" w:rsidRPr="00A23FB4" w:rsidRDefault="008C656F" w:rsidP="008C656F">
      <w:pPr>
        <w:pStyle w:val="Normalny2"/>
        <w:pBdr>
          <w:top w:val="nil"/>
          <w:left w:val="nil"/>
          <w:bottom w:val="nil"/>
          <w:right w:val="nil"/>
          <w:between w:val="nil"/>
        </w:pBdr>
        <w:ind w:left="851" w:hanging="851"/>
        <w:jc w:val="both"/>
      </w:pPr>
      <w:r w:rsidRPr="00A23FB4">
        <w:t>1.4.21.</w:t>
      </w:r>
      <w:r w:rsidRPr="00A23FB4">
        <w:tab/>
        <w:t>Kineta - koryto przepływowe w dnie studzienki kanalizacyjnej.</w:t>
      </w:r>
    </w:p>
    <w:p w14:paraId="4D8AD66A" w14:textId="77777777" w:rsidR="008C656F" w:rsidRPr="00A23FB4" w:rsidRDefault="008C656F" w:rsidP="008C656F">
      <w:pPr>
        <w:pStyle w:val="Normalny2"/>
        <w:pBdr>
          <w:top w:val="nil"/>
          <w:left w:val="nil"/>
          <w:bottom w:val="nil"/>
          <w:right w:val="nil"/>
          <w:between w:val="nil"/>
        </w:pBdr>
        <w:ind w:left="851" w:hanging="851"/>
        <w:jc w:val="both"/>
      </w:pPr>
      <w:r w:rsidRPr="00A23FB4">
        <w:t>1.4.22.</w:t>
      </w:r>
      <w:r w:rsidRPr="00A23FB4">
        <w:tab/>
        <w:t>Spocznik - element dna studzienki lub komory kanalizacyjnej pomiędzy kinetą a ścianą komory roboczej.</w:t>
      </w:r>
    </w:p>
    <w:p w14:paraId="62507CBE" w14:textId="77777777" w:rsidR="008C656F" w:rsidRPr="00A23FB4" w:rsidRDefault="008C656F" w:rsidP="008C656F">
      <w:pPr>
        <w:pStyle w:val="Normalny2"/>
        <w:pBdr>
          <w:top w:val="nil"/>
          <w:left w:val="nil"/>
          <w:bottom w:val="nil"/>
          <w:right w:val="nil"/>
          <w:between w:val="nil"/>
        </w:pBdr>
        <w:ind w:left="851" w:hanging="851"/>
        <w:jc w:val="both"/>
      </w:pPr>
      <w:r w:rsidRPr="00A23FB4">
        <w:t>1.4.23.</w:t>
      </w:r>
      <w:r w:rsidRPr="00A23FB4">
        <w:tab/>
        <w:t>Ciśnienie robocze – ciśnienie wewnętrzne, które występuje w określonym czasie i w określonym punkcie systemu zaopatrzenia w wodę.</w:t>
      </w:r>
    </w:p>
    <w:p w14:paraId="44CE75DE" w14:textId="77777777" w:rsidR="008C656F" w:rsidRPr="00A23FB4" w:rsidRDefault="008C656F" w:rsidP="008C656F">
      <w:pPr>
        <w:pStyle w:val="Normalny2"/>
        <w:pBdr>
          <w:top w:val="nil"/>
          <w:left w:val="nil"/>
          <w:bottom w:val="nil"/>
          <w:right w:val="nil"/>
          <w:between w:val="nil"/>
        </w:pBdr>
        <w:ind w:left="851" w:hanging="851"/>
        <w:jc w:val="both"/>
      </w:pPr>
      <w:r w:rsidRPr="00A23FB4">
        <w:t>1.4.24.</w:t>
      </w:r>
      <w:r w:rsidRPr="00A23FB4">
        <w:tab/>
        <w:t>Ciśnienie próbne – ciśnienie hydrostatyczne, na które badany jest nowo ułożony rurociąg w celu zapewnienia jego spójności i szczelności.</w:t>
      </w:r>
    </w:p>
    <w:p w14:paraId="3F8C8E41" w14:textId="77777777" w:rsidR="008C656F" w:rsidRPr="00A23FB4" w:rsidRDefault="008C656F" w:rsidP="008C656F">
      <w:pPr>
        <w:pStyle w:val="Normalny2"/>
        <w:pBdr>
          <w:top w:val="nil"/>
          <w:left w:val="nil"/>
          <w:bottom w:val="nil"/>
          <w:right w:val="nil"/>
          <w:between w:val="nil"/>
        </w:pBdr>
        <w:ind w:left="851" w:hanging="851"/>
        <w:jc w:val="both"/>
      </w:pPr>
      <w:r w:rsidRPr="00A23FB4">
        <w:t>1.4.25.</w:t>
      </w:r>
      <w:r w:rsidRPr="00A23FB4">
        <w:tab/>
        <w:t>Średnica zewnętrzna (OD) – średnia wartość zewnętrznej średnicy trzonu rury w dowolnym przekroju poprzecznym. W przypadku rur zewnętrznie profilowanych średnica zewnętrzna jest</w:t>
      </w:r>
      <w:r w:rsidRPr="00A23FB4">
        <w:tab/>
        <w:t>maksymalną średnicą widoczną w przekroju poprzecznym.</w:t>
      </w:r>
    </w:p>
    <w:p w14:paraId="0E3A2DD5" w14:textId="77777777" w:rsidR="008C656F" w:rsidRPr="00A23FB4" w:rsidRDefault="008C656F" w:rsidP="008C656F">
      <w:pPr>
        <w:pStyle w:val="Normalny2"/>
        <w:pBdr>
          <w:top w:val="nil"/>
          <w:left w:val="nil"/>
          <w:bottom w:val="nil"/>
          <w:right w:val="nil"/>
          <w:between w:val="nil"/>
        </w:pBdr>
        <w:ind w:left="851" w:hanging="851"/>
        <w:jc w:val="both"/>
      </w:pPr>
      <w:r w:rsidRPr="00A23FB4">
        <w:t>1.4.26.</w:t>
      </w:r>
      <w:r w:rsidRPr="00A23FB4">
        <w:tab/>
        <w:t>Średnica wewnętrzna (ID) – średnia wartość średnicy wewnętrznej trzonu rury w dowolnym przekroju poprzecznym.</w:t>
      </w:r>
    </w:p>
    <w:p w14:paraId="68FCEC2A" w14:textId="77777777" w:rsidR="008C656F" w:rsidRPr="00A23FB4" w:rsidRDefault="008C656F" w:rsidP="008C656F">
      <w:pPr>
        <w:pStyle w:val="Normalny2"/>
        <w:pBdr>
          <w:top w:val="nil"/>
          <w:left w:val="nil"/>
          <w:bottom w:val="nil"/>
          <w:right w:val="nil"/>
          <w:between w:val="nil"/>
        </w:pBdr>
        <w:ind w:left="851" w:hanging="851"/>
        <w:jc w:val="both"/>
      </w:pPr>
      <w:r w:rsidRPr="00A23FB4">
        <w:t>1.4.27.</w:t>
      </w:r>
      <w:r w:rsidRPr="00A23FB4">
        <w:tab/>
        <w:t>Średnica nominalna (DN/ID lub DN/OD) – liczbowe oznaczenie wielkości elementu, które jest</w:t>
      </w:r>
      <w:r w:rsidRPr="00A23FB4">
        <w:tab/>
        <w:t>liczbą całkowitą w przybliżeniu równą wymiarowi rzeczywistemu w milimetrach. Wymiar ten można odnosić albo do średnicy wewnętrznej (DN/ID), albo do średnicy zewnętrznej (DN/OD).</w:t>
      </w:r>
    </w:p>
    <w:p w14:paraId="49FCF268" w14:textId="77777777" w:rsidR="008C656F" w:rsidRPr="00A23FB4" w:rsidRDefault="008C656F" w:rsidP="008C656F">
      <w:pPr>
        <w:pStyle w:val="Normalny2"/>
        <w:pBdr>
          <w:top w:val="nil"/>
          <w:left w:val="nil"/>
          <w:bottom w:val="nil"/>
          <w:right w:val="nil"/>
          <w:between w:val="nil"/>
        </w:pBdr>
        <w:ind w:left="851" w:hanging="851"/>
        <w:jc w:val="both"/>
      </w:pPr>
      <w:r w:rsidRPr="00A23FB4">
        <w:t>1.4.28.</w:t>
      </w:r>
      <w:r w:rsidRPr="00A23FB4">
        <w:tab/>
        <w:t>Ścieki - wody opadowe lub roztopowe, ujęte w otwarte lub zamknięte systemy kanalizacyjne, pochodzące z powierzchni zanieczyszczonych o trwałej nawierzchni, w szczególności z miast, portów, lotnisk, terenów przemysłowych, handlowych, usługowych i składowych, baz</w:t>
      </w:r>
      <w:r w:rsidRPr="00A23FB4">
        <w:tab/>
        <w:t xml:space="preserve"> transportowych oraz dróg i parkingów.</w:t>
      </w:r>
    </w:p>
    <w:p w14:paraId="07EC4FE2" w14:textId="77777777" w:rsidR="008C656F" w:rsidRPr="00A23FB4" w:rsidRDefault="008C656F" w:rsidP="008C656F">
      <w:pPr>
        <w:pStyle w:val="Normalny2"/>
        <w:pBdr>
          <w:top w:val="nil"/>
          <w:left w:val="nil"/>
          <w:bottom w:val="nil"/>
          <w:right w:val="nil"/>
          <w:between w:val="nil"/>
        </w:pBdr>
        <w:ind w:left="851" w:hanging="851"/>
        <w:jc w:val="both"/>
      </w:pPr>
      <w:r w:rsidRPr="00A23FB4">
        <w:t>1.4.29.</w:t>
      </w:r>
      <w:r w:rsidRPr="00A23FB4">
        <w:tab/>
        <w:t>Ścieki bytowe – ścieki z budynków mieszkalnych, zamieszkania zbiorowego oraz użyteczności publicznej, powstające w wyniku ludzkiego metabolizmu lub funkcjonowania gospodarstw domowych oraz ścieki o zbliżonym składzie pochodzące z tych budynków.</w:t>
      </w:r>
    </w:p>
    <w:p w14:paraId="0FC14B40" w14:textId="77777777" w:rsidR="008C656F" w:rsidRPr="00A23FB4" w:rsidRDefault="008C656F" w:rsidP="008C656F">
      <w:pPr>
        <w:pStyle w:val="Normalny2"/>
        <w:pBdr>
          <w:top w:val="nil"/>
          <w:left w:val="nil"/>
          <w:bottom w:val="nil"/>
          <w:right w:val="nil"/>
          <w:between w:val="nil"/>
        </w:pBdr>
        <w:ind w:left="851" w:hanging="851"/>
        <w:jc w:val="both"/>
      </w:pPr>
      <w:r w:rsidRPr="00A23FB4">
        <w:t>1.4.30.</w:t>
      </w:r>
      <w:r w:rsidRPr="00A23FB4">
        <w:tab/>
        <w:t>Ścieki komunalne – ścieki bytowe lub mieszanina ścieków bytowych ze ściekami przemysłowymi albo wodami opadowymi lub roztopowymi, odprowadzane urządzeniami służącymi do realizacji zadań własnych gminy w zakresie kanalizacji i oczyszczania ścieków komunalnych.</w:t>
      </w:r>
    </w:p>
    <w:p w14:paraId="057087EE" w14:textId="77777777" w:rsidR="008C656F" w:rsidRPr="00A23FB4" w:rsidRDefault="008C656F" w:rsidP="008C656F">
      <w:pPr>
        <w:pStyle w:val="Normalny2"/>
        <w:pBdr>
          <w:top w:val="nil"/>
          <w:left w:val="nil"/>
          <w:bottom w:val="nil"/>
          <w:right w:val="nil"/>
          <w:between w:val="nil"/>
        </w:pBdr>
        <w:ind w:left="851" w:hanging="851"/>
        <w:jc w:val="both"/>
      </w:pPr>
      <w:r w:rsidRPr="00A23FB4">
        <w:t>1.4.31.</w:t>
      </w:r>
      <w:r w:rsidRPr="00A23FB4">
        <w:tab/>
        <w:t>Ścieki przemysłowe – ścieki, niebędące ściekami bytowymi albo wodami opadowymi lub roztopowymi, powstałe w związku z prowadzoną przez zakład działalnością handlową, przemysłową, składową, transportową lub usługową, a także będące ich mieszaniną ze ściekami innego podmiotu, odprowadzane urządzeniami kanalizacyjnymi tego zakładu.</w:t>
      </w:r>
    </w:p>
    <w:p w14:paraId="491B7959" w14:textId="77777777" w:rsidR="008C656F" w:rsidRPr="00A23FB4" w:rsidRDefault="008C656F" w:rsidP="008C656F">
      <w:pPr>
        <w:pStyle w:val="Normalny2"/>
        <w:pBdr>
          <w:top w:val="nil"/>
          <w:left w:val="nil"/>
          <w:bottom w:val="nil"/>
          <w:right w:val="nil"/>
          <w:between w:val="nil"/>
        </w:pBdr>
        <w:ind w:left="851" w:hanging="851"/>
        <w:jc w:val="both"/>
      </w:pPr>
      <w:r w:rsidRPr="00A23FB4">
        <w:t>1.4.32.</w:t>
      </w:r>
      <w:r w:rsidRPr="00A23FB4">
        <w:tab/>
        <w:t>Eksfiltracja - przenikanie (ubytek) wód lub ścieków z przewodu kanalizacyjnego do gruntu;</w:t>
      </w:r>
    </w:p>
    <w:p w14:paraId="3E0B148A" w14:textId="77777777" w:rsidR="008C656F" w:rsidRPr="00A23FB4" w:rsidRDefault="008C656F" w:rsidP="008C656F">
      <w:pPr>
        <w:pStyle w:val="Normalny2"/>
        <w:pBdr>
          <w:top w:val="nil"/>
          <w:left w:val="nil"/>
          <w:bottom w:val="nil"/>
          <w:right w:val="nil"/>
          <w:between w:val="nil"/>
        </w:pBdr>
        <w:ind w:left="851" w:hanging="851"/>
        <w:jc w:val="both"/>
      </w:pPr>
      <w:r w:rsidRPr="00A23FB4">
        <w:t>1.4.33.</w:t>
      </w:r>
      <w:r w:rsidRPr="00A23FB4">
        <w:tab/>
        <w:t>Infiltracja - przenikanie wód gruntowych do przewodu kanalizacyjnego.</w:t>
      </w:r>
    </w:p>
    <w:p w14:paraId="4A1FB75E" w14:textId="77777777" w:rsidR="008C656F" w:rsidRPr="00A23FB4" w:rsidRDefault="008C656F" w:rsidP="008C656F">
      <w:pPr>
        <w:pStyle w:val="Normalny2"/>
        <w:pBdr>
          <w:top w:val="nil"/>
          <w:left w:val="nil"/>
          <w:bottom w:val="nil"/>
          <w:right w:val="nil"/>
          <w:between w:val="nil"/>
        </w:pBdr>
        <w:ind w:left="851" w:hanging="851"/>
        <w:jc w:val="both"/>
      </w:pPr>
      <w:r w:rsidRPr="00A23FB4">
        <w:t>1.4.34.</w:t>
      </w:r>
      <w:r w:rsidRPr="00A23FB4">
        <w:tab/>
        <w:t>Roboty tymczasowe - roboty, które są projektowane i wykonywane jako potrzebne do wykonania robót podstawowych, ale nie są przekazywane zamawiającemu i są usuwane po wykonaniu robót podstawowych, z wyłączeniem przypadków, gdy istnieją uzasadnione podstawy do ich odrębnego rozliczania.</w:t>
      </w:r>
    </w:p>
    <w:p w14:paraId="3DCA64B2" w14:textId="77777777" w:rsidR="008C656F" w:rsidRPr="00A23FB4" w:rsidRDefault="008C656F" w:rsidP="008C656F">
      <w:pPr>
        <w:pStyle w:val="Normalny2"/>
        <w:pBdr>
          <w:top w:val="nil"/>
          <w:left w:val="nil"/>
          <w:bottom w:val="nil"/>
          <w:right w:val="nil"/>
          <w:between w:val="nil"/>
        </w:pBdr>
        <w:ind w:left="851" w:hanging="851"/>
        <w:jc w:val="both"/>
      </w:pPr>
      <w:r w:rsidRPr="00A23FB4">
        <w:t>1.4.35.</w:t>
      </w:r>
      <w:r w:rsidRPr="00A23FB4">
        <w:tab/>
        <w:t>Roboty towarzyszące - roboty niezbędne do wykonania robót podstawowych niezaliczane do robót tymczasowych, w tym geodezyjne wytyczanie i inwentaryzacja powykonawcza.</w:t>
      </w:r>
    </w:p>
    <w:p w14:paraId="1885C873" w14:textId="77777777" w:rsidR="008C656F" w:rsidRPr="00A23FB4" w:rsidRDefault="008C656F" w:rsidP="008C656F">
      <w:pPr>
        <w:pStyle w:val="Normalny2"/>
        <w:pBdr>
          <w:top w:val="nil"/>
          <w:left w:val="nil"/>
          <w:bottom w:val="nil"/>
          <w:right w:val="nil"/>
          <w:between w:val="nil"/>
        </w:pBdr>
        <w:ind w:left="851" w:hanging="851"/>
        <w:jc w:val="both"/>
      </w:pPr>
      <w:r w:rsidRPr="00A23FB4">
        <w:t>1.4.36.</w:t>
      </w:r>
      <w:r w:rsidRPr="00A23FB4">
        <w:tab/>
        <w:t>Odbiór techniczny częściowy - odbiór techniczny poszczególnych faz robót podlegających zakryciu: podłoża wzmocnionego, odcinka przewodu i studzienek, próby szczelności przewodu i studzienek na eksfiltrację oraz infiltrację (w gruntach nawodnionych przy niestosowaniu stałego obniżenia lub odcięcia dopływu wód gruntowych).</w:t>
      </w:r>
    </w:p>
    <w:p w14:paraId="5F6797B3" w14:textId="77777777" w:rsidR="008C656F" w:rsidRPr="00A23FB4" w:rsidRDefault="008C656F" w:rsidP="008C656F">
      <w:pPr>
        <w:pStyle w:val="Normalny2"/>
        <w:pBdr>
          <w:top w:val="nil"/>
          <w:left w:val="nil"/>
          <w:bottom w:val="nil"/>
          <w:right w:val="nil"/>
          <w:between w:val="nil"/>
        </w:pBdr>
        <w:ind w:left="851" w:hanging="851"/>
        <w:jc w:val="both"/>
      </w:pPr>
      <w:r w:rsidRPr="00A23FB4">
        <w:t>1.4.37.</w:t>
      </w:r>
      <w:r w:rsidRPr="00A23FB4">
        <w:tab/>
        <w:t>Odbiór techniczny końcowy - odbiór techniczny całkowitego przewodu po zakończeniu jego budowy, przed przekazaniem do eksploatacji lub odcinka przewodu w przypadku, gdy może być on wcześniej oddany do eksploatacji.</w:t>
      </w:r>
    </w:p>
    <w:p w14:paraId="2433A983" w14:textId="0E6854BA" w:rsidR="008C656F" w:rsidRPr="00A23FB4" w:rsidRDefault="008C656F" w:rsidP="008C656F">
      <w:pPr>
        <w:pStyle w:val="Normalny2"/>
        <w:pBdr>
          <w:top w:val="nil"/>
          <w:left w:val="nil"/>
          <w:bottom w:val="nil"/>
          <w:right w:val="nil"/>
          <w:between w:val="nil"/>
        </w:pBdr>
        <w:jc w:val="both"/>
      </w:pPr>
      <w:bookmarkStart w:id="106" w:name="_heading=h.1yyy98l" w:colFirst="0" w:colLast="0"/>
      <w:bookmarkEnd w:id="106"/>
      <w:r w:rsidRPr="00A23FB4">
        <w:t xml:space="preserve">Pozostałe określenia podstawowe są zgodne z obowiązującymi, odpowiednimi polskimi normami i definicjami podanymi w </w:t>
      </w:r>
      <w:r w:rsidR="00CA1B27">
        <w:t>ST</w:t>
      </w:r>
      <w:r w:rsidRPr="00A23FB4">
        <w:t>WiORB „Wymagania ogólne”.</w:t>
      </w:r>
    </w:p>
    <w:p w14:paraId="6CFAC740" w14:textId="77777777" w:rsidR="007F4946" w:rsidRPr="00A23FB4" w:rsidRDefault="007F4946" w:rsidP="008C656F">
      <w:pPr>
        <w:pStyle w:val="Normalny2"/>
        <w:pBdr>
          <w:top w:val="nil"/>
          <w:left w:val="nil"/>
          <w:bottom w:val="nil"/>
          <w:right w:val="nil"/>
          <w:between w:val="nil"/>
        </w:pBdr>
        <w:jc w:val="both"/>
      </w:pPr>
    </w:p>
    <w:p w14:paraId="6BBAD915" w14:textId="77777777" w:rsidR="007F4946" w:rsidRPr="00A23FB4" w:rsidRDefault="007F4946" w:rsidP="008C656F">
      <w:pPr>
        <w:pStyle w:val="Normalny2"/>
        <w:pBdr>
          <w:top w:val="nil"/>
          <w:left w:val="nil"/>
          <w:bottom w:val="nil"/>
          <w:right w:val="nil"/>
          <w:between w:val="nil"/>
        </w:pBdr>
        <w:jc w:val="both"/>
      </w:pPr>
    </w:p>
    <w:p w14:paraId="678F3E47" w14:textId="77777777" w:rsidR="009F3E17" w:rsidRDefault="008C656F" w:rsidP="00262498">
      <w:pPr>
        <w:pStyle w:val="Akapitzlist"/>
        <w:numPr>
          <w:ilvl w:val="1"/>
          <w:numId w:val="68"/>
        </w:numPr>
        <w:spacing w:before="240" w:after="240"/>
        <w:rPr>
          <w:rFonts w:asciiTheme="minorHAnsi" w:hAnsiTheme="minorHAnsi" w:cstheme="minorHAnsi"/>
          <w:b/>
        </w:rPr>
      </w:pPr>
      <w:r w:rsidRPr="009F3E17">
        <w:rPr>
          <w:rFonts w:asciiTheme="minorHAnsi" w:hAnsiTheme="minorHAnsi" w:cstheme="minorHAnsi"/>
          <w:b/>
        </w:rPr>
        <w:t>Ogólne wymagania dotyczące robót</w:t>
      </w:r>
    </w:p>
    <w:p w14:paraId="47A6D23F" w14:textId="0A00847F" w:rsidR="008C656F" w:rsidRPr="009F3E17" w:rsidRDefault="008C656F" w:rsidP="009F3E17">
      <w:pPr>
        <w:spacing w:before="240" w:after="240"/>
        <w:rPr>
          <w:rFonts w:asciiTheme="minorHAnsi" w:hAnsiTheme="minorHAnsi" w:cstheme="minorHAnsi"/>
          <w:b/>
        </w:rPr>
      </w:pPr>
      <w:r w:rsidRPr="009F3E17">
        <w:rPr>
          <w:rFonts w:asciiTheme="minorHAnsi" w:hAnsiTheme="minorHAnsi" w:cstheme="minorHAnsi"/>
        </w:rPr>
        <w:t>Przed rozpoczęciem robót Wykonawca powinien przeprowadzić inwentaryzację w terenie i wykonać dokumentację fotograficzną z przeprowadzonej wizji. Ze względu na obecne zagospodarowanie, zwraca się uwagę że  tereny w obrębie inwestycji mogą posiadać niezinwentaryzowane sieci techniczne.</w:t>
      </w:r>
    </w:p>
    <w:p w14:paraId="65DC9C71" w14:textId="77777777" w:rsidR="008C656F" w:rsidRPr="009F3E17" w:rsidRDefault="008C656F" w:rsidP="009F3E17">
      <w:pPr>
        <w:pStyle w:val="Normalny2"/>
        <w:pBdr>
          <w:top w:val="nil"/>
          <w:left w:val="nil"/>
          <w:bottom w:val="nil"/>
          <w:right w:val="nil"/>
          <w:between w:val="nil"/>
        </w:pBdr>
        <w:jc w:val="both"/>
        <w:rPr>
          <w:rFonts w:asciiTheme="minorHAnsi" w:hAnsiTheme="minorHAnsi" w:cstheme="minorHAnsi"/>
        </w:rPr>
      </w:pPr>
      <w:r w:rsidRPr="009F3E17">
        <w:rPr>
          <w:rFonts w:asciiTheme="minorHAnsi" w:hAnsiTheme="minorHAnsi" w:cstheme="minorHAnsi"/>
        </w:rPr>
        <w:t>Wykonawca robót jest odpowiedzialny za jakość ich wykonania oraz za ich zgodność z dokumentacją projektową, ST i poleceniami Inżyniera Nadzoru oraz aktualnymi przepisami.</w:t>
      </w:r>
    </w:p>
    <w:p w14:paraId="5B6A87EC" w14:textId="77777777" w:rsidR="008C656F" w:rsidRPr="009F3E17" w:rsidRDefault="008C656F" w:rsidP="009F3E17">
      <w:pPr>
        <w:pStyle w:val="Normalny2"/>
        <w:pBdr>
          <w:top w:val="nil"/>
          <w:left w:val="nil"/>
          <w:bottom w:val="nil"/>
          <w:right w:val="nil"/>
          <w:between w:val="nil"/>
        </w:pBdr>
        <w:jc w:val="both"/>
        <w:rPr>
          <w:rFonts w:asciiTheme="minorHAnsi" w:hAnsiTheme="minorHAnsi" w:cstheme="minorHAnsi"/>
        </w:rPr>
      </w:pPr>
      <w:r w:rsidRPr="009F3E17">
        <w:rPr>
          <w:rFonts w:asciiTheme="minorHAnsi" w:hAnsiTheme="minorHAnsi" w:cstheme="minorHAnsi"/>
        </w:rPr>
        <w:t>Wykonawca jest zobowiązany do wdrożenia sposobu organizacji ruchu drogowego (w oparciu o projekt organizacji ruchu na czas robót, uzgodniony i zatwierdzony przez zarządzającego ruchem), oznakowania odcinka robót oraz ponosi odpowiedzialność za bezpieczeństwo ruchu na drodze od momentu przekazania terenu budowy do odbioru końcowego robót (łącznie z okresem utrzymania robót).</w:t>
      </w:r>
    </w:p>
    <w:p w14:paraId="20ED3FA7" w14:textId="77777777" w:rsidR="008C656F" w:rsidRPr="009F3E17" w:rsidRDefault="008C656F" w:rsidP="009F3E17">
      <w:pPr>
        <w:pStyle w:val="Normalny2"/>
        <w:pBdr>
          <w:top w:val="nil"/>
          <w:left w:val="nil"/>
          <w:bottom w:val="nil"/>
          <w:right w:val="nil"/>
          <w:between w:val="nil"/>
        </w:pBdr>
        <w:jc w:val="both"/>
        <w:rPr>
          <w:rFonts w:asciiTheme="minorHAnsi" w:hAnsiTheme="minorHAnsi" w:cstheme="minorHAnsi"/>
        </w:rPr>
      </w:pPr>
      <w:r w:rsidRPr="009F3E17">
        <w:rPr>
          <w:rFonts w:asciiTheme="minorHAnsi" w:hAnsiTheme="minorHAnsi" w:cstheme="minorHAnsi"/>
        </w:rPr>
        <w:t>Roboty powinny być wykonane  z ponad normatywną starannością zgodnie z :</w:t>
      </w:r>
    </w:p>
    <w:p w14:paraId="48AFB81E" w14:textId="77777777" w:rsidR="008C656F" w:rsidRPr="009F3E17" w:rsidRDefault="008C656F" w:rsidP="009F3E17">
      <w:pPr>
        <w:pStyle w:val="Normalny2"/>
        <w:pBdr>
          <w:top w:val="nil"/>
          <w:left w:val="nil"/>
          <w:bottom w:val="nil"/>
          <w:right w:val="nil"/>
          <w:between w:val="nil"/>
        </w:pBdr>
        <w:ind w:left="357"/>
        <w:jc w:val="both"/>
        <w:rPr>
          <w:rFonts w:asciiTheme="minorHAnsi" w:hAnsiTheme="minorHAnsi" w:cstheme="minorHAnsi"/>
        </w:rPr>
      </w:pPr>
      <w:r w:rsidRPr="009F3E17">
        <w:rPr>
          <w:rFonts w:asciiTheme="minorHAnsi" w:hAnsiTheme="minorHAnsi" w:cstheme="minorHAnsi"/>
        </w:rPr>
        <w:t>- dokumentacją projektową i ST</w:t>
      </w:r>
    </w:p>
    <w:p w14:paraId="1837378F" w14:textId="77777777" w:rsidR="008C656F" w:rsidRPr="009F3E17" w:rsidRDefault="008C656F" w:rsidP="009F3E17">
      <w:pPr>
        <w:pStyle w:val="Normalny2"/>
        <w:pBdr>
          <w:top w:val="nil"/>
          <w:left w:val="nil"/>
          <w:bottom w:val="nil"/>
          <w:right w:val="nil"/>
          <w:between w:val="nil"/>
        </w:pBdr>
        <w:ind w:left="357"/>
        <w:jc w:val="both"/>
        <w:rPr>
          <w:rFonts w:asciiTheme="minorHAnsi" w:hAnsiTheme="minorHAnsi" w:cstheme="minorHAnsi"/>
        </w:rPr>
      </w:pPr>
      <w:r w:rsidRPr="009F3E17">
        <w:rPr>
          <w:rFonts w:asciiTheme="minorHAnsi" w:hAnsiTheme="minorHAnsi" w:cstheme="minorHAnsi"/>
        </w:rPr>
        <w:t>- wiedzą techniczną</w:t>
      </w:r>
    </w:p>
    <w:p w14:paraId="195B2891" w14:textId="77777777" w:rsidR="008C656F" w:rsidRPr="009F3E17" w:rsidRDefault="008C656F" w:rsidP="009F3E17">
      <w:pPr>
        <w:pStyle w:val="Normalny2"/>
        <w:pBdr>
          <w:top w:val="nil"/>
          <w:left w:val="nil"/>
          <w:bottom w:val="nil"/>
          <w:right w:val="nil"/>
          <w:between w:val="nil"/>
        </w:pBdr>
        <w:ind w:left="357"/>
        <w:jc w:val="both"/>
        <w:rPr>
          <w:rFonts w:asciiTheme="minorHAnsi" w:hAnsiTheme="minorHAnsi" w:cstheme="minorHAnsi"/>
        </w:rPr>
      </w:pPr>
      <w:r w:rsidRPr="009F3E17">
        <w:rPr>
          <w:rFonts w:asciiTheme="minorHAnsi" w:hAnsiTheme="minorHAnsi" w:cstheme="minorHAnsi"/>
        </w:rPr>
        <w:t>- obowiązującymi przepisami (w szczególności z przepisami BHP)</w:t>
      </w:r>
    </w:p>
    <w:p w14:paraId="592FFE51" w14:textId="77777777" w:rsidR="008C656F" w:rsidRPr="009F3E17" w:rsidRDefault="008C656F" w:rsidP="009F3E17">
      <w:pPr>
        <w:pStyle w:val="Normalny2"/>
        <w:pBdr>
          <w:top w:val="nil"/>
          <w:left w:val="nil"/>
          <w:bottom w:val="nil"/>
          <w:right w:val="nil"/>
          <w:between w:val="nil"/>
        </w:pBdr>
        <w:ind w:left="357"/>
        <w:jc w:val="both"/>
        <w:rPr>
          <w:rFonts w:asciiTheme="minorHAnsi" w:hAnsiTheme="minorHAnsi" w:cstheme="minorHAnsi"/>
        </w:rPr>
      </w:pPr>
      <w:r w:rsidRPr="009F3E17">
        <w:rPr>
          <w:rFonts w:asciiTheme="minorHAnsi" w:hAnsiTheme="minorHAnsi" w:cstheme="minorHAnsi"/>
        </w:rPr>
        <w:t>- oczekiwaniami Zamawiającego</w:t>
      </w:r>
    </w:p>
    <w:p w14:paraId="213C59BF" w14:textId="77777777" w:rsidR="008C656F" w:rsidRPr="009F3E17" w:rsidRDefault="008C656F" w:rsidP="009F3E17">
      <w:pPr>
        <w:pStyle w:val="Normalny2"/>
        <w:pBdr>
          <w:top w:val="nil"/>
          <w:left w:val="nil"/>
          <w:bottom w:val="nil"/>
          <w:right w:val="nil"/>
          <w:between w:val="nil"/>
        </w:pBdr>
        <w:ind w:left="357"/>
        <w:jc w:val="both"/>
        <w:rPr>
          <w:rFonts w:asciiTheme="minorHAnsi" w:hAnsiTheme="minorHAnsi" w:cstheme="minorHAnsi"/>
        </w:rPr>
      </w:pPr>
      <w:r w:rsidRPr="009F3E17">
        <w:rPr>
          <w:rFonts w:asciiTheme="minorHAnsi" w:hAnsiTheme="minorHAnsi" w:cstheme="minorHAnsi"/>
        </w:rPr>
        <w:t xml:space="preserve">- uzgodnieniami i decyzjami (w tym muszą być spełnione wszystkie wymagania podane w decyzji o środowiskowych uwarunkowaniach jeżeli taka była lub będzie wydana). </w:t>
      </w:r>
    </w:p>
    <w:p w14:paraId="234BB294" w14:textId="674C4F39" w:rsidR="008C656F" w:rsidRPr="009F3E17" w:rsidRDefault="008C656F" w:rsidP="009F3E17">
      <w:pPr>
        <w:pStyle w:val="Normalny2"/>
        <w:widowControl w:val="0"/>
        <w:pBdr>
          <w:top w:val="nil"/>
          <w:left w:val="nil"/>
          <w:bottom w:val="nil"/>
          <w:right w:val="nil"/>
          <w:between w:val="nil"/>
        </w:pBdr>
        <w:jc w:val="both"/>
        <w:rPr>
          <w:rFonts w:asciiTheme="minorHAnsi" w:hAnsiTheme="minorHAnsi" w:cstheme="minorHAnsi"/>
        </w:rPr>
      </w:pPr>
      <w:bookmarkStart w:id="107" w:name="_heading=h.4iylrwe" w:colFirst="0" w:colLast="0"/>
      <w:bookmarkEnd w:id="107"/>
      <w:r w:rsidRPr="009F3E17">
        <w:rPr>
          <w:rFonts w:asciiTheme="minorHAnsi" w:hAnsiTheme="minorHAnsi" w:cstheme="minorHAnsi"/>
        </w:rPr>
        <w:t xml:space="preserve">Ogólne wymagania dotyczące robót podano w </w:t>
      </w:r>
      <w:r w:rsidR="00CA1B27" w:rsidRPr="009F3E17">
        <w:rPr>
          <w:rFonts w:asciiTheme="minorHAnsi" w:hAnsiTheme="minorHAnsi" w:cstheme="minorHAnsi"/>
        </w:rPr>
        <w:t>ST</w:t>
      </w:r>
      <w:r w:rsidRPr="009F3E17">
        <w:rPr>
          <w:rFonts w:asciiTheme="minorHAnsi" w:hAnsiTheme="minorHAnsi" w:cstheme="minorHAnsi"/>
        </w:rPr>
        <w:t>WiORB „Wymagania ogólne”.</w:t>
      </w:r>
    </w:p>
    <w:p w14:paraId="2A0EA877" w14:textId="77777777" w:rsidR="008C656F" w:rsidRPr="009F3E17" w:rsidRDefault="008C656F" w:rsidP="008C656F">
      <w:pPr>
        <w:spacing w:before="240" w:after="240"/>
        <w:rPr>
          <w:rFonts w:asciiTheme="minorHAnsi" w:hAnsiTheme="minorHAnsi" w:cstheme="minorHAnsi"/>
          <w:b/>
        </w:rPr>
      </w:pPr>
      <w:r w:rsidRPr="009F3E17">
        <w:rPr>
          <w:rFonts w:asciiTheme="minorHAnsi" w:hAnsiTheme="minorHAnsi" w:cstheme="minorHAnsi"/>
          <w:b/>
        </w:rPr>
        <w:t>1.6. Zabezpieczenie terenu budowy</w:t>
      </w:r>
    </w:p>
    <w:p w14:paraId="0F61A8C3" w14:textId="77777777" w:rsidR="008C656F" w:rsidRPr="00A23FB4" w:rsidRDefault="008C656F" w:rsidP="008C656F">
      <w:pPr>
        <w:pStyle w:val="Normalny2"/>
        <w:pBdr>
          <w:top w:val="nil"/>
          <w:left w:val="nil"/>
          <w:bottom w:val="nil"/>
          <w:right w:val="nil"/>
          <w:between w:val="nil"/>
        </w:pBdr>
        <w:jc w:val="both"/>
      </w:pPr>
      <w:bookmarkStart w:id="108" w:name="_heading=h.2y3w247" w:colFirst="0" w:colLast="0"/>
      <w:bookmarkEnd w:id="108"/>
      <w:r w:rsidRPr="00A23FB4">
        <w:t xml:space="preserve">Wykonawca jest zobowiązany do zabezpieczenia terenu budowy w okresie trwania realizacji kontraktu aż do zakończenia i odbioru ostatecznego robót. Wykonawca dostarczy, zainstaluje i będzie utrzymywać tymczasowe urządzenia zabezpieczające, w tym: ogrodzenia, poręcze, oświetlenie, sygnały i znaki ostrzegawcze, dozorców, wszelkie inne środki niezbędne do ochrony robót, wygody społeczności i innych. </w:t>
      </w:r>
    </w:p>
    <w:p w14:paraId="3093F7EA" w14:textId="77777777" w:rsidR="008C656F" w:rsidRPr="00A23FB4" w:rsidRDefault="008C656F" w:rsidP="008C656F">
      <w:pPr>
        <w:spacing w:before="240" w:after="240"/>
        <w:rPr>
          <w:rFonts w:asciiTheme="minorHAnsi" w:hAnsiTheme="minorHAnsi" w:cstheme="minorHAnsi"/>
          <w:b/>
        </w:rPr>
      </w:pPr>
      <w:bookmarkStart w:id="109" w:name="_heading=h.1d96cc0" w:colFirst="0" w:colLast="0"/>
      <w:bookmarkEnd w:id="109"/>
      <w:r w:rsidRPr="00A23FB4">
        <w:rPr>
          <w:rFonts w:asciiTheme="minorHAnsi" w:hAnsiTheme="minorHAnsi" w:cstheme="minorHAnsi"/>
          <w:b/>
        </w:rPr>
        <w:t>2. MATERIAŁY</w:t>
      </w:r>
    </w:p>
    <w:p w14:paraId="379A92E4" w14:textId="77777777" w:rsidR="008C656F" w:rsidRPr="00A23FB4" w:rsidRDefault="008C656F" w:rsidP="008C656F">
      <w:pPr>
        <w:spacing w:before="240" w:after="240"/>
        <w:rPr>
          <w:rFonts w:asciiTheme="minorHAnsi" w:hAnsiTheme="minorHAnsi" w:cstheme="minorHAnsi"/>
          <w:b/>
        </w:rPr>
      </w:pPr>
      <w:r w:rsidRPr="00A23FB4">
        <w:rPr>
          <w:rFonts w:asciiTheme="minorHAnsi" w:hAnsiTheme="minorHAnsi" w:cstheme="minorHAnsi"/>
          <w:b/>
        </w:rPr>
        <w:t>2.1. Wymagania dotyczące stosowanych materiałów</w:t>
      </w:r>
    </w:p>
    <w:p w14:paraId="40020839" w14:textId="77777777" w:rsidR="008C656F" w:rsidRPr="00A23FB4" w:rsidRDefault="008C656F" w:rsidP="008C656F">
      <w:pPr>
        <w:pStyle w:val="Normalny2"/>
        <w:pBdr>
          <w:top w:val="nil"/>
          <w:left w:val="nil"/>
          <w:bottom w:val="nil"/>
          <w:right w:val="nil"/>
          <w:between w:val="nil"/>
        </w:pBdr>
        <w:jc w:val="both"/>
      </w:pPr>
      <w:r w:rsidRPr="00A23FB4">
        <w:t>Wszystkie zakupione przez Wykonawcę materiały zastosowane do budowy kanalizacji sanitarnej powinny odpowiadać normom krajowym zastąpionym, jeśli to możliwe, przez normy europejskie lub technicznym aprobatom europejskim. W przypadku braku norm krajowych lub technicznych aprobat europejskich elementy i materiały powinny odpowiadać wymaganiom odpowiednich specyfikacji.</w:t>
      </w:r>
    </w:p>
    <w:p w14:paraId="290252EB" w14:textId="77777777" w:rsidR="008C656F" w:rsidRPr="00A23FB4" w:rsidRDefault="008C656F" w:rsidP="008C656F">
      <w:pPr>
        <w:pStyle w:val="Normalny2"/>
        <w:pBdr>
          <w:top w:val="nil"/>
          <w:left w:val="nil"/>
          <w:bottom w:val="nil"/>
          <w:right w:val="nil"/>
          <w:between w:val="nil"/>
        </w:pBdr>
        <w:jc w:val="both"/>
      </w:pPr>
      <w:r w:rsidRPr="00A23FB4">
        <w:t>Przy wykonywaniu robót budowlanych należy stosować wyroby budowlane, które zostały dopuszczone do obrotu i powszechnego lub jednostkowego stosowania w budownictwie.</w:t>
      </w:r>
    </w:p>
    <w:p w14:paraId="5933BD8A" w14:textId="77777777" w:rsidR="008C656F" w:rsidRPr="00A23FB4" w:rsidRDefault="008C656F" w:rsidP="008C656F">
      <w:pPr>
        <w:pStyle w:val="Normalny2"/>
        <w:pBdr>
          <w:top w:val="nil"/>
          <w:left w:val="nil"/>
          <w:bottom w:val="nil"/>
          <w:right w:val="nil"/>
          <w:between w:val="nil"/>
        </w:pBdr>
        <w:jc w:val="both"/>
      </w:pPr>
      <w:r w:rsidRPr="00A23FB4">
        <w:t xml:space="preserve">Materiały użyte do niniejszego zadania muszą charakteryzować się parametrami i wymaganiami obowiązującymi w przedsiębiorstwach miasta Zawiercie. </w:t>
      </w:r>
    </w:p>
    <w:p w14:paraId="30FB2B81" w14:textId="77777777" w:rsidR="008C656F" w:rsidRPr="00A23FB4" w:rsidRDefault="008C656F" w:rsidP="008C656F">
      <w:pPr>
        <w:pStyle w:val="Normalny2"/>
        <w:pBdr>
          <w:top w:val="nil"/>
          <w:left w:val="nil"/>
          <w:bottom w:val="nil"/>
          <w:right w:val="nil"/>
          <w:between w:val="nil"/>
        </w:pBdr>
        <w:jc w:val="both"/>
      </w:pPr>
      <w:bookmarkStart w:id="110" w:name="_heading=h.3x8tuzt" w:colFirst="0" w:colLast="0"/>
      <w:bookmarkEnd w:id="110"/>
      <w:r w:rsidRPr="00A23FB4">
        <w:t>Sieć kanalizacji sanitarnej, jako obiekt budowlany, powinna spełniać wymogi podstawowe określone w ustawie Prawo budowlane (bezpieczeństwo konstrukcji, pożarowe, użytkowania, ochronę środowiska oraz odpowiednie warunki higieniczne i zdrowotne, ochronę przed hałasem i drganiami oraz oszczędność energii) oraz warunki użytkowania zgodnie z przeznaczeniem (utrzymanie właściwego stanu technicznego oraz zapewnienie bezpieczeństwa i higieny pracy).</w:t>
      </w:r>
    </w:p>
    <w:p w14:paraId="2EC0BB92" w14:textId="77777777" w:rsidR="008C656F" w:rsidRPr="00A23FB4" w:rsidRDefault="008C656F" w:rsidP="008C656F">
      <w:pPr>
        <w:spacing w:before="240" w:after="240"/>
        <w:rPr>
          <w:rFonts w:asciiTheme="minorHAnsi" w:hAnsiTheme="minorHAnsi" w:cstheme="minorHAnsi"/>
          <w:b/>
        </w:rPr>
      </w:pPr>
      <w:r w:rsidRPr="00A23FB4">
        <w:rPr>
          <w:rFonts w:asciiTheme="minorHAnsi" w:hAnsiTheme="minorHAnsi" w:cstheme="minorHAnsi"/>
          <w:b/>
        </w:rPr>
        <w:t>2.2. Zastosowane materiały</w:t>
      </w:r>
    </w:p>
    <w:p w14:paraId="32E8A35C" w14:textId="77777777" w:rsidR="008C656F" w:rsidRPr="00A23FB4" w:rsidRDefault="008C656F" w:rsidP="008C656F">
      <w:pPr>
        <w:pStyle w:val="Normalny2"/>
        <w:widowControl w:val="0"/>
        <w:pBdr>
          <w:top w:val="nil"/>
          <w:left w:val="nil"/>
          <w:bottom w:val="nil"/>
          <w:right w:val="nil"/>
          <w:between w:val="nil"/>
        </w:pBdr>
        <w:jc w:val="both"/>
      </w:pPr>
      <w:r w:rsidRPr="00A23FB4">
        <w:t>Materiałami stosowanymi przy wykonywaniu elementów kanalizacji sanitarnej według zasad niniejszycvh wytycznych są:</w:t>
      </w:r>
    </w:p>
    <w:p w14:paraId="21CFD9AA" w14:textId="77777777" w:rsidR="008C656F" w:rsidRPr="00A23FB4" w:rsidRDefault="008C656F" w:rsidP="008C656F">
      <w:pPr>
        <w:pStyle w:val="Normalny2"/>
        <w:widowControl w:val="0"/>
        <w:pBdr>
          <w:top w:val="nil"/>
          <w:left w:val="nil"/>
          <w:bottom w:val="nil"/>
          <w:right w:val="nil"/>
          <w:between w:val="nil"/>
        </w:pBdr>
        <w:spacing w:before="120" w:after="120"/>
        <w:jc w:val="both"/>
        <w:rPr>
          <w:b/>
        </w:rPr>
      </w:pPr>
      <w:r w:rsidRPr="00A23FB4">
        <w:rPr>
          <w:b/>
        </w:rPr>
        <w:t xml:space="preserve">2.2.1. Rury </w:t>
      </w:r>
    </w:p>
    <w:p w14:paraId="3DDE0F0C" w14:textId="77777777" w:rsidR="008C656F" w:rsidRPr="00A23FB4" w:rsidRDefault="008C656F" w:rsidP="008C656F">
      <w:pPr>
        <w:pStyle w:val="Normalny2"/>
        <w:pBdr>
          <w:top w:val="nil"/>
          <w:left w:val="nil"/>
          <w:bottom w:val="nil"/>
          <w:right w:val="nil"/>
          <w:between w:val="nil"/>
        </w:pBdr>
        <w:jc w:val="both"/>
      </w:pPr>
      <w:r w:rsidRPr="00A23FB4">
        <w:t>Odcinki kanalizacji sanitarnej należy z rur z tworzyw sztucznych dwuwarstwowych (PP, PE) o sztywności obwodowej min SN10. Rury łączyć za pomocą kielichów lub złączek oraz uszczelek systemowych.</w:t>
      </w:r>
    </w:p>
    <w:p w14:paraId="0AF4135C" w14:textId="77777777" w:rsidR="008C656F" w:rsidRPr="00A23FB4" w:rsidRDefault="008C656F" w:rsidP="008C656F">
      <w:pPr>
        <w:pStyle w:val="Normalny2"/>
        <w:pBdr>
          <w:top w:val="nil"/>
          <w:left w:val="nil"/>
          <w:bottom w:val="nil"/>
          <w:right w:val="nil"/>
          <w:between w:val="nil"/>
        </w:pBdr>
        <w:jc w:val="both"/>
      </w:pPr>
      <w:r w:rsidRPr="00A23FB4">
        <w:t>Parametry i właściwości rur:</w:t>
      </w:r>
    </w:p>
    <w:p w14:paraId="09E7EECD" w14:textId="77777777" w:rsidR="009F3E17" w:rsidRDefault="008C656F" w:rsidP="00262498">
      <w:pPr>
        <w:pStyle w:val="Normalny2"/>
        <w:numPr>
          <w:ilvl w:val="0"/>
          <w:numId w:val="308"/>
        </w:numPr>
        <w:pBdr>
          <w:top w:val="nil"/>
          <w:left w:val="nil"/>
          <w:bottom w:val="nil"/>
          <w:right w:val="nil"/>
          <w:between w:val="nil"/>
        </w:pBdr>
        <w:jc w:val="both"/>
      </w:pPr>
      <w:r w:rsidRPr="00A23FB4">
        <w:t>rury o średnicy DN</w:t>
      </w:r>
      <w:r w:rsidR="00BD13E6" w:rsidRPr="00A23FB4">
        <w:t>160-315</w:t>
      </w:r>
      <w:r w:rsidRPr="00A23FB4">
        <w:t xml:space="preserve"> mm o sztywności obwodowej SN10 </w:t>
      </w:r>
    </w:p>
    <w:p w14:paraId="120254D7" w14:textId="77777777" w:rsidR="009F3E17" w:rsidRDefault="008C656F" w:rsidP="00262498">
      <w:pPr>
        <w:pStyle w:val="Normalny2"/>
        <w:numPr>
          <w:ilvl w:val="0"/>
          <w:numId w:val="308"/>
        </w:numPr>
        <w:pBdr>
          <w:top w:val="nil"/>
          <w:left w:val="nil"/>
          <w:bottom w:val="nil"/>
          <w:right w:val="nil"/>
          <w:between w:val="nil"/>
        </w:pBdr>
        <w:jc w:val="both"/>
      </w:pPr>
      <w:r w:rsidRPr="00A23FB4">
        <w:t>rury zgodne z PN-EN 1401-1, PN-EN 476</w:t>
      </w:r>
    </w:p>
    <w:p w14:paraId="7D5CB8BC" w14:textId="77777777" w:rsidR="009F3E17" w:rsidRDefault="008C656F" w:rsidP="00262498">
      <w:pPr>
        <w:pStyle w:val="Normalny2"/>
        <w:numPr>
          <w:ilvl w:val="0"/>
          <w:numId w:val="308"/>
        </w:numPr>
        <w:pBdr>
          <w:top w:val="nil"/>
          <w:left w:val="nil"/>
          <w:bottom w:val="nil"/>
          <w:right w:val="nil"/>
          <w:between w:val="nil"/>
        </w:pBdr>
        <w:jc w:val="both"/>
      </w:pPr>
      <w:r w:rsidRPr="00A23FB4">
        <w:t>rury powinny odpowiadać normie PN-EN 295-3 ze względu na odporność na ścieralność ścianki wewnętrznej</w:t>
      </w:r>
    </w:p>
    <w:p w14:paraId="68FF01F7" w14:textId="77777777" w:rsidR="009F3E17" w:rsidRDefault="008C656F" w:rsidP="00262498">
      <w:pPr>
        <w:pStyle w:val="Normalny2"/>
        <w:numPr>
          <w:ilvl w:val="0"/>
          <w:numId w:val="308"/>
        </w:numPr>
        <w:pBdr>
          <w:top w:val="nil"/>
          <w:left w:val="nil"/>
          <w:bottom w:val="nil"/>
          <w:right w:val="nil"/>
          <w:between w:val="nil"/>
        </w:pBdr>
        <w:jc w:val="both"/>
      </w:pPr>
      <w:r w:rsidRPr="00A23FB4">
        <w:t>rury o litej jednorodnej konstrukcji w całym swoim przekroju z gładką powierzchnią wewnętrzną  i profilowaną ścianką zewnętrzną łączone za pomocą muf oraz uszczelek systemowych</w:t>
      </w:r>
    </w:p>
    <w:p w14:paraId="46120862" w14:textId="77777777" w:rsidR="009F3E17" w:rsidRDefault="008C656F" w:rsidP="00262498">
      <w:pPr>
        <w:pStyle w:val="Normalny2"/>
        <w:numPr>
          <w:ilvl w:val="0"/>
          <w:numId w:val="308"/>
        </w:numPr>
        <w:pBdr>
          <w:top w:val="nil"/>
          <w:left w:val="nil"/>
          <w:bottom w:val="nil"/>
          <w:right w:val="nil"/>
          <w:between w:val="nil"/>
        </w:pBdr>
        <w:jc w:val="both"/>
      </w:pPr>
      <w:r w:rsidRPr="00A23FB4">
        <w:t>rury odporne na płukanie wysokociśnieniowe min. 180 bar</w:t>
      </w:r>
    </w:p>
    <w:p w14:paraId="4B356917" w14:textId="77777777" w:rsidR="009F3E17" w:rsidRDefault="008C656F" w:rsidP="00262498">
      <w:pPr>
        <w:pStyle w:val="Normalny2"/>
        <w:numPr>
          <w:ilvl w:val="0"/>
          <w:numId w:val="308"/>
        </w:numPr>
        <w:pBdr>
          <w:top w:val="nil"/>
          <w:left w:val="nil"/>
          <w:bottom w:val="nil"/>
          <w:right w:val="nil"/>
          <w:between w:val="nil"/>
        </w:pBdr>
        <w:jc w:val="both"/>
      </w:pPr>
      <w:r w:rsidRPr="00A23FB4">
        <w:t>rury powinny posiadać system identyfikacji, który pozwoli na odczytanie informacji podczas kamerowania</w:t>
      </w:r>
    </w:p>
    <w:p w14:paraId="77E83203" w14:textId="77777777" w:rsidR="009F3E17" w:rsidRDefault="008C656F" w:rsidP="00262498">
      <w:pPr>
        <w:pStyle w:val="Normalny2"/>
        <w:numPr>
          <w:ilvl w:val="0"/>
          <w:numId w:val="308"/>
        </w:numPr>
        <w:pBdr>
          <w:top w:val="nil"/>
          <w:left w:val="nil"/>
          <w:bottom w:val="nil"/>
          <w:right w:val="nil"/>
          <w:between w:val="nil"/>
        </w:pBdr>
        <w:jc w:val="both"/>
      </w:pPr>
      <w:r w:rsidRPr="00A23FB4">
        <w:t>odporność na abrazję</w:t>
      </w:r>
    </w:p>
    <w:p w14:paraId="2B49BB0A" w14:textId="77777777" w:rsidR="009F3E17" w:rsidRDefault="008C656F" w:rsidP="00262498">
      <w:pPr>
        <w:pStyle w:val="Normalny2"/>
        <w:numPr>
          <w:ilvl w:val="0"/>
          <w:numId w:val="308"/>
        </w:numPr>
        <w:pBdr>
          <w:top w:val="nil"/>
          <w:left w:val="nil"/>
          <w:bottom w:val="nil"/>
          <w:right w:val="nil"/>
          <w:between w:val="nil"/>
        </w:pBdr>
        <w:jc w:val="both"/>
      </w:pPr>
      <w:r w:rsidRPr="00A23FB4">
        <w:t>uszczelnienia zapewniające szczelność na infiltrację oraz eksfiltrację</w:t>
      </w:r>
    </w:p>
    <w:p w14:paraId="30B91993" w14:textId="77777777" w:rsidR="009F3E17" w:rsidRDefault="008C656F" w:rsidP="00262498">
      <w:pPr>
        <w:pStyle w:val="Normalny2"/>
        <w:numPr>
          <w:ilvl w:val="0"/>
          <w:numId w:val="308"/>
        </w:numPr>
        <w:pBdr>
          <w:top w:val="nil"/>
          <w:left w:val="nil"/>
          <w:bottom w:val="nil"/>
          <w:right w:val="nil"/>
          <w:between w:val="nil"/>
        </w:pBdr>
        <w:jc w:val="both"/>
      </w:pPr>
      <w:r w:rsidRPr="00A23FB4">
        <w:t>kształtki wykonane z tego samego materiału i o tej samej średnicy jak rury</w:t>
      </w:r>
    </w:p>
    <w:p w14:paraId="14B607DA" w14:textId="77777777" w:rsidR="009F3E17" w:rsidRDefault="008C656F" w:rsidP="00262498">
      <w:pPr>
        <w:pStyle w:val="Normalny2"/>
        <w:numPr>
          <w:ilvl w:val="0"/>
          <w:numId w:val="308"/>
        </w:numPr>
        <w:pBdr>
          <w:top w:val="nil"/>
          <w:left w:val="nil"/>
          <w:bottom w:val="nil"/>
          <w:right w:val="nil"/>
          <w:between w:val="nil"/>
        </w:pBdr>
        <w:jc w:val="both"/>
      </w:pPr>
      <w:r w:rsidRPr="00A23FB4">
        <w:t>powierzchnie rur i kształtek powinny być bez uszkodzeń, pęcherzy, zapadnięć i wtrąceń ciał obcych</w:t>
      </w:r>
    </w:p>
    <w:p w14:paraId="6B4833DD" w14:textId="252EEFE6" w:rsidR="008C656F" w:rsidRPr="00A23FB4" w:rsidRDefault="008C656F" w:rsidP="00262498">
      <w:pPr>
        <w:pStyle w:val="Normalny2"/>
        <w:numPr>
          <w:ilvl w:val="0"/>
          <w:numId w:val="308"/>
        </w:numPr>
        <w:pBdr>
          <w:top w:val="nil"/>
          <w:left w:val="nil"/>
          <w:bottom w:val="nil"/>
          <w:right w:val="nil"/>
          <w:between w:val="nil"/>
        </w:pBdr>
        <w:jc w:val="both"/>
      </w:pPr>
      <w:r w:rsidRPr="00A23FB4">
        <w:t>cechy techniczne rur powinny być potwierdzone certyfikatem zgodności (deklaracja zgodności, deklaracja właściwości użytkowych) bądź raportem z badań przeprowadzonym przez niezależny, uprawniony do tego typu badań instytutu.</w:t>
      </w:r>
    </w:p>
    <w:p w14:paraId="4BFA94EE" w14:textId="77777777" w:rsidR="008C656F" w:rsidRPr="00A23FB4" w:rsidRDefault="008C656F" w:rsidP="008C656F">
      <w:pPr>
        <w:pStyle w:val="Normalny2"/>
        <w:widowControl w:val="0"/>
        <w:pBdr>
          <w:top w:val="nil"/>
          <w:left w:val="nil"/>
          <w:bottom w:val="nil"/>
          <w:right w:val="nil"/>
          <w:between w:val="nil"/>
        </w:pBdr>
        <w:spacing w:before="120" w:after="120"/>
        <w:rPr>
          <w:b/>
        </w:rPr>
      </w:pPr>
      <w:r w:rsidRPr="00A23FB4">
        <w:rPr>
          <w:b/>
        </w:rPr>
        <w:t xml:space="preserve">2.2.2. Studnie betonowe </w:t>
      </w:r>
    </w:p>
    <w:p w14:paraId="67303AD0" w14:textId="77777777" w:rsidR="008C656F" w:rsidRPr="00A23FB4" w:rsidRDefault="008C656F" w:rsidP="008C656F">
      <w:pPr>
        <w:pStyle w:val="Normalny2"/>
        <w:jc w:val="both"/>
      </w:pPr>
      <w:r w:rsidRPr="00A23FB4">
        <w:t>Na kanałach grawitacyjnych kanalizacji sanitarnej zastosowano studnie:</w:t>
      </w:r>
    </w:p>
    <w:p w14:paraId="404D1AEC" w14:textId="77777777" w:rsidR="008C656F" w:rsidRPr="00A23FB4" w:rsidRDefault="008C656F" w:rsidP="008C656F">
      <w:pPr>
        <w:pStyle w:val="Normalny2"/>
        <w:jc w:val="both"/>
      </w:pPr>
      <w:r w:rsidRPr="00A23FB4">
        <w:rPr>
          <w:b/>
        </w:rPr>
        <w:t>1)studzienki betonowe prefabrykowane</w:t>
      </w:r>
      <w:r w:rsidRPr="00A23FB4">
        <w:t xml:space="preserve"> łączone na uszczelkę o średnicach DN1000, które winny odpowiadać normie PN-EN 1917 i być rozmieszczone zgodnie z dokumentacją projektową.</w:t>
      </w:r>
    </w:p>
    <w:p w14:paraId="690EB602" w14:textId="77777777" w:rsidR="008C656F" w:rsidRPr="00A23FB4" w:rsidRDefault="008C656F" w:rsidP="008C656F">
      <w:pPr>
        <w:pStyle w:val="Normalny2"/>
        <w:jc w:val="both"/>
      </w:pPr>
      <w:r w:rsidRPr="00A23FB4">
        <w:t>Podstawowe elementy typowych monolitycznych studzienek kanalizacyjnych:</w:t>
      </w:r>
    </w:p>
    <w:p w14:paraId="60B5F05D" w14:textId="77777777" w:rsidR="009F3E17" w:rsidRDefault="008C656F" w:rsidP="00262498">
      <w:pPr>
        <w:pStyle w:val="Normalny2"/>
        <w:numPr>
          <w:ilvl w:val="0"/>
          <w:numId w:val="309"/>
        </w:numPr>
        <w:jc w:val="both"/>
      </w:pPr>
      <w:r w:rsidRPr="00A23FB4">
        <w:t>dennicę studzienki należy wykonać jako monolityczną – jednorodną, prefabrykowaną, z fabrycznie osadzonymi w trakcie produkcji przejściami szczelnymi lub uszczelkami, gwarantującymi szczelność połączeń z rurami oraz monolityczną kinetą betonową – wszystkie elementy (dennica, krąg i kineta) należy wykonać w jednym cyklu produkcyjnym</w:t>
      </w:r>
    </w:p>
    <w:p w14:paraId="45A21EBD" w14:textId="77777777" w:rsidR="009F3E17" w:rsidRDefault="008C656F" w:rsidP="00262498">
      <w:pPr>
        <w:pStyle w:val="Normalny2"/>
        <w:numPr>
          <w:ilvl w:val="0"/>
          <w:numId w:val="309"/>
        </w:numPr>
        <w:jc w:val="both"/>
      </w:pPr>
      <w:r w:rsidRPr="00A23FB4">
        <w:t>kręgi nadbudowy – betonowe, odpowiadające wymaganiom normy PN-EN 1917, minimalna wysokość kręgów nadbudowy – 500 mm</w:t>
      </w:r>
    </w:p>
    <w:p w14:paraId="6773CF4D" w14:textId="77777777" w:rsidR="009F3E17" w:rsidRDefault="008C656F" w:rsidP="00262498">
      <w:pPr>
        <w:pStyle w:val="Normalny2"/>
        <w:numPr>
          <w:ilvl w:val="0"/>
          <w:numId w:val="309"/>
        </w:numPr>
        <w:jc w:val="both"/>
      </w:pPr>
      <w:r w:rsidRPr="00A23FB4">
        <w:t>komin włazowy powinien być wykonany z kręgów betonowych lub żelbetowych o średnicy zgodnej ze średnicą studni</w:t>
      </w:r>
    </w:p>
    <w:p w14:paraId="2D095C90" w14:textId="77777777" w:rsidR="009F3E17" w:rsidRDefault="008C656F" w:rsidP="00262498">
      <w:pPr>
        <w:pStyle w:val="Normalny2"/>
        <w:numPr>
          <w:ilvl w:val="0"/>
          <w:numId w:val="309"/>
        </w:numPr>
        <w:jc w:val="both"/>
      </w:pPr>
      <w:r w:rsidRPr="00A23FB4">
        <w:t>przykrycie studzienek kanalizacyjnych – zwężka redukcyjna o minimalnej wytrzymałości na obciążenia pionowe 300 kN lub w szczególnych przypadkach, gdy nie będzie możliwości zastosowania zwężki należy zastosować płytę pokrywową</w:t>
      </w:r>
    </w:p>
    <w:p w14:paraId="63D28128" w14:textId="77777777" w:rsidR="009F3E17" w:rsidRDefault="008C656F" w:rsidP="00262498">
      <w:pPr>
        <w:pStyle w:val="Normalny2"/>
        <w:numPr>
          <w:ilvl w:val="0"/>
          <w:numId w:val="309"/>
        </w:numPr>
        <w:jc w:val="both"/>
      </w:pPr>
      <w:r w:rsidRPr="00A23FB4">
        <w:t>w przypadku uzasadnionych wymogami producenta stosować „odsadzenia” w ścianach studni</w:t>
      </w:r>
    </w:p>
    <w:p w14:paraId="35182143" w14:textId="77777777" w:rsidR="009F3E17" w:rsidRDefault="008C656F" w:rsidP="00262498">
      <w:pPr>
        <w:pStyle w:val="Normalny2"/>
        <w:numPr>
          <w:ilvl w:val="0"/>
          <w:numId w:val="309"/>
        </w:numPr>
        <w:jc w:val="both"/>
      </w:pPr>
      <w:r w:rsidRPr="00A23FB4">
        <w:t>stopnie złazowe żeliwne lub drabinka włazowa stalowa, montowane fabrycznie w kręgach betonowych</w:t>
      </w:r>
    </w:p>
    <w:p w14:paraId="60E02ECA" w14:textId="77777777" w:rsidR="009F3E17" w:rsidRDefault="008C656F" w:rsidP="00262498">
      <w:pPr>
        <w:pStyle w:val="Normalny2"/>
        <w:numPr>
          <w:ilvl w:val="0"/>
          <w:numId w:val="309"/>
        </w:numPr>
        <w:jc w:val="both"/>
      </w:pPr>
      <w:r w:rsidRPr="00A23FB4">
        <w:t>pierścienie dystansowe polimerowe lub betonowe (w zależności od lokalizacji studni) o wysokości h=60÷100 mm (montaż zgodnie z wytycznymi producenta)</w:t>
      </w:r>
    </w:p>
    <w:p w14:paraId="315DC8B0" w14:textId="77777777" w:rsidR="009F3E17" w:rsidRDefault="008C656F" w:rsidP="00262498">
      <w:pPr>
        <w:pStyle w:val="Normalny2"/>
        <w:numPr>
          <w:ilvl w:val="0"/>
          <w:numId w:val="309"/>
        </w:numPr>
        <w:jc w:val="both"/>
      </w:pPr>
      <w:r w:rsidRPr="00A23FB4">
        <w:t xml:space="preserve">do przykrycia studzienek stosować włazy żeliwne: w jezdniach - z wkładką gumową i wypełnieniem betonem </w:t>
      </w:r>
    </w:p>
    <w:p w14:paraId="55402CEA" w14:textId="77777777" w:rsidR="009F3E17" w:rsidRDefault="008C656F" w:rsidP="00262498">
      <w:pPr>
        <w:pStyle w:val="Normalny2"/>
        <w:numPr>
          <w:ilvl w:val="0"/>
          <w:numId w:val="309"/>
        </w:numPr>
        <w:jc w:val="both"/>
      </w:pPr>
      <w:r w:rsidRPr="00A23FB4">
        <w:t>włazy kanałowe klasy B125 lub D400 (w zależności od lokalizacji studni) odpowiadające wymaganiom PN-EN 124</w:t>
      </w:r>
    </w:p>
    <w:p w14:paraId="518052E8" w14:textId="77777777" w:rsidR="009F3E17" w:rsidRDefault="008C656F" w:rsidP="00262498">
      <w:pPr>
        <w:pStyle w:val="Normalny2"/>
        <w:numPr>
          <w:ilvl w:val="0"/>
          <w:numId w:val="309"/>
        </w:numPr>
        <w:jc w:val="both"/>
      </w:pPr>
      <w:r w:rsidRPr="00A23FB4">
        <w:t>studnie posadawiać na podbudowie z betonu C12/15 grubości 15 cm</w:t>
      </w:r>
      <w:bookmarkStart w:id="111" w:name="_heading=h.26in1rg" w:colFirst="0" w:colLast="0"/>
      <w:bookmarkEnd w:id="111"/>
    </w:p>
    <w:p w14:paraId="24D52F10" w14:textId="2CBFB49A" w:rsidR="008C656F" w:rsidRPr="00A23FB4" w:rsidRDefault="008C656F" w:rsidP="00262498">
      <w:pPr>
        <w:pStyle w:val="Normalny2"/>
        <w:numPr>
          <w:ilvl w:val="0"/>
          <w:numId w:val="309"/>
        </w:numPr>
        <w:jc w:val="both"/>
      </w:pPr>
      <w:r w:rsidRPr="00A23FB4">
        <w:t>elementy z betonu C30/37 muszą spełniać następujące parametry: wodoszczelność W-8, nasiąkliwość nie większa niż 5%, mrozoodporność F150, klasa ekspozycji betonu min XA1, wg PN-EN 206:2014-04. Nie dopuszcza się wklejania przejść szczelnych w dennicy studni (wszystkie przejścia szczelne muszą być monolityczne), profilowania kinety studni w warunkach budowy</w:t>
      </w:r>
    </w:p>
    <w:p w14:paraId="217B4564" w14:textId="77777777" w:rsidR="008C656F" w:rsidRPr="00A23FB4" w:rsidRDefault="008C656F" w:rsidP="008C656F">
      <w:pPr>
        <w:pStyle w:val="Normalny2"/>
        <w:pBdr>
          <w:top w:val="nil"/>
          <w:left w:val="nil"/>
          <w:bottom w:val="nil"/>
          <w:right w:val="nil"/>
          <w:between w:val="nil"/>
        </w:pBdr>
        <w:spacing w:before="120" w:after="120"/>
        <w:jc w:val="both"/>
        <w:rPr>
          <w:b/>
        </w:rPr>
      </w:pPr>
      <w:r w:rsidRPr="00A23FB4">
        <w:rPr>
          <w:b/>
        </w:rPr>
        <w:t>2.2.8. Kruszywo na podsypkę</w:t>
      </w:r>
    </w:p>
    <w:p w14:paraId="1121D93C" w14:textId="77777777" w:rsidR="008C656F" w:rsidRPr="00A23FB4" w:rsidRDefault="008C656F" w:rsidP="008C656F">
      <w:pPr>
        <w:pStyle w:val="Normalny2"/>
        <w:pBdr>
          <w:top w:val="nil"/>
          <w:left w:val="nil"/>
          <w:bottom w:val="nil"/>
          <w:right w:val="nil"/>
          <w:between w:val="nil"/>
        </w:pBdr>
        <w:jc w:val="both"/>
      </w:pPr>
      <w:r w:rsidRPr="00A23FB4">
        <w:t>Podsypka może być wykonana z piasku lub pospółki. Użyty materiał na podsypkę powinien odpowiadać wymaganiom stosownych norm, np. PN-EN 12620, PN-EN 13043.</w:t>
      </w:r>
    </w:p>
    <w:p w14:paraId="5A978659" w14:textId="77777777" w:rsidR="008C656F" w:rsidRPr="00A23FB4" w:rsidRDefault="008C656F" w:rsidP="008C656F">
      <w:pPr>
        <w:pStyle w:val="Normalny2"/>
        <w:pBdr>
          <w:top w:val="nil"/>
          <w:left w:val="nil"/>
          <w:bottom w:val="nil"/>
          <w:right w:val="nil"/>
          <w:between w:val="nil"/>
        </w:pBdr>
        <w:spacing w:before="120" w:after="120"/>
        <w:jc w:val="both"/>
        <w:rPr>
          <w:b/>
        </w:rPr>
      </w:pPr>
      <w:r w:rsidRPr="00A23FB4">
        <w:rPr>
          <w:b/>
        </w:rPr>
        <w:t>2.2.9. Beton</w:t>
      </w:r>
    </w:p>
    <w:p w14:paraId="0209DCFA" w14:textId="77777777" w:rsidR="008C656F" w:rsidRPr="00A23FB4" w:rsidRDefault="008C656F" w:rsidP="008C656F">
      <w:pPr>
        <w:pStyle w:val="Normalny2"/>
        <w:pBdr>
          <w:top w:val="nil"/>
          <w:left w:val="nil"/>
          <w:bottom w:val="nil"/>
          <w:right w:val="nil"/>
          <w:between w:val="nil"/>
        </w:pBdr>
        <w:jc w:val="both"/>
      </w:pPr>
      <w:r w:rsidRPr="00A23FB4">
        <w:t>Beton użyty przy realizacji zadania powinien odpowiadać wymaganiom normy PN-EN 206-1.</w:t>
      </w:r>
    </w:p>
    <w:p w14:paraId="4F6F11BA" w14:textId="77777777" w:rsidR="008C656F" w:rsidRPr="00A23FB4" w:rsidRDefault="008C656F" w:rsidP="008C656F">
      <w:pPr>
        <w:pStyle w:val="Normalny2"/>
        <w:pBdr>
          <w:top w:val="nil"/>
          <w:left w:val="nil"/>
          <w:bottom w:val="nil"/>
          <w:right w:val="nil"/>
          <w:between w:val="nil"/>
        </w:pBdr>
        <w:spacing w:before="120" w:after="120"/>
        <w:jc w:val="both"/>
        <w:rPr>
          <w:b/>
        </w:rPr>
      </w:pPr>
      <w:r w:rsidRPr="00A23FB4">
        <w:rPr>
          <w:b/>
        </w:rPr>
        <w:t>2.2.10. Zaprawa cementowa</w:t>
      </w:r>
    </w:p>
    <w:p w14:paraId="7307DB2B" w14:textId="77777777" w:rsidR="008C656F" w:rsidRPr="00A23FB4" w:rsidRDefault="008C656F" w:rsidP="008C656F">
      <w:pPr>
        <w:pStyle w:val="Normalny2"/>
        <w:pBdr>
          <w:top w:val="nil"/>
          <w:left w:val="nil"/>
          <w:bottom w:val="nil"/>
          <w:right w:val="nil"/>
          <w:between w:val="nil"/>
        </w:pBdr>
        <w:jc w:val="both"/>
      </w:pPr>
      <w:bookmarkStart w:id="112" w:name="_heading=h.2ce457m" w:colFirst="0" w:colLast="0"/>
      <w:bookmarkEnd w:id="112"/>
      <w:r w:rsidRPr="00A23FB4">
        <w:t>Zaprawa cementowa użyta przy realizacji zadania powinna odpowiadać wymaganiom PN-B-14501.</w:t>
      </w:r>
    </w:p>
    <w:p w14:paraId="0F700639" w14:textId="77777777" w:rsidR="008C656F" w:rsidRPr="00A23FB4" w:rsidRDefault="008C656F" w:rsidP="008C656F">
      <w:pPr>
        <w:pStyle w:val="Normalny2"/>
        <w:pBdr>
          <w:top w:val="nil"/>
          <w:left w:val="nil"/>
          <w:bottom w:val="nil"/>
          <w:right w:val="nil"/>
          <w:between w:val="nil"/>
        </w:pBdr>
        <w:jc w:val="both"/>
      </w:pPr>
    </w:p>
    <w:p w14:paraId="57AB6716" w14:textId="77777777" w:rsidR="008C656F" w:rsidRPr="00A23FB4" w:rsidRDefault="008C656F" w:rsidP="008C656F">
      <w:pPr>
        <w:spacing w:before="240"/>
        <w:rPr>
          <w:rFonts w:asciiTheme="minorHAnsi" w:hAnsiTheme="minorHAnsi" w:cstheme="minorHAnsi"/>
          <w:b/>
        </w:rPr>
      </w:pPr>
      <w:r w:rsidRPr="00A23FB4">
        <w:rPr>
          <w:rFonts w:asciiTheme="minorHAnsi" w:hAnsiTheme="minorHAnsi" w:cstheme="minorHAnsi"/>
          <w:b/>
        </w:rPr>
        <w:t>2.3. Składowanie materiałów</w:t>
      </w:r>
    </w:p>
    <w:p w14:paraId="659EA18A" w14:textId="77777777" w:rsidR="008C656F" w:rsidRPr="00A23FB4" w:rsidRDefault="008C656F" w:rsidP="008C656F">
      <w:pPr>
        <w:pStyle w:val="Normalny2"/>
        <w:pBdr>
          <w:top w:val="nil"/>
          <w:left w:val="nil"/>
          <w:bottom w:val="nil"/>
          <w:right w:val="nil"/>
          <w:between w:val="nil"/>
        </w:pBdr>
        <w:spacing w:before="120" w:after="120"/>
        <w:jc w:val="both"/>
        <w:rPr>
          <w:b/>
        </w:rPr>
      </w:pPr>
      <w:r w:rsidRPr="00A23FB4">
        <w:rPr>
          <w:b/>
        </w:rPr>
        <w:t>2.3.1. Rury przewodowe</w:t>
      </w:r>
    </w:p>
    <w:p w14:paraId="11A81037" w14:textId="77777777" w:rsidR="008C656F" w:rsidRPr="00A23FB4" w:rsidRDefault="008C656F" w:rsidP="008C656F">
      <w:pPr>
        <w:pStyle w:val="Normalny2"/>
        <w:pBdr>
          <w:top w:val="nil"/>
          <w:left w:val="nil"/>
          <w:bottom w:val="nil"/>
          <w:right w:val="nil"/>
          <w:between w:val="nil"/>
        </w:pBdr>
        <w:jc w:val="both"/>
      </w:pPr>
      <w:r w:rsidRPr="00A23FB4">
        <w:t>Rury można składować na otwartej przestrzeni, układając je w pozycji leżącej jedno- lub wielowarstwowo, albo w pozycji stojącej. Rury należy zabezpieczyć klinami przed toczeniem. Powierzchnia składowania powinna być utwardzona i zabezpieczona przed gromadzeniem się wód opadowych.</w:t>
      </w:r>
    </w:p>
    <w:p w14:paraId="7782C2BA" w14:textId="77777777" w:rsidR="008C656F" w:rsidRPr="00A23FB4" w:rsidRDefault="008C656F" w:rsidP="008C656F">
      <w:pPr>
        <w:pStyle w:val="Normalny2"/>
        <w:pBdr>
          <w:top w:val="nil"/>
          <w:left w:val="nil"/>
          <w:bottom w:val="nil"/>
          <w:right w:val="nil"/>
          <w:between w:val="nil"/>
        </w:pBdr>
        <w:jc w:val="both"/>
      </w:pPr>
      <w:r w:rsidRPr="00A23FB4">
        <w:t>Wykonawca jest zobowiązany układać rury według poszczególnych grup, wielkości i gatunków w sposób zapewniający stateczność oraz umożliwiający dostęp do poszczególnych stosów lub pojedynczych rur.</w:t>
      </w:r>
    </w:p>
    <w:p w14:paraId="6E7554FA" w14:textId="77777777" w:rsidR="008C656F" w:rsidRPr="00A23FB4" w:rsidRDefault="008C656F" w:rsidP="008C656F">
      <w:pPr>
        <w:pStyle w:val="Normalny2"/>
        <w:pBdr>
          <w:top w:val="nil"/>
          <w:left w:val="nil"/>
          <w:bottom w:val="nil"/>
          <w:right w:val="nil"/>
          <w:between w:val="nil"/>
        </w:pBdr>
        <w:jc w:val="both"/>
      </w:pPr>
      <w:r w:rsidRPr="00A23FB4">
        <w:t>Ponadto rury powinny być składowane poziomo na podkładach drewnianych. Rury należy zabezpieczyć klinami przed toczeniem. Zabrania się składowania i opierania elementów bezpośrednio na gruncie. Wysokość stosu warstw do 2 m.</w:t>
      </w:r>
    </w:p>
    <w:p w14:paraId="2649DAF5" w14:textId="77777777" w:rsidR="008C656F" w:rsidRPr="00A23FB4" w:rsidRDefault="008C656F" w:rsidP="008C656F">
      <w:pPr>
        <w:pStyle w:val="Normalny2"/>
        <w:pBdr>
          <w:top w:val="nil"/>
          <w:left w:val="nil"/>
          <w:bottom w:val="nil"/>
          <w:right w:val="nil"/>
          <w:between w:val="nil"/>
        </w:pBdr>
        <w:jc w:val="both"/>
      </w:pPr>
      <w:r w:rsidRPr="00A23FB4">
        <w:t>Rury z tworzyw sztucznych nie powinny być narażone na bezpośrednie działanie promieniowania słonecznego. Temperatura w miejscu składowania nie powinna przekraczać 30˚C.</w:t>
      </w:r>
    </w:p>
    <w:p w14:paraId="7A619E46" w14:textId="77777777" w:rsidR="008C656F" w:rsidRPr="00A23FB4" w:rsidRDefault="008C656F" w:rsidP="008C656F">
      <w:pPr>
        <w:pStyle w:val="Normalny2"/>
        <w:pBdr>
          <w:top w:val="nil"/>
          <w:left w:val="nil"/>
          <w:bottom w:val="nil"/>
          <w:right w:val="nil"/>
          <w:between w:val="nil"/>
        </w:pBdr>
        <w:spacing w:before="120" w:after="120"/>
        <w:jc w:val="both"/>
        <w:rPr>
          <w:b/>
        </w:rPr>
      </w:pPr>
      <w:r w:rsidRPr="00A23FB4">
        <w:rPr>
          <w:b/>
        </w:rPr>
        <w:t>2.3.2. Kręgi</w:t>
      </w:r>
    </w:p>
    <w:p w14:paraId="0E01E941" w14:textId="77777777" w:rsidR="008C656F" w:rsidRPr="00A23FB4" w:rsidRDefault="008C656F" w:rsidP="008C656F">
      <w:pPr>
        <w:pStyle w:val="Normalny2"/>
        <w:pBdr>
          <w:top w:val="nil"/>
          <w:left w:val="nil"/>
          <w:bottom w:val="nil"/>
          <w:right w:val="nil"/>
          <w:between w:val="nil"/>
        </w:pBdr>
        <w:jc w:val="both"/>
      </w:pPr>
      <w:r w:rsidRPr="00A23FB4">
        <w:t>Kręgi można składować na powierzchni nieutwardzonej. Przy składowaniu wyrobów w pozycji wbudowania wysokość składowania nie powinna przekraczać 1,8 m. Składowanie powinno umożliwiać dostęp do poszczególnych stosów wyrobów lub pojedynczych kręgów.</w:t>
      </w:r>
    </w:p>
    <w:p w14:paraId="7A5E25F8" w14:textId="77777777" w:rsidR="008C656F" w:rsidRPr="00A23FB4" w:rsidRDefault="008C656F" w:rsidP="008C656F">
      <w:pPr>
        <w:pStyle w:val="Normalny2"/>
        <w:pBdr>
          <w:top w:val="nil"/>
          <w:left w:val="nil"/>
          <w:bottom w:val="nil"/>
          <w:right w:val="nil"/>
          <w:between w:val="nil"/>
        </w:pBdr>
        <w:spacing w:before="120" w:after="120"/>
        <w:jc w:val="both"/>
        <w:rPr>
          <w:b/>
        </w:rPr>
      </w:pPr>
      <w:r w:rsidRPr="00A23FB4">
        <w:rPr>
          <w:b/>
        </w:rPr>
        <w:t>2.3.3. Włazy kanałowe i stopnie</w:t>
      </w:r>
    </w:p>
    <w:p w14:paraId="08E3A69D" w14:textId="77777777" w:rsidR="008C656F" w:rsidRPr="00A23FB4" w:rsidRDefault="008C656F" w:rsidP="008C656F">
      <w:pPr>
        <w:pStyle w:val="Normalny2"/>
        <w:pBdr>
          <w:top w:val="nil"/>
          <w:left w:val="nil"/>
          <w:bottom w:val="nil"/>
          <w:right w:val="nil"/>
          <w:between w:val="nil"/>
        </w:pBdr>
        <w:jc w:val="both"/>
      </w:pPr>
      <w:r w:rsidRPr="00A23FB4">
        <w:t>Włazy kanałowe i stopnie powinny być składowane z dala od substancji działających korodująco. Włazy powinny być posegregowane wg klas. Powierzchnia składowania powinna być utwardzona i odwodniona.</w:t>
      </w:r>
    </w:p>
    <w:p w14:paraId="207B90E8" w14:textId="77777777" w:rsidR="008C656F" w:rsidRPr="00A23FB4" w:rsidRDefault="008C656F" w:rsidP="008C656F">
      <w:pPr>
        <w:pStyle w:val="Normalny2"/>
        <w:pBdr>
          <w:top w:val="nil"/>
          <w:left w:val="nil"/>
          <w:bottom w:val="nil"/>
          <w:right w:val="nil"/>
          <w:between w:val="nil"/>
        </w:pBdr>
        <w:spacing w:before="120" w:after="120"/>
        <w:jc w:val="both"/>
        <w:rPr>
          <w:b/>
        </w:rPr>
      </w:pPr>
      <w:r w:rsidRPr="00A23FB4">
        <w:rPr>
          <w:b/>
        </w:rPr>
        <w:t>2.3.4. Armatura i kształtki</w:t>
      </w:r>
    </w:p>
    <w:p w14:paraId="3F72CCC7" w14:textId="77777777" w:rsidR="008C656F" w:rsidRPr="00A23FB4" w:rsidRDefault="008C656F" w:rsidP="008C656F">
      <w:pPr>
        <w:pStyle w:val="Normalny2"/>
        <w:pBdr>
          <w:top w:val="nil"/>
          <w:left w:val="nil"/>
          <w:bottom w:val="nil"/>
          <w:right w:val="nil"/>
          <w:between w:val="nil"/>
        </w:pBdr>
        <w:jc w:val="both"/>
      </w:pPr>
      <w:r w:rsidRPr="00A23FB4">
        <w:t>Armatura oraz kształtki powinna być przechowywana w pomieszczeniach zabezpieczonych przed wpływami atmosferycznymi i czynnikami powodującymi korozję.</w:t>
      </w:r>
    </w:p>
    <w:p w14:paraId="3226C67C" w14:textId="77777777" w:rsidR="008C656F" w:rsidRPr="00A23FB4" w:rsidRDefault="008C656F" w:rsidP="008C656F">
      <w:pPr>
        <w:pStyle w:val="Normalny2"/>
        <w:pBdr>
          <w:top w:val="nil"/>
          <w:left w:val="nil"/>
          <w:bottom w:val="nil"/>
          <w:right w:val="nil"/>
          <w:between w:val="nil"/>
        </w:pBdr>
        <w:jc w:val="both"/>
      </w:pPr>
    </w:p>
    <w:p w14:paraId="149954DF" w14:textId="77777777" w:rsidR="008C656F" w:rsidRPr="00A23FB4" w:rsidRDefault="008C656F" w:rsidP="008C656F">
      <w:pPr>
        <w:pStyle w:val="Normalny2"/>
        <w:pBdr>
          <w:top w:val="nil"/>
          <w:left w:val="nil"/>
          <w:bottom w:val="nil"/>
          <w:right w:val="nil"/>
          <w:between w:val="nil"/>
        </w:pBdr>
        <w:spacing w:before="120" w:after="120"/>
        <w:jc w:val="both"/>
        <w:rPr>
          <w:b/>
        </w:rPr>
      </w:pPr>
      <w:r w:rsidRPr="00A23FB4">
        <w:rPr>
          <w:b/>
        </w:rPr>
        <w:t>2.3.5. Elementy prefabrykowane</w:t>
      </w:r>
    </w:p>
    <w:p w14:paraId="5959AFF9" w14:textId="77777777" w:rsidR="008C656F" w:rsidRPr="00A23FB4" w:rsidRDefault="008C656F" w:rsidP="008C656F">
      <w:pPr>
        <w:pStyle w:val="Normalny2"/>
        <w:pBdr>
          <w:top w:val="nil"/>
          <w:left w:val="nil"/>
          <w:bottom w:val="nil"/>
          <w:right w:val="nil"/>
          <w:between w:val="nil"/>
        </w:pBdr>
        <w:jc w:val="both"/>
      </w:pPr>
      <w:r w:rsidRPr="00A23FB4">
        <w:t>Prefabrykaty betonowe powinny być składowane w pozycji wbudowania, na podłożu utwardzonym i dobrze odwodnionym.</w:t>
      </w:r>
    </w:p>
    <w:p w14:paraId="60C0CFCD" w14:textId="77777777" w:rsidR="008C656F" w:rsidRPr="00A23FB4" w:rsidRDefault="008C656F" w:rsidP="008C656F">
      <w:pPr>
        <w:pStyle w:val="Normalny2"/>
        <w:pBdr>
          <w:top w:val="nil"/>
          <w:left w:val="nil"/>
          <w:bottom w:val="nil"/>
          <w:right w:val="nil"/>
          <w:between w:val="nil"/>
        </w:pBdr>
        <w:spacing w:before="120" w:after="120"/>
        <w:jc w:val="both"/>
        <w:rPr>
          <w:b/>
        </w:rPr>
      </w:pPr>
      <w:r w:rsidRPr="00A23FB4">
        <w:rPr>
          <w:b/>
        </w:rPr>
        <w:t>2.3.6. Kruszywo</w:t>
      </w:r>
    </w:p>
    <w:p w14:paraId="5FF0DE56" w14:textId="77777777" w:rsidR="008C656F" w:rsidRPr="00A23FB4" w:rsidRDefault="008C656F" w:rsidP="008C656F">
      <w:pPr>
        <w:pStyle w:val="Normalny2"/>
        <w:pBdr>
          <w:top w:val="nil"/>
          <w:left w:val="nil"/>
          <w:bottom w:val="nil"/>
          <w:right w:val="nil"/>
          <w:between w:val="nil"/>
        </w:pBdr>
        <w:jc w:val="both"/>
      </w:pPr>
      <w:bookmarkStart w:id="113" w:name="_heading=h.rjefff" w:colFirst="0" w:colLast="0"/>
      <w:bookmarkEnd w:id="113"/>
      <w:r w:rsidRPr="00A23FB4">
        <w:t>Kruszywo należy składować na utwardzonym i odwodnionym podłożu w sposób zabezpieczający je przed zanieczyszczeniem i zmieszaniem z innymi rodzajami i frakcjami kruszyw.</w:t>
      </w:r>
    </w:p>
    <w:p w14:paraId="368E748A" w14:textId="77777777" w:rsidR="008C656F" w:rsidRPr="00A23FB4" w:rsidRDefault="008C656F" w:rsidP="008C656F">
      <w:pPr>
        <w:spacing w:before="240" w:after="240"/>
        <w:rPr>
          <w:rFonts w:asciiTheme="minorHAnsi" w:hAnsiTheme="minorHAnsi" w:cstheme="minorHAnsi"/>
          <w:b/>
        </w:rPr>
      </w:pPr>
      <w:bookmarkStart w:id="114" w:name="_heading=h.3bj1y38" w:colFirst="0" w:colLast="0"/>
      <w:bookmarkEnd w:id="114"/>
      <w:r w:rsidRPr="00A23FB4">
        <w:rPr>
          <w:rFonts w:asciiTheme="minorHAnsi" w:hAnsiTheme="minorHAnsi" w:cstheme="minorHAnsi"/>
          <w:b/>
        </w:rPr>
        <w:t>3. SPRZĘT</w:t>
      </w:r>
    </w:p>
    <w:p w14:paraId="1219B02C" w14:textId="77777777" w:rsidR="008C656F" w:rsidRPr="00A23FB4" w:rsidRDefault="008C656F" w:rsidP="008C656F">
      <w:pPr>
        <w:spacing w:before="240" w:after="240"/>
        <w:rPr>
          <w:rFonts w:asciiTheme="minorHAnsi" w:hAnsiTheme="minorHAnsi" w:cstheme="minorHAnsi"/>
          <w:b/>
        </w:rPr>
      </w:pPr>
      <w:r w:rsidRPr="00A23FB4">
        <w:rPr>
          <w:rFonts w:asciiTheme="minorHAnsi" w:hAnsiTheme="minorHAnsi" w:cstheme="minorHAnsi"/>
          <w:b/>
        </w:rPr>
        <w:t>3.1. Ogólne wymagania dotyczące sprzętu</w:t>
      </w:r>
    </w:p>
    <w:p w14:paraId="7E8839E2" w14:textId="77777777" w:rsidR="008C656F" w:rsidRPr="00A23FB4" w:rsidRDefault="008C656F" w:rsidP="008C656F">
      <w:pPr>
        <w:pStyle w:val="Normalny2"/>
        <w:pBdr>
          <w:top w:val="nil"/>
          <w:left w:val="nil"/>
          <w:bottom w:val="nil"/>
          <w:right w:val="nil"/>
          <w:between w:val="nil"/>
        </w:pBdr>
        <w:jc w:val="both"/>
      </w:pPr>
      <w:bookmarkStart w:id="115" w:name="_heading=h.1qoc8b1" w:colFirst="0" w:colLast="0"/>
      <w:bookmarkEnd w:id="115"/>
      <w:r w:rsidRPr="00A23FB4">
        <w:t>Wykonawca jest zobowiązany do używania jedynie takiego sprzętu, który nie spowoduje niekorzystnego wpływu na jakość wykonywanych robót.</w:t>
      </w:r>
    </w:p>
    <w:p w14:paraId="4B219241" w14:textId="77777777" w:rsidR="008C656F" w:rsidRPr="00A23FB4" w:rsidRDefault="008C656F" w:rsidP="008C656F">
      <w:pPr>
        <w:pStyle w:val="Normalny2"/>
        <w:keepNext/>
        <w:pBdr>
          <w:top w:val="nil"/>
          <w:left w:val="nil"/>
          <w:bottom w:val="nil"/>
          <w:right w:val="nil"/>
          <w:between w:val="nil"/>
        </w:pBdr>
        <w:spacing w:before="120" w:after="120"/>
        <w:jc w:val="both"/>
        <w:rPr>
          <w:b/>
        </w:rPr>
      </w:pPr>
      <w:r w:rsidRPr="00A23FB4">
        <w:rPr>
          <w:b/>
        </w:rPr>
        <w:t>3.2. Sprzęt do wykonania zadania</w:t>
      </w:r>
    </w:p>
    <w:p w14:paraId="61F4AAE4" w14:textId="77777777" w:rsidR="008C656F" w:rsidRPr="00A23FB4" w:rsidRDefault="008C656F" w:rsidP="008C656F">
      <w:pPr>
        <w:pStyle w:val="Normalny2"/>
        <w:widowControl w:val="0"/>
        <w:pBdr>
          <w:top w:val="nil"/>
          <w:left w:val="nil"/>
          <w:bottom w:val="nil"/>
          <w:right w:val="nil"/>
          <w:between w:val="nil"/>
        </w:pBdr>
        <w:jc w:val="both"/>
      </w:pPr>
      <w:r w:rsidRPr="00A23FB4">
        <w:t>Wykonawca przystępujący do wykonania przyłączy i elementów kanalizacyjnych powinien wykazać się możliwością korzystania m.in. z następującego sprzętu:</w:t>
      </w:r>
    </w:p>
    <w:p w14:paraId="7DF2C725" w14:textId="77777777" w:rsidR="008B531E" w:rsidRDefault="008C656F" w:rsidP="00262498">
      <w:pPr>
        <w:pStyle w:val="Normalny2"/>
        <w:numPr>
          <w:ilvl w:val="0"/>
          <w:numId w:val="239"/>
        </w:numPr>
        <w:pBdr>
          <w:top w:val="nil"/>
          <w:left w:val="nil"/>
          <w:bottom w:val="nil"/>
          <w:right w:val="nil"/>
          <w:between w:val="nil"/>
        </w:pBdr>
      </w:pPr>
      <w:r w:rsidRPr="00A23FB4">
        <w:t>samochodów dostawczych, samowyładowczych i skrzyniowych,</w:t>
      </w:r>
    </w:p>
    <w:p w14:paraId="2AE98E44" w14:textId="77777777" w:rsidR="008B531E" w:rsidRDefault="008C656F" w:rsidP="00262498">
      <w:pPr>
        <w:pStyle w:val="Normalny2"/>
        <w:numPr>
          <w:ilvl w:val="0"/>
          <w:numId w:val="239"/>
        </w:numPr>
        <w:pBdr>
          <w:top w:val="nil"/>
          <w:left w:val="nil"/>
          <w:bottom w:val="nil"/>
          <w:right w:val="nil"/>
          <w:between w:val="nil"/>
        </w:pBdr>
      </w:pPr>
      <w:r w:rsidRPr="00A23FB4">
        <w:t>żurawi budowlanych samochodowych,</w:t>
      </w:r>
    </w:p>
    <w:p w14:paraId="3E4C9FE9" w14:textId="77777777" w:rsidR="008B531E" w:rsidRDefault="008C656F" w:rsidP="00262498">
      <w:pPr>
        <w:pStyle w:val="Normalny2"/>
        <w:numPr>
          <w:ilvl w:val="0"/>
          <w:numId w:val="239"/>
        </w:numPr>
        <w:pBdr>
          <w:top w:val="nil"/>
          <w:left w:val="nil"/>
          <w:bottom w:val="nil"/>
          <w:right w:val="nil"/>
          <w:between w:val="nil"/>
        </w:pBdr>
      </w:pPr>
      <w:r w:rsidRPr="00A23FB4">
        <w:t>koparek kołowych lub gąsienicowych,</w:t>
      </w:r>
    </w:p>
    <w:p w14:paraId="68082FC0" w14:textId="77777777" w:rsidR="008B531E" w:rsidRDefault="008C656F" w:rsidP="00262498">
      <w:pPr>
        <w:pStyle w:val="Normalny2"/>
        <w:numPr>
          <w:ilvl w:val="0"/>
          <w:numId w:val="239"/>
        </w:numPr>
        <w:pBdr>
          <w:top w:val="nil"/>
          <w:left w:val="nil"/>
          <w:bottom w:val="nil"/>
          <w:right w:val="nil"/>
          <w:between w:val="nil"/>
        </w:pBdr>
      </w:pPr>
      <w:r w:rsidRPr="00A23FB4">
        <w:t>spycharek kołowych lub gąsienicowych,</w:t>
      </w:r>
    </w:p>
    <w:p w14:paraId="5FCB7363" w14:textId="77777777" w:rsidR="008B531E" w:rsidRDefault="008C656F" w:rsidP="00262498">
      <w:pPr>
        <w:pStyle w:val="Normalny2"/>
        <w:numPr>
          <w:ilvl w:val="0"/>
          <w:numId w:val="239"/>
        </w:numPr>
        <w:pBdr>
          <w:top w:val="nil"/>
          <w:left w:val="nil"/>
          <w:bottom w:val="nil"/>
          <w:right w:val="nil"/>
          <w:between w:val="nil"/>
        </w:pBdr>
      </w:pPr>
      <w:r w:rsidRPr="00A23FB4">
        <w:t>sprzętu do zagęszczania gruntu,</w:t>
      </w:r>
    </w:p>
    <w:p w14:paraId="6BD50214" w14:textId="77777777" w:rsidR="008B531E" w:rsidRDefault="008C656F" w:rsidP="00262498">
      <w:pPr>
        <w:pStyle w:val="Normalny2"/>
        <w:numPr>
          <w:ilvl w:val="0"/>
          <w:numId w:val="239"/>
        </w:numPr>
        <w:pBdr>
          <w:top w:val="nil"/>
          <w:left w:val="nil"/>
          <w:bottom w:val="nil"/>
          <w:right w:val="nil"/>
          <w:between w:val="nil"/>
        </w:pBdr>
      </w:pPr>
      <w:r w:rsidRPr="00A23FB4">
        <w:t>piły do cięcia asfaltu i betonu,</w:t>
      </w:r>
    </w:p>
    <w:p w14:paraId="62C21E12" w14:textId="77777777" w:rsidR="008B531E" w:rsidRDefault="008C656F" w:rsidP="00262498">
      <w:pPr>
        <w:pStyle w:val="Normalny2"/>
        <w:numPr>
          <w:ilvl w:val="0"/>
          <w:numId w:val="239"/>
        </w:numPr>
        <w:pBdr>
          <w:top w:val="nil"/>
          <w:left w:val="nil"/>
          <w:bottom w:val="nil"/>
          <w:right w:val="nil"/>
          <w:between w:val="nil"/>
        </w:pBdr>
      </w:pPr>
      <w:r w:rsidRPr="00A23FB4">
        <w:t>wiertarek pneumatycznych,</w:t>
      </w:r>
    </w:p>
    <w:p w14:paraId="73F40CF4" w14:textId="77777777" w:rsidR="008B531E" w:rsidRDefault="008C656F" w:rsidP="00262498">
      <w:pPr>
        <w:pStyle w:val="Normalny2"/>
        <w:numPr>
          <w:ilvl w:val="0"/>
          <w:numId w:val="239"/>
        </w:numPr>
        <w:pBdr>
          <w:top w:val="nil"/>
          <w:left w:val="nil"/>
          <w:bottom w:val="nil"/>
          <w:right w:val="nil"/>
          <w:between w:val="nil"/>
        </w:pBdr>
      </w:pPr>
      <w:r w:rsidRPr="00A23FB4">
        <w:t>wiertnic bezudarowych,</w:t>
      </w:r>
    </w:p>
    <w:p w14:paraId="2C6B1DF0" w14:textId="77777777" w:rsidR="008B531E" w:rsidRDefault="008C656F" w:rsidP="00262498">
      <w:pPr>
        <w:pStyle w:val="Normalny2"/>
        <w:numPr>
          <w:ilvl w:val="0"/>
          <w:numId w:val="239"/>
        </w:numPr>
        <w:pBdr>
          <w:top w:val="nil"/>
          <w:left w:val="nil"/>
          <w:bottom w:val="nil"/>
          <w:right w:val="nil"/>
          <w:between w:val="nil"/>
        </w:pBdr>
      </w:pPr>
      <w:r w:rsidRPr="00A23FB4">
        <w:t>pomp zatapialnych,</w:t>
      </w:r>
    </w:p>
    <w:p w14:paraId="60AEC682" w14:textId="77777777" w:rsidR="008B531E" w:rsidRDefault="008C656F" w:rsidP="00262498">
      <w:pPr>
        <w:pStyle w:val="Normalny2"/>
        <w:numPr>
          <w:ilvl w:val="0"/>
          <w:numId w:val="239"/>
        </w:numPr>
        <w:pBdr>
          <w:top w:val="nil"/>
          <w:left w:val="nil"/>
          <w:bottom w:val="nil"/>
          <w:right w:val="nil"/>
          <w:between w:val="nil"/>
        </w:pBdr>
      </w:pPr>
      <w:r w:rsidRPr="00A23FB4">
        <w:t>wciągarek mechanicznych,</w:t>
      </w:r>
    </w:p>
    <w:p w14:paraId="7AE4FCF4" w14:textId="77777777" w:rsidR="008B531E" w:rsidRDefault="008C656F" w:rsidP="00262498">
      <w:pPr>
        <w:pStyle w:val="Normalny2"/>
        <w:numPr>
          <w:ilvl w:val="0"/>
          <w:numId w:val="239"/>
        </w:numPr>
        <w:pBdr>
          <w:top w:val="nil"/>
          <w:left w:val="nil"/>
          <w:bottom w:val="nil"/>
          <w:right w:val="nil"/>
          <w:between w:val="nil"/>
        </w:pBdr>
      </w:pPr>
      <w:r w:rsidRPr="00A23FB4">
        <w:t>wciągarek ręcznych,</w:t>
      </w:r>
    </w:p>
    <w:p w14:paraId="5F3EA02A" w14:textId="77777777" w:rsidR="008B531E" w:rsidRDefault="008C656F" w:rsidP="00262498">
      <w:pPr>
        <w:pStyle w:val="Normalny2"/>
        <w:numPr>
          <w:ilvl w:val="0"/>
          <w:numId w:val="239"/>
        </w:numPr>
        <w:pBdr>
          <w:top w:val="nil"/>
          <w:left w:val="nil"/>
          <w:bottom w:val="nil"/>
          <w:right w:val="nil"/>
          <w:between w:val="nil"/>
        </w:pBdr>
      </w:pPr>
      <w:r w:rsidRPr="00A23FB4">
        <w:t>zgrzewarek do łączenia rur PEHD doczołowo,</w:t>
      </w:r>
    </w:p>
    <w:p w14:paraId="3AC988A0" w14:textId="77777777" w:rsidR="008B531E" w:rsidRDefault="008C656F" w:rsidP="00262498">
      <w:pPr>
        <w:pStyle w:val="Normalny2"/>
        <w:numPr>
          <w:ilvl w:val="0"/>
          <w:numId w:val="239"/>
        </w:numPr>
        <w:pBdr>
          <w:top w:val="nil"/>
          <w:left w:val="nil"/>
          <w:bottom w:val="nil"/>
          <w:right w:val="nil"/>
          <w:between w:val="nil"/>
        </w:pBdr>
      </w:pPr>
      <w:r w:rsidRPr="00A23FB4">
        <w:t>zgrzewarek do łączenia rur PEHD elektrooporowo,</w:t>
      </w:r>
    </w:p>
    <w:p w14:paraId="695BC03A" w14:textId="77777777" w:rsidR="008B531E" w:rsidRDefault="008C656F" w:rsidP="00262498">
      <w:pPr>
        <w:pStyle w:val="Normalny2"/>
        <w:numPr>
          <w:ilvl w:val="0"/>
          <w:numId w:val="239"/>
        </w:numPr>
        <w:pBdr>
          <w:top w:val="nil"/>
          <w:left w:val="nil"/>
          <w:bottom w:val="nil"/>
          <w:right w:val="nil"/>
          <w:between w:val="nil"/>
        </w:pBdr>
      </w:pPr>
      <w:r w:rsidRPr="00A23FB4">
        <w:t>wibromłotów bezrezonansowych,</w:t>
      </w:r>
      <w:bookmarkStart w:id="116" w:name="_heading=h.4anzqyu" w:colFirst="0" w:colLast="0"/>
      <w:bookmarkEnd w:id="116"/>
    </w:p>
    <w:p w14:paraId="7652B7CA" w14:textId="701178FF" w:rsidR="008C656F" w:rsidRPr="00A23FB4" w:rsidRDefault="008C656F" w:rsidP="00262498">
      <w:pPr>
        <w:pStyle w:val="Normalny2"/>
        <w:numPr>
          <w:ilvl w:val="0"/>
          <w:numId w:val="239"/>
        </w:numPr>
        <w:pBdr>
          <w:top w:val="nil"/>
          <w:left w:val="nil"/>
          <w:bottom w:val="nil"/>
          <w:right w:val="nil"/>
          <w:between w:val="nil"/>
        </w:pBdr>
      </w:pPr>
      <w:r w:rsidRPr="00A23FB4">
        <w:t>inne, zgodne ze specyfiką prac budowlanych oraz przedmiarem robót.</w:t>
      </w:r>
    </w:p>
    <w:p w14:paraId="5E61C2E8" w14:textId="77777777" w:rsidR="008C656F" w:rsidRPr="00A23FB4" w:rsidRDefault="008C656F" w:rsidP="008C656F">
      <w:pPr>
        <w:pStyle w:val="Normalny2"/>
        <w:keepNext/>
        <w:pBdr>
          <w:top w:val="nil"/>
          <w:left w:val="nil"/>
          <w:bottom w:val="nil"/>
          <w:right w:val="nil"/>
          <w:between w:val="nil"/>
        </w:pBdr>
        <w:spacing w:before="240" w:after="240"/>
        <w:jc w:val="both"/>
        <w:rPr>
          <w:b/>
        </w:rPr>
      </w:pPr>
      <w:bookmarkStart w:id="117" w:name="_heading=h.2pta16n" w:colFirst="0" w:colLast="0"/>
      <w:bookmarkEnd w:id="117"/>
      <w:r w:rsidRPr="00A23FB4">
        <w:rPr>
          <w:b/>
        </w:rPr>
        <w:t>4. TRANSPORT</w:t>
      </w:r>
    </w:p>
    <w:p w14:paraId="677F284D" w14:textId="77777777" w:rsidR="008C656F" w:rsidRPr="00A23FB4" w:rsidRDefault="008C656F" w:rsidP="008C656F">
      <w:pPr>
        <w:pStyle w:val="Normalny2"/>
        <w:keepNext/>
        <w:pBdr>
          <w:top w:val="nil"/>
          <w:left w:val="nil"/>
          <w:bottom w:val="nil"/>
          <w:right w:val="nil"/>
          <w:between w:val="nil"/>
        </w:pBdr>
        <w:spacing w:before="120" w:after="120"/>
        <w:jc w:val="both"/>
        <w:rPr>
          <w:b/>
        </w:rPr>
      </w:pPr>
      <w:r w:rsidRPr="00A23FB4">
        <w:rPr>
          <w:b/>
        </w:rPr>
        <w:t>4.1. Ogólne wymagania dotyczące transportu materiałów</w:t>
      </w:r>
    </w:p>
    <w:p w14:paraId="143A1301" w14:textId="77777777" w:rsidR="008C656F" w:rsidRPr="00A23FB4" w:rsidRDefault="008C656F" w:rsidP="008C656F">
      <w:pPr>
        <w:pStyle w:val="Normalny2"/>
        <w:pBdr>
          <w:top w:val="nil"/>
          <w:left w:val="nil"/>
          <w:bottom w:val="nil"/>
          <w:right w:val="nil"/>
          <w:between w:val="nil"/>
        </w:pBdr>
        <w:jc w:val="both"/>
      </w:pPr>
      <w:r w:rsidRPr="00A23FB4">
        <w:t>Wykonawca jest zobowiązany do stosowania środków transportu, które nie wpłyną niekorzystnie na jakość wykonywanych robót i właściwości przewożonych materiałów.</w:t>
      </w:r>
    </w:p>
    <w:p w14:paraId="12F7B89A" w14:textId="77777777" w:rsidR="008C656F" w:rsidRPr="00A23FB4" w:rsidRDefault="008C656F" w:rsidP="008C656F">
      <w:pPr>
        <w:pStyle w:val="Normalny2"/>
        <w:pBdr>
          <w:top w:val="nil"/>
          <w:left w:val="nil"/>
          <w:bottom w:val="nil"/>
          <w:right w:val="nil"/>
          <w:between w:val="nil"/>
        </w:pBdr>
        <w:jc w:val="both"/>
      </w:pPr>
      <w:r w:rsidRPr="00A23FB4">
        <w:t>Przy pracach transportowych należy przestrzegać przepisów obowiązujących w publicznym transporcie drogowym i kolejowym oraz zgodnie z zaleceniami producenta.</w:t>
      </w:r>
    </w:p>
    <w:p w14:paraId="44719801" w14:textId="77777777" w:rsidR="008C656F" w:rsidRPr="00A23FB4" w:rsidRDefault="008C656F" w:rsidP="008C656F">
      <w:pPr>
        <w:pStyle w:val="Normalny2"/>
        <w:pBdr>
          <w:top w:val="nil"/>
          <w:left w:val="nil"/>
          <w:bottom w:val="nil"/>
          <w:right w:val="nil"/>
          <w:between w:val="nil"/>
        </w:pBdr>
        <w:jc w:val="both"/>
      </w:pPr>
      <w:bookmarkStart w:id="118" w:name="_heading=h.14ykbeg" w:colFirst="0" w:colLast="0"/>
      <w:bookmarkEnd w:id="118"/>
      <w:r w:rsidRPr="00A23FB4">
        <w:t>Transport materiałów powinien odbywać się zgodnie z zaleceniami producentów.</w:t>
      </w:r>
    </w:p>
    <w:p w14:paraId="54E130B5" w14:textId="77777777" w:rsidR="008C656F" w:rsidRPr="00A23FB4" w:rsidRDefault="008C656F" w:rsidP="008C656F">
      <w:pPr>
        <w:pStyle w:val="Normalny2"/>
        <w:keepNext/>
        <w:pBdr>
          <w:top w:val="nil"/>
          <w:left w:val="nil"/>
          <w:bottom w:val="nil"/>
          <w:right w:val="nil"/>
          <w:between w:val="nil"/>
        </w:pBdr>
        <w:spacing w:before="120" w:after="120"/>
        <w:jc w:val="both"/>
        <w:rPr>
          <w:b/>
        </w:rPr>
      </w:pPr>
      <w:r w:rsidRPr="00A23FB4">
        <w:rPr>
          <w:b/>
        </w:rPr>
        <w:t>4.2. Transport rur kanałowych</w:t>
      </w:r>
    </w:p>
    <w:p w14:paraId="5E16817E" w14:textId="77777777" w:rsidR="008C656F" w:rsidRPr="00A23FB4" w:rsidRDefault="008C656F" w:rsidP="008C656F">
      <w:pPr>
        <w:pStyle w:val="Normalny2"/>
        <w:pBdr>
          <w:top w:val="nil"/>
          <w:left w:val="nil"/>
          <w:bottom w:val="nil"/>
          <w:right w:val="nil"/>
          <w:between w:val="nil"/>
        </w:pBdr>
        <w:jc w:val="both"/>
      </w:pPr>
      <w:r w:rsidRPr="00A23FB4">
        <w:t>Rury, mogą być przewożone dowolnymi środkami transportu w sposób zabezpieczający je przed uszkodzeniem lub zniszczeniem. Wykonawca zapewni przewóz rur w pozycji poziomej wzdłuż środka transportu, z wyjątkiem rur betonowych o stosunku średnicy nominalnej do długości, większej niż 1,0 m, które należy przewozić w pozycji pionowej i tylko w jednej warstwie. Wykonawca zabezpieczy wyroby przewożone w pozycji poziomej przed przesuwaniem i przetaczaniem pod wpływem sił bezwładności występujących w czasie ruchu pojazdów. Przy wielowarstwowym układaniu rur górna warstwa nie może przewyższać ścian środka transportu o więcej niż 1/3 średnicy zewnętrznej wyrobu. Pierwszą warstwę rur kielichowych należy układać na podkładach drewnianych, zaś poszczególne warstwy w miejscach stykania się wyrobów należy przekładać materiałem wyściółkowym (o grubości warstwy od 2 do 4 cm po ugnieceniu).</w:t>
      </w:r>
    </w:p>
    <w:p w14:paraId="2072B4A3" w14:textId="77777777" w:rsidR="008C656F" w:rsidRPr="00A23FB4" w:rsidRDefault="008C656F" w:rsidP="008C656F">
      <w:pPr>
        <w:pStyle w:val="Normalny2"/>
        <w:pBdr>
          <w:top w:val="nil"/>
          <w:left w:val="nil"/>
          <w:bottom w:val="nil"/>
          <w:right w:val="nil"/>
          <w:between w:val="nil"/>
        </w:pBdr>
        <w:jc w:val="both"/>
      </w:pPr>
      <w:r w:rsidRPr="00A23FB4">
        <w:t>Rozładunek rur z samochodów powinien odbywać się za pomocą pasów, zawiesi z uchwytami kulowymi lub wózka widłowego. Do rur, w których zamontowano kugle transportowe, należy stosować sprzęgi o odpowiedniej nośności z tego samego systemu transportowego.</w:t>
      </w:r>
    </w:p>
    <w:p w14:paraId="6B88A056" w14:textId="77777777" w:rsidR="008C656F" w:rsidRPr="00A23FB4" w:rsidRDefault="008C656F" w:rsidP="008C656F">
      <w:pPr>
        <w:pStyle w:val="Normalny2"/>
        <w:pBdr>
          <w:top w:val="nil"/>
          <w:left w:val="nil"/>
          <w:bottom w:val="nil"/>
          <w:right w:val="nil"/>
          <w:between w:val="nil"/>
        </w:pBdr>
        <w:jc w:val="both"/>
      </w:pPr>
      <w:bookmarkStart w:id="119" w:name="_heading=h.3oy7u29" w:colFirst="0" w:colLast="0"/>
      <w:bookmarkEnd w:id="119"/>
      <w:r w:rsidRPr="00A23FB4">
        <w:t>W trakcie załadunku, rozładunku i składowania należy zabezpieczyć rury przed uszkodzeniami mechanicznymi. Zabronione jest rzucanie rur i przesuwanie po podłożu.</w:t>
      </w:r>
    </w:p>
    <w:p w14:paraId="737BFC40" w14:textId="77777777" w:rsidR="008C656F" w:rsidRPr="00A23FB4" w:rsidRDefault="008C656F" w:rsidP="008C656F">
      <w:pPr>
        <w:pStyle w:val="Normalny2"/>
        <w:keepNext/>
        <w:pBdr>
          <w:top w:val="nil"/>
          <w:left w:val="nil"/>
          <w:bottom w:val="nil"/>
          <w:right w:val="nil"/>
          <w:between w:val="nil"/>
        </w:pBdr>
        <w:spacing w:before="120" w:after="120"/>
        <w:jc w:val="both"/>
        <w:rPr>
          <w:b/>
        </w:rPr>
      </w:pPr>
      <w:r w:rsidRPr="00A23FB4">
        <w:rPr>
          <w:b/>
        </w:rPr>
        <w:t>4.3. Transport kręgów</w:t>
      </w:r>
    </w:p>
    <w:p w14:paraId="76890A93" w14:textId="77777777" w:rsidR="008C656F" w:rsidRPr="00A23FB4" w:rsidRDefault="008C656F" w:rsidP="008C656F">
      <w:pPr>
        <w:pStyle w:val="Normalny2"/>
        <w:pBdr>
          <w:top w:val="nil"/>
          <w:left w:val="nil"/>
          <w:bottom w:val="nil"/>
          <w:right w:val="nil"/>
          <w:between w:val="nil"/>
        </w:pBdr>
        <w:jc w:val="both"/>
      </w:pPr>
      <w:bookmarkStart w:id="120" w:name="_heading=h.243i4a2" w:colFirst="0" w:colLast="0"/>
      <w:bookmarkEnd w:id="120"/>
      <w:r w:rsidRPr="00A23FB4">
        <w:t>Transport kręgów powinien odbywać się samochodami w pozycji wbudowania lub prostopadle do pozycji wbudowania. Dla zabezpieczenia przed uszkodzeniem przewożonych elementów, Wykonawca dokona ich usztywnienia przez zastosowanie przekładek, rozporów i klinów z drewna, gumy lub innych odpowiednich materiałów. Podnoszenie i opuszczanie kręgów należy wykonywać za pomocą minimum trzech lin zawiesia rozmieszczonych równomiernie na obwodzie prefabrykatu.</w:t>
      </w:r>
    </w:p>
    <w:p w14:paraId="026795D4" w14:textId="77777777" w:rsidR="008C656F" w:rsidRPr="00A23FB4" w:rsidRDefault="008C656F" w:rsidP="008C656F">
      <w:pPr>
        <w:pStyle w:val="Normalny2"/>
        <w:keepNext/>
        <w:pBdr>
          <w:top w:val="nil"/>
          <w:left w:val="nil"/>
          <w:bottom w:val="nil"/>
          <w:right w:val="nil"/>
          <w:between w:val="nil"/>
        </w:pBdr>
        <w:spacing w:before="120" w:after="120"/>
        <w:jc w:val="both"/>
        <w:rPr>
          <w:b/>
        </w:rPr>
      </w:pPr>
      <w:r w:rsidRPr="00A23FB4">
        <w:rPr>
          <w:b/>
        </w:rPr>
        <w:t>4.4. Transport włazów kanałowych</w:t>
      </w:r>
    </w:p>
    <w:p w14:paraId="5AEB9332" w14:textId="77777777" w:rsidR="008C656F" w:rsidRPr="00A23FB4" w:rsidRDefault="008C656F" w:rsidP="008C656F">
      <w:pPr>
        <w:pStyle w:val="Normalny2"/>
        <w:pBdr>
          <w:top w:val="nil"/>
          <w:left w:val="nil"/>
          <w:bottom w:val="nil"/>
          <w:right w:val="nil"/>
          <w:between w:val="nil"/>
        </w:pBdr>
        <w:jc w:val="both"/>
      </w:pPr>
      <w:bookmarkStart w:id="121" w:name="_heading=h.j8sehv" w:colFirst="0" w:colLast="0"/>
      <w:bookmarkEnd w:id="121"/>
      <w:r w:rsidRPr="00A23FB4">
        <w:t xml:space="preserve">Włazy kanałowe mogą być transportowane dowolnymi środkami transportu w sposób zabezpieczony przed przemieszczaniem i uszkodzeniem. Włazy typu ciężkiego mogą być przewożone luzem, natomiast typu lekkiego należy układać na paletach. </w:t>
      </w:r>
    </w:p>
    <w:p w14:paraId="1A7AD350" w14:textId="77777777" w:rsidR="008C656F" w:rsidRPr="00A23FB4" w:rsidRDefault="008C656F" w:rsidP="008C656F">
      <w:pPr>
        <w:pStyle w:val="Normalny2"/>
        <w:keepNext/>
        <w:pBdr>
          <w:top w:val="nil"/>
          <w:left w:val="nil"/>
          <w:bottom w:val="nil"/>
          <w:right w:val="nil"/>
          <w:between w:val="nil"/>
        </w:pBdr>
        <w:spacing w:before="120" w:after="120"/>
        <w:jc w:val="both"/>
        <w:rPr>
          <w:b/>
        </w:rPr>
      </w:pPr>
      <w:r w:rsidRPr="00A23FB4">
        <w:rPr>
          <w:b/>
        </w:rPr>
        <w:t>4.5. Transport kształtek i armatury</w:t>
      </w:r>
    </w:p>
    <w:p w14:paraId="75096EFD" w14:textId="77777777" w:rsidR="008C656F" w:rsidRPr="00A23FB4" w:rsidRDefault="008C656F" w:rsidP="008C656F">
      <w:pPr>
        <w:pStyle w:val="Normalny2"/>
        <w:pBdr>
          <w:top w:val="nil"/>
          <w:left w:val="nil"/>
          <w:bottom w:val="nil"/>
          <w:right w:val="nil"/>
          <w:between w:val="nil"/>
        </w:pBdr>
        <w:jc w:val="both"/>
      </w:pPr>
      <w:bookmarkStart w:id="122" w:name="_heading=h.338fx5o" w:colFirst="0" w:colLast="0"/>
      <w:bookmarkEnd w:id="122"/>
      <w:r w:rsidRPr="00A23FB4">
        <w:t>Kształtki, armatura oraz włazy mogą być przewożone dowolnymi środkami transportu, w sposób zabezpieczony i uniemożliwiający przed ich przemieszczaniem i uszkodzeniem.</w:t>
      </w:r>
    </w:p>
    <w:p w14:paraId="05F3D254" w14:textId="77777777" w:rsidR="008C656F" w:rsidRPr="00A23FB4" w:rsidRDefault="008C656F" w:rsidP="008C656F">
      <w:pPr>
        <w:pStyle w:val="Normalny2"/>
        <w:keepNext/>
        <w:pBdr>
          <w:top w:val="nil"/>
          <w:left w:val="nil"/>
          <w:bottom w:val="nil"/>
          <w:right w:val="nil"/>
          <w:between w:val="nil"/>
        </w:pBdr>
        <w:spacing w:before="120" w:after="120"/>
        <w:jc w:val="both"/>
        <w:rPr>
          <w:b/>
        </w:rPr>
      </w:pPr>
      <w:r w:rsidRPr="00A23FB4">
        <w:rPr>
          <w:b/>
        </w:rPr>
        <w:t>4.6. Transport mieszanki betonowej</w:t>
      </w:r>
    </w:p>
    <w:p w14:paraId="75D8A213" w14:textId="77777777" w:rsidR="008C656F" w:rsidRPr="00A23FB4" w:rsidRDefault="008C656F" w:rsidP="008C656F">
      <w:pPr>
        <w:pStyle w:val="Normalny2"/>
        <w:pBdr>
          <w:top w:val="nil"/>
          <w:left w:val="nil"/>
          <w:bottom w:val="nil"/>
          <w:right w:val="nil"/>
          <w:between w:val="nil"/>
        </w:pBdr>
        <w:jc w:val="both"/>
      </w:pPr>
      <w:bookmarkStart w:id="123" w:name="_heading=h.1idq7dh" w:colFirst="0" w:colLast="0"/>
      <w:bookmarkEnd w:id="123"/>
      <w:r w:rsidRPr="00A23FB4">
        <w:t>Do przewozu mieszanki betonowej Wykonawca zapewni takie środki transportowe, które nie spowodują segregacji składników, zmiany składu mieszanki, zanieczyszczenia mieszanki i obniżenia temperatury przekraczającej granicę określoną w wymaganiach technologicznych.</w:t>
      </w:r>
    </w:p>
    <w:p w14:paraId="12CEB0A3" w14:textId="77777777" w:rsidR="008C656F" w:rsidRPr="00A23FB4" w:rsidRDefault="008C656F" w:rsidP="008C656F">
      <w:pPr>
        <w:pStyle w:val="Normalny2"/>
        <w:keepNext/>
        <w:pBdr>
          <w:top w:val="nil"/>
          <w:left w:val="nil"/>
          <w:bottom w:val="nil"/>
          <w:right w:val="nil"/>
          <w:between w:val="nil"/>
        </w:pBdr>
        <w:spacing w:before="120" w:after="120"/>
        <w:jc w:val="both"/>
        <w:rPr>
          <w:b/>
        </w:rPr>
      </w:pPr>
      <w:r w:rsidRPr="00A23FB4">
        <w:rPr>
          <w:b/>
        </w:rPr>
        <w:t>4.7. Transport kruszyw</w:t>
      </w:r>
    </w:p>
    <w:p w14:paraId="1E5B08E7" w14:textId="77777777" w:rsidR="008C656F" w:rsidRPr="00A23FB4" w:rsidRDefault="008C656F" w:rsidP="008C656F">
      <w:pPr>
        <w:pStyle w:val="Normalny2"/>
        <w:pBdr>
          <w:top w:val="nil"/>
          <w:left w:val="nil"/>
          <w:bottom w:val="nil"/>
          <w:right w:val="nil"/>
          <w:between w:val="nil"/>
        </w:pBdr>
        <w:jc w:val="both"/>
      </w:pPr>
      <w:bookmarkStart w:id="124" w:name="_heading=h.42ddq1a" w:colFirst="0" w:colLast="0"/>
      <w:bookmarkEnd w:id="124"/>
      <w:r w:rsidRPr="00A23FB4">
        <w:t>Kruszywa mogą być przewożone dowolnymi środkami transportu, w sposób zabezpieczający je przed zanieczyszczeniem i nadmiernym zawilgoceniem.</w:t>
      </w:r>
    </w:p>
    <w:p w14:paraId="2571356D" w14:textId="77777777" w:rsidR="008C656F" w:rsidRPr="00A23FB4" w:rsidRDefault="008C656F" w:rsidP="008C656F">
      <w:pPr>
        <w:pStyle w:val="Normalny2"/>
        <w:keepNext/>
        <w:pBdr>
          <w:top w:val="nil"/>
          <w:left w:val="nil"/>
          <w:bottom w:val="nil"/>
          <w:right w:val="nil"/>
          <w:between w:val="nil"/>
        </w:pBdr>
        <w:spacing w:before="120" w:after="120"/>
        <w:jc w:val="both"/>
        <w:rPr>
          <w:b/>
        </w:rPr>
      </w:pPr>
      <w:r w:rsidRPr="00A23FB4">
        <w:rPr>
          <w:b/>
        </w:rPr>
        <w:t>4.8. Transport cementu i jego przechowywanie</w:t>
      </w:r>
    </w:p>
    <w:p w14:paraId="031B5039" w14:textId="77777777" w:rsidR="008C656F" w:rsidRPr="00A23FB4" w:rsidRDefault="008C656F" w:rsidP="008C656F">
      <w:pPr>
        <w:pStyle w:val="Normalny2"/>
        <w:pBdr>
          <w:top w:val="nil"/>
          <w:left w:val="nil"/>
          <w:bottom w:val="nil"/>
          <w:right w:val="nil"/>
          <w:between w:val="nil"/>
        </w:pBdr>
        <w:jc w:val="both"/>
      </w:pPr>
      <w:bookmarkStart w:id="125" w:name="_heading=h.2hio093" w:colFirst="0" w:colLast="0"/>
      <w:bookmarkEnd w:id="125"/>
      <w:r w:rsidRPr="00A23FB4">
        <w:t>Transport cementu i przechowywanie powinny być zgodne z PN-EN 197.</w:t>
      </w:r>
    </w:p>
    <w:p w14:paraId="49E141F8" w14:textId="77777777" w:rsidR="008C656F" w:rsidRPr="00A23FB4" w:rsidRDefault="008C656F" w:rsidP="008C656F">
      <w:pPr>
        <w:pStyle w:val="Normalny2"/>
        <w:keepNext/>
        <w:pBdr>
          <w:top w:val="nil"/>
          <w:left w:val="nil"/>
          <w:bottom w:val="nil"/>
          <w:right w:val="nil"/>
          <w:between w:val="nil"/>
        </w:pBdr>
        <w:spacing w:before="240" w:after="240"/>
        <w:jc w:val="both"/>
        <w:rPr>
          <w:b/>
        </w:rPr>
      </w:pPr>
      <w:r w:rsidRPr="00A23FB4">
        <w:rPr>
          <w:b/>
        </w:rPr>
        <w:t xml:space="preserve">5. WYKONYWANIE ROBÓT </w:t>
      </w:r>
    </w:p>
    <w:p w14:paraId="61ACA7D4" w14:textId="77777777" w:rsidR="008C656F" w:rsidRPr="00A23FB4" w:rsidRDefault="008C656F" w:rsidP="008C656F">
      <w:pPr>
        <w:pStyle w:val="Normalny2"/>
        <w:pBdr>
          <w:top w:val="nil"/>
          <w:left w:val="nil"/>
          <w:bottom w:val="nil"/>
          <w:right w:val="nil"/>
          <w:between w:val="nil"/>
        </w:pBdr>
        <w:jc w:val="both"/>
      </w:pPr>
      <w:bookmarkStart w:id="126" w:name="_heading=h.wnyagw" w:colFirst="0" w:colLast="0"/>
      <w:bookmarkEnd w:id="126"/>
      <w:r w:rsidRPr="00A23FB4">
        <w:t>Wbudowanie materiałów powinno uwzględniać wymagania producentów.</w:t>
      </w:r>
    </w:p>
    <w:p w14:paraId="37AF4D9A" w14:textId="77777777" w:rsidR="008C656F" w:rsidRPr="00A23FB4" w:rsidRDefault="008C656F" w:rsidP="008C656F">
      <w:pPr>
        <w:pStyle w:val="Normalny2"/>
        <w:keepNext/>
        <w:pBdr>
          <w:top w:val="nil"/>
          <w:left w:val="nil"/>
          <w:bottom w:val="nil"/>
          <w:right w:val="nil"/>
          <w:between w:val="nil"/>
        </w:pBdr>
        <w:spacing w:before="120" w:after="120"/>
        <w:jc w:val="both"/>
        <w:rPr>
          <w:b/>
        </w:rPr>
      </w:pPr>
      <w:r w:rsidRPr="00A23FB4">
        <w:rPr>
          <w:b/>
        </w:rPr>
        <w:t>5.1. Ogólne zasady wykonania robót</w:t>
      </w:r>
    </w:p>
    <w:p w14:paraId="5B40E1C3" w14:textId="32ABFEBC" w:rsidR="008C656F" w:rsidRPr="00A23FB4" w:rsidRDefault="008C656F" w:rsidP="008C656F">
      <w:pPr>
        <w:pStyle w:val="Normalny2"/>
        <w:pBdr>
          <w:top w:val="nil"/>
          <w:left w:val="nil"/>
          <w:bottom w:val="nil"/>
          <w:right w:val="nil"/>
          <w:between w:val="nil"/>
        </w:pBdr>
        <w:jc w:val="both"/>
      </w:pPr>
      <w:r w:rsidRPr="00A23FB4">
        <w:t xml:space="preserve">Warunki ogólne wykonywania robót podano w </w:t>
      </w:r>
      <w:r w:rsidR="00CA1B27">
        <w:t>ST</w:t>
      </w:r>
      <w:r w:rsidRPr="00A23FB4">
        <w:t>WiORB „Wymagania ogólne”.</w:t>
      </w:r>
    </w:p>
    <w:p w14:paraId="6321E75B" w14:textId="77777777" w:rsidR="008C656F" w:rsidRPr="00A23FB4" w:rsidRDefault="008C656F" w:rsidP="008C656F">
      <w:pPr>
        <w:pStyle w:val="Normalny2"/>
        <w:pBdr>
          <w:top w:val="nil"/>
          <w:left w:val="nil"/>
          <w:bottom w:val="nil"/>
          <w:right w:val="nil"/>
          <w:between w:val="nil"/>
        </w:pBdr>
        <w:jc w:val="both"/>
      </w:pPr>
      <w:r w:rsidRPr="00A23FB4">
        <w:t>Wykonawca jest odpowiedzialny za prowadzenie robót zgodnie z umową oraz za jakość zastosowanych materiałów i wykonywanych robót, za ich zgodność z dokumentacją projektową, wymaganiami ST, projektu organizacji robót oraz poleceniami Inspektora Nadzoru. Wykonawca ponosi odpowiedzialność za pełną obsługę geodezyjną przy wykonywaniu wszystkich elementów robót określonych w dokumentacji projektowej lub przekazanych na piśmie przez Inspektora Nadzoru.</w:t>
      </w:r>
    </w:p>
    <w:p w14:paraId="26B56F05" w14:textId="77777777" w:rsidR="008C656F" w:rsidRPr="00A23FB4" w:rsidRDefault="008C656F" w:rsidP="008C656F">
      <w:pPr>
        <w:pStyle w:val="Normalny2"/>
        <w:pBdr>
          <w:top w:val="nil"/>
          <w:left w:val="nil"/>
          <w:bottom w:val="nil"/>
          <w:right w:val="nil"/>
          <w:between w:val="nil"/>
        </w:pBdr>
        <w:jc w:val="both"/>
      </w:pPr>
      <w:bookmarkStart w:id="127" w:name="_heading=h.3gnlt4p" w:colFirst="0" w:colLast="0"/>
      <w:bookmarkEnd w:id="127"/>
      <w:r w:rsidRPr="00A23FB4">
        <w:t>Wykonawca powinien, o ile wymagają tego warunki terenowe, wykonać urządzenia, które zapewnią odprowadzenie wód gruntowych i opadowych poza obszar robót ziemnych tak, aby zabezpieczyć grunty przed zawilgoceniem i nawodnieniem. Wykonawca ma obowiązek takiego wykonywania wykopów i nasypów, aby powierzchniom gruntu nadawać prawidłowe odwodnienie. Jeżeli, wskutek zaniedbania Wykonawcy, grunty ulegną nawodnieniu, które spowoduje ich długotrwałą nieprzydatność, Wykonawca ma obowiązek usunięcia tych gruntów i zastąpienia ich gruntami przydatnymi, na własny koszt bez jakichkolwiek dodatkowych opłat ze strony Zamawiającego za te czynności, jak również za dowieziony grunt.</w:t>
      </w:r>
    </w:p>
    <w:p w14:paraId="1970C7F1" w14:textId="77777777" w:rsidR="008C656F" w:rsidRPr="00A23FB4" w:rsidRDefault="008C656F" w:rsidP="008C656F">
      <w:pPr>
        <w:pStyle w:val="Normalny2"/>
        <w:keepNext/>
        <w:pBdr>
          <w:top w:val="nil"/>
          <w:left w:val="nil"/>
          <w:bottom w:val="nil"/>
          <w:right w:val="nil"/>
          <w:between w:val="nil"/>
        </w:pBdr>
        <w:spacing w:before="120" w:after="120"/>
        <w:jc w:val="both"/>
        <w:rPr>
          <w:b/>
        </w:rPr>
      </w:pPr>
      <w:r w:rsidRPr="00A23FB4">
        <w:rPr>
          <w:b/>
        </w:rPr>
        <w:t>5.2. Roboty przygotowawcze</w:t>
      </w:r>
    </w:p>
    <w:p w14:paraId="16B33A13" w14:textId="77777777" w:rsidR="008C656F" w:rsidRPr="00A23FB4" w:rsidRDefault="008C656F" w:rsidP="008C656F">
      <w:pPr>
        <w:pStyle w:val="Normalny2"/>
        <w:pBdr>
          <w:top w:val="nil"/>
          <w:left w:val="nil"/>
          <w:bottom w:val="nil"/>
          <w:right w:val="nil"/>
          <w:between w:val="nil"/>
        </w:pBdr>
        <w:jc w:val="both"/>
      </w:pPr>
      <w:r w:rsidRPr="00A23FB4">
        <w:t>Przed przystąpieniem do robót Wykonawca dokona przy udziale uprawnionego geodety wytyczenia trasy w terenie i trwale oznaczy je w terenie za pomocą kołków osiowych, kołków świadków i kołków krawężnikowych.</w:t>
      </w:r>
    </w:p>
    <w:p w14:paraId="74C7B65A" w14:textId="77777777" w:rsidR="008C656F" w:rsidRPr="00A23FB4" w:rsidRDefault="008C656F" w:rsidP="008C656F">
      <w:pPr>
        <w:pStyle w:val="Normalny2"/>
        <w:pBdr>
          <w:top w:val="nil"/>
          <w:left w:val="nil"/>
          <w:bottom w:val="nil"/>
          <w:right w:val="nil"/>
          <w:between w:val="nil"/>
        </w:pBdr>
        <w:jc w:val="both"/>
      </w:pPr>
      <w:bookmarkStart w:id="128" w:name="_heading=h.1vsw3ci" w:colFirst="0" w:colLast="0"/>
      <w:bookmarkEnd w:id="128"/>
      <w:r w:rsidRPr="00A23FB4">
        <w:t>W przypadku niedostatecznej ilości reperów stałych, Wykonawca wbuduje repery tymczasowe. Wykonawca zgłosi pisemnie zamiar rozpoczęcia robót do wszystkich właścicieli i użytkowników uzbrojenia nad- i podziemnego z wyprzedzeniem siedmiodniowym, ustalając warunki wykonywania robót w strefie tych urządzeń.</w:t>
      </w:r>
    </w:p>
    <w:p w14:paraId="2CAB9787" w14:textId="77777777" w:rsidR="008C656F" w:rsidRPr="00A23FB4" w:rsidRDefault="008C656F" w:rsidP="008C656F">
      <w:pPr>
        <w:pStyle w:val="Normalny2"/>
        <w:keepNext/>
        <w:pBdr>
          <w:top w:val="nil"/>
          <w:left w:val="nil"/>
          <w:bottom w:val="nil"/>
          <w:right w:val="nil"/>
          <w:between w:val="nil"/>
        </w:pBdr>
        <w:spacing w:before="120" w:after="120"/>
        <w:jc w:val="both"/>
        <w:rPr>
          <w:b/>
        </w:rPr>
      </w:pPr>
      <w:r w:rsidRPr="00A23FB4">
        <w:rPr>
          <w:b/>
        </w:rPr>
        <w:t>5.3. Roboty ziemne</w:t>
      </w:r>
    </w:p>
    <w:p w14:paraId="4DE0E132" w14:textId="77777777" w:rsidR="008C656F" w:rsidRPr="00A23FB4" w:rsidRDefault="008C656F" w:rsidP="008C656F">
      <w:pPr>
        <w:pStyle w:val="Normalny2"/>
        <w:jc w:val="both"/>
      </w:pPr>
      <w:r w:rsidRPr="00A23FB4">
        <w:t>Wykopy należy wykonać jako wykopy otwarte. Metody wykonania robót - wykopu (ręcznie lub mechanicznie) powinny być dostosowane do głębokości wykopu, danych geotechnicznych oraz posiadanego sprzętu mechanicznego. Wykopy pod kanalizację należy wykonywać jako wąskoprzestrzenne lub wykopy skarpowe szerokoprzestrzenne zgodnie z normą PN-EN 1610:2015-10.</w:t>
      </w:r>
    </w:p>
    <w:p w14:paraId="472C1C1F" w14:textId="77777777" w:rsidR="008C656F" w:rsidRPr="00A23FB4" w:rsidRDefault="008C656F" w:rsidP="008C656F">
      <w:pPr>
        <w:pStyle w:val="Normalny2"/>
        <w:jc w:val="both"/>
      </w:pPr>
      <w:r w:rsidRPr="00A23FB4">
        <w:t xml:space="preserve">W przypadku gdy woda gruntowa nie występuje zaleca się stosować szalunki systemowe. W przypadku występowania uzbrojenia poprzecznego, wykopy szalować wypraskami układanymi poziomo.W miejscu kolizji z istniejącym uzbrojeniem oraz 1,0 m z każdej strony, wykopy wykonywać ręcznie. Szalunki powinny być stosowane ściśle wg wytycznych producenta. Konstrukcja deskowań, rodzaj i rozstaw rozpór oraz rodzaj płyt są dostosowane do głębokości wykopów. Wykonawca może wybrać system dowolnego producenta. </w:t>
      </w:r>
    </w:p>
    <w:p w14:paraId="023FACC1" w14:textId="77777777" w:rsidR="008C656F" w:rsidRPr="00A23FB4" w:rsidRDefault="008C656F" w:rsidP="008C656F">
      <w:pPr>
        <w:pStyle w:val="Normalny2"/>
        <w:jc w:val="both"/>
      </w:pPr>
      <w:r w:rsidRPr="00A23FB4">
        <w:t>Istniejące uzbrojenie podziemne znajdujące się w obrębie wykopu wykonawca zabezpieczy przed uszkodzeniem wg rozwiązań uzgodnionych z ich użytkownikami.</w:t>
      </w:r>
    </w:p>
    <w:p w14:paraId="5FD31345" w14:textId="77777777" w:rsidR="008C656F" w:rsidRPr="00A23FB4" w:rsidRDefault="008C656F" w:rsidP="008C656F">
      <w:pPr>
        <w:pStyle w:val="Normalny2"/>
        <w:jc w:val="both"/>
      </w:pPr>
      <w:r w:rsidRPr="00A23FB4">
        <w:t xml:space="preserve">Stan konstrukcji podporowych i rozporowych należy sprawdzać okresowo, a obowiązkowo niezwłocznie po wystąpieniu czynników niekorzystnych (duże opady atmosferyczne, mróz, szybka odwilż itp.) Rozbiórka zabezpieczeń ścian wykopów powinna być prowadzona w miarę wykonywania zasypki. Pozostawienie obudowy dopuszczalne jest tylko w przypadkach technicznej niemożliwości jej usunięcia lub, gdy wydobywanie elementów obudowy zagraża bezpieczeństwu pracy albo stwarza możliwość uszkodzenia konstrukcji wykonywanego obiektu. </w:t>
      </w:r>
    </w:p>
    <w:p w14:paraId="3F972FE3" w14:textId="77777777" w:rsidR="008C656F" w:rsidRPr="00A23FB4" w:rsidRDefault="008C656F" w:rsidP="008C656F">
      <w:pPr>
        <w:pStyle w:val="Normalny2"/>
        <w:jc w:val="both"/>
      </w:pPr>
      <w:r w:rsidRPr="00A23FB4">
        <w:t>Wykopy wykonywać bez naruszania struktury gruntu w dnie. W tym celu wykonywać wykopy do głębokości mniejszej od projektowanej co najmniej o 20 cm, a w wykopach wykonywanych mechanicznie od 30 cm do 60 cm w zależności od rodzaju gruntu. Pozostawioną warstwę usunąć bezpośrednio przed ułożeniem urządzeń lub ich podbudowy.</w:t>
      </w:r>
    </w:p>
    <w:p w14:paraId="2614DE93" w14:textId="77777777" w:rsidR="008C656F" w:rsidRPr="00A23FB4" w:rsidRDefault="008C656F" w:rsidP="008C656F">
      <w:pPr>
        <w:pStyle w:val="Normalny2"/>
        <w:jc w:val="both"/>
      </w:pPr>
      <w:r w:rsidRPr="00A23FB4">
        <w:t>Nie można przekraczać projektowanej głębokości wykopu, a następnie dosypywać gruntu do odpowiedniej głębokości.</w:t>
      </w:r>
    </w:p>
    <w:p w14:paraId="09AB6F58" w14:textId="77777777" w:rsidR="008C656F" w:rsidRPr="00A23FB4" w:rsidRDefault="008C656F" w:rsidP="008C656F">
      <w:pPr>
        <w:pStyle w:val="Normalny2"/>
        <w:jc w:val="both"/>
      </w:pPr>
      <w:r w:rsidRPr="00A23FB4">
        <w:t>W przypadku wykonania wykopu o głębokości większej od przewidywanej, należy zastosować odpowiednie środki zapewniające wymaganą nośność podłoża w poziomie posadowienia konstrukcji (np. warstwa betonu C12/15, odpowiednio stabilizowana spoiwem i zagęszczona podsypka piaskowo-żwirowa).</w:t>
      </w:r>
    </w:p>
    <w:p w14:paraId="10DB3074" w14:textId="77777777" w:rsidR="008C656F" w:rsidRPr="00A23FB4" w:rsidRDefault="008C656F" w:rsidP="008C656F">
      <w:pPr>
        <w:pStyle w:val="Normalny2"/>
        <w:jc w:val="both"/>
      </w:pPr>
      <w:r w:rsidRPr="00A23FB4">
        <w:t>Szczegółowe wymagania dotyczące robót ziemnych ujęto w D-M-00.00.00.</w:t>
      </w:r>
    </w:p>
    <w:p w14:paraId="43DE8F6F" w14:textId="77777777" w:rsidR="008C656F" w:rsidRPr="00A23FB4" w:rsidRDefault="008C656F" w:rsidP="008C656F">
      <w:pPr>
        <w:pStyle w:val="Normalny2"/>
        <w:jc w:val="both"/>
      </w:pPr>
      <w:r w:rsidRPr="00A23FB4">
        <w:t>Minimalna szerokość wykopów powinna być zgodna z PN-EN 1610 i być wyliczona na podstawie średnicy rurociągu oraz jego zagłębienia i wynosić między szalunkami:</w:t>
      </w:r>
    </w:p>
    <w:p w14:paraId="4C315F21" w14:textId="77777777" w:rsidR="008C656F" w:rsidRPr="00A23FB4" w:rsidRDefault="008C656F" w:rsidP="00262498">
      <w:pPr>
        <w:pStyle w:val="Normalny2"/>
        <w:numPr>
          <w:ilvl w:val="0"/>
          <w:numId w:val="240"/>
        </w:numPr>
        <w:tabs>
          <w:tab w:val="left" w:pos="567"/>
        </w:tabs>
        <w:jc w:val="both"/>
      </w:pPr>
      <w:r w:rsidRPr="00A23FB4">
        <w:t>dla kanału DN160 mm</w:t>
      </w:r>
      <w:r w:rsidRPr="00A23FB4">
        <w:tab/>
      </w:r>
      <w:r w:rsidRPr="00A23FB4">
        <w:tab/>
      </w:r>
      <w:r w:rsidRPr="00A23FB4">
        <w:tab/>
        <w:t>- min 1,0 m</w:t>
      </w:r>
    </w:p>
    <w:p w14:paraId="1D1B4B9C" w14:textId="77777777" w:rsidR="008C656F" w:rsidRPr="00A23FB4" w:rsidRDefault="008C656F" w:rsidP="00262498">
      <w:pPr>
        <w:pStyle w:val="Normalny2"/>
        <w:numPr>
          <w:ilvl w:val="0"/>
          <w:numId w:val="240"/>
        </w:numPr>
        <w:tabs>
          <w:tab w:val="left" w:pos="567"/>
        </w:tabs>
        <w:jc w:val="both"/>
      </w:pPr>
      <w:r w:rsidRPr="00A23FB4">
        <w:t>dla kanału DN200 mm</w:t>
      </w:r>
      <w:r w:rsidRPr="00A23FB4">
        <w:tab/>
      </w:r>
      <w:r w:rsidRPr="00A23FB4">
        <w:tab/>
      </w:r>
      <w:r w:rsidRPr="00A23FB4">
        <w:tab/>
        <w:t>- min 1,2 m</w:t>
      </w:r>
    </w:p>
    <w:p w14:paraId="3B305240" w14:textId="77777777" w:rsidR="008C656F" w:rsidRPr="00A23FB4" w:rsidRDefault="008C656F" w:rsidP="00262498">
      <w:pPr>
        <w:pStyle w:val="Normalny2"/>
        <w:numPr>
          <w:ilvl w:val="0"/>
          <w:numId w:val="240"/>
        </w:numPr>
        <w:tabs>
          <w:tab w:val="left" w:pos="567"/>
        </w:tabs>
        <w:jc w:val="both"/>
      </w:pPr>
      <w:r w:rsidRPr="00A23FB4">
        <w:t>dla kanału DN300 mm</w:t>
      </w:r>
      <w:r w:rsidRPr="00A23FB4">
        <w:tab/>
      </w:r>
      <w:r w:rsidRPr="00A23FB4">
        <w:tab/>
      </w:r>
      <w:r w:rsidRPr="00A23FB4">
        <w:tab/>
        <w:t>- min 1,3 m</w:t>
      </w:r>
    </w:p>
    <w:p w14:paraId="47D02C07" w14:textId="77777777" w:rsidR="008C656F" w:rsidRPr="00A23FB4" w:rsidRDefault="008C656F" w:rsidP="00262498">
      <w:pPr>
        <w:pStyle w:val="Normalny2"/>
        <w:numPr>
          <w:ilvl w:val="0"/>
          <w:numId w:val="240"/>
        </w:numPr>
        <w:jc w:val="both"/>
      </w:pPr>
      <w:r w:rsidRPr="00A23FB4">
        <w:t>dla kanału DN400 mm</w:t>
      </w:r>
      <w:r w:rsidRPr="00A23FB4">
        <w:tab/>
      </w:r>
      <w:r w:rsidRPr="00A23FB4">
        <w:tab/>
      </w:r>
      <w:r w:rsidRPr="00A23FB4">
        <w:tab/>
        <w:t>- min 1,5 m</w:t>
      </w:r>
    </w:p>
    <w:p w14:paraId="1835ED06" w14:textId="77777777" w:rsidR="008C656F" w:rsidRPr="00A23FB4" w:rsidRDefault="008C656F" w:rsidP="00262498">
      <w:pPr>
        <w:pStyle w:val="Normalny2"/>
        <w:numPr>
          <w:ilvl w:val="0"/>
          <w:numId w:val="240"/>
        </w:numPr>
        <w:jc w:val="both"/>
      </w:pPr>
      <w:r w:rsidRPr="00A23FB4">
        <w:t>dla kanału DN500 mm</w:t>
      </w:r>
      <w:r w:rsidRPr="00A23FB4">
        <w:tab/>
      </w:r>
      <w:r w:rsidRPr="00A23FB4">
        <w:tab/>
      </w:r>
      <w:r w:rsidRPr="00A23FB4">
        <w:tab/>
        <w:t>- min 1,6 m</w:t>
      </w:r>
    </w:p>
    <w:p w14:paraId="67D2C8E8" w14:textId="77777777" w:rsidR="008C656F" w:rsidRPr="00A23FB4" w:rsidRDefault="008C656F" w:rsidP="00262498">
      <w:pPr>
        <w:pStyle w:val="Normalny2"/>
        <w:numPr>
          <w:ilvl w:val="0"/>
          <w:numId w:val="240"/>
        </w:numPr>
        <w:jc w:val="both"/>
      </w:pPr>
      <w:r w:rsidRPr="00A23FB4">
        <w:t>dla kanału DN600 mm</w:t>
      </w:r>
      <w:r w:rsidRPr="00A23FB4">
        <w:tab/>
      </w:r>
      <w:r w:rsidRPr="00A23FB4">
        <w:tab/>
      </w:r>
      <w:r w:rsidRPr="00A23FB4">
        <w:tab/>
        <w:t>- min 1,7 m</w:t>
      </w:r>
    </w:p>
    <w:p w14:paraId="1C72624C" w14:textId="77777777" w:rsidR="008C656F" w:rsidRPr="00A23FB4" w:rsidRDefault="008C656F" w:rsidP="008C656F">
      <w:pPr>
        <w:pStyle w:val="Normalny2"/>
        <w:jc w:val="both"/>
      </w:pPr>
      <w:r w:rsidRPr="00A23FB4">
        <w:t>Wykopy obiektowe dla studni i komór należy przyjmować tak, aby bezpiecznie wykonać wszystkie prace, w szczególności włączenia przewodów bocznych, kaskad oraz zagęszczenie gruntu między studniami i szalunkami. Minimalne szerokości wykopów między szalunkami dla studni powinna wynosić:</w:t>
      </w:r>
    </w:p>
    <w:p w14:paraId="3C02E231" w14:textId="77777777" w:rsidR="008B531E" w:rsidRDefault="008C656F" w:rsidP="00262498">
      <w:pPr>
        <w:pStyle w:val="Normalny2"/>
        <w:numPr>
          <w:ilvl w:val="0"/>
          <w:numId w:val="241"/>
        </w:numPr>
        <w:tabs>
          <w:tab w:val="left" w:pos="567"/>
        </w:tabs>
        <w:jc w:val="both"/>
      </w:pPr>
      <w:r w:rsidRPr="00A23FB4">
        <w:t>dla studzienek wpustów DN500 mm</w:t>
      </w:r>
      <w:r w:rsidRPr="00A23FB4">
        <w:tab/>
      </w:r>
      <w:r w:rsidRPr="00A23FB4">
        <w:tab/>
        <w:t>- min 2,0 m</w:t>
      </w:r>
    </w:p>
    <w:p w14:paraId="726E5EB9" w14:textId="77777777" w:rsidR="008B531E" w:rsidRDefault="008C656F" w:rsidP="00262498">
      <w:pPr>
        <w:pStyle w:val="Normalny2"/>
        <w:numPr>
          <w:ilvl w:val="0"/>
          <w:numId w:val="241"/>
        </w:numPr>
        <w:tabs>
          <w:tab w:val="left" w:pos="567"/>
        </w:tabs>
        <w:jc w:val="both"/>
      </w:pPr>
      <w:r w:rsidRPr="00A23FB4">
        <w:t>dla studzienek DN1000 mm</w:t>
      </w:r>
      <w:r w:rsidRPr="00A23FB4">
        <w:tab/>
      </w:r>
      <w:r w:rsidRPr="00A23FB4">
        <w:tab/>
      </w:r>
      <w:r w:rsidRPr="00A23FB4">
        <w:tab/>
        <w:t>- min 3,0 m</w:t>
      </w:r>
    </w:p>
    <w:p w14:paraId="68213CC0" w14:textId="77777777" w:rsidR="008B531E" w:rsidRDefault="008C656F" w:rsidP="00262498">
      <w:pPr>
        <w:pStyle w:val="Normalny2"/>
        <w:numPr>
          <w:ilvl w:val="0"/>
          <w:numId w:val="241"/>
        </w:numPr>
        <w:tabs>
          <w:tab w:val="left" w:pos="567"/>
        </w:tabs>
        <w:jc w:val="both"/>
      </w:pPr>
      <w:r w:rsidRPr="00A23FB4">
        <w:t>dla studzienek DN1200 mm</w:t>
      </w:r>
      <w:r w:rsidRPr="00A23FB4">
        <w:tab/>
      </w:r>
      <w:r w:rsidRPr="00A23FB4">
        <w:tab/>
      </w:r>
      <w:r w:rsidRPr="00A23FB4">
        <w:tab/>
        <w:t>- min 3,2 m</w:t>
      </w:r>
    </w:p>
    <w:p w14:paraId="4B7539B2" w14:textId="2A35AC57" w:rsidR="008C656F" w:rsidRPr="00A23FB4" w:rsidRDefault="008C656F" w:rsidP="00262498">
      <w:pPr>
        <w:pStyle w:val="Normalny2"/>
        <w:numPr>
          <w:ilvl w:val="0"/>
          <w:numId w:val="241"/>
        </w:numPr>
        <w:tabs>
          <w:tab w:val="left" w:pos="567"/>
        </w:tabs>
        <w:jc w:val="both"/>
      </w:pPr>
      <w:r w:rsidRPr="00A23FB4">
        <w:t>dla studzienek DN1500 mm</w:t>
      </w:r>
      <w:r w:rsidRPr="00A23FB4">
        <w:tab/>
      </w:r>
      <w:r w:rsidRPr="00A23FB4">
        <w:tab/>
      </w:r>
      <w:r w:rsidRPr="00A23FB4">
        <w:tab/>
        <w:t>- min 3,5 m</w:t>
      </w:r>
    </w:p>
    <w:p w14:paraId="6B333249" w14:textId="77777777" w:rsidR="008C656F" w:rsidRPr="00A23FB4" w:rsidRDefault="008C656F" w:rsidP="008C656F">
      <w:pPr>
        <w:pStyle w:val="Normalny2"/>
        <w:jc w:val="both"/>
      </w:pPr>
      <w:r w:rsidRPr="00A23FB4">
        <w:t xml:space="preserve">W trakcie robót można stosować wykopy szerokoprzestrzenne w taki sposób, aby przeprowadzić prawidłowy i bezpieczny montaż elementów kanalizacji sanitarnej. Ściany wykopów szerokoprzestrzennych należy zabezpieczać przez skarpowanie. Nachylenie skarp będzie zależeć od głębokości wykopu oraz rodzaju (kategorii) gruntu. Ściany wykopów szerokoprzestrzennych można także zabezpieczać poprzez ściany szczelinowe, ścianki berlińskie, palisady, a także grodzice. Wykopy szerokoprzestrzenne szczególnie zaleca się dla obniżenia poziomu gruntu istniejącego przy wykonywaniu komór i elementów podczyszczania ścieków (zwracając uwagę na sąsiadujące uzbrojenie podziemne terenu). </w:t>
      </w:r>
    </w:p>
    <w:p w14:paraId="261D0572" w14:textId="77777777" w:rsidR="008C656F" w:rsidRPr="00A23FB4" w:rsidRDefault="008C656F" w:rsidP="008C656F">
      <w:pPr>
        <w:pStyle w:val="Normalny2"/>
        <w:jc w:val="both"/>
      </w:pPr>
      <w:r w:rsidRPr="00A23FB4">
        <w:t>Zabezpieczenie ażurowe ścian wykopów można stosować tylko w gruntach zwartych. W okresie zimowym ażurowe zabezpieczenie jest zabronione. W miejscu kolizji z istniejącym uzbrojeniem oraz 1,0 m z każdej strony, wykopy wykonywać ręcznie. W miejscach występowania gruntów słabonośnych i gruntów organicznych, należy wykonać wymianę gruntu na grunty niespoiste (pospółkę, piasek). W przypadkach szczególnych jak: posadowienie studni i kanałów o dużej średnicy, wymianę gruntu należy przeprowadzić do spągu warstw słabych. Nadmiar urobku z wykopów należy odwieźć do utylizacji na wysypisko Wykonawcy. Założono, że wymianie podlegać będzie 30% gruntu z wykopów.</w:t>
      </w:r>
    </w:p>
    <w:p w14:paraId="4266A1AF" w14:textId="77777777" w:rsidR="008C656F" w:rsidRPr="00A23FB4" w:rsidRDefault="008C656F" w:rsidP="008C656F">
      <w:pPr>
        <w:pStyle w:val="Normalny2"/>
        <w:jc w:val="both"/>
      </w:pPr>
      <w:r w:rsidRPr="00A23FB4">
        <w:t>Wykopy należy zabezpieczyć ogrodzeniem. W okresie budowy należy zapewnić dojścia i dojazdy do zabudowań. Przejścia dla pieszych zabezpieczyć stosując kładki o nośności 150 kg/m</w:t>
      </w:r>
      <w:r w:rsidRPr="00A23FB4">
        <w:rPr>
          <w:vertAlign w:val="superscript"/>
        </w:rPr>
        <w:t>2</w:t>
      </w:r>
      <w:r w:rsidRPr="00A23FB4">
        <w:t>. Minimalna szerokość winna wynosić 0,75 m. Kładki muszą posiadać barierkę na wys. 1,1 m, poprzeczkę na wysokości 0,65 m i krawężnik o wysokości 0,15 m. Kładkę oprzeć min. 1,0 m poza krawędzie wykopu. W czasie wykonywania wykopów w miejscach dostępnych dla osób „trzecich” (pasy drogowe, ciągi piesze), wokół wykopów pozostawionych na czas zmroku i w nocy należy ustawić balustrady zaopatrzone w światło ostrzegawcze koloru czerwonego.</w:t>
      </w:r>
    </w:p>
    <w:p w14:paraId="7655840C" w14:textId="77777777" w:rsidR="008C656F" w:rsidRPr="00A23FB4" w:rsidRDefault="008C656F" w:rsidP="008C656F">
      <w:pPr>
        <w:pStyle w:val="Normalny2"/>
        <w:jc w:val="both"/>
      </w:pPr>
      <w:bookmarkStart w:id="129" w:name="_heading=h.32hioqz" w:colFirst="0" w:colLast="0"/>
      <w:bookmarkEnd w:id="129"/>
      <w:r w:rsidRPr="00A23FB4">
        <w:t>Istniejące uzbrojenie podziemne znajdujące się w obrębie wykopu wykonawca zabezpieczy przed uszkodzeniem wg rozwiązań uzgodnionych z ich użytkownikami.</w:t>
      </w:r>
    </w:p>
    <w:p w14:paraId="49B7B985" w14:textId="77777777" w:rsidR="008C656F" w:rsidRPr="00A23FB4" w:rsidRDefault="008C656F" w:rsidP="008C656F">
      <w:pPr>
        <w:pStyle w:val="Normalny2"/>
        <w:keepNext/>
        <w:spacing w:before="120" w:after="120"/>
        <w:jc w:val="both"/>
        <w:rPr>
          <w:b/>
        </w:rPr>
      </w:pPr>
      <w:r w:rsidRPr="00A23FB4">
        <w:rPr>
          <w:b/>
        </w:rPr>
        <w:t>5.4. Przygotowanie podłoża</w:t>
      </w:r>
    </w:p>
    <w:p w14:paraId="2854F238" w14:textId="77777777" w:rsidR="008C656F" w:rsidRPr="00A23FB4" w:rsidRDefault="008C656F" w:rsidP="008C656F">
      <w:pPr>
        <w:pStyle w:val="Normalny2"/>
        <w:jc w:val="both"/>
      </w:pPr>
      <w:r w:rsidRPr="00A23FB4">
        <w:t>W gruntach suchych piaszczystych, żwirowo-piaszczystych i piaszczysto-gliniastych podłożem jest grunt naturalny o nienaruszonej strukturze dna wykopu.</w:t>
      </w:r>
    </w:p>
    <w:p w14:paraId="5DDD0C15" w14:textId="77777777" w:rsidR="008C656F" w:rsidRPr="00A23FB4" w:rsidRDefault="008C656F" w:rsidP="008C656F">
      <w:pPr>
        <w:pStyle w:val="Normalny2"/>
        <w:jc w:val="both"/>
      </w:pPr>
      <w:r w:rsidRPr="00A23FB4">
        <w:t>W gruntach nawodnionych (odwadnianych w trakcie robót) podłoże należy wykonać z warstwy tłucznia lub żwiru z piaskiem o grubości od 10 do 20 cm łącznie z ułożonymi sączkami odwadniającymi.</w:t>
      </w:r>
    </w:p>
    <w:p w14:paraId="0425753F" w14:textId="77777777" w:rsidR="008C656F" w:rsidRPr="00A23FB4" w:rsidRDefault="008C656F" w:rsidP="008C656F">
      <w:pPr>
        <w:pStyle w:val="Normalny2"/>
        <w:jc w:val="both"/>
      </w:pPr>
      <w:r w:rsidRPr="00A23FB4">
        <w:t>W gruntach skalistych gliniastych lub stanowiących zbite iły należy wykonać podłoże z pospółki, żwiru lub tłucznia o grubości od 10 do 20 cm.</w:t>
      </w:r>
    </w:p>
    <w:p w14:paraId="2C0FAFC7" w14:textId="77777777" w:rsidR="008C656F" w:rsidRPr="00A23FB4" w:rsidRDefault="008C656F" w:rsidP="008C656F">
      <w:pPr>
        <w:pStyle w:val="Normalny2"/>
        <w:jc w:val="both"/>
      </w:pPr>
      <w:r w:rsidRPr="00A23FB4">
        <w:t>Wskaźnik zagęszczenia podłoża powinien wynosić co najmniej I</w:t>
      </w:r>
      <w:r w:rsidRPr="00A23FB4">
        <w:rPr>
          <w:vertAlign w:val="subscript"/>
        </w:rPr>
        <w:t>S</w:t>
      </w:r>
      <w:r w:rsidRPr="00A23FB4">
        <w:t xml:space="preserve"> = 0,97.</w:t>
      </w:r>
    </w:p>
    <w:p w14:paraId="70D7407A" w14:textId="77777777" w:rsidR="008C656F" w:rsidRPr="00A23FB4" w:rsidRDefault="008C656F" w:rsidP="008C656F">
      <w:pPr>
        <w:pStyle w:val="Normalny2"/>
        <w:jc w:val="both"/>
      </w:pPr>
      <w:bookmarkStart w:id="130" w:name="_heading=h.1hmsyys" w:colFirst="0" w:colLast="0"/>
      <w:bookmarkEnd w:id="130"/>
      <w:r w:rsidRPr="00A23FB4">
        <w:t>Badanie podłoża wzmocnionego należy wykonać zgodnie z wymaganiami PN-B-10725.</w:t>
      </w:r>
    </w:p>
    <w:p w14:paraId="0CD18AB3" w14:textId="77777777" w:rsidR="008C656F" w:rsidRPr="00A23FB4" w:rsidRDefault="008C656F" w:rsidP="008C656F">
      <w:pPr>
        <w:pStyle w:val="Normalny2"/>
        <w:keepNext/>
        <w:spacing w:before="120" w:after="120"/>
        <w:jc w:val="both"/>
        <w:rPr>
          <w:b/>
        </w:rPr>
      </w:pPr>
      <w:r w:rsidRPr="00A23FB4">
        <w:rPr>
          <w:b/>
        </w:rPr>
        <w:t>5.5. Zasypka i zagęszczenie gruntu</w:t>
      </w:r>
    </w:p>
    <w:p w14:paraId="5DC2AA99" w14:textId="77777777" w:rsidR="008C656F" w:rsidRPr="00A23FB4" w:rsidRDefault="008C656F" w:rsidP="008C656F">
      <w:pPr>
        <w:pStyle w:val="Normalny2"/>
        <w:jc w:val="both"/>
      </w:pPr>
      <w:r w:rsidRPr="00A23FB4">
        <w:t xml:space="preserve">Użyty materiał i sposób zasypania przewodów w wykopie otwartym nie powinien spowodować uszkodzenia ułożonego przewodu. </w:t>
      </w:r>
    </w:p>
    <w:p w14:paraId="1017AAEB" w14:textId="77777777" w:rsidR="008C656F" w:rsidRPr="00A23FB4" w:rsidRDefault="008C656F" w:rsidP="008C656F">
      <w:pPr>
        <w:pStyle w:val="Normalny2"/>
        <w:jc w:val="both"/>
      </w:pPr>
      <w:r w:rsidRPr="00A23FB4">
        <w:t>Materiałem zasypu w obrębie strefy rury powinien być grunt nie skalisty, bez grud i kamieni, mineralny, sypki, drobno lub średnioziarnisty wg PN-86/B-02480. Materiał zasypu powinien być zagęszczony ubijakiem po obu stronach przewodu, ze szczególnym uwzględnieniem wykopu pod złącza. Zasypkę wykopu powyżej warstwy ochronnej dokonuje się gruntem sypkim warstwami z jednoczesnym zagęszczeniem i rozbiórką odeskowania i rozpór ścian wykopu.</w:t>
      </w:r>
    </w:p>
    <w:p w14:paraId="7704AC18" w14:textId="77777777" w:rsidR="008C656F" w:rsidRPr="00A23FB4" w:rsidRDefault="008C656F" w:rsidP="008C656F">
      <w:pPr>
        <w:pStyle w:val="Normalny2"/>
        <w:spacing w:line="276" w:lineRule="auto"/>
        <w:jc w:val="both"/>
        <w:rPr>
          <w:sz w:val="16"/>
          <w:szCs w:val="16"/>
        </w:rPr>
      </w:pPr>
      <w:r w:rsidRPr="00A23FB4">
        <w:t>Zagęszczenie obsypki i zasypki wykonać zgodnie z normą PN-S-02205:1998, PN-B-10736 oraz wytycznymi producenta rur. Zagęszczenie zasypki pod jezdnią powinno odpowiadać wymaganiom stawianym w projekcie drogowym, lecz nie mniej niż I</w:t>
      </w:r>
      <w:r w:rsidRPr="00A23FB4">
        <w:rPr>
          <w:vertAlign w:val="subscript"/>
        </w:rPr>
        <w:t>S</w:t>
      </w:r>
      <w:r w:rsidRPr="00A23FB4">
        <w:t>=1,03 bezpośrednio pod konstrukcją jezdni oraz I</w:t>
      </w:r>
      <w:r w:rsidRPr="00A23FB4">
        <w:rPr>
          <w:vertAlign w:val="subscript"/>
        </w:rPr>
        <w:t>S</w:t>
      </w:r>
      <w:r w:rsidRPr="00A23FB4">
        <w:t>=1,00 pod chodnikami. W pozostałych terenach wskaźnik zagęszczenia zasypki powinien wynosić co najmniej I</w:t>
      </w:r>
      <w:r w:rsidRPr="00A23FB4">
        <w:rPr>
          <w:vertAlign w:val="subscript"/>
        </w:rPr>
        <w:t>S</w:t>
      </w:r>
      <w:r w:rsidRPr="00A23FB4">
        <w:t>=0,95, a na głębokości do 1,0 m pod powierzchnią terenu i płycej - co najmniej I</w:t>
      </w:r>
      <w:r w:rsidRPr="00A23FB4">
        <w:rPr>
          <w:vertAlign w:val="subscript"/>
        </w:rPr>
        <w:t>S</w:t>
      </w:r>
      <w:r w:rsidRPr="00A23FB4">
        <w:t>=0,98. Szalunki należy demontować stopniowo, wraz z zasypywaniem wykopu.</w:t>
      </w:r>
    </w:p>
    <w:p w14:paraId="094B13CD" w14:textId="77777777" w:rsidR="008C656F" w:rsidRPr="00A23FB4" w:rsidRDefault="008C656F" w:rsidP="008C656F">
      <w:pPr>
        <w:pStyle w:val="Normalny2"/>
        <w:jc w:val="both"/>
      </w:pPr>
      <w:bookmarkStart w:id="131" w:name="_heading=h.41mghml" w:colFirst="0" w:colLast="0"/>
      <w:bookmarkEnd w:id="131"/>
      <w:r w:rsidRPr="00A23FB4">
        <w:t>W trakcie wykonywania robót ściśle przestrzegać obowiązujących przepisów BHP.</w:t>
      </w:r>
      <w:bookmarkStart w:id="132" w:name="_heading=h.l3mcshmt8tj2" w:colFirst="0" w:colLast="0"/>
      <w:bookmarkEnd w:id="132"/>
    </w:p>
    <w:p w14:paraId="20435559" w14:textId="77777777" w:rsidR="008C656F" w:rsidRPr="00A23FB4" w:rsidRDefault="008C656F" w:rsidP="008C656F">
      <w:pPr>
        <w:pStyle w:val="Normalny2"/>
        <w:keepNext/>
        <w:pBdr>
          <w:top w:val="nil"/>
          <w:left w:val="nil"/>
          <w:bottom w:val="nil"/>
          <w:right w:val="nil"/>
          <w:between w:val="nil"/>
        </w:pBdr>
        <w:spacing w:before="120" w:after="120"/>
        <w:jc w:val="both"/>
        <w:rPr>
          <w:b/>
        </w:rPr>
      </w:pPr>
      <w:r w:rsidRPr="00A23FB4">
        <w:rPr>
          <w:b/>
        </w:rPr>
        <w:t>5.6. Odwodnienie wykopów</w:t>
      </w:r>
    </w:p>
    <w:p w14:paraId="522E01CF" w14:textId="77777777" w:rsidR="008C656F" w:rsidRPr="00A23FB4" w:rsidRDefault="008C656F" w:rsidP="008C656F">
      <w:pPr>
        <w:pStyle w:val="Normalny2"/>
        <w:pBdr>
          <w:top w:val="nil"/>
          <w:left w:val="nil"/>
          <w:bottom w:val="nil"/>
          <w:right w:val="nil"/>
          <w:between w:val="nil"/>
        </w:pBdr>
        <w:jc w:val="both"/>
      </w:pPr>
      <w:r w:rsidRPr="00A23FB4">
        <w:t>W trakcie wykonywania wykopów zasięg leja depresji nie może wykraczać poza teren inwestycji – w związku z tym należy stosować metody odwodnienia obiektów lub wykopów budowlanych, które spełnią te wymagania. Szczególnie zaleca się odwadniać wykopy przy użyciu drenażu umiejscowionego w wykopie równolegle do rury przewodowej ze studzienką w najniższym punkcie lub pomp zatapialnych umieszczanych w studzienkach (obudowie z tworzywa sztucznego) i na podłożu żwirowym, uniemożliwiającym zatykanie się pompy unoszącym się w wodzie piaskiem i pyłem. Odprowadzenie wód z odwodnienia do istniejących odbiorników powinno odbywać się poprzez osadniki w celu ich ochrony przed zanieczyszczeniem i zamuleniem. Zrzut wody z odwodnienia Wykonawca będzie uzgadniać na roboczo z właścicielami odbiorników. Odwodnienie wykopów nie może naruszać interesów osób trzecich. Zaleca się, aby prace prowadzone były w okresie pory suchej, co jeszcze bardziej ograniczy konieczność usuwania ewentualnej wody z wykopu.</w:t>
      </w:r>
    </w:p>
    <w:p w14:paraId="4A08512B" w14:textId="77777777" w:rsidR="008C656F" w:rsidRPr="00A23FB4" w:rsidRDefault="008C656F" w:rsidP="008C656F">
      <w:pPr>
        <w:pStyle w:val="Normalny2"/>
        <w:pBdr>
          <w:top w:val="nil"/>
          <w:left w:val="nil"/>
          <w:bottom w:val="nil"/>
          <w:right w:val="nil"/>
          <w:between w:val="nil"/>
        </w:pBdr>
        <w:jc w:val="both"/>
      </w:pPr>
      <w:r w:rsidRPr="00A23FB4">
        <w:t xml:space="preserve">Odwodnienie wykopów należy prowadzić w taki sposób, aby nie naruszyć struktury gruntu w podłożu wykonywanej konstrukcji, a także w podłożu sąsiednich obiektów, i aby nie wystąpiły osiadania podłoża istniejących w sąsiedztwie budowli. Obniżanie zwierciadła wód gruntowych i przywracanie pierwotnego ich poziomu powinno odbywać się w sposób stopniowy. </w:t>
      </w:r>
      <w:r w:rsidRPr="00A23FB4">
        <w:tab/>
      </w:r>
    </w:p>
    <w:p w14:paraId="3C1EB8D6" w14:textId="77777777" w:rsidR="008C656F" w:rsidRPr="00A23FB4" w:rsidRDefault="008C656F" w:rsidP="008C656F">
      <w:pPr>
        <w:pStyle w:val="Normalny2"/>
        <w:pBdr>
          <w:top w:val="nil"/>
          <w:left w:val="nil"/>
          <w:bottom w:val="nil"/>
          <w:right w:val="nil"/>
          <w:between w:val="nil"/>
        </w:pBdr>
        <w:jc w:val="both"/>
      </w:pPr>
      <w:bookmarkStart w:id="133" w:name="_heading=h.2uxtw84" w:colFirst="0" w:colLast="0"/>
      <w:bookmarkEnd w:id="133"/>
      <w:r w:rsidRPr="00A23FB4">
        <w:t>W przypadku stwierdzenia bezpośrednio na budowie innych warunków gruntowo-wodnych (brak wody lub ciągłe zalewanie wykopów) np. z uwagi na możliwość wystąpienia deszczów nawalnych i podtopień, zmiany w sposobie odwadniania zostaną opracowane przez Wykonawcę i uzgodnione z Zamawiającym oraz Inżynierem budowy.</w:t>
      </w:r>
    </w:p>
    <w:p w14:paraId="01A5B7E6" w14:textId="77777777" w:rsidR="008C656F" w:rsidRPr="00A23FB4" w:rsidRDefault="008C656F" w:rsidP="008C656F">
      <w:pPr>
        <w:pStyle w:val="Normalny2"/>
        <w:pBdr>
          <w:top w:val="nil"/>
          <w:left w:val="nil"/>
          <w:bottom w:val="nil"/>
          <w:right w:val="nil"/>
          <w:between w:val="nil"/>
        </w:pBdr>
        <w:spacing w:before="240" w:after="240"/>
        <w:jc w:val="both"/>
        <w:rPr>
          <w:b/>
        </w:rPr>
      </w:pPr>
      <w:bookmarkStart w:id="134" w:name="_heading=h.pt9nldxf89vq" w:colFirst="0" w:colLast="0"/>
      <w:bookmarkEnd w:id="134"/>
      <w:r w:rsidRPr="00A23FB4">
        <w:rPr>
          <w:b/>
        </w:rPr>
        <w:t>5.7. Roboty montażowe</w:t>
      </w:r>
    </w:p>
    <w:p w14:paraId="4D8C90FA" w14:textId="77777777" w:rsidR="008C656F" w:rsidRPr="00A23FB4" w:rsidRDefault="008C656F" w:rsidP="008C656F">
      <w:pPr>
        <w:pStyle w:val="Normalny2"/>
        <w:pBdr>
          <w:top w:val="nil"/>
          <w:left w:val="nil"/>
          <w:bottom w:val="nil"/>
          <w:right w:val="nil"/>
          <w:between w:val="nil"/>
        </w:pBdr>
        <w:jc w:val="both"/>
      </w:pPr>
      <w:r w:rsidRPr="00A23FB4">
        <w:t>W trakcie robót montażowych należy stosować zapisy norm przytoczonych w niniejszym opracowaniu oraz zaleceń producentów.</w:t>
      </w:r>
    </w:p>
    <w:p w14:paraId="24A296EC" w14:textId="77777777" w:rsidR="008C656F" w:rsidRPr="00A23FB4" w:rsidRDefault="008C656F" w:rsidP="008C656F">
      <w:pPr>
        <w:pStyle w:val="Normalny2"/>
        <w:pBdr>
          <w:top w:val="nil"/>
          <w:left w:val="nil"/>
          <w:bottom w:val="nil"/>
          <w:right w:val="nil"/>
          <w:between w:val="nil"/>
        </w:pBdr>
        <w:jc w:val="both"/>
      </w:pPr>
      <w:r w:rsidRPr="00A23FB4">
        <w:t>Wszelkie prace związane z wykonywaniem prac na istniejących sieciach należy wykonywać pod nadzorem służb eksploatacyjnych oraz zgodnie z zasadami panującymi w RPWiK Zawiercie.</w:t>
      </w:r>
    </w:p>
    <w:p w14:paraId="0C84A159" w14:textId="77777777" w:rsidR="008C656F" w:rsidRPr="00A23FB4" w:rsidRDefault="008C656F" w:rsidP="008C656F">
      <w:pPr>
        <w:pStyle w:val="Normalny2"/>
        <w:pBdr>
          <w:top w:val="nil"/>
          <w:left w:val="nil"/>
          <w:bottom w:val="nil"/>
          <w:right w:val="nil"/>
          <w:between w:val="nil"/>
        </w:pBdr>
        <w:spacing w:before="120" w:after="120"/>
        <w:jc w:val="both"/>
        <w:rPr>
          <w:b/>
        </w:rPr>
      </w:pPr>
      <w:r w:rsidRPr="00A23FB4">
        <w:rPr>
          <w:b/>
        </w:rPr>
        <w:t>5.7.1. Obsługa geodezyjna obiektu</w:t>
      </w:r>
    </w:p>
    <w:p w14:paraId="572E7CFE" w14:textId="77777777" w:rsidR="008C656F" w:rsidRPr="00A23FB4" w:rsidRDefault="008C656F" w:rsidP="008C656F">
      <w:pPr>
        <w:pStyle w:val="Normalny2"/>
        <w:pBdr>
          <w:top w:val="nil"/>
          <w:left w:val="nil"/>
          <w:bottom w:val="nil"/>
          <w:right w:val="nil"/>
          <w:between w:val="nil"/>
        </w:pBdr>
        <w:jc w:val="both"/>
      </w:pPr>
      <w:r w:rsidRPr="00A23FB4">
        <w:t>Po wykonaniu sieci należy dokonać pomiarów powykonawczych. Prace pomiarowe muszą być wykonane przez uprawnione służby geodezyjne. Po zrealizowaniu sieci dokonać wymaganych badań i prób szczelności, a następnie zasypki wykopów. Wykonawca zobowiązany jest do dostarczenia Inwestorowi dokumentacji powykonawczej zgodnie z obowiązującym Prawem Budowlanym.</w:t>
      </w:r>
    </w:p>
    <w:p w14:paraId="2D7DF5D0" w14:textId="77777777" w:rsidR="008C656F" w:rsidRPr="00A23FB4" w:rsidRDefault="008C656F" w:rsidP="008C656F">
      <w:pPr>
        <w:pStyle w:val="Normalny2"/>
        <w:pBdr>
          <w:top w:val="nil"/>
          <w:left w:val="nil"/>
          <w:bottom w:val="nil"/>
          <w:right w:val="nil"/>
          <w:between w:val="nil"/>
        </w:pBdr>
        <w:spacing w:before="120" w:after="120"/>
        <w:jc w:val="both"/>
        <w:rPr>
          <w:b/>
        </w:rPr>
      </w:pPr>
      <w:r w:rsidRPr="00A23FB4">
        <w:rPr>
          <w:b/>
        </w:rPr>
        <w:t>5.7.2. Oznakowanie uzbrojenia</w:t>
      </w:r>
    </w:p>
    <w:p w14:paraId="544C08B9" w14:textId="77777777" w:rsidR="008C656F" w:rsidRPr="00A23FB4" w:rsidRDefault="008C656F" w:rsidP="008C656F">
      <w:pPr>
        <w:pStyle w:val="Normalny2"/>
        <w:pBdr>
          <w:top w:val="nil"/>
          <w:left w:val="nil"/>
          <w:bottom w:val="nil"/>
          <w:right w:val="nil"/>
          <w:between w:val="nil"/>
        </w:pBdr>
        <w:jc w:val="both"/>
      </w:pPr>
      <w:r w:rsidRPr="00A23FB4">
        <w:t>Wbudowane uzbrojenie podziemne należy trwale oznakować tabliczkami orientacyjnymi zgodnie z wymaganiami normy PN-B-09700. Tablice należy umieścić na trwałych obiektach budowlanych lub specjalnych słupkach, na wysokości 2 m nad terenem, w miejscach widocznych, w odległości nie większej niż 25 m od oznaczonego uzbrojenia.</w:t>
      </w:r>
    </w:p>
    <w:p w14:paraId="03F78B16" w14:textId="77777777" w:rsidR="008C656F" w:rsidRPr="00A23FB4" w:rsidRDefault="008C656F" w:rsidP="008C656F">
      <w:pPr>
        <w:pStyle w:val="Normalny2"/>
        <w:pBdr>
          <w:top w:val="nil"/>
          <w:left w:val="nil"/>
          <w:bottom w:val="nil"/>
          <w:right w:val="nil"/>
          <w:between w:val="nil"/>
        </w:pBdr>
        <w:spacing w:before="120" w:after="120"/>
        <w:jc w:val="both"/>
        <w:rPr>
          <w:b/>
        </w:rPr>
      </w:pPr>
      <w:r w:rsidRPr="00A23FB4">
        <w:rPr>
          <w:b/>
        </w:rPr>
        <w:t>5.7.3. Montaż studni (komory roboczej)</w:t>
      </w:r>
    </w:p>
    <w:p w14:paraId="4A9F715B" w14:textId="77777777" w:rsidR="008C656F" w:rsidRPr="00A23FB4" w:rsidRDefault="008C656F" w:rsidP="008C656F">
      <w:pPr>
        <w:pStyle w:val="Normalny2"/>
        <w:pBdr>
          <w:top w:val="nil"/>
          <w:left w:val="nil"/>
          <w:bottom w:val="nil"/>
          <w:right w:val="nil"/>
          <w:between w:val="nil"/>
        </w:pBdr>
        <w:jc w:val="both"/>
      </w:pPr>
      <w:r w:rsidRPr="00A23FB4">
        <w:t>Montaż prowadzić zgodnie z zaleceniami producentów w starannie wykonanych, suchych i zabezpieczonych wykopach. Zasypkę prowadzić piaskiem warstwami 20cm z dokładnym zagęszczeniem ubijakami mechanicznymi. W strefie przyłączonych do studni przewodów kanalizacyjnych do wysokości 50 cm ponad nimi i wokół przewodu zagęszczanie powinno być wykonane przy pomocy ubijaków ręcznych. Do zasypki stosować wyłącznie piasek, aż do podbudowy odbudowywanej jezdni. Zabrania się stosowania na obsypki grysów łamanych i ziemi zanieczyszczonej gruzem i kamieniami, a także gruntów spoistych jak glina czy ił. Materiał na podsypki i obsypki nie może być zmrożony. Elementy denne studzienek posadawiać na podbudowie betonowej z betonu C12/15 o grubości min. 10 cm wg PN-EN 206-01.</w:t>
      </w:r>
    </w:p>
    <w:p w14:paraId="61CC89E5" w14:textId="77777777" w:rsidR="008C656F" w:rsidRPr="00A23FB4" w:rsidRDefault="008C656F" w:rsidP="008C656F">
      <w:pPr>
        <w:pStyle w:val="Normalny2"/>
        <w:pBdr>
          <w:top w:val="nil"/>
          <w:left w:val="nil"/>
          <w:bottom w:val="nil"/>
          <w:right w:val="nil"/>
          <w:between w:val="nil"/>
        </w:pBdr>
        <w:spacing w:before="120" w:after="120"/>
        <w:jc w:val="both"/>
        <w:rPr>
          <w:b/>
        </w:rPr>
      </w:pPr>
      <w:r w:rsidRPr="00A23FB4">
        <w:rPr>
          <w:b/>
        </w:rPr>
        <w:t>5.7.4. Warunki wykonania obiektu</w:t>
      </w:r>
    </w:p>
    <w:p w14:paraId="7ED30E39" w14:textId="77777777" w:rsidR="008C656F" w:rsidRPr="00A23FB4" w:rsidRDefault="008C656F" w:rsidP="008C656F">
      <w:pPr>
        <w:pStyle w:val="Normalny2"/>
        <w:pBdr>
          <w:top w:val="nil"/>
          <w:left w:val="nil"/>
          <w:bottom w:val="nil"/>
          <w:right w:val="nil"/>
          <w:between w:val="nil"/>
        </w:pBdr>
        <w:jc w:val="both"/>
      </w:pPr>
      <w:r w:rsidRPr="00A23FB4">
        <w:t>Przewody należy układać zgodnie z wymogami norm. Technologia układania przewodów powinna zapewnić utrzymanie trasy i spadków zgodnie z Dokumentacją Projektową. Dla zapewnienia właściwego ułożenia przewodu kanalizacyjnego, zgodnie z projektowaną osią, przez punkty osiowo trwale oznakowane na ławach celowniczych należy przeciągnąć drut lub sznurek, na którym zawieszony jest ciężarek pionu pomiędzy dwoma ławami celowniczymi.</w:t>
      </w:r>
    </w:p>
    <w:p w14:paraId="01D5A077" w14:textId="77777777" w:rsidR="008C656F" w:rsidRPr="00A23FB4" w:rsidRDefault="008C656F" w:rsidP="008C656F">
      <w:pPr>
        <w:pStyle w:val="Normalny2"/>
        <w:pBdr>
          <w:top w:val="nil"/>
          <w:left w:val="nil"/>
          <w:bottom w:val="nil"/>
          <w:right w:val="nil"/>
          <w:between w:val="nil"/>
        </w:pBdr>
        <w:jc w:val="both"/>
      </w:pPr>
      <w:r w:rsidRPr="00A23FB4">
        <w:t>Spadek przewodu należy kontrolować za pomocą niwelatora w odniesieniu do reperów stałych znajdujących się poza wykopem oraz reperów pomocniczych, które mogą stanowić np. kołki drewniane wbite w dno wykopu.</w:t>
      </w:r>
    </w:p>
    <w:p w14:paraId="7B799D2A" w14:textId="77777777" w:rsidR="008C656F" w:rsidRPr="00A23FB4" w:rsidRDefault="008C656F" w:rsidP="008C656F">
      <w:pPr>
        <w:pStyle w:val="Normalny2"/>
        <w:pBdr>
          <w:top w:val="nil"/>
          <w:left w:val="nil"/>
          <w:bottom w:val="nil"/>
          <w:right w:val="nil"/>
          <w:between w:val="nil"/>
        </w:pBdr>
        <w:jc w:val="both"/>
      </w:pPr>
      <w:r w:rsidRPr="00A23FB4">
        <w:t>Przed opuszczeniem rur do wykopu należy sprawdzić, czy nie mają one widocznych uszkodzeń powstałych w czasie transportu i składowania. Rury uszkodzone należy usunąć i zmagazynować poza strefą montażową.</w:t>
      </w:r>
    </w:p>
    <w:p w14:paraId="038F4D59" w14:textId="77777777" w:rsidR="008C656F" w:rsidRPr="00A23FB4" w:rsidRDefault="008C656F" w:rsidP="008C656F">
      <w:pPr>
        <w:pStyle w:val="Normalny2"/>
        <w:pBdr>
          <w:top w:val="nil"/>
          <w:left w:val="nil"/>
          <w:bottom w:val="nil"/>
          <w:right w:val="nil"/>
          <w:between w:val="nil"/>
        </w:pBdr>
        <w:jc w:val="both"/>
      </w:pPr>
      <w:r w:rsidRPr="00A23FB4">
        <w:t>Rury należy opuszczać do wykopu powoli i ostrożnie, mechanicznie za pomocą krążków, wielokrążków lub dźwigów. Niedopuszczalne jest wrzucanie rur do wykopu.</w:t>
      </w:r>
    </w:p>
    <w:p w14:paraId="2B9707E8" w14:textId="77777777" w:rsidR="008C656F" w:rsidRPr="00A23FB4" w:rsidRDefault="008C656F" w:rsidP="008C656F">
      <w:pPr>
        <w:pStyle w:val="Normalny2"/>
        <w:pBdr>
          <w:top w:val="nil"/>
          <w:left w:val="nil"/>
          <w:bottom w:val="nil"/>
          <w:right w:val="nil"/>
          <w:between w:val="nil"/>
        </w:pBdr>
        <w:jc w:val="both"/>
      </w:pPr>
      <w:r w:rsidRPr="00A23FB4">
        <w:t>Rury ciężkie, opuszczane mechaniczne, należy umieszczać we właściwym położeniu, gdy są podwieszone i dopiero wówczas zwolnić podwieszenie. Opuszczenie odcinków przewodów do wykopu powinno być prowadzone na przygotowane i wyrównane do spadku podłoże. Przy opuszczeniu i układaniu rur należy zwrócić szczególną uwagę na to, aby nie dopuścić do uszkodzenia izolacji zewnętrznej. Izolację uszkodzoną przed lub po ułożeniu, jak również przy wykonaniu połączeń z istniejącym rurociągiem należy naprawić.</w:t>
      </w:r>
    </w:p>
    <w:p w14:paraId="5C170813" w14:textId="77777777" w:rsidR="008C656F" w:rsidRPr="00A23FB4" w:rsidRDefault="008C656F" w:rsidP="008C656F">
      <w:pPr>
        <w:pStyle w:val="Normalny2"/>
        <w:pBdr>
          <w:top w:val="nil"/>
          <w:left w:val="nil"/>
          <w:bottom w:val="nil"/>
          <w:right w:val="nil"/>
          <w:between w:val="nil"/>
        </w:pBdr>
        <w:jc w:val="both"/>
      </w:pPr>
      <w:r w:rsidRPr="00A23FB4">
        <w:t>Każda rura powinna być ułożona zgodnie z projektowaną osią i spadkiem przewodu oraz ściśle przylegać do podłoża na całej swej długości o co najmniej 1/2 obwodu symetrycznie do swej osi. Dla wykonania złączy z istniejącym rurociągiem należy wykonać w wykopie odpowiednie gniazda (podkopy). Wymiary gniazd należy dostosować do średnicy i rodzaju złączy.</w:t>
      </w:r>
    </w:p>
    <w:p w14:paraId="7A9DB4F7" w14:textId="77777777" w:rsidR="008C656F" w:rsidRPr="00A23FB4" w:rsidRDefault="008C656F" w:rsidP="008C656F">
      <w:pPr>
        <w:pStyle w:val="Normalny2"/>
        <w:pBdr>
          <w:top w:val="nil"/>
          <w:left w:val="nil"/>
          <w:bottom w:val="nil"/>
          <w:right w:val="nil"/>
          <w:between w:val="nil"/>
        </w:pBdr>
        <w:jc w:val="both"/>
      </w:pPr>
      <w:r w:rsidRPr="00A23FB4">
        <w:t>Różnice rzędnych ułożonego przewodu od przewidzianych w Dokumentacji Projektowej nie mogą w żadnym punkcie przewodu przekroczyć: +/- 2 cm i nie mogą powodować na odcinku przewodu przeciwnego spadku ani jego zmniejszenia do zera.</w:t>
      </w:r>
    </w:p>
    <w:p w14:paraId="0F344F6F" w14:textId="77777777" w:rsidR="008C656F" w:rsidRPr="00A23FB4" w:rsidRDefault="008C656F" w:rsidP="008C656F">
      <w:pPr>
        <w:pStyle w:val="Normalny2"/>
        <w:pBdr>
          <w:top w:val="nil"/>
          <w:left w:val="nil"/>
          <w:bottom w:val="nil"/>
          <w:right w:val="nil"/>
          <w:between w:val="nil"/>
        </w:pBdr>
        <w:jc w:val="both"/>
      </w:pPr>
      <w:r w:rsidRPr="00A23FB4">
        <w:t>Załamanie przewodu w planie przy zmianie kierunku trasy powinno być dokonane przy pomocy odpowiednich łuków. Dopuszczalny kąt w pionie lub poziomie na połączeniu rur nie powinien przekraczać kąta wskazanego przez producenta.</w:t>
      </w:r>
    </w:p>
    <w:p w14:paraId="64D817C9" w14:textId="77777777" w:rsidR="008C656F" w:rsidRPr="00A23FB4" w:rsidRDefault="008C656F" w:rsidP="008C656F">
      <w:pPr>
        <w:pStyle w:val="Normalny2"/>
        <w:pBdr>
          <w:top w:val="nil"/>
          <w:left w:val="nil"/>
          <w:bottom w:val="nil"/>
          <w:right w:val="nil"/>
          <w:between w:val="nil"/>
        </w:pBdr>
        <w:jc w:val="both"/>
      </w:pPr>
      <w:r w:rsidRPr="00A23FB4">
        <w:t xml:space="preserve">Spadki i głębokość posadowienia rurociągów powinny być wykonane zgodnie z projektem. Głębokość posadowienia powinna zapewniać przykrycie nad wierzchem przewodu nie mniejsze niż głębokość przemarzania gruntów wg PN-B-03020. Przy mniejszych zagłębieniach zachodzi konieczność odpowiedniego ocieplenia kanału (np. keramzytem). </w:t>
      </w:r>
    </w:p>
    <w:p w14:paraId="51155847" w14:textId="77777777" w:rsidR="008C656F" w:rsidRPr="00A23FB4" w:rsidRDefault="008C656F" w:rsidP="008C656F">
      <w:pPr>
        <w:pStyle w:val="Normalny2"/>
        <w:pBdr>
          <w:top w:val="nil"/>
          <w:left w:val="nil"/>
          <w:bottom w:val="nil"/>
          <w:right w:val="nil"/>
          <w:between w:val="nil"/>
        </w:pBdr>
        <w:jc w:val="both"/>
      </w:pPr>
      <w:r w:rsidRPr="00A23FB4">
        <w:t xml:space="preserve">Zasypywanie rur w wykopie należy prowadzić gruntem niespoistym warstwami grubości 20 cm. Do wysokości ok. 0,30 m ponad górną krawędź przewodu powinny to być grunty nie zawierające kamieni. Materiał zasypkowy powinien być równomiernie układany i zagęszczany po obu stronach przewodu, aby nie dopuścić do jego poziomego przemieszczenia. Rodzaj gruntu do zasypywania wykopów Wykonawca uzgodni z Inspektorem Nadzoru. </w:t>
      </w:r>
    </w:p>
    <w:p w14:paraId="3AE888F7" w14:textId="77777777" w:rsidR="008C656F" w:rsidRPr="00A23FB4" w:rsidRDefault="008C656F" w:rsidP="008C656F">
      <w:pPr>
        <w:pStyle w:val="Normalny2"/>
        <w:pBdr>
          <w:top w:val="nil"/>
          <w:left w:val="nil"/>
          <w:bottom w:val="nil"/>
          <w:right w:val="nil"/>
          <w:between w:val="nil"/>
        </w:pBdr>
        <w:jc w:val="both"/>
      </w:pPr>
      <w:bookmarkStart w:id="135" w:name="_heading=h.2981zbj" w:colFirst="0" w:colLast="0"/>
      <w:bookmarkEnd w:id="135"/>
      <w:r w:rsidRPr="00A23FB4">
        <w:t>W trakcie wykonywania robót ściśle przestrzegać obowiązujących przepisów BHP.</w:t>
      </w:r>
    </w:p>
    <w:p w14:paraId="05DB3829" w14:textId="77777777" w:rsidR="008C656F" w:rsidRPr="00A23FB4" w:rsidRDefault="008C656F" w:rsidP="008C656F">
      <w:pPr>
        <w:pStyle w:val="Normalny2"/>
        <w:keepNext/>
        <w:pBdr>
          <w:top w:val="nil"/>
          <w:left w:val="nil"/>
          <w:bottom w:val="nil"/>
          <w:right w:val="nil"/>
          <w:between w:val="nil"/>
        </w:pBdr>
        <w:spacing w:before="120" w:after="120"/>
        <w:jc w:val="both"/>
        <w:rPr>
          <w:b/>
        </w:rPr>
      </w:pPr>
      <w:r w:rsidRPr="00A23FB4">
        <w:rPr>
          <w:b/>
        </w:rPr>
        <w:t>5.8. Badania szczelności</w:t>
      </w:r>
    </w:p>
    <w:p w14:paraId="46063ADC" w14:textId="77777777" w:rsidR="008C656F" w:rsidRPr="00A23FB4" w:rsidRDefault="008C656F" w:rsidP="008C656F">
      <w:pPr>
        <w:pStyle w:val="Normalny2"/>
        <w:jc w:val="both"/>
      </w:pPr>
      <w:r w:rsidRPr="00A23FB4">
        <w:t>Po  zamontowaniu kanałów należy przeprowadzić próbę szczelności – przed zasypaniem wykopów. Próbę szczelności kanalizacji należy przeprowadzić zgodnie z normą PN-EN 1610 oraz instrukcją producenta rur i studzienek rewizyjnych.</w:t>
      </w:r>
    </w:p>
    <w:p w14:paraId="780CEC13" w14:textId="77777777" w:rsidR="008C656F" w:rsidRPr="00A23FB4" w:rsidRDefault="008C656F" w:rsidP="008C656F">
      <w:pPr>
        <w:pStyle w:val="Normalny2"/>
        <w:jc w:val="both"/>
      </w:pPr>
      <w:r w:rsidRPr="00A23FB4">
        <w:t>Próbę przeprowadzić po zasypaniu elementów do warstw konstrukcyjnych drogi lub terenu celem stwierdzenia zgodności wykonania z projektem (jakości połączeń oraz zastosowania odpowiednich rur i kształtek).</w:t>
      </w:r>
    </w:p>
    <w:p w14:paraId="22C99329" w14:textId="77777777" w:rsidR="008C656F" w:rsidRPr="00A23FB4" w:rsidRDefault="008C656F" w:rsidP="008C656F">
      <w:pPr>
        <w:pStyle w:val="Normalny2"/>
        <w:jc w:val="both"/>
      </w:pPr>
      <w:r w:rsidRPr="00A23FB4">
        <w:t>Przewody kanalizacyjne należy poddać badaniom w zakresie szczelności na:</w:t>
      </w:r>
    </w:p>
    <w:p w14:paraId="49557E08" w14:textId="77777777" w:rsidR="008B531E" w:rsidRDefault="008C656F" w:rsidP="00262498">
      <w:pPr>
        <w:pStyle w:val="Normalny2"/>
        <w:numPr>
          <w:ilvl w:val="0"/>
          <w:numId w:val="242"/>
        </w:numPr>
        <w:tabs>
          <w:tab w:val="left" w:pos="567"/>
        </w:tabs>
        <w:jc w:val="both"/>
      </w:pPr>
      <w:r w:rsidRPr="00A23FB4">
        <w:t>eksfiltrację – przenikanie wód lub ścieków do gruntu,</w:t>
      </w:r>
    </w:p>
    <w:p w14:paraId="7BE73110" w14:textId="77777777" w:rsidR="008B531E" w:rsidRDefault="008C656F" w:rsidP="00262498">
      <w:pPr>
        <w:pStyle w:val="Normalny2"/>
        <w:numPr>
          <w:ilvl w:val="0"/>
          <w:numId w:val="242"/>
        </w:numPr>
        <w:tabs>
          <w:tab w:val="left" w:pos="567"/>
        </w:tabs>
        <w:jc w:val="both"/>
      </w:pPr>
      <w:r w:rsidRPr="00A23FB4">
        <w:t>infiltrację – przenikanie wód gruntowych do przewodu kanalizacyjnego,</w:t>
      </w:r>
    </w:p>
    <w:p w14:paraId="0801DBF4" w14:textId="77777777" w:rsidR="008B531E" w:rsidRDefault="008C656F" w:rsidP="00262498">
      <w:pPr>
        <w:pStyle w:val="Normalny2"/>
        <w:numPr>
          <w:ilvl w:val="0"/>
          <w:numId w:val="242"/>
        </w:numPr>
        <w:tabs>
          <w:tab w:val="left" w:pos="567"/>
        </w:tabs>
        <w:jc w:val="both"/>
      </w:pPr>
      <w:r w:rsidRPr="00A23FB4">
        <w:t>próbę należy przeprowadzić na długości odcinków przykanalików,</w:t>
      </w:r>
    </w:p>
    <w:p w14:paraId="05DDE6A3" w14:textId="77777777" w:rsidR="008B531E" w:rsidRDefault="008C656F" w:rsidP="00262498">
      <w:pPr>
        <w:pStyle w:val="Normalny2"/>
        <w:numPr>
          <w:ilvl w:val="0"/>
          <w:numId w:val="242"/>
        </w:numPr>
        <w:tabs>
          <w:tab w:val="left" w:pos="567"/>
        </w:tabs>
        <w:jc w:val="both"/>
      </w:pPr>
      <w:r w:rsidRPr="00A23FB4">
        <w:t>cały odcinek przewodu powinien być ustabilizowany poprzez wykonanie obsypek,</w:t>
      </w:r>
    </w:p>
    <w:p w14:paraId="7B12DECD" w14:textId="4DE92FDC" w:rsidR="008C656F" w:rsidRPr="00A23FB4" w:rsidRDefault="008C656F" w:rsidP="00262498">
      <w:pPr>
        <w:pStyle w:val="Normalny2"/>
        <w:numPr>
          <w:ilvl w:val="0"/>
          <w:numId w:val="242"/>
        </w:numPr>
        <w:tabs>
          <w:tab w:val="left" w:pos="567"/>
        </w:tabs>
        <w:jc w:val="both"/>
      </w:pPr>
      <w:r w:rsidRPr="00A23FB4">
        <w:t>wszystkie otwory badanego odcinka winny być zaślepione,</w:t>
      </w:r>
    </w:p>
    <w:p w14:paraId="1DFA46C6" w14:textId="77777777" w:rsidR="008C656F" w:rsidRPr="00A23FB4" w:rsidRDefault="008C656F" w:rsidP="008C656F">
      <w:pPr>
        <w:pStyle w:val="Normalny2"/>
        <w:tabs>
          <w:tab w:val="left" w:pos="567"/>
        </w:tabs>
        <w:jc w:val="both"/>
      </w:pPr>
      <w:r w:rsidRPr="00A23FB4">
        <w:t>Badanie szczelności należy przeprowadzić dla odcinków kanałów między sąsiednimi studzienkami. Dopuszcza się prowadzenie badania szczelności kanału w podziale na inne odcinki po uzyskaniu aprobaty Inżyniera dla zaproponowanego podziału. Szczelność przewodów wraz z podłączeniami i studzienkami należy zbadać zgodnie z zasadami określonymi w PN-EN 1610:2002. Badanie to powinno być przeprowadzone z użyciem wody (metoda W). Próbę przeprowadza się po ułożeniu przewodu i wykonaniu warstwy ochronnej podbiciem rur z obu stron piaszczystym gruntem, dla zabezpieczenia przed przemieszczaniem się. Wszystkie złącza powinny być odkryte dla możliwości sprawdzenia ewentualnych przecieków. Wodę do próby można pobierać z istniejącego wodociągu po uzgodnieniu z dysponentem. W trakcie prowadzenia próby metodą wodną system kanalizacyjny winien być w całości wypełniony wodą. Ciśnienie próby dla metody wodnej nie może być mniejsze niż 10kPa i nie większe niż 50kPa , licząc od poziomu wierzchu rury. Wymagania dotyczące badania szczelności przy pomocy wody, są spełnione, jeżeli ilość wody dodanej (podczas wykonywania badań) nie przekracza:</w:t>
      </w:r>
    </w:p>
    <w:p w14:paraId="2579EDC7" w14:textId="77777777" w:rsidR="008C656F" w:rsidRPr="00A23FB4" w:rsidRDefault="008C656F" w:rsidP="008C656F">
      <w:pPr>
        <w:pStyle w:val="Normalny2"/>
        <w:tabs>
          <w:tab w:val="left" w:pos="567"/>
        </w:tabs>
        <w:jc w:val="both"/>
      </w:pPr>
      <w:r w:rsidRPr="00A23FB4">
        <w:t xml:space="preserve">● 0,15 l/m2 w czasie 30 min. Dla przewodów, </w:t>
      </w:r>
    </w:p>
    <w:p w14:paraId="51A3A895" w14:textId="77777777" w:rsidR="008C656F" w:rsidRPr="00A23FB4" w:rsidRDefault="008C656F" w:rsidP="008C656F">
      <w:pPr>
        <w:pStyle w:val="Normalny2"/>
        <w:tabs>
          <w:tab w:val="left" w:pos="567"/>
        </w:tabs>
        <w:jc w:val="both"/>
      </w:pPr>
      <w:r w:rsidRPr="00A23FB4">
        <w:t xml:space="preserve">● 0,20 l/m2 w czasie 30 min. Dla przewodów wraz ze studzienkami włazowymi, </w:t>
      </w:r>
    </w:p>
    <w:p w14:paraId="0E874C4D" w14:textId="77777777" w:rsidR="008C656F" w:rsidRPr="00A23FB4" w:rsidRDefault="008C656F" w:rsidP="008C656F">
      <w:pPr>
        <w:pStyle w:val="Normalny2"/>
        <w:tabs>
          <w:tab w:val="left" w:pos="567"/>
        </w:tabs>
        <w:jc w:val="both"/>
      </w:pPr>
      <w:r w:rsidRPr="00A23FB4">
        <w:t xml:space="preserve">● 0,40 l/m2 w czasie 30 min. Dla studzienek kanalizacyjnych, </w:t>
      </w:r>
    </w:p>
    <w:p w14:paraId="7786D639" w14:textId="77777777" w:rsidR="008C656F" w:rsidRPr="00A23FB4" w:rsidRDefault="008C656F" w:rsidP="008C656F">
      <w:pPr>
        <w:pStyle w:val="Normalny2"/>
        <w:tabs>
          <w:tab w:val="left" w:pos="567"/>
        </w:tabs>
        <w:jc w:val="both"/>
      </w:pPr>
      <w:r w:rsidRPr="00A23FB4">
        <w:t>● m2 – odnosi się do wewnętrznej powierzchni zwilżonej rur i studzienek. Dopuszcza się wykonywanie próby szczelności za pomocą powietrza wg PN-EN 1610.</w:t>
      </w:r>
    </w:p>
    <w:p w14:paraId="0AD54804" w14:textId="77777777" w:rsidR="008C656F" w:rsidRPr="00A23FB4" w:rsidRDefault="008C656F" w:rsidP="008C656F">
      <w:pPr>
        <w:pStyle w:val="Normalny2"/>
        <w:tabs>
          <w:tab w:val="left" w:pos="567"/>
        </w:tabs>
        <w:jc w:val="both"/>
      </w:pPr>
      <w:r w:rsidRPr="00A23FB4">
        <w:t>Szczelność przewodów tłocznych i ciśnieniowych, powinna zapewnić utrzymanie ciśnienia próbnego przez okres 30 minut podczas przeprowadzania próby hydraulicznej. Ciśnienie próbne powinno wynosić 1,5 ciśnienia roboczego , nie mniej niż 1 MPa (10 barów).</w:t>
      </w:r>
    </w:p>
    <w:p w14:paraId="333865F2" w14:textId="77777777" w:rsidR="008C656F" w:rsidRPr="00A23FB4" w:rsidRDefault="008C656F" w:rsidP="008C656F">
      <w:pPr>
        <w:pStyle w:val="Normalny2"/>
        <w:jc w:val="both"/>
      </w:pPr>
      <w:r w:rsidRPr="00A23FB4">
        <w:t>Pozytywny wynik próby na eksfiltrację pozwala na rezygnację z próby na infiltrację.</w:t>
      </w:r>
    </w:p>
    <w:p w14:paraId="15ABBA00" w14:textId="77777777" w:rsidR="008C656F" w:rsidRPr="00A23FB4" w:rsidRDefault="008C656F" w:rsidP="008C656F">
      <w:pPr>
        <w:pStyle w:val="Normalny2"/>
        <w:jc w:val="both"/>
      </w:pPr>
      <w:r w:rsidRPr="00A23FB4">
        <w:t xml:space="preserve">Ujawnione nieszczelności powinny być usunięte, a złącza ponownie przebadane. Próbę szczelności należy wykonywać na rurociągu ułożonym i przysypanym, za wyjątkiem miejsc złączy, zamknięć odcinków próbnych. Miejsca odsłonięte należy zabezpieczyć przed działaniem wpływów atmosferycznych. Rurociągi, na których jest prowadzona próba szczelności lub wytrzymałości powinny być oznakowane w terenie w wyraźny sposób za pomocą znaków i tablic ostrzegawczych, zabraniających zbliżaniu się do rurociągów osobom postronnym. </w:t>
      </w:r>
    </w:p>
    <w:p w14:paraId="780B579B" w14:textId="77777777" w:rsidR="008C656F" w:rsidRPr="00A23FB4" w:rsidRDefault="008C656F" w:rsidP="008C656F">
      <w:pPr>
        <w:pStyle w:val="Normalny2"/>
        <w:jc w:val="both"/>
      </w:pPr>
      <w:r w:rsidRPr="00A23FB4">
        <w:t>Po uzyskaniu próby szczelności wykonawca winien przeprowadzić inspekcję kanałów przy pomocy kamery TV i wizję lokalną.</w:t>
      </w:r>
    </w:p>
    <w:p w14:paraId="662CCBB1" w14:textId="77777777" w:rsidR="008C656F" w:rsidRPr="00A23FB4" w:rsidRDefault="008C656F" w:rsidP="008C656F">
      <w:pPr>
        <w:pStyle w:val="Normalny2"/>
        <w:jc w:val="both"/>
      </w:pPr>
      <w:r w:rsidRPr="00A23FB4">
        <w:t>Po zakończonej próbie szczelności należy sporządzić protokół, zawierający:</w:t>
      </w:r>
    </w:p>
    <w:p w14:paraId="2E61232C" w14:textId="77777777" w:rsidR="008B531E" w:rsidRDefault="008C656F" w:rsidP="00262498">
      <w:pPr>
        <w:pStyle w:val="Normalny2"/>
        <w:numPr>
          <w:ilvl w:val="1"/>
          <w:numId w:val="196"/>
        </w:numPr>
        <w:tabs>
          <w:tab w:val="left" w:pos="567"/>
        </w:tabs>
        <w:jc w:val="both"/>
      </w:pPr>
      <w:r w:rsidRPr="00A23FB4">
        <w:t>datę sporządzenia protokółu,</w:t>
      </w:r>
    </w:p>
    <w:p w14:paraId="12D50A11" w14:textId="77777777" w:rsidR="008B531E" w:rsidRDefault="008C656F" w:rsidP="00262498">
      <w:pPr>
        <w:pStyle w:val="Normalny2"/>
        <w:numPr>
          <w:ilvl w:val="1"/>
          <w:numId w:val="196"/>
        </w:numPr>
        <w:tabs>
          <w:tab w:val="left" w:pos="567"/>
        </w:tabs>
        <w:jc w:val="both"/>
      </w:pPr>
      <w:r w:rsidRPr="00A23FB4">
        <w:t>nazwę Wykonawcy,</w:t>
      </w:r>
    </w:p>
    <w:p w14:paraId="6D5E2642" w14:textId="77777777" w:rsidR="008B531E" w:rsidRDefault="008C656F" w:rsidP="00262498">
      <w:pPr>
        <w:pStyle w:val="Normalny2"/>
        <w:numPr>
          <w:ilvl w:val="1"/>
          <w:numId w:val="196"/>
        </w:numPr>
        <w:tabs>
          <w:tab w:val="left" w:pos="567"/>
        </w:tabs>
        <w:jc w:val="both"/>
      </w:pPr>
      <w:r w:rsidRPr="00A23FB4">
        <w:t>nazwę instytucji przeprowadzającej próbę oraz nazwisko osoby odpowiedzialnej za przebieg próby,</w:t>
      </w:r>
    </w:p>
    <w:p w14:paraId="600A5DF4" w14:textId="77777777" w:rsidR="008B531E" w:rsidRDefault="008C656F" w:rsidP="00262498">
      <w:pPr>
        <w:pStyle w:val="Normalny2"/>
        <w:numPr>
          <w:ilvl w:val="1"/>
          <w:numId w:val="196"/>
        </w:numPr>
        <w:tabs>
          <w:tab w:val="left" w:pos="567"/>
        </w:tabs>
        <w:jc w:val="both"/>
      </w:pPr>
      <w:r w:rsidRPr="00A23FB4">
        <w:t>nazwę Inwestora rurociągu,</w:t>
      </w:r>
    </w:p>
    <w:p w14:paraId="20FAE53D" w14:textId="77777777" w:rsidR="008B531E" w:rsidRDefault="008C656F" w:rsidP="00262498">
      <w:pPr>
        <w:pStyle w:val="Normalny2"/>
        <w:numPr>
          <w:ilvl w:val="1"/>
          <w:numId w:val="196"/>
        </w:numPr>
        <w:tabs>
          <w:tab w:val="left" w:pos="567"/>
        </w:tabs>
        <w:jc w:val="both"/>
      </w:pPr>
      <w:r w:rsidRPr="00A23FB4">
        <w:t>nazwę eksploatatora,</w:t>
      </w:r>
    </w:p>
    <w:p w14:paraId="0918B0E7" w14:textId="77777777" w:rsidR="008B531E" w:rsidRDefault="008C656F" w:rsidP="00262498">
      <w:pPr>
        <w:pStyle w:val="Normalny2"/>
        <w:numPr>
          <w:ilvl w:val="1"/>
          <w:numId w:val="196"/>
        </w:numPr>
        <w:tabs>
          <w:tab w:val="left" w:pos="567"/>
        </w:tabs>
        <w:jc w:val="both"/>
      </w:pPr>
      <w:r w:rsidRPr="00A23FB4">
        <w:t>rodzaj czynnika próby,</w:t>
      </w:r>
    </w:p>
    <w:p w14:paraId="0A3ED578" w14:textId="77777777" w:rsidR="008B531E" w:rsidRDefault="008C656F" w:rsidP="00262498">
      <w:pPr>
        <w:pStyle w:val="Normalny2"/>
        <w:numPr>
          <w:ilvl w:val="1"/>
          <w:numId w:val="196"/>
        </w:numPr>
        <w:tabs>
          <w:tab w:val="left" w:pos="567"/>
        </w:tabs>
        <w:jc w:val="both"/>
      </w:pPr>
      <w:r w:rsidRPr="00A23FB4">
        <w:t>czas trwania próby,</w:t>
      </w:r>
    </w:p>
    <w:p w14:paraId="087A8CFC" w14:textId="77777777" w:rsidR="008B531E" w:rsidRDefault="008C656F" w:rsidP="00262498">
      <w:pPr>
        <w:pStyle w:val="Normalny2"/>
        <w:numPr>
          <w:ilvl w:val="1"/>
          <w:numId w:val="196"/>
        </w:numPr>
        <w:tabs>
          <w:tab w:val="left" w:pos="567"/>
        </w:tabs>
        <w:jc w:val="both"/>
      </w:pPr>
      <w:r w:rsidRPr="00A23FB4">
        <w:t>ujawnione uszkodzenia i nieszczelności oraz sposoby ich usunięcia,</w:t>
      </w:r>
      <w:bookmarkStart w:id="136" w:name="_heading=h.vx1227" w:colFirst="0" w:colLast="0"/>
      <w:bookmarkEnd w:id="136"/>
    </w:p>
    <w:p w14:paraId="512FBB5C" w14:textId="45C3ED7C" w:rsidR="008C656F" w:rsidRPr="00A23FB4" w:rsidRDefault="008C656F" w:rsidP="00262498">
      <w:pPr>
        <w:pStyle w:val="Normalny2"/>
        <w:numPr>
          <w:ilvl w:val="1"/>
          <w:numId w:val="196"/>
        </w:numPr>
        <w:tabs>
          <w:tab w:val="left" w:pos="567"/>
        </w:tabs>
        <w:jc w:val="both"/>
      </w:pPr>
      <w:r w:rsidRPr="00A23FB4">
        <w:t>wynik próby oraz klauzulę dopuszczenia do odbioru końcowego.</w:t>
      </w:r>
      <w:bookmarkStart w:id="137" w:name="_heading=h.oomcn0h89ocz" w:colFirst="0" w:colLast="0"/>
      <w:bookmarkEnd w:id="137"/>
    </w:p>
    <w:p w14:paraId="2F33AAC4" w14:textId="77777777" w:rsidR="008C656F" w:rsidRPr="00A23FB4" w:rsidRDefault="008C656F" w:rsidP="008C656F">
      <w:pPr>
        <w:pStyle w:val="Normalny2"/>
        <w:keepNext/>
        <w:pBdr>
          <w:top w:val="nil"/>
          <w:left w:val="nil"/>
          <w:bottom w:val="nil"/>
          <w:right w:val="nil"/>
          <w:between w:val="nil"/>
        </w:pBdr>
        <w:spacing w:before="240" w:after="240"/>
        <w:jc w:val="both"/>
        <w:rPr>
          <w:b/>
        </w:rPr>
      </w:pPr>
      <w:bookmarkStart w:id="138" w:name="_heading=h.38czs75" w:colFirst="0" w:colLast="0"/>
      <w:bookmarkEnd w:id="138"/>
      <w:r w:rsidRPr="00A23FB4">
        <w:rPr>
          <w:b/>
        </w:rPr>
        <w:t>6. KONTROLA JAKOŚCI ROBÓT</w:t>
      </w:r>
    </w:p>
    <w:p w14:paraId="6C2ADBB8" w14:textId="77777777" w:rsidR="008C656F" w:rsidRPr="00A23FB4" w:rsidRDefault="008C656F" w:rsidP="008C656F">
      <w:pPr>
        <w:pStyle w:val="Normalny2"/>
        <w:keepNext/>
        <w:pBdr>
          <w:top w:val="nil"/>
          <w:left w:val="nil"/>
          <w:bottom w:val="nil"/>
          <w:right w:val="nil"/>
          <w:between w:val="nil"/>
        </w:pBdr>
        <w:spacing w:before="120" w:after="120"/>
        <w:jc w:val="both"/>
        <w:rPr>
          <w:b/>
        </w:rPr>
      </w:pPr>
      <w:r w:rsidRPr="00A23FB4">
        <w:rPr>
          <w:b/>
        </w:rPr>
        <w:t>6.1. Ogólne zasady kontroli jakości robót budowlanych</w:t>
      </w:r>
    </w:p>
    <w:p w14:paraId="433C1CBA" w14:textId="5F976608" w:rsidR="008C656F" w:rsidRPr="00A23FB4" w:rsidRDefault="008C656F" w:rsidP="008C656F">
      <w:pPr>
        <w:pStyle w:val="Normalny2"/>
        <w:pBdr>
          <w:top w:val="nil"/>
          <w:left w:val="nil"/>
          <w:bottom w:val="nil"/>
          <w:right w:val="nil"/>
          <w:between w:val="nil"/>
        </w:pBdr>
        <w:jc w:val="both"/>
      </w:pPr>
      <w:bookmarkStart w:id="139" w:name="_heading=h.1nia2ey" w:colFirst="0" w:colLast="0"/>
      <w:bookmarkEnd w:id="139"/>
      <w:r w:rsidRPr="00A23FB4">
        <w:t xml:space="preserve">Wymagania ogólne dotyczące zasady kontroli jakości robót zawiera </w:t>
      </w:r>
      <w:r w:rsidR="00CA1B27">
        <w:t>ST</w:t>
      </w:r>
      <w:r w:rsidRPr="00A23FB4">
        <w:t>WiORB „Wymagania ogólne”.</w:t>
      </w:r>
    </w:p>
    <w:p w14:paraId="7426E136" w14:textId="77777777" w:rsidR="008C656F" w:rsidRPr="00A23FB4" w:rsidRDefault="008C656F" w:rsidP="008C656F">
      <w:pPr>
        <w:pStyle w:val="Normalny2"/>
        <w:keepNext/>
        <w:pBdr>
          <w:top w:val="nil"/>
          <w:left w:val="nil"/>
          <w:bottom w:val="nil"/>
          <w:right w:val="nil"/>
          <w:between w:val="nil"/>
        </w:pBdr>
        <w:spacing w:before="120" w:after="120"/>
        <w:jc w:val="both"/>
        <w:rPr>
          <w:b/>
        </w:rPr>
      </w:pPr>
      <w:r w:rsidRPr="00A23FB4">
        <w:rPr>
          <w:b/>
        </w:rPr>
        <w:t>6.2. Badania materiałów użytych do budowy elementów kanalizacji</w:t>
      </w:r>
    </w:p>
    <w:p w14:paraId="129AC610" w14:textId="77777777" w:rsidR="008C656F" w:rsidRPr="00A23FB4" w:rsidRDefault="008C656F" w:rsidP="008C656F">
      <w:pPr>
        <w:pStyle w:val="Normalny2"/>
        <w:pBdr>
          <w:top w:val="nil"/>
          <w:left w:val="nil"/>
          <w:bottom w:val="nil"/>
          <w:right w:val="nil"/>
          <w:between w:val="nil"/>
        </w:pBdr>
        <w:jc w:val="both"/>
      </w:pPr>
      <w:r w:rsidRPr="00A23FB4">
        <w:t>Wykonawca jest odpowiedzialny za pełną kontrolę jakości robót i stosowanych materiałów.</w:t>
      </w:r>
    </w:p>
    <w:p w14:paraId="56AD0796" w14:textId="77777777" w:rsidR="008C656F" w:rsidRPr="00A23FB4" w:rsidRDefault="008C656F" w:rsidP="008C656F">
      <w:pPr>
        <w:pStyle w:val="Normalny2"/>
        <w:pBdr>
          <w:top w:val="nil"/>
          <w:left w:val="nil"/>
          <w:bottom w:val="nil"/>
          <w:right w:val="nil"/>
          <w:between w:val="nil"/>
        </w:pBdr>
        <w:jc w:val="both"/>
      </w:pPr>
      <w:r w:rsidRPr="00A23FB4">
        <w:t>Wykonawca będzie przeprowadzać pomiary i badania materiałów oraz robót z częstotliwością zapewniającą stwierdzenie, że roboty wykonano zgodnie z wymaganiami zawartymi w dokumentacji projektowej i ST.</w:t>
      </w:r>
    </w:p>
    <w:p w14:paraId="4708F30A" w14:textId="77777777" w:rsidR="008C656F" w:rsidRPr="00A23FB4" w:rsidRDefault="008C656F" w:rsidP="008C656F">
      <w:pPr>
        <w:pStyle w:val="Normalny2"/>
        <w:pBdr>
          <w:top w:val="nil"/>
          <w:left w:val="nil"/>
          <w:bottom w:val="nil"/>
          <w:right w:val="nil"/>
          <w:between w:val="nil"/>
        </w:pBdr>
        <w:jc w:val="both"/>
      </w:pPr>
      <w:r w:rsidRPr="00A23FB4">
        <w:t>W przypadku, gdy nie zostały one tam określone, Inspektor nadzoru ustali jaki zakres kontroli jest konieczny, aby zapewnić wykonanie robót zgodnie z umową.</w:t>
      </w:r>
    </w:p>
    <w:p w14:paraId="3D608F8A" w14:textId="77777777" w:rsidR="008C656F" w:rsidRPr="00A23FB4" w:rsidRDefault="008C656F" w:rsidP="008C656F">
      <w:pPr>
        <w:pStyle w:val="Normalny2"/>
        <w:pBdr>
          <w:top w:val="nil"/>
          <w:left w:val="nil"/>
          <w:bottom w:val="nil"/>
          <w:right w:val="nil"/>
          <w:between w:val="nil"/>
        </w:pBdr>
        <w:jc w:val="both"/>
      </w:pPr>
      <w:r w:rsidRPr="00A23FB4">
        <w:t>Inspektor nadzoru będzie przekazywać Wykonawcy pisemne informacje o jakichkolwiek niedociągnięciach dotyczących urządzeń laboratoryjnych, sprzętu, zaopatrzenia laboratorium, pracy personelu lub metod badawczych. Jeżeli niedociągnięcia te będą tak poważne, że mogą wpłynąć ujemnie na wyniki badań, Inspektor nadzoru natychmiast wstrzyma użycie do robót badanych materiałów i dopuści je do użytku dopiero wtedy, gdy niedociągnięcia w pracy laboratorium Wykonawcy zostaną usunięte i stwierdzona zostanie odpowiednia jakość tych materiałów.</w:t>
      </w:r>
    </w:p>
    <w:p w14:paraId="3C6F70DB" w14:textId="77777777" w:rsidR="008C656F" w:rsidRPr="00A23FB4" w:rsidRDefault="008C656F" w:rsidP="008C656F">
      <w:pPr>
        <w:pStyle w:val="Normalny2"/>
        <w:pBdr>
          <w:top w:val="nil"/>
          <w:left w:val="nil"/>
          <w:bottom w:val="nil"/>
          <w:right w:val="nil"/>
          <w:between w:val="nil"/>
        </w:pBdr>
        <w:jc w:val="both"/>
      </w:pPr>
      <w:bookmarkStart w:id="140" w:name="_heading=h.47hxl2r" w:colFirst="0" w:colLast="0"/>
      <w:bookmarkEnd w:id="140"/>
      <w:r w:rsidRPr="00A23FB4">
        <w:t>Wszystkie koszty związane z organizowaniem i prowadzeniem badań materiałów i robót ponosi Wykonawca.</w:t>
      </w:r>
    </w:p>
    <w:p w14:paraId="1A496597" w14:textId="77777777" w:rsidR="008C656F" w:rsidRPr="00A23FB4" w:rsidRDefault="008C656F" w:rsidP="008C656F">
      <w:pPr>
        <w:pStyle w:val="Normalny2"/>
        <w:keepNext/>
        <w:pBdr>
          <w:top w:val="nil"/>
          <w:left w:val="nil"/>
          <w:bottom w:val="nil"/>
          <w:right w:val="nil"/>
          <w:between w:val="nil"/>
        </w:pBdr>
        <w:spacing w:before="120" w:after="120"/>
        <w:jc w:val="both"/>
        <w:rPr>
          <w:b/>
        </w:rPr>
      </w:pPr>
      <w:r w:rsidRPr="00A23FB4">
        <w:rPr>
          <w:b/>
        </w:rPr>
        <w:t>6.3. Kontrola jakości robót</w:t>
      </w:r>
    </w:p>
    <w:p w14:paraId="0CCB1824" w14:textId="77777777" w:rsidR="008C656F" w:rsidRPr="00A23FB4" w:rsidRDefault="008C656F" w:rsidP="008C656F">
      <w:pPr>
        <w:pStyle w:val="Normalny2"/>
        <w:pBdr>
          <w:top w:val="nil"/>
          <w:left w:val="nil"/>
          <w:bottom w:val="nil"/>
          <w:right w:val="nil"/>
          <w:between w:val="nil"/>
        </w:pBdr>
        <w:jc w:val="both"/>
      </w:pPr>
      <w:bookmarkStart w:id="141" w:name="_heading=h.2mn7vak" w:colFirst="0" w:colLast="0"/>
      <w:bookmarkEnd w:id="141"/>
      <w:r w:rsidRPr="00A23FB4">
        <w:t>Kontroli jakości wykonanych robót należy dokonać wg PN-EN 1610 oraz PN-EN 12889. Kontrola jakości wykonanych robót w szczególności dotyczy zgodności wykonania kanalizacji z dokumentacją projektową.</w:t>
      </w:r>
    </w:p>
    <w:p w14:paraId="6669DF17" w14:textId="77777777" w:rsidR="008C656F" w:rsidRPr="00A23FB4" w:rsidRDefault="008C656F" w:rsidP="008C656F">
      <w:pPr>
        <w:pStyle w:val="Normalny2"/>
        <w:keepNext/>
        <w:pBdr>
          <w:top w:val="nil"/>
          <w:left w:val="nil"/>
          <w:bottom w:val="nil"/>
          <w:right w:val="nil"/>
          <w:between w:val="nil"/>
        </w:pBdr>
        <w:spacing w:before="120" w:after="120"/>
        <w:jc w:val="both"/>
        <w:rPr>
          <w:b/>
        </w:rPr>
      </w:pPr>
      <w:r w:rsidRPr="00A23FB4">
        <w:rPr>
          <w:b/>
        </w:rPr>
        <w:t>6.4. Kontrola, pomiary i badania w czasie robót</w:t>
      </w:r>
    </w:p>
    <w:p w14:paraId="06A0502C" w14:textId="77777777" w:rsidR="008C656F" w:rsidRPr="00A23FB4" w:rsidRDefault="008C656F" w:rsidP="008C656F">
      <w:pPr>
        <w:pStyle w:val="Normalny2"/>
        <w:pBdr>
          <w:top w:val="nil"/>
          <w:left w:val="nil"/>
          <w:bottom w:val="nil"/>
          <w:right w:val="nil"/>
          <w:between w:val="nil"/>
        </w:pBdr>
        <w:jc w:val="both"/>
      </w:pPr>
      <w:r w:rsidRPr="00A23FB4">
        <w:t>Wykonawca jest zobowiązany do stałej i systematycznej kontroli prowadzonych robót w zakresie i z częstotliwością określoną w niniejszej ST i zaakceptowaną przez Inżyniera.</w:t>
      </w:r>
    </w:p>
    <w:p w14:paraId="4F306127" w14:textId="77777777" w:rsidR="008C656F" w:rsidRPr="00A23FB4" w:rsidRDefault="008C656F" w:rsidP="008C656F">
      <w:pPr>
        <w:pStyle w:val="Normalny2"/>
        <w:pBdr>
          <w:top w:val="nil"/>
          <w:left w:val="nil"/>
          <w:bottom w:val="nil"/>
          <w:right w:val="nil"/>
          <w:between w:val="nil"/>
        </w:pBdr>
        <w:jc w:val="both"/>
      </w:pPr>
      <w:r w:rsidRPr="00A23FB4">
        <w:t>W szczególności kontrola powinna obejmować:</w:t>
      </w:r>
    </w:p>
    <w:p w14:paraId="0E0C05B7" w14:textId="77777777" w:rsidR="008C656F" w:rsidRPr="00A23FB4" w:rsidRDefault="008C656F" w:rsidP="00262498">
      <w:pPr>
        <w:pStyle w:val="Normalny2"/>
        <w:widowControl w:val="0"/>
        <w:numPr>
          <w:ilvl w:val="0"/>
          <w:numId w:val="197"/>
        </w:numPr>
        <w:pBdr>
          <w:top w:val="nil"/>
          <w:left w:val="nil"/>
          <w:bottom w:val="nil"/>
          <w:right w:val="nil"/>
          <w:between w:val="nil"/>
        </w:pBdr>
      </w:pPr>
      <w:r w:rsidRPr="00A23FB4">
        <w:t>badanie i pomiary szerokości, grubości i zagęszczenia wykonanej warstwy podłoża z kruszywa mineralnego lub betonu,</w:t>
      </w:r>
    </w:p>
    <w:p w14:paraId="7E43EA36" w14:textId="77777777" w:rsidR="008C656F" w:rsidRPr="00A23FB4" w:rsidRDefault="008C656F" w:rsidP="00262498">
      <w:pPr>
        <w:pStyle w:val="Normalny2"/>
        <w:widowControl w:val="0"/>
        <w:numPr>
          <w:ilvl w:val="0"/>
          <w:numId w:val="197"/>
        </w:numPr>
        <w:pBdr>
          <w:top w:val="nil"/>
          <w:left w:val="nil"/>
          <w:bottom w:val="nil"/>
          <w:right w:val="nil"/>
          <w:between w:val="nil"/>
        </w:pBdr>
      </w:pPr>
      <w:r w:rsidRPr="00A23FB4">
        <w:t>badanie odchylenia osi kolektora,</w:t>
      </w:r>
    </w:p>
    <w:p w14:paraId="0E7D0452" w14:textId="77777777" w:rsidR="008C656F" w:rsidRPr="00A23FB4" w:rsidRDefault="008C656F" w:rsidP="00262498">
      <w:pPr>
        <w:pStyle w:val="Normalny2"/>
        <w:widowControl w:val="0"/>
        <w:numPr>
          <w:ilvl w:val="0"/>
          <w:numId w:val="197"/>
        </w:numPr>
        <w:pBdr>
          <w:top w:val="nil"/>
          <w:left w:val="nil"/>
          <w:bottom w:val="nil"/>
          <w:right w:val="nil"/>
          <w:between w:val="nil"/>
        </w:pBdr>
      </w:pPr>
      <w:r w:rsidRPr="00A23FB4">
        <w:t>sprawdzenie zgodności z dokumentacją projektową ułożenia przewodów i studzienek,</w:t>
      </w:r>
    </w:p>
    <w:p w14:paraId="6D1B6413" w14:textId="77777777" w:rsidR="008C656F" w:rsidRPr="00A23FB4" w:rsidRDefault="008C656F" w:rsidP="00262498">
      <w:pPr>
        <w:pStyle w:val="Normalny2"/>
        <w:widowControl w:val="0"/>
        <w:numPr>
          <w:ilvl w:val="0"/>
          <w:numId w:val="197"/>
        </w:numPr>
        <w:pBdr>
          <w:top w:val="nil"/>
          <w:left w:val="nil"/>
          <w:bottom w:val="nil"/>
          <w:right w:val="nil"/>
          <w:between w:val="nil"/>
        </w:pBdr>
      </w:pPr>
      <w:r w:rsidRPr="00A23FB4">
        <w:t>badanie odchylenia spadku kolektora,</w:t>
      </w:r>
    </w:p>
    <w:p w14:paraId="4EDB2623" w14:textId="77777777" w:rsidR="008C656F" w:rsidRPr="00A23FB4" w:rsidRDefault="008C656F" w:rsidP="00262498">
      <w:pPr>
        <w:pStyle w:val="Normalny2"/>
        <w:widowControl w:val="0"/>
        <w:numPr>
          <w:ilvl w:val="0"/>
          <w:numId w:val="197"/>
        </w:numPr>
        <w:pBdr>
          <w:top w:val="nil"/>
          <w:left w:val="nil"/>
          <w:bottom w:val="nil"/>
          <w:right w:val="nil"/>
          <w:between w:val="nil"/>
        </w:pBdr>
      </w:pPr>
      <w:r w:rsidRPr="00A23FB4">
        <w:t>sprawdzenie prawidłowości ułożenia przewodów,</w:t>
      </w:r>
    </w:p>
    <w:p w14:paraId="4852E2A8" w14:textId="77777777" w:rsidR="008C656F" w:rsidRPr="00A23FB4" w:rsidRDefault="008C656F" w:rsidP="00262498">
      <w:pPr>
        <w:pStyle w:val="Normalny2"/>
        <w:widowControl w:val="0"/>
        <w:numPr>
          <w:ilvl w:val="0"/>
          <w:numId w:val="197"/>
        </w:numPr>
        <w:pBdr>
          <w:top w:val="nil"/>
          <w:left w:val="nil"/>
          <w:bottom w:val="nil"/>
          <w:right w:val="nil"/>
          <w:between w:val="nil"/>
        </w:pBdr>
      </w:pPr>
      <w:r w:rsidRPr="00A23FB4">
        <w:t>sprawdzenie prawidłowości uszczelniania przewodów,</w:t>
      </w:r>
    </w:p>
    <w:p w14:paraId="2ECE2DFC" w14:textId="77777777" w:rsidR="008C656F" w:rsidRPr="00A23FB4" w:rsidRDefault="008C656F" w:rsidP="00262498">
      <w:pPr>
        <w:pStyle w:val="Normalny2"/>
        <w:widowControl w:val="0"/>
        <w:numPr>
          <w:ilvl w:val="0"/>
          <w:numId w:val="197"/>
        </w:numPr>
        <w:pBdr>
          <w:top w:val="nil"/>
          <w:left w:val="nil"/>
          <w:bottom w:val="nil"/>
          <w:right w:val="nil"/>
          <w:between w:val="nil"/>
        </w:pBdr>
      </w:pPr>
      <w:r w:rsidRPr="00A23FB4">
        <w:t>badanie wskaźników zagęszczenia poszczególnych warstw zasypu,</w:t>
      </w:r>
    </w:p>
    <w:p w14:paraId="36C6E60D" w14:textId="77777777" w:rsidR="008C656F" w:rsidRPr="00A23FB4" w:rsidRDefault="008C656F" w:rsidP="00262498">
      <w:pPr>
        <w:pStyle w:val="Normalny2"/>
        <w:widowControl w:val="0"/>
        <w:numPr>
          <w:ilvl w:val="0"/>
          <w:numId w:val="197"/>
        </w:numPr>
        <w:pBdr>
          <w:top w:val="nil"/>
          <w:left w:val="nil"/>
          <w:bottom w:val="nil"/>
          <w:right w:val="nil"/>
          <w:between w:val="nil"/>
        </w:pBdr>
      </w:pPr>
      <w:r w:rsidRPr="00A23FB4">
        <w:t>sprawdzenie rzędnych posadowienia pokryw włazowych,</w:t>
      </w:r>
    </w:p>
    <w:p w14:paraId="077461D5" w14:textId="77777777" w:rsidR="008C656F" w:rsidRPr="00A23FB4" w:rsidRDefault="008C656F" w:rsidP="00262498">
      <w:pPr>
        <w:pStyle w:val="Normalny2"/>
        <w:widowControl w:val="0"/>
        <w:numPr>
          <w:ilvl w:val="0"/>
          <w:numId w:val="197"/>
        </w:numPr>
        <w:pBdr>
          <w:top w:val="nil"/>
          <w:left w:val="nil"/>
          <w:bottom w:val="nil"/>
          <w:right w:val="nil"/>
          <w:between w:val="nil"/>
        </w:pBdr>
      </w:pPr>
      <w:r w:rsidRPr="00A23FB4">
        <w:t>sprawdzenie jakości montażu szandorów,</w:t>
      </w:r>
    </w:p>
    <w:p w14:paraId="16D9EB71" w14:textId="77777777" w:rsidR="008C656F" w:rsidRPr="00A23FB4" w:rsidRDefault="008C656F" w:rsidP="00262498">
      <w:pPr>
        <w:pStyle w:val="Normalny2"/>
        <w:widowControl w:val="0"/>
        <w:numPr>
          <w:ilvl w:val="0"/>
          <w:numId w:val="197"/>
        </w:numPr>
        <w:pBdr>
          <w:top w:val="nil"/>
          <w:left w:val="nil"/>
          <w:bottom w:val="nil"/>
          <w:right w:val="nil"/>
          <w:between w:val="nil"/>
        </w:pBdr>
      </w:pPr>
      <w:r w:rsidRPr="00A23FB4">
        <w:t>sprawdzenie zabezpieczenia przed korozją.</w:t>
      </w:r>
    </w:p>
    <w:p w14:paraId="412A1755" w14:textId="77777777" w:rsidR="008C656F" w:rsidRPr="00A23FB4" w:rsidRDefault="008C656F" w:rsidP="008C656F">
      <w:pPr>
        <w:pStyle w:val="Normalny2"/>
        <w:pBdr>
          <w:top w:val="nil"/>
          <w:left w:val="nil"/>
          <w:bottom w:val="nil"/>
          <w:right w:val="nil"/>
          <w:between w:val="nil"/>
        </w:pBdr>
        <w:jc w:val="both"/>
      </w:pPr>
      <w:bookmarkStart w:id="142" w:name="_heading=h.11si5id" w:colFirst="0" w:colLast="0"/>
      <w:bookmarkEnd w:id="142"/>
      <w:r w:rsidRPr="00A23FB4">
        <w:t>Wykonawca wykona lub zleci wykonanie przeglądy kamerą TV wykonanych kanałów. Na Wykonawcy spoczywa obowiązek wyczyszczenia kanału metodą hydrodynamiczną i zapewnienia możliwości dojazdu dla samochodu o masie do 3,5 t bezpośrednio nad studnię rewizyjną. W przypadku wykrytych wad wykonawstwa koszt ponownego przeglądu kamerą video i przygotowania kanału obciąża Wykonawcę. Sposób usunięcia wad musi być uzgodniony z Użytkownikiem MWiK. Pozytywny wynik kamerowania jest jedną z podstaw do odbioru kanału.</w:t>
      </w:r>
    </w:p>
    <w:p w14:paraId="06CDE416" w14:textId="77777777" w:rsidR="008C656F" w:rsidRPr="00A23FB4" w:rsidRDefault="008C656F" w:rsidP="008C656F">
      <w:pPr>
        <w:pStyle w:val="Normalny2"/>
        <w:keepNext/>
        <w:pBdr>
          <w:top w:val="nil"/>
          <w:left w:val="nil"/>
          <w:bottom w:val="nil"/>
          <w:right w:val="nil"/>
          <w:between w:val="nil"/>
        </w:pBdr>
        <w:spacing w:before="120" w:after="120"/>
        <w:jc w:val="both"/>
        <w:rPr>
          <w:b/>
        </w:rPr>
      </w:pPr>
      <w:r w:rsidRPr="00A23FB4">
        <w:rPr>
          <w:b/>
        </w:rPr>
        <w:t>6.5. Dopuszczalne tolerancje i wymagania</w:t>
      </w:r>
    </w:p>
    <w:p w14:paraId="23B3C90E" w14:textId="77777777" w:rsidR="008C656F" w:rsidRPr="00A23FB4" w:rsidRDefault="008C656F" w:rsidP="00262498">
      <w:pPr>
        <w:pStyle w:val="Normalny2"/>
        <w:numPr>
          <w:ilvl w:val="0"/>
          <w:numId w:val="198"/>
        </w:numPr>
        <w:pBdr>
          <w:top w:val="nil"/>
          <w:left w:val="nil"/>
          <w:bottom w:val="nil"/>
          <w:right w:val="nil"/>
          <w:between w:val="nil"/>
        </w:pBdr>
      </w:pPr>
      <w:r w:rsidRPr="00A23FB4">
        <w:t>odchylenie wymiarów w planie nie powinno być większe niż 0,3 m,</w:t>
      </w:r>
    </w:p>
    <w:p w14:paraId="4334E63E" w14:textId="77777777" w:rsidR="008C656F" w:rsidRPr="00A23FB4" w:rsidRDefault="008C656F" w:rsidP="00262498">
      <w:pPr>
        <w:pStyle w:val="Normalny2"/>
        <w:numPr>
          <w:ilvl w:val="0"/>
          <w:numId w:val="198"/>
        </w:numPr>
        <w:pBdr>
          <w:top w:val="nil"/>
          <w:left w:val="nil"/>
          <w:bottom w:val="nil"/>
          <w:right w:val="nil"/>
          <w:between w:val="nil"/>
        </w:pBdr>
      </w:pPr>
      <w:r w:rsidRPr="00A23FB4">
        <w:t xml:space="preserve">odchylenie grubości warstwy podłoża nie powinno przekraczać </w:t>
      </w:r>
      <w:r w:rsidRPr="00A23FB4">
        <w:rPr>
          <w:rFonts w:ascii="Symbol" w:eastAsia="Symbol" w:hAnsi="Symbol" w:cs="Symbol"/>
        </w:rPr>
        <w:t></w:t>
      </w:r>
      <w:r w:rsidRPr="00A23FB4">
        <w:t xml:space="preserve"> 1 cm,</w:t>
      </w:r>
    </w:p>
    <w:p w14:paraId="5F71AF4A" w14:textId="77777777" w:rsidR="008C656F" w:rsidRPr="00A23FB4" w:rsidRDefault="008C656F" w:rsidP="00262498">
      <w:pPr>
        <w:pStyle w:val="Normalny2"/>
        <w:numPr>
          <w:ilvl w:val="0"/>
          <w:numId w:val="198"/>
        </w:numPr>
        <w:pBdr>
          <w:top w:val="nil"/>
          <w:left w:val="nil"/>
          <w:bottom w:val="nil"/>
          <w:right w:val="nil"/>
          <w:between w:val="nil"/>
        </w:pBdr>
      </w:pPr>
      <w:r w:rsidRPr="00A23FB4">
        <w:t xml:space="preserve">odchylenie szerokości warstwy podłoża nie powinno przekraczać </w:t>
      </w:r>
      <w:r w:rsidRPr="00A23FB4">
        <w:rPr>
          <w:rFonts w:ascii="Symbol" w:eastAsia="Symbol" w:hAnsi="Symbol" w:cs="Symbol"/>
        </w:rPr>
        <w:t></w:t>
      </w:r>
      <w:r w:rsidRPr="00A23FB4">
        <w:t xml:space="preserve"> 10 cm,</w:t>
      </w:r>
    </w:p>
    <w:p w14:paraId="275E90C3" w14:textId="77777777" w:rsidR="008C656F" w:rsidRPr="00A23FB4" w:rsidRDefault="008C656F" w:rsidP="00262498">
      <w:pPr>
        <w:pStyle w:val="Normalny2"/>
        <w:numPr>
          <w:ilvl w:val="0"/>
          <w:numId w:val="198"/>
        </w:numPr>
        <w:pBdr>
          <w:top w:val="nil"/>
          <w:left w:val="nil"/>
          <w:bottom w:val="nil"/>
          <w:right w:val="nil"/>
          <w:between w:val="nil"/>
        </w:pBdr>
      </w:pPr>
      <w:r w:rsidRPr="00A23FB4">
        <w:t>odchylenie spadku ułożonego kolektora od przewidzianego w projekcie nie powinno przekraczać -10% projektowanego spadku (przy zmniejszonym spadku) i +20% projektowanego spadku (przy zwiększonym spadku),</w:t>
      </w:r>
    </w:p>
    <w:p w14:paraId="71E44B60" w14:textId="77777777" w:rsidR="008C656F" w:rsidRPr="00A23FB4" w:rsidRDefault="008C656F" w:rsidP="00262498">
      <w:pPr>
        <w:pStyle w:val="Normalny2"/>
        <w:numPr>
          <w:ilvl w:val="0"/>
          <w:numId w:val="198"/>
        </w:numPr>
        <w:pBdr>
          <w:top w:val="nil"/>
          <w:left w:val="nil"/>
          <w:bottom w:val="nil"/>
          <w:right w:val="nil"/>
          <w:between w:val="nil"/>
        </w:pBdr>
      </w:pPr>
      <w:r w:rsidRPr="00A23FB4">
        <w:t>wskaźnik zagęszczenia zasypki wykopów określony w dwóch miejscach na długości 100 m powinien być zgodny z dokumentacją,</w:t>
      </w:r>
    </w:p>
    <w:p w14:paraId="5E2C871A" w14:textId="77777777" w:rsidR="008C656F" w:rsidRPr="00A23FB4" w:rsidRDefault="008C656F" w:rsidP="00262498">
      <w:pPr>
        <w:pStyle w:val="Normalny2"/>
        <w:numPr>
          <w:ilvl w:val="0"/>
          <w:numId w:val="198"/>
        </w:numPr>
        <w:pBdr>
          <w:top w:val="nil"/>
          <w:left w:val="nil"/>
          <w:bottom w:val="nil"/>
          <w:right w:val="nil"/>
          <w:between w:val="nil"/>
        </w:pBdr>
      </w:pPr>
      <w:bookmarkStart w:id="143" w:name="_heading=h.3ls5o66" w:colFirst="0" w:colLast="0"/>
      <w:bookmarkEnd w:id="143"/>
      <w:r w:rsidRPr="00A23FB4">
        <w:t xml:space="preserve">rzędne pokryw studzienek powinny być wykonane z dokładnością do </w:t>
      </w:r>
      <w:r w:rsidRPr="00A23FB4">
        <w:rPr>
          <w:rFonts w:ascii="Symbol" w:eastAsia="Symbol" w:hAnsi="Symbol" w:cs="Symbol"/>
        </w:rPr>
        <w:t></w:t>
      </w:r>
      <w:r w:rsidRPr="00A23FB4">
        <w:t xml:space="preserve"> 10 mm.</w:t>
      </w:r>
    </w:p>
    <w:p w14:paraId="6D47D991" w14:textId="77777777" w:rsidR="008C656F" w:rsidRPr="00A23FB4" w:rsidRDefault="008C656F" w:rsidP="008C656F">
      <w:pPr>
        <w:pStyle w:val="Normalny2"/>
        <w:keepNext/>
        <w:pBdr>
          <w:top w:val="nil"/>
          <w:left w:val="nil"/>
          <w:bottom w:val="nil"/>
          <w:right w:val="nil"/>
          <w:between w:val="nil"/>
        </w:pBdr>
        <w:spacing w:before="240" w:after="240"/>
        <w:jc w:val="both"/>
        <w:rPr>
          <w:b/>
        </w:rPr>
      </w:pPr>
      <w:bookmarkStart w:id="144" w:name="_heading=h.20xfydz" w:colFirst="0" w:colLast="0"/>
      <w:bookmarkEnd w:id="144"/>
      <w:r w:rsidRPr="00A23FB4">
        <w:rPr>
          <w:b/>
        </w:rPr>
        <w:t>7. OBMIAR ROBÓT</w:t>
      </w:r>
    </w:p>
    <w:p w14:paraId="607F66BA" w14:textId="77777777" w:rsidR="008B531E" w:rsidRDefault="008B531E" w:rsidP="008B531E">
      <w:pPr>
        <w:numPr>
          <w:ilvl w:val="12"/>
          <w:numId w:val="0"/>
        </w:numPr>
        <w:tabs>
          <w:tab w:val="left" w:pos="0"/>
          <w:tab w:val="left" w:pos="9914"/>
        </w:tabs>
        <w:rPr>
          <w:rFonts w:ascii="Calibri" w:hAnsi="Calibri" w:cs="Calibri"/>
        </w:rPr>
      </w:pPr>
      <w:bookmarkStart w:id="145" w:name="_heading=h.4kx3h1s" w:colFirst="0" w:colLast="0"/>
      <w:bookmarkEnd w:id="145"/>
      <w:r>
        <w:rPr>
          <w:rFonts w:ascii="Calibri" w:hAnsi="Calibri" w:cs="Calibri"/>
        </w:rPr>
        <w:t>Kontrakt ryczałtowy</w:t>
      </w:r>
    </w:p>
    <w:p w14:paraId="5D1DA709" w14:textId="2B20341F" w:rsidR="008C656F" w:rsidRPr="00A23FB4" w:rsidRDefault="008C656F" w:rsidP="008C656F">
      <w:pPr>
        <w:pStyle w:val="Normalny2"/>
        <w:pBdr>
          <w:top w:val="nil"/>
          <w:left w:val="nil"/>
          <w:bottom w:val="nil"/>
          <w:right w:val="nil"/>
          <w:between w:val="nil"/>
        </w:pBdr>
        <w:jc w:val="both"/>
      </w:pPr>
      <w:r w:rsidRPr="00A23FB4">
        <w:t xml:space="preserve">Wymagania ogólne dotyczące zasady kontroli jakości robót zawiera </w:t>
      </w:r>
      <w:r w:rsidR="00CA1B27">
        <w:t>ST</w:t>
      </w:r>
      <w:r w:rsidRPr="00A23FB4">
        <w:t>WiORB „Wymagania ogólne”.</w:t>
      </w:r>
    </w:p>
    <w:p w14:paraId="6E5A31CB" w14:textId="77777777" w:rsidR="008C656F" w:rsidRPr="00A23FB4" w:rsidRDefault="008C656F" w:rsidP="008C656F">
      <w:pPr>
        <w:pStyle w:val="Normalny2"/>
        <w:keepNext/>
        <w:pBdr>
          <w:top w:val="nil"/>
          <w:left w:val="nil"/>
          <w:bottom w:val="nil"/>
          <w:right w:val="nil"/>
          <w:between w:val="nil"/>
        </w:pBdr>
        <w:spacing w:before="240" w:after="240"/>
        <w:jc w:val="both"/>
        <w:rPr>
          <w:b/>
        </w:rPr>
      </w:pPr>
      <w:bookmarkStart w:id="146" w:name="_heading=h.1f7o1he" w:colFirst="0" w:colLast="0"/>
      <w:bookmarkEnd w:id="146"/>
      <w:r w:rsidRPr="00A23FB4">
        <w:rPr>
          <w:b/>
        </w:rPr>
        <w:t>8. ODBIÓR ROBÓT</w:t>
      </w:r>
    </w:p>
    <w:p w14:paraId="153537D4" w14:textId="77777777" w:rsidR="008C656F" w:rsidRPr="00A23FB4" w:rsidRDefault="008C656F" w:rsidP="008C656F">
      <w:pPr>
        <w:pStyle w:val="Normalny2"/>
        <w:keepNext/>
        <w:pBdr>
          <w:top w:val="nil"/>
          <w:left w:val="nil"/>
          <w:bottom w:val="nil"/>
          <w:right w:val="nil"/>
          <w:between w:val="nil"/>
        </w:pBdr>
        <w:spacing w:before="120" w:after="120"/>
        <w:jc w:val="both"/>
        <w:rPr>
          <w:b/>
        </w:rPr>
      </w:pPr>
      <w:r w:rsidRPr="00A23FB4">
        <w:rPr>
          <w:b/>
        </w:rPr>
        <w:t>8.1. Ogólne zasady odbioru robót</w:t>
      </w:r>
    </w:p>
    <w:p w14:paraId="35AB75E4" w14:textId="3A9C238E" w:rsidR="008C656F" w:rsidRPr="00A23FB4" w:rsidRDefault="008C656F" w:rsidP="008C656F">
      <w:pPr>
        <w:pStyle w:val="Normalny2"/>
        <w:pBdr>
          <w:top w:val="nil"/>
          <w:left w:val="nil"/>
          <w:bottom w:val="nil"/>
          <w:right w:val="nil"/>
          <w:between w:val="nil"/>
        </w:pBdr>
        <w:jc w:val="both"/>
      </w:pPr>
      <w:bookmarkStart w:id="147" w:name="_heading=h.3z7bk57" w:colFirst="0" w:colLast="0"/>
      <w:bookmarkEnd w:id="147"/>
      <w:r w:rsidRPr="00A23FB4">
        <w:t xml:space="preserve">Wymagania ogólne dotyczące zasady odbioru robót zawiera </w:t>
      </w:r>
      <w:r w:rsidR="00CA1B27">
        <w:t>ST</w:t>
      </w:r>
      <w:r w:rsidRPr="00A23FB4">
        <w:t>WiORB „Wymagania ogólne”.</w:t>
      </w:r>
    </w:p>
    <w:p w14:paraId="0DD6764F" w14:textId="77777777" w:rsidR="008C656F" w:rsidRPr="00A23FB4" w:rsidRDefault="008C656F" w:rsidP="008C656F">
      <w:pPr>
        <w:pStyle w:val="Normalny2"/>
        <w:keepNext/>
        <w:pBdr>
          <w:top w:val="nil"/>
          <w:left w:val="nil"/>
          <w:bottom w:val="nil"/>
          <w:right w:val="nil"/>
          <w:between w:val="nil"/>
        </w:pBdr>
        <w:spacing w:before="120" w:after="120"/>
        <w:jc w:val="both"/>
        <w:rPr>
          <w:b/>
        </w:rPr>
      </w:pPr>
      <w:r w:rsidRPr="00A23FB4">
        <w:rPr>
          <w:b/>
        </w:rPr>
        <w:t>8.2. Odbiór częściowy</w:t>
      </w:r>
    </w:p>
    <w:p w14:paraId="77857D4D" w14:textId="6D6834B1" w:rsidR="008C656F" w:rsidRPr="00A23FB4" w:rsidRDefault="008C656F" w:rsidP="008C656F">
      <w:pPr>
        <w:pStyle w:val="Normalny2"/>
        <w:pBdr>
          <w:top w:val="nil"/>
          <w:left w:val="nil"/>
          <w:bottom w:val="nil"/>
          <w:right w:val="nil"/>
          <w:between w:val="nil"/>
        </w:pBdr>
        <w:jc w:val="both"/>
      </w:pPr>
      <w:bookmarkStart w:id="148" w:name="_heading=h.2eclud0" w:colFirst="0" w:colLast="0"/>
      <w:bookmarkEnd w:id="148"/>
      <w:r w:rsidRPr="00A23FB4">
        <w:t xml:space="preserve">Odbiór częściowy (o ile występuje wg umowy) i końcowy należy wykonać wg </w:t>
      </w:r>
      <w:r w:rsidR="00CA1B27">
        <w:t>ST</w:t>
      </w:r>
      <w:r w:rsidRPr="00A23FB4">
        <w:t>WiORB „Wymagania ogólne”.</w:t>
      </w:r>
    </w:p>
    <w:p w14:paraId="5724F38C" w14:textId="77777777" w:rsidR="008C656F" w:rsidRPr="00A23FB4" w:rsidRDefault="008C656F" w:rsidP="008C656F">
      <w:pPr>
        <w:pStyle w:val="Normalny2"/>
        <w:keepNext/>
        <w:pBdr>
          <w:top w:val="nil"/>
          <w:left w:val="nil"/>
          <w:bottom w:val="nil"/>
          <w:right w:val="nil"/>
          <w:between w:val="nil"/>
        </w:pBdr>
        <w:spacing w:before="120" w:after="120"/>
        <w:jc w:val="both"/>
        <w:rPr>
          <w:b/>
        </w:rPr>
      </w:pPr>
      <w:r w:rsidRPr="00A23FB4">
        <w:rPr>
          <w:b/>
        </w:rPr>
        <w:t>8.3. Odbiór końcowy</w:t>
      </w:r>
    </w:p>
    <w:p w14:paraId="3FA03660" w14:textId="77777777" w:rsidR="008C656F" w:rsidRPr="00A23FB4" w:rsidRDefault="008C656F" w:rsidP="008C656F">
      <w:pPr>
        <w:pStyle w:val="Normalny2"/>
        <w:pBdr>
          <w:top w:val="nil"/>
          <w:left w:val="nil"/>
          <w:bottom w:val="nil"/>
          <w:right w:val="nil"/>
          <w:between w:val="nil"/>
        </w:pBdr>
        <w:jc w:val="both"/>
      </w:pPr>
      <w:r w:rsidRPr="00A23FB4">
        <w:t>Warunkiem koniecznym sporządzenia i podpisania przez Zamawiającego protokołu odbioru końcowego przedmiotu umowy jest wystawienie Wykonawcy pisemnego potwierdzenia przez Zamawiającego, stwierdzającego, iż „Zamawiający przyjął operat kolaudacyjny kompletny i bez uwag”. Czas niezbędny na każdorazowe sprawdzenie operatu wynosi 10 dni roboczych.</w:t>
      </w:r>
    </w:p>
    <w:p w14:paraId="0052C5AA" w14:textId="77777777" w:rsidR="008C656F" w:rsidRPr="00A23FB4" w:rsidRDefault="008C656F" w:rsidP="008C656F">
      <w:pPr>
        <w:pStyle w:val="Normalny2"/>
        <w:pBdr>
          <w:top w:val="nil"/>
          <w:left w:val="nil"/>
          <w:bottom w:val="nil"/>
          <w:right w:val="nil"/>
          <w:between w:val="nil"/>
        </w:pBdr>
        <w:jc w:val="both"/>
      </w:pPr>
      <w:r w:rsidRPr="00A23FB4">
        <w:t>Przyodbiorze końcowym należy sprawdzić:</w:t>
      </w:r>
    </w:p>
    <w:p w14:paraId="0275B47F" w14:textId="77777777" w:rsidR="008C656F" w:rsidRPr="00A23FB4" w:rsidRDefault="008C656F" w:rsidP="00262498">
      <w:pPr>
        <w:pStyle w:val="Normalny2"/>
        <w:numPr>
          <w:ilvl w:val="0"/>
          <w:numId w:val="199"/>
        </w:numPr>
        <w:pBdr>
          <w:top w:val="nil"/>
          <w:left w:val="nil"/>
          <w:bottom w:val="nil"/>
          <w:right w:val="nil"/>
          <w:between w:val="nil"/>
        </w:pBdr>
        <w:ind w:left="714" w:hanging="357"/>
      </w:pPr>
      <w:r w:rsidRPr="00A23FB4">
        <w:t>zgodność wykonania z Dokumentacją Projektową oraz ewentualnymi zapisami w Dzienniku Budowy dotyczącymi zmian i odstępstw od Dokumentacji Projektowej;</w:t>
      </w:r>
    </w:p>
    <w:p w14:paraId="789A2648" w14:textId="77777777" w:rsidR="008C656F" w:rsidRPr="00A23FB4" w:rsidRDefault="008C656F" w:rsidP="00262498">
      <w:pPr>
        <w:pStyle w:val="Normalny2"/>
        <w:numPr>
          <w:ilvl w:val="0"/>
          <w:numId w:val="199"/>
        </w:numPr>
        <w:pBdr>
          <w:top w:val="nil"/>
          <w:left w:val="nil"/>
          <w:bottom w:val="nil"/>
          <w:right w:val="nil"/>
          <w:between w:val="nil"/>
        </w:pBdr>
        <w:ind w:left="714" w:hanging="357"/>
      </w:pPr>
      <w:r w:rsidRPr="00A23FB4">
        <w:t>protokoły z odbiorów częściowych i realizację postanowień dotyczącą usunięcia usterek; aktualność Dokumentacji Projektowej, czy wprowadzono wszystkie zmiany i uzupełnienia;</w:t>
      </w:r>
    </w:p>
    <w:p w14:paraId="4CBB7E92" w14:textId="77777777" w:rsidR="008C656F" w:rsidRPr="00A23FB4" w:rsidRDefault="008C656F" w:rsidP="00262498">
      <w:pPr>
        <w:pStyle w:val="Normalny2"/>
        <w:numPr>
          <w:ilvl w:val="0"/>
          <w:numId w:val="199"/>
        </w:numPr>
        <w:pBdr>
          <w:top w:val="nil"/>
          <w:left w:val="nil"/>
          <w:bottom w:val="nil"/>
          <w:right w:val="nil"/>
          <w:between w:val="nil"/>
        </w:pBdr>
        <w:ind w:left="714" w:hanging="357"/>
      </w:pPr>
      <w:bookmarkStart w:id="149" w:name="_heading=h.thw4kt" w:colFirst="0" w:colLast="0"/>
      <w:bookmarkEnd w:id="149"/>
      <w:r w:rsidRPr="00A23FB4">
        <w:t>protokoły badań szczelności całego przewodu oraz stopnia zagęszczenia przy zasypce.</w:t>
      </w:r>
    </w:p>
    <w:p w14:paraId="4FF38CB7" w14:textId="77777777" w:rsidR="008C656F" w:rsidRPr="00A23FB4" w:rsidRDefault="008C656F" w:rsidP="008C656F">
      <w:pPr>
        <w:pStyle w:val="Normalny2"/>
        <w:keepNext/>
        <w:pBdr>
          <w:top w:val="nil"/>
          <w:left w:val="nil"/>
          <w:bottom w:val="nil"/>
          <w:right w:val="nil"/>
          <w:between w:val="nil"/>
        </w:pBdr>
        <w:spacing w:before="240" w:after="240"/>
        <w:jc w:val="both"/>
        <w:rPr>
          <w:b/>
        </w:rPr>
      </w:pPr>
      <w:r w:rsidRPr="00A23FB4">
        <w:rPr>
          <w:b/>
        </w:rPr>
        <w:t>9. PODSTAWA PŁATNOŚCI</w:t>
      </w:r>
    </w:p>
    <w:p w14:paraId="57A16704" w14:textId="77777777" w:rsidR="008B531E" w:rsidRDefault="008B531E" w:rsidP="008B531E">
      <w:pPr>
        <w:numPr>
          <w:ilvl w:val="12"/>
          <w:numId w:val="0"/>
        </w:numPr>
        <w:tabs>
          <w:tab w:val="left" w:pos="0"/>
          <w:tab w:val="left" w:pos="9914"/>
        </w:tabs>
        <w:rPr>
          <w:rFonts w:ascii="Calibri" w:hAnsi="Calibri" w:cs="Calibri"/>
        </w:rPr>
      </w:pPr>
      <w:bookmarkStart w:id="150" w:name="_heading=h.3dhjn8m" w:colFirst="0" w:colLast="0"/>
      <w:bookmarkEnd w:id="150"/>
      <w:r>
        <w:rPr>
          <w:rFonts w:ascii="Calibri" w:hAnsi="Calibri" w:cs="Calibri"/>
        </w:rPr>
        <w:t>Kontrakt ryczałtowy</w:t>
      </w:r>
    </w:p>
    <w:p w14:paraId="4D6A34FA" w14:textId="2514BBC2" w:rsidR="008C656F" w:rsidRPr="00A23FB4" w:rsidRDefault="008B531E" w:rsidP="008C656F">
      <w:pPr>
        <w:pStyle w:val="Normalny2"/>
        <w:pBdr>
          <w:top w:val="nil"/>
          <w:left w:val="nil"/>
          <w:bottom w:val="nil"/>
          <w:right w:val="nil"/>
          <w:between w:val="nil"/>
        </w:pBdr>
        <w:jc w:val="both"/>
      </w:pPr>
      <w:r>
        <w:t>Wymagania w zakresie podstawy płatności zawarto z STWiORB D-M-00.00.00 Wymagania ogólne pkt 9</w:t>
      </w:r>
      <w:r w:rsidR="008C656F" w:rsidRPr="00A23FB4">
        <w:t>.</w:t>
      </w:r>
    </w:p>
    <w:p w14:paraId="7E7F3541" w14:textId="77777777" w:rsidR="008C656F" w:rsidRPr="00A23FB4" w:rsidRDefault="008C656F" w:rsidP="008C656F">
      <w:pPr>
        <w:pStyle w:val="Normalny2"/>
        <w:keepNext/>
        <w:pBdr>
          <w:top w:val="nil"/>
          <w:left w:val="nil"/>
          <w:bottom w:val="nil"/>
          <w:right w:val="nil"/>
          <w:between w:val="nil"/>
        </w:pBdr>
        <w:spacing w:before="240" w:after="240"/>
        <w:jc w:val="both"/>
        <w:rPr>
          <w:b/>
        </w:rPr>
      </w:pPr>
      <w:bookmarkStart w:id="151" w:name="_heading=h.1smtxgf" w:colFirst="0" w:colLast="0"/>
      <w:bookmarkEnd w:id="151"/>
      <w:r w:rsidRPr="00A23FB4">
        <w:rPr>
          <w:b/>
        </w:rPr>
        <w:t>10. NORMY I PRZEPISY ZWIĄZANE</w:t>
      </w:r>
    </w:p>
    <w:p w14:paraId="712B0807" w14:textId="77777777" w:rsidR="008C656F" w:rsidRPr="00A23FB4" w:rsidRDefault="008C656F" w:rsidP="008C656F">
      <w:pPr>
        <w:pStyle w:val="Normalny2"/>
        <w:keepNext/>
        <w:pBdr>
          <w:top w:val="nil"/>
          <w:left w:val="nil"/>
          <w:bottom w:val="nil"/>
          <w:right w:val="nil"/>
          <w:between w:val="nil"/>
        </w:pBdr>
        <w:spacing w:before="120" w:after="120"/>
        <w:jc w:val="both"/>
        <w:rPr>
          <w:b/>
        </w:rPr>
      </w:pPr>
      <w:r w:rsidRPr="00A23FB4">
        <w:rPr>
          <w:b/>
        </w:rPr>
        <w:t>10.1. Normy</w:t>
      </w:r>
    </w:p>
    <w:p w14:paraId="1ADFF9D8" w14:textId="77777777" w:rsidR="008C656F" w:rsidRPr="00C86F6B" w:rsidRDefault="008C656F" w:rsidP="00262498">
      <w:pPr>
        <w:pStyle w:val="Normalny2"/>
        <w:numPr>
          <w:ilvl w:val="0"/>
          <w:numId w:val="200"/>
        </w:numPr>
        <w:pBdr>
          <w:top w:val="nil"/>
          <w:left w:val="nil"/>
          <w:bottom w:val="nil"/>
          <w:right w:val="nil"/>
          <w:between w:val="nil"/>
        </w:pBdr>
        <w:jc w:val="both"/>
        <w:rPr>
          <w:sz w:val="18"/>
          <w:szCs w:val="18"/>
        </w:rPr>
      </w:pPr>
      <w:r w:rsidRPr="00C86F6B">
        <w:rPr>
          <w:sz w:val="18"/>
          <w:szCs w:val="18"/>
        </w:rPr>
        <w:t>PN-EN 1401-1</w:t>
      </w:r>
      <w:r w:rsidRPr="00C86F6B">
        <w:rPr>
          <w:sz w:val="18"/>
          <w:szCs w:val="18"/>
        </w:rPr>
        <w:tab/>
        <w:t xml:space="preserve">Systemy przewodów rurowych z tworzyw sztucznych do podziemnego </w:t>
      </w:r>
    </w:p>
    <w:p w14:paraId="1D808C57" w14:textId="77777777" w:rsidR="008C656F" w:rsidRPr="00C86F6B" w:rsidRDefault="008C656F" w:rsidP="008C656F">
      <w:pPr>
        <w:pStyle w:val="Normalny2"/>
        <w:pBdr>
          <w:top w:val="nil"/>
          <w:left w:val="nil"/>
          <w:bottom w:val="nil"/>
          <w:right w:val="nil"/>
          <w:between w:val="nil"/>
        </w:pBdr>
        <w:ind w:left="2127"/>
        <w:jc w:val="both"/>
        <w:rPr>
          <w:sz w:val="18"/>
          <w:szCs w:val="18"/>
        </w:rPr>
      </w:pPr>
      <w:r w:rsidRPr="00C86F6B">
        <w:rPr>
          <w:sz w:val="18"/>
          <w:szCs w:val="18"/>
        </w:rPr>
        <w:t>bezciśnieniowego odwadniania i kanalizacji – Nieplastyfikowanypoli(chlorek winylu) (PVC-U) – Część 1: Specyfikacje rur, kształtek i systemu;</w:t>
      </w:r>
    </w:p>
    <w:p w14:paraId="6794BA46" w14:textId="77777777" w:rsidR="008C656F" w:rsidRPr="00C86F6B" w:rsidRDefault="008C656F" w:rsidP="00262498">
      <w:pPr>
        <w:pStyle w:val="Normalny2"/>
        <w:widowControl w:val="0"/>
        <w:numPr>
          <w:ilvl w:val="0"/>
          <w:numId w:val="200"/>
        </w:numPr>
        <w:pBdr>
          <w:top w:val="nil"/>
          <w:left w:val="nil"/>
          <w:bottom w:val="nil"/>
          <w:right w:val="nil"/>
          <w:between w:val="nil"/>
        </w:pBdr>
        <w:jc w:val="both"/>
        <w:rPr>
          <w:sz w:val="18"/>
          <w:szCs w:val="18"/>
        </w:rPr>
      </w:pPr>
      <w:r w:rsidRPr="00C86F6B">
        <w:rPr>
          <w:sz w:val="18"/>
          <w:szCs w:val="18"/>
        </w:rPr>
        <w:t>PN-ENV 1046</w:t>
      </w:r>
      <w:r w:rsidRPr="00C86F6B">
        <w:rPr>
          <w:sz w:val="18"/>
          <w:szCs w:val="18"/>
        </w:rPr>
        <w:tab/>
        <w:t>Systemy przewodów rurowych z tworzyw sztucznych - Systemy poza</w:t>
      </w:r>
      <w:r w:rsidRPr="00C86F6B">
        <w:rPr>
          <w:sz w:val="18"/>
          <w:szCs w:val="18"/>
        </w:rPr>
        <w:tab/>
      </w:r>
      <w:r w:rsidRPr="00C86F6B">
        <w:rPr>
          <w:sz w:val="18"/>
          <w:szCs w:val="18"/>
        </w:rPr>
        <w:tab/>
      </w:r>
      <w:r w:rsidRPr="00C86F6B">
        <w:rPr>
          <w:sz w:val="18"/>
          <w:szCs w:val="18"/>
        </w:rPr>
        <w:tab/>
      </w:r>
      <w:r w:rsidRPr="00C86F6B">
        <w:rPr>
          <w:sz w:val="18"/>
          <w:szCs w:val="18"/>
        </w:rPr>
        <w:tab/>
      </w:r>
      <w:r w:rsidRPr="00C86F6B">
        <w:rPr>
          <w:sz w:val="18"/>
          <w:szCs w:val="18"/>
        </w:rPr>
        <w:tab/>
        <w:t>konstrukcjami budynków do przesyłania wody lub ścieków – Praktyka</w:t>
      </w:r>
      <w:r w:rsidRPr="00C86F6B">
        <w:rPr>
          <w:sz w:val="18"/>
          <w:szCs w:val="18"/>
        </w:rPr>
        <w:tab/>
      </w:r>
      <w:r w:rsidRPr="00C86F6B">
        <w:rPr>
          <w:sz w:val="18"/>
          <w:szCs w:val="18"/>
        </w:rPr>
        <w:tab/>
      </w:r>
      <w:r w:rsidRPr="00C86F6B">
        <w:rPr>
          <w:sz w:val="18"/>
          <w:szCs w:val="18"/>
        </w:rPr>
        <w:tab/>
      </w:r>
      <w:r w:rsidRPr="00C86F6B">
        <w:rPr>
          <w:sz w:val="18"/>
          <w:szCs w:val="18"/>
        </w:rPr>
        <w:tab/>
      </w:r>
      <w:r w:rsidRPr="00C86F6B">
        <w:rPr>
          <w:sz w:val="18"/>
          <w:szCs w:val="18"/>
        </w:rPr>
        <w:tab/>
        <w:t>instalowania pod ziemią i nad ziemią;</w:t>
      </w:r>
    </w:p>
    <w:p w14:paraId="4FBAF302" w14:textId="77777777" w:rsidR="008C656F" w:rsidRPr="00C86F6B" w:rsidRDefault="008C656F" w:rsidP="00262498">
      <w:pPr>
        <w:pStyle w:val="Normalny2"/>
        <w:widowControl w:val="0"/>
        <w:numPr>
          <w:ilvl w:val="0"/>
          <w:numId w:val="200"/>
        </w:numPr>
        <w:pBdr>
          <w:top w:val="nil"/>
          <w:left w:val="nil"/>
          <w:bottom w:val="nil"/>
          <w:right w:val="nil"/>
          <w:between w:val="nil"/>
        </w:pBdr>
        <w:jc w:val="both"/>
        <w:rPr>
          <w:sz w:val="18"/>
          <w:szCs w:val="18"/>
        </w:rPr>
      </w:pPr>
      <w:r w:rsidRPr="00C86F6B">
        <w:rPr>
          <w:sz w:val="18"/>
          <w:szCs w:val="18"/>
        </w:rPr>
        <w:t>PN-EN 752</w:t>
      </w:r>
      <w:r w:rsidRPr="00C86F6B">
        <w:rPr>
          <w:sz w:val="18"/>
          <w:szCs w:val="18"/>
        </w:rPr>
        <w:tab/>
        <w:t>Zewnętrzne systemy kanalizacyjne;</w:t>
      </w:r>
    </w:p>
    <w:p w14:paraId="52097CED" w14:textId="77777777" w:rsidR="008C656F" w:rsidRPr="00C86F6B" w:rsidRDefault="008C656F" w:rsidP="00262498">
      <w:pPr>
        <w:pStyle w:val="Normalny2"/>
        <w:numPr>
          <w:ilvl w:val="0"/>
          <w:numId w:val="200"/>
        </w:numPr>
        <w:pBdr>
          <w:top w:val="nil"/>
          <w:left w:val="nil"/>
          <w:bottom w:val="nil"/>
          <w:right w:val="nil"/>
          <w:between w:val="nil"/>
        </w:pBdr>
        <w:jc w:val="both"/>
        <w:rPr>
          <w:sz w:val="18"/>
          <w:szCs w:val="18"/>
        </w:rPr>
      </w:pPr>
      <w:r w:rsidRPr="00C86F6B">
        <w:rPr>
          <w:sz w:val="18"/>
          <w:szCs w:val="18"/>
        </w:rPr>
        <w:t>PN-EN 805</w:t>
      </w:r>
      <w:r w:rsidRPr="00C86F6B">
        <w:rPr>
          <w:sz w:val="18"/>
          <w:szCs w:val="18"/>
        </w:rPr>
        <w:tab/>
        <w:t xml:space="preserve">Zaopatrzenie w wodę. Wymagania dotyczące systemów zewnętrznych i </w:t>
      </w:r>
      <w:r w:rsidRPr="00C86F6B">
        <w:rPr>
          <w:sz w:val="18"/>
          <w:szCs w:val="18"/>
        </w:rPr>
        <w:tab/>
      </w:r>
      <w:r w:rsidRPr="00C86F6B">
        <w:rPr>
          <w:sz w:val="18"/>
          <w:szCs w:val="18"/>
        </w:rPr>
        <w:tab/>
      </w:r>
      <w:r w:rsidRPr="00C86F6B">
        <w:rPr>
          <w:sz w:val="18"/>
          <w:szCs w:val="18"/>
        </w:rPr>
        <w:tab/>
      </w:r>
      <w:r w:rsidRPr="00C86F6B">
        <w:rPr>
          <w:sz w:val="18"/>
          <w:szCs w:val="18"/>
        </w:rPr>
        <w:tab/>
        <w:t>ich części składowych;</w:t>
      </w:r>
    </w:p>
    <w:p w14:paraId="510A6AD6" w14:textId="77777777" w:rsidR="008C656F" w:rsidRPr="00C86F6B" w:rsidRDefault="008C656F" w:rsidP="00262498">
      <w:pPr>
        <w:pStyle w:val="Normalny2"/>
        <w:widowControl w:val="0"/>
        <w:numPr>
          <w:ilvl w:val="0"/>
          <w:numId w:val="200"/>
        </w:numPr>
        <w:pBdr>
          <w:top w:val="nil"/>
          <w:left w:val="nil"/>
          <w:bottom w:val="nil"/>
          <w:right w:val="nil"/>
          <w:between w:val="nil"/>
        </w:pBdr>
        <w:jc w:val="both"/>
        <w:rPr>
          <w:sz w:val="18"/>
          <w:szCs w:val="18"/>
        </w:rPr>
      </w:pPr>
      <w:r w:rsidRPr="00C86F6B">
        <w:rPr>
          <w:sz w:val="18"/>
          <w:szCs w:val="18"/>
        </w:rPr>
        <w:t>PN-EN 1610</w:t>
      </w:r>
      <w:r w:rsidRPr="00C86F6B">
        <w:rPr>
          <w:sz w:val="18"/>
          <w:szCs w:val="18"/>
        </w:rPr>
        <w:tab/>
        <w:t>Budowa i badania przewodów kanalizacyjnych;</w:t>
      </w:r>
    </w:p>
    <w:p w14:paraId="17B16C4F" w14:textId="77777777" w:rsidR="008C656F" w:rsidRPr="00C86F6B" w:rsidRDefault="008C656F" w:rsidP="00262498">
      <w:pPr>
        <w:pStyle w:val="Normalny2"/>
        <w:widowControl w:val="0"/>
        <w:numPr>
          <w:ilvl w:val="0"/>
          <w:numId w:val="200"/>
        </w:numPr>
        <w:pBdr>
          <w:top w:val="nil"/>
          <w:left w:val="nil"/>
          <w:bottom w:val="nil"/>
          <w:right w:val="nil"/>
          <w:between w:val="nil"/>
        </w:pBdr>
        <w:jc w:val="both"/>
        <w:rPr>
          <w:sz w:val="18"/>
          <w:szCs w:val="18"/>
        </w:rPr>
      </w:pPr>
      <w:r w:rsidRPr="00C86F6B">
        <w:rPr>
          <w:sz w:val="18"/>
          <w:szCs w:val="18"/>
        </w:rPr>
        <w:t>PN-B-10729</w:t>
      </w:r>
      <w:r w:rsidRPr="00C86F6B">
        <w:rPr>
          <w:sz w:val="18"/>
          <w:szCs w:val="18"/>
        </w:rPr>
        <w:tab/>
        <w:t>Kanalizacja. Studzienki kanalizacyjne;</w:t>
      </w:r>
    </w:p>
    <w:p w14:paraId="0C94E101" w14:textId="77777777" w:rsidR="008C656F" w:rsidRPr="00C86F6B" w:rsidRDefault="008C656F" w:rsidP="00262498">
      <w:pPr>
        <w:pStyle w:val="Normalny2"/>
        <w:widowControl w:val="0"/>
        <w:numPr>
          <w:ilvl w:val="0"/>
          <w:numId w:val="200"/>
        </w:numPr>
        <w:pBdr>
          <w:top w:val="nil"/>
          <w:left w:val="nil"/>
          <w:bottom w:val="nil"/>
          <w:right w:val="nil"/>
          <w:between w:val="nil"/>
        </w:pBdr>
        <w:jc w:val="both"/>
        <w:rPr>
          <w:sz w:val="18"/>
          <w:szCs w:val="18"/>
        </w:rPr>
      </w:pPr>
      <w:r w:rsidRPr="00C86F6B">
        <w:rPr>
          <w:sz w:val="18"/>
          <w:szCs w:val="18"/>
        </w:rPr>
        <w:t>PN-B-10735</w:t>
      </w:r>
      <w:r w:rsidRPr="00C86F6B">
        <w:rPr>
          <w:sz w:val="18"/>
          <w:szCs w:val="18"/>
        </w:rPr>
        <w:tab/>
        <w:t>Kanalizacja. Przewody kanalizacyjne. Wymagania i badania przy odbiorze;</w:t>
      </w:r>
    </w:p>
    <w:p w14:paraId="46888FB9" w14:textId="77777777" w:rsidR="008C656F" w:rsidRPr="00C86F6B" w:rsidRDefault="008C656F" w:rsidP="00262498">
      <w:pPr>
        <w:pStyle w:val="Normalny2"/>
        <w:widowControl w:val="0"/>
        <w:numPr>
          <w:ilvl w:val="0"/>
          <w:numId w:val="200"/>
        </w:numPr>
        <w:pBdr>
          <w:top w:val="nil"/>
          <w:left w:val="nil"/>
          <w:bottom w:val="nil"/>
          <w:right w:val="nil"/>
          <w:between w:val="nil"/>
        </w:pBdr>
        <w:jc w:val="both"/>
        <w:rPr>
          <w:sz w:val="18"/>
          <w:szCs w:val="18"/>
        </w:rPr>
      </w:pPr>
      <w:r w:rsidRPr="00C86F6B">
        <w:rPr>
          <w:sz w:val="18"/>
          <w:szCs w:val="18"/>
        </w:rPr>
        <w:t>PN-B-10736</w:t>
      </w:r>
      <w:r w:rsidRPr="00C86F6B">
        <w:rPr>
          <w:sz w:val="18"/>
          <w:szCs w:val="18"/>
        </w:rPr>
        <w:tab/>
        <w:t>Wykopy otwarte dla przewodów wodociągowych i kanalizacyjnych;</w:t>
      </w:r>
    </w:p>
    <w:p w14:paraId="7FFE740F" w14:textId="77777777" w:rsidR="008C656F" w:rsidRPr="00C86F6B" w:rsidRDefault="008C656F" w:rsidP="00262498">
      <w:pPr>
        <w:pStyle w:val="Normalny2"/>
        <w:widowControl w:val="0"/>
        <w:numPr>
          <w:ilvl w:val="0"/>
          <w:numId w:val="200"/>
        </w:numPr>
        <w:pBdr>
          <w:top w:val="nil"/>
          <w:left w:val="nil"/>
          <w:bottom w:val="nil"/>
          <w:right w:val="nil"/>
          <w:between w:val="nil"/>
        </w:pBdr>
        <w:jc w:val="both"/>
        <w:rPr>
          <w:sz w:val="18"/>
          <w:szCs w:val="18"/>
        </w:rPr>
      </w:pPr>
      <w:r w:rsidRPr="00C86F6B">
        <w:rPr>
          <w:sz w:val="18"/>
          <w:szCs w:val="18"/>
        </w:rPr>
        <w:t>PN-EN 476</w:t>
      </w:r>
      <w:r w:rsidRPr="00C86F6B">
        <w:rPr>
          <w:sz w:val="18"/>
          <w:szCs w:val="18"/>
        </w:rPr>
        <w:tab/>
        <w:t xml:space="preserve">Wymagania ogólne dotyczące elementów stosowanych w systemach kanalizacji </w:t>
      </w:r>
      <w:r w:rsidRPr="00C86F6B">
        <w:rPr>
          <w:sz w:val="18"/>
          <w:szCs w:val="18"/>
        </w:rPr>
        <w:tab/>
      </w:r>
      <w:r w:rsidRPr="00C86F6B">
        <w:rPr>
          <w:sz w:val="18"/>
          <w:szCs w:val="18"/>
        </w:rPr>
        <w:tab/>
      </w:r>
      <w:r w:rsidRPr="00C86F6B">
        <w:rPr>
          <w:sz w:val="18"/>
          <w:szCs w:val="18"/>
        </w:rPr>
        <w:tab/>
        <w:t>deszczowej i sanitarnej;</w:t>
      </w:r>
    </w:p>
    <w:p w14:paraId="5FB76B11" w14:textId="77777777" w:rsidR="008C656F" w:rsidRPr="00C86F6B" w:rsidRDefault="008C656F" w:rsidP="00262498">
      <w:pPr>
        <w:pStyle w:val="Normalny2"/>
        <w:numPr>
          <w:ilvl w:val="0"/>
          <w:numId w:val="200"/>
        </w:numPr>
        <w:pBdr>
          <w:top w:val="nil"/>
          <w:left w:val="nil"/>
          <w:bottom w:val="nil"/>
          <w:right w:val="nil"/>
          <w:between w:val="nil"/>
        </w:pBdr>
        <w:jc w:val="both"/>
        <w:rPr>
          <w:sz w:val="18"/>
          <w:szCs w:val="18"/>
        </w:rPr>
      </w:pPr>
      <w:r w:rsidRPr="00C86F6B">
        <w:rPr>
          <w:sz w:val="18"/>
          <w:szCs w:val="18"/>
        </w:rPr>
        <w:t>PN-EN 1171</w:t>
      </w:r>
      <w:r w:rsidRPr="00C86F6B">
        <w:rPr>
          <w:sz w:val="18"/>
          <w:szCs w:val="18"/>
        </w:rPr>
        <w:tab/>
        <w:t>Armatura przemysłowa.</w:t>
      </w:r>
    </w:p>
    <w:p w14:paraId="1A9362B0" w14:textId="77777777" w:rsidR="008C656F" w:rsidRPr="00C86F6B" w:rsidRDefault="008C656F" w:rsidP="00262498">
      <w:pPr>
        <w:pStyle w:val="Normalny2"/>
        <w:numPr>
          <w:ilvl w:val="0"/>
          <w:numId w:val="200"/>
        </w:numPr>
        <w:pBdr>
          <w:top w:val="nil"/>
          <w:left w:val="nil"/>
          <w:bottom w:val="nil"/>
          <w:right w:val="nil"/>
          <w:between w:val="nil"/>
        </w:pBdr>
        <w:jc w:val="both"/>
        <w:rPr>
          <w:sz w:val="18"/>
          <w:szCs w:val="18"/>
        </w:rPr>
      </w:pPr>
      <w:r w:rsidRPr="00C86F6B">
        <w:rPr>
          <w:sz w:val="18"/>
          <w:szCs w:val="18"/>
        </w:rPr>
        <w:t>PN-EN 558</w:t>
      </w:r>
      <w:r w:rsidRPr="00C86F6B">
        <w:rPr>
          <w:sz w:val="18"/>
          <w:szCs w:val="18"/>
        </w:rPr>
        <w:tab/>
        <w:t>Armatura przemysłowa.</w:t>
      </w:r>
    </w:p>
    <w:p w14:paraId="233DC8EA" w14:textId="77777777" w:rsidR="008C656F" w:rsidRPr="00C86F6B" w:rsidRDefault="008C656F" w:rsidP="00262498">
      <w:pPr>
        <w:pStyle w:val="Normalny2"/>
        <w:numPr>
          <w:ilvl w:val="0"/>
          <w:numId w:val="200"/>
        </w:numPr>
        <w:pBdr>
          <w:top w:val="nil"/>
          <w:left w:val="nil"/>
          <w:bottom w:val="nil"/>
          <w:right w:val="nil"/>
          <w:between w:val="nil"/>
        </w:pBdr>
        <w:jc w:val="both"/>
        <w:rPr>
          <w:sz w:val="18"/>
          <w:szCs w:val="18"/>
        </w:rPr>
      </w:pPr>
      <w:r w:rsidRPr="00C86F6B">
        <w:rPr>
          <w:sz w:val="18"/>
          <w:szCs w:val="18"/>
        </w:rPr>
        <w:t>PN-EN 1092</w:t>
      </w:r>
      <w:r w:rsidRPr="00C86F6B">
        <w:rPr>
          <w:sz w:val="18"/>
          <w:szCs w:val="18"/>
        </w:rPr>
        <w:tab/>
        <w:t>Kołnierze i ich połączenia.</w:t>
      </w:r>
    </w:p>
    <w:p w14:paraId="14517DB8" w14:textId="77777777" w:rsidR="008C656F" w:rsidRPr="00C86F6B" w:rsidRDefault="008C656F" w:rsidP="00262498">
      <w:pPr>
        <w:pStyle w:val="Normalny2"/>
        <w:widowControl w:val="0"/>
        <w:numPr>
          <w:ilvl w:val="0"/>
          <w:numId w:val="200"/>
        </w:numPr>
        <w:pBdr>
          <w:top w:val="nil"/>
          <w:left w:val="nil"/>
          <w:bottom w:val="nil"/>
          <w:right w:val="nil"/>
          <w:between w:val="nil"/>
        </w:pBdr>
        <w:jc w:val="both"/>
        <w:rPr>
          <w:sz w:val="18"/>
          <w:szCs w:val="18"/>
        </w:rPr>
      </w:pPr>
      <w:r w:rsidRPr="00C86F6B">
        <w:rPr>
          <w:sz w:val="18"/>
          <w:szCs w:val="18"/>
        </w:rPr>
        <w:t>PN-S-02205</w:t>
      </w:r>
      <w:r w:rsidRPr="00C86F6B">
        <w:rPr>
          <w:sz w:val="18"/>
          <w:szCs w:val="18"/>
        </w:rPr>
        <w:tab/>
        <w:t>Drogi samochodowe. Roboty ziemne;</w:t>
      </w:r>
    </w:p>
    <w:p w14:paraId="1550C4FA" w14:textId="77777777" w:rsidR="008C656F" w:rsidRPr="00C86F6B" w:rsidRDefault="008C656F" w:rsidP="00262498">
      <w:pPr>
        <w:pStyle w:val="Normalny2"/>
        <w:widowControl w:val="0"/>
        <w:numPr>
          <w:ilvl w:val="0"/>
          <w:numId w:val="200"/>
        </w:numPr>
        <w:pBdr>
          <w:top w:val="nil"/>
          <w:left w:val="nil"/>
          <w:bottom w:val="nil"/>
          <w:right w:val="nil"/>
          <w:between w:val="nil"/>
        </w:pBdr>
        <w:jc w:val="both"/>
        <w:rPr>
          <w:sz w:val="18"/>
          <w:szCs w:val="18"/>
        </w:rPr>
      </w:pPr>
      <w:r w:rsidRPr="00C86F6B">
        <w:rPr>
          <w:sz w:val="18"/>
          <w:szCs w:val="18"/>
        </w:rPr>
        <w:t>PN-B-03020</w:t>
      </w:r>
      <w:r w:rsidRPr="00C86F6B">
        <w:rPr>
          <w:sz w:val="18"/>
          <w:szCs w:val="18"/>
        </w:rPr>
        <w:tab/>
        <w:t xml:space="preserve">Grunty budowlane - Posadowienie bezpośrednie budowli - Obliczenia statyczne i </w:t>
      </w:r>
      <w:r w:rsidRPr="00C86F6B">
        <w:rPr>
          <w:sz w:val="18"/>
          <w:szCs w:val="18"/>
        </w:rPr>
        <w:tab/>
      </w:r>
      <w:r w:rsidRPr="00C86F6B">
        <w:rPr>
          <w:sz w:val="18"/>
          <w:szCs w:val="18"/>
        </w:rPr>
        <w:tab/>
      </w:r>
      <w:r w:rsidRPr="00C86F6B">
        <w:rPr>
          <w:sz w:val="18"/>
          <w:szCs w:val="18"/>
        </w:rPr>
        <w:tab/>
        <w:t>projektowanie;</w:t>
      </w:r>
    </w:p>
    <w:p w14:paraId="56A16916" w14:textId="77777777" w:rsidR="008C656F" w:rsidRPr="00C86F6B" w:rsidRDefault="008C656F" w:rsidP="00262498">
      <w:pPr>
        <w:pStyle w:val="Normalny2"/>
        <w:widowControl w:val="0"/>
        <w:numPr>
          <w:ilvl w:val="0"/>
          <w:numId w:val="200"/>
        </w:numPr>
        <w:pBdr>
          <w:top w:val="nil"/>
          <w:left w:val="nil"/>
          <w:bottom w:val="nil"/>
          <w:right w:val="nil"/>
          <w:between w:val="nil"/>
        </w:pBdr>
        <w:jc w:val="both"/>
        <w:rPr>
          <w:sz w:val="18"/>
          <w:szCs w:val="18"/>
        </w:rPr>
      </w:pPr>
      <w:r w:rsidRPr="00C86F6B">
        <w:rPr>
          <w:sz w:val="18"/>
          <w:szCs w:val="18"/>
        </w:rPr>
        <w:t>PN-EN 1917</w:t>
      </w:r>
      <w:r w:rsidRPr="00C86F6B">
        <w:rPr>
          <w:sz w:val="18"/>
          <w:szCs w:val="18"/>
        </w:rPr>
        <w:tab/>
        <w:t xml:space="preserve">Studzienki włazowe i niewłazowe z betonu niezbrojonego, z betonu zbrojonego </w:t>
      </w:r>
      <w:r w:rsidRPr="00C86F6B">
        <w:rPr>
          <w:sz w:val="18"/>
          <w:szCs w:val="18"/>
        </w:rPr>
        <w:tab/>
      </w:r>
      <w:r w:rsidRPr="00C86F6B">
        <w:rPr>
          <w:sz w:val="18"/>
          <w:szCs w:val="18"/>
        </w:rPr>
        <w:tab/>
      </w:r>
      <w:r w:rsidRPr="00C86F6B">
        <w:rPr>
          <w:sz w:val="18"/>
          <w:szCs w:val="18"/>
        </w:rPr>
        <w:tab/>
      </w:r>
      <w:r w:rsidRPr="00C86F6B">
        <w:rPr>
          <w:sz w:val="18"/>
          <w:szCs w:val="18"/>
        </w:rPr>
        <w:tab/>
        <w:t>włóknem stalowym i żelbetowe;</w:t>
      </w:r>
    </w:p>
    <w:p w14:paraId="094948A9" w14:textId="77777777" w:rsidR="008C656F" w:rsidRPr="00C86F6B" w:rsidRDefault="008C656F" w:rsidP="00262498">
      <w:pPr>
        <w:pStyle w:val="Normalny2"/>
        <w:widowControl w:val="0"/>
        <w:numPr>
          <w:ilvl w:val="0"/>
          <w:numId w:val="200"/>
        </w:numPr>
        <w:pBdr>
          <w:top w:val="nil"/>
          <w:left w:val="nil"/>
          <w:bottom w:val="nil"/>
          <w:right w:val="nil"/>
          <w:between w:val="nil"/>
        </w:pBdr>
        <w:jc w:val="both"/>
        <w:rPr>
          <w:sz w:val="18"/>
          <w:szCs w:val="18"/>
        </w:rPr>
      </w:pPr>
      <w:r w:rsidRPr="00C86F6B">
        <w:rPr>
          <w:sz w:val="18"/>
          <w:szCs w:val="18"/>
        </w:rPr>
        <w:t>PN-EN 13101</w:t>
      </w:r>
      <w:r w:rsidRPr="00C86F6B">
        <w:rPr>
          <w:sz w:val="18"/>
          <w:szCs w:val="18"/>
        </w:rPr>
        <w:tab/>
        <w:t xml:space="preserve">Stopnie do studzienek włazowych - Wymagania, znakowanie, badania i ocena </w:t>
      </w:r>
      <w:r w:rsidRPr="00C86F6B">
        <w:rPr>
          <w:sz w:val="18"/>
          <w:szCs w:val="18"/>
        </w:rPr>
        <w:tab/>
      </w:r>
      <w:r w:rsidRPr="00C86F6B">
        <w:rPr>
          <w:sz w:val="18"/>
          <w:szCs w:val="18"/>
        </w:rPr>
        <w:tab/>
      </w:r>
      <w:r w:rsidRPr="00C86F6B">
        <w:rPr>
          <w:sz w:val="18"/>
          <w:szCs w:val="18"/>
        </w:rPr>
        <w:tab/>
      </w:r>
      <w:r w:rsidRPr="00C86F6B">
        <w:rPr>
          <w:sz w:val="18"/>
          <w:szCs w:val="18"/>
        </w:rPr>
        <w:tab/>
        <w:t>zgodności;</w:t>
      </w:r>
    </w:p>
    <w:p w14:paraId="5B7542CD" w14:textId="77777777" w:rsidR="008C656F" w:rsidRPr="00C86F6B" w:rsidRDefault="008C656F" w:rsidP="00262498">
      <w:pPr>
        <w:pStyle w:val="Normalny2"/>
        <w:widowControl w:val="0"/>
        <w:numPr>
          <w:ilvl w:val="0"/>
          <w:numId w:val="200"/>
        </w:numPr>
        <w:pBdr>
          <w:top w:val="nil"/>
          <w:left w:val="nil"/>
          <w:bottom w:val="nil"/>
          <w:right w:val="nil"/>
          <w:between w:val="nil"/>
        </w:pBdr>
        <w:jc w:val="both"/>
        <w:rPr>
          <w:sz w:val="18"/>
          <w:szCs w:val="18"/>
        </w:rPr>
      </w:pPr>
      <w:r w:rsidRPr="00C86F6B">
        <w:rPr>
          <w:sz w:val="18"/>
          <w:szCs w:val="18"/>
        </w:rPr>
        <w:t>PN-EN 13043</w:t>
      </w:r>
      <w:r w:rsidRPr="00C86F6B">
        <w:rPr>
          <w:sz w:val="18"/>
          <w:szCs w:val="18"/>
        </w:rPr>
        <w:tab/>
        <w:t xml:space="preserve">Kruszywa do mieszanek bitumicznych i powierzchniowych utrwaleń stosowanych </w:t>
      </w:r>
      <w:r w:rsidRPr="00C86F6B">
        <w:rPr>
          <w:sz w:val="18"/>
          <w:szCs w:val="18"/>
        </w:rPr>
        <w:tab/>
      </w:r>
      <w:r w:rsidRPr="00C86F6B">
        <w:rPr>
          <w:sz w:val="18"/>
          <w:szCs w:val="18"/>
        </w:rPr>
        <w:tab/>
      </w:r>
      <w:r w:rsidRPr="00C86F6B">
        <w:rPr>
          <w:sz w:val="18"/>
          <w:szCs w:val="18"/>
        </w:rPr>
        <w:tab/>
        <w:t>na drogach, lotniskach i innych powierzchniach przeznaczonych do ruchu;</w:t>
      </w:r>
    </w:p>
    <w:p w14:paraId="3C909049" w14:textId="77777777" w:rsidR="008C656F" w:rsidRPr="00C86F6B" w:rsidRDefault="008C656F" w:rsidP="00262498">
      <w:pPr>
        <w:pStyle w:val="Normalny2"/>
        <w:widowControl w:val="0"/>
        <w:numPr>
          <w:ilvl w:val="0"/>
          <w:numId w:val="200"/>
        </w:numPr>
        <w:pBdr>
          <w:top w:val="nil"/>
          <w:left w:val="nil"/>
          <w:bottom w:val="nil"/>
          <w:right w:val="nil"/>
          <w:between w:val="nil"/>
        </w:pBdr>
        <w:jc w:val="both"/>
        <w:rPr>
          <w:sz w:val="18"/>
          <w:szCs w:val="18"/>
        </w:rPr>
      </w:pPr>
      <w:r w:rsidRPr="00C86F6B">
        <w:rPr>
          <w:sz w:val="18"/>
          <w:szCs w:val="18"/>
        </w:rPr>
        <w:t>PN-B-14501</w:t>
      </w:r>
      <w:r w:rsidRPr="00C86F6B">
        <w:rPr>
          <w:sz w:val="18"/>
          <w:szCs w:val="18"/>
        </w:rPr>
        <w:tab/>
        <w:t>Zaprawy budowlane zwykłe;</w:t>
      </w:r>
    </w:p>
    <w:p w14:paraId="10FC03E2" w14:textId="77777777" w:rsidR="008C656F" w:rsidRPr="00C86F6B" w:rsidRDefault="008C656F" w:rsidP="00262498">
      <w:pPr>
        <w:pStyle w:val="Normalny2"/>
        <w:widowControl w:val="0"/>
        <w:numPr>
          <w:ilvl w:val="0"/>
          <w:numId w:val="200"/>
        </w:numPr>
        <w:pBdr>
          <w:top w:val="nil"/>
          <w:left w:val="nil"/>
          <w:bottom w:val="nil"/>
          <w:right w:val="nil"/>
          <w:between w:val="nil"/>
        </w:pBdr>
        <w:jc w:val="both"/>
        <w:rPr>
          <w:sz w:val="18"/>
          <w:szCs w:val="18"/>
        </w:rPr>
      </w:pPr>
      <w:r w:rsidRPr="00C86F6B">
        <w:rPr>
          <w:sz w:val="18"/>
          <w:szCs w:val="18"/>
        </w:rPr>
        <w:t>PN-EN 124</w:t>
      </w:r>
      <w:r w:rsidRPr="00C86F6B">
        <w:rPr>
          <w:sz w:val="18"/>
          <w:szCs w:val="18"/>
        </w:rPr>
        <w:tab/>
        <w:t xml:space="preserve">Zwieńczenia wpustów i studzienek kanalizacyjnych do nawierzchni dla ruchu </w:t>
      </w:r>
      <w:r w:rsidRPr="00C86F6B">
        <w:rPr>
          <w:sz w:val="18"/>
          <w:szCs w:val="18"/>
        </w:rPr>
        <w:tab/>
      </w:r>
      <w:r w:rsidRPr="00C86F6B">
        <w:rPr>
          <w:sz w:val="18"/>
          <w:szCs w:val="18"/>
        </w:rPr>
        <w:tab/>
      </w:r>
      <w:r w:rsidRPr="00C86F6B">
        <w:rPr>
          <w:sz w:val="18"/>
          <w:szCs w:val="18"/>
        </w:rPr>
        <w:tab/>
      </w:r>
      <w:r w:rsidRPr="00C86F6B">
        <w:rPr>
          <w:sz w:val="18"/>
          <w:szCs w:val="18"/>
        </w:rPr>
        <w:tab/>
        <w:t>pieszego i kołowego;</w:t>
      </w:r>
    </w:p>
    <w:p w14:paraId="2F2DB3E5" w14:textId="77777777" w:rsidR="008C656F" w:rsidRPr="00C86F6B" w:rsidRDefault="008C656F" w:rsidP="00262498">
      <w:pPr>
        <w:pStyle w:val="Normalny2"/>
        <w:numPr>
          <w:ilvl w:val="0"/>
          <w:numId w:val="200"/>
        </w:numPr>
        <w:pBdr>
          <w:top w:val="nil"/>
          <w:left w:val="nil"/>
          <w:bottom w:val="nil"/>
          <w:right w:val="nil"/>
          <w:between w:val="nil"/>
        </w:pBdr>
        <w:jc w:val="both"/>
        <w:rPr>
          <w:sz w:val="18"/>
          <w:szCs w:val="18"/>
        </w:rPr>
      </w:pPr>
      <w:r w:rsidRPr="00C86F6B">
        <w:rPr>
          <w:sz w:val="18"/>
          <w:szCs w:val="18"/>
        </w:rPr>
        <w:t>PN-EN 681-1</w:t>
      </w:r>
      <w:r w:rsidRPr="00C86F6B">
        <w:rPr>
          <w:sz w:val="18"/>
          <w:szCs w:val="18"/>
        </w:rPr>
        <w:tab/>
        <w:t xml:space="preserve">Uszczelnienia z elastomerów – Wymagania materiałowe dotyczące uszczelek </w:t>
      </w:r>
    </w:p>
    <w:p w14:paraId="075B13EA" w14:textId="77777777" w:rsidR="008C656F" w:rsidRPr="00C86F6B" w:rsidRDefault="008C656F" w:rsidP="008C656F">
      <w:pPr>
        <w:pStyle w:val="Normalny2"/>
        <w:pBdr>
          <w:top w:val="nil"/>
          <w:left w:val="nil"/>
          <w:bottom w:val="nil"/>
          <w:right w:val="nil"/>
          <w:between w:val="nil"/>
        </w:pBdr>
        <w:ind w:left="2127" w:firstLine="709"/>
        <w:jc w:val="both"/>
        <w:rPr>
          <w:sz w:val="18"/>
          <w:szCs w:val="18"/>
        </w:rPr>
      </w:pPr>
      <w:r w:rsidRPr="00C86F6B">
        <w:rPr>
          <w:sz w:val="18"/>
          <w:szCs w:val="18"/>
        </w:rPr>
        <w:t>złączy rur wodociągowych i odwadniających – Część 1: Guma;</w:t>
      </w:r>
    </w:p>
    <w:p w14:paraId="4C17A291" w14:textId="77777777" w:rsidR="008C656F" w:rsidRPr="00C86F6B" w:rsidRDefault="008C656F" w:rsidP="00262498">
      <w:pPr>
        <w:pStyle w:val="Normalny2"/>
        <w:numPr>
          <w:ilvl w:val="0"/>
          <w:numId w:val="200"/>
        </w:numPr>
        <w:pBdr>
          <w:top w:val="nil"/>
          <w:left w:val="nil"/>
          <w:bottom w:val="nil"/>
          <w:right w:val="nil"/>
          <w:between w:val="nil"/>
        </w:pBdr>
        <w:jc w:val="both"/>
        <w:rPr>
          <w:sz w:val="18"/>
          <w:szCs w:val="18"/>
        </w:rPr>
      </w:pPr>
      <w:r w:rsidRPr="00C86F6B">
        <w:rPr>
          <w:sz w:val="18"/>
          <w:szCs w:val="18"/>
        </w:rPr>
        <w:t>PN-EN 681-2</w:t>
      </w:r>
      <w:r w:rsidRPr="00C86F6B">
        <w:rPr>
          <w:sz w:val="18"/>
          <w:szCs w:val="18"/>
        </w:rPr>
        <w:tab/>
        <w:t xml:space="preserve">Uszczelnienia z elastomerów – Wymagania materiałowe dotyczące uszczelek </w:t>
      </w:r>
    </w:p>
    <w:p w14:paraId="41C4751C" w14:textId="77777777" w:rsidR="008C656F" w:rsidRPr="00C86F6B" w:rsidRDefault="008C656F" w:rsidP="008C656F">
      <w:pPr>
        <w:pStyle w:val="Normalny2"/>
        <w:pBdr>
          <w:top w:val="nil"/>
          <w:left w:val="nil"/>
          <w:bottom w:val="nil"/>
          <w:right w:val="nil"/>
          <w:between w:val="nil"/>
        </w:pBdr>
        <w:ind w:left="2127" w:firstLine="709"/>
        <w:jc w:val="both"/>
        <w:rPr>
          <w:sz w:val="18"/>
          <w:szCs w:val="18"/>
        </w:rPr>
      </w:pPr>
      <w:r w:rsidRPr="00C86F6B">
        <w:rPr>
          <w:sz w:val="18"/>
          <w:szCs w:val="18"/>
        </w:rPr>
        <w:t>złączy rur wodociągowych i odwadniających – Część 2: Elastomery termoplastyczne;</w:t>
      </w:r>
    </w:p>
    <w:p w14:paraId="28CD843F" w14:textId="77777777" w:rsidR="008C656F" w:rsidRPr="00C86F6B" w:rsidRDefault="008C656F" w:rsidP="00262498">
      <w:pPr>
        <w:pStyle w:val="Normalny2"/>
        <w:widowControl w:val="0"/>
        <w:numPr>
          <w:ilvl w:val="0"/>
          <w:numId w:val="200"/>
        </w:numPr>
        <w:pBdr>
          <w:top w:val="nil"/>
          <w:left w:val="nil"/>
          <w:bottom w:val="nil"/>
          <w:right w:val="nil"/>
          <w:between w:val="nil"/>
        </w:pBdr>
        <w:jc w:val="both"/>
        <w:rPr>
          <w:sz w:val="18"/>
          <w:szCs w:val="18"/>
        </w:rPr>
      </w:pPr>
      <w:r w:rsidRPr="00C86F6B">
        <w:rPr>
          <w:sz w:val="18"/>
          <w:szCs w:val="18"/>
        </w:rPr>
        <w:t>PN-EN 13369</w:t>
      </w:r>
      <w:r w:rsidRPr="00C86F6B">
        <w:rPr>
          <w:sz w:val="18"/>
          <w:szCs w:val="18"/>
        </w:rPr>
        <w:tab/>
        <w:t>Wspólne wymagania dla prefabrykatów z betonu;</w:t>
      </w:r>
    </w:p>
    <w:p w14:paraId="6F572CE4" w14:textId="77777777" w:rsidR="008C656F" w:rsidRPr="00C86F6B" w:rsidRDefault="008C656F" w:rsidP="00262498">
      <w:pPr>
        <w:pStyle w:val="Normalny2"/>
        <w:widowControl w:val="0"/>
        <w:numPr>
          <w:ilvl w:val="0"/>
          <w:numId w:val="200"/>
        </w:numPr>
        <w:pBdr>
          <w:top w:val="nil"/>
          <w:left w:val="nil"/>
          <w:bottom w:val="nil"/>
          <w:right w:val="nil"/>
          <w:between w:val="nil"/>
        </w:pBdr>
        <w:jc w:val="both"/>
        <w:rPr>
          <w:sz w:val="18"/>
          <w:szCs w:val="18"/>
        </w:rPr>
      </w:pPr>
      <w:r w:rsidRPr="00C86F6B">
        <w:rPr>
          <w:sz w:val="18"/>
          <w:szCs w:val="18"/>
        </w:rPr>
        <w:t>PN-EN 197</w:t>
      </w:r>
      <w:r w:rsidRPr="00C86F6B">
        <w:rPr>
          <w:sz w:val="18"/>
          <w:szCs w:val="18"/>
        </w:rPr>
        <w:tab/>
        <w:t>Cement;</w:t>
      </w:r>
    </w:p>
    <w:p w14:paraId="7E621605" w14:textId="77777777" w:rsidR="008C656F" w:rsidRPr="00C86F6B" w:rsidRDefault="008C656F" w:rsidP="00262498">
      <w:pPr>
        <w:pStyle w:val="Normalny2"/>
        <w:widowControl w:val="0"/>
        <w:numPr>
          <w:ilvl w:val="0"/>
          <w:numId w:val="200"/>
        </w:numPr>
        <w:pBdr>
          <w:top w:val="nil"/>
          <w:left w:val="nil"/>
          <w:bottom w:val="nil"/>
          <w:right w:val="nil"/>
          <w:between w:val="nil"/>
        </w:pBdr>
        <w:jc w:val="both"/>
        <w:rPr>
          <w:sz w:val="18"/>
          <w:szCs w:val="18"/>
        </w:rPr>
      </w:pPr>
      <w:r w:rsidRPr="00C86F6B">
        <w:rPr>
          <w:sz w:val="18"/>
          <w:szCs w:val="18"/>
        </w:rPr>
        <w:t>PN-B-06050</w:t>
      </w:r>
      <w:r w:rsidRPr="00C86F6B">
        <w:rPr>
          <w:sz w:val="18"/>
          <w:szCs w:val="18"/>
        </w:rPr>
        <w:tab/>
        <w:t>Geotechnika. Roboty ziemne. Wymagania ogólne;</w:t>
      </w:r>
    </w:p>
    <w:p w14:paraId="13F3ACF0" w14:textId="77777777" w:rsidR="008C656F" w:rsidRPr="00C86F6B" w:rsidRDefault="008C656F" w:rsidP="00262498">
      <w:pPr>
        <w:pStyle w:val="Normalny2"/>
        <w:widowControl w:val="0"/>
        <w:numPr>
          <w:ilvl w:val="0"/>
          <w:numId w:val="200"/>
        </w:numPr>
        <w:pBdr>
          <w:top w:val="nil"/>
          <w:left w:val="nil"/>
          <w:bottom w:val="nil"/>
          <w:right w:val="nil"/>
          <w:between w:val="nil"/>
        </w:pBdr>
        <w:jc w:val="both"/>
        <w:rPr>
          <w:sz w:val="18"/>
          <w:szCs w:val="18"/>
        </w:rPr>
      </w:pPr>
      <w:r w:rsidRPr="00C86F6B">
        <w:rPr>
          <w:sz w:val="18"/>
          <w:szCs w:val="18"/>
        </w:rPr>
        <w:t>PN-EN 1997</w:t>
      </w:r>
      <w:r w:rsidRPr="00C86F6B">
        <w:rPr>
          <w:sz w:val="18"/>
          <w:szCs w:val="18"/>
        </w:rPr>
        <w:tab/>
        <w:t>Eurokod 7. Projektowanie geotechniczne;</w:t>
      </w:r>
    </w:p>
    <w:p w14:paraId="063E350E" w14:textId="77777777" w:rsidR="008C656F" w:rsidRPr="00C86F6B" w:rsidRDefault="008C656F" w:rsidP="00262498">
      <w:pPr>
        <w:pStyle w:val="Normalny2"/>
        <w:widowControl w:val="0"/>
        <w:numPr>
          <w:ilvl w:val="0"/>
          <w:numId w:val="200"/>
        </w:numPr>
        <w:pBdr>
          <w:top w:val="nil"/>
          <w:left w:val="nil"/>
          <w:bottom w:val="nil"/>
          <w:right w:val="nil"/>
          <w:between w:val="nil"/>
        </w:pBdr>
        <w:jc w:val="both"/>
        <w:rPr>
          <w:sz w:val="18"/>
          <w:szCs w:val="18"/>
        </w:rPr>
      </w:pPr>
      <w:r w:rsidRPr="00C86F6B">
        <w:rPr>
          <w:sz w:val="18"/>
          <w:szCs w:val="18"/>
        </w:rPr>
        <w:t>PN-B-03010</w:t>
      </w:r>
      <w:r w:rsidRPr="00C86F6B">
        <w:rPr>
          <w:sz w:val="18"/>
          <w:szCs w:val="18"/>
        </w:rPr>
        <w:tab/>
        <w:t>Ściany oporowe. Obliczenia statyczne i projektowanie;</w:t>
      </w:r>
    </w:p>
    <w:p w14:paraId="1B86009A" w14:textId="77777777" w:rsidR="008C656F" w:rsidRPr="00C86F6B" w:rsidRDefault="008C656F" w:rsidP="00262498">
      <w:pPr>
        <w:pStyle w:val="Normalny2"/>
        <w:widowControl w:val="0"/>
        <w:numPr>
          <w:ilvl w:val="0"/>
          <w:numId w:val="200"/>
        </w:numPr>
        <w:pBdr>
          <w:top w:val="nil"/>
          <w:left w:val="nil"/>
          <w:bottom w:val="nil"/>
          <w:right w:val="nil"/>
          <w:between w:val="nil"/>
        </w:pBdr>
        <w:jc w:val="both"/>
        <w:rPr>
          <w:sz w:val="18"/>
          <w:szCs w:val="18"/>
        </w:rPr>
      </w:pPr>
      <w:r w:rsidRPr="00C86F6B">
        <w:rPr>
          <w:sz w:val="18"/>
          <w:szCs w:val="18"/>
        </w:rPr>
        <w:t>PN-EN 12063</w:t>
      </w:r>
      <w:r w:rsidRPr="00C86F6B">
        <w:rPr>
          <w:sz w:val="18"/>
          <w:szCs w:val="18"/>
        </w:rPr>
        <w:tab/>
        <w:t xml:space="preserve">Wykonawstwo specjalnych robót geotechnicznych - Ścianki szczelne; </w:t>
      </w:r>
    </w:p>
    <w:p w14:paraId="7ED1D55B" w14:textId="77777777" w:rsidR="008C656F" w:rsidRPr="00C86F6B" w:rsidRDefault="008C656F" w:rsidP="00262498">
      <w:pPr>
        <w:pStyle w:val="Normalny2"/>
        <w:widowControl w:val="0"/>
        <w:numPr>
          <w:ilvl w:val="0"/>
          <w:numId w:val="200"/>
        </w:numPr>
        <w:pBdr>
          <w:top w:val="nil"/>
          <w:left w:val="nil"/>
          <w:bottom w:val="nil"/>
          <w:right w:val="nil"/>
          <w:between w:val="nil"/>
        </w:pBdr>
        <w:jc w:val="both"/>
        <w:rPr>
          <w:sz w:val="18"/>
          <w:szCs w:val="18"/>
        </w:rPr>
      </w:pPr>
      <w:r w:rsidRPr="00C86F6B">
        <w:rPr>
          <w:sz w:val="18"/>
          <w:szCs w:val="18"/>
        </w:rPr>
        <w:t>PN-EN 206-1</w:t>
      </w:r>
      <w:r w:rsidRPr="00C86F6B">
        <w:rPr>
          <w:sz w:val="18"/>
          <w:szCs w:val="18"/>
        </w:rPr>
        <w:tab/>
        <w:t>Beton. Wymagania, właściwości, produkcja i zgodność;</w:t>
      </w:r>
    </w:p>
    <w:p w14:paraId="52F2F3DA" w14:textId="77777777" w:rsidR="008C656F" w:rsidRPr="00C86F6B" w:rsidRDefault="008C656F" w:rsidP="00262498">
      <w:pPr>
        <w:pStyle w:val="Normalny2"/>
        <w:widowControl w:val="0"/>
        <w:numPr>
          <w:ilvl w:val="0"/>
          <w:numId w:val="200"/>
        </w:numPr>
        <w:pBdr>
          <w:top w:val="nil"/>
          <w:left w:val="nil"/>
          <w:bottom w:val="nil"/>
          <w:right w:val="nil"/>
          <w:between w:val="nil"/>
        </w:pBdr>
        <w:jc w:val="both"/>
        <w:rPr>
          <w:sz w:val="18"/>
          <w:szCs w:val="18"/>
        </w:rPr>
      </w:pPr>
      <w:r w:rsidRPr="00C86F6B">
        <w:rPr>
          <w:sz w:val="18"/>
          <w:szCs w:val="18"/>
        </w:rPr>
        <w:t>PN-EN 12620+A1Kruszywa do betonu;</w:t>
      </w:r>
    </w:p>
    <w:p w14:paraId="4D81CC55" w14:textId="77777777" w:rsidR="008C656F" w:rsidRPr="00C86F6B" w:rsidRDefault="008C656F" w:rsidP="00262498">
      <w:pPr>
        <w:pStyle w:val="Normalny2"/>
        <w:widowControl w:val="0"/>
        <w:numPr>
          <w:ilvl w:val="0"/>
          <w:numId w:val="200"/>
        </w:numPr>
        <w:pBdr>
          <w:top w:val="nil"/>
          <w:left w:val="nil"/>
          <w:bottom w:val="nil"/>
          <w:right w:val="nil"/>
          <w:between w:val="nil"/>
        </w:pBdr>
        <w:jc w:val="both"/>
        <w:rPr>
          <w:sz w:val="18"/>
          <w:szCs w:val="18"/>
        </w:rPr>
      </w:pPr>
      <w:r w:rsidRPr="00C86F6B">
        <w:rPr>
          <w:sz w:val="18"/>
          <w:szCs w:val="18"/>
        </w:rPr>
        <w:t>PN-EN 13139</w:t>
      </w:r>
      <w:r w:rsidRPr="00C86F6B">
        <w:rPr>
          <w:sz w:val="18"/>
          <w:szCs w:val="18"/>
        </w:rPr>
        <w:tab/>
        <w:t>Kruszywa do zaprawy;</w:t>
      </w:r>
    </w:p>
    <w:p w14:paraId="0788C66E" w14:textId="77777777" w:rsidR="008C656F" w:rsidRPr="00C86F6B" w:rsidRDefault="008C656F" w:rsidP="00262498">
      <w:pPr>
        <w:pStyle w:val="Normalny2"/>
        <w:widowControl w:val="0"/>
        <w:numPr>
          <w:ilvl w:val="0"/>
          <w:numId w:val="200"/>
        </w:numPr>
        <w:pBdr>
          <w:top w:val="nil"/>
          <w:left w:val="nil"/>
          <w:bottom w:val="nil"/>
          <w:right w:val="nil"/>
          <w:between w:val="nil"/>
        </w:pBdr>
        <w:jc w:val="both"/>
        <w:rPr>
          <w:sz w:val="18"/>
          <w:szCs w:val="18"/>
        </w:rPr>
      </w:pPr>
      <w:bookmarkStart w:id="152" w:name="_heading=h.4cmhg48" w:colFirst="0" w:colLast="0"/>
      <w:bookmarkEnd w:id="152"/>
      <w:r w:rsidRPr="00C86F6B">
        <w:rPr>
          <w:sz w:val="18"/>
          <w:szCs w:val="18"/>
        </w:rPr>
        <w:t>PN-EN 13242+A1Kruszywa do niezwiązanych i związanych hydraulicznie materiałów stosowanych</w:t>
      </w:r>
      <w:r w:rsidRPr="00C86F6B">
        <w:rPr>
          <w:sz w:val="18"/>
          <w:szCs w:val="18"/>
        </w:rPr>
        <w:tab/>
      </w:r>
      <w:r w:rsidRPr="00C86F6B">
        <w:rPr>
          <w:sz w:val="18"/>
          <w:szCs w:val="18"/>
        </w:rPr>
        <w:tab/>
      </w:r>
      <w:r w:rsidRPr="00C86F6B">
        <w:rPr>
          <w:sz w:val="18"/>
          <w:szCs w:val="18"/>
        </w:rPr>
        <w:tab/>
        <w:t>w obiektach budowlanych i budownictwie drogowym;</w:t>
      </w:r>
    </w:p>
    <w:p w14:paraId="25310C81" w14:textId="77777777" w:rsidR="008C656F" w:rsidRPr="00A23FB4" w:rsidRDefault="008C656F" w:rsidP="008C656F">
      <w:pPr>
        <w:pStyle w:val="Normalny2"/>
        <w:keepNext/>
        <w:pBdr>
          <w:top w:val="nil"/>
          <w:left w:val="nil"/>
          <w:bottom w:val="nil"/>
          <w:right w:val="nil"/>
          <w:between w:val="nil"/>
        </w:pBdr>
        <w:spacing w:before="120" w:after="120"/>
        <w:jc w:val="both"/>
        <w:rPr>
          <w:b/>
        </w:rPr>
      </w:pPr>
      <w:r w:rsidRPr="00A23FB4">
        <w:rPr>
          <w:b/>
        </w:rPr>
        <w:t>10.2. Inne dokumenty</w:t>
      </w:r>
    </w:p>
    <w:p w14:paraId="65B98096" w14:textId="77777777" w:rsidR="008C656F" w:rsidRPr="00C86F6B" w:rsidRDefault="008C656F" w:rsidP="00262498">
      <w:pPr>
        <w:pStyle w:val="Normalny2"/>
        <w:widowControl w:val="0"/>
        <w:numPr>
          <w:ilvl w:val="0"/>
          <w:numId w:val="201"/>
        </w:numPr>
        <w:pBdr>
          <w:top w:val="nil"/>
          <w:left w:val="nil"/>
          <w:bottom w:val="nil"/>
          <w:right w:val="nil"/>
          <w:between w:val="nil"/>
        </w:pBdr>
        <w:jc w:val="both"/>
        <w:rPr>
          <w:sz w:val="18"/>
          <w:szCs w:val="18"/>
        </w:rPr>
      </w:pPr>
      <w:r w:rsidRPr="00C86F6B">
        <w:rPr>
          <w:sz w:val="18"/>
          <w:szCs w:val="18"/>
        </w:rPr>
        <w:t>Ustawa z dnia 7 lipca 1994 r. Prawo budowlane (tekst jedn. Dz.U.2020 r. poz. 1333);</w:t>
      </w:r>
    </w:p>
    <w:p w14:paraId="1886DE86" w14:textId="77777777" w:rsidR="008C656F" w:rsidRPr="00C86F6B" w:rsidRDefault="008C656F" w:rsidP="00262498">
      <w:pPr>
        <w:pStyle w:val="Normalny2"/>
        <w:widowControl w:val="0"/>
        <w:numPr>
          <w:ilvl w:val="0"/>
          <w:numId w:val="201"/>
        </w:numPr>
        <w:pBdr>
          <w:top w:val="nil"/>
          <w:left w:val="nil"/>
          <w:bottom w:val="nil"/>
          <w:right w:val="nil"/>
          <w:between w:val="nil"/>
        </w:pBdr>
        <w:jc w:val="both"/>
        <w:rPr>
          <w:sz w:val="18"/>
          <w:szCs w:val="18"/>
        </w:rPr>
      </w:pPr>
      <w:r w:rsidRPr="00C86F6B">
        <w:rPr>
          <w:sz w:val="18"/>
          <w:szCs w:val="18"/>
        </w:rPr>
        <w:t>Ustawa z dnia 20 lipca 2017 r. Prawo wodne (tekst jedn. Dz. U. 2020 r. poz. 310);</w:t>
      </w:r>
    </w:p>
    <w:p w14:paraId="091380F7" w14:textId="77777777" w:rsidR="008C656F" w:rsidRPr="00C86F6B" w:rsidRDefault="008C656F" w:rsidP="00262498">
      <w:pPr>
        <w:pStyle w:val="Normalny2"/>
        <w:widowControl w:val="0"/>
        <w:numPr>
          <w:ilvl w:val="0"/>
          <w:numId w:val="201"/>
        </w:numPr>
        <w:pBdr>
          <w:top w:val="nil"/>
          <w:left w:val="nil"/>
          <w:bottom w:val="nil"/>
          <w:right w:val="nil"/>
          <w:between w:val="nil"/>
        </w:pBdr>
        <w:jc w:val="both"/>
        <w:rPr>
          <w:sz w:val="18"/>
          <w:szCs w:val="18"/>
        </w:rPr>
      </w:pPr>
      <w:r w:rsidRPr="00C86F6B">
        <w:rPr>
          <w:sz w:val="18"/>
          <w:szCs w:val="18"/>
        </w:rPr>
        <w:t>Ustawa z dnia 27 kwietnia 2001 r. Prawo ochrony środowiska (tekst jedn. Dz. U. 2020 r. poz. 1219);</w:t>
      </w:r>
    </w:p>
    <w:p w14:paraId="4C4745BE" w14:textId="77777777" w:rsidR="008C656F" w:rsidRPr="00C86F6B" w:rsidRDefault="008C656F" w:rsidP="00262498">
      <w:pPr>
        <w:pStyle w:val="Normalny2"/>
        <w:widowControl w:val="0"/>
        <w:numPr>
          <w:ilvl w:val="0"/>
          <w:numId w:val="201"/>
        </w:numPr>
        <w:pBdr>
          <w:top w:val="nil"/>
          <w:left w:val="nil"/>
          <w:bottom w:val="nil"/>
          <w:right w:val="nil"/>
          <w:between w:val="nil"/>
        </w:pBdr>
        <w:jc w:val="both"/>
        <w:rPr>
          <w:sz w:val="18"/>
          <w:szCs w:val="18"/>
        </w:rPr>
      </w:pPr>
      <w:r w:rsidRPr="00C86F6B">
        <w:rPr>
          <w:sz w:val="18"/>
          <w:szCs w:val="18"/>
        </w:rPr>
        <w:t>Ustawa z dnia 7 czerwca 2001 r. o zbiorowym zaopatrzeniu w wodę i zbiorowym odprowadzaniu ścieków (tekst jedn. Dz. U. 2020 r. poz. 2028);</w:t>
      </w:r>
    </w:p>
    <w:p w14:paraId="654B64D6" w14:textId="77777777" w:rsidR="008C656F" w:rsidRPr="00C86F6B" w:rsidRDefault="008C656F" w:rsidP="00262498">
      <w:pPr>
        <w:pStyle w:val="Normalny2"/>
        <w:widowControl w:val="0"/>
        <w:numPr>
          <w:ilvl w:val="0"/>
          <w:numId w:val="201"/>
        </w:numPr>
        <w:pBdr>
          <w:top w:val="nil"/>
          <w:left w:val="nil"/>
          <w:bottom w:val="nil"/>
          <w:right w:val="nil"/>
          <w:between w:val="nil"/>
        </w:pBdr>
        <w:jc w:val="both"/>
        <w:rPr>
          <w:sz w:val="18"/>
          <w:szCs w:val="18"/>
        </w:rPr>
      </w:pPr>
      <w:r w:rsidRPr="00C86F6B">
        <w:rPr>
          <w:sz w:val="18"/>
          <w:szCs w:val="18"/>
        </w:rPr>
        <w:t xml:space="preserve">Ustawa z dnia 14 grudnia 2012 r. o odpadach (tekst jedn. Dz. U. 2020 r. poz. 797); </w:t>
      </w:r>
    </w:p>
    <w:p w14:paraId="18684547" w14:textId="77777777" w:rsidR="008C656F" w:rsidRPr="00C86F6B" w:rsidRDefault="008C656F" w:rsidP="00262498">
      <w:pPr>
        <w:pStyle w:val="Normalny2"/>
        <w:widowControl w:val="0"/>
        <w:numPr>
          <w:ilvl w:val="0"/>
          <w:numId w:val="201"/>
        </w:numPr>
        <w:pBdr>
          <w:top w:val="nil"/>
          <w:left w:val="nil"/>
          <w:bottom w:val="nil"/>
          <w:right w:val="nil"/>
          <w:between w:val="nil"/>
        </w:pBdr>
        <w:jc w:val="both"/>
        <w:rPr>
          <w:sz w:val="18"/>
          <w:szCs w:val="18"/>
        </w:rPr>
      </w:pPr>
      <w:r w:rsidRPr="00C86F6B">
        <w:rPr>
          <w:sz w:val="18"/>
          <w:szCs w:val="18"/>
        </w:rPr>
        <w:t>Ustawa z dnia 16 kwietnia 2004 r. o wyrobach budowlanych (tekst jedn. Dz. U. 2020 r. poz. 215);</w:t>
      </w:r>
    </w:p>
    <w:p w14:paraId="73367EF8" w14:textId="77777777" w:rsidR="008C656F" w:rsidRPr="00C86F6B" w:rsidRDefault="008C656F" w:rsidP="00262498">
      <w:pPr>
        <w:pStyle w:val="Normalny2"/>
        <w:widowControl w:val="0"/>
        <w:numPr>
          <w:ilvl w:val="0"/>
          <w:numId w:val="201"/>
        </w:numPr>
        <w:pBdr>
          <w:top w:val="nil"/>
          <w:left w:val="nil"/>
          <w:bottom w:val="nil"/>
          <w:right w:val="nil"/>
          <w:between w:val="nil"/>
        </w:pBdr>
        <w:jc w:val="both"/>
        <w:rPr>
          <w:sz w:val="18"/>
          <w:szCs w:val="18"/>
        </w:rPr>
      </w:pPr>
      <w:r w:rsidRPr="00C86F6B">
        <w:rPr>
          <w:sz w:val="18"/>
          <w:szCs w:val="18"/>
        </w:rPr>
        <w:t>Rozporządzenie Ministra Gospodarki Morskiej i Żeglugi Śródlądowej z dnia 12 lipca 2019 r. w sprawie substancji szkodliwych dla środowiska wodnego oraz warunków, jakie należy spełnić przy wprowadzaniu do wód lub do ziemi ścieków, a także przy odprowadzaniu wód opadowych lub roztopowych do wód lub do urządzeń wodnych (Dz. U. 2019 r. poz. 1311);</w:t>
      </w:r>
    </w:p>
    <w:p w14:paraId="0CB1E98E" w14:textId="77777777" w:rsidR="008C656F" w:rsidRPr="00C86F6B" w:rsidRDefault="008C656F" w:rsidP="00262498">
      <w:pPr>
        <w:pStyle w:val="Normalny2"/>
        <w:widowControl w:val="0"/>
        <w:numPr>
          <w:ilvl w:val="0"/>
          <w:numId w:val="201"/>
        </w:numPr>
        <w:pBdr>
          <w:top w:val="nil"/>
          <w:left w:val="nil"/>
          <w:bottom w:val="nil"/>
          <w:right w:val="nil"/>
          <w:between w:val="nil"/>
        </w:pBdr>
        <w:jc w:val="both"/>
        <w:rPr>
          <w:sz w:val="18"/>
          <w:szCs w:val="18"/>
        </w:rPr>
      </w:pPr>
      <w:r w:rsidRPr="00C86F6B">
        <w:rPr>
          <w:sz w:val="18"/>
          <w:szCs w:val="18"/>
        </w:rPr>
        <w:t>Rozporządzenie Ministra Transportu i Gospodarki Morskiej z dnia 2 marca 1999 r. w sprawie warunków technicznych, jakim powinny odpowiadać drogi publiczne i ich usytuowanie (tekst jedn. Dz. U. 2016 r. poz. 124 z późn. zm.);</w:t>
      </w:r>
    </w:p>
    <w:p w14:paraId="2059B0FF" w14:textId="77777777" w:rsidR="008C656F" w:rsidRPr="00C86F6B" w:rsidRDefault="008C656F" w:rsidP="00262498">
      <w:pPr>
        <w:pStyle w:val="Normalny2"/>
        <w:widowControl w:val="0"/>
        <w:numPr>
          <w:ilvl w:val="0"/>
          <w:numId w:val="201"/>
        </w:numPr>
        <w:pBdr>
          <w:top w:val="nil"/>
          <w:left w:val="nil"/>
          <w:bottom w:val="nil"/>
          <w:right w:val="nil"/>
          <w:between w:val="nil"/>
        </w:pBdr>
        <w:jc w:val="both"/>
        <w:rPr>
          <w:sz w:val="18"/>
          <w:szCs w:val="18"/>
        </w:rPr>
      </w:pPr>
      <w:r w:rsidRPr="00C86F6B">
        <w:rPr>
          <w:sz w:val="18"/>
          <w:szCs w:val="18"/>
        </w:rPr>
        <w:t>Rozporządzenie Ministra Gospodarki z dnia 26 kwietnia 2013 r. w sprawie warunków technicznych, jakim powinny odpowiadać sieci gazowe i ich usytuowanie (Dz. U. 2013 r. poz. 640);</w:t>
      </w:r>
    </w:p>
    <w:p w14:paraId="2BE7FA42" w14:textId="77777777" w:rsidR="008C656F" w:rsidRPr="00C86F6B" w:rsidRDefault="008C656F" w:rsidP="00262498">
      <w:pPr>
        <w:pStyle w:val="Normalny2"/>
        <w:widowControl w:val="0"/>
        <w:numPr>
          <w:ilvl w:val="0"/>
          <w:numId w:val="201"/>
        </w:numPr>
        <w:pBdr>
          <w:top w:val="nil"/>
          <w:left w:val="nil"/>
          <w:bottom w:val="nil"/>
          <w:right w:val="nil"/>
          <w:between w:val="nil"/>
        </w:pBdr>
        <w:jc w:val="both"/>
        <w:rPr>
          <w:sz w:val="18"/>
          <w:szCs w:val="18"/>
        </w:rPr>
      </w:pPr>
      <w:r w:rsidRPr="00C86F6B">
        <w:rPr>
          <w:sz w:val="18"/>
          <w:szCs w:val="18"/>
        </w:rPr>
        <w:t>Rozporządzenie Ministra Infrastruktury z dnia 12 kwietnia 2002 r. w sprawie warunków technicznych, jakim powinny odpowiadać budynki i ich usytuowanie (tekst jedn. Dz. U. 2019 r. poz. 1065);</w:t>
      </w:r>
    </w:p>
    <w:p w14:paraId="7D7884B9" w14:textId="77777777" w:rsidR="008C656F" w:rsidRPr="00C86F6B" w:rsidRDefault="008C656F" w:rsidP="00262498">
      <w:pPr>
        <w:pStyle w:val="Normalny2"/>
        <w:widowControl w:val="0"/>
        <w:numPr>
          <w:ilvl w:val="0"/>
          <w:numId w:val="201"/>
        </w:numPr>
        <w:pBdr>
          <w:top w:val="nil"/>
          <w:left w:val="nil"/>
          <w:bottom w:val="nil"/>
          <w:right w:val="nil"/>
          <w:between w:val="nil"/>
        </w:pBdr>
        <w:jc w:val="both"/>
        <w:rPr>
          <w:sz w:val="18"/>
          <w:szCs w:val="18"/>
        </w:rPr>
      </w:pPr>
      <w:r w:rsidRPr="00C86F6B">
        <w:rPr>
          <w:sz w:val="18"/>
          <w:szCs w:val="18"/>
        </w:rPr>
        <w:t>Rozporządzenie Ministra Infrastruktury z dnia 6 lutego 2003 r. w sprawie bezpieczeństwa i higieny pracy podczas wykonywania robót budowlanych (Dz. U. 2003 r. nr 47 poz. 401);</w:t>
      </w:r>
    </w:p>
    <w:p w14:paraId="1388A9BE" w14:textId="77777777" w:rsidR="008C656F" w:rsidRPr="00C86F6B" w:rsidRDefault="008C656F" w:rsidP="00262498">
      <w:pPr>
        <w:pStyle w:val="Normalny2"/>
        <w:widowControl w:val="0"/>
        <w:numPr>
          <w:ilvl w:val="0"/>
          <w:numId w:val="201"/>
        </w:numPr>
        <w:pBdr>
          <w:top w:val="nil"/>
          <w:left w:val="nil"/>
          <w:bottom w:val="nil"/>
          <w:right w:val="nil"/>
          <w:between w:val="nil"/>
        </w:pBdr>
        <w:jc w:val="both"/>
        <w:rPr>
          <w:sz w:val="18"/>
          <w:szCs w:val="18"/>
        </w:rPr>
      </w:pPr>
      <w:r w:rsidRPr="00C86F6B">
        <w:rPr>
          <w:sz w:val="18"/>
          <w:szCs w:val="18"/>
        </w:rPr>
        <w:t>Rozporządzenie Ministra Pracy i Polityki Socjalnej z dnia 26 września 1997 r. w sprawie ogólnych przepisów bezpieczeństwa i higieny pracy (tekst jedn. Dz. U. 2003 r. nr 169 poz. 1650 z późn. zm.);</w:t>
      </w:r>
    </w:p>
    <w:p w14:paraId="7CE48D4D" w14:textId="77777777" w:rsidR="008C656F" w:rsidRPr="00C86F6B" w:rsidRDefault="008C656F" w:rsidP="00262498">
      <w:pPr>
        <w:pStyle w:val="Normalny2"/>
        <w:widowControl w:val="0"/>
        <w:numPr>
          <w:ilvl w:val="0"/>
          <w:numId w:val="201"/>
        </w:numPr>
        <w:pBdr>
          <w:top w:val="nil"/>
          <w:left w:val="nil"/>
          <w:bottom w:val="nil"/>
          <w:right w:val="nil"/>
          <w:between w:val="nil"/>
        </w:pBdr>
        <w:jc w:val="both"/>
        <w:rPr>
          <w:sz w:val="18"/>
          <w:szCs w:val="18"/>
        </w:rPr>
      </w:pPr>
      <w:r w:rsidRPr="00C86F6B">
        <w:rPr>
          <w:sz w:val="18"/>
          <w:szCs w:val="18"/>
        </w:rPr>
        <w:t>Rozporządzenie Ministra Gospodarki Przestrzennej i Budownictwa z dnia 1 października 1993 r. w sprawie bezpieczeństwa i higieny pracy przy eksploatacji, remontach i konserwacji sieci kanalizacyjnych (Dz. U. 1993 r. nr 96 poz. 437);</w:t>
      </w:r>
    </w:p>
    <w:p w14:paraId="670DB469" w14:textId="77777777" w:rsidR="008C656F" w:rsidRPr="00C86F6B" w:rsidRDefault="008C656F" w:rsidP="00262498">
      <w:pPr>
        <w:pStyle w:val="Normalny2"/>
        <w:widowControl w:val="0"/>
        <w:numPr>
          <w:ilvl w:val="0"/>
          <w:numId w:val="201"/>
        </w:numPr>
        <w:pBdr>
          <w:top w:val="nil"/>
          <w:left w:val="nil"/>
          <w:bottom w:val="nil"/>
          <w:right w:val="nil"/>
          <w:between w:val="nil"/>
        </w:pBdr>
        <w:jc w:val="both"/>
        <w:rPr>
          <w:sz w:val="18"/>
          <w:szCs w:val="18"/>
        </w:rPr>
      </w:pPr>
      <w:r w:rsidRPr="00C86F6B">
        <w:rPr>
          <w:sz w:val="18"/>
          <w:szCs w:val="18"/>
        </w:rPr>
        <w:t>Rozporządzenie Ministra Infrastruktury i Budownictwa z dnia 17 listopada 2016 r. w sprawie sposobu deklarowania właściwości użytkowych wyrobów budowlanych oraz sposobu znakowania ich znakiem budowlanym (Dz. U. 2016 r. poz. 1966 z późn. zm.);</w:t>
      </w:r>
    </w:p>
    <w:p w14:paraId="0C24477D" w14:textId="5AACA5D1" w:rsidR="008C656F" w:rsidRPr="00C86F6B" w:rsidRDefault="008C656F" w:rsidP="00262498">
      <w:pPr>
        <w:pStyle w:val="Normalny2"/>
        <w:widowControl w:val="0"/>
        <w:numPr>
          <w:ilvl w:val="0"/>
          <w:numId w:val="201"/>
        </w:numPr>
        <w:pBdr>
          <w:top w:val="nil"/>
          <w:left w:val="nil"/>
          <w:bottom w:val="nil"/>
          <w:right w:val="nil"/>
          <w:between w:val="nil"/>
        </w:pBdr>
        <w:jc w:val="both"/>
        <w:rPr>
          <w:sz w:val="18"/>
          <w:szCs w:val="18"/>
        </w:rPr>
      </w:pPr>
      <w:r w:rsidRPr="00C86F6B">
        <w:rPr>
          <w:sz w:val="18"/>
          <w:szCs w:val="18"/>
        </w:rPr>
        <w:t>Rozporządzenie Ministra Infrastruktury i Budownictwa z dnia 17 listopada 2016 r. w sprawie krajowych ocen technicznych (Dz. U. 2016 r. poz. 1968);</w:t>
      </w:r>
      <w:bookmarkStart w:id="153" w:name="_heading=h.2rrrqc1" w:colFirst="0" w:colLast="0"/>
      <w:bookmarkEnd w:id="153"/>
      <w:r w:rsidR="005841C2" w:rsidRPr="00C86F6B">
        <w:rPr>
          <w:sz w:val="18"/>
          <w:szCs w:val="18"/>
        </w:rPr>
        <w:t xml:space="preserve"> </w:t>
      </w:r>
      <w:r w:rsidRPr="00C86F6B">
        <w:rPr>
          <w:rFonts w:asciiTheme="minorHAnsi" w:hAnsiTheme="minorHAnsi"/>
          <w:sz w:val="18"/>
          <w:szCs w:val="18"/>
        </w:rPr>
        <w:t>Warunki Techniczne Wykonania i Odbioru Sieci Kanalizacyjnych zalecone do stosowania przez Ministerstwo Infrastruktury; Warszawa 2003r</w:t>
      </w:r>
    </w:p>
    <w:p w14:paraId="66D74F50" w14:textId="77777777" w:rsidR="008C656F" w:rsidRPr="00C86F6B" w:rsidRDefault="008C656F">
      <w:pPr>
        <w:overflowPunct/>
        <w:autoSpaceDE/>
        <w:autoSpaceDN/>
        <w:adjustRightInd/>
        <w:jc w:val="left"/>
        <w:textAlignment w:val="auto"/>
        <w:rPr>
          <w:rFonts w:asciiTheme="minorHAnsi" w:hAnsiTheme="minorHAnsi"/>
          <w:sz w:val="18"/>
          <w:szCs w:val="18"/>
        </w:rPr>
      </w:pPr>
      <w:r w:rsidRPr="00C86F6B">
        <w:rPr>
          <w:rFonts w:asciiTheme="minorHAnsi" w:hAnsiTheme="minorHAnsi"/>
          <w:sz w:val="18"/>
          <w:szCs w:val="18"/>
        </w:rPr>
        <w:br w:type="page"/>
      </w:r>
    </w:p>
    <w:p w14:paraId="38DFB7A0" w14:textId="4AB94E19" w:rsidR="00BA1D9A" w:rsidRDefault="00BA1D9A" w:rsidP="00BA1D9A">
      <w:pPr>
        <w:spacing w:line="360" w:lineRule="auto"/>
        <w:jc w:val="center"/>
        <w:rPr>
          <w:rFonts w:asciiTheme="minorHAnsi" w:hAnsiTheme="minorHAnsi" w:cstheme="minorHAnsi"/>
          <w:b/>
          <w:smallCaps/>
          <w:sz w:val="22"/>
          <w:szCs w:val="22"/>
        </w:rPr>
      </w:pPr>
      <w:bookmarkStart w:id="154" w:name="_Toc520814061"/>
      <w:bookmarkStart w:id="155" w:name="_Toc139954326"/>
      <w:r w:rsidRPr="00A23FB4">
        <w:rPr>
          <w:rFonts w:asciiTheme="minorHAnsi" w:hAnsiTheme="minorHAnsi" w:cstheme="minorHAnsi"/>
          <w:b/>
          <w:smallCaps/>
          <w:sz w:val="22"/>
          <w:szCs w:val="22"/>
        </w:rPr>
        <w:t>WYTYCZNE WYKONANIA I ODBIORU ROBÓT BUDOWLANYCH</w:t>
      </w:r>
    </w:p>
    <w:p w14:paraId="22879662" w14:textId="77777777" w:rsidR="00BA1D9A" w:rsidRPr="00BA1D9A" w:rsidRDefault="00BA1D9A" w:rsidP="00BA1D9A">
      <w:pPr>
        <w:pStyle w:val="Nagwek1"/>
        <w:spacing w:before="0"/>
        <w:rPr>
          <w:rFonts w:asciiTheme="minorHAnsi" w:hAnsiTheme="minorHAnsi" w:cstheme="minorHAnsi"/>
          <w:caps w:val="0"/>
          <w:sz w:val="22"/>
          <w:szCs w:val="22"/>
        </w:rPr>
      </w:pPr>
      <w:bookmarkStart w:id="156" w:name="_Toc285044229"/>
      <w:bookmarkStart w:id="157" w:name="_Toc296923099"/>
      <w:bookmarkStart w:id="158" w:name="_Toc333441662"/>
      <w:bookmarkStart w:id="159" w:name="_Toc333657239"/>
      <w:bookmarkStart w:id="160" w:name="_Toc334095424"/>
      <w:bookmarkStart w:id="161" w:name="_Toc352837483"/>
      <w:bookmarkStart w:id="162" w:name="_Toc520814060"/>
      <w:bookmarkStart w:id="163" w:name="_Toc139954325"/>
      <w:bookmarkStart w:id="164" w:name="_Toc206275476"/>
      <w:r w:rsidRPr="00BA1D9A">
        <w:rPr>
          <w:rFonts w:asciiTheme="minorHAnsi" w:hAnsiTheme="minorHAnsi" w:cstheme="minorHAnsi"/>
          <w:caps w:val="0"/>
          <w:sz w:val="22"/>
          <w:szCs w:val="22"/>
        </w:rPr>
        <w:t>D-02.01.01 WYKONANIE WYKOPÓW W GRUNTACH NIESKALISTYCH</w:t>
      </w:r>
      <w:bookmarkEnd w:id="156"/>
      <w:bookmarkEnd w:id="157"/>
      <w:bookmarkEnd w:id="158"/>
      <w:bookmarkEnd w:id="159"/>
      <w:bookmarkEnd w:id="160"/>
      <w:bookmarkEnd w:id="161"/>
      <w:bookmarkEnd w:id="162"/>
      <w:bookmarkEnd w:id="163"/>
      <w:bookmarkEnd w:id="164"/>
    </w:p>
    <w:p w14:paraId="46A0EAE5" w14:textId="77777777" w:rsidR="00BA1D9A" w:rsidRPr="00BA1D9A" w:rsidRDefault="00BA1D9A" w:rsidP="00BA1D9A">
      <w:pPr>
        <w:pStyle w:val="Nagwek3"/>
        <w:tabs>
          <w:tab w:val="left" w:pos="9914"/>
        </w:tabs>
        <w:rPr>
          <w:rFonts w:asciiTheme="minorHAnsi" w:hAnsiTheme="minorHAnsi" w:cstheme="minorHAnsi"/>
        </w:rPr>
      </w:pPr>
      <w:bookmarkStart w:id="165" w:name="_Toc407161213"/>
      <w:bookmarkStart w:id="166" w:name="_Toc418994925"/>
      <w:bookmarkStart w:id="167" w:name="_Toc418996332"/>
      <w:bookmarkStart w:id="168" w:name="_Toc418996701"/>
      <w:bookmarkStart w:id="169" w:name="_Toc418997088"/>
      <w:bookmarkStart w:id="170" w:name="_Toc418998498"/>
      <w:bookmarkStart w:id="171" w:name="_Toc418998854"/>
      <w:bookmarkStart w:id="172" w:name="_Toc419000099"/>
      <w:r w:rsidRPr="00BA1D9A">
        <w:rPr>
          <w:rFonts w:asciiTheme="minorHAnsi" w:hAnsiTheme="minorHAnsi" w:cstheme="minorHAnsi"/>
        </w:rPr>
        <w:t>1. WSTĘP</w:t>
      </w:r>
      <w:bookmarkEnd w:id="165"/>
      <w:bookmarkEnd w:id="166"/>
      <w:bookmarkEnd w:id="167"/>
      <w:bookmarkEnd w:id="168"/>
      <w:bookmarkEnd w:id="169"/>
      <w:bookmarkEnd w:id="170"/>
      <w:bookmarkEnd w:id="171"/>
      <w:bookmarkEnd w:id="172"/>
    </w:p>
    <w:p w14:paraId="26601CFF" w14:textId="115610B7" w:rsidR="00BA1D9A" w:rsidRPr="00DE28CE" w:rsidRDefault="00BA1D9A" w:rsidP="00BA1D9A">
      <w:pPr>
        <w:pStyle w:val="Nagwek4"/>
        <w:tabs>
          <w:tab w:val="left" w:pos="9914"/>
        </w:tabs>
        <w:rPr>
          <w:rFonts w:asciiTheme="minorHAnsi" w:hAnsiTheme="minorHAnsi" w:cstheme="minorHAnsi"/>
        </w:rPr>
      </w:pPr>
      <w:bookmarkStart w:id="173" w:name="_Toc407161214"/>
      <w:r w:rsidRPr="00DE28CE">
        <w:rPr>
          <w:rFonts w:asciiTheme="minorHAnsi" w:hAnsiTheme="minorHAnsi" w:cstheme="minorHAnsi"/>
        </w:rPr>
        <w:t xml:space="preserve">1.1. Przedmiot </w:t>
      </w:r>
      <w:bookmarkEnd w:id="173"/>
      <w:r w:rsidR="00CA1B27" w:rsidRPr="00DE28CE">
        <w:rPr>
          <w:rFonts w:asciiTheme="minorHAnsi" w:hAnsiTheme="minorHAnsi" w:cstheme="minorHAnsi"/>
        </w:rPr>
        <w:t>ST</w:t>
      </w:r>
      <w:r w:rsidRPr="00DE28CE">
        <w:rPr>
          <w:rFonts w:asciiTheme="minorHAnsi" w:hAnsiTheme="minorHAnsi" w:cstheme="minorHAnsi"/>
        </w:rPr>
        <w:t>WiORB</w:t>
      </w:r>
    </w:p>
    <w:p w14:paraId="50453941" w14:textId="0EEB8ACC" w:rsidR="00BA1D9A" w:rsidRPr="00BA1D9A" w:rsidRDefault="00BA1D9A" w:rsidP="00BA1D9A">
      <w:pPr>
        <w:tabs>
          <w:tab w:val="left" w:pos="9914"/>
        </w:tabs>
        <w:rPr>
          <w:rFonts w:asciiTheme="minorHAnsi" w:hAnsiTheme="minorHAnsi" w:cstheme="minorHAnsi"/>
        </w:rPr>
      </w:pPr>
      <w:r w:rsidRPr="00BA1D9A">
        <w:rPr>
          <w:rFonts w:asciiTheme="minorHAnsi" w:hAnsiTheme="minorHAnsi" w:cstheme="minorHAnsi"/>
        </w:rPr>
        <w:t>Przedmiotem niniejsz</w:t>
      </w:r>
      <w:r w:rsidR="00DE28CE">
        <w:rPr>
          <w:rFonts w:asciiTheme="minorHAnsi" w:hAnsiTheme="minorHAnsi" w:cstheme="minorHAnsi"/>
        </w:rPr>
        <w:t>ej</w:t>
      </w:r>
      <w:r w:rsidRPr="00BA1D9A">
        <w:rPr>
          <w:rFonts w:asciiTheme="minorHAnsi" w:hAnsiTheme="minorHAnsi" w:cstheme="minorHAnsi"/>
        </w:rPr>
        <w:t xml:space="preserve"> </w:t>
      </w:r>
      <w:r w:rsidR="00CB3C1C">
        <w:rPr>
          <w:rFonts w:asciiTheme="minorHAnsi" w:hAnsiTheme="minorHAnsi" w:cstheme="minorHAnsi"/>
        </w:rPr>
        <w:t>specyfikacj</w:t>
      </w:r>
      <w:r w:rsidR="00DE28CE">
        <w:rPr>
          <w:rFonts w:asciiTheme="minorHAnsi" w:hAnsiTheme="minorHAnsi" w:cstheme="minorHAnsi"/>
        </w:rPr>
        <w:t>i</w:t>
      </w:r>
      <w:r w:rsidRPr="00BA1D9A">
        <w:rPr>
          <w:rFonts w:asciiTheme="minorHAnsi" w:hAnsiTheme="minorHAnsi" w:cstheme="minorHAnsi"/>
        </w:rPr>
        <w:t xml:space="preserve"> są wymagania dotyczące wykonania i odbioru wykopów w gruntach nieskalistych</w:t>
      </w:r>
    </w:p>
    <w:p w14:paraId="0AB24B8F" w14:textId="5B3FCE44" w:rsidR="00BA1D9A" w:rsidRPr="00DE28CE" w:rsidRDefault="00BA1D9A" w:rsidP="00BA1D9A">
      <w:pPr>
        <w:pStyle w:val="Nagwek4"/>
        <w:tabs>
          <w:tab w:val="left" w:pos="9914"/>
        </w:tabs>
        <w:rPr>
          <w:rFonts w:asciiTheme="minorHAnsi" w:hAnsiTheme="minorHAnsi" w:cstheme="minorHAnsi"/>
        </w:rPr>
      </w:pPr>
      <w:bookmarkStart w:id="174" w:name="_Toc407161215"/>
      <w:r w:rsidRPr="00DE28CE">
        <w:rPr>
          <w:rFonts w:asciiTheme="minorHAnsi" w:hAnsiTheme="minorHAnsi" w:cstheme="minorHAnsi"/>
        </w:rPr>
        <w:t xml:space="preserve">1.2. Zakres stosowania </w:t>
      </w:r>
      <w:bookmarkEnd w:id="174"/>
      <w:r w:rsidR="00CA1B27" w:rsidRPr="00DE28CE">
        <w:rPr>
          <w:rFonts w:asciiTheme="minorHAnsi" w:hAnsiTheme="minorHAnsi" w:cstheme="minorHAnsi"/>
        </w:rPr>
        <w:t>ST</w:t>
      </w:r>
      <w:r w:rsidRPr="00DE28CE">
        <w:rPr>
          <w:rFonts w:asciiTheme="minorHAnsi" w:hAnsiTheme="minorHAnsi" w:cstheme="minorHAnsi"/>
        </w:rPr>
        <w:t>WiORB</w:t>
      </w:r>
    </w:p>
    <w:p w14:paraId="190DB4AF" w14:textId="1E11B0D7" w:rsidR="00080A6F" w:rsidRDefault="00575C66" w:rsidP="00080A6F">
      <w:pPr>
        <w:overflowPunct/>
        <w:spacing w:before="240" w:line="276" w:lineRule="auto"/>
        <w:textAlignment w:val="auto"/>
        <w:rPr>
          <w:rFonts w:ascii="Calibri" w:hAnsi="Calibri" w:cs="Calibri"/>
        </w:rPr>
      </w:pPr>
      <w:bookmarkStart w:id="175" w:name="_Toc407161216"/>
      <w:r>
        <w:rPr>
          <w:rFonts w:ascii="Calibri" w:hAnsi="Calibri" w:cs="Calibri"/>
        </w:rPr>
        <w:t>Specyfikacj</w:t>
      </w:r>
      <w:r w:rsidR="00DE28CE">
        <w:rPr>
          <w:rFonts w:ascii="Calibri" w:hAnsi="Calibri" w:cs="Calibri"/>
        </w:rPr>
        <w:t>a</w:t>
      </w:r>
      <w:r w:rsidRPr="00BA1D9A">
        <w:rPr>
          <w:rFonts w:asciiTheme="minorHAnsi" w:hAnsiTheme="minorHAnsi" w:cstheme="minorHAnsi"/>
        </w:rPr>
        <w:t xml:space="preserve"> </w:t>
      </w:r>
      <w:r w:rsidR="00BA1D9A" w:rsidRPr="00BA1D9A">
        <w:rPr>
          <w:rFonts w:asciiTheme="minorHAnsi" w:hAnsiTheme="minorHAnsi" w:cstheme="minorHAnsi"/>
        </w:rPr>
        <w:t xml:space="preserve">stanowi dokument kontraktowy przy realizacji  zadania </w:t>
      </w:r>
      <w:r w:rsidR="00080A6F">
        <w:rPr>
          <w:rFonts w:ascii="Calibri" w:hAnsi="Calibri" w:cs="Calibri"/>
        </w:rPr>
        <w:t>„</w:t>
      </w:r>
      <w:r w:rsidR="001C2347" w:rsidRPr="001C2347">
        <w:rPr>
          <w:rFonts w:ascii="Calibri" w:hAnsi="Calibri" w:cs="Calibri"/>
        </w:rPr>
        <w:t>Rozbudowa ul. Wrocławskiej w ciągu drogi powiatowej w Tyńcu Małym wraz z rozbudową istniejącego skrzyżowania typu rondo na połączeniu dróg krajowych nr 35 i 35a oraz łącznika węzła Kobierzyce drogi S8e oraz infrastrukturą towarzyszącą w ramach zadania „Rozbudowa skrzyżowania typu rondo w ciągu DK35 koło m. Tyniec Mały usprawniająca skomunikowanie obszarów Podstrefy Wrocław – Kobierzyce TSSE EURO PARK WISŁOSAN”.</w:t>
      </w:r>
    </w:p>
    <w:p w14:paraId="1204CA41" w14:textId="77777777" w:rsidR="00080A6F" w:rsidRDefault="00080A6F" w:rsidP="00080A6F">
      <w:pPr>
        <w:rPr>
          <w:rFonts w:asciiTheme="minorHAnsi" w:hAnsiTheme="minorHAnsi" w:cstheme="minorHAnsi"/>
          <w:b/>
          <w:bCs/>
        </w:rPr>
      </w:pPr>
    </w:p>
    <w:p w14:paraId="01834145" w14:textId="564C28E0" w:rsidR="00BA1D9A" w:rsidRPr="00BA1D9A" w:rsidRDefault="00BA1D9A" w:rsidP="00080A6F">
      <w:pPr>
        <w:rPr>
          <w:rFonts w:asciiTheme="minorHAnsi" w:hAnsiTheme="minorHAnsi" w:cstheme="minorHAnsi"/>
          <w:b/>
          <w:bCs/>
        </w:rPr>
      </w:pPr>
      <w:r w:rsidRPr="00BA1D9A">
        <w:rPr>
          <w:rFonts w:asciiTheme="minorHAnsi" w:hAnsiTheme="minorHAnsi" w:cstheme="minorHAnsi"/>
          <w:b/>
          <w:bCs/>
        </w:rPr>
        <w:t xml:space="preserve">1.3. Zakres robót objętych </w:t>
      </w:r>
      <w:bookmarkEnd w:id="175"/>
      <w:r w:rsidR="001C2347">
        <w:rPr>
          <w:rFonts w:asciiTheme="minorHAnsi" w:hAnsiTheme="minorHAnsi" w:cstheme="minorHAnsi"/>
          <w:b/>
          <w:bCs/>
        </w:rPr>
        <w:t>ST</w:t>
      </w:r>
      <w:r w:rsidRPr="00BA1D9A">
        <w:rPr>
          <w:rFonts w:asciiTheme="minorHAnsi" w:hAnsiTheme="minorHAnsi" w:cstheme="minorHAnsi"/>
          <w:b/>
          <w:bCs/>
        </w:rPr>
        <w:t>WiORB</w:t>
      </w:r>
    </w:p>
    <w:p w14:paraId="236B9782" w14:textId="13B0CA46" w:rsidR="00BA1D9A" w:rsidRPr="00BA1D9A" w:rsidRDefault="00BA1D9A" w:rsidP="00BA1D9A">
      <w:pPr>
        <w:tabs>
          <w:tab w:val="left" w:pos="9914"/>
        </w:tabs>
        <w:rPr>
          <w:rFonts w:asciiTheme="minorHAnsi" w:hAnsiTheme="minorHAnsi" w:cstheme="minorHAnsi"/>
        </w:rPr>
      </w:pPr>
      <w:r w:rsidRPr="00BA1D9A">
        <w:rPr>
          <w:rFonts w:asciiTheme="minorHAnsi" w:hAnsiTheme="minorHAnsi" w:cstheme="minorHAnsi"/>
        </w:rPr>
        <w:t xml:space="preserve">Ustalenia zawarte w niniejszych </w:t>
      </w:r>
      <w:r w:rsidR="006707A0">
        <w:rPr>
          <w:rFonts w:asciiTheme="minorHAnsi" w:hAnsiTheme="minorHAnsi" w:cstheme="minorHAnsi"/>
        </w:rPr>
        <w:t>specyfikacji</w:t>
      </w:r>
      <w:r w:rsidRPr="00BA1D9A">
        <w:rPr>
          <w:rFonts w:asciiTheme="minorHAnsi" w:hAnsiTheme="minorHAnsi" w:cstheme="minorHAnsi"/>
        </w:rPr>
        <w:t xml:space="preserve"> dotyczą zasad prowadzenia robót ziemnych w czasie budowy lub modernizacji dróg i obejmują wykonanie wykopów w gruntach nieskalistych.</w:t>
      </w:r>
    </w:p>
    <w:p w14:paraId="71A02CD8" w14:textId="77777777" w:rsidR="00BA1D9A" w:rsidRPr="00BA1D9A" w:rsidRDefault="00BA1D9A" w:rsidP="00BA1D9A">
      <w:pPr>
        <w:pStyle w:val="Nagwek7"/>
        <w:tabs>
          <w:tab w:val="left" w:pos="9914"/>
        </w:tabs>
        <w:rPr>
          <w:rFonts w:asciiTheme="minorHAnsi" w:hAnsiTheme="minorHAnsi" w:cstheme="minorHAnsi"/>
          <w:i/>
        </w:rPr>
      </w:pPr>
      <w:r w:rsidRPr="00BA1D9A">
        <w:rPr>
          <w:rFonts w:asciiTheme="minorHAnsi" w:hAnsiTheme="minorHAnsi" w:cstheme="minorHAnsi"/>
          <w:b/>
          <w:bCs/>
        </w:rPr>
        <w:t>1.4.1.</w:t>
      </w:r>
      <w:r w:rsidRPr="00BA1D9A">
        <w:rPr>
          <w:rFonts w:asciiTheme="minorHAnsi" w:hAnsiTheme="minorHAnsi" w:cstheme="minorHAnsi"/>
        </w:rPr>
        <w:t>Budowla ziemna - budowla wykonana w gruncie lub z gruntu naturalnego lub z gruntu antropogenicznego spełniająca warunki stateczności i odwodnienia.</w:t>
      </w:r>
    </w:p>
    <w:p w14:paraId="28E53EE9" w14:textId="77777777" w:rsidR="00BA1D9A" w:rsidRPr="00BA1D9A" w:rsidRDefault="00BA1D9A" w:rsidP="00BA1D9A">
      <w:pPr>
        <w:pStyle w:val="Nagwek7"/>
        <w:tabs>
          <w:tab w:val="left" w:pos="9914"/>
        </w:tabs>
        <w:rPr>
          <w:rFonts w:asciiTheme="minorHAnsi" w:hAnsiTheme="minorHAnsi" w:cstheme="minorHAnsi"/>
          <w:i/>
        </w:rPr>
      </w:pPr>
      <w:r w:rsidRPr="00BA1D9A">
        <w:rPr>
          <w:rFonts w:asciiTheme="minorHAnsi" w:hAnsiTheme="minorHAnsi" w:cstheme="minorHAnsi"/>
          <w:b/>
          <w:bCs/>
        </w:rPr>
        <w:t>1.4.2.</w:t>
      </w:r>
      <w:r w:rsidRPr="00BA1D9A">
        <w:rPr>
          <w:rFonts w:asciiTheme="minorHAnsi" w:hAnsiTheme="minorHAnsi" w:cstheme="minorHAnsi"/>
        </w:rPr>
        <w:t>Głębokość wykopu - różnica rzędnej terenu i rzędnej robót ziemnych, wyznaczonych w osi wykopu.</w:t>
      </w:r>
    </w:p>
    <w:p w14:paraId="7DAB4A2E" w14:textId="77777777" w:rsidR="00BA1D9A" w:rsidRPr="00BA1D9A" w:rsidRDefault="00BA1D9A" w:rsidP="00BA1D9A">
      <w:pPr>
        <w:pStyle w:val="Nagwek7"/>
        <w:tabs>
          <w:tab w:val="left" w:pos="9914"/>
        </w:tabs>
        <w:rPr>
          <w:rFonts w:asciiTheme="minorHAnsi" w:hAnsiTheme="minorHAnsi" w:cstheme="minorHAnsi"/>
          <w:i/>
        </w:rPr>
      </w:pPr>
      <w:r w:rsidRPr="00BA1D9A">
        <w:rPr>
          <w:rFonts w:asciiTheme="minorHAnsi" w:hAnsiTheme="minorHAnsi" w:cstheme="minorHAnsi"/>
          <w:b/>
          <w:bCs/>
        </w:rPr>
        <w:t>1.4.3.</w:t>
      </w:r>
      <w:r w:rsidRPr="00BA1D9A">
        <w:rPr>
          <w:rFonts w:asciiTheme="minorHAnsi" w:hAnsiTheme="minorHAnsi" w:cstheme="minorHAnsi"/>
        </w:rPr>
        <w:t>Grunt nieskalisty - każdy grunt rodzimy, nie określony w punkcie 1.4.5 jako grunt skalisty</w:t>
      </w:r>
    </w:p>
    <w:p w14:paraId="2F49C93D" w14:textId="77777777" w:rsidR="00BA1D9A" w:rsidRPr="00BA1D9A" w:rsidRDefault="00BA1D9A" w:rsidP="00BA1D9A">
      <w:pPr>
        <w:pStyle w:val="Nagwek7"/>
        <w:tabs>
          <w:tab w:val="left" w:pos="9914"/>
        </w:tabs>
        <w:rPr>
          <w:rFonts w:asciiTheme="minorHAnsi" w:hAnsiTheme="minorHAnsi" w:cstheme="minorHAnsi"/>
          <w:i/>
        </w:rPr>
      </w:pPr>
      <w:r w:rsidRPr="00BA1D9A">
        <w:rPr>
          <w:rFonts w:asciiTheme="minorHAnsi" w:hAnsiTheme="minorHAnsi" w:cstheme="minorHAnsi"/>
          <w:b/>
          <w:bCs/>
        </w:rPr>
        <w:t>1.4.4.</w:t>
      </w:r>
      <w:r w:rsidRPr="00BA1D9A">
        <w:rPr>
          <w:rFonts w:asciiTheme="minorHAnsi" w:hAnsiTheme="minorHAnsi" w:cstheme="minorHAnsi"/>
        </w:rPr>
        <w:t>Grunt skalisty - grunt rodzimy, lity lub spękany o nieprzesuniętych blokach, którego próbki nie wykazują zmian objętości ani nie rozpadają się pod działaniem wody destylowanej; mają wytrzymałość na ściskanie R</w:t>
      </w:r>
      <w:r w:rsidRPr="00BA1D9A">
        <w:rPr>
          <w:rFonts w:asciiTheme="minorHAnsi" w:hAnsiTheme="minorHAnsi" w:cstheme="minorHAnsi"/>
          <w:vertAlign w:val="subscript"/>
        </w:rPr>
        <w:t>c</w:t>
      </w:r>
      <w:r w:rsidRPr="00BA1D9A">
        <w:rPr>
          <w:rFonts w:asciiTheme="minorHAnsi" w:hAnsiTheme="minorHAnsi" w:cstheme="minorHAnsi"/>
        </w:rPr>
        <w:t xml:space="preserve"> ponad 0,2 MPa; wymaga użycia środków wybuchowych albo narzędzi pneumatycznych lub hydraulicznych do odspojenia</w:t>
      </w:r>
    </w:p>
    <w:p w14:paraId="3CB9ECD2" w14:textId="77777777" w:rsidR="00BA1D9A" w:rsidRPr="00BA1D9A" w:rsidRDefault="00BA1D9A" w:rsidP="00BA1D9A">
      <w:pPr>
        <w:pStyle w:val="Nagwek7"/>
        <w:tabs>
          <w:tab w:val="left" w:pos="9914"/>
        </w:tabs>
        <w:rPr>
          <w:rFonts w:asciiTheme="minorHAnsi" w:hAnsiTheme="minorHAnsi" w:cstheme="minorHAnsi"/>
          <w:b/>
          <w:bCs/>
          <w:i/>
        </w:rPr>
      </w:pPr>
      <w:r w:rsidRPr="00BA1D9A">
        <w:rPr>
          <w:rFonts w:asciiTheme="minorHAnsi" w:hAnsiTheme="minorHAnsi" w:cstheme="minorHAnsi"/>
          <w:b/>
          <w:bCs/>
        </w:rPr>
        <w:t>1.4.5.</w:t>
      </w:r>
      <w:r w:rsidRPr="00BA1D9A">
        <w:rPr>
          <w:rFonts w:asciiTheme="minorHAnsi" w:hAnsiTheme="minorHAnsi" w:cstheme="minorHAnsi"/>
        </w:rPr>
        <w:t>Korpus drogowy - nasyp lub ta część wykopu, która jest ograniczona koroną drogi i skarpami rowów</w:t>
      </w:r>
    </w:p>
    <w:p w14:paraId="43BF0EF4" w14:textId="77777777" w:rsidR="00BA1D9A" w:rsidRPr="00BA1D9A" w:rsidRDefault="00BA1D9A" w:rsidP="00BA1D9A">
      <w:pPr>
        <w:pStyle w:val="Nagwek7"/>
        <w:tabs>
          <w:tab w:val="left" w:pos="9914"/>
        </w:tabs>
        <w:rPr>
          <w:rFonts w:asciiTheme="minorHAnsi" w:hAnsiTheme="minorHAnsi" w:cstheme="minorHAnsi"/>
          <w:b/>
          <w:bCs/>
          <w:i/>
        </w:rPr>
      </w:pPr>
      <w:r w:rsidRPr="00BA1D9A">
        <w:rPr>
          <w:rFonts w:asciiTheme="minorHAnsi" w:hAnsiTheme="minorHAnsi" w:cstheme="minorHAnsi"/>
          <w:b/>
          <w:bCs/>
        </w:rPr>
        <w:t>1.4.6.</w:t>
      </w:r>
      <w:r w:rsidRPr="00BA1D9A">
        <w:rPr>
          <w:rFonts w:asciiTheme="minorHAnsi" w:hAnsiTheme="minorHAnsi" w:cstheme="minorHAnsi"/>
        </w:rPr>
        <w:t>Odkład - miejsce wbudowania lub składowania (odwiezienia) gruntów pozyskanych w czasie wykonywania wykopów, a nie wykorzystanych do budowy nasypów oraz innych prac związanych z trasą drogową</w:t>
      </w:r>
    </w:p>
    <w:p w14:paraId="13AD783E" w14:textId="77777777" w:rsidR="00BA1D9A" w:rsidRPr="00BA1D9A" w:rsidRDefault="00BA1D9A" w:rsidP="00BA1D9A">
      <w:pPr>
        <w:pStyle w:val="Nagwek7"/>
        <w:tabs>
          <w:tab w:val="left" w:pos="9914"/>
        </w:tabs>
        <w:rPr>
          <w:rFonts w:asciiTheme="minorHAnsi" w:hAnsiTheme="minorHAnsi" w:cstheme="minorHAnsi"/>
          <w:i/>
        </w:rPr>
      </w:pPr>
      <w:r w:rsidRPr="00BA1D9A">
        <w:rPr>
          <w:rFonts w:asciiTheme="minorHAnsi" w:hAnsiTheme="minorHAnsi" w:cstheme="minorHAnsi"/>
          <w:b/>
          <w:bCs/>
        </w:rPr>
        <w:t>1.4.7.</w:t>
      </w:r>
      <w:r w:rsidRPr="00BA1D9A">
        <w:rPr>
          <w:rFonts w:asciiTheme="minorHAnsi" w:hAnsiTheme="minorHAnsi" w:cstheme="minorHAnsi"/>
        </w:rPr>
        <w:t xml:space="preserve"> Wskaźnik odkształcenia podłoża - wielkość charakteryzująca stan zagęszczenia gruntu, określona wg wzoru: </w:t>
      </w:r>
    </w:p>
    <w:p w14:paraId="00EA8E96" w14:textId="77777777" w:rsidR="00BA1D9A" w:rsidRPr="00BA1D9A" w:rsidRDefault="00BA1D9A" w:rsidP="00BA1D9A">
      <w:pPr>
        <w:pStyle w:val="Nagwek7"/>
        <w:tabs>
          <w:tab w:val="left" w:pos="9914"/>
        </w:tabs>
        <w:rPr>
          <w:rFonts w:asciiTheme="minorHAnsi" w:hAnsiTheme="minorHAnsi" w:cstheme="minorHAnsi"/>
          <w:i/>
        </w:rPr>
      </w:pPr>
      <w:r w:rsidRPr="00BA1D9A">
        <w:rPr>
          <w:rFonts w:asciiTheme="minorHAnsi" w:hAnsiTheme="minorHAnsi" w:cstheme="minorHAnsi"/>
          <w:position w:val="-26"/>
        </w:rPr>
        <w:object w:dxaOrig="735" w:dyaOrig="630" w14:anchorId="4E1D07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5pt;height:32.25pt" o:ole="">
            <v:imagedata r:id="rId10" o:title=""/>
          </v:shape>
          <o:OLEObject Type="Embed" ProgID="Equation.3" ShapeID="_x0000_i1025" DrawAspect="Content" ObjectID="_1819002580" r:id="rId11"/>
        </w:object>
      </w:r>
    </w:p>
    <w:p w14:paraId="416CBC7A" w14:textId="77777777" w:rsidR="00BA1D9A" w:rsidRPr="00BA1D9A" w:rsidRDefault="00BA1D9A" w:rsidP="00BA1D9A">
      <w:pPr>
        <w:pStyle w:val="Nagwek7"/>
        <w:tabs>
          <w:tab w:val="left" w:pos="9914"/>
        </w:tabs>
        <w:rPr>
          <w:rFonts w:asciiTheme="minorHAnsi" w:hAnsiTheme="minorHAnsi" w:cstheme="minorHAnsi"/>
          <w:i/>
        </w:rPr>
      </w:pPr>
      <w:r w:rsidRPr="00BA1D9A">
        <w:rPr>
          <w:rFonts w:asciiTheme="minorHAnsi" w:hAnsiTheme="minorHAnsi" w:cstheme="minorHAnsi"/>
        </w:rPr>
        <w:t>gdzie:</w:t>
      </w:r>
    </w:p>
    <w:p w14:paraId="03875FB4" w14:textId="77777777" w:rsidR="00BA1D9A" w:rsidRPr="00BA1D9A" w:rsidRDefault="00BA1D9A" w:rsidP="00BA1D9A">
      <w:pPr>
        <w:pStyle w:val="Nagwek7"/>
        <w:tabs>
          <w:tab w:val="left" w:pos="9914"/>
        </w:tabs>
        <w:rPr>
          <w:rFonts w:asciiTheme="minorHAnsi" w:hAnsiTheme="minorHAnsi" w:cstheme="minorHAnsi"/>
          <w:i/>
        </w:rPr>
      </w:pPr>
      <w:r w:rsidRPr="00BA1D9A">
        <w:rPr>
          <w:rFonts w:asciiTheme="minorHAnsi" w:hAnsiTheme="minorHAnsi" w:cstheme="minorHAnsi"/>
        </w:rPr>
        <w:t>E</w:t>
      </w:r>
      <w:r w:rsidRPr="00BA1D9A">
        <w:rPr>
          <w:rFonts w:asciiTheme="minorHAnsi" w:hAnsiTheme="minorHAnsi" w:cstheme="minorHAnsi"/>
          <w:vertAlign w:val="subscript"/>
        </w:rPr>
        <w:t xml:space="preserve">1 </w:t>
      </w:r>
      <w:r w:rsidRPr="00BA1D9A">
        <w:rPr>
          <w:rFonts w:asciiTheme="minorHAnsi" w:hAnsiTheme="minorHAnsi" w:cstheme="minorHAnsi"/>
        </w:rPr>
        <w:t>- moduł odkształcenia podłoża obliczony w pierwotnym cyklu obciążenia statycznego wg normy PN-S-02205:1998 (zał B),</w:t>
      </w:r>
    </w:p>
    <w:p w14:paraId="7B6F30FD" w14:textId="77777777" w:rsidR="00BA1D9A" w:rsidRPr="00BA1D9A" w:rsidRDefault="00BA1D9A" w:rsidP="00BA1D9A">
      <w:pPr>
        <w:pStyle w:val="Nagwek7"/>
        <w:tabs>
          <w:tab w:val="left" w:pos="9914"/>
        </w:tabs>
        <w:rPr>
          <w:rFonts w:asciiTheme="minorHAnsi" w:hAnsiTheme="minorHAnsi" w:cstheme="minorHAnsi"/>
          <w:i/>
        </w:rPr>
      </w:pPr>
      <w:r w:rsidRPr="00BA1D9A">
        <w:rPr>
          <w:rFonts w:asciiTheme="minorHAnsi" w:hAnsiTheme="minorHAnsi" w:cstheme="minorHAnsi"/>
        </w:rPr>
        <w:t>E</w:t>
      </w:r>
      <w:r w:rsidRPr="00BA1D9A">
        <w:rPr>
          <w:rFonts w:asciiTheme="minorHAnsi" w:hAnsiTheme="minorHAnsi" w:cstheme="minorHAnsi"/>
          <w:vertAlign w:val="subscript"/>
        </w:rPr>
        <w:t xml:space="preserve">2 </w:t>
      </w:r>
      <w:r w:rsidRPr="00BA1D9A">
        <w:rPr>
          <w:rFonts w:asciiTheme="minorHAnsi" w:hAnsiTheme="minorHAnsi" w:cstheme="minorHAnsi"/>
        </w:rPr>
        <w:t>- moduł odkształcenia podłoża obliczony we wtórnym cyklu obciążenia statycznego wg normy PN-S-02205:1998 (zał B).</w:t>
      </w:r>
    </w:p>
    <w:p w14:paraId="73B74761" w14:textId="77777777" w:rsidR="00BA1D9A" w:rsidRPr="00BA1D9A" w:rsidRDefault="00BA1D9A" w:rsidP="00BA1D9A">
      <w:pPr>
        <w:pStyle w:val="Nagwek7"/>
        <w:tabs>
          <w:tab w:val="left" w:pos="9914"/>
        </w:tabs>
        <w:rPr>
          <w:rFonts w:asciiTheme="minorHAnsi" w:hAnsiTheme="minorHAnsi" w:cstheme="minorHAnsi"/>
          <w:i/>
        </w:rPr>
      </w:pPr>
      <w:r w:rsidRPr="00BA1D9A">
        <w:rPr>
          <w:rFonts w:asciiTheme="minorHAnsi" w:hAnsiTheme="minorHAnsi" w:cstheme="minorHAnsi"/>
          <w:b/>
          <w:bCs/>
        </w:rPr>
        <w:t xml:space="preserve">1.4.8. </w:t>
      </w:r>
      <w:r w:rsidRPr="00BA1D9A">
        <w:rPr>
          <w:rFonts w:asciiTheme="minorHAnsi" w:hAnsiTheme="minorHAnsi" w:cstheme="minorHAnsi"/>
        </w:rPr>
        <w:t>Wskaźnik różnoziarnistości - wielkość charakteryzująca zagęszczalność gruntów niespoistych, określona wg wzoru:</w:t>
      </w:r>
    </w:p>
    <w:p w14:paraId="593A3C9D" w14:textId="77777777" w:rsidR="00BA1D9A" w:rsidRPr="00BA1D9A" w:rsidRDefault="00BA1D9A" w:rsidP="00BA1D9A">
      <w:pPr>
        <w:pStyle w:val="Nagwek7"/>
        <w:tabs>
          <w:tab w:val="left" w:pos="9914"/>
        </w:tabs>
        <w:rPr>
          <w:rFonts w:asciiTheme="minorHAnsi" w:hAnsiTheme="minorHAnsi" w:cstheme="minorHAnsi"/>
          <w:b/>
          <w:bCs/>
          <w:i/>
        </w:rPr>
      </w:pPr>
      <w:r w:rsidRPr="00BA1D9A">
        <w:rPr>
          <w:rFonts w:asciiTheme="minorHAnsi" w:hAnsiTheme="minorHAnsi" w:cstheme="minorHAnsi"/>
          <w:position w:val="-26"/>
        </w:rPr>
        <w:object w:dxaOrig="780" w:dyaOrig="630" w14:anchorId="4AB47410">
          <v:shape id="_x0000_i1026" type="#_x0000_t75" style="width:39.75pt;height:32.25pt" o:ole="">
            <v:imagedata r:id="rId12" o:title=""/>
          </v:shape>
          <o:OLEObject Type="Embed" ProgID="Equation.3" ShapeID="_x0000_i1026" DrawAspect="Content" ObjectID="_1819002581" r:id="rId13"/>
        </w:object>
      </w:r>
    </w:p>
    <w:p w14:paraId="2A342DED" w14:textId="77777777" w:rsidR="00BA1D9A" w:rsidRPr="00BA1D9A" w:rsidRDefault="00BA1D9A" w:rsidP="00BA1D9A">
      <w:pPr>
        <w:pStyle w:val="Nagwek7"/>
        <w:tabs>
          <w:tab w:val="left" w:pos="9914"/>
        </w:tabs>
        <w:rPr>
          <w:rFonts w:asciiTheme="minorHAnsi" w:hAnsiTheme="minorHAnsi" w:cstheme="minorHAnsi"/>
          <w:i/>
        </w:rPr>
      </w:pPr>
      <w:r w:rsidRPr="00BA1D9A">
        <w:rPr>
          <w:rFonts w:asciiTheme="minorHAnsi" w:hAnsiTheme="minorHAnsi" w:cstheme="minorHAnsi"/>
        </w:rPr>
        <w:t>gdzie:</w:t>
      </w:r>
    </w:p>
    <w:p w14:paraId="2ED29D3D" w14:textId="77777777" w:rsidR="00BA1D9A" w:rsidRPr="00BA1D9A" w:rsidRDefault="00BA1D9A" w:rsidP="00BA1D9A">
      <w:pPr>
        <w:pStyle w:val="Nagwek7"/>
        <w:tabs>
          <w:tab w:val="left" w:pos="9914"/>
        </w:tabs>
        <w:rPr>
          <w:rFonts w:asciiTheme="minorHAnsi" w:hAnsiTheme="minorHAnsi" w:cstheme="minorHAnsi"/>
          <w:i/>
        </w:rPr>
      </w:pPr>
      <w:r w:rsidRPr="00BA1D9A">
        <w:rPr>
          <w:rFonts w:asciiTheme="minorHAnsi" w:hAnsiTheme="minorHAnsi" w:cstheme="minorHAnsi"/>
        </w:rPr>
        <w:t>d</w:t>
      </w:r>
      <w:r w:rsidRPr="00BA1D9A">
        <w:rPr>
          <w:rFonts w:asciiTheme="minorHAnsi" w:hAnsiTheme="minorHAnsi" w:cstheme="minorHAnsi"/>
          <w:vertAlign w:val="subscript"/>
        </w:rPr>
        <w:t xml:space="preserve">60 </w:t>
      </w:r>
      <w:r w:rsidRPr="00BA1D9A">
        <w:rPr>
          <w:rFonts w:asciiTheme="minorHAnsi" w:hAnsiTheme="minorHAnsi" w:cstheme="minorHAnsi"/>
        </w:rPr>
        <w:t>- średnica zastępcza oczka sita, poniżej której w gruncie zawarte jest 60% masy, (mm),</w:t>
      </w:r>
    </w:p>
    <w:p w14:paraId="60E6F337" w14:textId="77777777" w:rsidR="00BA1D9A" w:rsidRPr="00BA1D9A" w:rsidRDefault="00BA1D9A" w:rsidP="00BA1D9A">
      <w:pPr>
        <w:tabs>
          <w:tab w:val="left" w:pos="9914"/>
        </w:tabs>
        <w:rPr>
          <w:rFonts w:asciiTheme="minorHAnsi" w:hAnsiTheme="minorHAnsi" w:cstheme="minorHAnsi"/>
        </w:rPr>
      </w:pPr>
    </w:p>
    <w:p w14:paraId="170D7ED1" w14:textId="77777777" w:rsidR="00BA1D9A" w:rsidRPr="00BA1D9A" w:rsidRDefault="00BA1D9A" w:rsidP="00BA1D9A">
      <w:pPr>
        <w:pStyle w:val="Nagwek7"/>
        <w:tabs>
          <w:tab w:val="left" w:pos="9914"/>
        </w:tabs>
        <w:rPr>
          <w:rFonts w:asciiTheme="minorHAnsi" w:hAnsiTheme="minorHAnsi" w:cstheme="minorHAnsi"/>
          <w:i/>
        </w:rPr>
      </w:pPr>
      <w:r w:rsidRPr="00BA1D9A">
        <w:rPr>
          <w:rFonts w:asciiTheme="minorHAnsi" w:hAnsiTheme="minorHAnsi" w:cstheme="minorHAnsi"/>
        </w:rPr>
        <w:t>d</w:t>
      </w:r>
      <w:r w:rsidRPr="00BA1D9A">
        <w:rPr>
          <w:rFonts w:asciiTheme="minorHAnsi" w:hAnsiTheme="minorHAnsi" w:cstheme="minorHAnsi"/>
          <w:vertAlign w:val="subscript"/>
        </w:rPr>
        <w:t>10</w:t>
      </w:r>
      <w:r w:rsidRPr="00BA1D9A">
        <w:rPr>
          <w:rFonts w:asciiTheme="minorHAnsi" w:hAnsiTheme="minorHAnsi" w:cstheme="minorHAnsi"/>
        </w:rPr>
        <w:t xml:space="preserve"> - średnica zastępcza oczka sita, poniżej której w gruncie zawarte jest 10% masy, (mm).</w:t>
      </w:r>
    </w:p>
    <w:p w14:paraId="7BC6D8BC" w14:textId="77777777" w:rsidR="00BA1D9A" w:rsidRPr="00BA1D9A" w:rsidRDefault="00BA1D9A" w:rsidP="00BA1D9A">
      <w:pPr>
        <w:pStyle w:val="Nagwek7"/>
        <w:tabs>
          <w:tab w:val="left" w:pos="9914"/>
        </w:tabs>
        <w:rPr>
          <w:rFonts w:asciiTheme="minorHAnsi" w:hAnsiTheme="minorHAnsi" w:cstheme="minorHAnsi"/>
          <w:i/>
        </w:rPr>
      </w:pPr>
      <w:r w:rsidRPr="00BA1D9A">
        <w:rPr>
          <w:rFonts w:asciiTheme="minorHAnsi" w:hAnsiTheme="minorHAnsi" w:cstheme="minorHAnsi"/>
          <w:b/>
          <w:bCs/>
        </w:rPr>
        <w:t xml:space="preserve">1.4.9. </w:t>
      </w:r>
      <w:r w:rsidRPr="00BA1D9A">
        <w:rPr>
          <w:rFonts w:asciiTheme="minorHAnsi" w:hAnsiTheme="minorHAnsi" w:cstheme="minorHAnsi"/>
        </w:rPr>
        <w:t xml:space="preserve">Wskaźnik zagęszczenia gruntu - wielkość charakteryzująca stan zagęszczenia gruntu, określona wg wzoru: </w:t>
      </w:r>
    </w:p>
    <w:p w14:paraId="1675A913" w14:textId="77777777" w:rsidR="00BA1D9A" w:rsidRPr="00BA1D9A" w:rsidRDefault="00BA1D9A" w:rsidP="00BA1D9A">
      <w:pPr>
        <w:pStyle w:val="Nagwek7"/>
        <w:tabs>
          <w:tab w:val="left" w:pos="9914"/>
        </w:tabs>
        <w:rPr>
          <w:rFonts w:asciiTheme="minorHAnsi" w:hAnsiTheme="minorHAnsi" w:cstheme="minorHAnsi"/>
          <w:i/>
        </w:rPr>
      </w:pPr>
      <w:r w:rsidRPr="00BA1D9A">
        <w:rPr>
          <w:rFonts w:asciiTheme="minorHAnsi" w:hAnsiTheme="minorHAnsi" w:cstheme="minorHAnsi"/>
          <w:position w:val="-26"/>
        </w:rPr>
        <w:object w:dxaOrig="780" w:dyaOrig="630" w14:anchorId="07D5721E">
          <v:shape id="_x0000_i1027" type="#_x0000_t75" style="width:39.75pt;height:32.25pt" o:ole="">
            <v:imagedata r:id="rId14" o:title=""/>
          </v:shape>
          <o:OLEObject Type="Embed" ProgID="Equation.3" ShapeID="_x0000_i1027" DrawAspect="Content" ObjectID="_1819002582" r:id="rId15"/>
        </w:object>
      </w:r>
    </w:p>
    <w:p w14:paraId="3AE3EC49" w14:textId="77777777" w:rsidR="00BA1D9A" w:rsidRPr="00BA1D9A" w:rsidRDefault="00BA1D9A" w:rsidP="00BA1D9A">
      <w:pPr>
        <w:pStyle w:val="Nagwek7"/>
        <w:tabs>
          <w:tab w:val="left" w:pos="9914"/>
        </w:tabs>
        <w:rPr>
          <w:rFonts w:asciiTheme="minorHAnsi" w:hAnsiTheme="minorHAnsi" w:cstheme="minorHAnsi"/>
          <w:i/>
        </w:rPr>
      </w:pPr>
      <w:r w:rsidRPr="00BA1D9A">
        <w:rPr>
          <w:rFonts w:asciiTheme="minorHAnsi" w:hAnsiTheme="minorHAnsi" w:cstheme="minorHAnsi"/>
        </w:rPr>
        <w:t>gdzie:</w:t>
      </w:r>
    </w:p>
    <w:p w14:paraId="54EC70B4" w14:textId="77777777" w:rsidR="00BA1D9A" w:rsidRPr="00BA1D9A" w:rsidRDefault="00BA1D9A" w:rsidP="00BA1D9A">
      <w:pPr>
        <w:pStyle w:val="Nagwek7"/>
        <w:tabs>
          <w:tab w:val="left" w:pos="9914"/>
        </w:tabs>
        <w:rPr>
          <w:rFonts w:asciiTheme="minorHAnsi" w:hAnsiTheme="minorHAnsi" w:cstheme="minorHAnsi"/>
          <w:i/>
        </w:rPr>
      </w:pPr>
      <w:r w:rsidRPr="00BA1D9A">
        <w:rPr>
          <w:rFonts w:asciiTheme="minorHAnsi" w:hAnsiTheme="minorHAnsi" w:cstheme="minorHAnsi"/>
        </w:rPr>
        <w:sym w:font="Symbol" w:char="F072"/>
      </w:r>
      <w:r w:rsidRPr="00BA1D9A">
        <w:rPr>
          <w:rFonts w:asciiTheme="minorHAnsi" w:hAnsiTheme="minorHAnsi" w:cstheme="minorHAnsi"/>
          <w:vertAlign w:val="subscript"/>
        </w:rPr>
        <w:t xml:space="preserve">d </w:t>
      </w:r>
      <w:r w:rsidRPr="00BA1D9A">
        <w:rPr>
          <w:rFonts w:asciiTheme="minorHAnsi" w:hAnsiTheme="minorHAnsi" w:cstheme="minorHAnsi"/>
        </w:rPr>
        <w:t>- gęstość objętościowa szkieletu zagęszczonego gruntu, zgodnie z PN-B-04481:1988, (g/cm</w:t>
      </w:r>
      <w:r w:rsidRPr="00BA1D9A">
        <w:rPr>
          <w:rFonts w:asciiTheme="minorHAnsi" w:hAnsiTheme="minorHAnsi" w:cstheme="minorHAnsi"/>
          <w:vertAlign w:val="superscript"/>
        </w:rPr>
        <w:t>3</w:t>
      </w:r>
      <w:r w:rsidRPr="00BA1D9A">
        <w:rPr>
          <w:rFonts w:asciiTheme="minorHAnsi" w:hAnsiTheme="minorHAnsi" w:cstheme="minorHAnsi"/>
        </w:rPr>
        <w:t xml:space="preserve">), </w:t>
      </w:r>
    </w:p>
    <w:p w14:paraId="0DAC8E79" w14:textId="77777777" w:rsidR="00BA1D9A" w:rsidRPr="00BA1D9A" w:rsidRDefault="00BA1D9A" w:rsidP="00BA1D9A">
      <w:pPr>
        <w:pStyle w:val="Nagwek7"/>
        <w:tabs>
          <w:tab w:val="left" w:pos="9914"/>
        </w:tabs>
        <w:rPr>
          <w:rFonts w:asciiTheme="minorHAnsi" w:hAnsiTheme="minorHAnsi" w:cstheme="minorHAnsi"/>
          <w:i/>
        </w:rPr>
      </w:pPr>
      <w:r w:rsidRPr="00BA1D9A">
        <w:rPr>
          <w:rFonts w:asciiTheme="minorHAnsi" w:hAnsiTheme="minorHAnsi" w:cstheme="minorHAnsi"/>
        </w:rPr>
        <w:sym w:font="Symbol" w:char="F072"/>
      </w:r>
      <w:r w:rsidRPr="00BA1D9A">
        <w:rPr>
          <w:rFonts w:asciiTheme="minorHAnsi" w:hAnsiTheme="minorHAnsi" w:cstheme="minorHAnsi"/>
          <w:vertAlign w:val="subscript"/>
        </w:rPr>
        <w:t>ds.</w:t>
      </w:r>
      <w:r w:rsidRPr="00BA1D9A">
        <w:rPr>
          <w:rFonts w:asciiTheme="minorHAnsi" w:hAnsiTheme="minorHAnsi" w:cstheme="minorHAnsi"/>
        </w:rPr>
        <w:t xml:space="preserve"> - maksymalna gęstość objętościowa szkieletu gruntowego przy wilgotności optymalnej, zgodnie z PN-B-04481:1988, służąca do oceny zagęszczenia gruntu w robotach ziemnych, (g/cm</w:t>
      </w:r>
      <w:r w:rsidRPr="00BA1D9A">
        <w:rPr>
          <w:rFonts w:asciiTheme="minorHAnsi" w:hAnsiTheme="minorHAnsi" w:cstheme="minorHAnsi"/>
          <w:vertAlign w:val="superscript"/>
        </w:rPr>
        <w:t>3</w:t>
      </w:r>
      <w:r w:rsidRPr="00BA1D9A">
        <w:rPr>
          <w:rFonts w:asciiTheme="minorHAnsi" w:hAnsiTheme="minorHAnsi" w:cstheme="minorHAnsi"/>
        </w:rPr>
        <w:t>).</w:t>
      </w:r>
    </w:p>
    <w:p w14:paraId="2FE26CB5" w14:textId="77777777" w:rsidR="00BA1D9A" w:rsidRPr="00BA1D9A" w:rsidRDefault="00BA1D9A" w:rsidP="00BA1D9A">
      <w:pPr>
        <w:pStyle w:val="Nagwek7"/>
        <w:tabs>
          <w:tab w:val="left" w:pos="9914"/>
        </w:tabs>
        <w:rPr>
          <w:rFonts w:asciiTheme="minorHAnsi" w:hAnsiTheme="minorHAnsi" w:cstheme="minorHAnsi"/>
          <w:i/>
        </w:rPr>
      </w:pPr>
      <w:r w:rsidRPr="00BA1D9A">
        <w:rPr>
          <w:rFonts w:asciiTheme="minorHAnsi" w:hAnsiTheme="minorHAnsi" w:cstheme="minorHAnsi"/>
          <w:b/>
          <w:bCs/>
        </w:rPr>
        <w:t xml:space="preserve">1.4.10. </w:t>
      </w:r>
      <w:r w:rsidRPr="00BA1D9A">
        <w:rPr>
          <w:rFonts w:asciiTheme="minorHAnsi" w:hAnsiTheme="minorHAnsi" w:cstheme="minorHAnsi"/>
        </w:rPr>
        <w:t>Wykop płytki - wykop, którego głębokość jest mniejsza niż 1 m.</w:t>
      </w:r>
    </w:p>
    <w:p w14:paraId="1C7130CD" w14:textId="77777777" w:rsidR="00BA1D9A" w:rsidRPr="00BA1D9A" w:rsidRDefault="00BA1D9A" w:rsidP="00BA1D9A">
      <w:pPr>
        <w:pStyle w:val="Nagwek7"/>
        <w:tabs>
          <w:tab w:val="left" w:pos="9914"/>
        </w:tabs>
        <w:rPr>
          <w:rFonts w:asciiTheme="minorHAnsi" w:hAnsiTheme="minorHAnsi" w:cstheme="minorHAnsi"/>
          <w:i/>
        </w:rPr>
      </w:pPr>
      <w:r w:rsidRPr="00BA1D9A">
        <w:rPr>
          <w:rFonts w:asciiTheme="minorHAnsi" w:hAnsiTheme="minorHAnsi" w:cstheme="minorHAnsi"/>
          <w:b/>
          <w:bCs/>
        </w:rPr>
        <w:t xml:space="preserve">1.4.11. </w:t>
      </w:r>
      <w:r w:rsidRPr="00BA1D9A">
        <w:rPr>
          <w:rFonts w:asciiTheme="minorHAnsi" w:hAnsiTheme="minorHAnsi" w:cstheme="minorHAnsi"/>
        </w:rPr>
        <w:t>Wykop średni - wykop, którego głębokość jest zawarta w granicach od 1 do 3 m.</w:t>
      </w:r>
    </w:p>
    <w:p w14:paraId="3D69E22B" w14:textId="77777777" w:rsidR="00BA1D9A" w:rsidRPr="00BA1D9A" w:rsidRDefault="00BA1D9A" w:rsidP="00BA1D9A">
      <w:pPr>
        <w:pStyle w:val="Nagwek7"/>
        <w:tabs>
          <w:tab w:val="left" w:pos="9914"/>
        </w:tabs>
        <w:rPr>
          <w:rFonts w:asciiTheme="minorHAnsi" w:hAnsiTheme="minorHAnsi" w:cstheme="minorHAnsi"/>
          <w:i/>
        </w:rPr>
      </w:pPr>
      <w:r w:rsidRPr="00BA1D9A">
        <w:rPr>
          <w:rFonts w:asciiTheme="minorHAnsi" w:hAnsiTheme="minorHAnsi" w:cstheme="minorHAnsi"/>
          <w:b/>
          <w:bCs/>
        </w:rPr>
        <w:t xml:space="preserve">1.4.12. </w:t>
      </w:r>
      <w:r w:rsidRPr="00BA1D9A">
        <w:rPr>
          <w:rFonts w:asciiTheme="minorHAnsi" w:hAnsiTheme="minorHAnsi" w:cstheme="minorHAnsi"/>
        </w:rPr>
        <w:t>Wykop głęboki - wykop, którego głębokość przekracza 3 m.</w:t>
      </w:r>
    </w:p>
    <w:p w14:paraId="22166038" w14:textId="080D6C2E" w:rsidR="00BA1D9A" w:rsidRPr="00BA1D9A" w:rsidRDefault="00BA1D9A" w:rsidP="00BA1D9A">
      <w:pPr>
        <w:pStyle w:val="Nagwek7"/>
        <w:tabs>
          <w:tab w:val="left" w:pos="9914"/>
        </w:tabs>
        <w:rPr>
          <w:rFonts w:asciiTheme="minorHAnsi" w:hAnsiTheme="minorHAnsi" w:cstheme="minorHAnsi"/>
          <w:i/>
        </w:rPr>
      </w:pPr>
      <w:r w:rsidRPr="00BA1D9A">
        <w:rPr>
          <w:rFonts w:asciiTheme="minorHAnsi" w:hAnsiTheme="minorHAnsi" w:cstheme="minorHAnsi"/>
          <w:b/>
          <w:bCs/>
        </w:rPr>
        <w:t xml:space="preserve">1.4.13. </w:t>
      </w:r>
      <w:r w:rsidRPr="00BA1D9A">
        <w:rPr>
          <w:rFonts w:asciiTheme="minorHAnsi" w:hAnsiTheme="minorHAnsi" w:cstheme="minorHAnsi"/>
        </w:rPr>
        <w:t xml:space="preserve">Pozostałe określenia podstawowe są zgodne z obowiązującymi, odpowiednimi polskimi normami i z definicjami podanymi w </w:t>
      </w:r>
      <w:r w:rsidR="001C2347">
        <w:rPr>
          <w:rFonts w:asciiTheme="minorHAnsi" w:hAnsiTheme="minorHAnsi" w:cstheme="minorHAnsi"/>
        </w:rPr>
        <w:t>ST</w:t>
      </w:r>
      <w:r w:rsidRPr="00BA1D9A">
        <w:rPr>
          <w:rFonts w:asciiTheme="minorHAnsi" w:hAnsiTheme="minorHAnsi" w:cstheme="minorHAnsi"/>
        </w:rPr>
        <w:t>WiORB D-M-00.00.00 „Wymagania ogólne” pkt 1.4.</w:t>
      </w:r>
    </w:p>
    <w:p w14:paraId="4F75FA97" w14:textId="77777777" w:rsidR="00BA1D9A" w:rsidRPr="00BA1D9A" w:rsidRDefault="00BA1D9A" w:rsidP="00BA1D9A">
      <w:pPr>
        <w:pStyle w:val="Nagwek4"/>
        <w:tabs>
          <w:tab w:val="left" w:pos="9914"/>
        </w:tabs>
        <w:rPr>
          <w:rFonts w:asciiTheme="minorHAnsi" w:hAnsiTheme="minorHAnsi" w:cstheme="minorHAnsi"/>
        </w:rPr>
      </w:pPr>
      <w:bookmarkStart w:id="176" w:name="_Toc407161218"/>
      <w:r w:rsidRPr="00BA1D9A">
        <w:rPr>
          <w:rFonts w:asciiTheme="minorHAnsi" w:hAnsiTheme="minorHAnsi" w:cstheme="minorHAnsi"/>
          <w:b w:val="0"/>
          <w:bCs w:val="0"/>
        </w:rPr>
        <w:t>1.5. Ogólne wymagania dotyczące robót</w:t>
      </w:r>
      <w:bookmarkEnd w:id="176"/>
    </w:p>
    <w:p w14:paraId="7C1B602C" w14:textId="639CC9CE" w:rsidR="00BA1D9A" w:rsidRPr="00BA1D9A" w:rsidRDefault="00BA1D9A" w:rsidP="00BA1D9A">
      <w:pPr>
        <w:tabs>
          <w:tab w:val="left" w:pos="9914"/>
        </w:tabs>
        <w:rPr>
          <w:rFonts w:asciiTheme="minorHAnsi" w:hAnsiTheme="minorHAnsi" w:cstheme="minorHAnsi"/>
        </w:rPr>
      </w:pPr>
      <w:r w:rsidRPr="00BA1D9A">
        <w:rPr>
          <w:rFonts w:asciiTheme="minorHAnsi" w:hAnsiTheme="minorHAnsi" w:cstheme="minorHAnsi"/>
        </w:rPr>
        <w:t xml:space="preserve">Ogólne wymagania dotyczące robót podano w </w:t>
      </w:r>
      <w:r w:rsidR="001C2347">
        <w:rPr>
          <w:rFonts w:asciiTheme="minorHAnsi" w:hAnsiTheme="minorHAnsi" w:cstheme="minorHAnsi"/>
        </w:rPr>
        <w:t>ST</w:t>
      </w:r>
      <w:r w:rsidRPr="00BA1D9A">
        <w:rPr>
          <w:rFonts w:asciiTheme="minorHAnsi" w:hAnsiTheme="minorHAnsi" w:cstheme="minorHAnsi"/>
        </w:rPr>
        <w:t>WiORB D-M-00.00.01 pkt 1.5.</w:t>
      </w:r>
    </w:p>
    <w:p w14:paraId="414578B6" w14:textId="77777777" w:rsidR="00BA1D9A" w:rsidRPr="00067D67" w:rsidRDefault="00BA1D9A" w:rsidP="00BA1D9A">
      <w:pPr>
        <w:pStyle w:val="Nagwek3"/>
        <w:tabs>
          <w:tab w:val="left" w:pos="9914"/>
        </w:tabs>
        <w:rPr>
          <w:rFonts w:asciiTheme="minorHAnsi" w:hAnsiTheme="minorHAnsi" w:cstheme="minorHAnsi"/>
        </w:rPr>
      </w:pPr>
      <w:bookmarkStart w:id="177" w:name="_Toc407161219"/>
      <w:bookmarkStart w:id="178" w:name="_Toc418994926"/>
      <w:bookmarkStart w:id="179" w:name="_Toc418996333"/>
      <w:bookmarkStart w:id="180" w:name="_Toc418996702"/>
      <w:bookmarkStart w:id="181" w:name="_Toc418997089"/>
      <w:bookmarkStart w:id="182" w:name="_Toc418998499"/>
      <w:bookmarkStart w:id="183" w:name="_Toc418998855"/>
      <w:bookmarkStart w:id="184" w:name="_Toc419000100"/>
      <w:r w:rsidRPr="00067D67">
        <w:rPr>
          <w:rFonts w:asciiTheme="minorHAnsi" w:hAnsiTheme="minorHAnsi" w:cstheme="minorHAnsi"/>
        </w:rPr>
        <w:t>2. MATERIAŁY (GRUNTY)</w:t>
      </w:r>
      <w:bookmarkEnd w:id="177"/>
      <w:bookmarkEnd w:id="178"/>
      <w:bookmarkEnd w:id="179"/>
      <w:bookmarkEnd w:id="180"/>
      <w:bookmarkEnd w:id="181"/>
      <w:bookmarkEnd w:id="182"/>
      <w:bookmarkEnd w:id="183"/>
      <w:bookmarkEnd w:id="184"/>
    </w:p>
    <w:p w14:paraId="2134BA5B" w14:textId="77777777" w:rsidR="00BA1D9A" w:rsidRPr="00BA1D9A" w:rsidRDefault="00BA1D9A" w:rsidP="00BA1D9A">
      <w:pPr>
        <w:tabs>
          <w:tab w:val="left" w:pos="9914"/>
        </w:tabs>
        <w:rPr>
          <w:rFonts w:asciiTheme="minorHAnsi" w:hAnsiTheme="minorHAnsi" w:cstheme="minorHAnsi"/>
        </w:rPr>
      </w:pPr>
      <w:r w:rsidRPr="00BA1D9A">
        <w:rPr>
          <w:rFonts w:asciiTheme="minorHAnsi" w:hAnsiTheme="minorHAnsi" w:cstheme="minorHAnsi"/>
        </w:rPr>
        <w:t>Materiał występujący w podłożu wykopu jest gruntem rodzimym, który będzie stanowił podłoże nawierzchni. Zgodnie z Katalogiem typowych konstrukcji nawierzchni podatnych i półsztywnych powinien charakteryzować się grupą nośności G</w:t>
      </w:r>
      <w:r w:rsidRPr="00BA1D9A">
        <w:rPr>
          <w:rFonts w:asciiTheme="minorHAnsi" w:hAnsiTheme="minorHAnsi" w:cstheme="minorHAnsi"/>
          <w:vertAlign w:val="subscript"/>
        </w:rPr>
        <w:t>1</w:t>
      </w:r>
      <w:r w:rsidRPr="00BA1D9A">
        <w:rPr>
          <w:rFonts w:asciiTheme="minorHAnsi" w:hAnsiTheme="minorHAnsi" w:cstheme="minorHAnsi"/>
        </w:rPr>
        <w:t>. Gdy podłoże nawierzchni zaklasyfikowano do innej grupy nośności, należy podłoże doprowadzić do grupy nośności G</w:t>
      </w:r>
      <w:r w:rsidRPr="00BA1D9A">
        <w:rPr>
          <w:rFonts w:asciiTheme="minorHAnsi" w:hAnsiTheme="minorHAnsi" w:cstheme="minorHAnsi"/>
          <w:vertAlign w:val="subscript"/>
        </w:rPr>
        <w:t>1</w:t>
      </w:r>
      <w:r w:rsidRPr="00BA1D9A">
        <w:rPr>
          <w:rFonts w:asciiTheme="minorHAnsi" w:hAnsiTheme="minorHAnsi" w:cstheme="minorHAnsi"/>
        </w:rPr>
        <w:t xml:space="preserve"> zgodnie z dokumentacja projektową.</w:t>
      </w:r>
    </w:p>
    <w:p w14:paraId="7EDDFF89" w14:textId="77777777" w:rsidR="00BA1D9A" w:rsidRPr="00BA1D9A" w:rsidRDefault="00BA1D9A" w:rsidP="00BA1D9A">
      <w:pPr>
        <w:tabs>
          <w:tab w:val="left" w:pos="9914"/>
        </w:tabs>
        <w:rPr>
          <w:rFonts w:asciiTheme="minorHAnsi" w:hAnsiTheme="minorHAnsi" w:cstheme="minorHAnsi"/>
        </w:rPr>
      </w:pPr>
      <w:r w:rsidRPr="00BA1D9A">
        <w:rPr>
          <w:rFonts w:asciiTheme="minorHAnsi" w:hAnsiTheme="minorHAnsi" w:cstheme="minorHAnsi"/>
        </w:rPr>
        <w:t>Badanie określające grupę nośności określa Katalog Typowych Konstrukcji Nawierzchni. W skład powyższych badań wchodzą:</w:t>
      </w:r>
    </w:p>
    <w:p w14:paraId="25A119BE" w14:textId="77777777" w:rsidR="00BA1D9A" w:rsidRPr="00BA1D9A" w:rsidRDefault="00BA1D9A" w:rsidP="00262498">
      <w:pPr>
        <w:numPr>
          <w:ilvl w:val="0"/>
          <w:numId w:val="225"/>
        </w:numPr>
        <w:tabs>
          <w:tab w:val="left" w:pos="9914"/>
        </w:tabs>
        <w:suppressAutoHyphens/>
        <w:textAlignment w:val="auto"/>
        <w:rPr>
          <w:rFonts w:asciiTheme="minorHAnsi" w:hAnsiTheme="minorHAnsi" w:cstheme="minorHAnsi"/>
        </w:rPr>
      </w:pPr>
      <w:r w:rsidRPr="00BA1D9A">
        <w:rPr>
          <w:rFonts w:asciiTheme="minorHAnsi" w:hAnsiTheme="minorHAnsi" w:cstheme="minorHAnsi"/>
        </w:rPr>
        <w:t>Rozpoznanie warunków wodnych</w:t>
      </w:r>
    </w:p>
    <w:p w14:paraId="306541F3" w14:textId="77777777" w:rsidR="00BA1D9A" w:rsidRPr="00BA1D9A" w:rsidRDefault="00BA1D9A" w:rsidP="00262498">
      <w:pPr>
        <w:numPr>
          <w:ilvl w:val="0"/>
          <w:numId w:val="225"/>
        </w:numPr>
        <w:tabs>
          <w:tab w:val="left" w:pos="9914"/>
        </w:tabs>
        <w:suppressAutoHyphens/>
        <w:textAlignment w:val="auto"/>
        <w:rPr>
          <w:rFonts w:asciiTheme="minorHAnsi" w:hAnsiTheme="minorHAnsi" w:cstheme="minorHAnsi"/>
        </w:rPr>
      </w:pPr>
      <w:r w:rsidRPr="00BA1D9A">
        <w:rPr>
          <w:rFonts w:asciiTheme="minorHAnsi" w:hAnsiTheme="minorHAnsi" w:cstheme="minorHAnsi"/>
        </w:rPr>
        <w:t>Określenie stopnia wysadzinowości gruntu na podstawie opisu makroskopowego, analizy granulometrycznej, oznaczenia wskaźnika piaskowego (WP wg normy PN-EN 933-8:2001) i kapilarności biernej (H</w:t>
      </w:r>
      <w:r w:rsidRPr="00BA1D9A">
        <w:rPr>
          <w:rFonts w:asciiTheme="minorHAnsi" w:hAnsiTheme="minorHAnsi" w:cstheme="minorHAnsi"/>
          <w:vertAlign w:val="subscript"/>
        </w:rPr>
        <w:t>kb</w:t>
      </w:r>
      <w:r w:rsidRPr="00BA1D9A">
        <w:rPr>
          <w:rFonts w:asciiTheme="minorHAnsi" w:hAnsiTheme="minorHAnsi" w:cstheme="minorHAnsi"/>
        </w:rPr>
        <w:t xml:space="preserve"> wg normy PN-B-04493:1960) (tablica nr 6 Katalog Typowych Konstrukcji Nawierzchni)</w:t>
      </w:r>
    </w:p>
    <w:p w14:paraId="379FDC66" w14:textId="77777777" w:rsidR="00BA1D9A" w:rsidRPr="00BA1D9A" w:rsidRDefault="00BA1D9A" w:rsidP="00262498">
      <w:pPr>
        <w:numPr>
          <w:ilvl w:val="0"/>
          <w:numId w:val="225"/>
        </w:numPr>
        <w:tabs>
          <w:tab w:val="left" w:pos="9914"/>
        </w:tabs>
        <w:suppressAutoHyphens/>
        <w:textAlignment w:val="auto"/>
        <w:rPr>
          <w:rFonts w:asciiTheme="minorHAnsi" w:hAnsiTheme="minorHAnsi" w:cstheme="minorHAnsi"/>
        </w:rPr>
      </w:pPr>
      <w:r w:rsidRPr="00BA1D9A">
        <w:rPr>
          <w:rFonts w:asciiTheme="minorHAnsi" w:hAnsiTheme="minorHAnsi" w:cstheme="minorHAnsi"/>
        </w:rPr>
        <w:t xml:space="preserve">Dla gruntów wątpliwych i wysadzinowych jako dodatkowe stosuje się badanie wskaźnika nośności CBR wg PN-S- 02205:1998 (zał A) po 4 dobach nasycenia wodą (tablica nr 7 Katalog Typowych Konstrukcji Nawierzchni) </w:t>
      </w:r>
    </w:p>
    <w:p w14:paraId="0AD6F5B9" w14:textId="77777777" w:rsidR="00BA1D9A" w:rsidRPr="00BA1D9A" w:rsidRDefault="00BA1D9A" w:rsidP="00BA1D9A">
      <w:pPr>
        <w:tabs>
          <w:tab w:val="left" w:pos="9914"/>
        </w:tabs>
        <w:rPr>
          <w:rFonts w:asciiTheme="minorHAnsi" w:hAnsiTheme="minorHAnsi" w:cstheme="minorHAnsi"/>
        </w:rPr>
      </w:pPr>
      <w:r w:rsidRPr="00BA1D9A">
        <w:rPr>
          <w:rFonts w:asciiTheme="minorHAnsi" w:hAnsiTheme="minorHAnsi" w:cstheme="minorHAnsi"/>
        </w:rPr>
        <w:t>Jeżeli ocena grup nośności uzyskana na podstawie badań różnymi metodami są rozbieżne, to przyjmuje się wynik najmniej korzystny</w:t>
      </w:r>
    </w:p>
    <w:p w14:paraId="739D6450" w14:textId="77777777" w:rsidR="00BA1D9A" w:rsidRPr="00067D67" w:rsidRDefault="00BA1D9A" w:rsidP="00BA1D9A">
      <w:pPr>
        <w:pStyle w:val="Nagwek3"/>
        <w:tabs>
          <w:tab w:val="left" w:pos="9914"/>
        </w:tabs>
        <w:rPr>
          <w:rFonts w:asciiTheme="minorHAnsi" w:hAnsiTheme="minorHAnsi" w:cstheme="minorHAnsi"/>
        </w:rPr>
      </w:pPr>
      <w:bookmarkStart w:id="185" w:name="_Toc407161220"/>
      <w:bookmarkStart w:id="186" w:name="_Toc418994927"/>
      <w:bookmarkStart w:id="187" w:name="_Toc418996334"/>
      <w:bookmarkStart w:id="188" w:name="_Toc418996703"/>
      <w:bookmarkStart w:id="189" w:name="_Toc418997090"/>
      <w:bookmarkStart w:id="190" w:name="_Toc418998500"/>
      <w:bookmarkStart w:id="191" w:name="_Toc418998856"/>
      <w:bookmarkStart w:id="192" w:name="_Toc419000101"/>
      <w:r w:rsidRPr="00067D67">
        <w:rPr>
          <w:rFonts w:asciiTheme="minorHAnsi" w:hAnsiTheme="minorHAnsi" w:cstheme="minorHAnsi"/>
        </w:rPr>
        <w:t>3. SPRZĘT</w:t>
      </w:r>
      <w:bookmarkEnd w:id="185"/>
      <w:bookmarkEnd w:id="186"/>
      <w:bookmarkEnd w:id="187"/>
      <w:bookmarkEnd w:id="188"/>
      <w:bookmarkEnd w:id="189"/>
      <w:bookmarkEnd w:id="190"/>
      <w:bookmarkEnd w:id="191"/>
      <w:bookmarkEnd w:id="192"/>
    </w:p>
    <w:p w14:paraId="781E5469" w14:textId="79A4A5E8" w:rsidR="00BA1D9A" w:rsidRPr="00BA1D9A" w:rsidRDefault="00BA1D9A" w:rsidP="00BA1D9A">
      <w:pPr>
        <w:tabs>
          <w:tab w:val="left" w:pos="9914"/>
        </w:tabs>
        <w:rPr>
          <w:rFonts w:asciiTheme="minorHAnsi" w:hAnsiTheme="minorHAnsi" w:cstheme="minorHAnsi"/>
        </w:rPr>
      </w:pPr>
      <w:r w:rsidRPr="00BA1D9A">
        <w:rPr>
          <w:rFonts w:asciiTheme="minorHAnsi" w:hAnsiTheme="minorHAnsi" w:cstheme="minorHAnsi"/>
        </w:rPr>
        <w:t xml:space="preserve">Ogólne wymagania i ustalenia dotyczące sprzętu określono w </w:t>
      </w:r>
      <w:r w:rsidR="001C2347">
        <w:rPr>
          <w:rFonts w:asciiTheme="minorHAnsi" w:hAnsiTheme="minorHAnsi" w:cstheme="minorHAnsi"/>
        </w:rPr>
        <w:t>ST</w:t>
      </w:r>
      <w:r w:rsidRPr="00BA1D9A">
        <w:rPr>
          <w:rFonts w:asciiTheme="minorHAnsi" w:hAnsiTheme="minorHAnsi" w:cstheme="minorHAnsi"/>
        </w:rPr>
        <w:t>WiORB  D-M-00.00.00 pkt 3.</w:t>
      </w:r>
    </w:p>
    <w:p w14:paraId="3E992A05" w14:textId="77777777" w:rsidR="00BA1D9A" w:rsidRPr="00067D67" w:rsidRDefault="00BA1D9A" w:rsidP="00BA1D9A">
      <w:pPr>
        <w:pStyle w:val="Nagwek3"/>
        <w:tabs>
          <w:tab w:val="left" w:pos="9914"/>
        </w:tabs>
        <w:rPr>
          <w:rFonts w:asciiTheme="minorHAnsi" w:hAnsiTheme="minorHAnsi" w:cstheme="minorHAnsi"/>
        </w:rPr>
      </w:pPr>
      <w:bookmarkStart w:id="193" w:name="_Toc407161221"/>
      <w:bookmarkStart w:id="194" w:name="_Toc418994928"/>
      <w:bookmarkStart w:id="195" w:name="_Toc418996335"/>
      <w:bookmarkStart w:id="196" w:name="_Toc418996704"/>
      <w:bookmarkStart w:id="197" w:name="_Toc418997091"/>
      <w:bookmarkStart w:id="198" w:name="_Toc418998501"/>
      <w:bookmarkStart w:id="199" w:name="_Toc418998857"/>
      <w:bookmarkStart w:id="200" w:name="_Toc419000102"/>
      <w:r w:rsidRPr="00067D67">
        <w:rPr>
          <w:rFonts w:asciiTheme="minorHAnsi" w:hAnsiTheme="minorHAnsi" w:cstheme="minorHAnsi"/>
        </w:rPr>
        <w:t>4. TRANSPORT</w:t>
      </w:r>
      <w:bookmarkEnd w:id="193"/>
      <w:bookmarkEnd w:id="194"/>
      <w:bookmarkEnd w:id="195"/>
      <w:bookmarkEnd w:id="196"/>
      <w:bookmarkEnd w:id="197"/>
      <w:bookmarkEnd w:id="198"/>
      <w:bookmarkEnd w:id="199"/>
      <w:bookmarkEnd w:id="200"/>
    </w:p>
    <w:p w14:paraId="14EDCE9F" w14:textId="01489A12" w:rsidR="00BA1D9A" w:rsidRPr="00BA1D9A" w:rsidRDefault="00BA1D9A" w:rsidP="00BA1D9A">
      <w:pPr>
        <w:tabs>
          <w:tab w:val="left" w:pos="9914"/>
        </w:tabs>
        <w:rPr>
          <w:rFonts w:asciiTheme="minorHAnsi" w:hAnsiTheme="minorHAnsi" w:cstheme="minorHAnsi"/>
        </w:rPr>
      </w:pPr>
      <w:r w:rsidRPr="00BA1D9A">
        <w:rPr>
          <w:rFonts w:asciiTheme="minorHAnsi" w:hAnsiTheme="minorHAnsi" w:cstheme="minorHAnsi"/>
        </w:rPr>
        <w:t xml:space="preserve">Ogólne wymagania i ustalenia dotyczące transportu określono w </w:t>
      </w:r>
      <w:r w:rsidR="001C2347">
        <w:rPr>
          <w:rFonts w:asciiTheme="minorHAnsi" w:hAnsiTheme="minorHAnsi" w:cstheme="minorHAnsi"/>
        </w:rPr>
        <w:t>ST</w:t>
      </w:r>
      <w:r w:rsidRPr="00BA1D9A">
        <w:rPr>
          <w:rFonts w:asciiTheme="minorHAnsi" w:hAnsiTheme="minorHAnsi" w:cstheme="minorHAnsi"/>
        </w:rPr>
        <w:t>WiORB D-M-00.00.00 pkt 4.</w:t>
      </w:r>
    </w:p>
    <w:p w14:paraId="021C6436" w14:textId="77777777" w:rsidR="00BA1D9A" w:rsidRPr="00067D67" w:rsidRDefault="00BA1D9A" w:rsidP="00BA1D9A">
      <w:pPr>
        <w:pStyle w:val="Nagwek3"/>
        <w:tabs>
          <w:tab w:val="left" w:pos="9914"/>
        </w:tabs>
        <w:rPr>
          <w:rFonts w:asciiTheme="minorHAnsi" w:hAnsiTheme="minorHAnsi" w:cstheme="minorHAnsi"/>
        </w:rPr>
      </w:pPr>
      <w:bookmarkStart w:id="201" w:name="_Toc407161222"/>
      <w:bookmarkStart w:id="202" w:name="_Toc418994929"/>
      <w:bookmarkStart w:id="203" w:name="_Toc418996336"/>
      <w:bookmarkStart w:id="204" w:name="_Toc418996705"/>
      <w:bookmarkStart w:id="205" w:name="_Toc418997092"/>
      <w:bookmarkStart w:id="206" w:name="_Toc418998502"/>
      <w:bookmarkStart w:id="207" w:name="_Toc418998858"/>
      <w:bookmarkStart w:id="208" w:name="_Toc419000103"/>
      <w:r w:rsidRPr="00067D67">
        <w:rPr>
          <w:rFonts w:asciiTheme="minorHAnsi" w:hAnsiTheme="minorHAnsi" w:cstheme="minorHAnsi"/>
        </w:rPr>
        <w:t>5. WYKONANIE ROBÓT</w:t>
      </w:r>
      <w:bookmarkEnd w:id="201"/>
      <w:bookmarkEnd w:id="202"/>
      <w:bookmarkEnd w:id="203"/>
      <w:bookmarkEnd w:id="204"/>
      <w:bookmarkEnd w:id="205"/>
      <w:bookmarkEnd w:id="206"/>
      <w:bookmarkEnd w:id="207"/>
      <w:bookmarkEnd w:id="208"/>
    </w:p>
    <w:p w14:paraId="163D12CF" w14:textId="77777777" w:rsidR="00BA1D9A" w:rsidRPr="00DE28CE" w:rsidRDefault="00BA1D9A" w:rsidP="00BA1D9A">
      <w:pPr>
        <w:pStyle w:val="Nagwek4"/>
        <w:tabs>
          <w:tab w:val="left" w:pos="9914"/>
        </w:tabs>
        <w:rPr>
          <w:rFonts w:asciiTheme="minorHAnsi" w:hAnsiTheme="minorHAnsi" w:cstheme="minorHAnsi"/>
        </w:rPr>
      </w:pPr>
      <w:bookmarkStart w:id="209" w:name="_Toc407161223"/>
      <w:r w:rsidRPr="00DE28CE">
        <w:rPr>
          <w:rFonts w:asciiTheme="minorHAnsi" w:hAnsiTheme="minorHAnsi" w:cstheme="minorHAnsi"/>
        </w:rPr>
        <w:t>5.1. Zasady prowadzenia robót</w:t>
      </w:r>
      <w:bookmarkEnd w:id="209"/>
    </w:p>
    <w:p w14:paraId="4007429A" w14:textId="280A0949" w:rsidR="00BA1D9A" w:rsidRPr="00BA1D9A" w:rsidRDefault="00BA1D9A" w:rsidP="00BA1D9A">
      <w:pPr>
        <w:tabs>
          <w:tab w:val="left" w:pos="9914"/>
        </w:tabs>
        <w:rPr>
          <w:rFonts w:asciiTheme="minorHAnsi" w:hAnsiTheme="minorHAnsi" w:cstheme="minorHAnsi"/>
        </w:rPr>
      </w:pPr>
      <w:r w:rsidRPr="00BA1D9A">
        <w:rPr>
          <w:rFonts w:asciiTheme="minorHAnsi" w:hAnsiTheme="minorHAnsi" w:cstheme="minorHAnsi"/>
        </w:rPr>
        <w:t xml:space="preserve">Ogólne zasady prowadzenia robót podano w </w:t>
      </w:r>
      <w:r w:rsidR="001C2347">
        <w:rPr>
          <w:rFonts w:asciiTheme="minorHAnsi" w:hAnsiTheme="minorHAnsi" w:cstheme="minorHAnsi"/>
        </w:rPr>
        <w:t>ST</w:t>
      </w:r>
      <w:r w:rsidRPr="00BA1D9A">
        <w:rPr>
          <w:rFonts w:asciiTheme="minorHAnsi" w:hAnsiTheme="minorHAnsi" w:cstheme="minorHAnsi"/>
        </w:rPr>
        <w:t>WiORB D-M-00.00.00 pkt 5.</w:t>
      </w:r>
    </w:p>
    <w:p w14:paraId="7192EFA6" w14:textId="77777777" w:rsidR="00BA1D9A" w:rsidRPr="00BA1D9A" w:rsidRDefault="00BA1D9A" w:rsidP="00BA1D9A">
      <w:pPr>
        <w:tabs>
          <w:tab w:val="left" w:pos="9914"/>
        </w:tabs>
        <w:rPr>
          <w:rFonts w:asciiTheme="minorHAnsi" w:hAnsiTheme="minorHAnsi" w:cstheme="minorHAnsi"/>
        </w:rPr>
      </w:pPr>
      <w:r w:rsidRPr="00BA1D9A">
        <w:rPr>
          <w:rFonts w:asciiTheme="minorHAnsi" w:hAnsiTheme="minorHAnsi" w:cstheme="minorHAnsi"/>
        </w:rPr>
        <w:t>Sposób wykonania skarp wykopu powinien gwarantować ich stateczność w całym okresie prowadzenia robót, a naprawa uszkodzeń, wynikających z nieprawidłowego ukształtowania skarp wykopu, ich podcięcia lub innych odstępstw od dokumentacji projektowej obciąża Wykonawcę.</w:t>
      </w:r>
    </w:p>
    <w:p w14:paraId="2D00AE1D" w14:textId="77777777" w:rsidR="00BA1D9A" w:rsidRPr="00BA1D9A" w:rsidRDefault="00BA1D9A" w:rsidP="00BA1D9A">
      <w:pPr>
        <w:tabs>
          <w:tab w:val="left" w:pos="9914"/>
        </w:tabs>
        <w:rPr>
          <w:rFonts w:asciiTheme="minorHAnsi" w:hAnsiTheme="minorHAnsi" w:cstheme="minorHAnsi"/>
        </w:rPr>
      </w:pPr>
      <w:r w:rsidRPr="00BA1D9A">
        <w:rPr>
          <w:rFonts w:asciiTheme="minorHAnsi" w:hAnsiTheme="minorHAnsi" w:cstheme="minorHAnsi"/>
        </w:rPr>
        <w:t>Wykonawca powinien wykonywać wykopy w taki sposób, aby grunty o różnym stopniu przydatności do budowy nasypów były odspajane oddzielnie, w sposób uniemożliwiający ich wymieszanie. Odstępstwo od powyższego wymagania, uzasadnione skomplikowanym układem warstw geotechnicznych, wymaga zgody Inżyniera/Kierownika projektu.</w:t>
      </w:r>
    </w:p>
    <w:p w14:paraId="0E245D4A" w14:textId="77777777" w:rsidR="00BA1D9A" w:rsidRPr="00BA1D9A" w:rsidRDefault="00BA1D9A" w:rsidP="00BA1D9A">
      <w:pPr>
        <w:tabs>
          <w:tab w:val="left" w:pos="9914"/>
        </w:tabs>
        <w:rPr>
          <w:rFonts w:asciiTheme="minorHAnsi" w:hAnsiTheme="minorHAnsi" w:cstheme="minorHAnsi"/>
        </w:rPr>
      </w:pPr>
      <w:r w:rsidRPr="00BA1D9A">
        <w:rPr>
          <w:rFonts w:asciiTheme="minorHAnsi" w:hAnsiTheme="minorHAnsi" w:cstheme="minorHAnsi"/>
        </w:rPr>
        <w:t>Odspojone grunty przydatne do wykonania nasypów powinny być bezpośrednio wbudowane w nasyp lub przewiezione na odkład. O ile Inżynier/Kierownik projektu dopuści czasowe składowanie odspojonych  gruntów, należy je odpowiednio zabezpieczyć przed nadmiernym zawilgoceniem.</w:t>
      </w:r>
    </w:p>
    <w:p w14:paraId="241B8FB0" w14:textId="77777777" w:rsidR="00BA1D9A" w:rsidRPr="00DE28CE" w:rsidRDefault="00BA1D9A" w:rsidP="00BA1D9A">
      <w:pPr>
        <w:pStyle w:val="Nagwek4"/>
        <w:tabs>
          <w:tab w:val="left" w:pos="9914"/>
        </w:tabs>
        <w:rPr>
          <w:rFonts w:asciiTheme="minorHAnsi" w:hAnsiTheme="minorHAnsi" w:cstheme="minorHAnsi"/>
        </w:rPr>
      </w:pPr>
      <w:bookmarkStart w:id="210" w:name="_Toc407161224"/>
      <w:r w:rsidRPr="00DE28CE">
        <w:rPr>
          <w:rFonts w:asciiTheme="minorHAnsi" w:hAnsiTheme="minorHAnsi" w:cstheme="minorHAnsi"/>
        </w:rPr>
        <w:t>5.2. Wymagania dotyczące zagęszczenia</w:t>
      </w:r>
      <w:bookmarkEnd w:id="210"/>
      <w:r w:rsidRPr="00DE28CE">
        <w:rPr>
          <w:rFonts w:asciiTheme="minorHAnsi" w:hAnsiTheme="minorHAnsi" w:cstheme="minorHAnsi"/>
        </w:rPr>
        <w:t xml:space="preserve"> i nośności gruntu</w:t>
      </w:r>
    </w:p>
    <w:p w14:paraId="5064286E" w14:textId="77777777" w:rsidR="00BA1D9A" w:rsidRPr="00BA1D9A" w:rsidRDefault="00BA1D9A" w:rsidP="00BA1D9A">
      <w:pPr>
        <w:tabs>
          <w:tab w:val="left" w:pos="9914"/>
        </w:tabs>
        <w:rPr>
          <w:rFonts w:asciiTheme="minorHAnsi" w:hAnsiTheme="minorHAnsi" w:cstheme="minorHAnsi"/>
        </w:rPr>
      </w:pPr>
      <w:r w:rsidRPr="00BA1D9A">
        <w:rPr>
          <w:rFonts w:asciiTheme="minorHAnsi" w:hAnsiTheme="minorHAnsi" w:cstheme="minorHAnsi"/>
        </w:rPr>
        <w:t>Zagęszczenie gruntu w wykopach i miejscach zerowych robót ziemnych powinno spełniać wymagania, dotyczące minimalnej wartości wskaźnika zagęszczenia (I</w:t>
      </w:r>
      <w:r w:rsidRPr="00BA1D9A">
        <w:rPr>
          <w:rFonts w:asciiTheme="minorHAnsi" w:hAnsiTheme="minorHAnsi" w:cstheme="minorHAnsi"/>
          <w:vertAlign w:val="subscript"/>
        </w:rPr>
        <w:t>s</w:t>
      </w:r>
      <w:r w:rsidRPr="00BA1D9A">
        <w:rPr>
          <w:rFonts w:asciiTheme="minorHAnsi" w:hAnsiTheme="minorHAnsi" w:cstheme="minorHAnsi"/>
        </w:rPr>
        <w:t>) określonego wg BN-77/8931-12 oraz minimalnej wartości wtórnego modułu odkształcenia podłoża wg normy PN-S-02205:1998 (zał B)., podanych w tablicy 1.</w:t>
      </w:r>
    </w:p>
    <w:p w14:paraId="2D6FE778" w14:textId="77777777" w:rsidR="00BA1D9A" w:rsidRPr="00BA1D9A" w:rsidRDefault="00BA1D9A" w:rsidP="00BA1D9A">
      <w:pPr>
        <w:tabs>
          <w:tab w:val="left" w:pos="9914"/>
        </w:tabs>
        <w:rPr>
          <w:rFonts w:asciiTheme="minorHAnsi" w:hAnsiTheme="minorHAnsi" w:cstheme="minorHAnsi"/>
        </w:rPr>
      </w:pPr>
      <w:r w:rsidRPr="00BA1D9A">
        <w:rPr>
          <w:rFonts w:asciiTheme="minorHAnsi" w:hAnsiTheme="minorHAnsi" w:cstheme="minorHAnsi"/>
        </w:rPr>
        <w:t>Dla badania wskaźnika zagęszczenia wg BN-77/8931-12 dopuszcza się użycie wszystkich metod określonych w normie</w:t>
      </w:r>
    </w:p>
    <w:p w14:paraId="390FA276" w14:textId="77777777" w:rsidR="00BA1D9A" w:rsidRPr="00BA1D9A" w:rsidRDefault="00BA1D9A" w:rsidP="00BA1D9A">
      <w:pPr>
        <w:tabs>
          <w:tab w:val="left" w:pos="9914"/>
        </w:tabs>
        <w:rPr>
          <w:rFonts w:asciiTheme="minorHAnsi" w:hAnsiTheme="minorHAnsi" w:cstheme="minorHAnsi"/>
        </w:rPr>
      </w:pPr>
      <w:r w:rsidRPr="00BA1D9A">
        <w:rPr>
          <w:rFonts w:asciiTheme="minorHAnsi" w:hAnsiTheme="minorHAnsi" w:cstheme="minorHAnsi"/>
        </w:rPr>
        <w:t>Alternatywną metodą sprawdzenia zagęszczenia gruntu jest wyznaczenia wskaźnika odkształcenia I</w:t>
      </w:r>
      <w:r w:rsidRPr="00BA1D9A">
        <w:rPr>
          <w:rFonts w:asciiTheme="minorHAnsi" w:hAnsiTheme="minorHAnsi" w:cstheme="minorHAnsi"/>
          <w:vertAlign w:val="subscript"/>
        </w:rPr>
        <w:t>o</w:t>
      </w:r>
      <w:r w:rsidRPr="00BA1D9A">
        <w:rPr>
          <w:rFonts w:asciiTheme="minorHAnsi" w:hAnsiTheme="minorHAnsi" w:cstheme="minorHAnsi"/>
        </w:rPr>
        <w:t xml:space="preserve"> =E</w:t>
      </w:r>
      <w:r w:rsidRPr="00BA1D9A">
        <w:rPr>
          <w:rFonts w:asciiTheme="minorHAnsi" w:hAnsiTheme="minorHAnsi" w:cstheme="minorHAnsi"/>
          <w:vertAlign w:val="subscript"/>
        </w:rPr>
        <w:t>2</w:t>
      </w:r>
      <w:r w:rsidRPr="00BA1D9A">
        <w:rPr>
          <w:rFonts w:asciiTheme="minorHAnsi" w:hAnsiTheme="minorHAnsi" w:cstheme="minorHAnsi"/>
        </w:rPr>
        <w:t>/E</w:t>
      </w:r>
      <w:r w:rsidRPr="00BA1D9A">
        <w:rPr>
          <w:rFonts w:asciiTheme="minorHAnsi" w:hAnsiTheme="minorHAnsi" w:cstheme="minorHAnsi"/>
          <w:vertAlign w:val="subscript"/>
        </w:rPr>
        <w:t>1</w:t>
      </w:r>
      <w:r w:rsidRPr="00BA1D9A">
        <w:rPr>
          <w:rFonts w:asciiTheme="minorHAnsi" w:hAnsiTheme="minorHAnsi" w:cstheme="minorHAnsi"/>
        </w:rPr>
        <w:t xml:space="preserve"> wg załącznika B normy PN-S-02205:1998. Grunt uważa się za dobrze zagęszczony, gdy wskaźnik odkształcenia nie przekracza 2,2. Metodę tę należy stosować przy głębokościach większych niż 0,2 m</w:t>
      </w:r>
    </w:p>
    <w:p w14:paraId="27D867BA" w14:textId="77777777" w:rsidR="00BA1D9A" w:rsidRPr="00BA1D9A" w:rsidRDefault="00BA1D9A" w:rsidP="00BA1D9A">
      <w:pPr>
        <w:tabs>
          <w:tab w:val="left" w:pos="9914"/>
        </w:tabs>
        <w:rPr>
          <w:rFonts w:asciiTheme="minorHAnsi" w:hAnsiTheme="minorHAnsi" w:cstheme="minorHAnsi"/>
        </w:rPr>
      </w:pPr>
    </w:p>
    <w:p w14:paraId="341022C3" w14:textId="77777777" w:rsidR="00BA1D9A" w:rsidRPr="00BA1D9A" w:rsidRDefault="00BA1D9A" w:rsidP="00BA1D9A">
      <w:pPr>
        <w:tabs>
          <w:tab w:val="left" w:pos="9914"/>
        </w:tabs>
        <w:rPr>
          <w:rFonts w:asciiTheme="minorHAnsi" w:hAnsiTheme="minorHAnsi" w:cstheme="minorHAnsi"/>
        </w:rPr>
      </w:pPr>
      <w:r w:rsidRPr="00BA1D9A">
        <w:rPr>
          <w:rFonts w:asciiTheme="minorHAnsi" w:hAnsiTheme="minorHAnsi" w:cstheme="minorHAnsi"/>
        </w:rPr>
        <w:t>Tablica 1. Minimalne wartości wskaźnika zagęszczenia i nośności w wykopach i miejscach zerowych robót ziemnych</w:t>
      </w:r>
    </w:p>
    <w:tbl>
      <w:tblPr>
        <w:tblW w:w="9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018"/>
        <w:gridCol w:w="3577"/>
        <w:gridCol w:w="3700"/>
      </w:tblGrid>
      <w:tr w:rsidR="009F3E17" w:rsidRPr="009F3E17" w14:paraId="646DA726" w14:textId="77777777" w:rsidTr="00EA573C">
        <w:trPr>
          <w:trHeight w:val="596"/>
          <w:jc w:val="center"/>
        </w:trPr>
        <w:tc>
          <w:tcPr>
            <w:tcW w:w="201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61B2FD0" w14:textId="77777777" w:rsidR="009F3E17" w:rsidRPr="009F3E17" w:rsidRDefault="009F3E17" w:rsidP="009F3E17">
            <w:pPr>
              <w:widowControl w:val="0"/>
              <w:shd w:val="clear" w:color="auto" w:fill="FFFFFF"/>
              <w:overflowPunct/>
              <w:spacing w:line="276" w:lineRule="auto"/>
              <w:jc w:val="center"/>
              <w:textAlignment w:val="auto"/>
              <w:rPr>
                <w:rFonts w:ascii="Calibri" w:eastAsia="Verdana" w:hAnsi="Calibri" w:cs="Calibri"/>
                <w:bCs/>
                <w:i/>
                <w:lang w:val="en-US" w:eastAsia="en-US"/>
              </w:rPr>
            </w:pPr>
            <w:r w:rsidRPr="009F3E17">
              <w:rPr>
                <w:rFonts w:ascii="Calibri" w:eastAsia="Verdana" w:hAnsi="Calibri" w:cs="Calibri"/>
                <w:i/>
                <w:lang w:val="en-US" w:eastAsia="en-US"/>
              </w:rPr>
              <w:t>Warstwy</w:t>
            </w:r>
          </w:p>
        </w:tc>
        <w:tc>
          <w:tcPr>
            <w:tcW w:w="357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C0616C0" w14:textId="77777777" w:rsidR="009F3E17" w:rsidRPr="009F3E17" w:rsidRDefault="009F3E17" w:rsidP="009F3E17">
            <w:pPr>
              <w:widowControl w:val="0"/>
              <w:shd w:val="clear" w:color="auto" w:fill="FFFFFF"/>
              <w:overflowPunct/>
              <w:spacing w:line="276" w:lineRule="auto"/>
              <w:jc w:val="center"/>
              <w:textAlignment w:val="auto"/>
              <w:rPr>
                <w:rFonts w:ascii="Calibri" w:eastAsia="Verdana" w:hAnsi="Calibri" w:cs="Calibri"/>
                <w:bCs/>
                <w:i/>
                <w:lang w:val="en-US" w:eastAsia="en-US"/>
              </w:rPr>
            </w:pPr>
            <w:r w:rsidRPr="009F3E17">
              <w:rPr>
                <w:rFonts w:ascii="Calibri" w:eastAsia="Verdana" w:hAnsi="Calibri" w:cs="Calibri"/>
                <w:i/>
                <w:lang w:val="en-US" w:eastAsia="en-US"/>
              </w:rPr>
              <w:t>Parametr (Is, E2)</w:t>
            </w:r>
          </w:p>
        </w:tc>
        <w:tc>
          <w:tcPr>
            <w:tcW w:w="370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0A3BBEF" w14:textId="77777777" w:rsidR="009F3E17" w:rsidRPr="009F3E17" w:rsidRDefault="009F3E17" w:rsidP="009F3E17">
            <w:pPr>
              <w:widowControl w:val="0"/>
              <w:shd w:val="clear" w:color="auto" w:fill="FFFFFF"/>
              <w:overflowPunct/>
              <w:spacing w:line="276" w:lineRule="auto"/>
              <w:jc w:val="center"/>
              <w:textAlignment w:val="auto"/>
              <w:rPr>
                <w:rFonts w:ascii="Calibri" w:eastAsia="Verdana" w:hAnsi="Calibri" w:cs="Calibri"/>
                <w:bCs/>
                <w:i/>
                <w:lang w:val="en-US" w:eastAsia="en-US"/>
              </w:rPr>
            </w:pPr>
            <w:r w:rsidRPr="009F3E17">
              <w:rPr>
                <w:rFonts w:ascii="Calibri" w:eastAsia="Verdana" w:hAnsi="Calibri" w:cs="Calibri"/>
                <w:bCs/>
                <w:i/>
                <w:lang w:val="en-US" w:eastAsia="en-US"/>
              </w:rPr>
              <w:t>Wymagania</w:t>
            </w:r>
          </w:p>
        </w:tc>
      </w:tr>
      <w:tr w:rsidR="009F3E17" w:rsidRPr="009F3E17" w14:paraId="1BAD29AC" w14:textId="77777777" w:rsidTr="00EA573C">
        <w:trPr>
          <w:trHeight w:val="462"/>
          <w:jc w:val="center"/>
        </w:trPr>
        <w:tc>
          <w:tcPr>
            <w:tcW w:w="9295"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5DB24926" w14:textId="6794D09D" w:rsidR="009F3E17" w:rsidRPr="009F3E17" w:rsidRDefault="009F3E17" w:rsidP="009F3E17">
            <w:pPr>
              <w:widowControl w:val="0"/>
              <w:shd w:val="clear" w:color="auto" w:fill="FFFFFF"/>
              <w:overflowPunct/>
              <w:adjustRightInd/>
              <w:spacing w:line="276" w:lineRule="auto"/>
              <w:jc w:val="center"/>
              <w:textAlignment w:val="auto"/>
              <w:rPr>
                <w:rFonts w:ascii="Calibri" w:eastAsia="Verdana" w:hAnsi="Calibri" w:cs="Calibri"/>
                <w:lang w:eastAsia="en-US"/>
              </w:rPr>
            </w:pPr>
            <w:r w:rsidRPr="009F3E17">
              <w:rPr>
                <w:rFonts w:ascii="Calibri" w:eastAsia="Verdana" w:hAnsi="Calibri" w:cs="Calibri"/>
                <w:i/>
                <w:lang w:eastAsia="en-US"/>
              </w:rPr>
              <w:t>Kategoria ruchu KR5</w:t>
            </w:r>
            <w:r>
              <w:rPr>
                <w:rFonts w:ascii="Calibri" w:eastAsia="Verdana" w:hAnsi="Calibri" w:cs="Calibri"/>
                <w:i/>
                <w:lang w:eastAsia="en-US"/>
              </w:rPr>
              <w:t xml:space="preserve"> – 7</w:t>
            </w:r>
          </w:p>
        </w:tc>
      </w:tr>
      <w:tr w:rsidR="009F3E17" w:rsidRPr="009F3E17" w14:paraId="5F4A45A6" w14:textId="77777777" w:rsidTr="00EA573C">
        <w:trPr>
          <w:trHeight w:val="462"/>
          <w:jc w:val="center"/>
        </w:trPr>
        <w:tc>
          <w:tcPr>
            <w:tcW w:w="2018"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D24706B" w14:textId="77777777" w:rsidR="009F3E17" w:rsidRPr="009F3E17" w:rsidRDefault="009F3E17" w:rsidP="009F3E17">
            <w:pPr>
              <w:widowControl w:val="0"/>
              <w:shd w:val="clear" w:color="auto" w:fill="FFFFFF"/>
              <w:overflowPunct/>
              <w:spacing w:line="276" w:lineRule="auto"/>
              <w:jc w:val="center"/>
              <w:textAlignment w:val="auto"/>
              <w:rPr>
                <w:rFonts w:ascii="Calibri" w:eastAsia="Verdana" w:hAnsi="Calibri" w:cs="Calibri"/>
                <w:lang w:val="en-US" w:eastAsia="en-US"/>
              </w:rPr>
            </w:pPr>
            <w:r w:rsidRPr="009F3E17">
              <w:rPr>
                <w:rFonts w:ascii="Calibri" w:eastAsia="Verdana" w:hAnsi="Calibri" w:cs="Calibri"/>
                <w:lang w:val="en-US" w:eastAsia="en-US"/>
              </w:rPr>
              <w:t>Powierzchnia robót ziemnych (PRZ)</w:t>
            </w:r>
          </w:p>
        </w:tc>
        <w:tc>
          <w:tcPr>
            <w:tcW w:w="357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9F996E8" w14:textId="77777777" w:rsidR="009F3E17" w:rsidRPr="009F3E17" w:rsidRDefault="009F3E17" w:rsidP="009F3E17">
            <w:pPr>
              <w:widowControl w:val="0"/>
              <w:shd w:val="clear" w:color="auto" w:fill="FFFFFF"/>
              <w:overflowPunct/>
              <w:spacing w:line="276" w:lineRule="auto"/>
              <w:jc w:val="center"/>
              <w:textAlignment w:val="auto"/>
              <w:rPr>
                <w:rFonts w:ascii="Calibri" w:eastAsia="Verdana" w:hAnsi="Calibri" w:cs="Calibri"/>
                <w:lang w:eastAsia="en-US"/>
              </w:rPr>
            </w:pPr>
            <w:r w:rsidRPr="009F3E17">
              <w:rPr>
                <w:rFonts w:ascii="Calibri" w:eastAsia="Verdana" w:hAnsi="Calibri" w:cs="Calibri"/>
                <w:lang w:eastAsia="en-US"/>
              </w:rPr>
              <w:t>E2 na powierzchni robót ziemnych (PRZ)</w:t>
            </w:r>
          </w:p>
        </w:tc>
        <w:tc>
          <w:tcPr>
            <w:tcW w:w="370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71F1A8C" w14:textId="77777777" w:rsidR="009F3E17" w:rsidRPr="009F3E17" w:rsidRDefault="009F3E17" w:rsidP="009F3E17">
            <w:pPr>
              <w:widowControl w:val="0"/>
              <w:shd w:val="clear" w:color="auto" w:fill="FFFFFF"/>
              <w:overflowPunct/>
              <w:spacing w:line="276" w:lineRule="auto"/>
              <w:jc w:val="center"/>
              <w:textAlignment w:val="auto"/>
              <w:rPr>
                <w:rFonts w:ascii="Calibri" w:eastAsia="Verdana" w:hAnsi="Calibri" w:cs="Calibri"/>
                <w:lang w:val="en-US" w:eastAsia="en-US"/>
              </w:rPr>
            </w:pPr>
            <w:r w:rsidRPr="009F3E17">
              <w:rPr>
                <w:rFonts w:ascii="Calibri" w:eastAsia="Verdana" w:hAnsi="Calibri" w:cs="Calibri"/>
                <w:lang w:val="en-US" w:eastAsia="en-US"/>
              </w:rPr>
              <w:t>E2 ≥ 80 MPa wg PFU</w:t>
            </w:r>
          </w:p>
        </w:tc>
      </w:tr>
      <w:tr w:rsidR="009F3E17" w:rsidRPr="009F3E17" w14:paraId="697E44AB" w14:textId="77777777" w:rsidTr="00EA573C">
        <w:trPr>
          <w:trHeight w:val="458"/>
          <w:jc w:val="center"/>
        </w:trPr>
        <w:tc>
          <w:tcPr>
            <w:tcW w:w="2018" w:type="dxa"/>
            <w:vMerge/>
            <w:tcBorders>
              <w:top w:val="single" w:sz="4" w:space="0" w:color="auto"/>
              <w:left w:val="single" w:sz="4" w:space="0" w:color="auto"/>
              <w:bottom w:val="single" w:sz="4" w:space="0" w:color="auto"/>
              <w:right w:val="single" w:sz="4" w:space="0" w:color="auto"/>
            </w:tcBorders>
            <w:vAlign w:val="center"/>
            <w:hideMark/>
          </w:tcPr>
          <w:p w14:paraId="3F5ED483" w14:textId="77777777" w:rsidR="009F3E17" w:rsidRPr="009F3E17" w:rsidRDefault="009F3E17" w:rsidP="009F3E17">
            <w:pPr>
              <w:overflowPunct/>
              <w:autoSpaceDE/>
              <w:autoSpaceDN/>
              <w:adjustRightInd/>
              <w:jc w:val="left"/>
              <w:textAlignment w:val="auto"/>
              <w:rPr>
                <w:rFonts w:ascii="Calibri" w:eastAsia="Verdana" w:hAnsi="Calibri" w:cs="Calibri"/>
                <w:lang w:val="en-US" w:eastAsia="en-US"/>
              </w:rPr>
            </w:pPr>
          </w:p>
        </w:tc>
        <w:tc>
          <w:tcPr>
            <w:tcW w:w="357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40B6BF3" w14:textId="77777777" w:rsidR="009F3E17" w:rsidRPr="009F3E17" w:rsidRDefault="009F3E17" w:rsidP="009F3E17">
            <w:pPr>
              <w:widowControl w:val="0"/>
              <w:shd w:val="clear" w:color="auto" w:fill="FFFFFF"/>
              <w:overflowPunct/>
              <w:spacing w:line="276" w:lineRule="auto"/>
              <w:jc w:val="center"/>
              <w:textAlignment w:val="auto"/>
              <w:rPr>
                <w:rFonts w:ascii="Calibri" w:eastAsia="Verdana" w:hAnsi="Calibri" w:cs="Calibri"/>
                <w:lang w:val="en-US" w:eastAsia="en-US"/>
              </w:rPr>
            </w:pPr>
            <w:r w:rsidRPr="009F3E17">
              <w:rPr>
                <w:rFonts w:ascii="Calibri" w:eastAsia="Verdana" w:hAnsi="Calibri" w:cs="Calibri"/>
                <w:lang w:val="en-US" w:eastAsia="en-US"/>
              </w:rPr>
              <w:t>Is  dla warstwy</w:t>
            </w:r>
          </w:p>
        </w:tc>
        <w:tc>
          <w:tcPr>
            <w:tcW w:w="370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5391242" w14:textId="77777777" w:rsidR="009F3E17" w:rsidRPr="009F3E17" w:rsidRDefault="009F3E17" w:rsidP="009F3E17">
            <w:pPr>
              <w:widowControl w:val="0"/>
              <w:shd w:val="clear" w:color="auto" w:fill="FFFFFF"/>
              <w:overflowPunct/>
              <w:spacing w:line="276" w:lineRule="auto"/>
              <w:jc w:val="center"/>
              <w:textAlignment w:val="auto"/>
              <w:rPr>
                <w:rFonts w:ascii="Calibri" w:eastAsia="Verdana" w:hAnsi="Calibri" w:cs="Calibri"/>
                <w:lang w:val="en-US" w:eastAsia="en-US"/>
              </w:rPr>
            </w:pPr>
            <w:r w:rsidRPr="009F3E17">
              <w:rPr>
                <w:rFonts w:ascii="Calibri" w:eastAsia="Verdana" w:hAnsi="Calibri" w:cs="Calibri"/>
                <w:lang w:val="en-US" w:eastAsia="en-US"/>
              </w:rPr>
              <w:t>Is ≥ 1,0 wg PN-S-02205</w:t>
            </w:r>
          </w:p>
        </w:tc>
      </w:tr>
      <w:tr w:rsidR="009F3E17" w:rsidRPr="009F3E17" w14:paraId="7761DD90" w14:textId="77777777" w:rsidTr="00EA573C">
        <w:trPr>
          <w:trHeight w:val="571"/>
          <w:jc w:val="center"/>
        </w:trPr>
        <w:tc>
          <w:tcPr>
            <w:tcW w:w="9295"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2C1D3408" w14:textId="56674550" w:rsidR="009F3E17" w:rsidRPr="009F3E17" w:rsidRDefault="009F3E17" w:rsidP="009F3E17">
            <w:pPr>
              <w:widowControl w:val="0"/>
              <w:shd w:val="clear" w:color="auto" w:fill="FFFFFF"/>
              <w:overflowPunct/>
              <w:adjustRightInd/>
              <w:spacing w:line="276" w:lineRule="auto"/>
              <w:jc w:val="center"/>
              <w:textAlignment w:val="auto"/>
              <w:rPr>
                <w:rFonts w:ascii="Calibri" w:eastAsia="Verdana" w:hAnsi="Calibri" w:cs="Calibri"/>
                <w:bCs/>
                <w:i/>
                <w:lang w:eastAsia="en-US"/>
              </w:rPr>
            </w:pPr>
            <w:r w:rsidRPr="009F3E17">
              <w:rPr>
                <w:rFonts w:ascii="Calibri" w:eastAsia="Verdana" w:hAnsi="Calibri" w:cs="Calibri"/>
                <w:i/>
                <w:lang w:eastAsia="en-US"/>
              </w:rPr>
              <w:t>Kategoria ruchu KR3-KR4</w:t>
            </w:r>
          </w:p>
        </w:tc>
      </w:tr>
      <w:tr w:rsidR="009F3E17" w:rsidRPr="009F3E17" w14:paraId="12B67E46" w14:textId="77777777" w:rsidTr="00EA573C">
        <w:trPr>
          <w:trHeight w:val="589"/>
          <w:jc w:val="center"/>
        </w:trPr>
        <w:tc>
          <w:tcPr>
            <w:tcW w:w="2018"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07DC22C" w14:textId="77777777" w:rsidR="009F3E17" w:rsidRPr="009F3E17" w:rsidRDefault="009F3E17" w:rsidP="009F3E17">
            <w:pPr>
              <w:widowControl w:val="0"/>
              <w:shd w:val="clear" w:color="auto" w:fill="FFFFFF"/>
              <w:overflowPunct/>
              <w:spacing w:line="276" w:lineRule="auto"/>
              <w:jc w:val="center"/>
              <w:textAlignment w:val="auto"/>
              <w:rPr>
                <w:rFonts w:ascii="Calibri" w:eastAsia="Verdana" w:hAnsi="Calibri" w:cs="Calibri"/>
                <w:lang w:val="en-US" w:eastAsia="en-US"/>
              </w:rPr>
            </w:pPr>
            <w:r w:rsidRPr="009F3E17">
              <w:rPr>
                <w:rFonts w:ascii="Calibri" w:eastAsia="Verdana" w:hAnsi="Calibri" w:cs="Calibri"/>
                <w:lang w:val="en-US" w:eastAsia="en-US"/>
              </w:rPr>
              <w:t>Powierzchnia robót ziemnych (PRZ)</w:t>
            </w:r>
          </w:p>
        </w:tc>
        <w:tc>
          <w:tcPr>
            <w:tcW w:w="357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38EB1FA" w14:textId="77777777" w:rsidR="009F3E17" w:rsidRPr="009F3E17" w:rsidRDefault="009F3E17" w:rsidP="009F3E17">
            <w:pPr>
              <w:widowControl w:val="0"/>
              <w:shd w:val="clear" w:color="auto" w:fill="FFFFFF"/>
              <w:overflowPunct/>
              <w:spacing w:line="276" w:lineRule="auto"/>
              <w:jc w:val="center"/>
              <w:textAlignment w:val="auto"/>
              <w:rPr>
                <w:rFonts w:ascii="Calibri" w:eastAsia="Verdana" w:hAnsi="Calibri" w:cs="Calibri"/>
                <w:lang w:eastAsia="en-US"/>
              </w:rPr>
            </w:pPr>
            <w:r w:rsidRPr="009F3E17">
              <w:rPr>
                <w:rFonts w:ascii="Calibri" w:eastAsia="Verdana" w:hAnsi="Calibri" w:cs="Calibri"/>
                <w:lang w:eastAsia="en-US"/>
              </w:rPr>
              <w:t>E2 na powierzchni robót ziemnych (PRZ)</w:t>
            </w:r>
          </w:p>
        </w:tc>
        <w:tc>
          <w:tcPr>
            <w:tcW w:w="370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44EB32A" w14:textId="77777777" w:rsidR="009F3E17" w:rsidRPr="009F3E17" w:rsidRDefault="009F3E17" w:rsidP="009F3E17">
            <w:pPr>
              <w:widowControl w:val="0"/>
              <w:shd w:val="clear" w:color="auto" w:fill="FFFFFF"/>
              <w:overflowPunct/>
              <w:adjustRightInd/>
              <w:spacing w:line="276" w:lineRule="auto"/>
              <w:jc w:val="center"/>
              <w:textAlignment w:val="auto"/>
              <w:rPr>
                <w:rFonts w:ascii="Calibri" w:eastAsia="Verdana" w:hAnsi="Calibri" w:cs="Calibri"/>
                <w:lang w:eastAsia="en-US"/>
              </w:rPr>
            </w:pPr>
            <w:r w:rsidRPr="009F3E17">
              <w:rPr>
                <w:rFonts w:ascii="Calibri" w:eastAsia="Verdana" w:hAnsi="Calibri" w:cs="Calibri"/>
                <w:lang w:eastAsia="en-US"/>
              </w:rPr>
              <w:t>dla G1 - E2 ≥ 80 MPa</w:t>
            </w:r>
          </w:p>
          <w:p w14:paraId="1A3C347E" w14:textId="77777777" w:rsidR="009F3E17" w:rsidRPr="009F3E17" w:rsidRDefault="009F3E17" w:rsidP="009F3E17">
            <w:pPr>
              <w:widowControl w:val="0"/>
              <w:shd w:val="clear" w:color="auto" w:fill="FFFFFF"/>
              <w:overflowPunct/>
              <w:spacing w:line="276" w:lineRule="auto"/>
              <w:jc w:val="center"/>
              <w:textAlignment w:val="auto"/>
              <w:rPr>
                <w:rFonts w:ascii="Calibri" w:eastAsia="Verdana" w:hAnsi="Calibri" w:cs="Calibri"/>
                <w:lang w:eastAsia="en-US"/>
              </w:rPr>
            </w:pPr>
            <w:r w:rsidRPr="009F3E17">
              <w:rPr>
                <w:rFonts w:ascii="Calibri" w:eastAsia="Verdana" w:hAnsi="Calibri" w:cs="Calibri"/>
                <w:lang w:eastAsia="en-US"/>
              </w:rPr>
              <w:t>wg KTKNPIP</w:t>
            </w:r>
          </w:p>
        </w:tc>
      </w:tr>
      <w:tr w:rsidR="009F3E17" w:rsidRPr="009F3E17" w14:paraId="562E69AB" w14:textId="77777777" w:rsidTr="00EA573C">
        <w:trPr>
          <w:trHeight w:val="456"/>
          <w:jc w:val="center"/>
        </w:trPr>
        <w:tc>
          <w:tcPr>
            <w:tcW w:w="2018" w:type="dxa"/>
            <w:vMerge/>
            <w:tcBorders>
              <w:top w:val="single" w:sz="4" w:space="0" w:color="auto"/>
              <w:left w:val="single" w:sz="4" w:space="0" w:color="auto"/>
              <w:bottom w:val="single" w:sz="4" w:space="0" w:color="auto"/>
              <w:right w:val="single" w:sz="4" w:space="0" w:color="auto"/>
            </w:tcBorders>
            <w:vAlign w:val="center"/>
            <w:hideMark/>
          </w:tcPr>
          <w:p w14:paraId="7E16F541" w14:textId="77777777" w:rsidR="009F3E17" w:rsidRPr="009F3E17" w:rsidRDefault="009F3E17" w:rsidP="009F3E17">
            <w:pPr>
              <w:overflowPunct/>
              <w:autoSpaceDE/>
              <w:autoSpaceDN/>
              <w:adjustRightInd/>
              <w:jc w:val="left"/>
              <w:textAlignment w:val="auto"/>
              <w:rPr>
                <w:rFonts w:ascii="Calibri" w:eastAsia="Verdana" w:hAnsi="Calibri" w:cs="Calibri"/>
                <w:lang w:eastAsia="en-US"/>
              </w:rPr>
            </w:pPr>
          </w:p>
        </w:tc>
        <w:tc>
          <w:tcPr>
            <w:tcW w:w="357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1CBB6CC" w14:textId="77777777" w:rsidR="009F3E17" w:rsidRPr="009F3E17" w:rsidRDefault="009F3E17" w:rsidP="009F3E17">
            <w:pPr>
              <w:widowControl w:val="0"/>
              <w:shd w:val="clear" w:color="auto" w:fill="FFFFFF"/>
              <w:overflowPunct/>
              <w:spacing w:line="276" w:lineRule="auto"/>
              <w:jc w:val="center"/>
              <w:textAlignment w:val="auto"/>
              <w:rPr>
                <w:rFonts w:ascii="Calibri" w:eastAsia="Verdana" w:hAnsi="Calibri" w:cs="Calibri"/>
                <w:lang w:val="en-US" w:eastAsia="en-US"/>
              </w:rPr>
            </w:pPr>
            <w:r w:rsidRPr="009F3E17">
              <w:rPr>
                <w:rFonts w:ascii="Calibri" w:eastAsia="Verdana" w:hAnsi="Calibri" w:cs="Calibri"/>
                <w:lang w:val="en-US" w:eastAsia="en-US"/>
              </w:rPr>
              <w:t>Is  dla warstwy</w:t>
            </w:r>
          </w:p>
        </w:tc>
        <w:tc>
          <w:tcPr>
            <w:tcW w:w="370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F309770" w14:textId="77777777" w:rsidR="009F3E17" w:rsidRPr="009F3E17" w:rsidRDefault="009F3E17" w:rsidP="009F3E17">
            <w:pPr>
              <w:widowControl w:val="0"/>
              <w:shd w:val="clear" w:color="auto" w:fill="FFFFFF"/>
              <w:overflowPunct/>
              <w:spacing w:line="276" w:lineRule="auto"/>
              <w:jc w:val="center"/>
              <w:textAlignment w:val="auto"/>
              <w:rPr>
                <w:rFonts w:ascii="Calibri" w:eastAsia="Verdana" w:hAnsi="Calibri" w:cs="Calibri"/>
                <w:lang w:val="en-US" w:eastAsia="en-US"/>
              </w:rPr>
            </w:pPr>
            <w:r w:rsidRPr="009F3E17">
              <w:rPr>
                <w:rFonts w:ascii="Calibri" w:eastAsia="Verdana" w:hAnsi="Calibri" w:cs="Calibri"/>
                <w:lang w:val="en-US" w:eastAsia="en-US"/>
              </w:rPr>
              <w:t>Is ≥ 1,0 wg PN-S-02205</w:t>
            </w:r>
          </w:p>
        </w:tc>
      </w:tr>
      <w:tr w:rsidR="009F3E17" w:rsidRPr="009F3E17" w14:paraId="717EECA5" w14:textId="77777777" w:rsidTr="00EA573C">
        <w:trPr>
          <w:trHeight w:val="456"/>
          <w:jc w:val="center"/>
        </w:trPr>
        <w:tc>
          <w:tcPr>
            <w:tcW w:w="201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D98B7FC" w14:textId="77777777" w:rsidR="009F3E17" w:rsidRPr="009F3E17" w:rsidRDefault="009F3E17" w:rsidP="009F3E17">
            <w:pPr>
              <w:widowControl w:val="0"/>
              <w:shd w:val="clear" w:color="auto" w:fill="FFFFFF"/>
              <w:overflowPunct/>
              <w:spacing w:line="276" w:lineRule="auto"/>
              <w:jc w:val="center"/>
              <w:textAlignment w:val="auto"/>
              <w:rPr>
                <w:rFonts w:ascii="Calibri" w:eastAsia="Verdana" w:hAnsi="Calibri" w:cs="Calibri"/>
                <w:lang w:eastAsia="en-US"/>
              </w:rPr>
            </w:pPr>
            <w:r w:rsidRPr="009F3E17">
              <w:rPr>
                <w:rFonts w:ascii="Calibri" w:eastAsia="Verdana" w:hAnsi="Calibri" w:cs="Calibri"/>
                <w:lang w:eastAsia="en-US"/>
              </w:rPr>
              <w:t>Powierzchnia gruntu rodzimego w wykopie</w:t>
            </w:r>
          </w:p>
        </w:tc>
        <w:tc>
          <w:tcPr>
            <w:tcW w:w="357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6D729D7" w14:textId="77777777" w:rsidR="009F3E17" w:rsidRPr="009F3E17" w:rsidRDefault="009F3E17" w:rsidP="009F3E17">
            <w:pPr>
              <w:widowControl w:val="0"/>
              <w:shd w:val="clear" w:color="auto" w:fill="FFFFFF"/>
              <w:overflowPunct/>
              <w:spacing w:line="276" w:lineRule="auto"/>
              <w:jc w:val="center"/>
              <w:textAlignment w:val="auto"/>
              <w:rPr>
                <w:rFonts w:ascii="Calibri" w:eastAsia="Verdana" w:hAnsi="Calibri" w:cs="Calibri"/>
                <w:lang w:eastAsia="en-US"/>
              </w:rPr>
            </w:pPr>
            <w:r w:rsidRPr="009F3E17">
              <w:rPr>
                <w:rFonts w:ascii="Calibri" w:eastAsia="Verdana" w:hAnsi="Calibri" w:cs="Calibri"/>
                <w:lang w:eastAsia="en-US"/>
              </w:rPr>
              <w:t>E2 na powierzchni gruntu rodzimego w wykopie</w:t>
            </w:r>
          </w:p>
        </w:tc>
        <w:tc>
          <w:tcPr>
            <w:tcW w:w="370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76D2181" w14:textId="77777777" w:rsidR="009F3E17" w:rsidRPr="009F3E17" w:rsidRDefault="009F3E17" w:rsidP="009F3E17">
            <w:pPr>
              <w:widowControl w:val="0"/>
              <w:shd w:val="clear" w:color="auto" w:fill="FFFFFF"/>
              <w:overflowPunct/>
              <w:adjustRightInd/>
              <w:spacing w:line="276" w:lineRule="auto"/>
              <w:jc w:val="center"/>
              <w:textAlignment w:val="auto"/>
              <w:rPr>
                <w:rFonts w:ascii="Calibri" w:eastAsia="Verdana" w:hAnsi="Calibri" w:cs="Calibri"/>
                <w:lang w:eastAsia="en-US"/>
              </w:rPr>
            </w:pPr>
            <w:r w:rsidRPr="009F3E17">
              <w:rPr>
                <w:rFonts w:ascii="Calibri" w:eastAsia="Verdana" w:hAnsi="Calibri" w:cs="Calibri"/>
                <w:lang w:eastAsia="en-US"/>
              </w:rPr>
              <w:t>dla G1 - E2 ≥ 80 MPa</w:t>
            </w:r>
          </w:p>
          <w:p w14:paraId="70AB2A33" w14:textId="77777777" w:rsidR="009F3E17" w:rsidRPr="009F3E17" w:rsidRDefault="009F3E17" w:rsidP="009F3E17">
            <w:pPr>
              <w:widowControl w:val="0"/>
              <w:shd w:val="clear" w:color="auto" w:fill="FFFFFF"/>
              <w:overflowPunct/>
              <w:spacing w:line="276" w:lineRule="auto"/>
              <w:jc w:val="center"/>
              <w:textAlignment w:val="auto"/>
              <w:rPr>
                <w:rFonts w:ascii="Calibri" w:eastAsia="Verdana" w:hAnsi="Calibri" w:cs="Calibri"/>
                <w:lang w:eastAsia="en-US"/>
              </w:rPr>
            </w:pPr>
            <w:r w:rsidRPr="009F3E17">
              <w:rPr>
                <w:rFonts w:ascii="Calibri" w:eastAsia="Verdana" w:hAnsi="Calibri" w:cs="Calibri"/>
                <w:lang w:eastAsia="en-US"/>
              </w:rPr>
              <w:t>wg KTKNPIP</w:t>
            </w:r>
          </w:p>
        </w:tc>
      </w:tr>
      <w:tr w:rsidR="009F3E17" w:rsidRPr="009F3E17" w14:paraId="771531E0" w14:textId="77777777" w:rsidTr="00EA573C">
        <w:trPr>
          <w:trHeight w:val="571"/>
          <w:jc w:val="center"/>
        </w:trPr>
        <w:tc>
          <w:tcPr>
            <w:tcW w:w="9295"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2D497B8A" w14:textId="2A4B2F2D" w:rsidR="009F3E17" w:rsidRPr="009F3E17" w:rsidRDefault="009F3E17" w:rsidP="009F3E17">
            <w:pPr>
              <w:widowControl w:val="0"/>
              <w:shd w:val="clear" w:color="auto" w:fill="FFFFFF"/>
              <w:overflowPunct/>
              <w:adjustRightInd/>
              <w:spacing w:line="276" w:lineRule="auto"/>
              <w:jc w:val="center"/>
              <w:textAlignment w:val="auto"/>
              <w:rPr>
                <w:rFonts w:ascii="Calibri" w:eastAsia="Verdana" w:hAnsi="Calibri" w:cs="Calibri"/>
                <w:bCs/>
                <w:i/>
                <w:lang w:eastAsia="en-US"/>
              </w:rPr>
            </w:pPr>
            <w:r>
              <w:rPr>
                <w:rFonts w:ascii="Calibri" w:eastAsia="Verdana" w:hAnsi="Calibri" w:cs="Calibri"/>
                <w:i/>
                <w:lang w:eastAsia="en-US"/>
              </w:rPr>
              <w:t>Kate</w:t>
            </w:r>
            <w:r w:rsidRPr="009F3E17">
              <w:rPr>
                <w:rFonts w:ascii="Calibri" w:eastAsia="Verdana" w:hAnsi="Calibri" w:cs="Calibri"/>
                <w:i/>
                <w:lang w:eastAsia="en-US"/>
              </w:rPr>
              <w:t>goria ruchu KR1-KR2</w:t>
            </w:r>
          </w:p>
        </w:tc>
      </w:tr>
      <w:tr w:rsidR="009F3E17" w:rsidRPr="009F3E17" w14:paraId="157E0897" w14:textId="77777777" w:rsidTr="00EA573C">
        <w:trPr>
          <w:trHeight w:val="674"/>
          <w:jc w:val="center"/>
        </w:trPr>
        <w:tc>
          <w:tcPr>
            <w:tcW w:w="2018"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32748ED" w14:textId="77777777" w:rsidR="009F3E17" w:rsidRPr="009F3E17" w:rsidRDefault="009F3E17" w:rsidP="009F3E17">
            <w:pPr>
              <w:widowControl w:val="0"/>
              <w:shd w:val="clear" w:color="auto" w:fill="FFFFFF"/>
              <w:overflowPunct/>
              <w:spacing w:line="276" w:lineRule="auto"/>
              <w:jc w:val="center"/>
              <w:textAlignment w:val="auto"/>
              <w:rPr>
                <w:rFonts w:ascii="Calibri" w:eastAsia="Verdana" w:hAnsi="Calibri" w:cs="Calibri"/>
                <w:lang w:val="en-US" w:eastAsia="en-US"/>
              </w:rPr>
            </w:pPr>
            <w:r w:rsidRPr="009F3E17">
              <w:rPr>
                <w:rFonts w:ascii="Calibri" w:eastAsia="Verdana" w:hAnsi="Calibri" w:cs="Calibri"/>
                <w:lang w:val="en-US" w:eastAsia="en-US"/>
              </w:rPr>
              <w:t>Powierzchnia robót ziemnych (PRZ)</w:t>
            </w:r>
          </w:p>
        </w:tc>
        <w:tc>
          <w:tcPr>
            <w:tcW w:w="357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5256AF7" w14:textId="77777777" w:rsidR="009F3E17" w:rsidRPr="009F3E17" w:rsidRDefault="009F3E17" w:rsidP="009F3E17">
            <w:pPr>
              <w:widowControl w:val="0"/>
              <w:shd w:val="clear" w:color="auto" w:fill="FFFFFF"/>
              <w:overflowPunct/>
              <w:spacing w:line="276" w:lineRule="auto"/>
              <w:jc w:val="center"/>
              <w:textAlignment w:val="auto"/>
              <w:rPr>
                <w:rFonts w:ascii="Calibri" w:eastAsia="Verdana" w:hAnsi="Calibri" w:cs="Calibri"/>
                <w:lang w:eastAsia="en-US"/>
              </w:rPr>
            </w:pPr>
            <w:r w:rsidRPr="009F3E17">
              <w:rPr>
                <w:rFonts w:ascii="Calibri" w:eastAsia="Verdana" w:hAnsi="Calibri" w:cs="Calibri"/>
                <w:lang w:eastAsia="en-US"/>
              </w:rPr>
              <w:t>E2 na powierzchni robót ziemnych (PRZ)</w:t>
            </w:r>
          </w:p>
        </w:tc>
        <w:tc>
          <w:tcPr>
            <w:tcW w:w="370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785486B" w14:textId="77777777" w:rsidR="009F3E17" w:rsidRPr="009F3E17" w:rsidRDefault="009F3E17" w:rsidP="009F3E17">
            <w:pPr>
              <w:widowControl w:val="0"/>
              <w:shd w:val="clear" w:color="auto" w:fill="FFFFFF"/>
              <w:overflowPunct/>
              <w:adjustRightInd/>
              <w:spacing w:line="276" w:lineRule="auto"/>
              <w:jc w:val="center"/>
              <w:textAlignment w:val="auto"/>
              <w:rPr>
                <w:rFonts w:ascii="Calibri" w:eastAsia="Verdana" w:hAnsi="Calibri" w:cs="Calibri"/>
                <w:lang w:eastAsia="en-US"/>
              </w:rPr>
            </w:pPr>
            <w:r w:rsidRPr="009F3E17">
              <w:rPr>
                <w:rFonts w:ascii="Calibri" w:eastAsia="Verdana" w:hAnsi="Calibri" w:cs="Calibri"/>
                <w:lang w:eastAsia="en-US"/>
              </w:rPr>
              <w:t>dla G1 - E2 ≥ 80 MPa</w:t>
            </w:r>
          </w:p>
          <w:p w14:paraId="2F3814AD" w14:textId="77777777" w:rsidR="009F3E17" w:rsidRPr="009F3E17" w:rsidRDefault="009F3E17" w:rsidP="009F3E17">
            <w:pPr>
              <w:widowControl w:val="0"/>
              <w:shd w:val="clear" w:color="auto" w:fill="FFFFFF"/>
              <w:overflowPunct/>
              <w:spacing w:line="276" w:lineRule="auto"/>
              <w:jc w:val="center"/>
              <w:textAlignment w:val="auto"/>
              <w:rPr>
                <w:rFonts w:ascii="Calibri" w:eastAsia="Verdana" w:hAnsi="Calibri" w:cs="Calibri"/>
                <w:lang w:eastAsia="en-US"/>
              </w:rPr>
            </w:pPr>
            <w:r w:rsidRPr="009F3E17">
              <w:rPr>
                <w:rFonts w:ascii="Calibri" w:eastAsia="Verdana" w:hAnsi="Calibri" w:cs="Calibri"/>
                <w:lang w:eastAsia="en-US"/>
              </w:rPr>
              <w:t>wg KTKNPIP</w:t>
            </w:r>
          </w:p>
        </w:tc>
      </w:tr>
      <w:tr w:rsidR="009F3E17" w:rsidRPr="009F3E17" w14:paraId="56F04A0D" w14:textId="77777777" w:rsidTr="00EA573C">
        <w:trPr>
          <w:trHeight w:val="456"/>
          <w:jc w:val="center"/>
        </w:trPr>
        <w:tc>
          <w:tcPr>
            <w:tcW w:w="2018" w:type="dxa"/>
            <w:vMerge/>
            <w:tcBorders>
              <w:top w:val="single" w:sz="4" w:space="0" w:color="auto"/>
              <w:left w:val="single" w:sz="4" w:space="0" w:color="auto"/>
              <w:bottom w:val="single" w:sz="4" w:space="0" w:color="auto"/>
              <w:right w:val="single" w:sz="4" w:space="0" w:color="auto"/>
            </w:tcBorders>
            <w:vAlign w:val="center"/>
            <w:hideMark/>
          </w:tcPr>
          <w:p w14:paraId="1F1C573C" w14:textId="77777777" w:rsidR="009F3E17" w:rsidRPr="009F3E17" w:rsidRDefault="009F3E17" w:rsidP="009F3E17">
            <w:pPr>
              <w:overflowPunct/>
              <w:autoSpaceDE/>
              <w:autoSpaceDN/>
              <w:adjustRightInd/>
              <w:jc w:val="left"/>
              <w:textAlignment w:val="auto"/>
              <w:rPr>
                <w:rFonts w:ascii="Calibri" w:eastAsia="Verdana" w:hAnsi="Calibri" w:cs="Calibri"/>
                <w:lang w:eastAsia="en-US"/>
              </w:rPr>
            </w:pPr>
          </w:p>
        </w:tc>
        <w:tc>
          <w:tcPr>
            <w:tcW w:w="357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D4B4C20" w14:textId="77777777" w:rsidR="009F3E17" w:rsidRPr="009F3E17" w:rsidRDefault="009F3E17" w:rsidP="009F3E17">
            <w:pPr>
              <w:widowControl w:val="0"/>
              <w:shd w:val="clear" w:color="auto" w:fill="FFFFFF"/>
              <w:overflowPunct/>
              <w:spacing w:line="276" w:lineRule="auto"/>
              <w:jc w:val="center"/>
              <w:textAlignment w:val="auto"/>
              <w:rPr>
                <w:rFonts w:ascii="Calibri" w:eastAsia="Verdana" w:hAnsi="Calibri" w:cs="Calibri"/>
                <w:lang w:val="en-US" w:eastAsia="en-US"/>
              </w:rPr>
            </w:pPr>
            <w:r w:rsidRPr="009F3E17">
              <w:rPr>
                <w:rFonts w:ascii="Calibri" w:eastAsia="Verdana" w:hAnsi="Calibri" w:cs="Calibri"/>
                <w:lang w:val="en-US" w:eastAsia="en-US"/>
              </w:rPr>
              <w:t>Is  dla warstwy</w:t>
            </w:r>
          </w:p>
        </w:tc>
        <w:tc>
          <w:tcPr>
            <w:tcW w:w="370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CB42B5C" w14:textId="77777777" w:rsidR="009F3E17" w:rsidRPr="009F3E17" w:rsidRDefault="009F3E17" w:rsidP="009F3E17">
            <w:pPr>
              <w:widowControl w:val="0"/>
              <w:shd w:val="clear" w:color="auto" w:fill="FFFFFF"/>
              <w:overflowPunct/>
              <w:spacing w:line="276" w:lineRule="auto"/>
              <w:jc w:val="center"/>
              <w:textAlignment w:val="auto"/>
              <w:rPr>
                <w:rFonts w:ascii="Calibri" w:eastAsia="Verdana" w:hAnsi="Calibri" w:cs="Calibri"/>
                <w:lang w:val="en-US" w:eastAsia="en-US"/>
              </w:rPr>
            </w:pPr>
            <w:r w:rsidRPr="009F3E17">
              <w:rPr>
                <w:rFonts w:ascii="Calibri" w:eastAsia="Verdana" w:hAnsi="Calibri" w:cs="Calibri"/>
                <w:lang w:val="en-US" w:eastAsia="en-US"/>
              </w:rPr>
              <w:t>Is ≥ 1,0 wg PN-S-02205</w:t>
            </w:r>
          </w:p>
        </w:tc>
      </w:tr>
    </w:tbl>
    <w:p w14:paraId="539BE856" w14:textId="77777777" w:rsidR="00BA1D9A" w:rsidRPr="00BA1D9A" w:rsidRDefault="00BA1D9A" w:rsidP="00BA1D9A">
      <w:pPr>
        <w:tabs>
          <w:tab w:val="left" w:pos="9914"/>
        </w:tabs>
        <w:rPr>
          <w:rFonts w:asciiTheme="minorHAnsi" w:hAnsiTheme="minorHAnsi" w:cstheme="minorHAnsi"/>
        </w:rPr>
      </w:pPr>
    </w:p>
    <w:p w14:paraId="1F2D0CA7" w14:textId="77777777" w:rsidR="00BA1D9A" w:rsidRPr="00BA1D9A" w:rsidRDefault="00BA1D9A" w:rsidP="00BA1D9A">
      <w:pPr>
        <w:tabs>
          <w:tab w:val="left" w:pos="9914"/>
        </w:tabs>
        <w:rPr>
          <w:rFonts w:asciiTheme="minorHAnsi" w:hAnsiTheme="minorHAnsi" w:cstheme="minorHAnsi"/>
        </w:rPr>
      </w:pPr>
      <w:r w:rsidRPr="00BA1D9A">
        <w:rPr>
          <w:rFonts w:asciiTheme="minorHAnsi" w:hAnsiTheme="minorHAnsi" w:cstheme="minorHAnsi"/>
        </w:rPr>
        <w:t>Jeżeli grunty rodzime w wykopach i miejscach zerowych nie spełniają wymaganego wskaźnika zagęszczenia, to przed ułożeniem konstrukcji nawierzchni należy je dogęścić do wartości I</w:t>
      </w:r>
      <w:r w:rsidRPr="00BA1D9A">
        <w:rPr>
          <w:rFonts w:asciiTheme="minorHAnsi" w:hAnsiTheme="minorHAnsi" w:cstheme="minorHAnsi"/>
          <w:vertAlign w:val="subscript"/>
        </w:rPr>
        <w:t>s</w:t>
      </w:r>
      <w:r w:rsidRPr="00BA1D9A">
        <w:rPr>
          <w:rFonts w:asciiTheme="minorHAnsi" w:hAnsiTheme="minorHAnsi" w:cstheme="minorHAnsi"/>
        </w:rPr>
        <w:t>, podanych w tablicy 1.</w:t>
      </w:r>
    </w:p>
    <w:p w14:paraId="1E4B1B3E" w14:textId="77777777" w:rsidR="00BA1D9A" w:rsidRPr="00BA1D9A" w:rsidRDefault="00BA1D9A" w:rsidP="00BA1D9A">
      <w:pPr>
        <w:tabs>
          <w:tab w:val="left" w:pos="9914"/>
        </w:tabs>
        <w:rPr>
          <w:rFonts w:asciiTheme="minorHAnsi" w:hAnsiTheme="minorHAnsi" w:cstheme="minorHAnsi"/>
        </w:rPr>
      </w:pPr>
      <w:r w:rsidRPr="00BA1D9A">
        <w:rPr>
          <w:rFonts w:asciiTheme="minorHAnsi" w:hAnsiTheme="minorHAnsi" w:cstheme="minorHAnsi"/>
        </w:rPr>
        <w:t>Jeżeli wartości wskaźnika zagęszczenia określone w tablicy 1 nie mogą być osiągnięte przez bezpośrednie zagęszczanie gruntów rodzimych, to należy podjąć środki w celu ulepszenia gruntu podłoża, umożliwiającego uzyskanie wymaganych wartości wskaźnika zagęszczenia. Możliwe do zastosowania środki proponuje Wykonawca i przedstawia do akceptacji Inżynierowi/Kierownikowi projektu.</w:t>
      </w:r>
    </w:p>
    <w:p w14:paraId="4260D252" w14:textId="77777777" w:rsidR="00BA1D9A" w:rsidRPr="00BA1D9A" w:rsidRDefault="00BA1D9A" w:rsidP="00BA1D9A">
      <w:pPr>
        <w:tabs>
          <w:tab w:val="left" w:pos="9914"/>
        </w:tabs>
        <w:rPr>
          <w:rFonts w:asciiTheme="minorHAnsi" w:hAnsiTheme="minorHAnsi" w:cstheme="minorHAnsi"/>
        </w:rPr>
      </w:pPr>
      <w:r w:rsidRPr="00BA1D9A">
        <w:rPr>
          <w:rFonts w:asciiTheme="minorHAnsi" w:hAnsiTheme="minorHAnsi" w:cstheme="minorHAnsi"/>
        </w:rPr>
        <w:t>Za zgodą Inżyniera/kierownika projektu dopuszcza się prowadzenie badań przy zastosowaniu metod alternatywnych – w szczególności lekkiej płyty dynamicznej ZFG-02 lub lekkiej sondy wbijanej SD-10 zgodnie z Instrukcją Badań Podłoża Gruntowego Budowli Mostowych i Drogowych Część 2 Załącznik, Warszawa 1998. Korelacji pomiędzy wynikami uzyskanymi przy pomocy metod alternatywnych, a wymaganiami niniejszej SST należy dokonać zgodnie z instrukcjami producentów urządzeń alternatywnych</w:t>
      </w:r>
    </w:p>
    <w:p w14:paraId="1771617E" w14:textId="77777777" w:rsidR="00BA1D9A" w:rsidRPr="00BA1D9A" w:rsidRDefault="00BA1D9A" w:rsidP="00BA1D9A">
      <w:pPr>
        <w:tabs>
          <w:tab w:val="left" w:pos="9914"/>
        </w:tabs>
        <w:rPr>
          <w:rFonts w:asciiTheme="minorHAnsi" w:hAnsiTheme="minorHAnsi" w:cstheme="minorHAnsi"/>
        </w:rPr>
      </w:pPr>
      <w:r w:rsidRPr="00BA1D9A">
        <w:rPr>
          <w:rFonts w:asciiTheme="minorHAnsi" w:hAnsiTheme="minorHAnsi" w:cstheme="minorHAnsi"/>
        </w:rPr>
        <w:t>Podczas zagęszczania gruntu wilgotność naturalna gruntu nie powinna się różnić od wilgotności optymalnej o ±2% dla gruntów niespoistych i od 0 do -2% dla gruntów mało i średnio spoistych. Pomiaru wilgotności naturalnej gruntu należy dokonać w oparciu o normę PKN-CEN ISO/TS 17892-1</w:t>
      </w:r>
    </w:p>
    <w:p w14:paraId="73B5E01C" w14:textId="77777777" w:rsidR="00BA1D9A" w:rsidRPr="00BA1D9A" w:rsidRDefault="00BA1D9A" w:rsidP="00BA1D9A">
      <w:pPr>
        <w:tabs>
          <w:tab w:val="left" w:pos="9914"/>
        </w:tabs>
        <w:rPr>
          <w:rFonts w:asciiTheme="minorHAnsi" w:hAnsiTheme="minorHAnsi" w:cstheme="minorHAnsi"/>
        </w:rPr>
      </w:pPr>
      <w:r w:rsidRPr="00BA1D9A">
        <w:rPr>
          <w:rFonts w:asciiTheme="minorHAnsi" w:hAnsiTheme="minorHAnsi" w:cstheme="minorHAnsi"/>
        </w:rPr>
        <w:t>W przypadku przekroczenia wymaganej wilgotności należy odczekać do naturalnego osuszenia gruntu, bądź zastosować inne środki zaakceptowane przez Inżyniera/Kierownika projektu.</w:t>
      </w:r>
    </w:p>
    <w:p w14:paraId="23637B00" w14:textId="77777777" w:rsidR="00BA1D9A" w:rsidRPr="00BA1D9A" w:rsidRDefault="00BA1D9A" w:rsidP="00BA1D9A">
      <w:pPr>
        <w:tabs>
          <w:tab w:val="left" w:pos="9914"/>
        </w:tabs>
        <w:rPr>
          <w:rFonts w:asciiTheme="minorHAnsi" w:hAnsiTheme="minorHAnsi" w:cstheme="minorHAnsi"/>
        </w:rPr>
      </w:pPr>
      <w:r w:rsidRPr="00BA1D9A">
        <w:rPr>
          <w:rFonts w:asciiTheme="minorHAnsi" w:hAnsiTheme="minorHAnsi" w:cstheme="minorHAnsi"/>
        </w:rPr>
        <w:t>Jeżeli wartości wskaźnika zagęszczenia oraz nośności nie mogą być osiągnięte przez bezpośrednie zagęszczanie gruntów rodzimych, należy podjąć środki dla ulepszenia gruntu w wykopie, umożliwiające uzyskanie wymaganych wartości wskaźnika zagęszczenia oraz wtórnego modułu odkształcenia. Możliwe do zastosowania środki proponuje Wykonawca i przedstawia do akceptacji Inżynierowi/Kierownikowi projektu oraz Projektantowi</w:t>
      </w:r>
    </w:p>
    <w:p w14:paraId="3A7266F9" w14:textId="77777777" w:rsidR="00BA1D9A" w:rsidRPr="00DE28CE" w:rsidRDefault="00BA1D9A" w:rsidP="00BA1D9A">
      <w:pPr>
        <w:pStyle w:val="Nagwek4"/>
        <w:tabs>
          <w:tab w:val="left" w:pos="9914"/>
        </w:tabs>
        <w:rPr>
          <w:rFonts w:asciiTheme="minorHAnsi" w:hAnsiTheme="minorHAnsi" w:cstheme="minorHAnsi"/>
        </w:rPr>
      </w:pPr>
      <w:bookmarkStart w:id="211" w:name="_Toc405615048"/>
      <w:bookmarkStart w:id="212" w:name="_Toc407161196"/>
      <w:r w:rsidRPr="00DE28CE">
        <w:rPr>
          <w:rFonts w:asciiTheme="minorHAnsi" w:hAnsiTheme="minorHAnsi" w:cstheme="minorHAnsi"/>
        </w:rPr>
        <w:t>5.3. Dokładność wykonania wykopów i nasypów</w:t>
      </w:r>
      <w:bookmarkEnd w:id="211"/>
      <w:bookmarkEnd w:id="212"/>
    </w:p>
    <w:p w14:paraId="51E52C3B" w14:textId="77777777" w:rsidR="00BA1D9A" w:rsidRPr="00BA1D9A" w:rsidRDefault="00BA1D9A" w:rsidP="00BA1D9A">
      <w:pPr>
        <w:pStyle w:val="Standardowytekst"/>
        <w:tabs>
          <w:tab w:val="left" w:pos="9914"/>
        </w:tabs>
        <w:suppressAutoHyphens/>
        <w:rPr>
          <w:rFonts w:asciiTheme="minorHAnsi" w:hAnsiTheme="minorHAnsi" w:cstheme="minorHAnsi"/>
        </w:rPr>
      </w:pPr>
      <w:r w:rsidRPr="00BA1D9A">
        <w:rPr>
          <w:rFonts w:asciiTheme="minorHAnsi" w:hAnsiTheme="minorHAnsi" w:cstheme="minorHAnsi"/>
        </w:rPr>
        <w:t>Odchylenie osi korpusu ziemnego, w wykopie od osi projektowanej nie powinny być większe niż ± 10 cm. Różnica w stosunku do projektowanych rzędnych robót ziemnych nie może przekraczać + 1 cm i -3 cm.</w:t>
      </w:r>
    </w:p>
    <w:p w14:paraId="5FDEC21A" w14:textId="77777777" w:rsidR="00BA1D9A" w:rsidRPr="00BA1D9A" w:rsidRDefault="00BA1D9A" w:rsidP="00BA1D9A">
      <w:pPr>
        <w:pStyle w:val="Standardowytekst"/>
        <w:tabs>
          <w:tab w:val="left" w:pos="9914"/>
        </w:tabs>
        <w:suppressAutoHyphens/>
        <w:rPr>
          <w:rFonts w:asciiTheme="minorHAnsi" w:hAnsiTheme="minorHAnsi" w:cstheme="minorHAnsi"/>
        </w:rPr>
      </w:pPr>
      <w:r w:rsidRPr="00BA1D9A">
        <w:rPr>
          <w:rFonts w:asciiTheme="minorHAnsi" w:hAnsiTheme="minorHAnsi" w:cstheme="minorHAnsi"/>
        </w:rPr>
        <w:t>Szerokość górnej powierzchni korpusu nie może różnić się od szerokości projektowanej o więcej niż ± 10 cm, a krawędzie korony drogi nie powinny mieć wyraźnych załamań w planie.</w:t>
      </w:r>
    </w:p>
    <w:p w14:paraId="7FC94425" w14:textId="77777777" w:rsidR="00BA1D9A" w:rsidRPr="00BA1D9A" w:rsidRDefault="00BA1D9A" w:rsidP="00BA1D9A">
      <w:pPr>
        <w:pStyle w:val="Standardowytekst"/>
        <w:tabs>
          <w:tab w:val="left" w:pos="9914"/>
        </w:tabs>
        <w:suppressAutoHyphens/>
        <w:rPr>
          <w:rFonts w:asciiTheme="minorHAnsi" w:hAnsiTheme="minorHAnsi" w:cstheme="minorHAnsi"/>
        </w:rPr>
      </w:pPr>
      <w:r w:rsidRPr="00BA1D9A">
        <w:rPr>
          <w:rFonts w:asciiTheme="minorHAnsi" w:hAnsiTheme="minorHAnsi" w:cstheme="minorHAnsi"/>
        </w:rPr>
        <w:t>Pochylenie skarp nie powinno różnić się od projektowanego o więcej niż 10% jego wartości wyrażonej tangensem kąta. Maksymalne nierówności na powierzchni skarp nie powinny przekraczać ± 10 cm przy pomiarze łatą 3-metrową, albo powinny być spełnione inne wymagania dotyczące nierówności, wynikające ze sposobu umocnienia powierzchni skarpy.</w:t>
      </w:r>
    </w:p>
    <w:p w14:paraId="67484470" w14:textId="77777777" w:rsidR="00BA1D9A" w:rsidRPr="00DE28CE" w:rsidRDefault="00BA1D9A" w:rsidP="00BA1D9A">
      <w:pPr>
        <w:pStyle w:val="Nagwek4"/>
        <w:tabs>
          <w:tab w:val="left" w:pos="9914"/>
        </w:tabs>
        <w:rPr>
          <w:rFonts w:asciiTheme="minorHAnsi" w:hAnsiTheme="minorHAnsi" w:cstheme="minorHAnsi"/>
        </w:rPr>
      </w:pPr>
      <w:bookmarkStart w:id="213" w:name="_Toc405615049"/>
      <w:bookmarkStart w:id="214" w:name="_Toc407161197"/>
      <w:r w:rsidRPr="00DE28CE">
        <w:rPr>
          <w:rFonts w:asciiTheme="minorHAnsi" w:hAnsiTheme="minorHAnsi" w:cstheme="minorHAnsi"/>
        </w:rPr>
        <w:t>5.4. Odwodnienia pasa robót ziemnych</w:t>
      </w:r>
      <w:bookmarkEnd w:id="213"/>
      <w:bookmarkEnd w:id="214"/>
    </w:p>
    <w:p w14:paraId="5A766669" w14:textId="77777777" w:rsidR="00BA1D9A" w:rsidRPr="00BA1D9A" w:rsidRDefault="00BA1D9A" w:rsidP="00BA1D9A">
      <w:pPr>
        <w:pStyle w:val="Standardowytekst"/>
        <w:tabs>
          <w:tab w:val="left" w:pos="9914"/>
        </w:tabs>
        <w:suppressAutoHyphens/>
        <w:rPr>
          <w:rFonts w:asciiTheme="minorHAnsi" w:hAnsiTheme="minorHAnsi" w:cstheme="minorHAnsi"/>
        </w:rPr>
      </w:pPr>
      <w:r w:rsidRPr="00BA1D9A">
        <w:rPr>
          <w:rFonts w:asciiTheme="minorHAnsi" w:hAnsiTheme="minorHAnsi" w:cstheme="minorHAnsi"/>
        </w:rPr>
        <w:t>Niezależnie od budowy urządzeń, stanowiących elementy systemów odwadniających, ujętych w dokumentacji projektowej, Wykonawca powinien, o ile wymagają tego warunki terenowe, wykonać urządzenia, które zapewnią odprowadzenie wód gruntowych i opadowych poza obszar robót ziemnych tak, aby zabezpieczyć grunty przed przewilgoceniem i nawodnieniem. Wykonawca ma obowiązek takiego wykonywania wykopów i nasypów, aby powierzchniom gruntu nadawać w całym okresie trwania robót spadki, zapewniające prawidłowe odwodnienie.</w:t>
      </w:r>
    </w:p>
    <w:p w14:paraId="0B43AF4D" w14:textId="77777777" w:rsidR="00BA1D9A" w:rsidRPr="00BA1D9A" w:rsidRDefault="00BA1D9A" w:rsidP="00BA1D9A">
      <w:pPr>
        <w:pStyle w:val="Standardowytekst"/>
        <w:tabs>
          <w:tab w:val="left" w:pos="9914"/>
        </w:tabs>
        <w:suppressAutoHyphens/>
        <w:rPr>
          <w:rFonts w:asciiTheme="minorHAnsi" w:hAnsiTheme="minorHAnsi" w:cstheme="minorHAnsi"/>
        </w:rPr>
      </w:pPr>
      <w:r w:rsidRPr="00BA1D9A">
        <w:rPr>
          <w:rFonts w:asciiTheme="minorHAnsi" w:hAnsiTheme="minorHAnsi" w:cstheme="minorHAnsi"/>
        </w:rPr>
        <w:t>Jeżeli, wskutek zaniedbania Wykonawcy, grunty ulegną nawodnieniu, które spowoduje ich długotrwałą nieprzydatność, Wykonawca ma obowiązek usunięcia tych gruntów i zastąpienia ich gruntami przydatnymi na własny koszt bez jakichkolwiek dodatkowych opłat ze strony Zamawiającego za te czynności, jak również za dowieziony grunt.</w:t>
      </w:r>
    </w:p>
    <w:p w14:paraId="3EA8D8B1" w14:textId="77777777" w:rsidR="00BA1D9A" w:rsidRPr="00BA1D9A" w:rsidRDefault="00BA1D9A" w:rsidP="00BA1D9A">
      <w:pPr>
        <w:pStyle w:val="Standardowytekst"/>
        <w:tabs>
          <w:tab w:val="left" w:pos="9914"/>
        </w:tabs>
        <w:suppressAutoHyphens/>
        <w:rPr>
          <w:rFonts w:asciiTheme="minorHAnsi" w:hAnsiTheme="minorHAnsi" w:cstheme="minorHAnsi"/>
        </w:rPr>
      </w:pPr>
      <w:r w:rsidRPr="00BA1D9A">
        <w:rPr>
          <w:rFonts w:asciiTheme="minorHAnsi" w:hAnsiTheme="minorHAnsi" w:cstheme="minorHAnsi"/>
        </w:rPr>
        <w:t>Odprowadzenie wód do istniejących zbiorników naturalnych i urządzeń odwadniających musi być poprzedzone uzgodnieniem z odpowiednimi instytucjami.</w:t>
      </w:r>
    </w:p>
    <w:p w14:paraId="6E8DCF39" w14:textId="77777777" w:rsidR="00BA1D9A" w:rsidRPr="00DE28CE" w:rsidRDefault="00BA1D9A" w:rsidP="00BA1D9A">
      <w:pPr>
        <w:pStyle w:val="Nagwek4"/>
        <w:tabs>
          <w:tab w:val="left" w:pos="9914"/>
        </w:tabs>
        <w:rPr>
          <w:rFonts w:asciiTheme="minorHAnsi" w:hAnsiTheme="minorHAnsi" w:cstheme="minorHAnsi"/>
        </w:rPr>
      </w:pPr>
      <w:bookmarkStart w:id="215" w:name="_Toc405615050"/>
      <w:bookmarkStart w:id="216" w:name="_Toc407161198"/>
      <w:r w:rsidRPr="00DE28CE">
        <w:rPr>
          <w:rFonts w:asciiTheme="minorHAnsi" w:hAnsiTheme="minorHAnsi" w:cstheme="minorHAnsi"/>
        </w:rPr>
        <w:t>5.5. Odwodnienie wykopów</w:t>
      </w:r>
      <w:bookmarkEnd w:id="215"/>
      <w:bookmarkEnd w:id="216"/>
    </w:p>
    <w:p w14:paraId="51539E24" w14:textId="77777777" w:rsidR="00BA1D9A" w:rsidRPr="00BA1D9A" w:rsidRDefault="00BA1D9A" w:rsidP="00BA1D9A">
      <w:pPr>
        <w:pStyle w:val="Standardowytekst"/>
        <w:tabs>
          <w:tab w:val="left" w:pos="9914"/>
        </w:tabs>
        <w:suppressAutoHyphens/>
        <w:rPr>
          <w:rFonts w:asciiTheme="minorHAnsi" w:hAnsiTheme="minorHAnsi" w:cstheme="minorHAnsi"/>
        </w:rPr>
      </w:pPr>
      <w:r w:rsidRPr="00BA1D9A">
        <w:rPr>
          <w:rFonts w:asciiTheme="minorHAnsi" w:hAnsiTheme="minorHAnsi" w:cstheme="minorHAnsi"/>
        </w:rPr>
        <w:t>Technologia wykonania wykopu musi umożliwiać jego prawidłowe odwodnienie w całym okresie trwania robót ziemnych. Wykonanie wykopów powinno postępować w kierunku podnoszenia się niwelety.</w:t>
      </w:r>
    </w:p>
    <w:p w14:paraId="0FE69C3B" w14:textId="77777777" w:rsidR="00BA1D9A" w:rsidRPr="00BA1D9A" w:rsidRDefault="00BA1D9A" w:rsidP="00BA1D9A">
      <w:pPr>
        <w:pStyle w:val="Standardowytekst"/>
        <w:tabs>
          <w:tab w:val="left" w:pos="9914"/>
        </w:tabs>
        <w:suppressAutoHyphens/>
        <w:rPr>
          <w:rFonts w:asciiTheme="minorHAnsi" w:hAnsiTheme="minorHAnsi" w:cstheme="minorHAnsi"/>
        </w:rPr>
      </w:pPr>
      <w:r w:rsidRPr="00BA1D9A">
        <w:rPr>
          <w:rFonts w:asciiTheme="minorHAnsi" w:hAnsiTheme="minorHAnsi" w:cstheme="minorHAnsi"/>
        </w:rPr>
        <w:t>W czasie robót ziemnych należy zachować odpowiedni spadek podłużny i nadać przekrojom poprzecznym spadki, umożliwiające szybki odpływ wód z wykopu. O ile w dokumentacji projektowej nie zawarto innego wymagania, spadek poprzeczny nie powinien być mniejszy niż 4% w przypadku gruntów spoistych i nie mniejszy niż 2% w przypadku gruntów niespoistych. Należy uwzględnić ewentualny wpływ kolejności i sposobu odspajania gruntów oraz terminów wykonywania innych robót na spełnienie wymagań dotyczących prawidłowego odwodnienia wykopu w czasie postępu robót ziemnych.</w:t>
      </w:r>
    </w:p>
    <w:p w14:paraId="1D042C0C" w14:textId="77777777" w:rsidR="00BA1D9A" w:rsidRPr="00BA1D9A" w:rsidRDefault="00BA1D9A" w:rsidP="00BA1D9A">
      <w:pPr>
        <w:pStyle w:val="Standardowytekst"/>
        <w:tabs>
          <w:tab w:val="left" w:pos="9914"/>
        </w:tabs>
        <w:suppressAutoHyphens/>
        <w:rPr>
          <w:rFonts w:asciiTheme="minorHAnsi" w:hAnsiTheme="minorHAnsi" w:cstheme="minorHAnsi"/>
        </w:rPr>
      </w:pPr>
      <w:r w:rsidRPr="00BA1D9A">
        <w:rPr>
          <w:rFonts w:asciiTheme="minorHAnsi" w:hAnsiTheme="minorHAnsi" w:cstheme="minorHAnsi"/>
        </w:rPr>
        <w:t>Źródła wody, odsłonięte przy wykonywaniu wykopów, należy ująć w dreny. Wody opadowe i gruntowe należy odprowadzić poza teren pasa robót ziemnych.</w:t>
      </w:r>
    </w:p>
    <w:p w14:paraId="441A8D12" w14:textId="7667E653" w:rsidR="00BA1D9A" w:rsidRPr="00DE28CE" w:rsidRDefault="00BA1D9A" w:rsidP="00BA1D9A">
      <w:pPr>
        <w:pStyle w:val="Nagwek4"/>
        <w:tabs>
          <w:tab w:val="left" w:pos="9914"/>
        </w:tabs>
        <w:rPr>
          <w:rFonts w:asciiTheme="minorHAnsi" w:hAnsiTheme="minorHAnsi" w:cstheme="minorHAnsi"/>
        </w:rPr>
      </w:pPr>
      <w:bookmarkStart w:id="217" w:name="_Toc405615051"/>
      <w:bookmarkStart w:id="218" w:name="_Toc407161199"/>
      <w:r w:rsidRPr="00DE28CE">
        <w:rPr>
          <w:rFonts w:asciiTheme="minorHAnsi" w:hAnsiTheme="minorHAnsi" w:cstheme="minorHAnsi"/>
        </w:rPr>
        <w:t>5.</w:t>
      </w:r>
      <w:r w:rsidR="00DE28CE" w:rsidRPr="00DE28CE">
        <w:rPr>
          <w:rFonts w:asciiTheme="minorHAnsi" w:hAnsiTheme="minorHAnsi" w:cstheme="minorHAnsi"/>
        </w:rPr>
        <w:t>6</w:t>
      </w:r>
      <w:r w:rsidRPr="00DE28CE">
        <w:rPr>
          <w:rFonts w:asciiTheme="minorHAnsi" w:hAnsiTheme="minorHAnsi" w:cstheme="minorHAnsi"/>
        </w:rPr>
        <w:t>. Rowy</w:t>
      </w:r>
      <w:bookmarkEnd w:id="217"/>
      <w:bookmarkEnd w:id="218"/>
    </w:p>
    <w:p w14:paraId="49A2B4AB" w14:textId="77777777" w:rsidR="00BA1D9A" w:rsidRPr="00BA1D9A" w:rsidRDefault="00BA1D9A" w:rsidP="00BA1D9A">
      <w:pPr>
        <w:tabs>
          <w:tab w:val="left" w:pos="9914"/>
        </w:tabs>
        <w:rPr>
          <w:rFonts w:asciiTheme="minorHAnsi" w:hAnsiTheme="minorHAnsi" w:cstheme="minorHAnsi"/>
        </w:rPr>
      </w:pPr>
      <w:r w:rsidRPr="00BA1D9A">
        <w:rPr>
          <w:rFonts w:asciiTheme="minorHAnsi" w:hAnsiTheme="minorHAnsi" w:cstheme="minorHAnsi"/>
        </w:rPr>
        <w:t xml:space="preserve">Rowy powinny być wykonane zgodnie z dokumentacją projektową. Szerokość dna i głębokość rowu nie mogą różnić się od wymiarów projektowanych o więcej niż ± 5 cm. </w:t>
      </w:r>
    </w:p>
    <w:p w14:paraId="01F9E8C1" w14:textId="7D461E3D" w:rsidR="00BA1D9A" w:rsidRPr="00DE28CE" w:rsidRDefault="00BA1D9A" w:rsidP="00BA1D9A">
      <w:pPr>
        <w:pStyle w:val="Nagwek4"/>
        <w:tabs>
          <w:tab w:val="left" w:pos="9914"/>
        </w:tabs>
        <w:rPr>
          <w:rFonts w:asciiTheme="minorHAnsi" w:hAnsiTheme="minorHAnsi" w:cstheme="minorHAnsi"/>
        </w:rPr>
      </w:pPr>
      <w:bookmarkStart w:id="219" w:name="_Toc407161225"/>
      <w:r w:rsidRPr="00DE28CE">
        <w:rPr>
          <w:rFonts w:asciiTheme="minorHAnsi" w:hAnsiTheme="minorHAnsi" w:cstheme="minorHAnsi"/>
        </w:rPr>
        <w:t>5.</w:t>
      </w:r>
      <w:r w:rsidR="00DE28CE" w:rsidRPr="00DE28CE">
        <w:rPr>
          <w:rFonts w:asciiTheme="minorHAnsi" w:hAnsiTheme="minorHAnsi" w:cstheme="minorHAnsi"/>
        </w:rPr>
        <w:t>7</w:t>
      </w:r>
      <w:r w:rsidRPr="00DE28CE">
        <w:rPr>
          <w:rFonts w:asciiTheme="minorHAnsi" w:hAnsiTheme="minorHAnsi" w:cstheme="minorHAnsi"/>
        </w:rPr>
        <w:t>. Ruch budowlany</w:t>
      </w:r>
      <w:bookmarkEnd w:id="219"/>
    </w:p>
    <w:p w14:paraId="6B62E56A" w14:textId="77777777" w:rsidR="00BA1D9A" w:rsidRPr="00BA1D9A" w:rsidRDefault="00BA1D9A" w:rsidP="00BA1D9A">
      <w:pPr>
        <w:tabs>
          <w:tab w:val="left" w:pos="9914"/>
        </w:tabs>
        <w:rPr>
          <w:rFonts w:asciiTheme="minorHAnsi" w:hAnsiTheme="minorHAnsi" w:cstheme="minorHAnsi"/>
        </w:rPr>
      </w:pPr>
      <w:r w:rsidRPr="00BA1D9A">
        <w:rPr>
          <w:rFonts w:asciiTheme="minorHAnsi" w:hAnsiTheme="minorHAnsi" w:cstheme="minorHAnsi"/>
        </w:rPr>
        <w:t>Nie należy dopuszczać ruchu budowlanego po dnie wykopu o ile grubość warstwy gruntu (nadkładu) powyżej rzędnych robót ziemnych jest mniejsza niż 0,3 m.</w:t>
      </w:r>
    </w:p>
    <w:p w14:paraId="4C080148" w14:textId="77777777" w:rsidR="00BA1D9A" w:rsidRPr="00BA1D9A" w:rsidRDefault="00BA1D9A" w:rsidP="00BA1D9A">
      <w:pPr>
        <w:tabs>
          <w:tab w:val="left" w:pos="9914"/>
        </w:tabs>
        <w:rPr>
          <w:rFonts w:asciiTheme="minorHAnsi" w:hAnsiTheme="minorHAnsi" w:cstheme="minorHAnsi"/>
        </w:rPr>
      </w:pPr>
      <w:r w:rsidRPr="00BA1D9A">
        <w:rPr>
          <w:rFonts w:asciiTheme="minorHAnsi" w:hAnsiTheme="minorHAnsi" w:cstheme="minorHAnsi"/>
        </w:rPr>
        <w:t>Z chwilą przystąpienia do ostatecznego profilowania dna wykopu dopuszcza się po nim jedynie ruch maszyn wykonujących tę czynność budowlaną. Może odbywać się jedynie sporadyczny ruch pojazdów, które nie spowodują uszkodzeń powierzchni korpusu.</w:t>
      </w:r>
    </w:p>
    <w:p w14:paraId="6A25F59B" w14:textId="77777777" w:rsidR="00BA1D9A" w:rsidRPr="00BA1D9A" w:rsidRDefault="00BA1D9A" w:rsidP="00BA1D9A">
      <w:pPr>
        <w:tabs>
          <w:tab w:val="left" w:pos="9914"/>
        </w:tabs>
        <w:rPr>
          <w:rFonts w:asciiTheme="minorHAnsi" w:hAnsiTheme="minorHAnsi" w:cstheme="minorHAnsi"/>
        </w:rPr>
      </w:pPr>
      <w:r w:rsidRPr="00BA1D9A">
        <w:rPr>
          <w:rFonts w:asciiTheme="minorHAnsi" w:hAnsiTheme="minorHAnsi" w:cstheme="minorHAnsi"/>
        </w:rPr>
        <w:t>Naprawa uszkodzeń powierzchni robót ziemnych, wynikających z niedotrzymania podanych powyżej warunków obciąża Wykonawcę robót ziemnych.</w:t>
      </w:r>
    </w:p>
    <w:p w14:paraId="4D4C1BF7" w14:textId="77777777" w:rsidR="00BA1D9A" w:rsidRPr="00C86F6B" w:rsidRDefault="00BA1D9A" w:rsidP="00BA1D9A">
      <w:pPr>
        <w:pStyle w:val="Nagwek3"/>
        <w:tabs>
          <w:tab w:val="left" w:pos="9914"/>
        </w:tabs>
        <w:rPr>
          <w:rFonts w:asciiTheme="minorHAnsi" w:hAnsiTheme="minorHAnsi" w:cstheme="minorHAnsi"/>
        </w:rPr>
      </w:pPr>
      <w:bookmarkStart w:id="220" w:name="_Toc407161226"/>
      <w:bookmarkStart w:id="221" w:name="_Toc418994930"/>
      <w:bookmarkStart w:id="222" w:name="_Toc418996337"/>
      <w:bookmarkStart w:id="223" w:name="_Toc418996706"/>
      <w:bookmarkStart w:id="224" w:name="_Toc418997093"/>
      <w:bookmarkStart w:id="225" w:name="_Toc418998503"/>
      <w:bookmarkStart w:id="226" w:name="_Toc418998859"/>
      <w:bookmarkStart w:id="227" w:name="_Toc419000104"/>
      <w:r w:rsidRPr="00C86F6B">
        <w:rPr>
          <w:rFonts w:asciiTheme="minorHAnsi" w:hAnsiTheme="minorHAnsi" w:cstheme="minorHAnsi"/>
        </w:rPr>
        <w:t>6. KONTROLA JAKOŚCI ROBÓT</w:t>
      </w:r>
      <w:bookmarkEnd w:id="220"/>
      <w:bookmarkEnd w:id="221"/>
      <w:bookmarkEnd w:id="222"/>
      <w:bookmarkEnd w:id="223"/>
      <w:bookmarkEnd w:id="224"/>
      <w:bookmarkEnd w:id="225"/>
      <w:bookmarkEnd w:id="226"/>
      <w:bookmarkEnd w:id="227"/>
    </w:p>
    <w:p w14:paraId="7BD9B8B4" w14:textId="77777777" w:rsidR="00BA1D9A" w:rsidRPr="00DE28CE" w:rsidRDefault="00BA1D9A" w:rsidP="00BA1D9A">
      <w:pPr>
        <w:pStyle w:val="Nagwek4"/>
        <w:tabs>
          <w:tab w:val="left" w:pos="9914"/>
        </w:tabs>
        <w:rPr>
          <w:rFonts w:asciiTheme="minorHAnsi" w:hAnsiTheme="minorHAnsi" w:cstheme="minorHAnsi"/>
        </w:rPr>
      </w:pPr>
      <w:bookmarkStart w:id="228" w:name="_Toc407161227"/>
      <w:r w:rsidRPr="00DE28CE">
        <w:rPr>
          <w:rFonts w:asciiTheme="minorHAnsi" w:hAnsiTheme="minorHAnsi" w:cstheme="minorHAnsi"/>
        </w:rPr>
        <w:t>6.1. Ogólne zasady kontroli jakości robót</w:t>
      </w:r>
      <w:bookmarkEnd w:id="228"/>
    </w:p>
    <w:p w14:paraId="6A8FD9C2" w14:textId="6DCDA1CF" w:rsidR="00BA1D9A" w:rsidRPr="00BA1D9A" w:rsidRDefault="00BA1D9A" w:rsidP="00BA1D9A">
      <w:pPr>
        <w:tabs>
          <w:tab w:val="left" w:pos="9914"/>
        </w:tabs>
        <w:rPr>
          <w:rFonts w:asciiTheme="minorHAnsi" w:hAnsiTheme="minorHAnsi" w:cstheme="minorHAnsi"/>
        </w:rPr>
      </w:pPr>
      <w:r w:rsidRPr="00BA1D9A">
        <w:rPr>
          <w:rFonts w:asciiTheme="minorHAnsi" w:hAnsiTheme="minorHAnsi" w:cstheme="minorHAnsi"/>
        </w:rPr>
        <w:t xml:space="preserve">Ogólne zasady kontroli jakości robót podano w </w:t>
      </w:r>
      <w:r w:rsidR="001C2347">
        <w:rPr>
          <w:rFonts w:asciiTheme="minorHAnsi" w:hAnsiTheme="minorHAnsi" w:cstheme="minorHAnsi"/>
        </w:rPr>
        <w:t>ST</w:t>
      </w:r>
      <w:r w:rsidRPr="00BA1D9A">
        <w:rPr>
          <w:rFonts w:asciiTheme="minorHAnsi" w:hAnsiTheme="minorHAnsi" w:cstheme="minorHAnsi"/>
        </w:rPr>
        <w:t>WiORB D-M=00.00.00 pkt 6.</w:t>
      </w:r>
    </w:p>
    <w:p w14:paraId="2BA1D7CC" w14:textId="77777777" w:rsidR="00BA1D9A" w:rsidRPr="00DE28CE" w:rsidRDefault="00BA1D9A" w:rsidP="00BA1D9A">
      <w:pPr>
        <w:pStyle w:val="Nagwek4"/>
        <w:tabs>
          <w:tab w:val="left" w:pos="9914"/>
        </w:tabs>
        <w:rPr>
          <w:rFonts w:asciiTheme="minorHAnsi" w:hAnsiTheme="minorHAnsi" w:cstheme="minorHAnsi"/>
        </w:rPr>
      </w:pPr>
      <w:bookmarkStart w:id="229" w:name="_Toc407161228"/>
      <w:r w:rsidRPr="00DE28CE">
        <w:rPr>
          <w:rFonts w:asciiTheme="minorHAnsi" w:hAnsiTheme="minorHAnsi" w:cstheme="minorHAnsi"/>
        </w:rPr>
        <w:t>6.2. Kontrola wykonania wykopów</w:t>
      </w:r>
      <w:bookmarkEnd w:id="229"/>
    </w:p>
    <w:p w14:paraId="7AE06B4C" w14:textId="77777777" w:rsidR="00BA1D9A" w:rsidRPr="00BA1D9A" w:rsidRDefault="00BA1D9A" w:rsidP="00BA1D9A">
      <w:pPr>
        <w:tabs>
          <w:tab w:val="left" w:pos="9914"/>
        </w:tabs>
        <w:rPr>
          <w:rFonts w:asciiTheme="minorHAnsi" w:hAnsiTheme="minorHAnsi" w:cstheme="minorHAnsi"/>
        </w:rPr>
      </w:pPr>
      <w:r w:rsidRPr="00BA1D9A">
        <w:rPr>
          <w:rFonts w:asciiTheme="minorHAnsi" w:hAnsiTheme="minorHAnsi" w:cstheme="minorHAnsi"/>
        </w:rPr>
        <w:t>Kontrola wykonania wykopów polega na sprawdzeniu zgodności z wymaganiami określonymi w dokumentacji projektowej. W czasie kontroli szczególną uwagę należy zwrócić na:</w:t>
      </w:r>
    </w:p>
    <w:p w14:paraId="0E8139AC" w14:textId="77777777" w:rsidR="00BA1D9A" w:rsidRPr="00BA1D9A" w:rsidRDefault="00BA1D9A" w:rsidP="00262498">
      <w:pPr>
        <w:numPr>
          <w:ilvl w:val="0"/>
          <w:numId w:val="226"/>
        </w:numPr>
        <w:tabs>
          <w:tab w:val="left" w:pos="9914"/>
        </w:tabs>
        <w:suppressAutoHyphens/>
        <w:textAlignment w:val="auto"/>
        <w:rPr>
          <w:rFonts w:asciiTheme="minorHAnsi" w:hAnsiTheme="minorHAnsi" w:cstheme="minorHAnsi"/>
        </w:rPr>
      </w:pPr>
      <w:r w:rsidRPr="00BA1D9A">
        <w:rPr>
          <w:rFonts w:asciiTheme="minorHAnsi" w:hAnsiTheme="minorHAnsi" w:cstheme="minorHAnsi"/>
        </w:rPr>
        <w:t>sposób odspajania gruntów nie pogarszający ich właściwości,</w:t>
      </w:r>
    </w:p>
    <w:p w14:paraId="0E8E4717" w14:textId="77777777" w:rsidR="00BA1D9A" w:rsidRPr="00BA1D9A" w:rsidRDefault="00BA1D9A" w:rsidP="00262498">
      <w:pPr>
        <w:numPr>
          <w:ilvl w:val="0"/>
          <w:numId w:val="226"/>
        </w:numPr>
        <w:tabs>
          <w:tab w:val="left" w:pos="9914"/>
        </w:tabs>
        <w:suppressAutoHyphens/>
        <w:textAlignment w:val="auto"/>
        <w:rPr>
          <w:rFonts w:asciiTheme="minorHAnsi" w:hAnsiTheme="minorHAnsi" w:cstheme="minorHAnsi"/>
        </w:rPr>
      </w:pPr>
      <w:r w:rsidRPr="00BA1D9A">
        <w:rPr>
          <w:rFonts w:asciiTheme="minorHAnsi" w:hAnsiTheme="minorHAnsi" w:cstheme="minorHAnsi"/>
        </w:rPr>
        <w:t>zapewnienie stateczności skarp,</w:t>
      </w:r>
    </w:p>
    <w:p w14:paraId="0349FB66" w14:textId="77777777" w:rsidR="00BA1D9A" w:rsidRPr="00BA1D9A" w:rsidRDefault="00BA1D9A" w:rsidP="00262498">
      <w:pPr>
        <w:numPr>
          <w:ilvl w:val="0"/>
          <w:numId w:val="226"/>
        </w:numPr>
        <w:tabs>
          <w:tab w:val="left" w:pos="9914"/>
        </w:tabs>
        <w:suppressAutoHyphens/>
        <w:textAlignment w:val="auto"/>
        <w:rPr>
          <w:rFonts w:asciiTheme="minorHAnsi" w:hAnsiTheme="minorHAnsi" w:cstheme="minorHAnsi"/>
        </w:rPr>
      </w:pPr>
      <w:r w:rsidRPr="00BA1D9A">
        <w:rPr>
          <w:rFonts w:asciiTheme="minorHAnsi" w:hAnsiTheme="minorHAnsi" w:cstheme="minorHAnsi"/>
        </w:rPr>
        <w:t>odwodnienie wykopów w czasie wykonywania robót i po ich zakończeniu,</w:t>
      </w:r>
    </w:p>
    <w:p w14:paraId="483E3AD1" w14:textId="77777777" w:rsidR="00BA1D9A" w:rsidRPr="00BA1D9A" w:rsidRDefault="00BA1D9A" w:rsidP="00262498">
      <w:pPr>
        <w:numPr>
          <w:ilvl w:val="0"/>
          <w:numId w:val="226"/>
        </w:numPr>
        <w:tabs>
          <w:tab w:val="left" w:pos="9914"/>
        </w:tabs>
        <w:suppressAutoHyphens/>
        <w:textAlignment w:val="auto"/>
        <w:rPr>
          <w:rFonts w:asciiTheme="minorHAnsi" w:hAnsiTheme="minorHAnsi" w:cstheme="minorHAnsi"/>
        </w:rPr>
      </w:pPr>
      <w:r w:rsidRPr="00BA1D9A">
        <w:rPr>
          <w:rFonts w:asciiTheme="minorHAnsi" w:hAnsiTheme="minorHAnsi" w:cstheme="minorHAnsi"/>
        </w:rPr>
        <w:t>dokładność wykonania wykopów (usytuowanie i wykończenie),</w:t>
      </w:r>
    </w:p>
    <w:p w14:paraId="166337B3" w14:textId="77777777" w:rsidR="00BA1D9A" w:rsidRPr="00BA1D9A" w:rsidRDefault="00BA1D9A" w:rsidP="00262498">
      <w:pPr>
        <w:numPr>
          <w:ilvl w:val="0"/>
          <w:numId w:val="226"/>
        </w:numPr>
        <w:tabs>
          <w:tab w:val="left" w:pos="9914"/>
        </w:tabs>
        <w:suppressAutoHyphens/>
        <w:ind w:left="284" w:hanging="284"/>
        <w:textAlignment w:val="auto"/>
        <w:rPr>
          <w:rFonts w:asciiTheme="minorHAnsi" w:hAnsiTheme="minorHAnsi" w:cstheme="minorHAnsi"/>
        </w:rPr>
      </w:pPr>
      <w:r w:rsidRPr="00BA1D9A">
        <w:rPr>
          <w:rFonts w:asciiTheme="minorHAnsi" w:hAnsiTheme="minorHAnsi" w:cstheme="minorHAnsi"/>
        </w:rPr>
        <w:t>zagęszczenie górnej strefy korpusu w wykopie według wymagań określonych w pkcie 5.2.</w:t>
      </w:r>
    </w:p>
    <w:p w14:paraId="775C9B5A" w14:textId="77777777" w:rsidR="00BA1D9A" w:rsidRPr="00DE28CE" w:rsidRDefault="00BA1D9A" w:rsidP="00BA1D9A">
      <w:pPr>
        <w:pStyle w:val="Nagwek4"/>
        <w:tabs>
          <w:tab w:val="left" w:pos="9914"/>
        </w:tabs>
        <w:rPr>
          <w:rFonts w:asciiTheme="minorHAnsi" w:hAnsiTheme="minorHAnsi" w:cstheme="minorHAnsi"/>
        </w:rPr>
      </w:pPr>
      <w:bookmarkStart w:id="230" w:name="_Toc405615055"/>
      <w:bookmarkStart w:id="231" w:name="_Toc407161203"/>
      <w:r w:rsidRPr="00DE28CE">
        <w:rPr>
          <w:rFonts w:asciiTheme="minorHAnsi" w:hAnsiTheme="minorHAnsi" w:cstheme="minorHAnsi"/>
        </w:rPr>
        <w:t>6.3. Badania do odbioru korpusu ziemnego</w:t>
      </w:r>
      <w:bookmarkEnd w:id="230"/>
      <w:bookmarkEnd w:id="231"/>
    </w:p>
    <w:p w14:paraId="36C0B6EB" w14:textId="77777777" w:rsidR="00BA1D9A" w:rsidRPr="00BA1D9A" w:rsidRDefault="00BA1D9A" w:rsidP="00BA1D9A">
      <w:pPr>
        <w:tabs>
          <w:tab w:val="left" w:pos="0"/>
        </w:tabs>
        <w:rPr>
          <w:rFonts w:asciiTheme="minorHAnsi" w:hAnsiTheme="minorHAnsi" w:cstheme="minorHAnsi"/>
        </w:rPr>
      </w:pPr>
      <w:r w:rsidRPr="00BA1D9A">
        <w:rPr>
          <w:rFonts w:asciiTheme="minorHAnsi" w:hAnsiTheme="minorHAnsi" w:cstheme="minorHAnsi"/>
          <w:b/>
          <w:bCs/>
          <w:i/>
          <w:iCs/>
        </w:rPr>
        <w:t>6.3.1. Częstotliwość oraz zakres badań i pomiarów</w:t>
      </w:r>
    </w:p>
    <w:p w14:paraId="1A362C84" w14:textId="77777777" w:rsidR="00BA1D9A" w:rsidRPr="00BA1D9A" w:rsidRDefault="00BA1D9A" w:rsidP="00BA1D9A">
      <w:pPr>
        <w:pStyle w:val="Standardowytekst"/>
        <w:tabs>
          <w:tab w:val="left" w:pos="9914"/>
        </w:tabs>
        <w:suppressAutoHyphens/>
        <w:rPr>
          <w:rFonts w:asciiTheme="minorHAnsi" w:hAnsiTheme="minorHAnsi" w:cstheme="minorHAnsi"/>
        </w:rPr>
      </w:pPr>
      <w:r w:rsidRPr="00BA1D9A">
        <w:rPr>
          <w:rFonts w:asciiTheme="minorHAnsi" w:hAnsiTheme="minorHAnsi" w:cstheme="minorHAnsi"/>
        </w:rPr>
        <w:t>Częstotliwość oraz zakres badań i pomiarów do odbioru korpusu ziemnego podaje tablica 2.</w:t>
      </w:r>
    </w:p>
    <w:p w14:paraId="2B5680F2" w14:textId="77777777" w:rsidR="00BA1D9A" w:rsidRPr="00BA1D9A" w:rsidRDefault="00BA1D9A" w:rsidP="00BA1D9A">
      <w:pPr>
        <w:pStyle w:val="Standardowytekst"/>
        <w:tabs>
          <w:tab w:val="left" w:pos="9914"/>
        </w:tabs>
        <w:suppressAutoHyphens/>
        <w:rPr>
          <w:rFonts w:asciiTheme="minorHAnsi" w:hAnsiTheme="minorHAnsi" w:cstheme="minorHAnsi"/>
        </w:rPr>
      </w:pPr>
    </w:p>
    <w:p w14:paraId="309D9836" w14:textId="77777777" w:rsidR="00BA1D9A" w:rsidRPr="00BA1D9A" w:rsidRDefault="00BA1D9A" w:rsidP="00BA1D9A">
      <w:pPr>
        <w:pStyle w:val="Standardowytekst"/>
        <w:tabs>
          <w:tab w:val="left" w:pos="9914"/>
        </w:tabs>
        <w:suppressAutoHyphens/>
        <w:rPr>
          <w:rFonts w:asciiTheme="minorHAnsi" w:hAnsiTheme="minorHAnsi" w:cstheme="minorHAnsi"/>
        </w:rPr>
      </w:pPr>
    </w:p>
    <w:p w14:paraId="28E5105B" w14:textId="77777777" w:rsidR="00BA1D9A" w:rsidRPr="00BA1D9A" w:rsidRDefault="00BA1D9A" w:rsidP="00BA1D9A">
      <w:pPr>
        <w:pStyle w:val="Standardowytekst"/>
        <w:tabs>
          <w:tab w:val="left" w:pos="9914"/>
        </w:tabs>
        <w:suppressAutoHyphens/>
        <w:rPr>
          <w:rFonts w:asciiTheme="minorHAnsi" w:hAnsiTheme="minorHAnsi" w:cstheme="minorHAnsi"/>
        </w:rPr>
      </w:pPr>
      <w:r w:rsidRPr="00BA1D9A">
        <w:rPr>
          <w:rFonts w:asciiTheme="minorHAnsi" w:hAnsiTheme="minorHAnsi" w:cstheme="minorHAnsi"/>
        </w:rPr>
        <w:t>Tablica 2. Częstotliwość oraz zakres badań i pomiarów wykonanych robót ziemnych</w:t>
      </w:r>
    </w:p>
    <w:tbl>
      <w:tblPr>
        <w:tblW w:w="0" w:type="auto"/>
        <w:tblInd w:w="2" w:type="dxa"/>
        <w:tblLayout w:type="fixed"/>
        <w:tblCellMar>
          <w:left w:w="70" w:type="dxa"/>
          <w:right w:w="70" w:type="dxa"/>
        </w:tblCellMar>
        <w:tblLook w:val="04A0" w:firstRow="1" w:lastRow="0" w:firstColumn="1" w:lastColumn="0" w:noHBand="0" w:noVBand="1"/>
      </w:tblPr>
      <w:tblGrid>
        <w:gridCol w:w="496"/>
        <w:gridCol w:w="3543"/>
        <w:gridCol w:w="5670"/>
      </w:tblGrid>
      <w:tr w:rsidR="00BA1D9A" w:rsidRPr="00BA1D9A" w14:paraId="6BC52558" w14:textId="77777777" w:rsidTr="00BA1D9A">
        <w:trPr>
          <w:cantSplit/>
        </w:trPr>
        <w:tc>
          <w:tcPr>
            <w:tcW w:w="496" w:type="dxa"/>
            <w:tcBorders>
              <w:top w:val="single" w:sz="6" w:space="0" w:color="auto"/>
              <w:left w:val="single" w:sz="6" w:space="0" w:color="auto"/>
              <w:bottom w:val="double" w:sz="6" w:space="0" w:color="auto"/>
              <w:right w:val="single" w:sz="6" w:space="0" w:color="auto"/>
            </w:tcBorders>
            <w:hideMark/>
          </w:tcPr>
          <w:p w14:paraId="76B14A7F" w14:textId="77777777" w:rsidR="00BA1D9A" w:rsidRPr="00BA1D9A" w:rsidRDefault="00BA1D9A">
            <w:pPr>
              <w:pStyle w:val="Standardowytekst"/>
              <w:tabs>
                <w:tab w:val="left" w:pos="9914"/>
              </w:tabs>
              <w:suppressAutoHyphens/>
              <w:rPr>
                <w:rFonts w:asciiTheme="minorHAnsi" w:hAnsiTheme="minorHAnsi" w:cstheme="minorHAnsi"/>
              </w:rPr>
            </w:pPr>
            <w:r w:rsidRPr="00BA1D9A">
              <w:rPr>
                <w:rFonts w:asciiTheme="minorHAnsi" w:hAnsiTheme="minorHAnsi" w:cstheme="minorHAnsi"/>
              </w:rPr>
              <w:t>Lp.</w:t>
            </w:r>
          </w:p>
        </w:tc>
        <w:tc>
          <w:tcPr>
            <w:tcW w:w="3543" w:type="dxa"/>
            <w:tcBorders>
              <w:top w:val="single" w:sz="6" w:space="0" w:color="auto"/>
              <w:left w:val="single" w:sz="6" w:space="0" w:color="auto"/>
              <w:bottom w:val="double" w:sz="6" w:space="0" w:color="auto"/>
              <w:right w:val="single" w:sz="6" w:space="0" w:color="auto"/>
            </w:tcBorders>
            <w:hideMark/>
          </w:tcPr>
          <w:p w14:paraId="0A83E95E" w14:textId="77777777" w:rsidR="00BA1D9A" w:rsidRPr="00BA1D9A" w:rsidRDefault="00BA1D9A">
            <w:pPr>
              <w:pStyle w:val="Standardowytekst"/>
              <w:tabs>
                <w:tab w:val="left" w:pos="9914"/>
              </w:tabs>
              <w:suppressAutoHyphens/>
              <w:rPr>
                <w:rFonts w:asciiTheme="minorHAnsi" w:hAnsiTheme="minorHAnsi" w:cstheme="minorHAnsi"/>
              </w:rPr>
            </w:pPr>
            <w:r w:rsidRPr="00BA1D9A">
              <w:rPr>
                <w:rFonts w:asciiTheme="minorHAnsi" w:hAnsiTheme="minorHAnsi" w:cstheme="minorHAnsi"/>
              </w:rPr>
              <w:t>Badana cecha</w:t>
            </w:r>
          </w:p>
        </w:tc>
        <w:tc>
          <w:tcPr>
            <w:tcW w:w="5670" w:type="dxa"/>
            <w:tcBorders>
              <w:top w:val="single" w:sz="6" w:space="0" w:color="auto"/>
              <w:left w:val="nil"/>
              <w:bottom w:val="double" w:sz="6" w:space="0" w:color="auto"/>
              <w:right w:val="single" w:sz="6" w:space="0" w:color="auto"/>
            </w:tcBorders>
            <w:hideMark/>
          </w:tcPr>
          <w:p w14:paraId="019C7F1D" w14:textId="77777777" w:rsidR="00BA1D9A" w:rsidRPr="00BA1D9A" w:rsidRDefault="00BA1D9A">
            <w:pPr>
              <w:pStyle w:val="Standardowytekst"/>
              <w:tabs>
                <w:tab w:val="left" w:pos="9914"/>
              </w:tabs>
              <w:suppressAutoHyphens/>
              <w:rPr>
                <w:rFonts w:asciiTheme="minorHAnsi" w:hAnsiTheme="minorHAnsi" w:cstheme="minorHAnsi"/>
              </w:rPr>
            </w:pPr>
            <w:r w:rsidRPr="00BA1D9A">
              <w:rPr>
                <w:rFonts w:asciiTheme="minorHAnsi" w:hAnsiTheme="minorHAnsi" w:cstheme="minorHAnsi"/>
              </w:rPr>
              <w:t>Minimalna częstotliwość badań i pomiarów</w:t>
            </w:r>
          </w:p>
        </w:tc>
      </w:tr>
      <w:tr w:rsidR="00BA1D9A" w:rsidRPr="00BA1D9A" w14:paraId="09AF7B9A" w14:textId="77777777" w:rsidTr="00BA1D9A">
        <w:trPr>
          <w:cantSplit/>
        </w:trPr>
        <w:tc>
          <w:tcPr>
            <w:tcW w:w="496" w:type="dxa"/>
            <w:tcBorders>
              <w:top w:val="nil"/>
              <w:left w:val="single" w:sz="6" w:space="0" w:color="auto"/>
              <w:bottom w:val="single" w:sz="6" w:space="0" w:color="auto"/>
              <w:right w:val="single" w:sz="6" w:space="0" w:color="auto"/>
            </w:tcBorders>
            <w:hideMark/>
          </w:tcPr>
          <w:p w14:paraId="05368873" w14:textId="77777777" w:rsidR="00BA1D9A" w:rsidRPr="00BA1D9A" w:rsidRDefault="00BA1D9A">
            <w:pPr>
              <w:pStyle w:val="Standardowytekst"/>
              <w:tabs>
                <w:tab w:val="left" w:pos="9914"/>
              </w:tabs>
              <w:suppressAutoHyphens/>
              <w:rPr>
                <w:rFonts w:asciiTheme="minorHAnsi" w:hAnsiTheme="minorHAnsi" w:cstheme="minorHAnsi"/>
              </w:rPr>
            </w:pPr>
            <w:r w:rsidRPr="00BA1D9A">
              <w:rPr>
                <w:rFonts w:asciiTheme="minorHAnsi" w:hAnsiTheme="minorHAnsi" w:cstheme="minorHAnsi"/>
              </w:rPr>
              <w:t>1</w:t>
            </w:r>
          </w:p>
        </w:tc>
        <w:tc>
          <w:tcPr>
            <w:tcW w:w="3543" w:type="dxa"/>
            <w:tcBorders>
              <w:top w:val="nil"/>
              <w:left w:val="single" w:sz="6" w:space="0" w:color="auto"/>
              <w:bottom w:val="single" w:sz="6" w:space="0" w:color="auto"/>
              <w:right w:val="single" w:sz="6" w:space="0" w:color="auto"/>
            </w:tcBorders>
            <w:hideMark/>
          </w:tcPr>
          <w:p w14:paraId="181D5CF3" w14:textId="77777777" w:rsidR="00BA1D9A" w:rsidRPr="00BA1D9A" w:rsidRDefault="00BA1D9A">
            <w:pPr>
              <w:pStyle w:val="Standardowytekst"/>
              <w:tabs>
                <w:tab w:val="left" w:pos="9914"/>
              </w:tabs>
              <w:suppressAutoHyphens/>
              <w:rPr>
                <w:rFonts w:asciiTheme="minorHAnsi" w:hAnsiTheme="minorHAnsi" w:cstheme="minorHAnsi"/>
              </w:rPr>
            </w:pPr>
            <w:r w:rsidRPr="00BA1D9A">
              <w:rPr>
                <w:rFonts w:asciiTheme="minorHAnsi" w:hAnsiTheme="minorHAnsi" w:cstheme="minorHAnsi"/>
              </w:rPr>
              <w:t>Pomiar szerokości korpusu ziemnego</w:t>
            </w:r>
          </w:p>
        </w:tc>
        <w:tc>
          <w:tcPr>
            <w:tcW w:w="5670" w:type="dxa"/>
            <w:tcBorders>
              <w:top w:val="nil"/>
              <w:left w:val="nil"/>
              <w:bottom w:val="nil"/>
              <w:right w:val="single" w:sz="6" w:space="0" w:color="auto"/>
            </w:tcBorders>
            <w:hideMark/>
          </w:tcPr>
          <w:p w14:paraId="3983A075" w14:textId="77777777" w:rsidR="00BA1D9A" w:rsidRPr="00BA1D9A" w:rsidRDefault="00BA1D9A">
            <w:pPr>
              <w:pStyle w:val="Standardowytekst"/>
              <w:tabs>
                <w:tab w:val="left" w:pos="9914"/>
              </w:tabs>
              <w:suppressAutoHyphens/>
              <w:rPr>
                <w:rFonts w:asciiTheme="minorHAnsi" w:hAnsiTheme="minorHAnsi" w:cstheme="minorHAnsi"/>
              </w:rPr>
            </w:pPr>
            <w:r w:rsidRPr="00BA1D9A">
              <w:rPr>
                <w:rFonts w:asciiTheme="minorHAnsi" w:hAnsiTheme="minorHAnsi" w:cstheme="minorHAnsi"/>
              </w:rPr>
              <w:t>Pomiar taśmą, szablonem, łatą o długości 3 m i poziomicą lub niwelatorem, w odstępach co 200 m na</w:t>
            </w:r>
          </w:p>
        </w:tc>
      </w:tr>
      <w:tr w:rsidR="00BA1D9A" w:rsidRPr="00BA1D9A" w14:paraId="08836956" w14:textId="77777777" w:rsidTr="00BA1D9A">
        <w:trPr>
          <w:cantSplit/>
        </w:trPr>
        <w:tc>
          <w:tcPr>
            <w:tcW w:w="496" w:type="dxa"/>
            <w:tcBorders>
              <w:top w:val="single" w:sz="6" w:space="0" w:color="auto"/>
              <w:left w:val="single" w:sz="6" w:space="0" w:color="auto"/>
              <w:bottom w:val="single" w:sz="6" w:space="0" w:color="auto"/>
              <w:right w:val="single" w:sz="6" w:space="0" w:color="auto"/>
            </w:tcBorders>
            <w:hideMark/>
          </w:tcPr>
          <w:p w14:paraId="2C258748" w14:textId="77777777" w:rsidR="00BA1D9A" w:rsidRPr="00BA1D9A" w:rsidRDefault="00BA1D9A">
            <w:pPr>
              <w:pStyle w:val="Standardowytekst"/>
              <w:tabs>
                <w:tab w:val="left" w:pos="9914"/>
              </w:tabs>
              <w:suppressAutoHyphens/>
              <w:rPr>
                <w:rFonts w:asciiTheme="minorHAnsi" w:hAnsiTheme="minorHAnsi" w:cstheme="minorHAnsi"/>
              </w:rPr>
            </w:pPr>
            <w:r w:rsidRPr="00BA1D9A">
              <w:rPr>
                <w:rFonts w:asciiTheme="minorHAnsi" w:hAnsiTheme="minorHAnsi" w:cstheme="minorHAnsi"/>
              </w:rPr>
              <w:t>2</w:t>
            </w:r>
          </w:p>
        </w:tc>
        <w:tc>
          <w:tcPr>
            <w:tcW w:w="3543" w:type="dxa"/>
            <w:tcBorders>
              <w:top w:val="single" w:sz="6" w:space="0" w:color="auto"/>
              <w:left w:val="single" w:sz="6" w:space="0" w:color="auto"/>
              <w:bottom w:val="single" w:sz="6" w:space="0" w:color="auto"/>
              <w:right w:val="single" w:sz="6" w:space="0" w:color="auto"/>
            </w:tcBorders>
            <w:hideMark/>
          </w:tcPr>
          <w:p w14:paraId="36C3A1CF" w14:textId="77777777" w:rsidR="00BA1D9A" w:rsidRPr="00BA1D9A" w:rsidRDefault="00BA1D9A">
            <w:pPr>
              <w:pStyle w:val="Standardowytekst"/>
              <w:tabs>
                <w:tab w:val="left" w:pos="9914"/>
              </w:tabs>
              <w:suppressAutoHyphens/>
              <w:rPr>
                <w:rFonts w:asciiTheme="minorHAnsi" w:hAnsiTheme="minorHAnsi" w:cstheme="minorHAnsi"/>
              </w:rPr>
            </w:pPr>
            <w:r w:rsidRPr="00BA1D9A">
              <w:rPr>
                <w:rFonts w:asciiTheme="minorHAnsi" w:hAnsiTheme="minorHAnsi" w:cstheme="minorHAnsi"/>
              </w:rPr>
              <w:t>Pomiar szerokości dna rowów</w:t>
            </w:r>
          </w:p>
        </w:tc>
        <w:tc>
          <w:tcPr>
            <w:tcW w:w="5670" w:type="dxa"/>
            <w:tcBorders>
              <w:top w:val="nil"/>
              <w:left w:val="nil"/>
              <w:bottom w:val="nil"/>
              <w:right w:val="single" w:sz="6" w:space="0" w:color="auto"/>
            </w:tcBorders>
            <w:hideMark/>
          </w:tcPr>
          <w:p w14:paraId="0A235513" w14:textId="77777777" w:rsidR="00BA1D9A" w:rsidRPr="00BA1D9A" w:rsidRDefault="00BA1D9A">
            <w:pPr>
              <w:pStyle w:val="Standardowytekst"/>
              <w:tabs>
                <w:tab w:val="left" w:pos="9914"/>
              </w:tabs>
              <w:suppressAutoHyphens/>
              <w:rPr>
                <w:rFonts w:asciiTheme="minorHAnsi" w:hAnsiTheme="minorHAnsi" w:cstheme="minorHAnsi"/>
              </w:rPr>
            </w:pPr>
            <w:r w:rsidRPr="00BA1D9A">
              <w:rPr>
                <w:rFonts w:asciiTheme="minorHAnsi" w:hAnsiTheme="minorHAnsi" w:cstheme="minorHAnsi"/>
              </w:rPr>
              <w:t xml:space="preserve">prostych, w punktach głównych łuku, co 100 m na łukach o R </w:t>
            </w:r>
            <w:r w:rsidRPr="00BA1D9A">
              <w:rPr>
                <w:rFonts w:asciiTheme="minorHAnsi" w:hAnsiTheme="minorHAnsi" w:cstheme="minorHAnsi"/>
              </w:rPr>
              <w:sym w:font="Symbol" w:char="F0B3"/>
            </w:r>
            <w:r w:rsidRPr="00BA1D9A">
              <w:rPr>
                <w:rFonts w:asciiTheme="minorHAnsi" w:hAnsiTheme="minorHAnsi" w:cstheme="minorHAnsi"/>
              </w:rPr>
              <w:t xml:space="preserve"> 100 m co 50 m na łukach o R </w:t>
            </w:r>
            <w:r w:rsidRPr="00BA1D9A">
              <w:rPr>
                <w:rFonts w:asciiTheme="minorHAnsi" w:hAnsiTheme="minorHAnsi" w:cstheme="minorHAnsi"/>
              </w:rPr>
              <w:sym w:font="Symbol" w:char="F03C"/>
            </w:r>
            <w:r w:rsidRPr="00BA1D9A">
              <w:rPr>
                <w:rFonts w:asciiTheme="minorHAnsi" w:hAnsiTheme="minorHAnsi" w:cstheme="minorHAnsi"/>
              </w:rPr>
              <w:t xml:space="preserve"> 100 m</w:t>
            </w:r>
          </w:p>
        </w:tc>
      </w:tr>
      <w:tr w:rsidR="00BA1D9A" w:rsidRPr="00BA1D9A" w14:paraId="035533F8" w14:textId="77777777" w:rsidTr="00BA1D9A">
        <w:trPr>
          <w:cantSplit/>
        </w:trPr>
        <w:tc>
          <w:tcPr>
            <w:tcW w:w="496" w:type="dxa"/>
            <w:tcBorders>
              <w:top w:val="single" w:sz="6" w:space="0" w:color="auto"/>
              <w:left w:val="single" w:sz="6" w:space="0" w:color="auto"/>
              <w:bottom w:val="single" w:sz="6" w:space="0" w:color="auto"/>
              <w:right w:val="single" w:sz="6" w:space="0" w:color="auto"/>
            </w:tcBorders>
            <w:hideMark/>
          </w:tcPr>
          <w:p w14:paraId="346CBAE5" w14:textId="77777777" w:rsidR="00BA1D9A" w:rsidRPr="00BA1D9A" w:rsidRDefault="00BA1D9A">
            <w:pPr>
              <w:pStyle w:val="Standardowytekst"/>
              <w:tabs>
                <w:tab w:val="left" w:pos="9914"/>
              </w:tabs>
              <w:suppressAutoHyphens/>
              <w:rPr>
                <w:rFonts w:asciiTheme="minorHAnsi" w:hAnsiTheme="minorHAnsi" w:cstheme="minorHAnsi"/>
              </w:rPr>
            </w:pPr>
            <w:r w:rsidRPr="00BA1D9A">
              <w:rPr>
                <w:rFonts w:asciiTheme="minorHAnsi" w:hAnsiTheme="minorHAnsi" w:cstheme="minorHAnsi"/>
              </w:rPr>
              <w:t>3</w:t>
            </w:r>
          </w:p>
        </w:tc>
        <w:tc>
          <w:tcPr>
            <w:tcW w:w="3543" w:type="dxa"/>
            <w:tcBorders>
              <w:top w:val="single" w:sz="6" w:space="0" w:color="auto"/>
              <w:left w:val="single" w:sz="6" w:space="0" w:color="auto"/>
              <w:bottom w:val="single" w:sz="6" w:space="0" w:color="auto"/>
              <w:right w:val="single" w:sz="6" w:space="0" w:color="auto"/>
            </w:tcBorders>
            <w:hideMark/>
          </w:tcPr>
          <w:p w14:paraId="4A4AB4F0" w14:textId="77777777" w:rsidR="00BA1D9A" w:rsidRPr="00BA1D9A" w:rsidRDefault="00BA1D9A">
            <w:pPr>
              <w:pStyle w:val="Standardowytekst"/>
              <w:tabs>
                <w:tab w:val="left" w:pos="9914"/>
              </w:tabs>
              <w:suppressAutoHyphens/>
              <w:rPr>
                <w:rFonts w:asciiTheme="minorHAnsi" w:hAnsiTheme="minorHAnsi" w:cstheme="minorHAnsi"/>
              </w:rPr>
            </w:pPr>
            <w:r w:rsidRPr="00BA1D9A">
              <w:rPr>
                <w:rFonts w:asciiTheme="minorHAnsi" w:hAnsiTheme="minorHAnsi" w:cstheme="minorHAnsi"/>
              </w:rPr>
              <w:t>Pomiar rzędnych powierzchni korpusu ziemnego</w:t>
            </w:r>
          </w:p>
        </w:tc>
        <w:tc>
          <w:tcPr>
            <w:tcW w:w="5670" w:type="dxa"/>
            <w:tcBorders>
              <w:top w:val="nil"/>
              <w:left w:val="nil"/>
              <w:bottom w:val="nil"/>
              <w:right w:val="single" w:sz="6" w:space="0" w:color="auto"/>
            </w:tcBorders>
            <w:hideMark/>
          </w:tcPr>
          <w:p w14:paraId="2F0C3B8C" w14:textId="77777777" w:rsidR="00BA1D9A" w:rsidRPr="00BA1D9A" w:rsidRDefault="00BA1D9A">
            <w:pPr>
              <w:pStyle w:val="Standardowytekst"/>
              <w:tabs>
                <w:tab w:val="left" w:pos="9914"/>
              </w:tabs>
              <w:suppressAutoHyphens/>
              <w:rPr>
                <w:rFonts w:asciiTheme="minorHAnsi" w:hAnsiTheme="minorHAnsi" w:cstheme="minorHAnsi"/>
              </w:rPr>
            </w:pPr>
            <w:r w:rsidRPr="00BA1D9A">
              <w:rPr>
                <w:rFonts w:asciiTheme="minorHAnsi" w:hAnsiTheme="minorHAnsi" w:cstheme="minorHAnsi"/>
              </w:rPr>
              <w:t>oraz w miejscach, które budzą wątpliwości</w:t>
            </w:r>
          </w:p>
        </w:tc>
      </w:tr>
      <w:tr w:rsidR="00BA1D9A" w:rsidRPr="00BA1D9A" w14:paraId="528F65B7" w14:textId="77777777" w:rsidTr="00BA1D9A">
        <w:trPr>
          <w:cantSplit/>
        </w:trPr>
        <w:tc>
          <w:tcPr>
            <w:tcW w:w="496" w:type="dxa"/>
            <w:tcBorders>
              <w:top w:val="single" w:sz="6" w:space="0" w:color="auto"/>
              <w:left w:val="single" w:sz="6" w:space="0" w:color="auto"/>
              <w:bottom w:val="single" w:sz="6" w:space="0" w:color="auto"/>
              <w:right w:val="single" w:sz="6" w:space="0" w:color="auto"/>
            </w:tcBorders>
            <w:hideMark/>
          </w:tcPr>
          <w:p w14:paraId="76B756DB" w14:textId="77777777" w:rsidR="00BA1D9A" w:rsidRPr="00BA1D9A" w:rsidRDefault="00BA1D9A">
            <w:pPr>
              <w:pStyle w:val="Standardowytekst"/>
              <w:tabs>
                <w:tab w:val="left" w:pos="9914"/>
              </w:tabs>
              <w:suppressAutoHyphens/>
              <w:rPr>
                <w:rFonts w:asciiTheme="minorHAnsi" w:hAnsiTheme="minorHAnsi" w:cstheme="minorHAnsi"/>
              </w:rPr>
            </w:pPr>
            <w:r w:rsidRPr="00BA1D9A">
              <w:rPr>
                <w:rFonts w:asciiTheme="minorHAnsi" w:hAnsiTheme="minorHAnsi" w:cstheme="minorHAnsi"/>
              </w:rPr>
              <w:t>4</w:t>
            </w:r>
          </w:p>
        </w:tc>
        <w:tc>
          <w:tcPr>
            <w:tcW w:w="3543" w:type="dxa"/>
            <w:tcBorders>
              <w:top w:val="single" w:sz="6" w:space="0" w:color="auto"/>
              <w:left w:val="single" w:sz="6" w:space="0" w:color="auto"/>
              <w:bottom w:val="single" w:sz="6" w:space="0" w:color="auto"/>
              <w:right w:val="single" w:sz="6" w:space="0" w:color="auto"/>
            </w:tcBorders>
            <w:hideMark/>
          </w:tcPr>
          <w:p w14:paraId="728BFE61" w14:textId="77777777" w:rsidR="00BA1D9A" w:rsidRPr="00BA1D9A" w:rsidRDefault="00BA1D9A">
            <w:pPr>
              <w:pStyle w:val="Standardowytekst"/>
              <w:tabs>
                <w:tab w:val="left" w:pos="9914"/>
              </w:tabs>
              <w:suppressAutoHyphens/>
              <w:rPr>
                <w:rFonts w:asciiTheme="minorHAnsi" w:hAnsiTheme="minorHAnsi" w:cstheme="minorHAnsi"/>
              </w:rPr>
            </w:pPr>
            <w:r w:rsidRPr="00BA1D9A">
              <w:rPr>
                <w:rFonts w:asciiTheme="minorHAnsi" w:hAnsiTheme="minorHAnsi" w:cstheme="minorHAnsi"/>
              </w:rPr>
              <w:t>Pomiar pochylenia skarp</w:t>
            </w:r>
          </w:p>
        </w:tc>
        <w:tc>
          <w:tcPr>
            <w:tcW w:w="5670" w:type="dxa"/>
            <w:tcBorders>
              <w:top w:val="nil"/>
              <w:left w:val="nil"/>
              <w:bottom w:val="nil"/>
              <w:right w:val="single" w:sz="6" w:space="0" w:color="auto"/>
            </w:tcBorders>
          </w:tcPr>
          <w:p w14:paraId="7FAAB284" w14:textId="77777777" w:rsidR="00BA1D9A" w:rsidRPr="00BA1D9A" w:rsidRDefault="00BA1D9A">
            <w:pPr>
              <w:pStyle w:val="Standardowytekst"/>
              <w:tabs>
                <w:tab w:val="left" w:pos="9914"/>
              </w:tabs>
              <w:suppressAutoHyphens/>
              <w:rPr>
                <w:rFonts w:asciiTheme="minorHAnsi" w:hAnsiTheme="minorHAnsi" w:cstheme="minorHAnsi"/>
              </w:rPr>
            </w:pPr>
          </w:p>
        </w:tc>
      </w:tr>
      <w:tr w:rsidR="00BA1D9A" w:rsidRPr="00BA1D9A" w14:paraId="0E5F424F" w14:textId="77777777" w:rsidTr="00BA1D9A">
        <w:trPr>
          <w:cantSplit/>
        </w:trPr>
        <w:tc>
          <w:tcPr>
            <w:tcW w:w="496" w:type="dxa"/>
            <w:tcBorders>
              <w:top w:val="single" w:sz="6" w:space="0" w:color="auto"/>
              <w:left w:val="single" w:sz="6" w:space="0" w:color="auto"/>
              <w:bottom w:val="single" w:sz="6" w:space="0" w:color="auto"/>
              <w:right w:val="single" w:sz="6" w:space="0" w:color="auto"/>
            </w:tcBorders>
            <w:hideMark/>
          </w:tcPr>
          <w:p w14:paraId="623E0FBF" w14:textId="77777777" w:rsidR="00BA1D9A" w:rsidRPr="00BA1D9A" w:rsidRDefault="00BA1D9A">
            <w:pPr>
              <w:pStyle w:val="Standardowytekst"/>
              <w:tabs>
                <w:tab w:val="left" w:pos="9914"/>
              </w:tabs>
              <w:suppressAutoHyphens/>
              <w:rPr>
                <w:rFonts w:asciiTheme="minorHAnsi" w:hAnsiTheme="minorHAnsi" w:cstheme="minorHAnsi"/>
              </w:rPr>
            </w:pPr>
            <w:r w:rsidRPr="00BA1D9A">
              <w:rPr>
                <w:rFonts w:asciiTheme="minorHAnsi" w:hAnsiTheme="minorHAnsi" w:cstheme="minorHAnsi"/>
              </w:rPr>
              <w:t>5</w:t>
            </w:r>
          </w:p>
        </w:tc>
        <w:tc>
          <w:tcPr>
            <w:tcW w:w="3543" w:type="dxa"/>
            <w:tcBorders>
              <w:top w:val="single" w:sz="6" w:space="0" w:color="auto"/>
              <w:left w:val="single" w:sz="6" w:space="0" w:color="auto"/>
              <w:bottom w:val="single" w:sz="6" w:space="0" w:color="auto"/>
              <w:right w:val="single" w:sz="6" w:space="0" w:color="auto"/>
            </w:tcBorders>
            <w:hideMark/>
          </w:tcPr>
          <w:p w14:paraId="01EEEC4E" w14:textId="77777777" w:rsidR="00BA1D9A" w:rsidRPr="00BA1D9A" w:rsidRDefault="00BA1D9A">
            <w:pPr>
              <w:pStyle w:val="Standardowytekst"/>
              <w:tabs>
                <w:tab w:val="left" w:pos="9914"/>
              </w:tabs>
              <w:suppressAutoHyphens/>
              <w:rPr>
                <w:rFonts w:asciiTheme="minorHAnsi" w:hAnsiTheme="minorHAnsi" w:cstheme="minorHAnsi"/>
              </w:rPr>
            </w:pPr>
            <w:r w:rsidRPr="00BA1D9A">
              <w:rPr>
                <w:rFonts w:asciiTheme="minorHAnsi" w:hAnsiTheme="minorHAnsi" w:cstheme="minorHAnsi"/>
              </w:rPr>
              <w:t>Pomiar równości powierzchni korpusu</w:t>
            </w:r>
          </w:p>
        </w:tc>
        <w:tc>
          <w:tcPr>
            <w:tcW w:w="5670" w:type="dxa"/>
            <w:tcBorders>
              <w:top w:val="nil"/>
              <w:left w:val="nil"/>
              <w:bottom w:val="nil"/>
              <w:right w:val="single" w:sz="6" w:space="0" w:color="auto"/>
            </w:tcBorders>
          </w:tcPr>
          <w:p w14:paraId="45EC1E9D" w14:textId="77777777" w:rsidR="00BA1D9A" w:rsidRPr="00BA1D9A" w:rsidRDefault="00BA1D9A">
            <w:pPr>
              <w:pStyle w:val="Standardowytekst"/>
              <w:tabs>
                <w:tab w:val="left" w:pos="9914"/>
              </w:tabs>
              <w:suppressAutoHyphens/>
              <w:rPr>
                <w:rFonts w:asciiTheme="minorHAnsi" w:hAnsiTheme="minorHAnsi" w:cstheme="minorHAnsi"/>
              </w:rPr>
            </w:pPr>
          </w:p>
        </w:tc>
      </w:tr>
      <w:tr w:rsidR="00BA1D9A" w:rsidRPr="00BA1D9A" w14:paraId="5DD50842" w14:textId="77777777" w:rsidTr="00BA1D9A">
        <w:trPr>
          <w:cantSplit/>
        </w:trPr>
        <w:tc>
          <w:tcPr>
            <w:tcW w:w="496" w:type="dxa"/>
            <w:tcBorders>
              <w:top w:val="single" w:sz="6" w:space="0" w:color="auto"/>
              <w:left w:val="single" w:sz="6" w:space="0" w:color="auto"/>
              <w:bottom w:val="single" w:sz="6" w:space="0" w:color="auto"/>
              <w:right w:val="single" w:sz="6" w:space="0" w:color="auto"/>
            </w:tcBorders>
            <w:hideMark/>
          </w:tcPr>
          <w:p w14:paraId="777F8FF0" w14:textId="77777777" w:rsidR="00BA1D9A" w:rsidRPr="00BA1D9A" w:rsidRDefault="00BA1D9A">
            <w:pPr>
              <w:pStyle w:val="Standardowytekst"/>
              <w:tabs>
                <w:tab w:val="left" w:pos="9914"/>
              </w:tabs>
              <w:suppressAutoHyphens/>
              <w:rPr>
                <w:rFonts w:asciiTheme="minorHAnsi" w:hAnsiTheme="minorHAnsi" w:cstheme="minorHAnsi"/>
              </w:rPr>
            </w:pPr>
            <w:r w:rsidRPr="00BA1D9A">
              <w:rPr>
                <w:rFonts w:asciiTheme="minorHAnsi" w:hAnsiTheme="minorHAnsi" w:cstheme="minorHAnsi"/>
              </w:rPr>
              <w:t>6</w:t>
            </w:r>
          </w:p>
        </w:tc>
        <w:tc>
          <w:tcPr>
            <w:tcW w:w="3543" w:type="dxa"/>
            <w:tcBorders>
              <w:top w:val="single" w:sz="6" w:space="0" w:color="auto"/>
              <w:left w:val="single" w:sz="6" w:space="0" w:color="auto"/>
              <w:bottom w:val="single" w:sz="6" w:space="0" w:color="auto"/>
              <w:right w:val="single" w:sz="6" w:space="0" w:color="auto"/>
            </w:tcBorders>
            <w:hideMark/>
          </w:tcPr>
          <w:p w14:paraId="73C1CFB6" w14:textId="77777777" w:rsidR="00BA1D9A" w:rsidRPr="00BA1D9A" w:rsidRDefault="00BA1D9A">
            <w:pPr>
              <w:pStyle w:val="Standardowytekst"/>
              <w:tabs>
                <w:tab w:val="left" w:pos="9914"/>
              </w:tabs>
              <w:suppressAutoHyphens/>
              <w:rPr>
                <w:rFonts w:asciiTheme="minorHAnsi" w:hAnsiTheme="minorHAnsi" w:cstheme="minorHAnsi"/>
              </w:rPr>
            </w:pPr>
            <w:r w:rsidRPr="00BA1D9A">
              <w:rPr>
                <w:rFonts w:asciiTheme="minorHAnsi" w:hAnsiTheme="minorHAnsi" w:cstheme="minorHAnsi"/>
              </w:rPr>
              <w:t>Pomiar równości skarp</w:t>
            </w:r>
          </w:p>
        </w:tc>
        <w:tc>
          <w:tcPr>
            <w:tcW w:w="5670" w:type="dxa"/>
            <w:tcBorders>
              <w:top w:val="nil"/>
              <w:left w:val="nil"/>
              <w:bottom w:val="single" w:sz="6" w:space="0" w:color="auto"/>
              <w:right w:val="single" w:sz="6" w:space="0" w:color="auto"/>
            </w:tcBorders>
          </w:tcPr>
          <w:p w14:paraId="6D4A7E1D" w14:textId="77777777" w:rsidR="00BA1D9A" w:rsidRPr="00BA1D9A" w:rsidRDefault="00BA1D9A">
            <w:pPr>
              <w:pStyle w:val="Standardowytekst"/>
              <w:tabs>
                <w:tab w:val="left" w:pos="9914"/>
              </w:tabs>
              <w:suppressAutoHyphens/>
              <w:rPr>
                <w:rFonts w:asciiTheme="minorHAnsi" w:hAnsiTheme="minorHAnsi" w:cstheme="minorHAnsi"/>
              </w:rPr>
            </w:pPr>
          </w:p>
        </w:tc>
      </w:tr>
      <w:tr w:rsidR="00BA1D9A" w:rsidRPr="00BA1D9A" w14:paraId="27A05F81" w14:textId="77777777" w:rsidTr="00BA1D9A">
        <w:trPr>
          <w:cantSplit/>
        </w:trPr>
        <w:tc>
          <w:tcPr>
            <w:tcW w:w="496" w:type="dxa"/>
            <w:tcBorders>
              <w:top w:val="nil"/>
              <w:left w:val="single" w:sz="6" w:space="0" w:color="auto"/>
              <w:bottom w:val="single" w:sz="6" w:space="0" w:color="auto"/>
              <w:right w:val="single" w:sz="6" w:space="0" w:color="auto"/>
            </w:tcBorders>
            <w:hideMark/>
          </w:tcPr>
          <w:p w14:paraId="50AAB134" w14:textId="77777777" w:rsidR="00BA1D9A" w:rsidRPr="00BA1D9A" w:rsidRDefault="00BA1D9A">
            <w:pPr>
              <w:pStyle w:val="Standardowytekst"/>
              <w:tabs>
                <w:tab w:val="left" w:pos="9914"/>
              </w:tabs>
              <w:suppressAutoHyphens/>
              <w:rPr>
                <w:rFonts w:asciiTheme="minorHAnsi" w:hAnsiTheme="minorHAnsi" w:cstheme="minorHAnsi"/>
              </w:rPr>
            </w:pPr>
            <w:r w:rsidRPr="00BA1D9A">
              <w:rPr>
                <w:rFonts w:asciiTheme="minorHAnsi" w:hAnsiTheme="minorHAnsi" w:cstheme="minorHAnsi"/>
              </w:rPr>
              <w:t>7</w:t>
            </w:r>
          </w:p>
        </w:tc>
        <w:tc>
          <w:tcPr>
            <w:tcW w:w="3543" w:type="dxa"/>
            <w:tcBorders>
              <w:top w:val="nil"/>
              <w:left w:val="single" w:sz="6" w:space="0" w:color="auto"/>
              <w:bottom w:val="single" w:sz="6" w:space="0" w:color="auto"/>
              <w:right w:val="single" w:sz="6" w:space="0" w:color="auto"/>
            </w:tcBorders>
            <w:hideMark/>
          </w:tcPr>
          <w:p w14:paraId="3F5D00F1" w14:textId="77777777" w:rsidR="00BA1D9A" w:rsidRPr="00BA1D9A" w:rsidRDefault="00BA1D9A">
            <w:pPr>
              <w:pStyle w:val="Standardowytekst"/>
              <w:tabs>
                <w:tab w:val="left" w:pos="9914"/>
              </w:tabs>
              <w:suppressAutoHyphens/>
              <w:rPr>
                <w:rFonts w:asciiTheme="minorHAnsi" w:hAnsiTheme="minorHAnsi" w:cstheme="minorHAnsi"/>
              </w:rPr>
            </w:pPr>
            <w:r w:rsidRPr="00BA1D9A">
              <w:rPr>
                <w:rFonts w:asciiTheme="minorHAnsi" w:hAnsiTheme="minorHAnsi" w:cstheme="minorHAnsi"/>
              </w:rPr>
              <w:t>Pomiar spadku podłużnego powierzchni korpusu lub dna rowu</w:t>
            </w:r>
          </w:p>
        </w:tc>
        <w:tc>
          <w:tcPr>
            <w:tcW w:w="5670" w:type="dxa"/>
            <w:tcBorders>
              <w:top w:val="nil"/>
              <w:left w:val="single" w:sz="6" w:space="0" w:color="auto"/>
              <w:bottom w:val="single" w:sz="6" w:space="0" w:color="auto"/>
              <w:right w:val="single" w:sz="6" w:space="0" w:color="auto"/>
            </w:tcBorders>
            <w:hideMark/>
          </w:tcPr>
          <w:p w14:paraId="6DF9EA5A" w14:textId="77777777" w:rsidR="00BA1D9A" w:rsidRPr="00BA1D9A" w:rsidRDefault="00BA1D9A">
            <w:pPr>
              <w:pStyle w:val="Standardowytekst"/>
              <w:tabs>
                <w:tab w:val="left" w:pos="9914"/>
              </w:tabs>
              <w:suppressAutoHyphens/>
              <w:rPr>
                <w:rFonts w:asciiTheme="minorHAnsi" w:hAnsiTheme="minorHAnsi" w:cstheme="minorHAnsi"/>
              </w:rPr>
            </w:pPr>
            <w:r w:rsidRPr="00BA1D9A">
              <w:rPr>
                <w:rFonts w:asciiTheme="minorHAnsi" w:hAnsiTheme="minorHAnsi" w:cstheme="minorHAnsi"/>
              </w:rPr>
              <w:t>Pomiar niwelatorem rzędnych w odstępach co 200 m oraz w punktach wątpliwych</w:t>
            </w:r>
          </w:p>
        </w:tc>
      </w:tr>
      <w:tr w:rsidR="00BA1D9A" w:rsidRPr="00BA1D9A" w14:paraId="13E9F2DD" w14:textId="77777777" w:rsidTr="00BA1D9A">
        <w:trPr>
          <w:cantSplit/>
        </w:trPr>
        <w:tc>
          <w:tcPr>
            <w:tcW w:w="496" w:type="dxa"/>
            <w:tcBorders>
              <w:top w:val="single" w:sz="6" w:space="0" w:color="auto"/>
              <w:left w:val="single" w:sz="6" w:space="0" w:color="auto"/>
              <w:bottom w:val="single" w:sz="6" w:space="0" w:color="auto"/>
              <w:right w:val="single" w:sz="6" w:space="0" w:color="auto"/>
            </w:tcBorders>
            <w:hideMark/>
          </w:tcPr>
          <w:p w14:paraId="4E7CA56A" w14:textId="77777777" w:rsidR="00BA1D9A" w:rsidRPr="00BA1D9A" w:rsidRDefault="00BA1D9A">
            <w:pPr>
              <w:pStyle w:val="Standardowytekst"/>
              <w:tabs>
                <w:tab w:val="left" w:pos="9914"/>
              </w:tabs>
              <w:suppressAutoHyphens/>
              <w:rPr>
                <w:rFonts w:asciiTheme="minorHAnsi" w:hAnsiTheme="minorHAnsi" w:cstheme="minorHAnsi"/>
              </w:rPr>
            </w:pPr>
            <w:r w:rsidRPr="00BA1D9A">
              <w:rPr>
                <w:rFonts w:asciiTheme="minorHAnsi" w:hAnsiTheme="minorHAnsi" w:cstheme="minorHAnsi"/>
              </w:rPr>
              <w:t>8</w:t>
            </w:r>
          </w:p>
        </w:tc>
        <w:tc>
          <w:tcPr>
            <w:tcW w:w="3543" w:type="dxa"/>
            <w:tcBorders>
              <w:top w:val="single" w:sz="6" w:space="0" w:color="auto"/>
              <w:left w:val="single" w:sz="6" w:space="0" w:color="auto"/>
              <w:bottom w:val="single" w:sz="6" w:space="0" w:color="auto"/>
              <w:right w:val="single" w:sz="6" w:space="0" w:color="auto"/>
            </w:tcBorders>
            <w:hideMark/>
          </w:tcPr>
          <w:p w14:paraId="1EE2AD46" w14:textId="77777777" w:rsidR="00BA1D9A" w:rsidRPr="00BA1D9A" w:rsidRDefault="00BA1D9A">
            <w:pPr>
              <w:pStyle w:val="Standardowytekst"/>
              <w:tabs>
                <w:tab w:val="left" w:pos="9914"/>
              </w:tabs>
              <w:suppressAutoHyphens/>
              <w:rPr>
                <w:rFonts w:asciiTheme="minorHAnsi" w:hAnsiTheme="minorHAnsi" w:cstheme="minorHAnsi"/>
              </w:rPr>
            </w:pPr>
            <w:r w:rsidRPr="00BA1D9A">
              <w:rPr>
                <w:rFonts w:asciiTheme="minorHAnsi" w:hAnsiTheme="minorHAnsi" w:cstheme="minorHAnsi"/>
              </w:rPr>
              <w:t>Badanie zagęszczenia gruntu</w:t>
            </w:r>
          </w:p>
        </w:tc>
        <w:tc>
          <w:tcPr>
            <w:tcW w:w="5670" w:type="dxa"/>
            <w:tcBorders>
              <w:top w:val="single" w:sz="6" w:space="0" w:color="auto"/>
              <w:left w:val="single" w:sz="6" w:space="0" w:color="auto"/>
              <w:bottom w:val="single" w:sz="6" w:space="0" w:color="auto"/>
              <w:right w:val="single" w:sz="6" w:space="0" w:color="auto"/>
            </w:tcBorders>
            <w:hideMark/>
          </w:tcPr>
          <w:p w14:paraId="791E2121" w14:textId="77777777" w:rsidR="00BA1D9A" w:rsidRPr="00BA1D9A" w:rsidRDefault="00BA1D9A">
            <w:pPr>
              <w:pStyle w:val="Standardowytekst"/>
              <w:tabs>
                <w:tab w:val="left" w:pos="9914"/>
              </w:tabs>
              <w:suppressAutoHyphens/>
              <w:rPr>
                <w:rFonts w:asciiTheme="minorHAnsi" w:hAnsiTheme="minorHAnsi" w:cstheme="minorHAnsi"/>
              </w:rPr>
            </w:pPr>
            <w:r w:rsidRPr="00BA1D9A">
              <w:rPr>
                <w:rFonts w:asciiTheme="minorHAnsi" w:hAnsiTheme="minorHAnsi" w:cstheme="minorHAnsi"/>
              </w:rPr>
              <w:t>Wskaźnik zagęszczenia określać dla każdej ułożonej warstwy lecz nie rzadziej niż w trzech punktach na 1000 m</w:t>
            </w:r>
            <w:r w:rsidRPr="00BA1D9A">
              <w:rPr>
                <w:rFonts w:asciiTheme="minorHAnsi" w:hAnsiTheme="minorHAnsi" w:cstheme="minorHAnsi"/>
                <w:vertAlign w:val="superscript"/>
              </w:rPr>
              <w:t>2</w:t>
            </w:r>
            <w:r w:rsidRPr="00BA1D9A">
              <w:rPr>
                <w:rFonts w:asciiTheme="minorHAnsi" w:hAnsiTheme="minorHAnsi" w:cstheme="minorHAnsi"/>
              </w:rPr>
              <w:t xml:space="preserve"> warstwy</w:t>
            </w:r>
          </w:p>
        </w:tc>
      </w:tr>
      <w:tr w:rsidR="00BA1D9A" w:rsidRPr="00BA1D9A" w14:paraId="5CF685C8" w14:textId="77777777" w:rsidTr="00BA1D9A">
        <w:trPr>
          <w:cantSplit/>
        </w:trPr>
        <w:tc>
          <w:tcPr>
            <w:tcW w:w="496" w:type="dxa"/>
            <w:tcBorders>
              <w:top w:val="single" w:sz="6" w:space="0" w:color="auto"/>
              <w:left w:val="single" w:sz="6" w:space="0" w:color="auto"/>
              <w:bottom w:val="single" w:sz="6" w:space="0" w:color="auto"/>
              <w:right w:val="single" w:sz="6" w:space="0" w:color="auto"/>
            </w:tcBorders>
            <w:hideMark/>
          </w:tcPr>
          <w:p w14:paraId="1116D624" w14:textId="77777777" w:rsidR="00BA1D9A" w:rsidRPr="00BA1D9A" w:rsidRDefault="00BA1D9A">
            <w:pPr>
              <w:pStyle w:val="Standardowytekst"/>
              <w:tabs>
                <w:tab w:val="left" w:pos="9914"/>
              </w:tabs>
              <w:suppressAutoHyphens/>
              <w:rPr>
                <w:rFonts w:asciiTheme="minorHAnsi" w:hAnsiTheme="minorHAnsi" w:cstheme="minorHAnsi"/>
              </w:rPr>
            </w:pPr>
            <w:r w:rsidRPr="00BA1D9A">
              <w:rPr>
                <w:rFonts w:asciiTheme="minorHAnsi" w:hAnsiTheme="minorHAnsi" w:cstheme="minorHAnsi"/>
              </w:rPr>
              <w:t>9</w:t>
            </w:r>
          </w:p>
        </w:tc>
        <w:tc>
          <w:tcPr>
            <w:tcW w:w="3543" w:type="dxa"/>
            <w:tcBorders>
              <w:top w:val="single" w:sz="6" w:space="0" w:color="auto"/>
              <w:left w:val="single" w:sz="6" w:space="0" w:color="auto"/>
              <w:bottom w:val="single" w:sz="6" w:space="0" w:color="auto"/>
              <w:right w:val="single" w:sz="6" w:space="0" w:color="auto"/>
            </w:tcBorders>
            <w:hideMark/>
          </w:tcPr>
          <w:p w14:paraId="3421CBFD" w14:textId="77777777" w:rsidR="00BA1D9A" w:rsidRPr="00BA1D9A" w:rsidRDefault="00BA1D9A">
            <w:pPr>
              <w:pStyle w:val="Standardowytekst"/>
              <w:tabs>
                <w:tab w:val="left" w:pos="9914"/>
              </w:tabs>
              <w:suppressAutoHyphens/>
              <w:rPr>
                <w:rFonts w:asciiTheme="minorHAnsi" w:hAnsiTheme="minorHAnsi" w:cstheme="minorHAnsi"/>
              </w:rPr>
            </w:pPr>
            <w:r w:rsidRPr="00BA1D9A">
              <w:rPr>
                <w:rFonts w:asciiTheme="minorHAnsi" w:hAnsiTheme="minorHAnsi" w:cstheme="minorHAnsi"/>
              </w:rPr>
              <w:t>Badanie nośności podłoża</w:t>
            </w:r>
          </w:p>
        </w:tc>
        <w:tc>
          <w:tcPr>
            <w:tcW w:w="5670" w:type="dxa"/>
            <w:tcBorders>
              <w:top w:val="single" w:sz="6" w:space="0" w:color="auto"/>
              <w:left w:val="single" w:sz="6" w:space="0" w:color="auto"/>
              <w:bottom w:val="single" w:sz="6" w:space="0" w:color="auto"/>
              <w:right w:val="single" w:sz="6" w:space="0" w:color="auto"/>
            </w:tcBorders>
            <w:hideMark/>
          </w:tcPr>
          <w:p w14:paraId="0F9B897F" w14:textId="77777777" w:rsidR="00BA1D9A" w:rsidRPr="00BA1D9A" w:rsidRDefault="00BA1D9A">
            <w:pPr>
              <w:pStyle w:val="Standardowytekst"/>
              <w:tabs>
                <w:tab w:val="left" w:pos="9914"/>
              </w:tabs>
              <w:suppressAutoHyphens/>
              <w:rPr>
                <w:rFonts w:asciiTheme="minorHAnsi" w:hAnsiTheme="minorHAnsi" w:cstheme="minorHAnsi"/>
              </w:rPr>
            </w:pPr>
            <w:r w:rsidRPr="00BA1D9A">
              <w:rPr>
                <w:rFonts w:asciiTheme="minorHAnsi" w:hAnsiTheme="minorHAnsi" w:cstheme="minorHAnsi"/>
              </w:rPr>
              <w:t>Moduł odkształcenia określać dla każdej ułożonej warstwy lecz nie rzadziej niż w trzech punktach na 1000 m</w:t>
            </w:r>
            <w:r w:rsidRPr="00BA1D9A">
              <w:rPr>
                <w:rFonts w:asciiTheme="minorHAnsi" w:hAnsiTheme="minorHAnsi" w:cstheme="minorHAnsi"/>
                <w:vertAlign w:val="superscript"/>
              </w:rPr>
              <w:t>2</w:t>
            </w:r>
            <w:r w:rsidRPr="00BA1D9A">
              <w:rPr>
                <w:rFonts w:asciiTheme="minorHAnsi" w:hAnsiTheme="minorHAnsi" w:cstheme="minorHAnsi"/>
              </w:rPr>
              <w:t xml:space="preserve"> warstwy</w:t>
            </w:r>
          </w:p>
        </w:tc>
      </w:tr>
    </w:tbl>
    <w:p w14:paraId="78772FC8" w14:textId="77777777" w:rsidR="00BA1D9A" w:rsidRPr="00BA1D9A" w:rsidRDefault="00BA1D9A" w:rsidP="00BA1D9A">
      <w:pPr>
        <w:pStyle w:val="Standardowytekst"/>
        <w:tabs>
          <w:tab w:val="left" w:pos="9914"/>
        </w:tabs>
        <w:suppressAutoHyphens/>
        <w:rPr>
          <w:rFonts w:asciiTheme="minorHAnsi" w:hAnsiTheme="minorHAnsi" w:cstheme="minorHAnsi"/>
        </w:rPr>
      </w:pPr>
    </w:p>
    <w:p w14:paraId="0F70FB9A" w14:textId="77777777" w:rsidR="00BA1D9A" w:rsidRPr="00BA1D9A" w:rsidRDefault="00BA1D9A" w:rsidP="00BA1D9A">
      <w:pPr>
        <w:tabs>
          <w:tab w:val="left" w:pos="0"/>
        </w:tabs>
        <w:rPr>
          <w:rFonts w:asciiTheme="minorHAnsi" w:hAnsiTheme="minorHAnsi" w:cstheme="minorHAnsi"/>
          <w:b/>
          <w:bCs/>
          <w:i/>
          <w:iCs/>
        </w:rPr>
      </w:pPr>
      <w:r w:rsidRPr="00BA1D9A">
        <w:rPr>
          <w:rFonts w:asciiTheme="minorHAnsi" w:hAnsiTheme="minorHAnsi" w:cstheme="minorHAnsi"/>
          <w:b/>
          <w:bCs/>
          <w:i/>
          <w:iCs/>
        </w:rPr>
        <w:t>6.3.2. Szerokość korpusu ziemnego</w:t>
      </w:r>
    </w:p>
    <w:p w14:paraId="7C7104CE" w14:textId="77777777" w:rsidR="00BA1D9A" w:rsidRPr="00BA1D9A" w:rsidRDefault="00BA1D9A" w:rsidP="00BA1D9A">
      <w:pPr>
        <w:pStyle w:val="Standardowytekst"/>
        <w:tabs>
          <w:tab w:val="left" w:pos="9914"/>
        </w:tabs>
        <w:suppressAutoHyphens/>
        <w:rPr>
          <w:rFonts w:asciiTheme="minorHAnsi" w:hAnsiTheme="minorHAnsi" w:cstheme="minorHAnsi"/>
        </w:rPr>
      </w:pPr>
      <w:r w:rsidRPr="00BA1D9A">
        <w:rPr>
          <w:rFonts w:asciiTheme="minorHAnsi" w:hAnsiTheme="minorHAnsi" w:cstheme="minorHAnsi"/>
        </w:rPr>
        <w:t>Szerokość korpusu ziemnego nie może różnić się od szerokości projektowanej o więcej niż ± 10 cm.</w:t>
      </w:r>
    </w:p>
    <w:p w14:paraId="16D24614" w14:textId="77777777" w:rsidR="00BA1D9A" w:rsidRPr="00BA1D9A" w:rsidRDefault="00BA1D9A" w:rsidP="00BA1D9A">
      <w:pPr>
        <w:tabs>
          <w:tab w:val="left" w:pos="0"/>
        </w:tabs>
        <w:rPr>
          <w:rFonts w:asciiTheme="minorHAnsi" w:hAnsiTheme="minorHAnsi" w:cstheme="minorHAnsi"/>
          <w:b/>
          <w:bCs/>
          <w:i/>
          <w:iCs/>
        </w:rPr>
      </w:pPr>
      <w:r w:rsidRPr="00BA1D9A">
        <w:rPr>
          <w:rFonts w:asciiTheme="minorHAnsi" w:hAnsiTheme="minorHAnsi" w:cstheme="minorHAnsi"/>
          <w:b/>
          <w:bCs/>
          <w:i/>
          <w:iCs/>
        </w:rPr>
        <w:t>6.3.3. Szerokość dna rowów</w:t>
      </w:r>
    </w:p>
    <w:p w14:paraId="1BD72ED5" w14:textId="77777777" w:rsidR="00BA1D9A" w:rsidRPr="00BA1D9A" w:rsidRDefault="00BA1D9A" w:rsidP="00BA1D9A">
      <w:pPr>
        <w:pStyle w:val="Standardowytekst"/>
        <w:tabs>
          <w:tab w:val="left" w:pos="9914"/>
        </w:tabs>
        <w:suppressAutoHyphens/>
        <w:rPr>
          <w:rFonts w:asciiTheme="minorHAnsi" w:hAnsiTheme="minorHAnsi" w:cstheme="minorHAnsi"/>
        </w:rPr>
      </w:pPr>
      <w:r w:rsidRPr="00BA1D9A">
        <w:rPr>
          <w:rFonts w:asciiTheme="minorHAnsi" w:hAnsiTheme="minorHAnsi" w:cstheme="minorHAnsi"/>
        </w:rPr>
        <w:t>Szerokość dna rowów nie może różnić się od szerokości projektowanej o więcej niż ± 5 cm.</w:t>
      </w:r>
    </w:p>
    <w:p w14:paraId="292C5262" w14:textId="77777777" w:rsidR="00BA1D9A" w:rsidRPr="00BA1D9A" w:rsidRDefault="00BA1D9A" w:rsidP="00BA1D9A">
      <w:pPr>
        <w:tabs>
          <w:tab w:val="left" w:pos="0"/>
        </w:tabs>
        <w:rPr>
          <w:rFonts w:asciiTheme="minorHAnsi" w:hAnsiTheme="minorHAnsi" w:cstheme="minorHAnsi"/>
          <w:b/>
          <w:bCs/>
          <w:i/>
          <w:iCs/>
        </w:rPr>
      </w:pPr>
      <w:r w:rsidRPr="00BA1D9A">
        <w:rPr>
          <w:rFonts w:asciiTheme="minorHAnsi" w:hAnsiTheme="minorHAnsi" w:cstheme="minorHAnsi"/>
          <w:b/>
          <w:bCs/>
          <w:i/>
          <w:iCs/>
        </w:rPr>
        <w:t>6.3.4. Rzędne korony korpusu ziemnego</w:t>
      </w:r>
    </w:p>
    <w:p w14:paraId="24614B80" w14:textId="77777777" w:rsidR="00BA1D9A" w:rsidRPr="00BA1D9A" w:rsidRDefault="00BA1D9A" w:rsidP="00BA1D9A">
      <w:pPr>
        <w:pStyle w:val="Standardowytekst"/>
        <w:tabs>
          <w:tab w:val="left" w:pos="9914"/>
        </w:tabs>
        <w:suppressAutoHyphens/>
        <w:rPr>
          <w:rFonts w:asciiTheme="minorHAnsi" w:hAnsiTheme="minorHAnsi" w:cstheme="minorHAnsi"/>
        </w:rPr>
      </w:pPr>
      <w:r w:rsidRPr="00BA1D9A">
        <w:rPr>
          <w:rFonts w:asciiTheme="minorHAnsi" w:hAnsiTheme="minorHAnsi" w:cstheme="minorHAnsi"/>
        </w:rPr>
        <w:t>Rzędne korony korpusu ziemnego nie mogą różnić się od rzędnych projektowanych o więcej niż -3 cm lub +1 cm.</w:t>
      </w:r>
    </w:p>
    <w:p w14:paraId="439A356E" w14:textId="77777777" w:rsidR="00BA1D9A" w:rsidRPr="00BA1D9A" w:rsidRDefault="00BA1D9A" w:rsidP="00BA1D9A">
      <w:pPr>
        <w:tabs>
          <w:tab w:val="left" w:pos="0"/>
        </w:tabs>
        <w:rPr>
          <w:rFonts w:asciiTheme="minorHAnsi" w:hAnsiTheme="minorHAnsi" w:cstheme="minorHAnsi"/>
          <w:b/>
          <w:bCs/>
          <w:i/>
          <w:iCs/>
        </w:rPr>
      </w:pPr>
      <w:r w:rsidRPr="00BA1D9A">
        <w:rPr>
          <w:rFonts w:asciiTheme="minorHAnsi" w:hAnsiTheme="minorHAnsi" w:cstheme="minorHAnsi"/>
          <w:b/>
          <w:bCs/>
          <w:i/>
          <w:iCs/>
        </w:rPr>
        <w:t>6.3.5. Pochylenie skarp</w:t>
      </w:r>
    </w:p>
    <w:p w14:paraId="0E00A531" w14:textId="77777777" w:rsidR="00BA1D9A" w:rsidRPr="00BA1D9A" w:rsidRDefault="00BA1D9A" w:rsidP="00BA1D9A">
      <w:pPr>
        <w:pStyle w:val="Standardowytekst"/>
        <w:tabs>
          <w:tab w:val="left" w:pos="9914"/>
        </w:tabs>
        <w:suppressAutoHyphens/>
        <w:rPr>
          <w:rFonts w:asciiTheme="minorHAnsi" w:hAnsiTheme="minorHAnsi" w:cstheme="minorHAnsi"/>
        </w:rPr>
      </w:pPr>
      <w:r w:rsidRPr="00BA1D9A">
        <w:rPr>
          <w:rFonts w:asciiTheme="minorHAnsi" w:hAnsiTheme="minorHAnsi" w:cstheme="minorHAnsi"/>
        </w:rPr>
        <w:t>Pochylenie skarp nie może różnić się od pochylenia projektowanego o więcej niż 10% wartości pochylenia wyrażonego tangensem kąta.</w:t>
      </w:r>
    </w:p>
    <w:p w14:paraId="49CDEF50" w14:textId="77777777" w:rsidR="00BA1D9A" w:rsidRPr="00BA1D9A" w:rsidRDefault="00BA1D9A" w:rsidP="00BA1D9A">
      <w:pPr>
        <w:tabs>
          <w:tab w:val="left" w:pos="0"/>
        </w:tabs>
        <w:rPr>
          <w:rFonts w:asciiTheme="minorHAnsi" w:hAnsiTheme="minorHAnsi" w:cstheme="minorHAnsi"/>
          <w:b/>
          <w:bCs/>
          <w:i/>
          <w:iCs/>
        </w:rPr>
      </w:pPr>
      <w:r w:rsidRPr="00BA1D9A">
        <w:rPr>
          <w:rFonts w:asciiTheme="minorHAnsi" w:hAnsiTheme="minorHAnsi" w:cstheme="minorHAnsi"/>
          <w:b/>
          <w:bCs/>
          <w:i/>
          <w:iCs/>
        </w:rPr>
        <w:t>6.3.6. Równość korony korpusu</w:t>
      </w:r>
    </w:p>
    <w:p w14:paraId="7C62B7D6" w14:textId="77777777" w:rsidR="00BA1D9A" w:rsidRPr="00BA1D9A" w:rsidRDefault="00BA1D9A" w:rsidP="00BA1D9A">
      <w:pPr>
        <w:pStyle w:val="Standardowytekst"/>
        <w:tabs>
          <w:tab w:val="left" w:pos="9914"/>
        </w:tabs>
        <w:suppressAutoHyphens/>
        <w:rPr>
          <w:rFonts w:asciiTheme="minorHAnsi" w:hAnsiTheme="minorHAnsi" w:cstheme="minorHAnsi"/>
        </w:rPr>
      </w:pPr>
      <w:r w:rsidRPr="00BA1D9A">
        <w:rPr>
          <w:rFonts w:asciiTheme="minorHAnsi" w:hAnsiTheme="minorHAnsi" w:cstheme="minorHAnsi"/>
        </w:rPr>
        <w:t>Nierówności powierzchni korpusu ziemnego mierzone łatą 3-metrową, nie mogą przekraczać 3 cm.</w:t>
      </w:r>
    </w:p>
    <w:p w14:paraId="72337C88" w14:textId="77777777" w:rsidR="00BA1D9A" w:rsidRPr="00BA1D9A" w:rsidRDefault="00BA1D9A" w:rsidP="00BA1D9A">
      <w:pPr>
        <w:tabs>
          <w:tab w:val="left" w:pos="0"/>
        </w:tabs>
        <w:rPr>
          <w:rFonts w:asciiTheme="minorHAnsi" w:hAnsiTheme="minorHAnsi" w:cstheme="minorHAnsi"/>
          <w:b/>
          <w:bCs/>
          <w:i/>
          <w:iCs/>
        </w:rPr>
      </w:pPr>
      <w:r w:rsidRPr="00BA1D9A">
        <w:rPr>
          <w:rFonts w:asciiTheme="minorHAnsi" w:hAnsiTheme="minorHAnsi" w:cstheme="minorHAnsi"/>
          <w:b/>
          <w:bCs/>
          <w:i/>
          <w:iCs/>
        </w:rPr>
        <w:t>6.3.7. Równość skarp</w:t>
      </w:r>
    </w:p>
    <w:p w14:paraId="3C3D6DE9" w14:textId="77777777" w:rsidR="00BA1D9A" w:rsidRPr="00BA1D9A" w:rsidRDefault="00BA1D9A" w:rsidP="00BA1D9A">
      <w:pPr>
        <w:pStyle w:val="Standardowytekst"/>
        <w:tabs>
          <w:tab w:val="left" w:pos="9914"/>
        </w:tabs>
        <w:suppressAutoHyphens/>
        <w:rPr>
          <w:rFonts w:asciiTheme="minorHAnsi" w:hAnsiTheme="minorHAnsi" w:cstheme="minorHAnsi"/>
        </w:rPr>
      </w:pPr>
      <w:r w:rsidRPr="00BA1D9A">
        <w:rPr>
          <w:rFonts w:asciiTheme="minorHAnsi" w:hAnsiTheme="minorHAnsi" w:cstheme="minorHAnsi"/>
        </w:rPr>
        <w:t>Nierówności skarp, mierzone łatą 3-metrową, nie mogą przekraczać ± 10 cm.</w:t>
      </w:r>
    </w:p>
    <w:p w14:paraId="1BAE4AE7" w14:textId="77777777" w:rsidR="00BA1D9A" w:rsidRPr="00BA1D9A" w:rsidRDefault="00BA1D9A" w:rsidP="00BA1D9A">
      <w:pPr>
        <w:tabs>
          <w:tab w:val="left" w:pos="0"/>
        </w:tabs>
        <w:rPr>
          <w:rFonts w:asciiTheme="minorHAnsi" w:hAnsiTheme="minorHAnsi" w:cstheme="minorHAnsi"/>
          <w:b/>
          <w:bCs/>
          <w:i/>
          <w:iCs/>
        </w:rPr>
      </w:pPr>
      <w:r w:rsidRPr="00BA1D9A">
        <w:rPr>
          <w:rFonts w:asciiTheme="minorHAnsi" w:hAnsiTheme="minorHAnsi" w:cstheme="minorHAnsi"/>
          <w:b/>
          <w:bCs/>
          <w:i/>
          <w:iCs/>
        </w:rPr>
        <w:t>6.3.8. Spadek podłużny korony korpusu lub dna rowu</w:t>
      </w:r>
    </w:p>
    <w:p w14:paraId="087C4FCC" w14:textId="77777777" w:rsidR="00BA1D9A" w:rsidRPr="00BA1D9A" w:rsidRDefault="00BA1D9A" w:rsidP="00BA1D9A">
      <w:pPr>
        <w:pStyle w:val="Standardowytekst"/>
        <w:tabs>
          <w:tab w:val="left" w:pos="9914"/>
        </w:tabs>
        <w:suppressAutoHyphens/>
        <w:rPr>
          <w:rFonts w:asciiTheme="minorHAnsi" w:hAnsiTheme="minorHAnsi" w:cstheme="minorHAnsi"/>
        </w:rPr>
      </w:pPr>
      <w:r w:rsidRPr="00BA1D9A">
        <w:rPr>
          <w:rFonts w:asciiTheme="minorHAnsi" w:hAnsiTheme="minorHAnsi" w:cstheme="minorHAnsi"/>
        </w:rPr>
        <w:t>Spadek podłużny powierzchni korpusu ziemnego lub dna rowu, sprawdzony przez pomiar niwelatorem rzędnych wysokościowych, nie może dawać różnic, w stosunku do rzędnych projektowanych, większych niż -3 cm lub +1 cm.</w:t>
      </w:r>
    </w:p>
    <w:p w14:paraId="240DEA5A" w14:textId="77777777" w:rsidR="00BA1D9A" w:rsidRPr="00BA1D9A" w:rsidRDefault="00BA1D9A" w:rsidP="00BA1D9A">
      <w:pPr>
        <w:tabs>
          <w:tab w:val="left" w:pos="0"/>
        </w:tabs>
        <w:rPr>
          <w:rFonts w:asciiTheme="minorHAnsi" w:hAnsiTheme="minorHAnsi" w:cstheme="minorHAnsi"/>
          <w:b/>
          <w:bCs/>
          <w:i/>
          <w:iCs/>
        </w:rPr>
      </w:pPr>
      <w:r w:rsidRPr="00BA1D9A">
        <w:rPr>
          <w:rFonts w:asciiTheme="minorHAnsi" w:hAnsiTheme="minorHAnsi" w:cstheme="minorHAnsi"/>
          <w:b/>
          <w:bCs/>
          <w:i/>
          <w:iCs/>
        </w:rPr>
        <w:t>6.3.9. Zagęszczenie i nośność gruntu</w:t>
      </w:r>
    </w:p>
    <w:p w14:paraId="44E43CBC" w14:textId="77777777" w:rsidR="00BA1D9A" w:rsidRPr="00BA1D9A" w:rsidRDefault="00BA1D9A" w:rsidP="00BA1D9A">
      <w:pPr>
        <w:pStyle w:val="Standardowytekst"/>
        <w:tabs>
          <w:tab w:val="left" w:pos="9914"/>
        </w:tabs>
        <w:suppressAutoHyphens/>
        <w:rPr>
          <w:rFonts w:asciiTheme="minorHAnsi" w:hAnsiTheme="minorHAnsi" w:cstheme="minorHAnsi"/>
        </w:rPr>
      </w:pPr>
      <w:r w:rsidRPr="00BA1D9A">
        <w:rPr>
          <w:rFonts w:asciiTheme="minorHAnsi" w:hAnsiTheme="minorHAnsi" w:cstheme="minorHAnsi"/>
        </w:rPr>
        <w:t>Wskaźnik zagęszczenia gruntu określony zgodnie z BN-77/8931-12 powinien być zgodny z pkt 5.2. W przypadku gruntów dla których nie można określić wskaźnika zagęszczenia należy określić wskaźnik odkształcenia I</w:t>
      </w:r>
      <w:r w:rsidRPr="00BA1D9A">
        <w:rPr>
          <w:rFonts w:asciiTheme="minorHAnsi" w:hAnsiTheme="minorHAnsi" w:cstheme="minorHAnsi"/>
          <w:vertAlign w:val="subscript"/>
        </w:rPr>
        <w:t>0</w:t>
      </w:r>
      <w:r w:rsidRPr="00BA1D9A">
        <w:rPr>
          <w:rFonts w:asciiTheme="minorHAnsi" w:hAnsiTheme="minorHAnsi" w:cstheme="minorHAnsi"/>
        </w:rPr>
        <w:t>, zgodnie z normą PN-S-02205:1998.</w:t>
      </w:r>
    </w:p>
    <w:p w14:paraId="02FAE16D" w14:textId="77777777" w:rsidR="00BA1D9A" w:rsidRPr="00BA1D9A" w:rsidRDefault="00BA1D9A" w:rsidP="00BA1D9A">
      <w:pPr>
        <w:pStyle w:val="Standardowytekst"/>
        <w:tabs>
          <w:tab w:val="left" w:pos="9914"/>
        </w:tabs>
        <w:suppressAutoHyphens/>
        <w:rPr>
          <w:rFonts w:asciiTheme="minorHAnsi" w:hAnsiTheme="minorHAnsi" w:cstheme="minorHAnsi"/>
        </w:rPr>
      </w:pPr>
      <w:r w:rsidRPr="00BA1D9A">
        <w:rPr>
          <w:rFonts w:asciiTheme="minorHAnsi" w:hAnsiTheme="minorHAnsi" w:cstheme="minorHAnsi"/>
        </w:rPr>
        <w:t>Modułu odkształcenia podłoża należy określić wg normy PN-S-02205:1998 (zał B). Wtórny moduł odkształcenia nie powinien być niższy, niż określono w tablicy 1</w:t>
      </w:r>
    </w:p>
    <w:p w14:paraId="6DA6C000" w14:textId="77777777" w:rsidR="00BA1D9A" w:rsidRPr="00BA1D9A" w:rsidRDefault="00BA1D9A" w:rsidP="00BA1D9A">
      <w:pPr>
        <w:tabs>
          <w:tab w:val="left" w:pos="9914"/>
        </w:tabs>
        <w:rPr>
          <w:rFonts w:asciiTheme="minorHAnsi" w:hAnsiTheme="minorHAnsi" w:cstheme="minorHAnsi"/>
        </w:rPr>
      </w:pPr>
      <w:r w:rsidRPr="00BA1D9A">
        <w:rPr>
          <w:rFonts w:asciiTheme="minorHAnsi" w:hAnsiTheme="minorHAnsi" w:cstheme="minorHAnsi"/>
        </w:rPr>
        <w:t>Za zgodą Inżyniera/kierownika projektu dopuszcza się prowadzenie badań przy zastosowaniu metod alternatywnych – w szczególności lekkiej płyty dynamicznej ZFG-02 lub lekkiej sondy wbijanej SD-10 zgodnie z Instrukcją Badań Podłoża Gruntowego Budowli Mostowych i Drogowych Część 2 Załącznik, Warszawa 1998. Korelacji pomiędzy wynikami uzyskanymi przy pomocy metod alternatywnych, a wymaganiami niniejszej SST należy dokonać zgodnie z instrukcjami producentów urządzeń alternatywnych</w:t>
      </w:r>
    </w:p>
    <w:p w14:paraId="3120C30E" w14:textId="77777777" w:rsidR="00BA1D9A" w:rsidRPr="00C86F6B" w:rsidRDefault="00BA1D9A" w:rsidP="00BA1D9A">
      <w:pPr>
        <w:pStyle w:val="Nagwek3"/>
        <w:tabs>
          <w:tab w:val="left" w:pos="9914"/>
        </w:tabs>
        <w:rPr>
          <w:rFonts w:asciiTheme="minorHAnsi" w:hAnsiTheme="minorHAnsi" w:cstheme="minorHAnsi"/>
        </w:rPr>
      </w:pPr>
      <w:bookmarkStart w:id="232" w:name="_Toc407161229"/>
      <w:bookmarkStart w:id="233" w:name="_Toc418994931"/>
      <w:bookmarkStart w:id="234" w:name="_Toc418996338"/>
      <w:bookmarkStart w:id="235" w:name="_Toc418996707"/>
      <w:bookmarkStart w:id="236" w:name="_Toc418997094"/>
      <w:bookmarkStart w:id="237" w:name="_Toc418998504"/>
      <w:bookmarkStart w:id="238" w:name="_Toc418998860"/>
      <w:bookmarkStart w:id="239" w:name="_Toc419000105"/>
      <w:r w:rsidRPr="00C86F6B">
        <w:rPr>
          <w:rFonts w:asciiTheme="minorHAnsi" w:hAnsiTheme="minorHAnsi" w:cstheme="minorHAnsi"/>
        </w:rPr>
        <w:t>7. OBMIAR ROBÓT</w:t>
      </w:r>
      <w:bookmarkEnd w:id="232"/>
      <w:bookmarkEnd w:id="233"/>
      <w:bookmarkEnd w:id="234"/>
      <w:bookmarkEnd w:id="235"/>
      <w:bookmarkEnd w:id="236"/>
      <w:bookmarkEnd w:id="237"/>
      <w:bookmarkEnd w:id="238"/>
      <w:bookmarkEnd w:id="239"/>
    </w:p>
    <w:p w14:paraId="382C4D50" w14:textId="77777777" w:rsidR="00DE28CE" w:rsidRDefault="00DE28CE" w:rsidP="00DE28CE">
      <w:pPr>
        <w:numPr>
          <w:ilvl w:val="12"/>
          <w:numId w:val="0"/>
        </w:numPr>
        <w:tabs>
          <w:tab w:val="left" w:pos="0"/>
          <w:tab w:val="left" w:pos="9914"/>
        </w:tabs>
        <w:rPr>
          <w:rFonts w:ascii="Calibri" w:hAnsi="Calibri" w:cs="Calibri"/>
        </w:rPr>
      </w:pPr>
    </w:p>
    <w:p w14:paraId="0602FB28" w14:textId="32EC8EBA" w:rsidR="00DE28CE" w:rsidRDefault="00DE28CE" w:rsidP="00DE28CE">
      <w:pPr>
        <w:numPr>
          <w:ilvl w:val="12"/>
          <w:numId w:val="0"/>
        </w:numPr>
        <w:tabs>
          <w:tab w:val="left" w:pos="0"/>
          <w:tab w:val="left" w:pos="9914"/>
        </w:tabs>
        <w:rPr>
          <w:rFonts w:ascii="Calibri" w:hAnsi="Calibri" w:cs="Calibri"/>
        </w:rPr>
      </w:pPr>
      <w:r>
        <w:rPr>
          <w:rFonts w:ascii="Calibri" w:hAnsi="Calibri" w:cs="Calibri"/>
        </w:rPr>
        <w:t>Kontrakt ryczałtowy</w:t>
      </w:r>
    </w:p>
    <w:p w14:paraId="50E7AEA6" w14:textId="57DD3E06" w:rsidR="00BA1D9A" w:rsidRPr="00BA1D9A" w:rsidRDefault="00BA1D9A" w:rsidP="00BA1D9A">
      <w:pPr>
        <w:tabs>
          <w:tab w:val="left" w:pos="9914"/>
        </w:tabs>
        <w:rPr>
          <w:rFonts w:asciiTheme="minorHAnsi" w:hAnsiTheme="minorHAnsi" w:cstheme="minorHAnsi"/>
        </w:rPr>
      </w:pPr>
      <w:r w:rsidRPr="00BA1D9A">
        <w:rPr>
          <w:rFonts w:asciiTheme="minorHAnsi" w:hAnsiTheme="minorHAnsi" w:cstheme="minorHAnsi"/>
        </w:rPr>
        <w:t xml:space="preserve">Ogólne zasady obmiaru robót podano w </w:t>
      </w:r>
      <w:r w:rsidR="001C2347">
        <w:rPr>
          <w:rFonts w:asciiTheme="minorHAnsi" w:hAnsiTheme="minorHAnsi" w:cstheme="minorHAnsi"/>
        </w:rPr>
        <w:t>ST</w:t>
      </w:r>
      <w:r w:rsidRPr="00BA1D9A">
        <w:rPr>
          <w:rFonts w:asciiTheme="minorHAnsi" w:hAnsiTheme="minorHAnsi" w:cstheme="minorHAnsi"/>
        </w:rPr>
        <w:t>WiORB D-M-00.00.00 pkt 7.</w:t>
      </w:r>
    </w:p>
    <w:p w14:paraId="789A80C0" w14:textId="77777777" w:rsidR="00BA1D9A" w:rsidRPr="00C86F6B" w:rsidRDefault="00BA1D9A" w:rsidP="00BA1D9A">
      <w:pPr>
        <w:pStyle w:val="Nagwek3"/>
        <w:tabs>
          <w:tab w:val="left" w:pos="9914"/>
        </w:tabs>
        <w:rPr>
          <w:rFonts w:asciiTheme="minorHAnsi" w:hAnsiTheme="minorHAnsi" w:cstheme="minorHAnsi"/>
        </w:rPr>
      </w:pPr>
      <w:bookmarkStart w:id="240" w:name="_Toc407161232"/>
      <w:bookmarkStart w:id="241" w:name="_Toc418994932"/>
      <w:bookmarkStart w:id="242" w:name="_Toc418996339"/>
      <w:bookmarkStart w:id="243" w:name="_Toc418996708"/>
      <w:bookmarkStart w:id="244" w:name="_Toc418997095"/>
      <w:bookmarkStart w:id="245" w:name="_Toc418998505"/>
      <w:bookmarkStart w:id="246" w:name="_Toc418998861"/>
      <w:bookmarkStart w:id="247" w:name="_Toc419000106"/>
      <w:r w:rsidRPr="00C86F6B">
        <w:rPr>
          <w:rFonts w:asciiTheme="minorHAnsi" w:hAnsiTheme="minorHAnsi" w:cstheme="minorHAnsi"/>
        </w:rPr>
        <w:t>8. ODBIÓR ROBÓT</w:t>
      </w:r>
      <w:bookmarkEnd w:id="240"/>
      <w:bookmarkEnd w:id="241"/>
      <w:bookmarkEnd w:id="242"/>
      <w:bookmarkEnd w:id="243"/>
      <w:bookmarkEnd w:id="244"/>
      <w:bookmarkEnd w:id="245"/>
      <w:bookmarkEnd w:id="246"/>
      <w:bookmarkEnd w:id="247"/>
    </w:p>
    <w:p w14:paraId="5A4A4B6C" w14:textId="738B8487" w:rsidR="00BA1D9A" w:rsidRPr="00BA1D9A" w:rsidRDefault="00BA1D9A" w:rsidP="00BA1D9A">
      <w:pPr>
        <w:tabs>
          <w:tab w:val="left" w:pos="9914"/>
        </w:tabs>
        <w:rPr>
          <w:rFonts w:asciiTheme="minorHAnsi" w:hAnsiTheme="minorHAnsi" w:cstheme="minorHAnsi"/>
        </w:rPr>
      </w:pPr>
      <w:r w:rsidRPr="00BA1D9A">
        <w:rPr>
          <w:rFonts w:asciiTheme="minorHAnsi" w:hAnsiTheme="minorHAnsi" w:cstheme="minorHAnsi"/>
        </w:rPr>
        <w:t xml:space="preserve">Ogólne zasady odbioru robót podano w </w:t>
      </w:r>
      <w:r w:rsidR="001C2347">
        <w:rPr>
          <w:rFonts w:asciiTheme="minorHAnsi" w:hAnsiTheme="minorHAnsi" w:cstheme="minorHAnsi"/>
        </w:rPr>
        <w:t>ST</w:t>
      </w:r>
      <w:r w:rsidRPr="00BA1D9A">
        <w:rPr>
          <w:rFonts w:asciiTheme="minorHAnsi" w:hAnsiTheme="minorHAnsi" w:cstheme="minorHAnsi"/>
        </w:rPr>
        <w:t>WiORB D-M-00.00.00 pkt 8.</w:t>
      </w:r>
    </w:p>
    <w:p w14:paraId="6F3C49DE" w14:textId="39BFF29E" w:rsidR="00BA1D9A" w:rsidRDefault="00BA1D9A" w:rsidP="00BA1D9A">
      <w:pPr>
        <w:tabs>
          <w:tab w:val="left" w:pos="9914"/>
        </w:tabs>
        <w:rPr>
          <w:rFonts w:asciiTheme="minorHAnsi" w:hAnsiTheme="minorHAnsi" w:cstheme="minorHAnsi"/>
        </w:rPr>
      </w:pPr>
      <w:bookmarkStart w:id="248" w:name="_Toc407161233"/>
      <w:bookmarkStart w:id="249" w:name="_Toc418994933"/>
      <w:bookmarkStart w:id="250" w:name="_Toc418996340"/>
      <w:bookmarkStart w:id="251" w:name="_Toc418996709"/>
      <w:bookmarkStart w:id="252" w:name="_Toc418997096"/>
      <w:bookmarkStart w:id="253" w:name="_Toc418998506"/>
      <w:bookmarkStart w:id="254" w:name="_Toc418998862"/>
      <w:bookmarkStart w:id="255" w:name="_Toc419000107"/>
      <w:r w:rsidRPr="00BA1D9A">
        <w:rPr>
          <w:rFonts w:asciiTheme="minorHAnsi" w:hAnsiTheme="minorHAnsi" w:cstheme="minorHAnsi"/>
        </w:rPr>
        <w:t xml:space="preserve">Roboty uznaje się za wykonane zgodnie z dokumentacją projektową, </w:t>
      </w:r>
      <w:r w:rsidR="001C2347">
        <w:rPr>
          <w:rFonts w:asciiTheme="minorHAnsi" w:hAnsiTheme="minorHAnsi" w:cstheme="minorHAnsi"/>
        </w:rPr>
        <w:t>ST</w:t>
      </w:r>
      <w:r w:rsidRPr="00BA1D9A">
        <w:rPr>
          <w:rFonts w:asciiTheme="minorHAnsi" w:hAnsiTheme="minorHAnsi" w:cstheme="minorHAnsi"/>
        </w:rPr>
        <w:t>WiORB i wymaganiami Inżyniera/Kierownika projektu, jeżeli wszystkie pomiary i badania z zachowaniem tolerancji wg pkt 6 dały wyniki pozytywne.</w:t>
      </w:r>
    </w:p>
    <w:p w14:paraId="1F52983E" w14:textId="77777777" w:rsidR="00DE28CE" w:rsidRPr="00BA1D9A" w:rsidRDefault="00DE28CE" w:rsidP="00BA1D9A">
      <w:pPr>
        <w:tabs>
          <w:tab w:val="left" w:pos="9914"/>
        </w:tabs>
        <w:rPr>
          <w:rFonts w:asciiTheme="minorHAnsi" w:hAnsiTheme="minorHAnsi" w:cstheme="minorHAnsi"/>
        </w:rPr>
      </w:pPr>
    </w:p>
    <w:p w14:paraId="76EACF78" w14:textId="77777777" w:rsidR="00BA1D9A" w:rsidRPr="00C86F6B" w:rsidRDefault="00BA1D9A" w:rsidP="00BA1D9A">
      <w:pPr>
        <w:pStyle w:val="Nagwek3"/>
        <w:tabs>
          <w:tab w:val="left" w:pos="9914"/>
        </w:tabs>
        <w:rPr>
          <w:rFonts w:asciiTheme="minorHAnsi" w:hAnsiTheme="minorHAnsi" w:cstheme="minorHAnsi"/>
        </w:rPr>
      </w:pPr>
      <w:r w:rsidRPr="00C86F6B">
        <w:rPr>
          <w:rFonts w:asciiTheme="minorHAnsi" w:hAnsiTheme="minorHAnsi" w:cstheme="minorHAnsi"/>
        </w:rPr>
        <w:t>9. PODSTAWA PŁATNOŚCI</w:t>
      </w:r>
      <w:bookmarkEnd w:id="248"/>
      <w:bookmarkEnd w:id="249"/>
      <w:bookmarkEnd w:id="250"/>
      <w:bookmarkEnd w:id="251"/>
      <w:bookmarkEnd w:id="252"/>
      <w:bookmarkEnd w:id="253"/>
      <w:bookmarkEnd w:id="254"/>
      <w:bookmarkEnd w:id="255"/>
    </w:p>
    <w:p w14:paraId="169EC471" w14:textId="77777777" w:rsidR="00DE28CE" w:rsidRDefault="00DE28CE" w:rsidP="00DE28CE">
      <w:pPr>
        <w:numPr>
          <w:ilvl w:val="12"/>
          <w:numId w:val="0"/>
        </w:numPr>
        <w:tabs>
          <w:tab w:val="left" w:pos="0"/>
          <w:tab w:val="left" w:pos="9914"/>
        </w:tabs>
        <w:rPr>
          <w:rFonts w:ascii="Calibri" w:hAnsi="Calibri" w:cs="Calibri"/>
        </w:rPr>
      </w:pPr>
      <w:r>
        <w:rPr>
          <w:rFonts w:ascii="Calibri" w:hAnsi="Calibri" w:cs="Calibri"/>
        </w:rPr>
        <w:t>Kontrakt ryczałtowy</w:t>
      </w:r>
    </w:p>
    <w:p w14:paraId="357FC0A8" w14:textId="1B536E7D" w:rsidR="00BA1D9A" w:rsidRPr="00BA1D9A" w:rsidRDefault="00BA1D9A" w:rsidP="00BA1D9A">
      <w:pPr>
        <w:tabs>
          <w:tab w:val="left" w:pos="9914"/>
        </w:tabs>
        <w:rPr>
          <w:rFonts w:asciiTheme="minorHAnsi" w:hAnsiTheme="minorHAnsi" w:cstheme="minorHAnsi"/>
        </w:rPr>
      </w:pPr>
      <w:r w:rsidRPr="00BA1D9A">
        <w:rPr>
          <w:rFonts w:asciiTheme="minorHAnsi" w:hAnsiTheme="minorHAnsi" w:cstheme="minorHAnsi"/>
        </w:rPr>
        <w:t xml:space="preserve">Ogólne ustalenia dotyczące podstawy płatności podano w </w:t>
      </w:r>
      <w:r w:rsidR="001C2347">
        <w:rPr>
          <w:rFonts w:asciiTheme="minorHAnsi" w:hAnsiTheme="minorHAnsi" w:cstheme="minorHAnsi"/>
        </w:rPr>
        <w:t>ST</w:t>
      </w:r>
      <w:r w:rsidRPr="00BA1D9A">
        <w:rPr>
          <w:rFonts w:asciiTheme="minorHAnsi" w:hAnsiTheme="minorHAnsi" w:cstheme="minorHAnsi"/>
        </w:rPr>
        <w:t>WiORB D-M-00.00.00 pkt 9.</w:t>
      </w:r>
    </w:p>
    <w:p w14:paraId="010EAFB9" w14:textId="77777777" w:rsidR="00BA1D9A" w:rsidRPr="00C86F6B" w:rsidRDefault="00BA1D9A" w:rsidP="00BA1D9A">
      <w:pPr>
        <w:pStyle w:val="Nagwek3"/>
        <w:tabs>
          <w:tab w:val="left" w:pos="9914"/>
        </w:tabs>
        <w:rPr>
          <w:rFonts w:asciiTheme="minorHAnsi" w:hAnsiTheme="minorHAnsi" w:cstheme="minorHAnsi"/>
        </w:rPr>
      </w:pPr>
      <w:bookmarkStart w:id="256" w:name="_Toc407161236"/>
      <w:bookmarkStart w:id="257" w:name="_Toc418994934"/>
      <w:bookmarkStart w:id="258" w:name="_Toc418996341"/>
      <w:bookmarkStart w:id="259" w:name="_Toc418996710"/>
      <w:bookmarkStart w:id="260" w:name="_Toc418997097"/>
      <w:bookmarkStart w:id="261" w:name="_Toc418998507"/>
      <w:bookmarkStart w:id="262" w:name="_Toc418998863"/>
      <w:bookmarkStart w:id="263" w:name="_Toc419000108"/>
      <w:r w:rsidRPr="00C86F6B">
        <w:rPr>
          <w:rFonts w:asciiTheme="minorHAnsi" w:hAnsiTheme="minorHAnsi" w:cstheme="minorHAnsi"/>
        </w:rPr>
        <w:t>10. PRZEPISY ZWIĄZANE</w:t>
      </w:r>
      <w:bookmarkEnd w:id="256"/>
      <w:bookmarkEnd w:id="257"/>
      <w:bookmarkEnd w:id="258"/>
      <w:bookmarkEnd w:id="259"/>
      <w:bookmarkEnd w:id="260"/>
      <w:bookmarkEnd w:id="261"/>
      <w:bookmarkEnd w:id="262"/>
      <w:bookmarkEnd w:id="263"/>
    </w:p>
    <w:p w14:paraId="2B77F2A6" w14:textId="77777777" w:rsidR="00BA1D9A" w:rsidRPr="00C86F6B" w:rsidRDefault="00BA1D9A" w:rsidP="00BA1D9A">
      <w:pPr>
        <w:pStyle w:val="Nagwek4"/>
        <w:tabs>
          <w:tab w:val="left" w:pos="9914"/>
        </w:tabs>
        <w:rPr>
          <w:rFonts w:asciiTheme="minorHAnsi" w:hAnsiTheme="minorHAnsi" w:cstheme="minorHAnsi"/>
        </w:rPr>
      </w:pPr>
      <w:bookmarkStart w:id="264" w:name="_Toc405615063"/>
      <w:bookmarkStart w:id="265" w:name="_Toc407161211"/>
      <w:r w:rsidRPr="00C86F6B">
        <w:rPr>
          <w:rFonts w:asciiTheme="minorHAnsi" w:hAnsiTheme="minorHAnsi" w:cstheme="minorHAnsi"/>
        </w:rPr>
        <w:t>10.1. Normy</w:t>
      </w:r>
      <w:bookmarkEnd w:id="264"/>
      <w:bookmarkEnd w:id="265"/>
    </w:p>
    <w:tbl>
      <w:tblPr>
        <w:tblW w:w="9855" w:type="dxa"/>
        <w:tblInd w:w="2" w:type="dxa"/>
        <w:tblLayout w:type="fixed"/>
        <w:tblCellMar>
          <w:left w:w="70" w:type="dxa"/>
          <w:right w:w="70" w:type="dxa"/>
        </w:tblCellMar>
        <w:tblLook w:val="04A0" w:firstRow="1" w:lastRow="0" w:firstColumn="1" w:lastColumn="0" w:noHBand="0" w:noVBand="1"/>
      </w:tblPr>
      <w:tblGrid>
        <w:gridCol w:w="354"/>
        <w:gridCol w:w="1880"/>
        <w:gridCol w:w="7621"/>
      </w:tblGrid>
      <w:tr w:rsidR="00BA1D9A" w:rsidRPr="00BA1D9A" w14:paraId="3871918B" w14:textId="77777777" w:rsidTr="00BA1D9A">
        <w:tc>
          <w:tcPr>
            <w:tcW w:w="354" w:type="dxa"/>
            <w:hideMark/>
          </w:tcPr>
          <w:p w14:paraId="33A484C0" w14:textId="77777777" w:rsidR="00BA1D9A" w:rsidRPr="00067D67" w:rsidRDefault="00BA1D9A">
            <w:pPr>
              <w:pStyle w:val="Standardowytekst"/>
              <w:tabs>
                <w:tab w:val="left" w:pos="9914"/>
              </w:tabs>
              <w:suppressAutoHyphens/>
              <w:rPr>
                <w:rFonts w:asciiTheme="minorHAnsi" w:hAnsiTheme="minorHAnsi" w:cstheme="minorHAnsi"/>
                <w:sz w:val="18"/>
                <w:szCs w:val="18"/>
              </w:rPr>
            </w:pPr>
            <w:r w:rsidRPr="00067D67">
              <w:rPr>
                <w:rFonts w:asciiTheme="minorHAnsi" w:hAnsiTheme="minorHAnsi" w:cstheme="minorHAnsi"/>
                <w:sz w:val="18"/>
                <w:szCs w:val="18"/>
              </w:rPr>
              <w:t>1.</w:t>
            </w:r>
          </w:p>
        </w:tc>
        <w:tc>
          <w:tcPr>
            <w:tcW w:w="1879" w:type="dxa"/>
            <w:hideMark/>
          </w:tcPr>
          <w:p w14:paraId="498592CD" w14:textId="77777777" w:rsidR="00BA1D9A" w:rsidRPr="00067D67" w:rsidRDefault="00BA1D9A">
            <w:pPr>
              <w:pStyle w:val="Standardowytekst"/>
              <w:tabs>
                <w:tab w:val="left" w:pos="9914"/>
              </w:tabs>
              <w:suppressAutoHyphens/>
              <w:rPr>
                <w:rFonts w:asciiTheme="minorHAnsi" w:hAnsiTheme="minorHAnsi" w:cstheme="minorHAnsi"/>
                <w:sz w:val="18"/>
                <w:szCs w:val="18"/>
              </w:rPr>
            </w:pPr>
            <w:r w:rsidRPr="00067D67">
              <w:rPr>
                <w:rFonts w:asciiTheme="minorHAnsi" w:hAnsiTheme="minorHAnsi" w:cstheme="minorHAnsi"/>
                <w:sz w:val="18"/>
                <w:szCs w:val="18"/>
              </w:rPr>
              <w:t>PN-B-04481:1988</w:t>
            </w:r>
          </w:p>
        </w:tc>
        <w:tc>
          <w:tcPr>
            <w:tcW w:w="7618" w:type="dxa"/>
            <w:hideMark/>
          </w:tcPr>
          <w:p w14:paraId="245DAAE3" w14:textId="77777777" w:rsidR="00BA1D9A" w:rsidRPr="00067D67" w:rsidRDefault="00BA1D9A">
            <w:pPr>
              <w:pStyle w:val="Standardowytekst"/>
              <w:tabs>
                <w:tab w:val="left" w:pos="9914"/>
              </w:tabs>
              <w:suppressAutoHyphens/>
              <w:rPr>
                <w:rFonts w:asciiTheme="minorHAnsi" w:hAnsiTheme="minorHAnsi" w:cstheme="minorHAnsi"/>
                <w:sz w:val="18"/>
                <w:szCs w:val="18"/>
              </w:rPr>
            </w:pPr>
            <w:r w:rsidRPr="00067D67">
              <w:rPr>
                <w:rFonts w:asciiTheme="minorHAnsi" w:hAnsiTheme="minorHAnsi" w:cstheme="minorHAnsi"/>
                <w:sz w:val="18"/>
                <w:szCs w:val="18"/>
              </w:rPr>
              <w:t>Grunty budowlane. Badania próbek gruntów</w:t>
            </w:r>
          </w:p>
        </w:tc>
      </w:tr>
      <w:tr w:rsidR="00BA1D9A" w:rsidRPr="00BA1D9A" w14:paraId="5391D4AF" w14:textId="77777777" w:rsidTr="00BA1D9A">
        <w:tc>
          <w:tcPr>
            <w:tcW w:w="354" w:type="dxa"/>
            <w:hideMark/>
          </w:tcPr>
          <w:p w14:paraId="77E95B7B" w14:textId="77777777" w:rsidR="00BA1D9A" w:rsidRPr="00067D67" w:rsidRDefault="00BA1D9A">
            <w:pPr>
              <w:pStyle w:val="Standardowytekst"/>
              <w:tabs>
                <w:tab w:val="left" w:pos="9914"/>
              </w:tabs>
              <w:suppressAutoHyphens/>
              <w:rPr>
                <w:rFonts w:asciiTheme="minorHAnsi" w:hAnsiTheme="minorHAnsi" w:cstheme="minorHAnsi"/>
                <w:sz w:val="18"/>
                <w:szCs w:val="18"/>
              </w:rPr>
            </w:pPr>
            <w:r w:rsidRPr="00067D67">
              <w:rPr>
                <w:rFonts w:asciiTheme="minorHAnsi" w:hAnsiTheme="minorHAnsi" w:cstheme="minorHAnsi"/>
                <w:sz w:val="18"/>
                <w:szCs w:val="18"/>
              </w:rPr>
              <w:t>2.</w:t>
            </w:r>
          </w:p>
        </w:tc>
        <w:tc>
          <w:tcPr>
            <w:tcW w:w="1879" w:type="dxa"/>
            <w:hideMark/>
          </w:tcPr>
          <w:p w14:paraId="4E6783A8" w14:textId="77777777" w:rsidR="00BA1D9A" w:rsidRPr="00067D67" w:rsidRDefault="00BA1D9A">
            <w:pPr>
              <w:pStyle w:val="Standardowytekst"/>
              <w:tabs>
                <w:tab w:val="left" w:pos="9914"/>
              </w:tabs>
              <w:suppressAutoHyphens/>
              <w:rPr>
                <w:rFonts w:asciiTheme="minorHAnsi" w:hAnsiTheme="minorHAnsi" w:cstheme="minorHAnsi"/>
                <w:sz w:val="18"/>
                <w:szCs w:val="18"/>
              </w:rPr>
            </w:pPr>
            <w:r w:rsidRPr="00067D67">
              <w:rPr>
                <w:rFonts w:asciiTheme="minorHAnsi" w:hAnsiTheme="minorHAnsi" w:cstheme="minorHAnsi"/>
                <w:sz w:val="18"/>
                <w:szCs w:val="18"/>
              </w:rPr>
              <w:t>PN-B-04493:1960</w:t>
            </w:r>
          </w:p>
        </w:tc>
        <w:tc>
          <w:tcPr>
            <w:tcW w:w="7618" w:type="dxa"/>
            <w:hideMark/>
          </w:tcPr>
          <w:p w14:paraId="7432952D" w14:textId="77777777" w:rsidR="00BA1D9A" w:rsidRPr="00067D67" w:rsidRDefault="00BA1D9A">
            <w:pPr>
              <w:pStyle w:val="Standardowytekst"/>
              <w:tabs>
                <w:tab w:val="left" w:pos="9914"/>
              </w:tabs>
              <w:suppressAutoHyphens/>
              <w:rPr>
                <w:rFonts w:asciiTheme="minorHAnsi" w:hAnsiTheme="minorHAnsi" w:cstheme="minorHAnsi"/>
                <w:sz w:val="18"/>
                <w:szCs w:val="18"/>
              </w:rPr>
            </w:pPr>
            <w:r w:rsidRPr="00067D67">
              <w:rPr>
                <w:rFonts w:asciiTheme="minorHAnsi" w:hAnsiTheme="minorHAnsi" w:cstheme="minorHAnsi"/>
                <w:sz w:val="18"/>
                <w:szCs w:val="18"/>
              </w:rPr>
              <w:t>Grunty budowlane. Oznaczanie kapilarności biernej</w:t>
            </w:r>
          </w:p>
        </w:tc>
      </w:tr>
      <w:tr w:rsidR="00BA1D9A" w:rsidRPr="00BA1D9A" w14:paraId="40FC2FB6" w14:textId="77777777" w:rsidTr="00BA1D9A">
        <w:tc>
          <w:tcPr>
            <w:tcW w:w="354" w:type="dxa"/>
            <w:hideMark/>
          </w:tcPr>
          <w:p w14:paraId="1C9928CD" w14:textId="77777777" w:rsidR="00BA1D9A" w:rsidRPr="00067D67" w:rsidRDefault="00BA1D9A">
            <w:pPr>
              <w:pStyle w:val="Standardowytekst"/>
              <w:tabs>
                <w:tab w:val="left" w:pos="9914"/>
              </w:tabs>
              <w:suppressAutoHyphens/>
              <w:rPr>
                <w:rFonts w:asciiTheme="minorHAnsi" w:hAnsiTheme="minorHAnsi" w:cstheme="minorHAnsi"/>
                <w:sz w:val="18"/>
                <w:szCs w:val="18"/>
              </w:rPr>
            </w:pPr>
            <w:r w:rsidRPr="00067D67">
              <w:rPr>
                <w:rFonts w:asciiTheme="minorHAnsi" w:hAnsiTheme="minorHAnsi" w:cstheme="minorHAnsi"/>
                <w:sz w:val="18"/>
                <w:szCs w:val="18"/>
              </w:rPr>
              <w:t>3.</w:t>
            </w:r>
          </w:p>
        </w:tc>
        <w:tc>
          <w:tcPr>
            <w:tcW w:w="1879" w:type="dxa"/>
            <w:hideMark/>
          </w:tcPr>
          <w:p w14:paraId="3ABEF12D" w14:textId="77777777" w:rsidR="00BA1D9A" w:rsidRPr="00067D67" w:rsidRDefault="00BA1D9A">
            <w:pPr>
              <w:pStyle w:val="Standardowytekst"/>
              <w:tabs>
                <w:tab w:val="left" w:pos="9914"/>
              </w:tabs>
              <w:suppressAutoHyphens/>
              <w:rPr>
                <w:rFonts w:asciiTheme="minorHAnsi" w:hAnsiTheme="minorHAnsi" w:cstheme="minorHAnsi"/>
                <w:sz w:val="18"/>
                <w:szCs w:val="18"/>
              </w:rPr>
            </w:pPr>
            <w:r w:rsidRPr="00067D67">
              <w:rPr>
                <w:rFonts w:asciiTheme="minorHAnsi" w:hAnsiTheme="minorHAnsi" w:cstheme="minorHAnsi"/>
                <w:sz w:val="18"/>
                <w:szCs w:val="18"/>
              </w:rPr>
              <w:t>PN-S-02205:1998</w:t>
            </w:r>
          </w:p>
        </w:tc>
        <w:tc>
          <w:tcPr>
            <w:tcW w:w="7618" w:type="dxa"/>
            <w:hideMark/>
          </w:tcPr>
          <w:p w14:paraId="4A3727BC" w14:textId="77777777" w:rsidR="00BA1D9A" w:rsidRPr="00067D67" w:rsidRDefault="00BA1D9A">
            <w:pPr>
              <w:pStyle w:val="Standardowytekst"/>
              <w:tabs>
                <w:tab w:val="left" w:pos="9914"/>
              </w:tabs>
              <w:suppressAutoHyphens/>
              <w:rPr>
                <w:rFonts w:asciiTheme="minorHAnsi" w:hAnsiTheme="minorHAnsi" w:cstheme="minorHAnsi"/>
                <w:sz w:val="18"/>
                <w:szCs w:val="18"/>
              </w:rPr>
            </w:pPr>
            <w:r w:rsidRPr="00067D67">
              <w:rPr>
                <w:rFonts w:asciiTheme="minorHAnsi" w:hAnsiTheme="minorHAnsi" w:cstheme="minorHAnsi"/>
                <w:sz w:val="18"/>
                <w:szCs w:val="18"/>
              </w:rPr>
              <w:t>Drogi samochodowe. Roboty ziemne. Wymagania i badania</w:t>
            </w:r>
          </w:p>
        </w:tc>
      </w:tr>
      <w:tr w:rsidR="00BA1D9A" w:rsidRPr="00BA1D9A" w14:paraId="25ED8543" w14:textId="77777777" w:rsidTr="00BA1D9A">
        <w:tc>
          <w:tcPr>
            <w:tcW w:w="354" w:type="dxa"/>
            <w:hideMark/>
          </w:tcPr>
          <w:p w14:paraId="25BF3FD9" w14:textId="77777777" w:rsidR="00BA1D9A" w:rsidRPr="00067D67" w:rsidRDefault="00BA1D9A">
            <w:pPr>
              <w:pStyle w:val="Standardowytekst"/>
              <w:tabs>
                <w:tab w:val="left" w:pos="9914"/>
              </w:tabs>
              <w:suppressAutoHyphens/>
              <w:rPr>
                <w:rFonts w:asciiTheme="minorHAnsi" w:hAnsiTheme="minorHAnsi" w:cstheme="minorHAnsi"/>
                <w:sz w:val="18"/>
                <w:szCs w:val="18"/>
              </w:rPr>
            </w:pPr>
            <w:r w:rsidRPr="00067D67">
              <w:rPr>
                <w:rFonts w:asciiTheme="minorHAnsi" w:hAnsiTheme="minorHAnsi" w:cstheme="minorHAnsi"/>
                <w:sz w:val="18"/>
                <w:szCs w:val="18"/>
              </w:rPr>
              <w:t>4</w:t>
            </w:r>
          </w:p>
        </w:tc>
        <w:tc>
          <w:tcPr>
            <w:tcW w:w="1879" w:type="dxa"/>
            <w:hideMark/>
          </w:tcPr>
          <w:p w14:paraId="35011C6F" w14:textId="77777777" w:rsidR="00BA1D9A" w:rsidRPr="00067D67" w:rsidRDefault="00BA1D9A">
            <w:pPr>
              <w:pStyle w:val="Standardowytekst"/>
              <w:tabs>
                <w:tab w:val="left" w:pos="9914"/>
              </w:tabs>
              <w:suppressAutoHyphens/>
              <w:rPr>
                <w:rFonts w:asciiTheme="minorHAnsi" w:hAnsiTheme="minorHAnsi" w:cstheme="minorHAnsi"/>
                <w:sz w:val="18"/>
                <w:szCs w:val="18"/>
              </w:rPr>
            </w:pPr>
            <w:r w:rsidRPr="00067D67">
              <w:rPr>
                <w:rFonts w:asciiTheme="minorHAnsi" w:hAnsiTheme="minorHAnsi" w:cstheme="minorHAnsi"/>
                <w:sz w:val="18"/>
                <w:szCs w:val="18"/>
              </w:rPr>
              <w:t>PN-EN 933-8:2001</w:t>
            </w:r>
          </w:p>
        </w:tc>
        <w:tc>
          <w:tcPr>
            <w:tcW w:w="7618" w:type="dxa"/>
            <w:hideMark/>
          </w:tcPr>
          <w:p w14:paraId="06AC956F" w14:textId="77777777" w:rsidR="00BA1D9A" w:rsidRPr="00067D67" w:rsidRDefault="00BA1D9A">
            <w:pPr>
              <w:pStyle w:val="Standardowytekst"/>
              <w:tabs>
                <w:tab w:val="left" w:pos="9914"/>
              </w:tabs>
              <w:suppressAutoHyphens/>
              <w:rPr>
                <w:rFonts w:asciiTheme="minorHAnsi" w:hAnsiTheme="minorHAnsi" w:cstheme="minorHAnsi"/>
                <w:sz w:val="18"/>
                <w:szCs w:val="18"/>
              </w:rPr>
            </w:pPr>
            <w:r w:rsidRPr="00067D67">
              <w:rPr>
                <w:rFonts w:asciiTheme="minorHAnsi" w:hAnsiTheme="minorHAnsi" w:cstheme="minorHAnsi"/>
                <w:sz w:val="18"/>
                <w:szCs w:val="18"/>
              </w:rPr>
              <w:t>Badanie geometrycznych właściwości kruszyw. Część 8 Ocena zawartości drobnych cząstek – Badanie wskaźnika piaskowego</w:t>
            </w:r>
          </w:p>
        </w:tc>
      </w:tr>
      <w:tr w:rsidR="00BA1D9A" w:rsidRPr="00BA1D9A" w14:paraId="19612548" w14:textId="77777777" w:rsidTr="00BA1D9A">
        <w:tc>
          <w:tcPr>
            <w:tcW w:w="354" w:type="dxa"/>
            <w:hideMark/>
          </w:tcPr>
          <w:p w14:paraId="241E2F30" w14:textId="77777777" w:rsidR="00BA1D9A" w:rsidRPr="00067D67" w:rsidRDefault="00BA1D9A">
            <w:pPr>
              <w:pStyle w:val="Standardowytekst"/>
              <w:tabs>
                <w:tab w:val="left" w:pos="9914"/>
              </w:tabs>
              <w:suppressAutoHyphens/>
              <w:rPr>
                <w:rFonts w:asciiTheme="minorHAnsi" w:hAnsiTheme="minorHAnsi" w:cstheme="minorHAnsi"/>
                <w:sz w:val="18"/>
                <w:szCs w:val="18"/>
              </w:rPr>
            </w:pPr>
            <w:r w:rsidRPr="00067D67">
              <w:rPr>
                <w:rFonts w:asciiTheme="minorHAnsi" w:hAnsiTheme="minorHAnsi" w:cstheme="minorHAnsi"/>
                <w:sz w:val="18"/>
                <w:szCs w:val="18"/>
              </w:rPr>
              <w:t>5.</w:t>
            </w:r>
          </w:p>
        </w:tc>
        <w:tc>
          <w:tcPr>
            <w:tcW w:w="1879" w:type="dxa"/>
            <w:hideMark/>
          </w:tcPr>
          <w:p w14:paraId="350501BB" w14:textId="77777777" w:rsidR="00BA1D9A" w:rsidRPr="00067D67" w:rsidRDefault="00BA1D9A">
            <w:pPr>
              <w:pStyle w:val="Standardowytekst"/>
              <w:tabs>
                <w:tab w:val="left" w:pos="9914"/>
              </w:tabs>
              <w:suppressAutoHyphens/>
              <w:rPr>
                <w:rFonts w:asciiTheme="minorHAnsi" w:hAnsiTheme="minorHAnsi" w:cstheme="minorHAnsi"/>
                <w:sz w:val="18"/>
                <w:szCs w:val="18"/>
              </w:rPr>
            </w:pPr>
            <w:r w:rsidRPr="00067D67">
              <w:rPr>
                <w:rFonts w:asciiTheme="minorHAnsi" w:hAnsiTheme="minorHAnsi" w:cstheme="minorHAnsi"/>
                <w:sz w:val="18"/>
                <w:szCs w:val="18"/>
              </w:rPr>
              <w:t>BN-77/8931-12</w:t>
            </w:r>
          </w:p>
        </w:tc>
        <w:tc>
          <w:tcPr>
            <w:tcW w:w="7618" w:type="dxa"/>
            <w:hideMark/>
          </w:tcPr>
          <w:p w14:paraId="1C202CBE" w14:textId="77777777" w:rsidR="00BA1D9A" w:rsidRPr="00067D67" w:rsidRDefault="00BA1D9A">
            <w:pPr>
              <w:pStyle w:val="Standardowytekst"/>
              <w:tabs>
                <w:tab w:val="left" w:pos="9914"/>
              </w:tabs>
              <w:suppressAutoHyphens/>
              <w:rPr>
                <w:rFonts w:asciiTheme="minorHAnsi" w:hAnsiTheme="minorHAnsi" w:cstheme="minorHAnsi"/>
                <w:sz w:val="18"/>
                <w:szCs w:val="18"/>
              </w:rPr>
            </w:pPr>
            <w:r w:rsidRPr="00067D67">
              <w:rPr>
                <w:rFonts w:asciiTheme="minorHAnsi" w:hAnsiTheme="minorHAnsi" w:cstheme="minorHAnsi"/>
                <w:sz w:val="18"/>
                <w:szCs w:val="18"/>
              </w:rPr>
              <w:t>Oznaczenie wskaźnika zagęszczenia gruntu</w:t>
            </w:r>
          </w:p>
        </w:tc>
      </w:tr>
    </w:tbl>
    <w:p w14:paraId="3EDFEDBC" w14:textId="77777777" w:rsidR="00BA1D9A" w:rsidRPr="00C86F6B" w:rsidRDefault="00BA1D9A" w:rsidP="00BA1D9A">
      <w:pPr>
        <w:pStyle w:val="Nagwek4"/>
        <w:rPr>
          <w:rFonts w:asciiTheme="minorHAnsi" w:hAnsiTheme="minorHAnsi" w:cstheme="minorHAnsi"/>
        </w:rPr>
      </w:pPr>
      <w:bookmarkStart w:id="266" w:name="_Toc405615064"/>
      <w:bookmarkStart w:id="267" w:name="_Toc407161212"/>
      <w:r w:rsidRPr="00C86F6B">
        <w:rPr>
          <w:rFonts w:asciiTheme="minorHAnsi" w:hAnsiTheme="minorHAnsi" w:cstheme="minorHAnsi"/>
        </w:rPr>
        <w:t>10.2 Inne dokumenty</w:t>
      </w:r>
    </w:p>
    <w:bookmarkEnd w:id="266"/>
    <w:bookmarkEnd w:id="267"/>
    <w:p w14:paraId="2FB01014" w14:textId="77777777" w:rsidR="00BA1D9A" w:rsidRPr="00C86F6B" w:rsidRDefault="00BA1D9A" w:rsidP="00262498">
      <w:pPr>
        <w:pStyle w:val="Standardowytekst"/>
        <w:numPr>
          <w:ilvl w:val="0"/>
          <w:numId w:val="224"/>
        </w:numPr>
        <w:tabs>
          <w:tab w:val="left" w:pos="426"/>
          <w:tab w:val="left" w:pos="9914"/>
        </w:tabs>
        <w:suppressAutoHyphens/>
        <w:textAlignment w:val="auto"/>
        <w:rPr>
          <w:rFonts w:asciiTheme="minorHAnsi" w:hAnsiTheme="minorHAnsi" w:cstheme="minorHAnsi"/>
          <w:sz w:val="18"/>
          <w:szCs w:val="18"/>
        </w:rPr>
      </w:pPr>
      <w:r w:rsidRPr="00C86F6B">
        <w:rPr>
          <w:rFonts w:asciiTheme="minorHAnsi" w:hAnsiTheme="minorHAnsi" w:cstheme="minorHAnsi"/>
          <w:sz w:val="18"/>
          <w:szCs w:val="18"/>
        </w:rPr>
        <w:t>Instrukcja badań podłoża gruntowego budowli drogowych i mostowych, GDDP,Warszawa 1998.</w:t>
      </w:r>
    </w:p>
    <w:p w14:paraId="10658D62" w14:textId="77777777" w:rsidR="00BA1D9A" w:rsidRPr="00C86F6B" w:rsidRDefault="00BA1D9A" w:rsidP="00BA1D9A">
      <w:pPr>
        <w:tabs>
          <w:tab w:val="left" w:pos="9914"/>
        </w:tabs>
        <w:rPr>
          <w:rFonts w:asciiTheme="minorHAnsi" w:hAnsiTheme="minorHAnsi" w:cstheme="minorHAnsi"/>
          <w:sz w:val="18"/>
          <w:szCs w:val="18"/>
        </w:rPr>
      </w:pPr>
      <w:r w:rsidRPr="00C86F6B">
        <w:rPr>
          <w:rFonts w:asciiTheme="minorHAnsi" w:hAnsiTheme="minorHAnsi" w:cstheme="minorHAnsi"/>
          <w:sz w:val="18"/>
          <w:szCs w:val="18"/>
        </w:rPr>
        <w:t>7.   Katalog typowych konstrukcji nawierzchni podatnych i półsztywnych, IBDiM, Warszawa 1997</w:t>
      </w:r>
    </w:p>
    <w:p w14:paraId="5595E5CF" w14:textId="77777777" w:rsidR="00BA1D9A" w:rsidRDefault="00BA1D9A" w:rsidP="00BA1D9A">
      <w:pPr>
        <w:spacing w:line="360" w:lineRule="auto"/>
        <w:rPr>
          <w:rFonts w:asciiTheme="minorHAnsi" w:hAnsiTheme="minorHAnsi" w:cstheme="minorHAnsi"/>
          <w:b/>
          <w:smallCaps/>
          <w:sz w:val="22"/>
          <w:szCs w:val="22"/>
        </w:rPr>
      </w:pPr>
    </w:p>
    <w:p w14:paraId="6B3235C4" w14:textId="77777777" w:rsidR="00BA1D9A" w:rsidRDefault="00BA1D9A" w:rsidP="00BA1D9A">
      <w:pPr>
        <w:spacing w:line="360" w:lineRule="auto"/>
        <w:rPr>
          <w:rFonts w:asciiTheme="minorHAnsi" w:hAnsiTheme="minorHAnsi" w:cstheme="minorHAnsi"/>
          <w:b/>
          <w:smallCaps/>
          <w:sz w:val="22"/>
          <w:szCs w:val="22"/>
        </w:rPr>
      </w:pPr>
    </w:p>
    <w:p w14:paraId="05A6DB77" w14:textId="77777777" w:rsidR="00BA1D9A" w:rsidRDefault="00BA1D9A" w:rsidP="00BA1D9A">
      <w:pPr>
        <w:spacing w:line="360" w:lineRule="auto"/>
        <w:rPr>
          <w:rFonts w:asciiTheme="minorHAnsi" w:hAnsiTheme="minorHAnsi" w:cstheme="minorHAnsi"/>
          <w:b/>
          <w:smallCaps/>
          <w:sz w:val="22"/>
          <w:szCs w:val="22"/>
        </w:rPr>
      </w:pPr>
    </w:p>
    <w:p w14:paraId="0495DE7B" w14:textId="77777777" w:rsidR="00BA1D9A" w:rsidRDefault="00BA1D9A" w:rsidP="00BA1D9A">
      <w:pPr>
        <w:spacing w:line="360" w:lineRule="auto"/>
        <w:rPr>
          <w:rFonts w:asciiTheme="minorHAnsi" w:hAnsiTheme="minorHAnsi" w:cstheme="minorHAnsi"/>
          <w:b/>
          <w:smallCaps/>
          <w:sz w:val="22"/>
          <w:szCs w:val="22"/>
        </w:rPr>
      </w:pPr>
    </w:p>
    <w:p w14:paraId="73842FA2" w14:textId="77777777" w:rsidR="00BA1D9A" w:rsidRDefault="00BA1D9A" w:rsidP="00BA1D9A">
      <w:pPr>
        <w:spacing w:line="360" w:lineRule="auto"/>
        <w:rPr>
          <w:rFonts w:asciiTheme="minorHAnsi" w:hAnsiTheme="minorHAnsi" w:cstheme="minorHAnsi"/>
          <w:b/>
          <w:smallCaps/>
          <w:sz w:val="22"/>
          <w:szCs w:val="22"/>
        </w:rPr>
      </w:pPr>
    </w:p>
    <w:p w14:paraId="5B96D1B6" w14:textId="77777777" w:rsidR="00BA1D9A" w:rsidRDefault="00BA1D9A" w:rsidP="00BA1D9A">
      <w:pPr>
        <w:spacing w:line="360" w:lineRule="auto"/>
        <w:rPr>
          <w:rFonts w:asciiTheme="minorHAnsi" w:hAnsiTheme="minorHAnsi" w:cstheme="minorHAnsi"/>
          <w:b/>
          <w:smallCaps/>
          <w:sz w:val="22"/>
          <w:szCs w:val="22"/>
        </w:rPr>
      </w:pPr>
    </w:p>
    <w:p w14:paraId="1DB14934" w14:textId="77777777" w:rsidR="00BA1D9A" w:rsidRDefault="00BA1D9A" w:rsidP="00BA1D9A">
      <w:pPr>
        <w:spacing w:line="360" w:lineRule="auto"/>
        <w:rPr>
          <w:rFonts w:asciiTheme="minorHAnsi" w:hAnsiTheme="minorHAnsi" w:cstheme="minorHAnsi"/>
          <w:b/>
          <w:smallCaps/>
          <w:sz w:val="22"/>
          <w:szCs w:val="22"/>
        </w:rPr>
      </w:pPr>
    </w:p>
    <w:p w14:paraId="2AA4ED4A" w14:textId="77777777" w:rsidR="00BA1D9A" w:rsidRDefault="00BA1D9A" w:rsidP="00BA1D9A">
      <w:pPr>
        <w:spacing w:line="360" w:lineRule="auto"/>
        <w:rPr>
          <w:rFonts w:asciiTheme="minorHAnsi" w:hAnsiTheme="minorHAnsi" w:cstheme="minorHAnsi"/>
          <w:b/>
          <w:smallCaps/>
          <w:sz w:val="22"/>
          <w:szCs w:val="22"/>
        </w:rPr>
      </w:pPr>
    </w:p>
    <w:p w14:paraId="110EBA19" w14:textId="77777777" w:rsidR="00BA1D9A" w:rsidRDefault="00BA1D9A" w:rsidP="00BA1D9A">
      <w:pPr>
        <w:spacing w:line="360" w:lineRule="auto"/>
        <w:rPr>
          <w:rFonts w:asciiTheme="minorHAnsi" w:hAnsiTheme="minorHAnsi" w:cstheme="minorHAnsi"/>
          <w:b/>
          <w:smallCaps/>
          <w:sz w:val="22"/>
          <w:szCs w:val="22"/>
        </w:rPr>
      </w:pPr>
    </w:p>
    <w:p w14:paraId="6DA43431" w14:textId="77777777" w:rsidR="00BA1D9A" w:rsidRDefault="00BA1D9A" w:rsidP="00BA1D9A">
      <w:pPr>
        <w:spacing w:line="360" w:lineRule="auto"/>
        <w:rPr>
          <w:rFonts w:asciiTheme="minorHAnsi" w:hAnsiTheme="minorHAnsi" w:cstheme="minorHAnsi"/>
          <w:b/>
          <w:smallCaps/>
          <w:sz w:val="22"/>
          <w:szCs w:val="22"/>
        </w:rPr>
      </w:pPr>
    </w:p>
    <w:p w14:paraId="122B0B9D" w14:textId="77777777" w:rsidR="00BA1D9A" w:rsidRDefault="00BA1D9A" w:rsidP="00BA1D9A">
      <w:pPr>
        <w:spacing w:line="360" w:lineRule="auto"/>
        <w:rPr>
          <w:rFonts w:asciiTheme="minorHAnsi" w:hAnsiTheme="minorHAnsi" w:cstheme="minorHAnsi"/>
          <w:b/>
          <w:smallCaps/>
          <w:sz w:val="22"/>
          <w:szCs w:val="22"/>
        </w:rPr>
      </w:pPr>
    </w:p>
    <w:p w14:paraId="1A1D6DC1" w14:textId="77777777" w:rsidR="00BA1D9A" w:rsidRDefault="00BA1D9A" w:rsidP="00BA1D9A">
      <w:pPr>
        <w:spacing w:line="360" w:lineRule="auto"/>
        <w:rPr>
          <w:rFonts w:asciiTheme="minorHAnsi" w:hAnsiTheme="minorHAnsi" w:cstheme="minorHAnsi"/>
          <w:b/>
          <w:smallCaps/>
          <w:sz w:val="22"/>
          <w:szCs w:val="22"/>
        </w:rPr>
      </w:pPr>
    </w:p>
    <w:p w14:paraId="6B658691" w14:textId="16E5C659" w:rsidR="00BA1D9A" w:rsidRPr="00BA1D9A" w:rsidRDefault="006707A0" w:rsidP="00BA1D9A">
      <w:pPr>
        <w:spacing w:line="360" w:lineRule="auto"/>
        <w:jc w:val="center"/>
        <w:rPr>
          <w:rFonts w:asciiTheme="minorHAnsi" w:hAnsiTheme="minorHAnsi" w:cstheme="minorHAnsi"/>
          <w:b/>
          <w:smallCaps/>
          <w:sz w:val="22"/>
          <w:szCs w:val="22"/>
        </w:rPr>
      </w:pPr>
      <w:r>
        <w:rPr>
          <w:rFonts w:ascii="Calibri" w:hAnsi="Calibri" w:cs="Calibri"/>
          <w:b/>
          <w:sz w:val="22"/>
          <w:szCs w:val="22"/>
        </w:rPr>
        <w:t>SZCZEGÓŁOWE SPECYFIKACJE TECHNICZNE</w:t>
      </w:r>
      <w:r w:rsidR="00BA1D9A" w:rsidRPr="00A23FB4">
        <w:rPr>
          <w:rFonts w:asciiTheme="minorHAnsi" w:hAnsiTheme="minorHAnsi" w:cstheme="minorHAnsi"/>
          <w:b/>
          <w:smallCaps/>
          <w:sz w:val="22"/>
          <w:szCs w:val="22"/>
        </w:rPr>
        <w:t xml:space="preserve"> WYKONANIA I ODBIORU ROBÓT BUDOWLANYCH</w:t>
      </w:r>
    </w:p>
    <w:p w14:paraId="17CCB5AE" w14:textId="57F19ECA" w:rsidR="00BA1D9A" w:rsidRPr="00BA1D9A" w:rsidRDefault="00BA1D9A" w:rsidP="00BA1D9A">
      <w:pPr>
        <w:pStyle w:val="Nagwek1"/>
        <w:spacing w:before="0"/>
        <w:rPr>
          <w:rFonts w:asciiTheme="minorHAnsi" w:hAnsiTheme="minorHAnsi" w:cstheme="minorHAnsi"/>
          <w:caps w:val="0"/>
          <w:sz w:val="22"/>
          <w:szCs w:val="22"/>
        </w:rPr>
      </w:pPr>
      <w:bookmarkStart w:id="268" w:name="_Toc206275477"/>
      <w:r w:rsidRPr="00BA1D9A">
        <w:rPr>
          <w:rFonts w:asciiTheme="minorHAnsi" w:hAnsiTheme="minorHAnsi" w:cstheme="minorHAnsi"/>
          <w:caps w:val="0"/>
          <w:sz w:val="22"/>
          <w:szCs w:val="22"/>
        </w:rPr>
        <w:t>D-02.03.01  NASYPY</w:t>
      </w:r>
      <w:bookmarkEnd w:id="154"/>
      <w:bookmarkEnd w:id="155"/>
      <w:bookmarkEnd w:id="268"/>
    </w:p>
    <w:p w14:paraId="2362A24A" w14:textId="77777777" w:rsidR="00BA1D9A" w:rsidRPr="00BA1D9A" w:rsidRDefault="00BA1D9A" w:rsidP="00BA1D9A">
      <w:pPr>
        <w:rPr>
          <w:rFonts w:asciiTheme="minorHAnsi" w:hAnsiTheme="minorHAnsi" w:cstheme="minorHAnsi"/>
          <w:sz w:val="22"/>
          <w:szCs w:val="22"/>
        </w:rPr>
      </w:pPr>
    </w:p>
    <w:p w14:paraId="19F8AEB4" w14:textId="77777777" w:rsidR="00BA1D9A" w:rsidRPr="00AA57EC" w:rsidRDefault="00BA1D9A" w:rsidP="00BA1D9A">
      <w:pPr>
        <w:rPr>
          <w:rFonts w:asciiTheme="minorHAnsi" w:hAnsiTheme="minorHAnsi" w:cstheme="minorHAnsi"/>
          <w:b/>
        </w:rPr>
      </w:pPr>
      <w:r w:rsidRPr="00AA57EC">
        <w:rPr>
          <w:rFonts w:asciiTheme="minorHAnsi" w:hAnsiTheme="minorHAnsi" w:cstheme="minorHAnsi"/>
          <w:b/>
        </w:rPr>
        <w:t>1 WSTĘP</w:t>
      </w:r>
    </w:p>
    <w:p w14:paraId="7452DD3E" w14:textId="5D041D8C" w:rsidR="00BA1D9A" w:rsidRPr="00DE28CE" w:rsidRDefault="00BA1D9A" w:rsidP="00BA1D9A">
      <w:pPr>
        <w:pStyle w:val="Nagwek4"/>
        <w:rPr>
          <w:rFonts w:asciiTheme="minorHAnsi" w:hAnsiTheme="minorHAnsi" w:cstheme="minorHAnsi"/>
        </w:rPr>
      </w:pPr>
      <w:bookmarkStart w:id="269" w:name="_Toc406295846"/>
      <w:bookmarkStart w:id="270" w:name="_Toc407161266"/>
      <w:r w:rsidRPr="00DE28CE">
        <w:rPr>
          <w:rFonts w:asciiTheme="minorHAnsi" w:hAnsiTheme="minorHAnsi" w:cstheme="minorHAnsi"/>
        </w:rPr>
        <w:t xml:space="preserve">1.1. Przedmiot </w:t>
      </w:r>
      <w:bookmarkEnd w:id="269"/>
      <w:bookmarkEnd w:id="270"/>
      <w:r w:rsidR="001C2347" w:rsidRPr="00DE28CE">
        <w:rPr>
          <w:rFonts w:asciiTheme="minorHAnsi" w:hAnsiTheme="minorHAnsi" w:cstheme="minorHAnsi"/>
        </w:rPr>
        <w:t>ST</w:t>
      </w:r>
      <w:r w:rsidRPr="00DE28CE">
        <w:rPr>
          <w:rFonts w:asciiTheme="minorHAnsi" w:hAnsiTheme="minorHAnsi" w:cstheme="minorHAnsi"/>
        </w:rPr>
        <w:t>WiORB</w:t>
      </w:r>
    </w:p>
    <w:p w14:paraId="29FE9A05" w14:textId="61A0C3A7" w:rsidR="00BA1D9A" w:rsidRPr="00AA57EC" w:rsidRDefault="00BA1D9A" w:rsidP="00BA1D9A">
      <w:pPr>
        <w:rPr>
          <w:rFonts w:asciiTheme="minorHAnsi" w:hAnsiTheme="minorHAnsi" w:cstheme="minorHAnsi"/>
        </w:rPr>
      </w:pPr>
      <w:r w:rsidRPr="00AA57EC">
        <w:rPr>
          <w:rFonts w:asciiTheme="minorHAnsi" w:hAnsiTheme="minorHAnsi" w:cstheme="minorHAnsi"/>
        </w:rPr>
        <w:t>Przedmiotem niniejszej specyfikacji technicznej wykonania i odbioru robót budowlanych (</w:t>
      </w:r>
      <w:r w:rsidR="000907B8">
        <w:rPr>
          <w:rFonts w:asciiTheme="minorHAnsi" w:hAnsiTheme="minorHAnsi" w:cstheme="minorHAnsi"/>
        </w:rPr>
        <w:t>ST</w:t>
      </w:r>
      <w:r w:rsidRPr="00AA57EC">
        <w:rPr>
          <w:rFonts w:asciiTheme="minorHAnsi" w:hAnsiTheme="minorHAnsi" w:cstheme="minorHAnsi"/>
        </w:rPr>
        <w:t>WiORB) są wymagania dotyczące wykonania i odbioru nasypów.</w:t>
      </w:r>
    </w:p>
    <w:p w14:paraId="27678D75" w14:textId="55CD3192" w:rsidR="00BA1D9A" w:rsidRPr="00AA57EC" w:rsidRDefault="00BA1D9A" w:rsidP="00BA1D9A">
      <w:pPr>
        <w:pStyle w:val="Nagwek4"/>
        <w:rPr>
          <w:rFonts w:asciiTheme="minorHAnsi" w:hAnsiTheme="minorHAnsi" w:cstheme="minorHAnsi"/>
        </w:rPr>
      </w:pPr>
      <w:bookmarkStart w:id="271" w:name="_Toc406295847"/>
      <w:bookmarkStart w:id="272" w:name="_Toc407161267"/>
      <w:r w:rsidRPr="00AA57EC">
        <w:rPr>
          <w:rFonts w:asciiTheme="minorHAnsi" w:hAnsiTheme="minorHAnsi" w:cstheme="minorHAnsi"/>
        </w:rPr>
        <w:t xml:space="preserve">1.2. Zakres stosowania </w:t>
      </w:r>
      <w:bookmarkEnd w:id="271"/>
      <w:bookmarkEnd w:id="272"/>
      <w:r w:rsidR="001C2347">
        <w:rPr>
          <w:rFonts w:asciiTheme="minorHAnsi" w:hAnsiTheme="minorHAnsi" w:cstheme="minorHAnsi"/>
        </w:rPr>
        <w:t>ST</w:t>
      </w:r>
      <w:r w:rsidRPr="00AA57EC">
        <w:rPr>
          <w:rFonts w:asciiTheme="minorHAnsi" w:hAnsiTheme="minorHAnsi" w:cstheme="minorHAnsi"/>
        </w:rPr>
        <w:t>WiORB</w:t>
      </w:r>
    </w:p>
    <w:p w14:paraId="2E434F9D" w14:textId="27B9F00A" w:rsidR="00080A6F" w:rsidRPr="00AA57EC" w:rsidRDefault="00BA1D9A" w:rsidP="00080A6F">
      <w:pPr>
        <w:overflowPunct/>
        <w:spacing w:before="240" w:line="276" w:lineRule="auto"/>
        <w:textAlignment w:val="auto"/>
        <w:rPr>
          <w:rFonts w:asciiTheme="minorHAnsi" w:hAnsiTheme="minorHAnsi" w:cstheme="minorHAnsi"/>
        </w:rPr>
      </w:pPr>
      <w:bookmarkStart w:id="273" w:name="_Toc406295848"/>
      <w:bookmarkStart w:id="274" w:name="_Toc407161268"/>
      <w:r w:rsidRPr="00AA57EC">
        <w:rPr>
          <w:rFonts w:asciiTheme="minorHAnsi" w:hAnsiTheme="minorHAnsi" w:cstheme="minorHAnsi"/>
        </w:rPr>
        <w:t xml:space="preserve">Specyfikacja techniczna stanowi dokument kontraktowy przy realizacji  zadania </w:t>
      </w:r>
      <w:r w:rsidR="00080A6F" w:rsidRPr="00AA57EC">
        <w:rPr>
          <w:rFonts w:asciiTheme="minorHAnsi" w:hAnsiTheme="minorHAnsi" w:cstheme="minorHAnsi"/>
        </w:rPr>
        <w:t>„</w:t>
      </w:r>
      <w:r w:rsidR="001C2347" w:rsidRPr="001C2347">
        <w:rPr>
          <w:rFonts w:asciiTheme="minorHAnsi" w:hAnsiTheme="minorHAnsi" w:cstheme="minorHAnsi"/>
        </w:rPr>
        <w:t>Rozbudowa ul. Wrocławskiej w ciągu drogi powiatowej w Tyńcu Małym wraz z rozbudową istniejącego skrzyżowania typu rondo na połączeniu dróg krajowych nr 35 i 35a oraz łącznika węzła Kobierzyce drogi S8e oraz infrastrukturą towarzyszącą w ramach zadania „Rozbudowa skrzyżowania typu rondo w ciągu DK35 koło m. Tyniec Mały usprawniająca skomunikowanie obszarów Podstrefy Wrocław – Kobierzyce TSSE EURO PARK WISŁOSAN”.</w:t>
      </w:r>
    </w:p>
    <w:p w14:paraId="092E2929" w14:textId="4A007D9C" w:rsidR="00BA1D9A" w:rsidRPr="00AA57EC" w:rsidRDefault="00BA1D9A" w:rsidP="00080A6F">
      <w:pPr>
        <w:rPr>
          <w:rFonts w:asciiTheme="minorHAnsi" w:hAnsiTheme="minorHAnsi" w:cstheme="minorHAnsi"/>
          <w:b/>
          <w:bCs/>
        </w:rPr>
      </w:pPr>
      <w:r w:rsidRPr="00AA57EC">
        <w:rPr>
          <w:rFonts w:asciiTheme="minorHAnsi" w:hAnsiTheme="minorHAnsi" w:cstheme="minorHAnsi"/>
          <w:b/>
          <w:bCs/>
        </w:rPr>
        <w:t xml:space="preserve">1.3. Zakres robót objętych </w:t>
      </w:r>
      <w:bookmarkEnd w:id="273"/>
      <w:bookmarkEnd w:id="274"/>
      <w:r w:rsidR="001C2347">
        <w:rPr>
          <w:rFonts w:asciiTheme="minorHAnsi" w:hAnsiTheme="minorHAnsi" w:cstheme="minorHAnsi"/>
          <w:b/>
          <w:bCs/>
        </w:rPr>
        <w:t>ST</w:t>
      </w:r>
      <w:r w:rsidRPr="00AA57EC">
        <w:rPr>
          <w:rFonts w:asciiTheme="minorHAnsi" w:hAnsiTheme="minorHAnsi" w:cstheme="minorHAnsi"/>
          <w:b/>
          <w:bCs/>
        </w:rPr>
        <w:t>WiORB</w:t>
      </w:r>
    </w:p>
    <w:p w14:paraId="4AEDBABF" w14:textId="77777777" w:rsidR="00BA1D9A" w:rsidRPr="00AA57EC" w:rsidRDefault="00BA1D9A" w:rsidP="00BA1D9A">
      <w:pPr>
        <w:rPr>
          <w:rFonts w:asciiTheme="minorHAnsi" w:hAnsiTheme="minorHAnsi" w:cstheme="minorHAnsi"/>
        </w:rPr>
      </w:pPr>
      <w:r w:rsidRPr="00AA57EC">
        <w:rPr>
          <w:rFonts w:asciiTheme="minorHAnsi" w:hAnsiTheme="minorHAnsi" w:cstheme="minorHAnsi"/>
        </w:rPr>
        <w:t xml:space="preserve">Ustalenia zawarte w niniejszej specyfikacji dotyczą zasad prowadzenia robót ziemnych w czasie budowy lub modernizacji dróg i obejmują wykonanie nasypów. </w:t>
      </w:r>
    </w:p>
    <w:p w14:paraId="1D221BB6" w14:textId="77777777" w:rsidR="00BA1D9A" w:rsidRPr="00AA57EC" w:rsidRDefault="00BA1D9A" w:rsidP="00BA1D9A">
      <w:pPr>
        <w:pStyle w:val="Nagwek4"/>
        <w:rPr>
          <w:rFonts w:asciiTheme="minorHAnsi" w:hAnsiTheme="minorHAnsi" w:cstheme="minorHAnsi"/>
        </w:rPr>
      </w:pPr>
      <w:bookmarkStart w:id="275" w:name="_Toc406295849"/>
      <w:bookmarkStart w:id="276" w:name="_Toc407161269"/>
      <w:r w:rsidRPr="00AA57EC">
        <w:rPr>
          <w:rFonts w:asciiTheme="minorHAnsi" w:hAnsiTheme="minorHAnsi" w:cstheme="minorHAnsi"/>
          <w:b w:val="0"/>
          <w:bCs w:val="0"/>
        </w:rPr>
        <w:t>1.4. Określenia podstawowe</w:t>
      </w:r>
      <w:bookmarkEnd w:id="275"/>
      <w:bookmarkEnd w:id="276"/>
    </w:p>
    <w:p w14:paraId="408DE54A" w14:textId="77777777" w:rsidR="00BA1D9A" w:rsidRPr="00AA57EC" w:rsidRDefault="00BA1D9A" w:rsidP="00BA1D9A">
      <w:pPr>
        <w:pStyle w:val="Standardowytekst"/>
        <w:tabs>
          <w:tab w:val="right" w:pos="-1985"/>
          <w:tab w:val="left" w:pos="567"/>
        </w:tabs>
        <w:rPr>
          <w:rFonts w:asciiTheme="minorHAnsi" w:hAnsiTheme="minorHAnsi" w:cstheme="minorHAnsi"/>
        </w:rPr>
      </w:pPr>
      <w:r w:rsidRPr="00AA57EC">
        <w:rPr>
          <w:rFonts w:asciiTheme="minorHAnsi" w:hAnsiTheme="minorHAnsi" w:cstheme="minorHAnsi"/>
          <w:b/>
        </w:rPr>
        <w:t>1.4.1.</w:t>
      </w:r>
      <w:r w:rsidRPr="00AA57EC">
        <w:rPr>
          <w:rFonts w:asciiTheme="minorHAnsi" w:hAnsiTheme="minorHAnsi" w:cstheme="minorHAnsi"/>
          <w:b/>
        </w:rPr>
        <w:tab/>
      </w:r>
      <w:r w:rsidRPr="00AA57EC">
        <w:rPr>
          <w:rFonts w:asciiTheme="minorHAnsi" w:hAnsiTheme="minorHAnsi" w:cstheme="minorHAnsi"/>
        </w:rPr>
        <w:t>Budowla ziemna - budowla wykonana w gruncie lub z gruntu naturalnego lub z gruntu antropogenicznego spełniająca warunki stateczności i odwodnienia.</w:t>
      </w:r>
    </w:p>
    <w:p w14:paraId="1EA22F5C" w14:textId="77777777" w:rsidR="00BA1D9A" w:rsidRPr="00AA57EC" w:rsidRDefault="00BA1D9A" w:rsidP="00BA1D9A">
      <w:pPr>
        <w:pStyle w:val="Standardowytekst"/>
        <w:tabs>
          <w:tab w:val="right" w:pos="-1985"/>
          <w:tab w:val="left" w:pos="567"/>
        </w:tabs>
        <w:rPr>
          <w:rFonts w:asciiTheme="minorHAnsi" w:hAnsiTheme="minorHAnsi" w:cstheme="minorHAnsi"/>
        </w:rPr>
      </w:pPr>
      <w:r w:rsidRPr="00AA57EC">
        <w:rPr>
          <w:rFonts w:asciiTheme="minorHAnsi" w:hAnsiTheme="minorHAnsi" w:cstheme="minorHAnsi"/>
          <w:b/>
        </w:rPr>
        <w:t>1.4.2.</w:t>
      </w:r>
      <w:r w:rsidRPr="00AA57EC">
        <w:rPr>
          <w:rFonts w:asciiTheme="minorHAnsi" w:hAnsiTheme="minorHAnsi" w:cstheme="minorHAnsi"/>
          <w:b/>
        </w:rPr>
        <w:tab/>
      </w:r>
      <w:r w:rsidRPr="00AA57EC">
        <w:rPr>
          <w:rFonts w:asciiTheme="minorHAnsi" w:hAnsiTheme="minorHAnsi" w:cstheme="minorHAnsi"/>
        </w:rPr>
        <w:t>Dokop - miejsce pozyskania gruntu do wykonania nasypów, położone poza pasem robót drogowych</w:t>
      </w:r>
    </w:p>
    <w:p w14:paraId="4EFFB057" w14:textId="77777777" w:rsidR="00BA1D9A" w:rsidRPr="00AA57EC" w:rsidRDefault="00BA1D9A" w:rsidP="00BA1D9A">
      <w:pPr>
        <w:pStyle w:val="Standardowytekst"/>
        <w:tabs>
          <w:tab w:val="right" w:pos="-1985"/>
          <w:tab w:val="left" w:pos="567"/>
        </w:tabs>
        <w:rPr>
          <w:rFonts w:asciiTheme="minorHAnsi" w:hAnsiTheme="minorHAnsi" w:cstheme="minorHAnsi"/>
          <w:b/>
        </w:rPr>
      </w:pPr>
      <w:r w:rsidRPr="00AA57EC">
        <w:rPr>
          <w:rFonts w:asciiTheme="minorHAnsi" w:hAnsiTheme="minorHAnsi" w:cstheme="minorHAnsi"/>
          <w:b/>
        </w:rPr>
        <w:t>1.4.3.</w:t>
      </w:r>
      <w:r w:rsidRPr="00AA57EC">
        <w:rPr>
          <w:rFonts w:asciiTheme="minorHAnsi" w:hAnsiTheme="minorHAnsi" w:cstheme="minorHAnsi"/>
          <w:b/>
        </w:rPr>
        <w:tab/>
      </w:r>
      <w:r w:rsidRPr="00AA57EC">
        <w:rPr>
          <w:rFonts w:asciiTheme="minorHAnsi" w:hAnsiTheme="minorHAnsi" w:cstheme="minorHAnsi"/>
        </w:rPr>
        <w:t>Korpus drogowy - nasyp lub ta część wykopu, która jest ograniczona koroną drogi i skarpami rowów.</w:t>
      </w:r>
    </w:p>
    <w:p w14:paraId="421CE43B" w14:textId="77777777" w:rsidR="00BA1D9A" w:rsidRPr="00AA57EC" w:rsidRDefault="00BA1D9A" w:rsidP="00BA1D9A">
      <w:pPr>
        <w:pStyle w:val="Standardowytekst"/>
        <w:tabs>
          <w:tab w:val="right" w:pos="-1985"/>
          <w:tab w:val="left" w:pos="567"/>
        </w:tabs>
        <w:rPr>
          <w:rFonts w:asciiTheme="minorHAnsi" w:hAnsiTheme="minorHAnsi" w:cstheme="minorHAnsi"/>
        </w:rPr>
      </w:pPr>
      <w:r w:rsidRPr="00AA57EC">
        <w:rPr>
          <w:rFonts w:asciiTheme="minorHAnsi" w:hAnsiTheme="minorHAnsi" w:cstheme="minorHAnsi"/>
          <w:b/>
        </w:rPr>
        <w:t>1.4.4.</w:t>
      </w:r>
      <w:r w:rsidRPr="00AA57EC">
        <w:rPr>
          <w:rFonts w:asciiTheme="minorHAnsi" w:hAnsiTheme="minorHAnsi" w:cstheme="minorHAnsi"/>
          <w:b/>
        </w:rPr>
        <w:tab/>
      </w:r>
      <w:r w:rsidRPr="00AA57EC">
        <w:rPr>
          <w:rFonts w:asciiTheme="minorHAnsi" w:hAnsiTheme="minorHAnsi" w:cstheme="minorHAnsi"/>
        </w:rPr>
        <w:t>Nasyp niski - nasyp, którego wysokość jest mniejsza niż 1 m.</w:t>
      </w:r>
    </w:p>
    <w:p w14:paraId="696C711D" w14:textId="77777777" w:rsidR="00BA1D9A" w:rsidRPr="00AA57EC" w:rsidRDefault="00BA1D9A" w:rsidP="00BA1D9A">
      <w:pPr>
        <w:pStyle w:val="Standardowytekst"/>
        <w:tabs>
          <w:tab w:val="left" w:pos="567"/>
        </w:tabs>
        <w:rPr>
          <w:rFonts w:asciiTheme="minorHAnsi" w:hAnsiTheme="minorHAnsi" w:cstheme="minorHAnsi"/>
        </w:rPr>
      </w:pPr>
      <w:r w:rsidRPr="00AA57EC">
        <w:rPr>
          <w:rFonts w:asciiTheme="minorHAnsi" w:hAnsiTheme="minorHAnsi" w:cstheme="minorHAnsi"/>
          <w:b/>
        </w:rPr>
        <w:t>1.4.5.</w:t>
      </w:r>
      <w:r w:rsidRPr="00AA57EC">
        <w:rPr>
          <w:rFonts w:asciiTheme="minorHAnsi" w:hAnsiTheme="minorHAnsi" w:cstheme="minorHAnsi"/>
          <w:b/>
        </w:rPr>
        <w:tab/>
      </w:r>
      <w:r w:rsidRPr="00AA57EC">
        <w:rPr>
          <w:rFonts w:asciiTheme="minorHAnsi" w:hAnsiTheme="minorHAnsi" w:cstheme="minorHAnsi"/>
        </w:rPr>
        <w:t>Nasyp średni - nasyp, którego wysokość jest zawarta w granicach od 1 do 3 m.</w:t>
      </w:r>
    </w:p>
    <w:p w14:paraId="003C62E5" w14:textId="77777777" w:rsidR="00BA1D9A" w:rsidRPr="00AA57EC" w:rsidRDefault="00BA1D9A" w:rsidP="00BA1D9A">
      <w:pPr>
        <w:pStyle w:val="Standardowytekst"/>
        <w:tabs>
          <w:tab w:val="left" w:pos="567"/>
        </w:tabs>
        <w:rPr>
          <w:rFonts w:asciiTheme="minorHAnsi" w:hAnsiTheme="minorHAnsi" w:cstheme="minorHAnsi"/>
        </w:rPr>
      </w:pPr>
      <w:r w:rsidRPr="00AA57EC">
        <w:rPr>
          <w:rFonts w:asciiTheme="minorHAnsi" w:hAnsiTheme="minorHAnsi" w:cstheme="minorHAnsi"/>
          <w:b/>
        </w:rPr>
        <w:t>1.4.6.</w:t>
      </w:r>
      <w:r w:rsidRPr="00AA57EC">
        <w:rPr>
          <w:rFonts w:asciiTheme="minorHAnsi" w:hAnsiTheme="minorHAnsi" w:cstheme="minorHAnsi"/>
          <w:b/>
        </w:rPr>
        <w:tab/>
      </w:r>
      <w:r w:rsidRPr="00AA57EC">
        <w:rPr>
          <w:rFonts w:asciiTheme="minorHAnsi" w:hAnsiTheme="minorHAnsi" w:cstheme="minorHAnsi"/>
        </w:rPr>
        <w:t>Nasyp wysoki - nasyp, którego wysokość przekracza 3 m.</w:t>
      </w:r>
    </w:p>
    <w:p w14:paraId="27AA9A40" w14:textId="77777777" w:rsidR="00BA1D9A" w:rsidRPr="00AA57EC" w:rsidRDefault="00BA1D9A" w:rsidP="00BA1D9A">
      <w:pPr>
        <w:pStyle w:val="Standardowytekst"/>
        <w:rPr>
          <w:rFonts w:asciiTheme="minorHAnsi" w:hAnsiTheme="minorHAnsi" w:cstheme="minorHAnsi"/>
        </w:rPr>
      </w:pPr>
      <w:r w:rsidRPr="00AA57EC">
        <w:rPr>
          <w:rFonts w:asciiTheme="minorHAnsi" w:hAnsiTheme="minorHAnsi" w:cstheme="minorHAnsi"/>
          <w:b/>
        </w:rPr>
        <w:t>1.4.7.</w:t>
      </w:r>
      <w:r w:rsidRPr="00AA57EC">
        <w:rPr>
          <w:rFonts w:asciiTheme="minorHAnsi" w:hAnsiTheme="minorHAnsi" w:cstheme="minorHAnsi"/>
        </w:rPr>
        <w:t>Ukop - miejsce pozyskania gruntu do wykonania nasypów, położone w obrębie pasa robót drogowych.</w:t>
      </w:r>
    </w:p>
    <w:p w14:paraId="56EC3F6C" w14:textId="77777777" w:rsidR="00BA1D9A" w:rsidRPr="00AA57EC" w:rsidRDefault="00BA1D9A" w:rsidP="00BA1D9A">
      <w:pPr>
        <w:pStyle w:val="Standardowytekst"/>
        <w:rPr>
          <w:rFonts w:asciiTheme="minorHAnsi" w:hAnsiTheme="minorHAnsi" w:cstheme="minorHAnsi"/>
        </w:rPr>
      </w:pPr>
      <w:r w:rsidRPr="00AA57EC">
        <w:rPr>
          <w:rFonts w:asciiTheme="minorHAnsi" w:hAnsiTheme="minorHAnsi" w:cstheme="minorHAnsi"/>
          <w:b/>
        </w:rPr>
        <w:t>1.4.8.</w:t>
      </w:r>
      <w:r w:rsidRPr="00AA57EC">
        <w:rPr>
          <w:rFonts w:asciiTheme="minorHAnsi" w:hAnsiTheme="minorHAnsi" w:cstheme="minorHAnsi"/>
        </w:rPr>
        <w:t xml:space="preserve"> Wskaźnik odkształcenia podłoża - wielkość charakteryzująca stan zagęszczenia gruntu, określona wg wzoru: </w:t>
      </w:r>
    </w:p>
    <w:p w14:paraId="404A06F9" w14:textId="77777777" w:rsidR="00BA1D9A" w:rsidRPr="00AA57EC" w:rsidRDefault="00BA1D9A" w:rsidP="00BA1D9A">
      <w:pPr>
        <w:pStyle w:val="Standardowytekst"/>
        <w:tabs>
          <w:tab w:val="left" w:pos="426"/>
          <w:tab w:val="left" w:pos="709"/>
        </w:tabs>
        <w:rPr>
          <w:rFonts w:asciiTheme="minorHAnsi" w:hAnsiTheme="minorHAnsi" w:cstheme="minorHAnsi"/>
        </w:rPr>
      </w:pPr>
      <w:r w:rsidRPr="00AA57EC">
        <w:rPr>
          <w:rFonts w:asciiTheme="minorHAnsi" w:hAnsiTheme="minorHAnsi" w:cstheme="minorHAnsi"/>
          <w:position w:val="-26"/>
        </w:rPr>
        <w:object w:dxaOrig="735" w:dyaOrig="585" w14:anchorId="04A04F7C">
          <v:shape id="_x0000_i1028" type="#_x0000_t75" style="width:36.75pt;height:29.25pt" o:ole="">
            <v:imagedata r:id="rId10" o:title=""/>
          </v:shape>
          <o:OLEObject Type="Embed" ProgID="Equation.3" ShapeID="_x0000_i1028" DrawAspect="Content" ObjectID="_1819002583" r:id="rId16"/>
        </w:object>
      </w:r>
    </w:p>
    <w:p w14:paraId="72FA5825" w14:textId="77777777" w:rsidR="00BA1D9A" w:rsidRPr="00AA57EC" w:rsidRDefault="00BA1D9A" w:rsidP="00BA1D9A">
      <w:pPr>
        <w:pStyle w:val="Standardowytekst"/>
        <w:tabs>
          <w:tab w:val="left" w:pos="426"/>
          <w:tab w:val="left" w:pos="709"/>
        </w:tabs>
        <w:rPr>
          <w:rFonts w:asciiTheme="minorHAnsi" w:hAnsiTheme="minorHAnsi" w:cstheme="minorHAnsi"/>
        </w:rPr>
      </w:pPr>
      <w:r w:rsidRPr="00AA57EC">
        <w:rPr>
          <w:rFonts w:asciiTheme="minorHAnsi" w:hAnsiTheme="minorHAnsi" w:cstheme="minorHAnsi"/>
        </w:rPr>
        <w:t>gdzie:</w:t>
      </w:r>
    </w:p>
    <w:p w14:paraId="09146D8B" w14:textId="77777777" w:rsidR="00BA1D9A" w:rsidRPr="00AA57EC" w:rsidRDefault="00BA1D9A" w:rsidP="00BA1D9A">
      <w:pPr>
        <w:pStyle w:val="Standardowytekst"/>
        <w:tabs>
          <w:tab w:val="left" w:pos="426"/>
          <w:tab w:val="left" w:pos="709"/>
        </w:tabs>
        <w:rPr>
          <w:rFonts w:asciiTheme="minorHAnsi" w:hAnsiTheme="minorHAnsi" w:cstheme="minorHAnsi"/>
        </w:rPr>
      </w:pPr>
      <w:r w:rsidRPr="00AA57EC">
        <w:rPr>
          <w:rFonts w:asciiTheme="minorHAnsi" w:hAnsiTheme="minorHAnsi" w:cstheme="minorHAnsi"/>
          <w:i/>
        </w:rPr>
        <w:t>E</w:t>
      </w:r>
      <w:r w:rsidRPr="00AA57EC">
        <w:rPr>
          <w:rFonts w:asciiTheme="minorHAnsi" w:hAnsiTheme="minorHAnsi" w:cstheme="minorHAnsi"/>
          <w:i/>
          <w:vertAlign w:val="subscript"/>
        </w:rPr>
        <w:t>1</w:t>
      </w:r>
      <w:r w:rsidRPr="00AA57EC">
        <w:rPr>
          <w:rFonts w:asciiTheme="minorHAnsi" w:hAnsiTheme="minorHAnsi" w:cstheme="minorHAnsi"/>
        </w:rPr>
        <w:tab/>
        <w:t>-</w:t>
      </w:r>
      <w:r w:rsidRPr="00AA57EC">
        <w:rPr>
          <w:rFonts w:asciiTheme="minorHAnsi" w:hAnsiTheme="minorHAnsi" w:cstheme="minorHAnsi"/>
        </w:rPr>
        <w:tab/>
        <w:t>moduł odkształcenia podłoża obliczony w pierwotnym cyklu obciążenia statycznego wg normy PN-S-02205:1998(zał B),</w:t>
      </w:r>
    </w:p>
    <w:p w14:paraId="6FBB28C3" w14:textId="77777777" w:rsidR="00BA1D9A" w:rsidRPr="00AA57EC" w:rsidRDefault="00BA1D9A" w:rsidP="00BA1D9A">
      <w:pPr>
        <w:pStyle w:val="Standardowytekst"/>
        <w:tabs>
          <w:tab w:val="left" w:pos="426"/>
          <w:tab w:val="left" w:pos="709"/>
        </w:tabs>
        <w:rPr>
          <w:rFonts w:asciiTheme="minorHAnsi" w:hAnsiTheme="minorHAnsi" w:cstheme="minorHAnsi"/>
        </w:rPr>
      </w:pPr>
      <w:r w:rsidRPr="00AA57EC">
        <w:rPr>
          <w:rFonts w:asciiTheme="minorHAnsi" w:hAnsiTheme="minorHAnsi" w:cstheme="minorHAnsi"/>
          <w:i/>
        </w:rPr>
        <w:t>E</w:t>
      </w:r>
      <w:r w:rsidRPr="00AA57EC">
        <w:rPr>
          <w:rFonts w:asciiTheme="minorHAnsi" w:hAnsiTheme="minorHAnsi" w:cstheme="minorHAnsi"/>
          <w:i/>
          <w:vertAlign w:val="subscript"/>
        </w:rPr>
        <w:t>2</w:t>
      </w:r>
      <w:r w:rsidRPr="00AA57EC">
        <w:rPr>
          <w:rFonts w:asciiTheme="minorHAnsi" w:hAnsiTheme="minorHAnsi" w:cstheme="minorHAnsi"/>
        </w:rPr>
        <w:tab/>
        <w:t>-</w:t>
      </w:r>
      <w:r w:rsidRPr="00AA57EC">
        <w:rPr>
          <w:rFonts w:asciiTheme="minorHAnsi" w:hAnsiTheme="minorHAnsi" w:cstheme="minorHAnsi"/>
        </w:rPr>
        <w:tab/>
        <w:t>moduł odkształcenia podłoża obliczony we wtórnym cyklu obciążenia statycznego wg normy PN-S-02205:1998 (zał B)</w:t>
      </w:r>
    </w:p>
    <w:p w14:paraId="7A17B4AD" w14:textId="77777777" w:rsidR="00BA1D9A" w:rsidRPr="00AA57EC" w:rsidRDefault="00BA1D9A" w:rsidP="00BA1D9A">
      <w:pPr>
        <w:pStyle w:val="Standardowytekst"/>
        <w:rPr>
          <w:rFonts w:asciiTheme="minorHAnsi" w:hAnsiTheme="minorHAnsi" w:cstheme="minorHAnsi"/>
        </w:rPr>
      </w:pPr>
      <w:r w:rsidRPr="00AA57EC">
        <w:rPr>
          <w:rFonts w:asciiTheme="minorHAnsi" w:hAnsiTheme="minorHAnsi" w:cstheme="minorHAnsi"/>
          <w:b/>
        </w:rPr>
        <w:t xml:space="preserve">1.4.9. </w:t>
      </w:r>
      <w:r w:rsidRPr="00AA57EC">
        <w:rPr>
          <w:rFonts w:asciiTheme="minorHAnsi" w:hAnsiTheme="minorHAnsi" w:cstheme="minorHAnsi"/>
        </w:rPr>
        <w:t>Wskaźnik różnoziarnistości - wielkość charakteryzująca zagęszczalność gruntów niespoistych, określona wg wzoru:</w:t>
      </w:r>
    </w:p>
    <w:p w14:paraId="7A7B4A27" w14:textId="77777777" w:rsidR="00BA1D9A" w:rsidRPr="00AA57EC" w:rsidRDefault="00BA1D9A" w:rsidP="00BA1D9A">
      <w:pPr>
        <w:pStyle w:val="Standardowytekst"/>
        <w:rPr>
          <w:rFonts w:asciiTheme="minorHAnsi" w:hAnsiTheme="minorHAnsi" w:cstheme="minorHAnsi"/>
          <w:b/>
        </w:rPr>
      </w:pPr>
      <w:r w:rsidRPr="00AA57EC">
        <w:rPr>
          <w:rFonts w:asciiTheme="minorHAnsi" w:hAnsiTheme="minorHAnsi" w:cstheme="minorHAnsi"/>
          <w:position w:val="-26"/>
        </w:rPr>
        <w:object w:dxaOrig="705" w:dyaOrig="585" w14:anchorId="15160D6F">
          <v:shape id="_x0000_i1029" type="#_x0000_t75" style="width:35.25pt;height:29.25pt" o:ole="">
            <v:imagedata r:id="rId12" o:title=""/>
          </v:shape>
          <o:OLEObject Type="Embed" ProgID="Equation.3" ShapeID="_x0000_i1029" DrawAspect="Content" ObjectID="_1819002584" r:id="rId17"/>
        </w:object>
      </w:r>
    </w:p>
    <w:p w14:paraId="66D8BD5E" w14:textId="77777777" w:rsidR="00BA1D9A" w:rsidRPr="00AA57EC" w:rsidRDefault="00BA1D9A" w:rsidP="00BA1D9A">
      <w:pPr>
        <w:pStyle w:val="Standardowytekst"/>
        <w:rPr>
          <w:rFonts w:asciiTheme="minorHAnsi" w:hAnsiTheme="minorHAnsi" w:cstheme="minorHAnsi"/>
        </w:rPr>
      </w:pPr>
      <w:r w:rsidRPr="00AA57EC">
        <w:rPr>
          <w:rFonts w:asciiTheme="minorHAnsi" w:hAnsiTheme="minorHAnsi" w:cstheme="minorHAnsi"/>
        </w:rPr>
        <w:t>gdzie:</w:t>
      </w:r>
    </w:p>
    <w:p w14:paraId="23E59B16" w14:textId="77777777" w:rsidR="00BA1D9A" w:rsidRPr="00AA57EC" w:rsidRDefault="00BA1D9A" w:rsidP="00BA1D9A">
      <w:pPr>
        <w:pStyle w:val="Standardowytekst"/>
        <w:tabs>
          <w:tab w:val="left" w:pos="426"/>
          <w:tab w:val="left" w:pos="709"/>
        </w:tabs>
        <w:rPr>
          <w:rFonts w:asciiTheme="minorHAnsi" w:hAnsiTheme="minorHAnsi" w:cstheme="minorHAnsi"/>
        </w:rPr>
      </w:pPr>
      <w:r w:rsidRPr="00AA57EC">
        <w:rPr>
          <w:rFonts w:asciiTheme="minorHAnsi" w:hAnsiTheme="minorHAnsi" w:cstheme="minorHAnsi"/>
          <w:i/>
        </w:rPr>
        <w:t>d</w:t>
      </w:r>
      <w:r w:rsidRPr="00AA57EC">
        <w:rPr>
          <w:rFonts w:asciiTheme="minorHAnsi" w:hAnsiTheme="minorHAnsi" w:cstheme="minorHAnsi"/>
          <w:i/>
          <w:vertAlign w:val="subscript"/>
        </w:rPr>
        <w:t>60</w:t>
      </w:r>
      <w:r w:rsidRPr="00AA57EC">
        <w:rPr>
          <w:rFonts w:asciiTheme="minorHAnsi" w:hAnsiTheme="minorHAnsi" w:cstheme="minorHAnsi"/>
        </w:rPr>
        <w:tab/>
        <w:t>-</w:t>
      </w:r>
      <w:r w:rsidRPr="00AA57EC">
        <w:rPr>
          <w:rFonts w:asciiTheme="minorHAnsi" w:hAnsiTheme="minorHAnsi" w:cstheme="minorHAnsi"/>
        </w:rPr>
        <w:tab/>
        <w:t>średnica zastępcza oczka sita, poniżej której w gruncie zawarte jest 60% masy, (mm),</w:t>
      </w:r>
    </w:p>
    <w:p w14:paraId="3A7B6FF6" w14:textId="77777777" w:rsidR="00BA1D9A" w:rsidRPr="00AA57EC" w:rsidRDefault="00BA1D9A" w:rsidP="00BA1D9A">
      <w:pPr>
        <w:pStyle w:val="Standardowytekst"/>
        <w:tabs>
          <w:tab w:val="left" w:pos="426"/>
          <w:tab w:val="left" w:pos="709"/>
        </w:tabs>
        <w:rPr>
          <w:rFonts w:asciiTheme="minorHAnsi" w:hAnsiTheme="minorHAnsi" w:cstheme="minorHAnsi"/>
        </w:rPr>
      </w:pPr>
      <w:r w:rsidRPr="00AA57EC">
        <w:rPr>
          <w:rFonts w:asciiTheme="minorHAnsi" w:hAnsiTheme="minorHAnsi" w:cstheme="minorHAnsi"/>
          <w:i/>
        </w:rPr>
        <w:t>d</w:t>
      </w:r>
      <w:r w:rsidRPr="00AA57EC">
        <w:rPr>
          <w:rFonts w:asciiTheme="minorHAnsi" w:hAnsiTheme="minorHAnsi" w:cstheme="minorHAnsi"/>
          <w:i/>
          <w:vertAlign w:val="subscript"/>
        </w:rPr>
        <w:t>10</w:t>
      </w:r>
      <w:r w:rsidRPr="00AA57EC">
        <w:rPr>
          <w:rFonts w:asciiTheme="minorHAnsi" w:hAnsiTheme="minorHAnsi" w:cstheme="minorHAnsi"/>
        </w:rPr>
        <w:tab/>
        <w:t>-</w:t>
      </w:r>
      <w:r w:rsidRPr="00AA57EC">
        <w:rPr>
          <w:rFonts w:asciiTheme="minorHAnsi" w:hAnsiTheme="minorHAnsi" w:cstheme="minorHAnsi"/>
        </w:rPr>
        <w:tab/>
        <w:t>średnica zastępcza oczka sita, poniżej  której w gruncie zawarte jest 10% masy, (mm).</w:t>
      </w:r>
    </w:p>
    <w:p w14:paraId="2C830975" w14:textId="77777777" w:rsidR="00BA1D9A" w:rsidRPr="00AA57EC" w:rsidRDefault="00BA1D9A" w:rsidP="00BA1D9A">
      <w:pPr>
        <w:pStyle w:val="Standardowytekst"/>
        <w:rPr>
          <w:rFonts w:asciiTheme="minorHAnsi" w:hAnsiTheme="minorHAnsi" w:cstheme="minorHAnsi"/>
        </w:rPr>
      </w:pPr>
      <w:r w:rsidRPr="00AA57EC">
        <w:rPr>
          <w:rFonts w:asciiTheme="minorHAnsi" w:hAnsiTheme="minorHAnsi" w:cstheme="minorHAnsi"/>
          <w:b/>
        </w:rPr>
        <w:t>1.4.10.</w:t>
      </w:r>
      <w:r w:rsidRPr="00AA57EC">
        <w:rPr>
          <w:rFonts w:asciiTheme="minorHAnsi" w:hAnsiTheme="minorHAnsi" w:cstheme="minorHAnsi"/>
        </w:rPr>
        <w:t xml:space="preserve">Wskaźnik zagęszczenia gruntu - wielkość charakteryzująca stan zagęszczenia gruntu, określona wg wzoru: </w:t>
      </w:r>
    </w:p>
    <w:p w14:paraId="3A0EA638" w14:textId="77777777" w:rsidR="00BA1D9A" w:rsidRPr="00AA57EC" w:rsidRDefault="00BA1D9A" w:rsidP="00BA1D9A">
      <w:pPr>
        <w:pStyle w:val="Standardowytekst"/>
        <w:rPr>
          <w:rFonts w:asciiTheme="minorHAnsi" w:hAnsiTheme="minorHAnsi" w:cstheme="minorHAnsi"/>
        </w:rPr>
      </w:pPr>
      <w:r w:rsidRPr="00AA57EC">
        <w:rPr>
          <w:rFonts w:asciiTheme="minorHAnsi" w:hAnsiTheme="minorHAnsi" w:cstheme="minorHAnsi"/>
          <w:position w:val="-26"/>
        </w:rPr>
        <w:object w:dxaOrig="705" w:dyaOrig="585" w14:anchorId="0A0E1672">
          <v:shape id="_x0000_i1030" type="#_x0000_t75" style="width:35.25pt;height:29.25pt" o:ole="">
            <v:imagedata r:id="rId14" o:title=""/>
          </v:shape>
          <o:OLEObject Type="Embed" ProgID="Equation.3" ShapeID="_x0000_i1030" DrawAspect="Content" ObjectID="_1819002585" r:id="rId18"/>
        </w:object>
      </w:r>
    </w:p>
    <w:p w14:paraId="5F0B8E94" w14:textId="77777777" w:rsidR="00BA1D9A" w:rsidRPr="00AA57EC" w:rsidRDefault="00BA1D9A" w:rsidP="00BA1D9A">
      <w:pPr>
        <w:pStyle w:val="Standardowytekst"/>
        <w:rPr>
          <w:rFonts w:asciiTheme="minorHAnsi" w:hAnsiTheme="minorHAnsi" w:cstheme="minorHAnsi"/>
        </w:rPr>
      </w:pPr>
      <w:r w:rsidRPr="00AA57EC">
        <w:rPr>
          <w:rFonts w:asciiTheme="minorHAnsi" w:hAnsiTheme="minorHAnsi" w:cstheme="minorHAnsi"/>
        </w:rPr>
        <w:t>gdzie:</w:t>
      </w:r>
    </w:p>
    <w:p w14:paraId="5969B49B" w14:textId="77777777" w:rsidR="00BA1D9A" w:rsidRPr="00AA57EC" w:rsidRDefault="00BA1D9A" w:rsidP="00BA1D9A">
      <w:pPr>
        <w:pStyle w:val="Standardowytekst"/>
        <w:tabs>
          <w:tab w:val="left" w:pos="426"/>
          <w:tab w:val="left" w:pos="709"/>
        </w:tabs>
        <w:ind w:hanging="709"/>
        <w:rPr>
          <w:rFonts w:asciiTheme="minorHAnsi" w:hAnsiTheme="minorHAnsi" w:cstheme="minorHAnsi"/>
        </w:rPr>
      </w:pPr>
      <w:r w:rsidRPr="00AA57EC">
        <w:rPr>
          <w:rFonts w:asciiTheme="minorHAnsi" w:hAnsiTheme="minorHAnsi" w:cstheme="minorHAnsi"/>
          <w:i/>
        </w:rPr>
        <w:tab/>
      </w:r>
      <w:r w:rsidRPr="00AA57EC">
        <w:rPr>
          <w:rFonts w:asciiTheme="minorHAnsi" w:hAnsiTheme="minorHAnsi" w:cstheme="minorHAnsi"/>
          <w:i/>
        </w:rPr>
        <w:sym w:font="Symbol" w:char="F072"/>
      </w:r>
      <w:r w:rsidRPr="00AA57EC">
        <w:rPr>
          <w:rFonts w:asciiTheme="minorHAnsi" w:hAnsiTheme="minorHAnsi" w:cstheme="minorHAnsi"/>
          <w:vertAlign w:val="subscript"/>
        </w:rPr>
        <w:t>d</w:t>
      </w:r>
      <w:r w:rsidRPr="00AA57EC">
        <w:rPr>
          <w:rFonts w:asciiTheme="minorHAnsi" w:hAnsiTheme="minorHAnsi" w:cstheme="minorHAnsi"/>
        </w:rPr>
        <w:tab/>
        <w:t>-</w:t>
      </w:r>
      <w:r w:rsidRPr="00AA57EC">
        <w:rPr>
          <w:rFonts w:asciiTheme="minorHAnsi" w:hAnsiTheme="minorHAnsi" w:cstheme="minorHAnsi"/>
        </w:rPr>
        <w:tab/>
        <w:t>gęstość objętościowa szkieletu zagęszczonego gruntu, zgodnie z PN-B-04481:1988, (g/m</w:t>
      </w:r>
      <w:r w:rsidRPr="00AA57EC">
        <w:rPr>
          <w:rFonts w:asciiTheme="minorHAnsi" w:hAnsiTheme="minorHAnsi" w:cstheme="minorHAnsi"/>
          <w:vertAlign w:val="superscript"/>
        </w:rPr>
        <w:t>3</w:t>
      </w:r>
      <w:r w:rsidRPr="00AA57EC">
        <w:rPr>
          <w:rFonts w:asciiTheme="minorHAnsi" w:hAnsiTheme="minorHAnsi" w:cstheme="minorHAnsi"/>
        </w:rPr>
        <w:t>),</w:t>
      </w:r>
    </w:p>
    <w:p w14:paraId="47428D47" w14:textId="77777777" w:rsidR="00BA1D9A" w:rsidRPr="00AA57EC" w:rsidRDefault="00BA1D9A" w:rsidP="00BA1D9A">
      <w:pPr>
        <w:pStyle w:val="Standardowytekst"/>
        <w:tabs>
          <w:tab w:val="left" w:pos="426"/>
          <w:tab w:val="left" w:pos="709"/>
        </w:tabs>
        <w:ind w:hanging="709"/>
        <w:rPr>
          <w:rFonts w:asciiTheme="minorHAnsi" w:hAnsiTheme="minorHAnsi" w:cstheme="minorHAnsi"/>
        </w:rPr>
      </w:pPr>
      <w:r w:rsidRPr="00AA57EC">
        <w:rPr>
          <w:rFonts w:asciiTheme="minorHAnsi" w:hAnsiTheme="minorHAnsi" w:cstheme="minorHAnsi"/>
          <w:i/>
        </w:rPr>
        <w:tab/>
      </w:r>
      <w:r w:rsidRPr="00AA57EC">
        <w:rPr>
          <w:rFonts w:asciiTheme="minorHAnsi" w:hAnsiTheme="minorHAnsi" w:cstheme="minorHAnsi"/>
          <w:i/>
        </w:rPr>
        <w:sym w:font="Symbol" w:char="F072"/>
      </w:r>
      <w:r w:rsidRPr="00AA57EC">
        <w:rPr>
          <w:rFonts w:asciiTheme="minorHAnsi" w:hAnsiTheme="minorHAnsi" w:cstheme="minorHAnsi"/>
          <w:vertAlign w:val="subscript"/>
        </w:rPr>
        <w:t>ds</w:t>
      </w:r>
      <w:r w:rsidRPr="00AA57EC">
        <w:rPr>
          <w:rFonts w:asciiTheme="minorHAnsi" w:hAnsiTheme="minorHAnsi" w:cstheme="minorHAnsi"/>
        </w:rPr>
        <w:tab/>
        <w:t>-</w:t>
      </w:r>
      <w:r w:rsidRPr="00AA57EC">
        <w:rPr>
          <w:rFonts w:asciiTheme="minorHAnsi" w:hAnsiTheme="minorHAnsi" w:cstheme="minorHAnsi"/>
        </w:rPr>
        <w:tab/>
        <w:t>maksymalna gęstość objętościowa szkieletu gruntowego przy wilgotności optymalnej, zgodnie z PN-B-04481:1988, służąca do oceny zagęszczenia gruntu w robotach ziemnych, (g/m</w:t>
      </w:r>
      <w:r w:rsidRPr="00AA57EC">
        <w:rPr>
          <w:rFonts w:asciiTheme="minorHAnsi" w:hAnsiTheme="minorHAnsi" w:cstheme="minorHAnsi"/>
          <w:vertAlign w:val="superscript"/>
        </w:rPr>
        <w:t>3</w:t>
      </w:r>
      <w:r w:rsidRPr="00AA57EC">
        <w:rPr>
          <w:rFonts w:asciiTheme="minorHAnsi" w:hAnsiTheme="minorHAnsi" w:cstheme="minorHAnsi"/>
        </w:rPr>
        <w:t>).</w:t>
      </w:r>
    </w:p>
    <w:p w14:paraId="5F32B701" w14:textId="77777777" w:rsidR="00BA1D9A" w:rsidRPr="00AA57EC" w:rsidRDefault="00BA1D9A" w:rsidP="00BA1D9A">
      <w:pPr>
        <w:pStyle w:val="Standardowytekst"/>
        <w:tabs>
          <w:tab w:val="right" w:pos="-1985"/>
          <w:tab w:val="left" w:pos="567"/>
        </w:tabs>
        <w:rPr>
          <w:rFonts w:asciiTheme="minorHAnsi" w:hAnsiTheme="minorHAnsi" w:cstheme="minorHAnsi"/>
        </w:rPr>
      </w:pPr>
      <w:r w:rsidRPr="00AA57EC">
        <w:rPr>
          <w:rFonts w:asciiTheme="minorHAnsi" w:hAnsiTheme="minorHAnsi" w:cstheme="minorHAnsi"/>
          <w:b/>
        </w:rPr>
        <w:t>1.4.11.</w:t>
      </w:r>
      <w:r w:rsidRPr="00AA57EC">
        <w:rPr>
          <w:rFonts w:asciiTheme="minorHAnsi" w:hAnsiTheme="minorHAnsi" w:cstheme="minorHAnsi"/>
          <w:b/>
        </w:rPr>
        <w:tab/>
      </w:r>
      <w:r w:rsidRPr="00AA57EC">
        <w:rPr>
          <w:rFonts w:asciiTheme="minorHAnsi" w:hAnsiTheme="minorHAnsi" w:cstheme="minorHAnsi"/>
        </w:rPr>
        <w:t>Wysokość nasypu - różnica rzędnej terenu i rzędnej robót ziemnych, wyznaczonych w osi nasypu.</w:t>
      </w:r>
    </w:p>
    <w:p w14:paraId="37A395E1" w14:textId="4773178F" w:rsidR="00BA1D9A" w:rsidRPr="00AA57EC" w:rsidRDefault="00BA1D9A" w:rsidP="00BA1D9A">
      <w:pPr>
        <w:pStyle w:val="Standardowytekst"/>
        <w:rPr>
          <w:rFonts w:asciiTheme="minorHAnsi" w:hAnsiTheme="minorHAnsi" w:cstheme="minorHAnsi"/>
        </w:rPr>
      </w:pPr>
      <w:r w:rsidRPr="00AA57EC">
        <w:rPr>
          <w:rFonts w:asciiTheme="minorHAnsi" w:hAnsiTheme="minorHAnsi" w:cstheme="minorHAnsi"/>
          <w:b/>
        </w:rPr>
        <w:t xml:space="preserve">1.4.12. </w:t>
      </w:r>
      <w:r w:rsidRPr="00AA57EC">
        <w:rPr>
          <w:rFonts w:asciiTheme="minorHAnsi" w:hAnsiTheme="minorHAnsi" w:cstheme="minorHAnsi"/>
        </w:rPr>
        <w:t xml:space="preserve">Pozostałe określenia podstawowe są zgodne z obowiązującymi, odpowiednimi polskimi normami i z definicjami podanymi w </w:t>
      </w:r>
      <w:r w:rsidR="001C2347">
        <w:rPr>
          <w:rFonts w:asciiTheme="minorHAnsi" w:hAnsiTheme="minorHAnsi" w:cstheme="minorHAnsi"/>
        </w:rPr>
        <w:t>ST</w:t>
      </w:r>
      <w:r w:rsidRPr="00AA57EC">
        <w:rPr>
          <w:rFonts w:asciiTheme="minorHAnsi" w:hAnsiTheme="minorHAnsi" w:cstheme="minorHAnsi"/>
        </w:rPr>
        <w:t>WiORB D-M-00.00.00 „Wymagania ogólne” pkt 1.4.</w:t>
      </w:r>
    </w:p>
    <w:p w14:paraId="19B99D86" w14:textId="77777777" w:rsidR="00BA1D9A" w:rsidRPr="00AA57EC" w:rsidRDefault="00BA1D9A" w:rsidP="00BA1D9A">
      <w:pPr>
        <w:pStyle w:val="Nagwek4"/>
        <w:rPr>
          <w:rFonts w:asciiTheme="minorHAnsi" w:hAnsiTheme="minorHAnsi" w:cstheme="minorHAnsi"/>
        </w:rPr>
      </w:pPr>
      <w:bookmarkStart w:id="277" w:name="_Toc406295850"/>
      <w:bookmarkStart w:id="278" w:name="_Toc407161270"/>
      <w:r w:rsidRPr="00AA57EC">
        <w:rPr>
          <w:rFonts w:asciiTheme="minorHAnsi" w:hAnsiTheme="minorHAnsi" w:cstheme="minorHAnsi"/>
          <w:b w:val="0"/>
          <w:bCs w:val="0"/>
        </w:rPr>
        <w:t>1.5. Ogólne wymagania dotyczące robót</w:t>
      </w:r>
      <w:bookmarkEnd w:id="277"/>
      <w:bookmarkEnd w:id="278"/>
    </w:p>
    <w:p w14:paraId="00DCEDC8" w14:textId="65FF7755" w:rsidR="00BA1D9A" w:rsidRPr="00AA57EC" w:rsidRDefault="00BA1D9A" w:rsidP="00BA1D9A">
      <w:pPr>
        <w:rPr>
          <w:rFonts w:asciiTheme="minorHAnsi" w:hAnsiTheme="minorHAnsi" w:cstheme="minorHAnsi"/>
        </w:rPr>
      </w:pPr>
      <w:r w:rsidRPr="00AA57EC">
        <w:rPr>
          <w:rFonts w:asciiTheme="minorHAnsi" w:hAnsiTheme="minorHAnsi" w:cstheme="minorHAnsi"/>
        </w:rPr>
        <w:t xml:space="preserve">Ogólne wymagania dotyczące robót podano w </w:t>
      </w:r>
      <w:r w:rsidR="001C2347">
        <w:rPr>
          <w:rFonts w:asciiTheme="minorHAnsi" w:hAnsiTheme="minorHAnsi" w:cstheme="minorHAnsi"/>
        </w:rPr>
        <w:t>ST</w:t>
      </w:r>
      <w:r w:rsidRPr="00AA57EC">
        <w:rPr>
          <w:rFonts w:asciiTheme="minorHAnsi" w:hAnsiTheme="minorHAnsi" w:cstheme="minorHAnsi"/>
        </w:rPr>
        <w:t>WiORB D-M-00.00.00 pkt 1.5.</w:t>
      </w:r>
    </w:p>
    <w:p w14:paraId="369ACBCD" w14:textId="77777777" w:rsidR="00BA1D9A" w:rsidRPr="00AA57EC" w:rsidRDefault="00BA1D9A" w:rsidP="00BA1D9A">
      <w:pPr>
        <w:rPr>
          <w:rFonts w:asciiTheme="minorHAnsi" w:hAnsiTheme="minorHAnsi" w:cstheme="minorHAnsi"/>
          <w:b/>
        </w:rPr>
      </w:pPr>
      <w:bookmarkStart w:id="279" w:name="_Toc406295851"/>
      <w:bookmarkStart w:id="280" w:name="_Toc407161271"/>
      <w:bookmarkStart w:id="281" w:name="_Toc418994946"/>
      <w:bookmarkStart w:id="282" w:name="_Toc418996353"/>
      <w:bookmarkStart w:id="283" w:name="_Toc418996722"/>
      <w:bookmarkStart w:id="284" w:name="_Toc418997109"/>
      <w:bookmarkStart w:id="285" w:name="_Toc418998519"/>
      <w:bookmarkStart w:id="286" w:name="_Toc418998875"/>
      <w:bookmarkStart w:id="287" w:name="_Toc419000120"/>
      <w:r w:rsidRPr="00AA57EC">
        <w:rPr>
          <w:rFonts w:asciiTheme="minorHAnsi" w:hAnsiTheme="minorHAnsi" w:cstheme="minorHAnsi"/>
          <w:b/>
        </w:rPr>
        <w:t>2. MATERIAŁY (GRUNTY)</w:t>
      </w:r>
      <w:bookmarkEnd w:id="279"/>
      <w:bookmarkEnd w:id="280"/>
      <w:bookmarkEnd w:id="281"/>
      <w:bookmarkEnd w:id="282"/>
      <w:bookmarkEnd w:id="283"/>
      <w:bookmarkEnd w:id="284"/>
      <w:bookmarkEnd w:id="285"/>
      <w:bookmarkEnd w:id="286"/>
      <w:bookmarkEnd w:id="287"/>
    </w:p>
    <w:p w14:paraId="6B894F83" w14:textId="77777777" w:rsidR="00BA1D9A" w:rsidRPr="00AA57EC" w:rsidRDefault="00BA1D9A" w:rsidP="00BA1D9A">
      <w:pPr>
        <w:pStyle w:val="Nagwek4"/>
        <w:spacing w:before="0"/>
        <w:rPr>
          <w:rFonts w:asciiTheme="minorHAnsi" w:hAnsiTheme="minorHAnsi" w:cstheme="minorHAnsi"/>
          <w:b w:val="0"/>
        </w:rPr>
      </w:pPr>
      <w:bookmarkStart w:id="288" w:name="_Toc406295852"/>
      <w:bookmarkStart w:id="289" w:name="_Toc407161272"/>
      <w:r w:rsidRPr="00AA57EC">
        <w:rPr>
          <w:rFonts w:asciiTheme="minorHAnsi" w:hAnsiTheme="minorHAnsi" w:cstheme="minorHAnsi"/>
          <w:b w:val="0"/>
          <w:bCs w:val="0"/>
        </w:rPr>
        <w:t>2.1. Ogólne wymagania dotyczące materiałów</w:t>
      </w:r>
      <w:bookmarkEnd w:id="288"/>
      <w:bookmarkEnd w:id="289"/>
    </w:p>
    <w:p w14:paraId="0DBC4A4E" w14:textId="5F3F909A" w:rsidR="00BA1D9A" w:rsidRPr="00AA57EC" w:rsidRDefault="00BA1D9A" w:rsidP="00BA1D9A">
      <w:pPr>
        <w:rPr>
          <w:rFonts w:asciiTheme="minorHAnsi" w:hAnsiTheme="minorHAnsi" w:cstheme="minorHAnsi"/>
        </w:rPr>
      </w:pPr>
      <w:r w:rsidRPr="00AA57EC">
        <w:rPr>
          <w:rFonts w:asciiTheme="minorHAnsi" w:hAnsiTheme="minorHAnsi" w:cstheme="minorHAnsi"/>
        </w:rPr>
        <w:t xml:space="preserve">Ogólne wymagania dotyczące materiałów, ich pozyskiwania i składowania, podano w </w:t>
      </w:r>
      <w:r w:rsidR="001C2347">
        <w:rPr>
          <w:rFonts w:asciiTheme="minorHAnsi" w:hAnsiTheme="minorHAnsi" w:cstheme="minorHAnsi"/>
        </w:rPr>
        <w:t>ST</w:t>
      </w:r>
      <w:r w:rsidRPr="00AA57EC">
        <w:rPr>
          <w:rFonts w:asciiTheme="minorHAnsi" w:hAnsiTheme="minorHAnsi" w:cstheme="minorHAnsi"/>
        </w:rPr>
        <w:t>WiORB D-M-00.00.00 pkt 2.</w:t>
      </w:r>
    </w:p>
    <w:p w14:paraId="0B7B539A" w14:textId="77777777" w:rsidR="00BA1D9A" w:rsidRPr="00AA57EC" w:rsidRDefault="00BA1D9A" w:rsidP="00BA1D9A">
      <w:pPr>
        <w:pStyle w:val="Nagwek4"/>
        <w:spacing w:before="0"/>
        <w:rPr>
          <w:rFonts w:asciiTheme="minorHAnsi" w:hAnsiTheme="minorHAnsi" w:cstheme="minorHAnsi"/>
        </w:rPr>
      </w:pPr>
      <w:bookmarkStart w:id="290" w:name="_Toc406295853"/>
      <w:bookmarkStart w:id="291" w:name="_Toc407161273"/>
      <w:r w:rsidRPr="00AA57EC">
        <w:rPr>
          <w:rFonts w:asciiTheme="minorHAnsi" w:hAnsiTheme="minorHAnsi" w:cstheme="minorHAnsi"/>
          <w:b w:val="0"/>
          <w:bCs w:val="0"/>
        </w:rPr>
        <w:t xml:space="preserve">2.2. </w:t>
      </w:r>
      <w:bookmarkEnd w:id="290"/>
      <w:bookmarkEnd w:id="291"/>
      <w:r w:rsidRPr="00AA57EC">
        <w:rPr>
          <w:rFonts w:asciiTheme="minorHAnsi" w:hAnsiTheme="minorHAnsi" w:cstheme="minorHAnsi"/>
          <w:b w:val="0"/>
          <w:bCs w:val="0"/>
        </w:rPr>
        <w:t>Grunty i materiały do nasypów</w:t>
      </w:r>
    </w:p>
    <w:p w14:paraId="1542F671" w14:textId="77777777" w:rsidR="00BA1D9A" w:rsidRPr="00AA57EC" w:rsidRDefault="00BA1D9A" w:rsidP="00BA1D9A">
      <w:pPr>
        <w:rPr>
          <w:rFonts w:asciiTheme="minorHAnsi" w:hAnsiTheme="minorHAnsi" w:cstheme="minorHAnsi"/>
        </w:rPr>
      </w:pPr>
      <w:r w:rsidRPr="00AA57EC">
        <w:rPr>
          <w:rFonts w:asciiTheme="minorHAnsi" w:hAnsiTheme="minorHAnsi" w:cstheme="minorHAnsi"/>
        </w:rPr>
        <w:t>Grunty i materiały dopuszczone do budowy nasypów powinny spełniać wymagania określone w PN-S-02205 :1998.</w:t>
      </w:r>
    </w:p>
    <w:p w14:paraId="44F50912" w14:textId="77777777" w:rsidR="00BA1D9A" w:rsidRPr="00AA57EC" w:rsidRDefault="00BA1D9A" w:rsidP="00BA1D9A">
      <w:pPr>
        <w:rPr>
          <w:rFonts w:asciiTheme="minorHAnsi" w:hAnsiTheme="minorHAnsi" w:cstheme="minorHAnsi"/>
        </w:rPr>
      </w:pPr>
      <w:r w:rsidRPr="00AA57EC">
        <w:rPr>
          <w:rFonts w:asciiTheme="minorHAnsi" w:hAnsiTheme="minorHAnsi" w:cstheme="minorHAnsi"/>
        </w:rPr>
        <w:t>Grunty i materiały do budowy nasypów podaje tablica 1.</w:t>
      </w:r>
    </w:p>
    <w:p w14:paraId="0769BDFA" w14:textId="77777777" w:rsidR="00BA1D9A" w:rsidRPr="00AA57EC" w:rsidRDefault="00BA1D9A" w:rsidP="00BA1D9A">
      <w:pPr>
        <w:rPr>
          <w:rFonts w:asciiTheme="minorHAnsi" w:hAnsiTheme="minorHAnsi" w:cstheme="minorHAnsi"/>
        </w:rPr>
      </w:pPr>
      <w:r w:rsidRPr="00AA57EC">
        <w:rPr>
          <w:rFonts w:asciiTheme="minorHAnsi" w:hAnsiTheme="minorHAnsi" w:cstheme="minorHAnsi"/>
        </w:rPr>
        <w:t xml:space="preserve">Tablica 1. Przydatność gruntów do wykonywania budowli ziemnych wg PN-S-02205 :1998 </w:t>
      </w:r>
    </w:p>
    <w:tbl>
      <w:tblPr>
        <w:tblW w:w="97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0"/>
        <w:gridCol w:w="2246"/>
        <w:gridCol w:w="2949"/>
        <w:gridCol w:w="3510"/>
      </w:tblGrid>
      <w:tr w:rsidR="00BA1D9A" w:rsidRPr="00AA57EC" w14:paraId="4FADE456" w14:textId="77777777" w:rsidTr="00AA57EC">
        <w:trPr>
          <w:trHeight w:val="267"/>
        </w:trPr>
        <w:tc>
          <w:tcPr>
            <w:tcW w:w="1090" w:type="dxa"/>
            <w:tcBorders>
              <w:top w:val="single" w:sz="4" w:space="0" w:color="auto"/>
              <w:left w:val="single" w:sz="4" w:space="0" w:color="auto"/>
              <w:bottom w:val="single" w:sz="4" w:space="0" w:color="auto"/>
              <w:right w:val="single" w:sz="4" w:space="0" w:color="auto"/>
            </w:tcBorders>
            <w:hideMark/>
          </w:tcPr>
          <w:p w14:paraId="7EA9C967" w14:textId="77777777" w:rsidR="00BA1D9A" w:rsidRPr="00AA57EC" w:rsidRDefault="00BA1D9A">
            <w:pPr>
              <w:jc w:val="center"/>
              <w:rPr>
                <w:rFonts w:asciiTheme="minorHAnsi" w:hAnsiTheme="minorHAnsi" w:cstheme="minorHAnsi"/>
              </w:rPr>
            </w:pPr>
            <w:r w:rsidRPr="00AA57EC">
              <w:rPr>
                <w:rFonts w:asciiTheme="minorHAnsi" w:hAnsiTheme="minorHAnsi" w:cstheme="minorHAnsi"/>
              </w:rPr>
              <w:t>Przeznaczenie</w:t>
            </w:r>
          </w:p>
        </w:tc>
        <w:tc>
          <w:tcPr>
            <w:tcW w:w="2246" w:type="dxa"/>
            <w:tcBorders>
              <w:top w:val="single" w:sz="4" w:space="0" w:color="auto"/>
              <w:left w:val="single" w:sz="4" w:space="0" w:color="auto"/>
              <w:bottom w:val="single" w:sz="4" w:space="0" w:color="auto"/>
              <w:right w:val="single" w:sz="4" w:space="0" w:color="auto"/>
            </w:tcBorders>
            <w:hideMark/>
          </w:tcPr>
          <w:p w14:paraId="52A06D5A" w14:textId="77777777" w:rsidR="00BA1D9A" w:rsidRPr="00AA57EC" w:rsidRDefault="00BA1D9A">
            <w:pPr>
              <w:jc w:val="center"/>
              <w:rPr>
                <w:rFonts w:asciiTheme="minorHAnsi" w:hAnsiTheme="minorHAnsi" w:cstheme="minorHAnsi"/>
              </w:rPr>
            </w:pPr>
            <w:r w:rsidRPr="00AA57EC">
              <w:rPr>
                <w:rFonts w:asciiTheme="minorHAnsi" w:hAnsiTheme="minorHAnsi" w:cstheme="minorHAnsi"/>
              </w:rPr>
              <w:t>Przydatne</w:t>
            </w:r>
          </w:p>
        </w:tc>
        <w:tc>
          <w:tcPr>
            <w:tcW w:w="2949" w:type="dxa"/>
            <w:tcBorders>
              <w:top w:val="single" w:sz="4" w:space="0" w:color="auto"/>
              <w:left w:val="single" w:sz="4" w:space="0" w:color="auto"/>
              <w:bottom w:val="single" w:sz="4" w:space="0" w:color="auto"/>
              <w:right w:val="single" w:sz="4" w:space="0" w:color="auto"/>
            </w:tcBorders>
            <w:hideMark/>
          </w:tcPr>
          <w:p w14:paraId="6F8FF620" w14:textId="77777777" w:rsidR="00BA1D9A" w:rsidRPr="00AA57EC" w:rsidRDefault="00BA1D9A">
            <w:pPr>
              <w:jc w:val="center"/>
              <w:rPr>
                <w:rFonts w:asciiTheme="minorHAnsi" w:hAnsiTheme="minorHAnsi" w:cstheme="minorHAnsi"/>
              </w:rPr>
            </w:pPr>
            <w:r w:rsidRPr="00AA57EC">
              <w:rPr>
                <w:rFonts w:asciiTheme="minorHAnsi" w:hAnsiTheme="minorHAnsi" w:cstheme="minorHAnsi"/>
              </w:rPr>
              <w:t>Przydatne</w:t>
            </w:r>
          </w:p>
          <w:p w14:paraId="00E22111" w14:textId="77777777" w:rsidR="00BA1D9A" w:rsidRPr="00AA57EC" w:rsidRDefault="00BA1D9A">
            <w:pPr>
              <w:jc w:val="center"/>
              <w:rPr>
                <w:rFonts w:asciiTheme="minorHAnsi" w:hAnsiTheme="minorHAnsi" w:cstheme="minorHAnsi"/>
              </w:rPr>
            </w:pPr>
            <w:r w:rsidRPr="00AA57EC">
              <w:rPr>
                <w:rFonts w:asciiTheme="minorHAnsi" w:hAnsiTheme="minorHAnsi" w:cstheme="minorHAnsi"/>
              </w:rPr>
              <w:t>z zastrzeżeniami</w:t>
            </w:r>
          </w:p>
        </w:tc>
        <w:tc>
          <w:tcPr>
            <w:tcW w:w="3510" w:type="dxa"/>
            <w:tcBorders>
              <w:top w:val="single" w:sz="4" w:space="0" w:color="auto"/>
              <w:left w:val="single" w:sz="4" w:space="0" w:color="auto"/>
              <w:bottom w:val="single" w:sz="4" w:space="0" w:color="auto"/>
              <w:right w:val="single" w:sz="4" w:space="0" w:color="auto"/>
            </w:tcBorders>
            <w:hideMark/>
          </w:tcPr>
          <w:p w14:paraId="7E1B2AF7" w14:textId="77777777" w:rsidR="00BA1D9A" w:rsidRPr="00AA57EC" w:rsidRDefault="00BA1D9A">
            <w:pPr>
              <w:jc w:val="center"/>
              <w:rPr>
                <w:rFonts w:asciiTheme="minorHAnsi" w:hAnsiTheme="minorHAnsi" w:cstheme="minorHAnsi"/>
              </w:rPr>
            </w:pPr>
            <w:r w:rsidRPr="00AA57EC">
              <w:rPr>
                <w:rFonts w:asciiTheme="minorHAnsi" w:hAnsiTheme="minorHAnsi" w:cstheme="minorHAnsi"/>
              </w:rPr>
              <w:t>Treść</w:t>
            </w:r>
          </w:p>
          <w:p w14:paraId="734C42DC" w14:textId="77777777" w:rsidR="00BA1D9A" w:rsidRPr="00AA57EC" w:rsidRDefault="00BA1D9A">
            <w:pPr>
              <w:jc w:val="center"/>
              <w:rPr>
                <w:rFonts w:asciiTheme="minorHAnsi" w:hAnsiTheme="minorHAnsi" w:cstheme="minorHAnsi"/>
              </w:rPr>
            </w:pPr>
            <w:r w:rsidRPr="00AA57EC">
              <w:rPr>
                <w:rFonts w:asciiTheme="minorHAnsi" w:hAnsiTheme="minorHAnsi" w:cstheme="minorHAnsi"/>
              </w:rPr>
              <w:t>zastrzeżenia</w:t>
            </w:r>
          </w:p>
        </w:tc>
      </w:tr>
      <w:tr w:rsidR="00DE28CE" w:rsidRPr="00AA57EC" w14:paraId="3EC4C208" w14:textId="77777777" w:rsidTr="00A047DF">
        <w:trPr>
          <w:trHeight w:val="412"/>
        </w:trPr>
        <w:tc>
          <w:tcPr>
            <w:tcW w:w="1090" w:type="dxa"/>
            <w:vMerge w:val="restart"/>
            <w:tcBorders>
              <w:top w:val="single" w:sz="4" w:space="0" w:color="auto"/>
              <w:left w:val="single" w:sz="4" w:space="0" w:color="auto"/>
              <w:right w:val="single" w:sz="4" w:space="0" w:color="auto"/>
            </w:tcBorders>
            <w:hideMark/>
          </w:tcPr>
          <w:p w14:paraId="5D1D9F2B" w14:textId="77777777" w:rsidR="00DE28CE" w:rsidRPr="00AA57EC" w:rsidRDefault="00DE28CE">
            <w:pPr>
              <w:rPr>
                <w:rFonts w:asciiTheme="minorHAnsi" w:hAnsiTheme="minorHAnsi" w:cstheme="minorHAnsi"/>
              </w:rPr>
            </w:pPr>
            <w:r w:rsidRPr="00AA57EC">
              <w:rPr>
                <w:rFonts w:asciiTheme="minorHAnsi" w:hAnsiTheme="minorHAnsi" w:cstheme="minorHAnsi"/>
              </w:rPr>
              <w:t>Na dolne warstwy nasypów poniżej strefy przemarzania</w:t>
            </w:r>
          </w:p>
        </w:tc>
        <w:tc>
          <w:tcPr>
            <w:tcW w:w="2246" w:type="dxa"/>
            <w:vMerge w:val="restart"/>
            <w:tcBorders>
              <w:top w:val="single" w:sz="4" w:space="0" w:color="auto"/>
              <w:left w:val="single" w:sz="4" w:space="0" w:color="auto"/>
              <w:right w:val="single" w:sz="4" w:space="0" w:color="auto"/>
            </w:tcBorders>
            <w:hideMark/>
          </w:tcPr>
          <w:p w14:paraId="54700BFD" w14:textId="77777777" w:rsidR="00DE28CE" w:rsidRPr="00AA57EC" w:rsidRDefault="00DE28CE">
            <w:pPr>
              <w:rPr>
                <w:rFonts w:asciiTheme="minorHAnsi" w:hAnsiTheme="minorHAnsi" w:cstheme="minorHAnsi"/>
              </w:rPr>
            </w:pPr>
            <w:r w:rsidRPr="00AA57EC">
              <w:rPr>
                <w:rFonts w:asciiTheme="minorHAnsi" w:hAnsiTheme="minorHAnsi" w:cstheme="minorHAnsi"/>
              </w:rPr>
              <w:t>1. Rozdrobnione grunty skaliste twarde oraz grunty kamieniste, zwietrzelinowe, rumosze i otoczaki</w:t>
            </w:r>
          </w:p>
          <w:p w14:paraId="6988BACE" w14:textId="77777777" w:rsidR="00DE28CE" w:rsidRPr="00AA57EC" w:rsidRDefault="00DE28CE">
            <w:pPr>
              <w:rPr>
                <w:rFonts w:asciiTheme="minorHAnsi" w:hAnsiTheme="minorHAnsi" w:cstheme="minorHAnsi"/>
              </w:rPr>
            </w:pPr>
            <w:r w:rsidRPr="00AA57EC">
              <w:rPr>
                <w:rFonts w:asciiTheme="minorHAnsi" w:hAnsiTheme="minorHAnsi" w:cstheme="minorHAnsi"/>
              </w:rPr>
              <w:t>2. Żwiry i pospółki, również gliniaste</w:t>
            </w:r>
          </w:p>
          <w:p w14:paraId="3D735F22" w14:textId="77777777" w:rsidR="00DE28CE" w:rsidRPr="00AA57EC" w:rsidRDefault="00DE28CE">
            <w:pPr>
              <w:rPr>
                <w:rFonts w:asciiTheme="minorHAnsi" w:hAnsiTheme="minorHAnsi" w:cstheme="minorHAnsi"/>
              </w:rPr>
            </w:pPr>
            <w:r w:rsidRPr="00AA57EC">
              <w:rPr>
                <w:rFonts w:asciiTheme="minorHAnsi" w:hAnsiTheme="minorHAnsi" w:cstheme="minorHAnsi"/>
              </w:rPr>
              <w:t>3. Piaski grubo, średnio i drobnoziarniste, naturalne i łamane</w:t>
            </w:r>
          </w:p>
          <w:p w14:paraId="0E155D38" w14:textId="77777777" w:rsidR="00DE28CE" w:rsidRPr="00AA57EC" w:rsidRDefault="00DE28CE">
            <w:pPr>
              <w:rPr>
                <w:rFonts w:asciiTheme="minorHAnsi" w:hAnsiTheme="minorHAnsi" w:cstheme="minorHAnsi"/>
              </w:rPr>
            </w:pPr>
            <w:r w:rsidRPr="00AA57EC">
              <w:rPr>
                <w:rFonts w:asciiTheme="minorHAnsi" w:hAnsiTheme="minorHAnsi" w:cstheme="minorHAnsi"/>
              </w:rPr>
              <w:t>4. Piaski gliniaste z domieszką frakcji żwirowo-kamienistej (morenowe) o wskaźniku różnoziarnistości U</w:t>
            </w:r>
            <w:r w:rsidRPr="00AA57EC">
              <w:rPr>
                <w:rFonts w:asciiTheme="minorHAnsi" w:hAnsiTheme="minorHAnsi" w:cstheme="minorHAnsi"/>
              </w:rPr>
              <w:sym w:font="Symbol" w:char="F0B3"/>
            </w:r>
            <w:r w:rsidRPr="00AA57EC">
              <w:rPr>
                <w:rFonts w:asciiTheme="minorHAnsi" w:hAnsiTheme="minorHAnsi" w:cstheme="minorHAnsi"/>
              </w:rPr>
              <w:t>15</w:t>
            </w:r>
          </w:p>
          <w:p w14:paraId="64A5D3DB" w14:textId="77777777" w:rsidR="00DE28CE" w:rsidRPr="00AA57EC" w:rsidRDefault="00DE28CE">
            <w:pPr>
              <w:rPr>
                <w:rFonts w:asciiTheme="minorHAnsi" w:hAnsiTheme="minorHAnsi" w:cstheme="minorHAnsi"/>
              </w:rPr>
            </w:pPr>
            <w:r w:rsidRPr="00AA57EC">
              <w:rPr>
                <w:rFonts w:asciiTheme="minorHAnsi" w:hAnsiTheme="minorHAnsi" w:cstheme="minorHAnsi"/>
              </w:rPr>
              <w:t>5. Żużle wielkopiecowe i inne metalurgiczne ze starych zwałów (powyżej 5 lat)</w:t>
            </w:r>
          </w:p>
          <w:p w14:paraId="48BD6056" w14:textId="77777777" w:rsidR="00DE28CE" w:rsidRPr="00AA57EC" w:rsidRDefault="00DE28CE">
            <w:pPr>
              <w:rPr>
                <w:rFonts w:asciiTheme="minorHAnsi" w:hAnsiTheme="minorHAnsi" w:cstheme="minorHAnsi"/>
              </w:rPr>
            </w:pPr>
            <w:r w:rsidRPr="00AA57EC">
              <w:rPr>
                <w:rFonts w:asciiTheme="minorHAnsi" w:hAnsiTheme="minorHAnsi" w:cstheme="minorHAnsi"/>
              </w:rPr>
              <w:t>6. Łupki przywęgłowe przepalone</w:t>
            </w:r>
          </w:p>
          <w:p w14:paraId="24258CAD" w14:textId="77777777" w:rsidR="00DE28CE" w:rsidRPr="00AA57EC" w:rsidRDefault="00DE28CE">
            <w:pPr>
              <w:rPr>
                <w:rFonts w:asciiTheme="minorHAnsi" w:hAnsiTheme="minorHAnsi" w:cstheme="minorHAnsi"/>
              </w:rPr>
            </w:pPr>
            <w:r w:rsidRPr="00AA57EC">
              <w:rPr>
                <w:rFonts w:asciiTheme="minorHAnsi" w:hAnsiTheme="minorHAnsi" w:cstheme="minorHAnsi"/>
              </w:rPr>
              <w:t>7. Wysiewki kamienne o zawartości frakcji iłowej poniżej 2%</w:t>
            </w:r>
          </w:p>
        </w:tc>
        <w:tc>
          <w:tcPr>
            <w:tcW w:w="2949" w:type="dxa"/>
            <w:tcBorders>
              <w:top w:val="single" w:sz="4" w:space="0" w:color="auto"/>
              <w:left w:val="single" w:sz="4" w:space="0" w:color="auto"/>
              <w:bottom w:val="single" w:sz="4" w:space="0" w:color="auto"/>
              <w:right w:val="single" w:sz="4" w:space="0" w:color="auto"/>
            </w:tcBorders>
          </w:tcPr>
          <w:p w14:paraId="4F927C9F" w14:textId="77777777" w:rsidR="00DE28CE" w:rsidRPr="00AA57EC" w:rsidRDefault="00DE28CE">
            <w:pPr>
              <w:rPr>
                <w:rFonts w:asciiTheme="minorHAnsi" w:hAnsiTheme="minorHAnsi" w:cstheme="minorHAnsi"/>
              </w:rPr>
            </w:pPr>
            <w:r w:rsidRPr="00AA57EC">
              <w:rPr>
                <w:rFonts w:asciiTheme="minorHAnsi" w:hAnsiTheme="minorHAnsi" w:cstheme="minorHAnsi"/>
              </w:rPr>
              <w:t>1.Rozdrobnione grunty skaliste miękkie</w:t>
            </w:r>
          </w:p>
          <w:p w14:paraId="41C3CD4F" w14:textId="77777777" w:rsidR="00DE28CE" w:rsidRPr="00AA57EC" w:rsidRDefault="00DE28CE">
            <w:pPr>
              <w:rPr>
                <w:rFonts w:asciiTheme="minorHAnsi" w:hAnsiTheme="minorHAnsi" w:cstheme="minorHAnsi"/>
              </w:rPr>
            </w:pPr>
          </w:p>
        </w:tc>
        <w:tc>
          <w:tcPr>
            <w:tcW w:w="3510" w:type="dxa"/>
            <w:tcBorders>
              <w:top w:val="single" w:sz="4" w:space="0" w:color="auto"/>
              <w:left w:val="single" w:sz="4" w:space="0" w:color="auto"/>
              <w:bottom w:val="single" w:sz="4" w:space="0" w:color="auto"/>
              <w:right w:val="single" w:sz="4" w:space="0" w:color="auto"/>
            </w:tcBorders>
            <w:hideMark/>
          </w:tcPr>
          <w:p w14:paraId="0FA8189C" w14:textId="77777777" w:rsidR="00DE28CE" w:rsidRPr="00AA57EC" w:rsidRDefault="00DE28CE">
            <w:pPr>
              <w:rPr>
                <w:rFonts w:asciiTheme="minorHAnsi" w:hAnsiTheme="minorHAnsi" w:cstheme="minorHAnsi"/>
              </w:rPr>
            </w:pPr>
            <w:r w:rsidRPr="00AA57EC">
              <w:rPr>
                <w:rFonts w:asciiTheme="minorHAnsi" w:hAnsiTheme="minorHAnsi" w:cstheme="minorHAnsi"/>
              </w:rPr>
              <w:t>- gdy pory w gruncie skalistym będą wypełnione gruntem lub materiałem drobnoziarnistym</w:t>
            </w:r>
          </w:p>
        </w:tc>
      </w:tr>
      <w:tr w:rsidR="00DE28CE" w:rsidRPr="00AA57EC" w14:paraId="22B6831B" w14:textId="77777777" w:rsidTr="00A047DF">
        <w:trPr>
          <w:trHeight w:val="73"/>
        </w:trPr>
        <w:tc>
          <w:tcPr>
            <w:tcW w:w="1090" w:type="dxa"/>
            <w:vMerge/>
            <w:tcBorders>
              <w:left w:val="single" w:sz="4" w:space="0" w:color="auto"/>
              <w:right w:val="single" w:sz="4" w:space="0" w:color="auto"/>
            </w:tcBorders>
            <w:vAlign w:val="center"/>
            <w:hideMark/>
          </w:tcPr>
          <w:p w14:paraId="1D5490F0" w14:textId="77777777" w:rsidR="00DE28CE" w:rsidRPr="00AA57EC" w:rsidRDefault="00DE28CE">
            <w:pPr>
              <w:overflowPunct/>
              <w:autoSpaceDE/>
              <w:autoSpaceDN/>
              <w:adjustRightInd/>
              <w:jc w:val="left"/>
              <w:rPr>
                <w:rFonts w:asciiTheme="minorHAnsi" w:hAnsiTheme="minorHAnsi" w:cstheme="minorHAnsi"/>
              </w:rPr>
            </w:pPr>
          </w:p>
        </w:tc>
        <w:tc>
          <w:tcPr>
            <w:tcW w:w="2246" w:type="dxa"/>
            <w:vMerge/>
            <w:tcBorders>
              <w:left w:val="single" w:sz="4" w:space="0" w:color="auto"/>
              <w:right w:val="single" w:sz="4" w:space="0" w:color="auto"/>
            </w:tcBorders>
            <w:vAlign w:val="center"/>
            <w:hideMark/>
          </w:tcPr>
          <w:p w14:paraId="50490D78" w14:textId="77777777" w:rsidR="00DE28CE" w:rsidRPr="00AA57EC" w:rsidRDefault="00DE28CE">
            <w:pPr>
              <w:overflowPunct/>
              <w:autoSpaceDE/>
              <w:autoSpaceDN/>
              <w:adjustRightInd/>
              <w:jc w:val="left"/>
              <w:rPr>
                <w:rFonts w:asciiTheme="minorHAnsi" w:hAnsiTheme="minorHAnsi" w:cstheme="minorHAnsi"/>
              </w:rPr>
            </w:pPr>
          </w:p>
        </w:tc>
        <w:tc>
          <w:tcPr>
            <w:tcW w:w="2949" w:type="dxa"/>
            <w:tcBorders>
              <w:top w:val="single" w:sz="4" w:space="0" w:color="auto"/>
              <w:left w:val="single" w:sz="4" w:space="0" w:color="auto"/>
              <w:bottom w:val="single" w:sz="4" w:space="0" w:color="auto"/>
              <w:right w:val="single" w:sz="4" w:space="0" w:color="auto"/>
            </w:tcBorders>
            <w:hideMark/>
          </w:tcPr>
          <w:p w14:paraId="1D969CF9" w14:textId="77777777" w:rsidR="00DE28CE" w:rsidRPr="00AA57EC" w:rsidRDefault="00DE28CE">
            <w:pPr>
              <w:pBdr>
                <w:top w:val="single" w:sz="6" w:space="1" w:color="auto"/>
              </w:pBdr>
              <w:rPr>
                <w:rFonts w:asciiTheme="minorHAnsi" w:hAnsiTheme="minorHAnsi" w:cstheme="minorHAnsi"/>
              </w:rPr>
            </w:pPr>
            <w:r w:rsidRPr="00AA57EC">
              <w:rPr>
                <w:rFonts w:asciiTheme="minorHAnsi" w:hAnsiTheme="minorHAnsi" w:cstheme="minorHAnsi"/>
              </w:rPr>
              <w:t>2.Zwietrzeliny i rumosze gliniaste</w:t>
            </w:r>
          </w:p>
          <w:p w14:paraId="3610B0E8" w14:textId="77777777" w:rsidR="00DE28CE" w:rsidRPr="00AA57EC" w:rsidRDefault="00DE28CE">
            <w:pPr>
              <w:rPr>
                <w:rFonts w:asciiTheme="minorHAnsi" w:hAnsiTheme="minorHAnsi" w:cstheme="minorHAnsi"/>
              </w:rPr>
            </w:pPr>
            <w:r w:rsidRPr="00AA57EC">
              <w:rPr>
                <w:rFonts w:asciiTheme="minorHAnsi" w:hAnsiTheme="minorHAnsi" w:cstheme="minorHAnsi"/>
              </w:rPr>
              <w:t>3. Piaski pylaste, piaski gliniaste, pyły piaszczyste i pyły</w:t>
            </w:r>
          </w:p>
        </w:tc>
        <w:tc>
          <w:tcPr>
            <w:tcW w:w="3510" w:type="dxa"/>
            <w:tcBorders>
              <w:top w:val="single" w:sz="4" w:space="0" w:color="auto"/>
              <w:left w:val="single" w:sz="4" w:space="0" w:color="auto"/>
              <w:bottom w:val="single" w:sz="4" w:space="0" w:color="auto"/>
              <w:right w:val="single" w:sz="4" w:space="0" w:color="auto"/>
            </w:tcBorders>
            <w:hideMark/>
          </w:tcPr>
          <w:p w14:paraId="395F93D1" w14:textId="77777777" w:rsidR="00DE28CE" w:rsidRPr="00AA57EC" w:rsidRDefault="00DE28CE">
            <w:pPr>
              <w:pStyle w:val="Tekstpodstawowy25"/>
              <w:ind w:left="0"/>
              <w:jc w:val="left"/>
              <w:rPr>
                <w:rFonts w:asciiTheme="minorHAnsi" w:hAnsiTheme="minorHAnsi" w:cstheme="minorHAnsi"/>
              </w:rPr>
            </w:pPr>
            <w:r w:rsidRPr="00AA57EC">
              <w:rPr>
                <w:rFonts w:asciiTheme="minorHAnsi" w:hAnsiTheme="minorHAnsi" w:cstheme="minorHAnsi"/>
              </w:rPr>
              <w:t>- gdy będą wbudowane w miejsca suche lub zabezpieczone od wód gruntowych i powierzchniowych</w:t>
            </w:r>
          </w:p>
        </w:tc>
      </w:tr>
      <w:tr w:rsidR="00DE28CE" w:rsidRPr="00AA57EC" w14:paraId="7DE52502" w14:textId="77777777" w:rsidTr="00A047DF">
        <w:trPr>
          <w:trHeight w:val="73"/>
        </w:trPr>
        <w:tc>
          <w:tcPr>
            <w:tcW w:w="1090" w:type="dxa"/>
            <w:vMerge/>
            <w:tcBorders>
              <w:left w:val="single" w:sz="4" w:space="0" w:color="auto"/>
              <w:right w:val="single" w:sz="4" w:space="0" w:color="auto"/>
            </w:tcBorders>
            <w:vAlign w:val="center"/>
            <w:hideMark/>
          </w:tcPr>
          <w:p w14:paraId="4ED075E7" w14:textId="77777777" w:rsidR="00DE28CE" w:rsidRPr="00AA57EC" w:rsidRDefault="00DE28CE">
            <w:pPr>
              <w:overflowPunct/>
              <w:autoSpaceDE/>
              <w:autoSpaceDN/>
              <w:adjustRightInd/>
              <w:jc w:val="left"/>
              <w:rPr>
                <w:rFonts w:asciiTheme="minorHAnsi" w:hAnsiTheme="minorHAnsi" w:cstheme="minorHAnsi"/>
              </w:rPr>
            </w:pPr>
          </w:p>
        </w:tc>
        <w:tc>
          <w:tcPr>
            <w:tcW w:w="2246" w:type="dxa"/>
            <w:vMerge/>
            <w:tcBorders>
              <w:left w:val="single" w:sz="4" w:space="0" w:color="auto"/>
              <w:right w:val="single" w:sz="4" w:space="0" w:color="auto"/>
            </w:tcBorders>
            <w:vAlign w:val="center"/>
            <w:hideMark/>
          </w:tcPr>
          <w:p w14:paraId="2E48099E" w14:textId="77777777" w:rsidR="00DE28CE" w:rsidRPr="00AA57EC" w:rsidRDefault="00DE28CE">
            <w:pPr>
              <w:overflowPunct/>
              <w:autoSpaceDE/>
              <w:autoSpaceDN/>
              <w:adjustRightInd/>
              <w:jc w:val="left"/>
              <w:rPr>
                <w:rFonts w:asciiTheme="minorHAnsi" w:hAnsiTheme="minorHAnsi" w:cstheme="minorHAnsi"/>
              </w:rPr>
            </w:pPr>
          </w:p>
        </w:tc>
        <w:tc>
          <w:tcPr>
            <w:tcW w:w="2949" w:type="dxa"/>
            <w:tcBorders>
              <w:top w:val="single" w:sz="4" w:space="0" w:color="auto"/>
              <w:left w:val="single" w:sz="4" w:space="0" w:color="auto"/>
              <w:bottom w:val="single" w:sz="4" w:space="0" w:color="auto"/>
              <w:right w:val="single" w:sz="4" w:space="0" w:color="auto"/>
            </w:tcBorders>
            <w:hideMark/>
          </w:tcPr>
          <w:p w14:paraId="1CA5BF0D" w14:textId="77777777" w:rsidR="00DE28CE" w:rsidRPr="00AA57EC" w:rsidRDefault="00DE28CE">
            <w:pPr>
              <w:rPr>
                <w:rFonts w:asciiTheme="minorHAnsi" w:hAnsiTheme="minorHAnsi" w:cstheme="minorHAnsi"/>
              </w:rPr>
            </w:pPr>
            <w:r w:rsidRPr="00AA57EC">
              <w:rPr>
                <w:rFonts w:asciiTheme="minorHAnsi" w:hAnsiTheme="minorHAnsi" w:cstheme="minorHAnsi"/>
              </w:rPr>
              <w:t>4. Piaski próchniczne, z wyjątkiem pylastych piasków próchnicznych</w:t>
            </w:r>
          </w:p>
        </w:tc>
        <w:tc>
          <w:tcPr>
            <w:tcW w:w="3510" w:type="dxa"/>
            <w:tcBorders>
              <w:top w:val="single" w:sz="4" w:space="0" w:color="auto"/>
              <w:left w:val="single" w:sz="4" w:space="0" w:color="auto"/>
              <w:bottom w:val="single" w:sz="4" w:space="0" w:color="auto"/>
              <w:right w:val="single" w:sz="4" w:space="0" w:color="auto"/>
            </w:tcBorders>
            <w:hideMark/>
          </w:tcPr>
          <w:p w14:paraId="1D9F2899" w14:textId="77777777" w:rsidR="00DE28CE" w:rsidRPr="00AA57EC" w:rsidRDefault="00DE28CE">
            <w:pPr>
              <w:rPr>
                <w:rFonts w:asciiTheme="minorHAnsi" w:hAnsiTheme="minorHAnsi" w:cstheme="minorHAnsi"/>
              </w:rPr>
            </w:pPr>
            <w:r w:rsidRPr="00AA57EC">
              <w:rPr>
                <w:rFonts w:asciiTheme="minorHAnsi" w:hAnsiTheme="minorHAnsi" w:cstheme="minorHAnsi"/>
              </w:rPr>
              <w:t>- do nasypów nie wyższych niż 3 m, zabezpieczonych przed zawilgoceniem</w:t>
            </w:r>
          </w:p>
        </w:tc>
      </w:tr>
      <w:tr w:rsidR="00DE28CE" w:rsidRPr="00AA57EC" w14:paraId="2649DEF2" w14:textId="77777777" w:rsidTr="00A047DF">
        <w:trPr>
          <w:trHeight w:val="73"/>
        </w:trPr>
        <w:tc>
          <w:tcPr>
            <w:tcW w:w="1090" w:type="dxa"/>
            <w:vMerge/>
            <w:tcBorders>
              <w:left w:val="single" w:sz="4" w:space="0" w:color="auto"/>
              <w:right w:val="single" w:sz="4" w:space="0" w:color="auto"/>
            </w:tcBorders>
            <w:vAlign w:val="center"/>
            <w:hideMark/>
          </w:tcPr>
          <w:p w14:paraId="5AC9BD1A" w14:textId="77777777" w:rsidR="00DE28CE" w:rsidRPr="00AA57EC" w:rsidRDefault="00DE28CE">
            <w:pPr>
              <w:overflowPunct/>
              <w:autoSpaceDE/>
              <w:autoSpaceDN/>
              <w:adjustRightInd/>
              <w:jc w:val="left"/>
              <w:rPr>
                <w:rFonts w:asciiTheme="minorHAnsi" w:hAnsiTheme="minorHAnsi" w:cstheme="minorHAnsi"/>
              </w:rPr>
            </w:pPr>
          </w:p>
        </w:tc>
        <w:tc>
          <w:tcPr>
            <w:tcW w:w="2246" w:type="dxa"/>
            <w:vMerge/>
            <w:tcBorders>
              <w:left w:val="single" w:sz="4" w:space="0" w:color="auto"/>
              <w:right w:val="single" w:sz="4" w:space="0" w:color="auto"/>
            </w:tcBorders>
            <w:vAlign w:val="center"/>
            <w:hideMark/>
          </w:tcPr>
          <w:p w14:paraId="0868868F" w14:textId="77777777" w:rsidR="00DE28CE" w:rsidRPr="00AA57EC" w:rsidRDefault="00DE28CE">
            <w:pPr>
              <w:overflowPunct/>
              <w:autoSpaceDE/>
              <w:autoSpaceDN/>
              <w:adjustRightInd/>
              <w:jc w:val="left"/>
              <w:rPr>
                <w:rFonts w:asciiTheme="minorHAnsi" w:hAnsiTheme="minorHAnsi" w:cstheme="minorHAnsi"/>
              </w:rPr>
            </w:pPr>
          </w:p>
        </w:tc>
        <w:tc>
          <w:tcPr>
            <w:tcW w:w="2949" w:type="dxa"/>
            <w:tcBorders>
              <w:top w:val="single" w:sz="4" w:space="0" w:color="auto"/>
              <w:left w:val="single" w:sz="4" w:space="0" w:color="auto"/>
              <w:bottom w:val="single" w:sz="4" w:space="0" w:color="auto"/>
              <w:right w:val="single" w:sz="4" w:space="0" w:color="auto"/>
            </w:tcBorders>
            <w:hideMark/>
          </w:tcPr>
          <w:p w14:paraId="2CFED5F2" w14:textId="77777777" w:rsidR="00DE28CE" w:rsidRPr="00AA57EC" w:rsidRDefault="00DE28CE">
            <w:pPr>
              <w:rPr>
                <w:rFonts w:asciiTheme="minorHAnsi" w:hAnsiTheme="minorHAnsi" w:cstheme="minorHAnsi"/>
              </w:rPr>
            </w:pPr>
            <w:r w:rsidRPr="00AA57EC">
              <w:rPr>
                <w:rFonts w:asciiTheme="minorHAnsi" w:hAnsiTheme="minorHAnsi" w:cstheme="minorHAnsi"/>
              </w:rPr>
              <w:t>5. Gliny piaszczyste, gliny i gliny pylaste oraz inne o w</w:t>
            </w:r>
            <w:r w:rsidRPr="00AA57EC">
              <w:rPr>
                <w:rFonts w:asciiTheme="minorHAnsi" w:hAnsiTheme="minorHAnsi" w:cstheme="minorHAnsi"/>
                <w:vertAlign w:val="subscript"/>
              </w:rPr>
              <w:t>L</w:t>
            </w:r>
            <w:r w:rsidRPr="00AA57EC">
              <w:rPr>
                <w:rFonts w:asciiTheme="minorHAnsi" w:hAnsiTheme="minorHAnsi" w:cstheme="minorHAnsi"/>
              </w:rPr>
              <w:sym w:font="Symbol" w:char="F03C"/>
            </w:r>
            <w:r w:rsidRPr="00AA57EC">
              <w:rPr>
                <w:rFonts w:asciiTheme="minorHAnsi" w:hAnsiTheme="minorHAnsi" w:cstheme="minorHAnsi"/>
              </w:rPr>
              <w:t xml:space="preserve"> 35%</w:t>
            </w:r>
          </w:p>
        </w:tc>
        <w:tc>
          <w:tcPr>
            <w:tcW w:w="3510" w:type="dxa"/>
            <w:tcBorders>
              <w:top w:val="single" w:sz="4" w:space="0" w:color="auto"/>
              <w:left w:val="single" w:sz="4" w:space="0" w:color="auto"/>
              <w:bottom w:val="single" w:sz="4" w:space="0" w:color="auto"/>
              <w:right w:val="single" w:sz="4" w:space="0" w:color="auto"/>
            </w:tcBorders>
            <w:hideMark/>
          </w:tcPr>
          <w:p w14:paraId="47626F05" w14:textId="77777777" w:rsidR="00DE28CE" w:rsidRPr="00AA57EC" w:rsidRDefault="00DE28CE">
            <w:pPr>
              <w:rPr>
                <w:rFonts w:asciiTheme="minorHAnsi" w:hAnsiTheme="minorHAnsi" w:cstheme="minorHAnsi"/>
              </w:rPr>
            </w:pPr>
            <w:r w:rsidRPr="00AA57EC">
              <w:rPr>
                <w:rFonts w:asciiTheme="minorHAnsi" w:hAnsiTheme="minorHAnsi" w:cstheme="minorHAnsi"/>
              </w:rPr>
              <w:t>- w miejscach suchych lub przejściowo zawilgoconych</w:t>
            </w:r>
          </w:p>
        </w:tc>
      </w:tr>
      <w:tr w:rsidR="00DE28CE" w:rsidRPr="00AA57EC" w14:paraId="45A552AF" w14:textId="77777777" w:rsidTr="00A047DF">
        <w:trPr>
          <w:trHeight w:val="73"/>
        </w:trPr>
        <w:tc>
          <w:tcPr>
            <w:tcW w:w="1090" w:type="dxa"/>
            <w:vMerge/>
            <w:tcBorders>
              <w:left w:val="single" w:sz="4" w:space="0" w:color="auto"/>
              <w:right w:val="single" w:sz="4" w:space="0" w:color="auto"/>
            </w:tcBorders>
            <w:vAlign w:val="center"/>
            <w:hideMark/>
          </w:tcPr>
          <w:p w14:paraId="7AFAB25E" w14:textId="77777777" w:rsidR="00DE28CE" w:rsidRPr="00AA57EC" w:rsidRDefault="00DE28CE">
            <w:pPr>
              <w:overflowPunct/>
              <w:autoSpaceDE/>
              <w:autoSpaceDN/>
              <w:adjustRightInd/>
              <w:jc w:val="left"/>
              <w:rPr>
                <w:rFonts w:asciiTheme="minorHAnsi" w:hAnsiTheme="minorHAnsi" w:cstheme="minorHAnsi"/>
              </w:rPr>
            </w:pPr>
          </w:p>
        </w:tc>
        <w:tc>
          <w:tcPr>
            <w:tcW w:w="2246" w:type="dxa"/>
            <w:vMerge/>
            <w:tcBorders>
              <w:left w:val="single" w:sz="4" w:space="0" w:color="auto"/>
              <w:right w:val="single" w:sz="4" w:space="0" w:color="auto"/>
            </w:tcBorders>
            <w:vAlign w:val="center"/>
            <w:hideMark/>
          </w:tcPr>
          <w:p w14:paraId="7E99B2C9" w14:textId="77777777" w:rsidR="00DE28CE" w:rsidRPr="00AA57EC" w:rsidRDefault="00DE28CE">
            <w:pPr>
              <w:overflowPunct/>
              <w:autoSpaceDE/>
              <w:autoSpaceDN/>
              <w:adjustRightInd/>
              <w:jc w:val="left"/>
              <w:rPr>
                <w:rFonts w:asciiTheme="minorHAnsi" w:hAnsiTheme="minorHAnsi" w:cstheme="minorHAnsi"/>
              </w:rPr>
            </w:pPr>
          </w:p>
        </w:tc>
        <w:tc>
          <w:tcPr>
            <w:tcW w:w="2949" w:type="dxa"/>
            <w:tcBorders>
              <w:top w:val="single" w:sz="4" w:space="0" w:color="auto"/>
              <w:left w:val="single" w:sz="4" w:space="0" w:color="auto"/>
              <w:bottom w:val="single" w:sz="4" w:space="0" w:color="auto"/>
              <w:right w:val="single" w:sz="4" w:space="0" w:color="auto"/>
            </w:tcBorders>
            <w:hideMark/>
          </w:tcPr>
          <w:p w14:paraId="696CC5EC" w14:textId="77777777" w:rsidR="00DE28CE" w:rsidRPr="00AA57EC" w:rsidRDefault="00DE28CE">
            <w:pPr>
              <w:rPr>
                <w:rFonts w:asciiTheme="minorHAnsi" w:hAnsiTheme="minorHAnsi" w:cstheme="minorHAnsi"/>
              </w:rPr>
            </w:pPr>
            <w:r w:rsidRPr="00AA57EC">
              <w:rPr>
                <w:rFonts w:asciiTheme="minorHAnsi" w:hAnsiTheme="minorHAnsi" w:cstheme="minorHAnsi"/>
              </w:rPr>
              <w:t>6. Gliny piaszczyste zwięzłe, gliny zwięzłe i gliny pylaste zwięzłe oraz inne grunty o granicy płynności w</w:t>
            </w:r>
            <w:r w:rsidRPr="00AA57EC">
              <w:rPr>
                <w:rFonts w:asciiTheme="minorHAnsi" w:hAnsiTheme="minorHAnsi" w:cstheme="minorHAnsi"/>
                <w:vertAlign w:val="subscript"/>
              </w:rPr>
              <w:t>L</w:t>
            </w:r>
            <w:r w:rsidRPr="00AA57EC">
              <w:rPr>
                <w:rFonts w:asciiTheme="minorHAnsi" w:hAnsiTheme="minorHAnsi" w:cstheme="minorHAnsi"/>
              </w:rPr>
              <w:t xml:space="preserve"> od 35 do 60%</w:t>
            </w:r>
          </w:p>
        </w:tc>
        <w:tc>
          <w:tcPr>
            <w:tcW w:w="3510" w:type="dxa"/>
            <w:tcBorders>
              <w:top w:val="single" w:sz="4" w:space="0" w:color="auto"/>
              <w:left w:val="single" w:sz="4" w:space="0" w:color="auto"/>
              <w:bottom w:val="single" w:sz="4" w:space="0" w:color="auto"/>
              <w:right w:val="single" w:sz="4" w:space="0" w:color="auto"/>
            </w:tcBorders>
          </w:tcPr>
          <w:p w14:paraId="0CF1E726" w14:textId="77777777" w:rsidR="00DE28CE" w:rsidRPr="00AA57EC" w:rsidRDefault="00DE28CE">
            <w:pPr>
              <w:rPr>
                <w:rFonts w:asciiTheme="minorHAnsi" w:hAnsiTheme="minorHAnsi" w:cstheme="minorHAnsi"/>
              </w:rPr>
            </w:pPr>
            <w:r w:rsidRPr="00AA57EC">
              <w:rPr>
                <w:rFonts w:asciiTheme="minorHAnsi" w:hAnsiTheme="minorHAnsi" w:cstheme="minorHAnsi"/>
              </w:rPr>
              <w:t>- do nasypów nie wyższych niż 3 m: zabezpieczonych przed zawilgoceniem lub po ulepszeniu spoiwami</w:t>
            </w:r>
          </w:p>
          <w:p w14:paraId="373D4C4F" w14:textId="77777777" w:rsidR="00DE28CE" w:rsidRPr="00AA57EC" w:rsidRDefault="00DE28CE">
            <w:pPr>
              <w:rPr>
                <w:rFonts w:asciiTheme="minorHAnsi" w:hAnsiTheme="minorHAnsi" w:cstheme="minorHAnsi"/>
              </w:rPr>
            </w:pPr>
          </w:p>
        </w:tc>
      </w:tr>
      <w:tr w:rsidR="00DE28CE" w:rsidRPr="00AA57EC" w14:paraId="6A6D0121" w14:textId="77777777" w:rsidTr="00A047DF">
        <w:trPr>
          <w:trHeight w:val="73"/>
        </w:trPr>
        <w:tc>
          <w:tcPr>
            <w:tcW w:w="1090" w:type="dxa"/>
            <w:vMerge/>
            <w:tcBorders>
              <w:left w:val="single" w:sz="4" w:space="0" w:color="auto"/>
              <w:right w:val="single" w:sz="4" w:space="0" w:color="auto"/>
            </w:tcBorders>
            <w:vAlign w:val="center"/>
            <w:hideMark/>
          </w:tcPr>
          <w:p w14:paraId="7261D132" w14:textId="77777777" w:rsidR="00DE28CE" w:rsidRPr="00AA57EC" w:rsidRDefault="00DE28CE">
            <w:pPr>
              <w:overflowPunct/>
              <w:autoSpaceDE/>
              <w:autoSpaceDN/>
              <w:adjustRightInd/>
              <w:jc w:val="left"/>
              <w:rPr>
                <w:rFonts w:asciiTheme="minorHAnsi" w:hAnsiTheme="minorHAnsi" w:cstheme="minorHAnsi"/>
              </w:rPr>
            </w:pPr>
          </w:p>
        </w:tc>
        <w:tc>
          <w:tcPr>
            <w:tcW w:w="2246" w:type="dxa"/>
            <w:vMerge/>
            <w:tcBorders>
              <w:left w:val="single" w:sz="4" w:space="0" w:color="auto"/>
              <w:right w:val="single" w:sz="4" w:space="0" w:color="auto"/>
            </w:tcBorders>
            <w:vAlign w:val="center"/>
            <w:hideMark/>
          </w:tcPr>
          <w:p w14:paraId="2DA37243" w14:textId="77777777" w:rsidR="00DE28CE" w:rsidRPr="00AA57EC" w:rsidRDefault="00DE28CE">
            <w:pPr>
              <w:overflowPunct/>
              <w:autoSpaceDE/>
              <w:autoSpaceDN/>
              <w:adjustRightInd/>
              <w:jc w:val="left"/>
              <w:rPr>
                <w:rFonts w:asciiTheme="minorHAnsi" w:hAnsiTheme="minorHAnsi" w:cstheme="minorHAnsi"/>
              </w:rPr>
            </w:pPr>
          </w:p>
        </w:tc>
        <w:tc>
          <w:tcPr>
            <w:tcW w:w="2949" w:type="dxa"/>
            <w:tcBorders>
              <w:top w:val="single" w:sz="4" w:space="0" w:color="auto"/>
              <w:left w:val="single" w:sz="4" w:space="0" w:color="auto"/>
              <w:bottom w:val="single" w:sz="4" w:space="0" w:color="auto"/>
              <w:right w:val="single" w:sz="4" w:space="0" w:color="auto"/>
            </w:tcBorders>
            <w:hideMark/>
          </w:tcPr>
          <w:p w14:paraId="72633AFF" w14:textId="77777777" w:rsidR="00DE28CE" w:rsidRPr="00AA57EC" w:rsidRDefault="00DE28CE">
            <w:pPr>
              <w:rPr>
                <w:rFonts w:asciiTheme="minorHAnsi" w:hAnsiTheme="minorHAnsi" w:cstheme="minorHAnsi"/>
              </w:rPr>
            </w:pPr>
            <w:r w:rsidRPr="00AA57EC">
              <w:rPr>
                <w:rFonts w:asciiTheme="minorHAnsi" w:hAnsiTheme="minorHAnsi" w:cstheme="minorHAnsi"/>
              </w:rPr>
              <w:t>7. Wysiewki kamienne gliniaste o zawartości frakcji iłowej ponad 2%</w:t>
            </w:r>
          </w:p>
        </w:tc>
        <w:tc>
          <w:tcPr>
            <w:tcW w:w="3510" w:type="dxa"/>
            <w:tcBorders>
              <w:top w:val="single" w:sz="4" w:space="0" w:color="auto"/>
              <w:left w:val="single" w:sz="4" w:space="0" w:color="auto"/>
              <w:bottom w:val="single" w:sz="4" w:space="0" w:color="auto"/>
              <w:right w:val="single" w:sz="4" w:space="0" w:color="auto"/>
            </w:tcBorders>
            <w:hideMark/>
          </w:tcPr>
          <w:p w14:paraId="63DB2D7D" w14:textId="77777777" w:rsidR="00DE28CE" w:rsidRPr="00AA57EC" w:rsidRDefault="00DE28CE">
            <w:pPr>
              <w:rPr>
                <w:rFonts w:asciiTheme="minorHAnsi" w:hAnsiTheme="minorHAnsi" w:cstheme="minorHAnsi"/>
              </w:rPr>
            </w:pPr>
            <w:r w:rsidRPr="00AA57EC">
              <w:rPr>
                <w:rFonts w:asciiTheme="minorHAnsi" w:hAnsiTheme="minorHAnsi" w:cstheme="minorHAnsi"/>
              </w:rPr>
              <w:t>- gdy zwierciadło wody gruntowej znajduje się na głębokości większej od kapilarności biernej gruntu podłoża</w:t>
            </w:r>
          </w:p>
        </w:tc>
      </w:tr>
      <w:tr w:rsidR="00DE28CE" w:rsidRPr="00AA57EC" w14:paraId="0503C3A0" w14:textId="77777777" w:rsidTr="00A047DF">
        <w:trPr>
          <w:trHeight w:val="73"/>
        </w:trPr>
        <w:tc>
          <w:tcPr>
            <w:tcW w:w="1090" w:type="dxa"/>
            <w:vMerge/>
            <w:tcBorders>
              <w:left w:val="single" w:sz="4" w:space="0" w:color="auto"/>
              <w:right w:val="single" w:sz="4" w:space="0" w:color="auto"/>
            </w:tcBorders>
            <w:vAlign w:val="center"/>
            <w:hideMark/>
          </w:tcPr>
          <w:p w14:paraId="72D13E54" w14:textId="77777777" w:rsidR="00DE28CE" w:rsidRPr="00AA57EC" w:rsidRDefault="00DE28CE">
            <w:pPr>
              <w:overflowPunct/>
              <w:autoSpaceDE/>
              <w:autoSpaceDN/>
              <w:adjustRightInd/>
              <w:jc w:val="left"/>
              <w:rPr>
                <w:rFonts w:asciiTheme="minorHAnsi" w:hAnsiTheme="minorHAnsi" w:cstheme="minorHAnsi"/>
              </w:rPr>
            </w:pPr>
          </w:p>
        </w:tc>
        <w:tc>
          <w:tcPr>
            <w:tcW w:w="2246" w:type="dxa"/>
            <w:vMerge/>
            <w:tcBorders>
              <w:left w:val="single" w:sz="4" w:space="0" w:color="auto"/>
              <w:right w:val="single" w:sz="4" w:space="0" w:color="auto"/>
            </w:tcBorders>
            <w:vAlign w:val="center"/>
            <w:hideMark/>
          </w:tcPr>
          <w:p w14:paraId="60511992" w14:textId="77777777" w:rsidR="00DE28CE" w:rsidRPr="00AA57EC" w:rsidRDefault="00DE28CE">
            <w:pPr>
              <w:overflowPunct/>
              <w:autoSpaceDE/>
              <w:autoSpaceDN/>
              <w:adjustRightInd/>
              <w:jc w:val="left"/>
              <w:rPr>
                <w:rFonts w:asciiTheme="minorHAnsi" w:hAnsiTheme="minorHAnsi" w:cstheme="minorHAnsi"/>
              </w:rPr>
            </w:pPr>
          </w:p>
        </w:tc>
        <w:tc>
          <w:tcPr>
            <w:tcW w:w="2949" w:type="dxa"/>
            <w:tcBorders>
              <w:top w:val="single" w:sz="4" w:space="0" w:color="auto"/>
              <w:left w:val="single" w:sz="4" w:space="0" w:color="auto"/>
              <w:bottom w:val="single" w:sz="4" w:space="0" w:color="auto"/>
              <w:right w:val="single" w:sz="4" w:space="0" w:color="auto"/>
            </w:tcBorders>
            <w:hideMark/>
          </w:tcPr>
          <w:p w14:paraId="224ED606" w14:textId="77777777" w:rsidR="00DE28CE" w:rsidRPr="00AA57EC" w:rsidRDefault="00DE28CE">
            <w:pPr>
              <w:rPr>
                <w:rFonts w:asciiTheme="minorHAnsi" w:hAnsiTheme="minorHAnsi" w:cstheme="minorHAnsi"/>
              </w:rPr>
            </w:pPr>
            <w:r w:rsidRPr="00AA57EC">
              <w:rPr>
                <w:rFonts w:asciiTheme="minorHAnsi" w:hAnsiTheme="minorHAnsi" w:cstheme="minorHAnsi"/>
              </w:rPr>
              <w:t>8. Żużle wielkopiecowe i inne metalurgiczne z nowego studzenia (do 5 lat)</w:t>
            </w:r>
          </w:p>
        </w:tc>
        <w:tc>
          <w:tcPr>
            <w:tcW w:w="3510" w:type="dxa"/>
            <w:tcBorders>
              <w:top w:val="single" w:sz="4" w:space="0" w:color="auto"/>
              <w:left w:val="single" w:sz="4" w:space="0" w:color="auto"/>
              <w:bottom w:val="single" w:sz="4" w:space="0" w:color="auto"/>
              <w:right w:val="single" w:sz="4" w:space="0" w:color="auto"/>
            </w:tcBorders>
          </w:tcPr>
          <w:p w14:paraId="457571CE" w14:textId="77777777" w:rsidR="00DE28CE" w:rsidRPr="00AA57EC" w:rsidRDefault="00DE28CE">
            <w:pPr>
              <w:rPr>
                <w:rFonts w:asciiTheme="minorHAnsi" w:hAnsiTheme="minorHAnsi" w:cstheme="minorHAnsi"/>
              </w:rPr>
            </w:pPr>
            <w:r w:rsidRPr="00AA57EC">
              <w:rPr>
                <w:rFonts w:asciiTheme="minorHAnsi" w:hAnsiTheme="minorHAnsi" w:cstheme="minorHAnsi"/>
              </w:rPr>
              <w:t>- o ograniczonej podatności na rozpad - łączne straty masy do 5%</w:t>
            </w:r>
          </w:p>
          <w:p w14:paraId="459BCC91" w14:textId="77777777" w:rsidR="00DE28CE" w:rsidRPr="00AA57EC" w:rsidRDefault="00DE28CE">
            <w:pPr>
              <w:rPr>
                <w:rFonts w:asciiTheme="minorHAnsi" w:hAnsiTheme="minorHAnsi" w:cstheme="minorHAnsi"/>
              </w:rPr>
            </w:pPr>
          </w:p>
        </w:tc>
      </w:tr>
      <w:tr w:rsidR="00DE28CE" w:rsidRPr="00AA57EC" w14:paraId="52FBF459" w14:textId="77777777" w:rsidTr="00A047DF">
        <w:trPr>
          <w:trHeight w:val="73"/>
        </w:trPr>
        <w:tc>
          <w:tcPr>
            <w:tcW w:w="1090" w:type="dxa"/>
            <w:vMerge/>
            <w:tcBorders>
              <w:left w:val="single" w:sz="4" w:space="0" w:color="auto"/>
              <w:right w:val="single" w:sz="4" w:space="0" w:color="auto"/>
            </w:tcBorders>
            <w:vAlign w:val="center"/>
            <w:hideMark/>
          </w:tcPr>
          <w:p w14:paraId="7C7488A5" w14:textId="77777777" w:rsidR="00DE28CE" w:rsidRPr="00AA57EC" w:rsidRDefault="00DE28CE">
            <w:pPr>
              <w:overflowPunct/>
              <w:autoSpaceDE/>
              <w:autoSpaceDN/>
              <w:adjustRightInd/>
              <w:jc w:val="left"/>
              <w:rPr>
                <w:rFonts w:asciiTheme="minorHAnsi" w:hAnsiTheme="minorHAnsi" w:cstheme="minorHAnsi"/>
              </w:rPr>
            </w:pPr>
          </w:p>
        </w:tc>
        <w:tc>
          <w:tcPr>
            <w:tcW w:w="2246" w:type="dxa"/>
            <w:vMerge/>
            <w:tcBorders>
              <w:left w:val="single" w:sz="4" w:space="0" w:color="auto"/>
              <w:right w:val="single" w:sz="4" w:space="0" w:color="auto"/>
            </w:tcBorders>
            <w:vAlign w:val="center"/>
            <w:hideMark/>
          </w:tcPr>
          <w:p w14:paraId="1DAB12A3" w14:textId="77777777" w:rsidR="00DE28CE" w:rsidRPr="00AA57EC" w:rsidRDefault="00DE28CE">
            <w:pPr>
              <w:overflowPunct/>
              <w:autoSpaceDE/>
              <w:autoSpaceDN/>
              <w:adjustRightInd/>
              <w:jc w:val="left"/>
              <w:rPr>
                <w:rFonts w:asciiTheme="minorHAnsi" w:hAnsiTheme="minorHAnsi" w:cstheme="minorHAnsi"/>
              </w:rPr>
            </w:pPr>
          </w:p>
        </w:tc>
        <w:tc>
          <w:tcPr>
            <w:tcW w:w="2949" w:type="dxa"/>
            <w:tcBorders>
              <w:top w:val="single" w:sz="4" w:space="0" w:color="auto"/>
              <w:left w:val="single" w:sz="4" w:space="0" w:color="auto"/>
              <w:bottom w:val="single" w:sz="4" w:space="0" w:color="auto"/>
              <w:right w:val="single" w:sz="4" w:space="0" w:color="auto"/>
            </w:tcBorders>
            <w:hideMark/>
          </w:tcPr>
          <w:p w14:paraId="46F6B1E2" w14:textId="77777777" w:rsidR="00DE28CE" w:rsidRPr="00AA57EC" w:rsidRDefault="00DE28CE">
            <w:pPr>
              <w:pStyle w:val="Tekstpodstawowy"/>
              <w:spacing w:line="240" w:lineRule="auto"/>
              <w:jc w:val="both"/>
              <w:rPr>
                <w:rFonts w:asciiTheme="minorHAnsi" w:hAnsiTheme="minorHAnsi" w:cstheme="minorHAnsi"/>
                <w:sz w:val="20"/>
                <w:szCs w:val="20"/>
              </w:rPr>
            </w:pPr>
            <w:r w:rsidRPr="00AA57EC">
              <w:rPr>
                <w:rFonts w:asciiTheme="minorHAnsi" w:hAnsiTheme="minorHAnsi" w:cstheme="minorHAnsi"/>
                <w:sz w:val="20"/>
                <w:szCs w:val="20"/>
              </w:rPr>
              <w:t>9.Iłołupki przywęglowe nieprzepalone</w:t>
            </w:r>
          </w:p>
        </w:tc>
        <w:tc>
          <w:tcPr>
            <w:tcW w:w="3510" w:type="dxa"/>
            <w:tcBorders>
              <w:top w:val="single" w:sz="4" w:space="0" w:color="auto"/>
              <w:left w:val="single" w:sz="4" w:space="0" w:color="auto"/>
              <w:bottom w:val="single" w:sz="4" w:space="0" w:color="auto"/>
              <w:right w:val="single" w:sz="4" w:space="0" w:color="auto"/>
            </w:tcBorders>
            <w:hideMark/>
          </w:tcPr>
          <w:p w14:paraId="01130D90" w14:textId="77777777" w:rsidR="00DE28CE" w:rsidRPr="00AA57EC" w:rsidRDefault="00DE28CE">
            <w:pPr>
              <w:rPr>
                <w:rFonts w:asciiTheme="minorHAnsi" w:hAnsiTheme="minorHAnsi" w:cstheme="minorHAnsi"/>
              </w:rPr>
            </w:pPr>
            <w:r w:rsidRPr="00AA57EC">
              <w:rPr>
                <w:rFonts w:asciiTheme="minorHAnsi" w:hAnsiTheme="minorHAnsi" w:cstheme="minorHAnsi"/>
              </w:rPr>
              <w:t>- gdy wolne przestrzenie zostaną wypełnione materiałem drobnoziarnistym</w:t>
            </w:r>
          </w:p>
        </w:tc>
      </w:tr>
      <w:tr w:rsidR="00DE28CE" w:rsidRPr="00AA57EC" w14:paraId="1AD59492" w14:textId="77777777" w:rsidTr="00A047DF">
        <w:trPr>
          <w:trHeight w:val="73"/>
        </w:trPr>
        <w:tc>
          <w:tcPr>
            <w:tcW w:w="1090" w:type="dxa"/>
            <w:vMerge/>
            <w:tcBorders>
              <w:left w:val="single" w:sz="4" w:space="0" w:color="auto"/>
              <w:right w:val="single" w:sz="4" w:space="0" w:color="auto"/>
            </w:tcBorders>
            <w:vAlign w:val="center"/>
            <w:hideMark/>
          </w:tcPr>
          <w:p w14:paraId="26D9EC87" w14:textId="77777777" w:rsidR="00DE28CE" w:rsidRPr="00AA57EC" w:rsidRDefault="00DE28CE">
            <w:pPr>
              <w:overflowPunct/>
              <w:autoSpaceDE/>
              <w:autoSpaceDN/>
              <w:adjustRightInd/>
              <w:jc w:val="left"/>
              <w:rPr>
                <w:rFonts w:asciiTheme="minorHAnsi" w:hAnsiTheme="minorHAnsi" w:cstheme="minorHAnsi"/>
              </w:rPr>
            </w:pPr>
          </w:p>
        </w:tc>
        <w:tc>
          <w:tcPr>
            <w:tcW w:w="2246" w:type="dxa"/>
            <w:vMerge/>
            <w:tcBorders>
              <w:left w:val="single" w:sz="4" w:space="0" w:color="auto"/>
              <w:right w:val="single" w:sz="4" w:space="0" w:color="auto"/>
            </w:tcBorders>
            <w:vAlign w:val="center"/>
            <w:hideMark/>
          </w:tcPr>
          <w:p w14:paraId="1153AF18" w14:textId="77777777" w:rsidR="00DE28CE" w:rsidRPr="00AA57EC" w:rsidRDefault="00DE28CE">
            <w:pPr>
              <w:overflowPunct/>
              <w:autoSpaceDE/>
              <w:autoSpaceDN/>
              <w:adjustRightInd/>
              <w:jc w:val="left"/>
              <w:rPr>
                <w:rFonts w:asciiTheme="minorHAnsi" w:hAnsiTheme="minorHAnsi" w:cstheme="minorHAnsi"/>
              </w:rPr>
            </w:pPr>
          </w:p>
        </w:tc>
        <w:tc>
          <w:tcPr>
            <w:tcW w:w="2949" w:type="dxa"/>
            <w:tcBorders>
              <w:top w:val="single" w:sz="4" w:space="0" w:color="auto"/>
              <w:left w:val="single" w:sz="4" w:space="0" w:color="auto"/>
              <w:bottom w:val="single" w:sz="4" w:space="0" w:color="auto"/>
              <w:right w:val="single" w:sz="4" w:space="0" w:color="auto"/>
            </w:tcBorders>
            <w:hideMark/>
          </w:tcPr>
          <w:p w14:paraId="5270DA19" w14:textId="77777777" w:rsidR="00DE28CE" w:rsidRPr="00AA57EC" w:rsidRDefault="00DE28CE">
            <w:pPr>
              <w:pBdr>
                <w:top w:val="single" w:sz="6" w:space="1" w:color="auto"/>
              </w:pBdr>
              <w:rPr>
                <w:rFonts w:asciiTheme="minorHAnsi" w:hAnsiTheme="minorHAnsi" w:cstheme="minorHAnsi"/>
              </w:rPr>
            </w:pPr>
            <w:r w:rsidRPr="00AA57EC">
              <w:rPr>
                <w:rFonts w:asciiTheme="minorHAnsi" w:hAnsiTheme="minorHAnsi" w:cstheme="minorHAnsi"/>
              </w:rPr>
              <w:t>10. Popioły lotne i mieszaniny popiołowo-żużlowe</w:t>
            </w:r>
          </w:p>
        </w:tc>
        <w:tc>
          <w:tcPr>
            <w:tcW w:w="3510" w:type="dxa"/>
            <w:tcBorders>
              <w:top w:val="single" w:sz="4" w:space="0" w:color="auto"/>
              <w:left w:val="single" w:sz="4" w:space="0" w:color="auto"/>
              <w:bottom w:val="single" w:sz="4" w:space="0" w:color="auto"/>
              <w:right w:val="single" w:sz="4" w:space="0" w:color="auto"/>
            </w:tcBorders>
            <w:hideMark/>
          </w:tcPr>
          <w:p w14:paraId="4E6BDBA1" w14:textId="77777777" w:rsidR="00DE28CE" w:rsidRPr="00AA57EC" w:rsidRDefault="00DE28CE">
            <w:pPr>
              <w:rPr>
                <w:rFonts w:asciiTheme="minorHAnsi" w:hAnsiTheme="minorHAnsi" w:cstheme="minorHAnsi"/>
              </w:rPr>
            </w:pPr>
            <w:r w:rsidRPr="00AA57EC">
              <w:rPr>
                <w:rFonts w:asciiTheme="minorHAnsi" w:hAnsiTheme="minorHAnsi" w:cstheme="minorHAnsi"/>
              </w:rPr>
              <w:t>- gdy zalegają w miejscach suchych lub są izolowane od wody</w:t>
            </w:r>
          </w:p>
        </w:tc>
      </w:tr>
      <w:tr w:rsidR="00DE28CE" w:rsidRPr="00AA57EC" w14:paraId="7BEB0104" w14:textId="77777777" w:rsidTr="00A047DF">
        <w:trPr>
          <w:trHeight w:val="73"/>
        </w:trPr>
        <w:tc>
          <w:tcPr>
            <w:tcW w:w="1090" w:type="dxa"/>
            <w:vMerge/>
            <w:tcBorders>
              <w:left w:val="single" w:sz="4" w:space="0" w:color="auto"/>
              <w:bottom w:val="single" w:sz="4" w:space="0" w:color="auto"/>
              <w:right w:val="single" w:sz="4" w:space="0" w:color="auto"/>
            </w:tcBorders>
            <w:vAlign w:val="center"/>
          </w:tcPr>
          <w:p w14:paraId="67C7EBCA" w14:textId="77777777" w:rsidR="00DE28CE" w:rsidRPr="00AA57EC" w:rsidRDefault="00DE28CE">
            <w:pPr>
              <w:overflowPunct/>
              <w:autoSpaceDE/>
              <w:autoSpaceDN/>
              <w:adjustRightInd/>
              <w:jc w:val="left"/>
              <w:rPr>
                <w:rFonts w:asciiTheme="minorHAnsi" w:hAnsiTheme="minorHAnsi" w:cstheme="minorHAnsi"/>
              </w:rPr>
            </w:pPr>
          </w:p>
        </w:tc>
        <w:tc>
          <w:tcPr>
            <w:tcW w:w="2246" w:type="dxa"/>
            <w:vMerge/>
            <w:tcBorders>
              <w:left w:val="single" w:sz="4" w:space="0" w:color="auto"/>
              <w:bottom w:val="single" w:sz="4" w:space="0" w:color="auto"/>
              <w:right w:val="single" w:sz="4" w:space="0" w:color="auto"/>
            </w:tcBorders>
            <w:vAlign w:val="center"/>
          </w:tcPr>
          <w:p w14:paraId="7BAD984B" w14:textId="77777777" w:rsidR="00DE28CE" w:rsidRPr="00AA57EC" w:rsidRDefault="00DE28CE">
            <w:pPr>
              <w:overflowPunct/>
              <w:autoSpaceDE/>
              <w:autoSpaceDN/>
              <w:adjustRightInd/>
              <w:jc w:val="left"/>
              <w:rPr>
                <w:rFonts w:asciiTheme="minorHAnsi" w:hAnsiTheme="minorHAnsi" w:cstheme="minorHAnsi"/>
              </w:rPr>
            </w:pPr>
          </w:p>
        </w:tc>
        <w:tc>
          <w:tcPr>
            <w:tcW w:w="2949" w:type="dxa"/>
            <w:tcBorders>
              <w:top w:val="single" w:sz="4" w:space="0" w:color="auto"/>
              <w:left w:val="single" w:sz="4" w:space="0" w:color="auto"/>
              <w:bottom w:val="single" w:sz="4" w:space="0" w:color="auto"/>
              <w:right w:val="single" w:sz="4" w:space="0" w:color="auto"/>
            </w:tcBorders>
          </w:tcPr>
          <w:p w14:paraId="4DB8755F" w14:textId="5CE49F7F" w:rsidR="00DE28CE" w:rsidRPr="00AA57EC" w:rsidRDefault="00DE28CE">
            <w:pPr>
              <w:pBdr>
                <w:top w:val="single" w:sz="6" w:space="1" w:color="auto"/>
              </w:pBdr>
              <w:rPr>
                <w:rFonts w:asciiTheme="minorHAnsi" w:hAnsiTheme="minorHAnsi" w:cstheme="minorHAnsi"/>
              </w:rPr>
            </w:pPr>
            <w:r>
              <w:rPr>
                <w:rFonts w:asciiTheme="minorHAnsi" w:hAnsiTheme="minorHAnsi" w:cstheme="minorHAnsi"/>
              </w:rPr>
              <w:t>11. Materuiały pochodzące z rozbiórki dolnych warstw konstrukcyjnych jezdni (podbudowy, warstwy wzmacniające)</w:t>
            </w:r>
          </w:p>
        </w:tc>
        <w:tc>
          <w:tcPr>
            <w:tcW w:w="3510" w:type="dxa"/>
            <w:tcBorders>
              <w:top w:val="single" w:sz="4" w:space="0" w:color="auto"/>
              <w:left w:val="single" w:sz="4" w:space="0" w:color="auto"/>
              <w:bottom w:val="single" w:sz="4" w:space="0" w:color="auto"/>
              <w:right w:val="single" w:sz="4" w:space="0" w:color="auto"/>
            </w:tcBorders>
          </w:tcPr>
          <w:p w14:paraId="387BAEBB" w14:textId="4965DC1D" w:rsidR="00DE28CE" w:rsidRPr="00AA57EC" w:rsidRDefault="00DE28CE">
            <w:pPr>
              <w:rPr>
                <w:rFonts w:asciiTheme="minorHAnsi" w:hAnsiTheme="minorHAnsi" w:cstheme="minorHAnsi"/>
              </w:rPr>
            </w:pPr>
            <w:r w:rsidRPr="00AA57EC">
              <w:rPr>
                <w:rFonts w:asciiTheme="minorHAnsi" w:hAnsiTheme="minorHAnsi" w:cstheme="minorHAnsi"/>
              </w:rPr>
              <w:t>- gdy będą wbudowane w miejsca suche lub zabezpieczone od wód gruntowych i powierzchniowych</w:t>
            </w:r>
            <w:r>
              <w:rPr>
                <w:rFonts w:asciiTheme="minorHAnsi" w:hAnsiTheme="minorHAnsi" w:cstheme="minorHAnsi"/>
              </w:rPr>
              <w:t xml:space="preserve"> oraz nie posiadają części organicznych więcej niż 2%, a największy wymiar ziarna nie przekracza 150 mm</w:t>
            </w:r>
          </w:p>
        </w:tc>
      </w:tr>
      <w:tr w:rsidR="00BA1D9A" w:rsidRPr="00AA57EC" w14:paraId="39541AE0" w14:textId="77777777" w:rsidTr="00AA57EC">
        <w:trPr>
          <w:trHeight w:val="73"/>
        </w:trPr>
        <w:tc>
          <w:tcPr>
            <w:tcW w:w="1090" w:type="dxa"/>
            <w:vMerge w:val="restart"/>
            <w:tcBorders>
              <w:top w:val="single" w:sz="4" w:space="0" w:color="auto"/>
              <w:left w:val="single" w:sz="4" w:space="0" w:color="auto"/>
              <w:bottom w:val="single" w:sz="4" w:space="0" w:color="auto"/>
              <w:right w:val="single" w:sz="4" w:space="0" w:color="auto"/>
            </w:tcBorders>
            <w:hideMark/>
          </w:tcPr>
          <w:p w14:paraId="0EB159CB" w14:textId="77777777" w:rsidR="00BA1D9A" w:rsidRPr="00AA57EC" w:rsidRDefault="00BA1D9A">
            <w:pPr>
              <w:rPr>
                <w:rFonts w:asciiTheme="minorHAnsi" w:hAnsiTheme="minorHAnsi" w:cstheme="minorHAnsi"/>
              </w:rPr>
            </w:pPr>
            <w:r w:rsidRPr="00AA57EC">
              <w:rPr>
                <w:rFonts w:asciiTheme="minorHAnsi" w:hAnsiTheme="minorHAnsi" w:cstheme="minorHAnsi"/>
              </w:rPr>
              <w:t>Na górne warstwy nasypów w strefie przemarza-nia</w:t>
            </w:r>
          </w:p>
        </w:tc>
        <w:tc>
          <w:tcPr>
            <w:tcW w:w="2246" w:type="dxa"/>
            <w:vMerge w:val="restart"/>
            <w:tcBorders>
              <w:top w:val="single" w:sz="4" w:space="0" w:color="auto"/>
              <w:left w:val="single" w:sz="4" w:space="0" w:color="auto"/>
              <w:bottom w:val="single" w:sz="4" w:space="0" w:color="auto"/>
              <w:right w:val="single" w:sz="4" w:space="0" w:color="auto"/>
            </w:tcBorders>
            <w:hideMark/>
          </w:tcPr>
          <w:p w14:paraId="44CE6F6D" w14:textId="77777777" w:rsidR="00BA1D9A" w:rsidRPr="00AA57EC" w:rsidRDefault="00BA1D9A">
            <w:pPr>
              <w:rPr>
                <w:rFonts w:asciiTheme="minorHAnsi" w:hAnsiTheme="minorHAnsi" w:cstheme="minorHAnsi"/>
              </w:rPr>
            </w:pPr>
            <w:r w:rsidRPr="00AA57EC">
              <w:rPr>
                <w:rFonts w:asciiTheme="minorHAnsi" w:hAnsiTheme="minorHAnsi" w:cstheme="minorHAnsi"/>
              </w:rPr>
              <w:t>1. Żwiry i pospółki</w:t>
            </w:r>
          </w:p>
          <w:p w14:paraId="3E9588A8" w14:textId="77777777" w:rsidR="00BA1D9A" w:rsidRPr="00AA57EC" w:rsidRDefault="00BA1D9A">
            <w:pPr>
              <w:rPr>
                <w:rFonts w:asciiTheme="minorHAnsi" w:hAnsiTheme="minorHAnsi" w:cstheme="minorHAnsi"/>
              </w:rPr>
            </w:pPr>
            <w:r w:rsidRPr="00AA57EC">
              <w:rPr>
                <w:rFonts w:asciiTheme="minorHAnsi" w:hAnsiTheme="minorHAnsi" w:cstheme="minorHAnsi"/>
              </w:rPr>
              <w:t>2. Piaski grubo i średnio-</w:t>
            </w:r>
          </w:p>
          <w:p w14:paraId="09A869A1" w14:textId="77777777" w:rsidR="00BA1D9A" w:rsidRPr="00AA57EC" w:rsidRDefault="00BA1D9A">
            <w:pPr>
              <w:rPr>
                <w:rFonts w:asciiTheme="minorHAnsi" w:hAnsiTheme="minorHAnsi" w:cstheme="minorHAnsi"/>
              </w:rPr>
            </w:pPr>
            <w:r w:rsidRPr="00AA57EC">
              <w:rPr>
                <w:rFonts w:asciiTheme="minorHAnsi" w:hAnsiTheme="minorHAnsi" w:cstheme="minorHAnsi"/>
              </w:rPr>
              <w:t>ziarniste</w:t>
            </w:r>
          </w:p>
          <w:p w14:paraId="1CE8FBBD" w14:textId="77777777" w:rsidR="00BA1D9A" w:rsidRPr="00AA57EC" w:rsidRDefault="00BA1D9A">
            <w:pPr>
              <w:rPr>
                <w:rFonts w:asciiTheme="minorHAnsi" w:hAnsiTheme="minorHAnsi" w:cstheme="minorHAnsi"/>
              </w:rPr>
            </w:pPr>
            <w:r w:rsidRPr="00AA57EC">
              <w:rPr>
                <w:rFonts w:asciiTheme="minorHAnsi" w:hAnsiTheme="minorHAnsi" w:cstheme="minorHAnsi"/>
              </w:rPr>
              <w:t>3. Iłołupki przywęglowe przepalone zawierające mniej niż 15% ziarn mniejszych od 0,075 mm</w:t>
            </w:r>
          </w:p>
          <w:p w14:paraId="310E489E" w14:textId="77777777" w:rsidR="00BA1D9A" w:rsidRPr="00AA57EC" w:rsidRDefault="00BA1D9A">
            <w:pPr>
              <w:rPr>
                <w:rFonts w:asciiTheme="minorHAnsi" w:hAnsiTheme="minorHAnsi" w:cstheme="minorHAnsi"/>
              </w:rPr>
            </w:pPr>
            <w:r w:rsidRPr="00AA57EC">
              <w:rPr>
                <w:rFonts w:asciiTheme="minorHAnsi" w:hAnsiTheme="minorHAnsi" w:cstheme="minorHAnsi"/>
              </w:rPr>
              <w:t>4. Wysiewki kamienne o uziarnieniu odpowiadającym pospółkom lub żwirom</w:t>
            </w:r>
          </w:p>
        </w:tc>
        <w:tc>
          <w:tcPr>
            <w:tcW w:w="2949" w:type="dxa"/>
            <w:tcBorders>
              <w:top w:val="single" w:sz="4" w:space="0" w:color="auto"/>
              <w:left w:val="single" w:sz="4" w:space="0" w:color="auto"/>
              <w:bottom w:val="single" w:sz="4" w:space="0" w:color="auto"/>
              <w:right w:val="single" w:sz="4" w:space="0" w:color="auto"/>
            </w:tcBorders>
            <w:hideMark/>
          </w:tcPr>
          <w:p w14:paraId="0C04AFC4" w14:textId="77777777" w:rsidR="00BA1D9A" w:rsidRPr="00AA57EC" w:rsidRDefault="00BA1D9A">
            <w:pPr>
              <w:rPr>
                <w:rFonts w:asciiTheme="minorHAnsi" w:hAnsiTheme="minorHAnsi" w:cstheme="minorHAnsi"/>
              </w:rPr>
            </w:pPr>
            <w:r w:rsidRPr="00AA57EC">
              <w:rPr>
                <w:rFonts w:asciiTheme="minorHAnsi" w:hAnsiTheme="minorHAnsi" w:cstheme="minorHAnsi"/>
              </w:rPr>
              <w:t>1. Żwiry i pospółki gliniaste</w:t>
            </w:r>
          </w:p>
          <w:p w14:paraId="2AD7A7EE" w14:textId="77777777" w:rsidR="00BA1D9A" w:rsidRPr="00AA57EC" w:rsidRDefault="00BA1D9A">
            <w:pPr>
              <w:rPr>
                <w:rFonts w:asciiTheme="minorHAnsi" w:hAnsiTheme="minorHAnsi" w:cstheme="minorHAnsi"/>
              </w:rPr>
            </w:pPr>
            <w:r w:rsidRPr="00AA57EC">
              <w:rPr>
                <w:rFonts w:asciiTheme="minorHAnsi" w:hAnsiTheme="minorHAnsi" w:cstheme="minorHAnsi"/>
              </w:rPr>
              <w:t>2. Piaski pylaste i gliniaste</w:t>
            </w:r>
          </w:p>
          <w:p w14:paraId="2E521201" w14:textId="77777777" w:rsidR="00BA1D9A" w:rsidRPr="00AA57EC" w:rsidRDefault="00BA1D9A">
            <w:pPr>
              <w:rPr>
                <w:rFonts w:asciiTheme="minorHAnsi" w:hAnsiTheme="minorHAnsi" w:cstheme="minorHAnsi"/>
              </w:rPr>
            </w:pPr>
            <w:r w:rsidRPr="00AA57EC">
              <w:rPr>
                <w:rFonts w:asciiTheme="minorHAnsi" w:hAnsiTheme="minorHAnsi" w:cstheme="minorHAnsi"/>
              </w:rPr>
              <w:t>3. Pyły piaszczyste i pyły</w:t>
            </w:r>
          </w:p>
          <w:p w14:paraId="1D898137" w14:textId="77777777" w:rsidR="00BA1D9A" w:rsidRPr="00AA57EC" w:rsidRDefault="00BA1D9A">
            <w:pPr>
              <w:rPr>
                <w:rFonts w:asciiTheme="minorHAnsi" w:hAnsiTheme="minorHAnsi" w:cstheme="minorHAnsi"/>
              </w:rPr>
            </w:pPr>
            <w:r w:rsidRPr="00AA57EC">
              <w:rPr>
                <w:rFonts w:asciiTheme="minorHAnsi" w:hAnsiTheme="minorHAnsi" w:cstheme="minorHAnsi"/>
              </w:rPr>
              <w:t>4. Gliny o granicy płynności mniejszej niż 35%</w:t>
            </w:r>
          </w:p>
          <w:p w14:paraId="3F2ECE15" w14:textId="77777777" w:rsidR="00BA1D9A" w:rsidRPr="00AA57EC" w:rsidRDefault="00BA1D9A">
            <w:pPr>
              <w:rPr>
                <w:rFonts w:asciiTheme="minorHAnsi" w:hAnsiTheme="minorHAnsi" w:cstheme="minorHAnsi"/>
              </w:rPr>
            </w:pPr>
            <w:r w:rsidRPr="00AA57EC">
              <w:rPr>
                <w:rFonts w:asciiTheme="minorHAnsi" w:hAnsiTheme="minorHAnsi" w:cstheme="minorHAnsi"/>
              </w:rPr>
              <w:t>5. Mieszaniny popiołowo-żużlowe z węgla kamiennego</w:t>
            </w:r>
          </w:p>
          <w:p w14:paraId="01A4D0D4" w14:textId="77777777" w:rsidR="00BA1D9A" w:rsidRPr="00AA57EC" w:rsidRDefault="00BA1D9A">
            <w:pPr>
              <w:rPr>
                <w:rFonts w:asciiTheme="minorHAnsi" w:hAnsiTheme="minorHAnsi" w:cstheme="minorHAnsi"/>
              </w:rPr>
            </w:pPr>
            <w:r w:rsidRPr="00AA57EC">
              <w:rPr>
                <w:rFonts w:asciiTheme="minorHAnsi" w:hAnsiTheme="minorHAnsi" w:cstheme="minorHAnsi"/>
              </w:rPr>
              <w:t xml:space="preserve">6. Wysiewki kamienne gliniaste o zawartości frakcji iłowej </w:t>
            </w:r>
            <w:r w:rsidRPr="00AA57EC">
              <w:rPr>
                <w:rFonts w:asciiTheme="minorHAnsi" w:hAnsiTheme="minorHAnsi" w:cstheme="minorHAnsi"/>
              </w:rPr>
              <w:sym w:font="Symbol" w:char="F03E"/>
            </w:r>
            <w:r w:rsidRPr="00AA57EC">
              <w:rPr>
                <w:rFonts w:asciiTheme="minorHAnsi" w:hAnsiTheme="minorHAnsi" w:cstheme="minorHAnsi"/>
              </w:rPr>
              <w:t>2%</w:t>
            </w:r>
          </w:p>
        </w:tc>
        <w:tc>
          <w:tcPr>
            <w:tcW w:w="3510" w:type="dxa"/>
            <w:tcBorders>
              <w:top w:val="single" w:sz="4" w:space="0" w:color="auto"/>
              <w:left w:val="single" w:sz="4" w:space="0" w:color="auto"/>
              <w:bottom w:val="single" w:sz="4" w:space="0" w:color="auto"/>
              <w:right w:val="single" w:sz="4" w:space="0" w:color="auto"/>
            </w:tcBorders>
            <w:hideMark/>
          </w:tcPr>
          <w:p w14:paraId="2AEBF649" w14:textId="77777777" w:rsidR="00BA1D9A" w:rsidRPr="00AA57EC" w:rsidRDefault="00BA1D9A">
            <w:pPr>
              <w:rPr>
                <w:rFonts w:asciiTheme="minorHAnsi" w:hAnsiTheme="minorHAnsi" w:cstheme="minorHAnsi"/>
              </w:rPr>
            </w:pPr>
            <w:r w:rsidRPr="00AA57EC">
              <w:rPr>
                <w:rFonts w:asciiTheme="minorHAnsi" w:hAnsiTheme="minorHAnsi" w:cstheme="minorHAnsi"/>
              </w:rPr>
              <w:t>- pod warunkiem ulepszenia tych gruntów spoiwami, takimi jak: cement, wapno, aktywne popioły itp</w:t>
            </w:r>
          </w:p>
        </w:tc>
      </w:tr>
      <w:tr w:rsidR="00BA1D9A" w:rsidRPr="00AA57EC" w14:paraId="5854D20E" w14:textId="77777777" w:rsidTr="00AA57EC">
        <w:trPr>
          <w:trHeight w:val="73"/>
        </w:trPr>
        <w:tc>
          <w:tcPr>
            <w:tcW w:w="1090" w:type="dxa"/>
            <w:vMerge/>
            <w:tcBorders>
              <w:top w:val="single" w:sz="4" w:space="0" w:color="auto"/>
              <w:left w:val="single" w:sz="4" w:space="0" w:color="auto"/>
              <w:bottom w:val="single" w:sz="4" w:space="0" w:color="auto"/>
              <w:right w:val="single" w:sz="4" w:space="0" w:color="auto"/>
            </w:tcBorders>
            <w:vAlign w:val="center"/>
            <w:hideMark/>
          </w:tcPr>
          <w:p w14:paraId="6A97C5DF" w14:textId="77777777" w:rsidR="00BA1D9A" w:rsidRPr="00AA57EC" w:rsidRDefault="00BA1D9A">
            <w:pPr>
              <w:overflowPunct/>
              <w:autoSpaceDE/>
              <w:autoSpaceDN/>
              <w:adjustRightInd/>
              <w:jc w:val="left"/>
              <w:rPr>
                <w:rFonts w:asciiTheme="minorHAnsi" w:hAnsiTheme="minorHAnsi" w:cstheme="minorHAnsi"/>
              </w:rPr>
            </w:pPr>
          </w:p>
        </w:tc>
        <w:tc>
          <w:tcPr>
            <w:tcW w:w="2246" w:type="dxa"/>
            <w:vMerge/>
            <w:tcBorders>
              <w:top w:val="single" w:sz="4" w:space="0" w:color="auto"/>
              <w:left w:val="single" w:sz="4" w:space="0" w:color="auto"/>
              <w:bottom w:val="single" w:sz="4" w:space="0" w:color="auto"/>
              <w:right w:val="single" w:sz="4" w:space="0" w:color="auto"/>
            </w:tcBorders>
            <w:vAlign w:val="center"/>
            <w:hideMark/>
          </w:tcPr>
          <w:p w14:paraId="5B8EF0E6" w14:textId="77777777" w:rsidR="00BA1D9A" w:rsidRPr="00AA57EC" w:rsidRDefault="00BA1D9A">
            <w:pPr>
              <w:overflowPunct/>
              <w:autoSpaceDE/>
              <w:autoSpaceDN/>
              <w:adjustRightInd/>
              <w:jc w:val="left"/>
              <w:rPr>
                <w:rFonts w:asciiTheme="minorHAnsi" w:hAnsiTheme="minorHAnsi" w:cstheme="minorHAnsi"/>
              </w:rPr>
            </w:pPr>
          </w:p>
        </w:tc>
        <w:tc>
          <w:tcPr>
            <w:tcW w:w="2949" w:type="dxa"/>
            <w:tcBorders>
              <w:top w:val="single" w:sz="4" w:space="0" w:color="auto"/>
              <w:left w:val="single" w:sz="4" w:space="0" w:color="auto"/>
              <w:bottom w:val="single" w:sz="4" w:space="0" w:color="auto"/>
              <w:right w:val="single" w:sz="4" w:space="0" w:color="auto"/>
            </w:tcBorders>
            <w:hideMark/>
          </w:tcPr>
          <w:p w14:paraId="15BC8F2F" w14:textId="77777777" w:rsidR="00BA1D9A" w:rsidRPr="00AA57EC" w:rsidRDefault="00BA1D9A">
            <w:pPr>
              <w:rPr>
                <w:rFonts w:asciiTheme="minorHAnsi" w:hAnsiTheme="minorHAnsi" w:cstheme="minorHAnsi"/>
              </w:rPr>
            </w:pPr>
            <w:r w:rsidRPr="00AA57EC">
              <w:rPr>
                <w:rFonts w:asciiTheme="minorHAnsi" w:hAnsiTheme="minorHAnsi" w:cstheme="minorHAnsi"/>
              </w:rPr>
              <w:t>7. Żużle wielkopiecowe i inne metalurgiczne</w:t>
            </w:r>
          </w:p>
        </w:tc>
        <w:tc>
          <w:tcPr>
            <w:tcW w:w="3510" w:type="dxa"/>
            <w:tcBorders>
              <w:top w:val="single" w:sz="4" w:space="0" w:color="auto"/>
              <w:left w:val="single" w:sz="4" w:space="0" w:color="auto"/>
              <w:bottom w:val="single" w:sz="4" w:space="0" w:color="auto"/>
              <w:right w:val="single" w:sz="4" w:space="0" w:color="auto"/>
            </w:tcBorders>
            <w:hideMark/>
          </w:tcPr>
          <w:p w14:paraId="7DCDB990" w14:textId="77777777" w:rsidR="00BA1D9A" w:rsidRPr="00AA57EC" w:rsidRDefault="00BA1D9A">
            <w:pPr>
              <w:pBdr>
                <w:top w:val="single" w:sz="6" w:space="1" w:color="auto"/>
              </w:pBdr>
              <w:rPr>
                <w:rFonts w:asciiTheme="minorHAnsi" w:hAnsiTheme="minorHAnsi" w:cstheme="minorHAnsi"/>
              </w:rPr>
            </w:pPr>
            <w:r w:rsidRPr="00AA57EC">
              <w:rPr>
                <w:rFonts w:asciiTheme="minorHAnsi" w:hAnsiTheme="minorHAnsi" w:cstheme="minorHAnsi"/>
              </w:rPr>
              <w:t>- drobnoziarniste i  nierozpadowe: straty masy do 1%</w:t>
            </w:r>
          </w:p>
        </w:tc>
      </w:tr>
      <w:tr w:rsidR="00BA1D9A" w:rsidRPr="00AA57EC" w14:paraId="27BA1710" w14:textId="77777777" w:rsidTr="00AA57EC">
        <w:trPr>
          <w:trHeight w:val="73"/>
        </w:trPr>
        <w:tc>
          <w:tcPr>
            <w:tcW w:w="1090" w:type="dxa"/>
            <w:vMerge/>
            <w:tcBorders>
              <w:top w:val="single" w:sz="4" w:space="0" w:color="auto"/>
              <w:left w:val="single" w:sz="4" w:space="0" w:color="auto"/>
              <w:bottom w:val="single" w:sz="4" w:space="0" w:color="auto"/>
              <w:right w:val="single" w:sz="4" w:space="0" w:color="auto"/>
            </w:tcBorders>
            <w:vAlign w:val="center"/>
            <w:hideMark/>
          </w:tcPr>
          <w:p w14:paraId="490B4FF5" w14:textId="77777777" w:rsidR="00BA1D9A" w:rsidRPr="00AA57EC" w:rsidRDefault="00BA1D9A">
            <w:pPr>
              <w:overflowPunct/>
              <w:autoSpaceDE/>
              <w:autoSpaceDN/>
              <w:adjustRightInd/>
              <w:jc w:val="left"/>
              <w:rPr>
                <w:rFonts w:asciiTheme="minorHAnsi" w:hAnsiTheme="minorHAnsi" w:cstheme="minorHAnsi"/>
              </w:rPr>
            </w:pPr>
          </w:p>
        </w:tc>
        <w:tc>
          <w:tcPr>
            <w:tcW w:w="2246" w:type="dxa"/>
            <w:vMerge/>
            <w:tcBorders>
              <w:top w:val="single" w:sz="4" w:space="0" w:color="auto"/>
              <w:left w:val="single" w:sz="4" w:space="0" w:color="auto"/>
              <w:bottom w:val="single" w:sz="4" w:space="0" w:color="auto"/>
              <w:right w:val="single" w:sz="4" w:space="0" w:color="auto"/>
            </w:tcBorders>
            <w:vAlign w:val="center"/>
            <w:hideMark/>
          </w:tcPr>
          <w:p w14:paraId="520740EC" w14:textId="77777777" w:rsidR="00BA1D9A" w:rsidRPr="00AA57EC" w:rsidRDefault="00BA1D9A">
            <w:pPr>
              <w:overflowPunct/>
              <w:autoSpaceDE/>
              <w:autoSpaceDN/>
              <w:adjustRightInd/>
              <w:jc w:val="left"/>
              <w:rPr>
                <w:rFonts w:asciiTheme="minorHAnsi" w:hAnsiTheme="minorHAnsi" w:cstheme="minorHAnsi"/>
              </w:rPr>
            </w:pPr>
          </w:p>
        </w:tc>
        <w:tc>
          <w:tcPr>
            <w:tcW w:w="2949" w:type="dxa"/>
            <w:tcBorders>
              <w:top w:val="single" w:sz="4" w:space="0" w:color="auto"/>
              <w:left w:val="single" w:sz="4" w:space="0" w:color="auto"/>
              <w:bottom w:val="single" w:sz="4" w:space="0" w:color="auto"/>
              <w:right w:val="single" w:sz="4" w:space="0" w:color="auto"/>
            </w:tcBorders>
            <w:hideMark/>
          </w:tcPr>
          <w:p w14:paraId="7B526C2E" w14:textId="77777777" w:rsidR="00BA1D9A" w:rsidRPr="00AA57EC" w:rsidRDefault="00BA1D9A">
            <w:pPr>
              <w:rPr>
                <w:rFonts w:asciiTheme="minorHAnsi" w:hAnsiTheme="minorHAnsi" w:cstheme="minorHAnsi"/>
              </w:rPr>
            </w:pPr>
            <w:r w:rsidRPr="00AA57EC">
              <w:rPr>
                <w:rFonts w:asciiTheme="minorHAnsi" w:hAnsiTheme="minorHAnsi" w:cstheme="minorHAnsi"/>
              </w:rPr>
              <w:t>8. Piaski drobnoziarniste</w:t>
            </w:r>
          </w:p>
        </w:tc>
        <w:tc>
          <w:tcPr>
            <w:tcW w:w="3510" w:type="dxa"/>
            <w:tcBorders>
              <w:top w:val="single" w:sz="4" w:space="0" w:color="auto"/>
              <w:left w:val="single" w:sz="4" w:space="0" w:color="auto"/>
              <w:bottom w:val="single" w:sz="4" w:space="0" w:color="auto"/>
              <w:right w:val="single" w:sz="4" w:space="0" w:color="auto"/>
            </w:tcBorders>
            <w:hideMark/>
          </w:tcPr>
          <w:p w14:paraId="240D27BC" w14:textId="77777777" w:rsidR="00BA1D9A" w:rsidRPr="00AA57EC" w:rsidRDefault="00BA1D9A">
            <w:pPr>
              <w:rPr>
                <w:rFonts w:asciiTheme="minorHAnsi" w:hAnsiTheme="minorHAnsi" w:cstheme="minorHAnsi"/>
              </w:rPr>
            </w:pPr>
            <w:r w:rsidRPr="00AA57EC">
              <w:rPr>
                <w:rFonts w:asciiTheme="minorHAnsi" w:hAnsiTheme="minorHAnsi" w:cstheme="minorHAnsi"/>
              </w:rPr>
              <w:t>- o wskaźniku nośności w</w:t>
            </w:r>
            <w:r w:rsidRPr="00AA57EC">
              <w:rPr>
                <w:rFonts w:asciiTheme="minorHAnsi" w:hAnsiTheme="minorHAnsi" w:cstheme="minorHAnsi"/>
                <w:vertAlign w:val="subscript"/>
              </w:rPr>
              <w:t>noś</w:t>
            </w:r>
            <w:r w:rsidRPr="00AA57EC">
              <w:rPr>
                <w:rFonts w:asciiTheme="minorHAnsi" w:hAnsiTheme="minorHAnsi" w:cstheme="minorHAnsi"/>
              </w:rPr>
              <w:sym w:font="Symbol" w:char="F0B3"/>
            </w:r>
            <w:r w:rsidRPr="00AA57EC">
              <w:rPr>
                <w:rFonts w:asciiTheme="minorHAnsi" w:hAnsiTheme="minorHAnsi" w:cstheme="minorHAnsi"/>
              </w:rPr>
              <w:t>10</w:t>
            </w:r>
          </w:p>
        </w:tc>
      </w:tr>
      <w:tr w:rsidR="00BA1D9A" w:rsidRPr="00AA57EC" w14:paraId="1408A5BA" w14:textId="77777777" w:rsidTr="00AA57EC">
        <w:trPr>
          <w:trHeight w:val="1361"/>
        </w:trPr>
        <w:tc>
          <w:tcPr>
            <w:tcW w:w="1090" w:type="dxa"/>
            <w:tcBorders>
              <w:top w:val="single" w:sz="4" w:space="0" w:color="auto"/>
              <w:left w:val="single" w:sz="4" w:space="0" w:color="auto"/>
              <w:bottom w:val="single" w:sz="4" w:space="0" w:color="auto"/>
              <w:right w:val="single" w:sz="4" w:space="0" w:color="auto"/>
            </w:tcBorders>
            <w:hideMark/>
          </w:tcPr>
          <w:p w14:paraId="29138A65" w14:textId="77777777" w:rsidR="00BA1D9A" w:rsidRPr="00AA57EC" w:rsidRDefault="00BA1D9A">
            <w:pPr>
              <w:rPr>
                <w:rFonts w:asciiTheme="minorHAnsi" w:hAnsiTheme="minorHAnsi" w:cstheme="minorHAnsi"/>
              </w:rPr>
            </w:pPr>
            <w:r w:rsidRPr="00AA57EC">
              <w:rPr>
                <w:rFonts w:asciiTheme="minorHAnsi" w:hAnsiTheme="minorHAnsi" w:cstheme="minorHAnsi"/>
              </w:rPr>
              <w:t>W wykopach i miejscach zerowych do głębokości przemarzania</w:t>
            </w:r>
          </w:p>
        </w:tc>
        <w:tc>
          <w:tcPr>
            <w:tcW w:w="2246" w:type="dxa"/>
            <w:tcBorders>
              <w:top w:val="single" w:sz="4" w:space="0" w:color="auto"/>
              <w:left w:val="single" w:sz="4" w:space="0" w:color="auto"/>
              <w:bottom w:val="single" w:sz="4" w:space="0" w:color="auto"/>
              <w:right w:val="single" w:sz="4" w:space="0" w:color="auto"/>
            </w:tcBorders>
          </w:tcPr>
          <w:p w14:paraId="6DB10667" w14:textId="77777777" w:rsidR="00BA1D9A" w:rsidRPr="00AA57EC" w:rsidRDefault="00BA1D9A">
            <w:pPr>
              <w:rPr>
                <w:rFonts w:asciiTheme="minorHAnsi" w:hAnsiTheme="minorHAnsi" w:cstheme="minorHAnsi"/>
              </w:rPr>
            </w:pPr>
          </w:p>
          <w:p w14:paraId="3B4F82B9" w14:textId="77777777" w:rsidR="00BA1D9A" w:rsidRPr="00AA57EC" w:rsidRDefault="00BA1D9A">
            <w:pPr>
              <w:rPr>
                <w:rFonts w:asciiTheme="minorHAnsi" w:hAnsiTheme="minorHAnsi" w:cstheme="minorHAnsi"/>
              </w:rPr>
            </w:pPr>
            <w:r w:rsidRPr="00AA57EC">
              <w:rPr>
                <w:rFonts w:asciiTheme="minorHAnsi" w:hAnsiTheme="minorHAnsi" w:cstheme="minorHAnsi"/>
              </w:rPr>
              <w:t>Grunty niewysadzinowe</w:t>
            </w:r>
          </w:p>
        </w:tc>
        <w:tc>
          <w:tcPr>
            <w:tcW w:w="2949" w:type="dxa"/>
            <w:tcBorders>
              <w:top w:val="single" w:sz="4" w:space="0" w:color="auto"/>
              <w:left w:val="single" w:sz="4" w:space="0" w:color="auto"/>
              <w:bottom w:val="single" w:sz="4" w:space="0" w:color="auto"/>
              <w:right w:val="single" w:sz="4" w:space="0" w:color="auto"/>
            </w:tcBorders>
          </w:tcPr>
          <w:p w14:paraId="7456BCDC" w14:textId="77777777" w:rsidR="00BA1D9A" w:rsidRPr="00AA57EC" w:rsidRDefault="00BA1D9A">
            <w:pPr>
              <w:rPr>
                <w:rFonts w:asciiTheme="minorHAnsi" w:hAnsiTheme="minorHAnsi" w:cstheme="minorHAnsi"/>
              </w:rPr>
            </w:pPr>
          </w:p>
          <w:p w14:paraId="3E9832F7" w14:textId="77777777" w:rsidR="00BA1D9A" w:rsidRPr="00AA57EC" w:rsidRDefault="00BA1D9A">
            <w:pPr>
              <w:rPr>
                <w:rFonts w:asciiTheme="minorHAnsi" w:hAnsiTheme="minorHAnsi" w:cstheme="minorHAnsi"/>
              </w:rPr>
            </w:pPr>
            <w:r w:rsidRPr="00AA57EC">
              <w:rPr>
                <w:rFonts w:asciiTheme="minorHAnsi" w:hAnsiTheme="minorHAnsi" w:cstheme="minorHAnsi"/>
              </w:rPr>
              <w:t>Grunty wątpliwe i wysadzinowe</w:t>
            </w:r>
          </w:p>
        </w:tc>
        <w:tc>
          <w:tcPr>
            <w:tcW w:w="3510" w:type="dxa"/>
            <w:tcBorders>
              <w:top w:val="single" w:sz="4" w:space="0" w:color="auto"/>
              <w:left w:val="single" w:sz="4" w:space="0" w:color="auto"/>
              <w:bottom w:val="single" w:sz="4" w:space="0" w:color="auto"/>
              <w:right w:val="single" w:sz="4" w:space="0" w:color="auto"/>
            </w:tcBorders>
          </w:tcPr>
          <w:p w14:paraId="6FE80F0F" w14:textId="77777777" w:rsidR="00BA1D9A" w:rsidRPr="00AA57EC" w:rsidRDefault="00BA1D9A">
            <w:pPr>
              <w:rPr>
                <w:rFonts w:asciiTheme="minorHAnsi" w:hAnsiTheme="minorHAnsi" w:cstheme="minorHAnsi"/>
              </w:rPr>
            </w:pPr>
          </w:p>
          <w:p w14:paraId="3496B0C8" w14:textId="77777777" w:rsidR="00BA1D9A" w:rsidRPr="00AA57EC" w:rsidRDefault="00BA1D9A">
            <w:pPr>
              <w:rPr>
                <w:rFonts w:asciiTheme="minorHAnsi" w:hAnsiTheme="minorHAnsi" w:cstheme="minorHAnsi"/>
              </w:rPr>
            </w:pPr>
            <w:r w:rsidRPr="00AA57EC">
              <w:rPr>
                <w:rFonts w:asciiTheme="minorHAnsi" w:hAnsiTheme="minorHAnsi" w:cstheme="minorHAnsi"/>
              </w:rPr>
              <w:t>- gdy są ulepszane spoiwami (cementem, wapnem, aktywnymi popiołami itp.)</w:t>
            </w:r>
          </w:p>
        </w:tc>
      </w:tr>
    </w:tbl>
    <w:p w14:paraId="2ACA8579" w14:textId="77777777" w:rsidR="00BA1D9A" w:rsidRPr="00AA57EC" w:rsidRDefault="00BA1D9A" w:rsidP="00BA1D9A">
      <w:pPr>
        <w:rPr>
          <w:rFonts w:asciiTheme="minorHAnsi" w:hAnsiTheme="minorHAnsi" w:cstheme="minorHAnsi"/>
        </w:rPr>
      </w:pPr>
    </w:p>
    <w:p w14:paraId="366F2F93" w14:textId="77777777" w:rsidR="00BA1D9A" w:rsidRPr="00AA57EC" w:rsidRDefault="00BA1D9A" w:rsidP="00BA1D9A">
      <w:pPr>
        <w:rPr>
          <w:rFonts w:asciiTheme="minorHAnsi" w:hAnsiTheme="minorHAnsi" w:cstheme="minorHAnsi"/>
        </w:rPr>
      </w:pPr>
      <w:r w:rsidRPr="00AA57EC">
        <w:rPr>
          <w:rFonts w:asciiTheme="minorHAnsi" w:hAnsiTheme="minorHAnsi" w:cstheme="minorHAnsi"/>
        </w:rPr>
        <w:t>Wymagania w zakresie przydatności iłów stosowanych do nasypów:</w:t>
      </w:r>
    </w:p>
    <w:p w14:paraId="6280F237" w14:textId="77777777" w:rsidR="00BA1D9A" w:rsidRPr="00AA57EC" w:rsidRDefault="00BA1D9A" w:rsidP="00BA1D9A">
      <w:pPr>
        <w:pStyle w:val="Teksttreci0"/>
        <w:shd w:val="clear" w:color="auto" w:fill="auto"/>
        <w:spacing w:before="0" w:after="240" w:line="240" w:lineRule="auto"/>
        <w:ind w:left="20" w:right="20" w:firstLine="0"/>
        <w:jc w:val="both"/>
        <w:rPr>
          <w:rFonts w:asciiTheme="minorHAnsi" w:hAnsiTheme="minorHAnsi" w:cstheme="minorHAnsi"/>
          <w:sz w:val="20"/>
          <w:szCs w:val="20"/>
        </w:rPr>
      </w:pPr>
      <w:r w:rsidRPr="00AA57EC">
        <w:rPr>
          <w:rFonts w:asciiTheme="minorHAnsi" w:hAnsiTheme="minorHAnsi" w:cstheme="minorHAnsi"/>
          <w:sz w:val="20"/>
          <w:szCs w:val="20"/>
        </w:rPr>
        <w:t xml:space="preserve">Do górnych i dolnych warstw nasypów należy stosować grunty  spełniające wymagania. PN-S-02205:1998. </w:t>
      </w:r>
    </w:p>
    <w:p w14:paraId="07D923B1" w14:textId="77777777" w:rsidR="00BA1D9A" w:rsidRPr="00AA57EC" w:rsidRDefault="00BA1D9A" w:rsidP="00BA1D9A">
      <w:pPr>
        <w:pStyle w:val="Teksttreci0"/>
        <w:shd w:val="clear" w:color="auto" w:fill="auto"/>
        <w:spacing w:before="0" w:after="240" w:line="240" w:lineRule="auto"/>
        <w:ind w:left="20" w:right="20" w:firstLine="0"/>
        <w:jc w:val="both"/>
        <w:rPr>
          <w:rFonts w:asciiTheme="minorHAnsi" w:hAnsiTheme="minorHAnsi" w:cstheme="minorHAnsi"/>
          <w:sz w:val="20"/>
          <w:szCs w:val="20"/>
        </w:rPr>
      </w:pPr>
      <w:r w:rsidRPr="00AA57EC">
        <w:rPr>
          <w:rFonts w:asciiTheme="minorHAnsi" w:hAnsiTheme="minorHAnsi" w:cstheme="minorHAnsi"/>
          <w:sz w:val="20"/>
          <w:szCs w:val="20"/>
        </w:rPr>
        <w:t>Nie należy wykorzystywać do budowy górnych i dolnych warstw nasypów iłów i innych gruntów spoistych o granicy płynności &gt; 60% oraz gruntów organicznych (o zawartości części organicznych I</w:t>
      </w:r>
      <w:r w:rsidRPr="00AA57EC">
        <w:rPr>
          <w:rFonts w:asciiTheme="minorHAnsi" w:hAnsiTheme="minorHAnsi" w:cstheme="minorHAnsi"/>
          <w:sz w:val="20"/>
          <w:szCs w:val="20"/>
          <w:vertAlign w:val="subscript"/>
        </w:rPr>
        <w:t>om</w:t>
      </w:r>
      <w:r w:rsidRPr="00AA57EC">
        <w:rPr>
          <w:rFonts w:asciiTheme="minorHAnsi" w:hAnsiTheme="minorHAnsi" w:cstheme="minorHAnsi"/>
          <w:sz w:val="20"/>
          <w:szCs w:val="20"/>
        </w:rPr>
        <w:t>&gt;2%), za wyjątkiem piasków próchnicznych o I</w:t>
      </w:r>
      <w:r w:rsidRPr="00AA57EC">
        <w:rPr>
          <w:rFonts w:asciiTheme="minorHAnsi" w:hAnsiTheme="minorHAnsi" w:cstheme="minorHAnsi"/>
          <w:sz w:val="20"/>
          <w:szCs w:val="20"/>
          <w:vertAlign w:val="subscript"/>
        </w:rPr>
        <w:t>om</w:t>
      </w:r>
      <w:r w:rsidRPr="00AA57EC">
        <w:rPr>
          <w:rFonts w:asciiTheme="minorHAnsi" w:hAnsiTheme="minorHAnsi" w:cstheme="minorHAnsi"/>
          <w:sz w:val="20"/>
          <w:szCs w:val="20"/>
        </w:rPr>
        <w:t xml:space="preserve"> ≤ 5%,.</w:t>
      </w:r>
    </w:p>
    <w:p w14:paraId="303AEC82" w14:textId="77777777" w:rsidR="00BA1D9A" w:rsidRPr="00AA57EC" w:rsidRDefault="00BA1D9A" w:rsidP="00BA1D9A">
      <w:pPr>
        <w:pStyle w:val="Teksttreci0"/>
        <w:shd w:val="clear" w:color="auto" w:fill="auto"/>
        <w:spacing w:before="0" w:after="240" w:line="240" w:lineRule="auto"/>
        <w:ind w:left="20" w:right="20" w:firstLine="0"/>
        <w:jc w:val="both"/>
        <w:rPr>
          <w:rFonts w:asciiTheme="minorHAnsi" w:hAnsiTheme="minorHAnsi" w:cstheme="minorHAnsi"/>
          <w:sz w:val="20"/>
          <w:szCs w:val="20"/>
        </w:rPr>
      </w:pPr>
      <w:r w:rsidRPr="00AA57EC">
        <w:rPr>
          <w:rFonts w:asciiTheme="minorHAnsi" w:hAnsiTheme="minorHAnsi" w:cstheme="minorHAnsi"/>
          <w:sz w:val="20"/>
          <w:szCs w:val="20"/>
        </w:rPr>
        <w:t>Nie należy również wykorzystywać gruntów trudno zagęszczalnych, których maksymalna gęstość objętościowa szkieletu jest mniejsza niż 1,6 g/cm</w:t>
      </w:r>
      <w:r w:rsidRPr="00AA57EC">
        <w:rPr>
          <w:rFonts w:asciiTheme="minorHAnsi" w:hAnsiTheme="minorHAnsi" w:cstheme="minorHAnsi"/>
          <w:sz w:val="20"/>
          <w:szCs w:val="20"/>
          <w:vertAlign w:val="superscript"/>
        </w:rPr>
        <w:t>3</w:t>
      </w:r>
      <w:r w:rsidRPr="00AA57EC">
        <w:rPr>
          <w:rFonts w:asciiTheme="minorHAnsi" w:hAnsiTheme="minorHAnsi" w:cstheme="minorHAnsi"/>
          <w:sz w:val="20"/>
          <w:szCs w:val="20"/>
        </w:rPr>
        <w:t xml:space="preserve"> (nie dotyczy to żużli i popiołów). Wskaźnik różnoziarnistości gruntu winien wynosić nie mniej niż 3.</w:t>
      </w:r>
    </w:p>
    <w:p w14:paraId="5F8FFB56" w14:textId="77777777" w:rsidR="00BA1D9A" w:rsidRPr="00AA57EC" w:rsidRDefault="00BA1D9A" w:rsidP="00BA1D9A">
      <w:pPr>
        <w:pStyle w:val="Teksttreci0"/>
        <w:shd w:val="clear" w:color="auto" w:fill="auto"/>
        <w:spacing w:before="0" w:after="240" w:line="240" w:lineRule="auto"/>
        <w:ind w:left="20" w:right="20" w:firstLine="0"/>
        <w:jc w:val="both"/>
        <w:rPr>
          <w:rFonts w:asciiTheme="minorHAnsi" w:hAnsiTheme="minorHAnsi" w:cstheme="minorHAnsi"/>
          <w:sz w:val="20"/>
          <w:szCs w:val="20"/>
        </w:rPr>
      </w:pPr>
      <w:r w:rsidRPr="00AA57EC">
        <w:rPr>
          <w:rFonts w:asciiTheme="minorHAnsi" w:hAnsiTheme="minorHAnsi" w:cstheme="minorHAnsi"/>
          <w:sz w:val="20"/>
          <w:szCs w:val="20"/>
        </w:rPr>
        <w:t>W przypadku wbudowywania w strefie do 50 cm poniżej powierzchni robót ziemnych piasków drobnoziarnistych powinny one mieć wskaźnik nośności W</w:t>
      </w:r>
      <w:r w:rsidRPr="00AA57EC">
        <w:rPr>
          <w:rFonts w:asciiTheme="minorHAnsi" w:hAnsiTheme="minorHAnsi" w:cstheme="minorHAnsi"/>
          <w:sz w:val="20"/>
          <w:szCs w:val="20"/>
          <w:vertAlign w:val="subscript"/>
        </w:rPr>
        <w:t>noś</w:t>
      </w:r>
      <w:r w:rsidRPr="00AA57EC">
        <w:rPr>
          <w:rFonts w:asciiTheme="minorHAnsi" w:hAnsiTheme="minorHAnsi" w:cstheme="minorHAnsi"/>
          <w:sz w:val="20"/>
          <w:szCs w:val="20"/>
        </w:rPr>
        <w:t xml:space="preserve">≥10. </w:t>
      </w:r>
    </w:p>
    <w:p w14:paraId="31A9F05A" w14:textId="77777777" w:rsidR="00BA1D9A" w:rsidRPr="00AA57EC" w:rsidRDefault="00BA1D9A" w:rsidP="00BA1D9A">
      <w:pPr>
        <w:pStyle w:val="Teksttreci0"/>
        <w:shd w:val="clear" w:color="auto" w:fill="auto"/>
        <w:spacing w:before="0" w:after="216" w:line="240" w:lineRule="auto"/>
        <w:ind w:firstLine="0"/>
        <w:rPr>
          <w:rFonts w:asciiTheme="minorHAnsi" w:hAnsiTheme="minorHAnsi" w:cstheme="minorHAnsi"/>
          <w:sz w:val="20"/>
          <w:szCs w:val="20"/>
        </w:rPr>
      </w:pPr>
      <w:r w:rsidRPr="00AA57EC">
        <w:rPr>
          <w:rFonts w:asciiTheme="minorHAnsi" w:hAnsiTheme="minorHAnsi" w:cstheme="minorHAnsi"/>
          <w:sz w:val="20"/>
          <w:szCs w:val="20"/>
        </w:rPr>
        <w:t>Gdzie:</w:t>
      </w:r>
    </w:p>
    <w:p w14:paraId="5F768BED" w14:textId="77777777" w:rsidR="00BA1D9A" w:rsidRPr="00AA57EC" w:rsidRDefault="00BA1D9A" w:rsidP="00BA1D9A">
      <w:pPr>
        <w:pStyle w:val="Teksttreci0"/>
        <w:shd w:val="clear" w:color="auto" w:fill="auto"/>
        <w:spacing w:before="0" w:after="0" w:line="240" w:lineRule="auto"/>
        <w:ind w:firstLine="0"/>
        <w:rPr>
          <w:rFonts w:asciiTheme="minorHAnsi" w:hAnsiTheme="minorHAnsi" w:cstheme="minorHAnsi"/>
          <w:sz w:val="20"/>
          <w:szCs w:val="20"/>
        </w:rPr>
      </w:pPr>
      <w:r w:rsidRPr="00AA57EC">
        <w:rPr>
          <w:rFonts w:asciiTheme="minorHAnsi" w:hAnsiTheme="minorHAnsi" w:cstheme="minorHAnsi"/>
          <w:sz w:val="20"/>
          <w:szCs w:val="20"/>
        </w:rPr>
        <w:t>W</w:t>
      </w:r>
      <w:r w:rsidRPr="00AA57EC">
        <w:rPr>
          <w:rFonts w:asciiTheme="minorHAnsi" w:hAnsiTheme="minorHAnsi" w:cstheme="minorHAnsi"/>
          <w:sz w:val="20"/>
          <w:szCs w:val="20"/>
          <w:vertAlign w:val="subscript"/>
        </w:rPr>
        <w:t xml:space="preserve">noś </w:t>
      </w:r>
      <w:r w:rsidRPr="00AA57EC">
        <w:rPr>
          <w:rFonts w:asciiTheme="minorHAnsi" w:hAnsiTheme="minorHAnsi" w:cstheme="minorHAnsi"/>
          <w:sz w:val="20"/>
          <w:szCs w:val="20"/>
        </w:rPr>
        <w:t>=  P/Pp*100</w:t>
      </w:r>
    </w:p>
    <w:p w14:paraId="61E2FE21" w14:textId="77777777" w:rsidR="00BA1D9A" w:rsidRPr="00AA57EC" w:rsidRDefault="00BA1D9A" w:rsidP="00BA1D9A">
      <w:pPr>
        <w:pStyle w:val="Teksttreci0"/>
        <w:shd w:val="clear" w:color="auto" w:fill="auto"/>
        <w:spacing w:before="0" w:after="0" w:line="240" w:lineRule="auto"/>
        <w:ind w:firstLine="0"/>
        <w:rPr>
          <w:rFonts w:asciiTheme="minorHAnsi" w:hAnsiTheme="minorHAnsi" w:cstheme="minorHAnsi"/>
          <w:sz w:val="20"/>
          <w:szCs w:val="20"/>
        </w:rPr>
      </w:pPr>
      <w:r w:rsidRPr="00AA57EC">
        <w:rPr>
          <w:rFonts w:asciiTheme="minorHAnsi" w:hAnsiTheme="minorHAnsi" w:cstheme="minorHAnsi"/>
          <w:sz w:val="20"/>
          <w:szCs w:val="20"/>
        </w:rPr>
        <w:t>w którym:</w:t>
      </w:r>
    </w:p>
    <w:p w14:paraId="5C3C1B91" w14:textId="77777777" w:rsidR="00BA1D9A" w:rsidRPr="00AA57EC" w:rsidRDefault="00BA1D9A" w:rsidP="00BA1D9A">
      <w:pPr>
        <w:pStyle w:val="Teksttreci0"/>
        <w:shd w:val="clear" w:color="auto" w:fill="auto"/>
        <w:spacing w:before="0" w:after="0" w:line="240" w:lineRule="auto"/>
        <w:ind w:right="20" w:firstLine="0"/>
        <w:jc w:val="both"/>
        <w:rPr>
          <w:rFonts w:asciiTheme="minorHAnsi" w:hAnsiTheme="minorHAnsi" w:cstheme="minorHAnsi"/>
          <w:sz w:val="20"/>
          <w:szCs w:val="20"/>
        </w:rPr>
      </w:pPr>
      <w:r w:rsidRPr="00AA57EC">
        <w:rPr>
          <w:rFonts w:asciiTheme="minorHAnsi" w:hAnsiTheme="minorHAnsi" w:cstheme="minorHAnsi"/>
          <w:sz w:val="20"/>
          <w:szCs w:val="20"/>
        </w:rPr>
        <w:t>P - ciśnienie, jakie jest potrzebne, aby zagłębić trzpień o przekroju 20 cm</w:t>
      </w:r>
      <w:r w:rsidRPr="00AA57EC">
        <w:rPr>
          <w:rFonts w:asciiTheme="minorHAnsi" w:hAnsiTheme="minorHAnsi" w:cstheme="minorHAnsi"/>
          <w:sz w:val="20"/>
          <w:szCs w:val="20"/>
          <w:vertAlign w:val="superscript"/>
        </w:rPr>
        <w:t>2</w:t>
      </w:r>
      <w:r w:rsidRPr="00AA57EC">
        <w:rPr>
          <w:rFonts w:asciiTheme="minorHAnsi" w:hAnsiTheme="minorHAnsi" w:cstheme="minorHAnsi"/>
          <w:sz w:val="20"/>
          <w:szCs w:val="20"/>
        </w:rPr>
        <w:t xml:space="preserve"> w odpowiednio przygotowaną próbkę gruntu na głębokość 2,5 mm lub 5,0 mm, w megapaskalach;</w:t>
      </w:r>
    </w:p>
    <w:p w14:paraId="08FA72E1" w14:textId="77777777" w:rsidR="00BA1D9A" w:rsidRPr="00AA57EC" w:rsidRDefault="00BA1D9A" w:rsidP="00BA1D9A">
      <w:pPr>
        <w:pStyle w:val="Teksttreci0"/>
        <w:shd w:val="clear" w:color="auto" w:fill="auto"/>
        <w:spacing w:before="0" w:after="120" w:line="240" w:lineRule="auto"/>
        <w:ind w:firstLine="0"/>
        <w:jc w:val="both"/>
        <w:rPr>
          <w:rFonts w:asciiTheme="minorHAnsi" w:hAnsiTheme="minorHAnsi" w:cstheme="minorHAnsi"/>
          <w:sz w:val="20"/>
          <w:szCs w:val="20"/>
        </w:rPr>
      </w:pPr>
      <w:r w:rsidRPr="00AA57EC">
        <w:rPr>
          <w:rFonts w:asciiTheme="minorHAnsi" w:hAnsiTheme="minorHAnsi" w:cstheme="minorHAnsi"/>
          <w:sz w:val="20"/>
          <w:szCs w:val="20"/>
        </w:rPr>
        <w:t>Pp - ciśnienie porównawcze, które przy wgłębieniu trzpienia na 2,5 mm wynosi 7 MN/m , a przy wgłębieniu na 5,0 mm wynosi 10 MN/ m</w:t>
      </w:r>
      <w:r w:rsidRPr="00AA57EC">
        <w:rPr>
          <w:rFonts w:asciiTheme="minorHAnsi" w:hAnsiTheme="minorHAnsi" w:cstheme="minorHAnsi"/>
          <w:sz w:val="20"/>
          <w:szCs w:val="20"/>
          <w:vertAlign w:val="superscript"/>
        </w:rPr>
        <w:t>2</w:t>
      </w:r>
      <w:r w:rsidRPr="00AA57EC">
        <w:rPr>
          <w:rFonts w:asciiTheme="minorHAnsi" w:hAnsiTheme="minorHAnsi" w:cstheme="minorHAnsi"/>
          <w:sz w:val="20"/>
          <w:szCs w:val="20"/>
        </w:rPr>
        <w:t>.</w:t>
      </w:r>
    </w:p>
    <w:p w14:paraId="0B15D61E" w14:textId="77777777" w:rsidR="00BA1D9A" w:rsidRPr="00AA57EC" w:rsidRDefault="00BA1D9A" w:rsidP="00BA1D9A">
      <w:pPr>
        <w:pStyle w:val="Teksttreci0"/>
        <w:shd w:val="clear" w:color="auto" w:fill="auto"/>
        <w:spacing w:before="0" w:after="263" w:line="240" w:lineRule="auto"/>
        <w:ind w:right="1600" w:firstLine="0"/>
        <w:rPr>
          <w:rFonts w:asciiTheme="minorHAnsi" w:hAnsiTheme="minorHAnsi" w:cstheme="minorHAnsi"/>
          <w:sz w:val="20"/>
          <w:szCs w:val="20"/>
        </w:rPr>
      </w:pPr>
      <w:r w:rsidRPr="00AA57EC">
        <w:rPr>
          <w:rFonts w:asciiTheme="minorHAnsi" w:hAnsiTheme="minorHAnsi" w:cstheme="minorHAnsi"/>
          <w:sz w:val="20"/>
          <w:szCs w:val="20"/>
        </w:rPr>
        <w:t>Metoda badania przedstawiona jest w normie PN-S-02205:1998, aneks A</w:t>
      </w:r>
      <w:r w:rsidRPr="00AA57EC">
        <w:rPr>
          <w:rFonts w:asciiTheme="minorHAnsi" w:hAnsiTheme="minorHAnsi" w:cstheme="minorHAnsi"/>
          <w:sz w:val="20"/>
          <w:szCs w:val="20"/>
          <w:vertAlign w:val="subscript"/>
        </w:rPr>
        <w:t>1</w:t>
      </w:r>
      <w:r w:rsidRPr="00AA57EC">
        <w:rPr>
          <w:rFonts w:asciiTheme="minorHAnsi" w:hAnsiTheme="minorHAnsi" w:cstheme="minorHAnsi"/>
          <w:sz w:val="20"/>
          <w:szCs w:val="20"/>
        </w:rPr>
        <w:t>.</w:t>
      </w:r>
    </w:p>
    <w:p w14:paraId="5FC3EF19" w14:textId="77777777" w:rsidR="00BA1D9A" w:rsidRPr="00AA57EC" w:rsidRDefault="00BA1D9A" w:rsidP="00BA1D9A">
      <w:pPr>
        <w:pStyle w:val="Teksttreci0"/>
        <w:shd w:val="clear" w:color="auto" w:fill="auto"/>
        <w:spacing w:before="0" w:after="300" w:line="240" w:lineRule="auto"/>
        <w:ind w:left="20" w:right="20" w:firstLine="0"/>
        <w:jc w:val="both"/>
        <w:rPr>
          <w:rFonts w:asciiTheme="minorHAnsi" w:hAnsiTheme="minorHAnsi" w:cstheme="minorHAnsi"/>
          <w:sz w:val="20"/>
          <w:szCs w:val="20"/>
        </w:rPr>
      </w:pPr>
      <w:r w:rsidRPr="00AA57EC">
        <w:rPr>
          <w:rFonts w:asciiTheme="minorHAnsi" w:hAnsiTheme="minorHAnsi" w:cstheme="minorHAnsi"/>
          <w:sz w:val="20"/>
          <w:szCs w:val="20"/>
        </w:rPr>
        <w:t>Górna warstwa nasypu grubości 50 cm winna być wykonana z materiału niewysadzinowego o następujących parametrach:</w:t>
      </w:r>
    </w:p>
    <w:p w14:paraId="7AB886BE" w14:textId="77777777" w:rsidR="00BA1D9A" w:rsidRPr="00AA57EC" w:rsidRDefault="00BA1D9A" w:rsidP="00BA1D9A">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rPr>
          <w:rFonts w:asciiTheme="minorHAnsi" w:hAnsiTheme="minorHAnsi" w:cstheme="minorHAnsi"/>
        </w:rPr>
      </w:pPr>
      <w:r w:rsidRPr="00AA57EC">
        <w:rPr>
          <w:rFonts w:asciiTheme="minorHAnsi" w:hAnsiTheme="minorHAnsi" w:cstheme="minorHAnsi"/>
        </w:rPr>
        <w:t xml:space="preserve">-zawartość cząstek &lt; 0,075 mm &lt; 15%; </w:t>
      </w:r>
    </w:p>
    <w:p w14:paraId="1416201C" w14:textId="77777777" w:rsidR="00BA1D9A" w:rsidRPr="00AA57EC" w:rsidRDefault="00BA1D9A" w:rsidP="00BA1D9A">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rPr>
          <w:rFonts w:asciiTheme="minorHAnsi" w:hAnsiTheme="minorHAnsi" w:cstheme="minorHAnsi"/>
        </w:rPr>
      </w:pPr>
      <w:r w:rsidRPr="00AA57EC">
        <w:rPr>
          <w:rFonts w:asciiTheme="minorHAnsi" w:hAnsiTheme="minorHAnsi" w:cstheme="minorHAnsi"/>
        </w:rPr>
        <w:t>-kapilarności biernej H</w:t>
      </w:r>
      <w:r w:rsidRPr="00AA57EC">
        <w:rPr>
          <w:rFonts w:asciiTheme="minorHAnsi" w:hAnsiTheme="minorHAnsi" w:cstheme="minorHAnsi"/>
          <w:vertAlign w:val="subscript"/>
        </w:rPr>
        <w:t>kb</w:t>
      </w:r>
      <w:r w:rsidRPr="00AA57EC">
        <w:rPr>
          <w:rFonts w:asciiTheme="minorHAnsi" w:hAnsiTheme="minorHAnsi" w:cstheme="minorHAnsi"/>
        </w:rPr>
        <w:t xml:space="preserve">&lt; 1,0 m; </w:t>
      </w:r>
    </w:p>
    <w:p w14:paraId="2FDA9A08" w14:textId="77777777" w:rsidR="00BA1D9A" w:rsidRPr="00AA57EC" w:rsidRDefault="00BA1D9A" w:rsidP="00BA1D9A">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rPr>
          <w:rFonts w:asciiTheme="minorHAnsi" w:hAnsiTheme="minorHAnsi" w:cstheme="minorHAnsi"/>
        </w:rPr>
      </w:pPr>
      <w:r w:rsidRPr="00AA57EC">
        <w:rPr>
          <w:rFonts w:asciiTheme="minorHAnsi" w:hAnsiTheme="minorHAnsi" w:cstheme="minorHAnsi"/>
        </w:rPr>
        <w:t xml:space="preserve">-wskaźniku piaskowym WP &gt; 35; </w:t>
      </w:r>
    </w:p>
    <w:p w14:paraId="7053DFCC" w14:textId="77777777" w:rsidR="00BA1D9A" w:rsidRPr="00AA57EC" w:rsidRDefault="00BA1D9A" w:rsidP="00BA1D9A">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rPr>
          <w:rFonts w:asciiTheme="minorHAnsi" w:hAnsiTheme="minorHAnsi" w:cstheme="minorHAnsi"/>
        </w:rPr>
      </w:pPr>
      <w:r w:rsidRPr="00AA57EC">
        <w:rPr>
          <w:rFonts w:asciiTheme="minorHAnsi" w:hAnsiTheme="minorHAnsi" w:cstheme="minorHAnsi"/>
        </w:rPr>
        <w:t>-wskaźniku różnoziarnistości U</w:t>
      </w:r>
      <w:r w:rsidRPr="00AA57EC">
        <w:rPr>
          <w:rFonts w:asciiTheme="minorHAnsi" w:hAnsiTheme="minorHAnsi" w:cstheme="minorHAnsi"/>
          <w:vertAlign w:val="subscript"/>
        </w:rPr>
        <w:t>d 60</w:t>
      </w:r>
      <w:r w:rsidRPr="00AA57EC">
        <w:rPr>
          <w:rFonts w:asciiTheme="minorHAnsi" w:hAnsiTheme="minorHAnsi" w:cstheme="minorHAnsi"/>
        </w:rPr>
        <w:t>-</w:t>
      </w:r>
      <w:r w:rsidRPr="00AA57EC">
        <w:rPr>
          <w:rFonts w:asciiTheme="minorHAnsi" w:hAnsiTheme="minorHAnsi" w:cstheme="minorHAnsi"/>
          <w:vertAlign w:val="subscript"/>
        </w:rPr>
        <w:t xml:space="preserve">10 </w:t>
      </w:r>
      <w:r w:rsidRPr="00AA57EC">
        <w:rPr>
          <w:rFonts w:asciiTheme="minorHAnsi" w:hAnsiTheme="minorHAnsi" w:cstheme="minorHAnsi"/>
        </w:rPr>
        <w:t xml:space="preserve">≥ 5 </w:t>
      </w:r>
    </w:p>
    <w:p w14:paraId="5CBD8C78" w14:textId="77777777" w:rsidR="00BA1D9A" w:rsidRPr="00AA57EC" w:rsidRDefault="00BA1D9A" w:rsidP="00BA1D9A">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after="360"/>
        <w:rPr>
          <w:rFonts w:asciiTheme="minorHAnsi" w:hAnsiTheme="minorHAnsi" w:cstheme="minorHAnsi"/>
        </w:rPr>
      </w:pPr>
      <w:r w:rsidRPr="00AA57EC">
        <w:rPr>
          <w:rFonts w:asciiTheme="minorHAnsi" w:hAnsiTheme="minorHAnsi" w:cstheme="minorHAnsi"/>
        </w:rPr>
        <w:t>-współczynniku filtracji k</w:t>
      </w:r>
      <w:r w:rsidRPr="00AA57EC">
        <w:rPr>
          <w:rFonts w:asciiTheme="minorHAnsi" w:hAnsiTheme="minorHAnsi" w:cstheme="minorHAnsi"/>
          <w:vertAlign w:val="subscript"/>
        </w:rPr>
        <w:t xml:space="preserve">10 </w:t>
      </w:r>
      <w:r w:rsidRPr="00AA57EC">
        <w:rPr>
          <w:rFonts w:asciiTheme="minorHAnsi" w:hAnsiTheme="minorHAnsi" w:cstheme="minorHAnsi"/>
        </w:rPr>
        <w:t>&gt; 6x10</w:t>
      </w:r>
      <w:r w:rsidRPr="00AA57EC">
        <w:rPr>
          <w:rFonts w:asciiTheme="minorHAnsi" w:hAnsiTheme="minorHAnsi" w:cstheme="minorHAnsi"/>
          <w:vertAlign w:val="superscript"/>
        </w:rPr>
        <w:t>-5</w:t>
      </w:r>
      <w:r w:rsidRPr="00AA57EC">
        <w:rPr>
          <w:rFonts w:asciiTheme="minorHAnsi" w:hAnsiTheme="minorHAnsi" w:cstheme="minorHAnsi"/>
        </w:rPr>
        <w:t xml:space="preserve"> m/s.</w:t>
      </w:r>
    </w:p>
    <w:p w14:paraId="6EC2BF11" w14:textId="77777777" w:rsidR="00BA1D9A" w:rsidRPr="00AA57EC" w:rsidRDefault="00BA1D9A" w:rsidP="00BA1D9A">
      <w:pPr>
        <w:rPr>
          <w:rFonts w:asciiTheme="minorHAnsi" w:hAnsiTheme="minorHAnsi" w:cstheme="minorHAnsi"/>
        </w:rPr>
      </w:pPr>
      <w:r w:rsidRPr="00AA57EC">
        <w:rPr>
          <w:rFonts w:asciiTheme="minorHAnsi" w:hAnsiTheme="minorHAnsi" w:cstheme="minorHAnsi"/>
        </w:rPr>
        <w:t xml:space="preserve">W przypadku braku wymaganego materiału należy górną warstwę ulepszyć spoiwem (cementem, wapnem lub aktywnymi popiołami), grubość warstwy i sposób ulepszenia powinny być zgodne z dokumentacją projektową i PN-S-02205:1998 Roboty ziemne.  </w:t>
      </w:r>
    </w:p>
    <w:p w14:paraId="4028E976" w14:textId="77777777" w:rsidR="00BA1D9A" w:rsidRPr="00AA57EC" w:rsidRDefault="00BA1D9A" w:rsidP="00BA1D9A">
      <w:pPr>
        <w:rPr>
          <w:rFonts w:asciiTheme="minorHAnsi" w:hAnsiTheme="minorHAnsi" w:cstheme="minorHAnsi"/>
        </w:rPr>
      </w:pPr>
    </w:p>
    <w:p w14:paraId="7C911820" w14:textId="77777777" w:rsidR="00BA1D9A" w:rsidRPr="00AA57EC" w:rsidRDefault="00BA1D9A" w:rsidP="00BA1D9A">
      <w:pPr>
        <w:pStyle w:val="Teksttreci0"/>
        <w:shd w:val="clear" w:color="auto" w:fill="auto"/>
        <w:spacing w:before="0" w:after="240" w:line="240" w:lineRule="auto"/>
        <w:ind w:left="20" w:right="20" w:firstLine="0"/>
        <w:jc w:val="both"/>
        <w:rPr>
          <w:rFonts w:asciiTheme="minorHAnsi" w:hAnsiTheme="minorHAnsi" w:cstheme="minorHAnsi"/>
          <w:sz w:val="20"/>
          <w:szCs w:val="20"/>
        </w:rPr>
      </w:pPr>
      <w:r w:rsidRPr="00AA57EC">
        <w:rPr>
          <w:rFonts w:asciiTheme="minorHAnsi" w:hAnsiTheme="minorHAnsi" w:cstheme="minorHAnsi"/>
          <w:sz w:val="20"/>
          <w:szCs w:val="20"/>
        </w:rPr>
        <w:t>Grunty wbudowywane w górną warstwę nasypu powinny one mieć wskaźnik nośności W</w:t>
      </w:r>
      <w:r w:rsidRPr="00AA57EC">
        <w:rPr>
          <w:rFonts w:asciiTheme="minorHAnsi" w:hAnsiTheme="minorHAnsi" w:cstheme="minorHAnsi"/>
          <w:sz w:val="20"/>
          <w:szCs w:val="20"/>
          <w:vertAlign w:val="subscript"/>
        </w:rPr>
        <w:t>noś</w:t>
      </w:r>
      <w:r w:rsidRPr="00AA57EC">
        <w:rPr>
          <w:rFonts w:asciiTheme="minorHAnsi" w:hAnsiTheme="minorHAnsi" w:cstheme="minorHAnsi"/>
          <w:sz w:val="20"/>
          <w:szCs w:val="20"/>
        </w:rPr>
        <w:t xml:space="preserve">≥10. </w:t>
      </w:r>
    </w:p>
    <w:p w14:paraId="65576FAB" w14:textId="77777777" w:rsidR="00BA1D9A" w:rsidRPr="00AA57EC" w:rsidRDefault="00BA1D9A" w:rsidP="00BA1D9A">
      <w:pPr>
        <w:pStyle w:val="Teksttreci0"/>
        <w:shd w:val="clear" w:color="auto" w:fill="auto"/>
        <w:spacing w:before="0" w:after="216" w:line="240" w:lineRule="auto"/>
        <w:ind w:firstLine="0"/>
        <w:rPr>
          <w:rFonts w:asciiTheme="minorHAnsi" w:hAnsiTheme="minorHAnsi" w:cstheme="minorHAnsi"/>
          <w:sz w:val="20"/>
          <w:szCs w:val="20"/>
        </w:rPr>
      </w:pPr>
      <w:r w:rsidRPr="00AA57EC">
        <w:rPr>
          <w:rFonts w:asciiTheme="minorHAnsi" w:hAnsiTheme="minorHAnsi" w:cstheme="minorHAnsi"/>
          <w:sz w:val="20"/>
          <w:szCs w:val="20"/>
        </w:rPr>
        <w:t>Gdzie:</w:t>
      </w:r>
    </w:p>
    <w:p w14:paraId="6663F0A0" w14:textId="77777777" w:rsidR="00BA1D9A" w:rsidRPr="00AA57EC" w:rsidRDefault="00BA1D9A" w:rsidP="00BA1D9A">
      <w:pPr>
        <w:pStyle w:val="Teksttreci0"/>
        <w:shd w:val="clear" w:color="auto" w:fill="auto"/>
        <w:spacing w:before="0" w:after="0" w:line="240" w:lineRule="auto"/>
        <w:ind w:firstLine="0"/>
        <w:rPr>
          <w:rFonts w:asciiTheme="minorHAnsi" w:hAnsiTheme="minorHAnsi" w:cstheme="minorHAnsi"/>
          <w:sz w:val="20"/>
          <w:szCs w:val="20"/>
        </w:rPr>
      </w:pPr>
      <w:r w:rsidRPr="00AA57EC">
        <w:rPr>
          <w:rFonts w:asciiTheme="minorHAnsi" w:hAnsiTheme="minorHAnsi" w:cstheme="minorHAnsi"/>
          <w:sz w:val="20"/>
          <w:szCs w:val="20"/>
        </w:rPr>
        <w:t>W</w:t>
      </w:r>
      <w:r w:rsidRPr="00AA57EC">
        <w:rPr>
          <w:rFonts w:asciiTheme="minorHAnsi" w:hAnsiTheme="minorHAnsi" w:cstheme="minorHAnsi"/>
          <w:sz w:val="20"/>
          <w:szCs w:val="20"/>
          <w:vertAlign w:val="subscript"/>
        </w:rPr>
        <w:t xml:space="preserve">noś </w:t>
      </w:r>
      <w:r w:rsidRPr="00AA57EC">
        <w:rPr>
          <w:rFonts w:asciiTheme="minorHAnsi" w:hAnsiTheme="minorHAnsi" w:cstheme="minorHAnsi"/>
          <w:sz w:val="20"/>
          <w:szCs w:val="20"/>
        </w:rPr>
        <w:t>=  P/Pp*100</w:t>
      </w:r>
    </w:p>
    <w:p w14:paraId="23130D7B" w14:textId="77777777" w:rsidR="00BA1D9A" w:rsidRPr="00AA57EC" w:rsidRDefault="00BA1D9A" w:rsidP="00BA1D9A">
      <w:pPr>
        <w:pStyle w:val="Teksttreci0"/>
        <w:shd w:val="clear" w:color="auto" w:fill="auto"/>
        <w:spacing w:before="0" w:after="0" w:line="240" w:lineRule="auto"/>
        <w:ind w:firstLine="0"/>
        <w:rPr>
          <w:rFonts w:asciiTheme="minorHAnsi" w:hAnsiTheme="minorHAnsi" w:cstheme="minorHAnsi"/>
          <w:sz w:val="20"/>
          <w:szCs w:val="20"/>
        </w:rPr>
      </w:pPr>
      <w:r w:rsidRPr="00AA57EC">
        <w:rPr>
          <w:rFonts w:asciiTheme="minorHAnsi" w:hAnsiTheme="minorHAnsi" w:cstheme="minorHAnsi"/>
          <w:sz w:val="20"/>
          <w:szCs w:val="20"/>
        </w:rPr>
        <w:t>w którym:</w:t>
      </w:r>
    </w:p>
    <w:p w14:paraId="2CF8FBFB" w14:textId="77777777" w:rsidR="00BA1D9A" w:rsidRPr="00AA57EC" w:rsidRDefault="00BA1D9A" w:rsidP="00BA1D9A">
      <w:pPr>
        <w:pStyle w:val="Teksttreci0"/>
        <w:shd w:val="clear" w:color="auto" w:fill="auto"/>
        <w:spacing w:before="0" w:after="0" w:line="240" w:lineRule="auto"/>
        <w:ind w:right="20" w:firstLine="0"/>
        <w:jc w:val="both"/>
        <w:rPr>
          <w:rFonts w:asciiTheme="minorHAnsi" w:hAnsiTheme="minorHAnsi" w:cstheme="minorHAnsi"/>
          <w:sz w:val="20"/>
          <w:szCs w:val="20"/>
        </w:rPr>
      </w:pPr>
      <w:r w:rsidRPr="00AA57EC">
        <w:rPr>
          <w:rFonts w:asciiTheme="minorHAnsi" w:hAnsiTheme="minorHAnsi" w:cstheme="minorHAnsi"/>
          <w:sz w:val="20"/>
          <w:szCs w:val="20"/>
        </w:rPr>
        <w:t>P - ciśnienie, jakie jest potrzebne, aby zagłębić trzpień o przekroju 20 cm</w:t>
      </w:r>
      <w:r w:rsidRPr="00AA57EC">
        <w:rPr>
          <w:rFonts w:asciiTheme="minorHAnsi" w:hAnsiTheme="minorHAnsi" w:cstheme="minorHAnsi"/>
          <w:sz w:val="20"/>
          <w:szCs w:val="20"/>
          <w:vertAlign w:val="superscript"/>
        </w:rPr>
        <w:t>2</w:t>
      </w:r>
      <w:r w:rsidRPr="00AA57EC">
        <w:rPr>
          <w:rFonts w:asciiTheme="minorHAnsi" w:hAnsiTheme="minorHAnsi" w:cstheme="minorHAnsi"/>
          <w:sz w:val="20"/>
          <w:szCs w:val="20"/>
        </w:rPr>
        <w:t xml:space="preserve"> w odpowiednio przygotowaną próbkę gruntu na głębokość 2,5 mm lub 5,0 mm, w megapaskalach;</w:t>
      </w:r>
    </w:p>
    <w:p w14:paraId="66E78CEB" w14:textId="77777777" w:rsidR="00BA1D9A" w:rsidRPr="00AA57EC" w:rsidRDefault="00BA1D9A" w:rsidP="00BA1D9A">
      <w:pPr>
        <w:pStyle w:val="Teksttreci0"/>
        <w:shd w:val="clear" w:color="auto" w:fill="auto"/>
        <w:spacing w:before="0" w:after="120" w:line="240" w:lineRule="auto"/>
        <w:ind w:firstLine="0"/>
        <w:jc w:val="both"/>
        <w:rPr>
          <w:rFonts w:asciiTheme="minorHAnsi" w:hAnsiTheme="minorHAnsi" w:cstheme="minorHAnsi"/>
          <w:sz w:val="20"/>
          <w:szCs w:val="20"/>
        </w:rPr>
      </w:pPr>
      <w:r w:rsidRPr="00AA57EC">
        <w:rPr>
          <w:rFonts w:asciiTheme="minorHAnsi" w:hAnsiTheme="minorHAnsi" w:cstheme="minorHAnsi"/>
          <w:sz w:val="20"/>
          <w:szCs w:val="20"/>
        </w:rPr>
        <w:t>Pp - ciśnienie porównawcze, które przy wgłębieniu trzpienia na 2,5 mm wynosi 7 MN/m , a przy wgłębieniu na 5,0 mm wynosi 10 MN/ m</w:t>
      </w:r>
      <w:r w:rsidRPr="00AA57EC">
        <w:rPr>
          <w:rFonts w:asciiTheme="minorHAnsi" w:hAnsiTheme="minorHAnsi" w:cstheme="minorHAnsi"/>
          <w:sz w:val="20"/>
          <w:szCs w:val="20"/>
          <w:vertAlign w:val="superscript"/>
        </w:rPr>
        <w:t>2</w:t>
      </w:r>
      <w:r w:rsidRPr="00AA57EC">
        <w:rPr>
          <w:rFonts w:asciiTheme="minorHAnsi" w:hAnsiTheme="minorHAnsi" w:cstheme="minorHAnsi"/>
          <w:sz w:val="20"/>
          <w:szCs w:val="20"/>
        </w:rPr>
        <w:t>.</w:t>
      </w:r>
    </w:p>
    <w:p w14:paraId="5C16112D" w14:textId="77777777" w:rsidR="00BA1D9A" w:rsidRPr="00AA57EC" w:rsidRDefault="00BA1D9A" w:rsidP="00BA1D9A">
      <w:pPr>
        <w:pStyle w:val="Teksttreci0"/>
        <w:shd w:val="clear" w:color="auto" w:fill="auto"/>
        <w:spacing w:before="0" w:after="263" w:line="240" w:lineRule="auto"/>
        <w:ind w:right="1600" w:firstLine="0"/>
        <w:rPr>
          <w:rFonts w:asciiTheme="minorHAnsi" w:hAnsiTheme="minorHAnsi" w:cstheme="minorHAnsi"/>
          <w:sz w:val="20"/>
          <w:szCs w:val="20"/>
        </w:rPr>
      </w:pPr>
      <w:r w:rsidRPr="00AA57EC">
        <w:rPr>
          <w:rFonts w:asciiTheme="minorHAnsi" w:hAnsiTheme="minorHAnsi" w:cstheme="minorHAnsi"/>
          <w:sz w:val="20"/>
          <w:szCs w:val="20"/>
        </w:rPr>
        <w:t>Metoda badania przedstawiona jest w normie PN-S-02205:1998, aneks A</w:t>
      </w:r>
      <w:r w:rsidRPr="00AA57EC">
        <w:rPr>
          <w:rFonts w:asciiTheme="minorHAnsi" w:hAnsiTheme="minorHAnsi" w:cstheme="minorHAnsi"/>
          <w:sz w:val="20"/>
          <w:szCs w:val="20"/>
          <w:vertAlign w:val="subscript"/>
        </w:rPr>
        <w:t>1</w:t>
      </w:r>
      <w:r w:rsidRPr="00AA57EC">
        <w:rPr>
          <w:rFonts w:asciiTheme="minorHAnsi" w:hAnsiTheme="minorHAnsi" w:cstheme="minorHAnsi"/>
          <w:sz w:val="20"/>
          <w:szCs w:val="20"/>
        </w:rPr>
        <w:t>.</w:t>
      </w:r>
    </w:p>
    <w:p w14:paraId="559DC436" w14:textId="77777777" w:rsidR="00BA1D9A" w:rsidRPr="00AA57EC" w:rsidRDefault="00BA1D9A" w:rsidP="00BA1D9A">
      <w:pPr>
        <w:rPr>
          <w:rFonts w:asciiTheme="minorHAnsi" w:hAnsiTheme="minorHAnsi" w:cstheme="minorHAnsi"/>
          <w:b/>
        </w:rPr>
      </w:pPr>
      <w:bookmarkStart w:id="292" w:name="_Toc406295857"/>
      <w:bookmarkStart w:id="293" w:name="_Toc407161277"/>
      <w:bookmarkStart w:id="294" w:name="_Toc418994947"/>
      <w:bookmarkStart w:id="295" w:name="_Toc418996354"/>
      <w:bookmarkStart w:id="296" w:name="_Toc418996723"/>
      <w:bookmarkStart w:id="297" w:name="_Toc418997110"/>
      <w:bookmarkStart w:id="298" w:name="_Toc418998520"/>
      <w:bookmarkStart w:id="299" w:name="_Toc418998876"/>
      <w:bookmarkStart w:id="300" w:name="_Toc419000121"/>
      <w:r w:rsidRPr="00AA57EC">
        <w:rPr>
          <w:rFonts w:asciiTheme="minorHAnsi" w:hAnsiTheme="minorHAnsi" w:cstheme="minorHAnsi"/>
          <w:b/>
        </w:rPr>
        <w:t>3. SPRZĘT</w:t>
      </w:r>
      <w:bookmarkEnd w:id="292"/>
      <w:bookmarkEnd w:id="293"/>
      <w:bookmarkEnd w:id="294"/>
      <w:bookmarkEnd w:id="295"/>
      <w:bookmarkEnd w:id="296"/>
      <w:bookmarkEnd w:id="297"/>
      <w:bookmarkEnd w:id="298"/>
      <w:bookmarkEnd w:id="299"/>
      <w:bookmarkEnd w:id="300"/>
    </w:p>
    <w:p w14:paraId="207D35CB" w14:textId="77777777" w:rsidR="00BA1D9A" w:rsidRPr="00AA57EC" w:rsidRDefault="00BA1D9A" w:rsidP="00BA1D9A">
      <w:pPr>
        <w:pStyle w:val="Nagwek4"/>
        <w:rPr>
          <w:rFonts w:asciiTheme="minorHAnsi" w:hAnsiTheme="minorHAnsi" w:cstheme="minorHAnsi"/>
          <w:b w:val="0"/>
        </w:rPr>
      </w:pPr>
      <w:bookmarkStart w:id="301" w:name="_Toc406295858"/>
      <w:bookmarkStart w:id="302" w:name="_Toc407161278"/>
      <w:r w:rsidRPr="00AA57EC">
        <w:rPr>
          <w:rFonts w:asciiTheme="minorHAnsi" w:hAnsiTheme="minorHAnsi" w:cstheme="minorHAnsi"/>
          <w:b w:val="0"/>
          <w:bCs w:val="0"/>
        </w:rPr>
        <w:t>3.1. Ogólne wymagania dotyczące sprzętu</w:t>
      </w:r>
      <w:bookmarkEnd w:id="301"/>
      <w:bookmarkEnd w:id="302"/>
    </w:p>
    <w:p w14:paraId="7E856EFB" w14:textId="23771EB7" w:rsidR="00BA1D9A" w:rsidRPr="00AA57EC" w:rsidRDefault="00BA1D9A" w:rsidP="00BA1D9A">
      <w:pPr>
        <w:rPr>
          <w:rFonts w:asciiTheme="minorHAnsi" w:hAnsiTheme="minorHAnsi" w:cstheme="minorHAnsi"/>
        </w:rPr>
      </w:pPr>
      <w:r w:rsidRPr="00AA57EC">
        <w:rPr>
          <w:rFonts w:asciiTheme="minorHAnsi" w:hAnsiTheme="minorHAnsi" w:cstheme="minorHAnsi"/>
        </w:rPr>
        <w:t xml:space="preserve">Ogólne wymagania i ustalenia dotyczące sprzętu określono w </w:t>
      </w:r>
      <w:r w:rsidR="009A3F12">
        <w:rPr>
          <w:rFonts w:asciiTheme="minorHAnsi" w:hAnsiTheme="minorHAnsi" w:cstheme="minorHAnsi"/>
        </w:rPr>
        <w:t>ST</w:t>
      </w:r>
      <w:r w:rsidRPr="00AA57EC">
        <w:rPr>
          <w:rFonts w:asciiTheme="minorHAnsi" w:hAnsiTheme="minorHAnsi" w:cstheme="minorHAnsi"/>
        </w:rPr>
        <w:t>WiORB D-M-00.00.00 pkt 3.</w:t>
      </w:r>
    </w:p>
    <w:p w14:paraId="5FFF82E6" w14:textId="77777777" w:rsidR="00BA1D9A" w:rsidRPr="00AA57EC" w:rsidRDefault="00BA1D9A" w:rsidP="00BA1D9A">
      <w:pPr>
        <w:pStyle w:val="Nagwek4"/>
        <w:rPr>
          <w:rFonts w:asciiTheme="minorHAnsi" w:hAnsiTheme="minorHAnsi" w:cstheme="minorHAnsi"/>
        </w:rPr>
      </w:pPr>
      <w:bookmarkStart w:id="303" w:name="_Toc406295859"/>
      <w:bookmarkStart w:id="304" w:name="_Toc407161279"/>
      <w:r w:rsidRPr="00AA57EC">
        <w:rPr>
          <w:rFonts w:asciiTheme="minorHAnsi" w:hAnsiTheme="minorHAnsi" w:cstheme="minorHAnsi"/>
          <w:b w:val="0"/>
          <w:bCs w:val="0"/>
        </w:rPr>
        <w:t>3.2. Dobór sprzętu zagęszczającego</w:t>
      </w:r>
      <w:bookmarkEnd w:id="303"/>
      <w:bookmarkEnd w:id="304"/>
    </w:p>
    <w:p w14:paraId="684DAB29" w14:textId="77777777" w:rsidR="00BA1D9A" w:rsidRPr="00AA57EC" w:rsidRDefault="00BA1D9A" w:rsidP="00BA1D9A">
      <w:pPr>
        <w:rPr>
          <w:rFonts w:asciiTheme="minorHAnsi" w:hAnsiTheme="minorHAnsi" w:cstheme="minorHAnsi"/>
        </w:rPr>
      </w:pPr>
      <w:r w:rsidRPr="00AA57EC">
        <w:rPr>
          <w:rFonts w:asciiTheme="minorHAnsi" w:hAnsiTheme="minorHAnsi" w:cstheme="minorHAnsi"/>
        </w:rPr>
        <w:t>W tablicy 2 podano, dla różnych rodzajów gruntów, orientacyjne dane przy doborze sprzętu zagęszczającego. Sprzęt do zagęszczania powinien być zatwierdzony przez Inżyniera.</w:t>
      </w:r>
    </w:p>
    <w:p w14:paraId="06AC3C88" w14:textId="77777777" w:rsidR="00BA1D9A" w:rsidRPr="00AA57EC" w:rsidRDefault="00BA1D9A" w:rsidP="00BA1D9A">
      <w:pPr>
        <w:rPr>
          <w:rFonts w:asciiTheme="minorHAnsi" w:hAnsiTheme="minorHAnsi" w:cstheme="minorHAnsi"/>
        </w:rPr>
      </w:pPr>
    </w:p>
    <w:p w14:paraId="189AF1D2" w14:textId="77777777" w:rsidR="00BA1D9A" w:rsidRPr="00AA57EC" w:rsidRDefault="00BA1D9A" w:rsidP="00BA1D9A">
      <w:pPr>
        <w:rPr>
          <w:rFonts w:asciiTheme="minorHAnsi" w:hAnsiTheme="minorHAnsi" w:cstheme="minorHAnsi"/>
        </w:rPr>
      </w:pPr>
      <w:r w:rsidRPr="00AA57EC">
        <w:rPr>
          <w:rFonts w:asciiTheme="minorHAnsi" w:hAnsiTheme="minorHAnsi" w:cstheme="minorHAnsi"/>
        </w:rPr>
        <w:t xml:space="preserve">Tablica 2. Orientacyjne dane przy doborze sprzętu zagęszczającego </w:t>
      </w:r>
    </w:p>
    <w:tbl>
      <w:tblPr>
        <w:tblW w:w="985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4A0" w:firstRow="1" w:lastRow="0" w:firstColumn="1" w:lastColumn="0" w:noHBand="0" w:noVBand="1"/>
      </w:tblPr>
      <w:tblGrid>
        <w:gridCol w:w="2624"/>
        <w:gridCol w:w="994"/>
        <w:gridCol w:w="1134"/>
        <w:gridCol w:w="1134"/>
        <w:gridCol w:w="1134"/>
        <w:gridCol w:w="1134"/>
        <w:gridCol w:w="850"/>
        <w:gridCol w:w="851"/>
      </w:tblGrid>
      <w:tr w:rsidR="00BA1D9A" w:rsidRPr="00AA57EC" w14:paraId="07C72F17" w14:textId="77777777" w:rsidTr="00BA1D9A">
        <w:trPr>
          <w:cantSplit/>
          <w:trHeight w:val="283"/>
        </w:trPr>
        <w:tc>
          <w:tcPr>
            <w:tcW w:w="2622" w:type="dxa"/>
            <w:tcBorders>
              <w:top w:val="single" w:sz="6" w:space="0" w:color="000000"/>
              <w:left w:val="single" w:sz="6" w:space="0" w:color="000000"/>
              <w:bottom w:val="nil"/>
              <w:right w:val="single" w:sz="6" w:space="0" w:color="000000"/>
            </w:tcBorders>
          </w:tcPr>
          <w:p w14:paraId="0B3BB28D" w14:textId="77777777" w:rsidR="00BA1D9A" w:rsidRPr="00AA57EC" w:rsidRDefault="00BA1D9A">
            <w:pPr>
              <w:pStyle w:val="StylIwony"/>
              <w:spacing w:before="0" w:after="0"/>
              <w:rPr>
                <w:rFonts w:asciiTheme="minorHAnsi" w:hAnsiTheme="minorHAnsi" w:cstheme="minorHAnsi"/>
                <w:sz w:val="20"/>
                <w:szCs w:val="20"/>
              </w:rPr>
            </w:pPr>
            <w:bookmarkStart w:id="305" w:name="_Toc406295860"/>
          </w:p>
          <w:p w14:paraId="0C3D739D" w14:textId="77777777" w:rsidR="00BA1D9A" w:rsidRPr="00AA57EC" w:rsidRDefault="00BA1D9A">
            <w:pPr>
              <w:pStyle w:val="StylIwony"/>
              <w:spacing w:before="0" w:after="0"/>
              <w:rPr>
                <w:rFonts w:asciiTheme="minorHAnsi" w:hAnsiTheme="minorHAnsi" w:cstheme="minorHAnsi"/>
                <w:sz w:val="20"/>
                <w:szCs w:val="20"/>
              </w:rPr>
            </w:pPr>
          </w:p>
        </w:tc>
        <w:tc>
          <w:tcPr>
            <w:tcW w:w="6378" w:type="dxa"/>
            <w:gridSpan w:val="6"/>
            <w:tcBorders>
              <w:top w:val="single" w:sz="6" w:space="0" w:color="000000"/>
              <w:left w:val="single" w:sz="6" w:space="0" w:color="000000"/>
              <w:bottom w:val="single" w:sz="6" w:space="0" w:color="auto"/>
              <w:right w:val="single" w:sz="6" w:space="0" w:color="auto"/>
            </w:tcBorders>
            <w:hideMark/>
          </w:tcPr>
          <w:p w14:paraId="2C88FDD7" w14:textId="77777777" w:rsidR="00BA1D9A" w:rsidRPr="00AA57EC" w:rsidRDefault="00BA1D9A">
            <w:pPr>
              <w:pStyle w:val="StylIwony"/>
              <w:spacing w:before="0" w:after="0"/>
              <w:rPr>
                <w:rFonts w:asciiTheme="minorHAnsi" w:hAnsiTheme="minorHAnsi" w:cstheme="minorHAnsi"/>
                <w:sz w:val="20"/>
                <w:szCs w:val="20"/>
              </w:rPr>
            </w:pPr>
            <w:r w:rsidRPr="00AA57EC">
              <w:rPr>
                <w:rFonts w:asciiTheme="minorHAnsi" w:hAnsiTheme="minorHAnsi" w:cstheme="minorHAnsi"/>
                <w:sz w:val="20"/>
                <w:szCs w:val="20"/>
              </w:rPr>
              <w:t>Rodzaje gruntu</w:t>
            </w:r>
          </w:p>
        </w:tc>
        <w:tc>
          <w:tcPr>
            <w:tcW w:w="851" w:type="dxa"/>
            <w:tcBorders>
              <w:top w:val="single" w:sz="6" w:space="0" w:color="auto"/>
              <w:left w:val="single" w:sz="6" w:space="0" w:color="auto"/>
              <w:bottom w:val="nil"/>
              <w:right w:val="single" w:sz="6" w:space="0" w:color="auto"/>
            </w:tcBorders>
          </w:tcPr>
          <w:p w14:paraId="1E7EF69A" w14:textId="77777777" w:rsidR="00BA1D9A" w:rsidRPr="00AA57EC" w:rsidRDefault="00BA1D9A">
            <w:pPr>
              <w:pStyle w:val="StylIwony"/>
              <w:spacing w:before="0" w:after="0"/>
              <w:rPr>
                <w:rFonts w:asciiTheme="minorHAnsi" w:hAnsiTheme="minorHAnsi" w:cstheme="minorHAnsi"/>
                <w:sz w:val="20"/>
                <w:szCs w:val="20"/>
              </w:rPr>
            </w:pPr>
          </w:p>
        </w:tc>
      </w:tr>
      <w:tr w:rsidR="00BA1D9A" w:rsidRPr="00AA57EC" w14:paraId="364B28F8" w14:textId="77777777" w:rsidTr="00BA1D9A">
        <w:trPr>
          <w:cantSplit/>
          <w:trHeight w:val="180"/>
        </w:trPr>
        <w:tc>
          <w:tcPr>
            <w:tcW w:w="2622" w:type="dxa"/>
            <w:tcBorders>
              <w:top w:val="nil"/>
              <w:left w:val="single" w:sz="6" w:space="0" w:color="000000"/>
              <w:bottom w:val="nil"/>
              <w:right w:val="single" w:sz="6" w:space="0" w:color="000000"/>
            </w:tcBorders>
            <w:hideMark/>
          </w:tcPr>
          <w:p w14:paraId="7F664138" w14:textId="77777777" w:rsidR="00BA1D9A" w:rsidRPr="00AA57EC" w:rsidRDefault="00BA1D9A">
            <w:pPr>
              <w:pStyle w:val="StylIwony"/>
              <w:spacing w:before="0" w:after="0"/>
              <w:rPr>
                <w:rFonts w:asciiTheme="minorHAnsi" w:hAnsiTheme="minorHAnsi" w:cstheme="minorHAnsi"/>
                <w:sz w:val="20"/>
                <w:szCs w:val="20"/>
              </w:rPr>
            </w:pPr>
            <w:r w:rsidRPr="00AA57EC">
              <w:rPr>
                <w:rFonts w:asciiTheme="minorHAnsi" w:hAnsiTheme="minorHAnsi" w:cstheme="minorHAnsi"/>
                <w:sz w:val="20"/>
                <w:szCs w:val="20"/>
              </w:rPr>
              <w:t>Rodzaje</w:t>
            </w:r>
          </w:p>
          <w:p w14:paraId="10E10692" w14:textId="77777777" w:rsidR="00BA1D9A" w:rsidRPr="00AA57EC" w:rsidRDefault="00BA1D9A">
            <w:pPr>
              <w:pStyle w:val="StylIwony"/>
              <w:spacing w:before="0" w:after="0"/>
              <w:rPr>
                <w:rFonts w:asciiTheme="minorHAnsi" w:hAnsiTheme="minorHAnsi" w:cstheme="minorHAnsi"/>
                <w:sz w:val="20"/>
                <w:szCs w:val="20"/>
              </w:rPr>
            </w:pPr>
            <w:r w:rsidRPr="00AA57EC">
              <w:rPr>
                <w:rFonts w:asciiTheme="minorHAnsi" w:hAnsiTheme="minorHAnsi" w:cstheme="minorHAnsi"/>
                <w:sz w:val="20"/>
                <w:szCs w:val="20"/>
              </w:rPr>
              <w:t>urządzeń</w:t>
            </w:r>
          </w:p>
        </w:tc>
        <w:tc>
          <w:tcPr>
            <w:tcW w:w="2126" w:type="dxa"/>
            <w:gridSpan w:val="2"/>
            <w:tcBorders>
              <w:top w:val="single" w:sz="6" w:space="0" w:color="auto"/>
              <w:left w:val="single" w:sz="6" w:space="0" w:color="000000"/>
              <w:bottom w:val="nil"/>
              <w:right w:val="single" w:sz="6" w:space="0" w:color="000000"/>
            </w:tcBorders>
            <w:hideMark/>
          </w:tcPr>
          <w:p w14:paraId="23C5C105" w14:textId="77777777" w:rsidR="00BA1D9A" w:rsidRPr="00AA57EC" w:rsidRDefault="00BA1D9A">
            <w:pPr>
              <w:pStyle w:val="StylIwony"/>
              <w:spacing w:before="0" w:after="0"/>
              <w:rPr>
                <w:rFonts w:asciiTheme="minorHAnsi" w:hAnsiTheme="minorHAnsi" w:cstheme="minorHAnsi"/>
                <w:sz w:val="20"/>
                <w:szCs w:val="20"/>
              </w:rPr>
            </w:pPr>
            <w:r w:rsidRPr="00AA57EC">
              <w:rPr>
                <w:rFonts w:asciiTheme="minorHAnsi" w:hAnsiTheme="minorHAnsi" w:cstheme="minorHAnsi"/>
                <w:sz w:val="20"/>
                <w:szCs w:val="20"/>
              </w:rPr>
              <w:t>niespoiste: piaski, żwiry, pospółki</w:t>
            </w:r>
          </w:p>
        </w:tc>
        <w:tc>
          <w:tcPr>
            <w:tcW w:w="2268" w:type="dxa"/>
            <w:gridSpan w:val="2"/>
            <w:tcBorders>
              <w:top w:val="single" w:sz="6" w:space="0" w:color="auto"/>
              <w:left w:val="single" w:sz="6" w:space="0" w:color="000000"/>
              <w:bottom w:val="single" w:sz="6" w:space="0" w:color="000000"/>
              <w:right w:val="single" w:sz="6" w:space="0" w:color="000000"/>
            </w:tcBorders>
            <w:hideMark/>
          </w:tcPr>
          <w:p w14:paraId="748A9635" w14:textId="77777777" w:rsidR="00BA1D9A" w:rsidRPr="00AA57EC" w:rsidRDefault="00BA1D9A">
            <w:pPr>
              <w:pStyle w:val="StylIwony"/>
              <w:spacing w:before="0" w:after="0"/>
              <w:rPr>
                <w:rFonts w:asciiTheme="minorHAnsi" w:hAnsiTheme="minorHAnsi" w:cstheme="minorHAnsi"/>
                <w:sz w:val="20"/>
                <w:szCs w:val="20"/>
              </w:rPr>
            </w:pPr>
            <w:r w:rsidRPr="00AA57EC">
              <w:rPr>
                <w:rFonts w:asciiTheme="minorHAnsi" w:hAnsiTheme="minorHAnsi" w:cstheme="minorHAnsi"/>
                <w:sz w:val="20"/>
                <w:szCs w:val="20"/>
              </w:rPr>
              <w:t>spoiste: pyły gliny, iły</w:t>
            </w:r>
          </w:p>
        </w:tc>
        <w:tc>
          <w:tcPr>
            <w:tcW w:w="1984" w:type="dxa"/>
            <w:gridSpan w:val="2"/>
            <w:tcBorders>
              <w:top w:val="single" w:sz="6" w:space="0" w:color="auto"/>
              <w:left w:val="single" w:sz="6" w:space="0" w:color="000000"/>
              <w:bottom w:val="single" w:sz="6" w:space="0" w:color="auto"/>
              <w:right w:val="nil"/>
            </w:tcBorders>
            <w:hideMark/>
          </w:tcPr>
          <w:p w14:paraId="03B174B5" w14:textId="77777777" w:rsidR="00BA1D9A" w:rsidRPr="00AA57EC" w:rsidRDefault="00BA1D9A">
            <w:pPr>
              <w:pStyle w:val="StylIwony"/>
              <w:spacing w:before="0" w:after="0"/>
              <w:rPr>
                <w:rFonts w:asciiTheme="minorHAnsi" w:hAnsiTheme="minorHAnsi" w:cstheme="minorHAnsi"/>
                <w:sz w:val="20"/>
                <w:szCs w:val="20"/>
              </w:rPr>
            </w:pPr>
            <w:r w:rsidRPr="00AA57EC">
              <w:rPr>
                <w:rFonts w:asciiTheme="minorHAnsi" w:hAnsiTheme="minorHAnsi" w:cstheme="minorHAnsi"/>
                <w:sz w:val="20"/>
                <w:szCs w:val="20"/>
              </w:rPr>
              <w:t xml:space="preserve">gruboziarniste </w:t>
            </w:r>
          </w:p>
          <w:p w14:paraId="49D6E433" w14:textId="77777777" w:rsidR="00BA1D9A" w:rsidRPr="00AA57EC" w:rsidRDefault="00BA1D9A">
            <w:pPr>
              <w:pStyle w:val="StylIwony"/>
              <w:spacing w:before="0" w:after="0"/>
              <w:rPr>
                <w:rFonts w:asciiTheme="minorHAnsi" w:hAnsiTheme="minorHAnsi" w:cstheme="minorHAnsi"/>
                <w:sz w:val="20"/>
                <w:szCs w:val="20"/>
              </w:rPr>
            </w:pPr>
            <w:r w:rsidRPr="00AA57EC">
              <w:rPr>
                <w:rFonts w:asciiTheme="minorHAnsi" w:hAnsiTheme="minorHAnsi" w:cstheme="minorHAnsi"/>
                <w:sz w:val="20"/>
                <w:szCs w:val="20"/>
              </w:rPr>
              <w:t>i kamieniste</w:t>
            </w:r>
          </w:p>
        </w:tc>
        <w:tc>
          <w:tcPr>
            <w:tcW w:w="851" w:type="dxa"/>
            <w:tcBorders>
              <w:top w:val="nil"/>
              <w:left w:val="single" w:sz="6" w:space="0" w:color="auto"/>
              <w:bottom w:val="nil"/>
              <w:right w:val="single" w:sz="6" w:space="0" w:color="auto"/>
            </w:tcBorders>
            <w:hideMark/>
          </w:tcPr>
          <w:p w14:paraId="53FD44F4" w14:textId="77777777" w:rsidR="00BA1D9A" w:rsidRPr="00AA57EC" w:rsidRDefault="00BA1D9A">
            <w:pPr>
              <w:pStyle w:val="StylIwony"/>
              <w:spacing w:before="0" w:after="0"/>
              <w:rPr>
                <w:rFonts w:asciiTheme="minorHAnsi" w:hAnsiTheme="minorHAnsi" w:cstheme="minorHAnsi"/>
                <w:sz w:val="20"/>
                <w:szCs w:val="20"/>
              </w:rPr>
            </w:pPr>
            <w:r w:rsidRPr="00AA57EC">
              <w:rPr>
                <w:rFonts w:asciiTheme="minorHAnsi" w:hAnsiTheme="minorHAnsi" w:cstheme="minorHAnsi"/>
                <w:sz w:val="20"/>
                <w:szCs w:val="20"/>
              </w:rPr>
              <w:t>Uwagi o przydat-</w:t>
            </w:r>
          </w:p>
        </w:tc>
      </w:tr>
      <w:tr w:rsidR="00BA1D9A" w:rsidRPr="00AA57EC" w14:paraId="02D48073" w14:textId="77777777" w:rsidTr="00BA1D9A">
        <w:trPr>
          <w:cantSplit/>
        </w:trPr>
        <w:tc>
          <w:tcPr>
            <w:tcW w:w="2622" w:type="dxa"/>
            <w:tcBorders>
              <w:top w:val="nil"/>
              <w:left w:val="single" w:sz="6" w:space="0" w:color="000000"/>
              <w:bottom w:val="single" w:sz="6" w:space="0" w:color="000000"/>
              <w:right w:val="single" w:sz="6" w:space="0" w:color="000000"/>
            </w:tcBorders>
            <w:hideMark/>
          </w:tcPr>
          <w:p w14:paraId="7C6F943F" w14:textId="77777777" w:rsidR="00BA1D9A" w:rsidRPr="00AA57EC" w:rsidRDefault="00BA1D9A">
            <w:pPr>
              <w:pStyle w:val="StylIwony"/>
              <w:spacing w:before="0" w:after="0"/>
              <w:rPr>
                <w:rFonts w:asciiTheme="minorHAnsi" w:hAnsiTheme="minorHAnsi" w:cstheme="minorHAnsi"/>
                <w:sz w:val="20"/>
                <w:szCs w:val="20"/>
              </w:rPr>
            </w:pPr>
            <w:r w:rsidRPr="00AA57EC">
              <w:rPr>
                <w:rFonts w:asciiTheme="minorHAnsi" w:hAnsiTheme="minorHAnsi" w:cstheme="minorHAnsi"/>
                <w:sz w:val="20"/>
                <w:szCs w:val="20"/>
              </w:rPr>
              <w:t>zagęszczających</w:t>
            </w:r>
          </w:p>
        </w:tc>
        <w:tc>
          <w:tcPr>
            <w:tcW w:w="993" w:type="dxa"/>
            <w:tcBorders>
              <w:top w:val="single" w:sz="6" w:space="0" w:color="auto"/>
              <w:left w:val="single" w:sz="6" w:space="0" w:color="000000"/>
              <w:bottom w:val="single" w:sz="6" w:space="0" w:color="000000"/>
              <w:right w:val="single" w:sz="6" w:space="0" w:color="000000"/>
            </w:tcBorders>
            <w:hideMark/>
          </w:tcPr>
          <w:p w14:paraId="5F973324" w14:textId="77777777" w:rsidR="00BA1D9A" w:rsidRPr="00AA57EC" w:rsidRDefault="00BA1D9A">
            <w:pPr>
              <w:pStyle w:val="StylIwony"/>
              <w:spacing w:before="0" w:after="0"/>
              <w:rPr>
                <w:rFonts w:asciiTheme="minorHAnsi" w:hAnsiTheme="minorHAnsi" w:cstheme="minorHAnsi"/>
                <w:sz w:val="20"/>
                <w:szCs w:val="20"/>
              </w:rPr>
            </w:pPr>
            <w:r w:rsidRPr="00AA57EC">
              <w:rPr>
                <w:rFonts w:asciiTheme="minorHAnsi" w:hAnsiTheme="minorHAnsi" w:cstheme="minorHAnsi"/>
                <w:sz w:val="20"/>
                <w:szCs w:val="20"/>
              </w:rPr>
              <w:t>grubość warstwy</w:t>
            </w:r>
          </w:p>
          <w:p w14:paraId="4691C877" w14:textId="77777777" w:rsidR="00BA1D9A" w:rsidRPr="00AA57EC" w:rsidRDefault="00BA1D9A">
            <w:pPr>
              <w:pStyle w:val="StylIwony"/>
              <w:spacing w:before="0" w:after="0"/>
              <w:rPr>
                <w:rFonts w:asciiTheme="minorHAnsi" w:hAnsiTheme="minorHAnsi" w:cstheme="minorHAnsi"/>
                <w:sz w:val="20"/>
                <w:szCs w:val="20"/>
              </w:rPr>
            </w:pPr>
            <w:r w:rsidRPr="00AA57EC">
              <w:rPr>
                <w:rFonts w:asciiTheme="minorHAnsi" w:hAnsiTheme="minorHAnsi" w:cstheme="minorHAnsi"/>
                <w:sz w:val="20"/>
                <w:szCs w:val="20"/>
              </w:rPr>
              <w:t>[ m ]</w:t>
            </w:r>
          </w:p>
        </w:tc>
        <w:tc>
          <w:tcPr>
            <w:tcW w:w="1133" w:type="dxa"/>
            <w:tcBorders>
              <w:top w:val="single" w:sz="6" w:space="0" w:color="auto"/>
              <w:left w:val="single" w:sz="6" w:space="0" w:color="000000"/>
              <w:bottom w:val="single" w:sz="6" w:space="0" w:color="000000"/>
              <w:right w:val="single" w:sz="6" w:space="0" w:color="000000"/>
            </w:tcBorders>
            <w:hideMark/>
          </w:tcPr>
          <w:p w14:paraId="61C455A5" w14:textId="77777777" w:rsidR="00BA1D9A" w:rsidRPr="00AA57EC" w:rsidRDefault="00BA1D9A">
            <w:pPr>
              <w:pStyle w:val="StylIwony"/>
              <w:spacing w:before="0" w:after="0"/>
              <w:rPr>
                <w:rFonts w:asciiTheme="minorHAnsi" w:hAnsiTheme="minorHAnsi" w:cstheme="minorHAnsi"/>
                <w:sz w:val="20"/>
                <w:szCs w:val="20"/>
              </w:rPr>
            </w:pPr>
            <w:r w:rsidRPr="00AA57EC">
              <w:rPr>
                <w:rFonts w:asciiTheme="minorHAnsi" w:hAnsiTheme="minorHAnsi" w:cstheme="minorHAnsi"/>
                <w:sz w:val="20"/>
                <w:szCs w:val="20"/>
              </w:rPr>
              <w:t>liczba przejść</w:t>
            </w:r>
          </w:p>
          <w:p w14:paraId="441681AB" w14:textId="77777777" w:rsidR="00BA1D9A" w:rsidRPr="00AA57EC" w:rsidRDefault="00BA1D9A">
            <w:pPr>
              <w:pStyle w:val="StylIwony"/>
              <w:spacing w:before="0" w:after="0"/>
              <w:rPr>
                <w:rFonts w:asciiTheme="minorHAnsi" w:hAnsiTheme="minorHAnsi" w:cstheme="minorHAnsi"/>
                <w:sz w:val="20"/>
                <w:szCs w:val="20"/>
                <w:vertAlign w:val="superscript"/>
              </w:rPr>
            </w:pPr>
            <w:r w:rsidRPr="00AA57EC">
              <w:rPr>
                <w:rFonts w:asciiTheme="minorHAnsi" w:hAnsiTheme="minorHAnsi" w:cstheme="minorHAnsi"/>
                <w:sz w:val="20"/>
                <w:szCs w:val="20"/>
              </w:rPr>
              <w:t>n ***</w:t>
            </w:r>
          </w:p>
        </w:tc>
        <w:tc>
          <w:tcPr>
            <w:tcW w:w="1134" w:type="dxa"/>
            <w:tcBorders>
              <w:top w:val="single" w:sz="6" w:space="0" w:color="000000"/>
              <w:left w:val="single" w:sz="6" w:space="0" w:color="000000"/>
              <w:bottom w:val="single" w:sz="6" w:space="0" w:color="000000"/>
              <w:right w:val="single" w:sz="6" w:space="0" w:color="000000"/>
            </w:tcBorders>
            <w:hideMark/>
          </w:tcPr>
          <w:p w14:paraId="2E795816" w14:textId="77777777" w:rsidR="00BA1D9A" w:rsidRPr="00AA57EC" w:rsidRDefault="00BA1D9A">
            <w:pPr>
              <w:pStyle w:val="StylIwony"/>
              <w:spacing w:before="0" w:after="0"/>
              <w:rPr>
                <w:rFonts w:asciiTheme="minorHAnsi" w:hAnsiTheme="minorHAnsi" w:cstheme="minorHAnsi"/>
                <w:sz w:val="20"/>
                <w:szCs w:val="20"/>
              </w:rPr>
            </w:pPr>
            <w:r w:rsidRPr="00AA57EC">
              <w:rPr>
                <w:rFonts w:asciiTheme="minorHAnsi" w:hAnsiTheme="minorHAnsi" w:cstheme="minorHAnsi"/>
                <w:sz w:val="20"/>
                <w:szCs w:val="20"/>
              </w:rPr>
              <w:t>grubość warstwy</w:t>
            </w:r>
          </w:p>
          <w:p w14:paraId="00350B1A" w14:textId="77777777" w:rsidR="00BA1D9A" w:rsidRPr="00AA57EC" w:rsidRDefault="00BA1D9A">
            <w:pPr>
              <w:pStyle w:val="StylIwony"/>
              <w:spacing w:before="0" w:after="0"/>
              <w:rPr>
                <w:rFonts w:asciiTheme="minorHAnsi" w:hAnsiTheme="minorHAnsi" w:cstheme="minorHAnsi"/>
                <w:sz w:val="20"/>
                <w:szCs w:val="20"/>
              </w:rPr>
            </w:pPr>
            <w:r w:rsidRPr="00AA57EC">
              <w:rPr>
                <w:rFonts w:asciiTheme="minorHAnsi" w:hAnsiTheme="minorHAnsi" w:cstheme="minorHAnsi"/>
                <w:sz w:val="20"/>
                <w:szCs w:val="20"/>
              </w:rPr>
              <w:t>[ m ]</w:t>
            </w:r>
          </w:p>
        </w:tc>
        <w:tc>
          <w:tcPr>
            <w:tcW w:w="1134" w:type="dxa"/>
            <w:tcBorders>
              <w:top w:val="single" w:sz="6" w:space="0" w:color="000000"/>
              <w:left w:val="single" w:sz="6" w:space="0" w:color="000000"/>
              <w:bottom w:val="single" w:sz="6" w:space="0" w:color="000000"/>
              <w:right w:val="single" w:sz="6" w:space="0" w:color="000000"/>
            </w:tcBorders>
            <w:hideMark/>
          </w:tcPr>
          <w:p w14:paraId="0DF7A663" w14:textId="77777777" w:rsidR="00BA1D9A" w:rsidRPr="00AA57EC" w:rsidRDefault="00BA1D9A">
            <w:pPr>
              <w:pStyle w:val="StylIwony"/>
              <w:spacing w:before="0" w:after="0"/>
              <w:rPr>
                <w:rFonts w:asciiTheme="minorHAnsi" w:hAnsiTheme="minorHAnsi" w:cstheme="minorHAnsi"/>
                <w:sz w:val="20"/>
                <w:szCs w:val="20"/>
              </w:rPr>
            </w:pPr>
            <w:r w:rsidRPr="00AA57EC">
              <w:rPr>
                <w:rFonts w:asciiTheme="minorHAnsi" w:hAnsiTheme="minorHAnsi" w:cstheme="minorHAnsi"/>
                <w:sz w:val="20"/>
                <w:szCs w:val="20"/>
              </w:rPr>
              <w:t>liczba przejść</w:t>
            </w:r>
          </w:p>
          <w:p w14:paraId="70B6D172" w14:textId="77777777" w:rsidR="00BA1D9A" w:rsidRPr="00AA57EC" w:rsidRDefault="00BA1D9A">
            <w:pPr>
              <w:pStyle w:val="StylIwony"/>
              <w:spacing w:before="0" w:after="0"/>
              <w:rPr>
                <w:rFonts w:asciiTheme="minorHAnsi" w:hAnsiTheme="minorHAnsi" w:cstheme="minorHAnsi"/>
                <w:sz w:val="20"/>
                <w:szCs w:val="20"/>
              </w:rPr>
            </w:pPr>
            <w:r w:rsidRPr="00AA57EC">
              <w:rPr>
                <w:rFonts w:asciiTheme="minorHAnsi" w:hAnsiTheme="minorHAnsi" w:cstheme="minorHAnsi"/>
                <w:sz w:val="20"/>
                <w:szCs w:val="20"/>
              </w:rPr>
              <w:t>n ***</w:t>
            </w:r>
          </w:p>
        </w:tc>
        <w:tc>
          <w:tcPr>
            <w:tcW w:w="1134" w:type="dxa"/>
            <w:tcBorders>
              <w:top w:val="single" w:sz="6" w:space="0" w:color="000000"/>
              <w:left w:val="single" w:sz="6" w:space="0" w:color="000000"/>
              <w:bottom w:val="single" w:sz="6" w:space="0" w:color="000000"/>
              <w:right w:val="single" w:sz="6" w:space="0" w:color="000000"/>
            </w:tcBorders>
            <w:hideMark/>
          </w:tcPr>
          <w:p w14:paraId="308DF470" w14:textId="77777777" w:rsidR="00BA1D9A" w:rsidRPr="00AA57EC" w:rsidRDefault="00BA1D9A">
            <w:pPr>
              <w:pStyle w:val="StylIwony"/>
              <w:spacing w:before="0" w:after="0"/>
              <w:rPr>
                <w:rFonts w:asciiTheme="minorHAnsi" w:hAnsiTheme="minorHAnsi" w:cstheme="minorHAnsi"/>
                <w:sz w:val="20"/>
                <w:szCs w:val="20"/>
              </w:rPr>
            </w:pPr>
            <w:r w:rsidRPr="00AA57EC">
              <w:rPr>
                <w:rFonts w:asciiTheme="minorHAnsi" w:hAnsiTheme="minorHAnsi" w:cstheme="minorHAnsi"/>
                <w:sz w:val="20"/>
                <w:szCs w:val="20"/>
              </w:rPr>
              <w:t>grubość warstwy</w:t>
            </w:r>
          </w:p>
          <w:p w14:paraId="50E739A3" w14:textId="77777777" w:rsidR="00BA1D9A" w:rsidRPr="00AA57EC" w:rsidRDefault="00BA1D9A">
            <w:pPr>
              <w:pStyle w:val="StylIwony"/>
              <w:spacing w:before="0" w:after="0"/>
              <w:rPr>
                <w:rFonts w:asciiTheme="minorHAnsi" w:hAnsiTheme="minorHAnsi" w:cstheme="minorHAnsi"/>
                <w:sz w:val="20"/>
                <w:szCs w:val="20"/>
              </w:rPr>
            </w:pPr>
            <w:r w:rsidRPr="00AA57EC">
              <w:rPr>
                <w:rFonts w:asciiTheme="minorHAnsi" w:hAnsiTheme="minorHAnsi" w:cstheme="minorHAnsi"/>
                <w:sz w:val="20"/>
                <w:szCs w:val="20"/>
              </w:rPr>
              <w:t>[ m ]</w:t>
            </w:r>
          </w:p>
        </w:tc>
        <w:tc>
          <w:tcPr>
            <w:tcW w:w="850" w:type="dxa"/>
            <w:tcBorders>
              <w:top w:val="single" w:sz="6" w:space="0" w:color="000000"/>
              <w:left w:val="single" w:sz="6" w:space="0" w:color="000000"/>
              <w:bottom w:val="single" w:sz="6" w:space="0" w:color="000000"/>
              <w:right w:val="nil"/>
            </w:tcBorders>
            <w:hideMark/>
          </w:tcPr>
          <w:p w14:paraId="519B10F5" w14:textId="77777777" w:rsidR="00BA1D9A" w:rsidRPr="00AA57EC" w:rsidRDefault="00BA1D9A">
            <w:pPr>
              <w:pStyle w:val="StylIwony"/>
              <w:spacing w:before="0" w:after="0"/>
              <w:rPr>
                <w:rFonts w:asciiTheme="minorHAnsi" w:hAnsiTheme="minorHAnsi" w:cstheme="minorHAnsi"/>
                <w:sz w:val="20"/>
                <w:szCs w:val="20"/>
              </w:rPr>
            </w:pPr>
            <w:r w:rsidRPr="00AA57EC">
              <w:rPr>
                <w:rFonts w:asciiTheme="minorHAnsi" w:hAnsiTheme="minorHAnsi" w:cstheme="minorHAnsi"/>
                <w:sz w:val="20"/>
                <w:szCs w:val="20"/>
              </w:rPr>
              <w:t>liczba przejść</w:t>
            </w:r>
          </w:p>
          <w:p w14:paraId="44E672AD" w14:textId="77777777" w:rsidR="00BA1D9A" w:rsidRPr="00AA57EC" w:rsidRDefault="00BA1D9A">
            <w:pPr>
              <w:pStyle w:val="StylIwony"/>
              <w:spacing w:before="0" w:after="0"/>
              <w:rPr>
                <w:rFonts w:asciiTheme="minorHAnsi" w:hAnsiTheme="minorHAnsi" w:cstheme="minorHAnsi"/>
                <w:sz w:val="20"/>
                <w:szCs w:val="20"/>
                <w:vertAlign w:val="superscript"/>
              </w:rPr>
            </w:pPr>
            <w:r w:rsidRPr="00AA57EC">
              <w:rPr>
                <w:rFonts w:asciiTheme="minorHAnsi" w:hAnsiTheme="minorHAnsi" w:cstheme="minorHAnsi"/>
                <w:sz w:val="20"/>
                <w:szCs w:val="20"/>
              </w:rPr>
              <w:t>n ***</w:t>
            </w:r>
          </w:p>
        </w:tc>
        <w:tc>
          <w:tcPr>
            <w:tcW w:w="851" w:type="dxa"/>
            <w:tcBorders>
              <w:top w:val="nil"/>
              <w:left w:val="single" w:sz="6" w:space="0" w:color="auto"/>
              <w:bottom w:val="single" w:sz="6" w:space="0" w:color="auto"/>
              <w:right w:val="single" w:sz="6" w:space="0" w:color="auto"/>
            </w:tcBorders>
            <w:hideMark/>
          </w:tcPr>
          <w:p w14:paraId="57CA315C" w14:textId="77777777" w:rsidR="00BA1D9A" w:rsidRPr="00AA57EC" w:rsidRDefault="00BA1D9A">
            <w:pPr>
              <w:pStyle w:val="StylIwony"/>
              <w:spacing w:before="0" w:after="0"/>
              <w:rPr>
                <w:rFonts w:asciiTheme="minorHAnsi" w:hAnsiTheme="minorHAnsi" w:cstheme="minorHAnsi"/>
                <w:sz w:val="20"/>
                <w:szCs w:val="20"/>
              </w:rPr>
            </w:pPr>
            <w:r w:rsidRPr="00AA57EC">
              <w:rPr>
                <w:rFonts w:asciiTheme="minorHAnsi" w:hAnsiTheme="minorHAnsi" w:cstheme="minorHAnsi"/>
                <w:sz w:val="20"/>
                <w:szCs w:val="20"/>
              </w:rPr>
              <w:t>ności maszyn</w:t>
            </w:r>
          </w:p>
        </w:tc>
      </w:tr>
      <w:tr w:rsidR="00BA1D9A" w:rsidRPr="00AA57EC" w14:paraId="22DEA451" w14:textId="77777777" w:rsidTr="00BA1D9A">
        <w:tc>
          <w:tcPr>
            <w:tcW w:w="2622" w:type="dxa"/>
            <w:tcBorders>
              <w:top w:val="single" w:sz="6" w:space="0" w:color="000000"/>
              <w:left w:val="single" w:sz="6" w:space="0" w:color="000000"/>
              <w:bottom w:val="single" w:sz="6" w:space="0" w:color="000000"/>
              <w:right w:val="single" w:sz="6" w:space="0" w:color="000000"/>
            </w:tcBorders>
            <w:hideMark/>
          </w:tcPr>
          <w:p w14:paraId="2D507014" w14:textId="77777777" w:rsidR="00BA1D9A" w:rsidRPr="00AA57EC" w:rsidRDefault="00BA1D9A">
            <w:pPr>
              <w:pStyle w:val="StylIwony"/>
              <w:spacing w:before="0" w:after="0"/>
              <w:rPr>
                <w:rFonts w:asciiTheme="minorHAnsi" w:hAnsiTheme="minorHAnsi" w:cstheme="minorHAnsi"/>
                <w:sz w:val="20"/>
                <w:szCs w:val="20"/>
              </w:rPr>
            </w:pPr>
            <w:r w:rsidRPr="00AA57EC">
              <w:rPr>
                <w:rFonts w:asciiTheme="minorHAnsi" w:hAnsiTheme="minorHAnsi" w:cstheme="minorHAnsi"/>
                <w:sz w:val="20"/>
                <w:szCs w:val="20"/>
              </w:rPr>
              <w:t xml:space="preserve">Walce statyczne </w:t>
            </w:r>
          </w:p>
          <w:p w14:paraId="01E880DE" w14:textId="77777777" w:rsidR="00BA1D9A" w:rsidRPr="00AA57EC" w:rsidRDefault="00BA1D9A">
            <w:pPr>
              <w:pStyle w:val="StylIwony"/>
              <w:spacing w:before="0" w:after="0"/>
              <w:rPr>
                <w:rFonts w:asciiTheme="minorHAnsi" w:hAnsiTheme="minorHAnsi" w:cstheme="minorHAnsi"/>
                <w:sz w:val="20"/>
                <w:szCs w:val="20"/>
              </w:rPr>
            </w:pPr>
            <w:r w:rsidRPr="00AA57EC">
              <w:rPr>
                <w:rFonts w:asciiTheme="minorHAnsi" w:hAnsiTheme="minorHAnsi" w:cstheme="minorHAnsi"/>
                <w:sz w:val="20"/>
                <w:szCs w:val="20"/>
              </w:rPr>
              <w:t xml:space="preserve"> gładkie *</w:t>
            </w:r>
          </w:p>
        </w:tc>
        <w:tc>
          <w:tcPr>
            <w:tcW w:w="993" w:type="dxa"/>
            <w:tcBorders>
              <w:top w:val="single" w:sz="6" w:space="0" w:color="000000"/>
              <w:left w:val="single" w:sz="6" w:space="0" w:color="000000"/>
              <w:bottom w:val="single" w:sz="6" w:space="0" w:color="000000"/>
              <w:right w:val="single" w:sz="6" w:space="0" w:color="000000"/>
            </w:tcBorders>
            <w:hideMark/>
          </w:tcPr>
          <w:p w14:paraId="4FA487B5" w14:textId="77777777" w:rsidR="00BA1D9A" w:rsidRPr="00AA57EC" w:rsidRDefault="00BA1D9A">
            <w:pPr>
              <w:pStyle w:val="StylIwony"/>
              <w:spacing w:before="0" w:after="0"/>
              <w:rPr>
                <w:rFonts w:asciiTheme="minorHAnsi" w:hAnsiTheme="minorHAnsi" w:cstheme="minorHAnsi"/>
                <w:sz w:val="20"/>
                <w:szCs w:val="20"/>
              </w:rPr>
            </w:pPr>
            <w:r w:rsidRPr="00AA57EC">
              <w:rPr>
                <w:rFonts w:asciiTheme="minorHAnsi" w:hAnsiTheme="minorHAnsi" w:cstheme="minorHAnsi"/>
                <w:sz w:val="20"/>
                <w:szCs w:val="20"/>
              </w:rPr>
              <w:t>0,1 do 0,2</w:t>
            </w:r>
          </w:p>
        </w:tc>
        <w:tc>
          <w:tcPr>
            <w:tcW w:w="1133" w:type="dxa"/>
            <w:tcBorders>
              <w:top w:val="single" w:sz="6" w:space="0" w:color="000000"/>
              <w:left w:val="single" w:sz="6" w:space="0" w:color="000000"/>
              <w:bottom w:val="single" w:sz="6" w:space="0" w:color="000000"/>
              <w:right w:val="single" w:sz="6" w:space="0" w:color="000000"/>
            </w:tcBorders>
            <w:hideMark/>
          </w:tcPr>
          <w:p w14:paraId="75F71A65" w14:textId="77777777" w:rsidR="00BA1D9A" w:rsidRPr="00AA57EC" w:rsidRDefault="00BA1D9A">
            <w:pPr>
              <w:pStyle w:val="StylIwony"/>
              <w:spacing w:before="0" w:after="0"/>
              <w:rPr>
                <w:rFonts w:asciiTheme="minorHAnsi" w:hAnsiTheme="minorHAnsi" w:cstheme="minorHAnsi"/>
                <w:sz w:val="20"/>
                <w:szCs w:val="20"/>
              </w:rPr>
            </w:pPr>
            <w:r w:rsidRPr="00AA57EC">
              <w:rPr>
                <w:rFonts w:asciiTheme="minorHAnsi" w:hAnsiTheme="minorHAnsi" w:cstheme="minorHAnsi"/>
                <w:sz w:val="20"/>
                <w:szCs w:val="20"/>
              </w:rPr>
              <w:t>4 do 8</w:t>
            </w:r>
          </w:p>
        </w:tc>
        <w:tc>
          <w:tcPr>
            <w:tcW w:w="1134" w:type="dxa"/>
            <w:tcBorders>
              <w:top w:val="single" w:sz="6" w:space="0" w:color="000000"/>
              <w:left w:val="single" w:sz="6" w:space="0" w:color="000000"/>
              <w:bottom w:val="single" w:sz="6" w:space="0" w:color="000000"/>
              <w:right w:val="single" w:sz="6" w:space="0" w:color="000000"/>
            </w:tcBorders>
            <w:hideMark/>
          </w:tcPr>
          <w:p w14:paraId="23BC9E43" w14:textId="77777777" w:rsidR="00BA1D9A" w:rsidRPr="00AA57EC" w:rsidRDefault="00BA1D9A">
            <w:pPr>
              <w:pStyle w:val="StylIwony"/>
              <w:spacing w:before="0" w:after="0"/>
              <w:rPr>
                <w:rFonts w:asciiTheme="minorHAnsi" w:hAnsiTheme="minorHAnsi" w:cstheme="minorHAnsi"/>
                <w:sz w:val="20"/>
                <w:szCs w:val="20"/>
              </w:rPr>
            </w:pPr>
            <w:r w:rsidRPr="00AA57EC">
              <w:rPr>
                <w:rFonts w:asciiTheme="minorHAnsi" w:hAnsiTheme="minorHAnsi" w:cstheme="minorHAnsi"/>
                <w:sz w:val="20"/>
                <w:szCs w:val="20"/>
              </w:rPr>
              <w:t>0,1 do 0,2</w:t>
            </w:r>
          </w:p>
        </w:tc>
        <w:tc>
          <w:tcPr>
            <w:tcW w:w="1134" w:type="dxa"/>
            <w:tcBorders>
              <w:top w:val="single" w:sz="6" w:space="0" w:color="000000"/>
              <w:left w:val="single" w:sz="6" w:space="0" w:color="000000"/>
              <w:bottom w:val="single" w:sz="6" w:space="0" w:color="000000"/>
              <w:right w:val="single" w:sz="6" w:space="0" w:color="000000"/>
            </w:tcBorders>
            <w:hideMark/>
          </w:tcPr>
          <w:p w14:paraId="161036B3" w14:textId="77777777" w:rsidR="00BA1D9A" w:rsidRPr="00AA57EC" w:rsidRDefault="00BA1D9A">
            <w:pPr>
              <w:pStyle w:val="StylIwony"/>
              <w:spacing w:before="0" w:after="0"/>
              <w:rPr>
                <w:rFonts w:asciiTheme="minorHAnsi" w:hAnsiTheme="minorHAnsi" w:cstheme="minorHAnsi"/>
                <w:sz w:val="20"/>
                <w:szCs w:val="20"/>
              </w:rPr>
            </w:pPr>
            <w:r w:rsidRPr="00AA57EC">
              <w:rPr>
                <w:rFonts w:asciiTheme="minorHAnsi" w:hAnsiTheme="minorHAnsi" w:cstheme="minorHAnsi"/>
                <w:sz w:val="20"/>
                <w:szCs w:val="20"/>
              </w:rPr>
              <w:t>4 do 8</w:t>
            </w:r>
          </w:p>
        </w:tc>
        <w:tc>
          <w:tcPr>
            <w:tcW w:w="1134" w:type="dxa"/>
            <w:tcBorders>
              <w:top w:val="single" w:sz="6" w:space="0" w:color="000000"/>
              <w:left w:val="single" w:sz="6" w:space="0" w:color="000000"/>
              <w:bottom w:val="single" w:sz="6" w:space="0" w:color="000000"/>
              <w:right w:val="single" w:sz="6" w:space="0" w:color="000000"/>
            </w:tcBorders>
            <w:hideMark/>
          </w:tcPr>
          <w:p w14:paraId="070F3A03" w14:textId="77777777" w:rsidR="00BA1D9A" w:rsidRPr="00AA57EC" w:rsidRDefault="00BA1D9A">
            <w:pPr>
              <w:pStyle w:val="StylIwony"/>
              <w:spacing w:before="0" w:after="0"/>
              <w:rPr>
                <w:rFonts w:asciiTheme="minorHAnsi" w:hAnsiTheme="minorHAnsi" w:cstheme="minorHAnsi"/>
                <w:sz w:val="20"/>
                <w:szCs w:val="20"/>
              </w:rPr>
            </w:pPr>
            <w:r w:rsidRPr="00AA57EC">
              <w:rPr>
                <w:rFonts w:asciiTheme="minorHAnsi" w:hAnsiTheme="minorHAnsi" w:cstheme="minorHAnsi"/>
                <w:sz w:val="20"/>
                <w:szCs w:val="20"/>
              </w:rPr>
              <w:t>0,2 do 0,3</w:t>
            </w:r>
          </w:p>
        </w:tc>
        <w:tc>
          <w:tcPr>
            <w:tcW w:w="850" w:type="dxa"/>
            <w:tcBorders>
              <w:top w:val="single" w:sz="6" w:space="0" w:color="000000"/>
              <w:left w:val="single" w:sz="6" w:space="0" w:color="000000"/>
              <w:bottom w:val="single" w:sz="6" w:space="0" w:color="000000"/>
              <w:right w:val="single" w:sz="6" w:space="0" w:color="auto"/>
            </w:tcBorders>
            <w:hideMark/>
          </w:tcPr>
          <w:p w14:paraId="6E31356B" w14:textId="77777777" w:rsidR="00BA1D9A" w:rsidRPr="00AA57EC" w:rsidRDefault="00BA1D9A">
            <w:pPr>
              <w:pStyle w:val="StylIwony"/>
              <w:spacing w:before="0" w:after="0"/>
              <w:rPr>
                <w:rFonts w:asciiTheme="minorHAnsi" w:hAnsiTheme="minorHAnsi" w:cstheme="minorHAnsi"/>
                <w:sz w:val="20"/>
                <w:szCs w:val="20"/>
              </w:rPr>
            </w:pPr>
            <w:r w:rsidRPr="00AA57EC">
              <w:rPr>
                <w:rFonts w:asciiTheme="minorHAnsi" w:hAnsiTheme="minorHAnsi" w:cstheme="minorHAnsi"/>
                <w:sz w:val="20"/>
                <w:szCs w:val="20"/>
              </w:rPr>
              <w:t>4 do 8</w:t>
            </w:r>
          </w:p>
        </w:tc>
        <w:tc>
          <w:tcPr>
            <w:tcW w:w="851" w:type="dxa"/>
            <w:tcBorders>
              <w:top w:val="nil"/>
              <w:left w:val="single" w:sz="6" w:space="0" w:color="auto"/>
              <w:bottom w:val="single" w:sz="6" w:space="0" w:color="000000"/>
              <w:right w:val="single" w:sz="6" w:space="0" w:color="auto"/>
            </w:tcBorders>
            <w:hideMark/>
          </w:tcPr>
          <w:p w14:paraId="70DB29C7" w14:textId="77777777" w:rsidR="00BA1D9A" w:rsidRPr="00AA57EC" w:rsidRDefault="00BA1D9A">
            <w:pPr>
              <w:pStyle w:val="StylIwony"/>
              <w:spacing w:before="0" w:after="0"/>
              <w:rPr>
                <w:rFonts w:asciiTheme="minorHAnsi" w:hAnsiTheme="minorHAnsi" w:cstheme="minorHAnsi"/>
                <w:sz w:val="20"/>
                <w:szCs w:val="20"/>
              </w:rPr>
            </w:pPr>
            <w:r w:rsidRPr="00AA57EC">
              <w:rPr>
                <w:rFonts w:asciiTheme="minorHAnsi" w:hAnsiTheme="minorHAnsi" w:cstheme="minorHAnsi"/>
                <w:sz w:val="20"/>
                <w:szCs w:val="20"/>
              </w:rPr>
              <w:t>1)</w:t>
            </w:r>
          </w:p>
        </w:tc>
      </w:tr>
      <w:tr w:rsidR="00BA1D9A" w:rsidRPr="00AA57EC" w14:paraId="7716C1C7" w14:textId="77777777" w:rsidTr="00BA1D9A">
        <w:tc>
          <w:tcPr>
            <w:tcW w:w="2622" w:type="dxa"/>
            <w:tcBorders>
              <w:top w:val="single" w:sz="6" w:space="0" w:color="000000"/>
              <w:left w:val="single" w:sz="6" w:space="0" w:color="000000"/>
              <w:bottom w:val="single" w:sz="6" w:space="0" w:color="000000"/>
              <w:right w:val="single" w:sz="6" w:space="0" w:color="000000"/>
            </w:tcBorders>
            <w:hideMark/>
          </w:tcPr>
          <w:p w14:paraId="525275FD" w14:textId="77777777" w:rsidR="00BA1D9A" w:rsidRPr="00AA57EC" w:rsidRDefault="00BA1D9A">
            <w:pPr>
              <w:pStyle w:val="StylIwony"/>
              <w:spacing w:before="0" w:after="0"/>
              <w:rPr>
                <w:rFonts w:asciiTheme="minorHAnsi" w:hAnsiTheme="minorHAnsi" w:cstheme="minorHAnsi"/>
                <w:sz w:val="20"/>
                <w:szCs w:val="20"/>
                <w:vertAlign w:val="superscript"/>
              </w:rPr>
            </w:pPr>
            <w:r w:rsidRPr="00AA57EC">
              <w:rPr>
                <w:rFonts w:asciiTheme="minorHAnsi" w:hAnsiTheme="minorHAnsi" w:cstheme="minorHAnsi"/>
                <w:sz w:val="20"/>
                <w:szCs w:val="20"/>
              </w:rPr>
              <w:t>Walce statyczne okołkowane *</w:t>
            </w:r>
          </w:p>
        </w:tc>
        <w:tc>
          <w:tcPr>
            <w:tcW w:w="993" w:type="dxa"/>
            <w:tcBorders>
              <w:top w:val="single" w:sz="6" w:space="0" w:color="000000"/>
              <w:left w:val="single" w:sz="6" w:space="0" w:color="000000"/>
              <w:bottom w:val="single" w:sz="6" w:space="0" w:color="000000"/>
              <w:right w:val="single" w:sz="6" w:space="0" w:color="000000"/>
            </w:tcBorders>
            <w:hideMark/>
          </w:tcPr>
          <w:p w14:paraId="40855E73" w14:textId="77777777" w:rsidR="00BA1D9A" w:rsidRPr="00AA57EC" w:rsidRDefault="00BA1D9A">
            <w:pPr>
              <w:pStyle w:val="StylIwony"/>
              <w:spacing w:before="0" w:after="0"/>
              <w:rPr>
                <w:rFonts w:asciiTheme="minorHAnsi" w:hAnsiTheme="minorHAnsi" w:cstheme="minorHAnsi"/>
                <w:sz w:val="20"/>
                <w:szCs w:val="20"/>
              </w:rPr>
            </w:pPr>
            <w:r w:rsidRPr="00AA57EC">
              <w:rPr>
                <w:rFonts w:asciiTheme="minorHAnsi" w:hAnsiTheme="minorHAnsi" w:cstheme="minorHAnsi"/>
                <w:sz w:val="20"/>
                <w:szCs w:val="20"/>
              </w:rPr>
              <w:t>-</w:t>
            </w:r>
          </w:p>
        </w:tc>
        <w:tc>
          <w:tcPr>
            <w:tcW w:w="1133" w:type="dxa"/>
            <w:tcBorders>
              <w:top w:val="single" w:sz="6" w:space="0" w:color="000000"/>
              <w:left w:val="single" w:sz="6" w:space="0" w:color="000000"/>
              <w:bottom w:val="single" w:sz="6" w:space="0" w:color="000000"/>
              <w:right w:val="single" w:sz="6" w:space="0" w:color="000000"/>
            </w:tcBorders>
            <w:hideMark/>
          </w:tcPr>
          <w:p w14:paraId="57853F10" w14:textId="77777777" w:rsidR="00BA1D9A" w:rsidRPr="00AA57EC" w:rsidRDefault="00BA1D9A">
            <w:pPr>
              <w:pStyle w:val="StylIwony"/>
              <w:spacing w:before="0" w:after="0"/>
              <w:rPr>
                <w:rFonts w:asciiTheme="minorHAnsi" w:hAnsiTheme="minorHAnsi" w:cstheme="minorHAnsi"/>
                <w:sz w:val="20"/>
                <w:szCs w:val="20"/>
              </w:rPr>
            </w:pPr>
            <w:r w:rsidRPr="00AA57EC">
              <w:rPr>
                <w:rFonts w:asciiTheme="minorHAnsi" w:hAnsiTheme="minorHAnsi" w:cstheme="minorHAnsi"/>
                <w:sz w:val="20"/>
                <w:szCs w:val="20"/>
              </w:rPr>
              <w:t>-</w:t>
            </w:r>
          </w:p>
        </w:tc>
        <w:tc>
          <w:tcPr>
            <w:tcW w:w="1134" w:type="dxa"/>
            <w:tcBorders>
              <w:top w:val="single" w:sz="6" w:space="0" w:color="000000"/>
              <w:left w:val="single" w:sz="6" w:space="0" w:color="000000"/>
              <w:bottom w:val="single" w:sz="6" w:space="0" w:color="000000"/>
              <w:right w:val="single" w:sz="6" w:space="0" w:color="000000"/>
            </w:tcBorders>
            <w:hideMark/>
          </w:tcPr>
          <w:p w14:paraId="2DD1281F" w14:textId="77777777" w:rsidR="00BA1D9A" w:rsidRPr="00AA57EC" w:rsidRDefault="00BA1D9A">
            <w:pPr>
              <w:pStyle w:val="StylIwony"/>
              <w:spacing w:before="0" w:after="0"/>
              <w:rPr>
                <w:rFonts w:asciiTheme="minorHAnsi" w:hAnsiTheme="minorHAnsi" w:cstheme="minorHAnsi"/>
                <w:sz w:val="20"/>
                <w:szCs w:val="20"/>
              </w:rPr>
            </w:pPr>
            <w:r w:rsidRPr="00AA57EC">
              <w:rPr>
                <w:rFonts w:asciiTheme="minorHAnsi" w:hAnsiTheme="minorHAnsi" w:cstheme="minorHAnsi"/>
                <w:sz w:val="20"/>
                <w:szCs w:val="20"/>
              </w:rPr>
              <w:t>0,2 do 0,3</w:t>
            </w:r>
          </w:p>
        </w:tc>
        <w:tc>
          <w:tcPr>
            <w:tcW w:w="1134" w:type="dxa"/>
            <w:tcBorders>
              <w:top w:val="single" w:sz="6" w:space="0" w:color="000000"/>
              <w:left w:val="single" w:sz="6" w:space="0" w:color="000000"/>
              <w:bottom w:val="single" w:sz="6" w:space="0" w:color="000000"/>
              <w:right w:val="single" w:sz="6" w:space="0" w:color="000000"/>
            </w:tcBorders>
            <w:hideMark/>
          </w:tcPr>
          <w:p w14:paraId="4BFD08E6" w14:textId="77777777" w:rsidR="00BA1D9A" w:rsidRPr="00AA57EC" w:rsidRDefault="00BA1D9A">
            <w:pPr>
              <w:pStyle w:val="StylIwony"/>
              <w:spacing w:before="0" w:after="0"/>
              <w:rPr>
                <w:rFonts w:asciiTheme="minorHAnsi" w:hAnsiTheme="minorHAnsi" w:cstheme="minorHAnsi"/>
                <w:sz w:val="20"/>
                <w:szCs w:val="20"/>
              </w:rPr>
            </w:pPr>
            <w:r w:rsidRPr="00AA57EC">
              <w:rPr>
                <w:rFonts w:asciiTheme="minorHAnsi" w:hAnsiTheme="minorHAnsi" w:cstheme="minorHAnsi"/>
                <w:sz w:val="20"/>
                <w:szCs w:val="20"/>
              </w:rPr>
              <w:t>8 do 12</w:t>
            </w:r>
          </w:p>
        </w:tc>
        <w:tc>
          <w:tcPr>
            <w:tcW w:w="1134" w:type="dxa"/>
            <w:tcBorders>
              <w:top w:val="single" w:sz="6" w:space="0" w:color="000000"/>
              <w:left w:val="single" w:sz="6" w:space="0" w:color="000000"/>
              <w:bottom w:val="single" w:sz="6" w:space="0" w:color="000000"/>
              <w:right w:val="single" w:sz="6" w:space="0" w:color="000000"/>
            </w:tcBorders>
            <w:hideMark/>
          </w:tcPr>
          <w:p w14:paraId="454B3F03" w14:textId="77777777" w:rsidR="00BA1D9A" w:rsidRPr="00AA57EC" w:rsidRDefault="00BA1D9A">
            <w:pPr>
              <w:pStyle w:val="StylIwony"/>
              <w:spacing w:before="0" w:after="0"/>
              <w:rPr>
                <w:rFonts w:asciiTheme="minorHAnsi" w:hAnsiTheme="minorHAnsi" w:cstheme="minorHAnsi"/>
                <w:sz w:val="20"/>
                <w:szCs w:val="20"/>
              </w:rPr>
            </w:pPr>
            <w:r w:rsidRPr="00AA57EC">
              <w:rPr>
                <w:rFonts w:asciiTheme="minorHAnsi" w:hAnsiTheme="minorHAnsi" w:cstheme="minorHAnsi"/>
                <w:sz w:val="20"/>
                <w:szCs w:val="20"/>
              </w:rPr>
              <w:t>0,2 do 0,3</w:t>
            </w:r>
          </w:p>
        </w:tc>
        <w:tc>
          <w:tcPr>
            <w:tcW w:w="850" w:type="dxa"/>
            <w:tcBorders>
              <w:top w:val="single" w:sz="6" w:space="0" w:color="000000"/>
              <w:left w:val="single" w:sz="6" w:space="0" w:color="000000"/>
              <w:bottom w:val="single" w:sz="6" w:space="0" w:color="000000"/>
              <w:right w:val="single" w:sz="6" w:space="0" w:color="000000"/>
            </w:tcBorders>
            <w:hideMark/>
          </w:tcPr>
          <w:p w14:paraId="72BD3FA9" w14:textId="77777777" w:rsidR="00BA1D9A" w:rsidRPr="00AA57EC" w:rsidRDefault="00BA1D9A">
            <w:pPr>
              <w:pStyle w:val="StylIwony"/>
              <w:spacing w:before="0" w:after="0"/>
              <w:rPr>
                <w:rFonts w:asciiTheme="minorHAnsi" w:hAnsiTheme="minorHAnsi" w:cstheme="minorHAnsi"/>
                <w:sz w:val="20"/>
                <w:szCs w:val="20"/>
              </w:rPr>
            </w:pPr>
            <w:r w:rsidRPr="00AA57EC">
              <w:rPr>
                <w:rFonts w:asciiTheme="minorHAnsi" w:hAnsiTheme="minorHAnsi" w:cstheme="minorHAnsi"/>
                <w:sz w:val="20"/>
                <w:szCs w:val="20"/>
              </w:rPr>
              <w:t>8 do 12</w:t>
            </w:r>
          </w:p>
        </w:tc>
        <w:tc>
          <w:tcPr>
            <w:tcW w:w="851" w:type="dxa"/>
            <w:tcBorders>
              <w:top w:val="single" w:sz="6" w:space="0" w:color="000000"/>
              <w:left w:val="single" w:sz="6" w:space="0" w:color="000000"/>
              <w:bottom w:val="single" w:sz="6" w:space="0" w:color="000000"/>
              <w:right w:val="single" w:sz="6" w:space="0" w:color="auto"/>
            </w:tcBorders>
            <w:hideMark/>
          </w:tcPr>
          <w:p w14:paraId="614033F9" w14:textId="77777777" w:rsidR="00BA1D9A" w:rsidRPr="00AA57EC" w:rsidRDefault="00BA1D9A">
            <w:pPr>
              <w:pStyle w:val="StylIwony"/>
              <w:spacing w:before="0" w:after="0"/>
              <w:rPr>
                <w:rFonts w:asciiTheme="minorHAnsi" w:hAnsiTheme="minorHAnsi" w:cstheme="minorHAnsi"/>
                <w:sz w:val="20"/>
                <w:szCs w:val="20"/>
              </w:rPr>
            </w:pPr>
            <w:r w:rsidRPr="00AA57EC">
              <w:rPr>
                <w:rFonts w:asciiTheme="minorHAnsi" w:hAnsiTheme="minorHAnsi" w:cstheme="minorHAnsi"/>
                <w:sz w:val="20"/>
                <w:szCs w:val="20"/>
              </w:rPr>
              <w:t>2)</w:t>
            </w:r>
          </w:p>
        </w:tc>
      </w:tr>
      <w:tr w:rsidR="00BA1D9A" w:rsidRPr="00AA57EC" w14:paraId="41AC40DE" w14:textId="77777777" w:rsidTr="00BA1D9A">
        <w:tc>
          <w:tcPr>
            <w:tcW w:w="2622" w:type="dxa"/>
            <w:tcBorders>
              <w:top w:val="single" w:sz="6" w:space="0" w:color="000000"/>
              <w:left w:val="single" w:sz="6" w:space="0" w:color="000000"/>
              <w:bottom w:val="single" w:sz="6" w:space="0" w:color="000000"/>
              <w:right w:val="single" w:sz="6" w:space="0" w:color="000000"/>
            </w:tcBorders>
            <w:hideMark/>
          </w:tcPr>
          <w:p w14:paraId="3F14E5D4" w14:textId="77777777" w:rsidR="00BA1D9A" w:rsidRPr="00AA57EC" w:rsidRDefault="00BA1D9A">
            <w:pPr>
              <w:pStyle w:val="StylIwony"/>
              <w:spacing w:before="0" w:after="0"/>
              <w:rPr>
                <w:rFonts w:asciiTheme="minorHAnsi" w:hAnsiTheme="minorHAnsi" w:cstheme="minorHAnsi"/>
                <w:sz w:val="20"/>
                <w:szCs w:val="20"/>
              </w:rPr>
            </w:pPr>
            <w:r w:rsidRPr="00AA57EC">
              <w:rPr>
                <w:rFonts w:asciiTheme="minorHAnsi" w:hAnsiTheme="minorHAnsi" w:cstheme="minorHAnsi"/>
                <w:sz w:val="20"/>
                <w:szCs w:val="20"/>
              </w:rPr>
              <w:t>Walce statyczne ogumione *</w:t>
            </w:r>
          </w:p>
        </w:tc>
        <w:tc>
          <w:tcPr>
            <w:tcW w:w="993" w:type="dxa"/>
            <w:tcBorders>
              <w:top w:val="single" w:sz="6" w:space="0" w:color="000000"/>
              <w:left w:val="single" w:sz="6" w:space="0" w:color="000000"/>
              <w:bottom w:val="single" w:sz="6" w:space="0" w:color="000000"/>
              <w:right w:val="single" w:sz="6" w:space="0" w:color="000000"/>
            </w:tcBorders>
            <w:hideMark/>
          </w:tcPr>
          <w:p w14:paraId="1FC1DDA5" w14:textId="77777777" w:rsidR="00BA1D9A" w:rsidRPr="00AA57EC" w:rsidRDefault="00BA1D9A">
            <w:pPr>
              <w:pStyle w:val="StylIwony"/>
              <w:spacing w:before="0" w:after="0"/>
              <w:rPr>
                <w:rFonts w:asciiTheme="minorHAnsi" w:hAnsiTheme="minorHAnsi" w:cstheme="minorHAnsi"/>
                <w:sz w:val="20"/>
                <w:szCs w:val="20"/>
              </w:rPr>
            </w:pPr>
            <w:r w:rsidRPr="00AA57EC">
              <w:rPr>
                <w:rFonts w:asciiTheme="minorHAnsi" w:hAnsiTheme="minorHAnsi" w:cstheme="minorHAnsi"/>
                <w:sz w:val="20"/>
                <w:szCs w:val="20"/>
              </w:rPr>
              <w:t>0,2 do 0,5</w:t>
            </w:r>
          </w:p>
        </w:tc>
        <w:tc>
          <w:tcPr>
            <w:tcW w:w="1133" w:type="dxa"/>
            <w:tcBorders>
              <w:top w:val="single" w:sz="6" w:space="0" w:color="000000"/>
              <w:left w:val="single" w:sz="6" w:space="0" w:color="000000"/>
              <w:bottom w:val="single" w:sz="6" w:space="0" w:color="000000"/>
              <w:right w:val="single" w:sz="6" w:space="0" w:color="000000"/>
            </w:tcBorders>
            <w:hideMark/>
          </w:tcPr>
          <w:p w14:paraId="6B60BE6F" w14:textId="77777777" w:rsidR="00BA1D9A" w:rsidRPr="00AA57EC" w:rsidRDefault="00BA1D9A">
            <w:pPr>
              <w:pStyle w:val="StylIwony"/>
              <w:spacing w:before="0" w:after="0"/>
              <w:rPr>
                <w:rFonts w:asciiTheme="minorHAnsi" w:hAnsiTheme="minorHAnsi" w:cstheme="minorHAnsi"/>
                <w:sz w:val="20"/>
                <w:szCs w:val="20"/>
              </w:rPr>
            </w:pPr>
            <w:r w:rsidRPr="00AA57EC">
              <w:rPr>
                <w:rFonts w:asciiTheme="minorHAnsi" w:hAnsiTheme="minorHAnsi" w:cstheme="minorHAnsi"/>
                <w:sz w:val="20"/>
                <w:szCs w:val="20"/>
              </w:rPr>
              <w:t>6 do 8</w:t>
            </w:r>
          </w:p>
        </w:tc>
        <w:tc>
          <w:tcPr>
            <w:tcW w:w="1134" w:type="dxa"/>
            <w:tcBorders>
              <w:top w:val="single" w:sz="6" w:space="0" w:color="000000"/>
              <w:left w:val="single" w:sz="6" w:space="0" w:color="000000"/>
              <w:bottom w:val="single" w:sz="6" w:space="0" w:color="000000"/>
              <w:right w:val="single" w:sz="6" w:space="0" w:color="000000"/>
            </w:tcBorders>
            <w:hideMark/>
          </w:tcPr>
          <w:p w14:paraId="79768AB4" w14:textId="77777777" w:rsidR="00BA1D9A" w:rsidRPr="00AA57EC" w:rsidRDefault="00BA1D9A">
            <w:pPr>
              <w:pStyle w:val="StylIwony"/>
              <w:spacing w:before="0" w:after="0"/>
              <w:rPr>
                <w:rFonts w:asciiTheme="minorHAnsi" w:hAnsiTheme="minorHAnsi" w:cstheme="minorHAnsi"/>
                <w:sz w:val="20"/>
                <w:szCs w:val="20"/>
              </w:rPr>
            </w:pPr>
            <w:r w:rsidRPr="00AA57EC">
              <w:rPr>
                <w:rFonts w:asciiTheme="minorHAnsi" w:hAnsiTheme="minorHAnsi" w:cstheme="minorHAnsi"/>
                <w:sz w:val="20"/>
                <w:szCs w:val="20"/>
              </w:rPr>
              <w:t>0,2 do 0,4</w:t>
            </w:r>
          </w:p>
        </w:tc>
        <w:tc>
          <w:tcPr>
            <w:tcW w:w="1134" w:type="dxa"/>
            <w:tcBorders>
              <w:top w:val="single" w:sz="6" w:space="0" w:color="000000"/>
              <w:left w:val="single" w:sz="6" w:space="0" w:color="000000"/>
              <w:bottom w:val="single" w:sz="6" w:space="0" w:color="000000"/>
              <w:right w:val="single" w:sz="6" w:space="0" w:color="000000"/>
            </w:tcBorders>
            <w:hideMark/>
          </w:tcPr>
          <w:p w14:paraId="53B40843" w14:textId="77777777" w:rsidR="00BA1D9A" w:rsidRPr="00AA57EC" w:rsidRDefault="00BA1D9A">
            <w:pPr>
              <w:pStyle w:val="StylIwony"/>
              <w:spacing w:before="0" w:after="0"/>
              <w:rPr>
                <w:rFonts w:asciiTheme="minorHAnsi" w:hAnsiTheme="minorHAnsi" w:cstheme="minorHAnsi"/>
                <w:sz w:val="20"/>
                <w:szCs w:val="20"/>
              </w:rPr>
            </w:pPr>
            <w:r w:rsidRPr="00AA57EC">
              <w:rPr>
                <w:rFonts w:asciiTheme="minorHAnsi" w:hAnsiTheme="minorHAnsi" w:cstheme="minorHAnsi"/>
                <w:sz w:val="20"/>
                <w:szCs w:val="20"/>
              </w:rPr>
              <w:t>6 do 10</w:t>
            </w:r>
          </w:p>
        </w:tc>
        <w:tc>
          <w:tcPr>
            <w:tcW w:w="1134" w:type="dxa"/>
            <w:tcBorders>
              <w:top w:val="single" w:sz="6" w:space="0" w:color="000000"/>
              <w:left w:val="single" w:sz="6" w:space="0" w:color="000000"/>
              <w:bottom w:val="single" w:sz="6" w:space="0" w:color="000000"/>
              <w:right w:val="single" w:sz="6" w:space="0" w:color="000000"/>
            </w:tcBorders>
            <w:hideMark/>
          </w:tcPr>
          <w:p w14:paraId="3CADC955" w14:textId="77777777" w:rsidR="00BA1D9A" w:rsidRPr="00AA57EC" w:rsidRDefault="00BA1D9A">
            <w:pPr>
              <w:pStyle w:val="StylIwony"/>
              <w:spacing w:before="0" w:after="0"/>
              <w:rPr>
                <w:rFonts w:asciiTheme="minorHAnsi" w:hAnsiTheme="minorHAnsi" w:cstheme="minorHAnsi"/>
                <w:sz w:val="20"/>
                <w:szCs w:val="20"/>
              </w:rPr>
            </w:pPr>
            <w:r w:rsidRPr="00AA57EC">
              <w:rPr>
                <w:rFonts w:asciiTheme="minorHAnsi" w:hAnsiTheme="minorHAnsi" w:cstheme="minorHAnsi"/>
                <w:sz w:val="20"/>
                <w:szCs w:val="20"/>
              </w:rPr>
              <w:t>-</w:t>
            </w:r>
          </w:p>
        </w:tc>
        <w:tc>
          <w:tcPr>
            <w:tcW w:w="850" w:type="dxa"/>
            <w:tcBorders>
              <w:top w:val="single" w:sz="6" w:space="0" w:color="000000"/>
              <w:left w:val="single" w:sz="6" w:space="0" w:color="000000"/>
              <w:bottom w:val="single" w:sz="6" w:space="0" w:color="000000"/>
              <w:right w:val="single" w:sz="6" w:space="0" w:color="000000"/>
            </w:tcBorders>
            <w:hideMark/>
          </w:tcPr>
          <w:p w14:paraId="7211974B" w14:textId="77777777" w:rsidR="00BA1D9A" w:rsidRPr="00AA57EC" w:rsidRDefault="00BA1D9A">
            <w:pPr>
              <w:pStyle w:val="StylIwony"/>
              <w:spacing w:before="0" w:after="0"/>
              <w:rPr>
                <w:rFonts w:asciiTheme="minorHAnsi" w:hAnsiTheme="minorHAnsi" w:cstheme="minorHAnsi"/>
                <w:sz w:val="20"/>
                <w:szCs w:val="20"/>
              </w:rPr>
            </w:pPr>
            <w:r w:rsidRPr="00AA57EC">
              <w:rPr>
                <w:rFonts w:asciiTheme="minorHAnsi" w:hAnsiTheme="minorHAnsi" w:cstheme="minorHAnsi"/>
                <w:sz w:val="20"/>
                <w:szCs w:val="20"/>
              </w:rPr>
              <w:t>-</w:t>
            </w:r>
          </w:p>
        </w:tc>
        <w:tc>
          <w:tcPr>
            <w:tcW w:w="851" w:type="dxa"/>
            <w:tcBorders>
              <w:top w:val="single" w:sz="6" w:space="0" w:color="000000"/>
              <w:left w:val="single" w:sz="6" w:space="0" w:color="000000"/>
              <w:bottom w:val="single" w:sz="6" w:space="0" w:color="000000"/>
              <w:right w:val="single" w:sz="6" w:space="0" w:color="000000"/>
            </w:tcBorders>
            <w:hideMark/>
          </w:tcPr>
          <w:p w14:paraId="27E61B26" w14:textId="77777777" w:rsidR="00BA1D9A" w:rsidRPr="00AA57EC" w:rsidRDefault="00BA1D9A">
            <w:pPr>
              <w:pStyle w:val="StylIwony"/>
              <w:spacing w:before="0" w:after="0"/>
              <w:rPr>
                <w:rFonts w:asciiTheme="minorHAnsi" w:hAnsiTheme="minorHAnsi" w:cstheme="minorHAnsi"/>
                <w:sz w:val="20"/>
                <w:szCs w:val="20"/>
              </w:rPr>
            </w:pPr>
            <w:r w:rsidRPr="00AA57EC">
              <w:rPr>
                <w:rFonts w:asciiTheme="minorHAnsi" w:hAnsiTheme="minorHAnsi" w:cstheme="minorHAnsi"/>
                <w:sz w:val="20"/>
                <w:szCs w:val="20"/>
              </w:rPr>
              <w:t>3)</w:t>
            </w:r>
          </w:p>
        </w:tc>
      </w:tr>
      <w:tr w:rsidR="00BA1D9A" w:rsidRPr="00AA57EC" w14:paraId="71DB3597" w14:textId="77777777" w:rsidTr="00BA1D9A">
        <w:tc>
          <w:tcPr>
            <w:tcW w:w="2622" w:type="dxa"/>
            <w:tcBorders>
              <w:top w:val="single" w:sz="6" w:space="0" w:color="000000"/>
              <w:left w:val="single" w:sz="6" w:space="0" w:color="000000"/>
              <w:bottom w:val="single" w:sz="6" w:space="0" w:color="000000"/>
              <w:right w:val="single" w:sz="6" w:space="0" w:color="000000"/>
            </w:tcBorders>
            <w:hideMark/>
          </w:tcPr>
          <w:p w14:paraId="08416A1B" w14:textId="77777777" w:rsidR="00BA1D9A" w:rsidRPr="00AA57EC" w:rsidRDefault="00BA1D9A">
            <w:pPr>
              <w:pStyle w:val="StylIwony"/>
              <w:spacing w:before="0" w:after="0"/>
              <w:rPr>
                <w:rFonts w:asciiTheme="minorHAnsi" w:hAnsiTheme="minorHAnsi" w:cstheme="minorHAnsi"/>
                <w:sz w:val="20"/>
                <w:szCs w:val="20"/>
              </w:rPr>
            </w:pPr>
            <w:r w:rsidRPr="00AA57EC">
              <w:rPr>
                <w:rFonts w:asciiTheme="minorHAnsi" w:hAnsiTheme="minorHAnsi" w:cstheme="minorHAnsi"/>
                <w:sz w:val="20"/>
                <w:szCs w:val="20"/>
              </w:rPr>
              <w:t xml:space="preserve">Walce wibracyjne gładkie ** </w:t>
            </w:r>
          </w:p>
        </w:tc>
        <w:tc>
          <w:tcPr>
            <w:tcW w:w="993" w:type="dxa"/>
            <w:tcBorders>
              <w:top w:val="single" w:sz="6" w:space="0" w:color="000000"/>
              <w:left w:val="single" w:sz="6" w:space="0" w:color="000000"/>
              <w:bottom w:val="single" w:sz="6" w:space="0" w:color="000000"/>
              <w:right w:val="single" w:sz="6" w:space="0" w:color="000000"/>
            </w:tcBorders>
            <w:hideMark/>
          </w:tcPr>
          <w:p w14:paraId="50903F09" w14:textId="77777777" w:rsidR="00BA1D9A" w:rsidRPr="00AA57EC" w:rsidRDefault="00BA1D9A">
            <w:pPr>
              <w:pStyle w:val="StylIwony"/>
              <w:spacing w:before="0" w:after="0"/>
              <w:rPr>
                <w:rFonts w:asciiTheme="minorHAnsi" w:hAnsiTheme="minorHAnsi" w:cstheme="minorHAnsi"/>
                <w:sz w:val="20"/>
                <w:szCs w:val="20"/>
              </w:rPr>
            </w:pPr>
            <w:r w:rsidRPr="00AA57EC">
              <w:rPr>
                <w:rFonts w:asciiTheme="minorHAnsi" w:hAnsiTheme="minorHAnsi" w:cstheme="minorHAnsi"/>
                <w:sz w:val="20"/>
                <w:szCs w:val="20"/>
              </w:rPr>
              <w:t>0,4 do 0,7</w:t>
            </w:r>
          </w:p>
        </w:tc>
        <w:tc>
          <w:tcPr>
            <w:tcW w:w="1133" w:type="dxa"/>
            <w:tcBorders>
              <w:top w:val="single" w:sz="6" w:space="0" w:color="000000"/>
              <w:left w:val="single" w:sz="6" w:space="0" w:color="000000"/>
              <w:bottom w:val="single" w:sz="6" w:space="0" w:color="000000"/>
              <w:right w:val="single" w:sz="6" w:space="0" w:color="000000"/>
            </w:tcBorders>
            <w:hideMark/>
          </w:tcPr>
          <w:p w14:paraId="48CF2312" w14:textId="77777777" w:rsidR="00BA1D9A" w:rsidRPr="00AA57EC" w:rsidRDefault="00BA1D9A">
            <w:pPr>
              <w:pStyle w:val="StylIwony"/>
              <w:spacing w:before="0" w:after="0"/>
              <w:rPr>
                <w:rFonts w:asciiTheme="minorHAnsi" w:hAnsiTheme="minorHAnsi" w:cstheme="minorHAnsi"/>
                <w:sz w:val="20"/>
                <w:szCs w:val="20"/>
              </w:rPr>
            </w:pPr>
            <w:r w:rsidRPr="00AA57EC">
              <w:rPr>
                <w:rFonts w:asciiTheme="minorHAnsi" w:hAnsiTheme="minorHAnsi" w:cstheme="minorHAnsi"/>
                <w:sz w:val="20"/>
                <w:szCs w:val="20"/>
              </w:rPr>
              <w:t>4 do 8</w:t>
            </w:r>
          </w:p>
        </w:tc>
        <w:tc>
          <w:tcPr>
            <w:tcW w:w="1134" w:type="dxa"/>
            <w:tcBorders>
              <w:top w:val="single" w:sz="6" w:space="0" w:color="000000"/>
              <w:left w:val="single" w:sz="6" w:space="0" w:color="000000"/>
              <w:bottom w:val="single" w:sz="6" w:space="0" w:color="000000"/>
              <w:right w:val="single" w:sz="6" w:space="0" w:color="000000"/>
            </w:tcBorders>
            <w:hideMark/>
          </w:tcPr>
          <w:p w14:paraId="4D814B78" w14:textId="77777777" w:rsidR="00BA1D9A" w:rsidRPr="00AA57EC" w:rsidRDefault="00BA1D9A">
            <w:pPr>
              <w:pStyle w:val="StylIwony"/>
              <w:spacing w:before="0" w:after="0"/>
              <w:rPr>
                <w:rFonts w:asciiTheme="minorHAnsi" w:hAnsiTheme="minorHAnsi" w:cstheme="minorHAnsi"/>
                <w:sz w:val="20"/>
                <w:szCs w:val="20"/>
              </w:rPr>
            </w:pPr>
            <w:r w:rsidRPr="00AA57EC">
              <w:rPr>
                <w:rFonts w:asciiTheme="minorHAnsi" w:hAnsiTheme="minorHAnsi" w:cstheme="minorHAnsi"/>
                <w:sz w:val="20"/>
                <w:szCs w:val="20"/>
              </w:rPr>
              <w:t>0,2 do 0,4</w:t>
            </w:r>
          </w:p>
        </w:tc>
        <w:tc>
          <w:tcPr>
            <w:tcW w:w="1134" w:type="dxa"/>
            <w:tcBorders>
              <w:top w:val="single" w:sz="6" w:space="0" w:color="000000"/>
              <w:left w:val="single" w:sz="6" w:space="0" w:color="000000"/>
              <w:bottom w:val="single" w:sz="6" w:space="0" w:color="000000"/>
              <w:right w:val="single" w:sz="6" w:space="0" w:color="000000"/>
            </w:tcBorders>
            <w:hideMark/>
          </w:tcPr>
          <w:p w14:paraId="743923F1" w14:textId="77777777" w:rsidR="00BA1D9A" w:rsidRPr="00AA57EC" w:rsidRDefault="00BA1D9A">
            <w:pPr>
              <w:pStyle w:val="StylIwony"/>
              <w:spacing w:before="0" w:after="0"/>
              <w:rPr>
                <w:rFonts w:asciiTheme="minorHAnsi" w:hAnsiTheme="minorHAnsi" w:cstheme="minorHAnsi"/>
                <w:sz w:val="20"/>
                <w:szCs w:val="20"/>
              </w:rPr>
            </w:pPr>
            <w:r w:rsidRPr="00AA57EC">
              <w:rPr>
                <w:rFonts w:asciiTheme="minorHAnsi" w:hAnsiTheme="minorHAnsi" w:cstheme="minorHAnsi"/>
                <w:sz w:val="20"/>
                <w:szCs w:val="20"/>
              </w:rPr>
              <w:t>3 do 4</w:t>
            </w:r>
          </w:p>
        </w:tc>
        <w:tc>
          <w:tcPr>
            <w:tcW w:w="1134" w:type="dxa"/>
            <w:tcBorders>
              <w:top w:val="single" w:sz="6" w:space="0" w:color="000000"/>
              <w:left w:val="single" w:sz="6" w:space="0" w:color="000000"/>
              <w:bottom w:val="single" w:sz="6" w:space="0" w:color="000000"/>
              <w:right w:val="single" w:sz="6" w:space="0" w:color="000000"/>
            </w:tcBorders>
            <w:hideMark/>
          </w:tcPr>
          <w:p w14:paraId="4F24BD3A" w14:textId="77777777" w:rsidR="00BA1D9A" w:rsidRPr="00AA57EC" w:rsidRDefault="00BA1D9A">
            <w:pPr>
              <w:pStyle w:val="StylIwony"/>
              <w:spacing w:before="0" w:after="0"/>
              <w:rPr>
                <w:rFonts w:asciiTheme="minorHAnsi" w:hAnsiTheme="minorHAnsi" w:cstheme="minorHAnsi"/>
                <w:sz w:val="20"/>
                <w:szCs w:val="20"/>
              </w:rPr>
            </w:pPr>
            <w:r w:rsidRPr="00AA57EC">
              <w:rPr>
                <w:rFonts w:asciiTheme="minorHAnsi" w:hAnsiTheme="minorHAnsi" w:cstheme="minorHAnsi"/>
                <w:sz w:val="20"/>
                <w:szCs w:val="20"/>
              </w:rPr>
              <w:t>0,3 do 0,6</w:t>
            </w:r>
          </w:p>
        </w:tc>
        <w:tc>
          <w:tcPr>
            <w:tcW w:w="850" w:type="dxa"/>
            <w:tcBorders>
              <w:top w:val="single" w:sz="6" w:space="0" w:color="000000"/>
              <w:left w:val="single" w:sz="6" w:space="0" w:color="000000"/>
              <w:bottom w:val="single" w:sz="6" w:space="0" w:color="000000"/>
              <w:right w:val="single" w:sz="6" w:space="0" w:color="000000"/>
            </w:tcBorders>
            <w:hideMark/>
          </w:tcPr>
          <w:p w14:paraId="4F7C2A78" w14:textId="77777777" w:rsidR="00BA1D9A" w:rsidRPr="00AA57EC" w:rsidRDefault="00BA1D9A">
            <w:pPr>
              <w:pStyle w:val="StylIwony"/>
              <w:spacing w:before="0" w:after="0"/>
              <w:rPr>
                <w:rFonts w:asciiTheme="minorHAnsi" w:hAnsiTheme="minorHAnsi" w:cstheme="minorHAnsi"/>
                <w:sz w:val="20"/>
                <w:szCs w:val="20"/>
              </w:rPr>
            </w:pPr>
            <w:r w:rsidRPr="00AA57EC">
              <w:rPr>
                <w:rFonts w:asciiTheme="minorHAnsi" w:hAnsiTheme="minorHAnsi" w:cstheme="minorHAnsi"/>
                <w:sz w:val="20"/>
                <w:szCs w:val="20"/>
              </w:rPr>
              <w:t>3 do 5</w:t>
            </w:r>
          </w:p>
        </w:tc>
        <w:tc>
          <w:tcPr>
            <w:tcW w:w="851" w:type="dxa"/>
            <w:tcBorders>
              <w:top w:val="single" w:sz="6" w:space="0" w:color="000000"/>
              <w:left w:val="single" w:sz="6" w:space="0" w:color="000000"/>
              <w:bottom w:val="single" w:sz="6" w:space="0" w:color="000000"/>
              <w:right w:val="single" w:sz="6" w:space="0" w:color="000000"/>
            </w:tcBorders>
            <w:hideMark/>
          </w:tcPr>
          <w:p w14:paraId="6976139C" w14:textId="77777777" w:rsidR="00BA1D9A" w:rsidRPr="00AA57EC" w:rsidRDefault="00BA1D9A">
            <w:pPr>
              <w:pStyle w:val="StylIwony"/>
              <w:spacing w:before="0" w:after="0"/>
              <w:rPr>
                <w:rFonts w:asciiTheme="minorHAnsi" w:hAnsiTheme="minorHAnsi" w:cstheme="minorHAnsi"/>
                <w:sz w:val="20"/>
                <w:szCs w:val="20"/>
              </w:rPr>
            </w:pPr>
            <w:r w:rsidRPr="00AA57EC">
              <w:rPr>
                <w:rFonts w:asciiTheme="minorHAnsi" w:hAnsiTheme="minorHAnsi" w:cstheme="minorHAnsi"/>
                <w:sz w:val="20"/>
                <w:szCs w:val="20"/>
              </w:rPr>
              <w:t>4)</w:t>
            </w:r>
          </w:p>
        </w:tc>
      </w:tr>
      <w:tr w:rsidR="00BA1D9A" w:rsidRPr="00AA57EC" w14:paraId="4D9BB786" w14:textId="77777777" w:rsidTr="00BA1D9A">
        <w:tc>
          <w:tcPr>
            <w:tcW w:w="2622" w:type="dxa"/>
            <w:tcBorders>
              <w:top w:val="single" w:sz="6" w:space="0" w:color="000000"/>
              <w:left w:val="single" w:sz="6" w:space="0" w:color="000000"/>
              <w:bottom w:val="single" w:sz="6" w:space="0" w:color="000000"/>
              <w:right w:val="single" w:sz="6" w:space="0" w:color="000000"/>
            </w:tcBorders>
            <w:hideMark/>
          </w:tcPr>
          <w:p w14:paraId="01A3CD9B" w14:textId="77777777" w:rsidR="00BA1D9A" w:rsidRPr="00AA57EC" w:rsidRDefault="00BA1D9A">
            <w:pPr>
              <w:pStyle w:val="StylIwony"/>
              <w:spacing w:before="0" w:after="0"/>
              <w:rPr>
                <w:rFonts w:asciiTheme="minorHAnsi" w:hAnsiTheme="minorHAnsi" w:cstheme="minorHAnsi"/>
                <w:sz w:val="20"/>
                <w:szCs w:val="20"/>
              </w:rPr>
            </w:pPr>
            <w:r w:rsidRPr="00AA57EC">
              <w:rPr>
                <w:rFonts w:asciiTheme="minorHAnsi" w:hAnsiTheme="minorHAnsi" w:cstheme="minorHAnsi"/>
                <w:sz w:val="20"/>
                <w:szCs w:val="20"/>
              </w:rPr>
              <w:t>Walce wibracyjne okołkowane **</w:t>
            </w:r>
          </w:p>
        </w:tc>
        <w:tc>
          <w:tcPr>
            <w:tcW w:w="993" w:type="dxa"/>
            <w:tcBorders>
              <w:top w:val="single" w:sz="6" w:space="0" w:color="000000"/>
              <w:left w:val="single" w:sz="6" w:space="0" w:color="000000"/>
              <w:bottom w:val="single" w:sz="6" w:space="0" w:color="000000"/>
              <w:right w:val="single" w:sz="6" w:space="0" w:color="000000"/>
            </w:tcBorders>
            <w:hideMark/>
          </w:tcPr>
          <w:p w14:paraId="04136E95" w14:textId="77777777" w:rsidR="00BA1D9A" w:rsidRPr="00AA57EC" w:rsidRDefault="00BA1D9A">
            <w:pPr>
              <w:pStyle w:val="StylIwony"/>
              <w:spacing w:before="0" w:after="0"/>
              <w:rPr>
                <w:rFonts w:asciiTheme="minorHAnsi" w:hAnsiTheme="minorHAnsi" w:cstheme="minorHAnsi"/>
                <w:sz w:val="20"/>
                <w:szCs w:val="20"/>
              </w:rPr>
            </w:pPr>
            <w:r w:rsidRPr="00AA57EC">
              <w:rPr>
                <w:rFonts w:asciiTheme="minorHAnsi" w:hAnsiTheme="minorHAnsi" w:cstheme="minorHAnsi"/>
                <w:sz w:val="20"/>
                <w:szCs w:val="20"/>
              </w:rPr>
              <w:t>0,3 do 0,6</w:t>
            </w:r>
          </w:p>
        </w:tc>
        <w:tc>
          <w:tcPr>
            <w:tcW w:w="1133" w:type="dxa"/>
            <w:tcBorders>
              <w:top w:val="single" w:sz="6" w:space="0" w:color="000000"/>
              <w:left w:val="single" w:sz="6" w:space="0" w:color="000000"/>
              <w:bottom w:val="single" w:sz="6" w:space="0" w:color="000000"/>
              <w:right w:val="single" w:sz="6" w:space="0" w:color="000000"/>
            </w:tcBorders>
            <w:hideMark/>
          </w:tcPr>
          <w:p w14:paraId="7885F13D" w14:textId="77777777" w:rsidR="00BA1D9A" w:rsidRPr="00AA57EC" w:rsidRDefault="00BA1D9A">
            <w:pPr>
              <w:pStyle w:val="StylIwony"/>
              <w:spacing w:before="0" w:after="0"/>
              <w:rPr>
                <w:rFonts w:asciiTheme="minorHAnsi" w:hAnsiTheme="minorHAnsi" w:cstheme="minorHAnsi"/>
                <w:sz w:val="20"/>
                <w:szCs w:val="20"/>
              </w:rPr>
            </w:pPr>
            <w:r w:rsidRPr="00AA57EC">
              <w:rPr>
                <w:rFonts w:asciiTheme="minorHAnsi" w:hAnsiTheme="minorHAnsi" w:cstheme="minorHAnsi"/>
                <w:sz w:val="20"/>
                <w:szCs w:val="20"/>
              </w:rPr>
              <w:t>3 do 6</w:t>
            </w:r>
          </w:p>
        </w:tc>
        <w:tc>
          <w:tcPr>
            <w:tcW w:w="1134" w:type="dxa"/>
            <w:tcBorders>
              <w:top w:val="single" w:sz="6" w:space="0" w:color="000000"/>
              <w:left w:val="single" w:sz="6" w:space="0" w:color="000000"/>
              <w:bottom w:val="single" w:sz="6" w:space="0" w:color="000000"/>
              <w:right w:val="single" w:sz="6" w:space="0" w:color="000000"/>
            </w:tcBorders>
            <w:hideMark/>
          </w:tcPr>
          <w:p w14:paraId="4584B5D1" w14:textId="77777777" w:rsidR="00BA1D9A" w:rsidRPr="00AA57EC" w:rsidRDefault="00BA1D9A">
            <w:pPr>
              <w:pStyle w:val="StylIwony"/>
              <w:spacing w:before="0" w:after="0"/>
              <w:rPr>
                <w:rFonts w:asciiTheme="minorHAnsi" w:hAnsiTheme="minorHAnsi" w:cstheme="minorHAnsi"/>
                <w:sz w:val="20"/>
                <w:szCs w:val="20"/>
              </w:rPr>
            </w:pPr>
            <w:r w:rsidRPr="00AA57EC">
              <w:rPr>
                <w:rFonts w:asciiTheme="minorHAnsi" w:hAnsiTheme="minorHAnsi" w:cstheme="minorHAnsi"/>
                <w:sz w:val="20"/>
                <w:szCs w:val="20"/>
              </w:rPr>
              <w:t>0,2 do 0,4</w:t>
            </w:r>
          </w:p>
        </w:tc>
        <w:tc>
          <w:tcPr>
            <w:tcW w:w="1134" w:type="dxa"/>
            <w:tcBorders>
              <w:top w:val="single" w:sz="6" w:space="0" w:color="000000"/>
              <w:left w:val="single" w:sz="6" w:space="0" w:color="000000"/>
              <w:bottom w:val="single" w:sz="6" w:space="0" w:color="000000"/>
              <w:right w:val="single" w:sz="6" w:space="0" w:color="000000"/>
            </w:tcBorders>
            <w:hideMark/>
          </w:tcPr>
          <w:p w14:paraId="0F3FE8DF" w14:textId="77777777" w:rsidR="00BA1D9A" w:rsidRPr="00AA57EC" w:rsidRDefault="00BA1D9A">
            <w:pPr>
              <w:pStyle w:val="StylIwony"/>
              <w:spacing w:before="0" w:after="0"/>
              <w:rPr>
                <w:rFonts w:asciiTheme="minorHAnsi" w:hAnsiTheme="minorHAnsi" w:cstheme="minorHAnsi"/>
                <w:sz w:val="20"/>
                <w:szCs w:val="20"/>
              </w:rPr>
            </w:pPr>
            <w:r w:rsidRPr="00AA57EC">
              <w:rPr>
                <w:rFonts w:asciiTheme="minorHAnsi" w:hAnsiTheme="minorHAnsi" w:cstheme="minorHAnsi"/>
                <w:sz w:val="20"/>
                <w:szCs w:val="20"/>
              </w:rPr>
              <w:t>6 do 10</w:t>
            </w:r>
          </w:p>
        </w:tc>
        <w:tc>
          <w:tcPr>
            <w:tcW w:w="1134" w:type="dxa"/>
            <w:tcBorders>
              <w:top w:val="single" w:sz="6" w:space="0" w:color="000000"/>
              <w:left w:val="single" w:sz="6" w:space="0" w:color="000000"/>
              <w:bottom w:val="single" w:sz="6" w:space="0" w:color="000000"/>
              <w:right w:val="single" w:sz="6" w:space="0" w:color="000000"/>
            </w:tcBorders>
            <w:hideMark/>
          </w:tcPr>
          <w:p w14:paraId="21D5739A" w14:textId="77777777" w:rsidR="00BA1D9A" w:rsidRPr="00AA57EC" w:rsidRDefault="00BA1D9A">
            <w:pPr>
              <w:pStyle w:val="StylIwony"/>
              <w:spacing w:before="0" w:after="0"/>
              <w:rPr>
                <w:rFonts w:asciiTheme="minorHAnsi" w:hAnsiTheme="minorHAnsi" w:cstheme="minorHAnsi"/>
                <w:sz w:val="20"/>
                <w:szCs w:val="20"/>
              </w:rPr>
            </w:pPr>
            <w:r w:rsidRPr="00AA57EC">
              <w:rPr>
                <w:rFonts w:asciiTheme="minorHAnsi" w:hAnsiTheme="minorHAnsi" w:cstheme="minorHAnsi"/>
                <w:sz w:val="20"/>
                <w:szCs w:val="20"/>
              </w:rPr>
              <w:t>0,2 do 0,4</w:t>
            </w:r>
          </w:p>
        </w:tc>
        <w:tc>
          <w:tcPr>
            <w:tcW w:w="850" w:type="dxa"/>
            <w:tcBorders>
              <w:top w:val="single" w:sz="6" w:space="0" w:color="000000"/>
              <w:left w:val="single" w:sz="6" w:space="0" w:color="000000"/>
              <w:bottom w:val="single" w:sz="6" w:space="0" w:color="000000"/>
              <w:right w:val="single" w:sz="6" w:space="0" w:color="000000"/>
            </w:tcBorders>
            <w:hideMark/>
          </w:tcPr>
          <w:p w14:paraId="14C0A474" w14:textId="77777777" w:rsidR="00BA1D9A" w:rsidRPr="00AA57EC" w:rsidRDefault="00BA1D9A">
            <w:pPr>
              <w:pStyle w:val="StylIwony"/>
              <w:spacing w:before="0" w:after="0"/>
              <w:rPr>
                <w:rFonts w:asciiTheme="minorHAnsi" w:hAnsiTheme="minorHAnsi" w:cstheme="minorHAnsi"/>
                <w:sz w:val="20"/>
                <w:szCs w:val="20"/>
              </w:rPr>
            </w:pPr>
            <w:r w:rsidRPr="00AA57EC">
              <w:rPr>
                <w:rFonts w:asciiTheme="minorHAnsi" w:hAnsiTheme="minorHAnsi" w:cstheme="minorHAnsi"/>
                <w:sz w:val="20"/>
                <w:szCs w:val="20"/>
              </w:rPr>
              <w:t>6 do 10</w:t>
            </w:r>
          </w:p>
        </w:tc>
        <w:tc>
          <w:tcPr>
            <w:tcW w:w="851" w:type="dxa"/>
            <w:tcBorders>
              <w:top w:val="single" w:sz="6" w:space="0" w:color="000000"/>
              <w:left w:val="single" w:sz="6" w:space="0" w:color="000000"/>
              <w:bottom w:val="single" w:sz="6" w:space="0" w:color="000000"/>
              <w:right w:val="single" w:sz="6" w:space="0" w:color="000000"/>
            </w:tcBorders>
            <w:hideMark/>
          </w:tcPr>
          <w:p w14:paraId="3D71B0E3" w14:textId="77777777" w:rsidR="00BA1D9A" w:rsidRPr="00AA57EC" w:rsidRDefault="00BA1D9A">
            <w:pPr>
              <w:pStyle w:val="StylIwony"/>
              <w:spacing w:before="0" w:after="0"/>
              <w:rPr>
                <w:rFonts w:asciiTheme="minorHAnsi" w:hAnsiTheme="minorHAnsi" w:cstheme="minorHAnsi"/>
                <w:sz w:val="20"/>
                <w:szCs w:val="20"/>
              </w:rPr>
            </w:pPr>
            <w:r w:rsidRPr="00AA57EC">
              <w:rPr>
                <w:rFonts w:asciiTheme="minorHAnsi" w:hAnsiTheme="minorHAnsi" w:cstheme="minorHAnsi"/>
                <w:sz w:val="20"/>
                <w:szCs w:val="20"/>
              </w:rPr>
              <w:t>5)</w:t>
            </w:r>
          </w:p>
        </w:tc>
      </w:tr>
      <w:tr w:rsidR="00BA1D9A" w:rsidRPr="00AA57EC" w14:paraId="49B5411C" w14:textId="77777777" w:rsidTr="00BA1D9A">
        <w:tc>
          <w:tcPr>
            <w:tcW w:w="2622" w:type="dxa"/>
            <w:tcBorders>
              <w:top w:val="single" w:sz="6" w:space="0" w:color="000000"/>
              <w:left w:val="single" w:sz="6" w:space="0" w:color="000000"/>
              <w:bottom w:val="single" w:sz="6" w:space="0" w:color="000000"/>
              <w:right w:val="single" w:sz="6" w:space="0" w:color="000000"/>
            </w:tcBorders>
            <w:hideMark/>
          </w:tcPr>
          <w:p w14:paraId="69DC7F52" w14:textId="77777777" w:rsidR="00BA1D9A" w:rsidRPr="00AA57EC" w:rsidRDefault="00BA1D9A">
            <w:pPr>
              <w:pStyle w:val="StylIwony"/>
              <w:spacing w:before="0" w:after="0"/>
              <w:rPr>
                <w:rFonts w:asciiTheme="minorHAnsi" w:hAnsiTheme="minorHAnsi" w:cstheme="minorHAnsi"/>
                <w:sz w:val="20"/>
                <w:szCs w:val="20"/>
              </w:rPr>
            </w:pPr>
            <w:r w:rsidRPr="00AA57EC">
              <w:rPr>
                <w:rFonts w:asciiTheme="minorHAnsi" w:hAnsiTheme="minorHAnsi" w:cstheme="minorHAnsi"/>
                <w:sz w:val="20"/>
                <w:szCs w:val="20"/>
              </w:rPr>
              <w:t xml:space="preserve">Zagęszczarki </w:t>
            </w:r>
          </w:p>
          <w:p w14:paraId="4B0D5F5B" w14:textId="77777777" w:rsidR="00BA1D9A" w:rsidRPr="00AA57EC" w:rsidRDefault="00BA1D9A">
            <w:pPr>
              <w:pStyle w:val="StylIwony"/>
              <w:spacing w:before="0" w:after="0"/>
              <w:rPr>
                <w:rFonts w:asciiTheme="minorHAnsi" w:hAnsiTheme="minorHAnsi" w:cstheme="minorHAnsi"/>
                <w:sz w:val="20"/>
                <w:szCs w:val="20"/>
              </w:rPr>
            </w:pPr>
            <w:r w:rsidRPr="00AA57EC">
              <w:rPr>
                <w:rFonts w:asciiTheme="minorHAnsi" w:hAnsiTheme="minorHAnsi" w:cstheme="minorHAnsi"/>
                <w:sz w:val="20"/>
                <w:szCs w:val="20"/>
              </w:rPr>
              <w:t>wibracyjne **</w:t>
            </w:r>
          </w:p>
        </w:tc>
        <w:tc>
          <w:tcPr>
            <w:tcW w:w="993" w:type="dxa"/>
            <w:tcBorders>
              <w:top w:val="single" w:sz="6" w:space="0" w:color="000000"/>
              <w:left w:val="single" w:sz="6" w:space="0" w:color="000000"/>
              <w:bottom w:val="single" w:sz="6" w:space="0" w:color="000000"/>
              <w:right w:val="single" w:sz="6" w:space="0" w:color="000000"/>
            </w:tcBorders>
            <w:hideMark/>
          </w:tcPr>
          <w:p w14:paraId="5B0FF57B" w14:textId="77777777" w:rsidR="00BA1D9A" w:rsidRPr="00AA57EC" w:rsidRDefault="00BA1D9A">
            <w:pPr>
              <w:pStyle w:val="StylIwony"/>
              <w:spacing w:before="0" w:after="0"/>
              <w:rPr>
                <w:rFonts w:asciiTheme="minorHAnsi" w:hAnsiTheme="minorHAnsi" w:cstheme="minorHAnsi"/>
                <w:sz w:val="20"/>
                <w:szCs w:val="20"/>
              </w:rPr>
            </w:pPr>
            <w:r w:rsidRPr="00AA57EC">
              <w:rPr>
                <w:rFonts w:asciiTheme="minorHAnsi" w:hAnsiTheme="minorHAnsi" w:cstheme="minorHAnsi"/>
                <w:sz w:val="20"/>
                <w:szCs w:val="20"/>
              </w:rPr>
              <w:t>0,3 do 0,5</w:t>
            </w:r>
          </w:p>
        </w:tc>
        <w:tc>
          <w:tcPr>
            <w:tcW w:w="1133" w:type="dxa"/>
            <w:tcBorders>
              <w:top w:val="single" w:sz="6" w:space="0" w:color="000000"/>
              <w:left w:val="single" w:sz="6" w:space="0" w:color="000000"/>
              <w:bottom w:val="single" w:sz="6" w:space="0" w:color="000000"/>
              <w:right w:val="single" w:sz="6" w:space="0" w:color="000000"/>
            </w:tcBorders>
            <w:hideMark/>
          </w:tcPr>
          <w:p w14:paraId="0E495E35" w14:textId="77777777" w:rsidR="00BA1D9A" w:rsidRPr="00AA57EC" w:rsidRDefault="00BA1D9A">
            <w:pPr>
              <w:pStyle w:val="StylIwony"/>
              <w:spacing w:before="0" w:after="0"/>
              <w:rPr>
                <w:rFonts w:asciiTheme="minorHAnsi" w:hAnsiTheme="minorHAnsi" w:cstheme="minorHAnsi"/>
                <w:sz w:val="20"/>
                <w:szCs w:val="20"/>
              </w:rPr>
            </w:pPr>
            <w:r w:rsidRPr="00AA57EC">
              <w:rPr>
                <w:rFonts w:asciiTheme="minorHAnsi" w:hAnsiTheme="minorHAnsi" w:cstheme="minorHAnsi"/>
                <w:sz w:val="20"/>
                <w:szCs w:val="20"/>
              </w:rPr>
              <w:t>4 do 8</w:t>
            </w:r>
          </w:p>
        </w:tc>
        <w:tc>
          <w:tcPr>
            <w:tcW w:w="1134" w:type="dxa"/>
            <w:tcBorders>
              <w:top w:val="single" w:sz="6" w:space="0" w:color="000000"/>
              <w:left w:val="single" w:sz="6" w:space="0" w:color="000000"/>
              <w:bottom w:val="single" w:sz="6" w:space="0" w:color="000000"/>
              <w:right w:val="single" w:sz="6" w:space="0" w:color="000000"/>
            </w:tcBorders>
            <w:hideMark/>
          </w:tcPr>
          <w:p w14:paraId="2FAFC7A9" w14:textId="77777777" w:rsidR="00BA1D9A" w:rsidRPr="00AA57EC" w:rsidRDefault="00BA1D9A">
            <w:pPr>
              <w:pStyle w:val="StylIwony"/>
              <w:spacing w:before="0" w:after="0"/>
              <w:rPr>
                <w:rFonts w:asciiTheme="minorHAnsi" w:hAnsiTheme="minorHAnsi" w:cstheme="minorHAnsi"/>
                <w:sz w:val="20"/>
                <w:szCs w:val="20"/>
              </w:rPr>
            </w:pPr>
            <w:r w:rsidRPr="00AA57EC">
              <w:rPr>
                <w:rFonts w:asciiTheme="minorHAnsi" w:hAnsiTheme="minorHAnsi" w:cstheme="minorHAnsi"/>
                <w:sz w:val="20"/>
                <w:szCs w:val="20"/>
              </w:rPr>
              <w:t>-</w:t>
            </w:r>
          </w:p>
        </w:tc>
        <w:tc>
          <w:tcPr>
            <w:tcW w:w="1134" w:type="dxa"/>
            <w:tcBorders>
              <w:top w:val="single" w:sz="6" w:space="0" w:color="000000"/>
              <w:left w:val="single" w:sz="6" w:space="0" w:color="000000"/>
              <w:bottom w:val="single" w:sz="6" w:space="0" w:color="000000"/>
              <w:right w:val="single" w:sz="6" w:space="0" w:color="000000"/>
            </w:tcBorders>
            <w:hideMark/>
          </w:tcPr>
          <w:p w14:paraId="058B5EE9" w14:textId="77777777" w:rsidR="00BA1D9A" w:rsidRPr="00AA57EC" w:rsidRDefault="00BA1D9A">
            <w:pPr>
              <w:pStyle w:val="StylIwony"/>
              <w:spacing w:before="0" w:after="0"/>
              <w:rPr>
                <w:rFonts w:asciiTheme="minorHAnsi" w:hAnsiTheme="minorHAnsi" w:cstheme="minorHAnsi"/>
                <w:sz w:val="20"/>
                <w:szCs w:val="20"/>
              </w:rPr>
            </w:pPr>
            <w:r w:rsidRPr="00AA57EC">
              <w:rPr>
                <w:rFonts w:asciiTheme="minorHAnsi" w:hAnsiTheme="minorHAnsi" w:cstheme="minorHAnsi"/>
                <w:sz w:val="20"/>
                <w:szCs w:val="20"/>
              </w:rPr>
              <w:t>-</w:t>
            </w:r>
          </w:p>
        </w:tc>
        <w:tc>
          <w:tcPr>
            <w:tcW w:w="1134" w:type="dxa"/>
            <w:tcBorders>
              <w:top w:val="single" w:sz="6" w:space="0" w:color="000000"/>
              <w:left w:val="single" w:sz="6" w:space="0" w:color="000000"/>
              <w:bottom w:val="single" w:sz="6" w:space="0" w:color="000000"/>
              <w:right w:val="single" w:sz="6" w:space="0" w:color="000000"/>
            </w:tcBorders>
            <w:hideMark/>
          </w:tcPr>
          <w:p w14:paraId="4EC4D32E" w14:textId="77777777" w:rsidR="00BA1D9A" w:rsidRPr="00AA57EC" w:rsidRDefault="00BA1D9A">
            <w:pPr>
              <w:pStyle w:val="StylIwony"/>
              <w:spacing w:before="0" w:after="0"/>
              <w:rPr>
                <w:rFonts w:asciiTheme="minorHAnsi" w:hAnsiTheme="minorHAnsi" w:cstheme="minorHAnsi"/>
                <w:sz w:val="20"/>
                <w:szCs w:val="20"/>
              </w:rPr>
            </w:pPr>
            <w:r w:rsidRPr="00AA57EC">
              <w:rPr>
                <w:rFonts w:asciiTheme="minorHAnsi" w:hAnsiTheme="minorHAnsi" w:cstheme="minorHAnsi"/>
                <w:sz w:val="20"/>
                <w:szCs w:val="20"/>
              </w:rPr>
              <w:t>0,2 do 0,5</w:t>
            </w:r>
          </w:p>
        </w:tc>
        <w:tc>
          <w:tcPr>
            <w:tcW w:w="850" w:type="dxa"/>
            <w:tcBorders>
              <w:top w:val="single" w:sz="6" w:space="0" w:color="000000"/>
              <w:left w:val="single" w:sz="6" w:space="0" w:color="000000"/>
              <w:bottom w:val="single" w:sz="6" w:space="0" w:color="000000"/>
              <w:right w:val="single" w:sz="6" w:space="0" w:color="000000"/>
            </w:tcBorders>
            <w:hideMark/>
          </w:tcPr>
          <w:p w14:paraId="6FE670F0" w14:textId="77777777" w:rsidR="00BA1D9A" w:rsidRPr="00AA57EC" w:rsidRDefault="00BA1D9A">
            <w:pPr>
              <w:pStyle w:val="StylIwony"/>
              <w:spacing w:before="0" w:after="0"/>
              <w:rPr>
                <w:rFonts w:asciiTheme="minorHAnsi" w:hAnsiTheme="minorHAnsi" w:cstheme="minorHAnsi"/>
                <w:sz w:val="20"/>
                <w:szCs w:val="20"/>
              </w:rPr>
            </w:pPr>
            <w:r w:rsidRPr="00AA57EC">
              <w:rPr>
                <w:rFonts w:asciiTheme="minorHAnsi" w:hAnsiTheme="minorHAnsi" w:cstheme="minorHAnsi"/>
                <w:sz w:val="20"/>
                <w:szCs w:val="20"/>
              </w:rPr>
              <w:t>4 do 8</w:t>
            </w:r>
          </w:p>
        </w:tc>
        <w:tc>
          <w:tcPr>
            <w:tcW w:w="851" w:type="dxa"/>
            <w:tcBorders>
              <w:top w:val="single" w:sz="6" w:space="0" w:color="000000"/>
              <w:left w:val="single" w:sz="6" w:space="0" w:color="000000"/>
              <w:bottom w:val="single" w:sz="6" w:space="0" w:color="000000"/>
              <w:right w:val="single" w:sz="6" w:space="0" w:color="000000"/>
            </w:tcBorders>
            <w:hideMark/>
          </w:tcPr>
          <w:p w14:paraId="7687903C" w14:textId="77777777" w:rsidR="00BA1D9A" w:rsidRPr="00AA57EC" w:rsidRDefault="00BA1D9A">
            <w:pPr>
              <w:pStyle w:val="StylIwony"/>
              <w:spacing w:before="0" w:after="0"/>
              <w:rPr>
                <w:rFonts w:asciiTheme="minorHAnsi" w:hAnsiTheme="minorHAnsi" w:cstheme="minorHAnsi"/>
                <w:sz w:val="20"/>
                <w:szCs w:val="20"/>
              </w:rPr>
            </w:pPr>
            <w:r w:rsidRPr="00AA57EC">
              <w:rPr>
                <w:rFonts w:asciiTheme="minorHAnsi" w:hAnsiTheme="minorHAnsi" w:cstheme="minorHAnsi"/>
                <w:sz w:val="20"/>
                <w:szCs w:val="20"/>
              </w:rPr>
              <w:t>6)</w:t>
            </w:r>
          </w:p>
        </w:tc>
      </w:tr>
      <w:tr w:rsidR="00BA1D9A" w:rsidRPr="00AA57EC" w14:paraId="2CA4EEB4" w14:textId="77777777" w:rsidTr="00BA1D9A">
        <w:tc>
          <w:tcPr>
            <w:tcW w:w="2622" w:type="dxa"/>
            <w:tcBorders>
              <w:top w:val="single" w:sz="6" w:space="0" w:color="000000"/>
              <w:left w:val="single" w:sz="6" w:space="0" w:color="000000"/>
              <w:bottom w:val="single" w:sz="6" w:space="0" w:color="000000"/>
              <w:right w:val="single" w:sz="6" w:space="0" w:color="000000"/>
            </w:tcBorders>
            <w:hideMark/>
          </w:tcPr>
          <w:p w14:paraId="498FBDFE" w14:textId="77777777" w:rsidR="00BA1D9A" w:rsidRPr="00AA57EC" w:rsidRDefault="00BA1D9A">
            <w:pPr>
              <w:pStyle w:val="StylIwony"/>
              <w:spacing w:before="0" w:after="0"/>
              <w:rPr>
                <w:rFonts w:asciiTheme="minorHAnsi" w:hAnsiTheme="minorHAnsi" w:cstheme="minorHAnsi"/>
                <w:sz w:val="20"/>
                <w:szCs w:val="20"/>
              </w:rPr>
            </w:pPr>
            <w:r w:rsidRPr="00AA57EC">
              <w:rPr>
                <w:rFonts w:asciiTheme="minorHAnsi" w:hAnsiTheme="minorHAnsi" w:cstheme="minorHAnsi"/>
                <w:sz w:val="20"/>
                <w:szCs w:val="20"/>
              </w:rPr>
              <w:t>Ubijaki szybkouderzające</w:t>
            </w:r>
          </w:p>
        </w:tc>
        <w:tc>
          <w:tcPr>
            <w:tcW w:w="993" w:type="dxa"/>
            <w:tcBorders>
              <w:top w:val="single" w:sz="6" w:space="0" w:color="000000"/>
              <w:left w:val="single" w:sz="6" w:space="0" w:color="000000"/>
              <w:bottom w:val="single" w:sz="6" w:space="0" w:color="000000"/>
              <w:right w:val="single" w:sz="6" w:space="0" w:color="000000"/>
            </w:tcBorders>
            <w:hideMark/>
          </w:tcPr>
          <w:p w14:paraId="2A78858D" w14:textId="77777777" w:rsidR="00BA1D9A" w:rsidRPr="00AA57EC" w:rsidRDefault="00BA1D9A">
            <w:pPr>
              <w:pStyle w:val="StylIwony"/>
              <w:spacing w:before="0" w:after="0"/>
              <w:rPr>
                <w:rFonts w:asciiTheme="minorHAnsi" w:hAnsiTheme="minorHAnsi" w:cstheme="minorHAnsi"/>
                <w:sz w:val="20"/>
                <w:szCs w:val="20"/>
              </w:rPr>
            </w:pPr>
            <w:r w:rsidRPr="00AA57EC">
              <w:rPr>
                <w:rFonts w:asciiTheme="minorHAnsi" w:hAnsiTheme="minorHAnsi" w:cstheme="minorHAnsi"/>
                <w:sz w:val="20"/>
                <w:szCs w:val="20"/>
              </w:rPr>
              <w:t>0,2 do 0,4</w:t>
            </w:r>
          </w:p>
        </w:tc>
        <w:tc>
          <w:tcPr>
            <w:tcW w:w="1133" w:type="dxa"/>
            <w:tcBorders>
              <w:top w:val="single" w:sz="6" w:space="0" w:color="000000"/>
              <w:left w:val="single" w:sz="6" w:space="0" w:color="000000"/>
              <w:bottom w:val="single" w:sz="6" w:space="0" w:color="000000"/>
              <w:right w:val="single" w:sz="6" w:space="0" w:color="000000"/>
            </w:tcBorders>
            <w:hideMark/>
          </w:tcPr>
          <w:p w14:paraId="6CA8489D" w14:textId="77777777" w:rsidR="00BA1D9A" w:rsidRPr="00AA57EC" w:rsidRDefault="00BA1D9A">
            <w:pPr>
              <w:pStyle w:val="StylIwony"/>
              <w:spacing w:before="0" w:after="0"/>
              <w:rPr>
                <w:rFonts w:asciiTheme="minorHAnsi" w:hAnsiTheme="minorHAnsi" w:cstheme="minorHAnsi"/>
                <w:sz w:val="20"/>
                <w:szCs w:val="20"/>
              </w:rPr>
            </w:pPr>
            <w:r w:rsidRPr="00AA57EC">
              <w:rPr>
                <w:rFonts w:asciiTheme="minorHAnsi" w:hAnsiTheme="minorHAnsi" w:cstheme="minorHAnsi"/>
                <w:sz w:val="20"/>
                <w:szCs w:val="20"/>
              </w:rPr>
              <w:t>2 do4</w:t>
            </w:r>
          </w:p>
        </w:tc>
        <w:tc>
          <w:tcPr>
            <w:tcW w:w="1134" w:type="dxa"/>
            <w:tcBorders>
              <w:top w:val="single" w:sz="6" w:space="0" w:color="000000"/>
              <w:left w:val="single" w:sz="6" w:space="0" w:color="000000"/>
              <w:bottom w:val="single" w:sz="6" w:space="0" w:color="000000"/>
              <w:right w:val="single" w:sz="6" w:space="0" w:color="000000"/>
            </w:tcBorders>
            <w:hideMark/>
          </w:tcPr>
          <w:p w14:paraId="0EF69970" w14:textId="77777777" w:rsidR="00BA1D9A" w:rsidRPr="00AA57EC" w:rsidRDefault="00BA1D9A">
            <w:pPr>
              <w:pStyle w:val="StylIwony"/>
              <w:spacing w:before="0" w:after="0"/>
              <w:rPr>
                <w:rFonts w:asciiTheme="minorHAnsi" w:hAnsiTheme="minorHAnsi" w:cstheme="minorHAnsi"/>
                <w:sz w:val="20"/>
                <w:szCs w:val="20"/>
              </w:rPr>
            </w:pPr>
            <w:r w:rsidRPr="00AA57EC">
              <w:rPr>
                <w:rFonts w:asciiTheme="minorHAnsi" w:hAnsiTheme="minorHAnsi" w:cstheme="minorHAnsi"/>
                <w:sz w:val="20"/>
                <w:szCs w:val="20"/>
              </w:rPr>
              <w:t>0,1 do 0,3</w:t>
            </w:r>
          </w:p>
        </w:tc>
        <w:tc>
          <w:tcPr>
            <w:tcW w:w="1134" w:type="dxa"/>
            <w:tcBorders>
              <w:top w:val="single" w:sz="6" w:space="0" w:color="000000"/>
              <w:left w:val="single" w:sz="6" w:space="0" w:color="000000"/>
              <w:bottom w:val="single" w:sz="6" w:space="0" w:color="000000"/>
              <w:right w:val="single" w:sz="6" w:space="0" w:color="000000"/>
            </w:tcBorders>
            <w:hideMark/>
          </w:tcPr>
          <w:p w14:paraId="25690E78" w14:textId="77777777" w:rsidR="00BA1D9A" w:rsidRPr="00AA57EC" w:rsidRDefault="00BA1D9A">
            <w:pPr>
              <w:pStyle w:val="StylIwony"/>
              <w:spacing w:before="0" w:after="0"/>
              <w:rPr>
                <w:rFonts w:asciiTheme="minorHAnsi" w:hAnsiTheme="minorHAnsi" w:cstheme="minorHAnsi"/>
                <w:sz w:val="20"/>
                <w:szCs w:val="20"/>
              </w:rPr>
            </w:pPr>
            <w:r w:rsidRPr="00AA57EC">
              <w:rPr>
                <w:rFonts w:asciiTheme="minorHAnsi" w:hAnsiTheme="minorHAnsi" w:cstheme="minorHAnsi"/>
                <w:sz w:val="20"/>
                <w:szCs w:val="20"/>
              </w:rPr>
              <w:t>3 do 5</w:t>
            </w:r>
          </w:p>
        </w:tc>
        <w:tc>
          <w:tcPr>
            <w:tcW w:w="1134" w:type="dxa"/>
            <w:tcBorders>
              <w:top w:val="single" w:sz="6" w:space="0" w:color="000000"/>
              <w:left w:val="single" w:sz="6" w:space="0" w:color="000000"/>
              <w:bottom w:val="single" w:sz="6" w:space="0" w:color="000000"/>
              <w:right w:val="single" w:sz="6" w:space="0" w:color="000000"/>
            </w:tcBorders>
            <w:hideMark/>
          </w:tcPr>
          <w:p w14:paraId="4A5CCE96" w14:textId="77777777" w:rsidR="00BA1D9A" w:rsidRPr="00AA57EC" w:rsidRDefault="00BA1D9A">
            <w:pPr>
              <w:pStyle w:val="StylIwony"/>
              <w:spacing w:before="0" w:after="0"/>
              <w:rPr>
                <w:rFonts w:asciiTheme="minorHAnsi" w:hAnsiTheme="minorHAnsi" w:cstheme="minorHAnsi"/>
                <w:sz w:val="20"/>
                <w:szCs w:val="20"/>
              </w:rPr>
            </w:pPr>
            <w:r w:rsidRPr="00AA57EC">
              <w:rPr>
                <w:rFonts w:asciiTheme="minorHAnsi" w:hAnsiTheme="minorHAnsi" w:cstheme="minorHAnsi"/>
                <w:sz w:val="20"/>
                <w:szCs w:val="20"/>
              </w:rPr>
              <w:t>0,2 do 0,4</w:t>
            </w:r>
          </w:p>
        </w:tc>
        <w:tc>
          <w:tcPr>
            <w:tcW w:w="850" w:type="dxa"/>
            <w:tcBorders>
              <w:top w:val="single" w:sz="6" w:space="0" w:color="000000"/>
              <w:left w:val="single" w:sz="6" w:space="0" w:color="000000"/>
              <w:bottom w:val="single" w:sz="6" w:space="0" w:color="000000"/>
              <w:right w:val="single" w:sz="6" w:space="0" w:color="000000"/>
            </w:tcBorders>
            <w:hideMark/>
          </w:tcPr>
          <w:p w14:paraId="656E24C9" w14:textId="77777777" w:rsidR="00BA1D9A" w:rsidRPr="00AA57EC" w:rsidRDefault="00BA1D9A">
            <w:pPr>
              <w:pStyle w:val="StylIwony"/>
              <w:spacing w:before="0" w:after="0"/>
              <w:rPr>
                <w:rFonts w:asciiTheme="minorHAnsi" w:hAnsiTheme="minorHAnsi" w:cstheme="minorHAnsi"/>
                <w:sz w:val="20"/>
                <w:szCs w:val="20"/>
              </w:rPr>
            </w:pPr>
            <w:r w:rsidRPr="00AA57EC">
              <w:rPr>
                <w:rFonts w:asciiTheme="minorHAnsi" w:hAnsiTheme="minorHAnsi" w:cstheme="minorHAnsi"/>
                <w:sz w:val="20"/>
                <w:szCs w:val="20"/>
              </w:rPr>
              <w:t>3 do 4</w:t>
            </w:r>
          </w:p>
        </w:tc>
        <w:tc>
          <w:tcPr>
            <w:tcW w:w="851" w:type="dxa"/>
            <w:tcBorders>
              <w:top w:val="single" w:sz="6" w:space="0" w:color="000000"/>
              <w:left w:val="single" w:sz="6" w:space="0" w:color="000000"/>
              <w:bottom w:val="single" w:sz="6" w:space="0" w:color="000000"/>
              <w:right w:val="single" w:sz="6" w:space="0" w:color="000000"/>
            </w:tcBorders>
            <w:hideMark/>
          </w:tcPr>
          <w:p w14:paraId="4D861A1F" w14:textId="77777777" w:rsidR="00BA1D9A" w:rsidRPr="00AA57EC" w:rsidRDefault="00BA1D9A">
            <w:pPr>
              <w:pStyle w:val="StylIwony"/>
              <w:spacing w:before="0" w:after="0"/>
              <w:rPr>
                <w:rFonts w:asciiTheme="minorHAnsi" w:hAnsiTheme="minorHAnsi" w:cstheme="minorHAnsi"/>
                <w:sz w:val="20"/>
                <w:szCs w:val="20"/>
              </w:rPr>
            </w:pPr>
            <w:r w:rsidRPr="00AA57EC">
              <w:rPr>
                <w:rFonts w:asciiTheme="minorHAnsi" w:hAnsiTheme="minorHAnsi" w:cstheme="minorHAnsi"/>
                <w:sz w:val="20"/>
                <w:szCs w:val="20"/>
              </w:rPr>
              <w:t>6)</w:t>
            </w:r>
          </w:p>
        </w:tc>
      </w:tr>
      <w:tr w:rsidR="00BA1D9A" w:rsidRPr="00AA57EC" w14:paraId="3CE4B8C1" w14:textId="77777777" w:rsidTr="00BA1D9A">
        <w:tc>
          <w:tcPr>
            <w:tcW w:w="2622" w:type="dxa"/>
            <w:tcBorders>
              <w:top w:val="single" w:sz="6" w:space="0" w:color="000000"/>
              <w:left w:val="single" w:sz="6" w:space="0" w:color="000000"/>
              <w:bottom w:val="single" w:sz="6" w:space="0" w:color="000000"/>
              <w:right w:val="single" w:sz="6" w:space="0" w:color="000000"/>
            </w:tcBorders>
            <w:hideMark/>
          </w:tcPr>
          <w:p w14:paraId="4E664841" w14:textId="77777777" w:rsidR="00BA1D9A" w:rsidRPr="00AA57EC" w:rsidRDefault="00BA1D9A">
            <w:pPr>
              <w:pStyle w:val="StylIwony"/>
              <w:spacing w:before="0" w:after="0"/>
              <w:rPr>
                <w:rFonts w:asciiTheme="minorHAnsi" w:hAnsiTheme="minorHAnsi" w:cstheme="minorHAnsi"/>
                <w:sz w:val="20"/>
                <w:szCs w:val="20"/>
              </w:rPr>
            </w:pPr>
            <w:r w:rsidRPr="00AA57EC">
              <w:rPr>
                <w:rFonts w:asciiTheme="minorHAnsi" w:hAnsiTheme="minorHAnsi" w:cstheme="minorHAnsi"/>
                <w:sz w:val="20"/>
                <w:szCs w:val="20"/>
              </w:rPr>
              <w:t>Ubijaki o masie od 1 do 10 Mg zrzucane z wysokości od 5 do 10 m</w:t>
            </w:r>
          </w:p>
        </w:tc>
        <w:tc>
          <w:tcPr>
            <w:tcW w:w="993" w:type="dxa"/>
            <w:tcBorders>
              <w:top w:val="single" w:sz="6" w:space="0" w:color="000000"/>
              <w:left w:val="single" w:sz="6" w:space="0" w:color="000000"/>
              <w:bottom w:val="single" w:sz="6" w:space="0" w:color="000000"/>
              <w:right w:val="single" w:sz="6" w:space="0" w:color="000000"/>
            </w:tcBorders>
          </w:tcPr>
          <w:p w14:paraId="44EECFC9" w14:textId="77777777" w:rsidR="00BA1D9A" w:rsidRPr="00AA57EC" w:rsidRDefault="00BA1D9A">
            <w:pPr>
              <w:pStyle w:val="StylIwony"/>
              <w:spacing w:before="0" w:after="0"/>
              <w:rPr>
                <w:rFonts w:asciiTheme="minorHAnsi" w:hAnsiTheme="minorHAnsi" w:cstheme="minorHAnsi"/>
                <w:sz w:val="20"/>
                <w:szCs w:val="20"/>
              </w:rPr>
            </w:pPr>
          </w:p>
          <w:p w14:paraId="18A63A9F" w14:textId="77777777" w:rsidR="00BA1D9A" w:rsidRPr="00AA57EC" w:rsidRDefault="00BA1D9A">
            <w:pPr>
              <w:pStyle w:val="StylIwony"/>
              <w:spacing w:before="0" w:after="0"/>
              <w:rPr>
                <w:rFonts w:asciiTheme="minorHAnsi" w:hAnsiTheme="minorHAnsi" w:cstheme="minorHAnsi"/>
                <w:sz w:val="20"/>
                <w:szCs w:val="20"/>
              </w:rPr>
            </w:pPr>
            <w:r w:rsidRPr="00AA57EC">
              <w:rPr>
                <w:rFonts w:asciiTheme="minorHAnsi" w:hAnsiTheme="minorHAnsi" w:cstheme="minorHAnsi"/>
                <w:sz w:val="20"/>
                <w:szCs w:val="20"/>
              </w:rPr>
              <w:t>2,0 do 8,0</w:t>
            </w:r>
          </w:p>
        </w:tc>
        <w:tc>
          <w:tcPr>
            <w:tcW w:w="1133" w:type="dxa"/>
            <w:tcBorders>
              <w:top w:val="single" w:sz="6" w:space="0" w:color="000000"/>
              <w:left w:val="single" w:sz="6" w:space="0" w:color="000000"/>
              <w:bottom w:val="single" w:sz="6" w:space="0" w:color="000000"/>
              <w:right w:val="single" w:sz="6" w:space="0" w:color="000000"/>
            </w:tcBorders>
            <w:hideMark/>
          </w:tcPr>
          <w:p w14:paraId="3C23AF1E" w14:textId="77777777" w:rsidR="00BA1D9A" w:rsidRPr="00AA57EC" w:rsidRDefault="00BA1D9A">
            <w:pPr>
              <w:pStyle w:val="StylIwony"/>
              <w:spacing w:before="0" w:after="0"/>
              <w:rPr>
                <w:rFonts w:asciiTheme="minorHAnsi" w:hAnsiTheme="minorHAnsi" w:cstheme="minorHAnsi"/>
                <w:sz w:val="20"/>
                <w:szCs w:val="20"/>
              </w:rPr>
            </w:pPr>
            <w:r w:rsidRPr="00AA57EC">
              <w:rPr>
                <w:rFonts w:asciiTheme="minorHAnsi" w:hAnsiTheme="minorHAnsi" w:cstheme="minorHAnsi"/>
                <w:sz w:val="20"/>
                <w:szCs w:val="20"/>
              </w:rPr>
              <w:t>4 do 10 uderzeń w punkt</w:t>
            </w:r>
          </w:p>
        </w:tc>
        <w:tc>
          <w:tcPr>
            <w:tcW w:w="1134" w:type="dxa"/>
            <w:tcBorders>
              <w:top w:val="single" w:sz="6" w:space="0" w:color="000000"/>
              <w:left w:val="single" w:sz="6" w:space="0" w:color="000000"/>
              <w:bottom w:val="single" w:sz="6" w:space="0" w:color="000000"/>
              <w:right w:val="single" w:sz="6" w:space="0" w:color="000000"/>
            </w:tcBorders>
          </w:tcPr>
          <w:p w14:paraId="4001E512" w14:textId="77777777" w:rsidR="00BA1D9A" w:rsidRPr="00AA57EC" w:rsidRDefault="00BA1D9A">
            <w:pPr>
              <w:pStyle w:val="StylIwony"/>
              <w:spacing w:before="0" w:after="0"/>
              <w:rPr>
                <w:rFonts w:asciiTheme="minorHAnsi" w:hAnsiTheme="minorHAnsi" w:cstheme="minorHAnsi"/>
                <w:sz w:val="20"/>
                <w:szCs w:val="20"/>
              </w:rPr>
            </w:pPr>
          </w:p>
          <w:p w14:paraId="23BDAED8" w14:textId="77777777" w:rsidR="00BA1D9A" w:rsidRPr="00AA57EC" w:rsidRDefault="00BA1D9A">
            <w:pPr>
              <w:pStyle w:val="StylIwony"/>
              <w:spacing w:before="0" w:after="0"/>
              <w:rPr>
                <w:rFonts w:asciiTheme="minorHAnsi" w:hAnsiTheme="minorHAnsi" w:cstheme="minorHAnsi"/>
                <w:sz w:val="20"/>
                <w:szCs w:val="20"/>
              </w:rPr>
            </w:pPr>
            <w:r w:rsidRPr="00AA57EC">
              <w:rPr>
                <w:rFonts w:asciiTheme="minorHAnsi" w:hAnsiTheme="minorHAnsi" w:cstheme="minorHAnsi"/>
                <w:sz w:val="20"/>
                <w:szCs w:val="20"/>
              </w:rPr>
              <w:t>1,0 do 4,0</w:t>
            </w:r>
          </w:p>
        </w:tc>
        <w:tc>
          <w:tcPr>
            <w:tcW w:w="1134" w:type="dxa"/>
            <w:tcBorders>
              <w:top w:val="single" w:sz="6" w:space="0" w:color="000000"/>
              <w:left w:val="single" w:sz="6" w:space="0" w:color="000000"/>
              <w:bottom w:val="single" w:sz="6" w:space="0" w:color="000000"/>
              <w:right w:val="single" w:sz="6" w:space="0" w:color="000000"/>
            </w:tcBorders>
            <w:hideMark/>
          </w:tcPr>
          <w:p w14:paraId="3EE95D00" w14:textId="77777777" w:rsidR="00BA1D9A" w:rsidRPr="00AA57EC" w:rsidRDefault="00BA1D9A">
            <w:pPr>
              <w:pStyle w:val="StylIwony"/>
              <w:spacing w:before="0" w:after="0"/>
              <w:rPr>
                <w:rFonts w:asciiTheme="minorHAnsi" w:hAnsiTheme="minorHAnsi" w:cstheme="minorHAnsi"/>
                <w:sz w:val="20"/>
                <w:szCs w:val="20"/>
              </w:rPr>
            </w:pPr>
            <w:r w:rsidRPr="00AA57EC">
              <w:rPr>
                <w:rFonts w:asciiTheme="minorHAnsi" w:hAnsiTheme="minorHAnsi" w:cstheme="minorHAnsi"/>
                <w:sz w:val="20"/>
                <w:szCs w:val="20"/>
              </w:rPr>
              <w:t>3 do 6 uderzeń w punkt</w:t>
            </w:r>
          </w:p>
        </w:tc>
        <w:tc>
          <w:tcPr>
            <w:tcW w:w="1134" w:type="dxa"/>
            <w:tcBorders>
              <w:top w:val="single" w:sz="6" w:space="0" w:color="000000"/>
              <w:left w:val="single" w:sz="6" w:space="0" w:color="000000"/>
              <w:bottom w:val="single" w:sz="6" w:space="0" w:color="000000"/>
              <w:right w:val="single" w:sz="6" w:space="0" w:color="000000"/>
            </w:tcBorders>
          </w:tcPr>
          <w:p w14:paraId="19A19C3F" w14:textId="77777777" w:rsidR="00BA1D9A" w:rsidRPr="00AA57EC" w:rsidRDefault="00BA1D9A">
            <w:pPr>
              <w:pStyle w:val="StylIwony"/>
              <w:spacing w:before="0" w:after="0"/>
              <w:rPr>
                <w:rFonts w:asciiTheme="minorHAnsi" w:hAnsiTheme="minorHAnsi" w:cstheme="minorHAnsi"/>
                <w:sz w:val="20"/>
                <w:szCs w:val="20"/>
              </w:rPr>
            </w:pPr>
          </w:p>
          <w:p w14:paraId="67F3EF28" w14:textId="77777777" w:rsidR="00BA1D9A" w:rsidRPr="00AA57EC" w:rsidRDefault="00BA1D9A">
            <w:pPr>
              <w:pStyle w:val="StylIwony"/>
              <w:spacing w:before="0" w:after="0"/>
              <w:rPr>
                <w:rFonts w:asciiTheme="minorHAnsi" w:hAnsiTheme="minorHAnsi" w:cstheme="minorHAnsi"/>
                <w:sz w:val="20"/>
                <w:szCs w:val="20"/>
              </w:rPr>
            </w:pPr>
            <w:r w:rsidRPr="00AA57EC">
              <w:rPr>
                <w:rFonts w:asciiTheme="minorHAnsi" w:hAnsiTheme="minorHAnsi" w:cstheme="minorHAnsi"/>
                <w:sz w:val="20"/>
                <w:szCs w:val="20"/>
              </w:rPr>
              <w:t>1,0 do 5,0</w:t>
            </w:r>
          </w:p>
        </w:tc>
        <w:tc>
          <w:tcPr>
            <w:tcW w:w="850" w:type="dxa"/>
            <w:tcBorders>
              <w:top w:val="single" w:sz="6" w:space="0" w:color="000000"/>
              <w:left w:val="single" w:sz="6" w:space="0" w:color="000000"/>
              <w:bottom w:val="single" w:sz="6" w:space="0" w:color="000000"/>
              <w:right w:val="single" w:sz="6" w:space="0" w:color="000000"/>
            </w:tcBorders>
            <w:hideMark/>
          </w:tcPr>
          <w:p w14:paraId="142ABC4F" w14:textId="77777777" w:rsidR="00BA1D9A" w:rsidRPr="00AA57EC" w:rsidRDefault="00BA1D9A">
            <w:pPr>
              <w:pStyle w:val="StylIwony"/>
              <w:spacing w:before="0" w:after="0"/>
              <w:rPr>
                <w:rFonts w:asciiTheme="minorHAnsi" w:hAnsiTheme="minorHAnsi" w:cstheme="minorHAnsi"/>
                <w:sz w:val="20"/>
                <w:szCs w:val="20"/>
              </w:rPr>
            </w:pPr>
            <w:r w:rsidRPr="00AA57EC">
              <w:rPr>
                <w:rFonts w:asciiTheme="minorHAnsi" w:hAnsiTheme="minorHAnsi" w:cstheme="minorHAnsi"/>
                <w:sz w:val="20"/>
                <w:szCs w:val="20"/>
              </w:rPr>
              <w:t>3 do 6 uderzeń w punkt</w:t>
            </w:r>
          </w:p>
        </w:tc>
        <w:tc>
          <w:tcPr>
            <w:tcW w:w="851" w:type="dxa"/>
            <w:tcBorders>
              <w:top w:val="single" w:sz="6" w:space="0" w:color="000000"/>
              <w:left w:val="single" w:sz="6" w:space="0" w:color="000000"/>
              <w:bottom w:val="single" w:sz="6" w:space="0" w:color="000000"/>
              <w:right w:val="single" w:sz="6" w:space="0" w:color="000000"/>
            </w:tcBorders>
          </w:tcPr>
          <w:p w14:paraId="4686CFF5" w14:textId="77777777" w:rsidR="00BA1D9A" w:rsidRPr="00AA57EC" w:rsidRDefault="00BA1D9A">
            <w:pPr>
              <w:pStyle w:val="StylIwony"/>
              <w:spacing w:before="0" w:after="0"/>
              <w:rPr>
                <w:rFonts w:asciiTheme="minorHAnsi" w:hAnsiTheme="minorHAnsi" w:cstheme="minorHAnsi"/>
                <w:sz w:val="20"/>
                <w:szCs w:val="20"/>
              </w:rPr>
            </w:pPr>
          </w:p>
        </w:tc>
      </w:tr>
    </w:tbl>
    <w:p w14:paraId="2D909A48" w14:textId="77777777" w:rsidR="00BA1D9A" w:rsidRPr="00AA57EC" w:rsidRDefault="00BA1D9A" w:rsidP="00BA1D9A">
      <w:pPr>
        <w:pStyle w:val="StylIwony"/>
        <w:spacing w:before="0" w:after="0"/>
        <w:rPr>
          <w:rFonts w:asciiTheme="minorHAnsi" w:hAnsiTheme="minorHAnsi" w:cstheme="minorHAnsi"/>
          <w:sz w:val="20"/>
          <w:szCs w:val="20"/>
        </w:rPr>
      </w:pPr>
      <w:r w:rsidRPr="00AA57EC">
        <w:rPr>
          <w:rFonts w:asciiTheme="minorHAnsi" w:hAnsiTheme="minorHAnsi" w:cstheme="minorHAnsi"/>
          <w:sz w:val="20"/>
          <w:szCs w:val="20"/>
        </w:rPr>
        <w:t>*) Walce statyczne są mało przydatne w gruntach kamienistych.</w:t>
      </w:r>
    </w:p>
    <w:p w14:paraId="1F7B91A7" w14:textId="77777777" w:rsidR="00BA1D9A" w:rsidRPr="00AA57EC" w:rsidRDefault="00BA1D9A" w:rsidP="00BA1D9A">
      <w:pPr>
        <w:pStyle w:val="StylIwony"/>
        <w:spacing w:before="0" w:after="0"/>
        <w:rPr>
          <w:rFonts w:asciiTheme="minorHAnsi" w:hAnsiTheme="minorHAnsi" w:cstheme="minorHAnsi"/>
          <w:sz w:val="20"/>
          <w:szCs w:val="20"/>
        </w:rPr>
      </w:pPr>
      <w:r w:rsidRPr="00AA57EC">
        <w:rPr>
          <w:rFonts w:asciiTheme="minorHAnsi" w:hAnsiTheme="minorHAnsi" w:cstheme="minorHAnsi"/>
          <w:sz w:val="20"/>
          <w:szCs w:val="20"/>
        </w:rPr>
        <w:t xml:space="preserve">**) Wibracyjnie należy zagęszczać warstwy grubości </w:t>
      </w:r>
      <w:r w:rsidRPr="00AA57EC">
        <w:rPr>
          <w:rFonts w:asciiTheme="minorHAnsi" w:hAnsiTheme="minorHAnsi" w:cstheme="minorHAnsi"/>
          <w:sz w:val="20"/>
          <w:szCs w:val="20"/>
        </w:rPr>
        <w:sym w:font="Symbol" w:char="F0B3"/>
      </w:r>
      <w:r w:rsidRPr="00AA57EC">
        <w:rPr>
          <w:rFonts w:asciiTheme="minorHAnsi" w:hAnsiTheme="minorHAnsi" w:cstheme="minorHAnsi"/>
          <w:sz w:val="20"/>
          <w:szCs w:val="20"/>
        </w:rPr>
        <w:t xml:space="preserve"> 15 cm, cieńsze warstwy należy zagęszczać statycznie.</w:t>
      </w:r>
    </w:p>
    <w:p w14:paraId="628F70CF" w14:textId="77777777" w:rsidR="00BA1D9A" w:rsidRPr="00AA57EC" w:rsidRDefault="00BA1D9A" w:rsidP="00BA1D9A">
      <w:pPr>
        <w:pStyle w:val="StylIwony"/>
        <w:spacing w:before="0" w:after="0"/>
        <w:rPr>
          <w:rFonts w:asciiTheme="minorHAnsi" w:hAnsiTheme="minorHAnsi" w:cstheme="minorHAnsi"/>
          <w:sz w:val="20"/>
          <w:szCs w:val="20"/>
        </w:rPr>
      </w:pPr>
      <w:r w:rsidRPr="00AA57EC">
        <w:rPr>
          <w:rFonts w:asciiTheme="minorHAnsi" w:hAnsiTheme="minorHAnsi" w:cstheme="minorHAnsi"/>
          <w:sz w:val="20"/>
          <w:szCs w:val="20"/>
        </w:rPr>
        <w:t>***) Wartości orientacyjne, właściwe należy ustalić na odcinku doświadczalnym.</w:t>
      </w:r>
    </w:p>
    <w:p w14:paraId="33E7976E" w14:textId="77777777" w:rsidR="00BA1D9A" w:rsidRPr="00AA57EC" w:rsidRDefault="00BA1D9A" w:rsidP="00BA1D9A">
      <w:pPr>
        <w:pStyle w:val="StylIwony"/>
        <w:spacing w:before="0" w:after="0"/>
        <w:rPr>
          <w:rFonts w:asciiTheme="minorHAnsi" w:hAnsiTheme="minorHAnsi" w:cstheme="minorHAnsi"/>
          <w:sz w:val="20"/>
          <w:szCs w:val="20"/>
        </w:rPr>
      </w:pPr>
      <w:r w:rsidRPr="00AA57EC">
        <w:rPr>
          <w:rFonts w:asciiTheme="minorHAnsi" w:hAnsiTheme="minorHAnsi" w:cstheme="minorHAnsi"/>
          <w:sz w:val="20"/>
          <w:szCs w:val="20"/>
        </w:rPr>
        <w:t>Uwagi: 1) Do zagęszczania górnych warstw podłoża. Zalecane do codziennego wygładzania (przywałowania) gruntów spoistych w miejscu pobrania i w nasypie.</w:t>
      </w:r>
    </w:p>
    <w:p w14:paraId="56A935D2" w14:textId="77777777" w:rsidR="00BA1D9A" w:rsidRPr="00AA57EC" w:rsidRDefault="00BA1D9A" w:rsidP="00BA1D9A">
      <w:pPr>
        <w:pStyle w:val="StylIwony"/>
        <w:spacing w:before="0" w:after="0"/>
        <w:rPr>
          <w:rFonts w:asciiTheme="minorHAnsi" w:hAnsiTheme="minorHAnsi" w:cstheme="minorHAnsi"/>
          <w:sz w:val="20"/>
          <w:szCs w:val="20"/>
        </w:rPr>
      </w:pPr>
      <w:r w:rsidRPr="00AA57EC">
        <w:rPr>
          <w:rFonts w:asciiTheme="minorHAnsi" w:hAnsiTheme="minorHAnsi" w:cstheme="minorHAnsi"/>
          <w:sz w:val="20"/>
          <w:szCs w:val="20"/>
        </w:rPr>
        <w:t>2) Nie nadają się do gruntów nawodnionych.</w:t>
      </w:r>
    </w:p>
    <w:p w14:paraId="3482917B" w14:textId="77777777" w:rsidR="00BA1D9A" w:rsidRPr="00AA57EC" w:rsidRDefault="00BA1D9A" w:rsidP="00BA1D9A">
      <w:pPr>
        <w:pStyle w:val="StylIwony"/>
        <w:spacing w:before="0" w:after="0"/>
        <w:rPr>
          <w:rFonts w:asciiTheme="minorHAnsi" w:hAnsiTheme="minorHAnsi" w:cstheme="minorHAnsi"/>
          <w:sz w:val="20"/>
          <w:szCs w:val="20"/>
        </w:rPr>
      </w:pPr>
      <w:r w:rsidRPr="00AA57EC">
        <w:rPr>
          <w:rFonts w:asciiTheme="minorHAnsi" w:hAnsiTheme="minorHAnsi" w:cstheme="minorHAnsi"/>
          <w:sz w:val="20"/>
          <w:szCs w:val="20"/>
        </w:rPr>
        <w:t>3) Mało przydatne w gruntach spoistych.</w:t>
      </w:r>
    </w:p>
    <w:p w14:paraId="1013ED82" w14:textId="77777777" w:rsidR="00BA1D9A" w:rsidRPr="00AA57EC" w:rsidRDefault="00BA1D9A" w:rsidP="00BA1D9A">
      <w:pPr>
        <w:pStyle w:val="StylIwony"/>
        <w:spacing w:before="0" w:after="0"/>
        <w:rPr>
          <w:rFonts w:asciiTheme="minorHAnsi" w:hAnsiTheme="minorHAnsi" w:cstheme="minorHAnsi"/>
          <w:sz w:val="20"/>
          <w:szCs w:val="20"/>
        </w:rPr>
      </w:pPr>
      <w:r w:rsidRPr="00AA57EC">
        <w:rPr>
          <w:rFonts w:asciiTheme="minorHAnsi" w:hAnsiTheme="minorHAnsi" w:cstheme="minorHAnsi"/>
          <w:sz w:val="20"/>
          <w:szCs w:val="20"/>
        </w:rPr>
        <w:t>4) Do gruntów spoistych przydatne są walce średnie i ciężkie, do gruntów kamienistych -  walce bardzo ciężkie.</w:t>
      </w:r>
    </w:p>
    <w:p w14:paraId="678B5530" w14:textId="77777777" w:rsidR="00BA1D9A" w:rsidRPr="00AA57EC" w:rsidRDefault="00BA1D9A" w:rsidP="00BA1D9A">
      <w:pPr>
        <w:pStyle w:val="StylIwony"/>
        <w:spacing w:before="0" w:after="0"/>
        <w:rPr>
          <w:rFonts w:asciiTheme="minorHAnsi" w:hAnsiTheme="minorHAnsi" w:cstheme="minorHAnsi"/>
          <w:sz w:val="20"/>
          <w:szCs w:val="20"/>
        </w:rPr>
      </w:pPr>
      <w:r w:rsidRPr="00AA57EC">
        <w:rPr>
          <w:rFonts w:asciiTheme="minorHAnsi" w:hAnsiTheme="minorHAnsi" w:cstheme="minorHAnsi"/>
          <w:sz w:val="20"/>
          <w:szCs w:val="20"/>
        </w:rPr>
        <w:t>5) Zalecane do piasków pylastych i gliniastych, pospółek gliniastych i glin piaszczystych.</w:t>
      </w:r>
    </w:p>
    <w:p w14:paraId="674FFEC8" w14:textId="77777777" w:rsidR="00BA1D9A" w:rsidRPr="00AA57EC" w:rsidRDefault="00BA1D9A" w:rsidP="00BA1D9A">
      <w:pPr>
        <w:pStyle w:val="StylIwony"/>
        <w:spacing w:before="0" w:after="0"/>
        <w:rPr>
          <w:rFonts w:asciiTheme="minorHAnsi" w:hAnsiTheme="minorHAnsi" w:cstheme="minorHAnsi"/>
          <w:sz w:val="20"/>
          <w:szCs w:val="20"/>
        </w:rPr>
      </w:pPr>
      <w:r w:rsidRPr="00AA57EC">
        <w:rPr>
          <w:rFonts w:asciiTheme="minorHAnsi" w:hAnsiTheme="minorHAnsi" w:cstheme="minorHAnsi"/>
          <w:sz w:val="20"/>
          <w:szCs w:val="20"/>
        </w:rPr>
        <w:t>6) Zalecane do zasypek wąskich przekopów</w:t>
      </w:r>
    </w:p>
    <w:p w14:paraId="02EE3186" w14:textId="77777777" w:rsidR="00BA1D9A" w:rsidRPr="00AA57EC" w:rsidRDefault="00BA1D9A" w:rsidP="00BA1D9A">
      <w:pPr>
        <w:rPr>
          <w:rFonts w:asciiTheme="minorHAnsi" w:hAnsiTheme="minorHAnsi" w:cstheme="minorHAnsi"/>
          <w:b/>
        </w:rPr>
      </w:pPr>
      <w:bookmarkStart w:id="306" w:name="_Toc407161280"/>
      <w:bookmarkStart w:id="307" w:name="_Toc418994948"/>
      <w:bookmarkStart w:id="308" w:name="_Toc418996355"/>
      <w:bookmarkStart w:id="309" w:name="_Toc418996724"/>
      <w:bookmarkStart w:id="310" w:name="_Toc418997111"/>
      <w:bookmarkStart w:id="311" w:name="_Toc418998521"/>
      <w:bookmarkStart w:id="312" w:name="_Toc418998877"/>
      <w:bookmarkStart w:id="313" w:name="_Toc419000122"/>
      <w:r w:rsidRPr="00AA57EC">
        <w:rPr>
          <w:rFonts w:asciiTheme="minorHAnsi" w:hAnsiTheme="minorHAnsi" w:cstheme="minorHAnsi"/>
          <w:b/>
        </w:rPr>
        <w:t>4. TRANSPORT</w:t>
      </w:r>
      <w:bookmarkEnd w:id="305"/>
      <w:bookmarkEnd w:id="306"/>
      <w:bookmarkEnd w:id="307"/>
      <w:bookmarkEnd w:id="308"/>
      <w:bookmarkEnd w:id="309"/>
      <w:bookmarkEnd w:id="310"/>
      <w:bookmarkEnd w:id="311"/>
      <w:bookmarkEnd w:id="312"/>
      <w:bookmarkEnd w:id="313"/>
    </w:p>
    <w:p w14:paraId="06EEA69E" w14:textId="7910EFE5" w:rsidR="00BA1D9A" w:rsidRPr="00AA57EC" w:rsidRDefault="00BA1D9A" w:rsidP="00BA1D9A">
      <w:pPr>
        <w:rPr>
          <w:rFonts w:asciiTheme="minorHAnsi" w:hAnsiTheme="minorHAnsi" w:cstheme="minorHAnsi"/>
        </w:rPr>
      </w:pPr>
      <w:r w:rsidRPr="00AA57EC">
        <w:rPr>
          <w:rFonts w:asciiTheme="minorHAnsi" w:hAnsiTheme="minorHAnsi" w:cstheme="minorHAnsi"/>
        </w:rPr>
        <w:t xml:space="preserve">Ogólne wymagania dotyczące transportu podano w </w:t>
      </w:r>
      <w:r w:rsidR="009A3F12">
        <w:rPr>
          <w:rFonts w:asciiTheme="minorHAnsi" w:hAnsiTheme="minorHAnsi" w:cstheme="minorHAnsi"/>
        </w:rPr>
        <w:t>ST</w:t>
      </w:r>
      <w:r w:rsidRPr="00AA57EC">
        <w:rPr>
          <w:rFonts w:asciiTheme="minorHAnsi" w:hAnsiTheme="minorHAnsi" w:cstheme="minorHAnsi"/>
        </w:rPr>
        <w:t>WiORB D-M-00.00.00 pkt 4.</w:t>
      </w:r>
    </w:p>
    <w:p w14:paraId="0C7AB313" w14:textId="77777777" w:rsidR="00BA1D9A" w:rsidRPr="00AA57EC" w:rsidRDefault="00BA1D9A" w:rsidP="00BA1D9A">
      <w:pPr>
        <w:rPr>
          <w:rFonts w:asciiTheme="minorHAnsi" w:hAnsiTheme="minorHAnsi" w:cstheme="minorHAnsi"/>
          <w:b/>
        </w:rPr>
      </w:pPr>
      <w:bookmarkStart w:id="314" w:name="_Toc406295861"/>
      <w:bookmarkStart w:id="315" w:name="_Toc407161281"/>
      <w:bookmarkStart w:id="316" w:name="_Toc418994949"/>
      <w:bookmarkStart w:id="317" w:name="_Toc418996356"/>
      <w:bookmarkStart w:id="318" w:name="_Toc418996725"/>
      <w:bookmarkStart w:id="319" w:name="_Toc418997112"/>
      <w:bookmarkStart w:id="320" w:name="_Toc418998522"/>
      <w:bookmarkStart w:id="321" w:name="_Toc418998878"/>
      <w:bookmarkStart w:id="322" w:name="_Toc419000123"/>
      <w:r w:rsidRPr="00AA57EC">
        <w:rPr>
          <w:rFonts w:asciiTheme="minorHAnsi" w:hAnsiTheme="minorHAnsi" w:cstheme="minorHAnsi"/>
          <w:b/>
        </w:rPr>
        <w:t>5. WYKONANIE ROBÓT</w:t>
      </w:r>
      <w:bookmarkEnd w:id="314"/>
      <w:bookmarkEnd w:id="315"/>
      <w:bookmarkEnd w:id="316"/>
      <w:bookmarkEnd w:id="317"/>
      <w:bookmarkEnd w:id="318"/>
      <w:bookmarkEnd w:id="319"/>
      <w:bookmarkEnd w:id="320"/>
      <w:bookmarkEnd w:id="321"/>
      <w:bookmarkEnd w:id="322"/>
    </w:p>
    <w:p w14:paraId="5A34A8CC" w14:textId="77777777" w:rsidR="00BA1D9A" w:rsidRPr="00AA57EC" w:rsidRDefault="00BA1D9A" w:rsidP="00BA1D9A">
      <w:pPr>
        <w:pStyle w:val="Nagwek4"/>
        <w:rPr>
          <w:rFonts w:asciiTheme="minorHAnsi" w:hAnsiTheme="minorHAnsi" w:cstheme="minorHAnsi"/>
          <w:b w:val="0"/>
        </w:rPr>
      </w:pPr>
      <w:bookmarkStart w:id="323" w:name="_Toc406295862"/>
      <w:bookmarkStart w:id="324" w:name="_Toc407161282"/>
      <w:r w:rsidRPr="00AA57EC">
        <w:rPr>
          <w:rFonts w:asciiTheme="minorHAnsi" w:hAnsiTheme="minorHAnsi" w:cstheme="minorHAnsi"/>
          <w:b w:val="0"/>
          <w:bCs w:val="0"/>
        </w:rPr>
        <w:t>5.1. Ogólne zasady wykonania robót</w:t>
      </w:r>
      <w:bookmarkEnd w:id="323"/>
      <w:bookmarkEnd w:id="324"/>
    </w:p>
    <w:p w14:paraId="313C80F1" w14:textId="0900A6F0" w:rsidR="00BA1D9A" w:rsidRPr="00AA57EC" w:rsidRDefault="00BA1D9A" w:rsidP="00BA1D9A">
      <w:pPr>
        <w:rPr>
          <w:rFonts w:asciiTheme="minorHAnsi" w:hAnsiTheme="minorHAnsi" w:cstheme="minorHAnsi"/>
        </w:rPr>
      </w:pPr>
      <w:r w:rsidRPr="00AA57EC">
        <w:rPr>
          <w:rFonts w:asciiTheme="minorHAnsi" w:hAnsiTheme="minorHAnsi" w:cstheme="minorHAnsi"/>
        </w:rPr>
        <w:t xml:space="preserve">Ogólne zasady wykonania robót podano w </w:t>
      </w:r>
      <w:r w:rsidR="009A3F12">
        <w:rPr>
          <w:rFonts w:asciiTheme="minorHAnsi" w:hAnsiTheme="minorHAnsi" w:cstheme="minorHAnsi"/>
        </w:rPr>
        <w:t>ST</w:t>
      </w:r>
      <w:r w:rsidRPr="00AA57EC">
        <w:rPr>
          <w:rFonts w:asciiTheme="minorHAnsi" w:hAnsiTheme="minorHAnsi" w:cstheme="minorHAnsi"/>
        </w:rPr>
        <w:t>WiORB D-M-00.00.00 pkt 5.</w:t>
      </w:r>
    </w:p>
    <w:p w14:paraId="792B6089" w14:textId="77777777" w:rsidR="00BA1D9A" w:rsidRPr="00AA57EC" w:rsidRDefault="00BA1D9A" w:rsidP="00BA1D9A">
      <w:pPr>
        <w:pStyle w:val="Nagwek4"/>
        <w:rPr>
          <w:rFonts w:asciiTheme="minorHAnsi" w:hAnsiTheme="minorHAnsi" w:cstheme="minorHAnsi"/>
        </w:rPr>
      </w:pPr>
      <w:bookmarkStart w:id="325" w:name="_Toc406295863"/>
      <w:bookmarkStart w:id="326" w:name="_Toc407161283"/>
      <w:r w:rsidRPr="00AA57EC">
        <w:rPr>
          <w:rFonts w:asciiTheme="minorHAnsi" w:hAnsiTheme="minorHAnsi" w:cstheme="minorHAnsi"/>
          <w:b w:val="0"/>
          <w:bCs w:val="0"/>
        </w:rPr>
        <w:t>5.2. Ukop i dokop</w:t>
      </w:r>
      <w:bookmarkEnd w:id="325"/>
      <w:bookmarkEnd w:id="326"/>
    </w:p>
    <w:p w14:paraId="10235073" w14:textId="77777777" w:rsidR="00BA1D9A" w:rsidRPr="00AA57EC" w:rsidRDefault="00BA1D9A" w:rsidP="00BA1D9A">
      <w:pPr>
        <w:rPr>
          <w:rFonts w:asciiTheme="minorHAnsi" w:hAnsiTheme="minorHAnsi" w:cstheme="minorHAnsi"/>
        </w:rPr>
      </w:pPr>
    </w:p>
    <w:p w14:paraId="35D1F5D0" w14:textId="77777777" w:rsidR="00BA1D9A" w:rsidRPr="00AA57EC" w:rsidRDefault="00BA1D9A" w:rsidP="00BA1D9A">
      <w:pPr>
        <w:keepNext/>
        <w:rPr>
          <w:rFonts w:asciiTheme="minorHAnsi" w:hAnsiTheme="minorHAnsi" w:cstheme="minorHAnsi"/>
        </w:rPr>
      </w:pPr>
      <w:r w:rsidRPr="00AA57EC">
        <w:rPr>
          <w:rFonts w:asciiTheme="minorHAnsi" w:hAnsiTheme="minorHAnsi" w:cstheme="minorHAnsi"/>
          <w:b/>
        </w:rPr>
        <w:t xml:space="preserve">5.2.1. </w:t>
      </w:r>
      <w:r w:rsidRPr="00AA57EC">
        <w:rPr>
          <w:rFonts w:asciiTheme="minorHAnsi" w:hAnsiTheme="minorHAnsi" w:cstheme="minorHAnsi"/>
        </w:rPr>
        <w:t>Miejsce ukopu lub dokopu</w:t>
      </w:r>
    </w:p>
    <w:p w14:paraId="52D00294" w14:textId="77777777" w:rsidR="00BA1D9A" w:rsidRPr="00AA57EC" w:rsidRDefault="00BA1D9A" w:rsidP="00BA1D9A">
      <w:pPr>
        <w:keepNext/>
        <w:rPr>
          <w:rFonts w:asciiTheme="minorHAnsi" w:hAnsiTheme="minorHAnsi" w:cstheme="minorHAnsi"/>
        </w:rPr>
      </w:pPr>
    </w:p>
    <w:p w14:paraId="10FFD5B0" w14:textId="77777777" w:rsidR="00BA1D9A" w:rsidRPr="00AA57EC" w:rsidRDefault="00BA1D9A" w:rsidP="00BA1D9A">
      <w:pPr>
        <w:rPr>
          <w:rFonts w:asciiTheme="minorHAnsi" w:hAnsiTheme="minorHAnsi" w:cstheme="minorHAnsi"/>
        </w:rPr>
      </w:pPr>
      <w:r w:rsidRPr="00AA57EC">
        <w:rPr>
          <w:rFonts w:asciiTheme="minorHAnsi" w:hAnsiTheme="minorHAnsi" w:cstheme="minorHAnsi"/>
        </w:rPr>
        <w:t>Miejsce ukopu lub dokopu powinno być wskazane w dokumentacji projektowej, w innych dokumentach kontraktowych lub przez Inżyniera. Jeżeli miejsce to zostało wybrane przez Wykonawcę, musi być ono zaakceptowane przez Inżyniera.</w:t>
      </w:r>
    </w:p>
    <w:p w14:paraId="41B58652" w14:textId="77777777" w:rsidR="00BA1D9A" w:rsidRPr="00AA57EC" w:rsidRDefault="00BA1D9A" w:rsidP="00BA1D9A">
      <w:pPr>
        <w:rPr>
          <w:rFonts w:asciiTheme="minorHAnsi" w:hAnsiTheme="minorHAnsi" w:cstheme="minorHAnsi"/>
        </w:rPr>
      </w:pPr>
      <w:r w:rsidRPr="00AA57EC">
        <w:rPr>
          <w:rFonts w:asciiTheme="minorHAnsi" w:hAnsiTheme="minorHAnsi" w:cstheme="minorHAnsi"/>
        </w:rPr>
        <w:t>Miejsce ukopu lub dokopu powinno być tak dobrane, żeby zapewnić przewóz lub przemieszczanie gruntu na jak najkrótszych odległościach. O ile to możliwe, transport gruntu powinien odbywać się w poziomie lub zgodnie ze spadkiem terenu. Ukopy mogą mieć kształt poszerzonych rowów przyległych do korpusu. Ukopy powinny być wykonywane równolegle do osi drogi, po jednej lub obu jej stronach.</w:t>
      </w:r>
    </w:p>
    <w:p w14:paraId="6BEED945" w14:textId="77777777" w:rsidR="00BA1D9A" w:rsidRPr="00AA57EC" w:rsidRDefault="00BA1D9A" w:rsidP="00BA1D9A">
      <w:pPr>
        <w:rPr>
          <w:rFonts w:asciiTheme="minorHAnsi" w:hAnsiTheme="minorHAnsi" w:cstheme="minorHAnsi"/>
        </w:rPr>
      </w:pPr>
    </w:p>
    <w:p w14:paraId="451211F8" w14:textId="77777777" w:rsidR="00BA1D9A" w:rsidRPr="00AA57EC" w:rsidRDefault="00BA1D9A" w:rsidP="00BA1D9A">
      <w:pPr>
        <w:rPr>
          <w:rFonts w:asciiTheme="minorHAnsi" w:hAnsiTheme="minorHAnsi" w:cstheme="minorHAnsi"/>
        </w:rPr>
      </w:pPr>
      <w:r w:rsidRPr="00AA57EC">
        <w:rPr>
          <w:rFonts w:asciiTheme="minorHAnsi" w:hAnsiTheme="minorHAnsi" w:cstheme="minorHAnsi"/>
          <w:b/>
        </w:rPr>
        <w:t xml:space="preserve">5.2.2. </w:t>
      </w:r>
      <w:r w:rsidRPr="00AA57EC">
        <w:rPr>
          <w:rFonts w:asciiTheme="minorHAnsi" w:hAnsiTheme="minorHAnsi" w:cstheme="minorHAnsi"/>
        </w:rPr>
        <w:t>Zasady prowadzenia robót w ukopie i dokopie</w:t>
      </w:r>
    </w:p>
    <w:p w14:paraId="61483221" w14:textId="77777777" w:rsidR="00BA1D9A" w:rsidRPr="00AA57EC" w:rsidRDefault="00BA1D9A" w:rsidP="00BA1D9A">
      <w:pPr>
        <w:rPr>
          <w:rFonts w:asciiTheme="minorHAnsi" w:hAnsiTheme="minorHAnsi" w:cstheme="minorHAnsi"/>
        </w:rPr>
      </w:pPr>
    </w:p>
    <w:p w14:paraId="29B8106E" w14:textId="77777777" w:rsidR="00BA1D9A" w:rsidRPr="00AA57EC" w:rsidRDefault="00BA1D9A" w:rsidP="00BA1D9A">
      <w:pPr>
        <w:rPr>
          <w:rFonts w:asciiTheme="minorHAnsi" w:hAnsiTheme="minorHAnsi" w:cstheme="minorHAnsi"/>
        </w:rPr>
      </w:pPr>
      <w:r w:rsidRPr="00AA57EC">
        <w:rPr>
          <w:rFonts w:asciiTheme="minorHAnsi" w:hAnsiTheme="minorHAnsi" w:cstheme="minorHAnsi"/>
        </w:rPr>
        <w:t>Pozyskiwanie gruntu z ukopu lub dokopu może rozpocząć się dopiero po pobraniu próbek i zbadaniu przydatności zalegającego gruntu do budowy nasypów oraz po wydaniu zgody na piśmie przez Inżyniera. Głębokość, na jaką należy ocenić przydatność gruntu powinna być dostosowana do zakresu prac.</w:t>
      </w:r>
    </w:p>
    <w:p w14:paraId="155B09C8" w14:textId="77777777" w:rsidR="00BA1D9A" w:rsidRPr="00AA57EC" w:rsidRDefault="00BA1D9A" w:rsidP="00BA1D9A">
      <w:pPr>
        <w:rPr>
          <w:rFonts w:asciiTheme="minorHAnsi" w:hAnsiTheme="minorHAnsi" w:cstheme="minorHAnsi"/>
        </w:rPr>
      </w:pPr>
      <w:r w:rsidRPr="00AA57EC">
        <w:rPr>
          <w:rFonts w:asciiTheme="minorHAnsi" w:hAnsiTheme="minorHAnsi" w:cstheme="minorHAnsi"/>
        </w:rPr>
        <w:t>Grunty nieprzydatne do budowy nasypów nie powinny być odspajane, chyba że wymaga tego dostęp do gruntu przeznaczonego do przewiezienia z dokopu w nasyp. Odspojone przez Wykonawcę grunty nieprzydatne powinny być wbudowane z powrotem w miejscu ich pozyskania, zgodnie ze wskazaniami Inżyniera. Roboty te będą włączone do obmiaru robót i opłacone przez Zamawiającego tylko wówczas, gdy odspojenie gruntów nieprzydatnych było konieczne i zostało potwierdzone przez Inżyniera.</w:t>
      </w:r>
    </w:p>
    <w:p w14:paraId="6092EB83" w14:textId="77777777" w:rsidR="00BA1D9A" w:rsidRPr="00AA57EC" w:rsidRDefault="00BA1D9A" w:rsidP="00BA1D9A">
      <w:pPr>
        <w:rPr>
          <w:rFonts w:asciiTheme="minorHAnsi" w:hAnsiTheme="minorHAnsi" w:cstheme="minorHAnsi"/>
        </w:rPr>
      </w:pPr>
      <w:r w:rsidRPr="00AA57EC">
        <w:rPr>
          <w:rFonts w:asciiTheme="minorHAnsi" w:hAnsiTheme="minorHAnsi" w:cstheme="minorHAnsi"/>
        </w:rPr>
        <w:t>Dno ukopu należy wykonać ze spadkiem od 2 do 3% w kierunku możliwego spływu wody. O ile to konieczne, ukop (dokop) należy odwodnić przez wykonanie rowu odpływowego.</w:t>
      </w:r>
    </w:p>
    <w:p w14:paraId="7F61E0B8" w14:textId="77777777" w:rsidR="00BA1D9A" w:rsidRPr="00AA57EC" w:rsidRDefault="00BA1D9A" w:rsidP="00BA1D9A">
      <w:pPr>
        <w:rPr>
          <w:rFonts w:asciiTheme="minorHAnsi" w:hAnsiTheme="minorHAnsi" w:cstheme="minorHAnsi"/>
        </w:rPr>
      </w:pPr>
      <w:r w:rsidRPr="00AA57EC">
        <w:rPr>
          <w:rFonts w:asciiTheme="minorHAnsi" w:hAnsiTheme="minorHAnsi" w:cstheme="minorHAnsi"/>
        </w:rPr>
        <w:t>Jeżeli ukop jest zlokalizowany na zboczu, nie może on naruszać stateczności zbocza.</w:t>
      </w:r>
    </w:p>
    <w:p w14:paraId="68F6F4C4" w14:textId="77777777" w:rsidR="00BA1D9A" w:rsidRPr="00AA57EC" w:rsidRDefault="00BA1D9A" w:rsidP="00BA1D9A">
      <w:pPr>
        <w:rPr>
          <w:rFonts w:asciiTheme="minorHAnsi" w:hAnsiTheme="minorHAnsi" w:cstheme="minorHAnsi"/>
        </w:rPr>
      </w:pPr>
      <w:r w:rsidRPr="00AA57EC">
        <w:rPr>
          <w:rFonts w:asciiTheme="minorHAnsi" w:hAnsiTheme="minorHAnsi" w:cstheme="minorHAnsi"/>
        </w:rPr>
        <w:t>Dno i skarpy ukopu po zakończeniu jego eksploatacji powinny być tak ukształtowane, aby harmonizowały z otaczającym terenem. Na dnie i skarpach ukopu należy przeprowadzić rekultywację według odrębnej dokumentacji projektowej.</w:t>
      </w:r>
    </w:p>
    <w:p w14:paraId="65190234" w14:textId="77777777" w:rsidR="00BA1D9A" w:rsidRPr="009A3F12" w:rsidRDefault="00BA1D9A" w:rsidP="00BA1D9A">
      <w:pPr>
        <w:pStyle w:val="Nagwek4"/>
        <w:rPr>
          <w:rFonts w:asciiTheme="minorHAnsi" w:hAnsiTheme="minorHAnsi" w:cstheme="minorHAnsi"/>
        </w:rPr>
      </w:pPr>
      <w:bookmarkStart w:id="327" w:name="_Toc406295864"/>
      <w:bookmarkStart w:id="328" w:name="_Toc407161284"/>
      <w:r w:rsidRPr="009A3F12">
        <w:rPr>
          <w:rFonts w:asciiTheme="minorHAnsi" w:hAnsiTheme="minorHAnsi" w:cstheme="minorHAnsi"/>
        </w:rPr>
        <w:t>5.3. Wykonanie nasypów</w:t>
      </w:r>
      <w:bookmarkEnd w:id="327"/>
      <w:bookmarkEnd w:id="328"/>
    </w:p>
    <w:p w14:paraId="0B768087" w14:textId="77777777" w:rsidR="00BA1D9A" w:rsidRPr="00AA57EC" w:rsidRDefault="00BA1D9A" w:rsidP="00BA1D9A">
      <w:pPr>
        <w:rPr>
          <w:rFonts w:asciiTheme="minorHAnsi" w:hAnsiTheme="minorHAnsi" w:cstheme="minorHAnsi"/>
        </w:rPr>
      </w:pPr>
      <w:r w:rsidRPr="00AA57EC">
        <w:rPr>
          <w:rFonts w:asciiTheme="minorHAnsi" w:hAnsiTheme="minorHAnsi" w:cstheme="minorHAnsi"/>
          <w:b/>
        </w:rPr>
        <w:t xml:space="preserve">5.3.1. </w:t>
      </w:r>
      <w:r w:rsidRPr="00AA57EC">
        <w:rPr>
          <w:rFonts w:asciiTheme="minorHAnsi" w:hAnsiTheme="minorHAnsi" w:cstheme="minorHAnsi"/>
        </w:rPr>
        <w:t>Przygotowanie podłoża w obrębie podstawy nasypu</w:t>
      </w:r>
    </w:p>
    <w:p w14:paraId="5C2D6347" w14:textId="3F2118B6" w:rsidR="00BA1D9A" w:rsidRPr="00AA57EC" w:rsidRDefault="00BA1D9A" w:rsidP="00BA1D9A">
      <w:pPr>
        <w:rPr>
          <w:rFonts w:asciiTheme="minorHAnsi" w:hAnsiTheme="minorHAnsi" w:cstheme="minorHAnsi"/>
        </w:rPr>
      </w:pPr>
      <w:r w:rsidRPr="00AA57EC">
        <w:rPr>
          <w:rFonts w:asciiTheme="minorHAnsi" w:hAnsiTheme="minorHAnsi" w:cstheme="minorHAnsi"/>
        </w:rPr>
        <w:t xml:space="preserve">Przed przystąpieniem do budowy nasypu należy w obrębie jego podstawy zakończyć zdjęcie humusu i darniny zgodnie z  </w:t>
      </w:r>
      <w:r w:rsidR="00E737E8">
        <w:rPr>
          <w:rFonts w:asciiTheme="minorHAnsi" w:hAnsiTheme="minorHAnsi" w:cstheme="minorHAnsi"/>
        </w:rPr>
        <w:t>ST</w:t>
      </w:r>
      <w:r w:rsidRPr="00AA57EC">
        <w:rPr>
          <w:rFonts w:asciiTheme="minorHAnsi" w:hAnsiTheme="minorHAnsi" w:cstheme="minorHAnsi"/>
        </w:rPr>
        <w:t>WIORB D-01.02.02 .</w:t>
      </w:r>
    </w:p>
    <w:p w14:paraId="54468963" w14:textId="77777777" w:rsidR="00BA1D9A" w:rsidRPr="00AA57EC" w:rsidRDefault="00BA1D9A" w:rsidP="00BA1D9A">
      <w:pPr>
        <w:rPr>
          <w:rFonts w:asciiTheme="minorHAnsi" w:hAnsiTheme="minorHAnsi" w:cstheme="minorHAnsi"/>
        </w:rPr>
      </w:pPr>
      <w:r w:rsidRPr="00AA57EC">
        <w:rPr>
          <w:rFonts w:asciiTheme="minorHAnsi" w:hAnsiTheme="minorHAnsi" w:cstheme="minorHAnsi"/>
          <w:b/>
        </w:rPr>
        <w:t xml:space="preserve">5.3.1.1. </w:t>
      </w:r>
      <w:r w:rsidRPr="00AA57EC">
        <w:rPr>
          <w:rFonts w:asciiTheme="minorHAnsi" w:hAnsiTheme="minorHAnsi" w:cstheme="minorHAnsi"/>
        </w:rPr>
        <w:t>Wycięcie stopni w zboczu</w:t>
      </w:r>
    </w:p>
    <w:p w14:paraId="311178B4" w14:textId="77777777" w:rsidR="00BA1D9A" w:rsidRPr="00AA57EC" w:rsidRDefault="00BA1D9A" w:rsidP="00BA1D9A">
      <w:pPr>
        <w:rPr>
          <w:rFonts w:asciiTheme="minorHAnsi" w:hAnsiTheme="minorHAnsi" w:cstheme="minorHAnsi"/>
        </w:rPr>
      </w:pPr>
      <w:r w:rsidRPr="00AA57EC">
        <w:rPr>
          <w:rFonts w:asciiTheme="minorHAnsi" w:hAnsiTheme="minorHAnsi" w:cstheme="minorHAnsi"/>
        </w:rPr>
        <w:t xml:space="preserve">Jeżeli pochylenie poprzeczne terenu w stosunku do osi nasypu jest większe niż 1:5 należy, dla zabezpieczenia przed zsuwaniem się nasypu, wykonać w zboczu stopnie o spadku górnej powierzchni, wynoszącym około  4%  </w:t>
      </w:r>
      <w:r w:rsidRPr="00AA57EC">
        <w:rPr>
          <w:rFonts w:asciiTheme="minorHAnsi" w:hAnsiTheme="minorHAnsi" w:cstheme="minorHAnsi"/>
        </w:rPr>
        <w:sym w:font="Symbol" w:char="F0B1"/>
      </w:r>
      <w:r w:rsidRPr="00AA57EC">
        <w:rPr>
          <w:rFonts w:asciiTheme="minorHAnsi" w:hAnsiTheme="minorHAnsi" w:cstheme="minorHAnsi"/>
        </w:rPr>
        <w:t xml:space="preserve"> 1% i szerokości od 1,0 do 2,5 m.</w:t>
      </w:r>
    </w:p>
    <w:p w14:paraId="06504DC9" w14:textId="77777777" w:rsidR="00BA1D9A" w:rsidRPr="00AA57EC" w:rsidRDefault="00BA1D9A" w:rsidP="00BA1D9A">
      <w:pPr>
        <w:keepNext/>
        <w:rPr>
          <w:rFonts w:asciiTheme="minorHAnsi" w:hAnsiTheme="minorHAnsi" w:cstheme="minorHAnsi"/>
        </w:rPr>
      </w:pPr>
      <w:r w:rsidRPr="00AA57EC">
        <w:rPr>
          <w:rFonts w:asciiTheme="minorHAnsi" w:hAnsiTheme="minorHAnsi" w:cstheme="minorHAnsi"/>
          <w:b/>
        </w:rPr>
        <w:t xml:space="preserve">5.3.1.2. </w:t>
      </w:r>
      <w:r w:rsidRPr="00AA57EC">
        <w:rPr>
          <w:rFonts w:asciiTheme="minorHAnsi" w:hAnsiTheme="minorHAnsi" w:cstheme="minorHAnsi"/>
        </w:rPr>
        <w:t>Zagęszczenie gruntu i nośność w podłożu nasypu</w:t>
      </w:r>
    </w:p>
    <w:p w14:paraId="51C4DAEE" w14:textId="77777777" w:rsidR="00BA1D9A" w:rsidRPr="00AA57EC" w:rsidRDefault="00BA1D9A" w:rsidP="00BA1D9A">
      <w:pPr>
        <w:rPr>
          <w:rFonts w:asciiTheme="minorHAnsi" w:hAnsiTheme="minorHAnsi" w:cstheme="minorHAnsi"/>
        </w:rPr>
      </w:pPr>
      <w:r w:rsidRPr="00AA57EC">
        <w:rPr>
          <w:rFonts w:asciiTheme="minorHAnsi" w:hAnsiTheme="minorHAnsi" w:cstheme="minorHAnsi"/>
        </w:rPr>
        <w:t>Wykonawca powinien skontrolować wskaźnik zagęszczenia gruntów rodzimych, zalegających w strefie podłoża nasypu, do głębokości 0,5 m od powierzchni terenu wg normy BN-77/8931-12 Dopuszcza się stosowanie wszystkich metod określonych normą BN-77/8931-12. Jeżeli wartość wskaźnika zagęszczenia jest mniejsza niż określona w tablicy 3, Wykonawca powinien dogęścić podłoże tak, aby powyższe wymaganie zostało spełnione.</w:t>
      </w:r>
    </w:p>
    <w:p w14:paraId="080FBE2C" w14:textId="77777777" w:rsidR="00BA1D9A" w:rsidRPr="00AA57EC" w:rsidRDefault="00BA1D9A" w:rsidP="00BA1D9A">
      <w:pPr>
        <w:rPr>
          <w:rFonts w:asciiTheme="minorHAnsi" w:hAnsiTheme="minorHAnsi" w:cstheme="minorHAnsi"/>
        </w:rPr>
      </w:pPr>
      <w:r w:rsidRPr="00AA57EC">
        <w:rPr>
          <w:rFonts w:asciiTheme="minorHAnsi" w:hAnsiTheme="minorHAnsi" w:cstheme="minorHAnsi"/>
        </w:rPr>
        <w:t xml:space="preserve">Dla warstw leżących poniżej 0,2 m badanie zagęszczenia przeprowadzić należy poprzez oznaczenie wskaźnika odkształcenia oznaczonego wg PN-02205:1998. Grunt przy pomiarze zagęszczenia metodą obciążenia płytą VSS uznaje się za należycie zagęszczony, gdy wskaźnik odkształcenia nie przekracza 2,2. </w:t>
      </w:r>
    </w:p>
    <w:p w14:paraId="5EFF4C10" w14:textId="77777777" w:rsidR="00BA1D9A" w:rsidRPr="00AA57EC" w:rsidRDefault="00BA1D9A" w:rsidP="00BA1D9A">
      <w:pPr>
        <w:rPr>
          <w:rFonts w:asciiTheme="minorHAnsi" w:hAnsiTheme="minorHAnsi" w:cstheme="minorHAnsi"/>
        </w:rPr>
      </w:pPr>
      <w:r w:rsidRPr="00AA57EC">
        <w:rPr>
          <w:rFonts w:asciiTheme="minorHAnsi" w:hAnsiTheme="minorHAnsi" w:cstheme="minorHAnsi"/>
        </w:rPr>
        <w:t>Jeżeli wartości wskaźnika zagęszczenia określone powyżej nie mogą być osiągnięte przez bezpośrednie zagęszczanie podłoża, to należy podjąć środki w celu ulepszenia gruntu podłoża, umożliwiające uzyskanie wymaganych wartości wskaźnika zagęszczenia. Sposób ulepszenia proponuje Wykonawca i podlega on akceptacji Inżyniera oraz Projektanta</w:t>
      </w:r>
    </w:p>
    <w:p w14:paraId="0315F6DB" w14:textId="77777777" w:rsidR="00BA1D9A" w:rsidRPr="00AA57EC" w:rsidRDefault="00BA1D9A" w:rsidP="00BA1D9A">
      <w:pPr>
        <w:rPr>
          <w:rFonts w:asciiTheme="minorHAnsi" w:hAnsiTheme="minorHAnsi" w:cstheme="minorHAnsi"/>
        </w:rPr>
      </w:pPr>
    </w:p>
    <w:p w14:paraId="7CABD864" w14:textId="77777777" w:rsidR="00BA1D9A" w:rsidRPr="00AA57EC" w:rsidRDefault="00BA1D9A" w:rsidP="00BA1D9A">
      <w:pPr>
        <w:rPr>
          <w:rFonts w:asciiTheme="minorHAnsi" w:hAnsiTheme="minorHAnsi" w:cstheme="minorHAnsi"/>
        </w:rPr>
      </w:pPr>
      <w:r w:rsidRPr="00AA57EC">
        <w:rPr>
          <w:rFonts w:asciiTheme="minorHAnsi" w:hAnsiTheme="minorHAnsi" w:cstheme="minorHAnsi"/>
        </w:rPr>
        <w:t>Tablica 3. Minimalne wartości wskaźnika zagęszczenia dla podłoża nasypów do głębokości 0,5 m od powierzchni terenu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80"/>
        <w:gridCol w:w="1843"/>
        <w:gridCol w:w="1843"/>
      </w:tblGrid>
      <w:tr w:rsidR="00BA1D9A" w:rsidRPr="00AA57EC" w14:paraId="6B6D2212" w14:textId="77777777" w:rsidTr="00BA1D9A">
        <w:trPr>
          <w:trHeight w:val="960"/>
        </w:trPr>
        <w:tc>
          <w:tcPr>
            <w:tcW w:w="2480" w:type="dxa"/>
            <w:tcBorders>
              <w:top w:val="single" w:sz="4" w:space="0" w:color="auto"/>
              <w:left w:val="single" w:sz="4" w:space="0" w:color="auto"/>
              <w:bottom w:val="single" w:sz="4" w:space="0" w:color="auto"/>
              <w:right w:val="single" w:sz="4" w:space="0" w:color="auto"/>
            </w:tcBorders>
            <w:hideMark/>
          </w:tcPr>
          <w:p w14:paraId="6799744E" w14:textId="77777777" w:rsidR="00BA1D9A" w:rsidRPr="00AA57EC" w:rsidRDefault="00BA1D9A">
            <w:pPr>
              <w:rPr>
                <w:rFonts w:asciiTheme="minorHAnsi" w:hAnsiTheme="minorHAnsi" w:cstheme="minorHAnsi"/>
              </w:rPr>
            </w:pPr>
            <w:r w:rsidRPr="00AA57EC">
              <w:rPr>
                <w:rFonts w:asciiTheme="minorHAnsi" w:hAnsiTheme="minorHAnsi" w:cstheme="minorHAnsi"/>
              </w:rPr>
              <w:t>Nasypy o wysokości,</w:t>
            </w:r>
          </w:p>
          <w:p w14:paraId="050FCE8C" w14:textId="77777777" w:rsidR="00BA1D9A" w:rsidRPr="00AA57EC" w:rsidRDefault="00BA1D9A">
            <w:pPr>
              <w:rPr>
                <w:rFonts w:asciiTheme="minorHAnsi" w:hAnsiTheme="minorHAnsi" w:cstheme="minorHAnsi"/>
              </w:rPr>
            </w:pPr>
            <w:r w:rsidRPr="00AA57EC">
              <w:rPr>
                <w:rFonts w:asciiTheme="minorHAnsi" w:hAnsiTheme="minorHAnsi" w:cstheme="minorHAnsi"/>
              </w:rPr>
              <w:t>m</w:t>
            </w:r>
          </w:p>
        </w:tc>
        <w:tc>
          <w:tcPr>
            <w:tcW w:w="1843" w:type="dxa"/>
            <w:tcBorders>
              <w:top w:val="single" w:sz="4" w:space="0" w:color="auto"/>
              <w:left w:val="single" w:sz="4" w:space="0" w:color="auto"/>
              <w:bottom w:val="single" w:sz="4" w:space="0" w:color="auto"/>
              <w:right w:val="single" w:sz="4" w:space="0" w:color="auto"/>
            </w:tcBorders>
            <w:hideMark/>
          </w:tcPr>
          <w:p w14:paraId="4A738E27" w14:textId="77777777" w:rsidR="00BA1D9A" w:rsidRPr="00AA57EC" w:rsidRDefault="00BA1D9A">
            <w:pPr>
              <w:rPr>
                <w:rFonts w:asciiTheme="minorHAnsi" w:hAnsiTheme="minorHAnsi" w:cstheme="minorHAnsi"/>
              </w:rPr>
            </w:pPr>
            <w:r w:rsidRPr="00AA57EC">
              <w:rPr>
                <w:rFonts w:asciiTheme="minorHAnsi" w:hAnsiTheme="minorHAnsi" w:cstheme="minorHAnsi"/>
              </w:rPr>
              <w:t>Minimalna wartość I</w:t>
            </w:r>
            <w:r w:rsidRPr="00AA57EC">
              <w:rPr>
                <w:rFonts w:asciiTheme="minorHAnsi" w:hAnsiTheme="minorHAnsi" w:cstheme="minorHAnsi"/>
                <w:vertAlign w:val="subscript"/>
              </w:rPr>
              <w:t>s</w:t>
            </w:r>
          </w:p>
        </w:tc>
        <w:tc>
          <w:tcPr>
            <w:tcW w:w="1843" w:type="dxa"/>
            <w:tcBorders>
              <w:top w:val="single" w:sz="4" w:space="0" w:color="auto"/>
              <w:left w:val="single" w:sz="4" w:space="0" w:color="auto"/>
              <w:bottom w:val="single" w:sz="4" w:space="0" w:color="auto"/>
              <w:right w:val="single" w:sz="4" w:space="0" w:color="auto"/>
            </w:tcBorders>
            <w:hideMark/>
          </w:tcPr>
          <w:p w14:paraId="4E2137F9" w14:textId="77777777" w:rsidR="00BA1D9A" w:rsidRPr="00AA57EC" w:rsidRDefault="00BA1D9A">
            <w:pPr>
              <w:rPr>
                <w:rFonts w:asciiTheme="minorHAnsi" w:hAnsiTheme="minorHAnsi" w:cstheme="minorHAnsi"/>
              </w:rPr>
            </w:pPr>
            <w:r w:rsidRPr="00AA57EC">
              <w:rPr>
                <w:rFonts w:asciiTheme="minorHAnsi" w:hAnsiTheme="minorHAnsi" w:cstheme="minorHAnsi"/>
              </w:rPr>
              <w:t>Minimalna wartość E</w:t>
            </w:r>
            <w:r w:rsidRPr="00AA57EC">
              <w:rPr>
                <w:rFonts w:asciiTheme="minorHAnsi" w:hAnsiTheme="minorHAnsi" w:cstheme="minorHAnsi"/>
                <w:vertAlign w:val="subscript"/>
              </w:rPr>
              <w:t>2</w:t>
            </w:r>
            <w:r w:rsidRPr="00AA57EC">
              <w:rPr>
                <w:rFonts w:asciiTheme="minorHAnsi" w:hAnsiTheme="minorHAnsi" w:cstheme="minorHAnsi"/>
              </w:rPr>
              <w:t xml:space="preserve"> [MPa]</w:t>
            </w:r>
          </w:p>
        </w:tc>
      </w:tr>
      <w:tr w:rsidR="00BA1D9A" w:rsidRPr="00AA57EC" w14:paraId="7F3392C4" w14:textId="77777777" w:rsidTr="00BA1D9A">
        <w:tc>
          <w:tcPr>
            <w:tcW w:w="2480" w:type="dxa"/>
            <w:tcBorders>
              <w:top w:val="single" w:sz="4" w:space="0" w:color="auto"/>
              <w:left w:val="single" w:sz="4" w:space="0" w:color="auto"/>
              <w:bottom w:val="single" w:sz="4" w:space="0" w:color="auto"/>
              <w:right w:val="single" w:sz="4" w:space="0" w:color="auto"/>
            </w:tcBorders>
            <w:hideMark/>
          </w:tcPr>
          <w:p w14:paraId="54C10BD7" w14:textId="77777777" w:rsidR="00BA1D9A" w:rsidRPr="00AA57EC" w:rsidRDefault="00BA1D9A">
            <w:pPr>
              <w:rPr>
                <w:rFonts w:asciiTheme="minorHAnsi" w:hAnsiTheme="minorHAnsi" w:cstheme="minorHAnsi"/>
              </w:rPr>
            </w:pPr>
            <w:r w:rsidRPr="00AA57EC">
              <w:rPr>
                <w:rFonts w:asciiTheme="minorHAnsi" w:hAnsiTheme="minorHAnsi" w:cstheme="minorHAnsi"/>
              </w:rPr>
              <w:t xml:space="preserve">do 2 </w:t>
            </w:r>
          </w:p>
        </w:tc>
        <w:tc>
          <w:tcPr>
            <w:tcW w:w="1843" w:type="dxa"/>
            <w:tcBorders>
              <w:top w:val="single" w:sz="4" w:space="0" w:color="auto"/>
              <w:left w:val="single" w:sz="4" w:space="0" w:color="auto"/>
              <w:bottom w:val="single" w:sz="4" w:space="0" w:color="auto"/>
              <w:right w:val="single" w:sz="4" w:space="0" w:color="auto"/>
            </w:tcBorders>
            <w:hideMark/>
          </w:tcPr>
          <w:p w14:paraId="0CF02853" w14:textId="77777777" w:rsidR="00BA1D9A" w:rsidRPr="00AA57EC" w:rsidRDefault="00BA1D9A">
            <w:pPr>
              <w:rPr>
                <w:rFonts w:asciiTheme="minorHAnsi" w:hAnsiTheme="minorHAnsi" w:cstheme="minorHAnsi"/>
              </w:rPr>
            </w:pPr>
            <w:r w:rsidRPr="00AA57EC">
              <w:rPr>
                <w:rFonts w:asciiTheme="minorHAnsi" w:hAnsiTheme="minorHAnsi" w:cstheme="minorHAnsi"/>
              </w:rPr>
              <w:t>0,97</w:t>
            </w:r>
          </w:p>
        </w:tc>
        <w:tc>
          <w:tcPr>
            <w:tcW w:w="1843" w:type="dxa"/>
            <w:tcBorders>
              <w:top w:val="single" w:sz="4" w:space="0" w:color="auto"/>
              <w:left w:val="single" w:sz="4" w:space="0" w:color="auto"/>
              <w:bottom w:val="single" w:sz="4" w:space="0" w:color="auto"/>
              <w:right w:val="single" w:sz="4" w:space="0" w:color="auto"/>
            </w:tcBorders>
            <w:hideMark/>
          </w:tcPr>
          <w:p w14:paraId="7447BD3C" w14:textId="77777777" w:rsidR="00BA1D9A" w:rsidRPr="00AA57EC" w:rsidRDefault="00BA1D9A">
            <w:pPr>
              <w:jc w:val="right"/>
              <w:rPr>
                <w:rFonts w:asciiTheme="minorHAnsi" w:hAnsiTheme="minorHAnsi" w:cstheme="minorHAnsi"/>
              </w:rPr>
            </w:pPr>
            <w:r w:rsidRPr="00AA57EC">
              <w:rPr>
                <w:rFonts w:asciiTheme="minorHAnsi" w:hAnsiTheme="minorHAnsi" w:cstheme="minorHAnsi"/>
              </w:rPr>
              <w:t>30</w:t>
            </w:r>
          </w:p>
        </w:tc>
      </w:tr>
      <w:tr w:rsidR="00BA1D9A" w:rsidRPr="00AA57EC" w14:paraId="15A31A09" w14:textId="77777777" w:rsidTr="00BA1D9A">
        <w:tc>
          <w:tcPr>
            <w:tcW w:w="2480" w:type="dxa"/>
            <w:tcBorders>
              <w:top w:val="single" w:sz="4" w:space="0" w:color="auto"/>
              <w:left w:val="single" w:sz="4" w:space="0" w:color="auto"/>
              <w:bottom w:val="single" w:sz="4" w:space="0" w:color="auto"/>
              <w:right w:val="single" w:sz="4" w:space="0" w:color="auto"/>
            </w:tcBorders>
            <w:hideMark/>
          </w:tcPr>
          <w:p w14:paraId="78925FA9" w14:textId="77777777" w:rsidR="00BA1D9A" w:rsidRPr="00AA57EC" w:rsidRDefault="00BA1D9A">
            <w:pPr>
              <w:rPr>
                <w:rFonts w:asciiTheme="minorHAnsi" w:hAnsiTheme="minorHAnsi" w:cstheme="minorHAnsi"/>
              </w:rPr>
            </w:pPr>
            <w:r w:rsidRPr="00AA57EC">
              <w:rPr>
                <w:rFonts w:asciiTheme="minorHAnsi" w:hAnsiTheme="minorHAnsi" w:cstheme="minorHAnsi"/>
              </w:rPr>
              <w:t xml:space="preserve">ponad 2 </w:t>
            </w:r>
          </w:p>
        </w:tc>
        <w:tc>
          <w:tcPr>
            <w:tcW w:w="1843" w:type="dxa"/>
            <w:tcBorders>
              <w:top w:val="single" w:sz="4" w:space="0" w:color="auto"/>
              <w:left w:val="single" w:sz="4" w:space="0" w:color="auto"/>
              <w:bottom w:val="single" w:sz="4" w:space="0" w:color="auto"/>
              <w:right w:val="single" w:sz="4" w:space="0" w:color="auto"/>
            </w:tcBorders>
            <w:hideMark/>
          </w:tcPr>
          <w:p w14:paraId="226CDD58" w14:textId="77777777" w:rsidR="00BA1D9A" w:rsidRPr="00AA57EC" w:rsidRDefault="00BA1D9A">
            <w:pPr>
              <w:rPr>
                <w:rFonts w:asciiTheme="minorHAnsi" w:hAnsiTheme="minorHAnsi" w:cstheme="minorHAnsi"/>
              </w:rPr>
            </w:pPr>
            <w:r w:rsidRPr="00AA57EC">
              <w:rPr>
                <w:rFonts w:asciiTheme="minorHAnsi" w:hAnsiTheme="minorHAnsi" w:cstheme="minorHAnsi"/>
              </w:rPr>
              <w:t>0,97</w:t>
            </w:r>
          </w:p>
        </w:tc>
        <w:tc>
          <w:tcPr>
            <w:tcW w:w="1843" w:type="dxa"/>
            <w:tcBorders>
              <w:top w:val="single" w:sz="4" w:space="0" w:color="auto"/>
              <w:left w:val="single" w:sz="4" w:space="0" w:color="auto"/>
              <w:bottom w:val="single" w:sz="4" w:space="0" w:color="auto"/>
              <w:right w:val="single" w:sz="4" w:space="0" w:color="auto"/>
            </w:tcBorders>
            <w:hideMark/>
          </w:tcPr>
          <w:p w14:paraId="457431B1" w14:textId="77777777" w:rsidR="00BA1D9A" w:rsidRPr="00AA57EC" w:rsidRDefault="00BA1D9A">
            <w:pPr>
              <w:jc w:val="right"/>
              <w:rPr>
                <w:rFonts w:asciiTheme="minorHAnsi" w:hAnsiTheme="minorHAnsi" w:cstheme="minorHAnsi"/>
              </w:rPr>
            </w:pPr>
            <w:r w:rsidRPr="00AA57EC">
              <w:rPr>
                <w:rFonts w:asciiTheme="minorHAnsi" w:hAnsiTheme="minorHAnsi" w:cstheme="minorHAnsi"/>
              </w:rPr>
              <w:t>40</w:t>
            </w:r>
          </w:p>
        </w:tc>
      </w:tr>
    </w:tbl>
    <w:p w14:paraId="2D2A90BB" w14:textId="77777777" w:rsidR="00BA1D9A" w:rsidRPr="00AA57EC" w:rsidRDefault="00BA1D9A" w:rsidP="00BA1D9A">
      <w:pPr>
        <w:rPr>
          <w:rFonts w:asciiTheme="minorHAnsi" w:hAnsiTheme="minorHAnsi" w:cstheme="minorHAnsi"/>
        </w:rPr>
      </w:pPr>
      <w:r w:rsidRPr="00AA57EC">
        <w:rPr>
          <w:rFonts w:asciiTheme="minorHAnsi" w:hAnsiTheme="minorHAnsi" w:cstheme="minorHAnsi"/>
        </w:rPr>
        <w:tab/>
      </w:r>
    </w:p>
    <w:p w14:paraId="54FF1805" w14:textId="77777777" w:rsidR="00BA1D9A" w:rsidRPr="00AA57EC" w:rsidRDefault="00BA1D9A" w:rsidP="00BA1D9A">
      <w:pPr>
        <w:rPr>
          <w:rFonts w:asciiTheme="minorHAnsi" w:hAnsiTheme="minorHAnsi" w:cstheme="minorHAnsi"/>
        </w:rPr>
      </w:pPr>
      <w:r w:rsidRPr="00AA57EC">
        <w:rPr>
          <w:rFonts w:asciiTheme="minorHAnsi" w:hAnsiTheme="minorHAnsi" w:cstheme="minorHAnsi"/>
        </w:rPr>
        <w:t>Dodatkowo można sprawdzić nośność warstwy gruntu podłoża nasypu na podstawie pomiaru wtórnego modułu odkształcenia E</w:t>
      </w:r>
      <w:r w:rsidRPr="00AA57EC">
        <w:rPr>
          <w:rFonts w:asciiTheme="minorHAnsi" w:hAnsiTheme="minorHAnsi" w:cstheme="minorHAnsi"/>
          <w:vertAlign w:val="subscript"/>
        </w:rPr>
        <w:t>2</w:t>
      </w:r>
      <w:r w:rsidRPr="00AA57EC">
        <w:rPr>
          <w:rFonts w:asciiTheme="minorHAnsi" w:hAnsiTheme="minorHAnsi" w:cstheme="minorHAnsi"/>
        </w:rPr>
        <w:t xml:space="preserve"> zgodnie z PN-02205:1998 rysunek 3.</w:t>
      </w:r>
    </w:p>
    <w:p w14:paraId="59495999" w14:textId="77777777" w:rsidR="00BA1D9A" w:rsidRPr="00AA57EC" w:rsidRDefault="00BA1D9A" w:rsidP="00BA1D9A">
      <w:pPr>
        <w:rPr>
          <w:rFonts w:asciiTheme="minorHAnsi" w:hAnsiTheme="minorHAnsi" w:cstheme="minorHAnsi"/>
        </w:rPr>
      </w:pPr>
      <w:r w:rsidRPr="00AA57EC">
        <w:rPr>
          <w:rFonts w:asciiTheme="minorHAnsi" w:hAnsiTheme="minorHAnsi" w:cstheme="minorHAnsi"/>
        </w:rPr>
        <w:t>Za zgodą Inżyniera dopuszcza się prowadzenie badań przy zastosowaniu metod alternatywnych – w szczególności lekkiej płyty dynamicznej ZFG-02 lub lekkiej sondy wbijanej SD-10 zgodnie z Instrukcją Badań Podłoża Gruntowego Budowli Mostowych i Drogowych Część 2 Załącznik, Warszawa 1998. Korelacji pomiędzy wynikami uzyskanymi przy pomocy metod alternatywnych, a wymaganiami niniejszej SST należy dokonać zgodnie z instrukcjami producentów urządzeń alternatywnych</w:t>
      </w:r>
    </w:p>
    <w:p w14:paraId="6DFF1DFE" w14:textId="77777777" w:rsidR="00BA1D9A" w:rsidRPr="00AA57EC" w:rsidRDefault="00BA1D9A" w:rsidP="00BA1D9A">
      <w:pPr>
        <w:rPr>
          <w:rFonts w:asciiTheme="minorHAnsi" w:hAnsiTheme="minorHAnsi" w:cstheme="minorHAnsi"/>
        </w:rPr>
      </w:pPr>
      <w:r w:rsidRPr="00AA57EC">
        <w:rPr>
          <w:rFonts w:asciiTheme="minorHAnsi" w:hAnsiTheme="minorHAnsi" w:cstheme="minorHAnsi"/>
        </w:rPr>
        <w:t>Podczas zagęszczania gruntu wilgotność naturalna gruntu nie powinna się różnić od wilgotności optymalnej o ±2% dla gruntów niespoistych i od 0 do -2% dla gruntów mało i średnio spoistych. Pomiaru wilgotności naturalnej gruntu należy dokonać w oparciu o normę PKN-CEN ISO/TS 17892-1</w:t>
      </w:r>
    </w:p>
    <w:p w14:paraId="6F2E8A30" w14:textId="77777777" w:rsidR="00BA1D9A" w:rsidRPr="00AA57EC" w:rsidRDefault="00BA1D9A" w:rsidP="00BA1D9A">
      <w:pPr>
        <w:rPr>
          <w:rFonts w:asciiTheme="minorHAnsi" w:hAnsiTheme="minorHAnsi" w:cstheme="minorHAnsi"/>
        </w:rPr>
      </w:pPr>
      <w:r w:rsidRPr="00AA57EC">
        <w:rPr>
          <w:rFonts w:asciiTheme="minorHAnsi" w:hAnsiTheme="minorHAnsi" w:cstheme="minorHAnsi"/>
        </w:rPr>
        <w:t>W przypadku przekroczenia wymaganej wilgotności należy odczekać do naturalnego osuszenia gruntu, bądź zastosować inne środki zaakceptowane przez Inżyniera</w:t>
      </w:r>
    </w:p>
    <w:p w14:paraId="67784973" w14:textId="77777777" w:rsidR="00BA1D9A" w:rsidRPr="00AA57EC" w:rsidRDefault="00BA1D9A" w:rsidP="00BA1D9A">
      <w:pPr>
        <w:rPr>
          <w:rFonts w:asciiTheme="minorHAnsi" w:hAnsiTheme="minorHAnsi" w:cstheme="minorHAnsi"/>
        </w:rPr>
      </w:pPr>
      <w:r w:rsidRPr="00AA57EC">
        <w:rPr>
          <w:rFonts w:asciiTheme="minorHAnsi" w:hAnsiTheme="minorHAnsi" w:cstheme="minorHAnsi"/>
          <w:b/>
        </w:rPr>
        <w:t xml:space="preserve">5.3.1.3. </w:t>
      </w:r>
      <w:r w:rsidRPr="00AA57EC">
        <w:rPr>
          <w:rFonts w:asciiTheme="minorHAnsi" w:hAnsiTheme="minorHAnsi" w:cstheme="minorHAnsi"/>
        </w:rPr>
        <w:t>Spulchnienie gruntów w podłożu nasypów</w:t>
      </w:r>
    </w:p>
    <w:p w14:paraId="0CA69DEB" w14:textId="77777777" w:rsidR="00BA1D9A" w:rsidRPr="00AA57EC" w:rsidRDefault="00BA1D9A" w:rsidP="00BA1D9A">
      <w:pPr>
        <w:rPr>
          <w:rFonts w:asciiTheme="minorHAnsi" w:hAnsiTheme="minorHAnsi" w:cstheme="minorHAnsi"/>
        </w:rPr>
      </w:pPr>
      <w:r w:rsidRPr="00AA57EC">
        <w:rPr>
          <w:rFonts w:asciiTheme="minorHAnsi" w:hAnsiTheme="minorHAnsi" w:cstheme="minorHAnsi"/>
        </w:rPr>
        <w:t>Jeżeli nasyp ma być budowany na powierzchni skały lub na innej gładkiej powierzchni, to przed przystąpieniem do budowy nasypu powinna ona być rozdrobniona lub spulchniona na głębokość co najmniej 15 cm, w celu poprawy jej powiązania z podstawą nasypu.</w:t>
      </w:r>
    </w:p>
    <w:p w14:paraId="6F04EB61" w14:textId="77777777" w:rsidR="00BA1D9A" w:rsidRPr="00AA57EC" w:rsidRDefault="00BA1D9A" w:rsidP="00BA1D9A">
      <w:pPr>
        <w:keepNext/>
        <w:rPr>
          <w:rFonts w:asciiTheme="minorHAnsi" w:hAnsiTheme="minorHAnsi" w:cstheme="minorHAnsi"/>
        </w:rPr>
      </w:pPr>
      <w:r w:rsidRPr="00AA57EC">
        <w:rPr>
          <w:rFonts w:asciiTheme="minorHAnsi" w:hAnsiTheme="minorHAnsi" w:cstheme="minorHAnsi"/>
          <w:b/>
        </w:rPr>
        <w:t xml:space="preserve">5.3.2. </w:t>
      </w:r>
      <w:r w:rsidRPr="00AA57EC">
        <w:rPr>
          <w:rFonts w:asciiTheme="minorHAnsi" w:hAnsiTheme="minorHAnsi" w:cstheme="minorHAnsi"/>
        </w:rPr>
        <w:t>Wybór gruntów i materiałów do wykonania nasypów</w:t>
      </w:r>
    </w:p>
    <w:p w14:paraId="2AC6CC1F" w14:textId="77777777" w:rsidR="00BA1D9A" w:rsidRPr="00AA57EC" w:rsidRDefault="00BA1D9A" w:rsidP="00BA1D9A">
      <w:pPr>
        <w:rPr>
          <w:rFonts w:asciiTheme="minorHAnsi" w:hAnsiTheme="minorHAnsi" w:cstheme="minorHAnsi"/>
        </w:rPr>
      </w:pPr>
      <w:r w:rsidRPr="00AA57EC">
        <w:rPr>
          <w:rFonts w:asciiTheme="minorHAnsi" w:hAnsiTheme="minorHAnsi" w:cstheme="minorHAnsi"/>
        </w:rPr>
        <w:t>Wybór gruntów i materiałów do wykonania nasypów powinien być dokonany z uwzględnieniem zasad podanych w pkcie 2.</w:t>
      </w:r>
    </w:p>
    <w:p w14:paraId="279179AF" w14:textId="77777777" w:rsidR="00BA1D9A" w:rsidRPr="00AA57EC" w:rsidRDefault="00BA1D9A" w:rsidP="00BA1D9A">
      <w:pPr>
        <w:rPr>
          <w:rFonts w:asciiTheme="minorHAnsi" w:hAnsiTheme="minorHAnsi" w:cstheme="minorHAnsi"/>
        </w:rPr>
      </w:pPr>
      <w:r w:rsidRPr="00AA57EC">
        <w:rPr>
          <w:rFonts w:asciiTheme="minorHAnsi" w:hAnsiTheme="minorHAnsi" w:cstheme="minorHAnsi"/>
          <w:b/>
        </w:rPr>
        <w:t xml:space="preserve">5.3.3. </w:t>
      </w:r>
      <w:r w:rsidRPr="00AA57EC">
        <w:rPr>
          <w:rFonts w:asciiTheme="minorHAnsi" w:hAnsiTheme="minorHAnsi" w:cstheme="minorHAnsi"/>
        </w:rPr>
        <w:t>Zasady wykonania nasypów</w:t>
      </w:r>
    </w:p>
    <w:p w14:paraId="12F5FFCD" w14:textId="77777777" w:rsidR="00BA1D9A" w:rsidRPr="00AA57EC" w:rsidRDefault="00BA1D9A" w:rsidP="00BA1D9A">
      <w:pPr>
        <w:rPr>
          <w:rFonts w:asciiTheme="minorHAnsi" w:hAnsiTheme="minorHAnsi" w:cstheme="minorHAnsi"/>
        </w:rPr>
      </w:pPr>
      <w:r w:rsidRPr="00AA57EC">
        <w:rPr>
          <w:rFonts w:asciiTheme="minorHAnsi" w:hAnsiTheme="minorHAnsi" w:cstheme="minorHAnsi"/>
          <w:b/>
        </w:rPr>
        <w:t xml:space="preserve">5.3.3.1. </w:t>
      </w:r>
      <w:r w:rsidRPr="00AA57EC">
        <w:rPr>
          <w:rFonts w:asciiTheme="minorHAnsi" w:hAnsiTheme="minorHAnsi" w:cstheme="minorHAnsi"/>
        </w:rPr>
        <w:t>Ogólne zasady wykonywania nasypów</w:t>
      </w:r>
    </w:p>
    <w:p w14:paraId="02630B0E" w14:textId="77777777" w:rsidR="00BA1D9A" w:rsidRPr="00AA57EC" w:rsidRDefault="00BA1D9A" w:rsidP="00BA1D9A">
      <w:pPr>
        <w:rPr>
          <w:rFonts w:asciiTheme="minorHAnsi" w:hAnsiTheme="minorHAnsi" w:cstheme="minorHAnsi"/>
        </w:rPr>
      </w:pPr>
      <w:r w:rsidRPr="00AA57EC">
        <w:rPr>
          <w:rFonts w:asciiTheme="minorHAnsi" w:hAnsiTheme="minorHAnsi" w:cstheme="minorHAnsi"/>
        </w:rPr>
        <w:t>Nasypy powinny być wznoszone przy zachowaniu przekroju poprzecznego i profilu podłużnego, które określono w dokumentacji projektowej, z uwzględnieniem ewentualnych zmian wprowadzonych zawczasu przez Inżyniera.</w:t>
      </w:r>
    </w:p>
    <w:p w14:paraId="2CABD8AD" w14:textId="77777777" w:rsidR="00BA1D9A" w:rsidRPr="00AA57EC" w:rsidRDefault="00BA1D9A" w:rsidP="00BA1D9A">
      <w:pPr>
        <w:rPr>
          <w:rFonts w:asciiTheme="minorHAnsi" w:hAnsiTheme="minorHAnsi" w:cstheme="minorHAnsi"/>
        </w:rPr>
      </w:pPr>
      <w:r w:rsidRPr="00AA57EC">
        <w:rPr>
          <w:rFonts w:asciiTheme="minorHAnsi" w:hAnsiTheme="minorHAnsi" w:cstheme="minorHAnsi"/>
        </w:rPr>
        <w:t>W celu zapewnienia stateczności nasypu i jego równomiernego osiadania należy przestrzegać następujących zasad:</w:t>
      </w:r>
    </w:p>
    <w:p w14:paraId="57A42E5B" w14:textId="6A52EF64" w:rsidR="00BA1D9A" w:rsidRPr="00AA57EC" w:rsidRDefault="00BA1D9A" w:rsidP="00262498">
      <w:pPr>
        <w:numPr>
          <w:ilvl w:val="0"/>
          <w:numId w:val="217"/>
        </w:numPr>
        <w:textAlignment w:val="auto"/>
        <w:rPr>
          <w:rFonts w:asciiTheme="minorHAnsi" w:hAnsiTheme="minorHAnsi" w:cstheme="minorHAnsi"/>
        </w:rPr>
      </w:pPr>
      <w:r w:rsidRPr="00AA57EC">
        <w:rPr>
          <w:rFonts w:asciiTheme="minorHAnsi" w:hAnsiTheme="minorHAnsi" w:cstheme="minorHAnsi"/>
        </w:rPr>
        <w:t xml:space="preserve">Nasypy należy wykonywać metodą warstwową, z gruntów spełniających wymagania określone w pkt 2.2 niniejszej </w:t>
      </w:r>
      <w:r w:rsidR="00E737E8">
        <w:rPr>
          <w:rFonts w:asciiTheme="minorHAnsi" w:hAnsiTheme="minorHAnsi" w:cstheme="minorHAnsi"/>
        </w:rPr>
        <w:t>ST</w:t>
      </w:r>
      <w:r w:rsidRPr="00AA57EC">
        <w:rPr>
          <w:rFonts w:asciiTheme="minorHAnsi" w:hAnsiTheme="minorHAnsi" w:cstheme="minorHAnsi"/>
        </w:rPr>
        <w:t>WIORB. Nasypy powinny być wznoszone równomiernie na całej szerokości.</w:t>
      </w:r>
    </w:p>
    <w:p w14:paraId="50932ACE" w14:textId="77777777" w:rsidR="00BA1D9A" w:rsidRPr="00AA57EC" w:rsidRDefault="00BA1D9A" w:rsidP="00262498">
      <w:pPr>
        <w:numPr>
          <w:ilvl w:val="0"/>
          <w:numId w:val="217"/>
        </w:numPr>
        <w:textAlignment w:val="auto"/>
        <w:rPr>
          <w:rFonts w:asciiTheme="minorHAnsi" w:hAnsiTheme="minorHAnsi" w:cstheme="minorHAnsi"/>
        </w:rPr>
      </w:pPr>
      <w:r w:rsidRPr="00AA57EC">
        <w:rPr>
          <w:rFonts w:asciiTheme="minorHAnsi" w:hAnsiTheme="minorHAnsi" w:cstheme="minorHAnsi"/>
        </w:rPr>
        <w:t>Grubość warstwy w stanie luźnym powinna być odpowiednio dobrana w zależności od rodzaju gruntu i sprzętu używanego do zagęszczania. Grubość warstwy nie powinna przekraczać 30 cm. Przystąpienie do wbudowania kolejnej warstwy nasypu może nastąpić dopiero po stwierdzeniu przez Inżyniera prawidłowego wykonania warstwy poprzedniej.</w:t>
      </w:r>
    </w:p>
    <w:p w14:paraId="38DE0132" w14:textId="77777777" w:rsidR="00BA1D9A" w:rsidRPr="00AA57EC" w:rsidRDefault="00BA1D9A" w:rsidP="00262498">
      <w:pPr>
        <w:numPr>
          <w:ilvl w:val="0"/>
          <w:numId w:val="217"/>
        </w:numPr>
        <w:textAlignment w:val="auto"/>
        <w:rPr>
          <w:rFonts w:asciiTheme="minorHAnsi" w:hAnsiTheme="minorHAnsi" w:cstheme="minorHAnsi"/>
        </w:rPr>
      </w:pPr>
      <w:r w:rsidRPr="00AA57EC">
        <w:rPr>
          <w:rFonts w:asciiTheme="minorHAnsi" w:hAnsiTheme="minorHAnsi" w:cstheme="minorHAnsi"/>
        </w:rPr>
        <w:t>Grunty o różnych właściwościach należy wbudowywać w oddzielnych warstwach, o jednakowej grubości na całej szerokości nasypu. Grunty spoiste należy wbudowywać w dolne, a grunty niespoiste w górne warstwy nasypu.</w:t>
      </w:r>
    </w:p>
    <w:p w14:paraId="37E0A545" w14:textId="77777777" w:rsidR="00BA1D9A" w:rsidRPr="00AA57EC" w:rsidRDefault="00BA1D9A" w:rsidP="00262498">
      <w:pPr>
        <w:numPr>
          <w:ilvl w:val="0"/>
          <w:numId w:val="217"/>
        </w:numPr>
        <w:textAlignment w:val="auto"/>
        <w:rPr>
          <w:rFonts w:asciiTheme="minorHAnsi" w:hAnsiTheme="minorHAnsi" w:cstheme="minorHAnsi"/>
        </w:rPr>
      </w:pPr>
      <w:r w:rsidRPr="00AA57EC">
        <w:rPr>
          <w:rFonts w:asciiTheme="minorHAnsi" w:hAnsiTheme="minorHAnsi" w:cstheme="minorHAnsi"/>
        </w:rPr>
        <w:t>Warstwy gruntu przepuszczalnego należy wbudowywać poziomo, a warstwy gruntu mało przepuszczalnego (o współczynniku k</w:t>
      </w:r>
      <w:r w:rsidRPr="00AA57EC">
        <w:rPr>
          <w:rFonts w:asciiTheme="minorHAnsi" w:hAnsiTheme="minorHAnsi" w:cstheme="minorHAnsi"/>
          <w:vertAlign w:val="subscript"/>
        </w:rPr>
        <w:t>10</w:t>
      </w:r>
      <w:r w:rsidRPr="00AA57EC">
        <w:rPr>
          <w:rFonts w:asciiTheme="minorHAnsi" w:hAnsiTheme="minorHAnsi" w:cstheme="minorHAnsi"/>
          <w:position w:val="-4"/>
        </w:rPr>
        <w:object w:dxaOrig="150" w:dyaOrig="285" w14:anchorId="597FD2F4">
          <v:shape id="_x0000_i1031" type="#_x0000_t75" style="width:7.5pt;height:14.25pt" o:ole="">
            <v:imagedata r:id="rId19" o:title=""/>
          </v:shape>
          <o:OLEObject Type="Embed" ProgID="Equation.3" ShapeID="_x0000_i1031" DrawAspect="Content" ObjectID="_1819002586" r:id="rId20"/>
        </w:object>
      </w:r>
      <w:r w:rsidRPr="00AA57EC">
        <w:rPr>
          <w:rFonts w:asciiTheme="minorHAnsi" w:hAnsiTheme="minorHAnsi" w:cstheme="minorHAnsi"/>
        </w:rPr>
        <w:t xml:space="preserve">5,2 m/dobę) ze spadkiem górnej powierzchni około 4% </w:t>
      </w:r>
      <w:r w:rsidRPr="00AA57EC">
        <w:rPr>
          <w:rFonts w:asciiTheme="minorHAnsi" w:hAnsiTheme="minorHAnsi" w:cstheme="minorHAnsi"/>
        </w:rPr>
        <w:sym w:font="Symbol" w:char="F0B1"/>
      </w:r>
      <w:r w:rsidRPr="00AA57EC">
        <w:rPr>
          <w:rFonts w:asciiTheme="minorHAnsi" w:hAnsiTheme="minorHAnsi" w:cstheme="minorHAnsi"/>
        </w:rPr>
        <w:t xml:space="preserve"> 1%. Kiedy nasyp jest budowany w terenie płaskim spadek powinien być obustronny, gdy nasyp jest budowany na zboczu spadek powinien być jednostronny, zgodny z jego pochyleniem. Ukształtowanie powierzchni warstwy powinno uniemożliwiać lokalne gromadzenie się wody.</w:t>
      </w:r>
    </w:p>
    <w:p w14:paraId="40311432" w14:textId="77777777" w:rsidR="00BA1D9A" w:rsidRPr="00AA57EC" w:rsidRDefault="00BA1D9A" w:rsidP="00262498">
      <w:pPr>
        <w:numPr>
          <w:ilvl w:val="0"/>
          <w:numId w:val="217"/>
        </w:numPr>
        <w:textAlignment w:val="auto"/>
        <w:rPr>
          <w:rFonts w:asciiTheme="minorHAnsi" w:hAnsiTheme="minorHAnsi" w:cstheme="minorHAnsi"/>
        </w:rPr>
      </w:pPr>
      <w:r w:rsidRPr="00AA57EC">
        <w:rPr>
          <w:rFonts w:asciiTheme="minorHAnsi" w:hAnsiTheme="minorHAnsi" w:cstheme="minorHAnsi"/>
        </w:rPr>
        <w:t>Jeżeli w okresie zimowym następuje przerwa w wykonywaniu nasypu, a górna powierzchnia jest wykonana z gruntu spoistego, to jej spadki porzeczne powinny być ukształtowane ku osi nasypu, a woda odprowadzona poza nasyp z zastosowaniem ścieku. Takie ukształtowanie górnej powierzchni gruntu spoistego zapobiega powstaniu potencjalnych powierzchni poślizgu w gruncie tworzącym nasyp.</w:t>
      </w:r>
    </w:p>
    <w:p w14:paraId="35E08A9F" w14:textId="77777777" w:rsidR="00BA1D9A" w:rsidRPr="00AA57EC" w:rsidRDefault="00BA1D9A" w:rsidP="00262498">
      <w:pPr>
        <w:numPr>
          <w:ilvl w:val="0"/>
          <w:numId w:val="217"/>
        </w:numPr>
        <w:textAlignment w:val="auto"/>
        <w:rPr>
          <w:rFonts w:asciiTheme="minorHAnsi" w:hAnsiTheme="minorHAnsi" w:cstheme="minorHAnsi"/>
        </w:rPr>
      </w:pPr>
      <w:r w:rsidRPr="00AA57EC">
        <w:rPr>
          <w:rFonts w:asciiTheme="minorHAnsi" w:hAnsiTheme="minorHAnsi" w:cstheme="minorHAnsi"/>
        </w:rPr>
        <w:t>Górną warstwę nasypu, o grubości co najmniej 0,5 m należy wykonać z gruntów niewysadzinowych, o wskaźniku wodoprzepuszczalności k</w:t>
      </w:r>
      <w:r w:rsidRPr="00AA57EC">
        <w:rPr>
          <w:rFonts w:asciiTheme="minorHAnsi" w:hAnsiTheme="minorHAnsi" w:cstheme="minorHAnsi"/>
          <w:vertAlign w:val="subscript"/>
        </w:rPr>
        <w:t xml:space="preserve">10 </w:t>
      </w:r>
      <w:r w:rsidRPr="00AA57EC">
        <w:rPr>
          <w:rFonts w:asciiTheme="minorHAnsi" w:hAnsiTheme="minorHAnsi" w:cstheme="minorHAnsi"/>
        </w:rPr>
        <w:sym w:font="Symbol" w:char="F0B3"/>
      </w:r>
      <w:r w:rsidRPr="00AA57EC">
        <w:rPr>
          <w:rFonts w:asciiTheme="minorHAnsi" w:hAnsiTheme="minorHAnsi" w:cstheme="minorHAnsi"/>
        </w:rPr>
        <w:t xml:space="preserve"> 5,2m/dobę i wskaźniku różnoziarnistości U </w:t>
      </w:r>
      <w:r w:rsidRPr="00AA57EC">
        <w:rPr>
          <w:rFonts w:asciiTheme="minorHAnsi" w:hAnsiTheme="minorHAnsi" w:cstheme="minorHAnsi"/>
        </w:rPr>
        <w:sym w:font="Symbol" w:char="F0B3"/>
      </w:r>
      <w:r w:rsidRPr="00AA57EC">
        <w:rPr>
          <w:rFonts w:asciiTheme="minorHAnsi" w:hAnsiTheme="minorHAnsi" w:cstheme="minorHAnsi"/>
        </w:rPr>
        <w:t xml:space="preserve"> 5, kapilarności biernej H</w:t>
      </w:r>
      <w:r w:rsidRPr="00AA57EC">
        <w:rPr>
          <w:rFonts w:asciiTheme="minorHAnsi" w:hAnsiTheme="minorHAnsi" w:cstheme="minorHAnsi"/>
          <w:vertAlign w:val="subscript"/>
        </w:rPr>
        <w:t>kb</w:t>
      </w:r>
      <w:r w:rsidRPr="00AA57EC">
        <w:rPr>
          <w:rFonts w:asciiTheme="minorHAnsi" w:hAnsiTheme="minorHAnsi" w:cstheme="minorHAnsi"/>
        </w:rPr>
        <w:t xml:space="preserve"> ≤1,0 m, wskaźniku piaskowym WP ≥35, Jeżeli Wykonawca nie dysponuje gruntem o takich właściwościach, Inżynier może wyrazić zgodę na ulepszenie górnej warstwy nasypu poprzez stabilizację cementem, wapnem lub popiołami lotnymi. W takim przypadku jest konieczne sprawdzenie warunku nośności i mrozoodporności konstrukcji nawierzchni i wprowadzenie korekty, polegającej na rozbudowaniu podbudowy pomocniczej. Minimalny wtórny moduł odkształcenia na górnej warstwie nasypu, po jego ewentualnym ulepszeniu nie powinien być mniejszy od 120 MPa. Zagęszczenie winno odpowiadać wymaganiom podanym w tabeli 4. </w:t>
      </w:r>
    </w:p>
    <w:p w14:paraId="0232C20B" w14:textId="77777777" w:rsidR="00BA1D9A" w:rsidRPr="00AA57EC" w:rsidRDefault="00BA1D9A" w:rsidP="00BA1D9A">
      <w:pPr>
        <w:ind w:left="283"/>
        <w:rPr>
          <w:rFonts w:asciiTheme="minorHAnsi" w:hAnsiTheme="minorHAnsi" w:cstheme="minorHAnsi"/>
        </w:rPr>
      </w:pPr>
      <w:r w:rsidRPr="00AA57EC">
        <w:rPr>
          <w:rFonts w:asciiTheme="minorHAnsi" w:hAnsiTheme="minorHAnsi" w:cstheme="minorHAnsi"/>
        </w:rPr>
        <w:t>Badania zakresie wysadzinowości należy wykonać zgodnie z Katalogiem Typowych Konstrukcji Nawierzchni w zakresie:</w:t>
      </w:r>
    </w:p>
    <w:p w14:paraId="704AD006" w14:textId="77777777" w:rsidR="00BA1D9A" w:rsidRPr="00AA57EC" w:rsidRDefault="00BA1D9A" w:rsidP="00262498">
      <w:pPr>
        <w:numPr>
          <w:ilvl w:val="0"/>
          <w:numId w:val="218"/>
        </w:numPr>
        <w:textAlignment w:val="auto"/>
        <w:rPr>
          <w:rFonts w:asciiTheme="minorHAnsi" w:hAnsiTheme="minorHAnsi" w:cstheme="minorHAnsi"/>
        </w:rPr>
      </w:pPr>
      <w:r w:rsidRPr="00AA57EC">
        <w:rPr>
          <w:rFonts w:asciiTheme="minorHAnsi" w:hAnsiTheme="minorHAnsi" w:cstheme="minorHAnsi"/>
        </w:rPr>
        <w:t>opisu makroskopowego</w:t>
      </w:r>
    </w:p>
    <w:p w14:paraId="011B6096" w14:textId="77777777" w:rsidR="00BA1D9A" w:rsidRPr="00AA57EC" w:rsidRDefault="00BA1D9A" w:rsidP="00262498">
      <w:pPr>
        <w:numPr>
          <w:ilvl w:val="0"/>
          <w:numId w:val="218"/>
        </w:numPr>
        <w:textAlignment w:val="auto"/>
        <w:rPr>
          <w:rFonts w:asciiTheme="minorHAnsi" w:hAnsiTheme="minorHAnsi" w:cstheme="minorHAnsi"/>
        </w:rPr>
      </w:pPr>
      <w:r w:rsidRPr="00AA57EC">
        <w:rPr>
          <w:rFonts w:asciiTheme="minorHAnsi" w:hAnsiTheme="minorHAnsi" w:cstheme="minorHAnsi"/>
        </w:rPr>
        <w:t>analizy granulometrycznej,</w:t>
      </w:r>
    </w:p>
    <w:p w14:paraId="1254FBFD" w14:textId="77777777" w:rsidR="00BA1D9A" w:rsidRPr="00AA57EC" w:rsidRDefault="00BA1D9A" w:rsidP="00262498">
      <w:pPr>
        <w:numPr>
          <w:ilvl w:val="0"/>
          <w:numId w:val="218"/>
        </w:numPr>
        <w:textAlignment w:val="auto"/>
        <w:rPr>
          <w:rFonts w:asciiTheme="minorHAnsi" w:hAnsiTheme="minorHAnsi" w:cstheme="minorHAnsi"/>
        </w:rPr>
      </w:pPr>
      <w:r w:rsidRPr="00AA57EC">
        <w:rPr>
          <w:rFonts w:asciiTheme="minorHAnsi" w:hAnsiTheme="minorHAnsi" w:cstheme="minorHAnsi"/>
        </w:rPr>
        <w:t>oznaczenia wskaźnika piaskowego wg PN-EN 933-8:2001</w:t>
      </w:r>
    </w:p>
    <w:p w14:paraId="6153D3CE" w14:textId="77777777" w:rsidR="00BA1D9A" w:rsidRPr="00AA57EC" w:rsidRDefault="00BA1D9A" w:rsidP="00262498">
      <w:pPr>
        <w:numPr>
          <w:ilvl w:val="0"/>
          <w:numId w:val="218"/>
        </w:numPr>
        <w:textAlignment w:val="auto"/>
        <w:rPr>
          <w:rFonts w:asciiTheme="minorHAnsi" w:hAnsiTheme="minorHAnsi" w:cstheme="minorHAnsi"/>
        </w:rPr>
      </w:pPr>
      <w:r w:rsidRPr="00AA57EC">
        <w:rPr>
          <w:rFonts w:asciiTheme="minorHAnsi" w:hAnsiTheme="minorHAnsi" w:cstheme="minorHAnsi"/>
        </w:rPr>
        <w:t>kapilarności biernej wg normy PN-B-04493:1960</w:t>
      </w:r>
    </w:p>
    <w:p w14:paraId="67F16255" w14:textId="77777777" w:rsidR="00BA1D9A" w:rsidRPr="00AA57EC" w:rsidRDefault="00BA1D9A" w:rsidP="00262498">
      <w:pPr>
        <w:numPr>
          <w:ilvl w:val="0"/>
          <w:numId w:val="217"/>
        </w:numPr>
        <w:textAlignment w:val="auto"/>
        <w:rPr>
          <w:rFonts w:asciiTheme="minorHAnsi" w:hAnsiTheme="minorHAnsi" w:cstheme="minorHAnsi"/>
        </w:rPr>
      </w:pPr>
      <w:r w:rsidRPr="00AA57EC">
        <w:rPr>
          <w:rFonts w:asciiTheme="minorHAnsi" w:hAnsiTheme="minorHAnsi" w:cstheme="minorHAnsi"/>
        </w:rPr>
        <w:t>Na terenach o wysokim stanie wód gruntowych oraz na terenach zalewowych dolne warstwy nasypu, o grubości co najmniej 0,5 m powyżej najwyższego poziomu wody, należy wykonać z gruntu przepuszczalnego.</w:t>
      </w:r>
    </w:p>
    <w:p w14:paraId="32564CF8" w14:textId="77777777" w:rsidR="00BA1D9A" w:rsidRPr="00AA57EC" w:rsidRDefault="00BA1D9A" w:rsidP="00262498">
      <w:pPr>
        <w:numPr>
          <w:ilvl w:val="0"/>
          <w:numId w:val="217"/>
        </w:numPr>
        <w:textAlignment w:val="auto"/>
        <w:rPr>
          <w:rFonts w:asciiTheme="minorHAnsi" w:hAnsiTheme="minorHAnsi" w:cstheme="minorHAnsi"/>
        </w:rPr>
      </w:pPr>
      <w:r w:rsidRPr="00AA57EC">
        <w:rPr>
          <w:rFonts w:asciiTheme="minorHAnsi" w:hAnsiTheme="minorHAnsi" w:cstheme="minorHAnsi"/>
        </w:rPr>
        <w:t xml:space="preserve">Przy wykonywaniu nasypów z popiołów lotnych, warstwę pod popiołami, grubości 0,3 do 0,5 m, należy wykonać z gruntu lub materiałów o dużej przepuszczalności. Górnej powierzchni warstwy popiołu należy nadać spadki poprzeczne 4% </w:t>
      </w:r>
      <w:r w:rsidRPr="00AA57EC">
        <w:rPr>
          <w:rFonts w:asciiTheme="minorHAnsi" w:hAnsiTheme="minorHAnsi" w:cstheme="minorHAnsi"/>
        </w:rPr>
        <w:sym w:font="Symbol" w:char="F0B1"/>
      </w:r>
      <w:r w:rsidRPr="00AA57EC">
        <w:rPr>
          <w:rFonts w:asciiTheme="minorHAnsi" w:hAnsiTheme="minorHAnsi" w:cstheme="minorHAnsi"/>
        </w:rPr>
        <w:t>1% według poz. d).</w:t>
      </w:r>
    </w:p>
    <w:p w14:paraId="33D383C3" w14:textId="77777777" w:rsidR="00BA1D9A" w:rsidRPr="00AA57EC" w:rsidRDefault="00BA1D9A" w:rsidP="00262498">
      <w:pPr>
        <w:numPr>
          <w:ilvl w:val="0"/>
          <w:numId w:val="217"/>
        </w:numPr>
        <w:textAlignment w:val="auto"/>
        <w:rPr>
          <w:rFonts w:asciiTheme="minorHAnsi" w:hAnsiTheme="minorHAnsi" w:cstheme="minorHAnsi"/>
        </w:rPr>
      </w:pPr>
      <w:r w:rsidRPr="00AA57EC">
        <w:rPr>
          <w:rFonts w:asciiTheme="minorHAnsi" w:hAnsiTheme="minorHAnsi" w:cstheme="minorHAnsi"/>
        </w:rPr>
        <w:t>Grunt przewieziony w miejsce wbudowania powinien być bezzwłocznie wbudowany w nasyp. Inżynier może dopuścić czasowe składowanie gruntu, pod warunkiem jego zabezpieczenia przed nadmiernym zawilgoceniem.</w:t>
      </w:r>
    </w:p>
    <w:p w14:paraId="5472961F" w14:textId="77777777" w:rsidR="00BA1D9A" w:rsidRPr="00AA57EC" w:rsidRDefault="00BA1D9A" w:rsidP="00BA1D9A">
      <w:pPr>
        <w:rPr>
          <w:rFonts w:asciiTheme="minorHAnsi" w:hAnsiTheme="minorHAnsi" w:cstheme="minorHAnsi"/>
        </w:rPr>
      </w:pPr>
      <w:r w:rsidRPr="00AA57EC">
        <w:rPr>
          <w:rFonts w:asciiTheme="minorHAnsi" w:hAnsiTheme="minorHAnsi" w:cstheme="minorHAnsi"/>
          <w:b/>
        </w:rPr>
        <w:t xml:space="preserve">5.3.3.2. </w:t>
      </w:r>
      <w:r w:rsidRPr="00AA57EC">
        <w:rPr>
          <w:rFonts w:asciiTheme="minorHAnsi" w:hAnsiTheme="minorHAnsi" w:cstheme="minorHAnsi"/>
        </w:rPr>
        <w:t>Wykonywanie nasypów na zboczach</w:t>
      </w:r>
    </w:p>
    <w:p w14:paraId="4AF60BA3" w14:textId="77777777" w:rsidR="00BA1D9A" w:rsidRPr="00AA57EC" w:rsidRDefault="00BA1D9A" w:rsidP="00BA1D9A">
      <w:pPr>
        <w:rPr>
          <w:rFonts w:asciiTheme="minorHAnsi" w:hAnsiTheme="minorHAnsi" w:cstheme="minorHAnsi"/>
        </w:rPr>
      </w:pPr>
      <w:r w:rsidRPr="00AA57EC">
        <w:rPr>
          <w:rFonts w:asciiTheme="minorHAnsi" w:hAnsiTheme="minorHAnsi" w:cstheme="minorHAnsi"/>
        </w:rPr>
        <w:t>Przy budowie nasypu na zboczu o pochyłości od 1:5 do 1:2 należy zabezpieczyć nasyp przed zsuwaniem się przez wycięcie w zboczu stopni wg pktu 5.3.1.1,</w:t>
      </w:r>
    </w:p>
    <w:p w14:paraId="5C294707" w14:textId="77777777" w:rsidR="00BA1D9A" w:rsidRPr="00AA57EC" w:rsidRDefault="00BA1D9A" w:rsidP="00BA1D9A">
      <w:pPr>
        <w:keepNext/>
        <w:rPr>
          <w:rFonts w:asciiTheme="minorHAnsi" w:hAnsiTheme="minorHAnsi" w:cstheme="minorHAnsi"/>
        </w:rPr>
      </w:pPr>
      <w:r w:rsidRPr="00AA57EC">
        <w:rPr>
          <w:rFonts w:asciiTheme="minorHAnsi" w:hAnsiTheme="minorHAnsi" w:cstheme="minorHAnsi"/>
          <w:b/>
        </w:rPr>
        <w:t xml:space="preserve">5.3.3.3. </w:t>
      </w:r>
      <w:r w:rsidRPr="00AA57EC">
        <w:rPr>
          <w:rFonts w:asciiTheme="minorHAnsi" w:hAnsiTheme="minorHAnsi" w:cstheme="minorHAnsi"/>
        </w:rPr>
        <w:t>Poszerzenie nasypu</w:t>
      </w:r>
    </w:p>
    <w:p w14:paraId="3696B714" w14:textId="77777777" w:rsidR="00BA1D9A" w:rsidRPr="00AA57EC" w:rsidRDefault="00BA1D9A" w:rsidP="00BA1D9A">
      <w:pPr>
        <w:rPr>
          <w:rFonts w:asciiTheme="minorHAnsi" w:hAnsiTheme="minorHAnsi" w:cstheme="minorHAnsi"/>
        </w:rPr>
      </w:pPr>
      <w:r w:rsidRPr="00AA57EC">
        <w:rPr>
          <w:rFonts w:asciiTheme="minorHAnsi" w:hAnsiTheme="minorHAnsi" w:cstheme="minorHAnsi"/>
        </w:rPr>
        <w:t xml:space="preserve">Przy poszerzeniu istniejącego nasypu należy wykonywać w jego skarpie stopnie o szerokości do 1,0 m. Spadek górnej powierzchni stopni powinien wynosić 4% </w:t>
      </w:r>
      <w:r w:rsidRPr="00AA57EC">
        <w:rPr>
          <w:rFonts w:asciiTheme="minorHAnsi" w:hAnsiTheme="minorHAnsi" w:cstheme="minorHAnsi"/>
        </w:rPr>
        <w:sym w:font="Symbol" w:char="F0B1"/>
      </w:r>
      <w:r w:rsidRPr="00AA57EC">
        <w:rPr>
          <w:rFonts w:asciiTheme="minorHAnsi" w:hAnsiTheme="minorHAnsi" w:cstheme="minorHAnsi"/>
        </w:rPr>
        <w:t>1% w kierunku zgodnym z pochyleniem skarpy.</w:t>
      </w:r>
    </w:p>
    <w:p w14:paraId="4EFA4472" w14:textId="77777777" w:rsidR="00BA1D9A" w:rsidRPr="00AA57EC" w:rsidRDefault="00BA1D9A" w:rsidP="00BA1D9A">
      <w:pPr>
        <w:rPr>
          <w:rFonts w:asciiTheme="minorHAnsi" w:hAnsiTheme="minorHAnsi" w:cstheme="minorHAnsi"/>
        </w:rPr>
      </w:pPr>
      <w:r w:rsidRPr="00AA57EC">
        <w:rPr>
          <w:rFonts w:asciiTheme="minorHAnsi" w:hAnsiTheme="minorHAnsi" w:cstheme="minorHAnsi"/>
        </w:rPr>
        <w:t>Wycięcie stopni obowiązuje zawsze przy wykonywaniu styku dwóch przyległych części nasypu, wykonanych z gruntów o różnych właściwościach lub w różnym czasie.</w:t>
      </w:r>
    </w:p>
    <w:p w14:paraId="72209C82" w14:textId="77777777" w:rsidR="00BA1D9A" w:rsidRPr="00AA57EC" w:rsidRDefault="00BA1D9A" w:rsidP="00BA1D9A">
      <w:pPr>
        <w:rPr>
          <w:rFonts w:asciiTheme="minorHAnsi" w:hAnsiTheme="minorHAnsi" w:cstheme="minorHAnsi"/>
          <w:b/>
        </w:rPr>
      </w:pPr>
    </w:p>
    <w:p w14:paraId="682111EC" w14:textId="77777777" w:rsidR="00BA1D9A" w:rsidRPr="00AA57EC" w:rsidRDefault="00BA1D9A" w:rsidP="00BA1D9A">
      <w:pPr>
        <w:rPr>
          <w:rFonts w:asciiTheme="minorHAnsi" w:hAnsiTheme="minorHAnsi" w:cstheme="minorHAnsi"/>
        </w:rPr>
      </w:pPr>
      <w:r w:rsidRPr="00AA57EC">
        <w:rPr>
          <w:rFonts w:asciiTheme="minorHAnsi" w:hAnsiTheme="minorHAnsi" w:cstheme="minorHAnsi"/>
          <w:b/>
        </w:rPr>
        <w:t xml:space="preserve">5.3.3.4. </w:t>
      </w:r>
      <w:r w:rsidRPr="00AA57EC">
        <w:rPr>
          <w:rFonts w:asciiTheme="minorHAnsi" w:hAnsiTheme="minorHAnsi" w:cstheme="minorHAnsi"/>
        </w:rPr>
        <w:t>Wykonywanie nasypów w okresie deszczów</w:t>
      </w:r>
    </w:p>
    <w:p w14:paraId="57B97DC0" w14:textId="77777777" w:rsidR="00BA1D9A" w:rsidRPr="00AA57EC" w:rsidRDefault="00BA1D9A" w:rsidP="00BA1D9A">
      <w:pPr>
        <w:rPr>
          <w:rFonts w:asciiTheme="minorHAnsi" w:hAnsiTheme="minorHAnsi" w:cstheme="minorHAnsi"/>
        </w:rPr>
      </w:pPr>
      <w:r w:rsidRPr="00AA57EC">
        <w:rPr>
          <w:rFonts w:asciiTheme="minorHAnsi" w:hAnsiTheme="minorHAnsi" w:cstheme="minorHAnsi"/>
        </w:rPr>
        <w:t>Wykonywanie nasypów należy przerwać, jeżeli wilgotność gruntu przekracza wartość dopuszczalną, to znaczy jest większa od wilgotności optymalnej o więcej niż 10% jej wartości.</w:t>
      </w:r>
    </w:p>
    <w:p w14:paraId="021A01A0" w14:textId="77777777" w:rsidR="00BA1D9A" w:rsidRPr="00AA57EC" w:rsidRDefault="00BA1D9A" w:rsidP="00BA1D9A">
      <w:pPr>
        <w:rPr>
          <w:rFonts w:asciiTheme="minorHAnsi" w:hAnsiTheme="minorHAnsi" w:cstheme="minorHAnsi"/>
        </w:rPr>
      </w:pPr>
      <w:r w:rsidRPr="00AA57EC">
        <w:rPr>
          <w:rFonts w:asciiTheme="minorHAnsi" w:hAnsiTheme="minorHAnsi" w:cstheme="minorHAnsi"/>
        </w:rPr>
        <w:t>Na warstwie gruntu nadmiernie zawilgoconego nie wolno układać następnej warstwy gruntu.</w:t>
      </w:r>
    </w:p>
    <w:p w14:paraId="3ABD068E" w14:textId="77777777" w:rsidR="00BA1D9A" w:rsidRPr="00AA57EC" w:rsidRDefault="00BA1D9A" w:rsidP="00BA1D9A">
      <w:pPr>
        <w:rPr>
          <w:rFonts w:asciiTheme="minorHAnsi" w:hAnsiTheme="minorHAnsi" w:cstheme="minorHAnsi"/>
        </w:rPr>
      </w:pPr>
      <w:r w:rsidRPr="00AA57EC">
        <w:rPr>
          <w:rFonts w:asciiTheme="minorHAnsi" w:hAnsiTheme="minorHAnsi" w:cstheme="minorHAnsi"/>
        </w:rPr>
        <w:t>Osuszenie można przeprowadzić w sposób mechaniczny lub chemiczny, poprzez wymieszanie z wapnem palonym albo hydratyzowanym.</w:t>
      </w:r>
    </w:p>
    <w:p w14:paraId="00B14E9B" w14:textId="77777777" w:rsidR="00BA1D9A" w:rsidRPr="00AA57EC" w:rsidRDefault="00BA1D9A" w:rsidP="00BA1D9A">
      <w:pPr>
        <w:rPr>
          <w:rFonts w:asciiTheme="minorHAnsi" w:hAnsiTheme="minorHAnsi" w:cstheme="minorHAnsi"/>
        </w:rPr>
      </w:pPr>
      <w:r w:rsidRPr="00AA57EC">
        <w:rPr>
          <w:rFonts w:asciiTheme="minorHAnsi" w:hAnsiTheme="minorHAnsi" w:cstheme="minorHAnsi"/>
        </w:rPr>
        <w:t>W celu zabezpieczenia nasypu przed nadmiernym zawilgoceniem, poszczególne jego warstwy oraz korona nasypu po zakończeniu robót ziemnych powinny być równe i mieć spadki potrzebne do prawidłowego odwodnienia, według pktu 5.3.3.1, poz. d).</w:t>
      </w:r>
    </w:p>
    <w:p w14:paraId="2D2152B2" w14:textId="77777777" w:rsidR="00BA1D9A" w:rsidRPr="00AA57EC" w:rsidRDefault="00BA1D9A" w:rsidP="00BA1D9A">
      <w:pPr>
        <w:rPr>
          <w:rFonts w:asciiTheme="minorHAnsi" w:hAnsiTheme="minorHAnsi" w:cstheme="minorHAnsi"/>
        </w:rPr>
      </w:pPr>
      <w:r w:rsidRPr="00AA57EC">
        <w:rPr>
          <w:rFonts w:asciiTheme="minorHAnsi" w:hAnsiTheme="minorHAnsi" w:cstheme="minorHAnsi"/>
        </w:rPr>
        <w:t>W okresie deszczowym nie należy pozostawiać nie zagęszczonej warstwy do dnia następnego. Jeżeli warstwa gruntu niezagęszczonego uległa przewilgoceniu, a Wykonawca nie jest w stanie osuszyć jej i zagęścić w czasie zaakceptowanym przez Inżyniera, to może on nakazać Wykonawcy usunięcie wadliwej warstwy.</w:t>
      </w:r>
    </w:p>
    <w:p w14:paraId="726E4DF4" w14:textId="77777777" w:rsidR="00BA1D9A" w:rsidRPr="00AA57EC" w:rsidRDefault="00BA1D9A" w:rsidP="00BA1D9A">
      <w:pPr>
        <w:rPr>
          <w:rFonts w:asciiTheme="minorHAnsi" w:hAnsiTheme="minorHAnsi" w:cstheme="minorHAnsi"/>
        </w:rPr>
      </w:pPr>
      <w:r w:rsidRPr="00AA57EC">
        <w:rPr>
          <w:rFonts w:asciiTheme="minorHAnsi" w:hAnsiTheme="minorHAnsi" w:cstheme="minorHAnsi"/>
          <w:b/>
        </w:rPr>
        <w:t>5.3.3.5.</w:t>
      </w:r>
      <w:r w:rsidRPr="00AA57EC">
        <w:rPr>
          <w:rFonts w:asciiTheme="minorHAnsi" w:hAnsiTheme="minorHAnsi" w:cstheme="minorHAnsi"/>
        </w:rPr>
        <w:t xml:space="preserve"> Wykonywanie nasypów w okresie mrozów</w:t>
      </w:r>
    </w:p>
    <w:p w14:paraId="0CB18670" w14:textId="77777777" w:rsidR="00BA1D9A" w:rsidRPr="00AA57EC" w:rsidRDefault="00BA1D9A" w:rsidP="00BA1D9A">
      <w:pPr>
        <w:rPr>
          <w:rFonts w:asciiTheme="minorHAnsi" w:hAnsiTheme="minorHAnsi" w:cstheme="minorHAnsi"/>
        </w:rPr>
      </w:pPr>
      <w:r w:rsidRPr="00AA57EC">
        <w:rPr>
          <w:rFonts w:asciiTheme="minorHAnsi" w:hAnsiTheme="minorHAnsi" w:cstheme="minorHAnsi"/>
        </w:rPr>
        <w:t>Niedopuszczalne jest wykonywanie nasypów w temperaturze, przy której nie jest możliwe osiągnięcie w nasypie wymaganego wskaźnika zagęszczenia gruntów.</w:t>
      </w:r>
    </w:p>
    <w:p w14:paraId="117F2B11" w14:textId="77777777" w:rsidR="00BA1D9A" w:rsidRPr="00AA57EC" w:rsidRDefault="00BA1D9A" w:rsidP="00BA1D9A">
      <w:pPr>
        <w:rPr>
          <w:rFonts w:asciiTheme="minorHAnsi" w:hAnsiTheme="minorHAnsi" w:cstheme="minorHAnsi"/>
        </w:rPr>
      </w:pPr>
      <w:r w:rsidRPr="00AA57EC">
        <w:rPr>
          <w:rFonts w:asciiTheme="minorHAnsi" w:hAnsiTheme="minorHAnsi" w:cstheme="minorHAnsi"/>
        </w:rPr>
        <w:t>Nie dopuszcza się wbudowania w nasyp gruntów zamarzniętych lub gruntów przemieszanych ze śniegiem lub lodem.</w:t>
      </w:r>
    </w:p>
    <w:p w14:paraId="56A3DD60" w14:textId="77777777" w:rsidR="00BA1D9A" w:rsidRPr="00AA57EC" w:rsidRDefault="00BA1D9A" w:rsidP="00BA1D9A">
      <w:pPr>
        <w:rPr>
          <w:rFonts w:asciiTheme="minorHAnsi" w:hAnsiTheme="minorHAnsi" w:cstheme="minorHAnsi"/>
        </w:rPr>
      </w:pPr>
      <w:r w:rsidRPr="00AA57EC">
        <w:rPr>
          <w:rFonts w:asciiTheme="minorHAnsi" w:hAnsiTheme="minorHAnsi" w:cstheme="minorHAnsi"/>
        </w:rPr>
        <w:t>W czasie dużych opadów śniegu wykonywanie nasypów powinno być przerwane. Przed wznowieniem prac należy usunąć śnieg  z powierzchni wznoszonego nasypu.</w:t>
      </w:r>
    </w:p>
    <w:p w14:paraId="6770A089" w14:textId="77777777" w:rsidR="00BA1D9A" w:rsidRPr="00AA57EC" w:rsidRDefault="00BA1D9A" w:rsidP="00BA1D9A">
      <w:pPr>
        <w:rPr>
          <w:rFonts w:asciiTheme="minorHAnsi" w:hAnsiTheme="minorHAnsi" w:cstheme="minorHAnsi"/>
        </w:rPr>
      </w:pPr>
      <w:r w:rsidRPr="00AA57EC">
        <w:rPr>
          <w:rFonts w:asciiTheme="minorHAnsi" w:hAnsiTheme="minorHAnsi" w:cstheme="minorHAnsi"/>
        </w:rPr>
        <w:t>Jeżeli warstwa niezagęszczonego gruntu zamarzła, to nie należy jej przed rozmarznięciem zagęszczać ani układać na niej następnych warstw.</w:t>
      </w:r>
    </w:p>
    <w:p w14:paraId="66CBA0DA" w14:textId="77777777" w:rsidR="00BA1D9A" w:rsidRPr="00AA57EC" w:rsidRDefault="00BA1D9A" w:rsidP="00BA1D9A">
      <w:pPr>
        <w:keepNext/>
        <w:rPr>
          <w:rFonts w:asciiTheme="minorHAnsi" w:hAnsiTheme="minorHAnsi" w:cstheme="minorHAnsi"/>
        </w:rPr>
      </w:pPr>
      <w:r w:rsidRPr="00AA57EC">
        <w:rPr>
          <w:rFonts w:asciiTheme="minorHAnsi" w:hAnsiTheme="minorHAnsi" w:cstheme="minorHAnsi"/>
          <w:b/>
        </w:rPr>
        <w:t xml:space="preserve">5.3.4. </w:t>
      </w:r>
      <w:r w:rsidRPr="00AA57EC">
        <w:rPr>
          <w:rFonts w:asciiTheme="minorHAnsi" w:hAnsiTheme="minorHAnsi" w:cstheme="minorHAnsi"/>
        </w:rPr>
        <w:t>Zagęszczenie gruntu</w:t>
      </w:r>
    </w:p>
    <w:p w14:paraId="2CE6B96B" w14:textId="77777777" w:rsidR="00BA1D9A" w:rsidRPr="00AA57EC" w:rsidRDefault="00BA1D9A" w:rsidP="00BA1D9A">
      <w:pPr>
        <w:rPr>
          <w:rFonts w:asciiTheme="minorHAnsi" w:hAnsiTheme="minorHAnsi" w:cstheme="minorHAnsi"/>
        </w:rPr>
      </w:pPr>
      <w:r w:rsidRPr="00AA57EC">
        <w:rPr>
          <w:rFonts w:asciiTheme="minorHAnsi" w:hAnsiTheme="minorHAnsi" w:cstheme="minorHAnsi"/>
          <w:b/>
        </w:rPr>
        <w:t xml:space="preserve">5.3.4.1. </w:t>
      </w:r>
      <w:r w:rsidRPr="00AA57EC">
        <w:rPr>
          <w:rFonts w:asciiTheme="minorHAnsi" w:hAnsiTheme="minorHAnsi" w:cstheme="minorHAnsi"/>
        </w:rPr>
        <w:t>Ogólne zasady zagęszczania gruntu</w:t>
      </w:r>
    </w:p>
    <w:p w14:paraId="2A63F8C4" w14:textId="77777777" w:rsidR="00BA1D9A" w:rsidRPr="00AA57EC" w:rsidRDefault="00BA1D9A" w:rsidP="00BA1D9A">
      <w:pPr>
        <w:rPr>
          <w:rFonts w:asciiTheme="minorHAnsi" w:hAnsiTheme="minorHAnsi" w:cstheme="minorHAnsi"/>
        </w:rPr>
      </w:pPr>
      <w:r w:rsidRPr="00AA57EC">
        <w:rPr>
          <w:rFonts w:asciiTheme="minorHAnsi" w:hAnsiTheme="minorHAnsi" w:cstheme="minorHAnsi"/>
        </w:rPr>
        <w:t>Każda warstwa gruntu jak najszybciej po jej rozłożeniu, powinna być zagęszczona z zastosowaniem sprzętu odpowiedniego dla danego rodzaju gruntu oraz występujących warunków.</w:t>
      </w:r>
    </w:p>
    <w:p w14:paraId="584B4833" w14:textId="77777777" w:rsidR="00BA1D9A" w:rsidRPr="00AA57EC" w:rsidRDefault="00BA1D9A" w:rsidP="00BA1D9A">
      <w:pPr>
        <w:rPr>
          <w:rFonts w:asciiTheme="minorHAnsi" w:hAnsiTheme="minorHAnsi" w:cstheme="minorHAnsi"/>
        </w:rPr>
      </w:pPr>
      <w:r w:rsidRPr="00AA57EC">
        <w:rPr>
          <w:rFonts w:asciiTheme="minorHAnsi" w:hAnsiTheme="minorHAnsi" w:cstheme="minorHAnsi"/>
        </w:rPr>
        <w:t>Rozłożone warstwy gruntu należy zagęszczać od krawędzi nasypu w kierunku jego osi.</w:t>
      </w:r>
    </w:p>
    <w:p w14:paraId="5B1DB3ED" w14:textId="77777777" w:rsidR="00BA1D9A" w:rsidRPr="00AA57EC" w:rsidRDefault="00BA1D9A" w:rsidP="00BA1D9A">
      <w:pPr>
        <w:rPr>
          <w:rFonts w:asciiTheme="minorHAnsi" w:hAnsiTheme="minorHAnsi" w:cstheme="minorHAnsi"/>
        </w:rPr>
      </w:pPr>
      <w:r w:rsidRPr="00AA57EC">
        <w:rPr>
          <w:rFonts w:asciiTheme="minorHAnsi" w:hAnsiTheme="minorHAnsi" w:cstheme="minorHAnsi"/>
          <w:b/>
        </w:rPr>
        <w:t xml:space="preserve">5.3.4.2. </w:t>
      </w:r>
      <w:r w:rsidRPr="00AA57EC">
        <w:rPr>
          <w:rFonts w:asciiTheme="minorHAnsi" w:hAnsiTheme="minorHAnsi" w:cstheme="minorHAnsi"/>
        </w:rPr>
        <w:t>Grubość warstwy</w:t>
      </w:r>
    </w:p>
    <w:p w14:paraId="1D8C7E6A" w14:textId="77777777" w:rsidR="00BA1D9A" w:rsidRPr="00AA57EC" w:rsidRDefault="00BA1D9A" w:rsidP="00BA1D9A">
      <w:pPr>
        <w:rPr>
          <w:rFonts w:asciiTheme="minorHAnsi" w:hAnsiTheme="minorHAnsi" w:cstheme="minorHAnsi"/>
        </w:rPr>
      </w:pPr>
      <w:r w:rsidRPr="00AA57EC">
        <w:rPr>
          <w:rFonts w:asciiTheme="minorHAnsi" w:hAnsiTheme="minorHAnsi" w:cstheme="minorHAnsi"/>
        </w:rPr>
        <w:t>Grubość warstwy zagęszczonego gruntu oraz liczbę przejść maszyny zagęszczającej zaleca się określić doświadczalnie dla każdego rodzaju gruntu i typu maszyny, zgodnie z zasadami podanymi w pkcie 5.3.4.5.</w:t>
      </w:r>
    </w:p>
    <w:p w14:paraId="31DA70E4" w14:textId="77777777" w:rsidR="00BA1D9A" w:rsidRPr="00AA57EC" w:rsidRDefault="00BA1D9A" w:rsidP="00BA1D9A">
      <w:pPr>
        <w:rPr>
          <w:rFonts w:asciiTheme="minorHAnsi" w:hAnsiTheme="minorHAnsi" w:cstheme="minorHAnsi"/>
        </w:rPr>
      </w:pPr>
      <w:r w:rsidRPr="00AA57EC">
        <w:rPr>
          <w:rFonts w:asciiTheme="minorHAnsi" w:hAnsiTheme="minorHAnsi" w:cstheme="minorHAnsi"/>
        </w:rPr>
        <w:t>Orientacyjne wartości, dotyczące grubości warstw różnych gruntów oraz liczby przejazdów różnych maszyn do zagęszczania podano w pkcie 3.</w:t>
      </w:r>
    </w:p>
    <w:p w14:paraId="2429A024" w14:textId="77777777" w:rsidR="00BA1D9A" w:rsidRPr="00AA57EC" w:rsidRDefault="00BA1D9A" w:rsidP="00BA1D9A">
      <w:pPr>
        <w:rPr>
          <w:rFonts w:asciiTheme="minorHAnsi" w:hAnsiTheme="minorHAnsi" w:cstheme="minorHAnsi"/>
        </w:rPr>
      </w:pPr>
      <w:r w:rsidRPr="00AA57EC">
        <w:rPr>
          <w:rFonts w:asciiTheme="minorHAnsi" w:hAnsiTheme="minorHAnsi" w:cstheme="minorHAnsi"/>
          <w:b/>
        </w:rPr>
        <w:t xml:space="preserve">5.3.4.3. </w:t>
      </w:r>
      <w:r w:rsidRPr="00AA57EC">
        <w:rPr>
          <w:rFonts w:asciiTheme="minorHAnsi" w:hAnsiTheme="minorHAnsi" w:cstheme="minorHAnsi"/>
        </w:rPr>
        <w:t>Wilgotność gruntu</w:t>
      </w:r>
    </w:p>
    <w:p w14:paraId="6BF1393A" w14:textId="77777777" w:rsidR="00BA1D9A" w:rsidRPr="00AA57EC" w:rsidRDefault="00BA1D9A" w:rsidP="00BA1D9A">
      <w:pPr>
        <w:rPr>
          <w:rFonts w:asciiTheme="minorHAnsi" w:hAnsiTheme="minorHAnsi" w:cstheme="minorHAnsi"/>
        </w:rPr>
      </w:pPr>
      <w:r w:rsidRPr="00AA57EC">
        <w:rPr>
          <w:rFonts w:asciiTheme="minorHAnsi" w:hAnsiTheme="minorHAnsi" w:cstheme="minorHAnsi"/>
        </w:rPr>
        <w:t>Wilgotność gruntu w czasie zagęszczania powinna być równa wilgotności optymalnej, z tolerancją:</w:t>
      </w:r>
    </w:p>
    <w:p w14:paraId="202D5019" w14:textId="77777777" w:rsidR="00BA1D9A" w:rsidRPr="00AA57EC" w:rsidRDefault="00BA1D9A" w:rsidP="00BA1D9A">
      <w:pPr>
        <w:tabs>
          <w:tab w:val="left" w:pos="720"/>
        </w:tabs>
        <w:ind w:left="-360"/>
        <w:rPr>
          <w:rFonts w:asciiTheme="minorHAnsi" w:hAnsiTheme="minorHAnsi" w:cstheme="minorHAnsi"/>
        </w:rPr>
      </w:pPr>
      <w:r w:rsidRPr="00AA57EC">
        <w:rPr>
          <w:rFonts w:asciiTheme="minorHAnsi" w:hAnsiTheme="minorHAnsi" w:cstheme="minorHAnsi"/>
        </w:rPr>
        <w:tab/>
        <w:t xml:space="preserve">w gruntach niespoistych </w:t>
      </w:r>
      <w:r w:rsidRPr="00AA57EC">
        <w:rPr>
          <w:rFonts w:asciiTheme="minorHAnsi" w:hAnsiTheme="minorHAnsi" w:cstheme="minorHAnsi"/>
        </w:rPr>
        <w:sym w:font="Symbol" w:char="F0B1"/>
      </w:r>
      <w:r w:rsidRPr="00AA57EC">
        <w:rPr>
          <w:rFonts w:asciiTheme="minorHAnsi" w:hAnsiTheme="minorHAnsi" w:cstheme="minorHAnsi"/>
        </w:rPr>
        <w:t>2 %</w:t>
      </w:r>
    </w:p>
    <w:p w14:paraId="05668376" w14:textId="23517FD1" w:rsidR="00BA1D9A" w:rsidRPr="00AA57EC" w:rsidRDefault="00BA1D9A" w:rsidP="00BA1D9A">
      <w:pPr>
        <w:tabs>
          <w:tab w:val="left" w:pos="720"/>
        </w:tabs>
        <w:ind w:left="-360"/>
        <w:rPr>
          <w:rFonts w:asciiTheme="minorHAnsi" w:hAnsiTheme="minorHAnsi" w:cstheme="minorHAnsi"/>
        </w:rPr>
      </w:pPr>
      <w:r w:rsidRPr="00AA57EC">
        <w:rPr>
          <w:rFonts w:asciiTheme="minorHAnsi" w:hAnsiTheme="minorHAnsi" w:cstheme="minorHAnsi"/>
        </w:rPr>
        <w:tab/>
        <w:t xml:space="preserve">w gruntach mało i średnio spoistych +0 %,  </w:t>
      </w:r>
      <w:r w:rsidR="008F79AE">
        <w:rPr>
          <w:rFonts w:asciiTheme="minorHAnsi" w:hAnsiTheme="minorHAnsi" w:cstheme="minorHAnsi"/>
        </w:rPr>
        <w:t>-</w:t>
      </w:r>
      <w:r w:rsidRPr="00AA57EC">
        <w:rPr>
          <w:rFonts w:asciiTheme="minorHAnsi" w:hAnsiTheme="minorHAnsi" w:cstheme="minorHAnsi"/>
        </w:rPr>
        <w:t>2 %</w:t>
      </w:r>
    </w:p>
    <w:p w14:paraId="48CDF812" w14:textId="2D1B809D" w:rsidR="00BA1D9A" w:rsidRPr="00AA57EC" w:rsidRDefault="00BA1D9A" w:rsidP="00BA1D9A">
      <w:pPr>
        <w:tabs>
          <w:tab w:val="left" w:pos="720"/>
        </w:tabs>
        <w:ind w:left="-360"/>
        <w:rPr>
          <w:rFonts w:asciiTheme="minorHAnsi" w:hAnsiTheme="minorHAnsi" w:cstheme="minorHAnsi"/>
        </w:rPr>
      </w:pPr>
      <w:r w:rsidRPr="00AA57EC">
        <w:rPr>
          <w:rFonts w:asciiTheme="minorHAnsi" w:hAnsiTheme="minorHAnsi" w:cstheme="minorHAnsi"/>
        </w:rPr>
        <w:tab/>
        <w:t xml:space="preserve">w mieszaninach popiołowo-żużlowych +2%,  </w:t>
      </w:r>
      <w:r w:rsidR="008F79AE">
        <w:rPr>
          <w:rFonts w:asciiTheme="minorHAnsi" w:hAnsiTheme="minorHAnsi" w:cstheme="minorHAnsi"/>
        </w:rPr>
        <w:t>-</w:t>
      </w:r>
      <w:r w:rsidRPr="00AA57EC">
        <w:rPr>
          <w:rFonts w:asciiTheme="minorHAnsi" w:hAnsiTheme="minorHAnsi" w:cstheme="minorHAnsi"/>
        </w:rPr>
        <w:t>4 %</w:t>
      </w:r>
    </w:p>
    <w:p w14:paraId="20B298D7" w14:textId="77777777" w:rsidR="00BA1D9A" w:rsidRPr="00AA57EC" w:rsidRDefault="00BA1D9A" w:rsidP="00BA1D9A">
      <w:pPr>
        <w:rPr>
          <w:rFonts w:asciiTheme="minorHAnsi" w:hAnsiTheme="minorHAnsi" w:cstheme="minorHAnsi"/>
        </w:rPr>
      </w:pPr>
      <w:r w:rsidRPr="00AA57EC">
        <w:rPr>
          <w:rFonts w:asciiTheme="minorHAnsi" w:hAnsiTheme="minorHAnsi" w:cstheme="minorHAnsi"/>
        </w:rPr>
        <w:t>Sprawdzenie wilgotności gruntu należy przeprowadzać laboratoryjnie, z częstotliwością określoną w pktach 6.3.2 i 6.3.3.</w:t>
      </w:r>
    </w:p>
    <w:p w14:paraId="7E9E42D3" w14:textId="77777777" w:rsidR="00BA1D9A" w:rsidRPr="00AA57EC" w:rsidRDefault="00BA1D9A" w:rsidP="00BA1D9A">
      <w:pPr>
        <w:keepNext/>
        <w:rPr>
          <w:rFonts w:asciiTheme="minorHAnsi" w:hAnsiTheme="minorHAnsi" w:cstheme="minorHAnsi"/>
        </w:rPr>
      </w:pPr>
      <w:r w:rsidRPr="00AA57EC">
        <w:rPr>
          <w:rFonts w:asciiTheme="minorHAnsi" w:hAnsiTheme="minorHAnsi" w:cstheme="minorHAnsi"/>
          <w:b/>
        </w:rPr>
        <w:t xml:space="preserve">5.3.4.4. </w:t>
      </w:r>
      <w:r w:rsidRPr="00AA57EC">
        <w:rPr>
          <w:rFonts w:asciiTheme="minorHAnsi" w:hAnsiTheme="minorHAnsi" w:cstheme="minorHAnsi"/>
        </w:rPr>
        <w:t>Wymagania dotyczące zagęszczenia</w:t>
      </w:r>
    </w:p>
    <w:p w14:paraId="187686E0" w14:textId="77777777" w:rsidR="00BA1D9A" w:rsidRPr="00AA57EC" w:rsidRDefault="00BA1D9A" w:rsidP="00BA1D9A">
      <w:pPr>
        <w:rPr>
          <w:rFonts w:asciiTheme="minorHAnsi" w:hAnsiTheme="minorHAnsi" w:cstheme="minorHAnsi"/>
        </w:rPr>
      </w:pPr>
      <w:r w:rsidRPr="00AA57EC">
        <w:rPr>
          <w:rFonts w:asciiTheme="minorHAnsi" w:hAnsiTheme="minorHAnsi" w:cstheme="minorHAnsi"/>
        </w:rPr>
        <w:t>W zależności od uziarnienia stosowanych materiałów, zagęszczenie warstwy należy określać za pomocą oznaczenia wskaźnika zagęszczenia lub porównania pierwotnego i wtórnego modułu odkształcenia.</w:t>
      </w:r>
    </w:p>
    <w:p w14:paraId="1620FA59" w14:textId="77777777" w:rsidR="00BA1D9A" w:rsidRPr="00AA57EC" w:rsidRDefault="00BA1D9A" w:rsidP="00BA1D9A">
      <w:pPr>
        <w:rPr>
          <w:rFonts w:asciiTheme="minorHAnsi" w:hAnsiTheme="minorHAnsi" w:cstheme="minorHAnsi"/>
        </w:rPr>
      </w:pPr>
      <w:r w:rsidRPr="00AA57EC">
        <w:rPr>
          <w:rFonts w:asciiTheme="minorHAnsi" w:hAnsiTheme="minorHAnsi" w:cstheme="minorHAnsi"/>
        </w:rPr>
        <w:t>Wskaźnik zagęszczenia gruntów w nasypach, określony według normy BN-77/8931-12, powinien na całej szerokości korpusu spełniać wymagania podane w tablicy 4. Dopuszcza się badanie dowolną metodą określoną w BN-77/8931-12</w:t>
      </w:r>
    </w:p>
    <w:p w14:paraId="0A30D9F0" w14:textId="77777777" w:rsidR="00BA1D9A" w:rsidRPr="00AA57EC" w:rsidRDefault="00BA1D9A" w:rsidP="00BA1D9A">
      <w:pPr>
        <w:rPr>
          <w:rFonts w:asciiTheme="minorHAnsi" w:hAnsiTheme="minorHAnsi" w:cstheme="minorHAnsi"/>
        </w:rPr>
      </w:pPr>
      <w:r w:rsidRPr="00AA57EC">
        <w:rPr>
          <w:rFonts w:asciiTheme="minorHAnsi" w:hAnsiTheme="minorHAnsi" w:cstheme="minorHAnsi"/>
        </w:rPr>
        <w:t>Tablica 4. Minimalne wartości wskaźnika zagęszczenia i wtórnego modułu odkształcenia gruntu w nasypach</w:t>
      </w:r>
    </w:p>
    <w:tbl>
      <w:tblPr>
        <w:tblW w:w="0" w:type="auto"/>
        <w:tblLayout w:type="fixed"/>
        <w:tblCellMar>
          <w:left w:w="70" w:type="dxa"/>
          <w:right w:w="70" w:type="dxa"/>
        </w:tblCellMar>
        <w:tblLook w:val="04A0" w:firstRow="1" w:lastRow="0" w:firstColumn="1" w:lastColumn="0" w:noHBand="0" w:noVBand="1"/>
      </w:tblPr>
      <w:tblGrid>
        <w:gridCol w:w="4748"/>
        <w:gridCol w:w="1201"/>
        <w:gridCol w:w="2485"/>
      </w:tblGrid>
      <w:tr w:rsidR="00BA1D9A" w:rsidRPr="00AA57EC" w14:paraId="3E530378" w14:textId="77777777" w:rsidTr="00BA1D9A">
        <w:trPr>
          <w:trHeight w:val="960"/>
        </w:trPr>
        <w:tc>
          <w:tcPr>
            <w:tcW w:w="4748" w:type="dxa"/>
            <w:tcBorders>
              <w:top w:val="single" w:sz="4" w:space="0" w:color="auto"/>
              <w:left w:val="single" w:sz="4" w:space="0" w:color="auto"/>
              <w:bottom w:val="single" w:sz="4" w:space="0" w:color="auto"/>
              <w:right w:val="single" w:sz="4" w:space="0" w:color="auto"/>
            </w:tcBorders>
            <w:hideMark/>
          </w:tcPr>
          <w:p w14:paraId="0F25891C" w14:textId="77777777" w:rsidR="00BA1D9A" w:rsidRPr="00AA57EC" w:rsidRDefault="00BA1D9A">
            <w:pPr>
              <w:rPr>
                <w:rFonts w:asciiTheme="minorHAnsi" w:hAnsiTheme="minorHAnsi" w:cstheme="minorHAnsi"/>
                <w:b/>
              </w:rPr>
            </w:pPr>
            <w:r w:rsidRPr="00AA57EC">
              <w:rPr>
                <w:rFonts w:asciiTheme="minorHAnsi" w:hAnsiTheme="minorHAnsi" w:cstheme="minorHAnsi"/>
              </w:rPr>
              <w:t>Strefa nasypu</w:t>
            </w:r>
          </w:p>
        </w:tc>
        <w:tc>
          <w:tcPr>
            <w:tcW w:w="1201" w:type="dxa"/>
            <w:tcBorders>
              <w:top w:val="single" w:sz="4" w:space="0" w:color="auto"/>
              <w:left w:val="single" w:sz="4" w:space="0" w:color="auto"/>
              <w:bottom w:val="single" w:sz="4" w:space="0" w:color="auto"/>
              <w:right w:val="single" w:sz="4" w:space="0" w:color="auto"/>
            </w:tcBorders>
            <w:hideMark/>
          </w:tcPr>
          <w:p w14:paraId="2E099E23" w14:textId="77777777" w:rsidR="00BA1D9A" w:rsidRPr="00AA57EC" w:rsidRDefault="00BA1D9A">
            <w:pPr>
              <w:rPr>
                <w:rFonts w:asciiTheme="minorHAnsi" w:hAnsiTheme="minorHAnsi" w:cstheme="minorHAnsi"/>
                <w:b/>
              </w:rPr>
            </w:pPr>
            <w:r w:rsidRPr="00AA57EC">
              <w:rPr>
                <w:rFonts w:asciiTheme="minorHAnsi" w:hAnsiTheme="minorHAnsi" w:cstheme="minorHAnsi"/>
              </w:rPr>
              <w:t>Minimalna wartość I</w:t>
            </w:r>
            <w:r w:rsidRPr="00AA57EC">
              <w:rPr>
                <w:rFonts w:asciiTheme="minorHAnsi" w:hAnsiTheme="minorHAnsi" w:cstheme="minorHAnsi"/>
                <w:vertAlign w:val="subscript"/>
              </w:rPr>
              <w:t>s</w:t>
            </w:r>
            <w:r w:rsidRPr="00AA57EC">
              <w:rPr>
                <w:rFonts w:asciiTheme="minorHAnsi" w:hAnsiTheme="minorHAnsi" w:cstheme="minorHAnsi"/>
              </w:rPr>
              <w:t>*</w:t>
            </w:r>
          </w:p>
        </w:tc>
        <w:tc>
          <w:tcPr>
            <w:tcW w:w="2485" w:type="dxa"/>
            <w:tcBorders>
              <w:top w:val="single" w:sz="4" w:space="0" w:color="auto"/>
              <w:left w:val="single" w:sz="4" w:space="0" w:color="auto"/>
              <w:bottom w:val="single" w:sz="4" w:space="0" w:color="auto"/>
              <w:right w:val="single" w:sz="4" w:space="0" w:color="auto"/>
            </w:tcBorders>
            <w:hideMark/>
          </w:tcPr>
          <w:p w14:paraId="42046993" w14:textId="77777777" w:rsidR="00BA1D9A" w:rsidRPr="00AA57EC" w:rsidRDefault="00BA1D9A">
            <w:pPr>
              <w:jc w:val="center"/>
              <w:rPr>
                <w:rFonts w:asciiTheme="minorHAnsi" w:hAnsiTheme="minorHAnsi" w:cstheme="minorHAnsi"/>
              </w:rPr>
            </w:pPr>
            <w:r w:rsidRPr="00AA57EC">
              <w:rPr>
                <w:rFonts w:asciiTheme="minorHAnsi" w:hAnsiTheme="minorHAnsi" w:cstheme="minorHAnsi"/>
              </w:rPr>
              <w:t>E2 [MPa]*</w:t>
            </w:r>
          </w:p>
        </w:tc>
      </w:tr>
      <w:tr w:rsidR="00BA1D9A" w:rsidRPr="00AA57EC" w14:paraId="2B2038BD" w14:textId="77777777" w:rsidTr="00BA1D9A">
        <w:trPr>
          <w:trHeight w:val="425"/>
        </w:trPr>
        <w:tc>
          <w:tcPr>
            <w:tcW w:w="4748" w:type="dxa"/>
            <w:tcBorders>
              <w:top w:val="single" w:sz="4" w:space="0" w:color="auto"/>
              <w:left w:val="single" w:sz="4" w:space="0" w:color="auto"/>
              <w:bottom w:val="single" w:sz="4" w:space="0" w:color="auto"/>
              <w:right w:val="single" w:sz="4" w:space="0" w:color="auto"/>
            </w:tcBorders>
            <w:hideMark/>
          </w:tcPr>
          <w:p w14:paraId="11B8EEFC" w14:textId="77777777" w:rsidR="00BA1D9A" w:rsidRPr="00AA57EC" w:rsidRDefault="00BA1D9A">
            <w:pPr>
              <w:rPr>
                <w:rFonts w:asciiTheme="minorHAnsi" w:hAnsiTheme="minorHAnsi" w:cstheme="minorHAnsi"/>
              </w:rPr>
            </w:pPr>
            <w:r w:rsidRPr="00AA57EC">
              <w:rPr>
                <w:rFonts w:asciiTheme="minorHAnsi" w:hAnsiTheme="minorHAnsi" w:cstheme="minorHAnsi"/>
              </w:rPr>
              <w:t>Powierzchnia robót ziemnych</w:t>
            </w:r>
          </w:p>
        </w:tc>
        <w:tc>
          <w:tcPr>
            <w:tcW w:w="1201" w:type="dxa"/>
            <w:tcBorders>
              <w:top w:val="single" w:sz="4" w:space="0" w:color="auto"/>
              <w:left w:val="single" w:sz="4" w:space="0" w:color="auto"/>
              <w:bottom w:val="single" w:sz="4" w:space="0" w:color="auto"/>
              <w:right w:val="single" w:sz="4" w:space="0" w:color="auto"/>
            </w:tcBorders>
            <w:hideMark/>
          </w:tcPr>
          <w:p w14:paraId="7EB4EB98" w14:textId="77777777" w:rsidR="00BA1D9A" w:rsidRPr="00AA57EC" w:rsidRDefault="00BA1D9A">
            <w:pPr>
              <w:jc w:val="right"/>
              <w:rPr>
                <w:rFonts w:asciiTheme="minorHAnsi" w:hAnsiTheme="minorHAnsi" w:cstheme="minorHAnsi"/>
              </w:rPr>
            </w:pPr>
            <w:r w:rsidRPr="00AA57EC">
              <w:rPr>
                <w:rFonts w:asciiTheme="minorHAnsi" w:hAnsiTheme="minorHAnsi" w:cstheme="minorHAnsi"/>
              </w:rPr>
              <w:t>1,0</w:t>
            </w:r>
          </w:p>
        </w:tc>
        <w:tc>
          <w:tcPr>
            <w:tcW w:w="2485" w:type="dxa"/>
            <w:tcBorders>
              <w:top w:val="single" w:sz="4" w:space="0" w:color="auto"/>
              <w:left w:val="single" w:sz="4" w:space="0" w:color="auto"/>
              <w:bottom w:val="single" w:sz="4" w:space="0" w:color="auto"/>
              <w:right w:val="single" w:sz="4" w:space="0" w:color="auto"/>
            </w:tcBorders>
            <w:hideMark/>
          </w:tcPr>
          <w:p w14:paraId="7DBF334E" w14:textId="77777777" w:rsidR="00BA1D9A" w:rsidRPr="00AA57EC" w:rsidRDefault="00BA1D9A">
            <w:pPr>
              <w:jc w:val="center"/>
              <w:rPr>
                <w:rFonts w:asciiTheme="minorHAnsi" w:hAnsiTheme="minorHAnsi" w:cstheme="minorHAnsi"/>
              </w:rPr>
            </w:pPr>
            <w:r w:rsidRPr="00AA57EC">
              <w:rPr>
                <w:rFonts w:asciiTheme="minorHAnsi" w:hAnsiTheme="minorHAnsi" w:cstheme="minorHAnsi"/>
              </w:rPr>
              <w:t>120</w:t>
            </w:r>
          </w:p>
        </w:tc>
      </w:tr>
      <w:tr w:rsidR="00BA1D9A" w:rsidRPr="00AA57EC" w14:paraId="49C9C919" w14:textId="77777777" w:rsidTr="00BA1D9A">
        <w:tc>
          <w:tcPr>
            <w:tcW w:w="4748" w:type="dxa"/>
            <w:tcBorders>
              <w:top w:val="single" w:sz="4" w:space="0" w:color="auto"/>
              <w:left w:val="single" w:sz="4" w:space="0" w:color="auto"/>
              <w:bottom w:val="single" w:sz="4" w:space="0" w:color="auto"/>
              <w:right w:val="single" w:sz="4" w:space="0" w:color="auto"/>
            </w:tcBorders>
            <w:hideMark/>
          </w:tcPr>
          <w:p w14:paraId="0E2D78D0" w14:textId="77777777" w:rsidR="00BA1D9A" w:rsidRPr="00AA57EC" w:rsidRDefault="00BA1D9A">
            <w:pPr>
              <w:rPr>
                <w:rFonts w:asciiTheme="minorHAnsi" w:hAnsiTheme="minorHAnsi" w:cstheme="minorHAnsi"/>
              </w:rPr>
            </w:pPr>
            <w:r w:rsidRPr="00AA57EC">
              <w:rPr>
                <w:rFonts w:asciiTheme="minorHAnsi" w:hAnsiTheme="minorHAnsi" w:cstheme="minorHAnsi"/>
              </w:rPr>
              <w:t>Górna warstwa o grubości 20 cm</w:t>
            </w:r>
          </w:p>
        </w:tc>
        <w:tc>
          <w:tcPr>
            <w:tcW w:w="1201" w:type="dxa"/>
            <w:tcBorders>
              <w:top w:val="single" w:sz="4" w:space="0" w:color="auto"/>
              <w:left w:val="single" w:sz="4" w:space="0" w:color="auto"/>
              <w:bottom w:val="single" w:sz="4" w:space="0" w:color="auto"/>
              <w:right w:val="single" w:sz="4" w:space="0" w:color="auto"/>
            </w:tcBorders>
            <w:hideMark/>
          </w:tcPr>
          <w:p w14:paraId="0180885A" w14:textId="77777777" w:rsidR="00BA1D9A" w:rsidRPr="00AA57EC" w:rsidRDefault="00BA1D9A">
            <w:pPr>
              <w:jc w:val="right"/>
              <w:rPr>
                <w:rFonts w:asciiTheme="minorHAnsi" w:hAnsiTheme="minorHAnsi" w:cstheme="minorHAnsi"/>
              </w:rPr>
            </w:pPr>
            <w:r w:rsidRPr="00AA57EC">
              <w:rPr>
                <w:rFonts w:asciiTheme="minorHAnsi" w:hAnsiTheme="minorHAnsi" w:cstheme="minorHAnsi"/>
              </w:rPr>
              <w:t>1,00</w:t>
            </w:r>
          </w:p>
        </w:tc>
        <w:tc>
          <w:tcPr>
            <w:tcW w:w="2485" w:type="dxa"/>
            <w:tcBorders>
              <w:top w:val="single" w:sz="4" w:space="0" w:color="auto"/>
              <w:left w:val="single" w:sz="4" w:space="0" w:color="auto"/>
              <w:bottom w:val="single" w:sz="4" w:space="0" w:color="auto"/>
              <w:right w:val="single" w:sz="4" w:space="0" w:color="auto"/>
            </w:tcBorders>
            <w:hideMark/>
          </w:tcPr>
          <w:p w14:paraId="3AFB8E6E" w14:textId="77777777" w:rsidR="00BA1D9A" w:rsidRPr="00AA57EC" w:rsidRDefault="00BA1D9A">
            <w:pPr>
              <w:jc w:val="right"/>
              <w:rPr>
                <w:rFonts w:asciiTheme="minorHAnsi" w:hAnsiTheme="minorHAnsi" w:cstheme="minorHAnsi"/>
              </w:rPr>
            </w:pPr>
            <w:r w:rsidRPr="00AA57EC">
              <w:rPr>
                <w:rFonts w:asciiTheme="minorHAnsi" w:hAnsiTheme="minorHAnsi" w:cstheme="minorHAnsi"/>
              </w:rPr>
              <w:t>Dla niespoistych: 100</w:t>
            </w:r>
          </w:p>
          <w:p w14:paraId="5F93F278" w14:textId="77777777" w:rsidR="00BA1D9A" w:rsidRPr="00AA57EC" w:rsidRDefault="00BA1D9A">
            <w:pPr>
              <w:jc w:val="right"/>
              <w:rPr>
                <w:rFonts w:asciiTheme="minorHAnsi" w:hAnsiTheme="minorHAnsi" w:cstheme="minorHAnsi"/>
              </w:rPr>
            </w:pPr>
            <w:r w:rsidRPr="00AA57EC">
              <w:rPr>
                <w:rFonts w:asciiTheme="minorHAnsi" w:hAnsiTheme="minorHAnsi" w:cstheme="minorHAnsi"/>
              </w:rPr>
              <w:t>Dla spoistych: 60</w:t>
            </w:r>
          </w:p>
        </w:tc>
      </w:tr>
      <w:tr w:rsidR="00BA1D9A" w:rsidRPr="00AA57EC" w14:paraId="7AF92576" w14:textId="77777777" w:rsidTr="00BA1D9A">
        <w:tc>
          <w:tcPr>
            <w:tcW w:w="4748" w:type="dxa"/>
            <w:tcBorders>
              <w:top w:val="single" w:sz="4" w:space="0" w:color="auto"/>
              <w:left w:val="single" w:sz="4" w:space="0" w:color="auto"/>
              <w:bottom w:val="single" w:sz="4" w:space="0" w:color="auto"/>
              <w:right w:val="single" w:sz="4" w:space="0" w:color="auto"/>
            </w:tcBorders>
            <w:hideMark/>
          </w:tcPr>
          <w:p w14:paraId="5D34A650" w14:textId="77777777" w:rsidR="00BA1D9A" w:rsidRPr="00AA57EC" w:rsidRDefault="00BA1D9A">
            <w:pPr>
              <w:pStyle w:val="Stopka"/>
              <w:tabs>
                <w:tab w:val="left" w:pos="708"/>
              </w:tabs>
              <w:rPr>
                <w:rFonts w:asciiTheme="minorHAnsi" w:hAnsiTheme="minorHAnsi" w:cstheme="minorHAnsi"/>
              </w:rPr>
            </w:pPr>
            <w:r w:rsidRPr="00AA57EC">
              <w:rPr>
                <w:rFonts w:asciiTheme="minorHAnsi" w:hAnsiTheme="minorHAnsi" w:cstheme="minorHAnsi"/>
              </w:rPr>
              <w:t>Niżej leżące warstwy nasypu do głębokości</w:t>
            </w:r>
          </w:p>
          <w:p w14:paraId="47DD29EC" w14:textId="77777777" w:rsidR="00BA1D9A" w:rsidRPr="00AA57EC" w:rsidRDefault="00BA1D9A">
            <w:pPr>
              <w:rPr>
                <w:rFonts w:asciiTheme="minorHAnsi" w:hAnsiTheme="minorHAnsi" w:cstheme="minorHAnsi"/>
              </w:rPr>
            </w:pPr>
            <w:r w:rsidRPr="00AA57EC">
              <w:rPr>
                <w:rFonts w:asciiTheme="minorHAnsi" w:hAnsiTheme="minorHAnsi" w:cstheme="minorHAnsi"/>
              </w:rPr>
              <w:t>od powierzchni robót ziemnych 0,2 do 1,2 m</w:t>
            </w:r>
          </w:p>
        </w:tc>
        <w:tc>
          <w:tcPr>
            <w:tcW w:w="1201" w:type="dxa"/>
            <w:tcBorders>
              <w:top w:val="single" w:sz="4" w:space="0" w:color="auto"/>
              <w:left w:val="single" w:sz="4" w:space="0" w:color="auto"/>
              <w:bottom w:val="single" w:sz="4" w:space="0" w:color="auto"/>
              <w:right w:val="single" w:sz="4" w:space="0" w:color="auto"/>
            </w:tcBorders>
          </w:tcPr>
          <w:p w14:paraId="0A9E1AEE" w14:textId="77777777" w:rsidR="00BA1D9A" w:rsidRPr="00AA57EC" w:rsidRDefault="00BA1D9A">
            <w:pPr>
              <w:jc w:val="right"/>
              <w:rPr>
                <w:rFonts w:asciiTheme="minorHAnsi" w:hAnsiTheme="minorHAnsi" w:cstheme="minorHAnsi"/>
              </w:rPr>
            </w:pPr>
          </w:p>
          <w:p w14:paraId="6E7BC7EB" w14:textId="77777777" w:rsidR="00BA1D9A" w:rsidRPr="00AA57EC" w:rsidRDefault="00BA1D9A">
            <w:pPr>
              <w:jc w:val="right"/>
              <w:rPr>
                <w:rFonts w:asciiTheme="minorHAnsi" w:hAnsiTheme="minorHAnsi" w:cstheme="minorHAnsi"/>
              </w:rPr>
            </w:pPr>
            <w:r w:rsidRPr="00AA57EC">
              <w:rPr>
                <w:rFonts w:asciiTheme="minorHAnsi" w:hAnsiTheme="minorHAnsi" w:cstheme="minorHAnsi"/>
              </w:rPr>
              <w:t>1,00</w:t>
            </w:r>
          </w:p>
        </w:tc>
        <w:tc>
          <w:tcPr>
            <w:tcW w:w="2485" w:type="dxa"/>
            <w:tcBorders>
              <w:top w:val="single" w:sz="4" w:space="0" w:color="auto"/>
              <w:left w:val="single" w:sz="4" w:space="0" w:color="auto"/>
              <w:bottom w:val="single" w:sz="4" w:space="0" w:color="auto"/>
              <w:right w:val="single" w:sz="4" w:space="0" w:color="auto"/>
            </w:tcBorders>
            <w:hideMark/>
          </w:tcPr>
          <w:p w14:paraId="1DB169B3" w14:textId="77777777" w:rsidR="00BA1D9A" w:rsidRPr="00AA57EC" w:rsidRDefault="00BA1D9A">
            <w:pPr>
              <w:jc w:val="right"/>
              <w:rPr>
                <w:rFonts w:asciiTheme="minorHAnsi" w:hAnsiTheme="minorHAnsi" w:cstheme="minorHAnsi"/>
              </w:rPr>
            </w:pPr>
            <w:r w:rsidRPr="00AA57EC">
              <w:rPr>
                <w:rFonts w:asciiTheme="minorHAnsi" w:hAnsiTheme="minorHAnsi" w:cstheme="minorHAnsi"/>
              </w:rPr>
              <w:t>Dla niespoistych: 60</w:t>
            </w:r>
          </w:p>
          <w:p w14:paraId="3A30BE16" w14:textId="77777777" w:rsidR="00BA1D9A" w:rsidRPr="00AA57EC" w:rsidRDefault="00BA1D9A">
            <w:pPr>
              <w:jc w:val="right"/>
              <w:rPr>
                <w:rFonts w:asciiTheme="minorHAnsi" w:hAnsiTheme="minorHAnsi" w:cstheme="minorHAnsi"/>
              </w:rPr>
            </w:pPr>
            <w:r w:rsidRPr="00AA57EC">
              <w:rPr>
                <w:rFonts w:asciiTheme="minorHAnsi" w:hAnsiTheme="minorHAnsi" w:cstheme="minorHAnsi"/>
              </w:rPr>
              <w:t>Dla spoistych: 30</w:t>
            </w:r>
          </w:p>
        </w:tc>
      </w:tr>
      <w:tr w:rsidR="00BA1D9A" w:rsidRPr="00AA57EC" w14:paraId="4C2E4A28" w14:textId="77777777" w:rsidTr="00BA1D9A">
        <w:tc>
          <w:tcPr>
            <w:tcW w:w="4748" w:type="dxa"/>
            <w:tcBorders>
              <w:top w:val="single" w:sz="4" w:space="0" w:color="auto"/>
              <w:left w:val="single" w:sz="6" w:space="0" w:color="auto"/>
              <w:bottom w:val="single" w:sz="4" w:space="0" w:color="auto"/>
              <w:right w:val="single" w:sz="6" w:space="0" w:color="auto"/>
            </w:tcBorders>
            <w:hideMark/>
          </w:tcPr>
          <w:p w14:paraId="431F070B" w14:textId="77777777" w:rsidR="00BA1D9A" w:rsidRPr="00AA57EC" w:rsidRDefault="00BA1D9A">
            <w:pPr>
              <w:pStyle w:val="Stopka"/>
              <w:tabs>
                <w:tab w:val="left" w:pos="708"/>
              </w:tabs>
              <w:rPr>
                <w:rFonts w:asciiTheme="minorHAnsi" w:hAnsiTheme="minorHAnsi" w:cstheme="minorHAnsi"/>
              </w:rPr>
            </w:pPr>
            <w:r w:rsidRPr="00AA57EC">
              <w:rPr>
                <w:rFonts w:asciiTheme="minorHAnsi" w:hAnsiTheme="minorHAnsi" w:cstheme="minorHAnsi"/>
              </w:rPr>
              <w:t>Warstwy nasypu na głębokości od powierzchni robót ziemnych poniżej 1,2 m</w:t>
            </w:r>
          </w:p>
        </w:tc>
        <w:tc>
          <w:tcPr>
            <w:tcW w:w="1201" w:type="dxa"/>
            <w:tcBorders>
              <w:top w:val="single" w:sz="4" w:space="0" w:color="auto"/>
              <w:left w:val="single" w:sz="6" w:space="0" w:color="auto"/>
              <w:bottom w:val="single" w:sz="4" w:space="0" w:color="auto"/>
              <w:right w:val="single" w:sz="6" w:space="0" w:color="auto"/>
            </w:tcBorders>
          </w:tcPr>
          <w:p w14:paraId="185E0F7C" w14:textId="77777777" w:rsidR="00BA1D9A" w:rsidRPr="00AA57EC" w:rsidRDefault="00BA1D9A">
            <w:pPr>
              <w:jc w:val="right"/>
              <w:rPr>
                <w:rFonts w:asciiTheme="minorHAnsi" w:hAnsiTheme="minorHAnsi" w:cstheme="minorHAnsi"/>
              </w:rPr>
            </w:pPr>
          </w:p>
          <w:p w14:paraId="6B84BD65" w14:textId="77777777" w:rsidR="00BA1D9A" w:rsidRPr="00AA57EC" w:rsidRDefault="00BA1D9A">
            <w:pPr>
              <w:jc w:val="right"/>
              <w:rPr>
                <w:rFonts w:asciiTheme="minorHAnsi" w:hAnsiTheme="minorHAnsi" w:cstheme="minorHAnsi"/>
              </w:rPr>
            </w:pPr>
            <w:r w:rsidRPr="00AA57EC">
              <w:rPr>
                <w:rFonts w:asciiTheme="minorHAnsi" w:hAnsiTheme="minorHAnsi" w:cstheme="minorHAnsi"/>
              </w:rPr>
              <w:t>0,97</w:t>
            </w:r>
          </w:p>
        </w:tc>
        <w:tc>
          <w:tcPr>
            <w:tcW w:w="2485" w:type="dxa"/>
            <w:tcBorders>
              <w:top w:val="single" w:sz="4" w:space="0" w:color="auto"/>
              <w:left w:val="single" w:sz="6" w:space="0" w:color="auto"/>
              <w:bottom w:val="single" w:sz="4" w:space="0" w:color="auto"/>
              <w:right w:val="single" w:sz="6" w:space="0" w:color="auto"/>
            </w:tcBorders>
            <w:hideMark/>
          </w:tcPr>
          <w:p w14:paraId="5E62B21E" w14:textId="77777777" w:rsidR="00BA1D9A" w:rsidRPr="00AA57EC" w:rsidRDefault="00BA1D9A">
            <w:pPr>
              <w:jc w:val="right"/>
              <w:rPr>
                <w:rFonts w:asciiTheme="minorHAnsi" w:hAnsiTheme="minorHAnsi" w:cstheme="minorHAnsi"/>
              </w:rPr>
            </w:pPr>
            <w:r w:rsidRPr="00AA57EC">
              <w:rPr>
                <w:rFonts w:asciiTheme="minorHAnsi" w:hAnsiTheme="minorHAnsi" w:cstheme="minorHAnsi"/>
              </w:rPr>
              <w:t>Dla niespoistych: 30</w:t>
            </w:r>
          </w:p>
          <w:p w14:paraId="0B580E6E" w14:textId="77777777" w:rsidR="00BA1D9A" w:rsidRPr="00AA57EC" w:rsidRDefault="00BA1D9A">
            <w:pPr>
              <w:jc w:val="right"/>
              <w:rPr>
                <w:rFonts w:asciiTheme="minorHAnsi" w:hAnsiTheme="minorHAnsi" w:cstheme="minorHAnsi"/>
              </w:rPr>
            </w:pPr>
            <w:r w:rsidRPr="00AA57EC">
              <w:rPr>
                <w:rFonts w:asciiTheme="minorHAnsi" w:hAnsiTheme="minorHAnsi" w:cstheme="minorHAnsi"/>
              </w:rPr>
              <w:t>Dla spoistych:40</w:t>
            </w:r>
          </w:p>
        </w:tc>
      </w:tr>
      <w:tr w:rsidR="00BA1D9A" w:rsidRPr="00AA57EC" w14:paraId="77A00F74" w14:textId="77777777" w:rsidTr="00BA1D9A">
        <w:tc>
          <w:tcPr>
            <w:tcW w:w="4748" w:type="dxa"/>
            <w:tcBorders>
              <w:top w:val="single" w:sz="4" w:space="0" w:color="auto"/>
              <w:left w:val="single" w:sz="6" w:space="0" w:color="auto"/>
              <w:bottom w:val="single" w:sz="6" w:space="0" w:color="auto"/>
              <w:right w:val="single" w:sz="6" w:space="0" w:color="auto"/>
            </w:tcBorders>
            <w:hideMark/>
          </w:tcPr>
          <w:p w14:paraId="26DFC337" w14:textId="77777777" w:rsidR="00BA1D9A" w:rsidRPr="00AA57EC" w:rsidRDefault="00BA1D9A">
            <w:pPr>
              <w:pStyle w:val="Stopka"/>
              <w:tabs>
                <w:tab w:val="left" w:pos="708"/>
              </w:tabs>
              <w:rPr>
                <w:rFonts w:asciiTheme="minorHAnsi" w:hAnsiTheme="minorHAnsi" w:cstheme="minorHAnsi"/>
              </w:rPr>
            </w:pPr>
            <w:r w:rsidRPr="00AA57EC">
              <w:rPr>
                <w:rFonts w:asciiTheme="minorHAnsi" w:hAnsiTheme="minorHAnsi" w:cstheme="minorHAnsi"/>
              </w:rPr>
              <w:t>Skarpy nasypu</w:t>
            </w:r>
          </w:p>
        </w:tc>
        <w:tc>
          <w:tcPr>
            <w:tcW w:w="1201" w:type="dxa"/>
            <w:tcBorders>
              <w:top w:val="single" w:sz="4" w:space="0" w:color="auto"/>
              <w:left w:val="single" w:sz="6" w:space="0" w:color="auto"/>
              <w:bottom w:val="single" w:sz="6" w:space="0" w:color="auto"/>
              <w:right w:val="single" w:sz="6" w:space="0" w:color="auto"/>
            </w:tcBorders>
            <w:hideMark/>
          </w:tcPr>
          <w:p w14:paraId="7150D0EC" w14:textId="77777777" w:rsidR="00BA1D9A" w:rsidRPr="00AA57EC" w:rsidRDefault="00BA1D9A">
            <w:pPr>
              <w:jc w:val="right"/>
              <w:rPr>
                <w:rFonts w:asciiTheme="minorHAnsi" w:hAnsiTheme="minorHAnsi" w:cstheme="minorHAnsi"/>
              </w:rPr>
            </w:pPr>
            <w:r w:rsidRPr="00AA57EC">
              <w:rPr>
                <w:rFonts w:asciiTheme="minorHAnsi" w:hAnsiTheme="minorHAnsi" w:cstheme="minorHAnsi"/>
              </w:rPr>
              <w:t>0,95</w:t>
            </w:r>
          </w:p>
        </w:tc>
        <w:tc>
          <w:tcPr>
            <w:tcW w:w="2485" w:type="dxa"/>
            <w:tcBorders>
              <w:top w:val="single" w:sz="4" w:space="0" w:color="auto"/>
              <w:left w:val="single" w:sz="6" w:space="0" w:color="auto"/>
              <w:bottom w:val="single" w:sz="6" w:space="0" w:color="auto"/>
              <w:right w:val="single" w:sz="6" w:space="0" w:color="auto"/>
            </w:tcBorders>
          </w:tcPr>
          <w:p w14:paraId="446BD390" w14:textId="77777777" w:rsidR="00BA1D9A" w:rsidRPr="00AA57EC" w:rsidRDefault="00BA1D9A">
            <w:pPr>
              <w:jc w:val="right"/>
              <w:rPr>
                <w:rFonts w:asciiTheme="minorHAnsi" w:hAnsiTheme="minorHAnsi" w:cstheme="minorHAnsi"/>
              </w:rPr>
            </w:pPr>
          </w:p>
        </w:tc>
      </w:tr>
    </w:tbl>
    <w:p w14:paraId="527DD4AB" w14:textId="77777777" w:rsidR="00BA1D9A" w:rsidRPr="00AA57EC" w:rsidRDefault="00BA1D9A" w:rsidP="00BA1D9A">
      <w:pPr>
        <w:rPr>
          <w:rFonts w:asciiTheme="minorHAnsi" w:hAnsiTheme="minorHAnsi" w:cstheme="minorHAnsi"/>
        </w:rPr>
      </w:pPr>
      <w:r w:rsidRPr="00AA57EC">
        <w:rPr>
          <w:rFonts w:asciiTheme="minorHAnsi" w:hAnsiTheme="minorHAnsi" w:cstheme="minorHAnsi"/>
        </w:rPr>
        <w:t>*Wartości zgodnie z Rysunek 3 PN-S-02205:1998</w:t>
      </w:r>
    </w:p>
    <w:p w14:paraId="405483F4" w14:textId="77777777" w:rsidR="00BA1D9A" w:rsidRPr="00AA57EC" w:rsidRDefault="00BA1D9A" w:rsidP="00BA1D9A">
      <w:pPr>
        <w:rPr>
          <w:rFonts w:asciiTheme="minorHAnsi" w:hAnsiTheme="minorHAnsi" w:cstheme="minorHAnsi"/>
        </w:rPr>
      </w:pPr>
      <w:r w:rsidRPr="00AA57EC">
        <w:rPr>
          <w:rFonts w:asciiTheme="minorHAnsi" w:hAnsiTheme="minorHAnsi" w:cstheme="minorHAnsi"/>
        </w:rPr>
        <w:t>Dla konstrukcji zgodnej z katalogiem GDDKIA należy przyjmować wartości zgodne z Katalogiem.</w:t>
      </w:r>
    </w:p>
    <w:p w14:paraId="05570DB2" w14:textId="77777777" w:rsidR="00BA1D9A" w:rsidRPr="00AA57EC" w:rsidRDefault="00BA1D9A" w:rsidP="00BA1D9A">
      <w:pPr>
        <w:rPr>
          <w:rFonts w:asciiTheme="minorHAnsi" w:hAnsiTheme="minorHAnsi" w:cstheme="minorHAnsi"/>
        </w:rPr>
      </w:pPr>
    </w:p>
    <w:p w14:paraId="77B52846" w14:textId="77777777" w:rsidR="00BA1D9A" w:rsidRPr="00AA57EC" w:rsidRDefault="00BA1D9A" w:rsidP="00BA1D9A">
      <w:pPr>
        <w:rPr>
          <w:rFonts w:asciiTheme="minorHAnsi" w:hAnsiTheme="minorHAnsi" w:cstheme="minorHAnsi"/>
        </w:rPr>
      </w:pPr>
      <w:r w:rsidRPr="00AA57EC">
        <w:rPr>
          <w:rFonts w:asciiTheme="minorHAnsi" w:hAnsiTheme="minorHAnsi" w:cstheme="minorHAnsi"/>
        </w:rPr>
        <w:t>Jako zastępcze kryterium oceny wymaganego zagęszczenia gruntów, dla których trudne jest pomierzenie wskaźnika zagęszczenia, przyjmuje się wartość wskaźnika odkształcenia I</w:t>
      </w:r>
      <w:r w:rsidRPr="00AA57EC">
        <w:rPr>
          <w:rFonts w:asciiTheme="minorHAnsi" w:hAnsiTheme="minorHAnsi" w:cstheme="minorHAnsi"/>
          <w:vertAlign w:val="subscript"/>
        </w:rPr>
        <w:t>0</w:t>
      </w:r>
      <w:r w:rsidRPr="00AA57EC">
        <w:rPr>
          <w:rFonts w:asciiTheme="minorHAnsi" w:hAnsiTheme="minorHAnsi" w:cstheme="minorHAnsi"/>
        </w:rPr>
        <w:t xml:space="preserve"> określonego zgodnie z normą PN-S-02205:1998.</w:t>
      </w:r>
    </w:p>
    <w:p w14:paraId="7BD6F19F" w14:textId="77777777" w:rsidR="00BA1D9A" w:rsidRPr="00AA57EC" w:rsidRDefault="00BA1D9A" w:rsidP="00BA1D9A">
      <w:pPr>
        <w:rPr>
          <w:rFonts w:asciiTheme="minorHAnsi" w:hAnsiTheme="minorHAnsi" w:cstheme="minorHAnsi"/>
        </w:rPr>
      </w:pPr>
      <w:r w:rsidRPr="00AA57EC">
        <w:rPr>
          <w:rFonts w:asciiTheme="minorHAnsi" w:hAnsiTheme="minorHAnsi" w:cstheme="minorHAnsi"/>
        </w:rPr>
        <w:t>Wskaźnik odkształcenia nie powinien być większy niż:</w:t>
      </w:r>
    </w:p>
    <w:p w14:paraId="00006C0F" w14:textId="77777777" w:rsidR="00BA1D9A" w:rsidRPr="00AA57EC" w:rsidRDefault="00BA1D9A" w:rsidP="00262498">
      <w:pPr>
        <w:numPr>
          <w:ilvl w:val="0"/>
          <w:numId w:val="219"/>
        </w:numPr>
        <w:tabs>
          <w:tab w:val="left" w:pos="720"/>
        </w:tabs>
        <w:textAlignment w:val="auto"/>
        <w:rPr>
          <w:rFonts w:asciiTheme="minorHAnsi" w:hAnsiTheme="minorHAnsi" w:cstheme="minorHAnsi"/>
        </w:rPr>
      </w:pPr>
      <w:r w:rsidRPr="00AA57EC">
        <w:rPr>
          <w:rFonts w:asciiTheme="minorHAnsi" w:hAnsiTheme="minorHAnsi" w:cstheme="minorHAnsi"/>
        </w:rPr>
        <w:t>dla żwirów, pospółek i piasków</w:t>
      </w:r>
    </w:p>
    <w:p w14:paraId="2B3E2257" w14:textId="77777777" w:rsidR="00BA1D9A" w:rsidRPr="00AA57EC" w:rsidRDefault="00BA1D9A" w:rsidP="00262498">
      <w:pPr>
        <w:numPr>
          <w:ilvl w:val="0"/>
          <w:numId w:val="219"/>
        </w:numPr>
        <w:tabs>
          <w:tab w:val="left" w:pos="720"/>
        </w:tabs>
        <w:textAlignment w:val="auto"/>
        <w:rPr>
          <w:rFonts w:asciiTheme="minorHAnsi" w:hAnsiTheme="minorHAnsi" w:cstheme="minorHAnsi"/>
        </w:rPr>
      </w:pPr>
      <w:r w:rsidRPr="00AA57EC">
        <w:rPr>
          <w:rFonts w:asciiTheme="minorHAnsi" w:hAnsiTheme="minorHAnsi" w:cstheme="minorHAnsi"/>
        </w:rPr>
        <w:t>2,2 przy wymaganej wartości I</w:t>
      </w:r>
      <w:r w:rsidRPr="00AA57EC">
        <w:rPr>
          <w:rFonts w:asciiTheme="minorHAnsi" w:hAnsiTheme="minorHAnsi" w:cstheme="minorHAnsi"/>
          <w:vertAlign w:val="subscript"/>
        </w:rPr>
        <w:t xml:space="preserve">s </w:t>
      </w:r>
      <w:r w:rsidRPr="00AA57EC">
        <w:rPr>
          <w:rFonts w:asciiTheme="minorHAnsi" w:hAnsiTheme="minorHAnsi" w:cstheme="minorHAnsi"/>
        </w:rPr>
        <w:sym w:font="Symbol" w:char="F0B3"/>
      </w:r>
      <w:r w:rsidRPr="00AA57EC">
        <w:rPr>
          <w:rFonts w:asciiTheme="minorHAnsi" w:hAnsiTheme="minorHAnsi" w:cstheme="minorHAnsi"/>
        </w:rPr>
        <w:t>1,0,</w:t>
      </w:r>
    </w:p>
    <w:p w14:paraId="09B82180" w14:textId="77777777" w:rsidR="00BA1D9A" w:rsidRPr="00AA57EC" w:rsidRDefault="00BA1D9A" w:rsidP="00262498">
      <w:pPr>
        <w:numPr>
          <w:ilvl w:val="0"/>
          <w:numId w:val="219"/>
        </w:numPr>
        <w:tabs>
          <w:tab w:val="left" w:pos="720"/>
        </w:tabs>
        <w:textAlignment w:val="auto"/>
        <w:rPr>
          <w:rFonts w:asciiTheme="minorHAnsi" w:hAnsiTheme="minorHAnsi" w:cstheme="minorHAnsi"/>
        </w:rPr>
      </w:pPr>
      <w:r w:rsidRPr="00AA57EC">
        <w:rPr>
          <w:rFonts w:asciiTheme="minorHAnsi" w:hAnsiTheme="minorHAnsi" w:cstheme="minorHAnsi"/>
        </w:rPr>
        <w:t>2,5 przy wymaganej wartości I</w:t>
      </w:r>
      <w:r w:rsidRPr="00AA57EC">
        <w:rPr>
          <w:rFonts w:asciiTheme="minorHAnsi" w:hAnsiTheme="minorHAnsi" w:cstheme="minorHAnsi"/>
          <w:vertAlign w:val="subscript"/>
        </w:rPr>
        <w:t xml:space="preserve">s </w:t>
      </w:r>
      <w:r w:rsidRPr="00AA57EC">
        <w:rPr>
          <w:rFonts w:asciiTheme="minorHAnsi" w:hAnsiTheme="minorHAnsi" w:cstheme="minorHAnsi"/>
        </w:rPr>
        <w:sym w:font="Symbol" w:char="F03C"/>
      </w:r>
      <w:r w:rsidRPr="00AA57EC">
        <w:rPr>
          <w:rFonts w:asciiTheme="minorHAnsi" w:hAnsiTheme="minorHAnsi" w:cstheme="minorHAnsi"/>
        </w:rPr>
        <w:t>1,0,</w:t>
      </w:r>
    </w:p>
    <w:p w14:paraId="77E9EE1C" w14:textId="77777777" w:rsidR="00BA1D9A" w:rsidRPr="00AA57EC" w:rsidRDefault="00BA1D9A" w:rsidP="00262498">
      <w:pPr>
        <w:numPr>
          <w:ilvl w:val="0"/>
          <w:numId w:val="219"/>
        </w:numPr>
        <w:tabs>
          <w:tab w:val="left" w:pos="720"/>
        </w:tabs>
        <w:textAlignment w:val="auto"/>
        <w:rPr>
          <w:rFonts w:asciiTheme="minorHAnsi" w:hAnsiTheme="minorHAnsi" w:cstheme="minorHAnsi"/>
        </w:rPr>
      </w:pPr>
      <w:r w:rsidRPr="00AA57EC">
        <w:rPr>
          <w:rFonts w:asciiTheme="minorHAnsi" w:hAnsiTheme="minorHAnsi" w:cstheme="minorHAnsi"/>
        </w:rPr>
        <w:t>dla gruntów drobnoziarnistych o równomiernym uziarnieniu (pyłów, glin pylastych, glin zwięzłych, iłów – 2,0,</w:t>
      </w:r>
    </w:p>
    <w:p w14:paraId="6460945E" w14:textId="77777777" w:rsidR="00BA1D9A" w:rsidRPr="00AA57EC" w:rsidRDefault="00BA1D9A" w:rsidP="00262498">
      <w:pPr>
        <w:numPr>
          <w:ilvl w:val="0"/>
          <w:numId w:val="219"/>
        </w:numPr>
        <w:tabs>
          <w:tab w:val="left" w:pos="720"/>
        </w:tabs>
        <w:textAlignment w:val="auto"/>
        <w:rPr>
          <w:rFonts w:asciiTheme="minorHAnsi" w:hAnsiTheme="minorHAnsi" w:cstheme="minorHAnsi"/>
        </w:rPr>
      </w:pPr>
      <w:r w:rsidRPr="00AA57EC">
        <w:rPr>
          <w:rFonts w:asciiTheme="minorHAnsi" w:hAnsiTheme="minorHAnsi" w:cstheme="minorHAnsi"/>
        </w:rPr>
        <w:t>dla gruntów różnoziarnistych (żwirów gliniastych, pospółek gliniastych, pyłów piaszczystych, piasków gliniastych, glin piaszczystych, glin piaszczystych zwięzłych) – 3,0,</w:t>
      </w:r>
    </w:p>
    <w:p w14:paraId="6828BF13" w14:textId="77777777" w:rsidR="00BA1D9A" w:rsidRPr="00AA57EC" w:rsidRDefault="00BA1D9A" w:rsidP="00262498">
      <w:pPr>
        <w:numPr>
          <w:ilvl w:val="0"/>
          <w:numId w:val="219"/>
        </w:numPr>
        <w:tabs>
          <w:tab w:val="left" w:pos="720"/>
        </w:tabs>
        <w:textAlignment w:val="auto"/>
        <w:rPr>
          <w:rFonts w:asciiTheme="minorHAnsi" w:hAnsiTheme="minorHAnsi" w:cstheme="minorHAnsi"/>
        </w:rPr>
      </w:pPr>
      <w:r w:rsidRPr="00AA57EC">
        <w:rPr>
          <w:rFonts w:asciiTheme="minorHAnsi" w:hAnsiTheme="minorHAnsi" w:cstheme="minorHAnsi"/>
        </w:rPr>
        <w:t>dla narzutów kamiennych, rumoszy – 4,</w:t>
      </w:r>
    </w:p>
    <w:p w14:paraId="7E372F70" w14:textId="77777777" w:rsidR="00BA1D9A" w:rsidRPr="00AA57EC" w:rsidRDefault="00BA1D9A" w:rsidP="00262498">
      <w:pPr>
        <w:numPr>
          <w:ilvl w:val="0"/>
          <w:numId w:val="219"/>
        </w:numPr>
        <w:tabs>
          <w:tab w:val="left" w:pos="720"/>
        </w:tabs>
        <w:textAlignment w:val="auto"/>
        <w:rPr>
          <w:rFonts w:asciiTheme="minorHAnsi" w:hAnsiTheme="minorHAnsi" w:cstheme="minorHAnsi"/>
        </w:rPr>
      </w:pPr>
      <w:r w:rsidRPr="00AA57EC">
        <w:rPr>
          <w:rFonts w:asciiTheme="minorHAnsi" w:hAnsiTheme="minorHAnsi" w:cstheme="minorHAnsi"/>
        </w:rPr>
        <w:t>dla gruntów antropogenicznych – na podstawie badań poligonowych.</w:t>
      </w:r>
    </w:p>
    <w:p w14:paraId="2623DF57" w14:textId="77777777" w:rsidR="00BA1D9A" w:rsidRPr="00AA57EC" w:rsidRDefault="00BA1D9A" w:rsidP="00BA1D9A">
      <w:pPr>
        <w:rPr>
          <w:rFonts w:asciiTheme="minorHAnsi" w:hAnsiTheme="minorHAnsi" w:cstheme="minorHAnsi"/>
        </w:rPr>
      </w:pPr>
      <w:r w:rsidRPr="00AA57EC">
        <w:rPr>
          <w:rFonts w:asciiTheme="minorHAnsi" w:hAnsiTheme="minorHAnsi" w:cstheme="minorHAnsi"/>
        </w:rPr>
        <w:t>Za zgodą Inżyniera dopuszcza się prowadzenie badań przy zastosowaniu metod alternatywnych – w szczególności lekkiej płyty dynamicznej ZFG-02 lub lekkiej sondy wbijanej SD-10 zgodnie z Instrukcją Badań Podłoża Gruntowego Budowli Mostowych i Drogowych Część 2 Załącznik, Warszawa 1998. Korelacji pomiędzy wynikami uzyskanymi przy pomocy metod alternatywnych, a wymaganiami niniejszej SST należy dokonać zgodnie z instrukcjami producentów urządzeń alternatywnych</w:t>
      </w:r>
    </w:p>
    <w:p w14:paraId="493BC5A0" w14:textId="77777777" w:rsidR="00BA1D9A" w:rsidRPr="00AA57EC" w:rsidRDefault="00BA1D9A" w:rsidP="00BA1D9A">
      <w:pPr>
        <w:rPr>
          <w:rFonts w:asciiTheme="minorHAnsi" w:hAnsiTheme="minorHAnsi" w:cstheme="minorHAnsi"/>
        </w:rPr>
      </w:pPr>
      <w:r w:rsidRPr="00AA57EC">
        <w:rPr>
          <w:rFonts w:asciiTheme="minorHAnsi" w:hAnsiTheme="minorHAnsi" w:cstheme="minorHAnsi"/>
        </w:rPr>
        <w:t>Jeżeli badania kontrolne wykażą, że zagęszczenie warstwy nie jest wystarczające, to Wykonawca powinien spulchnić warstwę, doprowadzić grunt do wilgotności optymalnej i powtórnie zagęścić. Jeżeli powtórne zagęszczenie nie spowoduje uzyskania wymaganego wskaźnika zagęszczenia, Wykonawca powinien usunąć warstwę i wbudować nowy materiał, o ile Inżynier nie zezwoli na ponowienie próby prawidłowego zagęszczenia warstwy.</w:t>
      </w:r>
    </w:p>
    <w:p w14:paraId="15196DBC" w14:textId="77777777" w:rsidR="00BA1D9A" w:rsidRPr="00AA57EC" w:rsidRDefault="00BA1D9A" w:rsidP="00BA1D9A">
      <w:pPr>
        <w:rPr>
          <w:rFonts w:asciiTheme="minorHAnsi" w:hAnsiTheme="minorHAnsi" w:cstheme="minorHAnsi"/>
        </w:rPr>
      </w:pPr>
      <w:r w:rsidRPr="00AA57EC">
        <w:rPr>
          <w:rFonts w:asciiTheme="minorHAnsi" w:hAnsiTheme="minorHAnsi" w:cstheme="minorHAnsi"/>
          <w:b/>
        </w:rPr>
        <w:t xml:space="preserve">5.3.4.5. </w:t>
      </w:r>
      <w:r w:rsidRPr="00AA57EC">
        <w:rPr>
          <w:rFonts w:asciiTheme="minorHAnsi" w:hAnsiTheme="minorHAnsi" w:cstheme="minorHAnsi"/>
        </w:rPr>
        <w:t>Próbne zagęszczenie</w:t>
      </w:r>
    </w:p>
    <w:p w14:paraId="0B937A46" w14:textId="77777777" w:rsidR="00BA1D9A" w:rsidRPr="00AA57EC" w:rsidRDefault="00BA1D9A" w:rsidP="00BA1D9A">
      <w:pPr>
        <w:rPr>
          <w:rFonts w:asciiTheme="minorHAnsi" w:hAnsiTheme="minorHAnsi" w:cstheme="minorHAnsi"/>
        </w:rPr>
      </w:pPr>
      <w:r w:rsidRPr="00AA57EC">
        <w:rPr>
          <w:rFonts w:asciiTheme="minorHAnsi" w:hAnsiTheme="minorHAnsi" w:cstheme="minorHAnsi"/>
        </w:rPr>
        <w:t>Odcinek doświadczalny dla próbnego zagęszczenia gruntu o minimalnej powierzchni 300 m</w:t>
      </w:r>
      <w:r w:rsidRPr="00AA57EC">
        <w:rPr>
          <w:rFonts w:asciiTheme="minorHAnsi" w:hAnsiTheme="minorHAnsi" w:cstheme="minorHAnsi"/>
          <w:vertAlign w:val="superscript"/>
        </w:rPr>
        <w:t>2</w:t>
      </w:r>
      <w:r w:rsidRPr="00AA57EC">
        <w:rPr>
          <w:rFonts w:asciiTheme="minorHAnsi" w:hAnsiTheme="minorHAnsi" w:cstheme="minorHAnsi"/>
        </w:rPr>
        <w:t>, powinien być wykonane na terenie oczyszczonym z gleby, na którym układa się grunt czterema pasmami o szerokości od 3,5do4,5 m każde. Poszczególne  warstwy układanego gruntu powinny mieć w każdym pasie inną grubość z tym, że wszystkie muszą mieścić się w granicach właściwych dla danego sprzętu zagęszczającego. Wilgotność gruntu powinna być równa optymalnej z tolerancją podaną w pkcie 5.3.4.3. Grunt ułożony na poletku według podanej wyżej zasady powinien być następnie zagęszczony, a po każdej serii przejść maszyny należy określić wskaźniki zagęszczenia,  dopuszczając stosowanie innych, szybkich metod pomiaru (sonda izotopowa, ugięciomierz udarowy po ich skalibrowaniu w warunkach terenowych).</w:t>
      </w:r>
    </w:p>
    <w:p w14:paraId="33C69304" w14:textId="77777777" w:rsidR="00BA1D9A" w:rsidRPr="00AA57EC" w:rsidRDefault="00BA1D9A" w:rsidP="00BA1D9A">
      <w:pPr>
        <w:rPr>
          <w:rFonts w:asciiTheme="minorHAnsi" w:hAnsiTheme="minorHAnsi" w:cstheme="minorHAnsi"/>
        </w:rPr>
      </w:pPr>
      <w:r w:rsidRPr="00AA57EC">
        <w:rPr>
          <w:rFonts w:asciiTheme="minorHAnsi" w:hAnsiTheme="minorHAnsi" w:cstheme="minorHAnsi"/>
        </w:rPr>
        <w:t>Oznaczenie wskaźnika zagęszczenia należy wykonać co najmniej w 4 punktach, z których co najmniej 2 powinny umożliwić ustalenie wskaźnika zagęszczenia w dolnej części warstwy. Na podstawie porównania uzyskanych wyników zagęszczenia z wymaganiami podanymi w pkcie 5.3.4.4 dokonuje się wyboru sprzętu i ustala się potrzebną liczbę przejść oraz grubość warstwy rozkładanego gruntu.</w:t>
      </w:r>
    </w:p>
    <w:p w14:paraId="23B0C6C8" w14:textId="77777777" w:rsidR="00AA57EC" w:rsidRPr="00AA57EC" w:rsidRDefault="00BA1D9A" w:rsidP="00AA57EC">
      <w:pPr>
        <w:rPr>
          <w:rFonts w:asciiTheme="minorHAnsi" w:hAnsiTheme="minorHAnsi" w:cstheme="minorHAnsi"/>
          <w:b/>
        </w:rPr>
      </w:pPr>
      <w:bookmarkStart w:id="329" w:name="_Toc406295866"/>
      <w:bookmarkStart w:id="330" w:name="_Toc407161286"/>
      <w:bookmarkStart w:id="331" w:name="_Toc418994950"/>
      <w:bookmarkStart w:id="332" w:name="_Toc418996357"/>
      <w:bookmarkStart w:id="333" w:name="_Toc418996726"/>
      <w:bookmarkStart w:id="334" w:name="_Toc418997113"/>
      <w:bookmarkStart w:id="335" w:name="_Toc418998523"/>
      <w:bookmarkStart w:id="336" w:name="_Toc418998879"/>
      <w:bookmarkStart w:id="337" w:name="_Toc419000124"/>
      <w:r w:rsidRPr="00AA57EC">
        <w:rPr>
          <w:rFonts w:asciiTheme="minorHAnsi" w:hAnsiTheme="minorHAnsi" w:cstheme="minorHAnsi"/>
          <w:b/>
        </w:rPr>
        <w:t>6. KONTROLA JAKOŚCI ROBÓT</w:t>
      </w:r>
      <w:bookmarkStart w:id="338" w:name="_Toc406295867"/>
      <w:bookmarkStart w:id="339" w:name="_Toc407161287"/>
      <w:bookmarkEnd w:id="329"/>
      <w:bookmarkEnd w:id="330"/>
      <w:bookmarkEnd w:id="331"/>
      <w:bookmarkEnd w:id="332"/>
      <w:bookmarkEnd w:id="333"/>
      <w:bookmarkEnd w:id="334"/>
      <w:bookmarkEnd w:id="335"/>
      <w:bookmarkEnd w:id="336"/>
      <w:bookmarkEnd w:id="337"/>
    </w:p>
    <w:p w14:paraId="5B918B85" w14:textId="2460768D" w:rsidR="00BA1D9A" w:rsidRPr="00AA57EC" w:rsidRDefault="00BA1D9A" w:rsidP="00AA57EC">
      <w:pPr>
        <w:rPr>
          <w:rFonts w:asciiTheme="minorHAnsi" w:hAnsiTheme="minorHAnsi" w:cstheme="minorHAnsi"/>
          <w:b/>
        </w:rPr>
      </w:pPr>
      <w:r w:rsidRPr="00AA57EC">
        <w:rPr>
          <w:rFonts w:asciiTheme="minorHAnsi" w:hAnsiTheme="minorHAnsi" w:cstheme="minorHAnsi"/>
          <w:b/>
          <w:bCs/>
        </w:rPr>
        <w:t>6.1. Ogólne zasady kontroli jakości robót</w:t>
      </w:r>
      <w:bookmarkEnd w:id="338"/>
      <w:bookmarkEnd w:id="339"/>
    </w:p>
    <w:p w14:paraId="79A265B9" w14:textId="25F4E341" w:rsidR="00BA1D9A" w:rsidRPr="00AA57EC" w:rsidRDefault="00BA1D9A" w:rsidP="00BA1D9A">
      <w:pPr>
        <w:rPr>
          <w:rFonts w:asciiTheme="minorHAnsi" w:hAnsiTheme="minorHAnsi" w:cstheme="minorHAnsi"/>
        </w:rPr>
      </w:pPr>
      <w:r w:rsidRPr="00AA57EC">
        <w:rPr>
          <w:rFonts w:asciiTheme="minorHAnsi" w:hAnsiTheme="minorHAnsi" w:cstheme="minorHAnsi"/>
        </w:rPr>
        <w:t xml:space="preserve">Ogólne zasady kontroli jakości robót podano w </w:t>
      </w:r>
      <w:r w:rsidR="00E737E8">
        <w:rPr>
          <w:rFonts w:asciiTheme="minorHAnsi" w:hAnsiTheme="minorHAnsi" w:cstheme="minorHAnsi"/>
        </w:rPr>
        <w:t>ST</w:t>
      </w:r>
      <w:r w:rsidRPr="00AA57EC">
        <w:rPr>
          <w:rFonts w:asciiTheme="minorHAnsi" w:hAnsiTheme="minorHAnsi" w:cstheme="minorHAnsi"/>
        </w:rPr>
        <w:t>WiORB D-M-00.00.00 pkt 6.</w:t>
      </w:r>
    </w:p>
    <w:p w14:paraId="66256670" w14:textId="77777777" w:rsidR="00BA1D9A" w:rsidRPr="00AA57EC" w:rsidRDefault="00BA1D9A" w:rsidP="00BA1D9A">
      <w:pPr>
        <w:pStyle w:val="Nagwek4"/>
        <w:rPr>
          <w:rFonts w:asciiTheme="minorHAnsi" w:hAnsiTheme="minorHAnsi" w:cstheme="minorHAnsi"/>
        </w:rPr>
      </w:pPr>
      <w:bookmarkStart w:id="340" w:name="_Toc406295868"/>
      <w:bookmarkStart w:id="341" w:name="_Toc407161288"/>
      <w:r w:rsidRPr="00AA57EC">
        <w:rPr>
          <w:rFonts w:asciiTheme="minorHAnsi" w:hAnsiTheme="minorHAnsi" w:cstheme="minorHAnsi"/>
          <w:b w:val="0"/>
          <w:bCs w:val="0"/>
        </w:rPr>
        <w:t>6.2. Sprawdzenie wykonania ukopu i dokopu</w:t>
      </w:r>
      <w:bookmarkEnd w:id="340"/>
      <w:bookmarkEnd w:id="341"/>
    </w:p>
    <w:p w14:paraId="43D7B6D2" w14:textId="4A6FB3F0" w:rsidR="00BA1D9A" w:rsidRPr="00AA57EC" w:rsidRDefault="00BA1D9A" w:rsidP="00BA1D9A">
      <w:pPr>
        <w:rPr>
          <w:rFonts w:asciiTheme="minorHAnsi" w:hAnsiTheme="minorHAnsi" w:cstheme="minorHAnsi"/>
        </w:rPr>
      </w:pPr>
      <w:r w:rsidRPr="00AA57EC">
        <w:rPr>
          <w:rFonts w:asciiTheme="minorHAnsi" w:hAnsiTheme="minorHAnsi" w:cstheme="minorHAnsi"/>
        </w:rPr>
        <w:t xml:space="preserve">Sprawdzenie wykonania ukopu i dokopu polega na kontrolowaniu zgodności z wymaganiami określonymi w pkcie 5.2 niniejszej specyfikacji oraz w dokumentacji projektowej i </w:t>
      </w:r>
      <w:r w:rsidR="00E737E8">
        <w:rPr>
          <w:rFonts w:asciiTheme="minorHAnsi" w:hAnsiTheme="minorHAnsi" w:cstheme="minorHAnsi"/>
        </w:rPr>
        <w:t>ST</w:t>
      </w:r>
      <w:r w:rsidRPr="00AA57EC">
        <w:rPr>
          <w:rFonts w:asciiTheme="minorHAnsi" w:hAnsiTheme="minorHAnsi" w:cstheme="minorHAnsi"/>
        </w:rPr>
        <w:t>WiORB. W czasie kontroli należy zwrócić szczególną uwagę na sprawdzenie:</w:t>
      </w:r>
    </w:p>
    <w:p w14:paraId="458D71DA" w14:textId="77777777" w:rsidR="00BA1D9A" w:rsidRPr="00AA57EC" w:rsidRDefault="00BA1D9A" w:rsidP="00262498">
      <w:pPr>
        <w:numPr>
          <w:ilvl w:val="0"/>
          <w:numId w:val="220"/>
        </w:numPr>
        <w:textAlignment w:val="auto"/>
        <w:rPr>
          <w:rFonts w:asciiTheme="minorHAnsi" w:hAnsiTheme="minorHAnsi" w:cstheme="minorHAnsi"/>
        </w:rPr>
      </w:pPr>
      <w:r w:rsidRPr="00AA57EC">
        <w:rPr>
          <w:rFonts w:asciiTheme="minorHAnsi" w:hAnsiTheme="minorHAnsi" w:cstheme="minorHAnsi"/>
        </w:rPr>
        <w:t>zgodności rodzaju gruntu z określonym w dokumentacji projektowej i SST,</w:t>
      </w:r>
    </w:p>
    <w:p w14:paraId="5E5590AF" w14:textId="77777777" w:rsidR="00BA1D9A" w:rsidRPr="00AA57EC" w:rsidRDefault="00BA1D9A" w:rsidP="00262498">
      <w:pPr>
        <w:numPr>
          <w:ilvl w:val="0"/>
          <w:numId w:val="220"/>
        </w:numPr>
        <w:textAlignment w:val="auto"/>
        <w:rPr>
          <w:rFonts w:asciiTheme="minorHAnsi" w:hAnsiTheme="minorHAnsi" w:cstheme="minorHAnsi"/>
        </w:rPr>
      </w:pPr>
      <w:r w:rsidRPr="00AA57EC">
        <w:rPr>
          <w:rFonts w:asciiTheme="minorHAnsi" w:hAnsiTheme="minorHAnsi" w:cstheme="minorHAnsi"/>
        </w:rPr>
        <w:t>zachowania kształtu zboczy, zapewniającego ich stateczność,</w:t>
      </w:r>
    </w:p>
    <w:p w14:paraId="139C7746" w14:textId="77777777" w:rsidR="00BA1D9A" w:rsidRPr="00AA57EC" w:rsidRDefault="00BA1D9A" w:rsidP="00262498">
      <w:pPr>
        <w:numPr>
          <w:ilvl w:val="0"/>
          <w:numId w:val="220"/>
        </w:numPr>
        <w:textAlignment w:val="auto"/>
        <w:rPr>
          <w:rFonts w:asciiTheme="minorHAnsi" w:hAnsiTheme="minorHAnsi" w:cstheme="minorHAnsi"/>
        </w:rPr>
      </w:pPr>
      <w:r w:rsidRPr="00AA57EC">
        <w:rPr>
          <w:rFonts w:asciiTheme="minorHAnsi" w:hAnsiTheme="minorHAnsi" w:cstheme="minorHAnsi"/>
        </w:rPr>
        <w:t>odwodnienia,</w:t>
      </w:r>
    </w:p>
    <w:p w14:paraId="749868E8" w14:textId="77777777" w:rsidR="00BA1D9A" w:rsidRPr="00AA57EC" w:rsidRDefault="00BA1D9A" w:rsidP="00262498">
      <w:pPr>
        <w:numPr>
          <w:ilvl w:val="0"/>
          <w:numId w:val="220"/>
        </w:numPr>
        <w:textAlignment w:val="auto"/>
        <w:rPr>
          <w:rFonts w:asciiTheme="minorHAnsi" w:hAnsiTheme="minorHAnsi" w:cstheme="minorHAnsi"/>
        </w:rPr>
      </w:pPr>
      <w:r w:rsidRPr="00AA57EC">
        <w:rPr>
          <w:rFonts w:asciiTheme="minorHAnsi" w:hAnsiTheme="minorHAnsi" w:cstheme="minorHAnsi"/>
        </w:rPr>
        <w:t>zagospodarowania (rekultywacji) terenu po zakończeniu eksploatacji ukopu.</w:t>
      </w:r>
    </w:p>
    <w:p w14:paraId="15FD7A21" w14:textId="77777777" w:rsidR="00BA1D9A" w:rsidRPr="00AA57EC" w:rsidRDefault="00BA1D9A" w:rsidP="00BA1D9A">
      <w:pPr>
        <w:pStyle w:val="Nagwek4"/>
        <w:rPr>
          <w:rFonts w:asciiTheme="minorHAnsi" w:hAnsiTheme="minorHAnsi" w:cstheme="minorHAnsi"/>
        </w:rPr>
      </w:pPr>
      <w:bookmarkStart w:id="342" w:name="_Toc406295869"/>
      <w:bookmarkStart w:id="343" w:name="_Toc407161289"/>
      <w:r w:rsidRPr="00AA57EC">
        <w:rPr>
          <w:rFonts w:asciiTheme="minorHAnsi" w:hAnsiTheme="minorHAnsi" w:cstheme="minorHAnsi"/>
          <w:b w:val="0"/>
          <w:bCs w:val="0"/>
        </w:rPr>
        <w:t>6.3. Sprawdzenie jakości wykonania nasypów</w:t>
      </w:r>
      <w:bookmarkEnd w:id="342"/>
      <w:bookmarkEnd w:id="343"/>
    </w:p>
    <w:p w14:paraId="3843028E" w14:textId="77777777" w:rsidR="00BA1D9A" w:rsidRPr="00AA57EC" w:rsidRDefault="00BA1D9A" w:rsidP="00BA1D9A">
      <w:pPr>
        <w:rPr>
          <w:rFonts w:asciiTheme="minorHAnsi" w:hAnsiTheme="minorHAnsi" w:cstheme="minorHAnsi"/>
        </w:rPr>
      </w:pPr>
      <w:r w:rsidRPr="00AA57EC">
        <w:rPr>
          <w:rFonts w:asciiTheme="minorHAnsi" w:hAnsiTheme="minorHAnsi" w:cstheme="minorHAnsi"/>
          <w:b/>
        </w:rPr>
        <w:t xml:space="preserve">6.3.1. </w:t>
      </w:r>
      <w:r w:rsidRPr="00AA57EC">
        <w:rPr>
          <w:rFonts w:asciiTheme="minorHAnsi" w:hAnsiTheme="minorHAnsi" w:cstheme="minorHAnsi"/>
        </w:rPr>
        <w:t>Rodzaje badań i pomiarów</w:t>
      </w:r>
    </w:p>
    <w:p w14:paraId="7DC5CEC2" w14:textId="704D2A52" w:rsidR="00BA1D9A" w:rsidRPr="00AA57EC" w:rsidRDefault="00BA1D9A" w:rsidP="00BA1D9A">
      <w:pPr>
        <w:rPr>
          <w:rFonts w:asciiTheme="minorHAnsi" w:hAnsiTheme="minorHAnsi" w:cstheme="minorHAnsi"/>
        </w:rPr>
      </w:pPr>
      <w:r w:rsidRPr="00AA57EC">
        <w:rPr>
          <w:rFonts w:asciiTheme="minorHAnsi" w:hAnsiTheme="minorHAnsi" w:cstheme="minorHAnsi"/>
        </w:rPr>
        <w:t xml:space="preserve">Sprawdzenie jakości wykonania nasypów polega na kontrolowaniu zgodności z wymaganiami określonymi w pktach 2,3 oraz 5.3 niniejszej specyfikacji, w dokumentacji projektowej i </w:t>
      </w:r>
      <w:r w:rsidR="00E737E8">
        <w:rPr>
          <w:rFonts w:asciiTheme="minorHAnsi" w:hAnsiTheme="minorHAnsi" w:cstheme="minorHAnsi"/>
        </w:rPr>
        <w:t>ST</w:t>
      </w:r>
      <w:r w:rsidRPr="00AA57EC">
        <w:rPr>
          <w:rFonts w:asciiTheme="minorHAnsi" w:hAnsiTheme="minorHAnsi" w:cstheme="minorHAnsi"/>
        </w:rPr>
        <w:t>WiORB.</w:t>
      </w:r>
    </w:p>
    <w:p w14:paraId="2899EC21" w14:textId="77777777" w:rsidR="00BA1D9A" w:rsidRPr="00AA57EC" w:rsidRDefault="00BA1D9A" w:rsidP="00BA1D9A">
      <w:pPr>
        <w:rPr>
          <w:rFonts w:asciiTheme="minorHAnsi" w:hAnsiTheme="minorHAnsi" w:cstheme="minorHAnsi"/>
        </w:rPr>
      </w:pPr>
      <w:r w:rsidRPr="00AA57EC">
        <w:rPr>
          <w:rFonts w:asciiTheme="minorHAnsi" w:hAnsiTheme="minorHAnsi" w:cstheme="minorHAnsi"/>
        </w:rPr>
        <w:t>Szczególną uwagę należy zwrócić na:</w:t>
      </w:r>
    </w:p>
    <w:p w14:paraId="34046703" w14:textId="77777777" w:rsidR="00BA1D9A" w:rsidRPr="00AA57EC" w:rsidRDefault="00BA1D9A" w:rsidP="00262498">
      <w:pPr>
        <w:numPr>
          <w:ilvl w:val="0"/>
          <w:numId w:val="221"/>
        </w:numPr>
        <w:textAlignment w:val="auto"/>
        <w:rPr>
          <w:rFonts w:asciiTheme="minorHAnsi" w:hAnsiTheme="minorHAnsi" w:cstheme="minorHAnsi"/>
        </w:rPr>
      </w:pPr>
      <w:r w:rsidRPr="00AA57EC">
        <w:rPr>
          <w:rFonts w:asciiTheme="minorHAnsi" w:hAnsiTheme="minorHAnsi" w:cstheme="minorHAnsi"/>
        </w:rPr>
        <w:t>badania przydatności gruntów do budowy nasypów,</w:t>
      </w:r>
    </w:p>
    <w:p w14:paraId="27F09A56" w14:textId="77777777" w:rsidR="00BA1D9A" w:rsidRPr="00AA57EC" w:rsidRDefault="00BA1D9A" w:rsidP="00262498">
      <w:pPr>
        <w:numPr>
          <w:ilvl w:val="0"/>
          <w:numId w:val="221"/>
        </w:numPr>
        <w:textAlignment w:val="auto"/>
        <w:rPr>
          <w:rFonts w:asciiTheme="minorHAnsi" w:hAnsiTheme="minorHAnsi" w:cstheme="minorHAnsi"/>
        </w:rPr>
      </w:pPr>
      <w:r w:rsidRPr="00AA57EC">
        <w:rPr>
          <w:rFonts w:asciiTheme="minorHAnsi" w:hAnsiTheme="minorHAnsi" w:cstheme="minorHAnsi"/>
        </w:rPr>
        <w:t>badania prawidłowości wykonania poszczególnych warstw nasypu,</w:t>
      </w:r>
    </w:p>
    <w:p w14:paraId="545D8A37" w14:textId="77777777" w:rsidR="00BA1D9A" w:rsidRPr="00AA57EC" w:rsidRDefault="00BA1D9A" w:rsidP="00262498">
      <w:pPr>
        <w:numPr>
          <w:ilvl w:val="0"/>
          <w:numId w:val="221"/>
        </w:numPr>
        <w:textAlignment w:val="auto"/>
        <w:rPr>
          <w:rFonts w:asciiTheme="minorHAnsi" w:hAnsiTheme="minorHAnsi" w:cstheme="minorHAnsi"/>
        </w:rPr>
      </w:pPr>
      <w:r w:rsidRPr="00AA57EC">
        <w:rPr>
          <w:rFonts w:asciiTheme="minorHAnsi" w:hAnsiTheme="minorHAnsi" w:cstheme="minorHAnsi"/>
        </w:rPr>
        <w:t>badania zagęszczenia nasypu,</w:t>
      </w:r>
    </w:p>
    <w:p w14:paraId="238C49EE" w14:textId="77777777" w:rsidR="00BA1D9A" w:rsidRPr="00AA57EC" w:rsidRDefault="00BA1D9A" w:rsidP="00262498">
      <w:pPr>
        <w:numPr>
          <w:ilvl w:val="0"/>
          <w:numId w:val="221"/>
        </w:numPr>
        <w:textAlignment w:val="auto"/>
        <w:rPr>
          <w:rFonts w:asciiTheme="minorHAnsi" w:hAnsiTheme="minorHAnsi" w:cstheme="minorHAnsi"/>
        </w:rPr>
      </w:pPr>
      <w:r w:rsidRPr="00AA57EC">
        <w:rPr>
          <w:rFonts w:asciiTheme="minorHAnsi" w:hAnsiTheme="minorHAnsi" w:cstheme="minorHAnsi"/>
        </w:rPr>
        <w:t>pomiary kształtu nasypu.</w:t>
      </w:r>
    </w:p>
    <w:p w14:paraId="57FD0328" w14:textId="77777777" w:rsidR="00BA1D9A" w:rsidRPr="00AA57EC" w:rsidRDefault="00BA1D9A" w:rsidP="00262498">
      <w:pPr>
        <w:numPr>
          <w:ilvl w:val="0"/>
          <w:numId w:val="221"/>
        </w:numPr>
        <w:textAlignment w:val="auto"/>
        <w:rPr>
          <w:rFonts w:asciiTheme="minorHAnsi" w:hAnsiTheme="minorHAnsi" w:cstheme="minorHAnsi"/>
        </w:rPr>
      </w:pPr>
      <w:r w:rsidRPr="00AA57EC">
        <w:rPr>
          <w:rFonts w:asciiTheme="minorHAnsi" w:hAnsiTheme="minorHAnsi" w:cstheme="minorHAnsi"/>
        </w:rPr>
        <w:t>odwodnienie nasypu</w:t>
      </w:r>
    </w:p>
    <w:p w14:paraId="206EEB40" w14:textId="77777777" w:rsidR="00BA1D9A" w:rsidRPr="00AA57EC" w:rsidRDefault="00BA1D9A" w:rsidP="00BA1D9A">
      <w:pPr>
        <w:rPr>
          <w:rFonts w:asciiTheme="minorHAnsi" w:hAnsiTheme="minorHAnsi" w:cstheme="minorHAnsi"/>
        </w:rPr>
      </w:pPr>
      <w:r w:rsidRPr="00AA57EC">
        <w:rPr>
          <w:rFonts w:asciiTheme="minorHAnsi" w:hAnsiTheme="minorHAnsi" w:cstheme="minorHAnsi"/>
          <w:b/>
        </w:rPr>
        <w:t xml:space="preserve">6.3.2. </w:t>
      </w:r>
      <w:r w:rsidRPr="00AA57EC">
        <w:rPr>
          <w:rFonts w:asciiTheme="minorHAnsi" w:hAnsiTheme="minorHAnsi" w:cstheme="minorHAnsi"/>
        </w:rPr>
        <w:t>Badania przydatności gruntów do budowy nasypów</w:t>
      </w:r>
    </w:p>
    <w:p w14:paraId="5A43C84C" w14:textId="77777777" w:rsidR="00BA1D9A" w:rsidRPr="00AA57EC" w:rsidRDefault="00BA1D9A" w:rsidP="00BA1D9A">
      <w:pPr>
        <w:rPr>
          <w:rFonts w:asciiTheme="minorHAnsi" w:hAnsiTheme="minorHAnsi" w:cstheme="minorHAnsi"/>
        </w:rPr>
      </w:pPr>
      <w:r w:rsidRPr="00AA57EC">
        <w:rPr>
          <w:rFonts w:asciiTheme="minorHAnsi" w:hAnsiTheme="minorHAnsi" w:cstheme="minorHAnsi"/>
        </w:rPr>
        <w:t>Badania przydatności gruntów do budowy nasypu powinny być przeprowadzone na próbkach pobranych z każdej partii przeznaczonej do wbudowania w korpus ziemny, pochodzącej z nowego źródła, jednak nie rzadziej niż jeden raz na 3000 m</w:t>
      </w:r>
      <w:r w:rsidRPr="00AA57EC">
        <w:rPr>
          <w:rFonts w:asciiTheme="minorHAnsi" w:hAnsiTheme="minorHAnsi" w:cstheme="minorHAnsi"/>
          <w:vertAlign w:val="superscript"/>
        </w:rPr>
        <w:t>3</w:t>
      </w:r>
      <w:r w:rsidRPr="00AA57EC">
        <w:rPr>
          <w:rFonts w:asciiTheme="minorHAnsi" w:hAnsiTheme="minorHAnsi" w:cstheme="minorHAnsi"/>
        </w:rPr>
        <w:t>. W każdym badaniu należy określić następujące właściwości:</w:t>
      </w:r>
    </w:p>
    <w:p w14:paraId="7567E179" w14:textId="77777777" w:rsidR="00BA1D9A" w:rsidRPr="00AA57EC" w:rsidRDefault="00BA1D9A" w:rsidP="00262498">
      <w:pPr>
        <w:numPr>
          <w:ilvl w:val="0"/>
          <w:numId w:val="222"/>
        </w:numPr>
        <w:textAlignment w:val="auto"/>
        <w:rPr>
          <w:rFonts w:asciiTheme="minorHAnsi" w:hAnsiTheme="minorHAnsi" w:cstheme="minorHAnsi"/>
        </w:rPr>
      </w:pPr>
      <w:r w:rsidRPr="00AA57EC">
        <w:rPr>
          <w:rFonts w:asciiTheme="minorHAnsi" w:hAnsiTheme="minorHAnsi" w:cstheme="minorHAnsi"/>
        </w:rPr>
        <w:t>skład granulometryczny z określeniem wskaźnika różnoziarnistości U, wg PN-B-04481 :1988,</w:t>
      </w:r>
    </w:p>
    <w:p w14:paraId="2D41E54E" w14:textId="77777777" w:rsidR="00BA1D9A" w:rsidRPr="00AA57EC" w:rsidRDefault="00BA1D9A" w:rsidP="00262498">
      <w:pPr>
        <w:numPr>
          <w:ilvl w:val="0"/>
          <w:numId w:val="222"/>
        </w:numPr>
        <w:textAlignment w:val="auto"/>
        <w:rPr>
          <w:rFonts w:asciiTheme="minorHAnsi" w:hAnsiTheme="minorHAnsi" w:cstheme="minorHAnsi"/>
        </w:rPr>
      </w:pPr>
      <w:r w:rsidRPr="00AA57EC">
        <w:rPr>
          <w:rFonts w:asciiTheme="minorHAnsi" w:hAnsiTheme="minorHAnsi" w:cstheme="minorHAnsi"/>
        </w:rPr>
        <w:t>zawartość części organicznych, wg PN-B-04481:1988,</w:t>
      </w:r>
    </w:p>
    <w:p w14:paraId="5406AF09" w14:textId="77777777" w:rsidR="00BA1D9A" w:rsidRPr="00AA57EC" w:rsidRDefault="00BA1D9A" w:rsidP="00262498">
      <w:pPr>
        <w:numPr>
          <w:ilvl w:val="0"/>
          <w:numId w:val="222"/>
        </w:numPr>
        <w:textAlignment w:val="auto"/>
        <w:rPr>
          <w:rFonts w:asciiTheme="minorHAnsi" w:hAnsiTheme="minorHAnsi" w:cstheme="minorHAnsi"/>
        </w:rPr>
      </w:pPr>
      <w:r w:rsidRPr="00AA57EC">
        <w:rPr>
          <w:rFonts w:asciiTheme="minorHAnsi" w:hAnsiTheme="minorHAnsi" w:cstheme="minorHAnsi"/>
        </w:rPr>
        <w:t>wilgotność naturalną, wg PN-B-04481:1988,</w:t>
      </w:r>
    </w:p>
    <w:p w14:paraId="1F75D3F9" w14:textId="77777777" w:rsidR="00BA1D9A" w:rsidRPr="00AA57EC" w:rsidRDefault="00BA1D9A" w:rsidP="00262498">
      <w:pPr>
        <w:numPr>
          <w:ilvl w:val="0"/>
          <w:numId w:val="222"/>
        </w:numPr>
        <w:textAlignment w:val="auto"/>
        <w:rPr>
          <w:rFonts w:asciiTheme="minorHAnsi" w:hAnsiTheme="minorHAnsi" w:cstheme="minorHAnsi"/>
        </w:rPr>
      </w:pPr>
      <w:r w:rsidRPr="00AA57EC">
        <w:rPr>
          <w:rFonts w:asciiTheme="minorHAnsi" w:hAnsiTheme="minorHAnsi" w:cstheme="minorHAnsi"/>
        </w:rPr>
        <w:t>wilgotność optymalną i maksymalną gęstość objętościową szkieletu gruntowego, wg PN-B-04481:1988,</w:t>
      </w:r>
    </w:p>
    <w:p w14:paraId="0651B9EC" w14:textId="77777777" w:rsidR="00BA1D9A" w:rsidRPr="00AA57EC" w:rsidRDefault="00BA1D9A" w:rsidP="00262498">
      <w:pPr>
        <w:numPr>
          <w:ilvl w:val="0"/>
          <w:numId w:val="222"/>
        </w:numPr>
        <w:textAlignment w:val="auto"/>
        <w:rPr>
          <w:rFonts w:asciiTheme="minorHAnsi" w:hAnsiTheme="minorHAnsi" w:cstheme="minorHAnsi"/>
        </w:rPr>
      </w:pPr>
      <w:r w:rsidRPr="00AA57EC">
        <w:rPr>
          <w:rFonts w:asciiTheme="minorHAnsi" w:hAnsiTheme="minorHAnsi" w:cstheme="minorHAnsi"/>
        </w:rPr>
        <w:t>granicę płynności, wg PN-B-04481:1988,</w:t>
      </w:r>
    </w:p>
    <w:p w14:paraId="08564AA2" w14:textId="77777777" w:rsidR="00BA1D9A" w:rsidRPr="00AA57EC" w:rsidRDefault="00BA1D9A" w:rsidP="00262498">
      <w:pPr>
        <w:numPr>
          <w:ilvl w:val="0"/>
          <w:numId w:val="222"/>
        </w:numPr>
        <w:textAlignment w:val="auto"/>
        <w:rPr>
          <w:rFonts w:asciiTheme="minorHAnsi" w:hAnsiTheme="minorHAnsi" w:cstheme="minorHAnsi"/>
        </w:rPr>
      </w:pPr>
      <w:r w:rsidRPr="00AA57EC">
        <w:rPr>
          <w:rFonts w:asciiTheme="minorHAnsi" w:hAnsiTheme="minorHAnsi" w:cstheme="minorHAnsi"/>
        </w:rPr>
        <w:t>kapilarność bierną, wg PN-B-04493:1960,</w:t>
      </w:r>
    </w:p>
    <w:p w14:paraId="7179EFA8" w14:textId="77777777" w:rsidR="00BA1D9A" w:rsidRPr="00AA57EC" w:rsidRDefault="00BA1D9A" w:rsidP="00262498">
      <w:pPr>
        <w:numPr>
          <w:ilvl w:val="0"/>
          <w:numId w:val="222"/>
        </w:numPr>
        <w:textAlignment w:val="auto"/>
        <w:rPr>
          <w:rFonts w:asciiTheme="minorHAnsi" w:hAnsiTheme="minorHAnsi" w:cstheme="minorHAnsi"/>
        </w:rPr>
      </w:pPr>
      <w:r w:rsidRPr="00AA57EC">
        <w:rPr>
          <w:rFonts w:asciiTheme="minorHAnsi" w:hAnsiTheme="minorHAnsi" w:cstheme="minorHAnsi"/>
        </w:rPr>
        <w:t>wskaźnik piaskowy, wg PN-EN 933-8:2001</w:t>
      </w:r>
    </w:p>
    <w:p w14:paraId="6DEBF2D2" w14:textId="77777777" w:rsidR="00BA1D9A" w:rsidRPr="00AA57EC" w:rsidRDefault="00BA1D9A" w:rsidP="00262498">
      <w:pPr>
        <w:numPr>
          <w:ilvl w:val="0"/>
          <w:numId w:val="222"/>
        </w:numPr>
        <w:textAlignment w:val="auto"/>
        <w:rPr>
          <w:rFonts w:asciiTheme="minorHAnsi" w:hAnsiTheme="minorHAnsi" w:cstheme="minorHAnsi"/>
        </w:rPr>
      </w:pPr>
      <w:r w:rsidRPr="00AA57EC">
        <w:rPr>
          <w:rFonts w:asciiTheme="minorHAnsi" w:hAnsiTheme="minorHAnsi" w:cstheme="minorHAnsi"/>
        </w:rPr>
        <w:t>wskaźnik nośności CBR .</w:t>
      </w:r>
    </w:p>
    <w:p w14:paraId="0FCF469F" w14:textId="77777777" w:rsidR="00BA1D9A" w:rsidRPr="00AA57EC" w:rsidRDefault="00BA1D9A" w:rsidP="00262498">
      <w:pPr>
        <w:numPr>
          <w:ilvl w:val="0"/>
          <w:numId w:val="222"/>
        </w:numPr>
        <w:textAlignment w:val="auto"/>
        <w:rPr>
          <w:rFonts w:asciiTheme="minorHAnsi" w:hAnsiTheme="minorHAnsi" w:cstheme="minorHAnsi"/>
        </w:rPr>
      </w:pPr>
      <w:r w:rsidRPr="00AA57EC">
        <w:rPr>
          <w:rFonts w:asciiTheme="minorHAnsi" w:hAnsiTheme="minorHAnsi" w:cstheme="minorHAnsi"/>
        </w:rPr>
        <w:t>Współczynnik filtracji k</w:t>
      </w:r>
      <w:r w:rsidRPr="00AA57EC">
        <w:rPr>
          <w:rFonts w:asciiTheme="minorHAnsi" w:hAnsiTheme="minorHAnsi" w:cstheme="minorHAnsi"/>
          <w:vertAlign w:val="subscript"/>
        </w:rPr>
        <w:t>10</w:t>
      </w:r>
      <w:r w:rsidRPr="00AA57EC">
        <w:rPr>
          <w:rFonts w:asciiTheme="minorHAnsi" w:hAnsiTheme="minorHAnsi" w:cstheme="minorHAnsi"/>
        </w:rPr>
        <w:t xml:space="preserve"> na podstawie analizy granulometrycznej przy zastosowaniu wzorów empirycznych</w:t>
      </w:r>
    </w:p>
    <w:p w14:paraId="1DD4FDA2" w14:textId="77777777" w:rsidR="00BA1D9A" w:rsidRPr="00AA57EC" w:rsidRDefault="00BA1D9A" w:rsidP="00BA1D9A">
      <w:pPr>
        <w:rPr>
          <w:rFonts w:asciiTheme="minorHAnsi" w:hAnsiTheme="minorHAnsi" w:cstheme="minorHAnsi"/>
        </w:rPr>
      </w:pPr>
      <w:r w:rsidRPr="00AA57EC">
        <w:rPr>
          <w:rFonts w:asciiTheme="minorHAnsi" w:hAnsiTheme="minorHAnsi" w:cstheme="minorHAnsi"/>
        </w:rPr>
        <w:t xml:space="preserve">W przypadku wątpliwej oceny makroskopowej gruntu dyskwalifikującej grunt jako niewysadzinowy dopuszcza się wykonanie serii badań określających jego stopień wysadzinowości wg Katalogu Typowych Konstrukcji Nawierzchni 1997 tablica 6 </w:t>
      </w:r>
    </w:p>
    <w:p w14:paraId="0F12E85A" w14:textId="77777777" w:rsidR="00BA1D9A" w:rsidRPr="00AA57EC" w:rsidRDefault="00BA1D9A" w:rsidP="00BA1D9A">
      <w:pPr>
        <w:rPr>
          <w:rFonts w:asciiTheme="minorHAnsi" w:hAnsiTheme="minorHAnsi" w:cstheme="minorHAnsi"/>
        </w:rPr>
      </w:pPr>
      <w:r w:rsidRPr="00AA57EC">
        <w:rPr>
          <w:rFonts w:asciiTheme="minorHAnsi" w:hAnsiTheme="minorHAnsi" w:cstheme="minorHAnsi"/>
          <w:b/>
        </w:rPr>
        <w:t xml:space="preserve">6.3.3. </w:t>
      </w:r>
      <w:r w:rsidRPr="00AA57EC">
        <w:rPr>
          <w:rFonts w:asciiTheme="minorHAnsi" w:hAnsiTheme="minorHAnsi" w:cstheme="minorHAnsi"/>
        </w:rPr>
        <w:t>Badania kontrolne prawidłowości wykonania poszczególnych warstw nasypu</w:t>
      </w:r>
    </w:p>
    <w:p w14:paraId="63687685" w14:textId="77777777" w:rsidR="00BA1D9A" w:rsidRPr="00AA57EC" w:rsidRDefault="00BA1D9A" w:rsidP="00BA1D9A">
      <w:pPr>
        <w:rPr>
          <w:rFonts w:asciiTheme="minorHAnsi" w:hAnsiTheme="minorHAnsi" w:cstheme="minorHAnsi"/>
        </w:rPr>
      </w:pPr>
      <w:r w:rsidRPr="00AA57EC">
        <w:rPr>
          <w:rFonts w:asciiTheme="minorHAnsi" w:hAnsiTheme="minorHAnsi" w:cstheme="minorHAnsi"/>
        </w:rPr>
        <w:t>Badania kontrolne prawidłowości wykonania poszczególnych warstw nasypu polegają na sprawdzeniu:</w:t>
      </w:r>
    </w:p>
    <w:p w14:paraId="3997C481" w14:textId="77777777" w:rsidR="00BA1D9A" w:rsidRPr="00AA57EC" w:rsidRDefault="00BA1D9A" w:rsidP="00262498">
      <w:pPr>
        <w:numPr>
          <w:ilvl w:val="0"/>
          <w:numId w:val="223"/>
        </w:numPr>
        <w:textAlignment w:val="auto"/>
        <w:rPr>
          <w:rFonts w:asciiTheme="minorHAnsi" w:hAnsiTheme="minorHAnsi" w:cstheme="minorHAnsi"/>
        </w:rPr>
      </w:pPr>
      <w:r w:rsidRPr="00AA57EC">
        <w:rPr>
          <w:rFonts w:asciiTheme="minorHAnsi" w:hAnsiTheme="minorHAnsi" w:cstheme="minorHAnsi"/>
        </w:rPr>
        <w:t>prawidłowości rozmieszczenia gruntów o różnych właściwościach w nasypie,</w:t>
      </w:r>
    </w:p>
    <w:p w14:paraId="0E5A49D4" w14:textId="77777777" w:rsidR="00BA1D9A" w:rsidRPr="00AA57EC" w:rsidRDefault="00BA1D9A" w:rsidP="00262498">
      <w:pPr>
        <w:numPr>
          <w:ilvl w:val="0"/>
          <w:numId w:val="223"/>
        </w:numPr>
        <w:textAlignment w:val="auto"/>
        <w:rPr>
          <w:rFonts w:asciiTheme="minorHAnsi" w:hAnsiTheme="minorHAnsi" w:cstheme="minorHAnsi"/>
        </w:rPr>
      </w:pPr>
      <w:r w:rsidRPr="00AA57EC">
        <w:rPr>
          <w:rFonts w:asciiTheme="minorHAnsi" w:hAnsiTheme="minorHAnsi" w:cstheme="minorHAnsi"/>
        </w:rPr>
        <w:t>odwodnienia każdej warstwy,</w:t>
      </w:r>
    </w:p>
    <w:p w14:paraId="38CF1000" w14:textId="77777777" w:rsidR="00BA1D9A" w:rsidRPr="00AA57EC" w:rsidRDefault="00BA1D9A" w:rsidP="00262498">
      <w:pPr>
        <w:numPr>
          <w:ilvl w:val="0"/>
          <w:numId w:val="223"/>
        </w:numPr>
        <w:textAlignment w:val="auto"/>
        <w:rPr>
          <w:rFonts w:asciiTheme="minorHAnsi" w:hAnsiTheme="minorHAnsi" w:cstheme="minorHAnsi"/>
        </w:rPr>
      </w:pPr>
      <w:r w:rsidRPr="00AA57EC">
        <w:rPr>
          <w:rFonts w:asciiTheme="minorHAnsi" w:hAnsiTheme="minorHAnsi" w:cstheme="minorHAnsi"/>
        </w:rPr>
        <w:t>grubości każdej warstwy i jej wilgotności przy zagęszczaniu; badania należy przeprowadzić nie rzadziej niż jeden raz na 500 m</w:t>
      </w:r>
      <w:r w:rsidRPr="00AA57EC">
        <w:rPr>
          <w:rFonts w:asciiTheme="minorHAnsi" w:hAnsiTheme="minorHAnsi" w:cstheme="minorHAnsi"/>
          <w:vertAlign w:val="superscript"/>
        </w:rPr>
        <w:t>2</w:t>
      </w:r>
      <w:r w:rsidRPr="00AA57EC">
        <w:rPr>
          <w:rFonts w:asciiTheme="minorHAnsi" w:hAnsiTheme="minorHAnsi" w:cstheme="minorHAnsi"/>
        </w:rPr>
        <w:t xml:space="preserve"> warstwy,</w:t>
      </w:r>
    </w:p>
    <w:p w14:paraId="7AA59C80" w14:textId="77777777" w:rsidR="00BA1D9A" w:rsidRPr="00AA57EC" w:rsidRDefault="00BA1D9A" w:rsidP="00262498">
      <w:pPr>
        <w:numPr>
          <w:ilvl w:val="0"/>
          <w:numId w:val="223"/>
        </w:numPr>
        <w:textAlignment w:val="auto"/>
        <w:rPr>
          <w:rFonts w:asciiTheme="minorHAnsi" w:hAnsiTheme="minorHAnsi" w:cstheme="minorHAnsi"/>
        </w:rPr>
      </w:pPr>
      <w:r w:rsidRPr="00AA57EC">
        <w:rPr>
          <w:rFonts w:asciiTheme="minorHAnsi" w:hAnsiTheme="minorHAnsi" w:cstheme="minorHAnsi"/>
        </w:rPr>
        <w:t>nadania spadków warstwom z gruntów spoistych według pktu 5.3.3.1 poz. d),</w:t>
      </w:r>
    </w:p>
    <w:p w14:paraId="3E71C5CC" w14:textId="77777777" w:rsidR="00BA1D9A" w:rsidRPr="00AA57EC" w:rsidRDefault="00BA1D9A" w:rsidP="00262498">
      <w:pPr>
        <w:numPr>
          <w:ilvl w:val="0"/>
          <w:numId w:val="223"/>
        </w:numPr>
        <w:textAlignment w:val="auto"/>
        <w:rPr>
          <w:rFonts w:asciiTheme="minorHAnsi" w:hAnsiTheme="minorHAnsi" w:cstheme="minorHAnsi"/>
        </w:rPr>
      </w:pPr>
      <w:r w:rsidRPr="00AA57EC">
        <w:rPr>
          <w:rFonts w:asciiTheme="minorHAnsi" w:hAnsiTheme="minorHAnsi" w:cstheme="minorHAnsi"/>
        </w:rPr>
        <w:t>przestrzegania ograniczeń określonych w pktach 5.3.3.8 i 5.3.3.9, dotyczących wbudowania gruntów w okresie deszczowym i mrozów.</w:t>
      </w:r>
    </w:p>
    <w:p w14:paraId="2DBE0125" w14:textId="77777777" w:rsidR="00BA1D9A" w:rsidRPr="00AA57EC" w:rsidRDefault="00BA1D9A" w:rsidP="00BA1D9A">
      <w:pPr>
        <w:rPr>
          <w:rFonts w:asciiTheme="minorHAnsi" w:hAnsiTheme="minorHAnsi" w:cstheme="minorHAnsi"/>
        </w:rPr>
      </w:pPr>
      <w:r w:rsidRPr="00AA57EC">
        <w:rPr>
          <w:rFonts w:asciiTheme="minorHAnsi" w:hAnsiTheme="minorHAnsi" w:cstheme="minorHAnsi"/>
          <w:b/>
        </w:rPr>
        <w:t xml:space="preserve">6.3.4. </w:t>
      </w:r>
      <w:r w:rsidRPr="00AA57EC">
        <w:rPr>
          <w:rFonts w:asciiTheme="minorHAnsi" w:hAnsiTheme="minorHAnsi" w:cstheme="minorHAnsi"/>
        </w:rPr>
        <w:t>Sprawdzenie zagęszczenia nasypu oraz podłoża nasypu</w:t>
      </w:r>
    </w:p>
    <w:p w14:paraId="6D3EC0B4" w14:textId="77777777" w:rsidR="00BA1D9A" w:rsidRPr="00AA57EC" w:rsidRDefault="00BA1D9A" w:rsidP="00BA1D9A">
      <w:pPr>
        <w:rPr>
          <w:rFonts w:asciiTheme="minorHAnsi" w:hAnsiTheme="minorHAnsi" w:cstheme="minorHAnsi"/>
        </w:rPr>
      </w:pPr>
      <w:r w:rsidRPr="00AA57EC">
        <w:rPr>
          <w:rFonts w:asciiTheme="minorHAnsi" w:hAnsiTheme="minorHAnsi" w:cstheme="minorHAnsi"/>
        </w:rPr>
        <w:t>Sprawdzenie zagęszczenia nasypu oraz podłoża nasypu polega na skontrolowaniu zgodności wartości wskaźnika zagęszczenia I</w:t>
      </w:r>
      <w:r w:rsidRPr="00AA57EC">
        <w:rPr>
          <w:rFonts w:asciiTheme="minorHAnsi" w:hAnsiTheme="minorHAnsi" w:cstheme="minorHAnsi"/>
          <w:vertAlign w:val="subscript"/>
        </w:rPr>
        <w:t>s</w:t>
      </w:r>
      <w:r w:rsidRPr="00AA57EC">
        <w:rPr>
          <w:rFonts w:asciiTheme="minorHAnsi" w:hAnsiTheme="minorHAnsi" w:cstheme="minorHAnsi"/>
        </w:rPr>
        <w:t xml:space="preserve"> lub stosunku modułów odkształcenia z wartościami określonymi w pktach 5.3.1.2 i 5.3.4.4. Do bieżącej kontroli zagęszczenia dopuszcza się aparaty izotopowe.</w:t>
      </w:r>
    </w:p>
    <w:p w14:paraId="1B73B88C" w14:textId="77777777" w:rsidR="00BA1D9A" w:rsidRPr="00AA57EC" w:rsidRDefault="00BA1D9A" w:rsidP="00BA1D9A">
      <w:pPr>
        <w:rPr>
          <w:rFonts w:asciiTheme="minorHAnsi" w:hAnsiTheme="minorHAnsi" w:cstheme="minorHAnsi"/>
        </w:rPr>
      </w:pPr>
      <w:r w:rsidRPr="00AA57EC">
        <w:rPr>
          <w:rFonts w:asciiTheme="minorHAnsi" w:hAnsiTheme="minorHAnsi" w:cstheme="minorHAnsi"/>
        </w:rPr>
        <w:t>Oznaczenie wskaźnika zagęszczenia I</w:t>
      </w:r>
      <w:r w:rsidRPr="00AA57EC">
        <w:rPr>
          <w:rFonts w:asciiTheme="minorHAnsi" w:hAnsiTheme="minorHAnsi" w:cstheme="minorHAnsi"/>
          <w:vertAlign w:val="subscript"/>
        </w:rPr>
        <w:t>s</w:t>
      </w:r>
      <w:r w:rsidRPr="00AA57EC">
        <w:rPr>
          <w:rFonts w:asciiTheme="minorHAnsi" w:hAnsiTheme="minorHAnsi" w:cstheme="minorHAnsi"/>
        </w:rPr>
        <w:t xml:space="preserve"> powinno być przeprowadzone według normy BN-77/8931-12, oznaczenie modułów odkształcenia według normy PN-S-02205:1998.</w:t>
      </w:r>
    </w:p>
    <w:p w14:paraId="417B8FC7" w14:textId="77777777" w:rsidR="00BA1D9A" w:rsidRPr="00AA57EC" w:rsidRDefault="00BA1D9A" w:rsidP="00BA1D9A">
      <w:pPr>
        <w:rPr>
          <w:rFonts w:asciiTheme="minorHAnsi" w:hAnsiTheme="minorHAnsi" w:cstheme="minorHAnsi"/>
        </w:rPr>
      </w:pPr>
      <w:r w:rsidRPr="00AA57EC">
        <w:rPr>
          <w:rFonts w:asciiTheme="minorHAnsi" w:hAnsiTheme="minorHAnsi" w:cstheme="minorHAnsi"/>
        </w:rPr>
        <w:t>Zagęszczenie każdej warstwy należy kontrolować nie rzadziej niż:</w:t>
      </w:r>
    </w:p>
    <w:p w14:paraId="3C47929F" w14:textId="77777777" w:rsidR="00BA1D9A" w:rsidRPr="00AA57EC" w:rsidRDefault="00BA1D9A" w:rsidP="00262498">
      <w:pPr>
        <w:numPr>
          <w:ilvl w:val="0"/>
          <w:numId w:val="222"/>
        </w:numPr>
        <w:textAlignment w:val="auto"/>
        <w:rPr>
          <w:rFonts w:asciiTheme="minorHAnsi" w:hAnsiTheme="minorHAnsi" w:cstheme="minorHAnsi"/>
        </w:rPr>
      </w:pPr>
      <w:r w:rsidRPr="00AA57EC">
        <w:rPr>
          <w:rFonts w:asciiTheme="minorHAnsi" w:hAnsiTheme="minorHAnsi" w:cstheme="minorHAnsi"/>
        </w:rPr>
        <w:t>jeden raz w trzech punktach na 1000 m</w:t>
      </w:r>
      <w:r w:rsidRPr="00AA57EC">
        <w:rPr>
          <w:rFonts w:asciiTheme="minorHAnsi" w:hAnsiTheme="minorHAnsi" w:cstheme="minorHAnsi"/>
          <w:vertAlign w:val="superscript"/>
        </w:rPr>
        <w:t>2</w:t>
      </w:r>
      <w:r w:rsidRPr="00AA57EC">
        <w:rPr>
          <w:rFonts w:asciiTheme="minorHAnsi" w:hAnsiTheme="minorHAnsi" w:cstheme="minorHAnsi"/>
        </w:rPr>
        <w:t xml:space="preserve"> warstwy, w przypadku określenia wartości I</w:t>
      </w:r>
      <w:r w:rsidRPr="00AA57EC">
        <w:rPr>
          <w:rFonts w:asciiTheme="minorHAnsi" w:hAnsiTheme="minorHAnsi" w:cstheme="minorHAnsi"/>
          <w:vertAlign w:val="subscript"/>
        </w:rPr>
        <w:t>s</w:t>
      </w:r>
      <w:r w:rsidRPr="00AA57EC">
        <w:rPr>
          <w:rFonts w:asciiTheme="minorHAnsi" w:hAnsiTheme="minorHAnsi" w:cstheme="minorHAnsi"/>
        </w:rPr>
        <w:t>,</w:t>
      </w:r>
    </w:p>
    <w:p w14:paraId="20D0A2A0" w14:textId="77777777" w:rsidR="00BA1D9A" w:rsidRPr="00AA57EC" w:rsidRDefault="00BA1D9A" w:rsidP="00262498">
      <w:pPr>
        <w:numPr>
          <w:ilvl w:val="0"/>
          <w:numId w:val="222"/>
        </w:numPr>
        <w:textAlignment w:val="auto"/>
        <w:rPr>
          <w:rFonts w:asciiTheme="minorHAnsi" w:hAnsiTheme="minorHAnsi" w:cstheme="minorHAnsi"/>
        </w:rPr>
      </w:pPr>
      <w:r w:rsidRPr="00AA57EC">
        <w:rPr>
          <w:rFonts w:asciiTheme="minorHAnsi" w:hAnsiTheme="minorHAnsi" w:cstheme="minorHAnsi"/>
        </w:rPr>
        <w:t>jeden raz w trzech punktach na 2000 m</w:t>
      </w:r>
      <w:r w:rsidRPr="00AA57EC">
        <w:rPr>
          <w:rFonts w:asciiTheme="minorHAnsi" w:hAnsiTheme="minorHAnsi" w:cstheme="minorHAnsi"/>
          <w:vertAlign w:val="superscript"/>
        </w:rPr>
        <w:t>2</w:t>
      </w:r>
      <w:r w:rsidRPr="00AA57EC">
        <w:rPr>
          <w:rFonts w:asciiTheme="minorHAnsi" w:hAnsiTheme="minorHAnsi" w:cstheme="minorHAnsi"/>
        </w:rPr>
        <w:t xml:space="preserve"> warstwy w przypadku określenia pierwotnego i wtórnego modułu odkształcenia.</w:t>
      </w:r>
    </w:p>
    <w:p w14:paraId="7EFB84D3" w14:textId="77777777" w:rsidR="00BA1D9A" w:rsidRPr="00AA57EC" w:rsidRDefault="00BA1D9A" w:rsidP="00BA1D9A">
      <w:pPr>
        <w:rPr>
          <w:rFonts w:asciiTheme="minorHAnsi" w:hAnsiTheme="minorHAnsi" w:cstheme="minorHAnsi"/>
        </w:rPr>
      </w:pPr>
      <w:r w:rsidRPr="00AA57EC">
        <w:rPr>
          <w:rFonts w:asciiTheme="minorHAnsi" w:hAnsiTheme="minorHAnsi" w:cstheme="minorHAnsi"/>
        </w:rPr>
        <w:t>Wyniki kontroli zagęszczenia robót Wykonawca powinien wpisywać do dokumentów laboratoryjnych. Prawidłowość zagęszczenia konkretnej warstwy nasypu lub podłoża pod nasypem powinna być potwierdzona przez Inżyniera wpisem w dzienniku budowy.</w:t>
      </w:r>
    </w:p>
    <w:p w14:paraId="12239568" w14:textId="77777777" w:rsidR="00BA1D9A" w:rsidRPr="00AA57EC" w:rsidRDefault="00BA1D9A" w:rsidP="00BA1D9A">
      <w:pPr>
        <w:numPr>
          <w:ilvl w:val="12"/>
          <w:numId w:val="0"/>
        </w:numPr>
        <w:rPr>
          <w:rFonts w:asciiTheme="minorHAnsi" w:hAnsiTheme="minorHAnsi" w:cstheme="minorHAnsi"/>
        </w:rPr>
      </w:pPr>
      <w:r w:rsidRPr="00AA57EC">
        <w:rPr>
          <w:rFonts w:asciiTheme="minorHAnsi" w:hAnsiTheme="minorHAnsi" w:cstheme="minorHAnsi"/>
          <w:b/>
        </w:rPr>
        <w:t xml:space="preserve">6.3.5. </w:t>
      </w:r>
      <w:r w:rsidRPr="00AA57EC">
        <w:rPr>
          <w:rFonts w:asciiTheme="minorHAnsi" w:hAnsiTheme="minorHAnsi" w:cstheme="minorHAnsi"/>
        </w:rPr>
        <w:t>Pomiary kształtu nasypu</w:t>
      </w:r>
    </w:p>
    <w:p w14:paraId="7A2768E8" w14:textId="77777777" w:rsidR="00BA1D9A" w:rsidRPr="00AA57EC" w:rsidRDefault="00BA1D9A" w:rsidP="00BA1D9A">
      <w:pPr>
        <w:numPr>
          <w:ilvl w:val="12"/>
          <w:numId w:val="0"/>
        </w:numPr>
        <w:rPr>
          <w:rFonts w:asciiTheme="minorHAnsi" w:hAnsiTheme="minorHAnsi" w:cstheme="minorHAnsi"/>
        </w:rPr>
      </w:pPr>
      <w:r w:rsidRPr="00AA57EC">
        <w:rPr>
          <w:rFonts w:asciiTheme="minorHAnsi" w:hAnsiTheme="minorHAnsi" w:cstheme="minorHAnsi"/>
        </w:rPr>
        <w:t>Pomiary kształtu nasypu obejmują kontrolę:</w:t>
      </w:r>
    </w:p>
    <w:p w14:paraId="54F079FA" w14:textId="77777777" w:rsidR="00BA1D9A" w:rsidRPr="00AA57EC" w:rsidRDefault="00BA1D9A" w:rsidP="00262498">
      <w:pPr>
        <w:numPr>
          <w:ilvl w:val="0"/>
          <w:numId w:val="222"/>
        </w:numPr>
        <w:textAlignment w:val="auto"/>
        <w:rPr>
          <w:rFonts w:asciiTheme="minorHAnsi" w:hAnsiTheme="minorHAnsi" w:cstheme="minorHAnsi"/>
        </w:rPr>
      </w:pPr>
      <w:r w:rsidRPr="00AA57EC">
        <w:rPr>
          <w:rFonts w:asciiTheme="minorHAnsi" w:hAnsiTheme="minorHAnsi" w:cstheme="minorHAnsi"/>
        </w:rPr>
        <w:t>prawidłowości wykonania skarp,</w:t>
      </w:r>
    </w:p>
    <w:p w14:paraId="288442AA" w14:textId="77777777" w:rsidR="00BA1D9A" w:rsidRPr="00AA57EC" w:rsidRDefault="00BA1D9A" w:rsidP="00262498">
      <w:pPr>
        <w:numPr>
          <w:ilvl w:val="0"/>
          <w:numId w:val="222"/>
        </w:numPr>
        <w:textAlignment w:val="auto"/>
        <w:rPr>
          <w:rFonts w:asciiTheme="minorHAnsi" w:hAnsiTheme="minorHAnsi" w:cstheme="minorHAnsi"/>
        </w:rPr>
      </w:pPr>
      <w:r w:rsidRPr="00AA57EC">
        <w:rPr>
          <w:rFonts w:asciiTheme="minorHAnsi" w:hAnsiTheme="minorHAnsi" w:cstheme="minorHAnsi"/>
        </w:rPr>
        <w:t>szerokości korony korpusu.</w:t>
      </w:r>
    </w:p>
    <w:p w14:paraId="74FE3B3D" w14:textId="77777777" w:rsidR="00BA1D9A" w:rsidRPr="00AA57EC" w:rsidRDefault="00BA1D9A" w:rsidP="00BA1D9A">
      <w:pPr>
        <w:rPr>
          <w:rFonts w:asciiTheme="minorHAnsi" w:hAnsiTheme="minorHAnsi" w:cstheme="minorHAnsi"/>
        </w:rPr>
      </w:pPr>
      <w:r w:rsidRPr="00AA57EC">
        <w:rPr>
          <w:rFonts w:asciiTheme="minorHAnsi" w:hAnsiTheme="minorHAnsi" w:cstheme="minorHAnsi"/>
        </w:rPr>
        <w:t>Sprawdzenie prawidłowości wykonania skarp polega na skontrolowaniu zgodności z wymaganiami dotyczącymi pochyleń i dokładności wykonania skarp, określonymi w dokumentacji projektowej, SST oraz w pkcie 5.3.5 niniejszej specyfikacji.</w:t>
      </w:r>
    </w:p>
    <w:p w14:paraId="583377F0" w14:textId="77777777" w:rsidR="00BA1D9A" w:rsidRPr="00AA57EC" w:rsidRDefault="00BA1D9A" w:rsidP="00BA1D9A">
      <w:pPr>
        <w:rPr>
          <w:rFonts w:asciiTheme="minorHAnsi" w:hAnsiTheme="minorHAnsi" w:cstheme="minorHAnsi"/>
        </w:rPr>
      </w:pPr>
      <w:r w:rsidRPr="00AA57EC">
        <w:rPr>
          <w:rFonts w:asciiTheme="minorHAnsi" w:hAnsiTheme="minorHAnsi" w:cstheme="minorHAnsi"/>
        </w:rPr>
        <w:t>Sprawdzenie szerokości korony korpusu polega na porównaniu szerokości korony korpusu na poziomie wykonywanej warstwy nasypu z szerokością wynikającą z wymiarów geometrycznych korpusu, określonych w dokumentacji projektowej.</w:t>
      </w:r>
    </w:p>
    <w:p w14:paraId="498D17DD" w14:textId="77777777" w:rsidR="00BA1D9A" w:rsidRPr="00AA57EC" w:rsidRDefault="00BA1D9A" w:rsidP="00BA1D9A">
      <w:pPr>
        <w:rPr>
          <w:rFonts w:asciiTheme="minorHAnsi" w:hAnsiTheme="minorHAnsi" w:cstheme="minorHAnsi"/>
          <w:b/>
        </w:rPr>
      </w:pPr>
      <w:r w:rsidRPr="00AA57EC">
        <w:rPr>
          <w:rFonts w:asciiTheme="minorHAnsi" w:hAnsiTheme="minorHAnsi" w:cstheme="minorHAnsi"/>
          <w:b/>
        </w:rPr>
        <w:t>6.4 Dopuszczalne tolerancje wykonania nasypów</w:t>
      </w:r>
    </w:p>
    <w:p w14:paraId="44D965C8" w14:textId="77777777" w:rsidR="00BA1D9A" w:rsidRPr="00AA57EC" w:rsidRDefault="00BA1D9A" w:rsidP="00BA1D9A">
      <w:pPr>
        <w:pStyle w:val="Standardowytekst"/>
        <w:rPr>
          <w:rFonts w:asciiTheme="minorHAnsi" w:hAnsiTheme="minorHAnsi" w:cstheme="minorHAnsi"/>
        </w:rPr>
      </w:pPr>
      <w:bookmarkStart w:id="344" w:name="_Toc406295871"/>
      <w:bookmarkStart w:id="345" w:name="_Toc407161291"/>
      <w:bookmarkStart w:id="346" w:name="_Toc418994951"/>
      <w:bookmarkStart w:id="347" w:name="_Toc418996358"/>
      <w:bookmarkStart w:id="348" w:name="_Toc418996727"/>
      <w:bookmarkStart w:id="349" w:name="_Toc418997114"/>
      <w:bookmarkStart w:id="350" w:name="_Toc418998524"/>
      <w:bookmarkStart w:id="351" w:name="_Toc418998880"/>
      <w:bookmarkStart w:id="352" w:name="_Toc419000125"/>
      <w:r w:rsidRPr="00AA57EC">
        <w:rPr>
          <w:rFonts w:asciiTheme="minorHAnsi" w:hAnsiTheme="minorHAnsi" w:cstheme="minorHAnsi"/>
          <w:b/>
        </w:rPr>
        <w:t xml:space="preserve">6.4.1. </w:t>
      </w:r>
      <w:r w:rsidRPr="00AA57EC">
        <w:rPr>
          <w:rFonts w:asciiTheme="minorHAnsi" w:hAnsiTheme="minorHAnsi" w:cstheme="minorHAnsi"/>
        </w:rPr>
        <w:t>Szerokość korpusu ziemnego</w:t>
      </w:r>
    </w:p>
    <w:p w14:paraId="63228418" w14:textId="77777777" w:rsidR="00BA1D9A" w:rsidRPr="00AA57EC" w:rsidRDefault="00BA1D9A" w:rsidP="00BA1D9A">
      <w:pPr>
        <w:pStyle w:val="Standardowytekst"/>
        <w:rPr>
          <w:rFonts w:asciiTheme="minorHAnsi" w:hAnsiTheme="minorHAnsi" w:cstheme="minorHAnsi"/>
        </w:rPr>
      </w:pPr>
      <w:r w:rsidRPr="00AA57EC">
        <w:rPr>
          <w:rFonts w:asciiTheme="minorHAnsi" w:hAnsiTheme="minorHAnsi" w:cstheme="minorHAnsi"/>
        </w:rPr>
        <w:t xml:space="preserve">Szerokość korpusu ziemnego nie może różnić się od szerokości projektowanej o więcej niż </w:t>
      </w:r>
      <w:r w:rsidRPr="00AA57EC">
        <w:rPr>
          <w:rFonts w:asciiTheme="minorHAnsi" w:hAnsiTheme="minorHAnsi" w:cstheme="minorHAnsi"/>
        </w:rPr>
        <w:sym w:font="Symbol" w:char="F0B1"/>
      </w:r>
      <w:r w:rsidRPr="00AA57EC">
        <w:rPr>
          <w:rFonts w:asciiTheme="minorHAnsi" w:hAnsiTheme="minorHAnsi" w:cstheme="minorHAnsi"/>
        </w:rPr>
        <w:t xml:space="preserve"> 10 cm.</w:t>
      </w:r>
    </w:p>
    <w:p w14:paraId="3E326FC6" w14:textId="77777777" w:rsidR="00BA1D9A" w:rsidRPr="00AA57EC" w:rsidRDefault="00BA1D9A" w:rsidP="00BA1D9A">
      <w:pPr>
        <w:pStyle w:val="Standardowytekst"/>
        <w:keepNext/>
        <w:rPr>
          <w:rFonts w:asciiTheme="minorHAnsi" w:hAnsiTheme="minorHAnsi" w:cstheme="minorHAnsi"/>
        </w:rPr>
      </w:pPr>
      <w:r w:rsidRPr="00AA57EC">
        <w:rPr>
          <w:rFonts w:asciiTheme="minorHAnsi" w:hAnsiTheme="minorHAnsi" w:cstheme="minorHAnsi"/>
          <w:b/>
        </w:rPr>
        <w:t xml:space="preserve">6.4.2. </w:t>
      </w:r>
      <w:r w:rsidRPr="00AA57EC">
        <w:rPr>
          <w:rFonts w:asciiTheme="minorHAnsi" w:hAnsiTheme="minorHAnsi" w:cstheme="minorHAnsi"/>
        </w:rPr>
        <w:t>Rzędne korony korpusu ziemnego</w:t>
      </w:r>
    </w:p>
    <w:p w14:paraId="2FF6DDB7" w14:textId="77777777" w:rsidR="00BA1D9A" w:rsidRPr="00AA57EC" w:rsidRDefault="00BA1D9A" w:rsidP="00BA1D9A">
      <w:pPr>
        <w:pStyle w:val="Standardowytekst"/>
        <w:rPr>
          <w:rFonts w:asciiTheme="minorHAnsi" w:hAnsiTheme="minorHAnsi" w:cstheme="minorHAnsi"/>
        </w:rPr>
      </w:pPr>
      <w:r w:rsidRPr="00AA57EC">
        <w:rPr>
          <w:rFonts w:asciiTheme="minorHAnsi" w:hAnsiTheme="minorHAnsi" w:cstheme="minorHAnsi"/>
        </w:rPr>
        <w:t>Rzędne korony korpusu ziemnego nie mogą różnić się od rzędnych projektowanych o więcej niż -3 cm lub +1 cm.</w:t>
      </w:r>
    </w:p>
    <w:p w14:paraId="2CA486B4" w14:textId="77777777" w:rsidR="00BA1D9A" w:rsidRPr="00AA57EC" w:rsidRDefault="00BA1D9A" w:rsidP="00BA1D9A">
      <w:pPr>
        <w:pStyle w:val="Standardowytekst"/>
        <w:rPr>
          <w:rFonts w:asciiTheme="minorHAnsi" w:hAnsiTheme="minorHAnsi" w:cstheme="minorHAnsi"/>
        </w:rPr>
      </w:pPr>
      <w:r w:rsidRPr="00AA57EC">
        <w:rPr>
          <w:rFonts w:asciiTheme="minorHAnsi" w:hAnsiTheme="minorHAnsi" w:cstheme="minorHAnsi"/>
          <w:b/>
        </w:rPr>
        <w:t xml:space="preserve">6.4.3. </w:t>
      </w:r>
      <w:r w:rsidRPr="00AA57EC">
        <w:rPr>
          <w:rFonts w:asciiTheme="minorHAnsi" w:hAnsiTheme="minorHAnsi" w:cstheme="minorHAnsi"/>
        </w:rPr>
        <w:t>Pochylenie skarp</w:t>
      </w:r>
    </w:p>
    <w:p w14:paraId="3ED07D55" w14:textId="77777777" w:rsidR="00BA1D9A" w:rsidRPr="00AA57EC" w:rsidRDefault="00BA1D9A" w:rsidP="00BA1D9A">
      <w:pPr>
        <w:pStyle w:val="Standardowytekst"/>
        <w:rPr>
          <w:rFonts w:asciiTheme="minorHAnsi" w:hAnsiTheme="minorHAnsi" w:cstheme="minorHAnsi"/>
        </w:rPr>
      </w:pPr>
      <w:r w:rsidRPr="00AA57EC">
        <w:rPr>
          <w:rFonts w:asciiTheme="minorHAnsi" w:hAnsiTheme="minorHAnsi" w:cstheme="minorHAnsi"/>
        </w:rPr>
        <w:t xml:space="preserve">Pochylenie skarp nie może różnić się od pochylenia projektowanego o więcej niż 10% wartości pochylenia wyrażonego </w:t>
      </w:r>
    </w:p>
    <w:p w14:paraId="42AA10E2" w14:textId="567C2B68" w:rsidR="00BA1D9A" w:rsidRPr="00AA57EC" w:rsidRDefault="00BA1D9A" w:rsidP="00BA1D9A">
      <w:pPr>
        <w:pStyle w:val="Standardowytekst"/>
        <w:rPr>
          <w:rFonts w:asciiTheme="minorHAnsi" w:hAnsiTheme="minorHAnsi" w:cstheme="minorHAnsi"/>
        </w:rPr>
      </w:pPr>
      <w:r w:rsidRPr="00AA57EC">
        <w:rPr>
          <w:rFonts w:asciiTheme="minorHAnsi" w:hAnsiTheme="minorHAnsi" w:cstheme="minorHAnsi"/>
        </w:rPr>
        <w:t>tangensem kąta.</w:t>
      </w:r>
    </w:p>
    <w:p w14:paraId="11568F36" w14:textId="77777777" w:rsidR="00BA1D9A" w:rsidRPr="00AA57EC" w:rsidRDefault="00BA1D9A" w:rsidP="00BA1D9A">
      <w:pPr>
        <w:pStyle w:val="Standardowytekst"/>
        <w:rPr>
          <w:rFonts w:asciiTheme="minorHAnsi" w:hAnsiTheme="minorHAnsi" w:cstheme="minorHAnsi"/>
        </w:rPr>
      </w:pPr>
      <w:r w:rsidRPr="00AA57EC">
        <w:rPr>
          <w:rFonts w:asciiTheme="minorHAnsi" w:hAnsiTheme="minorHAnsi" w:cstheme="minorHAnsi"/>
          <w:b/>
        </w:rPr>
        <w:t xml:space="preserve">6.4.4. </w:t>
      </w:r>
      <w:r w:rsidRPr="00AA57EC">
        <w:rPr>
          <w:rFonts w:asciiTheme="minorHAnsi" w:hAnsiTheme="minorHAnsi" w:cstheme="minorHAnsi"/>
        </w:rPr>
        <w:t>Równość korony korpusu</w:t>
      </w:r>
    </w:p>
    <w:p w14:paraId="40C0CDAE" w14:textId="77777777" w:rsidR="00BA1D9A" w:rsidRPr="00AA57EC" w:rsidRDefault="00BA1D9A" w:rsidP="00BA1D9A">
      <w:pPr>
        <w:pStyle w:val="Standardowytekst"/>
        <w:rPr>
          <w:rFonts w:asciiTheme="minorHAnsi" w:hAnsiTheme="minorHAnsi" w:cstheme="minorHAnsi"/>
        </w:rPr>
      </w:pPr>
      <w:r w:rsidRPr="00AA57EC">
        <w:rPr>
          <w:rFonts w:asciiTheme="minorHAnsi" w:hAnsiTheme="minorHAnsi" w:cstheme="minorHAnsi"/>
        </w:rPr>
        <w:t>Nierówności powierzchni korpusu ziemnego mierzone łatą 3-metrową, nie mogą przekraczać 3 cm.</w:t>
      </w:r>
    </w:p>
    <w:p w14:paraId="3F9F557E" w14:textId="77777777" w:rsidR="00BA1D9A" w:rsidRPr="00AA57EC" w:rsidRDefault="00BA1D9A" w:rsidP="00BA1D9A">
      <w:pPr>
        <w:pStyle w:val="Standardowytekst"/>
        <w:rPr>
          <w:rFonts w:asciiTheme="minorHAnsi" w:hAnsiTheme="minorHAnsi" w:cstheme="minorHAnsi"/>
        </w:rPr>
      </w:pPr>
      <w:r w:rsidRPr="00AA57EC">
        <w:rPr>
          <w:rFonts w:asciiTheme="minorHAnsi" w:hAnsiTheme="minorHAnsi" w:cstheme="minorHAnsi"/>
          <w:b/>
        </w:rPr>
        <w:t xml:space="preserve">6.4.5. </w:t>
      </w:r>
      <w:r w:rsidRPr="00AA57EC">
        <w:rPr>
          <w:rFonts w:asciiTheme="minorHAnsi" w:hAnsiTheme="minorHAnsi" w:cstheme="minorHAnsi"/>
        </w:rPr>
        <w:t>Równość skarp</w:t>
      </w:r>
    </w:p>
    <w:p w14:paraId="5E9F8EF9" w14:textId="77777777" w:rsidR="00BA1D9A" w:rsidRPr="00AA57EC" w:rsidRDefault="00BA1D9A" w:rsidP="00BA1D9A">
      <w:pPr>
        <w:pStyle w:val="Standardowytekst"/>
        <w:rPr>
          <w:rFonts w:asciiTheme="minorHAnsi" w:hAnsiTheme="minorHAnsi" w:cstheme="minorHAnsi"/>
        </w:rPr>
      </w:pPr>
      <w:r w:rsidRPr="00AA57EC">
        <w:rPr>
          <w:rFonts w:asciiTheme="minorHAnsi" w:hAnsiTheme="minorHAnsi" w:cstheme="minorHAnsi"/>
        </w:rPr>
        <w:t xml:space="preserve">Nierówności skarp, mierzone łatą 3-metrową, nie mogą przekraczać </w:t>
      </w:r>
      <w:r w:rsidRPr="00AA57EC">
        <w:rPr>
          <w:rFonts w:asciiTheme="minorHAnsi" w:hAnsiTheme="minorHAnsi" w:cstheme="minorHAnsi"/>
        </w:rPr>
        <w:sym w:font="Symbol" w:char="F0B1"/>
      </w:r>
      <w:r w:rsidRPr="00AA57EC">
        <w:rPr>
          <w:rFonts w:asciiTheme="minorHAnsi" w:hAnsiTheme="minorHAnsi" w:cstheme="minorHAnsi"/>
        </w:rPr>
        <w:t xml:space="preserve"> 10 cm.</w:t>
      </w:r>
    </w:p>
    <w:p w14:paraId="2A3CDC3F" w14:textId="77777777" w:rsidR="00BA1D9A" w:rsidRPr="00AA57EC" w:rsidRDefault="00BA1D9A" w:rsidP="00BA1D9A">
      <w:pPr>
        <w:pStyle w:val="Standardowytekst"/>
        <w:rPr>
          <w:rFonts w:asciiTheme="minorHAnsi" w:hAnsiTheme="minorHAnsi" w:cstheme="minorHAnsi"/>
        </w:rPr>
      </w:pPr>
      <w:r w:rsidRPr="00AA57EC">
        <w:rPr>
          <w:rFonts w:asciiTheme="minorHAnsi" w:hAnsiTheme="minorHAnsi" w:cstheme="minorHAnsi"/>
          <w:b/>
        </w:rPr>
        <w:t xml:space="preserve">6.4.6. </w:t>
      </w:r>
      <w:r w:rsidRPr="00AA57EC">
        <w:rPr>
          <w:rFonts w:asciiTheme="minorHAnsi" w:hAnsiTheme="minorHAnsi" w:cstheme="minorHAnsi"/>
        </w:rPr>
        <w:t xml:space="preserve">Spadek podłużny korony korpusu </w:t>
      </w:r>
    </w:p>
    <w:p w14:paraId="7BDA250A" w14:textId="77777777" w:rsidR="00BA1D9A" w:rsidRPr="00AA57EC" w:rsidRDefault="00BA1D9A" w:rsidP="00BA1D9A">
      <w:pPr>
        <w:pStyle w:val="Standardowytekst"/>
        <w:rPr>
          <w:rFonts w:asciiTheme="minorHAnsi" w:hAnsiTheme="minorHAnsi" w:cstheme="minorHAnsi"/>
        </w:rPr>
      </w:pPr>
      <w:r w:rsidRPr="00AA57EC">
        <w:rPr>
          <w:rFonts w:asciiTheme="minorHAnsi" w:hAnsiTheme="minorHAnsi" w:cstheme="minorHAnsi"/>
        </w:rPr>
        <w:t>Spadek podłużny powierzchni korpusu ziemnego lub dna rowu, sprawdzony przez pomiar niwelatorem rzędnych wysokościowych, nie może dawać różnic, w stosunku do rzędnych projektowanych, większych niż -3 cm lub +1 cm.</w:t>
      </w:r>
    </w:p>
    <w:p w14:paraId="7ACBEDC3" w14:textId="77777777" w:rsidR="00BA1D9A" w:rsidRPr="00AA57EC" w:rsidRDefault="00BA1D9A" w:rsidP="00BA1D9A">
      <w:pPr>
        <w:rPr>
          <w:rFonts w:asciiTheme="minorHAnsi" w:hAnsiTheme="minorHAnsi" w:cstheme="minorHAnsi"/>
          <w:b/>
        </w:rPr>
      </w:pPr>
      <w:r w:rsidRPr="00AA57EC">
        <w:rPr>
          <w:rFonts w:asciiTheme="minorHAnsi" w:hAnsiTheme="minorHAnsi" w:cstheme="minorHAnsi"/>
          <w:b/>
        </w:rPr>
        <w:t>7. OBMIAR ROBÓT</w:t>
      </w:r>
      <w:bookmarkEnd w:id="344"/>
      <w:bookmarkEnd w:id="345"/>
      <w:bookmarkEnd w:id="346"/>
      <w:bookmarkEnd w:id="347"/>
      <w:bookmarkEnd w:id="348"/>
      <w:bookmarkEnd w:id="349"/>
      <w:bookmarkEnd w:id="350"/>
      <w:bookmarkEnd w:id="351"/>
      <w:bookmarkEnd w:id="352"/>
    </w:p>
    <w:p w14:paraId="03DDD387" w14:textId="77777777" w:rsidR="00DE28CE" w:rsidRDefault="00DE28CE" w:rsidP="00BA1D9A">
      <w:pPr>
        <w:pStyle w:val="StylIwony"/>
        <w:suppressAutoHyphens/>
        <w:spacing w:before="0" w:after="0"/>
        <w:rPr>
          <w:rFonts w:asciiTheme="minorHAnsi" w:hAnsiTheme="minorHAnsi" w:cstheme="minorHAnsi"/>
          <w:sz w:val="20"/>
          <w:szCs w:val="20"/>
        </w:rPr>
      </w:pPr>
      <w:bookmarkStart w:id="353" w:name="_Toc406295874"/>
      <w:bookmarkStart w:id="354" w:name="_Toc407161294"/>
      <w:bookmarkStart w:id="355" w:name="_Toc418994952"/>
      <w:bookmarkStart w:id="356" w:name="_Toc418996359"/>
      <w:bookmarkStart w:id="357" w:name="_Toc418996728"/>
      <w:bookmarkStart w:id="358" w:name="_Toc418997115"/>
      <w:bookmarkStart w:id="359" w:name="_Toc418998525"/>
      <w:bookmarkStart w:id="360" w:name="_Toc418998881"/>
      <w:bookmarkStart w:id="361" w:name="_Toc419000126"/>
    </w:p>
    <w:p w14:paraId="073471F6" w14:textId="02048E90" w:rsidR="00DE28CE" w:rsidRDefault="00DE28CE" w:rsidP="00BA1D9A">
      <w:pPr>
        <w:pStyle w:val="StylIwony"/>
        <w:suppressAutoHyphens/>
        <w:spacing w:before="0" w:after="0"/>
        <w:rPr>
          <w:rFonts w:asciiTheme="minorHAnsi" w:hAnsiTheme="minorHAnsi" w:cstheme="minorHAnsi"/>
          <w:sz w:val="20"/>
          <w:szCs w:val="20"/>
        </w:rPr>
      </w:pPr>
      <w:r>
        <w:rPr>
          <w:rFonts w:asciiTheme="minorHAnsi" w:hAnsiTheme="minorHAnsi" w:cstheme="minorHAnsi"/>
          <w:sz w:val="20"/>
          <w:szCs w:val="20"/>
        </w:rPr>
        <w:t>Kontrakt ryczałtowy</w:t>
      </w:r>
    </w:p>
    <w:p w14:paraId="7C6D38DD" w14:textId="6CDA2117" w:rsidR="00BA1D9A" w:rsidRPr="00AA57EC" w:rsidRDefault="00BA1D9A" w:rsidP="00BA1D9A">
      <w:pPr>
        <w:pStyle w:val="StylIwony"/>
        <w:suppressAutoHyphens/>
        <w:spacing w:before="0" w:after="0"/>
        <w:rPr>
          <w:rFonts w:asciiTheme="minorHAnsi" w:hAnsiTheme="minorHAnsi" w:cstheme="minorHAnsi"/>
          <w:sz w:val="20"/>
          <w:szCs w:val="20"/>
        </w:rPr>
      </w:pPr>
      <w:r w:rsidRPr="00AA57EC">
        <w:rPr>
          <w:rFonts w:asciiTheme="minorHAnsi" w:hAnsiTheme="minorHAnsi" w:cstheme="minorHAnsi"/>
          <w:sz w:val="20"/>
          <w:szCs w:val="20"/>
        </w:rPr>
        <w:t xml:space="preserve">Ogólne zasady obmiaru robót podano w </w:t>
      </w:r>
      <w:r w:rsidR="001E5FB3">
        <w:rPr>
          <w:rFonts w:asciiTheme="minorHAnsi" w:hAnsiTheme="minorHAnsi" w:cstheme="minorHAnsi"/>
          <w:sz w:val="20"/>
          <w:szCs w:val="20"/>
        </w:rPr>
        <w:t>ST</w:t>
      </w:r>
      <w:r w:rsidRPr="00AA57EC">
        <w:rPr>
          <w:rFonts w:asciiTheme="minorHAnsi" w:hAnsiTheme="minorHAnsi" w:cstheme="minorHAnsi"/>
          <w:sz w:val="20"/>
          <w:szCs w:val="20"/>
        </w:rPr>
        <w:t>WiORB D-M-00.00.00 „Wymagania ogólne” pkt 7.</w:t>
      </w:r>
    </w:p>
    <w:p w14:paraId="052B6D33" w14:textId="77777777" w:rsidR="00BA1D9A" w:rsidRPr="00AA57EC" w:rsidRDefault="00BA1D9A" w:rsidP="00BA1D9A">
      <w:pPr>
        <w:rPr>
          <w:rFonts w:asciiTheme="minorHAnsi" w:hAnsiTheme="minorHAnsi" w:cstheme="minorHAnsi"/>
          <w:b/>
        </w:rPr>
      </w:pPr>
    </w:p>
    <w:p w14:paraId="6E08FB31" w14:textId="77777777" w:rsidR="00BA1D9A" w:rsidRPr="00AA57EC" w:rsidRDefault="00BA1D9A" w:rsidP="00BA1D9A">
      <w:pPr>
        <w:rPr>
          <w:rFonts w:asciiTheme="minorHAnsi" w:hAnsiTheme="minorHAnsi" w:cstheme="minorHAnsi"/>
          <w:b/>
        </w:rPr>
      </w:pPr>
      <w:r w:rsidRPr="00AA57EC">
        <w:rPr>
          <w:rFonts w:asciiTheme="minorHAnsi" w:hAnsiTheme="minorHAnsi" w:cstheme="minorHAnsi"/>
          <w:b/>
        </w:rPr>
        <w:t>8. ODBIÓR ROBÓT</w:t>
      </w:r>
      <w:bookmarkEnd w:id="353"/>
      <w:bookmarkEnd w:id="354"/>
      <w:bookmarkEnd w:id="355"/>
      <w:bookmarkEnd w:id="356"/>
      <w:bookmarkEnd w:id="357"/>
      <w:bookmarkEnd w:id="358"/>
      <w:bookmarkEnd w:id="359"/>
      <w:bookmarkEnd w:id="360"/>
      <w:bookmarkEnd w:id="361"/>
    </w:p>
    <w:p w14:paraId="69997372" w14:textId="17F9A470" w:rsidR="00BA1D9A" w:rsidRPr="00AA57EC" w:rsidRDefault="00BA1D9A" w:rsidP="00BA1D9A">
      <w:pPr>
        <w:rPr>
          <w:rFonts w:asciiTheme="minorHAnsi" w:hAnsiTheme="minorHAnsi" w:cstheme="minorHAnsi"/>
        </w:rPr>
      </w:pPr>
      <w:r w:rsidRPr="00AA57EC">
        <w:rPr>
          <w:rFonts w:asciiTheme="minorHAnsi" w:hAnsiTheme="minorHAnsi" w:cstheme="minorHAnsi"/>
        </w:rPr>
        <w:t xml:space="preserve">Ogólne zasady odbioru podano w </w:t>
      </w:r>
      <w:r w:rsidR="001E5FB3">
        <w:rPr>
          <w:rFonts w:asciiTheme="minorHAnsi" w:hAnsiTheme="minorHAnsi" w:cstheme="minorHAnsi"/>
        </w:rPr>
        <w:t>ST</w:t>
      </w:r>
      <w:r w:rsidRPr="00AA57EC">
        <w:rPr>
          <w:rFonts w:asciiTheme="minorHAnsi" w:hAnsiTheme="minorHAnsi" w:cstheme="minorHAnsi"/>
        </w:rPr>
        <w:t>WiORB D-M-00.00.00 pkt 8.</w:t>
      </w:r>
    </w:p>
    <w:p w14:paraId="3EEEC4F0" w14:textId="6C3E5A52" w:rsidR="00BA1D9A" w:rsidRPr="00AA57EC" w:rsidRDefault="00BA1D9A" w:rsidP="00BA1D9A">
      <w:pPr>
        <w:rPr>
          <w:rFonts w:asciiTheme="minorHAnsi" w:hAnsiTheme="minorHAnsi" w:cstheme="minorHAnsi"/>
        </w:rPr>
      </w:pPr>
      <w:r w:rsidRPr="00AA57EC">
        <w:rPr>
          <w:rFonts w:asciiTheme="minorHAnsi" w:hAnsiTheme="minorHAnsi" w:cstheme="minorHAnsi"/>
        </w:rPr>
        <w:t xml:space="preserve">Roboty uznaje się za wykonane zgodnie z dokumentacją projektową, </w:t>
      </w:r>
      <w:r w:rsidR="001E5FB3">
        <w:rPr>
          <w:rFonts w:asciiTheme="minorHAnsi" w:hAnsiTheme="minorHAnsi" w:cstheme="minorHAnsi"/>
        </w:rPr>
        <w:t>ST</w:t>
      </w:r>
      <w:r w:rsidRPr="00AA57EC">
        <w:rPr>
          <w:rFonts w:asciiTheme="minorHAnsi" w:hAnsiTheme="minorHAnsi" w:cstheme="minorHAnsi"/>
        </w:rPr>
        <w:t>WiORB i wymaganiami Inżyniera, jeżeli wszystkie pomiary i badania z zachowaniem tolerancji wg pkt 6 dały wyniki pozytywne.</w:t>
      </w:r>
    </w:p>
    <w:p w14:paraId="690613EF" w14:textId="77777777" w:rsidR="00BA1D9A" w:rsidRPr="00AA57EC" w:rsidRDefault="00BA1D9A" w:rsidP="00BA1D9A">
      <w:pPr>
        <w:rPr>
          <w:rFonts w:asciiTheme="minorHAnsi" w:hAnsiTheme="minorHAnsi" w:cstheme="minorHAnsi"/>
          <w:b/>
        </w:rPr>
      </w:pPr>
      <w:r w:rsidRPr="00AA57EC">
        <w:rPr>
          <w:rFonts w:asciiTheme="minorHAnsi" w:hAnsiTheme="minorHAnsi" w:cstheme="minorHAnsi"/>
          <w:b/>
        </w:rPr>
        <w:t xml:space="preserve">9. </w:t>
      </w:r>
      <w:bookmarkStart w:id="362" w:name="_Toc406295875"/>
      <w:bookmarkStart w:id="363" w:name="_Toc407161295"/>
      <w:bookmarkStart w:id="364" w:name="_Toc418994953"/>
      <w:bookmarkStart w:id="365" w:name="_Toc418996360"/>
      <w:bookmarkStart w:id="366" w:name="_Toc418996729"/>
      <w:bookmarkStart w:id="367" w:name="_Toc418997116"/>
      <w:bookmarkStart w:id="368" w:name="_Toc418998526"/>
      <w:bookmarkStart w:id="369" w:name="_Toc418998882"/>
      <w:bookmarkStart w:id="370" w:name="_Toc419000127"/>
      <w:r w:rsidRPr="00AA57EC">
        <w:rPr>
          <w:rFonts w:asciiTheme="minorHAnsi" w:hAnsiTheme="minorHAnsi" w:cstheme="minorHAnsi"/>
          <w:b/>
        </w:rPr>
        <w:t>PODSTAWA PŁATNOŚCI</w:t>
      </w:r>
      <w:bookmarkEnd w:id="362"/>
      <w:bookmarkEnd w:id="363"/>
      <w:bookmarkEnd w:id="364"/>
      <w:bookmarkEnd w:id="365"/>
      <w:bookmarkEnd w:id="366"/>
      <w:bookmarkEnd w:id="367"/>
      <w:bookmarkEnd w:id="368"/>
      <w:bookmarkEnd w:id="369"/>
      <w:bookmarkEnd w:id="370"/>
    </w:p>
    <w:p w14:paraId="3F89602D" w14:textId="77777777" w:rsidR="00DE28CE" w:rsidRDefault="00DE28CE" w:rsidP="00BA1D9A">
      <w:pPr>
        <w:pStyle w:val="StylIwony"/>
        <w:suppressAutoHyphens/>
        <w:spacing w:before="0" w:after="0"/>
        <w:rPr>
          <w:rFonts w:asciiTheme="minorHAnsi" w:hAnsiTheme="minorHAnsi" w:cstheme="minorHAnsi"/>
          <w:sz w:val="20"/>
          <w:szCs w:val="20"/>
        </w:rPr>
      </w:pPr>
      <w:bookmarkStart w:id="371" w:name="_Toc406295878"/>
      <w:bookmarkStart w:id="372" w:name="_Toc407161298"/>
      <w:bookmarkStart w:id="373" w:name="_Toc418994954"/>
      <w:bookmarkStart w:id="374" w:name="_Toc418996361"/>
      <w:bookmarkStart w:id="375" w:name="_Toc418996730"/>
      <w:bookmarkStart w:id="376" w:name="_Toc418997117"/>
      <w:bookmarkStart w:id="377" w:name="_Toc418998527"/>
      <w:bookmarkStart w:id="378" w:name="_Toc418998883"/>
      <w:bookmarkStart w:id="379" w:name="_Toc419000128"/>
    </w:p>
    <w:p w14:paraId="143B793D" w14:textId="77777777" w:rsidR="00DE28CE" w:rsidRDefault="00DE28CE" w:rsidP="00DE28CE">
      <w:pPr>
        <w:pStyle w:val="StylIwony"/>
        <w:suppressAutoHyphens/>
        <w:spacing w:before="0" w:after="0"/>
        <w:rPr>
          <w:rFonts w:asciiTheme="minorHAnsi" w:hAnsiTheme="minorHAnsi" w:cstheme="minorHAnsi"/>
          <w:sz w:val="20"/>
          <w:szCs w:val="20"/>
        </w:rPr>
      </w:pPr>
      <w:r>
        <w:rPr>
          <w:rFonts w:asciiTheme="minorHAnsi" w:hAnsiTheme="minorHAnsi" w:cstheme="minorHAnsi"/>
          <w:sz w:val="20"/>
          <w:szCs w:val="20"/>
        </w:rPr>
        <w:t>Kontrakt ryczałtowy</w:t>
      </w:r>
    </w:p>
    <w:p w14:paraId="2937B57B" w14:textId="43E19120" w:rsidR="00BA1D9A" w:rsidRPr="00AA57EC" w:rsidRDefault="00BA1D9A" w:rsidP="00BA1D9A">
      <w:pPr>
        <w:pStyle w:val="StylIwony"/>
        <w:suppressAutoHyphens/>
        <w:spacing w:before="0" w:after="0"/>
        <w:rPr>
          <w:rFonts w:asciiTheme="minorHAnsi" w:hAnsiTheme="minorHAnsi" w:cstheme="minorHAnsi"/>
          <w:sz w:val="20"/>
          <w:szCs w:val="20"/>
        </w:rPr>
      </w:pPr>
      <w:r w:rsidRPr="00AA57EC">
        <w:rPr>
          <w:rFonts w:asciiTheme="minorHAnsi" w:hAnsiTheme="minorHAnsi" w:cstheme="minorHAnsi"/>
          <w:sz w:val="20"/>
          <w:szCs w:val="20"/>
        </w:rPr>
        <w:t xml:space="preserve">Ogólne ustalenia dotyczące podstawy płatności podano w </w:t>
      </w:r>
      <w:r w:rsidR="001E5FB3">
        <w:rPr>
          <w:rFonts w:asciiTheme="minorHAnsi" w:hAnsiTheme="minorHAnsi" w:cstheme="minorHAnsi"/>
          <w:sz w:val="20"/>
          <w:szCs w:val="20"/>
        </w:rPr>
        <w:t>ST</w:t>
      </w:r>
      <w:r w:rsidRPr="00AA57EC">
        <w:rPr>
          <w:rFonts w:asciiTheme="minorHAnsi" w:hAnsiTheme="minorHAnsi" w:cstheme="minorHAnsi"/>
          <w:sz w:val="20"/>
          <w:szCs w:val="20"/>
        </w:rPr>
        <w:t>WiORB D-M-00.00.00 „Wymagania ogólne” pkt 9.</w:t>
      </w:r>
    </w:p>
    <w:p w14:paraId="6C38ED44" w14:textId="5CF0B508" w:rsidR="00BA1D9A" w:rsidRPr="00AA57EC" w:rsidRDefault="00BA1D9A" w:rsidP="00BA1D9A">
      <w:pPr>
        <w:rPr>
          <w:rFonts w:asciiTheme="minorHAnsi" w:hAnsiTheme="minorHAnsi" w:cstheme="minorHAnsi"/>
          <w:b/>
        </w:rPr>
      </w:pPr>
      <w:r w:rsidRPr="00AA57EC">
        <w:rPr>
          <w:rFonts w:asciiTheme="minorHAnsi" w:hAnsiTheme="minorHAnsi" w:cstheme="minorHAnsi"/>
        </w:rPr>
        <w:br/>
      </w:r>
      <w:r w:rsidRPr="00AA57EC">
        <w:rPr>
          <w:rFonts w:asciiTheme="minorHAnsi" w:hAnsiTheme="minorHAnsi" w:cstheme="minorHAnsi"/>
          <w:b/>
        </w:rPr>
        <w:t>10. PRZEPISY ZWIĄZANE</w:t>
      </w:r>
      <w:bookmarkEnd w:id="371"/>
      <w:bookmarkEnd w:id="372"/>
      <w:bookmarkEnd w:id="373"/>
      <w:bookmarkEnd w:id="374"/>
      <w:bookmarkEnd w:id="375"/>
      <w:bookmarkEnd w:id="376"/>
      <w:bookmarkEnd w:id="377"/>
      <w:bookmarkEnd w:id="378"/>
      <w:bookmarkEnd w:id="379"/>
    </w:p>
    <w:p w14:paraId="5EF32A22" w14:textId="77777777" w:rsidR="00BA1D9A" w:rsidRPr="00067D67" w:rsidRDefault="00BA1D9A" w:rsidP="00BA1D9A">
      <w:pPr>
        <w:pStyle w:val="Nagwek4"/>
        <w:rPr>
          <w:rFonts w:asciiTheme="minorHAnsi" w:hAnsiTheme="minorHAnsi" w:cstheme="minorHAnsi"/>
        </w:rPr>
      </w:pPr>
      <w:r w:rsidRPr="00067D67">
        <w:rPr>
          <w:rFonts w:asciiTheme="minorHAnsi" w:hAnsiTheme="minorHAnsi" w:cstheme="minorHAnsi"/>
        </w:rPr>
        <w:t>10.1. Normy</w:t>
      </w:r>
    </w:p>
    <w:tbl>
      <w:tblPr>
        <w:tblW w:w="0" w:type="auto"/>
        <w:tblLayout w:type="fixed"/>
        <w:tblCellMar>
          <w:left w:w="70" w:type="dxa"/>
          <w:right w:w="70" w:type="dxa"/>
        </w:tblCellMar>
        <w:tblLook w:val="04A0" w:firstRow="1" w:lastRow="0" w:firstColumn="1" w:lastColumn="0" w:noHBand="0" w:noVBand="1"/>
      </w:tblPr>
      <w:tblGrid>
        <w:gridCol w:w="354"/>
        <w:gridCol w:w="1879"/>
        <w:gridCol w:w="7546"/>
      </w:tblGrid>
      <w:tr w:rsidR="00BA1D9A" w:rsidRPr="00AA57EC" w14:paraId="019798DB" w14:textId="77777777" w:rsidTr="00BA1D9A">
        <w:tc>
          <w:tcPr>
            <w:tcW w:w="354" w:type="dxa"/>
            <w:hideMark/>
          </w:tcPr>
          <w:p w14:paraId="31A451DD" w14:textId="77777777" w:rsidR="00BA1D9A" w:rsidRPr="00067D67" w:rsidRDefault="00BA1D9A">
            <w:pPr>
              <w:pStyle w:val="Standardowytekst"/>
              <w:rPr>
                <w:rFonts w:asciiTheme="minorHAnsi" w:hAnsiTheme="minorHAnsi" w:cstheme="minorHAnsi"/>
                <w:sz w:val="18"/>
                <w:szCs w:val="18"/>
              </w:rPr>
            </w:pPr>
            <w:r w:rsidRPr="00067D67">
              <w:rPr>
                <w:rFonts w:asciiTheme="minorHAnsi" w:hAnsiTheme="minorHAnsi" w:cstheme="minorHAnsi"/>
                <w:sz w:val="18"/>
                <w:szCs w:val="18"/>
              </w:rPr>
              <w:t>1</w:t>
            </w:r>
          </w:p>
        </w:tc>
        <w:tc>
          <w:tcPr>
            <w:tcW w:w="1879" w:type="dxa"/>
            <w:hideMark/>
          </w:tcPr>
          <w:p w14:paraId="07E55A43" w14:textId="77777777" w:rsidR="00BA1D9A" w:rsidRPr="00067D67" w:rsidRDefault="00BA1D9A">
            <w:pPr>
              <w:pStyle w:val="Standardowytekst"/>
              <w:rPr>
                <w:rFonts w:asciiTheme="minorHAnsi" w:hAnsiTheme="minorHAnsi" w:cstheme="minorHAnsi"/>
                <w:sz w:val="18"/>
                <w:szCs w:val="18"/>
              </w:rPr>
            </w:pPr>
            <w:r w:rsidRPr="00067D67">
              <w:rPr>
                <w:rFonts w:asciiTheme="minorHAnsi" w:hAnsiTheme="minorHAnsi" w:cstheme="minorHAnsi"/>
                <w:sz w:val="18"/>
                <w:szCs w:val="18"/>
              </w:rPr>
              <w:t>PN-EN 933-8:2001</w:t>
            </w:r>
          </w:p>
        </w:tc>
        <w:tc>
          <w:tcPr>
            <w:tcW w:w="7546" w:type="dxa"/>
            <w:hideMark/>
          </w:tcPr>
          <w:p w14:paraId="04C4810E" w14:textId="77777777" w:rsidR="00BA1D9A" w:rsidRPr="00067D67" w:rsidRDefault="00BA1D9A">
            <w:pPr>
              <w:pStyle w:val="Standardowytekst"/>
              <w:rPr>
                <w:rFonts w:asciiTheme="minorHAnsi" w:hAnsiTheme="minorHAnsi" w:cstheme="minorHAnsi"/>
                <w:sz w:val="18"/>
                <w:szCs w:val="18"/>
              </w:rPr>
            </w:pPr>
            <w:r w:rsidRPr="00067D67">
              <w:rPr>
                <w:rFonts w:asciiTheme="minorHAnsi" w:hAnsiTheme="minorHAnsi" w:cstheme="minorHAnsi"/>
                <w:sz w:val="18"/>
                <w:szCs w:val="18"/>
              </w:rPr>
              <w:t>Badania geometrycznych właściwości kruszyw. Część 8 Ocena zawartości drobnych cząstek Badania wskaźnika piaskowego</w:t>
            </w:r>
          </w:p>
        </w:tc>
      </w:tr>
      <w:tr w:rsidR="00BA1D9A" w:rsidRPr="00AA57EC" w14:paraId="27FC4E29" w14:textId="77777777" w:rsidTr="00BA1D9A">
        <w:tc>
          <w:tcPr>
            <w:tcW w:w="354" w:type="dxa"/>
            <w:hideMark/>
          </w:tcPr>
          <w:p w14:paraId="2FCFC7D3" w14:textId="77777777" w:rsidR="00BA1D9A" w:rsidRPr="00067D67" w:rsidRDefault="00BA1D9A">
            <w:pPr>
              <w:pStyle w:val="Standardowytekst"/>
              <w:rPr>
                <w:rFonts w:asciiTheme="minorHAnsi" w:hAnsiTheme="minorHAnsi" w:cstheme="minorHAnsi"/>
                <w:sz w:val="18"/>
                <w:szCs w:val="18"/>
              </w:rPr>
            </w:pPr>
            <w:r w:rsidRPr="00067D67">
              <w:rPr>
                <w:rFonts w:asciiTheme="minorHAnsi" w:hAnsiTheme="minorHAnsi" w:cstheme="minorHAnsi"/>
                <w:sz w:val="18"/>
                <w:szCs w:val="18"/>
              </w:rPr>
              <w:t>2.</w:t>
            </w:r>
          </w:p>
        </w:tc>
        <w:tc>
          <w:tcPr>
            <w:tcW w:w="1879" w:type="dxa"/>
            <w:hideMark/>
          </w:tcPr>
          <w:p w14:paraId="5131C152" w14:textId="77777777" w:rsidR="00BA1D9A" w:rsidRPr="00067D67" w:rsidRDefault="00BA1D9A">
            <w:pPr>
              <w:pStyle w:val="Standardowytekst"/>
              <w:rPr>
                <w:rFonts w:asciiTheme="minorHAnsi" w:hAnsiTheme="minorHAnsi" w:cstheme="minorHAnsi"/>
                <w:sz w:val="18"/>
                <w:szCs w:val="18"/>
              </w:rPr>
            </w:pPr>
            <w:r w:rsidRPr="00067D67">
              <w:rPr>
                <w:rFonts w:asciiTheme="minorHAnsi" w:hAnsiTheme="minorHAnsi" w:cstheme="minorHAnsi"/>
                <w:sz w:val="18"/>
                <w:szCs w:val="18"/>
              </w:rPr>
              <w:t>PN-B-04481:1988</w:t>
            </w:r>
          </w:p>
        </w:tc>
        <w:tc>
          <w:tcPr>
            <w:tcW w:w="7546" w:type="dxa"/>
            <w:hideMark/>
          </w:tcPr>
          <w:p w14:paraId="7CD239B2" w14:textId="77777777" w:rsidR="00BA1D9A" w:rsidRPr="00067D67" w:rsidRDefault="00BA1D9A">
            <w:pPr>
              <w:pStyle w:val="Standardowytekst"/>
              <w:rPr>
                <w:rFonts w:asciiTheme="minorHAnsi" w:hAnsiTheme="minorHAnsi" w:cstheme="minorHAnsi"/>
                <w:sz w:val="18"/>
                <w:szCs w:val="18"/>
              </w:rPr>
            </w:pPr>
            <w:r w:rsidRPr="00067D67">
              <w:rPr>
                <w:rFonts w:asciiTheme="minorHAnsi" w:hAnsiTheme="minorHAnsi" w:cstheme="minorHAnsi"/>
                <w:sz w:val="18"/>
                <w:szCs w:val="18"/>
              </w:rPr>
              <w:t>Grunty budowlane. Badania próbek gruntów</w:t>
            </w:r>
          </w:p>
        </w:tc>
      </w:tr>
      <w:tr w:rsidR="00BA1D9A" w:rsidRPr="00AA57EC" w14:paraId="7C4344E4" w14:textId="77777777" w:rsidTr="00BA1D9A">
        <w:tc>
          <w:tcPr>
            <w:tcW w:w="354" w:type="dxa"/>
            <w:hideMark/>
          </w:tcPr>
          <w:p w14:paraId="154F5556" w14:textId="77777777" w:rsidR="00BA1D9A" w:rsidRPr="00067D67" w:rsidRDefault="00BA1D9A">
            <w:pPr>
              <w:pStyle w:val="Standardowytekst"/>
              <w:rPr>
                <w:rFonts w:asciiTheme="minorHAnsi" w:hAnsiTheme="minorHAnsi" w:cstheme="minorHAnsi"/>
                <w:sz w:val="18"/>
                <w:szCs w:val="18"/>
              </w:rPr>
            </w:pPr>
            <w:r w:rsidRPr="00067D67">
              <w:rPr>
                <w:rFonts w:asciiTheme="minorHAnsi" w:hAnsiTheme="minorHAnsi" w:cstheme="minorHAnsi"/>
                <w:sz w:val="18"/>
                <w:szCs w:val="18"/>
              </w:rPr>
              <w:t>3.</w:t>
            </w:r>
          </w:p>
        </w:tc>
        <w:tc>
          <w:tcPr>
            <w:tcW w:w="1879" w:type="dxa"/>
            <w:hideMark/>
          </w:tcPr>
          <w:p w14:paraId="1F8980F0" w14:textId="77777777" w:rsidR="00BA1D9A" w:rsidRPr="00067D67" w:rsidRDefault="00BA1D9A">
            <w:pPr>
              <w:pStyle w:val="Standardowytekst"/>
              <w:rPr>
                <w:rFonts w:asciiTheme="minorHAnsi" w:hAnsiTheme="minorHAnsi" w:cstheme="minorHAnsi"/>
                <w:sz w:val="18"/>
                <w:szCs w:val="18"/>
              </w:rPr>
            </w:pPr>
            <w:r w:rsidRPr="00067D67">
              <w:rPr>
                <w:rFonts w:asciiTheme="minorHAnsi" w:hAnsiTheme="minorHAnsi" w:cstheme="minorHAnsi"/>
                <w:sz w:val="18"/>
                <w:szCs w:val="18"/>
              </w:rPr>
              <w:t>PN-B-04493:1960</w:t>
            </w:r>
          </w:p>
        </w:tc>
        <w:tc>
          <w:tcPr>
            <w:tcW w:w="7546" w:type="dxa"/>
            <w:hideMark/>
          </w:tcPr>
          <w:p w14:paraId="79242F9B" w14:textId="77777777" w:rsidR="00BA1D9A" w:rsidRPr="00067D67" w:rsidRDefault="00BA1D9A">
            <w:pPr>
              <w:pStyle w:val="Standardowytekst"/>
              <w:rPr>
                <w:rFonts w:asciiTheme="minorHAnsi" w:hAnsiTheme="minorHAnsi" w:cstheme="minorHAnsi"/>
                <w:sz w:val="18"/>
                <w:szCs w:val="18"/>
              </w:rPr>
            </w:pPr>
            <w:r w:rsidRPr="00067D67">
              <w:rPr>
                <w:rFonts w:asciiTheme="minorHAnsi" w:hAnsiTheme="minorHAnsi" w:cstheme="minorHAnsi"/>
                <w:sz w:val="18"/>
                <w:szCs w:val="18"/>
              </w:rPr>
              <w:t>Grunty budowlane. Oznaczanie kapilarności biernej</w:t>
            </w:r>
          </w:p>
        </w:tc>
      </w:tr>
      <w:tr w:rsidR="00BA1D9A" w:rsidRPr="00AA57EC" w14:paraId="555BF641" w14:textId="77777777" w:rsidTr="00BA1D9A">
        <w:tc>
          <w:tcPr>
            <w:tcW w:w="354" w:type="dxa"/>
            <w:hideMark/>
          </w:tcPr>
          <w:p w14:paraId="3BB6DB22" w14:textId="77777777" w:rsidR="00BA1D9A" w:rsidRPr="00067D67" w:rsidRDefault="00BA1D9A">
            <w:pPr>
              <w:pStyle w:val="Standardowytekst"/>
              <w:rPr>
                <w:rFonts w:asciiTheme="minorHAnsi" w:hAnsiTheme="minorHAnsi" w:cstheme="minorHAnsi"/>
                <w:sz w:val="18"/>
                <w:szCs w:val="18"/>
              </w:rPr>
            </w:pPr>
            <w:r w:rsidRPr="00067D67">
              <w:rPr>
                <w:rFonts w:asciiTheme="minorHAnsi" w:hAnsiTheme="minorHAnsi" w:cstheme="minorHAnsi"/>
                <w:sz w:val="18"/>
                <w:szCs w:val="18"/>
              </w:rPr>
              <w:t>4.</w:t>
            </w:r>
          </w:p>
        </w:tc>
        <w:tc>
          <w:tcPr>
            <w:tcW w:w="1879" w:type="dxa"/>
            <w:hideMark/>
          </w:tcPr>
          <w:p w14:paraId="71018E60" w14:textId="77777777" w:rsidR="00BA1D9A" w:rsidRPr="00067D67" w:rsidRDefault="00BA1D9A">
            <w:pPr>
              <w:pStyle w:val="Standardowytekst"/>
              <w:rPr>
                <w:rFonts w:asciiTheme="minorHAnsi" w:hAnsiTheme="minorHAnsi" w:cstheme="minorHAnsi"/>
                <w:sz w:val="18"/>
                <w:szCs w:val="18"/>
              </w:rPr>
            </w:pPr>
            <w:r w:rsidRPr="00067D67">
              <w:rPr>
                <w:rFonts w:asciiTheme="minorHAnsi" w:hAnsiTheme="minorHAnsi" w:cstheme="minorHAnsi"/>
                <w:sz w:val="18"/>
                <w:szCs w:val="18"/>
              </w:rPr>
              <w:t>PN-S-02205:1998</w:t>
            </w:r>
          </w:p>
        </w:tc>
        <w:tc>
          <w:tcPr>
            <w:tcW w:w="7546" w:type="dxa"/>
            <w:hideMark/>
          </w:tcPr>
          <w:p w14:paraId="63BFEFB6" w14:textId="77777777" w:rsidR="00BA1D9A" w:rsidRPr="00067D67" w:rsidRDefault="00BA1D9A">
            <w:pPr>
              <w:pStyle w:val="Standardowytekst"/>
              <w:rPr>
                <w:rFonts w:asciiTheme="minorHAnsi" w:hAnsiTheme="minorHAnsi" w:cstheme="minorHAnsi"/>
                <w:sz w:val="18"/>
                <w:szCs w:val="18"/>
              </w:rPr>
            </w:pPr>
            <w:r w:rsidRPr="00067D67">
              <w:rPr>
                <w:rFonts w:asciiTheme="minorHAnsi" w:hAnsiTheme="minorHAnsi" w:cstheme="minorHAnsi"/>
                <w:sz w:val="18"/>
                <w:szCs w:val="18"/>
              </w:rPr>
              <w:t>Drogi samochodowe. Roboty ziemne. Wymagania i badania</w:t>
            </w:r>
          </w:p>
        </w:tc>
      </w:tr>
      <w:tr w:rsidR="00BA1D9A" w:rsidRPr="00AA57EC" w14:paraId="43EB3FF4" w14:textId="77777777" w:rsidTr="00BA1D9A">
        <w:tc>
          <w:tcPr>
            <w:tcW w:w="354" w:type="dxa"/>
            <w:hideMark/>
          </w:tcPr>
          <w:p w14:paraId="4402ECFC" w14:textId="77777777" w:rsidR="00BA1D9A" w:rsidRPr="00067D67" w:rsidRDefault="00BA1D9A">
            <w:pPr>
              <w:pStyle w:val="Standardowytekst"/>
              <w:rPr>
                <w:rFonts w:asciiTheme="minorHAnsi" w:hAnsiTheme="minorHAnsi" w:cstheme="minorHAnsi"/>
                <w:sz w:val="18"/>
                <w:szCs w:val="18"/>
              </w:rPr>
            </w:pPr>
            <w:r w:rsidRPr="00067D67">
              <w:rPr>
                <w:rFonts w:asciiTheme="minorHAnsi" w:hAnsiTheme="minorHAnsi" w:cstheme="minorHAnsi"/>
                <w:sz w:val="18"/>
                <w:szCs w:val="18"/>
              </w:rPr>
              <w:t>5.</w:t>
            </w:r>
          </w:p>
        </w:tc>
        <w:tc>
          <w:tcPr>
            <w:tcW w:w="1879" w:type="dxa"/>
            <w:hideMark/>
          </w:tcPr>
          <w:p w14:paraId="3F4A636D" w14:textId="77777777" w:rsidR="00BA1D9A" w:rsidRPr="00067D67" w:rsidRDefault="00BA1D9A">
            <w:pPr>
              <w:pStyle w:val="Standardowytekst"/>
              <w:rPr>
                <w:rFonts w:asciiTheme="minorHAnsi" w:hAnsiTheme="minorHAnsi" w:cstheme="minorHAnsi"/>
                <w:sz w:val="18"/>
                <w:szCs w:val="18"/>
              </w:rPr>
            </w:pPr>
            <w:r w:rsidRPr="00067D67">
              <w:rPr>
                <w:rFonts w:asciiTheme="minorHAnsi" w:hAnsiTheme="minorHAnsi" w:cstheme="minorHAnsi"/>
                <w:sz w:val="18"/>
                <w:szCs w:val="18"/>
              </w:rPr>
              <w:t>BN-77/8931-12</w:t>
            </w:r>
          </w:p>
        </w:tc>
        <w:tc>
          <w:tcPr>
            <w:tcW w:w="7546" w:type="dxa"/>
            <w:hideMark/>
          </w:tcPr>
          <w:p w14:paraId="23D52B4F" w14:textId="77777777" w:rsidR="00BA1D9A" w:rsidRPr="00067D67" w:rsidRDefault="00BA1D9A">
            <w:pPr>
              <w:pStyle w:val="Standardowytekst"/>
              <w:rPr>
                <w:rFonts w:asciiTheme="minorHAnsi" w:hAnsiTheme="minorHAnsi" w:cstheme="minorHAnsi"/>
                <w:sz w:val="18"/>
                <w:szCs w:val="18"/>
              </w:rPr>
            </w:pPr>
            <w:r w:rsidRPr="00067D67">
              <w:rPr>
                <w:rFonts w:asciiTheme="minorHAnsi" w:hAnsiTheme="minorHAnsi" w:cstheme="minorHAnsi"/>
                <w:sz w:val="18"/>
                <w:szCs w:val="18"/>
              </w:rPr>
              <w:t>Oznaczenie wskaźnika zagęszczenia gruntu</w:t>
            </w:r>
          </w:p>
        </w:tc>
      </w:tr>
    </w:tbl>
    <w:p w14:paraId="33014DB5" w14:textId="77777777" w:rsidR="00BA1D9A" w:rsidRPr="00067D67" w:rsidRDefault="00BA1D9A" w:rsidP="00BA1D9A">
      <w:pPr>
        <w:pStyle w:val="Nagwek4"/>
        <w:rPr>
          <w:rFonts w:asciiTheme="minorHAnsi" w:hAnsiTheme="minorHAnsi" w:cstheme="minorHAnsi"/>
        </w:rPr>
      </w:pPr>
      <w:r w:rsidRPr="00067D67">
        <w:rPr>
          <w:rFonts w:asciiTheme="minorHAnsi" w:hAnsiTheme="minorHAnsi" w:cstheme="minorHAnsi"/>
        </w:rPr>
        <w:t>10.2. Inne dokumenty</w:t>
      </w:r>
    </w:p>
    <w:p w14:paraId="540ED8F7" w14:textId="77777777" w:rsidR="00BA1D9A" w:rsidRPr="00067D67" w:rsidRDefault="00BA1D9A" w:rsidP="00262498">
      <w:pPr>
        <w:pStyle w:val="Standardowytekst"/>
        <w:numPr>
          <w:ilvl w:val="0"/>
          <w:numId w:val="224"/>
        </w:numPr>
        <w:tabs>
          <w:tab w:val="left" w:pos="426"/>
        </w:tabs>
        <w:textAlignment w:val="auto"/>
        <w:rPr>
          <w:rFonts w:asciiTheme="minorHAnsi" w:hAnsiTheme="minorHAnsi" w:cstheme="minorHAnsi"/>
          <w:sz w:val="18"/>
          <w:szCs w:val="18"/>
        </w:rPr>
      </w:pPr>
      <w:r w:rsidRPr="00067D67">
        <w:rPr>
          <w:rFonts w:asciiTheme="minorHAnsi" w:hAnsiTheme="minorHAnsi" w:cstheme="minorHAnsi"/>
          <w:sz w:val="18"/>
          <w:szCs w:val="18"/>
        </w:rPr>
        <w:t>Instrukcja badań podłoża gruntowego budowli drogowych i mostowych, GDDP,Warszawa 1998.</w:t>
      </w:r>
    </w:p>
    <w:p w14:paraId="58A66F1E" w14:textId="77777777" w:rsidR="00BA1D9A" w:rsidRPr="00AA57EC" w:rsidRDefault="00BA1D9A" w:rsidP="00262498">
      <w:pPr>
        <w:pStyle w:val="Standardowytekst"/>
        <w:numPr>
          <w:ilvl w:val="0"/>
          <w:numId w:val="224"/>
        </w:numPr>
        <w:tabs>
          <w:tab w:val="left" w:pos="426"/>
        </w:tabs>
        <w:textAlignment w:val="auto"/>
        <w:rPr>
          <w:rFonts w:asciiTheme="minorHAnsi" w:hAnsiTheme="minorHAnsi" w:cstheme="minorHAnsi"/>
        </w:rPr>
      </w:pPr>
      <w:r w:rsidRPr="00067D67">
        <w:rPr>
          <w:rFonts w:asciiTheme="minorHAnsi" w:hAnsiTheme="minorHAnsi" w:cstheme="minorHAnsi"/>
          <w:sz w:val="18"/>
          <w:szCs w:val="18"/>
        </w:rPr>
        <w:t>Katalog typowych konstrukcji nawierzchni podatnych i półsztywnych, IBDiM, Warszawa 1997.</w:t>
      </w:r>
    </w:p>
    <w:p w14:paraId="0401C79D" w14:textId="77777777" w:rsidR="00BA1D9A" w:rsidRPr="00AA57EC" w:rsidRDefault="00BA1D9A" w:rsidP="00BA1D9A">
      <w:pPr>
        <w:jc w:val="center"/>
        <w:rPr>
          <w:rFonts w:asciiTheme="minorHAnsi" w:hAnsiTheme="minorHAnsi" w:cstheme="minorHAnsi"/>
          <w:b/>
        </w:rPr>
      </w:pPr>
    </w:p>
    <w:p w14:paraId="2B374494" w14:textId="77777777" w:rsidR="00BA1D9A" w:rsidRPr="00B10EB1" w:rsidRDefault="00BA1D9A" w:rsidP="008C656F">
      <w:pPr>
        <w:pStyle w:val="Standardowytekst"/>
        <w:spacing w:line="360" w:lineRule="auto"/>
        <w:jc w:val="center"/>
        <w:rPr>
          <w:rFonts w:asciiTheme="minorHAnsi" w:hAnsiTheme="minorHAnsi" w:cstheme="minorHAnsi"/>
          <w:b/>
        </w:rPr>
      </w:pPr>
    </w:p>
    <w:p w14:paraId="1FDC4DDD" w14:textId="77777777" w:rsidR="00BA1D9A" w:rsidRDefault="00BA1D9A" w:rsidP="008C656F">
      <w:pPr>
        <w:pStyle w:val="Standardowytekst"/>
        <w:spacing w:line="360" w:lineRule="auto"/>
        <w:jc w:val="center"/>
        <w:rPr>
          <w:rFonts w:asciiTheme="minorHAnsi" w:hAnsiTheme="minorHAnsi" w:cstheme="minorHAnsi"/>
          <w:b/>
          <w:sz w:val="22"/>
          <w:szCs w:val="22"/>
        </w:rPr>
      </w:pPr>
    </w:p>
    <w:p w14:paraId="67835706" w14:textId="77777777" w:rsidR="00BA1D9A" w:rsidRDefault="00BA1D9A" w:rsidP="008C656F">
      <w:pPr>
        <w:pStyle w:val="Standardowytekst"/>
        <w:spacing w:line="360" w:lineRule="auto"/>
        <w:jc w:val="center"/>
        <w:rPr>
          <w:rFonts w:asciiTheme="minorHAnsi" w:hAnsiTheme="minorHAnsi" w:cstheme="minorHAnsi"/>
          <w:b/>
          <w:sz w:val="22"/>
          <w:szCs w:val="22"/>
        </w:rPr>
      </w:pPr>
    </w:p>
    <w:p w14:paraId="764CF99E" w14:textId="77777777" w:rsidR="00080A6F" w:rsidRDefault="00080A6F" w:rsidP="008C656F">
      <w:pPr>
        <w:pStyle w:val="Standardowytekst"/>
        <w:spacing w:line="360" w:lineRule="auto"/>
        <w:jc w:val="center"/>
        <w:rPr>
          <w:rFonts w:asciiTheme="minorHAnsi" w:hAnsiTheme="minorHAnsi" w:cstheme="minorHAnsi"/>
          <w:b/>
          <w:sz w:val="22"/>
          <w:szCs w:val="22"/>
        </w:rPr>
      </w:pPr>
    </w:p>
    <w:p w14:paraId="659A4900" w14:textId="77777777" w:rsidR="00080A6F" w:rsidRDefault="00080A6F" w:rsidP="008C656F">
      <w:pPr>
        <w:pStyle w:val="Standardowytekst"/>
        <w:spacing w:line="360" w:lineRule="auto"/>
        <w:jc w:val="center"/>
        <w:rPr>
          <w:rFonts w:asciiTheme="minorHAnsi" w:hAnsiTheme="minorHAnsi" w:cstheme="minorHAnsi"/>
          <w:b/>
          <w:sz w:val="22"/>
          <w:szCs w:val="22"/>
        </w:rPr>
      </w:pPr>
    </w:p>
    <w:p w14:paraId="01492AE8" w14:textId="77777777" w:rsidR="00080A6F" w:rsidRDefault="00080A6F" w:rsidP="008C656F">
      <w:pPr>
        <w:pStyle w:val="Standardowytekst"/>
        <w:spacing w:line="360" w:lineRule="auto"/>
        <w:jc w:val="center"/>
        <w:rPr>
          <w:rFonts w:asciiTheme="minorHAnsi" w:hAnsiTheme="minorHAnsi" w:cstheme="minorHAnsi"/>
          <w:b/>
          <w:sz w:val="22"/>
          <w:szCs w:val="22"/>
        </w:rPr>
      </w:pPr>
    </w:p>
    <w:p w14:paraId="639D181D" w14:textId="77777777" w:rsidR="00080A6F" w:rsidRDefault="00080A6F" w:rsidP="008C656F">
      <w:pPr>
        <w:pStyle w:val="Standardowytekst"/>
        <w:spacing w:line="360" w:lineRule="auto"/>
        <w:jc w:val="center"/>
        <w:rPr>
          <w:rFonts w:asciiTheme="minorHAnsi" w:hAnsiTheme="minorHAnsi" w:cstheme="minorHAnsi"/>
          <w:b/>
          <w:sz w:val="22"/>
          <w:szCs w:val="22"/>
        </w:rPr>
      </w:pPr>
    </w:p>
    <w:p w14:paraId="194E9A19" w14:textId="77777777" w:rsidR="00080A6F" w:rsidRDefault="00080A6F" w:rsidP="008C656F">
      <w:pPr>
        <w:pStyle w:val="Standardowytekst"/>
        <w:spacing w:line="360" w:lineRule="auto"/>
        <w:jc w:val="center"/>
        <w:rPr>
          <w:rFonts w:asciiTheme="minorHAnsi" w:hAnsiTheme="minorHAnsi" w:cstheme="minorHAnsi"/>
          <w:b/>
          <w:sz w:val="22"/>
          <w:szCs w:val="22"/>
        </w:rPr>
      </w:pPr>
    </w:p>
    <w:p w14:paraId="2F7BBC16" w14:textId="77777777" w:rsidR="00080A6F" w:rsidRDefault="00080A6F" w:rsidP="008C656F">
      <w:pPr>
        <w:pStyle w:val="Standardowytekst"/>
        <w:spacing w:line="360" w:lineRule="auto"/>
        <w:jc w:val="center"/>
        <w:rPr>
          <w:rFonts w:asciiTheme="minorHAnsi" w:hAnsiTheme="minorHAnsi" w:cstheme="minorHAnsi"/>
          <w:b/>
          <w:sz w:val="22"/>
          <w:szCs w:val="22"/>
        </w:rPr>
      </w:pPr>
    </w:p>
    <w:p w14:paraId="383EEF4C" w14:textId="77777777" w:rsidR="00080A6F" w:rsidRDefault="00080A6F" w:rsidP="008C656F">
      <w:pPr>
        <w:pStyle w:val="Standardowytekst"/>
        <w:spacing w:line="360" w:lineRule="auto"/>
        <w:jc w:val="center"/>
        <w:rPr>
          <w:rFonts w:asciiTheme="minorHAnsi" w:hAnsiTheme="minorHAnsi" w:cstheme="minorHAnsi"/>
          <w:b/>
          <w:sz w:val="22"/>
          <w:szCs w:val="22"/>
        </w:rPr>
      </w:pPr>
    </w:p>
    <w:p w14:paraId="7C69A25C" w14:textId="77777777" w:rsidR="00080A6F" w:rsidRDefault="00080A6F" w:rsidP="008C656F">
      <w:pPr>
        <w:pStyle w:val="Standardowytekst"/>
        <w:spacing w:line="360" w:lineRule="auto"/>
        <w:jc w:val="center"/>
        <w:rPr>
          <w:rFonts w:asciiTheme="minorHAnsi" w:hAnsiTheme="minorHAnsi" w:cstheme="minorHAnsi"/>
          <w:b/>
          <w:sz w:val="22"/>
          <w:szCs w:val="22"/>
        </w:rPr>
      </w:pPr>
    </w:p>
    <w:p w14:paraId="77A77E37" w14:textId="77777777" w:rsidR="00080A6F" w:rsidRDefault="00080A6F" w:rsidP="008C656F">
      <w:pPr>
        <w:pStyle w:val="Standardowytekst"/>
        <w:spacing w:line="360" w:lineRule="auto"/>
        <w:jc w:val="center"/>
        <w:rPr>
          <w:rFonts w:asciiTheme="minorHAnsi" w:hAnsiTheme="minorHAnsi" w:cstheme="minorHAnsi"/>
          <w:b/>
          <w:sz w:val="22"/>
          <w:szCs w:val="22"/>
        </w:rPr>
      </w:pPr>
    </w:p>
    <w:p w14:paraId="3187FEDD" w14:textId="77777777" w:rsidR="00080A6F" w:rsidRDefault="00080A6F" w:rsidP="008C656F">
      <w:pPr>
        <w:pStyle w:val="Standardowytekst"/>
        <w:spacing w:line="360" w:lineRule="auto"/>
        <w:jc w:val="center"/>
        <w:rPr>
          <w:rFonts w:asciiTheme="minorHAnsi" w:hAnsiTheme="minorHAnsi" w:cstheme="minorHAnsi"/>
          <w:b/>
          <w:sz w:val="22"/>
          <w:szCs w:val="22"/>
        </w:rPr>
      </w:pPr>
    </w:p>
    <w:p w14:paraId="1682CA19" w14:textId="77777777" w:rsidR="00080A6F" w:rsidRDefault="00080A6F" w:rsidP="008C656F">
      <w:pPr>
        <w:pStyle w:val="Standardowytekst"/>
        <w:spacing w:line="360" w:lineRule="auto"/>
        <w:jc w:val="center"/>
        <w:rPr>
          <w:rFonts w:asciiTheme="minorHAnsi" w:hAnsiTheme="minorHAnsi" w:cstheme="minorHAnsi"/>
          <w:b/>
          <w:sz w:val="22"/>
          <w:szCs w:val="22"/>
        </w:rPr>
      </w:pPr>
    </w:p>
    <w:p w14:paraId="54167565" w14:textId="77777777" w:rsidR="00080A6F" w:rsidRDefault="00080A6F" w:rsidP="008C656F">
      <w:pPr>
        <w:pStyle w:val="Standardowytekst"/>
        <w:spacing w:line="360" w:lineRule="auto"/>
        <w:jc w:val="center"/>
        <w:rPr>
          <w:rFonts w:asciiTheme="minorHAnsi" w:hAnsiTheme="minorHAnsi" w:cstheme="minorHAnsi"/>
          <w:b/>
          <w:sz w:val="22"/>
          <w:szCs w:val="22"/>
        </w:rPr>
      </w:pPr>
    </w:p>
    <w:p w14:paraId="01B390B4" w14:textId="77777777" w:rsidR="00080A6F" w:rsidRDefault="00080A6F" w:rsidP="008C656F">
      <w:pPr>
        <w:pStyle w:val="Standardowytekst"/>
        <w:spacing w:line="360" w:lineRule="auto"/>
        <w:jc w:val="center"/>
        <w:rPr>
          <w:rFonts w:asciiTheme="minorHAnsi" w:hAnsiTheme="minorHAnsi" w:cstheme="minorHAnsi"/>
          <w:b/>
          <w:sz w:val="22"/>
          <w:szCs w:val="22"/>
        </w:rPr>
      </w:pPr>
    </w:p>
    <w:p w14:paraId="30C540D8" w14:textId="77777777" w:rsidR="00080A6F" w:rsidRDefault="00080A6F" w:rsidP="008C656F">
      <w:pPr>
        <w:pStyle w:val="Standardowytekst"/>
        <w:spacing w:line="360" w:lineRule="auto"/>
        <w:jc w:val="center"/>
        <w:rPr>
          <w:rFonts w:asciiTheme="minorHAnsi" w:hAnsiTheme="minorHAnsi" w:cstheme="minorHAnsi"/>
          <w:b/>
          <w:sz w:val="22"/>
          <w:szCs w:val="22"/>
        </w:rPr>
      </w:pPr>
    </w:p>
    <w:p w14:paraId="5B9C2461" w14:textId="77777777" w:rsidR="00080A6F" w:rsidRDefault="00080A6F" w:rsidP="008C656F">
      <w:pPr>
        <w:pStyle w:val="Standardowytekst"/>
        <w:spacing w:line="360" w:lineRule="auto"/>
        <w:jc w:val="center"/>
        <w:rPr>
          <w:rFonts w:asciiTheme="minorHAnsi" w:hAnsiTheme="minorHAnsi" w:cstheme="minorHAnsi"/>
          <w:b/>
          <w:sz w:val="22"/>
          <w:szCs w:val="22"/>
        </w:rPr>
      </w:pPr>
    </w:p>
    <w:p w14:paraId="16B596DC" w14:textId="77777777" w:rsidR="00080A6F" w:rsidRDefault="00080A6F" w:rsidP="008C656F">
      <w:pPr>
        <w:pStyle w:val="Standardowytekst"/>
        <w:spacing w:line="360" w:lineRule="auto"/>
        <w:jc w:val="center"/>
        <w:rPr>
          <w:rFonts w:asciiTheme="minorHAnsi" w:hAnsiTheme="minorHAnsi" w:cstheme="minorHAnsi"/>
          <w:b/>
          <w:sz w:val="22"/>
          <w:szCs w:val="22"/>
        </w:rPr>
      </w:pPr>
    </w:p>
    <w:p w14:paraId="1326400B" w14:textId="77777777" w:rsidR="00080A6F" w:rsidRDefault="00080A6F" w:rsidP="008C656F">
      <w:pPr>
        <w:pStyle w:val="Standardowytekst"/>
        <w:spacing w:line="360" w:lineRule="auto"/>
        <w:jc w:val="center"/>
        <w:rPr>
          <w:rFonts w:asciiTheme="minorHAnsi" w:hAnsiTheme="minorHAnsi" w:cstheme="minorHAnsi"/>
          <w:b/>
          <w:sz w:val="22"/>
          <w:szCs w:val="22"/>
        </w:rPr>
      </w:pPr>
    </w:p>
    <w:p w14:paraId="1AAD7C46" w14:textId="77777777" w:rsidR="00080A6F" w:rsidRDefault="00080A6F" w:rsidP="008C656F">
      <w:pPr>
        <w:pStyle w:val="Standardowytekst"/>
        <w:spacing w:line="360" w:lineRule="auto"/>
        <w:jc w:val="center"/>
        <w:rPr>
          <w:rFonts w:asciiTheme="minorHAnsi" w:hAnsiTheme="minorHAnsi" w:cstheme="minorHAnsi"/>
          <w:b/>
          <w:sz w:val="22"/>
          <w:szCs w:val="22"/>
        </w:rPr>
      </w:pPr>
    </w:p>
    <w:p w14:paraId="6F503882" w14:textId="77777777" w:rsidR="00080A6F" w:rsidRDefault="00080A6F" w:rsidP="008C656F">
      <w:pPr>
        <w:pStyle w:val="Standardowytekst"/>
        <w:spacing w:line="360" w:lineRule="auto"/>
        <w:jc w:val="center"/>
        <w:rPr>
          <w:rFonts w:asciiTheme="minorHAnsi" w:hAnsiTheme="minorHAnsi" w:cstheme="minorHAnsi"/>
          <w:b/>
          <w:sz w:val="22"/>
          <w:szCs w:val="22"/>
        </w:rPr>
      </w:pPr>
    </w:p>
    <w:p w14:paraId="30578B16" w14:textId="77777777" w:rsidR="00080A6F" w:rsidRDefault="00080A6F" w:rsidP="008C656F">
      <w:pPr>
        <w:pStyle w:val="Standardowytekst"/>
        <w:spacing w:line="360" w:lineRule="auto"/>
        <w:jc w:val="center"/>
        <w:rPr>
          <w:rFonts w:asciiTheme="minorHAnsi" w:hAnsiTheme="minorHAnsi" w:cstheme="minorHAnsi"/>
          <w:b/>
          <w:sz w:val="22"/>
          <w:szCs w:val="22"/>
        </w:rPr>
      </w:pPr>
    </w:p>
    <w:p w14:paraId="1CD87F9C" w14:textId="77777777" w:rsidR="00080A6F" w:rsidRDefault="00080A6F" w:rsidP="008C656F">
      <w:pPr>
        <w:pStyle w:val="Standardowytekst"/>
        <w:spacing w:line="360" w:lineRule="auto"/>
        <w:jc w:val="center"/>
        <w:rPr>
          <w:rFonts w:asciiTheme="minorHAnsi" w:hAnsiTheme="minorHAnsi" w:cstheme="minorHAnsi"/>
          <w:b/>
          <w:sz w:val="22"/>
          <w:szCs w:val="22"/>
        </w:rPr>
      </w:pPr>
    </w:p>
    <w:p w14:paraId="701FBD88" w14:textId="77777777" w:rsidR="00080A6F" w:rsidRDefault="00080A6F" w:rsidP="00AA57EC">
      <w:pPr>
        <w:pStyle w:val="Standardowytekst"/>
        <w:spacing w:line="360" w:lineRule="auto"/>
        <w:rPr>
          <w:rFonts w:asciiTheme="minorHAnsi" w:hAnsiTheme="minorHAnsi" w:cstheme="minorHAnsi"/>
          <w:b/>
          <w:sz w:val="22"/>
          <w:szCs w:val="22"/>
        </w:rPr>
      </w:pPr>
    </w:p>
    <w:p w14:paraId="0DE42080" w14:textId="77777777" w:rsidR="006707CE" w:rsidRDefault="006707CE" w:rsidP="00AA57EC">
      <w:pPr>
        <w:pStyle w:val="Standardowytekst"/>
        <w:spacing w:line="360" w:lineRule="auto"/>
        <w:rPr>
          <w:rFonts w:asciiTheme="minorHAnsi" w:hAnsiTheme="minorHAnsi" w:cstheme="minorHAnsi"/>
          <w:b/>
          <w:sz w:val="22"/>
          <w:szCs w:val="22"/>
        </w:rPr>
      </w:pPr>
    </w:p>
    <w:p w14:paraId="668AF2BD" w14:textId="77777777" w:rsidR="006707CE" w:rsidRDefault="006707CE" w:rsidP="00AA57EC">
      <w:pPr>
        <w:pStyle w:val="Standardowytekst"/>
        <w:spacing w:line="360" w:lineRule="auto"/>
        <w:rPr>
          <w:rFonts w:asciiTheme="minorHAnsi" w:hAnsiTheme="minorHAnsi" w:cstheme="minorHAnsi"/>
          <w:b/>
          <w:sz w:val="22"/>
          <w:szCs w:val="22"/>
        </w:rPr>
      </w:pPr>
    </w:p>
    <w:p w14:paraId="3DBD82E2" w14:textId="77777777" w:rsidR="006707CE" w:rsidRDefault="006707CE" w:rsidP="00AA57EC">
      <w:pPr>
        <w:pStyle w:val="Standardowytekst"/>
        <w:spacing w:line="360" w:lineRule="auto"/>
        <w:rPr>
          <w:rFonts w:asciiTheme="minorHAnsi" w:hAnsiTheme="minorHAnsi" w:cstheme="minorHAnsi"/>
          <w:b/>
          <w:sz w:val="22"/>
          <w:szCs w:val="22"/>
        </w:rPr>
      </w:pPr>
    </w:p>
    <w:p w14:paraId="4847F868" w14:textId="77777777" w:rsidR="00067D67" w:rsidRDefault="00067D67" w:rsidP="00AA57EC">
      <w:pPr>
        <w:pStyle w:val="Standardowytekst"/>
        <w:spacing w:line="360" w:lineRule="auto"/>
        <w:rPr>
          <w:rFonts w:asciiTheme="minorHAnsi" w:hAnsiTheme="minorHAnsi" w:cstheme="minorHAnsi"/>
          <w:b/>
          <w:sz w:val="22"/>
          <w:szCs w:val="22"/>
        </w:rPr>
      </w:pPr>
    </w:p>
    <w:p w14:paraId="3FBBFDC6" w14:textId="77777777" w:rsidR="00DE28CE" w:rsidRDefault="00DE28CE" w:rsidP="00AA57EC">
      <w:pPr>
        <w:pStyle w:val="Standardowytekst"/>
        <w:spacing w:line="360" w:lineRule="auto"/>
        <w:rPr>
          <w:rFonts w:asciiTheme="minorHAnsi" w:hAnsiTheme="minorHAnsi" w:cstheme="minorHAnsi"/>
          <w:b/>
          <w:sz w:val="22"/>
          <w:szCs w:val="22"/>
        </w:rPr>
      </w:pPr>
    </w:p>
    <w:p w14:paraId="4CF5A6C1" w14:textId="77777777" w:rsidR="006707CE" w:rsidRDefault="006707CE" w:rsidP="00AA57EC">
      <w:pPr>
        <w:pStyle w:val="Standardowytekst"/>
        <w:spacing w:line="360" w:lineRule="auto"/>
        <w:rPr>
          <w:rFonts w:asciiTheme="minorHAnsi" w:hAnsiTheme="minorHAnsi" w:cstheme="minorHAnsi"/>
          <w:b/>
          <w:sz w:val="22"/>
          <w:szCs w:val="22"/>
        </w:rPr>
      </w:pPr>
    </w:p>
    <w:p w14:paraId="6061CAFE" w14:textId="77777777" w:rsidR="00080A6F" w:rsidRDefault="00080A6F" w:rsidP="008C656F">
      <w:pPr>
        <w:pStyle w:val="Standardowytekst"/>
        <w:spacing w:line="360" w:lineRule="auto"/>
        <w:jc w:val="center"/>
        <w:rPr>
          <w:rFonts w:asciiTheme="minorHAnsi" w:hAnsiTheme="minorHAnsi" w:cstheme="minorHAnsi"/>
          <w:b/>
          <w:sz w:val="22"/>
          <w:szCs w:val="22"/>
        </w:rPr>
      </w:pPr>
    </w:p>
    <w:p w14:paraId="6D0AA626" w14:textId="04A17309" w:rsidR="006947FD" w:rsidRPr="00A23FB4" w:rsidRDefault="006707A0" w:rsidP="008C656F">
      <w:pPr>
        <w:pStyle w:val="Standardowytekst"/>
        <w:spacing w:line="360" w:lineRule="auto"/>
        <w:jc w:val="center"/>
        <w:rPr>
          <w:rFonts w:asciiTheme="minorHAnsi" w:hAnsiTheme="minorHAnsi" w:cstheme="minorHAnsi"/>
          <w:b/>
          <w:sz w:val="22"/>
          <w:szCs w:val="22"/>
        </w:rPr>
      </w:pPr>
      <w:r>
        <w:rPr>
          <w:rFonts w:ascii="Calibri" w:hAnsi="Calibri" w:cs="Calibri"/>
          <w:b/>
          <w:sz w:val="22"/>
          <w:szCs w:val="22"/>
        </w:rPr>
        <w:t>SZCZEGÓŁOWE SPECYFIKACJE TECHNICZNE</w:t>
      </w:r>
      <w:r w:rsidR="00413511" w:rsidRPr="00A23FB4">
        <w:rPr>
          <w:rFonts w:asciiTheme="minorHAnsi" w:hAnsiTheme="minorHAnsi" w:cstheme="minorHAnsi"/>
          <w:b/>
          <w:sz w:val="22"/>
          <w:szCs w:val="22"/>
        </w:rPr>
        <w:t xml:space="preserve"> WYKONYWANIA I ODBIORU ROBÓT BUDOWLANYCH</w:t>
      </w:r>
    </w:p>
    <w:p w14:paraId="4C94E3D5" w14:textId="77777777" w:rsidR="006947FD" w:rsidRPr="00A23FB4" w:rsidRDefault="006947FD" w:rsidP="007E255D">
      <w:pPr>
        <w:pStyle w:val="Nagowek1"/>
        <w:spacing w:before="0"/>
        <w:rPr>
          <w:rFonts w:asciiTheme="minorHAnsi" w:hAnsiTheme="minorHAnsi" w:cstheme="minorHAnsi"/>
        </w:rPr>
      </w:pPr>
      <w:bookmarkStart w:id="380" w:name="_Toc358024781"/>
      <w:bookmarkStart w:id="381" w:name="_Toc369334404"/>
      <w:bookmarkStart w:id="382" w:name="_Toc460177605"/>
      <w:bookmarkStart w:id="383" w:name="_Toc206275478"/>
      <w:r w:rsidRPr="00A23FB4">
        <w:rPr>
          <w:rFonts w:asciiTheme="minorHAnsi" w:hAnsiTheme="minorHAnsi" w:cstheme="minorHAnsi"/>
        </w:rPr>
        <w:t>D-03.02.01  KANALIZACJA DESZCZOWA</w:t>
      </w:r>
      <w:bookmarkEnd w:id="380"/>
      <w:bookmarkEnd w:id="381"/>
      <w:bookmarkEnd w:id="382"/>
      <w:bookmarkEnd w:id="383"/>
    </w:p>
    <w:p w14:paraId="06F54F1B" w14:textId="77777777" w:rsidR="006947FD" w:rsidRPr="00A23FB4" w:rsidRDefault="006947FD" w:rsidP="006947FD">
      <w:pPr>
        <w:rPr>
          <w:rFonts w:asciiTheme="minorHAnsi" w:hAnsiTheme="minorHAnsi" w:cstheme="minorHAnsi"/>
          <w:b/>
          <w:bCs/>
        </w:rPr>
      </w:pPr>
    </w:p>
    <w:p w14:paraId="0BE8616E" w14:textId="77777777" w:rsidR="006947FD" w:rsidRPr="00A23FB4" w:rsidRDefault="006947FD" w:rsidP="00B80411">
      <w:pPr>
        <w:rPr>
          <w:rFonts w:asciiTheme="minorHAnsi" w:hAnsiTheme="minorHAnsi" w:cstheme="minorHAnsi"/>
          <w:b/>
        </w:rPr>
      </w:pPr>
      <w:bookmarkStart w:id="384" w:name="_Toc358023952"/>
      <w:bookmarkStart w:id="385" w:name="_Toc358024367"/>
      <w:bookmarkStart w:id="386" w:name="_Toc358024782"/>
      <w:r w:rsidRPr="00A23FB4">
        <w:rPr>
          <w:rFonts w:asciiTheme="minorHAnsi" w:hAnsiTheme="minorHAnsi" w:cstheme="minorHAnsi"/>
          <w:b/>
        </w:rPr>
        <w:t>1. WSTĘP</w:t>
      </w:r>
      <w:bookmarkEnd w:id="384"/>
      <w:bookmarkEnd w:id="385"/>
      <w:bookmarkEnd w:id="386"/>
    </w:p>
    <w:p w14:paraId="6CEE694A" w14:textId="77777777" w:rsidR="006947FD" w:rsidRPr="00A23FB4" w:rsidRDefault="006947FD" w:rsidP="005C45EE">
      <w:pPr>
        <w:rPr>
          <w:rFonts w:asciiTheme="minorHAnsi" w:hAnsiTheme="minorHAnsi" w:cstheme="minorHAnsi"/>
          <w:b/>
        </w:rPr>
      </w:pPr>
    </w:p>
    <w:p w14:paraId="114A1BCB" w14:textId="5280C736" w:rsidR="006947FD" w:rsidRPr="00A23FB4" w:rsidRDefault="006947FD" w:rsidP="005C45EE">
      <w:pPr>
        <w:rPr>
          <w:rFonts w:asciiTheme="minorHAnsi" w:hAnsiTheme="minorHAnsi" w:cstheme="minorHAnsi"/>
          <w:b/>
        </w:rPr>
      </w:pPr>
      <w:bookmarkStart w:id="387" w:name="_Toc358023953"/>
      <w:bookmarkStart w:id="388" w:name="_Toc358024368"/>
      <w:bookmarkStart w:id="389" w:name="_Toc358024783"/>
      <w:r w:rsidRPr="00A23FB4">
        <w:rPr>
          <w:rFonts w:asciiTheme="minorHAnsi" w:hAnsiTheme="minorHAnsi" w:cstheme="minorHAnsi"/>
          <w:b/>
        </w:rPr>
        <w:t xml:space="preserve">1.1. Przedmiot </w:t>
      </w:r>
      <w:bookmarkEnd w:id="387"/>
      <w:bookmarkEnd w:id="388"/>
      <w:bookmarkEnd w:id="389"/>
      <w:r w:rsidR="001E5FB3">
        <w:rPr>
          <w:rFonts w:asciiTheme="minorHAnsi" w:hAnsiTheme="minorHAnsi" w:cstheme="minorHAnsi"/>
          <w:b/>
        </w:rPr>
        <w:t>ST</w:t>
      </w:r>
      <w:r w:rsidR="00413511" w:rsidRPr="00A23FB4">
        <w:rPr>
          <w:rFonts w:asciiTheme="minorHAnsi" w:hAnsiTheme="minorHAnsi" w:cstheme="minorHAnsi"/>
          <w:b/>
        </w:rPr>
        <w:t>WiOBR</w:t>
      </w:r>
    </w:p>
    <w:p w14:paraId="63190167" w14:textId="22159E93" w:rsidR="006947FD" w:rsidRPr="00A23FB4" w:rsidRDefault="006947FD" w:rsidP="006947FD">
      <w:pPr>
        <w:rPr>
          <w:rFonts w:asciiTheme="minorHAnsi" w:hAnsiTheme="minorHAnsi" w:cstheme="minorHAnsi"/>
        </w:rPr>
      </w:pPr>
      <w:r w:rsidRPr="00A23FB4">
        <w:rPr>
          <w:rFonts w:asciiTheme="minorHAnsi" w:hAnsiTheme="minorHAnsi" w:cstheme="minorHAnsi"/>
        </w:rPr>
        <w:t>Przedmiotem niniejsz</w:t>
      </w:r>
      <w:r w:rsidR="00DE28CE">
        <w:rPr>
          <w:rFonts w:asciiTheme="minorHAnsi" w:hAnsiTheme="minorHAnsi" w:cstheme="minorHAnsi"/>
        </w:rPr>
        <w:t>ej</w:t>
      </w:r>
      <w:r w:rsidRPr="00A23FB4">
        <w:rPr>
          <w:rFonts w:asciiTheme="minorHAnsi" w:hAnsiTheme="minorHAnsi" w:cstheme="minorHAnsi"/>
        </w:rPr>
        <w:t xml:space="preserve"> </w:t>
      </w:r>
      <w:r w:rsidR="006707A0">
        <w:rPr>
          <w:rFonts w:asciiTheme="minorHAnsi" w:hAnsiTheme="minorHAnsi" w:cstheme="minorHAnsi"/>
        </w:rPr>
        <w:t>specyfikacji</w:t>
      </w:r>
      <w:r w:rsidRPr="00A23FB4">
        <w:rPr>
          <w:rFonts w:asciiTheme="minorHAnsi" w:hAnsiTheme="minorHAnsi" w:cstheme="minorHAnsi"/>
        </w:rPr>
        <w:t xml:space="preserve">  są wymagania dotyczące wykonan</w:t>
      </w:r>
      <w:r w:rsidR="00424692" w:rsidRPr="00A23FB4">
        <w:rPr>
          <w:rFonts w:asciiTheme="minorHAnsi" w:hAnsiTheme="minorHAnsi" w:cstheme="minorHAnsi"/>
        </w:rPr>
        <w:t>ia i odbioru robót związanych z </w:t>
      </w:r>
      <w:r w:rsidRPr="00A23FB4">
        <w:rPr>
          <w:rFonts w:asciiTheme="minorHAnsi" w:hAnsiTheme="minorHAnsi" w:cstheme="minorHAnsi"/>
        </w:rPr>
        <w:t>budową i przebudową kanalizacji deszczowej.</w:t>
      </w:r>
    </w:p>
    <w:p w14:paraId="5157B145" w14:textId="77777777" w:rsidR="006947FD" w:rsidRPr="00A23FB4" w:rsidRDefault="006947FD" w:rsidP="006947FD">
      <w:pPr>
        <w:rPr>
          <w:rFonts w:asciiTheme="minorHAnsi" w:hAnsiTheme="minorHAnsi" w:cstheme="minorHAnsi"/>
        </w:rPr>
      </w:pPr>
    </w:p>
    <w:p w14:paraId="2C3890A4" w14:textId="082D3028" w:rsidR="006947FD" w:rsidRPr="00A23FB4" w:rsidRDefault="006947FD" w:rsidP="005C45EE">
      <w:pPr>
        <w:rPr>
          <w:rFonts w:asciiTheme="minorHAnsi" w:hAnsiTheme="minorHAnsi" w:cstheme="minorHAnsi"/>
          <w:b/>
        </w:rPr>
      </w:pPr>
      <w:bookmarkStart w:id="390" w:name="_Toc358023954"/>
      <w:bookmarkStart w:id="391" w:name="_Toc358024369"/>
      <w:bookmarkStart w:id="392" w:name="_Toc358024784"/>
      <w:r w:rsidRPr="00A23FB4">
        <w:rPr>
          <w:rFonts w:asciiTheme="minorHAnsi" w:hAnsiTheme="minorHAnsi" w:cstheme="minorHAnsi"/>
          <w:b/>
        </w:rPr>
        <w:t xml:space="preserve">1.2. Zakres stosowania </w:t>
      </w:r>
      <w:bookmarkEnd w:id="390"/>
      <w:bookmarkEnd w:id="391"/>
      <w:bookmarkEnd w:id="392"/>
      <w:r w:rsidR="001E5FB3">
        <w:rPr>
          <w:rFonts w:asciiTheme="minorHAnsi" w:hAnsiTheme="minorHAnsi" w:cstheme="minorHAnsi"/>
          <w:b/>
        </w:rPr>
        <w:t>ST</w:t>
      </w:r>
      <w:r w:rsidR="00413511" w:rsidRPr="00A23FB4">
        <w:rPr>
          <w:rFonts w:asciiTheme="minorHAnsi" w:hAnsiTheme="minorHAnsi" w:cstheme="minorHAnsi"/>
          <w:b/>
        </w:rPr>
        <w:t>WiOBR</w:t>
      </w:r>
    </w:p>
    <w:p w14:paraId="11119EA0" w14:textId="1420E204" w:rsidR="006947FD" w:rsidRPr="00506838" w:rsidRDefault="00575C66" w:rsidP="00506838">
      <w:pPr>
        <w:overflowPunct/>
        <w:spacing w:before="240" w:line="276" w:lineRule="auto"/>
        <w:textAlignment w:val="auto"/>
        <w:rPr>
          <w:rFonts w:ascii="Calibri" w:hAnsi="Calibri" w:cs="Calibri"/>
        </w:rPr>
      </w:pPr>
      <w:r>
        <w:rPr>
          <w:rFonts w:ascii="Calibri" w:hAnsi="Calibri" w:cs="Calibri"/>
        </w:rPr>
        <w:t>Specyfikacj</w:t>
      </w:r>
      <w:r w:rsidR="00DE28CE">
        <w:rPr>
          <w:rFonts w:ascii="Calibri" w:hAnsi="Calibri" w:cs="Calibri"/>
        </w:rPr>
        <w:t>a</w:t>
      </w:r>
      <w:r w:rsidRPr="00A23FB4">
        <w:rPr>
          <w:rFonts w:asciiTheme="minorHAnsi" w:hAnsiTheme="minorHAnsi" w:cstheme="minorHAnsi"/>
        </w:rPr>
        <w:t xml:space="preserve"> </w:t>
      </w:r>
      <w:r w:rsidR="006947FD" w:rsidRPr="00A23FB4">
        <w:rPr>
          <w:rFonts w:asciiTheme="minorHAnsi" w:hAnsiTheme="minorHAnsi" w:cstheme="minorHAnsi"/>
        </w:rPr>
        <w:t>stanowi dokument kontraktowy przy realizacji  zadania</w:t>
      </w:r>
      <w:r w:rsidR="007F4946" w:rsidRPr="00A23FB4">
        <w:rPr>
          <w:rFonts w:asciiTheme="minorHAnsi" w:hAnsiTheme="minorHAnsi" w:cstheme="minorHAnsi"/>
          <w:bCs/>
        </w:rPr>
        <w:t xml:space="preserve"> </w:t>
      </w:r>
      <w:r w:rsidR="00506838">
        <w:rPr>
          <w:rFonts w:ascii="Calibri" w:hAnsi="Calibri" w:cs="Calibri"/>
        </w:rPr>
        <w:t>„</w:t>
      </w:r>
      <w:r w:rsidR="001E5FB3" w:rsidRPr="001E5FB3">
        <w:rPr>
          <w:rFonts w:ascii="Calibri" w:hAnsi="Calibri" w:cs="Calibri"/>
        </w:rPr>
        <w:t>Rozbudowa ul. Wrocławskiej w ciągu drogi powiatowej w Tyńcu Małym wraz z rozbudową istniejącego skrzyżowania typu rondo na połączeniu dróg krajowych nr 35 i 35a oraz łącznika węzła Kobierzyce drogi S8e oraz infrastrukturą towarzyszącą w ramach zadania „Rozbudowa skrzyżowania typu rondo w ciągu DK35 koło m. Tyniec Mały usprawniająca skomunikowanie obszarów Podstrefy Wrocław – Kobierzyce TSSE EURO PARK WISŁOSAN”.</w:t>
      </w:r>
    </w:p>
    <w:p w14:paraId="6BFF18B2" w14:textId="77777777" w:rsidR="006947FD" w:rsidRPr="00A23FB4" w:rsidRDefault="006947FD" w:rsidP="005C45EE">
      <w:pPr>
        <w:rPr>
          <w:rFonts w:asciiTheme="minorHAnsi" w:hAnsiTheme="minorHAnsi" w:cstheme="minorHAnsi"/>
          <w:b/>
        </w:rPr>
      </w:pPr>
    </w:p>
    <w:p w14:paraId="346343D3" w14:textId="75BD0F4B" w:rsidR="006947FD" w:rsidRPr="00A23FB4" w:rsidRDefault="006947FD" w:rsidP="005C45EE">
      <w:pPr>
        <w:rPr>
          <w:rFonts w:asciiTheme="minorHAnsi" w:hAnsiTheme="minorHAnsi" w:cstheme="minorHAnsi"/>
          <w:b/>
        </w:rPr>
      </w:pPr>
      <w:bookmarkStart w:id="393" w:name="_Toc358023955"/>
      <w:bookmarkStart w:id="394" w:name="_Toc358024370"/>
      <w:bookmarkStart w:id="395" w:name="_Toc358024785"/>
      <w:r w:rsidRPr="00A23FB4">
        <w:rPr>
          <w:rFonts w:asciiTheme="minorHAnsi" w:hAnsiTheme="minorHAnsi" w:cstheme="minorHAnsi"/>
          <w:b/>
        </w:rPr>
        <w:t xml:space="preserve">1.3. Zakres robót objętych </w:t>
      </w:r>
      <w:bookmarkEnd w:id="393"/>
      <w:bookmarkEnd w:id="394"/>
      <w:bookmarkEnd w:id="395"/>
      <w:r w:rsidR="001E5FB3">
        <w:rPr>
          <w:rFonts w:asciiTheme="minorHAnsi" w:hAnsiTheme="minorHAnsi" w:cstheme="minorHAnsi"/>
          <w:b/>
        </w:rPr>
        <w:t>ST</w:t>
      </w:r>
      <w:r w:rsidR="00413511" w:rsidRPr="00A23FB4">
        <w:rPr>
          <w:rFonts w:asciiTheme="minorHAnsi" w:hAnsiTheme="minorHAnsi" w:cstheme="minorHAnsi"/>
          <w:b/>
        </w:rPr>
        <w:t>WiOBR</w:t>
      </w:r>
    </w:p>
    <w:p w14:paraId="5F2DC380" w14:textId="1751239D" w:rsidR="006947FD" w:rsidRPr="00A23FB4" w:rsidRDefault="00413511" w:rsidP="006947FD">
      <w:pPr>
        <w:pStyle w:val="StylIwony"/>
        <w:spacing w:before="0" w:after="0"/>
        <w:rPr>
          <w:rFonts w:asciiTheme="minorHAnsi" w:hAnsiTheme="minorHAnsi" w:cstheme="minorHAnsi"/>
          <w:sz w:val="20"/>
          <w:szCs w:val="20"/>
        </w:rPr>
      </w:pPr>
      <w:r w:rsidRPr="00A23FB4">
        <w:rPr>
          <w:rFonts w:asciiTheme="minorHAnsi" w:hAnsiTheme="minorHAnsi" w:cstheme="minorHAnsi"/>
          <w:sz w:val="20"/>
          <w:szCs w:val="20"/>
        </w:rPr>
        <w:t xml:space="preserve">Ustalenia zawarte w niniejszych </w:t>
      </w:r>
      <w:r w:rsidR="006707A0">
        <w:rPr>
          <w:rFonts w:asciiTheme="minorHAnsi" w:hAnsiTheme="minorHAnsi" w:cstheme="minorHAnsi"/>
          <w:sz w:val="20"/>
          <w:szCs w:val="20"/>
        </w:rPr>
        <w:t>specyfikacjach</w:t>
      </w:r>
      <w:r w:rsidR="006947FD" w:rsidRPr="00A23FB4">
        <w:rPr>
          <w:rFonts w:asciiTheme="minorHAnsi" w:hAnsiTheme="minorHAnsi" w:cstheme="minorHAnsi"/>
          <w:sz w:val="20"/>
          <w:szCs w:val="20"/>
        </w:rPr>
        <w:t xml:space="preserve"> dotyczą zasad prowadzenia robót związanych z wykonaniem budowy, przebudowy i remontu kanalizacji deszczowej.</w:t>
      </w:r>
    </w:p>
    <w:p w14:paraId="79B1FB22" w14:textId="77777777" w:rsidR="006947FD" w:rsidRPr="00A23FB4" w:rsidRDefault="006947FD" w:rsidP="005C45EE">
      <w:pPr>
        <w:rPr>
          <w:rFonts w:asciiTheme="minorHAnsi" w:hAnsiTheme="minorHAnsi" w:cstheme="minorHAnsi"/>
          <w:b/>
        </w:rPr>
      </w:pPr>
    </w:p>
    <w:p w14:paraId="3BFC4E4C" w14:textId="77777777" w:rsidR="006947FD" w:rsidRPr="00A23FB4" w:rsidRDefault="006947FD" w:rsidP="005C45EE">
      <w:pPr>
        <w:rPr>
          <w:rFonts w:asciiTheme="minorHAnsi" w:hAnsiTheme="minorHAnsi" w:cstheme="minorHAnsi"/>
          <w:b/>
        </w:rPr>
      </w:pPr>
      <w:bookmarkStart w:id="396" w:name="_Toc358023956"/>
      <w:bookmarkStart w:id="397" w:name="_Toc358024371"/>
      <w:bookmarkStart w:id="398" w:name="_Toc358024786"/>
      <w:r w:rsidRPr="00A23FB4">
        <w:rPr>
          <w:rFonts w:asciiTheme="minorHAnsi" w:hAnsiTheme="minorHAnsi" w:cstheme="minorHAnsi"/>
          <w:b/>
        </w:rPr>
        <w:t>1.4. Określenia podstawowe</w:t>
      </w:r>
      <w:bookmarkEnd w:id="396"/>
      <w:bookmarkEnd w:id="397"/>
      <w:bookmarkEnd w:id="398"/>
    </w:p>
    <w:p w14:paraId="595498B1" w14:textId="77777777" w:rsidR="009051F5" w:rsidRPr="00A23FB4" w:rsidRDefault="009051F5" w:rsidP="006947FD">
      <w:pPr>
        <w:pStyle w:val="StylIwony"/>
        <w:spacing w:before="0" w:after="0"/>
        <w:rPr>
          <w:rFonts w:asciiTheme="minorHAnsi" w:hAnsiTheme="minorHAnsi" w:cstheme="minorHAnsi"/>
          <w:b/>
          <w:bCs/>
          <w:sz w:val="20"/>
          <w:szCs w:val="20"/>
        </w:rPr>
      </w:pPr>
    </w:p>
    <w:p w14:paraId="1D72AB66" w14:textId="77777777" w:rsidR="009051F5" w:rsidRPr="00A23FB4" w:rsidRDefault="006947FD" w:rsidP="006947FD">
      <w:pPr>
        <w:pStyle w:val="StylIwony"/>
        <w:spacing w:before="0" w:after="0"/>
        <w:rPr>
          <w:rFonts w:asciiTheme="minorHAnsi" w:hAnsiTheme="minorHAnsi" w:cstheme="minorHAnsi"/>
          <w:sz w:val="20"/>
          <w:szCs w:val="20"/>
        </w:rPr>
      </w:pPr>
      <w:r w:rsidRPr="00A23FB4">
        <w:rPr>
          <w:rFonts w:asciiTheme="minorHAnsi" w:hAnsiTheme="minorHAnsi" w:cstheme="minorHAnsi"/>
          <w:b/>
          <w:bCs/>
          <w:sz w:val="20"/>
          <w:szCs w:val="20"/>
        </w:rPr>
        <w:t>1.4.1.</w:t>
      </w:r>
      <w:r w:rsidRPr="00A23FB4">
        <w:rPr>
          <w:rFonts w:asciiTheme="minorHAnsi" w:hAnsiTheme="minorHAnsi" w:cstheme="minorHAnsi"/>
          <w:sz w:val="20"/>
          <w:szCs w:val="20"/>
        </w:rPr>
        <w:t xml:space="preserve"> Kanalizacja deszczowa - sieć kanalizacyjna zewnętrzna przeznaczona do odprowadzania ścieków opadowych.</w:t>
      </w:r>
    </w:p>
    <w:p w14:paraId="53262D83" w14:textId="77777777" w:rsidR="006947FD" w:rsidRPr="00A23FB4" w:rsidRDefault="006947FD" w:rsidP="006947FD">
      <w:pPr>
        <w:pStyle w:val="StylIwony"/>
        <w:spacing w:before="0" w:after="0"/>
        <w:rPr>
          <w:rFonts w:asciiTheme="minorHAnsi" w:hAnsiTheme="minorHAnsi" w:cstheme="minorHAnsi"/>
          <w:sz w:val="20"/>
          <w:szCs w:val="20"/>
        </w:rPr>
      </w:pPr>
      <w:r w:rsidRPr="00A23FB4">
        <w:rPr>
          <w:rFonts w:asciiTheme="minorHAnsi" w:hAnsiTheme="minorHAnsi" w:cstheme="minorHAnsi"/>
          <w:b/>
          <w:bCs/>
          <w:sz w:val="20"/>
          <w:szCs w:val="20"/>
        </w:rPr>
        <w:t>1.4.2.</w:t>
      </w:r>
      <w:r w:rsidRPr="00A23FB4">
        <w:rPr>
          <w:rFonts w:asciiTheme="minorHAnsi" w:hAnsiTheme="minorHAnsi" w:cstheme="minorHAnsi"/>
          <w:sz w:val="20"/>
          <w:szCs w:val="20"/>
        </w:rPr>
        <w:t xml:space="preserve"> Kanały</w:t>
      </w:r>
    </w:p>
    <w:p w14:paraId="7AACE309" w14:textId="77777777" w:rsidR="006947FD" w:rsidRPr="00A23FB4" w:rsidRDefault="006947FD" w:rsidP="006947FD">
      <w:pPr>
        <w:pStyle w:val="StylIwony"/>
        <w:spacing w:before="0" w:after="0"/>
        <w:rPr>
          <w:rFonts w:asciiTheme="minorHAnsi" w:hAnsiTheme="minorHAnsi" w:cstheme="minorHAnsi"/>
          <w:sz w:val="20"/>
          <w:szCs w:val="20"/>
        </w:rPr>
      </w:pPr>
      <w:r w:rsidRPr="00A23FB4">
        <w:rPr>
          <w:rFonts w:asciiTheme="minorHAnsi" w:hAnsiTheme="minorHAnsi" w:cstheme="minorHAnsi"/>
          <w:b/>
          <w:sz w:val="20"/>
          <w:szCs w:val="20"/>
        </w:rPr>
        <w:t>1.4.2.1.</w:t>
      </w:r>
      <w:r w:rsidRPr="00A23FB4">
        <w:rPr>
          <w:rFonts w:asciiTheme="minorHAnsi" w:hAnsiTheme="minorHAnsi" w:cstheme="minorHAnsi"/>
          <w:sz w:val="20"/>
          <w:szCs w:val="20"/>
        </w:rPr>
        <w:t xml:space="preserve"> Kanał - liniowa budowla przeznaczona do grawitacyjnego odprowadzania ścieków.</w:t>
      </w:r>
    </w:p>
    <w:p w14:paraId="558ED86A" w14:textId="77777777" w:rsidR="006947FD" w:rsidRPr="00A23FB4" w:rsidRDefault="006947FD" w:rsidP="006947FD">
      <w:pPr>
        <w:pStyle w:val="StylIwony"/>
        <w:spacing w:before="0" w:after="0"/>
        <w:rPr>
          <w:rFonts w:asciiTheme="minorHAnsi" w:hAnsiTheme="minorHAnsi" w:cstheme="minorHAnsi"/>
          <w:sz w:val="20"/>
          <w:szCs w:val="20"/>
        </w:rPr>
      </w:pPr>
      <w:r w:rsidRPr="00A23FB4">
        <w:rPr>
          <w:rFonts w:asciiTheme="minorHAnsi" w:hAnsiTheme="minorHAnsi" w:cstheme="minorHAnsi"/>
          <w:b/>
          <w:sz w:val="20"/>
          <w:szCs w:val="20"/>
        </w:rPr>
        <w:t>1.4.2.2.</w:t>
      </w:r>
      <w:r w:rsidRPr="00A23FB4">
        <w:rPr>
          <w:rFonts w:asciiTheme="minorHAnsi" w:hAnsiTheme="minorHAnsi" w:cstheme="minorHAnsi"/>
          <w:sz w:val="20"/>
          <w:szCs w:val="20"/>
        </w:rPr>
        <w:t xml:space="preserve"> Kanał deszczowy - kanał przeznaczony do odprowadzania ścieków opadowych.</w:t>
      </w:r>
    </w:p>
    <w:p w14:paraId="641135FE" w14:textId="77777777" w:rsidR="006947FD" w:rsidRPr="00A23FB4" w:rsidRDefault="006947FD" w:rsidP="006947FD">
      <w:pPr>
        <w:pStyle w:val="StylIwony"/>
        <w:spacing w:before="0" w:after="0"/>
        <w:rPr>
          <w:rFonts w:asciiTheme="minorHAnsi" w:hAnsiTheme="minorHAnsi" w:cstheme="minorHAnsi"/>
          <w:sz w:val="20"/>
          <w:szCs w:val="20"/>
        </w:rPr>
      </w:pPr>
      <w:r w:rsidRPr="00A23FB4">
        <w:rPr>
          <w:rFonts w:asciiTheme="minorHAnsi" w:hAnsiTheme="minorHAnsi" w:cstheme="minorHAnsi"/>
          <w:b/>
          <w:sz w:val="20"/>
          <w:szCs w:val="20"/>
        </w:rPr>
        <w:t>1.4.2.3</w:t>
      </w:r>
      <w:r w:rsidRPr="00A23FB4">
        <w:rPr>
          <w:rFonts w:asciiTheme="minorHAnsi" w:hAnsiTheme="minorHAnsi" w:cstheme="minorHAnsi"/>
          <w:sz w:val="20"/>
          <w:szCs w:val="20"/>
        </w:rPr>
        <w:t>. Przykanalik - kanał przeznaczony do połączenia wpustu deszczowego z siecią kanalizacji deszczowej.</w:t>
      </w:r>
    </w:p>
    <w:p w14:paraId="0351492A" w14:textId="77777777" w:rsidR="006947FD" w:rsidRPr="00A23FB4" w:rsidRDefault="006947FD" w:rsidP="006947FD">
      <w:pPr>
        <w:pStyle w:val="StylIwony"/>
        <w:spacing w:before="0" w:after="0"/>
        <w:rPr>
          <w:rFonts w:asciiTheme="minorHAnsi" w:hAnsiTheme="minorHAnsi" w:cstheme="minorHAnsi"/>
          <w:sz w:val="20"/>
          <w:szCs w:val="20"/>
        </w:rPr>
      </w:pPr>
      <w:r w:rsidRPr="00A23FB4">
        <w:rPr>
          <w:rFonts w:asciiTheme="minorHAnsi" w:hAnsiTheme="minorHAnsi" w:cstheme="minorHAnsi"/>
          <w:b/>
          <w:sz w:val="20"/>
          <w:szCs w:val="20"/>
        </w:rPr>
        <w:t>1.4.2.4.</w:t>
      </w:r>
      <w:r w:rsidRPr="00A23FB4">
        <w:rPr>
          <w:rFonts w:asciiTheme="minorHAnsi" w:hAnsiTheme="minorHAnsi" w:cstheme="minorHAnsi"/>
          <w:sz w:val="20"/>
          <w:szCs w:val="20"/>
        </w:rPr>
        <w:t xml:space="preserve"> Kanał zbiorczy - kanał przeznaczony do zbierania ścieków z co najmniej dwóch kanałów bocznych.</w:t>
      </w:r>
    </w:p>
    <w:p w14:paraId="60707558" w14:textId="77777777" w:rsidR="006947FD" w:rsidRPr="00A23FB4" w:rsidRDefault="006947FD" w:rsidP="006947FD">
      <w:pPr>
        <w:pStyle w:val="StylIwony"/>
        <w:spacing w:before="0" w:after="0"/>
        <w:rPr>
          <w:rFonts w:asciiTheme="minorHAnsi" w:hAnsiTheme="minorHAnsi" w:cstheme="minorHAnsi"/>
          <w:sz w:val="20"/>
          <w:szCs w:val="20"/>
        </w:rPr>
      </w:pPr>
      <w:r w:rsidRPr="00A23FB4">
        <w:rPr>
          <w:rFonts w:asciiTheme="minorHAnsi" w:hAnsiTheme="minorHAnsi" w:cstheme="minorHAnsi"/>
          <w:b/>
          <w:sz w:val="20"/>
          <w:szCs w:val="20"/>
        </w:rPr>
        <w:t>1.4.2.5</w:t>
      </w:r>
      <w:r w:rsidRPr="00A23FB4">
        <w:rPr>
          <w:rFonts w:asciiTheme="minorHAnsi" w:hAnsiTheme="minorHAnsi" w:cstheme="minorHAnsi"/>
          <w:sz w:val="20"/>
          <w:szCs w:val="20"/>
        </w:rPr>
        <w:t>. Kolektor główny - kanał przeznaczony do zbierania ścieków z kanałów oraz kanałów zbiorczych i odprowadzenia ich do odbiornika.</w:t>
      </w:r>
    </w:p>
    <w:p w14:paraId="5552ADCD" w14:textId="77777777" w:rsidR="009051F5" w:rsidRPr="00A23FB4" w:rsidRDefault="009051F5" w:rsidP="006947FD">
      <w:pPr>
        <w:pStyle w:val="StylIwony"/>
        <w:spacing w:before="0" w:after="0"/>
        <w:rPr>
          <w:rFonts w:asciiTheme="minorHAnsi" w:hAnsiTheme="minorHAnsi" w:cstheme="minorHAnsi"/>
          <w:b/>
          <w:bCs/>
          <w:sz w:val="20"/>
          <w:szCs w:val="20"/>
        </w:rPr>
      </w:pPr>
    </w:p>
    <w:p w14:paraId="5FE2737A" w14:textId="77777777" w:rsidR="006947FD" w:rsidRPr="00A23FB4" w:rsidRDefault="006947FD" w:rsidP="006947FD">
      <w:pPr>
        <w:pStyle w:val="StylIwony"/>
        <w:spacing w:before="0" w:after="0"/>
        <w:rPr>
          <w:rFonts w:asciiTheme="minorHAnsi" w:hAnsiTheme="minorHAnsi" w:cstheme="minorHAnsi"/>
          <w:sz w:val="20"/>
          <w:szCs w:val="20"/>
        </w:rPr>
      </w:pPr>
      <w:r w:rsidRPr="00A23FB4">
        <w:rPr>
          <w:rFonts w:asciiTheme="minorHAnsi" w:hAnsiTheme="minorHAnsi" w:cstheme="minorHAnsi"/>
          <w:b/>
          <w:bCs/>
          <w:sz w:val="20"/>
          <w:szCs w:val="20"/>
        </w:rPr>
        <w:t>1.4.3.</w:t>
      </w:r>
      <w:r w:rsidRPr="00A23FB4">
        <w:rPr>
          <w:rFonts w:asciiTheme="minorHAnsi" w:hAnsiTheme="minorHAnsi" w:cstheme="minorHAnsi"/>
          <w:sz w:val="20"/>
          <w:szCs w:val="20"/>
        </w:rPr>
        <w:t xml:space="preserve"> Urządzenia (elementy) uzbrojenia sieci</w:t>
      </w:r>
    </w:p>
    <w:p w14:paraId="0D74FFA4" w14:textId="77777777" w:rsidR="006947FD" w:rsidRPr="00A23FB4" w:rsidRDefault="006947FD" w:rsidP="006947FD">
      <w:pPr>
        <w:pStyle w:val="StylIwony"/>
        <w:spacing w:before="0" w:after="0"/>
        <w:rPr>
          <w:rFonts w:asciiTheme="minorHAnsi" w:hAnsiTheme="minorHAnsi" w:cstheme="minorHAnsi"/>
          <w:sz w:val="20"/>
          <w:szCs w:val="20"/>
        </w:rPr>
      </w:pPr>
      <w:r w:rsidRPr="00A23FB4">
        <w:rPr>
          <w:rFonts w:asciiTheme="minorHAnsi" w:hAnsiTheme="minorHAnsi" w:cstheme="minorHAnsi"/>
          <w:b/>
          <w:sz w:val="20"/>
          <w:szCs w:val="20"/>
        </w:rPr>
        <w:t>1.4.3.1.</w:t>
      </w:r>
      <w:r w:rsidRPr="00A23FB4">
        <w:rPr>
          <w:rFonts w:asciiTheme="minorHAnsi" w:hAnsiTheme="minorHAnsi" w:cstheme="minorHAnsi"/>
          <w:sz w:val="20"/>
          <w:szCs w:val="20"/>
        </w:rPr>
        <w:t xml:space="preserve"> Studzienka kanalizacyjna - studzienka rewizyjna - na kanale nieprzełazowym przeznaczona do kontroli i prawidłowej eksploatacji kanałów.</w:t>
      </w:r>
    </w:p>
    <w:p w14:paraId="5C7FF4C4" w14:textId="77777777" w:rsidR="006947FD" w:rsidRPr="00A23FB4" w:rsidRDefault="006947FD" w:rsidP="006947FD">
      <w:pPr>
        <w:pStyle w:val="StylIwony"/>
        <w:spacing w:before="0" w:after="0"/>
        <w:rPr>
          <w:rFonts w:asciiTheme="minorHAnsi" w:hAnsiTheme="minorHAnsi" w:cstheme="minorHAnsi"/>
          <w:sz w:val="20"/>
          <w:szCs w:val="20"/>
        </w:rPr>
      </w:pPr>
      <w:r w:rsidRPr="00A23FB4">
        <w:rPr>
          <w:rFonts w:asciiTheme="minorHAnsi" w:hAnsiTheme="minorHAnsi" w:cstheme="minorHAnsi"/>
          <w:b/>
          <w:sz w:val="20"/>
          <w:szCs w:val="20"/>
        </w:rPr>
        <w:t>1.4.3.2</w:t>
      </w:r>
      <w:r w:rsidRPr="00A23FB4">
        <w:rPr>
          <w:rFonts w:asciiTheme="minorHAnsi" w:hAnsiTheme="minorHAnsi" w:cstheme="minorHAnsi"/>
          <w:sz w:val="20"/>
          <w:szCs w:val="20"/>
        </w:rPr>
        <w:t>. Studzienka przelotowa - studzienka kanalizacyjna zlokalizowana na załamaniach osi kanału w planie, na załamaniach spadku kanału oraz na odcinkach prostych.</w:t>
      </w:r>
    </w:p>
    <w:p w14:paraId="33DDFA44" w14:textId="77777777" w:rsidR="006947FD" w:rsidRPr="00A23FB4" w:rsidRDefault="006947FD" w:rsidP="006947FD">
      <w:pPr>
        <w:pStyle w:val="StylIwony"/>
        <w:spacing w:before="0" w:after="0"/>
        <w:rPr>
          <w:rFonts w:asciiTheme="minorHAnsi" w:hAnsiTheme="minorHAnsi" w:cstheme="minorHAnsi"/>
          <w:sz w:val="20"/>
          <w:szCs w:val="20"/>
        </w:rPr>
      </w:pPr>
      <w:r w:rsidRPr="00A23FB4">
        <w:rPr>
          <w:rFonts w:asciiTheme="minorHAnsi" w:hAnsiTheme="minorHAnsi" w:cstheme="minorHAnsi"/>
          <w:b/>
          <w:sz w:val="20"/>
          <w:szCs w:val="20"/>
        </w:rPr>
        <w:t>1.4.3.3.</w:t>
      </w:r>
      <w:r w:rsidRPr="00A23FB4">
        <w:rPr>
          <w:rFonts w:asciiTheme="minorHAnsi" w:hAnsiTheme="minorHAnsi" w:cstheme="minorHAnsi"/>
          <w:sz w:val="20"/>
          <w:szCs w:val="20"/>
        </w:rPr>
        <w:t xml:space="preserve"> Studzienka połączeniowa - studzienka kanalizacyjna przeznaczona do łączenia co najmniej dwóch kanałów dopływowych w jeden kanał odpływowy.</w:t>
      </w:r>
    </w:p>
    <w:p w14:paraId="65D6CE3B" w14:textId="77777777" w:rsidR="006947FD" w:rsidRPr="00A23FB4" w:rsidRDefault="006947FD" w:rsidP="006947FD">
      <w:pPr>
        <w:pStyle w:val="StylIwony"/>
        <w:spacing w:before="0" w:after="0"/>
        <w:rPr>
          <w:rFonts w:asciiTheme="minorHAnsi" w:hAnsiTheme="minorHAnsi" w:cstheme="minorHAnsi"/>
          <w:sz w:val="20"/>
          <w:szCs w:val="20"/>
        </w:rPr>
      </w:pPr>
      <w:r w:rsidRPr="00A23FB4">
        <w:rPr>
          <w:rFonts w:asciiTheme="minorHAnsi" w:hAnsiTheme="minorHAnsi" w:cstheme="minorHAnsi"/>
          <w:b/>
          <w:sz w:val="20"/>
          <w:szCs w:val="20"/>
        </w:rPr>
        <w:t>1.4.3.4.</w:t>
      </w:r>
      <w:r w:rsidRPr="00A23FB4">
        <w:rPr>
          <w:rFonts w:asciiTheme="minorHAnsi" w:hAnsiTheme="minorHAnsi" w:cstheme="minorHAnsi"/>
          <w:sz w:val="20"/>
          <w:szCs w:val="20"/>
        </w:rPr>
        <w:t xml:space="preserve"> Wylot ścieków - element na końcu kanału odprowadzającego ścieki do odbiornika.</w:t>
      </w:r>
    </w:p>
    <w:p w14:paraId="7CB28ADE" w14:textId="77777777" w:rsidR="006947FD" w:rsidRPr="00A23FB4" w:rsidRDefault="006947FD" w:rsidP="006947FD">
      <w:pPr>
        <w:pStyle w:val="StylIwony"/>
        <w:spacing w:before="0" w:after="0"/>
        <w:rPr>
          <w:rFonts w:asciiTheme="minorHAnsi" w:hAnsiTheme="minorHAnsi" w:cstheme="minorHAnsi"/>
          <w:sz w:val="20"/>
          <w:szCs w:val="20"/>
        </w:rPr>
      </w:pPr>
      <w:r w:rsidRPr="00A23FB4">
        <w:rPr>
          <w:rFonts w:asciiTheme="minorHAnsi" w:hAnsiTheme="minorHAnsi" w:cstheme="minorHAnsi"/>
          <w:b/>
          <w:sz w:val="20"/>
          <w:szCs w:val="20"/>
        </w:rPr>
        <w:t>1.4.3.5</w:t>
      </w:r>
      <w:r w:rsidRPr="00A23FB4">
        <w:rPr>
          <w:rFonts w:asciiTheme="minorHAnsi" w:hAnsiTheme="minorHAnsi" w:cstheme="minorHAnsi"/>
          <w:sz w:val="20"/>
          <w:szCs w:val="20"/>
        </w:rPr>
        <w:t>. Wpust deszczowy - urządzenie do odbioru ścieków opadowych, spływających do kanału z utwardzonych powierzchni terenu.</w:t>
      </w:r>
    </w:p>
    <w:p w14:paraId="688653E4" w14:textId="77777777" w:rsidR="009051F5" w:rsidRPr="00A23FB4" w:rsidRDefault="009051F5" w:rsidP="006947FD">
      <w:pPr>
        <w:pStyle w:val="StylIwony"/>
        <w:spacing w:before="0" w:after="0"/>
        <w:rPr>
          <w:rFonts w:asciiTheme="minorHAnsi" w:hAnsiTheme="minorHAnsi" w:cstheme="minorHAnsi"/>
          <w:b/>
          <w:bCs/>
          <w:sz w:val="20"/>
          <w:szCs w:val="20"/>
        </w:rPr>
      </w:pPr>
    </w:p>
    <w:p w14:paraId="044D4BBE" w14:textId="77777777" w:rsidR="006947FD" w:rsidRPr="00A23FB4" w:rsidRDefault="006947FD" w:rsidP="006947FD">
      <w:pPr>
        <w:pStyle w:val="StylIwony"/>
        <w:spacing w:before="0" w:after="0"/>
        <w:rPr>
          <w:rFonts w:asciiTheme="minorHAnsi" w:hAnsiTheme="minorHAnsi" w:cstheme="minorHAnsi"/>
          <w:sz w:val="20"/>
          <w:szCs w:val="20"/>
        </w:rPr>
      </w:pPr>
      <w:r w:rsidRPr="00A23FB4">
        <w:rPr>
          <w:rFonts w:asciiTheme="minorHAnsi" w:hAnsiTheme="minorHAnsi" w:cstheme="minorHAnsi"/>
          <w:b/>
          <w:bCs/>
          <w:sz w:val="20"/>
          <w:szCs w:val="20"/>
        </w:rPr>
        <w:t>1.4.4.</w:t>
      </w:r>
      <w:r w:rsidRPr="00A23FB4">
        <w:rPr>
          <w:rFonts w:asciiTheme="minorHAnsi" w:hAnsiTheme="minorHAnsi" w:cstheme="minorHAnsi"/>
          <w:sz w:val="20"/>
          <w:szCs w:val="20"/>
        </w:rPr>
        <w:t xml:space="preserve"> Elementy studzienek i komór</w:t>
      </w:r>
    </w:p>
    <w:p w14:paraId="245F5972" w14:textId="77777777" w:rsidR="006947FD" w:rsidRPr="00A23FB4" w:rsidRDefault="006947FD" w:rsidP="006947FD">
      <w:pPr>
        <w:pStyle w:val="StylIwony"/>
        <w:spacing w:before="0" w:after="0"/>
        <w:rPr>
          <w:rFonts w:asciiTheme="minorHAnsi" w:hAnsiTheme="minorHAnsi" w:cstheme="minorHAnsi"/>
          <w:sz w:val="20"/>
          <w:szCs w:val="20"/>
        </w:rPr>
      </w:pPr>
      <w:r w:rsidRPr="00A23FB4">
        <w:rPr>
          <w:rFonts w:asciiTheme="minorHAnsi" w:hAnsiTheme="minorHAnsi" w:cstheme="minorHAnsi"/>
          <w:b/>
          <w:sz w:val="20"/>
          <w:szCs w:val="20"/>
        </w:rPr>
        <w:t>1.4.4.1.</w:t>
      </w:r>
      <w:r w:rsidRPr="00A23FB4">
        <w:rPr>
          <w:rFonts w:asciiTheme="minorHAnsi" w:hAnsiTheme="minorHAnsi" w:cstheme="minorHAnsi"/>
          <w:sz w:val="20"/>
          <w:szCs w:val="20"/>
        </w:rPr>
        <w:t xml:space="preserve"> Komora robocza - zasadnicza część studzienki lub komory przeznaczona do czynności eksploatacyjnych. Wysokość komory roboczej jest to odległość pomiędzy rzędną dolnej powierzchni płyty lub innego elementu przykrycia studzienki lub komory, a rzędną spocznika.</w:t>
      </w:r>
    </w:p>
    <w:p w14:paraId="78F71E56" w14:textId="77777777" w:rsidR="006947FD" w:rsidRPr="00A23FB4" w:rsidRDefault="006947FD" w:rsidP="006947FD">
      <w:pPr>
        <w:pStyle w:val="StylIwony"/>
        <w:spacing w:before="0" w:after="0"/>
        <w:rPr>
          <w:rFonts w:asciiTheme="minorHAnsi" w:hAnsiTheme="minorHAnsi" w:cstheme="minorHAnsi"/>
          <w:sz w:val="20"/>
          <w:szCs w:val="20"/>
        </w:rPr>
      </w:pPr>
      <w:r w:rsidRPr="00A23FB4">
        <w:rPr>
          <w:rFonts w:asciiTheme="minorHAnsi" w:hAnsiTheme="minorHAnsi" w:cstheme="minorHAnsi"/>
          <w:b/>
          <w:sz w:val="20"/>
          <w:szCs w:val="20"/>
        </w:rPr>
        <w:t>1.4.4.2.</w:t>
      </w:r>
      <w:r w:rsidRPr="00A23FB4">
        <w:rPr>
          <w:rFonts w:asciiTheme="minorHAnsi" w:hAnsiTheme="minorHAnsi" w:cstheme="minorHAnsi"/>
          <w:sz w:val="20"/>
          <w:szCs w:val="20"/>
        </w:rPr>
        <w:t xml:space="preserve"> Komin włazowy - szyb połączeniowy komory roboczej z powierzchnią ziemi, przeznaczony do zejścia obsługi do komory roboczej.</w:t>
      </w:r>
    </w:p>
    <w:p w14:paraId="3B53C4BA" w14:textId="77777777" w:rsidR="006947FD" w:rsidRPr="00A23FB4" w:rsidRDefault="006947FD" w:rsidP="006947FD">
      <w:pPr>
        <w:pStyle w:val="StylIwony"/>
        <w:spacing w:before="0" w:after="0"/>
        <w:rPr>
          <w:rFonts w:asciiTheme="minorHAnsi" w:hAnsiTheme="minorHAnsi" w:cstheme="minorHAnsi"/>
          <w:sz w:val="20"/>
          <w:szCs w:val="20"/>
        </w:rPr>
      </w:pPr>
      <w:r w:rsidRPr="00A23FB4">
        <w:rPr>
          <w:rFonts w:asciiTheme="minorHAnsi" w:hAnsiTheme="minorHAnsi" w:cstheme="minorHAnsi"/>
          <w:b/>
          <w:sz w:val="20"/>
          <w:szCs w:val="20"/>
        </w:rPr>
        <w:t>1.4.4.3.</w:t>
      </w:r>
      <w:r w:rsidRPr="00A23FB4">
        <w:rPr>
          <w:rFonts w:asciiTheme="minorHAnsi" w:hAnsiTheme="minorHAnsi" w:cstheme="minorHAnsi"/>
          <w:sz w:val="20"/>
          <w:szCs w:val="20"/>
        </w:rPr>
        <w:t xml:space="preserve"> Płyta przykrycia studzienki lub komory - płyta przykrywająca komorę roboczą.</w:t>
      </w:r>
    </w:p>
    <w:p w14:paraId="17AED43C" w14:textId="77777777" w:rsidR="006947FD" w:rsidRPr="00A23FB4" w:rsidRDefault="006947FD" w:rsidP="006947FD">
      <w:pPr>
        <w:pStyle w:val="StylIwony"/>
        <w:spacing w:before="0" w:after="0"/>
        <w:rPr>
          <w:rFonts w:asciiTheme="minorHAnsi" w:hAnsiTheme="minorHAnsi" w:cstheme="minorHAnsi"/>
          <w:sz w:val="20"/>
          <w:szCs w:val="20"/>
        </w:rPr>
      </w:pPr>
      <w:r w:rsidRPr="00A23FB4">
        <w:rPr>
          <w:rFonts w:asciiTheme="minorHAnsi" w:hAnsiTheme="minorHAnsi" w:cstheme="minorHAnsi"/>
          <w:b/>
          <w:sz w:val="20"/>
          <w:szCs w:val="20"/>
        </w:rPr>
        <w:t>1.4.4.4.</w:t>
      </w:r>
      <w:r w:rsidRPr="00A23FB4">
        <w:rPr>
          <w:rFonts w:asciiTheme="minorHAnsi" w:hAnsiTheme="minorHAnsi" w:cstheme="minorHAnsi"/>
          <w:sz w:val="20"/>
          <w:szCs w:val="20"/>
        </w:rPr>
        <w:t xml:space="preserve"> Właz kanałowy - element żeliwny przeznaczony do przykrycia podziemnych studzienek rewizyjnych lub komór kanalizacyjnych, umożliwiający dostęp do urządzeń kanalizacyjnych.</w:t>
      </w:r>
    </w:p>
    <w:p w14:paraId="2910D246" w14:textId="77777777" w:rsidR="006947FD" w:rsidRPr="00A23FB4" w:rsidRDefault="006947FD" w:rsidP="006947FD">
      <w:pPr>
        <w:pStyle w:val="StylIwony"/>
        <w:spacing w:before="0" w:after="0"/>
        <w:rPr>
          <w:rFonts w:asciiTheme="minorHAnsi" w:hAnsiTheme="minorHAnsi" w:cstheme="minorHAnsi"/>
          <w:sz w:val="20"/>
          <w:szCs w:val="20"/>
        </w:rPr>
      </w:pPr>
      <w:r w:rsidRPr="00A23FB4">
        <w:rPr>
          <w:rFonts w:asciiTheme="minorHAnsi" w:hAnsiTheme="minorHAnsi" w:cstheme="minorHAnsi"/>
          <w:b/>
          <w:sz w:val="20"/>
          <w:szCs w:val="20"/>
        </w:rPr>
        <w:t>1.4.4.5.</w:t>
      </w:r>
      <w:r w:rsidRPr="00A23FB4">
        <w:rPr>
          <w:rFonts w:asciiTheme="minorHAnsi" w:hAnsiTheme="minorHAnsi" w:cstheme="minorHAnsi"/>
          <w:sz w:val="20"/>
          <w:szCs w:val="20"/>
        </w:rPr>
        <w:t xml:space="preserve"> Kineta - wyprofilowany rowek w dnie studzienki, przeznaczony do przepływu w nim ścieków.</w:t>
      </w:r>
    </w:p>
    <w:p w14:paraId="055F7E0E" w14:textId="77777777" w:rsidR="006947FD" w:rsidRPr="00A23FB4" w:rsidRDefault="006947FD" w:rsidP="006947FD">
      <w:pPr>
        <w:pStyle w:val="StylIwony"/>
        <w:spacing w:before="0" w:after="0"/>
        <w:rPr>
          <w:rFonts w:asciiTheme="minorHAnsi" w:hAnsiTheme="minorHAnsi" w:cstheme="minorHAnsi"/>
          <w:sz w:val="20"/>
          <w:szCs w:val="20"/>
        </w:rPr>
      </w:pPr>
      <w:r w:rsidRPr="00A23FB4">
        <w:rPr>
          <w:rFonts w:asciiTheme="minorHAnsi" w:hAnsiTheme="minorHAnsi" w:cstheme="minorHAnsi"/>
          <w:b/>
          <w:sz w:val="20"/>
          <w:szCs w:val="20"/>
        </w:rPr>
        <w:t>1.4.4.6.</w:t>
      </w:r>
      <w:r w:rsidRPr="00A23FB4">
        <w:rPr>
          <w:rFonts w:asciiTheme="minorHAnsi" w:hAnsiTheme="minorHAnsi" w:cstheme="minorHAnsi"/>
          <w:sz w:val="20"/>
          <w:szCs w:val="20"/>
        </w:rPr>
        <w:t xml:space="preserve"> Spocznik - element dna studzienki lub komory kanalizacyjnej pomiędzy kinetą a ścianą komory roboczej.</w:t>
      </w:r>
    </w:p>
    <w:p w14:paraId="3B73A286" w14:textId="77777777" w:rsidR="006947FD" w:rsidRPr="00A23FB4" w:rsidRDefault="006947FD" w:rsidP="006947FD">
      <w:pPr>
        <w:overflowPunct/>
        <w:textAlignment w:val="auto"/>
        <w:rPr>
          <w:rFonts w:asciiTheme="minorHAnsi" w:hAnsiTheme="minorHAnsi" w:cstheme="minorHAnsi"/>
        </w:rPr>
      </w:pPr>
      <w:r w:rsidRPr="00A23FB4">
        <w:rPr>
          <w:rFonts w:asciiTheme="minorHAnsi" w:hAnsiTheme="minorHAnsi" w:cstheme="minorHAnsi"/>
          <w:b/>
        </w:rPr>
        <w:t>1.4.4.7.</w:t>
      </w:r>
      <w:r w:rsidRPr="00A23FB4">
        <w:rPr>
          <w:rFonts w:asciiTheme="minorHAnsi" w:hAnsiTheme="minorHAnsi" w:cstheme="minorHAnsi"/>
        </w:rPr>
        <w:t>Osadnik – element wpustu, krąg żelbetowy usytuowany poniżej wlotu przykanalika, zakończony kinetą, służący do zbierania zanieczyszczeń.</w:t>
      </w:r>
    </w:p>
    <w:p w14:paraId="5E2EB470" w14:textId="1D4293BC" w:rsidR="006947FD" w:rsidRPr="00A23FB4" w:rsidRDefault="006947FD" w:rsidP="006947FD">
      <w:pPr>
        <w:pStyle w:val="StylIwony"/>
        <w:spacing w:before="0" w:after="0"/>
        <w:rPr>
          <w:rFonts w:asciiTheme="minorHAnsi" w:hAnsiTheme="minorHAnsi" w:cstheme="minorHAnsi"/>
          <w:sz w:val="20"/>
          <w:szCs w:val="20"/>
        </w:rPr>
      </w:pPr>
      <w:r w:rsidRPr="00A23FB4">
        <w:rPr>
          <w:rFonts w:asciiTheme="minorHAnsi" w:hAnsiTheme="minorHAnsi" w:cstheme="minorHAnsi"/>
          <w:b/>
          <w:bCs/>
          <w:sz w:val="20"/>
          <w:szCs w:val="20"/>
        </w:rPr>
        <w:t>1.4.5.</w:t>
      </w:r>
      <w:r w:rsidRPr="00A23FB4">
        <w:rPr>
          <w:rFonts w:asciiTheme="minorHAnsi" w:hAnsiTheme="minorHAnsi" w:cstheme="minorHAnsi"/>
          <w:sz w:val="20"/>
          <w:szCs w:val="20"/>
        </w:rPr>
        <w:t xml:space="preserve"> Pozostałe określenia podstawowe są zgodne z obowiązującymi, odpowiednimi polskimi normami i z definicjami podanymi w </w:t>
      </w:r>
      <w:r w:rsidR="001E5FB3">
        <w:rPr>
          <w:rFonts w:asciiTheme="minorHAnsi" w:hAnsiTheme="minorHAnsi" w:cstheme="minorHAnsi"/>
          <w:sz w:val="20"/>
          <w:szCs w:val="20"/>
        </w:rPr>
        <w:t>ST</w:t>
      </w:r>
      <w:r w:rsidR="00E348FF" w:rsidRPr="00A23FB4">
        <w:rPr>
          <w:rFonts w:asciiTheme="minorHAnsi" w:hAnsiTheme="minorHAnsi" w:cstheme="minorHAnsi"/>
          <w:sz w:val="20"/>
          <w:szCs w:val="20"/>
        </w:rPr>
        <w:t>WiORB</w:t>
      </w:r>
      <w:r w:rsidRPr="00A23FB4">
        <w:rPr>
          <w:rFonts w:asciiTheme="minorHAnsi" w:hAnsiTheme="minorHAnsi" w:cstheme="minorHAnsi"/>
          <w:sz w:val="20"/>
          <w:szCs w:val="20"/>
        </w:rPr>
        <w:t xml:space="preserve"> D-M-00.00.00 „Wymagania ogólne” pkt 1.4.</w:t>
      </w:r>
    </w:p>
    <w:p w14:paraId="40CD0AA6" w14:textId="77777777" w:rsidR="006947FD" w:rsidRPr="00A23FB4" w:rsidRDefault="006947FD" w:rsidP="006947FD">
      <w:pPr>
        <w:pStyle w:val="Nagwek3"/>
        <w:numPr>
          <w:ilvl w:val="2"/>
          <w:numId w:val="0"/>
        </w:numPr>
        <w:tabs>
          <w:tab w:val="num" w:pos="0"/>
        </w:tabs>
        <w:suppressAutoHyphens/>
        <w:autoSpaceDN/>
        <w:adjustRightInd/>
        <w:spacing w:before="0" w:after="0"/>
        <w:rPr>
          <w:rFonts w:asciiTheme="minorHAnsi" w:hAnsiTheme="minorHAnsi" w:cstheme="minorHAnsi"/>
        </w:rPr>
      </w:pPr>
    </w:p>
    <w:p w14:paraId="151E539B" w14:textId="77777777" w:rsidR="006947FD" w:rsidRPr="00A23FB4" w:rsidRDefault="006947FD" w:rsidP="005C45EE">
      <w:pPr>
        <w:rPr>
          <w:rFonts w:asciiTheme="minorHAnsi" w:hAnsiTheme="minorHAnsi" w:cstheme="minorHAnsi"/>
          <w:b/>
        </w:rPr>
      </w:pPr>
      <w:bookmarkStart w:id="399" w:name="_Toc358023957"/>
      <w:bookmarkStart w:id="400" w:name="_Toc358024372"/>
      <w:bookmarkStart w:id="401" w:name="_Toc358024787"/>
      <w:r w:rsidRPr="00A23FB4">
        <w:rPr>
          <w:rFonts w:asciiTheme="minorHAnsi" w:hAnsiTheme="minorHAnsi" w:cstheme="minorHAnsi"/>
          <w:b/>
        </w:rPr>
        <w:t>1.5. Ogólne wymagania dotyczące robót</w:t>
      </w:r>
      <w:bookmarkEnd w:id="399"/>
      <w:bookmarkEnd w:id="400"/>
      <w:bookmarkEnd w:id="401"/>
    </w:p>
    <w:p w14:paraId="477A17DB" w14:textId="7E4DA894" w:rsidR="006947FD" w:rsidRPr="00A23FB4" w:rsidRDefault="006947FD" w:rsidP="005C45EE">
      <w:pPr>
        <w:pStyle w:val="StylIwony"/>
        <w:spacing w:before="0" w:after="0"/>
        <w:rPr>
          <w:rFonts w:asciiTheme="minorHAnsi" w:hAnsiTheme="minorHAnsi" w:cstheme="minorHAnsi"/>
          <w:sz w:val="20"/>
          <w:szCs w:val="20"/>
        </w:rPr>
      </w:pPr>
      <w:r w:rsidRPr="00A23FB4">
        <w:rPr>
          <w:rFonts w:asciiTheme="minorHAnsi" w:hAnsiTheme="minorHAnsi" w:cstheme="minorHAnsi"/>
          <w:sz w:val="20"/>
          <w:szCs w:val="20"/>
        </w:rPr>
        <w:t xml:space="preserve">Ogólne wymagania dotyczące robót podano w </w:t>
      </w:r>
      <w:r w:rsidR="001E5FB3">
        <w:rPr>
          <w:rFonts w:asciiTheme="minorHAnsi" w:hAnsiTheme="minorHAnsi" w:cstheme="minorHAnsi"/>
          <w:sz w:val="20"/>
          <w:szCs w:val="20"/>
        </w:rPr>
        <w:t>ST</w:t>
      </w:r>
      <w:r w:rsidR="00E348FF" w:rsidRPr="00A23FB4">
        <w:rPr>
          <w:rFonts w:asciiTheme="minorHAnsi" w:hAnsiTheme="minorHAnsi" w:cstheme="minorHAnsi"/>
          <w:sz w:val="20"/>
          <w:szCs w:val="20"/>
        </w:rPr>
        <w:t>WiORB</w:t>
      </w:r>
      <w:r w:rsidRPr="00A23FB4">
        <w:rPr>
          <w:rFonts w:asciiTheme="minorHAnsi" w:hAnsiTheme="minorHAnsi" w:cstheme="minorHAnsi"/>
          <w:sz w:val="20"/>
          <w:szCs w:val="20"/>
        </w:rPr>
        <w:t>D-M-00.00.00 „Wymagania ogólne” pkt 1.5.</w:t>
      </w:r>
    </w:p>
    <w:p w14:paraId="31F20F64" w14:textId="77777777" w:rsidR="0022369F" w:rsidRPr="00A23FB4" w:rsidRDefault="0022369F" w:rsidP="005C45EE">
      <w:pPr>
        <w:pStyle w:val="StylIwony"/>
        <w:spacing w:before="0" w:after="0"/>
        <w:rPr>
          <w:rFonts w:asciiTheme="minorHAnsi" w:hAnsiTheme="minorHAnsi" w:cstheme="minorHAnsi"/>
          <w:sz w:val="20"/>
          <w:szCs w:val="20"/>
        </w:rPr>
      </w:pPr>
    </w:p>
    <w:p w14:paraId="2E453935" w14:textId="77777777" w:rsidR="006947FD" w:rsidRPr="00A23FB4" w:rsidRDefault="006947FD" w:rsidP="00B80411">
      <w:pPr>
        <w:rPr>
          <w:rFonts w:asciiTheme="minorHAnsi" w:hAnsiTheme="minorHAnsi" w:cstheme="minorHAnsi"/>
          <w:b/>
        </w:rPr>
      </w:pPr>
      <w:bookmarkStart w:id="402" w:name="_Toc358023958"/>
      <w:bookmarkStart w:id="403" w:name="_Toc358024373"/>
      <w:bookmarkStart w:id="404" w:name="_Toc358024788"/>
      <w:r w:rsidRPr="00A23FB4">
        <w:rPr>
          <w:rFonts w:asciiTheme="minorHAnsi" w:hAnsiTheme="minorHAnsi" w:cstheme="minorHAnsi"/>
          <w:b/>
        </w:rPr>
        <w:t>2. MATERIAŁY</w:t>
      </w:r>
      <w:bookmarkEnd w:id="402"/>
      <w:bookmarkEnd w:id="403"/>
      <w:bookmarkEnd w:id="404"/>
    </w:p>
    <w:p w14:paraId="30B083D7" w14:textId="77777777" w:rsidR="006947FD" w:rsidRPr="00A23FB4" w:rsidRDefault="006947FD" w:rsidP="006947FD">
      <w:pPr>
        <w:pStyle w:val="Nagwek3"/>
        <w:numPr>
          <w:ilvl w:val="2"/>
          <w:numId w:val="0"/>
        </w:numPr>
        <w:tabs>
          <w:tab w:val="num" w:pos="0"/>
        </w:tabs>
        <w:suppressAutoHyphens/>
        <w:autoSpaceDN/>
        <w:adjustRightInd/>
        <w:spacing w:before="0" w:after="0"/>
        <w:rPr>
          <w:rFonts w:asciiTheme="minorHAnsi" w:hAnsiTheme="minorHAnsi" w:cstheme="minorHAnsi"/>
        </w:rPr>
      </w:pPr>
    </w:p>
    <w:p w14:paraId="7EBEA3EC" w14:textId="77777777" w:rsidR="006947FD" w:rsidRPr="00A23FB4" w:rsidRDefault="006947FD" w:rsidP="005C45EE">
      <w:pPr>
        <w:rPr>
          <w:rFonts w:asciiTheme="minorHAnsi" w:hAnsiTheme="minorHAnsi" w:cstheme="minorHAnsi"/>
          <w:b/>
        </w:rPr>
      </w:pPr>
      <w:bookmarkStart w:id="405" w:name="_Toc358023959"/>
      <w:bookmarkStart w:id="406" w:name="_Toc358024374"/>
      <w:bookmarkStart w:id="407" w:name="_Toc358024789"/>
      <w:r w:rsidRPr="00A23FB4">
        <w:rPr>
          <w:rFonts w:asciiTheme="minorHAnsi" w:hAnsiTheme="minorHAnsi" w:cstheme="minorHAnsi"/>
          <w:b/>
        </w:rPr>
        <w:t>2.1. Ogólne wymagania dotyczące materiałów</w:t>
      </w:r>
      <w:bookmarkEnd w:id="405"/>
      <w:bookmarkEnd w:id="406"/>
      <w:bookmarkEnd w:id="407"/>
    </w:p>
    <w:p w14:paraId="72A3863F" w14:textId="748EC2FE" w:rsidR="006947FD" w:rsidRPr="00A23FB4" w:rsidRDefault="006947FD" w:rsidP="006947FD">
      <w:pPr>
        <w:pStyle w:val="StylIwony"/>
        <w:spacing w:before="0" w:after="0"/>
        <w:rPr>
          <w:rFonts w:asciiTheme="minorHAnsi" w:hAnsiTheme="minorHAnsi" w:cstheme="minorHAnsi"/>
          <w:sz w:val="20"/>
          <w:szCs w:val="20"/>
        </w:rPr>
      </w:pPr>
      <w:r w:rsidRPr="00A23FB4">
        <w:rPr>
          <w:rFonts w:asciiTheme="minorHAnsi" w:hAnsiTheme="minorHAnsi" w:cstheme="minorHAnsi"/>
          <w:sz w:val="20"/>
          <w:szCs w:val="20"/>
        </w:rPr>
        <w:t xml:space="preserve">Ogólne wymagania dotyczące materiałów, ich pozyskiwania  i składowania podano w </w:t>
      </w:r>
      <w:r w:rsidR="001E5FB3">
        <w:rPr>
          <w:rFonts w:asciiTheme="minorHAnsi" w:hAnsiTheme="minorHAnsi" w:cstheme="minorHAnsi"/>
          <w:sz w:val="20"/>
          <w:szCs w:val="20"/>
        </w:rPr>
        <w:t>ST</w:t>
      </w:r>
      <w:r w:rsidR="00E348FF" w:rsidRPr="00A23FB4">
        <w:rPr>
          <w:rFonts w:asciiTheme="minorHAnsi" w:hAnsiTheme="minorHAnsi" w:cstheme="minorHAnsi"/>
          <w:sz w:val="20"/>
          <w:szCs w:val="20"/>
        </w:rPr>
        <w:t>WiORB</w:t>
      </w:r>
      <w:r w:rsidRPr="00A23FB4">
        <w:rPr>
          <w:rFonts w:asciiTheme="minorHAnsi" w:hAnsiTheme="minorHAnsi" w:cstheme="minorHAnsi"/>
          <w:sz w:val="20"/>
          <w:szCs w:val="20"/>
        </w:rPr>
        <w:t xml:space="preserve"> D-M-00.00.00 „Wymagania ogólne” pkt 2.</w:t>
      </w:r>
    </w:p>
    <w:p w14:paraId="06622649" w14:textId="77777777" w:rsidR="006947FD" w:rsidRPr="00A23FB4" w:rsidRDefault="006947FD" w:rsidP="006947FD">
      <w:pPr>
        <w:pStyle w:val="Nagwek3"/>
        <w:numPr>
          <w:ilvl w:val="2"/>
          <w:numId w:val="0"/>
        </w:numPr>
        <w:tabs>
          <w:tab w:val="num" w:pos="0"/>
        </w:tabs>
        <w:suppressAutoHyphens/>
        <w:autoSpaceDN/>
        <w:adjustRightInd/>
        <w:spacing w:before="0" w:after="0"/>
        <w:rPr>
          <w:rFonts w:asciiTheme="minorHAnsi" w:hAnsiTheme="minorHAnsi" w:cstheme="minorHAnsi"/>
        </w:rPr>
      </w:pPr>
    </w:p>
    <w:p w14:paraId="7E637AAF" w14:textId="77777777" w:rsidR="006947FD" w:rsidRPr="00A23FB4" w:rsidRDefault="006947FD" w:rsidP="005C45EE">
      <w:pPr>
        <w:rPr>
          <w:rFonts w:asciiTheme="minorHAnsi" w:hAnsiTheme="minorHAnsi" w:cstheme="minorHAnsi"/>
          <w:b/>
        </w:rPr>
      </w:pPr>
      <w:bookmarkStart w:id="408" w:name="_Toc358023960"/>
      <w:bookmarkStart w:id="409" w:name="_Toc358024375"/>
      <w:bookmarkStart w:id="410" w:name="_Toc358024790"/>
      <w:r w:rsidRPr="00A23FB4">
        <w:rPr>
          <w:rFonts w:asciiTheme="minorHAnsi" w:hAnsiTheme="minorHAnsi" w:cstheme="minorHAnsi"/>
          <w:b/>
        </w:rPr>
        <w:t>2.2. Rury kanałowe</w:t>
      </w:r>
      <w:bookmarkEnd w:id="408"/>
      <w:bookmarkEnd w:id="409"/>
      <w:bookmarkEnd w:id="410"/>
    </w:p>
    <w:p w14:paraId="4966864E" w14:textId="77777777" w:rsidR="006947FD" w:rsidRPr="00A23FB4" w:rsidRDefault="006947FD" w:rsidP="006947FD">
      <w:pPr>
        <w:pStyle w:val="StylIwony"/>
        <w:spacing w:before="0" w:after="0"/>
        <w:rPr>
          <w:rFonts w:asciiTheme="minorHAnsi" w:hAnsiTheme="minorHAnsi" w:cstheme="minorHAnsi"/>
          <w:sz w:val="20"/>
          <w:szCs w:val="20"/>
        </w:rPr>
      </w:pPr>
      <w:r w:rsidRPr="00A23FB4">
        <w:rPr>
          <w:rFonts w:asciiTheme="minorHAnsi" w:hAnsiTheme="minorHAnsi" w:cstheme="minorHAnsi"/>
          <w:sz w:val="20"/>
          <w:szCs w:val="20"/>
        </w:rPr>
        <w:t>Rury kanalizacyjne powinny być zgodne z PN-EN-1401-1:2009. Rury powinny posiadać sztywność obwodową nie mniejszą niż SN</w:t>
      </w:r>
      <w:r w:rsidR="009152C4" w:rsidRPr="00A23FB4">
        <w:rPr>
          <w:rFonts w:asciiTheme="minorHAnsi" w:hAnsiTheme="minorHAnsi" w:cstheme="minorHAnsi"/>
          <w:sz w:val="20"/>
          <w:szCs w:val="20"/>
        </w:rPr>
        <w:t>10</w:t>
      </w:r>
      <w:r w:rsidRPr="00A23FB4">
        <w:rPr>
          <w:rFonts w:asciiTheme="minorHAnsi" w:hAnsiTheme="minorHAnsi" w:cstheme="minorHAnsi"/>
          <w:sz w:val="20"/>
          <w:szCs w:val="20"/>
        </w:rPr>
        <w:t>.</w:t>
      </w:r>
      <w:r w:rsidR="009152C4" w:rsidRPr="00A23FB4">
        <w:rPr>
          <w:rFonts w:asciiTheme="minorHAnsi" w:hAnsiTheme="minorHAnsi" w:cstheme="minorHAnsi"/>
          <w:sz w:val="20"/>
          <w:szCs w:val="20"/>
        </w:rPr>
        <w:t xml:space="preserve"> Rury należy wykonać z </w:t>
      </w:r>
      <w:r w:rsidR="00327501" w:rsidRPr="00A23FB4">
        <w:rPr>
          <w:rFonts w:asciiTheme="minorHAnsi" w:hAnsiTheme="minorHAnsi" w:cstheme="minorHAnsi"/>
          <w:sz w:val="20"/>
          <w:szCs w:val="20"/>
        </w:rPr>
        <w:t>tworzyw sztuczyn – polipropylenu (PP) lub polietylenu wysokiej gęstości (PEHD)</w:t>
      </w:r>
      <w:r w:rsidR="009152C4" w:rsidRPr="00A23FB4">
        <w:rPr>
          <w:rFonts w:asciiTheme="minorHAnsi" w:hAnsiTheme="minorHAnsi" w:cstheme="minorHAnsi"/>
          <w:sz w:val="20"/>
          <w:szCs w:val="20"/>
        </w:rPr>
        <w:t xml:space="preserve">. </w:t>
      </w:r>
    </w:p>
    <w:p w14:paraId="7D3B4C8D" w14:textId="77777777" w:rsidR="006947FD" w:rsidRPr="00A23FB4" w:rsidRDefault="006947FD" w:rsidP="006947FD">
      <w:pPr>
        <w:pStyle w:val="Nagwek3"/>
        <w:numPr>
          <w:ilvl w:val="2"/>
          <w:numId w:val="0"/>
        </w:numPr>
        <w:tabs>
          <w:tab w:val="num" w:pos="0"/>
        </w:tabs>
        <w:suppressAutoHyphens/>
        <w:autoSpaceDN/>
        <w:adjustRightInd/>
        <w:spacing w:before="0" w:after="0"/>
        <w:rPr>
          <w:rFonts w:asciiTheme="minorHAnsi" w:hAnsiTheme="minorHAnsi" w:cstheme="minorHAnsi"/>
        </w:rPr>
      </w:pPr>
    </w:p>
    <w:p w14:paraId="66F4C4D7" w14:textId="77777777" w:rsidR="006947FD" w:rsidRPr="00A23FB4" w:rsidRDefault="006947FD" w:rsidP="005C45EE">
      <w:pPr>
        <w:rPr>
          <w:rFonts w:asciiTheme="minorHAnsi" w:hAnsiTheme="minorHAnsi" w:cstheme="minorHAnsi"/>
          <w:b/>
        </w:rPr>
      </w:pPr>
      <w:bookmarkStart w:id="411" w:name="_Toc358023961"/>
      <w:bookmarkStart w:id="412" w:name="_Toc358024376"/>
      <w:bookmarkStart w:id="413" w:name="_Toc358024791"/>
      <w:r w:rsidRPr="00A23FB4">
        <w:rPr>
          <w:rFonts w:asciiTheme="minorHAnsi" w:hAnsiTheme="minorHAnsi" w:cstheme="minorHAnsi"/>
          <w:b/>
        </w:rPr>
        <w:t>2.3. Studzienki kanalizacyjne</w:t>
      </w:r>
      <w:bookmarkEnd w:id="411"/>
      <w:bookmarkEnd w:id="412"/>
      <w:bookmarkEnd w:id="413"/>
    </w:p>
    <w:p w14:paraId="5730639D" w14:textId="77777777" w:rsidR="006947FD" w:rsidRPr="00A23FB4" w:rsidRDefault="006947FD" w:rsidP="006947FD">
      <w:pPr>
        <w:pStyle w:val="StylIwony"/>
        <w:spacing w:before="0" w:after="0"/>
        <w:rPr>
          <w:rFonts w:asciiTheme="minorHAnsi" w:hAnsiTheme="minorHAnsi" w:cstheme="minorHAnsi"/>
          <w:sz w:val="20"/>
          <w:szCs w:val="20"/>
        </w:rPr>
      </w:pPr>
      <w:r w:rsidRPr="00A23FB4">
        <w:rPr>
          <w:rFonts w:asciiTheme="minorHAnsi" w:hAnsiTheme="minorHAnsi" w:cstheme="minorHAnsi"/>
          <w:sz w:val="20"/>
          <w:szCs w:val="20"/>
        </w:rPr>
        <w:t xml:space="preserve">Studzienki kanałowe projektuje się jako prefabrykowane betonowe lub żelbetonowe z betonu klasy nie mniejszej, niż C35/45 (B45), nasiąkliwości nie większej, niż 5%. Studnie powinny posiadać aprobatę techniczną wydaną przez uprawnioną jednostkę. </w:t>
      </w:r>
    </w:p>
    <w:p w14:paraId="766A735F" w14:textId="77777777" w:rsidR="00327501" w:rsidRPr="00A23FB4" w:rsidRDefault="00327501" w:rsidP="006947FD">
      <w:pPr>
        <w:pStyle w:val="StylIwony"/>
        <w:spacing w:before="0" w:after="0"/>
        <w:rPr>
          <w:rFonts w:asciiTheme="minorHAnsi" w:hAnsiTheme="minorHAnsi" w:cstheme="minorHAnsi"/>
          <w:sz w:val="20"/>
          <w:szCs w:val="20"/>
        </w:rPr>
      </w:pPr>
      <w:r w:rsidRPr="00A23FB4">
        <w:rPr>
          <w:rFonts w:asciiTheme="minorHAnsi" w:hAnsiTheme="minorHAnsi" w:cstheme="minorHAnsi"/>
          <w:sz w:val="20"/>
          <w:szCs w:val="20"/>
        </w:rPr>
        <w:t xml:space="preserve">Dopuszcza się studnie systemowe </w:t>
      </w:r>
      <w:r w:rsidR="005E7D27" w:rsidRPr="00A23FB4">
        <w:rPr>
          <w:rFonts w:asciiTheme="minorHAnsi" w:hAnsiTheme="minorHAnsi" w:cstheme="minorHAnsi"/>
          <w:sz w:val="20"/>
          <w:szCs w:val="20"/>
        </w:rPr>
        <w:t>z materiału jednorodnego z rurami (PE, PEHD)</w:t>
      </w:r>
    </w:p>
    <w:p w14:paraId="6CD8EE95" w14:textId="77777777" w:rsidR="006947FD" w:rsidRPr="00A23FB4" w:rsidRDefault="006947FD" w:rsidP="006947FD">
      <w:pPr>
        <w:pStyle w:val="StylIwony"/>
        <w:spacing w:before="0" w:after="0"/>
        <w:rPr>
          <w:rFonts w:asciiTheme="minorHAnsi" w:hAnsiTheme="minorHAnsi" w:cstheme="minorHAnsi"/>
          <w:sz w:val="20"/>
          <w:szCs w:val="20"/>
        </w:rPr>
      </w:pPr>
      <w:r w:rsidRPr="00A23FB4">
        <w:rPr>
          <w:rFonts w:asciiTheme="minorHAnsi" w:hAnsiTheme="minorHAnsi" w:cstheme="minorHAnsi"/>
          <w:sz w:val="20"/>
          <w:szCs w:val="20"/>
        </w:rPr>
        <w:t>Włazy kanałowe należy wykonywać jako:</w:t>
      </w:r>
    </w:p>
    <w:p w14:paraId="5945B9B2" w14:textId="77777777" w:rsidR="006947FD" w:rsidRPr="00A23FB4" w:rsidRDefault="006947FD" w:rsidP="006947FD">
      <w:pPr>
        <w:pStyle w:val="StylIwony"/>
        <w:numPr>
          <w:ilvl w:val="0"/>
          <w:numId w:val="1"/>
        </w:numPr>
        <w:spacing w:before="0" w:after="0"/>
        <w:rPr>
          <w:rFonts w:asciiTheme="minorHAnsi" w:hAnsiTheme="minorHAnsi" w:cstheme="minorHAnsi"/>
          <w:sz w:val="20"/>
          <w:szCs w:val="20"/>
        </w:rPr>
      </w:pPr>
      <w:r w:rsidRPr="00A23FB4">
        <w:rPr>
          <w:rFonts w:asciiTheme="minorHAnsi" w:hAnsiTheme="minorHAnsi" w:cstheme="minorHAnsi"/>
          <w:sz w:val="20"/>
          <w:szCs w:val="20"/>
        </w:rPr>
        <w:t>włazy żeliwne typu ciężkiego (D400) odpowiadające wymaganiom PN-H-74051-02 umieszczane w korpusie drogi,</w:t>
      </w:r>
    </w:p>
    <w:p w14:paraId="62F1CD56" w14:textId="77777777" w:rsidR="006947FD" w:rsidRPr="00A23FB4" w:rsidRDefault="006947FD" w:rsidP="006947FD">
      <w:pPr>
        <w:pStyle w:val="StylIwony"/>
        <w:spacing w:before="0" w:after="0"/>
        <w:rPr>
          <w:rFonts w:asciiTheme="minorHAnsi" w:hAnsiTheme="minorHAnsi" w:cstheme="minorHAnsi"/>
          <w:sz w:val="20"/>
          <w:szCs w:val="20"/>
        </w:rPr>
      </w:pPr>
      <w:r w:rsidRPr="00A23FB4">
        <w:rPr>
          <w:rFonts w:asciiTheme="minorHAnsi" w:hAnsiTheme="minorHAnsi" w:cstheme="minorHAnsi"/>
          <w:sz w:val="20"/>
          <w:szCs w:val="20"/>
        </w:rPr>
        <w:t>Zwieńczenia studzienek wykonać zgodnie z normą PN-EN124:2000.</w:t>
      </w:r>
    </w:p>
    <w:p w14:paraId="715F36C1" w14:textId="77777777" w:rsidR="006947FD" w:rsidRPr="00A23FB4" w:rsidRDefault="006947FD" w:rsidP="006947FD">
      <w:pPr>
        <w:pStyle w:val="StylIwony"/>
        <w:spacing w:before="0" w:after="0"/>
        <w:rPr>
          <w:rFonts w:asciiTheme="minorHAnsi" w:hAnsiTheme="minorHAnsi" w:cstheme="minorHAnsi"/>
          <w:sz w:val="20"/>
          <w:szCs w:val="20"/>
        </w:rPr>
      </w:pPr>
      <w:r w:rsidRPr="00A23FB4">
        <w:rPr>
          <w:rFonts w:asciiTheme="minorHAnsi" w:hAnsiTheme="minorHAnsi" w:cstheme="minorHAnsi"/>
          <w:sz w:val="20"/>
          <w:szCs w:val="20"/>
        </w:rPr>
        <w:t>Zastosować zwężki stosownie do wymaganej nośności.</w:t>
      </w:r>
    </w:p>
    <w:p w14:paraId="6CC47422" w14:textId="77777777" w:rsidR="006947FD" w:rsidRPr="00A23FB4" w:rsidRDefault="006947FD" w:rsidP="006947FD">
      <w:pPr>
        <w:pStyle w:val="StylIwony"/>
        <w:spacing w:before="0" w:after="0"/>
        <w:rPr>
          <w:rFonts w:asciiTheme="minorHAnsi" w:hAnsiTheme="minorHAnsi" w:cstheme="minorHAnsi"/>
          <w:sz w:val="20"/>
          <w:szCs w:val="20"/>
        </w:rPr>
      </w:pPr>
      <w:r w:rsidRPr="00A23FB4">
        <w:rPr>
          <w:rFonts w:asciiTheme="minorHAnsi" w:hAnsiTheme="minorHAnsi" w:cstheme="minorHAnsi"/>
          <w:sz w:val="20"/>
          <w:szCs w:val="20"/>
        </w:rPr>
        <w:t>Część spodnia studni (dennica) powinna być elementem monolitycznym z wibrowanego betonu o klasie nie niższej, niż B-45, zawierającym płytę denną, wypełnienie betonowe z wyprofilowaną stosownie do przepływu ścieków kinetą, elementy podłączeniowe umożliwiające szczelne i elastyczne podłączenie rur kanalizacyjnych do studni.</w:t>
      </w:r>
    </w:p>
    <w:p w14:paraId="47A83D74" w14:textId="77777777" w:rsidR="006947FD" w:rsidRPr="00A23FB4" w:rsidRDefault="006947FD" w:rsidP="006947FD">
      <w:pPr>
        <w:pStyle w:val="StylIwony"/>
        <w:spacing w:before="0" w:after="0"/>
        <w:rPr>
          <w:rFonts w:asciiTheme="minorHAnsi" w:hAnsiTheme="minorHAnsi" w:cstheme="minorHAnsi"/>
          <w:sz w:val="20"/>
          <w:szCs w:val="20"/>
        </w:rPr>
      </w:pPr>
      <w:r w:rsidRPr="00A23FB4">
        <w:rPr>
          <w:rFonts w:asciiTheme="minorHAnsi" w:hAnsiTheme="minorHAnsi" w:cstheme="minorHAnsi"/>
          <w:sz w:val="20"/>
          <w:szCs w:val="20"/>
        </w:rPr>
        <w:t>Studnie winny posiadać stopnie złazowe żeliwne odpowiadające wymaganiom PN-H-74086, powlekane warstwą z tworzywa sztucznego.</w:t>
      </w:r>
    </w:p>
    <w:p w14:paraId="1C4A63C9" w14:textId="77777777" w:rsidR="006947FD" w:rsidRPr="00A23FB4" w:rsidRDefault="006947FD" w:rsidP="006947FD">
      <w:pPr>
        <w:pStyle w:val="StylIwony"/>
        <w:spacing w:before="0" w:after="0"/>
        <w:rPr>
          <w:rFonts w:asciiTheme="minorHAnsi" w:hAnsiTheme="minorHAnsi" w:cstheme="minorHAnsi"/>
          <w:sz w:val="20"/>
          <w:szCs w:val="20"/>
        </w:rPr>
      </w:pPr>
      <w:r w:rsidRPr="00A23FB4">
        <w:rPr>
          <w:rFonts w:asciiTheme="minorHAnsi" w:hAnsiTheme="minorHAnsi" w:cstheme="minorHAnsi"/>
          <w:sz w:val="20"/>
          <w:szCs w:val="20"/>
        </w:rPr>
        <w:t>Studzienki montować zgodnie z wytycznymi wybranego producenta studni.</w:t>
      </w:r>
    </w:p>
    <w:p w14:paraId="6CE2C4EC" w14:textId="77777777" w:rsidR="006947FD" w:rsidRPr="00A23FB4" w:rsidRDefault="006947FD" w:rsidP="006947FD">
      <w:pPr>
        <w:pStyle w:val="StylIwony"/>
        <w:spacing w:before="0" w:after="0"/>
        <w:rPr>
          <w:rFonts w:asciiTheme="minorHAnsi" w:hAnsiTheme="minorHAnsi" w:cstheme="minorHAnsi"/>
          <w:sz w:val="20"/>
          <w:szCs w:val="20"/>
        </w:rPr>
      </w:pPr>
      <w:r w:rsidRPr="00A23FB4">
        <w:rPr>
          <w:rFonts w:asciiTheme="minorHAnsi" w:hAnsiTheme="minorHAnsi" w:cstheme="minorHAnsi"/>
          <w:sz w:val="20"/>
          <w:szCs w:val="20"/>
        </w:rPr>
        <w:t>Elementy studzienek powinny posiadać aprobatę techniczną.</w:t>
      </w:r>
    </w:p>
    <w:p w14:paraId="52A986B2" w14:textId="77777777" w:rsidR="006947FD" w:rsidRPr="00A23FB4" w:rsidRDefault="006947FD" w:rsidP="006947FD">
      <w:pPr>
        <w:rPr>
          <w:rFonts w:asciiTheme="minorHAnsi" w:hAnsiTheme="minorHAnsi" w:cstheme="minorHAnsi"/>
        </w:rPr>
      </w:pPr>
      <w:r w:rsidRPr="00A23FB4">
        <w:rPr>
          <w:rFonts w:asciiTheme="minorHAnsi" w:hAnsiTheme="minorHAnsi" w:cstheme="minorHAnsi"/>
        </w:rPr>
        <w:t>Studzienki te przykryć włazem kwadratowym z czterema ryglami zwieńczeniem wypu BEGU.</w:t>
      </w:r>
    </w:p>
    <w:p w14:paraId="4CA14955" w14:textId="77777777" w:rsidR="006947FD" w:rsidRPr="00A23FB4" w:rsidRDefault="006947FD" w:rsidP="006947FD">
      <w:pPr>
        <w:rPr>
          <w:rFonts w:asciiTheme="minorHAnsi" w:hAnsiTheme="minorHAnsi" w:cstheme="minorHAnsi"/>
        </w:rPr>
      </w:pPr>
      <w:r w:rsidRPr="00A23FB4">
        <w:rPr>
          <w:rFonts w:asciiTheme="minorHAnsi" w:hAnsiTheme="minorHAnsi" w:cstheme="minorHAnsi"/>
        </w:rPr>
        <w:t>Wymogi jakie muszą spełniać włazy kanałowe studzienek określa norma PN-EN 124:2000.</w:t>
      </w:r>
    </w:p>
    <w:p w14:paraId="62872695" w14:textId="77777777" w:rsidR="006947FD" w:rsidRPr="00A23FB4" w:rsidRDefault="006947FD" w:rsidP="006947FD">
      <w:pPr>
        <w:rPr>
          <w:rFonts w:asciiTheme="minorHAnsi" w:hAnsiTheme="minorHAnsi" w:cstheme="minorHAnsi"/>
        </w:rPr>
      </w:pPr>
      <w:r w:rsidRPr="00A23FB4">
        <w:rPr>
          <w:rFonts w:asciiTheme="minorHAnsi" w:hAnsiTheme="minorHAnsi" w:cstheme="minorHAnsi"/>
        </w:rPr>
        <w:t>Przejścia przez ściany studzienek powinny być szczelne, z zastosowaniem systemowej prefabrykowanej tulei ochronnej z uszczelnieniem.</w:t>
      </w:r>
    </w:p>
    <w:p w14:paraId="75E000C3" w14:textId="77777777" w:rsidR="006947FD" w:rsidRPr="00A23FB4" w:rsidRDefault="006947FD" w:rsidP="006947FD">
      <w:pPr>
        <w:rPr>
          <w:rFonts w:asciiTheme="minorHAnsi" w:hAnsiTheme="minorHAnsi" w:cstheme="minorHAnsi"/>
        </w:rPr>
      </w:pPr>
      <w:r w:rsidRPr="00A23FB4">
        <w:rPr>
          <w:rFonts w:asciiTheme="minorHAnsi" w:hAnsiTheme="minorHAnsi" w:cstheme="minorHAnsi"/>
        </w:rPr>
        <w:t>Studzienkę montować zgodnie z instrukcjami producenta.</w:t>
      </w:r>
    </w:p>
    <w:p w14:paraId="2D8A227D" w14:textId="77777777" w:rsidR="006947FD" w:rsidRPr="00A23FB4" w:rsidRDefault="006947FD" w:rsidP="006947FD">
      <w:pPr>
        <w:pStyle w:val="WW-Tekstpodstawowywcity3"/>
        <w:ind w:left="0"/>
        <w:rPr>
          <w:rFonts w:asciiTheme="minorHAnsi" w:hAnsiTheme="minorHAnsi" w:cstheme="minorHAnsi"/>
          <w:sz w:val="20"/>
          <w:szCs w:val="20"/>
        </w:rPr>
      </w:pPr>
      <w:r w:rsidRPr="00A23FB4">
        <w:rPr>
          <w:rFonts w:asciiTheme="minorHAnsi" w:hAnsiTheme="minorHAnsi" w:cstheme="minorHAnsi"/>
          <w:sz w:val="20"/>
          <w:szCs w:val="20"/>
        </w:rPr>
        <w:t>Wszystkie elementy studzienek powinny posiadać stosowne Aprobaty Techniczne (np. AT wydawane przez Instytut Badawczy Dróg i Mostów w Warszawie).</w:t>
      </w:r>
    </w:p>
    <w:p w14:paraId="2759F3BF" w14:textId="77777777" w:rsidR="006947FD" w:rsidRPr="00A23FB4" w:rsidRDefault="006947FD" w:rsidP="006947FD">
      <w:pPr>
        <w:overflowPunct/>
        <w:textAlignment w:val="auto"/>
        <w:rPr>
          <w:rFonts w:asciiTheme="minorHAnsi" w:hAnsiTheme="minorHAnsi" w:cstheme="minorHAnsi"/>
          <w:b/>
          <w:bCs/>
        </w:rPr>
      </w:pPr>
    </w:p>
    <w:p w14:paraId="40E8B42A" w14:textId="77777777" w:rsidR="006947FD" w:rsidRPr="00A23FB4" w:rsidRDefault="006947FD" w:rsidP="005C45EE">
      <w:pPr>
        <w:rPr>
          <w:rFonts w:asciiTheme="minorHAnsi" w:hAnsiTheme="minorHAnsi" w:cstheme="minorHAnsi"/>
          <w:b/>
        </w:rPr>
      </w:pPr>
      <w:bookmarkStart w:id="414" w:name="_Toc358023962"/>
      <w:bookmarkStart w:id="415" w:name="_Toc358024377"/>
      <w:bookmarkStart w:id="416" w:name="_Toc358024792"/>
      <w:r w:rsidRPr="00A23FB4">
        <w:rPr>
          <w:rFonts w:asciiTheme="minorHAnsi" w:hAnsiTheme="minorHAnsi" w:cstheme="minorHAnsi"/>
          <w:b/>
        </w:rPr>
        <w:t>2.4. Studzienki ściekowe</w:t>
      </w:r>
      <w:bookmarkEnd w:id="414"/>
      <w:bookmarkEnd w:id="415"/>
      <w:bookmarkEnd w:id="416"/>
    </w:p>
    <w:p w14:paraId="3A547790" w14:textId="77777777" w:rsidR="006947FD" w:rsidRPr="00A23FB4" w:rsidRDefault="006947FD" w:rsidP="006947FD">
      <w:pPr>
        <w:pStyle w:val="StylIwony"/>
        <w:spacing w:before="0" w:after="0"/>
        <w:rPr>
          <w:rFonts w:asciiTheme="minorHAnsi" w:hAnsiTheme="minorHAnsi" w:cstheme="minorHAnsi"/>
          <w:sz w:val="20"/>
          <w:szCs w:val="20"/>
        </w:rPr>
      </w:pPr>
      <w:r w:rsidRPr="00A23FB4">
        <w:rPr>
          <w:rFonts w:asciiTheme="minorHAnsi" w:hAnsiTheme="minorHAnsi" w:cstheme="minorHAnsi"/>
          <w:b/>
          <w:bCs/>
          <w:sz w:val="20"/>
          <w:szCs w:val="20"/>
        </w:rPr>
        <w:t>2.4.1.</w:t>
      </w:r>
      <w:r w:rsidRPr="00A23FB4">
        <w:rPr>
          <w:rFonts w:asciiTheme="minorHAnsi" w:hAnsiTheme="minorHAnsi" w:cstheme="minorHAnsi"/>
          <w:sz w:val="20"/>
          <w:szCs w:val="20"/>
        </w:rPr>
        <w:t xml:space="preserve"> Wpusty uliczne żeliwne</w:t>
      </w:r>
    </w:p>
    <w:p w14:paraId="557BB404" w14:textId="77777777" w:rsidR="006947FD" w:rsidRPr="00A23FB4" w:rsidRDefault="006947FD" w:rsidP="006947FD">
      <w:pPr>
        <w:pStyle w:val="StylIwony"/>
        <w:spacing w:before="0" w:after="0"/>
        <w:rPr>
          <w:rFonts w:asciiTheme="minorHAnsi" w:hAnsiTheme="minorHAnsi" w:cstheme="minorHAnsi"/>
          <w:sz w:val="20"/>
          <w:szCs w:val="20"/>
        </w:rPr>
      </w:pPr>
      <w:r w:rsidRPr="00A23FB4">
        <w:rPr>
          <w:rFonts w:asciiTheme="minorHAnsi" w:hAnsiTheme="minorHAnsi" w:cstheme="minorHAnsi"/>
          <w:sz w:val="20"/>
          <w:szCs w:val="20"/>
        </w:rPr>
        <w:t>Wpusty uliczne żeliwne powinny odpowiadać wymaganiom PN-H-74080-01 i PN-H-74080-04.</w:t>
      </w:r>
    </w:p>
    <w:p w14:paraId="05B5DC17" w14:textId="77777777" w:rsidR="006947FD" w:rsidRPr="00A23FB4" w:rsidRDefault="006947FD" w:rsidP="006947FD">
      <w:pPr>
        <w:pStyle w:val="StylIwony"/>
        <w:spacing w:before="0" w:after="0"/>
        <w:rPr>
          <w:rFonts w:asciiTheme="minorHAnsi" w:hAnsiTheme="minorHAnsi" w:cstheme="minorHAnsi"/>
          <w:sz w:val="20"/>
          <w:szCs w:val="20"/>
        </w:rPr>
      </w:pPr>
      <w:r w:rsidRPr="00A23FB4">
        <w:rPr>
          <w:rFonts w:asciiTheme="minorHAnsi" w:hAnsiTheme="minorHAnsi" w:cstheme="minorHAnsi"/>
          <w:sz w:val="20"/>
          <w:szCs w:val="20"/>
        </w:rPr>
        <w:t>Zastosować wpusty typowe. Wpusty powinny być zabezpieczone przed kradzieżą (np. wpusty z zawiasem i ryglem).</w:t>
      </w:r>
    </w:p>
    <w:p w14:paraId="2CC921A4" w14:textId="77777777" w:rsidR="006947FD" w:rsidRPr="00A23FB4" w:rsidRDefault="006947FD" w:rsidP="006947FD">
      <w:pPr>
        <w:pStyle w:val="StylIwony"/>
        <w:spacing w:before="0" w:after="0"/>
        <w:rPr>
          <w:rFonts w:asciiTheme="minorHAnsi" w:hAnsiTheme="minorHAnsi" w:cstheme="minorHAnsi"/>
          <w:sz w:val="20"/>
          <w:szCs w:val="20"/>
        </w:rPr>
      </w:pPr>
      <w:r w:rsidRPr="00A23FB4">
        <w:rPr>
          <w:rFonts w:asciiTheme="minorHAnsi" w:hAnsiTheme="minorHAnsi" w:cstheme="minorHAnsi"/>
          <w:b/>
          <w:bCs/>
          <w:sz w:val="20"/>
          <w:szCs w:val="20"/>
        </w:rPr>
        <w:t>2.4.2.</w:t>
      </w:r>
      <w:r w:rsidRPr="00A23FB4">
        <w:rPr>
          <w:rFonts w:asciiTheme="minorHAnsi" w:hAnsiTheme="minorHAnsi" w:cstheme="minorHAnsi"/>
          <w:sz w:val="20"/>
          <w:szCs w:val="20"/>
        </w:rPr>
        <w:t xml:space="preserve"> Kręgi betonowe prefabrykowane</w:t>
      </w:r>
    </w:p>
    <w:p w14:paraId="3B1C6EC3" w14:textId="77777777" w:rsidR="006947FD" w:rsidRPr="00A23FB4" w:rsidRDefault="006947FD" w:rsidP="006947FD">
      <w:pPr>
        <w:pStyle w:val="StylIwony"/>
        <w:spacing w:before="0" w:after="0"/>
        <w:rPr>
          <w:rFonts w:asciiTheme="minorHAnsi" w:hAnsiTheme="minorHAnsi" w:cstheme="minorHAnsi"/>
          <w:sz w:val="20"/>
          <w:szCs w:val="20"/>
        </w:rPr>
      </w:pPr>
      <w:r w:rsidRPr="00A23FB4">
        <w:rPr>
          <w:rFonts w:asciiTheme="minorHAnsi" w:hAnsiTheme="minorHAnsi" w:cstheme="minorHAnsi"/>
          <w:sz w:val="20"/>
          <w:szCs w:val="20"/>
        </w:rPr>
        <w:t>Na studzienki ściekowe stosowane są prefabrykowane kręgi betonowe o średnicy 50 cm, wysokości 30 cm lub 60 cm, z betonu klasy B 45, wg KB1-22.2.6 (6).</w:t>
      </w:r>
    </w:p>
    <w:p w14:paraId="4CD2150B" w14:textId="77777777" w:rsidR="006947FD" w:rsidRPr="00A23FB4" w:rsidRDefault="006947FD" w:rsidP="006947FD">
      <w:pPr>
        <w:pStyle w:val="StylIwony"/>
        <w:spacing w:before="0" w:after="0"/>
        <w:rPr>
          <w:rFonts w:asciiTheme="minorHAnsi" w:hAnsiTheme="minorHAnsi" w:cstheme="minorHAnsi"/>
          <w:sz w:val="20"/>
          <w:szCs w:val="20"/>
        </w:rPr>
      </w:pPr>
      <w:r w:rsidRPr="00A23FB4">
        <w:rPr>
          <w:rFonts w:asciiTheme="minorHAnsi" w:hAnsiTheme="minorHAnsi" w:cstheme="minorHAnsi"/>
          <w:b/>
          <w:bCs/>
          <w:sz w:val="20"/>
          <w:szCs w:val="20"/>
        </w:rPr>
        <w:t>2.4.3.</w:t>
      </w:r>
      <w:r w:rsidRPr="00A23FB4">
        <w:rPr>
          <w:rFonts w:asciiTheme="minorHAnsi" w:hAnsiTheme="minorHAnsi" w:cstheme="minorHAnsi"/>
          <w:sz w:val="20"/>
          <w:szCs w:val="20"/>
        </w:rPr>
        <w:t xml:space="preserve"> Pierścienie żelbetowe prefabrykowane</w:t>
      </w:r>
    </w:p>
    <w:p w14:paraId="327E178C" w14:textId="77777777" w:rsidR="006947FD" w:rsidRPr="00A23FB4" w:rsidRDefault="006947FD" w:rsidP="006947FD">
      <w:pPr>
        <w:pStyle w:val="StylIwony"/>
        <w:spacing w:before="0" w:after="0"/>
        <w:rPr>
          <w:rFonts w:asciiTheme="minorHAnsi" w:hAnsiTheme="minorHAnsi" w:cstheme="minorHAnsi"/>
          <w:sz w:val="20"/>
          <w:szCs w:val="20"/>
        </w:rPr>
      </w:pPr>
      <w:r w:rsidRPr="00A23FB4">
        <w:rPr>
          <w:rFonts w:asciiTheme="minorHAnsi" w:hAnsiTheme="minorHAnsi" w:cstheme="minorHAnsi"/>
          <w:sz w:val="20"/>
          <w:szCs w:val="20"/>
        </w:rPr>
        <w:t>Pierścienie żelbetowe prefabrykowane o średnicy 65 cm powinny być wykonane z betonu wibrowanego klasy B 20 zbrojonego stalą StOS.</w:t>
      </w:r>
    </w:p>
    <w:p w14:paraId="2A5A1374" w14:textId="77777777" w:rsidR="006947FD" w:rsidRPr="00A23FB4" w:rsidRDefault="006947FD" w:rsidP="006947FD">
      <w:pPr>
        <w:pStyle w:val="StylIwony"/>
        <w:spacing w:before="0" w:after="0"/>
        <w:rPr>
          <w:rFonts w:asciiTheme="minorHAnsi" w:hAnsiTheme="minorHAnsi" w:cstheme="minorHAnsi"/>
          <w:sz w:val="20"/>
          <w:szCs w:val="20"/>
        </w:rPr>
      </w:pPr>
      <w:r w:rsidRPr="00A23FB4">
        <w:rPr>
          <w:rFonts w:asciiTheme="minorHAnsi" w:hAnsiTheme="minorHAnsi" w:cstheme="minorHAnsi"/>
          <w:b/>
          <w:bCs/>
          <w:sz w:val="20"/>
          <w:szCs w:val="20"/>
        </w:rPr>
        <w:t>2.4.4.</w:t>
      </w:r>
      <w:r w:rsidRPr="00A23FB4">
        <w:rPr>
          <w:rFonts w:asciiTheme="minorHAnsi" w:hAnsiTheme="minorHAnsi" w:cstheme="minorHAnsi"/>
          <w:sz w:val="20"/>
          <w:szCs w:val="20"/>
        </w:rPr>
        <w:t xml:space="preserve"> Płyty żelbetowe prefabrykowane</w:t>
      </w:r>
    </w:p>
    <w:p w14:paraId="5CA90874" w14:textId="77777777" w:rsidR="006947FD" w:rsidRPr="00A23FB4" w:rsidRDefault="006947FD" w:rsidP="006947FD">
      <w:pPr>
        <w:pStyle w:val="StylIwony"/>
        <w:spacing w:before="0" w:after="0"/>
        <w:rPr>
          <w:rFonts w:asciiTheme="minorHAnsi" w:hAnsiTheme="minorHAnsi" w:cstheme="minorHAnsi"/>
          <w:sz w:val="20"/>
          <w:szCs w:val="20"/>
        </w:rPr>
      </w:pPr>
      <w:r w:rsidRPr="00A23FB4">
        <w:rPr>
          <w:rFonts w:asciiTheme="minorHAnsi" w:hAnsiTheme="minorHAnsi" w:cstheme="minorHAnsi"/>
          <w:sz w:val="20"/>
          <w:szCs w:val="20"/>
        </w:rPr>
        <w:t>Płyty żelbetowe prefabrykowane powinny mieć grubość 11 cm i być wykonane z betonu wibrowanego klasy B 20 zbrojonego stalą StOS.</w:t>
      </w:r>
    </w:p>
    <w:p w14:paraId="5BB636A3" w14:textId="77777777" w:rsidR="006947FD" w:rsidRPr="00A23FB4" w:rsidRDefault="006947FD" w:rsidP="006947FD">
      <w:pPr>
        <w:pStyle w:val="StylIwony"/>
        <w:spacing w:before="0" w:after="0"/>
        <w:rPr>
          <w:rFonts w:asciiTheme="minorHAnsi" w:hAnsiTheme="minorHAnsi" w:cstheme="minorHAnsi"/>
          <w:sz w:val="20"/>
          <w:szCs w:val="20"/>
        </w:rPr>
      </w:pPr>
      <w:r w:rsidRPr="00A23FB4">
        <w:rPr>
          <w:rFonts w:asciiTheme="minorHAnsi" w:hAnsiTheme="minorHAnsi" w:cstheme="minorHAnsi"/>
          <w:b/>
          <w:bCs/>
          <w:sz w:val="20"/>
          <w:szCs w:val="20"/>
        </w:rPr>
        <w:t>2.4.5.</w:t>
      </w:r>
      <w:r w:rsidRPr="00A23FB4">
        <w:rPr>
          <w:rFonts w:asciiTheme="minorHAnsi" w:hAnsiTheme="minorHAnsi" w:cstheme="minorHAnsi"/>
          <w:sz w:val="20"/>
          <w:szCs w:val="20"/>
        </w:rPr>
        <w:t xml:space="preserve"> Płyty fundamentowe zbrojone</w:t>
      </w:r>
    </w:p>
    <w:p w14:paraId="785AE5A6" w14:textId="77777777" w:rsidR="006947FD" w:rsidRPr="00A23FB4" w:rsidRDefault="006947FD" w:rsidP="006947FD">
      <w:pPr>
        <w:pStyle w:val="StylIwony"/>
        <w:spacing w:before="0" w:after="0"/>
        <w:rPr>
          <w:rFonts w:asciiTheme="minorHAnsi" w:hAnsiTheme="minorHAnsi" w:cstheme="minorHAnsi"/>
          <w:sz w:val="20"/>
          <w:szCs w:val="20"/>
        </w:rPr>
      </w:pPr>
      <w:r w:rsidRPr="00A23FB4">
        <w:rPr>
          <w:rFonts w:asciiTheme="minorHAnsi" w:hAnsiTheme="minorHAnsi" w:cstheme="minorHAnsi"/>
          <w:sz w:val="20"/>
          <w:szCs w:val="20"/>
        </w:rPr>
        <w:t xml:space="preserve">Płyty fundamentowe zbrojone powinny posiadać grubość 15 cm i być wykonane z betonu klasy </w:t>
      </w:r>
      <w:r w:rsidR="005E7D27" w:rsidRPr="00A23FB4">
        <w:rPr>
          <w:rFonts w:asciiTheme="minorHAnsi" w:hAnsiTheme="minorHAnsi" w:cstheme="minorHAnsi"/>
          <w:sz w:val="20"/>
          <w:szCs w:val="20"/>
        </w:rPr>
        <w:t>C12/</w:t>
      </w:r>
      <w:r w:rsidRPr="00A23FB4">
        <w:rPr>
          <w:rFonts w:asciiTheme="minorHAnsi" w:hAnsiTheme="minorHAnsi" w:cstheme="minorHAnsi"/>
          <w:sz w:val="20"/>
          <w:szCs w:val="20"/>
        </w:rPr>
        <w:t>15.</w:t>
      </w:r>
    </w:p>
    <w:p w14:paraId="52291AB9" w14:textId="77777777" w:rsidR="006947FD" w:rsidRPr="00A23FB4" w:rsidRDefault="006947FD" w:rsidP="006947FD">
      <w:pPr>
        <w:pStyle w:val="StylIwony"/>
        <w:spacing w:before="0" w:after="0"/>
        <w:rPr>
          <w:rFonts w:asciiTheme="minorHAnsi" w:hAnsiTheme="minorHAnsi" w:cstheme="minorHAnsi"/>
          <w:sz w:val="20"/>
          <w:szCs w:val="20"/>
        </w:rPr>
      </w:pPr>
      <w:r w:rsidRPr="00A23FB4">
        <w:rPr>
          <w:rFonts w:asciiTheme="minorHAnsi" w:hAnsiTheme="minorHAnsi" w:cstheme="minorHAnsi"/>
          <w:b/>
          <w:bCs/>
          <w:sz w:val="20"/>
          <w:szCs w:val="20"/>
        </w:rPr>
        <w:t>2.4.6.</w:t>
      </w:r>
      <w:r w:rsidRPr="00A23FB4">
        <w:rPr>
          <w:rFonts w:asciiTheme="minorHAnsi" w:hAnsiTheme="minorHAnsi" w:cstheme="minorHAnsi"/>
          <w:sz w:val="20"/>
          <w:szCs w:val="20"/>
        </w:rPr>
        <w:t xml:space="preserve"> Kruszywo na podsypkę</w:t>
      </w:r>
    </w:p>
    <w:p w14:paraId="0DF30A25" w14:textId="77777777" w:rsidR="006947FD" w:rsidRPr="00A23FB4" w:rsidRDefault="006947FD" w:rsidP="006947FD">
      <w:pPr>
        <w:pStyle w:val="StylIwony"/>
        <w:spacing w:before="0" w:after="0"/>
        <w:rPr>
          <w:rFonts w:asciiTheme="minorHAnsi" w:hAnsiTheme="minorHAnsi" w:cstheme="minorHAnsi"/>
          <w:sz w:val="20"/>
          <w:szCs w:val="20"/>
        </w:rPr>
      </w:pPr>
      <w:r w:rsidRPr="00A23FB4">
        <w:rPr>
          <w:rFonts w:asciiTheme="minorHAnsi" w:hAnsiTheme="minorHAnsi" w:cstheme="minorHAnsi"/>
          <w:sz w:val="20"/>
          <w:szCs w:val="20"/>
        </w:rPr>
        <w:t>Podsypka może być wykonana z tłucznia lub żwiru. Użyty materiał na podsypkę powinien odpowiadać wymaganiom stosownych norm, np. PN-B-06712, PN-B-11111, PN-B-11112.</w:t>
      </w:r>
    </w:p>
    <w:p w14:paraId="3FD8E63D" w14:textId="77777777" w:rsidR="006947FD" w:rsidRPr="00A23FB4" w:rsidRDefault="006947FD" w:rsidP="006947FD">
      <w:pPr>
        <w:pStyle w:val="Nagwek3"/>
        <w:numPr>
          <w:ilvl w:val="2"/>
          <w:numId w:val="0"/>
        </w:numPr>
        <w:tabs>
          <w:tab w:val="num" w:pos="0"/>
        </w:tabs>
        <w:suppressAutoHyphens/>
        <w:autoSpaceDN/>
        <w:adjustRightInd/>
        <w:spacing w:before="0" w:after="0"/>
        <w:rPr>
          <w:rFonts w:asciiTheme="minorHAnsi" w:hAnsiTheme="minorHAnsi" w:cstheme="minorHAnsi"/>
        </w:rPr>
      </w:pPr>
    </w:p>
    <w:p w14:paraId="7F057FDB" w14:textId="77777777" w:rsidR="006947FD" w:rsidRPr="00A23FB4" w:rsidRDefault="006947FD" w:rsidP="005C45EE">
      <w:pPr>
        <w:rPr>
          <w:rFonts w:asciiTheme="minorHAnsi" w:hAnsiTheme="minorHAnsi" w:cstheme="minorHAnsi"/>
          <w:b/>
        </w:rPr>
      </w:pPr>
      <w:bookmarkStart w:id="417" w:name="_Toc358023963"/>
      <w:bookmarkStart w:id="418" w:name="_Toc358024378"/>
      <w:bookmarkStart w:id="419" w:name="_Toc358024793"/>
      <w:r w:rsidRPr="00A23FB4">
        <w:rPr>
          <w:rFonts w:asciiTheme="minorHAnsi" w:hAnsiTheme="minorHAnsi" w:cstheme="minorHAnsi"/>
          <w:b/>
        </w:rPr>
        <w:t>2.5. Beton</w:t>
      </w:r>
      <w:bookmarkEnd w:id="417"/>
      <w:bookmarkEnd w:id="418"/>
      <w:bookmarkEnd w:id="419"/>
    </w:p>
    <w:p w14:paraId="110702A0" w14:textId="77777777" w:rsidR="006947FD" w:rsidRPr="00A23FB4" w:rsidRDefault="006947FD" w:rsidP="006947FD">
      <w:pPr>
        <w:pStyle w:val="StylIwony"/>
        <w:spacing w:before="0" w:after="0"/>
        <w:rPr>
          <w:rFonts w:asciiTheme="minorHAnsi" w:hAnsiTheme="minorHAnsi" w:cstheme="minorHAnsi"/>
          <w:sz w:val="20"/>
          <w:szCs w:val="20"/>
        </w:rPr>
      </w:pPr>
      <w:r w:rsidRPr="00A23FB4">
        <w:rPr>
          <w:rFonts w:asciiTheme="minorHAnsi" w:hAnsiTheme="minorHAnsi" w:cstheme="minorHAnsi"/>
          <w:sz w:val="20"/>
          <w:szCs w:val="20"/>
        </w:rPr>
        <w:t xml:space="preserve">Beton hydrotechniczny </w:t>
      </w:r>
      <w:r w:rsidR="005E7D27" w:rsidRPr="00A23FB4">
        <w:rPr>
          <w:rFonts w:asciiTheme="minorHAnsi" w:hAnsiTheme="minorHAnsi" w:cstheme="minorHAnsi"/>
          <w:sz w:val="20"/>
          <w:szCs w:val="20"/>
        </w:rPr>
        <w:t>klasy C12/15 lubC16/</w:t>
      </w:r>
      <w:r w:rsidRPr="00A23FB4">
        <w:rPr>
          <w:rFonts w:asciiTheme="minorHAnsi" w:hAnsiTheme="minorHAnsi" w:cstheme="minorHAnsi"/>
          <w:sz w:val="20"/>
          <w:szCs w:val="20"/>
        </w:rPr>
        <w:t>20 powinien odpowiadać wymaganiom BN-62/6738-07.</w:t>
      </w:r>
    </w:p>
    <w:p w14:paraId="54FC7696" w14:textId="77777777" w:rsidR="006947FD" w:rsidRPr="00A23FB4" w:rsidRDefault="006947FD" w:rsidP="006947FD">
      <w:pPr>
        <w:pStyle w:val="Nagwek3"/>
        <w:numPr>
          <w:ilvl w:val="2"/>
          <w:numId w:val="0"/>
        </w:numPr>
        <w:tabs>
          <w:tab w:val="num" w:pos="0"/>
        </w:tabs>
        <w:suppressAutoHyphens/>
        <w:autoSpaceDN/>
        <w:adjustRightInd/>
        <w:spacing w:before="0" w:after="0"/>
        <w:rPr>
          <w:rFonts w:asciiTheme="minorHAnsi" w:hAnsiTheme="minorHAnsi" w:cstheme="minorHAnsi"/>
        </w:rPr>
      </w:pPr>
    </w:p>
    <w:p w14:paraId="745E36C0" w14:textId="77777777" w:rsidR="006947FD" w:rsidRPr="00A23FB4" w:rsidRDefault="006947FD" w:rsidP="005C45EE">
      <w:pPr>
        <w:rPr>
          <w:rFonts w:asciiTheme="minorHAnsi" w:hAnsiTheme="minorHAnsi" w:cstheme="minorHAnsi"/>
          <w:b/>
        </w:rPr>
      </w:pPr>
      <w:bookmarkStart w:id="420" w:name="_Toc358023964"/>
      <w:bookmarkStart w:id="421" w:name="_Toc358024379"/>
      <w:bookmarkStart w:id="422" w:name="_Toc358024794"/>
      <w:r w:rsidRPr="00A23FB4">
        <w:rPr>
          <w:rFonts w:asciiTheme="minorHAnsi" w:hAnsiTheme="minorHAnsi" w:cstheme="minorHAnsi"/>
          <w:b/>
        </w:rPr>
        <w:t>2.6. Zaprawa cementowa</w:t>
      </w:r>
      <w:bookmarkEnd w:id="420"/>
      <w:bookmarkEnd w:id="421"/>
      <w:bookmarkEnd w:id="422"/>
    </w:p>
    <w:p w14:paraId="5D6750EB" w14:textId="77777777" w:rsidR="006947FD" w:rsidRPr="00A23FB4" w:rsidRDefault="006947FD" w:rsidP="006947FD">
      <w:pPr>
        <w:pStyle w:val="StylIwony"/>
        <w:spacing w:before="0" w:after="0"/>
        <w:rPr>
          <w:rFonts w:asciiTheme="minorHAnsi" w:hAnsiTheme="minorHAnsi" w:cstheme="minorHAnsi"/>
          <w:sz w:val="20"/>
          <w:szCs w:val="20"/>
        </w:rPr>
      </w:pPr>
      <w:r w:rsidRPr="00A23FB4">
        <w:rPr>
          <w:rFonts w:asciiTheme="minorHAnsi" w:hAnsiTheme="minorHAnsi" w:cstheme="minorHAnsi"/>
          <w:sz w:val="20"/>
          <w:szCs w:val="20"/>
        </w:rPr>
        <w:t>Zaprawa cementowa powinna odpowiadać wymaganiom PN-B-14501.</w:t>
      </w:r>
    </w:p>
    <w:p w14:paraId="5F983A3C" w14:textId="77777777" w:rsidR="006947FD" w:rsidRPr="00A23FB4" w:rsidRDefault="006947FD" w:rsidP="006947FD">
      <w:pPr>
        <w:pStyle w:val="Nagwek3"/>
        <w:numPr>
          <w:ilvl w:val="2"/>
          <w:numId w:val="0"/>
        </w:numPr>
        <w:tabs>
          <w:tab w:val="num" w:pos="0"/>
        </w:tabs>
        <w:suppressAutoHyphens/>
        <w:autoSpaceDN/>
        <w:adjustRightInd/>
        <w:spacing w:before="0" w:after="0"/>
        <w:rPr>
          <w:rFonts w:asciiTheme="minorHAnsi" w:hAnsiTheme="minorHAnsi" w:cstheme="minorHAnsi"/>
        </w:rPr>
      </w:pPr>
    </w:p>
    <w:p w14:paraId="6DFEFB17" w14:textId="77777777" w:rsidR="006947FD" w:rsidRPr="00A23FB4" w:rsidRDefault="006947FD" w:rsidP="005C45EE">
      <w:pPr>
        <w:rPr>
          <w:rFonts w:asciiTheme="minorHAnsi" w:hAnsiTheme="minorHAnsi" w:cstheme="minorHAnsi"/>
          <w:b/>
        </w:rPr>
      </w:pPr>
      <w:bookmarkStart w:id="423" w:name="_Toc358023965"/>
      <w:bookmarkStart w:id="424" w:name="_Toc358024380"/>
      <w:bookmarkStart w:id="425" w:name="_Toc358024795"/>
      <w:r w:rsidRPr="00A23FB4">
        <w:rPr>
          <w:rFonts w:asciiTheme="minorHAnsi" w:hAnsiTheme="minorHAnsi" w:cstheme="minorHAnsi"/>
          <w:b/>
        </w:rPr>
        <w:t>2.7. Składowanie materiałów</w:t>
      </w:r>
      <w:bookmarkEnd w:id="423"/>
      <w:bookmarkEnd w:id="424"/>
      <w:bookmarkEnd w:id="425"/>
    </w:p>
    <w:p w14:paraId="69F3A5C0" w14:textId="77777777" w:rsidR="006947FD" w:rsidRPr="00A23FB4" w:rsidRDefault="006947FD" w:rsidP="006947FD">
      <w:pPr>
        <w:pStyle w:val="StylIwony"/>
        <w:spacing w:before="0" w:after="0"/>
        <w:rPr>
          <w:rFonts w:asciiTheme="minorHAnsi" w:hAnsiTheme="minorHAnsi" w:cstheme="minorHAnsi"/>
          <w:sz w:val="20"/>
          <w:szCs w:val="20"/>
        </w:rPr>
      </w:pPr>
      <w:r w:rsidRPr="00A23FB4">
        <w:rPr>
          <w:rFonts w:asciiTheme="minorHAnsi" w:hAnsiTheme="minorHAnsi" w:cstheme="minorHAnsi"/>
          <w:b/>
          <w:bCs/>
          <w:sz w:val="20"/>
          <w:szCs w:val="20"/>
        </w:rPr>
        <w:t>2.7.1.</w:t>
      </w:r>
      <w:r w:rsidRPr="00A23FB4">
        <w:rPr>
          <w:rFonts w:asciiTheme="minorHAnsi" w:hAnsiTheme="minorHAnsi" w:cstheme="minorHAnsi"/>
          <w:sz w:val="20"/>
          <w:szCs w:val="20"/>
        </w:rPr>
        <w:t xml:space="preserve"> Rury kanałowe</w:t>
      </w:r>
    </w:p>
    <w:p w14:paraId="432AB574" w14:textId="77777777" w:rsidR="006947FD" w:rsidRPr="00A23FB4" w:rsidRDefault="006947FD" w:rsidP="006947FD">
      <w:pPr>
        <w:pStyle w:val="StylIwony"/>
        <w:spacing w:before="0" w:after="0"/>
        <w:rPr>
          <w:rFonts w:asciiTheme="minorHAnsi" w:hAnsiTheme="minorHAnsi" w:cstheme="minorHAnsi"/>
          <w:sz w:val="20"/>
          <w:szCs w:val="20"/>
        </w:rPr>
      </w:pPr>
      <w:r w:rsidRPr="00A23FB4">
        <w:rPr>
          <w:rFonts w:asciiTheme="minorHAnsi" w:hAnsiTheme="minorHAnsi" w:cstheme="minorHAnsi"/>
          <w:sz w:val="20"/>
          <w:szCs w:val="20"/>
        </w:rPr>
        <w:t>Rury można składować na otwartej przestrzeni, układając je w pozycji leżącej jedno- lub wielowarstwowo, albo w pozycji stojącej.</w:t>
      </w:r>
    </w:p>
    <w:p w14:paraId="588002E6" w14:textId="77777777" w:rsidR="006947FD" w:rsidRPr="00A23FB4" w:rsidRDefault="006947FD" w:rsidP="006947FD">
      <w:pPr>
        <w:pStyle w:val="StylIwony"/>
        <w:spacing w:before="0" w:after="0"/>
        <w:rPr>
          <w:rFonts w:asciiTheme="minorHAnsi" w:hAnsiTheme="minorHAnsi" w:cstheme="minorHAnsi"/>
          <w:sz w:val="20"/>
          <w:szCs w:val="20"/>
        </w:rPr>
      </w:pPr>
      <w:r w:rsidRPr="00A23FB4">
        <w:rPr>
          <w:rFonts w:asciiTheme="minorHAnsi" w:hAnsiTheme="minorHAnsi" w:cstheme="minorHAnsi"/>
          <w:sz w:val="20"/>
          <w:szCs w:val="20"/>
        </w:rPr>
        <w:t>Powierzchnia składowania powinna być utwardzona i zabezpieczona przed gromadzeniem się wód opadowych.</w:t>
      </w:r>
    </w:p>
    <w:p w14:paraId="41FC10A4" w14:textId="77777777" w:rsidR="006947FD" w:rsidRPr="00A23FB4" w:rsidRDefault="006947FD" w:rsidP="006947FD">
      <w:pPr>
        <w:pStyle w:val="StylIwony"/>
        <w:spacing w:before="0" w:after="0"/>
        <w:rPr>
          <w:rFonts w:asciiTheme="minorHAnsi" w:hAnsiTheme="minorHAnsi" w:cstheme="minorHAnsi"/>
          <w:sz w:val="20"/>
          <w:szCs w:val="20"/>
        </w:rPr>
      </w:pPr>
      <w:r w:rsidRPr="00A23FB4">
        <w:rPr>
          <w:rFonts w:asciiTheme="minorHAnsi" w:hAnsiTheme="minorHAnsi" w:cstheme="minorHAnsi"/>
          <w:sz w:val="20"/>
          <w:szCs w:val="20"/>
        </w:rPr>
        <w:t>W przypadku składowania poziomego pierwszą warstwę rur należy ułożyć na podkładach drewnianych. Podobnie na podkładach drewnianych należy układać wyroby w pozycji stojącej i jeżeli powierzchnia składowania nie odpowiada ww. wymaganiom.</w:t>
      </w:r>
    </w:p>
    <w:p w14:paraId="7E172A4F" w14:textId="77777777" w:rsidR="006947FD" w:rsidRPr="00A23FB4" w:rsidRDefault="006947FD" w:rsidP="006947FD">
      <w:pPr>
        <w:pStyle w:val="StylIwony"/>
        <w:spacing w:before="0" w:after="0"/>
        <w:rPr>
          <w:rFonts w:asciiTheme="minorHAnsi" w:hAnsiTheme="minorHAnsi" w:cstheme="minorHAnsi"/>
          <w:sz w:val="20"/>
          <w:szCs w:val="20"/>
        </w:rPr>
      </w:pPr>
      <w:r w:rsidRPr="00A23FB4">
        <w:rPr>
          <w:rFonts w:asciiTheme="minorHAnsi" w:hAnsiTheme="minorHAnsi" w:cstheme="minorHAnsi"/>
          <w:sz w:val="20"/>
          <w:szCs w:val="20"/>
        </w:rPr>
        <w:t>Wykonawca jest zobowiązany układać rury według poszczególnych grup, wielkości i gatunków w sposób zapewniający stateczność oraz umożliwiający dostęp do poszczególnych stosów lub pojedynczych rur.</w:t>
      </w:r>
    </w:p>
    <w:p w14:paraId="59BF0485" w14:textId="77777777" w:rsidR="006947FD" w:rsidRPr="00A23FB4" w:rsidRDefault="006947FD" w:rsidP="006947FD">
      <w:pPr>
        <w:pStyle w:val="StylIwony"/>
        <w:spacing w:before="0" w:after="0"/>
        <w:rPr>
          <w:rFonts w:asciiTheme="minorHAnsi" w:hAnsiTheme="minorHAnsi" w:cstheme="minorHAnsi"/>
          <w:sz w:val="20"/>
          <w:szCs w:val="20"/>
        </w:rPr>
      </w:pPr>
      <w:r w:rsidRPr="00A23FB4">
        <w:rPr>
          <w:rFonts w:asciiTheme="minorHAnsi" w:hAnsiTheme="minorHAnsi" w:cstheme="minorHAnsi"/>
          <w:b/>
          <w:bCs/>
          <w:sz w:val="20"/>
          <w:szCs w:val="20"/>
        </w:rPr>
        <w:t>2.7.2.</w:t>
      </w:r>
      <w:r w:rsidRPr="00A23FB4">
        <w:rPr>
          <w:rFonts w:asciiTheme="minorHAnsi" w:hAnsiTheme="minorHAnsi" w:cstheme="minorHAnsi"/>
          <w:sz w:val="20"/>
          <w:szCs w:val="20"/>
        </w:rPr>
        <w:t xml:space="preserve"> Studnie</w:t>
      </w:r>
    </w:p>
    <w:p w14:paraId="101D4AD8" w14:textId="77777777" w:rsidR="006947FD" w:rsidRPr="00A23FB4" w:rsidRDefault="006947FD" w:rsidP="006947FD">
      <w:pPr>
        <w:pStyle w:val="StylIwony"/>
        <w:spacing w:before="0" w:after="0"/>
        <w:rPr>
          <w:rFonts w:asciiTheme="minorHAnsi" w:hAnsiTheme="minorHAnsi" w:cstheme="minorHAnsi"/>
          <w:sz w:val="20"/>
          <w:szCs w:val="20"/>
        </w:rPr>
      </w:pPr>
      <w:r w:rsidRPr="00A23FB4">
        <w:rPr>
          <w:rFonts w:asciiTheme="minorHAnsi" w:hAnsiTheme="minorHAnsi" w:cstheme="minorHAnsi"/>
          <w:sz w:val="20"/>
          <w:szCs w:val="20"/>
        </w:rPr>
        <w:t>Studnie  można składować na powierzchni nieutwardzonej pod warunkiem, że nacisk przekazywany na grunt nie przekracza 0,5 MPa.</w:t>
      </w:r>
    </w:p>
    <w:p w14:paraId="4ECD02DB" w14:textId="77777777" w:rsidR="006947FD" w:rsidRPr="00A23FB4" w:rsidRDefault="006947FD" w:rsidP="006947FD">
      <w:pPr>
        <w:pStyle w:val="StylIwony"/>
        <w:spacing w:before="0" w:after="0"/>
        <w:rPr>
          <w:rFonts w:asciiTheme="minorHAnsi" w:hAnsiTheme="minorHAnsi" w:cstheme="minorHAnsi"/>
          <w:sz w:val="20"/>
          <w:szCs w:val="20"/>
        </w:rPr>
      </w:pPr>
      <w:r w:rsidRPr="00A23FB4">
        <w:rPr>
          <w:rFonts w:asciiTheme="minorHAnsi" w:hAnsiTheme="minorHAnsi" w:cstheme="minorHAnsi"/>
          <w:sz w:val="20"/>
          <w:szCs w:val="20"/>
        </w:rPr>
        <w:t>Przy składowaniu wyrobów w pozycji wbudowania wysokość składowania nie powinna przekraczać 1,8 m. Składowanie powinno umożliwiać dostęp do poszczególnych stosów wyrobów.</w:t>
      </w:r>
    </w:p>
    <w:p w14:paraId="29F362DA" w14:textId="77777777" w:rsidR="006947FD" w:rsidRPr="00A23FB4" w:rsidRDefault="006947FD" w:rsidP="006947FD">
      <w:pPr>
        <w:pStyle w:val="StylIwony"/>
        <w:spacing w:before="0" w:after="0"/>
        <w:rPr>
          <w:rFonts w:asciiTheme="minorHAnsi" w:hAnsiTheme="minorHAnsi" w:cstheme="minorHAnsi"/>
          <w:sz w:val="20"/>
          <w:szCs w:val="20"/>
        </w:rPr>
      </w:pPr>
      <w:r w:rsidRPr="00A23FB4">
        <w:rPr>
          <w:rFonts w:asciiTheme="minorHAnsi" w:hAnsiTheme="minorHAnsi" w:cstheme="minorHAnsi"/>
          <w:b/>
          <w:bCs/>
          <w:sz w:val="20"/>
          <w:szCs w:val="20"/>
        </w:rPr>
        <w:t>2.7.3.</w:t>
      </w:r>
      <w:r w:rsidRPr="00A23FB4">
        <w:rPr>
          <w:rFonts w:asciiTheme="minorHAnsi" w:hAnsiTheme="minorHAnsi" w:cstheme="minorHAnsi"/>
          <w:sz w:val="20"/>
          <w:szCs w:val="20"/>
        </w:rPr>
        <w:t xml:space="preserve"> Włazy kanałowe i stopnie</w:t>
      </w:r>
    </w:p>
    <w:p w14:paraId="7924101F" w14:textId="77777777" w:rsidR="006947FD" w:rsidRPr="00A23FB4" w:rsidRDefault="006947FD" w:rsidP="006947FD">
      <w:pPr>
        <w:pStyle w:val="StylIwony"/>
        <w:spacing w:before="0" w:after="0"/>
        <w:rPr>
          <w:rFonts w:asciiTheme="minorHAnsi" w:hAnsiTheme="minorHAnsi" w:cstheme="minorHAnsi"/>
          <w:sz w:val="20"/>
          <w:szCs w:val="20"/>
        </w:rPr>
      </w:pPr>
      <w:r w:rsidRPr="00A23FB4">
        <w:rPr>
          <w:rFonts w:asciiTheme="minorHAnsi" w:hAnsiTheme="minorHAnsi" w:cstheme="minorHAnsi"/>
          <w:sz w:val="20"/>
          <w:szCs w:val="20"/>
        </w:rPr>
        <w:t>Włazy kanałowe i stopnie powinny być składowane z dala od substancji działających korodująco. Włazy powinny być posegregowane wg klas. Powierzchnia składowania powinna być utwardzona i odwodniona.</w:t>
      </w:r>
    </w:p>
    <w:p w14:paraId="778B67AD" w14:textId="77777777" w:rsidR="006947FD" w:rsidRPr="00A23FB4" w:rsidRDefault="006947FD" w:rsidP="006947FD">
      <w:pPr>
        <w:pStyle w:val="StylIwony"/>
        <w:spacing w:before="0" w:after="0"/>
        <w:rPr>
          <w:rFonts w:asciiTheme="minorHAnsi" w:hAnsiTheme="minorHAnsi" w:cstheme="minorHAnsi"/>
          <w:sz w:val="20"/>
          <w:szCs w:val="20"/>
        </w:rPr>
      </w:pPr>
      <w:r w:rsidRPr="00A23FB4">
        <w:rPr>
          <w:rFonts w:asciiTheme="minorHAnsi" w:hAnsiTheme="minorHAnsi" w:cstheme="minorHAnsi"/>
          <w:b/>
          <w:bCs/>
          <w:sz w:val="20"/>
          <w:szCs w:val="20"/>
        </w:rPr>
        <w:t>2.7.4.</w:t>
      </w:r>
      <w:r w:rsidRPr="00A23FB4">
        <w:rPr>
          <w:rFonts w:asciiTheme="minorHAnsi" w:hAnsiTheme="minorHAnsi" w:cstheme="minorHAnsi"/>
          <w:sz w:val="20"/>
          <w:szCs w:val="20"/>
        </w:rPr>
        <w:t xml:space="preserve"> Wpusty żeliwne</w:t>
      </w:r>
    </w:p>
    <w:p w14:paraId="3A153FC6" w14:textId="77777777" w:rsidR="006947FD" w:rsidRPr="00A23FB4" w:rsidRDefault="006947FD" w:rsidP="006947FD">
      <w:pPr>
        <w:pStyle w:val="StylIwony"/>
        <w:spacing w:before="0" w:after="0"/>
        <w:rPr>
          <w:rFonts w:asciiTheme="minorHAnsi" w:hAnsiTheme="minorHAnsi" w:cstheme="minorHAnsi"/>
          <w:sz w:val="20"/>
          <w:szCs w:val="20"/>
        </w:rPr>
      </w:pPr>
      <w:r w:rsidRPr="00A23FB4">
        <w:rPr>
          <w:rFonts w:asciiTheme="minorHAnsi" w:hAnsiTheme="minorHAnsi" w:cstheme="minorHAnsi"/>
          <w:sz w:val="20"/>
          <w:szCs w:val="20"/>
        </w:rPr>
        <w:t>Skrzynki lub ramki wpustów mogą  być składowane na otwartej przestrzeni, na paletach w stosach o wysokości maksimum 1,5 m.</w:t>
      </w:r>
    </w:p>
    <w:p w14:paraId="5C3C665F" w14:textId="77777777" w:rsidR="006947FD" w:rsidRPr="00A23FB4" w:rsidRDefault="006947FD" w:rsidP="006947FD">
      <w:pPr>
        <w:pStyle w:val="StylIwony"/>
        <w:spacing w:before="0" w:after="0"/>
        <w:rPr>
          <w:rFonts w:asciiTheme="minorHAnsi" w:hAnsiTheme="minorHAnsi" w:cstheme="minorHAnsi"/>
          <w:sz w:val="20"/>
          <w:szCs w:val="20"/>
        </w:rPr>
      </w:pPr>
      <w:r w:rsidRPr="00A23FB4">
        <w:rPr>
          <w:rFonts w:asciiTheme="minorHAnsi" w:hAnsiTheme="minorHAnsi" w:cstheme="minorHAnsi"/>
          <w:b/>
          <w:bCs/>
          <w:sz w:val="20"/>
          <w:szCs w:val="20"/>
        </w:rPr>
        <w:t>2.7.5.</w:t>
      </w:r>
      <w:r w:rsidRPr="00A23FB4">
        <w:rPr>
          <w:rFonts w:asciiTheme="minorHAnsi" w:hAnsiTheme="minorHAnsi" w:cstheme="minorHAnsi"/>
          <w:sz w:val="20"/>
          <w:szCs w:val="20"/>
        </w:rPr>
        <w:t xml:space="preserve"> Kruszywo</w:t>
      </w:r>
    </w:p>
    <w:p w14:paraId="14302361" w14:textId="77777777" w:rsidR="006947FD" w:rsidRPr="00A23FB4" w:rsidRDefault="006947FD" w:rsidP="006947FD">
      <w:pPr>
        <w:pStyle w:val="StylIwony"/>
        <w:spacing w:before="0" w:after="0"/>
        <w:rPr>
          <w:rFonts w:asciiTheme="minorHAnsi" w:hAnsiTheme="minorHAnsi" w:cstheme="minorHAnsi"/>
          <w:sz w:val="20"/>
          <w:szCs w:val="20"/>
        </w:rPr>
      </w:pPr>
      <w:r w:rsidRPr="00A23FB4">
        <w:rPr>
          <w:rFonts w:asciiTheme="minorHAnsi" w:hAnsiTheme="minorHAnsi" w:cstheme="minorHAnsi"/>
          <w:sz w:val="20"/>
          <w:szCs w:val="20"/>
        </w:rPr>
        <w:t>Kruszywo należy składować na utwardzonym i odwodnionym podłożu w sposób zabezpieczający je przed zanieczyszczeniem i zmieszaniem z innymi rodzajami i frakcjami kruszyw.</w:t>
      </w:r>
    </w:p>
    <w:p w14:paraId="15CA040D" w14:textId="77777777" w:rsidR="006947FD" w:rsidRPr="00A23FB4" w:rsidRDefault="006947FD" w:rsidP="006947FD">
      <w:pPr>
        <w:pStyle w:val="Nagwek2"/>
        <w:pageBreakBefore w:val="0"/>
        <w:numPr>
          <w:ilvl w:val="1"/>
          <w:numId w:val="0"/>
        </w:numPr>
        <w:tabs>
          <w:tab w:val="num" w:pos="0"/>
        </w:tabs>
        <w:suppressAutoHyphens/>
        <w:autoSpaceDN/>
        <w:adjustRightInd/>
        <w:spacing w:before="0" w:after="0"/>
        <w:jc w:val="both"/>
        <w:rPr>
          <w:rFonts w:asciiTheme="minorHAnsi" w:hAnsiTheme="minorHAnsi" w:cstheme="minorHAnsi"/>
          <w:sz w:val="20"/>
          <w:szCs w:val="20"/>
        </w:rPr>
      </w:pPr>
    </w:p>
    <w:p w14:paraId="020A28F7" w14:textId="77777777" w:rsidR="006947FD" w:rsidRPr="00A23FB4" w:rsidRDefault="006947FD" w:rsidP="00B80411">
      <w:pPr>
        <w:rPr>
          <w:rFonts w:asciiTheme="minorHAnsi" w:hAnsiTheme="minorHAnsi" w:cstheme="minorHAnsi"/>
          <w:b/>
        </w:rPr>
      </w:pPr>
      <w:bookmarkStart w:id="426" w:name="_Toc358023966"/>
      <w:bookmarkStart w:id="427" w:name="_Toc358024381"/>
      <w:bookmarkStart w:id="428" w:name="_Toc358024796"/>
      <w:r w:rsidRPr="00A23FB4">
        <w:rPr>
          <w:rFonts w:asciiTheme="minorHAnsi" w:hAnsiTheme="minorHAnsi" w:cstheme="minorHAnsi"/>
          <w:b/>
        </w:rPr>
        <w:t>3. SPRZĘT</w:t>
      </w:r>
      <w:bookmarkEnd w:id="426"/>
      <w:bookmarkEnd w:id="427"/>
      <w:bookmarkEnd w:id="428"/>
    </w:p>
    <w:p w14:paraId="5AD22EB8" w14:textId="77777777" w:rsidR="006947FD" w:rsidRPr="00A23FB4" w:rsidRDefault="006947FD" w:rsidP="006947FD">
      <w:pPr>
        <w:pStyle w:val="Nagwek3"/>
        <w:numPr>
          <w:ilvl w:val="2"/>
          <w:numId w:val="0"/>
        </w:numPr>
        <w:tabs>
          <w:tab w:val="num" w:pos="0"/>
        </w:tabs>
        <w:suppressAutoHyphens/>
        <w:autoSpaceDN/>
        <w:adjustRightInd/>
        <w:spacing w:before="0" w:after="0"/>
        <w:rPr>
          <w:rFonts w:asciiTheme="minorHAnsi" w:hAnsiTheme="minorHAnsi" w:cstheme="minorHAnsi"/>
        </w:rPr>
      </w:pPr>
    </w:p>
    <w:p w14:paraId="4C574261" w14:textId="77777777" w:rsidR="006947FD" w:rsidRPr="00A23FB4" w:rsidRDefault="006947FD" w:rsidP="005C45EE">
      <w:pPr>
        <w:rPr>
          <w:rFonts w:asciiTheme="minorHAnsi" w:hAnsiTheme="minorHAnsi" w:cstheme="minorHAnsi"/>
          <w:b/>
        </w:rPr>
      </w:pPr>
      <w:bookmarkStart w:id="429" w:name="_Toc358023967"/>
      <w:bookmarkStart w:id="430" w:name="_Toc358024382"/>
      <w:bookmarkStart w:id="431" w:name="_Toc358024797"/>
      <w:r w:rsidRPr="00A23FB4">
        <w:rPr>
          <w:rFonts w:asciiTheme="minorHAnsi" w:hAnsiTheme="minorHAnsi" w:cstheme="minorHAnsi"/>
          <w:b/>
        </w:rPr>
        <w:t>3.1. Ogólne wymagania dotyczące sprzętu</w:t>
      </w:r>
      <w:bookmarkEnd w:id="429"/>
      <w:bookmarkEnd w:id="430"/>
      <w:bookmarkEnd w:id="431"/>
    </w:p>
    <w:p w14:paraId="4A9A658B" w14:textId="37CE84A3" w:rsidR="006947FD" w:rsidRPr="00A23FB4" w:rsidRDefault="006947FD" w:rsidP="006947FD">
      <w:pPr>
        <w:pStyle w:val="StylIwony"/>
        <w:spacing w:before="0" w:after="0"/>
        <w:rPr>
          <w:rFonts w:asciiTheme="minorHAnsi" w:hAnsiTheme="minorHAnsi" w:cstheme="minorHAnsi"/>
          <w:sz w:val="20"/>
          <w:szCs w:val="20"/>
        </w:rPr>
      </w:pPr>
      <w:r w:rsidRPr="00A23FB4">
        <w:rPr>
          <w:rFonts w:asciiTheme="minorHAnsi" w:hAnsiTheme="minorHAnsi" w:cstheme="minorHAnsi"/>
          <w:sz w:val="20"/>
          <w:szCs w:val="20"/>
        </w:rPr>
        <w:t xml:space="preserve">Ogólne wymagania dotyczące sprzętu podano w </w:t>
      </w:r>
      <w:r w:rsidR="001E5FB3">
        <w:rPr>
          <w:rFonts w:asciiTheme="minorHAnsi" w:hAnsiTheme="minorHAnsi" w:cstheme="minorHAnsi"/>
          <w:sz w:val="20"/>
          <w:szCs w:val="20"/>
        </w:rPr>
        <w:t>ST</w:t>
      </w:r>
      <w:r w:rsidR="00E348FF" w:rsidRPr="00A23FB4">
        <w:rPr>
          <w:rFonts w:asciiTheme="minorHAnsi" w:hAnsiTheme="minorHAnsi" w:cstheme="minorHAnsi"/>
          <w:sz w:val="20"/>
          <w:szCs w:val="20"/>
        </w:rPr>
        <w:t>WiORB</w:t>
      </w:r>
      <w:r w:rsidRPr="00A23FB4">
        <w:rPr>
          <w:rFonts w:asciiTheme="minorHAnsi" w:hAnsiTheme="minorHAnsi" w:cstheme="minorHAnsi"/>
          <w:sz w:val="20"/>
          <w:szCs w:val="20"/>
        </w:rPr>
        <w:t xml:space="preserve"> D-M-00.00.00 „Wymagania ogólne” pkt 3.</w:t>
      </w:r>
    </w:p>
    <w:p w14:paraId="20366B53" w14:textId="77777777" w:rsidR="006947FD" w:rsidRPr="00A23FB4" w:rsidRDefault="006947FD" w:rsidP="006947FD">
      <w:pPr>
        <w:pStyle w:val="Nagwek3"/>
        <w:numPr>
          <w:ilvl w:val="2"/>
          <w:numId w:val="0"/>
        </w:numPr>
        <w:tabs>
          <w:tab w:val="num" w:pos="0"/>
        </w:tabs>
        <w:suppressAutoHyphens/>
        <w:autoSpaceDN/>
        <w:adjustRightInd/>
        <w:spacing w:before="0" w:after="0"/>
        <w:rPr>
          <w:rFonts w:asciiTheme="minorHAnsi" w:hAnsiTheme="minorHAnsi" w:cstheme="minorHAnsi"/>
        </w:rPr>
      </w:pPr>
    </w:p>
    <w:p w14:paraId="62C02338" w14:textId="77777777" w:rsidR="006947FD" w:rsidRPr="00A23FB4" w:rsidRDefault="006947FD" w:rsidP="005C45EE">
      <w:pPr>
        <w:rPr>
          <w:rFonts w:asciiTheme="minorHAnsi" w:hAnsiTheme="minorHAnsi" w:cstheme="minorHAnsi"/>
          <w:b/>
        </w:rPr>
      </w:pPr>
      <w:bookmarkStart w:id="432" w:name="_Toc358023968"/>
      <w:bookmarkStart w:id="433" w:name="_Toc358024383"/>
      <w:bookmarkStart w:id="434" w:name="_Toc358024798"/>
      <w:r w:rsidRPr="00A23FB4">
        <w:rPr>
          <w:rFonts w:asciiTheme="minorHAnsi" w:hAnsiTheme="minorHAnsi" w:cstheme="minorHAnsi"/>
          <w:b/>
        </w:rPr>
        <w:t>3.2. Sprzęt do wykonania kanalizacji deszczowej</w:t>
      </w:r>
      <w:bookmarkEnd w:id="432"/>
      <w:bookmarkEnd w:id="433"/>
      <w:bookmarkEnd w:id="434"/>
    </w:p>
    <w:p w14:paraId="001413E8" w14:textId="77777777" w:rsidR="006947FD" w:rsidRPr="00A23FB4" w:rsidRDefault="006947FD" w:rsidP="006947FD">
      <w:pPr>
        <w:pStyle w:val="StylIwony"/>
        <w:spacing w:before="0" w:after="0"/>
        <w:rPr>
          <w:rFonts w:asciiTheme="minorHAnsi" w:hAnsiTheme="minorHAnsi" w:cstheme="minorHAnsi"/>
          <w:sz w:val="20"/>
          <w:szCs w:val="20"/>
        </w:rPr>
      </w:pPr>
      <w:r w:rsidRPr="00A23FB4">
        <w:rPr>
          <w:rFonts w:asciiTheme="minorHAnsi" w:hAnsiTheme="minorHAnsi" w:cstheme="minorHAnsi"/>
          <w:sz w:val="20"/>
          <w:szCs w:val="20"/>
        </w:rPr>
        <w:t>Wykonawca przystępujący do wykonania kanalizacji deszczowej powinien wykazać się możliwością korzystania z następującego sprzętu:</w:t>
      </w:r>
    </w:p>
    <w:p w14:paraId="1D4C68BA" w14:textId="77777777" w:rsidR="006947FD" w:rsidRPr="00A23FB4" w:rsidRDefault="006947FD" w:rsidP="00262498">
      <w:pPr>
        <w:pStyle w:val="StylIwony"/>
        <w:numPr>
          <w:ilvl w:val="0"/>
          <w:numId w:val="15"/>
        </w:numPr>
        <w:tabs>
          <w:tab w:val="left" w:pos="283"/>
        </w:tabs>
        <w:suppressAutoHyphens/>
        <w:autoSpaceDN/>
        <w:adjustRightInd/>
        <w:spacing w:before="0" w:after="0"/>
        <w:rPr>
          <w:rFonts w:asciiTheme="minorHAnsi" w:hAnsiTheme="minorHAnsi" w:cstheme="minorHAnsi"/>
          <w:sz w:val="20"/>
          <w:szCs w:val="20"/>
        </w:rPr>
      </w:pPr>
      <w:r w:rsidRPr="00A23FB4">
        <w:rPr>
          <w:rFonts w:asciiTheme="minorHAnsi" w:hAnsiTheme="minorHAnsi" w:cstheme="minorHAnsi"/>
          <w:sz w:val="20"/>
          <w:szCs w:val="20"/>
        </w:rPr>
        <w:t>żurawi budowlanych samochodowych,</w:t>
      </w:r>
    </w:p>
    <w:p w14:paraId="175A58F4" w14:textId="77777777" w:rsidR="006947FD" w:rsidRPr="00A23FB4" w:rsidRDefault="006947FD" w:rsidP="00262498">
      <w:pPr>
        <w:pStyle w:val="StylIwony"/>
        <w:numPr>
          <w:ilvl w:val="0"/>
          <w:numId w:val="15"/>
        </w:numPr>
        <w:tabs>
          <w:tab w:val="left" w:pos="283"/>
        </w:tabs>
        <w:suppressAutoHyphens/>
        <w:autoSpaceDN/>
        <w:adjustRightInd/>
        <w:spacing w:before="0" w:after="0"/>
        <w:rPr>
          <w:rFonts w:asciiTheme="minorHAnsi" w:hAnsiTheme="minorHAnsi" w:cstheme="minorHAnsi"/>
          <w:sz w:val="20"/>
          <w:szCs w:val="20"/>
        </w:rPr>
      </w:pPr>
      <w:r w:rsidRPr="00A23FB4">
        <w:rPr>
          <w:rFonts w:asciiTheme="minorHAnsi" w:hAnsiTheme="minorHAnsi" w:cstheme="minorHAnsi"/>
          <w:sz w:val="20"/>
          <w:szCs w:val="20"/>
        </w:rPr>
        <w:t>koparek przedsiębiernych,</w:t>
      </w:r>
    </w:p>
    <w:p w14:paraId="00133E4B" w14:textId="77777777" w:rsidR="006947FD" w:rsidRPr="00A23FB4" w:rsidRDefault="006947FD" w:rsidP="00262498">
      <w:pPr>
        <w:pStyle w:val="StylIwony"/>
        <w:numPr>
          <w:ilvl w:val="0"/>
          <w:numId w:val="15"/>
        </w:numPr>
        <w:tabs>
          <w:tab w:val="left" w:pos="283"/>
        </w:tabs>
        <w:suppressAutoHyphens/>
        <w:autoSpaceDN/>
        <w:adjustRightInd/>
        <w:spacing w:before="0" w:after="0"/>
        <w:rPr>
          <w:rFonts w:asciiTheme="minorHAnsi" w:hAnsiTheme="minorHAnsi" w:cstheme="minorHAnsi"/>
          <w:sz w:val="20"/>
          <w:szCs w:val="20"/>
        </w:rPr>
      </w:pPr>
      <w:r w:rsidRPr="00A23FB4">
        <w:rPr>
          <w:rFonts w:asciiTheme="minorHAnsi" w:hAnsiTheme="minorHAnsi" w:cstheme="minorHAnsi"/>
          <w:sz w:val="20"/>
          <w:szCs w:val="20"/>
        </w:rPr>
        <w:t>spycharek kołowych lub gąsiennicowych,</w:t>
      </w:r>
    </w:p>
    <w:p w14:paraId="7D4978D1" w14:textId="77777777" w:rsidR="006947FD" w:rsidRPr="00A23FB4" w:rsidRDefault="006947FD" w:rsidP="00262498">
      <w:pPr>
        <w:pStyle w:val="StylIwony"/>
        <w:numPr>
          <w:ilvl w:val="0"/>
          <w:numId w:val="15"/>
        </w:numPr>
        <w:tabs>
          <w:tab w:val="left" w:pos="283"/>
        </w:tabs>
        <w:suppressAutoHyphens/>
        <w:autoSpaceDN/>
        <w:adjustRightInd/>
        <w:spacing w:before="0" w:after="0"/>
        <w:rPr>
          <w:rFonts w:asciiTheme="minorHAnsi" w:hAnsiTheme="minorHAnsi" w:cstheme="minorHAnsi"/>
          <w:sz w:val="20"/>
          <w:szCs w:val="20"/>
        </w:rPr>
      </w:pPr>
      <w:r w:rsidRPr="00A23FB4">
        <w:rPr>
          <w:rFonts w:asciiTheme="minorHAnsi" w:hAnsiTheme="minorHAnsi" w:cstheme="minorHAnsi"/>
          <w:sz w:val="20"/>
          <w:szCs w:val="20"/>
        </w:rPr>
        <w:t>sprzętu do zagęszczania gruntu,</w:t>
      </w:r>
    </w:p>
    <w:p w14:paraId="06ACE543" w14:textId="77777777" w:rsidR="006947FD" w:rsidRPr="00A23FB4" w:rsidRDefault="006947FD" w:rsidP="00262498">
      <w:pPr>
        <w:pStyle w:val="StylIwony"/>
        <w:numPr>
          <w:ilvl w:val="0"/>
          <w:numId w:val="15"/>
        </w:numPr>
        <w:tabs>
          <w:tab w:val="left" w:pos="283"/>
        </w:tabs>
        <w:suppressAutoHyphens/>
        <w:autoSpaceDN/>
        <w:adjustRightInd/>
        <w:spacing w:before="0" w:after="0"/>
        <w:rPr>
          <w:rFonts w:asciiTheme="minorHAnsi" w:hAnsiTheme="minorHAnsi" w:cstheme="minorHAnsi"/>
          <w:sz w:val="20"/>
          <w:szCs w:val="20"/>
        </w:rPr>
      </w:pPr>
      <w:r w:rsidRPr="00A23FB4">
        <w:rPr>
          <w:rFonts w:asciiTheme="minorHAnsi" w:hAnsiTheme="minorHAnsi" w:cstheme="minorHAnsi"/>
          <w:sz w:val="20"/>
          <w:szCs w:val="20"/>
        </w:rPr>
        <w:t>wciągarek mechanicznych,</w:t>
      </w:r>
    </w:p>
    <w:p w14:paraId="31E3FBDB" w14:textId="77777777" w:rsidR="006947FD" w:rsidRPr="00A23FB4" w:rsidRDefault="006947FD" w:rsidP="00262498">
      <w:pPr>
        <w:pStyle w:val="StylIwony"/>
        <w:numPr>
          <w:ilvl w:val="0"/>
          <w:numId w:val="15"/>
        </w:numPr>
        <w:tabs>
          <w:tab w:val="left" w:pos="283"/>
        </w:tabs>
        <w:suppressAutoHyphens/>
        <w:autoSpaceDN/>
        <w:adjustRightInd/>
        <w:spacing w:before="0" w:after="0"/>
        <w:rPr>
          <w:rFonts w:asciiTheme="minorHAnsi" w:hAnsiTheme="minorHAnsi" w:cstheme="minorHAnsi"/>
          <w:sz w:val="20"/>
          <w:szCs w:val="20"/>
        </w:rPr>
      </w:pPr>
      <w:r w:rsidRPr="00A23FB4">
        <w:rPr>
          <w:rFonts w:asciiTheme="minorHAnsi" w:hAnsiTheme="minorHAnsi" w:cstheme="minorHAnsi"/>
          <w:sz w:val="20"/>
          <w:szCs w:val="20"/>
        </w:rPr>
        <w:t>beczkowozów.</w:t>
      </w:r>
    </w:p>
    <w:p w14:paraId="1241C319" w14:textId="77777777" w:rsidR="00ED6046" w:rsidRPr="00A23FB4" w:rsidRDefault="00ED6046" w:rsidP="00B80411">
      <w:pPr>
        <w:rPr>
          <w:rFonts w:asciiTheme="minorHAnsi" w:hAnsiTheme="minorHAnsi" w:cstheme="minorHAnsi"/>
          <w:b/>
        </w:rPr>
      </w:pPr>
      <w:bookmarkStart w:id="435" w:name="_Toc358023969"/>
      <w:bookmarkStart w:id="436" w:name="_Toc358024384"/>
      <w:bookmarkStart w:id="437" w:name="_Toc358024799"/>
    </w:p>
    <w:p w14:paraId="7FE654F1" w14:textId="77777777" w:rsidR="006947FD" w:rsidRPr="00A23FB4" w:rsidRDefault="006947FD" w:rsidP="00B80411">
      <w:pPr>
        <w:rPr>
          <w:rFonts w:asciiTheme="minorHAnsi" w:hAnsiTheme="minorHAnsi" w:cstheme="minorHAnsi"/>
          <w:b/>
        </w:rPr>
      </w:pPr>
      <w:r w:rsidRPr="00A23FB4">
        <w:rPr>
          <w:rFonts w:asciiTheme="minorHAnsi" w:hAnsiTheme="minorHAnsi" w:cstheme="minorHAnsi"/>
          <w:b/>
        </w:rPr>
        <w:t>4. TRANSPORT</w:t>
      </w:r>
      <w:bookmarkEnd w:id="435"/>
      <w:bookmarkEnd w:id="436"/>
      <w:bookmarkEnd w:id="437"/>
    </w:p>
    <w:p w14:paraId="4255B0F7" w14:textId="77777777" w:rsidR="006947FD" w:rsidRPr="00A23FB4" w:rsidRDefault="006947FD" w:rsidP="006947FD">
      <w:pPr>
        <w:pStyle w:val="Nagwek3"/>
        <w:numPr>
          <w:ilvl w:val="2"/>
          <w:numId w:val="0"/>
        </w:numPr>
        <w:tabs>
          <w:tab w:val="num" w:pos="0"/>
        </w:tabs>
        <w:suppressAutoHyphens/>
        <w:autoSpaceDN/>
        <w:adjustRightInd/>
        <w:spacing w:before="0" w:after="0"/>
        <w:rPr>
          <w:rFonts w:asciiTheme="minorHAnsi" w:hAnsiTheme="minorHAnsi" w:cstheme="minorHAnsi"/>
        </w:rPr>
      </w:pPr>
    </w:p>
    <w:p w14:paraId="6C72C0AE" w14:textId="77777777" w:rsidR="006947FD" w:rsidRPr="00A23FB4" w:rsidRDefault="006947FD" w:rsidP="005C45EE">
      <w:pPr>
        <w:rPr>
          <w:rFonts w:asciiTheme="minorHAnsi" w:hAnsiTheme="minorHAnsi" w:cstheme="minorHAnsi"/>
          <w:b/>
        </w:rPr>
      </w:pPr>
      <w:bookmarkStart w:id="438" w:name="_Toc358023970"/>
      <w:bookmarkStart w:id="439" w:name="_Toc358024385"/>
      <w:bookmarkStart w:id="440" w:name="_Toc358024800"/>
      <w:r w:rsidRPr="00A23FB4">
        <w:rPr>
          <w:rFonts w:asciiTheme="minorHAnsi" w:hAnsiTheme="minorHAnsi" w:cstheme="minorHAnsi"/>
          <w:b/>
        </w:rPr>
        <w:t>4.1. Ogólne wymagania dotyczące transportu</w:t>
      </w:r>
      <w:bookmarkEnd w:id="438"/>
      <w:bookmarkEnd w:id="439"/>
      <w:bookmarkEnd w:id="440"/>
    </w:p>
    <w:p w14:paraId="0956C1F5" w14:textId="50B58905" w:rsidR="009F5DEB" w:rsidRPr="00A23FB4" w:rsidRDefault="006947FD" w:rsidP="004D2317">
      <w:pPr>
        <w:pStyle w:val="StylIwony"/>
        <w:spacing w:before="0" w:after="0"/>
        <w:rPr>
          <w:rFonts w:asciiTheme="minorHAnsi" w:hAnsiTheme="minorHAnsi" w:cstheme="minorHAnsi"/>
          <w:sz w:val="20"/>
          <w:szCs w:val="20"/>
        </w:rPr>
      </w:pPr>
      <w:r w:rsidRPr="00A23FB4">
        <w:rPr>
          <w:rFonts w:asciiTheme="minorHAnsi" w:hAnsiTheme="minorHAnsi" w:cstheme="minorHAnsi"/>
          <w:sz w:val="20"/>
          <w:szCs w:val="20"/>
        </w:rPr>
        <w:t xml:space="preserve">Ogólne wymagania dotyczące transportu podano w </w:t>
      </w:r>
      <w:r w:rsidR="001E5FB3">
        <w:rPr>
          <w:rFonts w:asciiTheme="minorHAnsi" w:hAnsiTheme="minorHAnsi" w:cstheme="minorHAnsi"/>
          <w:sz w:val="20"/>
          <w:szCs w:val="20"/>
        </w:rPr>
        <w:t>ST</w:t>
      </w:r>
      <w:r w:rsidR="00E348FF" w:rsidRPr="00A23FB4">
        <w:rPr>
          <w:rFonts w:asciiTheme="minorHAnsi" w:hAnsiTheme="minorHAnsi" w:cstheme="minorHAnsi"/>
          <w:sz w:val="20"/>
          <w:szCs w:val="20"/>
        </w:rPr>
        <w:t>WiORB</w:t>
      </w:r>
      <w:r w:rsidRPr="00A23FB4">
        <w:rPr>
          <w:rFonts w:asciiTheme="minorHAnsi" w:hAnsiTheme="minorHAnsi" w:cstheme="minorHAnsi"/>
          <w:sz w:val="20"/>
          <w:szCs w:val="20"/>
        </w:rPr>
        <w:t xml:space="preserve"> D-M-00.00.00 „Wymagania ogólne” pkt 4.</w:t>
      </w:r>
      <w:bookmarkStart w:id="441" w:name="_Toc358023971"/>
      <w:bookmarkStart w:id="442" w:name="_Toc358024386"/>
      <w:bookmarkStart w:id="443" w:name="_Toc358024801"/>
    </w:p>
    <w:p w14:paraId="605B9976" w14:textId="77777777" w:rsidR="006947FD" w:rsidRPr="00A23FB4" w:rsidRDefault="006947FD" w:rsidP="005C45EE">
      <w:pPr>
        <w:rPr>
          <w:rFonts w:asciiTheme="minorHAnsi" w:hAnsiTheme="minorHAnsi" w:cstheme="minorHAnsi"/>
          <w:b/>
        </w:rPr>
      </w:pPr>
      <w:r w:rsidRPr="00A23FB4">
        <w:rPr>
          <w:rFonts w:asciiTheme="minorHAnsi" w:hAnsiTheme="minorHAnsi" w:cstheme="minorHAnsi"/>
          <w:b/>
        </w:rPr>
        <w:t>4.2. Transport rur kanałowych</w:t>
      </w:r>
      <w:bookmarkEnd w:id="441"/>
      <w:bookmarkEnd w:id="442"/>
      <w:bookmarkEnd w:id="443"/>
    </w:p>
    <w:p w14:paraId="351B2C51" w14:textId="77777777" w:rsidR="006947FD" w:rsidRPr="00A23FB4" w:rsidRDefault="006947FD" w:rsidP="006947FD">
      <w:pPr>
        <w:pStyle w:val="StylIwony"/>
        <w:spacing w:before="0" w:after="0"/>
        <w:rPr>
          <w:rFonts w:asciiTheme="minorHAnsi" w:hAnsiTheme="minorHAnsi" w:cstheme="minorHAnsi"/>
          <w:sz w:val="20"/>
          <w:szCs w:val="20"/>
        </w:rPr>
      </w:pPr>
      <w:r w:rsidRPr="00A23FB4">
        <w:rPr>
          <w:rFonts w:asciiTheme="minorHAnsi" w:hAnsiTheme="minorHAnsi" w:cstheme="minorHAnsi"/>
          <w:sz w:val="20"/>
          <w:szCs w:val="20"/>
        </w:rPr>
        <w:t xml:space="preserve">Rury mogą być przewożone dowolnymi środkami transportu w sposób zabezpieczający je przed uszkodzeniem lub zniszczeniem. </w:t>
      </w:r>
    </w:p>
    <w:p w14:paraId="6E800134" w14:textId="77777777" w:rsidR="006947FD" w:rsidRPr="00A23FB4" w:rsidRDefault="006947FD" w:rsidP="006947FD">
      <w:pPr>
        <w:pStyle w:val="StylIwony"/>
        <w:spacing w:before="0" w:after="0"/>
        <w:rPr>
          <w:rFonts w:asciiTheme="minorHAnsi" w:hAnsiTheme="minorHAnsi" w:cstheme="minorHAnsi"/>
          <w:sz w:val="20"/>
          <w:szCs w:val="20"/>
        </w:rPr>
      </w:pPr>
      <w:r w:rsidRPr="00A23FB4">
        <w:rPr>
          <w:rFonts w:asciiTheme="minorHAnsi" w:hAnsiTheme="minorHAnsi" w:cstheme="minorHAnsi"/>
          <w:sz w:val="20"/>
          <w:szCs w:val="20"/>
        </w:rPr>
        <w:t>Wykonawca zapewni przewóz rur w pozycji poziomej wzdłuż środka transportu.</w:t>
      </w:r>
    </w:p>
    <w:p w14:paraId="3FBB29AB" w14:textId="77777777" w:rsidR="006947FD" w:rsidRPr="00A23FB4" w:rsidRDefault="006947FD" w:rsidP="006947FD">
      <w:pPr>
        <w:pStyle w:val="StylIwony"/>
        <w:spacing w:before="0" w:after="0"/>
        <w:rPr>
          <w:rFonts w:asciiTheme="minorHAnsi" w:hAnsiTheme="minorHAnsi" w:cstheme="minorHAnsi"/>
          <w:sz w:val="20"/>
          <w:szCs w:val="20"/>
        </w:rPr>
      </w:pPr>
      <w:r w:rsidRPr="00A23FB4">
        <w:rPr>
          <w:rFonts w:asciiTheme="minorHAnsi" w:hAnsiTheme="minorHAnsi" w:cstheme="minorHAnsi"/>
          <w:sz w:val="20"/>
          <w:szCs w:val="20"/>
        </w:rPr>
        <w:t>Wykonawca zabezpieczy wyroby przewożone w pozycji poziomej przed przesuwaniem i przetaczaniem pod wpływem sił bezwładności występujących w czasie ruchu pojazdów.</w:t>
      </w:r>
    </w:p>
    <w:p w14:paraId="0A3A4FAE" w14:textId="77777777" w:rsidR="006947FD" w:rsidRPr="00A23FB4" w:rsidRDefault="006947FD" w:rsidP="006947FD">
      <w:pPr>
        <w:pStyle w:val="StylIwony"/>
        <w:spacing w:before="0" w:after="0"/>
        <w:rPr>
          <w:rFonts w:asciiTheme="minorHAnsi" w:hAnsiTheme="minorHAnsi" w:cstheme="minorHAnsi"/>
          <w:sz w:val="20"/>
          <w:szCs w:val="20"/>
        </w:rPr>
      </w:pPr>
      <w:r w:rsidRPr="00A23FB4">
        <w:rPr>
          <w:rFonts w:asciiTheme="minorHAnsi" w:hAnsiTheme="minorHAnsi" w:cstheme="minorHAnsi"/>
          <w:sz w:val="20"/>
          <w:szCs w:val="20"/>
        </w:rPr>
        <w:t>Przy wielowarstwowym układaniu rur górna warstwa nie może przewyższać ścian środka transportu o więcej niż 1/3 średnicy zewnętrznej wyrob</w:t>
      </w:r>
      <w:r w:rsidR="005E7D27" w:rsidRPr="00A23FB4">
        <w:rPr>
          <w:rFonts w:asciiTheme="minorHAnsi" w:hAnsiTheme="minorHAnsi" w:cstheme="minorHAnsi"/>
          <w:sz w:val="20"/>
          <w:szCs w:val="20"/>
        </w:rPr>
        <w:t>u</w:t>
      </w:r>
      <w:r w:rsidRPr="00A23FB4">
        <w:rPr>
          <w:rFonts w:asciiTheme="minorHAnsi" w:hAnsiTheme="minorHAnsi" w:cstheme="minorHAnsi"/>
          <w:sz w:val="20"/>
          <w:szCs w:val="20"/>
        </w:rPr>
        <w:t>.</w:t>
      </w:r>
    </w:p>
    <w:p w14:paraId="7A0F6F6B" w14:textId="77777777" w:rsidR="006947FD" w:rsidRPr="00A23FB4" w:rsidRDefault="006947FD" w:rsidP="006947FD">
      <w:pPr>
        <w:pStyle w:val="StylIwony"/>
        <w:spacing w:before="0" w:after="0"/>
        <w:rPr>
          <w:rFonts w:asciiTheme="minorHAnsi" w:hAnsiTheme="minorHAnsi" w:cstheme="minorHAnsi"/>
          <w:sz w:val="20"/>
          <w:szCs w:val="20"/>
        </w:rPr>
      </w:pPr>
    </w:p>
    <w:p w14:paraId="3D325854" w14:textId="77777777" w:rsidR="005C45EE" w:rsidRPr="00A23FB4" w:rsidRDefault="005C45EE" w:rsidP="005C45EE">
      <w:pPr>
        <w:rPr>
          <w:rFonts w:asciiTheme="minorHAnsi" w:hAnsiTheme="minorHAnsi" w:cstheme="minorHAnsi"/>
          <w:b/>
        </w:rPr>
      </w:pPr>
      <w:bookmarkStart w:id="444" w:name="_Toc358023972"/>
      <w:bookmarkStart w:id="445" w:name="_Toc358024387"/>
      <w:bookmarkStart w:id="446" w:name="_Toc358024802"/>
    </w:p>
    <w:p w14:paraId="4F735D1D" w14:textId="77777777" w:rsidR="006947FD" w:rsidRPr="00A23FB4" w:rsidRDefault="006947FD" w:rsidP="005C45EE">
      <w:pPr>
        <w:rPr>
          <w:rFonts w:asciiTheme="minorHAnsi" w:hAnsiTheme="minorHAnsi" w:cstheme="minorHAnsi"/>
          <w:b/>
        </w:rPr>
      </w:pPr>
      <w:r w:rsidRPr="00A23FB4">
        <w:rPr>
          <w:rFonts w:asciiTheme="minorHAnsi" w:hAnsiTheme="minorHAnsi" w:cstheme="minorHAnsi"/>
          <w:b/>
        </w:rPr>
        <w:t>4.3. Transport studni</w:t>
      </w:r>
      <w:bookmarkEnd w:id="444"/>
      <w:bookmarkEnd w:id="445"/>
      <w:bookmarkEnd w:id="446"/>
    </w:p>
    <w:p w14:paraId="17C81022" w14:textId="77777777" w:rsidR="006947FD" w:rsidRPr="00A23FB4" w:rsidRDefault="006947FD" w:rsidP="006947FD">
      <w:pPr>
        <w:pStyle w:val="StylIwony"/>
        <w:spacing w:before="0" w:after="0"/>
        <w:rPr>
          <w:rFonts w:asciiTheme="minorHAnsi" w:hAnsiTheme="minorHAnsi" w:cstheme="minorHAnsi"/>
          <w:sz w:val="20"/>
          <w:szCs w:val="20"/>
        </w:rPr>
      </w:pPr>
      <w:r w:rsidRPr="00A23FB4">
        <w:rPr>
          <w:rFonts w:asciiTheme="minorHAnsi" w:hAnsiTheme="minorHAnsi" w:cstheme="minorHAnsi"/>
          <w:sz w:val="20"/>
          <w:szCs w:val="20"/>
        </w:rPr>
        <w:t>Transport studni powinien odbywać się samochodami w pozycji wbudowania lub prostopadle do pozycji wbudowania.</w:t>
      </w:r>
    </w:p>
    <w:p w14:paraId="711F9FB9" w14:textId="77777777" w:rsidR="006947FD" w:rsidRPr="00A23FB4" w:rsidRDefault="006947FD" w:rsidP="006947FD">
      <w:pPr>
        <w:pStyle w:val="StylIwony"/>
        <w:spacing w:before="0" w:after="0"/>
        <w:rPr>
          <w:rFonts w:asciiTheme="minorHAnsi" w:hAnsiTheme="minorHAnsi" w:cstheme="minorHAnsi"/>
          <w:sz w:val="20"/>
          <w:szCs w:val="20"/>
        </w:rPr>
      </w:pPr>
      <w:r w:rsidRPr="00A23FB4">
        <w:rPr>
          <w:rFonts w:asciiTheme="minorHAnsi" w:hAnsiTheme="minorHAnsi" w:cstheme="minorHAnsi"/>
          <w:sz w:val="20"/>
          <w:szCs w:val="20"/>
        </w:rPr>
        <w:t>Dla zabezpieczenia przed uszkodzeniem przewożonych elementów, Wykonawca dokona ich usztywnienia przez zastosowanie przekładek, rozporów i klinów z drewna, gumy lub innych odpowiednich materiałów.</w:t>
      </w:r>
    </w:p>
    <w:p w14:paraId="653F5EF6" w14:textId="77777777" w:rsidR="006947FD" w:rsidRPr="00A23FB4" w:rsidRDefault="006947FD" w:rsidP="006947FD">
      <w:pPr>
        <w:pStyle w:val="StylIwony"/>
        <w:spacing w:before="0" w:after="0"/>
        <w:rPr>
          <w:rFonts w:asciiTheme="minorHAnsi" w:hAnsiTheme="minorHAnsi" w:cstheme="minorHAnsi"/>
          <w:sz w:val="20"/>
          <w:szCs w:val="20"/>
        </w:rPr>
      </w:pPr>
      <w:r w:rsidRPr="00A23FB4">
        <w:rPr>
          <w:rFonts w:asciiTheme="minorHAnsi" w:hAnsiTheme="minorHAnsi" w:cstheme="minorHAnsi"/>
          <w:sz w:val="20"/>
          <w:szCs w:val="20"/>
        </w:rPr>
        <w:t>Podnoszenie i opuszczanie studni należy wykonywać za pomocą minimum trzech lin zawiesia rozmieszczonych równomiernie na obwodzie prefabrykatu.</w:t>
      </w:r>
    </w:p>
    <w:p w14:paraId="4B2AECCA" w14:textId="77777777" w:rsidR="006947FD" w:rsidRPr="00A23FB4" w:rsidRDefault="006947FD" w:rsidP="006947FD">
      <w:pPr>
        <w:pStyle w:val="Nagwek3"/>
        <w:numPr>
          <w:ilvl w:val="2"/>
          <w:numId w:val="0"/>
        </w:numPr>
        <w:tabs>
          <w:tab w:val="num" w:pos="0"/>
        </w:tabs>
        <w:suppressAutoHyphens/>
        <w:autoSpaceDN/>
        <w:adjustRightInd/>
        <w:spacing w:before="0" w:after="0"/>
        <w:rPr>
          <w:rFonts w:asciiTheme="minorHAnsi" w:hAnsiTheme="minorHAnsi" w:cstheme="minorHAnsi"/>
        </w:rPr>
      </w:pPr>
    </w:p>
    <w:p w14:paraId="48CAF107" w14:textId="77777777" w:rsidR="006947FD" w:rsidRPr="00A23FB4" w:rsidRDefault="006947FD" w:rsidP="005C45EE">
      <w:pPr>
        <w:rPr>
          <w:rFonts w:asciiTheme="minorHAnsi" w:hAnsiTheme="minorHAnsi" w:cstheme="minorHAnsi"/>
          <w:b/>
        </w:rPr>
      </w:pPr>
      <w:bookmarkStart w:id="447" w:name="_Toc358023973"/>
      <w:bookmarkStart w:id="448" w:name="_Toc358024388"/>
      <w:bookmarkStart w:id="449" w:name="_Toc358024803"/>
      <w:r w:rsidRPr="00A23FB4">
        <w:rPr>
          <w:rFonts w:asciiTheme="minorHAnsi" w:hAnsiTheme="minorHAnsi" w:cstheme="minorHAnsi"/>
          <w:b/>
        </w:rPr>
        <w:t>4.4. Transport włazów kanałowych</w:t>
      </w:r>
      <w:bookmarkEnd w:id="447"/>
      <w:bookmarkEnd w:id="448"/>
      <w:bookmarkEnd w:id="449"/>
    </w:p>
    <w:p w14:paraId="2C8D65BF" w14:textId="77777777" w:rsidR="006947FD" w:rsidRPr="00A23FB4" w:rsidRDefault="006947FD" w:rsidP="006947FD">
      <w:pPr>
        <w:pStyle w:val="StylIwony"/>
        <w:spacing w:before="0" w:after="0"/>
        <w:rPr>
          <w:rFonts w:asciiTheme="minorHAnsi" w:hAnsiTheme="minorHAnsi" w:cstheme="minorHAnsi"/>
          <w:sz w:val="20"/>
          <w:szCs w:val="20"/>
        </w:rPr>
      </w:pPr>
      <w:r w:rsidRPr="00A23FB4">
        <w:rPr>
          <w:rFonts w:asciiTheme="minorHAnsi" w:hAnsiTheme="minorHAnsi" w:cstheme="minorHAnsi"/>
          <w:sz w:val="20"/>
          <w:szCs w:val="20"/>
        </w:rPr>
        <w:t>Włazy kanałowe mogą być transportowane dowolnymi środkami transportu w sposób zabezpieczony przed przemieszczaniem i uszkodzeniem.</w:t>
      </w:r>
    </w:p>
    <w:p w14:paraId="47851FD0" w14:textId="77777777" w:rsidR="006947FD" w:rsidRPr="00A23FB4" w:rsidRDefault="006947FD" w:rsidP="006947FD">
      <w:pPr>
        <w:pStyle w:val="StylIwony"/>
        <w:spacing w:before="0" w:after="0"/>
        <w:rPr>
          <w:rFonts w:asciiTheme="minorHAnsi" w:hAnsiTheme="minorHAnsi" w:cstheme="minorHAnsi"/>
          <w:sz w:val="20"/>
          <w:szCs w:val="20"/>
        </w:rPr>
      </w:pPr>
      <w:r w:rsidRPr="00A23FB4">
        <w:rPr>
          <w:rFonts w:asciiTheme="minorHAnsi" w:hAnsiTheme="minorHAnsi" w:cstheme="minorHAnsi"/>
          <w:sz w:val="20"/>
          <w:szCs w:val="20"/>
        </w:rPr>
        <w:t>Włazy mogą być przewożone luzem.</w:t>
      </w:r>
    </w:p>
    <w:p w14:paraId="592236B8" w14:textId="77777777" w:rsidR="006947FD" w:rsidRPr="00A23FB4" w:rsidRDefault="006947FD" w:rsidP="005C45EE">
      <w:pPr>
        <w:rPr>
          <w:rFonts w:asciiTheme="minorHAnsi" w:hAnsiTheme="minorHAnsi" w:cstheme="minorHAnsi"/>
          <w:b/>
        </w:rPr>
      </w:pPr>
    </w:p>
    <w:p w14:paraId="109A079D" w14:textId="77777777" w:rsidR="006947FD" w:rsidRPr="00A23FB4" w:rsidRDefault="006947FD" w:rsidP="005C45EE">
      <w:pPr>
        <w:rPr>
          <w:rFonts w:asciiTheme="minorHAnsi" w:hAnsiTheme="minorHAnsi" w:cstheme="minorHAnsi"/>
          <w:b/>
        </w:rPr>
      </w:pPr>
      <w:bookmarkStart w:id="450" w:name="_Toc358023974"/>
      <w:bookmarkStart w:id="451" w:name="_Toc358024389"/>
      <w:bookmarkStart w:id="452" w:name="_Toc358024804"/>
      <w:r w:rsidRPr="00A23FB4">
        <w:rPr>
          <w:rFonts w:asciiTheme="minorHAnsi" w:hAnsiTheme="minorHAnsi" w:cstheme="minorHAnsi"/>
          <w:b/>
        </w:rPr>
        <w:t>4.5. Transport wpustów żeliwnych</w:t>
      </w:r>
      <w:bookmarkEnd w:id="450"/>
      <w:bookmarkEnd w:id="451"/>
      <w:bookmarkEnd w:id="452"/>
    </w:p>
    <w:p w14:paraId="0022D28D" w14:textId="77777777" w:rsidR="006947FD" w:rsidRPr="00A23FB4" w:rsidRDefault="006947FD" w:rsidP="006947FD">
      <w:pPr>
        <w:pStyle w:val="StylIwony"/>
        <w:spacing w:before="0" w:after="0"/>
        <w:rPr>
          <w:rFonts w:asciiTheme="minorHAnsi" w:hAnsiTheme="minorHAnsi" w:cstheme="minorHAnsi"/>
          <w:sz w:val="20"/>
          <w:szCs w:val="20"/>
        </w:rPr>
      </w:pPr>
      <w:r w:rsidRPr="00A23FB4">
        <w:rPr>
          <w:rFonts w:asciiTheme="minorHAnsi" w:hAnsiTheme="minorHAnsi" w:cstheme="minorHAnsi"/>
          <w:sz w:val="20"/>
          <w:szCs w:val="20"/>
        </w:rPr>
        <w:t>Skrzynki lub ramki wpustów mogą być przewożone dowolnymi środkami transportu w sposób zabezpieczony przed przesuwaniem się podczas transportu.</w:t>
      </w:r>
    </w:p>
    <w:p w14:paraId="52F42DC2" w14:textId="77777777" w:rsidR="006947FD" w:rsidRPr="00A23FB4" w:rsidRDefault="006947FD" w:rsidP="006947FD">
      <w:pPr>
        <w:pStyle w:val="Nagwek3"/>
        <w:numPr>
          <w:ilvl w:val="2"/>
          <w:numId w:val="0"/>
        </w:numPr>
        <w:tabs>
          <w:tab w:val="num" w:pos="0"/>
        </w:tabs>
        <w:suppressAutoHyphens/>
        <w:autoSpaceDN/>
        <w:adjustRightInd/>
        <w:spacing w:before="0" w:after="0"/>
        <w:rPr>
          <w:rFonts w:asciiTheme="minorHAnsi" w:hAnsiTheme="minorHAnsi" w:cstheme="minorHAnsi"/>
        </w:rPr>
      </w:pPr>
    </w:p>
    <w:p w14:paraId="7C8C50B4" w14:textId="77777777" w:rsidR="006947FD" w:rsidRPr="00A23FB4" w:rsidRDefault="006947FD" w:rsidP="005C45EE">
      <w:pPr>
        <w:rPr>
          <w:rFonts w:asciiTheme="minorHAnsi" w:hAnsiTheme="minorHAnsi" w:cstheme="minorHAnsi"/>
          <w:b/>
        </w:rPr>
      </w:pPr>
      <w:bookmarkStart w:id="453" w:name="_Toc358023975"/>
      <w:bookmarkStart w:id="454" w:name="_Toc358024390"/>
      <w:bookmarkStart w:id="455" w:name="_Toc358024805"/>
      <w:r w:rsidRPr="00A23FB4">
        <w:rPr>
          <w:rFonts w:asciiTheme="minorHAnsi" w:hAnsiTheme="minorHAnsi" w:cstheme="minorHAnsi"/>
          <w:b/>
        </w:rPr>
        <w:t>4.6. Transport mieszanki betonowej</w:t>
      </w:r>
      <w:bookmarkEnd w:id="453"/>
      <w:bookmarkEnd w:id="454"/>
      <w:bookmarkEnd w:id="455"/>
    </w:p>
    <w:p w14:paraId="2E0100D4" w14:textId="77777777" w:rsidR="006947FD" w:rsidRPr="00A23FB4" w:rsidRDefault="006947FD" w:rsidP="006947FD">
      <w:pPr>
        <w:pStyle w:val="StylIwony"/>
        <w:spacing w:before="0" w:after="0"/>
        <w:rPr>
          <w:rFonts w:asciiTheme="minorHAnsi" w:hAnsiTheme="minorHAnsi" w:cstheme="minorHAnsi"/>
          <w:sz w:val="20"/>
          <w:szCs w:val="20"/>
        </w:rPr>
      </w:pPr>
      <w:r w:rsidRPr="00A23FB4">
        <w:rPr>
          <w:rFonts w:asciiTheme="minorHAnsi" w:hAnsiTheme="minorHAnsi" w:cstheme="minorHAnsi"/>
          <w:sz w:val="20"/>
          <w:szCs w:val="20"/>
        </w:rPr>
        <w:t>Do przewozu mieszanki betonowej Wykonawca zapewni takie środki transportowe, które nie spowodują segregacji składników, zmiany składu mieszanki, zanieczyszczenia mieszanki i obniżenia temperatury przekraczającej granicę określoną w wymaganiach technologicznych.</w:t>
      </w:r>
    </w:p>
    <w:p w14:paraId="77898D2B" w14:textId="77777777" w:rsidR="006947FD" w:rsidRPr="00A23FB4" w:rsidRDefault="006947FD" w:rsidP="006947FD">
      <w:pPr>
        <w:pStyle w:val="Nagwek3"/>
        <w:numPr>
          <w:ilvl w:val="2"/>
          <w:numId w:val="0"/>
        </w:numPr>
        <w:tabs>
          <w:tab w:val="num" w:pos="0"/>
        </w:tabs>
        <w:suppressAutoHyphens/>
        <w:autoSpaceDN/>
        <w:adjustRightInd/>
        <w:spacing w:before="0" w:after="0"/>
        <w:rPr>
          <w:rFonts w:asciiTheme="minorHAnsi" w:hAnsiTheme="minorHAnsi" w:cstheme="minorHAnsi"/>
        </w:rPr>
      </w:pPr>
    </w:p>
    <w:p w14:paraId="72F9A7C0" w14:textId="77777777" w:rsidR="006947FD" w:rsidRPr="00A23FB4" w:rsidRDefault="006947FD" w:rsidP="005C45EE">
      <w:pPr>
        <w:rPr>
          <w:rFonts w:asciiTheme="minorHAnsi" w:hAnsiTheme="minorHAnsi" w:cstheme="minorHAnsi"/>
          <w:b/>
        </w:rPr>
      </w:pPr>
      <w:bookmarkStart w:id="456" w:name="_Toc358023976"/>
      <w:bookmarkStart w:id="457" w:name="_Toc358024391"/>
      <w:bookmarkStart w:id="458" w:name="_Toc358024806"/>
      <w:r w:rsidRPr="00A23FB4">
        <w:rPr>
          <w:rFonts w:asciiTheme="minorHAnsi" w:hAnsiTheme="minorHAnsi" w:cstheme="minorHAnsi"/>
          <w:b/>
        </w:rPr>
        <w:t>4.7. Transport kruszyw</w:t>
      </w:r>
      <w:bookmarkEnd w:id="456"/>
      <w:bookmarkEnd w:id="457"/>
      <w:bookmarkEnd w:id="458"/>
    </w:p>
    <w:p w14:paraId="6EA557C6" w14:textId="77777777" w:rsidR="006947FD" w:rsidRPr="00A23FB4" w:rsidRDefault="006947FD" w:rsidP="006947FD">
      <w:pPr>
        <w:pStyle w:val="StylIwony"/>
        <w:spacing w:before="0" w:after="0"/>
        <w:rPr>
          <w:rFonts w:asciiTheme="minorHAnsi" w:hAnsiTheme="minorHAnsi" w:cstheme="minorHAnsi"/>
          <w:sz w:val="20"/>
          <w:szCs w:val="20"/>
        </w:rPr>
      </w:pPr>
      <w:r w:rsidRPr="00A23FB4">
        <w:rPr>
          <w:rFonts w:asciiTheme="minorHAnsi" w:hAnsiTheme="minorHAnsi" w:cstheme="minorHAnsi"/>
          <w:sz w:val="20"/>
          <w:szCs w:val="20"/>
        </w:rPr>
        <w:t>Kruszywa mogą być przewożone dowolnymi środkami transportu, w sposób zabezpieczający je przed zanieczyszczeniem i nadmiernym zawilgoceniem.</w:t>
      </w:r>
    </w:p>
    <w:p w14:paraId="58253DD7" w14:textId="77777777" w:rsidR="006947FD" w:rsidRPr="00A23FB4" w:rsidRDefault="006947FD" w:rsidP="005C45EE">
      <w:pPr>
        <w:rPr>
          <w:rFonts w:asciiTheme="minorHAnsi" w:hAnsiTheme="minorHAnsi" w:cstheme="minorHAnsi"/>
          <w:b/>
        </w:rPr>
      </w:pPr>
    </w:p>
    <w:p w14:paraId="27C24523" w14:textId="77777777" w:rsidR="006947FD" w:rsidRPr="00A23FB4" w:rsidRDefault="006947FD" w:rsidP="005C45EE">
      <w:pPr>
        <w:rPr>
          <w:rFonts w:asciiTheme="minorHAnsi" w:hAnsiTheme="minorHAnsi" w:cstheme="minorHAnsi"/>
          <w:b/>
        </w:rPr>
      </w:pPr>
      <w:bookmarkStart w:id="459" w:name="_Toc358023977"/>
      <w:bookmarkStart w:id="460" w:name="_Toc358024392"/>
      <w:bookmarkStart w:id="461" w:name="_Toc358024807"/>
      <w:r w:rsidRPr="00A23FB4">
        <w:rPr>
          <w:rFonts w:asciiTheme="minorHAnsi" w:hAnsiTheme="minorHAnsi" w:cstheme="minorHAnsi"/>
          <w:b/>
        </w:rPr>
        <w:t>4.8. Transport cementu i jego przechowywanie</w:t>
      </w:r>
      <w:bookmarkEnd w:id="459"/>
      <w:bookmarkEnd w:id="460"/>
      <w:bookmarkEnd w:id="461"/>
    </w:p>
    <w:p w14:paraId="62E315FF" w14:textId="77777777" w:rsidR="006947FD" w:rsidRPr="00A23FB4" w:rsidRDefault="006947FD" w:rsidP="006947FD">
      <w:pPr>
        <w:pStyle w:val="StylIwony"/>
        <w:spacing w:before="0" w:after="0"/>
        <w:rPr>
          <w:rFonts w:asciiTheme="minorHAnsi" w:hAnsiTheme="minorHAnsi" w:cstheme="minorHAnsi"/>
          <w:sz w:val="20"/>
          <w:szCs w:val="20"/>
        </w:rPr>
      </w:pPr>
      <w:r w:rsidRPr="00A23FB4">
        <w:rPr>
          <w:rFonts w:asciiTheme="minorHAnsi" w:hAnsiTheme="minorHAnsi" w:cstheme="minorHAnsi"/>
          <w:sz w:val="20"/>
          <w:szCs w:val="20"/>
        </w:rPr>
        <w:t>Transport cementu i przechowywanie powinny być zgodne z BN-88/6731-08.</w:t>
      </w:r>
    </w:p>
    <w:p w14:paraId="3CCFC003" w14:textId="77777777" w:rsidR="006947FD" w:rsidRPr="00A23FB4" w:rsidRDefault="006947FD" w:rsidP="006947FD">
      <w:pPr>
        <w:pStyle w:val="Nagwek2"/>
        <w:pageBreakBefore w:val="0"/>
        <w:numPr>
          <w:ilvl w:val="1"/>
          <w:numId w:val="0"/>
        </w:numPr>
        <w:tabs>
          <w:tab w:val="num" w:pos="0"/>
        </w:tabs>
        <w:suppressAutoHyphens/>
        <w:autoSpaceDN/>
        <w:adjustRightInd/>
        <w:spacing w:before="0" w:after="0"/>
        <w:jc w:val="both"/>
        <w:rPr>
          <w:rFonts w:asciiTheme="minorHAnsi" w:hAnsiTheme="minorHAnsi" w:cstheme="minorHAnsi"/>
          <w:sz w:val="20"/>
          <w:szCs w:val="20"/>
        </w:rPr>
      </w:pPr>
    </w:p>
    <w:p w14:paraId="09060DE8" w14:textId="77777777" w:rsidR="006947FD" w:rsidRPr="00A23FB4" w:rsidRDefault="006947FD" w:rsidP="00B80411">
      <w:pPr>
        <w:rPr>
          <w:rFonts w:asciiTheme="minorHAnsi" w:hAnsiTheme="minorHAnsi" w:cstheme="minorHAnsi"/>
          <w:b/>
        </w:rPr>
      </w:pPr>
      <w:bookmarkStart w:id="462" w:name="_Toc358023978"/>
      <w:bookmarkStart w:id="463" w:name="_Toc358024393"/>
      <w:bookmarkStart w:id="464" w:name="_Toc358024808"/>
      <w:r w:rsidRPr="00A23FB4">
        <w:rPr>
          <w:rFonts w:asciiTheme="minorHAnsi" w:hAnsiTheme="minorHAnsi" w:cstheme="minorHAnsi"/>
          <w:b/>
        </w:rPr>
        <w:t>5. WYKONANIE ROBÓT</w:t>
      </w:r>
      <w:bookmarkEnd w:id="462"/>
      <w:bookmarkEnd w:id="463"/>
      <w:bookmarkEnd w:id="464"/>
    </w:p>
    <w:p w14:paraId="48503674" w14:textId="77777777" w:rsidR="006947FD" w:rsidRPr="00A23FB4" w:rsidRDefault="006947FD" w:rsidP="006947FD">
      <w:pPr>
        <w:pStyle w:val="Nagwek3"/>
        <w:numPr>
          <w:ilvl w:val="2"/>
          <w:numId w:val="0"/>
        </w:numPr>
        <w:tabs>
          <w:tab w:val="num" w:pos="0"/>
        </w:tabs>
        <w:suppressAutoHyphens/>
        <w:autoSpaceDN/>
        <w:adjustRightInd/>
        <w:spacing w:before="0" w:after="0"/>
        <w:rPr>
          <w:rFonts w:asciiTheme="minorHAnsi" w:hAnsiTheme="minorHAnsi" w:cstheme="minorHAnsi"/>
        </w:rPr>
      </w:pPr>
    </w:p>
    <w:p w14:paraId="4845CA52" w14:textId="77777777" w:rsidR="006947FD" w:rsidRPr="00A23FB4" w:rsidRDefault="006947FD" w:rsidP="005C45EE">
      <w:pPr>
        <w:rPr>
          <w:rFonts w:asciiTheme="minorHAnsi" w:hAnsiTheme="minorHAnsi" w:cstheme="minorHAnsi"/>
          <w:b/>
        </w:rPr>
      </w:pPr>
      <w:bookmarkStart w:id="465" w:name="_Toc358023979"/>
      <w:bookmarkStart w:id="466" w:name="_Toc358024394"/>
      <w:bookmarkStart w:id="467" w:name="_Toc358024809"/>
      <w:r w:rsidRPr="00A23FB4">
        <w:rPr>
          <w:rFonts w:asciiTheme="minorHAnsi" w:hAnsiTheme="minorHAnsi" w:cstheme="minorHAnsi"/>
          <w:b/>
        </w:rPr>
        <w:t>5.1. Ogólne zasady wykonania robót</w:t>
      </w:r>
      <w:bookmarkEnd w:id="465"/>
      <w:bookmarkEnd w:id="466"/>
      <w:bookmarkEnd w:id="467"/>
    </w:p>
    <w:p w14:paraId="386F7EE3" w14:textId="4BCDFA85" w:rsidR="006947FD" w:rsidRPr="00A23FB4" w:rsidRDefault="006947FD" w:rsidP="006947FD">
      <w:pPr>
        <w:pStyle w:val="StylIwony"/>
        <w:spacing w:before="0" w:after="0"/>
        <w:rPr>
          <w:rFonts w:asciiTheme="minorHAnsi" w:hAnsiTheme="minorHAnsi" w:cstheme="minorHAnsi"/>
          <w:sz w:val="20"/>
          <w:szCs w:val="20"/>
        </w:rPr>
      </w:pPr>
      <w:r w:rsidRPr="00A23FB4">
        <w:rPr>
          <w:rFonts w:asciiTheme="minorHAnsi" w:hAnsiTheme="minorHAnsi" w:cstheme="minorHAnsi"/>
          <w:sz w:val="20"/>
          <w:szCs w:val="20"/>
        </w:rPr>
        <w:t xml:space="preserve">Ogólne zasady wykonania robót podano w </w:t>
      </w:r>
      <w:r w:rsidR="001E5FB3">
        <w:rPr>
          <w:rFonts w:asciiTheme="minorHAnsi" w:hAnsiTheme="minorHAnsi" w:cstheme="minorHAnsi"/>
          <w:sz w:val="20"/>
          <w:szCs w:val="20"/>
        </w:rPr>
        <w:t>ST</w:t>
      </w:r>
      <w:r w:rsidR="00E348FF" w:rsidRPr="00A23FB4">
        <w:rPr>
          <w:rFonts w:asciiTheme="minorHAnsi" w:hAnsiTheme="minorHAnsi" w:cstheme="minorHAnsi"/>
          <w:sz w:val="20"/>
          <w:szCs w:val="20"/>
        </w:rPr>
        <w:t>WiORB</w:t>
      </w:r>
      <w:r w:rsidRPr="00A23FB4">
        <w:rPr>
          <w:rFonts w:asciiTheme="minorHAnsi" w:hAnsiTheme="minorHAnsi" w:cstheme="minorHAnsi"/>
          <w:sz w:val="20"/>
          <w:szCs w:val="20"/>
        </w:rPr>
        <w:t>D-M-00.00.00 „Wymagania ogólne” pkt 5.</w:t>
      </w:r>
    </w:p>
    <w:p w14:paraId="28638ECD" w14:textId="77777777" w:rsidR="006947FD" w:rsidRPr="00A23FB4" w:rsidRDefault="006947FD" w:rsidP="006947FD">
      <w:pPr>
        <w:pStyle w:val="Nagwek3"/>
        <w:numPr>
          <w:ilvl w:val="2"/>
          <w:numId w:val="0"/>
        </w:numPr>
        <w:tabs>
          <w:tab w:val="num" w:pos="0"/>
        </w:tabs>
        <w:suppressAutoHyphens/>
        <w:autoSpaceDN/>
        <w:adjustRightInd/>
        <w:spacing w:before="0" w:after="0"/>
        <w:rPr>
          <w:rFonts w:asciiTheme="minorHAnsi" w:hAnsiTheme="minorHAnsi" w:cstheme="minorHAnsi"/>
        </w:rPr>
      </w:pPr>
    </w:p>
    <w:p w14:paraId="0E6A1B21" w14:textId="77777777" w:rsidR="006947FD" w:rsidRPr="00A23FB4" w:rsidRDefault="006947FD" w:rsidP="005C45EE">
      <w:pPr>
        <w:rPr>
          <w:rFonts w:asciiTheme="minorHAnsi" w:hAnsiTheme="minorHAnsi" w:cstheme="minorHAnsi"/>
          <w:b/>
        </w:rPr>
      </w:pPr>
      <w:bookmarkStart w:id="468" w:name="_Toc358023980"/>
      <w:bookmarkStart w:id="469" w:name="_Toc358024395"/>
      <w:bookmarkStart w:id="470" w:name="_Toc358024810"/>
      <w:r w:rsidRPr="00A23FB4">
        <w:rPr>
          <w:rFonts w:asciiTheme="minorHAnsi" w:hAnsiTheme="minorHAnsi" w:cstheme="minorHAnsi"/>
          <w:b/>
        </w:rPr>
        <w:t>5.2. Roboty przygotowawcze</w:t>
      </w:r>
      <w:bookmarkEnd w:id="468"/>
      <w:bookmarkEnd w:id="469"/>
      <w:bookmarkEnd w:id="470"/>
    </w:p>
    <w:p w14:paraId="179F6D80" w14:textId="77777777" w:rsidR="006947FD" w:rsidRPr="00A23FB4" w:rsidRDefault="006947FD" w:rsidP="006947FD">
      <w:pPr>
        <w:pStyle w:val="StylIwony"/>
        <w:spacing w:before="0" w:after="0"/>
        <w:rPr>
          <w:rFonts w:asciiTheme="minorHAnsi" w:hAnsiTheme="minorHAnsi" w:cstheme="minorHAnsi"/>
          <w:sz w:val="20"/>
          <w:szCs w:val="20"/>
        </w:rPr>
      </w:pPr>
      <w:r w:rsidRPr="00A23FB4">
        <w:rPr>
          <w:rFonts w:asciiTheme="minorHAnsi" w:hAnsiTheme="minorHAnsi" w:cstheme="minorHAnsi"/>
          <w:sz w:val="20"/>
          <w:szCs w:val="20"/>
        </w:rPr>
        <w:t>Przed przystąpieniem do robót Wykonawca dokona ich wytyczenia i trwale oznaczy je w terenie za pomocą kołków osiowych, kołków świadków i kołków krawędziowych.</w:t>
      </w:r>
    </w:p>
    <w:p w14:paraId="5A3876EE" w14:textId="77777777" w:rsidR="006947FD" w:rsidRPr="00A23FB4" w:rsidRDefault="006947FD" w:rsidP="006947FD">
      <w:pPr>
        <w:pStyle w:val="StylIwony"/>
        <w:spacing w:before="0" w:after="0"/>
        <w:rPr>
          <w:rFonts w:asciiTheme="minorHAnsi" w:hAnsiTheme="minorHAnsi" w:cstheme="minorHAnsi"/>
          <w:sz w:val="20"/>
          <w:szCs w:val="20"/>
        </w:rPr>
      </w:pPr>
      <w:r w:rsidRPr="00A23FB4">
        <w:rPr>
          <w:rFonts w:asciiTheme="minorHAnsi" w:hAnsiTheme="minorHAnsi" w:cstheme="minorHAnsi"/>
          <w:sz w:val="20"/>
          <w:szCs w:val="20"/>
        </w:rPr>
        <w:t>W przypadku niedostatecznej ilości reperów stałych, Wykonawca wbuduje repery tymczasowe (z rzędnymi sprawdzonymi przez służby geodezyjne), a szkice sytuacyjne reperów i ich rzędne przekaże Inżynierowi.</w:t>
      </w:r>
    </w:p>
    <w:p w14:paraId="4337617A" w14:textId="77777777" w:rsidR="006947FD" w:rsidRPr="00A23FB4" w:rsidRDefault="006947FD" w:rsidP="006947FD">
      <w:pPr>
        <w:pStyle w:val="Nagwek3"/>
        <w:numPr>
          <w:ilvl w:val="2"/>
          <w:numId w:val="0"/>
        </w:numPr>
        <w:tabs>
          <w:tab w:val="num" w:pos="0"/>
        </w:tabs>
        <w:suppressAutoHyphens/>
        <w:autoSpaceDN/>
        <w:adjustRightInd/>
        <w:spacing w:before="0" w:after="0"/>
        <w:rPr>
          <w:rFonts w:asciiTheme="minorHAnsi" w:hAnsiTheme="minorHAnsi" w:cstheme="minorHAnsi"/>
        </w:rPr>
      </w:pPr>
    </w:p>
    <w:p w14:paraId="3EA35711" w14:textId="77777777" w:rsidR="006947FD" w:rsidRPr="00A23FB4" w:rsidRDefault="006947FD" w:rsidP="005C45EE">
      <w:pPr>
        <w:rPr>
          <w:rFonts w:asciiTheme="minorHAnsi" w:hAnsiTheme="minorHAnsi" w:cstheme="minorHAnsi"/>
          <w:b/>
        </w:rPr>
      </w:pPr>
      <w:bookmarkStart w:id="471" w:name="_Toc358023981"/>
      <w:bookmarkStart w:id="472" w:name="_Toc358024396"/>
      <w:bookmarkStart w:id="473" w:name="_Toc358024811"/>
      <w:r w:rsidRPr="00A23FB4">
        <w:rPr>
          <w:rFonts w:asciiTheme="minorHAnsi" w:hAnsiTheme="minorHAnsi" w:cstheme="minorHAnsi"/>
          <w:b/>
        </w:rPr>
        <w:t>5.3. Roboty ziemne</w:t>
      </w:r>
      <w:bookmarkEnd w:id="471"/>
      <w:bookmarkEnd w:id="472"/>
      <w:bookmarkEnd w:id="473"/>
    </w:p>
    <w:p w14:paraId="1B500789" w14:textId="77777777" w:rsidR="006947FD" w:rsidRPr="00A23FB4" w:rsidRDefault="006947FD" w:rsidP="006947FD">
      <w:pPr>
        <w:pStyle w:val="StylIwony"/>
        <w:spacing w:before="0" w:after="0"/>
        <w:rPr>
          <w:rFonts w:asciiTheme="minorHAnsi" w:hAnsiTheme="minorHAnsi" w:cstheme="minorHAnsi"/>
          <w:sz w:val="20"/>
          <w:szCs w:val="20"/>
        </w:rPr>
      </w:pPr>
      <w:r w:rsidRPr="00A23FB4">
        <w:rPr>
          <w:rFonts w:asciiTheme="minorHAnsi" w:hAnsiTheme="minorHAnsi" w:cstheme="minorHAnsi"/>
          <w:sz w:val="20"/>
          <w:szCs w:val="20"/>
        </w:rPr>
        <w:t>Wykopy należy wykonać jako wykopy otwarte obudowane. Metody wykonania robót - wykopu (ręcznie lub mechanicznie) powinny być dostosowane do głębokości wykopu, danych geotechnicznych oraz posiadanego sprzętu mechanicznego.</w:t>
      </w:r>
    </w:p>
    <w:p w14:paraId="683DDCDF" w14:textId="77777777" w:rsidR="006947FD" w:rsidRPr="00A23FB4" w:rsidRDefault="006947FD" w:rsidP="006947FD">
      <w:pPr>
        <w:pStyle w:val="StylIwony"/>
        <w:spacing w:before="0" w:after="0"/>
        <w:rPr>
          <w:rFonts w:asciiTheme="minorHAnsi" w:hAnsiTheme="minorHAnsi" w:cstheme="minorHAnsi"/>
          <w:sz w:val="20"/>
          <w:szCs w:val="20"/>
        </w:rPr>
      </w:pPr>
      <w:r w:rsidRPr="00A23FB4">
        <w:rPr>
          <w:rFonts w:asciiTheme="minorHAnsi" w:hAnsiTheme="minorHAnsi" w:cstheme="minorHAnsi"/>
          <w:sz w:val="20"/>
          <w:szCs w:val="20"/>
        </w:rPr>
        <w:t>Szerokość wykopu uwarunkowana jest zewnętrznymi wymiarami kanału, do których dodaje się obustronnie 0,4 m jako zapas potrzebny na deskowanie ścian i uszczelnienie styków. Deskowanie ścian należy prowadzić w miarę jego głębienia. Wydobyty grunt z wykopu powinien być wywieziony przez Wykonawcę na odkład.</w:t>
      </w:r>
    </w:p>
    <w:p w14:paraId="284F4981" w14:textId="77777777" w:rsidR="006947FD" w:rsidRPr="00A23FB4" w:rsidRDefault="006947FD" w:rsidP="006947FD">
      <w:pPr>
        <w:pStyle w:val="StylIwony"/>
        <w:spacing w:before="0" w:after="0"/>
        <w:rPr>
          <w:rFonts w:asciiTheme="minorHAnsi" w:hAnsiTheme="minorHAnsi" w:cstheme="minorHAnsi"/>
          <w:sz w:val="20"/>
          <w:szCs w:val="20"/>
        </w:rPr>
      </w:pPr>
      <w:r w:rsidRPr="00A23FB4">
        <w:rPr>
          <w:rFonts w:asciiTheme="minorHAnsi" w:hAnsiTheme="minorHAnsi" w:cstheme="minorHAnsi"/>
          <w:sz w:val="20"/>
          <w:szCs w:val="20"/>
        </w:rPr>
        <w:t>Dno wykopu powinno być równe i wykonane ze spadkiem ustalonym w dokumentacji projektowej, przy czym dno wykopu Wykonawca wykona na poziomie wyższym od rzędnej projektowanej o 0,20 m.</w:t>
      </w:r>
    </w:p>
    <w:p w14:paraId="04C3A253" w14:textId="77777777" w:rsidR="006947FD" w:rsidRPr="00A23FB4" w:rsidRDefault="006947FD" w:rsidP="006947FD">
      <w:pPr>
        <w:pStyle w:val="StylIwony"/>
        <w:spacing w:before="0" w:after="0"/>
        <w:rPr>
          <w:rFonts w:asciiTheme="minorHAnsi" w:hAnsiTheme="minorHAnsi" w:cstheme="minorHAnsi"/>
          <w:sz w:val="20"/>
          <w:szCs w:val="20"/>
        </w:rPr>
      </w:pPr>
      <w:r w:rsidRPr="00A23FB4">
        <w:rPr>
          <w:rFonts w:asciiTheme="minorHAnsi" w:hAnsiTheme="minorHAnsi" w:cstheme="minorHAnsi"/>
          <w:sz w:val="20"/>
          <w:szCs w:val="20"/>
        </w:rPr>
        <w:t xml:space="preserve">Zdjęcie pozostawionej warstwy 0,20 m gruntu powinno być wykonane bezpośrednio przed ułożeniem przewodów rurowych. Zdjęcie tej warstwy Wykonawca wykona ręcznie lub w sposób uzgodniony z </w:t>
      </w:r>
    </w:p>
    <w:p w14:paraId="6036F010" w14:textId="77777777" w:rsidR="006947FD" w:rsidRPr="00A23FB4" w:rsidRDefault="006947FD" w:rsidP="006947FD">
      <w:pPr>
        <w:pStyle w:val="StylIwony"/>
        <w:spacing w:before="0" w:after="0"/>
        <w:rPr>
          <w:rFonts w:asciiTheme="minorHAnsi" w:hAnsiTheme="minorHAnsi" w:cstheme="minorHAnsi"/>
          <w:sz w:val="20"/>
          <w:szCs w:val="20"/>
        </w:rPr>
      </w:pPr>
      <w:r w:rsidRPr="00A23FB4">
        <w:rPr>
          <w:rFonts w:asciiTheme="minorHAnsi" w:hAnsiTheme="minorHAnsi" w:cstheme="minorHAnsi"/>
          <w:sz w:val="20"/>
          <w:szCs w:val="20"/>
        </w:rPr>
        <w:t>Inżynierem.</w:t>
      </w:r>
    </w:p>
    <w:p w14:paraId="36A49292" w14:textId="77777777" w:rsidR="006947FD" w:rsidRPr="00A23FB4" w:rsidRDefault="006947FD" w:rsidP="006947FD">
      <w:pPr>
        <w:pStyle w:val="StylIwony"/>
        <w:tabs>
          <w:tab w:val="num" w:pos="0"/>
        </w:tabs>
        <w:suppressAutoHyphens/>
        <w:autoSpaceDN/>
        <w:adjustRightInd/>
        <w:spacing w:before="0" w:after="0"/>
        <w:rPr>
          <w:rFonts w:asciiTheme="minorHAnsi" w:hAnsiTheme="minorHAnsi" w:cstheme="minorHAnsi"/>
          <w:sz w:val="20"/>
          <w:szCs w:val="20"/>
        </w:rPr>
      </w:pPr>
      <w:r w:rsidRPr="00A23FB4">
        <w:rPr>
          <w:rFonts w:asciiTheme="minorHAnsi" w:hAnsiTheme="minorHAnsi" w:cstheme="minorHAnsi"/>
          <w:sz w:val="20"/>
          <w:szCs w:val="20"/>
        </w:rPr>
        <w:t>W gruntach skalistych dno wykopu powinno być wykonane od  0,10 do 0,15 m głębiej od projektowanego poziomu dna.</w:t>
      </w:r>
    </w:p>
    <w:p w14:paraId="6297AF12" w14:textId="77777777" w:rsidR="005E7D27" w:rsidRPr="00A23FB4" w:rsidRDefault="005E7D27" w:rsidP="006947FD">
      <w:pPr>
        <w:pStyle w:val="StylIwony"/>
        <w:tabs>
          <w:tab w:val="num" w:pos="0"/>
        </w:tabs>
        <w:suppressAutoHyphens/>
        <w:autoSpaceDN/>
        <w:adjustRightInd/>
        <w:spacing w:before="0" w:after="0"/>
        <w:rPr>
          <w:rFonts w:asciiTheme="minorHAnsi" w:hAnsiTheme="minorHAnsi" w:cstheme="minorHAnsi"/>
          <w:sz w:val="20"/>
          <w:szCs w:val="20"/>
        </w:rPr>
      </w:pPr>
      <w:r w:rsidRPr="00A23FB4">
        <w:rPr>
          <w:rFonts w:asciiTheme="minorHAnsi" w:hAnsiTheme="minorHAnsi" w:cstheme="minorHAnsi"/>
          <w:sz w:val="20"/>
          <w:szCs w:val="20"/>
        </w:rPr>
        <w:t xml:space="preserve">W wypadku natrafienia na wody gruntowe wykonawca powinien przewidzieć odwodnienie wykopu igłofiltrami lub studniami. </w:t>
      </w:r>
    </w:p>
    <w:p w14:paraId="7024430B" w14:textId="77777777" w:rsidR="006947FD" w:rsidRPr="00A23FB4" w:rsidRDefault="006947FD" w:rsidP="006947FD">
      <w:pPr>
        <w:pStyle w:val="Nagwek3"/>
        <w:numPr>
          <w:ilvl w:val="2"/>
          <w:numId w:val="0"/>
        </w:numPr>
        <w:tabs>
          <w:tab w:val="num" w:pos="0"/>
        </w:tabs>
        <w:suppressAutoHyphens/>
        <w:autoSpaceDN/>
        <w:adjustRightInd/>
        <w:spacing w:before="0" w:after="0"/>
        <w:rPr>
          <w:rFonts w:asciiTheme="minorHAnsi" w:hAnsiTheme="minorHAnsi" w:cstheme="minorHAnsi"/>
        </w:rPr>
      </w:pPr>
    </w:p>
    <w:p w14:paraId="3A2CE05A" w14:textId="77777777" w:rsidR="006947FD" w:rsidRPr="00A23FB4" w:rsidRDefault="006947FD" w:rsidP="005C45EE">
      <w:pPr>
        <w:rPr>
          <w:rFonts w:asciiTheme="minorHAnsi" w:hAnsiTheme="minorHAnsi" w:cstheme="minorHAnsi"/>
          <w:b/>
        </w:rPr>
      </w:pPr>
      <w:bookmarkStart w:id="474" w:name="_Toc358023982"/>
      <w:bookmarkStart w:id="475" w:name="_Toc358024397"/>
      <w:bookmarkStart w:id="476" w:name="_Toc358024812"/>
      <w:r w:rsidRPr="00A23FB4">
        <w:rPr>
          <w:rFonts w:asciiTheme="minorHAnsi" w:hAnsiTheme="minorHAnsi" w:cstheme="minorHAnsi"/>
          <w:b/>
        </w:rPr>
        <w:t>5.4. Przygotowanie podłoża i warunki ułożenia rurociągów</w:t>
      </w:r>
      <w:bookmarkEnd w:id="474"/>
      <w:bookmarkEnd w:id="475"/>
      <w:bookmarkEnd w:id="476"/>
    </w:p>
    <w:p w14:paraId="66A7B123" w14:textId="77777777" w:rsidR="006947FD" w:rsidRPr="00A23FB4" w:rsidRDefault="006947FD" w:rsidP="006947FD">
      <w:pPr>
        <w:pStyle w:val="StylIwony"/>
        <w:tabs>
          <w:tab w:val="num" w:pos="0"/>
        </w:tabs>
        <w:suppressAutoHyphens/>
        <w:autoSpaceDN/>
        <w:adjustRightInd/>
        <w:spacing w:before="0" w:after="0"/>
        <w:rPr>
          <w:rFonts w:asciiTheme="minorHAnsi" w:hAnsiTheme="minorHAnsi" w:cstheme="minorHAnsi"/>
          <w:sz w:val="20"/>
          <w:szCs w:val="20"/>
        </w:rPr>
      </w:pPr>
      <w:r w:rsidRPr="00A23FB4">
        <w:rPr>
          <w:rFonts w:asciiTheme="minorHAnsi" w:hAnsiTheme="minorHAnsi" w:cstheme="minorHAnsi"/>
          <w:sz w:val="20"/>
          <w:szCs w:val="20"/>
        </w:rPr>
        <w:t>W gruntach suchych piaszczystych, żwirowo-piaszczystych i piaszczysto-gliniastych podłożem jest grunt naturalny o nienaruszonej strukturze dna wykopu.</w:t>
      </w:r>
    </w:p>
    <w:p w14:paraId="4A4380C1" w14:textId="77777777" w:rsidR="006947FD" w:rsidRPr="00A23FB4" w:rsidRDefault="006947FD" w:rsidP="006947FD">
      <w:pPr>
        <w:pStyle w:val="StylIwony"/>
        <w:tabs>
          <w:tab w:val="num" w:pos="0"/>
        </w:tabs>
        <w:suppressAutoHyphens/>
        <w:autoSpaceDN/>
        <w:adjustRightInd/>
        <w:spacing w:before="0" w:after="0"/>
        <w:rPr>
          <w:rFonts w:asciiTheme="minorHAnsi" w:hAnsiTheme="minorHAnsi" w:cstheme="minorHAnsi"/>
          <w:sz w:val="20"/>
          <w:szCs w:val="20"/>
        </w:rPr>
      </w:pPr>
      <w:r w:rsidRPr="00A23FB4">
        <w:rPr>
          <w:rFonts w:asciiTheme="minorHAnsi" w:hAnsiTheme="minorHAnsi" w:cstheme="minorHAnsi"/>
          <w:sz w:val="20"/>
          <w:szCs w:val="20"/>
        </w:rPr>
        <w:t>W gruntach nawodnionych (odwadnianych w trakcie robót) podłoże należy wykonać z warstwy tłucznia lub żwiru z piaskiem o grubości od 15 do 20 cm łącznie z ułożonymi sączkami odwadniającymi.</w:t>
      </w:r>
    </w:p>
    <w:p w14:paraId="1AAF3B51" w14:textId="77777777" w:rsidR="006947FD" w:rsidRPr="00A23FB4" w:rsidRDefault="006947FD" w:rsidP="006947FD">
      <w:pPr>
        <w:pStyle w:val="StylIwony"/>
        <w:tabs>
          <w:tab w:val="num" w:pos="0"/>
        </w:tabs>
        <w:suppressAutoHyphens/>
        <w:autoSpaceDN/>
        <w:adjustRightInd/>
        <w:spacing w:before="0" w:after="0"/>
        <w:rPr>
          <w:rFonts w:asciiTheme="minorHAnsi" w:hAnsiTheme="minorHAnsi" w:cstheme="minorHAnsi"/>
          <w:sz w:val="20"/>
          <w:szCs w:val="20"/>
        </w:rPr>
      </w:pPr>
      <w:r w:rsidRPr="00A23FB4">
        <w:rPr>
          <w:rFonts w:asciiTheme="minorHAnsi" w:hAnsiTheme="minorHAnsi" w:cstheme="minorHAnsi"/>
          <w:sz w:val="20"/>
          <w:szCs w:val="20"/>
        </w:rPr>
        <w:t>W gruntach skalistych gliniastych lub stanowiących zbite iły należy wykonać podłoże z pospółki, żwiru lub tłucznia o grubości od 15 do 20 cm.</w:t>
      </w:r>
    </w:p>
    <w:p w14:paraId="4F8345AD" w14:textId="77777777" w:rsidR="006947FD" w:rsidRPr="00A23FB4" w:rsidRDefault="006947FD" w:rsidP="006947FD">
      <w:pPr>
        <w:pStyle w:val="StylIwony"/>
        <w:tabs>
          <w:tab w:val="num" w:pos="0"/>
        </w:tabs>
        <w:suppressAutoHyphens/>
        <w:autoSpaceDN/>
        <w:adjustRightInd/>
        <w:spacing w:before="0" w:after="0"/>
        <w:rPr>
          <w:rFonts w:asciiTheme="minorHAnsi" w:hAnsiTheme="minorHAnsi" w:cstheme="minorHAnsi"/>
          <w:sz w:val="20"/>
          <w:szCs w:val="20"/>
        </w:rPr>
      </w:pPr>
      <w:r w:rsidRPr="00A23FB4">
        <w:rPr>
          <w:rFonts w:asciiTheme="minorHAnsi" w:hAnsiTheme="minorHAnsi" w:cstheme="minorHAnsi"/>
          <w:sz w:val="20"/>
          <w:szCs w:val="20"/>
        </w:rPr>
        <w:t>Zagęszczenie podłoża powinno być zgodne z określonym w dokumentacji projektowej.</w:t>
      </w:r>
    </w:p>
    <w:p w14:paraId="7A14E0F9" w14:textId="77777777" w:rsidR="006947FD" w:rsidRPr="00A23FB4" w:rsidRDefault="006947FD" w:rsidP="006947FD">
      <w:pPr>
        <w:pStyle w:val="WW-Tekstpodstawowywcity3"/>
        <w:tabs>
          <w:tab w:val="num" w:pos="0"/>
          <w:tab w:val="left" w:pos="720"/>
        </w:tabs>
        <w:ind w:left="0"/>
        <w:rPr>
          <w:rFonts w:asciiTheme="minorHAnsi" w:hAnsiTheme="minorHAnsi" w:cstheme="minorHAnsi"/>
          <w:i/>
          <w:iCs/>
          <w:sz w:val="20"/>
          <w:szCs w:val="20"/>
        </w:rPr>
      </w:pPr>
    </w:p>
    <w:p w14:paraId="0E07BC94" w14:textId="77777777" w:rsidR="006947FD" w:rsidRPr="00A23FB4" w:rsidRDefault="006947FD" w:rsidP="006947FD">
      <w:pPr>
        <w:pStyle w:val="WW-Tekstpodstawowywcity3"/>
        <w:tabs>
          <w:tab w:val="num" w:pos="0"/>
          <w:tab w:val="left" w:pos="720"/>
        </w:tabs>
        <w:ind w:left="0"/>
        <w:rPr>
          <w:rFonts w:asciiTheme="minorHAnsi" w:hAnsiTheme="minorHAnsi" w:cstheme="minorHAnsi"/>
          <w:i/>
          <w:iCs/>
          <w:sz w:val="20"/>
          <w:szCs w:val="20"/>
        </w:rPr>
      </w:pPr>
      <w:r w:rsidRPr="00A23FB4">
        <w:rPr>
          <w:rFonts w:asciiTheme="minorHAnsi" w:hAnsiTheme="minorHAnsi" w:cstheme="minorHAnsi"/>
          <w:i/>
          <w:iCs/>
          <w:sz w:val="20"/>
          <w:szCs w:val="20"/>
        </w:rPr>
        <w:t>Podsypka</w:t>
      </w:r>
    </w:p>
    <w:p w14:paraId="59DA20A7" w14:textId="77777777" w:rsidR="006947FD" w:rsidRPr="00A23FB4" w:rsidRDefault="006947FD" w:rsidP="006947FD">
      <w:pPr>
        <w:pStyle w:val="StylIwony"/>
        <w:spacing w:before="0" w:after="0"/>
        <w:rPr>
          <w:rFonts w:asciiTheme="minorHAnsi" w:hAnsiTheme="minorHAnsi" w:cstheme="minorHAnsi"/>
          <w:sz w:val="20"/>
          <w:szCs w:val="20"/>
        </w:rPr>
      </w:pPr>
      <w:r w:rsidRPr="00A23FB4">
        <w:rPr>
          <w:rFonts w:asciiTheme="minorHAnsi" w:hAnsiTheme="minorHAnsi" w:cstheme="minorHAnsi"/>
          <w:sz w:val="20"/>
          <w:szCs w:val="20"/>
        </w:rPr>
        <w:t xml:space="preserve">Podłoże należy wykonać z warstwy tłucznia i pospółki stabilizującej, zgodnie z dokumentacją projektową. Zagęszczenie podłoża powinno być zgodne nie mniejsze niż 0,97 normalnej próby Proctora. </w:t>
      </w:r>
    </w:p>
    <w:p w14:paraId="20238AED" w14:textId="77777777" w:rsidR="006947FD" w:rsidRPr="00A23FB4" w:rsidRDefault="006947FD" w:rsidP="006947FD">
      <w:pPr>
        <w:pStyle w:val="WW-Tekstpodstawowywcity3"/>
        <w:tabs>
          <w:tab w:val="left" w:pos="720"/>
        </w:tabs>
        <w:ind w:left="0"/>
        <w:rPr>
          <w:rFonts w:asciiTheme="minorHAnsi" w:hAnsiTheme="minorHAnsi" w:cstheme="minorHAnsi"/>
          <w:i/>
          <w:iCs/>
          <w:sz w:val="20"/>
          <w:szCs w:val="20"/>
        </w:rPr>
      </w:pPr>
      <w:r w:rsidRPr="00A23FB4">
        <w:rPr>
          <w:rFonts w:asciiTheme="minorHAnsi" w:hAnsiTheme="minorHAnsi" w:cstheme="minorHAnsi"/>
          <w:i/>
          <w:iCs/>
          <w:sz w:val="20"/>
          <w:szCs w:val="20"/>
        </w:rPr>
        <w:t>Obsypka</w:t>
      </w:r>
    </w:p>
    <w:p w14:paraId="0E955AED" w14:textId="77777777" w:rsidR="006947FD" w:rsidRPr="00A23FB4" w:rsidRDefault="006947FD" w:rsidP="006947FD">
      <w:pPr>
        <w:pStyle w:val="WW-Tekstpodstawowywcity3"/>
        <w:ind w:left="0"/>
        <w:rPr>
          <w:rFonts w:asciiTheme="minorHAnsi" w:hAnsiTheme="minorHAnsi" w:cstheme="minorHAnsi"/>
          <w:sz w:val="20"/>
          <w:szCs w:val="20"/>
        </w:rPr>
      </w:pPr>
      <w:r w:rsidRPr="00A23FB4">
        <w:rPr>
          <w:rFonts w:asciiTheme="minorHAnsi" w:hAnsiTheme="minorHAnsi" w:cstheme="minorHAnsi"/>
          <w:sz w:val="20"/>
          <w:szCs w:val="20"/>
        </w:rPr>
        <w:t>Przewiduje się obsypkę 20cm ponad wierzch rury.</w:t>
      </w:r>
    </w:p>
    <w:p w14:paraId="12CDEBC0" w14:textId="77777777" w:rsidR="006947FD" w:rsidRPr="00A23FB4" w:rsidRDefault="006947FD" w:rsidP="006947FD">
      <w:pPr>
        <w:pStyle w:val="WW-Tekstpodstawowywcity3"/>
        <w:ind w:left="0"/>
        <w:rPr>
          <w:rFonts w:asciiTheme="minorHAnsi" w:hAnsiTheme="minorHAnsi" w:cstheme="minorHAnsi"/>
          <w:sz w:val="20"/>
          <w:szCs w:val="20"/>
        </w:rPr>
      </w:pPr>
      <w:r w:rsidRPr="00A23FB4">
        <w:rPr>
          <w:rFonts w:asciiTheme="minorHAnsi" w:hAnsiTheme="minorHAnsi" w:cstheme="minorHAnsi"/>
          <w:sz w:val="20"/>
          <w:szCs w:val="20"/>
        </w:rPr>
        <w:t>Materiał do formowania obsypki stanowić mogą piaski grubo-, średnio- lub drobnoziarniste i musi spełniać następujące warunki:</w:t>
      </w:r>
    </w:p>
    <w:p w14:paraId="00D9DA54" w14:textId="77777777" w:rsidR="006947FD" w:rsidRPr="00A23FB4" w:rsidRDefault="006947FD" w:rsidP="006947FD">
      <w:pPr>
        <w:pStyle w:val="WW-Tekstpodstawowywcity3"/>
        <w:tabs>
          <w:tab w:val="left" w:pos="0"/>
        </w:tabs>
        <w:ind w:left="0"/>
        <w:rPr>
          <w:rFonts w:asciiTheme="minorHAnsi" w:hAnsiTheme="minorHAnsi" w:cstheme="minorHAnsi"/>
          <w:sz w:val="20"/>
          <w:szCs w:val="20"/>
        </w:rPr>
      </w:pPr>
      <w:r w:rsidRPr="00A23FB4">
        <w:rPr>
          <w:rFonts w:asciiTheme="minorHAnsi" w:hAnsiTheme="minorHAnsi" w:cstheme="minorHAnsi"/>
          <w:sz w:val="20"/>
          <w:szCs w:val="20"/>
        </w:rPr>
        <w:t>- nie powinny występować cząstki o wymiarach powyżej 20mm;</w:t>
      </w:r>
    </w:p>
    <w:p w14:paraId="4099771F" w14:textId="77777777" w:rsidR="006947FD" w:rsidRPr="00A23FB4" w:rsidRDefault="006947FD" w:rsidP="006947FD">
      <w:pPr>
        <w:pStyle w:val="WW-Tekstpodstawowywcity3"/>
        <w:tabs>
          <w:tab w:val="left" w:pos="0"/>
        </w:tabs>
        <w:ind w:left="0"/>
        <w:rPr>
          <w:rFonts w:asciiTheme="minorHAnsi" w:hAnsiTheme="minorHAnsi" w:cstheme="minorHAnsi"/>
          <w:sz w:val="20"/>
          <w:szCs w:val="20"/>
        </w:rPr>
      </w:pPr>
      <w:r w:rsidRPr="00A23FB4">
        <w:rPr>
          <w:rFonts w:asciiTheme="minorHAnsi" w:hAnsiTheme="minorHAnsi" w:cstheme="minorHAnsi"/>
          <w:sz w:val="20"/>
          <w:szCs w:val="20"/>
        </w:rPr>
        <w:t>- materiał nie może być zmrożony;</w:t>
      </w:r>
    </w:p>
    <w:p w14:paraId="5A7BB95A" w14:textId="77777777" w:rsidR="006947FD" w:rsidRPr="00A23FB4" w:rsidRDefault="006947FD" w:rsidP="006947FD">
      <w:pPr>
        <w:pStyle w:val="WW-Tekstpodstawowywcity3"/>
        <w:tabs>
          <w:tab w:val="left" w:pos="0"/>
        </w:tabs>
        <w:ind w:left="0"/>
        <w:rPr>
          <w:rFonts w:asciiTheme="minorHAnsi" w:hAnsiTheme="minorHAnsi" w:cstheme="minorHAnsi"/>
          <w:sz w:val="20"/>
          <w:szCs w:val="20"/>
        </w:rPr>
      </w:pPr>
      <w:r w:rsidRPr="00A23FB4">
        <w:rPr>
          <w:rFonts w:asciiTheme="minorHAnsi" w:hAnsiTheme="minorHAnsi" w:cstheme="minorHAnsi"/>
          <w:sz w:val="20"/>
          <w:szCs w:val="20"/>
        </w:rPr>
        <w:t>- nie może zawierać ostrych kamieni lub innego łamanego materiału.</w:t>
      </w:r>
    </w:p>
    <w:p w14:paraId="578295E0" w14:textId="77777777" w:rsidR="006947FD" w:rsidRPr="00A23FB4" w:rsidRDefault="006947FD" w:rsidP="006947FD">
      <w:pPr>
        <w:pStyle w:val="WW-Tekstpodstawowywcity3"/>
        <w:ind w:left="0"/>
        <w:rPr>
          <w:rFonts w:asciiTheme="minorHAnsi" w:hAnsiTheme="minorHAnsi" w:cstheme="minorHAnsi"/>
          <w:sz w:val="20"/>
          <w:szCs w:val="20"/>
        </w:rPr>
      </w:pPr>
      <w:r w:rsidRPr="00A23FB4">
        <w:rPr>
          <w:rFonts w:asciiTheme="minorHAnsi" w:hAnsiTheme="minorHAnsi" w:cstheme="minorHAnsi"/>
          <w:sz w:val="20"/>
          <w:szCs w:val="20"/>
        </w:rPr>
        <w:t>Piasek zagęścić mechanicznie używając sprzętu lekkiego, a w bezpośrednim sąsiedztwie rury zagęszczać ręcznie. Zagęszczenie powinno być nie mniejsze niż 0,97 normalnej próby Proctora. W miejscach ruchu pojazdów współczynnik ten odpowiednio zwiększyć.</w:t>
      </w:r>
    </w:p>
    <w:p w14:paraId="47BC8698" w14:textId="77777777" w:rsidR="006947FD" w:rsidRPr="00A23FB4" w:rsidRDefault="006947FD" w:rsidP="006947FD">
      <w:pPr>
        <w:pStyle w:val="WW-Tekstpodstawowywcity3"/>
        <w:tabs>
          <w:tab w:val="left" w:pos="720"/>
        </w:tabs>
        <w:ind w:left="0"/>
        <w:rPr>
          <w:rFonts w:asciiTheme="minorHAnsi" w:hAnsiTheme="minorHAnsi" w:cstheme="minorHAnsi"/>
          <w:i/>
          <w:iCs/>
          <w:sz w:val="20"/>
          <w:szCs w:val="20"/>
        </w:rPr>
      </w:pPr>
      <w:r w:rsidRPr="00A23FB4">
        <w:rPr>
          <w:rFonts w:asciiTheme="minorHAnsi" w:hAnsiTheme="minorHAnsi" w:cstheme="minorHAnsi"/>
          <w:i/>
          <w:iCs/>
          <w:sz w:val="20"/>
          <w:szCs w:val="20"/>
        </w:rPr>
        <w:t>Zasypka</w:t>
      </w:r>
    </w:p>
    <w:p w14:paraId="2684555B" w14:textId="77777777" w:rsidR="006947FD" w:rsidRPr="00A23FB4" w:rsidRDefault="006947FD" w:rsidP="006947FD">
      <w:pPr>
        <w:pStyle w:val="WW-Tekstpodstawowywcity3"/>
        <w:ind w:left="0"/>
        <w:rPr>
          <w:rFonts w:asciiTheme="minorHAnsi" w:hAnsiTheme="minorHAnsi" w:cstheme="minorHAnsi"/>
          <w:sz w:val="20"/>
          <w:szCs w:val="20"/>
        </w:rPr>
      </w:pPr>
      <w:r w:rsidRPr="00A23FB4">
        <w:rPr>
          <w:rFonts w:asciiTheme="minorHAnsi" w:hAnsiTheme="minorHAnsi" w:cstheme="minorHAnsi"/>
          <w:sz w:val="20"/>
          <w:szCs w:val="20"/>
        </w:rPr>
        <w:t>Zasypka musi być wykonana w sposób spełniający wymagania struktury nad rurociągiem (odpowiednio do drogi, chodnika, czy terenów zielonych).</w:t>
      </w:r>
    </w:p>
    <w:p w14:paraId="3DCB3942" w14:textId="77777777" w:rsidR="006947FD" w:rsidRPr="00A23FB4" w:rsidRDefault="006947FD" w:rsidP="006947FD">
      <w:pPr>
        <w:pStyle w:val="WW-Tekstpodstawowywcity3"/>
        <w:ind w:left="0"/>
        <w:rPr>
          <w:rFonts w:asciiTheme="minorHAnsi" w:hAnsiTheme="minorHAnsi" w:cstheme="minorHAnsi"/>
          <w:sz w:val="20"/>
          <w:szCs w:val="20"/>
        </w:rPr>
      </w:pPr>
      <w:r w:rsidRPr="00A23FB4">
        <w:rPr>
          <w:rFonts w:asciiTheme="minorHAnsi" w:hAnsiTheme="minorHAnsi" w:cstheme="minorHAnsi"/>
          <w:sz w:val="20"/>
          <w:szCs w:val="20"/>
        </w:rPr>
        <w:t>Zasypkę stanowi wymieniony grunt rodzimy na przywieziony grunt budowlany.</w:t>
      </w:r>
    </w:p>
    <w:p w14:paraId="38607178" w14:textId="77777777" w:rsidR="003A6DAE" w:rsidRPr="00A23FB4" w:rsidRDefault="003A6DAE" w:rsidP="006947FD">
      <w:pPr>
        <w:pStyle w:val="Nagwek3"/>
        <w:numPr>
          <w:ilvl w:val="2"/>
          <w:numId w:val="0"/>
        </w:numPr>
        <w:tabs>
          <w:tab w:val="num" w:pos="0"/>
        </w:tabs>
        <w:suppressAutoHyphens/>
        <w:autoSpaceDN/>
        <w:adjustRightInd/>
        <w:spacing w:before="0" w:after="0"/>
        <w:rPr>
          <w:rFonts w:asciiTheme="minorHAnsi" w:hAnsiTheme="minorHAnsi" w:cstheme="minorHAnsi"/>
        </w:rPr>
      </w:pPr>
      <w:bookmarkStart w:id="477" w:name="_Toc358023983"/>
      <w:bookmarkStart w:id="478" w:name="_Toc358024398"/>
      <w:bookmarkStart w:id="479" w:name="_Toc358024813"/>
    </w:p>
    <w:p w14:paraId="66EDCFEC" w14:textId="77777777" w:rsidR="006947FD" w:rsidRPr="00A23FB4" w:rsidRDefault="006947FD" w:rsidP="005C45EE">
      <w:pPr>
        <w:rPr>
          <w:rFonts w:asciiTheme="minorHAnsi" w:hAnsiTheme="minorHAnsi" w:cstheme="minorHAnsi"/>
          <w:b/>
        </w:rPr>
      </w:pPr>
      <w:r w:rsidRPr="00A23FB4">
        <w:rPr>
          <w:rFonts w:asciiTheme="minorHAnsi" w:hAnsiTheme="minorHAnsi" w:cstheme="minorHAnsi"/>
          <w:b/>
        </w:rPr>
        <w:t>5.5. Roboty montażowe</w:t>
      </w:r>
      <w:bookmarkEnd w:id="477"/>
      <w:bookmarkEnd w:id="478"/>
      <w:bookmarkEnd w:id="479"/>
    </w:p>
    <w:p w14:paraId="4C4E8DF0" w14:textId="77777777" w:rsidR="006947FD" w:rsidRPr="00A23FB4" w:rsidRDefault="006947FD" w:rsidP="006947FD">
      <w:pPr>
        <w:pStyle w:val="StylIwony"/>
        <w:spacing w:before="0" w:after="0"/>
        <w:rPr>
          <w:rFonts w:asciiTheme="minorHAnsi" w:hAnsiTheme="minorHAnsi" w:cstheme="minorHAnsi"/>
          <w:sz w:val="20"/>
          <w:szCs w:val="20"/>
        </w:rPr>
      </w:pPr>
      <w:r w:rsidRPr="00A23FB4">
        <w:rPr>
          <w:rFonts w:asciiTheme="minorHAnsi" w:hAnsiTheme="minorHAnsi" w:cstheme="minorHAnsi"/>
          <w:sz w:val="20"/>
          <w:szCs w:val="20"/>
        </w:rPr>
        <w:t>Rury kanałowe układa się zgodnie z instrukcją montażową układania przewodów kanalizacyjnych wydaną przez producenta rur.</w:t>
      </w:r>
    </w:p>
    <w:p w14:paraId="7CA81E07" w14:textId="77777777" w:rsidR="006947FD" w:rsidRPr="00A23FB4" w:rsidRDefault="006947FD" w:rsidP="006947FD">
      <w:pPr>
        <w:pStyle w:val="StylIwony"/>
        <w:spacing w:before="0" w:after="0"/>
        <w:rPr>
          <w:rFonts w:asciiTheme="minorHAnsi" w:hAnsiTheme="minorHAnsi" w:cstheme="minorHAnsi"/>
          <w:sz w:val="20"/>
          <w:szCs w:val="20"/>
        </w:rPr>
      </w:pPr>
      <w:r w:rsidRPr="00A23FB4">
        <w:rPr>
          <w:rFonts w:asciiTheme="minorHAnsi" w:hAnsiTheme="minorHAnsi" w:cstheme="minorHAnsi"/>
          <w:sz w:val="20"/>
          <w:szCs w:val="20"/>
        </w:rPr>
        <w:t>Poszczególne ułożone rury powinny być unieruchomione przez obsypanie piaskiem pośrodku długości rury i mocno podbite, aby rura nie zmieniła położenia do czasu wykonania uszczelnienia złączy.</w:t>
      </w:r>
    </w:p>
    <w:p w14:paraId="5894FDAF" w14:textId="77777777" w:rsidR="006947FD" w:rsidRPr="00A23FB4" w:rsidRDefault="006947FD" w:rsidP="006947FD">
      <w:pPr>
        <w:pStyle w:val="StylIwony"/>
        <w:spacing w:before="0" w:after="0"/>
        <w:rPr>
          <w:rFonts w:asciiTheme="minorHAnsi" w:hAnsiTheme="minorHAnsi" w:cstheme="minorHAnsi"/>
          <w:sz w:val="20"/>
          <w:szCs w:val="20"/>
        </w:rPr>
      </w:pPr>
      <w:r w:rsidRPr="00A23FB4">
        <w:rPr>
          <w:rFonts w:asciiTheme="minorHAnsi" w:hAnsiTheme="minorHAnsi" w:cstheme="minorHAnsi"/>
          <w:sz w:val="20"/>
          <w:szCs w:val="20"/>
        </w:rPr>
        <w:t>Rury należy układać w temperaturze powyżej 0</w:t>
      </w:r>
      <w:r w:rsidRPr="00A23FB4">
        <w:rPr>
          <w:rFonts w:asciiTheme="minorHAnsi" w:hAnsiTheme="minorHAnsi" w:cstheme="minorHAnsi"/>
          <w:sz w:val="20"/>
          <w:szCs w:val="20"/>
          <w:vertAlign w:val="superscript"/>
        </w:rPr>
        <w:t>o</w:t>
      </w:r>
      <w:r w:rsidRPr="00A23FB4">
        <w:rPr>
          <w:rFonts w:asciiTheme="minorHAnsi" w:hAnsiTheme="minorHAnsi" w:cstheme="minorHAnsi"/>
          <w:sz w:val="20"/>
          <w:szCs w:val="20"/>
        </w:rPr>
        <w:t xml:space="preserve"> C.</w:t>
      </w:r>
    </w:p>
    <w:p w14:paraId="66D50840" w14:textId="77777777" w:rsidR="006947FD" w:rsidRPr="00A23FB4" w:rsidRDefault="006947FD" w:rsidP="006947FD">
      <w:pPr>
        <w:pStyle w:val="StylIwony"/>
        <w:spacing w:before="0" w:after="0"/>
        <w:rPr>
          <w:rFonts w:asciiTheme="minorHAnsi" w:hAnsiTheme="minorHAnsi" w:cstheme="minorHAnsi"/>
          <w:sz w:val="20"/>
          <w:szCs w:val="20"/>
        </w:rPr>
      </w:pPr>
      <w:r w:rsidRPr="00A23FB4">
        <w:rPr>
          <w:rFonts w:asciiTheme="minorHAnsi" w:hAnsiTheme="minorHAnsi" w:cstheme="minorHAnsi"/>
          <w:sz w:val="20"/>
          <w:szCs w:val="20"/>
        </w:rPr>
        <w:t>Przed zakończeniem dnia roboczego bądź przed zejściem z budowy należy zabezpieczyć końce ułożonego kanału przed zamuleniem.</w:t>
      </w:r>
    </w:p>
    <w:p w14:paraId="15AA6BC0" w14:textId="77777777" w:rsidR="006947FD" w:rsidRPr="00A23FB4" w:rsidRDefault="006947FD" w:rsidP="006947FD">
      <w:pPr>
        <w:pStyle w:val="StylIwony"/>
        <w:spacing w:before="0" w:after="0"/>
        <w:rPr>
          <w:rFonts w:asciiTheme="minorHAnsi" w:hAnsiTheme="minorHAnsi" w:cstheme="minorHAnsi"/>
          <w:sz w:val="20"/>
          <w:szCs w:val="20"/>
        </w:rPr>
      </w:pPr>
    </w:p>
    <w:p w14:paraId="45F458D3" w14:textId="77777777" w:rsidR="006947FD" w:rsidRPr="00A23FB4" w:rsidRDefault="006947FD" w:rsidP="006947FD">
      <w:pPr>
        <w:pStyle w:val="StylIwony"/>
        <w:spacing w:before="0" w:after="0"/>
        <w:rPr>
          <w:rFonts w:asciiTheme="minorHAnsi" w:hAnsiTheme="minorHAnsi" w:cstheme="minorHAnsi"/>
          <w:sz w:val="20"/>
          <w:szCs w:val="20"/>
        </w:rPr>
      </w:pPr>
      <w:r w:rsidRPr="00A23FB4">
        <w:rPr>
          <w:rFonts w:asciiTheme="minorHAnsi" w:hAnsiTheme="minorHAnsi" w:cstheme="minorHAnsi"/>
          <w:sz w:val="20"/>
          <w:szCs w:val="20"/>
        </w:rPr>
        <w:t>Przy wykonywaniu przykanalików należy przestrzegać następujących zasad:</w:t>
      </w:r>
    </w:p>
    <w:p w14:paraId="4A0079B5" w14:textId="77777777" w:rsidR="006947FD" w:rsidRPr="00A23FB4" w:rsidRDefault="006947FD" w:rsidP="00262498">
      <w:pPr>
        <w:pStyle w:val="StylIwony"/>
        <w:numPr>
          <w:ilvl w:val="0"/>
          <w:numId w:val="15"/>
        </w:numPr>
        <w:tabs>
          <w:tab w:val="left" w:pos="283"/>
        </w:tabs>
        <w:suppressAutoHyphens/>
        <w:autoSpaceDN/>
        <w:adjustRightInd/>
        <w:spacing w:before="0" w:after="0"/>
        <w:rPr>
          <w:rFonts w:asciiTheme="minorHAnsi" w:hAnsiTheme="minorHAnsi" w:cstheme="minorHAnsi"/>
          <w:sz w:val="20"/>
          <w:szCs w:val="20"/>
        </w:rPr>
      </w:pPr>
      <w:r w:rsidRPr="00A23FB4">
        <w:rPr>
          <w:rFonts w:asciiTheme="minorHAnsi" w:hAnsiTheme="minorHAnsi" w:cstheme="minorHAnsi"/>
          <w:sz w:val="20"/>
          <w:szCs w:val="20"/>
        </w:rPr>
        <w:t>trasa przykanalika powinna być prosta, bez załamań w planie i pionie (z wyjątkiem łuków dla podłączenia do wpustu bocznego w kanale lub do syfonu przy podłączeniach do kanału ogólnospławnego),</w:t>
      </w:r>
    </w:p>
    <w:p w14:paraId="0F49F38B" w14:textId="77777777" w:rsidR="006947FD" w:rsidRPr="00A23FB4" w:rsidRDefault="006947FD" w:rsidP="00262498">
      <w:pPr>
        <w:pStyle w:val="StylIwony"/>
        <w:numPr>
          <w:ilvl w:val="0"/>
          <w:numId w:val="15"/>
        </w:numPr>
        <w:tabs>
          <w:tab w:val="left" w:pos="283"/>
        </w:tabs>
        <w:suppressAutoHyphens/>
        <w:autoSpaceDN/>
        <w:adjustRightInd/>
        <w:spacing w:before="0" w:after="0"/>
        <w:rPr>
          <w:rFonts w:asciiTheme="minorHAnsi" w:hAnsiTheme="minorHAnsi" w:cstheme="minorHAnsi"/>
          <w:sz w:val="20"/>
          <w:szCs w:val="20"/>
        </w:rPr>
      </w:pPr>
      <w:r w:rsidRPr="00A23FB4">
        <w:rPr>
          <w:rFonts w:asciiTheme="minorHAnsi" w:hAnsiTheme="minorHAnsi" w:cstheme="minorHAnsi"/>
          <w:sz w:val="20"/>
          <w:szCs w:val="20"/>
        </w:rPr>
        <w:t>włączenie przykanalika do kanału może być wykonane za pośrednictwem studzienki rewizyjnej, studzienki krytej (tzw. ślepej) lub wpustu bocznego,</w:t>
      </w:r>
    </w:p>
    <w:p w14:paraId="2310C65B" w14:textId="77777777" w:rsidR="006947FD" w:rsidRPr="00A23FB4" w:rsidRDefault="006947FD" w:rsidP="00262498">
      <w:pPr>
        <w:pStyle w:val="StylIwony"/>
        <w:numPr>
          <w:ilvl w:val="0"/>
          <w:numId w:val="15"/>
        </w:numPr>
        <w:tabs>
          <w:tab w:val="left" w:pos="283"/>
        </w:tabs>
        <w:suppressAutoHyphens/>
        <w:autoSpaceDN/>
        <w:adjustRightInd/>
        <w:spacing w:before="0" w:after="0"/>
        <w:rPr>
          <w:rFonts w:asciiTheme="minorHAnsi" w:hAnsiTheme="minorHAnsi" w:cstheme="minorHAnsi"/>
          <w:sz w:val="20"/>
          <w:szCs w:val="20"/>
        </w:rPr>
      </w:pPr>
      <w:r w:rsidRPr="00A23FB4">
        <w:rPr>
          <w:rFonts w:asciiTheme="minorHAnsi" w:hAnsiTheme="minorHAnsi" w:cstheme="minorHAnsi"/>
          <w:sz w:val="20"/>
          <w:szCs w:val="20"/>
        </w:rPr>
        <w:t>spadki przykanalików powinny wynosić od min. 5 ‰ do max. 250 ‰,</w:t>
      </w:r>
    </w:p>
    <w:p w14:paraId="55966700" w14:textId="77777777" w:rsidR="006947FD" w:rsidRPr="00A23FB4" w:rsidRDefault="006947FD" w:rsidP="00262498">
      <w:pPr>
        <w:pStyle w:val="StylIwony"/>
        <w:numPr>
          <w:ilvl w:val="0"/>
          <w:numId w:val="15"/>
        </w:numPr>
        <w:tabs>
          <w:tab w:val="left" w:pos="283"/>
        </w:tabs>
        <w:suppressAutoHyphens/>
        <w:autoSpaceDN/>
        <w:adjustRightInd/>
        <w:spacing w:before="0" w:after="0"/>
        <w:rPr>
          <w:rFonts w:asciiTheme="minorHAnsi" w:hAnsiTheme="minorHAnsi" w:cstheme="minorHAnsi"/>
          <w:sz w:val="20"/>
          <w:szCs w:val="20"/>
        </w:rPr>
      </w:pPr>
      <w:r w:rsidRPr="00A23FB4">
        <w:rPr>
          <w:rFonts w:asciiTheme="minorHAnsi" w:hAnsiTheme="minorHAnsi" w:cstheme="minorHAnsi"/>
          <w:sz w:val="20"/>
          <w:szCs w:val="20"/>
        </w:rPr>
        <w:t>kierunek trasy przykanalika powinien być zgodny z kierunkiem spadku kanału zbiorczego,</w:t>
      </w:r>
    </w:p>
    <w:p w14:paraId="05FA51F5" w14:textId="77777777" w:rsidR="006947FD" w:rsidRPr="00A23FB4" w:rsidRDefault="006947FD" w:rsidP="00262498">
      <w:pPr>
        <w:pStyle w:val="StylIwony"/>
        <w:numPr>
          <w:ilvl w:val="0"/>
          <w:numId w:val="15"/>
        </w:numPr>
        <w:tabs>
          <w:tab w:val="left" w:pos="283"/>
        </w:tabs>
        <w:suppressAutoHyphens/>
        <w:autoSpaceDN/>
        <w:adjustRightInd/>
        <w:spacing w:before="0" w:after="0"/>
        <w:rPr>
          <w:rFonts w:asciiTheme="minorHAnsi" w:hAnsiTheme="minorHAnsi" w:cstheme="minorHAnsi"/>
          <w:sz w:val="20"/>
          <w:szCs w:val="20"/>
        </w:rPr>
      </w:pPr>
      <w:r w:rsidRPr="00A23FB4">
        <w:rPr>
          <w:rFonts w:asciiTheme="minorHAnsi" w:hAnsiTheme="minorHAnsi" w:cstheme="minorHAnsi"/>
          <w:sz w:val="20"/>
          <w:szCs w:val="20"/>
        </w:rPr>
        <w:t>włączenie przykanalika do kanału poprzez studzienkę połączeniową należy dokonywać tak, aby wysokość spadku przykanalika nad podłogą studzienki wynosiła max. 50,0 cm. W przypadku konieczności włączenia przykanalika na wysokości większej należy stosować przepady (kaskady) umieszczone wewnątrz studzienki,</w:t>
      </w:r>
    </w:p>
    <w:p w14:paraId="6F26C725" w14:textId="77777777" w:rsidR="006947FD" w:rsidRPr="00A23FB4" w:rsidRDefault="006947FD" w:rsidP="006947FD">
      <w:pPr>
        <w:overflowPunct/>
        <w:autoSpaceDE/>
        <w:textAlignment w:val="auto"/>
        <w:rPr>
          <w:rFonts w:asciiTheme="minorHAnsi" w:hAnsiTheme="minorHAnsi" w:cstheme="minorHAnsi"/>
        </w:rPr>
      </w:pPr>
    </w:p>
    <w:p w14:paraId="3DB2B78D" w14:textId="77777777" w:rsidR="006947FD" w:rsidRPr="00A23FB4" w:rsidRDefault="006947FD" w:rsidP="006947FD">
      <w:pPr>
        <w:overflowPunct/>
        <w:autoSpaceDE/>
        <w:textAlignment w:val="auto"/>
        <w:rPr>
          <w:rFonts w:asciiTheme="minorHAnsi" w:hAnsiTheme="minorHAnsi" w:cstheme="minorHAnsi"/>
        </w:rPr>
      </w:pPr>
      <w:r w:rsidRPr="00A23FB4">
        <w:rPr>
          <w:rFonts w:asciiTheme="minorHAnsi" w:hAnsiTheme="minorHAnsi" w:cstheme="minorHAnsi"/>
        </w:rPr>
        <w:t>Przewiduje się wpięcie przykanalików z wpustów do sieci za pośrednictwem istniejących studzienek.</w:t>
      </w:r>
    </w:p>
    <w:p w14:paraId="0C385F49" w14:textId="77777777" w:rsidR="006947FD" w:rsidRPr="00A23FB4" w:rsidRDefault="006947FD" w:rsidP="006947FD">
      <w:pPr>
        <w:rPr>
          <w:rFonts w:asciiTheme="minorHAnsi" w:hAnsiTheme="minorHAnsi" w:cstheme="minorHAnsi"/>
        </w:rPr>
      </w:pPr>
      <w:r w:rsidRPr="00A23FB4">
        <w:rPr>
          <w:rFonts w:asciiTheme="minorHAnsi" w:hAnsiTheme="minorHAnsi" w:cstheme="minorHAnsi"/>
        </w:rPr>
        <w:t>Ze względu na znaczną głębokość posadowienia istniejącej sieci kanalizacyjnej należy zastosować kaskady wewnętrzne.</w:t>
      </w:r>
    </w:p>
    <w:p w14:paraId="69AC3CCC" w14:textId="77777777" w:rsidR="006947FD" w:rsidRPr="00A23FB4" w:rsidRDefault="006947FD" w:rsidP="006947FD">
      <w:pPr>
        <w:pStyle w:val="StylIwony"/>
        <w:spacing w:before="0" w:after="0"/>
        <w:rPr>
          <w:rFonts w:asciiTheme="minorHAnsi" w:hAnsiTheme="minorHAnsi" w:cstheme="minorHAnsi"/>
          <w:sz w:val="20"/>
          <w:szCs w:val="20"/>
        </w:rPr>
      </w:pPr>
    </w:p>
    <w:p w14:paraId="0FA550AE" w14:textId="77777777" w:rsidR="006947FD" w:rsidRPr="00A23FB4" w:rsidRDefault="006947FD" w:rsidP="006947FD">
      <w:pPr>
        <w:pStyle w:val="StylIwony"/>
        <w:spacing w:before="0" w:after="0"/>
        <w:rPr>
          <w:rFonts w:asciiTheme="minorHAnsi" w:hAnsiTheme="minorHAnsi" w:cstheme="minorHAnsi"/>
          <w:sz w:val="20"/>
          <w:szCs w:val="20"/>
        </w:rPr>
      </w:pPr>
      <w:r w:rsidRPr="00A23FB4">
        <w:rPr>
          <w:rFonts w:asciiTheme="minorHAnsi" w:hAnsiTheme="minorHAnsi" w:cstheme="minorHAnsi"/>
          <w:sz w:val="20"/>
          <w:szCs w:val="20"/>
        </w:rPr>
        <w:t>Przy wykonywaniu studzienek kanalizacyjnych należy przestrzegać następujących zasad:</w:t>
      </w:r>
    </w:p>
    <w:p w14:paraId="5414CC45" w14:textId="77777777" w:rsidR="006947FD" w:rsidRPr="00A23FB4" w:rsidRDefault="006947FD" w:rsidP="00262498">
      <w:pPr>
        <w:pStyle w:val="StylIwony"/>
        <w:numPr>
          <w:ilvl w:val="0"/>
          <w:numId w:val="15"/>
        </w:numPr>
        <w:tabs>
          <w:tab w:val="left" w:pos="283"/>
        </w:tabs>
        <w:suppressAutoHyphens/>
        <w:autoSpaceDN/>
        <w:adjustRightInd/>
        <w:spacing w:before="0" w:after="0"/>
        <w:rPr>
          <w:rFonts w:asciiTheme="minorHAnsi" w:hAnsiTheme="minorHAnsi" w:cstheme="minorHAnsi"/>
          <w:sz w:val="20"/>
          <w:szCs w:val="20"/>
        </w:rPr>
      </w:pPr>
      <w:r w:rsidRPr="00A23FB4">
        <w:rPr>
          <w:rFonts w:asciiTheme="minorHAnsi" w:hAnsiTheme="minorHAnsi" w:cstheme="minorHAnsi"/>
          <w:sz w:val="20"/>
          <w:szCs w:val="20"/>
        </w:rPr>
        <w:t>studzienki należy wykonywać na uprzednio wzmocnionym (warstwą tłucznia lub żwiru) dnie wykopu i przygotowanym fundamencie betonowym,</w:t>
      </w:r>
    </w:p>
    <w:p w14:paraId="3CED6196" w14:textId="77777777" w:rsidR="006947FD" w:rsidRPr="00A23FB4" w:rsidRDefault="006947FD" w:rsidP="00262498">
      <w:pPr>
        <w:pStyle w:val="StylIwony"/>
        <w:numPr>
          <w:ilvl w:val="0"/>
          <w:numId w:val="15"/>
        </w:numPr>
        <w:tabs>
          <w:tab w:val="left" w:pos="283"/>
        </w:tabs>
        <w:suppressAutoHyphens/>
        <w:autoSpaceDN/>
        <w:adjustRightInd/>
        <w:spacing w:before="0" w:after="0"/>
        <w:rPr>
          <w:rFonts w:asciiTheme="minorHAnsi" w:hAnsiTheme="minorHAnsi" w:cstheme="minorHAnsi"/>
          <w:sz w:val="20"/>
          <w:szCs w:val="20"/>
        </w:rPr>
      </w:pPr>
      <w:r w:rsidRPr="00A23FB4">
        <w:rPr>
          <w:rFonts w:asciiTheme="minorHAnsi" w:hAnsiTheme="minorHAnsi" w:cstheme="minorHAnsi"/>
          <w:sz w:val="20"/>
          <w:szCs w:val="20"/>
        </w:rPr>
        <w:t>studzienki wykonywać należy zasadniczo w wykopie szerokoprzestrzennym. Natomiast w trudnych warunkach gruntowych (przy występowaniu wody gruntowej, kurzawki itp.) w wykopie wzmocnionym,</w:t>
      </w:r>
    </w:p>
    <w:p w14:paraId="79C58E42" w14:textId="77777777" w:rsidR="006947FD" w:rsidRPr="00A23FB4" w:rsidRDefault="006947FD" w:rsidP="006947FD">
      <w:pPr>
        <w:pStyle w:val="StylIwony"/>
        <w:spacing w:before="0" w:after="0"/>
        <w:rPr>
          <w:rFonts w:asciiTheme="minorHAnsi" w:hAnsiTheme="minorHAnsi" w:cstheme="minorHAnsi"/>
          <w:sz w:val="20"/>
          <w:szCs w:val="20"/>
        </w:rPr>
      </w:pPr>
      <w:r w:rsidRPr="00A23FB4">
        <w:rPr>
          <w:rFonts w:asciiTheme="minorHAnsi" w:hAnsiTheme="minorHAnsi" w:cstheme="minorHAnsi"/>
          <w:sz w:val="20"/>
          <w:szCs w:val="20"/>
        </w:rPr>
        <w:t>Montaż studzienek winien być zgodny z instrukcją producenta oraz dokumentacją projektową. Sposób wykonania studzienek przedstawiony jest w Katalogu Budownictwa oznaczonego symbolem KB-4.12.1 (7, 6, 8), a ponadto w „Katalogu powtarzalnych elementów drogowych” opracowanym przez „Transprojekt” Warszawa.</w:t>
      </w:r>
    </w:p>
    <w:p w14:paraId="2AEF60DB" w14:textId="77777777" w:rsidR="006947FD" w:rsidRPr="00A23FB4" w:rsidRDefault="006947FD" w:rsidP="006947FD">
      <w:pPr>
        <w:pStyle w:val="StylIwony"/>
        <w:spacing w:before="0" w:after="0"/>
        <w:rPr>
          <w:rFonts w:asciiTheme="minorHAnsi" w:hAnsiTheme="minorHAnsi" w:cstheme="minorHAnsi"/>
          <w:sz w:val="20"/>
          <w:szCs w:val="20"/>
        </w:rPr>
      </w:pPr>
      <w:r w:rsidRPr="00A23FB4">
        <w:rPr>
          <w:rFonts w:asciiTheme="minorHAnsi" w:hAnsiTheme="minorHAnsi" w:cstheme="minorHAnsi"/>
          <w:sz w:val="20"/>
          <w:szCs w:val="20"/>
        </w:rPr>
        <w:t>Przejścia rur kanalizacyjnych przez ściany komory należy wykonać w sposób szczelny (obudować i uszczelnić materiałem plastycznym lub zastosować fabryczne adaptery przejściowe do studzienek).</w:t>
      </w:r>
    </w:p>
    <w:p w14:paraId="3C63742C" w14:textId="77777777" w:rsidR="006947FD" w:rsidRPr="00A23FB4" w:rsidRDefault="006947FD" w:rsidP="006947FD">
      <w:pPr>
        <w:pStyle w:val="StylIwony"/>
        <w:spacing w:before="0" w:after="0"/>
        <w:rPr>
          <w:rFonts w:asciiTheme="minorHAnsi" w:hAnsiTheme="minorHAnsi" w:cstheme="minorHAnsi"/>
          <w:sz w:val="20"/>
          <w:szCs w:val="20"/>
        </w:rPr>
      </w:pPr>
      <w:r w:rsidRPr="00A23FB4">
        <w:rPr>
          <w:rFonts w:asciiTheme="minorHAnsi" w:hAnsiTheme="minorHAnsi" w:cstheme="minorHAnsi"/>
          <w:sz w:val="20"/>
          <w:szCs w:val="20"/>
        </w:rPr>
        <w:t>Dno studzienki należy wykonać na mokro w formie płyty dennej z wyprofilowaną kinetą.</w:t>
      </w:r>
    </w:p>
    <w:p w14:paraId="4E6C81D1" w14:textId="77777777" w:rsidR="006947FD" w:rsidRPr="00A23FB4" w:rsidRDefault="006947FD" w:rsidP="006947FD">
      <w:pPr>
        <w:pStyle w:val="StylIwony"/>
        <w:spacing w:before="0" w:after="0"/>
        <w:rPr>
          <w:rFonts w:asciiTheme="minorHAnsi" w:hAnsiTheme="minorHAnsi" w:cstheme="minorHAnsi"/>
          <w:sz w:val="20"/>
          <w:szCs w:val="20"/>
        </w:rPr>
      </w:pPr>
      <w:r w:rsidRPr="00A23FB4">
        <w:rPr>
          <w:rFonts w:asciiTheme="minorHAnsi" w:hAnsiTheme="minorHAnsi" w:cstheme="minorHAnsi"/>
          <w:sz w:val="20"/>
          <w:szCs w:val="20"/>
        </w:rPr>
        <w:t>Kineta w dolnej części (do wysokości równej połowie średnicy kanału) powinna mieć przekrój zgodny z przekrojem kanału, a powyżej przedłużony pionowymi ściankami do poziomu maksymalnego napełnienia kanału. Przy zmianie kierunku trasy kanału kineta powinna mieć kształt łuku stycznego do kierunku kanału, natomiast w przypadku zmiany średnicy kanału powinna ona stanowić przejście z jednego wymiaru w drugi.</w:t>
      </w:r>
    </w:p>
    <w:p w14:paraId="33BD13DB" w14:textId="77777777" w:rsidR="006947FD" w:rsidRPr="00A23FB4" w:rsidRDefault="006947FD" w:rsidP="006947FD">
      <w:pPr>
        <w:pStyle w:val="StylIwony"/>
        <w:spacing w:before="0" w:after="0"/>
        <w:rPr>
          <w:rFonts w:asciiTheme="minorHAnsi" w:hAnsiTheme="minorHAnsi" w:cstheme="minorHAnsi"/>
          <w:sz w:val="20"/>
          <w:szCs w:val="20"/>
        </w:rPr>
      </w:pPr>
      <w:r w:rsidRPr="00A23FB4">
        <w:rPr>
          <w:rFonts w:asciiTheme="minorHAnsi" w:hAnsiTheme="minorHAnsi" w:cstheme="minorHAnsi"/>
          <w:sz w:val="20"/>
          <w:szCs w:val="20"/>
        </w:rPr>
        <w:t>Dno studzienki powinno mieć spadek co najmniej 3 ‰ w kierunku kinety.</w:t>
      </w:r>
    </w:p>
    <w:p w14:paraId="77AF85BB" w14:textId="77777777" w:rsidR="006947FD" w:rsidRPr="00A23FB4" w:rsidRDefault="006947FD" w:rsidP="006947FD">
      <w:pPr>
        <w:pStyle w:val="StylIwony"/>
        <w:spacing w:before="0" w:after="0"/>
        <w:rPr>
          <w:rFonts w:asciiTheme="minorHAnsi" w:hAnsiTheme="minorHAnsi" w:cstheme="minorHAnsi"/>
          <w:sz w:val="20"/>
          <w:szCs w:val="20"/>
        </w:rPr>
      </w:pPr>
      <w:r w:rsidRPr="00A23FB4">
        <w:rPr>
          <w:rFonts w:asciiTheme="minorHAnsi" w:hAnsiTheme="minorHAnsi" w:cstheme="minorHAnsi"/>
          <w:sz w:val="20"/>
          <w:szCs w:val="20"/>
        </w:rPr>
        <w:t>Studzienki powinny mieć właz typu ciężkiego wg PN-H-74051-02.</w:t>
      </w:r>
    </w:p>
    <w:p w14:paraId="23AA5A96" w14:textId="77777777" w:rsidR="006947FD" w:rsidRPr="00A23FB4" w:rsidRDefault="006947FD" w:rsidP="006947FD">
      <w:pPr>
        <w:pStyle w:val="StylIwony"/>
        <w:spacing w:before="0" w:after="0"/>
        <w:rPr>
          <w:rFonts w:asciiTheme="minorHAnsi" w:hAnsiTheme="minorHAnsi" w:cstheme="minorHAnsi"/>
          <w:sz w:val="20"/>
          <w:szCs w:val="20"/>
        </w:rPr>
      </w:pPr>
      <w:r w:rsidRPr="00A23FB4">
        <w:rPr>
          <w:rFonts w:asciiTheme="minorHAnsi" w:hAnsiTheme="minorHAnsi" w:cstheme="minorHAnsi"/>
          <w:sz w:val="20"/>
          <w:szCs w:val="20"/>
        </w:rPr>
        <w:t>Poziom włazu w powierzchni utwardzonej powinien być z nią równy, natomiast w trawnikach i zieleńcach górna krawędź włazu powinna znajdować się na wysokości min 8 cm ponad poziomem  terenu.</w:t>
      </w:r>
    </w:p>
    <w:p w14:paraId="5961E583" w14:textId="77777777" w:rsidR="006947FD" w:rsidRPr="00A23FB4" w:rsidRDefault="006947FD" w:rsidP="006947FD">
      <w:pPr>
        <w:pStyle w:val="StylIwony"/>
        <w:spacing w:before="0" w:after="0"/>
        <w:rPr>
          <w:rFonts w:asciiTheme="minorHAnsi" w:hAnsiTheme="minorHAnsi" w:cstheme="minorHAnsi"/>
          <w:sz w:val="20"/>
          <w:szCs w:val="20"/>
        </w:rPr>
      </w:pPr>
      <w:r w:rsidRPr="00A23FB4">
        <w:rPr>
          <w:rFonts w:asciiTheme="minorHAnsi" w:hAnsiTheme="minorHAnsi" w:cstheme="minorHAnsi"/>
          <w:sz w:val="20"/>
          <w:szCs w:val="20"/>
        </w:rPr>
        <w:t>W ścianie komory roboczej oraz komina włazowego należy zamontować mijankowo stopnie złazowe w dwóch rzędach, w odległościach pionowych 0,30 m i w odległości poziomej osi stopni 0,30 m.</w:t>
      </w:r>
    </w:p>
    <w:p w14:paraId="1BAEB533" w14:textId="77777777" w:rsidR="006947FD" w:rsidRPr="00A23FB4" w:rsidRDefault="006947FD" w:rsidP="006947FD">
      <w:pPr>
        <w:pStyle w:val="StylIwony"/>
        <w:spacing w:before="0" w:after="0"/>
        <w:rPr>
          <w:rFonts w:asciiTheme="minorHAnsi" w:hAnsiTheme="minorHAnsi" w:cstheme="minorHAnsi"/>
          <w:sz w:val="20"/>
          <w:szCs w:val="20"/>
        </w:rPr>
      </w:pPr>
      <w:r w:rsidRPr="00A23FB4">
        <w:rPr>
          <w:rFonts w:asciiTheme="minorHAnsi" w:hAnsiTheme="minorHAnsi" w:cstheme="minorHAnsi"/>
          <w:sz w:val="20"/>
          <w:szCs w:val="20"/>
        </w:rPr>
        <w:t>Studzienki ściekowe, przeznaczone do odprowadzania wód opadowych z jezdni powinny być z wpustem ulicznym żeliwnym i osadnikiem.</w:t>
      </w:r>
    </w:p>
    <w:p w14:paraId="186A1A81" w14:textId="77777777" w:rsidR="006947FD" w:rsidRPr="00A23FB4" w:rsidRDefault="006947FD" w:rsidP="006947FD">
      <w:pPr>
        <w:pStyle w:val="StylIwony"/>
        <w:spacing w:before="0" w:after="0"/>
        <w:rPr>
          <w:rFonts w:asciiTheme="minorHAnsi" w:hAnsiTheme="minorHAnsi" w:cstheme="minorHAnsi"/>
          <w:sz w:val="20"/>
          <w:szCs w:val="20"/>
        </w:rPr>
      </w:pPr>
      <w:r w:rsidRPr="00A23FB4">
        <w:rPr>
          <w:rFonts w:asciiTheme="minorHAnsi" w:hAnsiTheme="minorHAnsi" w:cstheme="minorHAnsi"/>
          <w:sz w:val="20"/>
          <w:szCs w:val="20"/>
        </w:rPr>
        <w:t>Krata ściekowa wpustu powinna być usytuowana bezpośrednio przy krawężniku, przy czym wierzch kraty powinien być usytuowany 0,5 cm poniżej nawierzchni.</w:t>
      </w:r>
    </w:p>
    <w:p w14:paraId="39878A73" w14:textId="77777777" w:rsidR="006947FD" w:rsidRPr="00A23FB4" w:rsidRDefault="006947FD" w:rsidP="006947FD">
      <w:pPr>
        <w:pStyle w:val="StylIwony"/>
        <w:spacing w:before="0" w:after="0"/>
        <w:rPr>
          <w:rFonts w:asciiTheme="minorHAnsi" w:hAnsiTheme="minorHAnsi" w:cstheme="minorHAnsi"/>
          <w:sz w:val="20"/>
          <w:szCs w:val="20"/>
        </w:rPr>
      </w:pPr>
      <w:r w:rsidRPr="00A23FB4">
        <w:rPr>
          <w:rFonts w:asciiTheme="minorHAnsi" w:hAnsiTheme="minorHAnsi" w:cstheme="minorHAnsi"/>
          <w:sz w:val="20"/>
          <w:szCs w:val="20"/>
        </w:rPr>
        <w:t>Lokalizacja studzienek wynika z rozwiązania drogowego.</w:t>
      </w:r>
    </w:p>
    <w:p w14:paraId="1FD73179" w14:textId="77777777" w:rsidR="006947FD" w:rsidRPr="00A23FB4" w:rsidRDefault="006947FD" w:rsidP="006947FD">
      <w:pPr>
        <w:pStyle w:val="StylIwony"/>
        <w:spacing w:before="0" w:after="0"/>
        <w:rPr>
          <w:rFonts w:asciiTheme="minorHAnsi" w:hAnsiTheme="minorHAnsi" w:cstheme="minorHAnsi"/>
          <w:sz w:val="20"/>
          <w:szCs w:val="20"/>
        </w:rPr>
      </w:pPr>
    </w:p>
    <w:p w14:paraId="1D91C4AD" w14:textId="77777777" w:rsidR="006947FD" w:rsidRPr="00A23FB4" w:rsidRDefault="006947FD" w:rsidP="006947FD">
      <w:pPr>
        <w:pStyle w:val="StylIwony"/>
        <w:spacing w:before="0" w:after="0"/>
        <w:rPr>
          <w:rFonts w:asciiTheme="minorHAnsi" w:hAnsiTheme="minorHAnsi" w:cstheme="minorHAnsi"/>
          <w:sz w:val="20"/>
          <w:szCs w:val="20"/>
        </w:rPr>
      </w:pPr>
      <w:r w:rsidRPr="00A23FB4">
        <w:rPr>
          <w:rFonts w:asciiTheme="minorHAnsi" w:hAnsiTheme="minorHAnsi" w:cstheme="minorHAnsi"/>
          <w:sz w:val="20"/>
          <w:szCs w:val="20"/>
        </w:rPr>
        <w:t>Studzienki zabezpiecza się przez posmarowanie z zewnątrz izolacją bitumiczną – w zależności od rodzaju gruntu (sposób izolacji w zależności od gruntu nawodnionego lub suchego).</w:t>
      </w:r>
    </w:p>
    <w:p w14:paraId="7C32F2E4" w14:textId="77777777" w:rsidR="006947FD" w:rsidRPr="00A23FB4" w:rsidRDefault="006947FD" w:rsidP="006947FD">
      <w:pPr>
        <w:pStyle w:val="StylIwony"/>
        <w:spacing w:before="0" w:after="0"/>
        <w:rPr>
          <w:rFonts w:asciiTheme="minorHAnsi" w:hAnsiTheme="minorHAnsi" w:cstheme="minorHAnsi"/>
          <w:sz w:val="20"/>
          <w:szCs w:val="20"/>
        </w:rPr>
      </w:pPr>
      <w:r w:rsidRPr="00A23FB4">
        <w:rPr>
          <w:rFonts w:asciiTheme="minorHAnsi" w:hAnsiTheme="minorHAnsi" w:cstheme="minorHAnsi"/>
          <w:sz w:val="20"/>
          <w:szCs w:val="20"/>
        </w:rPr>
        <w:t>Dopuszcza się stosowanie innego środka izolacyjnego uzgodnionego z Inżynierem.</w:t>
      </w:r>
    </w:p>
    <w:p w14:paraId="499D110F" w14:textId="77777777" w:rsidR="006947FD" w:rsidRPr="00A23FB4" w:rsidRDefault="006947FD" w:rsidP="006947FD">
      <w:pPr>
        <w:pStyle w:val="StylIwony"/>
        <w:spacing w:before="0" w:after="0"/>
        <w:rPr>
          <w:rFonts w:asciiTheme="minorHAnsi" w:hAnsiTheme="minorHAnsi" w:cstheme="minorHAnsi"/>
          <w:sz w:val="20"/>
          <w:szCs w:val="20"/>
        </w:rPr>
      </w:pPr>
      <w:r w:rsidRPr="00A23FB4">
        <w:rPr>
          <w:rFonts w:asciiTheme="minorHAnsi" w:hAnsiTheme="minorHAnsi" w:cstheme="minorHAnsi"/>
          <w:sz w:val="20"/>
          <w:szCs w:val="20"/>
        </w:rPr>
        <w:t>W środowisku słabo agresywnym, niezależnie od czynnika agresji, studzienki należy zabezpieczyć przez zagruntowanie izolacją asfaltową oraz trzykrotne posmarowanie lepikiem asfaltowym stosowanym na gorąco wg PN-C-96177.</w:t>
      </w:r>
    </w:p>
    <w:p w14:paraId="29A44C95" w14:textId="77777777" w:rsidR="006947FD" w:rsidRPr="00A23FB4" w:rsidRDefault="006947FD" w:rsidP="006947FD">
      <w:pPr>
        <w:pStyle w:val="StylIwony"/>
        <w:spacing w:before="0" w:after="0"/>
        <w:rPr>
          <w:rFonts w:asciiTheme="minorHAnsi" w:hAnsiTheme="minorHAnsi" w:cstheme="minorHAnsi"/>
          <w:sz w:val="20"/>
          <w:szCs w:val="20"/>
        </w:rPr>
      </w:pPr>
      <w:r w:rsidRPr="00A23FB4">
        <w:rPr>
          <w:rFonts w:asciiTheme="minorHAnsi" w:hAnsiTheme="minorHAnsi" w:cstheme="minorHAnsi"/>
          <w:sz w:val="20"/>
          <w:szCs w:val="20"/>
        </w:rPr>
        <w:t>W środowisku silnie agresywnym (z uwagi na dużą różnorodność i bardzo duży przedział natężenia czynnika agresji) sposób zabezpieczenia rur przed korozją Wykonawca uzgodni z Inżynierem.</w:t>
      </w:r>
    </w:p>
    <w:p w14:paraId="1F1ACBB2" w14:textId="77777777" w:rsidR="006947FD" w:rsidRPr="00A23FB4" w:rsidRDefault="006947FD" w:rsidP="006947FD">
      <w:pPr>
        <w:pStyle w:val="StylIwony"/>
        <w:spacing w:before="0" w:after="0"/>
        <w:rPr>
          <w:rFonts w:asciiTheme="minorHAnsi" w:hAnsiTheme="minorHAnsi" w:cstheme="minorHAnsi"/>
          <w:sz w:val="20"/>
          <w:szCs w:val="20"/>
        </w:rPr>
      </w:pPr>
    </w:p>
    <w:p w14:paraId="62051DCA" w14:textId="77777777" w:rsidR="006947FD" w:rsidRPr="00A23FB4" w:rsidRDefault="006947FD" w:rsidP="006947FD">
      <w:pPr>
        <w:pStyle w:val="StylIwony"/>
        <w:spacing w:before="0" w:after="0"/>
        <w:rPr>
          <w:rFonts w:asciiTheme="minorHAnsi" w:hAnsiTheme="minorHAnsi" w:cstheme="minorHAnsi"/>
          <w:sz w:val="20"/>
          <w:szCs w:val="20"/>
        </w:rPr>
      </w:pPr>
      <w:r w:rsidRPr="00A23FB4">
        <w:rPr>
          <w:rFonts w:asciiTheme="minorHAnsi" w:hAnsiTheme="minorHAnsi" w:cstheme="minorHAnsi"/>
          <w:sz w:val="20"/>
          <w:szCs w:val="20"/>
        </w:rPr>
        <w:t>Zasypywanie rur w wykopie należy prowadzić warstwami grubości 20 cm. Materiał zasypkowy powinien być równomiernie układany i zagęszczany po obu stronach przewodu. Wskaźnik zagęszczenia powinien być zgodny z określonym w dokumentacji projektowej. Do zasypywania wykopu należy użyć materiał spełniający wymagania D-02.03.01 Nasypy</w:t>
      </w:r>
    </w:p>
    <w:p w14:paraId="7954BC13" w14:textId="77777777" w:rsidR="006947FD" w:rsidRPr="00A23FB4" w:rsidRDefault="006947FD" w:rsidP="006947FD">
      <w:pPr>
        <w:pStyle w:val="StylIwony"/>
        <w:spacing w:before="0" w:after="0"/>
        <w:rPr>
          <w:rFonts w:asciiTheme="minorHAnsi" w:hAnsiTheme="minorHAnsi" w:cstheme="minorHAnsi"/>
          <w:sz w:val="20"/>
          <w:szCs w:val="20"/>
        </w:rPr>
      </w:pPr>
    </w:p>
    <w:p w14:paraId="42C0221C" w14:textId="77777777" w:rsidR="006947FD" w:rsidRPr="00A23FB4" w:rsidRDefault="006947FD" w:rsidP="00B80411">
      <w:pPr>
        <w:rPr>
          <w:rFonts w:asciiTheme="minorHAnsi" w:hAnsiTheme="minorHAnsi" w:cstheme="minorHAnsi"/>
          <w:b/>
        </w:rPr>
      </w:pPr>
      <w:bookmarkStart w:id="480" w:name="_Toc358023984"/>
      <w:bookmarkStart w:id="481" w:name="_Toc358024399"/>
      <w:bookmarkStart w:id="482" w:name="_Toc358024814"/>
      <w:r w:rsidRPr="00A23FB4">
        <w:rPr>
          <w:rFonts w:asciiTheme="minorHAnsi" w:hAnsiTheme="minorHAnsi" w:cstheme="minorHAnsi"/>
          <w:b/>
        </w:rPr>
        <w:t>6. KONTROLA JAKOŚCI ROBÓT</w:t>
      </w:r>
      <w:bookmarkEnd w:id="480"/>
      <w:bookmarkEnd w:id="481"/>
      <w:bookmarkEnd w:id="482"/>
    </w:p>
    <w:p w14:paraId="5FE953BA" w14:textId="77777777" w:rsidR="006947FD" w:rsidRPr="00A23FB4" w:rsidRDefault="006947FD" w:rsidP="006947FD">
      <w:pPr>
        <w:pStyle w:val="Nagwek3"/>
        <w:numPr>
          <w:ilvl w:val="2"/>
          <w:numId w:val="0"/>
        </w:numPr>
        <w:tabs>
          <w:tab w:val="num" w:pos="0"/>
        </w:tabs>
        <w:suppressAutoHyphens/>
        <w:autoSpaceDN/>
        <w:adjustRightInd/>
        <w:spacing w:before="0" w:after="0"/>
        <w:rPr>
          <w:rFonts w:asciiTheme="minorHAnsi" w:hAnsiTheme="minorHAnsi" w:cstheme="minorHAnsi"/>
        </w:rPr>
      </w:pPr>
    </w:p>
    <w:p w14:paraId="153DF252" w14:textId="77777777" w:rsidR="006947FD" w:rsidRPr="00A23FB4" w:rsidRDefault="006947FD" w:rsidP="005C45EE">
      <w:pPr>
        <w:rPr>
          <w:rFonts w:asciiTheme="minorHAnsi" w:hAnsiTheme="minorHAnsi" w:cstheme="minorHAnsi"/>
          <w:b/>
        </w:rPr>
      </w:pPr>
      <w:bookmarkStart w:id="483" w:name="_Toc358023985"/>
      <w:bookmarkStart w:id="484" w:name="_Toc358024400"/>
      <w:bookmarkStart w:id="485" w:name="_Toc358024815"/>
      <w:r w:rsidRPr="00A23FB4">
        <w:rPr>
          <w:rFonts w:asciiTheme="minorHAnsi" w:hAnsiTheme="minorHAnsi" w:cstheme="minorHAnsi"/>
          <w:b/>
        </w:rPr>
        <w:t>6.1. Ogólne zasady kontroli jakości robót</w:t>
      </w:r>
      <w:bookmarkEnd w:id="483"/>
      <w:bookmarkEnd w:id="484"/>
      <w:bookmarkEnd w:id="485"/>
    </w:p>
    <w:p w14:paraId="0485EEE9" w14:textId="43A2BB3F" w:rsidR="006947FD" w:rsidRPr="00A23FB4" w:rsidRDefault="006947FD" w:rsidP="006947FD">
      <w:pPr>
        <w:pStyle w:val="StylIwony"/>
        <w:spacing w:before="0" w:after="0"/>
        <w:rPr>
          <w:rFonts w:asciiTheme="minorHAnsi" w:hAnsiTheme="minorHAnsi" w:cstheme="minorHAnsi"/>
          <w:sz w:val="20"/>
          <w:szCs w:val="20"/>
        </w:rPr>
      </w:pPr>
      <w:r w:rsidRPr="00A23FB4">
        <w:rPr>
          <w:rFonts w:asciiTheme="minorHAnsi" w:hAnsiTheme="minorHAnsi" w:cstheme="minorHAnsi"/>
          <w:sz w:val="20"/>
          <w:szCs w:val="20"/>
        </w:rPr>
        <w:t xml:space="preserve">Ogólne zasady kontroli jakości robót podano w </w:t>
      </w:r>
      <w:r w:rsidR="00E019D3">
        <w:rPr>
          <w:rFonts w:asciiTheme="minorHAnsi" w:hAnsiTheme="minorHAnsi" w:cstheme="minorHAnsi"/>
          <w:sz w:val="20"/>
          <w:szCs w:val="20"/>
        </w:rPr>
        <w:t>ST</w:t>
      </w:r>
      <w:r w:rsidR="00E348FF" w:rsidRPr="00A23FB4">
        <w:rPr>
          <w:rFonts w:asciiTheme="minorHAnsi" w:hAnsiTheme="minorHAnsi" w:cstheme="minorHAnsi"/>
          <w:sz w:val="20"/>
          <w:szCs w:val="20"/>
        </w:rPr>
        <w:t>WiORB</w:t>
      </w:r>
      <w:r w:rsidRPr="00A23FB4">
        <w:rPr>
          <w:rFonts w:asciiTheme="minorHAnsi" w:hAnsiTheme="minorHAnsi" w:cstheme="minorHAnsi"/>
          <w:sz w:val="20"/>
          <w:szCs w:val="20"/>
        </w:rPr>
        <w:t>D-M-00.00.00 „Wymagania ogólne” pkt 6.</w:t>
      </w:r>
    </w:p>
    <w:p w14:paraId="212B2030" w14:textId="77777777" w:rsidR="006947FD" w:rsidRPr="00A23FB4" w:rsidRDefault="006947FD" w:rsidP="005C45EE">
      <w:pPr>
        <w:rPr>
          <w:rFonts w:asciiTheme="minorHAnsi" w:hAnsiTheme="minorHAnsi" w:cstheme="minorHAnsi"/>
          <w:b/>
        </w:rPr>
      </w:pPr>
    </w:p>
    <w:p w14:paraId="0E7E861E" w14:textId="77777777" w:rsidR="006947FD" w:rsidRPr="00A23FB4" w:rsidRDefault="006947FD" w:rsidP="005C45EE">
      <w:pPr>
        <w:rPr>
          <w:rFonts w:asciiTheme="minorHAnsi" w:hAnsiTheme="minorHAnsi" w:cstheme="minorHAnsi"/>
          <w:b/>
        </w:rPr>
      </w:pPr>
      <w:bookmarkStart w:id="486" w:name="_Toc358023986"/>
      <w:bookmarkStart w:id="487" w:name="_Toc358024401"/>
      <w:bookmarkStart w:id="488" w:name="_Toc358024816"/>
      <w:r w:rsidRPr="00A23FB4">
        <w:rPr>
          <w:rFonts w:asciiTheme="minorHAnsi" w:hAnsiTheme="minorHAnsi" w:cstheme="minorHAnsi"/>
          <w:b/>
        </w:rPr>
        <w:t>6.2. Kontrola, pomiary i badania</w:t>
      </w:r>
      <w:bookmarkEnd w:id="486"/>
      <w:bookmarkEnd w:id="487"/>
      <w:bookmarkEnd w:id="488"/>
    </w:p>
    <w:p w14:paraId="26EBD49D" w14:textId="77777777" w:rsidR="006947FD" w:rsidRPr="00A23FB4" w:rsidRDefault="006947FD" w:rsidP="006947FD">
      <w:pPr>
        <w:pStyle w:val="StylIwony"/>
        <w:spacing w:before="0" w:after="0"/>
        <w:rPr>
          <w:rFonts w:asciiTheme="minorHAnsi" w:hAnsiTheme="minorHAnsi" w:cstheme="minorHAnsi"/>
          <w:sz w:val="20"/>
          <w:szCs w:val="20"/>
        </w:rPr>
      </w:pPr>
      <w:r w:rsidRPr="00A23FB4">
        <w:rPr>
          <w:rFonts w:asciiTheme="minorHAnsi" w:hAnsiTheme="minorHAnsi" w:cstheme="minorHAnsi"/>
          <w:b/>
          <w:bCs/>
          <w:sz w:val="20"/>
          <w:szCs w:val="20"/>
        </w:rPr>
        <w:t>6.2.1.</w:t>
      </w:r>
      <w:r w:rsidRPr="00A23FB4">
        <w:rPr>
          <w:rFonts w:asciiTheme="minorHAnsi" w:hAnsiTheme="minorHAnsi" w:cstheme="minorHAnsi"/>
          <w:sz w:val="20"/>
          <w:szCs w:val="20"/>
        </w:rPr>
        <w:t xml:space="preserve"> Badania przed przystąpieniem do robót</w:t>
      </w:r>
    </w:p>
    <w:p w14:paraId="404848DA" w14:textId="77777777" w:rsidR="006947FD" w:rsidRPr="00A23FB4" w:rsidRDefault="006947FD" w:rsidP="006947FD">
      <w:pPr>
        <w:pStyle w:val="StylIwony"/>
        <w:spacing w:before="0" w:after="0"/>
        <w:rPr>
          <w:rFonts w:asciiTheme="minorHAnsi" w:hAnsiTheme="minorHAnsi" w:cstheme="minorHAnsi"/>
          <w:sz w:val="20"/>
          <w:szCs w:val="20"/>
        </w:rPr>
      </w:pPr>
      <w:r w:rsidRPr="00A23FB4">
        <w:rPr>
          <w:rFonts w:asciiTheme="minorHAnsi" w:hAnsiTheme="minorHAnsi" w:cstheme="minorHAnsi"/>
          <w:sz w:val="20"/>
          <w:szCs w:val="20"/>
        </w:rPr>
        <w:t>Przed przystąpieniem do robót Wykonawca powinien wykonać badania materiałów do betonu i zapraw i ustalić receptę.</w:t>
      </w:r>
    </w:p>
    <w:p w14:paraId="301FA76A" w14:textId="77777777" w:rsidR="006947FD" w:rsidRPr="00A23FB4" w:rsidRDefault="006947FD" w:rsidP="006947FD">
      <w:pPr>
        <w:pStyle w:val="StylIwony"/>
        <w:spacing w:before="0" w:after="0"/>
        <w:rPr>
          <w:rFonts w:asciiTheme="minorHAnsi" w:hAnsiTheme="minorHAnsi" w:cstheme="minorHAnsi"/>
          <w:sz w:val="20"/>
          <w:szCs w:val="20"/>
        </w:rPr>
      </w:pPr>
      <w:r w:rsidRPr="00A23FB4">
        <w:rPr>
          <w:rFonts w:asciiTheme="minorHAnsi" w:hAnsiTheme="minorHAnsi" w:cstheme="minorHAnsi"/>
          <w:b/>
          <w:bCs/>
          <w:sz w:val="20"/>
          <w:szCs w:val="20"/>
        </w:rPr>
        <w:t>6.2.2.</w:t>
      </w:r>
      <w:r w:rsidRPr="00A23FB4">
        <w:rPr>
          <w:rFonts w:asciiTheme="minorHAnsi" w:hAnsiTheme="minorHAnsi" w:cstheme="minorHAnsi"/>
          <w:sz w:val="20"/>
          <w:szCs w:val="20"/>
        </w:rPr>
        <w:t xml:space="preserve"> Kontrola, pomiary i badania w czasie robót</w:t>
      </w:r>
    </w:p>
    <w:p w14:paraId="49666DA4" w14:textId="1B8A0369" w:rsidR="006947FD" w:rsidRPr="00A23FB4" w:rsidRDefault="006947FD" w:rsidP="006947FD">
      <w:pPr>
        <w:pStyle w:val="StylIwony"/>
        <w:spacing w:before="0" w:after="0"/>
        <w:rPr>
          <w:rFonts w:asciiTheme="minorHAnsi" w:hAnsiTheme="minorHAnsi" w:cstheme="minorHAnsi"/>
          <w:sz w:val="20"/>
          <w:szCs w:val="20"/>
        </w:rPr>
      </w:pPr>
      <w:r w:rsidRPr="00A23FB4">
        <w:rPr>
          <w:rFonts w:asciiTheme="minorHAnsi" w:hAnsiTheme="minorHAnsi" w:cstheme="minorHAnsi"/>
          <w:sz w:val="20"/>
          <w:szCs w:val="20"/>
        </w:rPr>
        <w:t xml:space="preserve">Wykonawca jest zobowiązany do stałej i systematycznej kontroli prowadzonych robót w zakresie i z częstotliwością określoną w niniejszej </w:t>
      </w:r>
      <w:r w:rsidR="00E019D3">
        <w:rPr>
          <w:rFonts w:asciiTheme="minorHAnsi" w:hAnsiTheme="minorHAnsi" w:cstheme="minorHAnsi"/>
          <w:sz w:val="20"/>
          <w:szCs w:val="20"/>
        </w:rPr>
        <w:t>ST</w:t>
      </w:r>
      <w:r w:rsidR="00E348FF" w:rsidRPr="00A23FB4">
        <w:rPr>
          <w:rFonts w:asciiTheme="minorHAnsi" w:hAnsiTheme="minorHAnsi" w:cstheme="minorHAnsi"/>
          <w:sz w:val="20"/>
          <w:szCs w:val="20"/>
        </w:rPr>
        <w:t>WiORB</w:t>
      </w:r>
      <w:r w:rsidRPr="00A23FB4">
        <w:rPr>
          <w:rFonts w:asciiTheme="minorHAnsi" w:hAnsiTheme="minorHAnsi" w:cstheme="minorHAnsi"/>
          <w:sz w:val="20"/>
          <w:szCs w:val="20"/>
        </w:rPr>
        <w:t>i zaakceptowaną przez Inżyniera.</w:t>
      </w:r>
    </w:p>
    <w:p w14:paraId="79890823" w14:textId="77777777" w:rsidR="006947FD" w:rsidRPr="00A23FB4" w:rsidRDefault="006947FD" w:rsidP="006947FD">
      <w:pPr>
        <w:pStyle w:val="StylIwony"/>
        <w:spacing w:before="0" w:after="0"/>
        <w:rPr>
          <w:rFonts w:asciiTheme="minorHAnsi" w:hAnsiTheme="minorHAnsi" w:cstheme="minorHAnsi"/>
          <w:sz w:val="20"/>
          <w:szCs w:val="20"/>
        </w:rPr>
      </w:pPr>
      <w:r w:rsidRPr="00A23FB4">
        <w:rPr>
          <w:rFonts w:asciiTheme="minorHAnsi" w:hAnsiTheme="minorHAnsi" w:cstheme="minorHAnsi"/>
          <w:sz w:val="20"/>
          <w:szCs w:val="20"/>
        </w:rPr>
        <w:t>W szczególności kontrola powinna obejmować:</w:t>
      </w:r>
    </w:p>
    <w:p w14:paraId="190A2592" w14:textId="77777777" w:rsidR="006947FD" w:rsidRPr="00A23FB4" w:rsidRDefault="006947FD" w:rsidP="00262498">
      <w:pPr>
        <w:pStyle w:val="StylIwony"/>
        <w:numPr>
          <w:ilvl w:val="0"/>
          <w:numId w:val="15"/>
        </w:numPr>
        <w:tabs>
          <w:tab w:val="left" w:pos="283"/>
        </w:tabs>
        <w:suppressAutoHyphens/>
        <w:autoSpaceDN/>
        <w:adjustRightInd/>
        <w:spacing w:before="0" w:after="0"/>
        <w:rPr>
          <w:rFonts w:asciiTheme="minorHAnsi" w:hAnsiTheme="minorHAnsi" w:cstheme="minorHAnsi"/>
          <w:sz w:val="20"/>
          <w:szCs w:val="20"/>
        </w:rPr>
      </w:pPr>
      <w:r w:rsidRPr="00A23FB4">
        <w:rPr>
          <w:rFonts w:asciiTheme="minorHAnsi" w:hAnsiTheme="minorHAnsi" w:cstheme="minorHAnsi"/>
          <w:sz w:val="20"/>
          <w:szCs w:val="20"/>
        </w:rPr>
        <w:t>sprawdzenie rzędnych założonych ław celowniczych w nawiązaniu do podanych stałych punktów wysokościowych z dokładnością do 1 cm,</w:t>
      </w:r>
    </w:p>
    <w:p w14:paraId="35501972" w14:textId="77777777" w:rsidR="006947FD" w:rsidRPr="00A23FB4" w:rsidRDefault="006947FD" w:rsidP="00262498">
      <w:pPr>
        <w:pStyle w:val="StylIwony"/>
        <w:numPr>
          <w:ilvl w:val="0"/>
          <w:numId w:val="15"/>
        </w:numPr>
        <w:tabs>
          <w:tab w:val="left" w:pos="283"/>
        </w:tabs>
        <w:suppressAutoHyphens/>
        <w:autoSpaceDN/>
        <w:adjustRightInd/>
        <w:spacing w:before="0" w:after="0"/>
        <w:rPr>
          <w:rFonts w:asciiTheme="minorHAnsi" w:hAnsiTheme="minorHAnsi" w:cstheme="minorHAnsi"/>
          <w:sz w:val="20"/>
          <w:szCs w:val="20"/>
        </w:rPr>
      </w:pPr>
      <w:r w:rsidRPr="00A23FB4">
        <w:rPr>
          <w:rFonts w:asciiTheme="minorHAnsi" w:hAnsiTheme="minorHAnsi" w:cstheme="minorHAnsi"/>
          <w:sz w:val="20"/>
          <w:szCs w:val="20"/>
        </w:rPr>
        <w:t>badanie zabezpieczenia wykopów przed zalaniem wodą,</w:t>
      </w:r>
    </w:p>
    <w:p w14:paraId="5CED0839" w14:textId="77777777" w:rsidR="006947FD" w:rsidRPr="00A23FB4" w:rsidRDefault="006947FD" w:rsidP="00262498">
      <w:pPr>
        <w:pStyle w:val="StylIwony"/>
        <w:numPr>
          <w:ilvl w:val="0"/>
          <w:numId w:val="15"/>
        </w:numPr>
        <w:tabs>
          <w:tab w:val="left" w:pos="283"/>
        </w:tabs>
        <w:suppressAutoHyphens/>
        <w:autoSpaceDN/>
        <w:adjustRightInd/>
        <w:spacing w:before="0" w:after="0"/>
        <w:rPr>
          <w:rFonts w:asciiTheme="minorHAnsi" w:hAnsiTheme="minorHAnsi" w:cstheme="minorHAnsi"/>
          <w:sz w:val="20"/>
          <w:szCs w:val="20"/>
        </w:rPr>
      </w:pPr>
      <w:r w:rsidRPr="00A23FB4">
        <w:rPr>
          <w:rFonts w:asciiTheme="minorHAnsi" w:hAnsiTheme="minorHAnsi" w:cstheme="minorHAnsi"/>
          <w:sz w:val="20"/>
          <w:szCs w:val="20"/>
        </w:rPr>
        <w:t>badanie i pomiary szerokości, grubości i zagęszczenia wykonanej warstwy podłoża z kruszywa mineralnego lub betonu,</w:t>
      </w:r>
    </w:p>
    <w:p w14:paraId="0C615C6F" w14:textId="77777777" w:rsidR="006947FD" w:rsidRPr="00A23FB4" w:rsidRDefault="006947FD" w:rsidP="00262498">
      <w:pPr>
        <w:pStyle w:val="StylIwony"/>
        <w:numPr>
          <w:ilvl w:val="0"/>
          <w:numId w:val="15"/>
        </w:numPr>
        <w:tabs>
          <w:tab w:val="left" w:pos="283"/>
        </w:tabs>
        <w:suppressAutoHyphens/>
        <w:autoSpaceDN/>
        <w:adjustRightInd/>
        <w:spacing w:before="0" w:after="0"/>
        <w:rPr>
          <w:rFonts w:asciiTheme="minorHAnsi" w:hAnsiTheme="minorHAnsi" w:cstheme="minorHAnsi"/>
          <w:sz w:val="20"/>
          <w:szCs w:val="20"/>
        </w:rPr>
      </w:pPr>
      <w:r w:rsidRPr="00A23FB4">
        <w:rPr>
          <w:rFonts w:asciiTheme="minorHAnsi" w:hAnsiTheme="minorHAnsi" w:cstheme="minorHAnsi"/>
          <w:sz w:val="20"/>
          <w:szCs w:val="20"/>
        </w:rPr>
        <w:t>badanie odchylenia osi kolektora,</w:t>
      </w:r>
    </w:p>
    <w:p w14:paraId="0E23CD1E" w14:textId="77777777" w:rsidR="006947FD" w:rsidRPr="00A23FB4" w:rsidRDefault="006947FD" w:rsidP="00262498">
      <w:pPr>
        <w:pStyle w:val="StylIwony"/>
        <w:numPr>
          <w:ilvl w:val="0"/>
          <w:numId w:val="15"/>
        </w:numPr>
        <w:tabs>
          <w:tab w:val="left" w:pos="283"/>
        </w:tabs>
        <w:suppressAutoHyphens/>
        <w:autoSpaceDN/>
        <w:adjustRightInd/>
        <w:spacing w:before="0" w:after="0"/>
        <w:rPr>
          <w:rFonts w:asciiTheme="minorHAnsi" w:hAnsiTheme="minorHAnsi" w:cstheme="minorHAnsi"/>
          <w:sz w:val="20"/>
          <w:szCs w:val="20"/>
        </w:rPr>
      </w:pPr>
      <w:r w:rsidRPr="00A23FB4">
        <w:rPr>
          <w:rFonts w:asciiTheme="minorHAnsi" w:hAnsiTheme="minorHAnsi" w:cstheme="minorHAnsi"/>
          <w:sz w:val="20"/>
          <w:szCs w:val="20"/>
        </w:rPr>
        <w:t>sprawdzenie zgodności z dokumentacją projektową założenia przewodów i studzienek,</w:t>
      </w:r>
    </w:p>
    <w:p w14:paraId="0E80B39F" w14:textId="77777777" w:rsidR="006947FD" w:rsidRPr="00A23FB4" w:rsidRDefault="006947FD" w:rsidP="00262498">
      <w:pPr>
        <w:pStyle w:val="StylIwony"/>
        <w:numPr>
          <w:ilvl w:val="0"/>
          <w:numId w:val="15"/>
        </w:numPr>
        <w:tabs>
          <w:tab w:val="left" w:pos="283"/>
        </w:tabs>
        <w:suppressAutoHyphens/>
        <w:autoSpaceDN/>
        <w:adjustRightInd/>
        <w:spacing w:before="0" w:after="0"/>
        <w:rPr>
          <w:rFonts w:asciiTheme="minorHAnsi" w:hAnsiTheme="minorHAnsi" w:cstheme="minorHAnsi"/>
          <w:sz w:val="20"/>
          <w:szCs w:val="20"/>
        </w:rPr>
      </w:pPr>
      <w:r w:rsidRPr="00A23FB4">
        <w:rPr>
          <w:rFonts w:asciiTheme="minorHAnsi" w:hAnsiTheme="minorHAnsi" w:cstheme="minorHAnsi"/>
          <w:sz w:val="20"/>
          <w:szCs w:val="20"/>
        </w:rPr>
        <w:t>badanie odchylenia spadku kolektora deszczowego,</w:t>
      </w:r>
    </w:p>
    <w:p w14:paraId="7A778551" w14:textId="77777777" w:rsidR="006947FD" w:rsidRPr="00A23FB4" w:rsidRDefault="006947FD" w:rsidP="00262498">
      <w:pPr>
        <w:pStyle w:val="StylIwony"/>
        <w:numPr>
          <w:ilvl w:val="0"/>
          <w:numId w:val="15"/>
        </w:numPr>
        <w:tabs>
          <w:tab w:val="left" w:pos="283"/>
        </w:tabs>
        <w:suppressAutoHyphens/>
        <w:autoSpaceDN/>
        <w:adjustRightInd/>
        <w:spacing w:before="0" w:after="0"/>
        <w:rPr>
          <w:rFonts w:asciiTheme="minorHAnsi" w:hAnsiTheme="minorHAnsi" w:cstheme="minorHAnsi"/>
          <w:sz w:val="20"/>
          <w:szCs w:val="20"/>
        </w:rPr>
      </w:pPr>
      <w:r w:rsidRPr="00A23FB4">
        <w:rPr>
          <w:rFonts w:asciiTheme="minorHAnsi" w:hAnsiTheme="minorHAnsi" w:cstheme="minorHAnsi"/>
          <w:sz w:val="20"/>
          <w:szCs w:val="20"/>
        </w:rPr>
        <w:t>sprawdzenie prawidłowości ułożenia przewodów,</w:t>
      </w:r>
    </w:p>
    <w:p w14:paraId="56427B39" w14:textId="77777777" w:rsidR="006947FD" w:rsidRPr="00A23FB4" w:rsidRDefault="006947FD" w:rsidP="00262498">
      <w:pPr>
        <w:pStyle w:val="StylIwony"/>
        <w:numPr>
          <w:ilvl w:val="0"/>
          <w:numId w:val="15"/>
        </w:numPr>
        <w:tabs>
          <w:tab w:val="left" w:pos="283"/>
        </w:tabs>
        <w:suppressAutoHyphens/>
        <w:autoSpaceDN/>
        <w:adjustRightInd/>
        <w:spacing w:before="0" w:after="0"/>
        <w:rPr>
          <w:rFonts w:asciiTheme="minorHAnsi" w:hAnsiTheme="minorHAnsi" w:cstheme="minorHAnsi"/>
          <w:sz w:val="20"/>
          <w:szCs w:val="20"/>
        </w:rPr>
      </w:pPr>
      <w:r w:rsidRPr="00A23FB4">
        <w:rPr>
          <w:rFonts w:asciiTheme="minorHAnsi" w:hAnsiTheme="minorHAnsi" w:cstheme="minorHAnsi"/>
          <w:sz w:val="20"/>
          <w:szCs w:val="20"/>
        </w:rPr>
        <w:t>sprawdzenie prawidłowości uszczelniania przewodów,</w:t>
      </w:r>
    </w:p>
    <w:p w14:paraId="4F7E0ADB" w14:textId="77777777" w:rsidR="006947FD" w:rsidRPr="00A23FB4" w:rsidRDefault="006947FD" w:rsidP="00262498">
      <w:pPr>
        <w:pStyle w:val="StylIwony"/>
        <w:numPr>
          <w:ilvl w:val="0"/>
          <w:numId w:val="15"/>
        </w:numPr>
        <w:tabs>
          <w:tab w:val="left" w:pos="283"/>
        </w:tabs>
        <w:suppressAutoHyphens/>
        <w:autoSpaceDN/>
        <w:adjustRightInd/>
        <w:spacing w:before="0" w:after="0"/>
        <w:rPr>
          <w:rFonts w:asciiTheme="minorHAnsi" w:hAnsiTheme="minorHAnsi" w:cstheme="minorHAnsi"/>
          <w:sz w:val="20"/>
          <w:szCs w:val="20"/>
        </w:rPr>
      </w:pPr>
      <w:r w:rsidRPr="00A23FB4">
        <w:rPr>
          <w:rFonts w:asciiTheme="minorHAnsi" w:hAnsiTheme="minorHAnsi" w:cstheme="minorHAnsi"/>
          <w:sz w:val="20"/>
          <w:szCs w:val="20"/>
        </w:rPr>
        <w:t>badanie wskaźników zagęszczenia poszczególnych warstw zasypu,</w:t>
      </w:r>
    </w:p>
    <w:p w14:paraId="31734289" w14:textId="77777777" w:rsidR="006947FD" w:rsidRPr="00A23FB4" w:rsidRDefault="006947FD" w:rsidP="00262498">
      <w:pPr>
        <w:pStyle w:val="StylIwony"/>
        <w:numPr>
          <w:ilvl w:val="0"/>
          <w:numId w:val="15"/>
        </w:numPr>
        <w:tabs>
          <w:tab w:val="left" w:pos="283"/>
        </w:tabs>
        <w:suppressAutoHyphens/>
        <w:autoSpaceDN/>
        <w:adjustRightInd/>
        <w:spacing w:before="0" w:after="0"/>
        <w:rPr>
          <w:rFonts w:asciiTheme="minorHAnsi" w:hAnsiTheme="minorHAnsi" w:cstheme="minorHAnsi"/>
          <w:sz w:val="20"/>
          <w:szCs w:val="20"/>
        </w:rPr>
      </w:pPr>
      <w:r w:rsidRPr="00A23FB4">
        <w:rPr>
          <w:rFonts w:asciiTheme="minorHAnsi" w:hAnsiTheme="minorHAnsi" w:cstheme="minorHAnsi"/>
          <w:sz w:val="20"/>
          <w:szCs w:val="20"/>
        </w:rPr>
        <w:t>sprawdzenie rzędnych posadowienia studzienek ściekowych (kratek) i pokryw włazowych,</w:t>
      </w:r>
    </w:p>
    <w:p w14:paraId="2DCC467B" w14:textId="77777777" w:rsidR="006947FD" w:rsidRPr="00A23FB4" w:rsidRDefault="006947FD" w:rsidP="00262498">
      <w:pPr>
        <w:pStyle w:val="StylIwony"/>
        <w:numPr>
          <w:ilvl w:val="0"/>
          <w:numId w:val="15"/>
        </w:numPr>
        <w:tabs>
          <w:tab w:val="left" w:pos="283"/>
        </w:tabs>
        <w:suppressAutoHyphens/>
        <w:autoSpaceDN/>
        <w:adjustRightInd/>
        <w:spacing w:before="0" w:after="0"/>
        <w:rPr>
          <w:rFonts w:asciiTheme="minorHAnsi" w:hAnsiTheme="minorHAnsi" w:cstheme="minorHAnsi"/>
          <w:sz w:val="20"/>
          <w:szCs w:val="20"/>
        </w:rPr>
      </w:pPr>
      <w:r w:rsidRPr="00A23FB4">
        <w:rPr>
          <w:rFonts w:asciiTheme="minorHAnsi" w:hAnsiTheme="minorHAnsi" w:cstheme="minorHAnsi"/>
          <w:sz w:val="20"/>
          <w:szCs w:val="20"/>
        </w:rPr>
        <w:t>sprawdzenie zabezpieczenia przed korozją.</w:t>
      </w:r>
    </w:p>
    <w:p w14:paraId="10B8A5D1" w14:textId="77777777" w:rsidR="006947FD" w:rsidRPr="00A23FB4" w:rsidRDefault="006947FD" w:rsidP="006947FD">
      <w:pPr>
        <w:pStyle w:val="StylIwony"/>
        <w:spacing w:before="0" w:after="0"/>
        <w:rPr>
          <w:rFonts w:asciiTheme="minorHAnsi" w:hAnsiTheme="minorHAnsi" w:cstheme="minorHAnsi"/>
          <w:sz w:val="20"/>
          <w:szCs w:val="20"/>
        </w:rPr>
      </w:pPr>
      <w:r w:rsidRPr="00A23FB4">
        <w:rPr>
          <w:rFonts w:asciiTheme="minorHAnsi" w:hAnsiTheme="minorHAnsi" w:cstheme="minorHAnsi"/>
          <w:b/>
          <w:bCs/>
          <w:sz w:val="20"/>
          <w:szCs w:val="20"/>
        </w:rPr>
        <w:t>6.2.3.</w:t>
      </w:r>
      <w:r w:rsidRPr="00A23FB4">
        <w:rPr>
          <w:rFonts w:asciiTheme="minorHAnsi" w:hAnsiTheme="minorHAnsi" w:cstheme="minorHAnsi"/>
          <w:sz w:val="20"/>
          <w:szCs w:val="20"/>
        </w:rPr>
        <w:t xml:space="preserve"> Dopuszczalne tolerancje i wymagania</w:t>
      </w:r>
    </w:p>
    <w:p w14:paraId="16BE0132" w14:textId="77777777" w:rsidR="006947FD" w:rsidRPr="00A23FB4" w:rsidRDefault="006947FD" w:rsidP="00262498">
      <w:pPr>
        <w:pStyle w:val="StylIwony"/>
        <w:numPr>
          <w:ilvl w:val="0"/>
          <w:numId w:val="15"/>
        </w:numPr>
        <w:tabs>
          <w:tab w:val="left" w:pos="283"/>
        </w:tabs>
        <w:suppressAutoHyphens/>
        <w:autoSpaceDN/>
        <w:adjustRightInd/>
        <w:spacing w:before="0" w:after="0"/>
        <w:rPr>
          <w:rFonts w:asciiTheme="minorHAnsi" w:hAnsiTheme="minorHAnsi" w:cstheme="minorHAnsi"/>
          <w:sz w:val="20"/>
          <w:szCs w:val="20"/>
        </w:rPr>
      </w:pPr>
      <w:r w:rsidRPr="00A23FB4">
        <w:rPr>
          <w:rFonts w:asciiTheme="minorHAnsi" w:hAnsiTheme="minorHAnsi" w:cstheme="minorHAnsi"/>
          <w:sz w:val="20"/>
          <w:szCs w:val="20"/>
        </w:rPr>
        <w:t>odchylenie odległości krawędzi wykopu w dnie od ustalonej w planie osi wykopu nie powinno wynosić więcej niż ± 5 cm,</w:t>
      </w:r>
    </w:p>
    <w:p w14:paraId="12408C78" w14:textId="77777777" w:rsidR="006947FD" w:rsidRPr="00A23FB4" w:rsidRDefault="006947FD" w:rsidP="00262498">
      <w:pPr>
        <w:pStyle w:val="StylIwony"/>
        <w:numPr>
          <w:ilvl w:val="0"/>
          <w:numId w:val="15"/>
        </w:numPr>
        <w:tabs>
          <w:tab w:val="left" w:pos="283"/>
        </w:tabs>
        <w:suppressAutoHyphens/>
        <w:autoSpaceDN/>
        <w:adjustRightInd/>
        <w:spacing w:before="0" w:after="0"/>
        <w:rPr>
          <w:rFonts w:asciiTheme="minorHAnsi" w:hAnsiTheme="minorHAnsi" w:cstheme="minorHAnsi"/>
          <w:sz w:val="20"/>
          <w:szCs w:val="20"/>
        </w:rPr>
      </w:pPr>
      <w:r w:rsidRPr="00A23FB4">
        <w:rPr>
          <w:rFonts w:asciiTheme="minorHAnsi" w:hAnsiTheme="minorHAnsi" w:cstheme="minorHAnsi"/>
          <w:sz w:val="20"/>
          <w:szCs w:val="20"/>
        </w:rPr>
        <w:t>odchylenie wymiarów w planie nie powinno być większe niż 0,1 m,</w:t>
      </w:r>
    </w:p>
    <w:p w14:paraId="51599F00" w14:textId="77777777" w:rsidR="006947FD" w:rsidRPr="00A23FB4" w:rsidRDefault="006947FD" w:rsidP="00262498">
      <w:pPr>
        <w:pStyle w:val="StylIwony"/>
        <w:numPr>
          <w:ilvl w:val="0"/>
          <w:numId w:val="15"/>
        </w:numPr>
        <w:tabs>
          <w:tab w:val="left" w:pos="283"/>
        </w:tabs>
        <w:suppressAutoHyphens/>
        <w:autoSpaceDN/>
        <w:adjustRightInd/>
        <w:spacing w:before="0" w:after="0"/>
        <w:rPr>
          <w:rFonts w:asciiTheme="minorHAnsi" w:hAnsiTheme="minorHAnsi" w:cstheme="minorHAnsi"/>
          <w:sz w:val="20"/>
          <w:szCs w:val="20"/>
        </w:rPr>
      </w:pPr>
      <w:r w:rsidRPr="00A23FB4">
        <w:rPr>
          <w:rFonts w:asciiTheme="minorHAnsi" w:hAnsiTheme="minorHAnsi" w:cstheme="minorHAnsi"/>
          <w:sz w:val="20"/>
          <w:szCs w:val="20"/>
        </w:rPr>
        <w:t>odchylenie grubości warstwy podłoża nie powinno przekraczać ± 3 cm,</w:t>
      </w:r>
    </w:p>
    <w:p w14:paraId="7635A0CF" w14:textId="77777777" w:rsidR="006947FD" w:rsidRPr="00A23FB4" w:rsidRDefault="006947FD" w:rsidP="00262498">
      <w:pPr>
        <w:pStyle w:val="StylIwony"/>
        <w:numPr>
          <w:ilvl w:val="0"/>
          <w:numId w:val="15"/>
        </w:numPr>
        <w:tabs>
          <w:tab w:val="left" w:pos="283"/>
        </w:tabs>
        <w:suppressAutoHyphens/>
        <w:autoSpaceDN/>
        <w:adjustRightInd/>
        <w:spacing w:before="0" w:after="0"/>
        <w:rPr>
          <w:rFonts w:asciiTheme="minorHAnsi" w:hAnsiTheme="minorHAnsi" w:cstheme="minorHAnsi"/>
          <w:sz w:val="20"/>
          <w:szCs w:val="20"/>
        </w:rPr>
      </w:pPr>
      <w:r w:rsidRPr="00A23FB4">
        <w:rPr>
          <w:rFonts w:asciiTheme="minorHAnsi" w:hAnsiTheme="minorHAnsi" w:cstheme="minorHAnsi"/>
          <w:sz w:val="20"/>
          <w:szCs w:val="20"/>
        </w:rPr>
        <w:t>odchylenie szerokości warstwy podłoża nie powinno przekraczać ± 5 cm,</w:t>
      </w:r>
    </w:p>
    <w:p w14:paraId="02670EED" w14:textId="77777777" w:rsidR="006947FD" w:rsidRPr="00A23FB4" w:rsidRDefault="006947FD" w:rsidP="00262498">
      <w:pPr>
        <w:pStyle w:val="StylIwony"/>
        <w:numPr>
          <w:ilvl w:val="0"/>
          <w:numId w:val="15"/>
        </w:numPr>
        <w:tabs>
          <w:tab w:val="left" w:pos="283"/>
        </w:tabs>
        <w:suppressAutoHyphens/>
        <w:autoSpaceDN/>
        <w:adjustRightInd/>
        <w:spacing w:before="0" w:after="0"/>
        <w:rPr>
          <w:rFonts w:asciiTheme="minorHAnsi" w:hAnsiTheme="minorHAnsi" w:cstheme="minorHAnsi"/>
          <w:sz w:val="20"/>
          <w:szCs w:val="20"/>
        </w:rPr>
      </w:pPr>
      <w:r w:rsidRPr="00A23FB4">
        <w:rPr>
          <w:rFonts w:asciiTheme="minorHAnsi" w:hAnsiTheme="minorHAnsi" w:cstheme="minorHAnsi"/>
          <w:sz w:val="20"/>
          <w:szCs w:val="20"/>
        </w:rPr>
        <w:t>odchylenie kolektora rurowego w planie, odchylenie odległości osi ułożonego kolektora od osi przewodu ustalonej na ławach celowniczych nie powinna przekraczać ± 5 mm,</w:t>
      </w:r>
    </w:p>
    <w:p w14:paraId="46B458F6" w14:textId="77777777" w:rsidR="006947FD" w:rsidRPr="00A23FB4" w:rsidRDefault="006947FD" w:rsidP="00262498">
      <w:pPr>
        <w:pStyle w:val="StylIwony"/>
        <w:numPr>
          <w:ilvl w:val="0"/>
          <w:numId w:val="15"/>
        </w:numPr>
        <w:tabs>
          <w:tab w:val="left" w:pos="283"/>
        </w:tabs>
        <w:suppressAutoHyphens/>
        <w:autoSpaceDN/>
        <w:adjustRightInd/>
        <w:spacing w:before="0" w:after="0"/>
        <w:rPr>
          <w:rFonts w:asciiTheme="minorHAnsi" w:hAnsiTheme="minorHAnsi" w:cstheme="minorHAnsi"/>
          <w:sz w:val="20"/>
          <w:szCs w:val="20"/>
        </w:rPr>
      </w:pPr>
      <w:r w:rsidRPr="00A23FB4">
        <w:rPr>
          <w:rFonts w:asciiTheme="minorHAnsi" w:hAnsiTheme="minorHAnsi" w:cstheme="minorHAnsi"/>
          <w:sz w:val="20"/>
          <w:szCs w:val="20"/>
        </w:rPr>
        <w:t>odchylenie spadku ułożonego kolektora od przewidzianego w projekcie nie powinno przekraczać -5% projektowanego spadku (przy zmniejszonym spadku) i +10% projektowanego spadku (przy zwiększonym spadku),</w:t>
      </w:r>
    </w:p>
    <w:p w14:paraId="0FC5BE6C" w14:textId="77777777" w:rsidR="006947FD" w:rsidRPr="00A23FB4" w:rsidRDefault="006947FD" w:rsidP="00262498">
      <w:pPr>
        <w:pStyle w:val="StylIwony"/>
        <w:numPr>
          <w:ilvl w:val="0"/>
          <w:numId w:val="15"/>
        </w:numPr>
        <w:tabs>
          <w:tab w:val="left" w:pos="283"/>
        </w:tabs>
        <w:suppressAutoHyphens/>
        <w:autoSpaceDN/>
        <w:adjustRightInd/>
        <w:spacing w:before="0" w:after="0"/>
        <w:rPr>
          <w:rFonts w:asciiTheme="minorHAnsi" w:hAnsiTheme="minorHAnsi" w:cstheme="minorHAnsi"/>
          <w:sz w:val="20"/>
          <w:szCs w:val="20"/>
        </w:rPr>
      </w:pPr>
      <w:r w:rsidRPr="00A23FB4">
        <w:rPr>
          <w:rFonts w:asciiTheme="minorHAnsi" w:hAnsiTheme="minorHAnsi" w:cstheme="minorHAnsi"/>
          <w:sz w:val="20"/>
          <w:szCs w:val="20"/>
        </w:rPr>
        <w:t>wskaźnik zagęszczenia zasypki wykopów określony w trzech miejscach na długości 100 m powinien być zgodny z pkt 5.5.9,</w:t>
      </w:r>
    </w:p>
    <w:p w14:paraId="3026F2AD" w14:textId="77777777" w:rsidR="006947FD" w:rsidRPr="00A23FB4" w:rsidRDefault="006947FD" w:rsidP="00262498">
      <w:pPr>
        <w:pStyle w:val="StylIwony"/>
        <w:numPr>
          <w:ilvl w:val="0"/>
          <w:numId w:val="15"/>
        </w:numPr>
        <w:tabs>
          <w:tab w:val="left" w:pos="283"/>
        </w:tabs>
        <w:suppressAutoHyphens/>
        <w:autoSpaceDN/>
        <w:adjustRightInd/>
        <w:spacing w:before="0" w:after="0"/>
        <w:rPr>
          <w:rFonts w:asciiTheme="minorHAnsi" w:hAnsiTheme="minorHAnsi" w:cstheme="minorHAnsi"/>
          <w:sz w:val="20"/>
          <w:szCs w:val="20"/>
        </w:rPr>
      </w:pPr>
      <w:r w:rsidRPr="00A23FB4">
        <w:rPr>
          <w:rFonts w:asciiTheme="minorHAnsi" w:hAnsiTheme="minorHAnsi" w:cstheme="minorHAnsi"/>
          <w:sz w:val="20"/>
          <w:szCs w:val="20"/>
        </w:rPr>
        <w:t>rzędne kratek ściekowych i pokryw studzienek powinny być wykonane z dokładnością do ± 5 mm.</w:t>
      </w:r>
    </w:p>
    <w:p w14:paraId="6138AE96" w14:textId="77777777" w:rsidR="006947FD" w:rsidRPr="00A23FB4" w:rsidRDefault="006947FD" w:rsidP="006947FD">
      <w:pPr>
        <w:pStyle w:val="Nagwek2"/>
        <w:pageBreakBefore w:val="0"/>
        <w:numPr>
          <w:ilvl w:val="1"/>
          <w:numId w:val="0"/>
        </w:numPr>
        <w:tabs>
          <w:tab w:val="num" w:pos="0"/>
        </w:tabs>
        <w:suppressAutoHyphens/>
        <w:autoSpaceDN/>
        <w:adjustRightInd/>
        <w:spacing w:before="0" w:after="0"/>
        <w:jc w:val="both"/>
        <w:rPr>
          <w:rFonts w:asciiTheme="minorHAnsi" w:hAnsiTheme="minorHAnsi" w:cstheme="minorHAnsi"/>
          <w:sz w:val="20"/>
          <w:szCs w:val="20"/>
        </w:rPr>
      </w:pPr>
    </w:p>
    <w:p w14:paraId="568EA53B" w14:textId="77777777" w:rsidR="006947FD" w:rsidRPr="00A23FB4" w:rsidRDefault="006947FD" w:rsidP="00B80411">
      <w:pPr>
        <w:rPr>
          <w:rFonts w:asciiTheme="minorHAnsi" w:hAnsiTheme="minorHAnsi" w:cstheme="minorHAnsi"/>
          <w:b/>
        </w:rPr>
      </w:pPr>
      <w:bookmarkStart w:id="489" w:name="_Toc358023987"/>
      <w:bookmarkStart w:id="490" w:name="_Toc358024402"/>
      <w:bookmarkStart w:id="491" w:name="_Toc358024817"/>
      <w:r w:rsidRPr="00A23FB4">
        <w:rPr>
          <w:rFonts w:asciiTheme="minorHAnsi" w:hAnsiTheme="minorHAnsi" w:cstheme="minorHAnsi"/>
          <w:b/>
        </w:rPr>
        <w:t>7. OBMIAR ROBÓT</w:t>
      </w:r>
      <w:bookmarkEnd w:id="489"/>
      <w:bookmarkEnd w:id="490"/>
      <w:bookmarkEnd w:id="491"/>
    </w:p>
    <w:p w14:paraId="3965A220" w14:textId="77777777" w:rsidR="006947FD" w:rsidRPr="00A23FB4" w:rsidRDefault="006947FD" w:rsidP="006947FD">
      <w:pPr>
        <w:pStyle w:val="Nagwek3"/>
        <w:numPr>
          <w:ilvl w:val="2"/>
          <w:numId w:val="0"/>
        </w:numPr>
        <w:tabs>
          <w:tab w:val="num" w:pos="0"/>
        </w:tabs>
        <w:suppressAutoHyphens/>
        <w:autoSpaceDN/>
        <w:adjustRightInd/>
        <w:spacing w:before="0" w:after="0"/>
        <w:rPr>
          <w:rFonts w:asciiTheme="minorHAnsi" w:hAnsiTheme="minorHAnsi" w:cstheme="minorHAnsi"/>
        </w:rPr>
      </w:pPr>
    </w:p>
    <w:p w14:paraId="0CDF02C3" w14:textId="6279BA18" w:rsidR="00DE28CE" w:rsidRDefault="00DE28CE" w:rsidP="00DE28CE">
      <w:pPr>
        <w:pStyle w:val="StylIwony"/>
        <w:suppressAutoHyphens/>
        <w:spacing w:before="0" w:after="0"/>
        <w:rPr>
          <w:rFonts w:asciiTheme="minorHAnsi" w:hAnsiTheme="minorHAnsi" w:cstheme="minorHAnsi"/>
          <w:sz w:val="20"/>
          <w:szCs w:val="20"/>
        </w:rPr>
      </w:pPr>
      <w:r>
        <w:rPr>
          <w:rFonts w:asciiTheme="minorHAnsi" w:hAnsiTheme="minorHAnsi" w:cstheme="minorHAnsi"/>
          <w:sz w:val="20"/>
          <w:szCs w:val="20"/>
        </w:rPr>
        <w:t>Kontrakt ryczałtowy</w:t>
      </w:r>
    </w:p>
    <w:p w14:paraId="031BD00F" w14:textId="11A8A578" w:rsidR="006947FD" w:rsidRPr="00A23FB4" w:rsidRDefault="006947FD" w:rsidP="006947FD">
      <w:pPr>
        <w:pStyle w:val="StylIwony"/>
        <w:spacing w:before="0" w:after="0"/>
        <w:rPr>
          <w:rFonts w:asciiTheme="minorHAnsi" w:hAnsiTheme="minorHAnsi" w:cstheme="minorHAnsi"/>
          <w:sz w:val="20"/>
          <w:szCs w:val="20"/>
        </w:rPr>
      </w:pPr>
      <w:r w:rsidRPr="00A23FB4">
        <w:rPr>
          <w:rFonts w:asciiTheme="minorHAnsi" w:hAnsiTheme="minorHAnsi" w:cstheme="minorHAnsi"/>
          <w:sz w:val="20"/>
          <w:szCs w:val="20"/>
        </w:rPr>
        <w:t xml:space="preserve">Ogólne zasady obmiaru robót podano w </w:t>
      </w:r>
      <w:r w:rsidR="00E019D3">
        <w:rPr>
          <w:rFonts w:asciiTheme="minorHAnsi" w:hAnsiTheme="minorHAnsi" w:cstheme="minorHAnsi"/>
          <w:sz w:val="20"/>
          <w:szCs w:val="20"/>
        </w:rPr>
        <w:t>ST</w:t>
      </w:r>
      <w:r w:rsidR="00E348FF" w:rsidRPr="00A23FB4">
        <w:rPr>
          <w:rFonts w:asciiTheme="minorHAnsi" w:hAnsiTheme="minorHAnsi" w:cstheme="minorHAnsi"/>
          <w:sz w:val="20"/>
          <w:szCs w:val="20"/>
        </w:rPr>
        <w:t>WiORB</w:t>
      </w:r>
      <w:r w:rsidRPr="00A23FB4">
        <w:rPr>
          <w:rFonts w:asciiTheme="minorHAnsi" w:hAnsiTheme="minorHAnsi" w:cstheme="minorHAnsi"/>
          <w:sz w:val="20"/>
          <w:szCs w:val="20"/>
        </w:rPr>
        <w:t>D-M-00.00.00 „Wymagania ogólne” pkt 7.</w:t>
      </w:r>
    </w:p>
    <w:p w14:paraId="6DABB9BC" w14:textId="77777777" w:rsidR="006947FD" w:rsidRPr="00A23FB4" w:rsidRDefault="006947FD" w:rsidP="005C45EE">
      <w:pPr>
        <w:pStyle w:val="StylIwony"/>
        <w:spacing w:before="0" w:after="0"/>
        <w:rPr>
          <w:rFonts w:asciiTheme="minorHAnsi" w:hAnsiTheme="minorHAnsi" w:cstheme="minorHAnsi"/>
          <w:sz w:val="20"/>
          <w:szCs w:val="20"/>
        </w:rPr>
      </w:pPr>
    </w:p>
    <w:p w14:paraId="7001452C" w14:textId="77777777" w:rsidR="006947FD" w:rsidRPr="00A23FB4" w:rsidRDefault="006947FD" w:rsidP="00B87A2F">
      <w:pPr>
        <w:rPr>
          <w:rFonts w:asciiTheme="minorHAnsi" w:hAnsiTheme="minorHAnsi" w:cstheme="minorHAnsi"/>
          <w:b/>
        </w:rPr>
      </w:pPr>
      <w:bookmarkStart w:id="492" w:name="_Toc358023990"/>
      <w:bookmarkStart w:id="493" w:name="_Toc358024405"/>
      <w:bookmarkStart w:id="494" w:name="_Toc358024820"/>
      <w:bookmarkStart w:id="495" w:name="_Toc460932198"/>
      <w:r w:rsidRPr="00A23FB4">
        <w:rPr>
          <w:rFonts w:asciiTheme="minorHAnsi" w:hAnsiTheme="minorHAnsi" w:cstheme="minorHAnsi"/>
          <w:b/>
        </w:rPr>
        <w:t>8. ODBIÓR ROBÓT</w:t>
      </w:r>
      <w:bookmarkEnd w:id="492"/>
      <w:bookmarkEnd w:id="493"/>
      <w:bookmarkEnd w:id="494"/>
      <w:bookmarkEnd w:id="495"/>
    </w:p>
    <w:p w14:paraId="7BC7AE21" w14:textId="77777777" w:rsidR="006947FD" w:rsidRPr="00A23FB4" w:rsidRDefault="006947FD" w:rsidP="005C45EE">
      <w:pPr>
        <w:rPr>
          <w:rFonts w:asciiTheme="minorHAnsi" w:hAnsiTheme="minorHAnsi" w:cstheme="minorHAnsi"/>
        </w:rPr>
      </w:pPr>
    </w:p>
    <w:p w14:paraId="36701FA6" w14:textId="77777777" w:rsidR="006947FD" w:rsidRPr="00A23FB4" w:rsidRDefault="006947FD" w:rsidP="005C45EE">
      <w:pPr>
        <w:rPr>
          <w:rFonts w:asciiTheme="minorHAnsi" w:hAnsiTheme="minorHAnsi" w:cstheme="minorHAnsi"/>
          <w:b/>
        </w:rPr>
      </w:pPr>
      <w:bookmarkStart w:id="496" w:name="_Toc358023991"/>
      <w:bookmarkStart w:id="497" w:name="_Toc358024406"/>
      <w:bookmarkStart w:id="498" w:name="_Toc358024821"/>
      <w:r w:rsidRPr="00A23FB4">
        <w:rPr>
          <w:rFonts w:asciiTheme="minorHAnsi" w:hAnsiTheme="minorHAnsi" w:cstheme="minorHAnsi"/>
          <w:b/>
        </w:rPr>
        <w:t>8.1. Ogólne zasady odbioru robót</w:t>
      </w:r>
      <w:bookmarkEnd w:id="496"/>
      <w:bookmarkEnd w:id="497"/>
      <w:bookmarkEnd w:id="498"/>
    </w:p>
    <w:p w14:paraId="067B004B" w14:textId="5C5D12EB" w:rsidR="006947FD" w:rsidRPr="00A23FB4" w:rsidRDefault="006947FD" w:rsidP="006947FD">
      <w:pPr>
        <w:pStyle w:val="StylIwony"/>
        <w:spacing w:before="0" w:after="0"/>
        <w:rPr>
          <w:rFonts w:asciiTheme="minorHAnsi" w:hAnsiTheme="minorHAnsi" w:cstheme="minorHAnsi"/>
          <w:sz w:val="20"/>
          <w:szCs w:val="20"/>
        </w:rPr>
      </w:pPr>
      <w:r w:rsidRPr="00A23FB4">
        <w:rPr>
          <w:rFonts w:asciiTheme="minorHAnsi" w:hAnsiTheme="minorHAnsi" w:cstheme="minorHAnsi"/>
          <w:sz w:val="20"/>
          <w:szCs w:val="20"/>
        </w:rPr>
        <w:t xml:space="preserve">Ogólne zasady odbioru robót podano w </w:t>
      </w:r>
      <w:r w:rsidR="00E019D3">
        <w:rPr>
          <w:rFonts w:asciiTheme="minorHAnsi" w:hAnsiTheme="minorHAnsi" w:cstheme="minorHAnsi"/>
          <w:sz w:val="20"/>
          <w:szCs w:val="20"/>
        </w:rPr>
        <w:t>ST</w:t>
      </w:r>
      <w:r w:rsidR="00E348FF" w:rsidRPr="00A23FB4">
        <w:rPr>
          <w:rFonts w:asciiTheme="minorHAnsi" w:hAnsiTheme="minorHAnsi" w:cstheme="minorHAnsi"/>
          <w:sz w:val="20"/>
          <w:szCs w:val="20"/>
        </w:rPr>
        <w:t>WiORB</w:t>
      </w:r>
      <w:r w:rsidRPr="00A23FB4">
        <w:rPr>
          <w:rFonts w:asciiTheme="minorHAnsi" w:hAnsiTheme="minorHAnsi" w:cstheme="minorHAnsi"/>
          <w:sz w:val="20"/>
          <w:szCs w:val="20"/>
        </w:rPr>
        <w:t>D-M-00.00.00 „Wymagania ogólne” pkt 8.</w:t>
      </w:r>
    </w:p>
    <w:p w14:paraId="37C700AF" w14:textId="77777777" w:rsidR="006947FD" w:rsidRPr="00A23FB4" w:rsidRDefault="006947FD" w:rsidP="006947FD">
      <w:pPr>
        <w:pStyle w:val="StylIwony"/>
        <w:spacing w:before="0" w:after="0"/>
        <w:rPr>
          <w:rFonts w:asciiTheme="minorHAnsi" w:hAnsiTheme="minorHAnsi" w:cstheme="minorHAnsi"/>
          <w:sz w:val="20"/>
          <w:szCs w:val="20"/>
        </w:rPr>
      </w:pPr>
      <w:r w:rsidRPr="00A23FB4">
        <w:rPr>
          <w:rFonts w:asciiTheme="minorHAnsi" w:hAnsiTheme="minorHAnsi" w:cstheme="minorHAnsi"/>
          <w:sz w:val="20"/>
          <w:szCs w:val="20"/>
        </w:rPr>
        <w:t>Przed zgłoszeniem do odbioru wykonawca winien wykonać inspekcję telewizyjna wykonane sieci. Sprawozdanie z badania wraz z kopia nagrania inspekcji należy załączyć do dokumentacji odbiorowej.</w:t>
      </w:r>
    </w:p>
    <w:p w14:paraId="6871FF55" w14:textId="77777777" w:rsidR="006947FD" w:rsidRPr="00A23FB4" w:rsidRDefault="006947FD" w:rsidP="006947FD">
      <w:pPr>
        <w:pStyle w:val="StylIwony"/>
        <w:spacing w:before="0" w:after="0"/>
        <w:rPr>
          <w:rFonts w:asciiTheme="minorHAnsi" w:hAnsiTheme="minorHAnsi" w:cstheme="minorHAnsi"/>
          <w:sz w:val="20"/>
          <w:szCs w:val="20"/>
        </w:rPr>
      </w:pPr>
      <w:r w:rsidRPr="00A23FB4">
        <w:rPr>
          <w:rFonts w:asciiTheme="minorHAnsi" w:hAnsiTheme="minorHAnsi" w:cstheme="minorHAnsi"/>
          <w:sz w:val="20"/>
          <w:szCs w:val="20"/>
        </w:rPr>
        <w:t>Przed odbiorem przyłączy do działek (zakończonych ślepo przy granicy działek) należy wykonać geodezyjną inwentaryzacje zaślepionych przyłączy. Inwentaryzacja powinna zawierać współrzędne X, Y w układzie „65” oraz rzędną wysokościową. Inwentaryzację należy załączyć w formie graficznej i tabelarycznej do dokumentacji odbiorowej</w:t>
      </w:r>
    </w:p>
    <w:p w14:paraId="785D3DD6" w14:textId="191092D0" w:rsidR="006947FD" w:rsidRPr="00A23FB4" w:rsidRDefault="006947FD" w:rsidP="006947FD">
      <w:pPr>
        <w:pStyle w:val="StylIwony"/>
        <w:spacing w:before="0" w:after="0"/>
        <w:rPr>
          <w:rFonts w:asciiTheme="minorHAnsi" w:hAnsiTheme="minorHAnsi" w:cstheme="minorHAnsi"/>
          <w:sz w:val="20"/>
          <w:szCs w:val="20"/>
        </w:rPr>
      </w:pPr>
      <w:r w:rsidRPr="00A23FB4">
        <w:rPr>
          <w:rFonts w:asciiTheme="minorHAnsi" w:hAnsiTheme="minorHAnsi" w:cstheme="minorHAnsi"/>
          <w:sz w:val="20"/>
          <w:szCs w:val="20"/>
        </w:rPr>
        <w:t xml:space="preserve"> Roboty uznaje się za wykonane zgodnie z dokumentacją projektową, </w:t>
      </w:r>
      <w:r w:rsidR="00E019D3">
        <w:rPr>
          <w:rFonts w:asciiTheme="minorHAnsi" w:hAnsiTheme="minorHAnsi" w:cstheme="minorHAnsi"/>
          <w:sz w:val="20"/>
          <w:szCs w:val="20"/>
        </w:rPr>
        <w:t>ST</w:t>
      </w:r>
      <w:r w:rsidR="00E348FF" w:rsidRPr="00A23FB4">
        <w:rPr>
          <w:rFonts w:asciiTheme="minorHAnsi" w:hAnsiTheme="minorHAnsi" w:cstheme="minorHAnsi"/>
          <w:sz w:val="20"/>
          <w:szCs w:val="20"/>
        </w:rPr>
        <w:t>WiORB</w:t>
      </w:r>
      <w:r w:rsidRPr="00A23FB4">
        <w:rPr>
          <w:rFonts w:asciiTheme="minorHAnsi" w:hAnsiTheme="minorHAnsi" w:cstheme="minorHAnsi"/>
          <w:sz w:val="20"/>
          <w:szCs w:val="20"/>
        </w:rPr>
        <w:t>i wymaganiami Inżyniera, jeżeli wszystkie pomiary i badania z zachowaniem tolerancji wg pkt 6 dały wyniki pozytywne.</w:t>
      </w:r>
    </w:p>
    <w:p w14:paraId="2C1A3267" w14:textId="77777777" w:rsidR="006947FD" w:rsidRPr="00A23FB4" w:rsidRDefault="006947FD" w:rsidP="006947FD">
      <w:pPr>
        <w:pStyle w:val="StylIwony"/>
        <w:spacing w:before="0" w:after="0"/>
        <w:rPr>
          <w:rFonts w:asciiTheme="minorHAnsi" w:hAnsiTheme="minorHAnsi" w:cstheme="minorHAnsi"/>
          <w:sz w:val="20"/>
          <w:szCs w:val="20"/>
        </w:rPr>
      </w:pPr>
    </w:p>
    <w:p w14:paraId="040C7668" w14:textId="77777777" w:rsidR="006947FD" w:rsidRPr="00A23FB4" w:rsidRDefault="006947FD" w:rsidP="005C45EE">
      <w:pPr>
        <w:rPr>
          <w:rFonts w:asciiTheme="minorHAnsi" w:hAnsiTheme="minorHAnsi" w:cstheme="minorHAnsi"/>
          <w:b/>
        </w:rPr>
      </w:pPr>
      <w:bookmarkStart w:id="499" w:name="_Toc358023992"/>
      <w:bookmarkStart w:id="500" w:name="_Toc358024407"/>
      <w:bookmarkStart w:id="501" w:name="_Toc358024822"/>
      <w:r w:rsidRPr="00A23FB4">
        <w:rPr>
          <w:rFonts w:asciiTheme="minorHAnsi" w:hAnsiTheme="minorHAnsi" w:cstheme="minorHAnsi"/>
          <w:b/>
        </w:rPr>
        <w:t>8.2. Odbiór robót zanikających i ulegających zakryciu</w:t>
      </w:r>
      <w:bookmarkEnd w:id="499"/>
      <w:bookmarkEnd w:id="500"/>
      <w:bookmarkEnd w:id="501"/>
    </w:p>
    <w:p w14:paraId="6D273737" w14:textId="77777777" w:rsidR="006947FD" w:rsidRPr="00A23FB4" w:rsidRDefault="006947FD" w:rsidP="006947FD">
      <w:pPr>
        <w:pStyle w:val="StylIwony"/>
        <w:spacing w:before="0" w:after="0"/>
        <w:rPr>
          <w:rFonts w:asciiTheme="minorHAnsi" w:hAnsiTheme="minorHAnsi" w:cstheme="minorHAnsi"/>
          <w:sz w:val="20"/>
          <w:szCs w:val="20"/>
        </w:rPr>
      </w:pPr>
      <w:r w:rsidRPr="00A23FB4">
        <w:rPr>
          <w:rFonts w:asciiTheme="minorHAnsi" w:hAnsiTheme="minorHAnsi" w:cstheme="minorHAnsi"/>
          <w:sz w:val="20"/>
          <w:szCs w:val="20"/>
        </w:rPr>
        <w:t>Odbiorowi robót zanikających i ulegających zakryciu podlegają:</w:t>
      </w:r>
    </w:p>
    <w:p w14:paraId="147E251B" w14:textId="77777777" w:rsidR="006947FD" w:rsidRPr="00A23FB4" w:rsidRDefault="006947FD" w:rsidP="00262498">
      <w:pPr>
        <w:pStyle w:val="StylIwony"/>
        <w:numPr>
          <w:ilvl w:val="0"/>
          <w:numId w:val="15"/>
        </w:numPr>
        <w:tabs>
          <w:tab w:val="left" w:pos="283"/>
        </w:tabs>
        <w:suppressAutoHyphens/>
        <w:autoSpaceDN/>
        <w:adjustRightInd/>
        <w:spacing w:before="0" w:after="0"/>
        <w:rPr>
          <w:rFonts w:asciiTheme="minorHAnsi" w:hAnsiTheme="minorHAnsi" w:cstheme="minorHAnsi"/>
          <w:sz w:val="20"/>
          <w:szCs w:val="20"/>
        </w:rPr>
      </w:pPr>
      <w:r w:rsidRPr="00A23FB4">
        <w:rPr>
          <w:rFonts w:asciiTheme="minorHAnsi" w:hAnsiTheme="minorHAnsi" w:cstheme="minorHAnsi"/>
          <w:sz w:val="20"/>
          <w:szCs w:val="20"/>
        </w:rPr>
        <w:t>roboty montażowe wykonania rur kanałowych i przykanalika,</w:t>
      </w:r>
    </w:p>
    <w:p w14:paraId="4662347B" w14:textId="77777777" w:rsidR="006947FD" w:rsidRPr="00A23FB4" w:rsidRDefault="006947FD" w:rsidP="00262498">
      <w:pPr>
        <w:pStyle w:val="StylIwony"/>
        <w:numPr>
          <w:ilvl w:val="0"/>
          <w:numId w:val="15"/>
        </w:numPr>
        <w:tabs>
          <w:tab w:val="left" w:pos="283"/>
        </w:tabs>
        <w:suppressAutoHyphens/>
        <w:autoSpaceDN/>
        <w:adjustRightInd/>
        <w:spacing w:before="0" w:after="0"/>
        <w:rPr>
          <w:rFonts w:asciiTheme="minorHAnsi" w:hAnsiTheme="minorHAnsi" w:cstheme="minorHAnsi"/>
          <w:sz w:val="20"/>
          <w:szCs w:val="20"/>
        </w:rPr>
      </w:pPr>
      <w:r w:rsidRPr="00A23FB4">
        <w:rPr>
          <w:rFonts w:asciiTheme="minorHAnsi" w:hAnsiTheme="minorHAnsi" w:cstheme="minorHAnsi"/>
          <w:sz w:val="20"/>
          <w:szCs w:val="20"/>
        </w:rPr>
        <w:t>wykonane studzienki ściekowe i kanalizacyjne,</w:t>
      </w:r>
    </w:p>
    <w:p w14:paraId="40842AF3" w14:textId="77777777" w:rsidR="006947FD" w:rsidRPr="00A23FB4" w:rsidRDefault="006947FD" w:rsidP="00262498">
      <w:pPr>
        <w:pStyle w:val="StylIwony"/>
        <w:numPr>
          <w:ilvl w:val="0"/>
          <w:numId w:val="15"/>
        </w:numPr>
        <w:tabs>
          <w:tab w:val="left" w:pos="283"/>
        </w:tabs>
        <w:suppressAutoHyphens/>
        <w:autoSpaceDN/>
        <w:adjustRightInd/>
        <w:spacing w:before="0" w:after="0"/>
        <w:rPr>
          <w:rFonts w:asciiTheme="minorHAnsi" w:hAnsiTheme="minorHAnsi" w:cstheme="minorHAnsi"/>
          <w:sz w:val="20"/>
          <w:szCs w:val="20"/>
        </w:rPr>
      </w:pPr>
      <w:r w:rsidRPr="00A23FB4">
        <w:rPr>
          <w:rFonts w:asciiTheme="minorHAnsi" w:hAnsiTheme="minorHAnsi" w:cstheme="minorHAnsi"/>
          <w:sz w:val="20"/>
          <w:szCs w:val="20"/>
        </w:rPr>
        <w:t>wykonana izolacja,</w:t>
      </w:r>
    </w:p>
    <w:p w14:paraId="29708512" w14:textId="77777777" w:rsidR="006947FD" w:rsidRPr="00A23FB4" w:rsidRDefault="006947FD" w:rsidP="00262498">
      <w:pPr>
        <w:pStyle w:val="StylIwony"/>
        <w:numPr>
          <w:ilvl w:val="0"/>
          <w:numId w:val="15"/>
        </w:numPr>
        <w:tabs>
          <w:tab w:val="left" w:pos="283"/>
        </w:tabs>
        <w:suppressAutoHyphens/>
        <w:autoSpaceDN/>
        <w:adjustRightInd/>
        <w:spacing w:before="0" w:after="0"/>
        <w:rPr>
          <w:rFonts w:asciiTheme="minorHAnsi" w:hAnsiTheme="minorHAnsi" w:cstheme="minorHAnsi"/>
          <w:sz w:val="20"/>
          <w:szCs w:val="20"/>
        </w:rPr>
      </w:pPr>
      <w:r w:rsidRPr="00A23FB4">
        <w:rPr>
          <w:rFonts w:asciiTheme="minorHAnsi" w:hAnsiTheme="minorHAnsi" w:cstheme="minorHAnsi"/>
          <w:sz w:val="20"/>
          <w:szCs w:val="20"/>
        </w:rPr>
        <w:t>zasypany  zagęszczony wykop.</w:t>
      </w:r>
    </w:p>
    <w:p w14:paraId="5CADC061" w14:textId="77777777" w:rsidR="006947FD" w:rsidRPr="00A23FB4" w:rsidRDefault="006947FD" w:rsidP="006947FD">
      <w:pPr>
        <w:pStyle w:val="StylIwony"/>
        <w:spacing w:before="0" w:after="0"/>
        <w:rPr>
          <w:rFonts w:asciiTheme="minorHAnsi" w:hAnsiTheme="minorHAnsi" w:cstheme="minorHAnsi"/>
          <w:sz w:val="20"/>
          <w:szCs w:val="20"/>
        </w:rPr>
      </w:pPr>
      <w:r w:rsidRPr="00A23FB4">
        <w:rPr>
          <w:rFonts w:asciiTheme="minorHAnsi" w:hAnsiTheme="minorHAnsi" w:cstheme="minorHAnsi"/>
          <w:sz w:val="20"/>
          <w:szCs w:val="20"/>
        </w:rPr>
        <w:t>Odbiór robót zanikających powinien być dokonany w czasie umożliwiającym wykonanie korekt i poprawek, bez hamowania ogólnego postępu robót.</w:t>
      </w:r>
    </w:p>
    <w:p w14:paraId="10BA35F6" w14:textId="77777777" w:rsidR="006947FD" w:rsidRPr="00A23FB4" w:rsidRDefault="006947FD" w:rsidP="006947FD">
      <w:pPr>
        <w:pStyle w:val="StylIwony"/>
        <w:spacing w:before="0" w:after="0"/>
        <w:rPr>
          <w:rFonts w:asciiTheme="minorHAnsi" w:hAnsiTheme="minorHAnsi" w:cstheme="minorHAnsi"/>
          <w:sz w:val="20"/>
          <w:szCs w:val="20"/>
        </w:rPr>
      </w:pPr>
      <w:r w:rsidRPr="00A23FB4">
        <w:rPr>
          <w:rFonts w:asciiTheme="minorHAnsi" w:hAnsiTheme="minorHAnsi" w:cstheme="minorHAnsi"/>
          <w:sz w:val="20"/>
          <w:szCs w:val="20"/>
        </w:rPr>
        <w:t>Długość odcinka robót ziemnych poddana odbiorowi nie powinna być mniejsza od 50 m.</w:t>
      </w:r>
    </w:p>
    <w:p w14:paraId="52B4E759" w14:textId="77777777" w:rsidR="00B80411" w:rsidRPr="00A23FB4" w:rsidRDefault="00B80411" w:rsidP="006947FD">
      <w:pPr>
        <w:pStyle w:val="StylIwony"/>
        <w:spacing w:before="0" w:after="0"/>
        <w:rPr>
          <w:rFonts w:asciiTheme="minorHAnsi" w:hAnsiTheme="minorHAnsi" w:cstheme="minorHAnsi"/>
          <w:sz w:val="20"/>
          <w:szCs w:val="20"/>
        </w:rPr>
      </w:pPr>
    </w:p>
    <w:p w14:paraId="011C1807" w14:textId="77777777" w:rsidR="006947FD" w:rsidRPr="00A23FB4" w:rsidRDefault="006947FD" w:rsidP="00B80411">
      <w:pPr>
        <w:rPr>
          <w:rFonts w:asciiTheme="minorHAnsi" w:hAnsiTheme="minorHAnsi" w:cstheme="minorHAnsi"/>
          <w:b/>
        </w:rPr>
      </w:pPr>
      <w:r w:rsidRPr="00A23FB4">
        <w:rPr>
          <w:rFonts w:asciiTheme="minorHAnsi" w:hAnsiTheme="minorHAnsi" w:cstheme="minorHAnsi"/>
          <w:b/>
        </w:rPr>
        <w:t xml:space="preserve">9. </w:t>
      </w:r>
      <w:bookmarkStart w:id="502" w:name="_Toc358023993"/>
      <w:bookmarkStart w:id="503" w:name="_Toc358024408"/>
      <w:bookmarkStart w:id="504" w:name="_Toc358024823"/>
      <w:r w:rsidRPr="00A23FB4">
        <w:rPr>
          <w:rFonts w:asciiTheme="minorHAnsi" w:hAnsiTheme="minorHAnsi" w:cstheme="minorHAnsi"/>
          <w:b/>
        </w:rPr>
        <w:t>PODSTAWA PŁATNOŚCI</w:t>
      </w:r>
      <w:bookmarkEnd w:id="502"/>
      <w:bookmarkEnd w:id="503"/>
      <w:bookmarkEnd w:id="504"/>
    </w:p>
    <w:p w14:paraId="2DD27E17" w14:textId="77777777" w:rsidR="00B80411" w:rsidRPr="00A23FB4" w:rsidRDefault="00B80411" w:rsidP="00B80411">
      <w:pPr>
        <w:rPr>
          <w:rFonts w:asciiTheme="minorHAnsi" w:hAnsiTheme="minorHAnsi" w:cstheme="minorHAnsi"/>
          <w:b/>
        </w:rPr>
      </w:pPr>
    </w:p>
    <w:p w14:paraId="2F78D6AC" w14:textId="49D05482" w:rsidR="00DE28CE" w:rsidRDefault="00DE28CE" w:rsidP="00DE28CE">
      <w:pPr>
        <w:pStyle w:val="StylIwony"/>
        <w:suppressAutoHyphens/>
        <w:spacing w:before="0" w:after="0"/>
        <w:rPr>
          <w:rFonts w:asciiTheme="minorHAnsi" w:hAnsiTheme="minorHAnsi" w:cstheme="minorHAnsi"/>
          <w:sz w:val="20"/>
          <w:szCs w:val="20"/>
        </w:rPr>
      </w:pPr>
      <w:r>
        <w:rPr>
          <w:rFonts w:asciiTheme="minorHAnsi" w:hAnsiTheme="minorHAnsi" w:cstheme="minorHAnsi"/>
          <w:sz w:val="20"/>
          <w:szCs w:val="20"/>
        </w:rPr>
        <w:t>Kontrakt ryczałtowy</w:t>
      </w:r>
    </w:p>
    <w:p w14:paraId="3BB30672" w14:textId="0BECD639" w:rsidR="006947FD" w:rsidRPr="00A23FB4" w:rsidRDefault="006947FD" w:rsidP="006947FD">
      <w:pPr>
        <w:pStyle w:val="StylIwony"/>
        <w:spacing w:before="0" w:after="0"/>
        <w:rPr>
          <w:rFonts w:asciiTheme="minorHAnsi" w:hAnsiTheme="minorHAnsi" w:cstheme="minorHAnsi"/>
          <w:sz w:val="20"/>
          <w:szCs w:val="20"/>
        </w:rPr>
      </w:pPr>
      <w:r w:rsidRPr="00A23FB4">
        <w:rPr>
          <w:rFonts w:asciiTheme="minorHAnsi" w:hAnsiTheme="minorHAnsi" w:cstheme="minorHAnsi"/>
          <w:sz w:val="20"/>
          <w:szCs w:val="20"/>
        </w:rPr>
        <w:t xml:space="preserve">Ogólne ustalenia dotyczące podstawy płatności podano w </w:t>
      </w:r>
      <w:r w:rsidR="00E019D3">
        <w:rPr>
          <w:rFonts w:asciiTheme="minorHAnsi" w:hAnsiTheme="minorHAnsi" w:cstheme="minorHAnsi"/>
          <w:sz w:val="20"/>
          <w:szCs w:val="20"/>
        </w:rPr>
        <w:t>ST</w:t>
      </w:r>
      <w:r w:rsidR="00E348FF" w:rsidRPr="00A23FB4">
        <w:rPr>
          <w:rFonts w:asciiTheme="minorHAnsi" w:hAnsiTheme="minorHAnsi" w:cstheme="minorHAnsi"/>
          <w:sz w:val="20"/>
          <w:szCs w:val="20"/>
        </w:rPr>
        <w:t>WiORB</w:t>
      </w:r>
      <w:r w:rsidRPr="00A23FB4">
        <w:rPr>
          <w:rFonts w:asciiTheme="minorHAnsi" w:hAnsiTheme="minorHAnsi" w:cstheme="minorHAnsi"/>
          <w:sz w:val="20"/>
          <w:szCs w:val="20"/>
        </w:rPr>
        <w:t>D-M-00.00.00 „Wymagania ogólne” pkt 9.</w:t>
      </w:r>
    </w:p>
    <w:p w14:paraId="5E0B184E" w14:textId="77777777" w:rsidR="005C45EE" w:rsidRPr="00A23FB4" w:rsidRDefault="005C45EE" w:rsidP="005C45EE">
      <w:pPr>
        <w:rPr>
          <w:rFonts w:asciiTheme="minorHAnsi" w:hAnsiTheme="minorHAnsi" w:cstheme="minorHAnsi"/>
          <w:b/>
        </w:rPr>
      </w:pPr>
      <w:bookmarkStart w:id="505" w:name="_Toc358023995"/>
      <w:bookmarkStart w:id="506" w:name="_Toc358024410"/>
      <w:bookmarkStart w:id="507" w:name="_Toc358024825"/>
    </w:p>
    <w:p w14:paraId="2716DD79" w14:textId="77777777" w:rsidR="006947FD" w:rsidRPr="00A23FB4" w:rsidRDefault="006947FD" w:rsidP="00B80411">
      <w:pPr>
        <w:rPr>
          <w:rFonts w:asciiTheme="minorHAnsi" w:hAnsiTheme="minorHAnsi" w:cstheme="minorHAnsi"/>
          <w:b/>
        </w:rPr>
      </w:pPr>
      <w:bookmarkStart w:id="508" w:name="_Toc358023996"/>
      <w:bookmarkStart w:id="509" w:name="_Toc358024411"/>
      <w:bookmarkStart w:id="510" w:name="_Toc358024826"/>
      <w:bookmarkEnd w:id="505"/>
      <w:bookmarkEnd w:id="506"/>
      <w:bookmarkEnd w:id="507"/>
      <w:r w:rsidRPr="00A23FB4">
        <w:rPr>
          <w:rFonts w:asciiTheme="minorHAnsi" w:hAnsiTheme="minorHAnsi" w:cstheme="minorHAnsi"/>
          <w:b/>
        </w:rPr>
        <w:t>10. PRZEPISY ZWIĄZANE</w:t>
      </w:r>
      <w:bookmarkEnd w:id="508"/>
      <w:bookmarkEnd w:id="509"/>
      <w:bookmarkEnd w:id="510"/>
    </w:p>
    <w:p w14:paraId="333B4133" w14:textId="77777777" w:rsidR="006947FD" w:rsidRPr="00A23FB4" w:rsidRDefault="006947FD" w:rsidP="005C45EE">
      <w:pPr>
        <w:rPr>
          <w:rFonts w:asciiTheme="minorHAnsi" w:hAnsiTheme="minorHAnsi" w:cstheme="minorHAnsi"/>
          <w:b/>
        </w:rPr>
      </w:pPr>
      <w:bookmarkStart w:id="511" w:name="_Toc358023997"/>
      <w:bookmarkStart w:id="512" w:name="_Toc358024412"/>
      <w:bookmarkStart w:id="513" w:name="_Toc358024827"/>
      <w:r w:rsidRPr="00A23FB4">
        <w:rPr>
          <w:rFonts w:asciiTheme="minorHAnsi" w:hAnsiTheme="minorHAnsi" w:cstheme="minorHAnsi"/>
          <w:b/>
        </w:rPr>
        <w:t>10.1. Normy</w:t>
      </w:r>
      <w:bookmarkEnd w:id="511"/>
      <w:bookmarkEnd w:id="512"/>
      <w:bookmarkEnd w:id="513"/>
    </w:p>
    <w:tbl>
      <w:tblPr>
        <w:tblW w:w="0" w:type="auto"/>
        <w:tblInd w:w="2" w:type="dxa"/>
        <w:tblLayout w:type="fixed"/>
        <w:tblCellMar>
          <w:left w:w="70" w:type="dxa"/>
          <w:right w:w="70" w:type="dxa"/>
        </w:tblCellMar>
        <w:tblLook w:val="0000" w:firstRow="0" w:lastRow="0" w:firstColumn="0" w:lastColumn="0" w:noHBand="0" w:noVBand="0"/>
      </w:tblPr>
      <w:tblGrid>
        <w:gridCol w:w="2480"/>
        <w:gridCol w:w="7371"/>
      </w:tblGrid>
      <w:tr w:rsidR="006947FD" w:rsidRPr="00A23FB4" w14:paraId="49E9E9DB" w14:textId="77777777" w:rsidTr="006947FD">
        <w:tc>
          <w:tcPr>
            <w:tcW w:w="2480" w:type="dxa"/>
          </w:tcPr>
          <w:p w14:paraId="03411DFE" w14:textId="77777777" w:rsidR="006947FD" w:rsidRPr="00067D67" w:rsidRDefault="006947FD" w:rsidP="006947FD">
            <w:pPr>
              <w:pStyle w:val="StylIwony"/>
              <w:snapToGrid w:val="0"/>
              <w:spacing w:before="0" w:after="0"/>
              <w:rPr>
                <w:rFonts w:asciiTheme="minorHAnsi" w:hAnsiTheme="minorHAnsi" w:cstheme="minorHAnsi"/>
                <w:sz w:val="18"/>
                <w:szCs w:val="18"/>
              </w:rPr>
            </w:pPr>
            <w:r w:rsidRPr="00067D67">
              <w:rPr>
                <w:rFonts w:asciiTheme="minorHAnsi" w:hAnsiTheme="minorHAnsi" w:cstheme="minorHAnsi"/>
                <w:sz w:val="18"/>
                <w:szCs w:val="18"/>
              </w:rPr>
              <w:t xml:space="preserve">  1.     PN-B-06712</w:t>
            </w:r>
          </w:p>
        </w:tc>
        <w:tc>
          <w:tcPr>
            <w:tcW w:w="7371" w:type="dxa"/>
          </w:tcPr>
          <w:p w14:paraId="7428524A" w14:textId="77777777" w:rsidR="006947FD" w:rsidRPr="00067D67" w:rsidRDefault="006947FD" w:rsidP="006947FD">
            <w:pPr>
              <w:pStyle w:val="StylIwony"/>
              <w:snapToGrid w:val="0"/>
              <w:spacing w:before="0" w:after="0"/>
              <w:rPr>
                <w:rFonts w:asciiTheme="minorHAnsi" w:hAnsiTheme="minorHAnsi" w:cstheme="minorHAnsi"/>
                <w:sz w:val="18"/>
                <w:szCs w:val="18"/>
              </w:rPr>
            </w:pPr>
            <w:r w:rsidRPr="00067D67">
              <w:rPr>
                <w:rFonts w:asciiTheme="minorHAnsi" w:hAnsiTheme="minorHAnsi" w:cstheme="minorHAnsi"/>
                <w:sz w:val="18"/>
                <w:szCs w:val="18"/>
              </w:rPr>
              <w:t>Kruszywa mineralne do betonu</w:t>
            </w:r>
          </w:p>
        </w:tc>
      </w:tr>
      <w:tr w:rsidR="006947FD" w:rsidRPr="00A23FB4" w14:paraId="3B51DF14" w14:textId="77777777" w:rsidTr="006947FD">
        <w:tc>
          <w:tcPr>
            <w:tcW w:w="2480" w:type="dxa"/>
          </w:tcPr>
          <w:p w14:paraId="2DBD429D" w14:textId="77777777" w:rsidR="006947FD" w:rsidRPr="00067D67" w:rsidRDefault="006947FD" w:rsidP="006947FD">
            <w:pPr>
              <w:pStyle w:val="StylIwony"/>
              <w:snapToGrid w:val="0"/>
              <w:spacing w:before="0" w:after="0"/>
              <w:rPr>
                <w:rFonts w:asciiTheme="minorHAnsi" w:hAnsiTheme="minorHAnsi" w:cstheme="minorHAnsi"/>
                <w:sz w:val="18"/>
                <w:szCs w:val="18"/>
              </w:rPr>
            </w:pPr>
            <w:r w:rsidRPr="00067D67">
              <w:rPr>
                <w:rFonts w:asciiTheme="minorHAnsi" w:hAnsiTheme="minorHAnsi" w:cstheme="minorHAnsi"/>
                <w:sz w:val="18"/>
                <w:szCs w:val="18"/>
              </w:rPr>
              <w:t xml:space="preserve">  2.     PN-B-06751</w:t>
            </w:r>
          </w:p>
        </w:tc>
        <w:tc>
          <w:tcPr>
            <w:tcW w:w="7371" w:type="dxa"/>
          </w:tcPr>
          <w:p w14:paraId="50B14286" w14:textId="77777777" w:rsidR="006947FD" w:rsidRPr="00067D67" w:rsidRDefault="006947FD" w:rsidP="006947FD">
            <w:pPr>
              <w:pStyle w:val="StylIwony"/>
              <w:snapToGrid w:val="0"/>
              <w:spacing w:before="0" w:after="0"/>
              <w:rPr>
                <w:rFonts w:asciiTheme="minorHAnsi" w:hAnsiTheme="minorHAnsi" w:cstheme="minorHAnsi"/>
                <w:sz w:val="18"/>
                <w:szCs w:val="18"/>
              </w:rPr>
            </w:pPr>
            <w:r w:rsidRPr="00067D67">
              <w:rPr>
                <w:rFonts w:asciiTheme="minorHAnsi" w:hAnsiTheme="minorHAnsi" w:cstheme="minorHAnsi"/>
                <w:sz w:val="18"/>
                <w:szCs w:val="18"/>
              </w:rPr>
              <w:t>Wyroby kanalizacyjne kamionkowe. Rury i kształtki. Wymagania i badania</w:t>
            </w:r>
          </w:p>
        </w:tc>
      </w:tr>
      <w:tr w:rsidR="006947FD" w:rsidRPr="00A23FB4" w14:paraId="3E7E34A6" w14:textId="77777777" w:rsidTr="006947FD">
        <w:tc>
          <w:tcPr>
            <w:tcW w:w="2480" w:type="dxa"/>
          </w:tcPr>
          <w:p w14:paraId="4EE7D848" w14:textId="77777777" w:rsidR="006947FD" w:rsidRPr="00067D67" w:rsidRDefault="006947FD" w:rsidP="006947FD">
            <w:pPr>
              <w:pStyle w:val="StylIwony"/>
              <w:snapToGrid w:val="0"/>
              <w:spacing w:before="0" w:after="0"/>
              <w:rPr>
                <w:rFonts w:asciiTheme="minorHAnsi" w:hAnsiTheme="minorHAnsi" w:cstheme="minorHAnsi"/>
                <w:sz w:val="18"/>
                <w:szCs w:val="18"/>
              </w:rPr>
            </w:pPr>
            <w:r w:rsidRPr="00067D67">
              <w:rPr>
                <w:rFonts w:asciiTheme="minorHAnsi" w:hAnsiTheme="minorHAnsi" w:cstheme="minorHAnsi"/>
                <w:sz w:val="18"/>
                <w:szCs w:val="18"/>
              </w:rPr>
              <w:t xml:space="preserve">  3.     PN-B-11111</w:t>
            </w:r>
          </w:p>
        </w:tc>
        <w:tc>
          <w:tcPr>
            <w:tcW w:w="7371" w:type="dxa"/>
          </w:tcPr>
          <w:p w14:paraId="2F613014" w14:textId="77777777" w:rsidR="006947FD" w:rsidRPr="00067D67" w:rsidRDefault="006947FD" w:rsidP="006947FD">
            <w:pPr>
              <w:pStyle w:val="StylIwony"/>
              <w:snapToGrid w:val="0"/>
              <w:spacing w:before="0" w:after="0"/>
              <w:rPr>
                <w:rFonts w:asciiTheme="minorHAnsi" w:hAnsiTheme="minorHAnsi" w:cstheme="minorHAnsi"/>
                <w:sz w:val="18"/>
                <w:szCs w:val="18"/>
              </w:rPr>
            </w:pPr>
            <w:r w:rsidRPr="00067D67">
              <w:rPr>
                <w:rFonts w:asciiTheme="minorHAnsi" w:hAnsiTheme="minorHAnsi" w:cstheme="minorHAnsi"/>
                <w:sz w:val="18"/>
                <w:szCs w:val="18"/>
              </w:rPr>
              <w:t>Kruszywa mineralne. Kruszywa naturalne do nawierzchni drogowych. Żwir i mieszanka</w:t>
            </w:r>
          </w:p>
        </w:tc>
      </w:tr>
      <w:tr w:rsidR="006947FD" w:rsidRPr="00A23FB4" w14:paraId="38A139C6" w14:textId="77777777" w:rsidTr="006947FD">
        <w:tc>
          <w:tcPr>
            <w:tcW w:w="2480" w:type="dxa"/>
          </w:tcPr>
          <w:p w14:paraId="0AB6A5CA" w14:textId="77777777" w:rsidR="006947FD" w:rsidRPr="00067D67" w:rsidRDefault="006947FD" w:rsidP="006947FD">
            <w:pPr>
              <w:pStyle w:val="StylIwony"/>
              <w:snapToGrid w:val="0"/>
              <w:spacing w:before="0" w:after="0"/>
              <w:rPr>
                <w:rFonts w:asciiTheme="minorHAnsi" w:hAnsiTheme="minorHAnsi" w:cstheme="minorHAnsi"/>
                <w:sz w:val="18"/>
                <w:szCs w:val="18"/>
              </w:rPr>
            </w:pPr>
            <w:r w:rsidRPr="00067D67">
              <w:rPr>
                <w:rFonts w:asciiTheme="minorHAnsi" w:hAnsiTheme="minorHAnsi" w:cstheme="minorHAnsi"/>
                <w:sz w:val="18"/>
                <w:szCs w:val="18"/>
              </w:rPr>
              <w:t xml:space="preserve">  4.     PN-B-11112</w:t>
            </w:r>
          </w:p>
        </w:tc>
        <w:tc>
          <w:tcPr>
            <w:tcW w:w="7371" w:type="dxa"/>
          </w:tcPr>
          <w:p w14:paraId="1C02F5ED" w14:textId="77777777" w:rsidR="006947FD" w:rsidRPr="00067D67" w:rsidRDefault="006947FD" w:rsidP="006947FD">
            <w:pPr>
              <w:pStyle w:val="StylIwony"/>
              <w:snapToGrid w:val="0"/>
              <w:spacing w:before="0" w:after="0"/>
              <w:rPr>
                <w:rFonts w:asciiTheme="minorHAnsi" w:hAnsiTheme="minorHAnsi" w:cstheme="minorHAnsi"/>
                <w:sz w:val="18"/>
                <w:szCs w:val="18"/>
              </w:rPr>
            </w:pPr>
            <w:r w:rsidRPr="00067D67">
              <w:rPr>
                <w:rFonts w:asciiTheme="minorHAnsi" w:hAnsiTheme="minorHAnsi" w:cstheme="minorHAnsi"/>
                <w:sz w:val="18"/>
                <w:szCs w:val="18"/>
              </w:rPr>
              <w:t>Kruszywa mineralne. Kruszywa łamane do nawierzchni drogowych</w:t>
            </w:r>
          </w:p>
        </w:tc>
      </w:tr>
      <w:tr w:rsidR="006947FD" w:rsidRPr="00A23FB4" w14:paraId="1F7431B8" w14:textId="77777777" w:rsidTr="006947FD">
        <w:tc>
          <w:tcPr>
            <w:tcW w:w="2480" w:type="dxa"/>
          </w:tcPr>
          <w:p w14:paraId="1C322F02" w14:textId="77777777" w:rsidR="006947FD" w:rsidRPr="00067D67" w:rsidRDefault="006947FD" w:rsidP="006947FD">
            <w:pPr>
              <w:pStyle w:val="StylIwony"/>
              <w:snapToGrid w:val="0"/>
              <w:spacing w:before="0" w:after="0"/>
              <w:rPr>
                <w:rFonts w:asciiTheme="minorHAnsi" w:hAnsiTheme="minorHAnsi" w:cstheme="minorHAnsi"/>
                <w:sz w:val="18"/>
                <w:szCs w:val="18"/>
              </w:rPr>
            </w:pPr>
            <w:r w:rsidRPr="00067D67">
              <w:rPr>
                <w:rFonts w:asciiTheme="minorHAnsi" w:hAnsiTheme="minorHAnsi" w:cstheme="minorHAnsi"/>
                <w:sz w:val="18"/>
                <w:szCs w:val="18"/>
              </w:rPr>
              <w:t xml:space="preserve">  5.     PN-B-12037</w:t>
            </w:r>
          </w:p>
        </w:tc>
        <w:tc>
          <w:tcPr>
            <w:tcW w:w="7371" w:type="dxa"/>
          </w:tcPr>
          <w:p w14:paraId="4C421D8B" w14:textId="77777777" w:rsidR="006947FD" w:rsidRPr="00067D67" w:rsidRDefault="006947FD" w:rsidP="006947FD">
            <w:pPr>
              <w:pStyle w:val="StylIwony"/>
              <w:snapToGrid w:val="0"/>
              <w:spacing w:before="0" w:after="0"/>
              <w:rPr>
                <w:rFonts w:asciiTheme="minorHAnsi" w:hAnsiTheme="minorHAnsi" w:cstheme="minorHAnsi"/>
                <w:sz w:val="18"/>
                <w:szCs w:val="18"/>
              </w:rPr>
            </w:pPr>
            <w:r w:rsidRPr="00067D67">
              <w:rPr>
                <w:rFonts w:asciiTheme="minorHAnsi" w:hAnsiTheme="minorHAnsi" w:cstheme="minorHAnsi"/>
                <w:sz w:val="18"/>
                <w:szCs w:val="18"/>
              </w:rPr>
              <w:t>Cegła pełna wypalana z gliny - kanalizacyjna</w:t>
            </w:r>
          </w:p>
        </w:tc>
      </w:tr>
      <w:tr w:rsidR="006947FD" w:rsidRPr="00A23FB4" w14:paraId="6B340112" w14:textId="77777777" w:rsidTr="006947FD">
        <w:tc>
          <w:tcPr>
            <w:tcW w:w="2480" w:type="dxa"/>
          </w:tcPr>
          <w:p w14:paraId="47A4199D" w14:textId="77777777" w:rsidR="006947FD" w:rsidRPr="00067D67" w:rsidRDefault="006947FD" w:rsidP="006947FD">
            <w:pPr>
              <w:pStyle w:val="StylIwony"/>
              <w:snapToGrid w:val="0"/>
              <w:spacing w:before="0" w:after="0"/>
              <w:rPr>
                <w:rFonts w:asciiTheme="minorHAnsi" w:hAnsiTheme="minorHAnsi" w:cstheme="minorHAnsi"/>
                <w:sz w:val="18"/>
                <w:szCs w:val="18"/>
              </w:rPr>
            </w:pPr>
            <w:r w:rsidRPr="00067D67">
              <w:rPr>
                <w:rFonts w:asciiTheme="minorHAnsi" w:hAnsiTheme="minorHAnsi" w:cstheme="minorHAnsi"/>
                <w:sz w:val="18"/>
                <w:szCs w:val="18"/>
              </w:rPr>
              <w:t xml:space="preserve">  6.     PN-B-12751</w:t>
            </w:r>
          </w:p>
        </w:tc>
        <w:tc>
          <w:tcPr>
            <w:tcW w:w="7371" w:type="dxa"/>
          </w:tcPr>
          <w:p w14:paraId="7D777798" w14:textId="77777777" w:rsidR="006947FD" w:rsidRPr="00067D67" w:rsidRDefault="006947FD" w:rsidP="006947FD">
            <w:pPr>
              <w:pStyle w:val="StylIwony"/>
              <w:snapToGrid w:val="0"/>
              <w:spacing w:before="0" w:after="0"/>
              <w:rPr>
                <w:rFonts w:asciiTheme="minorHAnsi" w:hAnsiTheme="minorHAnsi" w:cstheme="minorHAnsi"/>
                <w:sz w:val="18"/>
                <w:szCs w:val="18"/>
              </w:rPr>
            </w:pPr>
            <w:r w:rsidRPr="00067D67">
              <w:rPr>
                <w:rFonts w:asciiTheme="minorHAnsi" w:hAnsiTheme="minorHAnsi" w:cstheme="minorHAnsi"/>
                <w:sz w:val="18"/>
                <w:szCs w:val="18"/>
              </w:rPr>
              <w:t>Kamionkowe rury i kształtki kanalizacyjne. Kształty i wymiary</w:t>
            </w:r>
          </w:p>
        </w:tc>
      </w:tr>
      <w:tr w:rsidR="006947FD" w:rsidRPr="00A23FB4" w14:paraId="52054DD2" w14:textId="77777777" w:rsidTr="006947FD">
        <w:tc>
          <w:tcPr>
            <w:tcW w:w="2480" w:type="dxa"/>
          </w:tcPr>
          <w:p w14:paraId="4519FD4F" w14:textId="77777777" w:rsidR="006947FD" w:rsidRPr="00067D67" w:rsidRDefault="006947FD" w:rsidP="006947FD">
            <w:pPr>
              <w:pStyle w:val="StylIwony"/>
              <w:snapToGrid w:val="0"/>
              <w:spacing w:before="0" w:after="0"/>
              <w:rPr>
                <w:rFonts w:asciiTheme="minorHAnsi" w:hAnsiTheme="minorHAnsi" w:cstheme="minorHAnsi"/>
                <w:sz w:val="18"/>
                <w:szCs w:val="18"/>
              </w:rPr>
            </w:pPr>
            <w:r w:rsidRPr="00067D67">
              <w:rPr>
                <w:rFonts w:asciiTheme="minorHAnsi" w:hAnsiTheme="minorHAnsi" w:cstheme="minorHAnsi"/>
                <w:sz w:val="18"/>
                <w:szCs w:val="18"/>
              </w:rPr>
              <w:t xml:space="preserve">  7.     PN-B-14501</w:t>
            </w:r>
          </w:p>
        </w:tc>
        <w:tc>
          <w:tcPr>
            <w:tcW w:w="7371" w:type="dxa"/>
          </w:tcPr>
          <w:p w14:paraId="11179D96" w14:textId="77777777" w:rsidR="006947FD" w:rsidRPr="00067D67" w:rsidRDefault="006947FD" w:rsidP="006947FD">
            <w:pPr>
              <w:pStyle w:val="StylIwony"/>
              <w:snapToGrid w:val="0"/>
              <w:spacing w:before="0" w:after="0"/>
              <w:rPr>
                <w:rFonts w:asciiTheme="minorHAnsi" w:hAnsiTheme="minorHAnsi" w:cstheme="minorHAnsi"/>
                <w:sz w:val="18"/>
                <w:szCs w:val="18"/>
              </w:rPr>
            </w:pPr>
            <w:r w:rsidRPr="00067D67">
              <w:rPr>
                <w:rFonts w:asciiTheme="minorHAnsi" w:hAnsiTheme="minorHAnsi" w:cstheme="minorHAnsi"/>
                <w:sz w:val="18"/>
                <w:szCs w:val="18"/>
              </w:rPr>
              <w:t>Zaprawy budowlane zwykłe</w:t>
            </w:r>
          </w:p>
        </w:tc>
      </w:tr>
      <w:tr w:rsidR="006947FD" w:rsidRPr="00A23FB4" w14:paraId="5F8C9C49" w14:textId="77777777" w:rsidTr="006947FD">
        <w:tc>
          <w:tcPr>
            <w:tcW w:w="2480" w:type="dxa"/>
          </w:tcPr>
          <w:p w14:paraId="30875253" w14:textId="77777777" w:rsidR="006947FD" w:rsidRPr="00067D67" w:rsidRDefault="006947FD" w:rsidP="006947FD">
            <w:pPr>
              <w:pStyle w:val="StylIwony"/>
              <w:snapToGrid w:val="0"/>
              <w:spacing w:before="0" w:after="0"/>
              <w:rPr>
                <w:rFonts w:asciiTheme="minorHAnsi" w:hAnsiTheme="minorHAnsi" w:cstheme="minorHAnsi"/>
                <w:sz w:val="18"/>
                <w:szCs w:val="18"/>
              </w:rPr>
            </w:pPr>
            <w:r w:rsidRPr="00067D67">
              <w:rPr>
                <w:rFonts w:asciiTheme="minorHAnsi" w:hAnsiTheme="minorHAnsi" w:cstheme="minorHAnsi"/>
                <w:sz w:val="18"/>
                <w:szCs w:val="18"/>
              </w:rPr>
              <w:t xml:space="preserve">  8.     PN-C-96177</w:t>
            </w:r>
          </w:p>
        </w:tc>
        <w:tc>
          <w:tcPr>
            <w:tcW w:w="7371" w:type="dxa"/>
          </w:tcPr>
          <w:p w14:paraId="526DF63E" w14:textId="77777777" w:rsidR="006947FD" w:rsidRPr="00067D67" w:rsidRDefault="006947FD" w:rsidP="006947FD">
            <w:pPr>
              <w:pStyle w:val="StylIwony"/>
              <w:snapToGrid w:val="0"/>
              <w:spacing w:before="0" w:after="0"/>
              <w:rPr>
                <w:rFonts w:asciiTheme="minorHAnsi" w:hAnsiTheme="minorHAnsi" w:cstheme="minorHAnsi"/>
                <w:sz w:val="18"/>
                <w:szCs w:val="18"/>
              </w:rPr>
            </w:pPr>
            <w:r w:rsidRPr="00067D67">
              <w:rPr>
                <w:rFonts w:asciiTheme="minorHAnsi" w:hAnsiTheme="minorHAnsi" w:cstheme="minorHAnsi"/>
                <w:sz w:val="18"/>
                <w:szCs w:val="18"/>
              </w:rPr>
              <w:t>Lepik asfaltowy bez wypełniaczy stosowany na gorąco</w:t>
            </w:r>
          </w:p>
        </w:tc>
      </w:tr>
      <w:tr w:rsidR="006947FD" w:rsidRPr="00A23FB4" w14:paraId="3D8FD593" w14:textId="77777777" w:rsidTr="006947FD">
        <w:tc>
          <w:tcPr>
            <w:tcW w:w="2480" w:type="dxa"/>
          </w:tcPr>
          <w:p w14:paraId="30548EB6" w14:textId="77777777" w:rsidR="006947FD" w:rsidRPr="00067D67" w:rsidRDefault="006947FD" w:rsidP="006947FD">
            <w:pPr>
              <w:pStyle w:val="StylIwony"/>
              <w:snapToGrid w:val="0"/>
              <w:spacing w:before="0" w:after="0"/>
              <w:rPr>
                <w:rFonts w:asciiTheme="minorHAnsi" w:hAnsiTheme="minorHAnsi" w:cstheme="minorHAnsi"/>
                <w:sz w:val="18"/>
                <w:szCs w:val="18"/>
              </w:rPr>
            </w:pPr>
            <w:r w:rsidRPr="00067D67">
              <w:rPr>
                <w:rFonts w:asciiTheme="minorHAnsi" w:hAnsiTheme="minorHAnsi" w:cstheme="minorHAnsi"/>
                <w:sz w:val="18"/>
                <w:szCs w:val="18"/>
              </w:rPr>
              <w:t xml:space="preserve">  9.     PN-H-74051-00</w:t>
            </w:r>
          </w:p>
        </w:tc>
        <w:tc>
          <w:tcPr>
            <w:tcW w:w="7371" w:type="dxa"/>
          </w:tcPr>
          <w:p w14:paraId="36F3AF10" w14:textId="77777777" w:rsidR="006947FD" w:rsidRPr="00067D67" w:rsidRDefault="006947FD" w:rsidP="006947FD">
            <w:pPr>
              <w:pStyle w:val="StylIwony"/>
              <w:snapToGrid w:val="0"/>
              <w:spacing w:before="0" w:after="0"/>
              <w:rPr>
                <w:rFonts w:asciiTheme="minorHAnsi" w:hAnsiTheme="minorHAnsi" w:cstheme="minorHAnsi"/>
                <w:sz w:val="18"/>
                <w:szCs w:val="18"/>
              </w:rPr>
            </w:pPr>
            <w:r w:rsidRPr="00067D67">
              <w:rPr>
                <w:rFonts w:asciiTheme="minorHAnsi" w:hAnsiTheme="minorHAnsi" w:cstheme="minorHAnsi"/>
                <w:sz w:val="18"/>
                <w:szCs w:val="18"/>
              </w:rPr>
              <w:t>Włazy kanałowe. Ogólne wymagania i badania</w:t>
            </w:r>
          </w:p>
        </w:tc>
      </w:tr>
      <w:tr w:rsidR="006947FD" w:rsidRPr="00A23FB4" w14:paraId="5AD408C5" w14:textId="77777777" w:rsidTr="006947FD">
        <w:tc>
          <w:tcPr>
            <w:tcW w:w="2480" w:type="dxa"/>
          </w:tcPr>
          <w:p w14:paraId="52013D4C" w14:textId="77777777" w:rsidR="006947FD" w:rsidRPr="00067D67" w:rsidRDefault="006947FD" w:rsidP="006947FD">
            <w:pPr>
              <w:pStyle w:val="StylIwony"/>
              <w:snapToGrid w:val="0"/>
              <w:spacing w:before="0" w:after="0"/>
              <w:rPr>
                <w:rFonts w:asciiTheme="minorHAnsi" w:hAnsiTheme="minorHAnsi" w:cstheme="minorHAnsi"/>
                <w:sz w:val="18"/>
                <w:szCs w:val="18"/>
              </w:rPr>
            </w:pPr>
            <w:r w:rsidRPr="00067D67">
              <w:rPr>
                <w:rFonts w:asciiTheme="minorHAnsi" w:hAnsiTheme="minorHAnsi" w:cstheme="minorHAnsi"/>
                <w:sz w:val="18"/>
                <w:szCs w:val="18"/>
              </w:rPr>
              <w:t>10.     PN-H-74051-01</w:t>
            </w:r>
          </w:p>
        </w:tc>
        <w:tc>
          <w:tcPr>
            <w:tcW w:w="7371" w:type="dxa"/>
          </w:tcPr>
          <w:p w14:paraId="14995EBC" w14:textId="77777777" w:rsidR="006947FD" w:rsidRPr="00067D67" w:rsidRDefault="006947FD" w:rsidP="006947FD">
            <w:pPr>
              <w:pStyle w:val="StylIwony"/>
              <w:snapToGrid w:val="0"/>
              <w:spacing w:before="0" w:after="0"/>
              <w:rPr>
                <w:rFonts w:asciiTheme="minorHAnsi" w:hAnsiTheme="minorHAnsi" w:cstheme="minorHAnsi"/>
                <w:sz w:val="18"/>
                <w:szCs w:val="18"/>
              </w:rPr>
            </w:pPr>
            <w:r w:rsidRPr="00067D67">
              <w:rPr>
                <w:rFonts w:asciiTheme="minorHAnsi" w:hAnsiTheme="minorHAnsi" w:cstheme="minorHAnsi"/>
                <w:sz w:val="18"/>
                <w:szCs w:val="18"/>
              </w:rPr>
              <w:t>Włazy kanałowe. Klasa A (włazy typu lekkiego)</w:t>
            </w:r>
          </w:p>
        </w:tc>
      </w:tr>
      <w:tr w:rsidR="006947FD" w:rsidRPr="00A23FB4" w14:paraId="4EF29094" w14:textId="77777777" w:rsidTr="006947FD">
        <w:tc>
          <w:tcPr>
            <w:tcW w:w="2480" w:type="dxa"/>
          </w:tcPr>
          <w:p w14:paraId="1361496E" w14:textId="77777777" w:rsidR="006947FD" w:rsidRPr="00067D67" w:rsidRDefault="006947FD" w:rsidP="006947FD">
            <w:pPr>
              <w:pStyle w:val="StylIwony"/>
              <w:snapToGrid w:val="0"/>
              <w:spacing w:before="0" w:after="0"/>
              <w:rPr>
                <w:rFonts w:asciiTheme="minorHAnsi" w:hAnsiTheme="minorHAnsi" w:cstheme="minorHAnsi"/>
                <w:sz w:val="18"/>
                <w:szCs w:val="18"/>
              </w:rPr>
            </w:pPr>
            <w:r w:rsidRPr="00067D67">
              <w:rPr>
                <w:rFonts w:asciiTheme="minorHAnsi" w:hAnsiTheme="minorHAnsi" w:cstheme="minorHAnsi"/>
                <w:sz w:val="18"/>
                <w:szCs w:val="18"/>
              </w:rPr>
              <w:t>11.    PN-H-74051-02</w:t>
            </w:r>
          </w:p>
        </w:tc>
        <w:tc>
          <w:tcPr>
            <w:tcW w:w="7371" w:type="dxa"/>
          </w:tcPr>
          <w:p w14:paraId="164ACEF7" w14:textId="77777777" w:rsidR="006947FD" w:rsidRPr="00067D67" w:rsidRDefault="006947FD" w:rsidP="006947FD">
            <w:pPr>
              <w:pStyle w:val="StylIwony"/>
              <w:snapToGrid w:val="0"/>
              <w:spacing w:before="0" w:after="0"/>
              <w:rPr>
                <w:rFonts w:asciiTheme="minorHAnsi" w:hAnsiTheme="minorHAnsi" w:cstheme="minorHAnsi"/>
                <w:sz w:val="18"/>
                <w:szCs w:val="18"/>
              </w:rPr>
            </w:pPr>
            <w:r w:rsidRPr="00067D67">
              <w:rPr>
                <w:rFonts w:asciiTheme="minorHAnsi" w:hAnsiTheme="minorHAnsi" w:cstheme="minorHAnsi"/>
                <w:sz w:val="18"/>
                <w:szCs w:val="18"/>
              </w:rPr>
              <w:t>Włazy kanałowe. Klasy B, C, D (włazy typu ciężkiego)</w:t>
            </w:r>
          </w:p>
        </w:tc>
      </w:tr>
      <w:tr w:rsidR="006947FD" w:rsidRPr="00A23FB4" w14:paraId="52547EC2" w14:textId="77777777" w:rsidTr="006947FD">
        <w:tc>
          <w:tcPr>
            <w:tcW w:w="2480" w:type="dxa"/>
          </w:tcPr>
          <w:p w14:paraId="4AA1561B" w14:textId="77777777" w:rsidR="006947FD" w:rsidRPr="00067D67" w:rsidRDefault="006947FD" w:rsidP="006947FD">
            <w:pPr>
              <w:pStyle w:val="StylIwony"/>
              <w:snapToGrid w:val="0"/>
              <w:spacing w:before="0" w:after="0"/>
              <w:rPr>
                <w:rFonts w:asciiTheme="minorHAnsi" w:hAnsiTheme="minorHAnsi" w:cstheme="minorHAnsi"/>
                <w:sz w:val="18"/>
                <w:szCs w:val="18"/>
              </w:rPr>
            </w:pPr>
            <w:r w:rsidRPr="00067D67">
              <w:rPr>
                <w:rFonts w:asciiTheme="minorHAnsi" w:hAnsiTheme="minorHAnsi" w:cstheme="minorHAnsi"/>
                <w:sz w:val="18"/>
                <w:szCs w:val="18"/>
              </w:rPr>
              <w:t>12.    PN-H-74080-01</w:t>
            </w:r>
          </w:p>
        </w:tc>
        <w:tc>
          <w:tcPr>
            <w:tcW w:w="7371" w:type="dxa"/>
          </w:tcPr>
          <w:p w14:paraId="2A712992" w14:textId="77777777" w:rsidR="006947FD" w:rsidRPr="00067D67" w:rsidRDefault="006947FD" w:rsidP="006947FD">
            <w:pPr>
              <w:pStyle w:val="StylIwony"/>
              <w:snapToGrid w:val="0"/>
              <w:spacing w:before="0" w:after="0"/>
              <w:rPr>
                <w:rFonts w:asciiTheme="minorHAnsi" w:hAnsiTheme="minorHAnsi" w:cstheme="minorHAnsi"/>
                <w:sz w:val="18"/>
                <w:szCs w:val="18"/>
              </w:rPr>
            </w:pPr>
            <w:r w:rsidRPr="00067D67">
              <w:rPr>
                <w:rFonts w:asciiTheme="minorHAnsi" w:hAnsiTheme="minorHAnsi" w:cstheme="minorHAnsi"/>
                <w:sz w:val="18"/>
                <w:szCs w:val="18"/>
              </w:rPr>
              <w:t>Skrzynki żeliwne wpustów deszczowych. Wymagania i badania</w:t>
            </w:r>
          </w:p>
        </w:tc>
      </w:tr>
      <w:tr w:rsidR="006947FD" w:rsidRPr="00A23FB4" w14:paraId="2F6CA960" w14:textId="77777777" w:rsidTr="006947FD">
        <w:tc>
          <w:tcPr>
            <w:tcW w:w="2480" w:type="dxa"/>
          </w:tcPr>
          <w:p w14:paraId="0E8FC593" w14:textId="77777777" w:rsidR="006947FD" w:rsidRPr="00067D67" w:rsidRDefault="006947FD" w:rsidP="006947FD">
            <w:pPr>
              <w:pStyle w:val="StylIwony"/>
              <w:snapToGrid w:val="0"/>
              <w:spacing w:before="0" w:after="0"/>
              <w:rPr>
                <w:rFonts w:asciiTheme="minorHAnsi" w:hAnsiTheme="minorHAnsi" w:cstheme="minorHAnsi"/>
                <w:sz w:val="18"/>
                <w:szCs w:val="18"/>
              </w:rPr>
            </w:pPr>
            <w:r w:rsidRPr="00067D67">
              <w:rPr>
                <w:rFonts w:asciiTheme="minorHAnsi" w:hAnsiTheme="minorHAnsi" w:cstheme="minorHAnsi"/>
                <w:sz w:val="18"/>
                <w:szCs w:val="18"/>
              </w:rPr>
              <w:t>13.    PN-H-74080-04</w:t>
            </w:r>
          </w:p>
        </w:tc>
        <w:tc>
          <w:tcPr>
            <w:tcW w:w="7371" w:type="dxa"/>
          </w:tcPr>
          <w:p w14:paraId="3C9B5DDD" w14:textId="77777777" w:rsidR="006947FD" w:rsidRPr="00067D67" w:rsidRDefault="006947FD" w:rsidP="006947FD">
            <w:pPr>
              <w:pStyle w:val="StylIwony"/>
              <w:snapToGrid w:val="0"/>
              <w:spacing w:before="0" w:after="0"/>
              <w:rPr>
                <w:rFonts w:asciiTheme="minorHAnsi" w:hAnsiTheme="minorHAnsi" w:cstheme="minorHAnsi"/>
                <w:sz w:val="18"/>
                <w:szCs w:val="18"/>
              </w:rPr>
            </w:pPr>
            <w:r w:rsidRPr="00067D67">
              <w:rPr>
                <w:rFonts w:asciiTheme="minorHAnsi" w:hAnsiTheme="minorHAnsi" w:cstheme="minorHAnsi"/>
                <w:sz w:val="18"/>
                <w:szCs w:val="18"/>
              </w:rPr>
              <w:t>Skrzynki żeliwne wpustów deszczowych. Klasa C</w:t>
            </w:r>
          </w:p>
        </w:tc>
      </w:tr>
      <w:tr w:rsidR="006947FD" w:rsidRPr="00A23FB4" w14:paraId="520EB0F3" w14:textId="77777777" w:rsidTr="006947FD">
        <w:tc>
          <w:tcPr>
            <w:tcW w:w="2480" w:type="dxa"/>
          </w:tcPr>
          <w:p w14:paraId="76AA834A" w14:textId="77777777" w:rsidR="006947FD" w:rsidRPr="00067D67" w:rsidRDefault="006947FD" w:rsidP="006947FD">
            <w:pPr>
              <w:pStyle w:val="StylIwony"/>
              <w:snapToGrid w:val="0"/>
              <w:spacing w:before="0" w:after="0"/>
              <w:rPr>
                <w:rFonts w:asciiTheme="minorHAnsi" w:hAnsiTheme="minorHAnsi" w:cstheme="minorHAnsi"/>
                <w:sz w:val="18"/>
                <w:szCs w:val="18"/>
              </w:rPr>
            </w:pPr>
            <w:r w:rsidRPr="00067D67">
              <w:rPr>
                <w:rFonts w:asciiTheme="minorHAnsi" w:hAnsiTheme="minorHAnsi" w:cstheme="minorHAnsi"/>
                <w:sz w:val="18"/>
                <w:szCs w:val="18"/>
              </w:rPr>
              <w:t>14.    PN-H-74086</w:t>
            </w:r>
          </w:p>
        </w:tc>
        <w:tc>
          <w:tcPr>
            <w:tcW w:w="7371" w:type="dxa"/>
          </w:tcPr>
          <w:p w14:paraId="067BAFAA" w14:textId="77777777" w:rsidR="006947FD" w:rsidRPr="00067D67" w:rsidRDefault="006947FD" w:rsidP="006947FD">
            <w:pPr>
              <w:pStyle w:val="StylIwony"/>
              <w:snapToGrid w:val="0"/>
              <w:spacing w:before="0" w:after="0"/>
              <w:rPr>
                <w:rFonts w:asciiTheme="minorHAnsi" w:hAnsiTheme="minorHAnsi" w:cstheme="minorHAnsi"/>
                <w:sz w:val="18"/>
                <w:szCs w:val="18"/>
              </w:rPr>
            </w:pPr>
            <w:r w:rsidRPr="00067D67">
              <w:rPr>
                <w:rFonts w:asciiTheme="minorHAnsi" w:hAnsiTheme="minorHAnsi" w:cstheme="minorHAnsi"/>
                <w:sz w:val="18"/>
                <w:szCs w:val="18"/>
              </w:rPr>
              <w:t>Stopnie żeliwne do studzienek kontrolnych</w:t>
            </w:r>
          </w:p>
        </w:tc>
      </w:tr>
      <w:tr w:rsidR="006947FD" w:rsidRPr="00A23FB4" w14:paraId="1749F369" w14:textId="77777777" w:rsidTr="006947FD">
        <w:tc>
          <w:tcPr>
            <w:tcW w:w="2480" w:type="dxa"/>
          </w:tcPr>
          <w:p w14:paraId="18A729DB" w14:textId="77777777" w:rsidR="006947FD" w:rsidRPr="00067D67" w:rsidRDefault="006947FD" w:rsidP="006947FD">
            <w:pPr>
              <w:pStyle w:val="StylIwony"/>
              <w:snapToGrid w:val="0"/>
              <w:spacing w:before="0" w:after="0"/>
              <w:rPr>
                <w:rFonts w:asciiTheme="minorHAnsi" w:hAnsiTheme="minorHAnsi" w:cstheme="minorHAnsi"/>
                <w:sz w:val="18"/>
                <w:szCs w:val="18"/>
              </w:rPr>
            </w:pPr>
            <w:r w:rsidRPr="00067D67">
              <w:rPr>
                <w:rFonts w:asciiTheme="minorHAnsi" w:hAnsiTheme="minorHAnsi" w:cstheme="minorHAnsi"/>
                <w:sz w:val="18"/>
                <w:szCs w:val="18"/>
              </w:rPr>
              <w:t>15.    PN-H-74101</w:t>
            </w:r>
          </w:p>
        </w:tc>
        <w:tc>
          <w:tcPr>
            <w:tcW w:w="7371" w:type="dxa"/>
          </w:tcPr>
          <w:p w14:paraId="5FFD6649" w14:textId="77777777" w:rsidR="006947FD" w:rsidRPr="00067D67" w:rsidRDefault="006947FD" w:rsidP="006947FD">
            <w:pPr>
              <w:pStyle w:val="StylIwony"/>
              <w:snapToGrid w:val="0"/>
              <w:spacing w:before="0" w:after="0"/>
              <w:rPr>
                <w:rFonts w:asciiTheme="minorHAnsi" w:hAnsiTheme="minorHAnsi" w:cstheme="minorHAnsi"/>
                <w:sz w:val="18"/>
                <w:szCs w:val="18"/>
              </w:rPr>
            </w:pPr>
            <w:r w:rsidRPr="00067D67">
              <w:rPr>
                <w:rFonts w:asciiTheme="minorHAnsi" w:hAnsiTheme="minorHAnsi" w:cstheme="minorHAnsi"/>
                <w:sz w:val="18"/>
                <w:szCs w:val="18"/>
              </w:rPr>
              <w:t>Żeliwne rury ciśnieniowe do połączeń sztywnych</w:t>
            </w:r>
          </w:p>
        </w:tc>
      </w:tr>
      <w:tr w:rsidR="006947FD" w:rsidRPr="00A23FB4" w14:paraId="46176E98" w14:textId="77777777" w:rsidTr="006947FD">
        <w:tc>
          <w:tcPr>
            <w:tcW w:w="2480" w:type="dxa"/>
          </w:tcPr>
          <w:p w14:paraId="0B0BC469" w14:textId="77777777" w:rsidR="006947FD" w:rsidRPr="00067D67" w:rsidRDefault="006947FD" w:rsidP="006947FD">
            <w:pPr>
              <w:pStyle w:val="StylIwony"/>
              <w:snapToGrid w:val="0"/>
              <w:spacing w:before="0" w:after="0"/>
              <w:rPr>
                <w:rFonts w:asciiTheme="minorHAnsi" w:hAnsiTheme="minorHAnsi" w:cstheme="minorHAnsi"/>
                <w:sz w:val="18"/>
                <w:szCs w:val="18"/>
              </w:rPr>
            </w:pPr>
            <w:r w:rsidRPr="00067D67">
              <w:rPr>
                <w:rFonts w:asciiTheme="minorHAnsi" w:hAnsiTheme="minorHAnsi" w:cstheme="minorHAnsi"/>
                <w:sz w:val="18"/>
                <w:szCs w:val="18"/>
              </w:rPr>
              <w:t>16.    BN-88/6731-08</w:t>
            </w:r>
          </w:p>
        </w:tc>
        <w:tc>
          <w:tcPr>
            <w:tcW w:w="7371" w:type="dxa"/>
          </w:tcPr>
          <w:p w14:paraId="5D7AABA3" w14:textId="77777777" w:rsidR="006947FD" w:rsidRPr="00067D67" w:rsidRDefault="006947FD" w:rsidP="006947FD">
            <w:pPr>
              <w:pStyle w:val="StylIwony"/>
              <w:snapToGrid w:val="0"/>
              <w:spacing w:before="0" w:after="0"/>
              <w:rPr>
                <w:rFonts w:asciiTheme="minorHAnsi" w:hAnsiTheme="minorHAnsi" w:cstheme="minorHAnsi"/>
                <w:sz w:val="18"/>
                <w:szCs w:val="18"/>
              </w:rPr>
            </w:pPr>
            <w:r w:rsidRPr="00067D67">
              <w:rPr>
                <w:rFonts w:asciiTheme="minorHAnsi" w:hAnsiTheme="minorHAnsi" w:cstheme="minorHAnsi"/>
                <w:sz w:val="18"/>
                <w:szCs w:val="18"/>
              </w:rPr>
              <w:t>Cement. Transport i przechowywanie</w:t>
            </w:r>
          </w:p>
        </w:tc>
      </w:tr>
      <w:tr w:rsidR="006947FD" w:rsidRPr="00A23FB4" w14:paraId="39E2E0FD" w14:textId="77777777" w:rsidTr="006947FD">
        <w:tc>
          <w:tcPr>
            <w:tcW w:w="2480" w:type="dxa"/>
          </w:tcPr>
          <w:p w14:paraId="0BFAAA05" w14:textId="77777777" w:rsidR="006947FD" w:rsidRPr="00067D67" w:rsidRDefault="006947FD" w:rsidP="006947FD">
            <w:pPr>
              <w:pStyle w:val="StylIwony"/>
              <w:snapToGrid w:val="0"/>
              <w:spacing w:before="0" w:after="0"/>
              <w:rPr>
                <w:rFonts w:asciiTheme="minorHAnsi" w:hAnsiTheme="minorHAnsi" w:cstheme="minorHAnsi"/>
                <w:sz w:val="18"/>
                <w:szCs w:val="18"/>
              </w:rPr>
            </w:pPr>
            <w:r w:rsidRPr="00067D67">
              <w:rPr>
                <w:rFonts w:asciiTheme="minorHAnsi" w:hAnsiTheme="minorHAnsi" w:cstheme="minorHAnsi"/>
                <w:sz w:val="18"/>
                <w:szCs w:val="18"/>
              </w:rPr>
              <w:t xml:space="preserve">17.    BN-62/6738-03,04, 07        </w:t>
            </w:r>
          </w:p>
        </w:tc>
        <w:tc>
          <w:tcPr>
            <w:tcW w:w="7371" w:type="dxa"/>
          </w:tcPr>
          <w:p w14:paraId="2A592B67" w14:textId="77777777" w:rsidR="006947FD" w:rsidRPr="00067D67" w:rsidRDefault="006947FD" w:rsidP="006947FD">
            <w:pPr>
              <w:pStyle w:val="StylIwony"/>
              <w:snapToGrid w:val="0"/>
              <w:spacing w:before="0" w:after="0"/>
              <w:rPr>
                <w:rFonts w:asciiTheme="minorHAnsi" w:hAnsiTheme="minorHAnsi" w:cstheme="minorHAnsi"/>
                <w:sz w:val="18"/>
                <w:szCs w:val="18"/>
              </w:rPr>
            </w:pPr>
            <w:r w:rsidRPr="00067D67">
              <w:rPr>
                <w:rFonts w:asciiTheme="minorHAnsi" w:hAnsiTheme="minorHAnsi" w:cstheme="minorHAnsi"/>
                <w:sz w:val="18"/>
                <w:szCs w:val="18"/>
              </w:rPr>
              <w:t>Beton hydrotechniczny</w:t>
            </w:r>
          </w:p>
        </w:tc>
      </w:tr>
      <w:tr w:rsidR="006947FD" w:rsidRPr="00A23FB4" w14:paraId="038AF13A" w14:textId="77777777" w:rsidTr="006947FD">
        <w:tc>
          <w:tcPr>
            <w:tcW w:w="2480" w:type="dxa"/>
          </w:tcPr>
          <w:p w14:paraId="4FDE2A31" w14:textId="77777777" w:rsidR="006947FD" w:rsidRPr="00067D67" w:rsidRDefault="006947FD" w:rsidP="006947FD">
            <w:pPr>
              <w:pStyle w:val="StylIwony"/>
              <w:snapToGrid w:val="0"/>
              <w:spacing w:before="0" w:after="0"/>
              <w:rPr>
                <w:rFonts w:asciiTheme="minorHAnsi" w:hAnsiTheme="minorHAnsi" w:cstheme="minorHAnsi"/>
                <w:sz w:val="18"/>
                <w:szCs w:val="18"/>
              </w:rPr>
            </w:pPr>
            <w:r w:rsidRPr="00067D67">
              <w:rPr>
                <w:rFonts w:asciiTheme="minorHAnsi" w:hAnsiTheme="minorHAnsi" w:cstheme="minorHAnsi"/>
                <w:sz w:val="18"/>
                <w:szCs w:val="18"/>
              </w:rPr>
              <w:t>18.    PN-EN 1401-1:2009</w:t>
            </w:r>
          </w:p>
        </w:tc>
        <w:tc>
          <w:tcPr>
            <w:tcW w:w="7371" w:type="dxa"/>
          </w:tcPr>
          <w:p w14:paraId="1905834D" w14:textId="77777777" w:rsidR="006947FD" w:rsidRPr="00067D67" w:rsidRDefault="006947FD" w:rsidP="006947FD">
            <w:pPr>
              <w:pStyle w:val="StylIwony"/>
              <w:snapToGrid w:val="0"/>
              <w:spacing w:before="0" w:after="0"/>
              <w:rPr>
                <w:rFonts w:asciiTheme="minorHAnsi" w:hAnsiTheme="minorHAnsi" w:cstheme="minorHAnsi"/>
                <w:sz w:val="18"/>
                <w:szCs w:val="18"/>
              </w:rPr>
            </w:pPr>
            <w:r w:rsidRPr="00067D67">
              <w:rPr>
                <w:rFonts w:asciiTheme="minorHAnsi" w:hAnsiTheme="minorHAnsi" w:cstheme="minorHAnsi"/>
                <w:sz w:val="18"/>
                <w:szCs w:val="18"/>
              </w:rPr>
              <w:t>Systemy przewodów rurowych z tworzyw sztucznych do bezciśnieniowej i podziemnej kanalizacji deszczowej i sanitarnej – Nieplastyfikowany polichlorek winylu (PVC-U)</w:t>
            </w:r>
          </w:p>
        </w:tc>
      </w:tr>
      <w:tr w:rsidR="006947FD" w:rsidRPr="00A23FB4" w14:paraId="4F1E87B5" w14:textId="77777777" w:rsidTr="006947FD">
        <w:tc>
          <w:tcPr>
            <w:tcW w:w="2480" w:type="dxa"/>
          </w:tcPr>
          <w:p w14:paraId="0454DFCB" w14:textId="77777777" w:rsidR="006947FD" w:rsidRPr="00067D67" w:rsidRDefault="006947FD" w:rsidP="006947FD">
            <w:pPr>
              <w:pStyle w:val="StylIwony"/>
              <w:snapToGrid w:val="0"/>
              <w:spacing w:before="0" w:after="0"/>
              <w:rPr>
                <w:rFonts w:asciiTheme="minorHAnsi" w:hAnsiTheme="minorHAnsi" w:cstheme="minorHAnsi"/>
                <w:sz w:val="18"/>
                <w:szCs w:val="18"/>
              </w:rPr>
            </w:pPr>
            <w:r w:rsidRPr="00067D67">
              <w:rPr>
                <w:rFonts w:asciiTheme="minorHAnsi" w:hAnsiTheme="minorHAnsi" w:cstheme="minorHAnsi"/>
                <w:sz w:val="18"/>
                <w:szCs w:val="18"/>
              </w:rPr>
              <w:t>19.    BN-86/8971-06.02</w:t>
            </w:r>
          </w:p>
        </w:tc>
        <w:tc>
          <w:tcPr>
            <w:tcW w:w="7371" w:type="dxa"/>
          </w:tcPr>
          <w:p w14:paraId="471A182E" w14:textId="77777777" w:rsidR="006947FD" w:rsidRPr="00067D67" w:rsidRDefault="006947FD" w:rsidP="006947FD">
            <w:pPr>
              <w:pStyle w:val="StylIwony"/>
              <w:snapToGrid w:val="0"/>
              <w:spacing w:before="0" w:after="0"/>
              <w:rPr>
                <w:rFonts w:asciiTheme="minorHAnsi" w:hAnsiTheme="minorHAnsi" w:cstheme="minorHAnsi"/>
                <w:sz w:val="18"/>
                <w:szCs w:val="18"/>
              </w:rPr>
            </w:pPr>
            <w:r w:rsidRPr="00067D67">
              <w:rPr>
                <w:rFonts w:asciiTheme="minorHAnsi" w:hAnsiTheme="minorHAnsi" w:cstheme="minorHAnsi"/>
                <w:sz w:val="18"/>
                <w:szCs w:val="18"/>
              </w:rPr>
              <w:t>Rury bezciśnieniowe. Rury betonowe i żelbetowe</w:t>
            </w:r>
          </w:p>
        </w:tc>
      </w:tr>
      <w:tr w:rsidR="006947FD" w:rsidRPr="00A23FB4" w14:paraId="37E67A50" w14:textId="77777777" w:rsidTr="006947FD">
        <w:tc>
          <w:tcPr>
            <w:tcW w:w="2480" w:type="dxa"/>
          </w:tcPr>
          <w:p w14:paraId="61491347" w14:textId="77777777" w:rsidR="006947FD" w:rsidRPr="00067D67" w:rsidRDefault="006947FD" w:rsidP="006947FD">
            <w:pPr>
              <w:pStyle w:val="StylIwony"/>
              <w:snapToGrid w:val="0"/>
              <w:spacing w:before="0" w:after="0"/>
              <w:rPr>
                <w:rFonts w:asciiTheme="minorHAnsi" w:hAnsiTheme="minorHAnsi" w:cstheme="minorHAnsi"/>
                <w:sz w:val="18"/>
                <w:szCs w:val="18"/>
              </w:rPr>
            </w:pPr>
            <w:r w:rsidRPr="00067D67">
              <w:rPr>
                <w:rFonts w:asciiTheme="minorHAnsi" w:hAnsiTheme="minorHAnsi" w:cstheme="minorHAnsi"/>
                <w:sz w:val="18"/>
                <w:szCs w:val="18"/>
              </w:rPr>
              <w:t>20.    BN-86/8971-08</w:t>
            </w:r>
          </w:p>
        </w:tc>
        <w:tc>
          <w:tcPr>
            <w:tcW w:w="7371" w:type="dxa"/>
          </w:tcPr>
          <w:p w14:paraId="4B75738B" w14:textId="77777777" w:rsidR="006947FD" w:rsidRPr="00067D67" w:rsidRDefault="006947FD" w:rsidP="006947FD">
            <w:pPr>
              <w:pStyle w:val="StylIwony"/>
              <w:snapToGrid w:val="0"/>
              <w:spacing w:before="0" w:after="0"/>
              <w:rPr>
                <w:rFonts w:asciiTheme="minorHAnsi" w:hAnsiTheme="minorHAnsi" w:cstheme="minorHAnsi"/>
                <w:sz w:val="18"/>
                <w:szCs w:val="18"/>
              </w:rPr>
            </w:pPr>
            <w:r w:rsidRPr="00067D67">
              <w:rPr>
                <w:rFonts w:asciiTheme="minorHAnsi" w:hAnsiTheme="minorHAnsi" w:cstheme="minorHAnsi"/>
                <w:sz w:val="18"/>
                <w:szCs w:val="18"/>
              </w:rPr>
              <w:t>Prefabrykaty budowlane z betonu. Kręgi betonowe i żelbetowe.</w:t>
            </w:r>
          </w:p>
          <w:p w14:paraId="73DE72C9" w14:textId="77777777" w:rsidR="007B4325" w:rsidRPr="00067D67" w:rsidRDefault="007B4325" w:rsidP="006947FD">
            <w:pPr>
              <w:pStyle w:val="StylIwony"/>
              <w:snapToGrid w:val="0"/>
              <w:spacing w:before="0" w:after="0"/>
              <w:rPr>
                <w:rFonts w:asciiTheme="minorHAnsi" w:hAnsiTheme="minorHAnsi" w:cstheme="minorHAnsi"/>
                <w:sz w:val="18"/>
                <w:szCs w:val="18"/>
              </w:rPr>
            </w:pPr>
          </w:p>
        </w:tc>
      </w:tr>
    </w:tbl>
    <w:p w14:paraId="1FEF1B1E" w14:textId="77777777" w:rsidR="006947FD" w:rsidRPr="00A23FB4" w:rsidRDefault="006947FD" w:rsidP="005C45EE">
      <w:pPr>
        <w:rPr>
          <w:rFonts w:asciiTheme="minorHAnsi" w:hAnsiTheme="minorHAnsi" w:cstheme="minorHAnsi"/>
          <w:b/>
        </w:rPr>
      </w:pPr>
      <w:bookmarkStart w:id="514" w:name="_Toc358023998"/>
      <w:bookmarkStart w:id="515" w:name="_Toc358024413"/>
      <w:bookmarkStart w:id="516" w:name="_Toc358024828"/>
      <w:r w:rsidRPr="00A23FB4">
        <w:rPr>
          <w:rFonts w:asciiTheme="minorHAnsi" w:hAnsiTheme="minorHAnsi" w:cstheme="minorHAnsi"/>
          <w:b/>
        </w:rPr>
        <w:t>10.2. Inne dokumenty</w:t>
      </w:r>
      <w:bookmarkEnd w:id="514"/>
      <w:bookmarkEnd w:id="515"/>
      <w:bookmarkEnd w:id="516"/>
    </w:p>
    <w:tbl>
      <w:tblPr>
        <w:tblW w:w="0" w:type="auto"/>
        <w:tblInd w:w="2" w:type="dxa"/>
        <w:tblLayout w:type="fixed"/>
        <w:tblCellMar>
          <w:left w:w="70" w:type="dxa"/>
          <w:right w:w="70" w:type="dxa"/>
        </w:tblCellMar>
        <w:tblLook w:val="0000" w:firstRow="0" w:lastRow="0" w:firstColumn="0" w:lastColumn="0" w:noHBand="0" w:noVBand="0"/>
      </w:tblPr>
      <w:tblGrid>
        <w:gridCol w:w="496"/>
        <w:gridCol w:w="9355"/>
      </w:tblGrid>
      <w:tr w:rsidR="006947FD" w:rsidRPr="00A23FB4" w14:paraId="7958DACD" w14:textId="77777777" w:rsidTr="006947FD">
        <w:tc>
          <w:tcPr>
            <w:tcW w:w="496" w:type="dxa"/>
          </w:tcPr>
          <w:p w14:paraId="32F00F63" w14:textId="77777777" w:rsidR="006947FD" w:rsidRPr="00A23FB4" w:rsidRDefault="006947FD" w:rsidP="006947FD">
            <w:pPr>
              <w:pStyle w:val="StylIwony"/>
              <w:snapToGrid w:val="0"/>
              <w:spacing w:before="0" w:after="0"/>
              <w:rPr>
                <w:rFonts w:asciiTheme="minorHAnsi" w:hAnsiTheme="minorHAnsi" w:cstheme="minorHAnsi"/>
                <w:sz w:val="20"/>
                <w:szCs w:val="20"/>
              </w:rPr>
            </w:pPr>
            <w:r w:rsidRPr="00A23FB4">
              <w:rPr>
                <w:rFonts w:asciiTheme="minorHAnsi" w:hAnsiTheme="minorHAnsi" w:cstheme="minorHAnsi"/>
                <w:sz w:val="20"/>
                <w:szCs w:val="20"/>
              </w:rPr>
              <w:t>21.</w:t>
            </w:r>
          </w:p>
        </w:tc>
        <w:tc>
          <w:tcPr>
            <w:tcW w:w="9355" w:type="dxa"/>
          </w:tcPr>
          <w:p w14:paraId="3E8B195D" w14:textId="77777777" w:rsidR="006947FD" w:rsidRPr="00067D67" w:rsidRDefault="006947FD" w:rsidP="006947FD">
            <w:pPr>
              <w:pStyle w:val="StylIwony"/>
              <w:snapToGrid w:val="0"/>
              <w:spacing w:before="0" w:after="0"/>
              <w:rPr>
                <w:rFonts w:asciiTheme="minorHAnsi" w:hAnsiTheme="minorHAnsi" w:cstheme="minorHAnsi"/>
                <w:sz w:val="18"/>
                <w:szCs w:val="18"/>
              </w:rPr>
            </w:pPr>
            <w:r w:rsidRPr="00067D67">
              <w:rPr>
                <w:rFonts w:asciiTheme="minorHAnsi" w:hAnsiTheme="minorHAnsi" w:cstheme="minorHAnsi"/>
                <w:sz w:val="18"/>
                <w:szCs w:val="18"/>
              </w:rPr>
              <w:t>Instrukcja zabezpieczania przed korozją konstrukcji betonowych opracowana przez Instytut Techniki Budowlanej - Warszawa 1986 r.</w:t>
            </w:r>
          </w:p>
        </w:tc>
      </w:tr>
      <w:tr w:rsidR="006947FD" w:rsidRPr="00A23FB4" w14:paraId="75D22A97" w14:textId="77777777" w:rsidTr="006947FD">
        <w:tc>
          <w:tcPr>
            <w:tcW w:w="496" w:type="dxa"/>
          </w:tcPr>
          <w:p w14:paraId="60CED864" w14:textId="77777777" w:rsidR="006947FD" w:rsidRPr="00A23FB4" w:rsidRDefault="006947FD" w:rsidP="006947FD">
            <w:pPr>
              <w:pStyle w:val="StylIwony"/>
              <w:snapToGrid w:val="0"/>
              <w:spacing w:before="0" w:after="0"/>
              <w:rPr>
                <w:rFonts w:asciiTheme="minorHAnsi" w:hAnsiTheme="minorHAnsi" w:cstheme="minorHAnsi"/>
                <w:sz w:val="20"/>
                <w:szCs w:val="20"/>
              </w:rPr>
            </w:pPr>
            <w:r w:rsidRPr="00A23FB4">
              <w:rPr>
                <w:rFonts w:asciiTheme="minorHAnsi" w:hAnsiTheme="minorHAnsi" w:cstheme="minorHAnsi"/>
                <w:sz w:val="20"/>
                <w:szCs w:val="20"/>
              </w:rPr>
              <w:t>22.</w:t>
            </w:r>
          </w:p>
        </w:tc>
        <w:tc>
          <w:tcPr>
            <w:tcW w:w="9355" w:type="dxa"/>
          </w:tcPr>
          <w:p w14:paraId="7A506026" w14:textId="77777777" w:rsidR="006947FD" w:rsidRPr="00067D67" w:rsidRDefault="006947FD" w:rsidP="006947FD">
            <w:pPr>
              <w:pStyle w:val="StylIwony"/>
              <w:snapToGrid w:val="0"/>
              <w:spacing w:before="0" w:after="0"/>
              <w:rPr>
                <w:rFonts w:asciiTheme="minorHAnsi" w:hAnsiTheme="minorHAnsi" w:cstheme="minorHAnsi"/>
                <w:sz w:val="18"/>
                <w:szCs w:val="18"/>
              </w:rPr>
            </w:pPr>
            <w:r w:rsidRPr="00067D67">
              <w:rPr>
                <w:rFonts w:asciiTheme="minorHAnsi" w:hAnsiTheme="minorHAnsi" w:cstheme="minorHAnsi"/>
                <w:sz w:val="18"/>
                <w:szCs w:val="18"/>
              </w:rPr>
              <w:t>Katalog budownictwa</w:t>
            </w:r>
          </w:p>
          <w:p w14:paraId="78857A40" w14:textId="77777777" w:rsidR="006947FD" w:rsidRPr="00067D67" w:rsidRDefault="006947FD" w:rsidP="006947FD">
            <w:pPr>
              <w:pStyle w:val="StylIwony"/>
              <w:spacing w:before="0" w:after="0"/>
              <w:rPr>
                <w:rFonts w:asciiTheme="minorHAnsi" w:hAnsiTheme="minorHAnsi" w:cstheme="minorHAnsi"/>
                <w:sz w:val="18"/>
                <w:szCs w:val="18"/>
              </w:rPr>
            </w:pPr>
            <w:r w:rsidRPr="00067D67">
              <w:rPr>
                <w:rFonts w:asciiTheme="minorHAnsi" w:hAnsiTheme="minorHAnsi" w:cstheme="minorHAnsi"/>
                <w:sz w:val="18"/>
                <w:szCs w:val="18"/>
              </w:rPr>
              <w:t>KB4-4.12.1.(6)     Studzienki połączeniowe (lipiec 1980)</w:t>
            </w:r>
          </w:p>
          <w:p w14:paraId="33AFF18C" w14:textId="77777777" w:rsidR="006947FD" w:rsidRPr="00067D67" w:rsidRDefault="006947FD" w:rsidP="006947FD">
            <w:pPr>
              <w:pStyle w:val="StylIwony"/>
              <w:spacing w:before="0" w:after="0"/>
              <w:rPr>
                <w:rFonts w:asciiTheme="minorHAnsi" w:hAnsiTheme="minorHAnsi" w:cstheme="minorHAnsi"/>
                <w:sz w:val="18"/>
                <w:szCs w:val="18"/>
              </w:rPr>
            </w:pPr>
            <w:r w:rsidRPr="00067D67">
              <w:rPr>
                <w:rFonts w:asciiTheme="minorHAnsi" w:hAnsiTheme="minorHAnsi" w:cstheme="minorHAnsi"/>
                <w:sz w:val="18"/>
                <w:szCs w:val="18"/>
              </w:rPr>
              <w:t>KB4-4.12.1.(7)     Studzienki przelotowe (lipiec 1980)</w:t>
            </w:r>
          </w:p>
          <w:p w14:paraId="7FD24AEB" w14:textId="77777777" w:rsidR="006947FD" w:rsidRPr="00067D67" w:rsidRDefault="006947FD" w:rsidP="006947FD">
            <w:pPr>
              <w:pStyle w:val="StylIwony"/>
              <w:spacing w:before="0" w:after="0"/>
              <w:rPr>
                <w:rFonts w:asciiTheme="minorHAnsi" w:hAnsiTheme="minorHAnsi" w:cstheme="minorHAnsi"/>
                <w:sz w:val="18"/>
                <w:szCs w:val="18"/>
              </w:rPr>
            </w:pPr>
            <w:r w:rsidRPr="00067D67">
              <w:rPr>
                <w:rFonts w:asciiTheme="minorHAnsi" w:hAnsiTheme="minorHAnsi" w:cstheme="minorHAnsi"/>
                <w:sz w:val="18"/>
                <w:szCs w:val="18"/>
              </w:rPr>
              <w:t>KB4-4.12.1.(8)     Studzienki spadowe (lipiec 1980)</w:t>
            </w:r>
          </w:p>
          <w:p w14:paraId="41910904" w14:textId="77777777" w:rsidR="006947FD" w:rsidRPr="00067D67" w:rsidRDefault="006947FD" w:rsidP="006947FD">
            <w:pPr>
              <w:pStyle w:val="StylIwony"/>
              <w:spacing w:before="0" w:after="0"/>
              <w:rPr>
                <w:rFonts w:asciiTheme="minorHAnsi" w:hAnsiTheme="minorHAnsi" w:cstheme="minorHAnsi"/>
                <w:sz w:val="18"/>
                <w:szCs w:val="18"/>
              </w:rPr>
            </w:pPr>
            <w:r w:rsidRPr="00067D67">
              <w:rPr>
                <w:rFonts w:asciiTheme="minorHAnsi" w:hAnsiTheme="minorHAnsi" w:cstheme="minorHAnsi"/>
                <w:sz w:val="18"/>
                <w:szCs w:val="18"/>
              </w:rPr>
              <w:t>KB4-4.12.1.(11)   Studzienki ślepe (lipiec 1980)</w:t>
            </w:r>
          </w:p>
          <w:p w14:paraId="7413AACD" w14:textId="77777777" w:rsidR="006947FD" w:rsidRPr="00067D67" w:rsidRDefault="006947FD" w:rsidP="006947FD">
            <w:pPr>
              <w:pStyle w:val="StylIwony"/>
              <w:spacing w:before="0" w:after="0"/>
              <w:rPr>
                <w:rFonts w:asciiTheme="minorHAnsi" w:hAnsiTheme="minorHAnsi" w:cstheme="minorHAnsi"/>
                <w:sz w:val="18"/>
                <w:szCs w:val="18"/>
              </w:rPr>
            </w:pPr>
            <w:r w:rsidRPr="00067D67">
              <w:rPr>
                <w:rFonts w:asciiTheme="minorHAnsi" w:hAnsiTheme="minorHAnsi" w:cstheme="minorHAnsi"/>
                <w:sz w:val="18"/>
                <w:szCs w:val="18"/>
              </w:rPr>
              <w:t>KB4-3.3.1.10.(1)  Studzienki ściekowe do odwodnienia dróg (październik 1983)</w:t>
            </w:r>
          </w:p>
          <w:p w14:paraId="318C7E33" w14:textId="77777777" w:rsidR="006947FD" w:rsidRPr="00067D67" w:rsidRDefault="006947FD" w:rsidP="006947FD">
            <w:pPr>
              <w:pStyle w:val="StylIwony"/>
              <w:spacing w:before="0" w:after="0"/>
              <w:rPr>
                <w:rFonts w:asciiTheme="minorHAnsi" w:hAnsiTheme="minorHAnsi" w:cstheme="minorHAnsi"/>
                <w:sz w:val="18"/>
                <w:szCs w:val="18"/>
              </w:rPr>
            </w:pPr>
            <w:r w:rsidRPr="00067D67">
              <w:rPr>
                <w:rFonts w:asciiTheme="minorHAnsi" w:hAnsiTheme="minorHAnsi" w:cstheme="minorHAnsi"/>
                <w:sz w:val="18"/>
                <w:szCs w:val="18"/>
              </w:rPr>
              <w:t>KB1-22.2.6.(6)     Kręgi betonowe średnicy 50 cm; wysokości 30 lub  60 cm</w:t>
            </w:r>
          </w:p>
        </w:tc>
      </w:tr>
      <w:tr w:rsidR="006947FD" w:rsidRPr="00A23FB4" w14:paraId="3BA5FB6D" w14:textId="77777777" w:rsidTr="006947FD">
        <w:tc>
          <w:tcPr>
            <w:tcW w:w="496" w:type="dxa"/>
          </w:tcPr>
          <w:p w14:paraId="1AB8C850" w14:textId="77777777" w:rsidR="006947FD" w:rsidRPr="00A23FB4" w:rsidRDefault="006947FD" w:rsidP="006947FD">
            <w:pPr>
              <w:pStyle w:val="StylIwony"/>
              <w:snapToGrid w:val="0"/>
              <w:spacing w:before="0" w:after="0"/>
              <w:rPr>
                <w:rFonts w:asciiTheme="minorHAnsi" w:hAnsiTheme="minorHAnsi" w:cstheme="minorHAnsi"/>
                <w:sz w:val="20"/>
                <w:szCs w:val="20"/>
              </w:rPr>
            </w:pPr>
            <w:r w:rsidRPr="00A23FB4">
              <w:rPr>
                <w:rFonts w:asciiTheme="minorHAnsi" w:hAnsiTheme="minorHAnsi" w:cstheme="minorHAnsi"/>
                <w:sz w:val="20"/>
                <w:szCs w:val="20"/>
              </w:rPr>
              <w:t>23.</w:t>
            </w:r>
          </w:p>
        </w:tc>
        <w:tc>
          <w:tcPr>
            <w:tcW w:w="9355" w:type="dxa"/>
          </w:tcPr>
          <w:p w14:paraId="3DE95671" w14:textId="77777777" w:rsidR="006947FD" w:rsidRPr="00067D67" w:rsidRDefault="006947FD" w:rsidP="006947FD">
            <w:pPr>
              <w:pStyle w:val="StylIwony"/>
              <w:snapToGrid w:val="0"/>
              <w:spacing w:before="0" w:after="0"/>
              <w:rPr>
                <w:rFonts w:asciiTheme="minorHAnsi" w:hAnsiTheme="minorHAnsi" w:cstheme="minorHAnsi"/>
                <w:sz w:val="18"/>
                <w:szCs w:val="18"/>
              </w:rPr>
            </w:pPr>
            <w:r w:rsidRPr="00067D67">
              <w:rPr>
                <w:rFonts w:asciiTheme="minorHAnsi" w:hAnsiTheme="minorHAnsi" w:cstheme="minorHAnsi"/>
                <w:sz w:val="18"/>
                <w:szCs w:val="18"/>
              </w:rPr>
              <w:t>„Katalog powtarzalnych elementów drogowych”. „Transprojekt” - Warszawa,                1979-1982 r.</w:t>
            </w:r>
          </w:p>
        </w:tc>
      </w:tr>
      <w:tr w:rsidR="006947FD" w:rsidRPr="00A23FB4" w14:paraId="1B1D8F08" w14:textId="77777777" w:rsidTr="006947FD">
        <w:tc>
          <w:tcPr>
            <w:tcW w:w="496" w:type="dxa"/>
          </w:tcPr>
          <w:p w14:paraId="69AB5E49" w14:textId="77777777" w:rsidR="006947FD" w:rsidRPr="00A23FB4" w:rsidRDefault="006947FD" w:rsidP="006947FD">
            <w:pPr>
              <w:pStyle w:val="StylIwony"/>
              <w:snapToGrid w:val="0"/>
              <w:spacing w:before="0" w:after="0"/>
              <w:rPr>
                <w:rFonts w:asciiTheme="minorHAnsi" w:hAnsiTheme="minorHAnsi" w:cstheme="minorHAnsi"/>
                <w:sz w:val="20"/>
                <w:szCs w:val="20"/>
              </w:rPr>
            </w:pPr>
            <w:r w:rsidRPr="00A23FB4">
              <w:rPr>
                <w:rFonts w:asciiTheme="minorHAnsi" w:hAnsiTheme="minorHAnsi" w:cstheme="minorHAnsi"/>
                <w:sz w:val="20"/>
                <w:szCs w:val="20"/>
              </w:rPr>
              <w:t>24.</w:t>
            </w:r>
          </w:p>
        </w:tc>
        <w:tc>
          <w:tcPr>
            <w:tcW w:w="9355" w:type="dxa"/>
          </w:tcPr>
          <w:p w14:paraId="6E4D009E" w14:textId="77777777" w:rsidR="006947FD" w:rsidRPr="00067D67" w:rsidRDefault="006947FD" w:rsidP="006947FD">
            <w:pPr>
              <w:pStyle w:val="StylIwony"/>
              <w:snapToGrid w:val="0"/>
              <w:spacing w:before="0" w:after="0"/>
              <w:rPr>
                <w:rFonts w:asciiTheme="minorHAnsi" w:hAnsiTheme="minorHAnsi" w:cstheme="minorHAnsi"/>
                <w:sz w:val="18"/>
                <w:szCs w:val="18"/>
              </w:rPr>
            </w:pPr>
            <w:r w:rsidRPr="00067D67">
              <w:rPr>
                <w:rFonts w:asciiTheme="minorHAnsi" w:hAnsiTheme="minorHAnsi" w:cstheme="minorHAnsi"/>
                <w:sz w:val="18"/>
                <w:szCs w:val="18"/>
              </w:rPr>
              <w:t>Tymczasowa instrukcja projektowania i budowy przewodów kanalizacyjnych z rur „Wipro”, Centrum Techniki Komunalnej,  1978 r.</w:t>
            </w:r>
          </w:p>
        </w:tc>
      </w:tr>
      <w:tr w:rsidR="006947FD" w:rsidRPr="00A23FB4" w14:paraId="07F686C6" w14:textId="77777777" w:rsidTr="006947FD">
        <w:tc>
          <w:tcPr>
            <w:tcW w:w="496" w:type="dxa"/>
          </w:tcPr>
          <w:p w14:paraId="5804F375" w14:textId="77777777" w:rsidR="006947FD" w:rsidRPr="00A23FB4" w:rsidRDefault="006947FD" w:rsidP="006947FD">
            <w:pPr>
              <w:pStyle w:val="StylIwony"/>
              <w:snapToGrid w:val="0"/>
              <w:spacing w:before="0" w:after="0"/>
              <w:rPr>
                <w:rFonts w:asciiTheme="minorHAnsi" w:hAnsiTheme="minorHAnsi" w:cstheme="minorHAnsi"/>
                <w:sz w:val="20"/>
                <w:szCs w:val="20"/>
              </w:rPr>
            </w:pPr>
            <w:r w:rsidRPr="00A23FB4">
              <w:rPr>
                <w:rFonts w:asciiTheme="minorHAnsi" w:hAnsiTheme="minorHAnsi" w:cstheme="minorHAnsi"/>
                <w:sz w:val="20"/>
                <w:szCs w:val="20"/>
              </w:rPr>
              <w:t>25.</w:t>
            </w:r>
          </w:p>
        </w:tc>
        <w:tc>
          <w:tcPr>
            <w:tcW w:w="9355" w:type="dxa"/>
          </w:tcPr>
          <w:p w14:paraId="50FCA944" w14:textId="77777777" w:rsidR="006947FD" w:rsidRPr="00067D67" w:rsidRDefault="006947FD" w:rsidP="006947FD">
            <w:pPr>
              <w:pStyle w:val="StylIwony"/>
              <w:snapToGrid w:val="0"/>
              <w:spacing w:before="0" w:after="0"/>
              <w:rPr>
                <w:rFonts w:asciiTheme="minorHAnsi" w:hAnsiTheme="minorHAnsi" w:cstheme="minorHAnsi"/>
                <w:sz w:val="18"/>
                <w:szCs w:val="18"/>
              </w:rPr>
            </w:pPr>
            <w:r w:rsidRPr="00067D67">
              <w:rPr>
                <w:rFonts w:asciiTheme="minorHAnsi" w:hAnsiTheme="minorHAnsi" w:cstheme="minorHAnsi"/>
                <w:sz w:val="18"/>
                <w:szCs w:val="18"/>
              </w:rPr>
              <w:t>Wytyczne eksploatacyjne do projektowania sieci i urządzeń sieciowych, wodociągowych i kanalizacyjnych, BPC WiK „Cewok” i BPBBO Miastoprojekt- Warszawa, zaakceptowane i zalecone do stosowania przez Zespół Doradczy ds. procesu inwestycyjnego powołany przez Prezydenta m.st. Warszawy - sierpień 1984 r.</w:t>
            </w:r>
          </w:p>
        </w:tc>
      </w:tr>
    </w:tbl>
    <w:p w14:paraId="179D1114" w14:textId="77777777" w:rsidR="00B80411" w:rsidRPr="00A23FB4" w:rsidRDefault="00B80411" w:rsidP="00B80411">
      <w:pPr>
        <w:jc w:val="center"/>
        <w:rPr>
          <w:rFonts w:ascii="Calibri" w:hAnsi="Calibri" w:cs="Calibri"/>
          <w:b/>
          <w:sz w:val="22"/>
          <w:szCs w:val="22"/>
        </w:rPr>
      </w:pPr>
    </w:p>
    <w:p w14:paraId="7FA4FA1D" w14:textId="77777777" w:rsidR="00B80411" w:rsidRPr="00A23FB4" w:rsidRDefault="00B80411" w:rsidP="00B80411">
      <w:pPr>
        <w:jc w:val="center"/>
        <w:rPr>
          <w:rFonts w:ascii="Calibri" w:hAnsi="Calibri" w:cs="Calibri"/>
          <w:b/>
          <w:sz w:val="22"/>
          <w:szCs w:val="22"/>
        </w:rPr>
      </w:pPr>
    </w:p>
    <w:p w14:paraId="771C202B" w14:textId="77777777" w:rsidR="00B80411" w:rsidRPr="00A23FB4" w:rsidRDefault="00B80411" w:rsidP="00B80411">
      <w:pPr>
        <w:jc w:val="center"/>
        <w:rPr>
          <w:rFonts w:ascii="Calibri" w:hAnsi="Calibri" w:cs="Calibri"/>
          <w:b/>
          <w:sz w:val="22"/>
          <w:szCs w:val="22"/>
        </w:rPr>
      </w:pPr>
    </w:p>
    <w:p w14:paraId="0D0B18B8" w14:textId="77777777" w:rsidR="008A1139" w:rsidRPr="00A23FB4" w:rsidRDefault="008A1139" w:rsidP="00B80411">
      <w:pPr>
        <w:jc w:val="center"/>
        <w:rPr>
          <w:rFonts w:ascii="Calibri" w:hAnsi="Calibri" w:cs="Calibri"/>
          <w:b/>
          <w:sz w:val="22"/>
          <w:szCs w:val="22"/>
        </w:rPr>
      </w:pPr>
    </w:p>
    <w:p w14:paraId="7DC0117F" w14:textId="77777777" w:rsidR="008A1139" w:rsidRPr="00A23FB4" w:rsidRDefault="008A1139" w:rsidP="00B80411">
      <w:pPr>
        <w:jc w:val="center"/>
        <w:rPr>
          <w:rFonts w:ascii="Calibri" w:hAnsi="Calibri" w:cs="Calibri"/>
          <w:b/>
          <w:sz w:val="22"/>
          <w:szCs w:val="22"/>
        </w:rPr>
      </w:pPr>
    </w:p>
    <w:p w14:paraId="4C6C405A" w14:textId="77777777" w:rsidR="008A1139" w:rsidRPr="00A23FB4" w:rsidRDefault="008A1139" w:rsidP="00B80411">
      <w:pPr>
        <w:jc w:val="center"/>
        <w:rPr>
          <w:rFonts w:ascii="Calibri" w:hAnsi="Calibri" w:cs="Calibri"/>
          <w:b/>
          <w:sz w:val="22"/>
          <w:szCs w:val="22"/>
        </w:rPr>
      </w:pPr>
    </w:p>
    <w:p w14:paraId="6FEDA96A" w14:textId="77777777" w:rsidR="008A1139" w:rsidRPr="00A23FB4" w:rsidRDefault="008A1139" w:rsidP="00B80411">
      <w:pPr>
        <w:jc w:val="center"/>
        <w:rPr>
          <w:rFonts w:ascii="Calibri" w:hAnsi="Calibri" w:cs="Calibri"/>
          <w:b/>
          <w:sz w:val="22"/>
          <w:szCs w:val="22"/>
        </w:rPr>
      </w:pPr>
    </w:p>
    <w:p w14:paraId="0B8936DB" w14:textId="77777777" w:rsidR="008A1139" w:rsidRPr="00A23FB4" w:rsidRDefault="008A1139" w:rsidP="00B80411">
      <w:pPr>
        <w:jc w:val="center"/>
        <w:rPr>
          <w:rFonts w:ascii="Calibri" w:hAnsi="Calibri" w:cs="Calibri"/>
          <w:b/>
          <w:sz w:val="22"/>
          <w:szCs w:val="22"/>
        </w:rPr>
      </w:pPr>
    </w:p>
    <w:p w14:paraId="46643952" w14:textId="2D791D58" w:rsidR="00327255" w:rsidRPr="00A23FB4" w:rsidRDefault="006707A0" w:rsidP="00327255">
      <w:pPr>
        <w:jc w:val="center"/>
        <w:rPr>
          <w:rFonts w:asciiTheme="minorHAnsi" w:hAnsiTheme="minorHAnsi"/>
          <w:b/>
          <w:sz w:val="22"/>
          <w:szCs w:val="22"/>
        </w:rPr>
      </w:pPr>
      <w:r>
        <w:rPr>
          <w:rFonts w:ascii="Calibri" w:hAnsi="Calibri" w:cs="Calibri"/>
          <w:b/>
          <w:sz w:val="22"/>
          <w:szCs w:val="22"/>
        </w:rPr>
        <w:t>SZCZEGÓŁOWE SPECYFIKACJE TECHNICZNE</w:t>
      </w:r>
      <w:r w:rsidR="00327255" w:rsidRPr="00A23FB4">
        <w:rPr>
          <w:rFonts w:asciiTheme="minorHAnsi" w:hAnsiTheme="minorHAnsi"/>
          <w:b/>
          <w:sz w:val="22"/>
          <w:szCs w:val="22"/>
        </w:rPr>
        <w:t xml:space="preserve"> WYKONANIA I ODBIORU ROBÓT BUDOWLANYCH</w:t>
      </w:r>
    </w:p>
    <w:p w14:paraId="0DF7D2F0" w14:textId="77777777" w:rsidR="00327255" w:rsidRPr="00A23FB4" w:rsidRDefault="00327255" w:rsidP="00327255">
      <w:pPr>
        <w:pStyle w:val="Nagwek1"/>
        <w:rPr>
          <w:rFonts w:ascii="Calibri" w:hAnsi="Calibri" w:cs="Calibri"/>
          <w:sz w:val="22"/>
          <w:szCs w:val="22"/>
        </w:rPr>
      </w:pPr>
      <w:bookmarkStart w:id="517" w:name="_Toc294517352"/>
      <w:bookmarkStart w:id="518" w:name="_Toc296923130"/>
      <w:bookmarkStart w:id="519" w:name="_Toc363563872"/>
      <w:bookmarkStart w:id="520" w:name="_Toc429373867"/>
      <w:bookmarkStart w:id="521" w:name="_Toc460177637"/>
      <w:bookmarkStart w:id="522" w:name="_Toc460932211"/>
      <w:bookmarkStart w:id="523" w:name="_Toc86059883"/>
      <w:bookmarkStart w:id="524" w:name="_Toc206275479"/>
      <w:r w:rsidRPr="00A23FB4">
        <w:rPr>
          <w:rFonts w:ascii="Calibri" w:hAnsi="Calibri" w:cs="Calibri"/>
          <w:sz w:val="22"/>
          <w:szCs w:val="22"/>
        </w:rPr>
        <w:t>D-03.10.01 KANAŁ TECHNOLOGICZNY</w:t>
      </w:r>
      <w:bookmarkEnd w:id="517"/>
      <w:bookmarkEnd w:id="518"/>
      <w:bookmarkEnd w:id="519"/>
      <w:bookmarkEnd w:id="520"/>
      <w:bookmarkEnd w:id="521"/>
      <w:bookmarkEnd w:id="522"/>
      <w:bookmarkEnd w:id="523"/>
      <w:bookmarkEnd w:id="524"/>
    </w:p>
    <w:p w14:paraId="7763F3FC" w14:textId="77777777" w:rsidR="00327255" w:rsidRPr="00A23FB4" w:rsidRDefault="00327255" w:rsidP="00327255">
      <w:pPr>
        <w:rPr>
          <w:rFonts w:asciiTheme="minorHAnsi" w:hAnsiTheme="minorHAnsi"/>
        </w:rPr>
      </w:pPr>
    </w:p>
    <w:p w14:paraId="50941098" w14:textId="77777777" w:rsidR="00327255" w:rsidRPr="00A23FB4" w:rsidRDefault="00327255" w:rsidP="00327255">
      <w:pPr>
        <w:rPr>
          <w:rFonts w:asciiTheme="minorHAnsi" w:hAnsiTheme="minorHAnsi" w:cs="TimesNewRomanPSMT"/>
          <w:b/>
        </w:rPr>
      </w:pPr>
      <w:r w:rsidRPr="00A23FB4">
        <w:rPr>
          <w:rFonts w:asciiTheme="minorHAnsi" w:hAnsiTheme="minorHAnsi" w:cs="TimesNewRomanPSMT"/>
          <w:b/>
        </w:rPr>
        <w:t>1. WSTĘP</w:t>
      </w:r>
    </w:p>
    <w:p w14:paraId="5B4D6F68" w14:textId="77777777" w:rsidR="00327255" w:rsidRPr="00A23FB4" w:rsidRDefault="00327255" w:rsidP="00327255">
      <w:pPr>
        <w:rPr>
          <w:rFonts w:asciiTheme="minorHAnsi" w:hAnsiTheme="minorHAnsi" w:cs="TimesNewRomanPS-BoldMT"/>
          <w:b/>
          <w:bCs/>
        </w:rPr>
      </w:pPr>
    </w:p>
    <w:p w14:paraId="44B7E0F7" w14:textId="2AE41EB1" w:rsidR="00327255" w:rsidRPr="00A23FB4" w:rsidRDefault="00327255" w:rsidP="00262498">
      <w:pPr>
        <w:pStyle w:val="Akapitzlist"/>
        <w:numPr>
          <w:ilvl w:val="1"/>
          <w:numId w:val="202"/>
        </w:numPr>
        <w:overflowPunct/>
        <w:contextualSpacing/>
        <w:textAlignment w:val="auto"/>
        <w:rPr>
          <w:rFonts w:asciiTheme="minorHAnsi" w:hAnsiTheme="minorHAnsi" w:cs="TimesNewRomanPS-BoldMT"/>
          <w:b/>
          <w:bCs/>
        </w:rPr>
      </w:pPr>
      <w:r w:rsidRPr="00A23FB4">
        <w:rPr>
          <w:rFonts w:asciiTheme="minorHAnsi" w:hAnsiTheme="minorHAnsi" w:cs="TimesNewRomanPS-BoldMT"/>
          <w:b/>
          <w:bCs/>
        </w:rPr>
        <w:t xml:space="preserve">Przedmiot </w:t>
      </w:r>
      <w:r w:rsidR="00CB3C1C">
        <w:rPr>
          <w:rFonts w:asciiTheme="minorHAnsi" w:hAnsiTheme="minorHAnsi" w:cs="TimesNewRomanPS-BoldMT"/>
          <w:b/>
          <w:bCs/>
        </w:rPr>
        <w:t>Specyfikacji</w:t>
      </w:r>
      <w:r w:rsidRPr="00A23FB4">
        <w:rPr>
          <w:rFonts w:asciiTheme="minorHAnsi" w:hAnsiTheme="minorHAnsi" w:cs="TimesNewRomanPS-BoldMT"/>
          <w:b/>
          <w:bCs/>
        </w:rPr>
        <w:t xml:space="preserve">  (</w:t>
      </w:r>
      <w:r w:rsidR="00E019D3">
        <w:rPr>
          <w:rFonts w:ascii="Calibri" w:hAnsi="Calibri" w:cs="Calibri"/>
          <w:b/>
        </w:rPr>
        <w:t>ST</w:t>
      </w:r>
      <w:r w:rsidRPr="00A23FB4">
        <w:rPr>
          <w:rFonts w:ascii="Calibri" w:hAnsi="Calibri" w:cs="Calibri"/>
          <w:b/>
        </w:rPr>
        <w:t>WiORB)</w:t>
      </w:r>
    </w:p>
    <w:p w14:paraId="5D3E4B0E" w14:textId="5AAB96A7" w:rsidR="00327255" w:rsidRPr="00A23FB4" w:rsidRDefault="00327255" w:rsidP="00327255">
      <w:pPr>
        <w:rPr>
          <w:rFonts w:asciiTheme="minorHAnsi" w:hAnsiTheme="minorHAnsi" w:cs="TimesNewRomanPSMT"/>
        </w:rPr>
      </w:pPr>
      <w:r w:rsidRPr="00A23FB4">
        <w:rPr>
          <w:rFonts w:asciiTheme="minorHAnsi" w:hAnsiTheme="minorHAnsi" w:cs="TimesNewRomanPSMT"/>
        </w:rPr>
        <w:t>Przedmiotem niniejsz</w:t>
      </w:r>
      <w:r w:rsidR="007C04C0">
        <w:rPr>
          <w:rFonts w:asciiTheme="minorHAnsi" w:hAnsiTheme="minorHAnsi" w:cs="TimesNewRomanPSMT"/>
        </w:rPr>
        <w:t>ej</w:t>
      </w:r>
      <w:r w:rsidRPr="00A23FB4">
        <w:rPr>
          <w:rFonts w:asciiTheme="minorHAnsi" w:hAnsiTheme="minorHAnsi" w:cs="TimesNewRomanPSMT"/>
        </w:rPr>
        <w:t xml:space="preserve"> </w:t>
      </w:r>
      <w:r w:rsidR="006707A0">
        <w:rPr>
          <w:rFonts w:asciiTheme="minorHAnsi" w:hAnsiTheme="minorHAnsi" w:cs="TimesNewRomanPSMT"/>
        </w:rPr>
        <w:t>specyfikacji</w:t>
      </w:r>
      <w:r w:rsidRPr="00A23FB4">
        <w:rPr>
          <w:rFonts w:asciiTheme="minorHAnsi" w:hAnsiTheme="minorHAnsi" w:cs="TimesNewRomanPSMT"/>
        </w:rPr>
        <w:t xml:space="preserve"> są wymagania dotyczące wykonania i odbioru budowy kanału</w:t>
      </w:r>
      <w:r w:rsidR="007F4946" w:rsidRPr="00A23FB4">
        <w:rPr>
          <w:rFonts w:asciiTheme="minorHAnsi" w:hAnsiTheme="minorHAnsi" w:cs="TimesNewRomanPSMT"/>
        </w:rPr>
        <w:t xml:space="preserve"> </w:t>
      </w:r>
      <w:r w:rsidRPr="00A23FB4">
        <w:rPr>
          <w:rFonts w:asciiTheme="minorHAnsi" w:hAnsiTheme="minorHAnsi" w:cs="TimesNewRomanPSMT"/>
        </w:rPr>
        <w:t>technologicznego kablowego.</w:t>
      </w:r>
    </w:p>
    <w:p w14:paraId="39D2446F" w14:textId="77777777" w:rsidR="00327255" w:rsidRPr="00A23FB4" w:rsidRDefault="00327255" w:rsidP="00327255">
      <w:pPr>
        <w:rPr>
          <w:rFonts w:asciiTheme="minorHAnsi" w:hAnsiTheme="minorHAnsi" w:cs="TimesNewRomanPS-BoldMT"/>
          <w:b/>
          <w:bCs/>
        </w:rPr>
      </w:pPr>
    </w:p>
    <w:p w14:paraId="529822D3" w14:textId="07620C03" w:rsidR="00327255" w:rsidRPr="00A23FB4" w:rsidRDefault="00327255" w:rsidP="00262498">
      <w:pPr>
        <w:pStyle w:val="Akapitzlist"/>
        <w:numPr>
          <w:ilvl w:val="1"/>
          <w:numId w:val="202"/>
        </w:numPr>
        <w:overflowPunct/>
        <w:contextualSpacing/>
        <w:textAlignment w:val="auto"/>
        <w:rPr>
          <w:rFonts w:asciiTheme="minorHAnsi" w:hAnsiTheme="minorHAnsi" w:cs="TimesNewRomanPS-BoldMT"/>
          <w:b/>
          <w:bCs/>
        </w:rPr>
      </w:pPr>
      <w:r w:rsidRPr="00A23FB4">
        <w:rPr>
          <w:rFonts w:asciiTheme="minorHAnsi" w:hAnsiTheme="minorHAnsi" w:cs="TimesNewRomanPS-BoldMT"/>
          <w:b/>
          <w:bCs/>
        </w:rPr>
        <w:t xml:space="preserve">Zakres stosowania </w:t>
      </w:r>
      <w:r w:rsidR="00E019D3">
        <w:rPr>
          <w:rFonts w:ascii="Calibri" w:hAnsi="Calibri" w:cs="Calibri"/>
          <w:b/>
        </w:rPr>
        <w:t>ST</w:t>
      </w:r>
      <w:r w:rsidRPr="00A23FB4">
        <w:rPr>
          <w:rFonts w:ascii="Calibri" w:hAnsi="Calibri" w:cs="Calibri"/>
          <w:b/>
        </w:rPr>
        <w:t>WiORB</w:t>
      </w:r>
    </w:p>
    <w:p w14:paraId="317CE3F3" w14:textId="1D0F3215" w:rsidR="00327255" w:rsidRPr="00506838" w:rsidRDefault="00575C66" w:rsidP="00506838">
      <w:pPr>
        <w:overflowPunct/>
        <w:spacing w:before="240" w:line="276" w:lineRule="auto"/>
        <w:textAlignment w:val="auto"/>
        <w:rPr>
          <w:rFonts w:ascii="Calibri" w:hAnsi="Calibri" w:cs="Calibri"/>
        </w:rPr>
      </w:pPr>
      <w:r>
        <w:rPr>
          <w:rFonts w:ascii="Calibri" w:hAnsi="Calibri" w:cs="Calibri"/>
        </w:rPr>
        <w:t>Specyfikacj</w:t>
      </w:r>
      <w:r w:rsidR="007C04C0">
        <w:rPr>
          <w:rFonts w:ascii="Calibri" w:hAnsi="Calibri" w:cs="Calibri"/>
        </w:rPr>
        <w:t>a</w:t>
      </w:r>
      <w:r w:rsidRPr="00A23FB4">
        <w:rPr>
          <w:rFonts w:asciiTheme="minorHAnsi" w:hAnsiTheme="minorHAnsi" w:cs="Calibri"/>
        </w:rPr>
        <w:t xml:space="preserve"> </w:t>
      </w:r>
      <w:r w:rsidR="00327255" w:rsidRPr="00A23FB4">
        <w:rPr>
          <w:rFonts w:asciiTheme="minorHAnsi" w:hAnsiTheme="minorHAnsi" w:cs="Calibri"/>
        </w:rPr>
        <w:t xml:space="preserve">stanowi dokument kontraktowy przy realizacji  zadania </w:t>
      </w:r>
      <w:r w:rsidR="00506838">
        <w:rPr>
          <w:rFonts w:ascii="Calibri" w:hAnsi="Calibri" w:cs="Calibri"/>
        </w:rPr>
        <w:t>„</w:t>
      </w:r>
      <w:r w:rsidR="00E019D3" w:rsidRPr="00E019D3">
        <w:rPr>
          <w:rFonts w:ascii="Calibri" w:hAnsi="Calibri" w:cs="Calibri"/>
        </w:rPr>
        <w:t>Rozbudowa ul. Wrocławskiej w ciągu drogi powiatowej w Tyńcu Małym wraz z rozbudową istniejącego skrzyżowania typu rondo na połączeniu dróg krajowych nr 35 i 35a oraz łącznika węzła Kobierzyce drogi S8e oraz infrastrukturą towarzyszącą w ramach zadania „Rozbudowa skrzyżowania typu rondo w ciągu DK35 koło m. Tyniec Mały usprawniająca skomunikowanie obszarów Podstrefy Wrocław – Kobierzyce TSSE EURO PARK WISŁOSAN”.</w:t>
      </w:r>
    </w:p>
    <w:p w14:paraId="1F41BF51" w14:textId="77777777" w:rsidR="00327255" w:rsidRPr="00A23FB4" w:rsidRDefault="00327255" w:rsidP="00327255">
      <w:pPr>
        <w:rPr>
          <w:rFonts w:asciiTheme="minorHAnsi" w:hAnsiTheme="minorHAnsi" w:cs="TimesNewRomanPS-BoldMT"/>
          <w:b/>
          <w:bCs/>
        </w:rPr>
      </w:pPr>
    </w:p>
    <w:p w14:paraId="38553854" w14:textId="6245D01A" w:rsidR="00327255" w:rsidRPr="00A23FB4" w:rsidRDefault="00327255" w:rsidP="00262498">
      <w:pPr>
        <w:pStyle w:val="Akapitzlist"/>
        <w:numPr>
          <w:ilvl w:val="1"/>
          <w:numId w:val="202"/>
        </w:numPr>
        <w:overflowPunct/>
        <w:contextualSpacing/>
        <w:textAlignment w:val="auto"/>
        <w:rPr>
          <w:rFonts w:asciiTheme="minorHAnsi" w:hAnsiTheme="minorHAnsi" w:cs="TimesNewRomanPS-BoldMT"/>
          <w:b/>
          <w:bCs/>
        </w:rPr>
      </w:pPr>
      <w:r w:rsidRPr="00A23FB4">
        <w:rPr>
          <w:rFonts w:asciiTheme="minorHAnsi" w:hAnsiTheme="minorHAnsi" w:cs="TimesNewRomanPS-BoldMT"/>
          <w:b/>
          <w:bCs/>
        </w:rPr>
        <w:t xml:space="preserve">Zakres robót objętych </w:t>
      </w:r>
      <w:r w:rsidR="00E019D3" w:rsidRPr="00E019D3">
        <w:rPr>
          <w:rFonts w:ascii="Calibri" w:hAnsi="Calibri" w:cs="Calibri"/>
          <w:b/>
          <w:bCs/>
        </w:rPr>
        <w:t>ST</w:t>
      </w:r>
      <w:r w:rsidRPr="00E019D3">
        <w:rPr>
          <w:rFonts w:ascii="Calibri" w:hAnsi="Calibri" w:cs="Calibri"/>
          <w:b/>
          <w:bCs/>
        </w:rPr>
        <w:t>WiORB</w:t>
      </w:r>
    </w:p>
    <w:p w14:paraId="385EC74E" w14:textId="77777777" w:rsidR="00327255" w:rsidRPr="00A23FB4" w:rsidRDefault="00327255" w:rsidP="00327255">
      <w:pPr>
        <w:pStyle w:val="Akapitzlist"/>
        <w:ind w:left="360"/>
        <w:rPr>
          <w:rFonts w:asciiTheme="minorHAnsi" w:hAnsiTheme="minorHAnsi" w:cs="TimesNewRomanPS-BoldMT"/>
          <w:b/>
          <w:bCs/>
        </w:rPr>
      </w:pPr>
    </w:p>
    <w:p w14:paraId="2710DE8B" w14:textId="5BF7BB1B" w:rsidR="00327255" w:rsidRPr="00A23FB4" w:rsidRDefault="00327255" w:rsidP="00327255">
      <w:pPr>
        <w:rPr>
          <w:rFonts w:asciiTheme="minorHAnsi" w:hAnsiTheme="minorHAnsi" w:cs="TimesNewRomanPSMT"/>
        </w:rPr>
      </w:pPr>
      <w:r w:rsidRPr="00A23FB4">
        <w:rPr>
          <w:rFonts w:asciiTheme="minorHAnsi" w:hAnsiTheme="minorHAnsi" w:cs="TimesNewRomanPSMT"/>
        </w:rPr>
        <w:t xml:space="preserve">Ustalenia zawarte w niniejszych </w:t>
      </w:r>
      <w:r w:rsidR="006707A0">
        <w:rPr>
          <w:rFonts w:asciiTheme="minorHAnsi" w:hAnsiTheme="minorHAnsi" w:cs="TimesNewRomanPSMT"/>
        </w:rPr>
        <w:t>specyfikacjach</w:t>
      </w:r>
      <w:r w:rsidRPr="00A23FB4">
        <w:rPr>
          <w:rFonts w:asciiTheme="minorHAnsi" w:hAnsiTheme="minorHAnsi" w:cs="TimesNewRomanPSMT"/>
        </w:rPr>
        <w:t xml:space="preserve"> dotyczą prowadzenia robót przy</w:t>
      </w:r>
    </w:p>
    <w:p w14:paraId="4D3640DA" w14:textId="77777777" w:rsidR="00327255" w:rsidRPr="00A23FB4" w:rsidRDefault="00327255" w:rsidP="00327255">
      <w:pPr>
        <w:rPr>
          <w:rFonts w:asciiTheme="minorHAnsi" w:hAnsiTheme="minorHAnsi" w:cs="TimesNewRomanPSMT"/>
        </w:rPr>
      </w:pPr>
      <w:r w:rsidRPr="00A23FB4">
        <w:rPr>
          <w:rFonts w:asciiTheme="minorHAnsi" w:hAnsiTheme="minorHAnsi" w:cs="TimesNewRomanPSMT"/>
        </w:rPr>
        <w:t>budowie kanału technologicznego kablowego przy przebudowie placu Zwycięstwa  i obejmują:</w:t>
      </w:r>
    </w:p>
    <w:p w14:paraId="3562DA8A" w14:textId="77777777" w:rsidR="00327255" w:rsidRPr="00A23FB4" w:rsidRDefault="00327255" w:rsidP="00327255">
      <w:pPr>
        <w:rPr>
          <w:rFonts w:asciiTheme="minorHAnsi" w:hAnsiTheme="minorHAnsi" w:cs="TimesNewRomanPSMT"/>
        </w:rPr>
      </w:pPr>
      <w:r w:rsidRPr="00A23FB4">
        <w:rPr>
          <w:rFonts w:asciiTheme="minorHAnsi" w:hAnsiTheme="minorHAnsi" w:cs="TimesNewRomanPSMT"/>
        </w:rPr>
        <w:t>- budowę kanalizacji pierwotnej</w:t>
      </w:r>
    </w:p>
    <w:p w14:paraId="2C66B6D4" w14:textId="77777777" w:rsidR="00327255" w:rsidRPr="00A23FB4" w:rsidRDefault="00327255" w:rsidP="00327255">
      <w:pPr>
        <w:rPr>
          <w:rFonts w:asciiTheme="minorHAnsi" w:hAnsiTheme="minorHAnsi" w:cs="TimesNewRomanPSMT"/>
        </w:rPr>
      </w:pPr>
      <w:r w:rsidRPr="00A23FB4">
        <w:rPr>
          <w:rFonts w:asciiTheme="minorHAnsi" w:hAnsiTheme="minorHAnsi" w:cs="TimesNewRomanPSMT"/>
        </w:rPr>
        <w:t>- włączenia do istniejących studni.</w:t>
      </w:r>
    </w:p>
    <w:p w14:paraId="7B809C8F" w14:textId="77777777" w:rsidR="00327255" w:rsidRPr="00A23FB4" w:rsidRDefault="00327255" w:rsidP="00327255">
      <w:pPr>
        <w:rPr>
          <w:rFonts w:asciiTheme="minorHAnsi" w:hAnsiTheme="minorHAnsi" w:cs="TimesNewRomanPS-BoldMT"/>
          <w:b/>
          <w:bCs/>
        </w:rPr>
      </w:pPr>
    </w:p>
    <w:p w14:paraId="100306F9" w14:textId="77777777" w:rsidR="00327255" w:rsidRPr="00A23FB4" w:rsidRDefault="00327255" w:rsidP="00327255">
      <w:pPr>
        <w:rPr>
          <w:rFonts w:asciiTheme="minorHAnsi" w:hAnsiTheme="minorHAnsi" w:cs="TimesNewRomanPS-BoldMT"/>
          <w:b/>
          <w:bCs/>
        </w:rPr>
      </w:pPr>
      <w:r w:rsidRPr="00A23FB4">
        <w:rPr>
          <w:rFonts w:asciiTheme="minorHAnsi" w:hAnsiTheme="minorHAnsi" w:cs="TimesNewRomanPS-BoldMT"/>
          <w:b/>
          <w:bCs/>
        </w:rPr>
        <w:t>1.4 Określenia podstawowe</w:t>
      </w:r>
    </w:p>
    <w:p w14:paraId="5F2F3D05" w14:textId="77777777" w:rsidR="00327255" w:rsidRPr="00A23FB4" w:rsidRDefault="00327255" w:rsidP="00327255">
      <w:pPr>
        <w:rPr>
          <w:rFonts w:asciiTheme="minorHAnsi" w:hAnsiTheme="minorHAnsi" w:cs="TimesNewRomanPSMT"/>
        </w:rPr>
      </w:pPr>
    </w:p>
    <w:p w14:paraId="3244DC5B" w14:textId="77777777" w:rsidR="00327255" w:rsidRPr="00A23FB4" w:rsidRDefault="00327255" w:rsidP="00327255">
      <w:pPr>
        <w:rPr>
          <w:rFonts w:asciiTheme="minorHAnsi" w:hAnsiTheme="minorHAnsi" w:cs="TimesNewRomanPSMT"/>
        </w:rPr>
      </w:pPr>
      <w:r w:rsidRPr="00A23FB4">
        <w:rPr>
          <w:rFonts w:asciiTheme="minorHAnsi" w:hAnsiTheme="minorHAnsi" w:cs="TimesNewRomanPSMT"/>
        </w:rPr>
        <w:t>1.4.1 Kanalizacja kablowa pierwotna</w:t>
      </w:r>
    </w:p>
    <w:p w14:paraId="16C66C59" w14:textId="77777777" w:rsidR="00327255" w:rsidRPr="00A23FB4" w:rsidRDefault="00327255" w:rsidP="00327255">
      <w:pPr>
        <w:rPr>
          <w:rFonts w:asciiTheme="minorHAnsi" w:hAnsiTheme="minorHAnsi" w:cs="TimesNewRomanPSMT"/>
        </w:rPr>
      </w:pPr>
      <w:r w:rsidRPr="00A23FB4">
        <w:rPr>
          <w:rFonts w:asciiTheme="minorHAnsi" w:hAnsiTheme="minorHAnsi" w:cs="TimesNewRomanPSMT"/>
        </w:rPr>
        <w:t>- zespół ciągów podziemnych z wbudowanymi studniami przeznaczony do prowadzenia</w:t>
      </w:r>
    </w:p>
    <w:p w14:paraId="55374B47" w14:textId="77777777" w:rsidR="00327255" w:rsidRPr="00A23FB4" w:rsidRDefault="00327255" w:rsidP="00327255">
      <w:pPr>
        <w:rPr>
          <w:rFonts w:asciiTheme="minorHAnsi" w:hAnsiTheme="minorHAnsi" w:cs="TimesNewRomanPSMT"/>
        </w:rPr>
      </w:pPr>
      <w:r w:rsidRPr="00A23FB4">
        <w:rPr>
          <w:rFonts w:asciiTheme="minorHAnsi" w:hAnsiTheme="minorHAnsi" w:cs="TimesNewRomanPSMT"/>
        </w:rPr>
        <w:t>kabli telekomunikacyjnych i rur kanalizacji wtórnej.</w:t>
      </w:r>
    </w:p>
    <w:p w14:paraId="454FBE6E" w14:textId="77777777" w:rsidR="00327255" w:rsidRPr="00A23FB4" w:rsidRDefault="00327255" w:rsidP="00327255">
      <w:pPr>
        <w:rPr>
          <w:rFonts w:asciiTheme="minorHAnsi" w:hAnsiTheme="minorHAnsi" w:cs="TimesNewRomanPSMT"/>
        </w:rPr>
      </w:pPr>
    </w:p>
    <w:p w14:paraId="1F49616C" w14:textId="77777777" w:rsidR="00327255" w:rsidRPr="00A23FB4" w:rsidRDefault="00327255" w:rsidP="00327255">
      <w:pPr>
        <w:rPr>
          <w:rFonts w:asciiTheme="minorHAnsi" w:hAnsiTheme="minorHAnsi" w:cs="TimesNewRomanPSMT"/>
        </w:rPr>
      </w:pPr>
      <w:r w:rsidRPr="00A23FB4">
        <w:rPr>
          <w:rFonts w:asciiTheme="minorHAnsi" w:hAnsiTheme="minorHAnsi" w:cs="TimesNewRomanPSMT"/>
        </w:rPr>
        <w:t>1.4.2. Ciąg kanalizacji</w:t>
      </w:r>
    </w:p>
    <w:p w14:paraId="5D2B2F72" w14:textId="77777777" w:rsidR="00327255" w:rsidRPr="00A23FB4" w:rsidRDefault="00327255" w:rsidP="00327255">
      <w:pPr>
        <w:rPr>
          <w:rFonts w:asciiTheme="minorHAnsi" w:hAnsiTheme="minorHAnsi" w:cs="TimesNewRomanPSMT"/>
        </w:rPr>
      </w:pPr>
      <w:r w:rsidRPr="00A23FB4">
        <w:rPr>
          <w:rFonts w:asciiTheme="minorHAnsi" w:hAnsiTheme="minorHAnsi" w:cs="TimesNewRomanPSMT"/>
        </w:rPr>
        <w:t>- rury ułożone w wykopie jeden za drugim i połączone pojedynczo lub w zestawach</w:t>
      </w:r>
    </w:p>
    <w:p w14:paraId="5CC7FFA1" w14:textId="77777777" w:rsidR="00327255" w:rsidRPr="00A23FB4" w:rsidRDefault="00327255" w:rsidP="00327255">
      <w:pPr>
        <w:rPr>
          <w:rFonts w:asciiTheme="minorHAnsi" w:hAnsiTheme="minorHAnsi" w:cs="TimesNewRomanPSMT"/>
        </w:rPr>
      </w:pPr>
      <w:r w:rsidRPr="00A23FB4">
        <w:rPr>
          <w:rFonts w:asciiTheme="minorHAnsi" w:hAnsiTheme="minorHAnsi" w:cs="TimesNewRomanPSMT"/>
        </w:rPr>
        <w:t>pozwalających uzyskać potrzebną liczbę otworów w kanalizacji.</w:t>
      </w:r>
    </w:p>
    <w:p w14:paraId="7FA6ADCF" w14:textId="77777777" w:rsidR="00327255" w:rsidRPr="00A23FB4" w:rsidRDefault="00327255" w:rsidP="00327255">
      <w:pPr>
        <w:rPr>
          <w:rFonts w:asciiTheme="minorHAnsi" w:hAnsiTheme="minorHAnsi" w:cs="TimesNewRomanPSMT"/>
        </w:rPr>
      </w:pPr>
    </w:p>
    <w:p w14:paraId="3866D4BD" w14:textId="77777777" w:rsidR="00327255" w:rsidRPr="00A23FB4" w:rsidRDefault="00327255" w:rsidP="00327255">
      <w:pPr>
        <w:rPr>
          <w:rFonts w:asciiTheme="minorHAnsi" w:hAnsiTheme="minorHAnsi" w:cs="TimesNewRomanPSMT"/>
        </w:rPr>
      </w:pPr>
      <w:r w:rsidRPr="00A23FB4">
        <w:rPr>
          <w:rFonts w:asciiTheme="minorHAnsi" w:hAnsiTheme="minorHAnsi" w:cs="TimesNewRomanPSMT"/>
        </w:rPr>
        <w:t>1.4.3 Studnia kablowa</w:t>
      </w:r>
    </w:p>
    <w:p w14:paraId="5BFC17EC" w14:textId="77777777" w:rsidR="00327255" w:rsidRPr="00A23FB4" w:rsidRDefault="00327255" w:rsidP="00327255">
      <w:pPr>
        <w:rPr>
          <w:rFonts w:asciiTheme="minorHAnsi" w:hAnsiTheme="minorHAnsi" w:cs="TimesNewRomanPSMT"/>
        </w:rPr>
      </w:pPr>
      <w:r w:rsidRPr="00A23FB4">
        <w:rPr>
          <w:rFonts w:asciiTheme="minorHAnsi" w:hAnsiTheme="minorHAnsi" w:cs="TimesNewRomanPSMT"/>
        </w:rPr>
        <w:t>a) pomieszczenie podziemne wybudowane między ciągami kanalizacji kablowej w celu</w:t>
      </w:r>
    </w:p>
    <w:p w14:paraId="712E9A97" w14:textId="77777777" w:rsidR="00327255" w:rsidRPr="00A23FB4" w:rsidRDefault="00327255" w:rsidP="00327255">
      <w:pPr>
        <w:rPr>
          <w:rFonts w:asciiTheme="minorHAnsi" w:hAnsiTheme="minorHAnsi" w:cs="TimesNewRomanPSMT"/>
        </w:rPr>
      </w:pPr>
      <w:r w:rsidRPr="00A23FB4">
        <w:rPr>
          <w:rFonts w:asciiTheme="minorHAnsi" w:hAnsiTheme="minorHAnsi" w:cs="TimesNewRomanPSMT"/>
        </w:rPr>
        <w:t>umożliwienia wciągania, montażu i konserwacji kabli.</w:t>
      </w:r>
    </w:p>
    <w:p w14:paraId="23ED753D" w14:textId="77777777" w:rsidR="00327255" w:rsidRPr="00A23FB4" w:rsidRDefault="00327255" w:rsidP="00327255">
      <w:pPr>
        <w:rPr>
          <w:rFonts w:asciiTheme="minorHAnsi" w:hAnsiTheme="minorHAnsi" w:cs="TimesNewRomanPSMT"/>
        </w:rPr>
      </w:pPr>
    </w:p>
    <w:p w14:paraId="67B76BAA" w14:textId="77777777" w:rsidR="00327255" w:rsidRPr="00A23FB4" w:rsidRDefault="00327255" w:rsidP="00327255">
      <w:pPr>
        <w:rPr>
          <w:rFonts w:asciiTheme="minorHAnsi" w:hAnsiTheme="minorHAnsi" w:cs="TimesNewRomanPSMT"/>
        </w:rPr>
      </w:pPr>
      <w:r w:rsidRPr="00A23FB4">
        <w:rPr>
          <w:rFonts w:asciiTheme="minorHAnsi" w:hAnsiTheme="minorHAnsi" w:cs="TimesNewRomanPSMT"/>
        </w:rPr>
        <w:t>1.4.4 Pozostałe określenia są zgodne z obowiązującymi Polskimi Normami,</w:t>
      </w:r>
    </w:p>
    <w:p w14:paraId="02AA560B" w14:textId="77777777" w:rsidR="00327255" w:rsidRPr="00A23FB4" w:rsidRDefault="00327255" w:rsidP="00327255">
      <w:pPr>
        <w:rPr>
          <w:rFonts w:asciiTheme="minorHAnsi" w:hAnsiTheme="minorHAnsi" w:cs="TimesNewRomanPSMT"/>
        </w:rPr>
      </w:pPr>
      <w:r w:rsidRPr="00A23FB4">
        <w:rPr>
          <w:rFonts w:asciiTheme="minorHAnsi" w:hAnsiTheme="minorHAnsi" w:cs="TimesNewRomanPSMT"/>
        </w:rPr>
        <w:t>Branżowymi Normami i Normami Zakładowymi ZN-96 TP S.A.</w:t>
      </w:r>
    </w:p>
    <w:p w14:paraId="5BB38C15" w14:textId="77777777" w:rsidR="00327255" w:rsidRPr="00A23FB4" w:rsidRDefault="00327255" w:rsidP="00327255">
      <w:pPr>
        <w:rPr>
          <w:rFonts w:asciiTheme="minorHAnsi" w:hAnsiTheme="minorHAnsi" w:cs="TimesNewRomanPS-BoldMT"/>
          <w:b/>
          <w:bCs/>
        </w:rPr>
      </w:pPr>
    </w:p>
    <w:p w14:paraId="1211E24B" w14:textId="77777777" w:rsidR="00327255" w:rsidRPr="00A23FB4" w:rsidRDefault="00327255" w:rsidP="00262498">
      <w:pPr>
        <w:pStyle w:val="Akapitzlist"/>
        <w:numPr>
          <w:ilvl w:val="1"/>
          <w:numId w:val="203"/>
        </w:numPr>
        <w:overflowPunct/>
        <w:contextualSpacing/>
        <w:textAlignment w:val="auto"/>
        <w:rPr>
          <w:rFonts w:asciiTheme="minorHAnsi" w:hAnsiTheme="minorHAnsi" w:cs="TimesNewRomanPS-BoldMT"/>
          <w:b/>
          <w:bCs/>
        </w:rPr>
      </w:pPr>
      <w:r w:rsidRPr="00A23FB4">
        <w:rPr>
          <w:rFonts w:asciiTheme="minorHAnsi" w:hAnsiTheme="minorHAnsi" w:cs="TimesNewRomanPS-BoldMT"/>
          <w:b/>
          <w:bCs/>
        </w:rPr>
        <w:t xml:space="preserve">  Ogólne wymagania dotyczące robót</w:t>
      </w:r>
    </w:p>
    <w:p w14:paraId="53230780" w14:textId="77777777" w:rsidR="00327255" w:rsidRPr="00A23FB4" w:rsidRDefault="00327255" w:rsidP="00327255">
      <w:pPr>
        <w:pStyle w:val="Akapitzlist"/>
        <w:ind w:left="360"/>
        <w:rPr>
          <w:rFonts w:asciiTheme="minorHAnsi" w:hAnsiTheme="minorHAnsi" w:cs="TimesNewRomanPS-BoldMT"/>
          <w:b/>
          <w:bCs/>
        </w:rPr>
      </w:pPr>
    </w:p>
    <w:p w14:paraId="01E39272" w14:textId="77777777" w:rsidR="00327255" w:rsidRPr="00A23FB4" w:rsidRDefault="00327255" w:rsidP="00327255">
      <w:pPr>
        <w:ind w:firstLine="708"/>
        <w:rPr>
          <w:rFonts w:asciiTheme="minorHAnsi" w:hAnsiTheme="minorHAnsi" w:cs="TimesNewRomanPSMT"/>
        </w:rPr>
      </w:pPr>
      <w:r w:rsidRPr="00A23FB4">
        <w:rPr>
          <w:rFonts w:asciiTheme="minorHAnsi" w:hAnsiTheme="minorHAnsi" w:cs="TimesNewRomanPSMT"/>
        </w:rPr>
        <w:t>Wykonawca robót jest odpowiedzialny za jakość ich wykonania oraz za zgodność z Dokumentacją Projektowa, ST i poleceniami Inżyniera.</w:t>
      </w:r>
    </w:p>
    <w:p w14:paraId="1275C3D5" w14:textId="77777777" w:rsidR="00327255" w:rsidRPr="00A23FB4" w:rsidRDefault="00327255" w:rsidP="00327255">
      <w:pPr>
        <w:rPr>
          <w:rFonts w:asciiTheme="minorHAnsi" w:hAnsiTheme="minorHAnsi" w:cs="TimesNewRomanPSMT"/>
        </w:rPr>
      </w:pPr>
    </w:p>
    <w:p w14:paraId="4AE6807F" w14:textId="77777777" w:rsidR="00327255" w:rsidRPr="00A23FB4" w:rsidRDefault="00327255" w:rsidP="00327255">
      <w:pPr>
        <w:rPr>
          <w:rFonts w:asciiTheme="minorHAnsi" w:hAnsiTheme="minorHAnsi" w:cs="TimesNewRomanPSMT"/>
          <w:b/>
        </w:rPr>
      </w:pPr>
      <w:smartTag w:uri="urn:schemas-microsoft-com:office:smarttags" w:element="metricconverter">
        <w:smartTagPr>
          <w:attr w:name="ProductID" w:val="2. M"/>
        </w:smartTagPr>
        <w:r w:rsidRPr="00A23FB4">
          <w:rPr>
            <w:rFonts w:asciiTheme="minorHAnsi" w:hAnsiTheme="minorHAnsi" w:cs="TimesNewRomanPSMT"/>
            <w:b/>
          </w:rPr>
          <w:t>2. M</w:t>
        </w:r>
      </w:smartTag>
      <w:r w:rsidRPr="00A23FB4">
        <w:rPr>
          <w:rFonts w:asciiTheme="minorHAnsi" w:hAnsiTheme="minorHAnsi" w:cs="TimesNewRomanPSMT"/>
          <w:b/>
        </w:rPr>
        <w:t>ATERIAŁY</w:t>
      </w:r>
    </w:p>
    <w:p w14:paraId="07DC68DF" w14:textId="77777777" w:rsidR="00327255" w:rsidRPr="00A23FB4" w:rsidRDefault="00327255" w:rsidP="00327255">
      <w:pPr>
        <w:rPr>
          <w:rFonts w:asciiTheme="minorHAnsi" w:hAnsiTheme="minorHAnsi" w:cs="TimesNewRomanPS-BoldMT"/>
          <w:b/>
          <w:bCs/>
        </w:rPr>
      </w:pPr>
    </w:p>
    <w:p w14:paraId="2DAFF998" w14:textId="77777777" w:rsidR="00327255" w:rsidRPr="00A23FB4" w:rsidRDefault="00327255" w:rsidP="00327255">
      <w:pPr>
        <w:rPr>
          <w:rFonts w:asciiTheme="minorHAnsi" w:hAnsiTheme="minorHAnsi" w:cs="TimesNewRomanPS-BoldMT"/>
          <w:b/>
          <w:bCs/>
        </w:rPr>
      </w:pPr>
      <w:r w:rsidRPr="00A23FB4">
        <w:rPr>
          <w:rFonts w:asciiTheme="minorHAnsi" w:hAnsiTheme="minorHAnsi" w:cs="TimesNewRomanPS-BoldMT"/>
          <w:b/>
          <w:bCs/>
        </w:rPr>
        <w:t>2.1 Wymagania ogólne stosowania materiałów</w:t>
      </w:r>
    </w:p>
    <w:p w14:paraId="53071A1A" w14:textId="77777777" w:rsidR="00327255" w:rsidRPr="00A23FB4" w:rsidRDefault="00327255" w:rsidP="00327255">
      <w:pPr>
        <w:rPr>
          <w:rFonts w:asciiTheme="minorHAnsi" w:hAnsiTheme="minorHAnsi" w:cs="TimesNewRomanPS-BoldMT"/>
          <w:b/>
          <w:bCs/>
        </w:rPr>
      </w:pPr>
    </w:p>
    <w:p w14:paraId="52814823" w14:textId="77777777" w:rsidR="00327255" w:rsidRPr="00A23FB4" w:rsidRDefault="00327255" w:rsidP="00327255">
      <w:pPr>
        <w:ind w:firstLine="708"/>
        <w:rPr>
          <w:rFonts w:asciiTheme="minorHAnsi" w:hAnsiTheme="minorHAnsi" w:cs="TimesNewRomanPSMT"/>
        </w:rPr>
      </w:pPr>
      <w:r w:rsidRPr="00A23FB4">
        <w:rPr>
          <w:rFonts w:asciiTheme="minorHAnsi" w:hAnsiTheme="minorHAnsi" w:cs="TimesNewRomanPSMT"/>
        </w:rPr>
        <w:t>Materiały do budowy kanału technologicznego kablowego  muszą posiadać atesty wytwórcy stwierdzający zgodność jego wykonania z odpowiednimi normami.</w:t>
      </w:r>
    </w:p>
    <w:p w14:paraId="44B947BF" w14:textId="77777777" w:rsidR="00327255" w:rsidRPr="00A23FB4" w:rsidRDefault="00327255" w:rsidP="00327255">
      <w:pPr>
        <w:rPr>
          <w:rFonts w:asciiTheme="minorHAnsi" w:hAnsiTheme="minorHAnsi" w:cs="TimesNewRomanPS-BoldMT"/>
          <w:b/>
          <w:bCs/>
        </w:rPr>
      </w:pPr>
    </w:p>
    <w:p w14:paraId="13024CD8" w14:textId="77777777" w:rsidR="00327255" w:rsidRPr="00A23FB4" w:rsidRDefault="00327255" w:rsidP="00327255">
      <w:pPr>
        <w:rPr>
          <w:rFonts w:asciiTheme="minorHAnsi" w:hAnsiTheme="minorHAnsi" w:cs="TimesNewRomanPS-BoldMT"/>
          <w:b/>
          <w:bCs/>
        </w:rPr>
      </w:pPr>
      <w:r w:rsidRPr="00A23FB4">
        <w:rPr>
          <w:rFonts w:asciiTheme="minorHAnsi" w:hAnsiTheme="minorHAnsi" w:cs="TimesNewRomanPS-BoldMT"/>
          <w:b/>
          <w:bCs/>
        </w:rPr>
        <w:t>2.2. Materiały gotowe</w:t>
      </w:r>
    </w:p>
    <w:p w14:paraId="5A4AC7DE" w14:textId="77777777" w:rsidR="00327255" w:rsidRPr="00A23FB4" w:rsidRDefault="00327255" w:rsidP="00327255">
      <w:pPr>
        <w:rPr>
          <w:rFonts w:asciiTheme="minorHAnsi" w:hAnsiTheme="minorHAnsi" w:cs="TimesNewRomanPSMT"/>
        </w:rPr>
      </w:pPr>
    </w:p>
    <w:p w14:paraId="01E281D8" w14:textId="77777777" w:rsidR="00327255" w:rsidRPr="00A23FB4" w:rsidRDefault="00327255" w:rsidP="00327255">
      <w:pPr>
        <w:rPr>
          <w:rFonts w:asciiTheme="minorHAnsi" w:hAnsiTheme="minorHAnsi" w:cs="TimesNewRomanPSMT"/>
        </w:rPr>
      </w:pPr>
      <w:r w:rsidRPr="00A23FB4">
        <w:rPr>
          <w:rFonts w:asciiTheme="minorHAnsi" w:hAnsiTheme="minorHAnsi" w:cs="TimesNewRomanPSMT"/>
        </w:rPr>
        <w:t>2.2.1 Rury z polietylenu wysokiej gęstości HDPE o średnicach  fi 40 i fi  110</w:t>
      </w:r>
    </w:p>
    <w:p w14:paraId="699BE80D" w14:textId="77777777" w:rsidR="00327255" w:rsidRPr="00A23FB4" w:rsidRDefault="00327255" w:rsidP="00327255">
      <w:pPr>
        <w:ind w:firstLine="708"/>
        <w:rPr>
          <w:rFonts w:asciiTheme="minorHAnsi" w:hAnsiTheme="minorHAnsi" w:cs="TimesNewRomanPSMT"/>
        </w:rPr>
      </w:pPr>
      <w:r w:rsidRPr="00A23FB4">
        <w:rPr>
          <w:rFonts w:asciiTheme="minorHAnsi" w:hAnsiTheme="minorHAnsi" w:cs="TimesNewRomanPSMT"/>
        </w:rPr>
        <w:t>Stosowane do budowy kanalizacji wtórnej, rurociągów kablowych oraz elementy ochronne kanalizacji i kabla rury z polietylenu o dużej gęstości powinny odpowiadać normie ZN-96 TP S.A.-013 i ZN-96 TP S.A.-017.</w:t>
      </w:r>
    </w:p>
    <w:p w14:paraId="1D22177D" w14:textId="77777777" w:rsidR="00327255" w:rsidRPr="00A23FB4" w:rsidRDefault="00327255" w:rsidP="00327255">
      <w:pPr>
        <w:ind w:firstLine="708"/>
        <w:rPr>
          <w:rFonts w:asciiTheme="minorHAnsi" w:hAnsiTheme="minorHAnsi" w:cs="TimesNewRomanPSMT"/>
        </w:rPr>
      </w:pPr>
      <w:r w:rsidRPr="00A23FB4">
        <w:rPr>
          <w:rFonts w:asciiTheme="minorHAnsi" w:hAnsiTheme="minorHAnsi" w:cs="TimesNewRomanPSMT"/>
        </w:rPr>
        <w:t>Rury należy przechowywać w miejscu zadaszonym, zabezpieczającym je przed bezpośrednim działaniem promieni słonecznych i opadów oraz działaniami sił mechanicznych.</w:t>
      </w:r>
    </w:p>
    <w:p w14:paraId="3FEBDBF2" w14:textId="77777777" w:rsidR="00327255" w:rsidRPr="00A23FB4" w:rsidRDefault="00327255" w:rsidP="00327255">
      <w:pPr>
        <w:rPr>
          <w:rFonts w:asciiTheme="minorHAnsi" w:hAnsiTheme="minorHAnsi" w:cs="TimesNewRomanPSMT"/>
        </w:rPr>
      </w:pPr>
    </w:p>
    <w:p w14:paraId="56619BF8" w14:textId="77777777" w:rsidR="00327255" w:rsidRPr="00A23FB4" w:rsidRDefault="00327255" w:rsidP="00327255">
      <w:pPr>
        <w:rPr>
          <w:rFonts w:asciiTheme="minorHAnsi" w:hAnsiTheme="minorHAnsi" w:cs="TimesNewRomanPSMT"/>
        </w:rPr>
      </w:pPr>
      <w:r w:rsidRPr="00A23FB4">
        <w:rPr>
          <w:rFonts w:asciiTheme="minorHAnsi" w:hAnsiTheme="minorHAnsi" w:cs="TimesNewRomanPSMT"/>
        </w:rPr>
        <w:t>2.2.2 Studnie kablowe</w:t>
      </w:r>
    </w:p>
    <w:p w14:paraId="79A956C0" w14:textId="77777777" w:rsidR="00327255" w:rsidRPr="00A23FB4" w:rsidRDefault="00327255" w:rsidP="00327255">
      <w:pPr>
        <w:rPr>
          <w:rFonts w:asciiTheme="minorHAnsi" w:hAnsiTheme="minorHAnsi" w:cs="TimesNewRomanPSMT"/>
        </w:rPr>
      </w:pPr>
      <w:r w:rsidRPr="00A23FB4">
        <w:rPr>
          <w:rFonts w:asciiTheme="minorHAnsi" w:hAnsiTheme="minorHAnsi" w:cs="TimesNewRomanPSMT"/>
        </w:rPr>
        <w:t xml:space="preserve">          Stosowane do budowy kanalizacji kablowej powinny odpowiadać normie ZN-96 TP S.A. – 023.</w:t>
      </w:r>
    </w:p>
    <w:p w14:paraId="707205E6" w14:textId="77777777" w:rsidR="00327255" w:rsidRPr="00A23FB4" w:rsidRDefault="00327255" w:rsidP="00327255">
      <w:pPr>
        <w:rPr>
          <w:rFonts w:asciiTheme="minorHAnsi" w:hAnsiTheme="minorHAnsi" w:cs="TimesNewRomanPSMT"/>
          <w:b/>
        </w:rPr>
      </w:pPr>
    </w:p>
    <w:p w14:paraId="61593606" w14:textId="77777777" w:rsidR="00327255" w:rsidRPr="00A23FB4" w:rsidRDefault="00327255" w:rsidP="00327255">
      <w:pPr>
        <w:rPr>
          <w:rFonts w:asciiTheme="minorHAnsi" w:hAnsiTheme="minorHAnsi" w:cs="TimesNewRomanPSMT"/>
          <w:b/>
        </w:rPr>
      </w:pPr>
      <w:r w:rsidRPr="00A23FB4">
        <w:rPr>
          <w:rFonts w:asciiTheme="minorHAnsi" w:hAnsiTheme="minorHAnsi" w:cs="TimesNewRomanPSMT"/>
          <w:b/>
        </w:rPr>
        <w:t>3. SPRZĘT</w:t>
      </w:r>
    </w:p>
    <w:p w14:paraId="367A6C8E" w14:textId="77777777" w:rsidR="00327255" w:rsidRPr="00A23FB4" w:rsidRDefault="00327255" w:rsidP="00327255">
      <w:pPr>
        <w:rPr>
          <w:rFonts w:asciiTheme="minorHAnsi" w:hAnsiTheme="minorHAnsi" w:cs="TimesNewRomanPS-BoldMT"/>
          <w:b/>
          <w:bCs/>
        </w:rPr>
      </w:pPr>
    </w:p>
    <w:p w14:paraId="11A35E67" w14:textId="77777777" w:rsidR="00327255" w:rsidRPr="00A23FB4" w:rsidRDefault="00327255" w:rsidP="00327255">
      <w:pPr>
        <w:rPr>
          <w:rFonts w:asciiTheme="minorHAnsi" w:hAnsiTheme="minorHAnsi" w:cs="TimesNewRomanPS-BoldMT"/>
          <w:b/>
          <w:bCs/>
        </w:rPr>
      </w:pPr>
      <w:r w:rsidRPr="00A23FB4">
        <w:rPr>
          <w:rFonts w:asciiTheme="minorHAnsi" w:hAnsiTheme="minorHAnsi" w:cs="TimesNewRomanPS-BoldMT"/>
          <w:b/>
          <w:bCs/>
        </w:rPr>
        <w:t>3.1 Ogólne wymagania</w:t>
      </w:r>
    </w:p>
    <w:p w14:paraId="43694E97" w14:textId="77777777" w:rsidR="00327255" w:rsidRPr="00A23FB4" w:rsidRDefault="00327255" w:rsidP="00327255">
      <w:pPr>
        <w:rPr>
          <w:rFonts w:asciiTheme="minorHAnsi" w:hAnsiTheme="minorHAnsi" w:cs="TimesNewRomanPS-BoldMT"/>
          <w:b/>
          <w:bCs/>
        </w:rPr>
      </w:pPr>
    </w:p>
    <w:p w14:paraId="39F8C109" w14:textId="77777777" w:rsidR="00327255" w:rsidRPr="00A23FB4" w:rsidRDefault="00327255" w:rsidP="00327255">
      <w:pPr>
        <w:ind w:firstLine="708"/>
        <w:rPr>
          <w:rFonts w:asciiTheme="minorHAnsi" w:hAnsiTheme="minorHAnsi" w:cs="TimesNewRomanPSMT"/>
        </w:rPr>
      </w:pPr>
      <w:r w:rsidRPr="00A23FB4">
        <w:rPr>
          <w:rFonts w:asciiTheme="minorHAnsi" w:hAnsiTheme="minorHAnsi" w:cs="TimesNewRomanPSMT"/>
        </w:rPr>
        <w:t>Wykonawca jest zobowiązany do używania jedynie takiego sprzętu, który nie spowoduje niekorzystnego wpływu na jakość wykonywanych robót, zarówno w miejscu tych robót, jak też przy wykonywaniu czynności pomocniczych oraz w czasie transportu, załadunku i wyładunku materiałów, sprzętu itp.</w:t>
      </w:r>
    </w:p>
    <w:p w14:paraId="1712495E" w14:textId="77777777" w:rsidR="00327255" w:rsidRPr="00A23FB4" w:rsidRDefault="00327255" w:rsidP="00327255">
      <w:pPr>
        <w:ind w:firstLine="708"/>
        <w:rPr>
          <w:rFonts w:asciiTheme="minorHAnsi" w:hAnsiTheme="minorHAnsi" w:cs="TimesNewRomanPSMT"/>
        </w:rPr>
      </w:pPr>
      <w:r w:rsidRPr="00A23FB4">
        <w:rPr>
          <w:rFonts w:asciiTheme="minorHAnsi" w:hAnsiTheme="minorHAnsi" w:cs="TimesNewRomanPSMT"/>
        </w:rPr>
        <w:t>Sprzęt używany przez wykonawcę powinien uzyskać akceptację Inżyniera. Liczba i wydajność sprzętu powinna gwarantować wykonanie robót zgodnie z zasadami określonymi</w:t>
      </w:r>
    </w:p>
    <w:p w14:paraId="33955F7C" w14:textId="77777777" w:rsidR="00327255" w:rsidRPr="00A23FB4" w:rsidRDefault="00327255" w:rsidP="00327255">
      <w:pPr>
        <w:rPr>
          <w:rFonts w:asciiTheme="minorHAnsi" w:hAnsiTheme="minorHAnsi" w:cs="TimesNewRomanPSMT"/>
        </w:rPr>
      </w:pPr>
      <w:r w:rsidRPr="00A23FB4">
        <w:rPr>
          <w:rFonts w:asciiTheme="minorHAnsi" w:hAnsiTheme="minorHAnsi" w:cs="TimesNewRomanPSMT"/>
        </w:rPr>
        <w:t>w Dokumentacji Projektowej, ST i wskazaniach Inżyniera w terenie przewidzianym kontraktem.</w:t>
      </w:r>
    </w:p>
    <w:p w14:paraId="047CE4B4" w14:textId="77777777" w:rsidR="00327255" w:rsidRPr="00A23FB4" w:rsidRDefault="00327255" w:rsidP="00327255">
      <w:pPr>
        <w:rPr>
          <w:rFonts w:asciiTheme="minorHAnsi" w:hAnsiTheme="minorHAnsi" w:cs="TimesNewRomanPS-BoldMT"/>
          <w:b/>
          <w:bCs/>
        </w:rPr>
      </w:pPr>
    </w:p>
    <w:p w14:paraId="465E79E6" w14:textId="77777777" w:rsidR="00327255" w:rsidRPr="00A23FB4" w:rsidRDefault="00327255" w:rsidP="00327255">
      <w:pPr>
        <w:rPr>
          <w:rFonts w:asciiTheme="minorHAnsi" w:hAnsiTheme="minorHAnsi" w:cs="TimesNewRomanPS-BoldMT"/>
          <w:b/>
          <w:bCs/>
        </w:rPr>
      </w:pPr>
      <w:r w:rsidRPr="00A23FB4">
        <w:rPr>
          <w:rFonts w:asciiTheme="minorHAnsi" w:hAnsiTheme="minorHAnsi" w:cs="TimesNewRomanPS-BoldMT"/>
          <w:b/>
          <w:bCs/>
        </w:rPr>
        <w:t>3.2. Sprzęt do budowy telekomunikacyjnych linii kablowych</w:t>
      </w:r>
    </w:p>
    <w:p w14:paraId="31774259" w14:textId="77777777" w:rsidR="00327255" w:rsidRPr="00A23FB4" w:rsidRDefault="00327255" w:rsidP="00327255">
      <w:pPr>
        <w:rPr>
          <w:rFonts w:asciiTheme="minorHAnsi" w:hAnsiTheme="minorHAnsi" w:cs="TimesNewRomanPS-BoldMT"/>
          <w:b/>
          <w:bCs/>
        </w:rPr>
      </w:pPr>
    </w:p>
    <w:p w14:paraId="47392959" w14:textId="77777777" w:rsidR="00327255" w:rsidRPr="00A23FB4" w:rsidRDefault="00327255" w:rsidP="00327255">
      <w:pPr>
        <w:ind w:firstLine="708"/>
        <w:rPr>
          <w:rFonts w:asciiTheme="minorHAnsi" w:hAnsiTheme="minorHAnsi" w:cs="TimesNewRomanPSMT"/>
        </w:rPr>
      </w:pPr>
      <w:r w:rsidRPr="00A23FB4">
        <w:rPr>
          <w:rFonts w:asciiTheme="minorHAnsi" w:hAnsiTheme="minorHAnsi" w:cs="TimesNewRomanPSMT"/>
        </w:rPr>
        <w:t>Wykonawca przystępujący do wykonywania budowy kanału technologicznego kablowego  powinien wykazać się możliwością korzystania z następujących maszyn i sprzętu</w:t>
      </w:r>
    </w:p>
    <w:p w14:paraId="76F40D13" w14:textId="77777777" w:rsidR="00327255" w:rsidRPr="00A23FB4" w:rsidRDefault="00327255" w:rsidP="00327255">
      <w:pPr>
        <w:rPr>
          <w:rFonts w:asciiTheme="minorHAnsi" w:hAnsiTheme="minorHAnsi" w:cs="TimesNewRomanPSMT"/>
        </w:rPr>
      </w:pPr>
      <w:r w:rsidRPr="00A23FB4">
        <w:rPr>
          <w:rFonts w:asciiTheme="minorHAnsi" w:hAnsiTheme="minorHAnsi" w:cs="TimesNewRomanPSMT"/>
        </w:rPr>
        <w:t>gwarantujących właściwą jakość robót:</w:t>
      </w:r>
    </w:p>
    <w:p w14:paraId="0BA698A0" w14:textId="77777777" w:rsidR="00327255" w:rsidRPr="00A23FB4" w:rsidRDefault="00327255" w:rsidP="00327255">
      <w:pPr>
        <w:rPr>
          <w:rFonts w:asciiTheme="minorHAnsi" w:hAnsiTheme="minorHAnsi" w:cs="TimesNewRomanPSMT"/>
        </w:rPr>
      </w:pPr>
      <w:r w:rsidRPr="00A23FB4">
        <w:rPr>
          <w:rFonts w:asciiTheme="minorHAnsi" w:hAnsiTheme="minorHAnsi" w:cs="TimesNewRomanPSMT"/>
        </w:rPr>
        <w:t>- sprężarka powietrzna spalinowa, przewoźna,</w:t>
      </w:r>
    </w:p>
    <w:p w14:paraId="1139FC62" w14:textId="77777777" w:rsidR="00327255" w:rsidRPr="00A23FB4" w:rsidRDefault="00327255" w:rsidP="00327255">
      <w:pPr>
        <w:rPr>
          <w:rFonts w:asciiTheme="minorHAnsi" w:hAnsiTheme="minorHAnsi" w:cs="TimesNewRomanPSMT"/>
        </w:rPr>
      </w:pPr>
      <w:r w:rsidRPr="00A23FB4">
        <w:rPr>
          <w:rFonts w:asciiTheme="minorHAnsi" w:hAnsiTheme="minorHAnsi" w:cs="TimesNewRomanPSMT"/>
        </w:rPr>
        <w:t>- ubijak spalinowy,</w:t>
      </w:r>
    </w:p>
    <w:p w14:paraId="7893EF4D" w14:textId="77777777" w:rsidR="00327255" w:rsidRPr="00A23FB4" w:rsidRDefault="00327255" w:rsidP="00327255">
      <w:pPr>
        <w:rPr>
          <w:rFonts w:asciiTheme="minorHAnsi" w:hAnsiTheme="minorHAnsi" w:cs="TimesNewRomanPSMT"/>
        </w:rPr>
      </w:pPr>
      <w:r w:rsidRPr="00A23FB4">
        <w:rPr>
          <w:rFonts w:asciiTheme="minorHAnsi" w:hAnsiTheme="minorHAnsi" w:cs="TimesNewRomanPSMT"/>
        </w:rPr>
        <w:t>- samochód dłużycowy,</w:t>
      </w:r>
    </w:p>
    <w:p w14:paraId="5E50438C" w14:textId="77777777" w:rsidR="00327255" w:rsidRPr="00A23FB4" w:rsidRDefault="00327255" w:rsidP="00327255">
      <w:pPr>
        <w:rPr>
          <w:rFonts w:asciiTheme="minorHAnsi" w:hAnsiTheme="minorHAnsi" w:cs="TimesNewRomanPSMT"/>
        </w:rPr>
      </w:pPr>
      <w:r w:rsidRPr="00A23FB4">
        <w:rPr>
          <w:rFonts w:asciiTheme="minorHAnsi" w:hAnsiTheme="minorHAnsi" w:cs="TimesNewRomanPSMT"/>
        </w:rPr>
        <w:t>- koparka jednonaczyniowa na podwoziu kołowym,</w:t>
      </w:r>
    </w:p>
    <w:p w14:paraId="483C4553" w14:textId="77777777" w:rsidR="00327255" w:rsidRPr="00A23FB4" w:rsidRDefault="00327255" w:rsidP="00327255">
      <w:pPr>
        <w:rPr>
          <w:rFonts w:asciiTheme="minorHAnsi" w:hAnsiTheme="minorHAnsi" w:cs="TimesNewRomanPSMT"/>
        </w:rPr>
      </w:pPr>
      <w:r w:rsidRPr="00A23FB4">
        <w:rPr>
          <w:rFonts w:asciiTheme="minorHAnsi" w:hAnsiTheme="minorHAnsi" w:cs="TimesNewRomanPSMT"/>
        </w:rPr>
        <w:t>- żuraw samochodowy 6 ton,</w:t>
      </w:r>
    </w:p>
    <w:p w14:paraId="4B3C5778" w14:textId="77777777" w:rsidR="00327255" w:rsidRPr="00A23FB4" w:rsidRDefault="00327255" w:rsidP="00327255">
      <w:pPr>
        <w:rPr>
          <w:rFonts w:asciiTheme="minorHAnsi" w:hAnsiTheme="minorHAnsi" w:cs="TimesNewRomanPSMT"/>
        </w:rPr>
      </w:pPr>
      <w:r w:rsidRPr="00A23FB4">
        <w:rPr>
          <w:rFonts w:asciiTheme="minorHAnsi" w:hAnsiTheme="minorHAnsi" w:cs="TimesNewRomanPSMT"/>
        </w:rPr>
        <w:t>- zespół prądnicowy jednofazowy do 3,5 kVA,</w:t>
      </w:r>
    </w:p>
    <w:p w14:paraId="64F47A06" w14:textId="77777777" w:rsidR="00327255" w:rsidRPr="00A23FB4" w:rsidRDefault="00327255" w:rsidP="00327255">
      <w:pPr>
        <w:rPr>
          <w:rFonts w:asciiTheme="minorHAnsi" w:hAnsiTheme="minorHAnsi" w:cs="TimesNewRomanPSMT"/>
        </w:rPr>
      </w:pPr>
    </w:p>
    <w:p w14:paraId="11FA1372" w14:textId="77777777" w:rsidR="00327255" w:rsidRPr="00A23FB4" w:rsidRDefault="00327255" w:rsidP="00327255">
      <w:pPr>
        <w:rPr>
          <w:rFonts w:asciiTheme="minorHAnsi" w:hAnsiTheme="minorHAnsi" w:cs="TimesNewRomanPSMT"/>
          <w:b/>
        </w:rPr>
      </w:pPr>
      <w:r w:rsidRPr="00A23FB4">
        <w:rPr>
          <w:rFonts w:asciiTheme="minorHAnsi" w:hAnsiTheme="minorHAnsi" w:cs="TimesNewRomanPSMT"/>
          <w:b/>
        </w:rPr>
        <w:t>4. TRANSPORT</w:t>
      </w:r>
    </w:p>
    <w:p w14:paraId="41C8B908" w14:textId="77777777" w:rsidR="00327255" w:rsidRPr="00A23FB4" w:rsidRDefault="00327255" w:rsidP="00327255">
      <w:pPr>
        <w:rPr>
          <w:rFonts w:asciiTheme="minorHAnsi" w:hAnsiTheme="minorHAnsi" w:cs="TimesNewRomanPS-BoldMT"/>
          <w:b/>
          <w:bCs/>
        </w:rPr>
      </w:pPr>
    </w:p>
    <w:p w14:paraId="4C6F3FB9" w14:textId="77777777" w:rsidR="00327255" w:rsidRPr="00A23FB4" w:rsidRDefault="00327255" w:rsidP="00327255">
      <w:pPr>
        <w:rPr>
          <w:rFonts w:asciiTheme="minorHAnsi" w:hAnsiTheme="minorHAnsi" w:cs="TimesNewRomanPS-BoldMT"/>
          <w:b/>
          <w:bCs/>
        </w:rPr>
      </w:pPr>
      <w:r w:rsidRPr="00A23FB4">
        <w:rPr>
          <w:rFonts w:asciiTheme="minorHAnsi" w:hAnsiTheme="minorHAnsi" w:cs="TimesNewRomanPS-BoldMT"/>
          <w:b/>
          <w:bCs/>
        </w:rPr>
        <w:t>4.1 Wymagania ogólne</w:t>
      </w:r>
    </w:p>
    <w:p w14:paraId="62EC718C" w14:textId="77777777" w:rsidR="00327255" w:rsidRPr="00A23FB4" w:rsidRDefault="00327255" w:rsidP="00327255">
      <w:pPr>
        <w:rPr>
          <w:rFonts w:asciiTheme="minorHAnsi" w:hAnsiTheme="minorHAnsi" w:cs="TimesNewRomanPS-BoldMT"/>
          <w:b/>
          <w:bCs/>
        </w:rPr>
      </w:pPr>
    </w:p>
    <w:p w14:paraId="23CD03CB" w14:textId="77777777" w:rsidR="00327255" w:rsidRPr="00A23FB4" w:rsidRDefault="00327255" w:rsidP="00327255">
      <w:pPr>
        <w:ind w:firstLine="708"/>
        <w:rPr>
          <w:rFonts w:asciiTheme="minorHAnsi" w:hAnsiTheme="minorHAnsi" w:cs="TimesNewRomanPSMT"/>
        </w:rPr>
      </w:pPr>
      <w:r w:rsidRPr="00A23FB4">
        <w:rPr>
          <w:rFonts w:asciiTheme="minorHAnsi" w:hAnsiTheme="minorHAnsi" w:cs="TimesNewRomanPSMT"/>
        </w:rPr>
        <w:t>Wykonawca jest obowiązany do stosowania jedynie takich środków transportu, które nie wpłyną niekorzystnie na jakość wykonanych robót.</w:t>
      </w:r>
    </w:p>
    <w:p w14:paraId="0B1746DC" w14:textId="77777777" w:rsidR="00327255" w:rsidRPr="00A23FB4" w:rsidRDefault="00327255" w:rsidP="00327255">
      <w:pPr>
        <w:ind w:firstLine="708"/>
        <w:rPr>
          <w:rFonts w:asciiTheme="minorHAnsi" w:hAnsiTheme="minorHAnsi" w:cs="TimesNewRomanPSMT"/>
        </w:rPr>
      </w:pPr>
      <w:r w:rsidRPr="00A23FB4">
        <w:rPr>
          <w:rFonts w:asciiTheme="minorHAnsi" w:hAnsiTheme="minorHAnsi" w:cs="TimesNewRomanPSMT"/>
        </w:rPr>
        <w:t>Liczba środków transportu powinna gwarantować prowadzenie robót zgodnie z zasadami określonymi w Dokumentacji Projektowej, ST i wskazaniach Inżyniera w terminie przewidzianym kontraktem.</w:t>
      </w:r>
    </w:p>
    <w:p w14:paraId="17061DAC" w14:textId="77777777" w:rsidR="00327255" w:rsidRPr="00A23FB4" w:rsidRDefault="00327255" w:rsidP="00327255">
      <w:pPr>
        <w:rPr>
          <w:rFonts w:asciiTheme="minorHAnsi" w:hAnsiTheme="minorHAnsi" w:cs="TimesNewRomanPS-BoldMT"/>
          <w:b/>
          <w:bCs/>
        </w:rPr>
      </w:pPr>
    </w:p>
    <w:p w14:paraId="60AD085A" w14:textId="77777777" w:rsidR="00327255" w:rsidRPr="00A23FB4" w:rsidRDefault="00327255" w:rsidP="00327255">
      <w:pPr>
        <w:rPr>
          <w:rFonts w:asciiTheme="minorHAnsi" w:hAnsiTheme="minorHAnsi" w:cs="TimesNewRomanPS-BoldMT"/>
          <w:b/>
          <w:bCs/>
        </w:rPr>
      </w:pPr>
      <w:r w:rsidRPr="00A23FB4">
        <w:rPr>
          <w:rFonts w:asciiTheme="minorHAnsi" w:hAnsiTheme="minorHAnsi" w:cs="TimesNewRomanPS-BoldMT"/>
          <w:b/>
          <w:bCs/>
        </w:rPr>
        <w:t>4.2 Transport materiałów i elementów</w:t>
      </w:r>
    </w:p>
    <w:p w14:paraId="69265FBA" w14:textId="77777777" w:rsidR="00327255" w:rsidRPr="00A23FB4" w:rsidRDefault="00327255" w:rsidP="00327255">
      <w:pPr>
        <w:rPr>
          <w:rFonts w:asciiTheme="minorHAnsi" w:hAnsiTheme="minorHAnsi" w:cs="TimesNewRomanPS-BoldMT"/>
          <w:b/>
          <w:bCs/>
        </w:rPr>
      </w:pPr>
    </w:p>
    <w:p w14:paraId="00334627" w14:textId="77777777" w:rsidR="00327255" w:rsidRPr="00A23FB4" w:rsidRDefault="00327255" w:rsidP="00327255">
      <w:pPr>
        <w:ind w:firstLine="708"/>
        <w:rPr>
          <w:rFonts w:asciiTheme="minorHAnsi" w:hAnsiTheme="minorHAnsi" w:cs="TimesNewRomanPSMT"/>
        </w:rPr>
      </w:pPr>
      <w:r w:rsidRPr="00A23FB4">
        <w:rPr>
          <w:rFonts w:asciiTheme="minorHAnsi" w:hAnsiTheme="minorHAnsi" w:cs="TimesNewRomanPSMT"/>
        </w:rPr>
        <w:t>Wykonawca przystępujący do budowy kanału technologicznego kablowego  powinien wykazać się możliwością korzystania z następujących środków transportu w zależności od zakresu robót:</w:t>
      </w:r>
    </w:p>
    <w:p w14:paraId="4A170901" w14:textId="77777777" w:rsidR="00327255" w:rsidRPr="00A23FB4" w:rsidRDefault="00327255" w:rsidP="00327255">
      <w:pPr>
        <w:ind w:firstLine="708"/>
        <w:rPr>
          <w:rFonts w:asciiTheme="minorHAnsi" w:hAnsiTheme="minorHAnsi" w:cs="TimesNewRomanPSMT"/>
        </w:rPr>
      </w:pPr>
    </w:p>
    <w:p w14:paraId="70C1461A" w14:textId="77777777" w:rsidR="00327255" w:rsidRPr="00A23FB4" w:rsidRDefault="00327255" w:rsidP="00327255">
      <w:pPr>
        <w:rPr>
          <w:rFonts w:asciiTheme="minorHAnsi" w:hAnsiTheme="minorHAnsi" w:cs="TimesNewRomanPSMT"/>
        </w:rPr>
      </w:pPr>
      <w:r w:rsidRPr="00A23FB4">
        <w:rPr>
          <w:rFonts w:asciiTheme="minorHAnsi" w:hAnsiTheme="minorHAnsi" w:cs="TimesNewRomanPSMT"/>
        </w:rPr>
        <w:t>- samochód skrzyniowy,</w:t>
      </w:r>
    </w:p>
    <w:p w14:paraId="41AB3A66" w14:textId="77777777" w:rsidR="00327255" w:rsidRPr="00A23FB4" w:rsidRDefault="00327255" w:rsidP="00327255">
      <w:pPr>
        <w:rPr>
          <w:rFonts w:asciiTheme="minorHAnsi" w:hAnsiTheme="minorHAnsi" w:cs="TimesNewRomanPSMT"/>
        </w:rPr>
      </w:pPr>
      <w:r w:rsidRPr="00A23FB4">
        <w:rPr>
          <w:rFonts w:asciiTheme="minorHAnsi" w:hAnsiTheme="minorHAnsi" w:cs="TimesNewRomanPSMT"/>
        </w:rPr>
        <w:t>- samochód dostawczy,</w:t>
      </w:r>
    </w:p>
    <w:p w14:paraId="60EC24B5" w14:textId="77777777" w:rsidR="00327255" w:rsidRPr="00A23FB4" w:rsidRDefault="00327255" w:rsidP="00327255">
      <w:pPr>
        <w:rPr>
          <w:rFonts w:asciiTheme="minorHAnsi" w:hAnsiTheme="minorHAnsi" w:cs="TimesNewRomanPSMT"/>
        </w:rPr>
      </w:pPr>
      <w:r w:rsidRPr="00A23FB4">
        <w:rPr>
          <w:rFonts w:asciiTheme="minorHAnsi" w:hAnsiTheme="minorHAnsi" w:cs="TimesNewRomanPSMT"/>
        </w:rPr>
        <w:t>- żuraw samochodowy  6 ton.</w:t>
      </w:r>
    </w:p>
    <w:p w14:paraId="5E4922CC" w14:textId="77777777" w:rsidR="00327255" w:rsidRPr="00A23FB4" w:rsidRDefault="00327255" w:rsidP="00327255">
      <w:pPr>
        <w:ind w:firstLine="708"/>
        <w:rPr>
          <w:rFonts w:asciiTheme="minorHAnsi" w:hAnsiTheme="minorHAnsi" w:cs="TimesNewRomanPSMT"/>
        </w:rPr>
      </w:pPr>
      <w:r w:rsidRPr="00A23FB4">
        <w:rPr>
          <w:rFonts w:asciiTheme="minorHAnsi" w:hAnsiTheme="minorHAnsi" w:cs="TimesNewRomanPSMT"/>
        </w:rPr>
        <w:t>Na środkach transportu przewożone materiały i elementy powinny być zabezpieczone przed ich przemieszczaniem, układane zgodnie z warunkami transportu wydanymi przez wytwórcę poszczególnych elementów.</w:t>
      </w:r>
    </w:p>
    <w:p w14:paraId="36C8CD4B" w14:textId="77777777" w:rsidR="00327255" w:rsidRDefault="00327255" w:rsidP="00327255">
      <w:pPr>
        <w:rPr>
          <w:rFonts w:asciiTheme="minorHAnsi" w:hAnsiTheme="minorHAnsi" w:cs="TimesNewRomanPSMT"/>
          <w:b/>
        </w:rPr>
      </w:pPr>
    </w:p>
    <w:p w14:paraId="46E38C5D" w14:textId="77777777" w:rsidR="00067D67" w:rsidRDefault="00067D67" w:rsidP="00327255">
      <w:pPr>
        <w:rPr>
          <w:rFonts w:asciiTheme="minorHAnsi" w:hAnsiTheme="minorHAnsi" w:cs="TimesNewRomanPSMT"/>
          <w:b/>
        </w:rPr>
      </w:pPr>
    </w:p>
    <w:p w14:paraId="0653987A" w14:textId="77777777" w:rsidR="00067D67" w:rsidRDefault="00067D67" w:rsidP="00327255">
      <w:pPr>
        <w:rPr>
          <w:rFonts w:asciiTheme="minorHAnsi" w:hAnsiTheme="minorHAnsi" w:cs="TimesNewRomanPSMT"/>
          <w:b/>
        </w:rPr>
      </w:pPr>
    </w:p>
    <w:p w14:paraId="25666C56" w14:textId="77777777" w:rsidR="00067D67" w:rsidRDefault="00067D67" w:rsidP="00327255">
      <w:pPr>
        <w:rPr>
          <w:rFonts w:asciiTheme="minorHAnsi" w:hAnsiTheme="minorHAnsi" w:cs="TimesNewRomanPSMT"/>
          <w:b/>
        </w:rPr>
      </w:pPr>
    </w:p>
    <w:p w14:paraId="5076DC27" w14:textId="77777777" w:rsidR="00067D67" w:rsidRPr="00A23FB4" w:rsidRDefault="00067D67" w:rsidP="00327255">
      <w:pPr>
        <w:rPr>
          <w:rFonts w:asciiTheme="minorHAnsi" w:hAnsiTheme="minorHAnsi" w:cs="TimesNewRomanPSMT"/>
          <w:b/>
        </w:rPr>
      </w:pPr>
    </w:p>
    <w:p w14:paraId="50788046" w14:textId="77777777" w:rsidR="00327255" w:rsidRPr="00A23FB4" w:rsidRDefault="00327255" w:rsidP="00327255">
      <w:pPr>
        <w:rPr>
          <w:rFonts w:asciiTheme="minorHAnsi" w:hAnsiTheme="minorHAnsi" w:cs="TimesNewRomanPSMT"/>
          <w:b/>
        </w:rPr>
      </w:pPr>
    </w:p>
    <w:p w14:paraId="39DDE8F4" w14:textId="02FBBF0B" w:rsidR="00327255" w:rsidRPr="00A23FB4" w:rsidRDefault="00327255" w:rsidP="00327255">
      <w:pPr>
        <w:rPr>
          <w:rFonts w:asciiTheme="minorHAnsi" w:hAnsiTheme="minorHAnsi" w:cs="TimesNewRomanPSMT"/>
          <w:b/>
        </w:rPr>
      </w:pPr>
      <w:r w:rsidRPr="00A23FB4">
        <w:rPr>
          <w:rFonts w:asciiTheme="minorHAnsi" w:hAnsiTheme="minorHAnsi" w:cs="TimesNewRomanPSMT"/>
          <w:b/>
        </w:rPr>
        <w:t>5. WYKONANIE ROBÓT</w:t>
      </w:r>
    </w:p>
    <w:p w14:paraId="113EA538" w14:textId="77777777" w:rsidR="00327255" w:rsidRPr="00A23FB4" w:rsidRDefault="00327255" w:rsidP="00327255">
      <w:pPr>
        <w:rPr>
          <w:rFonts w:asciiTheme="minorHAnsi" w:hAnsiTheme="minorHAnsi" w:cs="TimesNewRomanPS-BoldMT"/>
          <w:b/>
          <w:bCs/>
        </w:rPr>
      </w:pPr>
    </w:p>
    <w:p w14:paraId="2B55213F" w14:textId="77777777" w:rsidR="00327255" w:rsidRPr="00A23FB4" w:rsidRDefault="00327255" w:rsidP="00327255">
      <w:pPr>
        <w:rPr>
          <w:rFonts w:asciiTheme="minorHAnsi" w:hAnsiTheme="minorHAnsi" w:cs="TimesNewRomanPS-BoldMT"/>
          <w:b/>
          <w:bCs/>
        </w:rPr>
      </w:pPr>
      <w:r w:rsidRPr="00A23FB4">
        <w:rPr>
          <w:rFonts w:asciiTheme="minorHAnsi" w:hAnsiTheme="minorHAnsi" w:cs="TimesNewRomanPS-BoldMT"/>
          <w:b/>
          <w:bCs/>
        </w:rPr>
        <w:t>5.1 Ogólne zasady wykonywania robót</w:t>
      </w:r>
    </w:p>
    <w:p w14:paraId="7BE947CC" w14:textId="77777777" w:rsidR="00327255" w:rsidRPr="00A23FB4" w:rsidRDefault="00327255" w:rsidP="00327255">
      <w:pPr>
        <w:rPr>
          <w:rFonts w:asciiTheme="minorHAnsi" w:hAnsiTheme="minorHAnsi" w:cs="TimesNewRomanPS-BoldMT"/>
          <w:b/>
          <w:bCs/>
        </w:rPr>
      </w:pPr>
    </w:p>
    <w:p w14:paraId="3F745C1D" w14:textId="77777777" w:rsidR="00327255" w:rsidRPr="00A23FB4" w:rsidRDefault="00327255" w:rsidP="00327255">
      <w:pPr>
        <w:ind w:firstLine="708"/>
        <w:rPr>
          <w:rFonts w:asciiTheme="minorHAnsi" w:hAnsiTheme="minorHAnsi" w:cs="TimesNewRomanPSMT"/>
        </w:rPr>
      </w:pPr>
      <w:r w:rsidRPr="00A23FB4">
        <w:rPr>
          <w:rFonts w:asciiTheme="minorHAnsi" w:hAnsiTheme="minorHAnsi" w:cs="TimesNewRomanPSMT"/>
        </w:rPr>
        <w:t>Przy przebudowie dróg należy wykonać kanał technologiczny kablowy w oparciu o normy  ZN-96/TP S.A.-011, ZN-96/TP S.A.-012, ZN-96/TP S.A.-014, ZN-96/TP S.A.-015, ZN-96/TP S.A.-018, ZN-96/TP S.A.-020, ZN-96/TP S.A.-021, ZN-96/TP S.A.-023, ZN-96/TP S.A.-025.</w:t>
      </w:r>
    </w:p>
    <w:p w14:paraId="6DFE99E0" w14:textId="77777777" w:rsidR="00327255" w:rsidRPr="00A23FB4" w:rsidRDefault="00327255" w:rsidP="00327255">
      <w:pPr>
        <w:ind w:firstLine="708"/>
        <w:rPr>
          <w:rFonts w:asciiTheme="minorHAnsi" w:hAnsiTheme="minorHAnsi" w:cs="TimesNewRomanPSMT"/>
        </w:rPr>
      </w:pPr>
    </w:p>
    <w:p w14:paraId="5B62224E" w14:textId="77777777" w:rsidR="00327255" w:rsidRPr="00A23FB4" w:rsidRDefault="00327255" w:rsidP="00327255">
      <w:pPr>
        <w:ind w:firstLine="708"/>
        <w:rPr>
          <w:rFonts w:asciiTheme="minorHAnsi" w:hAnsiTheme="minorHAnsi" w:cs="TimesNewRomanPSMT"/>
        </w:rPr>
      </w:pPr>
      <w:r w:rsidRPr="00A23FB4">
        <w:rPr>
          <w:rFonts w:asciiTheme="minorHAnsi" w:hAnsiTheme="minorHAnsi" w:cs="TimesNewRomanPSMT"/>
        </w:rPr>
        <w:t>Roboty należy wykonywać zgodnie z normami i przepisami budowy, bezpieczeństwa i</w:t>
      </w:r>
    </w:p>
    <w:p w14:paraId="5ECAF4F5" w14:textId="77777777" w:rsidR="00327255" w:rsidRPr="00A23FB4" w:rsidRDefault="00327255" w:rsidP="00327255">
      <w:pPr>
        <w:rPr>
          <w:rFonts w:asciiTheme="minorHAnsi" w:hAnsiTheme="minorHAnsi" w:cs="TimesNewRomanPSMT"/>
        </w:rPr>
      </w:pPr>
      <w:r w:rsidRPr="00A23FB4">
        <w:rPr>
          <w:rFonts w:asciiTheme="minorHAnsi" w:hAnsiTheme="minorHAnsi" w:cs="TimesNewRomanPSMT"/>
        </w:rPr>
        <w:t>higieny pracy.</w:t>
      </w:r>
    </w:p>
    <w:p w14:paraId="2B24470D" w14:textId="77777777" w:rsidR="00327255" w:rsidRPr="00A23FB4" w:rsidRDefault="00327255" w:rsidP="00327255">
      <w:pPr>
        <w:rPr>
          <w:rFonts w:asciiTheme="minorHAnsi" w:hAnsiTheme="minorHAnsi" w:cs="TimesNewRomanPS-BoldMT"/>
          <w:b/>
          <w:bCs/>
        </w:rPr>
      </w:pPr>
    </w:p>
    <w:p w14:paraId="29C694B7" w14:textId="77777777" w:rsidR="00327255" w:rsidRPr="00A23FB4" w:rsidRDefault="00327255" w:rsidP="00327255">
      <w:pPr>
        <w:rPr>
          <w:rFonts w:asciiTheme="minorHAnsi" w:hAnsiTheme="minorHAnsi" w:cs="TimesNewRomanPSMT"/>
          <w:b/>
        </w:rPr>
      </w:pPr>
      <w:r w:rsidRPr="00A23FB4">
        <w:rPr>
          <w:rFonts w:asciiTheme="minorHAnsi" w:hAnsiTheme="minorHAnsi" w:cs="TimesNewRomanPSMT"/>
          <w:b/>
        </w:rPr>
        <w:t>6. KONTROLA    JAKOŚCI    ROBÓT</w:t>
      </w:r>
    </w:p>
    <w:p w14:paraId="424405E6" w14:textId="77777777" w:rsidR="00327255" w:rsidRPr="00A23FB4" w:rsidRDefault="00327255" w:rsidP="00327255">
      <w:pPr>
        <w:rPr>
          <w:rFonts w:asciiTheme="minorHAnsi" w:hAnsiTheme="minorHAnsi" w:cs="TimesNewRomanPS-BoldMT"/>
          <w:b/>
          <w:bCs/>
        </w:rPr>
      </w:pPr>
    </w:p>
    <w:p w14:paraId="46A32517" w14:textId="77777777" w:rsidR="00327255" w:rsidRPr="00A23FB4" w:rsidRDefault="00327255" w:rsidP="00327255">
      <w:pPr>
        <w:rPr>
          <w:rFonts w:asciiTheme="minorHAnsi" w:hAnsiTheme="minorHAnsi" w:cs="TimesNewRomanPS-BoldMT"/>
          <w:b/>
          <w:bCs/>
        </w:rPr>
      </w:pPr>
      <w:r w:rsidRPr="00A23FB4">
        <w:rPr>
          <w:rFonts w:asciiTheme="minorHAnsi" w:hAnsiTheme="minorHAnsi" w:cs="TimesNewRomanPS-BoldMT"/>
          <w:b/>
          <w:bCs/>
        </w:rPr>
        <w:t>6.1 Zasady wykonania kontroli robót</w:t>
      </w:r>
    </w:p>
    <w:p w14:paraId="7BD2C9B4" w14:textId="77777777" w:rsidR="00327255" w:rsidRPr="00A23FB4" w:rsidRDefault="00327255" w:rsidP="00327255">
      <w:pPr>
        <w:ind w:firstLine="708"/>
        <w:rPr>
          <w:rFonts w:asciiTheme="minorHAnsi" w:hAnsiTheme="minorHAnsi" w:cs="TimesNewRomanPSMT"/>
        </w:rPr>
      </w:pPr>
      <w:r w:rsidRPr="00A23FB4">
        <w:rPr>
          <w:rFonts w:asciiTheme="minorHAnsi" w:hAnsiTheme="minorHAnsi" w:cs="TimesNewRomanPSMT"/>
        </w:rPr>
        <w:t>Celem kontroli jest stwierdzenie osiągnięcia założonej jakości wykonywanych robót.</w:t>
      </w:r>
    </w:p>
    <w:p w14:paraId="6091033D" w14:textId="77777777" w:rsidR="00327255" w:rsidRPr="00A23FB4" w:rsidRDefault="00327255" w:rsidP="00327255">
      <w:pPr>
        <w:rPr>
          <w:rFonts w:asciiTheme="minorHAnsi" w:hAnsiTheme="minorHAnsi" w:cs="TimesNewRomanPSMT"/>
        </w:rPr>
      </w:pPr>
      <w:r w:rsidRPr="00A23FB4">
        <w:rPr>
          <w:rFonts w:asciiTheme="minorHAnsi" w:hAnsiTheme="minorHAnsi" w:cs="TimesNewRomanPSMT"/>
        </w:rPr>
        <w:t>Wykonawca robót ma obowiązek wykonania pełnego zakresu badań na budowie w celu wykazania Inżynierowi zgodności dostarczonych materiałów i realizowanych robót z Dokumentacją Projektową.</w:t>
      </w:r>
    </w:p>
    <w:p w14:paraId="363616F3" w14:textId="77777777" w:rsidR="00327255" w:rsidRPr="00A23FB4" w:rsidRDefault="00327255" w:rsidP="00327255">
      <w:pPr>
        <w:ind w:firstLine="708"/>
        <w:rPr>
          <w:rFonts w:asciiTheme="minorHAnsi" w:hAnsiTheme="minorHAnsi" w:cs="TimesNewRomanPSMT"/>
        </w:rPr>
      </w:pPr>
      <w:r w:rsidRPr="00A23FB4">
        <w:rPr>
          <w:rFonts w:asciiTheme="minorHAnsi" w:hAnsiTheme="minorHAnsi" w:cs="TimesNewRomanPSMT"/>
        </w:rPr>
        <w:t>Przed przystąpieniem do badania Wykonawca powinien powiadomić Inżyniera o rodzaju i terminie badania.</w:t>
      </w:r>
    </w:p>
    <w:p w14:paraId="541B2F4F" w14:textId="77777777" w:rsidR="00327255" w:rsidRPr="00A23FB4" w:rsidRDefault="00327255" w:rsidP="00327255">
      <w:pPr>
        <w:ind w:firstLine="708"/>
        <w:rPr>
          <w:rFonts w:asciiTheme="minorHAnsi" w:hAnsiTheme="minorHAnsi" w:cs="TimesNewRomanPSMT"/>
        </w:rPr>
      </w:pPr>
    </w:p>
    <w:p w14:paraId="31F2CB08" w14:textId="77777777" w:rsidR="00327255" w:rsidRPr="00A23FB4" w:rsidRDefault="00327255" w:rsidP="00327255">
      <w:pPr>
        <w:ind w:firstLine="708"/>
        <w:rPr>
          <w:rFonts w:asciiTheme="minorHAnsi" w:hAnsiTheme="minorHAnsi" w:cs="TimesNewRomanPSMT"/>
        </w:rPr>
      </w:pPr>
      <w:r w:rsidRPr="00A23FB4">
        <w:rPr>
          <w:rFonts w:asciiTheme="minorHAnsi" w:hAnsiTheme="minorHAnsi" w:cs="TimesNewRomanPSMT"/>
        </w:rPr>
        <w:t>Po wykonaniu badania Wykonawca przedstawia na piśmie wyniki badań do akceptacji</w:t>
      </w:r>
    </w:p>
    <w:p w14:paraId="4A63C9DF" w14:textId="77777777" w:rsidR="00327255" w:rsidRPr="00A23FB4" w:rsidRDefault="00327255" w:rsidP="00327255">
      <w:pPr>
        <w:rPr>
          <w:rFonts w:asciiTheme="minorHAnsi" w:hAnsiTheme="minorHAnsi" w:cs="TimesNewRomanPSMT"/>
        </w:rPr>
      </w:pPr>
      <w:r w:rsidRPr="00A23FB4">
        <w:rPr>
          <w:rFonts w:asciiTheme="minorHAnsi" w:hAnsiTheme="minorHAnsi" w:cs="TimesNewRomanPSMT"/>
        </w:rPr>
        <w:t>Inżyniera. Wykonawca powiadamia pisemnie Inżyniera o zakończeniu każdej roboty zanikającej, którą może kontynuować dopiero po pisemnej akceptacji odbioru przez Inżyniera.</w:t>
      </w:r>
    </w:p>
    <w:p w14:paraId="653C3192" w14:textId="7AE893D0" w:rsidR="00327255" w:rsidRPr="00A23FB4" w:rsidRDefault="00327255" w:rsidP="00067D67">
      <w:pPr>
        <w:ind w:firstLine="708"/>
        <w:rPr>
          <w:rFonts w:asciiTheme="minorHAnsi" w:hAnsiTheme="minorHAnsi" w:cs="TimesNewRomanPSMT"/>
        </w:rPr>
      </w:pPr>
      <w:r w:rsidRPr="00A23FB4">
        <w:rPr>
          <w:rFonts w:asciiTheme="minorHAnsi" w:hAnsiTheme="minorHAnsi" w:cs="TimesNewRomanPSMT"/>
        </w:rPr>
        <w:t>Kontrola jakości robót telekomunikacyjnych powinna odbywać się w obecności inspektora nadzoru, przedstawiciela zamawiającego .</w:t>
      </w:r>
    </w:p>
    <w:p w14:paraId="51469943" w14:textId="77777777" w:rsidR="00327255" w:rsidRPr="00A23FB4" w:rsidRDefault="00327255" w:rsidP="00327255">
      <w:pPr>
        <w:rPr>
          <w:rFonts w:asciiTheme="minorHAnsi" w:hAnsiTheme="minorHAnsi" w:cs="TimesNewRomanPS-BoldMT"/>
          <w:b/>
          <w:bCs/>
        </w:rPr>
      </w:pPr>
    </w:p>
    <w:p w14:paraId="1C727669" w14:textId="77777777" w:rsidR="00327255" w:rsidRPr="00A23FB4" w:rsidRDefault="00327255" w:rsidP="00327255">
      <w:pPr>
        <w:rPr>
          <w:rFonts w:asciiTheme="minorHAnsi" w:hAnsiTheme="minorHAnsi" w:cs="TimesNewRomanPS-BoldMT"/>
          <w:b/>
          <w:bCs/>
        </w:rPr>
      </w:pPr>
      <w:r w:rsidRPr="00A23FB4">
        <w:rPr>
          <w:rFonts w:asciiTheme="minorHAnsi" w:hAnsiTheme="minorHAnsi" w:cs="TimesNewRomanPS-BoldMT"/>
          <w:b/>
          <w:bCs/>
        </w:rPr>
        <w:t>6.2 Ocena wyników badań</w:t>
      </w:r>
    </w:p>
    <w:p w14:paraId="6E35502A" w14:textId="77777777" w:rsidR="00327255" w:rsidRPr="00A23FB4" w:rsidRDefault="00327255" w:rsidP="00327255">
      <w:pPr>
        <w:rPr>
          <w:rFonts w:asciiTheme="minorHAnsi" w:hAnsiTheme="minorHAnsi" w:cs="TimesNewRomanPS-BoldMT"/>
          <w:b/>
          <w:bCs/>
        </w:rPr>
      </w:pPr>
    </w:p>
    <w:p w14:paraId="0E515A0A" w14:textId="77777777" w:rsidR="00327255" w:rsidRPr="00A23FB4" w:rsidRDefault="00327255" w:rsidP="00327255">
      <w:pPr>
        <w:ind w:firstLine="708"/>
        <w:rPr>
          <w:rFonts w:asciiTheme="minorHAnsi" w:hAnsiTheme="minorHAnsi" w:cs="TimesNewRomanPSMT"/>
        </w:rPr>
      </w:pPr>
      <w:r w:rsidRPr="00A23FB4">
        <w:rPr>
          <w:rFonts w:asciiTheme="minorHAnsi" w:hAnsiTheme="minorHAnsi" w:cs="TimesNewRomanPSMT"/>
        </w:rPr>
        <w:t xml:space="preserve">Przedstawiony do odbioru kanał technologiczny kablowy należy uznać za wykonany zgodnie z wymaganiami normy, jeżeli sprawdzenia i pomiary podane w rozdziale </w:t>
      </w:r>
      <w:smartTag w:uri="urn:schemas-microsoft-com:office:smarttags" w:element="metricconverter">
        <w:smartTagPr>
          <w:attr w:name="ProductID" w:val="6 ST"/>
        </w:smartTagPr>
        <w:r w:rsidRPr="00A23FB4">
          <w:rPr>
            <w:rFonts w:asciiTheme="minorHAnsi" w:hAnsiTheme="minorHAnsi" w:cs="TimesNewRomanPSMT"/>
          </w:rPr>
          <w:t>6 ST</w:t>
        </w:r>
      </w:smartTag>
      <w:r w:rsidRPr="00A23FB4">
        <w:rPr>
          <w:rFonts w:asciiTheme="minorHAnsi" w:hAnsiTheme="minorHAnsi" w:cs="TimesNewRomanPSMT"/>
        </w:rPr>
        <w:t xml:space="preserve"> dały dodatni wynik.</w:t>
      </w:r>
    </w:p>
    <w:p w14:paraId="61F7F1FF" w14:textId="77777777" w:rsidR="00327255" w:rsidRPr="00A23FB4" w:rsidRDefault="00327255" w:rsidP="00327255">
      <w:pPr>
        <w:ind w:firstLine="708"/>
        <w:rPr>
          <w:rFonts w:asciiTheme="minorHAnsi" w:hAnsiTheme="minorHAnsi" w:cs="TimesNewRomanPSMT"/>
        </w:rPr>
      </w:pPr>
      <w:r w:rsidRPr="00A23FB4">
        <w:rPr>
          <w:rFonts w:asciiTheme="minorHAnsi" w:hAnsiTheme="minorHAnsi" w:cs="TimesNewRomanPSMT"/>
        </w:rPr>
        <w:t>Elementy kanału technologicznego kablowego, które w wyniku przeprowadzonych badań otrzymały ocenę ujemną, powinny być wymienione lub poprawione i ponownie zgłoszone do odbioru.</w:t>
      </w:r>
    </w:p>
    <w:p w14:paraId="000B9E9B" w14:textId="77777777" w:rsidR="00327255" w:rsidRPr="00A23FB4" w:rsidRDefault="00327255" w:rsidP="00327255">
      <w:pPr>
        <w:rPr>
          <w:rFonts w:asciiTheme="minorHAnsi" w:hAnsiTheme="minorHAnsi" w:cs="TimesNewRomanPSMT"/>
        </w:rPr>
      </w:pPr>
    </w:p>
    <w:p w14:paraId="58D0410D" w14:textId="77777777" w:rsidR="00327255" w:rsidRPr="00A23FB4" w:rsidRDefault="00327255" w:rsidP="00327255">
      <w:pPr>
        <w:rPr>
          <w:rFonts w:asciiTheme="minorHAnsi" w:hAnsiTheme="minorHAnsi" w:cs="TimesNewRomanPSMT"/>
          <w:b/>
        </w:rPr>
      </w:pPr>
      <w:r w:rsidRPr="00A23FB4">
        <w:rPr>
          <w:rFonts w:asciiTheme="minorHAnsi" w:hAnsiTheme="minorHAnsi" w:cs="TimesNewRomanPSMT"/>
          <w:b/>
        </w:rPr>
        <w:t>7. OBMIAR    ROBÓT</w:t>
      </w:r>
    </w:p>
    <w:p w14:paraId="485C7806" w14:textId="77777777" w:rsidR="00327255" w:rsidRPr="00A23FB4" w:rsidRDefault="00327255" w:rsidP="00327255">
      <w:pPr>
        <w:rPr>
          <w:rFonts w:asciiTheme="minorHAnsi" w:hAnsiTheme="minorHAnsi" w:cs="TimesNewRomanPSMT"/>
          <w:b/>
        </w:rPr>
      </w:pPr>
    </w:p>
    <w:p w14:paraId="10199E7C" w14:textId="77777777" w:rsidR="007C04C0" w:rsidRDefault="007C04C0" w:rsidP="007C04C0">
      <w:pPr>
        <w:pStyle w:val="StylIwony"/>
        <w:suppressAutoHyphens/>
        <w:spacing w:before="0" w:after="0"/>
        <w:rPr>
          <w:rFonts w:asciiTheme="minorHAnsi" w:hAnsiTheme="minorHAnsi" w:cstheme="minorHAnsi"/>
          <w:sz w:val="20"/>
          <w:szCs w:val="20"/>
        </w:rPr>
      </w:pPr>
      <w:r>
        <w:rPr>
          <w:rFonts w:asciiTheme="minorHAnsi" w:hAnsiTheme="minorHAnsi" w:cstheme="minorHAnsi"/>
          <w:sz w:val="20"/>
          <w:szCs w:val="20"/>
        </w:rPr>
        <w:t>Kontrakt ryczałtowy</w:t>
      </w:r>
    </w:p>
    <w:p w14:paraId="16BB8AA6" w14:textId="45C19D71" w:rsidR="00327255" w:rsidRDefault="007C04C0" w:rsidP="00327255">
      <w:pPr>
        <w:rPr>
          <w:rFonts w:asciiTheme="minorHAnsi" w:hAnsiTheme="minorHAnsi" w:cs="TimesNewRomanPSMT"/>
        </w:rPr>
      </w:pPr>
      <w:r>
        <w:rPr>
          <w:rFonts w:asciiTheme="minorHAnsi" w:hAnsiTheme="minorHAnsi" w:cs="TimesNewRomanPSMT"/>
        </w:rPr>
        <w:t>Szczegółowe zasady obmiaru podano w STWiORB D-M-00.00.00 Wymagania ogólne pkt 7</w:t>
      </w:r>
    </w:p>
    <w:p w14:paraId="383C5968" w14:textId="77777777" w:rsidR="007C04C0" w:rsidRPr="00A23FB4" w:rsidRDefault="007C04C0" w:rsidP="00327255">
      <w:pPr>
        <w:rPr>
          <w:rFonts w:asciiTheme="minorHAnsi" w:hAnsiTheme="minorHAnsi" w:cs="TimesNewRomanPSMT"/>
        </w:rPr>
      </w:pPr>
    </w:p>
    <w:p w14:paraId="33C2D062" w14:textId="77777777" w:rsidR="00327255" w:rsidRPr="00A23FB4" w:rsidRDefault="00327255" w:rsidP="00327255">
      <w:pPr>
        <w:rPr>
          <w:rFonts w:asciiTheme="minorHAnsi" w:hAnsiTheme="minorHAnsi" w:cs="TimesNewRomanPSMT"/>
          <w:b/>
        </w:rPr>
      </w:pPr>
      <w:r w:rsidRPr="00A23FB4">
        <w:rPr>
          <w:rFonts w:asciiTheme="minorHAnsi" w:hAnsiTheme="minorHAnsi" w:cs="TimesNewRomanPSMT"/>
          <w:b/>
        </w:rPr>
        <w:t>8. ODBIÓR  ROBÓT</w:t>
      </w:r>
    </w:p>
    <w:p w14:paraId="53C0FD6B" w14:textId="77777777" w:rsidR="00327255" w:rsidRPr="00A23FB4" w:rsidRDefault="00327255" w:rsidP="00327255">
      <w:pPr>
        <w:rPr>
          <w:rFonts w:asciiTheme="minorHAnsi" w:hAnsiTheme="minorHAnsi" w:cs="TimesNewRomanPSMT"/>
          <w:b/>
        </w:rPr>
      </w:pPr>
    </w:p>
    <w:p w14:paraId="2DC6C618" w14:textId="77777777" w:rsidR="00327255" w:rsidRPr="00A23FB4" w:rsidRDefault="00327255" w:rsidP="007C04C0">
      <w:pPr>
        <w:rPr>
          <w:rFonts w:asciiTheme="minorHAnsi" w:hAnsiTheme="minorHAnsi" w:cs="TimesNewRomanPSMT"/>
        </w:rPr>
      </w:pPr>
      <w:r w:rsidRPr="00A23FB4">
        <w:rPr>
          <w:rFonts w:asciiTheme="minorHAnsi" w:hAnsiTheme="minorHAnsi" w:cs="TimesNewRomanPSMT"/>
        </w:rPr>
        <w:t>Po wykonaniu budowy kanału technologicznego kablowego,  w celu przekazania w/w elementów do eksploatacji, Wykonawca zobowiązany jest dostarczyć zamawiającemu następujące dokumenty:</w:t>
      </w:r>
    </w:p>
    <w:p w14:paraId="3DAA407D" w14:textId="77777777" w:rsidR="00327255" w:rsidRPr="00A23FB4" w:rsidRDefault="00327255" w:rsidP="00327255">
      <w:pPr>
        <w:rPr>
          <w:rFonts w:asciiTheme="minorHAnsi" w:hAnsiTheme="minorHAnsi" w:cs="TimesNewRomanPSMT"/>
        </w:rPr>
      </w:pPr>
    </w:p>
    <w:p w14:paraId="4778D6F9" w14:textId="77777777" w:rsidR="00327255" w:rsidRPr="00A23FB4" w:rsidRDefault="00327255" w:rsidP="00327255">
      <w:pPr>
        <w:rPr>
          <w:rFonts w:asciiTheme="minorHAnsi" w:hAnsiTheme="minorHAnsi" w:cs="TimesNewRomanPSMT"/>
        </w:rPr>
      </w:pPr>
      <w:r w:rsidRPr="00A23FB4">
        <w:rPr>
          <w:rFonts w:asciiTheme="minorHAnsi" w:hAnsiTheme="minorHAnsi" w:cs="TimesNewRomanPSMT"/>
        </w:rPr>
        <w:t>- aktualną powykonawczą Dokumentację Projektową,</w:t>
      </w:r>
    </w:p>
    <w:p w14:paraId="01DBE6F4" w14:textId="77777777" w:rsidR="00327255" w:rsidRPr="00A23FB4" w:rsidRDefault="00327255" w:rsidP="00327255">
      <w:pPr>
        <w:rPr>
          <w:rFonts w:asciiTheme="minorHAnsi" w:hAnsiTheme="minorHAnsi" w:cs="TimesNewRomanPSMT"/>
        </w:rPr>
      </w:pPr>
      <w:r w:rsidRPr="00A23FB4">
        <w:rPr>
          <w:rFonts w:asciiTheme="minorHAnsi" w:hAnsiTheme="minorHAnsi" w:cs="TimesNewRomanPSMT"/>
        </w:rPr>
        <w:t>- geodezyjną dokumentację powykonawczą,</w:t>
      </w:r>
    </w:p>
    <w:p w14:paraId="6C37BF9B" w14:textId="77777777" w:rsidR="00327255" w:rsidRPr="00A23FB4" w:rsidRDefault="00327255" w:rsidP="00327255">
      <w:pPr>
        <w:rPr>
          <w:rFonts w:asciiTheme="minorHAnsi" w:hAnsiTheme="minorHAnsi" w:cs="TimesNewRomanPSMT"/>
        </w:rPr>
      </w:pPr>
      <w:r w:rsidRPr="00A23FB4">
        <w:rPr>
          <w:rFonts w:asciiTheme="minorHAnsi" w:hAnsiTheme="minorHAnsi" w:cs="TimesNewRomanPSMT"/>
        </w:rPr>
        <w:t>- protokoły z dokonanych pomiarów,</w:t>
      </w:r>
    </w:p>
    <w:p w14:paraId="31BE9A84" w14:textId="77777777" w:rsidR="00327255" w:rsidRPr="00A23FB4" w:rsidRDefault="00327255" w:rsidP="00327255">
      <w:pPr>
        <w:rPr>
          <w:rFonts w:asciiTheme="minorHAnsi" w:hAnsiTheme="minorHAnsi" w:cs="TimesNewRomanPSMT"/>
        </w:rPr>
      </w:pPr>
      <w:r w:rsidRPr="00A23FB4">
        <w:rPr>
          <w:rFonts w:asciiTheme="minorHAnsi" w:hAnsiTheme="minorHAnsi" w:cs="TimesNewRomanPSMT"/>
        </w:rPr>
        <w:t>- protokoły odbioru robót zanikających,</w:t>
      </w:r>
    </w:p>
    <w:p w14:paraId="783A986F" w14:textId="77777777" w:rsidR="00327255" w:rsidRPr="00A23FB4" w:rsidRDefault="00327255" w:rsidP="00327255">
      <w:pPr>
        <w:rPr>
          <w:rFonts w:asciiTheme="minorHAnsi" w:hAnsiTheme="minorHAnsi" w:cs="TimesNewRomanPSMT"/>
        </w:rPr>
      </w:pPr>
      <w:r w:rsidRPr="00A23FB4">
        <w:rPr>
          <w:rFonts w:asciiTheme="minorHAnsi" w:hAnsiTheme="minorHAnsi" w:cs="TimesNewRomanPSMT"/>
        </w:rPr>
        <w:t xml:space="preserve">- protokół odbioru robót </w:t>
      </w:r>
    </w:p>
    <w:p w14:paraId="7AF6DC65" w14:textId="77777777" w:rsidR="00327255" w:rsidRPr="00A23FB4" w:rsidRDefault="00327255" w:rsidP="00327255">
      <w:pPr>
        <w:rPr>
          <w:rFonts w:asciiTheme="minorHAnsi" w:hAnsiTheme="minorHAnsi" w:cs="TimesNewRomanPSMT"/>
        </w:rPr>
      </w:pPr>
    </w:p>
    <w:p w14:paraId="13952337" w14:textId="6B35D576" w:rsidR="00327255" w:rsidRPr="00A23FB4" w:rsidRDefault="00327255" w:rsidP="00327255">
      <w:pPr>
        <w:rPr>
          <w:rFonts w:asciiTheme="minorHAnsi" w:hAnsiTheme="minorHAnsi" w:cs="TimesNewRomanPSMT"/>
        </w:rPr>
      </w:pPr>
      <w:r w:rsidRPr="00A23FB4">
        <w:rPr>
          <w:rFonts w:asciiTheme="minorHAnsi" w:hAnsiTheme="minorHAnsi" w:cs="TimesNewRomanPSMT"/>
        </w:rPr>
        <w:t>Zadanie obejmuje w swym zakresie :</w:t>
      </w:r>
    </w:p>
    <w:p w14:paraId="5B74AD40" w14:textId="77777777" w:rsidR="00327255" w:rsidRPr="00A23FB4" w:rsidRDefault="00327255" w:rsidP="00327255">
      <w:pPr>
        <w:rPr>
          <w:rFonts w:asciiTheme="minorHAnsi" w:hAnsiTheme="minorHAnsi" w:cs="TimesNewRomanPSMT"/>
        </w:rPr>
      </w:pPr>
      <w:r w:rsidRPr="00A23FB4">
        <w:rPr>
          <w:rFonts w:asciiTheme="minorHAnsi" w:hAnsiTheme="minorHAnsi" w:cs="TimesNewRomanPSMT"/>
        </w:rPr>
        <w:t xml:space="preserve">- budowę kanalizacji kablowej pierwotnej dziewięciootworowej 8x40+1x110 </w:t>
      </w:r>
    </w:p>
    <w:p w14:paraId="4EB0AABD" w14:textId="477B95FD" w:rsidR="00327255" w:rsidRPr="00A23FB4" w:rsidRDefault="00327255" w:rsidP="00327255">
      <w:pPr>
        <w:rPr>
          <w:rFonts w:asciiTheme="minorHAnsi" w:hAnsiTheme="minorHAnsi" w:cs="TimesNewRomanPSMT"/>
        </w:rPr>
      </w:pPr>
      <w:r w:rsidRPr="00A23FB4">
        <w:rPr>
          <w:rFonts w:asciiTheme="minorHAnsi" w:hAnsiTheme="minorHAnsi" w:cs="TimesNewRomanPSMT"/>
        </w:rPr>
        <w:t>- włączenie do studni kablowych</w:t>
      </w:r>
    </w:p>
    <w:p w14:paraId="6A92FADC" w14:textId="77777777" w:rsidR="00327255" w:rsidRPr="00A23FB4" w:rsidRDefault="00327255" w:rsidP="00327255">
      <w:pPr>
        <w:rPr>
          <w:rFonts w:asciiTheme="minorHAnsi" w:hAnsiTheme="minorHAnsi" w:cs="TimesNewRomanPSMT"/>
        </w:rPr>
      </w:pPr>
    </w:p>
    <w:p w14:paraId="23AEC0D6" w14:textId="77777777" w:rsidR="00327255" w:rsidRPr="00A23FB4" w:rsidRDefault="00327255" w:rsidP="00327255">
      <w:pPr>
        <w:rPr>
          <w:rFonts w:asciiTheme="minorHAnsi" w:hAnsiTheme="minorHAnsi" w:cs="TimesNewRomanPSMT"/>
          <w:b/>
        </w:rPr>
      </w:pPr>
      <w:r w:rsidRPr="00A23FB4">
        <w:rPr>
          <w:rFonts w:asciiTheme="minorHAnsi" w:hAnsiTheme="minorHAnsi" w:cs="TimesNewRomanPSMT"/>
          <w:b/>
        </w:rPr>
        <w:t>9.  PODSTAWA   PŁATNOŚCI</w:t>
      </w:r>
    </w:p>
    <w:p w14:paraId="02288F56" w14:textId="77777777" w:rsidR="00327255" w:rsidRPr="00A23FB4" w:rsidRDefault="00327255" w:rsidP="00327255">
      <w:pPr>
        <w:ind w:firstLine="708"/>
        <w:rPr>
          <w:rFonts w:asciiTheme="minorHAnsi" w:hAnsiTheme="minorHAnsi" w:cs="TimesNewRomanPSMT"/>
        </w:rPr>
      </w:pPr>
    </w:p>
    <w:p w14:paraId="7E3ECC56" w14:textId="77777777" w:rsidR="007C04C0" w:rsidRDefault="007C04C0" w:rsidP="007C04C0">
      <w:pPr>
        <w:pStyle w:val="StylIwony"/>
        <w:suppressAutoHyphens/>
        <w:spacing w:before="0" w:after="0"/>
        <w:rPr>
          <w:rFonts w:asciiTheme="minorHAnsi" w:hAnsiTheme="minorHAnsi" w:cstheme="minorHAnsi"/>
          <w:sz w:val="20"/>
          <w:szCs w:val="20"/>
        </w:rPr>
      </w:pPr>
      <w:r>
        <w:rPr>
          <w:rFonts w:asciiTheme="minorHAnsi" w:hAnsiTheme="minorHAnsi" w:cstheme="minorHAnsi"/>
          <w:sz w:val="20"/>
          <w:szCs w:val="20"/>
        </w:rPr>
        <w:t>Kontrakt ryczałtowy</w:t>
      </w:r>
    </w:p>
    <w:p w14:paraId="094C007F" w14:textId="35451DDB" w:rsidR="00327255" w:rsidRDefault="007C04C0" w:rsidP="00327255">
      <w:pPr>
        <w:rPr>
          <w:rFonts w:asciiTheme="minorHAnsi" w:hAnsiTheme="minorHAnsi" w:cs="TimesNewRomanPSMT"/>
        </w:rPr>
      </w:pPr>
      <w:r>
        <w:rPr>
          <w:rFonts w:asciiTheme="minorHAnsi" w:hAnsiTheme="minorHAnsi" w:cs="TimesNewRomanPSMT"/>
        </w:rPr>
        <w:t>Szczegółowe zasady podstawy płatności podani w STWiORB D-M  00.00.00 Wymagania ogólne pkt 9</w:t>
      </w:r>
    </w:p>
    <w:p w14:paraId="3C88D855" w14:textId="77777777" w:rsidR="007C04C0" w:rsidRPr="00A23FB4" w:rsidRDefault="007C04C0" w:rsidP="00327255">
      <w:pPr>
        <w:rPr>
          <w:rFonts w:asciiTheme="minorHAnsi" w:hAnsiTheme="minorHAnsi" w:cs="TimesNewRomanPSMT"/>
        </w:rPr>
      </w:pPr>
    </w:p>
    <w:p w14:paraId="43BBAB34" w14:textId="639F6B37" w:rsidR="00327255" w:rsidRPr="009017CB" w:rsidRDefault="00327255" w:rsidP="00327255">
      <w:pPr>
        <w:rPr>
          <w:rFonts w:asciiTheme="minorHAnsi" w:hAnsiTheme="minorHAnsi" w:cstheme="minorHAnsi"/>
          <w:b/>
        </w:rPr>
      </w:pPr>
      <w:r w:rsidRPr="009017CB">
        <w:rPr>
          <w:rFonts w:asciiTheme="minorHAnsi" w:hAnsiTheme="minorHAnsi" w:cstheme="minorHAnsi"/>
          <w:b/>
        </w:rPr>
        <w:t>10. PRZEPISY  ZWIĄZANE</w:t>
      </w:r>
    </w:p>
    <w:p w14:paraId="11A3C408" w14:textId="77777777" w:rsidR="00327255" w:rsidRPr="009017CB" w:rsidRDefault="00327255" w:rsidP="00327255">
      <w:pPr>
        <w:rPr>
          <w:rFonts w:asciiTheme="minorHAnsi" w:hAnsiTheme="minorHAnsi" w:cstheme="minorHAnsi"/>
          <w:b/>
          <w:bCs/>
        </w:rPr>
      </w:pPr>
    </w:p>
    <w:p w14:paraId="7F88F142" w14:textId="0B4B05CF" w:rsidR="00327255" w:rsidRPr="009017CB" w:rsidRDefault="00327255" w:rsidP="00327255">
      <w:pPr>
        <w:rPr>
          <w:rFonts w:asciiTheme="minorHAnsi" w:hAnsiTheme="minorHAnsi" w:cstheme="minorHAnsi"/>
          <w:b/>
          <w:bCs/>
        </w:rPr>
      </w:pPr>
      <w:r w:rsidRPr="009017CB">
        <w:rPr>
          <w:rFonts w:asciiTheme="minorHAnsi" w:hAnsiTheme="minorHAnsi" w:cstheme="minorHAnsi"/>
          <w:b/>
          <w:bCs/>
        </w:rPr>
        <w:t>10.1 Normy</w:t>
      </w:r>
    </w:p>
    <w:p w14:paraId="439C6710" w14:textId="77777777" w:rsidR="00327255" w:rsidRPr="00067D67" w:rsidRDefault="00327255" w:rsidP="00327255">
      <w:pPr>
        <w:rPr>
          <w:rFonts w:asciiTheme="minorHAnsi" w:hAnsiTheme="minorHAnsi" w:cstheme="minorHAnsi"/>
          <w:sz w:val="18"/>
          <w:szCs w:val="18"/>
        </w:rPr>
      </w:pPr>
      <w:r w:rsidRPr="00067D67">
        <w:rPr>
          <w:rFonts w:asciiTheme="minorHAnsi" w:hAnsiTheme="minorHAnsi" w:cstheme="minorHAnsi"/>
          <w:sz w:val="18"/>
          <w:szCs w:val="18"/>
        </w:rPr>
        <w:t>(1) PN-76/D-79353 - Bębny kablowe.</w:t>
      </w:r>
    </w:p>
    <w:p w14:paraId="622AB4D7" w14:textId="77777777" w:rsidR="00327255" w:rsidRPr="00067D67" w:rsidRDefault="00327255" w:rsidP="00327255">
      <w:pPr>
        <w:rPr>
          <w:rFonts w:asciiTheme="minorHAnsi" w:hAnsiTheme="minorHAnsi" w:cstheme="minorHAnsi"/>
          <w:sz w:val="18"/>
          <w:szCs w:val="18"/>
        </w:rPr>
      </w:pPr>
      <w:r w:rsidRPr="00067D67">
        <w:rPr>
          <w:rFonts w:asciiTheme="minorHAnsi" w:hAnsiTheme="minorHAnsi" w:cstheme="minorHAnsi"/>
          <w:sz w:val="18"/>
          <w:szCs w:val="18"/>
        </w:rPr>
        <w:t>(2) BN-72/3233-13 - Telekomunikacyjne linie kablowe. Opaski oznaczeniowe.</w:t>
      </w:r>
    </w:p>
    <w:p w14:paraId="1B6888C1" w14:textId="77777777" w:rsidR="00327255" w:rsidRPr="00067D67" w:rsidRDefault="00327255" w:rsidP="00327255">
      <w:pPr>
        <w:rPr>
          <w:rFonts w:asciiTheme="minorHAnsi" w:hAnsiTheme="minorHAnsi" w:cstheme="minorHAnsi"/>
          <w:sz w:val="18"/>
          <w:szCs w:val="18"/>
        </w:rPr>
      </w:pPr>
      <w:r w:rsidRPr="00067D67">
        <w:rPr>
          <w:rFonts w:asciiTheme="minorHAnsi" w:hAnsiTheme="minorHAnsi" w:cstheme="minorHAnsi"/>
          <w:sz w:val="18"/>
          <w:szCs w:val="18"/>
        </w:rPr>
        <w:t>(3) BN-74/3233-17 - Telekomunikacyjne linie kablowe. Słupki oznaczeniowe i oznaczeniowo - pomiarowe.</w:t>
      </w:r>
    </w:p>
    <w:p w14:paraId="14531621" w14:textId="77777777" w:rsidR="00327255" w:rsidRPr="00067D67" w:rsidRDefault="00327255" w:rsidP="00327255">
      <w:pPr>
        <w:rPr>
          <w:rFonts w:asciiTheme="minorHAnsi" w:hAnsiTheme="minorHAnsi" w:cstheme="minorHAnsi"/>
          <w:sz w:val="18"/>
          <w:szCs w:val="18"/>
        </w:rPr>
      </w:pPr>
      <w:r w:rsidRPr="00067D67">
        <w:rPr>
          <w:rFonts w:asciiTheme="minorHAnsi" w:hAnsiTheme="minorHAnsi" w:cstheme="minorHAnsi"/>
          <w:sz w:val="18"/>
          <w:szCs w:val="18"/>
        </w:rPr>
        <w:t>(4) PN-84/T-90346 - Telekomunikacyjne kable dalekosiężne symetryczne z wiązkami czwórkowymi o izolacji polietylenowej piankowej i o powłoce aluminiowej z osłoną ochronną polietylenową.</w:t>
      </w:r>
    </w:p>
    <w:p w14:paraId="5284A470" w14:textId="77777777" w:rsidR="00327255" w:rsidRPr="00067D67" w:rsidRDefault="00327255" w:rsidP="00327255">
      <w:pPr>
        <w:rPr>
          <w:rFonts w:asciiTheme="minorHAnsi" w:hAnsiTheme="minorHAnsi" w:cstheme="minorHAnsi"/>
          <w:sz w:val="18"/>
          <w:szCs w:val="18"/>
        </w:rPr>
      </w:pPr>
      <w:r w:rsidRPr="00067D67">
        <w:rPr>
          <w:rFonts w:asciiTheme="minorHAnsi" w:hAnsiTheme="minorHAnsi" w:cstheme="minorHAnsi"/>
          <w:sz w:val="18"/>
          <w:szCs w:val="18"/>
        </w:rPr>
        <w:t>(5) PN-87/T-90352 - Telekomunikacyjne kable dalekosiężne symetryczne o izolacji polietylenowo-powietrznej i powłoce ołowianej. Rodzaj kabli.</w:t>
      </w:r>
    </w:p>
    <w:p w14:paraId="45A53C39" w14:textId="77777777" w:rsidR="00327255" w:rsidRPr="00067D67" w:rsidRDefault="00327255" w:rsidP="00327255">
      <w:pPr>
        <w:rPr>
          <w:rFonts w:asciiTheme="minorHAnsi" w:hAnsiTheme="minorHAnsi" w:cstheme="minorHAnsi"/>
          <w:sz w:val="18"/>
          <w:szCs w:val="18"/>
        </w:rPr>
      </w:pPr>
      <w:r w:rsidRPr="00067D67">
        <w:rPr>
          <w:rFonts w:asciiTheme="minorHAnsi" w:hAnsiTheme="minorHAnsi" w:cstheme="minorHAnsi"/>
          <w:sz w:val="18"/>
          <w:szCs w:val="18"/>
        </w:rPr>
        <w:t>(6) BN-89/8984-18 - Telekomunikacyjne linie kablowe dalekosiężne. Ogólne wymagania i badania.</w:t>
      </w:r>
    </w:p>
    <w:p w14:paraId="6F0420E2" w14:textId="77777777" w:rsidR="00327255" w:rsidRPr="00067D67" w:rsidRDefault="00327255" w:rsidP="00327255">
      <w:pPr>
        <w:rPr>
          <w:rFonts w:asciiTheme="minorHAnsi" w:hAnsiTheme="minorHAnsi" w:cstheme="minorHAnsi"/>
          <w:sz w:val="18"/>
          <w:szCs w:val="18"/>
        </w:rPr>
      </w:pPr>
      <w:r w:rsidRPr="00067D67">
        <w:rPr>
          <w:rFonts w:asciiTheme="minorHAnsi" w:hAnsiTheme="minorHAnsi" w:cstheme="minorHAnsi"/>
          <w:sz w:val="18"/>
          <w:szCs w:val="18"/>
        </w:rPr>
        <w:t>(7) ZN-96 TP S.A.-002 - Telekomunikacyjne linie kablowe dalekosiężne. Linie optotelekomunikacyjne. Ogólne wymagania techniczne.</w:t>
      </w:r>
    </w:p>
    <w:p w14:paraId="0C6E7790" w14:textId="77777777" w:rsidR="00327255" w:rsidRPr="00067D67" w:rsidRDefault="00327255" w:rsidP="00327255">
      <w:pPr>
        <w:rPr>
          <w:rFonts w:asciiTheme="minorHAnsi" w:hAnsiTheme="minorHAnsi" w:cstheme="minorHAnsi"/>
          <w:sz w:val="18"/>
          <w:szCs w:val="18"/>
        </w:rPr>
      </w:pPr>
      <w:r w:rsidRPr="00067D67">
        <w:rPr>
          <w:rFonts w:asciiTheme="minorHAnsi" w:hAnsiTheme="minorHAnsi" w:cstheme="minorHAnsi"/>
          <w:sz w:val="18"/>
          <w:szCs w:val="18"/>
        </w:rPr>
        <w:t>(8) ZN-96 TP S.A.-004 - Telekomunikacyjne linie kablowe dalekosiężne. Zbliżenia i skrzyżowania z innymi urządzeniami uzbrojenia terenowego. Wymagania i badania.</w:t>
      </w:r>
    </w:p>
    <w:p w14:paraId="04ED93BA" w14:textId="77777777" w:rsidR="00327255" w:rsidRPr="00067D67" w:rsidRDefault="00327255" w:rsidP="00327255">
      <w:pPr>
        <w:rPr>
          <w:rFonts w:asciiTheme="minorHAnsi" w:hAnsiTheme="minorHAnsi" w:cstheme="minorHAnsi"/>
          <w:sz w:val="18"/>
          <w:szCs w:val="18"/>
        </w:rPr>
      </w:pPr>
      <w:r w:rsidRPr="00067D67">
        <w:rPr>
          <w:rFonts w:asciiTheme="minorHAnsi" w:hAnsiTheme="minorHAnsi" w:cstheme="minorHAnsi"/>
          <w:sz w:val="18"/>
          <w:szCs w:val="18"/>
        </w:rPr>
        <w:t>(9) ZN-96 TP S.A.-005 - Telekomunikacyjne linie kablowe. Kable optotelekomunikacyjne. Wymagania i badania.</w:t>
      </w:r>
    </w:p>
    <w:p w14:paraId="2948F3D4" w14:textId="77777777" w:rsidR="00327255" w:rsidRPr="00067D67" w:rsidRDefault="00327255" w:rsidP="00327255">
      <w:pPr>
        <w:rPr>
          <w:rFonts w:asciiTheme="minorHAnsi" w:hAnsiTheme="minorHAnsi" w:cstheme="minorHAnsi"/>
          <w:sz w:val="18"/>
          <w:szCs w:val="18"/>
        </w:rPr>
      </w:pPr>
      <w:r w:rsidRPr="00067D67">
        <w:rPr>
          <w:rFonts w:asciiTheme="minorHAnsi" w:hAnsiTheme="minorHAnsi" w:cstheme="minorHAnsi"/>
          <w:sz w:val="18"/>
          <w:szCs w:val="18"/>
        </w:rPr>
        <w:t>(10) ZN-96 TP S.A.-006 - Linie optotelekomunikacyjne. Złącza spajane światłowodów jednomodowych. Wymagania i badania.</w:t>
      </w:r>
    </w:p>
    <w:p w14:paraId="6EBEDAC3" w14:textId="77777777" w:rsidR="00327255" w:rsidRPr="00067D67" w:rsidRDefault="00327255" w:rsidP="00327255">
      <w:pPr>
        <w:rPr>
          <w:rFonts w:asciiTheme="minorHAnsi" w:hAnsiTheme="minorHAnsi" w:cstheme="minorHAnsi"/>
          <w:sz w:val="18"/>
          <w:szCs w:val="18"/>
        </w:rPr>
      </w:pPr>
      <w:r w:rsidRPr="00067D67">
        <w:rPr>
          <w:rFonts w:asciiTheme="minorHAnsi" w:hAnsiTheme="minorHAnsi" w:cstheme="minorHAnsi"/>
          <w:sz w:val="18"/>
          <w:szCs w:val="18"/>
        </w:rPr>
        <w:t>(11) ZN-96 TP S.A.-008 - Linie optotelekomunikacyjne. Osłony złączowe. Wymagania i badania.</w:t>
      </w:r>
    </w:p>
    <w:p w14:paraId="2ADB675F" w14:textId="77777777" w:rsidR="00327255" w:rsidRPr="00067D67" w:rsidRDefault="00327255" w:rsidP="00327255">
      <w:pPr>
        <w:rPr>
          <w:rFonts w:asciiTheme="minorHAnsi" w:hAnsiTheme="minorHAnsi" w:cstheme="minorHAnsi"/>
          <w:sz w:val="18"/>
          <w:szCs w:val="18"/>
        </w:rPr>
      </w:pPr>
      <w:r w:rsidRPr="00067D67">
        <w:rPr>
          <w:rFonts w:asciiTheme="minorHAnsi" w:hAnsiTheme="minorHAnsi" w:cstheme="minorHAnsi"/>
          <w:sz w:val="18"/>
          <w:szCs w:val="18"/>
        </w:rPr>
        <w:t>(12) ZN-96 TP S.A.-013 - Telekomunikacyjna kanalizacja kablowa. Kanalizacja wtórna i rurociągi kablowe. Wymagania i badania.</w:t>
      </w:r>
    </w:p>
    <w:p w14:paraId="3E197D28" w14:textId="77777777" w:rsidR="00327255" w:rsidRPr="00067D67" w:rsidRDefault="00327255" w:rsidP="00327255">
      <w:pPr>
        <w:rPr>
          <w:rFonts w:asciiTheme="minorHAnsi" w:hAnsiTheme="minorHAnsi" w:cstheme="minorHAnsi"/>
          <w:sz w:val="18"/>
          <w:szCs w:val="18"/>
        </w:rPr>
      </w:pPr>
      <w:r w:rsidRPr="00067D67">
        <w:rPr>
          <w:rFonts w:asciiTheme="minorHAnsi" w:hAnsiTheme="minorHAnsi" w:cstheme="minorHAnsi"/>
          <w:sz w:val="18"/>
          <w:szCs w:val="18"/>
        </w:rPr>
        <w:t>(13) ZN-96 TP S.A.-017 - Telekomunikacyjna kanalizacja kablowa. Rury kanalizacji wtórnej i rurociągu kablowego (RHDPE). Wymagania i badania.</w:t>
      </w:r>
    </w:p>
    <w:p w14:paraId="72E3329B" w14:textId="77777777" w:rsidR="00327255" w:rsidRPr="00067D67" w:rsidRDefault="00327255" w:rsidP="00327255">
      <w:pPr>
        <w:rPr>
          <w:rFonts w:asciiTheme="minorHAnsi" w:hAnsiTheme="minorHAnsi" w:cstheme="minorHAnsi"/>
          <w:sz w:val="18"/>
          <w:szCs w:val="18"/>
        </w:rPr>
      </w:pPr>
      <w:r w:rsidRPr="00067D67">
        <w:rPr>
          <w:rFonts w:asciiTheme="minorHAnsi" w:hAnsiTheme="minorHAnsi" w:cstheme="minorHAnsi"/>
          <w:sz w:val="18"/>
          <w:szCs w:val="18"/>
        </w:rPr>
        <w:t>(14) ZN-96 TP S.A.-018 - Telekomunikacyjna kanalizacja kablowa. Rury polietylenowe (RHDPEp) przepustowe. Wymagania i badania.</w:t>
      </w:r>
    </w:p>
    <w:p w14:paraId="111964AA" w14:textId="77777777" w:rsidR="00327255" w:rsidRPr="00067D67" w:rsidRDefault="00327255" w:rsidP="00327255">
      <w:pPr>
        <w:rPr>
          <w:rFonts w:asciiTheme="minorHAnsi" w:hAnsiTheme="minorHAnsi" w:cstheme="minorHAnsi"/>
          <w:sz w:val="18"/>
          <w:szCs w:val="18"/>
        </w:rPr>
      </w:pPr>
      <w:r w:rsidRPr="00067D67">
        <w:rPr>
          <w:rFonts w:asciiTheme="minorHAnsi" w:hAnsiTheme="minorHAnsi" w:cstheme="minorHAnsi"/>
          <w:sz w:val="18"/>
          <w:szCs w:val="18"/>
        </w:rPr>
        <w:t>(15) ZN-96 TP S.A.-022 - Telekomunikacyjna kanalizacja kablowa. Przywieszki idenyfikacyjne. Wymagania i badania.</w:t>
      </w:r>
    </w:p>
    <w:p w14:paraId="16378715" w14:textId="77777777" w:rsidR="00327255" w:rsidRPr="00067D67" w:rsidRDefault="00327255" w:rsidP="00327255">
      <w:pPr>
        <w:rPr>
          <w:rFonts w:asciiTheme="minorHAnsi" w:hAnsiTheme="minorHAnsi" w:cstheme="minorHAnsi"/>
          <w:sz w:val="18"/>
          <w:szCs w:val="18"/>
        </w:rPr>
      </w:pPr>
      <w:r w:rsidRPr="00067D67">
        <w:rPr>
          <w:rFonts w:asciiTheme="minorHAnsi" w:hAnsiTheme="minorHAnsi" w:cstheme="minorHAnsi"/>
          <w:sz w:val="18"/>
          <w:szCs w:val="18"/>
        </w:rPr>
        <w:t>(16) ZN-96 TP S.A.-024 - Telekomunikacyjna kanalizacja kablowa. Zasobniki złączowe. Wymagania i badania.</w:t>
      </w:r>
    </w:p>
    <w:p w14:paraId="6B45E261" w14:textId="77777777" w:rsidR="00327255" w:rsidRPr="00067D67" w:rsidRDefault="00327255" w:rsidP="00327255">
      <w:pPr>
        <w:rPr>
          <w:rFonts w:asciiTheme="minorHAnsi" w:hAnsiTheme="minorHAnsi" w:cstheme="minorHAnsi"/>
          <w:sz w:val="18"/>
          <w:szCs w:val="18"/>
        </w:rPr>
      </w:pPr>
      <w:r w:rsidRPr="00067D67">
        <w:rPr>
          <w:rFonts w:asciiTheme="minorHAnsi" w:hAnsiTheme="minorHAnsi" w:cstheme="minorHAnsi"/>
          <w:sz w:val="18"/>
          <w:szCs w:val="18"/>
        </w:rPr>
        <w:t>(17) ZN-96 TP S.A.-025 - Telekomunikacyjne linie kablowe. Taśmy ostrzegawczolokalizacyjne. Wymagania i badania.</w:t>
      </w:r>
    </w:p>
    <w:p w14:paraId="77EE11A9" w14:textId="77777777" w:rsidR="00327255" w:rsidRPr="009017CB" w:rsidRDefault="00327255" w:rsidP="00327255">
      <w:pPr>
        <w:rPr>
          <w:rFonts w:asciiTheme="minorHAnsi" w:hAnsiTheme="minorHAnsi" w:cstheme="minorHAnsi"/>
          <w:b/>
          <w:bCs/>
        </w:rPr>
      </w:pPr>
    </w:p>
    <w:p w14:paraId="0328736A" w14:textId="77777777" w:rsidR="00327255" w:rsidRPr="009017CB" w:rsidRDefault="00327255" w:rsidP="00327255">
      <w:pPr>
        <w:rPr>
          <w:rFonts w:asciiTheme="minorHAnsi" w:hAnsiTheme="minorHAnsi" w:cstheme="minorHAnsi"/>
          <w:b/>
          <w:bCs/>
        </w:rPr>
      </w:pPr>
      <w:r w:rsidRPr="009017CB">
        <w:rPr>
          <w:rFonts w:asciiTheme="minorHAnsi" w:hAnsiTheme="minorHAnsi" w:cstheme="minorHAnsi"/>
          <w:b/>
          <w:bCs/>
        </w:rPr>
        <w:t>10.2 Inne dokumenty polskie</w:t>
      </w:r>
    </w:p>
    <w:p w14:paraId="41E05617" w14:textId="77777777" w:rsidR="00327255" w:rsidRPr="009017CB" w:rsidRDefault="00327255" w:rsidP="00327255">
      <w:pPr>
        <w:rPr>
          <w:rFonts w:asciiTheme="minorHAnsi" w:hAnsiTheme="minorHAnsi" w:cstheme="minorHAnsi"/>
          <w:b/>
          <w:bCs/>
        </w:rPr>
      </w:pPr>
    </w:p>
    <w:p w14:paraId="56538D1E" w14:textId="77777777" w:rsidR="00327255" w:rsidRPr="00067D67" w:rsidRDefault="00327255" w:rsidP="00327255">
      <w:pPr>
        <w:rPr>
          <w:rFonts w:asciiTheme="minorHAnsi" w:hAnsiTheme="minorHAnsi" w:cstheme="minorHAnsi"/>
          <w:sz w:val="18"/>
          <w:szCs w:val="18"/>
        </w:rPr>
      </w:pPr>
      <w:r w:rsidRPr="00067D67">
        <w:rPr>
          <w:rFonts w:asciiTheme="minorHAnsi" w:hAnsiTheme="minorHAnsi" w:cstheme="minorHAnsi"/>
          <w:sz w:val="18"/>
          <w:szCs w:val="18"/>
        </w:rPr>
        <w:t>(18) WT-94/K-449 - Warunki techniczne Kable optotelekomunikacyjne. Ogólne wymagania i badania. FK Ożarów Maz.</w:t>
      </w:r>
    </w:p>
    <w:p w14:paraId="5E59A3CB" w14:textId="77777777" w:rsidR="00327255" w:rsidRPr="00067D67" w:rsidRDefault="00327255" w:rsidP="00327255">
      <w:pPr>
        <w:rPr>
          <w:rFonts w:asciiTheme="minorHAnsi" w:hAnsiTheme="minorHAnsi" w:cstheme="minorHAnsi"/>
          <w:sz w:val="18"/>
          <w:szCs w:val="18"/>
        </w:rPr>
      </w:pPr>
      <w:r w:rsidRPr="00067D67">
        <w:rPr>
          <w:rFonts w:asciiTheme="minorHAnsi" w:hAnsiTheme="minorHAnsi" w:cstheme="minorHAnsi"/>
          <w:sz w:val="18"/>
          <w:szCs w:val="18"/>
        </w:rPr>
        <w:t>(19) - Ustawa z dnia 16.07.2004 r. prawo telekomunikacyjne (Dz.U. nr 171, poz.1800)</w:t>
      </w:r>
    </w:p>
    <w:p w14:paraId="2FED922A" w14:textId="77777777" w:rsidR="00327255" w:rsidRPr="00067D67" w:rsidRDefault="00327255" w:rsidP="00327255">
      <w:pPr>
        <w:rPr>
          <w:rFonts w:asciiTheme="minorHAnsi" w:hAnsiTheme="minorHAnsi" w:cstheme="minorHAnsi"/>
          <w:sz w:val="18"/>
          <w:szCs w:val="18"/>
        </w:rPr>
      </w:pPr>
      <w:r w:rsidRPr="00067D67">
        <w:rPr>
          <w:rFonts w:asciiTheme="minorHAnsi" w:hAnsiTheme="minorHAnsi" w:cstheme="minorHAnsi"/>
          <w:sz w:val="18"/>
          <w:szCs w:val="18"/>
        </w:rPr>
        <w:t>(20) - Ustawa z dnia 21.03.1985 r. o drogach publicznych (Dz.U. nr 14, poz.60)</w:t>
      </w:r>
    </w:p>
    <w:p w14:paraId="480D32EB" w14:textId="77777777" w:rsidR="00327255" w:rsidRPr="00067D67" w:rsidRDefault="00327255" w:rsidP="00327255">
      <w:pPr>
        <w:rPr>
          <w:rFonts w:asciiTheme="minorHAnsi" w:hAnsiTheme="minorHAnsi" w:cstheme="minorHAnsi"/>
          <w:sz w:val="18"/>
          <w:szCs w:val="18"/>
        </w:rPr>
      </w:pPr>
      <w:r w:rsidRPr="00067D67">
        <w:rPr>
          <w:rFonts w:asciiTheme="minorHAnsi" w:hAnsiTheme="minorHAnsi" w:cstheme="minorHAnsi"/>
          <w:sz w:val="18"/>
          <w:szCs w:val="18"/>
        </w:rPr>
        <w:t>(21) - Ustawa z dnia 24.10.1974 r. Prawo wodne (Dz.U. nr 38, poz.230 późniejszymi zmianami).</w:t>
      </w:r>
    </w:p>
    <w:p w14:paraId="3D673D29" w14:textId="77777777" w:rsidR="00327255" w:rsidRPr="00067D67" w:rsidRDefault="00327255" w:rsidP="00327255">
      <w:pPr>
        <w:rPr>
          <w:rFonts w:asciiTheme="minorHAnsi" w:hAnsiTheme="minorHAnsi" w:cstheme="minorHAnsi"/>
          <w:sz w:val="18"/>
          <w:szCs w:val="18"/>
        </w:rPr>
      </w:pPr>
      <w:r w:rsidRPr="00067D67">
        <w:rPr>
          <w:rFonts w:asciiTheme="minorHAnsi" w:hAnsiTheme="minorHAnsi" w:cstheme="minorHAnsi"/>
          <w:sz w:val="18"/>
          <w:szCs w:val="18"/>
        </w:rPr>
        <w:t>(22) - Ustawa z dnia 7.07.1994 r. Prawo budowlane (Dz.U. nr 89, poz.414).</w:t>
      </w:r>
    </w:p>
    <w:p w14:paraId="3CA214ED" w14:textId="77777777" w:rsidR="00327255" w:rsidRPr="00067D67" w:rsidRDefault="00327255" w:rsidP="00327255">
      <w:pPr>
        <w:rPr>
          <w:rFonts w:asciiTheme="minorHAnsi" w:hAnsiTheme="minorHAnsi" w:cstheme="minorHAnsi"/>
          <w:sz w:val="18"/>
          <w:szCs w:val="18"/>
        </w:rPr>
      </w:pPr>
      <w:r w:rsidRPr="00067D67">
        <w:rPr>
          <w:rFonts w:asciiTheme="minorHAnsi" w:hAnsiTheme="minorHAnsi" w:cstheme="minorHAnsi"/>
          <w:sz w:val="18"/>
          <w:szCs w:val="18"/>
        </w:rPr>
        <w:t>(23) - Rozporządzenie Ministra Budownictwa i Przemysłu Maszyn Budowlanych w sprawie bezpieczeństwa i higieny pracy przy wykonywaniu robót budowlanomontażowych i rozbiórkowych (Dz.U. nr 13 z dnia10 kwietnia 1972 r.).</w:t>
      </w:r>
    </w:p>
    <w:p w14:paraId="23716ACB" w14:textId="77777777" w:rsidR="00F15E16" w:rsidRDefault="00F15E16" w:rsidP="00327255">
      <w:pPr>
        <w:rPr>
          <w:rFonts w:asciiTheme="minorHAnsi" w:hAnsiTheme="minorHAnsi" w:cstheme="minorHAnsi"/>
        </w:rPr>
      </w:pPr>
    </w:p>
    <w:p w14:paraId="09C3EA0D" w14:textId="77777777" w:rsidR="00F15E16" w:rsidRDefault="00F15E16" w:rsidP="00327255">
      <w:pPr>
        <w:rPr>
          <w:rFonts w:asciiTheme="minorHAnsi" w:hAnsiTheme="minorHAnsi" w:cstheme="minorHAnsi"/>
        </w:rPr>
      </w:pPr>
    </w:p>
    <w:p w14:paraId="17B44DDE" w14:textId="77777777" w:rsidR="00F15E16" w:rsidRDefault="00F15E16" w:rsidP="00327255">
      <w:pPr>
        <w:rPr>
          <w:rFonts w:asciiTheme="minorHAnsi" w:hAnsiTheme="minorHAnsi" w:cstheme="minorHAnsi"/>
        </w:rPr>
      </w:pPr>
    </w:p>
    <w:p w14:paraId="7EBC93EC" w14:textId="77777777" w:rsidR="00F15E16" w:rsidRDefault="00F15E16" w:rsidP="00327255">
      <w:pPr>
        <w:rPr>
          <w:rFonts w:asciiTheme="minorHAnsi" w:hAnsiTheme="minorHAnsi" w:cstheme="minorHAnsi"/>
        </w:rPr>
      </w:pPr>
    </w:p>
    <w:p w14:paraId="6872BE28" w14:textId="77777777" w:rsidR="00067D67" w:rsidRDefault="00067D67" w:rsidP="00327255">
      <w:pPr>
        <w:rPr>
          <w:rFonts w:asciiTheme="minorHAnsi" w:hAnsiTheme="minorHAnsi" w:cstheme="minorHAnsi"/>
        </w:rPr>
      </w:pPr>
    </w:p>
    <w:p w14:paraId="38972638" w14:textId="77777777" w:rsidR="00067D67" w:rsidRDefault="00067D67" w:rsidP="00327255">
      <w:pPr>
        <w:rPr>
          <w:rFonts w:asciiTheme="minorHAnsi" w:hAnsiTheme="minorHAnsi" w:cstheme="minorHAnsi"/>
        </w:rPr>
      </w:pPr>
    </w:p>
    <w:p w14:paraId="7533A15A" w14:textId="77777777" w:rsidR="00067D67" w:rsidRDefault="00067D67" w:rsidP="00327255">
      <w:pPr>
        <w:rPr>
          <w:rFonts w:asciiTheme="minorHAnsi" w:hAnsiTheme="minorHAnsi" w:cstheme="minorHAnsi"/>
        </w:rPr>
      </w:pPr>
    </w:p>
    <w:p w14:paraId="22FED0ED" w14:textId="77777777" w:rsidR="00067D67" w:rsidRDefault="00067D67" w:rsidP="00327255">
      <w:pPr>
        <w:rPr>
          <w:rFonts w:asciiTheme="minorHAnsi" w:hAnsiTheme="minorHAnsi" w:cstheme="minorHAnsi"/>
        </w:rPr>
      </w:pPr>
    </w:p>
    <w:p w14:paraId="711E19C8" w14:textId="77777777" w:rsidR="00067D67" w:rsidRDefault="00067D67" w:rsidP="00327255">
      <w:pPr>
        <w:rPr>
          <w:rFonts w:asciiTheme="minorHAnsi" w:hAnsiTheme="minorHAnsi" w:cstheme="minorHAnsi"/>
        </w:rPr>
      </w:pPr>
    </w:p>
    <w:p w14:paraId="09E46BC8" w14:textId="77777777" w:rsidR="00067D67" w:rsidRDefault="00067D67" w:rsidP="00327255">
      <w:pPr>
        <w:rPr>
          <w:rFonts w:asciiTheme="minorHAnsi" w:hAnsiTheme="minorHAnsi" w:cstheme="minorHAnsi"/>
        </w:rPr>
      </w:pPr>
    </w:p>
    <w:p w14:paraId="093B2281" w14:textId="77777777" w:rsidR="00067D67" w:rsidRDefault="00067D67" w:rsidP="00327255">
      <w:pPr>
        <w:rPr>
          <w:rFonts w:asciiTheme="minorHAnsi" w:hAnsiTheme="minorHAnsi" w:cstheme="minorHAnsi"/>
        </w:rPr>
      </w:pPr>
    </w:p>
    <w:p w14:paraId="115ABA9C" w14:textId="77777777" w:rsidR="00F15E16" w:rsidRPr="009017CB" w:rsidRDefault="00F15E16" w:rsidP="00327255">
      <w:pPr>
        <w:rPr>
          <w:rFonts w:asciiTheme="minorHAnsi" w:hAnsiTheme="minorHAnsi" w:cstheme="minorHAnsi"/>
        </w:rPr>
      </w:pPr>
    </w:p>
    <w:p w14:paraId="3109A96E" w14:textId="1E68A55B" w:rsidR="007F4946" w:rsidRPr="009017CB" w:rsidRDefault="007F4946">
      <w:pPr>
        <w:overflowPunct/>
        <w:autoSpaceDE/>
        <w:autoSpaceDN/>
        <w:adjustRightInd/>
        <w:jc w:val="left"/>
        <w:textAlignment w:val="auto"/>
        <w:rPr>
          <w:rFonts w:asciiTheme="minorHAnsi" w:hAnsiTheme="minorHAnsi" w:cstheme="minorHAnsi"/>
          <w:b/>
          <w:sz w:val="22"/>
          <w:szCs w:val="22"/>
        </w:rPr>
      </w:pPr>
    </w:p>
    <w:p w14:paraId="52DCA2C9" w14:textId="77777777" w:rsidR="007C04C0" w:rsidRDefault="007C04C0">
      <w:pPr>
        <w:overflowPunct/>
        <w:autoSpaceDE/>
        <w:autoSpaceDN/>
        <w:adjustRightInd/>
        <w:jc w:val="left"/>
        <w:textAlignment w:val="auto"/>
        <w:rPr>
          <w:rFonts w:ascii="Calibri" w:hAnsi="Calibri" w:cs="Calibri"/>
          <w:b/>
          <w:sz w:val="22"/>
          <w:szCs w:val="22"/>
        </w:rPr>
      </w:pPr>
      <w:r>
        <w:rPr>
          <w:rFonts w:ascii="Calibri" w:hAnsi="Calibri" w:cs="Calibri"/>
          <w:b/>
          <w:sz w:val="22"/>
          <w:szCs w:val="22"/>
        </w:rPr>
        <w:br w:type="page"/>
      </w:r>
    </w:p>
    <w:p w14:paraId="5AB5B8ED" w14:textId="75E0F9D0" w:rsidR="0072177F" w:rsidRPr="00A23FB4" w:rsidRDefault="006707A0" w:rsidP="00FE03C5">
      <w:pPr>
        <w:spacing w:line="360" w:lineRule="auto"/>
        <w:jc w:val="center"/>
        <w:rPr>
          <w:rFonts w:ascii="Calibri" w:hAnsi="Calibri" w:cs="Calibri"/>
          <w:b/>
          <w:sz w:val="22"/>
          <w:szCs w:val="22"/>
        </w:rPr>
      </w:pPr>
      <w:r>
        <w:rPr>
          <w:rFonts w:ascii="Calibri" w:hAnsi="Calibri" w:cs="Calibri"/>
          <w:b/>
          <w:sz w:val="22"/>
          <w:szCs w:val="22"/>
        </w:rPr>
        <w:t>SZCZEGÓŁOWE SPECYFIKACJE TECHNICZNE</w:t>
      </w:r>
      <w:r w:rsidR="0072177F" w:rsidRPr="00A23FB4">
        <w:rPr>
          <w:rFonts w:ascii="Calibri" w:hAnsi="Calibri" w:cs="Calibri"/>
          <w:b/>
          <w:sz w:val="22"/>
          <w:szCs w:val="22"/>
        </w:rPr>
        <w:t xml:space="preserve"> WYKONANIA I ODBIORU ROBÓT BUDOWLANYCH</w:t>
      </w:r>
    </w:p>
    <w:p w14:paraId="08843F62" w14:textId="77777777" w:rsidR="0072177F" w:rsidRPr="00A23FB4" w:rsidRDefault="0072177F" w:rsidP="0022369F">
      <w:pPr>
        <w:pStyle w:val="Nagowek1"/>
        <w:spacing w:before="0"/>
      </w:pPr>
      <w:bookmarkStart w:id="525" w:name="_Toc378577126"/>
      <w:bookmarkStart w:id="526" w:name="_Toc206275480"/>
      <w:r w:rsidRPr="00A23FB4">
        <w:t>D-04.01.01 KORYTO WRAZ Z PROFILOWANIEM I ZAGĘSZCZANIEM PODŁOŻA</w:t>
      </w:r>
      <w:bookmarkEnd w:id="525"/>
      <w:bookmarkEnd w:id="526"/>
    </w:p>
    <w:p w14:paraId="54803990" w14:textId="77777777" w:rsidR="0072177F" w:rsidRPr="00A23FB4" w:rsidRDefault="0072177F" w:rsidP="0072177F">
      <w:pPr>
        <w:rPr>
          <w:rFonts w:ascii="Calibri" w:hAnsi="Calibri" w:cs="Calibri"/>
          <w:b/>
        </w:rPr>
      </w:pPr>
      <w:r w:rsidRPr="00A23FB4">
        <w:rPr>
          <w:rFonts w:ascii="Calibri" w:hAnsi="Calibri" w:cs="Calibri"/>
          <w:b/>
        </w:rPr>
        <w:t>1. WSTĘP</w:t>
      </w:r>
    </w:p>
    <w:p w14:paraId="562D3489" w14:textId="10ACE936" w:rsidR="0072177F" w:rsidRPr="00A23FB4" w:rsidRDefault="0072177F" w:rsidP="0072177F">
      <w:pPr>
        <w:pStyle w:val="Nagwek4"/>
        <w:rPr>
          <w:rFonts w:ascii="Calibri" w:hAnsi="Calibri" w:cs="Calibri"/>
        </w:rPr>
      </w:pPr>
      <w:r w:rsidRPr="00A23FB4">
        <w:rPr>
          <w:rFonts w:ascii="Calibri" w:hAnsi="Calibri" w:cs="Calibri"/>
        </w:rPr>
        <w:t xml:space="preserve">1.1. Przedmiot </w:t>
      </w:r>
      <w:r w:rsidR="00A70091">
        <w:rPr>
          <w:rFonts w:ascii="Calibri" w:hAnsi="Calibri" w:cs="Calibri"/>
        </w:rPr>
        <w:t>ST</w:t>
      </w:r>
      <w:r w:rsidRPr="00A23FB4">
        <w:rPr>
          <w:rFonts w:ascii="Calibri" w:hAnsi="Calibri" w:cs="Calibri"/>
        </w:rPr>
        <w:t>WiORB</w:t>
      </w:r>
    </w:p>
    <w:p w14:paraId="1F4542D7" w14:textId="2F7C4B74" w:rsidR="0072177F" w:rsidRPr="00A23FB4" w:rsidRDefault="0072177F" w:rsidP="0072177F">
      <w:pPr>
        <w:rPr>
          <w:rFonts w:ascii="Calibri" w:hAnsi="Calibri" w:cs="Calibri"/>
        </w:rPr>
      </w:pPr>
      <w:r w:rsidRPr="00A23FB4">
        <w:rPr>
          <w:rFonts w:ascii="Calibri" w:hAnsi="Calibri" w:cs="Calibri"/>
        </w:rPr>
        <w:t>Przedmiotem niniejsz</w:t>
      </w:r>
      <w:r w:rsidR="007C04C0">
        <w:rPr>
          <w:rFonts w:ascii="Calibri" w:hAnsi="Calibri" w:cs="Calibri"/>
        </w:rPr>
        <w:t>ej</w:t>
      </w:r>
      <w:r w:rsidRPr="00A23FB4">
        <w:rPr>
          <w:rFonts w:ascii="Calibri" w:hAnsi="Calibri" w:cs="Calibri"/>
        </w:rPr>
        <w:t xml:space="preserve"> </w:t>
      </w:r>
      <w:r w:rsidR="006707A0">
        <w:rPr>
          <w:rFonts w:ascii="Calibri" w:hAnsi="Calibri" w:cs="Calibri"/>
        </w:rPr>
        <w:t>specyfikacji</w:t>
      </w:r>
      <w:r w:rsidRPr="00A23FB4">
        <w:rPr>
          <w:rFonts w:ascii="Calibri" w:hAnsi="Calibri" w:cs="Calibri"/>
        </w:rPr>
        <w:t xml:space="preserve"> są wymagania dotyczące wykonan</w:t>
      </w:r>
      <w:r w:rsidR="00734CB0" w:rsidRPr="00A23FB4">
        <w:rPr>
          <w:rFonts w:ascii="Calibri" w:hAnsi="Calibri" w:cs="Calibri"/>
        </w:rPr>
        <w:t>ia i odbioru robót związanych z </w:t>
      </w:r>
      <w:r w:rsidRPr="00A23FB4">
        <w:rPr>
          <w:rFonts w:ascii="Calibri" w:hAnsi="Calibri" w:cs="Calibri"/>
        </w:rPr>
        <w:t>wykonywaniem koryta wraz z profilowaniem i zagęszczaniem podłoża gruntowego.</w:t>
      </w:r>
    </w:p>
    <w:p w14:paraId="3F21E821" w14:textId="03CA706E" w:rsidR="0072177F" w:rsidRPr="00A23FB4" w:rsidRDefault="0072177F" w:rsidP="0072177F">
      <w:pPr>
        <w:pStyle w:val="Nagwek4"/>
        <w:rPr>
          <w:rFonts w:ascii="Calibri" w:hAnsi="Calibri" w:cs="Calibri"/>
        </w:rPr>
      </w:pPr>
      <w:r w:rsidRPr="00A23FB4">
        <w:rPr>
          <w:rFonts w:ascii="Calibri" w:hAnsi="Calibri" w:cs="Calibri"/>
        </w:rPr>
        <w:t xml:space="preserve">1.2. Zakres stosowania </w:t>
      </w:r>
      <w:r w:rsidR="00A70091">
        <w:rPr>
          <w:rFonts w:ascii="Calibri" w:hAnsi="Calibri" w:cs="Calibri"/>
        </w:rPr>
        <w:t>ST</w:t>
      </w:r>
      <w:r w:rsidRPr="00A23FB4">
        <w:rPr>
          <w:rFonts w:ascii="Calibri" w:hAnsi="Calibri" w:cs="Calibri"/>
        </w:rPr>
        <w:t>WiORB</w:t>
      </w:r>
    </w:p>
    <w:p w14:paraId="12D31268" w14:textId="68C1A426" w:rsidR="00734CB0" w:rsidRPr="00506838" w:rsidRDefault="00575C66" w:rsidP="00506838">
      <w:pPr>
        <w:overflowPunct/>
        <w:spacing w:before="240" w:line="276" w:lineRule="auto"/>
        <w:textAlignment w:val="auto"/>
        <w:rPr>
          <w:rFonts w:ascii="Calibri" w:hAnsi="Calibri" w:cs="Calibri"/>
        </w:rPr>
      </w:pPr>
      <w:r>
        <w:rPr>
          <w:rFonts w:ascii="Calibri" w:hAnsi="Calibri" w:cs="Calibri"/>
        </w:rPr>
        <w:t>Specyfikacj</w:t>
      </w:r>
      <w:r w:rsidR="007C04C0">
        <w:rPr>
          <w:rFonts w:ascii="Calibri" w:hAnsi="Calibri" w:cs="Calibri"/>
        </w:rPr>
        <w:t>a</w:t>
      </w:r>
      <w:r w:rsidRPr="00A23FB4">
        <w:rPr>
          <w:rFonts w:ascii="Calibri" w:hAnsi="Calibri" w:cs="Calibri"/>
        </w:rPr>
        <w:t xml:space="preserve"> </w:t>
      </w:r>
      <w:r w:rsidR="0072177F" w:rsidRPr="00A23FB4">
        <w:rPr>
          <w:rFonts w:ascii="Calibri" w:hAnsi="Calibri" w:cs="Calibri"/>
        </w:rPr>
        <w:t>stanowi dokument kontraktowy przy realizacji  zadania</w:t>
      </w:r>
      <w:r w:rsidR="007F4946" w:rsidRPr="00A23FB4">
        <w:rPr>
          <w:rFonts w:asciiTheme="minorHAnsi" w:hAnsiTheme="minorHAnsi" w:cstheme="minorHAnsi"/>
          <w:bCs/>
        </w:rPr>
        <w:t xml:space="preserve"> </w:t>
      </w:r>
      <w:r w:rsidR="00506838">
        <w:rPr>
          <w:rFonts w:ascii="Calibri" w:hAnsi="Calibri" w:cs="Calibri"/>
        </w:rPr>
        <w:t>„</w:t>
      </w:r>
      <w:r w:rsidR="00A70091" w:rsidRPr="00A70091">
        <w:rPr>
          <w:rFonts w:ascii="Calibri" w:hAnsi="Calibri" w:cs="Calibri"/>
        </w:rPr>
        <w:t>Rozbudowa ul. Wrocławskiej w ciągu drogi powiatowej w Tyńcu Małym wraz z rozbudową istniejącego skrzyżowania typu rondo na połączeniu dróg krajowych nr 35 i 35a oraz łącznika węzła Kobierzyce drogi S8e oraz infrastrukturą towarzyszącą w ramach zadania „Rozbudowa skrzyżowania typu rondo w ciągu DK35 koło m. Tyniec Mały usprawniająca skomunikowanie obszarów Podstrefy Wrocław – Kobierzyce TSSE EURO PARK WISŁOSAN”</w:t>
      </w:r>
      <w:r w:rsidR="007F4946" w:rsidRPr="00A23FB4">
        <w:rPr>
          <w:rFonts w:asciiTheme="minorHAnsi" w:hAnsiTheme="minorHAnsi" w:cstheme="minorHAnsi"/>
          <w:bCs/>
        </w:rPr>
        <w:t>.</w:t>
      </w:r>
    </w:p>
    <w:p w14:paraId="4675E025" w14:textId="724DCACB" w:rsidR="0072177F" w:rsidRPr="00A23FB4" w:rsidRDefault="0072177F" w:rsidP="0072177F">
      <w:pPr>
        <w:pStyle w:val="Nagwek4"/>
        <w:rPr>
          <w:rFonts w:ascii="Calibri" w:hAnsi="Calibri" w:cs="Calibri"/>
        </w:rPr>
      </w:pPr>
      <w:r w:rsidRPr="00A23FB4">
        <w:rPr>
          <w:rFonts w:ascii="Calibri" w:hAnsi="Calibri" w:cs="Calibri"/>
        </w:rPr>
        <w:t xml:space="preserve">1.3. Zakres robót objętych </w:t>
      </w:r>
      <w:r w:rsidR="00A70091">
        <w:rPr>
          <w:rFonts w:ascii="Calibri" w:hAnsi="Calibri" w:cs="Calibri"/>
        </w:rPr>
        <w:t>ST</w:t>
      </w:r>
      <w:r w:rsidRPr="00A23FB4">
        <w:rPr>
          <w:rFonts w:ascii="Calibri" w:hAnsi="Calibri" w:cs="Calibri"/>
        </w:rPr>
        <w:t>WiORB</w:t>
      </w:r>
    </w:p>
    <w:p w14:paraId="3324C668" w14:textId="40BE8F42" w:rsidR="0072177F" w:rsidRPr="00A23FB4" w:rsidRDefault="0072177F" w:rsidP="0072177F">
      <w:pPr>
        <w:rPr>
          <w:rFonts w:ascii="Calibri" w:hAnsi="Calibri" w:cs="Calibri"/>
        </w:rPr>
      </w:pPr>
      <w:r w:rsidRPr="00A23FB4">
        <w:rPr>
          <w:rFonts w:ascii="Calibri" w:hAnsi="Calibri" w:cs="Calibri"/>
        </w:rPr>
        <w:t xml:space="preserve">Ustalenia zawarte w niniejszych </w:t>
      </w:r>
      <w:r w:rsidR="006707A0">
        <w:rPr>
          <w:rFonts w:ascii="Calibri" w:hAnsi="Calibri" w:cs="Calibri"/>
        </w:rPr>
        <w:t>specyfikacji</w:t>
      </w:r>
      <w:r w:rsidRPr="00A23FB4">
        <w:rPr>
          <w:rFonts w:ascii="Calibri" w:hAnsi="Calibri" w:cs="Calibri"/>
        </w:rPr>
        <w:t xml:space="preserve"> dotyczą zasad prowadzenia robót związanych z wykonaniem koryta przeznaczonego do ułożenia konstrukcji nawierzchni. </w:t>
      </w:r>
    </w:p>
    <w:p w14:paraId="24DC4AE4" w14:textId="77777777" w:rsidR="0072177F" w:rsidRPr="00A23FB4" w:rsidRDefault="0072177F" w:rsidP="0072177F">
      <w:pPr>
        <w:pStyle w:val="Nagwek4"/>
        <w:rPr>
          <w:rFonts w:ascii="Calibri" w:hAnsi="Calibri" w:cs="Calibri"/>
        </w:rPr>
      </w:pPr>
      <w:r w:rsidRPr="00A23FB4">
        <w:rPr>
          <w:rFonts w:ascii="Calibri" w:hAnsi="Calibri" w:cs="Calibri"/>
        </w:rPr>
        <w:t>1.4. Określenia podstawowe</w:t>
      </w:r>
    </w:p>
    <w:p w14:paraId="3231CEC4" w14:textId="5CE97741" w:rsidR="0072177F" w:rsidRPr="00A23FB4" w:rsidRDefault="0072177F" w:rsidP="0072177F">
      <w:pPr>
        <w:rPr>
          <w:rFonts w:ascii="Calibri" w:hAnsi="Calibri" w:cs="Calibri"/>
        </w:rPr>
      </w:pPr>
      <w:r w:rsidRPr="00A23FB4">
        <w:rPr>
          <w:rFonts w:ascii="Calibri" w:hAnsi="Calibri" w:cs="Calibri"/>
        </w:rPr>
        <w:t xml:space="preserve">Określenia podstawowe są zgodne z obowiązującymi, odpowiednimi polskimi normami i definicjami podanymi w </w:t>
      </w:r>
      <w:r w:rsidR="00A70091">
        <w:rPr>
          <w:rFonts w:ascii="Calibri" w:hAnsi="Calibri" w:cs="Calibri"/>
        </w:rPr>
        <w:t>ST</w:t>
      </w:r>
      <w:r w:rsidRPr="00A23FB4">
        <w:rPr>
          <w:rFonts w:ascii="Calibri" w:hAnsi="Calibri" w:cs="Calibri"/>
        </w:rPr>
        <w:t>WiORB D-M-00.00.00 „Wymagania ogólne” pkt 1.4.</w:t>
      </w:r>
    </w:p>
    <w:p w14:paraId="3BD6090C" w14:textId="77777777" w:rsidR="0072177F" w:rsidRPr="00A23FB4" w:rsidRDefault="0072177F" w:rsidP="0072177F">
      <w:pPr>
        <w:pStyle w:val="Nagwek4"/>
        <w:rPr>
          <w:rFonts w:ascii="Calibri" w:hAnsi="Calibri" w:cs="Calibri"/>
        </w:rPr>
      </w:pPr>
      <w:r w:rsidRPr="00A23FB4">
        <w:rPr>
          <w:rFonts w:ascii="Calibri" w:hAnsi="Calibri" w:cs="Calibri"/>
        </w:rPr>
        <w:t>1.5. Ogólne wymagania dotyczące robót</w:t>
      </w:r>
    </w:p>
    <w:p w14:paraId="1D25F504" w14:textId="32C40785" w:rsidR="0072177F" w:rsidRPr="00A23FB4" w:rsidRDefault="0072177F" w:rsidP="007F4946">
      <w:pPr>
        <w:spacing w:after="240"/>
        <w:rPr>
          <w:rFonts w:ascii="Calibri" w:hAnsi="Calibri" w:cs="Calibri"/>
        </w:rPr>
      </w:pPr>
      <w:r w:rsidRPr="00A23FB4">
        <w:rPr>
          <w:rFonts w:ascii="Calibri" w:hAnsi="Calibri" w:cs="Calibri"/>
        </w:rPr>
        <w:t xml:space="preserve">Ogólne wymagania dotyczące robót podano w </w:t>
      </w:r>
      <w:r w:rsidR="00A70091">
        <w:rPr>
          <w:rFonts w:ascii="Calibri" w:hAnsi="Calibri" w:cs="Calibri"/>
        </w:rPr>
        <w:t>ST</w:t>
      </w:r>
      <w:r w:rsidRPr="00A23FB4">
        <w:rPr>
          <w:rFonts w:ascii="Calibri" w:hAnsi="Calibri" w:cs="Calibri"/>
        </w:rPr>
        <w:t>WiORB D-M-00.00.00 „Wymagania ogólne” pkt 1.5.</w:t>
      </w:r>
    </w:p>
    <w:p w14:paraId="54356442" w14:textId="77777777" w:rsidR="0072177F" w:rsidRPr="00A23FB4" w:rsidRDefault="0072177F" w:rsidP="0072177F">
      <w:pPr>
        <w:rPr>
          <w:rFonts w:ascii="Calibri" w:hAnsi="Calibri" w:cs="Calibri"/>
          <w:b/>
        </w:rPr>
      </w:pPr>
      <w:r w:rsidRPr="00A23FB4">
        <w:rPr>
          <w:rFonts w:ascii="Calibri" w:hAnsi="Calibri" w:cs="Calibri"/>
          <w:b/>
        </w:rPr>
        <w:t>2. MATERIAŁY</w:t>
      </w:r>
    </w:p>
    <w:p w14:paraId="1F540E99" w14:textId="77777777" w:rsidR="0072177F" w:rsidRPr="00A23FB4" w:rsidRDefault="0072177F" w:rsidP="0072177F">
      <w:pPr>
        <w:pStyle w:val="Nagwek4"/>
        <w:rPr>
          <w:rFonts w:ascii="Calibri" w:hAnsi="Calibri" w:cs="Calibri"/>
        </w:rPr>
      </w:pPr>
      <w:r w:rsidRPr="00A23FB4">
        <w:rPr>
          <w:rFonts w:ascii="Calibri" w:hAnsi="Calibri" w:cs="Calibri"/>
        </w:rPr>
        <w:t>2.1. Ogólne wymagania dotyczące materiałów</w:t>
      </w:r>
    </w:p>
    <w:p w14:paraId="76C0B628" w14:textId="588E7A0B" w:rsidR="0072177F" w:rsidRPr="00A23FB4" w:rsidRDefault="0072177F" w:rsidP="0072177F">
      <w:pPr>
        <w:rPr>
          <w:rFonts w:ascii="Calibri" w:hAnsi="Calibri" w:cs="Calibri"/>
        </w:rPr>
      </w:pPr>
      <w:r w:rsidRPr="00A23FB4">
        <w:rPr>
          <w:rFonts w:ascii="Calibri" w:hAnsi="Calibri" w:cs="Calibri"/>
        </w:rPr>
        <w:t xml:space="preserve">Ogólne wymagania dotyczące materiałów, ich pozyskiwania i składowania, podano w </w:t>
      </w:r>
      <w:r w:rsidR="00A70091">
        <w:rPr>
          <w:rFonts w:ascii="Calibri" w:hAnsi="Calibri" w:cs="Calibri"/>
        </w:rPr>
        <w:t>ST</w:t>
      </w:r>
      <w:r w:rsidRPr="00A23FB4">
        <w:rPr>
          <w:rFonts w:ascii="Calibri" w:hAnsi="Calibri" w:cs="Calibri"/>
        </w:rPr>
        <w:t>WiORB D-M-00.00.00 „Wymagania ogólne” pkt 2.</w:t>
      </w:r>
    </w:p>
    <w:p w14:paraId="5A190DAC" w14:textId="77777777" w:rsidR="0072177F" w:rsidRPr="00A23FB4" w:rsidRDefault="0072177F" w:rsidP="0072177F">
      <w:pPr>
        <w:pStyle w:val="Nagwek4"/>
        <w:rPr>
          <w:rFonts w:ascii="Calibri" w:hAnsi="Calibri" w:cs="Calibri"/>
        </w:rPr>
      </w:pPr>
      <w:r w:rsidRPr="00A23FB4">
        <w:rPr>
          <w:rFonts w:ascii="Calibri" w:hAnsi="Calibri" w:cs="Calibri"/>
        </w:rPr>
        <w:t>2.2. Grunt nasypowy</w:t>
      </w:r>
    </w:p>
    <w:p w14:paraId="0E2E641E" w14:textId="77777777" w:rsidR="0072177F" w:rsidRPr="00A23FB4" w:rsidRDefault="0072177F" w:rsidP="0072177F">
      <w:pPr>
        <w:pStyle w:val="Nagwek7"/>
        <w:rPr>
          <w:rFonts w:ascii="Calibri" w:hAnsi="Calibri" w:cs="Calibri"/>
        </w:rPr>
      </w:pPr>
      <w:r w:rsidRPr="00A23FB4">
        <w:rPr>
          <w:rFonts w:ascii="Calibri" w:hAnsi="Calibri" w:cs="Calibri"/>
        </w:rPr>
        <w:t xml:space="preserve">Nie przewiduje się wykonania nasypu, podczas wykonania koryta będą prowadzone prace polegające na wykopie. Wyrównanie podłoża należy wykonać gruntem niespoistym o Wskaźniku Piaskowym WP&gt;25.  </w:t>
      </w:r>
    </w:p>
    <w:p w14:paraId="24C38434" w14:textId="77777777" w:rsidR="009F5DEB" w:rsidRPr="00A23FB4" w:rsidRDefault="009F5DEB" w:rsidP="0072177F">
      <w:pPr>
        <w:rPr>
          <w:rFonts w:ascii="Calibri" w:hAnsi="Calibri" w:cs="Calibri"/>
          <w:b/>
        </w:rPr>
      </w:pPr>
    </w:p>
    <w:p w14:paraId="7BB3864B" w14:textId="77777777" w:rsidR="0072177F" w:rsidRPr="00A23FB4" w:rsidRDefault="0072177F" w:rsidP="0072177F">
      <w:pPr>
        <w:rPr>
          <w:rFonts w:ascii="Calibri" w:hAnsi="Calibri" w:cs="Calibri"/>
          <w:b/>
        </w:rPr>
      </w:pPr>
      <w:r w:rsidRPr="00A23FB4">
        <w:rPr>
          <w:rFonts w:ascii="Calibri" w:hAnsi="Calibri" w:cs="Calibri"/>
          <w:b/>
        </w:rPr>
        <w:t>3. SPRZĘT</w:t>
      </w:r>
    </w:p>
    <w:p w14:paraId="3133EF6C" w14:textId="77777777" w:rsidR="0072177F" w:rsidRPr="00A23FB4" w:rsidRDefault="0072177F" w:rsidP="0072177F">
      <w:pPr>
        <w:pStyle w:val="Nagwek4"/>
        <w:rPr>
          <w:rFonts w:ascii="Calibri" w:hAnsi="Calibri" w:cs="Calibri"/>
        </w:rPr>
      </w:pPr>
      <w:r w:rsidRPr="00A23FB4">
        <w:rPr>
          <w:rFonts w:ascii="Calibri" w:hAnsi="Calibri" w:cs="Calibri"/>
        </w:rPr>
        <w:t>3.1. Ogólne wymagania dotyczące sprzętu</w:t>
      </w:r>
    </w:p>
    <w:p w14:paraId="3074C599" w14:textId="23EB7CB1" w:rsidR="0072177F" w:rsidRPr="00A23FB4" w:rsidRDefault="0072177F" w:rsidP="0072177F">
      <w:pPr>
        <w:rPr>
          <w:rFonts w:ascii="Calibri" w:hAnsi="Calibri" w:cs="Calibri"/>
        </w:rPr>
      </w:pPr>
      <w:r w:rsidRPr="00A23FB4">
        <w:rPr>
          <w:rFonts w:ascii="Calibri" w:hAnsi="Calibri" w:cs="Calibri"/>
        </w:rPr>
        <w:t xml:space="preserve">Ogólne wymagania dotyczące sprzętu podano w </w:t>
      </w:r>
      <w:r w:rsidR="00A70091">
        <w:rPr>
          <w:rFonts w:ascii="Calibri" w:hAnsi="Calibri" w:cs="Calibri"/>
        </w:rPr>
        <w:t>ST</w:t>
      </w:r>
      <w:r w:rsidRPr="00A23FB4">
        <w:rPr>
          <w:rFonts w:ascii="Calibri" w:hAnsi="Calibri" w:cs="Calibri"/>
        </w:rPr>
        <w:t>WiORB D-M-00.00.00 „Wymagania ogólne” pkt 3.</w:t>
      </w:r>
    </w:p>
    <w:p w14:paraId="0ACD3D60" w14:textId="77777777" w:rsidR="0072177F" w:rsidRPr="00A23FB4" w:rsidRDefault="0072177F" w:rsidP="0072177F">
      <w:pPr>
        <w:pStyle w:val="Nagwek4"/>
        <w:rPr>
          <w:rFonts w:ascii="Calibri" w:hAnsi="Calibri" w:cs="Calibri"/>
        </w:rPr>
      </w:pPr>
      <w:r w:rsidRPr="00A23FB4">
        <w:rPr>
          <w:rFonts w:ascii="Calibri" w:hAnsi="Calibri" w:cs="Calibri"/>
        </w:rPr>
        <w:t>3.2. Sprzęt do wykonania robót</w:t>
      </w:r>
    </w:p>
    <w:p w14:paraId="7EB84797" w14:textId="77777777" w:rsidR="0072177F" w:rsidRPr="00A23FB4" w:rsidRDefault="0072177F" w:rsidP="0072177F">
      <w:pPr>
        <w:rPr>
          <w:rFonts w:ascii="Calibri" w:hAnsi="Calibri" w:cs="Calibri"/>
        </w:rPr>
      </w:pPr>
      <w:r w:rsidRPr="00A23FB4">
        <w:rPr>
          <w:rFonts w:ascii="Calibri" w:hAnsi="Calibri" w:cs="Calibri"/>
        </w:rPr>
        <w:t>Wykonawca przystępujący do wykonania koryta i profilowania podłoża powinien wykazać się możliwością korzystania z następującego sprzętu:</w:t>
      </w:r>
    </w:p>
    <w:p w14:paraId="7E9F6323" w14:textId="77777777" w:rsidR="0072177F" w:rsidRPr="00A23FB4" w:rsidRDefault="0072177F" w:rsidP="0072177F">
      <w:pPr>
        <w:numPr>
          <w:ilvl w:val="0"/>
          <w:numId w:val="1"/>
        </w:numPr>
        <w:ind w:left="284" w:hanging="284"/>
        <w:rPr>
          <w:rFonts w:ascii="Calibri" w:hAnsi="Calibri" w:cs="Calibri"/>
        </w:rPr>
      </w:pPr>
      <w:r w:rsidRPr="00A23FB4">
        <w:rPr>
          <w:rFonts w:ascii="Calibri" w:hAnsi="Calibri" w:cs="Calibri"/>
        </w:rPr>
        <w:t>równiarek lub spycharek uniwersalnych z ukośnie ustawianym lemieszem; Inżynier/Kierownik projektu może dopuścić wykonanie koryta i profilowanie podłoża z zastosowaniem spycharki z lemieszem ustawionym prostopadle do kierunku pracy maszyny,</w:t>
      </w:r>
    </w:p>
    <w:p w14:paraId="43AB3C83" w14:textId="77777777" w:rsidR="0072177F" w:rsidRPr="00A23FB4" w:rsidRDefault="0072177F" w:rsidP="0072177F">
      <w:pPr>
        <w:numPr>
          <w:ilvl w:val="0"/>
          <w:numId w:val="1"/>
        </w:numPr>
        <w:rPr>
          <w:rFonts w:ascii="Calibri" w:hAnsi="Calibri" w:cs="Calibri"/>
        </w:rPr>
      </w:pPr>
      <w:r w:rsidRPr="00A23FB4">
        <w:rPr>
          <w:rFonts w:ascii="Calibri" w:hAnsi="Calibri" w:cs="Calibri"/>
        </w:rPr>
        <w:t>koparek z czerpakami profilowymi (przy wykonywaniu wąskich koryt),</w:t>
      </w:r>
    </w:p>
    <w:p w14:paraId="1B3D3EBD" w14:textId="77777777" w:rsidR="0072177F" w:rsidRPr="00A23FB4" w:rsidRDefault="0072177F" w:rsidP="0072177F">
      <w:pPr>
        <w:numPr>
          <w:ilvl w:val="0"/>
          <w:numId w:val="1"/>
        </w:numPr>
        <w:rPr>
          <w:rFonts w:ascii="Calibri" w:hAnsi="Calibri" w:cs="Calibri"/>
        </w:rPr>
      </w:pPr>
      <w:r w:rsidRPr="00A23FB4">
        <w:rPr>
          <w:rFonts w:ascii="Calibri" w:hAnsi="Calibri" w:cs="Calibri"/>
        </w:rPr>
        <w:t>walców statycznych, wibracyjnych lub płyt wibracyjnych.</w:t>
      </w:r>
    </w:p>
    <w:p w14:paraId="179CA7A3" w14:textId="77777777" w:rsidR="0072177F" w:rsidRPr="00A23FB4" w:rsidRDefault="0072177F" w:rsidP="0072177F">
      <w:pPr>
        <w:rPr>
          <w:rFonts w:ascii="Calibri" w:hAnsi="Calibri" w:cs="Calibri"/>
        </w:rPr>
      </w:pPr>
      <w:r w:rsidRPr="00A23FB4">
        <w:rPr>
          <w:rFonts w:ascii="Calibri" w:hAnsi="Calibri" w:cs="Calibri"/>
        </w:rPr>
        <w:t>Stosowany sprzęt nie może spowodować niekorzystnego wpływu na właściwości gruntu podłoża.</w:t>
      </w:r>
    </w:p>
    <w:p w14:paraId="6FD7DCEC" w14:textId="77777777" w:rsidR="009F5DEB" w:rsidRPr="00A23FB4" w:rsidRDefault="009F5DEB" w:rsidP="0072177F">
      <w:pPr>
        <w:rPr>
          <w:rFonts w:ascii="Calibri" w:hAnsi="Calibri" w:cs="Calibri"/>
          <w:b/>
        </w:rPr>
      </w:pPr>
    </w:p>
    <w:p w14:paraId="4743393A" w14:textId="77777777" w:rsidR="0072177F" w:rsidRPr="00A23FB4" w:rsidRDefault="0072177F" w:rsidP="0072177F">
      <w:pPr>
        <w:rPr>
          <w:rFonts w:ascii="Calibri" w:hAnsi="Calibri" w:cs="Calibri"/>
          <w:b/>
        </w:rPr>
      </w:pPr>
      <w:r w:rsidRPr="00A23FB4">
        <w:rPr>
          <w:rFonts w:ascii="Calibri" w:hAnsi="Calibri" w:cs="Calibri"/>
          <w:b/>
        </w:rPr>
        <w:t>4. TRANSPORT</w:t>
      </w:r>
    </w:p>
    <w:p w14:paraId="78F74AB2" w14:textId="77777777" w:rsidR="0072177F" w:rsidRPr="00A23FB4" w:rsidRDefault="0072177F" w:rsidP="0072177F">
      <w:pPr>
        <w:pStyle w:val="Nagwek4"/>
        <w:rPr>
          <w:rFonts w:ascii="Calibri" w:hAnsi="Calibri" w:cs="Calibri"/>
        </w:rPr>
      </w:pPr>
      <w:r w:rsidRPr="00A23FB4">
        <w:rPr>
          <w:rFonts w:ascii="Calibri" w:hAnsi="Calibri" w:cs="Calibri"/>
        </w:rPr>
        <w:t>4.1. Ogólne wymagania dotyczące transportu</w:t>
      </w:r>
    </w:p>
    <w:p w14:paraId="41F98CB2" w14:textId="24C787FF" w:rsidR="0072177F" w:rsidRPr="00A23FB4" w:rsidRDefault="0072177F" w:rsidP="0072177F">
      <w:pPr>
        <w:rPr>
          <w:rFonts w:ascii="Calibri" w:hAnsi="Calibri" w:cs="Calibri"/>
        </w:rPr>
      </w:pPr>
      <w:r w:rsidRPr="00A23FB4">
        <w:rPr>
          <w:rFonts w:ascii="Calibri" w:hAnsi="Calibri" w:cs="Calibri"/>
        </w:rPr>
        <w:t xml:space="preserve">Ogólne wymagania dotyczące transportu podano w </w:t>
      </w:r>
      <w:r w:rsidR="00A70091">
        <w:rPr>
          <w:rFonts w:ascii="Calibri" w:hAnsi="Calibri" w:cs="Calibri"/>
        </w:rPr>
        <w:t>ST</w:t>
      </w:r>
      <w:r w:rsidRPr="00A23FB4">
        <w:rPr>
          <w:rFonts w:ascii="Calibri" w:hAnsi="Calibri" w:cs="Calibri"/>
        </w:rPr>
        <w:t>WiORB D-M-00.00.00 „Wymagania ogólne” pkt 4.</w:t>
      </w:r>
    </w:p>
    <w:p w14:paraId="1D975039" w14:textId="77777777" w:rsidR="0072177F" w:rsidRPr="00A23FB4" w:rsidRDefault="0072177F" w:rsidP="0072177F">
      <w:pPr>
        <w:pStyle w:val="Nagwek4"/>
        <w:rPr>
          <w:rFonts w:ascii="Calibri" w:hAnsi="Calibri" w:cs="Calibri"/>
        </w:rPr>
      </w:pPr>
      <w:r w:rsidRPr="00A23FB4">
        <w:rPr>
          <w:rFonts w:ascii="Calibri" w:hAnsi="Calibri" w:cs="Calibri"/>
        </w:rPr>
        <w:t>4.2. Transport materiałów</w:t>
      </w:r>
    </w:p>
    <w:p w14:paraId="50ED6017" w14:textId="77777777" w:rsidR="0072177F" w:rsidRPr="00A23FB4" w:rsidRDefault="0072177F" w:rsidP="0072177F">
      <w:pPr>
        <w:rPr>
          <w:rFonts w:ascii="Calibri" w:hAnsi="Calibri" w:cs="Calibri"/>
        </w:rPr>
      </w:pPr>
      <w:r w:rsidRPr="00A23FB4">
        <w:rPr>
          <w:rFonts w:ascii="Calibri" w:hAnsi="Calibri" w:cs="Calibri"/>
        </w:rPr>
        <w:t>Odspojony grunt można przewozić dowolnymi środkami transportu.</w:t>
      </w:r>
    </w:p>
    <w:p w14:paraId="3D8C33D6" w14:textId="77777777" w:rsidR="009F5DEB" w:rsidRPr="00A23FB4" w:rsidRDefault="009F5DEB" w:rsidP="0072177F">
      <w:pPr>
        <w:rPr>
          <w:rFonts w:ascii="Calibri" w:hAnsi="Calibri" w:cs="Calibri"/>
          <w:b/>
        </w:rPr>
      </w:pPr>
    </w:p>
    <w:p w14:paraId="46AD7EA5" w14:textId="77777777" w:rsidR="0072177F" w:rsidRPr="00A23FB4" w:rsidRDefault="0072177F" w:rsidP="0072177F">
      <w:pPr>
        <w:rPr>
          <w:rFonts w:ascii="Calibri" w:hAnsi="Calibri" w:cs="Calibri"/>
          <w:b/>
        </w:rPr>
      </w:pPr>
      <w:r w:rsidRPr="00A23FB4">
        <w:rPr>
          <w:rFonts w:ascii="Calibri" w:hAnsi="Calibri" w:cs="Calibri"/>
          <w:b/>
        </w:rPr>
        <w:t>5. WYKONANIE ROBÓT</w:t>
      </w:r>
    </w:p>
    <w:p w14:paraId="08E05AFC" w14:textId="77777777" w:rsidR="0072177F" w:rsidRPr="00A23FB4" w:rsidRDefault="0072177F" w:rsidP="0072177F">
      <w:pPr>
        <w:pStyle w:val="Nagwek4"/>
        <w:rPr>
          <w:rFonts w:ascii="Calibri" w:hAnsi="Calibri" w:cs="Calibri"/>
        </w:rPr>
      </w:pPr>
      <w:r w:rsidRPr="00A23FB4">
        <w:rPr>
          <w:rFonts w:ascii="Calibri" w:hAnsi="Calibri" w:cs="Calibri"/>
        </w:rPr>
        <w:t>5.1. Ogólne zasady wykonania robót</w:t>
      </w:r>
    </w:p>
    <w:p w14:paraId="220F1D43" w14:textId="424656E9" w:rsidR="0072177F" w:rsidRPr="00A23FB4" w:rsidRDefault="0072177F" w:rsidP="0072177F">
      <w:pPr>
        <w:rPr>
          <w:rFonts w:ascii="Calibri" w:hAnsi="Calibri" w:cs="Calibri"/>
        </w:rPr>
      </w:pPr>
      <w:r w:rsidRPr="00A23FB4">
        <w:rPr>
          <w:rFonts w:ascii="Calibri" w:hAnsi="Calibri" w:cs="Calibri"/>
        </w:rPr>
        <w:t xml:space="preserve">Ogólne zasady wykonania robót podano w </w:t>
      </w:r>
      <w:r w:rsidR="00A70091">
        <w:rPr>
          <w:rFonts w:ascii="Calibri" w:hAnsi="Calibri" w:cs="Calibri"/>
        </w:rPr>
        <w:t>ST</w:t>
      </w:r>
      <w:r w:rsidRPr="00A23FB4">
        <w:rPr>
          <w:rFonts w:ascii="Calibri" w:hAnsi="Calibri" w:cs="Calibri"/>
        </w:rPr>
        <w:t>WiORB D-M-00.00.00 „Wymagania ogólne” pkt 5.</w:t>
      </w:r>
    </w:p>
    <w:p w14:paraId="38E25128" w14:textId="77777777" w:rsidR="0072177F" w:rsidRPr="00A23FB4" w:rsidRDefault="0072177F" w:rsidP="0072177F">
      <w:pPr>
        <w:pStyle w:val="Nagwek4"/>
        <w:rPr>
          <w:rFonts w:ascii="Calibri" w:hAnsi="Calibri" w:cs="Calibri"/>
        </w:rPr>
      </w:pPr>
      <w:r w:rsidRPr="00A23FB4">
        <w:rPr>
          <w:rFonts w:ascii="Calibri" w:hAnsi="Calibri" w:cs="Calibri"/>
        </w:rPr>
        <w:t>5.2. Warunki przystąpienia do robót</w:t>
      </w:r>
    </w:p>
    <w:p w14:paraId="5D503FC0" w14:textId="77777777" w:rsidR="0072177F" w:rsidRPr="00A23FB4" w:rsidRDefault="0072177F" w:rsidP="0072177F">
      <w:pPr>
        <w:rPr>
          <w:rFonts w:ascii="Calibri" w:hAnsi="Calibri" w:cs="Calibri"/>
        </w:rPr>
      </w:pPr>
      <w:r w:rsidRPr="00A23FB4">
        <w:rPr>
          <w:rFonts w:ascii="Calibri" w:hAnsi="Calibri" w:cs="Calibri"/>
        </w:rPr>
        <w:t>Wykonawca powinien przystąpić do wykonania koryta oraz profilowania i zagęszczenia podłoża bezpośrednio przed rozpoczęciem robót związanych z wykonaniem warstw nawierzchni. Wcześniejsze przystąpienie do wykonania koryta oraz profilowania i zagęszczania podłoża,jest możliwe wyłącznie za zgodą Inżyniera/Kierownika projektu, w korzystnych warunkach atmosferycznych.</w:t>
      </w:r>
    </w:p>
    <w:p w14:paraId="6AAA88E1" w14:textId="77777777" w:rsidR="0072177F" w:rsidRPr="00A23FB4" w:rsidRDefault="0072177F" w:rsidP="0072177F">
      <w:pPr>
        <w:rPr>
          <w:rFonts w:ascii="Calibri" w:hAnsi="Calibri" w:cs="Calibri"/>
        </w:rPr>
      </w:pPr>
      <w:r w:rsidRPr="00A23FB4">
        <w:rPr>
          <w:rFonts w:ascii="Calibri" w:hAnsi="Calibri" w:cs="Calibri"/>
        </w:rPr>
        <w:t>W wykonanym korycie oraz po wyprofilowanym i zagęszczonym podłożu nie może odbywać się ruch budowlany, niezwiązany bezpośrednio z wykonaniem pierwszej warstwy nawierzchni.</w:t>
      </w:r>
    </w:p>
    <w:p w14:paraId="2B5221AA" w14:textId="77777777" w:rsidR="0072177F" w:rsidRPr="00A23FB4" w:rsidRDefault="0072177F" w:rsidP="0072177F">
      <w:pPr>
        <w:pStyle w:val="Nagwek4"/>
        <w:rPr>
          <w:rFonts w:ascii="Calibri" w:hAnsi="Calibri" w:cs="Calibri"/>
        </w:rPr>
      </w:pPr>
      <w:r w:rsidRPr="00A23FB4">
        <w:rPr>
          <w:rFonts w:ascii="Calibri" w:hAnsi="Calibri" w:cs="Calibri"/>
        </w:rPr>
        <w:t>5.3. Wykonanie koryta</w:t>
      </w:r>
    </w:p>
    <w:p w14:paraId="08E24F40" w14:textId="77777777" w:rsidR="0072177F" w:rsidRPr="00A23FB4" w:rsidRDefault="0072177F" w:rsidP="0072177F">
      <w:pPr>
        <w:rPr>
          <w:rFonts w:ascii="Calibri" w:hAnsi="Calibri" w:cs="Calibri"/>
        </w:rPr>
      </w:pPr>
      <w:r w:rsidRPr="00A23FB4">
        <w:rPr>
          <w:rFonts w:ascii="Calibri" w:hAnsi="Calibri" w:cs="Calibri"/>
        </w:rPr>
        <w:t>Paliki lub szpilki do prawidłowego ukształtowania koryta w planie i profilu powinny być wcześniej przygotowane.</w:t>
      </w:r>
    </w:p>
    <w:p w14:paraId="6D071194" w14:textId="77777777" w:rsidR="0072177F" w:rsidRPr="00A23FB4" w:rsidRDefault="0072177F" w:rsidP="0072177F">
      <w:pPr>
        <w:rPr>
          <w:rFonts w:ascii="Calibri" w:hAnsi="Calibri" w:cs="Calibri"/>
        </w:rPr>
      </w:pPr>
      <w:r w:rsidRPr="00A23FB4">
        <w:rPr>
          <w:rFonts w:ascii="Calibri" w:hAnsi="Calibri" w:cs="Calibri"/>
        </w:rPr>
        <w:t>Paliki lub szpilki należy ustawiać w osi drogi i w rzędach równoległych do osi drogi lub w inny sposób zaakceptowany przez Inżyniera/Kierownika projektu. Rozmieszczenie palików lub szpilek powinno umożliwiać naciągnięcie sznurków lub linek do wytyczenia robót w odstępach nie większych niż co 10 metrów.</w:t>
      </w:r>
    </w:p>
    <w:p w14:paraId="433A57F9" w14:textId="77777777" w:rsidR="0072177F" w:rsidRPr="00A23FB4" w:rsidRDefault="0072177F" w:rsidP="0072177F">
      <w:pPr>
        <w:rPr>
          <w:rFonts w:ascii="Calibri" w:hAnsi="Calibri" w:cs="Calibri"/>
        </w:rPr>
      </w:pPr>
      <w:r w:rsidRPr="00A23FB4">
        <w:rPr>
          <w:rFonts w:ascii="Calibri" w:hAnsi="Calibri" w:cs="Calibri"/>
        </w:rPr>
        <w:t xml:space="preserve">Rodzaj sprzętu, a w szczególności jego moc należy dostosować do rodzaju gruntu, w którym prowadzone są roboty i do trudności jego odspojenia. </w:t>
      </w:r>
    </w:p>
    <w:p w14:paraId="304DB304" w14:textId="77777777" w:rsidR="0072177F" w:rsidRPr="00A23FB4" w:rsidRDefault="0072177F" w:rsidP="0072177F">
      <w:pPr>
        <w:rPr>
          <w:rFonts w:ascii="Calibri" w:hAnsi="Calibri" w:cs="Calibri"/>
        </w:rPr>
      </w:pPr>
      <w:r w:rsidRPr="00A23FB4">
        <w:rPr>
          <w:rFonts w:ascii="Calibri" w:hAnsi="Calibri" w:cs="Calibri"/>
        </w:rPr>
        <w:t>Koryto można wykonywać ręcznie, gdy jego szerokość nie pozwala na zastosowanie maszyn, na przykład na poszerzeniach lub w przypadku robót o małym zakresie. Sposób wykonania musi być zaakceptowany przez Inżyniera/Kierownika projektu.</w:t>
      </w:r>
    </w:p>
    <w:p w14:paraId="2FD965D7" w14:textId="77777777" w:rsidR="0072177F" w:rsidRPr="00A23FB4" w:rsidRDefault="0072177F" w:rsidP="0072177F">
      <w:pPr>
        <w:rPr>
          <w:rFonts w:ascii="Calibri" w:hAnsi="Calibri" w:cs="Calibri"/>
        </w:rPr>
      </w:pPr>
      <w:r w:rsidRPr="00A23FB4">
        <w:rPr>
          <w:rFonts w:ascii="Calibri" w:hAnsi="Calibri" w:cs="Calibri"/>
        </w:rPr>
        <w:t>Grunt odspojony w czasie wykonywania koryta powinien być wykorzystany zgodnie z ustaleniami dokumentacji projektowej  tj. wbudowany w nasyp lub odwieziony na odkład w miejsce wskazane przez Inżyniera/Kierownika projektu.</w:t>
      </w:r>
    </w:p>
    <w:p w14:paraId="4224A439" w14:textId="77777777" w:rsidR="0072177F" w:rsidRPr="00A23FB4" w:rsidRDefault="0072177F" w:rsidP="0072177F">
      <w:pPr>
        <w:rPr>
          <w:rFonts w:ascii="Calibri" w:hAnsi="Calibri" w:cs="Calibri"/>
        </w:rPr>
      </w:pPr>
      <w:r w:rsidRPr="00A23FB4">
        <w:rPr>
          <w:rFonts w:ascii="Calibri" w:hAnsi="Calibri" w:cs="Calibri"/>
        </w:rPr>
        <w:t>Profilowanie i zagęszczenie podłoża należy wykonać zgodnie z zasadami określonymi w pkt 5.4.</w:t>
      </w:r>
    </w:p>
    <w:p w14:paraId="12BD049D" w14:textId="77777777" w:rsidR="0072177F" w:rsidRPr="00A23FB4" w:rsidRDefault="0072177F" w:rsidP="0072177F">
      <w:pPr>
        <w:pStyle w:val="Nagwek4"/>
        <w:rPr>
          <w:rFonts w:ascii="Calibri" w:hAnsi="Calibri" w:cs="Calibri"/>
        </w:rPr>
      </w:pPr>
      <w:r w:rsidRPr="00A23FB4">
        <w:rPr>
          <w:rFonts w:ascii="Calibri" w:hAnsi="Calibri" w:cs="Calibri"/>
        </w:rPr>
        <w:t>5.4. Profilowanie i zagęszczanie podłoża</w:t>
      </w:r>
    </w:p>
    <w:p w14:paraId="7866AFB5" w14:textId="77777777" w:rsidR="0072177F" w:rsidRPr="00A23FB4" w:rsidRDefault="0072177F" w:rsidP="0072177F">
      <w:pPr>
        <w:rPr>
          <w:rFonts w:ascii="Calibri" w:hAnsi="Calibri" w:cs="Calibri"/>
        </w:rPr>
      </w:pPr>
      <w:r w:rsidRPr="00A23FB4">
        <w:rPr>
          <w:rFonts w:ascii="Calibri" w:hAnsi="Calibri" w:cs="Calibri"/>
        </w:rPr>
        <w:t>Przed przystąpieniem do profilowania podłoże powinno być oczyszczone ze wszelkich zanieczyszczeń.</w:t>
      </w:r>
    </w:p>
    <w:p w14:paraId="166FA732" w14:textId="77777777" w:rsidR="0072177F" w:rsidRPr="00A23FB4" w:rsidRDefault="0072177F" w:rsidP="0072177F">
      <w:pPr>
        <w:rPr>
          <w:rFonts w:ascii="Calibri" w:hAnsi="Calibri" w:cs="Calibri"/>
        </w:rPr>
      </w:pPr>
      <w:r w:rsidRPr="00A23FB4">
        <w:rPr>
          <w:rFonts w:ascii="Calibri" w:hAnsi="Calibri" w:cs="Calibri"/>
        </w:rPr>
        <w:t>Po oczyszczeniu powierzchni podłoża należy sprawdzić, czy istniejące rzędne terenu umożliwiają uzyskanie po profilowaniu zaprojektowanych rzędnych podłoża. Zaleca się, aby rzędne terenu przed profilowaniem były o co najmniej 5 cm wyższe niż projektowane rzędne podłoża.</w:t>
      </w:r>
    </w:p>
    <w:p w14:paraId="546DE721" w14:textId="77777777" w:rsidR="0072177F" w:rsidRPr="00A23FB4" w:rsidRDefault="0072177F" w:rsidP="0072177F">
      <w:pPr>
        <w:rPr>
          <w:rFonts w:ascii="Calibri" w:hAnsi="Calibri" w:cs="Calibri"/>
        </w:rPr>
      </w:pPr>
      <w:r w:rsidRPr="00A23FB4">
        <w:rPr>
          <w:rFonts w:ascii="Calibri" w:hAnsi="Calibri" w:cs="Calibri"/>
        </w:rPr>
        <w:t>Jeżeli powyższy warunek nie jest spełniony i występują zaniżenia poziomu w podłożu przewidzianym do profilowania, Wykonawca powinien spulchnić podłoże na głębokość zaakceptowaną przez Inżyniera/Kierownika projektu, dowieźć dodatkowy grunt spełniający wymagania obowiązujące dla górnej strefy korpusu, w ilości koniecznej do uzyskania wymaganych rzędnych wysokościowych i zagęścić warstwę do uzyskania wartości wskaźnika zagęszczenia, określonych w tablicy 8.</w:t>
      </w:r>
    </w:p>
    <w:p w14:paraId="1748BF26" w14:textId="77777777" w:rsidR="0072177F" w:rsidRPr="00A23FB4" w:rsidRDefault="0072177F" w:rsidP="0072177F">
      <w:pPr>
        <w:rPr>
          <w:rFonts w:ascii="Calibri" w:hAnsi="Calibri" w:cs="Calibri"/>
        </w:rPr>
      </w:pPr>
      <w:r w:rsidRPr="00A23FB4">
        <w:rPr>
          <w:rFonts w:ascii="Calibri" w:hAnsi="Calibri" w:cs="Calibri"/>
        </w:rPr>
        <w:t>Do profilowania podłoża należy stosować równiarki. Ścięty grunt powinien być wykorzystany w robotach ziemnych lub w inny sposób zaakceptowany przez Inżyniera/Kierownika projektu.</w:t>
      </w:r>
    </w:p>
    <w:p w14:paraId="5CD9C655" w14:textId="77777777" w:rsidR="0072177F" w:rsidRPr="00A23FB4" w:rsidRDefault="0072177F" w:rsidP="0072177F">
      <w:pPr>
        <w:rPr>
          <w:rFonts w:ascii="Calibri" w:hAnsi="Calibri" w:cs="Calibri"/>
        </w:rPr>
      </w:pPr>
      <w:r w:rsidRPr="00A23FB4">
        <w:rPr>
          <w:rFonts w:ascii="Calibri" w:hAnsi="Calibri" w:cs="Calibri"/>
        </w:rPr>
        <w:t>Bezpośrednio po profilowaniu podłoża należy przystąpić do jego zagęszczania. Zagęszczanie podłoża należy kontynuować do osiągnięcia wskaźnika zagęszczenia nie mniejszego od podanego w tablicy 8. Wskaźnik zagęszczenia należy określać zgodnie z BN-77/8931-12. Dopuszcza się określenie wskaźnika zagęszczenia dowolną metodą określoną w BN-77/8931-12</w:t>
      </w:r>
    </w:p>
    <w:p w14:paraId="299A8731" w14:textId="77777777" w:rsidR="0072177F" w:rsidRPr="00A23FB4" w:rsidRDefault="0072177F" w:rsidP="0072177F">
      <w:pPr>
        <w:rPr>
          <w:rFonts w:ascii="Calibri" w:hAnsi="Calibri" w:cs="Calibri"/>
        </w:rPr>
      </w:pPr>
      <w:r w:rsidRPr="00A23FB4">
        <w:rPr>
          <w:rFonts w:ascii="Calibri" w:hAnsi="Calibri" w:cs="Calibri"/>
        </w:rPr>
        <w:t>Dla warstw leżących poniżej 0,2 m badanie zagęszczenia przeprowadzić należy poprzez oznaczenie wskaźnika odkształcenia oznaczonego wg PN-02205:1998. Grunt przy pomiarze zagęszczenia metodą obciążenia płytą VSS uznaje się za należycie zagęszczony, gdy wskaźnik odkształcenia nie przekracza 2,2.</w:t>
      </w:r>
    </w:p>
    <w:p w14:paraId="28413440" w14:textId="77777777" w:rsidR="00ED6046" w:rsidRPr="00A23FB4" w:rsidRDefault="00ED6046" w:rsidP="0072177F">
      <w:pPr>
        <w:rPr>
          <w:rFonts w:ascii="Calibri" w:hAnsi="Calibri" w:cs="Calibri"/>
        </w:rPr>
      </w:pPr>
    </w:p>
    <w:p w14:paraId="687E3FBB" w14:textId="77777777" w:rsidR="007E137A" w:rsidRPr="00A23FB4" w:rsidRDefault="007E137A" w:rsidP="0072177F">
      <w:pPr>
        <w:rPr>
          <w:rFonts w:ascii="Calibri" w:hAnsi="Calibri" w:cs="Calibri"/>
        </w:rPr>
      </w:pPr>
    </w:p>
    <w:p w14:paraId="4E5FE9E2" w14:textId="77777777" w:rsidR="007E137A" w:rsidRPr="00A23FB4" w:rsidRDefault="007E137A" w:rsidP="0072177F">
      <w:pPr>
        <w:rPr>
          <w:rFonts w:ascii="Calibri" w:hAnsi="Calibri" w:cs="Calibri"/>
        </w:rPr>
      </w:pPr>
    </w:p>
    <w:p w14:paraId="509C7418" w14:textId="77777777" w:rsidR="007E137A" w:rsidRPr="00A23FB4" w:rsidRDefault="007E137A" w:rsidP="0072177F">
      <w:pPr>
        <w:rPr>
          <w:rFonts w:ascii="Calibri" w:hAnsi="Calibri" w:cs="Calibri"/>
        </w:rPr>
      </w:pPr>
    </w:p>
    <w:p w14:paraId="1D1E9343" w14:textId="77777777" w:rsidR="007E137A" w:rsidRPr="00A23FB4" w:rsidRDefault="007E137A" w:rsidP="0072177F">
      <w:pPr>
        <w:rPr>
          <w:rFonts w:ascii="Calibri" w:hAnsi="Calibri" w:cs="Calibri"/>
        </w:rPr>
      </w:pPr>
    </w:p>
    <w:p w14:paraId="39044350" w14:textId="77777777" w:rsidR="0072177F" w:rsidRPr="00A23FB4" w:rsidRDefault="0072177F" w:rsidP="0072177F">
      <w:pPr>
        <w:rPr>
          <w:rFonts w:ascii="Calibri" w:hAnsi="Calibri" w:cs="Calibri"/>
        </w:rPr>
      </w:pPr>
      <w:r w:rsidRPr="00A23FB4">
        <w:rPr>
          <w:rFonts w:ascii="Calibri" w:hAnsi="Calibri" w:cs="Calibri"/>
        </w:rPr>
        <w:t>Tablica 8. Minimalne wartości wskaźnika zagęszczenia podłoża (I</w:t>
      </w:r>
      <w:r w:rsidRPr="00A23FB4">
        <w:rPr>
          <w:rFonts w:ascii="Calibri" w:hAnsi="Calibri" w:cs="Calibri"/>
          <w:vertAlign w:val="subscript"/>
        </w:rPr>
        <w:t>s</w:t>
      </w:r>
      <w:r w:rsidRPr="00A23FB4">
        <w:rPr>
          <w:rFonts w:ascii="Calibri" w:hAnsi="Calibri" w:cs="Calibri"/>
        </w:rPr>
        <w:t>) i wtórnego modułu odkształcenia</w:t>
      </w:r>
    </w:p>
    <w:tbl>
      <w:tblPr>
        <w:tblW w:w="9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018"/>
        <w:gridCol w:w="3577"/>
        <w:gridCol w:w="3700"/>
      </w:tblGrid>
      <w:tr w:rsidR="009F3E17" w:rsidRPr="00F22D4B" w14:paraId="00C7D978" w14:textId="77777777" w:rsidTr="00EA573C">
        <w:trPr>
          <w:trHeight w:val="596"/>
          <w:jc w:val="center"/>
        </w:trPr>
        <w:tc>
          <w:tcPr>
            <w:tcW w:w="201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64C163F" w14:textId="77777777" w:rsidR="009F3E17" w:rsidRPr="00F22D4B" w:rsidRDefault="009F3E17" w:rsidP="00EA573C">
            <w:pPr>
              <w:shd w:val="clear" w:color="auto" w:fill="FFFFFF"/>
              <w:spacing w:line="276" w:lineRule="auto"/>
              <w:jc w:val="center"/>
              <w:rPr>
                <w:rFonts w:ascii="Calibri" w:hAnsi="Calibri" w:cs="Calibri"/>
                <w:bCs/>
                <w:i/>
              </w:rPr>
            </w:pPr>
            <w:r w:rsidRPr="00F22D4B">
              <w:rPr>
                <w:rFonts w:ascii="Calibri" w:hAnsi="Calibri" w:cs="Calibri"/>
                <w:i/>
              </w:rPr>
              <w:t>Warstwy</w:t>
            </w:r>
          </w:p>
        </w:tc>
        <w:tc>
          <w:tcPr>
            <w:tcW w:w="357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FFE51F2" w14:textId="77777777" w:rsidR="009F3E17" w:rsidRPr="00F22D4B" w:rsidRDefault="009F3E17" w:rsidP="00EA573C">
            <w:pPr>
              <w:shd w:val="clear" w:color="auto" w:fill="FFFFFF"/>
              <w:spacing w:line="276" w:lineRule="auto"/>
              <w:jc w:val="center"/>
              <w:rPr>
                <w:rFonts w:ascii="Calibri" w:hAnsi="Calibri" w:cs="Calibri"/>
                <w:bCs/>
                <w:i/>
              </w:rPr>
            </w:pPr>
            <w:r w:rsidRPr="00F22D4B">
              <w:rPr>
                <w:rFonts w:ascii="Calibri" w:hAnsi="Calibri" w:cs="Calibri"/>
                <w:i/>
              </w:rPr>
              <w:t>Parametr (Is, E2)</w:t>
            </w:r>
          </w:p>
        </w:tc>
        <w:tc>
          <w:tcPr>
            <w:tcW w:w="370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A9A6956" w14:textId="77777777" w:rsidR="009F3E17" w:rsidRPr="00F22D4B" w:rsidRDefault="009F3E17" w:rsidP="00EA573C">
            <w:pPr>
              <w:shd w:val="clear" w:color="auto" w:fill="FFFFFF"/>
              <w:spacing w:line="276" w:lineRule="auto"/>
              <w:jc w:val="center"/>
              <w:rPr>
                <w:rFonts w:ascii="Calibri" w:hAnsi="Calibri" w:cs="Calibri"/>
                <w:bCs/>
                <w:i/>
              </w:rPr>
            </w:pPr>
            <w:r>
              <w:rPr>
                <w:rFonts w:ascii="Calibri" w:hAnsi="Calibri" w:cs="Calibri"/>
                <w:bCs/>
                <w:i/>
              </w:rPr>
              <w:t>Wymagania</w:t>
            </w:r>
          </w:p>
        </w:tc>
      </w:tr>
      <w:tr w:rsidR="009F3E17" w:rsidRPr="00501A9A" w14:paraId="11B7FEF1" w14:textId="77777777" w:rsidTr="00EA573C">
        <w:trPr>
          <w:trHeight w:val="462"/>
          <w:jc w:val="center"/>
        </w:trPr>
        <w:tc>
          <w:tcPr>
            <w:tcW w:w="9295"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0DEE802D" w14:textId="77777777" w:rsidR="009F3E17" w:rsidRPr="00501A9A" w:rsidRDefault="009F3E17" w:rsidP="00EA573C">
            <w:pPr>
              <w:shd w:val="clear" w:color="auto" w:fill="FFFFFF"/>
              <w:spacing w:line="276" w:lineRule="auto"/>
              <w:jc w:val="center"/>
              <w:rPr>
                <w:rFonts w:ascii="Calibri" w:hAnsi="Calibri" w:cs="Calibri"/>
              </w:rPr>
            </w:pPr>
            <w:r w:rsidRPr="00501A9A">
              <w:rPr>
                <w:rFonts w:ascii="Calibri" w:hAnsi="Calibri" w:cs="Calibri"/>
                <w:i/>
              </w:rPr>
              <w:t>Droga krajowa Kategoria ruchu KR5</w:t>
            </w:r>
          </w:p>
        </w:tc>
      </w:tr>
      <w:tr w:rsidR="009F3E17" w:rsidRPr="00F22D4B" w14:paraId="47E081B9" w14:textId="77777777" w:rsidTr="00EA573C">
        <w:trPr>
          <w:trHeight w:val="462"/>
          <w:jc w:val="center"/>
        </w:trPr>
        <w:tc>
          <w:tcPr>
            <w:tcW w:w="2018"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ABC1231" w14:textId="77777777" w:rsidR="009F3E17" w:rsidRPr="00F22D4B" w:rsidRDefault="009F3E17" w:rsidP="00EA573C">
            <w:pPr>
              <w:shd w:val="clear" w:color="auto" w:fill="FFFFFF"/>
              <w:spacing w:line="276" w:lineRule="auto"/>
              <w:jc w:val="center"/>
              <w:rPr>
                <w:rFonts w:ascii="Calibri" w:hAnsi="Calibri" w:cs="Calibri"/>
              </w:rPr>
            </w:pPr>
            <w:r w:rsidRPr="00F22D4B">
              <w:rPr>
                <w:rFonts w:ascii="Calibri" w:hAnsi="Calibri" w:cs="Calibri"/>
              </w:rPr>
              <w:t>Powierzchnia robót ziemnych (PRZ)</w:t>
            </w:r>
          </w:p>
        </w:tc>
        <w:tc>
          <w:tcPr>
            <w:tcW w:w="357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C12D18E" w14:textId="77777777" w:rsidR="009F3E17" w:rsidRPr="00501A9A" w:rsidRDefault="009F3E17" w:rsidP="00EA573C">
            <w:pPr>
              <w:shd w:val="clear" w:color="auto" w:fill="FFFFFF"/>
              <w:spacing w:line="276" w:lineRule="auto"/>
              <w:jc w:val="center"/>
              <w:rPr>
                <w:rFonts w:ascii="Calibri" w:hAnsi="Calibri" w:cs="Calibri"/>
              </w:rPr>
            </w:pPr>
            <w:r w:rsidRPr="00501A9A">
              <w:rPr>
                <w:rFonts w:ascii="Calibri" w:hAnsi="Calibri" w:cs="Calibri"/>
              </w:rPr>
              <w:t>E2 na powierzchni robót ziemnych (PRZ)</w:t>
            </w:r>
          </w:p>
        </w:tc>
        <w:tc>
          <w:tcPr>
            <w:tcW w:w="370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8FE1E62" w14:textId="77777777" w:rsidR="009F3E17" w:rsidRPr="00F22D4B" w:rsidRDefault="009F3E17" w:rsidP="00EA573C">
            <w:pPr>
              <w:shd w:val="clear" w:color="auto" w:fill="FFFFFF"/>
              <w:spacing w:line="276" w:lineRule="auto"/>
              <w:jc w:val="center"/>
              <w:rPr>
                <w:rFonts w:ascii="Calibri" w:hAnsi="Calibri" w:cs="Calibri"/>
              </w:rPr>
            </w:pPr>
            <w:r w:rsidRPr="00F22D4B">
              <w:rPr>
                <w:rFonts w:ascii="Calibri" w:hAnsi="Calibri" w:cs="Calibri"/>
              </w:rPr>
              <w:t>E2 ≥ 80 MPa wg PFU</w:t>
            </w:r>
          </w:p>
        </w:tc>
      </w:tr>
      <w:tr w:rsidR="009F3E17" w:rsidRPr="00F22D4B" w14:paraId="2E9F5744" w14:textId="77777777" w:rsidTr="00EA573C">
        <w:trPr>
          <w:trHeight w:val="458"/>
          <w:jc w:val="center"/>
        </w:trPr>
        <w:tc>
          <w:tcPr>
            <w:tcW w:w="2018" w:type="dxa"/>
            <w:vMerge/>
            <w:tcBorders>
              <w:top w:val="single" w:sz="4" w:space="0" w:color="auto"/>
              <w:left w:val="single" w:sz="4" w:space="0" w:color="auto"/>
              <w:bottom w:val="single" w:sz="4" w:space="0" w:color="auto"/>
              <w:right w:val="single" w:sz="4" w:space="0" w:color="auto"/>
            </w:tcBorders>
            <w:vAlign w:val="center"/>
            <w:hideMark/>
          </w:tcPr>
          <w:p w14:paraId="0ADD743F" w14:textId="77777777" w:rsidR="009F3E17" w:rsidRPr="00F22D4B" w:rsidRDefault="009F3E17" w:rsidP="00EA573C">
            <w:pPr>
              <w:autoSpaceDE/>
              <w:autoSpaceDN/>
              <w:rPr>
                <w:rFonts w:ascii="Calibri" w:hAnsi="Calibri" w:cs="Calibri"/>
              </w:rPr>
            </w:pPr>
          </w:p>
        </w:tc>
        <w:tc>
          <w:tcPr>
            <w:tcW w:w="357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CC146C9" w14:textId="77777777" w:rsidR="009F3E17" w:rsidRPr="00F22D4B" w:rsidRDefault="009F3E17" w:rsidP="00EA573C">
            <w:pPr>
              <w:shd w:val="clear" w:color="auto" w:fill="FFFFFF"/>
              <w:spacing w:line="276" w:lineRule="auto"/>
              <w:jc w:val="center"/>
              <w:rPr>
                <w:rFonts w:ascii="Calibri" w:hAnsi="Calibri" w:cs="Calibri"/>
              </w:rPr>
            </w:pPr>
            <w:r w:rsidRPr="00F22D4B">
              <w:rPr>
                <w:rFonts w:ascii="Calibri" w:hAnsi="Calibri" w:cs="Calibri"/>
              </w:rPr>
              <w:t>Is  dla warstwy</w:t>
            </w:r>
          </w:p>
        </w:tc>
        <w:tc>
          <w:tcPr>
            <w:tcW w:w="370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DC58C2C" w14:textId="77777777" w:rsidR="009F3E17" w:rsidRPr="00F22D4B" w:rsidRDefault="009F3E17" w:rsidP="00EA573C">
            <w:pPr>
              <w:shd w:val="clear" w:color="auto" w:fill="FFFFFF"/>
              <w:spacing w:line="276" w:lineRule="auto"/>
              <w:jc w:val="center"/>
              <w:rPr>
                <w:rFonts w:ascii="Calibri" w:hAnsi="Calibri" w:cs="Calibri"/>
              </w:rPr>
            </w:pPr>
            <w:r w:rsidRPr="00F22D4B">
              <w:rPr>
                <w:rFonts w:ascii="Calibri" w:hAnsi="Calibri" w:cs="Calibri"/>
              </w:rPr>
              <w:t>Is ≥ 1,0 wg PN-S-02205</w:t>
            </w:r>
          </w:p>
        </w:tc>
      </w:tr>
      <w:tr w:rsidR="009F3E17" w:rsidRPr="00501A9A" w14:paraId="03728CC5" w14:textId="77777777" w:rsidTr="00EA573C">
        <w:trPr>
          <w:trHeight w:val="571"/>
          <w:jc w:val="center"/>
        </w:trPr>
        <w:tc>
          <w:tcPr>
            <w:tcW w:w="9295"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31E39908" w14:textId="77777777" w:rsidR="009F3E17" w:rsidRPr="00501A9A" w:rsidRDefault="009F3E17" w:rsidP="00EA573C">
            <w:pPr>
              <w:shd w:val="clear" w:color="auto" w:fill="FFFFFF"/>
              <w:spacing w:line="276" w:lineRule="auto"/>
              <w:jc w:val="center"/>
              <w:rPr>
                <w:rFonts w:ascii="Calibri" w:hAnsi="Calibri" w:cs="Calibri"/>
                <w:bCs/>
                <w:i/>
              </w:rPr>
            </w:pPr>
            <w:r w:rsidRPr="00501A9A">
              <w:rPr>
                <w:rFonts w:ascii="Calibri" w:hAnsi="Calibri" w:cs="Calibri"/>
                <w:i/>
              </w:rPr>
              <w:t>Dla  dróg wojewódzkich I powiatowych Kategoria ruchu KR3-KR4</w:t>
            </w:r>
          </w:p>
        </w:tc>
      </w:tr>
      <w:tr w:rsidR="009F3E17" w:rsidRPr="00501A9A" w14:paraId="7C3CC906" w14:textId="77777777" w:rsidTr="00EA573C">
        <w:trPr>
          <w:trHeight w:val="589"/>
          <w:jc w:val="center"/>
        </w:trPr>
        <w:tc>
          <w:tcPr>
            <w:tcW w:w="2018"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C8F1245" w14:textId="77777777" w:rsidR="009F3E17" w:rsidRPr="00F22D4B" w:rsidRDefault="009F3E17" w:rsidP="00EA573C">
            <w:pPr>
              <w:shd w:val="clear" w:color="auto" w:fill="FFFFFF"/>
              <w:spacing w:line="276" w:lineRule="auto"/>
              <w:jc w:val="center"/>
              <w:rPr>
                <w:rFonts w:ascii="Calibri" w:hAnsi="Calibri" w:cs="Calibri"/>
              </w:rPr>
            </w:pPr>
            <w:r w:rsidRPr="00F22D4B">
              <w:rPr>
                <w:rFonts w:ascii="Calibri" w:hAnsi="Calibri" w:cs="Calibri"/>
              </w:rPr>
              <w:t>Powierzchnia robót ziemnych (PRZ)</w:t>
            </w:r>
          </w:p>
        </w:tc>
        <w:tc>
          <w:tcPr>
            <w:tcW w:w="357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7BCBD73" w14:textId="77777777" w:rsidR="009F3E17" w:rsidRPr="00501A9A" w:rsidRDefault="009F3E17" w:rsidP="00EA573C">
            <w:pPr>
              <w:shd w:val="clear" w:color="auto" w:fill="FFFFFF"/>
              <w:spacing w:line="276" w:lineRule="auto"/>
              <w:jc w:val="center"/>
              <w:rPr>
                <w:rFonts w:ascii="Calibri" w:hAnsi="Calibri" w:cs="Calibri"/>
              </w:rPr>
            </w:pPr>
            <w:r w:rsidRPr="00501A9A">
              <w:rPr>
                <w:rFonts w:ascii="Calibri" w:hAnsi="Calibri" w:cs="Calibri"/>
              </w:rPr>
              <w:t>E2 na powierzchni robót ziemnych (PRZ)</w:t>
            </w:r>
          </w:p>
        </w:tc>
        <w:tc>
          <w:tcPr>
            <w:tcW w:w="370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EBCE38F" w14:textId="77777777" w:rsidR="009F3E17" w:rsidRPr="00501A9A" w:rsidRDefault="009F3E17" w:rsidP="00EA573C">
            <w:pPr>
              <w:shd w:val="clear" w:color="auto" w:fill="FFFFFF"/>
              <w:spacing w:line="276" w:lineRule="auto"/>
              <w:jc w:val="center"/>
              <w:rPr>
                <w:rFonts w:ascii="Calibri" w:hAnsi="Calibri" w:cs="Calibri"/>
              </w:rPr>
            </w:pPr>
            <w:r w:rsidRPr="00501A9A">
              <w:rPr>
                <w:rFonts w:ascii="Calibri" w:hAnsi="Calibri" w:cs="Calibri"/>
              </w:rPr>
              <w:t>dla G1 - E2 ≥ 80 MPa</w:t>
            </w:r>
          </w:p>
          <w:p w14:paraId="4F72A550" w14:textId="77777777" w:rsidR="009F3E17" w:rsidRPr="00501A9A" w:rsidRDefault="009F3E17" w:rsidP="00EA573C">
            <w:pPr>
              <w:shd w:val="clear" w:color="auto" w:fill="FFFFFF"/>
              <w:spacing w:line="276" w:lineRule="auto"/>
              <w:jc w:val="center"/>
              <w:rPr>
                <w:rFonts w:ascii="Calibri" w:hAnsi="Calibri" w:cs="Calibri"/>
              </w:rPr>
            </w:pPr>
            <w:r w:rsidRPr="00501A9A">
              <w:rPr>
                <w:rFonts w:ascii="Calibri" w:hAnsi="Calibri" w:cs="Calibri"/>
              </w:rPr>
              <w:t>wg KTKNPIP</w:t>
            </w:r>
          </w:p>
        </w:tc>
      </w:tr>
      <w:tr w:rsidR="009F3E17" w:rsidRPr="00F22D4B" w14:paraId="6C747BB6" w14:textId="77777777" w:rsidTr="00EA573C">
        <w:trPr>
          <w:trHeight w:val="456"/>
          <w:jc w:val="center"/>
        </w:trPr>
        <w:tc>
          <w:tcPr>
            <w:tcW w:w="2018" w:type="dxa"/>
            <w:vMerge/>
            <w:tcBorders>
              <w:top w:val="single" w:sz="4" w:space="0" w:color="auto"/>
              <w:left w:val="single" w:sz="4" w:space="0" w:color="auto"/>
              <w:bottom w:val="single" w:sz="4" w:space="0" w:color="auto"/>
              <w:right w:val="single" w:sz="4" w:space="0" w:color="auto"/>
            </w:tcBorders>
            <w:vAlign w:val="center"/>
            <w:hideMark/>
          </w:tcPr>
          <w:p w14:paraId="42F8D8A6" w14:textId="77777777" w:rsidR="009F3E17" w:rsidRPr="00501A9A" w:rsidRDefault="009F3E17" w:rsidP="00EA573C">
            <w:pPr>
              <w:autoSpaceDE/>
              <w:autoSpaceDN/>
              <w:rPr>
                <w:rFonts w:ascii="Calibri" w:hAnsi="Calibri" w:cs="Calibri"/>
              </w:rPr>
            </w:pPr>
          </w:p>
        </w:tc>
        <w:tc>
          <w:tcPr>
            <w:tcW w:w="357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F9C40AE" w14:textId="77777777" w:rsidR="009F3E17" w:rsidRPr="00F22D4B" w:rsidRDefault="009F3E17" w:rsidP="00EA573C">
            <w:pPr>
              <w:shd w:val="clear" w:color="auto" w:fill="FFFFFF"/>
              <w:spacing w:line="276" w:lineRule="auto"/>
              <w:jc w:val="center"/>
              <w:rPr>
                <w:rFonts w:ascii="Calibri" w:hAnsi="Calibri" w:cs="Calibri"/>
              </w:rPr>
            </w:pPr>
            <w:r w:rsidRPr="00F22D4B">
              <w:rPr>
                <w:rFonts w:ascii="Calibri" w:hAnsi="Calibri" w:cs="Calibri"/>
              </w:rPr>
              <w:t>Is  dla warstwy</w:t>
            </w:r>
          </w:p>
        </w:tc>
        <w:tc>
          <w:tcPr>
            <w:tcW w:w="370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86A2E07" w14:textId="77777777" w:rsidR="009F3E17" w:rsidRPr="00F22D4B" w:rsidRDefault="009F3E17" w:rsidP="00EA573C">
            <w:pPr>
              <w:shd w:val="clear" w:color="auto" w:fill="FFFFFF"/>
              <w:spacing w:line="276" w:lineRule="auto"/>
              <w:jc w:val="center"/>
              <w:rPr>
                <w:rFonts w:ascii="Calibri" w:hAnsi="Calibri" w:cs="Calibri"/>
              </w:rPr>
            </w:pPr>
            <w:r w:rsidRPr="00F22D4B">
              <w:rPr>
                <w:rFonts w:ascii="Calibri" w:hAnsi="Calibri" w:cs="Calibri"/>
              </w:rPr>
              <w:t>Is ≥ 1,0 wg PN-S-02205</w:t>
            </w:r>
          </w:p>
        </w:tc>
      </w:tr>
      <w:tr w:rsidR="009F3E17" w:rsidRPr="00501A9A" w14:paraId="4D336101" w14:textId="77777777" w:rsidTr="00EA573C">
        <w:trPr>
          <w:trHeight w:val="456"/>
          <w:jc w:val="center"/>
        </w:trPr>
        <w:tc>
          <w:tcPr>
            <w:tcW w:w="201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BBAE5A9" w14:textId="77777777" w:rsidR="009F3E17" w:rsidRPr="00501A9A" w:rsidRDefault="009F3E17" w:rsidP="00EA573C">
            <w:pPr>
              <w:shd w:val="clear" w:color="auto" w:fill="FFFFFF"/>
              <w:spacing w:line="276" w:lineRule="auto"/>
              <w:jc w:val="center"/>
              <w:rPr>
                <w:rFonts w:ascii="Calibri" w:hAnsi="Calibri" w:cs="Calibri"/>
              </w:rPr>
            </w:pPr>
            <w:r w:rsidRPr="00501A9A">
              <w:rPr>
                <w:rFonts w:ascii="Calibri" w:hAnsi="Calibri" w:cs="Calibri"/>
              </w:rPr>
              <w:t>Powierzchnia gruntu rodzimego w wykopie</w:t>
            </w:r>
          </w:p>
        </w:tc>
        <w:tc>
          <w:tcPr>
            <w:tcW w:w="357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C0957A3" w14:textId="77777777" w:rsidR="009F3E17" w:rsidRPr="00501A9A" w:rsidRDefault="009F3E17" w:rsidP="00EA573C">
            <w:pPr>
              <w:shd w:val="clear" w:color="auto" w:fill="FFFFFF"/>
              <w:spacing w:line="276" w:lineRule="auto"/>
              <w:jc w:val="center"/>
              <w:rPr>
                <w:rFonts w:ascii="Calibri" w:hAnsi="Calibri" w:cs="Calibri"/>
              </w:rPr>
            </w:pPr>
            <w:r w:rsidRPr="00501A9A">
              <w:rPr>
                <w:rFonts w:ascii="Calibri" w:hAnsi="Calibri" w:cs="Calibri"/>
              </w:rPr>
              <w:t>E2 na powierzchni gruntu rodzimego w wykopie</w:t>
            </w:r>
          </w:p>
        </w:tc>
        <w:tc>
          <w:tcPr>
            <w:tcW w:w="370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D7400D9" w14:textId="77777777" w:rsidR="009F3E17" w:rsidRPr="00501A9A" w:rsidRDefault="009F3E17" w:rsidP="00EA573C">
            <w:pPr>
              <w:shd w:val="clear" w:color="auto" w:fill="FFFFFF"/>
              <w:spacing w:line="276" w:lineRule="auto"/>
              <w:jc w:val="center"/>
              <w:rPr>
                <w:rFonts w:ascii="Calibri" w:hAnsi="Calibri" w:cs="Calibri"/>
              </w:rPr>
            </w:pPr>
            <w:r w:rsidRPr="00501A9A">
              <w:rPr>
                <w:rFonts w:ascii="Calibri" w:hAnsi="Calibri" w:cs="Calibri"/>
              </w:rPr>
              <w:t>dla G1 - E2 ≥ 80 MPa</w:t>
            </w:r>
          </w:p>
          <w:p w14:paraId="16516F9C" w14:textId="77777777" w:rsidR="009F3E17" w:rsidRPr="00501A9A" w:rsidRDefault="009F3E17" w:rsidP="00EA573C">
            <w:pPr>
              <w:shd w:val="clear" w:color="auto" w:fill="FFFFFF"/>
              <w:spacing w:line="276" w:lineRule="auto"/>
              <w:jc w:val="center"/>
              <w:rPr>
                <w:rFonts w:ascii="Calibri" w:hAnsi="Calibri" w:cs="Calibri"/>
              </w:rPr>
            </w:pPr>
            <w:r w:rsidRPr="00501A9A">
              <w:rPr>
                <w:rFonts w:ascii="Calibri" w:hAnsi="Calibri" w:cs="Calibri"/>
              </w:rPr>
              <w:t>wg KTKNPIP</w:t>
            </w:r>
          </w:p>
        </w:tc>
      </w:tr>
      <w:tr w:rsidR="009F3E17" w:rsidRPr="00501A9A" w14:paraId="4723ACAD" w14:textId="77777777" w:rsidTr="00EA573C">
        <w:trPr>
          <w:trHeight w:val="571"/>
          <w:jc w:val="center"/>
        </w:trPr>
        <w:tc>
          <w:tcPr>
            <w:tcW w:w="9295"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471D3915" w14:textId="77777777" w:rsidR="009F3E17" w:rsidRPr="00501A9A" w:rsidRDefault="009F3E17" w:rsidP="00EA573C">
            <w:pPr>
              <w:shd w:val="clear" w:color="auto" w:fill="FFFFFF"/>
              <w:spacing w:line="276" w:lineRule="auto"/>
              <w:jc w:val="center"/>
              <w:rPr>
                <w:rFonts w:ascii="Calibri" w:hAnsi="Calibri" w:cs="Calibri"/>
                <w:bCs/>
                <w:i/>
              </w:rPr>
            </w:pPr>
            <w:r w:rsidRPr="00501A9A">
              <w:rPr>
                <w:rFonts w:ascii="Calibri" w:hAnsi="Calibri" w:cs="Calibri"/>
                <w:i/>
              </w:rPr>
              <w:t>Dla pozostałych dróg Kategoria ruchu KR1-KR2</w:t>
            </w:r>
          </w:p>
        </w:tc>
      </w:tr>
      <w:tr w:rsidR="009F3E17" w:rsidRPr="00501A9A" w14:paraId="29F6F9D5" w14:textId="77777777" w:rsidTr="00EA573C">
        <w:trPr>
          <w:trHeight w:val="674"/>
          <w:jc w:val="center"/>
        </w:trPr>
        <w:tc>
          <w:tcPr>
            <w:tcW w:w="2018"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EA43EB7" w14:textId="77777777" w:rsidR="009F3E17" w:rsidRPr="00F22D4B" w:rsidRDefault="009F3E17" w:rsidP="00EA573C">
            <w:pPr>
              <w:shd w:val="clear" w:color="auto" w:fill="FFFFFF"/>
              <w:spacing w:line="276" w:lineRule="auto"/>
              <w:jc w:val="center"/>
              <w:rPr>
                <w:rFonts w:ascii="Calibri" w:hAnsi="Calibri" w:cs="Calibri"/>
              </w:rPr>
            </w:pPr>
            <w:r w:rsidRPr="00F22D4B">
              <w:rPr>
                <w:rFonts w:ascii="Calibri" w:hAnsi="Calibri" w:cs="Calibri"/>
              </w:rPr>
              <w:t>Powierzchnia robót ziemnych (PRZ)</w:t>
            </w:r>
          </w:p>
        </w:tc>
        <w:tc>
          <w:tcPr>
            <w:tcW w:w="357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E06D277" w14:textId="77777777" w:rsidR="009F3E17" w:rsidRPr="00501A9A" w:rsidRDefault="009F3E17" w:rsidP="00EA573C">
            <w:pPr>
              <w:shd w:val="clear" w:color="auto" w:fill="FFFFFF"/>
              <w:spacing w:line="276" w:lineRule="auto"/>
              <w:jc w:val="center"/>
              <w:rPr>
                <w:rFonts w:ascii="Calibri" w:hAnsi="Calibri" w:cs="Calibri"/>
              </w:rPr>
            </w:pPr>
            <w:r w:rsidRPr="00501A9A">
              <w:rPr>
                <w:rFonts w:ascii="Calibri" w:hAnsi="Calibri" w:cs="Calibri"/>
              </w:rPr>
              <w:t>E2 na powierzchni robót ziemnych (PRZ)</w:t>
            </w:r>
          </w:p>
        </w:tc>
        <w:tc>
          <w:tcPr>
            <w:tcW w:w="370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6C4ECDC" w14:textId="77777777" w:rsidR="009F3E17" w:rsidRPr="00501A9A" w:rsidRDefault="009F3E17" w:rsidP="00EA573C">
            <w:pPr>
              <w:shd w:val="clear" w:color="auto" w:fill="FFFFFF"/>
              <w:spacing w:line="276" w:lineRule="auto"/>
              <w:jc w:val="center"/>
              <w:rPr>
                <w:rFonts w:ascii="Calibri" w:hAnsi="Calibri" w:cs="Calibri"/>
              </w:rPr>
            </w:pPr>
            <w:r w:rsidRPr="00501A9A">
              <w:rPr>
                <w:rFonts w:ascii="Calibri" w:hAnsi="Calibri" w:cs="Calibri"/>
              </w:rPr>
              <w:t>dla G1 - E2 ≥ 80 MPa</w:t>
            </w:r>
          </w:p>
          <w:p w14:paraId="6BBF6E4A" w14:textId="77777777" w:rsidR="009F3E17" w:rsidRPr="00501A9A" w:rsidRDefault="009F3E17" w:rsidP="00EA573C">
            <w:pPr>
              <w:shd w:val="clear" w:color="auto" w:fill="FFFFFF"/>
              <w:spacing w:line="276" w:lineRule="auto"/>
              <w:jc w:val="center"/>
              <w:rPr>
                <w:rFonts w:ascii="Calibri" w:hAnsi="Calibri" w:cs="Calibri"/>
              </w:rPr>
            </w:pPr>
            <w:r w:rsidRPr="00501A9A">
              <w:rPr>
                <w:rFonts w:ascii="Calibri" w:hAnsi="Calibri" w:cs="Calibri"/>
              </w:rPr>
              <w:t>wg KTKNPIP</w:t>
            </w:r>
          </w:p>
        </w:tc>
      </w:tr>
      <w:tr w:rsidR="009F3E17" w:rsidRPr="00F22D4B" w14:paraId="662A593C" w14:textId="77777777" w:rsidTr="00EA573C">
        <w:trPr>
          <w:trHeight w:val="456"/>
          <w:jc w:val="center"/>
        </w:trPr>
        <w:tc>
          <w:tcPr>
            <w:tcW w:w="2018" w:type="dxa"/>
            <w:vMerge/>
            <w:tcBorders>
              <w:top w:val="single" w:sz="4" w:space="0" w:color="auto"/>
              <w:left w:val="single" w:sz="4" w:space="0" w:color="auto"/>
              <w:bottom w:val="single" w:sz="4" w:space="0" w:color="auto"/>
              <w:right w:val="single" w:sz="4" w:space="0" w:color="auto"/>
            </w:tcBorders>
            <w:vAlign w:val="center"/>
            <w:hideMark/>
          </w:tcPr>
          <w:p w14:paraId="02DB180E" w14:textId="77777777" w:rsidR="009F3E17" w:rsidRPr="00501A9A" w:rsidRDefault="009F3E17" w:rsidP="00EA573C">
            <w:pPr>
              <w:autoSpaceDE/>
              <w:autoSpaceDN/>
              <w:rPr>
                <w:rFonts w:ascii="Calibri" w:hAnsi="Calibri" w:cs="Calibri"/>
              </w:rPr>
            </w:pPr>
          </w:p>
        </w:tc>
        <w:tc>
          <w:tcPr>
            <w:tcW w:w="357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A3682FD" w14:textId="77777777" w:rsidR="009F3E17" w:rsidRPr="00F22D4B" w:rsidRDefault="009F3E17" w:rsidP="00EA573C">
            <w:pPr>
              <w:shd w:val="clear" w:color="auto" w:fill="FFFFFF"/>
              <w:spacing w:line="276" w:lineRule="auto"/>
              <w:jc w:val="center"/>
              <w:rPr>
                <w:rFonts w:ascii="Calibri" w:hAnsi="Calibri" w:cs="Calibri"/>
              </w:rPr>
            </w:pPr>
            <w:r w:rsidRPr="00F22D4B">
              <w:rPr>
                <w:rFonts w:ascii="Calibri" w:hAnsi="Calibri" w:cs="Calibri"/>
              </w:rPr>
              <w:t>Is  dla warstwy</w:t>
            </w:r>
          </w:p>
        </w:tc>
        <w:tc>
          <w:tcPr>
            <w:tcW w:w="370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84BFCB5" w14:textId="77777777" w:rsidR="009F3E17" w:rsidRPr="00F22D4B" w:rsidRDefault="009F3E17" w:rsidP="00EA573C">
            <w:pPr>
              <w:shd w:val="clear" w:color="auto" w:fill="FFFFFF"/>
              <w:spacing w:line="276" w:lineRule="auto"/>
              <w:jc w:val="center"/>
              <w:rPr>
                <w:rFonts w:ascii="Calibri" w:hAnsi="Calibri" w:cs="Calibri"/>
              </w:rPr>
            </w:pPr>
            <w:r w:rsidRPr="00F22D4B">
              <w:rPr>
                <w:rFonts w:ascii="Calibri" w:hAnsi="Calibri" w:cs="Calibri"/>
              </w:rPr>
              <w:t>Is ≥ 1,0 wg PN-S-02205</w:t>
            </w:r>
          </w:p>
        </w:tc>
      </w:tr>
    </w:tbl>
    <w:p w14:paraId="742D0F7B" w14:textId="77777777" w:rsidR="0072177F" w:rsidRPr="00A23FB4" w:rsidRDefault="0072177F" w:rsidP="0072177F">
      <w:pPr>
        <w:pStyle w:val="tekstost"/>
        <w:rPr>
          <w:rFonts w:ascii="Calibri" w:hAnsi="Calibri" w:cs="Calibri"/>
        </w:rPr>
      </w:pPr>
    </w:p>
    <w:p w14:paraId="7FB7C722" w14:textId="77777777" w:rsidR="0072177F" w:rsidRPr="00A23FB4" w:rsidRDefault="0072177F" w:rsidP="0072177F">
      <w:pPr>
        <w:rPr>
          <w:rFonts w:ascii="Calibri" w:hAnsi="Calibri" w:cs="Calibri"/>
        </w:rPr>
      </w:pPr>
      <w:r w:rsidRPr="00A23FB4">
        <w:rPr>
          <w:rFonts w:ascii="Calibri" w:hAnsi="Calibri" w:cs="Calibri"/>
        </w:rPr>
        <w:t xml:space="preserve">Za zgodą Inżyniera/kierownika projektu dopuszcza się prowadzenie badań przy zastosowaniu metod alternatywnych – w szczególności lekkiej płyty dynamicznej ZFG-02 lub lekkiej sondy wbijanej SD-10 zgodnie z Instrukcją Badań Podłoża Gruntowego Budowli Mostowych i Drogowych Część 2 Załącznik, Warszawa 1998. Korelacji pomiędzy wynikami uzyskanymi przy pomocy metod alternatywnych, a wymaganiami niniejszej </w:t>
      </w:r>
      <w:r w:rsidR="00824125" w:rsidRPr="00A23FB4">
        <w:rPr>
          <w:rFonts w:ascii="Calibri" w:hAnsi="Calibri" w:cs="Calibri"/>
        </w:rPr>
        <w:t>wytycznymi</w:t>
      </w:r>
      <w:r w:rsidRPr="00A23FB4">
        <w:rPr>
          <w:rFonts w:ascii="Calibri" w:hAnsi="Calibri" w:cs="Calibri"/>
        </w:rPr>
        <w:t xml:space="preserve"> należy dokonać zgodnie z instrukcjami producentów urządzeń alternatywnych.</w:t>
      </w:r>
    </w:p>
    <w:p w14:paraId="485F6175" w14:textId="77777777" w:rsidR="0072177F" w:rsidRPr="00A23FB4" w:rsidRDefault="0072177F" w:rsidP="0072177F">
      <w:pPr>
        <w:rPr>
          <w:rFonts w:ascii="Calibri" w:hAnsi="Calibri" w:cs="Calibri"/>
        </w:rPr>
      </w:pPr>
      <w:r w:rsidRPr="00A23FB4">
        <w:rPr>
          <w:rFonts w:ascii="Calibri" w:hAnsi="Calibri" w:cs="Calibri"/>
        </w:rPr>
        <w:t>Podczas zagęszczania gruntu wilgotność naturalna gruntu nie powinna się różnić od wilgotności optymalnej o ±2% dla gruntów niespoistych i od 0 do -2% dla gruntów mało i średnio spoistych. Pomiaru wilgotności naturalnej gruntu należy dokonać w oparciu o normę PKN-CEN ISO/TS 17892-1.</w:t>
      </w:r>
    </w:p>
    <w:p w14:paraId="0E2A93F5" w14:textId="77777777" w:rsidR="0072177F" w:rsidRPr="00A23FB4" w:rsidRDefault="0072177F" w:rsidP="0072177F">
      <w:pPr>
        <w:rPr>
          <w:rFonts w:ascii="Calibri" w:hAnsi="Calibri" w:cs="Calibri"/>
        </w:rPr>
      </w:pPr>
      <w:r w:rsidRPr="00A23FB4">
        <w:rPr>
          <w:rFonts w:ascii="Calibri" w:hAnsi="Calibri" w:cs="Calibri"/>
        </w:rPr>
        <w:t>W przypadku przekroczenia wymaganej wilgotności należy odczekać do naturalnego osuszenia gruntu, bądź zastosować inne środki zaakceptowane przez Inżyniera/Kierownika projektu.</w:t>
      </w:r>
    </w:p>
    <w:p w14:paraId="127AD84D" w14:textId="77777777" w:rsidR="0072177F" w:rsidRPr="00A23FB4" w:rsidRDefault="0072177F" w:rsidP="0072177F">
      <w:pPr>
        <w:pStyle w:val="Nagwek4"/>
        <w:rPr>
          <w:rFonts w:ascii="Calibri" w:hAnsi="Calibri" w:cs="Calibri"/>
        </w:rPr>
      </w:pPr>
      <w:r w:rsidRPr="00A23FB4">
        <w:rPr>
          <w:rFonts w:ascii="Calibri" w:hAnsi="Calibri" w:cs="Calibri"/>
        </w:rPr>
        <w:t>5.5. Utrzymanie koryta oraz wyprofilowanego i zagęszczonego podłoża</w:t>
      </w:r>
    </w:p>
    <w:p w14:paraId="0DC8C197" w14:textId="77777777" w:rsidR="0072177F" w:rsidRPr="00A23FB4" w:rsidRDefault="0072177F" w:rsidP="0072177F">
      <w:pPr>
        <w:rPr>
          <w:rFonts w:ascii="Calibri" w:hAnsi="Calibri" w:cs="Calibri"/>
        </w:rPr>
      </w:pPr>
      <w:r w:rsidRPr="00A23FB4">
        <w:rPr>
          <w:rFonts w:ascii="Calibri" w:hAnsi="Calibri" w:cs="Calibri"/>
        </w:rPr>
        <w:t>Podłoże (koryto) po wyprofilowaniu i zagęszczeniu powinno być utrzymywane w dobrym stanie.</w:t>
      </w:r>
    </w:p>
    <w:p w14:paraId="69B7797F" w14:textId="77777777" w:rsidR="0072177F" w:rsidRPr="00A23FB4" w:rsidRDefault="0072177F" w:rsidP="0072177F">
      <w:pPr>
        <w:rPr>
          <w:rFonts w:ascii="Calibri" w:hAnsi="Calibri" w:cs="Calibri"/>
        </w:rPr>
      </w:pPr>
      <w:r w:rsidRPr="00A23FB4">
        <w:rPr>
          <w:rFonts w:ascii="Calibri" w:hAnsi="Calibri" w:cs="Calibri"/>
        </w:rPr>
        <w:t>Jeżeli po wykonaniu robót związanych z profilowaniem i zagęszczeniem podłoża nastąpi przerwa w robotach i Wykonawca nie przystąpi natychmiast do układania warstw nawierzchni, to powinien on zabezpieczyć podłoże przed nadmiernym zawilgoceniem, na przykład przez rozłożenie folii lub w inny sposób zaakceptowany przez Inżyniera/Kierownika projektu.</w:t>
      </w:r>
    </w:p>
    <w:p w14:paraId="3EBCED74" w14:textId="77777777" w:rsidR="0072177F" w:rsidRPr="00A23FB4" w:rsidRDefault="0072177F" w:rsidP="0072177F">
      <w:pPr>
        <w:rPr>
          <w:rFonts w:ascii="Calibri" w:hAnsi="Calibri" w:cs="Calibri"/>
        </w:rPr>
      </w:pPr>
      <w:r w:rsidRPr="00A23FB4">
        <w:rPr>
          <w:rFonts w:ascii="Calibri" w:hAnsi="Calibri" w:cs="Calibri"/>
        </w:rPr>
        <w:t>Jeżeli wyprofilowane i zagęszczone podłoże uległo nadmiernemu zawilgoceniu, to do układania kolejnej warstwy można przystąpić dopiero po jego naturalnym osuszeniu i po sprawdzeniu parametrów zagęszczenia.</w:t>
      </w:r>
    </w:p>
    <w:p w14:paraId="70EE5FB1" w14:textId="77777777" w:rsidR="0072177F" w:rsidRPr="00A23FB4" w:rsidRDefault="0072177F" w:rsidP="0072177F">
      <w:pPr>
        <w:rPr>
          <w:rFonts w:ascii="Calibri" w:hAnsi="Calibri" w:cs="Calibri"/>
        </w:rPr>
      </w:pPr>
      <w:r w:rsidRPr="00A23FB4">
        <w:rPr>
          <w:rFonts w:ascii="Calibri" w:hAnsi="Calibri" w:cs="Calibri"/>
        </w:rPr>
        <w:t>Po osuszeniu podłoża Inżynier/Kierownik projektu oceni jego stan i ewentualnie zaleci wykonanie niezbędnych napraw. Jeżeli zawilgocenie nastąpiło wskutek zaniedbania Wykonawcy, to naprawę wykona on na własny koszt.</w:t>
      </w:r>
    </w:p>
    <w:p w14:paraId="03DA005E" w14:textId="77777777" w:rsidR="009051F5" w:rsidRPr="00A23FB4" w:rsidRDefault="009051F5" w:rsidP="0072177F">
      <w:pPr>
        <w:rPr>
          <w:rFonts w:ascii="Calibri" w:hAnsi="Calibri" w:cs="Calibri"/>
          <w:b/>
        </w:rPr>
      </w:pPr>
    </w:p>
    <w:p w14:paraId="5D4CBB63" w14:textId="77777777" w:rsidR="0072177F" w:rsidRPr="00A23FB4" w:rsidRDefault="0072177F" w:rsidP="0072177F">
      <w:pPr>
        <w:rPr>
          <w:rFonts w:ascii="Calibri" w:hAnsi="Calibri" w:cs="Calibri"/>
          <w:b/>
        </w:rPr>
      </w:pPr>
      <w:r w:rsidRPr="00A23FB4">
        <w:rPr>
          <w:rFonts w:ascii="Calibri" w:hAnsi="Calibri" w:cs="Calibri"/>
          <w:b/>
        </w:rPr>
        <w:t>6. KONTROLA JAKOŚCI ROBÓT</w:t>
      </w:r>
    </w:p>
    <w:p w14:paraId="63BDA95E" w14:textId="77777777" w:rsidR="0072177F" w:rsidRPr="00A23FB4" w:rsidRDefault="0072177F" w:rsidP="0072177F">
      <w:pPr>
        <w:pStyle w:val="Nagwek4"/>
        <w:rPr>
          <w:rFonts w:ascii="Calibri" w:hAnsi="Calibri" w:cs="Calibri"/>
        </w:rPr>
      </w:pPr>
      <w:r w:rsidRPr="00A23FB4">
        <w:rPr>
          <w:rFonts w:ascii="Calibri" w:hAnsi="Calibri" w:cs="Calibri"/>
        </w:rPr>
        <w:t>6.1. Ogólne zasady kontroli jakości robót</w:t>
      </w:r>
    </w:p>
    <w:p w14:paraId="7E176445" w14:textId="6BEDDB54" w:rsidR="0072177F" w:rsidRPr="00A23FB4" w:rsidRDefault="0072177F" w:rsidP="0072177F">
      <w:pPr>
        <w:rPr>
          <w:rFonts w:ascii="Calibri" w:hAnsi="Calibri" w:cs="Calibri"/>
        </w:rPr>
      </w:pPr>
      <w:r w:rsidRPr="00A23FB4">
        <w:rPr>
          <w:rFonts w:ascii="Calibri" w:hAnsi="Calibri" w:cs="Calibri"/>
        </w:rPr>
        <w:t xml:space="preserve">Ogólne zasady kontroli jakości robót podano w </w:t>
      </w:r>
      <w:r w:rsidR="00A70091">
        <w:rPr>
          <w:rFonts w:ascii="Calibri" w:hAnsi="Calibri" w:cs="Calibri"/>
        </w:rPr>
        <w:t>ST</w:t>
      </w:r>
      <w:r w:rsidRPr="00A23FB4">
        <w:rPr>
          <w:rFonts w:ascii="Calibri" w:hAnsi="Calibri" w:cs="Calibri"/>
        </w:rPr>
        <w:t>WiORB D-M-00.00.00 „Wymagania ogólne” pkt 6.</w:t>
      </w:r>
    </w:p>
    <w:p w14:paraId="626EA533" w14:textId="77777777" w:rsidR="0072177F" w:rsidRPr="00A23FB4" w:rsidRDefault="0072177F" w:rsidP="0072177F">
      <w:pPr>
        <w:pStyle w:val="Nagwek4"/>
        <w:rPr>
          <w:rFonts w:ascii="Calibri" w:hAnsi="Calibri" w:cs="Calibri"/>
        </w:rPr>
      </w:pPr>
      <w:r w:rsidRPr="00A23FB4">
        <w:rPr>
          <w:rFonts w:ascii="Calibri" w:hAnsi="Calibri" w:cs="Calibri"/>
        </w:rPr>
        <w:t>6.2. Badania w czasie robót</w:t>
      </w:r>
    </w:p>
    <w:p w14:paraId="49C4725D" w14:textId="77777777" w:rsidR="0072177F" w:rsidRPr="00A23FB4" w:rsidRDefault="0072177F" w:rsidP="0072177F">
      <w:pPr>
        <w:pStyle w:val="Nagwek7"/>
        <w:rPr>
          <w:rFonts w:ascii="Calibri" w:hAnsi="Calibri" w:cs="Calibri"/>
          <w:b/>
          <w:bCs/>
          <w:iCs/>
        </w:rPr>
      </w:pPr>
      <w:r w:rsidRPr="00A23FB4">
        <w:rPr>
          <w:rFonts w:ascii="Calibri" w:hAnsi="Calibri" w:cs="Calibri"/>
          <w:b/>
          <w:bCs/>
          <w:iCs/>
        </w:rPr>
        <w:t>6.2.1. Częstotliwość oraz zakres badań i pomiarów</w:t>
      </w:r>
    </w:p>
    <w:p w14:paraId="106435A7" w14:textId="77777777" w:rsidR="0072177F" w:rsidRPr="00A23FB4" w:rsidRDefault="0072177F" w:rsidP="0072177F">
      <w:pPr>
        <w:rPr>
          <w:rFonts w:ascii="Calibri" w:hAnsi="Calibri" w:cs="Calibri"/>
        </w:rPr>
      </w:pPr>
      <w:r w:rsidRPr="00A23FB4">
        <w:rPr>
          <w:rFonts w:ascii="Calibri" w:hAnsi="Calibri" w:cs="Calibri"/>
        </w:rPr>
        <w:t>Częstotliwość oraz zakres badań i pomiarów dotyczących cech geometrycznych i zagęszczenia kor</w:t>
      </w:r>
      <w:r w:rsidR="00D16657" w:rsidRPr="00A23FB4">
        <w:rPr>
          <w:rFonts w:ascii="Calibri" w:hAnsi="Calibri" w:cs="Calibri"/>
        </w:rPr>
        <w:t>yta i </w:t>
      </w:r>
      <w:r w:rsidRPr="00A23FB4">
        <w:rPr>
          <w:rFonts w:ascii="Calibri" w:hAnsi="Calibri" w:cs="Calibri"/>
        </w:rPr>
        <w:t>wyprofilowanego podłoża podaje tablica 9.</w:t>
      </w:r>
    </w:p>
    <w:p w14:paraId="6F6AEF4D" w14:textId="77777777" w:rsidR="0072177F" w:rsidRPr="00A23FB4" w:rsidRDefault="0072177F" w:rsidP="0072177F">
      <w:pPr>
        <w:rPr>
          <w:rFonts w:ascii="Calibri" w:hAnsi="Calibri" w:cs="Calibri"/>
        </w:rPr>
      </w:pPr>
    </w:p>
    <w:p w14:paraId="746B608B" w14:textId="77777777" w:rsidR="0072177F" w:rsidRPr="00A23FB4" w:rsidRDefault="0072177F" w:rsidP="0072177F">
      <w:pPr>
        <w:rPr>
          <w:rFonts w:ascii="Calibri" w:hAnsi="Calibri" w:cs="Calibri"/>
        </w:rPr>
      </w:pPr>
      <w:r w:rsidRPr="00A23FB4">
        <w:rPr>
          <w:rFonts w:ascii="Calibri" w:hAnsi="Calibri" w:cs="Calibri"/>
        </w:rPr>
        <w:t>Tablica 9. Częstotliwość oraz zakres badań i pomiarów wykonanego koryta i wyprofilowanego podłoża</w:t>
      </w:r>
    </w:p>
    <w:tbl>
      <w:tblPr>
        <w:tblW w:w="8505" w:type="dxa"/>
        <w:tblInd w:w="2" w:type="dxa"/>
        <w:tblLayout w:type="fixed"/>
        <w:tblCellMar>
          <w:left w:w="70" w:type="dxa"/>
          <w:right w:w="70" w:type="dxa"/>
        </w:tblCellMar>
        <w:tblLook w:val="0000" w:firstRow="0" w:lastRow="0" w:firstColumn="0" w:lastColumn="0" w:noHBand="0" w:noVBand="0"/>
      </w:tblPr>
      <w:tblGrid>
        <w:gridCol w:w="491"/>
        <w:gridCol w:w="2770"/>
        <w:gridCol w:w="5244"/>
      </w:tblGrid>
      <w:tr w:rsidR="0072177F" w:rsidRPr="00A23FB4" w14:paraId="33AE2FE8" w14:textId="77777777" w:rsidTr="0072177F">
        <w:tc>
          <w:tcPr>
            <w:tcW w:w="491" w:type="dxa"/>
            <w:tcBorders>
              <w:top w:val="single" w:sz="6" w:space="0" w:color="auto"/>
              <w:left w:val="single" w:sz="6" w:space="0" w:color="auto"/>
              <w:bottom w:val="double" w:sz="6" w:space="0" w:color="auto"/>
              <w:right w:val="single" w:sz="6" w:space="0" w:color="auto"/>
            </w:tcBorders>
          </w:tcPr>
          <w:p w14:paraId="5663B333" w14:textId="77777777" w:rsidR="0072177F" w:rsidRPr="00A23FB4" w:rsidRDefault="0072177F" w:rsidP="0072177F">
            <w:pPr>
              <w:rPr>
                <w:rFonts w:ascii="Calibri" w:hAnsi="Calibri" w:cs="Calibri"/>
              </w:rPr>
            </w:pPr>
            <w:r w:rsidRPr="00A23FB4">
              <w:rPr>
                <w:rFonts w:ascii="Calibri" w:hAnsi="Calibri" w:cs="Calibri"/>
              </w:rPr>
              <w:t>Lp.</w:t>
            </w:r>
          </w:p>
        </w:tc>
        <w:tc>
          <w:tcPr>
            <w:tcW w:w="2770" w:type="dxa"/>
            <w:tcBorders>
              <w:top w:val="single" w:sz="6" w:space="0" w:color="auto"/>
              <w:left w:val="single" w:sz="6" w:space="0" w:color="auto"/>
              <w:bottom w:val="double" w:sz="6" w:space="0" w:color="auto"/>
              <w:right w:val="single" w:sz="6" w:space="0" w:color="auto"/>
            </w:tcBorders>
          </w:tcPr>
          <w:p w14:paraId="49DE8B5C" w14:textId="77777777" w:rsidR="0072177F" w:rsidRPr="00A23FB4" w:rsidRDefault="0072177F" w:rsidP="0072177F">
            <w:pPr>
              <w:rPr>
                <w:rFonts w:ascii="Calibri" w:hAnsi="Calibri" w:cs="Calibri"/>
              </w:rPr>
            </w:pPr>
            <w:r w:rsidRPr="00A23FB4">
              <w:rPr>
                <w:rFonts w:ascii="Calibri" w:hAnsi="Calibri" w:cs="Calibri"/>
              </w:rPr>
              <w:t>Wyszczególnienie badań</w:t>
            </w:r>
          </w:p>
          <w:p w14:paraId="79952E79" w14:textId="77777777" w:rsidR="0072177F" w:rsidRPr="00A23FB4" w:rsidRDefault="0072177F" w:rsidP="0072177F">
            <w:pPr>
              <w:rPr>
                <w:rFonts w:ascii="Calibri" w:hAnsi="Calibri" w:cs="Calibri"/>
              </w:rPr>
            </w:pPr>
            <w:r w:rsidRPr="00A23FB4">
              <w:rPr>
                <w:rFonts w:ascii="Calibri" w:hAnsi="Calibri" w:cs="Calibri"/>
              </w:rPr>
              <w:t>i pomiarów</w:t>
            </w:r>
          </w:p>
        </w:tc>
        <w:tc>
          <w:tcPr>
            <w:tcW w:w="5244" w:type="dxa"/>
            <w:tcBorders>
              <w:top w:val="single" w:sz="6" w:space="0" w:color="auto"/>
              <w:left w:val="single" w:sz="6" w:space="0" w:color="auto"/>
              <w:bottom w:val="double" w:sz="6" w:space="0" w:color="auto"/>
              <w:right w:val="single" w:sz="6" w:space="0" w:color="auto"/>
            </w:tcBorders>
          </w:tcPr>
          <w:p w14:paraId="6B24C0EE" w14:textId="77777777" w:rsidR="0072177F" w:rsidRPr="00A23FB4" w:rsidRDefault="0072177F" w:rsidP="0072177F">
            <w:pPr>
              <w:rPr>
                <w:rFonts w:ascii="Calibri" w:hAnsi="Calibri" w:cs="Calibri"/>
              </w:rPr>
            </w:pPr>
            <w:r w:rsidRPr="00A23FB4">
              <w:rPr>
                <w:rFonts w:ascii="Calibri" w:hAnsi="Calibri" w:cs="Calibri"/>
              </w:rPr>
              <w:t>Minimalna częstotliwość</w:t>
            </w:r>
          </w:p>
          <w:p w14:paraId="7C0A56BB" w14:textId="77777777" w:rsidR="0072177F" w:rsidRPr="00A23FB4" w:rsidRDefault="0072177F" w:rsidP="0072177F">
            <w:pPr>
              <w:rPr>
                <w:rFonts w:ascii="Calibri" w:hAnsi="Calibri" w:cs="Calibri"/>
              </w:rPr>
            </w:pPr>
            <w:r w:rsidRPr="00A23FB4">
              <w:rPr>
                <w:rFonts w:ascii="Calibri" w:hAnsi="Calibri" w:cs="Calibri"/>
              </w:rPr>
              <w:t>badań i pomiarów</w:t>
            </w:r>
          </w:p>
        </w:tc>
      </w:tr>
      <w:tr w:rsidR="0072177F" w:rsidRPr="00A23FB4" w14:paraId="528D2ED8" w14:textId="77777777" w:rsidTr="0072177F">
        <w:tc>
          <w:tcPr>
            <w:tcW w:w="491" w:type="dxa"/>
            <w:tcBorders>
              <w:left w:val="single" w:sz="6" w:space="0" w:color="auto"/>
              <w:bottom w:val="single" w:sz="6" w:space="0" w:color="auto"/>
              <w:right w:val="single" w:sz="6" w:space="0" w:color="auto"/>
            </w:tcBorders>
          </w:tcPr>
          <w:p w14:paraId="3C70A761" w14:textId="77777777" w:rsidR="0072177F" w:rsidRPr="00A23FB4" w:rsidRDefault="0072177F" w:rsidP="0072177F">
            <w:pPr>
              <w:rPr>
                <w:rFonts w:ascii="Calibri" w:hAnsi="Calibri" w:cs="Calibri"/>
              </w:rPr>
            </w:pPr>
            <w:r w:rsidRPr="00A23FB4">
              <w:rPr>
                <w:rFonts w:ascii="Calibri" w:hAnsi="Calibri" w:cs="Calibri"/>
              </w:rPr>
              <w:t>1</w:t>
            </w:r>
          </w:p>
        </w:tc>
        <w:tc>
          <w:tcPr>
            <w:tcW w:w="2770" w:type="dxa"/>
            <w:tcBorders>
              <w:left w:val="single" w:sz="6" w:space="0" w:color="auto"/>
              <w:bottom w:val="single" w:sz="6" w:space="0" w:color="auto"/>
              <w:right w:val="single" w:sz="6" w:space="0" w:color="auto"/>
            </w:tcBorders>
          </w:tcPr>
          <w:p w14:paraId="48D214BF" w14:textId="77777777" w:rsidR="0072177F" w:rsidRPr="00A23FB4" w:rsidRDefault="0072177F" w:rsidP="0072177F">
            <w:pPr>
              <w:rPr>
                <w:rFonts w:ascii="Calibri" w:hAnsi="Calibri" w:cs="Calibri"/>
              </w:rPr>
            </w:pPr>
            <w:r w:rsidRPr="00A23FB4">
              <w:rPr>
                <w:rFonts w:ascii="Calibri" w:hAnsi="Calibri" w:cs="Calibri"/>
              </w:rPr>
              <w:t>Szerokość koryta</w:t>
            </w:r>
          </w:p>
        </w:tc>
        <w:tc>
          <w:tcPr>
            <w:tcW w:w="5244" w:type="dxa"/>
            <w:tcBorders>
              <w:left w:val="single" w:sz="6" w:space="0" w:color="auto"/>
              <w:bottom w:val="single" w:sz="6" w:space="0" w:color="auto"/>
              <w:right w:val="single" w:sz="6" w:space="0" w:color="auto"/>
            </w:tcBorders>
          </w:tcPr>
          <w:p w14:paraId="3E72BB6E" w14:textId="77777777" w:rsidR="0072177F" w:rsidRPr="00A23FB4" w:rsidRDefault="0072177F" w:rsidP="0072177F">
            <w:pPr>
              <w:rPr>
                <w:rFonts w:ascii="Calibri" w:hAnsi="Calibri" w:cs="Calibri"/>
              </w:rPr>
            </w:pPr>
            <w:r w:rsidRPr="00A23FB4">
              <w:rPr>
                <w:rFonts w:ascii="Calibri" w:hAnsi="Calibri" w:cs="Calibri"/>
              </w:rPr>
              <w:t>10 razy na 1 km</w:t>
            </w:r>
          </w:p>
        </w:tc>
      </w:tr>
      <w:tr w:rsidR="0072177F" w:rsidRPr="00A23FB4" w14:paraId="7E6175F1" w14:textId="77777777" w:rsidTr="0072177F">
        <w:tc>
          <w:tcPr>
            <w:tcW w:w="491" w:type="dxa"/>
            <w:tcBorders>
              <w:top w:val="single" w:sz="6" w:space="0" w:color="auto"/>
              <w:left w:val="single" w:sz="6" w:space="0" w:color="auto"/>
              <w:bottom w:val="single" w:sz="6" w:space="0" w:color="auto"/>
              <w:right w:val="single" w:sz="6" w:space="0" w:color="auto"/>
            </w:tcBorders>
          </w:tcPr>
          <w:p w14:paraId="0D4B040A" w14:textId="77777777" w:rsidR="0072177F" w:rsidRPr="00A23FB4" w:rsidRDefault="0072177F" w:rsidP="0072177F">
            <w:pPr>
              <w:rPr>
                <w:rFonts w:ascii="Calibri" w:hAnsi="Calibri" w:cs="Calibri"/>
              </w:rPr>
            </w:pPr>
            <w:r w:rsidRPr="00A23FB4">
              <w:rPr>
                <w:rFonts w:ascii="Calibri" w:hAnsi="Calibri" w:cs="Calibri"/>
              </w:rPr>
              <w:t>2</w:t>
            </w:r>
          </w:p>
        </w:tc>
        <w:tc>
          <w:tcPr>
            <w:tcW w:w="2770" w:type="dxa"/>
            <w:tcBorders>
              <w:top w:val="single" w:sz="6" w:space="0" w:color="auto"/>
              <w:left w:val="single" w:sz="6" w:space="0" w:color="auto"/>
              <w:bottom w:val="single" w:sz="6" w:space="0" w:color="auto"/>
              <w:right w:val="single" w:sz="6" w:space="0" w:color="auto"/>
            </w:tcBorders>
          </w:tcPr>
          <w:p w14:paraId="11E6B8DF" w14:textId="77777777" w:rsidR="0072177F" w:rsidRPr="00A23FB4" w:rsidRDefault="0072177F" w:rsidP="0072177F">
            <w:pPr>
              <w:rPr>
                <w:rFonts w:ascii="Calibri" w:hAnsi="Calibri" w:cs="Calibri"/>
              </w:rPr>
            </w:pPr>
            <w:r w:rsidRPr="00A23FB4">
              <w:rPr>
                <w:rFonts w:ascii="Calibri" w:hAnsi="Calibri" w:cs="Calibri"/>
              </w:rPr>
              <w:t>Równość podłużna</w:t>
            </w:r>
          </w:p>
        </w:tc>
        <w:tc>
          <w:tcPr>
            <w:tcW w:w="5244" w:type="dxa"/>
            <w:tcBorders>
              <w:top w:val="single" w:sz="6" w:space="0" w:color="auto"/>
              <w:left w:val="single" w:sz="6" w:space="0" w:color="auto"/>
              <w:bottom w:val="single" w:sz="6" w:space="0" w:color="auto"/>
              <w:right w:val="single" w:sz="6" w:space="0" w:color="auto"/>
            </w:tcBorders>
          </w:tcPr>
          <w:p w14:paraId="5B4EF031" w14:textId="77777777" w:rsidR="0072177F" w:rsidRPr="00A23FB4" w:rsidRDefault="0072177F" w:rsidP="0072177F">
            <w:pPr>
              <w:rPr>
                <w:rFonts w:ascii="Calibri" w:hAnsi="Calibri" w:cs="Calibri"/>
              </w:rPr>
            </w:pPr>
            <w:r w:rsidRPr="00A23FB4">
              <w:rPr>
                <w:rFonts w:ascii="Calibri" w:hAnsi="Calibri" w:cs="Calibri"/>
              </w:rPr>
              <w:t>co 20 m na każdym pasie ruchu</w:t>
            </w:r>
          </w:p>
        </w:tc>
      </w:tr>
      <w:tr w:rsidR="0072177F" w:rsidRPr="00A23FB4" w14:paraId="552B4859" w14:textId="77777777" w:rsidTr="0072177F">
        <w:tc>
          <w:tcPr>
            <w:tcW w:w="491" w:type="dxa"/>
            <w:tcBorders>
              <w:top w:val="single" w:sz="6" w:space="0" w:color="auto"/>
              <w:left w:val="single" w:sz="6" w:space="0" w:color="auto"/>
              <w:bottom w:val="single" w:sz="6" w:space="0" w:color="auto"/>
              <w:right w:val="single" w:sz="6" w:space="0" w:color="auto"/>
            </w:tcBorders>
          </w:tcPr>
          <w:p w14:paraId="7BF69F33" w14:textId="77777777" w:rsidR="0072177F" w:rsidRPr="00A23FB4" w:rsidRDefault="0072177F" w:rsidP="0072177F">
            <w:pPr>
              <w:rPr>
                <w:rFonts w:ascii="Calibri" w:hAnsi="Calibri" w:cs="Calibri"/>
              </w:rPr>
            </w:pPr>
            <w:r w:rsidRPr="00A23FB4">
              <w:rPr>
                <w:rFonts w:ascii="Calibri" w:hAnsi="Calibri" w:cs="Calibri"/>
              </w:rPr>
              <w:t>3</w:t>
            </w:r>
          </w:p>
        </w:tc>
        <w:tc>
          <w:tcPr>
            <w:tcW w:w="2770" w:type="dxa"/>
            <w:tcBorders>
              <w:top w:val="single" w:sz="6" w:space="0" w:color="auto"/>
              <w:left w:val="single" w:sz="6" w:space="0" w:color="auto"/>
              <w:bottom w:val="single" w:sz="6" w:space="0" w:color="auto"/>
              <w:right w:val="single" w:sz="6" w:space="0" w:color="auto"/>
            </w:tcBorders>
          </w:tcPr>
          <w:p w14:paraId="3F466316" w14:textId="77777777" w:rsidR="0072177F" w:rsidRPr="00A23FB4" w:rsidRDefault="0072177F" w:rsidP="0072177F">
            <w:pPr>
              <w:rPr>
                <w:rFonts w:ascii="Calibri" w:hAnsi="Calibri" w:cs="Calibri"/>
              </w:rPr>
            </w:pPr>
            <w:r w:rsidRPr="00A23FB4">
              <w:rPr>
                <w:rFonts w:ascii="Calibri" w:hAnsi="Calibri" w:cs="Calibri"/>
              </w:rPr>
              <w:t>Równość poprzeczna</w:t>
            </w:r>
          </w:p>
        </w:tc>
        <w:tc>
          <w:tcPr>
            <w:tcW w:w="5244" w:type="dxa"/>
            <w:tcBorders>
              <w:top w:val="single" w:sz="6" w:space="0" w:color="auto"/>
              <w:left w:val="single" w:sz="6" w:space="0" w:color="auto"/>
              <w:bottom w:val="single" w:sz="6" w:space="0" w:color="auto"/>
              <w:right w:val="single" w:sz="6" w:space="0" w:color="auto"/>
            </w:tcBorders>
          </w:tcPr>
          <w:p w14:paraId="0A540AB4" w14:textId="77777777" w:rsidR="0072177F" w:rsidRPr="00A23FB4" w:rsidRDefault="0072177F" w:rsidP="0072177F">
            <w:pPr>
              <w:rPr>
                <w:rFonts w:ascii="Calibri" w:hAnsi="Calibri" w:cs="Calibri"/>
              </w:rPr>
            </w:pPr>
            <w:r w:rsidRPr="00A23FB4">
              <w:rPr>
                <w:rFonts w:ascii="Calibri" w:hAnsi="Calibri" w:cs="Calibri"/>
              </w:rPr>
              <w:t>10 razy na 1 km</w:t>
            </w:r>
          </w:p>
        </w:tc>
      </w:tr>
      <w:tr w:rsidR="0072177F" w:rsidRPr="00A23FB4" w14:paraId="6F879293" w14:textId="77777777" w:rsidTr="0072177F">
        <w:tc>
          <w:tcPr>
            <w:tcW w:w="491" w:type="dxa"/>
            <w:tcBorders>
              <w:top w:val="single" w:sz="6" w:space="0" w:color="auto"/>
              <w:left w:val="single" w:sz="6" w:space="0" w:color="auto"/>
              <w:bottom w:val="single" w:sz="6" w:space="0" w:color="auto"/>
              <w:right w:val="single" w:sz="6" w:space="0" w:color="auto"/>
            </w:tcBorders>
          </w:tcPr>
          <w:p w14:paraId="78835792" w14:textId="77777777" w:rsidR="0072177F" w:rsidRPr="00A23FB4" w:rsidRDefault="0072177F" w:rsidP="0072177F">
            <w:pPr>
              <w:rPr>
                <w:rFonts w:ascii="Calibri" w:hAnsi="Calibri" w:cs="Calibri"/>
              </w:rPr>
            </w:pPr>
            <w:r w:rsidRPr="00A23FB4">
              <w:rPr>
                <w:rFonts w:ascii="Calibri" w:hAnsi="Calibri" w:cs="Calibri"/>
              </w:rPr>
              <w:t>4</w:t>
            </w:r>
          </w:p>
        </w:tc>
        <w:tc>
          <w:tcPr>
            <w:tcW w:w="2770" w:type="dxa"/>
            <w:tcBorders>
              <w:top w:val="single" w:sz="6" w:space="0" w:color="auto"/>
              <w:left w:val="single" w:sz="6" w:space="0" w:color="auto"/>
              <w:bottom w:val="single" w:sz="6" w:space="0" w:color="auto"/>
              <w:right w:val="single" w:sz="6" w:space="0" w:color="auto"/>
            </w:tcBorders>
          </w:tcPr>
          <w:p w14:paraId="61C362B0" w14:textId="77777777" w:rsidR="0072177F" w:rsidRPr="00A23FB4" w:rsidRDefault="0072177F" w:rsidP="0072177F">
            <w:pPr>
              <w:rPr>
                <w:rFonts w:ascii="Calibri" w:hAnsi="Calibri" w:cs="Calibri"/>
              </w:rPr>
            </w:pPr>
            <w:r w:rsidRPr="00A23FB4">
              <w:rPr>
                <w:rFonts w:ascii="Calibri" w:hAnsi="Calibri" w:cs="Calibri"/>
              </w:rPr>
              <w:t xml:space="preserve">Spadki poprzeczne </w:t>
            </w:r>
            <w:r w:rsidRPr="00A23FB4">
              <w:rPr>
                <w:rFonts w:ascii="Calibri" w:hAnsi="Calibri" w:cs="Calibri"/>
                <w:vertAlign w:val="superscript"/>
              </w:rPr>
              <w:t>*)</w:t>
            </w:r>
          </w:p>
        </w:tc>
        <w:tc>
          <w:tcPr>
            <w:tcW w:w="5244" w:type="dxa"/>
            <w:tcBorders>
              <w:top w:val="single" w:sz="6" w:space="0" w:color="auto"/>
              <w:left w:val="single" w:sz="6" w:space="0" w:color="auto"/>
              <w:bottom w:val="single" w:sz="6" w:space="0" w:color="auto"/>
              <w:right w:val="single" w:sz="6" w:space="0" w:color="auto"/>
            </w:tcBorders>
          </w:tcPr>
          <w:p w14:paraId="1FADF473" w14:textId="77777777" w:rsidR="0072177F" w:rsidRPr="00A23FB4" w:rsidRDefault="0072177F" w:rsidP="0072177F">
            <w:pPr>
              <w:rPr>
                <w:rFonts w:ascii="Calibri" w:hAnsi="Calibri" w:cs="Calibri"/>
              </w:rPr>
            </w:pPr>
            <w:r w:rsidRPr="00A23FB4">
              <w:rPr>
                <w:rFonts w:ascii="Calibri" w:hAnsi="Calibri" w:cs="Calibri"/>
              </w:rPr>
              <w:t>10 razy na 1 km</w:t>
            </w:r>
          </w:p>
        </w:tc>
      </w:tr>
      <w:tr w:rsidR="0072177F" w:rsidRPr="00A23FB4" w14:paraId="0D818556" w14:textId="77777777" w:rsidTr="0072177F">
        <w:tc>
          <w:tcPr>
            <w:tcW w:w="491" w:type="dxa"/>
            <w:tcBorders>
              <w:top w:val="single" w:sz="6" w:space="0" w:color="auto"/>
              <w:left w:val="single" w:sz="6" w:space="0" w:color="auto"/>
              <w:bottom w:val="single" w:sz="6" w:space="0" w:color="auto"/>
              <w:right w:val="single" w:sz="6" w:space="0" w:color="auto"/>
            </w:tcBorders>
          </w:tcPr>
          <w:p w14:paraId="3F0F1773" w14:textId="77777777" w:rsidR="0072177F" w:rsidRPr="00A23FB4" w:rsidRDefault="0072177F" w:rsidP="0072177F">
            <w:pPr>
              <w:rPr>
                <w:rFonts w:ascii="Calibri" w:hAnsi="Calibri" w:cs="Calibri"/>
              </w:rPr>
            </w:pPr>
            <w:r w:rsidRPr="00A23FB4">
              <w:rPr>
                <w:rFonts w:ascii="Calibri" w:hAnsi="Calibri" w:cs="Calibri"/>
              </w:rPr>
              <w:t>5</w:t>
            </w:r>
          </w:p>
        </w:tc>
        <w:tc>
          <w:tcPr>
            <w:tcW w:w="2770" w:type="dxa"/>
            <w:tcBorders>
              <w:top w:val="single" w:sz="6" w:space="0" w:color="auto"/>
              <w:left w:val="single" w:sz="6" w:space="0" w:color="auto"/>
              <w:bottom w:val="single" w:sz="6" w:space="0" w:color="auto"/>
              <w:right w:val="single" w:sz="6" w:space="0" w:color="auto"/>
            </w:tcBorders>
          </w:tcPr>
          <w:p w14:paraId="41036EF8" w14:textId="77777777" w:rsidR="0072177F" w:rsidRPr="00A23FB4" w:rsidRDefault="0072177F" w:rsidP="0072177F">
            <w:pPr>
              <w:rPr>
                <w:rFonts w:ascii="Calibri" w:hAnsi="Calibri" w:cs="Calibri"/>
              </w:rPr>
            </w:pPr>
            <w:r w:rsidRPr="00A23FB4">
              <w:rPr>
                <w:rFonts w:ascii="Calibri" w:hAnsi="Calibri" w:cs="Calibri"/>
              </w:rPr>
              <w:t>Rzędne wysokościowe</w:t>
            </w:r>
          </w:p>
        </w:tc>
        <w:tc>
          <w:tcPr>
            <w:tcW w:w="5244" w:type="dxa"/>
            <w:tcBorders>
              <w:top w:val="single" w:sz="6" w:space="0" w:color="auto"/>
              <w:left w:val="single" w:sz="6" w:space="0" w:color="auto"/>
              <w:bottom w:val="single" w:sz="6" w:space="0" w:color="auto"/>
              <w:right w:val="single" w:sz="6" w:space="0" w:color="auto"/>
            </w:tcBorders>
          </w:tcPr>
          <w:p w14:paraId="3BC4F1EB" w14:textId="77777777" w:rsidR="0072177F" w:rsidRPr="00A23FB4" w:rsidRDefault="0072177F" w:rsidP="0072177F">
            <w:pPr>
              <w:rPr>
                <w:rFonts w:ascii="Calibri" w:hAnsi="Calibri" w:cs="Calibri"/>
              </w:rPr>
            </w:pPr>
            <w:r w:rsidRPr="00A23FB4">
              <w:rPr>
                <w:rFonts w:ascii="Calibri" w:hAnsi="Calibri" w:cs="Calibri"/>
              </w:rPr>
              <w:t xml:space="preserve">co 100 m </w:t>
            </w:r>
          </w:p>
        </w:tc>
      </w:tr>
      <w:tr w:rsidR="0072177F" w:rsidRPr="00A23FB4" w14:paraId="26F6E447" w14:textId="77777777" w:rsidTr="0072177F">
        <w:tc>
          <w:tcPr>
            <w:tcW w:w="491" w:type="dxa"/>
            <w:tcBorders>
              <w:top w:val="single" w:sz="6" w:space="0" w:color="auto"/>
              <w:left w:val="single" w:sz="6" w:space="0" w:color="auto"/>
              <w:bottom w:val="single" w:sz="6" w:space="0" w:color="auto"/>
              <w:right w:val="single" w:sz="6" w:space="0" w:color="auto"/>
            </w:tcBorders>
          </w:tcPr>
          <w:p w14:paraId="3CE4FA3A" w14:textId="77777777" w:rsidR="0072177F" w:rsidRPr="00A23FB4" w:rsidRDefault="0072177F" w:rsidP="0072177F">
            <w:pPr>
              <w:rPr>
                <w:rFonts w:ascii="Calibri" w:hAnsi="Calibri" w:cs="Calibri"/>
              </w:rPr>
            </w:pPr>
            <w:r w:rsidRPr="00A23FB4">
              <w:rPr>
                <w:rFonts w:ascii="Calibri" w:hAnsi="Calibri" w:cs="Calibri"/>
              </w:rPr>
              <w:t>6</w:t>
            </w:r>
          </w:p>
        </w:tc>
        <w:tc>
          <w:tcPr>
            <w:tcW w:w="2770" w:type="dxa"/>
            <w:tcBorders>
              <w:top w:val="single" w:sz="6" w:space="0" w:color="auto"/>
              <w:left w:val="single" w:sz="6" w:space="0" w:color="auto"/>
              <w:bottom w:val="single" w:sz="6" w:space="0" w:color="auto"/>
              <w:right w:val="single" w:sz="6" w:space="0" w:color="auto"/>
            </w:tcBorders>
          </w:tcPr>
          <w:p w14:paraId="37604F93" w14:textId="77777777" w:rsidR="0072177F" w:rsidRPr="00A23FB4" w:rsidRDefault="0072177F" w:rsidP="0072177F">
            <w:pPr>
              <w:rPr>
                <w:rFonts w:ascii="Calibri" w:hAnsi="Calibri" w:cs="Calibri"/>
              </w:rPr>
            </w:pPr>
            <w:r w:rsidRPr="00A23FB4">
              <w:rPr>
                <w:rFonts w:ascii="Calibri" w:hAnsi="Calibri" w:cs="Calibri"/>
              </w:rPr>
              <w:t xml:space="preserve">Ukształtowanie osi w planie </w:t>
            </w:r>
            <w:r w:rsidRPr="00A23FB4">
              <w:rPr>
                <w:rFonts w:ascii="Calibri" w:hAnsi="Calibri" w:cs="Calibri"/>
                <w:vertAlign w:val="superscript"/>
              </w:rPr>
              <w:t>*)</w:t>
            </w:r>
          </w:p>
        </w:tc>
        <w:tc>
          <w:tcPr>
            <w:tcW w:w="5244" w:type="dxa"/>
            <w:tcBorders>
              <w:top w:val="single" w:sz="6" w:space="0" w:color="auto"/>
              <w:left w:val="single" w:sz="6" w:space="0" w:color="auto"/>
              <w:bottom w:val="single" w:sz="6" w:space="0" w:color="auto"/>
              <w:right w:val="single" w:sz="6" w:space="0" w:color="auto"/>
            </w:tcBorders>
          </w:tcPr>
          <w:p w14:paraId="04D97F57" w14:textId="77777777" w:rsidR="0072177F" w:rsidRPr="00A23FB4" w:rsidRDefault="0072177F" w:rsidP="0072177F">
            <w:pPr>
              <w:rPr>
                <w:rFonts w:ascii="Calibri" w:hAnsi="Calibri" w:cs="Calibri"/>
              </w:rPr>
            </w:pPr>
            <w:r w:rsidRPr="00A23FB4">
              <w:rPr>
                <w:rFonts w:ascii="Calibri" w:hAnsi="Calibri" w:cs="Calibri"/>
              </w:rPr>
              <w:t xml:space="preserve">co 100 m </w:t>
            </w:r>
          </w:p>
        </w:tc>
      </w:tr>
      <w:tr w:rsidR="0072177F" w:rsidRPr="00A23FB4" w14:paraId="3C58CF82" w14:textId="77777777" w:rsidTr="0072177F">
        <w:tc>
          <w:tcPr>
            <w:tcW w:w="491" w:type="dxa"/>
            <w:tcBorders>
              <w:top w:val="single" w:sz="6" w:space="0" w:color="auto"/>
              <w:left w:val="single" w:sz="6" w:space="0" w:color="auto"/>
              <w:bottom w:val="single" w:sz="6" w:space="0" w:color="auto"/>
              <w:right w:val="single" w:sz="6" w:space="0" w:color="auto"/>
            </w:tcBorders>
          </w:tcPr>
          <w:p w14:paraId="68A0500E" w14:textId="77777777" w:rsidR="0072177F" w:rsidRPr="00A23FB4" w:rsidRDefault="0072177F" w:rsidP="0072177F">
            <w:pPr>
              <w:rPr>
                <w:rFonts w:ascii="Calibri" w:hAnsi="Calibri" w:cs="Calibri"/>
              </w:rPr>
            </w:pPr>
            <w:r w:rsidRPr="00A23FB4">
              <w:rPr>
                <w:rFonts w:ascii="Calibri" w:hAnsi="Calibri" w:cs="Calibri"/>
              </w:rPr>
              <w:t>7</w:t>
            </w:r>
          </w:p>
        </w:tc>
        <w:tc>
          <w:tcPr>
            <w:tcW w:w="2770" w:type="dxa"/>
            <w:tcBorders>
              <w:top w:val="single" w:sz="6" w:space="0" w:color="auto"/>
              <w:left w:val="single" w:sz="6" w:space="0" w:color="auto"/>
              <w:bottom w:val="single" w:sz="6" w:space="0" w:color="auto"/>
              <w:right w:val="single" w:sz="6" w:space="0" w:color="auto"/>
            </w:tcBorders>
          </w:tcPr>
          <w:p w14:paraId="692C283D" w14:textId="77777777" w:rsidR="0072177F" w:rsidRPr="00A23FB4" w:rsidRDefault="0072177F" w:rsidP="0072177F">
            <w:pPr>
              <w:rPr>
                <w:rFonts w:ascii="Calibri" w:hAnsi="Calibri" w:cs="Calibri"/>
              </w:rPr>
            </w:pPr>
            <w:r w:rsidRPr="00A23FB4">
              <w:rPr>
                <w:rFonts w:ascii="Calibri" w:hAnsi="Calibri" w:cs="Calibri"/>
              </w:rPr>
              <w:t>Zagęszczenie, wilgotność gruntu podłoża</w:t>
            </w:r>
          </w:p>
        </w:tc>
        <w:tc>
          <w:tcPr>
            <w:tcW w:w="5244" w:type="dxa"/>
            <w:tcBorders>
              <w:top w:val="single" w:sz="6" w:space="0" w:color="auto"/>
              <w:left w:val="single" w:sz="6" w:space="0" w:color="auto"/>
              <w:bottom w:val="single" w:sz="6" w:space="0" w:color="auto"/>
              <w:right w:val="single" w:sz="6" w:space="0" w:color="auto"/>
            </w:tcBorders>
          </w:tcPr>
          <w:p w14:paraId="5E108F5D" w14:textId="77777777" w:rsidR="0072177F" w:rsidRPr="00A23FB4" w:rsidRDefault="0072177F" w:rsidP="0072177F">
            <w:pPr>
              <w:rPr>
                <w:rFonts w:ascii="Calibri" w:hAnsi="Calibri" w:cs="Calibri"/>
              </w:rPr>
            </w:pPr>
            <w:r w:rsidRPr="00A23FB4">
              <w:rPr>
                <w:rFonts w:ascii="Calibri" w:hAnsi="Calibri" w:cs="Calibri"/>
              </w:rPr>
              <w:t>w 2 punktach na dziennej działce roboczej, lecz nie rzadziej niż raz na 600 m</w:t>
            </w:r>
            <w:r w:rsidRPr="00A23FB4">
              <w:rPr>
                <w:rFonts w:ascii="Calibri" w:hAnsi="Calibri" w:cs="Calibri"/>
                <w:vertAlign w:val="superscript"/>
              </w:rPr>
              <w:t>2</w:t>
            </w:r>
          </w:p>
        </w:tc>
      </w:tr>
      <w:tr w:rsidR="0072177F" w:rsidRPr="00A23FB4" w14:paraId="02FEAE50" w14:textId="77777777" w:rsidTr="0072177F">
        <w:tc>
          <w:tcPr>
            <w:tcW w:w="491" w:type="dxa"/>
            <w:tcBorders>
              <w:top w:val="single" w:sz="6" w:space="0" w:color="auto"/>
              <w:left w:val="single" w:sz="6" w:space="0" w:color="auto"/>
              <w:bottom w:val="single" w:sz="6" w:space="0" w:color="auto"/>
              <w:right w:val="single" w:sz="6" w:space="0" w:color="auto"/>
            </w:tcBorders>
          </w:tcPr>
          <w:p w14:paraId="361D7735" w14:textId="77777777" w:rsidR="0072177F" w:rsidRPr="00A23FB4" w:rsidRDefault="0072177F" w:rsidP="0072177F">
            <w:pPr>
              <w:rPr>
                <w:rFonts w:ascii="Calibri" w:hAnsi="Calibri" w:cs="Calibri"/>
              </w:rPr>
            </w:pPr>
            <w:r w:rsidRPr="00A23FB4">
              <w:rPr>
                <w:rFonts w:ascii="Calibri" w:hAnsi="Calibri" w:cs="Calibri"/>
              </w:rPr>
              <w:t>8</w:t>
            </w:r>
          </w:p>
        </w:tc>
        <w:tc>
          <w:tcPr>
            <w:tcW w:w="2770" w:type="dxa"/>
            <w:tcBorders>
              <w:top w:val="single" w:sz="6" w:space="0" w:color="auto"/>
              <w:left w:val="single" w:sz="6" w:space="0" w:color="auto"/>
              <w:bottom w:val="single" w:sz="6" w:space="0" w:color="auto"/>
              <w:right w:val="single" w:sz="6" w:space="0" w:color="auto"/>
            </w:tcBorders>
          </w:tcPr>
          <w:p w14:paraId="237302F3" w14:textId="77777777" w:rsidR="0072177F" w:rsidRPr="00A23FB4" w:rsidRDefault="0072177F" w:rsidP="0072177F">
            <w:pPr>
              <w:rPr>
                <w:rFonts w:ascii="Calibri" w:hAnsi="Calibri" w:cs="Calibri"/>
              </w:rPr>
            </w:pPr>
            <w:r w:rsidRPr="00A23FB4">
              <w:rPr>
                <w:rFonts w:ascii="Calibri" w:hAnsi="Calibri" w:cs="Calibri"/>
              </w:rPr>
              <w:t>Badania nośności (pierwotny i wtórny moduł odkształcenia)</w:t>
            </w:r>
          </w:p>
        </w:tc>
        <w:tc>
          <w:tcPr>
            <w:tcW w:w="5244" w:type="dxa"/>
            <w:tcBorders>
              <w:top w:val="single" w:sz="6" w:space="0" w:color="auto"/>
              <w:left w:val="single" w:sz="6" w:space="0" w:color="auto"/>
              <w:bottom w:val="single" w:sz="6" w:space="0" w:color="auto"/>
              <w:right w:val="single" w:sz="6" w:space="0" w:color="auto"/>
            </w:tcBorders>
          </w:tcPr>
          <w:p w14:paraId="0E44DDD3" w14:textId="77777777" w:rsidR="0072177F" w:rsidRPr="00A23FB4" w:rsidRDefault="0072177F" w:rsidP="0072177F">
            <w:pPr>
              <w:rPr>
                <w:rFonts w:ascii="Calibri" w:hAnsi="Calibri" w:cs="Calibri"/>
              </w:rPr>
            </w:pPr>
            <w:r w:rsidRPr="00A23FB4">
              <w:rPr>
                <w:rFonts w:ascii="Calibri" w:hAnsi="Calibri" w:cs="Calibri"/>
              </w:rPr>
              <w:t>w 2 punktach na dziennej działce roboczej, lecz nie rzadziej niż raz na 600 m</w:t>
            </w:r>
            <w:r w:rsidRPr="00A23FB4">
              <w:rPr>
                <w:rFonts w:ascii="Calibri" w:hAnsi="Calibri" w:cs="Calibri"/>
                <w:vertAlign w:val="superscript"/>
              </w:rPr>
              <w:t>2</w:t>
            </w:r>
          </w:p>
        </w:tc>
      </w:tr>
      <w:tr w:rsidR="0072177F" w:rsidRPr="00A23FB4" w14:paraId="02DB5629" w14:textId="77777777" w:rsidTr="0072177F">
        <w:tc>
          <w:tcPr>
            <w:tcW w:w="8505" w:type="dxa"/>
            <w:gridSpan w:val="3"/>
            <w:tcBorders>
              <w:top w:val="single" w:sz="6" w:space="0" w:color="auto"/>
              <w:left w:val="single" w:sz="6" w:space="0" w:color="auto"/>
              <w:bottom w:val="single" w:sz="6" w:space="0" w:color="auto"/>
              <w:right w:val="single" w:sz="6" w:space="0" w:color="auto"/>
            </w:tcBorders>
          </w:tcPr>
          <w:p w14:paraId="7F71F18D" w14:textId="77777777" w:rsidR="0072177F" w:rsidRPr="00A23FB4" w:rsidRDefault="0072177F" w:rsidP="0072177F">
            <w:pPr>
              <w:rPr>
                <w:rFonts w:ascii="Calibri" w:hAnsi="Calibri" w:cs="Calibri"/>
              </w:rPr>
            </w:pPr>
            <w:r w:rsidRPr="00A23FB4">
              <w:rPr>
                <w:rFonts w:ascii="Calibri" w:hAnsi="Calibri" w:cs="Calibri"/>
              </w:rPr>
              <w:t>*) Dodatkowe pomiary spadków poprzecznych i ukształtowania osi w planie należy wykonać w punktach głównych łuków poziomych</w:t>
            </w:r>
          </w:p>
          <w:p w14:paraId="514C9ACC" w14:textId="77777777" w:rsidR="0072177F" w:rsidRPr="00A23FB4" w:rsidRDefault="0072177F" w:rsidP="0072177F">
            <w:pPr>
              <w:rPr>
                <w:rFonts w:ascii="Calibri" w:hAnsi="Calibri" w:cs="Calibri"/>
              </w:rPr>
            </w:pPr>
            <w:r w:rsidRPr="00A23FB4">
              <w:rPr>
                <w:rFonts w:ascii="Calibri" w:hAnsi="Calibri" w:cs="Calibri"/>
              </w:rPr>
              <w:tab/>
            </w:r>
          </w:p>
        </w:tc>
      </w:tr>
    </w:tbl>
    <w:p w14:paraId="33851266" w14:textId="77777777" w:rsidR="0072177F" w:rsidRPr="00A23FB4" w:rsidRDefault="0072177F" w:rsidP="0072177F">
      <w:pPr>
        <w:pStyle w:val="Nagwek7"/>
        <w:rPr>
          <w:rFonts w:ascii="Calibri" w:hAnsi="Calibri" w:cs="Calibri"/>
          <w:b/>
          <w:bCs/>
          <w:iCs/>
        </w:rPr>
      </w:pPr>
      <w:r w:rsidRPr="00A23FB4">
        <w:rPr>
          <w:rFonts w:ascii="Calibri" w:hAnsi="Calibri" w:cs="Calibri"/>
          <w:b/>
          <w:bCs/>
          <w:iCs/>
        </w:rPr>
        <w:t>6.2.2. Szerokość koryta (profilowanego podłoża)</w:t>
      </w:r>
    </w:p>
    <w:p w14:paraId="131FB30B" w14:textId="77777777" w:rsidR="0072177F" w:rsidRPr="00A23FB4" w:rsidRDefault="0072177F" w:rsidP="0072177F">
      <w:pPr>
        <w:rPr>
          <w:rFonts w:ascii="Calibri" w:hAnsi="Calibri" w:cs="Calibri"/>
        </w:rPr>
      </w:pPr>
      <w:r w:rsidRPr="00A23FB4">
        <w:rPr>
          <w:rFonts w:ascii="Calibri" w:hAnsi="Calibri" w:cs="Calibri"/>
        </w:rPr>
        <w:t>Szerokość koryta i profilowanego podłoża nie może różnić się od szerokości projektowanej o więcej niż +10 cm i -5 cm.</w:t>
      </w:r>
    </w:p>
    <w:p w14:paraId="42246B43" w14:textId="77777777" w:rsidR="00EC785C" w:rsidRPr="00A23FB4" w:rsidRDefault="00EC785C" w:rsidP="0072177F">
      <w:pPr>
        <w:rPr>
          <w:rFonts w:ascii="Calibri" w:hAnsi="Calibri" w:cs="Calibri"/>
        </w:rPr>
      </w:pPr>
    </w:p>
    <w:p w14:paraId="0A33C102" w14:textId="77777777" w:rsidR="0072177F" w:rsidRPr="00A23FB4" w:rsidRDefault="0072177F" w:rsidP="0072177F">
      <w:pPr>
        <w:rPr>
          <w:rFonts w:ascii="Calibri" w:hAnsi="Calibri" w:cs="Calibri"/>
          <w:b/>
          <w:bCs/>
          <w:i/>
          <w:iCs/>
        </w:rPr>
      </w:pPr>
      <w:r w:rsidRPr="00A23FB4">
        <w:rPr>
          <w:rFonts w:ascii="Calibri" w:hAnsi="Calibri" w:cs="Calibri"/>
          <w:b/>
          <w:bCs/>
          <w:i/>
          <w:iCs/>
        </w:rPr>
        <w:t>6.2.3. Równość koryta (profilowanego podłoża)</w:t>
      </w:r>
    </w:p>
    <w:p w14:paraId="7E803121" w14:textId="77777777" w:rsidR="0072177F" w:rsidRPr="00A23FB4" w:rsidRDefault="0072177F" w:rsidP="0072177F">
      <w:pPr>
        <w:rPr>
          <w:rFonts w:ascii="Calibri" w:hAnsi="Calibri" w:cs="Calibri"/>
        </w:rPr>
      </w:pPr>
      <w:r w:rsidRPr="00A23FB4">
        <w:rPr>
          <w:rFonts w:ascii="Calibri" w:hAnsi="Calibri" w:cs="Calibri"/>
        </w:rPr>
        <w:t>Nierówności podłużne koryta i profilowanego podłoża należy mierzyć 4-metrową łatą zgodnie z normą BN-68/8931-04.</w:t>
      </w:r>
    </w:p>
    <w:p w14:paraId="16E9C32A" w14:textId="77777777" w:rsidR="0072177F" w:rsidRPr="00A23FB4" w:rsidRDefault="0072177F" w:rsidP="0072177F">
      <w:pPr>
        <w:rPr>
          <w:rFonts w:ascii="Calibri" w:hAnsi="Calibri" w:cs="Calibri"/>
        </w:rPr>
      </w:pPr>
      <w:r w:rsidRPr="00A23FB4">
        <w:rPr>
          <w:rFonts w:ascii="Calibri" w:hAnsi="Calibri" w:cs="Calibri"/>
        </w:rPr>
        <w:t>Nierówności poprzeczne należy mierzyć 4-metrową łatą.</w:t>
      </w:r>
    </w:p>
    <w:p w14:paraId="20F0E59F" w14:textId="77777777" w:rsidR="0072177F" w:rsidRPr="00A23FB4" w:rsidRDefault="0072177F" w:rsidP="0072177F">
      <w:pPr>
        <w:rPr>
          <w:rFonts w:ascii="Calibri" w:hAnsi="Calibri" w:cs="Calibri"/>
        </w:rPr>
      </w:pPr>
      <w:r w:rsidRPr="00A23FB4">
        <w:rPr>
          <w:rFonts w:ascii="Calibri" w:hAnsi="Calibri" w:cs="Calibri"/>
        </w:rPr>
        <w:t>Nierówności nie mogą przekraczać 20 mm.</w:t>
      </w:r>
    </w:p>
    <w:p w14:paraId="54A5C38D" w14:textId="77777777" w:rsidR="0072177F" w:rsidRPr="00A23FB4" w:rsidRDefault="0072177F" w:rsidP="0072177F">
      <w:pPr>
        <w:rPr>
          <w:rFonts w:ascii="Calibri" w:hAnsi="Calibri" w:cs="Calibri"/>
          <w:b/>
          <w:bCs/>
          <w:iCs/>
        </w:rPr>
      </w:pPr>
      <w:r w:rsidRPr="00A23FB4">
        <w:rPr>
          <w:rFonts w:ascii="Calibri" w:hAnsi="Calibri" w:cs="Calibri"/>
          <w:b/>
          <w:bCs/>
          <w:iCs/>
        </w:rPr>
        <w:t>6.2.4. Spadki poprzeczne</w:t>
      </w:r>
    </w:p>
    <w:p w14:paraId="764BDA4D" w14:textId="77777777" w:rsidR="0072177F" w:rsidRPr="00A23FB4" w:rsidRDefault="0072177F" w:rsidP="0072177F">
      <w:pPr>
        <w:rPr>
          <w:rFonts w:ascii="Calibri" w:hAnsi="Calibri" w:cs="Calibri"/>
        </w:rPr>
      </w:pPr>
      <w:r w:rsidRPr="00A23FB4">
        <w:rPr>
          <w:rFonts w:ascii="Calibri" w:hAnsi="Calibri" w:cs="Calibri"/>
        </w:rPr>
        <w:t>Spadki poprzeczne koryta i profilowanego podłoża powinny być zgodne z dokumentacją projektową z tolerancją ± 0,5%.</w:t>
      </w:r>
    </w:p>
    <w:p w14:paraId="5702B342" w14:textId="77777777" w:rsidR="0072177F" w:rsidRPr="00A23FB4" w:rsidRDefault="0072177F" w:rsidP="0072177F">
      <w:pPr>
        <w:rPr>
          <w:rFonts w:ascii="Calibri" w:hAnsi="Calibri" w:cs="Calibri"/>
          <w:b/>
          <w:bCs/>
          <w:iCs/>
        </w:rPr>
      </w:pPr>
      <w:r w:rsidRPr="00A23FB4">
        <w:rPr>
          <w:rFonts w:ascii="Calibri" w:hAnsi="Calibri" w:cs="Calibri"/>
          <w:b/>
          <w:bCs/>
          <w:iCs/>
        </w:rPr>
        <w:t>6.2.5. Rzędne wysokościowe</w:t>
      </w:r>
    </w:p>
    <w:p w14:paraId="1DA3CB69" w14:textId="77777777" w:rsidR="0072177F" w:rsidRPr="00A23FB4" w:rsidRDefault="0072177F" w:rsidP="0072177F">
      <w:pPr>
        <w:rPr>
          <w:rFonts w:ascii="Calibri" w:hAnsi="Calibri" w:cs="Calibri"/>
        </w:rPr>
      </w:pPr>
      <w:r w:rsidRPr="00A23FB4">
        <w:rPr>
          <w:rFonts w:ascii="Calibri" w:hAnsi="Calibri" w:cs="Calibri"/>
        </w:rPr>
        <w:t>Różnice pomiędzy rzędnymi wysokościowymi koryta lub wyprofilowanego podłoża i rzędnymi projektowanymi nie powinny przekraczać +1 cm, -2 cm.</w:t>
      </w:r>
    </w:p>
    <w:p w14:paraId="2FBF4C38" w14:textId="77777777" w:rsidR="0072177F" w:rsidRPr="00A23FB4" w:rsidRDefault="0072177F" w:rsidP="0072177F">
      <w:pPr>
        <w:rPr>
          <w:rFonts w:ascii="Calibri" w:hAnsi="Calibri" w:cs="Calibri"/>
          <w:b/>
          <w:bCs/>
          <w:iCs/>
        </w:rPr>
      </w:pPr>
      <w:r w:rsidRPr="00A23FB4">
        <w:rPr>
          <w:rFonts w:ascii="Calibri" w:hAnsi="Calibri" w:cs="Calibri"/>
          <w:b/>
          <w:bCs/>
          <w:iCs/>
        </w:rPr>
        <w:t>6.2.6. Ukształtowanie osi w planie</w:t>
      </w:r>
    </w:p>
    <w:p w14:paraId="58DBC859" w14:textId="77777777" w:rsidR="0072177F" w:rsidRPr="00A23FB4" w:rsidRDefault="0072177F" w:rsidP="0072177F">
      <w:pPr>
        <w:rPr>
          <w:rFonts w:ascii="Calibri" w:hAnsi="Calibri" w:cs="Calibri"/>
        </w:rPr>
      </w:pPr>
      <w:r w:rsidRPr="00A23FB4">
        <w:rPr>
          <w:rFonts w:ascii="Calibri" w:hAnsi="Calibri" w:cs="Calibri"/>
        </w:rPr>
        <w:t>Oś w planie nie może być przesunięta w stosunku do osi projektowanej o więcej niż ± 5 cm.</w:t>
      </w:r>
    </w:p>
    <w:p w14:paraId="02A1ED88" w14:textId="77777777" w:rsidR="0072177F" w:rsidRPr="00A23FB4" w:rsidRDefault="0072177F" w:rsidP="0072177F">
      <w:pPr>
        <w:rPr>
          <w:rFonts w:ascii="Calibri" w:hAnsi="Calibri" w:cs="Calibri"/>
          <w:b/>
          <w:bCs/>
          <w:iCs/>
        </w:rPr>
      </w:pPr>
      <w:r w:rsidRPr="00A23FB4">
        <w:rPr>
          <w:rFonts w:ascii="Calibri" w:hAnsi="Calibri" w:cs="Calibri"/>
          <w:b/>
          <w:bCs/>
          <w:iCs/>
        </w:rPr>
        <w:t>6.2.7. Zagęszczenie koryta (profilowanego podłoża)</w:t>
      </w:r>
    </w:p>
    <w:p w14:paraId="19221CCD" w14:textId="77777777" w:rsidR="0072177F" w:rsidRPr="00A23FB4" w:rsidRDefault="0072177F" w:rsidP="0072177F">
      <w:pPr>
        <w:rPr>
          <w:rFonts w:ascii="Calibri" w:hAnsi="Calibri" w:cs="Calibri"/>
        </w:rPr>
      </w:pPr>
      <w:r w:rsidRPr="00A23FB4">
        <w:rPr>
          <w:rFonts w:ascii="Calibri" w:hAnsi="Calibri" w:cs="Calibri"/>
        </w:rPr>
        <w:t>Wskaźnik zagęszczenia koryta i wyprofilowanego podłoża określony wg BN-77/8931-12 nie powinien być mniejszy od podanego w tablicy 2.</w:t>
      </w:r>
    </w:p>
    <w:p w14:paraId="4CB7A643" w14:textId="77777777" w:rsidR="0072177F" w:rsidRPr="00A23FB4" w:rsidRDefault="0072177F" w:rsidP="0072177F">
      <w:pPr>
        <w:rPr>
          <w:rFonts w:ascii="Calibri" w:hAnsi="Calibri" w:cs="Calibri"/>
        </w:rPr>
      </w:pPr>
      <w:r w:rsidRPr="00A23FB4">
        <w:rPr>
          <w:rFonts w:ascii="Calibri" w:hAnsi="Calibri" w:cs="Calibri"/>
        </w:rPr>
        <w:t>Jeśli jako kryterium dobrego zagęszczenia stosuje się porównanie wartości modułów odkształcenia, to wartość stosunku wtórnego do pierwotnego modułu odkształcenia, określonych zgodnie z normą PN-02205:1998 nie powinna być większa od 2,2.</w:t>
      </w:r>
    </w:p>
    <w:p w14:paraId="3C723540" w14:textId="77777777" w:rsidR="0072177F" w:rsidRPr="00A23FB4" w:rsidRDefault="0072177F" w:rsidP="0072177F">
      <w:pPr>
        <w:rPr>
          <w:rFonts w:ascii="Calibri" w:hAnsi="Calibri" w:cs="Calibri"/>
        </w:rPr>
      </w:pPr>
      <w:r w:rsidRPr="00A23FB4">
        <w:rPr>
          <w:rFonts w:ascii="Calibri" w:hAnsi="Calibri" w:cs="Calibri"/>
        </w:rPr>
        <w:t>Pomiaru wilgotności naturalnej gruntu należy dokonać w oparciu o normę PKN-CEN ISO/TS 17892-1</w:t>
      </w:r>
    </w:p>
    <w:p w14:paraId="0471BB16" w14:textId="77777777" w:rsidR="0072177F" w:rsidRPr="00A23FB4" w:rsidRDefault="0072177F" w:rsidP="0072177F">
      <w:pPr>
        <w:rPr>
          <w:rFonts w:ascii="Calibri" w:hAnsi="Calibri" w:cs="Calibri"/>
          <w:b/>
          <w:bCs/>
          <w:iCs/>
        </w:rPr>
      </w:pPr>
      <w:r w:rsidRPr="00A23FB4">
        <w:rPr>
          <w:rFonts w:ascii="Calibri" w:hAnsi="Calibri" w:cs="Calibri"/>
          <w:b/>
          <w:bCs/>
          <w:iCs/>
        </w:rPr>
        <w:t>6.2.8 Badania nośności</w:t>
      </w:r>
    </w:p>
    <w:p w14:paraId="1A22DE83" w14:textId="711D9A1A" w:rsidR="0072177F" w:rsidRPr="00A23FB4" w:rsidRDefault="0072177F" w:rsidP="0072177F">
      <w:pPr>
        <w:rPr>
          <w:rFonts w:ascii="Calibri" w:hAnsi="Calibri" w:cs="Calibri"/>
        </w:rPr>
      </w:pPr>
      <w:r w:rsidRPr="00A23FB4">
        <w:rPr>
          <w:rFonts w:ascii="Calibri" w:hAnsi="Calibri" w:cs="Calibri"/>
        </w:rPr>
        <w:t xml:space="preserve">Pierwotny i wtórny moduł odkształcenia należy badać wg PN-S-02205:1998. Wyniki winny odpowiadać wymaganiom pkt 5.4 niniejszej </w:t>
      </w:r>
      <w:r w:rsidR="000907B8">
        <w:rPr>
          <w:rFonts w:ascii="Calibri" w:hAnsi="Calibri" w:cs="Calibri"/>
        </w:rPr>
        <w:t>ST</w:t>
      </w:r>
      <w:r w:rsidRPr="00A23FB4">
        <w:rPr>
          <w:rFonts w:ascii="Calibri" w:hAnsi="Calibri" w:cs="Calibri"/>
        </w:rPr>
        <w:t>WiORB.</w:t>
      </w:r>
    </w:p>
    <w:p w14:paraId="46BEFED0" w14:textId="77777777" w:rsidR="0072177F" w:rsidRPr="00A23FB4" w:rsidRDefault="0072177F" w:rsidP="0072177F">
      <w:pPr>
        <w:rPr>
          <w:rFonts w:ascii="Calibri" w:hAnsi="Calibri" w:cs="Calibri"/>
        </w:rPr>
      </w:pPr>
    </w:p>
    <w:p w14:paraId="28424662" w14:textId="77777777" w:rsidR="0072177F" w:rsidRPr="00A23FB4" w:rsidRDefault="0072177F" w:rsidP="0072177F">
      <w:pPr>
        <w:pStyle w:val="Nagwek4"/>
        <w:rPr>
          <w:rFonts w:ascii="Calibri" w:hAnsi="Calibri" w:cs="Calibri"/>
        </w:rPr>
      </w:pPr>
      <w:r w:rsidRPr="00A23FB4">
        <w:rPr>
          <w:rFonts w:ascii="Calibri" w:hAnsi="Calibri" w:cs="Calibri"/>
        </w:rPr>
        <w:t>6.3. Zasady postępowania z wadliwie wykonanymi odcinkami koryta (profilowanego podłoża)</w:t>
      </w:r>
    </w:p>
    <w:p w14:paraId="1192E8C2" w14:textId="77777777" w:rsidR="0072177F" w:rsidRDefault="0072177F" w:rsidP="0072177F">
      <w:pPr>
        <w:rPr>
          <w:rFonts w:ascii="Calibri" w:hAnsi="Calibri" w:cs="Calibri"/>
        </w:rPr>
      </w:pPr>
      <w:r w:rsidRPr="00A23FB4">
        <w:rPr>
          <w:rFonts w:ascii="Calibri" w:hAnsi="Calibri" w:cs="Calibri"/>
        </w:rPr>
        <w:t>Wszystkie powierzchnie, które wykazują większe odchylenia cech geometrycznych od określonych w punkcie 6.2 powinny być naprawione przez spulchnienie do głębokości co najmniej 10 cm, wyrównanie i powtórne zagęszczenie. Dodanie nowego materiału bez spulchnienia wykonanej warstwy jest niedopuszczalne.</w:t>
      </w:r>
    </w:p>
    <w:p w14:paraId="36D10D16" w14:textId="77777777" w:rsidR="009F3E17" w:rsidRPr="00A23FB4" w:rsidRDefault="009F3E17" w:rsidP="0072177F">
      <w:pPr>
        <w:rPr>
          <w:rFonts w:ascii="Calibri" w:hAnsi="Calibri" w:cs="Calibri"/>
        </w:rPr>
      </w:pPr>
    </w:p>
    <w:p w14:paraId="4BF81512" w14:textId="77777777" w:rsidR="00D429B4" w:rsidRPr="00A23FB4" w:rsidRDefault="00D429B4" w:rsidP="0072177F">
      <w:pPr>
        <w:rPr>
          <w:rFonts w:ascii="Calibri" w:hAnsi="Calibri" w:cs="Calibri"/>
          <w:b/>
        </w:rPr>
      </w:pPr>
    </w:p>
    <w:p w14:paraId="074D2F08" w14:textId="77777777" w:rsidR="0072177F" w:rsidRPr="00A23FB4" w:rsidRDefault="0072177F" w:rsidP="0072177F">
      <w:pPr>
        <w:rPr>
          <w:rFonts w:ascii="Calibri" w:hAnsi="Calibri" w:cs="Calibri"/>
          <w:b/>
        </w:rPr>
      </w:pPr>
      <w:r w:rsidRPr="00A23FB4">
        <w:rPr>
          <w:rFonts w:ascii="Calibri" w:hAnsi="Calibri" w:cs="Calibri"/>
          <w:b/>
        </w:rPr>
        <w:t>7. OBMIAR ROBÓT</w:t>
      </w:r>
    </w:p>
    <w:p w14:paraId="7ACE3E7E" w14:textId="77777777" w:rsidR="007C04C0" w:rsidRDefault="007C04C0" w:rsidP="007C04C0">
      <w:pPr>
        <w:pStyle w:val="StylIwony"/>
        <w:suppressAutoHyphens/>
        <w:spacing w:before="0" w:after="0"/>
        <w:rPr>
          <w:rFonts w:asciiTheme="minorHAnsi" w:hAnsiTheme="minorHAnsi" w:cstheme="minorHAnsi"/>
          <w:sz w:val="20"/>
          <w:szCs w:val="20"/>
        </w:rPr>
      </w:pPr>
    </w:p>
    <w:p w14:paraId="169400A3" w14:textId="46E92F74" w:rsidR="007C04C0" w:rsidRDefault="007C04C0" w:rsidP="007C04C0">
      <w:pPr>
        <w:pStyle w:val="StylIwony"/>
        <w:suppressAutoHyphens/>
        <w:spacing w:before="0" w:after="0"/>
        <w:rPr>
          <w:rFonts w:asciiTheme="minorHAnsi" w:hAnsiTheme="minorHAnsi" w:cstheme="minorHAnsi"/>
          <w:sz w:val="20"/>
          <w:szCs w:val="20"/>
        </w:rPr>
      </w:pPr>
      <w:r>
        <w:rPr>
          <w:rFonts w:asciiTheme="minorHAnsi" w:hAnsiTheme="minorHAnsi" w:cstheme="minorHAnsi"/>
          <w:sz w:val="20"/>
          <w:szCs w:val="20"/>
        </w:rPr>
        <w:t>Kontrakt ryczałtowy</w:t>
      </w:r>
    </w:p>
    <w:p w14:paraId="4659E4A1" w14:textId="31CB1145" w:rsidR="0072177F" w:rsidRPr="00A23FB4" w:rsidRDefault="0072177F" w:rsidP="0072177F">
      <w:pPr>
        <w:rPr>
          <w:rFonts w:ascii="Calibri" w:hAnsi="Calibri" w:cs="Calibri"/>
        </w:rPr>
      </w:pPr>
      <w:r w:rsidRPr="00A23FB4">
        <w:rPr>
          <w:rFonts w:ascii="Calibri" w:hAnsi="Calibri" w:cs="Calibri"/>
        </w:rPr>
        <w:t xml:space="preserve">Ogólne zasady obmiaru robót podano w </w:t>
      </w:r>
      <w:r w:rsidR="00A70091">
        <w:rPr>
          <w:rFonts w:ascii="Calibri" w:hAnsi="Calibri" w:cs="Calibri"/>
        </w:rPr>
        <w:t>ST</w:t>
      </w:r>
      <w:r w:rsidRPr="00A23FB4">
        <w:rPr>
          <w:rFonts w:ascii="Calibri" w:hAnsi="Calibri" w:cs="Calibri"/>
        </w:rPr>
        <w:t>WiORB D-M-00.00.00 „Wymagania ogólne” pkt 7.</w:t>
      </w:r>
    </w:p>
    <w:p w14:paraId="7ED9F3BF" w14:textId="77777777" w:rsidR="00D429B4" w:rsidRPr="00A23FB4" w:rsidRDefault="00D429B4" w:rsidP="0072177F">
      <w:pPr>
        <w:rPr>
          <w:rFonts w:ascii="Calibri" w:hAnsi="Calibri" w:cs="Calibri"/>
          <w:b/>
        </w:rPr>
      </w:pPr>
    </w:p>
    <w:p w14:paraId="0A68D59F" w14:textId="77777777" w:rsidR="0072177F" w:rsidRPr="00A23FB4" w:rsidRDefault="0072177F" w:rsidP="0072177F">
      <w:pPr>
        <w:rPr>
          <w:rFonts w:ascii="Calibri" w:hAnsi="Calibri" w:cs="Calibri"/>
          <w:b/>
        </w:rPr>
      </w:pPr>
      <w:r w:rsidRPr="00A23FB4">
        <w:rPr>
          <w:rFonts w:ascii="Calibri" w:hAnsi="Calibri" w:cs="Calibri"/>
          <w:b/>
        </w:rPr>
        <w:t>8. ODBIÓR ROBÓT</w:t>
      </w:r>
    </w:p>
    <w:p w14:paraId="72D7EDEE" w14:textId="1E026313" w:rsidR="0072177F" w:rsidRPr="00A23FB4" w:rsidRDefault="0072177F" w:rsidP="0072177F">
      <w:pPr>
        <w:rPr>
          <w:rFonts w:ascii="Calibri" w:hAnsi="Calibri" w:cs="Calibri"/>
        </w:rPr>
      </w:pPr>
      <w:r w:rsidRPr="00A23FB4">
        <w:rPr>
          <w:rFonts w:ascii="Calibri" w:hAnsi="Calibri" w:cs="Calibri"/>
        </w:rPr>
        <w:t xml:space="preserve">Ogólne zasady odbioru robót podano w </w:t>
      </w:r>
      <w:r w:rsidR="00A70091">
        <w:rPr>
          <w:rFonts w:ascii="Calibri" w:hAnsi="Calibri" w:cs="Calibri"/>
        </w:rPr>
        <w:t>ST</w:t>
      </w:r>
      <w:r w:rsidRPr="00A23FB4">
        <w:rPr>
          <w:rFonts w:ascii="Calibri" w:hAnsi="Calibri" w:cs="Calibri"/>
        </w:rPr>
        <w:t>WiORB D-M-00.00.00 „Wymagania ogólne” pkt 8.</w:t>
      </w:r>
    </w:p>
    <w:p w14:paraId="60CFB400" w14:textId="15B2E843" w:rsidR="0072177F" w:rsidRPr="00A23FB4" w:rsidRDefault="0072177F" w:rsidP="0072177F">
      <w:pPr>
        <w:rPr>
          <w:rFonts w:ascii="Calibri" w:hAnsi="Calibri" w:cs="Calibri"/>
        </w:rPr>
      </w:pPr>
      <w:r w:rsidRPr="00A23FB4">
        <w:rPr>
          <w:rFonts w:ascii="Calibri" w:hAnsi="Calibri" w:cs="Calibri"/>
        </w:rPr>
        <w:t xml:space="preserve">Roboty uznaje się za wykonane zgodnie z dokumentacja projektową, </w:t>
      </w:r>
      <w:r w:rsidR="00A70091">
        <w:rPr>
          <w:rFonts w:ascii="Calibri" w:hAnsi="Calibri" w:cs="Calibri"/>
        </w:rPr>
        <w:t>ST</w:t>
      </w:r>
      <w:r w:rsidRPr="00A23FB4">
        <w:rPr>
          <w:rFonts w:ascii="Calibri" w:hAnsi="Calibri" w:cs="Calibri"/>
        </w:rPr>
        <w:t>WiORB i wymaganiami Inżyniera/Kierownika projektu, jeżeli wszystkie pomiary i badania z zachowaniem tolerancji wg punktu 6 dały wyniki pozytywne.</w:t>
      </w:r>
    </w:p>
    <w:p w14:paraId="1B395D9C" w14:textId="77777777" w:rsidR="00D429B4" w:rsidRPr="00A23FB4" w:rsidRDefault="00D429B4" w:rsidP="0072177F">
      <w:pPr>
        <w:rPr>
          <w:rFonts w:ascii="Calibri" w:hAnsi="Calibri" w:cs="Calibri"/>
          <w:b/>
        </w:rPr>
      </w:pPr>
    </w:p>
    <w:p w14:paraId="02C8FBF2" w14:textId="77777777" w:rsidR="0072177F" w:rsidRPr="00A23FB4" w:rsidRDefault="0072177F" w:rsidP="0072177F">
      <w:pPr>
        <w:rPr>
          <w:rFonts w:ascii="Calibri" w:hAnsi="Calibri" w:cs="Calibri"/>
          <w:b/>
        </w:rPr>
      </w:pPr>
      <w:r w:rsidRPr="00A23FB4">
        <w:rPr>
          <w:rFonts w:ascii="Calibri" w:hAnsi="Calibri" w:cs="Calibri"/>
          <w:b/>
        </w:rPr>
        <w:t>9. PODSTAWA PŁATNOŚCI</w:t>
      </w:r>
    </w:p>
    <w:p w14:paraId="713AB1A2" w14:textId="77777777" w:rsidR="007C04C0" w:rsidRDefault="007C04C0" w:rsidP="007C04C0">
      <w:pPr>
        <w:pStyle w:val="StylIwony"/>
        <w:suppressAutoHyphens/>
        <w:spacing w:before="0" w:after="0"/>
        <w:rPr>
          <w:rFonts w:asciiTheme="minorHAnsi" w:hAnsiTheme="minorHAnsi" w:cstheme="minorHAnsi"/>
          <w:sz w:val="20"/>
          <w:szCs w:val="20"/>
        </w:rPr>
      </w:pPr>
    </w:p>
    <w:p w14:paraId="5540614E" w14:textId="21E1DF27" w:rsidR="007C04C0" w:rsidRDefault="007C04C0" w:rsidP="007C04C0">
      <w:pPr>
        <w:pStyle w:val="StylIwony"/>
        <w:suppressAutoHyphens/>
        <w:spacing w:before="0" w:after="0"/>
        <w:rPr>
          <w:rFonts w:asciiTheme="minorHAnsi" w:hAnsiTheme="minorHAnsi" w:cstheme="minorHAnsi"/>
          <w:sz w:val="20"/>
          <w:szCs w:val="20"/>
        </w:rPr>
      </w:pPr>
      <w:r>
        <w:rPr>
          <w:rFonts w:asciiTheme="minorHAnsi" w:hAnsiTheme="minorHAnsi" w:cstheme="minorHAnsi"/>
          <w:sz w:val="20"/>
          <w:szCs w:val="20"/>
        </w:rPr>
        <w:t>Kontrakt ryczałtowy</w:t>
      </w:r>
    </w:p>
    <w:p w14:paraId="19353EC7" w14:textId="589DE3EB" w:rsidR="0072177F" w:rsidRPr="00A23FB4" w:rsidRDefault="0072177F" w:rsidP="0072177F">
      <w:pPr>
        <w:rPr>
          <w:rFonts w:ascii="Calibri" w:hAnsi="Calibri" w:cs="Calibri"/>
        </w:rPr>
      </w:pPr>
      <w:r w:rsidRPr="00A23FB4">
        <w:rPr>
          <w:rFonts w:ascii="Calibri" w:hAnsi="Calibri" w:cs="Calibri"/>
        </w:rPr>
        <w:t xml:space="preserve">Ogólne ustalenia dotyczące podstawy płatności podano w </w:t>
      </w:r>
      <w:r w:rsidR="00A70091">
        <w:rPr>
          <w:rFonts w:ascii="Calibri" w:hAnsi="Calibri" w:cs="Calibri"/>
        </w:rPr>
        <w:t>ST</w:t>
      </w:r>
      <w:r w:rsidRPr="00A23FB4">
        <w:rPr>
          <w:rFonts w:ascii="Calibri" w:hAnsi="Calibri" w:cs="Calibri"/>
        </w:rPr>
        <w:t>WiORB D-M-00.00.00 „Wymagania ogólne” pkt 9.</w:t>
      </w:r>
    </w:p>
    <w:p w14:paraId="75387318" w14:textId="77777777" w:rsidR="00067D67" w:rsidRDefault="00067D67" w:rsidP="00067D67">
      <w:pPr>
        <w:ind w:left="720"/>
        <w:rPr>
          <w:rFonts w:ascii="Calibri" w:hAnsi="Calibri" w:cs="Calibri"/>
        </w:rPr>
      </w:pPr>
    </w:p>
    <w:p w14:paraId="3B95D7EF" w14:textId="77777777" w:rsidR="0072177F" w:rsidRPr="00A23FB4" w:rsidRDefault="0072177F" w:rsidP="0072177F">
      <w:pPr>
        <w:rPr>
          <w:rFonts w:ascii="Calibri" w:hAnsi="Calibri" w:cs="Calibri"/>
          <w:b/>
        </w:rPr>
      </w:pPr>
      <w:r w:rsidRPr="00A23FB4">
        <w:rPr>
          <w:rFonts w:ascii="Calibri" w:hAnsi="Calibri" w:cs="Calibri"/>
          <w:b/>
        </w:rPr>
        <w:t>10. PRZEPISY ZWIĄZANE</w:t>
      </w:r>
    </w:p>
    <w:p w14:paraId="7E89BE9E" w14:textId="77777777" w:rsidR="0072177F" w:rsidRPr="00A23FB4" w:rsidRDefault="0072177F" w:rsidP="0072177F">
      <w:pPr>
        <w:pStyle w:val="Nagwek4"/>
        <w:rPr>
          <w:rFonts w:ascii="Calibri" w:hAnsi="Calibri" w:cs="Calibri"/>
        </w:rPr>
      </w:pPr>
      <w:r w:rsidRPr="00A23FB4">
        <w:rPr>
          <w:rFonts w:ascii="Calibri" w:hAnsi="Calibri" w:cs="Calibri"/>
        </w:rPr>
        <w:t>10.1 Normy</w:t>
      </w:r>
    </w:p>
    <w:tbl>
      <w:tblPr>
        <w:tblW w:w="0" w:type="auto"/>
        <w:tblInd w:w="2" w:type="dxa"/>
        <w:tblLayout w:type="fixed"/>
        <w:tblCellMar>
          <w:left w:w="70" w:type="dxa"/>
          <w:right w:w="70" w:type="dxa"/>
        </w:tblCellMar>
        <w:tblLook w:val="0000" w:firstRow="0" w:lastRow="0" w:firstColumn="0" w:lastColumn="0" w:noHBand="0" w:noVBand="0"/>
      </w:tblPr>
      <w:tblGrid>
        <w:gridCol w:w="496"/>
        <w:gridCol w:w="1701"/>
        <w:gridCol w:w="7512"/>
      </w:tblGrid>
      <w:tr w:rsidR="0072177F" w:rsidRPr="00A23FB4" w14:paraId="6886FFCD" w14:textId="77777777" w:rsidTr="0072177F">
        <w:tc>
          <w:tcPr>
            <w:tcW w:w="496" w:type="dxa"/>
          </w:tcPr>
          <w:p w14:paraId="0562A897" w14:textId="77777777" w:rsidR="0072177F" w:rsidRPr="00067D67" w:rsidRDefault="0072177F" w:rsidP="0072177F">
            <w:pPr>
              <w:rPr>
                <w:rFonts w:ascii="Calibri" w:hAnsi="Calibri" w:cs="Calibri"/>
                <w:sz w:val="18"/>
                <w:szCs w:val="18"/>
              </w:rPr>
            </w:pPr>
            <w:r w:rsidRPr="00067D67">
              <w:rPr>
                <w:rFonts w:ascii="Calibri" w:hAnsi="Calibri" w:cs="Calibri"/>
                <w:sz w:val="18"/>
                <w:szCs w:val="18"/>
              </w:rPr>
              <w:t>1.</w:t>
            </w:r>
          </w:p>
        </w:tc>
        <w:tc>
          <w:tcPr>
            <w:tcW w:w="1701" w:type="dxa"/>
          </w:tcPr>
          <w:p w14:paraId="34EA5FA1" w14:textId="77777777" w:rsidR="0072177F" w:rsidRPr="00067D67" w:rsidRDefault="0072177F" w:rsidP="0072177F">
            <w:pPr>
              <w:rPr>
                <w:rFonts w:ascii="Calibri" w:hAnsi="Calibri" w:cs="Calibri"/>
                <w:sz w:val="18"/>
                <w:szCs w:val="18"/>
              </w:rPr>
            </w:pPr>
            <w:r w:rsidRPr="00067D67">
              <w:rPr>
                <w:rFonts w:ascii="Calibri" w:hAnsi="Calibri" w:cs="Calibri"/>
                <w:sz w:val="18"/>
                <w:szCs w:val="18"/>
              </w:rPr>
              <w:t>PN-B-04481:1998</w:t>
            </w:r>
          </w:p>
        </w:tc>
        <w:tc>
          <w:tcPr>
            <w:tcW w:w="7512" w:type="dxa"/>
          </w:tcPr>
          <w:p w14:paraId="1E6374DD" w14:textId="77777777" w:rsidR="0072177F" w:rsidRPr="00067D67" w:rsidRDefault="0072177F" w:rsidP="0072177F">
            <w:pPr>
              <w:rPr>
                <w:rFonts w:ascii="Calibri" w:hAnsi="Calibri" w:cs="Calibri"/>
                <w:sz w:val="18"/>
                <w:szCs w:val="18"/>
              </w:rPr>
            </w:pPr>
            <w:r w:rsidRPr="00067D67">
              <w:rPr>
                <w:rFonts w:ascii="Calibri" w:hAnsi="Calibri" w:cs="Calibri"/>
                <w:sz w:val="18"/>
                <w:szCs w:val="18"/>
              </w:rPr>
              <w:t>Grunty budowlane. Badania próbek gruntu</w:t>
            </w:r>
          </w:p>
        </w:tc>
      </w:tr>
      <w:tr w:rsidR="0072177F" w:rsidRPr="00A23FB4" w14:paraId="1D75237F" w14:textId="77777777" w:rsidTr="0072177F">
        <w:tc>
          <w:tcPr>
            <w:tcW w:w="496" w:type="dxa"/>
          </w:tcPr>
          <w:p w14:paraId="1E103A2F" w14:textId="77777777" w:rsidR="0072177F" w:rsidRPr="00067D67" w:rsidRDefault="0072177F" w:rsidP="0072177F">
            <w:pPr>
              <w:rPr>
                <w:rFonts w:ascii="Calibri" w:hAnsi="Calibri" w:cs="Calibri"/>
                <w:sz w:val="18"/>
                <w:szCs w:val="18"/>
              </w:rPr>
            </w:pPr>
            <w:r w:rsidRPr="00067D67">
              <w:rPr>
                <w:rFonts w:ascii="Calibri" w:hAnsi="Calibri" w:cs="Calibri"/>
                <w:sz w:val="18"/>
                <w:szCs w:val="18"/>
              </w:rPr>
              <w:t>2.</w:t>
            </w:r>
          </w:p>
        </w:tc>
        <w:tc>
          <w:tcPr>
            <w:tcW w:w="1701" w:type="dxa"/>
          </w:tcPr>
          <w:p w14:paraId="6F94E753" w14:textId="77777777" w:rsidR="0072177F" w:rsidRPr="00067D67" w:rsidRDefault="0072177F" w:rsidP="0072177F">
            <w:pPr>
              <w:rPr>
                <w:rFonts w:ascii="Calibri" w:hAnsi="Calibri" w:cs="Calibri"/>
                <w:sz w:val="18"/>
                <w:szCs w:val="18"/>
              </w:rPr>
            </w:pPr>
            <w:r w:rsidRPr="00067D67">
              <w:rPr>
                <w:rFonts w:ascii="Calibri" w:hAnsi="Calibri" w:cs="Calibri"/>
                <w:sz w:val="18"/>
                <w:szCs w:val="18"/>
              </w:rPr>
              <w:t>PN-/B-06714-17</w:t>
            </w:r>
          </w:p>
        </w:tc>
        <w:tc>
          <w:tcPr>
            <w:tcW w:w="7512" w:type="dxa"/>
          </w:tcPr>
          <w:p w14:paraId="3E7B5B94" w14:textId="77777777" w:rsidR="0072177F" w:rsidRPr="00067D67" w:rsidRDefault="0072177F" w:rsidP="0072177F">
            <w:pPr>
              <w:rPr>
                <w:rFonts w:ascii="Calibri" w:hAnsi="Calibri" w:cs="Calibri"/>
                <w:sz w:val="18"/>
                <w:szCs w:val="18"/>
              </w:rPr>
            </w:pPr>
            <w:r w:rsidRPr="00067D67">
              <w:rPr>
                <w:rFonts w:ascii="Calibri" w:hAnsi="Calibri" w:cs="Calibri"/>
                <w:sz w:val="18"/>
                <w:szCs w:val="18"/>
              </w:rPr>
              <w:t>Kruszywa mineralne. Badania. Oznaczanie wilgotności</w:t>
            </w:r>
          </w:p>
        </w:tc>
      </w:tr>
      <w:tr w:rsidR="0072177F" w:rsidRPr="00A23FB4" w14:paraId="65F4D3B5" w14:textId="77777777" w:rsidTr="0072177F">
        <w:tc>
          <w:tcPr>
            <w:tcW w:w="496" w:type="dxa"/>
          </w:tcPr>
          <w:p w14:paraId="31DF73BD" w14:textId="77777777" w:rsidR="0072177F" w:rsidRPr="00067D67" w:rsidRDefault="0072177F" w:rsidP="0072177F">
            <w:pPr>
              <w:rPr>
                <w:rFonts w:ascii="Calibri" w:hAnsi="Calibri" w:cs="Calibri"/>
                <w:sz w:val="18"/>
                <w:szCs w:val="18"/>
              </w:rPr>
            </w:pPr>
            <w:r w:rsidRPr="00067D67">
              <w:rPr>
                <w:rFonts w:ascii="Calibri" w:hAnsi="Calibri" w:cs="Calibri"/>
                <w:sz w:val="18"/>
                <w:szCs w:val="18"/>
              </w:rPr>
              <w:t>3.</w:t>
            </w:r>
          </w:p>
        </w:tc>
        <w:tc>
          <w:tcPr>
            <w:tcW w:w="1701" w:type="dxa"/>
          </w:tcPr>
          <w:p w14:paraId="6467E0C4" w14:textId="77777777" w:rsidR="0072177F" w:rsidRPr="00067D67" w:rsidRDefault="0072177F" w:rsidP="0072177F">
            <w:pPr>
              <w:rPr>
                <w:rFonts w:ascii="Calibri" w:hAnsi="Calibri" w:cs="Calibri"/>
                <w:sz w:val="18"/>
                <w:szCs w:val="18"/>
              </w:rPr>
            </w:pPr>
            <w:r w:rsidRPr="00067D67">
              <w:rPr>
                <w:rFonts w:ascii="Calibri" w:hAnsi="Calibri" w:cs="Calibri"/>
                <w:sz w:val="18"/>
                <w:szCs w:val="18"/>
              </w:rPr>
              <w:t>PN-S-02205:1998</w:t>
            </w:r>
          </w:p>
        </w:tc>
        <w:tc>
          <w:tcPr>
            <w:tcW w:w="7512" w:type="dxa"/>
          </w:tcPr>
          <w:p w14:paraId="0026A782" w14:textId="77777777" w:rsidR="0072177F" w:rsidRPr="00067D67" w:rsidRDefault="0072177F" w:rsidP="0072177F">
            <w:pPr>
              <w:rPr>
                <w:rFonts w:ascii="Calibri" w:hAnsi="Calibri" w:cs="Calibri"/>
                <w:sz w:val="18"/>
                <w:szCs w:val="18"/>
              </w:rPr>
            </w:pPr>
            <w:r w:rsidRPr="00067D67">
              <w:rPr>
                <w:rFonts w:ascii="Calibri" w:hAnsi="Calibri" w:cs="Calibri"/>
                <w:sz w:val="18"/>
                <w:szCs w:val="18"/>
              </w:rPr>
              <w:t>Drogi samochodowe. Roboty ziemne Wymagania i badania</w:t>
            </w:r>
          </w:p>
        </w:tc>
      </w:tr>
      <w:tr w:rsidR="0072177F" w:rsidRPr="00A23FB4" w14:paraId="73E07402" w14:textId="77777777" w:rsidTr="0072177F">
        <w:tc>
          <w:tcPr>
            <w:tcW w:w="496" w:type="dxa"/>
          </w:tcPr>
          <w:p w14:paraId="7C6AAA68" w14:textId="77777777" w:rsidR="0072177F" w:rsidRPr="00067D67" w:rsidRDefault="0072177F" w:rsidP="0072177F">
            <w:pPr>
              <w:rPr>
                <w:rFonts w:ascii="Calibri" w:hAnsi="Calibri" w:cs="Calibri"/>
                <w:sz w:val="18"/>
                <w:szCs w:val="18"/>
              </w:rPr>
            </w:pPr>
            <w:r w:rsidRPr="00067D67">
              <w:rPr>
                <w:rFonts w:ascii="Calibri" w:hAnsi="Calibri" w:cs="Calibri"/>
                <w:sz w:val="18"/>
                <w:szCs w:val="18"/>
              </w:rPr>
              <w:t>4</w:t>
            </w:r>
          </w:p>
        </w:tc>
        <w:tc>
          <w:tcPr>
            <w:tcW w:w="1701" w:type="dxa"/>
          </w:tcPr>
          <w:p w14:paraId="23185656" w14:textId="77777777" w:rsidR="0072177F" w:rsidRPr="00067D67" w:rsidRDefault="0072177F" w:rsidP="0072177F">
            <w:pPr>
              <w:rPr>
                <w:rFonts w:ascii="Calibri" w:hAnsi="Calibri" w:cs="Calibri"/>
                <w:sz w:val="18"/>
                <w:szCs w:val="18"/>
              </w:rPr>
            </w:pPr>
            <w:r w:rsidRPr="00067D67">
              <w:rPr>
                <w:rFonts w:ascii="Calibri" w:hAnsi="Calibri" w:cs="Calibri"/>
                <w:sz w:val="18"/>
                <w:szCs w:val="18"/>
              </w:rPr>
              <w:t>BN-77/8931-12</w:t>
            </w:r>
          </w:p>
        </w:tc>
        <w:tc>
          <w:tcPr>
            <w:tcW w:w="7512" w:type="dxa"/>
          </w:tcPr>
          <w:p w14:paraId="77B4F323" w14:textId="77777777" w:rsidR="0072177F" w:rsidRPr="00067D67" w:rsidRDefault="0072177F" w:rsidP="0072177F">
            <w:pPr>
              <w:rPr>
                <w:rFonts w:ascii="Calibri" w:hAnsi="Calibri" w:cs="Calibri"/>
                <w:sz w:val="18"/>
                <w:szCs w:val="18"/>
              </w:rPr>
            </w:pPr>
            <w:r w:rsidRPr="00067D67">
              <w:rPr>
                <w:rFonts w:ascii="Calibri" w:hAnsi="Calibri" w:cs="Calibri"/>
                <w:sz w:val="18"/>
                <w:szCs w:val="18"/>
              </w:rPr>
              <w:t>Oznaczanie wskaźnika zagęszczenia gruntu</w:t>
            </w:r>
          </w:p>
        </w:tc>
      </w:tr>
    </w:tbl>
    <w:p w14:paraId="04CF58F5" w14:textId="77777777" w:rsidR="0072177F" w:rsidRPr="00A23FB4" w:rsidRDefault="0072177F" w:rsidP="0072177F">
      <w:pPr>
        <w:rPr>
          <w:rFonts w:ascii="Calibri" w:hAnsi="Calibri" w:cs="Calibri"/>
        </w:rPr>
      </w:pPr>
    </w:p>
    <w:p w14:paraId="21945598" w14:textId="77777777" w:rsidR="0072177F" w:rsidRPr="00A23FB4" w:rsidRDefault="0072177F" w:rsidP="00262498">
      <w:pPr>
        <w:numPr>
          <w:ilvl w:val="1"/>
          <w:numId w:val="13"/>
        </w:numPr>
        <w:rPr>
          <w:rFonts w:ascii="Calibri" w:hAnsi="Calibri" w:cs="Calibri"/>
          <w:b/>
          <w:bCs/>
        </w:rPr>
      </w:pPr>
      <w:r w:rsidRPr="00A23FB4">
        <w:rPr>
          <w:rFonts w:ascii="Calibri" w:hAnsi="Calibri" w:cs="Calibri"/>
          <w:b/>
          <w:bCs/>
        </w:rPr>
        <w:t>Inne dokumenty</w:t>
      </w:r>
    </w:p>
    <w:p w14:paraId="52A47099" w14:textId="77777777" w:rsidR="0072177F" w:rsidRPr="00067D67" w:rsidRDefault="0072177F" w:rsidP="0072177F">
      <w:pPr>
        <w:ind w:left="1"/>
        <w:rPr>
          <w:rFonts w:ascii="Calibri" w:hAnsi="Calibri" w:cs="Calibri"/>
          <w:sz w:val="18"/>
          <w:szCs w:val="18"/>
        </w:rPr>
      </w:pPr>
      <w:r w:rsidRPr="00067D67">
        <w:rPr>
          <w:rFonts w:ascii="Calibri" w:hAnsi="Calibri" w:cs="Calibri"/>
          <w:sz w:val="18"/>
          <w:szCs w:val="18"/>
        </w:rPr>
        <w:t>5. Instrukcja Badań Podłoża Gruntowego Budowli Mostowych i Drogowych Część 2 Załącznik Warszawa 1998</w:t>
      </w:r>
    </w:p>
    <w:p w14:paraId="09808942" w14:textId="77777777" w:rsidR="0072177F" w:rsidRPr="00A23FB4" w:rsidRDefault="0072177F" w:rsidP="0072177F">
      <w:pPr>
        <w:jc w:val="center"/>
        <w:rPr>
          <w:rFonts w:ascii="Calibri" w:hAnsi="Calibri" w:cs="Calibri"/>
          <w:b/>
          <w:bCs/>
          <w:sz w:val="28"/>
          <w:szCs w:val="28"/>
        </w:rPr>
      </w:pPr>
    </w:p>
    <w:p w14:paraId="231E5D21" w14:textId="77777777" w:rsidR="0072177F" w:rsidRPr="00A23FB4" w:rsidRDefault="0072177F" w:rsidP="0071233E">
      <w:pPr>
        <w:pStyle w:val="Tekstpodstawowy"/>
        <w:spacing w:line="240" w:lineRule="auto"/>
        <w:jc w:val="center"/>
        <w:rPr>
          <w:rFonts w:asciiTheme="minorHAnsi" w:hAnsiTheme="minorHAnsi"/>
          <w:b/>
          <w:sz w:val="20"/>
        </w:rPr>
      </w:pPr>
    </w:p>
    <w:p w14:paraId="5EE77EA6" w14:textId="77777777" w:rsidR="0072177F" w:rsidRPr="00A23FB4" w:rsidRDefault="0072177F" w:rsidP="0071233E">
      <w:pPr>
        <w:pStyle w:val="Tekstpodstawowy"/>
        <w:spacing w:line="240" w:lineRule="auto"/>
        <w:jc w:val="center"/>
        <w:rPr>
          <w:rFonts w:asciiTheme="minorHAnsi" w:hAnsiTheme="minorHAnsi"/>
          <w:b/>
          <w:sz w:val="20"/>
        </w:rPr>
      </w:pPr>
    </w:p>
    <w:p w14:paraId="71F280F7" w14:textId="77777777" w:rsidR="0072177F" w:rsidRPr="00A23FB4" w:rsidRDefault="0072177F" w:rsidP="0071233E">
      <w:pPr>
        <w:pStyle w:val="Tekstpodstawowy"/>
        <w:spacing w:line="240" w:lineRule="auto"/>
        <w:jc w:val="center"/>
        <w:rPr>
          <w:rFonts w:asciiTheme="minorHAnsi" w:hAnsiTheme="minorHAnsi"/>
          <w:b/>
          <w:sz w:val="20"/>
        </w:rPr>
      </w:pPr>
    </w:p>
    <w:p w14:paraId="7F4A7BB0" w14:textId="77777777" w:rsidR="0072177F" w:rsidRPr="00A23FB4" w:rsidRDefault="0072177F" w:rsidP="0071233E">
      <w:pPr>
        <w:pStyle w:val="Tekstpodstawowy"/>
        <w:spacing w:line="240" w:lineRule="auto"/>
        <w:jc w:val="center"/>
        <w:rPr>
          <w:rFonts w:asciiTheme="minorHAnsi" w:hAnsiTheme="minorHAnsi"/>
          <w:b/>
          <w:sz w:val="20"/>
        </w:rPr>
      </w:pPr>
    </w:p>
    <w:p w14:paraId="677807CB" w14:textId="77777777" w:rsidR="0072177F" w:rsidRPr="00A23FB4" w:rsidRDefault="0072177F" w:rsidP="0071233E">
      <w:pPr>
        <w:pStyle w:val="Tekstpodstawowy"/>
        <w:spacing w:line="240" w:lineRule="auto"/>
        <w:jc w:val="center"/>
        <w:rPr>
          <w:rFonts w:asciiTheme="minorHAnsi" w:hAnsiTheme="minorHAnsi"/>
          <w:b/>
          <w:sz w:val="20"/>
        </w:rPr>
      </w:pPr>
    </w:p>
    <w:p w14:paraId="02CFF681" w14:textId="77777777" w:rsidR="0072177F" w:rsidRPr="00A23FB4" w:rsidRDefault="0072177F" w:rsidP="0071233E">
      <w:pPr>
        <w:pStyle w:val="Tekstpodstawowy"/>
        <w:spacing w:line="240" w:lineRule="auto"/>
        <w:jc w:val="center"/>
        <w:rPr>
          <w:rFonts w:asciiTheme="minorHAnsi" w:hAnsiTheme="minorHAnsi"/>
          <w:b/>
          <w:sz w:val="20"/>
        </w:rPr>
      </w:pPr>
    </w:p>
    <w:p w14:paraId="7F305AB9" w14:textId="77777777" w:rsidR="0072177F" w:rsidRPr="00A23FB4" w:rsidRDefault="0072177F" w:rsidP="0071233E">
      <w:pPr>
        <w:pStyle w:val="Tekstpodstawowy"/>
        <w:spacing w:line="240" w:lineRule="auto"/>
        <w:jc w:val="center"/>
        <w:rPr>
          <w:rFonts w:asciiTheme="minorHAnsi" w:hAnsiTheme="minorHAnsi"/>
          <w:b/>
          <w:sz w:val="20"/>
        </w:rPr>
      </w:pPr>
    </w:p>
    <w:p w14:paraId="7D155D52" w14:textId="77777777" w:rsidR="0072177F" w:rsidRPr="00A23FB4" w:rsidRDefault="0072177F" w:rsidP="0071233E">
      <w:pPr>
        <w:pStyle w:val="Tekstpodstawowy"/>
        <w:spacing w:line="240" w:lineRule="auto"/>
        <w:jc w:val="center"/>
        <w:rPr>
          <w:rFonts w:asciiTheme="minorHAnsi" w:hAnsiTheme="minorHAnsi"/>
          <w:b/>
          <w:sz w:val="20"/>
        </w:rPr>
      </w:pPr>
    </w:p>
    <w:p w14:paraId="37AA1C22" w14:textId="77777777" w:rsidR="0072177F" w:rsidRPr="00A23FB4" w:rsidRDefault="0072177F" w:rsidP="0071233E">
      <w:pPr>
        <w:pStyle w:val="Tekstpodstawowy"/>
        <w:spacing w:line="240" w:lineRule="auto"/>
        <w:jc w:val="center"/>
        <w:rPr>
          <w:rFonts w:asciiTheme="minorHAnsi" w:hAnsiTheme="minorHAnsi"/>
          <w:b/>
          <w:sz w:val="20"/>
        </w:rPr>
      </w:pPr>
    </w:p>
    <w:p w14:paraId="14061C3F" w14:textId="77777777" w:rsidR="0072177F" w:rsidRPr="00A23FB4" w:rsidRDefault="0072177F" w:rsidP="0071233E">
      <w:pPr>
        <w:pStyle w:val="Tekstpodstawowy"/>
        <w:spacing w:line="240" w:lineRule="auto"/>
        <w:jc w:val="center"/>
        <w:rPr>
          <w:rFonts w:asciiTheme="minorHAnsi" w:hAnsiTheme="minorHAnsi"/>
          <w:b/>
          <w:sz w:val="20"/>
        </w:rPr>
      </w:pPr>
    </w:p>
    <w:p w14:paraId="497652D6" w14:textId="77777777" w:rsidR="0072177F" w:rsidRPr="00A23FB4" w:rsidRDefault="0072177F" w:rsidP="0071233E">
      <w:pPr>
        <w:pStyle w:val="Tekstpodstawowy"/>
        <w:spacing w:line="240" w:lineRule="auto"/>
        <w:jc w:val="center"/>
        <w:rPr>
          <w:rFonts w:asciiTheme="minorHAnsi" w:hAnsiTheme="minorHAnsi"/>
          <w:b/>
          <w:sz w:val="20"/>
        </w:rPr>
      </w:pPr>
    </w:p>
    <w:p w14:paraId="5B54AD30" w14:textId="77777777" w:rsidR="0072177F" w:rsidRPr="00A23FB4" w:rsidRDefault="0072177F" w:rsidP="0071233E">
      <w:pPr>
        <w:pStyle w:val="Tekstpodstawowy"/>
        <w:spacing w:line="240" w:lineRule="auto"/>
        <w:jc w:val="center"/>
        <w:rPr>
          <w:rFonts w:asciiTheme="minorHAnsi" w:hAnsiTheme="minorHAnsi"/>
          <w:b/>
          <w:sz w:val="20"/>
        </w:rPr>
      </w:pPr>
    </w:p>
    <w:p w14:paraId="5A84F549" w14:textId="77777777" w:rsidR="0072177F" w:rsidRPr="00A23FB4" w:rsidRDefault="0072177F" w:rsidP="0071233E">
      <w:pPr>
        <w:pStyle w:val="Tekstpodstawowy"/>
        <w:spacing w:line="240" w:lineRule="auto"/>
        <w:jc w:val="center"/>
        <w:rPr>
          <w:rFonts w:asciiTheme="minorHAnsi" w:hAnsiTheme="minorHAnsi"/>
          <w:b/>
          <w:sz w:val="20"/>
        </w:rPr>
      </w:pPr>
    </w:p>
    <w:p w14:paraId="39C2CC1C" w14:textId="77777777" w:rsidR="0072177F" w:rsidRPr="00A23FB4" w:rsidRDefault="0072177F" w:rsidP="0071233E">
      <w:pPr>
        <w:pStyle w:val="Tekstpodstawowy"/>
        <w:spacing w:line="240" w:lineRule="auto"/>
        <w:jc w:val="center"/>
        <w:rPr>
          <w:rFonts w:asciiTheme="minorHAnsi" w:hAnsiTheme="minorHAnsi"/>
          <w:b/>
          <w:sz w:val="20"/>
        </w:rPr>
      </w:pPr>
    </w:p>
    <w:p w14:paraId="011D18CE" w14:textId="77777777" w:rsidR="0072177F" w:rsidRPr="00A23FB4" w:rsidRDefault="0072177F" w:rsidP="0071233E">
      <w:pPr>
        <w:pStyle w:val="Tekstpodstawowy"/>
        <w:spacing w:line="240" w:lineRule="auto"/>
        <w:jc w:val="center"/>
        <w:rPr>
          <w:rFonts w:asciiTheme="minorHAnsi" w:hAnsiTheme="minorHAnsi"/>
          <w:b/>
          <w:sz w:val="20"/>
        </w:rPr>
      </w:pPr>
    </w:p>
    <w:p w14:paraId="544D4704" w14:textId="77777777" w:rsidR="0072177F" w:rsidRPr="00A23FB4" w:rsidRDefault="0072177F" w:rsidP="0071233E">
      <w:pPr>
        <w:pStyle w:val="Tekstpodstawowy"/>
        <w:spacing w:line="240" w:lineRule="auto"/>
        <w:jc w:val="center"/>
        <w:rPr>
          <w:rFonts w:asciiTheme="minorHAnsi" w:hAnsiTheme="minorHAnsi"/>
          <w:b/>
          <w:sz w:val="20"/>
        </w:rPr>
      </w:pPr>
    </w:p>
    <w:p w14:paraId="33AA366D" w14:textId="77777777" w:rsidR="0072177F" w:rsidRPr="00A23FB4" w:rsidRDefault="0072177F" w:rsidP="0071233E">
      <w:pPr>
        <w:pStyle w:val="Tekstpodstawowy"/>
        <w:spacing w:line="240" w:lineRule="auto"/>
        <w:jc w:val="center"/>
        <w:rPr>
          <w:rFonts w:asciiTheme="minorHAnsi" w:hAnsiTheme="minorHAnsi"/>
          <w:b/>
          <w:sz w:val="20"/>
        </w:rPr>
      </w:pPr>
    </w:p>
    <w:p w14:paraId="23F6CDF7" w14:textId="77777777" w:rsidR="0072177F" w:rsidRPr="00A23FB4" w:rsidRDefault="0072177F" w:rsidP="0071233E">
      <w:pPr>
        <w:pStyle w:val="Tekstpodstawowy"/>
        <w:spacing w:line="240" w:lineRule="auto"/>
        <w:jc w:val="center"/>
        <w:rPr>
          <w:rFonts w:asciiTheme="minorHAnsi" w:hAnsiTheme="minorHAnsi"/>
          <w:b/>
          <w:sz w:val="20"/>
        </w:rPr>
      </w:pPr>
    </w:p>
    <w:p w14:paraId="4E483274" w14:textId="77777777" w:rsidR="0072177F" w:rsidRPr="00A23FB4" w:rsidRDefault="0072177F" w:rsidP="0071233E">
      <w:pPr>
        <w:pStyle w:val="Tekstpodstawowy"/>
        <w:spacing w:line="240" w:lineRule="auto"/>
        <w:jc w:val="center"/>
        <w:rPr>
          <w:rFonts w:asciiTheme="minorHAnsi" w:hAnsiTheme="minorHAnsi"/>
          <w:b/>
          <w:sz w:val="20"/>
        </w:rPr>
      </w:pPr>
    </w:p>
    <w:p w14:paraId="42C46F0C" w14:textId="77777777" w:rsidR="0072177F" w:rsidRPr="00A23FB4" w:rsidRDefault="0072177F" w:rsidP="0071233E">
      <w:pPr>
        <w:pStyle w:val="Tekstpodstawowy"/>
        <w:spacing w:line="240" w:lineRule="auto"/>
        <w:jc w:val="center"/>
        <w:rPr>
          <w:rFonts w:asciiTheme="minorHAnsi" w:hAnsiTheme="minorHAnsi"/>
          <w:b/>
          <w:sz w:val="20"/>
        </w:rPr>
      </w:pPr>
    </w:p>
    <w:p w14:paraId="04E4F036" w14:textId="77777777" w:rsidR="0072177F" w:rsidRPr="00A23FB4" w:rsidRDefault="0072177F" w:rsidP="0071233E">
      <w:pPr>
        <w:pStyle w:val="Tekstpodstawowy"/>
        <w:spacing w:line="240" w:lineRule="auto"/>
        <w:jc w:val="center"/>
        <w:rPr>
          <w:rFonts w:asciiTheme="minorHAnsi" w:hAnsiTheme="minorHAnsi"/>
          <w:b/>
          <w:sz w:val="20"/>
        </w:rPr>
      </w:pPr>
    </w:p>
    <w:p w14:paraId="5DDFFAB7" w14:textId="77777777" w:rsidR="0072177F" w:rsidRPr="00A23FB4" w:rsidRDefault="0072177F" w:rsidP="0071233E">
      <w:pPr>
        <w:pStyle w:val="Tekstpodstawowy"/>
        <w:spacing w:line="240" w:lineRule="auto"/>
        <w:jc w:val="center"/>
        <w:rPr>
          <w:rFonts w:asciiTheme="minorHAnsi" w:hAnsiTheme="minorHAnsi"/>
          <w:b/>
          <w:sz w:val="20"/>
        </w:rPr>
      </w:pPr>
    </w:p>
    <w:p w14:paraId="74A23A09" w14:textId="77777777" w:rsidR="0072177F" w:rsidRPr="00A23FB4" w:rsidRDefault="0072177F" w:rsidP="0071233E">
      <w:pPr>
        <w:pStyle w:val="Tekstpodstawowy"/>
        <w:spacing w:line="240" w:lineRule="auto"/>
        <w:jc w:val="center"/>
        <w:rPr>
          <w:rFonts w:asciiTheme="minorHAnsi" w:hAnsiTheme="minorHAnsi"/>
          <w:b/>
          <w:sz w:val="20"/>
        </w:rPr>
      </w:pPr>
    </w:p>
    <w:p w14:paraId="0E995945" w14:textId="77777777" w:rsidR="0072177F" w:rsidRPr="00A23FB4" w:rsidRDefault="0072177F" w:rsidP="0071233E">
      <w:pPr>
        <w:pStyle w:val="Tekstpodstawowy"/>
        <w:spacing w:line="240" w:lineRule="auto"/>
        <w:jc w:val="center"/>
        <w:rPr>
          <w:rFonts w:asciiTheme="minorHAnsi" w:hAnsiTheme="minorHAnsi"/>
          <w:b/>
          <w:sz w:val="20"/>
        </w:rPr>
      </w:pPr>
    </w:p>
    <w:p w14:paraId="2C02520E" w14:textId="77777777" w:rsidR="0072177F" w:rsidRDefault="0072177F" w:rsidP="0071233E">
      <w:pPr>
        <w:pStyle w:val="Tekstpodstawowy"/>
        <w:spacing w:line="240" w:lineRule="auto"/>
        <w:jc w:val="center"/>
        <w:rPr>
          <w:rFonts w:asciiTheme="minorHAnsi" w:hAnsiTheme="minorHAnsi"/>
          <w:b/>
          <w:sz w:val="20"/>
        </w:rPr>
      </w:pPr>
    </w:p>
    <w:p w14:paraId="671B13D8" w14:textId="77777777" w:rsidR="00067D67" w:rsidRPr="00A23FB4" w:rsidRDefault="00067D67" w:rsidP="0071233E">
      <w:pPr>
        <w:pStyle w:val="Tekstpodstawowy"/>
        <w:spacing w:line="240" w:lineRule="auto"/>
        <w:jc w:val="center"/>
        <w:rPr>
          <w:rFonts w:asciiTheme="minorHAnsi" w:hAnsiTheme="minorHAnsi"/>
          <w:b/>
          <w:sz w:val="20"/>
        </w:rPr>
      </w:pPr>
    </w:p>
    <w:p w14:paraId="7012C072" w14:textId="77777777" w:rsidR="0072177F" w:rsidRPr="00A23FB4" w:rsidRDefault="0072177F" w:rsidP="0071233E">
      <w:pPr>
        <w:pStyle w:val="Tekstpodstawowy"/>
        <w:spacing w:line="240" w:lineRule="auto"/>
        <w:jc w:val="center"/>
        <w:rPr>
          <w:rFonts w:asciiTheme="minorHAnsi" w:hAnsiTheme="minorHAnsi"/>
          <w:b/>
          <w:sz w:val="20"/>
        </w:rPr>
      </w:pPr>
    </w:p>
    <w:p w14:paraId="1A6DBBB2" w14:textId="77777777" w:rsidR="0072177F" w:rsidRPr="00A23FB4" w:rsidRDefault="0072177F" w:rsidP="0071233E">
      <w:pPr>
        <w:pStyle w:val="Tekstpodstawowy"/>
        <w:spacing w:line="240" w:lineRule="auto"/>
        <w:jc w:val="center"/>
        <w:rPr>
          <w:rFonts w:asciiTheme="minorHAnsi" w:hAnsiTheme="minorHAnsi"/>
          <w:b/>
          <w:sz w:val="20"/>
        </w:rPr>
      </w:pPr>
    </w:p>
    <w:p w14:paraId="7EC64CE3" w14:textId="77777777" w:rsidR="0072177F" w:rsidRPr="00A23FB4" w:rsidRDefault="0072177F" w:rsidP="0071233E">
      <w:pPr>
        <w:pStyle w:val="Tekstpodstawowy"/>
        <w:spacing w:line="240" w:lineRule="auto"/>
        <w:jc w:val="center"/>
        <w:rPr>
          <w:rFonts w:asciiTheme="minorHAnsi" w:hAnsiTheme="minorHAnsi"/>
          <w:b/>
          <w:sz w:val="20"/>
        </w:rPr>
      </w:pPr>
    </w:p>
    <w:p w14:paraId="1880ADA2" w14:textId="77777777" w:rsidR="0072177F" w:rsidRPr="00A23FB4" w:rsidRDefault="0072177F" w:rsidP="0071233E">
      <w:pPr>
        <w:pStyle w:val="Tekstpodstawowy"/>
        <w:spacing w:line="240" w:lineRule="auto"/>
        <w:jc w:val="center"/>
        <w:rPr>
          <w:rFonts w:asciiTheme="minorHAnsi" w:hAnsiTheme="minorHAnsi"/>
          <w:b/>
          <w:sz w:val="20"/>
        </w:rPr>
      </w:pPr>
    </w:p>
    <w:p w14:paraId="6AC67C6F" w14:textId="77777777" w:rsidR="009F3E17" w:rsidRPr="00A84DEF" w:rsidRDefault="009F3E17" w:rsidP="00A84DEF">
      <w:pPr>
        <w:pStyle w:val="Nagwek2"/>
        <w:spacing w:before="0" w:after="0"/>
        <w:rPr>
          <w:rFonts w:asciiTheme="minorHAnsi" w:hAnsiTheme="minorHAnsi" w:cstheme="minorHAnsi"/>
          <w:sz w:val="24"/>
          <w:szCs w:val="24"/>
        </w:rPr>
      </w:pPr>
      <w:r w:rsidRPr="00A84DEF">
        <w:rPr>
          <w:rFonts w:asciiTheme="minorHAnsi" w:hAnsiTheme="minorHAnsi" w:cstheme="minorHAnsi"/>
          <w:sz w:val="24"/>
          <w:szCs w:val="24"/>
        </w:rPr>
        <w:t>SPECYFIKACJE TECHNICZNE WYKONANIA I ODBIORU ROBÓT BUDOWLANYCH</w:t>
      </w:r>
    </w:p>
    <w:p w14:paraId="5BA09786" w14:textId="77777777" w:rsidR="009F3E17" w:rsidRPr="00A84DEF" w:rsidRDefault="009F3E17" w:rsidP="00A84DEF">
      <w:pPr>
        <w:pStyle w:val="Nagowek1"/>
      </w:pPr>
      <w:bookmarkStart w:id="527" w:name="_Toc36548360"/>
      <w:bookmarkStart w:id="528" w:name="_Toc37147514"/>
      <w:bookmarkStart w:id="529" w:name="_Toc47335121"/>
      <w:bookmarkStart w:id="530" w:name="_Toc206275481"/>
      <w:r w:rsidRPr="00A84DEF">
        <w:t>D.04.03.01. OCZYSZCZENIE I SKROPIENIE WARSTW KONSTRUKCYJNYCH</w:t>
      </w:r>
      <w:bookmarkEnd w:id="527"/>
      <w:bookmarkEnd w:id="528"/>
      <w:bookmarkEnd w:id="529"/>
      <w:bookmarkEnd w:id="530"/>
    </w:p>
    <w:p w14:paraId="3AE1CA6B" w14:textId="77777777" w:rsidR="009F3E17" w:rsidRPr="00A84DEF" w:rsidRDefault="009F3E17" w:rsidP="00A84DEF">
      <w:pPr>
        <w:pStyle w:val="Tekstpodstawowy"/>
        <w:spacing w:line="240" w:lineRule="auto"/>
        <w:jc w:val="both"/>
        <w:rPr>
          <w:rFonts w:asciiTheme="minorHAnsi" w:hAnsiTheme="minorHAnsi" w:cstheme="minorHAnsi"/>
          <w:sz w:val="20"/>
          <w:szCs w:val="20"/>
        </w:rPr>
      </w:pPr>
    </w:p>
    <w:p w14:paraId="031F4371" w14:textId="77777777" w:rsidR="009F3E17" w:rsidRPr="00A84DEF" w:rsidRDefault="009F3E17" w:rsidP="00A84DEF">
      <w:pPr>
        <w:pStyle w:val="Tekstpodstawowy"/>
        <w:spacing w:line="240" w:lineRule="auto"/>
        <w:jc w:val="both"/>
        <w:rPr>
          <w:rFonts w:asciiTheme="minorHAnsi" w:hAnsiTheme="minorHAnsi" w:cstheme="minorHAnsi"/>
          <w:sz w:val="20"/>
          <w:szCs w:val="20"/>
        </w:rPr>
      </w:pPr>
    </w:p>
    <w:p w14:paraId="616AEDFC" w14:textId="77777777" w:rsidR="009F3E17" w:rsidRPr="00A84DEF" w:rsidRDefault="009F3E17" w:rsidP="00262498">
      <w:pPr>
        <w:pStyle w:val="Nagwek3"/>
        <w:numPr>
          <w:ilvl w:val="0"/>
          <w:numId w:val="250"/>
        </w:numPr>
        <w:spacing w:before="0" w:after="0"/>
        <w:ind w:left="283" w:hanging="283"/>
        <w:rPr>
          <w:rFonts w:asciiTheme="minorHAnsi" w:hAnsiTheme="minorHAnsi" w:cstheme="minorHAnsi"/>
        </w:rPr>
      </w:pPr>
      <w:r w:rsidRPr="00A84DEF">
        <w:rPr>
          <w:rFonts w:asciiTheme="minorHAnsi" w:hAnsiTheme="minorHAnsi" w:cstheme="minorHAnsi"/>
        </w:rPr>
        <w:t>WSTĘP</w:t>
      </w:r>
    </w:p>
    <w:p w14:paraId="5E38D5A2" w14:textId="77777777" w:rsidR="009F3E17" w:rsidRPr="00A84DEF" w:rsidRDefault="009F3E17" w:rsidP="00A84DEF">
      <w:pPr>
        <w:pStyle w:val="Nagwek4"/>
        <w:spacing w:before="0" w:after="0"/>
        <w:rPr>
          <w:rFonts w:asciiTheme="minorHAnsi" w:hAnsiTheme="minorHAnsi" w:cstheme="minorHAnsi"/>
        </w:rPr>
      </w:pPr>
      <w:r w:rsidRPr="00A84DEF">
        <w:rPr>
          <w:rFonts w:asciiTheme="minorHAnsi" w:hAnsiTheme="minorHAnsi" w:cstheme="minorHAnsi"/>
        </w:rPr>
        <w:t>1.1 Przedmiot STWiORB</w:t>
      </w:r>
    </w:p>
    <w:p w14:paraId="456886B6" w14:textId="77777777" w:rsidR="009F3E17" w:rsidRPr="00A84DEF" w:rsidRDefault="009F3E17" w:rsidP="00A84DEF">
      <w:pPr>
        <w:pStyle w:val="Tekstpodstawowy"/>
        <w:spacing w:line="240" w:lineRule="auto"/>
        <w:jc w:val="both"/>
        <w:rPr>
          <w:rFonts w:asciiTheme="minorHAnsi" w:hAnsiTheme="minorHAnsi" w:cstheme="minorHAnsi"/>
          <w:sz w:val="20"/>
          <w:szCs w:val="20"/>
        </w:rPr>
      </w:pPr>
    </w:p>
    <w:p w14:paraId="5604CC4F" w14:textId="17B18DD5" w:rsidR="009F3E17" w:rsidRPr="00A84DEF" w:rsidRDefault="009F3E17" w:rsidP="00A84DEF">
      <w:pPr>
        <w:pStyle w:val="Tekstpodstawowy"/>
        <w:spacing w:line="240" w:lineRule="auto"/>
        <w:jc w:val="both"/>
        <w:rPr>
          <w:rFonts w:asciiTheme="minorHAnsi" w:hAnsiTheme="minorHAnsi" w:cstheme="minorHAnsi"/>
          <w:sz w:val="20"/>
          <w:szCs w:val="20"/>
        </w:rPr>
      </w:pPr>
      <w:r w:rsidRPr="00A84DEF">
        <w:rPr>
          <w:rFonts w:asciiTheme="minorHAnsi" w:hAnsiTheme="minorHAnsi" w:cstheme="minorHAnsi"/>
          <w:sz w:val="20"/>
          <w:szCs w:val="20"/>
        </w:rPr>
        <w:t xml:space="preserve">Przedmiotem niniejszejh STWiORB są roboty związane z oczyszczeniem i skropieniem warstw konstrukcyjnych </w:t>
      </w:r>
      <w:r w:rsidR="00A84DEF">
        <w:rPr>
          <w:rFonts w:asciiTheme="minorHAnsi" w:hAnsiTheme="minorHAnsi" w:cstheme="minorHAnsi"/>
          <w:sz w:val="20"/>
          <w:szCs w:val="20"/>
        </w:rPr>
        <w:t>nawierzchni</w:t>
      </w:r>
      <w:r w:rsidRPr="00A84DEF">
        <w:rPr>
          <w:rFonts w:asciiTheme="minorHAnsi" w:hAnsiTheme="minorHAnsi" w:cstheme="minorHAnsi"/>
          <w:sz w:val="20"/>
          <w:szCs w:val="20"/>
        </w:rPr>
        <w:t>,.</w:t>
      </w:r>
    </w:p>
    <w:p w14:paraId="111EC486" w14:textId="77777777" w:rsidR="009F3E17" w:rsidRPr="00A84DEF" w:rsidRDefault="009F3E17" w:rsidP="00A84DEF">
      <w:pPr>
        <w:pStyle w:val="Nagwek4"/>
        <w:spacing w:before="0" w:after="0"/>
        <w:rPr>
          <w:rFonts w:asciiTheme="minorHAnsi" w:hAnsiTheme="minorHAnsi" w:cstheme="minorHAnsi"/>
        </w:rPr>
      </w:pPr>
      <w:r w:rsidRPr="00A84DEF">
        <w:rPr>
          <w:rFonts w:asciiTheme="minorHAnsi" w:hAnsiTheme="minorHAnsi" w:cstheme="minorHAnsi"/>
        </w:rPr>
        <w:t>1.2 Zastosowanie STWiORB</w:t>
      </w:r>
    </w:p>
    <w:p w14:paraId="489B3552" w14:textId="77777777" w:rsidR="00A84DEF" w:rsidRPr="00506838" w:rsidRDefault="00A84DEF" w:rsidP="00A84DEF">
      <w:pPr>
        <w:overflowPunct/>
        <w:spacing w:before="240" w:line="276" w:lineRule="auto"/>
        <w:textAlignment w:val="auto"/>
        <w:rPr>
          <w:rFonts w:ascii="Calibri" w:hAnsi="Calibri" w:cs="Calibri"/>
        </w:rPr>
      </w:pPr>
      <w:r>
        <w:rPr>
          <w:rFonts w:ascii="Calibri" w:hAnsi="Calibri" w:cs="Calibri"/>
        </w:rPr>
        <w:t>Specyfikacja</w:t>
      </w:r>
      <w:r w:rsidRPr="00A23FB4">
        <w:rPr>
          <w:rFonts w:ascii="Calibri" w:hAnsi="Calibri" w:cs="Calibri"/>
        </w:rPr>
        <w:t xml:space="preserve"> stanowi dokument kontraktowy przy realizacji  zadania</w:t>
      </w:r>
      <w:r w:rsidRPr="00A23FB4">
        <w:rPr>
          <w:rFonts w:asciiTheme="minorHAnsi" w:hAnsiTheme="minorHAnsi" w:cstheme="minorHAnsi"/>
          <w:bCs/>
        </w:rPr>
        <w:t xml:space="preserve"> </w:t>
      </w:r>
      <w:r>
        <w:rPr>
          <w:rFonts w:ascii="Calibri" w:hAnsi="Calibri" w:cs="Calibri"/>
        </w:rPr>
        <w:t>„</w:t>
      </w:r>
      <w:r w:rsidRPr="00A70091">
        <w:rPr>
          <w:rFonts w:ascii="Calibri" w:hAnsi="Calibri" w:cs="Calibri"/>
        </w:rPr>
        <w:t>Rozbudowa ul. Wrocławskiej w ciągu drogi powiatowej w Tyńcu Małym wraz z rozbudową istniejącego skrzyżowania typu rondo na połączeniu dróg krajowych nr 35 i 35a oraz łącznika węzła Kobierzyce drogi S8e oraz infrastrukturą towarzyszącą w ramach zadania „Rozbudowa skrzyżowania typu rondo w ciągu DK35 koło m. Tyniec Mały usprawniająca skomunikowanie obszarów Podstrefy Wrocław – Kobierzyce TSSE EURO PARK WISŁOSAN”</w:t>
      </w:r>
      <w:r w:rsidRPr="00A23FB4">
        <w:rPr>
          <w:rFonts w:asciiTheme="minorHAnsi" w:hAnsiTheme="minorHAnsi" w:cstheme="minorHAnsi"/>
          <w:bCs/>
        </w:rPr>
        <w:t>.</w:t>
      </w:r>
    </w:p>
    <w:p w14:paraId="7CD91868" w14:textId="77777777" w:rsidR="00A84DEF" w:rsidRDefault="00A84DEF" w:rsidP="00A84DEF">
      <w:pPr>
        <w:pStyle w:val="Nagwek4"/>
        <w:spacing w:before="0" w:after="0"/>
        <w:rPr>
          <w:rFonts w:asciiTheme="minorHAnsi" w:hAnsiTheme="minorHAnsi" w:cstheme="minorHAnsi"/>
        </w:rPr>
      </w:pPr>
    </w:p>
    <w:p w14:paraId="686B8499" w14:textId="119ADB3B" w:rsidR="009F3E17" w:rsidRPr="00A84DEF" w:rsidRDefault="009F3E17" w:rsidP="00A84DEF">
      <w:pPr>
        <w:pStyle w:val="Nagwek4"/>
        <w:spacing w:before="0" w:after="0"/>
        <w:rPr>
          <w:rFonts w:asciiTheme="minorHAnsi" w:hAnsiTheme="minorHAnsi" w:cstheme="minorHAnsi"/>
        </w:rPr>
      </w:pPr>
      <w:r w:rsidRPr="00A84DEF">
        <w:rPr>
          <w:rFonts w:asciiTheme="minorHAnsi" w:hAnsiTheme="minorHAnsi" w:cstheme="minorHAnsi"/>
        </w:rPr>
        <w:t>1.3. Zakres robót objętych STWiORB</w:t>
      </w:r>
    </w:p>
    <w:p w14:paraId="7FCACCE0" w14:textId="77777777" w:rsidR="009F3E17" w:rsidRPr="00A84DEF" w:rsidRDefault="009F3E17" w:rsidP="00A84DEF">
      <w:pPr>
        <w:pStyle w:val="Tekstpodstawowy"/>
        <w:spacing w:line="240" w:lineRule="auto"/>
        <w:jc w:val="both"/>
        <w:rPr>
          <w:rFonts w:asciiTheme="minorHAnsi" w:hAnsiTheme="minorHAnsi" w:cstheme="minorHAnsi"/>
          <w:sz w:val="20"/>
          <w:szCs w:val="20"/>
        </w:rPr>
      </w:pPr>
    </w:p>
    <w:p w14:paraId="2222B1C7" w14:textId="77777777" w:rsidR="009F3E17" w:rsidRPr="00A84DEF" w:rsidRDefault="009F3E17" w:rsidP="00A84DEF">
      <w:pPr>
        <w:pStyle w:val="Tekstpodstawowy"/>
        <w:spacing w:line="240" w:lineRule="auto"/>
        <w:jc w:val="both"/>
        <w:rPr>
          <w:rFonts w:asciiTheme="minorHAnsi" w:hAnsiTheme="minorHAnsi" w:cstheme="minorHAnsi"/>
          <w:sz w:val="20"/>
          <w:szCs w:val="20"/>
        </w:rPr>
      </w:pPr>
      <w:r w:rsidRPr="00A84DEF">
        <w:rPr>
          <w:rFonts w:asciiTheme="minorHAnsi" w:hAnsiTheme="minorHAnsi" w:cstheme="minorHAnsi"/>
          <w:sz w:val="20"/>
          <w:szCs w:val="20"/>
        </w:rPr>
        <w:t>Ustalenia zawarte w niniejszej specyfikacji dotyczą zasad prowadzenia robót związanych z wykonywaniem oczyszczenia I skropienia warstw konstrukcyjnych nawierzchni</w:t>
      </w:r>
    </w:p>
    <w:p w14:paraId="280AD146" w14:textId="77777777" w:rsidR="009F3E17" w:rsidRPr="00A84DEF" w:rsidRDefault="009F3E17" w:rsidP="00A84DEF">
      <w:pPr>
        <w:pStyle w:val="Nagwek4"/>
        <w:spacing w:before="0" w:after="0"/>
        <w:rPr>
          <w:rFonts w:asciiTheme="minorHAnsi" w:hAnsiTheme="minorHAnsi" w:cstheme="minorHAnsi"/>
        </w:rPr>
      </w:pPr>
      <w:r w:rsidRPr="00A84DEF">
        <w:rPr>
          <w:rFonts w:asciiTheme="minorHAnsi" w:hAnsiTheme="minorHAnsi" w:cstheme="minorHAnsi"/>
        </w:rPr>
        <w:t>1.4 Określenia podstawowe</w:t>
      </w:r>
    </w:p>
    <w:p w14:paraId="420B23D3" w14:textId="77777777" w:rsidR="009F3E17" w:rsidRPr="00A84DEF" w:rsidRDefault="009F3E17" w:rsidP="00A84DEF">
      <w:pPr>
        <w:pStyle w:val="Tekstpodstawowy"/>
        <w:spacing w:line="240" w:lineRule="auto"/>
        <w:jc w:val="both"/>
        <w:rPr>
          <w:rFonts w:asciiTheme="minorHAnsi" w:hAnsiTheme="minorHAnsi" w:cstheme="minorHAnsi"/>
          <w:sz w:val="20"/>
          <w:szCs w:val="20"/>
        </w:rPr>
      </w:pPr>
    </w:p>
    <w:p w14:paraId="406A34BD" w14:textId="77777777" w:rsidR="009F3E17" w:rsidRPr="00A84DEF" w:rsidRDefault="009F3E17" w:rsidP="00A84DEF">
      <w:pPr>
        <w:pStyle w:val="Tekstpodstawowy"/>
        <w:spacing w:line="240" w:lineRule="auto"/>
        <w:jc w:val="both"/>
        <w:rPr>
          <w:rFonts w:asciiTheme="minorHAnsi" w:hAnsiTheme="minorHAnsi" w:cstheme="minorHAnsi"/>
          <w:sz w:val="20"/>
          <w:szCs w:val="20"/>
        </w:rPr>
      </w:pPr>
      <w:r w:rsidRPr="00A84DEF">
        <w:rPr>
          <w:rFonts w:asciiTheme="minorHAnsi" w:hAnsiTheme="minorHAnsi" w:cstheme="minorHAnsi"/>
          <w:sz w:val="20"/>
          <w:szCs w:val="20"/>
        </w:rPr>
        <w:t>Określenia podstawowe są zgodne z obowiązującymi, odpowiednimi polskimi normami i z definicjami podanymi w STWiORB D-M-00.00.00 „Wymagania ogólne” punkt 1.4.</w:t>
      </w:r>
    </w:p>
    <w:p w14:paraId="4575FD64" w14:textId="77777777" w:rsidR="009F3E17" w:rsidRPr="00A84DEF" w:rsidRDefault="009F3E17" w:rsidP="00A84DEF">
      <w:pPr>
        <w:pStyle w:val="Nagwek4"/>
        <w:spacing w:before="0" w:after="0"/>
        <w:rPr>
          <w:rFonts w:asciiTheme="minorHAnsi" w:hAnsiTheme="minorHAnsi" w:cstheme="minorHAnsi"/>
        </w:rPr>
      </w:pPr>
      <w:r w:rsidRPr="00A84DEF">
        <w:rPr>
          <w:rFonts w:asciiTheme="minorHAnsi" w:hAnsiTheme="minorHAnsi" w:cstheme="minorHAnsi"/>
        </w:rPr>
        <w:t>1.5 Ogólne wymagania dotyczące robót</w:t>
      </w:r>
    </w:p>
    <w:p w14:paraId="5A86D126" w14:textId="77777777" w:rsidR="009F3E17" w:rsidRPr="00A84DEF" w:rsidRDefault="009F3E17" w:rsidP="00A84DEF">
      <w:pPr>
        <w:pStyle w:val="Tekstpodstawowy"/>
        <w:spacing w:line="240" w:lineRule="auto"/>
        <w:jc w:val="both"/>
        <w:rPr>
          <w:rFonts w:asciiTheme="minorHAnsi" w:hAnsiTheme="minorHAnsi" w:cstheme="minorHAnsi"/>
          <w:sz w:val="20"/>
          <w:szCs w:val="20"/>
        </w:rPr>
      </w:pPr>
    </w:p>
    <w:p w14:paraId="01128742" w14:textId="77777777" w:rsidR="009F3E17" w:rsidRDefault="009F3E17" w:rsidP="00A84DEF">
      <w:pPr>
        <w:pStyle w:val="Tekstpodstawowy"/>
        <w:spacing w:line="240" w:lineRule="auto"/>
        <w:jc w:val="both"/>
        <w:rPr>
          <w:rFonts w:asciiTheme="minorHAnsi" w:hAnsiTheme="minorHAnsi" w:cstheme="minorHAnsi"/>
          <w:sz w:val="20"/>
          <w:szCs w:val="20"/>
        </w:rPr>
      </w:pPr>
      <w:r w:rsidRPr="00A84DEF">
        <w:rPr>
          <w:rFonts w:asciiTheme="minorHAnsi" w:hAnsiTheme="minorHAnsi" w:cstheme="minorHAnsi"/>
          <w:sz w:val="20"/>
          <w:szCs w:val="20"/>
        </w:rPr>
        <w:t xml:space="preserve">Wykonawca robót jest odpowiedzialny za jakość ich wykonania oraz za zgodność z opracowaną przez siebie i zatwierdzoną przez Zamawiającego i Inżyniera Dokumentacją Projektową, </w:t>
      </w:r>
    </w:p>
    <w:p w14:paraId="6859344F" w14:textId="77777777" w:rsidR="00A84DEF" w:rsidRPr="00A84DEF" w:rsidRDefault="00A84DEF" w:rsidP="00A84DEF">
      <w:pPr>
        <w:pStyle w:val="Tekstpodstawowy"/>
        <w:spacing w:line="240" w:lineRule="auto"/>
        <w:jc w:val="both"/>
        <w:rPr>
          <w:rFonts w:asciiTheme="minorHAnsi" w:hAnsiTheme="minorHAnsi" w:cstheme="minorHAnsi"/>
          <w:sz w:val="20"/>
          <w:szCs w:val="20"/>
        </w:rPr>
      </w:pPr>
    </w:p>
    <w:p w14:paraId="3EDBAA65" w14:textId="77777777" w:rsidR="009F3E17" w:rsidRPr="00A84DEF" w:rsidRDefault="009F3E17" w:rsidP="00262498">
      <w:pPr>
        <w:pStyle w:val="Nagwek3"/>
        <w:numPr>
          <w:ilvl w:val="0"/>
          <w:numId w:val="250"/>
        </w:numPr>
        <w:spacing w:before="0" w:after="0"/>
        <w:ind w:left="283" w:hanging="283"/>
        <w:rPr>
          <w:rFonts w:asciiTheme="minorHAnsi" w:hAnsiTheme="minorHAnsi" w:cstheme="minorHAnsi"/>
        </w:rPr>
      </w:pPr>
      <w:r w:rsidRPr="00A84DEF">
        <w:rPr>
          <w:rFonts w:asciiTheme="minorHAnsi" w:hAnsiTheme="minorHAnsi" w:cstheme="minorHAnsi"/>
        </w:rPr>
        <w:t>MATERIAŁY</w:t>
      </w:r>
    </w:p>
    <w:p w14:paraId="0C24C01C" w14:textId="77777777" w:rsidR="009F3E17" w:rsidRPr="00A84DEF" w:rsidRDefault="009F3E17" w:rsidP="00A84DEF">
      <w:pPr>
        <w:pStyle w:val="Nagwek4"/>
        <w:spacing w:before="0" w:after="0"/>
        <w:rPr>
          <w:rFonts w:asciiTheme="minorHAnsi" w:hAnsiTheme="minorHAnsi" w:cstheme="minorHAnsi"/>
        </w:rPr>
      </w:pPr>
      <w:r w:rsidRPr="00A84DEF">
        <w:rPr>
          <w:rFonts w:asciiTheme="minorHAnsi" w:hAnsiTheme="minorHAnsi" w:cstheme="minorHAnsi"/>
        </w:rPr>
        <w:t>2.1 Ogólne wymagania dotyczące materiałów</w:t>
      </w:r>
    </w:p>
    <w:p w14:paraId="78EAA1D3" w14:textId="77777777" w:rsidR="009F3E17" w:rsidRPr="00A84DEF" w:rsidRDefault="009F3E17" w:rsidP="00A84DEF">
      <w:pPr>
        <w:pStyle w:val="Tekstpodstawowy"/>
        <w:spacing w:line="240" w:lineRule="auto"/>
        <w:jc w:val="both"/>
        <w:rPr>
          <w:rFonts w:asciiTheme="minorHAnsi" w:hAnsiTheme="minorHAnsi" w:cstheme="minorHAnsi"/>
          <w:sz w:val="20"/>
          <w:szCs w:val="20"/>
        </w:rPr>
      </w:pPr>
    </w:p>
    <w:p w14:paraId="5C4F0992" w14:textId="77777777" w:rsidR="009F3E17" w:rsidRPr="00A84DEF" w:rsidRDefault="009F3E17" w:rsidP="00A84DEF">
      <w:pPr>
        <w:pStyle w:val="Tekstpodstawowy"/>
        <w:spacing w:line="240" w:lineRule="auto"/>
        <w:jc w:val="both"/>
        <w:rPr>
          <w:rFonts w:asciiTheme="minorHAnsi" w:hAnsiTheme="minorHAnsi" w:cstheme="minorHAnsi"/>
          <w:sz w:val="20"/>
          <w:szCs w:val="20"/>
        </w:rPr>
      </w:pPr>
      <w:r w:rsidRPr="00A84DEF">
        <w:rPr>
          <w:rFonts w:asciiTheme="minorHAnsi" w:hAnsiTheme="minorHAnsi" w:cstheme="minorHAnsi"/>
          <w:sz w:val="20"/>
          <w:szCs w:val="20"/>
        </w:rPr>
        <w:t>Ogólne wymagania dotyczące materiałów, ich pozyskiwania i składowania, podano w STWiORB D-M.00.00.00 „Wymagania ogólne”.</w:t>
      </w:r>
    </w:p>
    <w:p w14:paraId="5F2F11DC" w14:textId="77777777" w:rsidR="009F3E17" w:rsidRPr="00A84DEF" w:rsidRDefault="009F3E17" w:rsidP="00A84DEF">
      <w:pPr>
        <w:pStyle w:val="Nagwek4"/>
        <w:spacing w:before="0" w:after="0"/>
        <w:rPr>
          <w:rFonts w:asciiTheme="minorHAnsi" w:hAnsiTheme="minorHAnsi" w:cstheme="minorHAnsi"/>
        </w:rPr>
      </w:pPr>
      <w:r w:rsidRPr="00A84DEF">
        <w:rPr>
          <w:rFonts w:asciiTheme="minorHAnsi" w:hAnsiTheme="minorHAnsi" w:cstheme="minorHAnsi"/>
        </w:rPr>
        <w:t>2.2 Emulsja asfaltowa</w:t>
      </w:r>
    </w:p>
    <w:p w14:paraId="2BCD0D60" w14:textId="77777777" w:rsidR="009F3E17" w:rsidRPr="00A84DEF" w:rsidRDefault="009F3E17" w:rsidP="00A84DEF">
      <w:pPr>
        <w:pStyle w:val="Tekstpodstawowy"/>
        <w:spacing w:line="240" w:lineRule="auto"/>
        <w:jc w:val="both"/>
        <w:rPr>
          <w:rFonts w:asciiTheme="minorHAnsi" w:hAnsiTheme="minorHAnsi" w:cstheme="minorHAnsi"/>
          <w:sz w:val="20"/>
          <w:szCs w:val="20"/>
        </w:rPr>
      </w:pPr>
    </w:p>
    <w:p w14:paraId="7486D74A" w14:textId="77777777" w:rsidR="009F3E17" w:rsidRDefault="009F3E17" w:rsidP="00A84DEF">
      <w:pPr>
        <w:pStyle w:val="Tekstpodstawowy"/>
        <w:spacing w:line="240" w:lineRule="auto"/>
        <w:jc w:val="both"/>
        <w:rPr>
          <w:rFonts w:asciiTheme="minorHAnsi" w:hAnsiTheme="minorHAnsi" w:cstheme="minorHAnsi"/>
          <w:sz w:val="20"/>
          <w:szCs w:val="20"/>
        </w:rPr>
      </w:pPr>
      <w:r w:rsidRPr="00A84DEF">
        <w:rPr>
          <w:rFonts w:asciiTheme="minorHAnsi" w:hAnsiTheme="minorHAnsi" w:cstheme="minorHAnsi"/>
          <w:sz w:val="20"/>
          <w:szCs w:val="20"/>
        </w:rPr>
        <w:t>Materiałem stosowanym przy wykonaniu skropienia według zasad niniejszej STWiORB powinny być kationowe emulsje asfaltowe wg aktualnego Załącznika Krajowego NA do normy PN-EN 13808. Spośród rodzajów emulsji wymienionych w Załączniku Krajowym NA do normy PN-EN 13808, należy stosować emulsje oznaczone kodem ZM</w:t>
      </w:r>
    </w:p>
    <w:p w14:paraId="53C38BA6" w14:textId="77777777" w:rsidR="00A84DEF" w:rsidRPr="00A84DEF" w:rsidRDefault="00A84DEF" w:rsidP="00A84DEF">
      <w:pPr>
        <w:pStyle w:val="Tekstpodstawowy"/>
        <w:spacing w:line="240" w:lineRule="auto"/>
        <w:jc w:val="both"/>
        <w:rPr>
          <w:rFonts w:asciiTheme="minorHAnsi" w:hAnsiTheme="minorHAnsi" w:cstheme="minorHAnsi"/>
          <w:sz w:val="20"/>
          <w:szCs w:val="20"/>
        </w:rPr>
      </w:pPr>
    </w:p>
    <w:p w14:paraId="73FE33A8" w14:textId="77777777" w:rsidR="009F3E17" w:rsidRPr="00A84DEF" w:rsidRDefault="009F3E17" w:rsidP="00262498">
      <w:pPr>
        <w:pStyle w:val="Nagwek3"/>
        <w:numPr>
          <w:ilvl w:val="0"/>
          <w:numId w:val="250"/>
        </w:numPr>
        <w:spacing w:before="0" w:after="0"/>
        <w:ind w:left="283" w:hanging="283"/>
        <w:rPr>
          <w:rFonts w:asciiTheme="minorHAnsi" w:hAnsiTheme="minorHAnsi" w:cstheme="minorHAnsi"/>
        </w:rPr>
      </w:pPr>
      <w:r w:rsidRPr="00A84DEF">
        <w:rPr>
          <w:rFonts w:asciiTheme="minorHAnsi" w:hAnsiTheme="minorHAnsi" w:cstheme="minorHAnsi"/>
        </w:rPr>
        <w:t>SPRZĘT</w:t>
      </w:r>
    </w:p>
    <w:p w14:paraId="7A10A4F2" w14:textId="77777777" w:rsidR="009F3E17" w:rsidRPr="00A84DEF" w:rsidRDefault="009F3E17" w:rsidP="00A84DEF">
      <w:pPr>
        <w:pStyle w:val="Nagwek4"/>
        <w:spacing w:before="0" w:after="0"/>
        <w:rPr>
          <w:rFonts w:asciiTheme="minorHAnsi" w:hAnsiTheme="minorHAnsi" w:cstheme="minorHAnsi"/>
        </w:rPr>
      </w:pPr>
      <w:r w:rsidRPr="00A84DEF">
        <w:rPr>
          <w:rFonts w:asciiTheme="minorHAnsi" w:hAnsiTheme="minorHAnsi" w:cstheme="minorHAnsi"/>
        </w:rPr>
        <w:t>3.1. Ogólne wymagania dotyczące sprzętu</w:t>
      </w:r>
    </w:p>
    <w:p w14:paraId="6B94CDEC" w14:textId="77777777" w:rsidR="009F3E17" w:rsidRPr="00A84DEF" w:rsidRDefault="009F3E17" w:rsidP="00A84DEF">
      <w:pPr>
        <w:pStyle w:val="Tekstpodstawowy"/>
        <w:spacing w:line="240" w:lineRule="auto"/>
        <w:jc w:val="both"/>
        <w:rPr>
          <w:rFonts w:asciiTheme="minorHAnsi" w:hAnsiTheme="minorHAnsi" w:cstheme="minorHAnsi"/>
          <w:sz w:val="20"/>
          <w:szCs w:val="20"/>
        </w:rPr>
      </w:pPr>
    </w:p>
    <w:p w14:paraId="46ACDA3C" w14:textId="77777777" w:rsidR="009F3E17" w:rsidRPr="00A84DEF" w:rsidRDefault="009F3E17" w:rsidP="00A84DEF">
      <w:pPr>
        <w:pStyle w:val="Tekstpodstawowy"/>
        <w:spacing w:line="240" w:lineRule="auto"/>
        <w:jc w:val="both"/>
        <w:rPr>
          <w:rFonts w:asciiTheme="minorHAnsi" w:hAnsiTheme="minorHAnsi" w:cstheme="minorHAnsi"/>
          <w:sz w:val="20"/>
          <w:szCs w:val="20"/>
        </w:rPr>
      </w:pPr>
      <w:r w:rsidRPr="00A84DEF">
        <w:rPr>
          <w:rFonts w:asciiTheme="minorHAnsi" w:hAnsiTheme="minorHAnsi" w:cstheme="minorHAnsi"/>
          <w:sz w:val="20"/>
          <w:szCs w:val="20"/>
        </w:rPr>
        <w:t xml:space="preserve">Ogólne wymagania dotyczące sprzętu podano w STWiORB DM.00.00.00. „Wymagania ogólne”. </w:t>
      </w:r>
    </w:p>
    <w:p w14:paraId="703D013E" w14:textId="77777777" w:rsidR="009F3E17" w:rsidRPr="00A84DEF" w:rsidRDefault="009F3E17" w:rsidP="00A84DEF">
      <w:pPr>
        <w:pStyle w:val="Nagwek4"/>
        <w:spacing w:before="0" w:after="0"/>
        <w:rPr>
          <w:rFonts w:asciiTheme="minorHAnsi" w:hAnsiTheme="minorHAnsi" w:cstheme="minorHAnsi"/>
        </w:rPr>
      </w:pPr>
    </w:p>
    <w:p w14:paraId="6F65925E" w14:textId="77777777" w:rsidR="009F3E17" w:rsidRPr="00A84DEF" w:rsidRDefault="009F3E17" w:rsidP="00A84DEF">
      <w:pPr>
        <w:pStyle w:val="Nagwek4"/>
        <w:spacing w:before="0" w:after="0"/>
        <w:rPr>
          <w:rFonts w:asciiTheme="minorHAnsi" w:hAnsiTheme="minorHAnsi" w:cstheme="minorHAnsi"/>
        </w:rPr>
      </w:pPr>
      <w:r w:rsidRPr="00A84DEF">
        <w:rPr>
          <w:rFonts w:asciiTheme="minorHAnsi" w:hAnsiTheme="minorHAnsi" w:cstheme="minorHAnsi"/>
        </w:rPr>
        <w:t>3.2. Sprzęt do wykonania robót</w:t>
      </w:r>
    </w:p>
    <w:p w14:paraId="26AD2140" w14:textId="77777777" w:rsidR="009F3E17" w:rsidRPr="00A84DEF" w:rsidRDefault="009F3E17" w:rsidP="00A84DEF">
      <w:pPr>
        <w:pStyle w:val="Tekstpodstawowy"/>
        <w:spacing w:line="240" w:lineRule="auto"/>
        <w:jc w:val="both"/>
        <w:rPr>
          <w:rFonts w:asciiTheme="minorHAnsi" w:hAnsiTheme="minorHAnsi" w:cstheme="minorHAnsi"/>
          <w:sz w:val="20"/>
          <w:szCs w:val="20"/>
        </w:rPr>
      </w:pPr>
    </w:p>
    <w:p w14:paraId="5AE16CE4" w14:textId="77777777" w:rsidR="009F3E17" w:rsidRPr="00A84DEF" w:rsidRDefault="009F3E17" w:rsidP="00A84DEF">
      <w:pPr>
        <w:pStyle w:val="Tekstpodstawowy"/>
        <w:spacing w:line="240" w:lineRule="auto"/>
        <w:jc w:val="both"/>
        <w:rPr>
          <w:rFonts w:asciiTheme="minorHAnsi" w:hAnsiTheme="minorHAnsi" w:cstheme="minorHAnsi"/>
          <w:sz w:val="20"/>
          <w:szCs w:val="20"/>
        </w:rPr>
      </w:pPr>
      <w:r w:rsidRPr="00A84DEF">
        <w:rPr>
          <w:rFonts w:asciiTheme="minorHAnsi" w:hAnsiTheme="minorHAnsi" w:cstheme="minorHAnsi"/>
          <w:sz w:val="20"/>
          <w:szCs w:val="20"/>
        </w:rPr>
        <w:t>Do oczyszczania warstw nawierzchni należy stosować szczotki mechaniczne.</w:t>
      </w:r>
    </w:p>
    <w:p w14:paraId="151B3C19" w14:textId="77777777" w:rsidR="009F3E17" w:rsidRPr="00A84DEF" w:rsidRDefault="009F3E17" w:rsidP="00A84DEF">
      <w:pPr>
        <w:pStyle w:val="Tekstpodstawowy"/>
        <w:spacing w:line="240" w:lineRule="auto"/>
        <w:jc w:val="both"/>
        <w:rPr>
          <w:rFonts w:asciiTheme="minorHAnsi" w:hAnsiTheme="minorHAnsi" w:cstheme="minorHAnsi"/>
          <w:sz w:val="20"/>
          <w:szCs w:val="20"/>
        </w:rPr>
      </w:pPr>
      <w:r w:rsidRPr="00A84DEF">
        <w:rPr>
          <w:rFonts w:asciiTheme="minorHAnsi" w:hAnsiTheme="minorHAnsi" w:cstheme="minorHAnsi"/>
          <w:sz w:val="20"/>
          <w:szCs w:val="20"/>
        </w:rPr>
        <w:t>Do skrapiania warstw nawierzchni należy używać skrapiarkę lepiszcza.</w:t>
      </w:r>
    </w:p>
    <w:p w14:paraId="50DD59AE" w14:textId="77777777" w:rsidR="009F3E17" w:rsidRPr="00A84DEF" w:rsidRDefault="009F3E17" w:rsidP="00A84DEF">
      <w:pPr>
        <w:pStyle w:val="Tekstpodstawowy"/>
        <w:spacing w:line="240" w:lineRule="auto"/>
        <w:jc w:val="both"/>
        <w:rPr>
          <w:rFonts w:asciiTheme="minorHAnsi" w:hAnsiTheme="minorHAnsi" w:cstheme="minorHAnsi"/>
          <w:sz w:val="20"/>
          <w:szCs w:val="20"/>
        </w:rPr>
      </w:pPr>
      <w:r w:rsidRPr="00A84DEF">
        <w:rPr>
          <w:rFonts w:asciiTheme="minorHAnsi" w:hAnsiTheme="minorHAnsi" w:cstheme="minorHAnsi"/>
          <w:sz w:val="20"/>
          <w:szCs w:val="20"/>
        </w:rPr>
        <w:t>Wykonawca jest zobowiązany do przedstawienia protokołów kalibracji skrapiarek w zakresie równomierności skrapiania i wydatku asfaltu na m2 powierzchni wg PN-EN 12272-1.</w:t>
      </w:r>
    </w:p>
    <w:p w14:paraId="56C656CE" w14:textId="77777777" w:rsidR="009F3E17" w:rsidRPr="00A84DEF" w:rsidRDefault="009F3E17" w:rsidP="00A84DEF">
      <w:pPr>
        <w:pStyle w:val="Tekstpodstawowy"/>
        <w:spacing w:line="240" w:lineRule="auto"/>
        <w:jc w:val="both"/>
        <w:rPr>
          <w:rFonts w:asciiTheme="minorHAnsi" w:hAnsiTheme="minorHAnsi" w:cstheme="minorHAnsi"/>
          <w:sz w:val="20"/>
          <w:szCs w:val="20"/>
        </w:rPr>
      </w:pPr>
      <w:r w:rsidRPr="00A84DEF">
        <w:rPr>
          <w:rFonts w:asciiTheme="minorHAnsi" w:hAnsiTheme="minorHAnsi" w:cstheme="minorHAnsi"/>
          <w:sz w:val="20"/>
          <w:szCs w:val="20"/>
        </w:rPr>
        <w:t>Skrapiarka powinna zapewnić rozkładanie lepiszcza z tolerancją ±10% od ilości założonej.</w:t>
      </w:r>
    </w:p>
    <w:p w14:paraId="11FCFA93" w14:textId="77777777" w:rsidR="009F3E17" w:rsidRPr="00A84DEF" w:rsidRDefault="009F3E17" w:rsidP="00A84DEF">
      <w:pPr>
        <w:pStyle w:val="Tekstpodstawowy"/>
        <w:spacing w:line="240" w:lineRule="auto"/>
        <w:jc w:val="both"/>
        <w:rPr>
          <w:rFonts w:asciiTheme="minorHAnsi" w:hAnsiTheme="minorHAnsi" w:cstheme="minorHAnsi"/>
          <w:sz w:val="20"/>
          <w:szCs w:val="20"/>
        </w:rPr>
      </w:pPr>
      <w:r w:rsidRPr="00A84DEF">
        <w:rPr>
          <w:rFonts w:asciiTheme="minorHAnsi" w:hAnsiTheme="minorHAnsi" w:cstheme="minorHAnsi"/>
          <w:sz w:val="20"/>
          <w:szCs w:val="20"/>
        </w:rPr>
        <w:t>Dopuszcza się skrapianie ręczne lancą w miejscach trudno dostępnych oraz przy urządzeniach usytuowanych w nawierzchni lub ją ograniczających.</w:t>
      </w:r>
    </w:p>
    <w:p w14:paraId="312595CC" w14:textId="77777777" w:rsidR="009F3E17" w:rsidRPr="00A84DEF" w:rsidRDefault="009F3E17" w:rsidP="00262498">
      <w:pPr>
        <w:pStyle w:val="Nagwek3"/>
        <w:numPr>
          <w:ilvl w:val="0"/>
          <w:numId w:val="250"/>
        </w:numPr>
        <w:spacing w:before="0" w:after="0"/>
        <w:ind w:left="283" w:hanging="283"/>
        <w:rPr>
          <w:rFonts w:asciiTheme="minorHAnsi" w:hAnsiTheme="minorHAnsi" w:cstheme="minorHAnsi"/>
        </w:rPr>
      </w:pPr>
      <w:r w:rsidRPr="00A84DEF">
        <w:rPr>
          <w:rFonts w:asciiTheme="minorHAnsi" w:hAnsiTheme="minorHAnsi" w:cstheme="minorHAnsi"/>
        </w:rPr>
        <w:t>TRANSPORT</w:t>
      </w:r>
    </w:p>
    <w:p w14:paraId="09F07606" w14:textId="77777777" w:rsidR="009F3E17" w:rsidRPr="00A84DEF" w:rsidRDefault="009F3E17" w:rsidP="00A84DEF">
      <w:pPr>
        <w:pStyle w:val="Nagwek4"/>
        <w:spacing w:before="0" w:after="0"/>
        <w:rPr>
          <w:rFonts w:asciiTheme="minorHAnsi" w:hAnsiTheme="minorHAnsi" w:cstheme="minorHAnsi"/>
        </w:rPr>
      </w:pPr>
      <w:r w:rsidRPr="00A84DEF">
        <w:rPr>
          <w:rFonts w:asciiTheme="minorHAnsi" w:hAnsiTheme="minorHAnsi" w:cstheme="minorHAnsi"/>
        </w:rPr>
        <w:t>4.1. Ogólne wymagania dotyczące transportu</w:t>
      </w:r>
    </w:p>
    <w:p w14:paraId="68EC7F85" w14:textId="77777777" w:rsidR="009F3E17" w:rsidRPr="00A84DEF" w:rsidRDefault="009F3E17" w:rsidP="00A84DEF">
      <w:pPr>
        <w:pStyle w:val="Tekstpodstawowy"/>
        <w:spacing w:line="240" w:lineRule="auto"/>
        <w:jc w:val="both"/>
        <w:rPr>
          <w:rFonts w:asciiTheme="minorHAnsi" w:hAnsiTheme="minorHAnsi" w:cstheme="minorHAnsi"/>
          <w:sz w:val="20"/>
          <w:szCs w:val="20"/>
        </w:rPr>
      </w:pPr>
    </w:p>
    <w:p w14:paraId="53E50C1F" w14:textId="77777777" w:rsidR="009F3E17" w:rsidRPr="00A84DEF" w:rsidRDefault="009F3E17" w:rsidP="00A84DEF">
      <w:pPr>
        <w:pStyle w:val="Tekstpodstawowy"/>
        <w:spacing w:line="240" w:lineRule="auto"/>
        <w:jc w:val="both"/>
        <w:rPr>
          <w:rFonts w:asciiTheme="minorHAnsi" w:hAnsiTheme="minorHAnsi" w:cstheme="minorHAnsi"/>
          <w:sz w:val="20"/>
          <w:szCs w:val="20"/>
        </w:rPr>
      </w:pPr>
      <w:r w:rsidRPr="00A84DEF">
        <w:rPr>
          <w:rFonts w:asciiTheme="minorHAnsi" w:hAnsiTheme="minorHAnsi" w:cstheme="minorHAnsi"/>
          <w:sz w:val="20"/>
          <w:szCs w:val="20"/>
        </w:rPr>
        <w:t xml:space="preserve">Ogólne wymagania dotyczące transportu podano w STWiORB D-M.00.00.00. "Wymagania ogólne" </w:t>
      </w:r>
    </w:p>
    <w:p w14:paraId="150EF64D" w14:textId="77777777" w:rsidR="009F3E17" w:rsidRPr="00A84DEF" w:rsidRDefault="009F3E17" w:rsidP="00A84DEF">
      <w:pPr>
        <w:pStyle w:val="Nagwek4"/>
        <w:spacing w:before="0" w:after="0"/>
        <w:rPr>
          <w:rFonts w:asciiTheme="minorHAnsi" w:hAnsiTheme="minorHAnsi" w:cstheme="minorHAnsi"/>
        </w:rPr>
      </w:pPr>
      <w:r w:rsidRPr="00A84DEF">
        <w:rPr>
          <w:rFonts w:asciiTheme="minorHAnsi" w:hAnsiTheme="minorHAnsi" w:cstheme="minorHAnsi"/>
        </w:rPr>
        <w:t>4.2. Transport materiałów</w:t>
      </w:r>
    </w:p>
    <w:p w14:paraId="7A0BB72B" w14:textId="77777777" w:rsidR="009F3E17" w:rsidRPr="00A84DEF" w:rsidRDefault="009F3E17" w:rsidP="00A84DEF">
      <w:pPr>
        <w:pStyle w:val="Tekstpodstawowy"/>
        <w:spacing w:line="240" w:lineRule="auto"/>
        <w:jc w:val="both"/>
        <w:rPr>
          <w:rFonts w:asciiTheme="minorHAnsi" w:hAnsiTheme="minorHAnsi" w:cstheme="minorHAnsi"/>
          <w:sz w:val="20"/>
          <w:szCs w:val="20"/>
        </w:rPr>
      </w:pPr>
    </w:p>
    <w:p w14:paraId="2E7EEC9A" w14:textId="77777777" w:rsidR="009F3E17" w:rsidRDefault="009F3E17" w:rsidP="00A84DEF">
      <w:pPr>
        <w:pStyle w:val="Tekstpodstawowy"/>
        <w:spacing w:line="240" w:lineRule="auto"/>
        <w:jc w:val="both"/>
        <w:rPr>
          <w:rFonts w:asciiTheme="minorHAnsi" w:hAnsiTheme="minorHAnsi" w:cstheme="minorHAnsi"/>
          <w:sz w:val="20"/>
          <w:szCs w:val="20"/>
        </w:rPr>
      </w:pPr>
      <w:r w:rsidRPr="00A84DEF">
        <w:rPr>
          <w:rFonts w:asciiTheme="minorHAnsi" w:hAnsiTheme="minorHAnsi" w:cstheme="minorHAnsi"/>
          <w:sz w:val="20"/>
          <w:szCs w:val="20"/>
        </w:rPr>
        <w:t>Emulsja może być transportowana w cysternach, autocysternach, skrapiarkach, beczkach i innych opakowaniach pod warunkiem, że nie będą korodowały pod wpływem emulsji i nie będą powodowały jej rozpadu. Cysterny, pojemniki i zbiorniki przeznaczone do transportu lub składowania emulsji powinny być czyste i nie powinny zawierać resztek innych lepiszczy.</w:t>
      </w:r>
    </w:p>
    <w:p w14:paraId="3755EDE0" w14:textId="77777777" w:rsidR="00A84DEF" w:rsidRPr="00A84DEF" w:rsidRDefault="00A84DEF" w:rsidP="00A84DEF">
      <w:pPr>
        <w:pStyle w:val="Tekstpodstawowy"/>
        <w:spacing w:line="240" w:lineRule="auto"/>
        <w:jc w:val="both"/>
        <w:rPr>
          <w:rFonts w:asciiTheme="minorHAnsi" w:hAnsiTheme="minorHAnsi" w:cstheme="minorHAnsi"/>
          <w:sz w:val="20"/>
          <w:szCs w:val="20"/>
        </w:rPr>
      </w:pPr>
    </w:p>
    <w:p w14:paraId="56478CB6" w14:textId="77777777" w:rsidR="009F3E17" w:rsidRPr="00A84DEF" w:rsidRDefault="009F3E17" w:rsidP="00262498">
      <w:pPr>
        <w:pStyle w:val="Nagwek3"/>
        <w:numPr>
          <w:ilvl w:val="0"/>
          <w:numId w:val="250"/>
        </w:numPr>
        <w:spacing w:before="0" w:after="0"/>
        <w:ind w:left="283" w:hanging="283"/>
        <w:rPr>
          <w:rFonts w:asciiTheme="minorHAnsi" w:hAnsiTheme="minorHAnsi" w:cstheme="minorHAnsi"/>
        </w:rPr>
      </w:pPr>
      <w:r w:rsidRPr="00A84DEF">
        <w:rPr>
          <w:rFonts w:asciiTheme="minorHAnsi" w:hAnsiTheme="minorHAnsi" w:cstheme="minorHAnsi"/>
        </w:rPr>
        <w:t>WYKONANIE</w:t>
      </w:r>
      <w:r w:rsidRPr="00A84DEF">
        <w:rPr>
          <w:rFonts w:asciiTheme="minorHAnsi" w:hAnsiTheme="minorHAnsi" w:cstheme="minorHAnsi"/>
          <w:spacing w:val="-1"/>
        </w:rPr>
        <w:t xml:space="preserve"> </w:t>
      </w:r>
      <w:r w:rsidRPr="00A84DEF">
        <w:rPr>
          <w:rFonts w:asciiTheme="minorHAnsi" w:hAnsiTheme="minorHAnsi" w:cstheme="minorHAnsi"/>
        </w:rPr>
        <w:t>ROBÓT</w:t>
      </w:r>
    </w:p>
    <w:p w14:paraId="11EE07DF" w14:textId="77777777" w:rsidR="009F3E17" w:rsidRPr="00A84DEF" w:rsidRDefault="009F3E17" w:rsidP="00A84DEF">
      <w:pPr>
        <w:pStyle w:val="Nagwek4"/>
        <w:spacing w:before="0" w:after="0"/>
        <w:rPr>
          <w:rFonts w:asciiTheme="minorHAnsi" w:hAnsiTheme="minorHAnsi" w:cstheme="minorHAnsi"/>
        </w:rPr>
      </w:pPr>
      <w:r w:rsidRPr="00A84DEF">
        <w:rPr>
          <w:rFonts w:asciiTheme="minorHAnsi" w:hAnsiTheme="minorHAnsi" w:cstheme="minorHAnsi"/>
        </w:rPr>
        <w:t>5.1. Ogólne zasady wykonania robót</w:t>
      </w:r>
    </w:p>
    <w:p w14:paraId="73B0C31C" w14:textId="77777777" w:rsidR="009F3E17" w:rsidRPr="00A84DEF" w:rsidRDefault="009F3E17" w:rsidP="00A84DEF">
      <w:pPr>
        <w:pStyle w:val="Tekstpodstawowy"/>
        <w:spacing w:line="240" w:lineRule="auto"/>
        <w:jc w:val="both"/>
        <w:rPr>
          <w:rFonts w:asciiTheme="minorHAnsi" w:hAnsiTheme="minorHAnsi" w:cstheme="minorHAnsi"/>
          <w:sz w:val="20"/>
          <w:szCs w:val="20"/>
        </w:rPr>
      </w:pPr>
    </w:p>
    <w:p w14:paraId="5F3A05DA" w14:textId="77777777" w:rsidR="009F3E17" w:rsidRPr="00A84DEF" w:rsidRDefault="009F3E17" w:rsidP="00A84DEF">
      <w:pPr>
        <w:pStyle w:val="Tekstpodstawowy"/>
        <w:spacing w:line="240" w:lineRule="auto"/>
        <w:jc w:val="both"/>
        <w:rPr>
          <w:rFonts w:asciiTheme="minorHAnsi" w:hAnsiTheme="minorHAnsi" w:cstheme="minorHAnsi"/>
          <w:sz w:val="20"/>
          <w:szCs w:val="20"/>
        </w:rPr>
      </w:pPr>
      <w:r w:rsidRPr="00A84DEF">
        <w:rPr>
          <w:rFonts w:asciiTheme="minorHAnsi" w:hAnsiTheme="minorHAnsi" w:cstheme="minorHAnsi"/>
          <w:sz w:val="20"/>
          <w:szCs w:val="20"/>
        </w:rPr>
        <w:t xml:space="preserve">Ogólne zasady wykonania robót podano w STWiORB D-M 00.00.00 „Wymagania ogólne”. </w:t>
      </w:r>
    </w:p>
    <w:p w14:paraId="156096DA" w14:textId="77777777" w:rsidR="00A84DEF" w:rsidRDefault="00A84DEF" w:rsidP="00A84DEF">
      <w:pPr>
        <w:pStyle w:val="Nagwek4"/>
        <w:spacing w:before="0" w:after="0"/>
        <w:rPr>
          <w:rFonts w:asciiTheme="minorHAnsi" w:hAnsiTheme="minorHAnsi" w:cstheme="minorHAnsi"/>
        </w:rPr>
      </w:pPr>
    </w:p>
    <w:p w14:paraId="4FFF5FA0" w14:textId="76938BA1" w:rsidR="009F3E17" w:rsidRPr="00A84DEF" w:rsidRDefault="009F3E17" w:rsidP="00A84DEF">
      <w:pPr>
        <w:pStyle w:val="Nagwek4"/>
        <w:spacing w:before="0" w:after="0"/>
        <w:rPr>
          <w:rFonts w:asciiTheme="minorHAnsi" w:hAnsiTheme="minorHAnsi" w:cstheme="minorHAnsi"/>
        </w:rPr>
      </w:pPr>
      <w:r w:rsidRPr="00A84DEF">
        <w:rPr>
          <w:rFonts w:asciiTheme="minorHAnsi" w:hAnsiTheme="minorHAnsi" w:cstheme="minorHAnsi"/>
        </w:rPr>
        <w:t>5.2 Wykonanie robót</w:t>
      </w:r>
    </w:p>
    <w:p w14:paraId="13045864" w14:textId="77777777" w:rsidR="009F3E17" w:rsidRPr="00A84DEF" w:rsidRDefault="009F3E17" w:rsidP="00A84DEF">
      <w:pPr>
        <w:rPr>
          <w:rFonts w:asciiTheme="minorHAnsi" w:eastAsiaTheme="minorHAnsi" w:hAnsiTheme="minorHAnsi" w:cstheme="minorHAnsi"/>
          <w:b/>
        </w:rPr>
      </w:pPr>
      <w:r w:rsidRPr="00A84DEF">
        <w:rPr>
          <w:rFonts w:asciiTheme="minorHAnsi" w:eastAsiaTheme="minorHAnsi" w:hAnsiTheme="minorHAnsi" w:cstheme="minorHAnsi"/>
          <w:b/>
        </w:rPr>
        <w:t>5.2.1 Zasady ogólne</w:t>
      </w:r>
    </w:p>
    <w:p w14:paraId="28BFB0F2" w14:textId="77777777" w:rsidR="009F3E17" w:rsidRPr="00A84DEF" w:rsidRDefault="009F3E17" w:rsidP="00A84DEF">
      <w:pPr>
        <w:rPr>
          <w:rFonts w:asciiTheme="minorHAnsi" w:eastAsiaTheme="minorHAnsi" w:hAnsiTheme="minorHAnsi" w:cstheme="minorHAnsi"/>
        </w:rPr>
      </w:pPr>
      <w:r w:rsidRPr="00A84DEF">
        <w:rPr>
          <w:rFonts w:asciiTheme="minorHAnsi" w:eastAsiaTheme="minorHAnsi" w:hAnsiTheme="minorHAnsi" w:cstheme="minorHAnsi"/>
        </w:rPr>
        <w:t>Uzyskanie wymaganej trwałości nawierzchni jest uzależnione od zapewnienia połączenia między warstwami oraz ich wspołpracy w przenoszeniu obciążeń nawierzchni wywołanych ruchem pojazdow. Zapewnienie połączenia międzywarstwowego wymaga starannego przygotowania podłoża, na ktorym będą układane kolejne warstwy asfaltowe, zastosowania odpowiedniej emulsji asfaltowej oraz właściwego wykonania skropienia. W połączeniach międzywarstwowych występują dwa głowne mechanizmy:</w:t>
      </w:r>
    </w:p>
    <w:p w14:paraId="5CF40BBB" w14:textId="77777777" w:rsidR="009F3E17" w:rsidRPr="00A84DEF" w:rsidRDefault="009F3E17" w:rsidP="00262498">
      <w:pPr>
        <w:pStyle w:val="Akapitzlist"/>
        <w:numPr>
          <w:ilvl w:val="0"/>
          <w:numId w:val="261"/>
        </w:numPr>
        <w:overflowPunct/>
        <w:textAlignment w:val="auto"/>
        <w:rPr>
          <w:rFonts w:asciiTheme="minorHAnsi" w:eastAsiaTheme="minorHAnsi" w:hAnsiTheme="minorHAnsi" w:cstheme="minorHAnsi"/>
        </w:rPr>
      </w:pPr>
      <w:r w:rsidRPr="00A84DEF">
        <w:rPr>
          <w:rFonts w:asciiTheme="minorHAnsi" w:eastAsiaTheme="minorHAnsi" w:hAnsiTheme="minorHAnsi" w:cstheme="minorHAnsi"/>
        </w:rPr>
        <w:t>zazębienie wynikające z wzajemnego powierzchniowego oddziaływania pomiędzy ziarnami gornej i dolnej mieszanki, na co ma wpływ uziarnienie obu materiałow,</w:t>
      </w:r>
    </w:p>
    <w:p w14:paraId="1972DA48" w14:textId="77777777" w:rsidR="009F3E17" w:rsidRPr="00A84DEF" w:rsidRDefault="009F3E17" w:rsidP="00262498">
      <w:pPr>
        <w:pStyle w:val="Akapitzlist"/>
        <w:numPr>
          <w:ilvl w:val="0"/>
          <w:numId w:val="261"/>
        </w:numPr>
        <w:overflowPunct/>
        <w:textAlignment w:val="auto"/>
        <w:rPr>
          <w:rFonts w:asciiTheme="minorHAnsi" w:eastAsiaTheme="minorHAnsi" w:hAnsiTheme="minorHAnsi" w:cstheme="minorHAnsi"/>
        </w:rPr>
      </w:pPr>
      <w:r w:rsidRPr="00A84DEF">
        <w:rPr>
          <w:rFonts w:asciiTheme="minorHAnsi" w:eastAsiaTheme="minorHAnsi" w:hAnsiTheme="minorHAnsi" w:cstheme="minorHAnsi"/>
        </w:rPr>
        <w:t>makrotekstura dolnej warstwy,</w:t>
      </w:r>
    </w:p>
    <w:p w14:paraId="662CAB5C" w14:textId="77777777" w:rsidR="009F3E17" w:rsidRPr="00A84DEF" w:rsidRDefault="009F3E17" w:rsidP="00262498">
      <w:pPr>
        <w:pStyle w:val="Akapitzlist"/>
        <w:numPr>
          <w:ilvl w:val="0"/>
          <w:numId w:val="261"/>
        </w:numPr>
        <w:overflowPunct/>
        <w:textAlignment w:val="auto"/>
        <w:rPr>
          <w:rFonts w:asciiTheme="minorHAnsi" w:eastAsiaTheme="minorHAnsi" w:hAnsiTheme="minorHAnsi" w:cstheme="minorHAnsi"/>
        </w:rPr>
      </w:pPr>
      <w:r w:rsidRPr="00A84DEF">
        <w:rPr>
          <w:rFonts w:asciiTheme="minorHAnsi" w:eastAsiaTheme="minorHAnsi" w:hAnsiTheme="minorHAnsi" w:cstheme="minorHAnsi"/>
        </w:rPr>
        <w:t>sklejenie wynikające z działania lepiszcza wytrąconego z emulsji asfaltowej, co wynika głownie z kohezji lepiszcza asfaltowego.</w:t>
      </w:r>
    </w:p>
    <w:p w14:paraId="5AB6D2E5" w14:textId="77777777" w:rsidR="009F3E17" w:rsidRPr="00A84DEF" w:rsidRDefault="009F3E17" w:rsidP="00A84DEF">
      <w:pPr>
        <w:rPr>
          <w:rFonts w:asciiTheme="minorHAnsi" w:eastAsiaTheme="minorHAnsi" w:hAnsiTheme="minorHAnsi" w:cstheme="minorHAnsi"/>
        </w:rPr>
      </w:pPr>
      <w:r w:rsidRPr="00A84DEF">
        <w:rPr>
          <w:rFonts w:asciiTheme="minorHAnsi" w:eastAsiaTheme="minorHAnsi" w:hAnsiTheme="minorHAnsi" w:cstheme="minorHAnsi"/>
        </w:rPr>
        <w:t>Czynniki technologiczne wpływające na trwałość połączenia międzywarstwowego:</w:t>
      </w:r>
    </w:p>
    <w:p w14:paraId="32C5794D" w14:textId="77777777" w:rsidR="009F3E17" w:rsidRPr="00A84DEF" w:rsidRDefault="009F3E17" w:rsidP="00262498">
      <w:pPr>
        <w:pStyle w:val="Akapitzlist"/>
        <w:numPr>
          <w:ilvl w:val="0"/>
          <w:numId w:val="262"/>
        </w:numPr>
        <w:overflowPunct/>
        <w:textAlignment w:val="auto"/>
        <w:rPr>
          <w:rFonts w:asciiTheme="minorHAnsi" w:eastAsiaTheme="minorHAnsi" w:hAnsiTheme="minorHAnsi" w:cstheme="minorHAnsi"/>
        </w:rPr>
      </w:pPr>
      <w:r w:rsidRPr="00A84DEF">
        <w:rPr>
          <w:rFonts w:asciiTheme="minorHAnsi" w:eastAsiaTheme="minorHAnsi" w:hAnsiTheme="minorHAnsi" w:cstheme="minorHAnsi"/>
        </w:rPr>
        <w:t>stan podłoża – na podstawie oceny wizualnej: spękania, zanieczyszczenia, woda, luźny materiał, resztki oznakowania poziomego i obecność innych materiałów utrudniających kontakt między gorną i dolną powierzchnią mieszanki,</w:t>
      </w:r>
    </w:p>
    <w:p w14:paraId="5CCB5E35" w14:textId="77777777" w:rsidR="009F3E17" w:rsidRPr="00A84DEF" w:rsidRDefault="009F3E17" w:rsidP="00262498">
      <w:pPr>
        <w:pStyle w:val="Akapitzlist"/>
        <w:numPr>
          <w:ilvl w:val="0"/>
          <w:numId w:val="262"/>
        </w:numPr>
        <w:overflowPunct/>
        <w:textAlignment w:val="auto"/>
        <w:rPr>
          <w:rFonts w:asciiTheme="minorHAnsi" w:eastAsiaTheme="minorHAnsi" w:hAnsiTheme="minorHAnsi" w:cstheme="minorHAnsi"/>
        </w:rPr>
      </w:pPr>
      <w:r w:rsidRPr="00A84DEF">
        <w:rPr>
          <w:rFonts w:asciiTheme="minorHAnsi" w:eastAsiaTheme="minorHAnsi" w:hAnsiTheme="minorHAnsi" w:cstheme="minorHAnsi"/>
        </w:rPr>
        <w:t>rodzaj wbudowywanej mieszanki mineralno-asfaltowej (uziarnienie, zawartość lepiszcza, temperatura wbudowania),</w:t>
      </w:r>
    </w:p>
    <w:p w14:paraId="00E9EBED" w14:textId="77777777" w:rsidR="009F3E17" w:rsidRPr="00A84DEF" w:rsidRDefault="009F3E17" w:rsidP="00262498">
      <w:pPr>
        <w:pStyle w:val="Akapitzlist"/>
        <w:numPr>
          <w:ilvl w:val="0"/>
          <w:numId w:val="262"/>
        </w:numPr>
        <w:overflowPunct/>
        <w:textAlignment w:val="auto"/>
        <w:rPr>
          <w:rFonts w:asciiTheme="minorHAnsi" w:eastAsiaTheme="minorHAnsi" w:hAnsiTheme="minorHAnsi" w:cstheme="minorHAnsi"/>
        </w:rPr>
      </w:pPr>
      <w:r w:rsidRPr="00A84DEF">
        <w:rPr>
          <w:rFonts w:asciiTheme="minorHAnsi" w:eastAsiaTheme="minorHAnsi" w:hAnsiTheme="minorHAnsi" w:cstheme="minorHAnsi"/>
        </w:rPr>
        <w:t>technologia wbudowania warstw asfaltowych (rozkładanie dwoch warstw w jednym cyklu technologicznym, skuteczność zagęszczania),</w:t>
      </w:r>
    </w:p>
    <w:p w14:paraId="290CA051" w14:textId="77777777" w:rsidR="009F3E17" w:rsidRPr="00A84DEF" w:rsidRDefault="009F3E17" w:rsidP="00262498">
      <w:pPr>
        <w:pStyle w:val="Akapitzlist"/>
        <w:numPr>
          <w:ilvl w:val="0"/>
          <w:numId w:val="262"/>
        </w:numPr>
        <w:overflowPunct/>
        <w:textAlignment w:val="auto"/>
        <w:rPr>
          <w:rFonts w:asciiTheme="minorHAnsi" w:eastAsiaTheme="minorHAnsi" w:hAnsiTheme="minorHAnsi" w:cstheme="minorHAnsi"/>
        </w:rPr>
      </w:pPr>
      <w:r w:rsidRPr="00A84DEF">
        <w:rPr>
          <w:rFonts w:asciiTheme="minorHAnsi" w:eastAsiaTheme="minorHAnsi" w:hAnsiTheme="minorHAnsi" w:cstheme="minorHAnsi"/>
        </w:rPr>
        <w:t>rodzaj i ilość zastosowanego lepiszcza do skropienia oraz rownomierność pokrycia powierzchni lepiszczem.</w:t>
      </w:r>
    </w:p>
    <w:p w14:paraId="646F0643" w14:textId="77777777" w:rsidR="009F3E17" w:rsidRPr="00A84DEF" w:rsidRDefault="009F3E17" w:rsidP="00A84DEF">
      <w:pPr>
        <w:rPr>
          <w:rFonts w:asciiTheme="minorHAnsi" w:eastAsiaTheme="minorHAnsi" w:hAnsiTheme="minorHAnsi" w:cstheme="minorHAnsi"/>
        </w:rPr>
      </w:pPr>
      <w:r w:rsidRPr="00A84DEF">
        <w:rPr>
          <w:rFonts w:asciiTheme="minorHAnsi" w:eastAsiaTheme="minorHAnsi" w:hAnsiTheme="minorHAnsi" w:cstheme="minorHAnsi"/>
        </w:rPr>
        <w:t>Skropienie emulsją asfaltową ma na celu zwiększenie siły połączenia pomiędzy warstwami konstrukcyjnymi oraz zabezpieczenie przed wnikaniem i zaleganiem wody pomiędzy warstwami. Do połączeń międzywarstwowych należy stosować następujące materiały:</w:t>
      </w:r>
    </w:p>
    <w:p w14:paraId="12501E95" w14:textId="77777777" w:rsidR="009F3E17" w:rsidRPr="00A84DEF" w:rsidRDefault="009F3E17" w:rsidP="00262498">
      <w:pPr>
        <w:pStyle w:val="Akapitzlist"/>
        <w:numPr>
          <w:ilvl w:val="0"/>
          <w:numId w:val="263"/>
        </w:numPr>
        <w:overflowPunct/>
        <w:textAlignment w:val="auto"/>
        <w:rPr>
          <w:rFonts w:asciiTheme="minorHAnsi" w:eastAsiaTheme="minorHAnsi" w:hAnsiTheme="minorHAnsi" w:cstheme="minorHAnsi"/>
        </w:rPr>
      </w:pPr>
      <w:r w:rsidRPr="00A84DEF">
        <w:rPr>
          <w:rFonts w:asciiTheme="minorHAnsi" w:eastAsiaTheme="minorHAnsi" w:hAnsiTheme="minorHAnsi" w:cstheme="minorHAnsi"/>
        </w:rPr>
        <w:t>kationowe emulsje asfaltowe niemodyfikowane wg Załącznika Krajowego NA do PN-EN 13808,</w:t>
      </w:r>
    </w:p>
    <w:p w14:paraId="26B1FB05" w14:textId="77777777" w:rsidR="009F3E17" w:rsidRPr="00A84DEF" w:rsidRDefault="009F3E17" w:rsidP="00262498">
      <w:pPr>
        <w:pStyle w:val="Akapitzlist"/>
        <w:numPr>
          <w:ilvl w:val="0"/>
          <w:numId w:val="263"/>
        </w:numPr>
        <w:overflowPunct/>
        <w:textAlignment w:val="auto"/>
        <w:rPr>
          <w:rFonts w:asciiTheme="minorHAnsi" w:eastAsiaTheme="minorHAnsi" w:hAnsiTheme="minorHAnsi" w:cstheme="minorHAnsi"/>
        </w:rPr>
      </w:pPr>
      <w:r w:rsidRPr="00A84DEF">
        <w:rPr>
          <w:rFonts w:asciiTheme="minorHAnsi" w:eastAsiaTheme="minorHAnsi" w:hAnsiTheme="minorHAnsi" w:cstheme="minorHAnsi"/>
        </w:rPr>
        <w:t>kationowe emulsje asfaltowe modyfikowane polimerami wg Załącznika Krajowego NA do PN-EN 13808.</w:t>
      </w:r>
    </w:p>
    <w:p w14:paraId="14F7ADD6" w14:textId="77777777" w:rsidR="009F3E17" w:rsidRPr="00A84DEF" w:rsidRDefault="009F3E17" w:rsidP="00A84DEF">
      <w:pPr>
        <w:rPr>
          <w:rFonts w:asciiTheme="minorHAnsi" w:eastAsiaTheme="minorHAnsi" w:hAnsiTheme="minorHAnsi" w:cstheme="minorHAnsi"/>
        </w:rPr>
      </w:pPr>
      <w:r w:rsidRPr="00A84DEF">
        <w:rPr>
          <w:rFonts w:asciiTheme="minorHAnsi" w:eastAsiaTheme="minorHAnsi" w:hAnsiTheme="minorHAnsi" w:cstheme="minorHAnsi"/>
        </w:rPr>
        <w:t>Spośrod rodzajow emulsji wymienionych w Załączniku Krajowym NA do normy PN-EN 13808, należy stosować emulsje oznaczone kodem ZM. Należy stosować emulsje według aktualnego wydania Załącznika Krajowego.</w:t>
      </w:r>
    </w:p>
    <w:p w14:paraId="7CD49500" w14:textId="77777777" w:rsidR="009F3E17" w:rsidRPr="00A84DEF" w:rsidRDefault="009F3E17" w:rsidP="00A84DEF">
      <w:pPr>
        <w:rPr>
          <w:rFonts w:asciiTheme="minorHAnsi" w:eastAsiaTheme="minorHAnsi" w:hAnsiTheme="minorHAnsi" w:cstheme="minorHAnsi"/>
          <w:b/>
          <w:bCs/>
        </w:rPr>
      </w:pPr>
      <w:r w:rsidRPr="00A84DEF">
        <w:rPr>
          <w:rFonts w:asciiTheme="minorHAnsi" w:eastAsiaTheme="minorHAnsi" w:hAnsiTheme="minorHAnsi" w:cstheme="minorHAnsi"/>
          <w:b/>
          <w:bCs/>
        </w:rPr>
        <w:t>5.2.2 . Odstępstwa</w:t>
      </w:r>
    </w:p>
    <w:p w14:paraId="02650BED" w14:textId="77777777" w:rsidR="009F3E17" w:rsidRPr="00A84DEF" w:rsidRDefault="009F3E17" w:rsidP="00A84DEF">
      <w:pPr>
        <w:rPr>
          <w:rFonts w:asciiTheme="minorHAnsi" w:eastAsiaTheme="minorHAnsi" w:hAnsiTheme="minorHAnsi" w:cstheme="minorHAnsi"/>
        </w:rPr>
      </w:pPr>
      <w:r w:rsidRPr="00A84DEF">
        <w:rPr>
          <w:rFonts w:asciiTheme="minorHAnsi" w:eastAsiaTheme="minorHAnsi" w:hAnsiTheme="minorHAnsi" w:cstheme="minorHAnsi"/>
        </w:rPr>
        <w:t>Można odstąpić od wykonania skropienia w następujących przypadkach:</w:t>
      </w:r>
    </w:p>
    <w:p w14:paraId="79873E5D" w14:textId="77777777" w:rsidR="009F3E17" w:rsidRPr="00A84DEF" w:rsidRDefault="009F3E17" w:rsidP="00262498">
      <w:pPr>
        <w:pStyle w:val="Akapitzlist"/>
        <w:numPr>
          <w:ilvl w:val="0"/>
          <w:numId w:val="264"/>
        </w:numPr>
        <w:overflowPunct/>
        <w:textAlignment w:val="auto"/>
        <w:rPr>
          <w:rFonts w:asciiTheme="minorHAnsi" w:eastAsiaTheme="minorHAnsi" w:hAnsiTheme="minorHAnsi" w:cstheme="minorHAnsi"/>
        </w:rPr>
      </w:pPr>
      <w:r w:rsidRPr="00A84DEF">
        <w:rPr>
          <w:rFonts w:asciiTheme="minorHAnsi" w:eastAsiaTheme="minorHAnsi" w:hAnsiTheme="minorHAnsi" w:cstheme="minorHAnsi"/>
        </w:rPr>
        <w:t>przy rozkładaniu dwoch warstw asfaltowych w jednym cyklu technologicznym nie wykonuje się skropienia lepiszczem (tzw. połączenie gorące na gorące – technologia asfaltowych warstw kompaktowych),</w:t>
      </w:r>
    </w:p>
    <w:p w14:paraId="547069A0" w14:textId="77777777" w:rsidR="009F3E17" w:rsidRPr="00A84DEF" w:rsidRDefault="009F3E17" w:rsidP="00262498">
      <w:pPr>
        <w:pStyle w:val="Akapitzlist"/>
        <w:numPr>
          <w:ilvl w:val="0"/>
          <w:numId w:val="264"/>
        </w:numPr>
        <w:overflowPunct/>
        <w:textAlignment w:val="auto"/>
        <w:rPr>
          <w:rFonts w:asciiTheme="minorHAnsi" w:eastAsiaTheme="minorHAnsi" w:hAnsiTheme="minorHAnsi" w:cstheme="minorHAnsi"/>
        </w:rPr>
      </w:pPr>
      <w:r w:rsidRPr="00A84DEF">
        <w:rPr>
          <w:rFonts w:asciiTheme="minorHAnsi" w:eastAsiaTheme="minorHAnsi" w:hAnsiTheme="minorHAnsi" w:cstheme="minorHAnsi"/>
        </w:rPr>
        <w:t>nie stosuje się skropienia przed ułożeniem mieszanki asfaltu lanego, chyba że technologia w sposob jednoznaczny tego wymaga lub z przyczyn technologicznych jest to zalecane.</w:t>
      </w:r>
    </w:p>
    <w:p w14:paraId="779108FF" w14:textId="77777777" w:rsidR="009F3E17" w:rsidRPr="00A84DEF" w:rsidRDefault="009F3E17" w:rsidP="00A84DEF">
      <w:pPr>
        <w:rPr>
          <w:rFonts w:asciiTheme="minorHAnsi" w:eastAsiaTheme="minorHAnsi" w:hAnsiTheme="minorHAnsi" w:cstheme="minorHAnsi"/>
          <w:b/>
          <w:bCs/>
        </w:rPr>
      </w:pPr>
      <w:r w:rsidRPr="00A84DEF">
        <w:rPr>
          <w:rFonts w:asciiTheme="minorHAnsi" w:eastAsiaTheme="minorHAnsi" w:hAnsiTheme="minorHAnsi" w:cstheme="minorHAnsi"/>
          <w:b/>
          <w:bCs/>
        </w:rPr>
        <w:t>5.2.3 . Przygotowanie podłoża</w:t>
      </w:r>
    </w:p>
    <w:p w14:paraId="121311BB" w14:textId="77777777" w:rsidR="009F3E17" w:rsidRPr="00A84DEF" w:rsidRDefault="009F3E17" w:rsidP="00A84DEF">
      <w:pPr>
        <w:rPr>
          <w:rFonts w:asciiTheme="minorHAnsi" w:eastAsiaTheme="minorHAnsi" w:hAnsiTheme="minorHAnsi" w:cstheme="minorHAnsi"/>
          <w:b/>
          <w:bCs/>
        </w:rPr>
      </w:pPr>
      <w:r w:rsidRPr="00A84DEF">
        <w:rPr>
          <w:rFonts w:asciiTheme="minorHAnsi" w:eastAsiaTheme="minorHAnsi" w:hAnsiTheme="minorHAnsi" w:cstheme="minorHAnsi"/>
          <w:b/>
          <w:bCs/>
        </w:rPr>
        <w:t>5.2.3.1. Przygotowanie podłoża z mieszanki mineralno-asfaltowej</w:t>
      </w:r>
    </w:p>
    <w:p w14:paraId="009BE66A" w14:textId="77777777" w:rsidR="009F3E17" w:rsidRPr="00A84DEF" w:rsidRDefault="009F3E17" w:rsidP="00A84DEF">
      <w:pPr>
        <w:rPr>
          <w:rFonts w:asciiTheme="minorHAnsi" w:eastAsiaTheme="minorHAnsi" w:hAnsiTheme="minorHAnsi" w:cstheme="minorHAnsi"/>
        </w:rPr>
      </w:pPr>
      <w:r w:rsidRPr="00A84DEF">
        <w:rPr>
          <w:rFonts w:asciiTheme="minorHAnsi" w:eastAsiaTheme="minorHAnsi" w:hAnsiTheme="minorHAnsi" w:cstheme="minorHAnsi"/>
        </w:rPr>
        <w:t>Przed skropieniem podłoże z mieszanki mineralno-asfaltowej należy oczyścić. W przypadku zanieczyszczonej warstwy dodatkowo oczyścić poprzez zabieg szczotkowania i mycie pod ciśnieniem. Przy używaniu szczotek mechanicznych należy zwrocić uwagę, aby nie została uszkodzona warstwa błonki asfaltowej na powierzchni ziaren kruszyw stanowiących gorną powierzchnię warstwy. W przypadku zanieczyszczenia podłoża olejami, paliwem lub chemikaliami należy użyć specjalnych absorbentow do zebrania zanieczyszczeń a następnie zmyć powierzchnię wodą pod ciśnieniem.</w:t>
      </w:r>
    </w:p>
    <w:p w14:paraId="77E31BD0" w14:textId="77777777" w:rsidR="009F3E17" w:rsidRPr="00A84DEF" w:rsidRDefault="009F3E17" w:rsidP="00A84DEF">
      <w:pPr>
        <w:rPr>
          <w:rFonts w:asciiTheme="minorHAnsi" w:eastAsiaTheme="minorHAnsi" w:hAnsiTheme="minorHAnsi" w:cstheme="minorHAnsi"/>
          <w:b/>
          <w:bCs/>
        </w:rPr>
      </w:pPr>
      <w:r w:rsidRPr="00A84DEF">
        <w:rPr>
          <w:rFonts w:asciiTheme="minorHAnsi" w:eastAsiaTheme="minorHAnsi" w:hAnsiTheme="minorHAnsi" w:cstheme="minorHAnsi"/>
          <w:b/>
          <w:bCs/>
        </w:rPr>
        <w:t>5.2.3.2. Przygotowanie podłoża z mieszanki mineralnej niezwiązaneji związanej hydraulicznie</w:t>
      </w:r>
    </w:p>
    <w:p w14:paraId="5EAEFA51" w14:textId="77777777" w:rsidR="009F3E17" w:rsidRPr="00A84DEF" w:rsidRDefault="009F3E17" w:rsidP="00A84DEF">
      <w:pPr>
        <w:rPr>
          <w:rFonts w:asciiTheme="minorHAnsi" w:eastAsiaTheme="minorHAnsi" w:hAnsiTheme="minorHAnsi" w:cstheme="minorHAnsi"/>
        </w:rPr>
      </w:pPr>
      <w:r w:rsidRPr="00A84DEF">
        <w:rPr>
          <w:rFonts w:asciiTheme="minorHAnsi" w:eastAsiaTheme="minorHAnsi" w:hAnsiTheme="minorHAnsi" w:cstheme="minorHAnsi"/>
        </w:rPr>
        <w:t>Powierzchnia podłoża musi być oczyszczona z wszelkiego obcego materiału innego niż mieszanka mineralna, z ktorej została wykonana warstwa. W przypadku podbudowy bardzo suchej, bezpośrednio przed wykonaniem skropienia emulsją asfaltową podłoże należy zwilżyć wodą, tak aby powierzchnię podłoża doprowadzić do stanu matowo-wilgotnego, bez zastoisk wodnych i bez zjawiska nasączenia warstwy wodą. W przypadku skrapiania warstwy niezwiązanej nasiąkniętej wodą po opadach atmosferycznych należy opoźnić skropienie do momentu częściowego przesuszenia powierzchniowego warstwy (do stanu matowo-wilgotnego).</w:t>
      </w:r>
    </w:p>
    <w:p w14:paraId="79C5CF43" w14:textId="77777777" w:rsidR="009F3E17" w:rsidRPr="00A84DEF" w:rsidRDefault="009F3E17" w:rsidP="00A84DEF">
      <w:pPr>
        <w:rPr>
          <w:rFonts w:asciiTheme="minorHAnsi" w:eastAsiaTheme="minorHAnsi" w:hAnsiTheme="minorHAnsi" w:cstheme="minorHAnsi"/>
          <w:b/>
          <w:bCs/>
        </w:rPr>
      </w:pPr>
      <w:r w:rsidRPr="00A84DEF">
        <w:rPr>
          <w:rFonts w:asciiTheme="minorHAnsi" w:eastAsiaTheme="minorHAnsi" w:hAnsiTheme="minorHAnsi" w:cstheme="minorHAnsi"/>
          <w:b/>
          <w:bCs/>
        </w:rPr>
        <w:t>5.2.3.3. Przygotowanie podłoża na obiektach inżynierskich</w:t>
      </w:r>
    </w:p>
    <w:p w14:paraId="34AD3560" w14:textId="77777777" w:rsidR="009F3E17" w:rsidRPr="00A84DEF" w:rsidRDefault="009F3E17" w:rsidP="00A84DEF">
      <w:pPr>
        <w:rPr>
          <w:rFonts w:asciiTheme="minorHAnsi" w:eastAsiaTheme="minorHAnsi" w:hAnsiTheme="minorHAnsi" w:cstheme="minorHAnsi"/>
        </w:rPr>
      </w:pPr>
      <w:r w:rsidRPr="00A84DEF">
        <w:rPr>
          <w:rFonts w:asciiTheme="minorHAnsi" w:eastAsiaTheme="minorHAnsi" w:hAnsiTheme="minorHAnsi" w:cstheme="minorHAnsi"/>
        </w:rPr>
        <w:t>W przypadku podłoża, ktore stanowi izolacja przeciwwodna na obiektach mostowych, należy postępować według wskazań producenta lub zapisow w normach albo aprobatach technicznych.</w:t>
      </w:r>
    </w:p>
    <w:p w14:paraId="73E57D69" w14:textId="77777777" w:rsidR="009F3E17" w:rsidRPr="00A84DEF" w:rsidRDefault="009F3E17" w:rsidP="00A84DEF">
      <w:pPr>
        <w:rPr>
          <w:rFonts w:asciiTheme="minorHAnsi" w:eastAsiaTheme="minorHAnsi" w:hAnsiTheme="minorHAnsi" w:cstheme="minorHAnsi"/>
          <w:b/>
          <w:bCs/>
        </w:rPr>
      </w:pPr>
      <w:r w:rsidRPr="00A84DEF">
        <w:rPr>
          <w:rFonts w:asciiTheme="minorHAnsi" w:eastAsiaTheme="minorHAnsi" w:hAnsiTheme="minorHAnsi" w:cstheme="minorHAnsi"/>
          <w:b/>
          <w:bCs/>
        </w:rPr>
        <w:t>5.2.3.4. Wykonanie skropienia</w:t>
      </w:r>
    </w:p>
    <w:p w14:paraId="460927AB" w14:textId="77777777" w:rsidR="009F3E17" w:rsidRPr="00A84DEF" w:rsidRDefault="009F3E17" w:rsidP="00A84DEF">
      <w:pPr>
        <w:rPr>
          <w:rFonts w:asciiTheme="minorHAnsi" w:eastAsiaTheme="minorHAnsi" w:hAnsiTheme="minorHAnsi" w:cstheme="minorHAnsi"/>
        </w:rPr>
      </w:pPr>
      <w:r w:rsidRPr="00A84DEF">
        <w:rPr>
          <w:rFonts w:asciiTheme="minorHAnsi" w:eastAsiaTheme="minorHAnsi" w:hAnsiTheme="minorHAnsi" w:cstheme="minorHAnsi"/>
        </w:rPr>
        <w:t>Temperatura podłoża w czasie skrapiania powinna wynosić nie mniej niż +0°C. Nie dopuszcza się wykonywania skrapiania podczas opadow atmosferycznych lub tuż przed spodziewanymi opadami. Czasookres skropienia należy tak zaplanować, aby nie wystąpiły opady atmosferyczne wcześniej niż po całkowitym rozpadzie emulsji.</w:t>
      </w:r>
    </w:p>
    <w:p w14:paraId="6843B524" w14:textId="77777777" w:rsidR="009F3E17" w:rsidRPr="00A84DEF" w:rsidRDefault="009F3E17" w:rsidP="00A84DEF">
      <w:pPr>
        <w:rPr>
          <w:rFonts w:asciiTheme="minorHAnsi" w:eastAsiaTheme="minorHAnsi" w:hAnsiTheme="minorHAnsi" w:cstheme="minorHAnsi"/>
        </w:rPr>
      </w:pPr>
      <w:r w:rsidRPr="00A84DEF">
        <w:rPr>
          <w:rFonts w:asciiTheme="minorHAnsi" w:eastAsiaTheme="minorHAnsi" w:hAnsiTheme="minorHAnsi" w:cstheme="minorHAnsi"/>
        </w:rPr>
        <w:t xml:space="preserve">Skrapiarka powinna zapewniać rozkładanie lepiszcza z tolerancją ±10 % w stosunku do ilości założonej. </w:t>
      </w:r>
    </w:p>
    <w:p w14:paraId="0889271C" w14:textId="77777777" w:rsidR="009F3E17" w:rsidRPr="00A84DEF" w:rsidRDefault="009F3E17" w:rsidP="00A84DEF">
      <w:pPr>
        <w:rPr>
          <w:rFonts w:asciiTheme="minorHAnsi" w:eastAsiaTheme="minorHAnsi" w:hAnsiTheme="minorHAnsi" w:cstheme="minorHAnsi"/>
        </w:rPr>
      </w:pPr>
      <w:r w:rsidRPr="00A84DEF">
        <w:rPr>
          <w:rFonts w:asciiTheme="minorHAnsi" w:eastAsiaTheme="minorHAnsi" w:hAnsiTheme="minorHAnsi" w:cstheme="minorHAnsi"/>
        </w:rPr>
        <w:t>Skrapianie należy wykonywać rownomiernie na całej powierzchni przeznaczonej do skropienia, przy użyciu skrapiarek samochodowych, ewentualnie ciągnionych - wyposażonych w rampy spryskujące oraz automatyczne systemy kontroli wydatku skropienia. Dopuszcza się skrapianie ręczne lancą tylko w miejscach trudno dostępnych (np. ścieki uliczne) oraz przy urządzeniach usytuowanych w nawierzchni lub ją ograniczających. Skropione podłoże należy wyłączyć z ruchu publicznego i technologicznego przez zmianę organizacji ruchu lub odpowiednią ochronę skropienia przez pokrycie specjalną warstwą osłonową (patrz pkt 7.3.4). Przed rozpoczęciem skrapiania należy strefy przyległe do skrapianych powierzchni jak np.: krawężniki, ścieki, wpusty itp. odpowiednio osłonić, zabezpieczając przed zabrudzeniem lub zalaniem emulsją.</w:t>
      </w:r>
    </w:p>
    <w:p w14:paraId="10AE0869" w14:textId="77777777" w:rsidR="009F3E17" w:rsidRPr="00A84DEF" w:rsidRDefault="009F3E17" w:rsidP="00A84DEF">
      <w:pPr>
        <w:rPr>
          <w:rFonts w:asciiTheme="minorHAnsi" w:eastAsiaTheme="minorHAnsi" w:hAnsiTheme="minorHAnsi" w:cstheme="minorHAnsi"/>
        </w:rPr>
      </w:pPr>
      <w:r w:rsidRPr="00A84DEF">
        <w:rPr>
          <w:rFonts w:asciiTheme="minorHAnsi" w:eastAsiaTheme="minorHAnsi" w:hAnsiTheme="minorHAnsi" w:cstheme="minorHAnsi"/>
        </w:rPr>
        <w:t>Podłoże powinno być skropione z odpowiednim wyprzedzeniem przed układaniem następnej warstwy asfaltowej w celu rozpadu emulsji z wydzieleniem asfaltu i odparowania wody. O rozpadzie emulsji świadczy zmiana koloru skropionej powierzchni z brązowego na czarny.</w:t>
      </w:r>
    </w:p>
    <w:p w14:paraId="7F855033" w14:textId="77777777" w:rsidR="009F3E17" w:rsidRPr="00A84DEF" w:rsidRDefault="009F3E17" w:rsidP="00A84DEF">
      <w:pPr>
        <w:rPr>
          <w:rFonts w:asciiTheme="minorHAnsi" w:eastAsiaTheme="minorHAnsi" w:hAnsiTheme="minorHAnsi" w:cstheme="minorHAnsi"/>
        </w:rPr>
      </w:pPr>
      <w:r w:rsidRPr="00A84DEF">
        <w:rPr>
          <w:rFonts w:asciiTheme="minorHAnsi" w:eastAsiaTheme="minorHAnsi" w:hAnsiTheme="minorHAnsi" w:cstheme="minorHAnsi"/>
        </w:rPr>
        <w:t>Przed wykonaniem następnego zabiegu technologicznego należy odczekać minimum 30 minut od momentu zmiany koloru pokrytej lepiszczem warstwy na czarny. Temperatura emulsji asfaltowej podczas wykonywania skropienia podłoża musi mieścić się w granicach podanych w tabeli 1.</w:t>
      </w:r>
    </w:p>
    <w:p w14:paraId="3C9CC89D" w14:textId="77777777" w:rsidR="009F3E17" w:rsidRPr="00A84DEF" w:rsidRDefault="009F3E17" w:rsidP="00A84DEF">
      <w:pPr>
        <w:rPr>
          <w:rFonts w:asciiTheme="minorHAnsi" w:eastAsiaTheme="minorHAnsi" w:hAnsiTheme="minorHAnsi" w:cstheme="minorHAnsi"/>
          <w:b/>
          <w:bCs/>
        </w:rPr>
      </w:pPr>
    </w:p>
    <w:p w14:paraId="65C90580" w14:textId="77777777" w:rsidR="009F3E17" w:rsidRPr="00A84DEF" w:rsidRDefault="009F3E17" w:rsidP="00A84DEF">
      <w:pPr>
        <w:rPr>
          <w:rFonts w:asciiTheme="minorHAnsi" w:eastAsiaTheme="minorHAnsi" w:hAnsiTheme="minorHAnsi" w:cstheme="minorHAnsi"/>
          <w:bCs/>
        </w:rPr>
      </w:pPr>
      <w:r w:rsidRPr="00A84DEF">
        <w:rPr>
          <w:rFonts w:asciiTheme="minorHAnsi" w:eastAsiaTheme="minorHAnsi" w:hAnsiTheme="minorHAnsi" w:cstheme="minorHAnsi"/>
          <w:bCs/>
        </w:rPr>
        <w:t>Tabela 1. Temperatura użycia emulsji asfaltowych</w:t>
      </w:r>
    </w:p>
    <w:tbl>
      <w:tblPr>
        <w:tblStyle w:val="Tabela-Siatka"/>
        <w:tblW w:w="0" w:type="auto"/>
        <w:tblLook w:val="04A0" w:firstRow="1" w:lastRow="0" w:firstColumn="1" w:lastColumn="0" w:noHBand="0" w:noVBand="1"/>
      </w:tblPr>
      <w:tblGrid>
        <w:gridCol w:w="6370"/>
        <w:gridCol w:w="1261"/>
        <w:gridCol w:w="1424"/>
      </w:tblGrid>
      <w:tr w:rsidR="009F3E17" w:rsidRPr="00A84DEF" w14:paraId="1E3F4EDA" w14:textId="77777777" w:rsidTr="00EA573C">
        <w:tc>
          <w:tcPr>
            <w:tcW w:w="6487" w:type="dxa"/>
            <w:vMerge w:val="restart"/>
          </w:tcPr>
          <w:p w14:paraId="6BE4F0DD" w14:textId="77777777" w:rsidR="009F3E17" w:rsidRPr="00A84DEF" w:rsidRDefault="009F3E17" w:rsidP="00A84DEF">
            <w:pPr>
              <w:jc w:val="center"/>
              <w:rPr>
                <w:rFonts w:asciiTheme="minorHAnsi" w:eastAsiaTheme="minorHAnsi" w:hAnsiTheme="minorHAnsi" w:cstheme="minorHAnsi"/>
              </w:rPr>
            </w:pPr>
            <w:r w:rsidRPr="00A84DEF">
              <w:rPr>
                <w:rFonts w:asciiTheme="minorHAnsi" w:eastAsiaTheme="minorHAnsi" w:hAnsiTheme="minorHAnsi" w:cstheme="minorHAnsi"/>
              </w:rPr>
              <w:t>Rodzaj lepiszcza</w:t>
            </w:r>
          </w:p>
        </w:tc>
        <w:tc>
          <w:tcPr>
            <w:tcW w:w="2719" w:type="dxa"/>
            <w:gridSpan w:val="2"/>
          </w:tcPr>
          <w:p w14:paraId="48F947AB" w14:textId="77777777" w:rsidR="009F3E17" w:rsidRPr="00A84DEF" w:rsidRDefault="009F3E17" w:rsidP="00A84DEF">
            <w:pPr>
              <w:jc w:val="center"/>
              <w:rPr>
                <w:rFonts w:asciiTheme="minorHAnsi" w:eastAsiaTheme="minorHAnsi" w:hAnsiTheme="minorHAnsi" w:cstheme="minorHAnsi"/>
              </w:rPr>
            </w:pPr>
            <w:r w:rsidRPr="00A84DEF">
              <w:rPr>
                <w:rFonts w:asciiTheme="minorHAnsi" w:eastAsiaTheme="minorHAnsi" w:hAnsiTheme="minorHAnsi" w:cstheme="minorHAnsi"/>
              </w:rPr>
              <w:t>temperatura użycia [°C]</w:t>
            </w:r>
          </w:p>
        </w:tc>
      </w:tr>
      <w:tr w:rsidR="009F3E17" w:rsidRPr="00A84DEF" w14:paraId="5B6C821C" w14:textId="77777777" w:rsidTr="00EA573C">
        <w:tc>
          <w:tcPr>
            <w:tcW w:w="6487" w:type="dxa"/>
            <w:vMerge/>
          </w:tcPr>
          <w:p w14:paraId="7DC0D1F7" w14:textId="77777777" w:rsidR="009F3E17" w:rsidRPr="00A84DEF" w:rsidRDefault="009F3E17" w:rsidP="00A84DEF">
            <w:pPr>
              <w:jc w:val="center"/>
              <w:rPr>
                <w:rFonts w:asciiTheme="minorHAnsi" w:eastAsiaTheme="minorHAnsi" w:hAnsiTheme="minorHAnsi" w:cstheme="minorHAnsi"/>
              </w:rPr>
            </w:pPr>
          </w:p>
        </w:tc>
        <w:tc>
          <w:tcPr>
            <w:tcW w:w="1276" w:type="dxa"/>
          </w:tcPr>
          <w:p w14:paraId="6943E996" w14:textId="77777777" w:rsidR="009F3E17" w:rsidRPr="00A84DEF" w:rsidRDefault="009F3E17" w:rsidP="00A84DEF">
            <w:pPr>
              <w:jc w:val="center"/>
              <w:rPr>
                <w:rFonts w:asciiTheme="minorHAnsi" w:eastAsiaTheme="minorHAnsi" w:hAnsiTheme="minorHAnsi" w:cstheme="minorHAnsi"/>
              </w:rPr>
            </w:pPr>
            <w:r w:rsidRPr="00A84DEF">
              <w:rPr>
                <w:rFonts w:asciiTheme="minorHAnsi" w:eastAsiaTheme="minorHAnsi" w:hAnsiTheme="minorHAnsi" w:cstheme="minorHAnsi"/>
              </w:rPr>
              <w:t>min</w:t>
            </w:r>
          </w:p>
        </w:tc>
        <w:tc>
          <w:tcPr>
            <w:tcW w:w="1443" w:type="dxa"/>
          </w:tcPr>
          <w:p w14:paraId="6D651F3E" w14:textId="77777777" w:rsidR="009F3E17" w:rsidRPr="00A84DEF" w:rsidRDefault="009F3E17" w:rsidP="00A84DEF">
            <w:pPr>
              <w:jc w:val="center"/>
              <w:rPr>
                <w:rFonts w:asciiTheme="minorHAnsi" w:eastAsiaTheme="minorHAnsi" w:hAnsiTheme="minorHAnsi" w:cstheme="minorHAnsi"/>
              </w:rPr>
            </w:pPr>
            <w:r w:rsidRPr="00A84DEF">
              <w:rPr>
                <w:rFonts w:asciiTheme="minorHAnsi" w:eastAsiaTheme="minorHAnsi" w:hAnsiTheme="minorHAnsi" w:cstheme="minorHAnsi"/>
              </w:rPr>
              <w:t>max</w:t>
            </w:r>
          </w:p>
        </w:tc>
      </w:tr>
      <w:tr w:rsidR="009F3E17" w:rsidRPr="00A84DEF" w14:paraId="71DD3318" w14:textId="77777777" w:rsidTr="00EA573C">
        <w:tc>
          <w:tcPr>
            <w:tcW w:w="6487" w:type="dxa"/>
          </w:tcPr>
          <w:p w14:paraId="6CC85E49" w14:textId="77777777" w:rsidR="009F3E17" w:rsidRPr="00A84DEF" w:rsidRDefault="009F3E17" w:rsidP="00A84DEF">
            <w:pPr>
              <w:rPr>
                <w:rFonts w:asciiTheme="minorHAnsi" w:eastAsiaTheme="minorHAnsi" w:hAnsiTheme="minorHAnsi" w:cstheme="minorHAnsi"/>
              </w:rPr>
            </w:pPr>
            <w:r w:rsidRPr="00A84DEF">
              <w:rPr>
                <w:rFonts w:asciiTheme="minorHAnsi" w:eastAsiaTheme="minorHAnsi" w:hAnsiTheme="minorHAnsi" w:cstheme="minorHAnsi"/>
              </w:rPr>
              <w:t>Emulsja asfaltowa</w:t>
            </w:r>
          </w:p>
        </w:tc>
        <w:tc>
          <w:tcPr>
            <w:tcW w:w="1276" w:type="dxa"/>
          </w:tcPr>
          <w:p w14:paraId="5DD608DC" w14:textId="77777777" w:rsidR="009F3E17" w:rsidRPr="00A84DEF" w:rsidRDefault="009F3E17" w:rsidP="00A84DEF">
            <w:pPr>
              <w:jc w:val="center"/>
              <w:rPr>
                <w:rFonts w:asciiTheme="minorHAnsi" w:eastAsiaTheme="minorHAnsi" w:hAnsiTheme="minorHAnsi" w:cstheme="minorHAnsi"/>
              </w:rPr>
            </w:pPr>
            <w:r w:rsidRPr="00A84DEF">
              <w:rPr>
                <w:rFonts w:asciiTheme="minorHAnsi" w:eastAsiaTheme="minorHAnsi" w:hAnsiTheme="minorHAnsi" w:cstheme="minorHAnsi"/>
              </w:rPr>
              <w:t>50</w:t>
            </w:r>
          </w:p>
        </w:tc>
        <w:tc>
          <w:tcPr>
            <w:tcW w:w="1443" w:type="dxa"/>
          </w:tcPr>
          <w:p w14:paraId="771EC0F3" w14:textId="77777777" w:rsidR="009F3E17" w:rsidRPr="00A84DEF" w:rsidRDefault="009F3E17" w:rsidP="00A84DEF">
            <w:pPr>
              <w:jc w:val="center"/>
              <w:rPr>
                <w:rFonts w:asciiTheme="minorHAnsi" w:eastAsiaTheme="minorHAnsi" w:hAnsiTheme="minorHAnsi" w:cstheme="minorHAnsi"/>
              </w:rPr>
            </w:pPr>
            <w:r w:rsidRPr="00A84DEF">
              <w:rPr>
                <w:rFonts w:asciiTheme="minorHAnsi" w:eastAsiaTheme="minorHAnsi" w:hAnsiTheme="minorHAnsi" w:cstheme="minorHAnsi"/>
              </w:rPr>
              <w:t>85</w:t>
            </w:r>
          </w:p>
        </w:tc>
      </w:tr>
      <w:tr w:rsidR="009F3E17" w:rsidRPr="00A84DEF" w14:paraId="15FB43D9" w14:textId="77777777" w:rsidTr="00EA573C">
        <w:tc>
          <w:tcPr>
            <w:tcW w:w="6487" w:type="dxa"/>
          </w:tcPr>
          <w:p w14:paraId="4DFE13A2" w14:textId="77777777" w:rsidR="009F3E17" w:rsidRPr="00A84DEF" w:rsidRDefault="009F3E17" w:rsidP="00A84DEF">
            <w:pPr>
              <w:rPr>
                <w:rFonts w:asciiTheme="minorHAnsi" w:eastAsiaTheme="minorHAnsi" w:hAnsiTheme="minorHAnsi" w:cstheme="minorHAnsi"/>
              </w:rPr>
            </w:pPr>
            <w:r w:rsidRPr="00A84DEF">
              <w:rPr>
                <w:rFonts w:asciiTheme="minorHAnsi" w:eastAsiaTheme="minorHAnsi" w:hAnsiTheme="minorHAnsi" w:cstheme="minorHAnsi"/>
              </w:rPr>
              <w:t>Emulsja asfaltowa modyfikowana polimerem</w:t>
            </w:r>
          </w:p>
        </w:tc>
        <w:tc>
          <w:tcPr>
            <w:tcW w:w="1276" w:type="dxa"/>
          </w:tcPr>
          <w:p w14:paraId="274407B1" w14:textId="77777777" w:rsidR="009F3E17" w:rsidRPr="00A84DEF" w:rsidRDefault="009F3E17" w:rsidP="00A84DEF">
            <w:pPr>
              <w:jc w:val="center"/>
              <w:rPr>
                <w:rFonts w:asciiTheme="minorHAnsi" w:eastAsiaTheme="minorHAnsi" w:hAnsiTheme="minorHAnsi" w:cstheme="minorHAnsi"/>
              </w:rPr>
            </w:pPr>
            <w:r w:rsidRPr="00A84DEF">
              <w:rPr>
                <w:rFonts w:asciiTheme="minorHAnsi" w:eastAsiaTheme="minorHAnsi" w:hAnsiTheme="minorHAnsi" w:cstheme="minorHAnsi"/>
              </w:rPr>
              <w:t>60</w:t>
            </w:r>
          </w:p>
        </w:tc>
        <w:tc>
          <w:tcPr>
            <w:tcW w:w="1443" w:type="dxa"/>
          </w:tcPr>
          <w:p w14:paraId="77E7E2F8" w14:textId="77777777" w:rsidR="009F3E17" w:rsidRPr="00A84DEF" w:rsidRDefault="009F3E17" w:rsidP="00A84DEF">
            <w:pPr>
              <w:jc w:val="center"/>
              <w:rPr>
                <w:rFonts w:asciiTheme="minorHAnsi" w:eastAsiaTheme="minorHAnsi" w:hAnsiTheme="minorHAnsi" w:cstheme="minorHAnsi"/>
              </w:rPr>
            </w:pPr>
            <w:r w:rsidRPr="00A84DEF">
              <w:rPr>
                <w:rFonts w:asciiTheme="minorHAnsi" w:eastAsiaTheme="minorHAnsi" w:hAnsiTheme="minorHAnsi" w:cstheme="minorHAnsi"/>
              </w:rPr>
              <w:t>85</w:t>
            </w:r>
          </w:p>
        </w:tc>
      </w:tr>
    </w:tbl>
    <w:p w14:paraId="6366AA21" w14:textId="77777777" w:rsidR="009F3E17" w:rsidRPr="00A84DEF" w:rsidRDefault="009F3E17" w:rsidP="00A84DEF">
      <w:pPr>
        <w:rPr>
          <w:rFonts w:asciiTheme="minorHAnsi" w:eastAsiaTheme="minorHAnsi" w:hAnsiTheme="minorHAnsi" w:cstheme="minorHAnsi"/>
          <w:b/>
          <w:bCs/>
        </w:rPr>
      </w:pPr>
      <w:r w:rsidRPr="00A84DEF">
        <w:rPr>
          <w:rFonts w:asciiTheme="minorHAnsi" w:eastAsiaTheme="minorHAnsi" w:hAnsiTheme="minorHAnsi" w:cstheme="minorHAnsi"/>
          <w:b/>
          <w:bCs/>
        </w:rPr>
        <w:t>5.2.3.5. Skropienie warstwy z mieszanki mineralno-asfaltowej</w:t>
      </w:r>
    </w:p>
    <w:p w14:paraId="7499AD12" w14:textId="77777777" w:rsidR="009F3E17" w:rsidRPr="00A84DEF" w:rsidRDefault="009F3E17" w:rsidP="00A84DEF">
      <w:pPr>
        <w:rPr>
          <w:rFonts w:asciiTheme="minorHAnsi" w:eastAsiaTheme="minorHAnsi" w:hAnsiTheme="minorHAnsi" w:cstheme="minorHAnsi"/>
        </w:rPr>
      </w:pPr>
      <w:r w:rsidRPr="00A84DEF">
        <w:rPr>
          <w:rFonts w:asciiTheme="minorHAnsi" w:eastAsiaTheme="minorHAnsi" w:hAnsiTheme="minorHAnsi" w:cstheme="minorHAnsi"/>
        </w:rPr>
        <w:t>Skropienie lepiszczem powinno być wykonane w ilości podanej w tabeli 2. Kontrolę ilości lepiszcza do skropienia należy dokonać według PN-EN 12272-1.</w:t>
      </w:r>
    </w:p>
    <w:p w14:paraId="469179C2" w14:textId="77777777" w:rsidR="009F3E17" w:rsidRPr="00A84DEF" w:rsidRDefault="009F3E17" w:rsidP="00A84DEF">
      <w:pPr>
        <w:rPr>
          <w:rFonts w:asciiTheme="minorHAnsi" w:eastAsiaTheme="minorHAnsi" w:hAnsiTheme="minorHAnsi" w:cstheme="minorHAnsi"/>
          <w:b/>
          <w:bCs/>
        </w:rPr>
      </w:pPr>
    </w:p>
    <w:p w14:paraId="55F8E8CF" w14:textId="77777777" w:rsidR="009F3E17" w:rsidRPr="00A84DEF" w:rsidRDefault="009F3E17" w:rsidP="00A84DEF">
      <w:pPr>
        <w:rPr>
          <w:rFonts w:asciiTheme="minorHAnsi" w:eastAsiaTheme="minorHAnsi" w:hAnsiTheme="minorHAnsi" w:cstheme="minorHAnsi"/>
        </w:rPr>
      </w:pPr>
      <w:r w:rsidRPr="00A84DEF">
        <w:rPr>
          <w:rFonts w:asciiTheme="minorHAnsi" w:eastAsiaTheme="minorHAnsi" w:hAnsiTheme="minorHAnsi" w:cstheme="minorHAnsi"/>
          <w:bCs/>
        </w:rPr>
        <w:t xml:space="preserve">Tabela 2. Zalecane ilości emulsji asfaltowej do skropienia podłoża z mieszanki mineralno-asfaltowej [kg/m2] </w:t>
      </w:r>
      <w:r w:rsidRPr="00A84DEF">
        <w:rPr>
          <w:rFonts w:asciiTheme="minorHAnsi" w:eastAsiaTheme="minorHAnsi" w:hAnsiTheme="minorHAnsi" w:cstheme="minorHAnsi"/>
        </w:rPr>
        <w:t>(uwaga - przyjęto dla emulsji kationowej o zawartości asfaltu 60% wg PN-EN 13808:2013 Załącznik Krajowy NA,</w:t>
      </w:r>
    </w:p>
    <w:p w14:paraId="4908252A" w14:textId="77777777" w:rsidR="009F3E17" w:rsidRPr="00A84DEF" w:rsidRDefault="009F3E17" w:rsidP="00A84DEF">
      <w:pPr>
        <w:rPr>
          <w:rFonts w:asciiTheme="minorHAnsi" w:eastAsiaTheme="minorHAnsi" w:hAnsiTheme="minorHAnsi" w:cstheme="minorHAnsi"/>
        </w:rPr>
      </w:pPr>
      <w:r w:rsidRPr="00A84DEF">
        <w:rPr>
          <w:rFonts w:asciiTheme="minorHAnsi" w:eastAsiaTheme="minorHAnsi" w:hAnsiTheme="minorHAnsi" w:cstheme="minorHAnsi"/>
        </w:rPr>
        <w:t>rodzaje: C60B3 ZM, C60BP3 ZM)</w:t>
      </w:r>
    </w:p>
    <w:p w14:paraId="58869F89" w14:textId="77777777" w:rsidR="009F3E17" w:rsidRPr="00A84DEF" w:rsidRDefault="009F3E17" w:rsidP="00A84DEF">
      <w:pPr>
        <w:rPr>
          <w:rFonts w:asciiTheme="minorHAnsi" w:eastAsiaTheme="minorHAnsi" w:hAnsiTheme="minorHAnsi" w:cstheme="minorHAnsi"/>
        </w:rPr>
      </w:pPr>
    </w:p>
    <w:tbl>
      <w:tblPr>
        <w:tblStyle w:val="Tabela-Siatka"/>
        <w:tblW w:w="0" w:type="auto"/>
        <w:tblLook w:val="04A0" w:firstRow="1" w:lastRow="0" w:firstColumn="1" w:lastColumn="0" w:noHBand="0" w:noVBand="1"/>
      </w:tblPr>
      <w:tblGrid>
        <w:gridCol w:w="1818"/>
        <w:gridCol w:w="1818"/>
        <w:gridCol w:w="1814"/>
        <w:gridCol w:w="1800"/>
        <w:gridCol w:w="1805"/>
      </w:tblGrid>
      <w:tr w:rsidR="009F3E17" w:rsidRPr="00A84DEF" w14:paraId="7762E8C0" w14:textId="77777777" w:rsidTr="00EA573C">
        <w:tc>
          <w:tcPr>
            <w:tcW w:w="3682" w:type="dxa"/>
            <w:gridSpan w:val="2"/>
          </w:tcPr>
          <w:p w14:paraId="3FA33E76" w14:textId="77777777" w:rsidR="009F3E17" w:rsidRPr="00A84DEF" w:rsidRDefault="009F3E17" w:rsidP="00A84DEF">
            <w:pPr>
              <w:jc w:val="center"/>
              <w:rPr>
                <w:rFonts w:asciiTheme="minorHAnsi" w:eastAsiaTheme="minorHAnsi" w:hAnsiTheme="minorHAnsi" w:cstheme="minorHAnsi"/>
              </w:rPr>
            </w:pPr>
            <w:r w:rsidRPr="00A84DEF">
              <w:rPr>
                <w:rFonts w:asciiTheme="minorHAnsi" w:eastAsiaTheme="minorHAnsi" w:hAnsiTheme="minorHAnsi" w:cstheme="minorHAnsi"/>
              </w:rPr>
              <w:t>Podłoże pod układaną warstwę</w:t>
            </w:r>
          </w:p>
          <w:p w14:paraId="749FF9B9" w14:textId="77777777" w:rsidR="009F3E17" w:rsidRPr="00A84DEF" w:rsidRDefault="009F3E17" w:rsidP="00A84DEF">
            <w:pPr>
              <w:jc w:val="center"/>
              <w:rPr>
                <w:rFonts w:asciiTheme="minorHAnsi" w:eastAsiaTheme="minorHAnsi" w:hAnsiTheme="minorHAnsi" w:cstheme="minorHAnsi"/>
              </w:rPr>
            </w:pPr>
            <w:r w:rsidRPr="00A84DEF">
              <w:rPr>
                <w:rFonts w:asciiTheme="minorHAnsi" w:eastAsiaTheme="minorHAnsi" w:hAnsiTheme="minorHAnsi" w:cstheme="minorHAnsi"/>
              </w:rPr>
              <w:t>asfaltową</w:t>
            </w:r>
          </w:p>
        </w:tc>
        <w:tc>
          <w:tcPr>
            <w:tcW w:w="5524" w:type="dxa"/>
            <w:gridSpan w:val="3"/>
          </w:tcPr>
          <w:p w14:paraId="383C2BA3" w14:textId="77777777" w:rsidR="009F3E17" w:rsidRPr="00A84DEF" w:rsidRDefault="009F3E17" w:rsidP="00A84DEF">
            <w:pPr>
              <w:jc w:val="center"/>
              <w:rPr>
                <w:rFonts w:asciiTheme="minorHAnsi" w:eastAsiaTheme="minorHAnsi" w:hAnsiTheme="minorHAnsi" w:cstheme="minorHAnsi"/>
              </w:rPr>
            </w:pPr>
            <w:r w:rsidRPr="00A84DEF">
              <w:rPr>
                <w:rFonts w:asciiTheme="minorHAnsi" w:eastAsiaTheme="minorHAnsi" w:hAnsiTheme="minorHAnsi" w:cstheme="minorHAnsi"/>
              </w:rPr>
              <w:t>Układana warstwa</w:t>
            </w:r>
          </w:p>
        </w:tc>
      </w:tr>
      <w:tr w:rsidR="009F3E17" w:rsidRPr="00A84DEF" w14:paraId="3C4C0C35" w14:textId="77777777" w:rsidTr="00EA573C">
        <w:tc>
          <w:tcPr>
            <w:tcW w:w="1841" w:type="dxa"/>
          </w:tcPr>
          <w:p w14:paraId="2887F41B" w14:textId="77777777" w:rsidR="009F3E17" w:rsidRPr="00A84DEF" w:rsidRDefault="009F3E17" w:rsidP="00A84DEF">
            <w:pPr>
              <w:rPr>
                <w:rFonts w:asciiTheme="minorHAnsi" w:eastAsiaTheme="minorHAnsi" w:hAnsiTheme="minorHAnsi" w:cstheme="minorHAnsi"/>
              </w:rPr>
            </w:pPr>
            <w:r w:rsidRPr="00A84DEF">
              <w:rPr>
                <w:rFonts w:asciiTheme="minorHAnsi" w:eastAsiaTheme="minorHAnsi" w:hAnsiTheme="minorHAnsi" w:cstheme="minorHAnsi"/>
              </w:rPr>
              <w:t>rodzaj</w:t>
            </w:r>
          </w:p>
        </w:tc>
        <w:tc>
          <w:tcPr>
            <w:tcW w:w="1841" w:type="dxa"/>
          </w:tcPr>
          <w:p w14:paraId="02AC6815" w14:textId="77777777" w:rsidR="009F3E17" w:rsidRPr="00A84DEF" w:rsidRDefault="009F3E17" w:rsidP="00A84DEF">
            <w:pPr>
              <w:jc w:val="center"/>
              <w:rPr>
                <w:rFonts w:asciiTheme="minorHAnsi" w:eastAsiaTheme="minorHAnsi" w:hAnsiTheme="minorHAnsi" w:cstheme="minorHAnsi"/>
              </w:rPr>
            </w:pPr>
            <w:r w:rsidRPr="00A84DEF">
              <w:rPr>
                <w:rFonts w:asciiTheme="minorHAnsi" w:eastAsiaTheme="minorHAnsi" w:hAnsiTheme="minorHAnsi" w:cstheme="minorHAnsi"/>
              </w:rPr>
              <w:t>cecha</w:t>
            </w:r>
          </w:p>
        </w:tc>
        <w:tc>
          <w:tcPr>
            <w:tcW w:w="1841" w:type="dxa"/>
          </w:tcPr>
          <w:p w14:paraId="2B21B0EB" w14:textId="77777777" w:rsidR="009F3E17" w:rsidRPr="00A84DEF" w:rsidRDefault="009F3E17" w:rsidP="00A84DEF">
            <w:pPr>
              <w:jc w:val="center"/>
              <w:rPr>
                <w:rFonts w:asciiTheme="minorHAnsi" w:eastAsiaTheme="minorHAnsi" w:hAnsiTheme="minorHAnsi" w:cstheme="minorHAnsi"/>
              </w:rPr>
            </w:pPr>
            <w:r w:rsidRPr="00A84DEF">
              <w:rPr>
                <w:rFonts w:asciiTheme="minorHAnsi" w:eastAsiaTheme="minorHAnsi" w:hAnsiTheme="minorHAnsi" w:cstheme="minorHAnsi"/>
              </w:rPr>
              <w:t>Podbudowa asfaltowa</w:t>
            </w:r>
          </w:p>
        </w:tc>
        <w:tc>
          <w:tcPr>
            <w:tcW w:w="1841" w:type="dxa"/>
          </w:tcPr>
          <w:p w14:paraId="468CDF32" w14:textId="77777777" w:rsidR="009F3E17" w:rsidRPr="00A84DEF" w:rsidRDefault="009F3E17" w:rsidP="00A84DEF">
            <w:pPr>
              <w:jc w:val="center"/>
              <w:rPr>
                <w:rFonts w:asciiTheme="minorHAnsi" w:eastAsiaTheme="minorHAnsi" w:hAnsiTheme="minorHAnsi" w:cstheme="minorHAnsi"/>
              </w:rPr>
            </w:pPr>
            <w:r w:rsidRPr="00A84DEF">
              <w:rPr>
                <w:rFonts w:asciiTheme="minorHAnsi" w:eastAsiaTheme="minorHAnsi" w:hAnsiTheme="minorHAnsi" w:cstheme="minorHAnsi"/>
              </w:rPr>
              <w:t>wiążąca</w:t>
            </w:r>
          </w:p>
        </w:tc>
        <w:tc>
          <w:tcPr>
            <w:tcW w:w="1842" w:type="dxa"/>
          </w:tcPr>
          <w:p w14:paraId="255B5802" w14:textId="77777777" w:rsidR="009F3E17" w:rsidRPr="00A84DEF" w:rsidRDefault="009F3E17" w:rsidP="00A84DEF">
            <w:pPr>
              <w:jc w:val="center"/>
              <w:rPr>
                <w:rFonts w:asciiTheme="minorHAnsi" w:eastAsiaTheme="minorHAnsi" w:hAnsiTheme="minorHAnsi" w:cstheme="minorHAnsi"/>
              </w:rPr>
            </w:pPr>
            <w:r w:rsidRPr="00A84DEF">
              <w:rPr>
                <w:rFonts w:asciiTheme="minorHAnsi" w:eastAsiaTheme="minorHAnsi" w:hAnsiTheme="minorHAnsi" w:cstheme="minorHAnsi"/>
              </w:rPr>
              <w:t>Ścieralna z SMA lub AC</w:t>
            </w:r>
          </w:p>
        </w:tc>
      </w:tr>
      <w:tr w:rsidR="009F3E17" w:rsidRPr="00A84DEF" w14:paraId="79F54281" w14:textId="77777777" w:rsidTr="00EA573C">
        <w:tc>
          <w:tcPr>
            <w:tcW w:w="9206" w:type="dxa"/>
            <w:gridSpan w:val="5"/>
          </w:tcPr>
          <w:p w14:paraId="4C7D3208" w14:textId="77777777" w:rsidR="009F3E17" w:rsidRPr="00A84DEF" w:rsidRDefault="009F3E17" w:rsidP="00A84DEF">
            <w:pPr>
              <w:jc w:val="center"/>
              <w:rPr>
                <w:rFonts w:asciiTheme="minorHAnsi" w:eastAsiaTheme="minorHAnsi" w:hAnsiTheme="minorHAnsi" w:cstheme="minorHAnsi"/>
                <w:i/>
              </w:rPr>
            </w:pPr>
            <w:r w:rsidRPr="00A84DEF">
              <w:rPr>
                <w:rFonts w:asciiTheme="minorHAnsi" w:eastAsiaTheme="minorHAnsi" w:hAnsiTheme="minorHAnsi" w:cstheme="minorHAnsi"/>
                <w:i/>
              </w:rPr>
              <w:t>Dla dróg o kategorii ruchu KR3 – KR7 – rodzaj emulsji C60BP3 ZM*</w:t>
            </w:r>
          </w:p>
        </w:tc>
      </w:tr>
      <w:tr w:rsidR="009F3E17" w:rsidRPr="00A84DEF" w14:paraId="78D64083" w14:textId="77777777" w:rsidTr="00EA573C">
        <w:tc>
          <w:tcPr>
            <w:tcW w:w="1841" w:type="dxa"/>
            <w:vMerge w:val="restart"/>
          </w:tcPr>
          <w:p w14:paraId="51055AC1" w14:textId="77777777" w:rsidR="009F3E17" w:rsidRPr="00A84DEF" w:rsidRDefault="009F3E17" w:rsidP="00A84DEF">
            <w:pPr>
              <w:rPr>
                <w:rFonts w:asciiTheme="minorHAnsi" w:eastAsiaTheme="minorHAnsi" w:hAnsiTheme="minorHAnsi" w:cstheme="minorHAnsi"/>
              </w:rPr>
            </w:pPr>
            <w:r w:rsidRPr="00A84DEF">
              <w:rPr>
                <w:rFonts w:asciiTheme="minorHAnsi" w:eastAsiaTheme="minorHAnsi" w:hAnsiTheme="minorHAnsi" w:cstheme="minorHAnsi"/>
              </w:rPr>
              <w:t>Warstwa podbudowy asfaltowej</w:t>
            </w:r>
          </w:p>
        </w:tc>
        <w:tc>
          <w:tcPr>
            <w:tcW w:w="1841" w:type="dxa"/>
          </w:tcPr>
          <w:p w14:paraId="55777CBF" w14:textId="77777777" w:rsidR="009F3E17" w:rsidRPr="00A84DEF" w:rsidRDefault="009F3E17" w:rsidP="00A84DEF">
            <w:pPr>
              <w:rPr>
                <w:rFonts w:asciiTheme="minorHAnsi" w:eastAsiaTheme="minorHAnsi" w:hAnsiTheme="minorHAnsi" w:cstheme="minorHAnsi"/>
              </w:rPr>
            </w:pPr>
            <w:r w:rsidRPr="00A84DEF">
              <w:rPr>
                <w:rFonts w:asciiTheme="minorHAnsi" w:eastAsiaTheme="minorHAnsi" w:hAnsiTheme="minorHAnsi" w:cstheme="minorHAnsi"/>
              </w:rPr>
              <w:t>Nowo wykonana</w:t>
            </w:r>
          </w:p>
        </w:tc>
        <w:tc>
          <w:tcPr>
            <w:tcW w:w="1841" w:type="dxa"/>
          </w:tcPr>
          <w:p w14:paraId="63F99509" w14:textId="77777777" w:rsidR="009F3E17" w:rsidRPr="00A84DEF" w:rsidRDefault="009F3E17" w:rsidP="00A84DEF">
            <w:pPr>
              <w:jc w:val="center"/>
              <w:rPr>
                <w:rFonts w:asciiTheme="minorHAnsi" w:eastAsiaTheme="minorHAnsi" w:hAnsiTheme="minorHAnsi" w:cstheme="minorHAnsi"/>
              </w:rPr>
            </w:pPr>
            <w:r w:rsidRPr="00A84DEF">
              <w:rPr>
                <w:rFonts w:asciiTheme="minorHAnsi" w:eastAsiaTheme="minorHAnsi" w:hAnsiTheme="minorHAnsi" w:cstheme="minorHAnsi"/>
              </w:rPr>
              <w:t>0,2 – 0,4</w:t>
            </w:r>
          </w:p>
        </w:tc>
        <w:tc>
          <w:tcPr>
            <w:tcW w:w="1841" w:type="dxa"/>
          </w:tcPr>
          <w:p w14:paraId="78D75874" w14:textId="77777777" w:rsidR="009F3E17" w:rsidRPr="00A84DEF" w:rsidRDefault="009F3E17" w:rsidP="00A84DEF">
            <w:pPr>
              <w:jc w:val="center"/>
              <w:rPr>
                <w:rFonts w:asciiTheme="minorHAnsi" w:eastAsiaTheme="minorHAnsi" w:hAnsiTheme="minorHAnsi" w:cstheme="minorHAnsi"/>
              </w:rPr>
            </w:pPr>
            <w:r w:rsidRPr="00A84DEF">
              <w:rPr>
                <w:rFonts w:asciiTheme="minorHAnsi" w:eastAsiaTheme="minorHAnsi" w:hAnsiTheme="minorHAnsi" w:cstheme="minorHAnsi"/>
              </w:rPr>
              <w:t>0,3 – 0,5</w:t>
            </w:r>
          </w:p>
        </w:tc>
        <w:tc>
          <w:tcPr>
            <w:tcW w:w="1842" w:type="dxa"/>
          </w:tcPr>
          <w:p w14:paraId="78694057" w14:textId="77777777" w:rsidR="009F3E17" w:rsidRPr="00A84DEF" w:rsidRDefault="009F3E17" w:rsidP="00A84DEF">
            <w:pPr>
              <w:jc w:val="center"/>
              <w:rPr>
                <w:rFonts w:asciiTheme="minorHAnsi" w:eastAsiaTheme="minorHAnsi" w:hAnsiTheme="minorHAnsi" w:cstheme="minorHAnsi"/>
              </w:rPr>
            </w:pPr>
            <w:r w:rsidRPr="00A84DEF">
              <w:rPr>
                <w:rFonts w:asciiTheme="minorHAnsi" w:eastAsiaTheme="minorHAnsi" w:hAnsiTheme="minorHAnsi" w:cstheme="minorHAnsi"/>
              </w:rPr>
              <w:t>X</w:t>
            </w:r>
          </w:p>
        </w:tc>
      </w:tr>
      <w:tr w:rsidR="009F3E17" w:rsidRPr="00A84DEF" w14:paraId="12405475" w14:textId="77777777" w:rsidTr="00EA573C">
        <w:tc>
          <w:tcPr>
            <w:tcW w:w="1841" w:type="dxa"/>
            <w:vMerge/>
          </w:tcPr>
          <w:p w14:paraId="4E75EBFB" w14:textId="77777777" w:rsidR="009F3E17" w:rsidRPr="00A84DEF" w:rsidRDefault="009F3E17" w:rsidP="00A84DEF">
            <w:pPr>
              <w:rPr>
                <w:rFonts w:asciiTheme="minorHAnsi" w:eastAsiaTheme="minorHAnsi" w:hAnsiTheme="minorHAnsi" w:cstheme="minorHAnsi"/>
              </w:rPr>
            </w:pPr>
          </w:p>
        </w:tc>
        <w:tc>
          <w:tcPr>
            <w:tcW w:w="1841" w:type="dxa"/>
          </w:tcPr>
          <w:p w14:paraId="1CEAE8E8" w14:textId="77777777" w:rsidR="009F3E17" w:rsidRPr="00A84DEF" w:rsidRDefault="009F3E17" w:rsidP="00A84DEF">
            <w:pPr>
              <w:rPr>
                <w:rFonts w:asciiTheme="minorHAnsi" w:eastAsiaTheme="minorHAnsi" w:hAnsiTheme="minorHAnsi" w:cstheme="minorHAnsi"/>
              </w:rPr>
            </w:pPr>
            <w:r w:rsidRPr="00A84DEF">
              <w:rPr>
                <w:rFonts w:asciiTheme="minorHAnsi" w:eastAsiaTheme="minorHAnsi" w:hAnsiTheme="minorHAnsi" w:cstheme="minorHAnsi"/>
              </w:rPr>
              <w:t>Frezowana</w:t>
            </w:r>
          </w:p>
        </w:tc>
        <w:tc>
          <w:tcPr>
            <w:tcW w:w="1841" w:type="dxa"/>
          </w:tcPr>
          <w:p w14:paraId="7AF5D542" w14:textId="77777777" w:rsidR="009F3E17" w:rsidRPr="00A84DEF" w:rsidRDefault="009F3E17" w:rsidP="00A84DEF">
            <w:pPr>
              <w:jc w:val="center"/>
              <w:rPr>
                <w:rFonts w:asciiTheme="minorHAnsi" w:eastAsiaTheme="minorHAnsi" w:hAnsiTheme="minorHAnsi" w:cstheme="minorHAnsi"/>
              </w:rPr>
            </w:pPr>
            <w:r w:rsidRPr="00A84DEF">
              <w:rPr>
                <w:rFonts w:asciiTheme="minorHAnsi" w:eastAsiaTheme="minorHAnsi" w:hAnsiTheme="minorHAnsi" w:cstheme="minorHAnsi"/>
              </w:rPr>
              <w:t>0,3 – 0,5</w:t>
            </w:r>
          </w:p>
        </w:tc>
        <w:tc>
          <w:tcPr>
            <w:tcW w:w="1841" w:type="dxa"/>
          </w:tcPr>
          <w:p w14:paraId="44034208" w14:textId="77777777" w:rsidR="009F3E17" w:rsidRPr="00A84DEF" w:rsidRDefault="009F3E17" w:rsidP="00A84DEF">
            <w:pPr>
              <w:jc w:val="center"/>
              <w:rPr>
                <w:rFonts w:asciiTheme="minorHAnsi" w:eastAsiaTheme="minorHAnsi" w:hAnsiTheme="minorHAnsi" w:cstheme="minorHAnsi"/>
              </w:rPr>
            </w:pPr>
            <w:r w:rsidRPr="00A84DEF">
              <w:rPr>
                <w:rFonts w:asciiTheme="minorHAnsi" w:eastAsiaTheme="minorHAnsi" w:hAnsiTheme="minorHAnsi" w:cstheme="minorHAnsi"/>
              </w:rPr>
              <w:t>0,3 – 0,5</w:t>
            </w:r>
          </w:p>
        </w:tc>
        <w:tc>
          <w:tcPr>
            <w:tcW w:w="1842" w:type="dxa"/>
          </w:tcPr>
          <w:p w14:paraId="4C090CE4" w14:textId="77777777" w:rsidR="009F3E17" w:rsidRPr="00A84DEF" w:rsidRDefault="009F3E17" w:rsidP="00A84DEF">
            <w:pPr>
              <w:jc w:val="center"/>
              <w:rPr>
                <w:rFonts w:asciiTheme="minorHAnsi" w:eastAsiaTheme="minorHAnsi" w:hAnsiTheme="minorHAnsi" w:cstheme="minorHAnsi"/>
              </w:rPr>
            </w:pPr>
            <w:r w:rsidRPr="00A84DEF">
              <w:rPr>
                <w:rFonts w:asciiTheme="minorHAnsi" w:eastAsiaTheme="minorHAnsi" w:hAnsiTheme="minorHAnsi" w:cstheme="minorHAnsi"/>
              </w:rPr>
              <w:t>X</w:t>
            </w:r>
          </w:p>
        </w:tc>
      </w:tr>
      <w:tr w:rsidR="009F3E17" w:rsidRPr="00A84DEF" w14:paraId="4F8E79A9" w14:textId="77777777" w:rsidTr="00EA573C">
        <w:tc>
          <w:tcPr>
            <w:tcW w:w="1841" w:type="dxa"/>
            <w:vMerge/>
          </w:tcPr>
          <w:p w14:paraId="48F4C6DF" w14:textId="77777777" w:rsidR="009F3E17" w:rsidRPr="00A84DEF" w:rsidRDefault="009F3E17" w:rsidP="00A84DEF">
            <w:pPr>
              <w:rPr>
                <w:rFonts w:asciiTheme="minorHAnsi" w:eastAsiaTheme="minorHAnsi" w:hAnsiTheme="minorHAnsi" w:cstheme="minorHAnsi"/>
              </w:rPr>
            </w:pPr>
          </w:p>
        </w:tc>
        <w:tc>
          <w:tcPr>
            <w:tcW w:w="1841" w:type="dxa"/>
          </w:tcPr>
          <w:p w14:paraId="717E45F4" w14:textId="77777777" w:rsidR="009F3E17" w:rsidRPr="00A84DEF" w:rsidRDefault="009F3E17" w:rsidP="00A84DEF">
            <w:pPr>
              <w:rPr>
                <w:rFonts w:asciiTheme="minorHAnsi" w:eastAsiaTheme="minorHAnsi" w:hAnsiTheme="minorHAnsi" w:cstheme="minorHAnsi"/>
              </w:rPr>
            </w:pPr>
            <w:r w:rsidRPr="00A84DEF">
              <w:rPr>
                <w:rFonts w:asciiTheme="minorHAnsi" w:eastAsiaTheme="minorHAnsi" w:hAnsiTheme="minorHAnsi" w:cstheme="minorHAnsi"/>
              </w:rPr>
              <w:t>Porowata lub w złym stanie</w:t>
            </w:r>
          </w:p>
        </w:tc>
        <w:tc>
          <w:tcPr>
            <w:tcW w:w="1841" w:type="dxa"/>
          </w:tcPr>
          <w:p w14:paraId="144EA5E4" w14:textId="77777777" w:rsidR="009F3E17" w:rsidRPr="00A84DEF" w:rsidRDefault="009F3E17" w:rsidP="00A84DEF">
            <w:pPr>
              <w:jc w:val="center"/>
              <w:rPr>
                <w:rFonts w:asciiTheme="minorHAnsi" w:eastAsiaTheme="minorHAnsi" w:hAnsiTheme="minorHAnsi" w:cstheme="minorHAnsi"/>
              </w:rPr>
            </w:pPr>
            <w:r w:rsidRPr="00A84DEF">
              <w:rPr>
                <w:rFonts w:asciiTheme="minorHAnsi" w:eastAsiaTheme="minorHAnsi" w:hAnsiTheme="minorHAnsi" w:cstheme="minorHAnsi"/>
              </w:rPr>
              <w:t>0,3 – 0,6</w:t>
            </w:r>
          </w:p>
        </w:tc>
        <w:tc>
          <w:tcPr>
            <w:tcW w:w="1841" w:type="dxa"/>
          </w:tcPr>
          <w:p w14:paraId="283EE63C" w14:textId="77777777" w:rsidR="009F3E17" w:rsidRPr="00A84DEF" w:rsidRDefault="009F3E17" w:rsidP="00A84DEF">
            <w:pPr>
              <w:jc w:val="center"/>
              <w:rPr>
                <w:rFonts w:asciiTheme="minorHAnsi" w:eastAsiaTheme="minorHAnsi" w:hAnsiTheme="minorHAnsi" w:cstheme="minorHAnsi"/>
              </w:rPr>
            </w:pPr>
            <w:r w:rsidRPr="00A84DEF">
              <w:rPr>
                <w:rFonts w:asciiTheme="minorHAnsi" w:eastAsiaTheme="minorHAnsi" w:hAnsiTheme="minorHAnsi" w:cstheme="minorHAnsi"/>
              </w:rPr>
              <w:t>0,3 – 0,7</w:t>
            </w:r>
          </w:p>
        </w:tc>
        <w:tc>
          <w:tcPr>
            <w:tcW w:w="1842" w:type="dxa"/>
          </w:tcPr>
          <w:p w14:paraId="10134D70" w14:textId="77777777" w:rsidR="009F3E17" w:rsidRPr="00A84DEF" w:rsidRDefault="009F3E17" w:rsidP="00A84DEF">
            <w:pPr>
              <w:jc w:val="center"/>
              <w:rPr>
                <w:rFonts w:asciiTheme="minorHAnsi" w:eastAsiaTheme="minorHAnsi" w:hAnsiTheme="minorHAnsi" w:cstheme="minorHAnsi"/>
              </w:rPr>
            </w:pPr>
            <w:r w:rsidRPr="00A84DEF">
              <w:rPr>
                <w:rFonts w:asciiTheme="minorHAnsi" w:eastAsiaTheme="minorHAnsi" w:hAnsiTheme="minorHAnsi" w:cstheme="minorHAnsi"/>
              </w:rPr>
              <w:t>X</w:t>
            </w:r>
          </w:p>
        </w:tc>
      </w:tr>
      <w:tr w:rsidR="009F3E17" w:rsidRPr="00A84DEF" w14:paraId="5FA0827C" w14:textId="77777777" w:rsidTr="00EA573C">
        <w:tc>
          <w:tcPr>
            <w:tcW w:w="1841" w:type="dxa"/>
            <w:vMerge w:val="restart"/>
          </w:tcPr>
          <w:p w14:paraId="27DE162C" w14:textId="77777777" w:rsidR="009F3E17" w:rsidRPr="00A84DEF" w:rsidRDefault="009F3E17" w:rsidP="00A84DEF">
            <w:pPr>
              <w:rPr>
                <w:rFonts w:asciiTheme="minorHAnsi" w:eastAsiaTheme="minorHAnsi" w:hAnsiTheme="minorHAnsi" w:cstheme="minorHAnsi"/>
              </w:rPr>
            </w:pPr>
            <w:r w:rsidRPr="00A84DEF">
              <w:rPr>
                <w:rFonts w:asciiTheme="minorHAnsi" w:eastAsiaTheme="minorHAnsi" w:hAnsiTheme="minorHAnsi" w:cstheme="minorHAnsi"/>
              </w:rPr>
              <w:t>Warstwa wiążąca</w:t>
            </w:r>
          </w:p>
        </w:tc>
        <w:tc>
          <w:tcPr>
            <w:tcW w:w="1841" w:type="dxa"/>
          </w:tcPr>
          <w:p w14:paraId="0E055E4B" w14:textId="77777777" w:rsidR="009F3E17" w:rsidRPr="00A84DEF" w:rsidRDefault="009F3E17" w:rsidP="00A84DEF">
            <w:pPr>
              <w:rPr>
                <w:rFonts w:asciiTheme="minorHAnsi" w:eastAsiaTheme="minorHAnsi" w:hAnsiTheme="minorHAnsi" w:cstheme="minorHAnsi"/>
              </w:rPr>
            </w:pPr>
            <w:r w:rsidRPr="00A84DEF">
              <w:rPr>
                <w:rFonts w:asciiTheme="minorHAnsi" w:eastAsiaTheme="minorHAnsi" w:hAnsiTheme="minorHAnsi" w:cstheme="minorHAnsi"/>
              </w:rPr>
              <w:t>Nowo wykonana</w:t>
            </w:r>
          </w:p>
        </w:tc>
        <w:tc>
          <w:tcPr>
            <w:tcW w:w="1841" w:type="dxa"/>
          </w:tcPr>
          <w:p w14:paraId="7EFF2195" w14:textId="77777777" w:rsidR="009F3E17" w:rsidRPr="00A84DEF" w:rsidRDefault="009F3E17" w:rsidP="00A84DEF">
            <w:pPr>
              <w:jc w:val="center"/>
              <w:rPr>
                <w:rFonts w:asciiTheme="minorHAnsi" w:eastAsiaTheme="minorHAnsi" w:hAnsiTheme="minorHAnsi" w:cstheme="minorHAnsi"/>
              </w:rPr>
            </w:pPr>
            <w:r w:rsidRPr="00A84DEF">
              <w:rPr>
                <w:rFonts w:asciiTheme="minorHAnsi" w:eastAsiaTheme="minorHAnsi" w:hAnsiTheme="minorHAnsi" w:cstheme="minorHAnsi"/>
              </w:rPr>
              <w:t>-</w:t>
            </w:r>
          </w:p>
        </w:tc>
        <w:tc>
          <w:tcPr>
            <w:tcW w:w="1841" w:type="dxa"/>
          </w:tcPr>
          <w:p w14:paraId="1CB85621" w14:textId="77777777" w:rsidR="009F3E17" w:rsidRPr="00A84DEF" w:rsidRDefault="009F3E17" w:rsidP="00A84DEF">
            <w:pPr>
              <w:jc w:val="center"/>
              <w:rPr>
                <w:rFonts w:asciiTheme="minorHAnsi" w:eastAsiaTheme="minorHAnsi" w:hAnsiTheme="minorHAnsi" w:cstheme="minorHAnsi"/>
              </w:rPr>
            </w:pPr>
            <w:r w:rsidRPr="00A84DEF">
              <w:rPr>
                <w:rFonts w:asciiTheme="minorHAnsi" w:eastAsiaTheme="minorHAnsi" w:hAnsiTheme="minorHAnsi" w:cstheme="minorHAnsi"/>
              </w:rPr>
              <w:t>X</w:t>
            </w:r>
          </w:p>
        </w:tc>
        <w:tc>
          <w:tcPr>
            <w:tcW w:w="1842" w:type="dxa"/>
          </w:tcPr>
          <w:p w14:paraId="66CCF359" w14:textId="77777777" w:rsidR="009F3E17" w:rsidRPr="00A84DEF" w:rsidRDefault="009F3E17" w:rsidP="00A84DEF">
            <w:pPr>
              <w:jc w:val="center"/>
              <w:rPr>
                <w:rFonts w:asciiTheme="minorHAnsi" w:eastAsiaTheme="minorHAnsi" w:hAnsiTheme="minorHAnsi" w:cstheme="minorHAnsi"/>
              </w:rPr>
            </w:pPr>
            <w:r w:rsidRPr="00A84DEF">
              <w:rPr>
                <w:rFonts w:asciiTheme="minorHAnsi" w:eastAsiaTheme="minorHAnsi" w:hAnsiTheme="minorHAnsi" w:cstheme="minorHAnsi"/>
              </w:rPr>
              <w:t>0,2 – 0,4</w:t>
            </w:r>
          </w:p>
        </w:tc>
      </w:tr>
      <w:tr w:rsidR="009F3E17" w:rsidRPr="00A84DEF" w14:paraId="766BC2DD" w14:textId="77777777" w:rsidTr="00EA573C">
        <w:tc>
          <w:tcPr>
            <w:tcW w:w="1841" w:type="dxa"/>
            <w:vMerge/>
          </w:tcPr>
          <w:p w14:paraId="2BBAB121" w14:textId="77777777" w:rsidR="009F3E17" w:rsidRPr="00A84DEF" w:rsidRDefault="009F3E17" w:rsidP="00A84DEF">
            <w:pPr>
              <w:rPr>
                <w:rFonts w:asciiTheme="minorHAnsi" w:eastAsiaTheme="minorHAnsi" w:hAnsiTheme="minorHAnsi" w:cstheme="minorHAnsi"/>
              </w:rPr>
            </w:pPr>
          </w:p>
        </w:tc>
        <w:tc>
          <w:tcPr>
            <w:tcW w:w="1841" w:type="dxa"/>
          </w:tcPr>
          <w:p w14:paraId="342A0FE9" w14:textId="77777777" w:rsidR="009F3E17" w:rsidRPr="00A84DEF" w:rsidRDefault="009F3E17" w:rsidP="00A84DEF">
            <w:pPr>
              <w:rPr>
                <w:rFonts w:asciiTheme="minorHAnsi" w:eastAsiaTheme="minorHAnsi" w:hAnsiTheme="minorHAnsi" w:cstheme="minorHAnsi"/>
              </w:rPr>
            </w:pPr>
            <w:r w:rsidRPr="00A84DEF">
              <w:rPr>
                <w:rFonts w:asciiTheme="minorHAnsi" w:eastAsiaTheme="minorHAnsi" w:hAnsiTheme="minorHAnsi" w:cstheme="minorHAnsi"/>
              </w:rPr>
              <w:t>Frezowana</w:t>
            </w:r>
          </w:p>
        </w:tc>
        <w:tc>
          <w:tcPr>
            <w:tcW w:w="1841" w:type="dxa"/>
          </w:tcPr>
          <w:p w14:paraId="4CB13E14" w14:textId="77777777" w:rsidR="009F3E17" w:rsidRPr="00A84DEF" w:rsidRDefault="009F3E17" w:rsidP="00A84DEF">
            <w:pPr>
              <w:jc w:val="center"/>
              <w:rPr>
                <w:rFonts w:asciiTheme="minorHAnsi" w:eastAsiaTheme="minorHAnsi" w:hAnsiTheme="minorHAnsi" w:cstheme="minorHAnsi"/>
              </w:rPr>
            </w:pPr>
            <w:r w:rsidRPr="00A84DEF">
              <w:rPr>
                <w:rFonts w:asciiTheme="minorHAnsi" w:eastAsiaTheme="minorHAnsi" w:hAnsiTheme="minorHAnsi" w:cstheme="minorHAnsi"/>
              </w:rPr>
              <w:t>-</w:t>
            </w:r>
          </w:p>
        </w:tc>
        <w:tc>
          <w:tcPr>
            <w:tcW w:w="1841" w:type="dxa"/>
          </w:tcPr>
          <w:p w14:paraId="46A75657" w14:textId="77777777" w:rsidR="009F3E17" w:rsidRPr="00A84DEF" w:rsidRDefault="009F3E17" w:rsidP="00A84DEF">
            <w:pPr>
              <w:jc w:val="center"/>
              <w:rPr>
                <w:rFonts w:asciiTheme="minorHAnsi" w:eastAsiaTheme="minorHAnsi" w:hAnsiTheme="minorHAnsi" w:cstheme="minorHAnsi"/>
              </w:rPr>
            </w:pPr>
            <w:r w:rsidRPr="00A84DEF">
              <w:rPr>
                <w:rFonts w:asciiTheme="minorHAnsi" w:eastAsiaTheme="minorHAnsi" w:hAnsiTheme="minorHAnsi" w:cstheme="minorHAnsi"/>
              </w:rPr>
              <w:t>0,3 – 0,5</w:t>
            </w:r>
          </w:p>
        </w:tc>
        <w:tc>
          <w:tcPr>
            <w:tcW w:w="1842" w:type="dxa"/>
          </w:tcPr>
          <w:p w14:paraId="1CA80F9D" w14:textId="77777777" w:rsidR="009F3E17" w:rsidRPr="00A84DEF" w:rsidRDefault="009F3E17" w:rsidP="00A84DEF">
            <w:pPr>
              <w:jc w:val="center"/>
              <w:rPr>
                <w:rFonts w:asciiTheme="minorHAnsi" w:eastAsiaTheme="minorHAnsi" w:hAnsiTheme="minorHAnsi" w:cstheme="minorHAnsi"/>
              </w:rPr>
            </w:pPr>
            <w:r w:rsidRPr="00A84DEF">
              <w:rPr>
                <w:rFonts w:asciiTheme="minorHAnsi" w:eastAsiaTheme="minorHAnsi" w:hAnsiTheme="minorHAnsi" w:cstheme="minorHAnsi"/>
              </w:rPr>
              <w:t>0,3 – 0,5</w:t>
            </w:r>
          </w:p>
        </w:tc>
      </w:tr>
      <w:tr w:rsidR="009F3E17" w:rsidRPr="00A84DEF" w14:paraId="4F1B2D6D" w14:textId="77777777" w:rsidTr="00EA573C">
        <w:tc>
          <w:tcPr>
            <w:tcW w:w="1841" w:type="dxa"/>
            <w:vMerge/>
          </w:tcPr>
          <w:p w14:paraId="1F1F8768" w14:textId="77777777" w:rsidR="009F3E17" w:rsidRPr="00A84DEF" w:rsidRDefault="009F3E17" w:rsidP="00A84DEF">
            <w:pPr>
              <w:rPr>
                <w:rFonts w:asciiTheme="minorHAnsi" w:eastAsiaTheme="minorHAnsi" w:hAnsiTheme="minorHAnsi" w:cstheme="minorHAnsi"/>
              </w:rPr>
            </w:pPr>
          </w:p>
        </w:tc>
        <w:tc>
          <w:tcPr>
            <w:tcW w:w="1841" w:type="dxa"/>
          </w:tcPr>
          <w:p w14:paraId="179A62A5" w14:textId="77777777" w:rsidR="009F3E17" w:rsidRPr="00A84DEF" w:rsidRDefault="009F3E17" w:rsidP="00A84DEF">
            <w:pPr>
              <w:rPr>
                <w:rFonts w:asciiTheme="minorHAnsi" w:eastAsiaTheme="minorHAnsi" w:hAnsiTheme="minorHAnsi" w:cstheme="minorHAnsi"/>
              </w:rPr>
            </w:pPr>
            <w:r w:rsidRPr="00A84DEF">
              <w:rPr>
                <w:rFonts w:asciiTheme="minorHAnsi" w:eastAsiaTheme="minorHAnsi" w:hAnsiTheme="minorHAnsi" w:cstheme="minorHAnsi"/>
              </w:rPr>
              <w:t>Porowata lub w złym stanie</w:t>
            </w:r>
          </w:p>
        </w:tc>
        <w:tc>
          <w:tcPr>
            <w:tcW w:w="1841" w:type="dxa"/>
          </w:tcPr>
          <w:p w14:paraId="18C720D2" w14:textId="77777777" w:rsidR="009F3E17" w:rsidRPr="00A84DEF" w:rsidRDefault="009F3E17" w:rsidP="00A84DEF">
            <w:pPr>
              <w:jc w:val="center"/>
              <w:rPr>
                <w:rFonts w:asciiTheme="minorHAnsi" w:eastAsiaTheme="minorHAnsi" w:hAnsiTheme="minorHAnsi" w:cstheme="minorHAnsi"/>
              </w:rPr>
            </w:pPr>
            <w:r w:rsidRPr="00A84DEF">
              <w:rPr>
                <w:rFonts w:asciiTheme="minorHAnsi" w:eastAsiaTheme="minorHAnsi" w:hAnsiTheme="minorHAnsi" w:cstheme="minorHAnsi"/>
              </w:rPr>
              <w:t>-</w:t>
            </w:r>
          </w:p>
        </w:tc>
        <w:tc>
          <w:tcPr>
            <w:tcW w:w="1841" w:type="dxa"/>
          </w:tcPr>
          <w:p w14:paraId="2A42D9B4" w14:textId="77777777" w:rsidR="009F3E17" w:rsidRPr="00A84DEF" w:rsidRDefault="009F3E17" w:rsidP="00A84DEF">
            <w:pPr>
              <w:jc w:val="center"/>
              <w:rPr>
                <w:rFonts w:asciiTheme="minorHAnsi" w:eastAsiaTheme="minorHAnsi" w:hAnsiTheme="minorHAnsi" w:cstheme="minorHAnsi"/>
              </w:rPr>
            </w:pPr>
            <w:r w:rsidRPr="00A84DEF">
              <w:rPr>
                <w:rFonts w:asciiTheme="minorHAnsi" w:eastAsiaTheme="minorHAnsi" w:hAnsiTheme="minorHAnsi" w:cstheme="minorHAnsi"/>
              </w:rPr>
              <w:t>0,3 – 0,7</w:t>
            </w:r>
          </w:p>
        </w:tc>
        <w:tc>
          <w:tcPr>
            <w:tcW w:w="1842" w:type="dxa"/>
          </w:tcPr>
          <w:p w14:paraId="61A697D2" w14:textId="77777777" w:rsidR="009F3E17" w:rsidRPr="00A84DEF" w:rsidRDefault="009F3E17" w:rsidP="00A84DEF">
            <w:pPr>
              <w:jc w:val="center"/>
              <w:rPr>
                <w:rFonts w:asciiTheme="minorHAnsi" w:eastAsiaTheme="minorHAnsi" w:hAnsiTheme="minorHAnsi" w:cstheme="minorHAnsi"/>
              </w:rPr>
            </w:pPr>
            <w:r w:rsidRPr="00A84DEF">
              <w:rPr>
                <w:rFonts w:asciiTheme="minorHAnsi" w:eastAsiaTheme="minorHAnsi" w:hAnsiTheme="minorHAnsi" w:cstheme="minorHAnsi"/>
              </w:rPr>
              <w:t>0,3 – 0,5</w:t>
            </w:r>
          </w:p>
        </w:tc>
      </w:tr>
      <w:tr w:rsidR="009F3E17" w:rsidRPr="00A84DEF" w14:paraId="249D4117" w14:textId="77777777" w:rsidTr="00EA573C">
        <w:tc>
          <w:tcPr>
            <w:tcW w:w="1841" w:type="dxa"/>
            <w:vMerge w:val="restart"/>
          </w:tcPr>
          <w:p w14:paraId="60AA9C24" w14:textId="77777777" w:rsidR="009F3E17" w:rsidRPr="00A84DEF" w:rsidRDefault="009F3E17" w:rsidP="00A84DEF">
            <w:pPr>
              <w:rPr>
                <w:rFonts w:asciiTheme="minorHAnsi" w:eastAsiaTheme="minorHAnsi" w:hAnsiTheme="minorHAnsi" w:cstheme="minorHAnsi"/>
              </w:rPr>
            </w:pPr>
            <w:r w:rsidRPr="00A84DEF">
              <w:rPr>
                <w:rFonts w:asciiTheme="minorHAnsi" w:eastAsiaTheme="minorHAnsi" w:hAnsiTheme="minorHAnsi" w:cstheme="minorHAnsi"/>
              </w:rPr>
              <w:t>Stara nawierzchnia asfaltowa</w:t>
            </w:r>
          </w:p>
        </w:tc>
        <w:tc>
          <w:tcPr>
            <w:tcW w:w="1841" w:type="dxa"/>
          </w:tcPr>
          <w:p w14:paraId="0C35005A" w14:textId="77777777" w:rsidR="009F3E17" w:rsidRPr="00A84DEF" w:rsidRDefault="009F3E17" w:rsidP="00A84DEF">
            <w:pPr>
              <w:rPr>
                <w:rFonts w:asciiTheme="minorHAnsi" w:eastAsiaTheme="minorHAnsi" w:hAnsiTheme="minorHAnsi" w:cstheme="minorHAnsi"/>
              </w:rPr>
            </w:pPr>
            <w:r w:rsidRPr="00A84DEF">
              <w:rPr>
                <w:rFonts w:asciiTheme="minorHAnsi" w:eastAsiaTheme="minorHAnsi" w:hAnsiTheme="minorHAnsi" w:cstheme="minorHAnsi"/>
              </w:rPr>
              <w:t>Frezowana</w:t>
            </w:r>
          </w:p>
        </w:tc>
        <w:tc>
          <w:tcPr>
            <w:tcW w:w="1841" w:type="dxa"/>
          </w:tcPr>
          <w:p w14:paraId="685B260E" w14:textId="77777777" w:rsidR="009F3E17" w:rsidRPr="00A84DEF" w:rsidRDefault="009F3E17" w:rsidP="00A84DEF">
            <w:pPr>
              <w:jc w:val="center"/>
              <w:rPr>
                <w:rFonts w:asciiTheme="minorHAnsi" w:eastAsiaTheme="minorHAnsi" w:hAnsiTheme="minorHAnsi" w:cstheme="minorHAnsi"/>
              </w:rPr>
            </w:pPr>
            <w:r w:rsidRPr="00A84DEF">
              <w:rPr>
                <w:rFonts w:asciiTheme="minorHAnsi" w:eastAsiaTheme="minorHAnsi" w:hAnsiTheme="minorHAnsi" w:cstheme="minorHAnsi"/>
              </w:rPr>
              <w:t>0,3 – 0,5</w:t>
            </w:r>
          </w:p>
        </w:tc>
        <w:tc>
          <w:tcPr>
            <w:tcW w:w="1841" w:type="dxa"/>
          </w:tcPr>
          <w:p w14:paraId="0BCFCB1E" w14:textId="77777777" w:rsidR="009F3E17" w:rsidRPr="00A84DEF" w:rsidRDefault="009F3E17" w:rsidP="00A84DEF">
            <w:pPr>
              <w:jc w:val="center"/>
              <w:rPr>
                <w:rFonts w:asciiTheme="minorHAnsi" w:eastAsiaTheme="minorHAnsi" w:hAnsiTheme="minorHAnsi" w:cstheme="minorHAnsi"/>
              </w:rPr>
            </w:pPr>
            <w:r w:rsidRPr="00A84DEF">
              <w:rPr>
                <w:rFonts w:asciiTheme="minorHAnsi" w:eastAsiaTheme="minorHAnsi" w:hAnsiTheme="minorHAnsi" w:cstheme="minorHAnsi"/>
              </w:rPr>
              <w:t>0,3 – 0,5</w:t>
            </w:r>
          </w:p>
        </w:tc>
        <w:tc>
          <w:tcPr>
            <w:tcW w:w="1842" w:type="dxa"/>
          </w:tcPr>
          <w:p w14:paraId="3DB0042F" w14:textId="77777777" w:rsidR="009F3E17" w:rsidRPr="00A84DEF" w:rsidRDefault="009F3E17" w:rsidP="00A84DEF">
            <w:pPr>
              <w:jc w:val="center"/>
              <w:rPr>
                <w:rFonts w:asciiTheme="minorHAnsi" w:eastAsiaTheme="minorHAnsi" w:hAnsiTheme="minorHAnsi" w:cstheme="minorHAnsi"/>
              </w:rPr>
            </w:pPr>
            <w:r w:rsidRPr="00A84DEF">
              <w:rPr>
                <w:rFonts w:asciiTheme="minorHAnsi" w:eastAsiaTheme="minorHAnsi" w:hAnsiTheme="minorHAnsi" w:cstheme="minorHAnsi"/>
              </w:rPr>
              <w:t>0,3 – 0,5</w:t>
            </w:r>
          </w:p>
        </w:tc>
      </w:tr>
      <w:tr w:rsidR="009F3E17" w:rsidRPr="00A84DEF" w14:paraId="5D3A25FA" w14:textId="77777777" w:rsidTr="00EA573C">
        <w:tc>
          <w:tcPr>
            <w:tcW w:w="1841" w:type="dxa"/>
            <w:vMerge/>
          </w:tcPr>
          <w:p w14:paraId="3FD6C3CE" w14:textId="77777777" w:rsidR="009F3E17" w:rsidRPr="00A84DEF" w:rsidRDefault="009F3E17" w:rsidP="00A84DEF">
            <w:pPr>
              <w:rPr>
                <w:rFonts w:asciiTheme="minorHAnsi" w:eastAsiaTheme="minorHAnsi" w:hAnsiTheme="minorHAnsi" w:cstheme="minorHAnsi"/>
              </w:rPr>
            </w:pPr>
          </w:p>
        </w:tc>
        <w:tc>
          <w:tcPr>
            <w:tcW w:w="1841" w:type="dxa"/>
          </w:tcPr>
          <w:p w14:paraId="2D22955F" w14:textId="77777777" w:rsidR="009F3E17" w:rsidRPr="00A84DEF" w:rsidRDefault="009F3E17" w:rsidP="00A84DEF">
            <w:pPr>
              <w:rPr>
                <w:rFonts w:asciiTheme="minorHAnsi" w:eastAsiaTheme="minorHAnsi" w:hAnsiTheme="minorHAnsi" w:cstheme="minorHAnsi"/>
              </w:rPr>
            </w:pPr>
            <w:r w:rsidRPr="00A84DEF">
              <w:rPr>
                <w:rFonts w:asciiTheme="minorHAnsi" w:eastAsiaTheme="minorHAnsi" w:hAnsiTheme="minorHAnsi" w:cstheme="minorHAnsi"/>
              </w:rPr>
              <w:t>Porowata lub w złym stanie</w:t>
            </w:r>
          </w:p>
        </w:tc>
        <w:tc>
          <w:tcPr>
            <w:tcW w:w="1841" w:type="dxa"/>
          </w:tcPr>
          <w:p w14:paraId="22C927B1" w14:textId="77777777" w:rsidR="009F3E17" w:rsidRPr="00A84DEF" w:rsidRDefault="009F3E17" w:rsidP="00A84DEF">
            <w:pPr>
              <w:jc w:val="center"/>
              <w:rPr>
                <w:rFonts w:asciiTheme="minorHAnsi" w:eastAsiaTheme="minorHAnsi" w:hAnsiTheme="minorHAnsi" w:cstheme="minorHAnsi"/>
              </w:rPr>
            </w:pPr>
            <w:r w:rsidRPr="00A84DEF">
              <w:rPr>
                <w:rFonts w:asciiTheme="minorHAnsi" w:eastAsiaTheme="minorHAnsi" w:hAnsiTheme="minorHAnsi" w:cstheme="minorHAnsi"/>
              </w:rPr>
              <w:t>0,3 – 0,6</w:t>
            </w:r>
          </w:p>
        </w:tc>
        <w:tc>
          <w:tcPr>
            <w:tcW w:w="1841" w:type="dxa"/>
          </w:tcPr>
          <w:p w14:paraId="1A048466" w14:textId="77777777" w:rsidR="009F3E17" w:rsidRPr="00A84DEF" w:rsidRDefault="009F3E17" w:rsidP="00A84DEF">
            <w:pPr>
              <w:jc w:val="center"/>
              <w:rPr>
                <w:rFonts w:asciiTheme="minorHAnsi" w:eastAsiaTheme="minorHAnsi" w:hAnsiTheme="minorHAnsi" w:cstheme="minorHAnsi"/>
              </w:rPr>
            </w:pPr>
            <w:r w:rsidRPr="00A84DEF">
              <w:rPr>
                <w:rFonts w:asciiTheme="minorHAnsi" w:eastAsiaTheme="minorHAnsi" w:hAnsiTheme="minorHAnsi" w:cstheme="minorHAnsi"/>
              </w:rPr>
              <w:t>0,3 – 0,7</w:t>
            </w:r>
          </w:p>
        </w:tc>
        <w:tc>
          <w:tcPr>
            <w:tcW w:w="1842" w:type="dxa"/>
          </w:tcPr>
          <w:p w14:paraId="3A580164" w14:textId="77777777" w:rsidR="009F3E17" w:rsidRPr="00A84DEF" w:rsidRDefault="009F3E17" w:rsidP="00A84DEF">
            <w:pPr>
              <w:jc w:val="center"/>
              <w:rPr>
                <w:rFonts w:asciiTheme="minorHAnsi" w:eastAsiaTheme="minorHAnsi" w:hAnsiTheme="minorHAnsi" w:cstheme="minorHAnsi"/>
              </w:rPr>
            </w:pPr>
            <w:r w:rsidRPr="00A84DEF">
              <w:rPr>
                <w:rFonts w:asciiTheme="minorHAnsi" w:eastAsiaTheme="minorHAnsi" w:hAnsiTheme="minorHAnsi" w:cstheme="minorHAnsi"/>
              </w:rPr>
              <w:t>-</w:t>
            </w:r>
          </w:p>
        </w:tc>
      </w:tr>
      <w:tr w:rsidR="009F3E17" w:rsidRPr="00A84DEF" w14:paraId="33F9ABE1" w14:textId="77777777" w:rsidTr="00EA573C">
        <w:tc>
          <w:tcPr>
            <w:tcW w:w="9206" w:type="dxa"/>
            <w:gridSpan w:val="5"/>
          </w:tcPr>
          <w:p w14:paraId="1ACFE10F" w14:textId="77777777" w:rsidR="009F3E17" w:rsidRPr="00A84DEF" w:rsidRDefault="009F3E17" w:rsidP="00A84DEF">
            <w:pPr>
              <w:jc w:val="center"/>
              <w:rPr>
                <w:rFonts w:asciiTheme="minorHAnsi" w:eastAsiaTheme="minorHAnsi" w:hAnsiTheme="minorHAnsi" w:cstheme="minorHAnsi"/>
              </w:rPr>
            </w:pPr>
            <w:r w:rsidRPr="00A84DEF">
              <w:rPr>
                <w:rFonts w:asciiTheme="minorHAnsi" w:eastAsiaTheme="minorHAnsi" w:hAnsiTheme="minorHAnsi" w:cstheme="minorHAnsi"/>
              </w:rPr>
              <w:t>Dla dróg o kategorii ruchu KR 1 – Kr2 – rodzaj emulsji C60B3 ZM</w:t>
            </w:r>
          </w:p>
        </w:tc>
      </w:tr>
      <w:tr w:rsidR="009F3E17" w:rsidRPr="00A84DEF" w14:paraId="69E63E0C" w14:textId="77777777" w:rsidTr="00EA573C">
        <w:tc>
          <w:tcPr>
            <w:tcW w:w="1841" w:type="dxa"/>
            <w:vMerge w:val="restart"/>
          </w:tcPr>
          <w:p w14:paraId="0C43AFC2" w14:textId="77777777" w:rsidR="009F3E17" w:rsidRPr="00A84DEF" w:rsidRDefault="009F3E17" w:rsidP="00A84DEF">
            <w:pPr>
              <w:rPr>
                <w:rFonts w:asciiTheme="minorHAnsi" w:eastAsiaTheme="minorHAnsi" w:hAnsiTheme="minorHAnsi" w:cstheme="minorHAnsi"/>
              </w:rPr>
            </w:pPr>
            <w:r w:rsidRPr="00A84DEF">
              <w:rPr>
                <w:rFonts w:asciiTheme="minorHAnsi" w:eastAsiaTheme="minorHAnsi" w:hAnsiTheme="minorHAnsi" w:cstheme="minorHAnsi"/>
              </w:rPr>
              <w:t>Warstwa podbudowy asfaltowej lub stara nawierzchnia asfaltowa</w:t>
            </w:r>
          </w:p>
        </w:tc>
        <w:tc>
          <w:tcPr>
            <w:tcW w:w="1841" w:type="dxa"/>
          </w:tcPr>
          <w:p w14:paraId="1BBA50DD" w14:textId="77777777" w:rsidR="009F3E17" w:rsidRPr="00A84DEF" w:rsidRDefault="009F3E17" w:rsidP="00A84DEF">
            <w:pPr>
              <w:rPr>
                <w:rFonts w:asciiTheme="minorHAnsi" w:eastAsiaTheme="minorHAnsi" w:hAnsiTheme="minorHAnsi" w:cstheme="minorHAnsi"/>
              </w:rPr>
            </w:pPr>
            <w:r w:rsidRPr="00A84DEF">
              <w:rPr>
                <w:rFonts w:asciiTheme="minorHAnsi" w:eastAsiaTheme="minorHAnsi" w:hAnsiTheme="minorHAnsi" w:cstheme="minorHAnsi"/>
              </w:rPr>
              <w:t>Nowo wykonana podbudowa lub stara nawierzchnia szczelna</w:t>
            </w:r>
          </w:p>
        </w:tc>
        <w:tc>
          <w:tcPr>
            <w:tcW w:w="1841" w:type="dxa"/>
          </w:tcPr>
          <w:p w14:paraId="55BCE847" w14:textId="77777777" w:rsidR="009F3E17" w:rsidRPr="00A84DEF" w:rsidRDefault="009F3E17" w:rsidP="00A84DEF">
            <w:pPr>
              <w:jc w:val="center"/>
              <w:rPr>
                <w:rFonts w:asciiTheme="minorHAnsi" w:eastAsiaTheme="minorHAnsi" w:hAnsiTheme="minorHAnsi" w:cstheme="minorHAnsi"/>
              </w:rPr>
            </w:pPr>
            <w:r w:rsidRPr="00A84DEF">
              <w:rPr>
                <w:rFonts w:asciiTheme="minorHAnsi" w:eastAsiaTheme="minorHAnsi" w:hAnsiTheme="minorHAnsi" w:cstheme="minorHAnsi"/>
              </w:rPr>
              <w:t>0,2 – 0,4</w:t>
            </w:r>
          </w:p>
        </w:tc>
        <w:tc>
          <w:tcPr>
            <w:tcW w:w="1841" w:type="dxa"/>
          </w:tcPr>
          <w:p w14:paraId="4B27DC43" w14:textId="77777777" w:rsidR="009F3E17" w:rsidRPr="00A84DEF" w:rsidRDefault="009F3E17" w:rsidP="00A84DEF">
            <w:pPr>
              <w:jc w:val="center"/>
              <w:rPr>
                <w:rFonts w:asciiTheme="minorHAnsi" w:eastAsiaTheme="minorHAnsi" w:hAnsiTheme="minorHAnsi" w:cstheme="minorHAnsi"/>
              </w:rPr>
            </w:pPr>
            <w:r w:rsidRPr="00A84DEF">
              <w:rPr>
                <w:rFonts w:asciiTheme="minorHAnsi" w:eastAsiaTheme="minorHAnsi" w:hAnsiTheme="minorHAnsi" w:cstheme="minorHAnsi"/>
              </w:rPr>
              <w:t>0,3 – 0,5</w:t>
            </w:r>
          </w:p>
        </w:tc>
        <w:tc>
          <w:tcPr>
            <w:tcW w:w="1842" w:type="dxa"/>
          </w:tcPr>
          <w:p w14:paraId="5339C277" w14:textId="77777777" w:rsidR="009F3E17" w:rsidRPr="00A84DEF" w:rsidRDefault="009F3E17" w:rsidP="00A84DEF">
            <w:pPr>
              <w:jc w:val="center"/>
              <w:rPr>
                <w:rFonts w:asciiTheme="minorHAnsi" w:eastAsiaTheme="minorHAnsi" w:hAnsiTheme="minorHAnsi" w:cstheme="minorHAnsi"/>
              </w:rPr>
            </w:pPr>
            <w:r w:rsidRPr="00A84DEF">
              <w:rPr>
                <w:rFonts w:asciiTheme="minorHAnsi" w:eastAsiaTheme="minorHAnsi" w:hAnsiTheme="minorHAnsi" w:cstheme="minorHAnsi"/>
              </w:rPr>
              <w:t>0,2 – 0,4</w:t>
            </w:r>
          </w:p>
        </w:tc>
      </w:tr>
      <w:tr w:rsidR="009F3E17" w:rsidRPr="00A84DEF" w14:paraId="5529F289" w14:textId="77777777" w:rsidTr="00EA573C">
        <w:tc>
          <w:tcPr>
            <w:tcW w:w="1841" w:type="dxa"/>
            <w:vMerge/>
          </w:tcPr>
          <w:p w14:paraId="40E74500" w14:textId="77777777" w:rsidR="009F3E17" w:rsidRPr="00A84DEF" w:rsidRDefault="009F3E17" w:rsidP="00A84DEF">
            <w:pPr>
              <w:rPr>
                <w:rFonts w:asciiTheme="minorHAnsi" w:eastAsiaTheme="minorHAnsi" w:hAnsiTheme="minorHAnsi" w:cstheme="minorHAnsi"/>
              </w:rPr>
            </w:pPr>
          </w:p>
        </w:tc>
        <w:tc>
          <w:tcPr>
            <w:tcW w:w="1841" w:type="dxa"/>
          </w:tcPr>
          <w:p w14:paraId="034EE765" w14:textId="77777777" w:rsidR="009F3E17" w:rsidRPr="00A84DEF" w:rsidRDefault="009F3E17" w:rsidP="00A84DEF">
            <w:pPr>
              <w:rPr>
                <w:rFonts w:asciiTheme="minorHAnsi" w:eastAsiaTheme="minorHAnsi" w:hAnsiTheme="minorHAnsi" w:cstheme="minorHAnsi"/>
              </w:rPr>
            </w:pPr>
            <w:r w:rsidRPr="00A84DEF">
              <w:rPr>
                <w:rFonts w:asciiTheme="minorHAnsi" w:eastAsiaTheme="minorHAnsi" w:hAnsiTheme="minorHAnsi" w:cstheme="minorHAnsi"/>
              </w:rPr>
              <w:t>Frezowana</w:t>
            </w:r>
          </w:p>
        </w:tc>
        <w:tc>
          <w:tcPr>
            <w:tcW w:w="1841" w:type="dxa"/>
          </w:tcPr>
          <w:p w14:paraId="050FD1BB" w14:textId="77777777" w:rsidR="009F3E17" w:rsidRPr="00A84DEF" w:rsidRDefault="009F3E17" w:rsidP="00A84DEF">
            <w:pPr>
              <w:jc w:val="center"/>
              <w:rPr>
                <w:rFonts w:asciiTheme="minorHAnsi" w:eastAsiaTheme="minorHAnsi" w:hAnsiTheme="minorHAnsi" w:cstheme="minorHAnsi"/>
              </w:rPr>
            </w:pPr>
            <w:r w:rsidRPr="00A84DEF">
              <w:rPr>
                <w:rFonts w:asciiTheme="minorHAnsi" w:eastAsiaTheme="minorHAnsi" w:hAnsiTheme="minorHAnsi" w:cstheme="minorHAnsi"/>
              </w:rPr>
              <w:t>0,3 – 0,5</w:t>
            </w:r>
          </w:p>
        </w:tc>
        <w:tc>
          <w:tcPr>
            <w:tcW w:w="1841" w:type="dxa"/>
          </w:tcPr>
          <w:p w14:paraId="4AEDA3B7" w14:textId="77777777" w:rsidR="009F3E17" w:rsidRPr="00A84DEF" w:rsidRDefault="009F3E17" w:rsidP="00A84DEF">
            <w:pPr>
              <w:jc w:val="center"/>
              <w:rPr>
                <w:rFonts w:asciiTheme="minorHAnsi" w:eastAsiaTheme="minorHAnsi" w:hAnsiTheme="minorHAnsi" w:cstheme="minorHAnsi"/>
              </w:rPr>
            </w:pPr>
            <w:r w:rsidRPr="00A84DEF">
              <w:rPr>
                <w:rFonts w:asciiTheme="minorHAnsi" w:eastAsiaTheme="minorHAnsi" w:hAnsiTheme="minorHAnsi" w:cstheme="minorHAnsi"/>
              </w:rPr>
              <w:t>0,3 – 0,5</w:t>
            </w:r>
          </w:p>
        </w:tc>
        <w:tc>
          <w:tcPr>
            <w:tcW w:w="1842" w:type="dxa"/>
          </w:tcPr>
          <w:p w14:paraId="19AE7778" w14:textId="77777777" w:rsidR="009F3E17" w:rsidRPr="00A84DEF" w:rsidRDefault="009F3E17" w:rsidP="00A84DEF">
            <w:pPr>
              <w:jc w:val="center"/>
              <w:rPr>
                <w:rFonts w:asciiTheme="minorHAnsi" w:eastAsiaTheme="minorHAnsi" w:hAnsiTheme="minorHAnsi" w:cstheme="minorHAnsi"/>
              </w:rPr>
            </w:pPr>
            <w:r w:rsidRPr="00A84DEF">
              <w:rPr>
                <w:rFonts w:asciiTheme="minorHAnsi" w:eastAsiaTheme="minorHAnsi" w:hAnsiTheme="minorHAnsi" w:cstheme="minorHAnsi"/>
              </w:rPr>
              <w:t>0,3 – 0,5</w:t>
            </w:r>
          </w:p>
        </w:tc>
      </w:tr>
      <w:tr w:rsidR="009F3E17" w:rsidRPr="00A84DEF" w14:paraId="529C5588" w14:textId="77777777" w:rsidTr="00EA573C">
        <w:tc>
          <w:tcPr>
            <w:tcW w:w="1841" w:type="dxa"/>
            <w:vMerge/>
          </w:tcPr>
          <w:p w14:paraId="454A5799" w14:textId="77777777" w:rsidR="009F3E17" w:rsidRPr="00A84DEF" w:rsidRDefault="009F3E17" w:rsidP="00A84DEF">
            <w:pPr>
              <w:rPr>
                <w:rFonts w:asciiTheme="minorHAnsi" w:eastAsiaTheme="minorHAnsi" w:hAnsiTheme="minorHAnsi" w:cstheme="minorHAnsi"/>
              </w:rPr>
            </w:pPr>
          </w:p>
        </w:tc>
        <w:tc>
          <w:tcPr>
            <w:tcW w:w="1841" w:type="dxa"/>
          </w:tcPr>
          <w:p w14:paraId="500F5CA7" w14:textId="77777777" w:rsidR="009F3E17" w:rsidRPr="00A84DEF" w:rsidRDefault="009F3E17" w:rsidP="00A84DEF">
            <w:pPr>
              <w:rPr>
                <w:rFonts w:asciiTheme="minorHAnsi" w:eastAsiaTheme="minorHAnsi" w:hAnsiTheme="minorHAnsi" w:cstheme="minorHAnsi"/>
              </w:rPr>
            </w:pPr>
            <w:r w:rsidRPr="00A84DEF">
              <w:rPr>
                <w:rFonts w:asciiTheme="minorHAnsi" w:eastAsiaTheme="minorHAnsi" w:hAnsiTheme="minorHAnsi" w:cstheme="minorHAnsi"/>
              </w:rPr>
              <w:t>Porowata lub w złym stanie</w:t>
            </w:r>
          </w:p>
        </w:tc>
        <w:tc>
          <w:tcPr>
            <w:tcW w:w="1841" w:type="dxa"/>
          </w:tcPr>
          <w:p w14:paraId="786244DC" w14:textId="77777777" w:rsidR="009F3E17" w:rsidRPr="00A84DEF" w:rsidRDefault="009F3E17" w:rsidP="00A84DEF">
            <w:pPr>
              <w:jc w:val="center"/>
              <w:rPr>
                <w:rFonts w:asciiTheme="minorHAnsi" w:eastAsiaTheme="minorHAnsi" w:hAnsiTheme="minorHAnsi" w:cstheme="minorHAnsi"/>
              </w:rPr>
            </w:pPr>
            <w:r w:rsidRPr="00A84DEF">
              <w:rPr>
                <w:rFonts w:asciiTheme="minorHAnsi" w:eastAsiaTheme="minorHAnsi" w:hAnsiTheme="minorHAnsi" w:cstheme="minorHAnsi"/>
              </w:rPr>
              <w:t>0,3 – 0,6</w:t>
            </w:r>
          </w:p>
        </w:tc>
        <w:tc>
          <w:tcPr>
            <w:tcW w:w="1841" w:type="dxa"/>
          </w:tcPr>
          <w:p w14:paraId="6CF8B616" w14:textId="77777777" w:rsidR="009F3E17" w:rsidRPr="00A84DEF" w:rsidRDefault="009F3E17" w:rsidP="00A84DEF">
            <w:pPr>
              <w:jc w:val="center"/>
              <w:rPr>
                <w:rFonts w:asciiTheme="minorHAnsi" w:eastAsiaTheme="minorHAnsi" w:hAnsiTheme="minorHAnsi" w:cstheme="minorHAnsi"/>
              </w:rPr>
            </w:pPr>
            <w:r w:rsidRPr="00A84DEF">
              <w:rPr>
                <w:rFonts w:asciiTheme="minorHAnsi" w:eastAsiaTheme="minorHAnsi" w:hAnsiTheme="minorHAnsi" w:cstheme="minorHAnsi"/>
              </w:rPr>
              <w:t>0,3 – 0,7</w:t>
            </w:r>
          </w:p>
        </w:tc>
        <w:tc>
          <w:tcPr>
            <w:tcW w:w="1842" w:type="dxa"/>
          </w:tcPr>
          <w:p w14:paraId="1C6E6819" w14:textId="77777777" w:rsidR="009F3E17" w:rsidRPr="00A84DEF" w:rsidRDefault="009F3E17" w:rsidP="00A84DEF">
            <w:pPr>
              <w:jc w:val="center"/>
              <w:rPr>
                <w:rFonts w:asciiTheme="minorHAnsi" w:eastAsiaTheme="minorHAnsi" w:hAnsiTheme="minorHAnsi" w:cstheme="minorHAnsi"/>
              </w:rPr>
            </w:pPr>
            <w:r w:rsidRPr="00A84DEF">
              <w:rPr>
                <w:rFonts w:asciiTheme="minorHAnsi" w:eastAsiaTheme="minorHAnsi" w:hAnsiTheme="minorHAnsi" w:cstheme="minorHAnsi"/>
              </w:rPr>
              <w:t>0,3 – 0,5</w:t>
            </w:r>
          </w:p>
        </w:tc>
      </w:tr>
      <w:tr w:rsidR="009F3E17" w:rsidRPr="00A84DEF" w14:paraId="222227D1" w14:textId="77777777" w:rsidTr="00EA573C">
        <w:tc>
          <w:tcPr>
            <w:tcW w:w="1841" w:type="dxa"/>
            <w:vMerge w:val="restart"/>
          </w:tcPr>
          <w:p w14:paraId="528A2310" w14:textId="77777777" w:rsidR="009F3E17" w:rsidRPr="00A84DEF" w:rsidRDefault="009F3E17" w:rsidP="00A84DEF">
            <w:pPr>
              <w:rPr>
                <w:rFonts w:asciiTheme="minorHAnsi" w:eastAsiaTheme="minorHAnsi" w:hAnsiTheme="minorHAnsi" w:cstheme="minorHAnsi"/>
              </w:rPr>
            </w:pPr>
            <w:r w:rsidRPr="00A84DEF">
              <w:rPr>
                <w:rFonts w:asciiTheme="minorHAnsi" w:eastAsiaTheme="minorHAnsi" w:hAnsiTheme="minorHAnsi" w:cstheme="minorHAnsi"/>
              </w:rPr>
              <w:t>Warstwa wiążąca</w:t>
            </w:r>
          </w:p>
        </w:tc>
        <w:tc>
          <w:tcPr>
            <w:tcW w:w="1841" w:type="dxa"/>
          </w:tcPr>
          <w:p w14:paraId="187002CB" w14:textId="77777777" w:rsidR="009F3E17" w:rsidRPr="00A84DEF" w:rsidRDefault="009F3E17" w:rsidP="00A84DEF">
            <w:pPr>
              <w:rPr>
                <w:rFonts w:asciiTheme="minorHAnsi" w:eastAsiaTheme="minorHAnsi" w:hAnsiTheme="minorHAnsi" w:cstheme="minorHAnsi"/>
              </w:rPr>
            </w:pPr>
            <w:r w:rsidRPr="00A84DEF">
              <w:rPr>
                <w:rFonts w:asciiTheme="minorHAnsi" w:eastAsiaTheme="minorHAnsi" w:hAnsiTheme="minorHAnsi" w:cstheme="minorHAnsi"/>
              </w:rPr>
              <w:t>Nowo wykonana</w:t>
            </w:r>
          </w:p>
        </w:tc>
        <w:tc>
          <w:tcPr>
            <w:tcW w:w="1841" w:type="dxa"/>
          </w:tcPr>
          <w:p w14:paraId="1C27E164" w14:textId="77777777" w:rsidR="009F3E17" w:rsidRPr="00A84DEF" w:rsidRDefault="009F3E17" w:rsidP="00A84DEF">
            <w:pPr>
              <w:jc w:val="center"/>
              <w:rPr>
                <w:rFonts w:asciiTheme="minorHAnsi" w:eastAsiaTheme="minorHAnsi" w:hAnsiTheme="minorHAnsi" w:cstheme="minorHAnsi"/>
              </w:rPr>
            </w:pPr>
            <w:r w:rsidRPr="00A84DEF">
              <w:rPr>
                <w:rFonts w:asciiTheme="minorHAnsi" w:eastAsiaTheme="minorHAnsi" w:hAnsiTheme="minorHAnsi" w:cstheme="minorHAnsi"/>
              </w:rPr>
              <w:t>-</w:t>
            </w:r>
          </w:p>
        </w:tc>
        <w:tc>
          <w:tcPr>
            <w:tcW w:w="1841" w:type="dxa"/>
          </w:tcPr>
          <w:p w14:paraId="40FE8348" w14:textId="77777777" w:rsidR="009F3E17" w:rsidRPr="00A84DEF" w:rsidRDefault="009F3E17" w:rsidP="00A84DEF">
            <w:pPr>
              <w:jc w:val="center"/>
              <w:rPr>
                <w:rFonts w:asciiTheme="minorHAnsi" w:eastAsiaTheme="minorHAnsi" w:hAnsiTheme="minorHAnsi" w:cstheme="minorHAnsi"/>
              </w:rPr>
            </w:pPr>
            <w:r w:rsidRPr="00A84DEF">
              <w:rPr>
                <w:rFonts w:asciiTheme="minorHAnsi" w:eastAsiaTheme="minorHAnsi" w:hAnsiTheme="minorHAnsi" w:cstheme="minorHAnsi"/>
              </w:rPr>
              <w:t>X</w:t>
            </w:r>
          </w:p>
        </w:tc>
        <w:tc>
          <w:tcPr>
            <w:tcW w:w="1842" w:type="dxa"/>
          </w:tcPr>
          <w:p w14:paraId="7EFF45B5" w14:textId="77777777" w:rsidR="009F3E17" w:rsidRPr="00A84DEF" w:rsidRDefault="009F3E17" w:rsidP="00A84DEF">
            <w:pPr>
              <w:jc w:val="center"/>
              <w:rPr>
                <w:rFonts w:asciiTheme="minorHAnsi" w:eastAsiaTheme="minorHAnsi" w:hAnsiTheme="minorHAnsi" w:cstheme="minorHAnsi"/>
              </w:rPr>
            </w:pPr>
            <w:r w:rsidRPr="00A84DEF">
              <w:rPr>
                <w:rFonts w:asciiTheme="minorHAnsi" w:eastAsiaTheme="minorHAnsi" w:hAnsiTheme="minorHAnsi" w:cstheme="minorHAnsi"/>
              </w:rPr>
              <w:t>0,2 – 0,4</w:t>
            </w:r>
          </w:p>
        </w:tc>
      </w:tr>
      <w:tr w:rsidR="009F3E17" w:rsidRPr="00A84DEF" w14:paraId="14BC903D" w14:textId="77777777" w:rsidTr="00EA573C">
        <w:tc>
          <w:tcPr>
            <w:tcW w:w="1841" w:type="dxa"/>
            <w:vMerge/>
          </w:tcPr>
          <w:p w14:paraId="135E4888" w14:textId="77777777" w:rsidR="009F3E17" w:rsidRPr="00A84DEF" w:rsidRDefault="009F3E17" w:rsidP="00A84DEF">
            <w:pPr>
              <w:rPr>
                <w:rFonts w:asciiTheme="minorHAnsi" w:eastAsiaTheme="minorHAnsi" w:hAnsiTheme="minorHAnsi" w:cstheme="minorHAnsi"/>
              </w:rPr>
            </w:pPr>
          </w:p>
        </w:tc>
        <w:tc>
          <w:tcPr>
            <w:tcW w:w="1841" w:type="dxa"/>
          </w:tcPr>
          <w:p w14:paraId="23114773" w14:textId="77777777" w:rsidR="009F3E17" w:rsidRPr="00A84DEF" w:rsidRDefault="009F3E17" w:rsidP="00A84DEF">
            <w:pPr>
              <w:rPr>
                <w:rFonts w:asciiTheme="minorHAnsi" w:eastAsiaTheme="minorHAnsi" w:hAnsiTheme="minorHAnsi" w:cstheme="minorHAnsi"/>
              </w:rPr>
            </w:pPr>
            <w:r w:rsidRPr="00A84DEF">
              <w:rPr>
                <w:rFonts w:asciiTheme="minorHAnsi" w:eastAsiaTheme="minorHAnsi" w:hAnsiTheme="minorHAnsi" w:cstheme="minorHAnsi"/>
              </w:rPr>
              <w:t>Frezowana</w:t>
            </w:r>
          </w:p>
        </w:tc>
        <w:tc>
          <w:tcPr>
            <w:tcW w:w="1841" w:type="dxa"/>
          </w:tcPr>
          <w:p w14:paraId="68EEC989" w14:textId="77777777" w:rsidR="009F3E17" w:rsidRPr="00A84DEF" w:rsidRDefault="009F3E17" w:rsidP="00A84DEF">
            <w:pPr>
              <w:jc w:val="center"/>
              <w:rPr>
                <w:rFonts w:asciiTheme="minorHAnsi" w:eastAsiaTheme="minorHAnsi" w:hAnsiTheme="minorHAnsi" w:cstheme="minorHAnsi"/>
              </w:rPr>
            </w:pPr>
            <w:r w:rsidRPr="00A84DEF">
              <w:rPr>
                <w:rFonts w:asciiTheme="minorHAnsi" w:eastAsiaTheme="minorHAnsi" w:hAnsiTheme="minorHAnsi" w:cstheme="minorHAnsi"/>
              </w:rPr>
              <w:t>-</w:t>
            </w:r>
          </w:p>
        </w:tc>
        <w:tc>
          <w:tcPr>
            <w:tcW w:w="1841" w:type="dxa"/>
          </w:tcPr>
          <w:p w14:paraId="2BB686E7" w14:textId="77777777" w:rsidR="009F3E17" w:rsidRPr="00A84DEF" w:rsidRDefault="009F3E17" w:rsidP="00A84DEF">
            <w:pPr>
              <w:jc w:val="center"/>
              <w:rPr>
                <w:rFonts w:asciiTheme="minorHAnsi" w:eastAsiaTheme="minorHAnsi" w:hAnsiTheme="minorHAnsi" w:cstheme="minorHAnsi"/>
              </w:rPr>
            </w:pPr>
            <w:r w:rsidRPr="00A84DEF">
              <w:rPr>
                <w:rFonts w:asciiTheme="minorHAnsi" w:eastAsiaTheme="minorHAnsi" w:hAnsiTheme="minorHAnsi" w:cstheme="minorHAnsi"/>
              </w:rPr>
              <w:t>0,3 – 0,5</w:t>
            </w:r>
          </w:p>
        </w:tc>
        <w:tc>
          <w:tcPr>
            <w:tcW w:w="1842" w:type="dxa"/>
          </w:tcPr>
          <w:p w14:paraId="1462289B" w14:textId="77777777" w:rsidR="009F3E17" w:rsidRPr="00A84DEF" w:rsidRDefault="009F3E17" w:rsidP="00A84DEF">
            <w:pPr>
              <w:jc w:val="center"/>
              <w:rPr>
                <w:rFonts w:asciiTheme="minorHAnsi" w:eastAsiaTheme="minorHAnsi" w:hAnsiTheme="minorHAnsi" w:cstheme="minorHAnsi"/>
              </w:rPr>
            </w:pPr>
            <w:r w:rsidRPr="00A84DEF">
              <w:rPr>
                <w:rFonts w:asciiTheme="minorHAnsi" w:eastAsiaTheme="minorHAnsi" w:hAnsiTheme="minorHAnsi" w:cstheme="minorHAnsi"/>
              </w:rPr>
              <w:t>0,3 – 0,5</w:t>
            </w:r>
          </w:p>
        </w:tc>
      </w:tr>
      <w:tr w:rsidR="009F3E17" w:rsidRPr="00A84DEF" w14:paraId="66F7CF78" w14:textId="77777777" w:rsidTr="00EA573C">
        <w:tc>
          <w:tcPr>
            <w:tcW w:w="1841" w:type="dxa"/>
            <w:vMerge/>
          </w:tcPr>
          <w:p w14:paraId="20F6240B" w14:textId="77777777" w:rsidR="009F3E17" w:rsidRPr="00A84DEF" w:rsidRDefault="009F3E17" w:rsidP="00A84DEF">
            <w:pPr>
              <w:rPr>
                <w:rFonts w:asciiTheme="minorHAnsi" w:eastAsiaTheme="minorHAnsi" w:hAnsiTheme="minorHAnsi" w:cstheme="minorHAnsi"/>
              </w:rPr>
            </w:pPr>
          </w:p>
        </w:tc>
        <w:tc>
          <w:tcPr>
            <w:tcW w:w="1841" w:type="dxa"/>
          </w:tcPr>
          <w:p w14:paraId="1DD17019" w14:textId="77777777" w:rsidR="009F3E17" w:rsidRPr="00A84DEF" w:rsidRDefault="009F3E17" w:rsidP="00A84DEF">
            <w:pPr>
              <w:rPr>
                <w:rFonts w:asciiTheme="minorHAnsi" w:eastAsiaTheme="minorHAnsi" w:hAnsiTheme="minorHAnsi" w:cstheme="minorHAnsi"/>
              </w:rPr>
            </w:pPr>
            <w:r w:rsidRPr="00A84DEF">
              <w:rPr>
                <w:rFonts w:asciiTheme="minorHAnsi" w:eastAsiaTheme="minorHAnsi" w:hAnsiTheme="minorHAnsi" w:cstheme="minorHAnsi"/>
              </w:rPr>
              <w:t>Porowata lub w złym stanie</w:t>
            </w:r>
          </w:p>
        </w:tc>
        <w:tc>
          <w:tcPr>
            <w:tcW w:w="1841" w:type="dxa"/>
          </w:tcPr>
          <w:p w14:paraId="06C6281B" w14:textId="77777777" w:rsidR="009F3E17" w:rsidRPr="00A84DEF" w:rsidRDefault="009F3E17" w:rsidP="00A84DEF">
            <w:pPr>
              <w:jc w:val="center"/>
              <w:rPr>
                <w:rFonts w:asciiTheme="minorHAnsi" w:eastAsiaTheme="minorHAnsi" w:hAnsiTheme="minorHAnsi" w:cstheme="minorHAnsi"/>
              </w:rPr>
            </w:pPr>
            <w:r w:rsidRPr="00A84DEF">
              <w:rPr>
                <w:rFonts w:asciiTheme="minorHAnsi" w:eastAsiaTheme="minorHAnsi" w:hAnsiTheme="minorHAnsi" w:cstheme="minorHAnsi"/>
              </w:rPr>
              <w:t>-</w:t>
            </w:r>
          </w:p>
        </w:tc>
        <w:tc>
          <w:tcPr>
            <w:tcW w:w="1841" w:type="dxa"/>
          </w:tcPr>
          <w:p w14:paraId="7AFD500C" w14:textId="77777777" w:rsidR="009F3E17" w:rsidRPr="00A84DEF" w:rsidRDefault="009F3E17" w:rsidP="00A84DEF">
            <w:pPr>
              <w:jc w:val="center"/>
              <w:rPr>
                <w:rFonts w:asciiTheme="minorHAnsi" w:eastAsiaTheme="minorHAnsi" w:hAnsiTheme="minorHAnsi" w:cstheme="minorHAnsi"/>
              </w:rPr>
            </w:pPr>
            <w:r w:rsidRPr="00A84DEF">
              <w:rPr>
                <w:rFonts w:asciiTheme="minorHAnsi" w:eastAsiaTheme="minorHAnsi" w:hAnsiTheme="minorHAnsi" w:cstheme="minorHAnsi"/>
              </w:rPr>
              <w:t>0,3 – 0,6</w:t>
            </w:r>
          </w:p>
        </w:tc>
        <w:tc>
          <w:tcPr>
            <w:tcW w:w="1842" w:type="dxa"/>
          </w:tcPr>
          <w:p w14:paraId="62F4DE0F" w14:textId="77777777" w:rsidR="009F3E17" w:rsidRPr="00A84DEF" w:rsidRDefault="009F3E17" w:rsidP="00A84DEF">
            <w:pPr>
              <w:jc w:val="center"/>
              <w:rPr>
                <w:rFonts w:asciiTheme="minorHAnsi" w:eastAsiaTheme="minorHAnsi" w:hAnsiTheme="minorHAnsi" w:cstheme="minorHAnsi"/>
              </w:rPr>
            </w:pPr>
            <w:r w:rsidRPr="00A84DEF">
              <w:rPr>
                <w:rFonts w:asciiTheme="minorHAnsi" w:eastAsiaTheme="minorHAnsi" w:hAnsiTheme="minorHAnsi" w:cstheme="minorHAnsi"/>
              </w:rPr>
              <w:t>0,3 – 0,5</w:t>
            </w:r>
          </w:p>
        </w:tc>
      </w:tr>
      <w:tr w:rsidR="009F3E17" w:rsidRPr="00A84DEF" w14:paraId="1AE93A14" w14:textId="77777777" w:rsidTr="00EA573C">
        <w:tc>
          <w:tcPr>
            <w:tcW w:w="9206" w:type="dxa"/>
            <w:gridSpan w:val="5"/>
          </w:tcPr>
          <w:p w14:paraId="4BDF2F9F" w14:textId="77777777" w:rsidR="009F3E17" w:rsidRPr="00A84DEF" w:rsidRDefault="009F3E17" w:rsidP="00A84DEF">
            <w:pPr>
              <w:rPr>
                <w:rFonts w:asciiTheme="minorHAnsi" w:eastAsiaTheme="minorHAnsi" w:hAnsiTheme="minorHAnsi" w:cstheme="minorHAnsi"/>
              </w:rPr>
            </w:pPr>
            <w:r w:rsidRPr="00A84DEF">
              <w:rPr>
                <w:rFonts w:asciiTheme="minorHAnsi" w:eastAsiaTheme="minorHAnsi" w:hAnsiTheme="minorHAnsi" w:cstheme="minorHAnsi"/>
              </w:rPr>
              <w:t>* do złączenia dwoch warstw asfaltowych, gdy obydwie te warstwy wykonane są z zastosowaniem asfaltow</w:t>
            </w:r>
          </w:p>
          <w:p w14:paraId="4C32B85C" w14:textId="77777777" w:rsidR="009F3E17" w:rsidRPr="00A84DEF" w:rsidRDefault="009F3E17" w:rsidP="00A84DEF">
            <w:pPr>
              <w:rPr>
                <w:rFonts w:asciiTheme="minorHAnsi" w:eastAsiaTheme="minorHAnsi" w:hAnsiTheme="minorHAnsi" w:cstheme="minorHAnsi"/>
              </w:rPr>
            </w:pPr>
            <w:r w:rsidRPr="00A84DEF">
              <w:rPr>
                <w:rFonts w:asciiTheme="minorHAnsi" w:eastAsiaTheme="minorHAnsi" w:hAnsiTheme="minorHAnsi" w:cstheme="minorHAnsi"/>
              </w:rPr>
              <w:t>niemodyfikowanych dopuszcza się zastosowanie emulsji C60B3 ZM</w:t>
            </w:r>
          </w:p>
          <w:p w14:paraId="50D773D8" w14:textId="77777777" w:rsidR="009F3E17" w:rsidRPr="00A84DEF" w:rsidRDefault="009F3E17" w:rsidP="00A84DEF">
            <w:pPr>
              <w:rPr>
                <w:rFonts w:asciiTheme="minorHAnsi" w:eastAsiaTheme="minorHAnsi" w:hAnsiTheme="minorHAnsi" w:cstheme="minorHAnsi"/>
              </w:rPr>
            </w:pPr>
            <w:r w:rsidRPr="00A84DEF">
              <w:rPr>
                <w:rFonts w:asciiTheme="minorHAnsi" w:eastAsiaTheme="minorHAnsi" w:hAnsiTheme="minorHAnsi" w:cstheme="minorHAnsi"/>
              </w:rPr>
              <w:t>Uwaga: w celu określenia ilości pozostałego lepiszcza asfaltowego, należy ilość emulsji asfaltowej podaną</w:t>
            </w:r>
          </w:p>
          <w:p w14:paraId="7483F7D0" w14:textId="77777777" w:rsidR="009F3E17" w:rsidRPr="00A84DEF" w:rsidRDefault="009F3E17" w:rsidP="00A84DEF">
            <w:pPr>
              <w:rPr>
                <w:rFonts w:asciiTheme="minorHAnsi" w:eastAsiaTheme="minorHAnsi" w:hAnsiTheme="minorHAnsi" w:cstheme="minorHAnsi"/>
              </w:rPr>
            </w:pPr>
            <w:r w:rsidRPr="00A84DEF">
              <w:rPr>
                <w:rFonts w:asciiTheme="minorHAnsi" w:eastAsiaTheme="minorHAnsi" w:hAnsiTheme="minorHAnsi" w:cstheme="minorHAnsi"/>
              </w:rPr>
              <w:t>w tabeli pomnożyć przez 0,6.</w:t>
            </w:r>
          </w:p>
          <w:p w14:paraId="05C6D84F" w14:textId="77777777" w:rsidR="009F3E17" w:rsidRPr="00A84DEF" w:rsidRDefault="009F3E17" w:rsidP="00A84DEF">
            <w:pPr>
              <w:rPr>
                <w:rFonts w:asciiTheme="minorHAnsi" w:eastAsiaTheme="minorHAnsi" w:hAnsiTheme="minorHAnsi" w:cstheme="minorHAnsi"/>
              </w:rPr>
            </w:pPr>
            <w:r w:rsidRPr="00A84DEF">
              <w:rPr>
                <w:rFonts w:asciiTheme="minorHAnsi" w:eastAsiaTheme="minorHAnsi" w:hAnsiTheme="minorHAnsi" w:cstheme="minorHAnsi"/>
              </w:rPr>
              <w:t>Objaśnienia:</w:t>
            </w:r>
          </w:p>
          <w:p w14:paraId="3864F7FC" w14:textId="77777777" w:rsidR="009F3E17" w:rsidRPr="00A84DEF" w:rsidRDefault="009F3E17" w:rsidP="00A84DEF">
            <w:pPr>
              <w:rPr>
                <w:rFonts w:asciiTheme="minorHAnsi" w:eastAsiaTheme="minorHAnsi" w:hAnsiTheme="minorHAnsi" w:cstheme="minorHAnsi"/>
              </w:rPr>
            </w:pPr>
            <w:r w:rsidRPr="00A84DEF">
              <w:rPr>
                <w:rFonts w:asciiTheme="minorHAnsi" w:eastAsiaTheme="minorHAnsi" w:hAnsiTheme="minorHAnsi" w:cstheme="minorHAnsi"/>
              </w:rPr>
              <w:t>„ x ” - nie dotyczy</w:t>
            </w:r>
          </w:p>
          <w:p w14:paraId="148A5B9C" w14:textId="77777777" w:rsidR="009F3E17" w:rsidRPr="00A84DEF" w:rsidRDefault="009F3E17" w:rsidP="00A84DEF">
            <w:pPr>
              <w:rPr>
                <w:rFonts w:asciiTheme="minorHAnsi" w:eastAsiaTheme="minorHAnsi" w:hAnsiTheme="minorHAnsi" w:cstheme="minorHAnsi"/>
              </w:rPr>
            </w:pPr>
            <w:r w:rsidRPr="00A84DEF">
              <w:rPr>
                <w:rFonts w:asciiTheme="minorHAnsi" w:eastAsiaTheme="minorHAnsi" w:hAnsiTheme="minorHAnsi" w:cstheme="minorHAnsi"/>
              </w:rPr>
              <w:t>„ - ” - rozwiązanie nie występuje</w:t>
            </w:r>
          </w:p>
        </w:tc>
      </w:tr>
    </w:tbl>
    <w:p w14:paraId="0065D2E8" w14:textId="77777777" w:rsidR="009F3E17" w:rsidRPr="00A84DEF" w:rsidRDefault="009F3E17" w:rsidP="00A84DEF">
      <w:pPr>
        <w:rPr>
          <w:rFonts w:asciiTheme="minorHAnsi" w:eastAsiaTheme="minorHAnsi" w:hAnsiTheme="minorHAnsi" w:cstheme="minorHAnsi"/>
        </w:rPr>
      </w:pPr>
    </w:p>
    <w:p w14:paraId="5D58C640" w14:textId="77777777" w:rsidR="009F3E17" w:rsidRPr="00A84DEF" w:rsidRDefault="009F3E17" w:rsidP="00A84DEF">
      <w:pPr>
        <w:rPr>
          <w:rFonts w:asciiTheme="minorHAnsi" w:eastAsiaTheme="minorHAnsi" w:hAnsiTheme="minorHAnsi" w:cstheme="minorHAnsi"/>
        </w:rPr>
      </w:pPr>
      <w:r w:rsidRPr="00A84DEF">
        <w:rPr>
          <w:rFonts w:asciiTheme="minorHAnsi" w:eastAsiaTheme="minorHAnsi" w:hAnsiTheme="minorHAnsi" w:cstheme="minorHAnsi"/>
        </w:rPr>
        <w:t>Optymalną ilość emulsji asfaltowej do skropienia należy ustalić na odcinku próbnym układania mieszanki mineralno-asfaltowej. Ocenę należy dokonać na podstawie wytrzymałości na ścinanie, wymagania wg tabeli 4. W uzasadnionych przypadkach (brak sczepności), zakresy dozowania podane w tabeli 2 mogą zostać rozszerzone.</w:t>
      </w:r>
    </w:p>
    <w:p w14:paraId="31BA7964" w14:textId="77777777" w:rsidR="009F3E17" w:rsidRPr="00A84DEF" w:rsidRDefault="009F3E17" w:rsidP="00A84DEF">
      <w:pPr>
        <w:rPr>
          <w:rFonts w:asciiTheme="minorHAnsi" w:eastAsiaTheme="minorHAnsi" w:hAnsiTheme="minorHAnsi" w:cstheme="minorHAnsi"/>
          <w:b/>
          <w:bCs/>
        </w:rPr>
      </w:pPr>
      <w:r w:rsidRPr="00A84DEF">
        <w:rPr>
          <w:rFonts w:asciiTheme="minorHAnsi" w:eastAsiaTheme="minorHAnsi" w:hAnsiTheme="minorHAnsi" w:cstheme="minorHAnsi"/>
          <w:b/>
          <w:bCs/>
        </w:rPr>
        <w:t>5.2.3.6. Skropienie warstwy z mieszanki niezwiązanej lub związanej hydraulicznie</w:t>
      </w:r>
    </w:p>
    <w:p w14:paraId="59CFC805" w14:textId="77777777" w:rsidR="009F3E17" w:rsidRPr="00A84DEF" w:rsidRDefault="009F3E17" w:rsidP="00A84DEF">
      <w:pPr>
        <w:rPr>
          <w:rFonts w:asciiTheme="minorHAnsi" w:eastAsiaTheme="minorHAnsi" w:hAnsiTheme="minorHAnsi" w:cstheme="minorHAnsi"/>
        </w:rPr>
      </w:pPr>
      <w:r w:rsidRPr="00A84DEF">
        <w:rPr>
          <w:rFonts w:asciiTheme="minorHAnsi" w:eastAsiaTheme="minorHAnsi" w:hAnsiTheme="minorHAnsi" w:cstheme="minorHAnsi"/>
        </w:rPr>
        <w:t>W przypadku skrapiania warstwy z mieszanki niezwiązanej lub związanej hydraulicznie po okresie długotrwałych opadow deszczu, Inspektor Nadzoru dopuszcza powierzchnię, która ma być skrapiana i charakteryzuje się odpowiednią wilgotnością (patrz pkt 5.2.2.2.). Jeśli poziom zawilgocenia warstwy jest zbyt duży, należy wstrzymać się ze skrapianiem do momentu przesuszenia powierzchni warstwy. Skropienie lepiszczem powinno być wykonane w ilości podanej w tabeli 3. Kontrolę ilości lepiszcza w trakcie skrapiania należy dokonać według PN-EN 12272-1. Skrapiarka powinna zapewniać rozkładanie lepiszcza z tolerancją ±10 % w stosunku do ilości założonej.</w:t>
      </w:r>
    </w:p>
    <w:p w14:paraId="133947BA" w14:textId="77777777" w:rsidR="009F3E17" w:rsidRPr="00A84DEF" w:rsidRDefault="009F3E17" w:rsidP="00A84DEF">
      <w:pPr>
        <w:rPr>
          <w:rFonts w:asciiTheme="minorHAnsi" w:eastAsiaTheme="minorHAnsi" w:hAnsiTheme="minorHAnsi" w:cstheme="minorHAnsi"/>
          <w:bCs/>
        </w:rPr>
      </w:pPr>
    </w:p>
    <w:p w14:paraId="1781713B" w14:textId="77777777" w:rsidR="009F3E17" w:rsidRPr="00A84DEF" w:rsidRDefault="009F3E17" w:rsidP="00A84DEF">
      <w:pPr>
        <w:rPr>
          <w:rFonts w:asciiTheme="minorHAnsi" w:eastAsiaTheme="minorHAnsi" w:hAnsiTheme="minorHAnsi" w:cstheme="minorHAnsi"/>
        </w:rPr>
      </w:pPr>
      <w:r w:rsidRPr="00A84DEF">
        <w:rPr>
          <w:rFonts w:asciiTheme="minorHAnsi" w:eastAsiaTheme="minorHAnsi" w:hAnsiTheme="minorHAnsi" w:cstheme="minorHAnsi"/>
          <w:bCs/>
        </w:rPr>
        <w:t xml:space="preserve">Tabela 3. Zalecane ilości emulsji asfaltowej do skropienia podłoża z mieszanki niezwiązanej i związanej hydraulicznie [kg/m2] </w:t>
      </w:r>
      <w:r w:rsidRPr="00A84DEF">
        <w:rPr>
          <w:rFonts w:asciiTheme="minorHAnsi" w:eastAsiaTheme="minorHAnsi" w:hAnsiTheme="minorHAnsi" w:cstheme="minorHAnsi"/>
        </w:rPr>
        <w:t>(uwaga - przyjęto dla emulsji kationowej o zawartości asfaltu rownej 60% wg PN-EN 13808:2013 Załącznik Krajowy NA, rodzaj C60B10 ZM/R)</w:t>
      </w:r>
    </w:p>
    <w:tbl>
      <w:tblPr>
        <w:tblStyle w:val="Tabela-Siatka"/>
        <w:tblW w:w="0" w:type="auto"/>
        <w:tblLook w:val="04A0" w:firstRow="1" w:lastRow="0" w:firstColumn="1" w:lastColumn="0" w:noHBand="0" w:noVBand="1"/>
      </w:tblPr>
      <w:tblGrid>
        <w:gridCol w:w="3028"/>
        <w:gridCol w:w="3009"/>
        <w:gridCol w:w="3018"/>
      </w:tblGrid>
      <w:tr w:rsidR="009F3E17" w:rsidRPr="00A84DEF" w14:paraId="662048F5" w14:textId="77777777" w:rsidTr="00EA573C">
        <w:tc>
          <w:tcPr>
            <w:tcW w:w="3068" w:type="dxa"/>
            <w:vMerge w:val="restart"/>
          </w:tcPr>
          <w:p w14:paraId="5BE1A2EC" w14:textId="77777777" w:rsidR="009F3E17" w:rsidRPr="00A84DEF" w:rsidRDefault="009F3E17" w:rsidP="00A84DEF">
            <w:pPr>
              <w:jc w:val="center"/>
              <w:rPr>
                <w:rFonts w:asciiTheme="minorHAnsi" w:eastAsiaTheme="minorHAnsi" w:hAnsiTheme="minorHAnsi" w:cstheme="minorHAnsi"/>
              </w:rPr>
            </w:pPr>
            <w:r w:rsidRPr="00A84DEF">
              <w:rPr>
                <w:rFonts w:asciiTheme="minorHAnsi" w:eastAsiaTheme="minorHAnsi" w:hAnsiTheme="minorHAnsi" w:cstheme="minorHAnsi"/>
              </w:rPr>
              <w:t>Rodzaj podłoża</w:t>
            </w:r>
          </w:p>
          <w:p w14:paraId="7A34244D" w14:textId="77777777" w:rsidR="009F3E17" w:rsidRPr="00A84DEF" w:rsidRDefault="009F3E17" w:rsidP="00A84DEF">
            <w:pPr>
              <w:jc w:val="center"/>
              <w:rPr>
                <w:rFonts w:asciiTheme="minorHAnsi" w:eastAsiaTheme="minorHAnsi" w:hAnsiTheme="minorHAnsi" w:cstheme="minorHAnsi"/>
              </w:rPr>
            </w:pPr>
          </w:p>
        </w:tc>
        <w:tc>
          <w:tcPr>
            <w:tcW w:w="6138" w:type="dxa"/>
            <w:gridSpan w:val="2"/>
          </w:tcPr>
          <w:p w14:paraId="3D61A5BE" w14:textId="77777777" w:rsidR="009F3E17" w:rsidRPr="00A84DEF" w:rsidRDefault="009F3E17" w:rsidP="00A84DEF">
            <w:pPr>
              <w:jc w:val="center"/>
              <w:rPr>
                <w:rFonts w:asciiTheme="minorHAnsi" w:eastAsiaTheme="minorHAnsi" w:hAnsiTheme="minorHAnsi" w:cstheme="minorHAnsi"/>
              </w:rPr>
            </w:pPr>
            <w:r w:rsidRPr="00A84DEF">
              <w:rPr>
                <w:rFonts w:asciiTheme="minorHAnsi" w:eastAsiaTheme="minorHAnsi" w:hAnsiTheme="minorHAnsi" w:cstheme="minorHAnsi"/>
              </w:rPr>
              <w:t>Emulsja asfaltowa</w:t>
            </w:r>
          </w:p>
        </w:tc>
      </w:tr>
      <w:tr w:rsidR="009F3E17" w:rsidRPr="00A84DEF" w14:paraId="60D5B616" w14:textId="77777777" w:rsidTr="00EA573C">
        <w:tc>
          <w:tcPr>
            <w:tcW w:w="3068" w:type="dxa"/>
            <w:vMerge/>
          </w:tcPr>
          <w:p w14:paraId="7F9BBE29" w14:textId="77777777" w:rsidR="009F3E17" w:rsidRPr="00A84DEF" w:rsidRDefault="009F3E17" w:rsidP="00A84DEF">
            <w:pPr>
              <w:jc w:val="center"/>
              <w:rPr>
                <w:rFonts w:asciiTheme="minorHAnsi" w:eastAsiaTheme="minorHAnsi" w:hAnsiTheme="minorHAnsi" w:cstheme="minorHAnsi"/>
              </w:rPr>
            </w:pPr>
          </w:p>
        </w:tc>
        <w:tc>
          <w:tcPr>
            <w:tcW w:w="3069" w:type="dxa"/>
          </w:tcPr>
          <w:p w14:paraId="14DB1EF6" w14:textId="77777777" w:rsidR="009F3E17" w:rsidRPr="00A84DEF" w:rsidRDefault="009F3E17" w:rsidP="00A84DEF">
            <w:pPr>
              <w:jc w:val="center"/>
              <w:rPr>
                <w:rFonts w:asciiTheme="minorHAnsi" w:eastAsiaTheme="minorHAnsi" w:hAnsiTheme="minorHAnsi" w:cstheme="minorHAnsi"/>
              </w:rPr>
            </w:pPr>
            <w:r w:rsidRPr="00A84DEF">
              <w:rPr>
                <w:rFonts w:asciiTheme="minorHAnsi" w:eastAsiaTheme="minorHAnsi" w:hAnsiTheme="minorHAnsi" w:cstheme="minorHAnsi"/>
              </w:rPr>
              <w:t>Ilość</w:t>
            </w:r>
          </w:p>
        </w:tc>
        <w:tc>
          <w:tcPr>
            <w:tcW w:w="3069" w:type="dxa"/>
          </w:tcPr>
          <w:p w14:paraId="353F84C8" w14:textId="77777777" w:rsidR="009F3E17" w:rsidRPr="00A84DEF" w:rsidRDefault="009F3E17" w:rsidP="00A84DEF">
            <w:pPr>
              <w:jc w:val="center"/>
              <w:rPr>
                <w:rFonts w:asciiTheme="minorHAnsi" w:eastAsiaTheme="minorHAnsi" w:hAnsiTheme="minorHAnsi" w:cstheme="minorHAnsi"/>
              </w:rPr>
            </w:pPr>
            <w:r w:rsidRPr="00A84DEF">
              <w:rPr>
                <w:rFonts w:asciiTheme="minorHAnsi" w:eastAsiaTheme="minorHAnsi" w:hAnsiTheme="minorHAnsi" w:cstheme="minorHAnsi"/>
              </w:rPr>
              <w:t>Rodzaj</w:t>
            </w:r>
          </w:p>
        </w:tc>
      </w:tr>
      <w:tr w:rsidR="009F3E17" w:rsidRPr="00A84DEF" w14:paraId="3E533871" w14:textId="77777777" w:rsidTr="00EA573C">
        <w:tc>
          <w:tcPr>
            <w:tcW w:w="3068" w:type="dxa"/>
          </w:tcPr>
          <w:p w14:paraId="01B74423" w14:textId="77777777" w:rsidR="009F3E17" w:rsidRPr="00A84DEF" w:rsidRDefault="009F3E17" w:rsidP="00A84DEF">
            <w:pPr>
              <w:rPr>
                <w:rFonts w:asciiTheme="minorHAnsi" w:eastAsiaTheme="minorHAnsi" w:hAnsiTheme="minorHAnsi" w:cstheme="minorHAnsi"/>
              </w:rPr>
            </w:pPr>
            <w:r w:rsidRPr="00A84DEF">
              <w:rPr>
                <w:rFonts w:asciiTheme="minorHAnsi" w:eastAsiaTheme="minorHAnsi" w:hAnsiTheme="minorHAnsi" w:cstheme="minorHAnsi"/>
              </w:rPr>
              <w:t>Warstwa podbudowy</w:t>
            </w:r>
          </w:p>
          <w:p w14:paraId="6EBD9388" w14:textId="77777777" w:rsidR="009F3E17" w:rsidRPr="00A84DEF" w:rsidRDefault="009F3E17" w:rsidP="00A84DEF">
            <w:pPr>
              <w:rPr>
                <w:rFonts w:asciiTheme="minorHAnsi" w:eastAsiaTheme="minorHAnsi" w:hAnsiTheme="minorHAnsi" w:cstheme="minorHAnsi"/>
              </w:rPr>
            </w:pPr>
            <w:r w:rsidRPr="00A84DEF">
              <w:rPr>
                <w:rFonts w:asciiTheme="minorHAnsi" w:eastAsiaTheme="minorHAnsi" w:hAnsiTheme="minorHAnsi" w:cstheme="minorHAnsi"/>
              </w:rPr>
              <w:t>z mieszanki niezwiązanej</w:t>
            </w:r>
          </w:p>
        </w:tc>
        <w:tc>
          <w:tcPr>
            <w:tcW w:w="3069" w:type="dxa"/>
          </w:tcPr>
          <w:p w14:paraId="79D1B7AD" w14:textId="77777777" w:rsidR="009F3E17" w:rsidRPr="00A84DEF" w:rsidRDefault="009F3E17" w:rsidP="00A84DEF">
            <w:pPr>
              <w:jc w:val="center"/>
              <w:rPr>
                <w:rFonts w:asciiTheme="minorHAnsi" w:eastAsiaTheme="minorHAnsi" w:hAnsiTheme="minorHAnsi" w:cstheme="minorHAnsi"/>
              </w:rPr>
            </w:pPr>
            <w:r w:rsidRPr="00A84DEF">
              <w:rPr>
                <w:rFonts w:asciiTheme="minorHAnsi" w:eastAsiaTheme="minorHAnsi" w:hAnsiTheme="minorHAnsi" w:cstheme="minorHAnsi"/>
              </w:rPr>
              <w:t>0,5 – 0,7</w:t>
            </w:r>
          </w:p>
        </w:tc>
        <w:tc>
          <w:tcPr>
            <w:tcW w:w="3069" w:type="dxa"/>
          </w:tcPr>
          <w:p w14:paraId="7D804E92" w14:textId="77777777" w:rsidR="009F3E17" w:rsidRPr="00A84DEF" w:rsidRDefault="009F3E17" w:rsidP="00A84DEF">
            <w:pPr>
              <w:jc w:val="center"/>
              <w:rPr>
                <w:rFonts w:asciiTheme="minorHAnsi" w:eastAsiaTheme="minorHAnsi" w:hAnsiTheme="minorHAnsi" w:cstheme="minorHAnsi"/>
              </w:rPr>
            </w:pPr>
            <w:r w:rsidRPr="00A84DEF">
              <w:rPr>
                <w:rFonts w:asciiTheme="minorHAnsi" w:eastAsiaTheme="minorHAnsi" w:hAnsiTheme="minorHAnsi" w:cstheme="minorHAnsi"/>
              </w:rPr>
              <w:t>C60B10 ZM/R</w:t>
            </w:r>
          </w:p>
        </w:tc>
      </w:tr>
      <w:tr w:rsidR="009F3E17" w:rsidRPr="00A84DEF" w14:paraId="5E68DC2E" w14:textId="77777777" w:rsidTr="00EA573C">
        <w:tc>
          <w:tcPr>
            <w:tcW w:w="3068" w:type="dxa"/>
          </w:tcPr>
          <w:p w14:paraId="19A91534" w14:textId="77777777" w:rsidR="009F3E17" w:rsidRPr="00A84DEF" w:rsidRDefault="009F3E17" w:rsidP="00A84DEF">
            <w:pPr>
              <w:rPr>
                <w:rFonts w:asciiTheme="minorHAnsi" w:eastAsiaTheme="minorHAnsi" w:hAnsiTheme="minorHAnsi" w:cstheme="minorHAnsi"/>
              </w:rPr>
            </w:pPr>
            <w:r w:rsidRPr="00A84DEF">
              <w:rPr>
                <w:rFonts w:asciiTheme="minorHAnsi" w:eastAsiaTheme="minorHAnsi" w:hAnsiTheme="minorHAnsi" w:cstheme="minorHAnsi"/>
              </w:rPr>
              <w:t>Warstwa podbudowy</w:t>
            </w:r>
          </w:p>
          <w:p w14:paraId="069F30AE" w14:textId="77777777" w:rsidR="009F3E17" w:rsidRPr="00A84DEF" w:rsidRDefault="009F3E17" w:rsidP="00A84DEF">
            <w:pPr>
              <w:rPr>
                <w:rFonts w:asciiTheme="minorHAnsi" w:eastAsiaTheme="minorHAnsi" w:hAnsiTheme="minorHAnsi" w:cstheme="minorHAnsi"/>
              </w:rPr>
            </w:pPr>
            <w:r w:rsidRPr="00A84DEF">
              <w:rPr>
                <w:rFonts w:asciiTheme="minorHAnsi" w:eastAsiaTheme="minorHAnsi" w:hAnsiTheme="minorHAnsi" w:cstheme="minorHAnsi"/>
              </w:rPr>
              <w:t>z mieszanki związanej</w:t>
            </w:r>
          </w:p>
          <w:p w14:paraId="241B2CF3" w14:textId="77777777" w:rsidR="009F3E17" w:rsidRPr="00A84DEF" w:rsidRDefault="009F3E17" w:rsidP="00A84DEF">
            <w:pPr>
              <w:rPr>
                <w:rFonts w:asciiTheme="minorHAnsi" w:eastAsiaTheme="minorHAnsi" w:hAnsiTheme="minorHAnsi" w:cstheme="minorHAnsi"/>
              </w:rPr>
            </w:pPr>
            <w:r w:rsidRPr="00A84DEF">
              <w:rPr>
                <w:rFonts w:asciiTheme="minorHAnsi" w:eastAsiaTheme="minorHAnsi" w:hAnsiTheme="minorHAnsi" w:cstheme="minorHAnsi"/>
              </w:rPr>
              <w:t>spoiwem hydraulicznym</w:t>
            </w:r>
          </w:p>
        </w:tc>
        <w:tc>
          <w:tcPr>
            <w:tcW w:w="3069" w:type="dxa"/>
          </w:tcPr>
          <w:p w14:paraId="4198206C" w14:textId="77777777" w:rsidR="009F3E17" w:rsidRPr="00A84DEF" w:rsidRDefault="009F3E17" w:rsidP="00A84DEF">
            <w:pPr>
              <w:jc w:val="center"/>
              <w:rPr>
                <w:rFonts w:asciiTheme="minorHAnsi" w:eastAsiaTheme="minorHAnsi" w:hAnsiTheme="minorHAnsi" w:cstheme="minorHAnsi"/>
              </w:rPr>
            </w:pPr>
            <w:r w:rsidRPr="00A84DEF">
              <w:rPr>
                <w:rFonts w:asciiTheme="minorHAnsi" w:eastAsiaTheme="minorHAnsi" w:hAnsiTheme="minorHAnsi" w:cstheme="minorHAnsi"/>
              </w:rPr>
              <w:t>0,3 – 0,7</w:t>
            </w:r>
          </w:p>
        </w:tc>
        <w:tc>
          <w:tcPr>
            <w:tcW w:w="3069" w:type="dxa"/>
          </w:tcPr>
          <w:p w14:paraId="0420A747" w14:textId="77777777" w:rsidR="009F3E17" w:rsidRPr="00A84DEF" w:rsidRDefault="009F3E17" w:rsidP="00A84DEF">
            <w:pPr>
              <w:jc w:val="center"/>
              <w:rPr>
                <w:rFonts w:asciiTheme="minorHAnsi" w:eastAsiaTheme="minorHAnsi" w:hAnsiTheme="minorHAnsi" w:cstheme="minorHAnsi"/>
              </w:rPr>
            </w:pPr>
            <w:r w:rsidRPr="00A84DEF">
              <w:rPr>
                <w:rFonts w:asciiTheme="minorHAnsi" w:eastAsiaTheme="minorHAnsi" w:hAnsiTheme="minorHAnsi" w:cstheme="minorHAnsi"/>
              </w:rPr>
              <w:t>C60B10 ZM/R</w:t>
            </w:r>
          </w:p>
          <w:p w14:paraId="73BE12AD" w14:textId="77777777" w:rsidR="009F3E17" w:rsidRPr="00A84DEF" w:rsidRDefault="009F3E17" w:rsidP="00A84DEF">
            <w:pPr>
              <w:jc w:val="center"/>
              <w:rPr>
                <w:rFonts w:asciiTheme="minorHAnsi" w:eastAsiaTheme="minorHAnsi" w:hAnsiTheme="minorHAnsi" w:cstheme="minorHAnsi"/>
              </w:rPr>
            </w:pPr>
            <w:r w:rsidRPr="00A84DEF">
              <w:rPr>
                <w:rFonts w:asciiTheme="minorHAnsi" w:eastAsiaTheme="minorHAnsi" w:hAnsiTheme="minorHAnsi" w:cstheme="minorHAnsi"/>
              </w:rPr>
              <w:t>zalecane pH ≥ 3,5</w:t>
            </w:r>
          </w:p>
          <w:p w14:paraId="5DDF666A" w14:textId="77777777" w:rsidR="009F3E17" w:rsidRPr="00A84DEF" w:rsidRDefault="009F3E17" w:rsidP="00A84DEF">
            <w:pPr>
              <w:jc w:val="center"/>
              <w:rPr>
                <w:rFonts w:asciiTheme="minorHAnsi" w:eastAsiaTheme="minorHAnsi" w:hAnsiTheme="minorHAnsi" w:cstheme="minorHAnsi"/>
              </w:rPr>
            </w:pPr>
          </w:p>
        </w:tc>
      </w:tr>
    </w:tbl>
    <w:p w14:paraId="77D3AB39" w14:textId="77777777" w:rsidR="009F3E17" w:rsidRPr="00A84DEF" w:rsidRDefault="009F3E17" w:rsidP="00A84DEF">
      <w:pPr>
        <w:rPr>
          <w:rFonts w:asciiTheme="minorHAnsi" w:eastAsiaTheme="minorHAnsi" w:hAnsiTheme="minorHAnsi" w:cstheme="minorHAnsi"/>
        </w:rPr>
      </w:pPr>
    </w:p>
    <w:p w14:paraId="0E5C93BC" w14:textId="77777777" w:rsidR="009F3E17" w:rsidRPr="00A84DEF" w:rsidRDefault="009F3E17" w:rsidP="00A84DEF">
      <w:pPr>
        <w:rPr>
          <w:rFonts w:asciiTheme="minorHAnsi" w:eastAsiaTheme="minorHAnsi" w:hAnsiTheme="minorHAnsi" w:cstheme="minorHAnsi"/>
          <w:b/>
          <w:bCs/>
        </w:rPr>
      </w:pPr>
      <w:r w:rsidRPr="00A84DEF">
        <w:rPr>
          <w:rFonts w:asciiTheme="minorHAnsi" w:eastAsiaTheme="minorHAnsi" w:hAnsiTheme="minorHAnsi" w:cstheme="minorHAnsi"/>
          <w:b/>
          <w:bCs/>
        </w:rPr>
        <w:t>5.2.3.7. Ochrona wykonanego skropienia</w:t>
      </w:r>
    </w:p>
    <w:p w14:paraId="109C47AD" w14:textId="77777777" w:rsidR="009F3E17" w:rsidRPr="00A84DEF" w:rsidRDefault="009F3E17" w:rsidP="00A84DEF">
      <w:pPr>
        <w:rPr>
          <w:rFonts w:asciiTheme="minorHAnsi" w:eastAsiaTheme="minorHAnsi" w:hAnsiTheme="minorHAnsi" w:cstheme="minorHAnsi"/>
        </w:rPr>
      </w:pPr>
      <w:r w:rsidRPr="00A84DEF">
        <w:rPr>
          <w:rFonts w:asciiTheme="minorHAnsi" w:eastAsiaTheme="minorHAnsi" w:hAnsiTheme="minorHAnsi" w:cstheme="minorHAnsi"/>
        </w:rPr>
        <w:t>Wykonanie warstwy ochronnej emulsji przez dodatkowe skropienie z użyciem mleczka wapiennego należy stosować dla drog o kategorii ruchu KR 4÷7. Skropienie mleczkiem wapiennym wykonuje się dopiero wtedy, gdy nastąpi rozpad emulsji i odparuje woda. Stężenie roztworu roboczego mleczka wapiennego należy przygotować tak, by w 100 g probki zawartość wodorotlenku wapnia wyrażona w gramach, a otrzymana przez wysuszenie probki w suszarce w temp. 110</w:t>
      </w:r>
      <w:r w:rsidRPr="00A84DEF">
        <w:rPr>
          <w:rFonts w:ascii="Calibri" w:eastAsiaTheme="minorHAnsi" w:hAnsi="Calibri" w:cs="Calibri"/>
        </w:rPr>
        <w:t></w:t>
      </w:r>
      <w:r w:rsidRPr="00A84DEF">
        <w:rPr>
          <w:rFonts w:asciiTheme="minorHAnsi" w:eastAsiaTheme="minorHAnsi" w:hAnsiTheme="minorHAnsi" w:cstheme="minorHAnsi"/>
        </w:rPr>
        <w:t>±5°C do stałej masy (jednak nie dłużej niż 5 godz.) była:</w:t>
      </w:r>
    </w:p>
    <w:p w14:paraId="56766A0C" w14:textId="77777777" w:rsidR="009F3E17" w:rsidRPr="00A84DEF" w:rsidRDefault="009F3E17" w:rsidP="00262498">
      <w:pPr>
        <w:pStyle w:val="Akapitzlist"/>
        <w:numPr>
          <w:ilvl w:val="0"/>
          <w:numId w:val="265"/>
        </w:numPr>
        <w:overflowPunct/>
        <w:textAlignment w:val="auto"/>
        <w:rPr>
          <w:rFonts w:asciiTheme="minorHAnsi" w:eastAsiaTheme="minorHAnsi" w:hAnsiTheme="minorHAnsi" w:cstheme="minorHAnsi"/>
        </w:rPr>
      </w:pPr>
      <w:r w:rsidRPr="00A84DEF">
        <w:rPr>
          <w:rFonts w:asciiTheme="minorHAnsi" w:eastAsiaTheme="minorHAnsi" w:hAnsiTheme="minorHAnsi" w:cstheme="minorHAnsi"/>
        </w:rPr>
        <w:t>nie mniejsza niż 16,0% i nie większa niż 28,0% - do skropienia podbudowy z mieszanki niezwiązanej lub związanej hydraulicznie,</w:t>
      </w:r>
    </w:p>
    <w:p w14:paraId="17CF4307" w14:textId="77777777" w:rsidR="009F3E17" w:rsidRPr="00A84DEF" w:rsidRDefault="009F3E17" w:rsidP="00262498">
      <w:pPr>
        <w:pStyle w:val="Akapitzlist"/>
        <w:numPr>
          <w:ilvl w:val="0"/>
          <w:numId w:val="265"/>
        </w:numPr>
        <w:overflowPunct/>
        <w:textAlignment w:val="auto"/>
        <w:rPr>
          <w:rFonts w:asciiTheme="minorHAnsi" w:eastAsiaTheme="minorHAnsi" w:hAnsiTheme="minorHAnsi" w:cstheme="minorHAnsi"/>
        </w:rPr>
      </w:pPr>
      <w:r w:rsidRPr="00A84DEF">
        <w:rPr>
          <w:rFonts w:asciiTheme="minorHAnsi" w:eastAsiaTheme="minorHAnsi" w:hAnsiTheme="minorHAnsi" w:cstheme="minorHAnsi"/>
        </w:rPr>
        <w:t>nie mniejsza niż 9,0 % i nie większa niż 16,0% - do skropienia warstw mineralnoasfaltowych.</w:t>
      </w:r>
    </w:p>
    <w:p w14:paraId="054B0FE8" w14:textId="77777777" w:rsidR="009F3E17" w:rsidRPr="00A84DEF" w:rsidRDefault="009F3E17" w:rsidP="00A84DEF">
      <w:pPr>
        <w:rPr>
          <w:rFonts w:asciiTheme="minorHAnsi" w:eastAsiaTheme="minorHAnsi" w:hAnsiTheme="minorHAnsi" w:cstheme="minorHAnsi"/>
        </w:rPr>
      </w:pPr>
      <w:r w:rsidRPr="00A84DEF">
        <w:rPr>
          <w:rFonts w:asciiTheme="minorHAnsi" w:eastAsiaTheme="minorHAnsi" w:hAnsiTheme="minorHAnsi" w:cstheme="minorHAnsi"/>
        </w:rPr>
        <w:t>Dozowana na nawierzchnię dawka roztworu mleczka wapiennego powinna zawierać się w przedziale 250 g/m2  ±20 g.</w:t>
      </w:r>
    </w:p>
    <w:p w14:paraId="2BADD8C7" w14:textId="77777777" w:rsidR="009F3E17" w:rsidRPr="00A84DEF" w:rsidRDefault="009F3E17" w:rsidP="00A84DEF">
      <w:pPr>
        <w:rPr>
          <w:rFonts w:asciiTheme="minorHAnsi" w:eastAsiaTheme="minorHAnsi" w:hAnsiTheme="minorHAnsi" w:cstheme="minorHAnsi"/>
        </w:rPr>
      </w:pPr>
      <w:r w:rsidRPr="00A84DEF">
        <w:rPr>
          <w:rFonts w:asciiTheme="minorHAnsi" w:eastAsiaTheme="minorHAnsi" w:hAnsiTheme="minorHAnsi" w:cstheme="minorHAnsi"/>
        </w:rPr>
        <w:t>Dalsze prace budowlane na zabezpieczonej nawierzchni można prowadzić po odparowaniu wody z zaaplikowanego roztworu mleczka wapiennego - ocena wizualna (powstanie suchego filmu wodorotlenku wapnia na powierzchni). Mleczko wapienne należy przechowywać w odpowiednich zbiornikach homogenizacyjnych z zastosowaniem mechanizmow zabezpieczających. Produkt nie może być przechowywany ani transportowany w pojemnikach aluminiowych oraz przechowywany w temperaturach poniżej 0°C.</w:t>
      </w:r>
    </w:p>
    <w:p w14:paraId="47620530" w14:textId="77777777" w:rsidR="009F3E17" w:rsidRPr="00A84DEF" w:rsidRDefault="009F3E17" w:rsidP="00A84DEF">
      <w:pPr>
        <w:rPr>
          <w:rFonts w:asciiTheme="minorHAnsi" w:eastAsiaTheme="minorHAnsi" w:hAnsiTheme="minorHAnsi" w:cstheme="minorHAnsi"/>
          <w:b/>
          <w:bCs/>
        </w:rPr>
      </w:pPr>
      <w:r w:rsidRPr="00A84DEF">
        <w:rPr>
          <w:rFonts w:asciiTheme="minorHAnsi" w:eastAsiaTheme="minorHAnsi" w:hAnsiTheme="minorHAnsi" w:cstheme="minorHAnsi"/>
          <w:b/>
          <w:bCs/>
        </w:rPr>
        <w:t>5.2.3.8. Wymagania dla połączenia międzywarstwowego</w:t>
      </w:r>
    </w:p>
    <w:p w14:paraId="166DD370" w14:textId="77777777" w:rsidR="009F3E17" w:rsidRPr="00A84DEF" w:rsidRDefault="009F3E17" w:rsidP="00A84DEF">
      <w:pPr>
        <w:rPr>
          <w:rFonts w:asciiTheme="minorHAnsi" w:eastAsiaTheme="minorHAnsi" w:hAnsiTheme="minorHAnsi" w:cstheme="minorHAnsi"/>
        </w:rPr>
      </w:pPr>
      <w:r w:rsidRPr="00A84DEF">
        <w:rPr>
          <w:rFonts w:asciiTheme="minorHAnsi" w:eastAsiaTheme="minorHAnsi" w:hAnsiTheme="minorHAnsi" w:cstheme="minorHAnsi"/>
        </w:rPr>
        <w:t>Wytrzymałość na ścinanie wszystkich połączeń jest warunkiem uzyskania odpowiedniej sztywności konstrukcji, a tym samym trwałości konstrukcji. Jest warunkiem, ktory jest zakładany do obliczenia grubości warstw na etapie wymiarowania nawierzchni i musi być spełniony.</w:t>
      </w:r>
    </w:p>
    <w:p w14:paraId="0E5530BB" w14:textId="77777777" w:rsidR="009F3E17" w:rsidRPr="00A84DEF" w:rsidRDefault="009F3E17" w:rsidP="00A84DEF">
      <w:pPr>
        <w:rPr>
          <w:rFonts w:asciiTheme="minorHAnsi" w:eastAsiaTheme="minorHAnsi" w:hAnsiTheme="minorHAnsi" w:cstheme="minorHAnsi"/>
        </w:rPr>
      </w:pPr>
      <w:r w:rsidRPr="00A84DEF">
        <w:rPr>
          <w:rFonts w:asciiTheme="minorHAnsi" w:eastAsiaTheme="minorHAnsi" w:hAnsiTheme="minorHAnsi" w:cstheme="minorHAnsi"/>
        </w:rPr>
        <w:t>Wymagane minimalne wartości wytrzymałości na ścinanie połączenia między warstwami asfaltowymi nawierzchni podano w tabeli 4</w:t>
      </w:r>
    </w:p>
    <w:p w14:paraId="753B1C85" w14:textId="77777777" w:rsidR="009F3E17" w:rsidRPr="00A84DEF" w:rsidRDefault="009F3E17" w:rsidP="00A84DEF">
      <w:pPr>
        <w:rPr>
          <w:rFonts w:asciiTheme="minorHAnsi" w:eastAsiaTheme="minorHAnsi" w:hAnsiTheme="minorHAnsi" w:cstheme="minorHAnsi"/>
          <w:b/>
          <w:bCs/>
        </w:rPr>
      </w:pPr>
    </w:p>
    <w:p w14:paraId="77C2090F" w14:textId="77777777" w:rsidR="009F3E17" w:rsidRPr="00A84DEF" w:rsidRDefault="009F3E17" w:rsidP="00A84DEF">
      <w:pPr>
        <w:rPr>
          <w:rFonts w:asciiTheme="minorHAnsi" w:eastAsiaTheme="minorHAnsi" w:hAnsiTheme="minorHAnsi" w:cstheme="minorHAnsi"/>
          <w:bCs/>
        </w:rPr>
      </w:pPr>
      <w:r w:rsidRPr="00A84DEF">
        <w:rPr>
          <w:rFonts w:asciiTheme="minorHAnsi" w:eastAsiaTheme="minorHAnsi" w:hAnsiTheme="minorHAnsi" w:cstheme="minorHAnsi"/>
          <w:bCs/>
        </w:rPr>
        <w:t>Tabela 6. Wymagana wytrzymałość na ścinanie połączenia pomiędzy warstwami asfaltowymi nawierzchni</w:t>
      </w:r>
    </w:p>
    <w:tbl>
      <w:tblPr>
        <w:tblStyle w:val="Tabela-Siatka"/>
        <w:tblW w:w="0" w:type="auto"/>
        <w:tblLook w:val="04A0" w:firstRow="1" w:lastRow="0" w:firstColumn="1" w:lastColumn="0" w:noHBand="0" w:noVBand="1"/>
      </w:tblPr>
      <w:tblGrid>
        <w:gridCol w:w="4526"/>
        <w:gridCol w:w="4529"/>
      </w:tblGrid>
      <w:tr w:rsidR="009F3E17" w:rsidRPr="00A84DEF" w14:paraId="45695C9B" w14:textId="77777777" w:rsidTr="00EA573C">
        <w:tc>
          <w:tcPr>
            <w:tcW w:w="4603" w:type="dxa"/>
          </w:tcPr>
          <w:p w14:paraId="69E27045" w14:textId="77777777" w:rsidR="009F3E17" w:rsidRPr="00A84DEF" w:rsidRDefault="009F3E17" w:rsidP="00A84DEF">
            <w:pPr>
              <w:rPr>
                <w:rFonts w:asciiTheme="minorHAnsi" w:eastAsiaTheme="minorHAnsi" w:hAnsiTheme="minorHAnsi" w:cstheme="minorHAnsi"/>
              </w:rPr>
            </w:pPr>
            <w:r w:rsidRPr="00A84DEF">
              <w:rPr>
                <w:rFonts w:asciiTheme="minorHAnsi" w:eastAsiaTheme="minorHAnsi" w:hAnsiTheme="minorHAnsi" w:cstheme="minorHAnsi"/>
              </w:rPr>
              <w:t>Połączenie między warstwami</w:t>
            </w:r>
          </w:p>
        </w:tc>
        <w:tc>
          <w:tcPr>
            <w:tcW w:w="4603" w:type="dxa"/>
          </w:tcPr>
          <w:p w14:paraId="2EF9EF98" w14:textId="77777777" w:rsidR="009F3E17" w:rsidRPr="00A84DEF" w:rsidRDefault="009F3E17" w:rsidP="00A84DEF">
            <w:pPr>
              <w:rPr>
                <w:rFonts w:asciiTheme="minorHAnsi" w:eastAsiaTheme="minorHAnsi" w:hAnsiTheme="minorHAnsi" w:cstheme="minorHAnsi"/>
              </w:rPr>
            </w:pPr>
            <w:r w:rsidRPr="00A84DEF">
              <w:rPr>
                <w:rFonts w:asciiTheme="minorHAnsi" w:eastAsiaTheme="minorHAnsi" w:hAnsiTheme="minorHAnsi" w:cstheme="minorHAnsi"/>
              </w:rPr>
              <w:t>Wymagana minimalna wytrzymałość na ścinanie, na probkach Ø150 mm (Ø100 mm) [MPa]</w:t>
            </w:r>
          </w:p>
        </w:tc>
      </w:tr>
      <w:tr w:rsidR="009F3E17" w:rsidRPr="00A84DEF" w14:paraId="67F7286D" w14:textId="77777777" w:rsidTr="00EA573C">
        <w:tc>
          <w:tcPr>
            <w:tcW w:w="4603" w:type="dxa"/>
          </w:tcPr>
          <w:p w14:paraId="76127D99" w14:textId="77777777" w:rsidR="009F3E17" w:rsidRPr="00A84DEF" w:rsidRDefault="009F3E17" w:rsidP="00A84DEF">
            <w:pPr>
              <w:rPr>
                <w:rFonts w:asciiTheme="minorHAnsi" w:eastAsiaTheme="minorHAnsi" w:hAnsiTheme="minorHAnsi" w:cstheme="minorHAnsi"/>
                <w:bCs/>
              </w:rPr>
            </w:pPr>
            <w:r w:rsidRPr="00A84DEF">
              <w:rPr>
                <w:rFonts w:asciiTheme="minorHAnsi" w:eastAsiaTheme="minorHAnsi" w:hAnsiTheme="minorHAnsi" w:cstheme="minorHAnsi"/>
              </w:rPr>
              <w:t xml:space="preserve">ścieralna - wiążąca </w:t>
            </w:r>
            <w:r w:rsidRPr="00A84DEF">
              <w:rPr>
                <w:rFonts w:asciiTheme="minorHAnsi" w:eastAsiaTheme="minorHAnsi" w:hAnsiTheme="minorHAnsi" w:cstheme="minorHAnsi"/>
                <w:vertAlign w:val="superscript"/>
              </w:rPr>
              <w:t>a)</w:t>
            </w:r>
          </w:p>
        </w:tc>
        <w:tc>
          <w:tcPr>
            <w:tcW w:w="4603" w:type="dxa"/>
          </w:tcPr>
          <w:p w14:paraId="3E6947E0" w14:textId="77777777" w:rsidR="009F3E17" w:rsidRPr="00A84DEF" w:rsidRDefault="009F3E17" w:rsidP="00A84DEF">
            <w:pPr>
              <w:jc w:val="center"/>
              <w:rPr>
                <w:rFonts w:asciiTheme="minorHAnsi" w:eastAsiaTheme="minorHAnsi" w:hAnsiTheme="minorHAnsi" w:cstheme="minorHAnsi"/>
                <w:bCs/>
              </w:rPr>
            </w:pPr>
            <w:r w:rsidRPr="00A84DEF">
              <w:rPr>
                <w:rFonts w:asciiTheme="minorHAnsi" w:eastAsiaTheme="minorHAnsi" w:hAnsiTheme="minorHAnsi" w:cstheme="minorHAnsi"/>
                <w:bCs/>
              </w:rPr>
              <w:t>1,0</w:t>
            </w:r>
          </w:p>
        </w:tc>
      </w:tr>
      <w:tr w:rsidR="009F3E17" w:rsidRPr="00A84DEF" w14:paraId="64D79D5D" w14:textId="77777777" w:rsidTr="00EA573C">
        <w:tc>
          <w:tcPr>
            <w:tcW w:w="4603" w:type="dxa"/>
          </w:tcPr>
          <w:p w14:paraId="0FD6C574" w14:textId="77777777" w:rsidR="009F3E17" w:rsidRPr="00A84DEF" w:rsidRDefault="009F3E17" w:rsidP="00A84DEF">
            <w:pPr>
              <w:rPr>
                <w:rFonts w:asciiTheme="minorHAnsi" w:eastAsiaTheme="minorHAnsi" w:hAnsiTheme="minorHAnsi" w:cstheme="minorHAnsi"/>
                <w:bCs/>
              </w:rPr>
            </w:pPr>
            <w:r w:rsidRPr="00A84DEF">
              <w:rPr>
                <w:rFonts w:asciiTheme="minorHAnsi" w:eastAsiaTheme="minorHAnsi" w:hAnsiTheme="minorHAnsi" w:cstheme="minorHAnsi"/>
              </w:rPr>
              <w:t>wiążąca – podbudowa</w:t>
            </w:r>
          </w:p>
        </w:tc>
        <w:tc>
          <w:tcPr>
            <w:tcW w:w="4603" w:type="dxa"/>
          </w:tcPr>
          <w:p w14:paraId="3D619D2D" w14:textId="77777777" w:rsidR="009F3E17" w:rsidRPr="00A84DEF" w:rsidRDefault="009F3E17" w:rsidP="00A84DEF">
            <w:pPr>
              <w:jc w:val="center"/>
              <w:rPr>
                <w:rFonts w:asciiTheme="minorHAnsi" w:eastAsiaTheme="minorHAnsi" w:hAnsiTheme="minorHAnsi" w:cstheme="minorHAnsi"/>
                <w:bCs/>
              </w:rPr>
            </w:pPr>
            <w:r w:rsidRPr="00A84DEF">
              <w:rPr>
                <w:rFonts w:asciiTheme="minorHAnsi" w:eastAsiaTheme="minorHAnsi" w:hAnsiTheme="minorHAnsi" w:cstheme="minorHAnsi"/>
                <w:bCs/>
              </w:rPr>
              <w:t>0,7</w:t>
            </w:r>
          </w:p>
        </w:tc>
      </w:tr>
      <w:tr w:rsidR="009F3E17" w:rsidRPr="00A84DEF" w14:paraId="36ACE733" w14:textId="77777777" w:rsidTr="00EA573C">
        <w:tc>
          <w:tcPr>
            <w:tcW w:w="4603" w:type="dxa"/>
          </w:tcPr>
          <w:p w14:paraId="3EBCE6B5" w14:textId="77777777" w:rsidR="009F3E17" w:rsidRPr="00A84DEF" w:rsidRDefault="009F3E17" w:rsidP="00A84DEF">
            <w:pPr>
              <w:rPr>
                <w:rFonts w:asciiTheme="minorHAnsi" w:eastAsiaTheme="minorHAnsi" w:hAnsiTheme="minorHAnsi" w:cstheme="minorHAnsi"/>
                <w:bCs/>
              </w:rPr>
            </w:pPr>
            <w:r w:rsidRPr="00A84DEF">
              <w:rPr>
                <w:rFonts w:asciiTheme="minorHAnsi" w:eastAsiaTheme="minorHAnsi" w:hAnsiTheme="minorHAnsi" w:cstheme="minorHAnsi"/>
              </w:rPr>
              <w:t xml:space="preserve">podbudowa - podbudowa </w:t>
            </w:r>
            <w:r w:rsidRPr="00A84DEF">
              <w:rPr>
                <w:rFonts w:asciiTheme="minorHAnsi" w:eastAsiaTheme="minorHAnsi" w:hAnsiTheme="minorHAnsi" w:cstheme="minorHAnsi"/>
                <w:vertAlign w:val="superscript"/>
              </w:rPr>
              <w:t>b)</w:t>
            </w:r>
          </w:p>
        </w:tc>
        <w:tc>
          <w:tcPr>
            <w:tcW w:w="4603" w:type="dxa"/>
          </w:tcPr>
          <w:p w14:paraId="6FEB7323" w14:textId="77777777" w:rsidR="009F3E17" w:rsidRPr="00A84DEF" w:rsidRDefault="009F3E17" w:rsidP="00A84DEF">
            <w:pPr>
              <w:jc w:val="center"/>
              <w:rPr>
                <w:rFonts w:asciiTheme="minorHAnsi" w:eastAsiaTheme="minorHAnsi" w:hAnsiTheme="minorHAnsi" w:cstheme="minorHAnsi"/>
                <w:bCs/>
              </w:rPr>
            </w:pPr>
            <w:r w:rsidRPr="00A84DEF">
              <w:rPr>
                <w:rFonts w:asciiTheme="minorHAnsi" w:eastAsiaTheme="minorHAnsi" w:hAnsiTheme="minorHAnsi" w:cstheme="minorHAnsi"/>
                <w:bCs/>
              </w:rPr>
              <w:t>0,6</w:t>
            </w:r>
          </w:p>
        </w:tc>
      </w:tr>
      <w:tr w:rsidR="009F3E17" w:rsidRPr="00A84DEF" w14:paraId="1EECE7F3" w14:textId="77777777" w:rsidTr="00EA573C">
        <w:tc>
          <w:tcPr>
            <w:tcW w:w="9206" w:type="dxa"/>
            <w:gridSpan w:val="2"/>
          </w:tcPr>
          <w:p w14:paraId="222E4F25" w14:textId="77777777" w:rsidR="009F3E17" w:rsidRPr="00A84DEF" w:rsidRDefault="009F3E17" w:rsidP="00A84DEF">
            <w:pPr>
              <w:rPr>
                <w:rFonts w:asciiTheme="minorHAnsi" w:eastAsiaTheme="minorHAnsi" w:hAnsiTheme="minorHAnsi" w:cstheme="minorHAnsi"/>
              </w:rPr>
            </w:pPr>
            <w:r w:rsidRPr="00A84DEF">
              <w:rPr>
                <w:rFonts w:asciiTheme="minorHAnsi" w:eastAsiaTheme="minorHAnsi" w:hAnsiTheme="minorHAnsi" w:cstheme="minorHAnsi"/>
                <w:vertAlign w:val="superscript"/>
              </w:rPr>
              <w:t>a)</w:t>
            </w:r>
            <w:r w:rsidRPr="00A84DEF">
              <w:rPr>
                <w:rFonts w:asciiTheme="minorHAnsi" w:eastAsiaTheme="minorHAnsi" w:hAnsiTheme="minorHAnsi" w:cstheme="minorHAnsi"/>
              </w:rPr>
              <w:t xml:space="preserve"> Nie dotyczy asfaltowych warstw kompaktowych</w:t>
            </w:r>
          </w:p>
          <w:p w14:paraId="659EFA15" w14:textId="77777777" w:rsidR="009F3E17" w:rsidRPr="00A84DEF" w:rsidRDefault="009F3E17" w:rsidP="00A84DEF">
            <w:pPr>
              <w:rPr>
                <w:rFonts w:asciiTheme="minorHAnsi" w:eastAsiaTheme="minorHAnsi" w:hAnsiTheme="minorHAnsi" w:cstheme="minorHAnsi"/>
                <w:bCs/>
              </w:rPr>
            </w:pPr>
            <w:r w:rsidRPr="00A84DEF">
              <w:rPr>
                <w:rFonts w:asciiTheme="minorHAnsi" w:eastAsiaTheme="minorHAnsi" w:hAnsiTheme="minorHAnsi" w:cstheme="minorHAnsi"/>
                <w:vertAlign w:val="superscript"/>
              </w:rPr>
              <w:t>b)</w:t>
            </w:r>
            <w:r w:rsidRPr="00A84DEF">
              <w:rPr>
                <w:rFonts w:asciiTheme="minorHAnsi" w:eastAsiaTheme="minorHAnsi" w:hAnsiTheme="minorHAnsi" w:cstheme="minorHAnsi"/>
              </w:rPr>
              <w:t xml:space="preserve"> Jeśli podbudowa składa się z kilku warstw asfaltowych</w:t>
            </w:r>
          </w:p>
        </w:tc>
      </w:tr>
    </w:tbl>
    <w:p w14:paraId="018B1379" w14:textId="77777777" w:rsidR="009F3E17" w:rsidRPr="00A84DEF" w:rsidRDefault="009F3E17" w:rsidP="00A84DEF">
      <w:pPr>
        <w:rPr>
          <w:rFonts w:asciiTheme="minorHAnsi" w:eastAsiaTheme="minorHAnsi" w:hAnsiTheme="minorHAnsi" w:cstheme="minorHAnsi"/>
          <w:bCs/>
        </w:rPr>
      </w:pPr>
    </w:p>
    <w:p w14:paraId="4F76B34A" w14:textId="77777777" w:rsidR="009F3E17" w:rsidRPr="00A84DEF" w:rsidRDefault="009F3E17" w:rsidP="00A84DEF">
      <w:pPr>
        <w:rPr>
          <w:rFonts w:asciiTheme="minorHAnsi" w:eastAsiaTheme="minorHAnsi" w:hAnsiTheme="minorHAnsi" w:cstheme="minorHAnsi"/>
        </w:rPr>
      </w:pPr>
    </w:p>
    <w:p w14:paraId="17C90FC7" w14:textId="77777777" w:rsidR="009F3E17" w:rsidRPr="00A84DEF" w:rsidRDefault="009F3E17" w:rsidP="00A84DEF">
      <w:pPr>
        <w:rPr>
          <w:rFonts w:asciiTheme="minorHAnsi" w:hAnsiTheme="minorHAnsi" w:cstheme="minorHAnsi"/>
        </w:rPr>
      </w:pPr>
      <w:r w:rsidRPr="00A84DEF">
        <w:rPr>
          <w:rFonts w:asciiTheme="minorHAnsi" w:eastAsiaTheme="minorHAnsi" w:hAnsiTheme="minorHAnsi" w:cstheme="minorHAnsi"/>
        </w:rPr>
        <w:t>Metodyka badania wytrzymałości na ścinanie zgodnie z „Instrukcją laboratoryjnego badania sczepności międzywarstwowej warstw asfaltowych wg metody Leutnera i wymagania techniczne sczepności. 2014”, z zastosowaniem probek Ø 100 mm lub Ø 150mm”. Badaniem referencyjnym jest badanie na probkach Ø 150 mm. Badanie połączenia międzywarstwowego jako badanie kontrolne, powinno być wykonywane w nawierzchniach drog KR4÷7. Częstość wykonywanych badań powinna wynosić nie rzadziej niż jeden punkt na 15 000 m2 wykonanej nawierzchni. W odniesieniu do drog KR1÷3 badania kontrolne połączenia międzywarstwowego nie są obligatoryjne, jednak należy je wykonywać w przypadkach budzących wątpliwości co do jakości wykonanych robot.</w:t>
      </w:r>
    </w:p>
    <w:p w14:paraId="176F07D5" w14:textId="77777777" w:rsidR="009F3E17" w:rsidRPr="00A84DEF" w:rsidRDefault="009F3E17" w:rsidP="00A84DEF">
      <w:pPr>
        <w:pStyle w:val="Tekstpodstawowy"/>
        <w:spacing w:line="240" w:lineRule="auto"/>
        <w:jc w:val="both"/>
        <w:rPr>
          <w:rFonts w:asciiTheme="minorHAnsi" w:hAnsiTheme="minorHAnsi" w:cstheme="minorHAnsi"/>
          <w:sz w:val="20"/>
          <w:szCs w:val="20"/>
        </w:rPr>
      </w:pPr>
    </w:p>
    <w:p w14:paraId="198C353F" w14:textId="77777777" w:rsidR="009F3E17" w:rsidRPr="00A84DEF" w:rsidRDefault="009F3E17" w:rsidP="00262498">
      <w:pPr>
        <w:pStyle w:val="Nagwek3"/>
        <w:numPr>
          <w:ilvl w:val="0"/>
          <w:numId w:val="250"/>
        </w:numPr>
        <w:spacing w:before="0" w:after="0"/>
        <w:ind w:left="283" w:hanging="283"/>
        <w:rPr>
          <w:rFonts w:asciiTheme="minorHAnsi" w:hAnsiTheme="minorHAnsi" w:cstheme="minorHAnsi"/>
        </w:rPr>
      </w:pPr>
      <w:r w:rsidRPr="00A84DEF">
        <w:rPr>
          <w:rFonts w:asciiTheme="minorHAnsi" w:hAnsiTheme="minorHAnsi" w:cstheme="minorHAnsi"/>
        </w:rPr>
        <w:t>KONTROLA JAKOŚCI</w:t>
      </w:r>
      <w:r w:rsidRPr="00A84DEF">
        <w:rPr>
          <w:rFonts w:asciiTheme="minorHAnsi" w:hAnsiTheme="minorHAnsi" w:cstheme="minorHAnsi"/>
          <w:spacing w:val="-3"/>
        </w:rPr>
        <w:t xml:space="preserve"> </w:t>
      </w:r>
      <w:r w:rsidRPr="00A84DEF">
        <w:rPr>
          <w:rFonts w:asciiTheme="minorHAnsi" w:hAnsiTheme="minorHAnsi" w:cstheme="minorHAnsi"/>
        </w:rPr>
        <w:t>ROBÓT</w:t>
      </w:r>
    </w:p>
    <w:p w14:paraId="32E37493" w14:textId="77777777" w:rsidR="009F3E17" w:rsidRPr="00A84DEF" w:rsidRDefault="009F3E17" w:rsidP="00A84DEF">
      <w:pPr>
        <w:pStyle w:val="Nagwek4"/>
        <w:spacing w:before="0" w:after="0"/>
        <w:rPr>
          <w:rFonts w:asciiTheme="minorHAnsi" w:hAnsiTheme="minorHAnsi" w:cstheme="minorHAnsi"/>
        </w:rPr>
      </w:pPr>
      <w:r w:rsidRPr="00A84DEF">
        <w:rPr>
          <w:rFonts w:asciiTheme="minorHAnsi" w:hAnsiTheme="minorHAnsi" w:cstheme="minorHAnsi"/>
        </w:rPr>
        <w:t>6.1. Ogólne zasady kontroli jakości robót</w:t>
      </w:r>
    </w:p>
    <w:p w14:paraId="5AFBF834" w14:textId="77777777" w:rsidR="009F3E17" w:rsidRPr="00A84DEF" w:rsidRDefault="009F3E17" w:rsidP="00A84DEF">
      <w:pPr>
        <w:pStyle w:val="Tekstpodstawowy"/>
        <w:spacing w:line="240" w:lineRule="auto"/>
        <w:jc w:val="both"/>
        <w:rPr>
          <w:rFonts w:asciiTheme="minorHAnsi" w:hAnsiTheme="minorHAnsi" w:cstheme="minorHAnsi"/>
          <w:sz w:val="20"/>
          <w:szCs w:val="20"/>
        </w:rPr>
      </w:pPr>
    </w:p>
    <w:p w14:paraId="0F6DC3B4" w14:textId="77777777" w:rsidR="009F3E17" w:rsidRPr="00A84DEF" w:rsidRDefault="009F3E17" w:rsidP="00A84DEF">
      <w:pPr>
        <w:pStyle w:val="Tekstpodstawowy"/>
        <w:spacing w:line="240" w:lineRule="auto"/>
        <w:jc w:val="both"/>
        <w:rPr>
          <w:rFonts w:asciiTheme="minorHAnsi" w:hAnsiTheme="minorHAnsi" w:cstheme="minorHAnsi"/>
          <w:sz w:val="20"/>
          <w:szCs w:val="20"/>
        </w:rPr>
      </w:pPr>
      <w:r w:rsidRPr="00A84DEF">
        <w:rPr>
          <w:rFonts w:asciiTheme="minorHAnsi" w:hAnsiTheme="minorHAnsi" w:cstheme="minorHAnsi"/>
          <w:sz w:val="20"/>
          <w:szCs w:val="20"/>
        </w:rPr>
        <w:t>Ogólne zasady kontroli jakości robót podano w STWiORB D-M 00.00.00 „Wymagania ogólne”</w:t>
      </w:r>
    </w:p>
    <w:p w14:paraId="00F97795" w14:textId="77777777" w:rsidR="009F3E17" w:rsidRPr="00A84DEF" w:rsidRDefault="009F3E17" w:rsidP="00A84DEF">
      <w:pPr>
        <w:pStyle w:val="Nagwek4"/>
        <w:spacing w:before="0" w:after="0"/>
        <w:rPr>
          <w:rFonts w:asciiTheme="minorHAnsi" w:hAnsiTheme="minorHAnsi" w:cstheme="minorHAnsi"/>
        </w:rPr>
      </w:pPr>
      <w:r w:rsidRPr="00A84DEF">
        <w:rPr>
          <w:rFonts w:asciiTheme="minorHAnsi" w:hAnsiTheme="minorHAnsi" w:cstheme="minorHAnsi"/>
        </w:rPr>
        <w:t>6.2. Badania przed przystąpieniem do robót</w:t>
      </w:r>
    </w:p>
    <w:p w14:paraId="7D6D4287" w14:textId="77777777" w:rsidR="009F3E17" w:rsidRPr="00A84DEF" w:rsidRDefault="009F3E17" w:rsidP="00A84DEF">
      <w:pPr>
        <w:pStyle w:val="Tekstpodstawowy"/>
        <w:spacing w:line="240" w:lineRule="auto"/>
        <w:jc w:val="both"/>
        <w:rPr>
          <w:rFonts w:asciiTheme="minorHAnsi" w:hAnsiTheme="minorHAnsi" w:cstheme="minorHAnsi"/>
          <w:sz w:val="20"/>
          <w:szCs w:val="20"/>
        </w:rPr>
      </w:pPr>
    </w:p>
    <w:p w14:paraId="639E261C" w14:textId="77777777" w:rsidR="009F3E17" w:rsidRPr="00A84DEF" w:rsidRDefault="009F3E17" w:rsidP="00A84DEF">
      <w:pPr>
        <w:pStyle w:val="Tekstpodstawowy"/>
        <w:spacing w:line="240" w:lineRule="auto"/>
        <w:jc w:val="both"/>
        <w:rPr>
          <w:rFonts w:asciiTheme="minorHAnsi" w:hAnsiTheme="minorHAnsi" w:cstheme="minorHAnsi"/>
          <w:sz w:val="20"/>
          <w:szCs w:val="20"/>
        </w:rPr>
      </w:pPr>
      <w:r w:rsidRPr="00A84DEF">
        <w:rPr>
          <w:rFonts w:asciiTheme="minorHAnsi" w:hAnsiTheme="minorHAnsi" w:cstheme="minorHAnsi"/>
          <w:sz w:val="20"/>
          <w:szCs w:val="20"/>
        </w:rPr>
        <w:t>Przed przystąpieniem do robót Wykonawca powinien:</w:t>
      </w:r>
    </w:p>
    <w:p w14:paraId="4528E94C" w14:textId="77777777" w:rsidR="009F3E17" w:rsidRPr="00A84DEF" w:rsidRDefault="009F3E17" w:rsidP="00262498">
      <w:pPr>
        <w:pStyle w:val="Tekstpodstawowy"/>
        <w:widowControl w:val="0"/>
        <w:numPr>
          <w:ilvl w:val="0"/>
          <w:numId w:val="251"/>
        </w:numPr>
        <w:overflowPunct/>
        <w:adjustRightInd/>
        <w:spacing w:line="240" w:lineRule="auto"/>
        <w:jc w:val="both"/>
        <w:textAlignment w:val="auto"/>
        <w:rPr>
          <w:rFonts w:asciiTheme="minorHAnsi" w:hAnsiTheme="minorHAnsi" w:cstheme="minorHAnsi"/>
          <w:sz w:val="20"/>
          <w:szCs w:val="20"/>
        </w:rPr>
      </w:pPr>
      <w:r w:rsidRPr="00A84DEF">
        <w:rPr>
          <w:rFonts w:asciiTheme="minorHAnsi" w:hAnsiTheme="minorHAnsi" w:cstheme="minorHAnsi"/>
          <w:sz w:val="20"/>
          <w:szCs w:val="20"/>
        </w:rPr>
        <w:t>uzyskać wymagane dokumenty, dopuszczające wyroby budowlane do obrotu i powszechnego stosowania (np. informacje o wyrobie budowlanym, stwierdzenie o oznakowaniu materiału znakiem CE lub znakiem budowlanym B, certyfikat zgodności, deklarację właściwości użytkowych, aprobatę techniczną, ew. badania materiałów wykonane przez dostawców</w:t>
      </w:r>
      <w:r w:rsidRPr="00A84DEF">
        <w:rPr>
          <w:rFonts w:asciiTheme="minorHAnsi" w:hAnsiTheme="minorHAnsi" w:cstheme="minorHAnsi"/>
          <w:spacing w:val="-20"/>
          <w:sz w:val="20"/>
          <w:szCs w:val="20"/>
        </w:rPr>
        <w:t xml:space="preserve"> </w:t>
      </w:r>
      <w:r w:rsidRPr="00A84DEF">
        <w:rPr>
          <w:rFonts w:asciiTheme="minorHAnsi" w:hAnsiTheme="minorHAnsi" w:cstheme="minorHAnsi"/>
          <w:sz w:val="20"/>
          <w:szCs w:val="20"/>
        </w:rPr>
        <w:t>itp.),</w:t>
      </w:r>
    </w:p>
    <w:p w14:paraId="4D8ADC61" w14:textId="77777777" w:rsidR="009F3E17" w:rsidRPr="00A84DEF" w:rsidRDefault="009F3E17" w:rsidP="00262498">
      <w:pPr>
        <w:pStyle w:val="Tekstpodstawowy"/>
        <w:widowControl w:val="0"/>
        <w:numPr>
          <w:ilvl w:val="0"/>
          <w:numId w:val="251"/>
        </w:numPr>
        <w:overflowPunct/>
        <w:adjustRightInd/>
        <w:spacing w:line="240" w:lineRule="auto"/>
        <w:jc w:val="both"/>
        <w:textAlignment w:val="auto"/>
        <w:rPr>
          <w:rFonts w:asciiTheme="minorHAnsi" w:hAnsiTheme="minorHAnsi" w:cstheme="minorHAnsi"/>
          <w:sz w:val="20"/>
          <w:szCs w:val="20"/>
        </w:rPr>
      </w:pPr>
      <w:r w:rsidRPr="00A84DEF">
        <w:rPr>
          <w:rFonts w:asciiTheme="minorHAnsi" w:hAnsiTheme="minorHAnsi" w:cstheme="minorHAnsi"/>
          <w:sz w:val="20"/>
          <w:szCs w:val="20"/>
        </w:rPr>
        <w:t>ew. wykonać własne badania właściwości materiałów przeznaczonych do wykonania robót, określone przez Inżyniera.</w:t>
      </w:r>
    </w:p>
    <w:p w14:paraId="633551EC" w14:textId="77777777" w:rsidR="009F3E17" w:rsidRPr="00A84DEF" w:rsidRDefault="009F3E17" w:rsidP="00A84DEF">
      <w:pPr>
        <w:pStyle w:val="Tekstpodstawowy"/>
        <w:spacing w:line="240" w:lineRule="auto"/>
        <w:jc w:val="both"/>
        <w:rPr>
          <w:rFonts w:asciiTheme="minorHAnsi" w:hAnsiTheme="minorHAnsi" w:cstheme="minorHAnsi"/>
          <w:sz w:val="20"/>
          <w:szCs w:val="20"/>
        </w:rPr>
      </w:pPr>
      <w:r w:rsidRPr="00A84DEF">
        <w:rPr>
          <w:rFonts w:asciiTheme="minorHAnsi" w:hAnsiTheme="minorHAnsi" w:cstheme="minorHAnsi"/>
          <w:sz w:val="20"/>
          <w:szCs w:val="20"/>
        </w:rPr>
        <w:t>Wszystkie dokumenty oraz wyniki badań Wykonawca przedstawia Inżynierowi do akceptacji.</w:t>
      </w:r>
    </w:p>
    <w:p w14:paraId="0F94BF07" w14:textId="77777777" w:rsidR="009F3E17" w:rsidRPr="00A84DEF" w:rsidRDefault="009F3E17" w:rsidP="00A84DEF">
      <w:pPr>
        <w:pStyle w:val="Tekstpodstawowy"/>
        <w:spacing w:line="240" w:lineRule="auto"/>
        <w:jc w:val="both"/>
        <w:rPr>
          <w:rFonts w:asciiTheme="minorHAnsi" w:hAnsiTheme="minorHAnsi" w:cstheme="minorHAnsi"/>
          <w:sz w:val="20"/>
          <w:szCs w:val="20"/>
        </w:rPr>
      </w:pPr>
      <w:r w:rsidRPr="00A84DEF">
        <w:rPr>
          <w:rFonts w:asciiTheme="minorHAnsi" w:hAnsiTheme="minorHAnsi" w:cstheme="minorHAnsi"/>
          <w:sz w:val="20"/>
          <w:szCs w:val="20"/>
        </w:rPr>
        <w:t>Ocena emulsji powinna być oparta na atestach producenta.</w:t>
      </w:r>
    </w:p>
    <w:p w14:paraId="58711F6C" w14:textId="77777777" w:rsidR="009F3E17" w:rsidRPr="00A84DEF" w:rsidRDefault="009F3E17" w:rsidP="00A84DEF">
      <w:pPr>
        <w:pStyle w:val="Nagwek4"/>
        <w:spacing w:before="0" w:after="0"/>
        <w:rPr>
          <w:rFonts w:asciiTheme="minorHAnsi" w:hAnsiTheme="minorHAnsi" w:cstheme="minorHAnsi"/>
        </w:rPr>
      </w:pPr>
      <w:r w:rsidRPr="00A84DEF">
        <w:rPr>
          <w:rFonts w:asciiTheme="minorHAnsi" w:hAnsiTheme="minorHAnsi" w:cstheme="minorHAnsi"/>
        </w:rPr>
        <w:t>6.3. Badania w czasie robót</w:t>
      </w:r>
    </w:p>
    <w:p w14:paraId="06CF4EB3" w14:textId="77777777" w:rsidR="009F3E17" w:rsidRPr="00A84DEF" w:rsidRDefault="009F3E17" w:rsidP="00A84DEF">
      <w:pPr>
        <w:pStyle w:val="Tekstpodstawowy"/>
        <w:spacing w:line="240" w:lineRule="auto"/>
        <w:jc w:val="both"/>
        <w:rPr>
          <w:rFonts w:asciiTheme="minorHAnsi" w:hAnsiTheme="minorHAnsi" w:cstheme="minorHAnsi"/>
          <w:sz w:val="20"/>
          <w:szCs w:val="20"/>
        </w:rPr>
      </w:pPr>
    </w:p>
    <w:p w14:paraId="5A0AE20C" w14:textId="77777777" w:rsidR="009F3E17" w:rsidRPr="00A84DEF" w:rsidRDefault="009F3E17" w:rsidP="00A84DEF">
      <w:pPr>
        <w:pStyle w:val="Tekstpodstawowy"/>
        <w:spacing w:line="240" w:lineRule="auto"/>
        <w:jc w:val="both"/>
        <w:rPr>
          <w:rFonts w:asciiTheme="minorHAnsi" w:hAnsiTheme="minorHAnsi" w:cstheme="minorHAnsi"/>
          <w:sz w:val="20"/>
          <w:szCs w:val="20"/>
        </w:rPr>
      </w:pPr>
      <w:r w:rsidRPr="00A84DEF">
        <w:rPr>
          <w:rFonts w:asciiTheme="minorHAnsi" w:hAnsiTheme="minorHAnsi" w:cstheme="minorHAnsi"/>
          <w:sz w:val="20"/>
          <w:szCs w:val="20"/>
        </w:rPr>
        <w:t>Sprawdzenie jednorodności skropienia i zużycia emulsji (pozostałego</w:t>
      </w:r>
      <w:r w:rsidRPr="00A84DEF">
        <w:rPr>
          <w:rFonts w:asciiTheme="minorHAnsi" w:hAnsiTheme="minorHAnsi" w:cstheme="minorHAnsi"/>
          <w:spacing w:val="-16"/>
          <w:sz w:val="20"/>
          <w:szCs w:val="20"/>
        </w:rPr>
        <w:t xml:space="preserve"> </w:t>
      </w:r>
      <w:r w:rsidRPr="00A84DEF">
        <w:rPr>
          <w:rFonts w:asciiTheme="minorHAnsi" w:hAnsiTheme="minorHAnsi" w:cstheme="minorHAnsi"/>
          <w:sz w:val="20"/>
          <w:szCs w:val="20"/>
        </w:rPr>
        <w:t>asfaltu) należy przeprowadzić kontrolę ilości rozkładanego lepiszcza według normy PN-EN 12272-1. Miejsce pobrania próbek powinno znajdować się co najmniej 30m od miejsca, w którym rozpoczęto skropienie.</w:t>
      </w:r>
    </w:p>
    <w:p w14:paraId="6E8EC8F6" w14:textId="77777777" w:rsidR="009F3E17" w:rsidRPr="00A84DEF" w:rsidRDefault="009F3E17" w:rsidP="00A84DEF">
      <w:pPr>
        <w:pStyle w:val="Tekstpodstawowy"/>
        <w:spacing w:line="240" w:lineRule="auto"/>
        <w:jc w:val="both"/>
        <w:rPr>
          <w:rFonts w:asciiTheme="minorHAnsi" w:hAnsiTheme="minorHAnsi" w:cstheme="minorHAnsi"/>
          <w:sz w:val="20"/>
          <w:szCs w:val="20"/>
        </w:rPr>
      </w:pPr>
      <w:r w:rsidRPr="00A84DEF">
        <w:rPr>
          <w:rFonts w:asciiTheme="minorHAnsi" w:hAnsiTheme="minorHAnsi" w:cstheme="minorHAnsi"/>
          <w:sz w:val="20"/>
          <w:szCs w:val="20"/>
        </w:rPr>
        <w:t>Oznaczanie dokładności dozowania emulsji zgodnie z normą PN-EN 12272-1 pkt. 6.</w:t>
      </w:r>
    </w:p>
    <w:p w14:paraId="76C08711" w14:textId="77777777" w:rsidR="009F3E17" w:rsidRPr="00A84DEF" w:rsidRDefault="009F3E17" w:rsidP="00A84DEF">
      <w:pPr>
        <w:pStyle w:val="Tekstpodstawowy"/>
        <w:spacing w:line="240" w:lineRule="auto"/>
        <w:jc w:val="both"/>
        <w:rPr>
          <w:rFonts w:asciiTheme="minorHAnsi" w:hAnsiTheme="minorHAnsi" w:cstheme="minorHAnsi"/>
          <w:sz w:val="20"/>
          <w:szCs w:val="20"/>
        </w:rPr>
      </w:pPr>
      <w:r w:rsidRPr="00A84DEF">
        <w:rPr>
          <w:rFonts w:asciiTheme="minorHAnsi" w:hAnsiTheme="minorHAnsi" w:cstheme="minorHAnsi"/>
          <w:sz w:val="20"/>
          <w:szCs w:val="20"/>
        </w:rPr>
        <w:t>Należy przeprowadzić kontrolę połączenia międzywarstwowego zgodnie z pkt. 7.3.5 WT-2 Nawierzchnie Asfaltowe Na Drogach Krajowych 2016 – część II.</w:t>
      </w:r>
    </w:p>
    <w:p w14:paraId="530A8133" w14:textId="77777777" w:rsidR="009F3E17" w:rsidRPr="00A84DEF" w:rsidRDefault="009F3E17" w:rsidP="00A84DEF">
      <w:pPr>
        <w:pStyle w:val="Tekstpodstawowy"/>
        <w:spacing w:line="240" w:lineRule="auto"/>
        <w:jc w:val="both"/>
        <w:rPr>
          <w:rFonts w:asciiTheme="minorHAnsi" w:hAnsiTheme="minorHAnsi" w:cstheme="minorHAnsi"/>
          <w:sz w:val="20"/>
          <w:szCs w:val="20"/>
        </w:rPr>
      </w:pPr>
      <w:r w:rsidRPr="00A84DEF">
        <w:rPr>
          <w:rFonts w:asciiTheme="minorHAnsi" w:hAnsiTheme="minorHAnsi" w:cstheme="minorHAnsi"/>
          <w:sz w:val="20"/>
          <w:szCs w:val="20"/>
        </w:rPr>
        <w:t>Badania arbitrażowe - zgodnie z p. 6.7 DM.00.00.00.</w:t>
      </w:r>
    </w:p>
    <w:p w14:paraId="550B5C44" w14:textId="77777777" w:rsidR="009F3E17" w:rsidRPr="00A84DEF" w:rsidRDefault="009F3E17" w:rsidP="00262498">
      <w:pPr>
        <w:pStyle w:val="Nagwek3"/>
        <w:numPr>
          <w:ilvl w:val="0"/>
          <w:numId w:val="250"/>
        </w:numPr>
        <w:spacing w:before="0" w:after="0"/>
        <w:ind w:left="283" w:hanging="283"/>
        <w:rPr>
          <w:rFonts w:asciiTheme="minorHAnsi" w:hAnsiTheme="minorHAnsi" w:cstheme="minorHAnsi"/>
        </w:rPr>
      </w:pPr>
      <w:r w:rsidRPr="00A84DEF">
        <w:rPr>
          <w:rFonts w:asciiTheme="minorHAnsi" w:hAnsiTheme="minorHAnsi" w:cstheme="minorHAnsi"/>
        </w:rPr>
        <w:t>OBMIAR</w:t>
      </w:r>
      <w:r w:rsidRPr="00A84DEF">
        <w:rPr>
          <w:rFonts w:asciiTheme="minorHAnsi" w:hAnsiTheme="minorHAnsi" w:cstheme="minorHAnsi"/>
          <w:spacing w:val="-2"/>
        </w:rPr>
        <w:t xml:space="preserve"> </w:t>
      </w:r>
      <w:r w:rsidRPr="00A84DEF">
        <w:rPr>
          <w:rFonts w:asciiTheme="minorHAnsi" w:hAnsiTheme="minorHAnsi" w:cstheme="minorHAnsi"/>
        </w:rPr>
        <w:t>ROBÓT</w:t>
      </w:r>
    </w:p>
    <w:p w14:paraId="2FDF7545" w14:textId="77777777" w:rsidR="009F3E17" w:rsidRPr="00A84DEF" w:rsidRDefault="009F3E17" w:rsidP="00A84DEF">
      <w:pPr>
        <w:pStyle w:val="Tekstpodstawowy"/>
        <w:spacing w:line="240" w:lineRule="auto"/>
        <w:jc w:val="both"/>
        <w:rPr>
          <w:rFonts w:asciiTheme="minorHAnsi" w:hAnsiTheme="minorHAnsi" w:cstheme="minorHAnsi"/>
          <w:sz w:val="20"/>
          <w:szCs w:val="20"/>
        </w:rPr>
      </w:pPr>
    </w:p>
    <w:p w14:paraId="2AA2A65E" w14:textId="576937DF" w:rsidR="009F3E17" w:rsidRDefault="00A84DEF" w:rsidP="00A84DEF">
      <w:pPr>
        <w:pStyle w:val="Tekstpodstawowy"/>
        <w:spacing w:line="240" w:lineRule="auto"/>
        <w:jc w:val="both"/>
        <w:rPr>
          <w:rFonts w:asciiTheme="minorHAnsi" w:hAnsiTheme="minorHAnsi" w:cstheme="minorHAnsi"/>
          <w:sz w:val="20"/>
          <w:szCs w:val="20"/>
        </w:rPr>
      </w:pPr>
      <w:r>
        <w:rPr>
          <w:rFonts w:asciiTheme="minorHAnsi" w:hAnsiTheme="minorHAnsi" w:cstheme="minorHAnsi"/>
          <w:sz w:val="20"/>
          <w:szCs w:val="20"/>
        </w:rPr>
        <w:t>Kontrakt ryczałtowy</w:t>
      </w:r>
    </w:p>
    <w:p w14:paraId="333F895E" w14:textId="58437276" w:rsidR="00A84DEF" w:rsidRDefault="00A84DEF" w:rsidP="00A84DEF">
      <w:pPr>
        <w:pStyle w:val="Tekstpodstawowy"/>
        <w:spacing w:line="240" w:lineRule="auto"/>
        <w:jc w:val="both"/>
        <w:rPr>
          <w:rFonts w:asciiTheme="minorHAnsi" w:hAnsiTheme="minorHAnsi" w:cstheme="minorHAnsi"/>
          <w:sz w:val="20"/>
          <w:szCs w:val="20"/>
        </w:rPr>
      </w:pPr>
      <w:r>
        <w:rPr>
          <w:rFonts w:asciiTheme="minorHAnsi" w:hAnsiTheme="minorHAnsi" w:cstheme="minorHAnsi"/>
          <w:sz w:val="20"/>
          <w:szCs w:val="20"/>
        </w:rPr>
        <w:t>Szczegółowe zasady obmiaru robót podano s STWiORB D-M 00.00.00 plt 7</w:t>
      </w:r>
    </w:p>
    <w:p w14:paraId="22D8C393" w14:textId="77777777" w:rsidR="00A84DEF" w:rsidRPr="00A84DEF" w:rsidRDefault="00A84DEF" w:rsidP="00A84DEF">
      <w:pPr>
        <w:pStyle w:val="Tekstpodstawowy"/>
        <w:spacing w:line="240" w:lineRule="auto"/>
        <w:jc w:val="both"/>
        <w:rPr>
          <w:rFonts w:asciiTheme="minorHAnsi" w:hAnsiTheme="minorHAnsi" w:cstheme="minorHAnsi"/>
          <w:sz w:val="20"/>
          <w:szCs w:val="20"/>
        </w:rPr>
      </w:pPr>
    </w:p>
    <w:p w14:paraId="3CD536DF" w14:textId="77777777" w:rsidR="009F3E17" w:rsidRPr="00A84DEF" w:rsidRDefault="009F3E17" w:rsidP="00262498">
      <w:pPr>
        <w:pStyle w:val="Nagwek3"/>
        <w:numPr>
          <w:ilvl w:val="0"/>
          <w:numId w:val="250"/>
        </w:numPr>
        <w:spacing w:before="0" w:after="0"/>
        <w:ind w:left="283" w:hanging="283"/>
        <w:rPr>
          <w:rFonts w:asciiTheme="minorHAnsi" w:hAnsiTheme="minorHAnsi" w:cstheme="minorHAnsi"/>
        </w:rPr>
      </w:pPr>
      <w:r w:rsidRPr="00A84DEF">
        <w:rPr>
          <w:rFonts w:asciiTheme="minorHAnsi" w:hAnsiTheme="minorHAnsi" w:cstheme="minorHAnsi"/>
        </w:rPr>
        <w:t>ODBIÓR ROBÓT</w:t>
      </w:r>
    </w:p>
    <w:p w14:paraId="5AA6D0DE" w14:textId="77777777" w:rsidR="009F3E17" w:rsidRPr="00A84DEF" w:rsidRDefault="009F3E17" w:rsidP="00A84DEF">
      <w:pPr>
        <w:pStyle w:val="Tekstpodstawowy"/>
        <w:spacing w:line="240" w:lineRule="auto"/>
        <w:jc w:val="both"/>
        <w:rPr>
          <w:rFonts w:asciiTheme="minorHAnsi" w:hAnsiTheme="minorHAnsi" w:cstheme="minorHAnsi"/>
          <w:sz w:val="20"/>
          <w:szCs w:val="20"/>
        </w:rPr>
      </w:pPr>
    </w:p>
    <w:p w14:paraId="4CA7B5E8" w14:textId="77777777" w:rsidR="009F3E17" w:rsidRPr="00A84DEF" w:rsidRDefault="009F3E17" w:rsidP="00A84DEF">
      <w:pPr>
        <w:pStyle w:val="Tekstpodstawowy"/>
        <w:spacing w:line="240" w:lineRule="auto"/>
        <w:jc w:val="both"/>
        <w:rPr>
          <w:rFonts w:asciiTheme="minorHAnsi" w:hAnsiTheme="minorHAnsi" w:cstheme="minorHAnsi"/>
          <w:sz w:val="20"/>
          <w:szCs w:val="20"/>
        </w:rPr>
      </w:pPr>
      <w:r w:rsidRPr="00A84DEF">
        <w:rPr>
          <w:rFonts w:asciiTheme="minorHAnsi" w:hAnsiTheme="minorHAnsi" w:cstheme="minorHAnsi"/>
          <w:sz w:val="20"/>
          <w:szCs w:val="20"/>
        </w:rPr>
        <w:t>Ogólne zasady odbioru Robót podano w STWiORB D-M.00.00.00. "Wymagania ogólne".</w:t>
      </w:r>
    </w:p>
    <w:p w14:paraId="58FA5647" w14:textId="77777777" w:rsidR="009F3E17" w:rsidRDefault="009F3E17" w:rsidP="00A84DEF">
      <w:pPr>
        <w:pStyle w:val="Tekstpodstawowy"/>
        <w:spacing w:line="240" w:lineRule="auto"/>
        <w:jc w:val="both"/>
        <w:rPr>
          <w:rFonts w:asciiTheme="minorHAnsi" w:hAnsiTheme="minorHAnsi" w:cstheme="minorHAnsi"/>
          <w:sz w:val="20"/>
          <w:szCs w:val="20"/>
        </w:rPr>
      </w:pPr>
      <w:r w:rsidRPr="00A84DEF">
        <w:rPr>
          <w:rFonts w:asciiTheme="minorHAnsi" w:hAnsiTheme="minorHAnsi" w:cstheme="minorHAnsi"/>
          <w:sz w:val="20"/>
          <w:szCs w:val="20"/>
        </w:rPr>
        <w:t>Roboty uznaje się za wykonane zgodnie z Dokumentacją Projektową, STWiORB i wymaganiami Inżyniera jeżeli wszystkie pomiary i badania, z zachowaniem tolerancji wg pkt. 6, dały wyniki pozytywne.</w:t>
      </w:r>
    </w:p>
    <w:p w14:paraId="03E8A45D" w14:textId="77777777" w:rsidR="00A84DEF" w:rsidRPr="00A84DEF" w:rsidRDefault="00A84DEF" w:rsidP="00A84DEF">
      <w:pPr>
        <w:pStyle w:val="Tekstpodstawowy"/>
        <w:spacing w:line="240" w:lineRule="auto"/>
        <w:jc w:val="both"/>
        <w:rPr>
          <w:rFonts w:asciiTheme="minorHAnsi" w:hAnsiTheme="minorHAnsi" w:cstheme="minorHAnsi"/>
          <w:sz w:val="20"/>
          <w:szCs w:val="20"/>
        </w:rPr>
      </w:pPr>
    </w:p>
    <w:p w14:paraId="16CCC932" w14:textId="77777777" w:rsidR="009F3E17" w:rsidRPr="00A84DEF" w:rsidRDefault="009F3E17" w:rsidP="00262498">
      <w:pPr>
        <w:pStyle w:val="Nagwek3"/>
        <w:numPr>
          <w:ilvl w:val="0"/>
          <w:numId w:val="250"/>
        </w:numPr>
        <w:spacing w:before="0" w:after="0"/>
        <w:ind w:left="283" w:hanging="283"/>
        <w:rPr>
          <w:rFonts w:asciiTheme="minorHAnsi" w:hAnsiTheme="minorHAnsi" w:cstheme="minorHAnsi"/>
        </w:rPr>
      </w:pPr>
      <w:r w:rsidRPr="00A84DEF">
        <w:rPr>
          <w:rFonts w:asciiTheme="minorHAnsi" w:hAnsiTheme="minorHAnsi" w:cstheme="minorHAnsi"/>
        </w:rPr>
        <w:t>PODSTAWA</w:t>
      </w:r>
      <w:r w:rsidRPr="00A84DEF">
        <w:rPr>
          <w:rFonts w:asciiTheme="minorHAnsi" w:hAnsiTheme="minorHAnsi" w:cstheme="minorHAnsi"/>
          <w:spacing w:val="-1"/>
        </w:rPr>
        <w:t xml:space="preserve"> </w:t>
      </w:r>
      <w:r w:rsidRPr="00A84DEF">
        <w:rPr>
          <w:rFonts w:asciiTheme="minorHAnsi" w:hAnsiTheme="minorHAnsi" w:cstheme="minorHAnsi"/>
        </w:rPr>
        <w:t>PŁATNOŚCI</w:t>
      </w:r>
    </w:p>
    <w:p w14:paraId="494F501D" w14:textId="77777777" w:rsidR="009F3E17" w:rsidRPr="00A84DEF" w:rsidRDefault="009F3E17" w:rsidP="00A84DEF">
      <w:pPr>
        <w:pStyle w:val="Tekstpodstawowy"/>
        <w:spacing w:line="240" w:lineRule="auto"/>
        <w:jc w:val="both"/>
        <w:rPr>
          <w:rFonts w:asciiTheme="minorHAnsi" w:hAnsiTheme="minorHAnsi" w:cstheme="minorHAnsi"/>
          <w:sz w:val="20"/>
          <w:szCs w:val="20"/>
        </w:rPr>
      </w:pPr>
    </w:p>
    <w:p w14:paraId="02C15749" w14:textId="63BA15EF" w:rsidR="009F3E17" w:rsidRDefault="009F3E17" w:rsidP="00A84DEF">
      <w:pPr>
        <w:pStyle w:val="Tekstpodstawowy"/>
        <w:spacing w:line="240" w:lineRule="auto"/>
        <w:jc w:val="both"/>
        <w:rPr>
          <w:rFonts w:asciiTheme="minorHAnsi" w:hAnsiTheme="minorHAnsi" w:cstheme="minorHAnsi"/>
          <w:sz w:val="20"/>
          <w:szCs w:val="20"/>
        </w:rPr>
      </w:pPr>
      <w:r w:rsidRPr="00A84DEF">
        <w:rPr>
          <w:rFonts w:asciiTheme="minorHAnsi" w:hAnsiTheme="minorHAnsi" w:cstheme="minorHAnsi"/>
          <w:sz w:val="20"/>
          <w:szCs w:val="20"/>
        </w:rPr>
        <w:t>Wynagrodzenie ryczałtowe.</w:t>
      </w:r>
    </w:p>
    <w:p w14:paraId="127CDE76" w14:textId="2F23E3ED" w:rsidR="00A84DEF" w:rsidRDefault="00A84DEF" w:rsidP="00A84DEF">
      <w:pPr>
        <w:pStyle w:val="Tekstpodstawowy"/>
        <w:spacing w:line="240" w:lineRule="auto"/>
        <w:jc w:val="both"/>
        <w:rPr>
          <w:rFonts w:asciiTheme="minorHAnsi" w:hAnsiTheme="minorHAnsi" w:cstheme="minorHAnsi"/>
          <w:sz w:val="20"/>
          <w:szCs w:val="20"/>
        </w:rPr>
      </w:pPr>
      <w:r>
        <w:rPr>
          <w:rFonts w:asciiTheme="minorHAnsi" w:hAnsiTheme="minorHAnsi" w:cstheme="minorHAnsi"/>
          <w:sz w:val="20"/>
          <w:szCs w:val="20"/>
        </w:rPr>
        <w:t>Szczegółowe zasady płatności podano w STWiORB D-M 00.00.00 pkt 9.</w:t>
      </w:r>
    </w:p>
    <w:p w14:paraId="0868EBF5" w14:textId="77777777" w:rsidR="00A84DEF" w:rsidRPr="00A84DEF" w:rsidRDefault="00A84DEF" w:rsidP="00A84DEF">
      <w:pPr>
        <w:pStyle w:val="Tekstpodstawowy"/>
        <w:spacing w:line="240" w:lineRule="auto"/>
        <w:jc w:val="both"/>
        <w:rPr>
          <w:rFonts w:asciiTheme="minorHAnsi" w:hAnsiTheme="minorHAnsi" w:cstheme="minorHAnsi"/>
          <w:sz w:val="20"/>
          <w:szCs w:val="20"/>
        </w:rPr>
      </w:pPr>
    </w:p>
    <w:p w14:paraId="4E3E2A77" w14:textId="77777777" w:rsidR="009F3E17" w:rsidRPr="00A84DEF" w:rsidRDefault="009F3E17" w:rsidP="00262498">
      <w:pPr>
        <w:pStyle w:val="Nagwek3"/>
        <w:numPr>
          <w:ilvl w:val="0"/>
          <w:numId w:val="250"/>
        </w:numPr>
        <w:spacing w:before="0" w:after="0"/>
        <w:ind w:left="283" w:hanging="283"/>
        <w:rPr>
          <w:rFonts w:asciiTheme="minorHAnsi" w:hAnsiTheme="minorHAnsi" w:cstheme="minorHAnsi"/>
        </w:rPr>
      </w:pPr>
      <w:r w:rsidRPr="00A84DEF">
        <w:rPr>
          <w:rFonts w:asciiTheme="minorHAnsi" w:hAnsiTheme="minorHAnsi" w:cstheme="minorHAnsi"/>
        </w:rPr>
        <w:t>PRZEPISY ZWIĄZANE</w:t>
      </w:r>
    </w:p>
    <w:p w14:paraId="41EFF1BF" w14:textId="77777777" w:rsidR="009F3E17" w:rsidRPr="00A84DEF" w:rsidRDefault="009F3E17" w:rsidP="00A84DEF">
      <w:pPr>
        <w:pStyle w:val="Tekstpodstawowy"/>
        <w:spacing w:line="240" w:lineRule="auto"/>
        <w:jc w:val="both"/>
        <w:rPr>
          <w:rFonts w:asciiTheme="minorHAnsi" w:hAnsiTheme="minorHAnsi" w:cstheme="minorHAnsi"/>
          <w:sz w:val="20"/>
          <w:szCs w:val="20"/>
        </w:rPr>
      </w:pPr>
    </w:p>
    <w:p w14:paraId="2D1A070D" w14:textId="77777777" w:rsidR="009F3E17" w:rsidRPr="00A84DEF" w:rsidRDefault="009F3E17" w:rsidP="00262498">
      <w:pPr>
        <w:pStyle w:val="Tekstpodstawowy"/>
        <w:widowControl w:val="0"/>
        <w:numPr>
          <w:ilvl w:val="0"/>
          <w:numId w:val="253"/>
        </w:numPr>
        <w:overflowPunct/>
        <w:adjustRightInd/>
        <w:spacing w:line="240" w:lineRule="auto"/>
        <w:jc w:val="both"/>
        <w:textAlignment w:val="auto"/>
        <w:rPr>
          <w:rFonts w:asciiTheme="minorHAnsi" w:hAnsiTheme="minorHAnsi" w:cstheme="minorHAnsi"/>
          <w:sz w:val="20"/>
          <w:szCs w:val="20"/>
        </w:rPr>
      </w:pPr>
      <w:r w:rsidRPr="00A84DEF">
        <w:rPr>
          <w:rFonts w:asciiTheme="minorHAnsi" w:hAnsiTheme="minorHAnsi" w:cstheme="minorHAnsi"/>
          <w:sz w:val="20"/>
          <w:szCs w:val="20"/>
        </w:rPr>
        <w:t>WT-2 Nawierzchnie Asfaltowe Na Drogach Krajowych 2016 – część II</w:t>
      </w:r>
    </w:p>
    <w:p w14:paraId="5A8D4F51" w14:textId="77777777" w:rsidR="009F3E17" w:rsidRPr="00A84DEF" w:rsidRDefault="009F3E17" w:rsidP="00262498">
      <w:pPr>
        <w:pStyle w:val="Tekstpodstawowy"/>
        <w:widowControl w:val="0"/>
        <w:numPr>
          <w:ilvl w:val="0"/>
          <w:numId w:val="253"/>
        </w:numPr>
        <w:overflowPunct/>
        <w:adjustRightInd/>
        <w:spacing w:line="240" w:lineRule="auto"/>
        <w:jc w:val="both"/>
        <w:textAlignment w:val="auto"/>
        <w:rPr>
          <w:rFonts w:asciiTheme="minorHAnsi" w:hAnsiTheme="minorHAnsi" w:cstheme="minorHAnsi"/>
          <w:sz w:val="20"/>
          <w:szCs w:val="20"/>
        </w:rPr>
      </w:pPr>
      <w:r w:rsidRPr="00A84DEF">
        <w:rPr>
          <w:rFonts w:asciiTheme="minorHAnsi" w:hAnsiTheme="minorHAnsi" w:cstheme="minorHAnsi"/>
          <w:sz w:val="20"/>
          <w:szCs w:val="20"/>
        </w:rPr>
        <w:t xml:space="preserve">PN-EN 13808 Asfalty i lepiszcza asfaltowe. Zasady klasyfikacji kationowych emulsji asfaltowych </w:t>
      </w:r>
    </w:p>
    <w:p w14:paraId="7A28CF35" w14:textId="77777777" w:rsidR="009F3E17" w:rsidRPr="00A84DEF" w:rsidRDefault="009F3E17" w:rsidP="00262498">
      <w:pPr>
        <w:pStyle w:val="Tekstpodstawowy"/>
        <w:widowControl w:val="0"/>
        <w:numPr>
          <w:ilvl w:val="0"/>
          <w:numId w:val="253"/>
        </w:numPr>
        <w:overflowPunct/>
        <w:adjustRightInd/>
        <w:spacing w:line="240" w:lineRule="auto"/>
        <w:jc w:val="both"/>
        <w:textAlignment w:val="auto"/>
        <w:rPr>
          <w:rFonts w:asciiTheme="minorHAnsi" w:hAnsiTheme="minorHAnsi" w:cstheme="minorHAnsi"/>
          <w:sz w:val="20"/>
          <w:szCs w:val="20"/>
        </w:rPr>
      </w:pPr>
      <w:r w:rsidRPr="00A84DEF">
        <w:rPr>
          <w:rFonts w:asciiTheme="minorHAnsi" w:hAnsiTheme="minorHAnsi" w:cstheme="minorHAnsi"/>
          <w:sz w:val="20"/>
          <w:szCs w:val="20"/>
        </w:rPr>
        <w:t>PN-EN</w:t>
      </w:r>
      <w:r w:rsidRPr="00A84DEF">
        <w:rPr>
          <w:rFonts w:asciiTheme="minorHAnsi" w:hAnsiTheme="minorHAnsi" w:cstheme="minorHAnsi"/>
          <w:spacing w:val="-4"/>
          <w:sz w:val="20"/>
          <w:szCs w:val="20"/>
        </w:rPr>
        <w:t xml:space="preserve"> </w:t>
      </w:r>
      <w:r w:rsidRPr="00A84DEF">
        <w:rPr>
          <w:rFonts w:asciiTheme="minorHAnsi" w:hAnsiTheme="minorHAnsi" w:cstheme="minorHAnsi"/>
          <w:sz w:val="20"/>
          <w:szCs w:val="20"/>
        </w:rPr>
        <w:t>12272-1</w:t>
      </w:r>
      <w:r w:rsidRPr="00A84DEF">
        <w:rPr>
          <w:rFonts w:asciiTheme="minorHAnsi" w:hAnsiTheme="minorHAnsi" w:cstheme="minorHAnsi"/>
          <w:sz w:val="20"/>
          <w:szCs w:val="20"/>
        </w:rPr>
        <w:tab/>
        <w:t>Powierzchniowe</w:t>
      </w:r>
      <w:r w:rsidRPr="00A84DEF">
        <w:rPr>
          <w:rFonts w:asciiTheme="minorHAnsi" w:hAnsiTheme="minorHAnsi" w:cstheme="minorHAnsi"/>
          <w:sz w:val="20"/>
          <w:szCs w:val="20"/>
        </w:rPr>
        <w:tab/>
        <w:t>utrwalenie. Metody badań. Część 1: Dozowanie i poprzeczny rozkład lepiszcza i kruszywa.</w:t>
      </w:r>
    </w:p>
    <w:p w14:paraId="5F0F5897" w14:textId="77777777" w:rsidR="009F3E17" w:rsidRDefault="009F3E17" w:rsidP="0022369F">
      <w:pPr>
        <w:spacing w:line="360" w:lineRule="auto"/>
        <w:jc w:val="center"/>
        <w:rPr>
          <w:rFonts w:ascii="Calibri" w:hAnsi="Calibri" w:cs="Calibri"/>
          <w:b/>
          <w:sz w:val="22"/>
          <w:szCs w:val="22"/>
        </w:rPr>
      </w:pPr>
    </w:p>
    <w:p w14:paraId="380A15B5" w14:textId="77777777" w:rsidR="00A84DEF" w:rsidRDefault="00A84DEF">
      <w:pPr>
        <w:overflowPunct/>
        <w:autoSpaceDE/>
        <w:autoSpaceDN/>
        <w:adjustRightInd/>
        <w:jc w:val="left"/>
        <w:textAlignment w:val="auto"/>
        <w:rPr>
          <w:rFonts w:ascii="Calibri" w:hAnsi="Calibri" w:cs="Calibri"/>
          <w:b/>
          <w:sz w:val="22"/>
          <w:szCs w:val="22"/>
        </w:rPr>
      </w:pPr>
      <w:r>
        <w:rPr>
          <w:rFonts w:ascii="Calibri" w:hAnsi="Calibri" w:cs="Calibri"/>
          <w:b/>
          <w:sz w:val="22"/>
          <w:szCs w:val="22"/>
        </w:rPr>
        <w:br w:type="page"/>
      </w:r>
    </w:p>
    <w:p w14:paraId="0259EB23" w14:textId="3C30D28C" w:rsidR="0072177F" w:rsidRPr="00A23FB4" w:rsidRDefault="006707A0" w:rsidP="0022369F">
      <w:pPr>
        <w:spacing w:line="360" w:lineRule="auto"/>
        <w:jc w:val="center"/>
        <w:rPr>
          <w:rFonts w:ascii="Calibri" w:hAnsi="Calibri" w:cs="Calibri"/>
          <w:b/>
          <w:sz w:val="22"/>
          <w:szCs w:val="22"/>
        </w:rPr>
      </w:pPr>
      <w:r>
        <w:rPr>
          <w:rFonts w:ascii="Calibri" w:hAnsi="Calibri" w:cs="Calibri"/>
          <w:b/>
          <w:sz w:val="22"/>
          <w:szCs w:val="22"/>
        </w:rPr>
        <w:t>SZCZEGÓŁOWE SPECYFIKACJE TECHNICZNE</w:t>
      </w:r>
      <w:r w:rsidR="0072177F" w:rsidRPr="00A23FB4">
        <w:rPr>
          <w:rFonts w:ascii="Calibri" w:hAnsi="Calibri" w:cs="Calibri"/>
          <w:b/>
          <w:sz w:val="22"/>
          <w:szCs w:val="22"/>
        </w:rPr>
        <w:t xml:space="preserve"> WYKONANIA I ODBIORU ROBÓT BUDOWLANYCH</w:t>
      </w:r>
    </w:p>
    <w:p w14:paraId="4E9E4F2B" w14:textId="77777777" w:rsidR="0072177F" w:rsidRPr="00A23FB4" w:rsidRDefault="0072177F" w:rsidP="00D16657">
      <w:pPr>
        <w:pStyle w:val="Nagowek1"/>
        <w:spacing w:before="0"/>
      </w:pPr>
      <w:bookmarkStart w:id="531" w:name="_Toc321300027"/>
      <w:bookmarkStart w:id="532" w:name="_Toc352837487"/>
      <w:bookmarkStart w:id="533" w:name="_Toc430694552"/>
      <w:bookmarkStart w:id="534" w:name="_Toc206275482"/>
      <w:r w:rsidRPr="00A23FB4">
        <w:t>D-04.04.02 PODBUDOWA Z KRUSZYWA ŁAMANEGO STABILIZOWANEGO MECHANICZNIE</w:t>
      </w:r>
      <w:bookmarkEnd w:id="531"/>
      <w:bookmarkEnd w:id="532"/>
      <w:bookmarkEnd w:id="533"/>
      <w:bookmarkEnd w:id="534"/>
    </w:p>
    <w:p w14:paraId="2A4FF9F8" w14:textId="77777777" w:rsidR="0072177F" w:rsidRPr="00A23FB4" w:rsidRDefault="0072177F" w:rsidP="00D16657">
      <w:pPr>
        <w:spacing w:before="240"/>
        <w:rPr>
          <w:rFonts w:ascii="Calibri" w:hAnsi="Calibri" w:cs="Calibri"/>
          <w:b/>
        </w:rPr>
      </w:pPr>
      <w:r w:rsidRPr="00A23FB4">
        <w:rPr>
          <w:rFonts w:ascii="Calibri" w:hAnsi="Calibri" w:cs="Calibri"/>
          <w:b/>
        </w:rPr>
        <w:t>1. WSTĘP</w:t>
      </w:r>
    </w:p>
    <w:p w14:paraId="5935654D" w14:textId="0E480CED" w:rsidR="0072177F" w:rsidRPr="00A23FB4" w:rsidRDefault="0072177F" w:rsidP="0072177F">
      <w:pPr>
        <w:pStyle w:val="Nagwek4"/>
        <w:rPr>
          <w:rFonts w:ascii="Calibri" w:hAnsi="Calibri" w:cs="Calibri"/>
        </w:rPr>
      </w:pPr>
      <w:r w:rsidRPr="00A23FB4">
        <w:rPr>
          <w:rFonts w:ascii="Calibri" w:hAnsi="Calibri" w:cs="Calibri"/>
        </w:rPr>
        <w:t xml:space="preserve">1.1. Przedmiot </w:t>
      </w:r>
      <w:r w:rsidR="00A70091">
        <w:rPr>
          <w:rFonts w:ascii="Calibri" w:hAnsi="Calibri" w:cs="Calibri"/>
        </w:rPr>
        <w:t>ST</w:t>
      </w:r>
      <w:r w:rsidRPr="00A23FB4">
        <w:rPr>
          <w:rFonts w:ascii="Calibri" w:hAnsi="Calibri" w:cs="Calibri"/>
        </w:rPr>
        <w:t>WiORB</w:t>
      </w:r>
    </w:p>
    <w:p w14:paraId="707C1C60" w14:textId="6C7F5F2A" w:rsidR="0072177F" w:rsidRPr="00A23FB4" w:rsidRDefault="0072177F" w:rsidP="0072177F">
      <w:pPr>
        <w:rPr>
          <w:rFonts w:ascii="Calibri" w:hAnsi="Calibri" w:cs="Calibri"/>
        </w:rPr>
      </w:pPr>
      <w:r w:rsidRPr="00A23FB4">
        <w:rPr>
          <w:rFonts w:ascii="Calibri" w:hAnsi="Calibri" w:cs="Calibri"/>
        </w:rPr>
        <w:t>Przedmiotem niniejsz</w:t>
      </w:r>
      <w:r w:rsidR="007C04C0">
        <w:rPr>
          <w:rFonts w:ascii="Calibri" w:hAnsi="Calibri" w:cs="Calibri"/>
        </w:rPr>
        <w:t>ej</w:t>
      </w:r>
      <w:r w:rsidRPr="00A23FB4">
        <w:rPr>
          <w:rFonts w:ascii="Calibri" w:hAnsi="Calibri" w:cs="Calibri"/>
        </w:rPr>
        <w:t xml:space="preserve"> </w:t>
      </w:r>
      <w:r w:rsidR="006707A0">
        <w:rPr>
          <w:rFonts w:ascii="Calibri" w:hAnsi="Calibri" w:cs="Calibri"/>
        </w:rPr>
        <w:t>specyfikacji</w:t>
      </w:r>
      <w:r w:rsidRPr="00A23FB4">
        <w:rPr>
          <w:rFonts w:ascii="Calibri" w:hAnsi="Calibri" w:cs="Calibri"/>
        </w:rPr>
        <w:t xml:space="preserve"> są wymagania dotyczące wykonan</w:t>
      </w:r>
      <w:r w:rsidR="00D16657" w:rsidRPr="00A23FB4">
        <w:rPr>
          <w:rFonts w:ascii="Calibri" w:hAnsi="Calibri" w:cs="Calibri"/>
        </w:rPr>
        <w:t>ia i odbioru robót związanych z </w:t>
      </w:r>
      <w:r w:rsidRPr="00A23FB4">
        <w:rPr>
          <w:rFonts w:ascii="Calibri" w:hAnsi="Calibri" w:cs="Calibri"/>
        </w:rPr>
        <w:t>wykonywaniem podbudowy z kruszywa łamanego stabilizowanego mechanicznie.</w:t>
      </w:r>
    </w:p>
    <w:p w14:paraId="6459942C" w14:textId="4553B373" w:rsidR="0072177F" w:rsidRPr="00A23FB4" w:rsidRDefault="0072177F" w:rsidP="0072177F">
      <w:pPr>
        <w:pStyle w:val="Nagwek4"/>
        <w:rPr>
          <w:rFonts w:ascii="Calibri" w:hAnsi="Calibri" w:cs="Calibri"/>
        </w:rPr>
      </w:pPr>
      <w:r w:rsidRPr="00A23FB4">
        <w:rPr>
          <w:rFonts w:ascii="Calibri" w:hAnsi="Calibri" w:cs="Calibri"/>
        </w:rPr>
        <w:t xml:space="preserve">1.2. Zakres stosowania </w:t>
      </w:r>
      <w:r w:rsidR="00A70091">
        <w:rPr>
          <w:rFonts w:ascii="Calibri" w:hAnsi="Calibri" w:cs="Calibri"/>
        </w:rPr>
        <w:t>ST</w:t>
      </w:r>
      <w:r w:rsidRPr="00A23FB4">
        <w:rPr>
          <w:rFonts w:ascii="Calibri" w:hAnsi="Calibri" w:cs="Calibri"/>
        </w:rPr>
        <w:t>WiORB</w:t>
      </w:r>
    </w:p>
    <w:p w14:paraId="74B2C453" w14:textId="79252326" w:rsidR="00506838" w:rsidRDefault="00575C66" w:rsidP="00506838">
      <w:pPr>
        <w:overflowPunct/>
        <w:spacing w:before="240" w:line="276" w:lineRule="auto"/>
        <w:textAlignment w:val="auto"/>
        <w:rPr>
          <w:rFonts w:ascii="Calibri" w:hAnsi="Calibri" w:cs="Calibri"/>
        </w:rPr>
      </w:pPr>
      <w:r>
        <w:rPr>
          <w:rFonts w:ascii="Calibri" w:hAnsi="Calibri" w:cs="Calibri"/>
        </w:rPr>
        <w:t>Specyfikacj</w:t>
      </w:r>
      <w:r w:rsidR="007C04C0">
        <w:rPr>
          <w:rFonts w:ascii="Calibri" w:hAnsi="Calibri" w:cs="Calibri"/>
        </w:rPr>
        <w:t>a</w:t>
      </w:r>
      <w:r w:rsidRPr="00A23FB4">
        <w:rPr>
          <w:rFonts w:ascii="Calibri" w:hAnsi="Calibri" w:cs="Calibri"/>
        </w:rPr>
        <w:t xml:space="preserve"> </w:t>
      </w:r>
      <w:r w:rsidR="0072177F" w:rsidRPr="00A23FB4">
        <w:rPr>
          <w:rFonts w:ascii="Calibri" w:hAnsi="Calibri" w:cs="Calibri"/>
        </w:rPr>
        <w:t>stanowi dokument kontraktowy przy realizacji  zadania</w:t>
      </w:r>
      <w:r w:rsidR="007F4946" w:rsidRPr="00A23FB4">
        <w:rPr>
          <w:rFonts w:asciiTheme="minorHAnsi" w:hAnsiTheme="minorHAnsi" w:cstheme="minorHAnsi"/>
          <w:bCs/>
        </w:rPr>
        <w:t xml:space="preserve"> </w:t>
      </w:r>
      <w:r w:rsidR="00506838">
        <w:rPr>
          <w:rFonts w:ascii="Calibri" w:hAnsi="Calibri" w:cs="Calibri"/>
        </w:rPr>
        <w:t>„</w:t>
      </w:r>
      <w:r w:rsidR="00A70091" w:rsidRPr="00A70091">
        <w:rPr>
          <w:rFonts w:ascii="Calibri" w:hAnsi="Calibri" w:cs="Calibri"/>
        </w:rPr>
        <w:t>Rozbudowa ul. Wrocławskiej w ciągu drogi powiatowej w Tyńcu Małym wraz z rozbudową istniejącego skrzyżowania typu rondo na połączeniu dróg krajowych nr 35 i 35a oraz łącznika węzła Kobierzyce drogi S8e oraz infrastrukturą towarzyszącą w ramach zadania „Rozbudowa skrzyżowania typu rondo w ciągu DK35 koło m. Tyniec Mały usprawniająca skomunikowanie obszarów Podstrefy Wrocław – Kobierzyce TSSE EURO PARK WISŁOSAN”.</w:t>
      </w:r>
      <w:r w:rsidR="00506838">
        <w:rPr>
          <w:rFonts w:ascii="Calibri" w:hAnsi="Calibri" w:cs="Calibri"/>
        </w:rPr>
        <w:t>”.</w:t>
      </w:r>
    </w:p>
    <w:p w14:paraId="2D6AA804" w14:textId="09229FCA" w:rsidR="0072177F" w:rsidRPr="003D707D" w:rsidRDefault="0072177F" w:rsidP="0072177F">
      <w:pPr>
        <w:rPr>
          <w:b/>
          <w:bCs/>
          <w:smallCaps/>
          <w:sz w:val="28"/>
          <w:szCs w:val="28"/>
        </w:rPr>
      </w:pPr>
    </w:p>
    <w:p w14:paraId="6FBC5EAB" w14:textId="51C3D69C" w:rsidR="0072177F" w:rsidRPr="00A23FB4" w:rsidRDefault="0072177F" w:rsidP="0072177F">
      <w:pPr>
        <w:pStyle w:val="Nagwek4"/>
        <w:rPr>
          <w:rFonts w:ascii="Calibri" w:hAnsi="Calibri" w:cs="Calibri"/>
        </w:rPr>
      </w:pPr>
      <w:r w:rsidRPr="00A23FB4">
        <w:rPr>
          <w:rFonts w:ascii="Calibri" w:hAnsi="Calibri" w:cs="Calibri"/>
        </w:rPr>
        <w:t xml:space="preserve">1.3. Zakres robót objętych </w:t>
      </w:r>
      <w:r w:rsidR="00A70091">
        <w:rPr>
          <w:rFonts w:ascii="Calibri" w:hAnsi="Calibri" w:cs="Calibri"/>
        </w:rPr>
        <w:t>ST</w:t>
      </w:r>
      <w:r w:rsidRPr="00A23FB4">
        <w:rPr>
          <w:rFonts w:ascii="Calibri" w:hAnsi="Calibri" w:cs="Calibri"/>
        </w:rPr>
        <w:t>WiORB</w:t>
      </w:r>
    </w:p>
    <w:p w14:paraId="2888AF52" w14:textId="7F4100C8" w:rsidR="0072177F" w:rsidRPr="00A23FB4" w:rsidRDefault="0072177F" w:rsidP="0072177F">
      <w:pPr>
        <w:rPr>
          <w:rFonts w:ascii="Calibri" w:hAnsi="Calibri" w:cs="Calibri"/>
        </w:rPr>
      </w:pPr>
      <w:r w:rsidRPr="00A23FB4">
        <w:rPr>
          <w:rFonts w:ascii="Calibri" w:hAnsi="Calibri" w:cs="Calibri"/>
        </w:rPr>
        <w:t xml:space="preserve">Ustalenia zawarte w niniejszych </w:t>
      </w:r>
      <w:r w:rsidR="006707A0">
        <w:rPr>
          <w:rFonts w:ascii="Calibri" w:hAnsi="Calibri" w:cs="Calibri"/>
        </w:rPr>
        <w:t>specyfikacji</w:t>
      </w:r>
      <w:r w:rsidRPr="00A23FB4">
        <w:rPr>
          <w:rFonts w:ascii="Calibri" w:hAnsi="Calibri" w:cs="Calibri"/>
        </w:rPr>
        <w:t xml:space="preserve"> dotyczą zasad prowadzenia robót związanych z wykonywaniem podbudowy z kruszywa łamanego stabilizowanego mechanicznie wg PN-EN 13242:2004 oraz WT-4 2010 Mieszanki niezwiązane do dróg krajowych Wymagania Techniczne.</w:t>
      </w:r>
    </w:p>
    <w:p w14:paraId="1EBAB788" w14:textId="77777777" w:rsidR="0072177F" w:rsidRPr="00A23FB4" w:rsidRDefault="0072177F" w:rsidP="0072177F">
      <w:pPr>
        <w:rPr>
          <w:rFonts w:ascii="Calibri" w:hAnsi="Calibri" w:cs="Calibri"/>
        </w:rPr>
      </w:pPr>
      <w:r w:rsidRPr="00A23FB4">
        <w:rPr>
          <w:rFonts w:ascii="Calibri" w:hAnsi="Calibri" w:cs="Calibri"/>
        </w:rPr>
        <w:tab/>
      </w:r>
    </w:p>
    <w:p w14:paraId="7C1F8E9B" w14:textId="77777777" w:rsidR="0072177F" w:rsidRPr="00A23FB4" w:rsidRDefault="0072177F" w:rsidP="0072177F">
      <w:pPr>
        <w:pStyle w:val="Nagwek4"/>
        <w:rPr>
          <w:rFonts w:ascii="Calibri" w:hAnsi="Calibri" w:cs="Calibri"/>
        </w:rPr>
      </w:pPr>
      <w:r w:rsidRPr="00A23FB4">
        <w:rPr>
          <w:rFonts w:ascii="Calibri" w:hAnsi="Calibri" w:cs="Calibri"/>
        </w:rPr>
        <w:t>1.4. Określenia podstawowe</w:t>
      </w:r>
    </w:p>
    <w:p w14:paraId="61AEC4F8" w14:textId="77777777" w:rsidR="0072177F" w:rsidRPr="00A23FB4" w:rsidRDefault="0072177F" w:rsidP="0072177F">
      <w:pPr>
        <w:rPr>
          <w:rFonts w:ascii="Calibri" w:hAnsi="Calibri" w:cs="Calibri"/>
        </w:rPr>
      </w:pPr>
      <w:r w:rsidRPr="00A23FB4">
        <w:rPr>
          <w:rFonts w:ascii="Calibri" w:hAnsi="Calibri" w:cs="Calibri"/>
          <w:b/>
          <w:bCs/>
          <w:i/>
          <w:iCs/>
        </w:rPr>
        <w:t>1.4.1.</w:t>
      </w:r>
      <w:r w:rsidRPr="00A23FB4">
        <w:rPr>
          <w:rFonts w:ascii="Calibri" w:hAnsi="Calibri" w:cs="Calibri"/>
        </w:rPr>
        <w:t>Podbudowa z kruszywa łamanego stabilizowanego mechanicznie - jedna lub więcej warstw zagęszczonej mieszanki, która stanowi warstwę nośną nawierzchni drogowej.</w:t>
      </w:r>
    </w:p>
    <w:p w14:paraId="08C75742" w14:textId="072E77A5" w:rsidR="0072177F" w:rsidRPr="00A23FB4" w:rsidRDefault="0072177F" w:rsidP="0072177F">
      <w:pPr>
        <w:rPr>
          <w:rFonts w:ascii="Calibri" w:hAnsi="Calibri" w:cs="Calibri"/>
        </w:rPr>
      </w:pPr>
      <w:r w:rsidRPr="00A23FB4">
        <w:rPr>
          <w:rFonts w:ascii="Calibri" w:hAnsi="Calibri" w:cs="Calibri"/>
          <w:b/>
          <w:bCs/>
          <w:i/>
          <w:iCs/>
        </w:rPr>
        <w:t>1.4.2.</w:t>
      </w:r>
      <w:r w:rsidRPr="00A23FB4">
        <w:rPr>
          <w:rFonts w:ascii="Calibri" w:hAnsi="Calibri" w:cs="Calibri"/>
        </w:rPr>
        <w:t xml:space="preserve">Pozostałeokreślenia podstawowe są zgodne z obowiązującymi, odpowiednimi polskimi normami oraz z definicjami podanymi w </w:t>
      </w:r>
      <w:r w:rsidR="00A70091">
        <w:rPr>
          <w:rFonts w:ascii="Calibri" w:hAnsi="Calibri" w:cs="Calibri"/>
        </w:rPr>
        <w:t>ST</w:t>
      </w:r>
      <w:r w:rsidRPr="00A23FB4">
        <w:rPr>
          <w:rFonts w:ascii="Calibri" w:hAnsi="Calibri" w:cs="Calibri"/>
        </w:rPr>
        <w:t xml:space="preserve">WiORB D-M-00.00.00 „Wymagania ogólne” pkt 1.4. </w:t>
      </w:r>
    </w:p>
    <w:p w14:paraId="626B2770" w14:textId="77777777" w:rsidR="0072177F" w:rsidRPr="00A23FB4" w:rsidRDefault="0072177F" w:rsidP="0072177F">
      <w:pPr>
        <w:pStyle w:val="Nagwek4"/>
        <w:rPr>
          <w:rFonts w:ascii="Calibri" w:hAnsi="Calibri" w:cs="Calibri"/>
        </w:rPr>
      </w:pPr>
      <w:r w:rsidRPr="00A23FB4">
        <w:rPr>
          <w:rFonts w:ascii="Calibri" w:hAnsi="Calibri" w:cs="Calibri"/>
        </w:rPr>
        <w:t>1.5. Ogólne wymagania dotyczące robót</w:t>
      </w:r>
    </w:p>
    <w:p w14:paraId="43D4D0D3" w14:textId="70084B5E" w:rsidR="0072177F" w:rsidRPr="00A23FB4" w:rsidRDefault="0072177F" w:rsidP="0072177F">
      <w:pPr>
        <w:pStyle w:val="tekstost"/>
        <w:rPr>
          <w:rFonts w:ascii="Calibri" w:hAnsi="Calibri" w:cs="Calibri"/>
        </w:rPr>
      </w:pPr>
      <w:r w:rsidRPr="00A23FB4">
        <w:rPr>
          <w:rFonts w:ascii="Calibri" w:hAnsi="Calibri" w:cs="Calibri"/>
        </w:rPr>
        <w:t xml:space="preserve">Ogólne wymagania dotyczące robót podano w </w:t>
      </w:r>
      <w:r w:rsidR="00A70091">
        <w:rPr>
          <w:rFonts w:ascii="Calibri" w:hAnsi="Calibri" w:cs="Calibri"/>
        </w:rPr>
        <w:t>ST</w:t>
      </w:r>
      <w:r w:rsidRPr="00A23FB4">
        <w:rPr>
          <w:rFonts w:ascii="Calibri" w:hAnsi="Calibri" w:cs="Calibri"/>
        </w:rPr>
        <w:t>WiORB D-M-00.00.00 „Wymagania ogólne” pkt 1.5.</w:t>
      </w:r>
    </w:p>
    <w:p w14:paraId="565C0006" w14:textId="77777777" w:rsidR="00AE1DBC" w:rsidRPr="00A23FB4" w:rsidRDefault="00AE1DBC" w:rsidP="0072177F">
      <w:pPr>
        <w:rPr>
          <w:rFonts w:ascii="Calibri" w:hAnsi="Calibri" w:cs="Calibri"/>
          <w:b/>
        </w:rPr>
      </w:pPr>
    </w:p>
    <w:p w14:paraId="2279CA10" w14:textId="77777777" w:rsidR="0072177F" w:rsidRPr="00A23FB4" w:rsidRDefault="0072177F" w:rsidP="0072177F">
      <w:pPr>
        <w:rPr>
          <w:rFonts w:ascii="Calibri" w:hAnsi="Calibri" w:cs="Calibri"/>
          <w:b/>
        </w:rPr>
      </w:pPr>
      <w:r w:rsidRPr="00A23FB4">
        <w:rPr>
          <w:rFonts w:ascii="Calibri" w:hAnsi="Calibri" w:cs="Calibri"/>
          <w:b/>
        </w:rPr>
        <w:t>2. MATERIAŁY</w:t>
      </w:r>
    </w:p>
    <w:p w14:paraId="35498029" w14:textId="77777777" w:rsidR="0072177F" w:rsidRPr="00A23FB4" w:rsidRDefault="0072177F" w:rsidP="0072177F">
      <w:pPr>
        <w:pStyle w:val="Nagwek4"/>
        <w:rPr>
          <w:rFonts w:ascii="Calibri" w:hAnsi="Calibri" w:cs="Calibri"/>
        </w:rPr>
      </w:pPr>
      <w:r w:rsidRPr="00A23FB4">
        <w:rPr>
          <w:rFonts w:ascii="Calibri" w:hAnsi="Calibri" w:cs="Calibri"/>
        </w:rPr>
        <w:t>2.1. Ogólne wymagania dotyczące materiałów</w:t>
      </w:r>
    </w:p>
    <w:p w14:paraId="5FC66F26" w14:textId="4D8356C8" w:rsidR="0072177F" w:rsidRPr="00A23FB4" w:rsidRDefault="0072177F" w:rsidP="0072177F">
      <w:pPr>
        <w:rPr>
          <w:rFonts w:ascii="Calibri" w:hAnsi="Calibri" w:cs="Calibri"/>
        </w:rPr>
      </w:pPr>
      <w:r w:rsidRPr="00A23FB4">
        <w:rPr>
          <w:rFonts w:ascii="Calibri" w:hAnsi="Calibri" w:cs="Calibri"/>
        </w:rPr>
        <w:t xml:space="preserve">Ogólne wymagania dotyczące materiałów, ich pozyskiwania i składowania, podano w </w:t>
      </w:r>
      <w:r w:rsidR="00A70091">
        <w:rPr>
          <w:rFonts w:ascii="Calibri" w:hAnsi="Calibri" w:cs="Calibri"/>
        </w:rPr>
        <w:t>ST</w:t>
      </w:r>
      <w:r w:rsidRPr="00A23FB4">
        <w:rPr>
          <w:rFonts w:ascii="Calibri" w:hAnsi="Calibri" w:cs="Calibri"/>
        </w:rPr>
        <w:t>WiORB D-M-00.00.00 „ Wymagania ogólne” pkt 2.</w:t>
      </w:r>
    </w:p>
    <w:p w14:paraId="5AA2DEDE" w14:textId="77777777" w:rsidR="0072177F" w:rsidRPr="00A23FB4" w:rsidRDefault="0072177F" w:rsidP="0072177F">
      <w:pPr>
        <w:pStyle w:val="Nagwek4"/>
        <w:rPr>
          <w:rFonts w:ascii="Calibri" w:hAnsi="Calibri" w:cs="Calibri"/>
        </w:rPr>
      </w:pPr>
      <w:r w:rsidRPr="00A23FB4">
        <w:rPr>
          <w:rFonts w:ascii="Calibri" w:hAnsi="Calibri" w:cs="Calibri"/>
        </w:rPr>
        <w:t>2.2. Rodzaje materiałów</w:t>
      </w:r>
    </w:p>
    <w:p w14:paraId="354CD13A" w14:textId="77777777" w:rsidR="0072177F" w:rsidRPr="00A23FB4" w:rsidRDefault="0072177F" w:rsidP="0072177F">
      <w:pPr>
        <w:pStyle w:val="tekstost"/>
        <w:rPr>
          <w:rFonts w:ascii="Calibri" w:hAnsi="Calibri" w:cs="Calibri"/>
        </w:rPr>
      </w:pPr>
      <w:r w:rsidRPr="00A23FB4">
        <w:rPr>
          <w:rFonts w:ascii="Calibri" w:hAnsi="Calibri" w:cs="Calibri"/>
        </w:rPr>
        <w:t>Materiałem do wykonania podbudowy z kruszyw łamanych stabilizowanych mechanicznie powinno być kruszywo łamane, uzyskane w wyniku przekruszenia surowca skalnego</w:t>
      </w:r>
    </w:p>
    <w:p w14:paraId="5F036B18" w14:textId="77777777" w:rsidR="0072177F" w:rsidRDefault="0072177F" w:rsidP="0072177F">
      <w:pPr>
        <w:pStyle w:val="tekstost"/>
        <w:rPr>
          <w:rFonts w:ascii="Calibri" w:hAnsi="Calibri" w:cs="Calibri"/>
        </w:rPr>
      </w:pPr>
      <w:r w:rsidRPr="00A23FB4">
        <w:rPr>
          <w:rFonts w:ascii="Calibri" w:hAnsi="Calibri" w:cs="Calibri"/>
        </w:rPr>
        <w:t>Kruszywo powinno być jednorodne bez zanieczyszczeń obcych i bez domieszek gliny.</w:t>
      </w:r>
    </w:p>
    <w:p w14:paraId="6247171E" w14:textId="28C7FB0D" w:rsidR="00F97DAB" w:rsidRPr="00A23FB4" w:rsidRDefault="00F97DAB" w:rsidP="0072177F">
      <w:pPr>
        <w:pStyle w:val="tekstost"/>
        <w:rPr>
          <w:rFonts w:ascii="Calibri" w:hAnsi="Calibri" w:cs="Calibri"/>
        </w:rPr>
      </w:pPr>
      <w:r>
        <w:rPr>
          <w:rFonts w:ascii="Calibri" w:hAnsi="Calibri" w:cs="Calibri"/>
        </w:rPr>
        <w:t>Dopuszcza się użycie kruszywa pochodzącego z rozbiórki warstw konstrukcyjnych pod warunkiem braku zanieczyszczeń obcych i braku domieszek gliny</w:t>
      </w:r>
      <w:r w:rsidR="001743F1">
        <w:rPr>
          <w:rFonts w:ascii="Calibri" w:hAnsi="Calibri" w:cs="Calibri"/>
        </w:rPr>
        <w:t>.</w:t>
      </w:r>
    </w:p>
    <w:p w14:paraId="21306D6F" w14:textId="77777777" w:rsidR="0072177F" w:rsidRPr="00A23FB4" w:rsidRDefault="0072177F" w:rsidP="0072177F">
      <w:pPr>
        <w:pStyle w:val="Nagwek4"/>
        <w:rPr>
          <w:rFonts w:ascii="Calibri" w:hAnsi="Calibri" w:cs="Calibri"/>
        </w:rPr>
      </w:pPr>
      <w:r w:rsidRPr="00A23FB4">
        <w:rPr>
          <w:rFonts w:ascii="Calibri" w:hAnsi="Calibri" w:cs="Calibri"/>
        </w:rPr>
        <w:t>2.3. Wymagania dla materiałów</w:t>
      </w:r>
    </w:p>
    <w:p w14:paraId="73E6B954" w14:textId="77777777" w:rsidR="00A84DEF" w:rsidRPr="00372507" w:rsidRDefault="00A84DEF" w:rsidP="00372507">
      <w:pPr>
        <w:pStyle w:val="Tekstpodstawowy"/>
        <w:spacing w:line="240" w:lineRule="auto"/>
        <w:jc w:val="both"/>
        <w:rPr>
          <w:rFonts w:asciiTheme="minorHAnsi" w:hAnsiTheme="minorHAnsi" w:cstheme="minorHAnsi"/>
          <w:sz w:val="20"/>
          <w:szCs w:val="20"/>
        </w:rPr>
      </w:pPr>
      <w:r w:rsidRPr="00372507">
        <w:rPr>
          <w:rFonts w:asciiTheme="minorHAnsi" w:hAnsiTheme="minorHAnsi" w:cstheme="minorHAnsi"/>
          <w:sz w:val="20"/>
          <w:szCs w:val="20"/>
        </w:rPr>
        <w:t>Mieszanki niezwiązane do warstw podbudowy pomocniczej i zasadniczej Mieszanki niezwiązane do warstwy podbudowy pomocniczej i zasadniczej powinny spełniać Wymagania Krajowe przenoszące</w:t>
      </w:r>
      <w:r w:rsidRPr="00372507">
        <w:rPr>
          <w:rFonts w:asciiTheme="minorHAnsi" w:hAnsiTheme="minorHAnsi" w:cstheme="minorHAnsi"/>
          <w:sz w:val="20"/>
          <w:szCs w:val="20"/>
        </w:rPr>
        <w:tab/>
        <w:t>zapisy normy PN-EN-13285 „Mieszanki niezwiązane. Wymagania”, określone także w dokumentach WT-4 2010, KTKNPiP 2014, KTKNSZ</w:t>
      </w:r>
      <w:r w:rsidRPr="00372507">
        <w:rPr>
          <w:rFonts w:asciiTheme="minorHAnsi" w:hAnsiTheme="minorHAnsi" w:cstheme="minorHAnsi"/>
          <w:spacing w:val="-22"/>
          <w:sz w:val="20"/>
          <w:szCs w:val="20"/>
        </w:rPr>
        <w:t xml:space="preserve"> </w:t>
      </w:r>
      <w:r w:rsidRPr="00372507">
        <w:rPr>
          <w:rFonts w:asciiTheme="minorHAnsi" w:hAnsiTheme="minorHAnsi" w:cstheme="minorHAnsi"/>
          <w:sz w:val="20"/>
          <w:szCs w:val="20"/>
        </w:rPr>
        <w:t>2014.</w:t>
      </w:r>
    </w:p>
    <w:p w14:paraId="7560C13A" w14:textId="77777777" w:rsidR="00A84DEF" w:rsidRDefault="00A84DEF" w:rsidP="00372507">
      <w:pPr>
        <w:pStyle w:val="Tekstpodstawowy"/>
        <w:spacing w:line="240" w:lineRule="auto"/>
        <w:jc w:val="both"/>
        <w:rPr>
          <w:rFonts w:asciiTheme="minorHAnsi" w:hAnsiTheme="minorHAnsi" w:cstheme="minorHAnsi"/>
          <w:sz w:val="20"/>
          <w:szCs w:val="20"/>
        </w:rPr>
      </w:pPr>
    </w:p>
    <w:p w14:paraId="23908B87" w14:textId="77777777" w:rsidR="00372507" w:rsidRDefault="00372507" w:rsidP="00372507">
      <w:pPr>
        <w:pStyle w:val="Tekstpodstawowy"/>
        <w:spacing w:line="240" w:lineRule="auto"/>
        <w:jc w:val="both"/>
        <w:rPr>
          <w:rFonts w:asciiTheme="minorHAnsi" w:hAnsiTheme="minorHAnsi" w:cstheme="minorHAnsi"/>
          <w:sz w:val="20"/>
          <w:szCs w:val="20"/>
        </w:rPr>
      </w:pPr>
    </w:p>
    <w:p w14:paraId="343C19D2" w14:textId="77777777" w:rsidR="00372507" w:rsidRPr="00372507" w:rsidRDefault="00372507" w:rsidP="00372507">
      <w:pPr>
        <w:pStyle w:val="Tekstpodstawowy"/>
        <w:spacing w:line="240" w:lineRule="auto"/>
        <w:jc w:val="both"/>
        <w:rPr>
          <w:rFonts w:asciiTheme="minorHAnsi" w:hAnsiTheme="minorHAnsi" w:cstheme="minorHAnsi"/>
          <w:sz w:val="20"/>
          <w:szCs w:val="20"/>
        </w:rPr>
      </w:pPr>
    </w:p>
    <w:p w14:paraId="1BE1B5B3" w14:textId="2D77375C" w:rsidR="00A84DEF" w:rsidRPr="00372507" w:rsidRDefault="00A84DEF" w:rsidP="00372507">
      <w:pPr>
        <w:pStyle w:val="Tekstpodstawowy"/>
        <w:spacing w:line="240" w:lineRule="auto"/>
        <w:jc w:val="both"/>
        <w:rPr>
          <w:rFonts w:asciiTheme="minorHAnsi" w:hAnsiTheme="minorHAnsi" w:cstheme="minorHAnsi"/>
          <w:sz w:val="20"/>
          <w:szCs w:val="20"/>
        </w:rPr>
      </w:pPr>
      <w:r w:rsidRPr="00372507">
        <w:rPr>
          <w:rFonts w:asciiTheme="minorHAnsi" w:hAnsiTheme="minorHAnsi" w:cstheme="minorHAnsi"/>
          <w:sz w:val="20"/>
          <w:szCs w:val="20"/>
        </w:rPr>
        <w:t>Tablica</w:t>
      </w:r>
      <w:r w:rsidRPr="00372507">
        <w:rPr>
          <w:rFonts w:asciiTheme="minorHAnsi" w:hAnsiTheme="minorHAnsi" w:cstheme="minorHAnsi"/>
          <w:spacing w:val="63"/>
          <w:sz w:val="20"/>
          <w:szCs w:val="20"/>
        </w:rPr>
        <w:t xml:space="preserve"> </w:t>
      </w:r>
      <w:r w:rsidR="00372507">
        <w:rPr>
          <w:rFonts w:asciiTheme="minorHAnsi" w:hAnsiTheme="minorHAnsi" w:cstheme="minorHAnsi"/>
          <w:sz w:val="20"/>
          <w:szCs w:val="20"/>
        </w:rPr>
        <w:t>1</w:t>
      </w:r>
      <w:r w:rsidRPr="00372507">
        <w:rPr>
          <w:rFonts w:asciiTheme="minorHAnsi" w:hAnsiTheme="minorHAnsi" w:cstheme="minorHAnsi"/>
          <w:sz w:val="20"/>
          <w:szCs w:val="20"/>
        </w:rPr>
        <w:t>.</w:t>
      </w:r>
      <w:r w:rsidRPr="00372507">
        <w:rPr>
          <w:rFonts w:asciiTheme="minorHAnsi" w:hAnsiTheme="minorHAnsi" w:cstheme="minorHAnsi"/>
          <w:spacing w:val="63"/>
          <w:sz w:val="20"/>
          <w:szCs w:val="20"/>
        </w:rPr>
        <w:t xml:space="preserve"> </w:t>
      </w:r>
      <w:r w:rsidRPr="00372507">
        <w:rPr>
          <w:rFonts w:asciiTheme="minorHAnsi" w:hAnsiTheme="minorHAnsi" w:cstheme="minorHAnsi"/>
          <w:sz w:val="20"/>
          <w:szCs w:val="20"/>
        </w:rPr>
        <w:t>Zakres stosowania I podstawowe wymagania dotyczące mieszanek niezwiązanych do warstwy podbudowy</w:t>
      </w:r>
      <w:r w:rsidRPr="00372507">
        <w:rPr>
          <w:rFonts w:asciiTheme="minorHAnsi" w:hAnsiTheme="minorHAnsi" w:cstheme="minorHAnsi"/>
          <w:spacing w:val="-2"/>
          <w:sz w:val="20"/>
          <w:szCs w:val="20"/>
        </w:rPr>
        <w:t xml:space="preserve"> </w:t>
      </w:r>
      <w:r w:rsidRPr="00372507">
        <w:rPr>
          <w:rFonts w:asciiTheme="minorHAnsi" w:hAnsiTheme="minorHAnsi" w:cstheme="minorHAnsi"/>
          <w:sz w:val="20"/>
          <w:szCs w:val="20"/>
        </w:rPr>
        <w:t>pomocniczej</w:t>
      </w:r>
    </w:p>
    <w:tbl>
      <w:tblPr>
        <w:tblStyle w:val="TableNormal"/>
        <w:tblW w:w="0" w:type="auto"/>
        <w:tblInd w:w="1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35"/>
        <w:gridCol w:w="2407"/>
        <w:gridCol w:w="285"/>
        <w:gridCol w:w="1699"/>
        <w:gridCol w:w="3891"/>
      </w:tblGrid>
      <w:tr w:rsidR="00A84DEF" w:rsidRPr="00372507" w14:paraId="64A71D53" w14:textId="77777777" w:rsidTr="00372507">
        <w:trPr>
          <w:trHeight w:val="517"/>
        </w:trPr>
        <w:tc>
          <w:tcPr>
            <w:tcW w:w="535" w:type="dxa"/>
            <w:vMerge w:val="restart"/>
            <w:tcBorders>
              <w:bottom w:val="double" w:sz="2" w:space="0" w:color="000000"/>
            </w:tcBorders>
          </w:tcPr>
          <w:p w14:paraId="3D044F99" w14:textId="77777777" w:rsidR="00A84DEF" w:rsidRPr="00372507" w:rsidRDefault="00A84DEF" w:rsidP="00372507">
            <w:pPr>
              <w:pStyle w:val="Tekstpodstawowy"/>
              <w:spacing w:line="240" w:lineRule="auto"/>
              <w:jc w:val="center"/>
              <w:rPr>
                <w:rFonts w:asciiTheme="minorHAnsi" w:hAnsiTheme="minorHAnsi" w:cstheme="minorHAnsi"/>
                <w:sz w:val="20"/>
                <w:szCs w:val="20"/>
                <w:lang w:val="pl-PL"/>
              </w:rPr>
            </w:pPr>
          </w:p>
          <w:p w14:paraId="696E6391" w14:textId="77777777" w:rsidR="00A84DEF" w:rsidRPr="00372507" w:rsidRDefault="00A84DEF" w:rsidP="00372507">
            <w:pPr>
              <w:pStyle w:val="Tekstpodstawowy"/>
              <w:spacing w:line="240" w:lineRule="auto"/>
              <w:jc w:val="center"/>
              <w:rPr>
                <w:rFonts w:asciiTheme="minorHAnsi" w:hAnsiTheme="minorHAnsi" w:cstheme="minorHAnsi"/>
                <w:sz w:val="20"/>
                <w:szCs w:val="20"/>
              </w:rPr>
            </w:pPr>
            <w:r w:rsidRPr="00372507">
              <w:rPr>
                <w:rFonts w:asciiTheme="minorHAnsi" w:hAnsiTheme="minorHAnsi" w:cstheme="minorHAnsi"/>
                <w:sz w:val="20"/>
                <w:szCs w:val="20"/>
              </w:rPr>
              <w:t>Lp.</w:t>
            </w:r>
          </w:p>
        </w:tc>
        <w:tc>
          <w:tcPr>
            <w:tcW w:w="4391" w:type="dxa"/>
            <w:gridSpan w:val="3"/>
            <w:vMerge w:val="restart"/>
            <w:tcBorders>
              <w:bottom w:val="double" w:sz="2" w:space="0" w:color="000000"/>
            </w:tcBorders>
          </w:tcPr>
          <w:p w14:paraId="4AEE9A5A" w14:textId="77777777" w:rsidR="00A84DEF" w:rsidRPr="00372507" w:rsidRDefault="00A84DEF" w:rsidP="00372507">
            <w:pPr>
              <w:pStyle w:val="Tekstpodstawowy"/>
              <w:spacing w:line="240" w:lineRule="auto"/>
              <w:jc w:val="center"/>
              <w:rPr>
                <w:rFonts w:asciiTheme="minorHAnsi" w:hAnsiTheme="minorHAnsi" w:cstheme="minorHAnsi"/>
                <w:sz w:val="20"/>
                <w:szCs w:val="20"/>
              </w:rPr>
            </w:pPr>
          </w:p>
          <w:p w14:paraId="3EA43F05" w14:textId="77777777" w:rsidR="00A84DEF" w:rsidRPr="00372507" w:rsidRDefault="00A84DEF" w:rsidP="00372507">
            <w:pPr>
              <w:pStyle w:val="Tekstpodstawowy"/>
              <w:spacing w:line="240" w:lineRule="auto"/>
              <w:jc w:val="center"/>
              <w:rPr>
                <w:rFonts w:asciiTheme="minorHAnsi" w:hAnsiTheme="minorHAnsi" w:cstheme="minorHAnsi"/>
                <w:sz w:val="20"/>
                <w:szCs w:val="20"/>
              </w:rPr>
            </w:pPr>
            <w:r w:rsidRPr="00372507">
              <w:rPr>
                <w:rFonts w:asciiTheme="minorHAnsi" w:hAnsiTheme="minorHAnsi" w:cstheme="minorHAnsi"/>
                <w:sz w:val="20"/>
                <w:szCs w:val="20"/>
              </w:rPr>
              <w:t>Właściwości</w:t>
            </w:r>
          </w:p>
        </w:tc>
        <w:tc>
          <w:tcPr>
            <w:tcW w:w="3891" w:type="dxa"/>
          </w:tcPr>
          <w:p w14:paraId="3E1271DE" w14:textId="77777777" w:rsidR="00A84DEF" w:rsidRPr="00372507" w:rsidRDefault="00A84DEF" w:rsidP="00372507">
            <w:pPr>
              <w:pStyle w:val="Tekstpodstawowy"/>
              <w:spacing w:line="240" w:lineRule="auto"/>
              <w:jc w:val="center"/>
              <w:rPr>
                <w:rFonts w:asciiTheme="minorHAnsi" w:hAnsiTheme="minorHAnsi" w:cstheme="minorHAnsi"/>
                <w:sz w:val="20"/>
                <w:szCs w:val="20"/>
              </w:rPr>
            </w:pPr>
            <w:r w:rsidRPr="00372507">
              <w:rPr>
                <w:rFonts w:asciiTheme="minorHAnsi" w:hAnsiTheme="minorHAnsi" w:cstheme="minorHAnsi"/>
                <w:sz w:val="20"/>
                <w:szCs w:val="20"/>
              </w:rPr>
              <w:t>Warstwa podbudowy pomocniczej</w:t>
            </w:r>
          </w:p>
        </w:tc>
      </w:tr>
      <w:tr w:rsidR="00A84DEF" w:rsidRPr="00372507" w14:paraId="10AF1A03" w14:textId="77777777" w:rsidTr="00372507">
        <w:trPr>
          <w:trHeight w:val="531"/>
        </w:trPr>
        <w:tc>
          <w:tcPr>
            <w:tcW w:w="535" w:type="dxa"/>
            <w:vMerge/>
            <w:tcBorders>
              <w:top w:val="nil"/>
              <w:bottom w:val="double" w:sz="2" w:space="0" w:color="000000"/>
            </w:tcBorders>
          </w:tcPr>
          <w:p w14:paraId="7A1CE485" w14:textId="77777777" w:rsidR="00A84DEF" w:rsidRPr="00372507" w:rsidRDefault="00A84DEF" w:rsidP="00372507">
            <w:pPr>
              <w:pStyle w:val="Tekstpodstawowy"/>
              <w:spacing w:line="240" w:lineRule="auto"/>
              <w:jc w:val="center"/>
              <w:rPr>
                <w:rFonts w:asciiTheme="minorHAnsi" w:hAnsiTheme="minorHAnsi" w:cstheme="minorHAnsi"/>
                <w:sz w:val="20"/>
                <w:szCs w:val="20"/>
              </w:rPr>
            </w:pPr>
          </w:p>
        </w:tc>
        <w:tc>
          <w:tcPr>
            <w:tcW w:w="4391" w:type="dxa"/>
            <w:gridSpan w:val="3"/>
            <w:vMerge/>
            <w:tcBorders>
              <w:top w:val="nil"/>
              <w:bottom w:val="double" w:sz="2" w:space="0" w:color="000000"/>
            </w:tcBorders>
          </w:tcPr>
          <w:p w14:paraId="4177CDAF" w14:textId="77777777" w:rsidR="00A84DEF" w:rsidRPr="00372507" w:rsidRDefault="00A84DEF" w:rsidP="00372507">
            <w:pPr>
              <w:pStyle w:val="Tekstpodstawowy"/>
              <w:spacing w:line="240" w:lineRule="auto"/>
              <w:jc w:val="center"/>
              <w:rPr>
                <w:rFonts w:asciiTheme="minorHAnsi" w:hAnsiTheme="minorHAnsi" w:cstheme="minorHAnsi"/>
                <w:sz w:val="20"/>
                <w:szCs w:val="20"/>
              </w:rPr>
            </w:pPr>
          </w:p>
        </w:tc>
        <w:tc>
          <w:tcPr>
            <w:tcW w:w="3891" w:type="dxa"/>
            <w:tcBorders>
              <w:bottom w:val="double" w:sz="2" w:space="0" w:color="000000"/>
            </w:tcBorders>
          </w:tcPr>
          <w:p w14:paraId="2C1A86B8" w14:textId="77777777" w:rsidR="00A84DEF" w:rsidRPr="00372507" w:rsidRDefault="00A84DEF" w:rsidP="00372507">
            <w:pPr>
              <w:pStyle w:val="Tekstpodstawowy"/>
              <w:spacing w:line="240" w:lineRule="auto"/>
              <w:jc w:val="center"/>
              <w:rPr>
                <w:rFonts w:asciiTheme="minorHAnsi" w:hAnsiTheme="minorHAnsi" w:cstheme="minorHAnsi"/>
                <w:sz w:val="20"/>
                <w:szCs w:val="20"/>
              </w:rPr>
            </w:pPr>
            <w:r w:rsidRPr="00372507">
              <w:rPr>
                <w:rFonts w:asciiTheme="minorHAnsi" w:hAnsiTheme="minorHAnsi" w:cstheme="minorHAnsi"/>
                <w:sz w:val="20"/>
                <w:szCs w:val="20"/>
              </w:rPr>
              <w:t>KR3 – KR7</w:t>
            </w:r>
          </w:p>
        </w:tc>
      </w:tr>
      <w:tr w:rsidR="00A84DEF" w:rsidRPr="00372507" w14:paraId="0CBDEE40" w14:textId="77777777" w:rsidTr="00372507">
        <w:trPr>
          <w:trHeight w:val="452"/>
        </w:trPr>
        <w:tc>
          <w:tcPr>
            <w:tcW w:w="535" w:type="dxa"/>
            <w:tcBorders>
              <w:top w:val="double" w:sz="2" w:space="0" w:color="000000"/>
            </w:tcBorders>
          </w:tcPr>
          <w:p w14:paraId="28859E69" w14:textId="77777777" w:rsidR="00A84DEF" w:rsidRPr="00372507" w:rsidRDefault="00A84DEF" w:rsidP="00372507">
            <w:pPr>
              <w:pStyle w:val="Tekstpodstawowy"/>
              <w:spacing w:line="240" w:lineRule="auto"/>
              <w:jc w:val="both"/>
              <w:rPr>
                <w:rFonts w:asciiTheme="minorHAnsi" w:hAnsiTheme="minorHAnsi" w:cstheme="minorHAnsi"/>
                <w:sz w:val="20"/>
                <w:szCs w:val="20"/>
              </w:rPr>
            </w:pPr>
            <w:r w:rsidRPr="00372507">
              <w:rPr>
                <w:rFonts w:asciiTheme="minorHAnsi" w:hAnsiTheme="minorHAnsi" w:cstheme="minorHAnsi"/>
                <w:sz w:val="20"/>
                <w:szCs w:val="20"/>
              </w:rPr>
              <w:t>1.</w:t>
            </w:r>
          </w:p>
        </w:tc>
        <w:tc>
          <w:tcPr>
            <w:tcW w:w="4391" w:type="dxa"/>
            <w:gridSpan w:val="3"/>
            <w:tcBorders>
              <w:top w:val="double" w:sz="2" w:space="0" w:color="000000"/>
            </w:tcBorders>
          </w:tcPr>
          <w:p w14:paraId="291AFA43" w14:textId="77777777" w:rsidR="00A84DEF" w:rsidRPr="00372507" w:rsidRDefault="00A84DEF" w:rsidP="00372507">
            <w:pPr>
              <w:pStyle w:val="Tekstpodstawowy"/>
              <w:spacing w:line="240" w:lineRule="auto"/>
              <w:rPr>
                <w:rFonts w:asciiTheme="minorHAnsi" w:hAnsiTheme="minorHAnsi" w:cstheme="minorHAnsi"/>
                <w:sz w:val="20"/>
                <w:szCs w:val="20"/>
                <w:lang w:val="pl-PL"/>
              </w:rPr>
            </w:pPr>
            <w:r w:rsidRPr="00372507">
              <w:rPr>
                <w:rFonts w:asciiTheme="minorHAnsi" w:hAnsiTheme="minorHAnsi" w:cstheme="minorHAnsi"/>
                <w:sz w:val="20"/>
                <w:szCs w:val="20"/>
                <w:lang w:val="pl-PL"/>
              </w:rPr>
              <w:t>Uziarnienie, badanie wg PN-EN 933-1:</w:t>
            </w:r>
          </w:p>
        </w:tc>
        <w:tc>
          <w:tcPr>
            <w:tcW w:w="3891" w:type="dxa"/>
            <w:tcBorders>
              <w:top w:val="double" w:sz="2" w:space="0" w:color="000000"/>
            </w:tcBorders>
          </w:tcPr>
          <w:p w14:paraId="0AFFA732" w14:textId="77777777" w:rsidR="00A84DEF" w:rsidRPr="00372507" w:rsidRDefault="00A84DEF" w:rsidP="00372507">
            <w:pPr>
              <w:pStyle w:val="Tekstpodstawowy"/>
              <w:spacing w:line="240" w:lineRule="auto"/>
              <w:jc w:val="center"/>
              <w:rPr>
                <w:rFonts w:asciiTheme="minorHAnsi" w:hAnsiTheme="minorHAnsi" w:cstheme="minorHAnsi"/>
                <w:sz w:val="20"/>
                <w:szCs w:val="20"/>
              </w:rPr>
            </w:pPr>
            <w:r w:rsidRPr="00372507">
              <w:rPr>
                <w:rFonts w:asciiTheme="minorHAnsi" w:hAnsiTheme="minorHAnsi" w:cstheme="minorHAnsi"/>
                <w:sz w:val="20"/>
                <w:szCs w:val="20"/>
              </w:rPr>
              <w:t>0/31,5; 0/45; 0/63</w:t>
            </w:r>
          </w:p>
        </w:tc>
      </w:tr>
      <w:tr w:rsidR="00A84DEF" w:rsidRPr="00372507" w14:paraId="288113FF" w14:textId="77777777" w:rsidTr="00372507">
        <w:trPr>
          <w:trHeight w:val="621"/>
        </w:trPr>
        <w:tc>
          <w:tcPr>
            <w:tcW w:w="535" w:type="dxa"/>
          </w:tcPr>
          <w:p w14:paraId="6D69D2DB" w14:textId="77777777" w:rsidR="00A84DEF" w:rsidRPr="00372507" w:rsidRDefault="00A84DEF" w:rsidP="00372507">
            <w:pPr>
              <w:pStyle w:val="Tekstpodstawowy"/>
              <w:spacing w:line="240" w:lineRule="auto"/>
              <w:jc w:val="both"/>
              <w:rPr>
                <w:rFonts w:asciiTheme="minorHAnsi" w:hAnsiTheme="minorHAnsi" w:cstheme="minorHAnsi"/>
                <w:sz w:val="20"/>
                <w:szCs w:val="20"/>
              </w:rPr>
            </w:pPr>
            <w:r w:rsidRPr="00372507">
              <w:rPr>
                <w:rFonts w:asciiTheme="minorHAnsi" w:hAnsiTheme="minorHAnsi" w:cstheme="minorHAnsi"/>
                <w:sz w:val="20"/>
                <w:szCs w:val="20"/>
              </w:rPr>
              <w:t>2.</w:t>
            </w:r>
          </w:p>
        </w:tc>
        <w:tc>
          <w:tcPr>
            <w:tcW w:w="4391" w:type="dxa"/>
            <w:gridSpan w:val="3"/>
          </w:tcPr>
          <w:p w14:paraId="0FCB11F3" w14:textId="77777777" w:rsidR="00A84DEF" w:rsidRPr="00372507" w:rsidRDefault="00A84DEF" w:rsidP="00372507">
            <w:pPr>
              <w:pStyle w:val="Tekstpodstawowy"/>
              <w:spacing w:line="240" w:lineRule="auto"/>
              <w:rPr>
                <w:rFonts w:asciiTheme="minorHAnsi" w:hAnsiTheme="minorHAnsi" w:cstheme="minorHAnsi"/>
                <w:sz w:val="20"/>
                <w:szCs w:val="20"/>
                <w:lang w:val="pl-PL"/>
              </w:rPr>
            </w:pPr>
            <w:r w:rsidRPr="00372507">
              <w:rPr>
                <w:rFonts w:asciiTheme="minorHAnsi" w:hAnsiTheme="minorHAnsi" w:cstheme="minorHAnsi"/>
                <w:sz w:val="20"/>
                <w:szCs w:val="20"/>
                <w:lang w:val="pl-PL"/>
              </w:rPr>
              <w:t>Zawartość ziaren przekruszonych</w:t>
            </w:r>
          </w:p>
          <w:p w14:paraId="7C7C4A73" w14:textId="77777777" w:rsidR="00A84DEF" w:rsidRPr="00372507" w:rsidRDefault="00A84DEF" w:rsidP="00372507">
            <w:pPr>
              <w:pStyle w:val="Tekstpodstawowy"/>
              <w:spacing w:line="240" w:lineRule="auto"/>
              <w:rPr>
                <w:rFonts w:asciiTheme="minorHAnsi" w:hAnsiTheme="minorHAnsi" w:cstheme="minorHAnsi"/>
                <w:sz w:val="20"/>
                <w:szCs w:val="20"/>
                <w:lang w:val="pl-PL"/>
              </w:rPr>
            </w:pPr>
            <w:r w:rsidRPr="00372507">
              <w:rPr>
                <w:rFonts w:asciiTheme="minorHAnsi" w:hAnsiTheme="minorHAnsi" w:cstheme="minorHAnsi"/>
                <w:sz w:val="20"/>
                <w:szCs w:val="20"/>
                <w:lang w:val="pl-PL"/>
              </w:rPr>
              <w:t>lub łamanych, badanie wg PN-EN 933-5:</w:t>
            </w:r>
          </w:p>
        </w:tc>
        <w:tc>
          <w:tcPr>
            <w:tcW w:w="3891" w:type="dxa"/>
          </w:tcPr>
          <w:p w14:paraId="4741204D" w14:textId="77777777" w:rsidR="00A84DEF" w:rsidRPr="00372507" w:rsidRDefault="00A84DEF" w:rsidP="00372507">
            <w:pPr>
              <w:pStyle w:val="Tekstpodstawowy"/>
              <w:spacing w:line="240" w:lineRule="auto"/>
              <w:jc w:val="center"/>
              <w:rPr>
                <w:rFonts w:asciiTheme="minorHAnsi" w:hAnsiTheme="minorHAnsi" w:cstheme="minorHAnsi"/>
                <w:sz w:val="20"/>
                <w:szCs w:val="20"/>
              </w:rPr>
            </w:pPr>
            <w:r w:rsidRPr="00372507">
              <w:rPr>
                <w:rFonts w:asciiTheme="minorHAnsi" w:hAnsiTheme="minorHAnsi" w:cstheme="minorHAnsi"/>
                <w:position w:val="3"/>
                <w:sz w:val="20"/>
                <w:szCs w:val="20"/>
              </w:rPr>
              <w:t>C</w:t>
            </w:r>
            <w:r w:rsidRPr="00372507">
              <w:rPr>
                <w:rFonts w:asciiTheme="minorHAnsi" w:hAnsiTheme="minorHAnsi" w:cstheme="minorHAnsi"/>
                <w:sz w:val="20"/>
                <w:szCs w:val="20"/>
              </w:rPr>
              <w:t>90</w:t>
            </w:r>
          </w:p>
        </w:tc>
      </w:tr>
      <w:tr w:rsidR="00A84DEF" w:rsidRPr="00372507" w14:paraId="1C7DD17A" w14:textId="77777777" w:rsidTr="00372507">
        <w:trPr>
          <w:trHeight w:val="954"/>
        </w:trPr>
        <w:tc>
          <w:tcPr>
            <w:tcW w:w="535" w:type="dxa"/>
          </w:tcPr>
          <w:p w14:paraId="7AE8F84C" w14:textId="77777777" w:rsidR="00A84DEF" w:rsidRPr="00372507" w:rsidRDefault="00A84DEF" w:rsidP="00372507">
            <w:pPr>
              <w:pStyle w:val="Tekstpodstawowy"/>
              <w:spacing w:line="240" w:lineRule="auto"/>
              <w:jc w:val="both"/>
              <w:rPr>
                <w:rFonts w:asciiTheme="minorHAnsi" w:hAnsiTheme="minorHAnsi" w:cstheme="minorHAnsi"/>
                <w:sz w:val="20"/>
                <w:szCs w:val="20"/>
              </w:rPr>
            </w:pPr>
          </w:p>
          <w:p w14:paraId="568A7392" w14:textId="77777777" w:rsidR="00A84DEF" w:rsidRPr="00372507" w:rsidRDefault="00A84DEF" w:rsidP="00372507">
            <w:pPr>
              <w:pStyle w:val="Tekstpodstawowy"/>
              <w:spacing w:line="240" w:lineRule="auto"/>
              <w:jc w:val="both"/>
              <w:rPr>
                <w:rFonts w:asciiTheme="minorHAnsi" w:hAnsiTheme="minorHAnsi" w:cstheme="minorHAnsi"/>
                <w:sz w:val="20"/>
                <w:szCs w:val="20"/>
              </w:rPr>
            </w:pPr>
            <w:r w:rsidRPr="00372507">
              <w:rPr>
                <w:rFonts w:asciiTheme="minorHAnsi" w:hAnsiTheme="minorHAnsi" w:cstheme="minorHAnsi"/>
                <w:sz w:val="20"/>
                <w:szCs w:val="20"/>
              </w:rPr>
              <w:t>3.</w:t>
            </w:r>
          </w:p>
        </w:tc>
        <w:tc>
          <w:tcPr>
            <w:tcW w:w="2692" w:type="dxa"/>
            <w:gridSpan w:val="2"/>
          </w:tcPr>
          <w:p w14:paraId="18807A8A" w14:textId="77777777" w:rsidR="00A84DEF" w:rsidRPr="00372507" w:rsidRDefault="00A84DEF" w:rsidP="00372507">
            <w:pPr>
              <w:pStyle w:val="Tekstpodstawowy"/>
              <w:spacing w:line="240" w:lineRule="auto"/>
              <w:rPr>
                <w:rFonts w:asciiTheme="minorHAnsi" w:hAnsiTheme="minorHAnsi" w:cstheme="minorHAnsi"/>
                <w:sz w:val="20"/>
                <w:szCs w:val="20"/>
                <w:lang w:val="pl-PL"/>
              </w:rPr>
            </w:pPr>
            <w:r w:rsidRPr="00372507">
              <w:rPr>
                <w:rFonts w:asciiTheme="minorHAnsi" w:hAnsiTheme="minorHAnsi" w:cstheme="minorHAnsi"/>
                <w:sz w:val="20"/>
                <w:szCs w:val="20"/>
                <w:lang w:val="pl-PL"/>
              </w:rPr>
              <w:t>Maksymalna zawartość pyłów w warstwie, badanie wg PN-EN 933-1:</w:t>
            </w:r>
          </w:p>
        </w:tc>
        <w:tc>
          <w:tcPr>
            <w:tcW w:w="1699" w:type="dxa"/>
          </w:tcPr>
          <w:p w14:paraId="13E9B316" w14:textId="77777777" w:rsidR="00A84DEF" w:rsidRPr="00372507" w:rsidRDefault="00A84DEF" w:rsidP="00372507">
            <w:pPr>
              <w:pStyle w:val="Tekstpodstawowy"/>
              <w:spacing w:line="240" w:lineRule="auto"/>
              <w:rPr>
                <w:rFonts w:asciiTheme="minorHAnsi" w:hAnsiTheme="minorHAnsi" w:cstheme="minorHAnsi"/>
                <w:sz w:val="20"/>
                <w:szCs w:val="20"/>
                <w:lang w:val="pl-PL"/>
              </w:rPr>
            </w:pPr>
          </w:p>
          <w:p w14:paraId="07881A41" w14:textId="77777777" w:rsidR="00A84DEF" w:rsidRPr="00372507" w:rsidRDefault="00A84DEF" w:rsidP="00372507">
            <w:pPr>
              <w:pStyle w:val="Tekstpodstawowy"/>
              <w:spacing w:line="240" w:lineRule="auto"/>
              <w:rPr>
                <w:rFonts w:asciiTheme="minorHAnsi" w:hAnsiTheme="minorHAnsi" w:cstheme="minorHAnsi"/>
                <w:sz w:val="20"/>
                <w:szCs w:val="20"/>
              </w:rPr>
            </w:pPr>
            <w:r w:rsidRPr="00372507">
              <w:rPr>
                <w:rFonts w:asciiTheme="minorHAnsi" w:hAnsiTheme="minorHAnsi" w:cstheme="minorHAnsi"/>
                <w:sz w:val="20"/>
                <w:szCs w:val="20"/>
              </w:rPr>
              <w:t>w typowych zastosowaniach</w:t>
            </w:r>
          </w:p>
        </w:tc>
        <w:tc>
          <w:tcPr>
            <w:tcW w:w="3891" w:type="dxa"/>
          </w:tcPr>
          <w:p w14:paraId="0B63D921" w14:textId="77777777" w:rsidR="00A84DEF" w:rsidRPr="00372507" w:rsidRDefault="00A84DEF" w:rsidP="00372507">
            <w:pPr>
              <w:pStyle w:val="Tekstpodstawowy"/>
              <w:spacing w:line="240" w:lineRule="auto"/>
              <w:jc w:val="center"/>
              <w:rPr>
                <w:rFonts w:asciiTheme="minorHAnsi" w:hAnsiTheme="minorHAnsi" w:cstheme="minorHAnsi"/>
                <w:sz w:val="20"/>
                <w:szCs w:val="20"/>
              </w:rPr>
            </w:pPr>
          </w:p>
          <w:p w14:paraId="108D6C3B" w14:textId="77777777" w:rsidR="00A84DEF" w:rsidRPr="00372507" w:rsidRDefault="00A84DEF" w:rsidP="00372507">
            <w:pPr>
              <w:pStyle w:val="Tekstpodstawowy"/>
              <w:spacing w:line="240" w:lineRule="auto"/>
              <w:jc w:val="center"/>
              <w:rPr>
                <w:rFonts w:asciiTheme="minorHAnsi" w:hAnsiTheme="minorHAnsi" w:cstheme="minorHAnsi"/>
                <w:sz w:val="20"/>
                <w:szCs w:val="20"/>
              </w:rPr>
            </w:pPr>
            <w:r w:rsidRPr="00372507">
              <w:rPr>
                <w:rFonts w:asciiTheme="minorHAnsi" w:hAnsiTheme="minorHAnsi" w:cstheme="minorHAnsi"/>
                <w:sz w:val="20"/>
                <w:szCs w:val="20"/>
              </w:rPr>
              <w:t>UF</w:t>
            </w:r>
            <w:r w:rsidRPr="00372507">
              <w:rPr>
                <w:rFonts w:asciiTheme="minorHAnsi" w:hAnsiTheme="minorHAnsi" w:cstheme="minorHAnsi"/>
                <w:sz w:val="20"/>
                <w:szCs w:val="20"/>
                <w:vertAlign w:val="subscript"/>
              </w:rPr>
              <w:t>12</w:t>
            </w:r>
          </w:p>
        </w:tc>
      </w:tr>
      <w:tr w:rsidR="00A84DEF" w:rsidRPr="00372507" w14:paraId="73339AC6" w14:textId="77777777" w:rsidTr="00372507">
        <w:trPr>
          <w:trHeight w:val="839"/>
        </w:trPr>
        <w:tc>
          <w:tcPr>
            <w:tcW w:w="535" w:type="dxa"/>
            <w:tcBorders>
              <w:bottom w:val="single" w:sz="8" w:space="0" w:color="000000"/>
            </w:tcBorders>
          </w:tcPr>
          <w:p w14:paraId="21D9F815" w14:textId="77777777" w:rsidR="00A84DEF" w:rsidRPr="00372507" w:rsidRDefault="00A84DEF" w:rsidP="00372507">
            <w:pPr>
              <w:pStyle w:val="Tekstpodstawowy"/>
              <w:spacing w:line="240" w:lineRule="auto"/>
              <w:jc w:val="both"/>
              <w:rPr>
                <w:rFonts w:asciiTheme="minorHAnsi" w:hAnsiTheme="minorHAnsi" w:cstheme="minorHAnsi"/>
                <w:sz w:val="20"/>
                <w:szCs w:val="20"/>
              </w:rPr>
            </w:pPr>
            <w:r w:rsidRPr="00372507">
              <w:rPr>
                <w:rFonts w:asciiTheme="minorHAnsi" w:hAnsiTheme="minorHAnsi" w:cstheme="minorHAnsi"/>
                <w:sz w:val="20"/>
                <w:szCs w:val="20"/>
              </w:rPr>
              <w:t>4.</w:t>
            </w:r>
          </w:p>
        </w:tc>
        <w:tc>
          <w:tcPr>
            <w:tcW w:w="4391" w:type="dxa"/>
            <w:gridSpan w:val="3"/>
            <w:tcBorders>
              <w:bottom w:val="single" w:sz="8" w:space="0" w:color="000000"/>
            </w:tcBorders>
          </w:tcPr>
          <w:p w14:paraId="420F1166" w14:textId="77777777" w:rsidR="00A84DEF" w:rsidRPr="00372507" w:rsidRDefault="00A84DEF" w:rsidP="00372507">
            <w:pPr>
              <w:pStyle w:val="Tekstpodstawowy"/>
              <w:spacing w:line="240" w:lineRule="auto"/>
              <w:rPr>
                <w:rFonts w:asciiTheme="minorHAnsi" w:hAnsiTheme="minorHAnsi" w:cstheme="minorHAnsi"/>
                <w:sz w:val="20"/>
                <w:szCs w:val="20"/>
                <w:lang w:val="pl-PL"/>
              </w:rPr>
            </w:pPr>
            <w:r w:rsidRPr="00372507">
              <w:rPr>
                <w:rFonts w:asciiTheme="minorHAnsi" w:hAnsiTheme="minorHAnsi" w:cstheme="minorHAnsi"/>
                <w:sz w:val="20"/>
                <w:szCs w:val="20"/>
                <w:lang w:val="pl-PL"/>
              </w:rPr>
              <w:t>Odporność na rozdrabnianie,</w:t>
            </w:r>
          </w:p>
          <w:p w14:paraId="571B52BD" w14:textId="77777777" w:rsidR="00A84DEF" w:rsidRPr="00372507" w:rsidRDefault="00A84DEF" w:rsidP="00372507">
            <w:pPr>
              <w:pStyle w:val="Tekstpodstawowy"/>
              <w:spacing w:line="240" w:lineRule="auto"/>
              <w:rPr>
                <w:rFonts w:asciiTheme="minorHAnsi" w:hAnsiTheme="minorHAnsi" w:cstheme="minorHAnsi"/>
                <w:sz w:val="20"/>
                <w:szCs w:val="20"/>
                <w:lang w:val="pl-PL"/>
              </w:rPr>
            </w:pPr>
          </w:p>
          <w:p w14:paraId="4E4210F3" w14:textId="77777777" w:rsidR="00A84DEF" w:rsidRPr="00372507" w:rsidRDefault="00A84DEF" w:rsidP="00372507">
            <w:pPr>
              <w:pStyle w:val="Tekstpodstawowy"/>
              <w:spacing w:line="240" w:lineRule="auto"/>
              <w:rPr>
                <w:rFonts w:asciiTheme="minorHAnsi" w:hAnsiTheme="minorHAnsi" w:cstheme="minorHAnsi"/>
                <w:sz w:val="20"/>
                <w:szCs w:val="20"/>
                <w:lang w:val="pl-PL"/>
              </w:rPr>
            </w:pPr>
            <w:r w:rsidRPr="00372507">
              <w:rPr>
                <w:rFonts w:asciiTheme="minorHAnsi" w:hAnsiTheme="minorHAnsi" w:cstheme="minorHAnsi"/>
                <w:sz w:val="20"/>
                <w:szCs w:val="20"/>
                <w:lang w:val="pl-PL"/>
              </w:rPr>
              <w:t>badanie wg PN-EN 1097-2</w:t>
            </w:r>
          </w:p>
        </w:tc>
        <w:tc>
          <w:tcPr>
            <w:tcW w:w="3891" w:type="dxa"/>
            <w:tcBorders>
              <w:bottom w:val="single" w:sz="8" w:space="0" w:color="000000"/>
            </w:tcBorders>
          </w:tcPr>
          <w:p w14:paraId="57911085" w14:textId="77777777" w:rsidR="00A84DEF" w:rsidRPr="00372507" w:rsidRDefault="00A84DEF" w:rsidP="00372507">
            <w:pPr>
              <w:pStyle w:val="Tekstpodstawowy"/>
              <w:spacing w:line="240" w:lineRule="auto"/>
              <w:jc w:val="center"/>
              <w:rPr>
                <w:rFonts w:asciiTheme="minorHAnsi" w:hAnsiTheme="minorHAnsi" w:cstheme="minorHAnsi"/>
                <w:sz w:val="20"/>
                <w:szCs w:val="20"/>
              </w:rPr>
            </w:pPr>
            <w:r w:rsidRPr="00372507">
              <w:rPr>
                <w:rFonts w:asciiTheme="minorHAnsi" w:hAnsiTheme="minorHAnsi" w:cstheme="minorHAnsi"/>
                <w:sz w:val="20"/>
                <w:szCs w:val="20"/>
              </w:rPr>
              <w:t>LA</w:t>
            </w:r>
            <w:r w:rsidRPr="00372507">
              <w:rPr>
                <w:rFonts w:asciiTheme="minorHAnsi" w:hAnsiTheme="minorHAnsi" w:cstheme="minorHAnsi"/>
                <w:sz w:val="20"/>
                <w:szCs w:val="20"/>
                <w:vertAlign w:val="subscript"/>
              </w:rPr>
              <w:t>40</w:t>
            </w:r>
          </w:p>
        </w:tc>
      </w:tr>
      <w:tr w:rsidR="00A84DEF" w:rsidRPr="00372507" w14:paraId="778F60A8" w14:textId="77777777" w:rsidTr="00372507">
        <w:trPr>
          <w:trHeight w:val="304"/>
        </w:trPr>
        <w:tc>
          <w:tcPr>
            <w:tcW w:w="535" w:type="dxa"/>
            <w:vMerge w:val="restart"/>
            <w:tcBorders>
              <w:top w:val="single" w:sz="8" w:space="0" w:color="000000"/>
              <w:bottom w:val="single" w:sz="8" w:space="0" w:color="000000"/>
            </w:tcBorders>
          </w:tcPr>
          <w:p w14:paraId="1DC5A3AE" w14:textId="77777777" w:rsidR="00A84DEF" w:rsidRPr="00372507" w:rsidRDefault="00A84DEF" w:rsidP="00372507">
            <w:pPr>
              <w:pStyle w:val="Tekstpodstawowy"/>
              <w:spacing w:line="240" w:lineRule="auto"/>
              <w:jc w:val="both"/>
              <w:rPr>
                <w:rFonts w:asciiTheme="minorHAnsi" w:hAnsiTheme="minorHAnsi" w:cstheme="minorHAnsi"/>
                <w:sz w:val="20"/>
                <w:szCs w:val="20"/>
              </w:rPr>
            </w:pPr>
          </w:p>
          <w:p w14:paraId="42250687" w14:textId="77777777" w:rsidR="00A84DEF" w:rsidRPr="00372507" w:rsidRDefault="00A84DEF" w:rsidP="00372507">
            <w:pPr>
              <w:pStyle w:val="Tekstpodstawowy"/>
              <w:spacing w:line="240" w:lineRule="auto"/>
              <w:jc w:val="both"/>
              <w:rPr>
                <w:rFonts w:asciiTheme="minorHAnsi" w:hAnsiTheme="minorHAnsi" w:cstheme="minorHAnsi"/>
                <w:sz w:val="20"/>
                <w:szCs w:val="20"/>
              </w:rPr>
            </w:pPr>
          </w:p>
          <w:p w14:paraId="21784B5A" w14:textId="77777777" w:rsidR="00A84DEF" w:rsidRPr="00372507" w:rsidRDefault="00A84DEF" w:rsidP="00372507">
            <w:pPr>
              <w:pStyle w:val="Tekstpodstawowy"/>
              <w:spacing w:line="240" w:lineRule="auto"/>
              <w:jc w:val="both"/>
              <w:rPr>
                <w:rFonts w:asciiTheme="minorHAnsi" w:hAnsiTheme="minorHAnsi" w:cstheme="minorHAnsi"/>
                <w:sz w:val="20"/>
                <w:szCs w:val="20"/>
              </w:rPr>
            </w:pPr>
            <w:r w:rsidRPr="00372507">
              <w:rPr>
                <w:rFonts w:asciiTheme="minorHAnsi" w:hAnsiTheme="minorHAnsi" w:cstheme="minorHAnsi"/>
                <w:sz w:val="20"/>
                <w:szCs w:val="20"/>
              </w:rPr>
              <w:t>5.</w:t>
            </w:r>
          </w:p>
        </w:tc>
        <w:tc>
          <w:tcPr>
            <w:tcW w:w="2407" w:type="dxa"/>
            <w:vMerge w:val="restart"/>
            <w:tcBorders>
              <w:top w:val="single" w:sz="8" w:space="0" w:color="000000"/>
              <w:bottom w:val="single" w:sz="8" w:space="0" w:color="000000"/>
            </w:tcBorders>
          </w:tcPr>
          <w:p w14:paraId="1EEF7B29" w14:textId="77777777" w:rsidR="00A84DEF" w:rsidRPr="00372507" w:rsidRDefault="00A84DEF" w:rsidP="00372507">
            <w:pPr>
              <w:pStyle w:val="Tekstpodstawowy"/>
              <w:spacing w:line="240" w:lineRule="auto"/>
              <w:rPr>
                <w:rFonts w:asciiTheme="minorHAnsi" w:hAnsiTheme="minorHAnsi" w:cstheme="minorHAnsi"/>
                <w:sz w:val="20"/>
                <w:szCs w:val="20"/>
                <w:lang w:val="pl-PL"/>
              </w:rPr>
            </w:pPr>
          </w:p>
          <w:p w14:paraId="6454A7F6" w14:textId="77777777" w:rsidR="00A84DEF" w:rsidRPr="00372507" w:rsidRDefault="00A84DEF" w:rsidP="00372507">
            <w:pPr>
              <w:pStyle w:val="Tekstpodstawowy"/>
              <w:spacing w:line="240" w:lineRule="auto"/>
              <w:rPr>
                <w:rFonts w:asciiTheme="minorHAnsi" w:hAnsiTheme="minorHAnsi" w:cstheme="minorHAnsi"/>
                <w:sz w:val="20"/>
                <w:szCs w:val="20"/>
                <w:lang w:val="pl-PL"/>
              </w:rPr>
            </w:pPr>
            <w:r w:rsidRPr="00372507">
              <w:rPr>
                <w:rFonts w:asciiTheme="minorHAnsi" w:hAnsiTheme="minorHAnsi" w:cstheme="minorHAnsi"/>
                <w:sz w:val="20"/>
                <w:szCs w:val="20"/>
                <w:lang w:val="pl-PL"/>
              </w:rPr>
              <w:t>Wskaźnik piaskowy SE</w:t>
            </w:r>
            <w:r w:rsidRPr="00372507">
              <w:rPr>
                <w:rFonts w:asciiTheme="minorHAnsi" w:hAnsiTheme="minorHAnsi" w:cstheme="minorHAnsi"/>
                <w:sz w:val="20"/>
                <w:szCs w:val="20"/>
                <w:vertAlign w:val="subscript"/>
                <w:lang w:val="pl-PL"/>
              </w:rPr>
              <w:t>4</w:t>
            </w:r>
            <w:r w:rsidRPr="00372507">
              <w:rPr>
                <w:rFonts w:asciiTheme="minorHAnsi" w:hAnsiTheme="minorHAnsi" w:cstheme="minorHAnsi"/>
                <w:sz w:val="20"/>
                <w:szCs w:val="20"/>
                <w:lang w:val="pl-PL"/>
              </w:rPr>
              <w:t>, badanie wg</w:t>
            </w:r>
            <w:r w:rsidRPr="00372507">
              <w:rPr>
                <w:rFonts w:asciiTheme="minorHAnsi" w:hAnsiTheme="minorHAnsi" w:cstheme="minorHAnsi"/>
                <w:spacing w:val="-11"/>
                <w:sz w:val="20"/>
                <w:szCs w:val="20"/>
                <w:lang w:val="pl-PL"/>
              </w:rPr>
              <w:t xml:space="preserve"> </w:t>
            </w:r>
            <w:r w:rsidRPr="00372507">
              <w:rPr>
                <w:rFonts w:asciiTheme="minorHAnsi" w:hAnsiTheme="minorHAnsi" w:cstheme="minorHAnsi"/>
                <w:sz w:val="20"/>
                <w:szCs w:val="20"/>
                <w:lang w:val="pl-PL"/>
              </w:rPr>
              <w:t>PN-EN 933-8, co najmniej,</w:t>
            </w:r>
            <w:r w:rsidRPr="00372507">
              <w:rPr>
                <w:rFonts w:asciiTheme="minorHAnsi" w:hAnsiTheme="minorHAnsi" w:cstheme="minorHAnsi"/>
                <w:spacing w:val="-6"/>
                <w:sz w:val="20"/>
                <w:szCs w:val="20"/>
                <w:lang w:val="pl-PL"/>
              </w:rPr>
              <w:t xml:space="preserve"> </w:t>
            </w:r>
            <w:r w:rsidRPr="00372507">
              <w:rPr>
                <w:rFonts w:asciiTheme="minorHAnsi" w:hAnsiTheme="minorHAnsi" w:cstheme="minorHAnsi"/>
                <w:sz w:val="20"/>
                <w:szCs w:val="20"/>
                <w:lang w:val="pl-PL"/>
              </w:rPr>
              <w:t>%</w:t>
            </w:r>
          </w:p>
        </w:tc>
        <w:tc>
          <w:tcPr>
            <w:tcW w:w="1984" w:type="dxa"/>
            <w:gridSpan w:val="2"/>
            <w:tcBorders>
              <w:top w:val="single" w:sz="8" w:space="0" w:color="000000"/>
            </w:tcBorders>
          </w:tcPr>
          <w:p w14:paraId="1EBC80EE" w14:textId="77777777" w:rsidR="00A84DEF" w:rsidRPr="00372507" w:rsidRDefault="00A84DEF" w:rsidP="00372507">
            <w:pPr>
              <w:pStyle w:val="Tekstpodstawowy"/>
              <w:spacing w:line="240" w:lineRule="auto"/>
              <w:rPr>
                <w:rFonts w:asciiTheme="minorHAnsi" w:hAnsiTheme="minorHAnsi" w:cstheme="minorHAnsi"/>
                <w:sz w:val="20"/>
                <w:szCs w:val="20"/>
              </w:rPr>
            </w:pPr>
            <w:r w:rsidRPr="00372507">
              <w:rPr>
                <w:rFonts w:asciiTheme="minorHAnsi" w:hAnsiTheme="minorHAnsi" w:cstheme="minorHAnsi"/>
                <w:sz w:val="20"/>
                <w:szCs w:val="20"/>
              </w:rPr>
              <w:t>mieszanki</w:t>
            </w:r>
          </w:p>
        </w:tc>
        <w:tc>
          <w:tcPr>
            <w:tcW w:w="3891" w:type="dxa"/>
            <w:tcBorders>
              <w:top w:val="single" w:sz="8" w:space="0" w:color="000000"/>
            </w:tcBorders>
          </w:tcPr>
          <w:p w14:paraId="40AAE7E7" w14:textId="77777777" w:rsidR="00A84DEF" w:rsidRPr="00372507" w:rsidRDefault="00A84DEF" w:rsidP="00372507">
            <w:pPr>
              <w:pStyle w:val="Tekstpodstawowy"/>
              <w:spacing w:line="240" w:lineRule="auto"/>
              <w:jc w:val="center"/>
              <w:rPr>
                <w:rFonts w:asciiTheme="minorHAnsi" w:hAnsiTheme="minorHAnsi" w:cstheme="minorHAnsi"/>
                <w:sz w:val="20"/>
                <w:szCs w:val="20"/>
              </w:rPr>
            </w:pPr>
            <w:r w:rsidRPr="00372507">
              <w:rPr>
                <w:rFonts w:asciiTheme="minorHAnsi" w:hAnsiTheme="minorHAnsi" w:cstheme="minorHAnsi"/>
                <w:sz w:val="20"/>
                <w:szCs w:val="20"/>
              </w:rPr>
              <w:t>40</w:t>
            </w:r>
          </w:p>
        </w:tc>
      </w:tr>
      <w:tr w:rsidR="00A84DEF" w:rsidRPr="00372507" w14:paraId="3CE1216F" w14:textId="77777777" w:rsidTr="00372507">
        <w:trPr>
          <w:trHeight w:val="1144"/>
        </w:trPr>
        <w:tc>
          <w:tcPr>
            <w:tcW w:w="535" w:type="dxa"/>
            <w:vMerge/>
            <w:tcBorders>
              <w:top w:val="nil"/>
              <w:bottom w:val="single" w:sz="8" w:space="0" w:color="000000"/>
            </w:tcBorders>
          </w:tcPr>
          <w:p w14:paraId="527C01C5" w14:textId="77777777" w:rsidR="00A84DEF" w:rsidRPr="00372507" w:rsidRDefault="00A84DEF" w:rsidP="00372507">
            <w:pPr>
              <w:pStyle w:val="Tekstpodstawowy"/>
              <w:spacing w:line="240" w:lineRule="auto"/>
              <w:jc w:val="both"/>
              <w:rPr>
                <w:rFonts w:asciiTheme="minorHAnsi" w:hAnsiTheme="minorHAnsi" w:cstheme="minorHAnsi"/>
                <w:sz w:val="20"/>
                <w:szCs w:val="20"/>
              </w:rPr>
            </w:pPr>
          </w:p>
        </w:tc>
        <w:tc>
          <w:tcPr>
            <w:tcW w:w="2407" w:type="dxa"/>
            <w:vMerge/>
            <w:tcBorders>
              <w:top w:val="nil"/>
              <w:bottom w:val="single" w:sz="8" w:space="0" w:color="000000"/>
            </w:tcBorders>
          </w:tcPr>
          <w:p w14:paraId="7A5CBC67" w14:textId="77777777" w:rsidR="00A84DEF" w:rsidRPr="00372507" w:rsidRDefault="00A84DEF" w:rsidP="00372507">
            <w:pPr>
              <w:pStyle w:val="Tekstpodstawowy"/>
              <w:spacing w:line="240" w:lineRule="auto"/>
              <w:rPr>
                <w:rFonts w:asciiTheme="minorHAnsi" w:hAnsiTheme="minorHAnsi" w:cstheme="minorHAnsi"/>
                <w:sz w:val="20"/>
                <w:szCs w:val="20"/>
              </w:rPr>
            </w:pPr>
          </w:p>
        </w:tc>
        <w:tc>
          <w:tcPr>
            <w:tcW w:w="1984" w:type="dxa"/>
            <w:gridSpan w:val="2"/>
            <w:tcBorders>
              <w:bottom w:val="single" w:sz="8" w:space="0" w:color="000000"/>
            </w:tcBorders>
          </w:tcPr>
          <w:p w14:paraId="52B4B374" w14:textId="77777777" w:rsidR="00A84DEF" w:rsidRPr="00372507" w:rsidRDefault="00A84DEF" w:rsidP="00372507">
            <w:pPr>
              <w:pStyle w:val="Tekstpodstawowy"/>
              <w:spacing w:line="240" w:lineRule="auto"/>
              <w:rPr>
                <w:rFonts w:asciiTheme="minorHAnsi" w:hAnsiTheme="minorHAnsi" w:cstheme="minorHAnsi"/>
                <w:sz w:val="20"/>
                <w:szCs w:val="20"/>
                <w:lang w:val="pl-PL"/>
              </w:rPr>
            </w:pPr>
            <w:r w:rsidRPr="00372507">
              <w:rPr>
                <w:rFonts w:asciiTheme="minorHAnsi" w:hAnsiTheme="minorHAnsi" w:cstheme="minorHAnsi"/>
                <w:sz w:val="20"/>
                <w:szCs w:val="20"/>
                <w:lang w:val="pl-PL"/>
              </w:rPr>
              <w:t>mieszanki po pięciokrotnym zagęszczeniu</w:t>
            </w:r>
          </w:p>
          <w:p w14:paraId="795542AD" w14:textId="77777777" w:rsidR="00A84DEF" w:rsidRPr="00372507" w:rsidRDefault="00A84DEF" w:rsidP="00372507">
            <w:pPr>
              <w:pStyle w:val="Tekstpodstawowy"/>
              <w:spacing w:line="240" w:lineRule="auto"/>
              <w:rPr>
                <w:rFonts w:asciiTheme="minorHAnsi" w:hAnsiTheme="minorHAnsi" w:cstheme="minorHAnsi"/>
                <w:sz w:val="20"/>
                <w:szCs w:val="20"/>
                <w:lang w:val="pl-PL"/>
              </w:rPr>
            </w:pPr>
            <w:r w:rsidRPr="00372507">
              <w:rPr>
                <w:rFonts w:asciiTheme="minorHAnsi" w:hAnsiTheme="minorHAnsi" w:cstheme="minorHAnsi"/>
                <w:sz w:val="20"/>
                <w:szCs w:val="20"/>
                <w:lang w:val="pl-PL"/>
              </w:rPr>
              <w:t>metodą Proctora wg PN-EN 13286-2</w:t>
            </w:r>
          </w:p>
        </w:tc>
        <w:tc>
          <w:tcPr>
            <w:tcW w:w="3891" w:type="dxa"/>
            <w:tcBorders>
              <w:bottom w:val="single" w:sz="8" w:space="0" w:color="000000"/>
            </w:tcBorders>
          </w:tcPr>
          <w:p w14:paraId="56EBE95F" w14:textId="77777777" w:rsidR="00A84DEF" w:rsidRPr="00372507" w:rsidRDefault="00A84DEF" w:rsidP="00372507">
            <w:pPr>
              <w:pStyle w:val="Tekstpodstawowy"/>
              <w:spacing w:line="240" w:lineRule="auto"/>
              <w:jc w:val="center"/>
              <w:rPr>
                <w:rFonts w:asciiTheme="minorHAnsi" w:hAnsiTheme="minorHAnsi" w:cstheme="minorHAnsi"/>
                <w:sz w:val="20"/>
                <w:szCs w:val="20"/>
                <w:lang w:val="pl-PL"/>
              </w:rPr>
            </w:pPr>
          </w:p>
          <w:p w14:paraId="3364CB89" w14:textId="77777777" w:rsidR="00A84DEF" w:rsidRPr="00372507" w:rsidRDefault="00A84DEF" w:rsidP="00372507">
            <w:pPr>
              <w:pStyle w:val="Tekstpodstawowy"/>
              <w:spacing w:line="240" w:lineRule="auto"/>
              <w:jc w:val="center"/>
              <w:rPr>
                <w:rFonts w:asciiTheme="minorHAnsi" w:hAnsiTheme="minorHAnsi" w:cstheme="minorHAnsi"/>
                <w:sz w:val="20"/>
                <w:szCs w:val="20"/>
              </w:rPr>
            </w:pPr>
            <w:r w:rsidRPr="00372507">
              <w:rPr>
                <w:rFonts w:asciiTheme="minorHAnsi" w:hAnsiTheme="minorHAnsi" w:cstheme="minorHAnsi"/>
                <w:sz w:val="20"/>
                <w:szCs w:val="20"/>
              </w:rPr>
              <w:t>35</w:t>
            </w:r>
          </w:p>
        </w:tc>
      </w:tr>
      <w:tr w:rsidR="00A84DEF" w:rsidRPr="00372507" w14:paraId="32A7F331" w14:textId="77777777" w:rsidTr="00372507">
        <w:trPr>
          <w:trHeight w:val="451"/>
        </w:trPr>
        <w:tc>
          <w:tcPr>
            <w:tcW w:w="535" w:type="dxa"/>
            <w:tcBorders>
              <w:top w:val="single" w:sz="8" w:space="0" w:color="000000"/>
            </w:tcBorders>
          </w:tcPr>
          <w:p w14:paraId="23CC70EC" w14:textId="77777777" w:rsidR="00A84DEF" w:rsidRPr="00372507" w:rsidRDefault="00A84DEF" w:rsidP="00372507">
            <w:pPr>
              <w:pStyle w:val="Tekstpodstawowy"/>
              <w:spacing w:line="240" w:lineRule="auto"/>
              <w:jc w:val="both"/>
              <w:rPr>
                <w:rFonts w:asciiTheme="minorHAnsi" w:hAnsiTheme="minorHAnsi" w:cstheme="minorHAnsi"/>
                <w:sz w:val="20"/>
                <w:szCs w:val="20"/>
              </w:rPr>
            </w:pPr>
            <w:r w:rsidRPr="00372507">
              <w:rPr>
                <w:rFonts w:asciiTheme="minorHAnsi" w:hAnsiTheme="minorHAnsi" w:cstheme="minorHAnsi"/>
                <w:sz w:val="20"/>
                <w:szCs w:val="20"/>
              </w:rPr>
              <w:t>6.</w:t>
            </w:r>
          </w:p>
        </w:tc>
        <w:tc>
          <w:tcPr>
            <w:tcW w:w="4391" w:type="dxa"/>
            <w:gridSpan w:val="3"/>
            <w:tcBorders>
              <w:top w:val="single" w:sz="8" w:space="0" w:color="000000"/>
            </w:tcBorders>
          </w:tcPr>
          <w:p w14:paraId="7514E027" w14:textId="77777777" w:rsidR="00A84DEF" w:rsidRPr="00372507" w:rsidRDefault="00A84DEF" w:rsidP="00372507">
            <w:pPr>
              <w:pStyle w:val="Tekstpodstawowy"/>
              <w:spacing w:line="240" w:lineRule="auto"/>
              <w:rPr>
                <w:rFonts w:asciiTheme="minorHAnsi" w:hAnsiTheme="minorHAnsi" w:cstheme="minorHAnsi"/>
                <w:sz w:val="20"/>
                <w:szCs w:val="20"/>
                <w:lang w:val="pl-PL"/>
              </w:rPr>
            </w:pPr>
            <w:r w:rsidRPr="00372507">
              <w:rPr>
                <w:rFonts w:asciiTheme="minorHAnsi" w:hAnsiTheme="minorHAnsi" w:cstheme="minorHAnsi"/>
                <w:sz w:val="20"/>
                <w:szCs w:val="20"/>
                <w:lang w:val="pl-PL"/>
              </w:rPr>
              <w:t>Mrozoodporność, badanie wg PN-EN 1367-1</w:t>
            </w:r>
          </w:p>
        </w:tc>
        <w:tc>
          <w:tcPr>
            <w:tcW w:w="3891" w:type="dxa"/>
            <w:tcBorders>
              <w:top w:val="single" w:sz="8" w:space="0" w:color="000000"/>
            </w:tcBorders>
          </w:tcPr>
          <w:p w14:paraId="3CE830E1" w14:textId="77777777" w:rsidR="00A84DEF" w:rsidRPr="00372507" w:rsidRDefault="00A84DEF" w:rsidP="00372507">
            <w:pPr>
              <w:pStyle w:val="Tekstpodstawowy"/>
              <w:spacing w:line="240" w:lineRule="auto"/>
              <w:jc w:val="center"/>
              <w:rPr>
                <w:rFonts w:asciiTheme="minorHAnsi" w:hAnsiTheme="minorHAnsi" w:cstheme="minorHAnsi"/>
                <w:sz w:val="20"/>
                <w:szCs w:val="20"/>
              </w:rPr>
            </w:pPr>
            <w:r w:rsidRPr="00372507">
              <w:rPr>
                <w:rFonts w:asciiTheme="minorHAnsi" w:hAnsiTheme="minorHAnsi" w:cstheme="minorHAnsi"/>
                <w:sz w:val="20"/>
                <w:szCs w:val="20"/>
              </w:rPr>
              <w:t>F</w:t>
            </w:r>
            <w:r w:rsidRPr="00372507">
              <w:rPr>
                <w:rFonts w:asciiTheme="minorHAnsi" w:hAnsiTheme="minorHAnsi" w:cstheme="minorHAnsi"/>
                <w:sz w:val="20"/>
                <w:szCs w:val="20"/>
                <w:vertAlign w:val="subscript"/>
              </w:rPr>
              <w:t>7</w:t>
            </w:r>
          </w:p>
        </w:tc>
      </w:tr>
      <w:tr w:rsidR="00A84DEF" w:rsidRPr="00372507" w14:paraId="16DB6E76" w14:textId="77777777" w:rsidTr="00372507">
        <w:trPr>
          <w:trHeight w:val="837"/>
        </w:trPr>
        <w:tc>
          <w:tcPr>
            <w:tcW w:w="535" w:type="dxa"/>
          </w:tcPr>
          <w:p w14:paraId="70297544" w14:textId="77777777" w:rsidR="00A84DEF" w:rsidRPr="00372507" w:rsidRDefault="00A84DEF" w:rsidP="00372507">
            <w:pPr>
              <w:pStyle w:val="Tekstpodstawowy"/>
              <w:spacing w:line="240" w:lineRule="auto"/>
              <w:jc w:val="both"/>
              <w:rPr>
                <w:rFonts w:asciiTheme="minorHAnsi" w:hAnsiTheme="minorHAnsi" w:cstheme="minorHAnsi"/>
                <w:sz w:val="20"/>
                <w:szCs w:val="20"/>
              </w:rPr>
            </w:pPr>
            <w:r w:rsidRPr="00372507">
              <w:rPr>
                <w:rFonts w:asciiTheme="minorHAnsi" w:hAnsiTheme="minorHAnsi" w:cstheme="minorHAnsi"/>
                <w:sz w:val="20"/>
                <w:szCs w:val="20"/>
              </w:rPr>
              <w:t>7.</w:t>
            </w:r>
          </w:p>
        </w:tc>
        <w:tc>
          <w:tcPr>
            <w:tcW w:w="4391" w:type="dxa"/>
            <w:gridSpan w:val="3"/>
          </w:tcPr>
          <w:p w14:paraId="0184A313" w14:textId="77777777" w:rsidR="00A84DEF" w:rsidRPr="00372507" w:rsidRDefault="00A84DEF" w:rsidP="00372507">
            <w:pPr>
              <w:pStyle w:val="Tekstpodstawowy"/>
              <w:spacing w:line="240" w:lineRule="auto"/>
              <w:rPr>
                <w:rFonts w:asciiTheme="minorHAnsi" w:hAnsiTheme="minorHAnsi" w:cstheme="minorHAnsi"/>
                <w:sz w:val="20"/>
                <w:szCs w:val="20"/>
                <w:lang w:val="pl-PL"/>
              </w:rPr>
            </w:pPr>
            <w:r w:rsidRPr="00372507">
              <w:rPr>
                <w:rFonts w:asciiTheme="minorHAnsi" w:hAnsiTheme="minorHAnsi" w:cstheme="minorHAnsi"/>
                <w:sz w:val="20"/>
                <w:szCs w:val="20"/>
                <w:lang w:val="pl-PL"/>
              </w:rPr>
              <w:t>Wskaźnik CBR, badanie wg PN-EN 13286-47,</w:t>
            </w:r>
          </w:p>
          <w:p w14:paraId="5870BCA2" w14:textId="77777777" w:rsidR="00A84DEF" w:rsidRPr="00372507" w:rsidRDefault="00A84DEF" w:rsidP="00372507">
            <w:pPr>
              <w:pStyle w:val="Tekstpodstawowy"/>
              <w:spacing w:line="240" w:lineRule="auto"/>
              <w:rPr>
                <w:rFonts w:asciiTheme="minorHAnsi" w:hAnsiTheme="minorHAnsi" w:cstheme="minorHAnsi"/>
                <w:sz w:val="20"/>
                <w:szCs w:val="20"/>
                <w:lang w:val="pl-PL"/>
              </w:rPr>
            </w:pPr>
          </w:p>
          <w:p w14:paraId="78017D8C" w14:textId="77777777" w:rsidR="00A84DEF" w:rsidRPr="00372507" w:rsidRDefault="00A84DEF" w:rsidP="00372507">
            <w:pPr>
              <w:pStyle w:val="Tekstpodstawowy"/>
              <w:spacing w:line="240" w:lineRule="auto"/>
              <w:rPr>
                <w:rFonts w:asciiTheme="minorHAnsi" w:hAnsiTheme="minorHAnsi" w:cstheme="minorHAnsi"/>
                <w:sz w:val="20"/>
                <w:szCs w:val="20"/>
              </w:rPr>
            </w:pPr>
            <w:r w:rsidRPr="00372507">
              <w:rPr>
                <w:rFonts w:asciiTheme="minorHAnsi" w:hAnsiTheme="minorHAnsi" w:cstheme="minorHAnsi"/>
                <w:sz w:val="20"/>
                <w:szCs w:val="20"/>
              </w:rPr>
              <w:t>co najmniej %</w:t>
            </w:r>
          </w:p>
        </w:tc>
        <w:tc>
          <w:tcPr>
            <w:tcW w:w="3891" w:type="dxa"/>
          </w:tcPr>
          <w:p w14:paraId="6C3A6256" w14:textId="77777777" w:rsidR="00A84DEF" w:rsidRPr="00372507" w:rsidRDefault="00A84DEF" w:rsidP="00372507">
            <w:pPr>
              <w:pStyle w:val="Tekstpodstawowy"/>
              <w:spacing w:line="240" w:lineRule="auto"/>
              <w:jc w:val="center"/>
              <w:rPr>
                <w:rFonts w:asciiTheme="minorHAnsi" w:hAnsiTheme="minorHAnsi" w:cstheme="minorHAnsi"/>
                <w:sz w:val="20"/>
                <w:szCs w:val="20"/>
              </w:rPr>
            </w:pPr>
            <w:r w:rsidRPr="00372507">
              <w:rPr>
                <w:rFonts w:asciiTheme="minorHAnsi" w:hAnsiTheme="minorHAnsi" w:cstheme="minorHAnsi"/>
                <w:sz w:val="20"/>
                <w:szCs w:val="20"/>
              </w:rPr>
              <w:t>60</w:t>
            </w:r>
          </w:p>
        </w:tc>
      </w:tr>
      <w:tr w:rsidR="00A84DEF" w:rsidRPr="00372507" w14:paraId="05E864FE" w14:textId="77777777" w:rsidTr="00372507">
        <w:trPr>
          <w:trHeight w:val="218"/>
        </w:trPr>
        <w:tc>
          <w:tcPr>
            <w:tcW w:w="535" w:type="dxa"/>
          </w:tcPr>
          <w:p w14:paraId="7B296A06" w14:textId="77777777" w:rsidR="00A84DEF" w:rsidRPr="00372507" w:rsidRDefault="00A84DEF" w:rsidP="00372507">
            <w:pPr>
              <w:pStyle w:val="Tekstpodstawowy"/>
              <w:spacing w:line="240" w:lineRule="auto"/>
              <w:jc w:val="both"/>
              <w:rPr>
                <w:rFonts w:asciiTheme="minorHAnsi" w:hAnsiTheme="minorHAnsi" w:cstheme="minorHAnsi"/>
                <w:sz w:val="20"/>
                <w:szCs w:val="20"/>
              </w:rPr>
            </w:pPr>
            <w:r w:rsidRPr="00372507">
              <w:rPr>
                <w:rFonts w:asciiTheme="minorHAnsi" w:hAnsiTheme="minorHAnsi" w:cstheme="minorHAnsi"/>
                <w:sz w:val="20"/>
                <w:szCs w:val="20"/>
              </w:rPr>
              <w:t>8.</w:t>
            </w:r>
          </w:p>
        </w:tc>
        <w:tc>
          <w:tcPr>
            <w:tcW w:w="4391" w:type="dxa"/>
            <w:gridSpan w:val="3"/>
          </w:tcPr>
          <w:p w14:paraId="7ED55B1E" w14:textId="77777777" w:rsidR="00A84DEF" w:rsidRPr="00372507" w:rsidRDefault="00A84DEF" w:rsidP="00372507">
            <w:pPr>
              <w:pStyle w:val="Tekstpodstawowy"/>
              <w:spacing w:line="240" w:lineRule="auto"/>
              <w:rPr>
                <w:rFonts w:asciiTheme="minorHAnsi" w:hAnsiTheme="minorHAnsi" w:cstheme="minorHAnsi"/>
                <w:sz w:val="20"/>
                <w:szCs w:val="20"/>
              </w:rPr>
            </w:pPr>
            <w:r w:rsidRPr="00372507">
              <w:rPr>
                <w:rFonts w:asciiTheme="minorHAnsi" w:hAnsiTheme="minorHAnsi" w:cstheme="minorHAnsi"/>
                <w:sz w:val="20"/>
                <w:szCs w:val="20"/>
              </w:rPr>
              <w:t>Nasiąkliwość kruszyw PN-EN 1097-6</w:t>
            </w:r>
          </w:p>
        </w:tc>
        <w:tc>
          <w:tcPr>
            <w:tcW w:w="3891" w:type="dxa"/>
          </w:tcPr>
          <w:p w14:paraId="5A158050" w14:textId="77777777" w:rsidR="00A84DEF" w:rsidRPr="00372507" w:rsidRDefault="00A84DEF" w:rsidP="00372507">
            <w:pPr>
              <w:pStyle w:val="Tekstpodstawowy"/>
              <w:spacing w:line="240" w:lineRule="auto"/>
              <w:jc w:val="center"/>
              <w:rPr>
                <w:rFonts w:asciiTheme="minorHAnsi" w:hAnsiTheme="minorHAnsi" w:cstheme="minorHAnsi"/>
                <w:sz w:val="20"/>
                <w:szCs w:val="20"/>
              </w:rPr>
            </w:pPr>
            <w:r w:rsidRPr="00372507">
              <w:rPr>
                <w:rFonts w:asciiTheme="minorHAnsi" w:hAnsiTheme="minorHAnsi" w:cstheme="minorHAnsi"/>
                <w:sz w:val="20"/>
                <w:szCs w:val="20"/>
              </w:rPr>
              <w:t>WA</w:t>
            </w:r>
            <w:r w:rsidRPr="00372507">
              <w:rPr>
                <w:rFonts w:asciiTheme="minorHAnsi" w:hAnsiTheme="minorHAnsi" w:cstheme="minorHAnsi"/>
                <w:sz w:val="20"/>
                <w:szCs w:val="20"/>
                <w:vertAlign w:val="subscript"/>
              </w:rPr>
              <w:t>24</w:t>
            </w:r>
            <w:r w:rsidRPr="00372507">
              <w:rPr>
                <w:rFonts w:asciiTheme="minorHAnsi" w:hAnsiTheme="minorHAnsi" w:cstheme="minorHAnsi"/>
                <w:sz w:val="20"/>
                <w:szCs w:val="20"/>
              </w:rPr>
              <w:t>2</w:t>
            </w:r>
          </w:p>
        </w:tc>
      </w:tr>
      <w:tr w:rsidR="00A84DEF" w:rsidRPr="00372507" w14:paraId="44785BA9" w14:textId="77777777" w:rsidTr="00372507">
        <w:trPr>
          <w:trHeight w:val="220"/>
        </w:trPr>
        <w:tc>
          <w:tcPr>
            <w:tcW w:w="535" w:type="dxa"/>
          </w:tcPr>
          <w:p w14:paraId="3F771547" w14:textId="77777777" w:rsidR="00A84DEF" w:rsidRPr="00372507" w:rsidRDefault="00A84DEF" w:rsidP="00372507">
            <w:pPr>
              <w:pStyle w:val="Tekstpodstawowy"/>
              <w:spacing w:line="240" w:lineRule="auto"/>
              <w:jc w:val="both"/>
              <w:rPr>
                <w:rFonts w:asciiTheme="minorHAnsi" w:hAnsiTheme="minorHAnsi" w:cstheme="minorHAnsi"/>
                <w:sz w:val="20"/>
                <w:szCs w:val="20"/>
              </w:rPr>
            </w:pPr>
            <w:r w:rsidRPr="00372507">
              <w:rPr>
                <w:rFonts w:asciiTheme="minorHAnsi" w:hAnsiTheme="minorHAnsi" w:cstheme="minorHAnsi"/>
                <w:sz w:val="20"/>
                <w:szCs w:val="20"/>
              </w:rPr>
              <w:t>9.</w:t>
            </w:r>
          </w:p>
        </w:tc>
        <w:tc>
          <w:tcPr>
            <w:tcW w:w="4391" w:type="dxa"/>
            <w:gridSpan w:val="3"/>
          </w:tcPr>
          <w:p w14:paraId="567816B0" w14:textId="77777777" w:rsidR="00A84DEF" w:rsidRPr="00372507" w:rsidRDefault="00A84DEF" w:rsidP="00372507">
            <w:pPr>
              <w:pStyle w:val="Tekstpodstawowy"/>
              <w:spacing w:line="240" w:lineRule="auto"/>
              <w:rPr>
                <w:rFonts w:asciiTheme="minorHAnsi" w:hAnsiTheme="minorHAnsi" w:cstheme="minorHAnsi"/>
                <w:sz w:val="20"/>
                <w:szCs w:val="20"/>
              </w:rPr>
            </w:pPr>
            <w:r w:rsidRPr="00372507">
              <w:rPr>
                <w:rFonts w:asciiTheme="minorHAnsi" w:hAnsiTheme="minorHAnsi" w:cstheme="minorHAnsi"/>
                <w:sz w:val="20"/>
                <w:szCs w:val="20"/>
              </w:rPr>
              <w:t>Kształt kruszywa PN-EN 933-4</w:t>
            </w:r>
          </w:p>
        </w:tc>
        <w:tc>
          <w:tcPr>
            <w:tcW w:w="3891" w:type="dxa"/>
          </w:tcPr>
          <w:p w14:paraId="580B4C3B" w14:textId="77777777" w:rsidR="00A84DEF" w:rsidRPr="00372507" w:rsidRDefault="00A84DEF" w:rsidP="00372507">
            <w:pPr>
              <w:pStyle w:val="Tekstpodstawowy"/>
              <w:spacing w:line="240" w:lineRule="auto"/>
              <w:jc w:val="center"/>
              <w:rPr>
                <w:rFonts w:asciiTheme="minorHAnsi" w:hAnsiTheme="minorHAnsi" w:cstheme="minorHAnsi"/>
                <w:sz w:val="20"/>
                <w:szCs w:val="20"/>
              </w:rPr>
            </w:pPr>
            <w:r w:rsidRPr="00372507">
              <w:rPr>
                <w:rFonts w:asciiTheme="minorHAnsi" w:hAnsiTheme="minorHAnsi" w:cstheme="minorHAnsi"/>
                <w:sz w:val="20"/>
                <w:szCs w:val="20"/>
              </w:rPr>
              <w:t>FI</w:t>
            </w:r>
            <w:r w:rsidRPr="00372507">
              <w:rPr>
                <w:rFonts w:asciiTheme="minorHAnsi" w:hAnsiTheme="minorHAnsi" w:cstheme="minorHAnsi"/>
                <w:sz w:val="20"/>
                <w:szCs w:val="20"/>
                <w:vertAlign w:val="subscript"/>
              </w:rPr>
              <w:t>50</w:t>
            </w:r>
          </w:p>
        </w:tc>
      </w:tr>
    </w:tbl>
    <w:p w14:paraId="58612F45" w14:textId="77777777" w:rsidR="00A84DEF" w:rsidRPr="00372507" w:rsidRDefault="00A84DEF" w:rsidP="00372507">
      <w:pPr>
        <w:pStyle w:val="Tekstpodstawowy"/>
        <w:spacing w:line="240" w:lineRule="auto"/>
        <w:jc w:val="both"/>
        <w:rPr>
          <w:rFonts w:asciiTheme="minorHAnsi" w:hAnsiTheme="minorHAnsi" w:cstheme="minorHAnsi"/>
          <w:sz w:val="20"/>
          <w:szCs w:val="20"/>
        </w:rPr>
      </w:pPr>
      <w:r w:rsidRPr="00372507">
        <w:rPr>
          <w:rFonts w:asciiTheme="minorHAnsi" w:hAnsiTheme="minorHAnsi" w:cstheme="minorHAnsi"/>
          <w:sz w:val="20"/>
          <w:szCs w:val="20"/>
        </w:rPr>
        <w:t>Krzywe uziarnienia muszą spełniać wymagania WT-4 2010.</w:t>
      </w:r>
    </w:p>
    <w:p w14:paraId="1791A7F0" w14:textId="77777777" w:rsidR="00372507" w:rsidRDefault="00372507" w:rsidP="00372507">
      <w:pPr>
        <w:pStyle w:val="Tekstpodstawowy"/>
        <w:spacing w:line="240" w:lineRule="auto"/>
        <w:jc w:val="both"/>
        <w:rPr>
          <w:rFonts w:asciiTheme="minorHAnsi" w:hAnsiTheme="minorHAnsi" w:cstheme="minorHAnsi"/>
          <w:sz w:val="20"/>
          <w:szCs w:val="20"/>
        </w:rPr>
      </w:pPr>
    </w:p>
    <w:p w14:paraId="1793F317" w14:textId="5A075D4A" w:rsidR="00372507" w:rsidRPr="00372507" w:rsidRDefault="00372507" w:rsidP="00372507">
      <w:pPr>
        <w:pStyle w:val="Tekstpodstawowy"/>
        <w:spacing w:line="240" w:lineRule="auto"/>
        <w:jc w:val="both"/>
        <w:rPr>
          <w:rFonts w:asciiTheme="minorHAnsi" w:hAnsiTheme="minorHAnsi" w:cstheme="minorHAnsi"/>
          <w:sz w:val="20"/>
          <w:szCs w:val="20"/>
        </w:rPr>
      </w:pPr>
      <w:r w:rsidRPr="00372507">
        <w:rPr>
          <w:rFonts w:asciiTheme="minorHAnsi" w:hAnsiTheme="minorHAnsi" w:cstheme="minorHAnsi"/>
          <w:sz w:val="20"/>
          <w:szCs w:val="20"/>
        </w:rPr>
        <w:t>Tablica</w:t>
      </w:r>
      <w:r w:rsidRPr="00372507">
        <w:rPr>
          <w:rFonts w:asciiTheme="minorHAnsi" w:hAnsiTheme="minorHAnsi" w:cstheme="minorHAnsi"/>
          <w:spacing w:val="63"/>
          <w:sz w:val="20"/>
          <w:szCs w:val="20"/>
        </w:rPr>
        <w:t xml:space="preserve"> </w:t>
      </w:r>
      <w:r>
        <w:rPr>
          <w:rFonts w:asciiTheme="minorHAnsi" w:hAnsiTheme="minorHAnsi" w:cstheme="minorHAnsi"/>
          <w:spacing w:val="63"/>
          <w:sz w:val="20"/>
          <w:szCs w:val="20"/>
        </w:rPr>
        <w:t>2</w:t>
      </w:r>
      <w:r w:rsidRPr="00372507">
        <w:rPr>
          <w:rFonts w:asciiTheme="minorHAnsi" w:hAnsiTheme="minorHAnsi" w:cstheme="minorHAnsi"/>
          <w:sz w:val="20"/>
          <w:szCs w:val="20"/>
        </w:rPr>
        <w:t>.</w:t>
      </w:r>
      <w:r w:rsidRPr="00372507">
        <w:rPr>
          <w:rFonts w:asciiTheme="minorHAnsi" w:hAnsiTheme="minorHAnsi" w:cstheme="minorHAnsi"/>
          <w:spacing w:val="63"/>
          <w:sz w:val="20"/>
          <w:szCs w:val="20"/>
        </w:rPr>
        <w:t xml:space="preserve"> </w:t>
      </w:r>
      <w:r w:rsidRPr="00372507">
        <w:rPr>
          <w:rFonts w:asciiTheme="minorHAnsi" w:hAnsiTheme="minorHAnsi" w:cstheme="minorHAnsi"/>
          <w:sz w:val="20"/>
          <w:szCs w:val="20"/>
        </w:rPr>
        <w:t>Zakres stosowania I podstawowe wymagania dotyczące mieszanek niezwiązanych do warstwy podbudowy zasadniczej</w:t>
      </w:r>
      <w:r w:rsidRPr="00372507">
        <w:rPr>
          <w:rFonts w:asciiTheme="minorHAnsi" w:hAnsiTheme="minorHAnsi" w:cstheme="minorHAnsi"/>
          <w:sz w:val="20"/>
          <w:szCs w:val="20"/>
          <w:u w:val="thick"/>
        </w:rPr>
        <w:t>,</w:t>
      </w:r>
      <w:r w:rsidRPr="00372507">
        <w:rPr>
          <w:rFonts w:asciiTheme="minorHAnsi" w:hAnsiTheme="minorHAnsi" w:cstheme="minorHAnsi"/>
          <w:sz w:val="20"/>
          <w:szCs w:val="20"/>
        </w:rPr>
        <w:t xml:space="preserve"> dla konstrukcji nawierzchni podatnej i</w:t>
      </w:r>
      <w:r w:rsidRPr="00372507">
        <w:rPr>
          <w:rFonts w:asciiTheme="minorHAnsi" w:hAnsiTheme="minorHAnsi" w:cstheme="minorHAnsi"/>
          <w:spacing w:val="-2"/>
          <w:sz w:val="20"/>
          <w:szCs w:val="20"/>
        </w:rPr>
        <w:t xml:space="preserve"> </w:t>
      </w:r>
      <w:r w:rsidRPr="00372507">
        <w:rPr>
          <w:rFonts w:asciiTheme="minorHAnsi" w:hAnsiTheme="minorHAnsi" w:cstheme="minorHAnsi"/>
          <w:sz w:val="20"/>
          <w:szCs w:val="20"/>
        </w:rPr>
        <w:t>półsztywnej.</w:t>
      </w:r>
    </w:p>
    <w:p w14:paraId="21E166C4" w14:textId="77777777" w:rsidR="00372507" w:rsidRPr="00372507" w:rsidRDefault="00372507" w:rsidP="00372507">
      <w:pPr>
        <w:pStyle w:val="Tekstpodstawowy"/>
        <w:spacing w:line="240" w:lineRule="auto"/>
        <w:jc w:val="both"/>
        <w:rPr>
          <w:rFonts w:asciiTheme="minorHAnsi" w:hAnsiTheme="minorHAnsi" w:cstheme="minorHAnsi"/>
          <w:sz w:val="20"/>
          <w:szCs w:val="20"/>
        </w:rPr>
      </w:pPr>
    </w:p>
    <w:tbl>
      <w:tblPr>
        <w:tblStyle w:val="TableNormal"/>
        <w:tblW w:w="8958" w:type="dxa"/>
        <w:tblInd w:w="1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35"/>
        <w:gridCol w:w="3189"/>
        <w:gridCol w:w="2126"/>
        <w:gridCol w:w="1134"/>
        <w:gridCol w:w="1134"/>
        <w:gridCol w:w="840"/>
      </w:tblGrid>
      <w:tr w:rsidR="00372507" w:rsidRPr="00372507" w14:paraId="785BEC88" w14:textId="77777777" w:rsidTr="00372507">
        <w:trPr>
          <w:trHeight w:val="520"/>
        </w:trPr>
        <w:tc>
          <w:tcPr>
            <w:tcW w:w="535" w:type="dxa"/>
            <w:vMerge w:val="restart"/>
            <w:tcBorders>
              <w:bottom w:val="double" w:sz="2" w:space="0" w:color="000000"/>
            </w:tcBorders>
          </w:tcPr>
          <w:p w14:paraId="5F302386" w14:textId="77777777" w:rsidR="00372507" w:rsidRPr="00372507" w:rsidRDefault="00372507" w:rsidP="00372507">
            <w:pPr>
              <w:pStyle w:val="Tekstpodstawowy"/>
              <w:spacing w:line="240" w:lineRule="auto"/>
              <w:jc w:val="center"/>
              <w:rPr>
                <w:rFonts w:asciiTheme="minorHAnsi" w:hAnsiTheme="minorHAnsi" w:cstheme="minorHAnsi"/>
                <w:sz w:val="20"/>
                <w:szCs w:val="20"/>
                <w:lang w:val="pl-PL"/>
              </w:rPr>
            </w:pPr>
          </w:p>
          <w:p w14:paraId="54CFBFF8" w14:textId="77777777" w:rsidR="00372507" w:rsidRPr="00372507" w:rsidRDefault="00372507" w:rsidP="00372507">
            <w:pPr>
              <w:pStyle w:val="Tekstpodstawowy"/>
              <w:spacing w:line="240" w:lineRule="auto"/>
              <w:jc w:val="center"/>
              <w:rPr>
                <w:rFonts w:asciiTheme="minorHAnsi" w:hAnsiTheme="minorHAnsi" w:cstheme="minorHAnsi"/>
                <w:sz w:val="20"/>
                <w:szCs w:val="20"/>
              </w:rPr>
            </w:pPr>
            <w:r w:rsidRPr="00372507">
              <w:rPr>
                <w:rFonts w:asciiTheme="minorHAnsi" w:hAnsiTheme="minorHAnsi" w:cstheme="minorHAnsi"/>
                <w:sz w:val="20"/>
                <w:szCs w:val="20"/>
              </w:rPr>
              <w:t>Lp.</w:t>
            </w:r>
          </w:p>
        </w:tc>
        <w:tc>
          <w:tcPr>
            <w:tcW w:w="5315" w:type="dxa"/>
            <w:gridSpan w:val="2"/>
            <w:vMerge w:val="restart"/>
            <w:tcBorders>
              <w:bottom w:val="double" w:sz="2" w:space="0" w:color="000000"/>
            </w:tcBorders>
          </w:tcPr>
          <w:p w14:paraId="41046356" w14:textId="77777777" w:rsidR="00372507" w:rsidRPr="00372507" w:rsidRDefault="00372507" w:rsidP="00372507">
            <w:pPr>
              <w:pStyle w:val="Tekstpodstawowy"/>
              <w:spacing w:line="240" w:lineRule="auto"/>
              <w:jc w:val="center"/>
              <w:rPr>
                <w:rFonts w:asciiTheme="minorHAnsi" w:hAnsiTheme="minorHAnsi" w:cstheme="minorHAnsi"/>
                <w:sz w:val="20"/>
                <w:szCs w:val="20"/>
              </w:rPr>
            </w:pPr>
          </w:p>
          <w:p w14:paraId="6063B6B4" w14:textId="77777777" w:rsidR="00372507" w:rsidRPr="00372507" w:rsidRDefault="00372507" w:rsidP="00372507">
            <w:pPr>
              <w:pStyle w:val="Tekstpodstawowy"/>
              <w:spacing w:line="240" w:lineRule="auto"/>
              <w:jc w:val="center"/>
              <w:rPr>
                <w:rFonts w:asciiTheme="minorHAnsi" w:hAnsiTheme="minorHAnsi" w:cstheme="minorHAnsi"/>
                <w:sz w:val="20"/>
                <w:szCs w:val="20"/>
              </w:rPr>
            </w:pPr>
            <w:r w:rsidRPr="00372507">
              <w:rPr>
                <w:rFonts w:asciiTheme="minorHAnsi" w:hAnsiTheme="minorHAnsi" w:cstheme="minorHAnsi"/>
                <w:sz w:val="20"/>
                <w:szCs w:val="20"/>
              </w:rPr>
              <w:t>Właściwości</w:t>
            </w:r>
          </w:p>
        </w:tc>
        <w:tc>
          <w:tcPr>
            <w:tcW w:w="3108" w:type="dxa"/>
            <w:gridSpan w:val="3"/>
          </w:tcPr>
          <w:p w14:paraId="6C64F6C6" w14:textId="77777777" w:rsidR="00372507" w:rsidRPr="00372507" w:rsidRDefault="00372507" w:rsidP="00372507">
            <w:pPr>
              <w:pStyle w:val="Tekstpodstawowy"/>
              <w:spacing w:line="240" w:lineRule="auto"/>
              <w:jc w:val="center"/>
              <w:rPr>
                <w:rFonts w:asciiTheme="minorHAnsi" w:hAnsiTheme="minorHAnsi" w:cstheme="minorHAnsi"/>
                <w:sz w:val="20"/>
                <w:szCs w:val="20"/>
              </w:rPr>
            </w:pPr>
            <w:r w:rsidRPr="00372507">
              <w:rPr>
                <w:rFonts w:asciiTheme="minorHAnsi" w:hAnsiTheme="minorHAnsi" w:cstheme="minorHAnsi"/>
                <w:sz w:val="20"/>
                <w:szCs w:val="20"/>
              </w:rPr>
              <w:t>Warstwa podbudowy zasadniczej</w:t>
            </w:r>
          </w:p>
        </w:tc>
      </w:tr>
      <w:tr w:rsidR="00372507" w:rsidRPr="00372507" w14:paraId="31A40FDF" w14:textId="77777777" w:rsidTr="00372507">
        <w:trPr>
          <w:trHeight w:val="531"/>
        </w:trPr>
        <w:tc>
          <w:tcPr>
            <w:tcW w:w="535" w:type="dxa"/>
            <w:vMerge/>
            <w:tcBorders>
              <w:top w:val="nil"/>
              <w:bottom w:val="double" w:sz="2" w:space="0" w:color="000000"/>
            </w:tcBorders>
          </w:tcPr>
          <w:p w14:paraId="798E1F1B" w14:textId="77777777" w:rsidR="00372507" w:rsidRPr="00372507" w:rsidRDefault="00372507" w:rsidP="00372507">
            <w:pPr>
              <w:pStyle w:val="Tekstpodstawowy"/>
              <w:spacing w:line="240" w:lineRule="auto"/>
              <w:jc w:val="center"/>
              <w:rPr>
                <w:rFonts w:asciiTheme="minorHAnsi" w:hAnsiTheme="minorHAnsi" w:cstheme="minorHAnsi"/>
                <w:sz w:val="20"/>
                <w:szCs w:val="20"/>
              </w:rPr>
            </w:pPr>
          </w:p>
        </w:tc>
        <w:tc>
          <w:tcPr>
            <w:tcW w:w="5315" w:type="dxa"/>
            <w:gridSpan w:val="2"/>
            <w:vMerge/>
            <w:tcBorders>
              <w:top w:val="nil"/>
              <w:bottom w:val="double" w:sz="2" w:space="0" w:color="000000"/>
            </w:tcBorders>
          </w:tcPr>
          <w:p w14:paraId="5C4C38D5" w14:textId="77777777" w:rsidR="00372507" w:rsidRPr="00372507" w:rsidRDefault="00372507" w:rsidP="00372507">
            <w:pPr>
              <w:pStyle w:val="Tekstpodstawowy"/>
              <w:spacing w:line="240" w:lineRule="auto"/>
              <w:jc w:val="center"/>
              <w:rPr>
                <w:rFonts w:asciiTheme="minorHAnsi" w:hAnsiTheme="minorHAnsi" w:cstheme="minorHAnsi"/>
                <w:sz w:val="20"/>
                <w:szCs w:val="20"/>
              </w:rPr>
            </w:pPr>
          </w:p>
        </w:tc>
        <w:tc>
          <w:tcPr>
            <w:tcW w:w="1134" w:type="dxa"/>
            <w:tcBorders>
              <w:bottom w:val="double" w:sz="2" w:space="0" w:color="000000"/>
            </w:tcBorders>
          </w:tcPr>
          <w:p w14:paraId="732D1E1D" w14:textId="77777777" w:rsidR="00372507" w:rsidRPr="00372507" w:rsidRDefault="00372507" w:rsidP="00372507">
            <w:pPr>
              <w:pStyle w:val="Tekstpodstawowy"/>
              <w:spacing w:line="240" w:lineRule="auto"/>
              <w:jc w:val="center"/>
              <w:rPr>
                <w:rFonts w:asciiTheme="minorHAnsi" w:hAnsiTheme="minorHAnsi" w:cstheme="minorHAnsi"/>
                <w:sz w:val="20"/>
                <w:szCs w:val="20"/>
              </w:rPr>
            </w:pPr>
            <w:r w:rsidRPr="00372507">
              <w:rPr>
                <w:rFonts w:asciiTheme="minorHAnsi" w:hAnsiTheme="minorHAnsi" w:cstheme="minorHAnsi"/>
                <w:sz w:val="20"/>
                <w:szCs w:val="20"/>
              </w:rPr>
              <w:t>KR 1-2</w:t>
            </w:r>
          </w:p>
        </w:tc>
        <w:tc>
          <w:tcPr>
            <w:tcW w:w="1134" w:type="dxa"/>
            <w:tcBorders>
              <w:bottom w:val="double" w:sz="2" w:space="0" w:color="000000"/>
            </w:tcBorders>
          </w:tcPr>
          <w:p w14:paraId="24E93D77" w14:textId="77777777" w:rsidR="00372507" w:rsidRPr="00372507" w:rsidRDefault="00372507" w:rsidP="00372507">
            <w:pPr>
              <w:pStyle w:val="Tekstpodstawowy"/>
              <w:spacing w:line="240" w:lineRule="auto"/>
              <w:jc w:val="center"/>
              <w:rPr>
                <w:rFonts w:asciiTheme="minorHAnsi" w:hAnsiTheme="minorHAnsi" w:cstheme="minorHAnsi"/>
                <w:sz w:val="20"/>
                <w:szCs w:val="20"/>
              </w:rPr>
            </w:pPr>
            <w:r w:rsidRPr="00372507">
              <w:rPr>
                <w:rFonts w:asciiTheme="minorHAnsi" w:hAnsiTheme="minorHAnsi" w:cstheme="minorHAnsi"/>
                <w:sz w:val="20"/>
                <w:szCs w:val="20"/>
              </w:rPr>
              <w:t>KR 3-4</w:t>
            </w:r>
          </w:p>
        </w:tc>
        <w:tc>
          <w:tcPr>
            <w:tcW w:w="840" w:type="dxa"/>
            <w:tcBorders>
              <w:bottom w:val="double" w:sz="2" w:space="0" w:color="000000"/>
            </w:tcBorders>
          </w:tcPr>
          <w:p w14:paraId="22E7CCAF" w14:textId="77777777" w:rsidR="00372507" w:rsidRPr="00372507" w:rsidRDefault="00372507" w:rsidP="00372507">
            <w:pPr>
              <w:pStyle w:val="Tekstpodstawowy"/>
              <w:spacing w:line="240" w:lineRule="auto"/>
              <w:jc w:val="center"/>
              <w:rPr>
                <w:rFonts w:asciiTheme="minorHAnsi" w:hAnsiTheme="minorHAnsi" w:cstheme="minorHAnsi"/>
                <w:sz w:val="20"/>
                <w:szCs w:val="20"/>
              </w:rPr>
            </w:pPr>
            <w:r w:rsidRPr="00372507">
              <w:rPr>
                <w:rFonts w:asciiTheme="minorHAnsi" w:hAnsiTheme="minorHAnsi" w:cstheme="minorHAnsi"/>
                <w:sz w:val="20"/>
                <w:szCs w:val="20"/>
              </w:rPr>
              <w:t>KR 5-7</w:t>
            </w:r>
          </w:p>
        </w:tc>
      </w:tr>
      <w:tr w:rsidR="00372507" w:rsidRPr="00372507" w14:paraId="62307BE3" w14:textId="77777777" w:rsidTr="00372507">
        <w:trPr>
          <w:trHeight w:val="329"/>
        </w:trPr>
        <w:tc>
          <w:tcPr>
            <w:tcW w:w="535" w:type="dxa"/>
            <w:tcBorders>
              <w:top w:val="double" w:sz="2" w:space="0" w:color="000000"/>
            </w:tcBorders>
          </w:tcPr>
          <w:p w14:paraId="7E019D9F" w14:textId="77777777" w:rsidR="00372507" w:rsidRPr="00372507" w:rsidRDefault="00372507" w:rsidP="00372507">
            <w:pPr>
              <w:pStyle w:val="Tekstpodstawowy"/>
              <w:spacing w:line="240" w:lineRule="auto"/>
              <w:jc w:val="both"/>
              <w:rPr>
                <w:rFonts w:asciiTheme="minorHAnsi" w:hAnsiTheme="minorHAnsi" w:cstheme="minorHAnsi"/>
                <w:sz w:val="20"/>
                <w:szCs w:val="20"/>
              </w:rPr>
            </w:pPr>
            <w:r w:rsidRPr="00372507">
              <w:rPr>
                <w:rFonts w:asciiTheme="minorHAnsi" w:hAnsiTheme="minorHAnsi" w:cstheme="minorHAnsi"/>
                <w:sz w:val="20"/>
                <w:szCs w:val="20"/>
              </w:rPr>
              <w:t>1.</w:t>
            </w:r>
          </w:p>
        </w:tc>
        <w:tc>
          <w:tcPr>
            <w:tcW w:w="5315" w:type="dxa"/>
            <w:gridSpan w:val="2"/>
            <w:tcBorders>
              <w:top w:val="double" w:sz="2" w:space="0" w:color="000000"/>
            </w:tcBorders>
          </w:tcPr>
          <w:p w14:paraId="1F08E522" w14:textId="77777777" w:rsidR="00372507" w:rsidRPr="00372507" w:rsidRDefault="00372507" w:rsidP="00372507">
            <w:pPr>
              <w:pStyle w:val="Tekstpodstawowy"/>
              <w:spacing w:line="240" w:lineRule="auto"/>
              <w:rPr>
                <w:rFonts w:asciiTheme="minorHAnsi" w:hAnsiTheme="minorHAnsi" w:cstheme="minorHAnsi"/>
                <w:sz w:val="20"/>
                <w:szCs w:val="20"/>
                <w:lang w:val="pl-PL"/>
              </w:rPr>
            </w:pPr>
            <w:r w:rsidRPr="00372507">
              <w:rPr>
                <w:rFonts w:asciiTheme="minorHAnsi" w:hAnsiTheme="minorHAnsi" w:cstheme="minorHAnsi"/>
                <w:sz w:val="20"/>
                <w:szCs w:val="20"/>
                <w:lang w:val="pl-PL"/>
              </w:rPr>
              <w:t>Uziarnienie, badanie wg PN-EN 933-1:</w:t>
            </w:r>
          </w:p>
        </w:tc>
        <w:tc>
          <w:tcPr>
            <w:tcW w:w="3108" w:type="dxa"/>
            <w:gridSpan w:val="3"/>
            <w:tcBorders>
              <w:top w:val="double" w:sz="2" w:space="0" w:color="000000"/>
            </w:tcBorders>
          </w:tcPr>
          <w:p w14:paraId="334B134F" w14:textId="77777777" w:rsidR="00372507" w:rsidRPr="00372507" w:rsidRDefault="00372507" w:rsidP="00372507">
            <w:pPr>
              <w:pStyle w:val="Tekstpodstawowy"/>
              <w:spacing w:line="240" w:lineRule="auto"/>
              <w:jc w:val="center"/>
              <w:rPr>
                <w:rFonts w:asciiTheme="minorHAnsi" w:hAnsiTheme="minorHAnsi" w:cstheme="minorHAnsi"/>
                <w:sz w:val="20"/>
                <w:szCs w:val="20"/>
              </w:rPr>
            </w:pPr>
            <w:r w:rsidRPr="00372507">
              <w:rPr>
                <w:rFonts w:asciiTheme="minorHAnsi" w:hAnsiTheme="minorHAnsi" w:cstheme="minorHAnsi"/>
                <w:sz w:val="20"/>
                <w:szCs w:val="20"/>
              </w:rPr>
              <w:t>0/31,5; 0/45; 0/63</w:t>
            </w:r>
          </w:p>
        </w:tc>
      </w:tr>
      <w:tr w:rsidR="00372507" w:rsidRPr="00372507" w14:paraId="6F621D33" w14:textId="77777777" w:rsidTr="00372507">
        <w:trPr>
          <w:trHeight w:val="299"/>
        </w:trPr>
        <w:tc>
          <w:tcPr>
            <w:tcW w:w="535" w:type="dxa"/>
          </w:tcPr>
          <w:p w14:paraId="790DAA86" w14:textId="77777777" w:rsidR="00372507" w:rsidRPr="00372507" w:rsidRDefault="00372507" w:rsidP="00372507">
            <w:pPr>
              <w:pStyle w:val="Tekstpodstawowy"/>
              <w:spacing w:line="240" w:lineRule="auto"/>
              <w:jc w:val="both"/>
              <w:rPr>
                <w:rFonts w:asciiTheme="minorHAnsi" w:hAnsiTheme="minorHAnsi" w:cstheme="minorHAnsi"/>
                <w:sz w:val="20"/>
                <w:szCs w:val="20"/>
              </w:rPr>
            </w:pPr>
            <w:r w:rsidRPr="00372507">
              <w:rPr>
                <w:rFonts w:asciiTheme="minorHAnsi" w:hAnsiTheme="minorHAnsi" w:cstheme="minorHAnsi"/>
                <w:sz w:val="20"/>
                <w:szCs w:val="20"/>
              </w:rPr>
              <w:t>2.</w:t>
            </w:r>
          </w:p>
        </w:tc>
        <w:tc>
          <w:tcPr>
            <w:tcW w:w="5315" w:type="dxa"/>
            <w:gridSpan w:val="2"/>
          </w:tcPr>
          <w:p w14:paraId="1C53C893" w14:textId="77777777" w:rsidR="00372507" w:rsidRPr="00372507" w:rsidRDefault="00372507" w:rsidP="00372507">
            <w:pPr>
              <w:pStyle w:val="Tekstpodstawowy"/>
              <w:spacing w:line="240" w:lineRule="auto"/>
              <w:rPr>
                <w:rFonts w:asciiTheme="minorHAnsi" w:hAnsiTheme="minorHAnsi" w:cstheme="minorHAnsi"/>
                <w:sz w:val="20"/>
                <w:szCs w:val="20"/>
              </w:rPr>
            </w:pPr>
            <w:r w:rsidRPr="00372507">
              <w:rPr>
                <w:rFonts w:asciiTheme="minorHAnsi" w:hAnsiTheme="minorHAnsi" w:cstheme="minorHAnsi"/>
                <w:sz w:val="20"/>
                <w:szCs w:val="20"/>
              </w:rPr>
              <w:t>Zawartość nadziarna</w:t>
            </w:r>
          </w:p>
        </w:tc>
        <w:tc>
          <w:tcPr>
            <w:tcW w:w="3108" w:type="dxa"/>
            <w:gridSpan w:val="3"/>
          </w:tcPr>
          <w:p w14:paraId="55426679" w14:textId="77777777" w:rsidR="00372507" w:rsidRPr="00372507" w:rsidRDefault="00372507" w:rsidP="00372507">
            <w:pPr>
              <w:pStyle w:val="Tekstpodstawowy"/>
              <w:spacing w:line="240" w:lineRule="auto"/>
              <w:jc w:val="center"/>
              <w:rPr>
                <w:rFonts w:asciiTheme="minorHAnsi" w:hAnsiTheme="minorHAnsi" w:cstheme="minorHAnsi"/>
                <w:sz w:val="20"/>
                <w:szCs w:val="20"/>
              </w:rPr>
            </w:pPr>
            <w:r w:rsidRPr="00372507">
              <w:rPr>
                <w:rFonts w:asciiTheme="minorHAnsi" w:hAnsiTheme="minorHAnsi" w:cstheme="minorHAnsi"/>
                <w:sz w:val="20"/>
                <w:szCs w:val="20"/>
              </w:rPr>
              <w:t>OC</w:t>
            </w:r>
            <w:r w:rsidRPr="00372507">
              <w:rPr>
                <w:rFonts w:asciiTheme="minorHAnsi" w:hAnsiTheme="minorHAnsi" w:cstheme="minorHAnsi"/>
                <w:sz w:val="20"/>
                <w:szCs w:val="20"/>
                <w:vertAlign w:val="subscript"/>
              </w:rPr>
              <w:t>90</w:t>
            </w:r>
          </w:p>
        </w:tc>
      </w:tr>
      <w:tr w:rsidR="00372507" w:rsidRPr="00372507" w14:paraId="09432522" w14:textId="77777777" w:rsidTr="00372507">
        <w:trPr>
          <w:trHeight w:val="513"/>
        </w:trPr>
        <w:tc>
          <w:tcPr>
            <w:tcW w:w="535" w:type="dxa"/>
          </w:tcPr>
          <w:p w14:paraId="2207274A" w14:textId="77777777" w:rsidR="00372507" w:rsidRPr="00372507" w:rsidRDefault="00372507" w:rsidP="00372507">
            <w:pPr>
              <w:pStyle w:val="Tekstpodstawowy"/>
              <w:spacing w:line="240" w:lineRule="auto"/>
              <w:jc w:val="both"/>
              <w:rPr>
                <w:rFonts w:asciiTheme="minorHAnsi" w:hAnsiTheme="minorHAnsi" w:cstheme="minorHAnsi"/>
                <w:sz w:val="20"/>
                <w:szCs w:val="20"/>
              </w:rPr>
            </w:pPr>
          </w:p>
          <w:p w14:paraId="077AFBCE" w14:textId="77777777" w:rsidR="00372507" w:rsidRPr="00372507" w:rsidRDefault="00372507" w:rsidP="00372507">
            <w:pPr>
              <w:pStyle w:val="Tekstpodstawowy"/>
              <w:spacing w:line="240" w:lineRule="auto"/>
              <w:jc w:val="both"/>
              <w:rPr>
                <w:rFonts w:asciiTheme="minorHAnsi" w:hAnsiTheme="minorHAnsi" w:cstheme="minorHAnsi"/>
                <w:sz w:val="20"/>
                <w:szCs w:val="20"/>
              </w:rPr>
            </w:pPr>
            <w:r w:rsidRPr="00372507">
              <w:rPr>
                <w:rFonts w:asciiTheme="minorHAnsi" w:hAnsiTheme="minorHAnsi" w:cstheme="minorHAnsi"/>
                <w:sz w:val="20"/>
                <w:szCs w:val="20"/>
              </w:rPr>
              <w:t>3.</w:t>
            </w:r>
          </w:p>
        </w:tc>
        <w:tc>
          <w:tcPr>
            <w:tcW w:w="3189" w:type="dxa"/>
          </w:tcPr>
          <w:p w14:paraId="141AD0FA" w14:textId="77777777" w:rsidR="00372507" w:rsidRPr="00372507" w:rsidRDefault="00372507" w:rsidP="00372507">
            <w:pPr>
              <w:pStyle w:val="Tekstpodstawowy"/>
              <w:spacing w:line="240" w:lineRule="auto"/>
              <w:rPr>
                <w:rFonts w:asciiTheme="minorHAnsi" w:hAnsiTheme="minorHAnsi" w:cstheme="minorHAnsi"/>
                <w:sz w:val="20"/>
                <w:szCs w:val="20"/>
                <w:lang w:val="pl-PL"/>
              </w:rPr>
            </w:pPr>
            <w:r w:rsidRPr="00372507">
              <w:rPr>
                <w:rFonts w:asciiTheme="minorHAnsi" w:hAnsiTheme="minorHAnsi" w:cstheme="minorHAnsi"/>
                <w:sz w:val="20"/>
                <w:szCs w:val="20"/>
                <w:lang w:val="pl-PL"/>
              </w:rPr>
              <w:t>Maksymalna zawartość pyłów w warstwie, badanie wg PN-EN 933-1:</w:t>
            </w:r>
          </w:p>
        </w:tc>
        <w:tc>
          <w:tcPr>
            <w:tcW w:w="2126" w:type="dxa"/>
          </w:tcPr>
          <w:p w14:paraId="63CFB0B4" w14:textId="77777777" w:rsidR="00372507" w:rsidRPr="00372507" w:rsidRDefault="00372507" w:rsidP="00372507">
            <w:pPr>
              <w:pStyle w:val="Tekstpodstawowy"/>
              <w:spacing w:line="240" w:lineRule="auto"/>
              <w:rPr>
                <w:rFonts w:asciiTheme="minorHAnsi" w:hAnsiTheme="minorHAnsi" w:cstheme="minorHAnsi"/>
                <w:sz w:val="20"/>
                <w:szCs w:val="20"/>
              </w:rPr>
            </w:pPr>
            <w:r w:rsidRPr="00372507">
              <w:rPr>
                <w:rFonts w:asciiTheme="minorHAnsi" w:hAnsiTheme="minorHAnsi" w:cstheme="minorHAnsi"/>
                <w:sz w:val="20"/>
                <w:szCs w:val="20"/>
              </w:rPr>
              <w:t>w typowych zastosowaniach</w:t>
            </w:r>
          </w:p>
        </w:tc>
        <w:tc>
          <w:tcPr>
            <w:tcW w:w="3108" w:type="dxa"/>
            <w:gridSpan w:val="3"/>
          </w:tcPr>
          <w:p w14:paraId="31BAD7D6" w14:textId="77777777" w:rsidR="00372507" w:rsidRPr="00372507" w:rsidRDefault="00372507" w:rsidP="00372507">
            <w:pPr>
              <w:pStyle w:val="Tekstpodstawowy"/>
              <w:spacing w:line="240" w:lineRule="auto"/>
              <w:jc w:val="center"/>
              <w:rPr>
                <w:rFonts w:asciiTheme="minorHAnsi" w:hAnsiTheme="minorHAnsi" w:cstheme="minorHAnsi"/>
                <w:sz w:val="20"/>
                <w:szCs w:val="20"/>
              </w:rPr>
            </w:pPr>
          </w:p>
          <w:p w14:paraId="67F6FC8A" w14:textId="77777777" w:rsidR="00372507" w:rsidRPr="00372507" w:rsidRDefault="00372507" w:rsidP="00372507">
            <w:pPr>
              <w:pStyle w:val="Tekstpodstawowy"/>
              <w:spacing w:line="240" w:lineRule="auto"/>
              <w:jc w:val="center"/>
              <w:rPr>
                <w:rFonts w:asciiTheme="minorHAnsi" w:hAnsiTheme="minorHAnsi" w:cstheme="minorHAnsi"/>
                <w:sz w:val="20"/>
                <w:szCs w:val="20"/>
              </w:rPr>
            </w:pPr>
            <w:r w:rsidRPr="00372507">
              <w:rPr>
                <w:rFonts w:asciiTheme="minorHAnsi" w:hAnsiTheme="minorHAnsi" w:cstheme="minorHAnsi"/>
                <w:sz w:val="20"/>
                <w:szCs w:val="20"/>
              </w:rPr>
              <w:t>UF</w:t>
            </w:r>
            <w:r w:rsidRPr="00372507">
              <w:rPr>
                <w:rFonts w:asciiTheme="minorHAnsi" w:hAnsiTheme="minorHAnsi" w:cstheme="minorHAnsi"/>
                <w:sz w:val="20"/>
                <w:szCs w:val="20"/>
                <w:vertAlign w:val="subscript"/>
              </w:rPr>
              <w:t>9</w:t>
            </w:r>
          </w:p>
        </w:tc>
      </w:tr>
      <w:tr w:rsidR="00372507" w:rsidRPr="00372507" w14:paraId="1F64FBE2" w14:textId="77777777" w:rsidTr="00372507">
        <w:trPr>
          <w:trHeight w:val="577"/>
        </w:trPr>
        <w:tc>
          <w:tcPr>
            <w:tcW w:w="535" w:type="dxa"/>
          </w:tcPr>
          <w:p w14:paraId="6FF44B83" w14:textId="77777777" w:rsidR="00372507" w:rsidRPr="00372507" w:rsidRDefault="00372507" w:rsidP="00372507">
            <w:pPr>
              <w:pStyle w:val="Tekstpodstawowy"/>
              <w:spacing w:line="240" w:lineRule="auto"/>
              <w:jc w:val="both"/>
              <w:rPr>
                <w:rFonts w:asciiTheme="minorHAnsi" w:hAnsiTheme="minorHAnsi" w:cstheme="minorHAnsi"/>
                <w:sz w:val="20"/>
                <w:szCs w:val="20"/>
              </w:rPr>
            </w:pPr>
            <w:r w:rsidRPr="00372507">
              <w:rPr>
                <w:rFonts w:asciiTheme="minorHAnsi" w:hAnsiTheme="minorHAnsi" w:cstheme="minorHAnsi"/>
                <w:sz w:val="20"/>
                <w:szCs w:val="20"/>
              </w:rPr>
              <w:t>4.</w:t>
            </w:r>
          </w:p>
        </w:tc>
        <w:tc>
          <w:tcPr>
            <w:tcW w:w="5315" w:type="dxa"/>
            <w:gridSpan w:val="2"/>
          </w:tcPr>
          <w:p w14:paraId="0A01C958" w14:textId="77777777" w:rsidR="00372507" w:rsidRPr="00372507" w:rsidRDefault="00372507" w:rsidP="00372507">
            <w:pPr>
              <w:pStyle w:val="Tekstpodstawowy"/>
              <w:spacing w:line="240" w:lineRule="auto"/>
              <w:rPr>
                <w:rFonts w:asciiTheme="minorHAnsi" w:hAnsiTheme="minorHAnsi" w:cstheme="minorHAnsi"/>
                <w:sz w:val="20"/>
                <w:szCs w:val="20"/>
                <w:lang w:val="pl-PL"/>
              </w:rPr>
            </w:pPr>
            <w:r w:rsidRPr="00372507">
              <w:rPr>
                <w:rFonts w:asciiTheme="minorHAnsi" w:hAnsiTheme="minorHAnsi" w:cstheme="minorHAnsi"/>
                <w:sz w:val="20"/>
                <w:szCs w:val="20"/>
                <w:lang w:val="pl-PL"/>
              </w:rPr>
              <w:t>Odporność na rozdrabnianie,</w:t>
            </w:r>
          </w:p>
          <w:p w14:paraId="0195E60D" w14:textId="77777777" w:rsidR="00372507" w:rsidRPr="00372507" w:rsidRDefault="00372507" w:rsidP="00372507">
            <w:pPr>
              <w:pStyle w:val="Tekstpodstawowy"/>
              <w:spacing w:line="240" w:lineRule="auto"/>
              <w:rPr>
                <w:rFonts w:asciiTheme="minorHAnsi" w:hAnsiTheme="minorHAnsi" w:cstheme="minorHAnsi"/>
                <w:sz w:val="20"/>
                <w:szCs w:val="20"/>
                <w:lang w:val="pl-PL"/>
              </w:rPr>
            </w:pPr>
            <w:r w:rsidRPr="00372507">
              <w:rPr>
                <w:rFonts w:asciiTheme="minorHAnsi" w:hAnsiTheme="minorHAnsi" w:cstheme="minorHAnsi"/>
                <w:sz w:val="20"/>
                <w:szCs w:val="20"/>
                <w:lang w:val="pl-PL"/>
              </w:rPr>
              <w:t>badanie wg PN-EN 1097-2</w:t>
            </w:r>
          </w:p>
        </w:tc>
        <w:tc>
          <w:tcPr>
            <w:tcW w:w="3108" w:type="dxa"/>
            <w:gridSpan w:val="3"/>
          </w:tcPr>
          <w:p w14:paraId="6EA73339" w14:textId="77777777" w:rsidR="00372507" w:rsidRPr="00372507" w:rsidRDefault="00372507" w:rsidP="00372507">
            <w:pPr>
              <w:pStyle w:val="Tekstpodstawowy"/>
              <w:spacing w:line="240" w:lineRule="auto"/>
              <w:jc w:val="center"/>
              <w:rPr>
                <w:rFonts w:asciiTheme="minorHAnsi" w:hAnsiTheme="minorHAnsi" w:cstheme="minorHAnsi"/>
                <w:sz w:val="20"/>
                <w:szCs w:val="20"/>
              </w:rPr>
            </w:pPr>
            <w:r w:rsidRPr="00372507">
              <w:rPr>
                <w:rFonts w:asciiTheme="minorHAnsi" w:hAnsiTheme="minorHAnsi" w:cstheme="minorHAnsi"/>
                <w:sz w:val="20"/>
                <w:szCs w:val="20"/>
              </w:rPr>
              <w:t>LA</w:t>
            </w:r>
            <w:r w:rsidRPr="00372507">
              <w:rPr>
                <w:rFonts w:asciiTheme="minorHAnsi" w:hAnsiTheme="minorHAnsi" w:cstheme="minorHAnsi"/>
                <w:sz w:val="20"/>
                <w:szCs w:val="20"/>
                <w:vertAlign w:val="subscript"/>
              </w:rPr>
              <w:t>35</w:t>
            </w:r>
          </w:p>
        </w:tc>
      </w:tr>
      <w:tr w:rsidR="00372507" w:rsidRPr="00372507" w14:paraId="5527F153" w14:textId="77777777" w:rsidTr="00372507">
        <w:trPr>
          <w:trHeight w:val="311"/>
        </w:trPr>
        <w:tc>
          <w:tcPr>
            <w:tcW w:w="535" w:type="dxa"/>
            <w:vMerge w:val="restart"/>
          </w:tcPr>
          <w:p w14:paraId="001FDAF5" w14:textId="77777777" w:rsidR="00372507" w:rsidRPr="00372507" w:rsidRDefault="00372507" w:rsidP="00372507">
            <w:pPr>
              <w:pStyle w:val="Tekstpodstawowy"/>
              <w:spacing w:line="240" w:lineRule="auto"/>
              <w:jc w:val="both"/>
              <w:rPr>
                <w:rFonts w:asciiTheme="minorHAnsi" w:hAnsiTheme="minorHAnsi" w:cstheme="minorHAnsi"/>
                <w:sz w:val="20"/>
                <w:szCs w:val="20"/>
              </w:rPr>
            </w:pPr>
          </w:p>
          <w:p w14:paraId="611F91EA" w14:textId="77777777" w:rsidR="00372507" w:rsidRPr="00372507" w:rsidRDefault="00372507" w:rsidP="00372507">
            <w:pPr>
              <w:pStyle w:val="Tekstpodstawowy"/>
              <w:spacing w:line="240" w:lineRule="auto"/>
              <w:jc w:val="both"/>
              <w:rPr>
                <w:rFonts w:asciiTheme="minorHAnsi" w:hAnsiTheme="minorHAnsi" w:cstheme="minorHAnsi"/>
                <w:sz w:val="20"/>
                <w:szCs w:val="20"/>
              </w:rPr>
            </w:pPr>
          </w:p>
          <w:p w14:paraId="132D9E98" w14:textId="77777777" w:rsidR="00372507" w:rsidRPr="00372507" w:rsidRDefault="00372507" w:rsidP="00372507">
            <w:pPr>
              <w:pStyle w:val="Tekstpodstawowy"/>
              <w:spacing w:line="240" w:lineRule="auto"/>
              <w:jc w:val="both"/>
              <w:rPr>
                <w:rFonts w:asciiTheme="minorHAnsi" w:hAnsiTheme="minorHAnsi" w:cstheme="minorHAnsi"/>
                <w:sz w:val="20"/>
                <w:szCs w:val="20"/>
              </w:rPr>
            </w:pPr>
            <w:r w:rsidRPr="00372507">
              <w:rPr>
                <w:rFonts w:asciiTheme="minorHAnsi" w:hAnsiTheme="minorHAnsi" w:cstheme="minorHAnsi"/>
                <w:sz w:val="20"/>
                <w:szCs w:val="20"/>
              </w:rPr>
              <w:t>5.</w:t>
            </w:r>
          </w:p>
        </w:tc>
        <w:tc>
          <w:tcPr>
            <w:tcW w:w="3189" w:type="dxa"/>
            <w:vMerge w:val="restart"/>
          </w:tcPr>
          <w:p w14:paraId="5829F440" w14:textId="77777777" w:rsidR="00372507" w:rsidRPr="00372507" w:rsidRDefault="00372507" w:rsidP="00372507">
            <w:pPr>
              <w:pStyle w:val="Tekstpodstawowy"/>
              <w:spacing w:line="240" w:lineRule="auto"/>
              <w:rPr>
                <w:rFonts w:asciiTheme="minorHAnsi" w:hAnsiTheme="minorHAnsi" w:cstheme="minorHAnsi"/>
                <w:sz w:val="20"/>
                <w:szCs w:val="20"/>
                <w:lang w:val="pl-PL"/>
              </w:rPr>
            </w:pPr>
          </w:p>
          <w:p w14:paraId="5C8C1C95" w14:textId="77777777" w:rsidR="00372507" w:rsidRPr="00372507" w:rsidRDefault="00372507" w:rsidP="00372507">
            <w:pPr>
              <w:pStyle w:val="Tekstpodstawowy"/>
              <w:spacing w:line="240" w:lineRule="auto"/>
              <w:rPr>
                <w:rFonts w:asciiTheme="minorHAnsi" w:hAnsiTheme="minorHAnsi" w:cstheme="minorHAnsi"/>
                <w:sz w:val="20"/>
                <w:szCs w:val="20"/>
                <w:lang w:val="pl-PL"/>
              </w:rPr>
            </w:pPr>
            <w:r w:rsidRPr="00372507">
              <w:rPr>
                <w:rFonts w:asciiTheme="minorHAnsi" w:hAnsiTheme="minorHAnsi" w:cstheme="minorHAnsi"/>
                <w:sz w:val="20"/>
                <w:szCs w:val="20"/>
                <w:lang w:val="pl-PL"/>
              </w:rPr>
              <w:t>Wskaźnik piaskowy SE</w:t>
            </w:r>
            <w:r w:rsidRPr="00372507">
              <w:rPr>
                <w:rFonts w:asciiTheme="minorHAnsi" w:hAnsiTheme="minorHAnsi" w:cstheme="minorHAnsi"/>
                <w:sz w:val="20"/>
                <w:szCs w:val="20"/>
                <w:vertAlign w:val="subscript"/>
                <w:lang w:val="pl-PL"/>
              </w:rPr>
              <w:t>4</w:t>
            </w:r>
            <w:r w:rsidRPr="00372507">
              <w:rPr>
                <w:rFonts w:asciiTheme="minorHAnsi" w:hAnsiTheme="minorHAnsi" w:cstheme="minorHAnsi"/>
                <w:sz w:val="20"/>
                <w:szCs w:val="20"/>
                <w:lang w:val="pl-PL"/>
              </w:rPr>
              <w:t>, badanie wg</w:t>
            </w:r>
            <w:r w:rsidRPr="00372507">
              <w:rPr>
                <w:rFonts w:asciiTheme="minorHAnsi" w:hAnsiTheme="minorHAnsi" w:cstheme="minorHAnsi"/>
                <w:spacing w:val="-11"/>
                <w:sz w:val="20"/>
                <w:szCs w:val="20"/>
                <w:lang w:val="pl-PL"/>
              </w:rPr>
              <w:t xml:space="preserve"> </w:t>
            </w:r>
            <w:r w:rsidRPr="00372507">
              <w:rPr>
                <w:rFonts w:asciiTheme="minorHAnsi" w:hAnsiTheme="minorHAnsi" w:cstheme="minorHAnsi"/>
                <w:sz w:val="20"/>
                <w:szCs w:val="20"/>
                <w:lang w:val="pl-PL"/>
              </w:rPr>
              <w:t>PN-EN 933-8, co najmniej,</w:t>
            </w:r>
            <w:r w:rsidRPr="00372507">
              <w:rPr>
                <w:rFonts w:asciiTheme="minorHAnsi" w:hAnsiTheme="minorHAnsi" w:cstheme="minorHAnsi"/>
                <w:spacing w:val="-6"/>
                <w:sz w:val="20"/>
                <w:szCs w:val="20"/>
                <w:lang w:val="pl-PL"/>
              </w:rPr>
              <w:t xml:space="preserve"> </w:t>
            </w:r>
            <w:r w:rsidRPr="00372507">
              <w:rPr>
                <w:rFonts w:asciiTheme="minorHAnsi" w:hAnsiTheme="minorHAnsi" w:cstheme="minorHAnsi"/>
                <w:sz w:val="20"/>
                <w:szCs w:val="20"/>
                <w:lang w:val="pl-PL"/>
              </w:rPr>
              <w:t>%</w:t>
            </w:r>
          </w:p>
        </w:tc>
        <w:tc>
          <w:tcPr>
            <w:tcW w:w="2126" w:type="dxa"/>
          </w:tcPr>
          <w:p w14:paraId="06315819" w14:textId="77777777" w:rsidR="00372507" w:rsidRPr="00372507" w:rsidRDefault="00372507" w:rsidP="00372507">
            <w:pPr>
              <w:pStyle w:val="Tekstpodstawowy"/>
              <w:spacing w:line="240" w:lineRule="auto"/>
              <w:rPr>
                <w:rFonts w:asciiTheme="minorHAnsi" w:hAnsiTheme="minorHAnsi" w:cstheme="minorHAnsi"/>
                <w:sz w:val="20"/>
                <w:szCs w:val="20"/>
              </w:rPr>
            </w:pPr>
            <w:r w:rsidRPr="00372507">
              <w:rPr>
                <w:rFonts w:asciiTheme="minorHAnsi" w:hAnsiTheme="minorHAnsi" w:cstheme="minorHAnsi"/>
                <w:sz w:val="20"/>
                <w:szCs w:val="20"/>
              </w:rPr>
              <w:t>mieszanki</w:t>
            </w:r>
          </w:p>
        </w:tc>
        <w:tc>
          <w:tcPr>
            <w:tcW w:w="3108" w:type="dxa"/>
            <w:gridSpan w:val="3"/>
          </w:tcPr>
          <w:p w14:paraId="2E0D7400" w14:textId="77777777" w:rsidR="00372507" w:rsidRPr="00372507" w:rsidRDefault="00372507" w:rsidP="00372507">
            <w:pPr>
              <w:pStyle w:val="Tekstpodstawowy"/>
              <w:spacing w:line="240" w:lineRule="auto"/>
              <w:jc w:val="center"/>
              <w:rPr>
                <w:rFonts w:asciiTheme="minorHAnsi" w:hAnsiTheme="minorHAnsi" w:cstheme="minorHAnsi"/>
                <w:sz w:val="20"/>
                <w:szCs w:val="20"/>
              </w:rPr>
            </w:pPr>
            <w:r w:rsidRPr="00372507">
              <w:rPr>
                <w:rFonts w:asciiTheme="minorHAnsi" w:hAnsiTheme="minorHAnsi" w:cstheme="minorHAnsi"/>
                <w:sz w:val="20"/>
                <w:szCs w:val="20"/>
              </w:rPr>
              <w:t>40</w:t>
            </w:r>
          </w:p>
        </w:tc>
      </w:tr>
      <w:tr w:rsidR="00372507" w:rsidRPr="00372507" w14:paraId="1E1539A0" w14:textId="77777777" w:rsidTr="00372507">
        <w:trPr>
          <w:trHeight w:val="1149"/>
        </w:trPr>
        <w:tc>
          <w:tcPr>
            <w:tcW w:w="535" w:type="dxa"/>
            <w:vMerge/>
            <w:tcBorders>
              <w:top w:val="nil"/>
            </w:tcBorders>
          </w:tcPr>
          <w:p w14:paraId="7861E85F" w14:textId="77777777" w:rsidR="00372507" w:rsidRPr="00372507" w:rsidRDefault="00372507" w:rsidP="00372507">
            <w:pPr>
              <w:pStyle w:val="Tekstpodstawowy"/>
              <w:spacing w:line="240" w:lineRule="auto"/>
              <w:jc w:val="both"/>
              <w:rPr>
                <w:rFonts w:asciiTheme="minorHAnsi" w:hAnsiTheme="minorHAnsi" w:cstheme="minorHAnsi"/>
                <w:sz w:val="20"/>
                <w:szCs w:val="20"/>
              </w:rPr>
            </w:pPr>
          </w:p>
        </w:tc>
        <w:tc>
          <w:tcPr>
            <w:tcW w:w="3189" w:type="dxa"/>
            <w:vMerge/>
            <w:tcBorders>
              <w:top w:val="nil"/>
            </w:tcBorders>
          </w:tcPr>
          <w:p w14:paraId="5F1C81F1" w14:textId="77777777" w:rsidR="00372507" w:rsidRPr="00372507" w:rsidRDefault="00372507" w:rsidP="00372507">
            <w:pPr>
              <w:pStyle w:val="Tekstpodstawowy"/>
              <w:spacing w:line="240" w:lineRule="auto"/>
              <w:rPr>
                <w:rFonts w:asciiTheme="minorHAnsi" w:hAnsiTheme="minorHAnsi" w:cstheme="minorHAnsi"/>
                <w:sz w:val="20"/>
                <w:szCs w:val="20"/>
              </w:rPr>
            </w:pPr>
          </w:p>
        </w:tc>
        <w:tc>
          <w:tcPr>
            <w:tcW w:w="2126" w:type="dxa"/>
          </w:tcPr>
          <w:p w14:paraId="63B1D716" w14:textId="77777777" w:rsidR="00372507" w:rsidRPr="00372507" w:rsidRDefault="00372507" w:rsidP="00372507">
            <w:pPr>
              <w:pStyle w:val="Tekstpodstawowy"/>
              <w:spacing w:line="240" w:lineRule="auto"/>
              <w:rPr>
                <w:rFonts w:asciiTheme="minorHAnsi" w:hAnsiTheme="minorHAnsi" w:cstheme="minorHAnsi"/>
                <w:sz w:val="20"/>
                <w:szCs w:val="20"/>
                <w:lang w:val="pl-PL"/>
              </w:rPr>
            </w:pPr>
            <w:r w:rsidRPr="00372507">
              <w:rPr>
                <w:rFonts w:asciiTheme="minorHAnsi" w:hAnsiTheme="minorHAnsi" w:cstheme="minorHAnsi"/>
                <w:sz w:val="20"/>
                <w:szCs w:val="20"/>
                <w:lang w:val="pl-PL"/>
              </w:rPr>
              <w:t>mieszanki po pięciokrotnym zagęszczeniu metodą Proctora</w:t>
            </w:r>
          </w:p>
          <w:p w14:paraId="38954D58" w14:textId="77777777" w:rsidR="00372507" w:rsidRPr="00372507" w:rsidRDefault="00372507" w:rsidP="00372507">
            <w:pPr>
              <w:pStyle w:val="Tekstpodstawowy"/>
              <w:spacing w:line="240" w:lineRule="auto"/>
              <w:rPr>
                <w:rFonts w:asciiTheme="minorHAnsi" w:hAnsiTheme="minorHAnsi" w:cstheme="minorHAnsi"/>
                <w:sz w:val="20"/>
                <w:szCs w:val="20"/>
              </w:rPr>
            </w:pPr>
            <w:r w:rsidRPr="00372507">
              <w:rPr>
                <w:rFonts w:asciiTheme="minorHAnsi" w:hAnsiTheme="minorHAnsi" w:cstheme="minorHAnsi"/>
                <w:sz w:val="20"/>
                <w:szCs w:val="20"/>
              </w:rPr>
              <w:t>wg PN-EN 13286-2</w:t>
            </w:r>
          </w:p>
        </w:tc>
        <w:tc>
          <w:tcPr>
            <w:tcW w:w="3108" w:type="dxa"/>
            <w:gridSpan w:val="3"/>
          </w:tcPr>
          <w:p w14:paraId="52C50774" w14:textId="77777777" w:rsidR="00372507" w:rsidRPr="00372507" w:rsidRDefault="00372507" w:rsidP="00372507">
            <w:pPr>
              <w:pStyle w:val="Tekstpodstawowy"/>
              <w:spacing w:line="240" w:lineRule="auto"/>
              <w:jc w:val="center"/>
              <w:rPr>
                <w:rFonts w:asciiTheme="minorHAnsi" w:hAnsiTheme="minorHAnsi" w:cstheme="minorHAnsi"/>
                <w:sz w:val="20"/>
                <w:szCs w:val="20"/>
              </w:rPr>
            </w:pPr>
          </w:p>
          <w:p w14:paraId="6BBBC8DA" w14:textId="77777777" w:rsidR="00372507" w:rsidRPr="00372507" w:rsidRDefault="00372507" w:rsidP="00372507">
            <w:pPr>
              <w:pStyle w:val="Tekstpodstawowy"/>
              <w:spacing w:line="240" w:lineRule="auto"/>
              <w:jc w:val="center"/>
              <w:rPr>
                <w:rFonts w:asciiTheme="minorHAnsi" w:hAnsiTheme="minorHAnsi" w:cstheme="minorHAnsi"/>
                <w:sz w:val="20"/>
                <w:szCs w:val="20"/>
              </w:rPr>
            </w:pPr>
            <w:r w:rsidRPr="00372507">
              <w:rPr>
                <w:rFonts w:asciiTheme="minorHAnsi" w:hAnsiTheme="minorHAnsi" w:cstheme="minorHAnsi"/>
                <w:sz w:val="20"/>
                <w:szCs w:val="20"/>
              </w:rPr>
              <w:t>35</w:t>
            </w:r>
          </w:p>
        </w:tc>
      </w:tr>
      <w:tr w:rsidR="00372507" w:rsidRPr="00372507" w14:paraId="0F36583E" w14:textId="77777777" w:rsidTr="00372507">
        <w:trPr>
          <w:trHeight w:val="268"/>
        </w:trPr>
        <w:tc>
          <w:tcPr>
            <w:tcW w:w="535" w:type="dxa"/>
          </w:tcPr>
          <w:p w14:paraId="2F506E4A" w14:textId="77777777" w:rsidR="00372507" w:rsidRPr="00372507" w:rsidRDefault="00372507" w:rsidP="00372507">
            <w:pPr>
              <w:pStyle w:val="Tekstpodstawowy"/>
              <w:spacing w:line="240" w:lineRule="auto"/>
              <w:jc w:val="both"/>
              <w:rPr>
                <w:rFonts w:asciiTheme="minorHAnsi" w:hAnsiTheme="minorHAnsi" w:cstheme="minorHAnsi"/>
                <w:sz w:val="20"/>
                <w:szCs w:val="20"/>
              </w:rPr>
            </w:pPr>
            <w:r w:rsidRPr="00372507">
              <w:rPr>
                <w:rFonts w:asciiTheme="minorHAnsi" w:hAnsiTheme="minorHAnsi" w:cstheme="minorHAnsi"/>
                <w:sz w:val="20"/>
                <w:szCs w:val="20"/>
              </w:rPr>
              <w:t>6.</w:t>
            </w:r>
          </w:p>
        </w:tc>
        <w:tc>
          <w:tcPr>
            <w:tcW w:w="5315" w:type="dxa"/>
            <w:gridSpan w:val="2"/>
          </w:tcPr>
          <w:p w14:paraId="3BA3EB71" w14:textId="77777777" w:rsidR="00372507" w:rsidRPr="00372507" w:rsidRDefault="00372507" w:rsidP="00372507">
            <w:pPr>
              <w:pStyle w:val="Tekstpodstawowy"/>
              <w:spacing w:line="240" w:lineRule="auto"/>
              <w:rPr>
                <w:rFonts w:asciiTheme="minorHAnsi" w:hAnsiTheme="minorHAnsi" w:cstheme="minorHAnsi"/>
                <w:sz w:val="20"/>
                <w:szCs w:val="20"/>
                <w:lang w:val="pl-PL"/>
              </w:rPr>
            </w:pPr>
            <w:r w:rsidRPr="00372507">
              <w:rPr>
                <w:rFonts w:asciiTheme="minorHAnsi" w:hAnsiTheme="minorHAnsi" w:cstheme="minorHAnsi"/>
                <w:sz w:val="20"/>
                <w:szCs w:val="20"/>
                <w:lang w:val="pl-PL"/>
              </w:rPr>
              <w:t>Mrozoodporność, badanie wg PN-EN 1367-1</w:t>
            </w:r>
          </w:p>
        </w:tc>
        <w:tc>
          <w:tcPr>
            <w:tcW w:w="3108" w:type="dxa"/>
            <w:gridSpan w:val="3"/>
          </w:tcPr>
          <w:p w14:paraId="1A8C30BC" w14:textId="77777777" w:rsidR="00372507" w:rsidRPr="00372507" w:rsidRDefault="00372507" w:rsidP="00372507">
            <w:pPr>
              <w:pStyle w:val="Tekstpodstawowy"/>
              <w:spacing w:line="240" w:lineRule="auto"/>
              <w:jc w:val="center"/>
              <w:rPr>
                <w:rFonts w:asciiTheme="minorHAnsi" w:hAnsiTheme="minorHAnsi" w:cstheme="minorHAnsi"/>
                <w:sz w:val="20"/>
                <w:szCs w:val="20"/>
              </w:rPr>
            </w:pPr>
            <w:r w:rsidRPr="00372507">
              <w:rPr>
                <w:rFonts w:asciiTheme="minorHAnsi" w:hAnsiTheme="minorHAnsi" w:cstheme="minorHAnsi"/>
                <w:sz w:val="20"/>
                <w:szCs w:val="20"/>
              </w:rPr>
              <w:t>F</w:t>
            </w:r>
            <w:r w:rsidRPr="00372507">
              <w:rPr>
                <w:rFonts w:asciiTheme="minorHAnsi" w:hAnsiTheme="minorHAnsi" w:cstheme="minorHAnsi"/>
                <w:sz w:val="20"/>
                <w:szCs w:val="20"/>
                <w:vertAlign w:val="subscript"/>
              </w:rPr>
              <w:t>4</w:t>
            </w:r>
          </w:p>
        </w:tc>
      </w:tr>
      <w:tr w:rsidR="00372507" w:rsidRPr="00372507" w14:paraId="48F39F9C" w14:textId="77777777" w:rsidTr="00372507">
        <w:trPr>
          <w:trHeight w:val="285"/>
        </w:trPr>
        <w:tc>
          <w:tcPr>
            <w:tcW w:w="535" w:type="dxa"/>
          </w:tcPr>
          <w:p w14:paraId="32E401FD" w14:textId="77777777" w:rsidR="00372507" w:rsidRPr="00372507" w:rsidRDefault="00372507" w:rsidP="00372507">
            <w:pPr>
              <w:pStyle w:val="Tekstpodstawowy"/>
              <w:spacing w:line="240" w:lineRule="auto"/>
              <w:jc w:val="both"/>
              <w:rPr>
                <w:rFonts w:asciiTheme="minorHAnsi" w:hAnsiTheme="minorHAnsi" w:cstheme="minorHAnsi"/>
                <w:sz w:val="20"/>
                <w:szCs w:val="20"/>
              </w:rPr>
            </w:pPr>
            <w:r w:rsidRPr="00372507">
              <w:rPr>
                <w:rFonts w:asciiTheme="minorHAnsi" w:hAnsiTheme="minorHAnsi" w:cstheme="minorHAnsi"/>
                <w:sz w:val="20"/>
                <w:szCs w:val="20"/>
              </w:rPr>
              <w:t>7.</w:t>
            </w:r>
          </w:p>
        </w:tc>
        <w:tc>
          <w:tcPr>
            <w:tcW w:w="5315" w:type="dxa"/>
            <w:gridSpan w:val="2"/>
          </w:tcPr>
          <w:p w14:paraId="702D1AFA" w14:textId="77777777" w:rsidR="00372507" w:rsidRPr="00372507" w:rsidRDefault="00372507" w:rsidP="00372507">
            <w:pPr>
              <w:pStyle w:val="Tekstpodstawowy"/>
              <w:spacing w:line="240" w:lineRule="auto"/>
              <w:rPr>
                <w:rFonts w:asciiTheme="minorHAnsi" w:hAnsiTheme="minorHAnsi" w:cstheme="minorHAnsi"/>
                <w:sz w:val="20"/>
                <w:szCs w:val="20"/>
                <w:lang w:val="pl-PL"/>
              </w:rPr>
            </w:pPr>
            <w:r w:rsidRPr="00372507">
              <w:rPr>
                <w:rFonts w:asciiTheme="minorHAnsi" w:hAnsiTheme="minorHAnsi" w:cstheme="minorHAnsi"/>
                <w:sz w:val="20"/>
                <w:szCs w:val="20"/>
                <w:lang w:val="pl-PL"/>
              </w:rPr>
              <w:t>Wskaźnik CBR, badanie wg PN-EN 13286-47, co najmniej %</w:t>
            </w:r>
          </w:p>
        </w:tc>
        <w:tc>
          <w:tcPr>
            <w:tcW w:w="1134" w:type="dxa"/>
          </w:tcPr>
          <w:p w14:paraId="0D70E162" w14:textId="77777777" w:rsidR="00372507" w:rsidRPr="00372507" w:rsidRDefault="00372507" w:rsidP="00372507">
            <w:pPr>
              <w:pStyle w:val="Tekstpodstawowy"/>
              <w:spacing w:line="240" w:lineRule="auto"/>
              <w:jc w:val="center"/>
              <w:rPr>
                <w:rFonts w:asciiTheme="minorHAnsi" w:hAnsiTheme="minorHAnsi" w:cstheme="minorHAnsi"/>
                <w:sz w:val="20"/>
                <w:szCs w:val="20"/>
              </w:rPr>
            </w:pPr>
            <w:r w:rsidRPr="00372507">
              <w:rPr>
                <w:rFonts w:asciiTheme="minorHAnsi" w:hAnsiTheme="minorHAnsi" w:cstheme="minorHAnsi"/>
                <w:sz w:val="20"/>
                <w:szCs w:val="20"/>
              </w:rPr>
              <w:t>60</w:t>
            </w:r>
          </w:p>
        </w:tc>
        <w:tc>
          <w:tcPr>
            <w:tcW w:w="1974" w:type="dxa"/>
            <w:gridSpan w:val="2"/>
          </w:tcPr>
          <w:p w14:paraId="3E832A1E" w14:textId="77777777" w:rsidR="00372507" w:rsidRPr="00372507" w:rsidRDefault="00372507" w:rsidP="00372507">
            <w:pPr>
              <w:pStyle w:val="Tekstpodstawowy"/>
              <w:spacing w:line="240" w:lineRule="auto"/>
              <w:jc w:val="center"/>
              <w:rPr>
                <w:rFonts w:asciiTheme="minorHAnsi" w:hAnsiTheme="minorHAnsi" w:cstheme="minorHAnsi"/>
                <w:sz w:val="20"/>
                <w:szCs w:val="20"/>
              </w:rPr>
            </w:pPr>
            <w:r w:rsidRPr="00372507">
              <w:rPr>
                <w:rFonts w:asciiTheme="minorHAnsi" w:hAnsiTheme="minorHAnsi" w:cstheme="minorHAnsi"/>
                <w:sz w:val="20"/>
                <w:szCs w:val="20"/>
              </w:rPr>
              <w:t>80</w:t>
            </w:r>
          </w:p>
        </w:tc>
      </w:tr>
      <w:tr w:rsidR="00372507" w:rsidRPr="00372507" w14:paraId="4F6E5CFC" w14:textId="77777777" w:rsidTr="00372507">
        <w:trPr>
          <w:trHeight w:val="220"/>
        </w:trPr>
        <w:tc>
          <w:tcPr>
            <w:tcW w:w="535" w:type="dxa"/>
          </w:tcPr>
          <w:p w14:paraId="453EEDED" w14:textId="77777777" w:rsidR="00372507" w:rsidRPr="00372507" w:rsidRDefault="00372507" w:rsidP="00372507">
            <w:pPr>
              <w:pStyle w:val="Tekstpodstawowy"/>
              <w:spacing w:line="240" w:lineRule="auto"/>
              <w:jc w:val="both"/>
              <w:rPr>
                <w:rFonts w:asciiTheme="minorHAnsi" w:hAnsiTheme="minorHAnsi" w:cstheme="minorHAnsi"/>
                <w:sz w:val="20"/>
                <w:szCs w:val="20"/>
              </w:rPr>
            </w:pPr>
            <w:r w:rsidRPr="00372507">
              <w:rPr>
                <w:rFonts w:asciiTheme="minorHAnsi" w:hAnsiTheme="minorHAnsi" w:cstheme="minorHAnsi"/>
                <w:sz w:val="20"/>
                <w:szCs w:val="20"/>
              </w:rPr>
              <w:t>8.</w:t>
            </w:r>
          </w:p>
        </w:tc>
        <w:tc>
          <w:tcPr>
            <w:tcW w:w="5315" w:type="dxa"/>
            <w:gridSpan w:val="2"/>
          </w:tcPr>
          <w:p w14:paraId="1A3A772A" w14:textId="77777777" w:rsidR="00372507" w:rsidRPr="00372507" w:rsidRDefault="00372507" w:rsidP="00372507">
            <w:pPr>
              <w:pStyle w:val="Tekstpodstawowy"/>
              <w:spacing w:line="240" w:lineRule="auto"/>
              <w:rPr>
                <w:rFonts w:asciiTheme="minorHAnsi" w:hAnsiTheme="minorHAnsi" w:cstheme="minorHAnsi"/>
                <w:sz w:val="20"/>
                <w:szCs w:val="20"/>
              </w:rPr>
            </w:pPr>
            <w:r w:rsidRPr="00372507">
              <w:rPr>
                <w:rFonts w:asciiTheme="minorHAnsi" w:hAnsiTheme="minorHAnsi" w:cstheme="minorHAnsi"/>
                <w:sz w:val="20"/>
                <w:szCs w:val="20"/>
              </w:rPr>
              <w:t>Nasiąkliwość kruszyw PN-EN 1097-6</w:t>
            </w:r>
          </w:p>
        </w:tc>
        <w:tc>
          <w:tcPr>
            <w:tcW w:w="3108" w:type="dxa"/>
            <w:gridSpan w:val="3"/>
          </w:tcPr>
          <w:p w14:paraId="4FFA4679" w14:textId="77777777" w:rsidR="00372507" w:rsidRPr="00372507" w:rsidRDefault="00372507" w:rsidP="00372507">
            <w:pPr>
              <w:pStyle w:val="Tekstpodstawowy"/>
              <w:spacing w:line="240" w:lineRule="auto"/>
              <w:jc w:val="center"/>
              <w:rPr>
                <w:rFonts w:asciiTheme="minorHAnsi" w:hAnsiTheme="minorHAnsi" w:cstheme="minorHAnsi"/>
                <w:sz w:val="20"/>
                <w:szCs w:val="20"/>
              </w:rPr>
            </w:pPr>
            <w:r w:rsidRPr="00372507">
              <w:rPr>
                <w:rFonts w:asciiTheme="minorHAnsi" w:hAnsiTheme="minorHAnsi" w:cstheme="minorHAnsi"/>
                <w:sz w:val="20"/>
                <w:szCs w:val="20"/>
              </w:rPr>
              <w:t>WA</w:t>
            </w:r>
            <w:r w:rsidRPr="00372507">
              <w:rPr>
                <w:rFonts w:asciiTheme="minorHAnsi" w:hAnsiTheme="minorHAnsi" w:cstheme="minorHAnsi"/>
                <w:sz w:val="20"/>
                <w:szCs w:val="20"/>
                <w:vertAlign w:val="subscript"/>
              </w:rPr>
              <w:t>24</w:t>
            </w:r>
            <w:r w:rsidRPr="00372507">
              <w:rPr>
                <w:rFonts w:asciiTheme="minorHAnsi" w:hAnsiTheme="minorHAnsi" w:cstheme="minorHAnsi"/>
                <w:sz w:val="20"/>
                <w:szCs w:val="20"/>
              </w:rPr>
              <w:t>2</w:t>
            </w:r>
          </w:p>
        </w:tc>
      </w:tr>
      <w:tr w:rsidR="00372507" w:rsidRPr="00372507" w14:paraId="3819E639" w14:textId="77777777" w:rsidTr="00372507">
        <w:trPr>
          <w:trHeight w:val="218"/>
        </w:trPr>
        <w:tc>
          <w:tcPr>
            <w:tcW w:w="535" w:type="dxa"/>
          </w:tcPr>
          <w:p w14:paraId="57F1FEE5" w14:textId="77777777" w:rsidR="00372507" w:rsidRPr="00372507" w:rsidRDefault="00372507" w:rsidP="00372507">
            <w:pPr>
              <w:pStyle w:val="Tekstpodstawowy"/>
              <w:spacing w:line="240" w:lineRule="auto"/>
              <w:jc w:val="both"/>
              <w:rPr>
                <w:rFonts w:asciiTheme="minorHAnsi" w:hAnsiTheme="minorHAnsi" w:cstheme="minorHAnsi"/>
                <w:sz w:val="20"/>
                <w:szCs w:val="20"/>
              </w:rPr>
            </w:pPr>
            <w:r w:rsidRPr="00372507">
              <w:rPr>
                <w:rFonts w:asciiTheme="minorHAnsi" w:hAnsiTheme="minorHAnsi" w:cstheme="minorHAnsi"/>
                <w:sz w:val="20"/>
                <w:szCs w:val="20"/>
              </w:rPr>
              <w:t>9.</w:t>
            </w:r>
          </w:p>
        </w:tc>
        <w:tc>
          <w:tcPr>
            <w:tcW w:w="5315" w:type="dxa"/>
            <w:gridSpan w:val="2"/>
          </w:tcPr>
          <w:p w14:paraId="79CC7EBD" w14:textId="77777777" w:rsidR="00372507" w:rsidRPr="00372507" w:rsidRDefault="00372507" w:rsidP="00372507">
            <w:pPr>
              <w:pStyle w:val="Tekstpodstawowy"/>
              <w:spacing w:line="240" w:lineRule="auto"/>
              <w:rPr>
                <w:rFonts w:asciiTheme="minorHAnsi" w:hAnsiTheme="minorHAnsi" w:cstheme="minorHAnsi"/>
                <w:sz w:val="20"/>
                <w:szCs w:val="20"/>
              </w:rPr>
            </w:pPr>
            <w:r w:rsidRPr="00372507">
              <w:rPr>
                <w:rFonts w:asciiTheme="minorHAnsi" w:hAnsiTheme="minorHAnsi" w:cstheme="minorHAnsi"/>
                <w:sz w:val="20"/>
                <w:szCs w:val="20"/>
              </w:rPr>
              <w:t>Kształt kruszywa PN-EN 933-4</w:t>
            </w:r>
          </w:p>
        </w:tc>
        <w:tc>
          <w:tcPr>
            <w:tcW w:w="3108" w:type="dxa"/>
            <w:gridSpan w:val="3"/>
          </w:tcPr>
          <w:p w14:paraId="352719EA" w14:textId="77777777" w:rsidR="00372507" w:rsidRPr="00372507" w:rsidRDefault="00372507" w:rsidP="00372507">
            <w:pPr>
              <w:pStyle w:val="Tekstpodstawowy"/>
              <w:spacing w:line="240" w:lineRule="auto"/>
              <w:jc w:val="center"/>
              <w:rPr>
                <w:rFonts w:asciiTheme="minorHAnsi" w:hAnsiTheme="minorHAnsi" w:cstheme="minorHAnsi"/>
                <w:sz w:val="20"/>
                <w:szCs w:val="20"/>
              </w:rPr>
            </w:pPr>
            <w:r w:rsidRPr="00372507">
              <w:rPr>
                <w:rFonts w:asciiTheme="minorHAnsi" w:hAnsiTheme="minorHAnsi" w:cstheme="minorHAnsi"/>
                <w:sz w:val="20"/>
                <w:szCs w:val="20"/>
              </w:rPr>
              <w:t>FI</w:t>
            </w:r>
            <w:r w:rsidRPr="00372507">
              <w:rPr>
                <w:rFonts w:asciiTheme="minorHAnsi" w:hAnsiTheme="minorHAnsi" w:cstheme="minorHAnsi"/>
                <w:sz w:val="20"/>
                <w:szCs w:val="20"/>
                <w:vertAlign w:val="subscript"/>
              </w:rPr>
              <w:t>50</w:t>
            </w:r>
          </w:p>
        </w:tc>
      </w:tr>
    </w:tbl>
    <w:p w14:paraId="54A1E5BB" w14:textId="77777777" w:rsidR="00372507" w:rsidRPr="00372507" w:rsidRDefault="00372507" w:rsidP="00372507">
      <w:pPr>
        <w:pStyle w:val="Tekstpodstawowy"/>
        <w:spacing w:line="240" w:lineRule="auto"/>
        <w:jc w:val="both"/>
        <w:rPr>
          <w:rFonts w:asciiTheme="minorHAnsi" w:hAnsiTheme="minorHAnsi" w:cstheme="minorHAnsi"/>
          <w:sz w:val="20"/>
          <w:szCs w:val="20"/>
        </w:rPr>
      </w:pPr>
    </w:p>
    <w:p w14:paraId="73FE087A" w14:textId="77777777" w:rsidR="00D429B4" w:rsidRDefault="00D429B4" w:rsidP="0072177F">
      <w:pPr>
        <w:rPr>
          <w:rFonts w:ascii="Calibri" w:hAnsi="Calibri" w:cs="Calibri"/>
          <w:b/>
        </w:rPr>
      </w:pPr>
    </w:p>
    <w:p w14:paraId="739816D2" w14:textId="77777777" w:rsidR="0072177F" w:rsidRPr="00A23FB4" w:rsidRDefault="0072177F" w:rsidP="0072177F">
      <w:pPr>
        <w:rPr>
          <w:rFonts w:ascii="Calibri" w:hAnsi="Calibri" w:cs="Calibri"/>
          <w:b/>
        </w:rPr>
      </w:pPr>
      <w:r w:rsidRPr="00A23FB4">
        <w:rPr>
          <w:rFonts w:ascii="Calibri" w:hAnsi="Calibri" w:cs="Calibri"/>
          <w:b/>
        </w:rPr>
        <w:t>3. SPRZĘT</w:t>
      </w:r>
    </w:p>
    <w:p w14:paraId="2CB062B6" w14:textId="77777777" w:rsidR="0072177F" w:rsidRPr="00A23FB4" w:rsidRDefault="0072177F" w:rsidP="0072177F">
      <w:pPr>
        <w:pStyle w:val="Nagwek4"/>
        <w:rPr>
          <w:rFonts w:ascii="Calibri" w:hAnsi="Calibri" w:cs="Calibri"/>
        </w:rPr>
      </w:pPr>
      <w:r w:rsidRPr="00A23FB4">
        <w:rPr>
          <w:rFonts w:ascii="Calibri" w:hAnsi="Calibri" w:cs="Calibri"/>
        </w:rPr>
        <w:t>3.1. Ogólne wymagania dotyczące sprzętu</w:t>
      </w:r>
    </w:p>
    <w:p w14:paraId="05C7B3AB" w14:textId="406B7470" w:rsidR="0072177F" w:rsidRPr="00A23FB4" w:rsidRDefault="0072177F" w:rsidP="0072177F">
      <w:pPr>
        <w:rPr>
          <w:rFonts w:ascii="Calibri" w:hAnsi="Calibri" w:cs="Calibri"/>
        </w:rPr>
      </w:pPr>
      <w:r w:rsidRPr="00A23FB4">
        <w:rPr>
          <w:rFonts w:ascii="Calibri" w:hAnsi="Calibri" w:cs="Calibri"/>
        </w:rPr>
        <w:t xml:space="preserve">Ogólne wymagania dotyczące sprzętu podano w </w:t>
      </w:r>
      <w:r w:rsidR="00A70091">
        <w:rPr>
          <w:rFonts w:ascii="Calibri" w:hAnsi="Calibri" w:cs="Calibri"/>
        </w:rPr>
        <w:t>ST</w:t>
      </w:r>
      <w:r w:rsidRPr="00A23FB4">
        <w:rPr>
          <w:rFonts w:ascii="Calibri" w:hAnsi="Calibri" w:cs="Calibri"/>
        </w:rPr>
        <w:t>WiORB D-M-00.00.00 „Wymagania ogólne” pkt 3.</w:t>
      </w:r>
    </w:p>
    <w:p w14:paraId="5944488A" w14:textId="77777777" w:rsidR="0072177F" w:rsidRPr="00A23FB4" w:rsidRDefault="0072177F" w:rsidP="0072177F">
      <w:pPr>
        <w:pStyle w:val="Nagwek4"/>
        <w:rPr>
          <w:rFonts w:ascii="Calibri" w:hAnsi="Calibri" w:cs="Calibri"/>
        </w:rPr>
      </w:pPr>
      <w:r w:rsidRPr="00A23FB4">
        <w:rPr>
          <w:rFonts w:ascii="Calibri" w:hAnsi="Calibri" w:cs="Calibri"/>
        </w:rPr>
        <w:t>3.2. Sprzęt do wykonania robót</w:t>
      </w:r>
    </w:p>
    <w:p w14:paraId="2B9FB06C" w14:textId="77777777" w:rsidR="0072177F" w:rsidRPr="00A23FB4" w:rsidRDefault="0072177F" w:rsidP="0072177F">
      <w:pPr>
        <w:rPr>
          <w:rFonts w:ascii="Calibri" w:hAnsi="Calibri" w:cs="Calibri"/>
        </w:rPr>
      </w:pPr>
      <w:r w:rsidRPr="00A23FB4">
        <w:rPr>
          <w:rFonts w:ascii="Calibri" w:hAnsi="Calibri" w:cs="Calibri"/>
        </w:rPr>
        <w:t>Wykonawca przystępujący do wykonania podbudowy z kruszyw stabilizowanych mechanicznie  powinien wykazać się możliwością korzystania z następującego sprzętu:</w:t>
      </w:r>
    </w:p>
    <w:p w14:paraId="283FF45B" w14:textId="77777777" w:rsidR="0072177F" w:rsidRPr="00A23FB4" w:rsidRDefault="0072177F" w:rsidP="00262498">
      <w:pPr>
        <w:numPr>
          <w:ilvl w:val="0"/>
          <w:numId w:val="12"/>
        </w:numPr>
        <w:rPr>
          <w:rFonts w:ascii="Calibri" w:hAnsi="Calibri" w:cs="Calibri"/>
        </w:rPr>
      </w:pPr>
      <w:r w:rsidRPr="00A23FB4">
        <w:rPr>
          <w:rFonts w:ascii="Calibri" w:hAnsi="Calibri" w:cs="Calibri"/>
        </w:rPr>
        <w:t>mieszarek do wytwarzania mieszanki, wyposażonych w urządzenia dozujące wodę. Mieszarki powinny zapewnić wytworzenie jednorodnej mieszanki o wilgotności optymalnej,</w:t>
      </w:r>
    </w:p>
    <w:p w14:paraId="388E07B9" w14:textId="77777777" w:rsidR="0072177F" w:rsidRPr="00A23FB4" w:rsidRDefault="0072177F" w:rsidP="00262498">
      <w:pPr>
        <w:numPr>
          <w:ilvl w:val="0"/>
          <w:numId w:val="12"/>
        </w:numPr>
        <w:rPr>
          <w:rFonts w:ascii="Calibri" w:hAnsi="Calibri" w:cs="Calibri"/>
        </w:rPr>
      </w:pPr>
      <w:r w:rsidRPr="00A23FB4">
        <w:rPr>
          <w:rFonts w:ascii="Calibri" w:hAnsi="Calibri" w:cs="Calibri"/>
        </w:rPr>
        <w:t>równiarek albo układarek do rozkładania mieszanki,</w:t>
      </w:r>
    </w:p>
    <w:p w14:paraId="3BCB14AE" w14:textId="77777777" w:rsidR="0072177F" w:rsidRPr="00A23FB4" w:rsidRDefault="0072177F" w:rsidP="00262498">
      <w:pPr>
        <w:numPr>
          <w:ilvl w:val="0"/>
          <w:numId w:val="12"/>
        </w:numPr>
        <w:rPr>
          <w:rFonts w:ascii="Calibri" w:hAnsi="Calibri" w:cs="Calibri"/>
        </w:rPr>
      </w:pPr>
      <w:r w:rsidRPr="00A23FB4">
        <w:rPr>
          <w:rFonts w:ascii="Calibri" w:hAnsi="Calibri" w:cs="Calibri"/>
        </w:rPr>
        <w:t>walców ogumionych i stalowych wibracyjnych lub statycznych do zagęszczania. W miejscach trudno dostępnych powinny być stosowane zagęszczarki płytowe, ubijaki mechaniczne lub małe walce wibracyjne.</w:t>
      </w:r>
    </w:p>
    <w:p w14:paraId="78E53432" w14:textId="77777777" w:rsidR="00AE1DBC" w:rsidRPr="00A23FB4" w:rsidRDefault="00AE1DBC" w:rsidP="0072177F">
      <w:pPr>
        <w:rPr>
          <w:rFonts w:ascii="Calibri" w:hAnsi="Calibri" w:cs="Calibri"/>
          <w:b/>
        </w:rPr>
      </w:pPr>
    </w:p>
    <w:p w14:paraId="0C104BF7" w14:textId="77777777" w:rsidR="0072177F" w:rsidRPr="00A23FB4" w:rsidRDefault="0072177F" w:rsidP="0072177F">
      <w:pPr>
        <w:rPr>
          <w:rFonts w:ascii="Calibri" w:hAnsi="Calibri" w:cs="Calibri"/>
          <w:b/>
        </w:rPr>
      </w:pPr>
      <w:r w:rsidRPr="00A23FB4">
        <w:rPr>
          <w:rFonts w:ascii="Calibri" w:hAnsi="Calibri" w:cs="Calibri"/>
          <w:b/>
        </w:rPr>
        <w:t>4. TRANSPORT</w:t>
      </w:r>
    </w:p>
    <w:p w14:paraId="683F087D" w14:textId="77777777" w:rsidR="0072177F" w:rsidRPr="00A23FB4" w:rsidRDefault="0072177F" w:rsidP="0072177F">
      <w:pPr>
        <w:pStyle w:val="Nagwek4"/>
        <w:rPr>
          <w:rFonts w:ascii="Calibri" w:hAnsi="Calibri" w:cs="Calibri"/>
        </w:rPr>
      </w:pPr>
      <w:r w:rsidRPr="00A23FB4">
        <w:rPr>
          <w:rFonts w:ascii="Calibri" w:hAnsi="Calibri" w:cs="Calibri"/>
        </w:rPr>
        <w:t>4.1. Ogólne wymagania dotyczące transportu</w:t>
      </w:r>
    </w:p>
    <w:p w14:paraId="5535815F" w14:textId="165A271D" w:rsidR="0072177F" w:rsidRPr="00A23FB4" w:rsidRDefault="0072177F" w:rsidP="0072177F">
      <w:pPr>
        <w:rPr>
          <w:rFonts w:ascii="Calibri" w:hAnsi="Calibri" w:cs="Calibri"/>
        </w:rPr>
      </w:pPr>
      <w:r w:rsidRPr="00A23FB4">
        <w:rPr>
          <w:rFonts w:ascii="Calibri" w:hAnsi="Calibri" w:cs="Calibri"/>
        </w:rPr>
        <w:t xml:space="preserve">Ogólne wymagania dotyczące transportu podano w </w:t>
      </w:r>
      <w:r w:rsidR="00A70091">
        <w:rPr>
          <w:rFonts w:ascii="Calibri" w:hAnsi="Calibri" w:cs="Calibri"/>
        </w:rPr>
        <w:t>ST</w:t>
      </w:r>
      <w:r w:rsidRPr="00A23FB4">
        <w:rPr>
          <w:rFonts w:ascii="Calibri" w:hAnsi="Calibri" w:cs="Calibri"/>
        </w:rPr>
        <w:t>WiORB D-M-00.00.00 „Wymagania ogólne” pkt 4.</w:t>
      </w:r>
    </w:p>
    <w:p w14:paraId="00B0EAD0" w14:textId="77777777" w:rsidR="0072177F" w:rsidRPr="00A23FB4" w:rsidRDefault="0072177F" w:rsidP="0072177F">
      <w:pPr>
        <w:pStyle w:val="Nagwek4"/>
        <w:rPr>
          <w:rFonts w:ascii="Calibri" w:hAnsi="Calibri" w:cs="Calibri"/>
        </w:rPr>
      </w:pPr>
      <w:r w:rsidRPr="00A23FB4">
        <w:rPr>
          <w:rFonts w:ascii="Calibri" w:hAnsi="Calibri" w:cs="Calibri"/>
        </w:rPr>
        <w:t>4.2. Transport materiałów</w:t>
      </w:r>
    </w:p>
    <w:p w14:paraId="1E2CE41D" w14:textId="77777777" w:rsidR="0072177F" w:rsidRPr="00A23FB4" w:rsidRDefault="0072177F" w:rsidP="0072177F">
      <w:pPr>
        <w:rPr>
          <w:rFonts w:ascii="Calibri" w:hAnsi="Calibri" w:cs="Calibri"/>
        </w:rPr>
      </w:pPr>
      <w:r w:rsidRPr="00A23FB4">
        <w:rPr>
          <w:rFonts w:ascii="Calibri" w:hAnsi="Calibri" w:cs="Calibri"/>
        </w:rPr>
        <w:t>Kruszywa można przewozić dowolnymi środkami transportu w warunkach zabezpieczających je przed zanieczyszczeniem, zmieszaniem z innymi materiałami, nadmiernym wysuszeniem i zawilgoceniem.</w:t>
      </w:r>
    </w:p>
    <w:p w14:paraId="3B37E901" w14:textId="77777777" w:rsidR="0072177F" w:rsidRPr="00A23FB4" w:rsidRDefault="0072177F" w:rsidP="0072177F">
      <w:pPr>
        <w:rPr>
          <w:rFonts w:ascii="Calibri" w:hAnsi="Calibri" w:cs="Calibri"/>
        </w:rPr>
      </w:pPr>
      <w:r w:rsidRPr="00A23FB4">
        <w:rPr>
          <w:rFonts w:ascii="Calibri" w:hAnsi="Calibri" w:cs="Calibri"/>
        </w:rPr>
        <w:t>Transport cementu powinien odbywać się zgodnie z BN-88/6731-08.</w:t>
      </w:r>
    </w:p>
    <w:p w14:paraId="6AF2A0BE" w14:textId="77777777" w:rsidR="0072177F" w:rsidRPr="00A23FB4" w:rsidRDefault="0072177F" w:rsidP="0072177F">
      <w:pPr>
        <w:rPr>
          <w:rFonts w:ascii="Calibri" w:hAnsi="Calibri" w:cs="Calibri"/>
        </w:rPr>
      </w:pPr>
      <w:r w:rsidRPr="00A23FB4">
        <w:rPr>
          <w:rFonts w:ascii="Calibri" w:hAnsi="Calibri" w:cs="Calibri"/>
        </w:rPr>
        <w:t>Transport pozostałych materiałów powinien odbywać się zgodnie z wymaganiami norm przedmiotowych.</w:t>
      </w:r>
    </w:p>
    <w:p w14:paraId="790D8537" w14:textId="77777777" w:rsidR="00EC785C" w:rsidRPr="00A23FB4" w:rsidRDefault="00EC785C" w:rsidP="0072177F">
      <w:pPr>
        <w:rPr>
          <w:rFonts w:ascii="Calibri" w:hAnsi="Calibri" w:cs="Calibri"/>
          <w:b/>
        </w:rPr>
      </w:pPr>
    </w:p>
    <w:p w14:paraId="16BC9A46" w14:textId="77777777" w:rsidR="0072177F" w:rsidRPr="00A23FB4" w:rsidRDefault="0072177F" w:rsidP="0072177F">
      <w:pPr>
        <w:rPr>
          <w:rFonts w:ascii="Calibri" w:hAnsi="Calibri" w:cs="Calibri"/>
          <w:b/>
        </w:rPr>
      </w:pPr>
      <w:r w:rsidRPr="00A23FB4">
        <w:rPr>
          <w:rFonts w:ascii="Calibri" w:hAnsi="Calibri" w:cs="Calibri"/>
          <w:b/>
        </w:rPr>
        <w:t>5. WYKONANIE ROBÓT</w:t>
      </w:r>
    </w:p>
    <w:p w14:paraId="5C773CAE" w14:textId="77777777" w:rsidR="0072177F" w:rsidRPr="00A23FB4" w:rsidRDefault="0072177F" w:rsidP="0072177F">
      <w:pPr>
        <w:pStyle w:val="Nagwek4"/>
        <w:rPr>
          <w:rFonts w:ascii="Calibri" w:hAnsi="Calibri" w:cs="Calibri"/>
        </w:rPr>
      </w:pPr>
      <w:r w:rsidRPr="00A23FB4">
        <w:rPr>
          <w:rFonts w:ascii="Calibri" w:hAnsi="Calibri" w:cs="Calibri"/>
        </w:rPr>
        <w:t>5.1. Ogólne zasady wykonania robót</w:t>
      </w:r>
    </w:p>
    <w:p w14:paraId="655FC377" w14:textId="733C2BE0" w:rsidR="0072177F" w:rsidRPr="00A23FB4" w:rsidRDefault="0072177F" w:rsidP="0072177F">
      <w:pPr>
        <w:rPr>
          <w:rFonts w:ascii="Calibri" w:hAnsi="Calibri" w:cs="Calibri"/>
        </w:rPr>
      </w:pPr>
      <w:r w:rsidRPr="00A23FB4">
        <w:rPr>
          <w:rFonts w:ascii="Calibri" w:hAnsi="Calibri" w:cs="Calibri"/>
        </w:rPr>
        <w:t xml:space="preserve">Ogólne zasady wykonania robót podano w </w:t>
      </w:r>
      <w:r w:rsidR="00A70091">
        <w:rPr>
          <w:rFonts w:ascii="Calibri" w:hAnsi="Calibri" w:cs="Calibri"/>
        </w:rPr>
        <w:t>ST</w:t>
      </w:r>
      <w:r w:rsidRPr="00A23FB4">
        <w:rPr>
          <w:rFonts w:ascii="Calibri" w:hAnsi="Calibri" w:cs="Calibri"/>
        </w:rPr>
        <w:t>WiORB D-M-00.00.00 „Wymagania ogólne” pkt 5.</w:t>
      </w:r>
    </w:p>
    <w:p w14:paraId="25DA876C" w14:textId="77777777" w:rsidR="0072177F" w:rsidRPr="00A23FB4" w:rsidRDefault="0072177F" w:rsidP="0072177F">
      <w:pPr>
        <w:pStyle w:val="Nagwek4"/>
        <w:rPr>
          <w:rFonts w:ascii="Calibri" w:hAnsi="Calibri" w:cs="Calibri"/>
        </w:rPr>
      </w:pPr>
      <w:r w:rsidRPr="00A23FB4">
        <w:rPr>
          <w:rFonts w:ascii="Calibri" w:hAnsi="Calibri" w:cs="Calibri"/>
        </w:rPr>
        <w:t>5.2. Przygotowanie podłoża</w:t>
      </w:r>
    </w:p>
    <w:p w14:paraId="4B89EFE2" w14:textId="02FBE2E4" w:rsidR="0072177F" w:rsidRPr="00A23FB4" w:rsidRDefault="0072177F" w:rsidP="0072177F">
      <w:pPr>
        <w:rPr>
          <w:rFonts w:ascii="Calibri" w:hAnsi="Calibri" w:cs="Calibri"/>
        </w:rPr>
      </w:pPr>
      <w:r w:rsidRPr="00A23FB4">
        <w:rPr>
          <w:rFonts w:ascii="Calibri" w:hAnsi="Calibri" w:cs="Calibri"/>
        </w:rPr>
        <w:t xml:space="preserve">Podłoże pod podbudowę powinno spełniać wymagania określone w </w:t>
      </w:r>
      <w:r w:rsidR="007E5E56">
        <w:rPr>
          <w:rFonts w:ascii="Calibri" w:hAnsi="Calibri" w:cs="Calibri"/>
        </w:rPr>
        <w:t>ST</w:t>
      </w:r>
      <w:r w:rsidRPr="00A23FB4">
        <w:rPr>
          <w:rFonts w:ascii="Calibri" w:hAnsi="Calibri" w:cs="Calibri"/>
        </w:rPr>
        <w:t>WiORB D-04.05.01 „Ulepszone podłoże stabilizowane cementem”.</w:t>
      </w:r>
    </w:p>
    <w:p w14:paraId="05C48D0B" w14:textId="77777777" w:rsidR="0072177F" w:rsidRPr="00A23FB4" w:rsidRDefault="0072177F" w:rsidP="0072177F">
      <w:pPr>
        <w:rPr>
          <w:rFonts w:ascii="Calibri" w:hAnsi="Calibri" w:cs="Calibri"/>
        </w:rPr>
      </w:pPr>
      <w:r w:rsidRPr="00A23FB4">
        <w:rPr>
          <w:rFonts w:ascii="Calibri" w:hAnsi="Calibri" w:cs="Calibri"/>
        </w:rPr>
        <w:t>Paliki lub szpilki do prawidłowego ukształtowania podbudowy powinny być wcześniej przygotowane.</w:t>
      </w:r>
    </w:p>
    <w:p w14:paraId="60638D9A" w14:textId="77777777" w:rsidR="0072177F" w:rsidRPr="00A23FB4" w:rsidRDefault="0072177F" w:rsidP="0072177F">
      <w:pPr>
        <w:rPr>
          <w:rFonts w:ascii="Calibri" w:hAnsi="Calibri" w:cs="Calibri"/>
        </w:rPr>
      </w:pPr>
      <w:r w:rsidRPr="00A23FB4">
        <w:rPr>
          <w:rFonts w:ascii="Calibri" w:hAnsi="Calibri" w:cs="Calibri"/>
        </w:rPr>
        <w:t>Paliki lub szpilki powinny być ustawione w osi drogi i w rzędach równoległych do osi drogi, lub w inny sposób zaakceptowany przez Inżyniera/Kierownika projektu.</w:t>
      </w:r>
    </w:p>
    <w:p w14:paraId="663C2608" w14:textId="77777777" w:rsidR="0072177F" w:rsidRPr="00A23FB4" w:rsidRDefault="0072177F" w:rsidP="0072177F">
      <w:pPr>
        <w:rPr>
          <w:rFonts w:ascii="Calibri" w:hAnsi="Calibri" w:cs="Calibri"/>
        </w:rPr>
      </w:pPr>
      <w:r w:rsidRPr="00A23FB4">
        <w:rPr>
          <w:rFonts w:ascii="Calibri" w:hAnsi="Calibri" w:cs="Calibri"/>
        </w:rPr>
        <w:t>Rozmieszczenie palików lub szpilek powinno umożliwiać naciągnięcie sznurków lub linek do wytyczenia robót w odstępach nie większych niż co 10 m.</w:t>
      </w:r>
    </w:p>
    <w:p w14:paraId="2C8BFFFC" w14:textId="77777777" w:rsidR="0072177F" w:rsidRPr="00A23FB4" w:rsidRDefault="0072177F" w:rsidP="0072177F">
      <w:pPr>
        <w:pStyle w:val="Nagwek4"/>
        <w:rPr>
          <w:rFonts w:ascii="Calibri" w:hAnsi="Calibri" w:cs="Calibri"/>
        </w:rPr>
      </w:pPr>
      <w:r w:rsidRPr="00A23FB4">
        <w:rPr>
          <w:rFonts w:ascii="Calibri" w:hAnsi="Calibri" w:cs="Calibri"/>
        </w:rPr>
        <w:t>5.3. Wytwarzanie mieszanki kruszywa</w:t>
      </w:r>
    </w:p>
    <w:p w14:paraId="11E842C9" w14:textId="77777777" w:rsidR="0072177F" w:rsidRDefault="0072177F" w:rsidP="0072177F">
      <w:pPr>
        <w:rPr>
          <w:rFonts w:ascii="Calibri" w:hAnsi="Calibri" w:cs="Calibri"/>
        </w:rPr>
      </w:pPr>
      <w:r w:rsidRPr="00A23FB4">
        <w:rPr>
          <w:rFonts w:ascii="Calibri" w:hAnsi="Calibri" w:cs="Calibri"/>
        </w:rPr>
        <w:t>Mieszankę kruszywa o ściśle określonym uziarnieniu i wilgotności optymalnej należy wytwarzać w mieszarkach gwarantujących otrzymanie jednorodnej mieszanki. Ze względu na konieczność zapewnienia jednorodności nie dopuszcza się wytwarzania mieszanki przez mieszanie poszczególnych frakcji na drodze. Mieszanka po wyprodukowaniu powinna być od razu transportowana na miejsce wbudowania w taki sposób, aby nie uległa rozsegregowaniu i wysychaniu.</w:t>
      </w:r>
    </w:p>
    <w:p w14:paraId="2B0CF1DA" w14:textId="07DC794E" w:rsidR="00F97DAB" w:rsidRPr="00A23FB4" w:rsidRDefault="00F97DAB" w:rsidP="0072177F">
      <w:pPr>
        <w:rPr>
          <w:rFonts w:ascii="Calibri" w:hAnsi="Calibri" w:cs="Calibri"/>
        </w:rPr>
      </w:pPr>
      <w:r>
        <w:rPr>
          <w:rFonts w:ascii="Calibri" w:hAnsi="Calibri" w:cs="Calibri"/>
        </w:rPr>
        <w:t xml:space="preserve">Podbudowa pomocnicza może pełnić równocześnie funkcję warstwy wzmacniającej lub/i profilującej. Dopuszcza się przeprofilowania istniejących warstw podbudowy z kruszywa łamanego pod warunkiem uzyskania wymaganych projektem zagęszczeń i modułów odkształcenia. Przed dopuszczeniem do profilowania istniejącej warstwy podbudowy należy dokonać kontrolnych odkrywek sprawdzających brak zaglinienia dolnych warstw istniejącej podbudowy. W przypadku stwierdzenia zaglinienia (udział cząstek gliniastych powyżej 10%) istniejące kruszywo należy przesiać lub wymienić na nowe. </w:t>
      </w:r>
    </w:p>
    <w:p w14:paraId="1656E380" w14:textId="77777777" w:rsidR="0072177F" w:rsidRPr="00A23FB4" w:rsidRDefault="0072177F" w:rsidP="0072177F">
      <w:pPr>
        <w:pStyle w:val="Nagwek4"/>
        <w:rPr>
          <w:rFonts w:ascii="Calibri" w:hAnsi="Calibri" w:cs="Calibri"/>
        </w:rPr>
      </w:pPr>
      <w:r w:rsidRPr="00A23FB4">
        <w:rPr>
          <w:rFonts w:ascii="Calibri" w:hAnsi="Calibri" w:cs="Calibri"/>
        </w:rPr>
        <w:t>5.4. Wbudowywanie i zagęszczanie mieszanki</w:t>
      </w:r>
    </w:p>
    <w:p w14:paraId="1E626E1C" w14:textId="77777777" w:rsidR="0072177F" w:rsidRPr="00A23FB4" w:rsidRDefault="0072177F" w:rsidP="0072177F">
      <w:pPr>
        <w:rPr>
          <w:rFonts w:ascii="Calibri" w:hAnsi="Calibri" w:cs="Calibri"/>
        </w:rPr>
      </w:pPr>
      <w:r w:rsidRPr="00A23FB4">
        <w:rPr>
          <w:rFonts w:ascii="Calibri" w:hAnsi="Calibri" w:cs="Calibri"/>
        </w:rPr>
        <w:t>Mieszanka kruszywa powinna być rozkładana w warstwie o jednakowej grubości, takiej, aby jej ostateczna grubość po zagęszczeniu była równa grubości projektowanej. Grubość pojedynczo układanej warstwy nie może przekraczać 20 cm po zagęszczeniu. Warstwa podbudowy powinna być rozłożona w sposób zapewniający osiągnięcie wymaganych spadków i rzędnych wysokościowych. Wilgotność mieszanki kruszywa podczas zagęszczania powinna odpowiadać wilgotności optymalnej, określonej według próby Proctora, zgodnie z PN-B-04481:1988 (metoda II). Materiał nadmiernie nawilgocony, powinien zostać osuszony przez mieszanie i napowietrzanie. Jeżeli wilgotność mieszanki kruszywa jest niższa od optymalnej o 20% jej wartości, mieszanka powinna być zwilżona określoną ilością wody i równomiernie wymieszana. W przypadku, gdy wilgotność mieszanki kruszywa jest wyższa od optymalnej o 10% jej wartości, mieszankę należy osuszyć.</w:t>
      </w:r>
    </w:p>
    <w:p w14:paraId="4126DC06" w14:textId="77777777" w:rsidR="0072177F" w:rsidRPr="00A23FB4" w:rsidRDefault="0072177F" w:rsidP="0072177F">
      <w:pPr>
        <w:rPr>
          <w:rFonts w:ascii="Calibri" w:hAnsi="Calibri" w:cs="Calibri"/>
        </w:rPr>
      </w:pPr>
      <w:r w:rsidRPr="00A23FB4">
        <w:rPr>
          <w:rFonts w:ascii="Calibri" w:hAnsi="Calibri" w:cs="Calibri"/>
        </w:rPr>
        <w:t>Wskaźnik zagęszczenia podbudowy wg BN-77/8931-12 powinien odpowiadać przyjętemu poziomowi wskaźnika nośności podbudowy wg tablicy 1, lp. 11.</w:t>
      </w:r>
    </w:p>
    <w:p w14:paraId="0AD3A055" w14:textId="77777777" w:rsidR="0072177F" w:rsidRPr="00A23FB4" w:rsidRDefault="0072177F" w:rsidP="0072177F">
      <w:pPr>
        <w:pStyle w:val="Nagwek4"/>
        <w:rPr>
          <w:rFonts w:ascii="Calibri" w:hAnsi="Calibri" w:cs="Calibri"/>
        </w:rPr>
      </w:pPr>
      <w:r w:rsidRPr="00A23FB4">
        <w:rPr>
          <w:rFonts w:ascii="Calibri" w:hAnsi="Calibri" w:cs="Calibri"/>
        </w:rPr>
        <w:t xml:space="preserve">5.5. Utrzymanie podbudowy </w:t>
      </w:r>
    </w:p>
    <w:p w14:paraId="73BAA1A9" w14:textId="77777777" w:rsidR="0072177F" w:rsidRPr="00A23FB4" w:rsidRDefault="0072177F" w:rsidP="0072177F">
      <w:pPr>
        <w:rPr>
          <w:rFonts w:ascii="Calibri" w:hAnsi="Calibri" w:cs="Calibri"/>
        </w:rPr>
      </w:pPr>
      <w:r w:rsidRPr="00A23FB4">
        <w:rPr>
          <w:rFonts w:ascii="Calibri" w:hAnsi="Calibri" w:cs="Calibri"/>
        </w:rPr>
        <w:t xml:space="preserve">Podbudowa po wykonaniu, a przed ułożeniem następnej warstwy, powinna być utrzymywana w dobrym stanie.  Jeżeli Wykonawca będzie wykorzystywał, za zgodą Inżyniera/Kierownika projektu, gotową podbudowę do ruchu budowlanego, to jest obowiązany naprawić wszelkie uszkodzenia podbudowy, spowodowane przez ten ruch. Koszt napraw wynikłych z niewłaściwego utrzymania podbudowy obciąża Wykonawcę robót. </w:t>
      </w:r>
    </w:p>
    <w:p w14:paraId="59D8C6DB" w14:textId="77777777" w:rsidR="00AE1DBC" w:rsidRPr="00A23FB4" w:rsidRDefault="00AE1DBC" w:rsidP="0072177F">
      <w:pPr>
        <w:rPr>
          <w:rFonts w:ascii="Calibri" w:hAnsi="Calibri" w:cs="Calibri"/>
          <w:b/>
        </w:rPr>
      </w:pPr>
    </w:p>
    <w:p w14:paraId="6C51A024" w14:textId="77777777" w:rsidR="0072177F" w:rsidRPr="00A23FB4" w:rsidRDefault="0072177F" w:rsidP="0072177F">
      <w:pPr>
        <w:rPr>
          <w:rFonts w:ascii="Calibri" w:hAnsi="Calibri" w:cs="Calibri"/>
          <w:b/>
        </w:rPr>
      </w:pPr>
      <w:r w:rsidRPr="00A23FB4">
        <w:rPr>
          <w:rFonts w:ascii="Calibri" w:hAnsi="Calibri" w:cs="Calibri"/>
          <w:b/>
        </w:rPr>
        <w:t>6. KONTROLA JAKOŚCI ROBÓT</w:t>
      </w:r>
    </w:p>
    <w:p w14:paraId="12796417" w14:textId="77777777" w:rsidR="0072177F" w:rsidRPr="00A23FB4" w:rsidRDefault="0072177F" w:rsidP="0072177F">
      <w:pPr>
        <w:pStyle w:val="Nagwek4"/>
        <w:rPr>
          <w:rFonts w:ascii="Calibri" w:hAnsi="Calibri" w:cs="Calibri"/>
        </w:rPr>
      </w:pPr>
      <w:r w:rsidRPr="00A23FB4">
        <w:rPr>
          <w:rFonts w:ascii="Calibri" w:hAnsi="Calibri" w:cs="Calibri"/>
        </w:rPr>
        <w:t>6.1. Ogólne zasady kontroli jakości robót</w:t>
      </w:r>
    </w:p>
    <w:p w14:paraId="5601861E" w14:textId="2DBBB16F" w:rsidR="0072177F" w:rsidRPr="00A23FB4" w:rsidRDefault="0072177F" w:rsidP="0072177F">
      <w:pPr>
        <w:rPr>
          <w:rFonts w:ascii="Calibri" w:hAnsi="Calibri" w:cs="Calibri"/>
        </w:rPr>
      </w:pPr>
      <w:r w:rsidRPr="00A23FB4">
        <w:rPr>
          <w:rFonts w:ascii="Calibri" w:hAnsi="Calibri" w:cs="Calibri"/>
        </w:rPr>
        <w:t xml:space="preserve">Ogólne zasady kontroli jakości robót podano w </w:t>
      </w:r>
      <w:r w:rsidR="007E5E56">
        <w:rPr>
          <w:rFonts w:ascii="Calibri" w:hAnsi="Calibri" w:cs="Calibri"/>
        </w:rPr>
        <w:t>ST</w:t>
      </w:r>
      <w:r w:rsidRPr="00A23FB4">
        <w:rPr>
          <w:rFonts w:ascii="Calibri" w:hAnsi="Calibri" w:cs="Calibri"/>
        </w:rPr>
        <w:t>WiORB D-M-00.00.00 „Wymagania ogólne” pkt 6.</w:t>
      </w:r>
    </w:p>
    <w:p w14:paraId="13831CD8" w14:textId="77777777" w:rsidR="0072177F" w:rsidRPr="00A23FB4" w:rsidRDefault="0072177F" w:rsidP="0072177F">
      <w:pPr>
        <w:pStyle w:val="Nagwek4"/>
        <w:rPr>
          <w:rFonts w:ascii="Calibri" w:hAnsi="Calibri" w:cs="Calibri"/>
        </w:rPr>
      </w:pPr>
      <w:r w:rsidRPr="00A23FB4">
        <w:rPr>
          <w:rFonts w:ascii="Calibri" w:hAnsi="Calibri" w:cs="Calibri"/>
        </w:rPr>
        <w:t>6.2. Badania przed przystąpieniem do robót</w:t>
      </w:r>
    </w:p>
    <w:p w14:paraId="27F64C2F" w14:textId="5F87E299" w:rsidR="0072177F" w:rsidRPr="00A23FB4" w:rsidRDefault="0072177F" w:rsidP="0072177F">
      <w:pPr>
        <w:rPr>
          <w:rFonts w:ascii="Calibri" w:hAnsi="Calibri" w:cs="Calibri"/>
        </w:rPr>
      </w:pPr>
      <w:r w:rsidRPr="00A23FB4">
        <w:rPr>
          <w:rFonts w:ascii="Calibri" w:hAnsi="Calibri" w:cs="Calibri"/>
        </w:rPr>
        <w:t xml:space="preserve">Przed przystąpieniem do robót Wykonawca powinien wykonać badania kruszyw  przeznaczonych do wykonania robót i przedstawić wyniki tych badań Inżynierowi/Kierownikowi projektu w celu akceptacji materiałów. Badania te powinny obejmować wszystkie właściwości określone w pkt 2.3 niniejszej </w:t>
      </w:r>
      <w:r w:rsidR="007E5E56">
        <w:rPr>
          <w:rFonts w:ascii="Calibri" w:hAnsi="Calibri" w:cs="Calibri"/>
        </w:rPr>
        <w:t>ST</w:t>
      </w:r>
      <w:r w:rsidRPr="00A23FB4">
        <w:rPr>
          <w:rFonts w:ascii="Calibri" w:hAnsi="Calibri" w:cs="Calibri"/>
        </w:rPr>
        <w:t>WiORB.</w:t>
      </w:r>
    </w:p>
    <w:p w14:paraId="2ED56604" w14:textId="77777777" w:rsidR="0072177F" w:rsidRPr="00A23FB4" w:rsidRDefault="0072177F" w:rsidP="0072177F">
      <w:pPr>
        <w:pStyle w:val="Nagwek4"/>
        <w:rPr>
          <w:rFonts w:ascii="Calibri" w:hAnsi="Calibri" w:cs="Calibri"/>
        </w:rPr>
      </w:pPr>
      <w:r w:rsidRPr="00A23FB4">
        <w:rPr>
          <w:rFonts w:ascii="Calibri" w:hAnsi="Calibri" w:cs="Calibri"/>
        </w:rPr>
        <w:t>6.3. Badania w czasie robót</w:t>
      </w:r>
    </w:p>
    <w:p w14:paraId="4BB7711B" w14:textId="77777777" w:rsidR="0072177F" w:rsidRPr="00A23FB4" w:rsidRDefault="0072177F" w:rsidP="0072177F">
      <w:pPr>
        <w:rPr>
          <w:rFonts w:ascii="Calibri" w:hAnsi="Calibri" w:cs="Calibri"/>
          <w:b/>
          <w:bCs/>
          <w:iCs/>
        </w:rPr>
      </w:pPr>
      <w:r w:rsidRPr="00A23FB4">
        <w:rPr>
          <w:rFonts w:ascii="Calibri" w:hAnsi="Calibri" w:cs="Calibri"/>
          <w:b/>
          <w:bCs/>
          <w:iCs/>
        </w:rPr>
        <w:t>6.3.1. Częstotliwość oraz zakres badań i pomiarów</w:t>
      </w:r>
    </w:p>
    <w:p w14:paraId="577B07DA" w14:textId="4F606AC8" w:rsidR="0072177F" w:rsidRPr="00A23FB4" w:rsidRDefault="0072177F" w:rsidP="0072177F">
      <w:pPr>
        <w:rPr>
          <w:rFonts w:ascii="Calibri" w:hAnsi="Calibri" w:cs="Calibri"/>
        </w:rPr>
      </w:pPr>
      <w:r w:rsidRPr="00A23FB4">
        <w:rPr>
          <w:rFonts w:ascii="Calibri" w:hAnsi="Calibri" w:cs="Calibri"/>
        </w:rPr>
        <w:t xml:space="preserve">Częstotliwość oraz zakres badań  podano w tablicy </w:t>
      </w:r>
      <w:r w:rsidR="00372507">
        <w:rPr>
          <w:rFonts w:ascii="Calibri" w:hAnsi="Calibri" w:cs="Calibri"/>
        </w:rPr>
        <w:t>3</w:t>
      </w:r>
      <w:r w:rsidRPr="00A23FB4">
        <w:rPr>
          <w:rFonts w:ascii="Calibri" w:hAnsi="Calibri" w:cs="Calibri"/>
        </w:rPr>
        <w:t>.</w:t>
      </w:r>
    </w:p>
    <w:p w14:paraId="25E91761" w14:textId="77777777" w:rsidR="0072177F" w:rsidRPr="00A23FB4" w:rsidRDefault="0072177F" w:rsidP="0072177F">
      <w:pPr>
        <w:rPr>
          <w:rFonts w:ascii="Calibri" w:hAnsi="Calibri" w:cs="Calibri"/>
        </w:rPr>
      </w:pPr>
    </w:p>
    <w:p w14:paraId="7A32AE44" w14:textId="3ECCBEE5" w:rsidR="0072177F" w:rsidRPr="00A23FB4" w:rsidRDefault="0072177F" w:rsidP="0072177F">
      <w:pPr>
        <w:pStyle w:val="tekstost"/>
        <w:rPr>
          <w:rFonts w:ascii="Calibri" w:hAnsi="Calibri" w:cs="Calibri"/>
        </w:rPr>
      </w:pPr>
      <w:r w:rsidRPr="00A23FB4">
        <w:rPr>
          <w:rFonts w:ascii="Calibri" w:hAnsi="Calibri" w:cs="Calibri"/>
        </w:rPr>
        <w:t xml:space="preserve">Tablica </w:t>
      </w:r>
      <w:r w:rsidR="00372507">
        <w:rPr>
          <w:rFonts w:ascii="Calibri" w:hAnsi="Calibri" w:cs="Calibri"/>
        </w:rPr>
        <w:t>3</w:t>
      </w:r>
      <w:r w:rsidRPr="00A23FB4">
        <w:rPr>
          <w:rFonts w:ascii="Calibri" w:hAnsi="Calibri" w:cs="Calibri"/>
        </w:rPr>
        <w:t>. Częstotliwość ora zakres  badań przy budowie podbudowy z kruszyw stabilizowanych mechanicznie</w:t>
      </w:r>
    </w:p>
    <w:tbl>
      <w:tblPr>
        <w:tblW w:w="0" w:type="auto"/>
        <w:tblInd w:w="2" w:type="dxa"/>
        <w:tblLayout w:type="fixed"/>
        <w:tblCellMar>
          <w:left w:w="70" w:type="dxa"/>
          <w:right w:w="70" w:type="dxa"/>
        </w:tblCellMar>
        <w:tblLook w:val="0000" w:firstRow="0" w:lastRow="0" w:firstColumn="0" w:lastColumn="0" w:noHBand="0" w:noVBand="0"/>
      </w:tblPr>
      <w:tblGrid>
        <w:gridCol w:w="496"/>
        <w:gridCol w:w="4394"/>
        <w:gridCol w:w="1984"/>
        <w:gridCol w:w="2127"/>
      </w:tblGrid>
      <w:tr w:rsidR="0072177F" w:rsidRPr="00A23FB4" w14:paraId="7270700E" w14:textId="77777777" w:rsidTr="0072177F">
        <w:tc>
          <w:tcPr>
            <w:tcW w:w="496" w:type="dxa"/>
            <w:tcBorders>
              <w:top w:val="single" w:sz="6" w:space="0" w:color="auto"/>
              <w:left w:val="single" w:sz="6" w:space="0" w:color="auto"/>
            </w:tcBorders>
          </w:tcPr>
          <w:p w14:paraId="0554523B" w14:textId="77777777" w:rsidR="0072177F" w:rsidRPr="00A23FB4" w:rsidRDefault="0072177F" w:rsidP="0072177F">
            <w:pPr>
              <w:pStyle w:val="tekstost"/>
              <w:rPr>
                <w:rFonts w:ascii="Calibri" w:hAnsi="Calibri" w:cs="Calibri"/>
              </w:rPr>
            </w:pPr>
          </w:p>
        </w:tc>
        <w:tc>
          <w:tcPr>
            <w:tcW w:w="4394" w:type="dxa"/>
            <w:tcBorders>
              <w:top w:val="single" w:sz="6" w:space="0" w:color="auto"/>
              <w:left w:val="single" w:sz="6" w:space="0" w:color="auto"/>
            </w:tcBorders>
          </w:tcPr>
          <w:p w14:paraId="0EE347BA" w14:textId="77777777" w:rsidR="0072177F" w:rsidRPr="00A23FB4" w:rsidRDefault="0072177F" w:rsidP="0072177F">
            <w:pPr>
              <w:pStyle w:val="tekstost"/>
              <w:rPr>
                <w:rFonts w:ascii="Calibri" w:hAnsi="Calibri" w:cs="Calibri"/>
              </w:rPr>
            </w:pPr>
          </w:p>
        </w:tc>
        <w:tc>
          <w:tcPr>
            <w:tcW w:w="4111" w:type="dxa"/>
            <w:gridSpan w:val="2"/>
            <w:tcBorders>
              <w:top w:val="single" w:sz="6" w:space="0" w:color="auto"/>
              <w:left w:val="single" w:sz="6" w:space="0" w:color="auto"/>
              <w:bottom w:val="single" w:sz="6" w:space="0" w:color="auto"/>
              <w:right w:val="single" w:sz="6" w:space="0" w:color="auto"/>
            </w:tcBorders>
          </w:tcPr>
          <w:p w14:paraId="40435714" w14:textId="77777777" w:rsidR="0072177F" w:rsidRPr="00A23FB4" w:rsidRDefault="0072177F" w:rsidP="0072177F">
            <w:pPr>
              <w:pStyle w:val="tekstost"/>
              <w:rPr>
                <w:rFonts w:ascii="Calibri" w:hAnsi="Calibri" w:cs="Calibri"/>
              </w:rPr>
            </w:pPr>
            <w:r w:rsidRPr="00A23FB4">
              <w:rPr>
                <w:rFonts w:ascii="Calibri" w:hAnsi="Calibri" w:cs="Calibri"/>
              </w:rPr>
              <w:t>Częstotliwość badań</w:t>
            </w:r>
          </w:p>
        </w:tc>
      </w:tr>
      <w:tr w:rsidR="0072177F" w:rsidRPr="00A23FB4" w14:paraId="7C2F8EC5" w14:textId="77777777" w:rsidTr="0072177F">
        <w:tc>
          <w:tcPr>
            <w:tcW w:w="496" w:type="dxa"/>
            <w:tcBorders>
              <w:left w:val="single" w:sz="6" w:space="0" w:color="auto"/>
              <w:bottom w:val="double" w:sz="6" w:space="0" w:color="auto"/>
              <w:right w:val="single" w:sz="6" w:space="0" w:color="auto"/>
            </w:tcBorders>
          </w:tcPr>
          <w:p w14:paraId="5E87C876" w14:textId="77777777" w:rsidR="0072177F" w:rsidRPr="00A23FB4" w:rsidRDefault="0072177F" w:rsidP="0072177F">
            <w:pPr>
              <w:pStyle w:val="tekstost"/>
              <w:rPr>
                <w:rFonts w:ascii="Calibri" w:hAnsi="Calibri" w:cs="Calibri"/>
              </w:rPr>
            </w:pPr>
          </w:p>
          <w:p w14:paraId="1A224EFB" w14:textId="77777777" w:rsidR="0072177F" w:rsidRPr="00A23FB4" w:rsidRDefault="0072177F" w:rsidP="0072177F">
            <w:pPr>
              <w:pStyle w:val="tekstost"/>
              <w:rPr>
                <w:rFonts w:ascii="Calibri" w:hAnsi="Calibri" w:cs="Calibri"/>
              </w:rPr>
            </w:pPr>
            <w:r w:rsidRPr="00A23FB4">
              <w:rPr>
                <w:rFonts w:ascii="Calibri" w:hAnsi="Calibri" w:cs="Calibri"/>
              </w:rPr>
              <w:t>Lp.</w:t>
            </w:r>
          </w:p>
        </w:tc>
        <w:tc>
          <w:tcPr>
            <w:tcW w:w="4394" w:type="dxa"/>
            <w:tcBorders>
              <w:left w:val="nil"/>
              <w:bottom w:val="double" w:sz="6" w:space="0" w:color="auto"/>
            </w:tcBorders>
          </w:tcPr>
          <w:p w14:paraId="313CAD2E" w14:textId="77777777" w:rsidR="0072177F" w:rsidRPr="00A23FB4" w:rsidRDefault="0072177F" w:rsidP="0072177F">
            <w:pPr>
              <w:pStyle w:val="tekstost"/>
              <w:rPr>
                <w:rFonts w:ascii="Calibri" w:hAnsi="Calibri" w:cs="Calibri"/>
              </w:rPr>
            </w:pPr>
          </w:p>
          <w:p w14:paraId="7FCC87D0" w14:textId="77777777" w:rsidR="0072177F" w:rsidRPr="00A23FB4" w:rsidRDefault="0072177F" w:rsidP="0072177F">
            <w:pPr>
              <w:pStyle w:val="tekstost"/>
              <w:rPr>
                <w:rFonts w:ascii="Calibri" w:hAnsi="Calibri" w:cs="Calibri"/>
              </w:rPr>
            </w:pPr>
            <w:r w:rsidRPr="00A23FB4">
              <w:rPr>
                <w:rFonts w:ascii="Calibri" w:hAnsi="Calibri" w:cs="Calibri"/>
              </w:rPr>
              <w:t>Wyszczególnienie badań</w:t>
            </w:r>
          </w:p>
        </w:tc>
        <w:tc>
          <w:tcPr>
            <w:tcW w:w="1984" w:type="dxa"/>
            <w:tcBorders>
              <w:top w:val="single" w:sz="6" w:space="0" w:color="auto"/>
              <w:left w:val="single" w:sz="6" w:space="0" w:color="auto"/>
              <w:bottom w:val="double" w:sz="6" w:space="0" w:color="auto"/>
              <w:right w:val="single" w:sz="6" w:space="0" w:color="auto"/>
            </w:tcBorders>
          </w:tcPr>
          <w:p w14:paraId="6483290D" w14:textId="77777777" w:rsidR="0072177F" w:rsidRPr="00A23FB4" w:rsidRDefault="0072177F" w:rsidP="0072177F">
            <w:pPr>
              <w:pStyle w:val="tekstost"/>
              <w:rPr>
                <w:rFonts w:ascii="Calibri" w:hAnsi="Calibri" w:cs="Calibri"/>
              </w:rPr>
            </w:pPr>
            <w:r w:rsidRPr="00A23FB4">
              <w:rPr>
                <w:rFonts w:ascii="Calibri" w:hAnsi="Calibri" w:cs="Calibri"/>
              </w:rPr>
              <w:t>Minimalna liczba badań na dziennej działce roboczej</w:t>
            </w:r>
          </w:p>
        </w:tc>
        <w:tc>
          <w:tcPr>
            <w:tcW w:w="2127" w:type="dxa"/>
            <w:tcBorders>
              <w:top w:val="single" w:sz="6" w:space="0" w:color="auto"/>
              <w:left w:val="single" w:sz="6" w:space="0" w:color="auto"/>
              <w:bottom w:val="double" w:sz="6" w:space="0" w:color="auto"/>
              <w:right w:val="single" w:sz="6" w:space="0" w:color="auto"/>
            </w:tcBorders>
          </w:tcPr>
          <w:p w14:paraId="16CAC68B" w14:textId="77777777" w:rsidR="0072177F" w:rsidRPr="00A23FB4" w:rsidRDefault="0072177F" w:rsidP="0072177F">
            <w:pPr>
              <w:pStyle w:val="tekstost"/>
              <w:rPr>
                <w:rFonts w:ascii="Calibri" w:hAnsi="Calibri" w:cs="Calibri"/>
              </w:rPr>
            </w:pPr>
            <w:r w:rsidRPr="00A23FB4">
              <w:rPr>
                <w:rFonts w:ascii="Calibri" w:hAnsi="Calibri" w:cs="Calibri"/>
              </w:rPr>
              <w:t>Maksymalna powierzchnia podbudowy przy-padająca na jedno badanie (m</w:t>
            </w:r>
            <w:r w:rsidRPr="00A23FB4">
              <w:rPr>
                <w:rFonts w:ascii="Calibri" w:hAnsi="Calibri" w:cs="Calibri"/>
                <w:vertAlign w:val="superscript"/>
              </w:rPr>
              <w:t>2</w:t>
            </w:r>
            <w:r w:rsidRPr="00A23FB4">
              <w:rPr>
                <w:rFonts w:ascii="Calibri" w:hAnsi="Calibri" w:cs="Calibri"/>
              </w:rPr>
              <w:t>)</w:t>
            </w:r>
          </w:p>
        </w:tc>
      </w:tr>
      <w:tr w:rsidR="0072177F" w:rsidRPr="00A23FB4" w14:paraId="37B1DAC3" w14:textId="77777777" w:rsidTr="0072177F">
        <w:tc>
          <w:tcPr>
            <w:tcW w:w="496" w:type="dxa"/>
            <w:tcBorders>
              <w:left w:val="single" w:sz="6" w:space="0" w:color="auto"/>
              <w:bottom w:val="single" w:sz="6" w:space="0" w:color="auto"/>
              <w:right w:val="single" w:sz="6" w:space="0" w:color="auto"/>
            </w:tcBorders>
          </w:tcPr>
          <w:p w14:paraId="47851852" w14:textId="77777777" w:rsidR="0072177F" w:rsidRPr="00A23FB4" w:rsidRDefault="0072177F" w:rsidP="0072177F">
            <w:pPr>
              <w:pStyle w:val="tekstost"/>
              <w:rPr>
                <w:rFonts w:ascii="Calibri" w:hAnsi="Calibri" w:cs="Calibri"/>
              </w:rPr>
            </w:pPr>
            <w:r w:rsidRPr="00A23FB4">
              <w:rPr>
                <w:rFonts w:ascii="Calibri" w:hAnsi="Calibri" w:cs="Calibri"/>
              </w:rPr>
              <w:t>1</w:t>
            </w:r>
          </w:p>
        </w:tc>
        <w:tc>
          <w:tcPr>
            <w:tcW w:w="4394" w:type="dxa"/>
            <w:tcBorders>
              <w:left w:val="single" w:sz="6" w:space="0" w:color="auto"/>
              <w:bottom w:val="single" w:sz="6" w:space="0" w:color="auto"/>
            </w:tcBorders>
          </w:tcPr>
          <w:p w14:paraId="5802EC43" w14:textId="77777777" w:rsidR="0072177F" w:rsidRPr="00A23FB4" w:rsidRDefault="0072177F" w:rsidP="0072177F">
            <w:pPr>
              <w:pStyle w:val="tekstost"/>
              <w:rPr>
                <w:rFonts w:ascii="Calibri" w:hAnsi="Calibri" w:cs="Calibri"/>
              </w:rPr>
            </w:pPr>
            <w:r w:rsidRPr="00A23FB4">
              <w:rPr>
                <w:rFonts w:ascii="Calibri" w:hAnsi="Calibri" w:cs="Calibri"/>
              </w:rPr>
              <w:t xml:space="preserve">Uziarnienie mieszanki </w:t>
            </w:r>
          </w:p>
        </w:tc>
        <w:tc>
          <w:tcPr>
            <w:tcW w:w="1984" w:type="dxa"/>
            <w:tcBorders>
              <w:left w:val="single" w:sz="6" w:space="0" w:color="auto"/>
            </w:tcBorders>
          </w:tcPr>
          <w:p w14:paraId="032EA474" w14:textId="77777777" w:rsidR="0072177F" w:rsidRPr="00A23FB4" w:rsidRDefault="0072177F" w:rsidP="0072177F">
            <w:pPr>
              <w:pStyle w:val="tekstost"/>
              <w:rPr>
                <w:rFonts w:ascii="Calibri" w:hAnsi="Calibri" w:cs="Calibri"/>
              </w:rPr>
            </w:pPr>
          </w:p>
        </w:tc>
        <w:tc>
          <w:tcPr>
            <w:tcW w:w="2127" w:type="dxa"/>
            <w:tcBorders>
              <w:left w:val="single" w:sz="6" w:space="0" w:color="auto"/>
              <w:right w:val="single" w:sz="6" w:space="0" w:color="auto"/>
            </w:tcBorders>
          </w:tcPr>
          <w:p w14:paraId="2F67AF03" w14:textId="77777777" w:rsidR="0072177F" w:rsidRPr="00A23FB4" w:rsidRDefault="0072177F" w:rsidP="0072177F">
            <w:pPr>
              <w:pStyle w:val="tekstost"/>
              <w:rPr>
                <w:rFonts w:ascii="Calibri" w:hAnsi="Calibri" w:cs="Calibri"/>
              </w:rPr>
            </w:pPr>
          </w:p>
        </w:tc>
      </w:tr>
      <w:tr w:rsidR="0072177F" w:rsidRPr="00A23FB4" w14:paraId="1E914A28" w14:textId="77777777" w:rsidTr="0072177F">
        <w:tc>
          <w:tcPr>
            <w:tcW w:w="496" w:type="dxa"/>
            <w:tcBorders>
              <w:top w:val="single" w:sz="6" w:space="0" w:color="auto"/>
              <w:left w:val="single" w:sz="6" w:space="0" w:color="auto"/>
              <w:bottom w:val="single" w:sz="6" w:space="0" w:color="auto"/>
              <w:right w:val="single" w:sz="6" w:space="0" w:color="auto"/>
            </w:tcBorders>
          </w:tcPr>
          <w:p w14:paraId="3D223F0F" w14:textId="77777777" w:rsidR="0072177F" w:rsidRPr="00A23FB4" w:rsidRDefault="0072177F" w:rsidP="0072177F">
            <w:pPr>
              <w:pStyle w:val="tekstost"/>
              <w:rPr>
                <w:rFonts w:ascii="Calibri" w:hAnsi="Calibri" w:cs="Calibri"/>
              </w:rPr>
            </w:pPr>
            <w:r w:rsidRPr="00A23FB4">
              <w:rPr>
                <w:rFonts w:ascii="Calibri" w:hAnsi="Calibri" w:cs="Calibri"/>
              </w:rPr>
              <w:t>2</w:t>
            </w:r>
          </w:p>
        </w:tc>
        <w:tc>
          <w:tcPr>
            <w:tcW w:w="4394" w:type="dxa"/>
            <w:tcBorders>
              <w:top w:val="single" w:sz="6" w:space="0" w:color="auto"/>
              <w:left w:val="single" w:sz="6" w:space="0" w:color="auto"/>
              <w:bottom w:val="single" w:sz="6" w:space="0" w:color="auto"/>
            </w:tcBorders>
          </w:tcPr>
          <w:p w14:paraId="65DA0295" w14:textId="77777777" w:rsidR="0072177F" w:rsidRPr="00A23FB4" w:rsidRDefault="0072177F" w:rsidP="0072177F">
            <w:pPr>
              <w:pStyle w:val="tekstost"/>
              <w:rPr>
                <w:rFonts w:ascii="Calibri" w:hAnsi="Calibri" w:cs="Calibri"/>
              </w:rPr>
            </w:pPr>
            <w:r w:rsidRPr="00A23FB4">
              <w:rPr>
                <w:rFonts w:ascii="Calibri" w:hAnsi="Calibri" w:cs="Calibri"/>
              </w:rPr>
              <w:t xml:space="preserve">Wilgotność mieszanki </w:t>
            </w:r>
          </w:p>
        </w:tc>
        <w:tc>
          <w:tcPr>
            <w:tcW w:w="1984" w:type="dxa"/>
            <w:tcBorders>
              <w:left w:val="single" w:sz="6" w:space="0" w:color="auto"/>
            </w:tcBorders>
          </w:tcPr>
          <w:p w14:paraId="77A1E9B0" w14:textId="77777777" w:rsidR="0072177F" w:rsidRPr="00A23FB4" w:rsidRDefault="0072177F" w:rsidP="0072177F">
            <w:pPr>
              <w:pStyle w:val="tekstost"/>
              <w:rPr>
                <w:rFonts w:ascii="Calibri" w:hAnsi="Calibri" w:cs="Calibri"/>
              </w:rPr>
            </w:pPr>
            <w:r w:rsidRPr="00A23FB4">
              <w:rPr>
                <w:rFonts w:ascii="Calibri" w:hAnsi="Calibri" w:cs="Calibri"/>
              </w:rPr>
              <w:t>2</w:t>
            </w:r>
          </w:p>
        </w:tc>
        <w:tc>
          <w:tcPr>
            <w:tcW w:w="2127" w:type="dxa"/>
            <w:tcBorders>
              <w:left w:val="single" w:sz="6" w:space="0" w:color="auto"/>
              <w:bottom w:val="single" w:sz="6" w:space="0" w:color="auto"/>
              <w:right w:val="single" w:sz="6" w:space="0" w:color="auto"/>
            </w:tcBorders>
          </w:tcPr>
          <w:p w14:paraId="198F03CB" w14:textId="77777777" w:rsidR="0072177F" w:rsidRPr="00A23FB4" w:rsidRDefault="0072177F" w:rsidP="0072177F">
            <w:pPr>
              <w:pStyle w:val="tekstost"/>
              <w:rPr>
                <w:rFonts w:ascii="Calibri" w:hAnsi="Calibri" w:cs="Calibri"/>
              </w:rPr>
            </w:pPr>
            <w:r w:rsidRPr="00A23FB4">
              <w:rPr>
                <w:rFonts w:ascii="Calibri" w:hAnsi="Calibri" w:cs="Calibri"/>
              </w:rPr>
              <w:t>600</w:t>
            </w:r>
          </w:p>
        </w:tc>
      </w:tr>
      <w:tr w:rsidR="0072177F" w:rsidRPr="00A23FB4" w14:paraId="5B9C88E3" w14:textId="77777777" w:rsidTr="0072177F">
        <w:tc>
          <w:tcPr>
            <w:tcW w:w="496" w:type="dxa"/>
            <w:tcBorders>
              <w:top w:val="single" w:sz="6" w:space="0" w:color="auto"/>
              <w:left w:val="single" w:sz="6" w:space="0" w:color="auto"/>
              <w:bottom w:val="single" w:sz="6" w:space="0" w:color="auto"/>
              <w:right w:val="single" w:sz="6" w:space="0" w:color="auto"/>
            </w:tcBorders>
          </w:tcPr>
          <w:p w14:paraId="46D697FA" w14:textId="77777777" w:rsidR="0072177F" w:rsidRPr="00A23FB4" w:rsidRDefault="0072177F" w:rsidP="0072177F">
            <w:pPr>
              <w:pStyle w:val="tekstost"/>
              <w:rPr>
                <w:rFonts w:ascii="Calibri" w:hAnsi="Calibri" w:cs="Calibri"/>
              </w:rPr>
            </w:pPr>
            <w:r w:rsidRPr="00A23FB4">
              <w:rPr>
                <w:rFonts w:ascii="Calibri" w:hAnsi="Calibri" w:cs="Calibri"/>
              </w:rPr>
              <w:t>3</w:t>
            </w:r>
          </w:p>
        </w:tc>
        <w:tc>
          <w:tcPr>
            <w:tcW w:w="4394" w:type="dxa"/>
            <w:tcBorders>
              <w:top w:val="single" w:sz="6" w:space="0" w:color="auto"/>
              <w:left w:val="single" w:sz="6" w:space="0" w:color="auto"/>
              <w:bottom w:val="single" w:sz="6" w:space="0" w:color="auto"/>
            </w:tcBorders>
          </w:tcPr>
          <w:p w14:paraId="31913B8C" w14:textId="77777777" w:rsidR="0072177F" w:rsidRPr="00A23FB4" w:rsidRDefault="0072177F" w:rsidP="0072177F">
            <w:pPr>
              <w:pStyle w:val="tekstost"/>
              <w:rPr>
                <w:rFonts w:ascii="Calibri" w:hAnsi="Calibri" w:cs="Calibri"/>
              </w:rPr>
            </w:pPr>
            <w:r w:rsidRPr="00A23FB4">
              <w:rPr>
                <w:rFonts w:ascii="Calibri" w:hAnsi="Calibri" w:cs="Calibri"/>
              </w:rPr>
              <w:t>Zagęszczenie warstwy</w:t>
            </w:r>
          </w:p>
        </w:tc>
        <w:tc>
          <w:tcPr>
            <w:tcW w:w="1984" w:type="dxa"/>
            <w:tcBorders>
              <w:top w:val="single" w:sz="6" w:space="0" w:color="auto"/>
              <w:left w:val="single" w:sz="6" w:space="0" w:color="auto"/>
              <w:bottom w:val="single" w:sz="6" w:space="0" w:color="auto"/>
            </w:tcBorders>
          </w:tcPr>
          <w:p w14:paraId="2BA628A7" w14:textId="77777777" w:rsidR="0072177F" w:rsidRPr="00A23FB4" w:rsidRDefault="0072177F" w:rsidP="0072177F">
            <w:pPr>
              <w:pStyle w:val="tekstost"/>
              <w:rPr>
                <w:rFonts w:ascii="Calibri" w:hAnsi="Calibri" w:cs="Calibri"/>
              </w:rPr>
            </w:pPr>
            <w:r w:rsidRPr="00A23FB4">
              <w:rPr>
                <w:rFonts w:ascii="Calibri" w:hAnsi="Calibri" w:cs="Calibri"/>
              </w:rPr>
              <w:t>10 próbek</w:t>
            </w:r>
          </w:p>
        </w:tc>
        <w:tc>
          <w:tcPr>
            <w:tcW w:w="2127" w:type="dxa"/>
            <w:tcBorders>
              <w:left w:val="nil"/>
              <w:bottom w:val="single" w:sz="6" w:space="0" w:color="auto"/>
              <w:right w:val="single" w:sz="6" w:space="0" w:color="auto"/>
            </w:tcBorders>
          </w:tcPr>
          <w:p w14:paraId="20724A63" w14:textId="77777777" w:rsidR="0072177F" w:rsidRPr="00A23FB4" w:rsidRDefault="0072177F" w:rsidP="0072177F">
            <w:pPr>
              <w:pStyle w:val="tekstost"/>
              <w:rPr>
                <w:rFonts w:ascii="Calibri" w:hAnsi="Calibri" w:cs="Calibri"/>
              </w:rPr>
            </w:pPr>
            <w:r w:rsidRPr="00A23FB4">
              <w:rPr>
                <w:rFonts w:ascii="Calibri" w:hAnsi="Calibri" w:cs="Calibri"/>
              </w:rPr>
              <w:t>na 10000 m</w:t>
            </w:r>
            <w:r w:rsidRPr="00A23FB4">
              <w:rPr>
                <w:rFonts w:ascii="Calibri" w:hAnsi="Calibri" w:cs="Calibri"/>
                <w:vertAlign w:val="superscript"/>
              </w:rPr>
              <w:t>2</w:t>
            </w:r>
          </w:p>
        </w:tc>
      </w:tr>
      <w:tr w:rsidR="0072177F" w:rsidRPr="00A23FB4" w14:paraId="45CD1CF8" w14:textId="77777777" w:rsidTr="0072177F">
        <w:tc>
          <w:tcPr>
            <w:tcW w:w="496" w:type="dxa"/>
            <w:tcBorders>
              <w:top w:val="single" w:sz="6" w:space="0" w:color="auto"/>
              <w:left w:val="single" w:sz="6" w:space="0" w:color="auto"/>
              <w:bottom w:val="single" w:sz="6" w:space="0" w:color="auto"/>
              <w:right w:val="single" w:sz="6" w:space="0" w:color="auto"/>
            </w:tcBorders>
          </w:tcPr>
          <w:p w14:paraId="1F3C4CE6" w14:textId="77777777" w:rsidR="0072177F" w:rsidRPr="00A23FB4" w:rsidRDefault="0072177F" w:rsidP="0072177F">
            <w:pPr>
              <w:pStyle w:val="tekstost"/>
              <w:rPr>
                <w:rFonts w:ascii="Calibri" w:hAnsi="Calibri" w:cs="Calibri"/>
              </w:rPr>
            </w:pPr>
            <w:r w:rsidRPr="00A23FB4">
              <w:rPr>
                <w:rFonts w:ascii="Calibri" w:hAnsi="Calibri" w:cs="Calibri"/>
              </w:rPr>
              <w:t>4</w:t>
            </w:r>
          </w:p>
        </w:tc>
        <w:tc>
          <w:tcPr>
            <w:tcW w:w="4394" w:type="dxa"/>
            <w:tcBorders>
              <w:top w:val="single" w:sz="6" w:space="0" w:color="auto"/>
              <w:left w:val="single" w:sz="6" w:space="0" w:color="auto"/>
              <w:bottom w:val="single" w:sz="6" w:space="0" w:color="auto"/>
              <w:right w:val="single" w:sz="6" w:space="0" w:color="auto"/>
            </w:tcBorders>
          </w:tcPr>
          <w:p w14:paraId="675EE4A0" w14:textId="77777777" w:rsidR="0072177F" w:rsidRPr="00A23FB4" w:rsidRDefault="0072177F" w:rsidP="0072177F">
            <w:pPr>
              <w:pStyle w:val="tekstost"/>
              <w:rPr>
                <w:rFonts w:ascii="Calibri" w:hAnsi="Calibri" w:cs="Calibri"/>
              </w:rPr>
            </w:pPr>
            <w:r w:rsidRPr="00A23FB4">
              <w:rPr>
                <w:rFonts w:ascii="Calibri" w:hAnsi="Calibri" w:cs="Calibri"/>
              </w:rPr>
              <w:t>Badanie właściwości kruszywa wg tab. 1, pkt 2.3.2</w:t>
            </w:r>
          </w:p>
        </w:tc>
        <w:tc>
          <w:tcPr>
            <w:tcW w:w="4111" w:type="dxa"/>
            <w:gridSpan w:val="2"/>
            <w:tcBorders>
              <w:top w:val="single" w:sz="6" w:space="0" w:color="auto"/>
              <w:left w:val="single" w:sz="6" w:space="0" w:color="auto"/>
              <w:bottom w:val="single" w:sz="6" w:space="0" w:color="auto"/>
              <w:right w:val="single" w:sz="6" w:space="0" w:color="auto"/>
            </w:tcBorders>
          </w:tcPr>
          <w:p w14:paraId="3E75BC7F" w14:textId="77777777" w:rsidR="0072177F" w:rsidRPr="00A23FB4" w:rsidRDefault="0072177F" w:rsidP="0072177F">
            <w:pPr>
              <w:pStyle w:val="tekstost"/>
              <w:rPr>
                <w:rFonts w:ascii="Calibri" w:hAnsi="Calibri" w:cs="Calibri"/>
              </w:rPr>
            </w:pPr>
            <w:r w:rsidRPr="00A23FB4">
              <w:rPr>
                <w:rFonts w:ascii="Calibri" w:hAnsi="Calibri" w:cs="Calibri"/>
              </w:rPr>
              <w:t>dla każdej partii kruszywa i przy każdej zmianie kruszywa</w:t>
            </w:r>
          </w:p>
        </w:tc>
      </w:tr>
    </w:tbl>
    <w:p w14:paraId="68DD1ED9" w14:textId="77777777" w:rsidR="0072177F" w:rsidRPr="00A23FB4" w:rsidRDefault="0072177F" w:rsidP="0072177F">
      <w:pPr>
        <w:pStyle w:val="tekstost"/>
        <w:rPr>
          <w:rFonts w:ascii="Calibri" w:hAnsi="Calibri" w:cs="Calibri"/>
        </w:rPr>
      </w:pPr>
    </w:p>
    <w:p w14:paraId="05F552FC" w14:textId="77777777" w:rsidR="0072177F" w:rsidRPr="00A23FB4" w:rsidRDefault="0072177F" w:rsidP="0072177F">
      <w:pPr>
        <w:pStyle w:val="tekstost"/>
        <w:rPr>
          <w:rFonts w:ascii="Calibri" w:hAnsi="Calibri" w:cs="Calibri"/>
          <w:b/>
          <w:bCs/>
          <w:iCs/>
        </w:rPr>
      </w:pPr>
      <w:r w:rsidRPr="00A23FB4">
        <w:rPr>
          <w:rFonts w:ascii="Calibri" w:hAnsi="Calibri" w:cs="Calibri"/>
          <w:b/>
          <w:bCs/>
          <w:iCs/>
        </w:rPr>
        <w:t>6.3.2. Uziarnienie mieszanki</w:t>
      </w:r>
    </w:p>
    <w:p w14:paraId="2F7D5375" w14:textId="77777777" w:rsidR="0072177F" w:rsidRPr="00A23FB4" w:rsidRDefault="0072177F" w:rsidP="0072177F">
      <w:pPr>
        <w:pStyle w:val="tekstost"/>
        <w:rPr>
          <w:rFonts w:ascii="Calibri" w:hAnsi="Calibri" w:cs="Calibri"/>
        </w:rPr>
      </w:pPr>
      <w:r w:rsidRPr="00A23FB4">
        <w:rPr>
          <w:rFonts w:ascii="Calibri" w:hAnsi="Calibri" w:cs="Calibri"/>
        </w:rPr>
        <w:t>Uziarnienie mieszanki powinno być zgodne z wymaganiami podanymi w pkt 2.3. Próbki należy pobierać w sposób losowy, z rozłożonej warstwy, przed jej zagęszczeniem. Wyniki badań powinny być na bieżąco przekazywane Inżynierowi/Kierownikowi projektu.</w:t>
      </w:r>
    </w:p>
    <w:p w14:paraId="75F77509" w14:textId="77777777" w:rsidR="0072177F" w:rsidRPr="00A23FB4" w:rsidRDefault="0072177F" w:rsidP="0072177F">
      <w:pPr>
        <w:pStyle w:val="tekstost"/>
        <w:rPr>
          <w:rFonts w:ascii="Calibri" w:hAnsi="Calibri" w:cs="Calibri"/>
          <w:b/>
          <w:bCs/>
          <w:iCs/>
        </w:rPr>
      </w:pPr>
      <w:r w:rsidRPr="00A23FB4">
        <w:rPr>
          <w:rFonts w:ascii="Calibri" w:hAnsi="Calibri" w:cs="Calibri"/>
          <w:b/>
          <w:bCs/>
          <w:iCs/>
        </w:rPr>
        <w:t xml:space="preserve">6.3.3. Wilgotność mieszanki </w:t>
      </w:r>
    </w:p>
    <w:p w14:paraId="3151C9B0" w14:textId="77777777" w:rsidR="0072177F" w:rsidRPr="00A23FB4" w:rsidRDefault="0072177F" w:rsidP="0072177F">
      <w:pPr>
        <w:pStyle w:val="tekstost"/>
        <w:rPr>
          <w:rFonts w:ascii="Calibri" w:hAnsi="Calibri" w:cs="Calibri"/>
        </w:rPr>
      </w:pPr>
      <w:r w:rsidRPr="00A23FB4">
        <w:rPr>
          <w:rFonts w:ascii="Calibri" w:hAnsi="Calibri" w:cs="Calibri"/>
        </w:rPr>
        <w:t>Wilgotność mieszanki powinna odpowiadać wilgotności optymalnej, określonej według próby Proctora, zgodnie z PN-B-04481 (metoda II), z tolerancją +10% -20%.</w:t>
      </w:r>
    </w:p>
    <w:p w14:paraId="29B342AD" w14:textId="77777777" w:rsidR="0072177F" w:rsidRPr="00A23FB4" w:rsidRDefault="0072177F" w:rsidP="0072177F">
      <w:pPr>
        <w:pStyle w:val="tekstost"/>
        <w:rPr>
          <w:rFonts w:ascii="Calibri" w:hAnsi="Calibri" w:cs="Calibri"/>
        </w:rPr>
      </w:pPr>
      <w:r w:rsidRPr="00A23FB4">
        <w:rPr>
          <w:rFonts w:ascii="Calibri" w:hAnsi="Calibri" w:cs="Calibri"/>
        </w:rPr>
        <w:t>Wilgotność należy określić według PN-B-06714-17:1977.</w:t>
      </w:r>
    </w:p>
    <w:p w14:paraId="5D11A33D" w14:textId="77777777" w:rsidR="0072177F" w:rsidRPr="00A23FB4" w:rsidRDefault="0072177F" w:rsidP="0072177F">
      <w:pPr>
        <w:pStyle w:val="tekstost"/>
        <w:rPr>
          <w:rFonts w:ascii="Calibri" w:hAnsi="Calibri" w:cs="Calibri"/>
          <w:b/>
          <w:bCs/>
          <w:iCs/>
        </w:rPr>
      </w:pPr>
      <w:r w:rsidRPr="00A23FB4">
        <w:rPr>
          <w:rFonts w:ascii="Calibri" w:hAnsi="Calibri" w:cs="Calibri"/>
          <w:b/>
          <w:bCs/>
          <w:iCs/>
        </w:rPr>
        <w:t>6.3.4. Zagęszczenie podbudowy</w:t>
      </w:r>
    </w:p>
    <w:p w14:paraId="08B04470" w14:textId="77777777" w:rsidR="0072177F" w:rsidRPr="00A23FB4" w:rsidRDefault="0072177F" w:rsidP="0072177F">
      <w:pPr>
        <w:pStyle w:val="tekstost"/>
        <w:rPr>
          <w:rFonts w:ascii="Calibri" w:hAnsi="Calibri" w:cs="Calibri"/>
        </w:rPr>
      </w:pPr>
      <w:r w:rsidRPr="00A23FB4">
        <w:rPr>
          <w:rFonts w:ascii="Calibri" w:hAnsi="Calibri" w:cs="Calibri"/>
        </w:rPr>
        <w:t>Zagęszczenie każdej warstwy powinno odbywać się aż do osiągnięcia wymaganego wskaźnika zagęszczenia.</w:t>
      </w:r>
    </w:p>
    <w:p w14:paraId="6D3E3807" w14:textId="77777777" w:rsidR="0072177F" w:rsidRPr="00A23FB4" w:rsidRDefault="0072177F" w:rsidP="0072177F">
      <w:pPr>
        <w:pStyle w:val="tekstost"/>
        <w:rPr>
          <w:rFonts w:ascii="Calibri" w:hAnsi="Calibri" w:cs="Calibri"/>
        </w:rPr>
      </w:pPr>
      <w:r w:rsidRPr="00A23FB4">
        <w:rPr>
          <w:rFonts w:ascii="Calibri" w:hAnsi="Calibri" w:cs="Calibri"/>
        </w:rPr>
        <w:t>Zagęszczenie podbudowy należy sprawdzać według BN-77/8931-12. W przypadku, gdy przeprowadzenie badania jest niemożliwe ze względu na gruboziarniste kruszywo, kontrolę zagęszczenia należy oprzeć na metodzie obciążeń płytowych, wg wytycznych GDDKiA - pisma DODP-22/4100/215/98 i nie rzadziej niż raz na 5000 m</w:t>
      </w:r>
      <w:r w:rsidRPr="00A23FB4">
        <w:rPr>
          <w:rFonts w:ascii="Calibri" w:hAnsi="Calibri" w:cs="Calibri"/>
          <w:vertAlign w:val="superscript"/>
        </w:rPr>
        <w:t>2</w:t>
      </w:r>
      <w:r w:rsidRPr="00A23FB4">
        <w:rPr>
          <w:rFonts w:ascii="Calibri" w:hAnsi="Calibri" w:cs="Calibri"/>
        </w:rPr>
        <w:t>, lub według zaleceń Inżyniera/Kierownika projektu.</w:t>
      </w:r>
    </w:p>
    <w:p w14:paraId="06F85F5B" w14:textId="77777777" w:rsidR="0072177F" w:rsidRPr="00A23FB4" w:rsidRDefault="0072177F" w:rsidP="0072177F">
      <w:pPr>
        <w:pStyle w:val="tekstost"/>
        <w:rPr>
          <w:rFonts w:ascii="Calibri" w:hAnsi="Calibri" w:cs="Calibri"/>
        </w:rPr>
      </w:pPr>
      <w:r w:rsidRPr="00A23FB4">
        <w:rPr>
          <w:rFonts w:ascii="Calibri" w:hAnsi="Calibri" w:cs="Calibri"/>
        </w:rPr>
        <w:t xml:space="preserve">Zagęszczenie podbudowy stabilizowanej mechanicznie należy uznać za prawidłowe, gdy stosunek wtórnego modułu </w:t>
      </w:r>
      <w:r w:rsidRPr="00A23FB4">
        <w:rPr>
          <w:rFonts w:ascii="Calibri" w:hAnsi="Calibri" w:cs="Calibri"/>
          <w:i/>
          <w:iCs/>
        </w:rPr>
        <w:t>E</w:t>
      </w:r>
      <w:r w:rsidRPr="00A23FB4">
        <w:rPr>
          <w:rFonts w:ascii="Calibri" w:hAnsi="Calibri" w:cs="Calibri"/>
          <w:vertAlign w:val="subscript"/>
        </w:rPr>
        <w:t>2</w:t>
      </w:r>
      <w:r w:rsidRPr="00A23FB4">
        <w:rPr>
          <w:rFonts w:ascii="Calibri" w:hAnsi="Calibri" w:cs="Calibri"/>
        </w:rPr>
        <w:t xml:space="preserve"> do pierwotnego modułu odkształcenia </w:t>
      </w:r>
      <w:r w:rsidRPr="00A23FB4">
        <w:rPr>
          <w:rFonts w:ascii="Calibri" w:hAnsi="Calibri" w:cs="Calibri"/>
          <w:i/>
          <w:iCs/>
        </w:rPr>
        <w:t>E</w:t>
      </w:r>
      <w:r w:rsidRPr="00A23FB4">
        <w:rPr>
          <w:rFonts w:ascii="Calibri" w:hAnsi="Calibri" w:cs="Calibri"/>
          <w:vertAlign w:val="subscript"/>
        </w:rPr>
        <w:t>1</w:t>
      </w:r>
      <w:r w:rsidRPr="00A23FB4">
        <w:rPr>
          <w:rFonts w:ascii="Calibri" w:hAnsi="Calibri" w:cs="Calibri"/>
        </w:rPr>
        <w:t xml:space="preserve"> jest nie większy od 2,2 dla każdej warstwy konstrukcyjnej podbudowy.</w:t>
      </w:r>
    </w:p>
    <w:p w14:paraId="016ECE73" w14:textId="77777777" w:rsidR="0072177F" w:rsidRPr="00A23FB4" w:rsidRDefault="0072177F" w:rsidP="0072177F">
      <w:pPr>
        <w:pStyle w:val="tekstost"/>
        <w:rPr>
          <w:rFonts w:ascii="Calibri" w:hAnsi="Calibri" w:cs="Calibri"/>
        </w:rPr>
      </w:pPr>
      <w:r w:rsidRPr="00A23FB4">
        <w:rPr>
          <w:rFonts w:ascii="Calibri" w:hAnsi="Calibri" w:cs="Calibri"/>
          <w:position w:val="-28"/>
        </w:rPr>
        <w:object w:dxaOrig="340" w:dyaOrig="680" w14:anchorId="30C0FDD1">
          <v:shape id="_x0000_i1032" type="#_x0000_t75" style="width:14.25pt;height:36.75pt" o:ole="">
            <v:imagedata r:id="rId21" o:title=""/>
          </v:shape>
          <o:OLEObject Type="Embed" ProgID="Equation.3" ShapeID="_x0000_i1032" DrawAspect="Content" ObjectID="_1819002587" r:id="rId22"/>
        </w:object>
      </w:r>
      <w:r w:rsidRPr="00A23FB4">
        <w:rPr>
          <w:rFonts w:ascii="Calibri" w:hAnsi="Calibri" w:cs="Calibri"/>
        </w:rPr>
        <w:t xml:space="preserve">  ≤   2,2</w:t>
      </w:r>
    </w:p>
    <w:p w14:paraId="12F2C196" w14:textId="77777777" w:rsidR="0072177F" w:rsidRPr="00A23FB4" w:rsidRDefault="0072177F" w:rsidP="0072177F">
      <w:pPr>
        <w:pStyle w:val="tekstost"/>
        <w:rPr>
          <w:rFonts w:ascii="Calibri" w:hAnsi="Calibri" w:cs="Calibri"/>
          <w:b/>
          <w:bCs/>
          <w:iCs/>
        </w:rPr>
      </w:pPr>
      <w:r w:rsidRPr="00A23FB4">
        <w:rPr>
          <w:rFonts w:ascii="Calibri" w:hAnsi="Calibri" w:cs="Calibri"/>
          <w:b/>
          <w:bCs/>
          <w:iCs/>
        </w:rPr>
        <w:t>6.3.5. Właściwości kruszywa</w:t>
      </w:r>
    </w:p>
    <w:p w14:paraId="05F946A1" w14:textId="77777777" w:rsidR="0072177F" w:rsidRPr="00A23FB4" w:rsidRDefault="0072177F" w:rsidP="0072177F">
      <w:pPr>
        <w:pStyle w:val="tekstost"/>
        <w:rPr>
          <w:rFonts w:ascii="Calibri" w:hAnsi="Calibri" w:cs="Calibri"/>
        </w:rPr>
      </w:pPr>
      <w:r w:rsidRPr="00A23FB4">
        <w:rPr>
          <w:rFonts w:ascii="Calibri" w:hAnsi="Calibri" w:cs="Calibri"/>
        </w:rPr>
        <w:t>Badania kruszywa powinny obejmować ocenę wszystkich właściwości określonych w pkt 2.3.2.</w:t>
      </w:r>
    </w:p>
    <w:p w14:paraId="471730C5" w14:textId="77777777" w:rsidR="0072177F" w:rsidRPr="00A23FB4" w:rsidRDefault="0072177F" w:rsidP="0072177F">
      <w:pPr>
        <w:pStyle w:val="tekstost"/>
        <w:rPr>
          <w:rFonts w:ascii="Calibri" w:hAnsi="Calibri" w:cs="Calibri"/>
        </w:rPr>
      </w:pPr>
      <w:r w:rsidRPr="00A23FB4">
        <w:rPr>
          <w:rFonts w:ascii="Calibri" w:hAnsi="Calibri" w:cs="Calibri"/>
        </w:rPr>
        <w:t>Próbki do badań pełnych powinny być pobierane przez Wykonawcę w sposób losowy w obecności Inżyniera/Kierownika projektu.</w:t>
      </w:r>
    </w:p>
    <w:p w14:paraId="5FB6C015" w14:textId="77777777" w:rsidR="0072177F" w:rsidRPr="00A23FB4" w:rsidRDefault="0072177F" w:rsidP="0072177F">
      <w:pPr>
        <w:pStyle w:val="Nagwek4"/>
        <w:rPr>
          <w:rFonts w:ascii="Calibri" w:hAnsi="Calibri" w:cs="Calibri"/>
        </w:rPr>
      </w:pPr>
      <w:r w:rsidRPr="00A23FB4">
        <w:rPr>
          <w:rFonts w:ascii="Calibri" w:hAnsi="Calibri" w:cs="Calibri"/>
        </w:rPr>
        <w:t xml:space="preserve">6.4. Wymagania dotyczące cech geometrycznych podbudowy </w:t>
      </w:r>
    </w:p>
    <w:p w14:paraId="00F3C4F1" w14:textId="77777777" w:rsidR="0072177F" w:rsidRPr="00A23FB4" w:rsidRDefault="0072177F" w:rsidP="0072177F">
      <w:pPr>
        <w:rPr>
          <w:rFonts w:ascii="Calibri" w:hAnsi="Calibri" w:cs="Calibri"/>
          <w:b/>
          <w:bCs/>
          <w:iCs/>
        </w:rPr>
      </w:pPr>
      <w:r w:rsidRPr="00A23FB4">
        <w:rPr>
          <w:rFonts w:ascii="Calibri" w:hAnsi="Calibri" w:cs="Calibri"/>
          <w:b/>
          <w:bCs/>
          <w:iCs/>
        </w:rPr>
        <w:t>6.4.1. Częstotliwość oraz zakres pomiarów</w:t>
      </w:r>
    </w:p>
    <w:p w14:paraId="22D706D4" w14:textId="70F16499" w:rsidR="0072177F" w:rsidRPr="00A23FB4" w:rsidRDefault="0072177F" w:rsidP="0072177F">
      <w:pPr>
        <w:rPr>
          <w:rFonts w:ascii="Calibri" w:hAnsi="Calibri" w:cs="Calibri"/>
        </w:rPr>
      </w:pPr>
      <w:r w:rsidRPr="00A23FB4">
        <w:rPr>
          <w:rFonts w:ascii="Calibri" w:hAnsi="Calibri" w:cs="Calibri"/>
        </w:rPr>
        <w:t xml:space="preserve"> Częstotliwość oraz zakres pomiarów dotyczących cech geometrycznych podbudowy  podano w  tablicy </w:t>
      </w:r>
      <w:r w:rsidR="00372507">
        <w:rPr>
          <w:rFonts w:ascii="Calibri" w:hAnsi="Calibri" w:cs="Calibri"/>
        </w:rPr>
        <w:t>4</w:t>
      </w:r>
      <w:r w:rsidRPr="00A23FB4">
        <w:rPr>
          <w:rFonts w:ascii="Calibri" w:hAnsi="Calibri" w:cs="Calibri"/>
        </w:rPr>
        <w:t>.</w:t>
      </w:r>
    </w:p>
    <w:p w14:paraId="2E2DAC1D" w14:textId="5885DBAD" w:rsidR="0072177F" w:rsidRPr="00A23FB4" w:rsidRDefault="0072177F" w:rsidP="0072177F">
      <w:pPr>
        <w:rPr>
          <w:rFonts w:ascii="Calibri" w:hAnsi="Calibri" w:cs="Calibri"/>
        </w:rPr>
      </w:pPr>
      <w:r w:rsidRPr="00A23FB4">
        <w:rPr>
          <w:rFonts w:ascii="Calibri" w:hAnsi="Calibri" w:cs="Calibri"/>
        </w:rPr>
        <w:t xml:space="preserve">Tablica </w:t>
      </w:r>
      <w:r w:rsidR="00372507">
        <w:rPr>
          <w:rFonts w:ascii="Calibri" w:hAnsi="Calibri" w:cs="Calibri"/>
        </w:rPr>
        <w:t>4</w:t>
      </w:r>
      <w:r w:rsidRPr="00A23FB4">
        <w:rPr>
          <w:rFonts w:ascii="Calibri" w:hAnsi="Calibri" w:cs="Calibri"/>
        </w:rPr>
        <w:t>. Częstotliwość oraz zakres pomiarów wykonanej podbudowy z kruszywa stabilizowanego mechanicznie</w:t>
      </w:r>
    </w:p>
    <w:tbl>
      <w:tblPr>
        <w:tblW w:w="0" w:type="auto"/>
        <w:tblInd w:w="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37"/>
        <w:gridCol w:w="3467"/>
        <w:gridCol w:w="5605"/>
      </w:tblGrid>
      <w:tr w:rsidR="0072177F" w:rsidRPr="00A23FB4" w14:paraId="3BB71D67" w14:textId="77777777" w:rsidTr="0072177F">
        <w:tc>
          <w:tcPr>
            <w:tcW w:w="637" w:type="dxa"/>
            <w:tcBorders>
              <w:bottom w:val="double" w:sz="6" w:space="0" w:color="auto"/>
            </w:tcBorders>
          </w:tcPr>
          <w:p w14:paraId="2930A340" w14:textId="77777777" w:rsidR="0072177F" w:rsidRPr="00A23FB4" w:rsidRDefault="0072177F" w:rsidP="0072177F">
            <w:pPr>
              <w:rPr>
                <w:rFonts w:ascii="Calibri" w:hAnsi="Calibri" w:cs="Calibri"/>
                <w:b/>
                <w:bCs/>
              </w:rPr>
            </w:pPr>
            <w:r w:rsidRPr="00A23FB4">
              <w:rPr>
                <w:rFonts w:ascii="Calibri" w:hAnsi="Calibri" w:cs="Calibri"/>
              </w:rPr>
              <w:t>Lp.</w:t>
            </w:r>
          </w:p>
        </w:tc>
        <w:tc>
          <w:tcPr>
            <w:tcW w:w="3467" w:type="dxa"/>
            <w:tcBorders>
              <w:bottom w:val="double" w:sz="6" w:space="0" w:color="auto"/>
            </w:tcBorders>
          </w:tcPr>
          <w:p w14:paraId="49F38DC0" w14:textId="77777777" w:rsidR="0072177F" w:rsidRPr="00A23FB4" w:rsidRDefault="0072177F" w:rsidP="0072177F">
            <w:pPr>
              <w:rPr>
                <w:rFonts w:ascii="Calibri" w:hAnsi="Calibri" w:cs="Calibri"/>
                <w:b/>
                <w:bCs/>
              </w:rPr>
            </w:pPr>
            <w:r w:rsidRPr="00A23FB4">
              <w:rPr>
                <w:rFonts w:ascii="Calibri" w:hAnsi="Calibri" w:cs="Calibri"/>
              </w:rPr>
              <w:t>Wyszczególnienie badań i pomiarów</w:t>
            </w:r>
          </w:p>
        </w:tc>
        <w:tc>
          <w:tcPr>
            <w:tcW w:w="5605" w:type="dxa"/>
            <w:tcBorders>
              <w:bottom w:val="double" w:sz="6" w:space="0" w:color="auto"/>
            </w:tcBorders>
          </w:tcPr>
          <w:p w14:paraId="1F91E97D" w14:textId="77777777" w:rsidR="0072177F" w:rsidRPr="00A23FB4" w:rsidRDefault="0072177F" w:rsidP="0072177F">
            <w:pPr>
              <w:rPr>
                <w:rFonts w:ascii="Calibri" w:hAnsi="Calibri" w:cs="Calibri"/>
                <w:b/>
                <w:bCs/>
              </w:rPr>
            </w:pPr>
            <w:r w:rsidRPr="00A23FB4">
              <w:rPr>
                <w:rFonts w:ascii="Calibri" w:hAnsi="Calibri" w:cs="Calibri"/>
              </w:rPr>
              <w:t>Minimalna częstotliwość pomiarów</w:t>
            </w:r>
          </w:p>
        </w:tc>
      </w:tr>
      <w:tr w:rsidR="0072177F" w:rsidRPr="00A23FB4" w14:paraId="0976B7E3" w14:textId="77777777" w:rsidTr="0072177F">
        <w:tc>
          <w:tcPr>
            <w:tcW w:w="637" w:type="dxa"/>
            <w:tcBorders>
              <w:top w:val="nil"/>
            </w:tcBorders>
          </w:tcPr>
          <w:p w14:paraId="7AEFCCB6" w14:textId="77777777" w:rsidR="0072177F" w:rsidRPr="00A23FB4" w:rsidRDefault="0072177F" w:rsidP="0072177F">
            <w:pPr>
              <w:rPr>
                <w:rFonts w:ascii="Calibri" w:hAnsi="Calibri" w:cs="Calibri"/>
                <w:b/>
                <w:bCs/>
              </w:rPr>
            </w:pPr>
            <w:r w:rsidRPr="00A23FB4">
              <w:rPr>
                <w:rFonts w:ascii="Calibri" w:hAnsi="Calibri" w:cs="Calibri"/>
              </w:rPr>
              <w:t>1</w:t>
            </w:r>
          </w:p>
        </w:tc>
        <w:tc>
          <w:tcPr>
            <w:tcW w:w="3467" w:type="dxa"/>
            <w:tcBorders>
              <w:top w:val="nil"/>
            </w:tcBorders>
          </w:tcPr>
          <w:p w14:paraId="5C8D4938" w14:textId="77777777" w:rsidR="0072177F" w:rsidRPr="00A23FB4" w:rsidRDefault="0072177F" w:rsidP="0072177F">
            <w:pPr>
              <w:rPr>
                <w:rFonts w:ascii="Calibri" w:hAnsi="Calibri" w:cs="Calibri"/>
                <w:b/>
                <w:bCs/>
              </w:rPr>
            </w:pPr>
            <w:r w:rsidRPr="00A23FB4">
              <w:rPr>
                <w:rFonts w:ascii="Calibri" w:hAnsi="Calibri" w:cs="Calibri"/>
              </w:rPr>
              <w:t xml:space="preserve">Szerokość podbudowy </w:t>
            </w:r>
          </w:p>
        </w:tc>
        <w:tc>
          <w:tcPr>
            <w:tcW w:w="5605" w:type="dxa"/>
            <w:tcBorders>
              <w:top w:val="nil"/>
            </w:tcBorders>
          </w:tcPr>
          <w:p w14:paraId="333EC0C9" w14:textId="77777777" w:rsidR="0072177F" w:rsidRPr="00A23FB4" w:rsidRDefault="0072177F" w:rsidP="0072177F">
            <w:pPr>
              <w:rPr>
                <w:rFonts w:ascii="Calibri" w:hAnsi="Calibri" w:cs="Calibri"/>
                <w:b/>
                <w:bCs/>
              </w:rPr>
            </w:pPr>
            <w:r w:rsidRPr="00A23FB4">
              <w:rPr>
                <w:rFonts w:ascii="Calibri" w:hAnsi="Calibri" w:cs="Calibri"/>
              </w:rPr>
              <w:t>10 razy na 1 km</w:t>
            </w:r>
          </w:p>
        </w:tc>
      </w:tr>
      <w:tr w:rsidR="0072177F" w:rsidRPr="00A23FB4" w14:paraId="71F6CE82" w14:textId="77777777" w:rsidTr="0072177F">
        <w:tc>
          <w:tcPr>
            <w:tcW w:w="637" w:type="dxa"/>
          </w:tcPr>
          <w:p w14:paraId="2A794347" w14:textId="77777777" w:rsidR="0072177F" w:rsidRPr="00A23FB4" w:rsidRDefault="0072177F" w:rsidP="0072177F">
            <w:pPr>
              <w:rPr>
                <w:rFonts w:ascii="Calibri" w:hAnsi="Calibri" w:cs="Calibri"/>
                <w:b/>
                <w:bCs/>
              </w:rPr>
            </w:pPr>
            <w:r w:rsidRPr="00A23FB4">
              <w:rPr>
                <w:rFonts w:ascii="Calibri" w:hAnsi="Calibri" w:cs="Calibri"/>
              </w:rPr>
              <w:t>2</w:t>
            </w:r>
          </w:p>
        </w:tc>
        <w:tc>
          <w:tcPr>
            <w:tcW w:w="3467" w:type="dxa"/>
          </w:tcPr>
          <w:p w14:paraId="0916BD09" w14:textId="77777777" w:rsidR="0072177F" w:rsidRPr="00A23FB4" w:rsidRDefault="0072177F" w:rsidP="0072177F">
            <w:pPr>
              <w:rPr>
                <w:rFonts w:ascii="Calibri" w:hAnsi="Calibri" w:cs="Calibri"/>
                <w:b/>
                <w:bCs/>
              </w:rPr>
            </w:pPr>
            <w:r w:rsidRPr="00A23FB4">
              <w:rPr>
                <w:rFonts w:ascii="Calibri" w:hAnsi="Calibri" w:cs="Calibri"/>
              </w:rPr>
              <w:t>Równość podłużna</w:t>
            </w:r>
          </w:p>
        </w:tc>
        <w:tc>
          <w:tcPr>
            <w:tcW w:w="5605" w:type="dxa"/>
          </w:tcPr>
          <w:p w14:paraId="485EA543" w14:textId="77777777" w:rsidR="0072177F" w:rsidRPr="00A23FB4" w:rsidRDefault="0072177F" w:rsidP="0072177F">
            <w:pPr>
              <w:rPr>
                <w:rFonts w:ascii="Calibri" w:hAnsi="Calibri" w:cs="Calibri"/>
                <w:b/>
                <w:bCs/>
              </w:rPr>
            </w:pPr>
            <w:r w:rsidRPr="00A23FB4">
              <w:rPr>
                <w:rFonts w:ascii="Calibri" w:hAnsi="Calibri" w:cs="Calibri"/>
              </w:rPr>
              <w:t>w sposób ciągły planografem albo co 20 m łatą na każdym pasie ruchu</w:t>
            </w:r>
          </w:p>
        </w:tc>
      </w:tr>
      <w:tr w:rsidR="0072177F" w:rsidRPr="00A23FB4" w14:paraId="27B9654E" w14:textId="77777777" w:rsidTr="0072177F">
        <w:tc>
          <w:tcPr>
            <w:tcW w:w="637" w:type="dxa"/>
          </w:tcPr>
          <w:p w14:paraId="245D42E5" w14:textId="77777777" w:rsidR="0072177F" w:rsidRPr="00A23FB4" w:rsidRDefault="0072177F" w:rsidP="0072177F">
            <w:pPr>
              <w:rPr>
                <w:rFonts w:ascii="Calibri" w:hAnsi="Calibri" w:cs="Calibri"/>
                <w:b/>
                <w:bCs/>
              </w:rPr>
            </w:pPr>
            <w:r w:rsidRPr="00A23FB4">
              <w:rPr>
                <w:rFonts w:ascii="Calibri" w:hAnsi="Calibri" w:cs="Calibri"/>
              </w:rPr>
              <w:t>3</w:t>
            </w:r>
          </w:p>
        </w:tc>
        <w:tc>
          <w:tcPr>
            <w:tcW w:w="3467" w:type="dxa"/>
          </w:tcPr>
          <w:p w14:paraId="28DC13CC" w14:textId="77777777" w:rsidR="0072177F" w:rsidRPr="00A23FB4" w:rsidRDefault="0072177F" w:rsidP="0072177F">
            <w:pPr>
              <w:rPr>
                <w:rFonts w:ascii="Calibri" w:hAnsi="Calibri" w:cs="Calibri"/>
                <w:b/>
                <w:bCs/>
              </w:rPr>
            </w:pPr>
            <w:r w:rsidRPr="00A23FB4">
              <w:rPr>
                <w:rFonts w:ascii="Calibri" w:hAnsi="Calibri" w:cs="Calibri"/>
              </w:rPr>
              <w:t>Równość poprzeczna</w:t>
            </w:r>
          </w:p>
        </w:tc>
        <w:tc>
          <w:tcPr>
            <w:tcW w:w="5605" w:type="dxa"/>
          </w:tcPr>
          <w:p w14:paraId="1DF05353" w14:textId="77777777" w:rsidR="0072177F" w:rsidRPr="00A23FB4" w:rsidRDefault="0072177F" w:rsidP="0072177F">
            <w:pPr>
              <w:rPr>
                <w:rFonts w:ascii="Calibri" w:hAnsi="Calibri" w:cs="Calibri"/>
                <w:b/>
                <w:bCs/>
              </w:rPr>
            </w:pPr>
            <w:r w:rsidRPr="00A23FB4">
              <w:rPr>
                <w:rFonts w:ascii="Calibri" w:hAnsi="Calibri" w:cs="Calibri"/>
              </w:rPr>
              <w:t>10 razy na 1 km</w:t>
            </w:r>
          </w:p>
        </w:tc>
      </w:tr>
      <w:tr w:rsidR="0072177F" w:rsidRPr="00A23FB4" w14:paraId="0FEC8281" w14:textId="77777777" w:rsidTr="0072177F">
        <w:tc>
          <w:tcPr>
            <w:tcW w:w="637" w:type="dxa"/>
          </w:tcPr>
          <w:p w14:paraId="0E702620" w14:textId="77777777" w:rsidR="0072177F" w:rsidRPr="00A23FB4" w:rsidRDefault="0072177F" w:rsidP="0072177F">
            <w:pPr>
              <w:rPr>
                <w:rFonts w:ascii="Calibri" w:hAnsi="Calibri" w:cs="Calibri"/>
                <w:b/>
                <w:bCs/>
              </w:rPr>
            </w:pPr>
            <w:r w:rsidRPr="00A23FB4">
              <w:rPr>
                <w:rFonts w:ascii="Calibri" w:hAnsi="Calibri" w:cs="Calibri"/>
              </w:rPr>
              <w:t>4</w:t>
            </w:r>
          </w:p>
        </w:tc>
        <w:tc>
          <w:tcPr>
            <w:tcW w:w="3467" w:type="dxa"/>
          </w:tcPr>
          <w:p w14:paraId="7F73435B" w14:textId="77777777" w:rsidR="0072177F" w:rsidRPr="00A23FB4" w:rsidRDefault="0072177F" w:rsidP="0072177F">
            <w:pPr>
              <w:rPr>
                <w:rFonts w:ascii="Calibri" w:hAnsi="Calibri" w:cs="Calibri"/>
                <w:b/>
                <w:bCs/>
              </w:rPr>
            </w:pPr>
            <w:r w:rsidRPr="00A23FB4">
              <w:rPr>
                <w:rFonts w:ascii="Calibri" w:hAnsi="Calibri" w:cs="Calibri"/>
              </w:rPr>
              <w:t>Spadki poprzeczne*</w:t>
            </w:r>
            <w:r w:rsidRPr="00A23FB4">
              <w:rPr>
                <w:rFonts w:ascii="Calibri" w:hAnsi="Calibri" w:cs="Calibri"/>
                <w:vertAlign w:val="superscript"/>
              </w:rPr>
              <w:t>)</w:t>
            </w:r>
          </w:p>
        </w:tc>
        <w:tc>
          <w:tcPr>
            <w:tcW w:w="5605" w:type="dxa"/>
            <w:tcBorders>
              <w:bottom w:val="nil"/>
            </w:tcBorders>
          </w:tcPr>
          <w:p w14:paraId="03EC00EF" w14:textId="77777777" w:rsidR="0072177F" w:rsidRPr="00A23FB4" w:rsidRDefault="0072177F" w:rsidP="0072177F">
            <w:pPr>
              <w:rPr>
                <w:rFonts w:ascii="Calibri" w:hAnsi="Calibri" w:cs="Calibri"/>
                <w:b/>
                <w:bCs/>
              </w:rPr>
            </w:pPr>
            <w:r w:rsidRPr="00A23FB4">
              <w:rPr>
                <w:rFonts w:ascii="Calibri" w:hAnsi="Calibri" w:cs="Calibri"/>
              </w:rPr>
              <w:t>10 razy na 1 km</w:t>
            </w:r>
          </w:p>
        </w:tc>
      </w:tr>
      <w:tr w:rsidR="0072177F" w:rsidRPr="00A23FB4" w14:paraId="12B5FB94" w14:textId="77777777" w:rsidTr="0072177F">
        <w:tc>
          <w:tcPr>
            <w:tcW w:w="637" w:type="dxa"/>
          </w:tcPr>
          <w:p w14:paraId="7F5752BF" w14:textId="77777777" w:rsidR="0072177F" w:rsidRPr="00A23FB4" w:rsidRDefault="0072177F" w:rsidP="0072177F">
            <w:pPr>
              <w:rPr>
                <w:rFonts w:ascii="Calibri" w:hAnsi="Calibri" w:cs="Calibri"/>
                <w:b/>
                <w:bCs/>
              </w:rPr>
            </w:pPr>
            <w:r w:rsidRPr="00A23FB4">
              <w:rPr>
                <w:rFonts w:ascii="Calibri" w:hAnsi="Calibri" w:cs="Calibri"/>
              </w:rPr>
              <w:t>5</w:t>
            </w:r>
          </w:p>
        </w:tc>
        <w:tc>
          <w:tcPr>
            <w:tcW w:w="3467" w:type="dxa"/>
          </w:tcPr>
          <w:p w14:paraId="540E58F4" w14:textId="77777777" w:rsidR="0072177F" w:rsidRPr="00A23FB4" w:rsidRDefault="0072177F" w:rsidP="0072177F">
            <w:pPr>
              <w:rPr>
                <w:rFonts w:ascii="Calibri" w:hAnsi="Calibri" w:cs="Calibri"/>
                <w:b/>
                <w:bCs/>
              </w:rPr>
            </w:pPr>
            <w:r w:rsidRPr="00A23FB4">
              <w:rPr>
                <w:rFonts w:ascii="Calibri" w:hAnsi="Calibri" w:cs="Calibri"/>
              </w:rPr>
              <w:t>Rzędne wysokościowe</w:t>
            </w:r>
          </w:p>
        </w:tc>
        <w:tc>
          <w:tcPr>
            <w:tcW w:w="5605" w:type="dxa"/>
          </w:tcPr>
          <w:p w14:paraId="45777450" w14:textId="77777777" w:rsidR="0072177F" w:rsidRPr="00A23FB4" w:rsidRDefault="0072177F" w:rsidP="0072177F">
            <w:pPr>
              <w:rPr>
                <w:rFonts w:ascii="Calibri" w:hAnsi="Calibri" w:cs="Calibri"/>
              </w:rPr>
            </w:pPr>
            <w:r w:rsidRPr="00A23FB4">
              <w:rPr>
                <w:rFonts w:ascii="Calibri" w:hAnsi="Calibri" w:cs="Calibri"/>
              </w:rPr>
              <w:t>co 100 m</w:t>
            </w:r>
          </w:p>
        </w:tc>
      </w:tr>
      <w:tr w:rsidR="0072177F" w:rsidRPr="00A23FB4" w14:paraId="52E0A8AF" w14:textId="77777777" w:rsidTr="0072177F">
        <w:tc>
          <w:tcPr>
            <w:tcW w:w="637" w:type="dxa"/>
          </w:tcPr>
          <w:p w14:paraId="6A81206C" w14:textId="77777777" w:rsidR="0072177F" w:rsidRPr="00A23FB4" w:rsidRDefault="0072177F" w:rsidP="0072177F">
            <w:pPr>
              <w:rPr>
                <w:rFonts w:ascii="Calibri" w:hAnsi="Calibri" w:cs="Calibri"/>
                <w:b/>
                <w:bCs/>
              </w:rPr>
            </w:pPr>
            <w:r w:rsidRPr="00A23FB4">
              <w:rPr>
                <w:rFonts w:ascii="Calibri" w:hAnsi="Calibri" w:cs="Calibri"/>
              </w:rPr>
              <w:t>6</w:t>
            </w:r>
          </w:p>
        </w:tc>
        <w:tc>
          <w:tcPr>
            <w:tcW w:w="3467" w:type="dxa"/>
          </w:tcPr>
          <w:p w14:paraId="76C5D042" w14:textId="77777777" w:rsidR="0072177F" w:rsidRPr="00A23FB4" w:rsidRDefault="0072177F" w:rsidP="0072177F">
            <w:pPr>
              <w:rPr>
                <w:rFonts w:ascii="Calibri" w:hAnsi="Calibri" w:cs="Calibri"/>
                <w:b/>
                <w:bCs/>
              </w:rPr>
            </w:pPr>
            <w:r w:rsidRPr="00A23FB4">
              <w:rPr>
                <w:rFonts w:ascii="Calibri" w:hAnsi="Calibri" w:cs="Calibri"/>
              </w:rPr>
              <w:t>Ukształtowanie osi w planie*</w:t>
            </w:r>
            <w:r w:rsidRPr="00A23FB4">
              <w:rPr>
                <w:rFonts w:ascii="Calibri" w:hAnsi="Calibri" w:cs="Calibri"/>
                <w:vertAlign w:val="superscript"/>
              </w:rPr>
              <w:t>)</w:t>
            </w:r>
          </w:p>
        </w:tc>
        <w:tc>
          <w:tcPr>
            <w:tcW w:w="5605" w:type="dxa"/>
            <w:tcBorders>
              <w:top w:val="nil"/>
            </w:tcBorders>
          </w:tcPr>
          <w:p w14:paraId="1DD36BF0" w14:textId="77777777" w:rsidR="0072177F" w:rsidRPr="00A23FB4" w:rsidRDefault="0072177F" w:rsidP="0072177F">
            <w:pPr>
              <w:rPr>
                <w:rFonts w:ascii="Calibri" w:hAnsi="Calibri" w:cs="Calibri"/>
                <w:b/>
                <w:bCs/>
              </w:rPr>
            </w:pPr>
            <w:r w:rsidRPr="00A23FB4">
              <w:rPr>
                <w:rFonts w:ascii="Calibri" w:hAnsi="Calibri" w:cs="Calibri"/>
              </w:rPr>
              <w:t>co 100 m</w:t>
            </w:r>
          </w:p>
        </w:tc>
      </w:tr>
      <w:tr w:rsidR="0072177F" w:rsidRPr="00A23FB4" w14:paraId="63309484" w14:textId="77777777" w:rsidTr="0072177F">
        <w:tc>
          <w:tcPr>
            <w:tcW w:w="637" w:type="dxa"/>
          </w:tcPr>
          <w:p w14:paraId="0FB41AE4" w14:textId="77777777" w:rsidR="0072177F" w:rsidRPr="00A23FB4" w:rsidRDefault="0072177F" w:rsidP="0072177F">
            <w:pPr>
              <w:rPr>
                <w:rFonts w:ascii="Calibri" w:hAnsi="Calibri" w:cs="Calibri"/>
                <w:b/>
                <w:bCs/>
              </w:rPr>
            </w:pPr>
            <w:r w:rsidRPr="00A23FB4">
              <w:rPr>
                <w:rFonts w:ascii="Calibri" w:hAnsi="Calibri" w:cs="Calibri"/>
              </w:rPr>
              <w:t>7</w:t>
            </w:r>
          </w:p>
        </w:tc>
        <w:tc>
          <w:tcPr>
            <w:tcW w:w="3467" w:type="dxa"/>
          </w:tcPr>
          <w:p w14:paraId="0B786417" w14:textId="77777777" w:rsidR="0072177F" w:rsidRPr="00A23FB4" w:rsidRDefault="0072177F" w:rsidP="0072177F">
            <w:pPr>
              <w:rPr>
                <w:rFonts w:ascii="Calibri" w:hAnsi="Calibri" w:cs="Calibri"/>
                <w:b/>
                <w:bCs/>
              </w:rPr>
            </w:pPr>
            <w:r w:rsidRPr="00A23FB4">
              <w:rPr>
                <w:rFonts w:ascii="Calibri" w:hAnsi="Calibri" w:cs="Calibri"/>
              </w:rPr>
              <w:t xml:space="preserve">Grubość podbudowy </w:t>
            </w:r>
          </w:p>
        </w:tc>
        <w:tc>
          <w:tcPr>
            <w:tcW w:w="5605" w:type="dxa"/>
          </w:tcPr>
          <w:p w14:paraId="24A46FDE" w14:textId="77777777" w:rsidR="0072177F" w:rsidRPr="00A23FB4" w:rsidRDefault="0072177F" w:rsidP="0072177F">
            <w:pPr>
              <w:rPr>
                <w:rFonts w:ascii="Calibri" w:hAnsi="Calibri" w:cs="Calibri"/>
              </w:rPr>
            </w:pPr>
            <w:r w:rsidRPr="00A23FB4">
              <w:rPr>
                <w:rFonts w:ascii="Calibri" w:hAnsi="Calibri" w:cs="Calibri"/>
              </w:rPr>
              <w:t>Podczas budowy:</w:t>
            </w:r>
          </w:p>
          <w:p w14:paraId="53646340" w14:textId="77777777" w:rsidR="0072177F" w:rsidRPr="00A23FB4" w:rsidRDefault="0072177F" w:rsidP="0072177F">
            <w:pPr>
              <w:rPr>
                <w:rFonts w:ascii="Calibri" w:hAnsi="Calibri" w:cs="Calibri"/>
              </w:rPr>
            </w:pPr>
            <w:r w:rsidRPr="00A23FB4">
              <w:rPr>
                <w:rFonts w:ascii="Calibri" w:hAnsi="Calibri" w:cs="Calibri"/>
              </w:rPr>
              <w:t>w 3 punktach na każdej działce roboczej, lecz nie rzadziej niż raz na 400 m</w:t>
            </w:r>
            <w:r w:rsidRPr="00A23FB4">
              <w:rPr>
                <w:rFonts w:ascii="Calibri" w:hAnsi="Calibri" w:cs="Calibri"/>
                <w:vertAlign w:val="superscript"/>
              </w:rPr>
              <w:t>2</w:t>
            </w:r>
          </w:p>
          <w:p w14:paraId="4D4072A7" w14:textId="77777777" w:rsidR="0072177F" w:rsidRPr="00A23FB4" w:rsidRDefault="0072177F" w:rsidP="0072177F">
            <w:pPr>
              <w:rPr>
                <w:rFonts w:ascii="Calibri" w:hAnsi="Calibri" w:cs="Calibri"/>
              </w:rPr>
            </w:pPr>
            <w:r w:rsidRPr="00A23FB4">
              <w:rPr>
                <w:rFonts w:ascii="Calibri" w:hAnsi="Calibri" w:cs="Calibri"/>
              </w:rPr>
              <w:t>Przed odbiorem:</w:t>
            </w:r>
          </w:p>
          <w:p w14:paraId="3C7B59CB" w14:textId="77777777" w:rsidR="0072177F" w:rsidRPr="00A23FB4" w:rsidRDefault="0072177F" w:rsidP="0072177F">
            <w:pPr>
              <w:rPr>
                <w:rFonts w:ascii="Calibri" w:hAnsi="Calibri" w:cs="Calibri"/>
                <w:b/>
                <w:bCs/>
              </w:rPr>
            </w:pPr>
            <w:r w:rsidRPr="00A23FB4">
              <w:rPr>
                <w:rFonts w:ascii="Calibri" w:hAnsi="Calibri" w:cs="Calibri"/>
              </w:rPr>
              <w:t>w 3 punktach, lecz nie rzadziej niż raz na 2000 m</w:t>
            </w:r>
            <w:r w:rsidRPr="00A23FB4">
              <w:rPr>
                <w:rFonts w:ascii="Calibri" w:hAnsi="Calibri" w:cs="Calibri"/>
                <w:vertAlign w:val="superscript"/>
              </w:rPr>
              <w:t>2</w:t>
            </w:r>
          </w:p>
        </w:tc>
      </w:tr>
      <w:tr w:rsidR="0072177F" w:rsidRPr="00A23FB4" w14:paraId="0B6CAE82" w14:textId="77777777" w:rsidTr="0072177F">
        <w:tc>
          <w:tcPr>
            <w:tcW w:w="637" w:type="dxa"/>
          </w:tcPr>
          <w:p w14:paraId="59BE68A3" w14:textId="77777777" w:rsidR="0072177F" w:rsidRPr="00A23FB4" w:rsidRDefault="0072177F" w:rsidP="0072177F">
            <w:pPr>
              <w:rPr>
                <w:rFonts w:ascii="Calibri" w:hAnsi="Calibri" w:cs="Calibri"/>
              </w:rPr>
            </w:pPr>
            <w:r w:rsidRPr="00A23FB4">
              <w:rPr>
                <w:rFonts w:ascii="Calibri" w:hAnsi="Calibri" w:cs="Calibri"/>
              </w:rPr>
              <w:t>8</w:t>
            </w:r>
          </w:p>
        </w:tc>
        <w:tc>
          <w:tcPr>
            <w:tcW w:w="3467" w:type="dxa"/>
          </w:tcPr>
          <w:p w14:paraId="78C12980" w14:textId="77777777" w:rsidR="0072177F" w:rsidRPr="00A23FB4" w:rsidRDefault="0072177F" w:rsidP="0072177F">
            <w:pPr>
              <w:rPr>
                <w:rFonts w:ascii="Calibri" w:hAnsi="Calibri" w:cs="Calibri"/>
              </w:rPr>
            </w:pPr>
            <w:r w:rsidRPr="00A23FB4">
              <w:rPr>
                <w:rFonts w:ascii="Calibri" w:hAnsi="Calibri" w:cs="Calibri"/>
              </w:rPr>
              <w:t>Nośność podbudowy:</w:t>
            </w:r>
          </w:p>
          <w:p w14:paraId="2562101C" w14:textId="77777777" w:rsidR="0072177F" w:rsidRPr="00A23FB4" w:rsidRDefault="0072177F" w:rsidP="0072177F">
            <w:pPr>
              <w:rPr>
                <w:rFonts w:ascii="Calibri" w:hAnsi="Calibri" w:cs="Calibri"/>
              </w:rPr>
            </w:pPr>
            <w:r w:rsidRPr="00A23FB4">
              <w:rPr>
                <w:rFonts w:ascii="Calibri" w:hAnsi="Calibri" w:cs="Calibri"/>
              </w:rPr>
              <w:t>- moduł odkształcenia</w:t>
            </w:r>
          </w:p>
          <w:p w14:paraId="3E10B858" w14:textId="77777777" w:rsidR="0072177F" w:rsidRPr="00A23FB4" w:rsidRDefault="0072177F" w:rsidP="0072177F">
            <w:pPr>
              <w:rPr>
                <w:rFonts w:ascii="Calibri" w:hAnsi="Calibri" w:cs="Calibri"/>
              </w:rPr>
            </w:pPr>
            <w:r w:rsidRPr="00A23FB4">
              <w:rPr>
                <w:rFonts w:ascii="Calibri" w:hAnsi="Calibri" w:cs="Calibri"/>
              </w:rPr>
              <w:t>- ugięcie sprężyste</w:t>
            </w:r>
          </w:p>
        </w:tc>
        <w:tc>
          <w:tcPr>
            <w:tcW w:w="5605" w:type="dxa"/>
          </w:tcPr>
          <w:p w14:paraId="227CEE53" w14:textId="77777777" w:rsidR="0072177F" w:rsidRPr="00A23FB4" w:rsidRDefault="0072177F" w:rsidP="0072177F">
            <w:pPr>
              <w:rPr>
                <w:rFonts w:ascii="Calibri" w:hAnsi="Calibri" w:cs="Calibri"/>
              </w:rPr>
            </w:pPr>
          </w:p>
          <w:p w14:paraId="2DCF9E46" w14:textId="77777777" w:rsidR="0072177F" w:rsidRPr="00A23FB4" w:rsidRDefault="0072177F" w:rsidP="0072177F">
            <w:pPr>
              <w:rPr>
                <w:rFonts w:ascii="Calibri" w:hAnsi="Calibri" w:cs="Calibri"/>
              </w:rPr>
            </w:pPr>
            <w:r w:rsidRPr="00A23FB4">
              <w:rPr>
                <w:rFonts w:ascii="Calibri" w:hAnsi="Calibri" w:cs="Calibri"/>
              </w:rPr>
              <w:t>co najmniej w dwóch przekrojach na każde 1000 m</w:t>
            </w:r>
          </w:p>
          <w:p w14:paraId="10F7BF25" w14:textId="77777777" w:rsidR="0072177F" w:rsidRPr="00A23FB4" w:rsidRDefault="0072177F" w:rsidP="0072177F">
            <w:pPr>
              <w:rPr>
                <w:rFonts w:ascii="Calibri" w:hAnsi="Calibri" w:cs="Calibri"/>
              </w:rPr>
            </w:pPr>
            <w:r w:rsidRPr="00A23FB4">
              <w:rPr>
                <w:rFonts w:ascii="Calibri" w:hAnsi="Calibri" w:cs="Calibri"/>
              </w:rPr>
              <w:t>co najmniej w 20 punktach na każde 1000 m</w:t>
            </w:r>
          </w:p>
        </w:tc>
      </w:tr>
    </w:tbl>
    <w:p w14:paraId="636F7050" w14:textId="77777777" w:rsidR="0072177F" w:rsidRPr="00A23FB4" w:rsidRDefault="0072177F" w:rsidP="0072177F">
      <w:pPr>
        <w:rPr>
          <w:rFonts w:ascii="Calibri" w:hAnsi="Calibri" w:cs="Calibri"/>
        </w:rPr>
      </w:pPr>
      <w:r w:rsidRPr="00A23FB4">
        <w:rPr>
          <w:rFonts w:ascii="Calibri" w:hAnsi="Calibri" w:cs="Calibri"/>
        </w:rPr>
        <w:t>*) Dodatkowe pomiary spadków poprzecznych i ukształtowania osi w planie należy wykonać w punktach głównych łuków poziomych.</w:t>
      </w:r>
    </w:p>
    <w:p w14:paraId="4534AB04" w14:textId="77777777" w:rsidR="0072177F" w:rsidRPr="00A23FB4" w:rsidRDefault="0072177F" w:rsidP="0072177F">
      <w:pPr>
        <w:keepNext/>
        <w:rPr>
          <w:rFonts w:ascii="Calibri" w:hAnsi="Calibri" w:cs="Calibri"/>
          <w:b/>
          <w:bCs/>
          <w:iCs/>
        </w:rPr>
      </w:pPr>
    </w:p>
    <w:p w14:paraId="10919F42" w14:textId="77777777" w:rsidR="0072177F" w:rsidRPr="00A23FB4" w:rsidRDefault="0072177F" w:rsidP="0072177F">
      <w:pPr>
        <w:keepNext/>
        <w:rPr>
          <w:rFonts w:ascii="Calibri" w:hAnsi="Calibri" w:cs="Calibri"/>
          <w:b/>
          <w:bCs/>
          <w:iCs/>
        </w:rPr>
      </w:pPr>
      <w:r w:rsidRPr="00A23FB4">
        <w:rPr>
          <w:rFonts w:ascii="Calibri" w:hAnsi="Calibri" w:cs="Calibri"/>
          <w:b/>
          <w:bCs/>
          <w:iCs/>
        </w:rPr>
        <w:t xml:space="preserve">6.4.2. Szerokość podbudowy </w:t>
      </w:r>
    </w:p>
    <w:p w14:paraId="3D97628C" w14:textId="77777777" w:rsidR="0072177F" w:rsidRPr="00A23FB4" w:rsidRDefault="0072177F" w:rsidP="0072177F">
      <w:pPr>
        <w:rPr>
          <w:rFonts w:ascii="Calibri" w:hAnsi="Calibri" w:cs="Calibri"/>
        </w:rPr>
      </w:pPr>
      <w:r w:rsidRPr="00A23FB4">
        <w:rPr>
          <w:rFonts w:ascii="Calibri" w:hAnsi="Calibri" w:cs="Calibri"/>
        </w:rPr>
        <w:t>Szerokość podbudowy nie może różnić się od szerokości projektowanej o więcej niż +10 cm, -5 cm.</w:t>
      </w:r>
    </w:p>
    <w:p w14:paraId="73AC57D8" w14:textId="77777777" w:rsidR="0072177F" w:rsidRPr="00A23FB4" w:rsidRDefault="0072177F" w:rsidP="0072177F">
      <w:pPr>
        <w:rPr>
          <w:rFonts w:ascii="Calibri" w:hAnsi="Calibri" w:cs="Calibri"/>
          <w:b/>
          <w:bCs/>
          <w:iCs/>
        </w:rPr>
      </w:pPr>
      <w:r w:rsidRPr="00A23FB4">
        <w:rPr>
          <w:rFonts w:ascii="Calibri" w:hAnsi="Calibri" w:cs="Calibri"/>
          <w:b/>
          <w:bCs/>
          <w:iCs/>
        </w:rPr>
        <w:t xml:space="preserve">6.4.3. Równość podbudowy </w:t>
      </w:r>
    </w:p>
    <w:p w14:paraId="35B2E225" w14:textId="77777777" w:rsidR="0072177F" w:rsidRPr="00A23FB4" w:rsidRDefault="0072177F" w:rsidP="0072177F">
      <w:pPr>
        <w:rPr>
          <w:rFonts w:ascii="Calibri" w:hAnsi="Calibri" w:cs="Calibri"/>
        </w:rPr>
      </w:pPr>
      <w:r w:rsidRPr="00A23FB4">
        <w:rPr>
          <w:rFonts w:ascii="Calibri" w:hAnsi="Calibri" w:cs="Calibri"/>
        </w:rPr>
        <w:t xml:space="preserve">Nierówności podłużne podbudowy należy mierzyć 4-metrową łatą lub planografem, zgodnie z BN-68/8931-04. </w:t>
      </w:r>
    </w:p>
    <w:p w14:paraId="2A9A75D7" w14:textId="77777777" w:rsidR="0072177F" w:rsidRPr="00A23FB4" w:rsidRDefault="0072177F" w:rsidP="0072177F">
      <w:pPr>
        <w:rPr>
          <w:rFonts w:ascii="Calibri" w:hAnsi="Calibri" w:cs="Calibri"/>
        </w:rPr>
      </w:pPr>
      <w:r w:rsidRPr="00A23FB4">
        <w:rPr>
          <w:rFonts w:ascii="Calibri" w:hAnsi="Calibri" w:cs="Calibri"/>
        </w:rPr>
        <w:t xml:space="preserve">Nierówności poprzeczne podbudowy należy mierzyć 4-metrową łatą. </w:t>
      </w:r>
    </w:p>
    <w:p w14:paraId="02A78F21" w14:textId="77777777" w:rsidR="0072177F" w:rsidRPr="00A23FB4" w:rsidRDefault="0072177F" w:rsidP="0072177F">
      <w:pPr>
        <w:rPr>
          <w:rFonts w:ascii="Calibri" w:hAnsi="Calibri" w:cs="Calibri"/>
        </w:rPr>
      </w:pPr>
      <w:r w:rsidRPr="00A23FB4">
        <w:rPr>
          <w:rFonts w:ascii="Calibri" w:hAnsi="Calibri" w:cs="Calibri"/>
        </w:rPr>
        <w:t>Nierówności podbudowy  nie mogą przekraczać:</w:t>
      </w:r>
    </w:p>
    <w:p w14:paraId="712A862E" w14:textId="77777777" w:rsidR="0072177F" w:rsidRPr="00A23FB4" w:rsidRDefault="0072177F" w:rsidP="0072177F">
      <w:pPr>
        <w:rPr>
          <w:rFonts w:ascii="Calibri" w:hAnsi="Calibri" w:cs="Calibri"/>
        </w:rPr>
      </w:pPr>
      <w:r w:rsidRPr="00A23FB4">
        <w:rPr>
          <w:rFonts w:ascii="Calibri" w:hAnsi="Calibri" w:cs="Calibri"/>
        </w:rPr>
        <w:t>-  10 mm dla podbudowy zasadniczej,</w:t>
      </w:r>
    </w:p>
    <w:p w14:paraId="076A7E77" w14:textId="77777777" w:rsidR="0072177F" w:rsidRPr="00A23FB4" w:rsidRDefault="0072177F" w:rsidP="0072177F">
      <w:pPr>
        <w:rPr>
          <w:rFonts w:ascii="Calibri" w:hAnsi="Calibri" w:cs="Calibri"/>
        </w:rPr>
      </w:pPr>
      <w:r w:rsidRPr="00A23FB4">
        <w:rPr>
          <w:rFonts w:ascii="Calibri" w:hAnsi="Calibri" w:cs="Calibri"/>
        </w:rPr>
        <w:t>-  20 mm dla podbudowy pomocniczej.</w:t>
      </w:r>
    </w:p>
    <w:p w14:paraId="1B824711" w14:textId="77777777" w:rsidR="0072177F" w:rsidRPr="00A23FB4" w:rsidRDefault="0072177F" w:rsidP="0072177F">
      <w:pPr>
        <w:rPr>
          <w:rFonts w:ascii="Calibri" w:hAnsi="Calibri" w:cs="Calibri"/>
          <w:b/>
          <w:bCs/>
          <w:iCs/>
        </w:rPr>
      </w:pPr>
      <w:r w:rsidRPr="00A23FB4">
        <w:rPr>
          <w:rFonts w:ascii="Calibri" w:hAnsi="Calibri" w:cs="Calibri"/>
          <w:b/>
          <w:bCs/>
          <w:iCs/>
        </w:rPr>
        <w:t xml:space="preserve">6.4.4. Spadki poprzeczne podbudowy </w:t>
      </w:r>
    </w:p>
    <w:p w14:paraId="6FED149D" w14:textId="77777777" w:rsidR="0072177F" w:rsidRPr="00A23FB4" w:rsidRDefault="0072177F" w:rsidP="0072177F">
      <w:pPr>
        <w:rPr>
          <w:rFonts w:ascii="Calibri" w:hAnsi="Calibri" w:cs="Calibri"/>
        </w:rPr>
      </w:pPr>
      <w:r w:rsidRPr="00A23FB4">
        <w:rPr>
          <w:rFonts w:ascii="Calibri" w:hAnsi="Calibri" w:cs="Calibri"/>
        </w:rPr>
        <w:t>Spadki poprzeczne podbudowy na prostych i łukach powinny być zgodne z dokumentacją projektową,  z tolerancją ± 0,5 %.</w:t>
      </w:r>
    </w:p>
    <w:p w14:paraId="753CC923" w14:textId="77777777" w:rsidR="0072177F" w:rsidRPr="00A23FB4" w:rsidRDefault="0072177F" w:rsidP="0072177F">
      <w:pPr>
        <w:rPr>
          <w:rFonts w:ascii="Calibri" w:hAnsi="Calibri" w:cs="Calibri"/>
          <w:b/>
          <w:bCs/>
          <w:iCs/>
        </w:rPr>
      </w:pPr>
      <w:r w:rsidRPr="00A23FB4">
        <w:rPr>
          <w:rFonts w:ascii="Calibri" w:hAnsi="Calibri" w:cs="Calibri"/>
          <w:b/>
          <w:bCs/>
          <w:iCs/>
        </w:rPr>
        <w:t xml:space="preserve">6.4.5. Rzędne wysokościowe podbudowy </w:t>
      </w:r>
    </w:p>
    <w:p w14:paraId="37FD3887" w14:textId="77777777" w:rsidR="0072177F" w:rsidRPr="00A23FB4" w:rsidRDefault="0072177F" w:rsidP="0072177F">
      <w:pPr>
        <w:rPr>
          <w:rFonts w:ascii="Calibri" w:hAnsi="Calibri" w:cs="Calibri"/>
        </w:rPr>
      </w:pPr>
      <w:r w:rsidRPr="00A23FB4">
        <w:rPr>
          <w:rFonts w:ascii="Calibri" w:hAnsi="Calibri" w:cs="Calibri"/>
        </w:rPr>
        <w:t>Różnice pomiędzy rzędnymi wysokościowymi podbudowy i rzędnymi projektowanymi nie powinny przekraczać + 1 cm, -2 cm.</w:t>
      </w:r>
    </w:p>
    <w:p w14:paraId="086E73C7" w14:textId="77777777" w:rsidR="0072177F" w:rsidRPr="00A23FB4" w:rsidRDefault="0072177F" w:rsidP="0072177F">
      <w:pPr>
        <w:rPr>
          <w:rFonts w:ascii="Calibri" w:hAnsi="Calibri" w:cs="Calibri"/>
          <w:b/>
          <w:bCs/>
          <w:iCs/>
        </w:rPr>
      </w:pPr>
      <w:r w:rsidRPr="00A23FB4">
        <w:rPr>
          <w:rFonts w:ascii="Calibri" w:hAnsi="Calibri" w:cs="Calibri"/>
          <w:b/>
          <w:bCs/>
          <w:iCs/>
        </w:rPr>
        <w:t>6.4.6. Ukształtowanie osi podbudowy</w:t>
      </w:r>
    </w:p>
    <w:p w14:paraId="105C5FE1" w14:textId="77777777" w:rsidR="0072177F" w:rsidRPr="00A23FB4" w:rsidRDefault="0072177F" w:rsidP="0072177F">
      <w:pPr>
        <w:rPr>
          <w:rFonts w:ascii="Calibri" w:hAnsi="Calibri" w:cs="Calibri"/>
        </w:rPr>
      </w:pPr>
      <w:r w:rsidRPr="00A23FB4">
        <w:rPr>
          <w:rFonts w:ascii="Calibri" w:hAnsi="Calibri" w:cs="Calibri"/>
        </w:rPr>
        <w:t>Oś podbudowy w planie nie może być przesunięta w stosunku do osi projektowanej o więcej niż ± 5 cm.</w:t>
      </w:r>
    </w:p>
    <w:p w14:paraId="42D6F243" w14:textId="77777777" w:rsidR="0072177F" w:rsidRPr="00A23FB4" w:rsidRDefault="0072177F" w:rsidP="0072177F">
      <w:pPr>
        <w:rPr>
          <w:rFonts w:ascii="Calibri" w:hAnsi="Calibri" w:cs="Calibri"/>
          <w:b/>
          <w:bCs/>
          <w:iCs/>
        </w:rPr>
      </w:pPr>
      <w:r w:rsidRPr="00A23FB4">
        <w:rPr>
          <w:rFonts w:ascii="Calibri" w:hAnsi="Calibri" w:cs="Calibri"/>
          <w:b/>
          <w:bCs/>
          <w:iCs/>
        </w:rPr>
        <w:t>6.4.7. Grubość podbudowy i ulepszonego podłoża</w:t>
      </w:r>
    </w:p>
    <w:p w14:paraId="4B18BEAB" w14:textId="77777777" w:rsidR="0072177F" w:rsidRPr="00A23FB4" w:rsidRDefault="0072177F" w:rsidP="0072177F">
      <w:pPr>
        <w:rPr>
          <w:rFonts w:ascii="Calibri" w:hAnsi="Calibri" w:cs="Calibri"/>
        </w:rPr>
      </w:pPr>
      <w:r w:rsidRPr="00A23FB4">
        <w:rPr>
          <w:rFonts w:ascii="Calibri" w:hAnsi="Calibri" w:cs="Calibri"/>
        </w:rPr>
        <w:t>Grubość podbudowy nie może się  różnić od grubości projektowanej o więcej niż:</w:t>
      </w:r>
    </w:p>
    <w:p w14:paraId="0F578728" w14:textId="77777777" w:rsidR="0072177F" w:rsidRPr="00A23FB4" w:rsidRDefault="0072177F" w:rsidP="0072177F">
      <w:pPr>
        <w:rPr>
          <w:rFonts w:ascii="Calibri" w:hAnsi="Calibri" w:cs="Calibri"/>
        </w:rPr>
      </w:pPr>
      <w:r w:rsidRPr="00A23FB4">
        <w:rPr>
          <w:rFonts w:ascii="Calibri" w:hAnsi="Calibri" w:cs="Calibri"/>
        </w:rPr>
        <w:t>- dla podbudowy zasadniczej  ± 10%,</w:t>
      </w:r>
    </w:p>
    <w:p w14:paraId="2BE8C5A0" w14:textId="77777777" w:rsidR="0072177F" w:rsidRPr="00A23FB4" w:rsidRDefault="0072177F" w:rsidP="0072177F">
      <w:pPr>
        <w:pStyle w:val="tekstost"/>
        <w:rPr>
          <w:rFonts w:ascii="Calibri" w:hAnsi="Calibri" w:cs="Calibri"/>
        </w:rPr>
      </w:pPr>
      <w:r w:rsidRPr="00A23FB4">
        <w:rPr>
          <w:rFonts w:ascii="Calibri" w:hAnsi="Calibri" w:cs="Calibri"/>
        </w:rPr>
        <w:t>- dla podbudowy pomocniczej +10%, -15%.</w:t>
      </w:r>
    </w:p>
    <w:p w14:paraId="1BF25887" w14:textId="77777777" w:rsidR="0072177F" w:rsidRPr="00A23FB4" w:rsidRDefault="0072177F" w:rsidP="0072177F">
      <w:pPr>
        <w:pStyle w:val="tekstost"/>
        <w:rPr>
          <w:rFonts w:ascii="Calibri" w:hAnsi="Calibri" w:cs="Calibri"/>
          <w:b/>
          <w:bCs/>
          <w:iCs/>
        </w:rPr>
      </w:pPr>
      <w:r w:rsidRPr="00A23FB4">
        <w:rPr>
          <w:rFonts w:ascii="Calibri" w:hAnsi="Calibri" w:cs="Calibri"/>
          <w:b/>
          <w:bCs/>
          <w:iCs/>
        </w:rPr>
        <w:t>6.4.8. Nośność podbudowy</w:t>
      </w:r>
    </w:p>
    <w:p w14:paraId="3B3AFEDF" w14:textId="77777777" w:rsidR="0072177F" w:rsidRPr="00A23FB4" w:rsidRDefault="0072177F" w:rsidP="0072177F">
      <w:pPr>
        <w:pStyle w:val="tekstost"/>
        <w:numPr>
          <w:ilvl w:val="0"/>
          <w:numId w:val="1"/>
        </w:numPr>
        <w:rPr>
          <w:rFonts w:ascii="Calibri" w:hAnsi="Calibri" w:cs="Calibri"/>
        </w:rPr>
      </w:pPr>
      <w:r w:rsidRPr="00A23FB4">
        <w:rPr>
          <w:rFonts w:ascii="Calibri" w:hAnsi="Calibri" w:cs="Calibri"/>
        </w:rPr>
        <w:t>moduł odkształcenia wg wytycznych GDDKiA – pisma DODP-22/4100/215/98 powinien być zgodny z podanym w tablicy 12,</w:t>
      </w:r>
    </w:p>
    <w:p w14:paraId="615083F5" w14:textId="77777777" w:rsidR="0072177F" w:rsidRPr="00A23FB4" w:rsidRDefault="0072177F" w:rsidP="0072177F">
      <w:pPr>
        <w:pStyle w:val="tekstost"/>
        <w:numPr>
          <w:ilvl w:val="0"/>
          <w:numId w:val="1"/>
        </w:numPr>
        <w:ind w:left="284" w:hanging="284"/>
        <w:rPr>
          <w:rFonts w:ascii="Calibri" w:hAnsi="Calibri" w:cs="Calibri"/>
        </w:rPr>
      </w:pPr>
      <w:r w:rsidRPr="00A23FB4">
        <w:rPr>
          <w:rFonts w:ascii="Calibri" w:hAnsi="Calibri" w:cs="Calibri"/>
        </w:rPr>
        <w:t>ugięcie sprężyste wg BN-70/8931-06 powinno być zgodne z podanym w tablicy 12.</w:t>
      </w:r>
    </w:p>
    <w:p w14:paraId="68E32AC3" w14:textId="29315820" w:rsidR="0072177F" w:rsidRPr="00A23FB4" w:rsidRDefault="0072177F" w:rsidP="0072177F">
      <w:pPr>
        <w:rPr>
          <w:rFonts w:ascii="Calibri" w:hAnsi="Calibri" w:cs="Calibri"/>
        </w:rPr>
      </w:pPr>
      <w:r w:rsidRPr="00A23FB4">
        <w:rPr>
          <w:rFonts w:ascii="Calibri" w:hAnsi="Calibri" w:cs="Calibri"/>
        </w:rPr>
        <w:t xml:space="preserve">Za zgodą Inżyniera/kierownika projektu dopuszcza się prowadzenie badań przy zastosowaniu lekkiej płyty dynamicznej ZFG-02 zgodnie z Instrukcją Badań Podłoża Gruntowego Budowli Mostowych i Drogowych Część 2 Załącznik, Warszawa 1998. Korelacji pomiędzy wynikami uzyskanymi przy pomocy płyty dynamicznej, a wymaganiami niniejszej </w:t>
      </w:r>
      <w:r w:rsidR="00824125" w:rsidRPr="00A23FB4">
        <w:rPr>
          <w:rFonts w:ascii="Calibri" w:hAnsi="Calibri" w:cs="Calibri"/>
        </w:rPr>
        <w:t>wytycznymi</w:t>
      </w:r>
      <w:r w:rsidRPr="00A23FB4">
        <w:rPr>
          <w:rFonts w:ascii="Calibri" w:hAnsi="Calibri" w:cs="Calibri"/>
        </w:rPr>
        <w:t xml:space="preserve"> należy dokonać empirycznie poprzez porównanie wyników otrzymanych płytą dynamiczną i płytą VSS. Uzyskany wskaźnik będzie podstawą do przeliczenia wyników uzyskanych płytą dynamiczną na wtórne moduły odkształcenia. Przeliczone wyniki należy porównać z wymaganiami w tablicy </w:t>
      </w:r>
      <w:r w:rsidR="00372507">
        <w:rPr>
          <w:rFonts w:ascii="Calibri" w:hAnsi="Calibri" w:cs="Calibri"/>
        </w:rPr>
        <w:t>5</w:t>
      </w:r>
      <w:r w:rsidRPr="00A23FB4">
        <w:rPr>
          <w:rFonts w:ascii="Calibri" w:hAnsi="Calibri" w:cs="Calibri"/>
        </w:rPr>
        <w:t>.</w:t>
      </w:r>
    </w:p>
    <w:p w14:paraId="6DEC7618" w14:textId="77777777" w:rsidR="0072177F" w:rsidRPr="00A23FB4" w:rsidRDefault="0072177F" w:rsidP="0072177F">
      <w:pPr>
        <w:rPr>
          <w:rFonts w:ascii="Calibri" w:hAnsi="Calibri" w:cs="Calibri"/>
        </w:rPr>
      </w:pPr>
    </w:p>
    <w:p w14:paraId="237B6F35" w14:textId="3B915A9B" w:rsidR="0072177F" w:rsidRPr="00A23FB4" w:rsidRDefault="0072177F" w:rsidP="0072177F">
      <w:pPr>
        <w:pStyle w:val="tekstost"/>
        <w:rPr>
          <w:rFonts w:ascii="Calibri" w:hAnsi="Calibri" w:cs="Calibri"/>
        </w:rPr>
      </w:pPr>
      <w:r w:rsidRPr="00A23FB4">
        <w:rPr>
          <w:rFonts w:ascii="Calibri" w:hAnsi="Calibri" w:cs="Calibri"/>
        </w:rPr>
        <w:t xml:space="preserve">Tablica </w:t>
      </w:r>
      <w:r w:rsidR="00372507">
        <w:rPr>
          <w:rFonts w:ascii="Calibri" w:hAnsi="Calibri" w:cs="Calibri"/>
        </w:rPr>
        <w:t>5</w:t>
      </w:r>
      <w:r w:rsidRPr="00A23FB4">
        <w:rPr>
          <w:rFonts w:ascii="Calibri" w:hAnsi="Calibri" w:cs="Calibri"/>
        </w:rPr>
        <w:t>. Cechy podbudowy</w:t>
      </w:r>
    </w:p>
    <w:tbl>
      <w:tblPr>
        <w:tblW w:w="0" w:type="auto"/>
        <w:tblInd w:w="2" w:type="dxa"/>
        <w:tblLayout w:type="fixed"/>
        <w:tblCellMar>
          <w:left w:w="70" w:type="dxa"/>
          <w:right w:w="70" w:type="dxa"/>
        </w:tblCellMar>
        <w:tblLook w:val="0000" w:firstRow="0" w:lastRow="0" w:firstColumn="0" w:lastColumn="0" w:noHBand="0" w:noVBand="0"/>
      </w:tblPr>
      <w:tblGrid>
        <w:gridCol w:w="1204"/>
        <w:gridCol w:w="1276"/>
        <w:gridCol w:w="1257"/>
        <w:gridCol w:w="1314"/>
        <w:gridCol w:w="1228"/>
        <w:gridCol w:w="1248"/>
      </w:tblGrid>
      <w:tr w:rsidR="0072177F" w:rsidRPr="00A23FB4" w14:paraId="3D4EA953" w14:textId="77777777" w:rsidTr="0072177F">
        <w:tc>
          <w:tcPr>
            <w:tcW w:w="1204" w:type="dxa"/>
            <w:tcBorders>
              <w:top w:val="single" w:sz="6" w:space="0" w:color="auto"/>
              <w:left w:val="single" w:sz="6" w:space="0" w:color="auto"/>
            </w:tcBorders>
          </w:tcPr>
          <w:p w14:paraId="5165FABA" w14:textId="77777777" w:rsidR="0072177F" w:rsidRPr="00A23FB4" w:rsidRDefault="0072177F" w:rsidP="0072177F">
            <w:pPr>
              <w:pStyle w:val="tekstost"/>
              <w:rPr>
                <w:rFonts w:ascii="Calibri" w:hAnsi="Calibri" w:cs="Calibri"/>
              </w:rPr>
            </w:pPr>
          </w:p>
        </w:tc>
        <w:tc>
          <w:tcPr>
            <w:tcW w:w="6306" w:type="dxa"/>
            <w:gridSpan w:val="5"/>
            <w:tcBorders>
              <w:top w:val="single" w:sz="6" w:space="0" w:color="auto"/>
              <w:left w:val="single" w:sz="6" w:space="0" w:color="auto"/>
              <w:bottom w:val="single" w:sz="6" w:space="0" w:color="auto"/>
              <w:right w:val="single" w:sz="6" w:space="0" w:color="auto"/>
            </w:tcBorders>
          </w:tcPr>
          <w:p w14:paraId="50508D6F" w14:textId="77777777" w:rsidR="0072177F" w:rsidRPr="00A23FB4" w:rsidRDefault="0072177F" w:rsidP="0072177F">
            <w:pPr>
              <w:pStyle w:val="tekstost"/>
              <w:rPr>
                <w:rFonts w:ascii="Calibri" w:hAnsi="Calibri" w:cs="Calibri"/>
              </w:rPr>
            </w:pPr>
            <w:r w:rsidRPr="00A23FB4">
              <w:rPr>
                <w:rFonts w:ascii="Calibri" w:hAnsi="Calibri" w:cs="Calibri"/>
              </w:rPr>
              <w:t>Wymagane cechy podbudowy</w:t>
            </w:r>
          </w:p>
        </w:tc>
      </w:tr>
      <w:tr w:rsidR="0072177F" w:rsidRPr="00A23FB4" w14:paraId="33308EBB" w14:textId="77777777" w:rsidTr="0072177F">
        <w:tc>
          <w:tcPr>
            <w:tcW w:w="1204" w:type="dxa"/>
            <w:tcBorders>
              <w:left w:val="single" w:sz="6" w:space="0" w:color="auto"/>
            </w:tcBorders>
          </w:tcPr>
          <w:p w14:paraId="0DC2B25E" w14:textId="77777777" w:rsidR="0072177F" w:rsidRPr="00A23FB4" w:rsidRDefault="0072177F" w:rsidP="0072177F">
            <w:pPr>
              <w:rPr>
                <w:rFonts w:ascii="Calibri" w:hAnsi="Calibri" w:cs="Calibri"/>
              </w:rPr>
            </w:pPr>
            <w:r w:rsidRPr="00A23FB4">
              <w:rPr>
                <w:rFonts w:ascii="Calibri" w:hAnsi="Calibri" w:cs="Calibri"/>
              </w:rPr>
              <w:t>Podbudowa</w:t>
            </w:r>
          </w:p>
          <w:p w14:paraId="01417221" w14:textId="77777777" w:rsidR="0072177F" w:rsidRPr="00A23FB4" w:rsidRDefault="0072177F" w:rsidP="0072177F">
            <w:pPr>
              <w:rPr>
                <w:rFonts w:ascii="Calibri" w:hAnsi="Calibri" w:cs="Calibri"/>
              </w:rPr>
            </w:pPr>
            <w:r w:rsidRPr="00A23FB4">
              <w:rPr>
                <w:rFonts w:ascii="Calibri" w:hAnsi="Calibri" w:cs="Calibri"/>
              </w:rPr>
              <w:t>z kruszywa o wskaźniku w</w:t>
            </w:r>
            <w:r w:rsidRPr="00A23FB4">
              <w:rPr>
                <w:rFonts w:ascii="Calibri" w:hAnsi="Calibri" w:cs="Calibri"/>
                <w:vertAlign w:val="subscript"/>
              </w:rPr>
              <w:t>noś</w:t>
            </w:r>
            <w:r w:rsidRPr="00A23FB4">
              <w:rPr>
                <w:rFonts w:ascii="Calibri" w:hAnsi="Calibri" w:cs="Calibri"/>
              </w:rPr>
              <w:t xml:space="preserve"> nie mniejszym </w:t>
            </w:r>
          </w:p>
        </w:tc>
        <w:tc>
          <w:tcPr>
            <w:tcW w:w="1276" w:type="dxa"/>
            <w:tcBorders>
              <w:top w:val="single" w:sz="6" w:space="0" w:color="auto"/>
              <w:left w:val="single" w:sz="6" w:space="0" w:color="auto"/>
              <w:right w:val="single" w:sz="6" w:space="0" w:color="auto"/>
            </w:tcBorders>
          </w:tcPr>
          <w:p w14:paraId="46C41562" w14:textId="77777777" w:rsidR="0072177F" w:rsidRPr="00A23FB4" w:rsidRDefault="0072177F" w:rsidP="0072177F">
            <w:pPr>
              <w:rPr>
                <w:rFonts w:ascii="Calibri" w:hAnsi="Calibri" w:cs="Calibri"/>
              </w:rPr>
            </w:pPr>
          </w:p>
          <w:p w14:paraId="6B752FAF" w14:textId="77777777" w:rsidR="0072177F" w:rsidRPr="00A23FB4" w:rsidRDefault="0072177F" w:rsidP="0072177F">
            <w:pPr>
              <w:rPr>
                <w:rFonts w:ascii="Calibri" w:hAnsi="Calibri" w:cs="Calibri"/>
              </w:rPr>
            </w:pPr>
            <w:r w:rsidRPr="00A23FB4">
              <w:rPr>
                <w:rFonts w:ascii="Calibri" w:hAnsi="Calibri" w:cs="Calibri"/>
              </w:rPr>
              <w:t>Wskaźnik zagęszczenia I</w:t>
            </w:r>
            <w:r w:rsidRPr="00A23FB4">
              <w:rPr>
                <w:rFonts w:ascii="Calibri" w:hAnsi="Calibri" w:cs="Calibri"/>
                <w:vertAlign w:val="subscript"/>
              </w:rPr>
              <w:t>S</w:t>
            </w:r>
            <w:r w:rsidRPr="00A23FB4">
              <w:rPr>
                <w:rFonts w:ascii="Calibri" w:hAnsi="Calibri" w:cs="Calibri"/>
              </w:rPr>
              <w:t xml:space="preserve">   nie</w:t>
            </w:r>
          </w:p>
          <w:p w14:paraId="09B34523" w14:textId="77777777" w:rsidR="0072177F" w:rsidRPr="00A23FB4" w:rsidRDefault="0072177F" w:rsidP="0072177F">
            <w:pPr>
              <w:rPr>
                <w:rFonts w:ascii="Calibri" w:hAnsi="Calibri" w:cs="Calibri"/>
              </w:rPr>
            </w:pPr>
            <w:r w:rsidRPr="00A23FB4">
              <w:rPr>
                <w:rFonts w:ascii="Calibri" w:hAnsi="Calibri" w:cs="Calibri"/>
              </w:rPr>
              <w:t xml:space="preserve">mniejszy niż </w:t>
            </w:r>
          </w:p>
        </w:tc>
        <w:tc>
          <w:tcPr>
            <w:tcW w:w="2552" w:type="dxa"/>
            <w:gridSpan w:val="2"/>
            <w:tcBorders>
              <w:top w:val="single" w:sz="6" w:space="0" w:color="auto"/>
              <w:left w:val="single" w:sz="6" w:space="0" w:color="auto"/>
              <w:bottom w:val="single" w:sz="6" w:space="0" w:color="auto"/>
              <w:right w:val="single" w:sz="6" w:space="0" w:color="auto"/>
            </w:tcBorders>
          </w:tcPr>
          <w:p w14:paraId="3D700D3B" w14:textId="77777777" w:rsidR="0072177F" w:rsidRPr="00A23FB4" w:rsidRDefault="0072177F" w:rsidP="0072177F">
            <w:pPr>
              <w:rPr>
                <w:rFonts w:ascii="Calibri" w:hAnsi="Calibri" w:cs="Calibri"/>
              </w:rPr>
            </w:pPr>
          </w:p>
          <w:p w14:paraId="0EB86F25" w14:textId="77777777" w:rsidR="0072177F" w:rsidRPr="00A23FB4" w:rsidRDefault="0072177F" w:rsidP="0072177F">
            <w:pPr>
              <w:rPr>
                <w:rFonts w:ascii="Calibri" w:hAnsi="Calibri" w:cs="Calibri"/>
              </w:rPr>
            </w:pPr>
            <w:r w:rsidRPr="00A23FB4">
              <w:rPr>
                <w:rFonts w:ascii="Calibri" w:hAnsi="Calibri" w:cs="Calibri"/>
              </w:rPr>
              <w:t>Maksymalne ugięcie sprężyste pod kołem, mm</w:t>
            </w:r>
          </w:p>
        </w:tc>
        <w:tc>
          <w:tcPr>
            <w:tcW w:w="2476" w:type="dxa"/>
            <w:gridSpan w:val="2"/>
            <w:tcBorders>
              <w:top w:val="single" w:sz="6" w:space="0" w:color="auto"/>
              <w:left w:val="single" w:sz="6" w:space="0" w:color="auto"/>
              <w:bottom w:val="single" w:sz="6" w:space="0" w:color="auto"/>
              <w:right w:val="single" w:sz="6" w:space="0" w:color="auto"/>
            </w:tcBorders>
          </w:tcPr>
          <w:p w14:paraId="548CA8B2" w14:textId="77777777" w:rsidR="0072177F" w:rsidRPr="00A23FB4" w:rsidRDefault="0072177F" w:rsidP="0072177F">
            <w:pPr>
              <w:rPr>
                <w:rFonts w:ascii="Calibri" w:hAnsi="Calibri" w:cs="Calibri"/>
              </w:rPr>
            </w:pPr>
            <w:r w:rsidRPr="00A23FB4">
              <w:rPr>
                <w:rFonts w:ascii="Calibri" w:hAnsi="Calibri" w:cs="Calibri"/>
              </w:rPr>
              <w:t>Minimalny moduł odkształ-cenia mierzony płytą o średnicy 30 cm, MPa</w:t>
            </w:r>
          </w:p>
        </w:tc>
      </w:tr>
      <w:tr w:rsidR="0072177F" w:rsidRPr="00A23FB4" w14:paraId="1205B032" w14:textId="77777777" w:rsidTr="0072177F">
        <w:tc>
          <w:tcPr>
            <w:tcW w:w="1204" w:type="dxa"/>
            <w:tcBorders>
              <w:left w:val="single" w:sz="6" w:space="0" w:color="auto"/>
              <w:bottom w:val="double" w:sz="6" w:space="0" w:color="auto"/>
              <w:right w:val="single" w:sz="6" w:space="0" w:color="auto"/>
            </w:tcBorders>
          </w:tcPr>
          <w:p w14:paraId="68E05C25" w14:textId="77777777" w:rsidR="0072177F" w:rsidRPr="00A23FB4" w:rsidRDefault="0072177F" w:rsidP="0072177F">
            <w:pPr>
              <w:rPr>
                <w:rFonts w:ascii="Calibri" w:hAnsi="Calibri" w:cs="Calibri"/>
              </w:rPr>
            </w:pPr>
            <w:r w:rsidRPr="00A23FB4">
              <w:rPr>
                <w:rFonts w:ascii="Calibri" w:hAnsi="Calibri" w:cs="Calibri"/>
              </w:rPr>
              <w:t>niż,   %</w:t>
            </w:r>
          </w:p>
        </w:tc>
        <w:tc>
          <w:tcPr>
            <w:tcW w:w="1276" w:type="dxa"/>
            <w:tcBorders>
              <w:left w:val="single" w:sz="6" w:space="0" w:color="auto"/>
              <w:bottom w:val="double" w:sz="6" w:space="0" w:color="auto"/>
              <w:right w:val="single" w:sz="6" w:space="0" w:color="auto"/>
            </w:tcBorders>
          </w:tcPr>
          <w:p w14:paraId="023BEAD6" w14:textId="77777777" w:rsidR="0072177F" w:rsidRPr="00A23FB4" w:rsidRDefault="0072177F" w:rsidP="0072177F">
            <w:pPr>
              <w:rPr>
                <w:rFonts w:ascii="Calibri" w:hAnsi="Calibri" w:cs="Calibri"/>
              </w:rPr>
            </w:pPr>
          </w:p>
        </w:tc>
        <w:tc>
          <w:tcPr>
            <w:tcW w:w="1257" w:type="dxa"/>
            <w:tcBorders>
              <w:left w:val="single" w:sz="6" w:space="0" w:color="auto"/>
              <w:bottom w:val="double" w:sz="6" w:space="0" w:color="auto"/>
              <w:right w:val="single" w:sz="6" w:space="0" w:color="auto"/>
            </w:tcBorders>
          </w:tcPr>
          <w:p w14:paraId="4FACBCBA" w14:textId="77777777" w:rsidR="0072177F" w:rsidRPr="00A23FB4" w:rsidRDefault="0072177F" w:rsidP="0072177F">
            <w:pPr>
              <w:rPr>
                <w:rFonts w:ascii="Calibri" w:hAnsi="Calibri" w:cs="Calibri"/>
              </w:rPr>
            </w:pPr>
            <w:r w:rsidRPr="00A23FB4">
              <w:rPr>
                <w:rFonts w:ascii="Calibri" w:hAnsi="Calibri" w:cs="Calibri"/>
              </w:rPr>
              <w:t>40 kN</w:t>
            </w:r>
          </w:p>
        </w:tc>
        <w:tc>
          <w:tcPr>
            <w:tcW w:w="1314" w:type="dxa"/>
            <w:tcBorders>
              <w:left w:val="single" w:sz="6" w:space="0" w:color="auto"/>
              <w:bottom w:val="double" w:sz="6" w:space="0" w:color="auto"/>
              <w:right w:val="single" w:sz="6" w:space="0" w:color="auto"/>
            </w:tcBorders>
          </w:tcPr>
          <w:p w14:paraId="30D11320" w14:textId="77777777" w:rsidR="0072177F" w:rsidRPr="00A23FB4" w:rsidRDefault="0072177F" w:rsidP="0072177F">
            <w:pPr>
              <w:rPr>
                <w:rFonts w:ascii="Calibri" w:hAnsi="Calibri" w:cs="Calibri"/>
              </w:rPr>
            </w:pPr>
            <w:r w:rsidRPr="00A23FB4">
              <w:rPr>
                <w:rFonts w:ascii="Calibri" w:hAnsi="Calibri" w:cs="Calibri"/>
              </w:rPr>
              <w:t>50 kN</w:t>
            </w:r>
          </w:p>
        </w:tc>
        <w:tc>
          <w:tcPr>
            <w:tcW w:w="1228" w:type="dxa"/>
            <w:tcBorders>
              <w:left w:val="single" w:sz="6" w:space="0" w:color="auto"/>
              <w:bottom w:val="double" w:sz="6" w:space="0" w:color="auto"/>
              <w:right w:val="single" w:sz="6" w:space="0" w:color="auto"/>
            </w:tcBorders>
          </w:tcPr>
          <w:p w14:paraId="5FD77E27" w14:textId="77777777" w:rsidR="0072177F" w:rsidRPr="00A23FB4" w:rsidRDefault="0072177F" w:rsidP="0072177F">
            <w:pPr>
              <w:rPr>
                <w:rFonts w:ascii="Calibri" w:hAnsi="Calibri" w:cs="Calibri"/>
              </w:rPr>
            </w:pPr>
            <w:r w:rsidRPr="00A23FB4">
              <w:rPr>
                <w:rFonts w:ascii="Calibri" w:hAnsi="Calibri" w:cs="Calibri"/>
              </w:rPr>
              <w:t>od pierwszego obciążenia E</w:t>
            </w:r>
            <w:r w:rsidRPr="00A23FB4">
              <w:rPr>
                <w:rFonts w:ascii="Calibri" w:hAnsi="Calibri" w:cs="Calibri"/>
                <w:vertAlign w:val="subscript"/>
              </w:rPr>
              <w:t>1</w:t>
            </w:r>
          </w:p>
        </w:tc>
        <w:tc>
          <w:tcPr>
            <w:tcW w:w="1228" w:type="dxa"/>
            <w:tcBorders>
              <w:left w:val="single" w:sz="6" w:space="0" w:color="auto"/>
              <w:bottom w:val="double" w:sz="6" w:space="0" w:color="auto"/>
              <w:right w:val="single" w:sz="6" w:space="0" w:color="auto"/>
            </w:tcBorders>
          </w:tcPr>
          <w:p w14:paraId="690F7B9A" w14:textId="77777777" w:rsidR="0072177F" w:rsidRPr="00A23FB4" w:rsidRDefault="0072177F" w:rsidP="0072177F">
            <w:pPr>
              <w:rPr>
                <w:rFonts w:ascii="Calibri" w:hAnsi="Calibri" w:cs="Calibri"/>
              </w:rPr>
            </w:pPr>
            <w:r w:rsidRPr="00A23FB4">
              <w:rPr>
                <w:rFonts w:ascii="Calibri" w:hAnsi="Calibri" w:cs="Calibri"/>
              </w:rPr>
              <w:t>od drugiego obciążenia E</w:t>
            </w:r>
            <w:r w:rsidRPr="00A23FB4">
              <w:rPr>
                <w:rFonts w:ascii="Calibri" w:hAnsi="Calibri" w:cs="Calibri"/>
                <w:vertAlign w:val="subscript"/>
              </w:rPr>
              <w:t>2</w:t>
            </w:r>
          </w:p>
        </w:tc>
      </w:tr>
      <w:tr w:rsidR="0072177F" w:rsidRPr="00A23FB4" w14:paraId="11DBA782" w14:textId="77777777" w:rsidTr="0072177F">
        <w:tc>
          <w:tcPr>
            <w:tcW w:w="1204" w:type="dxa"/>
            <w:tcBorders>
              <w:left w:val="single" w:sz="6" w:space="0" w:color="auto"/>
              <w:bottom w:val="single" w:sz="6" w:space="0" w:color="auto"/>
              <w:right w:val="single" w:sz="6" w:space="0" w:color="auto"/>
            </w:tcBorders>
          </w:tcPr>
          <w:p w14:paraId="7F451B31" w14:textId="77777777" w:rsidR="0072177F" w:rsidRPr="00A23FB4" w:rsidRDefault="0072177F" w:rsidP="0072177F">
            <w:pPr>
              <w:rPr>
                <w:rFonts w:ascii="Calibri" w:hAnsi="Calibri" w:cs="Calibri"/>
              </w:rPr>
            </w:pPr>
            <w:r w:rsidRPr="00A23FB4">
              <w:rPr>
                <w:rFonts w:ascii="Calibri" w:hAnsi="Calibri" w:cs="Calibri"/>
              </w:rPr>
              <w:t>Podbudowa chodnika</w:t>
            </w:r>
          </w:p>
          <w:p w14:paraId="19312D60" w14:textId="77777777" w:rsidR="0072177F" w:rsidRPr="00A23FB4" w:rsidRDefault="0072177F" w:rsidP="0072177F">
            <w:pPr>
              <w:rPr>
                <w:rFonts w:ascii="Calibri" w:hAnsi="Calibri" w:cs="Calibri"/>
              </w:rPr>
            </w:pPr>
            <w:r w:rsidRPr="00A23FB4">
              <w:rPr>
                <w:rFonts w:ascii="Calibri" w:hAnsi="Calibri" w:cs="Calibri"/>
              </w:rPr>
              <w:t>Podbudowa jezdni</w:t>
            </w:r>
          </w:p>
        </w:tc>
        <w:tc>
          <w:tcPr>
            <w:tcW w:w="1276" w:type="dxa"/>
            <w:tcBorders>
              <w:left w:val="single" w:sz="6" w:space="0" w:color="auto"/>
              <w:bottom w:val="single" w:sz="6" w:space="0" w:color="auto"/>
              <w:right w:val="single" w:sz="6" w:space="0" w:color="auto"/>
            </w:tcBorders>
          </w:tcPr>
          <w:p w14:paraId="0EA6780C" w14:textId="77777777" w:rsidR="0072177F" w:rsidRPr="00A23FB4" w:rsidRDefault="0072177F" w:rsidP="0072177F">
            <w:pPr>
              <w:rPr>
                <w:rFonts w:ascii="Calibri" w:hAnsi="Calibri" w:cs="Calibri"/>
              </w:rPr>
            </w:pPr>
            <w:r w:rsidRPr="00A23FB4">
              <w:rPr>
                <w:rFonts w:ascii="Calibri" w:hAnsi="Calibri" w:cs="Calibri"/>
              </w:rPr>
              <w:t>1,0</w:t>
            </w:r>
          </w:p>
          <w:p w14:paraId="2358125E" w14:textId="77777777" w:rsidR="00050786" w:rsidRPr="00A23FB4" w:rsidRDefault="00050786" w:rsidP="0072177F">
            <w:pPr>
              <w:rPr>
                <w:rFonts w:ascii="Calibri" w:hAnsi="Calibri" w:cs="Calibri"/>
              </w:rPr>
            </w:pPr>
          </w:p>
          <w:p w14:paraId="04C567DC" w14:textId="77777777" w:rsidR="00050786" w:rsidRPr="00A23FB4" w:rsidRDefault="00050786" w:rsidP="0072177F">
            <w:pPr>
              <w:rPr>
                <w:rFonts w:ascii="Calibri" w:hAnsi="Calibri" w:cs="Calibri"/>
              </w:rPr>
            </w:pPr>
          </w:p>
          <w:p w14:paraId="242E0FE2" w14:textId="77777777" w:rsidR="0072177F" w:rsidRPr="00A23FB4" w:rsidRDefault="0072177F" w:rsidP="0072177F">
            <w:pPr>
              <w:rPr>
                <w:rFonts w:ascii="Calibri" w:hAnsi="Calibri" w:cs="Calibri"/>
              </w:rPr>
            </w:pPr>
            <w:r w:rsidRPr="00A23FB4">
              <w:rPr>
                <w:rFonts w:ascii="Calibri" w:hAnsi="Calibri" w:cs="Calibri"/>
              </w:rPr>
              <w:t>1,03</w:t>
            </w:r>
          </w:p>
        </w:tc>
        <w:tc>
          <w:tcPr>
            <w:tcW w:w="1257" w:type="dxa"/>
            <w:tcBorders>
              <w:left w:val="single" w:sz="6" w:space="0" w:color="auto"/>
              <w:bottom w:val="single" w:sz="6" w:space="0" w:color="auto"/>
              <w:right w:val="single" w:sz="6" w:space="0" w:color="auto"/>
            </w:tcBorders>
          </w:tcPr>
          <w:p w14:paraId="162403FB" w14:textId="77777777" w:rsidR="0072177F" w:rsidRPr="00A23FB4" w:rsidRDefault="0072177F" w:rsidP="0072177F">
            <w:pPr>
              <w:rPr>
                <w:rFonts w:ascii="Calibri" w:hAnsi="Calibri" w:cs="Calibri"/>
              </w:rPr>
            </w:pPr>
            <w:r w:rsidRPr="00A23FB4">
              <w:rPr>
                <w:rFonts w:ascii="Calibri" w:hAnsi="Calibri" w:cs="Calibri"/>
              </w:rPr>
              <w:t>Nie określa się</w:t>
            </w:r>
          </w:p>
          <w:p w14:paraId="7EB97478" w14:textId="77777777" w:rsidR="0072177F" w:rsidRPr="00A23FB4" w:rsidRDefault="0072177F" w:rsidP="0072177F">
            <w:pPr>
              <w:rPr>
                <w:rFonts w:ascii="Calibri" w:hAnsi="Calibri" w:cs="Calibri"/>
              </w:rPr>
            </w:pPr>
            <w:r w:rsidRPr="00A23FB4">
              <w:rPr>
                <w:rFonts w:ascii="Calibri" w:hAnsi="Calibri" w:cs="Calibri"/>
              </w:rPr>
              <w:t>1,10</w:t>
            </w:r>
          </w:p>
        </w:tc>
        <w:tc>
          <w:tcPr>
            <w:tcW w:w="1314" w:type="dxa"/>
            <w:tcBorders>
              <w:left w:val="single" w:sz="6" w:space="0" w:color="auto"/>
              <w:bottom w:val="single" w:sz="6" w:space="0" w:color="auto"/>
              <w:right w:val="single" w:sz="6" w:space="0" w:color="auto"/>
            </w:tcBorders>
          </w:tcPr>
          <w:p w14:paraId="2BB619F4" w14:textId="77777777" w:rsidR="0072177F" w:rsidRPr="00A23FB4" w:rsidRDefault="0072177F" w:rsidP="0072177F">
            <w:pPr>
              <w:rPr>
                <w:rFonts w:ascii="Calibri" w:hAnsi="Calibri" w:cs="Calibri"/>
              </w:rPr>
            </w:pPr>
            <w:r w:rsidRPr="00A23FB4">
              <w:rPr>
                <w:rFonts w:ascii="Calibri" w:hAnsi="Calibri" w:cs="Calibri"/>
              </w:rPr>
              <w:t>Nie określa się</w:t>
            </w:r>
          </w:p>
          <w:p w14:paraId="040E70F3" w14:textId="77777777" w:rsidR="0072177F" w:rsidRPr="00A23FB4" w:rsidRDefault="0072177F" w:rsidP="0072177F">
            <w:pPr>
              <w:rPr>
                <w:rFonts w:ascii="Calibri" w:hAnsi="Calibri" w:cs="Calibri"/>
              </w:rPr>
            </w:pPr>
            <w:r w:rsidRPr="00A23FB4">
              <w:rPr>
                <w:rFonts w:ascii="Calibri" w:hAnsi="Calibri" w:cs="Calibri"/>
              </w:rPr>
              <w:t>1,20</w:t>
            </w:r>
          </w:p>
        </w:tc>
        <w:tc>
          <w:tcPr>
            <w:tcW w:w="1228" w:type="dxa"/>
            <w:tcBorders>
              <w:left w:val="single" w:sz="6" w:space="0" w:color="auto"/>
              <w:bottom w:val="single" w:sz="6" w:space="0" w:color="auto"/>
              <w:right w:val="single" w:sz="6" w:space="0" w:color="auto"/>
            </w:tcBorders>
          </w:tcPr>
          <w:p w14:paraId="390FBC72" w14:textId="77777777" w:rsidR="0072177F" w:rsidRPr="00A23FB4" w:rsidRDefault="0072177F" w:rsidP="0072177F">
            <w:pPr>
              <w:rPr>
                <w:rFonts w:ascii="Calibri" w:hAnsi="Calibri" w:cs="Calibri"/>
              </w:rPr>
            </w:pPr>
            <w:r w:rsidRPr="00A23FB4">
              <w:rPr>
                <w:rFonts w:ascii="Calibri" w:hAnsi="Calibri" w:cs="Calibri"/>
              </w:rPr>
              <w:t>60</w:t>
            </w:r>
          </w:p>
          <w:p w14:paraId="2BBD34A9" w14:textId="77777777" w:rsidR="00050786" w:rsidRPr="00A23FB4" w:rsidRDefault="00050786" w:rsidP="0072177F">
            <w:pPr>
              <w:rPr>
                <w:rFonts w:ascii="Calibri" w:hAnsi="Calibri" w:cs="Calibri"/>
              </w:rPr>
            </w:pPr>
          </w:p>
          <w:p w14:paraId="149A09AB" w14:textId="77777777" w:rsidR="00050786" w:rsidRPr="00A23FB4" w:rsidRDefault="00050786" w:rsidP="0072177F">
            <w:pPr>
              <w:rPr>
                <w:rFonts w:ascii="Calibri" w:hAnsi="Calibri" w:cs="Calibri"/>
              </w:rPr>
            </w:pPr>
          </w:p>
          <w:p w14:paraId="7471A987" w14:textId="77777777" w:rsidR="0072177F" w:rsidRPr="00A23FB4" w:rsidRDefault="0072177F" w:rsidP="0072177F">
            <w:pPr>
              <w:rPr>
                <w:rFonts w:ascii="Calibri" w:hAnsi="Calibri" w:cs="Calibri"/>
              </w:rPr>
            </w:pPr>
            <w:r w:rsidRPr="00A23FB4">
              <w:rPr>
                <w:rFonts w:ascii="Calibri" w:hAnsi="Calibri" w:cs="Calibri"/>
              </w:rPr>
              <w:t>100</w:t>
            </w:r>
          </w:p>
        </w:tc>
        <w:tc>
          <w:tcPr>
            <w:tcW w:w="1228" w:type="dxa"/>
            <w:tcBorders>
              <w:left w:val="single" w:sz="6" w:space="0" w:color="auto"/>
              <w:bottom w:val="single" w:sz="6" w:space="0" w:color="auto"/>
              <w:right w:val="single" w:sz="6" w:space="0" w:color="auto"/>
            </w:tcBorders>
          </w:tcPr>
          <w:p w14:paraId="47819A07" w14:textId="77777777" w:rsidR="0072177F" w:rsidRPr="00A23FB4" w:rsidRDefault="0072177F" w:rsidP="0072177F">
            <w:pPr>
              <w:rPr>
                <w:rFonts w:ascii="Calibri" w:hAnsi="Calibri" w:cs="Calibri"/>
              </w:rPr>
            </w:pPr>
            <w:r w:rsidRPr="00A23FB4">
              <w:rPr>
                <w:rFonts w:ascii="Calibri" w:hAnsi="Calibri" w:cs="Calibri"/>
              </w:rPr>
              <w:t>120</w:t>
            </w:r>
          </w:p>
          <w:p w14:paraId="51FECD4B" w14:textId="77777777" w:rsidR="00050786" w:rsidRPr="00A23FB4" w:rsidRDefault="00050786" w:rsidP="0072177F">
            <w:pPr>
              <w:rPr>
                <w:rFonts w:ascii="Calibri" w:hAnsi="Calibri" w:cs="Calibri"/>
              </w:rPr>
            </w:pPr>
          </w:p>
          <w:p w14:paraId="37168C6A" w14:textId="77777777" w:rsidR="00050786" w:rsidRPr="00A23FB4" w:rsidRDefault="00050786" w:rsidP="0072177F">
            <w:pPr>
              <w:rPr>
                <w:rFonts w:ascii="Calibri" w:hAnsi="Calibri" w:cs="Calibri"/>
              </w:rPr>
            </w:pPr>
          </w:p>
          <w:p w14:paraId="771593FF" w14:textId="77777777" w:rsidR="0072177F" w:rsidRPr="00A23FB4" w:rsidRDefault="0072177F" w:rsidP="0072177F">
            <w:pPr>
              <w:rPr>
                <w:rFonts w:ascii="Calibri" w:hAnsi="Calibri" w:cs="Calibri"/>
              </w:rPr>
            </w:pPr>
            <w:r w:rsidRPr="00A23FB4">
              <w:rPr>
                <w:rFonts w:ascii="Calibri" w:hAnsi="Calibri" w:cs="Calibri"/>
              </w:rPr>
              <w:t>180</w:t>
            </w:r>
          </w:p>
        </w:tc>
      </w:tr>
    </w:tbl>
    <w:p w14:paraId="32B5E218" w14:textId="77777777" w:rsidR="0072177F" w:rsidRPr="00A23FB4" w:rsidRDefault="0072177F" w:rsidP="0072177F">
      <w:pPr>
        <w:rPr>
          <w:rFonts w:ascii="Calibri" w:hAnsi="Calibri" w:cs="Calibri"/>
        </w:rPr>
      </w:pPr>
    </w:p>
    <w:p w14:paraId="06AF9195" w14:textId="77777777" w:rsidR="0072177F" w:rsidRPr="00A23FB4" w:rsidRDefault="0072177F" w:rsidP="0072177F">
      <w:pPr>
        <w:pStyle w:val="Nagwek4"/>
        <w:rPr>
          <w:rFonts w:ascii="Calibri" w:hAnsi="Calibri" w:cs="Calibri"/>
        </w:rPr>
      </w:pPr>
      <w:r w:rsidRPr="00A23FB4">
        <w:rPr>
          <w:rFonts w:ascii="Calibri" w:hAnsi="Calibri" w:cs="Calibri"/>
        </w:rPr>
        <w:t xml:space="preserve">6.5. Zasady postępowania z wadliwie wykonanymi odcinkami podbudowy </w:t>
      </w:r>
    </w:p>
    <w:p w14:paraId="1870B2F5" w14:textId="77777777" w:rsidR="0072177F" w:rsidRPr="00A23FB4" w:rsidRDefault="0072177F" w:rsidP="0072177F">
      <w:pPr>
        <w:rPr>
          <w:rFonts w:ascii="Calibri" w:hAnsi="Calibri" w:cs="Calibri"/>
          <w:b/>
          <w:bCs/>
          <w:i/>
          <w:iCs/>
        </w:rPr>
      </w:pPr>
      <w:r w:rsidRPr="00A23FB4">
        <w:rPr>
          <w:rFonts w:ascii="Calibri" w:hAnsi="Calibri" w:cs="Calibri"/>
          <w:b/>
          <w:bCs/>
          <w:i/>
          <w:iCs/>
        </w:rPr>
        <w:t xml:space="preserve">6.5.1. Niewłaściwe cechy geometryczne podbudowy </w:t>
      </w:r>
    </w:p>
    <w:p w14:paraId="368E32D4" w14:textId="77777777" w:rsidR="0072177F" w:rsidRPr="00A23FB4" w:rsidRDefault="0072177F" w:rsidP="0072177F">
      <w:pPr>
        <w:rPr>
          <w:rFonts w:ascii="Calibri" w:hAnsi="Calibri" w:cs="Calibri"/>
        </w:rPr>
      </w:pPr>
      <w:r w:rsidRPr="00A23FB4">
        <w:rPr>
          <w:rFonts w:ascii="Calibri" w:hAnsi="Calibri" w:cs="Calibri"/>
        </w:rPr>
        <w:t>Wszystkie powierzchnie podbudowy, które wykazują większe odchylenia od  określonych w punkcie 6.4 powinny być naprawione przez spulchnienie lub zerwanie do głębokości co najmniej 10 cm, wyrównane i powtórnie zagęszczone. Dodanie nowego materiału bez spulchnienia wykonanej warstwy jest niedopuszczalne.</w:t>
      </w:r>
    </w:p>
    <w:p w14:paraId="0840AFFB" w14:textId="77777777" w:rsidR="0072177F" w:rsidRPr="00A23FB4" w:rsidRDefault="0072177F" w:rsidP="0072177F">
      <w:pPr>
        <w:rPr>
          <w:rFonts w:ascii="Calibri" w:hAnsi="Calibri" w:cs="Calibri"/>
        </w:rPr>
      </w:pPr>
      <w:r w:rsidRPr="00A23FB4">
        <w:rPr>
          <w:rFonts w:ascii="Calibri" w:hAnsi="Calibri" w:cs="Calibri"/>
        </w:rPr>
        <w:t>Jeżeli szerokość podbudowy jest mniejsza od szerokości projektowanej o więcej niż 5 cm i nie zapewnia podparcia warstwom wyżej leżącym, to Wykonawca powinien na własny koszt poszerzyć podbudowę przez spulchnienie warstwy na pełną grubość do połowy szerokości pasa ruchu, dołożenie materiału i powtórne zagęszczenie.</w:t>
      </w:r>
    </w:p>
    <w:p w14:paraId="34ABF62B" w14:textId="77777777" w:rsidR="0072177F" w:rsidRPr="00A23FB4" w:rsidRDefault="0072177F" w:rsidP="0072177F">
      <w:pPr>
        <w:rPr>
          <w:rFonts w:ascii="Calibri" w:hAnsi="Calibri" w:cs="Calibri"/>
          <w:b/>
          <w:bCs/>
          <w:i/>
          <w:iCs/>
        </w:rPr>
      </w:pPr>
      <w:r w:rsidRPr="00A23FB4">
        <w:rPr>
          <w:rFonts w:ascii="Calibri" w:hAnsi="Calibri" w:cs="Calibri"/>
          <w:b/>
          <w:bCs/>
          <w:i/>
          <w:iCs/>
        </w:rPr>
        <w:t xml:space="preserve">6.5.2. Niewłaściwa grubość podbudowy </w:t>
      </w:r>
    </w:p>
    <w:p w14:paraId="440F9C1F" w14:textId="77777777" w:rsidR="0072177F" w:rsidRPr="00A23FB4" w:rsidRDefault="0072177F" w:rsidP="0072177F">
      <w:pPr>
        <w:rPr>
          <w:rFonts w:ascii="Calibri" w:hAnsi="Calibri" w:cs="Calibri"/>
        </w:rPr>
      </w:pPr>
      <w:r w:rsidRPr="00A23FB4">
        <w:rPr>
          <w:rFonts w:ascii="Calibri" w:hAnsi="Calibri" w:cs="Calibri"/>
        </w:rPr>
        <w:t>Na wszystkich powierzchniach wadliwych pod względem grubości, Wykonawca wykona naprawę podbudowy. Powierzchnie powinny być naprawione przez spulchnienie lub wybranie warstwy na odpowiednią głębokość, zgodnie z decyzją Inżyniera/Kierownika projektu, uzupełnione nowym materiałem o odpowiednich właściwościach, wyrównane i ponownie zagęszczone.</w:t>
      </w:r>
    </w:p>
    <w:p w14:paraId="25E53C90" w14:textId="77777777" w:rsidR="0072177F" w:rsidRPr="00A23FB4" w:rsidRDefault="0072177F" w:rsidP="0072177F">
      <w:pPr>
        <w:rPr>
          <w:rFonts w:ascii="Calibri" w:hAnsi="Calibri" w:cs="Calibri"/>
        </w:rPr>
      </w:pPr>
      <w:r w:rsidRPr="00A23FB4">
        <w:rPr>
          <w:rFonts w:ascii="Calibri" w:hAnsi="Calibri" w:cs="Calibri"/>
        </w:rPr>
        <w:t>Roboty te Wykonawca wykona na własny koszt. Po wykonaniu tych robót nastąpi ponowny pomiar i ocena grubości warstwy, według wyżej podanych zasad, na koszt Wykonawcy.</w:t>
      </w:r>
    </w:p>
    <w:p w14:paraId="665117FB" w14:textId="77777777" w:rsidR="0072177F" w:rsidRPr="00A23FB4" w:rsidRDefault="0072177F" w:rsidP="0072177F">
      <w:pPr>
        <w:rPr>
          <w:rFonts w:ascii="Calibri" w:hAnsi="Calibri" w:cs="Calibri"/>
          <w:b/>
          <w:bCs/>
          <w:i/>
          <w:iCs/>
        </w:rPr>
      </w:pPr>
      <w:r w:rsidRPr="00A23FB4">
        <w:rPr>
          <w:rFonts w:ascii="Calibri" w:hAnsi="Calibri" w:cs="Calibri"/>
          <w:b/>
          <w:bCs/>
          <w:i/>
          <w:iCs/>
        </w:rPr>
        <w:t xml:space="preserve">6.5.3. Niewłaściwa nośność podbudowy </w:t>
      </w:r>
    </w:p>
    <w:p w14:paraId="5011F6D0" w14:textId="77777777" w:rsidR="0072177F" w:rsidRPr="00A23FB4" w:rsidRDefault="0072177F" w:rsidP="0072177F">
      <w:pPr>
        <w:rPr>
          <w:rFonts w:ascii="Calibri" w:hAnsi="Calibri" w:cs="Calibri"/>
        </w:rPr>
      </w:pPr>
      <w:r w:rsidRPr="00A23FB4">
        <w:rPr>
          <w:rFonts w:ascii="Calibri" w:hAnsi="Calibri" w:cs="Calibri"/>
        </w:rPr>
        <w:t>Jeżeli nośność podbudowy będzie mniejsza od wymaganej, to Wykonawca wykona wszelkie roboty niezbędne do zapewnienia wymaganej nośności, zalecone przez Inżyniera/Kierownika projektu.</w:t>
      </w:r>
    </w:p>
    <w:p w14:paraId="5C36625A" w14:textId="77777777" w:rsidR="0072177F" w:rsidRPr="00A23FB4" w:rsidRDefault="0072177F" w:rsidP="0072177F">
      <w:pPr>
        <w:rPr>
          <w:rFonts w:ascii="Calibri" w:hAnsi="Calibri" w:cs="Calibri"/>
        </w:rPr>
      </w:pPr>
      <w:r w:rsidRPr="00A23FB4">
        <w:rPr>
          <w:rFonts w:ascii="Calibri" w:hAnsi="Calibri" w:cs="Calibri"/>
        </w:rPr>
        <w:t>Koszty tych dodatkowych robót poniesie Wykonawca podbudowy tylko wtedy, gdy zaniżenie nośności podbudowy wynikło z niewłaściwego wykonania robót przez Wykonawcę podbudowy.</w:t>
      </w:r>
    </w:p>
    <w:p w14:paraId="2D67F9E7" w14:textId="77777777" w:rsidR="009051F5" w:rsidRPr="00A23FB4" w:rsidRDefault="009051F5" w:rsidP="0072177F">
      <w:pPr>
        <w:rPr>
          <w:rFonts w:ascii="Calibri" w:hAnsi="Calibri" w:cs="Calibri"/>
          <w:b/>
        </w:rPr>
      </w:pPr>
    </w:p>
    <w:p w14:paraId="08EAD948" w14:textId="77777777" w:rsidR="0072177F" w:rsidRPr="00A23FB4" w:rsidRDefault="0072177F" w:rsidP="0072177F">
      <w:pPr>
        <w:rPr>
          <w:rFonts w:ascii="Calibri" w:hAnsi="Calibri" w:cs="Calibri"/>
          <w:b/>
        </w:rPr>
      </w:pPr>
      <w:r w:rsidRPr="00A23FB4">
        <w:rPr>
          <w:rFonts w:ascii="Calibri" w:hAnsi="Calibri" w:cs="Calibri"/>
          <w:b/>
        </w:rPr>
        <w:t>7. OBMIAR ROBÓT</w:t>
      </w:r>
    </w:p>
    <w:p w14:paraId="1FA5106D" w14:textId="77777777" w:rsidR="007C04C0" w:rsidRDefault="007C04C0" w:rsidP="007C04C0">
      <w:pPr>
        <w:pStyle w:val="StylIwony"/>
        <w:suppressAutoHyphens/>
        <w:spacing w:before="0" w:after="0"/>
        <w:rPr>
          <w:rFonts w:asciiTheme="minorHAnsi" w:hAnsiTheme="minorHAnsi" w:cstheme="minorHAnsi"/>
          <w:sz w:val="20"/>
          <w:szCs w:val="20"/>
        </w:rPr>
      </w:pPr>
    </w:p>
    <w:p w14:paraId="20C27320" w14:textId="5EC75216" w:rsidR="007C04C0" w:rsidRDefault="007C04C0" w:rsidP="007C04C0">
      <w:pPr>
        <w:pStyle w:val="StylIwony"/>
        <w:suppressAutoHyphens/>
        <w:spacing w:before="0" w:after="0"/>
        <w:rPr>
          <w:rFonts w:asciiTheme="minorHAnsi" w:hAnsiTheme="minorHAnsi" w:cstheme="minorHAnsi"/>
          <w:sz w:val="20"/>
          <w:szCs w:val="20"/>
        </w:rPr>
      </w:pPr>
      <w:r>
        <w:rPr>
          <w:rFonts w:asciiTheme="minorHAnsi" w:hAnsiTheme="minorHAnsi" w:cstheme="minorHAnsi"/>
          <w:sz w:val="20"/>
          <w:szCs w:val="20"/>
        </w:rPr>
        <w:t>Kontrakt ryczałtowy</w:t>
      </w:r>
    </w:p>
    <w:p w14:paraId="364E1F9F" w14:textId="1322DA76" w:rsidR="0072177F" w:rsidRPr="00A23FB4" w:rsidRDefault="0072177F" w:rsidP="0072177F">
      <w:pPr>
        <w:rPr>
          <w:rFonts w:ascii="Calibri" w:hAnsi="Calibri" w:cs="Calibri"/>
        </w:rPr>
      </w:pPr>
      <w:r w:rsidRPr="00A23FB4">
        <w:rPr>
          <w:rFonts w:ascii="Calibri" w:hAnsi="Calibri" w:cs="Calibri"/>
        </w:rPr>
        <w:t xml:space="preserve">Ogólne zasady obmiaru robót podano w </w:t>
      </w:r>
      <w:r w:rsidR="007E5E56">
        <w:rPr>
          <w:rFonts w:ascii="Calibri" w:hAnsi="Calibri" w:cs="Calibri"/>
        </w:rPr>
        <w:t>ST</w:t>
      </w:r>
      <w:r w:rsidRPr="00A23FB4">
        <w:rPr>
          <w:rFonts w:ascii="Calibri" w:hAnsi="Calibri" w:cs="Calibri"/>
        </w:rPr>
        <w:t>WiORB D-M-00.00.00 „Podbudowa z kruszyw. Wymagania ogólne” pkt 7.</w:t>
      </w:r>
    </w:p>
    <w:p w14:paraId="4AB7A902" w14:textId="77777777" w:rsidR="009051F5" w:rsidRPr="00A23FB4" w:rsidRDefault="009051F5" w:rsidP="0072177F">
      <w:pPr>
        <w:rPr>
          <w:rFonts w:ascii="Calibri" w:hAnsi="Calibri" w:cs="Calibri"/>
          <w:b/>
        </w:rPr>
      </w:pPr>
    </w:p>
    <w:p w14:paraId="02DB7EE8" w14:textId="77777777" w:rsidR="0072177F" w:rsidRPr="00A23FB4" w:rsidRDefault="0072177F" w:rsidP="0072177F">
      <w:pPr>
        <w:rPr>
          <w:rFonts w:ascii="Calibri" w:hAnsi="Calibri" w:cs="Calibri"/>
          <w:b/>
        </w:rPr>
      </w:pPr>
      <w:r w:rsidRPr="00A23FB4">
        <w:rPr>
          <w:rFonts w:ascii="Calibri" w:hAnsi="Calibri" w:cs="Calibri"/>
          <w:b/>
        </w:rPr>
        <w:t>8. ODBIÓR ROBÓT</w:t>
      </w:r>
    </w:p>
    <w:p w14:paraId="39A04134" w14:textId="3B2EAB47" w:rsidR="0072177F" w:rsidRPr="00A23FB4" w:rsidRDefault="0072177F" w:rsidP="0072177F">
      <w:pPr>
        <w:rPr>
          <w:rFonts w:ascii="Calibri" w:hAnsi="Calibri" w:cs="Calibri"/>
        </w:rPr>
      </w:pPr>
      <w:r w:rsidRPr="00A23FB4">
        <w:rPr>
          <w:rFonts w:ascii="Calibri" w:hAnsi="Calibri" w:cs="Calibri"/>
        </w:rPr>
        <w:t xml:space="preserve">Ogólne zasady odbioru robót podano w </w:t>
      </w:r>
      <w:r w:rsidR="007E5E56">
        <w:rPr>
          <w:rFonts w:ascii="Calibri" w:hAnsi="Calibri" w:cs="Calibri"/>
        </w:rPr>
        <w:t>ST</w:t>
      </w:r>
      <w:r w:rsidRPr="00A23FB4">
        <w:rPr>
          <w:rFonts w:ascii="Calibri" w:hAnsi="Calibri" w:cs="Calibri"/>
        </w:rPr>
        <w:t>WiORB D-M-00.00.00 „Wymagania ogólne” pkt 8.</w:t>
      </w:r>
    </w:p>
    <w:p w14:paraId="53F24733" w14:textId="41F6FF15" w:rsidR="0072177F" w:rsidRPr="00A23FB4" w:rsidRDefault="0072177F" w:rsidP="0072177F">
      <w:pPr>
        <w:rPr>
          <w:rFonts w:ascii="Calibri" w:hAnsi="Calibri" w:cs="Calibri"/>
        </w:rPr>
      </w:pPr>
      <w:r w:rsidRPr="00A23FB4">
        <w:rPr>
          <w:rFonts w:ascii="Calibri" w:hAnsi="Calibri" w:cs="Calibri"/>
        </w:rPr>
        <w:t xml:space="preserve">Roboty uznaje się za zgodne z dokumentacją projektową, </w:t>
      </w:r>
      <w:r w:rsidR="007E5E56">
        <w:rPr>
          <w:rFonts w:ascii="Calibri" w:hAnsi="Calibri" w:cs="Calibri"/>
        </w:rPr>
        <w:t>ST</w:t>
      </w:r>
      <w:r w:rsidRPr="00A23FB4">
        <w:rPr>
          <w:rFonts w:ascii="Calibri" w:hAnsi="Calibri" w:cs="Calibri"/>
        </w:rPr>
        <w:t>WiORB i wymaganiami Inżyniera/Kierownika projektu, jeżeli wszystkie pomiary i badania z zachowaniem tolerancji wg pkt 6 dały wyniki pozytywne.</w:t>
      </w:r>
    </w:p>
    <w:p w14:paraId="16CFCD8E" w14:textId="77777777" w:rsidR="007F4946" w:rsidRPr="00A23FB4" w:rsidRDefault="007F4946" w:rsidP="0072177F">
      <w:pPr>
        <w:rPr>
          <w:rFonts w:ascii="Calibri" w:hAnsi="Calibri" w:cs="Calibri"/>
          <w:b/>
        </w:rPr>
      </w:pPr>
      <w:bookmarkStart w:id="535" w:name="_Toc418394445"/>
      <w:bookmarkStart w:id="536" w:name="_Toc423845946"/>
    </w:p>
    <w:p w14:paraId="3D0D7D94" w14:textId="77777777" w:rsidR="00CF21DF" w:rsidRPr="00A23FB4" w:rsidRDefault="00CF21DF" w:rsidP="0072177F">
      <w:pPr>
        <w:rPr>
          <w:rFonts w:ascii="Calibri" w:hAnsi="Calibri" w:cs="Calibri"/>
          <w:b/>
        </w:rPr>
      </w:pPr>
    </w:p>
    <w:p w14:paraId="49976B0F" w14:textId="77777777" w:rsidR="0072177F" w:rsidRPr="00A23FB4" w:rsidRDefault="0072177F" w:rsidP="0072177F">
      <w:pPr>
        <w:rPr>
          <w:rFonts w:ascii="Calibri" w:hAnsi="Calibri" w:cs="Calibri"/>
          <w:b/>
        </w:rPr>
      </w:pPr>
      <w:r w:rsidRPr="00A23FB4">
        <w:rPr>
          <w:rFonts w:ascii="Calibri" w:hAnsi="Calibri" w:cs="Calibri"/>
          <w:b/>
        </w:rPr>
        <w:t>9. PODSTAWA PŁATNOŚCI</w:t>
      </w:r>
      <w:bookmarkEnd w:id="535"/>
      <w:bookmarkEnd w:id="536"/>
    </w:p>
    <w:p w14:paraId="12FF9AF7" w14:textId="77777777" w:rsidR="007C04C0" w:rsidRDefault="007C04C0" w:rsidP="007C04C0">
      <w:pPr>
        <w:pStyle w:val="StylIwony"/>
        <w:suppressAutoHyphens/>
        <w:spacing w:before="0" w:after="0"/>
        <w:rPr>
          <w:rFonts w:asciiTheme="minorHAnsi" w:hAnsiTheme="minorHAnsi" w:cstheme="minorHAnsi"/>
          <w:sz w:val="20"/>
          <w:szCs w:val="20"/>
        </w:rPr>
      </w:pPr>
    </w:p>
    <w:p w14:paraId="1A73F7CC" w14:textId="6DF60A8C" w:rsidR="007C04C0" w:rsidRDefault="007C04C0" w:rsidP="007C04C0">
      <w:pPr>
        <w:pStyle w:val="StylIwony"/>
        <w:suppressAutoHyphens/>
        <w:spacing w:before="0" w:after="0"/>
        <w:rPr>
          <w:rFonts w:asciiTheme="minorHAnsi" w:hAnsiTheme="minorHAnsi" w:cstheme="minorHAnsi"/>
          <w:sz w:val="20"/>
          <w:szCs w:val="20"/>
        </w:rPr>
      </w:pPr>
      <w:r>
        <w:rPr>
          <w:rFonts w:asciiTheme="minorHAnsi" w:hAnsiTheme="minorHAnsi" w:cstheme="minorHAnsi"/>
          <w:sz w:val="20"/>
          <w:szCs w:val="20"/>
        </w:rPr>
        <w:t>Kontrakt ryczałtowy</w:t>
      </w:r>
    </w:p>
    <w:p w14:paraId="1628C9AB" w14:textId="797D0F7F" w:rsidR="009F5DEB" w:rsidRPr="00A23FB4" w:rsidRDefault="0072177F" w:rsidP="0072177F">
      <w:pPr>
        <w:rPr>
          <w:rFonts w:ascii="Calibri" w:hAnsi="Calibri" w:cs="Calibri"/>
        </w:rPr>
      </w:pPr>
      <w:r w:rsidRPr="00A23FB4">
        <w:rPr>
          <w:rFonts w:ascii="Calibri" w:hAnsi="Calibri" w:cs="Calibri"/>
        </w:rPr>
        <w:t xml:space="preserve">Ogólne ustalenia dotyczące podstawy płatności podano w </w:t>
      </w:r>
      <w:r w:rsidR="007E5E56">
        <w:rPr>
          <w:rFonts w:ascii="Calibri" w:hAnsi="Calibri" w:cs="Calibri"/>
        </w:rPr>
        <w:t>ST</w:t>
      </w:r>
      <w:r w:rsidRPr="00A23FB4">
        <w:rPr>
          <w:rFonts w:ascii="Calibri" w:hAnsi="Calibri" w:cs="Calibri"/>
        </w:rPr>
        <w:t>WiORB D-M-00.00.00 „Wymagania ogólne” pkt 9.</w:t>
      </w:r>
    </w:p>
    <w:p w14:paraId="35CD57A0" w14:textId="77777777" w:rsidR="0072177F" w:rsidRPr="00A23FB4" w:rsidRDefault="0072177F" w:rsidP="0072177F">
      <w:pPr>
        <w:rPr>
          <w:rFonts w:ascii="Calibri" w:hAnsi="Calibri" w:cs="Calibri"/>
          <w:b/>
        </w:rPr>
      </w:pPr>
      <w:r w:rsidRPr="00A23FB4">
        <w:rPr>
          <w:rFonts w:ascii="Calibri" w:hAnsi="Calibri" w:cs="Calibri"/>
          <w:b/>
        </w:rPr>
        <w:t>10. PRZEPISY ZWIĄZANE</w:t>
      </w:r>
    </w:p>
    <w:p w14:paraId="21A758F0" w14:textId="77777777" w:rsidR="0072177F" w:rsidRPr="00A23FB4" w:rsidRDefault="0072177F" w:rsidP="0072177F">
      <w:pPr>
        <w:pStyle w:val="Nagwek4"/>
        <w:rPr>
          <w:rFonts w:ascii="Calibri" w:hAnsi="Calibri" w:cs="Calibri"/>
        </w:rPr>
      </w:pPr>
      <w:r w:rsidRPr="00A23FB4">
        <w:rPr>
          <w:rFonts w:ascii="Calibri" w:hAnsi="Calibri" w:cs="Calibri"/>
        </w:rPr>
        <w:t>10.1. Normy</w:t>
      </w:r>
    </w:p>
    <w:tbl>
      <w:tblPr>
        <w:tblW w:w="9851" w:type="dxa"/>
        <w:tblInd w:w="2" w:type="dxa"/>
        <w:tblLayout w:type="fixed"/>
        <w:tblCellMar>
          <w:left w:w="70" w:type="dxa"/>
          <w:right w:w="70" w:type="dxa"/>
        </w:tblCellMar>
        <w:tblLook w:val="0000" w:firstRow="0" w:lastRow="0" w:firstColumn="0" w:lastColumn="0" w:noHBand="0" w:noVBand="0"/>
      </w:tblPr>
      <w:tblGrid>
        <w:gridCol w:w="637"/>
        <w:gridCol w:w="1701"/>
        <w:gridCol w:w="7513"/>
      </w:tblGrid>
      <w:tr w:rsidR="0072177F" w:rsidRPr="00A23FB4" w14:paraId="5D53F0DD" w14:textId="77777777" w:rsidTr="0072177F">
        <w:tc>
          <w:tcPr>
            <w:tcW w:w="637" w:type="dxa"/>
          </w:tcPr>
          <w:p w14:paraId="2C0BB16D" w14:textId="77777777" w:rsidR="0072177F" w:rsidRPr="00067D67" w:rsidRDefault="0072177F" w:rsidP="0072177F">
            <w:pPr>
              <w:rPr>
                <w:rFonts w:ascii="Calibri" w:hAnsi="Calibri" w:cs="Calibri"/>
                <w:sz w:val="18"/>
                <w:szCs w:val="18"/>
              </w:rPr>
            </w:pPr>
            <w:r w:rsidRPr="00067D67">
              <w:rPr>
                <w:rFonts w:ascii="Calibri" w:hAnsi="Calibri" w:cs="Calibri"/>
                <w:sz w:val="18"/>
                <w:szCs w:val="18"/>
              </w:rPr>
              <w:t xml:space="preserve">  1.</w:t>
            </w:r>
          </w:p>
        </w:tc>
        <w:tc>
          <w:tcPr>
            <w:tcW w:w="1701" w:type="dxa"/>
          </w:tcPr>
          <w:p w14:paraId="57A26BF4" w14:textId="77777777" w:rsidR="0072177F" w:rsidRPr="00067D67" w:rsidRDefault="0072177F" w:rsidP="0072177F">
            <w:pPr>
              <w:rPr>
                <w:rFonts w:ascii="Calibri" w:hAnsi="Calibri" w:cs="Calibri"/>
                <w:sz w:val="18"/>
                <w:szCs w:val="18"/>
              </w:rPr>
            </w:pPr>
            <w:r w:rsidRPr="00067D67">
              <w:rPr>
                <w:rFonts w:ascii="Calibri" w:hAnsi="Calibri" w:cs="Calibri"/>
                <w:sz w:val="18"/>
                <w:szCs w:val="18"/>
              </w:rPr>
              <w:t>PN-B-04481:1988</w:t>
            </w:r>
          </w:p>
        </w:tc>
        <w:tc>
          <w:tcPr>
            <w:tcW w:w="7513" w:type="dxa"/>
          </w:tcPr>
          <w:p w14:paraId="0D1442D1" w14:textId="77777777" w:rsidR="0072177F" w:rsidRPr="00067D67" w:rsidRDefault="0072177F" w:rsidP="0072177F">
            <w:pPr>
              <w:rPr>
                <w:rFonts w:ascii="Calibri" w:hAnsi="Calibri" w:cs="Calibri"/>
                <w:sz w:val="18"/>
                <w:szCs w:val="18"/>
              </w:rPr>
            </w:pPr>
            <w:r w:rsidRPr="00067D67">
              <w:rPr>
                <w:rFonts w:ascii="Calibri" w:hAnsi="Calibri" w:cs="Calibri"/>
                <w:sz w:val="18"/>
                <w:szCs w:val="18"/>
              </w:rPr>
              <w:t>Grunty budowlane. Badania próbek gruntu</w:t>
            </w:r>
          </w:p>
        </w:tc>
      </w:tr>
      <w:tr w:rsidR="0072177F" w:rsidRPr="00A23FB4" w14:paraId="6029ED12" w14:textId="77777777" w:rsidTr="0072177F">
        <w:tc>
          <w:tcPr>
            <w:tcW w:w="637" w:type="dxa"/>
          </w:tcPr>
          <w:p w14:paraId="784C3D2D" w14:textId="77777777" w:rsidR="0072177F" w:rsidRPr="00067D67" w:rsidRDefault="0072177F" w:rsidP="0072177F">
            <w:pPr>
              <w:rPr>
                <w:rFonts w:ascii="Calibri" w:hAnsi="Calibri" w:cs="Calibri"/>
                <w:sz w:val="18"/>
                <w:szCs w:val="18"/>
              </w:rPr>
            </w:pPr>
            <w:r w:rsidRPr="00067D67">
              <w:rPr>
                <w:rFonts w:ascii="Calibri" w:hAnsi="Calibri" w:cs="Calibri"/>
                <w:sz w:val="18"/>
                <w:szCs w:val="18"/>
              </w:rPr>
              <w:t xml:space="preserve">  2</w:t>
            </w:r>
          </w:p>
        </w:tc>
        <w:tc>
          <w:tcPr>
            <w:tcW w:w="1701" w:type="dxa"/>
          </w:tcPr>
          <w:p w14:paraId="1FD3E0F5" w14:textId="77777777" w:rsidR="0072177F" w:rsidRPr="00067D67" w:rsidRDefault="0072177F" w:rsidP="0072177F">
            <w:pPr>
              <w:rPr>
                <w:rFonts w:ascii="Calibri" w:hAnsi="Calibri" w:cs="Calibri"/>
                <w:sz w:val="18"/>
                <w:szCs w:val="18"/>
              </w:rPr>
            </w:pPr>
            <w:r w:rsidRPr="00067D67">
              <w:rPr>
                <w:rFonts w:ascii="Calibri" w:hAnsi="Calibri" w:cs="Calibri"/>
                <w:sz w:val="18"/>
                <w:szCs w:val="18"/>
              </w:rPr>
              <w:t>PN-B-11111:1996</w:t>
            </w:r>
          </w:p>
        </w:tc>
        <w:tc>
          <w:tcPr>
            <w:tcW w:w="7513" w:type="dxa"/>
          </w:tcPr>
          <w:p w14:paraId="1E69E95A" w14:textId="77777777" w:rsidR="0072177F" w:rsidRPr="00067D67" w:rsidRDefault="0072177F" w:rsidP="0072177F">
            <w:pPr>
              <w:rPr>
                <w:rFonts w:ascii="Calibri" w:hAnsi="Calibri" w:cs="Calibri"/>
                <w:sz w:val="18"/>
                <w:szCs w:val="18"/>
              </w:rPr>
            </w:pPr>
            <w:r w:rsidRPr="00067D67">
              <w:rPr>
                <w:rFonts w:ascii="Calibri" w:hAnsi="Calibri" w:cs="Calibri"/>
                <w:sz w:val="18"/>
                <w:szCs w:val="18"/>
              </w:rPr>
              <w:t>Kruszywa mineralne. Kruszywa naturalne do nawierzchni drogowych. Żwir i mieszanka</w:t>
            </w:r>
          </w:p>
        </w:tc>
      </w:tr>
      <w:tr w:rsidR="0072177F" w:rsidRPr="00A23FB4" w14:paraId="152C6A55" w14:textId="77777777" w:rsidTr="0072177F">
        <w:tc>
          <w:tcPr>
            <w:tcW w:w="637" w:type="dxa"/>
          </w:tcPr>
          <w:p w14:paraId="4378C167" w14:textId="77777777" w:rsidR="0072177F" w:rsidRPr="00067D67" w:rsidRDefault="0072177F" w:rsidP="0072177F">
            <w:pPr>
              <w:rPr>
                <w:rFonts w:ascii="Calibri" w:hAnsi="Calibri" w:cs="Calibri"/>
                <w:sz w:val="18"/>
                <w:szCs w:val="18"/>
              </w:rPr>
            </w:pPr>
            <w:r w:rsidRPr="00067D67">
              <w:rPr>
                <w:rFonts w:ascii="Calibri" w:hAnsi="Calibri" w:cs="Calibri"/>
                <w:sz w:val="18"/>
                <w:szCs w:val="18"/>
              </w:rPr>
              <w:t xml:space="preserve">  3</w:t>
            </w:r>
          </w:p>
        </w:tc>
        <w:tc>
          <w:tcPr>
            <w:tcW w:w="1701" w:type="dxa"/>
          </w:tcPr>
          <w:p w14:paraId="0AA05B8C" w14:textId="77777777" w:rsidR="0072177F" w:rsidRPr="00067D67" w:rsidRDefault="0072177F" w:rsidP="0072177F">
            <w:pPr>
              <w:rPr>
                <w:rFonts w:ascii="Calibri" w:hAnsi="Calibri" w:cs="Calibri"/>
                <w:sz w:val="18"/>
                <w:szCs w:val="18"/>
              </w:rPr>
            </w:pPr>
            <w:r w:rsidRPr="00067D67">
              <w:rPr>
                <w:rFonts w:ascii="Calibri" w:hAnsi="Calibri" w:cs="Calibri"/>
                <w:sz w:val="18"/>
                <w:szCs w:val="18"/>
              </w:rPr>
              <w:t>PN-B-11112:1996</w:t>
            </w:r>
          </w:p>
        </w:tc>
        <w:tc>
          <w:tcPr>
            <w:tcW w:w="7513" w:type="dxa"/>
          </w:tcPr>
          <w:p w14:paraId="44E4B624" w14:textId="77777777" w:rsidR="0072177F" w:rsidRPr="00067D67" w:rsidRDefault="0072177F" w:rsidP="0072177F">
            <w:pPr>
              <w:rPr>
                <w:rFonts w:ascii="Calibri" w:hAnsi="Calibri" w:cs="Calibri"/>
                <w:sz w:val="18"/>
                <w:szCs w:val="18"/>
              </w:rPr>
            </w:pPr>
            <w:r w:rsidRPr="00067D67">
              <w:rPr>
                <w:rFonts w:ascii="Calibri" w:hAnsi="Calibri" w:cs="Calibri"/>
                <w:sz w:val="18"/>
                <w:szCs w:val="18"/>
              </w:rPr>
              <w:t>Kruszywa mineralne. Kruszywa łamane do nawierzchni drogowych</w:t>
            </w:r>
          </w:p>
        </w:tc>
      </w:tr>
      <w:tr w:rsidR="0072177F" w:rsidRPr="00A23FB4" w14:paraId="00454E9C" w14:textId="77777777" w:rsidTr="0072177F">
        <w:tc>
          <w:tcPr>
            <w:tcW w:w="637" w:type="dxa"/>
          </w:tcPr>
          <w:p w14:paraId="63F7FDE4" w14:textId="77777777" w:rsidR="0072177F" w:rsidRPr="00067D67" w:rsidRDefault="0072177F" w:rsidP="0072177F">
            <w:pPr>
              <w:rPr>
                <w:rFonts w:ascii="Calibri" w:hAnsi="Calibri" w:cs="Calibri"/>
                <w:sz w:val="18"/>
                <w:szCs w:val="18"/>
              </w:rPr>
            </w:pPr>
            <w:r w:rsidRPr="00067D67">
              <w:rPr>
                <w:rFonts w:ascii="Calibri" w:hAnsi="Calibri" w:cs="Calibri"/>
                <w:sz w:val="18"/>
                <w:szCs w:val="18"/>
              </w:rPr>
              <w:t xml:space="preserve">  4</w:t>
            </w:r>
          </w:p>
        </w:tc>
        <w:tc>
          <w:tcPr>
            <w:tcW w:w="1701" w:type="dxa"/>
          </w:tcPr>
          <w:p w14:paraId="3BD40AD1" w14:textId="77777777" w:rsidR="0072177F" w:rsidRPr="00067D67" w:rsidRDefault="0072177F" w:rsidP="0072177F">
            <w:pPr>
              <w:rPr>
                <w:rFonts w:ascii="Calibri" w:hAnsi="Calibri" w:cs="Calibri"/>
                <w:sz w:val="18"/>
                <w:szCs w:val="18"/>
              </w:rPr>
            </w:pPr>
            <w:r w:rsidRPr="00067D67">
              <w:rPr>
                <w:rFonts w:ascii="Calibri" w:hAnsi="Calibri" w:cs="Calibri"/>
                <w:sz w:val="18"/>
                <w:szCs w:val="18"/>
              </w:rPr>
              <w:t>PN-EN-1008:2004</w:t>
            </w:r>
          </w:p>
        </w:tc>
        <w:tc>
          <w:tcPr>
            <w:tcW w:w="7513" w:type="dxa"/>
          </w:tcPr>
          <w:p w14:paraId="50AFB87C" w14:textId="77777777" w:rsidR="0072177F" w:rsidRPr="00067D67" w:rsidRDefault="0072177F" w:rsidP="0072177F">
            <w:pPr>
              <w:rPr>
                <w:rFonts w:ascii="Calibri" w:hAnsi="Calibri" w:cs="Calibri"/>
                <w:sz w:val="18"/>
                <w:szCs w:val="18"/>
              </w:rPr>
            </w:pPr>
            <w:r w:rsidRPr="00067D67">
              <w:rPr>
                <w:rFonts w:ascii="Calibri" w:hAnsi="Calibri" w:cs="Calibri"/>
                <w:sz w:val="18"/>
                <w:szCs w:val="18"/>
              </w:rPr>
              <w:t>Woda zarobowa do betonu Specyfikacja pobierania próbek, badania i ocena przydatności wody zarobowej do betonu, w tym wody odzyskanej z procesów produkcji betonu</w:t>
            </w:r>
          </w:p>
        </w:tc>
      </w:tr>
      <w:tr w:rsidR="0072177F" w:rsidRPr="00A23FB4" w14:paraId="7B271132" w14:textId="77777777" w:rsidTr="0072177F">
        <w:tc>
          <w:tcPr>
            <w:tcW w:w="637" w:type="dxa"/>
          </w:tcPr>
          <w:p w14:paraId="7DE556D0" w14:textId="77777777" w:rsidR="0072177F" w:rsidRPr="00067D67" w:rsidRDefault="0072177F" w:rsidP="0072177F">
            <w:pPr>
              <w:rPr>
                <w:rFonts w:ascii="Calibri" w:hAnsi="Calibri" w:cs="Calibri"/>
                <w:sz w:val="18"/>
                <w:szCs w:val="18"/>
              </w:rPr>
            </w:pPr>
            <w:r w:rsidRPr="00067D67">
              <w:rPr>
                <w:rFonts w:ascii="Calibri" w:hAnsi="Calibri" w:cs="Calibri"/>
                <w:sz w:val="18"/>
                <w:szCs w:val="18"/>
              </w:rPr>
              <w:t xml:space="preserve">  5</w:t>
            </w:r>
          </w:p>
        </w:tc>
        <w:tc>
          <w:tcPr>
            <w:tcW w:w="1701" w:type="dxa"/>
          </w:tcPr>
          <w:p w14:paraId="624066D8" w14:textId="77777777" w:rsidR="0072177F" w:rsidRPr="00067D67" w:rsidRDefault="0072177F" w:rsidP="0072177F">
            <w:pPr>
              <w:rPr>
                <w:rFonts w:ascii="Calibri" w:hAnsi="Calibri" w:cs="Calibri"/>
                <w:sz w:val="18"/>
                <w:szCs w:val="18"/>
              </w:rPr>
            </w:pPr>
            <w:r w:rsidRPr="00067D67">
              <w:rPr>
                <w:rFonts w:ascii="Calibri" w:hAnsi="Calibri" w:cs="Calibri"/>
                <w:sz w:val="18"/>
                <w:szCs w:val="18"/>
              </w:rPr>
              <w:t>PN-S-06102:1997</w:t>
            </w:r>
          </w:p>
        </w:tc>
        <w:tc>
          <w:tcPr>
            <w:tcW w:w="7513" w:type="dxa"/>
          </w:tcPr>
          <w:p w14:paraId="5BB6494E" w14:textId="77777777" w:rsidR="0072177F" w:rsidRPr="00067D67" w:rsidRDefault="0072177F" w:rsidP="0072177F">
            <w:pPr>
              <w:rPr>
                <w:rFonts w:ascii="Calibri" w:hAnsi="Calibri" w:cs="Calibri"/>
                <w:sz w:val="18"/>
                <w:szCs w:val="18"/>
              </w:rPr>
            </w:pPr>
            <w:r w:rsidRPr="00067D67">
              <w:rPr>
                <w:rFonts w:ascii="Calibri" w:hAnsi="Calibri" w:cs="Calibri"/>
                <w:sz w:val="18"/>
                <w:szCs w:val="18"/>
              </w:rPr>
              <w:t>Drogi samochodowe. Podbudowy z kruszyw stabilizowanych mechanicznie</w:t>
            </w:r>
          </w:p>
        </w:tc>
      </w:tr>
      <w:tr w:rsidR="0072177F" w:rsidRPr="00A23FB4" w14:paraId="37AFEE4A" w14:textId="77777777" w:rsidTr="0072177F">
        <w:tc>
          <w:tcPr>
            <w:tcW w:w="637" w:type="dxa"/>
          </w:tcPr>
          <w:p w14:paraId="24CB9F88" w14:textId="77777777" w:rsidR="0072177F" w:rsidRPr="00067D67" w:rsidRDefault="0072177F" w:rsidP="0072177F">
            <w:pPr>
              <w:rPr>
                <w:rFonts w:ascii="Calibri" w:hAnsi="Calibri" w:cs="Calibri"/>
                <w:sz w:val="18"/>
                <w:szCs w:val="18"/>
              </w:rPr>
            </w:pPr>
            <w:r w:rsidRPr="00067D67">
              <w:rPr>
                <w:rFonts w:ascii="Calibri" w:hAnsi="Calibri" w:cs="Calibri"/>
                <w:sz w:val="18"/>
                <w:szCs w:val="18"/>
              </w:rPr>
              <w:t xml:space="preserve">  6</w:t>
            </w:r>
          </w:p>
        </w:tc>
        <w:tc>
          <w:tcPr>
            <w:tcW w:w="1701" w:type="dxa"/>
          </w:tcPr>
          <w:p w14:paraId="32B3DB54" w14:textId="77777777" w:rsidR="0072177F" w:rsidRPr="00067D67" w:rsidRDefault="0072177F" w:rsidP="0072177F">
            <w:pPr>
              <w:rPr>
                <w:rFonts w:ascii="Calibri" w:hAnsi="Calibri" w:cs="Calibri"/>
                <w:sz w:val="18"/>
                <w:szCs w:val="18"/>
              </w:rPr>
            </w:pPr>
            <w:r w:rsidRPr="00067D67">
              <w:rPr>
                <w:rFonts w:ascii="Calibri" w:hAnsi="Calibri" w:cs="Calibri"/>
                <w:sz w:val="18"/>
                <w:szCs w:val="18"/>
              </w:rPr>
              <w:t>PN-S-96023:1984</w:t>
            </w:r>
          </w:p>
        </w:tc>
        <w:tc>
          <w:tcPr>
            <w:tcW w:w="7513" w:type="dxa"/>
          </w:tcPr>
          <w:p w14:paraId="38F204D3" w14:textId="77777777" w:rsidR="0072177F" w:rsidRPr="00067D67" w:rsidRDefault="0072177F" w:rsidP="0072177F">
            <w:pPr>
              <w:rPr>
                <w:rFonts w:ascii="Calibri" w:hAnsi="Calibri" w:cs="Calibri"/>
                <w:sz w:val="18"/>
                <w:szCs w:val="18"/>
              </w:rPr>
            </w:pPr>
            <w:r w:rsidRPr="00067D67">
              <w:rPr>
                <w:rFonts w:ascii="Calibri" w:hAnsi="Calibri" w:cs="Calibri"/>
                <w:sz w:val="18"/>
                <w:szCs w:val="18"/>
              </w:rPr>
              <w:t>Konstrukcje drogowe. Podbudowa i nawierzchnia z tłucznia kamiennego</w:t>
            </w:r>
          </w:p>
        </w:tc>
      </w:tr>
      <w:tr w:rsidR="0072177F" w:rsidRPr="00A23FB4" w14:paraId="1CF2244B" w14:textId="77777777" w:rsidTr="0072177F">
        <w:tc>
          <w:tcPr>
            <w:tcW w:w="637" w:type="dxa"/>
          </w:tcPr>
          <w:p w14:paraId="73556C57" w14:textId="77777777" w:rsidR="0072177F" w:rsidRPr="00067D67" w:rsidRDefault="0072177F" w:rsidP="0072177F">
            <w:pPr>
              <w:rPr>
                <w:rFonts w:ascii="Calibri" w:hAnsi="Calibri" w:cs="Calibri"/>
                <w:sz w:val="18"/>
                <w:szCs w:val="18"/>
              </w:rPr>
            </w:pPr>
            <w:r w:rsidRPr="00067D67">
              <w:rPr>
                <w:rFonts w:ascii="Calibri" w:hAnsi="Calibri" w:cs="Calibri"/>
                <w:sz w:val="18"/>
                <w:szCs w:val="18"/>
              </w:rPr>
              <w:t xml:space="preserve">  7</w:t>
            </w:r>
          </w:p>
        </w:tc>
        <w:tc>
          <w:tcPr>
            <w:tcW w:w="1701" w:type="dxa"/>
          </w:tcPr>
          <w:p w14:paraId="2F2A2F2E" w14:textId="77777777" w:rsidR="0072177F" w:rsidRPr="00067D67" w:rsidRDefault="0072177F" w:rsidP="0072177F">
            <w:pPr>
              <w:rPr>
                <w:rFonts w:ascii="Calibri" w:hAnsi="Calibri" w:cs="Calibri"/>
                <w:sz w:val="18"/>
                <w:szCs w:val="18"/>
              </w:rPr>
            </w:pPr>
            <w:r w:rsidRPr="00067D67">
              <w:rPr>
                <w:rFonts w:ascii="Calibri" w:hAnsi="Calibri" w:cs="Calibri"/>
                <w:sz w:val="18"/>
                <w:szCs w:val="18"/>
              </w:rPr>
              <w:t>PN-S-96035:1997</w:t>
            </w:r>
          </w:p>
        </w:tc>
        <w:tc>
          <w:tcPr>
            <w:tcW w:w="7513" w:type="dxa"/>
          </w:tcPr>
          <w:p w14:paraId="0060CF02" w14:textId="77777777" w:rsidR="0072177F" w:rsidRPr="00067D67" w:rsidRDefault="0072177F" w:rsidP="0072177F">
            <w:pPr>
              <w:rPr>
                <w:rFonts w:ascii="Calibri" w:hAnsi="Calibri" w:cs="Calibri"/>
                <w:sz w:val="18"/>
                <w:szCs w:val="18"/>
              </w:rPr>
            </w:pPr>
            <w:r w:rsidRPr="00067D67">
              <w:rPr>
                <w:rFonts w:ascii="Calibri" w:hAnsi="Calibri" w:cs="Calibri"/>
                <w:sz w:val="18"/>
                <w:szCs w:val="18"/>
              </w:rPr>
              <w:t>Popioły lotne</w:t>
            </w:r>
          </w:p>
        </w:tc>
      </w:tr>
      <w:tr w:rsidR="0072177F" w:rsidRPr="00A23FB4" w14:paraId="22F208BB" w14:textId="77777777" w:rsidTr="0072177F">
        <w:tc>
          <w:tcPr>
            <w:tcW w:w="637" w:type="dxa"/>
          </w:tcPr>
          <w:p w14:paraId="10671D4E" w14:textId="77777777" w:rsidR="0072177F" w:rsidRPr="00067D67" w:rsidRDefault="0072177F" w:rsidP="0072177F">
            <w:pPr>
              <w:rPr>
                <w:rFonts w:ascii="Calibri" w:hAnsi="Calibri" w:cs="Calibri"/>
                <w:sz w:val="18"/>
                <w:szCs w:val="18"/>
              </w:rPr>
            </w:pPr>
            <w:r w:rsidRPr="00067D67">
              <w:rPr>
                <w:rFonts w:ascii="Calibri" w:hAnsi="Calibri" w:cs="Calibri"/>
                <w:sz w:val="18"/>
                <w:szCs w:val="18"/>
              </w:rPr>
              <w:t xml:space="preserve">  8</w:t>
            </w:r>
          </w:p>
        </w:tc>
        <w:tc>
          <w:tcPr>
            <w:tcW w:w="1701" w:type="dxa"/>
          </w:tcPr>
          <w:p w14:paraId="5EDBE2D8" w14:textId="77777777" w:rsidR="0072177F" w:rsidRPr="00067D67" w:rsidRDefault="0072177F" w:rsidP="0072177F">
            <w:pPr>
              <w:rPr>
                <w:rFonts w:ascii="Calibri" w:hAnsi="Calibri" w:cs="Calibri"/>
                <w:sz w:val="18"/>
                <w:szCs w:val="18"/>
              </w:rPr>
            </w:pPr>
            <w:r w:rsidRPr="00067D67">
              <w:rPr>
                <w:rFonts w:ascii="Calibri" w:hAnsi="Calibri" w:cs="Calibri"/>
                <w:sz w:val="18"/>
                <w:szCs w:val="18"/>
              </w:rPr>
              <w:t>PN-EN 13242:2004</w:t>
            </w:r>
          </w:p>
        </w:tc>
        <w:tc>
          <w:tcPr>
            <w:tcW w:w="7513" w:type="dxa"/>
          </w:tcPr>
          <w:p w14:paraId="349A6A70" w14:textId="77777777" w:rsidR="0072177F" w:rsidRPr="00067D67" w:rsidRDefault="0072177F" w:rsidP="0072177F">
            <w:pPr>
              <w:rPr>
                <w:rFonts w:ascii="Calibri" w:hAnsi="Calibri" w:cs="Calibri"/>
                <w:sz w:val="18"/>
                <w:szCs w:val="18"/>
              </w:rPr>
            </w:pPr>
            <w:r w:rsidRPr="00067D67">
              <w:rPr>
                <w:rFonts w:ascii="Calibri" w:hAnsi="Calibri" w:cs="Calibri"/>
                <w:sz w:val="18"/>
                <w:szCs w:val="18"/>
              </w:rPr>
              <w:t>Kruszywa do niezwiązanych i związanych hydraulicznie materiałów stosowanych w obiektach budowlanych i budownictwie drogowym</w:t>
            </w:r>
          </w:p>
        </w:tc>
      </w:tr>
      <w:tr w:rsidR="0072177F" w:rsidRPr="00A23FB4" w14:paraId="75FE5403" w14:textId="77777777" w:rsidTr="0072177F">
        <w:tc>
          <w:tcPr>
            <w:tcW w:w="637" w:type="dxa"/>
          </w:tcPr>
          <w:p w14:paraId="3A45B0B2" w14:textId="77777777" w:rsidR="0072177F" w:rsidRPr="00067D67" w:rsidRDefault="0072177F" w:rsidP="0072177F">
            <w:pPr>
              <w:rPr>
                <w:rFonts w:ascii="Calibri" w:hAnsi="Calibri" w:cs="Calibri"/>
                <w:sz w:val="18"/>
                <w:szCs w:val="18"/>
              </w:rPr>
            </w:pPr>
            <w:r w:rsidRPr="00067D67">
              <w:rPr>
                <w:rFonts w:ascii="Calibri" w:hAnsi="Calibri" w:cs="Calibri"/>
                <w:sz w:val="18"/>
                <w:szCs w:val="18"/>
              </w:rPr>
              <w:t xml:space="preserve">  9</w:t>
            </w:r>
          </w:p>
        </w:tc>
        <w:tc>
          <w:tcPr>
            <w:tcW w:w="1701" w:type="dxa"/>
          </w:tcPr>
          <w:p w14:paraId="1E987070" w14:textId="77777777" w:rsidR="0072177F" w:rsidRPr="00067D67" w:rsidRDefault="0072177F" w:rsidP="0072177F">
            <w:pPr>
              <w:rPr>
                <w:rFonts w:ascii="Calibri" w:hAnsi="Calibri" w:cs="Calibri"/>
                <w:sz w:val="18"/>
                <w:szCs w:val="18"/>
              </w:rPr>
            </w:pPr>
            <w:r w:rsidRPr="00067D67">
              <w:rPr>
                <w:rFonts w:ascii="Calibri" w:hAnsi="Calibri" w:cs="Calibri"/>
                <w:sz w:val="18"/>
                <w:szCs w:val="18"/>
              </w:rPr>
              <w:t>BN-88/6731-08</w:t>
            </w:r>
          </w:p>
        </w:tc>
        <w:tc>
          <w:tcPr>
            <w:tcW w:w="7513" w:type="dxa"/>
          </w:tcPr>
          <w:p w14:paraId="591E2F02" w14:textId="77777777" w:rsidR="0072177F" w:rsidRPr="00067D67" w:rsidRDefault="0072177F" w:rsidP="0072177F">
            <w:pPr>
              <w:rPr>
                <w:rFonts w:ascii="Calibri" w:hAnsi="Calibri" w:cs="Calibri"/>
                <w:sz w:val="18"/>
                <w:szCs w:val="18"/>
              </w:rPr>
            </w:pPr>
            <w:r w:rsidRPr="00067D67">
              <w:rPr>
                <w:rFonts w:ascii="Calibri" w:hAnsi="Calibri" w:cs="Calibri"/>
                <w:sz w:val="18"/>
                <w:szCs w:val="18"/>
              </w:rPr>
              <w:t>Cement. Transport i przechowywanie</w:t>
            </w:r>
          </w:p>
        </w:tc>
      </w:tr>
      <w:tr w:rsidR="0072177F" w:rsidRPr="00A23FB4" w14:paraId="62BA0839" w14:textId="77777777" w:rsidTr="0072177F">
        <w:tc>
          <w:tcPr>
            <w:tcW w:w="637" w:type="dxa"/>
          </w:tcPr>
          <w:p w14:paraId="38E9F3B2" w14:textId="77777777" w:rsidR="0072177F" w:rsidRPr="00067D67" w:rsidRDefault="0072177F" w:rsidP="0072177F">
            <w:pPr>
              <w:rPr>
                <w:rFonts w:ascii="Calibri" w:hAnsi="Calibri" w:cs="Calibri"/>
                <w:sz w:val="18"/>
                <w:szCs w:val="18"/>
              </w:rPr>
            </w:pPr>
            <w:r w:rsidRPr="00067D67">
              <w:rPr>
                <w:rFonts w:ascii="Calibri" w:hAnsi="Calibri" w:cs="Calibri"/>
                <w:sz w:val="18"/>
                <w:szCs w:val="18"/>
              </w:rPr>
              <w:t xml:space="preserve"> 10</w:t>
            </w:r>
          </w:p>
        </w:tc>
        <w:tc>
          <w:tcPr>
            <w:tcW w:w="1701" w:type="dxa"/>
          </w:tcPr>
          <w:p w14:paraId="0236D034" w14:textId="77777777" w:rsidR="0072177F" w:rsidRPr="00067D67" w:rsidRDefault="0072177F" w:rsidP="0072177F">
            <w:pPr>
              <w:rPr>
                <w:rFonts w:ascii="Calibri" w:hAnsi="Calibri" w:cs="Calibri"/>
                <w:sz w:val="18"/>
                <w:szCs w:val="18"/>
              </w:rPr>
            </w:pPr>
            <w:r w:rsidRPr="00067D67">
              <w:rPr>
                <w:rFonts w:ascii="Calibri" w:hAnsi="Calibri" w:cs="Calibri"/>
                <w:sz w:val="18"/>
                <w:szCs w:val="18"/>
              </w:rPr>
              <w:t>BN-84/6774-02</w:t>
            </w:r>
          </w:p>
        </w:tc>
        <w:tc>
          <w:tcPr>
            <w:tcW w:w="7513" w:type="dxa"/>
          </w:tcPr>
          <w:p w14:paraId="0BDE1AE2" w14:textId="77777777" w:rsidR="0072177F" w:rsidRPr="00067D67" w:rsidRDefault="0072177F" w:rsidP="0072177F">
            <w:pPr>
              <w:rPr>
                <w:rFonts w:ascii="Calibri" w:hAnsi="Calibri" w:cs="Calibri"/>
                <w:sz w:val="18"/>
                <w:szCs w:val="18"/>
              </w:rPr>
            </w:pPr>
            <w:r w:rsidRPr="00067D67">
              <w:rPr>
                <w:rFonts w:ascii="Calibri" w:hAnsi="Calibri" w:cs="Calibri"/>
                <w:sz w:val="18"/>
                <w:szCs w:val="18"/>
              </w:rPr>
              <w:t>Kruszywo mineralne. Kruszywo kamienne łamane do nawierzchni drogowych</w:t>
            </w:r>
          </w:p>
        </w:tc>
      </w:tr>
      <w:tr w:rsidR="0072177F" w:rsidRPr="00A23FB4" w14:paraId="43D62BFE" w14:textId="77777777" w:rsidTr="0072177F">
        <w:tc>
          <w:tcPr>
            <w:tcW w:w="637" w:type="dxa"/>
          </w:tcPr>
          <w:p w14:paraId="15DA656A" w14:textId="77777777" w:rsidR="0072177F" w:rsidRPr="00067D67" w:rsidRDefault="0072177F" w:rsidP="0072177F">
            <w:pPr>
              <w:rPr>
                <w:rFonts w:ascii="Calibri" w:hAnsi="Calibri" w:cs="Calibri"/>
                <w:sz w:val="18"/>
                <w:szCs w:val="18"/>
              </w:rPr>
            </w:pPr>
            <w:r w:rsidRPr="00067D67">
              <w:rPr>
                <w:rFonts w:ascii="Calibri" w:hAnsi="Calibri" w:cs="Calibri"/>
                <w:sz w:val="18"/>
                <w:szCs w:val="18"/>
              </w:rPr>
              <w:t xml:space="preserve"> 11</w:t>
            </w:r>
          </w:p>
        </w:tc>
        <w:tc>
          <w:tcPr>
            <w:tcW w:w="1701" w:type="dxa"/>
          </w:tcPr>
          <w:p w14:paraId="76716195" w14:textId="77777777" w:rsidR="0072177F" w:rsidRPr="00067D67" w:rsidRDefault="0072177F" w:rsidP="0072177F">
            <w:pPr>
              <w:rPr>
                <w:rFonts w:ascii="Calibri" w:hAnsi="Calibri" w:cs="Calibri"/>
                <w:sz w:val="18"/>
                <w:szCs w:val="18"/>
              </w:rPr>
            </w:pPr>
            <w:r w:rsidRPr="00067D67">
              <w:rPr>
                <w:rFonts w:ascii="Calibri" w:hAnsi="Calibri" w:cs="Calibri"/>
                <w:sz w:val="18"/>
                <w:szCs w:val="18"/>
              </w:rPr>
              <w:t>BN-64/8931-01</w:t>
            </w:r>
          </w:p>
        </w:tc>
        <w:tc>
          <w:tcPr>
            <w:tcW w:w="7513" w:type="dxa"/>
          </w:tcPr>
          <w:p w14:paraId="76B9754E" w14:textId="77777777" w:rsidR="0072177F" w:rsidRPr="00067D67" w:rsidRDefault="0072177F" w:rsidP="0072177F">
            <w:pPr>
              <w:rPr>
                <w:rFonts w:ascii="Calibri" w:hAnsi="Calibri" w:cs="Calibri"/>
                <w:sz w:val="18"/>
                <w:szCs w:val="18"/>
              </w:rPr>
            </w:pPr>
            <w:r w:rsidRPr="00067D67">
              <w:rPr>
                <w:rFonts w:ascii="Calibri" w:hAnsi="Calibri" w:cs="Calibri"/>
                <w:sz w:val="18"/>
                <w:szCs w:val="18"/>
              </w:rPr>
              <w:t>Drogi samochodowe. Oznaczanie wskaźnika piaskowego</w:t>
            </w:r>
          </w:p>
        </w:tc>
      </w:tr>
      <w:tr w:rsidR="0072177F" w:rsidRPr="00A23FB4" w14:paraId="2F2F5543" w14:textId="77777777" w:rsidTr="0072177F">
        <w:tc>
          <w:tcPr>
            <w:tcW w:w="637" w:type="dxa"/>
          </w:tcPr>
          <w:p w14:paraId="0A629674" w14:textId="77777777" w:rsidR="0072177F" w:rsidRPr="00067D67" w:rsidRDefault="0072177F" w:rsidP="0072177F">
            <w:pPr>
              <w:rPr>
                <w:rFonts w:ascii="Calibri" w:hAnsi="Calibri" w:cs="Calibri"/>
                <w:sz w:val="18"/>
                <w:szCs w:val="18"/>
              </w:rPr>
            </w:pPr>
            <w:r w:rsidRPr="00067D67">
              <w:rPr>
                <w:rFonts w:ascii="Calibri" w:hAnsi="Calibri" w:cs="Calibri"/>
                <w:sz w:val="18"/>
                <w:szCs w:val="18"/>
              </w:rPr>
              <w:t xml:space="preserve"> 12</w:t>
            </w:r>
          </w:p>
        </w:tc>
        <w:tc>
          <w:tcPr>
            <w:tcW w:w="1701" w:type="dxa"/>
          </w:tcPr>
          <w:p w14:paraId="03329831" w14:textId="77777777" w:rsidR="0072177F" w:rsidRPr="00067D67" w:rsidRDefault="0072177F" w:rsidP="0072177F">
            <w:pPr>
              <w:rPr>
                <w:rFonts w:ascii="Calibri" w:hAnsi="Calibri" w:cs="Calibri"/>
                <w:sz w:val="18"/>
                <w:szCs w:val="18"/>
              </w:rPr>
            </w:pPr>
            <w:r w:rsidRPr="00067D67">
              <w:rPr>
                <w:rFonts w:ascii="Calibri" w:hAnsi="Calibri" w:cs="Calibri"/>
                <w:sz w:val="18"/>
                <w:szCs w:val="18"/>
              </w:rPr>
              <w:t>BN-64/8931-02</w:t>
            </w:r>
          </w:p>
        </w:tc>
        <w:tc>
          <w:tcPr>
            <w:tcW w:w="7513" w:type="dxa"/>
          </w:tcPr>
          <w:p w14:paraId="47053E2E" w14:textId="77777777" w:rsidR="0072177F" w:rsidRPr="00067D67" w:rsidRDefault="0072177F" w:rsidP="0072177F">
            <w:pPr>
              <w:rPr>
                <w:rFonts w:ascii="Calibri" w:hAnsi="Calibri" w:cs="Calibri"/>
                <w:sz w:val="18"/>
                <w:szCs w:val="18"/>
              </w:rPr>
            </w:pPr>
            <w:r w:rsidRPr="00067D67">
              <w:rPr>
                <w:rFonts w:ascii="Calibri" w:hAnsi="Calibri" w:cs="Calibri"/>
                <w:sz w:val="18"/>
                <w:szCs w:val="18"/>
              </w:rPr>
              <w:t>Drogi samochodowe. Oznaczanie modułu odkształcenia nawierzchni podatnych i podłoża przez obciążenie płytą</w:t>
            </w:r>
          </w:p>
        </w:tc>
      </w:tr>
      <w:tr w:rsidR="0072177F" w:rsidRPr="00A23FB4" w14:paraId="753FCA58" w14:textId="77777777" w:rsidTr="0072177F">
        <w:tc>
          <w:tcPr>
            <w:tcW w:w="637" w:type="dxa"/>
          </w:tcPr>
          <w:p w14:paraId="45E6C10F" w14:textId="77777777" w:rsidR="0072177F" w:rsidRPr="00067D67" w:rsidRDefault="0072177F" w:rsidP="0072177F">
            <w:pPr>
              <w:rPr>
                <w:rFonts w:ascii="Calibri" w:hAnsi="Calibri" w:cs="Calibri"/>
                <w:sz w:val="18"/>
                <w:szCs w:val="18"/>
              </w:rPr>
            </w:pPr>
            <w:r w:rsidRPr="00067D67">
              <w:rPr>
                <w:rFonts w:ascii="Calibri" w:hAnsi="Calibri" w:cs="Calibri"/>
                <w:sz w:val="18"/>
                <w:szCs w:val="18"/>
              </w:rPr>
              <w:t xml:space="preserve"> 13</w:t>
            </w:r>
          </w:p>
        </w:tc>
        <w:tc>
          <w:tcPr>
            <w:tcW w:w="1701" w:type="dxa"/>
          </w:tcPr>
          <w:p w14:paraId="40892E7F" w14:textId="77777777" w:rsidR="0072177F" w:rsidRPr="00067D67" w:rsidRDefault="0072177F" w:rsidP="0072177F">
            <w:pPr>
              <w:rPr>
                <w:rFonts w:ascii="Calibri" w:hAnsi="Calibri" w:cs="Calibri"/>
                <w:sz w:val="18"/>
                <w:szCs w:val="18"/>
              </w:rPr>
            </w:pPr>
            <w:r w:rsidRPr="00067D67">
              <w:rPr>
                <w:rFonts w:ascii="Calibri" w:hAnsi="Calibri" w:cs="Calibri"/>
                <w:sz w:val="18"/>
                <w:szCs w:val="18"/>
              </w:rPr>
              <w:t>BN-68/8931-04</w:t>
            </w:r>
          </w:p>
        </w:tc>
        <w:tc>
          <w:tcPr>
            <w:tcW w:w="7513" w:type="dxa"/>
          </w:tcPr>
          <w:p w14:paraId="69C99401" w14:textId="77777777" w:rsidR="0072177F" w:rsidRPr="00067D67" w:rsidRDefault="0072177F" w:rsidP="0072177F">
            <w:pPr>
              <w:rPr>
                <w:rFonts w:ascii="Calibri" w:hAnsi="Calibri" w:cs="Calibri"/>
                <w:sz w:val="18"/>
                <w:szCs w:val="18"/>
              </w:rPr>
            </w:pPr>
            <w:r w:rsidRPr="00067D67">
              <w:rPr>
                <w:rFonts w:ascii="Calibri" w:hAnsi="Calibri" w:cs="Calibri"/>
                <w:sz w:val="18"/>
                <w:szCs w:val="18"/>
              </w:rPr>
              <w:t>Drogi samochodowe. Pomiar równości nawierzchni planografem i łatą</w:t>
            </w:r>
          </w:p>
        </w:tc>
      </w:tr>
      <w:tr w:rsidR="0072177F" w:rsidRPr="00A23FB4" w14:paraId="21596569" w14:textId="77777777" w:rsidTr="0072177F">
        <w:tc>
          <w:tcPr>
            <w:tcW w:w="637" w:type="dxa"/>
          </w:tcPr>
          <w:p w14:paraId="2B4285F6" w14:textId="77777777" w:rsidR="0072177F" w:rsidRPr="00067D67" w:rsidRDefault="0072177F" w:rsidP="0072177F">
            <w:pPr>
              <w:rPr>
                <w:rFonts w:ascii="Calibri" w:hAnsi="Calibri" w:cs="Calibri"/>
                <w:sz w:val="18"/>
                <w:szCs w:val="18"/>
              </w:rPr>
            </w:pPr>
            <w:r w:rsidRPr="00067D67">
              <w:rPr>
                <w:rFonts w:ascii="Calibri" w:hAnsi="Calibri" w:cs="Calibri"/>
                <w:sz w:val="18"/>
                <w:szCs w:val="18"/>
              </w:rPr>
              <w:t xml:space="preserve"> 14</w:t>
            </w:r>
          </w:p>
        </w:tc>
        <w:tc>
          <w:tcPr>
            <w:tcW w:w="1701" w:type="dxa"/>
          </w:tcPr>
          <w:p w14:paraId="3219E8BD" w14:textId="77777777" w:rsidR="0072177F" w:rsidRPr="00067D67" w:rsidRDefault="0072177F" w:rsidP="0072177F">
            <w:pPr>
              <w:rPr>
                <w:rFonts w:ascii="Calibri" w:hAnsi="Calibri" w:cs="Calibri"/>
                <w:sz w:val="18"/>
                <w:szCs w:val="18"/>
              </w:rPr>
            </w:pPr>
            <w:r w:rsidRPr="00067D67">
              <w:rPr>
                <w:rFonts w:ascii="Calibri" w:hAnsi="Calibri" w:cs="Calibri"/>
                <w:sz w:val="18"/>
                <w:szCs w:val="18"/>
              </w:rPr>
              <w:t>BN-70/8931-06</w:t>
            </w:r>
          </w:p>
        </w:tc>
        <w:tc>
          <w:tcPr>
            <w:tcW w:w="7513" w:type="dxa"/>
          </w:tcPr>
          <w:p w14:paraId="2702613F" w14:textId="77777777" w:rsidR="0072177F" w:rsidRPr="00067D67" w:rsidRDefault="0072177F" w:rsidP="0072177F">
            <w:pPr>
              <w:rPr>
                <w:rFonts w:ascii="Calibri" w:hAnsi="Calibri" w:cs="Calibri"/>
                <w:sz w:val="18"/>
                <w:szCs w:val="18"/>
              </w:rPr>
            </w:pPr>
            <w:r w:rsidRPr="00067D67">
              <w:rPr>
                <w:rFonts w:ascii="Calibri" w:hAnsi="Calibri" w:cs="Calibri"/>
                <w:sz w:val="18"/>
                <w:szCs w:val="18"/>
              </w:rPr>
              <w:t>Drogi samochodowe. Pomiar ugięć podatnych ugięciomierzem belkowym</w:t>
            </w:r>
          </w:p>
        </w:tc>
      </w:tr>
      <w:tr w:rsidR="0072177F" w:rsidRPr="00A23FB4" w14:paraId="4889846B" w14:textId="77777777" w:rsidTr="0072177F">
        <w:tc>
          <w:tcPr>
            <w:tcW w:w="637" w:type="dxa"/>
          </w:tcPr>
          <w:p w14:paraId="7D943778" w14:textId="77777777" w:rsidR="0072177F" w:rsidRPr="00067D67" w:rsidRDefault="0072177F" w:rsidP="0072177F">
            <w:pPr>
              <w:rPr>
                <w:rFonts w:ascii="Calibri" w:hAnsi="Calibri" w:cs="Calibri"/>
                <w:sz w:val="18"/>
                <w:szCs w:val="18"/>
              </w:rPr>
            </w:pPr>
            <w:r w:rsidRPr="00067D67">
              <w:rPr>
                <w:rFonts w:ascii="Calibri" w:hAnsi="Calibri" w:cs="Calibri"/>
                <w:sz w:val="18"/>
                <w:szCs w:val="18"/>
              </w:rPr>
              <w:t xml:space="preserve"> 15</w:t>
            </w:r>
          </w:p>
        </w:tc>
        <w:tc>
          <w:tcPr>
            <w:tcW w:w="1701" w:type="dxa"/>
          </w:tcPr>
          <w:p w14:paraId="3A20FDFD" w14:textId="77777777" w:rsidR="0072177F" w:rsidRPr="00067D67" w:rsidRDefault="0072177F" w:rsidP="0072177F">
            <w:pPr>
              <w:rPr>
                <w:rFonts w:ascii="Calibri" w:hAnsi="Calibri" w:cs="Calibri"/>
                <w:sz w:val="18"/>
                <w:szCs w:val="18"/>
              </w:rPr>
            </w:pPr>
            <w:r w:rsidRPr="00067D67">
              <w:rPr>
                <w:rFonts w:ascii="Calibri" w:hAnsi="Calibri" w:cs="Calibri"/>
                <w:sz w:val="18"/>
                <w:szCs w:val="18"/>
              </w:rPr>
              <w:t>BN-77/8931-12</w:t>
            </w:r>
          </w:p>
        </w:tc>
        <w:tc>
          <w:tcPr>
            <w:tcW w:w="7513" w:type="dxa"/>
          </w:tcPr>
          <w:p w14:paraId="1EBCB571" w14:textId="77777777" w:rsidR="0072177F" w:rsidRPr="00067D67" w:rsidRDefault="0072177F" w:rsidP="0072177F">
            <w:pPr>
              <w:rPr>
                <w:rFonts w:ascii="Calibri" w:hAnsi="Calibri" w:cs="Calibri"/>
                <w:sz w:val="18"/>
                <w:szCs w:val="18"/>
              </w:rPr>
            </w:pPr>
            <w:r w:rsidRPr="00067D67">
              <w:rPr>
                <w:rFonts w:ascii="Calibri" w:hAnsi="Calibri" w:cs="Calibri"/>
                <w:sz w:val="18"/>
                <w:szCs w:val="18"/>
              </w:rPr>
              <w:t>Oznaczanie wskaźnika zagęszczenia gruntu</w:t>
            </w:r>
          </w:p>
        </w:tc>
      </w:tr>
    </w:tbl>
    <w:p w14:paraId="5EA9EAF0" w14:textId="77777777" w:rsidR="0072177F" w:rsidRPr="00A23FB4" w:rsidRDefault="0072177F" w:rsidP="0072177F">
      <w:pPr>
        <w:pStyle w:val="Nagwek4"/>
        <w:rPr>
          <w:rFonts w:ascii="Calibri" w:hAnsi="Calibri" w:cs="Calibri"/>
        </w:rPr>
      </w:pPr>
      <w:r w:rsidRPr="00A23FB4">
        <w:rPr>
          <w:rFonts w:ascii="Calibri" w:hAnsi="Calibri" w:cs="Calibri"/>
        </w:rPr>
        <w:t>10.2. Inne dokumenty</w:t>
      </w:r>
    </w:p>
    <w:p w14:paraId="37A6F2DF" w14:textId="77777777" w:rsidR="0072177F" w:rsidRPr="00067D67" w:rsidRDefault="0072177F" w:rsidP="00262498">
      <w:pPr>
        <w:numPr>
          <w:ilvl w:val="0"/>
          <w:numId w:val="14"/>
        </w:numPr>
        <w:jc w:val="left"/>
        <w:rPr>
          <w:rFonts w:ascii="Calibri" w:hAnsi="Calibri" w:cs="Calibri"/>
          <w:sz w:val="18"/>
          <w:szCs w:val="18"/>
        </w:rPr>
      </w:pPr>
      <w:r w:rsidRPr="00067D67">
        <w:rPr>
          <w:rFonts w:ascii="Calibri" w:hAnsi="Calibri" w:cs="Calibri"/>
          <w:sz w:val="18"/>
          <w:szCs w:val="18"/>
        </w:rPr>
        <w:t>Katalog typowych konstrukcji nawierzchni podatnych i półsztywnych, IBDiM - Warszawa 1997.</w:t>
      </w:r>
    </w:p>
    <w:p w14:paraId="1AC02E41" w14:textId="77777777" w:rsidR="0072177F" w:rsidRPr="00067D67" w:rsidRDefault="0072177F" w:rsidP="00262498">
      <w:pPr>
        <w:numPr>
          <w:ilvl w:val="0"/>
          <w:numId w:val="14"/>
        </w:numPr>
        <w:jc w:val="left"/>
        <w:rPr>
          <w:rFonts w:ascii="Calibri" w:hAnsi="Calibri" w:cs="Calibri"/>
          <w:sz w:val="18"/>
          <w:szCs w:val="18"/>
        </w:rPr>
      </w:pPr>
      <w:r w:rsidRPr="00067D67">
        <w:rPr>
          <w:rFonts w:ascii="Calibri" w:hAnsi="Calibri" w:cs="Calibri"/>
          <w:sz w:val="18"/>
          <w:szCs w:val="18"/>
        </w:rPr>
        <w:t>Instrukcja Badań podłoża gruntowego budowli drogowych i mostowych IBDiM Warszawa 1998</w:t>
      </w:r>
    </w:p>
    <w:p w14:paraId="59BB33E7" w14:textId="77777777" w:rsidR="0072177F" w:rsidRPr="00067D67" w:rsidRDefault="0072177F" w:rsidP="00262498">
      <w:pPr>
        <w:numPr>
          <w:ilvl w:val="0"/>
          <w:numId w:val="14"/>
        </w:numPr>
        <w:jc w:val="left"/>
        <w:rPr>
          <w:rFonts w:ascii="Calibri" w:hAnsi="Calibri" w:cs="Calibri"/>
          <w:sz w:val="18"/>
          <w:szCs w:val="18"/>
        </w:rPr>
      </w:pPr>
      <w:r w:rsidRPr="00067D67">
        <w:rPr>
          <w:rFonts w:ascii="Calibri" w:hAnsi="Calibri" w:cs="Calibri"/>
          <w:sz w:val="18"/>
          <w:szCs w:val="18"/>
        </w:rPr>
        <w:t>WT-4 2010 Mieszanki niezwiązane do dróg krajowych Wymagania techniczne</w:t>
      </w:r>
    </w:p>
    <w:tbl>
      <w:tblPr>
        <w:tblW w:w="9790" w:type="dxa"/>
        <w:tblLayout w:type="fixed"/>
        <w:tblCellMar>
          <w:left w:w="70" w:type="dxa"/>
          <w:right w:w="70" w:type="dxa"/>
        </w:tblCellMar>
        <w:tblLook w:val="0000" w:firstRow="0" w:lastRow="0" w:firstColumn="0" w:lastColumn="0" w:noHBand="0" w:noVBand="0"/>
      </w:tblPr>
      <w:tblGrid>
        <w:gridCol w:w="496"/>
        <w:gridCol w:w="1984"/>
        <w:gridCol w:w="7310"/>
      </w:tblGrid>
      <w:tr w:rsidR="0044266C" w:rsidRPr="00067D67" w14:paraId="32A95593" w14:textId="77777777" w:rsidTr="00E96B42">
        <w:tc>
          <w:tcPr>
            <w:tcW w:w="496" w:type="dxa"/>
          </w:tcPr>
          <w:p w14:paraId="7DC2F8E9" w14:textId="77777777" w:rsidR="0044266C" w:rsidRPr="00067D67" w:rsidRDefault="0044266C" w:rsidP="00067D67">
            <w:pPr>
              <w:jc w:val="left"/>
              <w:rPr>
                <w:rFonts w:ascii="Calibri" w:hAnsi="Calibri"/>
                <w:sz w:val="18"/>
                <w:szCs w:val="18"/>
              </w:rPr>
            </w:pPr>
            <w:r w:rsidRPr="00067D67">
              <w:rPr>
                <w:rFonts w:ascii="Calibri" w:hAnsi="Calibri"/>
                <w:sz w:val="18"/>
                <w:szCs w:val="18"/>
              </w:rPr>
              <w:t>4.</w:t>
            </w:r>
          </w:p>
        </w:tc>
        <w:tc>
          <w:tcPr>
            <w:tcW w:w="1984" w:type="dxa"/>
          </w:tcPr>
          <w:p w14:paraId="3BD3F43D" w14:textId="77777777" w:rsidR="0044266C" w:rsidRPr="00067D67" w:rsidRDefault="0044266C" w:rsidP="00067D67">
            <w:pPr>
              <w:jc w:val="left"/>
              <w:rPr>
                <w:rFonts w:ascii="Calibri" w:hAnsi="Calibri"/>
                <w:sz w:val="18"/>
                <w:szCs w:val="18"/>
                <w:lang w:val="en-US"/>
              </w:rPr>
            </w:pPr>
            <w:r w:rsidRPr="00067D67">
              <w:rPr>
                <w:rFonts w:ascii="Calibri" w:hAnsi="Calibri"/>
                <w:sz w:val="18"/>
                <w:szCs w:val="18"/>
                <w:lang w:val="en-US"/>
              </w:rPr>
              <w:t>PN-EN 196-6:1996</w:t>
            </w:r>
          </w:p>
        </w:tc>
        <w:tc>
          <w:tcPr>
            <w:tcW w:w="7310" w:type="dxa"/>
          </w:tcPr>
          <w:p w14:paraId="4D4D89B9" w14:textId="77777777" w:rsidR="0044266C" w:rsidRPr="00067D67" w:rsidRDefault="0044266C" w:rsidP="00067D67">
            <w:pPr>
              <w:jc w:val="left"/>
              <w:rPr>
                <w:rFonts w:ascii="Calibri" w:hAnsi="Calibri"/>
                <w:sz w:val="18"/>
                <w:szCs w:val="18"/>
              </w:rPr>
            </w:pPr>
            <w:r w:rsidRPr="00067D67">
              <w:rPr>
                <w:rFonts w:ascii="Calibri" w:hAnsi="Calibri"/>
                <w:sz w:val="18"/>
                <w:szCs w:val="18"/>
              </w:rPr>
              <w:t>Metody badania cementu. Oznaczanie stopnia zmielenia</w:t>
            </w:r>
          </w:p>
        </w:tc>
      </w:tr>
      <w:tr w:rsidR="0044266C" w:rsidRPr="00067D67" w14:paraId="6BC64151" w14:textId="77777777" w:rsidTr="00E96B42">
        <w:tc>
          <w:tcPr>
            <w:tcW w:w="496" w:type="dxa"/>
          </w:tcPr>
          <w:p w14:paraId="2544BA4D" w14:textId="77777777" w:rsidR="0044266C" w:rsidRPr="00067D67" w:rsidRDefault="0044266C" w:rsidP="00067D67">
            <w:pPr>
              <w:jc w:val="left"/>
              <w:rPr>
                <w:rFonts w:ascii="Calibri" w:hAnsi="Calibri"/>
                <w:sz w:val="18"/>
                <w:szCs w:val="18"/>
              </w:rPr>
            </w:pPr>
            <w:r w:rsidRPr="00067D67">
              <w:rPr>
                <w:rFonts w:ascii="Calibri" w:hAnsi="Calibri"/>
                <w:sz w:val="18"/>
                <w:szCs w:val="18"/>
              </w:rPr>
              <w:t>5.</w:t>
            </w:r>
          </w:p>
        </w:tc>
        <w:tc>
          <w:tcPr>
            <w:tcW w:w="1984" w:type="dxa"/>
          </w:tcPr>
          <w:p w14:paraId="58ABE3E7" w14:textId="77777777" w:rsidR="0044266C" w:rsidRPr="00067D67" w:rsidRDefault="0044266C" w:rsidP="00067D67">
            <w:pPr>
              <w:jc w:val="left"/>
              <w:rPr>
                <w:rFonts w:ascii="Calibri" w:hAnsi="Calibri"/>
                <w:sz w:val="18"/>
                <w:szCs w:val="18"/>
                <w:lang w:val="en-US"/>
              </w:rPr>
            </w:pPr>
            <w:r w:rsidRPr="00067D67">
              <w:rPr>
                <w:rFonts w:ascii="Calibri" w:hAnsi="Calibri"/>
                <w:sz w:val="18"/>
                <w:szCs w:val="18"/>
                <w:lang w:val="en-US"/>
              </w:rPr>
              <w:t>PN-EN 197-1:2002</w:t>
            </w:r>
          </w:p>
        </w:tc>
        <w:tc>
          <w:tcPr>
            <w:tcW w:w="7310" w:type="dxa"/>
          </w:tcPr>
          <w:p w14:paraId="5552FD24" w14:textId="77777777" w:rsidR="0044266C" w:rsidRPr="00067D67" w:rsidRDefault="0044266C" w:rsidP="00067D67">
            <w:pPr>
              <w:jc w:val="left"/>
              <w:rPr>
                <w:rFonts w:ascii="Calibri" w:hAnsi="Calibri"/>
                <w:sz w:val="18"/>
                <w:szCs w:val="18"/>
              </w:rPr>
            </w:pPr>
            <w:r w:rsidRPr="00067D67">
              <w:rPr>
                <w:rFonts w:ascii="Calibri" w:hAnsi="Calibri"/>
                <w:sz w:val="18"/>
                <w:szCs w:val="18"/>
              </w:rPr>
              <w:t>Cement.Część 1: Skład, wymagania i kryteria zgodności dotyczące cementu powszechnego użytku</w:t>
            </w:r>
          </w:p>
        </w:tc>
      </w:tr>
      <w:tr w:rsidR="0044266C" w:rsidRPr="00067D67" w14:paraId="074E0E8A" w14:textId="77777777" w:rsidTr="00E96B42">
        <w:tc>
          <w:tcPr>
            <w:tcW w:w="496" w:type="dxa"/>
          </w:tcPr>
          <w:p w14:paraId="2FC4A834" w14:textId="77777777" w:rsidR="0044266C" w:rsidRPr="00067D67" w:rsidRDefault="0044266C" w:rsidP="00067D67">
            <w:pPr>
              <w:jc w:val="left"/>
              <w:rPr>
                <w:rFonts w:ascii="Calibri" w:hAnsi="Calibri"/>
                <w:sz w:val="18"/>
                <w:szCs w:val="18"/>
              </w:rPr>
            </w:pPr>
            <w:r w:rsidRPr="00067D67">
              <w:rPr>
                <w:rFonts w:ascii="Calibri" w:hAnsi="Calibri"/>
                <w:sz w:val="18"/>
                <w:szCs w:val="18"/>
              </w:rPr>
              <w:t>6.</w:t>
            </w:r>
          </w:p>
        </w:tc>
        <w:tc>
          <w:tcPr>
            <w:tcW w:w="1984" w:type="dxa"/>
          </w:tcPr>
          <w:p w14:paraId="26759C66" w14:textId="77777777" w:rsidR="0044266C" w:rsidRPr="00067D67" w:rsidRDefault="0044266C" w:rsidP="00067D67">
            <w:pPr>
              <w:jc w:val="left"/>
              <w:rPr>
                <w:rFonts w:ascii="Calibri" w:hAnsi="Calibri"/>
                <w:sz w:val="18"/>
                <w:szCs w:val="18"/>
                <w:lang w:val="en-US"/>
              </w:rPr>
            </w:pPr>
            <w:r w:rsidRPr="00067D67">
              <w:rPr>
                <w:rFonts w:ascii="Calibri" w:hAnsi="Calibri"/>
                <w:sz w:val="18"/>
                <w:szCs w:val="18"/>
                <w:lang w:val="en-US"/>
              </w:rPr>
              <w:t>PN-EN 206-1:2000</w:t>
            </w:r>
          </w:p>
        </w:tc>
        <w:tc>
          <w:tcPr>
            <w:tcW w:w="7310" w:type="dxa"/>
          </w:tcPr>
          <w:p w14:paraId="08FDAFCD" w14:textId="77777777" w:rsidR="0044266C" w:rsidRPr="00067D67" w:rsidRDefault="0044266C" w:rsidP="00067D67">
            <w:pPr>
              <w:jc w:val="left"/>
              <w:rPr>
                <w:rFonts w:ascii="Calibri" w:hAnsi="Calibri"/>
                <w:sz w:val="18"/>
                <w:szCs w:val="18"/>
              </w:rPr>
            </w:pPr>
            <w:r w:rsidRPr="00067D67">
              <w:rPr>
                <w:rFonts w:ascii="Calibri" w:hAnsi="Calibri"/>
                <w:sz w:val="18"/>
                <w:szCs w:val="18"/>
              </w:rPr>
              <w:t>Beton. Część 1: Wymagania, właściwości, produkcja i zgodność</w:t>
            </w:r>
          </w:p>
        </w:tc>
      </w:tr>
      <w:tr w:rsidR="0044266C" w:rsidRPr="00067D67" w14:paraId="7B2434D5" w14:textId="77777777" w:rsidTr="00E96B42">
        <w:tc>
          <w:tcPr>
            <w:tcW w:w="496" w:type="dxa"/>
          </w:tcPr>
          <w:p w14:paraId="5890670C" w14:textId="77777777" w:rsidR="0044266C" w:rsidRPr="00067D67" w:rsidRDefault="0044266C" w:rsidP="00067D67">
            <w:pPr>
              <w:jc w:val="left"/>
              <w:rPr>
                <w:rFonts w:ascii="Calibri" w:hAnsi="Calibri"/>
                <w:sz w:val="18"/>
                <w:szCs w:val="18"/>
              </w:rPr>
            </w:pPr>
            <w:r w:rsidRPr="00067D67">
              <w:rPr>
                <w:rFonts w:ascii="Calibri" w:hAnsi="Calibri"/>
                <w:sz w:val="18"/>
                <w:szCs w:val="18"/>
              </w:rPr>
              <w:t xml:space="preserve">  7.</w:t>
            </w:r>
          </w:p>
        </w:tc>
        <w:tc>
          <w:tcPr>
            <w:tcW w:w="1984" w:type="dxa"/>
          </w:tcPr>
          <w:p w14:paraId="36CE29ED" w14:textId="77777777" w:rsidR="0044266C" w:rsidRPr="00067D67" w:rsidRDefault="0044266C" w:rsidP="00067D67">
            <w:pPr>
              <w:jc w:val="left"/>
              <w:rPr>
                <w:rFonts w:ascii="Calibri" w:hAnsi="Calibri"/>
                <w:sz w:val="18"/>
                <w:szCs w:val="18"/>
                <w:lang w:val="en-US"/>
              </w:rPr>
            </w:pPr>
            <w:r w:rsidRPr="00067D67">
              <w:rPr>
                <w:rFonts w:ascii="Calibri" w:hAnsi="Calibri"/>
                <w:sz w:val="18"/>
                <w:szCs w:val="18"/>
                <w:lang w:val="en-US"/>
              </w:rPr>
              <w:t>PN-EN 480-11:2000</w:t>
            </w:r>
          </w:p>
        </w:tc>
        <w:tc>
          <w:tcPr>
            <w:tcW w:w="7310" w:type="dxa"/>
          </w:tcPr>
          <w:p w14:paraId="1E2B3886" w14:textId="77777777" w:rsidR="0044266C" w:rsidRPr="00067D67" w:rsidRDefault="0044266C" w:rsidP="00067D67">
            <w:pPr>
              <w:jc w:val="left"/>
              <w:rPr>
                <w:rFonts w:ascii="Calibri" w:hAnsi="Calibri"/>
                <w:sz w:val="18"/>
                <w:szCs w:val="18"/>
              </w:rPr>
            </w:pPr>
            <w:r w:rsidRPr="00067D67">
              <w:rPr>
                <w:rFonts w:ascii="Calibri" w:hAnsi="Calibri"/>
                <w:sz w:val="18"/>
                <w:szCs w:val="18"/>
              </w:rPr>
              <w:t>Domieszki do betonu, zaprawy i zaczynu. Metody badań. Oznaczanie charakterystyki porów powietrznych w stwardniałym betonie</w:t>
            </w:r>
          </w:p>
        </w:tc>
      </w:tr>
      <w:tr w:rsidR="0044266C" w:rsidRPr="00067D67" w14:paraId="0CB7ACFB" w14:textId="77777777" w:rsidTr="00E96B42">
        <w:tc>
          <w:tcPr>
            <w:tcW w:w="496" w:type="dxa"/>
          </w:tcPr>
          <w:p w14:paraId="370BCC83" w14:textId="77777777" w:rsidR="0044266C" w:rsidRPr="00067D67" w:rsidRDefault="0044266C" w:rsidP="00067D67">
            <w:pPr>
              <w:jc w:val="left"/>
              <w:rPr>
                <w:rFonts w:ascii="Calibri" w:hAnsi="Calibri"/>
                <w:sz w:val="18"/>
                <w:szCs w:val="18"/>
              </w:rPr>
            </w:pPr>
            <w:r w:rsidRPr="00067D67">
              <w:rPr>
                <w:rFonts w:ascii="Calibri" w:hAnsi="Calibri"/>
                <w:sz w:val="18"/>
                <w:szCs w:val="18"/>
              </w:rPr>
              <w:t xml:space="preserve">  8.</w:t>
            </w:r>
          </w:p>
        </w:tc>
        <w:tc>
          <w:tcPr>
            <w:tcW w:w="1984" w:type="dxa"/>
          </w:tcPr>
          <w:p w14:paraId="5AB17E40" w14:textId="77777777" w:rsidR="0044266C" w:rsidRPr="00067D67" w:rsidRDefault="0044266C" w:rsidP="00067D67">
            <w:pPr>
              <w:jc w:val="left"/>
              <w:rPr>
                <w:rFonts w:ascii="Calibri" w:hAnsi="Calibri"/>
                <w:sz w:val="18"/>
                <w:szCs w:val="18"/>
                <w:lang w:val="en-US"/>
              </w:rPr>
            </w:pPr>
            <w:r w:rsidRPr="00067D67">
              <w:rPr>
                <w:rFonts w:ascii="Calibri" w:hAnsi="Calibri"/>
                <w:sz w:val="18"/>
                <w:szCs w:val="18"/>
                <w:lang w:val="en-US"/>
              </w:rPr>
              <w:t>PN-EN 934-2:1999</w:t>
            </w:r>
          </w:p>
        </w:tc>
        <w:tc>
          <w:tcPr>
            <w:tcW w:w="7310" w:type="dxa"/>
          </w:tcPr>
          <w:p w14:paraId="66455416" w14:textId="77777777" w:rsidR="0044266C" w:rsidRPr="00067D67" w:rsidRDefault="0044266C" w:rsidP="00067D67">
            <w:pPr>
              <w:jc w:val="left"/>
              <w:rPr>
                <w:rFonts w:ascii="Calibri" w:hAnsi="Calibri"/>
                <w:sz w:val="18"/>
                <w:szCs w:val="18"/>
              </w:rPr>
            </w:pPr>
            <w:r w:rsidRPr="00067D67">
              <w:rPr>
                <w:rFonts w:ascii="Calibri" w:hAnsi="Calibri"/>
                <w:sz w:val="18"/>
                <w:szCs w:val="18"/>
              </w:rPr>
              <w:t>Domieszki do betonu, zaprawy i zaczynu. Domieszki do betonu. Definicje i wymagania</w:t>
            </w:r>
          </w:p>
        </w:tc>
      </w:tr>
      <w:tr w:rsidR="0044266C" w:rsidRPr="00067D67" w14:paraId="1B20DDF7" w14:textId="77777777" w:rsidTr="00E96B42">
        <w:tc>
          <w:tcPr>
            <w:tcW w:w="496" w:type="dxa"/>
          </w:tcPr>
          <w:p w14:paraId="7D73DC9E" w14:textId="77777777" w:rsidR="0044266C" w:rsidRPr="00067D67" w:rsidRDefault="0044266C" w:rsidP="00067D67">
            <w:pPr>
              <w:jc w:val="left"/>
              <w:rPr>
                <w:rFonts w:ascii="Calibri" w:hAnsi="Calibri"/>
                <w:sz w:val="18"/>
                <w:szCs w:val="18"/>
              </w:rPr>
            </w:pPr>
            <w:r w:rsidRPr="00067D67">
              <w:rPr>
                <w:rFonts w:ascii="Calibri" w:hAnsi="Calibri"/>
                <w:sz w:val="18"/>
                <w:szCs w:val="18"/>
              </w:rPr>
              <w:t xml:space="preserve">  9.</w:t>
            </w:r>
          </w:p>
        </w:tc>
        <w:tc>
          <w:tcPr>
            <w:tcW w:w="1984" w:type="dxa"/>
          </w:tcPr>
          <w:p w14:paraId="60E38585" w14:textId="77777777" w:rsidR="0044266C" w:rsidRPr="00067D67" w:rsidRDefault="0044266C" w:rsidP="00067D67">
            <w:pPr>
              <w:jc w:val="left"/>
              <w:rPr>
                <w:rFonts w:ascii="Calibri" w:hAnsi="Calibri"/>
                <w:sz w:val="18"/>
                <w:szCs w:val="18"/>
              </w:rPr>
            </w:pPr>
            <w:r w:rsidRPr="00067D67">
              <w:rPr>
                <w:rFonts w:ascii="Calibri" w:hAnsi="Calibri"/>
                <w:sz w:val="18"/>
                <w:szCs w:val="18"/>
              </w:rPr>
              <w:t>PN-B-04481:1988</w:t>
            </w:r>
          </w:p>
        </w:tc>
        <w:tc>
          <w:tcPr>
            <w:tcW w:w="7310" w:type="dxa"/>
          </w:tcPr>
          <w:p w14:paraId="13861D5B" w14:textId="77777777" w:rsidR="0044266C" w:rsidRPr="00067D67" w:rsidRDefault="0044266C" w:rsidP="00067D67">
            <w:pPr>
              <w:jc w:val="left"/>
              <w:rPr>
                <w:rFonts w:ascii="Calibri" w:hAnsi="Calibri"/>
                <w:sz w:val="18"/>
                <w:szCs w:val="18"/>
              </w:rPr>
            </w:pPr>
            <w:r w:rsidRPr="00067D67">
              <w:rPr>
                <w:rFonts w:ascii="Calibri" w:hAnsi="Calibri"/>
                <w:sz w:val="18"/>
                <w:szCs w:val="18"/>
              </w:rPr>
              <w:t>Grunty budowlane. Badania laboratoryjne</w:t>
            </w:r>
          </w:p>
        </w:tc>
      </w:tr>
      <w:tr w:rsidR="0044266C" w:rsidRPr="00067D67" w14:paraId="028941CD" w14:textId="77777777" w:rsidTr="00E96B42">
        <w:tc>
          <w:tcPr>
            <w:tcW w:w="496" w:type="dxa"/>
          </w:tcPr>
          <w:p w14:paraId="56EFFF28" w14:textId="77777777" w:rsidR="0044266C" w:rsidRPr="00067D67" w:rsidRDefault="0044266C" w:rsidP="00067D67">
            <w:pPr>
              <w:jc w:val="left"/>
              <w:rPr>
                <w:rFonts w:ascii="Calibri" w:hAnsi="Calibri"/>
                <w:sz w:val="18"/>
                <w:szCs w:val="18"/>
              </w:rPr>
            </w:pPr>
            <w:r w:rsidRPr="00067D67">
              <w:rPr>
                <w:rFonts w:ascii="Calibri" w:hAnsi="Calibri"/>
                <w:sz w:val="18"/>
                <w:szCs w:val="18"/>
              </w:rPr>
              <w:t>10.</w:t>
            </w:r>
          </w:p>
        </w:tc>
        <w:tc>
          <w:tcPr>
            <w:tcW w:w="1984" w:type="dxa"/>
          </w:tcPr>
          <w:p w14:paraId="501C84BC" w14:textId="77777777" w:rsidR="0044266C" w:rsidRPr="00067D67" w:rsidRDefault="0044266C" w:rsidP="00067D67">
            <w:pPr>
              <w:jc w:val="left"/>
              <w:rPr>
                <w:rFonts w:ascii="Calibri" w:hAnsi="Calibri"/>
                <w:sz w:val="18"/>
                <w:szCs w:val="18"/>
              </w:rPr>
            </w:pPr>
            <w:r w:rsidRPr="00067D67">
              <w:rPr>
                <w:rFonts w:ascii="Calibri" w:hAnsi="Calibri"/>
                <w:sz w:val="18"/>
                <w:szCs w:val="18"/>
              </w:rPr>
              <w:t>PN-B-06250:1988</w:t>
            </w:r>
          </w:p>
        </w:tc>
        <w:tc>
          <w:tcPr>
            <w:tcW w:w="7310" w:type="dxa"/>
          </w:tcPr>
          <w:p w14:paraId="711D0D04" w14:textId="77777777" w:rsidR="0044266C" w:rsidRPr="00067D67" w:rsidRDefault="0044266C" w:rsidP="00067D67">
            <w:pPr>
              <w:jc w:val="left"/>
              <w:rPr>
                <w:rFonts w:ascii="Calibri" w:hAnsi="Calibri"/>
                <w:sz w:val="18"/>
                <w:szCs w:val="18"/>
              </w:rPr>
            </w:pPr>
            <w:r w:rsidRPr="00067D67">
              <w:rPr>
                <w:rFonts w:ascii="Calibri" w:hAnsi="Calibri"/>
                <w:sz w:val="18"/>
                <w:szCs w:val="18"/>
              </w:rPr>
              <w:t>Beton zwykły</w:t>
            </w:r>
          </w:p>
        </w:tc>
      </w:tr>
      <w:tr w:rsidR="0044266C" w:rsidRPr="00067D67" w14:paraId="12603089" w14:textId="77777777" w:rsidTr="00E96B42">
        <w:tc>
          <w:tcPr>
            <w:tcW w:w="496" w:type="dxa"/>
          </w:tcPr>
          <w:p w14:paraId="66AE05F3" w14:textId="77777777" w:rsidR="0044266C" w:rsidRPr="00067D67" w:rsidRDefault="0044266C" w:rsidP="00067D67">
            <w:pPr>
              <w:jc w:val="left"/>
              <w:rPr>
                <w:rFonts w:ascii="Calibri" w:hAnsi="Calibri"/>
                <w:sz w:val="18"/>
                <w:szCs w:val="18"/>
              </w:rPr>
            </w:pPr>
            <w:r w:rsidRPr="00067D67">
              <w:rPr>
                <w:rFonts w:ascii="Calibri" w:hAnsi="Calibri"/>
                <w:sz w:val="18"/>
                <w:szCs w:val="18"/>
              </w:rPr>
              <w:t>11.</w:t>
            </w:r>
          </w:p>
        </w:tc>
        <w:tc>
          <w:tcPr>
            <w:tcW w:w="1984" w:type="dxa"/>
          </w:tcPr>
          <w:p w14:paraId="3D272920" w14:textId="77777777" w:rsidR="0044266C" w:rsidRPr="00067D67" w:rsidRDefault="0044266C" w:rsidP="00067D67">
            <w:pPr>
              <w:jc w:val="left"/>
              <w:rPr>
                <w:rFonts w:ascii="Calibri" w:hAnsi="Calibri"/>
                <w:sz w:val="18"/>
                <w:szCs w:val="18"/>
              </w:rPr>
            </w:pPr>
            <w:r w:rsidRPr="00067D67">
              <w:rPr>
                <w:rFonts w:ascii="Calibri" w:hAnsi="Calibri"/>
                <w:sz w:val="18"/>
                <w:szCs w:val="18"/>
              </w:rPr>
              <w:t xml:space="preserve">PN-B-06714-15:1991 </w:t>
            </w:r>
          </w:p>
        </w:tc>
        <w:tc>
          <w:tcPr>
            <w:tcW w:w="7310" w:type="dxa"/>
          </w:tcPr>
          <w:p w14:paraId="2261860C" w14:textId="77777777" w:rsidR="0044266C" w:rsidRPr="00067D67" w:rsidRDefault="0044266C" w:rsidP="00067D67">
            <w:pPr>
              <w:jc w:val="left"/>
              <w:rPr>
                <w:rFonts w:ascii="Calibri" w:hAnsi="Calibri"/>
                <w:sz w:val="18"/>
                <w:szCs w:val="18"/>
              </w:rPr>
            </w:pPr>
            <w:r w:rsidRPr="00067D67">
              <w:rPr>
                <w:rFonts w:ascii="Calibri" w:hAnsi="Calibri"/>
                <w:sz w:val="18"/>
                <w:szCs w:val="18"/>
              </w:rPr>
              <w:t>Kruszywa mineralne. Badania. Oznaczanie składu ziarnowego</w:t>
            </w:r>
          </w:p>
        </w:tc>
      </w:tr>
      <w:tr w:rsidR="0044266C" w:rsidRPr="00067D67" w14:paraId="77A91DB1" w14:textId="77777777" w:rsidTr="00E96B42">
        <w:tc>
          <w:tcPr>
            <w:tcW w:w="496" w:type="dxa"/>
          </w:tcPr>
          <w:p w14:paraId="0F32B7C3" w14:textId="77777777" w:rsidR="0044266C" w:rsidRPr="00067D67" w:rsidRDefault="0044266C" w:rsidP="00067D67">
            <w:pPr>
              <w:jc w:val="left"/>
              <w:rPr>
                <w:rFonts w:ascii="Calibri" w:hAnsi="Calibri"/>
                <w:sz w:val="18"/>
                <w:szCs w:val="18"/>
              </w:rPr>
            </w:pPr>
            <w:r w:rsidRPr="00067D67">
              <w:rPr>
                <w:rFonts w:ascii="Calibri" w:hAnsi="Calibri"/>
                <w:sz w:val="18"/>
                <w:szCs w:val="18"/>
              </w:rPr>
              <w:t>12.</w:t>
            </w:r>
          </w:p>
        </w:tc>
        <w:tc>
          <w:tcPr>
            <w:tcW w:w="1984" w:type="dxa"/>
          </w:tcPr>
          <w:p w14:paraId="27C06BF7" w14:textId="77777777" w:rsidR="0044266C" w:rsidRPr="00067D67" w:rsidRDefault="0044266C" w:rsidP="00067D67">
            <w:pPr>
              <w:jc w:val="left"/>
              <w:rPr>
                <w:rFonts w:ascii="Calibri" w:hAnsi="Calibri"/>
                <w:sz w:val="18"/>
                <w:szCs w:val="18"/>
              </w:rPr>
            </w:pPr>
            <w:r w:rsidRPr="00067D67">
              <w:rPr>
                <w:rFonts w:ascii="Calibri" w:hAnsi="Calibri"/>
                <w:sz w:val="18"/>
                <w:szCs w:val="18"/>
              </w:rPr>
              <w:t>PN-B-06714-37:1980</w:t>
            </w:r>
          </w:p>
        </w:tc>
        <w:tc>
          <w:tcPr>
            <w:tcW w:w="7310" w:type="dxa"/>
          </w:tcPr>
          <w:p w14:paraId="1BFA9815" w14:textId="77777777" w:rsidR="0044266C" w:rsidRPr="00067D67" w:rsidRDefault="0044266C" w:rsidP="00067D67">
            <w:pPr>
              <w:jc w:val="left"/>
              <w:rPr>
                <w:rFonts w:ascii="Calibri" w:hAnsi="Calibri"/>
                <w:sz w:val="18"/>
                <w:szCs w:val="18"/>
              </w:rPr>
            </w:pPr>
            <w:r w:rsidRPr="00067D67">
              <w:rPr>
                <w:rFonts w:ascii="Calibri" w:hAnsi="Calibri"/>
                <w:sz w:val="18"/>
                <w:szCs w:val="18"/>
              </w:rPr>
              <w:t>Kruszywa mineralne. Badania. Oznaczanie rozpadu krzemianowego</w:t>
            </w:r>
          </w:p>
        </w:tc>
      </w:tr>
      <w:tr w:rsidR="0044266C" w:rsidRPr="00067D67" w14:paraId="46374C83" w14:textId="77777777" w:rsidTr="00E96B42">
        <w:tc>
          <w:tcPr>
            <w:tcW w:w="496" w:type="dxa"/>
          </w:tcPr>
          <w:p w14:paraId="2DE4F4C1" w14:textId="77777777" w:rsidR="0044266C" w:rsidRPr="00067D67" w:rsidRDefault="0044266C" w:rsidP="00067D67">
            <w:pPr>
              <w:jc w:val="left"/>
              <w:rPr>
                <w:rFonts w:ascii="Calibri" w:hAnsi="Calibri"/>
                <w:sz w:val="18"/>
                <w:szCs w:val="18"/>
              </w:rPr>
            </w:pPr>
            <w:r w:rsidRPr="00067D67">
              <w:rPr>
                <w:rFonts w:ascii="Calibri" w:hAnsi="Calibri"/>
                <w:sz w:val="18"/>
                <w:szCs w:val="18"/>
              </w:rPr>
              <w:t>13.</w:t>
            </w:r>
          </w:p>
        </w:tc>
        <w:tc>
          <w:tcPr>
            <w:tcW w:w="1984" w:type="dxa"/>
          </w:tcPr>
          <w:p w14:paraId="438E67DB" w14:textId="77777777" w:rsidR="0044266C" w:rsidRPr="00067D67" w:rsidRDefault="0044266C" w:rsidP="00067D67">
            <w:pPr>
              <w:jc w:val="left"/>
              <w:rPr>
                <w:rFonts w:ascii="Calibri" w:hAnsi="Calibri"/>
                <w:sz w:val="18"/>
                <w:szCs w:val="18"/>
              </w:rPr>
            </w:pPr>
            <w:r w:rsidRPr="00067D67">
              <w:rPr>
                <w:rFonts w:ascii="Calibri" w:hAnsi="Calibri"/>
                <w:sz w:val="18"/>
                <w:szCs w:val="18"/>
              </w:rPr>
              <w:t>PN-B-06714-39: 1978</w:t>
            </w:r>
          </w:p>
        </w:tc>
        <w:tc>
          <w:tcPr>
            <w:tcW w:w="7310" w:type="dxa"/>
          </w:tcPr>
          <w:p w14:paraId="49330AEF" w14:textId="77777777" w:rsidR="0044266C" w:rsidRPr="00067D67" w:rsidRDefault="0044266C" w:rsidP="00067D67">
            <w:pPr>
              <w:jc w:val="left"/>
              <w:rPr>
                <w:rFonts w:ascii="Calibri" w:hAnsi="Calibri"/>
                <w:sz w:val="18"/>
                <w:szCs w:val="18"/>
              </w:rPr>
            </w:pPr>
            <w:r w:rsidRPr="00067D67">
              <w:rPr>
                <w:rFonts w:ascii="Calibri" w:hAnsi="Calibri"/>
                <w:sz w:val="18"/>
                <w:szCs w:val="18"/>
              </w:rPr>
              <w:t>Kruszywa mineralne. Badania. Oznaczanie rozpadu żelazawego</w:t>
            </w:r>
          </w:p>
        </w:tc>
      </w:tr>
      <w:tr w:rsidR="0044266C" w:rsidRPr="00067D67" w14:paraId="00509CE7" w14:textId="77777777" w:rsidTr="00E96B42">
        <w:tc>
          <w:tcPr>
            <w:tcW w:w="496" w:type="dxa"/>
          </w:tcPr>
          <w:p w14:paraId="527F27B0" w14:textId="77777777" w:rsidR="0044266C" w:rsidRPr="00067D67" w:rsidRDefault="0044266C" w:rsidP="00067D67">
            <w:pPr>
              <w:jc w:val="left"/>
              <w:rPr>
                <w:rFonts w:ascii="Calibri" w:hAnsi="Calibri"/>
                <w:sz w:val="18"/>
                <w:szCs w:val="18"/>
              </w:rPr>
            </w:pPr>
            <w:r w:rsidRPr="00067D67">
              <w:rPr>
                <w:rFonts w:ascii="Calibri" w:hAnsi="Calibri"/>
                <w:sz w:val="18"/>
                <w:szCs w:val="18"/>
              </w:rPr>
              <w:t>14.</w:t>
            </w:r>
          </w:p>
        </w:tc>
        <w:tc>
          <w:tcPr>
            <w:tcW w:w="1984" w:type="dxa"/>
          </w:tcPr>
          <w:p w14:paraId="73226C91" w14:textId="77777777" w:rsidR="0044266C" w:rsidRPr="00067D67" w:rsidRDefault="0044266C" w:rsidP="00067D67">
            <w:pPr>
              <w:jc w:val="left"/>
              <w:rPr>
                <w:rFonts w:ascii="Calibri" w:hAnsi="Calibri"/>
                <w:sz w:val="18"/>
                <w:szCs w:val="18"/>
              </w:rPr>
            </w:pPr>
            <w:r w:rsidRPr="00067D67">
              <w:rPr>
                <w:rFonts w:ascii="Calibri" w:hAnsi="Calibri"/>
                <w:sz w:val="18"/>
                <w:szCs w:val="18"/>
              </w:rPr>
              <w:t>PN-B-11111: 1996</w:t>
            </w:r>
          </w:p>
        </w:tc>
        <w:tc>
          <w:tcPr>
            <w:tcW w:w="7310" w:type="dxa"/>
          </w:tcPr>
          <w:p w14:paraId="0AABEA85" w14:textId="77777777" w:rsidR="0044266C" w:rsidRPr="00067D67" w:rsidRDefault="0044266C" w:rsidP="00067D67">
            <w:pPr>
              <w:jc w:val="left"/>
              <w:rPr>
                <w:rFonts w:ascii="Calibri" w:hAnsi="Calibri"/>
                <w:sz w:val="18"/>
                <w:szCs w:val="18"/>
              </w:rPr>
            </w:pPr>
            <w:r w:rsidRPr="00067D67">
              <w:rPr>
                <w:rFonts w:ascii="Calibri" w:hAnsi="Calibri"/>
                <w:sz w:val="18"/>
                <w:szCs w:val="18"/>
              </w:rPr>
              <w:t>Kruszywa mineralne. Kruszywa naturalne do nawierzchni drogowych; żwir i mieszanka</w:t>
            </w:r>
          </w:p>
        </w:tc>
      </w:tr>
      <w:tr w:rsidR="0044266C" w:rsidRPr="00067D67" w14:paraId="5B4B35A6" w14:textId="77777777" w:rsidTr="00E96B42">
        <w:tc>
          <w:tcPr>
            <w:tcW w:w="496" w:type="dxa"/>
          </w:tcPr>
          <w:p w14:paraId="2FA00051" w14:textId="77777777" w:rsidR="0044266C" w:rsidRPr="00067D67" w:rsidRDefault="0044266C" w:rsidP="00067D67">
            <w:pPr>
              <w:jc w:val="left"/>
              <w:rPr>
                <w:rFonts w:ascii="Calibri" w:hAnsi="Calibri"/>
                <w:sz w:val="18"/>
                <w:szCs w:val="18"/>
              </w:rPr>
            </w:pPr>
            <w:r w:rsidRPr="00067D67">
              <w:rPr>
                <w:rFonts w:ascii="Calibri" w:hAnsi="Calibri"/>
                <w:sz w:val="18"/>
                <w:szCs w:val="18"/>
              </w:rPr>
              <w:t>15.</w:t>
            </w:r>
          </w:p>
        </w:tc>
        <w:tc>
          <w:tcPr>
            <w:tcW w:w="1984" w:type="dxa"/>
          </w:tcPr>
          <w:p w14:paraId="2838F853" w14:textId="77777777" w:rsidR="0044266C" w:rsidRPr="00067D67" w:rsidRDefault="0044266C" w:rsidP="00067D67">
            <w:pPr>
              <w:jc w:val="left"/>
              <w:rPr>
                <w:rFonts w:ascii="Calibri" w:hAnsi="Calibri"/>
                <w:sz w:val="18"/>
                <w:szCs w:val="18"/>
              </w:rPr>
            </w:pPr>
            <w:r w:rsidRPr="00067D67">
              <w:rPr>
                <w:rFonts w:ascii="Calibri" w:hAnsi="Calibri"/>
                <w:sz w:val="18"/>
                <w:szCs w:val="18"/>
              </w:rPr>
              <w:t>PN-B-11112: 1996</w:t>
            </w:r>
          </w:p>
        </w:tc>
        <w:tc>
          <w:tcPr>
            <w:tcW w:w="7310" w:type="dxa"/>
          </w:tcPr>
          <w:p w14:paraId="2C9B424C" w14:textId="77777777" w:rsidR="0044266C" w:rsidRPr="00067D67" w:rsidRDefault="0044266C" w:rsidP="00067D67">
            <w:pPr>
              <w:jc w:val="left"/>
              <w:rPr>
                <w:rFonts w:ascii="Calibri" w:hAnsi="Calibri"/>
                <w:sz w:val="18"/>
                <w:szCs w:val="18"/>
              </w:rPr>
            </w:pPr>
            <w:r w:rsidRPr="00067D67">
              <w:rPr>
                <w:rFonts w:ascii="Calibri" w:hAnsi="Calibri"/>
                <w:sz w:val="18"/>
                <w:szCs w:val="18"/>
              </w:rPr>
              <w:t>Kruszywa mineralne. Kruszywa łamane do nawierzchni drogowych</w:t>
            </w:r>
          </w:p>
        </w:tc>
      </w:tr>
      <w:tr w:rsidR="0044266C" w:rsidRPr="00067D67" w14:paraId="3CDA879A" w14:textId="77777777" w:rsidTr="00E96B42">
        <w:tc>
          <w:tcPr>
            <w:tcW w:w="496" w:type="dxa"/>
          </w:tcPr>
          <w:p w14:paraId="6F560B8D" w14:textId="77777777" w:rsidR="0044266C" w:rsidRPr="00067D67" w:rsidRDefault="0044266C" w:rsidP="00067D67">
            <w:pPr>
              <w:jc w:val="left"/>
              <w:rPr>
                <w:rFonts w:ascii="Calibri" w:hAnsi="Calibri"/>
                <w:sz w:val="18"/>
                <w:szCs w:val="18"/>
              </w:rPr>
            </w:pPr>
            <w:r w:rsidRPr="00067D67">
              <w:rPr>
                <w:rFonts w:ascii="Calibri" w:hAnsi="Calibri"/>
                <w:sz w:val="18"/>
                <w:szCs w:val="18"/>
              </w:rPr>
              <w:t>16.</w:t>
            </w:r>
          </w:p>
        </w:tc>
        <w:tc>
          <w:tcPr>
            <w:tcW w:w="1984" w:type="dxa"/>
          </w:tcPr>
          <w:p w14:paraId="53060FCA" w14:textId="77777777" w:rsidR="0044266C" w:rsidRPr="00067D67" w:rsidRDefault="0044266C" w:rsidP="00067D67">
            <w:pPr>
              <w:jc w:val="left"/>
              <w:rPr>
                <w:rFonts w:ascii="Calibri" w:hAnsi="Calibri"/>
                <w:sz w:val="18"/>
                <w:szCs w:val="18"/>
              </w:rPr>
            </w:pPr>
            <w:r w:rsidRPr="00067D67">
              <w:rPr>
                <w:rFonts w:ascii="Calibri" w:hAnsi="Calibri"/>
                <w:sz w:val="18"/>
                <w:szCs w:val="18"/>
              </w:rPr>
              <w:t>PN-B-11113: 1996</w:t>
            </w:r>
          </w:p>
        </w:tc>
        <w:tc>
          <w:tcPr>
            <w:tcW w:w="7310" w:type="dxa"/>
          </w:tcPr>
          <w:p w14:paraId="2A98A40E" w14:textId="77777777" w:rsidR="0044266C" w:rsidRPr="00067D67" w:rsidRDefault="0044266C" w:rsidP="00067D67">
            <w:pPr>
              <w:jc w:val="left"/>
              <w:rPr>
                <w:rFonts w:ascii="Calibri" w:hAnsi="Calibri"/>
                <w:sz w:val="18"/>
                <w:szCs w:val="18"/>
              </w:rPr>
            </w:pPr>
            <w:r w:rsidRPr="00067D67">
              <w:rPr>
                <w:rFonts w:ascii="Calibri" w:hAnsi="Calibri"/>
                <w:sz w:val="18"/>
                <w:szCs w:val="18"/>
              </w:rPr>
              <w:t>Kruszywa mineralne. Kruszywa naturalne do nawierzchni drogowych; piasek</w:t>
            </w:r>
          </w:p>
        </w:tc>
      </w:tr>
      <w:tr w:rsidR="0044266C" w:rsidRPr="00067D67" w14:paraId="02CD6383" w14:textId="77777777" w:rsidTr="00E96B42">
        <w:tc>
          <w:tcPr>
            <w:tcW w:w="496" w:type="dxa"/>
          </w:tcPr>
          <w:p w14:paraId="2690E29C" w14:textId="77777777" w:rsidR="0044266C" w:rsidRPr="00067D67" w:rsidRDefault="0044266C" w:rsidP="00067D67">
            <w:pPr>
              <w:jc w:val="left"/>
              <w:rPr>
                <w:rFonts w:ascii="Calibri" w:hAnsi="Calibri"/>
                <w:sz w:val="18"/>
                <w:szCs w:val="18"/>
              </w:rPr>
            </w:pPr>
            <w:r w:rsidRPr="00067D67">
              <w:rPr>
                <w:rFonts w:ascii="Calibri" w:hAnsi="Calibri"/>
                <w:sz w:val="18"/>
                <w:szCs w:val="18"/>
              </w:rPr>
              <w:t>17.</w:t>
            </w:r>
          </w:p>
        </w:tc>
        <w:tc>
          <w:tcPr>
            <w:tcW w:w="1984" w:type="dxa"/>
          </w:tcPr>
          <w:p w14:paraId="1F522EF9" w14:textId="77777777" w:rsidR="0044266C" w:rsidRPr="00067D67" w:rsidRDefault="0044266C" w:rsidP="00067D67">
            <w:pPr>
              <w:jc w:val="left"/>
              <w:rPr>
                <w:rFonts w:ascii="Calibri" w:hAnsi="Calibri"/>
                <w:sz w:val="18"/>
                <w:szCs w:val="18"/>
              </w:rPr>
            </w:pPr>
            <w:r w:rsidRPr="00067D67">
              <w:rPr>
                <w:rFonts w:ascii="Calibri" w:hAnsi="Calibri"/>
                <w:sz w:val="18"/>
                <w:szCs w:val="18"/>
              </w:rPr>
              <w:t>PN-B-23004: 1988</w:t>
            </w:r>
          </w:p>
        </w:tc>
        <w:tc>
          <w:tcPr>
            <w:tcW w:w="7310" w:type="dxa"/>
          </w:tcPr>
          <w:p w14:paraId="2EE0D80E" w14:textId="77777777" w:rsidR="0044266C" w:rsidRPr="00067D67" w:rsidRDefault="0044266C" w:rsidP="00067D67">
            <w:pPr>
              <w:jc w:val="left"/>
              <w:rPr>
                <w:rFonts w:ascii="Calibri" w:hAnsi="Calibri"/>
                <w:sz w:val="18"/>
                <w:szCs w:val="18"/>
              </w:rPr>
            </w:pPr>
            <w:r w:rsidRPr="00067D67">
              <w:rPr>
                <w:rFonts w:ascii="Calibri" w:hAnsi="Calibri"/>
                <w:sz w:val="18"/>
                <w:szCs w:val="18"/>
              </w:rPr>
              <w:t>Kruszywa mineralne. Kruszywa sztuczne. Kruszywa z żużla wielkopiecowego kawałkowego</w:t>
            </w:r>
          </w:p>
        </w:tc>
      </w:tr>
      <w:tr w:rsidR="0044266C" w:rsidRPr="00067D67" w14:paraId="0F6D23F5" w14:textId="77777777" w:rsidTr="00E96B42">
        <w:tc>
          <w:tcPr>
            <w:tcW w:w="496" w:type="dxa"/>
          </w:tcPr>
          <w:p w14:paraId="1C6F4493" w14:textId="77777777" w:rsidR="0044266C" w:rsidRPr="00067D67" w:rsidRDefault="0044266C" w:rsidP="00067D67">
            <w:pPr>
              <w:jc w:val="left"/>
              <w:rPr>
                <w:rFonts w:ascii="Calibri" w:hAnsi="Calibri"/>
                <w:sz w:val="18"/>
                <w:szCs w:val="18"/>
              </w:rPr>
            </w:pPr>
            <w:r w:rsidRPr="00067D67">
              <w:rPr>
                <w:rFonts w:ascii="Calibri" w:hAnsi="Calibri"/>
                <w:sz w:val="18"/>
                <w:szCs w:val="18"/>
              </w:rPr>
              <w:t>18.</w:t>
            </w:r>
          </w:p>
        </w:tc>
        <w:tc>
          <w:tcPr>
            <w:tcW w:w="1984" w:type="dxa"/>
          </w:tcPr>
          <w:p w14:paraId="73A686C8" w14:textId="77777777" w:rsidR="0044266C" w:rsidRPr="00067D67" w:rsidRDefault="0044266C" w:rsidP="00067D67">
            <w:pPr>
              <w:jc w:val="left"/>
              <w:rPr>
                <w:rFonts w:ascii="Calibri" w:hAnsi="Calibri"/>
                <w:sz w:val="18"/>
                <w:szCs w:val="18"/>
              </w:rPr>
            </w:pPr>
            <w:r w:rsidRPr="00067D67">
              <w:rPr>
                <w:rFonts w:ascii="Calibri" w:hAnsi="Calibri"/>
                <w:sz w:val="18"/>
                <w:szCs w:val="18"/>
              </w:rPr>
              <w:t>PN-B-32250: 1988</w:t>
            </w:r>
          </w:p>
        </w:tc>
        <w:tc>
          <w:tcPr>
            <w:tcW w:w="7310" w:type="dxa"/>
          </w:tcPr>
          <w:p w14:paraId="568D8D28" w14:textId="77777777" w:rsidR="0044266C" w:rsidRPr="00067D67" w:rsidRDefault="0044266C" w:rsidP="00067D67">
            <w:pPr>
              <w:jc w:val="left"/>
              <w:rPr>
                <w:rFonts w:ascii="Calibri" w:hAnsi="Calibri"/>
                <w:sz w:val="18"/>
                <w:szCs w:val="18"/>
              </w:rPr>
            </w:pPr>
            <w:r w:rsidRPr="00067D67">
              <w:rPr>
                <w:rFonts w:ascii="Calibri" w:hAnsi="Calibri"/>
                <w:sz w:val="18"/>
                <w:szCs w:val="18"/>
              </w:rPr>
              <w:t>Materiały budowlane. Woda do betonów i zapraw</w:t>
            </w:r>
          </w:p>
        </w:tc>
      </w:tr>
      <w:tr w:rsidR="0044266C" w:rsidRPr="00067D67" w14:paraId="498D59C4" w14:textId="77777777" w:rsidTr="00E96B42">
        <w:tc>
          <w:tcPr>
            <w:tcW w:w="496" w:type="dxa"/>
          </w:tcPr>
          <w:p w14:paraId="69091B1C" w14:textId="77777777" w:rsidR="0044266C" w:rsidRPr="00067D67" w:rsidRDefault="0044266C" w:rsidP="00067D67">
            <w:pPr>
              <w:jc w:val="left"/>
              <w:rPr>
                <w:rFonts w:ascii="Calibri" w:hAnsi="Calibri"/>
                <w:sz w:val="18"/>
                <w:szCs w:val="18"/>
              </w:rPr>
            </w:pPr>
            <w:r w:rsidRPr="00067D67">
              <w:rPr>
                <w:rFonts w:ascii="Calibri" w:hAnsi="Calibri"/>
                <w:sz w:val="18"/>
                <w:szCs w:val="18"/>
              </w:rPr>
              <w:t>19.</w:t>
            </w:r>
          </w:p>
        </w:tc>
        <w:tc>
          <w:tcPr>
            <w:tcW w:w="1984" w:type="dxa"/>
          </w:tcPr>
          <w:p w14:paraId="1D61E85A" w14:textId="77777777" w:rsidR="0044266C" w:rsidRPr="00067D67" w:rsidRDefault="0044266C" w:rsidP="00067D67">
            <w:pPr>
              <w:jc w:val="left"/>
              <w:rPr>
                <w:rFonts w:ascii="Calibri" w:hAnsi="Calibri"/>
                <w:sz w:val="18"/>
                <w:szCs w:val="18"/>
              </w:rPr>
            </w:pPr>
            <w:r w:rsidRPr="00067D67">
              <w:rPr>
                <w:rFonts w:ascii="Calibri" w:hAnsi="Calibri"/>
                <w:sz w:val="18"/>
                <w:szCs w:val="18"/>
              </w:rPr>
              <w:t>PN-P-01715 : 1985</w:t>
            </w:r>
          </w:p>
        </w:tc>
        <w:tc>
          <w:tcPr>
            <w:tcW w:w="7310" w:type="dxa"/>
          </w:tcPr>
          <w:p w14:paraId="501B7CBE" w14:textId="77777777" w:rsidR="0044266C" w:rsidRPr="00067D67" w:rsidRDefault="0044266C" w:rsidP="00067D67">
            <w:pPr>
              <w:jc w:val="left"/>
              <w:rPr>
                <w:rFonts w:ascii="Calibri" w:hAnsi="Calibri"/>
                <w:sz w:val="18"/>
                <w:szCs w:val="18"/>
              </w:rPr>
            </w:pPr>
            <w:r w:rsidRPr="00067D67">
              <w:rPr>
                <w:rFonts w:ascii="Calibri" w:hAnsi="Calibri"/>
                <w:sz w:val="18"/>
                <w:szCs w:val="18"/>
              </w:rPr>
              <w:t>Włókniny. Zestawienie wskaźników technologicznych i użytkowych oraz metod badań</w:t>
            </w:r>
          </w:p>
        </w:tc>
      </w:tr>
      <w:tr w:rsidR="0044266C" w:rsidRPr="00067D67" w14:paraId="4D507708" w14:textId="77777777" w:rsidTr="00E96B42">
        <w:tc>
          <w:tcPr>
            <w:tcW w:w="496" w:type="dxa"/>
          </w:tcPr>
          <w:p w14:paraId="4EB99EC0" w14:textId="77777777" w:rsidR="0044266C" w:rsidRPr="00067D67" w:rsidRDefault="0044266C" w:rsidP="00067D67">
            <w:pPr>
              <w:jc w:val="left"/>
              <w:rPr>
                <w:rFonts w:ascii="Calibri" w:hAnsi="Calibri"/>
                <w:sz w:val="18"/>
                <w:szCs w:val="18"/>
              </w:rPr>
            </w:pPr>
            <w:r w:rsidRPr="00067D67">
              <w:rPr>
                <w:rFonts w:ascii="Calibri" w:hAnsi="Calibri"/>
                <w:sz w:val="18"/>
                <w:szCs w:val="18"/>
              </w:rPr>
              <w:t>20.</w:t>
            </w:r>
          </w:p>
        </w:tc>
        <w:tc>
          <w:tcPr>
            <w:tcW w:w="1984" w:type="dxa"/>
          </w:tcPr>
          <w:p w14:paraId="420C10D4" w14:textId="77777777" w:rsidR="0044266C" w:rsidRPr="00067D67" w:rsidRDefault="0044266C" w:rsidP="00067D67">
            <w:pPr>
              <w:jc w:val="left"/>
              <w:rPr>
                <w:rFonts w:ascii="Calibri" w:hAnsi="Calibri"/>
                <w:sz w:val="18"/>
                <w:szCs w:val="18"/>
              </w:rPr>
            </w:pPr>
            <w:r w:rsidRPr="00067D67">
              <w:rPr>
                <w:rFonts w:ascii="Calibri" w:hAnsi="Calibri"/>
                <w:sz w:val="18"/>
                <w:szCs w:val="18"/>
              </w:rPr>
              <w:t>PN-S-96013 : 1997</w:t>
            </w:r>
          </w:p>
        </w:tc>
        <w:tc>
          <w:tcPr>
            <w:tcW w:w="7310" w:type="dxa"/>
          </w:tcPr>
          <w:p w14:paraId="63EE7020" w14:textId="77777777" w:rsidR="0044266C" w:rsidRPr="00067D67" w:rsidRDefault="0044266C" w:rsidP="00067D67">
            <w:pPr>
              <w:jc w:val="left"/>
              <w:rPr>
                <w:rFonts w:ascii="Calibri" w:hAnsi="Calibri"/>
                <w:sz w:val="18"/>
                <w:szCs w:val="18"/>
              </w:rPr>
            </w:pPr>
            <w:r w:rsidRPr="00067D67">
              <w:rPr>
                <w:rFonts w:ascii="Calibri" w:hAnsi="Calibri"/>
                <w:sz w:val="18"/>
                <w:szCs w:val="18"/>
              </w:rPr>
              <w:t>Drogi samochodowe. Podbudowa z chudego betonu. Wymagania i badania</w:t>
            </w:r>
          </w:p>
        </w:tc>
      </w:tr>
      <w:tr w:rsidR="0044266C" w:rsidRPr="00067D67" w14:paraId="3D25DB29" w14:textId="77777777" w:rsidTr="00E96B42">
        <w:tc>
          <w:tcPr>
            <w:tcW w:w="496" w:type="dxa"/>
          </w:tcPr>
          <w:p w14:paraId="22F34DF7" w14:textId="77777777" w:rsidR="0044266C" w:rsidRPr="00067D67" w:rsidRDefault="0044266C" w:rsidP="00067D67">
            <w:pPr>
              <w:jc w:val="left"/>
              <w:rPr>
                <w:rFonts w:ascii="Calibri" w:hAnsi="Calibri"/>
                <w:sz w:val="18"/>
                <w:szCs w:val="18"/>
              </w:rPr>
            </w:pPr>
            <w:r w:rsidRPr="00067D67">
              <w:rPr>
                <w:rFonts w:ascii="Calibri" w:hAnsi="Calibri"/>
                <w:sz w:val="18"/>
                <w:szCs w:val="18"/>
              </w:rPr>
              <w:t>21.</w:t>
            </w:r>
          </w:p>
        </w:tc>
        <w:tc>
          <w:tcPr>
            <w:tcW w:w="1984" w:type="dxa"/>
          </w:tcPr>
          <w:p w14:paraId="6B02D152" w14:textId="77777777" w:rsidR="0044266C" w:rsidRPr="00067D67" w:rsidRDefault="0044266C" w:rsidP="00067D67">
            <w:pPr>
              <w:jc w:val="left"/>
              <w:rPr>
                <w:rFonts w:ascii="Calibri" w:hAnsi="Calibri"/>
                <w:sz w:val="18"/>
                <w:szCs w:val="18"/>
              </w:rPr>
            </w:pPr>
            <w:r w:rsidRPr="00067D67">
              <w:rPr>
                <w:rFonts w:ascii="Calibri" w:hAnsi="Calibri"/>
                <w:sz w:val="18"/>
                <w:szCs w:val="18"/>
              </w:rPr>
              <w:t>PN-S-96014 : 1997</w:t>
            </w:r>
          </w:p>
        </w:tc>
        <w:tc>
          <w:tcPr>
            <w:tcW w:w="7310" w:type="dxa"/>
          </w:tcPr>
          <w:p w14:paraId="662539C3" w14:textId="77777777" w:rsidR="0044266C" w:rsidRPr="00067D67" w:rsidRDefault="0044266C" w:rsidP="00067D67">
            <w:pPr>
              <w:jc w:val="left"/>
              <w:rPr>
                <w:rFonts w:ascii="Calibri" w:hAnsi="Calibri"/>
                <w:sz w:val="18"/>
                <w:szCs w:val="18"/>
              </w:rPr>
            </w:pPr>
            <w:r w:rsidRPr="00067D67">
              <w:rPr>
                <w:rFonts w:ascii="Calibri" w:hAnsi="Calibri"/>
                <w:sz w:val="18"/>
                <w:szCs w:val="18"/>
              </w:rPr>
              <w:t>Drogi samochodowe i lotniskowe. Podbudowa z betonu cementowego pod nawierzchnię ulepszoną.</w:t>
            </w:r>
          </w:p>
        </w:tc>
      </w:tr>
      <w:tr w:rsidR="0044266C" w:rsidRPr="00067D67" w14:paraId="17A0F191" w14:textId="77777777" w:rsidTr="00E96B42">
        <w:tc>
          <w:tcPr>
            <w:tcW w:w="496" w:type="dxa"/>
          </w:tcPr>
          <w:p w14:paraId="70558E41" w14:textId="77777777" w:rsidR="0044266C" w:rsidRPr="00067D67" w:rsidRDefault="0044266C" w:rsidP="00067D67">
            <w:pPr>
              <w:jc w:val="left"/>
              <w:rPr>
                <w:rFonts w:ascii="Calibri" w:hAnsi="Calibri"/>
                <w:sz w:val="18"/>
                <w:szCs w:val="18"/>
              </w:rPr>
            </w:pPr>
            <w:r w:rsidRPr="00067D67">
              <w:rPr>
                <w:rFonts w:ascii="Calibri" w:hAnsi="Calibri"/>
                <w:sz w:val="18"/>
                <w:szCs w:val="18"/>
              </w:rPr>
              <w:t>22.</w:t>
            </w:r>
          </w:p>
        </w:tc>
        <w:tc>
          <w:tcPr>
            <w:tcW w:w="1984" w:type="dxa"/>
          </w:tcPr>
          <w:p w14:paraId="1D3F5611" w14:textId="77777777" w:rsidR="0044266C" w:rsidRPr="00067D67" w:rsidRDefault="0044266C" w:rsidP="00067D67">
            <w:pPr>
              <w:jc w:val="left"/>
              <w:rPr>
                <w:rFonts w:ascii="Calibri" w:hAnsi="Calibri"/>
                <w:sz w:val="18"/>
                <w:szCs w:val="18"/>
              </w:rPr>
            </w:pPr>
            <w:r w:rsidRPr="00067D67">
              <w:rPr>
                <w:rFonts w:ascii="Calibri" w:hAnsi="Calibri"/>
                <w:sz w:val="18"/>
                <w:szCs w:val="18"/>
              </w:rPr>
              <w:t>BN-88/6731-08</w:t>
            </w:r>
          </w:p>
        </w:tc>
        <w:tc>
          <w:tcPr>
            <w:tcW w:w="7310" w:type="dxa"/>
          </w:tcPr>
          <w:p w14:paraId="21D586CC" w14:textId="77777777" w:rsidR="0044266C" w:rsidRPr="00067D67" w:rsidRDefault="0044266C" w:rsidP="00067D67">
            <w:pPr>
              <w:jc w:val="left"/>
              <w:rPr>
                <w:rFonts w:ascii="Calibri" w:hAnsi="Calibri"/>
                <w:sz w:val="18"/>
                <w:szCs w:val="18"/>
              </w:rPr>
            </w:pPr>
            <w:r w:rsidRPr="00067D67">
              <w:rPr>
                <w:rFonts w:ascii="Calibri" w:hAnsi="Calibri"/>
                <w:sz w:val="18"/>
                <w:szCs w:val="18"/>
              </w:rPr>
              <w:t>Cement. Transport i przechowywanie</w:t>
            </w:r>
          </w:p>
        </w:tc>
      </w:tr>
      <w:tr w:rsidR="0044266C" w:rsidRPr="00067D67" w14:paraId="4785CF32" w14:textId="77777777" w:rsidTr="00E96B42">
        <w:tc>
          <w:tcPr>
            <w:tcW w:w="496" w:type="dxa"/>
          </w:tcPr>
          <w:p w14:paraId="145FF6A9" w14:textId="77777777" w:rsidR="0044266C" w:rsidRPr="00067D67" w:rsidRDefault="0044266C" w:rsidP="00067D67">
            <w:pPr>
              <w:jc w:val="left"/>
              <w:rPr>
                <w:rFonts w:ascii="Calibri" w:hAnsi="Calibri"/>
                <w:sz w:val="18"/>
                <w:szCs w:val="18"/>
              </w:rPr>
            </w:pPr>
            <w:r w:rsidRPr="00067D67">
              <w:rPr>
                <w:rFonts w:ascii="Calibri" w:hAnsi="Calibri"/>
                <w:sz w:val="18"/>
                <w:szCs w:val="18"/>
              </w:rPr>
              <w:t>23.</w:t>
            </w:r>
          </w:p>
        </w:tc>
        <w:tc>
          <w:tcPr>
            <w:tcW w:w="1984" w:type="dxa"/>
          </w:tcPr>
          <w:p w14:paraId="4086609A" w14:textId="77777777" w:rsidR="0044266C" w:rsidRPr="00067D67" w:rsidRDefault="0044266C" w:rsidP="00067D67">
            <w:pPr>
              <w:jc w:val="left"/>
              <w:rPr>
                <w:rFonts w:ascii="Calibri" w:hAnsi="Calibri"/>
                <w:sz w:val="18"/>
                <w:szCs w:val="18"/>
              </w:rPr>
            </w:pPr>
            <w:r w:rsidRPr="00067D67">
              <w:rPr>
                <w:rFonts w:ascii="Calibri" w:hAnsi="Calibri"/>
                <w:sz w:val="18"/>
                <w:szCs w:val="18"/>
              </w:rPr>
              <w:t>BN-68/8931-04</w:t>
            </w:r>
          </w:p>
        </w:tc>
        <w:tc>
          <w:tcPr>
            <w:tcW w:w="7310" w:type="dxa"/>
          </w:tcPr>
          <w:p w14:paraId="7E34B80D" w14:textId="77777777" w:rsidR="0044266C" w:rsidRPr="00067D67" w:rsidRDefault="0044266C" w:rsidP="00067D67">
            <w:pPr>
              <w:jc w:val="left"/>
              <w:rPr>
                <w:rFonts w:ascii="Calibri" w:hAnsi="Calibri"/>
                <w:sz w:val="18"/>
                <w:szCs w:val="18"/>
              </w:rPr>
            </w:pPr>
            <w:r w:rsidRPr="00067D67">
              <w:rPr>
                <w:rFonts w:ascii="Calibri" w:hAnsi="Calibri"/>
                <w:sz w:val="18"/>
                <w:szCs w:val="18"/>
              </w:rPr>
              <w:t>Drogi samochodowe. Pomiar równości nawierzchni planografem i łatą.</w:t>
            </w:r>
          </w:p>
        </w:tc>
      </w:tr>
    </w:tbl>
    <w:p w14:paraId="736A9065" w14:textId="77777777" w:rsidR="0044266C" w:rsidRPr="00A23FB4" w:rsidRDefault="0044266C" w:rsidP="0044266C">
      <w:pPr>
        <w:pStyle w:val="Nagwek4"/>
        <w:rPr>
          <w:rFonts w:ascii="Calibri" w:hAnsi="Calibri"/>
        </w:rPr>
      </w:pPr>
      <w:r w:rsidRPr="00A23FB4">
        <w:rPr>
          <w:rFonts w:ascii="Calibri" w:hAnsi="Calibri"/>
        </w:rPr>
        <w:t>10.2. Inne dokumenty</w:t>
      </w:r>
    </w:p>
    <w:p w14:paraId="5A326DB9" w14:textId="77777777" w:rsidR="0044266C" w:rsidRPr="00067D67" w:rsidRDefault="0044266C" w:rsidP="00262498">
      <w:pPr>
        <w:numPr>
          <w:ilvl w:val="0"/>
          <w:numId w:val="34"/>
        </w:numPr>
        <w:ind w:left="0"/>
        <w:rPr>
          <w:rFonts w:ascii="Calibri" w:hAnsi="Calibri"/>
          <w:sz w:val="18"/>
          <w:szCs w:val="18"/>
        </w:rPr>
      </w:pPr>
      <w:r w:rsidRPr="00067D67">
        <w:rPr>
          <w:rFonts w:ascii="Calibri" w:hAnsi="Calibri"/>
          <w:sz w:val="18"/>
          <w:szCs w:val="18"/>
        </w:rPr>
        <w:t>Katalog typowych konstrukcji nawierzchni podatnych i półsztywnych, IBDiM, Warszawa, 1997</w:t>
      </w:r>
    </w:p>
    <w:p w14:paraId="5BA835EF" w14:textId="77777777" w:rsidR="0044266C" w:rsidRPr="00067D67" w:rsidRDefault="0044266C" w:rsidP="00262498">
      <w:pPr>
        <w:numPr>
          <w:ilvl w:val="0"/>
          <w:numId w:val="34"/>
        </w:numPr>
        <w:ind w:left="0"/>
        <w:rPr>
          <w:rFonts w:ascii="Calibri" w:hAnsi="Calibri"/>
          <w:sz w:val="18"/>
          <w:szCs w:val="18"/>
        </w:rPr>
      </w:pPr>
      <w:r w:rsidRPr="00067D67">
        <w:rPr>
          <w:rFonts w:ascii="Calibri" w:hAnsi="Calibri"/>
          <w:sz w:val="18"/>
          <w:szCs w:val="18"/>
        </w:rPr>
        <w:t xml:space="preserve"> Katalog typowych konstrukcji nawierzchni sztywnych, IBDiM, Warszawa, 2001</w:t>
      </w:r>
    </w:p>
    <w:p w14:paraId="5F2A08F5" w14:textId="77777777" w:rsidR="0072177F" w:rsidRPr="00A23FB4" w:rsidRDefault="0072177F" w:rsidP="0072177F">
      <w:pPr>
        <w:overflowPunct/>
        <w:autoSpaceDE/>
        <w:autoSpaceDN/>
        <w:adjustRightInd/>
        <w:jc w:val="left"/>
        <w:textAlignment w:val="auto"/>
        <w:rPr>
          <w:rFonts w:ascii="Calibri" w:hAnsi="Calibri" w:cs="Calibri"/>
          <w:b/>
          <w:sz w:val="22"/>
          <w:szCs w:val="22"/>
        </w:rPr>
      </w:pPr>
      <w:r w:rsidRPr="00A23FB4">
        <w:rPr>
          <w:rFonts w:ascii="Calibri" w:hAnsi="Calibri" w:cs="Calibri"/>
          <w:b/>
          <w:sz w:val="22"/>
          <w:szCs w:val="22"/>
        </w:rPr>
        <w:br w:type="page"/>
      </w:r>
    </w:p>
    <w:p w14:paraId="6AA697DC" w14:textId="07CF5334" w:rsidR="0044266C" w:rsidRPr="00A23FB4" w:rsidRDefault="0044266C">
      <w:pPr>
        <w:overflowPunct/>
        <w:autoSpaceDE/>
        <w:autoSpaceDN/>
        <w:adjustRightInd/>
        <w:jc w:val="left"/>
        <w:textAlignment w:val="auto"/>
        <w:rPr>
          <w:rFonts w:ascii="Calibri" w:hAnsi="Calibri" w:cs="Calibri"/>
          <w:b/>
          <w:sz w:val="22"/>
          <w:szCs w:val="22"/>
        </w:rPr>
      </w:pPr>
    </w:p>
    <w:p w14:paraId="141CD29A" w14:textId="4107A8A7" w:rsidR="0072177F" w:rsidRPr="00A23FB4" w:rsidRDefault="006707A0" w:rsidP="0022369F">
      <w:pPr>
        <w:spacing w:line="360" w:lineRule="auto"/>
        <w:jc w:val="center"/>
        <w:rPr>
          <w:rFonts w:ascii="Calibri" w:hAnsi="Calibri" w:cs="Calibri"/>
          <w:b/>
          <w:sz w:val="22"/>
          <w:szCs w:val="22"/>
        </w:rPr>
      </w:pPr>
      <w:r>
        <w:rPr>
          <w:rFonts w:ascii="Calibri" w:hAnsi="Calibri" w:cs="Calibri"/>
          <w:b/>
          <w:sz w:val="22"/>
          <w:szCs w:val="22"/>
        </w:rPr>
        <w:t>SZCZEGÓŁOWE SPECYFIKACJE TECHNICZNE</w:t>
      </w:r>
      <w:r w:rsidR="0072177F" w:rsidRPr="00A23FB4">
        <w:rPr>
          <w:rFonts w:ascii="Calibri" w:hAnsi="Calibri" w:cs="Calibri"/>
          <w:b/>
          <w:sz w:val="22"/>
          <w:szCs w:val="22"/>
        </w:rPr>
        <w:t xml:space="preserve"> WYKONYWANIA I ODBIORU ROBÓT BUDOWLANYCH</w:t>
      </w:r>
    </w:p>
    <w:p w14:paraId="30C82534" w14:textId="77777777" w:rsidR="0072177F" w:rsidRPr="00A23FB4" w:rsidRDefault="0072177F" w:rsidP="0022369F">
      <w:pPr>
        <w:pStyle w:val="Nagowek1"/>
        <w:spacing w:before="0"/>
      </w:pPr>
      <w:bookmarkStart w:id="537" w:name="_Toc296923102"/>
      <w:bookmarkStart w:id="538" w:name="_Toc333441668"/>
      <w:bookmarkStart w:id="539" w:name="_Toc333657245"/>
      <w:bookmarkStart w:id="540" w:name="_Toc334095430"/>
      <w:bookmarkStart w:id="541" w:name="_Toc352837488"/>
      <w:bookmarkStart w:id="542" w:name="_Toc460177609"/>
      <w:bookmarkStart w:id="543" w:name="_Toc206275483"/>
      <w:r w:rsidRPr="00A23FB4">
        <w:t>D-04.05.01 ULEPSZONE PODŁOŻE Z GRUNTÓW STABILIZOWANYCH CEMENTEM</w:t>
      </w:r>
      <w:bookmarkEnd w:id="537"/>
      <w:bookmarkEnd w:id="538"/>
      <w:bookmarkEnd w:id="539"/>
      <w:bookmarkEnd w:id="540"/>
      <w:bookmarkEnd w:id="541"/>
      <w:bookmarkEnd w:id="542"/>
      <w:bookmarkEnd w:id="543"/>
    </w:p>
    <w:p w14:paraId="09480BC5" w14:textId="77777777" w:rsidR="0072177F" w:rsidRPr="00A23FB4" w:rsidRDefault="0072177F" w:rsidP="0072177F">
      <w:pPr>
        <w:rPr>
          <w:rFonts w:ascii="Calibri" w:hAnsi="Calibri" w:cs="Calibri"/>
          <w:b/>
        </w:rPr>
      </w:pPr>
    </w:p>
    <w:p w14:paraId="2BF829CF" w14:textId="77777777" w:rsidR="0072177F" w:rsidRPr="00A23FB4" w:rsidRDefault="0072177F" w:rsidP="0072177F">
      <w:pPr>
        <w:rPr>
          <w:rFonts w:ascii="Calibri" w:hAnsi="Calibri" w:cs="Calibri"/>
          <w:b/>
        </w:rPr>
      </w:pPr>
      <w:r w:rsidRPr="00A23FB4">
        <w:rPr>
          <w:rFonts w:ascii="Calibri" w:hAnsi="Calibri" w:cs="Calibri"/>
          <w:b/>
        </w:rPr>
        <w:t>1. WSTĘP</w:t>
      </w:r>
    </w:p>
    <w:p w14:paraId="6A68A83D" w14:textId="715C2035" w:rsidR="0072177F" w:rsidRPr="00A23FB4" w:rsidRDefault="0072177F" w:rsidP="0072177F">
      <w:pPr>
        <w:pStyle w:val="Nagwek4"/>
        <w:tabs>
          <w:tab w:val="left" w:pos="9914"/>
        </w:tabs>
        <w:rPr>
          <w:rFonts w:ascii="Calibri" w:hAnsi="Calibri" w:cs="Calibri"/>
        </w:rPr>
      </w:pPr>
      <w:bookmarkStart w:id="544" w:name="_Toc405780134"/>
      <w:r w:rsidRPr="00A23FB4">
        <w:rPr>
          <w:rFonts w:ascii="Calibri" w:hAnsi="Calibri" w:cs="Calibri"/>
        </w:rPr>
        <w:t xml:space="preserve">1.1. Przedmiot </w:t>
      </w:r>
      <w:bookmarkEnd w:id="544"/>
      <w:r w:rsidR="007E5E56">
        <w:rPr>
          <w:rFonts w:ascii="Calibri" w:hAnsi="Calibri" w:cs="Calibri"/>
        </w:rPr>
        <w:t>ST</w:t>
      </w:r>
      <w:r w:rsidRPr="00A23FB4">
        <w:rPr>
          <w:rFonts w:ascii="Calibri" w:hAnsi="Calibri" w:cs="Calibri"/>
        </w:rPr>
        <w:t>WiORB</w:t>
      </w:r>
    </w:p>
    <w:p w14:paraId="4C0B1549" w14:textId="3CB7DD51" w:rsidR="0072177F" w:rsidRPr="00A23FB4" w:rsidRDefault="0072177F" w:rsidP="0072177F">
      <w:pPr>
        <w:tabs>
          <w:tab w:val="left" w:pos="9914"/>
        </w:tabs>
        <w:rPr>
          <w:rFonts w:ascii="Calibri" w:hAnsi="Calibri" w:cs="Calibri"/>
        </w:rPr>
      </w:pPr>
      <w:bookmarkStart w:id="545" w:name="_Toc405780135"/>
      <w:r w:rsidRPr="00A23FB4">
        <w:rPr>
          <w:rFonts w:ascii="Calibri" w:hAnsi="Calibri" w:cs="Calibri"/>
        </w:rPr>
        <w:t>Przedmiotem niniejsz</w:t>
      </w:r>
      <w:r w:rsidR="007C04C0">
        <w:rPr>
          <w:rFonts w:ascii="Calibri" w:hAnsi="Calibri" w:cs="Calibri"/>
        </w:rPr>
        <w:t>ej</w:t>
      </w:r>
      <w:r w:rsidRPr="00A23FB4">
        <w:rPr>
          <w:rFonts w:ascii="Calibri" w:hAnsi="Calibri" w:cs="Calibri"/>
        </w:rPr>
        <w:t xml:space="preserve"> </w:t>
      </w:r>
      <w:r w:rsidR="006707A0">
        <w:rPr>
          <w:rFonts w:ascii="Calibri" w:hAnsi="Calibri" w:cs="Calibri"/>
        </w:rPr>
        <w:t>specyfikacji</w:t>
      </w:r>
      <w:r w:rsidRPr="00A23FB4">
        <w:rPr>
          <w:rFonts w:ascii="Calibri" w:hAnsi="Calibri" w:cs="Calibri"/>
        </w:rPr>
        <w:t xml:space="preserve"> technicznej wykonania i odbioru robót budowlanych (</w:t>
      </w:r>
      <w:r w:rsidR="007E5E56">
        <w:rPr>
          <w:rFonts w:ascii="Calibri" w:hAnsi="Calibri" w:cs="Calibri"/>
        </w:rPr>
        <w:t>ST</w:t>
      </w:r>
      <w:r w:rsidRPr="00A23FB4">
        <w:rPr>
          <w:rFonts w:ascii="Calibri" w:hAnsi="Calibri" w:cs="Calibri"/>
        </w:rPr>
        <w:t>WiORB) są wymagania dotyczące wykonania i odbioru robót związanych z wyk</w:t>
      </w:r>
      <w:r w:rsidR="00055576" w:rsidRPr="00A23FB4">
        <w:rPr>
          <w:rFonts w:ascii="Calibri" w:hAnsi="Calibri" w:cs="Calibri"/>
        </w:rPr>
        <w:t>onywaniem ulepszonego podłoża z </w:t>
      </w:r>
      <w:r w:rsidRPr="00A23FB4">
        <w:rPr>
          <w:rFonts w:ascii="Calibri" w:hAnsi="Calibri" w:cs="Calibri"/>
        </w:rPr>
        <w:t>gruntu lub kruszywa stabilizowanego cementem.</w:t>
      </w:r>
      <w:bookmarkEnd w:id="545"/>
    </w:p>
    <w:p w14:paraId="603C654A" w14:textId="3E95AD60" w:rsidR="0072177F" w:rsidRPr="00A23FB4" w:rsidRDefault="0072177F" w:rsidP="0072177F">
      <w:pPr>
        <w:pStyle w:val="Nagwek4"/>
        <w:tabs>
          <w:tab w:val="left" w:pos="9914"/>
        </w:tabs>
        <w:rPr>
          <w:rFonts w:ascii="Calibri" w:hAnsi="Calibri" w:cs="Calibri"/>
        </w:rPr>
      </w:pPr>
      <w:r w:rsidRPr="00A23FB4">
        <w:rPr>
          <w:rFonts w:ascii="Calibri" w:hAnsi="Calibri" w:cs="Calibri"/>
        </w:rPr>
        <w:t xml:space="preserve">1.2. Zakres stosowania </w:t>
      </w:r>
      <w:r w:rsidR="007E5E56">
        <w:rPr>
          <w:rFonts w:ascii="Calibri" w:hAnsi="Calibri" w:cs="Calibri"/>
        </w:rPr>
        <w:t>ST</w:t>
      </w:r>
      <w:r w:rsidRPr="00A23FB4">
        <w:rPr>
          <w:rFonts w:ascii="Calibri" w:hAnsi="Calibri" w:cs="Calibri"/>
        </w:rPr>
        <w:t>WiORB</w:t>
      </w:r>
    </w:p>
    <w:p w14:paraId="0806A493" w14:textId="09CC131B" w:rsidR="00055576" w:rsidRPr="003D707D" w:rsidRDefault="00575C66" w:rsidP="00055576">
      <w:pPr>
        <w:rPr>
          <w:b/>
          <w:bCs/>
          <w:smallCaps/>
          <w:sz w:val="28"/>
          <w:szCs w:val="28"/>
        </w:rPr>
      </w:pPr>
      <w:bookmarkStart w:id="546" w:name="_Toc405780136"/>
      <w:r>
        <w:rPr>
          <w:rFonts w:ascii="Calibri" w:hAnsi="Calibri" w:cs="Calibri"/>
        </w:rPr>
        <w:t>Specyfikacj</w:t>
      </w:r>
      <w:r w:rsidR="007C04C0">
        <w:rPr>
          <w:rFonts w:ascii="Calibri" w:hAnsi="Calibri" w:cs="Calibri"/>
        </w:rPr>
        <w:t>a</w:t>
      </w:r>
      <w:r w:rsidRPr="00A23FB4">
        <w:rPr>
          <w:rFonts w:ascii="Calibri" w:hAnsi="Calibri" w:cs="Calibri"/>
        </w:rPr>
        <w:t xml:space="preserve"> </w:t>
      </w:r>
      <w:r w:rsidR="0072177F" w:rsidRPr="00A23FB4">
        <w:rPr>
          <w:rFonts w:ascii="Calibri" w:hAnsi="Calibri" w:cs="Calibri"/>
        </w:rPr>
        <w:t>stanowi dokument kontraktowy przy realizacji  zadania</w:t>
      </w:r>
      <w:r w:rsidR="0044266C" w:rsidRPr="00A23FB4">
        <w:rPr>
          <w:rFonts w:asciiTheme="minorHAnsi" w:hAnsiTheme="minorHAnsi" w:cstheme="minorHAnsi"/>
          <w:bCs/>
        </w:rPr>
        <w:t xml:space="preserve"> </w:t>
      </w:r>
      <w:r w:rsidR="00506838">
        <w:rPr>
          <w:rFonts w:asciiTheme="minorHAnsi" w:hAnsiTheme="minorHAnsi" w:cstheme="minorHAnsi"/>
          <w:bCs/>
        </w:rPr>
        <w:t>„</w:t>
      </w:r>
      <w:r w:rsidR="007E5E56" w:rsidRPr="007E5E56">
        <w:rPr>
          <w:rFonts w:asciiTheme="minorHAnsi" w:hAnsiTheme="minorHAnsi" w:cstheme="minorHAnsi"/>
          <w:bCs/>
        </w:rPr>
        <w:t>Rozbudowa ul. Wrocławskiej w ciągu drogi powiatowej w Tyńcu Małym wraz z rozbudową istniejącego skrzyżowania typu rondo na połączeniu dróg krajowych nr 35 i 35a oraz łącznika węzła Kobierzyce drogi S8e oraz infrastrukturą towarzyszącą w ramach zadania „Rozbudowa skrzyżowania typu rondo w ciągu DK35 koło m. Tyniec Mały usprawniająca skomunikowanie obszarów Podstrefy Wrocław – Kobierzyce TSSE EURO PARK WISŁOSAN”.</w:t>
      </w:r>
    </w:p>
    <w:p w14:paraId="01E442F8" w14:textId="34F64E20" w:rsidR="0072177F" w:rsidRPr="00A23FB4" w:rsidRDefault="0072177F" w:rsidP="0072177F">
      <w:pPr>
        <w:pStyle w:val="Nagwek4"/>
        <w:tabs>
          <w:tab w:val="left" w:pos="9914"/>
        </w:tabs>
        <w:rPr>
          <w:rFonts w:ascii="Calibri" w:hAnsi="Calibri" w:cs="Calibri"/>
        </w:rPr>
      </w:pPr>
      <w:r w:rsidRPr="00A23FB4">
        <w:rPr>
          <w:rFonts w:ascii="Calibri" w:hAnsi="Calibri" w:cs="Calibri"/>
        </w:rPr>
        <w:t xml:space="preserve">1.3. Zakres robót objętych </w:t>
      </w:r>
      <w:bookmarkEnd w:id="546"/>
      <w:r w:rsidR="007E5E56">
        <w:rPr>
          <w:rFonts w:ascii="Calibri" w:hAnsi="Calibri" w:cs="Calibri"/>
        </w:rPr>
        <w:t>ST</w:t>
      </w:r>
      <w:r w:rsidRPr="00A23FB4">
        <w:rPr>
          <w:rFonts w:ascii="Calibri" w:hAnsi="Calibri" w:cs="Calibri"/>
        </w:rPr>
        <w:t>WiORB</w:t>
      </w:r>
    </w:p>
    <w:p w14:paraId="2CE9D3F9" w14:textId="6316532E" w:rsidR="0072177F" w:rsidRPr="00A23FB4" w:rsidRDefault="0072177F" w:rsidP="0072177F">
      <w:pPr>
        <w:tabs>
          <w:tab w:val="left" w:pos="9914"/>
        </w:tabs>
        <w:rPr>
          <w:rFonts w:ascii="Calibri" w:hAnsi="Calibri" w:cs="Calibri"/>
        </w:rPr>
      </w:pPr>
      <w:bookmarkStart w:id="547" w:name="_Toc405780137"/>
      <w:r w:rsidRPr="00A23FB4">
        <w:rPr>
          <w:rFonts w:ascii="Calibri" w:hAnsi="Calibri" w:cs="Calibri"/>
        </w:rPr>
        <w:t xml:space="preserve">Ustalenia zawarte w niniejszych </w:t>
      </w:r>
      <w:r w:rsidR="006707A0">
        <w:rPr>
          <w:rFonts w:ascii="Calibri" w:hAnsi="Calibri" w:cs="Calibri"/>
        </w:rPr>
        <w:t>specyfikacjach</w:t>
      </w:r>
      <w:r w:rsidRPr="00A23FB4">
        <w:rPr>
          <w:rFonts w:ascii="Calibri" w:hAnsi="Calibri" w:cs="Calibri"/>
        </w:rPr>
        <w:t xml:space="preserve"> dotyczą zasad prowadzenia robót związanych z wykonaniem ulepszonego podłoża z gruntu lub kruszywa stabilizowanego cementem wg PN-EN-13242:2004 oraz WT-5 2010 Mieszanki związane spoiwem hydraulicznym do dróg </w:t>
      </w:r>
      <w:r w:rsidR="009F5DEB" w:rsidRPr="00A23FB4">
        <w:rPr>
          <w:rFonts w:ascii="Calibri" w:hAnsi="Calibri" w:cs="Calibri"/>
        </w:rPr>
        <w:t>krajowych Wymagania Techniczne.</w:t>
      </w:r>
    </w:p>
    <w:p w14:paraId="2175D3EC" w14:textId="77777777" w:rsidR="0072177F" w:rsidRPr="00A23FB4" w:rsidRDefault="0072177F" w:rsidP="0072177F">
      <w:pPr>
        <w:pStyle w:val="Nagwek4"/>
        <w:tabs>
          <w:tab w:val="left" w:pos="9914"/>
        </w:tabs>
        <w:rPr>
          <w:rFonts w:ascii="Calibri" w:hAnsi="Calibri" w:cs="Calibri"/>
        </w:rPr>
      </w:pPr>
      <w:r w:rsidRPr="00A23FB4">
        <w:rPr>
          <w:rFonts w:ascii="Calibri" w:hAnsi="Calibri" w:cs="Calibri"/>
        </w:rPr>
        <w:t>1.4. Określenia podstawowe</w:t>
      </w:r>
      <w:bookmarkEnd w:id="547"/>
    </w:p>
    <w:p w14:paraId="404FD4C2" w14:textId="77777777" w:rsidR="0072177F" w:rsidRPr="00A23FB4" w:rsidRDefault="0072177F" w:rsidP="0072177F">
      <w:pPr>
        <w:tabs>
          <w:tab w:val="left" w:pos="9914"/>
        </w:tabs>
        <w:spacing w:before="120"/>
        <w:rPr>
          <w:rFonts w:ascii="Calibri" w:hAnsi="Calibri" w:cs="Calibri"/>
        </w:rPr>
      </w:pPr>
      <w:bookmarkStart w:id="548" w:name="_Toc405780138"/>
      <w:r w:rsidRPr="00A23FB4">
        <w:rPr>
          <w:rFonts w:ascii="Calibri" w:hAnsi="Calibri" w:cs="Calibri"/>
          <w:b/>
          <w:bCs/>
          <w:i/>
          <w:iCs/>
        </w:rPr>
        <w:t>1.4.1.</w:t>
      </w:r>
      <w:r w:rsidRPr="00A23FB4">
        <w:rPr>
          <w:rFonts w:ascii="Calibri" w:hAnsi="Calibri" w:cs="Calibri"/>
        </w:rPr>
        <w:t>Grunt stabilizowany cementem - mieszanka cementowo-gruntowa zagęszczona i stwardniała w wyniku ukończenia procesu wiązania cementu.</w:t>
      </w:r>
    </w:p>
    <w:p w14:paraId="51A1F004" w14:textId="77777777" w:rsidR="0072177F" w:rsidRPr="00A23FB4" w:rsidRDefault="0072177F" w:rsidP="0072177F">
      <w:pPr>
        <w:tabs>
          <w:tab w:val="left" w:pos="9914"/>
        </w:tabs>
        <w:spacing w:before="120"/>
        <w:rPr>
          <w:rFonts w:ascii="Calibri" w:hAnsi="Calibri" w:cs="Calibri"/>
        </w:rPr>
      </w:pPr>
      <w:r w:rsidRPr="00A23FB4">
        <w:rPr>
          <w:rFonts w:ascii="Calibri" w:hAnsi="Calibri" w:cs="Calibri"/>
          <w:b/>
          <w:bCs/>
          <w:i/>
          <w:iCs/>
        </w:rPr>
        <w:t>1.4.2.</w:t>
      </w:r>
      <w:r w:rsidRPr="00A23FB4">
        <w:rPr>
          <w:rFonts w:ascii="Calibri" w:hAnsi="Calibri" w:cs="Calibri"/>
        </w:rPr>
        <w:t>Kruszywo stabilizowane cementem - mieszanka kruszywa naturalnego, cementu i wody, a w razie potrzeby dodatków ulepszających, np. popiołów lotnych lub chlorku wapniowego, dobranych w optymalnych ilościach, zagęszczona i stwardniała w wyniku ukończenia procesu wiązania cementu.</w:t>
      </w:r>
    </w:p>
    <w:p w14:paraId="4C81A59D" w14:textId="77777777" w:rsidR="0072177F" w:rsidRPr="00A23FB4" w:rsidRDefault="0072177F" w:rsidP="0072177F">
      <w:pPr>
        <w:tabs>
          <w:tab w:val="left" w:pos="9914"/>
        </w:tabs>
        <w:spacing w:before="120"/>
        <w:rPr>
          <w:rFonts w:ascii="Calibri" w:hAnsi="Calibri" w:cs="Calibri"/>
        </w:rPr>
      </w:pPr>
      <w:r w:rsidRPr="00A23FB4">
        <w:rPr>
          <w:rFonts w:ascii="Calibri" w:hAnsi="Calibri" w:cs="Calibri"/>
          <w:b/>
          <w:bCs/>
          <w:i/>
          <w:iCs/>
        </w:rPr>
        <w:t>1.4.3.</w:t>
      </w:r>
      <w:r w:rsidRPr="00A23FB4">
        <w:rPr>
          <w:rFonts w:ascii="Calibri" w:hAnsi="Calibri" w:cs="Calibri"/>
        </w:rPr>
        <w:t>Mieszanka cementowo-gruntowa - mieszanka gruntu, cementu i wody, a w razie potrzeby również dodatków ulepszających, np. popiołów lotnych lub chlorku wapniowego, dobranych w optymalnych ilościach.</w:t>
      </w:r>
    </w:p>
    <w:p w14:paraId="24BB61E9" w14:textId="77777777" w:rsidR="0072177F" w:rsidRPr="00A23FB4" w:rsidRDefault="0072177F" w:rsidP="0072177F">
      <w:pPr>
        <w:tabs>
          <w:tab w:val="left" w:pos="9914"/>
        </w:tabs>
        <w:rPr>
          <w:rFonts w:ascii="Calibri" w:hAnsi="Calibri" w:cs="Calibri"/>
        </w:rPr>
      </w:pPr>
      <w:r w:rsidRPr="00A23FB4">
        <w:rPr>
          <w:rFonts w:ascii="Calibri" w:hAnsi="Calibri" w:cs="Calibri"/>
          <w:b/>
          <w:bCs/>
          <w:i/>
          <w:iCs/>
        </w:rPr>
        <w:t>1.4.4.</w:t>
      </w:r>
      <w:r w:rsidRPr="00A23FB4">
        <w:rPr>
          <w:rFonts w:ascii="Calibri" w:hAnsi="Calibri" w:cs="Calibri"/>
        </w:rPr>
        <w:t>Podbudowa z gruntu stabilizowanego cementem - warstwa zagęszczonej mieszanki cementowo-gruntowej, która po osiągnięciu właściwej wytrzymałości na ściskanie, stanowi fragment nośnej części nawierzchni drogowej.</w:t>
      </w:r>
    </w:p>
    <w:p w14:paraId="43A7F45F" w14:textId="77777777" w:rsidR="0072177F" w:rsidRPr="00A23FB4" w:rsidRDefault="0072177F" w:rsidP="0072177F">
      <w:pPr>
        <w:tabs>
          <w:tab w:val="left" w:pos="9914"/>
        </w:tabs>
        <w:spacing w:before="120"/>
        <w:rPr>
          <w:rFonts w:ascii="Calibri" w:hAnsi="Calibri" w:cs="Calibri"/>
        </w:rPr>
      </w:pPr>
      <w:r w:rsidRPr="00A23FB4">
        <w:rPr>
          <w:rFonts w:ascii="Calibri" w:hAnsi="Calibri" w:cs="Calibri"/>
          <w:b/>
          <w:bCs/>
          <w:i/>
          <w:iCs/>
        </w:rPr>
        <w:t>1.4.5.</w:t>
      </w:r>
      <w:r w:rsidRPr="00A23FB4">
        <w:rPr>
          <w:rFonts w:ascii="Calibri" w:hAnsi="Calibri" w:cs="Calibri"/>
        </w:rPr>
        <w:t>Podłoże gruntowe ulepszone cementem - warstwa zagęszczonej mieszanki cementowo-gruntowej, na której układana jest warstwa podbudowy.</w:t>
      </w:r>
    </w:p>
    <w:p w14:paraId="1D56BA5A" w14:textId="5A0548E8" w:rsidR="0072177F" w:rsidRPr="00A23FB4" w:rsidRDefault="0072177F" w:rsidP="0072177F">
      <w:pPr>
        <w:tabs>
          <w:tab w:val="left" w:pos="9914"/>
        </w:tabs>
        <w:spacing w:before="120"/>
        <w:rPr>
          <w:rFonts w:ascii="Calibri" w:hAnsi="Calibri" w:cs="Calibri"/>
        </w:rPr>
      </w:pPr>
      <w:r w:rsidRPr="00A23FB4">
        <w:rPr>
          <w:rFonts w:ascii="Calibri" w:hAnsi="Calibri" w:cs="Calibri"/>
          <w:b/>
          <w:bCs/>
          <w:i/>
          <w:iCs/>
        </w:rPr>
        <w:t>1.4.6.</w:t>
      </w:r>
      <w:r w:rsidRPr="00A23FB4">
        <w:rPr>
          <w:rFonts w:ascii="Calibri" w:hAnsi="Calibri" w:cs="Calibri"/>
        </w:rPr>
        <w:t xml:space="preserve">Pozostałe określenia są zgodne z obowiązującymi, odpowiednimi polskimi normami i z definicjami podanymi w </w:t>
      </w:r>
      <w:r w:rsidR="007E5E56">
        <w:rPr>
          <w:rFonts w:ascii="Calibri" w:hAnsi="Calibri" w:cs="Calibri"/>
        </w:rPr>
        <w:t>ST</w:t>
      </w:r>
      <w:r w:rsidRPr="00A23FB4">
        <w:rPr>
          <w:rFonts w:ascii="Calibri" w:hAnsi="Calibri" w:cs="Calibri"/>
        </w:rPr>
        <w:t>WiORB D-M-00.00.00 „Wymagania ogólne” pkt 1.4.</w:t>
      </w:r>
    </w:p>
    <w:p w14:paraId="2337E05F" w14:textId="77777777" w:rsidR="0072177F" w:rsidRPr="00A23FB4" w:rsidRDefault="0072177F" w:rsidP="0072177F">
      <w:pPr>
        <w:pStyle w:val="Nagwek4"/>
        <w:tabs>
          <w:tab w:val="left" w:pos="9914"/>
        </w:tabs>
        <w:rPr>
          <w:rFonts w:ascii="Calibri" w:hAnsi="Calibri" w:cs="Calibri"/>
        </w:rPr>
      </w:pPr>
      <w:r w:rsidRPr="00A23FB4">
        <w:rPr>
          <w:rFonts w:ascii="Calibri" w:hAnsi="Calibri" w:cs="Calibri"/>
        </w:rPr>
        <w:t>1.5. Ogólne wymagania dotyczące robót</w:t>
      </w:r>
      <w:bookmarkEnd w:id="548"/>
    </w:p>
    <w:p w14:paraId="31A74F8A" w14:textId="6D1E1D9B" w:rsidR="0072177F" w:rsidRPr="00A23FB4" w:rsidRDefault="0072177F" w:rsidP="0072177F">
      <w:pPr>
        <w:pStyle w:val="tekstost"/>
        <w:tabs>
          <w:tab w:val="left" w:pos="9914"/>
        </w:tabs>
        <w:rPr>
          <w:rFonts w:ascii="Calibri" w:hAnsi="Calibri" w:cs="Calibri"/>
        </w:rPr>
      </w:pPr>
      <w:r w:rsidRPr="00A23FB4">
        <w:rPr>
          <w:rFonts w:ascii="Calibri" w:hAnsi="Calibri" w:cs="Calibri"/>
        </w:rPr>
        <w:t xml:space="preserve">Ogólne wymagania dotyczące robót podano w </w:t>
      </w:r>
      <w:r w:rsidR="007E5E56">
        <w:rPr>
          <w:rFonts w:ascii="Calibri" w:hAnsi="Calibri" w:cs="Calibri"/>
        </w:rPr>
        <w:t>ST</w:t>
      </w:r>
      <w:r w:rsidRPr="00A23FB4">
        <w:rPr>
          <w:rFonts w:ascii="Calibri" w:hAnsi="Calibri" w:cs="Calibri"/>
        </w:rPr>
        <w:t>WiORB D-M-00.00.00 „Wymagania ogólne” pkt 1.5.</w:t>
      </w:r>
    </w:p>
    <w:p w14:paraId="7AA32F5B" w14:textId="77777777" w:rsidR="0072177F" w:rsidRPr="00A23FB4" w:rsidRDefault="0072177F" w:rsidP="0072177F">
      <w:pPr>
        <w:rPr>
          <w:rFonts w:ascii="Calibri" w:hAnsi="Calibri" w:cs="Calibri"/>
          <w:b/>
        </w:rPr>
      </w:pPr>
    </w:p>
    <w:p w14:paraId="615CA82C" w14:textId="77777777" w:rsidR="0072177F" w:rsidRPr="00A23FB4" w:rsidRDefault="0072177F" w:rsidP="0072177F">
      <w:pPr>
        <w:rPr>
          <w:rFonts w:ascii="Calibri" w:hAnsi="Calibri" w:cs="Calibri"/>
          <w:b/>
        </w:rPr>
      </w:pPr>
      <w:r w:rsidRPr="00A23FB4">
        <w:rPr>
          <w:rFonts w:ascii="Calibri" w:hAnsi="Calibri" w:cs="Calibri"/>
          <w:b/>
        </w:rPr>
        <w:t>2. MATERIAŁY</w:t>
      </w:r>
    </w:p>
    <w:p w14:paraId="3AAC9267" w14:textId="77777777" w:rsidR="0072177F" w:rsidRPr="00A23FB4" w:rsidRDefault="0072177F" w:rsidP="0072177F">
      <w:pPr>
        <w:pStyle w:val="Nagwek4"/>
        <w:tabs>
          <w:tab w:val="left" w:pos="9914"/>
        </w:tabs>
        <w:rPr>
          <w:rFonts w:ascii="Calibri" w:hAnsi="Calibri" w:cs="Calibri"/>
        </w:rPr>
      </w:pPr>
      <w:r w:rsidRPr="00A23FB4">
        <w:rPr>
          <w:rFonts w:ascii="Calibri" w:hAnsi="Calibri" w:cs="Calibri"/>
        </w:rPr>
        <w:t>2.1. Ogólne wymagania dotyczące materiałów</w:t>
      </w:r>
    </w:p>
    <w:p w14:paraId="09793AE9" w14:textId="44685D80" w:rsidR="0072177F" w:rsidRPr="00A23FB4" w:rsidRDefault="0072177F" w:rsidP="0072177F">
      <w:pPr>
        <w:tabs>
          <w:tab w:val="left" w:pos="9914"/>
        </w:tabs>
        <w:rPr>
          <w:rFonts w:ascii="Calibri" w:hAnsi="Calibri" w:cs="Calibri"/>
        </w:rPr>
      </w:pPr>
      <w:r w:rsidRPr="00A23FB4">
        <w:rPr>
          <w:rFonts w:ascii="Calibri" w:hAnsi="Calibri" w:cs="Calibri"/>
        </w:rPr>
        <w:t xml:space="preserve">Ogólne wymagania dotyczące materiałów, ich pozyskiwania i składowania, podano w </w:t>
      </w:r>
      <w:r w:rsidR="007E5E56">
        <w:rPr>
          <w:rFonts w:ascii="Calibri" w:hAnsi="Calibri" w:cs="Calibri"/>
        </w:rPr>
        <w:t>ST</w:t>
      </w:r>
      <w:r w:rsidRPr="00A23FB4">
        <w:rPr>
          <w:rFonts w:ascii="Calibri" w:hAnsi="Calibri" w:cs="Calibri"/>
        </w:rPr>
        <w:t>WiORB D-M-00.00.00 „Wymagania ogólne” pkt 2.</w:t>
      </w:r>
    </w:p>
    <w:p w14:paraId="0AD5A6AF" w14:textId="77777777" w:rsidR="0072177F" w:rsidRPr="00A23FB4" w:rsidRDefault="0072177F" w:rsidP="0072177F">
      <w:pPr>
        <w:pStyle w:val="Nagwek4"/>
        <w:tabs>
          <w:tab w:val="left" w:pos="9914"/>
        </w:tabs>
        <w:rPr>
          <w:rFonts w:ascii="Calibri" w:hAnsi="Calibri" w:cs="Calibri"/>
        </w:rPr>
      </w:pPr>
      <w:r w:rsidRPr="00A23FB4">
        <w:rPr>
          <w:rFonts w:ascii="Calibri" w:hAnsi="Calibri" w:cs="Calibri"/>
        </w:rPr>
        <w:t>2.2. Cement</w:t>
      </w:r>
    </w:p>
    <w:p w14:paraId="4168373B" w14:textId="77777777" w:rsidR="0072177F" w:rsidRPr="00A23FB4" w:rsidRDefault="0072177F" w:rsidP="0072177F">
      <w:pPr>
        <w:tabs>
          <w:tab w:val="left" w:pos="9914"/>
        </w:tabs>
        <w:rPr>
          <w:rFonts w:ascii="Calibri" w:hAnsi="Calibri" w:cs="Calibri"/>
        </w:rPr>
      </w:pPr>
      <w:r w:rsidRPr="00A23FB4">
        <w:rPr>
          <w:rFonts w:ascii="Calibri" w:hAnsi="Calibri" w:cs="Calibri"/>
        </w:rPr>
        <w:t>Należy stosować cement CEM I 32,5N, CEM II 32,5N lub CEM III 32,5N wg PN-EN-197-1:2002</w:t>
      </w:r>
    </w:p>
    <w:p w14:paraId="561B99FD" w14:textId="77777777" w:rsidR="0072177F" w:rsidRPr="00A23FB4" w:rsidRDefault="0072177F" w:rsidP="0072177F">
      <w:pPr>
        <w:tabs>
          <w:tab w:val="left" w:pos="9914"/>
        </w:tabs>
        <w:rPr>
          <w:rFonts w:ascii="Calibri" w:hAnsi="Calibri" w:cs="Calibri"/>
        </w:rPr>
      </w:pPr>
      <w:r w:rsidRPr="00A23FB4">
        <w:rPr>
          <w:rFonts w:ascii="Calibri" w:hAnsi="Calibri" w:cs="Calibri"/>
        </w:rPr>
        <w:t>Wymagania dla cementu zestawiono w tablicy 1.</w:t>
      </w:r>
    </w:p>
    <w:p w14:paraId="7BEF6AA7" w14:textId="77777777" w:rsidR="0072177F" w:rsidRPr="00A23FB4" w:rsidRDefault="0072177F" w:rsidP="0072177F">
      <w:pPr>
        <w:overflowPunct/>
        <w:autoSpaceDE/>
        <w:autoSpaceDN/>
        <w:adjustRightInd/>
        <w:spacing w:after="200" w:line="276" w:lineRule="auto"/>
        <w:jc w:val="left"/>
        <w:textAlignment w:val="auto"/>
        <w:rPr>
          <w:rFonts w:ascii="Calibri" w:hAnsi="Calibri" w:cs="Calibri"/>
        </w:rPr>
      </w:pPr>
      <w:r w:rsidRPr="00A23FB4">
        <w:rPr>
          <w:rFonts w:ascii="Calibri" w:hAnsi="Calibri" w:cs="Calibri"/>
        </w:rPr>
        <w:br w:type="page"/>
      </w:r>
    </w:p>
    <w:p w14:paraId="2ADB9084" w14:textId="77777777" w:rsidR="0072177F" w:rsidRPr="00A23FB4" w:rsidRDefault="0072177F" w:rsidP="0072177F">
      <w:pPr>
        <w:tabs>
          <w:tab w:val="left" w:pos="9914"/>
        </w:tabs>
        <w:spacing w:before="120" w:after="120"/>
        <w:rPr>
          <w:rFonts w:ascii="Calibri" w:hAnsi="Calibri" w:cs="Calibri"/>
        </w:rPr>
      </w:pPr>
      <w:r w:rsidRPr="00A23FB4">
        <w:rPr>
          <w:rFonts w:ascii="Calibri" w:hAnsi="Calibri" w:cs="Calibri"/>
        </w:rPr>
        <w:t>Tablica 1. Właściwości mechaniczne i fizyczne cementu wg PN-EN-197-1:2002</w:t>
      </w:r>
    </w:p>
    <w:tbl>
      <w:tblPr>
        <w:tblW w:w="0" w:type="auto"/>
        <w:tblInd w:w="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96"/>
        <w:gridCol w:w="7134"/>
        <w:gridCol w:w="1770"/>
      </w:tblGrid>
      <w:tr w:rsidR="0072177F" w:rsidRPr="00A23FB4" w14:paraId="0C62E5AD" w14:textId="77777777" w:rsidTr="0072177F">
        <w:tc>
          <w:tcPr>
            <w:tcW w:w="496" w:type="dxa"/>
            <w:tcBorders>
              <w:bottom w:val="double" w:sz="6" w:space="0" w:color="auto"/>
            </w:tcBorders>
          </w:tcPr>
          <w:p w14:paraId="4443D791" w14:textId="77777777" w:rsidR="0072177F" w:rsidRPr="00A23FB4" w:rsidRDefault="0072177F" w:rsidP="0072177F">
            <w:pPr>
              <w:tabs>
                <w:tab w:val="left" w:pos="9914"/>
              </w:tabs>
              <w:spacing w:before="120"/>
              <w:jc w:val="center"/>
              <w:rPr>
                <w:rFonts w:ascii="Calibri" w:hAnsi="Calibri" w:cs="Calibri"/>
              </w:rPr>
            </w:pPr>
            <w:r w:rsidRPr="00A23FB4">
              <w:rPr>
                <w:rFonts w:ascii="Calibri" w:hAnsi="Calibri" w:cs="Calibri"/>
              </w:rPr>
              <w:t>Lp.</w:t>
            </w:r>
          </w:p>
        </w:tc>
        <w:tc>
          <w:tcPr>
            <w:tcW w:w="7134" w:type="dxa"/>
            <w:tcBorders>
              <w:bottom w:val="double" w:sz="6" w:space="0" w:color="auto"/>
            </w:tcBorders>
          </w:tcPr>
          <w:p w14:paraId="79B1B7AE" w14:textId="77777777" w:rsidR="0072177F" w:rsidRPr="00A23FB4" w:rsidRDefault="0072177F" w:rsidP="0072177F">
            <w:pPr>
              <w:tabs>
                <w:tab w:val="left" w:pos="9914"/>
              </w:tabs>
              <w:spacing w:before="120"/>
              <w:jc w:val="center"/>
              <w:rPr>
                <w:rFonts w:ascii="Calibri" w:hAnsi="Calibri" w:cs="Calibri"/>
              </w:rPr>
            </w:pPr>
            <w:r w:rsidRPr="00A23FB4">
              <w:rPr>
                <w:rFonts w:ascii="Calibri" w:hAnsi="Calibri" w:cs="Calibri"/>
              </w:rPr>
              <w:t>Właściwości</w:t>
            </w:r>
          </w:p>
        </w:tc>
        <w:tc>
          <w:tcPr>
            <w:tcW w:w="1770" w:type="dxa"/>
            <w:tcBorders>
              <w:bottom w:val="double" w:sz="6" w:space="0" w:color="auto"/>
            </w:tcBorders>
          </w:tcPr>
          <w:p w14:paraId="31E07E88" w14:textId="77777777" w:rsidR="0072177F" w:rsidRPr="00A23FB4" w:rsidRDefault="0072177F" w:rsidP="0072177F">
            <w:pPr>
              <w:tabs>
                <w:tab w:val="left" w:pos="9914"/>
              </w:tabs>
              <w:jc w:val="center"/>
              <w:rPr>
                <w:rFonts w:ascii="Calibri" w:hAnsi="Calibri" w:cs="Calibri"/>
              </w:rPr>
            </w:pPr>
            <w:r w:rsidRPr="00A23FB4">
              <w:rPr>
                <w:rFonts w:ascii="Calibri" w:hAnsi="Calibri" w:cs="Calibri"/>
              </w:rPr>
              <w:t>Wymagania</w:t>
            </w:r>
          </w:p>
        </w:tc>
      </w:tr>
      <w:tr w:rsidR="0072177F" w:rsidRPr="00A23FB4" w14:paraId="3AD31457" w14:textId="77777777" w:rsidTr="0072177F">
        <w:tc>
          <w:tcPr>
            <w:tcW w:w="496" w:type="dxa"/>
            <w:tcBorders>
              <w:top w:val="nil"/>
            </w:tcBorders>
          </w:tcPr>
          <w:p w14:paraId="4911CF26" w14:textId="77777777" w:rsidR="0072177F" w:rsidRPr="00A23FB4" w:rsidRDefault="0072177F" w:rsidP="0072177F">
            <w:pPr>
              <w:tabs>
                <w:tab w:val="left" w:pos="9914"/>
              </w:tabs>
              <w:spacing w:before="60"/>
              <w:jc w:val="center"/>
              <w:rPr>
                <w:rFonts w:ascii="Calibri" w:hAnsi="Calibri" w:cs="Calibri"/>
              </w:rPr>
            </w:pPr>
            <w:r w:rsidRPr="00A23FB4">
              <w:rPr>
                <w:rFonts w:ascii="Calibri" w:hAnsi="Calibri" w:cs="Calibri"/>
              </w:rPr>
              <w:t>1</w:t>
            </w:r>
          </w:p>
        </w:tc>
        <w:tc>
          <w:tcPr>
            <w:tcW w:w="7134" w:type="dxa"/>
            <w:tcBorders>
              <w:top w:val="nil"/>
            </w:tcBorders>
          </w:tcPr>
          <w:p w14:paraId="4B44D293" w14:textId="77777777" w:rsidR="0072177F" w:rsidRPr="00A23FB4" w:rsidRDefault="0072177F" w:rsidP="0072177F">
            <w:pPr>
              <w:tabs>
                <w:tab w:val="left" w:pos="9914"/>
              </w:tabs>
              <w:spacing w:before="60"/>
              <w:rPr>
                <w:rFonts w:ascii="Calibri" w:hAnsi="Calibri" w:cs="Calibri"/>
              </w:rPr>
            </w:pPr>
            <w:r w:rsidRPr="00A23FB4">
              <w:rPr>
                <w:rFonts w:ascii="Calibri" w:hAnsi="Calibri" w:cs="Calibri"/>
              </w:rPr>
              <w:t>Wytrzymałość na ściskanie (MPa), po 7 dniach, nie mniej niż:</w:t>
            </w:r>
          </w:p>
        </w:tc>
        <w:tc>
          <w:tcPr>
            <w:tcW w:w="1770" w:type="dxa"/>
            <w:tcBorders>
              <w:top w:val="nil"/>
            </w:tcBorders>
          </w:tcPr>
          <w:p w14:paraId="2A4F2F37" w14:textId="77777777" w:rsidR="0072177F" w:rsidRPr="00A23FB4" w:rsidRDefault="0072177F" w:rsidP="0072177F">
            <w:pPr>
              <w:tabs>
                <w:tab w:val="left" w:pos="9914"/>
              </w:tabs>
              <w:jc w:val="center"/>
              <w:rPr>
                <w:rFonts w:ascii="Calibri" w:hAnsi="Calibri" w:cs="Calibri"/>
              </w:rPr>
            </w:pPr>
            <w:r w:rsidRPr="00A23FB4">
              <w:rPr>
                <w:rFonts w:ascii="Calibri" w:hAnsi="Calibri" w:cs="Calibri"/>
              </w:rPr>
              <w:t>16</w:t>
            </w:r>
          </w:p>
        </w:tc>
      </w:tr>
      <w:tr w:rsidR="0072177F" w:rsidRPr="00A23FB4" w14:paraId="4BB85F72" w14:textId="77777777" w:rsidTr="0072177F">
        <w:tc>
          <w:tcPr>
            <w:tcW w:w="496" w:type="dxa"/>
          </w:tcPr>
          <w:p w14:paraId="4EC032C2" w14:textId="77777777" w:rsidR="0072177F" w:rsidRPr="00A23FB4" w:rsidRDefault="0072177F" w:rsidP="0072177F">
            <w:pPr>
              <w:tabs>
                <w:tab w:val="left" w:pos="9914"/>
              </w:tabs>
              <w:spacing w:before="60" w:after="60"/>
              <w:jc w:val="center"/>
              <w:rPr>
                <w:rFonts w:ascii="Calibri" w:hAnsi="Calibri" w:cs="Calibri"/>
              </w:rPr>
            </w:pPr>
            <w:r w:rsidRPr="00A23FB4">
              <w:rPr>
                <w:rFonts w:ascii="Calibri" w:hAnsi="Calibri" w:cs="Calibri"/>
              </w:rPr>
              <w:t>2</w:t>
            </w:r>
          </w:p>
        </w:tc>
        <w:tc>
          <w:tcPr>
            <w:tcW w:w="7134" w:type="dxa"/>
          </w:tcPr>
          <w:p w14:paraId="3E681E8F" w14:textId="77777777" w:rsidR="0072177F" w:rsidRPr="00A23FB4" w:rsidRDefault="0072177F" w:rsidP="0072177F">
            <w:pPr>
              <w:tabs>
                <w:tab w:val="left" w:pos="9914"/>
              </w:tabs>
              <w:spacing w:before="60" w:after="60"/>
              <w:rPr>
                <w:rFonts w:ascii="Calibri" w:hAnsi="Calibri" w:cs="Calibri"/>
              </w:rPr>
            </w:pPr>
            <w:r w:rsidRPr="00A23FB4">
              <w:rPr>
                <w:rFonts w:ascii="Calibri" w:hAnsi="Calibri" w:cs="Calibri"/>
              </w:rPr>
              <w:t>Wytrzymałość na ściskanie (MPa), po 28 dniach, nie mniej niż:</w:t>
            </w:r>
          </w:p>
        </w:tc>
        <w:tc>
          <w:tcPr>
            <w:tcW w:w="1770" w:type="dxa"/>
          </w:tcPr>
          <w:p w14:paraId="3B6924DF" w14:textId="77777777" w:rsidR="0072177F" w:rsidRPr="00A23FB4" w:rsidRDefault="0072177F" w:rsidP="0072177F">
            <w:pPr>
              <w:tabs>
                <w:tab w:val="left" w:pos="9914"/>
              </w:tabs>
              <w:spacing w:before="60" w:after="60"/>
              <w:jc w:val="center"/>
              <w:rPr>
                <w:rFonts w:ascii="Calibri" w:hAnsi="Calibri" w:cs="Calibri"/>
              </w:rPr>
            </w:pPr>
            <w:r w:rsidRPr="00A23FB4">
              <w:rPr>
                <w:rFonts w:ascii="Calibri" w:hAnsi="Calibri" w:cs="Calibri"/>
              </w:rPr>
              <w:t>32,5 – 52,5</w:t>
            </w:r>
          </w:p>
        </w:tc>
      </w:tr>
      <w:tr w:rsidR="0072177F" w:rsidRPr="00A23FB4" w14:paraId="0A11D6A5" w14:textId="77777777" w:rsidTr="0072177F">
        <w:tc>
          <w:tcPr>
            <w:tcW w:w="496" w:type="dxa"/>
          </w:tcPr>
          <w:p w14:paraId="7B32697C" w14:textId="77777777" w:rsidR="0072177F" w:rsidRPr="00A23FB4" w:rsidRDefault="0072177F" w:rsidP="0072177F">
            <w:pPr>
              <w:tabs>
                <w:tab w:val="left" w:pos="9914"/>
              </w:tabs>
              <w:spacing w:before="60"/>
              <w:jc w:val="center"/>
              <w:rPr>
                <w:rFonts w:ascii="Calibri" w:hAnsi="Calibri" w:cs="Calibri"/>
              </w:rPr>
            </w:pPr>
            <w:r w:rsidRPr="00A23FB4">
              <w:rPr>
                <w:rFonts w:ascii="Calibri" w:hAnsi="Calibri" w:cs="Calibri"/>
              </w:rPr>
              <w:t>3</w:t>
            </w:r>
          </w:p>
        </w:tc>
        <w:tc>
          <w:tcPr>
            <w:tcW w:w="7134" w:type="dxa"/>
          </w:tcPr>
          <w:p w14:paraId="5805A86A" w14:textId="77777777" w:rsidR="0072177F" w:rsidRPr="00A23FB4" w:rsidRDefault="0072177F" w:rsidP="0072177F">
            <w:pPr>
              <w:tabs>
                <w:tab w:val="left" w:pos="9914"/>
              </w:tabs>
              <w:spacing w:before="60"/>
              <w:rPr>
                <w:rFonts w:ascii="Calibri" w:hAnsi="Calibri" w:cs="Calibri"/>
              </w:rPr>
            </w:pPr>
            <w:r w:rsidRPr="00A23FB4">
              <w:rPr>
                <w:rFonts w:ascii="Calibri" w:hAnsi="Calibri" w:cs="Calibri"/>
              </w:rPr>
              <w:t>Czas wiązania:</w:t>
            </w:r>
          </w:p>
          <w:p w14:paraId="6C1AD9C6" w14:textId="77777777" w:rsidR="0072177F" w:rsidRPr="00A23FB4" w:rsidRDefault="0072177F" w:rsidP="0072177F">
            <w:pPr>
              <w:pBdr>
                <w:bottom w:val="single" w:sz="6" w:space="1" w:color="auto"/>
              </w:pBdr>
              <w:tabs>
                <w:tab w:val="left" w:pos="9914"/>
              </w:tabs>
              <w:rPr>
                <w:rFonts w:ascii="Calibri" w:hAnsi="Calibri" w:cs="Calibri"/>
              </w:rPr>
            </w:pPr>
            <w:r w:rsidRPr="00A23FB4">
              <w:rPr>
                <w:rFonts w:ascii="Calibri" w:hAnsi="Calibri" w:cs="Calibri"/>
              </w:rPr>
              <w:t>- początek wiązania, najwcześniej po upływie, min.</w:t>
            </w:r>
          </w:p>
          <w:p w14:paraId="5D217704" w14:textId="77777777" w:rsidR="0072177F" w:rsidRPr="00A23FB4" w:rsidRDefault="0072177F" w:rsidP="0072177F">
            <w:pPr>
              <w:tabs>
                <w:tab w:val="left" w:pos="9914"/>
              </w:tabs>
              <w:spacing w:after="60"/>
              <w:rPr>
                <w:rFonts w:ascii="Calibri" w:hAnsi="Calibri" w:cs="Calibri"/>
              </w:rPr>
            </w:pPr>
            <w:r w:rsidRPr="00A23FB4">
              <w:rPr>
                <w:rFonts w:ascii="Calibri" w:hAnsi="Calibri" w:cs="Calibri"/>
              </w:rPr>
              <w:t>- koniec wiązania, najpóźniej po upływie, h</w:t>
            </w:r>
          </w:p>
        </w:tc>
        <w:tc>
          <w:tcPr>
            <w:tcW w:w="1770" w:type="dxa"/>
          </w:tcPr>
          <w:p w14:paraId="67DFB87B" w14:textId="77777777" w:rsidR="0072177F" w:rsidRPr="00A23FB4" w:rsidRDefault="0072177F" w:rsidP="0072177F">
            <w:pPr>
              <w:tabs>
                <w:tab w:val="left" w:pos="9914"/>
              </w:tabs>
              <w:jc w:val="center"/>
              <w:rPr>
                <w:rFonts w:ascii="Calibri" w:hAnsi="Calibri" w:cs="Calibri"/>
              </w:rPr>
            </w:pPr>
          </w:p>
          <w:p w14:paraId="0CB53355" w14:textId="77777777" w:rsidR="0072177F" w:rsidRPr="00A23FB4" w:rsidRDefault="0072177F" w:rsidP="0072177F">
            <w:pPr>
              <w:pBdr>
                <w:bottom w:val="single" w:sz="6" w:space="1" w:color="auto"/>
              </w:pBdr>
              <w:tabs>
                <w:tab w:val="left" w:pos="9914"/>
              </w:tabs>
              <w:spacing w:before="60"/>
              <w:jc w:val="center"/>
              <w:rPr>
                <w:rFonts w:ascii="Calibri" w:hAnsi="Calibri" w:cs="Calibri"/>
              </w:rPr>
            </w:pPr>
            <w:r w:rsidRPr="00A23FB4">
              <w:rPr>
                <w:rFonts w:ascii="Calibri" w:hAnsi="Calibri" w:cs="Calibri"/>
              </w:rPr>
              <w:t>60</w:t>
            </w:r>
          </w:p>
          <w:p w14:paraId="1E7F05E5" w14:textId="77777777" w:rsidR="0072177F" w:rsidRPr="00A23FB4" w:rsidRDefault="0072177F" w:rsidP="0072177F">
            <w:pPr>
              <w:tabs>
                <w:tab w:val="left" w:pos="9914"/>
              </w:tabs>
              <w:jc w:val="center"/>
              <w:rPr>
                <w:rFonts w:ascii="Calibri" w:hAnsi="Calibri" w:cs="Calibri"/>
              </w:rPr>
            </w:pPr>
            <w:r w:rsidRPr="00A23FB4">
              <w:rPr>
                <w:rFonts w:ascii="Calibri" w:hAnsi="Calibri" w:cs="Calibri"/>
              </w:rPr>
              <w:t>12</w:t>
            </w:r>
          </w:p>
        </w:tc>
      </w:tr>
      <w:tr w:rsidR="0072177F" w:rsidRPr="00A23FB4" w14:paraId="6EE67C19" w14:textId="77777777" w:rsidTr="0072177F">
        <w:tc>
          <w:tcPr>
            <w:tcW w:w="496" w:type="dxa"/>
          </w:tcPr>
          <w:p w14:paraId="6964311C" w14:textId="77777777" w:rsidR="0072177F" w:rsidRPr="00A23FB4" w:rsidRDefault="0072177F" w:rsidP="0072177F">
            <w:pPr>
              <w:tabs>
                <w:tab w:val="left" w:pos="9914"/>
              </w:tabs>
              <w:spacing w:before="60" w:after="60"/>
              <w:jc w:val="center"/>
              <w:rPr>
                <w:rFonts w:ascii="Calibri" w:hAnsi="Calibri" w:cs="Calibri"/>
              </w:rPr>
            </w:pPr>
            <w:r w:rsidRPr="00A23FB4">
              <w:rPr>
                <w:rFonts w:ascii="Calibri" w:hAnsi="Calibri" w:cs="Calibri"/>
              </w:rPr>
              <w:t>4</w:t>
            </w:r>
          </w:p>
        </w:tc>
        <w:tc>
          <w:tcPr>
            <w:tcW w:w="7134" w:type="dxa"/>
          </w:tcPr>
          <w:p w14:paraId="43BCEFB7" w14:textId="77777777" w:rsidR="0072177F" w:rsidRPr="00A23FB4" w:rsidRDefault="0072177F" w:rsidP="0072177F">
            <w:pPr>
              <w:tabs>
                <w:tab w:val="left" w:pos="9914"/>
              </w:tabs>
              <w:spacing w:before="60" w:after="60"/>
              <w:rPr>
                <w:rFonts w:ascii="Calibri" w:hAnsi="Calibri" w:cs="Calibri"/>
              </w:rPr>
            </w:pPr>
            <w:r w:rsidRPr="00A23FB4">
              <w:rPr>
                <w:rFonts w:ascii="Calibri" w:hAnsi="Calibri" w:cs="Calibri"/>
              </w:rPr>
              <w:t>Stałość objętości, mm, nie więcej niż</w:t>
            </w:r>
          </w:p>
        </w:tc>
        <w:tc>
          <w:tcPr>
            <w:tcW w:w="1770" w:type="dxa"/>
          </w:tcPr>
          <w:p w14:paraId="42451293" w14:textId="77777777" w:rsidR="0072177F" w:rsidRPr="00A23FB4" w:rsidRDefault="0072177F" w:rsidP="0072177F">
            <w:pPr>
              <w:tabs>
                <w:tab w:val="left" w:pos="9914"/>
              </w:tabs>
              <w:spacing w:before="60" w:after="60"/>
              <w:jc w:val="center"/>
              <w:rPr>
                <w:rFonts w:ascii="Calibri" w:hAnsi="Calibri" w:cs="Calibri"/>
              </w:rPr>
            </w:pPr>
            <w:r w:rsidRPr="00A23FB4">
              <w:rPr>
                <w:rFonts w:ascii="Calibri" w:hAnsi="Calibri" w:cs="Calibri"/>
              </w:rPr>
              <w:t>10</w:t>
            </w:r>
          </w:p>
        </w:tc>
      </w:tr>
    </w:tbl>
    <w:p w14:paraId="1B33BE19" w14:textId="77777777" w:rsidR="0072177F" w:rsidRPr="00A23FB4" w:rsidRDefault="0072177F" w:rsidP="0072177F">
      <w:pPr>
        <w:tabs>
          <w:tab w:val="left" w:pos="9914"/>
        </w:tabs>
        <w:rPr>
          <w:rFonts w:ascii="Calibri" w:hAnsi="Calibri" w:cs="Calibri"/>
        </w:rPr>
      </w:pPr>
    </w:p>
    <w:p w14:paraId="2B109807" w14:textId="77777777" w:rsidR="0072177F" w:rsidRPr="00A23FB4" w:rsidRDefault="0072177F" w:rsidP="0072177F">
      <w:pPr>
        <w:tabs>
          <w:tab w:val="left" w:pos="9914"/>
        </w:tabs>
        <w:rPr>
          <w:rFonts w:ascii="Calibri" w:hAnsi="Calibri" w:cs="Calibri"/>
        </w:rPr>
      </w:pPr>
      <w:r w:rsidRPr="00A23FB4">
        <w:rPr>
          <w:rFonts w:ascii="Calibri" w:hAnsi="Calibri" w:cs="Calibri"/>
        </w:rPr>
        <w:t>Badania cementu należy wykonać zgodnie z PN-EN-196-3:2009, PN-EN 196-1:2006.</w:t>
      </w:r>
    </w:p>
    <w:p w14:paraId="36A5214E" w14:textId="77777777" w:rsidR="0072177F" w:rsidRPr="00A23FB4" w:rsidRDefault="0072177F" w:rsidP="0072177F">
      <w:pPr>
        <w:tabs>
          <w:tab w:val="left" w:pos="9914"/>
        </w:tabs>
        <w:rPr>
          <w:rFonts w:ascii="Calibri" w:hAnsi="Calibri" w:cs="Calibri"/>
        </w:rPr>
      </w:pPr>
      <w:r w:rsidRPr="00A23FB4">
        <w:rPr>
          <w:rFonts w:ascii="Calibri" w:hAnsi="Calibri" w:cs="Calibri"/>
        </w:rPr>
        <w:t>Przechowywanie cementu powinno odbywać się zgodnie z BN-88/6731-08.</w:t>
      </w:r>
    </w:p>
    <w:p w14:paraId="77FB823A" w14:textId="77777777" w:rsidR="0072177F" w:rsidRPr="00A23FB4" w:rsidRDefault="0072177F" w:rsidP="0072177F">
      <w:pPr>
        <w:tabs>
          <w:tab w:val="left" w:pos="9914"/>
        </w:tabs>
        <w:rPr>
          <w:rFonts w:ascii="Calibri" w:hAnsi="Calibri" w:cs="Calibri"/>
        </w:rPr>
      </w:pPr>
      <w:r w:rsidRPr="00A23FB4">
        <w:rPr>
          <w:rFonts w:ascii="Calibri" w:hAnsi="Calibri" w:cs="Calibri"/>
        </w:rPr>
        <w:t>W przypadku, gdy czas przechowywania cementu będzie dłuższy od trzech miesięcy, można go stosować za zgodą Inżyniera/Kierownika projektu tylko wtedy, gdy badania laboratoryjne wykażą jego przydatność do robót.</w:t>
      </w:r>
    </w:p>
    <w:p w14:paraId="06BFE38F" w14:textId="77777777" w:rsidR="0072177F" w:rsidRPr="00A23FB4" w:rsidRDefault="0072177F" w:rsidP="0072177F">
      <w:pPr>
        <w:pStyle w:val="Nagwek4"/>
        <w:tabs>
          <w:tab w:val="left" w:pos="9914"/>
        </w:tabs>
        <w:rPr>
          <w:rFonts w:ascii="Calibri" w:hAnsi="Calibri" w:cs="Calibri"/>
        </w:rPr>
      </w:pPr>
      <w:r w:rsidRPr="00A23FB4">
        <w:rPr>
          <w:rFonts w:ascii="Calibri" w:hAnsi="Calibri" w:cs="Calibri"/>
        </w:rPr>
        <w:t>2.3. Kruszywa</w:t>
      </w:r>
    </w:p>
    <w:p w14:paraId="0A899B6D" w14:textId="7A2CABD3" w:rsidR="0072177F" w:rsidRPr="00A23FB4" w:rsidRDefault="0072177F" w:rsidP="0072177F">
      <w:pPr>
        <w:tabs>
          <w:tab w:val="left" w:pos="9914"/>
        </w:tabs>
        <w:rPr>
          <w:rFonts w:ascii="Calibri" w:hAnsi="Calibri" w:cs="Calibri"/>
        </w:rPr>
      </w:pPr>
      <w:r w:rsidRPr="00A23FB4">
        <w:rPr>
          <w:rFonts w:ascii="Calibri" w:hAnsi="Calibri" w:cs="Calibri"/>
        </w:rPr>
        <w:t>Przydatność kruszywa przeznaczonych do stabilizacji cementem należy ocenić na podstawie wymagań zawartych w WT-5 2010 Mieszanki związane spoiwem hydraulicznym do dróg krajowych Wymagania Techniczne – rozdział 5 – podrozdział 5.1.1, tablica 5.1 kolumna 3 (podbudowa pomocnicza i podłoże ulepszone dla dróg KR1 – KR</w:t>
      </w:r>
      <w:r w:rsidR="006B208C">
        <w:rPr>
          <w:rFonts w:ascii="Calibri" w:hAnsi="Calibri" w:cs="Calibri"/>
        </w:rPr>
        <w:t>7</w:t>
      </w:r>
      <w:r w:rsidRPr="00A23FB4">
        <w:rPr>
          <w:rFonts w:ascii="Calibri" w:hAnsi="Calibri" w:cs="Calibri"/>
        </w:rPr>
        <w:t>)</w:t>
      </w:r>
    </w:p>
    <w:p w14:paraId="5C1C5A18" w14:textId="77777777" w:rsidR="0072177F" w:rsidRPr="00A23FB4" w:rsidRDefault="0072177F" w:rsidP="0072177F">
      <w:pPr>
        <w:tabs>
          <w:tab w:val="left" w:pos="9914"/>
        </w:tabs>
        <w:rPr>
          <w:rFonts w:ascii="Calibri" w:hAnsi="Calibri" w:cs="Calibri"/>
        </w:rPr>
      </w:pPr>
      <w:r w:rsidRPr="00A23FB4">
        <w:rPr>
          <w:rFonts w:ascii="Calibri" w:hAnsi="Calibri" w:cs="Calibri"/>
        </w:rPr>
        <w:t>Decydującym sprawdzianem przydatności gruntu do stabilizacji cementem są wyniki wytrzymałości na ściskanie próbek gruntu stabilizowanego cementem.</w:t>
      </w:r>
    </w:p>
    <w:p w14:paraId="46B93F15" w14:textId="77777777" w:rsidR="0072177F" w:rsidRPr="00A23FB4" w:rsidRDefault="0072177F" w:rsidP="0072177F">
      <w:pPr>
        <w:pStyle w:val="Nagwek4"/>
        <w:tabs>
          <w:tab w:val="left" w:pos="9914"/>
        </w:tabs>
        <w:rPr>
          <w:rFonts w:ascii="Calibri" w:hAnsi="Calibri" w:cs="Calibri"/>
        </w:rPr>
      </w:pPr>
      <w:r w:rsidRPr="00A23FB4">
        <w:rPr>
          <w:rFonts w:ascii="Calibri" w:hAnsi="Calibri" w:cs="Calibri"/>
        </w:rPr>
        <w:t>2.5. Woda</w:t>
      </w:r>
    </w:p>
    <w:p w14:paraId="4BB5E5D7" w14:textId="77777777" w:rsidR="0072177F" w:rsidRPr="00A23FB4" w:rsidRDefault="0072177F" w:rsidP="0072177F">
      <w:pPr>
        <w:tabs>
          <w:tab w:val="left" w:pos="9914"/>
        </w:tabs>
        <w:rPr>
          <w:rFonts w:ascii="Calibri" w:hAnsi="Calibri" w:cs="Calibri"/>
        </w:rPr>
      </w:pPr>
      <w:r w:rsidRPr="00A23FB4">
        <w:rPr>
          <w:rFonts w:ascii="Calibri" w:hAnsi="Calibri" w:cs="Calibri"/>
        </w:rPr>
        <w:t>Woda stosowana do stabilizacji gruntu lub kruszywa cementem i ewentualnie do pielęgnacji wykonanej warstwy powinna odpowiadać wymaganiom PN-EN-1008:2004. Bez badań laboratoryjnych można stosować wodociągową wodę pitną. Gdy woda pochodzi z wątpliwych źródeł nie może być użyta do momentu jej przebadania, zgodnie z wyżej podaną normą lub do momentu porównania wyników wytrzymałości na ściskanie próbek gruntowo-cementowych wykonanych z wodą wątpliwą i z wodą wodociągową. Brak różnic potwierdza przydatność wody do stabilizacji gruntu lub kruszywa cementem.</w:t>
      </w:r>
    </w:p>
    <w:p w14:paraId="1C3F4173" w14:textId="77777777" w:rsidR="0072177F" w:rsidRPr="00A23FB4" w:rsidRDefault="0072177F" w:rsidP="0072177F">
      <w:pPr>
        <w:pStyle w:val="Nagwek4"/>
        <w:tabs>
          <w:tab w:val="left" w:pos="9914"/>
        </w:tabs>
        <w:rPr>
          <w:rFonts w:ascii="Calibri" w:hAnsi="Calibri" w:cs="Calibri"/>
        </w:rPr>
      </w:pPr>
      <w:r w:rsidRPr="00A23FB4">
        <w:rPr>
          <w:rFonts w:ascii="Calibri" w:hAnsi="Calibri" w:cs="Calibri"/>
        </w:rPr>
        <w:t>2.6. Dodatki ulepszające</w:t>
      </w:r>
    </w:p>
    <w:p w14:paraId="41BE922C" w14:textId="77777777" w:rsidR="0072177F" w:rsidRPr="00A23FB4" w:rsidRDefault="0072177F" w:rsidP="0072177F">
      <w:pPr>
        <w:tabs>
          <w:tab w:val="left" w:pos="9914"/>
        </w:tabs>
        <w:rPr>
          <w:rFonts w:ascii="Calibri" w:hAnsi="Calibri" w:cs="Calibri"/>
        </w:rPr>
      </w:pPr>
      <w:r w:rsidRPr="00A23FB4">
        <w:rPr>
          <w:rFonts w:ascii="Calibri" w:hAnsi="Calibri" w:cs="Calibri"/>
        </w:rPr>
        <w:t>Przy stabilizacji gruntów cementem, w przypadkach uzasadnionych, stosuje się następujące dodatki ulepszające:</w:t>
      </w:r>
    </w:p>
    <w:p w14:paraId="46FA8111" w14:textId="77777777" w:rsidR="0072177F" w:rsidRPr="00A23FB4" w:rsidRDefault="0072177F" w:rsidP="0072177F">
      <w:pPr>
        <w:numPr>
          <w:ilvl w:val="0"/>
          <w:numId w:val="1"/>
        </w:numPr>
        <w:tabs>
          <w:tab w:val="left" w:pos="9914"/>
        </w:tabs>
        <w:rPr>
          <w:rFonts w:ascii="Calibri" w:hAnsi="Calibri" w:cs="Calibri"/>
        </w:rPr>
      </w:pPr>
      <w:r w:rsidRPr="00A23FB4">
        <w:rPr>
          <w:rFonts w:ascii="Calibri" w:hAnsi="Calibri" w:cs="Calibri"/>
        </w:rPr>
        <w:t>wapno wg PN-B-30020:1999,</w:t>
      </w:r>
    </w:p>
    <w:p w14:paraId="13365646" w14:textId="77777777" w:rsidR="0072177F" w:rsidRPr="00A23FB4" w:rsidRDefault="0072177F" w:rsidP="0072177F">
      <w:pPr>
        <w:numPr>
          <w:ilvl w:val="0"/>
          <w:numId w:val="1"/>
        </w:numPr>
        <w:tabs>
          <w:tab w:val="left" w:pos="9914"/>
        </w:tabs>
        <w:rPr>
          <w:rFonts w:ascii="Calibri" w:hAnsi="Calibri" w:cs="Calibri"/>
        </w:rPr>
      </w:pPr>
      <w:r w:rsidRPr="00A23FB4">
        <w:rPr>
          <w:rFonts w:ascii="Calibri" w:hAnsi="Calibri" w:cs="Calibri"/>
        </w:rPr>
        <w:t>popioły lotne wg PN-S-96035:1997,</w:t>
      </w:r>
    </w:p>
    <w:p w14:paraId="269880E4" w14:textId="77777777" w:rsidR="0072177F" w:rsidRPr="00A23FB4" w:rsidRDefault="0072177F" w:rsidP="0072177F">
      <w:pPr>
        <w:numPr>
          <w:ilvl w:val="0"/>
          <w:numId w:val="1"/>
        </w:numPr>
        <w:tabs>
          <w:tab w:val="left" w:pos="9914"/>
        </w:tabs>
        <w:rPr>
          <w:rFonts w:ascii="Calibri" w:hAnsi="Calibri" w:cs="Calibri"/>
        </w:rPr>
      </w:pPr>
      <w:r w:rsidRPr="00A23FB4">
        <w:rPr>
          <w:rFonts w:ascii="Calibri" w:hAnsi="Calibri" w:cs="Calibri"/>
        </w:rPr>
        <w:t>chlorek wapniowy wg PN-C-84127.</w:t>
      </w:r>
    </w:p>
    <w:p w14:paraId="43956CEA" w14:textId="77777777" w:rsidR="0072177F" w:rsidRPr="00A23FB4" w:rsidRDefault="0072177F" w:rsidP="0072177F">
      <w:pPr>
        <w:numPr>
          <w:ilvl w:val="12"/>
          <w:numId w:val="0"/>
        </w:numPr>
        <w:tabs>
          <w:tab w:val="left" w:pos="9914"/>
        </w:tabs>
        <w:rPr>
          <w:rFonts w:ascii="Calibri" w:hAnsi="Calibri" w:cs="Calibri"/>
        </w:rPr>
      </w:pPr>
      <w:r w:rsidRPr="00A23FB4">
        <w:rPr>
          <w:rFonts w:ascii="Calibri" w:hAnsi="Calibri" w:cs="Calibri"/>
        </w:rPr>
        <w:t>Za zgodą Inżyniera/Kierownika projektu mogą być stosowane inne dodatki o sprawdzonym działaniu, posiadające aprobatę techniczną wydaną przez uprawnioną jednostkę.</w:t>
      </w:r>
    </w:p>
    <w:p w14:paraId="56802ECA" w14:textId="77777777" w:rsidR="0072177F" w:rsidRPr="00A23FB4" w:rsidRDefault="0072177F" w:rsidP="0072177F">
      <w:pPr>
        <w:pStyle w:val="Nagwek4"/>
        <w:tabs>
          <w:tab w:val="left" w:pos="9914"/>
        </w:tabs>
        <w:rPr>
          <w:rFonts w:ascii="Calibri" w:hAnsi="Calibri" w:cs="Calibri"/>
        </w:rPr>
      </w:pPr>
      <w:r w:rsidRPr="00A23FB4">
        <w:rPr>
          <w:rFonts w:ascii="Calibri" w:hAnsi="Calibri" w:cs="Calibri"/>
        </w:rPr>
        <w:t>2.7. Kruszywo stabilizowane cementem</w:t>
      </w:r>
    </w:p>
    <w:p w14:paraId="0E8FD6CC" w14:textId="77777777" w:rsidR="0072177F" w:rsidRPr="00A23FB4" w:rsidRDefault="0072177F" w:rsidP="0072177F">
      <w:pPr>
        <w:tabs>
          <w:tab w:val="left" w:pos="9914"/>
        </w:tabs>
        <w:rPr>
          <w:rFonts w:ascii="Calibri" w:hAnsi="Calibri" w:cs="Calibri"/>
        </w:rPr>
      </w:pPr>
      <w:r w:rsidRPr="00A23FB4">
        <w:rPr>
          <w:rFonts w:ascii="Calibri" w:hAnsi="Calibri" w:cs="Calibri"/>
        </w:rPr>
        <w:t>Wymagania dla kruszywa stabilizowanego cementem określają WT-5 mieszanki związane spoiwem hydraulicznym do dróg krajowych wymagania techniczne – rozdział 5 podrozdział 5.3.3 , tablica 5.5</w:t>
      </w:r>
    </w:p>
    <w:p w14:paraId="3F301AAA" w14:textId="77777777" w:rsidR="0072177F" w:rsidRPr="00A23FB4" w:rsidRDefault="0072177F" w:rsidP="0072177F">
      <w:pPr>
        <w:rPr>
          <w:rFonts w:ascii="Calibri" w:hAnsi="Calibri" w:cs="Calibri"/>
          <w:b/>
        </w:rPr>
      </w:pPr>
    </w:p>
    <w:p w14:paraId="337BBB55" w14:textId="77777777" w:rsidR="0072177F" w:rsidRPr="00A23FB4" w:rsidRDefault="0072177F" w:rsidP="0072177F">
      <w:pPr>
        <w:rPr>
          <w:rFonts w:ascii="Calibri" w:hAnsi="Calibri" w:cs="Calibri"/>
          <w:b/>
        </w:rPr>
      </w:pPr>
      <w:r w:rsidRPr="00A23FB4">
        <w:rPr>
          <w:rFonts w:ascii="Calibri" w:hAnsi="Calibri" w:cs="Calibri"/>
          <w:b/>
        </w:rPr>
        <w:t>3. SPRZĘT</w:t>
      </w:r>
    </w:p>
    <w:p w14:paraId="2CCE81F9" w14:textId="77777777" w:rsidR="0072177F" w:rsidRPr="00A23FB4" w:rsidRDefault="0072177F" w:rsidP="0072177F">
      <w:pPr>
        <w:pStyle w:val="Nagwek4"/>
        <w:tabs>
          <w:tab w:val="left" w:pos="9914"/>
        </w:tabs>
        <w:rPr>
          <w:rFonts w:ascii="Calibri" w:hAnsi="Calibri" w:cs="Calibri"/>
        </w:rPr>
      </w:pPr>
      <w:r w:rsidRPr="00A23FB4">
        <w:rPr>
          <w:rFonts w:ascii="Calibri" w:hAnsi="Calibri" w:cs="Calibri"/>
        </w:rPr>
        <w:t>3.1. Ogólne wymagania dotyczące sprzętu</w:t>
      </w:r>
    </w:p>
    <w:p w14:paraId="095CFBFC" w14:textId="5F566FD4" w:rsidR="0072177F" w:rsidRPr="00A23FB4" w:rsidRDefault="0072177F" w:rsidP="0072177F">
      <w:pPr>
        <w:tabs>
          <w:tab w:val="left" w:pos="9914"/>
        </w:tabs>
        <w:rPr>
          <w:rFonts w:ascii="Calibri" w:hAnsi="Calibri" w:cs="Calibri"/>
        </w:rPr>
      </w:pPr>
      <w:r w:rsidRPr="00A23FB4">
        <w:rPr>
          <w:rFonts w:ascii="Calibri" w:hAnsi="Calibri" w:cs="Calibri"/>
        </w:rPr>
        <w:t xml:space="preserve">Ogólne wymagania dotyczące sprzętu podano w </w:t>
      </w:r>
      <w:r w:rsidR="007E5E56">
        <w:rPr>
          <w:rFonts w:ascii="Calibri" w:hAnsi="Calibri" w:cs="Calibri"/>
        </w:rPr>
        <w:t>ST</w:t>
      </w:r>
      <w:r w:rsidRPr="00A23FB4">
        <w:rPr>
          <w:rFonts w:ascii="Calibri" w:hAnsi="Calibri" w:cs="Calibri"/>
        </w:rPr>
        <w:t>WiORB D-M-00.00.00 „Wymagania ogólne” pkt 3.</w:t>
      </w:r>
    </w:p>
    <w:p w14:paraId="4F3BB3CF" w14:textId="77777777" w:rsidR="0072177F" w:rsidRPr="00A23FB4" w:rsidRDefault="0072177F" w:rsidP="0072177F">
      <w:pPr>
        <w:pStyle w:val="Nagwek4"/>
        <w:tabs>
          <w:tab w:val="left" w:pos="9914"/>
        </w:tabs>
        <w:rPr>
          <w:rFonts w:ascii="Calibri" w:hAnsi="Calibri" w:cs="Calibri"/>
        </w:rPr>
      </w:pPr>
      <w:r w:rsidRPr="00A23FB4">
        <w:rPr>
          <w:rFonts w:ascii="Calibri" w:hAnsi="Calibri" w:cs="Calibri"/>
        </w:rPr>
        <w:t>3.2. Sprzęt do wykonania robót</w:t>
      </w:r>
    </w:p>
    <w:p w14:paraId="406DEE0E" w14:textId="77777777" w:rsidR="0072177F" w:rsidRPr="00A23FB4" w:rsidRDefault="0072177F" w:rsidP="0072177F">
      <w:pPr>
        <w:tabs>
          <w:tab w:val="left" w:pos="9914"/>
        </w:tabs>
        <w:rPr>
          <w:rFonts w:ascii="Calibri" w:hAnsi="Calibri" w:cs="Calibri"/>
        </w:rPr>
      </w:pPr>
      <w:r w:rsidRPr="00A23FB4">
        <w:rPr>
          <w:rFonts w:ascii="Calibri" w:hAnsi="Calibri" w:cs="Calibri"/>
        </w:rPr>
        <w:t>Wykonawca przystępujący do wykonania podbudowy lub ulepszonego podłoża stabilizowanego spoiwami powinien wykazać się możliwością korzystania z następującego sprzętu:</w:t>
      </w:r>
    </w:p>
    <w:p w14:paraId="54527177" w14:textId="77777777" w:rsidR="0072177F" w:rsidRPr="00A23FB4" w:rsidRDefault="0072177F" w:rsidP="0072177F">
      <w:pPr>
        <w:numPr>
          <w:ilvl w:val="0"/>
          <w:numId w:val="1"/>
        </w:numPr>
        <w:tabs>
          <w:tab w:val="left" w:pos="9914"/>
        </w:tabs>
        <w:rPr>
          <w:rFonts w:ascii="Calibri" w:hAnsi="Calibri" w:cs="Calibri"/>
        </w:rPr>
      </w:pPr>
      <w:r w:rsidRPr="00A23FB4">
        <w:rPr>
          <w:rFonts w:ascii="Calibri" w:hAnsi="Calibri" w:cs="Calibri"/>
        </w:rPr>
        <w:t>mieszarek stacjonarnych,</w:t>
      </w:r>
    </w:p>
    <w:p w14:paraId="79D7CF06" w14:textId="77777777" w:rsidR="0072177F" w:rsidRPr="00A23FB4" w:rsidRDefault="0072177F" w:rsidP="0072177F">
      <w:pPr>
        <w:numPr>
          <w:ilvl w:val="0"/>
          <w:numId w:val="1"/>
        </w:numPr>
        <w:tabs>
          <w:tab w:val="left" w:pos="9914"/>
        </w:tabs>
        <w:rPr>
          <w:rFonts w:ascii="Calibri" w:hAnsi="Calibri" w:cs="Calibri"/>
        </w:rPr>
      </w:pPr>
      <w:r w:rsidRPr="00A23FB4">
        <w:rPr>
          <w:rFonts w:ascii="Calibri" w:hAnsi="Calibri" w:cs="Calibri"/>
        </w:rPr>
        <w:t>układarek lub równiarek do rozkładania mieszanki,</w:t>
      </w:r>
    </w:p>
    <w:p w14:paraId="672E0F7D" w14:textId="77777777" w:rsidR="0072177F" w:rsidRPr="00A23FB4" w:rsidRDefault="0072177F" w:rsidP="0072177F">
      <w:pPr>
        <w:numPr>
          <w:ilvl w:val="0"/>
          <w:numId w:val="1"/>
        </w:numPr>
        <w:tabs>
          <w:tab w:val="left" w:pos="9914"/>
        </w:tabs>
        <w:rPr>
          <w:rFonts w:ascii="Calibri" w:hAnsi="Calibri" w:cs="Calibri"/>
        </w:rPr>
      </w:pPr>
      <w:r w:rsidRPr="00A23FB4">
        <w:rPr>
          <w:rFonts w:ascii="Calibri" w:hAnsi="Calibri" w:cs="Calibri"/>
        </w:rPr>
        <w:t>walców ogumionych i stalowych wibracyjnych lub statycznych do zagęszczania,</w:t>
      </w:r>
    </w:p>
    <w:p w14:paraId="6D15276B" w14:textId="77777777" w:rsidR="0072177F" w:rsidRPr="00A23FB4" w:rsidRDefault="0072177F" w:rsidP="0072177F">
      <w:pPr>
        <w:numPr>
          <w:ilvl w:val="0"/>
          <w:numId w:val="1"/>
        </w:numPr>
        <w:tabs>
          <w:tab w:val="left" w:pos="9914"/>
        </w:tabs>
        <w:rPr>
          <w:rFonts w:ascii="Calibri" w:hAnsi="Calibri" w:cs="Calibri"/>
        </w:rPr>
      </w:pPr>
      <w:r w:rsidRPr="00A23FB4">
        <w:rPr>
          <w:rFonts w:ascii="Calibri" w:hAnsi="Calibri" w:cs="Calibri"/>
        </w:rPr>
        <w:t>zagęszczarek płytowych, ubijaków mechanicznych lub małych walców wibracyjnych do zagęszczania w miejscach trudnodostępnych,</w:t>
      </w:r>
    </w:p>
    <w:p w14:paraId="5F961B1F" w14:textId="77777777" w:rsidR="0072177F" w:rsidRPr="00A23FB4" w:rsidRDefault="0072177F" w:rsidP="0072177F">
      <w:pPr>
        <w:rPr>
          <w:rFonts w:ascii="Calibri" w:hAnsi="Calibri" w:cs="Calibri"/>
          <w:b/>
        </w:rPr>
      </w:pPr>
    </w:p>
    <w:p w14:paraId="1C9B59CB" w14:textId="77777777" w:rsidR="0072177F" w:rsidRPr="00A23FB4" w:rsidRDefault="0072177F" w:rsidP="0072177F">
      <w:pPr>
        <w:rPr>
          <w:rFonts w:ascii="Calibri" w:hAnsi="Calibri" w:cs="Calibri"/>
          <w:b/>
        </w:rPr>
      </w:pPr>
      <w:r w:rsidRPr="00A23FB4">
        <w:rPr>
          <w:rFonts w:ascii="Calibri" w:hAnsi="Calibri" w:cs="Calibri"/>
          <w:b/>
        </w:rPr>
        <w:t>4. TRANSPORT</w:t>
      </w:r>
    </w:p>
    <w:p w14:paraId="0ED078F2" w14:textId="77777777" w:rsidR="0072177F" w:rsidRPr="00A23FB4" w:rsidRDefault="0072177F" w:rsidP="0072177F">
      <w:pPr>
        <w:pStyle w:val="Nagwek4"/>
        <w:tabs>
          <w:tab w:val="left" w:pos="9914"/>
        </w:tabs>
        <w:rPr>
          <w:rFonts w:ascii="Calibri" w:hAnsi="Calibri" w:cs="Calibri"/>
        </w:rPr>
      </w:pPr>
      <w:r w:rsidRPr="00A23FB4">
        <w:rPr>
          <w:rFonts w:ascii="Calibri" w:hAnsi="Calibri" w:cs="Calibri"/>
        </w:rPr>
        <w:t>4.1. Ogólne wymagania dotyczące transportu</w:t>
      </w:r>
    </w:p>
    <w:p w14:paraId="6EBC983B" w14:textId="6D462FEF" w:rsidR="0072177F" w:rsidRPr="00A23FB4" w:rsidRDefault="0072177F" w:rsidP="0072177F">
      <w:pPr>
        <w:numPr>
          <w:ilvl w:val="12"/>
          <w:numId w:val="0"/>
        </w:numPr>
        <w:tabs>
          <w:tab w:val="left" w:pos="9914"/>
        </w:tabs>
        <w:rPr>
          <w:rFonts w:ascii="Calibri" w:hAnsi="Calibri" w:cs="Calibri"/>
        </w:rPr>
      </w:pPr>
      <w:r w:rsidRPr="00A23FB4">
        <w:rPr>
          <w:rFonts w:ascii="Calibri" w:hAnsi="Calibri" w:cs="Calibri"/>
        </w:rPr>
        <w:t xml:space="preserve">Ogólne wymagania dotyczące transportu podano w </w:t>
      </w:r>
      <w:r w:rsidR="007E5E56">
        <w:rPr>
          <w:rFonts w:ascii="Calibri" w:hAnsi="Calibri" w:cs="Calibri"/>
        </w:rPr>
        <w:t>ST</w:t>
      </w:r>
      <w:r w:rsidRPr="00A23FB4">
        <w:rPr>
          <w:rFonts w:ascii="Calibri" w:hAnsi="Calibri" w:cs="Calibri"/>
        </w:rPr>
        <w:t>WiORB D-M-00.00.00 „Wymagania ogólne” pkt 4.</w:t>
      </w:r>
    </w:p>
    <w:p w14:paraId="5428F1BD" w14:textId="77777777" w:rsidR="0072177F" w:rsidRPr="00A23FB4" w:rsidRDefault="0072177F" w:rsidP="0072177F">
      <w:pPr>
        <w:pStyle w:val="Nagwek4"/>
        <w:tabs>
          <w:tab w:val="left" w:pos="9914"/>
        </w:tabs>
        <w:rPr>
          <w:rFonts w:ascii="Calibri" w:hAnsi="Calibri" w:cs="Calibri"/>
        </w:rPr>
      </w:pPr>
      <w:r w:rsidRPr="00A23FB4">
        <w:rPr>
          <w:rFonts w:ascii="Calibri" w:hAnsi="Calibri" w:cs="Calibri"/>
        </w:rPr>
        <w:t>4.2. Transport materiałów</w:t>
      </w:r>
    </w:p>
    <w:p w14:paraId="41CEC57D" w14:textId="77777777" w:rsidR="0072177F" w:rsidRPr="00A23FB4" w:rsidRDefault="0072177F" w:rsidP="0072177F">
      <w:pPr>
        <w:numPr>
          <w:ilvl w:val="12"/>
          <w:numId w:val="0"/>
        </w:numPr>
        <w:tabs>
          <w:tab w:val="left" w:pos="9914"/>
        </w:tabs>
        <w:rPr>
          <w:rFonts w:ascii="Calibri" w:hAnsi="Calibri" w:cs="Calibri"/>
        </w:rPr>
      </w:pPr>
      <w:r w:rsidRPr="00A23FB4">
        <w:rPr>
          <w:rFonts w:ascii="Calibri" w:hAnsi="Calibri" w:cs="Calibri"/>
        </w:rPr>
        <w:t>Transport cementu powinien odbywać się zgodnie z BN-88/6731-08.</w:t>
      </w:r>
    </w:p>
    <w:p w14:paraId="347B207B" w14:textId="77777777" w:rsidR="0072177F" w:rsidRPr="00A23FB4" w:rsidRDefault="0072177F" w:rsidP="0072177F">
      <w:pPr>
        <w:numPr>
          <w:ilvl w:val="12"/>
          <w:numId w:val="0"/>
        </w:numPr>
        <w:tabs>
          <w:tab w:val="left" w:pos="9914"/>
        </w:tabs>
        <w:rPr>
          <w:rFonts w:ascii="Calibri" w:hAnsi="Calibri" w:cs="Calibri"/>
        </w:rPr>
      </w:pPr>
      <w:r w:rsidRPr="00A23FB4">
        <w:rPr>
          <w:rFonts w:ascii="Calibri" w:hAnsi="Calibri" w:cs="Calibri"/>
        </w:rPr>
        <w:t>Transport wapna powinien odbywać się zgodnie z PN-B-30020:1999.</w:t>
      </w:r>
    </w:p>
    <w:p w14:paraId="7299E0E1" w14:textId="77777777" w:rsidR="0072177F" w:rsidRPr="00A23FB4" w:rsidRDefault="0072177F" w:rsidP="0072177F">
      <w:pPr>
        <w:pStyle w:val="tekstost"/>
        <w:numPr>
          <w:ilvl w:val="12"/>
          <w:numId w:val="0"/>
        </w:numPr>
        <w:tabs>
          <w:tab w:val="left" w:pos="9914"/>
        </w:tabs>
        <w:rPr>
          <w:rFonts w:ascii="Calibri" w:hAnsi="Calibri" w:cs="Calibri"/>
        </w:rPr>
      </w:pPr>
      <w:r w:rsidRPr="00A23FB4">
        <w:rPr>
          <w:rFonts w:ascii="Calibri" w:hAnsi="Calibri" w:cs="Calibri"/>
        </w:rPr>
        <w:t>Transport popiołów lotnych powinien odbywać się zgodnie z PN-S-96035:1997.</w:t>
      </w:r>
    </w:p>
    <w:p w14:paraId="1454FB8C" w14:textId="77777777" w:rsidR="0072177F" w:rsidRPr="00A23FB4" w:rsidRDefault="0072177F" w:rsidP="0072177F">
      <w:pPr>
        <w:pStyle w:val="tekstost"/>
        <w:numPr>
          <w:ilvl w:val="12"/>
          <w:numId w:val="0"/>
        </w:numPr>
        <w:tabs>
          <w:tab w:val="left" w:pos="9914"/>
        </w:tabs>
        <w:rPr>
          <w:rFonts w:ascii="Calibri" w:hAnsi="Calibri" w:cs="Calibri"/>
        </w:rPr>
      </w:pPr>
      <w:r w:rsidRPr="00A23FB4">
        <w:rPr>
          <w:rFonts w:ascii="Calibri" w:hAnsi="Calibri" w:cs="Calibri"/>
        </w:rPr>
        <w:t>Mieszankę kruszywowo-spoiwową można przewozić dowolnymi środkami transportu, w sposób zabezpieczony przed zanieczyszczeniem, rozsegregowaniem i wysuszeniem lub nadmiernym  zawilgoceniem.</w:t>
      </w:r>
    </w:p>
    <w:p w14:paraId="1B42DB3D" w14:textId="77777777" w:rsidR="0072177F" w:rsidRPr="00A23FB4" w:rsidRDefault="0072177F" w:rsidP="0072177F">
      <w:pPr>
        <w:rPr>
          <w:rFonts w:ascii="Calibri" w:hAnsi="Calibri" w:cs="Calibri"/>
          <w:b/>
        </w:rPr>
      </w:pPr>
    </w:p>
    <w:p w14:paraId="6EE18188" w14:textId="77777777" w:rsidR="0072177F" w:rsidRPr="00A23FB4" w:rsidRDefault="0072177F" w:rsidP="0072177F">
      <w:pPr>
        <w:rPr>
          <w:rFonts w:ascii="Calibri" w:hAnsi="Calibri" w:cs="Calibri"/>
          <w:b/>
        </w:rPr>
      </w:pPr>
      <w:r w:rsidRPr="00A23FB4">
        <w:rPr>
          <w:rFonts w:ascii="Calibri" w:hAnsi="Calibri" w:cs="Calibri"/>
          <w:b/>
        </w:rPr>
        <w:t>5. WYKONANIE ROBÓT</w:t>
      </w:r>
    </w:p>
    <w:p w14:paraId="5C333E75" w14:textId="77777777" w:rsidR="0072177F" w:rsidRPr="00A23FB4" w:rsidRDefault="0072177F" w:rsidP="0072177F">
      <w:pPr>
        <w:pStyle w:val="Nagwek4"/>
        <w:tabs>
          <w:tab w:val="left" w:pos="9914"/>
        </w:tabs>
        <w:rPr>
          <w:rFonts w:ascii="Calibri" w:hAnsi="Calibri" w:cs="Calibri"/>
        </w:rPr>
      </w:pPr>
      <w:r w:rsidRPr="00A23FB4">
        <w:rPr>
          <w:rFonts w:ascii="Calibri" w:hAnsi="Calibri" w:cs="Calibri"/>
        </w:rPr>
        <w:t>5.1. Ogólne zasady wykonania robót</w:t>
      </w:r>
    </w:p>
    <w:p w14:paraId="34EFF8AE" w14:textId="63FC07BA" w:rsidR="0072177F" w:rsidRPr="00A23FB4" w:rsidRDefault="0072177F" w:rsidP="0072177F">
      <w:pPr>
        <w:numPr>
          <w:ilvl w:val="12"/>
          <w:numId w:val="0"/>
        </w:numPr>
        <w:tabs>
          <w:tab w:val="left" w:pos="9914"/>
        </w:tabs>
        <w:rPr>
          <w:rFonts w:ascii="Calibri" w:hAnsi="Calibri" w:cs="Calibri"/>
        </w:rPr>
      </w:pPr>
      <w:r w:rsidRPr="00A23FB4">
        <w:rPr>
          <w:rFonts w:ascii="Calibri" w:hAnsi="Calibri" w:cs="Calibri"/>
        </w:rPr>
        <w:t xml:space="preserve">Ogólne zasady wykonania robót podano w </w:t>
      </w:r>
      <w:r w:rsidR="007E5E56">
        <w:rPr>
          <w:rFonts w:ascii="Calibri" w:hAnsi="Calibri" w:cs="Calibri"/>
        </w:rPr>
        <w:t>ST</w:t>
      </w:r>
      <w:r w:rsidRPr="00A23FB4">
        <w:rPr>
          <w:rFonts w:ascii="Calibri" w:hAnsi="Calibri" w:cs="Calibri"/>
        </w:rPr>
        <w:t>WiORB D-M-00.00.00 „Wymagania ogólne” pkt 5.</w:t>
      </w:r>
    </w:p>
    <w:p w14:paraId="7523ED72" w14:textId="77777777" w:rsidR="0072177F" w:rsidRPr="00A23FB4" w:rsidRDefault="0072177F" w:rsidP="0072177F">
      <w:pPr>
        <w:pStyle w:val="Nagwek4"/>
        <w:tabs>
          <w:tab w:val="left" w:pos="9914"/>
        </w:tabs>
        <w:rPr>
          <w:rFonts w:ascii="Calibri" w:hAnsi="Calibri" w:cs="Calibri"/>
        </w:rPr>
      </w:pPr>
      <w:r w:rsidRPr="00A23FB4">
        <w:rPr>
          <w:rFonts w:ascii="Calibri" w:hAnsi="Calibri" w:cs="Calibri"/>
        </w:rPr>
        <w:t>5.2. Przygotowanie podłoża</w:t>
      </w:r>
    </w:p>
    <w:p w14:paraId="7E591E21" w14:textId="53E00BC9" w:rsidR="0072177F" w:rsidRPr="00A23FB4" w:rsidRDefault="0072177F" w:rsidP="0072177F">
      <w:pPr>
        <w:numPr>
          <w:ilvl w:val="12"/>
          <w:numId w:val="0"/>
        </w:numPr>
        <w:tabs>
          <w:tab w:val="left" w:pos="9914"/>
        </w:tabs>
        <w:rPr>
          <w:rFonts w:ascii="Calibri" w:hAnsi="Calibri" w:cs="Calibri"/>
        </w:rPr>
      </w:pPr>
      <w:r w:rsidRPr="00A23FB4">
        <w:rPr>
          <w:rFonts w:ascii="Calibri" w:hAnsi="Calibri" w:cs="Calibri"/>
        </w:rPr>
        <w:t xml:space="preserve">Podłoże gruntowe powinno być przygotowane zgodnie z wymaganiami określonymi w </w:t>
      </w:r>
      <w:r w:rsidR="007E5E56">
        <w:rPr>
          <w:rFonts w:ascii="Calibri" w:hAnsi="Calibri" w:cs="Calibri"/>
        </w:rPr>
        <w:t>ST</w:t>
      </w:r>
      <w:r w:rsidRPr="00A23FB4">
        <w:rPr>
          <w:rFonts w:ascii="Calibri" w:hAnsi="Calibri" w:cs="Calibri"/>
        </w:rPr>
        <w:t xml:space="preserve">WiORB D-04.01.01 „Koryto wraz z profilowaniem i zagęszczeniem podłoża”  </w:t>
      </w:r>
    </w:p>
    <w:p w14:paraId="3BE5D199" w14:textId="77777777" w:rsidR="0072177F" w:rsidRPr="00A23FB4" w:rsidRDefault="0072177F" w:rsidP="0072177F">
      <w:pPr>
        <w:numPr>
          <w:ilvl w:val="12"/>
          <w:numId w:val="0"/>
        </w:numPr>
        <w:tabs>
          <w:tab w:val="left" w:pos="9914"/>
        </w:tabs>
        <w:rPr>
          <w:rFonts w:ascii="Calibri" w:hAnsi="Calibri" w:cs="Calibri"/>
        </w:rPr>
      </w:pPr>
      <w:r w:rsidRPr="00A23FB4">
        <w:rPr>
          <w:rFonts w:ascii="Calibri" w:hAnsi="Calibri" w:cs="Calibri"/>
        </w:rPr>
        <w:t>Paliki lub szpilki do prawidłowego ukształtowania ulepszonego podłoża powinny być wcześniej przygotowane.</w:t>
      </w:r>
    </w:p>
    <w:p w14:paraId="7AA6ACED" w14:textId="77777777" w:rsidR="0072177F" w:rsidRPr="00A23FB4" w:rsidRDefault="0072177F" w:rsidP="0072177F">
      <w:pPr>
        <w:numPr>
          <w:ilvl w:val="12"/>
          <w:numId w:val="0"/>
        </w:numPr>
        <w:tabs>
          <w:tab w:val="left" w:pos="9914"/>
        </w:tabs>
        <w:rPr>
          <w:rFonts w:ascii="Calibri" w:hAnsi="Calibri" w:cs="Calibri"/>
        </w:rPr>
      </w:pPr>
      <w:r w:rsidRPr="00A23FB4">
        <w:rPr>
          <w:rFonts w:ascii="Calibri" w:hAnsi="Calibri" w:cs="Calibri"/>
        </w:rPr>
        <w:t>Paliki lub szpilki powinny być ustawione w osi drogi i w rzędach równoległych do osi drogi, lub w inny sposób zaakceptowany przez Inżyniera/Kierownika projektu.</w:t>
      </w:r>
    </w:p>
    <w:p w14:paraId="6744F1D6" w14:textId="77777777" w:rsidR="0072177F" w:rsidRPr="00A23FB4" w:rsidRDefault="0072177F" w:rsidP="0072177F">
      <w:pPr>
        <w:numPr>
          <w:ilvl w:val="12"/>
          <w:numId w:val="0"/>
        </w:numPr>
        <w:tabs>
          <w:tab w:val="left" w:pos="9914"/>
        </w:tabs>
        <w:rPr>
          <w:rFonts w:ascii="Calibri" w:hAnsi="Calibri" w:cs="Calibri"/>
        </w:rPr>
      </w:pPr>
      <w:r w:rsidRPr="00A23FB4">
        <w:rPr>
          <w:rFonts w:ascii="Calibri" w:hAnsi="Calibri" w:cs="Calibri"/>
        </w:rPr>
        <w:t>Rozmieszczenie palików lub szpilek powinno umożliwiać naciągnięcie sznurków lub linek do wytyczenia robót w odstępach nie większych niż co 10 m.</w:t>
      </w:r>
    </w:p>
    <w:p w14:paraId="5AFE94C1" w14:textId="77777777" w:rsidR="0072177F" w:rsidRPr="00A23FB4" w:rsidRDefault="0072177F" w:rsidP="0072177F">
      <w:pPr>
        <w:tabs>
          <w:tab w:val="left" w:pos="9914"/>
        </w:tabs>
        <w:rPr>
          <w:rFonts w:ascii="Calibri" w:hAnsi="Calibri" w:cs="Calibri"/>
        </w:rPr>
      </w:pPr>
      <w:r w:rsidRPr="00A23FB4">
        <w:rPr>
          <w:rFonts w:ascii="Calibri" w:hAnsi="Calibri" w:cs="Calibri"/>
        </w:rPr>
        <w:t>Jeżeli warstwa mieszanki gruntu lub kruszywa ze spoiwami hydraulicznymi ma być układana w prowadnicach, to po wytyczeniu podbudowy należy ustawić na podłożu prowadnice w taki sposób, aby wyznaczały one ściśle linie krawędzi układanej warstwy  według dokumentacji projektowej. Wysokość prowadnic powinna odpowiadać grubości warstwy mieszanki gruntu lub kruszywa ze spoiwami hydraulicznymi, w stanie niezagęszczonym. Prowadnice powinny być ustawione stabilnie, w sposób wykluczający ich przesuwanie się pod wpływem oddziaływania maszyn użytych do wykonania warstwy.</w:t>
      </w:r>
    </w:p>
    <w:p w14:paraId="739D8D2C" w14:textId="77777777" w:rsidR="0072177F" w:rsidRPr="00A23FB4" w:rsidRDefault="0072177F" w:rsidP="0072177F">
      <w:pPr>
        <w:pStyle w:val="Nagwek4"/>
        <w:tabs>
          <w:tab w:val="left" w:pos="9914"/>
        </w:tabs>
        <w:rPr>
          <w:rFonts w:ascii="Calibri" w:hAnsi="Calibri" w:cs="Calibri"/>
        </w:rPr>
      </w:pPr>
      <w:r w:rsidRPr="00A23FB4">
        <w:rPr>
          <w:rFonts w:ascii="Calibri" w:hAnsi="Calibri" w:cs="Calibri"/>
        </w:rPr>
        <w:t>5.3. Stabilizacja metodą mieszania w mieszarkach stacjonarnych</w:t>
      </w:r>
    </w:p>
    <w:p w14:paraId="7E3DC1BF" w14:textId="77777777" w:rsidR="0072177F" w:rsidRPr="00A23FB4" w:rsidRDefault="0072177F" w:rsidP="0072177F">
      <w:pPr>
        <w:tabs>
          <w:tab w:val="left" w:pos="9914"/>
        </w:tabs>
        <w:rPr>
          <w:rFonts w:ascii="Calibri" w:hAnsi="Calibri" w:cs="Calibri"/>
        </w:rPr>
      </w:pPr>
      <w:r w:rsidRPr="00A23FB4">
        <w:rPr>
          <w:rFonts w:ascii="Calibri" w:hAnsi="Calibri" w:cs="Calibri"/>
        </w:rPr>
        <w:t>Składniki mieszanki i w razie potrzeby dodatki ulepszające, powinny być dozowane w ilości określonej w recepcie laboratoryjnej. Mieszarka stacjonarna powinna być wyposażona w urządzenia do wagowego dozowania kruszywa lub gruntu i cementu oraz objętościowego dozowania wody.</w:t>
      </w:r>
    </w:p>
    <w:p w14:paraId="223ECAD4" w14:textId="77777777" w:rsidR="0072177F" w:rsidRPr="00A23FB4" w:rsidRDefault="0072177F" w:rsidP="0072177F">
      <w:pPr>
        <w:tabs>
          <w:tab w:val="left" w:pos="9914"/>
        </w:tabs>
        <w:rPr>
          <w:rFonts w:ascii="Calibri" w:hAnsi="Calibri" w:cs="Calibri"/>
        </w:rPr>
      </w:pPr>
      <w:r w:rsidRPr="00A23FB4">
        <w:rPr>
          <w:rFonts w:ascii="Calibri" w:hAnsi="Calibri" w:cs="Calibri"/>
        </w:rPr>
        <w:t>Czas mieszania w mieszarkach cyklicznych nie powinien być krótszy od 1 minuty, o ile krótszy czas mieszania nie zostanie dozwolony przez Inżyniera/Kierownika projektu po wstępnych próbach. W mieszarkach typu ciągłego prędkość podawania materiałów powinna być ustalona i na bieżąco kontrolowana w taki sposób, aby zapewnić jednorodność mieszanki.</w:t>
      </w:r>
    </w:p>
    <w:p w14:paraId="5DF7E607" w14:textId="77777777" w:rsidR="0072177F" w:rsidRPr="00A23FB4" w:rsidRDefault="0072177F" w:rsidP="0072177F">
      <w:pPr>
        <w:tabs>
          <w:tab w:val="left" w:pos="9914"/>
        </w:tabs>
        <w:rPr>
          <w:rFonts w:ascii="Calibri" w:hAnsi="Calibri" w:cs="Calibri"/>
        </w:rPr>
      </w:pPr>
      <w:r w:rsidRPr="00A23FB4">
        <w:rPr>
          <w:rFonts w:ascii="Calibri" w:hAnsi="Calibri" w:cs="Calibri"/>
        </w:rPr>
        <w:t>Przed ułożeniem mieszanki należy ustawić prowadnice i podłoże zwilżyć wodą.</w:t>
      </w:r>
    </w:p>
    <w:p w14:paraId="0A409188" w14:textId="77777777" w:rsidR="0072177F" w:rsidRPr="00A23FB4" w:rsidRDefault="0072177F" w:rsidP="0072177F">
      <w:pPr>
        <w:tabs>
          <w:tab w:val="left" w:pos="9914"/>
        </w:tabs>
        <w:rPr>
          <w:rFonts w:ascii="Calibri" w:hAnsi="Calibri" w:cs="Calibri"/>
        </w:rPr>
      </w:pPr>
      <w:r w:rsidRPr="00A23FB4">
        <w:rPr>
          <w:rFonts w:ascii="Calibri" w:hAnsi="Calibri" w:cs="Calibri"/>
        </w:rPr>
        <w:t>Mieszanka dowieziona z wytwórni powinna być układana przy pomocy układarek lub równiarek. Grubość układania mieszanki powinna być taka, aby zapewnić uzyskanie wymaganej grubości warstwy po zagęszczeniu.</w:t>
      </w:r>
    </w:p>
    <w:p w14:paraId="6A1BD2F7" w14:textId="77777777" w:rsidR="0072177F" w:rsidRPr="00A23FB4" w:rsidRDefault="0072177F" w:rsidP="0072177F">
      <w:pPr>
        <w:pStyle w:val="Nagwek4"/>
        <w:tabs>
          <w:tab w:val="left" w:pos="9914"/>
        </w:tabs>
        <w:rPr>
          <w:rFonts w:ascii="Calibri" w:hAnsi="Calibri" w:cs="Calibri"/>
        </w:rPr>
      </w:pPr>
      <w:r w:rsidRPr="00A23FB4">
        <w:rPr>
          <w:rFonts w:ascii="Calibri" w:hAnsi="Calibri" w:cs="Calibri"/>
        </w:rPr>
        <w:t>5.4 Zagęszczanie warstwy stabilizacji</w:t>
      </w:r>
    </w:p>
    <w:p w14:paraId="48792F49" w14:textId="77777777" w:rsidR="0072177F" w:rsidRPr="00A23FB4" w:rsidRDefault="0072177F" w:rsidP="0072177F">
      <w:pPr>
        <w:tabs>
          <w:tab w:val="left" w:pos="9914"/>
        </w:tabs>
        <w:rPr>
          <w:rFonts w:ascii="Calibri" w:hAnsi="Calibri" w:cs="Calibri"/>
        </w:rPr>
      </w:pPr>
      <w:r w:rsidRPr="00A23FB4">
        <w:rPr>
          <w:rFonts w:ascii="Calibri" w:hAnsi="Calibri" w:cs="Calibri"/>
        </w:rPr>
        <w:t>Przed zagęszczeniem warstwa powinna być wyprofilowana do wymaganych rzędnych, spadków podłużnych i poprzecznych. Przy użyciu równiarek do rozkładania mieszanki należy wykorzystać prowadnice, w celu uzyskania odpowiedniej równości profilu warstwy. Od użycia prowadnic można odstąpić przy zastosowaniu technologii gwarantującej odpowiednią równość warstwy, po uzyskaniu zgody Inżyniera/Kierownika projektu. Po wyprofilowaniu należy natychmiast przystąpić do zagęszczania warstwy.</w:t>
      </w:r>
    </w:p>
    <w:p w14:paraId="6C17F063" w14:textId="77777777" w:rsidR="0072177F" w:rsidRPr="00A23FB4" w:rsidRDefault="0072177F" w:rsidP="0072177F">
      <w:pPr>
        <w:tabs>
          <w:tab w:val="left" w:pos="9914"/>
        </w:tabs>
        <w:rPr>
          <w:rFonts w:ascii="Calibri" w:hAnsi="Calibri" w:cs="Calibri"/>
        </w:rPr>
      </w:pPr>
      <w:r w:rsidRPr="00A23FB4">
        <w:rPr>
          <w:rFonts w:ascii="Calibri" w:hAnsi="Calibri" w:cs="Calibri"/>
        </w:rPr>
        <w:t>Wilgotność mieszanki podczas zagęszczania powinna odpowiadać wilgotności optymalnej z tolerancją ±1% jej wartości.</w:t>
      </w:r>
    </w:p>
    <w:p w14:paraId="6D6E033E" w14:textId="77777777" w:rsidR="0072177F" w:rsidRPr="00A23FB4" w:rsidRDefault="0072177F" w:rsidP="0072177F">
      <w:pPr>
        <w:tabs>
          <w:tab w:val="left" w:pos="9914"/>
        </w:tabs>
        <w:rPr>
          <w:rFonts w:ascii="Calibri" w:hAnsi="Calibri" w:cs="Calibri"/>
        </w:rPr>
      </w:pPr>
      <w:r w:rsidRPr="00A23FB4">
        <w:rPr>
          <w:rFonts w:ascii="Calibri" w:hAnsi="Calibri" w:cs="Calibri"/>
        </w:rPr>
        <w:t>Zagęszczanie warstwy gruntu lub kruszywa stabilizowanego cementem należy prowadzić przy użyciu walców gładkich, wibracyjnych lub ogumionych lub przy użyciu płyt wibracyjnych</w:t>
      </w:r>
    </w:p>
    <w:p w14:paraId="307F5657" w14:textId="77777777" w:rsidR="0072177F" w:rsidRPr="00A23FB4" w:rsidRDefault="0072177F" w:rsidP="0072177F">
      <w:pPr>
        <w:tabs>
          <w:tab w:val="left" w:pos="9914"/>
        </w:tabs>
        <w:rPr>
          <w:rFonts w:ascii="Calibri" w:hAnsi="Calibri" w:cs="Calibri"/>
        </w:rPr>
      </w:pPr>
      <w:r w:rsidRPr="00A23FB4">
        <w:rPr>
          <w:rFonts w:ascii="Calibri" w:hAnsi="Calibri" w:cs="Calibri"/>
        </w:rPr>
        <w:t>Zagęszczanie podbudowy oraz ulepszonego podłoża o przekroju daszkowym powinno rozpocząć się od krawędzi i przesuwać pasami podłużnymi, częściowo nakładającymi się w stronę osi jezdni. Zagęszczenie warstwy o jednostronnym spadku poprzecznym powinno rozpocząć się od niżej położonej krawędzi i przesuwać pasami podłużnymi, częściowo nakładającymi się, w stronę wyżej położonej krawędzi. Pojawiające się w czasie zagęszczania zaniżenia, ubytki, rozwarstwienia i podobne wady, muszą być natychmiast naprawiane przez wymianę mieszanki  na pełną głębokość, wyrównanie i ponowne zagęszczenie. Powierzchnia zagęszczonej warstwy powinna mieć prawidłowy przekrój poprzeczny i jednolity wygląd.</w:t>
      </w:r>
    </w:p>
    <w:p w14:paraId="202001FA" w14:textId="77777777" w:rsidR="0072177F" w:rsidRPr="00A23FB4" w:rsidRDefault="0072177F" w:rsidP="0072177F">
      <w:pPr>
        <w:tabs>
          <w:tab w:val="left" w:pos="9914"/>
        </w:tabs>
        <w:rPr>
          <w:rFonts w:ascii="Calibri" w:hAnsi="Calibri" w:cs="Calibri"/>
        </w:rPr>
      </w:pPr>
      <w:r w:rsidRPr="00A23FB4">
        <w:rPr>
          <w:rFonts w:ascii="Calibri" w:hAnsi="Calibri" w:cs="Calibri"/>
        </w:rPr>
        <w:t>Operacje zagęszczania i obróbki powierzchniowej muszą być zakończone przed upływem dwóch godzin od chwili dodania wody do mieszanki.</w:t>
      </w:r>
    </w:p>
    <w:p w14:paraId="06F89A68" w14:textId="77777777" w:rsidR="0072177F" w:rsidRPr="00A23FB4" w:rsidRDefault="0072177F" w:rsidP="0072177F">
      <w:pPr>
        <w:tabs>
          <w:tab w:val="left" w:pos="9914"/>
        </w:tabs>
        <w:rPr>
          <w:rFonts w:ascii="Calibri" w:hAnsi="Calibri" w:cs="Calibri"/>
        </w:rPr>
      </w:pPr>
      <w:r w:rsidRPr="00A23FB4">
        <w:rPr>
          <w:rFonts w:ascii="Calibri" w:hAnsi="Calibri" w:cs="Calibri"/>
        </w:rPr>
        <w:t>Zagęszczanie należy kontynuować do osiągnięcia wskaźnika zagęszczenia mieszanki określonego wg BN-77/8931-12  nie mniejszego od podanego w PN-S-96012:1997. Dopuszcza się oznaczenie wskaźnika zagęszczenia dowolną metodą określoną w BN-77/8931-12</w:t>
      </w:r>
    </w:p>
    <w:p w14:paraId="0A483F4F" w14:textId="77777777" w:rsidR="0072177F" w:rsidRPr="00A23FB4" w:rsidRDefault="0072177F" w:rsidP="0072177F">
      <w:pPr>
        <w:tabs>
          <w:tab w:val="left" w:pos="9914"/>
        </w:tabs>
        <w:rPr>
          <w:rFonts w:ascii="Calibri" w:hAnsi="Calibri" w:cs="Calibri"/>
        </w:rPr>
      </w:pPr>
      <w:r w:rsidRPr="00A23FB4">
        <w:rPr>
          <w:rFonts w:ascii="Calibri" w:hAnsi="Calibri" w:cs="Calibri"/>
        </w:rPr>
        <w:t>Dla warstw leżących poniżej 0,2 m badanie zagęszczenia przeprowadzić należy poprzez oznaczenie wskaźnika odkształcenia oznaczonego wg PN-02205:1998. Grunt przy pomiarze zagęszczenia metodą obciążenia płytą VSS uznaje się za należycie zagęszczony, gdy wskaźnik odkształcenia nie przekracza 2,2.</w:t>
      </w:r>
    </w:p>
    <w:p w14:paraId="10B15DAB" w14:textId="77777777" w:rsidR="0072177F" w:rsidRPr="00A23FB4" w:rsidRDefault="0072177F" w:rsidP="0072177F">
      <w:pPr>
        <w:tabs>
          <w:tab w:val="left" w:pos="9914"/>
        </w:tabs>
        <w:rPr>
          <w:rFonts w:ascii="Calibri" w:hAnsi="Calibri" w:cs="Calibri"/>
        </w:rPr>
      </w:pPr>
      <w:r w:rsidRPr="00A23FB4">
        <w:rPr>
          <w:rFonts w:ascii="Calibri" w:hAnsi="Calibri" w:cs="Calibri"/>
        </w:rPr>
        <w:t>Specjalną uwagę należy poświęcić zagęszczeniu mieszanki w sąsiedztwie spoin roboczych podłużnych i poprzecznych oraz wszelkich urządzeń obcych.</w:t>
      </w:r>
    </w:p>
    <w:p w14:paraId="7F6323C9" w14:textId="77777777" w:rsidR="0072177F" w:rsidRPr="00A23FB4" w:rsidRDefault="0072177F" w:rsidP="0072177F">
      <w:pPr>
        <w:tabs>
          <w:tab w:val="left" w:pos="9914"/>
        </w:tabs>
        <w:rPr>
          <w:rFonts w:ascii="Calibri" w:hAnsi="Calibri" w:cs="Calibri"/>
        </w:rPr>
      </w:pPr>
      <w:r w:rsidRPr="00A23FB4">
        <w:rPr>
          <w:rFonts w:ascii="Calibri" w:hAnsi="Calibri" w:cs="Calibri"/>
        </w:rPr>
        <w:t>Wszelkie miejsca luźne, rozsegregowane, spękane podczas zagęszczania lub w inny sposób wadliwe, muszą być naprawione przez zerwanie warstwy na pełną grubość, wbudowanie nowej mieszanki o odpowiednim składzie i ponowne zagęszczenie. Roboty te są wykonywane na koszt Wykonawcy.</w:t>
      </w:r>
    </w:p>
    <w:p w14:paraId="1960DED7" w14:textId="77777777" w:rsidR="0072177F" w:rsidRPr="00A23FB4" w:rsidRDefault="0072177F" w:rsidP="0072177F">
      <w:pPr>
        <w:pStyle w:val="Nagwek4"/>
        <w:tabs>
          <w:tab w:val="left" w:pos="9914"/>
        </w:tabs>
        <w:rPr>
          <w:rFonts w:ascii="Calibri" w:hAnsi="Calibri" w:cs="Calibri"/>
        </w:rPr>
      </w:pPr>
      <w:r w:rsidRPr="00A23FB4">
        <w:rPr>
          <w:rFonts w:ascii="Calibri" w:hAnsi="Calibri" w:cs="Calibri"/>
        </w:rPr>
        <w:t>5.5. Utrzymanie podbudowy i ulepszonego podłoża</w:t>
      </w:r>
    </w:p>
    <w:p w14:paraId="3451ABA8" w14:textId="77777777" w:rsidR="0072177F" w:rsidRPr="00A23FB4" w:rsidRDefault="0072177F" w:rsidP="0072177F">
      <w:pPr>
        <w:tabs>
          <w:tab w:val="left" w:pos="9914"/>
        </w:tabs>
        <w:rPr>
          <w:rFonts w:ascii="Calibri" w:hAnsi="Calibri" w:cs="Calibri"/>
        </w:rPr>
      </w:pPr>
      <w:r w:rsidRPr="00A23FB4">
        <w:rPr>
          <w:rFonts w:ascii="Calibri" w:hAnsi="Calibri" w:cs="Calibri"/>
        </w:rPr>
        <w:t xml:space="preserve">Ulepszone podłoże po wykonaniu, a przed ułożeniem następnej warstwy, powinno być utrzymywane w dobrym stanie.  Jeżeli Wykonawca będzie wykorzystywał, za zgodą Inżyniera/Kierownika projektu, gotowe ulepszone podłoże do ruchu budowlanego, to jest obowiązany naprawić wszelkie uszkodzenia podbudowy, spowodowane przez ten ruch. Koszt napraw wynikłych z niewłaściwego utrzymania ulepszonego podłoża obciąża Wykonawcę robót. </w:t>
      </w:r>
    </w:p>
    <w:p w14:paraId="3C3325CC" w14:textId="77777777" w:rsidR="0072177F" w:rsidRPr="00A23FB4" w:rsidRDefault="0072177F" w:rsidP="0072177F">
      <w:pPr>
        <w:tabs>
          <w:tab w:val="left" w:pos="9914"/>
        </w:tabs>
        <w:rPr>
          <w:rFonts w:ascii="Calibri" w:hAnsi="Calibri" w:cs="Calibri"/>
        </w:rPr>
      </w:pPr>
      <w:r w:rsidRPr="00A23FB4">
        <w:rPr>
          <w:rFonts w:ascii="Calibri" w:hAnsi="Calibri" w:cs="Calibri"/>
        </w:rPr>
        <w:t>Wykonawca jest zobowiązany do przeprowadzenia bieżących napraw ulepszonego podłoża  uszkodzonych wskutek oddziaływania czynników atmosferycznych, takich jak opady deszczu i śniegu oraz mróz.</w:t>
      </w:r>
    </w:p>
    <w:p w14:paraId="113DCDD1" w14:textId="77777777" w:rsidR="0072177F" w:rsidRPr="00A23FB4" w:rsidRDefault="0072177F" w:rsidP="0072177F">
      <w:pPr>
        <w:tabs>
          <w:tab w:val="left" w:pos="9914"/>
        </w:tabs>
        <w:rPr>
          <w:rFonts w:ascii="Calibri" w:hAnsi="Calibri" w:cs="Calibri"/>
        </w:rPr>
      </w:pPr>
      <w:r w:rsidRPr="00A23FB4">
        <w:rPr>
          <w:rFonts w:ascii="Calibri" w:hAnsi="Calibri" w:cs="Calibri"/>
        </w:rPr>
        <w:t>Wykonawca jest zobowiązany wstrzymać ruch budowlany po okresie intensywnych opadów deszczu, jeżeli wystąpi możliwość uszkodzenia ulepszonego podłoża.</w:t>
      </w:r>
    </w:p>
    <w:p w14:paraId="0B0D8214" w14:textId="77777777" w:rsidR="0072177F" w:rsidRPr="00A23FB4" w:rsidRDefault="0072177F" w:rsidP="0072177F">
      <w:pPr>
        <w:tabs>
          <w:tab w:val="left" w:pos="9914"/>
        </w:tabs>
        <w:rPr>
          <w:rFonts w:ascii="Calibri" w:hAnsi="Calibri" w:cs="Calibri"/>
        </w:rPr>
      </w:pPr>
      <w:r w:rsidRPr="00A23FB4">
        <w:rPr>
          <w:rFonts w:ascii="Calibri" w:hAnsi="Calibri" w:cs="Calibri"/>
        </w:rPr>
        <w:t>Warstwa stabilizowana spoiwami hydraulicznymi powinna być przykryta przed zimą warstwą nawierzchni lub zabezpieczona przed niszczącym działaniem czynników atmosferycznych w inny sposób zaakceptowany przez Inżyniera/Kierownika projektu.</w:t>
      </w:r>
    </w:p>
    <w:p w14:paraId="2043E0C1" w14:textId="77777777" w:rsidR="0072177F" w:rsidRPr="00A23FB4" w:rsidRDefault="0072177F" w:rsidP="0072177F">
      <w:pPr>
        <w:pStyle w:val="Nagwek4"/>
        <w:tabs>
          <w:tab w:val="left" w:pos="9914"/>
        </w:tabs>
        <w:rPr>
          <w:rFonts w:ascii="Calibri" w:hAnsi="Calibri" w:cs="Calibri"/>
        </w:rPr>
      </w:pPr>
      <w:r w:rsidRPr="00A23FB4">
        <w:rPr>
          <w:rFonts w:ascii="Calibri" w:hAnsi="Calibri" w:cs="Calibri"/>
        </w:rPr>
        <w:t>5.6. Pielęgnacja warstwy z gruntu lub kruszywa stabilizowanego cementem</w:t>
      </w:r>
    </w:p>
    <w:p w14:paraId="67121B63" w14:textId="77777777" w:rsidR="0072177F" w:rsidRPr="00A23FB4" w:rsidRDefault="0072177F" w:rsidP="0072177F">
      <w:pPr>
        <w:tabs>
          <w:tab w:val="left" w:pos="9914"/>
        </w:tabs>
        <w:rPr>
          <w:rFonts w:ascii="Calibri" w:hAnsi="Calibri" w:cs="Calibri"/>
        </w:rPr>
      </w:pPr>
      <w:r w:rsidRPr="00A23FB4">
        <w:rPr>
          <w:rFonts w:ascii="Calibri" w:hAnsi="Calibri" w:cs="Calibri"/>
        </w:rPr>
        <w:t>Pielęgnacja powinna być przeprowadzona według jednego z następujących sposobów:</w:t>
      </w:r>
    </w:p>
    <w:p w14:paraId="3CB1858C" w14:textId="77777777" w:rsidR="0072177F" w:rsidRPr="00A23FB4" w:rsidRDefault="0072177F" w:rsidP="0072177F">
      <w:pPr>
        <w:tabs>
          <w:tab w:val="left" w:pos="9914"/>
        </w:tabs>
        <w:rPr>
          <w:rFonts w:ascii="Calibri" w:hAnsi="Calibri" w:cs="Calibri"/>
        </w:rPr>
      </w:pPr>
      <w:r w:rsidRPr="00A23FB4">
        <w:rPr>
          <w:rFonts w:ascii="Calibri" w:hAnsi="Calibri" w:cs="Calibri"/>
        </w:rPr>
        <w:t>skropienie warstwy emulsją asfaltową, albo asfaltem D200 lub D300 w ilości od 0,5 do 1,0 kg/m</w:t>
      </w:r>
      <w:r w:rsidRPr="00A23FB4">
        <w:rPr>
          <w:rFonts w:ascii="Calibri" w:hAnsi="Calibri" w:cs="Calibri"/>
          <w:vertAlign w:val="superscript"/>
        </w:rPr>
        <w:t>2</w:t>
      </w:r>
      <w:r w:rsidRPr="00A23FB4">
        <w:rPr>
          <w:rFonts w:ascii="Calibri" w:hAnsi="Calibri" w:cs="Calibri"/>
        </w:rPr>
        <w:t>,</w:t>
      </w:r>
    </w:p>
    <w:p w14:paraId="015D2ADF" w14:textId="77777777" w:rsidR="0072177F" w:rsidRPr="00A23FB4" w:rsidRDefault="0072177F" w:rsidP="0072177F">
      <w:pPr>
        <w:tabs>
          <w:tab w:val="left" w:pos="9914"/>
        </w:tabs>
        <w:rPr>
          <w:rFonts w:ascii="Calibri" w:hAnsi="Calibri" w:cs="Calibri"/>
        </w:rPr>
      </w:pPr>
      <w:r w:rsidRPr="00A23FB4">
        <w:rPr>
          <w:rFonts w:ascii="Calibri" w:hAnsi="Calibri" w:cs="Calibri"/>
        </w:rPr>
        <w:t>skropienie specjalnymi preparatami powłokotwórczymi posiadającymi aprobatę techniczną wydaną przez uprawnioną jednostkę, po uprzednim zaakceptowaniu ich użycia przez Inżyniera/Kierownika projektu,</w:t>
      </w:r>
    </w:p>
    <w:p w14:paraId="6E426CC6" w14:textId="77777777" w:rsidR="0072177F" w:rsidRPr="00A23FB4" w:rsidRDefault="0072177F" w:rsidP="0072177F">
      <w:pPr>
        <w:tabs>
          <w:tab w:val="left" w:pos="9914"/>
        </w:tabs>
        <w:rPr>
          <w:rFonts w:ascii="Calibri" w:hAnsi="Calibri" w:cs="Calibri"/>
        </w:rPr>
      </w:pPr>
      <w:r w:rsidRPr="00A23FB4">
        <w:rPr>
          <w:rFonts w:ascii="Calibri" w:hAnsi="Calibri" w:cs="Calibri"/>
        </w:rPr>
        <w:t>utrzymanie w stanie wilgotnym poprzez kilkakrotne skrapianie wodą w ciągu dnia, w czasie co najmniej 7 dni,</w:t>
      </w:r>
    </w:p>
    <w:p w14:paraId="0553D7E1" w14:textId="77777777" w:rsidR="0072177F" w:rsidRPr="00A23FB4" w:rsidRDefault="0072177F" w:rsidP="0072177F">
      <w:pPr>
        <w:tabs>
          <w:tab w:val="left" w:pos="9914"/>
        </w:tabs>
        <w:rPr>
          <w:rFonts w:ascii="Calibri" w:hAnsi="Calibri" w:cs="Calibri"/>
        </w:rPr>
      </w:pPr>
      <w:r w:rsidRPr="00A23FB4">
        <w:rPr>
          <w:rFonts w:ascii="Calibri" w:hAnsi="Calibri" w:cs="Calibri"/>
        </w:rPr>
        <w:t>przykrycie na okres 7 dni nieprzepuszczalną folią z tworzywa sztucznego, ułożoną na zakład o szerokości  co najmniej 30 cm i zabezpieczoną przed zerwaniem z powierzchni warstwy przez wiatr,</w:t>
      </w:r>
    </w:p>
    <w:p w14:paraId="7C8D799F" w14:textId="77777777" w:rsidR="0072177F" w:rsidRPr="00A23FB4" w:rsidRDefault="0072177F" w:rsidP="0072177F">
      <w:pPr>
        <w:tabs>
          <w:tab w:val="left" w:pos="9914"/>
        </w:tabs>
        <w:rPr>
          <w:rFonts w:ascii="Calibri" w:hAnsi="Calibri" w:cs="Calibri"/>
        </w:rPr>
      </w:pPr>
      <w:r w:rsidRPr="00A23FB4">
        <w:rPr>
          <w:rFonts w:ascii="Calibri" w:hAnsi="Calibri" w:cs="Calibri"/>
        </w:rPr>
        <w:t>przykrycie warstwą piasku lub grubej włókniny technicznej i utrzymywanie jej w stanie wilgotnym w czasie co najmniej 7 dni.</w:t>
      </w:r>
    </w:p>
    <w:p w14:paraId="5A7FD361" w14:textId="77777777" w:rsidR="0072177F" w:rsidRPr="00A23FB4" w:rsidRDefault="0072177F" w:rsidP="0072177F">
      <w:pPr>
        <w:tabs>
          <w:tab w:val="left" w:pos="9914"/>
        </w:tabs>
        <w:rPr>
          <w:rFonts w:ascii="Calibri" w:hAnsi="Calibri" w:cs="Calibri"/>
        </w:rPr>
      </w:pPr>
      <w:r w:rsidRPr="00A23FB4">
        <w:rPr>
          <w:rFonts w:ascii="Calibri" w:hAnsi="Calibri" w:cs="Calibri"/>
        </w:rPr>
        <w:t>Inne sposoby pielęgnacji, zaproponowane przez Wykonawcę i inne materiały przeznaczone do pielęgnacji mogą być zastosowane po uzyskaniu akceptacji Inżyniera/Kierownika projektu.</w:t>
      </w:r>
    </w:p>
    <w:p w14:paraId="74DD0B93" w14:textId="77777777" w:rsidR="00CF21DF" w:rsidRPr="00A23FB4" w:rsidRDefault="0072177F" w:rsidP="0072177F">
      <w:pPr>
        <w:tabs>
          <w:tab w:val="left" w:pos="9914"/>
        </w:tabs>
        <w:rPr>
          <w:rFonts w:ascii="Calibri" w:hAnsi="Calibri" w:cs="Calibri"/>
        </w:rPr>
      </w:pPr>
      <w:r w:rsidRPr="00A23FB4">
        <w:rPr>
          <w:rFonts w:ascii="Calibri" w:hAnsi="Calibri" w:cs="Calibri"/>
        </w:rPr>
        <w:t>Nie należy dopuszczać żadnego ruchu pojazdów i maszyn po podbudowie w okresie 7 dni po wykonaniu.  Po tym czasie ewentualny ruch technologiczny może odbywać się wyłącznie za zgodą Inżyniera/Kierownika projektu.</w:t>
      </w:r>
    </w:p>
    <w:p w14:paraId="5F11F059" w14:textId="77777777" w:rsidR="0072177F" w:rsidRPr="00A23FB4" w:rsidRDefault="0072177F" w:rsidP="0072177F">
      <w:pPr>
        <w:tabs>
          <w:tab w:val="left" w:pos="9914"/>
        </w:tabs>
        <w:rPr>
          <w:rFonts w:ascii="Calibri" w:hAnsi="Calibri" w:cs="Calibri"/>
        </w:rPr>
      </w:pPr>
      <w:r w:rsidRPr="00A23FB4">
        <w:rPr>
          <w:rFonts w:ascii="Calibri" w:hAnsi="Calibri" w:cs="Calibri"/>
        </w:rPr>
        <w:tab/>
      </w:r>
    </w:p>
    <w:p w14:paraId="4E3E808A" w14:textId="77777777" w:rsidR="0072177F" w:rsidRPr="00A23FB4" w:rsidRDefault="0072177F" w:rsidP="0072177F">
      <w:pPr>
        <w:rPr>
          <w:rFonts w:ascii="Calibri" w:hAnsi="Calibri" w:cs="Calibri"/>
          <w:b/>
        </w:rPr>
      </w:pPr>
      <w:bookmarkStart w:id="549" w:name="_Toc423398335"/>
      <w:bookmarkStart w:id="550" w:name="_Toc423845943"/>
      <w:r w:rsidRPr="00A23FB4">
        <w:rPr>
          <w:rFonts w:ascii="Calibri" w:hAnsi="Calibri" w:cs="Calibri"/>
          <w:b/>
        </w:rPr>
        <w:t>6. KONTROLA JAKOŚCI ROBÓT</w:t>
      </w:r>
      <w:bookmarkEnd w:id="549"/>
      <w:bookmarkEnd w:id="550"/>
    </w:p>
    <w:p w14:paraId="4ED611C9" w14:textId="77777777" w:rsidR="0072177F" w:rsidRPr="00A23FB4" w:rsidRDefault="0072177F" w:rsidP="0072177F">
      <w:pPr>
        <w:pStyle w:val="Nagwek4"/>
        <w:tabs>
          <w:tab w:val="left" w:pos="9914"/>
        </w:tabs>
        <w:rPr>
          <w:rFonts w:ascii="Calibri" w:hAnsi="Calibri" w:cs="Calibri"/>
        </w:rPr>
      </w:pPr>
      <w:r w:rsidRPr="00A23FB4">
        <w:rPr>
          <w:rFonts w:ascii="Calibri" w:hAnsi="Calibri" w:cs="Calibri"/>
        </w:rPr>
        <w:t>6.1. Ogólne zasady kontroli jakości robót</w:t>
      </w:r>
    </w:p>
    <w:p w14:paraId="05753C31" w14:textId="1B6A1B8F" w:rsidR="0072177F" w:rsidRPr="00A23FB4" w:rsidRDefault="0072177F" w:rsidP="0072177F">
      <w:pPr>
        <w:tabs>
          <w:tab w:val="left" w:pos="9914"/>
        </w:tabs>
        <w:rPr>
          <w:rFonts w:ascii="Calibri" w:hAnsi="Calibri" w:cs="Calibri"/>
        </w:rPr>
      </w:pPr>
      <w:r w:rsidRPr="00A23FB4">
        <w:rPr>
          <w:rFonts w:ascii="Calibri" w:hAnsi="Calibri" w:cs="Calibri"/>
        </w:rPr>
        <w:t xml:space="preserve">Ogólne zasady kontroli jakości robót podano w </w:t>
      </w:r>
      <w:r w:rsidR="00E3013A">
        <w:rPr>
          <w:rFonts w:ascii="Calibri" w:hAnsi="Calibri" w:cs="Calibri"/>
        </w:rPr>
        <w:t>ST</w:t>
      </w:r>
      <w:r w:rsidRPr="00A23FB4">
        <w:rPr>
          <w:rFonts w:ascii="Calibri" w:hAnsi="Calibri" w:cs="Calibri"/>
        </w:rPr>
        <w:t>WiORB D-M-00.00.00 „Wymagania ogólne” pkt 6.</w:t>
      </w:r>
    </w:p>
    <w:p w14:paraId="7D92D40D" w14:textId="77777777" w:rsidR="0072177F" w:rsidRPr="00A23FB4" w:rsidRDefault="0072177F" w:rsidP="0072177F">
      <w:pPr>
        <w:pStyle w:val="Nagwek4"/>
        <w:tabs>
          <w:tab w:val="left" w:pos="9914"/>
        </w:tabs>
        <w:rPr>
          <w:rFonts w:ascii="Calibri" w:hAnsi="Calibri" w:cs="Calibri"/>
        </w:rPr>
      </w:pPr>
      <w:r w:rsidRPr="00A23FB4">
        <w:rPr>
          <w:rFonts w:ascii="Calibri" w:hAnsi="Calibri" w:cs="Calibri"/>
        </w:rPr>
        <w:t>6.2. Badania przed przystąpieniem do robót</w:t>
      </w:r>
    </w:p>
    <w:p w14:paraId="04DDF608" w14:textId="77777777" w:rsidR="0072177F" w:rsidRPr="00A23FB4" w:rsidRDefault="0072177F" w:rsidP="0072177F">
      <w:pPr>
        <w:tabs>
          <w:tab w:val="left" w:pos="9914"/>
        </w:tabs>
        <w:rPr>
          <w:rFonts w:ascii="Calibri" w:hAnsi="Calibri" w:cs="Calibri"/>
        </w:rPr>
      </w:pPr>
      <w:r w:rsidRPr="00A23FB4">
        <w:rPr>
          <w:rFonts w:ascii="Calibri" w:hAnsi="Calibri" w:cs="Calibri"/>
        </w:rPr>
        <w:t>Przed przystąpieniem do robót Wykonawca powinien wykonać badania spoiw, kruszyw i gruntów  przeznaczonych do wykonania robót i przedstawić wyniki tych badań Inżynierowi w celu akceptacji.</w:t>
      </w:r>
    </w:p>
    <w:p w14:paraId="52343565" w14:textId="77777777" w:rsidR="0072177F" w:rsidRPr="00A23FB4" w:rsidRDefault="0072177F" w:rsidP="0072177F">
      <w:pPr>
        <w:pStyle w:val="Nagwek4"/>
        <w:tabs>
          <w:tab w:val="left" w:pos="9914"/>
        </w:tabs>
        <w:rPr>
          <w:rFonts w:ascii="Calibri" w:hAnsi="Calibri" w:cs="Calibri"/>
        </w:rPr>
      </w:pPr>
      <w:r w:rsidRPr="00A23FB4">
        <w:rPr>
          <w:rFonts w:ascii="Calibri" w:hAnsi="Calibri" w:cs="Calibri"/>
        </w:rPr>
        <w:t>6.3. Badania w czasie robót</w:t>
      </w:r>
    </w:p>
    <w:p w14:paraId="37F14F24" w14:textId="77777777" w:rsidR="0072177F" w:rsidRPr="00A23FB4" w:rsidRDefault="0072177F" w:rsidP="0072177F">
      <w:pPr>
        <w:tabs>
          <w:tab w:val="left" w:pos="9914"/>
        </w:tabs>
        <w:rPr>
          <w:rFonts w:ascii="Calibri" w:hAnsi="Calibri" w:cs="Calibri"/>
          <w:b/>
          <w:bCs/>
          <w:i/>
          <w:iCs/>
        </w:rPr>
      </w:pPr>
      <w:r w:rsidRPr="00A23FB4">
        <w:rPr>
          <w:rFonts w:ascii="Calibri" w:hAnsi="Calibri" w:cs="Calibri"/>
          <w:b/>
          <w:bCs/>
          <w:i/>
          <w:iCs/>
        </w:rPr>
        <w:t>6.3.1. Częstotliwość oraz zakres badań i pomiarów</w:t>
      </w:r>
    </w:p>
    <w:p w14:paraId="3F75DDB0" w14:textId="77777777" w:rsidR="0072177F" w:rsidRPr="00A23FB4" w:rsidRDefault="0072177F" w:rsidP="0072177F">
      <w:pPr>
        <w:tabs>
          <w:tab w:val="left" w:pos="9914"/>
        </w:tabs>
        <w:rPr>
          <w:rFonts w:ascii="Calibri" w:hAnsi="Calibri" w:cs="Calibri"/>
        </w:rPr>
      </w:pPr>
      <w:r w:rsidRPr="00A23FB4">
        <w:rPr>
          <w:rFonts w:ascii="Calibri" w:hAnsi="Calibri" w:cs="Calibri"/>
        </w:rPr>
        <w:t>Częstotliwość oraz zakres badań  i pomiarów w czasie wykonywania podbudowy lub ulepszonego podłoża stabilizowanych spoiwami  podano w tablicy 5.</w:t>
      </w:r>
    </w:p>
    <w:p w14:paraId="27C678F6" w14:textId="77777777" w:rsidR="0072177F" w:rsidRPr="00A23FB4" w:rsidRDefault="0072177F" w:rsidP="0072177F">
      <w:pPr>
        <w:pStyle w:val="tekstost"/>
        <w:tabs>
          <w:tab w:val="left" w:pos="9914"/>
        </w:tabs>
        <w:rPr>
          <w:rFonts w:ascii="Calibri" w:hAnsi="Calibri" w:cs="Calibri"/>
        </w:rPr>
      </w:pPr>
      <w:r w:rsidRPr="00A23FB4">
        <w:rPr>
          <w:rFonts w:ascii="Calibri" w:hAnsi="Calibri" w:cs="Calibri"/>
        </w:rPr>
        <w:t>Tablica 5. Częstotliwość badań i pomiarów</w:t>
      </w:r>
    </w:p>
    <w:tbl>
      <w:tblPr>
        <w:tblW w:w="0" w:type="auto"/>
        <w:tblInd w:w="2" w:type="dxa"/>
        <w:tblLayout w:type="fixed"/>
        <w:tblCellMar>
          <w:left w:w="70" w:type="dxa"/>
          <w:right w:w="70" w:type="dxa"/>
        </w:tblCellMar>
        <w:tblLook w:val="0000" w:firstRow="0" w:lastRow="0" w:firstColumn="0" w:lastColumn="0" w:noHBand="0" w:noVBand="0"/>
      </w:tblPr>
      <w:tblGrid>
        <w:gridCol w:w="496"/>
        <w:gridCol w:w="5514"/>
        <w:gridCol w:w="1620"/>
        <w:gridCol w:w="1931"/>
      </w:tblGrid>
      <w:tr w:rsidR="0072177F" w:rsidRPr="00A23FB4" w14:paraId="7814EED2" w14:textId="77777777" w:rsidTr="0072177F">
        <w:tc>
          <w:tcPr>
            <w:tcW w:w="496" w:type="dxa"/>
            <w:tcBorders>
              <w:top w:val="single" w:sz="6" w:space="0" w:color="auto"/>
              <w:left w:val="single" w:sz="6" w:space="0" w:color="auto"/>
            </w:tcBorders>
          </w:tcPr>
          <w:p w14:paraId="041B4EE9" w14:textId="77777777" w:rsidR="0072177F" w:rsidRPr="00A23FB4" w:rsidRDefault="0072177F" w:rsidP="0072177F">
            <w:pPr>
              <w:pStyle w:val="tekstost"/>
              <w:tabs>
                <w:tab w:val="left" w:pos="9914"/>
              </w:tabs>
              <w:rPr>
                <w:rFonts w:ascii="Calibri" w:hAnsi="Calibri" w:cs="Calibri"/>
              </w:rPr>
            </w:pPr>
          </w:p>
        </w:tc>
        <w:tc>
          <w:tcPr>
            <w:tcW w:w="5514" w:type="dxa"/>
            <w:tcBorders>
              <w:top w:val="single" w:sz="6" w:space="0" w:color="auto"/>
              <w:left w:val="single" w:sz="6" w:space="0" w:color="auto"/>
            </w:tcBorders>
          </w:tcPr>
          <w:p w14:paraId="26AEF672" w14:textId="77777777" w:rsidR="0072177F" w:rsidRPr="00A23FB4" w:rsidRDefault="0072177F" w:rsidP="0072177F">
            <w:pPr>
              <w:pStyle w:val="tekstost"/>
              <w:tabs>
                <w:tab w:val="left" w:pos="9914"/>
              </w:tabs>
              <w:rPr>
                <w:rFonts w:ascii="Calibri" w:hAnsi="Calibri" w:cs="Calibri"/>
              </w:rPr>
            </w:pPr>
          </w:p>
        </w:tc>
        <w:tc>
          <w:tcPr>
            <w:tcW w:w="3551" w:type="dxa"/>
            <w:gridSpan w:val="2"/>
            <w:tcBorders>
              <w:top w:val="single" w:sz="6" w:space="0" w:color="auto"/>
              <w:left w:val="single" w:sz="6" w:space="0" w:color="auto"/>
              <w:bottom w:val="single" w:sz="6" w:space="0" w:color="auto"/>
              <w:right w:val="single" w:sz="6" w:space="0" w:color="auto"/>
            </w:tcBorders>
          </w:tcPr>
          <w:p w14:paraId="213136ED" w14:textId="77777777" w:rsidR="0072177F" w:rsidRPr="00A23FB4" w:rsidRDefault="0072177F" w:rsidP="0072177F">
            <w:pPr>
              <w:pStyle w:val="tekstost"/>
              <w:tabs>
                <w:tab w:val="left" w:pos="9914"/>
              </w:tabs>
              <w:rPr>
                <w:rFonts w:ascii="Calibri" w:hAnsi="Calibri" w:cs="Calibri"/>
              </w:rPr>
            </w:pPr>
            <w:r w:rsidRPr="00A23FB4">
              <w:rPr>
                <w:rFonts w:ascii="Calibri" w:hAnsi="Calibri" w:cs="Calibri"/>
              </w:rPr>
              <w:t>Częstotliwość badań</w:t>
            </w:r>
          </w:p>
        </w:tc>
      </w:tr>
      <w:tr w:rsidR="0072177F" w:rsidRPr="00A23FB4" w14:paraId="57B351C7" w14:textId="77777777" w:rsidTr="0072177F">
        <w:tc>
          <w:tcPr>
            <w:tcW w:w="496" w:type="dxa"/>
            <w:tcBorders>
              <w:left w:val="single" w:sz="6" w:space="0" w:color="auto"/>
              <w:bottom w:val="double" w:sz="6" w:space="0" w:color="auto"/>
              <w:right w:val="single" w:sz="6" w:space="0" w:color="auto"/>
            </w:tcBorders>
          </w:tcPr>
          <w:p w14:paraId="561AEE7E" w14:textId="77777777" w:rsidR="0072177F" w:rsidRPr="00A23FB4" w:rsidRDefault="0072177F" w:rsidP="0072177F">
            <w:pPr>
              <w:pStyle w:val="tekstost"/>
              <w:tabs>
                <w:tab w:val="left" w:pos="9914"/>
              </w:tabs>
              <w:rPr>
                <w:rFonts w:ascii="Calibri" w:hAnsi="Calibri" w:cs="Calibri"/>
              </w:rPr>
            </w:pPr>
          </w:p>
          <w:p w14:paraId="623C2985" w14:textId="77777777" w:rsidR="0072177F" w:rsidRPr="00A23FB4" w:rsidRDefault="0072177F" w:rsidP="0072177F">
            <w:pPr>
              <w:pStyle w:val="tekstost"/>
              <w:tabs>
                <w:tab w:val="left" w:pos="9914"/>
              </w:tabs>
              <w:rPr>
                <w:rFonts w:ascii="Calibri" w:hAnsi="Calibri" w:cs="Calibri"/>
              </w:rPr>
            </w:pPr>
            <w:r w:rsidRPr="00A23FB4">
              <w:rPr>
                <w:rFonts w:ascii="Calibri" w:hAnsi="Calibri" w:cs="Calibri"/>
              </w:rPr>
              <w:t>Lp.</w:t>
            </w:r>
          </w:p>
        </w:tc>
        <w:tc>
          <w:tcPr>
            <w:tcW w:w="5514" w:type="dxa"/>
            <w:tcBorders>
              <w:bottom w:val="double" w:sz="6" w:space="0" w:color="auto"/>
            </w:tcBorders>
          </w:tcPr>
          <w:p w14:paraId="3911B3AD" w14:textId="77777777" w:rsidR="0072177F" w:rsidRPr="00A23FB4" w:rsidRDefault="0072177F" w:rsidP="0072177F">
            <w:pPr>
              <w:pStyle w:val="tekstost"/>
              <w:tabs>
                <w:tab w:val="left" w:pos="9914"/>
              </w:tabs>
              <w:rPr>
                <w:rFonts w:ascii="Calibri" w:hAnsi="Calibri" w:cs="Calibri"/>
              </w:rPr>
            </w:pPr>
          </w:p>
          <w:p w14:paraId="7726BDF3" w14:textId="77777777" w:rsidR="0072177F" w:rsidRPr="00A23FB4" w:rsidRDefault="0072177F" w:rsidP="0072177F">
            <w:pPr>
              <w:pStyle w:val="tekstost"/>
              <w:tabs>
                <w:tab w:val="left" w:pos="9914"/>
              </w:tabs>
              <w:rPr>
                <w:rFonts w:ascii="Calibri" w:hAnsi="Calibri" w:cs="Calibri"/>
              </w:rPr>
            </w:pPr>
            <w:r w:rsidRPr="00A23FB4">
              <w:rPr>
                <w:rFonts w:ascii="Calibri" w:hAnsi="Calibri" w:cs="Calibri"/>
              </w:rPr>
              <w:t>Wyszczególnienie badań</w:t>
            </w:r>
          </w:p>
        </w:tc>
        <w:tc>
          <w:tcPr>
            <w:tcW w:w="1620" w:type="dxa"/>
            <w:tcBorders>
              <w:top w:val="single" w:sz="6" w:space="0" w:color="auto"/>
              <w:left w:val="single" w:sz="6" w:space="0" w:color="auto"/>
              <w:bottom w:val="double" w:sz="6" w:space="0" w:color="auto"/>
              <w:right w:val="single" w:sz="6" w:space="0" w:color="auto"/>
            </w:tcBorders>
          </w:tcPr>
          <w:p w14:paraId="245205C5" w14:textId="77777777" w:rsidR="0072177F" w:rsidRPr="00A23FB4" w:rsidRDefault="0072177F" w:rsidP="0072177F">
            <w:pPr>
              <w:pStyle w:val="tekstost"/>
              <w:tabs>
                <w:tab w:val="left" w:pos="9914"/>
              </w:tabs>
              <w:rPr>
                <w:rFonts w:ascii="Calibri" w:hAnsi="Calibri" w:cs="Calibri"/>
                <w:sz w:val="16"/>
                <w:szCs w:val="16"/>
              </w:rPr>
            </w:pPr>
          </w:p>
          <w:p w14:paraId="79B41F05" w14:textId="77777777" w:rsidR="0072177F" w:rsidRPr="00A23FB4" w:rsidRDefault="0072177F" w:rsidP="0072177F">
            <w:pPr>
              <w:pStyle w:val="tekstost"/>
              <w:tabs>
                <w:tab w:val="left" w:pos="9914"/>
              </w:tabs>
              <w:rPr>
                <w:rFonts w:ascii="Calibri" w:hAnsi="Calibri" w:cs="Calibri"/>
                <w:sz w:val="16"/>
                <w:szCs w:val="16"/>
              </w:rPr>
            </w:pPr>
            <w:r w:rsidRPr="00A23FB4">
              <w:rPr>
                <w:rFonts w:ascii="Calibri" w:hAnsi="Calibri" w:cs="Calibri"/>
                <w:sz w:val="16"/>
                <w:szCs w:val="16"/>
              </w:rPr>
              <w:t>Minimalna liczba badań na dziennej działce roboczej</w:t>
            </w:r>
          </w:p>
        </w:tc>
        <w:tc>
          <w:tcPr>
            <w:tcW w:w="1931" w:type="dxa"/>
            <w:tcBorders>
              <w:top w:val="single" w:sz="6" w:space="0" w:color="auto"/>
              <w:left w:val="single" w:sz="6" w:space="0" w:color="auto"/>
              <w:bottom w:val="double" w:sz="6" w:space="0" w:color="auto"/>
              <w:right w:val="single" w:sz="6" w:space="0" w:color="auto"/>
            </w:tcBorders>
          </w:tcPr>
          <w:p w14:paraId="0E16F576" w14:textId="77777777" w:rsidR="0072177F" w:rsidRPr="00A23FB4" w:rsidRDefault="0072177F" w:rsidP="0072177F">
            <w:pPr>
              <w:pStyle w:val="tekstost"/>
              <w:tabs>
                <w:tab w:val="left" w:pos="9914"/>
              </w:tabs>
              <w:rPr>
                <w:rFonts w:ascii="Calibri" w:hAnsi="Calibri" w:cs="Calibri"/>
                <w:sz w:val="16"/>
                <w:szCs w:val="16"/>
              </w:rPr>
            </w:pPr>
            <w:r w:rsidRPr="00A23FB4">
              <w:rPr>
                <w:rFonts w:ascii="Calibri" w:hAnsi="Calibri" w:cs="Calibri"/>
                <w:sz w:val="16"/>
                <w:szCs w:val="16"/>
              </w:rPr>
              <w:t>Maksymalna powierzchnia podbudowy lub ulepszonego pod-</w:t>
            </w:r>
          </w:p>
          <w:p w14:paraId="21D3600C" w14:textId="77777777" w:rsidR="0072177F" w:rsidRPr="00A23FB4" w:rsidRDefault="0072177F" w:rsidP="0072177F">
            <w:pPr>
              <w:pStyle w:val="tekstost"/>
              <w:tabs>
                <w:tab w:val="left" w:pos="9914"/>
              </w:tabs>
              <w:rPr>
                <w:rFonts w:ascii="Calibri" w:hAnsi="Calibri" w:cs="Calibri"/>
                <w:sz w:val="16"/>
                <w:szCs w:val="16"/>
              </w:rPr>
            </w:pPr>
            <w:r w:rsidRPr="00A23FB4">
              <w:rPr>
                <w:rFonts w:ascii="Calibri" w:hAnsi="Calibri" w:cs="Calibri"/>
                <w:sz w:val="16"/>
                <w:szCs w:val="16"/>
              </w:rPr>
              <w:t>łoża przypadająca</w:t>
            </w:r>
          </w:p>
          <w:p w14:paraId="45187E55" w14:textId="77777777" w:rsidR="0072177F" w:rsidRPr="00A23FB4" w:rsidRDefault="0072177F" w:rsidP="0072177F">
            <w:pPr>
              <w:pStyle w:val="tekstost"/>
              <w:tabs>
                <w:tab w:val="left" w:pos="9914"/>
              </w:tabs>
              <w:rPr>
                <w:rFonts w:ascii="Calibri" w:hAnsi="Calibri" w:cs="Calibri"/>
                <w:sz w:val="16"/>
                <w:szCs w:val="16"/>
              </w:rPr>
            </w:pPr>
            <w:r w:rsidRPr="00A23FB4">
              <w:rPr>
                <w:rFonts w:ascii="Calibri" w:hAnsi="Calibri" w:cs="Calibri"/>
                <w:sz w:val="16"/>
                <w:szCs w:val="16"/>
              </w:rPr>
              <w:t>na jedno badanie</w:t>
            </w:r>
          </w:p>
        </w:tc>
      </w:tr>
      <w:tr w:rsidR="0072177F" w:rsidRPr="00A23FB4" w14:paraId="394382C0" w14:textId="77777777" w:rsidTr="0072177F">
        <w:tc>
          <w:tcPr>
            <w:tcW w:w="496" w:type="dxa"/>
            <w:tcBorders>
              <w:left w:val="single" w:sz="6" w:space="0" w:color="auto"/>
              <w:bottom w:val="single" w:sz="6" w:space="0" w:color="auto"/>
              <w:right w:val="single" w:sz="6" w:space="0" w:color="auto"/>
            </w:tcBorders>
          </w:tcPr>
          <w:p w14:paraId="15552366" w14:textId="77777777" w:rsidR="0072177F" w:rsidRPr="00A23FB4" w:rsidRDefault="0072177F" w:rsidP="0072177F">
            <w:pPr>
              <w:pStyle w:val="tekstost"/>
              <w:tabs>
                <w:tab w:val="left" w:pos="9914"/>
              </w:tabs>
              <w:rPr>
                <w:rFonts w:ascii="Calibri" w:hAnsi="Calibri" w:cs="Calibri"/>
              </w:rPr>
            </w:pPr>
            <w:r w:rsidRPr="00A23FB4">
              <w:rPr>
                <w:rFonts w:ascii="Calibri" w:hAnsi="Calibri" w:cs="Calibri"/>
              </w:rPr>
              <w:t>1</w:t>
            </w:r>
          </w:p>
        </w:tc>
        <w:tc>
          <w:tcPr>
            <w:tcW w:w="5514" w:type="dxa"/>
            <w:tcBorders>
              <w:left w:val="single" w:sz="6" w:space="0" w:color="auto"/>
              <w:bottom w:val="single" w:sz="6" w:space="0" w:color="auto"/>
            </w:tcBorders>
          </w:tcPr>
          <w:p w14:paraId="7E3BCD4D" w14:textId="77777777" w:rsidR="0072177F" w:rsidRPr="00A23FB4" w:rsidRDefault="0072177F" w:rsidP="0072177F">
            <w:pPr>
              <w:pStyle w:val="tekstost"/>
              <w:tabs>
                <w:tab w:val="left" w:pos="9914"/>
              </w:tabs>
              <w:rPr>
                <w:rFonts w:ascii="Calibri" w:hAnsi="Calibri" w:cs="Calibri"/>
              </w:rPr>
            </w:pPr>
            <w:r w:rsidRPr="00A23FB4">
              <w:rPr>
                <w:rFonts w:ascii="Calibri" w:hAnsi="Calibri" w:cs="Calibri"/>
              </w:rPr>
              <w:t>Uziarnienie mieszanki gruntu lub kruszywa</w:t>
            </w:r>
          </w:p>
        </w:tc>
        <w:tc>
          <w:tcPr>
            <w:tcW w:w="1620" w:type="dxa"/>
            <w:vMerge w:val="restart"/>
            <w:tcBorders>
              <w:left w:val="single" w:sz="6" w:space="0" w:color="auto"/>
            </w:tcBorders>
          </w:tcPr>
          <w:p w14:paraId="57400D97" w14:textId="77777777" w:rsidR="0072177F" w:rsidRPr="00A23FB4" w:rsidRDefault="0072177F" w:rsidP="0072177F">
            <w:pPr>
              <w:pStyle w:val="tekstost"/>
              <w:tabs>
                <w:tab w:val="left" w:pos="9914"/>
              </w:tabs>
              <w:rPr>
                <w:rFonts w:ascii="Calibri" w:hAnsi="Calibri" w:cs="Calibri"/>
              </w:rPr>
            </w:pPr>
            <w:r w:rsidRPr="00A23FB4">
              <w:rPr>
                <w:rFonts w:ascii="Calibri" w:hAnsi="Calibri" w:cs="Calibri"/>
              </w:rPr>
              <w:t>2</w:t>
            </w:r>
          </w:p>
        </w:tc>
        <w:tc>
          <w:tcPr>
            <w:tcW w:w="1931" w:type="dxa"/>
            <w:vMerge w:val="restart"/>
            <w:tcBorders>
              <w:left w:val="single" w:sz="6" w:space="0" w:color="auto"/>
              <w:right w:val="single" w:sz="6" w:space="0" w:color="auto"/>
            </w:tcBorders>
          </w:tcPr>
          <w:p w14:paraId="4F563531" w14:textId="77777777" w:rsidR="0072177F" w:rsidRPr="00A23FB4" w:rsidRDefault="0072177F" w:rsidP="0072177F">
            <w:pPr>
              <w:pStyle w:val="tekstost"/>
              <w:tabs>
                <w:tab w:val="left" w:pos="9914"/>
              </w:tabs>
              <w:rPr>
                <w:rFonts w:ascii="Calibri" w:hAnsi="Calibri" w:cs="Calibri"/>
              </w:rPr>
            </w:pPr>
            <w:r w:rsidRPr="00A23FB4">
              <w:rPr>
                <w:rFonts w:ascii="Calibri" w:hAnsi="Calibri" w:cs="Calibri"/>
              </w:rPr>
              <w:t>600 m</w:t>
            </w:r>
            <w:r w:rsidRPr="00A23FB4">
              <w:rPr>
                <w:rFonts w:ascii="Calibri" w:hAnsi="Calibri" w:cs="Calibri"/>
                <w:vertAlign w:val="superscript"/>
              </w:rPr>
              <w:t>2</w:t>
            </w:r>
          </w:p>
        </w:tc>
      </w:tr>
      <w:tr w:rsidR="0072177F" w:rsidRPr="00A23FB4" w14:paraId="465A9797" w14:textId="77777777" w:rsidTr="0072177F">
        <w:tc>
          <w:tcPr>
            <w:tcW w:w="496" w:type="dxa"/>
            <w:tcBorders>
              <w:top w:val="single" w:sz="6" w:space="0" w:color="auto"/>
              <w:left w:val="single" w:sz="6" w:space="0" w:color="auto"/>
              <w:bottom w:val="single" w:sz="6" w:space="0" w:color="auto"/>
              <w:right w:val="single" w:sz="6" w:space="0" w:color="auto"/>
            </w:tcBorders>
          </w:tcPr>
          <w:p w14:paraId="6DFBD371" w14:textId="77777777" w:rsidR="0072177F" w:rsidRPr="00A23FB4" w:rsidRDefault="0072177F" w:rsidP="0072177F">
            <w:pPr>
              <w:pStyle w:val="tekstost"/>
              <w:tabs>
                <w:tab w:val="left" w:pos="9914"/>
              </w:tabs>
              <w:rPr>
                <w:rFonts w:ascii="Calibri" w:hAnsi="Calibri" w:cs="Calibri"/>
              </w:rPr>
            </w:pPr>
            <w:r w:rsidRPr="00A23FB4">
              <w:rPr>
                <w:rFonts w:ascii="Calibri" w:hAnsi="Calibri" w:cs="Calibri"/>
              </w:rPr>
              <w:t>2</w:t>
            </w:r>
          </w:p>
        </w:tc>
        <w:tc>
          <w:tcPr>
            <w:tcW w:w="5514" w:type="dxa"/>
            <w:tcBorders>
              <w:top w:val="single" w:sz="6" w:space="0" w:color="auto"/>
              <w:left w:val="single" w:sz="6" w:space="0" w:color="auto"/>
              <w:bottom w:val="single" w:sz="6" w:space="0" w:color="auto"/>
            </w:tcBorders>
          </w:tcPr>
          <w:p w14:paraId="70EB9221" w14:textId="77777777" w:rsidR="0072177F" w:rsidRPr="00A23FB4" w:rsidRDefault="0072177F" w:rsidP="0072177F">
            <w:pPr>
              <w:pStyle w:val="tekstost"/>
              <w:tabs>
                <w:tab w:val="left" w:pos="9914"/>
              </w:tabs>
              <w:rPr>
                <w:rFonts w:ascii="Calibri" w:hAnsi="Calibri" w:cs="Calibri"/>
              </w:rPr>
            </w:pPr>
            <w:r w:rsidRPr="00A23FB4">
              <w:rPr>
                <w:rFonts w:ascii="Calibri" w:hAnsi="Calibri" w:cs="Calibri"/>
              </w:rPr>
              <w:t>Wilgotność mieszanki gruntu lub kruszywa ze spoiwem</w:t>
            </w:r>
          </w:p>
        </w:tc>
        <w:tc>
          <w:tcPr>
            <w:tcW w:w="1620" w:type="dxa"/>
            <w:vMerge/>
            <w:tcBorders>
              <w:left w:val="single" w:sz="6" w:space="0" w:color="auto"/>
            </w:tcBorders>
          </w:tcPr>
          <w:p w14:paraId="1851F467" w14:textId="77777777" w:rsidR="0072177F" w:rsidRPr="00A23FB4" w:rsidRDefault="0072177F" w:rsidP="0072177F">
            <w:pPr>
              <w:pStyle w:val="tekstost"/>
              <w:tabs>
                <w:tab w:val="left" w:pos="9914"/>
              </w:tabs>
              <w:rPr>
                <w:rFonts w:ascii="Calibri" w:hAnsi="Calibri" w:cs="Calibri"/>
              </w:rPr>
            </w:pPr>
          </w:p>
        </w:tc>
        <w:tc>
          <w:tcPr>
            <w:tcW w:w="1931" w:type="dxa"/>
            <w:vMerge/>
            <w:tcBorders>
              <w:left w:val="single" w:sz="6" w:space="0" w:color="auto"/>
              <w:right w:val="single" w:sz="6" w:space="0" w:color="auto"/>
            </w:tcBorders>
          </w:tcPr>
          <w:p w14:paraId="1B19C300" w14:textId="77777777" w:rsidR="0072177F" w:rsidRPr="00A23FB4" w:rsidRDefault="0072177F" w:rsidP="0072177F">
            <w:pPr>
              <w:pStyle w:val="tekstost"/>
              <w:tabs>
                <w:tab w:val="left" w:pos="9914"/>
              </w:tabs>
              <w:rPr>
                <w:rFonts w:ascii="Calibri" w:hAnsi="Calibri" w:cs="Calibri"/>
              </w:rPr>
            </w:pPr>
          </w:p>
        </w:tc>
      </w:tr>
      <w:tr w:rsidR="0072177F" w:rsidRPr="00A23FB4" w14:paraId="13B38AF3" w14:textId="77777777" w:rsidTr="0072177F">
        <w:tc>
          <w:tcPr>
            <w:tcW w:w="496" w:type="dxa"/>
            <w:tcBorders>
              <w:top w:val="single" w:sz="6" w:space="0" w:color="auto"/>
              <w:left w:val="single" w:sz="6" w:space="0" w:color="auto"/>
              <w:bottom w:val="single" w:sz="6" w:space="0" w:color="auto"/>
              <w:right w:val="single" w:sz="6" w:space="0" w:color="auto"/>
            </w:tcBorders>
          </w:tcPr>
          <w:p w14:paraId="1C76455D" w14:textId="77777777" w:rsidR="0072177F" w:rsidRPr="00A23FB4" w:rsidRDefault="0072177F" w:rsidP="0072177F">
            <w:pPr>
              <w:pStyle w:val="tekstost"/>
              <w:tabs>
                <w:tab w:val="left" w:pos="9914"/>
              </w:tabs>
              <w:rPr>
                <w:rFonts w:ascii="Calibri" w:hAnsi="Calibri" w:cs="Calibri"/>
              </w:rPr>
            </w:pPr>
            <w:r w:rsidRPr="00A23FB4">
              <w:rPr>
                <w:rFonts w:ascii="Calibri" w:hAnsi="Calibri" w:cs="Calibri"/>
              </w:rPr>
              <w:t>3</w:t>
            </w:r>
          </w:p>
        </w:tc>
        <w:tc>
          <w:tcPr>
            <w:tcW w:w="5514" w:type="dxa"/>
            <w:tcBorders>
              <w:top w:val="single" w:sz="6" w:space="0" w:color="auto"/>
              <w:left w:val="single" w:sz="6" w:space="0" w:color="auto"/>
              <w:bottom w:val="single" w:sz="6" w:space="0" w:color="auto"/>
            </w:tcBorders>
          </w:tcPr>
          <w:p w14:paraId="004FBB88" w14:textId="77777777" w:rsidR="0072177F" w:rsidRPr="00A23FB4" w:rsidRDefault="0072177F" w:rsidP="0072177F">
            <w:pPr>
              <w:pStyle w:val="tekstost"/>
              <w:tabs>
                <w:tab w:val="left" w:pos="9914"/>
              </w:tabs>
              <w:rPr>
                <w:rFonts w:ascii="Calibri" w:hAnsi="Calibri" w:cs="Calibri"/>
              </w:rPr>
            </w:pPr>
            <w:r w:rsidRPr="00A23FB4">
              <w:rPr>
                <w:rFonts w:ascii="Calibri" w:hAnsi="Calibri" w:cs="Calibri"/>
              </w:rPr>
              <w:t>Zagęszczenie warstwy</w:t>
            </w:r>
          </w:p>
        </w:tc>
        <w:tc>
          <w:tcPr>
            <w:tcW w:w="1620" w:type="dxa"/>
            <w:vMerge/>
            <w:tcBorders>
              <w:left w:val="single" w:sz="6" w:space="0" w:color="auto"/>
              <w:bottom w:val="single" w:sz="6" w:space="0" w:color="auto"/>
            </w:tcBorders>
          </w:tcPr>
          <w:p w14:paraId="0DDA1378" w14:textId="77777777" w:rsidR="0072177F" w:rsidRPr="00A23FB4" w:rsidRDefault="0072177F" w:rsidP="0072177F">
            <w:pPr>
              <w:pStyle w:val="tekstost"/>
              <w:tabs>
                <w:tab w:val="left" w:pos="9914"/>
              </w:tabs>
              <w:rPr>
                <w:rFonts w:ascii="Calibri" w:hAnsi="Calibri" w:cs="Calibri"/>
              </w:rPr>
            </w:pPr>
          </w:p>
        </w:tc>
        <w:tc>
          <w:tcPr>
            <w:tcW w:w="1931" w:type="dxa"/>
            <w:vMerge/>
            <w:tcBorders>
              <w:left w:val="single" w:sz="6" w:space="0" w:color="auto"/>
              <w:bottom w:val="single" w:sz="6" w:space="0" w:color="auto"/>
              <w:right w:val="single" w:sz="6" w:space="0" w:color="auto"/>
            </w:tcBorders>
          </w:tcPr>
          <w:p w14:paraId="0229ABE1" w14:textId="77777777" w:rsidR="0072177F" w:rsidRPr="00A23FB4" w:rsidRDefault="0072177F" w:rsidP="0072177F">
            <w:pPr>
              <w:pStyle w:val="tekstost"/>
              <w:tabs>
                <w:tab w:val="left" w:pos="9914"/>
              </w:tabs>
              <w:rPr>
                <w:rFonts w:ascii="Calibri" w:hAnsi="Calibri" w:cs="Calibri"/>
              </w:rPr>
            </w:pPr>
          </w:p>
        </w:tc>
      </w:tr>
      <w:tr w:rsidR="0072177F" w:rsidRPr="00A23FB4" w14:paraId="6E70230E" w14:textId="77777777" w:rsidTr="0072177F">
        <w:tc>
          <w:tcPr>
            <w:tcW w:w="496" w:type="dxa"/>
            <w:tcBorders>
              <w:left w:val="single" w:sz="6" w:space="0" w:color="auto"/>
              <w:bottom w:val="single" w:sz="6" w:space="0" w:color="auto"/>
              <w:right w:val="single" w:sz="6" w:space="0" w:color="auto"/>
            </w:tcBorders>
          </w:tcPr>
          <w:p w14:paraId="69E63864" w14:textId="77777777" w:rsidR="0072177F" w:rsidRPr="00A23FB4" w:rsidRDefault="0072177F" w:rsidP="0072177F">
            <w:pPr>
              <w:pStyle w:val="tekstost"/>
              <w:tabs>
                <w:tab w:val="left" w:pos="9914"/>
              </w:tabs>
              <w:rPr>
                <w:rFonts w:ascii="Calibri" w:hAnsi="Calibri" w:cs="Calibri"/>
              </w:rPr>
            </w:pPr>
            <w:r w:rsidRPr="00A23FB4">
              <w:rPr>
                <w:rFonts w:ascii="Calibri" w:hAnsi="Calibri" w:cs="Calibri"/>
              </w:rPr>
              <w:t>4</w:t>
            </w:r>
          </w:p>
        </w:tc>
        <w:tc>
          <w:tcPr>
            <w:tcW w:w="5514" w:type="dxa"/>
            <w:tcBorders>
              <w:left w:val="single" w:sz="6" w:space="0" w:color="auto"/>
              <w:bottom w:val="single" w:sz="6" w:space="0" w:color="auto"/>
              <w:right w:val="single" w:sz="6" w:space="0" w:color="auto"/>
            </w:tcBorders>
          </w:tcPr>
          <w:p w14:paraId="400E4C7F" w14:textId="77777777" w:rsidR="0072177F" w:rsidRPr="00A23FB4" w:rsidRDefault="0072177F" w:rsidP="0072177F">
            <w:pPr>
              <w:pStyle w:val="tekstost"/>
              <w:tabs>
                <w:tab w:val="left" w:pos="9914"/>
              </w:tabs>
              <w:rPr>
                <w:rFonts w:ascii="Calibri" w:hAnsi="Calibri" w:cs="Calibri"/>
              </w:rPr>
            </w:pPr>
            <w:r w:rsidRPr="00A23FB4">
              <w:rPr>
                <w:rFonts w:ascii="Calibri" w:hAnsi="Calibri" w:cs="Calibri"/>
              </w:rPr>
              <w:t>Grubość warstwy podbudowy lub ulepszonego podłoża</w:t>
            </w:r>
          </w:p>
        </w:tc>
        <w:tc>
          <w:tcPr>
            <w:tcW w:w="1620" w:type="dxa"/>
            <w:tcBorders>
              <w:left w:val="single" w:sz="6" w:space="0" w:color="auto"/>
              <w:bottom w:val="single" w:sz="6" w:space="0" w:color="auto"/>
              <w:right w:val="single" w:sz="6" w:space="0" w:color="auto"/>
            </w:tcBorders>
          </w:tcPr>
          <w:p w14:paraId="7F996CF7" w14:textId="77777777" w:rsidR="0072177F" w:rsidRPr="00A23FB4" w:rsidRDefault="0072177F" w:rsidP="0072177F">
            <w:pPr>
              <w:pStyle w:val="tekstost"/>
              <w:tabs>
                <w:tab w:val="left" w:pos="9914"/>
              </w:tabs>
              <w:rPr>
                <w:rFonts w:ascii="Calibri" w:hAnsi="Calibri" w:cs="Calibri"/>
              </w:rPr>
            </w:pPr>
            <w:r w:rsidRPr="00A23FB4">
              <w:rPr>
                <w:rFonts w:ascii="Calibri" w:hAnsi="Calibri" w:cs="Calibri"/>
              </w:rPr>
              <w:t>3</w:t>
            </w:r>
          </w:p>
        </w:tc>
        <w:tc>
          <w:tcPr>
            <w:tcW w:w="1931" w:type="dxa"/>
            <w:tcBorders>
              <w:bottom w:val="single" w:sz="6" w:space="0" w:color="auto"/>
              <w:right w:val="single" w:sz="6" w:space="0" w:color="auto"/>
            </w:tcBorders>
          </w:tcPr>
          <w:p w14:paraId="3BF62EDA" w14:textId="77777777" w:rsidR="0072177F" w:rsidRPr="00A23FB4" w:rsidRDefault="0072177F" w:rsidP="0072177F">
            <w:pPr>
              <w:pStyle w:val="tekstost"/>
              <w:tabs>
                <w:tab w:val="left" w:pos="9914"/>
              </w:tabs>
              <w:rPr>
                <w:rFonts w:ascii="Calibri" w:hAnsi="Calibri" w:cs="Calibri"/>
              </w:rPr>
            </w:pPr>
            <w:r w:rsidRPr="00A23FB4">
              <w:rPr>
                <w:rFonts w:ascii="Calibri" w:hAnsi="Calibri" w:cs="Calibri"/>
              </w:rPr>
              <w:t>400 m</w:t>
            </w:r>
            <w:r w:rsidRPr="00A23FB4">
              <w:rPr>
                <w:rFonts w:ascii="Calibri" w:hAnsi="Calibri" w:cs="Calibri"/>
                <w:vertAlign w:val="superscript"/>
              </w:rPr>
              <w:t>2</w:t>
            </w:r>
          </w:p>
        </w:tc>
      </w:tr>
      <w:tr w:rsidR="0072177F" w:rsidRPr="00A23FB4" w14:paraId="3E112AA4" w14:textId="77777777" w:rsidTr="0072177F">
        <w:tc>
          <w:tcPr>
            <w:tcW w:w="496" w:type="dxa"/>
            <w:tcBorders>
              <w:top w:val="single" w:sz="6" w:space="0" w:color="auto"/>
              <w:left w:val="single" w:sz="6" w:space="0" w:color="auto"/>
              <w:bottom w:val="single" w:sz="6" w:space="0" w:color="auto"/>
              <w:right w:val="single" w:sz="6" w:space="0" w:color="auto"/>
            </w:tcBorders>
          </w:tcPr>
          <w:p w14:paraId="5EFDC353" w14:textId="77777777" w:rsidR="0072177F" w:rsidRPr="00A23FB4" w:rsidRDefault="0072177F" w:rsidP="0072177F">
            <w:pPr>
              <w:pStyle w:val="tekstost"/>
              <w:tabs>
                <w:tab w:val="left" w:pos="9914"/>
              </w:tabs>
              <w:rPr>
                <w:rFonts w:ascii="Calibri" w:hAnsi="Calibri" w:cs="Calibri"/>
              </w:rPr>
            </w:pPr>
            <w:r w:rsidRPr="00A23FB4">
              <w:rPr>
                <w:rFonts w:ascii="Calibri" w:hAnsi="Calibri" w:cs="Calibri"/>
              </w:rPr>
              <w:t>5</w:t>
            </w:r>
          </w:p>
        </w:tc>
        <w:tc>
          <w:tcPr>
            <w:tcW w:w="5514" w:type="dxa"/>
            <w:tcBorders>
              <w:top w:val="single" w:sz="6" w:space="0" w:color="auto"/>
              <w:left w:val="single" w:sz="6" w:space="0" w:color="auto"/>
              <w:bottom w:val="single" w:sz="6" w:space="0" w:color="auto"/>
              <w:right w:val="single" w:sz="6" w:space="0" w:color="auto"/>
            </w:tcBorders>
          </w:tcPr>
          <w:p w14:paraId="483B2F14" w14:textId="77777777" w:rsidR="0072177F" w:rsidRPr="00A23FB4" w:rsidRDefault="0072177F" w:rsidP="0072177F">
            <w:pPr>
              <w:pStyle w:val="tekstost"/>
              <w:tabs>
                <w:tab w:val="left" w:pos="9914"/>
              </w:tabs>
              <w:rPr>
                <w:rFonts w:ascii="Calibri" w:hAnsi="Calibri" w:cs="Calibri"/>
              </w:rPr>
            </w:pPr>
            <w:r w:rsidRPr="00A23FB4">
              <w:rPr>
                <w:rFonts w:ascii="Calibri" w:hAnsi="Calibri" w:cs="Calibri"/>
              </w:rPr>
              <w:t xml:space="preserve">Wytrzymałość na ściskanie 7 i 28-dniowa przy stabilizacji cementem               </w:t>
            </w:r>
          </w:p>
          <w:p w14:paraId="2189E9A2" w14:textId="77777777" w:rsidR="0072177F" w:rsidRPr="00A23FB4" w:rsidRDefault="0072177F" w:rsidP="0072177F">
            <w:pPr>
              <w:pStyle w:val="tekstost"/>
              <w:tabs>
                <w:tab w:val="left" w:pos="9914"/>
              </w:tabs>
              <w:ind w:left="-283"/>
              <w:rPr>
                <w:rFonts w:ascii="Calibri" w:hAnsi="Calibri" w:cs="Calibri"/>
              </w:rPr>
            </w:pPr>
          </w:p>
        </w:tc>
        <w:tc>
          <w:tcPr>
            <w:tcW w:w="1620" w:type="dxa"/>
            <w:tcBorders>
              <w:top w:val="single" w:sz="6" w:space="0" w:color="auto"/>
              <w:left w:val="single" w:sz="6" w:space="0" w:color="auto"/>
              <w:bottom w:val="single" w:sz="6" w:space="0" w:color="auto"/>
              <w:right w:val="single" w:sz="6" w:space="0" w:color="auto"/>
            </w:tcBorders>
          </w:tcPr>
          <w:p w14:paraId="42D4BDC0" w14:textId="77777777" w:rsidR="0072177F" w:rsidRPr="00A23FB4" w:rsidRDefault="0072177F" w:rsidP="0072177F">
            <w:pPr>
              <w:pStyle w:val="tekstost"/>
              <w:numPr>
                <w:ilvl w:val="12"/>
                <w:numId w:val="0"/>
              </w:numPr>
              <w:tabs>
                <w:tab w:val="left" w:pos="9914"/>
              </w:tabs>
              <w:rPr>
                <w:rFonts w:ascii="Calibri" w:hAnsi="Calibri" w:cs="Calibri"/>
              </w:rPr>
            </w:pPr>
            <w:r w:rsidRPr="00A23FB4">
              <w:rPr>
                <w:rFonts w:ascii="Calibri" w:hAnsi="Calibri" w:cs="Calibri"/>
              </w:rPr>
              <w:t>6 próbek</w:t>
            </w:r>
          </w:p>
          <w:p w14:paraId="768036AE" w14:textId="77777777" w:rsidR="0072177F" w:rsidRPr="00A23FB4" w:rsidRDefault="0072177F" w:rsidP="0072177F">
            <w:pPr>
              <w:pStyle w:val="tekstost"/>
              <w:numPr>
                <w:ilvl w:val="12"/>
                <w:numId w:val="0"/>
              </w:numPr>
              <w:tabs>
                <w:tab w:val="left" w:pos="9914"/>
              </w:tabs>
              <w:rPr>
                <w:rFonts w:ascii="Calibri" w:hAnsi="Calibri" w:cs="Calibri"/>
              </w:rPr>
            </w:pPr>
          </w:p>
        </w:tc>
        <w:tc>
          <w:tcPr>
            <w:tcW w:w="1931" w:type="dxa"/>
            <w:tcBorders>
              <w:top w:val="single" w:sz="6" w:space="0" w:color="auto"/>
              <w:bottom w:val="single" w:sz="6" w:space="0" w:color="auto"/>
              <w:right w:val="single" w:sz="6" w:space="0" w:color="auto"/>
            </w:tcBorders>
          </w:tcPr>
          <w:p w14:paraId="2FBE9970" w14:textId="77777777" w:rsidR="0072177F" w:rsidRPr="00A23FB4" w:rsidRDefault="0072177F" w:rsidP="0072177F">
            <w:pPr>
              <w:pStyle w:val="tekstost"/>
              <w:numPr>
                <w:ilvl w:val="12"/>
                <w:numId w:val="0"/>
              </w:numPr>
              <w:tabs>
                <w:tab w:val="left" w:pos="9914"/>
              </w:tabs>
              <w:rPr>
                <w:rFonts w:ascii="Calibri" w:hAnsi="Calibri" w:cs="Calibri"/>
              </w:rPr>
            </w:pPr>
            <w:r w:rsidRPr="00A23FB4">
              <w:rPr>
                <w:rFonts w:ascii="Calibri" w:hAnsi="Calibri" w:cs="Calibri"/>
              </w:rPr>
              <w:t>400 m</w:t>
            </w:r>
            <w:r w:rsidRPr="00A23FB4">
              <w:rPr>
                <w:rFonts w:ascii="Calibri" w:hAnsi="Calibri" w:cs="Calibri"/>
                <w:vertAlign w:val="superscript"/>
              </w:rPr>
              <w:t>2</w:t>
            </w:r>
          </w:p>
        </w:tc>
      </w:tr>
      <w:tr w:rsidR="0072177F" w:rsidRPr="00A23FB4" w14:paraId="58208D13" w14:textId="77777777" w:rsidTr="0072177F">
        <w:tc>
          <w:tcPr>
            <w:tcW w:w="496" w:type="dxa"/>
            <w:tcBorders>
              <w:top w:val="single" w:sz="6" w:space="0" w:color="auto"/>
              <w:left w:val="single" w:sz="6" w:space="0" w:color="auto"/>
              <w:bottom w:val="single" w:sz="6" w:space="0" w:color="auto"/>
              <w:right w:val="single" w:sz="6" w:space="0" w:color="auto"/>
            </w:tcBorders>
          </w:tcPr>
          <w:p w14:paraId="339D9DF6" w14:textId="77777777" w:rsidR="0072177F" w:rsidRPr="00A23FB4" w:rsidRDefault="0072177F" w:rsidP="0072177F">
            <w:pPr>
              <w:pStyle w:val="tekstost"/>
              <w:numPr>
                <w:ilvl w:val="12"/>
                <w:numId w:val="0"/>
              </w:numPr>
              <w:tabs>
                <w:tab w:val="left" w:pos="9914"/>
              </w:tabs>
              <w:rPr>
                <w:rFonts w:ascii="Calibri" w:hAnsi="Calibri" w:cs="Calibri"/>
              </w:rPr>
            </w:pPr>
            <w:r w:rsidRPr="00A23FB4">
              <w:rPr>
                <w:rFonts w:ascii="Calibri" w:hAnsi="Calibri" w:cs="Calibri"/>
              </w:rPr>
              <w:t>6</w:t>
            </w:r>
          </w:p>
        </w:tc>
        <w:tc>
          <w:tcPr>
            <w:tcW w:w="5514" w:type="dxa"/>
            <w:tcBorders>
              <w:top w:val="single" w:sz="6" w:space="0" w:color="auto"/>
              <w:left w:val="single" w:sz="6" w:space="0" w:color="auto"/>
              <w:bottom w:val="single" w:sz="6" w:space="0" w:color="auto"/>
              <w:right w:val="single" w:sz="6" w:space="0" w:color="auto"/>
            </w:tcBorders>
          </w:tcPr>
          <w:p w14:paraId="40C1ABAD" w14:textId="77777777" w:rsidR="0072177F" w:rsidRPr="00A23FB4" w:rsidRDefault="0072177F" w:rsidP="0072177F">
            <w:pPr>
              <w:pStyle w:val="tekstost"/>
              <w:numPr>
                <w:ilvl w:val="12"/>
                <w:numId w:val="0"/>
              </w:numPr>
              <w:tabs>
                <w:tab w:val="left" w:pos="9914"/>
              </w:tabs>
              <w:rPr>
                <w:rFonts w:ascii="Calibri" w:hAnsi="Calibri" w:cs="Calibri"/>
              </w:rPr>
            </w:pPr>
            <w:r w:rsidRPr="00A23FB4">
              <w:rPr>
                <w:rFonts w:ascii="Calibri" w:hAnsi="Calibri" w:cs="Calibri"/>
              </w:rPr>
              <w:t>Badanie cementu,</w:t>
            </w:r>
          </w:p>
          <w:p w14:paraId="60E3E65C" w14:textId="77777777" w:rsidR="0072177F" w:rsidRPr="00A23FB4" w:rsidRDefault="0072177F" w:rsidP="0072177F">
            <w:pPr>
              <w:pStyle w:val="tekstost"/>
              <w:numPr>
                <w:ilvl w:val="0"/>
                <w:numId w:val="1"/>
              </w:numPr>
              <w:tabs>
                <w:tab w:val="left" w:pos="9914"/>
              </w:tabs>
              <w:ind w:left="0"/>
              <w:rPr>
                <w:rFonts w:ascii="Calibri" w:hAnsi="Calibri" w:cs="Calibri"/>
              </w:rPr>
            </w:pPr>
          </w:p>
        </w:tc>
        <w:tc>
          <w:tcPr>
            <w:tcW w:w="3551" w:type="dxa"/>
            <w:gridSpan w:val="2"/>
            <w:tcBorders>
              <w:top w:val="single" w:sz="6" w:space="0" w:color="auto"/>
              <w:left w:val="single" w:sz="6" w:space="0" w:color="auto"/>
              <w:bottom w:val="single" w:sz="6" w:space="0" w:color="auto"/>
              <w:right w:val="single" w:sz="6" w:space="0" w:color="auto"/>
            </w:tcBorders>
          </w:tcPr>
          <w:p w14:paraId="22094173" w14:textId="77777777" w:rsidR="0072177F" w:rsidRPr="00A23FB4" w:rsidRDefault="0072177F" w:rsidP="0072177F">
            <w:pPr>
              <w:pStyle w:val="tekstost"/>
              <w:tabs>
                <w:tab w:val="left" w:pos="9914"/>
              </w:tabs>
              <w:rPr>
                <w:rFonts w:ascii="Calibri" w:hAnsi="Calibri" w:cs="Calibri"/>
              </w:rPr>
            </w:pPr>
            <w:r w:rsidRPr="00A23FB4">
              <w:rPr>
                <w:rFonts w:ascii="Calibri" w:hAnsi="Calibri" w:cs="Calibri"/>
              </w:rPr>
              <w:t>przy projektowaniu składu mieszanki i przy każdej zmianie</w:t>
            </w:r>
          </w:p>
        </w:tc>
      </w:tr>
      <w:tr w:rsidR="0072177F" w:rsidRPr="00A23FB4" w14:paraId="34DE37D3" w14:textId="77777777" w:rsidTr="0072177F">
        <w:tc>
          <w:tcPr>
            <w:tcW w:w="496" w:type="dxa"/>
            <w:tcBorders>
              <w:top w:val="single" w:sz="6" w:space="0" w:color="auto"/>
              <w:left w:val="single" w:sz="6" w:space="0" w:color="auto"/>
              <w:bottom w:val="single" w:sz="6" w:space="0" w:color="auto"/>
              <w:right w:val="single" w:sz="6" w:space="0" w:color="auto"/>
            </w:tcBorders>
          </w:tcPr>
          <w:p w14:paraId="73D109DC" w14:textId="77777777" w:rsidR="0072177F" w:rsidRPr="00A23FB4" w:rsidRDefault="0072177F" w:rsidP="0072177F">
            <w:pPr>
              <w:pStyle w:val="tekstost"/>
              <w:tabs>
                <w:tab w:val="left" w:pos="9914"/>
              </w:tabs>
              <w:rPr>
                <w:rFonts w:ascii="Calibri" w:hAnsi="Calibri" w:cs="Calibri"/>
              </w:rPr>
            </w:pPr>
            <w:r w:rsidRPr="00A23FB4">
              <w:rPr>
                <w:rFonts w:ascii="Calibri" w:hAnsi="Calibri" w:cs="Calibri"/>
              </w:rPr>
              <w:t>7</w:t>
            </w:r>
          </w:p>
        </w:tc>
        <w:tc>
          <w:tcPr>
            <w:tcW w:w="5514" w:type="dxa"/>
            <w:tcBorders>
              <w:top w:val="single" w:sz="6" w:space="0" w:color="auto"/>
              <w:left w:val="single" w:sz="6" w:space="0" w:color="auto"/>
              <w:bottom w:val="single" w:sz="6" w:space="0" w:color="auto"/>
              <w:right w:val="single" w:sz="6" w:space="0" w:color="auto"/>
            </w:tcBorders>
          </w:tcPr>
          <w:p w14:paraId="357435B5" w14:textId="77777777" w:rsidR="0072177F" w:rsidRPr="00A23FB4" w:rsidRDefault="0072177F" w:rsidP="0072177F">
            <w:pPr>
              <w:pStyle w:val="tekstost"/>
              <w:tabs>
                <w:tab w:val="left" w:pos="9914"/>
              </w:tabs>
              <w:rPr>
                <w:rFonts w:ascii="Calibri" w:hAnsi="Calibri" w:cs="Calibri"/>
              </w:rPr>
            </w:pPr>
            <w:r w:rsidRPr="00A23FB4">
              <w:rPr>
                <w:rFonts w:ascii="Calibri" w:hAnsi="Calibri" w:cs="Calibri"/>
              </w:rPr>
              <w:t>Badanie wody</w:t>
            </w:r>
          </w:p>
        </w:tc>
        <w:tc>
          <w:tcPr>
            <w:tcW w:w="3551" w:type="dxa"/>
            <w:gridSpan w:val="2"/>
            <w:tcBorders>
              <w:top w:val="single" w:sz="6" w:space="0" w:color="auto"/>
              <w:left w:val="single" w:sz="6" w:space="0" w:color="auto"/>
              <w:bottom w:val="single" w:sz="6" w:space="0" w:color="auto"/>
              <w:right w:val="single" w:sz="6" w:space="0" w:color="auto"/>
            </w:tcBorders>
          </w:tcPr>
          <w:p w14:paraId="463D331A" w14:textId="77777777" w:rsidR="0072177F" w:rsidRPr="00A23FB4" w:rsidRDefault="0072177F" w:rsidP="0072177F">
            <w:pPr>
              <w:pStyle w:val="tekstost"/>
              <w:tabs>
                <w:tab w:val="left" w:pos="9914"/>
              </w:tabs>
              <w:rPr>
                <w:rFonts w:ascii="Calibri" w:hAnsi="Calibri" w:cs="Calibri"/>
              </w:rPr>
            </w:pPr>
            <w:r w:rsidRPr="00A23FB4">
              <w:rPr>
                <w:rFonts w:ascii="Calibri" w:hAnsi="Calibri" w:cs="Calibri"/>
              </w:rPr>
              <w:t>dla każdego wątpliwego źródła</w:t>
            </w:r>
          </w:p>
        </w:tc>
      </w:tr>
      <w:tr w:rsidR="0072177F" w:rsidRPr="00A23FB4" w14:paraId="7E70B113" w14:textId="77777777" w:rsidTr="0072177F">
        <w:tc>
          <w:tcPr>
            <w:tcW w:w="496" w:type="dxa"/>
            <w:tcBorders>
              <w:top w:val="single" w:sz="6" w:space="0" w:color="auto"/>
              <w:left w:val="single" w:sz="6" w:space="0" w:color="auto"/>
              <w:bottom w:val="single" w:sz="6" w:space="0" w:color="auto"/>
              <w:right w:val="single" w:sz="6" w:space="0" w:color="auto"/>
            </w:tcBorders>
          </w:tcPr>
          <w:p w14:paraId="4C106927" w14:textId="77777777" w:rsidR="0072177F" w:rsidRPr="00A23FB4" w:rsidRDefault="0072177F" w:rsidP="0072177F">
            <w:pPr>
              <w:pStyle w:val="tekstost"/>
              <w:tabs>
                <w:tab w:val="left" w:pos="9914"/>
              </w:tabs>
              <w:rPr>
                <w:rFonts w:ascii="Calibri" w:hAnsi="Calibri" w:cs="Calibri"/>
              </w:rPr>
            </w:pPr>
            <w:r w:rsidRPr="00A23FB4">
              <w:rPr>
                <w:rFonts w:ascii="Calibri" w:hAnsi="Calibri" w:cs="Calibri"/>
              </w:rPr>
              <w:t>8</w:t>
            </w:r>
          </w:p>
        </w:tc>
        <w:tc>
          <w:tcPr>
            <w:tcW w:w="5514" w:type="dxa"/>
            <w:tcBorders>
              <w:top w:val="single" w:sz="6" w:space="0" w:color="auto"/>
              <w:left w:val="single" w:sz="6" w:space="0" w:color="auto"/>
              <w:bottom w:val="single" w:sz="6" w:space="0" w:color="auto"/>
              <w:right w:val="single" w:sz="6" w:space="0" w:color="auto"/>
            </w:tcBorders>
          </w:tcPr>
          <w:p w14:paraId="2C9ECC4B" w14:textId="77777777" w:rsidR="0072177F" w:rsidRPr="00A23FB4" w:rsidRDefault="0072177F" w:rsidP="0072177F">
            <w:pPr>
              <w:pStyle w:val="tekstost"/>
              <w:tabs>
                <w:tab w:val="left" w:pos="9914"/>
              </w:tabs>
              <w:rPr>
                <w:rFonts w:ascii="Calibri" w:hAnsi="Calibri" w:cs="Calibri"/>
              </w:rPr>
            </w:pPr>
            <w:r w:rsidRPr="00A23FB4">
              <w:rPr>
                <w:rFonts w:ascii="Calibri" w:hAnsi="Calibri" w:cs="Calibri"/>
              </w:rPr>
              <w:t>Badanie właściwości gruntu lub kruszywa</w:t>
            </w:r>
          </w:p>
        </w:tc>
        <w:tc>
          <w:tcPr>
            <w:tcW w:w="3551" w:type="dxa"/>
            <w:gridSpan w:val="2"/>
            <w:tcBorders>
              <w:top w:val="single" w:sz="6" w:space="0" w:color="auto"/>
              <w:left w:val="single" w:sz="6" w:space="0" w:color="auto"/>
              <w:bottom w:val="single" w:sz="6" w:space="0" w:color="auto"/>
              <w:right w:val="single" w:sz="6" w:space="0" w:color="auto"/>
            </w:tcBorders>
          </w:tcPr>
          <w:p w14:paraId="63102BE4" w14:textId="77777777" w:rsidR="0072177F" w:rsidRPr="00A23FB4" w:rsidRDefault="0072177F" w:rsidP="0072177F">
            <w:pPr>
              <w:pStyle w:val="tekstost"/>
              <w:tabs>
                <w:tab w:val="left" w:pos="9914"/>
              </w:tabs>
              <w:rPr>
                <w:rFonts w:ascii="Calibri" w:hAnsi="Calibri" w:cs="Calibri"/>
              </w:rPr>
            </w:pPr>
            <w:r w:rsidRPr="00A23FB4">
              <w:rPr>
                <w:rFonts w:ascii="Calibri" w:hAnsi="Calibri" w:cs="Calibri"/>
              </w:rPr>
              <w:t>dla każdej partii i przy każdej zmianie rodzaju gruntu lub kruszywa</w:t>
            </w:r>
          </w:p>
        </w:tc>
      </w:tr>
    </w:tbl>
    <w:p w14:paraId="444631A5" w14:textId="77777777" w:rsidR="0072177F" w:rsidRPr="00A23FB4" w:rsidRDefault="0072177F" w:rsidP="0072177F">
      <w:pPr>
        <w:pStyle w:val="tekstost"/>
        <w:tabs>
          <w:tab w:val="left" w:pos="9914"/>
        </w:tabs>
        <w:rPr>
          <w:rFonts w:ascii="Calibri" w:hAnsi="Calibri" w:cs="Calibri"/>
          <w:b/>
          <w:bCs/>
        </w:rPr>
      </w:pPr>
    </w:p>
    <w:p w14:paraId="53EB57A3" w14:textId="77777777" w:rsidR="0072177F" w:rsidRPr="00A23FB4" w:rsidRDefault="0072177F" w:rsidP="0072177F">
      <w:pPr>
        <w:pStyle w:val="tekstost"/>
        <w:tabs>
          <w:tab w:val="left" w:pos="9914"/>
        </w:tabs>
        <w:rPr>
          <w:rFonts w:ascii="Calibri" w:hAnsi="Calibri" w:cs="Calibri"/>
          <w:b/>
          <w:bCs/>
          <w:i/>
          <w:iCs/>
        </w:rPr>
      </w:pPr>
      <w:r w:rsidRPr="00A23FB4">
        <w:rPr>
          <w:rFonts w:ascii="Calibri" w:hAnsi="Calibri" w:cs="Calibri"/>
          <w:b/>
          <w:bCs/>
          <w:i/>
          <w:iCs/>
        </w:rPr>
        <w:t>6.3.2. Uziarnienie gruntu lub kruszywa</w:t>
      </w:r>
    </w:p>
    <w:p w14:paraId="068DFA1C" w14:textId="0E46E0DD" w:rsidR="0072177F" w:rsidRPr="00A23FB4" w:rsidRDefault="0072177F" w:rsidP="0072177F">
      <w:pPr>
        <w:pStyle w:val="tekstost"/>
        <w:tabs>
          <w:tab w:val="left" w:pos="9914"/>
        </w:tabs>
        <w:rPr>
          <w:rFonts w:ascii="Calibri" w:hAnsi="Calibri" w:cs="Calibri"/>
        </w:rPr>
      </w:pPr>
      <w:r w:rsidRPr="00A23FB4">
        <w:rPr>
          <w:rFonts w:ascii="Calibri" w:hAnsi="Calibri" w:cs="Calibri"/>
        </w:rPr>
        <w:t xml:space="preserve">Próbki do badań należy pobierać z mieszarek lub z podłoża przed podaniem spoiwa. Uziarnienie kruszywa lub gruntu powinno być zgodne z wymaganiami podanymi w pkt 2 niniejszej </w:t>
      </w:r>
      <w:r w:rsidR="00E3013A">
        <w:rPr>
          <w:rFonts w:ascii="Calibri" w:hAnsi="Calibri" w:cs="Calibri"/>
        </w:rPr>
        <w:t>ST</w:t>
      </w:r>
      <w:r w:rsidRPr="00A23FB4">
        <w:rPr>
          <w:rFonts w:ascii="Calibri" w:hAnsi="Calibri" w:cs="Calibri"/>
        </w:rPr>
        <w:t>WiORB.</w:t>
      </w:r>
    </w:p>
    <w:p w14:paraId="0FC0BB3F" w14:textId="77777777" w:rsidR="0072177F" w:rsidRPr="00A23FB4" w:rsidRDefault="0072177F" w:rsidP="0072177F">
      <w:pPr>
        <w:pStyle w:val="tekstost"/>
        <w:tabs>
          <w:tab w:val="left" w:pos="9914"/>
        </w:tabs>
        <w:rPr>
          <w:rFonts w:ascii="Calibri" w:hAnsi="Calibri" w:cs="Calibri"/>
          <w:b/>
          <w:bCs/>
          <w:i/>
          <w:iCs/>
        </w:rPr>
      </w:pPr>
      <w:r w:rsidRPr="00A23FB4">
        <w:rPr>
          <w:rFonts w:ascii="Calibri" w:hAnsi="Calibri" w:cs="Calibri"/>
          <w:b/>
          <w:bCs/>
          <w:i/>
          <w:iCs/>
        </w:rPr>
        <w:t>6.3.3. Wilgotność mieszanki gruntu lub kruszywa ze spoiwami</w:t>
      </w:r>
    </w:p>
    <w:p w14:paraId="6FDC26C4" w14:textId="77777777" w:rsidR="0072177F" w:rsidRPr="00A23FB4" w:rsidRDefault="0072177F" w:rsidP="0072177F">
      <w:pPr>
        <w:pStyle w:val="tekstost"/>
        <w:tabs>
          <w:tab w:val="left" w:pos="9914"/>
        </w:tabs>
        <w:rPr>
          <w:rFonts w:ascii="Calibri" w:hAnsi="Calibri" w:cs="Calibri"/>
        </w:rPr>
      </w:pPr>
      <w:r w:rsidRPr="00A23FB4">
        <w:rPr>
          <w:rFonts w:ascii="Calibri" w:hAnsi="Calibri" w:cs="Calibri"/>
        </w:rPr>
        <w:t>Wilgotność mieszanki powinna być równa wilgotności optymalnej, określonej w projekcie składu tej mieszanki, z tolerancją ±1% jej wartości.</w:t>
      </w:r>
    </w:p>
    <w:p w14:paraId="6BC826F6" w14:textId="77777777" w:rsidR="0072177F" w:rsidRPr="00A23FB4" w:rsidRDefault="0072177F" w:rsidP="0072177F">
      <w:pPr>
        <w:pStyle w:val="tekstost"/>
        <w:tabs>
          <w:tab w:val="left" w:pos="9914"/>
        </w:tabs>
        <w:rPr>
          <w:rFonts w:ascii="Calibri" w:hAnsi="Calibri" w:cs="Calibri"/>
          <w:b/>
          <w:bCs/>
          <w:i/>
          <w:iCs/>
        </w:rPr>
      </w:pPr>
      <w:r w:rsidRPr="00A23FB4">
        <w:rPr>
          <w:rFonts w:ascii="Calibri" w:hAnsi="Calibri" w:cs="Calibri"/>
          <w:b/>
          <w:bCs/>
          <w:i/>
          <w:iCs/>
        </w:rPr>
        <w:t>6.3.4. Zagęszczenie warstwy</w:t>
      </w:r>
    </w:p>
    <w:p w14:paraId="788B8BA6" w14:textId="77777777" w:rsidR="0072177F" w:rsidRPr="00A23FB4" w:rsidRDefault="0072177F" w:rsidP="0072177F">
      <w:pPr>
        <w:pStyle w:val="tekstost"/>
        <w:tabs>
          <w:tab w:val="left" w:pos="9914"/>
        </w:tabs>
        <w:rPr>
          <w:rFonts w:ascii="Calibri" w:hAnsi="Calibri" w:cs="Calibri"/>
        </w:rPr>
      </w:pPr>
      <w:r w:rsidRPr="00A23FB4">
        <w:rPr>
          <w:rFonts w:ascii="Calibri" w:hAnsi="Calibri" w:cs="Calibri"/>
        </w:rPr>
        <w:t>Mieszanka powinna być zagęszczana do osiągnięcia wskaźnika zagęszczenia nie mniejszego od 1,00 oznaczonego zgodnie z BN-77/8931-12. Dopuszcza się oznaczenie zagęszczenia dowolną metodą z BN-77/8931-12 .</w:t>
      </w:r>
    </w:p>
    <w:p w14:paraId="1C7948E2" w14:textId="77777777" w:rsidR="0072177F" w:rsidRPr="00A23FB4" w:rsidRDefault="0072177F" w:rsidP="0072177F">
      <w:pPr>
        <w:pStyle w:val="tekstost"/>
        <w:tabs>
          <w:tab w:val="left" w:pos="9914"/>
        </w:tabs>
        <w:rPr>
          <w:rFonts w:ascii="Calibri" w:hAnsi="Calibri" w:cs="Calibri"/>
        </w:rPr>
      </w:pPr>
      <w:r w:rsidRPr="00A23FB4">
        <w:rPr>
          <w:rFonts w:ascii="Calibri" w:hAnsi="Calibri" w:cs="Calibri"/>
        </w:rPr>
        <w:t>Dla warstw leżących poniżej 0,2 m badanie zagęszczenia przeprowadzić należy poprzez oznaczenie wskaźnika odkształcenia oznaczonego wg PN-02205:1998. Grunt przy pomiarze zagęszczenia metodą obciążenia płytą VSS uznaje się za należycie zagęszczony, gdy wskaźnik odkształcenia nie przekracza 2,2</w:t>
      </w:r>
    </w:p>
    <w:p w14:paraId="73EDB707" w14:textId="77777777" w:rsidR="0072177F" w:rsidRPr="00A23FB4" w:rsidRDefault="0072177F" w:rsidP="0072177F">
      <w:pPr>
        <w:pStyle w:val="tekstost"/>
        <w:tabs>
          <w:tab w:val="left" w:pos="9914"/>
        </w:tabs>
        <w:rPr>
          <w:rFonts w:ascii="Calibri" w:hAnsi="Calibri" w:cs="Calibri"/>
          <w:b/>
          <w:bCs/>
          <w:i/>
          <w:iCs/>
        </w:rPr>
      </w:pPr>
      <w:r w:rsidRPr="00A23FB4">
        <w:rPr>
          <w:rFonts w:ascii="Calibri" w:hAnsi="Calibri" w:cs="Calibri"/>
          <w:b/>
          <w:bCs/>
          <w:i/>
          <w:iCs/>
        </w:rPr>
        <w:t>6.3.7. Grubość warstwy ulepszonego podłoża</w:t>
      </w:r>
    </w:p>
    <w:p w14:paraId="019378D7" w14:textId="77777777" w:rsidR="0072177F" w:rsidRPr="00A23FB4" w:rsidRDefault="0072177F" w:rsidP="0072177F">
      <w:pPr>
        <w:pStyle w:val="tekstost"/>
        <w:tabs>
          <w:tab w:val="left" w:pos="9914"/>
        </w:tabs>
        <w:rPr>
          <w:rFonts w:ascii="Calibri" w:hAnsi="Calibri" w:cs="Calibri"/>
        </w:rPr>
      </w:pPr>
      <w:r w:rsidRPr="00A23FB4">
        <w:rPr>
          <w:rFonts w:ascii="Calibri" w:hAnsi="Calibri" w:cs="Calibri"/>
        </w:rPr>
        <w:t xml:space="preserve">Grubość warstwy należy mierzyć bezpośrednio po jej zagęszczeniu w odległości co najmniej 0,5 m od krawędzi. Grubość warstwy nie może różnić się od projektowanej o więcej niż ± 1 cm. </w:t>
      </w:r>
    </w:p>
    <w:p w14:paraId="118F75CC" w14:textId="77777777" w:rsidR="0072177F" w:rsidRPr="00A23FB4" w:rsidRDefault="0072177F" w:rsidP="0072177F">
      <w:pPr>
        <w:pStyle w:val="tekstost"/>
        <w:tabs>
          <w:tab w:val="left" w:pos="9914"/>
        </w:tabs>
        <w:rPr>
          <w:rFonts w:ascii="Calibri" w:hAnsi="Calibri" w:cs="Calibri"/>
        </w:rPr>
      </w:pPr>
      <w:r w:rsidRPr="00A23FB4">
        <w:rPr>
          <w:rFonts w:ascii="Calibri" w:hAnsi="Calibri" w:cs="Calibri"/>
        </w:rPr>
        <w:t>Projektowane grubości warstwy:</w:t>
      </w:r>
    </w:p>
    <w:p w14:paraId="47A6D499" w14:textId="77777777" w:rsidR="0072177F" w:rsidRPr="00A23FB4" w:rsidRDefault="0072177F" w:rsidP="00262498">
      <w:pPr>
        <w:pStyle w:val="tekstost"/>
        <w:numPr>
          <w:ilvl w:val="0"/>
          <w:numId w:val="21"/>
        </w:numPr>
        <w:tabs>
          <w:tab w:val="left" w:pos="9914"/>
        </w:tabs>
        <w:rPr>
          <w:rFonts w:ascii="Calibri" w:hAnsi="Calibri" w:cs="Calibri"/>
        </w:rPr>
      </w:pPr>
      <w:r w:rsidRPr="00A23FB4">
        <w:rPr>
          <w:rFonts w:ascii="Calibri" w:hAnsi="Calibri" w:cs="Calibri"/>
        </w:rPr>
        <w:t>Dla poszerzenia jezdni – 25 cm</w:t>
      </w:r>
    </w:p>
    <w:p w14:paraId="6636CD7B" w14:textId="77777777" w:rsidR="0072177F" w:rsidRPr="00A23FB4" w:rsidRDefault="0072177F" w:rsidP="00262498">
      <w:pPr>
        <w:pStyle w:val="tekstost"/>
        <w:numPr>
          <w:ilvl w:val="0"/>
          <w:numId w:val="21"/>
        </w:numPr>
        <w:tabs>
          <w:tab w:val="left" w:pos="9914"/>
        </w:tabs>
        <w:rPr>
          <w:rFonts w:ascii="Calibri" w:hAnsi="Calibri" w:cs="Calibri"/>
        </w:rPr>
      </w:pPr>
      <w:r w:rsidRPr="00A23FB4">
        <w:rPr>
          <w:rFonts w:ascii="Calibri" w:hAnsi="Calibri" w:cs="Calibri"/>
        </w:rPr>
        <w:t>Dla chodnika – 10 cm</w:t>
      </w:r>
    </w:p>
    <w:p w14:paraId="5F75CC63" w14:textId="77777777" w:rsidR="0072177F" w:rsidRPr="00A23FB4" w:rsidRDefault="0072177F" w:rsidP="00262498">
      <w:pPr>
        <w:pStyle w:val="tekstost"/>
        <w:numPr>
          <w:ilvl w:val="0"/>
          <w:numId w:val="21"/>
        </w:numPr>
        <w:tabs>
          <w:tab w:val="left" w:pos="9914"/>
        </w:tabs>
        <w:rPr>
          <w:rFonts w:ascii="Calibri" w:hAnsi="Calibri" w:cs="Calibri"/>
        </w:rPr>
      </w:pPr>
      <w:r w:rsidRPr="00A23FB4">
        <w:rPr>
          <w:rFonts w:ascii="Calibri" w:hAnsi="Calibri" w:cs="Calibri"/>
        </w:rPr>
        <w:t>Dla zatoki autobusowej – 25 cm</w:t>
      </w:r>
    </w:p>
    <w:p w14:paraId="452ED099" w14:textId="77777777" w:rsidR="008C66DB" w:rsidRPr="00A23FB4" w:rsidRDefault="008C66DB" w:rsidP="0072177F">
      <w:pPr>
        <w:pStyle w:val="tekstost"/>
        <w:tabs>
          <w:tab w:val="left" w:pos="9914"/>
        </w:tabs>
        <w:rPr>
          <w:rFonts w:ascii="Calibri" w:hAnsi="Calibri" w:cs="Calibri"/>
          <w:b/>
          <w:bCs/>
          <w:i/>
          <w:iCs/>
        </w:rPr>
      </w:pPr>
    </w:p>
    <w:p w14:paraId="3005673B" w14:textId="77777777" w:rsidR="0072177F" w:rsidRPr="00A23FB4" w:rsidRDefault="0072177F" w:rsidP="0072177F">
      <w:pPr>
        <w:pStyle w:val="tekstost"/>
        <w:tabs>
          <w:tab w:val="left" w:pos="9914"/>
        </w:tabs>
        <w:rPr>
          <w:rFonts w:ascii="Calibri" w:hAnsi="Calibri" w:cs="Calibri"/>
          <w:b/>
          <w:bCs/>
          <w:iCs/>
        </w:rPr>
      </w:pPr>
      <w:r w:rsidRPr="00A23FB4">
        <w:rPr>
          <w:rFonts w:ascii="Calibri" w:hAnsi="Calibri" w:cs="Calibri"/>
          <w:b/>
          <w:bCs/>
          <w:iCs/>
        </w:rPr>
        <w:t>6.3.8. Wytrzymałość na ściskanie</w:t>
      </w:r>
    </w:p>
    <w:p w14:paraId="5A56209E" w14:textId="3F74342D" w:rsidR="0072177F" w:rsidRPr="00A23FB4" w:rsidRDefault="0072177F" w:rsidP="0072177F">
      <w:pPr>
        <w:pStyle w:val="tekstost"/>
        <w:tabs>
          <w:tab w:val="left" w:pos="9914"/>
        </w:tabs>
        <w:rPr>
          <w:rFonts w:ascii="Calibri" w:hAnsi="Calibri" w:cs="Calibri"/>
        </w:rPr>
      </w:pPr>
      <w:r w:rsidRPr="00A23FB4">
        <w:rPr>
          <w:rFonts w:ascii="Calibri" w:hAnsi="Calibri" w:cs="Calibri"/>
        </w:rPr>
        <w:t xml:space="preserve">Wytrzymałość na ściskanie określa się na próbkach walcowych o średnicy i wysokości 8 cm. Próbki do badań należy pobierać z miejsc wybranych losowo, w warstwie rozłożonej przed jej zagęszczeniem. Próbki w ilości 6 sztuk należy formować i przechowywać zgodnie z normami dotyczącymi poszczególnych rodzajów stabilizacji spoiwami. Trzy próbki należy badać po 7 lub 14 dniach oraz po 28 dniach przechowywania. Wyniki wytrzymałości na ściskanie powinny być zgodne z wymaganiami podanymi w pkt 2 niniejszej </w:t>
      </w:r>
      <w:r w:rsidR="00E3013A">
        <w:rPr>
          <w:rFonts w:ascii="Calibri" w:hAnsi="Calibri" w:cs="Calibri"/>
        </w:rPr>
        <w:t>ST</w:t>
      </w:r>
      <w:r w:rsidRPr="00A23FB4">
        <w:rPr>
          <w:rFonts w:ascii="Calibri" w:hAnsi="Calibri" w:cs="Calibri"/>
        </w:rPr>
        <w:t>WiORB</w:t>
      </w:r>
    </w:p>
    <w:p w14:paraId="352E339A" w14:textId="77777777" w:rsidR="009051F5" w:rsidRPr="00A23FB4" w:rsidRDefault="009051F5" w:rsidP="0072177F">
      <w:pPr>
        <w:pStyle w:val="tekstost"/>
        <w:tabs>
          <w:tab w:val="left" w:pos="9914"/>
        </w:tabs>
        <w:rPr>
          <w:rFonts w:ascii="Calibri" w:hAnsi="Calibri" w:cs="Calibri"/>
          <w:b/>
          <w:bCs/>
          <w:i/>
          <w:iCs/>
        </w:rPr>
      </w:pPr>
    </w:p>
    <w:p w14:paraId="487E6B7E" w14:textId="77777777" w:rsidR="0072177F" w:rsidRPr="00A23FB4" w:rsidRDefault="0072177F" w:rsidP="0072177F">
      <w:pPr>
        <w:pStyle w:val="tekstost"/>
        <w:tabs>
          <w:tab w:val="left" w:pos="9914"/>
        </w:tabs>
        <w:rPr>
          <w:rFonts w:ascii="Calibri" w:hAnsi="Calibri" w:cs="Calibri"/>
          <w:b/>
          <w:bCs/>
          <w:iCs/>
        </w:rPr>
      </w:pPr>
      <w:r w:rsidRPr="00A23FB4">
        <w:rPr>
          <w:rFonts w:ascii="Calibri" w:hAnsi="Calibri" w:cs="Calibri"/>
          <w:b/>
          <w:bCs/>
          <w:iCs/>
        </w:rPr>
        <w:t>6.3.9. Mrozoodporność</w:t>
      </w:r>
    </w:p>
    <w:p w14:paraId="34EEA4BB" w14:textId="49D45258" w:rsidR="0072177F" w:rsidRPr="00A23FB4" w:rsidRDefault="0072177F" w:rsidP="0072177F">
      <w:pPr>
        <w:pStyle w:val="tekstost"/>
        <w:tabs>
          <w:tab w:val="left" w:pos="9914"/>
        </w:tabs>
        <w:rPr>
          <w:rFonts w:ascii="Calibri" w:hAnsi="Calibri" w:cs="Calibri"/>
        </w:rPr>
      </w:pPr>
      <w:r w:rsidRPr="00A23FB4">
        <w:rPr>
          <w:rFonts w:ascii="Calibri" w:hAnsi="Calibri" w:cs="Calibri"/>
        </w:rPr>
        <w:t xml:space="preserve">Wskaźnik mrozoodporności określany przez spadek wytrzymałości na ściskanie próbek poddawanych cyklom zamrażania i odmrażania powinien być zgodny z wymaganiami podanymi w pkt 2 niniejszej </w:t>
      </w:r>
      <w:r w:rsidR="00E3013A">
        <w:rPr>
          <w:rFonts w:ascii="Calibri" w:hAnsi="Calibri" w:cs="Calibri"/>
        </w:rPr>
        <w:t>ST</w:t>
      </w:r>
      <w:r w:rsidRPr="00A23FB4">
        <w:rPr>
          <w:rFonts w:ascii="Calibri" w:hAnsi="Calibri" w:cs="Calibri"/>
        </w:rPr>
        <w:t>WiORB.</w:t>
      </w:r>
    </w:p>
    <w:p w14:paraId="42325940" w14:textId="77777777" w:rsidR="009051F5" w:rsidRPr="00A23FB4" w:rsidRDefault="009051F5" w:rsidP="0072177F">
      <w:pPr>
        <w:pStyle w:val="tekstost"/>
        <w:tabs>
          <w:tab w:val="left" w:pos="9914"/>
        </w:tabs>
        <w:rPr>
          <w:rFonts w:ascii="Calibri" w:hAnsi="Calibri" w:cs="Calibri"/>
          <w:b/>
          <w:bCs/>
          <w:iCs/>
        </w:rPr>
      </w:pPr>
    </w:p>
    <w:p w14:paraId="2096B263" w14:textId="77777777" w:rsidR="0072177F" w:rsidRPr="00A23FB4" w:rsidRDefault="0072177F" w:rsidP="0072177F">
      <w:pPr>
        <w:pStyle w:val="tekstost"/>
        <w:tabs>
          <w:tab w:val="left" w:pos="9914"/>
        </w:tabs>
        <w:rPr>
          <w:rFonts w:ascii="Calibri" w:hAnsi="Calibri" w:cs="Calibri"/>
          <w:b/>
          <w:bCs/>
          <w:iCs/>
        </w:rPr>
      </w:pPr>
      <w:r w:rsidRPr="00A23FB4">
        <w:rPr>
          <w:rFonts w:ascii="Calibri" w:hAnsi="Calibri" w:cs="Calibri"/>
          <w:b/>
          <w:bCs/>
          <w:iCs/>
        </w:rPr>
        <w:t>6.3.10. Badanie spoiwa</w:t>
      </w:r>
    </w:p>
    <w:p w14:paraId="5046340A" w14:textId="2448B355" w:rsidR="0072177F" w:rsidRPr="00A23FB4" w:rsidRDefault="0072177F" w:rsidP="0072177F">
      <w:pPr>
        <w:pStyle w:val="tekstost"/>
        <w:tabs>
          <w:tab w:val="left" w:pos="9914"/>
        </w:tabs>
        <w:rPr>
          <w:rFonts w:ascii="Calibri" w:hAnsi="Calibri" w:cs="Calibri"/>
        </w:rPr>
      </w:pPr>
      <w:r w:rsidRPr="00A23FB4">
        <w:rPr>
          <w:rFonts w:ascii="Calibri" w:hAnsi="Calibri" w:cs="Calibri"/>
        </w:rPr>
        <w:t xml:space="preserve">Dla każdej dostawy cementu Wykonawca powinien określić właściwości podane w pkt 2 niniejszej </w:t>
      </w:r>
      <w:r w:rsidR="00E3013A">
        <w:rPr>
          <w:rFonts w:ascii="Calibri" w:hAnsi="Calibri" w:cs="Calibri"/>
        </w:rPr>
        <w:t>ST</w:t>
      </w:r>
      <w:r w:rsidRPr="00A23FB4">
        <w:rPr>
          <w:rFonts w:ascii="Calibri" w:hAnsi="Calibri" w:cs="Calibri"/>
        </w:rPr>
        <w:t>WiORB</w:t>
      </w:r>
    </w:p>
    <w:p w14:paraId="304746B0" w14:textId="77777777" w:rsidR="009051F5" w:rsidRPr="00A23FB4" w:rsidRDefault="009051F5" w:rsidP="0072177F">
      <w:pPr>
        <w:pStyle w:val="tekstost"/>
        <w:tabs>
          <w:tab w:val="left" w:pos="9914"/>
        </w:tabs>
        <w:rPr>
          <w:rFonts w:ascii="Calibri" w:hAnsi="Calibri" w:cs="Calibri"/>
          <w:b/>
          <w:bCs/>
          <w:i/>
          <w:iCs/>
        </w:rPr>
      </w:pPr>
    </w:p>
    <w:p w14:paraId="396FACB9" w14:textId="77777777" w:rsidR="0072177F" w:rsidRPr="00A23FB4" w:rsidRDefault="0072177F" w:rsidP="0072177F">
      <w:pPr>
        <w:pStyle w:val="tekstost"/>
        <w:tabs>
          <w:tab w:val="left" w:pos="9914"/>
        </w:tabs>
        <w:rPr>
          <w:rFonts w:ascii="Calibri" w:hAnsi="Calibri" w:cs="Calibri"/>
          <w:b/>
          <w:bCs/>
          <w:iCs/>
        </w:rPr>
      </w:pPr>
      <w:r w:rsidRPr="00A23FB4">
        <w:rPr>
          <w:rFonts w:ascii="Calibri" w:hAnsi="Calibri" w:cs="Calibri"/>
          <w:b/>
          <w:bCs/>
          <w:iCs/>
        </w:rPr>
        <w:t>6.3.11. Badanie wody</w:t>
      </w:r>
    </w:p>
    <w:p w14:paraId="0C42066F" w14:textId="77777777" w:rsidR="0072177F" w:rsidRPr="00A23FB4" w:rsidRDefault="0072177F" w:rsidP="0072177F">
      <w:pPr>
        <w:pStyle w:val="tekstost"/>
        <w:tabs>
          <w:tab w:val="left" w:pos="9914"/>
        </w:tabs>
        <w:rPr>
          <w:rFonts w:ascii="Calibri" w:hAnsi="Calibri" w:cs="Calibri"/>
        </w:rPr>
      </w:pPr>
      <w:r w:rsidRPr="00A23FB4">
        <w:rPr>
          <w:rFonts w:ascii="Calibri" w:hAnsi="Calibri" w:cs="Calibri"/>
        </w:rPr>
        <w:t>W przypadkach wątpliwych należy przeprowadzić badania wody wg PN-EN-1008:2004 .</w:t>
      </w:r>
    </w:p>
    <w:p w14:paraId="5BFD7FE7" w14:textId="77777777" w:rsidR="009051F5" w:rsidRPr="00A23FB4" w:rsidRDefault="009051F5" w:rsidP="0072177F">
      <w:pPr>
        <w:pStyle w:val="tekstost"/>
        <w:tabs>
          <w:tab w:val="left" w:pos="9914"/>
        </w:tabs>
        <w:rPr>
          <w:rFonts w:ascii="Calibri" w:hAnsi="Calibri" w:cs="Calibri"/>
          <w:b/>
          <w:bCs/>
          <w:i/>
          <w:iCs/>
        </w:rPr>
      </w:pPr>
    </w:p>
    <w:p w14:paraId="2720A7DF" w14:textId="77777777" w:rsidR="0072177F" w:rsidRPr="00A23FB4" w:rsidRDefault="0072177F" w:rsidP="0072177F">
      <w:pPr>
        <w:pStyle w:val="tekstost"/>
        <w:tabs>
          <w:tab w:val="left" w:pos="9914"/>
        </w:tabs>
        <w:rPr>
          <w:rFonts w:ascii="Calibri" w:hAnsi="Calibri" w:cs="Calibri"/>
          <w:b/>
          <w:bCs/>
          <w:iCs/>
        </w:rPr>
      </w:pPr>
      <w:r w:rsidRPr="00A23FB4">
        <w:rPr>
          <w:rFonts w:ascii="Calibri" w:hAnsi="Calibri" w:cs="Calibri"/>
          <w:b/>
          <w:bCs/>
          <w:iCs/>
        </w:rPr>
        <w:t>6.3.12. Badanie właściwości gruntu lub kruszywa</w:t>
      </w:r>
    </w:p>
    <w:p w14:paraId="2AD4DF85" w14:textId="3EFF3975" w:rsidR="0072177F" w:rsidRPr="00A23FB4" w:rsidRDefault="0072177F" w:rsidP="0072177F">
      <w:pPr>
        <w:pStyle w:val="tekstost"/>
        <w:tabs>
          <w:tab w:val="left" w:pos="9914"/>
        </w:tabs>
        <w:rPr>
          <w:rFonts w:ascii="Calibri" w:hAnsi="Calibri" w:cs="Calibri"/>
        </w:rPr>
      </w:pPr>
      <w:r w:rsidRPr="00A23FB4">
        <w:rPr>
          <w:rFonts w:ascii="Calibri" w:hAnsi="Calibri" w:cs="Calibri"/>
        </w:rPr>
        <w:t xml:space="preserve">Właściwości gruntu lub kruszywa należy badać przy każdej zmianie rodzaju gruntu lub kruszywa. Właściwości powinny być zgodne z wymaganiami podanymi w pkt 2 niniejszej </w:t>
      </w:r>
      <w:r w:rsidR="000907B8">
        <w:rPr>
          <w:rFonts w:ascii="Calibri" w:hAnsi="Calibri" w:cs="Calibri"/>
        </w:rPr>
        <w:t>ST</w:t>
      </w:r>
      <w:r w:rsidRPr="00A23FB4">
        <w:rPr>
          <w:rFonts w:ascii="Calibri" w:hAnsi="Calibri" w:cs="Calibri"/>
        </w:rPr>
        <w:t>WiORB.</w:t>
      </w:r>
    </w:p>
    <w:p w14:paraId="438FAC0F" w14:textId="77777777" w:rsidR="0072177F" w:rsidRPr="00A23FB4" w:rsidRDefault="0072177F" w:rsidP="0072177F">
      <w:pPr>
        <w:pStyle w:val="Nagwek4"/>
        <w:tabs>
          <w:tab w:val="left" w:pos="9914"/>
        </w:tabs>
        <w:rPr>
          <w:rFonts w:ascii="Calibri" w:hAnsi="Calibri" w:cs="Calibri"/>
        </w:rPr>
      </w:pPr>
      <w:r w:rsidRPr="00A23FB4">
        <w:rPr>
          <w:rFonts w:ascii="Calibri" w:hAnsi="Calibri" w:cs="Calibri"/>
        </w:rPr>
        <w:t>6.4. Wymagania dotyczące cech geometrycznych i wytrzymałościowych ulepszonego podłoża stabilizowanego cementem</w:t>
      </w:r>
    </w:p>
    <w:p w14:paraId="79C8A4DF" w14:textId="77777777" w:rsidR="0072177F" w:rsidRPr="00A23FB4" w:rsidRDefault="0072177F" w:rsidP="0072177F">
      <w:pPr>
        <w:tabs>
          <w:tab w:val="left" w:pos="9914"/>
        </w:tabs>
        <w:rPr>
          <w:rFonts w:ascii="Calibri" w:hAnsi="Calibri" w:cs="Calibri"/>
          <w:b/>
          <w:bCs/>
          <w:iCs/>
        </w:rPr>
      </w:pPr>
      <w:r w:rsidRPr="00A23FB4">
        <w:rPr>
          <w:rFonts w:ascii="Calibri" w:hAnsi="Calibri" w:cs="Calibri"/>
          <w:b/>
          <w:bCs/>
          <w:iCs/>
        </w:rPr>
        <w:t>6.4.1. Częstotliwość oraz zakres badań i  pomiarów</w:t>
      </w:r>
    </w:p>
    <w:p w14:paraId="2169EEA8" w14:textId="77777777" w:rsidR="0072177F" w:rsidRPr="00A23FB4" w:rsidRDefault="0072177F" w:rsidP="0072177F">
      <w:pPr>
        <w:tabs>
          <w:tab w:val="left" w:pos="9914"/>
        </w:tabs>
        <w:rPr>
          <w:rFonts w:ascii="Calibri" w:hAnsi="Calibri" w:cs="Calibri"/>
        </w:rPr>
      </w:pPr>
      <w:r w:rsidRPr="00A23FB4">
        <w:rPr>
          <w:rFonts w:ascii="Calibri" w:hAnsi="Calibri" w:cs="Calibri"/>
        </w:rPr>
        <w:t>Częstotliwość oraz zakres badań i pomiarów dotyczących cech geometrycznych  podaje  tablica 2.</w:t>
      </w:r>
    </w:p>
    <w:p w14:paraId="77F56F61" w14:textId="77777777" w:rsidR="0072177F" w:rsidRPr="00A23FB4" w:rsidRDefault="0072177F" w:rsidP="0072177F">
      <w:pPr>
        <w:tabs>
          <w:tab w:val="left" w:pos="9914"/>
        </w:tabs>
        <w:rPr>
          <w:rFonts w:ascii="Calibri" w:hAnsi="Calibri" w:cs="Calibri"/>
        </w:rPr>
      </w:pPr>
      <w:r w:rsidRPr="00A23FB4">
        <w:rPr>
          <w:rFonts w:ascii="Calibri" w:hAnsi="Calibri" w:cs="Calibri"/>
        </w:rPr>
        <w:t>Tablica 2. Częstotliwość oraz zakres badań i  pomiarów wykonanego ulepszonego podłoża stabilizowanego cementem</w:t>
      </w:r>
    </w:p>
    <w:p w14:paraId="1DBEDFF7" w14:textId="77777777" w:rsidR="0072177F" w:rsidRPr="00A23FB4" w:rsidRDefault="0072177F" w:rsidP="0072177F">
      <w:pPr>
        <w:tabs>
          <w:tab w:val="left" w:pos="9914"/>
        </w:tabs>
        <w:rPr>
          <w:rFonts w:ascii="Calibri" w:hAnsi="Calibri" w:cs="Calibri"/>
        </w:rPr>
      </w:pPr>
    </w:p>
    <w:tbl>
      <w:tblPr>
        <w:tblW w:w="0" w:type="auto"/>
        <w:tblInd w:w="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90"/>
        <w:gridCol w:w="4320"/>
        <w:gridCol w:w="4500"/>
      </w:tblGrid>
      <w:tr w:rsidR="0072177F" w:rsidRPr="00A23FB4" w14:paraId="6EC6FCF5" w14:textId="77777777" w:rsidTr="0072177F">
        <w:tc>
          <w:tcPr>
            <w:tcW w:w="790" w:type="dxa"/>
            <w:tcBorders>
              <w:bottom w:val="double" w:sz="6" w:space="0" w:color="auto"/>
            </w:tcBorders>
          </w:tcPr>
          <w:p w14:paraId="3EA2C6CB" w14:textId="77777777" w:rsidR="0072177F" w:rsidRPr="00A23FB4" w:rsidRDefault="0072177F" w:rsidP="0072177F">
            <w:pPr>
              <w:tabs>
                <w:tab w:val="left" w:pos="9914"/>
              </w:tabs>
              <w:rPr>
                <w:rFonts w:ascii="Calibri" w:hAnsi="Calibri" w:cs="Calibri"/>
                <w:b/>
                <w:bCs/>
              </w:rPr>
            </w:pPr>
            <w:r w:rsidRPr="00A23FB4">
              <w:rPr>
                <w:rFonts w:ascii="Calibri" w:hAnsi="Calibri" w:cs="Calibri"/>
              </w:rPr>
              <w:t>Lp.</w:t>
            </w:r>
          </w:p>
        </w:tc>
        <w:tc>
          <w:tcPr>
            <w:tcW w:w="4320" w:type="dxa"/>
            <w:tcBorders>
              <w:bottom w:val="double" w:sz="6" w:space="0" w:color="auto"/>
            </w:tcBorders>
          </w:tcPr>
          <w:p w14:paraId="05B13F34" w14:textId="77777777" w:rsidR="0072177F" w:rsidRPr="00A23FB4" w:rsidRDefault="0072177F" w:rsidP="0072177F">
            <w:pPr>
              <w:tabs>
                <w:tab w:val="left" w:pos="9914"/>
              </w:tabs>
              <w:rPr>
                <w:rFonts w:ascii="Calibri" w:hAnsi="Calibri" w:cs="Calibri"/>
                <w:b/>
                <w:bCs/>
              </w:rPr>
            </w:pPr>
            <w:r w:rsidRPr="00A23FB4">
              <w:rPr>
                <w:rFonts w:ascii="Calibri" w:hAnsi="Calibri" w:cs="Calibri"/>
              </w:rPr>
              <w:t>Wyszczególnienie badań i pomiarów</w:t>
            </w:r>
          </w:p>
        </w:tc>
        <w:tc>
          <w:tcPr>
            <w:tcW w:w="4500" w:type="dxa"/>
            <w:tcBorders>
              <w:bottom w:val="double" w:sz="6" w:space="0" w:color="auto"/>
            </w:tcBorders>
          </w:tcPr>
          <w:p w14:paraId="7BD25F1D" w14:textId="77777777" w:rsidR="0072177F" w:rsidRPr="00A23FB4" w:rsidRDefault="0072177F" w:rsidP="0072177F">
            <w:pPr>
              <w:tabs>
                <w:tab w:val="left" w:pos="9914"/>
              </w:tabs>
              <w:rPr>
                <w:rFonts w:ascii="Calibri" w:hAnsi="Calibri" w:cs="Calibri"/>
              </w:rPr>
            </w:pPr>
            <w:r w:rsidRPr="00A23FB4">
              <w:rPr>
                <w:rFonts w:ascii="Calibri" w:hAnsi="Calibri" w:cs="Calibri"/>
              </w:rPr>
              <w:t xml:space="preserve">Minimalna częstotliwość </w:t>
            </w:r>
          </w:p>
          <w:p w14:paraId="5097E8B3" w14:textId="77777777" w:rsidR="0072177F" w:rsidRPr="00A23FB4" w:rsidRDefault="0072177F" w:rsidP="0072177F">
            <w:pPr>
              <w:tabs>
                <w:tab w:val="left" w:pos="9914"/>
              </w:tabs>
              <w:rPr>
                <w:rFonts w:ascii="Calibri" w:hAnsi="Calibri" w:cs="Calibri"/>
                <w:b/>
                <w:bCs/>
              </w:rPr>
            </w:pPr>
            <w:r w:rsidRPr="00A23FB4">
              <w:rPr>
                <w:rFonts w:ascii="Calibri" w:hAnsi="Calibri" w:cs="Calibri"/>
              </w:rPr>
              <w:t>badań i  pomiarów</w:t>
            </w:r>
          </w:p>
        </w:tc>
      </w:tr>
      <w:tr w:rsidR="0072177F" w:rsidRPr="00A23FB4" w14:paraId="206F3993" w14:textId="77777777" w:rsidTr="0072177F">
        <w:tc>
          <w:tcPr>
            <w:tcW w:w="790" w:type="dxa"/>
            <w:tcBorders>
              <w:top w:val="nil"/>
            </w:tcBorders>
          </w:tcPr>
          <w:p w14:paraId="62E32C5A" w14:textId="77777777" w:rsidR="0072177F" w:rsidRPr="00A23FB4" w:rsidRDefault="0072177F" w:rsidP="0072177F">
            <w:pPr>
              <w:tabs>
                <w:tab w:val="left" w:pos="9914"/>
              </w:tabs>
              <w:rPr>
                <w:rFonts w:ascii="Calibri" w:hAnsi="Calibri" w:cs="Calibri"/>
                <w:b/>
                <w:bCs/>
              </w:rPr>
            </w:pPr>
            <w:r w:rsidRPr="00A23FB4">
              <w:rPr>
                <w:rFonts w:ascii="Calibri" w:hAnsi="Calibri" w:cs="Calibri"/>
              </w:rPr>
              <w:t>1</w:t>
            </w:r>
          </w:p>
        </w:tc>
        <w:tc>
          <w:tcPr>
            <w:tcW w:w="4320" w:type="dxa"/>
            <w:tcBorders>
              <w:top w:val="nil"/>
            </w:tcBorders>
          </w:tcPr>
          <w:p w14:paraId="40296185" w14:textId="77777777" w:rsidR="0072177F" w:rsidRPr="00A23FB4" w:rsidRDefault="0072177F" w:rsidP="0072177F">
            <w:pPr>
              <w:tabs>
                <w:tab w:val="left" w:pos="9914"/>
              </w:tabs>
              <w:rPr>
                <w:rFonts w:ascii="Calibri" w:hAnsi="Calibri" w:cs="Calibri"/>
                <w:b/>
                <w:bCs/>
              </w:rPr>
            </w:pPr>
            <w:r w:rsidRPr="00A23FB4">
              <w:rPr>
                <w:rFonts w:ascii="Calibri" w:hAnsi="Calibri" w:cs="Calibri"/>
              </w:rPr>
              <w:t xml:space="preserve">Szerokość </w:t>
            </w:r>
          </w:p>
        </w:tc>
        <w:tc>
          <w:tcPr>
            <w:tcW w:w="4500" w:type="dxa"/>
            <w:tcBorders>
              <w:top w:val="nil"/>
            </w:tcBorders>
          </w:tcPr>
          <w:p w14:paraId="0E8F0994" w14:textId="77777777" w:rsidR="0072177F" w:rsidRPr="00A23FB4" w:rsidRDefault="0072177F" w:rsidP="0072177F">
            <w:pPr>
              <w:tabs>
                <w:tab w:val="left" w:pos="9914"/>
              </w:tabs>
              <w:rPr>
                <w:rFonts w:ascii="Calibri" w:hAnsi="Calibri" w:cs="Calibri"/>
                <w:b/>
                <w:bCs/>
              </w:rPr>
            </w:pPr>
            <w:r w:rsidRPr="00A23FB4">
              <w:rPr>
                <w:rFonts w:ascii="Calibri" w:hAnsi="Calibri" w:cs="Calibri"/>
              </w:rPr>
              <w:t>10 razy na 1 km</w:t>
            </w:r>
          </w:p>
        </w:tc>
      </w:tr>
      <w:tr w:rsidR="0072177F" w:rsidRPr="00A23FB4" w14:paraId="384E8684" w14:textId="77777777" w:rsidTr="0072177F">
        <w:tc>
          <w:tcPr>
            <w:tcW w:w="790" w:type="dxa"/>
          </w:tcPr>
          <w:p w14:paraId="660088D4" w14:textId="77777777" w:rsidR="0072177F" w:rsidRPr="00A23FB4" w:rsidRDefault="0072177F" w:rsidP="0072177F">
            <w:pPr>
              <w:tabs>
                <w:tab w:val="left" w:pos="9914"/>
              </w:tabs>
              <w:rPr>
                <w:rFonts w:ascii="Calibri" w:hAnsi="Calibri" w:cs="Calibri"/>
                <w:b/>
                <w:bCs/>
              </w:rPr>
            </w:pPr>
            <w:r w:rsidRPr="00A23FB4">
              <w:rPr>
                <w:rFonts w:ascii="Calibri" w:hAnsi="Calibri" w:cs="Calibri"/>
              </w:rPr>
              <w:t>2</w:t>
            </w:r>
          </w:p>
        </w:tc>
        <w:tc>
          <w:tcPr>
            <w:tcW w:w="4320" w:type="dxa"/>
          </w:tcPr>
          <w:p w14:paraId="3D8E1158" w14:textId="77777777" w:rsidR="0072177F" w:rsidRPr="00A23FB4" w:rsidRDefault="0072177F" w:rsidP="0072177F">
            <w:pPr>
              <w:tabs>
                <w:tab w:val="left" w:pos="9914"/>
              </w:tabs>
              <w:rPr>
                <w:rFonts w:ascii="Calibri" w:hAnsi="Calibri" w:cs="Calibri"/>
                <w:b/>
                <w:bCs/>
              </w:rPr>
            </w:pPr>
            <w:r w:rsidRPr="00A23FB4">
              <w:rPr>
                <w:rFonts w:ascii="Calibri" w:hAnsi="Calibri" w:cs="Calibri"/>
              </w:rPr>
              <w:t>Równość podłużna</w:t>
            </w:r>
          </w:p>
        </w:tc>
        <w:tc>
          <w:tcPr>
            <w:tcW w:w="4500" w:type="dxa"/>
          </w:tcPr>
          <w:p w14:paraId="0E3C3F21" w14:textId="77777777" w:rsidR="0072177F" w:rsidRPr="00A23FB4" w:rsidRDefault="0072177F" w:rsidP="0072177F">
            <w:pPr>
              <w:tabs>
                <w:tab w:val="left" w:pos="9914"/>
              </w:tabs>
              <w:rPr>
                <w:rFonts w:ascii="Calibri" w:hAnsi="Calibri" w:cs="Calibri"/>
                <w:b/>
                <w:bCs/>
              </w:rPr>
            </w:pPr>
            <w:r w:rsidRPr="00A23FB4">
              <w:rPr>
                <w:rFonts w:ascii="Calibri" w:hAnsi="Calibri" w:cs="Calibri"/>
              </w:rPr>
              <w:t>co 20 m łatą na każdym pasie ruchu</w:t>
            </w:r>
          </w:p>
        </w:tc>
      </w:tr>
      <w:tr w:rsidR="0072177F" w:rsidRPr="00A23FB4" w14:paraId="7763B967" w14:textId="77777777" w:rsidTr="0072177F">
        <w:tc>
          <w:tcPr>
            <w:tcW w:w="790" w:type="dxa"/>
          </w:tcPr>
          <w:p w14:paraId="378B5244" w14:textId="77777777" w:rsidR="0072177F" w:rsidRPr="00A23FB4" w:rsidRDefault="0072177F" w:rsidP="0072177F">
            <w:pPr>
              <w:tabs>
                <w:tab w:val="left" w:pos="9914"/>
              </w:tabs>
              <w:rPr>
                <w:rFonts w:ascii="Calibri" w:hAnsi="Calibri" w:cs="Calibri"/>
                <w:b/>
                <w:bCs/>
              </w:rPr>
            </w:pPr>
            <w:r w:rsidRPr="00A23FB4">
              <w:rPr>
                <w:rFonts w:ascii="Calibri" w:hAnsi="Calibri" w:cs="Calibri"/>
              </w:rPr>
              <w:t>3</w:t>
            </w:r>
          </w:p>
        </w:tc>
        <w:tc>
          <w:tcPr>
            <w:tcW w:w="4320" w:type="dxa"/>
          </w:tcPr>
          <w:p w14:paraId="76DFCC26" w14:textId="77777777" w:rsidR="0072177F" w:rsidRPr="00A23FB4" w:rsidRDefault="0072177F" w:rsidP="0072177F">
            <w:pPr>
              <w:tabs>
                <w:tab w:val="left" w:pos="9914"/>
              </w:tabs>
              <w:rPr>
                <w:rFonts w:ascii="Calibri" w:hAnsi="Calibri" w:cs="Calibri"/>
                <w:b/>
                <w:bCs/>
              </w:rPr>
            </w:pPr>
            <w:r w:rsidRPr="00A23FB4">
              <w:rPr>
                <w:rFonts w:ascii="Calibri" w:hAnsi="Calibri" w:cs="Calibri"/>
              </w:rPr>
              <w:t>Równość poprzeczna</w:t>
            </w:r>
          </w:p>
        </w:tc>
        <w:tc>
          <w:tcPr>
            <w:tcW w:w="4500" w:type="dxa"/>
          </w:tcPr>
          <w:p w14:paraId="02A7B8A8" w14:textId="77777777" w:rsidR="0072177F" w:rsidRPr="00A23FB4" w:rsidRDefault="0072177F" w:rsidP="0072177F">
            <w:pPr>
              <w:tabs>
                <w:tab w:val="left" w:pos="9914"/>
              </w:tabs>
              <w:rPr>
                <w:rFonts w:ascii="Calibri" w:hAnsi="Calibri" w:cs="Calibri"/>
                <w:b/>
                <w:bCs/>
              </w:rPr>
            </w:pPr>
            <w:r w:rsidRPr="00A23FB4">
              <w:rPr>
                <w:rFonts w:ascii="Calibri" w:hAnsi="Calibri" w:cs="Calibri"/>
              </w:rPr>
              <w:t>10 razy na 1 km</w:t>
            </w:r>
          </w:p>
        </w:tc>
      </w:tr>
      <w:tr w:rsidR="0072177F" w:rsidRPr="00A23FB4" w14:paraId="357BBD95" w14:textId="77777777" w:rsidTr="0072177F">
        <w:tc>
          <w:tcPr>
            <w:tcW w:w="790" w:type="dxa"/>
          </w:tcPr>
          <w:p w14:paraId="47CCA359" w14:textId="77777777" w:rsidR="0072177F" w:rsidRPr="00A23FB4" w:rsidRDefault="0072177F" w:rsidP="0072177F">
            <w:pPr>
              <w:tabs>
                <w:tab w:val="left" w:pos="9914"/>
              </w:tabs>
              <w:rPr>
                <w:rFonts w:ascii="Calibri" w:hAnsi="Calibri" w:cs="Calibri"/>
                <w:b/>
                <w:bCs/>
              </w:rPr>
            </w:pPr>
            <w:r w:rsidRPr="00A23FB4">
              <w:rPr>
                <w:rFonts w:ascii="Calibri" w:hAnsi="Calibri" w:cs="Calibri"/>
              </w:rPr>
              <w:t>4</w:t>
            </w:r>
          </w:p>
        </w:tc>
        <w:tc>
          <w:tcPr>
            <w:tcW w:w="4320" w:type="dxa"/>
          </w:tcPr>
          <w:p w14:paraId="10A372B7" w14:textId="77777777" w:rsidR="0072177F" w:rsidRPr="00A23FB4" w:rsidRDefault="0072177F" w:rsidP="0072177F">
            <w:pPr>
              <w:tabs>
                <w:tab w:val="left" w:pos="9914"/>
              </w:tabs>
              <w:rPr>
                <w:rFonts w:ascii="Calibri" w:hAnsi="Calibri" w:cs="Calibri"/>
                <w:b/>
                <w:bCs/>
              </w:rPr>
            </w:pPr>
            <w:r w:rsidRPr="00A23FB4">
              <w:rPr>
                <w:rFonts w:ascii="Calibri" w:hAnsi="Calibri" w:cs="Calibri"/>
              </w:rPr>
              <w:t>Spadki poprzeczne*</w:t>
            </w:r>
            <w:r w:rsidRPr="00A23FB4">
              <w:rPr>
                <w:rFonts w:ascii="Calibri" w:hAnsi="Calibri" w:cs="Calibri"/>
                <w:vertAlign w:val="superscript"/>
              </w:rPr>
              <w:t>)</w:t>
            </w:r>
          </w:p>
        </w:tc>
        <w:tc>
          <w:tcPr>
            <w:tcW w:w="4500" w:type="dxa"/>
            <w:tcBorders>
              <w:bottom w:val="nil"/>
            </w:tcBorders>
          </w:tcPr>
          <w:p w14:paraId="697480BD" w14:textId="77777777" w:rsidR="0072177F" w:rsidRPr="00A23FB4" w:rsidRDefault="0072177F" w:rsidP="0072177F">
            <w:pPr>
              <w:tabs>
                <w:tab w:val="left" w:pos="9914"/>
              </w:tabs>
              <w:rPr>
                <w:rFonts w:ascii="Calibri" w:hAnsi="Calibri" w:cs="Calibri"/>
                <w:b/>
                <w:bCs/>
              </w:rPr>
            </w:pPr>
            <w:r w:rsidRPr="00A23FB4">
              <w:rPr>
                <w:rFonts w:ascii="Calibri" w:hAnsi="Calibri" w:cs="Calibri"/>
              </w:rPr>
              <w:t>10 razy na 1 km</w:t>
            </w:r>
          </w:p>
        </w:tc>
      </w:tr>
      <w:tr w:rsidR="0072177F" w:rsidRPr="00A23FB4" w14:paraId="43F37354" w14:textId="77777777" w:rsidTr="0072177F">
        <w:tc>
          <w:tcPr>
            <w:tcW w:w="790" w:type="dxa"/>
          </w:tcPr>
          <w:p w14:paraId="6724DEAF" w14:textId="77777777" w:rsidR="0072177F" w:rsidRPr="00A23FB4" w:rsidRDefault="0072177F" w:rsidP="0072177F">
            <w:pPr>
              <w:tabs>
                <w:tab w:val="left" w:pos="9914"/>
              </w:tabs>
              <w:rPr>
                <w:rFonts w:ascii="Calibri" w:hAnsi="Calibri" w:cs="Calibri"/>
                <w:b/>
                <w:bCs/>
              </w:rPr>
            </w:pPr>
            <w:r w:rsidRPr="00A23FB4">
              <w:rPr>
                <w:rFonts w:ascii="Calibri" w:hAnsi="Calibri" w:cs="Calibri"/>
              </w:rPr>
              <w:t>5</w:t>
            </w:r>
          </w:p>
        </w:tc>
        <w:tc>
          <w:tcPr>
            <w:tcW w:w="4320" w:type="dxa"/>
          </w:tcPr>
          <w:p w14:paraId="0C7FCC73" w14:textId="77777777" w:rsidR="0072177F" w:rsidRPr="00A23FB4" w:rsidRDefault="0072177F" w:rsidP="0072177F">
            <w:pPr>
              <w:tabs>
                <w:tab w:val="left" w:pos="9914"/>
              </w:tabs>
              <w:rPr>
                <w:rFonts w:ascii="Calibri" w:hAnsi="Calibri" w:cs="Calibri"/>
                <w:b/>
                <w:bCs/>
              </w:rPr>
            </w:pPr>
            <w:r w:rsidRPr="00A23FB4">
              <w:rPr>
                <w:rFonts w:ascii="Calibri" w:hAnsi="Calibri" w:cs="Calibri"/>
              </w:rPr>
              <w:t>Rzędne wysokościowe</w:t>
            </w:r>
          </w:p>
        </w:tc>
        <w:tc>
          <w:tcPr>
            <w:tcW w:w="4500" w:type="dxa"/>
            <w:tcBorders>
              <w:bottom w:val="nil"/>
            </w:tcBorders>
          </w:tcPr>
          <w:p w14:paraId="1DD30855" w14:textId="77777777" w:rsidR="0072177F" w:rsidRPr="00A23FB4" w:rsidRDefault="0072177F" w:rsidP="0072177F">
            <w:pPr>
              <w:tabs>
                <w:tab w:val="left" w:pos="9914"/>
              </w:tabs>
              <w:rPr>
                <w:rFonts w:ascii="Calibri" w:hAnsi="Calibri" w:cs="Calibri"/>
              </w:rPr>
            </w:pPr>
            <w:r w:rsidRPr="00A23FB4">
              <w:rPr>
                <w:rFonts w:ascii="Calibri" w:hAnsi="Calibri" w:cs="Calibri"/>
              </w:rPr>
              <w:t>co 100 m</w:t>
            </w:r>
          </w:p>
        </w:tc>
      </w:tr>
      <w:tr w:rsidR="0072177F" w:rsidRPr="00A23FB4" w14:paraId="159DCAB4" w14:textId="77777777" w:rsidTr="0072177F">
        <w:tc>
          <w:tcPr>
            <w:tcW w:w="790" w:type="dxa"/>
          </w:tcPr>
          <w:p w14:paraId="6D9C3E2C" w14:textId="77777777" w:rsidR="0072177F" w:rsidRPr="00A23FB4" w:rsidRDefault="0072177F" w:rsidP="0072177F">
            <w:pPr>
              <w:tabs>
                <w:tab w:val="left" w:pos="9914"/>
              </w:tabs>
              <w:rPr>
                <w:rFonts w:ascii="Calibri" w:hAnsi="Calibri" w:cs="Calibri"/>
                <w:b/>
                <w:bCs/>
              </w:rPr>
            </w:pPr>
            <w:r w:rsidRPr="00A23FB4">
              <w:rPr>
                <w:rFonts w:ascii="Calibri" w:hAnsi="Calibri" w:cs="Calibri"/>
              </w:rPr>
              <w:t>6</w:t>
            </w:r>
          </w:p>
        </w:tc>
        <w:tc>
          <w:tcPr>
            <w:tcW w:w="4320" w:type="dxa"/>
          </w:tcPr>
          <w:p w14:paraId="1E0A03F7" w14:textId="77777777" w:rsidR="0072177F" w:rsidRPr="00A23FB4" w:rsidRDefault="0072177F" w:rsidP="0072177F">
            <w:pPr>
              <w:tabs>
                <w:tab w:val="left" w:pos="9914"/>
              </w:tabs>
              <w:rPr>
                <w:rFonts w:ascii="Calibri" w:hAnsi="Calibri" w:cs="Calibri"/>
                <w:b/>
                <w:bCs/>
              </w:rPr>
            </w:pPr>
            <w:r w:rsidRPr="00A23FB4">
              <w:rPr>
                <w:rFonts w:ascii="Calibri" w:hAnsi="Calibri" w:cs="Calibri"/>
              </w:rPr>
              <w:t>Ukształtowanie osi w planie*</w:t>
            </w:r>
            <w:r w:rsidRPr="00A23FB4">
              <w:rPr>
                <w:rFonts w:ascii="Calibri" w:hAnsi="Calibri" w:cs="Calibri"/>
                <w:vertAlign w:val="superscript"/>
              </w:rPr>
              <w:t>)</w:t>
            </w:r>
          </w:p>
        </w:tc>
        <w:tc>
          <w:tcPr>
            <w:tcW w:w="4500" w:type="dxa"/>
            <w:tcBorders>
              <w:top w:val="nil"/>
            </w:tcBorders>
          </w:tcPr>
          <w:p w14:paraId="0146D674" w14:textId="77777777" w:rsidR="0072177F" w:rsidRPr="00A23FB4" w:rsidRDefault="0072177F" w:rsidP="0072177F">
            <w:pPr>
              <w:tabs>
                <w:tab w:val="left" w:pos="9914"/>
              </w:tabs>
              <w:rPr>
                <w:rFonts w:ascii="Calibri" w:hAnsi="Calibri" w:cs="Calibri"/>
                <w:b/>
                <w:bCs/>
              </w:rPr>
            </w:pPr>
          </w:p>
        </w:tc>
      </w:tr>
      <w:tr w:rsidR="0072177F" w:rsidRPr="00A23FB4" w14:paraId="6385960F" w14:textId="77777777" w:rsidTr="0072177F">
        <w:tc>
          <w:tcPr>
            <w:tcW w:w="790" w:type="dxa"/>
          </w:tcPr>
          <w:p w14:paraId="61761576" w14:textId="77777777" w:rsidR="0072177F" w:rsidRPr="00A23FB4" w:rsidRDefault="0072177F" w:rsidP="0072177F">
            <w:pPr>
              <w:tabs>
                <w:tab w:val="left" w:pos="9914"/>
              </w:tabs>
              <w:rPr>
                <w:rFonts w:ascii="Calibri" w:hAnsi="Calibri" w:cs="Calibri"/>
                <w:b/>
                <w:bCs/>
              </w:rPr>
            </w:pPr>
            <w:r w:rsidRPr="00A23FB4">
              <w:rPr>
                <w:rFonts w:ascii="Calibri" w:hAnsi="Calibri" w:cs="Calibri"/>
              </w:rPr>
              <w:t>7</w:t>
            </w:r>
          </w:p>
        </w:tc>
        <w:tc>
          <w:tcPr>
            <w:tcW w:w="4320" w:type="dxa"/>
          </w:tcPr>
          <w:p w14:paraId="0A222C72" w14:textId="77777777" w:rsidR="0072177F" w:rsidRPr="00A23FB4" w:rsidRDefault="0072177F" w:rsidP="0072177F">
            <w:pPr>
              <w:tabs>
                <w:tab w:val="left" w:pos="9914"/>
              </w:tabs>
              <w:rPr>
                <w:rFonts w:ascii="Calibri" w:hAnsi="Calibri" w:cs="Calibri"/>
                <w:b/>
                <w:bCs/>
              </w:rPr>
            </w:pPr>
            <w:r w:rsidRPr="00A23FB4">
              <w:rPr>
                <w:rFonts w:ascii="Calibri" w:hAnsi="Calibri" w:cs="Calibri"/>
              </w:rPr>
              <w:t>Grubość podbudowy i ulepszonego podłoża</w:t>
            </w:r>
          </w:p>
        </w:tc>
        <w:tc>
          <w:tcPr>
            <w:tcW w:w="4500" w:type="dxa"/>
          </w:tcPr>
          <w:p w14:paraId="5C0FC1AB" w14:textId="77777777" w:rsidR="0072177F" w:rsidRPr="00A23FB4" w:rsidRDefault="0072177F" w:rsidP="0072177F">
            <w:pPr>
              <w:tabs>
                <w:tab w:val="left" w:pos="9914"/>
              </w:tabs>
              <w:rPr>
                <w:rFonts w:ascii="Calibri" w:hAnsi="Calibri" w:cs="Calibri"/>
                <w:b/>
                <w:bCs/>
              </w:rPr>
            </w:pPr>
            <w:r w:rsidRPr="00A23FB4">
              <w:rPr>
                <w:rFonts w:ascii="Calibri" w:hAnsi="Calibri" w:cs="Calibri"/>
              </w:rPr>
              <w:t>w 3 punktach, lecz nie rzadziej niż raz na 2000 m</w:t>
            </w:r>
            <w:r w:rsidRPr="00A23FB4">
              <w:rPr>
                <w:rFonts w:ascii="Calibri" w:hAnsi="Calibri" w:cs="Calibri"/>
                <w:vertAlign w:val="superscript"/>
              </w:rPr>
              <w:t>2</w:t>
            </w:r>
          </w:p>
        </w:tc>
      </w:tr>
    </w:tbl>
    <w:p w14:paraId="16DAAE98" w14:textId="77777777" w:rsidR="0072177F" w:rsidRPr="00A23FB4" w:rsidRDefault="0072177F" w:rsidP="0072177F">
      <w:pPr>
        <w:tabs>
          <w:tab w:val="left" w:pos="9914"/>
        </w:tabs>
        <w:ind w:hanging="284"/>
        <w:rPr>
          <w:rFonts w:ascii="Calibri" w:hAnsi="Calibri" w:cs="Calibri"/>
        </w:rPr>
      </w:pPr>
      <w:r w:rsidRPr="00A23FB4">
        <w:rPr>
          <w:rFonts w:ascii="Calibri" w:hAnsi="Calibri" w:cs="Calibri"/>
        </w:rPr>
        <w:t>*) Dodatkowe pomiary spadków poprzecznych i ukształtowania osi w planie należy wykonać w punktach głównych łuków poziomych.</w:t>
      </w:r>
    </w:p>
    <w:p w14:paraId="5E68BB55" w14:textId="77777777" w:rsidR="009051F5" w:rsidRPr="00A23FB4" w:rsidRDefault="009051F5" w:rsidP="0072177F">
      <w:pPr>
        <w:tabs>
          <w:tab w:val="left" w:pos="9914"/>
        </w:tabs>
        <w:ind w:hanging="284"/>
        <w:rPr>
          <w:rFonts w:ascii="Calibri" w:hAnsi="Calibri" w:cs="Calibri"/>
        </w:rPr>
      </w:pPr>
    </w:p>
    <w:p w14:paraId="72E79BF8" w14:textId="77777777" w:rsidR="0072177F" w:rsidRPr="00A23FB4" w:rsidRDefault="0072177F" w:rsidP="0072177F">
      <w:pPr>
        <w:keepNext/>
        <w:tabs>
          <w:tab w:val="left" w:pos="9914"/>
        </w:tabs>
        <w:rPr>
          <w:rFonts w:ascii="Calibri" w:hAnsi="Calibri" w:cs="Calibri"/>
          <w:b/>
          <w:bCs/>
          <w:iCs/>
        </w:rPr>
      </w:pPr>
      <w:r w:rsidRPr="00A23FB4">
        <w:rPr>
          <w:rFonts w:ascii="Calibri" w:hAnsi="Calibri" w:cs="Calibri"/>
          <w:b/>
          <w:bCs/>
          <w:iCs/>
        </w:rPr>
        <w:t>6.4.2. Szerokość  ulepszonego podłoża</w:t>
      </w:r>
    </w:p>
    <w:p w14:paraId="3A576F1B" w14:textId="77777777" w:rsidR="0072177F" w:rsidRPr="00A23FB4" w:rsidRDefault="0072177F" w:rsidP="0072177F">
      <w:pPr>
        <w:tabs>
          <w:tab w:val="left" w:pos="9914"/>
        </w:tabs>
        <w:rPr>
          <w:rFonts w:ascii="Calibri" w:hAnsi="Calibri" w:cs="Calibri"/>
        </w:rPr>
      </w:pPr>
      <w:r w:rsidRPr="00A23FB4">
        <w:rPr>
          <w:rFonts w:ascii="Calibri" w:hAnsi="Calibri" w:cs="Calibri"/>
        </w:rPr>
        <w:t>Szerokość  ulepszonego podłoża nie może różnić się od szerokości projektowanej o więcej niż +10 cm, -5 cm.</w:t>
      </w:r>
    </w:p>
    <w:p w14:paraId="474E3BF2" w14:textId="77777777" w:rsidR="009051F5" w:rsidRPr="00A23FB4" w:rsidRDefault="009051F5" w:rsidP="0072177F">
      <w:pPr>
        <w:tabs>
          <w:tab w:val="left" w:pos="9914"/>
        </w:tabs>
        <w:rPr>
          <w:rFonts w:ascii="Calibri" w:hAnsi="Calibri" w:cs="Calibri"/>
          <w:b/>
          <w:bCs/>
          <w:iCs/>
        </w:rPr>
      </w:pPr>
    </w:p>
    <w:p w14:paraId="1F5E844A" w14:textId="77777777" w:rsidR="0072177F" w:rsidRPr="00A23FB4" w:rsidRDefault="0072177F" w:rsidP="0072177F">
      <w:pPr>
        <w:tabs>
          <w:tab w:val="left" w:pos="9914"/>
        </w:tabs>
        <w:rPr>
          <w:rFonts w:ascii="Calibri" w:hAnsi="Calibri" w:cs="Calibri"/>
          <w:b/>
          <w:bCs/>
          <w:iCs/>
        </w:rPr>
      </w:pPr>
      <w:r w:rsidRPr="00A23FB4">
        <w:rPr>
          <w:rFonts w:ascii="Calibri" w:hAnsi="Calibri" w:cs="Calibri"/>
          <w:b/>
          <w:bCs/>
          <w:iCs/>
        </w:rPr>
        <w:t>6.4.3. Równość ulepszonego podłoża</w:t>
      </w:r>
    </w:p>
    <w:p w14:paraId="0805C867" w14:textId="77777777" w:rsidR="0072177F" w:rsidRPr="00A23FB4" w:rsidRDefault="0072177F" w:rsidP="0072177F">
      <w:pPr>
        <w:tabs>
          <w:tab w:val="left" w:pos="9914"/>
        </w:tabs>
        <w:rPr>
          <w:rFonts w:ascii="Calibri" w:hAnsi="Calibri" w:cs="Calibri"/>
        </w:rPr>
      </w:pPr>
      <w:r w:rsidRPr="00A23FB4">
        <w:rPr>
          <w:rFonts w:ascii="Calibri" w:hAnsi="Calibri" w:cs="Calibri"/>
        </w:rPr>
        <w:t>Nierówności podłużne ulepszonego podłoża należy mierzyć 4-metrową łatą .</w:t>
      </w:r>
    </w:p>
    <w:p w14:paraId="60E5CFC3" w14:textId="77777777" w:rsidR="0072177F" w:rsidRPr="00A23FB4" w:rsidRDefault="0072177F" w:rsidP="0072177F">
      <w:pPr>
        <w:tabs>
          <w:tab w:val="left" w:pos="9914"/>
        </w:tabs>
        <w:rPr>
          <w:rFonts w:ascii="Calibri" w:hAnsi="Calibri" w:cs="Calibri"/>
        </w:rPr>
      </w:pPr>
      <w:r w:rsidRPr="00A23FB4">
        <w:rPr>
          <w:rFonts w:ascii="Calibri" w:hAnsi="Calibri" w:cs="Calibri"/>
        </w:rPr>
        <w:t xml:space="preserve">Nierówności poprzeczne ulepszonego podłoża należy mierzyć 4-metrową łatą. </w:t>
      </w:r>
    </w:p>
    <w:p w14:paraId="6B605C74" w14:textId="77777777" w:rsidR="0072177F" w:rsidRPr="00A23FB4" w:rsidRDefault="0072177F" w:rsidP="0072177F">
      <w:pPr>
        <w:tabs>
          <w:tab w:val="left" w:pos="9914"/>
        </w:tabs>
        <w:rPr>
          <w:rFonts w:ascii="Calibri" w:hAnsi="Calibri" w:cs="Calibri"/>
        </w:rPr>
      </w:pPr>
      <w:r w:rsidRPr="00A23FB4">
        <w:rPr>
          <w:rFonts w:ascii="Calibri" w:hAnsi="Calibri" w:cs="Calibri"/>
        </w:rPr>
        <w:t>Nierówności nie powinny  przekraczać  15 mm .</w:t>
      </w:r>
    </w:p>
    <w:p w14:paraId="6AC7CE91" w14:textId="77777777" w:rsidR="009051F5" w:rsidRPr="00A23FB4" w:rsidRDefault="009051F5" w:rsidP="0072177F">
      <w:pPr>
        <w:tabs>
          <w:tab w:val="left" w:pos="9914"/>
        </w:tabs>
        <w:rPr>
          <w:rFonts w:ascii="Calibri" w:hAnsi="Calibri" w:cs="Calibri"/>
          <w:b/>
          <w:bCs/>
          <w:iCs/>
        </w:rPr>
      </w:pPr>
    </w:p>
    <w:p w14:paraId="0E4C7768" w14:textId="77777777" w:rsidR="0072177F" w:rsidRPr="00A23FB4" w:rsidRDefault="0072177F" w:rsidP="0072177F">
      <w:pPr>
        <w:tabs>
          <w:tab w:val="left" w:pos="9914"/>
        </w:tabs>
        <w:rPr>
          <w:rFonts w:ascii="Calibri" w:hAnsi="Calibri" w:cs="Calibri"/>
          <w:b/>
          <w:bCs/>
          <w:iCs/>
        </w:rPr>
      </w:pPr>
      <w:r w:rsidRPr="00A23FB4">
        <w:rPr>
          <w:rFonts w:ascii="Calibri" w:hAnsi="Calibri" w:cs="Calibri"/>
          <w:b/>
          <w:bCs/>
          <w:iCs/>
        </w:rPr>
        <w:t>6.4.4. Spadki poprzeczne ulepszonego podłoża</w:t>
      </w:r>
    </w:p>
    <w:p w14:paraId="268D8575" w14:textId="77777777" w:rsidR="0072177F" w:rsidRPr="00A23FB4" w:rsidRDefault="0072177F" w:rsidP="0072177F">
      <w:pPr>
        <w:tabs>
          <w:tab w:val="left" w:pos="9914"/>
        </w:tabs>
        <w:rPr>
          <w:rFonts w:ascii="Calibri" w:hAnsi="Calibri" w:cs="Calibri"/>
        </w:rPr>
      </w:pPr>
      <w:r w:rsidRPr="00A23FB4">
        <w:rPr>
          <w:rFonts w:ascii="Calibri" w:hAnsi="Calibri" w:cs="Calibri"/>
        </w:rPr>
        <w:t>Spadki poprzeczne ulepszonego podłoża powinny być zgodne z dokumentacją projektową z tolerancją ± 0,5 %.</w:t>
      </w:r>
    </w:p>
    <w:p w14:paraId="1E45A795" w14:textId="77777777" w:rsidR="009051F5" w:rsidRPr="00A23FB4" w:rsidRDefault="009051F5" w:rsidP="0072177F">
      <w:pPr>
        <w:tabs>
          <w:tab w:val="left" w:pos="9914"/>
        </w:tabs>
        <w:rPr>
          <w:rFonts w:ascii="Calibri" w:hAnsi="Calibri" w:cs="Calibri"/>
          <w:b/>
          <w:bCs/>
          <w:iCs/>
        </w:rPr>
      </w:pPr>
    </w:p>
    <w:p w14:paraId="713ABCF1" w14:textId="77777777" w:rsidR="0072177F" w:rsidRPr="00A23FB4" w:rsidRDefault="0072177F" w:rsidP="0072177F">
      <w:pPr>
        <w:tabs>
          <w:tab w:val="left" w:pos="9914"/>
        </w:tabs>
        <w:rPr>
          <w:rFonts w:ascii="Calibri" w:hAnsi="Calibri" w:cs="Calibri"/>
          <w:b/>
          <w:bCs/>
          <w:iCs/>
        </w:rPr>
      </w:pPr>
      <w:r w:rsidRPr="00A23FB4">
        <w:rPr>
          <w:rFonts w:ascii="Calibri" w:hAnsi="Calibri" w:cs="Calibri"/>
          <w:b/>
          <w:bCs/>
          <w:iCs/>
        </w:rPr>
        <w:t>6.4.5. Rzędne wysokościowe ulepszonego podłoża</w:t>
      </w:r>
    </w:p>
    <w:p w14:paraId="16AF4EE7" w14:textId="6596EFEF" w:rsidR="00055576" w:rsidRPr="00A23FB4" w:rsidRDefault="0072177F" w:rsidP="0072177F">
      <w:pPr>
        <w:tabs>
          <w:tab w:val="left" w:pos="9914"/>
        </w:tabs>
        <w:rPr>
          <w:rFonts w:ascii="Calibri" w:hAnsi="Calibri" w:cs="Calibri"/>
          <w:b/>
          <w:bCs/>
          <w:iCs/>
        </w:rPr>
      </w:pPr>
      <w:r w:rsidRPr="00A23FB4">
        <w:rPr>
          <w:rFonts w:ascii="Calibri" w:hAnsi="Calibri" w:cs="Calibri"/>
        </w:rPr>
        <w:t>Różnice pomiędzy rzędnymi wykonanego ulepszonego podłoża a rzędnymi projektowanymi nie powinny przekraczać + 1 cm, -2 cm.</w:t>
      </w:r>
    </w:p>
    <w:p w14:paraId="5E72B7E1" w14:textId="77777777" w:rsidR="0072177F" w:rsidRPr="00A23FB4" w:rsidRDefault="0072177F" w:rsidP="0072177F">
      <w:pPr>
        <w:tabs>
          <w:tab w:val="left" w:pos="9914"/>
        </w:tabs>
        <w:rPr>
          <w:rFonts w:ascii="Calibri" w:hAnsi="Calibri" w:cs="Calibri"/>
          <w:b/>
          <w:bCs/>
          <w:iCs/>
        </w:rPr>
      </w:pPr>
      <w:r w:rsidRPr="00A23FB4">
        <w:rPr>
          <w:rFonts w:ascii="Calibri" w:hAnsi="Calibri" w:cs="Calibri"/>
          <w:b/>
          <w:bCs/>
          <w:iCs/>
        </w:rPr>
        <w:t>6.4.6. Ukształtowanie osi ulepszonego podłoża</w:t>
      </w:r>
    </w:p>
    <w:p w14:paraId="72050E69" w14:textId="77777777" w:rsidR="0072177F" w:rsidRPr="00A23FB4" w:rsidRDefault="0072177F" w:rsidP="0072177F">
      <w:pPr>
        <w:tabs>
          <w:tab w:val="left" w:pos="9914"/>
        </w:tabs>
        <w:rPr>
          <w:rFonts w:ascii="Calibri" w:hAnsi="Calibri" w:cs="Calibri"/>
        </w:rPr>
      </w:pPr>
      <w:r w:rsidRPr="00A23FB4">
        <w:rPr>
          <w:rFonts w:ascii="Calibri" w:hAnsi="Calibri" w:cs="Calibri"/>
        </w:rPr>
        <w:t>Oś ulepszonego podłoża w planie nie może być przesunięta w stosunku do osi projektowanej o więcej niż ± 5 cm.</w:t>
      </w:r>
    </w:p>
    <w:p w14:paraId="4706C83B" w14:textId="77777777" w:rsidR="0072177F" w:rsidRPr="00A23FB4" w:rsidRDefault="0072177F" w:rsidP="0072177F">
      <w:pPr>
        <w:tabs>
          <w:tab w:val="left" w:pos="9914"/>
        </w:tabs>
        <w:rPr>
          <w:rFonts w:ascii="Calibri" w:hAnsi="Calibri" w:cs="Calibri"/>
          <w:b/>
          <w:bCs/>
          <w:iCs/>
        </w:rPr>
      </w:pPr>
      <w:r w:rsidRPr="00A23FB4">
        <w:rPr>
          <w:rFonts w:ascii="Calibri" w:hAnsi="Calibri" w:cs="Calibri"/>
          <w:b/>
          <w:bCs/>
          <w:iCs/>
        </w:rPr>
        <w:t>6.4.7. Grubość ulepszonego podłoża</w:t>
      </w:r>
    </w:p>
    <w:p w14:paraId="6A3C6376" w14:textId="77777777" w:rsidR="0072177F" w:rsidRPr="00A23FB4" w:rsidRDefault="0072177F" w:rsidP="0072177F">
      <w:pPr>
        <w:tabs>
          <w:tab w:val="left" w:pos="9914"/>
        </w:tabs>
        <w:rPr>
          <w:rFonts w:ascii="Calibri" w:hAnsi="Calibri" w:cs="Calibri"/>
        </w:rPr>
      </w:pPr>
      <w:r w:rsidRPr="00A23FB4">
        <w:rPr>
          <w:rFonts w:ascii="Calibri" w:hAnsi="Calibri" w:cs="Calibri"/>
        </w:rPr>
        <w:t>Grubość ulepszonego podłoża nie może różnić się od grubości projektowanej o więcej niż +10%, -15%.</w:t>
      </w:r>
    </w:p>
    <w:p w14:paraId="29C09284" w14:textId="77777777" w:rsidR="0072177F" w:rsidRPr="00A23FB4" w:rsidRDefault="0072177F" w:rsidP="0072177F">
      <w:pPr>
        <w:pStyle w:val="Nagwek4"/>
        <w:tabs>
          <w:tab w:val="left" w:pos="9914"/>
        </w:tabs>
        <w:rPr>
          <w:rFonts w:ascii="Calibri" w:hAnsi="Calibri" w:cs="Calibri"/>
        </w:rPr>
      </w:pPr>
      <w:r w:rsidRPr="00A23FB4">
        <w:rPr>
          <w:rFonts w:ascii="Calibri" w:hAnsi="Calibri" w:cs="Calibri"/>
        </w:rPr>
        <w:t>6.5. Zasady postępowania z wadliwie wykonanymi odcinkami ulepszonego podłoża</w:t>
      </w:r>
    </w:p>
    <w:p w14:paraId="5BC193F7" w14:textId="77777777" w:rsidR="0072177F" w:rsidRPr="00A23FB4" w:rsidRDefault="0072177F" w:rsidP="0072177F">
      <w:pPr>
        <w:tabs>
          <w:tab w:val="left" w:pos="9914"/>
        </w:tabs>
        <w:rPr>
          <w:rFonts w:ascii="Calibri" w:hAnsi="Calibri" w:cs="Calibri"/>
          <w:b/>
          <w:bCs/>
          <w:iCs/>
        </w:rPr>
      </w:pPr>
      <w:r w:rsidRPr="00A23FB4">
        <w:rPr>
          <w:rFonts w:ascii="Calibri" w:hAnsi="Calibri" w:cs="Calibri"/>
          <w:b/>
          <w:bCs/>
          <w:iCs/>
        </w:rPr>
        <w:t>6.5.1. Niewłaściwe cechy geometryczne ulepszonego podłoża</w:t>
      </w:r>
    </w:p>
    <w:p w14:paraId="2C56458C" w14:textId="77777777" w:rsidR="0072177F" w:rsidRPr="00A23FB4" w:rsidRDefault="0072177F" w:rsidP="0072177F">
      <w:pPr>
        <w:tabs>
          <w:tab w:val="left" w:pos="9914"/>
        </w:tabs>
        <w:rPr>
          <w:rFonts w:ascii="Calibri" w:hAnsi="Calibri" w:cs="Calibri"/>
        </w:rPr>
      </w:pPr>
      <w:r w:rsidRPr="00A23FB4">
        <w:rPr>
          <w:rFonts w:ascii="Calibri" w:hAnsi="Calibri" w:cs="Calibri"/>
        </w:rPr>
        <w:t>Jeżeli po wykonaniu badań na stwardniałym ulepszonym podłożu stwierdzi się, że odchylenia cech geometrycznych przekraczają wielkości określone w p. 6.4, to warstwa zostanie zerwana na całą grubość i</w:t>
      </w:r>
      <w:r w:rsidR="00EC785C" w:rsidRPr="00A23FB4">
        <w:rPr>
          <w:rFonts w:ascii="Calibri" w:hAnsi="Calibri" w:cs="Calibri"/>
        </w:rPr>
        <w:t> </w:t>
      </w:r>
      <w:r w:rsidRPr="00A23FB4">
        <w:rPr>
          <w:rFonts w:ascii="Calibri" w:hAnsi="Calibri" w:cs="Calibri"/>
        </w:rPr>
        <w:t>ponownie wykonana na koszt Wykonawcy. Dopuszcza się inny rodzaj naprawy wykonany na koszt Wykonawcy, o ile zostanie on zaakceptowany przez Inżyniera/Kierownika projektu.</w:t>
      </w:r>
    </w:p>
    <w:p w14:paraId="04B6C509" w14:textId="77777777" w:rsidR="0072177F" w:rsidRPr="00A23FB4" w:rsidRDefault="0072177F" w:rsidP="0072177F">
      <w:pPr>
        <w:tabs>
          <w:tab w:val="left" w:pos="9914"/>
        </w:tabs>
        <w:rPr>
          <w:rFonts w:ascii="Calibri" w:hAnsi="Calibri" w:cs="Calibri"/>
        </w:rPr>
      </w:pPr>
      <w:r w:rsidRPr="00A23FB4">
        <w:rPr>
          <w:rFonts w:ascii="Calibri" w:hAnsi="Calibri" w:cs="Calibri"/>
        </w:rPr>
        <w:t>Jeżeli szerokość ulepszonego podłoża jest mniejsza od szerokości projektowanej o więcej niż 5 cm i nie zapewnia podparcia warstwom wyżej leżącym, to Wykonawca powinien poszerzyć ulepszone podłoże przez zerwanie warstwy na pełną grubość do połowy szerokości pasa ruchu i wbudowanie nowej mieszanki.</w:t>
      </w:r>
    </w:p>
    <w:p w14:paraId="72B18E15" w14:textId="77777777" w:rsidR="0072177F" w:rsidRPr="00A23FB4" w:rsidRDefault="0072177F" w:rsidP="0072177F">
      <w:pPr>
        <w:tabs>
          <w:tab w:val="left" w:pos="9914"/>
        </w:tabs>
        <w:rPr>
          <w:rFonts w:ascii="Calibri" w:hAnsi="Calibri" w:cs="Calibri"/>
        </w:rPr>
      </w:pPr>
      <w:r w:rsidRPr="00A23FB4">
        <w:rPr>
          <w:rFonts w:ascii="Calibri" w:hAnsi="Calibri" w:cs="Calibri"/>
        </w:rPr>
        <w:t>Nie dopuszcza się mieszania składników mieszanki na miejscu. Roboty te Wykonawca wykona na własny koszt.</w:t>
      </w:r>
    </w:p>
    <w:p w14:paraId="20A4B517" w14:textId="77777777" w:rsidR="0072177F" w:rsidRPr="00A23FB4" w:rsidRDefault="0072177F" w:rsidP="0072177F">
      <w:pPr>
        <w:tabs>
          <w:tab w:val="left" w:pos="9914"/>
        </w:tabs>
        <w:rPr>
          <w:rFonts w:ascii="Calibri" w:hAnsi="Calibri" w:cs="Calibri"/>
          <w:b/>
          <w:bCs/>
          <w:iCs/>
        </w:rPr>
      </w:pPr>
      <w:r w:rsidRPr="00A23FB4">
        <w:rPr>
          <w:rFonts w:ascii="Calibri" w:hAnsi="Calibri" w:cs="Calibri"/>
          <w:b/>
          <w:bCs/>
          <w:iCs/>
        </w:rPr>
        <w:t>6.5.2. Niewłaściwa grubość ulepszonego podłoża</w:t>
      </w:r>
    </w:p>
    <w:p w14:paraId="69C3F7C3" w14:textId="77777777" w:rsidR="0072177F" w:rsidRPr="00A23FB4" w:rsidRDefault="0072177F" w:rsidP="0072177F">
      <w:pPr>
        <w:tabs>
          <w:tab w:val="left" w:pos="9914"/>
        </w:tabs>
        <w:rPr>
          <w:rFonts w:ascii="Calibri" w:hAnsi="Calibri" w:cs="Calibri"/>
        </w:rPr>
      </w:pPr>
      <w:r w:rsidRPr="00A23FB4">
        <w:rPr>
          <w:rFonts w:ascii="Calibri" w:hAnsi="Calibri" w:cs="Calibri"/>
        </w:rPr>
        <w:t>Na wszystkich powierzchniach wadliwych pod względem grubości Wykonawca wykona naprawę ulepszonego podłoża przez zerwanie wykonanej warstwy, usunięcie zerwanego materiału i ponowne wykonanie warstwy o odpowiednich właściwościach i o wymaganej grubości. Roboty te Wykonawca wykona na własny koszt. Po wykonaniu tych robót nastąpi ponowny pomiar i ocena grubości warstwy, na koszt Wykonawcy.</w:t>
      </w:r>
    </w:p>
    <w:p w14:paraId="1E04EDD3" w14:textId="77777777" w:rsidR="0072177F" w:rsidRPr="00A23FB4" w:rsidRDefault="0072177F" w:rsidP="0072177F">
      <w:pPr>
        <w:tabs>
          <w:tab w:val="left" w:pos="9914"/>
        </w:tabs>
        <w:rPr>
          <w:rFonts w:ascii="Calibri" w:hAnsi="Calibri" w:cs="Calibri"/>
          <w:b/>
          <w:bCs/>
          <w:iCs/>
        </w:rPr>
      </w:pPr>
      <w:r w:rsidRPr="00A23FB4">
        <w:rPr>
          <w:rFonts w:ascii="Calibri" w:hAnsi="Calibri" w:cs="Calibri"/>
          <w:b/>
          <w:bCs/>
          <w:iCs/>
        </w:rPr>
        <w:t>6.5.3. Niewłaściwa wytrzymałość ulepszonego podłoża</w:t>
      </w:r>
    </w:p>
    <w:p w14:paraId="3E248667" w14:textId="7CB59ECE" w:rsidR="0072177F" w:rsidRPr="00A23FB4" w:rsidRDefault="0072177F" w:rsidP="0072177F">
      <w:pPr>
        <w:tabs>
          <w:tab w:val="left" w:pos="9914"/>
        </w:tabs>
        <w:rPr>
          <w:rFonts w:ascii="Calibri" w:hAnsi="Calibri" w:cs="Calibri"/>
        </w:rPr>
      </w:pPr>
      <w:r w:rsidRPr="00A23FB4">
        <w:rPr>
          <w:rFonts w:ascii="Calibri" w:hAnsi="Calibri" w:cs="Calibri"/>
        </w:rPr>
        <w:t xml:space="preserve">Jeżeli wytrzymałość średnia próbek będzie mniejsza od dolnej granicy określonej w niniejszej </w:t>
      </w:r>
      <w:r w:rsidR="000907B8">
        <w:rPr>
          <w:rFonts w:ascii="Calibri" w:hAnsi="Calibri" w:cs="Calibri"/>
        </w:rPr>
        <w:t>ST</w:t>
      </w:r>
      <w:r w:rsidRPr="00A23FB4">
        <w:rPr>
          <w:rFonts w:ascii="Calibri" w:hAnsi="Calibri" w:cs="Calibri"/>
        </w:rPr>
        <w:t>WiORB to warstwa wadliwie wykonana zostanie zerwana i wymieniona na nową o odpowiednich właściwościach na koszt Wykonawcy.</w:t>
      </w:r>
    </w:p>
    <w:p w14:paraId="1A44F397" w14:textId="77777777" w:rsidR="0072177F" w:rsidRPr="00A23FB4" w:rsidRDefault="0072177F" w:rsidP="0072177F">
      <w:pPr>
        <w:rPr>
          <w:rFonts w:ascii="Calibri" w:hAnsi="Calibri" w:cs="Calibri"/>
          <w:b/>
        </w:rPr>
      </w:pPr>
      <w:bookmarkStart w:id="551" w:name="_Toc418394443"/>
      <w:bookmarkStart w:id="552" w:name="_Toc423845944"/>
    </w:p>
    <w:p w14:paraId="624196FC" w14:textId="77777777" w:rsidR="0072177F" w:rsidRPr="00A23FB4" w:rsidRDefault="0072177F" w:rsidP="0072177F">
      <w:pPr>
        <w:rPr>
          <w:rFonts w:ascii="Calibri" w:hAnsi="Calibri" w:cs="Calibri"/>
          <w:b/>
        </w:rPr>
      </w:pPr>
      <w:r w:rsidRPr="00A23FB4">
        <w:rPr>
          <w:rFonts w:ascii="Calibri" w:hAnsi="Calibri" w:cs="Calibri"/>
          <w:b/>
        </w:rPr>
        <w:t>7. OBMIAR ROBÓT</w:t>
      </w:r>
      <w:bookmarkEnd w:id="551"/>
      <w:bookmarkEnd w:id="552"/>
    </w:p>
    <w:p w14:paraId="18C27B67" w14:textId="77777777" w:rsidR="007C04C0" w:rsidRDefault="007C04C0" w:rsidP="007C04C0">
      <w:pPr>
        <w:pStyle w:val="StylIwony"/>
        <w:suppressAutoHyphens/>
        <w:spacing w:before="0" w:after="0"/>
        <w:rPr>
          <w:rFonts w:asciiTheme="minorHAnsi" w:hAnsiTheme="minorHAnsi" w:cstheme="minorHAnsi"/>
          <w:sz w:val="20"/>
          <w:szCs w:val="20"/>
        </w:rPr>
      </w:pPr>
    </w:p>
    <w:p w14:paraId="1749AD70" w14:textId="008F692C" w:rsidR="007C04C0" w:rsidRDefault="007C04C0" w:rsidP="007C04C0">
      <w:pPr>
        <w:pStyle w:val="StylIwony"/>
        <w:suppressAutoHyphens/>
        <w:spacing w:before="0" w:after="0"/>
        <w:rPr>
          <w:rFonts w:asciiTheme="minorHAnsi" w:hAnsiTheme="minorHAnsi" w:cstheme="minorHAnsi"/>
          <w:sz w:val="20"/>
          <w:szCs w:val="20"/>
        </w:rPr>
      </w:pPr>
      <w:r>
        <w:rPr>
          <w:rFonts w:asciiTheme="minorHAnsi" w:hAnsiTheme="minorHAnsi" w:cstheme="minorHAnsi"/>
          <w:sz w:val="20"/>
          <w:szCs w:val="20"/>
        </w:rPr>
        <w:t>Kontrakt ryczałtowy</w:t>
      </w:r>
    </w:p>
    <w:p w14:paraId="7C7C45F3" w14:textId="21197A6A" w:rsidR="0072177F" w:rsidRPr="00A23FB4" w:rsidRDefault="0072177F" w:rsidP="0072177F">
      <w:pPr>
        <w:tabs>
          <w:tab w:val="left" w:pos="9914"/>
        </w:tabs>
        <w:rPr>
          <w:rFonts w:ascii="Calibri" w:hAnsi="Calibri" w:cs="Calibri"/>
        </w:rPr>
      </w:pPr>
      <w:r w:rsidRPr="00A23FB4">
        <w:rPr>
          <w:rFonts w:ascii="Calibri" w:hAnsi="Calibri" w:cs="Calibri"/>
        </w:rPr>
        <w:t xml:space="preserve">Ogólne zasady obmiaru robót podano w </w:t>
      </w:r>
      <w:r w:rsidR="00E3013A">
        <w:rPr>
          <w:rFonts w:ascii="Calibri" w:hAnsi="Calibri" w:cs="Calibri"/>
        </w:rPr>
        <w:t>ST</w:t>
      </w:r>
      <w:r w:rsidRPr="00A23FB4">
        <w:rPr>
          <w:rFonts w:ascii="Calibri" w:hAnsi="Calibri" w:cs="Calibri"/>
        </w:rPr>
        <w:t>WiORB D-M-00.00.00 „Wymagania ogólne” pkt 7.</w:t>
      </w:r>
    </w:p>
    <w:p w14:paraId="43CBC5DD" w14:textId="77777777" w:rsidR="0072177F" w:rsidRPr="00A23FB4" w:rsidRDefault="0072177F" w:rsidP="0072177F">
      <w:pPr>
        <w:rPr>
          <w:rFonts w:ascii="Calibri" w:hAnsi="Calibri" w:cs="Calibri"/>
          <w:b/>
        </w:rPr>
      </w:pPr>
      <w:bookmarkStart w:id="553" w:name="_Toc418394444"/>
      <w:bookmarkStart w:id="554" w:name="_Toc423845945"/>
    </w:p>
    <w:p w14:paraId="7B728E5E" w14:textId="7EA42F9B" w:rsidR="0072177F" w:rsidRPr="007C04C0" w:rsidRDefault="0072177F" w:rsidP="00262498">
      <w:pPr>
        <w:pStyle w:val="Akapitzlist"/>
        <w:numPr>
          <w:ilvl w:val="0"/>
          <w:numId w:val="243"/>
        </w:numPr>
        <w:rPr>
          <w:rFonts w:ascii="Calibri" w:hAnsi="Calibri" w:cs="Calibri"/>
          <w:b/>
        </w:rPr>
      </w:pPr>
      <w:r w:rsidRPr="007C04C0">
        <w:rPr>
          <w:rFonts w:ascii="Calibri" w:hAnsi="Calibri" w:cs="Calibri"/>
          <w:b/>
        </w:rPr>
        <w:t>ODBIÓR ROBÓT</w:t>
      </w:r>
      <w:bookmarkEnd w:id="553"/>
      <w:bookmarkEnd w:id="554"/>
    </w:p>
    <w:p w14:paraId="74CC993E" w14:textId="77777777" w:rsidR="0072177F" w:rsidRPr="00A23FB4" w:rsidRDefault="0072177F" w:rsidP="0072177F">
      <w:pPr>
        <w:rPr>
          <w:rFonts w:ascii="Calibri" w:hAnsi="Calibri" w:cs="Calibri"/>
          <w:b/>
        </w:rPr>
      </w:pPr>
    </w:p>
    <w:p w14:paraId="681FCB58" w14:textId="1A080CDC" w:rsidR="0072177F" w:rsidRPr="00A23FB4" w:rsidRDefault="0072177F" w:rsidP="0072177F">
      <w:pPr>
        <w:tabs>
          <w:tab w:val="left" w:pos="9914"/>
        </w:tabs>
        <w:rPr>
          <w:rFonts w:ascii="Calibri" w:hAnsi="Calibri" w:cs="Calibri"/>
        </w:rPr>
      </w:pPr>
      <w:r w:rsidRPr="00A23FB4">
        <w:rPr>
          <w:rFonts w:ascii="Calibri" w:hAnsi="Calibri" w:cs="Calibri"/>
        </w:rPr>
        <w:t xml:space="preserve">Ogólne zasady odbioru robót podano w </w:t>
      </w:r>
      <w:r w:rsidR="00E3013A">
        <w:rPr>
          <w:rFonts w:ascii="Calibri" w:hAnsi="Calibri" w:cs="Calibri"/>
        </w:rPr>
        <w:t>ST</w:t>
      </w:r>
      <w:r w:rsidRPr="00A23FB4">
        <w:rPr>
          <w:rFonts w:ascii="Calibri" w:hAnsi="Calibri" w:cs="Calibri"/>
        </w:rPr>
        <w:t>WiORB D-M-00.00.00 „Wymagania ogólne” pkt 8.</w:t>
      </w:r>
    </w:p>
    <w:p w14:paraId="26C8D77F" w14:textId="760EE08D" w:rsidR="0072177F" w:rsidRPr="00A23FB4" w:rsidRDefault="0072177F" w:rsidP="0072177F">
      <w:pPr>
        <w:tabs>
          <w:tab w:val="left" w:pos="9914"/>
        </w:tabs>
        <w:rPr>
          <w:rFonts w:ascii="Calibri" w:hAnsi="Calibri" w:cs="Calibri"/>
        </w:rPr>
      </w:pPr>
      <w:r w:rsidRPr="00A23FB4">
        <w:rPr>
          <w:rFonts w:ascii="Calibri" w:hAnsi="Calibri" w:cs="Calibri"/>
        </w:rPr>
        <w:t xml:space="preserve">Roboty uznaje się za zgodne z dokumentacją projektową, </w:t>
      </w:r>
      <w:r w:rsidR="00E3013A">
        <w:rPr>
          <w:rFonts w:ascii="Calibri" w:hAnsi="Calibri" w:cs="Calibri"/>
        </w:rPr>
        <w:t>ST</w:t>
      </w:r>
      <w:r w:rsidRPr="00A23FB4">
        <w:rPr>
          <w:rFonts w:ascii="Calibri" w:hAnsi="Calibri" w:cs="Calibri"/>
        </w:rPr>
        <w:t>WiORB i wymaganiami Inżyniera/Kierownika projektu, jeżeli wszystkie pomiary i badania z zachowaniem tolerancji wg pkt 6 dały wyniki pozytywne.</w:t>
      </w:r>
    </w:p>
    <w:p w14:paraId="01FFE587" w14:textId="77777777" w:rsidR="0072177F" w:rsidRPr="00A23FB4" w:rsidRDefault="0072177F" w:rsidP="0072177F">
      <w:pPr>
        <w:tabs>
          <w:tab w:val="left" w:pos="9914"/>
        </w:tabs>
        <w:rPr>
          <w:rFonts w:ascii="Calibri" w:hAnsi="Calibri" w:cs="Calibri"/>
        </w:rPr>
      </w:pPr>
    </w:p>
    <w:p w14:paraId="51151CF8" w14:textId="77777777" w:rsidR="0072177F" w:rsidRPr="00A23FB4" w:rsidRDefault="0072177F" w:rsidP="0072177F">
      <w:pPr>
        <w:tabs>
          <w:tab w:val="left" w:pos="9914"/>
        </w:tabs>
        <w:rPr>
          <w:rFonts w:ascii="Calibri" w:hAnsi="Calibri" w:cs="Calibri"/>
          <w:b/>
        </w:rPr>
      </w:pPr>
      <w:r w:rsidRPr="00A23FB4">
        <w:rPr>
          <w:rFonts w:ascii="Calibri" w:hAnsi="Calibri" w:cs="Calibri"/>
          <w:b/>
        </w:rPr>
        <w:t>9. PODSTAWA PŁATNOŚCI</w:t>
      </w:r>
    </w:p>
    <w:p w14:paraId="32054764" w14:textId="77777777" w:rsidR="0072177F" w:rsidRPr="00A23FB4" w:rsidRDefault="0072177F" w:rsidP="0072177F">
      <w:pPr>
        <w:tabs>
          <w:tab w:val="left" w:pos="9914"/>
        </w:tabs>
        <w:rPr>
          <w:rFonts w:ascii="Calibri" w:hAnsi="Calibri" w:cs="Calibri"/>
          <w:b/>
        </w:rPr>
      </w:pPr>
    </w:p>
    <w:p w14:paraId="3066C7A6" w14:textId="77777777" w:rsidR="007C04C0" w:rsidRDefault="007C04C0" w:rsidP="007C04C0">
      <w:pPr>
        <w:pStyle w:val="StylIwony"/>
        <w:suppressAutoHyphens/>
        <w:spacing w:before="0" w:after="0"/>
        <w:rPr>
          <w:rFonts w:asciiTheme="minorHAnsi" w:hAnsiTheme="minorHAnsi" w:cstheme="minorHAnsi"/>
          <w:sz w:val="20"/>
          <w:szCs w:val="20"/>
        </w:rPr>
      </w:pPr>
      <w:r>
        <w:rPr>
          <w:rFonts w:asciiTheme="minorHAnsi" w:hAnsiTheme="minorHAnsi" w:cstheme="minorHAnsi"/>
          <w:sz w:val="20"/>
          <w:szCs w:val="20"/>
        </w:rPr>
        <w:t>Kontrakt ryczałtowy</w:t>
      </w:r>
    </w:p>
    <w:p w14:paraId="3625929A" w14:textId="0CF8582A" w:rsidR="0072177F" w:rsidRPr="00A23FB4" w:rsidRDefault="0072177F" w:rsidP="0072177F">
      <w:pPr>
        <w:tabs>
          <w:tab w:val="left" w:pos="9914"/>
        </w:tabs>
        <w:rPr>
          <w:rFonts w:ascii="Calibri" w:hAnsi="Calibri" w:cs="Calibri"/>
        </w:rPr>
      </w:pPr>
      <w:r w:rsidRPr="00A23FB4">
        <w:rPr>
          <w:rFonts w:ascii="Calibri" w:hAnsi="Calibri" w:cs="Calibri"/>
        </w:rPr>
        <w:t xml:space="preserve">Ogólne ustalenia dotyczące podstawy płatności podano w </w:t>
      </w:r>
      <w:r w:rsidR="00E3013A">
        <w:rPr>
          <w:rFonts w:ascii="Calibri" w:hAnsi="Calibri" w:cs="Calibri"/>
        </w:rPr>
        <w:t>ST</w:t>
      </w:r>
      <w:r w:rsidRPr="00A23FB4">
        <w:rPr>
          <w:rFonts w:ascii="Calibri" w:hAnsi="Calibri" w:cs="Calibri"/>
        </w:rPr>
        <w:t>WiORB D-M-00.00.00 „Wymagania ogólne” pkt 9.</w:t>
      </w:r>
    </w:p>
    <w:p w14:paraId="09EBDE25" w14:textId="77777777" w:rsidR="0072177F" w:rsidRPr="00A23FB4" w:rsidRDefault="0072177F" w:rsidP="0072177F">
      <w:pPr>
        <w:rPr>
          <w:rFonts w:ascii="Calibri" w:hAnsi="Calibri" w:cs="Calibri"/>
          <w:b/>
        </w:rPr>
      </w:pPr>
      <w:bookmarkStart w:id="555" w:name="_Toc423845947"/>
    </w:p>
    <w:p w14:paraId="38B5E511" w14:textId="77777777" w:rsidR="0072177F" w:rsidRPr="00A23FB4" w:rsidRDefault="0072177F" w:rsidP="0072177F">
      <w:pPr>
        <w:rPr>
          <w:rFonts w:ascii="Calibri" w:hAnsi="Calibri" w:cs="Calibri"/>
          <w:b/>
        </w:rPr>
      </w:pPr>
      <w:r w:rsidRPr="00A23FB4">
        <w:rPr>
          <w:rFonts w:ascii="Calibri" w:hAnsi="Calibri" w:cs="Calibri"/>
          <w:b/>
        </w:rPr>
        <w:t>10. PRZEPISY ZWIĄZANE</w:t>
      </w:r>
      <w:bookmarkEnd w:id="555"/>
    </w:p>
    <w:p w14:paraId="35219CC9" w14:textId="77777777" w:rsidR="0072177F" w:rsidRPr="00A23FB4" w:rsidRDefault="0072177F" w:rsidP="0072177F">
      <w:pPr>
        <w:pStyle w:val="Nagwek4"/>
        <w:tabs>
          <w:tab w:val="left" w:pos="9914"/>
        </w:tabs>
        <w:rPr>
          <w:rFonts w:ascii="Calibri" w:hAnsi="Calibri" w:cs="Calibri"/>
        </w:rPr>
      </w:pPr>
      <w:r w:rsidRPr="00A23FB4">
        <w:rPr>
          <w:rFonts w:ascii="Calibri" w:hAnsi="Calibri" w:cs="Calibri"/>
        </w:rPr>
        <w:t>10.1. Normy</w:t>
      </w:r>
    </w:p>
    <w:tbl>
      <w:tblPr>
        <w:tblW w:w="0" w:type="auto"/>
        <w:tblInd w:w="2" w:type="dxa"/>
        <w:tblLayout w:type="fixed"/>
        <w:tblCellMar>
          <w:left w:w="70" w:type="dxa"/>
          <w:right w:w="70" w:type="dxa"/>
        </w:tblCellMar>
        <w:tblLook w:val="0000" w:firstRow="0" w:lastRow="0" w:firstColumn="0" w:lastColumn="0" w:noHBand="0" w:noVBand="0"/>
      </w:tblPr>
      <w:tblGrid>
        <w:gridCol w:w="637"/>
        <w:gridCol w:w="1843"/>
        <w:gridCol w:w="7130"/>
      </w:tblGrid>
      <w:tr w:rsidR="0072177F" w:rsidRPr="00067D67" w14:paraId="4563FC60" w14:textId="77777777" w:rsidTr="0072177F">
        <w:tc>
          <w:tcPr>
            <w:tcW w:w="637" w:type="dxa"/>
          </w:tcPr>
          <w:p w14:paraId="65889C2A" w14:textId="77777777" w:rsidR="0072177F" w:rsidRPr="00067D67" w:rsidRDefault="0072177F" w:rsidP="0072177F">
            <w:pPr>
              <w:tabs>
                <w:tab w:val="left" w:pos="9914"/>
              </w:tabs>
              <w:rPr>
                <w:rFonts w:ascii="Calibri" w:hAnsi="Calibri" w:cs="Calibri"/>
                <w:sz w:val="18"/>
                <w:szCs w:val="18"/>
              </w:rPr>
            </w:pPr>
            <w:r w:rsidRPr="00067D67">
              <w:rPr>
                <w:rFonts w:ascii="Calibri" w:hAnsi="Calibri" w:cs="Calibri"/>
                <w:sz w:val="18"/>
                <w:szCs w:val="18"/>
              </w:rPr>
              <w:t xml:space="preserve">  1.</w:t>
            </w:r>
          </w:p>
        </w:tc>
        <w:tc>
          <w:tcPr>
            <w:tcW w:w="1843" w:type="dxa"/>
          </w:tcPr>
          <w:p w14:paraId="44DBEC98" w14:textId="77777777" w:rsidR="0072177F" w:rsidRPr="00067D67" w:rsidRDefault="0072177F" w:rsidP="0072177F">
            <w:pPr>
              <w:tabs>
                <w:tab w:val="left" w:pos="9914"/>
              </w:tabs>
              <w:rPr>
                <w:rFonts w:ascii="Calibri" w:hAnsi="Calibri" w:cs="Calibri"/>
                <w:sz w:val="18"/>
                <w:szCs w:val="18"/>
                <w:lang w:val="en-US"/>
              </w:rPr>
            </w:pPr>
            <w:r w:rsidRPr="00067D67">
              <w:rPr>
                <w:rFonts w:ascii="Calibri" w:hAnsi="Calibri" w:cs="Calibri"/>
                <w:sz w:val="18"/>
                <w:szCs w:val="18"/>
                <w:lang w:val="en-US"/>
              </w:rPr>
              <w:t>PN-EN-196-1:2006</w:t>
            </w:r>
          </w:p>
        </w:tc>
        <w:tc>
          <w:tcPr>
            <w:tcW w:w="7130" w:type="dxa"/>
          </w:tcPr>
          <w:p w14:paraId="44106E4B" w14:textId="77777777" w:rsidR="0072177F" w:rsidRPr="00067D67" w:rsidRDefault="0072177F" w:rsidP="0072177F">
            <w:pPr>
              <w:tabs>
                <w:tab w:val="left" w:pos="9914"/>
              </w:tabs>
              <w:rPr>
                <w:rFonts w:ascii="Calibri" w:hAnsi="Calibri" w:cs="Calibri"/>
                <w:sz w:val="18"/>
                <w:szCs w:val="18"/>
              </w:rPr>
            </w:pPr>
            <w:r w:rsidRPr="00067D67">
              <w:rPr>
                <w:rFonts w:ascii="Calibri" w:hAnsi="Calibri" w:cs="Calibri"/>
                <w:sz w:val="18"/>
                <w:szCs w:val="18"/>
              </w:rPr>
              <w:t>Metody badań cementu Część I Oznaczenie wytrzymałości</w:t>
            </w:r>
          </w:p>
        </w:tc>
      </w:tr>
      <w:tr w:rsidR="0072177F" w:rsidRPr="00067D67" w14:paraId="7FEB3C5F" w14:textId="77777777" w:rsidTr="0072177F">
        <w:tc>
          <w:tcPr>
            <w:tcW w:w="637" w:type="dxa"/>
          </w:tcPr>
          <w:p w14:paraId="27D5D381" w14:textId="77777777" w:rsidR="0072177F" w:rsidRPr="00067D67" w:rsidRDefault="0072177F" w:rsidP="0072177F">
            <w:pPr>
              <w:tabs>
                <w:tab w:val="left" w:pos="9914"/>
              </w:tabs>
              <w:rPr>
                <w:rFonts w:ascii="Calibri" w:hAnsi="Calibri" w:cs="Calibri"/>
                <w:sz w:val="18"/>
                <w:szCs w:val="18"/>
              </w:rPr>
            </w:pPr>
            <w:r w:rsidRPr="00067D67">
              <w:rPr>
                <w:rFonts w:ascii="Calibri" w:hAnsi="Calibri" w:cs="Calibri"/>
                <w:sz w:val="18"/>
                <w:szCs w:val="18"/>
              </w:rPr>
              <w:t xml:space="preserve">  2.</w:t>
            </w:r>
          </w:p>
        </w:tc>
        <w:tc>
          <w:tcPr>
            <w:tcW w:w="1843" w:type="dxa"/>
          </w:tcPr>
          <w:p w14:paraId="511FD387" w14:textId="77777777" w:rsidR="0072177F" w:rsidRPr="00067D67" w:rsidRDefault="0072177F" w:rsidP="0072177F">
            <w:pPr>
              <w:tabs>
                <w:tab w:val="left" w:pos="9914"/>
              </w:tabs>
              <w:rPr>
                <w:rFonts w:ascii="Calibri" w:hAnsi="Calibri" w:cs="Calibri"/>
                <w:sz w:val="18"/>
                <w:szCs w:val="18"/>
                <w:lang w:val="en-US"/>
              </w:rPr>
            </w:pPr>
            <w:r w:rsidRPr="00067D67">
              <w:rPr>
                <w:rFonts w:ascii="Calibri" w:hAnsi="Calibri" w:cs="Calibri"/>
                <w:sz w:val="18"/>
                <w:szCs w:val="18"/>
                <w:lang w:val="en-US"/>
              </w:rPr>
              <w:t>PN-EN-196-3:2009</w:t>
            </w:r>
          </w:p>
        </w:tc>
        <w:tc>
          <w:tcPr>
            <w:tcW w:w="7130" w:type="dxa"/>
          </w:tcPr>
          <w:p w14:paraId="4D02CFD0" w14:textId="77777777" w:rsidR="0072177F" w:rsidRPr="00067D67" w:rsidRDefault="0072177F" w:rsidP="0072177F">
            <w:pPr>
              <w:tabs>
                <w:tab w:val="left" w:pos="9914"/>
              </w:tabs>
              <w:rPr>
                <w:rFonts w:ascii="Calibri" w:hAnsi="Calibri" w:cs="Calibri"/>
                <w:sz w:val="18"/>
                <w:szCs w:val="18"/>
              </w:rPr>
            </w:pPr>
            <w:r w:rsidRPr="00067D67">
              <w:rPr>
                <w:rFonts w:ascii="Calibri" w:hAnsi="Calibri" w:cs="Calibri"/>
                <w:sz w:val="18"/>
                <w:szCs w:val="18"/>
              </w:rPr>
              <w:t>Metody badań cementu Część 3 Oznaczanie czasów wiązania i stałości objętości</w:t>
            </w:r>
          </w:p>
        </w:tc>
      </w:tr>
      <w:tr w:rsidR="0072177F" w:rsidRPr="00067D67" w14:paraId="6904AC1B" w14:textId="77777777" w:rsidTr="0072177F">
        <w:tc>
          <w:tcPr>
            <w:tcW w:w="637" w:type="dxa"/>
          </w:tcPr>
          <w:p w14:paraId="7E77F23B" w14:textId="77777777" w:rsidR="0072177F" w:rsidRPr="00067D67" w:rsidRDefault="0072177F" w:rsidP="0072177F">
            <w:pPr>
              <w:tabs>
                <w:tab w:val="left" w:pos="9914"/>
              </w:tabs>
              <w:rPr>
                <w:rFonts w:ascii="Calibri" w:hAnsi="Calibri" w:cs="Calibri"/>
                <w:sz w:val="18"/>
                <w:szCs w:val="18"/>
              </w:rPr>
            </w:pPr>
            <w:r w:rsidRPr="00067D67">
              <w:rPr>
                <w:rFonts w:ascii="Calibri" w:hAnsi="Calibri" w:cs="Calibri"/>
                <w:sz w:val="18"/>
                <w:szCs w:val="18"/>
              </w:rPr>
              <w:t xml:space="preserve">  3.</w:t>
            </w:r>
          </w:p>
        </w:tc>
        <w:tc>
          <w:tcPr>
            <w:tcW w:w="1843" w:type="dxa"/>
          </w:tcPr>
          <w:p w14:paraId="5A94CD06" w14:textId="77777777" w:rsidR="0072177F" w:rsidRPr="00067D67" w:rsidRDefault="0072177F" w:rsidP="0072177F">
            <w:pPr>
              <w:tabs>
                <w:tab w:val="left" w:pos="9914"/>
              </w:tabs>
              <w:rPr>
                <w:rFonts w:ascii="Calibri" w:hAnsi="Calibri" w:cs="Calibri"/>
                <w:sz w:val="18"/>
                <w:szCs w:val="18"/>
              </w:rPr>
            </w:pPr>
            <w:r w:rsidRPr="00067D67">
              <w:rPr>
                <w:rFonts w:ascii="Calibri" w:hAnsi="Calibri" w:cs="Calibri"/>
                <w:sz w:val="18"/>
                <w:szCs w:val="18"/>
              </w:rPr>
              <w:t>PN-B-04481:1988</w:t>
            </w:r>
          </w:p>
        </w:tc>
        <w:tc>
          <w:tcPr>
            <w:tcW w:w="7130" w:type="dxa"/>
          </w:tcPr>
          <w:p w14:paraId="198A484F" w14:textId="77777777" w:rsidR="0072177F" w:rsidRPr="00067D67" w:rsidRDefault="0072177F" w:rsidP="0072177F">
            <w:pPr>
              <w:tabs>
                <w:tab w:val="left" w:pos="9914"/>
              </w:tabs>
              <w:rPr>
                <w:rFonts w:ascii="Calibri" w:hAnsi="Calibri" w:cs="Calibri"/>
                <w:sz w:val="18"/>
                <w:szCs w:val="18"/>
              </w:rPr>
            </w:pPr>
            <w:r w:rsidRPr="00067D67">
              <w:rPr>
                <w:rFonts w:ascii="Calibri" w:hAnsi="Calibri" w:cs="Calibri"/>
                <w:sz w:val="18"/>
                <w:szCs w:val="18"/>
              </w:rPr>
              <w:t>Grunty budowlane. Badania próbek gruntu</w:t>
            </w:r>
          </w:p>
        </w:tc>
      </w:tr>
      <w:tr w:rsidR="0072177F" w:rsidRPr="00067D67" w14:paraId="3C15BB8C" w14:textId="77777777" w:rsidTr="0072177F">
        <w:tc>
          <w:tcPr>
            <w:tcW w:w="637" w:type="dxa"/>
          </w:tcPr>
          <w:p w14:paraId="734B647E" w14:textId="77777777" w:rsidR="0072177F" w:rsidRPr="00067D67" w:rsidRDefault="0072177F" w:rsidP="0072177F">
            <w:pPr>
              <w:tabs>
                <w:tab w:val="left" w:pos="9914"/>
              </w:tabs>
              <w:rPr>
                <w:rFonts w:ascii="Calibri" w:hAnsi="Calibri" w:cs="Calibri"/>
                <w:sz w:val="18"/>
                <w:szCs w:val="18"/>
              </w:rPr>
            </w:pPr>
            <w:r w:rsidRPr="00067D67">
              <w:rPr>
                <w:rFonts w:ascii="Calibri" w:hAnsi="Calibri" w:cs="Calibri"/>
                <w:sz w:val="18"/>
                <w:szCs w:val="18"/>
              </w:rPr>
              <w:t xml:space="preserve"> 4.</w:t>
            </w:r>
          </w:p>
        </w:tc>
        <w:tc>
          <w:tcPr>
            <w:tcW w:w="1843" w:type="dxa"/>
          </w:tcPr>
          <w:p w14:paraId="2E5B2A10" w14:textId="77777777" w:rsidR="0072177F" w:rsidRPr="00067D67" w:rsidRDefault="0072177F" w:rsidP="0072177F">
            <w:pPr>
              <w:tabs>
                <w:tab w:val="left" w:pos="9914"/>
              </w:tabs>
              <w:rPr>
                <w:rFonts w:ascii="Calibri" w:hAnsi="Calibri" w:cs="Calibri"/>
                <w:sz w:val="18"/>
                <w:szCs w:val="18"/>
              </w:rPr>
            </w:pPr>
            <w:r w:rsidRPr="00067D67">
              <w:rPr>
                <w:rFonts w:ascii="Calibri" w:hAnsi="Calibri" w:cs="Calibri"/>
                <w:sz w:val="18"/>
                <w:szCs w:val="18"/>
              </w:rPr>
              <w:t>PN-EN 13242:2004</w:t>
            </w:r>
          </w:p>
        </w:tc>
        <w:tc>
          <w:tcPr>
            <w:tcW w:w="7130" w:type="dxa"/>
          </w:tcPr>
          <w:p w14:paraId="7A697E0D" w14:textId="77777777" w:rsidR="0072177F" w:rsidRPr="00067D67" w:rsidRDefault="0072177F" w:rsidP="0072177F">
            <w:pPr>
              <w:tabs>
                <w:tab w:val="left" w:pos="9914"/>
              </w:tabs>
              <w:rPr>
                <w:rFonts w:ascii="Calibri" w:hAnsi="Calibri" w:cs="Calibri"/>
                <w:sz w:val="18"/>
                <w:szCs w:val="18"/>
              </w:rPr>
            </w:pPr>
            <w:r w:rsidRPr="00067D67">
              <w:rPr>
                <w:rFonts w:ascii="Calibri" w:hAnsi="Calibri" w:cs="Calibri"/>
                <w:sz w:val="18"/>
                <w:szCs w:val="18"/>
              </w:rPr>
              <w:t>Kruszywa do niezwiązanych i związanych hydraulicznie materiałów stosowanych w obiektach budowlanych i budownictwie drogowym</w:t>
            </w:r>
          </w:p>
        </w:tc>
      </w:tr>
      <w:tr w:rsidR="0072177F" w:rsidRPr="00067D67" w14:paraId="262DB582" w14:textId="77777777" w:rsidTr="0072177F">
        <w:tc>
          <w:tcPr>
            <w:tcW w:w="637" w:type="dxa"/>
          </w:tcPr>
          <w:p w14:paraId="28C8C965" w14:textId="77777777" w:rsidR="0072177F" w:rsidRPr="00067D67" w:rsidRDefault="0072177F" w:rsidP="0072177F">
            <w:pPr>
              <w:tabs>
                <w:tab w:val="left" w:pos="9914"/>
              </w:tabs>
              <w:rPr>
                <w:rFonts w:ascii="Calibri" w:hAnsi="Calibri" w:cs="Calibri"/>
                <w:sz w:val="18"/>
                <w:szCs w:val="18"/>
                <w:lang w:val="en-US"/>
              </w:rPr>
            </w:pPr>
            <w:r w:rsidRPr="00067D67">
              <w:rPr>
                <w:rFonts w:ascii="Calibri" w:hAnsi="Calibri" w:cs="Calibri"/>
                <w:sz w:val="18"/>
                <w:szCs w:val="18"/>
                <w:lang w:val="en-US"/>
              </w:rPr>
              <w:t>5.</w:t>
            </w:r>
          </w:p>
        </w:tc>
        <w:tc>
          <w:tcPr>
            <w:tcW w:w="1843" w:type="dxa"/>
          </w:tcPr>
          <w:p w14:paraId="39E2F1DF" w14:textId="77777777" w:rsidR="0072177F" w:rsidRPr="00067D67" w:rsidRDefault="0072177F" w:rsidP="0072177F">
            <w:pPr>
              <w:tabs>
                <w:tab w:val="left" w:pos="9914"/>
              </w:tabs>
              <w:rPr>
                <w:rFonts w:ascii="Calibri" w:hAnsi="Calibri" w:cs="Calibri"/>
                <w:sz w:val="18"/>
                <w:szCs w:val="18"/>
                <w:lang w:val="en-US"/>
              </w:rPr>
            </w:pPr>
            <w:r w:rsidRPr="00067D67">
              <w:rPr>
                <w:rFonts w:ascii="Calibri" w:hAnsi="Calibri" w:cs="Calibri"/>
                <w:sz w:val="18"/>
                <w:szCs w:val="18"/>
                <w:lang w:val="en-US"/>
              </w:rPr>
              <w:t>PN-B-197-1:2002</w:t>
            </w:r>
          </w:p>
        </w:tc>
        <w:tc>
          <w:tcPr>
            <w:tcW w:w="7130" w:type="dxa"/>
          </w:tcPr>
          <w:p w14:paraId="5265CB1B" w14:textId="77777777" w:rsidR="0072177F" w:rsidRPr="00067D67" w:rsidRDefault="0072177F" w:rsidP="0072177F">
            <w:pPr>
              <w:tabs>
                <w:tab w:val="left" w:pos="9914"/>
              </w:tabs>
              <w:rPr>
                <w:rFonts w:ascii="Calibri" w:hAnsi="Calibri" w:cs="Calibri"/>
                <w:sz w:val="18"/>
                <w:szCs w:val="18"/>
              </w:rPr>
            </w:pPr>
            <w:r w:rsidRPr="00067D67">
              <w:rPr>
                <w:rFonts w:ascii="Calibri" w:hAnsi="Calibri" w:cs="Calibri"/>
                <w:sz w:val="18"/>
                <w:szCs w:val="18"/>
              </w:rPr>
              <w:t>Cement. Część I. Skład, wymagania i kryteria zgodności cementów powszechnego użytku</w:t>
            </w:r>
          </w:p>
        </w:tc>
      </w:tr>
      <w:tr w:rsidR="0072177F" w:rsidRPr="00067D67" w14:paraId="73F3CE3E" w14:textId="77777777" w:rsidTr="0072177F">
        <w:tc>
          <w:tcPr>
            <w:tcW w:w="637" w:type="dxa"/>
          </w:tcPr>
          <w:p w14:paraId="429908E1" w14:textId="77777777" w:rsidR="0072177F" w:rsidRPr="00067D67" w:rsidRDefault="0072177F" w:rsidP="0072177F">
            <w:pPr>
              <w:tabs>
                <w:tab w:val="left" w:pos="9914"/>
              </w:tabs>
              <w:rPr>
                <w:rFonts w:ascii="Calibri" w:hAnsi="Calibri" w:cs="Calibri"/>
                <w:sz w:val="18"/>
                <w:szCs w:val="18"/>
              </w:rPr>
            </w:pPr>
            <w:r w:rsidRPr="00067D67">
              <w:rPr>
                <w:rFonts w:ascii="Calibri" w:hAnsi="Calibri" w:cs="Calibri"/>
                <w:sz w:val="18"/>
                <w:szCs w:val="18"/>
              </w:rPr>
              <w:t xml:space="preserve">  6.</w:t>
            </w:r>
          </w:p>
        </w:tc>
        <w:tc>
          <w:tcPr>
            <w:tcW w:w="1843" w:type="dxa"/>
          </w:tcPr>
          <w:p w14:paraId="03F6729D" w14:textId="77777777" w:rsidR="0072177F" w:rsidRPr="00067D67" w:rsidRDefault="0072177F" w:rsidP="0072177F">
            <w:pPr>
              <w:tabs>
                <w:tab w:val="left" w:pos="9914"/>
              </w:tabs>
              <w:rPr>
                <w:rFonts w:ascii="Calibri" w:hAnsi="Calibri" w:cs="Calibri"/>
                <w:sz w:val="18"/>
                <w:szCs w:val="18"/>
              </w:rPr>
            </w:pPr>
            <w:r w:rsidRPr="00067D67">
              <w:rPr>
                <w:rFonts w:ascii="Calibri" w:hAnsi="Calibri" w:cs="Calibri"/>
                <w:sz w:val="18"/>
                <w:szCs w:val="18"/>
              </w:rPr>
              <w:t>PN-B-30020:1997</w:t>
            </w:r>
          </w:p>
        </w:tc>
        <w:tc>
          <w:tcPr>
            <w:tcW w:w="7130" w:type="dxa"/>
          </w:tcPr>
          <w:p w14:paraId="2097A078" w14:textId="77777777" w:rsidR="0072177F" w:rsidRPr="00067D67" w:rsidRDefault="0072177F" w:rsidP="0072177F">
            <w:pPr>
              <w:tabs>
                <w:tab w:val="left" w:pos="9914"/>
              </w:tabs>
              <w:rPr>
                <w:rFonts w:ascii="Calibri" w:hAnsi="Calibri" w:cs="Calibri"/>
                <w:sz w:val="18"/>
                <w:szCs w:val="18"/>
              </w:rPr>
            </w:pPr>
            <w:r w:rsidRPr="00067D67">
              <w:rPr>
                <w:rFonts w:ascii="Calibri" w:hAnsi="Calibri" w:cs="Calibri"/>
                <w:sz w:val="18"/>
                <w:szCs w:val="18"/>
              </w:rPr>
              <w:t>Wapno</w:t>
            </w:r>
          </w:p>
        </w:tc>
      </w:tr>
      <w:tr w:rsidR="0072177F" w:rsidRPr="00067D67" w14:paraId="2350A32C" w14:textId="77777777" w:rsidTr="0072177F">
        <w:tc>
          <w:tcPr>
            <w:tcW w:w="637" w:type="dxa"/>
          </w:tcPr>
          <w:p w14:paraId="6B3C18A2" w14:textId="77777777" w:rsidR="0072177F" w:rsidRPr="00067D67" w:rsidRDefault="0072177F" w:rsidP="0072177F">
            <w:pPr>
              <w:tabs>
                <w:tab w:val="left" w:pos="9914"/>
              </w:tabs>
              <w:rPr>
                <w:rFonts w:ascii="Calibri" w:hAnsi="Calibri" w:cs="Calibri"/>
                <w:sz w:val="18"/>
                <w:szCs w:val="18"/>
              </w:rPr>
            </w:pPr>
            <w:r w:rsidRPr="00067D67">
              <w:rPr>
                <w:rFonts w:ascii="Calibri" w:hAnsi="Calibri" w:cs="Calibri"/>
                <w:sz w:val="18"/>
                <w:szCs w:val="18"/>
              </w:rPr>
              <w:t xml:space="preserve">  7.</w:t>
            </w:r>
          </w:p>
        </w:tc>
        <w:tc>
          <w:tcPr>
            <w:tcW w:w="1843" w:type="dxa"/>
          </w:tcPr>
          <w:p w14:paraId="7B89DF48" w14:textId="77777777" w:rsidR="0072177F" w:rsidRPr="00067D67" w:rsidRDefault="0072177F" w:rsidP="0072177F">
            <w:pPr>
              <w:tabs>
                <w:tab w:val="left" w:pos="9914"/>
              </w:tabs>
              <w:rPr>
                <w:rFonts w:ascii="Calibri" w:hAnsi="Calibri" w:cs="Calibri"/>
                <w:sz w:val="18"/>
                <w:szCs w:val="18"/>
              </w:rPr>
            </w:pPr>
            <w:r w:rsidRPr="00067D67">
              <w:rPr>
                <w:rFonts w:ascii="Calibri" w:hAnsi="Calibri" w:cs="Calibri"/>
                <w:sz w:val="18"/>
                <w:szCs w:val="18"/>
              </w:rPr>
              <w:t>PN-EN-1008:2004</w:t>
            </w:r>
          </w:p>
        </w:tc>
        <w:tc>
          <w:tcPr>
            <w:tcW w:w="7130" w:type="dxa"/>
          </w:tcPr>
          <w:p w14:paraId="7347C4AA" w14:textId="77777777" w:rsidR="0072177F" w:rsidRPr="00067D67" w:rsidRDefault="0072177F" w:rsidP="0072177F">
            <w:pPr>
              <w:tabs>
                <w:tab w:val="left" w:pos="9914"/>
              </w:tabs>
              <w:rPr>
                <w:rFonts w:ascii="Calibri" w:hAnsi="Calibri" w:cs="Calibri"/>
                <w:sz w:val="18"/>
                <w:szCs w:val="18"/>
              </w:rPr>
            </w:pPr>
            <w:r w:rsidRPr="00067D67">
              <w:rPr>
                <w:rFonts w:ascii="Calibri" w:hAnsi="Calibri" w:cs="Calibri"/>
                <w:sz w:val="18"/>
                <w:szCs w:val="18"/>
              </w:rPr>
              <w:t>Woda zarobowa do betonu Specyfikacja pobierania próbek, badania i ocena przedatności wody zarobowej do betonu, w tym wody odzyskanej z procesów produkcji betonu</w:t>
            </w:r>
          </w:p>
        </w:tc>
      </w:tr>
      <w:tr w:rsidR="0072177F" w:rsidRPr="00067D67" w14:paraId="7DC37999" w14:textId="77777777" w:rsidTr="0072177F">
        <w:tc>
          <w:tcPr>
            <w:tcW w:w="637" w:type="dxa"/>
          </w:tcPr>
          <w:p w14:paraId="67909ABC" w14:textId="77777777" w:rsidR="0072177F" w:rsidRPr="00067D67" w:rsidRDefault="0072177F" w:rsidP="0072177F">
            <w:pPr>
              <w:tabs>
                <w:tab w:val="left" w:pos="9914"/>
              </w:tabs>
              <w:rPr>
                <w:rFonts w:ascii="Calibri" w:hAnsi="Calibri" w:cs="Calibri"/>
                <w:sz w:val="18"/>
                <w:szCs w:val="18"/>
              </w:rPr>
            </w:pPr>
            <w:r w:rsidRPr="00067D67">
              <w:rPr>
                <w:rFonts w:ascii="Calibri" w:hAnsi="Calibri" w:cs="Calibri"/>
                <w:sz w:val="18"/>
                <w:szCs w:val="18"/>
              </w:rPr>
              <w:t xml:space="preserve">  8.</w:t>
            </w:r>
          </w:p>
        </w:tc>
        <w:tc>
          <w:tcPr>
            <w:tcW w:w="1843" w:type="dxa"/>
          </w:tcPr>
          <w:p w14:paraId="318D10A3" w14:textId="77777777" w:rsidR="0072177F" w:rsidRPr="00067D67" w:rsidRDefault="0072177F" w:rsidP="0072177F">
            <w:pPr>
              <w:tabs>
                <w:tab w:val="left" w:pos="9914"/>
              </w:tabs>
              <w:rPr>
                <w:rFonts w:ascii="Calibri" w:hAnsi="Calibri" w:cs="Calibri"/>
                <w:sz w:val="18"/>
                <w:szCs w:val="18"/>
              </w:rPr>
            </w:pPr>
            <w:r w:rsidRPr="00067D67">
              <w:rPr>
                <w:rFonts w:ascii="Calibri" w:hAnsi="Calibri" w:cs="Calibri"/>
                <w:sz w:val="18"/>
                <w:szCs w:val="18"/>
              </w:rPr>
              <w:t>PN-C-84038</w:t>
            </w:r>
          </w:p>
        </w:tc>
        <w:tc>
          <w:tcPr>
            <w:tcW w:w="7130" w:type="dxa"/>
          </w:tcPr>
          <w:p w14:paraId="0BC41E1A" w14:textId="77777777" w:rsidR="0072177F" w:rsidRPr="00067D67" w:rsidRDefault="0072177F" w:rsidP="0072177F">
            <w:pPr>
              <w:tabs>
                <w:tab w:val="left" w:pos="9914"/>
              </w:tabs>
              <w:rPr>
                <w:rFonts w:ascii="Calibri" w:hAnsi="Calibri" w:cs="Calibri"/>
                <w:sz w:val="18"/>
                <w:szCs w:val="18"/>
              </w:rPr>
            </w:pPr>
            <w:r w:rsidRPr="00067D67">
              <w:rPr>
                <w:rFonts w:ascii="Calibri" w:hAnsi="Calibri" w:cs="Calibri"/>
                <w:sz w:val="18"/>
                <w:szCs w:val="18"/>
              </w:rPr>
              <w:t>Wodorotlenek sodowy techniczny</w:t>
            </w:r>
          </w:p>
        </w:tc>
      </w:tr>
      <w:tr w:rsidR="0072177F" w:rsidRPr="00067D67" w14:paraId="002A9011" w14:textId="77777777" w:rsidTr="0072177F">
        <w:tc>
          <w:tcPr>
            <w:tcW w:w="637" w:type="dxa"/>
          </w:tcPr>
          <w:p w14:paraId="4F1CDE96" w14:textId="77777777" w:rsidR="0072177F" w:rsidRPr="00067D67" w:rsidRDefault="0072177F" w:rsidP="0072177F">
            <w:pPr>
              <w:tabs>
                <w:tab w:val="left" w:pos="9914"/>
              </w:tabs>
              <w:rPr>
                <w:rFonts w:ascii="Calibri" w:hAnsi="Calibri" w:cs="Calibri"/>
                <w:sz w:val="18"/>
                <w:szCs w:val="18"/>
              </w:rPr>
            </w:pPr>
            <w:r w:rsidRPr="00067D67">
              <w:rPr>
                <w:rFonts w:ascii="Calibri" w:hAnsi="Calibri" w:cs="Calibri"/>
                <w:sz w:val="18"/>
                <w:szCs w:val="18"/>
              </w:rPr>
              <w:t xml:space="preserve">  9.</w:t>
            </w:r>
          </w:p>
        </w:tc>
        <w:tc>
          <w:tcPr>
            <w:tcW w:w="1843" w:type="dxa"/>
          </w:tcPr>
          <w:p w14:paraId="21941203" w14:textId="77777777" w:rsidR="0072177F" w:rsidRPr="00067D67" w:rsidRDefault="0072177F" w:rsidP="0072177F">
            <w:pPr>
              <w:tabs>
                <w:tab w:val="left" w:pos="9914"/>
              </w:tabs>
              <w:rPr>
                <w:rFonts w:ascii="Calibri" w:hAnsi="Calibri" w:cs="Calibri"/>
                <w:sz w:val="18"/>
                <w:szCs w:val="18"/>
              </w:rPr>
            </w:pPr>
            <w:r w:rsidRPr="00067D67">
              <w:rPr>
                <w:rFonts w:ascii="Calibri" w:hAnsi="Calibri" w:cs="Calibri"/>
                <w:sz w:val="18"/>
                <w:szCs w:val="18"/>
              </w:rPr>
              <w:t>PN-C-84127</w:t>
            </w:r>
          </w:p>
        </w:tc>
        <w:tc>
          <w:tcPr>
            <w:tcW w:w="7130" w:type="dxa"/>
          </w:tcPr>
          <w:p w14:paraId="4883B7AF" w14:textId="77777777" w:rsidR="0072177F" w:rsidRPr="00067D67" w:rsidRDefault="0072177F" w:rsidP="0072177F">
            <w:pPr>
              <w:tabs>
                <w:tab w:val="left" w:pos="9914"/>
              </w:tabs>
              <w:rPr>
                <w:rFonts w:ascii="Calibri" w:hAnsi="Calibri" w:cs="Calibri"/>
                <w:sz w:val="18"/>
                <w:szCs w:val="18"/>
              </w:rPr>
            </w:pPr>
            <w:r w:rsidRPr="00067D67">
              <w:rPr>
                <w:rFonts w:ascii="Calibri" w:hAnsi="Calibri" w:cs="Calibri"/>
                <w:sz w:val="18"/>
                <w:szCs w:val="18"/>
              </w:rPr>
              <w:t>Chlorek wapniowy techniczny</w:t>
            </w:r>
          </w:p>
        </w:tc>
      </w:tr>
      <w:tr w:rsidR="0072177F" w:rsidRPr="00067D67" w14:paraId="689C8265" w14:textId="77777777" w:rsidTr="0072177F">
        <w:tc>
          <w:tcPr>
            <w:tcW w:w="637" w:type="dxa"/>
          </w:tcPr>
          <w:p w14:paraId="7BE58755" w14:textId="77777777" w:rsidR="0072177F" w:rsidRPr="00067D67" w:rsidRDefault="0072177F" w:rsidP="0072177F">
            <w:pPr>
              <w:tabs>
                <w:tab w:val="left" w:pos="9914"/>
              </w:tabs>
              <w:rPr>
                <w:rFonts w:ascii="Calibri" w:hAnsi="Calibri" w:cs="Calibri"/>
                <w:sz w:val="18"/>
                <w:szCs w:val="18"/>
              </w:rPr>
            </w:pPr>
            <w:r w:rsidRPr="00067D67">
              <w:rPr>
                <w:rFonts w:ascii="Calibri" w:hAnsi="Calibri" w:cs="Calibri"/>
                <w:sz w:val="18"/>
                <w:szCs w:val="18"/>
              </w:rPr>
              <w:t>10.</w:t>
            </w:r>
          </w:p>
        </w:tc>
        <w:tc>
          <w:tcPr>
            <w:tcW w:w="1843" w:type="dxa"/>
          </w:tcPr>
          <w:p w14:paraId="2F85B9B3" w14:textId="77777777" w:rsidR="0072177F" w:rsidRPr="00067D67" w:rsidRDefault="0072177F" w:rsidP="0072177F">
            <w:pPr>
              <w:tabs>
                <w:tab w:val="left" w:pos="9914"/>
              </w:tabs>
              <w:rPr>
                <w:rFonts w:ascii="Calibri" w:hAnsi="Calibri" w:cs="Calibri"/>
                <w:sz w:val="18"/>
                <w:szCs w:val="18"/>
              </w:rPr>
            </w:pPr>
            <w:r w:rsidRPr="00067D67">
              <w:rPr>
                <w:rFonts w:ascii="Calibri" w:hAnsi="Calibri" w:cs="Calibri"/>
                <w:sz w:val="18"/>
                <w:szCs w:val="18"/>
              </w:rPr>
              <w:t>PN-S-96035:1997</w:t>
            </w:r>
          </w:p>
        </w:tc>
        <w:tc>
          <w:tcPr>
            <w:tcW w:w="7130" w:type="dxa"/>
          </w:tcPr>
          <w:p w14:paraId="3831C698" w14:textId="77777777" w:rsidR="0072177F" w:rsidRPr="00067D67" w:rsidRDefault="0072177F" w:rsidP="0072177F">
            <w:pPr>
              <w:tabs>
                <w:tab w:val="left" w:pos="9914"/>
              </w:tabs>
              <w:rPr>
                <w:rFonts w:ascii="Calibri" w:hAnsi="Calibri" w:cs="Calibri"/>
                <w:sz w:val="18"/>
                <w:szCs w:val="18"/>
              </w:rPr>
            </w:pPr>
            <w:r w:rsidRPr="00067D67">
              <w:rPr>
                <w:rFonts w:ascii="Calibri" w:hAnsi="Calibri" w:cs="Calibri"/>
                <w:sz w:val="18"/>
                <w:szCs w:val="18"/>
              </w:rPr>
              <w:t>Drogi samochodowe. Popioły lotne</w:t>
            </w:r>
          </w:p>
        </w:tc>
      </w:tr>
      <w:tr w:rsidR="0072177F" w:rsidRPr="00067D67" w14:paraId="76E5F595" w14:textId="77777777" w:rsidTr="0072177F">
        <w:tc>
          <w:tcPr>
            <w:tcW w:w="637" w:type="dxa"/>
          </w:tcPr>
          <w:p w14:paraId="574339FA" w14:textId="77777777" w:rsidR="0072177F" w:rsidRPr="00067D67" w:rsidRDefault="0072177F" w:rsidP="0072177F">
            <w:pPr>
              <w:tabs>
                <w:tab w:val="left" w:pos="9914"/>
              </w:tabs>
              <w:rPr>
                <w:rFonts w:ascii="Calibri" w:hAnsi="Calibri" w:cs="Calibri"/>
                <w:sz w:val="18"/>
                <w:szCs w:val="18"/>
              </w:rPr>
            </w:pPr>
            <w:r w:rsidRPr="00067D67">
              <w:rPr>
                <w:rFonts w:ascii="Calibri" w:hAnsi="Calibri" w:cs="Calibri"/>
                <w:sz w:val="18"/>
                <w:szCs w:val="18"/>
              </w:rPr>
              <w:t>11.</w:t>
            </w:r>
          </w:p>
        </w:tc>
        <w:tc>
          <w:tcPr>
            <w:tcW w:w="1843" w:type="dxa"/>
          </w:tcPr>
          <w:p w14:paraId="49140B21" w14:textId="77777777" w:rsidR="0072177F" w:rsidRPr="00067D67" w:rsidRDefault="0072177F" w:rsidP="0072177F">
            <w:pPr>
              <w:tabs>
                <w:tab w:val="left" w:pos="9914"/>
              </w:tabs>
              <w:rPr>
                <w:rFonts w:ascii="Calibri" w:hAnsi="Calibri" w:cs="Calibri"/>
                <w:sz w:val="18"/>
                <w:szCs w:val="18"/>
              </w:rPr>
            </w:pPr>
            <w:r w:rsidRPr="00067D67">
              <w:rPr>
                <w:rFonts w:ascii="Calibri" w:hAnsi="Calibri" w:cs="Calibri"/>
                <w:sz w:val="18"/>
                <w:szCs w:val="18"/>
              </w:rPr>
              <w:t>BN-88/6731-08</w:t>
            </w:r>
          </w:p>
        </w:tc>
        <w:tc>
          <w:tcPr>
            <w:tcW w:w="7130" w:type="dxa"/>
          </w:tcPr>
          <w:p w14:paraId="20FBCCA1" w14:textId="77777777" w:rsidR="0072177F" w:rsidRPr="00067D67" w:rsidRDefault="0072177F" w:rsidP="0072177F">
            <w:pPr>
              <w:tabs>
                <w:tab w:val="left" w:pos="9914"/>
              </w:tabs>
              <w:rPr>
                <w:rFonts w:ascii="Calibri" w:hAnsi="Calibri" w:cs="Calibri"/>
                <w:sz w:val="18"/>
                <w:szCs w:val="18"/>
              </w:rPr>
            </w:pPr>
            <w:r w:rsidRPr="00067D67">
              <w:rPr>
                <w:rFonts w:ascii="Calibri" w:hAnsi="Calibri" w:cs="Calibri"/>
                <w:sz w:val="18"/>
                <w:szCs w:val="18"/>
              </w:rPr>
              <w:t>Cement. Transport i przechowywanie</w:t>
            </w:r>
          </w:p>
        </w:tc>
      </w:tr>
      <w:tr w:rsidR="0072177F" w:rsidRPr="00067D67" w14:paraId="3761FAC9" w14:textId="77777777" w:rsidTr="0072177F">
        <w:tc>
          <w:tcPr>
            <w:tcW w:w="637" w:type="dxa"/>
          </w:tcPr>
          <w:p w14:paraId="6F0B3EB3" w14:textId="77777777" w:rsidR="0072177F" w:rsidRPr="00067D67" w:rsidRDefault="0072177F" w:rsidP="0072177F">
            <w:pPr>
              <w:tabs>
                <w:tab w:val="left" w:pos="9914"/>
              </w:tabs>
              <w:rPr>
                <w:rFonts w:ascii="Calibri" w:hAnsi="Calibri" w:cs="Calibri"/>
                <w:sz w:val="18"/>
                <w:szCs w:val="18"/>
              </w:rPr>
            </w:pPr>
            <w:r w:rsidRPr="00067D67">
              <w:rPr>
                <w:rFonts w:ascii="Calibri" w:hAnsi="Calibri" w:cs="Calibri"/>
                <w:sz w:val="18"/>
                <w:szCs w:val="18"/>
              </w:rPr>
              <w:t>12.</w:t>
            </w:r>
          </w:p>
        </w:tc>
        <w:tc>
          <w:tcPr>
            <w:tcW w:w="1843" w:type="dxa"/>
          </w:tcPr>
          <w:p w14:paraId="1D7156AF" w14:textId="77777777" w:rsidR="0072177F" w:rsidRPr="00067D67" w:rsidRDefault="0072177F" w:rsidP="0072177F">
            <w:pPr>
              <w:tabs>
                <w:tab w:val="left" w:pos="9914"/>
              </w:tabs>
              <w:rPr>
                <w:rFonts w:ascii="Calibri" w:hAnsi="Calibri" w:cs="Calibri"/>
                <w:sz w:val="18"/>
                <w:szCs w:val="18"/>
              </w:rPr>
            </w:pPr>
            <w:r w:rsidRPr="00067D67">
              <w:rPr>
                <w:rFonts w:ascii="Calibri" w:hAnsi="Calibri" w:cs="Calibri"/>
                <w:sz w:val="18"/>
                <w:szCs w:val="18"/>
              </w:rPr>
              <w:t>BN-77/8931-12</w:t>
            </w:r>
          </w:p>
        </w:tc>
        <w:tc>
          <w:tcPr>
            <w:tcW w:w="7130" w:type="dxa"/>
          </w:tcPr>
          <w:p w14:paraId="20174294" w14:textId="77777777" w:rsidR="0072177F" w:rsidRPr="00067D67" w:rsidRDefault="0072177F" w:rsidP="0072177F">
            <w:pPr>
              <w:tabs>
                <w:tab w:val="left" w:pos="9914"/>
              </w:tabs>
              <w:rPr>
                <w:rFonts w:ascii="Calibri" w:hAnsi="Calibri" w:cs="Calibri"/>
                <w:sz w:val="18"/>
                <w:szCs w:val="18"/>
              </w:rPr>
            </w:pPr>
            <w:r w:rsidRPr="00067D67">
              <w:rPr>
                <w:rFonts w:ascii="Calibri" w:hAnsi="Calibri" w:cs="Calibri"/>
                <w:sz w:val="18"/>
                <w:szCs w:val="18"/>
              </w:rPr>
              <w:t>Oznaczanie wskaźnika zagęszczenia gruntu</w:t>
            </w:r>
          </w:p>
        </w:tc>
      </w:tr>
    </w:tbl>
    <w:p w14:paraId="44DED4C0" w14:textId="77777777" w:rsidR="0072177F" w:rsidRPr="00067D67" w:rsidRDefault="0072177F" w:rsidP="0072177F">
      <w:pPr>
        <w:tabs>
          <w:tab w:val="left" w:pos="9914"/>
        </w:tabs>
        <w:rPr>
          <w:rFonts w:ascii="Calibri" w:hAnsi="Calibri" w:cs="Calibri"/>
          <w:sz w:val="18"/>
          <w:szCs w:val="18"/>
        </w:rPr>
      </w:pPr>
    </w:p>
    <w:p w14:paraId="33949A86" w14:textId="77777777" w:rsidR="0072177F" w:rsidRPr="00A23FB4" w:rsidRDefault="0072177F" w:rsidP="00262498">
      <w:pPr>
        <w:numPr>
          <w:ilvl w:val="1"/>
          <w:numId w:val="20"/>
        </w:numPr>
        <w:tabs>
          <w:tab w:val="left" w:pos="9914"/>
        </w:tabs>
        <w:rPr>
          <w:rFonts w:ascii="Calibri" w:hAnsi="Calibri" w:cs="Calibri"/>
          <w:b/>
          <w:bCs/>
        </w:rPr>
      </w:pPr>
      <w:r w:rsidRPr="00A23FB4">
        <w:rPr>
          <w:rFonts w:ascii="Calibri" w:hAnsi="Calibri" w:cs="Calibri"/>
          <w:b/>
          <w:bCs/>
        </w:rPr>
        <w:t>Inne dokumenty</w:t>
      </w:r>
    </w:p>
    <w:p w14:paraId="66F8D92C" w14:textId="77777777" w:rsidR="0072177F" w:rsidRPr="00067D67" w:rsidRDefault="0072177F" w:rsidP="00262498">
      <w:pPr>
        <w:numPr>
          <w:ilvl w:val="0"/>
          <w:numId w:val="22"/>
        </w:numPr>
        <w:tabs>
          <w:tab w:val="left" w:pos="9914"/>
        </w:tabs>
        <w:rPr>
          <w:rFonts w:ascii="Calibri" w:hAnsi="Calibri" w:cs="Calibri"/>
          <w:sz w:val="18"/>
          <w:szCs w:val="18"/>
        </w:rPr>
      </w:pPr>
      <w:r w:rsidRPr="00067D67">
        <w:rPr>
          <w:rFonts w:ascii="Calibri" w:hAnsi="Calibri" w:cs="Calibri"/>
          <w:sz w:val="18"/>
          <w:szCs w:val="18"/>
        </w:rPr>
        <w:t>WT-5 20010 Mieszanki związane spoiwem hydraulicznym do dróg krajowych Wymagania Techniczne</w:t>
      </w:r>
    </w:p>
    <w:p w14:paraId="73B06CA9" w14:textId="77777777" w:rsidR="0072177F" w:rsidRPr="00A23FB4" w:rsidRDefault="0072177F" w:rsidP="0071233E">
      <w:pPr>
        <w:pStyle w:val="Tekstpodstawowy"/>
        <w:spacing w:line="240" w:lineRule="auto"/>
        <w:jc w:val="center"/>
        <w:rPr>
          <w:rFonts w:asciiTheme="minorHAnsi" w:hAnsiTheme="minorHAnsi"/>
          <w:b/>
          <w:sz w:val="20"/>
        </w:rPr>
      </w:pPr>
    </w:p>
    <w:p w14:paraId="52457D04" w14:textId="77777777" w:rsidR="008C66DB" w:rsidRPr="00A23FB4" w:rsidRDefault="0072177F" w:rsidP="006237D9">
      <w:pPr>
        <w:overflowPunct/>
        <w:autoSpaceDE/>
        <w:autoSpaceDN/>
        <w:adjustRightInd/>
        <w:jc w:val="left"/>
        <w:textAlignment w:val="auto"/>
        <w:rPr>
          <w:rFonts w:ascii="Calibri" w:hAnsi="Calibri"/>
        </w:rPr>
      </w:pPr>
      <w:r w:rsidRPr="00A23FB4">
        <w:rPr>
          <w:rFonts w:ascii="Calibri" w:hAnsi="Calibri"/>
        </w:rPr>
        <w:br w:type="page"/>
      </w:r>
      <w:bookmarkStart w:id="556" w:name="_Toc285044244"/>
    </w:p>
    <w:p w14:paraId="4ED9D267" w14:textId="15DCD20D" w:rsidR="00B77350" w:rsidRPr="00A23FB4" w:rsidRDefault="006707A0" w:rsidP="0044266C">
      <w:pPr>
        <w:overflowPunct/>
        <w:autoSpaceDE/>
        <w:autoSpaceDN/>
        <w:adjustRightInd/>
        <w:spacing w:line="360" w:lineRule="auto"/>
        <w:jc w:val="center"/>
        <w:textAlignment w:val="auto"/>
        <w:rPr>
          <w:rFonts w:ascii="Calibri" w:hAnsi="Calibri"/>
          <w:b/>
          <w:sz w:val="22"/>
          <w:szCs w:val="22"/>
        </w:rPr>
      </w:pPr>
      <w:r>
        <w:rPr>
          <w:rFonts w:ascii="Calibri" w:hAnsi="Calibri" w:cs="Calibri"/>
          <w:b/>
          <w:sz w:val="22"/>
          <w:szCs w:val="22"/>
        </w:rPr>
        <w:t>SZCZEGÓŁOWE SPECYFIKACJE TECHNICZNE</w:t>
      </w:r>
      <w:r w:rsidR="00B77350" w:rsidRPr="00A23FB4">
        <w:rPr>
          <w:rFonts w:ascii="Calibri" w:hAnsi="Calibri"/>
          <w:b/>
          <w:sz w:val="22"/>
          <w:szCs w:val="22"/>
        </w:rPr>
        <w:t xml:space="preserve"> WYKONANIA I ODBIORU ROBÓT BUDOWLANYCH</w:t>
      </w:r>
    </w:p>
    <w:p w14:paraId="15698BFE" w14:textId="77777777" w:rsidR="00B77350" w:rsidRPr="00A23FB4" w:rsidRDefault="00B77350" w:rsidP="0044266C">
      <w:pPr>
        <w:pStyle w:val="Nagowek1"/>
        <w:spacing w:before="0" w:line="360" w:lineRule="auto"/>
      </w:pPr>
      <w:bookmarkStart w:id="557" w:name="_Toc288993901"/>
      <w:bookmarkStart w:id="558" w:name="_Toc86059887"/>
      <w:bookmarkStart w:id="559" w:name="_Toc206275484"/>
      <w:r w:rsidRPr="00A23FB4">
        <w:t>D</w:t>
      </w:r>
      <w:r w:rsidR="003739A4">
        <w:t>-</w:t>
      </w:r>
      <w:r w:rsidRPr="00A23FB4">
        <w:t>04.06.01 PODBUDOWA Z BETONU</w:t>
      </w:r>
      <w:bookmarkEnd w:id="557"/>
      <w:bookmarkEnd w:id="558"/>
      <w:bookmarkEnd w:id="559"/>
    </w:p>
    <w:p w14:paraId="0D2C4932" w14:textId="77777777" w:rsidR="00B77350" w:rsidRPr="00A23FB4" w:rsidRDefault="00B77350" w:rsidP="00B77350">
      <w:pPr>
        <w:rPr>
          <w:rFonts w:ascii="Calibri" w:hAnsi="Calibri"/>
          <w:b/>
        </w:rPr>
      </w:pPr>
      <w:bookmarkStart w:id="560" w:name="_Toc423845938"/>
      <w:bookmarkStart w:id="561" w:name="_Toc32644945"/>
      <w:r w:rsidRPr="00A23FB4">
        <w:rPr>
          <w:rFonts w:ascii="Calibri" w:hAnsi="Calibri"/>
          <w:b/>
        </w:rPr>
        <w:t>1. WSTĘP</w:t>
      </w:r>
      <w:bookmarkEnd w:id="560"/>
      <w:bookmarkEnd w:id="561"/>
    </w:p>
    <w:p w14:paraId="7700C64C" w14:textId="4E96B0AE" w:rsidR="00B77350" w:rsidRPr="00A23FB4" w:rsidRDefault="00B77350" w:rsidP="00B77350">
      <w:pPr>
        <w:pStyle w:val="Nagwek4"/>
        <w:rPr>
          <w:rFonts w:ascii="Calibri" w:hAnsi="Calibri"/>
        </w:rPr>
      </w:pPr>
      <w:r w:rsidRPr="00A23FB4">
        <w:rPr>
          <w:rFonts w:ascii="Calibri" w:hAnsi="Calibri"/>
        </w:rPr>
        <w:t xml:space="preserve">1.1. Przedmiot </w:t>
      </w:r>
      <w:r w:rsidR="00E3013A">
        <w:rPr>
          <w:rFonts w:ascii="Calibri" w:hAnsi="Calibri"/>
        </w:rPr>
        <w:t>ST</w:t>
      </w:r>
      <w:r w:rsidRPr="00A23FB4">
        <w:rPr>
          <w:rFonts w:ascii="Calibri" w:hAnsi="Calibri"/>
        </w:rPr>
        <w:t>WiORB</w:t>
      </w:r>
    </w:p>
    <w:p w14:paraId="73C44838" w14:textId="646A115F" w:rsidR="00B77350" w:rsidRPr="00A23FB4" w:rsidRDefault="00B77350" w:rsidP="00B77350">
      <w:pPr>
        <w:tabs>
          <w:tab w:val="left" w:pos="0"/>
        </w:tabs>
        <w:rPr>
          <w:rFonts w:ascii="Calibri" w:hAnsi="Calibri"/>
        </w:rPr>
      </w:pPr>
      <w:r w:rsidRPr="00A23FB4">
        <w:rPr>
          <w:rFonts w:ascii="Calibri" w:hAnsi="Calibri"/>
        </w:rPr>
        <w:t>Przedmiotem niniejsz</w:t>
      </w:r>
      <w:r w:rsidR="007C04C0">
        <w:rPr>
          <w:rFonts w:ascii="Calibri" w:hAnsi="Calibri"/>
        </w:rPr>
        <w:t>ej</w:t>
      </w:r>
      <w:r w:rsidRPr="00A23FB4">
        <w:rPr>
          <w:rFonts w:ascii="Calibri" w:hAnsi="Calibri"/>
        </w:rPr>
        <w:t xml:space="preserve"> </w:t>
      </w:r>
      <w:r w:rsidR="006707A0">
        <w:rPr>
          <w:rFonts w:ascii="Calibri" w:hAnsi="Calibri"/>
        </w:rPr>
        <w:t>specyfikacji</w:t>
      </w:r>
      <w:r w:rsidRPr="00A23FB4">
        <w:rPr>
          <w:rFonts w:ascii="Calibri" w:hAnsi="Calibri"/>
        </w:rPr>
        <w:t xml:space="preserve"> są wymagania dotyczące wykonania i odbioru robót związanych z wykonywaniem podbudowy z  betonu.</w:t>
      </w:r>
    </w:p>
    <w:p w14:paraId="4C137ADD" w14:textId="186C9C8F" w:rsidR="00B77350" w:rsidRPr="00A23FB4" w:rsidRDefault="00B77350" w:rsidP="00B77350">
      <w:pPr>
        <w:pStyle w:val="Nagwek4"/>
        <w:rPr>
          <w:rFonts w:ascii="Calibri" w:hAnsi="Calibri"/>
        </w:rPr>
      </w:pPr>
      <w:r w:rsidRPr="00A23FB4">
        <w:rPr>
          <w:rFonts w:ascii="Calibri" w:hAnsi="Calibri"/>
        </w:rPr>
        <w:t xml:space="preserve">1.2. Zakres stosowania </w:t>
      </w:r>
      <w:r w:rsidR="0068652C">
        <w:rPr>
          <w:rFonts w:ascii="Calibri" w:hAnsi="Calibri"/>
        </w:rPr>
        <w:t>ST</w:t>
      </w:r>
      <w:r w:rsidRPr="00A23FB4">
        <w:rPr>
          <w:rFonts w:ascii="Calibri" w:hAnsi="Calibri"/>
        </w:rPr>
        <w:t>WiORB</w:t>
      </w:r>
    </w:p>
    <w:p w14:paraId="225D4721" w14:textId="1381F960" w:rsidR="00B77350" w:rsidRPr="003D707D" w:rsidRDefault="00575C66" w:rsidP="00B77350">
      <w:pPr>
        <w:rPr>
          <w:b/>
          <w:bCs/>
          <w:smallCaps/>
          <w:sz w:val="28"/>
          <w:szCs w:val="28"/>
        </w:rPr>
      </w:pPr>
      <w:r>
        <w:rPr>
          <w:rFonts w:ascii="Calibri" w:hAnsi="Calibri" w:cs="Calibri"/>
        </w:rPr>
        <w:t>Specyfikacj</w:t>
      </w:r>
      <w:r w:rsidR="007C04C0">
        <w:rPr>
          <w:rFonts w:ascii="Calibri" w:hAnsi="Calibri" w:cs="Calibri"/>
        </w:rPr>
        <w:t>a</w:t>
      </w:r>
      <w:r w:rsidRPr="00A23FB4">
        <w:rPr>
          <w:rFonts w:asciiTheme="minorHAnsi" w:hAnsiTheme="minorHAnsi" w:cs="Calibri"/>
        </w:rPr>
        <w:t xml:space="preserve"> </w:t>
      </w:r>
      <w:r w:rsidR="00B77350" w:rsidRPr="00A23FB4">
        <w:rPr>
          <w:rFonts w:asciiTheme="minorHAnsi" w:hAnsiTheme="minorHAnsi" w:cs="Calibri"/>
        </w:rPr>
        <w:t xml:space="preserve">stanowi dokument kontraktowy przy realizacji  zadania </w:t>
      </w:r>
      <w:r w:rsidR="00506838">
        <w:rPr>
          <w:rFonts w:asciiTheme="minorHAnsi" w:hAnsiTheme="minorHAnsi" w:cstheme="minorHAnsi"/>
          <w:bCs/>
        </w:rPr>
        <w:t>„</w:t>
      </w:r>
      <w:r w:rsidR="00E3013A" w:rsidRPr="00E3013A">
        <w:rPr>
          <w:rFonts w:asciiTheme="minorHAnsi" w:hAnsiTheme="minorHAnsi" w:cstheme="minorHAnsi"/>
          <w:bCs/>
        </w:rPr>
        <w:t>Rozbudowa ul. Wrocławskiej w ciągu drogi powiatowej w Tyńcu Małym wraz z rozbudową istniejącego skrzyżowania typu rondo na połączeniu dróg krajowych nr 35 i 35a oraz łącznika węzła Kobierzyce drogi S8e oraz infrastrukturą towarzyszącą w ramach zadania „Rozbudowa skrzyżowania typu rondo w ciągu DK35 koło m. Tyniec Mały usprawniająca skomunikowanie obszarów Podstrefy Wrocław – Kobierzyce TSSE EURO PARK WISŁOSAN”.</w:t>
      </w:r>
    </w:p>
    <w:p w14:paraId="6F7E8478" w14:textId="35AF988F" w:rsidR="00B77350" w:rsidRPr="00A23FB4" w:rsidRDefault="00B77350" w:rsidP="00B77350">
      <w:pPr>
        <w:pStyle w:val="Nagwek4"/>
        <w:rPr>
          <w:rFonts w:ascii="Calibri" w:hAnsi="Calibri"/>
        </w:rPr>
      </w:pPr>
      <w:r w:rsidRPr="00A23FB4">
        <w:rPr>
          <w:rFonts w:ascii="Calibri" w:hAnsi="Calibri"/>
        </w:rPr>
        <w:t xml:space="preserve">1.3. Zakres robót objętych </w:t>
      </w:r>
      <w:r w:rsidR="0068652C">
        <w:rPr>
          <w:rFonts w:ascii="Calibri" w:hAnsi="Calibri"/>
        </w:rPr>
        <w:t>ST</w:t>
      </w:r>
      <w:r w:rsidRPr="00A23FB4">
        <w:rPr>
          <w:rFonts w:ascii="Calibri" w:hAnsi="Calibri"/>
        </w:rPr>
        <w:t>WiORB</w:t>
      </w:r>
    </w:p>
    <w:p w14:paraId="63ACD45F" w14:textId="5178C3BC" w:rsidR="00B77350" w:rsidRPr="00A23FB4" w:rsidRDefault="00B77350" w:rsidP="00B77350">
      <w:pPr>
        <w:rPr>
          <w:rFonts w:ascii="Calibri" w:hAnsi="Calibri"/>
        </w:rPr>
      </w:pPr>
      <w:r w:rsidRPr="00A23FB4">
        <w:rPr>
          <w:rFonts w:ascii="Calibri" w:hAnsi="Calibri"/>
        </w:rPr>
        <w:t xml:space="preserve">Ustalenia zawarte w niniejszych </w:t>
      </w:r>
      <w:r w:rsidR="006707A0">
        <w:rPr>
          <w:rFonts w:ascii="Calibri" w:hAnsi="Calibri"/>
        </w:rPr>
        <w:t>specyfikacjach</w:t>
      </w:r>
      <w:r w:rsidRPr="00A23FB4">
        <w:rPr>
          <w:rFonts w:ascii="Calibri" w:hAnsi="Calibri"/>
        </w:rPr>
        <w:t xml:space="preserve"> dotyczą zasad prowadzenia robót związanych z wykonywaniem podbudowy z  betonu cementowego.</w:t>
      </w:r>
    </w:p>
    <w:p w14:paraId="785C2630" w14:textId="77777777" w:rsidR="00B77350" w:rsidRPr="00A23FB4" w:rsidRDefault="00B77350" w:rsidP="00B77350">
      <w:pPr>
        <w:pStyle w:val="Nagwek4"/>
        <w:rPr>
          <w:rFonts w:ascii="Calibri" w:hAnsi="Calibri"/>
        </w:rPr>
      </w:pPr>
      <w:r w:rsidRPr="00A23FB4">
        <w:rPr>
          <w:rFonts w:ascii="Calibri" w:hAnsi="Calibri"/>
        </w:rPr>
        <w:t>1.4. Określenia podstawowe</w:t>
      </w:r>
    </w:p>
    <w:p w14:paraId="0231EBF0" w14:textId="77777777" w:rsidR="00B77350" w:rsidRPr="00A23FB4" w:rsidRDefault="00B77350" w:rsidP="00B77350">
      <w:pPr>
        <w:rPr>
          <w:rFonts w:ascii="Calibri" w:hAnsi="Calibri"/>
        </w:rPr>
      </w:pPr>
      <w:r w:rsidRPr="00A23FB4">
        <w:rPr>
          <w:rFonts w:ascii="Calibri" w:hAnsi="Calibri"/>
          <w:b/>
        </w:rPr>
        <w:t xml:space="preserve">1.4.1. </w:t>
      </w:r>
      <w:r w:rsidRPr="00A23FB4">
        <w:rPr>
          <w:rFonts w:ascii="Calibri" w:hAnsi="Calibri"/>
        </w:rPr>
        <w:t>Podbudowa z betonu - warstwa zagęszczonej mieszanki betonowej, która po osiągnięciu wytrzymałości na ściskanie stanowi fragment nośnej części nawierzchni drogowej.</w:t>
      </w:r>
    </w:p>
    <w:p w14:paraId="50350A43" w14:textId="17A5BFE4" w:rsidR="00B77350" w:rsidRPr="00A23FB4" w:rsidRDefault="00B77350" w:rsidP="00B77350">
      <w:pPr>
        <w:rPr>
          <w:rFonts w:ascii="Calibri" w:hAnsi="Calibri"/>
        </w:rPr>
      </w:pPr>
      <w:r w:rsidRPr="00A23FB4">
        <w:rPr>
          <w:rFonts w:ascii="Calibri" w:hAnsi="Calibri"/>
          <w:b/>
        </w:rPr>
        <w:t xml:space="preserve">1.4.2. </w:t>
      </w:r>
      <w:r w:rsidRPr="00A23FB4">
        <w:rPr>
          <w:rFonts w:ascii="Calibri" w:hAnsi="Calibri"/>
        </w:rPr>
        <w:t xml:space="preserve">Pozostałe określenia podstawowe są zgodne z obowiązującymi, odpowiednimi polskimi normami i z definicjami podanymi w </w:t>
      </w:r>
      <w:r w:rsidR="0068652C">
        <w:rPr>
          <w:rFonts w:ascii="Calibri" w:hAnsi="Calibri"/>
        </w:rPr>
        <w:t>ST</w:t>
      </w:r>
      <w:r w:rsidRPr="00A23FB4">
        <w:rPr>
          <w:rFonts w:ascii="Calibri" w:hAnsi="Calibri"/>
        </w:rPr>
        <w:t xml:space="preserve">WiORB D-M-00.00.00 „Wymagania ogólne” pkt 1.4. </w:t>
      </w:r>
    </w:p>
    <w:p w14:paraId="1DD78F66" w14:textId="77777777" w:rsidR="00B77350" w:rsidRPr="00A23FB4" w:rsidRDefault="00B77350" w:rsidP="00B77350">
      <w:pPr>
        <w:pStyle w:val="Nagwek4"/>
        <w:rPr>
          <w:rFonts w:ascii="Calibri" w:hAnsi="Calibri"/>
        </w:rPr>
      </w:pPr>
      <w:r w:rsidRPr="00A23FB4">
        <w:rPr>
          <w:rFonts w:ascii="Calibri" w:hAnsi="Calibri"/>
        </w:rPr>
        <w:t>1.5. Ogólne wymagania dotyczące robót</w:t>
      </w:r>
    </w:p>
    <w:p w14:paraId="71A50B7A" w14:textId="0C4E4D2F" w:rsidR="00B77350" w:rsidRPr="00A23FB4" w:rsidRDefault="00B77350" w:rsidP="00B77350">
      <w:pPr>
        <w:spacing w:after="240"/>
        <w:rPr>
          <w:rFonts w:ascii="Calibri" w:hAnsi="Calibri"/>
        </w:rPr>
      </w:pPr>
      <w:r w:rsidRPr="00A23FB4">
        <w:rPr>
          <w:rFonts w:ascii="Calibri" w:hAnsi="Calibri"/>
        </w:rPr>
        <w:t xml:space="preserve">Ogólne wymagania dotyczące robót podano w </w:t>
      </w:r>
      <w:r w:rsidR="0068652C">
        <w:rPr>
          <w:rFonts w:ascii="Calibri" w:hAnsi="Calibri"/>
        </w:rPr>
        <w:t>ST</w:t>
      </w:r>
      <w:r w:rsidRPr="00A23FB4">
        <w:rPr>
          <w:rFonts w:ascii="Calibri" w:hAnsi="Calibri"/>
        </w:rPr>
        <w:t>WiORB D-M-00.00.00 „Wymagania ogólne” pkt 1.5.</w:t>
      </w:r>
    </w:p>
    <w:p w14:paraId="63B635D6" w14:textId="77777777" w:rsidR="00B77350" w:rsidRPr="00A23FB4" w:rsidRDefault="00B77350" w:rsidP="00B77350">
      <w:pPr>
        <w:rPr>
          <w:rFonts w:ascii="Calibri" w:hAnsi="Calibri"/>
          <w:b/>
        </w:rPr>
      </w:pPr>
      <w:bookmarkStart w:id="562" w:name="_Toc423845939"/>
      <w:bookmarkStart w:id="563" w:name="_Toc423398331"/>
      <w:bookmarkStart w:id="564" w:name="_Toc32644946"/>
      <w:r w:rsidRPr="00A23FB4">
        <w:rPr>
          <w:rFonts w:ascii="Calibri" w:hAnsi="Calibri"/>
          <w:b/>
        </w:rPr>
        <w:t>2. MATERIAŁY</w:t>
      </w:r>
      <w:bookmarkEnd w:id="562"/>
      <w:bookmarkEnd w:id="563"/>
      <w:bookmarkEnd w:id="564"/>
    </w:p>
    <w:p w14:paraId="603C4FF2" w14:textId="77777777" w:rsidR="00B77350" w:rsidRPr="00A23FB4" w:rsidRDefault="00B77350" w:rsidP="00B77350">
      <w:pPr>
        <w:pStyle w:val="Nagwek4"/>
        <w:rPr>
          <w:rFonts w:ascii="Calibri" w:hAnsi="Calibri"/>
        </w:rPr>
      </w:pPr>
      <w:r w:rsidRPr="00A23FB4">
        <w:rPr>
          <w:rFonts w:ascii="Calibri" w:hAnsi="Calibri"/>
        </w:rPr>
        <w:t>2.1. Ogólne wymagania dotyczące materiałów</w:t>
      </w:r>
    </w:p>
    <w:p w14:paraId="04D3E4C3" w14:textId="3DC61AD9" w:rsidR="00B77350" w:rsidRPr="00A23FB4" w:rsidRDefault="00B77350" w:rsidP="00B77350">
      <w:pPr>
        <w:rPr>
          <w:rFonts w:ascii="Calibri" w:hAnsi="Calibri"/>
        </w:rPr>
      </w:pPr>
      <w:r w:rsidRPr="00A23FB4">
        <w:rPr>
          <w:rFonts w:ascii="Calibri" w:hAnsi="Calibri"/>
        </w:rPr>
        <w:t xml:space="preserve">Ogólne wymagania dotyczące materiałów, ich pozyskiwania i składowania podano w </w:t>
      </w:r>
      <w:r w:rsidR="0068652C">
        <w:rPr>
          <w:rFonts w:ascii="Calibri" w:hAnsi="Calibri"/>
        </w:rPr>
        <w:t>ST</w:t>
      </w:r>
      <w:r w:rsidRPr="00A23FB4">
        <w:rPr>
          <w:rFonts w:ascii="Calibri" w:hAnsi="Calibri"/>
        </w:rPr>
        <w:t>WiORB D-M-00.00.00 „Wymagania ogólne” pkt 2.</w:t>
      </w:r>
    </w:p>
    <w:p w14:paraId="4FFBCB41" w14:textId="77777777" w:rsidR="00B77350" w:rsidRPr="00A23FB4" w:rsidRDefault="00B77350" w:rsidP="00B77350">
      <w:pPr>
        <w:pStyle w:val="Nagwek4"/>
        <w:rPr>
          <w:rFonts w:ascii="Calibri" w:hAnsi="Calibri"/>
        </w:rPr>
      </w:pPr>
      <w:r w:rsidRPr="00A23FB4">
        <w:rPr>
          <w:rFonts w:ascii="Calibri" w:hAnsi="Calibri"/>
        </w:rPr>
        <w:t>2.2. Cement</w:t>
      </w:r>
    </w:p>
    <w:p w14:paraId="09B16238" w14:textId="77777777" w:rsidR="00B77350" w:rsidRPr="00A23FB4" w:rsidRDefault="00B77350" w:rsidP="00B77350">
      <w:pPr>
        <w:rPr>
          <w:rFonts w:ascii="Calibri" w:hAnsi="Calibri"/>
        </w:rPr>
      </w:pPr>
      <w:r w:rsidRPr="00A23FB4">
        <w:rPr>
          <w:rFonts w:ascii="Calibri" w:hAnsi="Calibri"/>
        </w:rPr>
        <w:t>Należy stosować cementy powszechnego użytku: portlandzki CEM I klasy 32,5 N, cement portlandzki wieloskładnikowy CEM II klasy 32,5 N, cement hutniczy CEM III klasy 32,5 N, cement pucolanowy CEM IV klasy 32,5 N według PN-EN 197-1:2002 .</w:t>
      </w:r>
    </w:p>
    <w:p w14:paraId="7511BD81" w14:textId="77777777" w:rsidR="00B77350" w:rsidRPr="00A23FB4" w:rsidRDefault="00B77350" w:rsidP="00B77350">
      <w:pPr>
        <w:rPr>
          <w:rFonts w:ascii="Calibri" w:hAnsi="Calibri"/>
        </w:rPr>
      </w:pPr>
      <w:r w:rsidRPr="00A23FB4">
        <w:rPr>
          <w:rFonts w:ascii="Calibri" w:hAnsi="Calibri"/>
        </w:rPr>
        <w:t>Wymagania dla cementu zestawiono w tablicy 1.</w:t>
      </w:r>
    </w:p>
    <w:p w14:paraId="44A002C9" w14:textId="77777777" w:rsidR="00B77350" w:rsidRPr="00A23FB4" w:rsidRDefault="00B77350" w:rsidP="00B77350">
      <w:pPr>
        <w:rPr>
          <w:rFonts w:ascii="Calibri" w:hAnsi="Calibri"/>
        </w:rPr>
      </w:pPr>
      <w:r w:rsidRPr="00A23FB4">
        <w:rPr>
          <w:rFonts w:ascii="Calibri" w:hAnsi="Calibri"/>
        </w:rPr>
        <w:t>Tablica 1. Wymagania dla cementu do chudego betonu</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96"/>
        <w:gridCol w:w="5244"/>
        <w:gridCol w:w="1770"/>
      </w:tblGrid>
      <w:tr w:rsidR="00B77350" w:rsidRPr="00A23FB4" w14:paraId="10F9323B" w14:textId="77777777" w:rsidTr="00B77350">
        <w:tc>
          <w:tcPr>
            <w:tcW w:w="496" w:type="dxa"/>
            <w:tcBorders>
              <w:bottom w:val="double" w:sz="6" w:space="0" w:color="auto"/>
            </w:tcBorders>
          </w:tcPr>
          <w:p w14:paraId="4997BBDA" w14:textId="77777777" w:rsidR="00B77350" w:rsidRPr="00A23FB4" w:rsidRDefault="00B77350" w:rsidP="00B77350">
            <w:pPr>
              <w:rPr>
                <w:rFonts w:ascii="Calibri" w:hAnsi="Calibri"/>
              </w:rPr>
            </w:pPr>
            <w:r w:rsidRPr="00A23FB4">
              <w:rPr>
                <w:rFonts w:ascii="Calibri" w:hAnsi="Calibri"/>
              </w:rPr>
              <w:t>Lp.</w:t>
            </w:r>
          </w:p>
        </w:tc>
        <w:tc>
          <w:tcPr>
            <w:tcW w:w="5244" w:type="dxa"/>
            <w:tcBorders>
              <w:bottom w:val="double" w:sz="6" w:space="0" w:color="auto"/>
            </w:tcBorders>
          </w:tcPr>
          <w:p w14:paraId="5D0E6413" w14:textId="77777777" w:rsidR="00B77350" w:rsidRPr="00A23FB4" w:rsidRDefault="00B77350" w:rsidP="00B77350">
            <w:pPr>
              <w:rPr>
                <w:rFonts w:ascii="Calibri" w:hAnsi="Calibri"/>
              </w:rPr>
            </w:pPr>
            <w:r w:rsidRPr="00A23FB4">
              <w:rPr>
                <w:rFonts w:ascii="Calibri" w:hAnsi="Calibri"/>
              </w:rPr>
              <w:t>Właściwości</w:t>
            </w:r>
          </w:p>
        </w:tc>
        <w:tc>
          <w:tcPr>
            <w:tcW w:w="1770" w:type="dxa"/>
            <w:tcBorders>
              <w:bottom w:val="double" w:sz="6" w:space="0" w:color="auto"/>
            </w:tcBorders>
          </w:tcPr>
          <w:p w14:paraId="0C220A7E" w14:textId="77777777" w:rsidR="00B77350" w:rsidRPr="00A23FB4" w:rsidRDefault="00B77350" w:rsidP="00B77350">
            <w:pPr>
              <w:rPr>
                <w:rFonts w:ascii="Calibri" w:hAnsi="Calibri"/>
              </w:rPr>
            </w:pPr>
            <w:r w:rsidRPr="00A23FB4">
              <w:rPr>
                <w:rFonts w:ascii="Calibri" w:hAnsi="Calibri"/>
              </w:rPr>
              <w:t>Wymagania</w:t>
            </w:r>
          </w:p>
        </w:tc>
      </w:tr>
      <w:tr w:rsidR="00B77350" w:rsidRPr="00A23FB4" w14:paraId="0CECCC3B" w14:textId="77777777" w:rsidTr="00B77350">
        <w:tc>
          <w:tcPr>
            <w:tcW w:w="496" w:type="dxa"/>
            <w:tcBorders>
              <w:top w:val="nil"/>
            </w:tcBorders>
          </w:tcPr>
          <w:p w14:paraId="4308CC96" w14:textId="77777777" w:rsidR="00B77350" w:rsidRPr="00A23FB4" w:rsidRDefault="00B77350" w:rsidP="00B77350">
            <w:pPr>
              <w:rPr>
                <w:rFonts w:ascii="Calibri" w:hAnsi="Calibri"/>
              </w:rPr>
            </w:pPr>
            <w:r w:rsidRPr="00A23FB4">
              <w:rPr>
                <w:rFonts w:ascii="Calibri" w:hAnsi="Calibri"/>
              </w:rPr>
              <w:t>1</w:t>
            </w:r>
          </w:p>
        </w:tc>
        <w:tc>
          <w:tcPr>
            <w:tcW w:w="5244" w:type="dxa"/>
            <w:tcBorders>
              <w:top w:val="nil"/>
            </w:tcBorders>
          </w:tcPr>
          <w:p w14:paraId="439D7773" w14:textId="77777777" w:rsidR="00B77350" w:rsidRPr="00A23FB4" w:rsidRDefault="00B77350" w:rsidP="00B77350">
            <w:pPr>
              <w:rPr>
                <w:rFonts w:ascii="Calibri" w:hAnsi="Calibri"/>
              </w:rPr>
            </w:pPr>
            <w:r w:rsidRPr="00A23FB4">
              <w:rPr>
                <w:rFonts w:ascii="Calibri" w:hAnsi="Calibri"/>
              </w:rPr>
              <w:t>Wytrzymałość na ściskanie (MPa), po 7 dniach, nie mniej niż:</w:t>
            </w:r>
          </w:p>
        </w:tc>
        <w:tc>
          <w:tcPr>
            <w:tcW w:w="1770" w:type="dxa"/>
            <w:tcBorders>
              <w:top w:val="nil"/>
            </w:tcBorders>
          </w:tcPr>
          <w:p w14:paraId="0AFC5245" w14:textId="77777777" w:rsidR="00B77350" w:rsidRPr="00A23FB4" w:rsidRDefault="00B77350" w:rsidP="00B77350">
            <w:pPr>
              <w:jc w:val="right"/>
              <w:rPr>
                <w:rFonts w:ascii="Calibri" w:hAnsi="Calibri"/>
              </w:rPr>
            </w:pPr>
            <w:r w:rsidRPr="00A23FB4">
              <w:rPr>
                <w:rFonts w:ascii="Calibri" w:hAnsi="Calibri"/>
              </w:rPr>
              <w:t>16</w:t>
            </w:r>
          </w:p>
        </w:tc>
      </w:tr>
      <w:tr w:rsidR="00B77350" w:rsidRPr="00A23FB4" w14:paraId="765A1EF5" w14:textId="77777777" w:rsidTr="00B77350">
        <w:tc>
          <w:tcPr>
            <w:tcW w:w="496" w:type="dxa"/>
          </w:tcPr>
          <w:p w14:paraId="73639885" w14:textId="77777777" w:rsidR="00B77350" w:rsidRPr="00A23FB4" w:rsidRDefault="00B77350" w:rsidP="00B77350">
            <w:pPr>
              <w:rPr>
                <w:rFonts w:ascii="Calibri" w:hAnsi="Calibri"/>
              </w:rPr>
            </w:pPr>
            <w:r w:rsidRPr="00A23FB4">
              <w:rPr>
                <w:rFonts w:ascii="Calibri" w:hAnsi="Calibri"/>
              </w:rPr>
              <w:t>2</w:t>
            </w:r>
          </w:p>
        </w:tc>
        <w:tc>
          <w:tcPr>
            <w:tcW w:w="5244" w:type="dxa"/>
          </w:tcPr>
          <w:p w14:paraId="4EDF2325" w14:textId="77777777" w:rsidR="00B77350" w:rsidRPr="00A23FB4" w:rsidRDefault="00B77350" w:rsidP="00B77350">
            <w:pPr>
              <w:rPr>
                <w:rFonts w:ascii="Calibri" w:hAnsi="Calibri"/>
              </w:rPr>
            </w:pPr>
            <w:r w:rsidRPr="00A23FB4">
              <w:rPr>
                <w:rFonts w:ascii="Calibri" w:hAnsi="Calibri"/>
              </w:rPr>
              <w:t>Wytrzymałość na ściskanie (MPa), po 28 dniach, nie mniej niż:</w:t>
            </w:r>
          </w:p>
        </w:tc>
        <w:tc>
          <w:tcPr>
            <w:tcW w:w="1770" w:type="dxa"/>
          </w:tcPr>
          <w:p w14:paraId="615433F5" w14:textId="77777777" w:rsidR="00B77350" w:rsidRPr="00A23FB4" w:rsidRDefault="00B77350" w:rsidP="00B77350">
            <w:pPr>
              <w:jc w:val="right"/>
              <w:rPr>
                <w:rFonts w:ascii="Calibri" w:hAnsi="Calibri"/>
              </w:rPr>
            </w:pPr>
            <w:r w:rsidRPr="00A23FB4">
              <w:rPr>
                <w:rFonts w:ascii="Calibri" w:hAnsi="Calibri"/>
              </w:rPr>
              <w:t>32,5</w:t>
            </w:r>
          </w:p>
        </w:tc>
      </w:tr>
      <w:tr w:rsidR="00B77350" w:rsidRPr="00A23FB4" w14:paraId="0A72E3DC" w14:textId="77777777" w:rsidTr="00B77350">
        <w:tc>
          <w:tcPr>
            <w:tcW w:w="496" w:type="dxa"/>
          </w:tcPr>
          <w:p w14:paraId="7A629EDA" w14:textId="77777777" w:rsidR="00B77350" w:rsidRPr="00A23FB4" w:rsidRDefault="00B77350" w:rsidP="00B77350">
            <w:pPr>
              <w:rPr>
                <w:rFonts w:ascii="Calibri" w:hAnsi="Calibri"/>
              </w:rPr>
            </w:pPr>
            <w:r w:rsidRPr="00A23FB4">
              <w:rPr>
                <w:rFonts w:ascii="Calibri" w:hAnsi="Calibri"/>
              </w:rPr>
              <w:t>3</w:t>
            </w:r>
          </w:p>
        </w:tc>
        <w:tc>
          <w:tcPr>
            <w:tcW w:w="5244" w:type="dxa"/>
          </w:tcPr>
          <w:p w14:paraId="34750928" w14:textId="77777777" w:rsidR="00B77350" w:rsidRPr="00A23FB4" w:rsidRDefault="00B77350" w:rsidP="00B77350">
            <w:pPr>
              <w:rPr>
                <w:rFonts w:ascii="Calibri" w:hAnsi="Calibri"/>
              </w:rPr>
            </w:pPr>
            <w:r w:rsidRPr="00A23FB4">
              <w:rPr>
                <w:rFonts w:ascii="Calibri" w:hAnsi="Calibri"/>
              </w:rPr>
              <w:t>Początek czasu wiązania, min , nie wcześniej niż:</w:t>
            </w:r>
          </w:p>
        </w:tc>
        <w:tc>
          <w:tcPr>
            <w:tcW w:w="1770" w:type="dxa"/>
          </w:tcPr>
          <w:p w14:paraId="08ED1608" w14:textId="77777777" w:rsidR="00B77350" w:rsidRPr="00A23FB4" w:rsidRDefault="00B77350" w:rsidP="00B77350">
            <w:pPr>
              <w:jc w:val="right"/>
              <w:rPr>
                <w:rFonts w:ascii="Calibri" w:hAnsi="Calibri"/>
              </w:rPr>
            </w:pPr>
            <w:r w:rsidRPr="00A23FB4">
              <w:rPr>
                <w:rFonts w:ascii="Calibri" w:hAnsi="Calibri"/>
              </w:rPr>
              <w:t>75</w:t>
            </w:r>
          </w:p>
        </w:tc>
      </w:tr>
      <w:tr w:rsidR="00B77350" w:rsidRPr="00A23FB4" w14:paraId="20E40CDE" w14:textId="77777777" w:rsidTr="00B77350">
        <w:tc>
          <w:tcPr>
            <w:tcW w:w="496" w:type="dxa"/>
          </w:tcPr>
          <w:p w14:paraId="749C362D" w14:textId="77777777" w:rsidR="00B77350" w:rsidRPr="00A23FB4" w:rsidRDefault="00B77350" w:rsidP="00B77350">
            <w:pPr>
              <w:rPr>
                <w:rFonts w:ascii="Calibri" w:hAnsi="Calibri"/>
              </w:rPr>
            </w:pPr>
            <w:r w:rsidRPr="00A23FB4">
              <w:rPr>
                <w:rFonts w:ascii="Calibri" w:hAnsi="Calibri"/>
              </w:rPr>
              <w:t>4</w:t>
            </w:r>
          </w:p>
        </w:tc>
        <w:tc>
          <w:tcPr>
            <w:tcW w:w="5244" w:type="dxa"/>
          </w:tcPr>
          <w:p w14:paraId="27D75296" w14:textId="77777777" w:rsidR="00B77350" w:rsidRPr="00A23FB4" w:rsidRDefault="00B77350" w:rsidP="00B77350">
            <w:pPr>
              <w:rPr>
                <w:rFonts w:ascii="Calibri" w:hAnsi="Calibri"/>
              </w:rPr>
            </w:pPr>
            <w:r w:rsidRPr="00A23FB4">
              <w:rPr>
                <w:rFonts w:ascii="Calibri" w:hAnsi="Calibri"/>
              </w:rPr>
              <w:t>Stałość objętości, mm, nie więcej niż:</w:t>
            </w:r>
          </w:p>
        </w:tc>
        <w:tc>
          <w:tcPr>
            <w:tcW w:w="1770" w:type="dxa"/>
          </w:tcPr>
          <w:p w14:paraId="0A881040" w14:textId="77777777" w:rsidR="00B77350" w:rsidRPr="00A23FB4" w:rsidRDefault="00B77350" w:rsidP="00B77350">
            <w:pPr>
              <w:jc w:val="right"/>
              <w:rPr>
                <w:rFonts w:ascii="Calibri" w:hAnsi="Calibri"/>
              </w:rPr>
            </w:pPr>
            <w:r w:rsidRPr="00A23FB4">
              <w:rPr>
                <w:rFonts w:ascii="Calibri" w:hAnsi="Calibri"/>
              </w:rPr>
              <w:t>10</w:t>
            </w:r>
          </w:p>
        </w:tc>
      </w:tr>
    </w:tbl>
    <w:p w14:paraId="67CE5B2A" w14:textId="77777777" w:rsidR="00B77350" w:rsidRPr="00A23FB4" w:rsidRDefault="00B77350" w:rsidP="00B77350">
      <w:pPr>
        <w:rPr>
          <w:rFonts w:ascii="Calibri" w:hAnsi="Calibri"/>
        </w:rPr>
      </w:pPr>
    </w:p>
    <w:p w14:paraId="728C5523" w14:textId="77777777" w:rsidR="00B77350" w:rsidRPr="00A23FB4" w:rsidRDefault="00B77350" w:rsidP="00B77350">
      <w:pPr>
        <w:rPr>
          <w:rFonts w:ascii="Calibri" w:hAnsi="Calibri"/>
        </w:rPr>
      </w:pPr>
      <w:r w:rsidRPr="00A23FB4">
        <w:rPr>
          <w:rFonts w:ascii="Calibri" w:hAnsi="Calibri"/>
        </w:rPr>
        <w:t>Przechowywanie cementu powinno się odbywać zgodnie z BN-88/6731-08.</w:t>
      </w:r>
    </w:p>
    <w:p w14:paraId="0CAB1BBA" w14:textId="77777777" w:rsidR="00B77350" w:rsidRPr="00A23FB4" w:rsidRDefault="00B77350" w:rsidP="00B77350">
      <w:pPr>
        <w:pStyle w:val="Nagwek4"/>
        <w:rPr>
          <w:rFonts w:ascii="Calibri" w:hAnsi="Calibri"/>
        </w:rPr>
      </w:pPr>
      <w:r w:rsidRPr="00A23FB4">
        <w:rPr>
          <w:rFonts w:ascii="Calibri" w:hAnsi="Calibri"/>
        </w:rPr>
        <w:t>2.3. Kruszywo</w:t>
      </w:r>
    </w:p>
    <w:p w14:paraId="1B53535D" w14:textId="77777777" w:rsidR="00B77350" w:rsidRPr="00A23FB4" w:rsidRDefault="00B77350" w:rsidP="00B77350">
      <w:pPr>
        <w:rPr>
          <w:rFonts w:ascii="Calibri" w:hAnsi="Calibri"/>
        </w:rPr>
      </w:pPr>
      <w:r w:rsidRPr="00A23FB4">
        <w:rPr>
          <w:rFonts w:ascii="Calibri" w:hAnsi="Calibri"/>
        </w:rPr>
        <w:t>Do wykonania mieszanki betonu należy stosować kruszywo spełniające wymagania PN-EN 12620:2004</w:t>
      </w:r>
    </w:p>
    <w:p w14:paraId="66B1D161" w14:textId="77777777" w:rsidR="00B77350" w:rsidRPr="00A23FB4" w:rsidRDefault="00B77350" w:rsidP="00B77350">
      <w:pPr>
        <w:pStyle w:val="Nagwek4"/>
        <w:rPr>
          <w:rFonts w:ascii="Calibri" w:hAnsi="Calibri"/>
        </w:rPr>
      </w:pPr>
      <w:r w:rsidRPr="00A23FB4">
        <w:rPr>
          <w:rFonts w:ascii="Calibri" w:hAnsi="Calibri"/>
        </w:rPr>
        <w:t>2.4. Woda</w:t>
      </w:r>
    </w:p>
    <w:p w14:paraId="4EBA51BA" w14:textId="77777777" w:rsidR="00B77350" w:rsidRPr="00A23FB4" w:rsidRDefault="00B77350" w:rsidP="00B77350">
      <w:pPr>
        <w:numPr>
          <w:ilvl w:val="12"/>
          <w:numId w:val="0"/>
        </w:numPr>
        <w:rPr>
          <w:rFonts w:ascii="Calibri" w:hAnsi="Calibri"/>
        </w:rPr>
      </w:pPr>
      <w:r w:rsidRPr="00A23FB4">
        <w:rPr>
          <w:rFonts w:ascii="Calibri" w:hAnsi="Calibri"/>
        </w:rPr>
        <w:t xml:space="preserve">Do wytwarzania mieszanki betonowej jak i do pielęgnacji wykonanej podbudowy należy stosować wodę odpowiadającą wymaganiom normy PN-EN 1008:2004. Bez badań laboratoryjnych można stosować wodociągową wodę pitną. </w:t>
      </w:r>
    </w:p>
    <w:p w14:paraId="5CDE1E17" w14:textId="77777777" w:rsidR="00B77350" w:rsidRPr="00A23FB4" w:rsidRDefault="00B77350" w:rsidP="00B77350">
      <w:pPr>
        <w:pStyle w:val="Nagwek4"/>
        <w:rPr>
          <w:rFonts w:ascii="Calibri" w:hAnsi="Calibri"/>
        </w:rPr>
      </w:pPr>
      <w:r w:rsidRPr="00A23FB4">
        <w:rPr>
          <w:rFonts w:ascii="Calibri" w:hAnsi="Calibri"/>
        </w:rPr>
        <w:t>2.6. Materiały do pielęgnacji podbudowy z betonu</w:t>
      </w:r>
    </w:p>
    <w:p w14:paraId="50354A2C" w14:textId="77777777" w:rsidR="00B77350" w:rsidRPr="00A23FB4" w:rsidRDefault="00B77350" w:rsidP="00B77350">
      <w:pPr>
        <w:numPr>
          <w:ilvl w:val="12"/>
          <w:numId w:val="0"/>
        </w:numPr>
        <w:rPr>
          <w:rFonts w:ascii="Calibri" w:hAnsi="Calibri"/>
        </w:rPr>
      </w:pPr>
      <w:r w:rsidRPr="00A23FB4">
        <w:rPr>
          <w:rFonts w:ascii="Calibri" w:hAnsi="Calibri"/>
        </w:rPr>
        <w:t>Do pielęgnacji podbudowy z betonu mogą być stosowane:</w:t>
      </w:r>
    </w:p>
    <w:p w14:paraId="276B5074" w14:textId="77777777" w:rsidR="00B77350" w:rsidRPr="00A23FB4" w:rsidRDefault="00B77350" w:rsidP="00262498">
      <w:pPr>
        <w:numPr>
          <w:ilvl w:val="0"/>
          <w:numId w:val="186"/>
        </w:numPr>
        <w:rPr>
          <w:rFonts w:ascii="Calibri" w:hAnsi="Calibri"/>
        </w:rPr>
      </w:pPr>
      <w:r w:rsidRPr="00A23FB4">
        <w:rPr>
          <w:rFonts w:ascii="Calibri" w:hAnsi="Calibri"/>
        </w:rPr>
        <w:t>preparaty pielęgnacyjne posiadające aprobatę techniczną,</w:t>
      </w:r>
    </w:p>
    <w:p w14:paraId="5AFA3D24" w14:textId="77777777" w:rsidR="00B77350" w:rsidRPr="00A23FB4" w:rsidRDefault="00B77350" w:rsidP="00262498">
      <w:pPr>
        <w:numPr>
          <w:ilvl w:val="0"/>
          <w:numId w:val="186"/>
        </w:numPr>
        <w:rPr>
          <w:rFonts w:ascii="Calibri" w:hAnsi="Calibri"/>
        </w:rPr>
      </w:pPr>
      <w:r w:rsidRPr="00A23FB4">
        <w:rPr>
          <w:rFonts w:ascii="Calibri" w:hAnsi="Calibri"/>
        </w:rPr>
        <w:t>folie z tworzyw sztucznych,</w:t>
      </w:r>
    </w:p>
    <w:p w14:paraId="4D088776" w14:textId="77777777" w:rsidR="00B77350" w:rsidRPr="00A23FB4" w:rsidRDefault="00B77350" w:rsidP="00262498">
      <w:pPr>
        <w:numPr>
          <w:ilvl w:val="0"/>
          <w:numId w:val="186"/>
        </w:numPr>
        <w:rPr>
          <w:rFonts w:ascii="Calibri" w:hAnsi="Calibri"/>
        </w:rPr>
      </w:pPr>
      <w:r w:rsidRPr="00A23FB4">
        <w:rPr>
          <w:rFonts w:ascii="Calibri" w:hAnsi="Calibri"/>
        </w:rPr>
        <w:t>włókniny według PN-P-01715:1985,</w:t>
      </w:r>
    </w:p>
    <w:p w14:paraId="5B419D98" w14:textId="77777777" w:rsidR="00B77350" w:rsidRPr="00A23FB4" w:rsidRDefault="00B77350" w:rsidP="00262498">
      <w:pPr>
        <w:numPr>
          <w:ilvl w:val="0"/>
          <w:numId w:val="186"/>
        </w:numPr>
        <w:spacing w:after="240"/>
        <w:rPr>
          <w:rFonts w:ascii="Calibri" w:hAnsi="Calibri"/>
        </w:rPr>
      </w:pPr>
      <w:r w:rsidRPr="00A23FB4">
        <w:rPr>
          <w:rFonts w:ascii="Calibri" w:hAnsi="Calibri"/>
        </w:rPr>
        <w:t>piasek i woda.</w:t>
      </w:r>
    </w:p>
    <w:p w14:paraId="7F47C75A" w14:textId="77777777" w:rsidR="00B77350" w:rsidRPr="00A23FB4" w:rsidRDefault="00B77350" w:rsidP="00B77350">
      <w:pPr>
        <w:rPr>
          <w:rFonts w:ascii="Calibri" w:hAnsi="Calibri"/>
          <w:b/>
        </w:rPr>
      </w:pPr>
      <w:bookmarkStart w:id="565" w:name="_Toc423845940"/>
      <w:bookmarkStart w:id="566" w:name="_Toc418394439"/>
      <w:bookmarkStart w:id="567" w:name="_Toc32644947"/>
      <w:r w:rsidRPr="00A23FB4">
        <w:rPr>
          <w:rFonts w:ascii="Calibri" w:hAnsi="Calibri"/>
          <w:b/>
        </w:rPr>
        <w:t>3. SPRZĘT</w:t>
      </w:r>
      <w:bookmarkEnd w:id="565"/>
      <w:bookmarkEnd w:id="566"/>
      <w:bookmarkEnd w:id="567"/>
    </w:p>
    <w:p w14:paraId="7FB7C08D" w14:textId="77777777" w:rsidR="00B77350" w:rsidRPr="00A23FB4" w:rsidRDefault="00B77350" w:rsidP="00B77350">
      <w:pPr>
        <w:pStyle w:val="Nagwek4"/>
        <w:rPr>
          <w:rFonts w:ascii="Calibri" w:hAnsi="Calibri"/>
        </w:rPr>
      </w:pPr>
      <w:r w:rsidRPr="00A23FB4">
        <w:rPr>
          <w:rFonts w:ascii="Calibri" w:hAnsi="Calibri"/>
        </w:rPr>
        <w:t>3.1. Ogólne wymagania dotyczące sprzętu</w:t>
      </w:r>
    </w:p>
    <w:p w14:paraId="4762E0FA" w14:textId="249AF734" w:rsidR="00B77350" w:rsidRPr="00A23FB4" w:rsidRDefault="00B77350" w:rsidP="00B77350">
      <w:pPr>
        <w:numPr>
          <w:ilvl w:val="12"/>
          <w:numId w:val="0"/>
        </w:numPr>
        <w:rPr>
          <w:rFonts w:ascii="Calibri" w:hAnsi="Calibri"/>
        </w:rPr>
      </w:pPr>
      <w:r w:rsidRPr="00A23FB4">
        <w:rPr>
          <w:rFonts w:ascii="Calibri" w:hAnsi="Calibri"/>
        </w:rPr>
        <w:t xml:space="preserve">Ogólne wymagania dotyczące sprzętu podano w </w:t>
      </w:r>
      <w:r w:rsidR="0068652C">
        <w:rPr>
          <w:rFonts w:ascii="Calibri" w:hAnsi="Calibri"/>
        </w:rPr>
        <w:t>ST</w:t>
      </w:r>
      <w:r w:rsidRPr="00A23FB4">
        <w:rPr>
          <w:rFonts w:ascii="Calibri" w:hAnsi="Calibri"/>
        </w:rPr>
        <w:t>WiORB D-M-00.00.00 „Wymagania ogólne” pkt 3.</w:t>
      </w:r>
    </w:p>
    <w:p w14:paraId="375DA51F" w14:textId="77777777" w:rsidR="00B77350" w:rsidRPr="00A23FB4" w:rsidRDefault="00B77350" w:rsidP="00B77350">
      <w:pPr>
        <w:pStyle w:val="Nagwek4"/>
        <w:rPr>
          <w:rFonts w:ascii="Calibri" w:hAnsi="Calibri"/>
        </w:rPr>
      </w:pPr>
      <w:r w:rsidRPr="00A23FB4">
        <w:rPr>
          <w:rFonts w:ascii="Calibri" w:hAnsi="Calibri"/>
        </w:rPr>
        <w:t>3.2. Sprzęt do wykonywania podbudowy z betonu</w:t>
      </w:r>
    </w:p>
    <w:p w14:paraId="1E9468FC" w14:textId="77777777" w:rsidR="00B77350" w:rsidRPr="00A23FB4" w:rsidRDefault="00B77350" w:rsidP="00B77350">
      <w:pPr>
        <w:numPr>
          <w:ilvl w:val="12"/>
          <w:numId w:val="0"/>
        </w:numPr>
        <w:rPr>
          <w:rFonts w:ascii="Calibri" w:hAnsi="Calibri"/>
        </w:rPr>
      </w:pPr>
      <w:r w:rsidRPr="00A23FB4">
        <w:rPr>
          <w:rFonts w:ascii="Calibri" w:hAnsi="Calibri"/>
        </w:rPr>
        <w:t>Wykonawca przystępujący do wykonania podbudowy z betonu, powinien wykazać się możliwością korzystania z następującego sprzętu:</w:t>
      </w:r>
    </w:p>
    <w:p w14:paraId="3E8C5367" w14:textId="77777777" w:rsidR="00B77350" w:rsidRPr="00A23FB4" w:rsidRDefault="00B77350" w:rsidP="00262498">
      <w:pPr>
        <w:numPr>
          <w:ilvl w:val="0"/>
          <w:numId w:val="186"/>
        </w:numPr>
        <w:rPr>
          <w:rFonts w:ascii="Calibri" w:hAnsi="Calibri"/>
          <w:b/>
        </w:rPr>
      </w:pPr>
      <w:r w:rsidRPr="00A23FB4">
        <w:rPr>
          <w:rFonts w:ascii="Calibri" w:hAnsi="Calibri"/>
        </w:rPr>
        <w:t xml:space="preserve">wytwórni stacjonarnej lub mobilnej do wytwarzania mieszanki betonowej. Wytwórnia powinna być wyposażona w urządzenia do wagowego dozowania wszystkich składników, gwarantujące następujące tolerancje dozowania, wyrażone w stosunku do masy poszczególnych składników: kruszywo </w:t>
      </w:r>
      <w:r w:rsidRPr="00A23FB4">
        <w:rPr>
          <w:rFonts w:ascii="Calibri" w:hAnsi="Calibri"/>
        </w:rPr>
        <w:sym w:font="Symbol" w:char="F0B1"/>
      </w:r>
      <w:r w:rsidRPr="00A23FB4">
        <w:rPr>
          <w:rFonts w:ascii="Calibri" w:hAnsi="Calibri"/>
        </w:rPr>
        <w:t xml:space="preserve"> 3%, cement </w:t>
      </w:r>
      <w:r w:rsidRPr="00A23FB4">
        <w:rPr>
          <w:rFonts w:ascii="Calibri" w:hAnsi="Calibri"/>
        </w:rPr>
        <w:sym w:font="Symbol" w:char="F0B1"/>
      </w:r>
      <w:r w:rsidRPr="00A23FB4">
        <w:rPr>
          <w:rFonts w:ascii="Calibri" w:hAnsi="Calibri"/>
        </w:rPr>
        <w:t xml:space="preserve"> 0,5%, woda </w:t>
      </w:r>
      <w:r w:rsidRPr="00A23FB4">
        <w:rPr>
          <w:rFonts w:ascii="Calibri" w:hAnsi="Calibri"/>
        </w:rPr>
        <w:sym w:font="Symbol" w:char="F0B1"/>
      </w:r>
      <w:r w:rsidRPr="00A23FB4">
        <w:rPr>
          <w:rFonts w:ascii="Calibri" w:hAnsi="Calibri"/>
        </w:rPr>
        <w:t xml:space="preserve"> 2%. Inżynier/Kierownik projektu może dopuścić objętościowe dozowanie wody,</w:t>
      </w:r>
    </w:p>
    <w:p w14:paraId="286877AD" w14:textId="77777777" w:rsidR="00B77350" w:rsidRPr="00A23FB4" w:rsidRDefault="00B77350" w:rsidP="00262498">
      <w:pPr>
        <w:numPr>
          <w:ilvl w:val="0"/>
          <w:numId w:val="186"/>
        </w:numPr>
        <w:rPr>
          <w:rFonts w:ascii="Calibri" w:hAnsi="Calibri"/>
          <w:b/>
        </w:rPr>
      </w:pPr>
      <w:r w:rsidRPr="00A23FB4">
        <w:rPr>
          <w:rFonts w:ascii="Calibri" w:hAnsi="Calibri"/>
        </w:rPr>
        <w:t>przewoźnych zbiorników na wodę,</w:t>
      </w:r>
    </w:p>
    <w:p w14:paraId="4AC3F8D8" w14:textId="77777777" w:rsidR="00B77350" w:rsidRPr="00A23FB4" w:rsidRDefault="00B77350" w:rsidP="00262498">
      <w:pPr>
        <w:numPr>
          <w:ilvl w:val="0"/>
          <w:numId w:val="186"/>
        </w:numPr>
        <w:rPr>
          <w:rFonts w:ascii="Calibri" w:hAnsi="Calibri"/>
          <w:b/>
        </w:rPr>
      </w:pPr>
      <w:r w:rsidRPr="00A23FB4">
        <w:rPr>
          <w:rFonts w:ascii="Calibri" w:hAnsi="Calibri"/>
        </w:rPr>
        <w:t>układarek albo równiarek  do rozkładania  mieszanki betonowej,</w:t>
      </w:r>
    </w:p>
    <w:p w14:paraId="5B2E5DDE" w14:textId="77777777" w:rsidR="00B77350" w:rsidRPr="00A23FB4" w:rsidRDefault="00B77350" w:rsidP="00262498">
      <w:pPr>
        <w:numPr>
          <w:ilvl w:val="0"/>
          <w:numId w:val="186"/>
        </w:numPr>
        <w:rPr>
          <w:rFonts w:ascii="Calibri" w:hAnsi="Calibri"/>
          <w:b/>
        </w:rPr>
      </w:pPr>
      <w:r w:rsidRPr="00A23FB4">
        <w:rPr>
          <w:rFonts w:ascii="Calibri" w:hAnsi="Calibri"/>
        </w:rPr>
        <w:t>walców wibracyjnych lub statycznych do zagęszczania lub płyty wibracyjne,</w:t>
      </w:r>
    </w:p>
    <w:p w14:paraId="1CD400F7" w14:textId="77777777" w:rsidR="00B77350" w:rsidRPr="00A23FB4" w:rsidRDefault="00B77350" w:rsidP="00262498">
      <w:pPr>
        <w:numPr>
          <w:ilvl w:val="0"/>
          <w:numId w:val="186"/>
        </w:numPr>
        <w:spacing w:after="240"/>
        <w:rPr>
          <w:rFonts w:ascii="Calibri" w:hAnsi="Calibri"/>
          <w:b/>
        </w:rPr>
      </w:pPr>
      <w:r w:rsidRPr="00A23FB4">
        <w:rPr>
          <w:rFonts w:ascii="Calibri" w:hAnsi="Calibri"/>
        </w:rPr>
        <w:t>zagęszczarek płytowych, ubijaków mechanicznych lub małych walców wibracyjnych do zagęszczania w miejscach trudno dostępnych.</w:t>
      </w:r>
    </w:p>
    <w:p w14:paraId="0C35CC1D" w14:textId="77777777" w:rsidR="00B77350" w:rsidRPr="00A23FB4" w:rsidRDefault="00B77350" w:rsidP="00B77350">
      <w:pPr>
        <w:rPr>
          <w:rFonts w:ascii="Calibri" w:hAnsi="Calibri"/>
          <w:b/>
        </w:rPr>
      </w:pPr>
      <w:bookmarkStart w:id="568" w:name="_Toc423845941"/>
      <w:bookmarkStart w:id="569" w:name="_Toc418394440"/>
      <w:bookmarkStart w:id="570" w:name="_Toc32644948"/>
      <w:r w:rsidRPr="00A23FB4">
        <w:rPr>
          <w:rFonts w:ascii="Calibri" w:hAnsi="Calibri"/>
          <w:b/>
        </w:rPr>
        <w:t>4. TRANSPORT</w:t>
      </w:r>
      <w:bookmarkEnd w:id="568"/>
      <w:bookmarkEnd w:id="569"/>
      <w:bookmarkEnd w:id="570"/>
    </w:p>
    <w:p w14:paraId="06E439D9" w14:textId="77777777" w:rsidR="00B77350" w:rsidRPr="00A23FB4" w:rsidRDefault="00B77350" w:rsidP="00B77350">
      <w:pPr>
        <w:pStyle w:val="Nagwek4"/>
        <w:rPr>
          <w:rFonts w:ascii="Calibri" w:hAnsi="Calibri"/>
        </w:rPr>
      </w:pPr>
      <w:r w:rsidRPr="00A23FB4">
        <w:rPr>
          <w:rFonts w:ascii="Calibri" w:hAnsi="Calibri"/>
        </w:rPr>
        <w:t>4.1. Ogólne wymagania dotyczące transportu</w:t>
      </w:r>
    </w:p>
    <w:p w14:paraId="7C8BEDFB" w14:textId="60479D0B" w:rsidR="00B77350" w:rsidRPr="00A23FB4" w:rsidRDefault="00B77350" w:rsidP="00B77350">
      <w:pPr>
        <w:numPr>
          <w:ilvl w:val="12"/>
          <w:numId w:val="0"/>
        </w:numPr>
        <w:rPr>
          <w:rFonts w:ascii="Calibri" w:hAnsi="Calibri"/>
        </w:rPr>
      </w:pPr>
      <w:r w:rsidRPr="00A23FB4">
        <w:rPr>
          <w:rFonts w:ascii="Calibri" w:hAnsi="Calibri"/>
        </w:rPr>
        <w:t xml:space="preserve">Ogólne wymagania dotyczące transportu podano w </w:t>
      </w:r>
      <w:r w:rsidR="0068652C">
        <w:rPr>
          <w:rFonts w:ascii="Calibri" w:hAnsi="Calibri"/>
        </w:rPr>
        <w:t>ST</w:t>
      </w:r>
      <w:r w:rsidRPr="00A23FB4">
        <w:rPr>
          <w:rFonts w:ascii="Calibri" w:hAnsi="Calibri"/>
        </w:rPr>
        <w:t>WiORB D-M-00.00.00 „Wymagania ogólne” pkt 4.</w:t>
      </w:r>
    </w:p>
    <w:p w14:paraId="1F35A036" w14:textId="77777777" w:rsidR="00B77350" w:rsidRPr="00A23FB4" w:rsidRDefault="00B77350" w:rsidP="00B77350">
      <w:pPr>
        <w:pStyle w:val="Nagwek4"/>
        <w:rPr>
          <w:rFonts w:ascii="Calibri" w:hAnsi="Calibri"/>
        </w:rPr>
      </w:pPr>
      <w:r w:rsidRPr="00A23FB4">
        <w:rPr>
          <w:rFonts w:ascii="Calibri" w:hAnsi="Calibri"/>
        </w:rPr>
        <w:t>4.2. Transport materiałów</w:t>
      </w:r>
    </w:p>
    <w:p w14:paraId="674FEBFD" w14:textId="77777777" w:rsidR="00B77350" w:rsidRPr="00A23FB4" w:rsidRDefault="00B77350" w:rsidP="00B77350">
      <w:pPr>
        <w:numPr>
          <w:ilvl w:val="12"/>
          <w:numId w:val="0"/>
        </w:numPr>
        <w:rPr>
          <w:rFonts w:ascii="Calibri" w:hAnsi="Calibri"/>
        </w:rPr>
      </w:pPr>
      <w:r w:rsidRPr="00A23FB4">
        <w:rPr>
          <w:rFonts w:ascii="Calibri" w:hAnsi="Calibri"/>
        </w:rPr>
        <w:t>Transport cementu powinien odbywać się zgodnie z BN-88/6731-08. Cement luzem należy przewozić cementowozami, natomiast cement workowany można przewozić dowolnymi środkami transportu, w sposób zabezpieczony przed zawilgoceniem.</w:t>
      </w:r>
    </w:p>
    <w:p w14:paraId="001D47D8" w14:textId="77777777" w:rsidR="00B77350" w:rsidRPr="00A23FB4" w:rsidRDefault="00B77350" w:rsidP="00B77350">
      <w:pPr>
        <w:numPr>
          <w:ilvl w:val="12"/>
          <w:numId w:val="0"/>
        </w:numPr>
        <w:rPr>
          <w:rFonts w:ascii="Calibri" w:hAnsi="Calibri"/>
        </w:rPr>
      </w:pPr>
      <w:r w:rsidRPr="00A23FB4">
        <w:rPr>
          <w:rFonts w:ascii="Calibri" w:hAnsi="Calibri"/>
        </w:rPr>
        <w:t>Kruszywo można przewozić dowolnymi środkami transportu w warunkach zabezpieczających je przed zanieczyszczeniem, zmieszaniem z innymi materiałami i zawilgoceniem.</w:t>
      </w:r>
    </w:p>
    <w:p w14:paraId="7E59D167" w14:textId="77777777" w:rsidR="00B77350" w:rsidRPr="00A23FB4" w:rsidRDefault="00B77350" w:rsidP="00B77350">
      <w:pPr>
        <w:numPr>
          <w:ilvl w:val="12"/>
          <w:numId w:val="0"/>
        </w:numPr>
        <w:rPr>
          <w:rFonts w:ascii="Calibri" w:hAnsi="Calibri"/>
        </w:rPr>
      </w:pPr>
      <w:r w:rsidRPr="00A23FB4">
        <w:rPr>
          <w:rFonts w:ascii="Calibri" w:hAnsi="Calibri"/>
        </w:rPr>
        <w:t>Woda może być dostarczana wodociągiem lub przewoźnymi zbiornikami wody,</w:t>
      </w:r>
    </w:p>
    <w:p w14:paraId="56C35581" w14:textId="77777777" w:rsidR="00B77350" w:rsidRPr="00A23FB4" w:rsidRDefault="00B77350" w:rsidP="00B77350">
      <w:pPr>
        <w:numPr>
          <w:ilvl w:val="12"/>
          <w:numId w:val="0"/>
        </w:numPr>
        <w:rPr>
          <w:rFonts w:ascii="Calibri" w:hAnsi="Calibri"/>
        </w:rPr>
      </w:pPr>
      <w:r w:rsidRPr="00A23FB4">
        <w:rPr>
          <w:rFonts w:ascii="Calibri" w:hAnsi="Calibri"/>
        </w:rPr>
        <w:t>Transport mieszanki betonu powinien odbywać się zgodnie z PN-S-96013:1997.</w:t>
      </w:r>
    </w:p>
    <w:p w14:paraId="1EB40C1C" w14:textId="77777777" w:rsidR="00B77350" w:rsidRPr="00A23FB4" w:rsidRDefault="00B77350" w:rsidP="00B77350">
      <w:pPr>
        <w:rPr>
          <w:rFonts w:ascii="Calibri" w:hAnsi="Calibri"/>
          <w:b/>
        </w:rPr>
      </w:pPr>
      <w:bookmarkStart w:id="571" w:name="_Toc423845942"/>
      <w:bookmarkStart w:id="572" w:name="_Toc418394441"/>
      <w:bookmarkStart w:id="573" w:name="_Toc32644949"/>
    </w:p>
    <w:p w14:paraId="7C414444" w14:textId="77777777" w:rsidR="00B77350" w:rsidRPr="00A23FB4" w:rsidRDefault="00B77350" w:rsidP="00B77350">
      <w:pPr>
        <w:rPr>
          <w:rFonts w:ascii="Calibri" w:hAnsi="Calibri"/>
          <w:b/>
        </w:rPr>
      </w:pPr>
      <w:r w:rsidRPr="00A23FB4">
        <w:rPr>
          <w:rFonts w:ascii="Calibri" w:hAnsi="Calibri"/>
          <w:b/>
        </w:rPr>
        <w:t>5. WYKONANIE ROBÓT</w:t>
      </w:r>
      <w:bookmarkEnd w:id="571"/>
      <w:bookmarkEnd w:id="572"/>
      <w:bookmarkEnd w:id="573"/>
    </w:p>
    <w:p w14:paraId="6EE4EA73" w14:textId="77777777" w:rsidR="00B77350" w:rsidRPr="00A23FB4" w:rsidRDefault="00B77350" w:rsidP="00B77350">
      <w:pPr>
        <w:pStyle w:val="Nagwek4"/>
        <w:rPr>
          <w:rFonts w:ascii="Calibri" w:hAnsi="Calibri"/>
        </w:rPr>
      </w:pPr>
      <w:r w:rsidRPr="00A23FB4">
        <w:rPr>
          <w:rFonts w:ascii="Calibri" w:hAnsi="Calibri"/>
        </w:rPr>
        <w:t>5.1. Ogólne zasady wykonania robót</w:t>
      </w:r>
    </w:p>
    <w:p w14:paraId="5F032075" w14:textId="178832AA" w:rsidR="00B77350" w:rsidRPr="00A23FB4" w:rsidRDefault="00B77350" w:rsidP="00B77350">
      <w:pPr>
        <w:numPr>
          <w:ilvl w:val="12"/>
          <w:numId w:val="0"/>
        </w:numPr>
        <w:rPr>
          <w:rFonts w:ascii="Calibri" w:hAnsi="Calibri"/>
        </w:rPr>
      </w:pPr>
      <w:r w:rsidRPr="00A23FB4">
        <w:rPr>
          <w:rFonts w:ascii="Calibri" w:hAnsi="Calibri"/>
        </w:rPr>
        <w:t xml:space="preserve">Ogólne zasady wykonania robót podano w </w:t>
      </w:r>
      <w:r w:rsidR="0068652C">
        <w:rPr>
          <w:rFonts w:ascii="Calibri" w:hAnsi="Calibri"/>
        </w:rPr>
        <w:t>ST</w:t>
      </w:r>
      <w:r w:rsidRPr="00A23FB4">
        <w:rPr>
          <w:rFonts w:ascii="Calibri" w:hAnsi="Calibri"/>
        </w:rPr>
        <w:t>WiORB D-M-00.00.00 „Wymagania ogólne” pkt 5.</w:t>
      </w:r>
    </w:p>
    <w:p w14:paraId="16010AE3" w14:textId="77777777" w:rsidR="00B77350" w:rsidRPr="00A23FB4" w:rsidRDefault="00B77350" w:rsidP="00B77350">
      <w:pPr>
        <w:pStyle w:val="Nagwek4"/>
        <w:rPr>
          <w:rFonts w:ascii="Calibri" w:hAnsi="Calibri"/>
        </w:rPr>
      </w:pPr>
      <w:r w:rsidRPr="00A23FB4">
        <w:rPr>
          <w:rFonts w:ascii="Calibri" w:hAnsi="Calibri"/>
        </w:rPr>
        <w:t>5.2. Warunki przystąpienia do robót</w:t>
      </w:r>
    </w:p>
    <w:p w14:paraId="410B6CE6" w14:textId="71B58726" w:rsidR="00B77350" w:rsidRPr="00A23FB4" w:rsidRDefault="00B77350" w:rsidP="00B77350">
      <w:pPr>
        <w:numPr>
          <w:ilvl w:val="12"/>
          <w:numId w:val="0"/>
        </w:numPr>
        <w:rPr>
          <w:rFonts w:ascii="Calibri" w:hAnsi="Calibri"/>
        </w:rPr>
      </w:pPr>
      <w:r w:rsidRPr="00A23FB4">
        <w:rPr>
          <w:rFonts w:ascii="Calibri" w:hAnsi="Calibri"/>
        </w:rPr>
        <w:t>Podbudowa z betonu nie powinna być wykonywana gdy temperatura powietrza jest niższa niż 5</w:t>
      </w:r>
      <w:r w:rsidRPr="00A23FB4">
        <w:rPr>
          <w:rFonts w:ascii="Calibri" w:hAnsi="Calibri"/>
          <w:vertAlign w:val="superscript"/>
        </w:rPr>
        <w:t>o</w:t>
      </w:r>
      <w:r w:rsidRPr="00A23FB4">
        <w:rPr>
          <w:rFonts w:ascii="Calibri" w:hAnsi="Calibri"/>
        </w:rPr>
        <w:t>C i wyższa niż 25</w:t>
      </w:r>
      <w:r w:rsidRPr="00A23FB4">
        <w:rPr>
          <w:rFonts w:ascii="Calibri" w:hAnsi="Calibri"/>
          <w:vertAlign w:val="superscript"/>
        </w:rPr>
        <w:t>0</w:t>
      </w:r>
      <w:r w:rsidRPr="00A23FB4">
        <w:rPr>
          <w:rFonts w:ascii="Calibri" w:hAnsi="Calibri"/>
        </w:rPr>
        <w:t xml:space="preserve"> C oraz gdy podłoże jest zamarznięte. </w:t>
      </w:r>
      <w:r w:rsidR="007C04C0">
        <w:rPr>
          <w:rFonts w:ascii="Calibri" w:hAnsi="Calibri"/>
        </w:rPr>
        <w:t>D</w:t>
      </w:r>
      <w:r w:rsidR="007C04C0" w:rsidRPr="007C04C0">
        <w:rPr>
          <w:rFonts w:ascii="Calibri" w:hAnsi="Calibri"/>
        </w:rPr>
        <w:t xml:space="preserve">opuszcza się </w:t>
      </w:r>
      <w:r w:rsidR="007C04C0">
        <w:rPr>
          <w:rFonts w:ascii="Calibri" w:hAnsi="Calibri"/>
        </w:rPr>
        <w:t>w</w:t>
      </w:r>
      <w:r w:rsidR="007C04C0" w:rsidRPr="007C04C0">
        <w:rPr>
          <w:rFonts w:ascii="Calibri" w:hAnsi="Calibri"/>
        </w:rPr>
        <w:t>ykonywanie podbudowy w temperaturze poniżej 5˚C pod warunkiem stosowania zabiegów specjalnych, pozwalających na utrzymanie temperatury mieszanki betonowej powyżej 5˚C przez okres co najmniej 3 dni</w:t>
      </w:r>
    </w:p>
    <w:p w14:paraId="6E5D8380" w14:textId="77777777" w:rsidR="00B77350" w:rsidRPr="00A23FB4" w:rsidRDefault="00B77350" w:rsidP="00B77350">
      <w:pPr>
        <w:pStyle w:val="Nagwek4"/>
        <w:rPr>
          <w:rFonts w:ascii="Calibri" w:hAnsi="Calibri"/>
        </w:rPr>
      </w:pPr>
      <w:r w:rsidRPr="00A23FB4">
        <w:rPr>
          <w:rFonts w:ascii="Calibri" w:hAnsi="Calibri"/>
        </w:rPr>
        <w:t>5.3. Przygotowanie podłoża</w:t>
      </w:r>
    </w:p>
    <w:p w14:paraId="148ABE70" w14:textId="03ABF8B2" w:rsidR="00B77350" w:rsidRPr="00A23FB4" w:rsidRDefault="00B77350" w:rsidP="00B77350">
      <w:pPr>
        <w:numPr>
          <w:ilvl w:val="12"/>
          <w:numId w:val="0"/>
        </w:numPr>
        <w:rPr>
          <w:rFonts w:ascii="Calibri" w:hAnsi="Calibri"/>
        </w:rPr>
      </w:pPr>
      <w:r w:rsidRPr="00A23FB4">
        <w:rPr>
          <w:rFonts w:ascii="Calibri" w:hAnsi="Calibri"/>
        </w:rPr>
        <w:t xml:space="preserve">Podłoże pod podbudowę z betonu powinno być przygotowane zgodnie z wymaganiami określonymi w dokumentacji projektowej i </w:t>
      </w:r>
      <w:r w:rsidR="0068652C">
        <w:rPr>
          <w:rFonts w:ascii="Calibri" w:hAnsi="Calibri"/>
        </w:rPr>
        <w:t>ST</w:t>
      </w:r>
      <w:r w:rsidRPr="00A23FB4">
        <w:rPr>
          <w:rFonts w:ascii="Calibri" w:hAnsi="Calibri"/>
        </w:rPr>
        <w:t>WiORB D-04.01.01.</w:t>
      </w:r>
    </w:p>
    <w:p w14:paraId="29B888C2" w14:textId="77777777" w:rsidR="00B77350" w:rsidRPr="00A23FB4" w:rsidRDefault="00B77350" w:rsidP="00B77350">
      <w:pPr>
        <w:pStyle w:val="Nagwek4"/>
        <w:rPr>
          <w:rFonts w:ascii="Calibri" w:hAnsi="Calibri"/>
        </w:rPr>
      </w:pPr>
      <w:r w:rsidRPr="00A23FB4">
        <w:rPr>
          <w:rFonts w:ascii="Calibri" w:hAnsi="Calibri"/>
        </w:rPr>
        <w:t>5.4. Wytwarzanie mieszanki betonowej</w:t>
      </w:r>
    </w:p>
    <w:p w14:paraId="27634B8D" w14:textId="77777777" w:rsidR="00B77350" w:rsidRPr="00A23FB4" w:rsidRDefault="00B77350" w:rsidP="00B77350">
      <w:pPr>
        <w:numPr>
          <w:ilvl w:val="12"/>
          <w:numId w:val="0"/>
        </w:numPr>
        <w:rPr>
          <w:rFonts w:ascii="Calibri" w:hAnsi="Calibri"/>
        </w:rPr>
      </w:pPr>
      <w:r w:rsidRPr="00A23FB4">
        <w:rPr>
          <w:rFonts w:ascii="Calibri" w:hAnsi="Calibri"/>
        </w:rPr>
        <w:t>Mieszankę betonu o ściśle określonym składzie zawartym w recepcie laboratoryjnej należy wytwarzać w mieszarkach zapewniających ciągłość produkcji i gwarantujących otrzymanie jednorodnej mieszanki.</w:t>
      </w:r>
    </w:p>
    <w:p w14:paraId="2756283B" w14:textId="77777777" w:rsidR="00B77350" w:rsidRPr="00A23FB4" w:rsidRDefault="00B77350" w:rsidP="00B77350">
      <w:pPr>
        <w:numPr>
          <w:ilvl w:val="12"/>
          <w:numId w:val="0"/>
        </w:numPr>
        <w:rPr>
          <w:rFonts w:ascii="Calibri" w:hAnsi="Calibri"/>
        </w:rPr>
      </w:pPr>
      <w:r w:rsidRPr="00A23FB4">
        <w:rPr>
          <w:rFonts w:ascii="Calibri" w:hAnsi="Calibri"/>
        </w:rPr>
        <w:t>Składniki mieszanki betonu powinny być dozowane wagowo zgodnie z normą PN-S-96013:1997.</w:t>
      </w:r>
    </w:p>
    <w:p w14:paraId="2F522844" w14:textId="77777777" w:rsidR="00B77350" w:rsidRPr="00A23FB4" w:rsidRDefault="00B77350" w:rsidP="00B77350">
      <w:pPr>
        <w:numPr>
          <w:ilvl w:val="12"/>
          <w:numId w:val="0"/>
        </w:numPr>
        <w:rPr>
          <w:rFonts w:ascii="Calibri" w:hAnsi="Calibri"/>
        </w:rPr>
      </w:pPr>
      <w:r w:rsidRPr="00A23FB4">
        <w:rPr>
          <w:rFonts w:ascii="Calibri" w:hAnsi="Calibri"/>
        </w:rPr>
        <w:t>Mieszanka po wyprodukowaniu powinna być od razu transportowana na  miejsce wbudowania, w sposób zabezpieczony przed segregacją i nadmiernym wysychaniem.</w:t>
      </w:r>
    </w:p>
    <w:p w14:paraId="7DDF8174" w14:textId="77777777" w:rsidR="00B77350" w:rsidRPr="00A23FB4" w:rsidRDefault="00B77350" w:rsidP="00B77350">
      <w:pPr>
        <w:pStyle w:val="Nagwek4"/>
        <w:rPr>
          <w:rFonts w:ascii="Calibri" w:hAnsi="Calibri"/>
        </w:rPr>
      </w:pPr>
      <w:r w:rsidRPr="00A23FB4">
        <w:rPr>
          <w:rFonts w:ascii="Calibri" w:hAnsi="Calibri"/>
        </w:rPr>
        <w:t>5.5. Wbudowywanie i zagęszczanie mieszanki betonowej</w:t>
      </w:r>
    </w:p>
    <w:p w14:paraId="02764DA9" w14:textId="77777777" w:rsidR="00B77350" w:rsidRPr="00A23FB4" w:rsidRDefault="00B77350" w:rsidP="00B77350">
      <w:pPr>
        <w:numPr>
          <w:ilvl w:val="12"/>
          <w:numId w:val="0"/>
        </w:numPr>
        <w:rPr>
          <w:rFonts w:ascii="Calibri" w:hAnsi="Calibri"/>
        </w:rPr>
      </w:pPr>
      <w:r w:rsidRPr="00A23FB4">
        <w:rPr>
          <w:rFonts w:ascii="Calibri" w:hAnsi="Calibri"/>
        </w:rPr>
        <w:t>Układanie podbudowy z betonu należy wykonywać układarkami mechanicznymi, poruszającymi się po prowadnicach. Przy małych powierzchniach dopuszcza się ręczne układanie mieszanki</w:t>
      </w:r>
    </w:p>
    <w:p w14:paraId="0F8DEC18" w14:textId="77777777" w:rsidR="00B77350" w:rsidRPr="00A23FB4" w:rsidRDefault="00B77350" w:rsidP="00B77350">
      <w:pPr>
        <w:numPr>
          <w:ilvl w:val="12"/>
          <w:numId w:val="0"/>
        </w:numPr>
        <w:rPr>
          <w:rFonts w:ascii="Calibri" w:hAnsi="Calibri"/>
        </w:rPr>
      </w:pPr>
      <w:r w:rsidRPr="00A23FB4">
        <w:rPr>
          <w:rFonts w:ascii="Calibri" w:hAnsi="Calibri"/>
        </w:rPr>
        <w:t>Wymagania dla betonu określono w tablicy 2</w:t>
      </w:r>
    </w:p>
    <w:p w14:paraId="52A701D4" w14:textId="77777777" w:rsidR="00B77350" w:rsidRPr="00A23FB4" w:rsidRDefault="00B77350" w:rsidP="00B77350">
      <w:pPr>
        <w:numPr>
          <w:ilvl w:val="12"/>
          <w:numId w:val="0"/>
        </w:numPr>
        <w:rPr>
          <w:rFonts w:ascii="Calibri" w:hAnsi="Calibri"/>
        </w:rPr>
      </w:pPr>
    </w:p>
    <w:p w14:paraId="6BFDF9D4" w14:textId="77777777" w:rsidR="00B77350" w:rsidRPr="00A23FB4" w:rsidRDefault="00B77350" w:rsidP="00B77350">
      <w:pPr>
        <w:numPr>
          <w:ilvl w:val="12"/>
          <w:numId w:val="0"/>
        </w:numPr>
        <w:rPr>
          <w:rFonts w:ascii="Calibri" w:hAnsi="Calibri"/>
        </w:rPr>
      </w:pPr>
      <w:r w:rsidRPr="00A23FB4">
        <w:rPr>
          <w:rFonts w:ascii="Calibri" w:hAnsi="Calibri"/>
        </w:rPr>
        <w:t>Tablica 2. Wymagania dla  betonu</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96"/>
        <w:gridCol w:w="3969"/>
        <w:gridCol w:w="1426"/>
        <w:gridCol w:w="1616"/>
      </w:tblGrid>
      <w:tr w:rsidR="00B77350" w:rsidRPr="00A23FB4" w14:paraId="06D0347C" w14:textId="77777777" w:rsidTr="00B77350">
        <w:tc>
          <w:tcPr>
            <w:tcW w:w="496" w:type="dxa"/>
            <w:tcBorders>
              <w:bottom w:val="double" w:sz="6" w:space="0" w:color="auto"/>
            </w:tcBorders>
          </w:tcPr>
          <w:p w14:paraId="096635BA" w14:textId="77777777" w:rsidR="00B77350" w:rsidRPr="00A23FB4" w:rsidRDefault="00B77350" w:rsidP="00B77350">
            <w:pPr>
              <w:numPr>
                <w:ilvl w:val="12"/>
                <w:numId w:val="0"/>
              </w:numPr>
              <w:rPr>
                <w:rFonts w:ascii="Calibri" w:hAnsi="Calibri"/>
              </w:rPr>
            </w:pPr>
            <w:r w:rsidRPr="00A23FB4">
              <w:rPr>
                <w:rFonts w:ascii="Calibri" w:hAnsi="Calibri"/>
              </w:rPr>
              <w:t>Lp.</w:t>
            </w:r>
          </w:p>
        </w:tc>
        <w:tc>
          <w:tcPr>
            <w:tcW w:w="3969" w:type="dxa"/>
            <w:tcBorders>
              <w:bottom w:val="double" w:sz="6" w:space="0" w:color="auto"/>
            </w:tcBorders>
          </w:tcPr>
          <w:p w14:paraId="3127CFDA" w14:textId="77777777" w:rsidR="00B77350" w:rsidRPr="00A23FB4" w:rsidRDefault="00B77350" w:rsidP="00B77350">
            <w:pPr>
              <w:numPr>
                <w:ilvl w:val="12"/>
                <w:numId w:val="0"/>
              </w:numPr>
              <w:rPr>
                <w:rFonts w:ascii="Calibri" w:hAnsi="Calibri"/>
              </w:rPr>
            </w:pPr>
            <w:r w:rsidRPr="00A23FB4">
              <w:rPr>
                <w:rFonts w:ascii="Calibri" w:hAnsi="Calibri"/>
              </w:rPr>
              <w:t>Właściwości</w:t>
            </w:r>
          </w:p>
        </w:tc>
        <w:tc>
          <w:tcPr>
            <w:tcW w:w="1426" w:type="dxa"/>
            <w:tcBorders>
              <w:bottom w:val="double" w:sz="6" w:space="0" w:color="auto"/>
            </w:tcBorders>
          </w:tcPr>
          <w:p w14:paraId="5F5DA946" w14:textId="77777777" w:rsidR="00B77350" w:rsidRPr="00A23FB4" w:rsidRDefault="00B77350" w:rsidP="00B77350">
            <w:pPr>
              <w:numPr>
                <w:ilvl w:val="12"/>
                <w:numId w:val="0"/>
              </w:numPr>
              <w:rPr>
                <w:rFonts w:ascii="Calibri" w:hAnsi="Calibri"/>
              </w:rPr>
            </w:pPr>
            <w:r w:rsidRPr="00A23FB4">
              <w:rPr>
                <w:rFonts w:ascii="Calibri" w:hAnsi="Calibri"/>
              </w:rPr>
              <w:t>Wymagania</w:t>
            </w:r>
          </w:p>
        </w:tc>
        <w:tc>
          <w:tcPr>
            <w:tcW w:w="1616" w:type="dxa"/>
            <w:tcBorders>
              <w:bottom w:val="double" w:sz="6" w:space="0" w:color="auto"/>
            </w:tcBorders>
          </w:tcPr>
          <w:p w14:paraId="2733BC6C" w14:textId="77777777" w:rsidR="00B77350" w:rsidRPr="00A23FB4" w:rsidRDefault="00B77350" w:rsidP="00B77350">
            <w:pPr>
              <w:numPr>
                <w:ilvl w:val="12"/>
                <w:numId w:val="0"/>
              </w:numPr>
              <w:rPr>
                <w:rFonts w:ascii="Calibri" w:hAnsi="Calibri"/>
              </w:rPr>
            </w:pPr>
            <w:r w:rsidRPr="00A23FB4">
              <w:rPr>
                <w:rFonts w:ascii="Calibri" w:hAnsi="Calibri"/>
              </w:rPr>
              <w:t>Badania według</w:t>
            </w:r>
          </w:p>
        </w:tc>
      </w:tr>
      <w:tr w:rsidR="00B77350" w:rsidRPr="00A23FB4" w14:paraId="276AAEF2" w14:textId="77777777" w:rsidTr="00B77350">
        <w:tc>
          <w:tcPr>
            <w:tcW w:w="496" w:type="dxa"/>
            <w:tcBorders>
              <w:top w:val="nil"/>
            </w:tcBorders>
          </w:tcPr>
          <w:p w14:paraId="7C7A23D4" w14:textId="77777777" w:rsidR="00B77350" w:rsidRPr="00A23FB4" w:rsidRDefault="00B77350" w:rsidP="00B77350">
            <w:pPr>
              <w:numPr>
                <w:ilvl w:val="12"/>
                <w:numId w:val="0"/>
              </w:numPr>
              <w:rPr>
                <w:rFonts w:ascii="Calibri" w:hAnsi="Calibri"/>
              </w:rPr>
            </w:pPr>
            <w:r w:rsidRPr="00A23FB4">
              <w:rPr>
                <w:rFonts w:ascii="Calibri" w:hAnsi="Calibri"/>
              </w:rPr>
              <w:t>1</w:t>
            </w:r>
          </w:p>
        </w:tc>
        <w:tc>
          <w:tcPr>
            <w:tcW w:w="3969" w:type="dxa"/>
            <w:tcBorders>
              <w:top w:val="nil"/>
            </w:tcBorders>
          </w:tcPr>
          <w:p w14:paraId="74BD715A" w14:textId="77777777" w:rsidR="00B77350" w:rsidRPr="00A23FB4" w:rsidRDefault="00B77350" w:rsidP="00B77350">
            <w:pPr>
              <w:numPr>
                <w:ilvl w:val="12"/>
                <w:numId w:val="0"/>
              </w:numPr>
              <w:rPr>
                <w:rFonts w:ascii="Calibri" w:hAnsi="Calibri"/>
              </w:rPr>
            </w:pPr>
            <w:r w:rsidRPr="00A23FB4">
              <w:rPr>
                <w:rFonts w:ascii="Calibri" w:hAnsi="Calibri"/>
              </w:rPr>
              <w:t>Wytrzymałość na ściskanie po 7 dniach, MPa</w:t>
            </w:r>
          </w:p>
        </w:tc>
        <w:tc>
          <w:tcPr>
            <w:tcW w:w="1426" w:type="dxa"/>
            <w:tcBorders>
              <w:top w:val="nil"/>
            </w:tcBorders>
          </w:tcPr>
          <w:p w14:paraId="22B274EB" w14:textId="77777777" w:rsidR="00B77350" w:rsidRPr="00A23FB4" w:rsidRDefault="00B77350" w:rsidP="00B77350">
            <w:pPr>
              <w:numPr>
                <w:ilvl w:val="12"/>
                <w:numId w:val="0"/>
              </w:numPr>
              <w:rPr>
                <w:rFonts w:ascii="Calibri" w:hAnsi="Calibri"/>
              </w:rPr>
            </w:pPr>
            <w:r w:rsidRPr="00A23FB4">
              <w:rPr>
                <w:rFonts w:ascii="Calibri" w:hAnsi="Calibri"/>
              </w:rPr>
              <w:t>Min 6,5 MPa</w:t>
            </w:r>
          </w:p>
        </w:tc>
        <w:tc>
          <w:tcPr>
            <w:tcW w:w="1616" w:type="dxa"/>
            <w:tcBorders>
              <w:top w:val="nil"/>
            </w:tcBorders>
          </w:tcPr>
          <w:p w14:paraId="333C3284" w14:textId="77777777" w:rsidR="00B77350" w:rsidRPr="00A23FB4" w:rsidRDefault="00B77350" w:rsidP="00B77350">
            <w:pPr>
              <w:numPr>
                <w:ilvl w:val="12"/>
                <w:numId w:val="0"/>
              </w:numPr>
              <w:rPr>
                <w:rFonts w:ascii="Calibri" w:hAnsi="Calibri"/>
              </w:rPr>
            </w:pPr>
            <w:r w:rsidRPr="00A23FB4">
              <w:rPr>
                <w:rFonts w:ascii="Calibri" w:hAnsi="Calibri"/>
              </w:rPr>
              <w:t>PN-B-06250:1988</w:t>
            </w:r>
          </w:p>
        </w:tc>
      </w:tr>
      <w:tr w:rsidR="00B77350" w:rsidRPr="00A23FB4" w14:paraId="761314F5" w14:textId="77777777" w:rsidTr="00B77350">
        <w:tc>
          <w:tcPr>
            <w:tcW w:w="496" w:type="dxa"/>
          </w:tcPr>
          <w:p w14:paraId="42C64E35" w14:textId="77777777" w:rsidR="00B77350" w:rsidRPr="00A23FB4" w:rsidRDefault="00B77350" w:rsidP="00B77350">
            <w:pPr>
              <w:numPr>
                <w:ilvl w:val="12"/>
                <w:numId w:val="0"/>
              </w:numPr>
              <w:rPr>
                <w:rFonts w:ascii="Calibri" w:hAnsi="Calibri"/>
              </w:rPr>
            </w:pPr>
            <w:r w:rsidRPr="00A23FB4">
              <w:rPr>
                <w:rFonts w:ascii="Calibri" w:hAnsi="Calibri"/>
              </w:rPr>
              <w:t>2</w:t>
            </w:r>
          </w:p>
        </w:tc>
        <w:tc>
          <w:tcPr>
            <w:tcW w:w="3969" w:type="dxa"/>
          </w:tcPr>
          <w:p w14:paraId="4CB32E5B" w14:textId="77777777" w:rsidR="00B77350" w:rsidRPr="00A23FB4" w:rsidRDefault="00B77350" w:rsidP="00B77350">
            <w:pPr>
              <w:numPr>
                <w:ilvl w:val="12"/>
                <w:numId w:val="0"/>
              </w:numPr>
              <w:rPr>
                <w:rFonts w:ascii="Calibri" w:hAnsi="Calibri"/>
              </w:rPr>
            </w:pPr>
            <w:r w:rsidRPr="00A23FB4">
              <w:rPr>
                <w:rFonts w:ascii="Calibri" w:hAnsi="Calibri"/>
              </w:rPr>
              <w:t>Wytrzymałość na ściskanie po 28 dniach, MPa</w:t>
            </w:r>
          </w:p>
        </w:tc>
        <w:tc>
          <w:tcPr>
            <w:tcW w:w="1426" w:type="dxa"/>
          </w:tcPr>
          <w:p w14:paraId="11063081" w14:textId="77777777" w:rsidR="00B77350" w:rsidRPr="00A23FB4" w:rsidRDefault="00B77350" w:rsidP="00B77350">
            <w:pPr>
              <w:numPr>
                <w:ilvl w:val="12"/>
                <w:numId w:val="0"/>
              </w:numPr>
              <w:rPr>
                <w:rFonts w:ascii="Calibri" w:hAnsi="Calibri"/>
              </w:rPr>
            </w:pPr>
            <w:r w:rsidRPr="00A23FB4">
              <w:rPr>
                <w:rFonts w:ascii="Calibri" w:hAnsi="Calibri"/>
              </w:rPr>
              <w:t>min 20,0 MPa</w:t>
            </w:r>
          </w:p>
        </w:tc>
        <w:tc>
          <w:tcPr>
            <w:tcW w:w="1616" w:type="dxa"/>
          </w:tcPr>
          <w:p w14:paraId="357F775E" w14:textId="77777777" w:rsidR="00B77350" w:rsidRPr="00A23FB4" w:rsidRDefault="00B77350" w:rsidP="00B77350">
            <w:pPr>
              <w:numPr>
                <w:ilvl w:val="12"/>
                <w:numId w:val="0"/>
              </w:numPr>
              <w:rPr>
                <w:rFonts w:ascii="Calibri" w:hAnsi="Calibri"/>
              </w:rPr>
            </w:pPr>
            <w:r w:rsidRPr="00A23FB4">
              <w:rPr>
                <w:rFonts w:ascii="Calibri" w:hAnsi="Calibri"/>
              </w:rPr>
              <w:t>PN-B-06250:1988</w:t>
            </w:r>
          </w:p>
        </w:tc>
      </w:tr>
      <w:tr w:rsidR="00B77350" w:rsidRPr="00A23FB4" w14:paraId="1031B6BD" w14:textId="77777777" w:rsidTr="00B77350">
        <w:tc>
          <w:tcPr>
            <w:tcW w:w="496" w:type="dxa"/>
          </w:tcPr>
          <w:p w14:paraId="5517E39A" w14:textId="77777777" w:rsidR="00B77350" w:rsidRPr="00A23FB4" w:rsidRDefault="00B77350" w:rsidP="00B77350">
            <w:pPr>
              <w:numPr>
                <w:ilvl w:val="12"/>
                <w:numId w:val="0"/>
              </w:numPr>
              <w:rPr>
                <w:rFonts w:ascii="Calibri" w:hAnsi="Calibri"/>
              </w:rPr>
            </w:pPr>
            <w:r w:rsidRPr="00A23FB4">
              <w:rPr>
                <w:rFonts w:ascii="Calibri" w:hAnsi="Calibri"/>
              </w:rPr>
              <w:t>3</w:t>
            </w:r>
          </w:p>
        </w:tc>
        <w:tc>
          <w:tcPr>
            <w:tcW w:w="3969" w:type="dxa"/>
          </w:tcPr>
          <w:p w14:paraId="10837AAB" w14:textId="77777777" w:rsidR="00B77350" w:rsidRPr="00A23FB4" w:rsidRDefault="00B77350" w:rsidP="00B77350">
            <w:pPr>
              <w:numPr>
                <w:ilvl w:val="12"/>
                <w:numId w:val="0"/>
              </w:numPr>
              <w:rPr>
                <w:rFonts w:ascii="Calibri" w:hAnsi="Calibri"/>
              </w:rPr>
            </w:pPr>
            <w:r w:rsidRPr="00A23FB4">
              <w:rPr>
                <w:rFonts w:ascii="Calibri" w:hAnsi="Calibri"/>
              </w:rPr>
              <w:t>Nasiąkliwość, % m/m, nie więcej niż:</w:t>
            </w:r>
          </w:p>
        </w:tc>
        <w:tc>
          <w:tcPr>
            <w:tcW w:w="1426" w:type="dxa"/>
          </w:tcPr>
          <w:p w14:paraId="1F059EEE" w14:textId="77777777" w:rsidR="00B77350" w:rsidRPr="00A23FB4" w:rsidRDefault="00B77350" w:rsidP="00B77350">
            <w:pPr>
              <w:numPr>
                <w:ilvl w:val="12"/>
                <w:numId w:val="0"/>
              </w:numPr>
              <w:rPr>
                <w:rFonts w:ascii="Calibri" w:hAnsi="Calibri"/>
              </w:rPr>
            </w:pPr>
            <w:r w:rsidRPr="00A23FB4">
              <w:rPr>
                <w:rFonts w:ascii="Calibri" w:hAnsi="Calibri"/>
              </w:rPr>
              <w:t>10</w:t>
            </w:r>
          </w:p>
        </w:tc>
        <w:tc>
          <w:tcPr>
            <w:tcW w:w="1616" w:type="dxa"/>
          </w:tcPr>
          <w:p w14:paraId="35AEDBC4" w14:textId="77777777" w:rsidR="00B77350" w:rsidRPr="00A23FB4" w:rsidRDefault="00B77350" w:rsidP="00B77350">
            <w:pPr>
              <w:numPr>
                <w:ilvl w:val="12"/>
                <w:numId w:val="0"/>
              </w:numPr>
              <w:rPr>
                <w:rFonts w:ascii="Calibri" w:hAnsi="Calibri"/>
              </w:rPr>
            </w:pPr>
            <w:r w:rsidRPr="00A23FB4">
              <w:rPr>
                <w:rFonts w:ascii="Calibri" w:hAnsi="Calibri"/>
              </w:rPr>
              <w:t>PN-B-06250:1988</w:t>
            </w:r>
          </w:p>
        </w:tc>
      </w:tr>
      <w:tr w:rsidR="00B77350" w:rsidRPr="00A23FB4" w14:paraId="588DDBCD" w14:textId="77777777" w:rsidTr="00B77350">
        <w:tc>
          <w:tcPr>
            <w:tcW w:w="496" w:type="dxa"/>
          </w:tcPr>
          <w:p w14:paraId="5E3C1D8A" w14:textId="77777777" w:rsidR="00B77350" w:rsidRPr="00A23FB4" w:rsidRDefault="00B77350" w:rsidP="00B77350">
            <w:pPr>
              <w:numPr>
                <w:ilvl w:val="12"/>
                <w:numId w:val="0"/>
              </w:numPr>
              <w:rPr>
                <w:rFonts w:ascii="Calibri" w:hAnsi="Calibri"/>
              </w:rPr>
            </w:pPr>
            <w:r w:rsidRPr="00A23FB4">
              <w:rPr>
                <w:rFonts w:ascii="Calibri" w:hAnsi="Calibri"/>
              </w:rPr>
              <w:t>4</w:t>
            </w:r>
          </w:p>
        </w:tc>
        <w:tc>
          <w:tcPr>
            <w:tcW w:w="3969" w:type="dxa"/>
          </w:tcPr>
          <w:p w14:paraId="43462FC4" w14:textId="77777777" w:rsidR="00B77350" w:rsidRPr="00A23FB4" w:rsidRDefault="00B77350" w:rsidP="00B77350">
            <w:pPr>
              <w:numPr>
                <w:ilvl w:val="12"/>
                <w:numId w:val="0"/>
              </w:numPr>
              <w:rPr>
                <w:rFonts w:ascii="Calibri" w:hAnsi="Calibri"/>
              </w:rPr>
            </w:pPr>
            <w:r w:rsidRPr="00A23FB4">
              <w:rPr>
                <w:rFonts w:ascii="Calibri" w:hAnsi="Calibri"/>
              </w:rPr>
              <w:t>Mrozoodporność, zmniejszenie wytrzymałości, %, nie więcej niż:</w:t>
            </w:r>
          </w:p>
        </w:tc>
        <w:tc>
          <w:tcPr>
            <w:tcW w:w="1426" w:type="dxa"/>
          </w:tcPr>
          <w:p w14:paraId="76A35CF9" w14:textId="77777777" w:rsidR="00B77350" w:rsidRPr="00A23FB4" w:rsidRDefault="00B77350" w:rsidP="00B77350">
            <w:pPr>
              <w:numPr>
                <w:ilvl w:val="12"/>
                <w:numId w:val="0"/>
              </w:numPr>
              <w:rPr>
                <w:rFonts w:ascii="Calibri" w:hAnsi="Calibri"/>
              </w:rPr>
            </w:pPr>
            <w:r w:rsidRPr="00A23FB4">
              <w:rPr>
                <w:rFonts w:ascii="Calibri" w:hAnsi="Calibri"/>
              </w:rPr>
              <w:t>20</w:t>
            </w:r>
          </w:p>
        </w:tc>
        <w:tc>
          <w:tcPr>
            <w:tcW w:w="1616" w:type="dxa"/>
          </w:tcPr>
          <w:p w14:paraId="7432B670" w14:textId="77777777" w:rsidR="00B77350" w:rsidRPr="00A23FB4" w:rsidRDefault="00B77350" w:rsidP="00B77350">
            <w:pPr>
              <w:numPr>
                <w:ilvl w:val="12"/>
                <w:numId w:val="0"/>
              </w:numPr>
              <w:rPr>
                <w:rFonts w:ascii="Calibri" w:hAnsi="Calibri"/>
              </w:rPr>
            </w:pPr>
            <w:r w:rsidRPr="00A23FB4">
              <w:rPr>
                <w:rFonts w:ascii="Calibri" w:hAnsi="Calibri"/>
              </w:rPr>
              <w:t>PN-B-06250:1988</w:t>
            </w:r>
          </w:p>
        </w:tc>
      </w:tr>
    </w:tbl>
    <w:p w14:paraId="55361DB7" w14:textId="77777777" w:rsidR="00B77350" w:rsidRPr="00A23FB4" w:rsidRDefault="00B77350" w:rsidP="00B77350">
      <w:pPr>
        <w:numPr>
          <w:ilvl w:val="12"/>
          <w:numId w:val="0"/>
        </w:numPr>
        <w:rPr>
          <w:rFonts w:ascii="Calibri" w:hAnsi="Calibri"/>
        </w:rPr>
      </w:pPr>
    </w:p>
    <w:p w14:paraId="181ED1F2" w14:textId="77777777" w:rsidR="00B77350" w:rsidRPr="00A23FB4" w:rsidRDefault="00B77350" w:rsidP="00B77350">
      <w:pPr>
        <w:numPr>
          <w:ilvl w:val="12"/>
          <w:numId w:val="0"/>
        </w:numPr>
        <w:rPr>
          <w:rFonts w:ascii="Calibri" w:hAnsi="Calibri"/>
        </w:rPr>
      </w:pPr>
      <w:r w:rsidRPr="00A23FB4">
        <w:rPr>
          <w:rFonts w:ascii="Calibri" w:hAnsi="Calibri"/>
        </w:rPr>
        <w:t xml:space="preserve">Podbudowy z betonu wykonuje się w jednej warstwie </w:t>
      </w:r>
    </w:p>
    <w:p w14:paraId="7168E9EF" w14:textId="77777777" w:rsidR="00B77350" w:rsidRPr="00A23FB4" w:rsidRDefault="00B77350" w:rsidP="00B77350">
      <w:pPr>
        <w:numPr>
          <w:ilvl w:val="12"/>
          <w:numId w:val="0"/>
        </w:numPr>
        <w:rPr>
          <w:rFonts w:ascii="Calibri" w:hAnsi="Calibri"/>
        </w:rPr>
      </w:pPr>
      <w:r w:rsidRPr="00A23FB4">
        <w:rPr>
          <w:rFonts w:ascii="Calibri" w:hAnsi="Calibri"/>
        </w:rPr>
        <w:t>Natychmiast po rozłożeniu i wyprofilowaniu mieszanki należy rozpocząć jej zagęszczanie. Powierzchnia zagęszczonej warstwy powinna mieć prawidłowy przekrój poprzeczny i jednolity wygląd.</w:t>
      </w:r>
    </w:p>
    <w:p w14:paraId="60E3586E" w14:textId="77777777" w:rsidR="00B77350" w:rsidRPr="00A23FB4" w:rsidRDefault="00B77350" w:rsidP="00B77350">
      <w:pPr>
        <w:numPr>
          <w:ilvl w:val="12"/>
          <w:numId w:val="0"/>
        </w:numPr>
        <w:rPr>
          <w:rFonts w:ascii="Calibri" w:hAnsi="Calibri"/>
        </w:rPr>
      </w:pPr>
      <w:r w:rsidRPr="00A23FB4">
        <w:rPr>
          <w:rFonts w:ascii="Calibri" w:hAnsi="Calibri"/>
        </w:rPr>
        <w:t>Zagęszczanie należy kontynuować do osiągnięcia wskaźnika zagęszczenia nie mniejszego niż 0,98 maksymalnego zagęszczenia określonego według normalnej próby Proctora zgodnie z PN-B-04481: 1988, (duży cylinder metoda II). Zagęszczenie powinno być zakończone przed rozpoczęciem czasu wiązania cementu.</w:t>
      </w:r>
    </w:p>
    <w:p w14:paraId="0CC44F4D" w14:textId="77777777" w:rsidR="00B77350" w:rsidRPr="00A23FB4" w:rsidRDefault="00B77350" w:rsidP="00B77350">
      <w:pPr>
        <w:numPr>
          <w:ilvl w:val="12"/>
          <w:numId w:val="0"/>
        </w:numPr>
        <w:rPr>
          <w:rFonts w:ascii="Calibri" w:hAnsi="Calibri"/>
        </w:rPr>
      </w:pPr>
      <w:r w:rsidRPr="00A23FB4">
        <w:rPr>
          <w:rFonts w:ascii="Calibri" w:hAnsi="Calibri"/>
        </w:rPr>
        <w:t>Wilgotność mieszanki betonu podczas zagęszczania powinna być równa wilgotności optymalnej z tolerancją + 10% i - 20% jej wartości.</w:t>
      </w:r>
    </w:p>
    <w:p w14:paraId="6223008E" w14:textId="77777777" w:rsidR="00B77350" w:rsidRPr="00A23FB4" w:rsidRDefault="00B77350" w:rsidP="00B77350">
      <w:pPr>
        <w:pStyle w:val="Nagwek4"/>
        <w:rPr>
          <w:rFonts w:ascii="Calibri" w:hAnsi="Calibri"/>
        </w:rPr>
      </w:pPr>
      <w:r w:rsidRPr="00A23FB4">
        <w:rPr>
          <w:rFonts w:ascii="Calibri" w:hAnsi="Calibri"/>
        </w:rPr>
        <w:t>5.6. Spoiny robocze</w:t>
      </w:r>
    </w:p>
    <w:p w14:paraId="73D941A4" w14:textId="77777777" w:rsidR="00B77350" w:rsidRPr="00A23FB4" w:rsidRDefault="00B77350" w:rsidP="00B77350">
      <w:pPr>
        <w:numPr>
          <w:ilvl w:val="12"/>
          <w:numId w:val="0"/>
        </w:numPr>
        <w:rPr>
          <w:rFonts w:ascii="Calibri" w:hAnsi="Calibri"/>
        </w:rPr>
      </w:pPr>
      <w:r w:rsidRPr="00A23FB4">
        <w:rPr>
          <w:rFonts w:ascii="Calibri" w:hAnsi="Calibri"/>
        </w:rPr>
        <w:t>Wykonawca powinien tak organizować roboty, aby unikać podłużnych spoin roboczych, poprzez wykonanie podbudowy na całej szerokości koryta.</w:t>
      </w:r>
    </w:p>
    <w:p w14:paraId="70B82CA8" w14:textId="77777777" w:rsidR="00B77350" w:rsidRPr="00A23FB4" w:rsidRDefault="00B77350" w:rsidP="00B77350">
      <w:pPr>
        <w:pStyle w:val="Nagwek4"/>
        <w:rPr>
          <w:rFonts w:ascii="Calibri" w:hAnsi="Calibri"/>
        </w:rPr>
      </w:pPr>
      <w:r w:rsidRPr="00A23FB4">
        <w:rPr>
          <w:rFonts w:ascii="Calibri" w:hAnsi="Calibri"/>
        </w:rPr>
        <w:t>5.7. Nacinanie szczelin</w:t>
      </w:r>
    </w:p>
    <w:p w14:paraId="64962170" w14:textId="77777777" w:rsidR="00B77350" w:rsidRPr="00A23FB4" w:rsidRDefault="00B77350" w:rsidP="00B77350">
      <w:pPr>
        <w:numPr>
          <w:ilvl w:val="12"/>
          <w:numId w:val="0"/>
        </w:numPr>
        <w:rPr>
          <w:rFonts w:ascii="Calibri" w:hAnsi="Calibri"/>
        </w:rPr>
      </w:pPr>
      <w:r w:rsidRPr="00A23FB4">
        <w:rPr>
          <w:rFonts w:ascii="Calibri" w:hAnsi="Calibri"/>
        </w:rPr>
        <w:t>W początkowej fazie twardnienia betonu zaleca się wycięcie szczelin pozornych na głębokość około 1/3 jej grubości.</w:t>
      </w:r>
    </w:p>
    <w:p w14:paraId="6E8DC1FE" w14:textId="77777777" w:rsidR="00B77350" w:rsidRPr="00A23FB4" w:rsidRDefault="00B77350" w:rsidP="00B77350">
      <w:pPr>
        <w:numPr>
          <w:ilvl w:val="12"/>
          <w:numId w:val="0"/>
        </w:numPr>
        <w:rPr>
          <w:rFonts w:ascii="Calibri" w:hAnsi="Calibri"/>
        </w:rPr>
      </w:pPr>
      <w:r w:rsidRPr="00A23FB4">
        <w:rPr>
          <w:rFonts w:ascii="Calibri" w:hAnsi="Calibri"/>
        </w:rPr>
        <w:t>Szerokość naciętych szczelin pozornych powinna wynosić od 3 do 5 mm. Szczeliny te należy wyciąć tak, aby cała powierzchnia podbudowy była podzielona na kwadratowe lub prostokątne płyty. Stosunek długości płyt do ich szerokości powinien być nie większy niż od 1,5 do 1,0.</w:t>
      </w:r>
    </w:p>
    <w:p w14:paraId="4F581439" w14:textId="77777777" w:rsidR="00B77350" w:rsidRPr="00A23FB4" w:rsidRDefault="00B77350" w:rsidP="00B77350">
      <w:pPr>
        <w:numPr>
          <w:ilvl w:val="12"/>
          <w:numId w:val="0"/>
        </w:numPr>
        <w:rPr>
          <w:rFonts w:ascii="Calibri" w:hAnsi="Calibri"/>
        </w:rPr>
      </w:pPr>
      <w:r w:rsidRPr="00A23FB4">
        <w:rPr>
          <w:rFonts w:ascii="Calibri" w:hAnsi="Calibri"/>
        </w:rPr>
        <w:t>W przypadku przekroczenia górnej granicy siedmiodniowej wytrzymałości i spodziewanego przekroczenia dwudziestoośmiodniowej wytrzymałości na ściskanie betonu, wycięcie szczelin pozornych jest konieczne.</w:t>
      </w:r>
    </w:p>
    <w:p w14:paraId="010CBEBB" w14:textId="77777777" w:rsidR="00B77350" w:rsidRPr="00A23FB4" w:rsidRDefault="00B77350" w:rsidP="00B77350">
      <w:pPr>
        <w:pStyle w:val="Nagwek4"/>
        <w:rPr>
          <w:rFonts w:ascii="Calibri" w:hAnsi="Calibri"/>
        </w:rPr>
      </w:pPr>
      <w:r w:rsidRPr="00A23FB4">
        <w:rPr>
          <w:rFonts w:ascii="Calibri" w:hAnsi="Calibri"/>
        </w:rPr>
        <w:t>5.8. Pielęgnacja podbudowy</w:t>
      </w:r>
    </w:p>
    <w:p w14:paraId="60FDAE40" w14:textId="77777777" w:rsidR="00B77350" w:rsidRPr="00A23FB4" w:rsidRDefault="00B77350" w:rsidP="00B77350">
      <w:pPr>
        <w:rPr>
          <w:rFonts w:ascii="Calibri" w:hAnsi="Calibri"/>
        </w:rPr>
      </w:pPr>
      <w:r w:rsidRPr="00A23FB4">
        <w:rPr>
          <w:rFonts w:ascii="Calibri" w:hAnsi="Calibri"/>
        </w:rPr>
        <w:t>Podbudowa z betonu powinna być natychmiast po zagęszczeniu poddana pielęgnacji. Pielęgnacja powinna być przeprowadzona według jednego z następujących sposobów:</w:t>
      </w:r>
    </w:p>
    <w:p w14:paraId="7F12AE6E" w14:textId="77777777" w:rsidR="00B77350" w:rsidRPr="00A23FB4" w:rsidRDefault="00B77350" w:rsidP="00262498">
      <w:pPr>
        <w:numPr>
          <w:ilvl w:val="0"/>
          <w:numId w:val="61"/>
        </w:numPr>
        <w:rPr>
          <w:rFonts w:ascii="Calibri" w:hAnsi="Calibri"/>
        </w:rPr>
      </w:pPr>
      <w:r w:rsidRPr="00A23FB4">
        <w:rPr>
          <w:rFonts w:ascii="Calibri" w:hAnsi="Calibri"/>
        </w:rPr>
        <w:t xml:space="preserve">skropienie preparatem pielęgnacyjnym posiadającym aprobatę techniczną,  </w:t>
      </w:r>
    </w:p>
    <w:p w14:paraId="0ABAADD2" w14:textId="77777777" w:rsidR="00B77350" w:rsidRPr="00A23FB4" w:rsidRDefault="00B77350" w:rsidP="00262498">
      <w:pPr>
        <w:numPr>
          <w:ilvl w:val="0"/>
          <w:numId w:val="61"/>
        </w:numPr>
        <w:rPr>
          <w:rFonts w:ascii="Calibri" w:hAnsi="Calibri"/>
        </w:rPr>
      </w:pPr>
      <w:r w:rsidRPr="00A23FB4">
        <w:rPr>
          <w:rFonts w:ascii="Calibri" w:hAnsi="Calibri"/>
        </w:rPr>
        <w:t>przykrycie na okres 7 do 10 dni nieprzepuszczalną folią z tworzywa sztucznego, ułożoną na zakład co najmniej 30 cm i zabezpieczoną przed zerwaniem z powierzchni podbudowy przez wiatr,</w:t>
      </w:r>
    </w:p>
    <w:p w14:paraId="36AB0E82" w14:textId="77777777" w:rsidR="00B77350" w:rsidRPr="00A23FB4" w:rsidRDefault="00B77350" w:rsidP="00262498">
      <w:pPr>
        <w:numPr>
          <w:ilvl w:val="0"/>
          <w:numId w:val="61"/>
        </w:numPr>
        <w:rPr>
          <w:rFonts w:ascii="Calibri" w:hAnsi="Calibri"/>
        </w:rPr>
      </w:pPr>
      <w:r w:rsidRPr="00A23FB4">
        <w:rPr>
          <w:rFonts w:ascii="Calibri" w:hAnsi="Calibri"/>
        </w:rPr>
        <w:t>przykrycie matami lub włókninami i spryskiwanie wodą przez okres 7 do 10 dni,</w:t>
      </w:r>
    </w:p>
    <w:p w14:paraId="5B585410" w14:textId="77777777" w:rsidR="00B77350" w:rsidRPr="00A23FB4" w:rsidRDefault="00B77350" w:rsidP="00262498">
      <w:pPr>
        <w:numPr>
          <w:ilvl w:val="0"/>
          <w:numId w:val="61"/>
        </w:numPr>
        <w:rPr>
          <w:rFonts w:ascii="Calibri" w:hAnsi="Calibri"/>
        </w:rPr>
      </w:pPr>
      <w:r w:rsidRPr="00A23FB4">
        <w:rPr>
          <w:rFonts w:ascii="Calibri" w:hAnsi="Calibri"/>
        </w:rPr>
        <w:t>przykrycie warstwą piasku i utrzymanie jej w stanie wilgotnym przez okres  7 do 10 dni.</w:t>
      </w:r>
    </w:p>
    <w:p w14:paraId="669DC48C" w14:textId="77777777" w:rsidR="00B77350" w:rsidRPr="00A23FB4" w:rsidRDefault="00B77350" w:rsidP="00B77350">
      <w:pPr>
        <w:pStyle w:val="Tekstprzypisudolnego"/>
        <w:rPr>
          <w:rFonts w:ascii="Calibri" w:hAnsi="Calibri"/>
        </w:rPr>
      </w:pPr>
      <w:r w:rsidRPr="00A23FB4">
        <w:rPr>
          <w:rFonts w:ascii="Calibri" w:hAnsi="Calibri"/>
        </w:rPr>
        <w:t>Stosowanie innych środków do pielęgnacji podbudowy wymaga każdorazowej zgody Inżyniera/Kierownika projektu.</w:t>
      </w:r>
    </w:p>
    <w:p w14:paraId="4D8A2DCA" w14:textId="77777777" w:rsidR="00B77350" w:rsidRPr="00A23FB4" w:rsidRDefault="00B77350" w:rsidP="00B77350">
      <w:pPr>
        <w:rPr>
          <w:rFonts w:ascii="Calibri" w:hAnsi="Calibri"/>
        </w:rPr>
      </w:pPr>
      <w:r w:rsidRPr="00A23FB4">
        <w:rPr>
          <w:rFonts w:ascii="Calibri" w:hAnsi="Calibri"/>
        </w:rPr>
        <w:t>Nie należy dopuszczać żadnego ruchu pojazdów i maszyn po podbudowie w okresie 7 do 10 dni pielęgnacji, a po tym czasie ewentualny ruch budowlany może odbywać się wyłącznie za zgodą Inżyniera/Kierownika projektu.</w:t>
      </w:r>
      <w:r w:rsidRPr="00A23FB4">
        <w:rPr>
          <w:rFonts w:ascii="Calibri" w:hAnsi="Calibri"/>
        </w:rPr>
        <w:tab/>
      </w:r>
    </w:p>
    <w:p w14:paraId="490B6CAF" w14:textId="77777777" w:rsidR="00B77350" w:rsidRPr="00A23FB4" w:rsidRDefault="00B77350" w:rsidP="00B77350">
      <w:pPr>
        <w:pStyle w:val="Nagwek4"/>
        <w:rPr>
          <w:rFonts w:ascii="Calibri" w:hAnsi="Calibri"/>
        </w:rPr>
      </w:pPr>
      <w:r w:rsidRPr="00A23FB4">
        <w:rPr>
          <w:rFonts w:ascii="Calibri" w:hAnsi="Calibri"/>
        </w:rPr>
        <w:t>5.9. Utrzymanie podbudowy</w:t>
      </w:r>
    </w:p>
    <w:p w14:paraId="5655484B" w14:textId="77777777" w:rsidR="00B77350" w:rsidRPr="00A23FB4" w:rsidRDefault="00B77350" w:rsidP="00B77350">
      <w:pPr>
        <w:numPr>
          <w:ilvl w:val="12"/>
          <w:numId w:val="0"/>
        </w:numPr>
        <w:rPr>
          <w:rFonts w:ascii="Calibri" w:hAnsi="Calibri"/>
        </w:rPr>
      </w:pPr>
      <w:r w:rsidRPr="00A23FB4">
        <w:rPr>
          <w:rFonts w:ascii="Calibri" w:hAnsi="Calibri"/>
        </w:rPr>
        <w:t xml:space="preserve">Podbudowa po wykonaniu, a przed ułożeniem następnej warstwy, powinna być chroniona przed uszkodzeniami. Jeżeli Wykonawca będzie wykorzystywał, za zgodą Inżyniera/Kierownika projektu, gotową podbudowę do ruchu budowlanego, to powinien naprawić wszelkie uszkodzenia podbudowy, spowodowane przez ten ruch, na własny koszt. </w:t>
      </w:r>
    </w:p>
    <w:p w14:paraId="20C35378" w14:textId="77777777" w:rsidR="00B77350" w:rsidRPr="00A23FB4" w:rsidRDefault="00B77350" w:rsidP="00B77350">
      <w:pPr>
        <w:numPr>
          <w:ilvl w:val="12"/>
          <w:numId w:val="0"/>
        </w:numPr>
        <w:rPr>
          <w:rFonts w:ascii="Calibri" w:hAnsi="Calibri"/>
        </w:rPr>
      </w:pPr>
      <w:r w:rsidRPr="00A23FB4">
        <w:rPr>
          <w:rFonts w:ascii="Calibri" w:hAnsi="Calibri"/>
        </w:rPr>
        <w:t>Wykonawca jest zobowiązany do przeprowadzenia bieżących napraw podbudowy, uszkodzonej wskutek oddziaływania czynników atmosferycznych, takich jak opady deszczu, śniegu i mróz.</w:t>
      </w:r>
    </w:p>
    <w:p w14:paraId="0065DD7E" w14:textId="77777777" w:rsidR="00B77350" w:rsidRPr="00A23FB4" w:rsidRDefault="00B77350" w:rsidP="00B77350">
      <w:pPr>
        <w:numPr>
          <w:ilvl w:val="12"/>
          <w:numId w:val="0"/>
        </w:numPr>
        <w:rPr>
          <w:rFonts w:ascii="Calibri" w:hAnsi="Calibri"/>
        </w:rPr>
      </w:pPr>
      <w:r w:rsidRPr="00A23FB4">
        <w:rPr>
          <w:rFonts w:ascii="Calibri" w:hAnsi="Calibri"/>
        </w:rPr>
        <w:t>Wykonawca jest zobowiązany wstrzymać ruch budowlany po okresie intensywnych opadów deszczu, jeżeli wystąpi możliwość uszkodzenia podbudowy.</w:t>
      </w:r>
    </w:p>
    <w:p w14:paraId="5EEED568" w14:textId="77777777" w:rsidR="00B77350" w:rsidRPr="00A23FB4" w:rsidRDefault="00B77350" w:rsidP="00B77350">
      <w:pPr>
        <w:numPr>
          <w:ilvl w:val="12"/>
          <w:numId w:val="0"/>
        </w:numPr>
        <w:rPr>
          <w:rFonts w:ascii="Calibri" w:hAnsi="Calibri"/>
        </w:rPr>
      </w:pPr>
      <w:r w:rsidRPr="00A23FB4">
        <w:rPr>
          <w:rFonts w:ascii="Calibri" w:hAnsi="Calibri"/>
        </w:rPr>
        <w:t>Podbudowa z betonu musi być przed zimą przykryta.</w:t>
      </w:r>
    </w:p>
    <w:p w14:paraId="0B7DDE30" w14:textId="77777777" w:rsidR="00B77350" w:rsidRPr="00A23FB4" w:rsidRDefault="00B77350" w:rsidP="00B77350">
      <w:pPr>
        <w:rPr>
          <w:rFonts w:ascii="Calibri" w:hAnsi="Calibri"/>
          <w:b/>
        </w:rPr>
      </w:pPr>
      <w:bookmarkStart w:id="574" w:name="_Toc32644950"/>
    </w:p>
    <w:p w14:paraId="76C18C69" w14:textId="77777777" w:rsidR="00B77350" w:rsidRPr="00A23FB4" w:rsidRDefault="00B77350" w:rsidP="00B77350">
      <w:pPr>
        <w:rPr>
          <w:rFonts w:ascii="Calibri" w:hAnsi="Calibri"/>
          <w:b/>
        </w:rPr>
      </w:pPr>
      <w:r w:rsidRPr="00A23FB4">
        <w:rPr>
          <w:rFonts w:ascii="Calibri" w:hAnsi="Calibri"/>
          <w:b/>
        </w:rPr>
        <w:t>6. KONTROLA JAKOŚCI ROBÓT</w:t>
      </w:r>
      <w:bookmarkEnd w:id="574"/>
    </w:p>
    <w:p w14:paraId="7A348217" w14:textId="77777777" w:rsidR="00B77350" w:rsidRPr="00A23FB4" w:rsidRDefault="00B77350" w:rsidP="00B77350">
      <w:pPr>
        <w:pStyle w:val="Nagwek4"/>
        <w:rPr>
          <w:rFonts w:ascii="Calibri" w:hAnsi="Calibri"/>
        </w:rPr>
      </w:pPr>
      <w:r w:rsidRPr="00A23FB4">
        <w:rPr>
          <w:rFonts w:ascii="Calibri" w:hAnsi="Calibri"/>
        </w:rPr>
        <w:t>6.1. Ogólne zasady kontroli jakości robót</w:t>
      </w:r>
    </w:p>
    <w:p w14:paraId="4B6FA690" w14:textId="72B28C8A" w:rsidR="00B77350" w:rsidRPr="00A23FB4" w:rsidRDefault="00B77350" w:rsidP="00B77350">
      <w:pPr>
        <w:numPr>
          <w:ilvl w:val="12"/>
          <w:numId w:val="0"/>
        </w:numPr>
        <w:rPr>
          <w:rFonts w:ascii="Calibri" w:hAnsi="Calibri"/>
        </w:rPr>
      </w:pPr>
      <w:r w:rsidRPr="00A23FB4">
        <w:rPr>
          <w:rFonts w:ascii="Calibri" w:hAnsi="Calibri"/>
        </w:rPr>
        <w:t xml:space="preserve">Ogólne zasady kontroli jakości robót podano w </w:t>
      </w:r>
      <w:r w:rsidR="0068652C">
        <w:rPr>
          <w:rFonts w:ascii="Calibri" w:hAnsi="Calibri"/>
        </w:rPr>
        <w:t>ST</w:t>
      </w:r>
      <w:r w:rsidRPr="00A23FB4">
        <w:rPr>
          <w:rFonts w:ascii="Calibri" w:hAnsi="Calibri"/>
        </w:rPr>
        <w:t>WiORB D-M-00.00.00 „Wymagania ogólne” pkt 6.</w:t>
      </w:r>
    </w:p>
    <w:p w14:paraId="1555C60C" w14:textId="77777777" w:rsidR="00B77350" w:rsidRPr="00A23FB4" w:rsidRDefault="00B77350" w:rsidP="00B77350">
      <w:pPr>
        <w:pStyle w:val="Nagwek4"/>
        <w:rPr>
          <w:rFonts w:ascii="Calibri" w:hAnsi="Calibri"/>
        </w:rPr>
      </w:pPr>
      <w:r w:rsidRPr="00A23FB4">
        <w:rPr>
          <w:rFonts w:ascii="Calibri" w:hAnsi="Calibri"/>
        </w:rPr>
        <w:t>6.2. Badania przed przystąpieniem do robót</w:t>
      </w:r>
    </w:p>
    <w:p w14:paraId="169B64C6" w14:textId="77777777" w:rsidR="00B77350" w:rsidRPr="00A23FB4" w:rsidRDefault="00B77350" w:rsidP="00B77350">
      <w:pPr>
        <w:numPr>
          <w:ilvl w:val="12"/>
          <w:numId w:val="0"/>
        </w:numPr>
        <w:rPr>
          <w:rFonts w:ascii="Calibri" w:hAnsi="Calibri"/>
        </w:rPr>
      </w:pPr>
      <w:r w:rsidRPr="00A23FB4">
        <w:rPr>
          <w:rFonts w:ascii="Calibri" w:hAnsi="Calibri"/>
        </w:rPr>
        <w:t>Przed przystąpieniem do robót Wykonawca powinien wykonać badania cementu,  kruszywa oraz w przypadkach wątpliwych wody i przedstawić wyniki tych badań Inżynierowi/Kierownikowi projektu do akceptacji.</w:t>
      </w:r>
    </w:p>
    <w:p w14:paraId="6275AC10" w14:textId="7BC0E6FE" w:rsidR="00B77350" w:rsidRPr="00A23FB4" w:rsidRDefault="00B77350" w:rsidP="00B77350">
      <w:pPr>
        <w:numPr>
          <w:ilvl w:val="12"/>
          <w:numId w:val="0"/>
        </w:numPr>
        <w:rPr>
          <w:rFonts w:ascii="Calibri" w:hAnsi="Calibri"/>
        </w:rPr>
      </w:pPr>
      <w:r w:rsidRPr="00A23FB4">
        <w:rPr>
          <w:rFonts w:ascii="Calibri" w:hAnsi="Calibri"/>
        </w:rPr>
        <w:t xml:space="preserve">Badania powinny obejmować wszystkie właściwości określone w punktach od 2 oraz 5. niniejszej </w:t>
      </w:r>
      <w:r w:rsidR="0068652C">
        <w:rPr>
          <w:rFonts w:ascii="Calibri" w:hAnsi="Calibri"/>
        </w:rPr>
        <w:t>ST</w:t>
      </w:r>
      <w:r w:rsidRPr="00A23FB4">
        <w:rPr>
          <w:rFonts w:ascii="Calibri" w:hAnsi="Calibri"/>
        </w:rPr>
        <w:t>WiORB.</w:t>
      </w:r>
    </w:p>
    <w:p w14:paraId="5756BB20" w14:textId="77777777" w:rsidR="00B77350" w:rsidRPr="00A23FB4" w:rsidRDefault="00B77350" w:rsidP="00B77350">
      <w:pPr>
        <w:pStyle w:val="Nagwek4"/>
        <w:rPr>
          <w:rFonts w:ascii="Calibri" w:hAnsi="Calibri"/>
        </w:rPr>
      </w:pPr>
      <w:r w:rsidRPr="00A23FB4">
        <w:rPr>
          <w:rFonts w:ascii="Calibri" w:hAnsi="Calibri"/>
        </w:rPr>
        <w:t>6.3. Badania w czasie robót</w:t>
      </w:r>
    </w:p>
    <w:p w14:paraId="3555A83F" w14:textId="77777777" w:rsidR="00B77350" w:rsidRPr="00A23FB4" w:rsidRDefault="00B77350" w:rsidP="00B77350">
      <w:pPr>
        <w:numPr>
          <w:ilvl w:val="12"/>
          <w:numId w:val="0"/>
        </w:numPr>
        <w:rPr>
          <w:rFonts w:ascii="Calibri" w:hAnsi="Calibri"/>
        </w:rPr>
      </w:pPr>
      <w:r w:rsidRPr="00A23FB4">
        <w:rPr>
          <w:rFonts w:ascii="Calibri" w:hAnsi="Calibri"/>
          <w:b/>
        </w:rPr>
        <w:t xml:space="preserve">6.3.1. </w:t>
      </w:r>
      <w:r w:rsidRPr="00A23FB4">
        <w:rPr>
          <w:rFonts w:ascii="Calibri" w:hAnsi="Calibri"/>
        </w:rPr>
        <w:t>Częstotliwość oraz zakres badań i pomiarów</w:t>
      </w:r>
    </w:p>
    <w:p w14:paraId="322448C3" w14:textId="77777777" w:rsidR="00B77350" w:rsidRPr="00A23FB4" w:rsidRDefault="00B77350" w:rsidP="00B77350">
      <w:pPr>
        <w:numPr>
          <w:ilvl w:val="12"/>
          <w:numId w:val="0"/>
        </w:numPr>
        <w:rPr>
          <w:rFonts w:ascii="Calibri" w:hAnsi="Calibri"/>
        </w:rPr>
      </w:pPr>
      <w:r w:rsidRPr="00A23FB4">
        <w:rPr>
          <w:rFonts w:ascii="Calibri" w:hAnsi="Calibri"/>
        </w:rPr>
        <w:t>Częstotliwość oraz zakres badań i pomiarów w czasie wykonywania podbudowy z  betonu podano w tablicy 3.</w:t>
      </w:r>
    </w:p>
    <w:p w14:paraId="35082C72" w14:textId="77777777" w:rsidR="00B77350" w:rsidRPr="00A23FB4" w:rsidRDefault="00B77350" w:rsidP="00B77350">
      <w:pPr>
        <w:numPr>
          <w:ilvl w:val="12"/>
          <w:numId w:val="0"/>
        </w:numPr>
        <w:tabs>
          <w:tab w:val="left" w:pos="851"/>
        </w:tabs>
        <w:rPr>
          <w:rFonts w:ascii="Calibri" w:hAnsi="Calibri"/>
        </w:rPr>
      </w:pPr>
    </w:p>
    <w:p w14:paraId="159DCF75" w14:textId="77777777" w:rsidR="00B77350" w:rsidRPr="00A23FB4" w:rsidRDefault="00B77350" w:rsidP="00B77350">
      <w:pPr>
        <w:numPr>
          <w:ilvl w:val="12"/>
          <w:numId w:val="0"/>
        </w:numPr>
        <w:tabs>
          <w:tab w:val="left" w:pos="851"/>
        </w:tabs>
        <w:rPr>
          <w:rFonts w:ascii="Calibri" w:hAnsi="Calibri"/>
        </w:rPr>
      </w:pPr>
      <w:r w:rsidRPr="00A23FB4">
        <w:rPr>
          <w:rFonts w:ascii="Calibri" w:hAnsi="Calibri"/>
        </w:rPr>
        <w:t>Tablica 3. Częstotliwość oraz zakres badań i pomiarów przy wykonywaniu podbudowy z betonu</w:t>
      </w:r>
    </w:p>
    <w:tbl>
      <w:tblPr>
        <w:tblW w:w="0" w:type="auto"/>
        <w:tblLayout w:type="fixed"/>
        <w:tblCellMar>
          <w:left w:w="70" w:type="dxa"/>
          <w:right w:w="70" w:type="dxa"/>
        </w:tblCellMar>
        <w:tblLook w:val="0000" w:firstRow="0" w:lastRow="0" w:firstColumn="0" w:lastColumn="0" w:noHBand="0" w:noVBand="0"/>
      </w:tblPr>
      <w:tblGrid>
        <w:gridCol w:w="496"/>
        <w:gridCol w:w="4794"/>
        <w:gridCol w:w="1681"/>
        <w:gridCol w:w="1919"/>
      </w:tblGrid>
      <w:tr w:rsidR="00B77350" w:rsidRPr="00A23FB4" w14:paraId="557067DE" w14:textId="77777777" w:rsidTr="00B77350">
        <w:tc>
          <w:tcPr>
            <w:tcW w:w="496" w:type="dxa"/>
            <w:tcBorders>
              <w:top w:val="single" w:sz="6" w:space="0" w:color="auto"/>
              <w:left w:val="single" w:sz="6" w:space="0" w:color="auto"/>
            </w:tcBorders>
          </w:tcPr>
          <w:p w14:paraId="622C7E43" w14:textId="77777777" w:rsidR="00B77350" w:rsidRPr="00A23FB4" w:rsidRDefault="00B77350" w:rsidP="00B77350">
            <w:pPr>
              <w:numPr>
                <w:ilvl w:val="12"/>
                <w:numId w:val="0"/>
              </w:numPr>
              <w:rPr>
                <w:rFonts w:ascii="Calibri" w:hAnsi="Calibri"/>
              </w:rPr>
            </w:pPr>
          </w:p>
        </w:tc>
        <w:tc>
          <w:tcPr>
            <w:tcW w:w="4794" w:type="dxa"/>
            <w:tcBorders>
              <w:top w:val="single" w:sz="6" w:space="0" w:color="auto"/>
              <w:left w:val="single" w:sz="6" w:space="0" w:color="auto"/>
            </w:tcBorders>
          </w:tcPr>
          <w:p w14:paraId="5FF4CA79" w14:textId="77777777" w:rsidR="00B77350" w:rsidRPr="00A23FB4" w:rsidRDefault="00B77350" w:rsidP="00B77350">
            <w:pPr>
              <w:numPr>
                <w:ilvl w:val="12"/>
                <w:numId w:val="0"/>
              </w:numPr>
              <w:rPr>
                <w:rFonts w:ascii="Calibri" w:hAnsi="Calibri"/>
              </w:rPr>
            </w:pPr>
          </w:p>
        </w:tc>
        <w:tc>
          <w:tcPr>
            <w:tcW w:w="3600" w:type="dxa"/>
            <w:gridSpan w:val="2"/>
            <w:tcBorders>
              <w:top w:val="single" w:sz="6" w:space="0" w:color="auto"/>
              <w:left w:val="single" w:sz="6" w:space="0" w:color="auto"/>
              <w:bottom w:val="single" w:sz="6" w:space="0" w:color="auto"/>
              <w:right w:val="single" w:sz="6" w:space="0" w:color="auto"/>
            </w:tcBorders>
          </w:tcPr>
          <w:p w14:paraId="4D0860A5" w14:textId="77777777" w:rsidR="00B77350" w:rsidRPr="00A23FB4" w:rsidRDefault="00B77350" w:rsidP="00B77350">
            <w:pPr>
              <w:numPr>
                <w:ilvl w:val="12"/>
                <w:numId w:val="0"/>
              </w:numPr>
              <w:rPr>
                <w:rFonts w:ascii="Calibri" w:hAnsi="Calibri"/>
              </w:rPr>
            </w:pPr>
            <w:r w:rsidRPr="00A23FB4">
              <w:rPr>
                <w:rFonts w:ascii="Calibri" w:hAnsi="Calibri"/>
              </w:rPr>
              <w:t>Częstotliwość badań</w:t>
            </w:r>
          </w:p>
        </w:tc>
      </w:tr>
      <w:tr w:rsidR="00B77350" w:rsidRPr="00A23FB4" w14:paraId="76E57E37" w14:textId="77777777" w:rsidTr="00B77350">
        <w:tc>
          <w:tcPr>
            <w:tcW w:w="496" w:type="dxa"/>
            <w:tcBorders>
              <w:left w:val="single" w:sz="6" w:space="0" w:color="auto"/>
              <w:bottom w:val="double" w:sz="6" w:space="0" w:color="auto"/>
              <w:right w:val="single" w:sz="6" w:space="0" w:color="auto"/>
            </w:tcBorders>
          </w:tcPr>
          <w:p w14:paraId="544D85E4" w14:textId="77777777" w:rsidR="00B77350" w:rsidRPr="00A23FB4" w:rsidRDefault="00B77350" w:rsidP="00B77350">
            <w:pPr>
              <w:numPr>
                <w:ilvl w:val="12"/>
                <w:numId w:val="0"/>
              </w:numPr>
              <w:rPr>
                <w:rFonts w:ascii="Calibri" w:hAnsi="Calibri"/>
              </w:rPr>
            </w:pPr>
            <w:r w:rsidRPr="00A23FB4">
              <w:rPr>
                <w:rFonts w:ascii="Calibri" w:hAnsi="Calibri"/>
              </w:rPr>
              <w:t>Lp.</w:t>
            </w:r>
          </w:p>
        </w:tc>
        <w:tc>
          <w:tcPr>
            <w:tcW w:w="4794" w:type="dxa"/>
            <w:tcBorders>
              <w:bottom w:val="double" w:sz="6" w:space="0" w:color="auto"/>
            </w:tcBorders>
          </w:tcPr>
          <w:p w14:paraId="3D16584A" w14:textId="77777777" w:rsidR="00B77350" w:rsidRPr="00A23FB4" w:rsidRDefault="00B77350" w:rsidP="00B77350">
            <w:pPr>
              <w:numPr>
                <w:ilvl w:val="12"/>
                <w:numId w:val="0"/>
              </w:numPr>
              <w:rPr>
                <w:rFonts w:ascii="Calibri" w:hAnsi="Calibri"/>
              </w:rPr>
            </w:pPr>
            <w:r w:rsidRPr="00A23FB4">
              <w:rPr>
                <w:rFonts w:ascii="Calibri" w:hAnsi="Calibri"/>
              </w:rPr>
              <w:t>Wyszczególnienie badań</w:t>
            </w:r>
          </w:p>
        </w:tc>
        <w:tc>
          <w:tcPr>
            <w:tcW w:w="1681" w:type="dxa"/>
            <w:tcBorders>
              <w:top w:val="single" w:sz="6" w:space="0" w:color="auto"/>
              <w:left w:val="single" w:sz="6" w:space="0" w:color="auto"/>
              <w:bottom w:val="double" w:sz="6" w:space="0" w:color="auto"/>
              <w:right w:val="single" w:sz="6" w:space="0" w:color="auto"/>
            </w:tcBorders>
          </w:tcPr>
          <w:p w14:paraId="1D45EE45" w14:textId="77777777" w:rsidR="00B77350" w:rsidRPr="00A23FB4" w:rsidRDefault="00B77350" w:rsidP="00B77350">
            <w:pPr>
              <w:numPr>
                <w:ilvl w:val="12"/>
                <w:numId w:val="0"/>
              </w:numPr>
              <w:rPr>
                <w:rFonts w:ascii="Calibri" w:hAnsi="Calibri"/>
              </w:rPr>
            </w:pPr>
            <w:r w:rsidRPr="00A23FB4">
              <w:rPr>
                <w:rFonts w:ascii="Calibri" w:hAnsi="Calibri"/>
              </w:rPr>
              <w:t>Minimalne ilości badań na dziennej działce roboczej</w:t>
            </w:r>
          </w:p>
        </w:tc>
        <w:tc>
          <w:tcPr>
            <w:tcW w:w="1919" w:type="dxa"/>
            <w:tcBorders>
              <w:top w:val="single" w:sz="6" w:space="0" w:color="auto"/>
              <w:left w:val="single" w:sz="6" w:space="0" w:color="auto"/>
              <w:bottom w:val="double" w:sz="6" w:space="0" w:color="auto"/>
              <w:right w:val="single" w:sz="6" w:space="0" w:color="auto"/>
            </w:tcBorders>
          </w:tcPr>
          <w:p w14:paraId="1ED28950" w14:textId="77777777" w:rsidR="00B77350" w:rsidRPr="00A23FB4" w:rsidRDefault="00B77350" w:rsidP="00B77350">
            <w:pPr>
              <w:numPr>
                <w:ilvl w:val="12"/>
                <w:numId w:val="0"/>
              </w:numPr>
              <w:rPr>
                <w:rFonts w:ascii="Calibri" w:hAnsi="Calibri"/>
              </w:rPr>
            </w:pPr>
            <w:r w:rsidRPr="00A23FB4">
              <w:rPr>
                <w:rFonts w:ascii="Calibri" w:hAnsi="Calibri"/>
              </w:rPr>
              <w:t>Maksymalna po-</w:t>
            </w:r>
          </w:p>
          <w:p w14:paraId="0DEA770A" w14:textId="77777777" w:rsidR="00B77350" w:rsidRPr="00A23FB4" w:rsidRDefault="00B77350" w:rsidP="00B77350">
            <w:pPr>
              <w:numPr>
                <w:ilvl w:val="12"/>
                <w:numId w:val="0"/>
              </w:numPr>
              <w:rPr>
                <w:rFonts w:ascii="Calibri" w:hAnsi="Calibri"/>
              </w:rPr>
            </w:pPr>
            <w:r w:rsidRPr="00A23FB4">
              <w:rPr>
                <w:rFonts w:ascii="Calibri" w:hAnsi="Calibri"/>
              </w:rPr>
              <w:t xml:space="preserve">wierzchnia podbudowy na jedno badanie </w:t>
            </w:r>
          </w:p>
        </w:tc>
      </w:tr>
      <w:tr w:rsidR="00B77350" w:rsidRPr="00A23FB4" w14:paraId="30D5F604" w14:textId="77777777" w:rsidTr="00B77350">
        <w:tc>
          <w:tcPr>
            <w:tcW w:w="496" w:type="dxa"/>
            <w:tcBorders>
              <w:left w:val="single" w:sz="6" w:space="0" w:color="auto"/>
              <w:bottom w:val="single" w:sz="6" w:space="0" w:color="auto"/>
              <w:right w:val="single" w:sz="6" w:space="0" w:color="auto"/>
            </w:tcBorders>
          </w:tcPr>
          <w:p w14:paraId="5D27FE0A" w14:textId="77777777" w:rsidR="00B77350" w:rsidRPr="00A23FB4" w:rsidRDefault="00B77350" w:rsidP="00B77350">
            <w:pPr>
              <w:numPr>
                <w:ilvl w:val="12"/>
                <w:numId w:val="0"/>
              </w:numPr>
              <w:rPr>
                <w:rFonts w:ascii="Calibri" w:hAnsi="Calibri"/>
              </w:rPr>
            </w:pPr>
            <w:r w:rsidRPr="00A23FB4">
              <w:rPr>
                <w:rFonts w:ascii="Calibri" w:hAnsi="Calibri"/>
              </w:rPr>
              <w:t>1</w:t>
            </w:r>
          </w:p>
        </w:tc>
        <w:tc>
          <w:tcPr>
            <w:tcW w:w="4794" w:type="dxa"/>
            <w:tcBorders>
              <w:left w:val="single" w:sz="6" w:space="0" w:color="auto"/>
              <w:bottom w:val="single" w:sz="6" w:space="0" w:color="auto"/>
              <w:right w:val="single" w:sz="6" w:space="0" w:color="auto"/>
            </w:tcBorders>
          </w:tcPr>
          <w:p w14:paraId="62499B6D" w14:textId="77777777" w:rsidR="00B77350" w:rsidRPr="00A23FB4" w:rsidRDefault="00B77350" w:rsidP="00B77350">
            <w:pPr>
              <w:numPr>
                <w:ilvl w:val="12"/>
                <w:numId w:val="0"/>
              </w:numPr>
              <w:rPr>
                <w:rFonts w:ascii="Calibri" w:hAnsi="Calibri"/>
              </w:rPr>
            </w:pPr>
            <w:r w:rsidRPr="00A23FB4">
              <w:rPr>
                <w:rFonts w:ascii="Calibri" w:hAnsi="Calibri"/>
              </w:rPr>
              <w:t>Zagęszczenie mieszanki betonu</w:t>
            </w:r>
          </w:p>
        </w:tc>
        <w:tc>
          <w:tcPr>
            <w:tcW w:w="1681" w:type="dxa"/>
            <w:tcBorders>
              <w:left w:val="single" w:sz="6" w:space="0" w:color="auto"/>
              <w:bottom w:val="single" w:sz="6" w:space="0" w:color="auto"/>
              <w:right w:val="single" w:sz="6" w:space="0" w:color="auto"/>
            </w:tcBorders>
          </w:tcPr>
          <w:p w14:paraId="3CDC7D9D" w14:textId="77777777" w:rsidR="00B77350" w:rsidRPr="00A23FB4" w:rsidRDefault="00B77350" w:rsidP="00B77350">
            <w:pPr>
              <w:numPr>
                <w:ilvl w:val="12"/>
                <w:numId w:val="0"/>
              </w:numPr>
              <w:rPr>
                <w:rFonts w:ascii="Calibri" w:hAnsi="Calibri"/>
              </w:rPr>
            </w:pPr>
            <w:r w:rsidRPr="00A23FB4">
              <w:rPr>
                <w:rFonts w:ascii="Calibri" w:hAnsi="Calibri"/>
              </w:rPr>
              <w:t>2</w:t>
            </w:r>
          </w:p>
        </w:tc>
        <w:tc>
          <w:tcPr>
            <w:tcW w:w="1919" w:type="dxa"/>
            <w:tcBorders>
              <w:bottom w:val="single" w:sz="6" w:space="0" w:color="auto"/>
              <w:right w:val="single" w:sz="6" w:space="0" w:color="auto"/>
            </w:tcBorders>
          </w:tcPr>
          <w:p w14:paraId="71CBC1C7" w14:textId="77777777" w:rsidR="00B77350" w:rsidRPr="00A23FB4" w:rsidRDefault="00B77350" w:rsidP="00B77350">
            <w:pPr>
              <w:numPr>
                <w:ilvl w:val="12"/>
                <w:numId w:val="0"/>
              </w:numPr>
              <w:rPr>
                <w:rFonts w:ascii="Calibri" w:hAnsi="Calibri"/>
              </w:rPr>
            </w:pPr>
            <w:r w:rsidRPr="00A23FB4">
              <w:rPr>
                <w:rFonts w:ascii="Calibri" w:hAnsi="Calibri"/>
              </w:rPr>
              <w:t>1000 m</w:t>
            </w:r>
            <w:r w:rsidRPr="00A23FB4">
              <w:rPr>
                <w:rFonts w:ascii="Calibri" w:hAnsi="Calibri"/>
                <w:vertAlign w:val="superscript"/>
              </w:rPr>
              <w:t>2</w:t>
            </w:r>
          </w:p>
        </w:tc>
      </w:tr>
      <w:tr w:rsidR="00B77350" w:rsidRPr="00A23FB4" w14:paraId="5EA05D2D" w14:textId="77777777" w:rsidTr="00B77350">
        <w:tc>
          <w:tcPr>
            <w:tcW w:w="496" w:type="dxa"/>
            <w:tcBorders>
              <w:left w:val="single" w:sz="6" w:space="0" w:color="auto"/>
              <w:bottom w:val="single" w:sz="6" w:space="0" w:color="auto"/>
              <w:right w:val="single" w:sz="6" w:space="0" w:color="auto"/>
            </w:tcBorders>
          </w:tcPr>
          <w:p w14:paraId="1B4BC1B6" w14:textId="77777777" w:rsidR="00B77350" w:rsidRPr="00A23FB4" w:rsidRDefault="00B77350" w:rsidP="00B77350">
            <w:pPr>
              <w:numPr>
                <w:ilvl w:val="12"/>
                <w:numId w:val="0"/>
              </w:numPr>
              <w:rPr>
                <w:rFonts w:ascii="Calibri" w:hAnsi="Calibri"/>
              </w:rPr>
            </w:pPr>
            <w:r w:rsidRPr="00A23FB4">
              <w:rPr>
                <w:rFonts w:ascii="Calibri" w:hAnsi="Calibri"/>
              </w:rPr>
              <w:t>2</w:t>
            </w:r>
          </w:p>
        </w:tc>
        <w:tc>
          <w:tcPr>
            <w:tcW w:w="4794" w:type="dxa"/>
            <w:tcBorders>
              <w:left w:val="single" w:sz="6" w:space="0" w:color="auto"/>
              <w:bottom w:val="single" w:sz="6" w:space="0" w:color="auto"/>
              <w:right w:val="single" w:sz="6" w:space="0" w:color="auto"/>
            </w:tcBorders>
          </w:tcPr>
          <w:p w14:paraId="445316D1" w14:textId="77777777" w:rsidR="00B77350" w:rsidRPr="00A23FB4" w:rsidRDefault="00B77350" w:rsidP="00B77350">
            <w:pPr>
              <w:numPr>
                <w:ilvl w:val="12"/>
                <w:numId w:val="0"/>
              </w:numPr>
              <w:rPr>
                <w:rFonts w:ascii="Calibri" w:hAnsi="Calibri"/>
              </w:rPr>
            </w:pPr>
            <w:r w:rsidRPr="00A23FB4">
              <w:rPr>
                <w:rFonts w:ascii="Calibri" w:hAnsi="Calibri"/>
              </w:rPr>
              <w:t>Grubość podbudowy z  betonu</w:t>
            </w:r>
          </w:p>
        </w:tc>
        <w:tc>
          <w:tcPr>
            <w:tcW w:w="1681" w:type="dxa"/>
            <w:tcBorders>
              <w:left w:val="single" w:sz="6" w:space="0" w:color="auto"/>
              <w:bottom w:val="single" w:sz="6" w:space="0" w:color="auto"/>
              <w:right w:val="single" w:sz="6" w:space="0" w:color="auto"/>
            </w:tcBorders>
          </w:tcPr>
          <w:p w14:paraId="429F3681" w14:textId="77777777" w:rsidR="00B77350" w:rsidRPr="00A23FB4" w:rsidRDefault="00B77350" w:rsidP="00B77350">
            <w:pPr>
              <w:numPr>
                <w:ilvl w:val="12"/>
                <w:numId w:val="0"/>
              </w:numPr>
              <w:rPr>
                <w:rFonts w:ascii="Calibri" w:hAnsi="Calibri"/>
              </w:rPr>
            </w:pPr>
            <w:r w:rsidRPr="00A23FB4">
              <w:rPr>
                <w:rFonts w:ascii="Calibri" w:hAnsi="Calibri"/>
              </w:rPr>
              <w:t>2</w:t>
            </w:r>
          </w:p>
        </w:tc>
        <w:tc>
          <w:tcPr>
            <w:tcW w:w="1919" w:type="dxa"/>
            <w:tcBorders>
              <w:bottom w:val="single" w:sz="6" w:space="0" w:color="auto"/>
              <w:right w:val="single" w:sz="6" w:space="0" w:color="auto"/>
            </w:tcBorders>
          </w:tcPr>
          <w:p w14:paraId="70FABFE3" w14:textId="77777777" w:rsidR="00B77350" w:rsidRPr="00A23FB4" w:rsidRDefault="00B77350" w:rsidP="00B77350">
            <w:pPr>
              <w:numPr>
                <w:ilvl w:val="12"/>
                <w:numId w:val="0"/>
              </w:numPr>
              <w:rPr>
                <w:rFonts w:ascii="Calibri" w:hAnsi="Calibri"/>
              </w:rPr>
            </w:pPr>
            <w:r w:rsidRPr="00A23FB4">
              <w:rPr>
                <w:rFonts w:ascii="Calibri" w:hAnsi="Calibri"/>
              </w:rPr>
              <w:t>1000 m</w:t>
            </w:r>
            <w:r w:rsidRPr="00A23FB4">
              <w:rPr>
                <w:rFonts w:ascii="Calibri" w:hAnsi="Calibri"/>
                <w:vertAlign w:val="superscript"/>
              </w:rPr>
              <w:t>2</w:t>
            </w:r>
          </w:p>
        </w:tc>
      </w:tr>
      <w:tr w:rsidR="00B77350" w:rsidRPr="00A23FB4" w14:paraId="683900BE" w14:textId="77777777" w:rsidTr="00B77350">
        <w:tc>
          <w:tcPr>
            <w:tcW w:w="496" w:type="dxa"/>
            <w:tcBorders>
              <w:left w:val="single" w:sz="6" w:space="0" w:color="auto"/>
              <w:bottom w:val="single" w:sz="6" w:space="0" w:color="auto"/>
              <w:right w:val="single" w:sz="6" w:space="0" w:color="auto"/>
            </w:tcBorders>
          </w:tcPr>
          <w:p w14:paraId="49236EF9" w14:textId="77777777" w:rsidR="00B77350" w:rsidRPr="00A23FB4" w:rsidRDefault="00B77350" w:rsidP="00B77350">
            <w:pPr>
              <w:numPr>
                <w:ilvl w:val="12"/>
                <w:numId w:val="0"/>
              </w:numPr>
              <w:rPr>
                <w:rFonts w:ascii="Calibri" w:hAnsi="Calibri"/>
              </w:rPr>
            </w:pPr>
            <w:r w:rsidRPr="00A23FB4">
              <w:rPr>
                <w:rFonts w:ascii="Calibri" w:hAnsi="Calibri"/>
              </w:rPr>
              <w:t>3</w:t>
            </w:r>
          </w:p>
        </w:tc>
        <w:tc>
          <w:tcPr>
            <w:tcW w:w="4794" w:type="dxa"/>
            <w:tcBorders>
              <w:left w:val="single" w:sz="6" w:space="0" w:color="auto"/>
              <w:bottom w:val="single" w:sz="6" w:space="0" w:color="auto"/>
              <w:right w:val="single" w:sz="6" w:space="0" w:color="auto"/>
            </w:tcBorders>
          </w:tcPr>
          <w:p w14:paraId="6F652850" w14:textId="77777777" w:rsidR="00B77350" w:rsidRPr="00A23FB4" w:rsidRDefault="00B77350" w:rsidP="00B77350">
            <w:pPr>
              <w:numPr>
                <w:ilvl w:val="12"/>
                <w:numId w:val="0"/>
              </w:numPr>
              <w:rPr>
                <w:rFonts w:ascii="Calibri" w:hAnsi="Calibri"/>
              </w:rPr>
            </w:pPr>
            <w:r w:rsidRPr="00A23FB4">
              <w:rPr>
                <w:rFonts w:ascii="Calibri" w:hAnsi="Calibri"/>
              </w:rPr>
              <w:t xml:space="preserve">Oznaczenie wytrzymałości na ściskanie betonu;           </w:t>
            </w:r>
          </w:p>
          <w:p w14:paraId="16C86772" w14:textId="77777777" w:rsidR="00B77350" w:rsidRPr="00A23FB4" w:rsidRDefault="00B77350" w:rsidP="00B77350">
            <w:pPr>
              <w:numPr>
                <w:ilvl w:val="12"/>
                <w:numId w:val="0"/>
              </w:numPr>
              <w:rPr>
                <w:rFonts w:ascii="Calibri" w:hAnsi="Calibri"/>
              </w:rPr>
            </w:pPr>
            <w:r w:rsidRPr="00A23FB4">
              <w:rPr>
                <w:rFonts w:ascii="Calibri" w:hAnsi="Calibri"/>
              </w:rPr>
              <w:t>po   7 dniach</w:t>
            </w:r>
          </w:p>
          <w:p w14:paraId="213546EC" w14:textId="77777777" w:rsidR="00B77350" w:rsidRPr="00A23FB4" w:rsidRDefault="00B77350" w:rsidP="00B77350">
            <w:pPr>
              <w:numPr>
                <w:ilvl w:val="12"/>
                <w:numId w:val="0"/>
              </w:numPr>
              <w:rPr>
                <w:rFonts w:ascii="Calibri" w:hAnsi="Calibri"/>
              </w:rPr>
            </w:pPr>
            <w:r w:rsidRPr="00A23FB4">
              <w:rPr>
                <w:rFonts w:ascii="Calibri" w:hAnsi="Calibri"/>
              </w:rPr>
              <w:t>po 28 dniach</w:t>
            </w:r>
          </w:p>
        </w:tc>
        <w:tc>
          <w:tcPr>
            <w:tcW w:w="1681" w:type="dxa"/>
            <w:tcBorders>
              <w:left w:val="single" w:sz="6" w:space="0" w:color="auto"/>
              <w:bottom w:val="single" w:sz="6" w:space="0" w:color="auto"/>
              <w:right w:val="single" w:sz="6" w:space="0" w:color="auto"/>
            </w:tcBorders>
          </w:tcPr>
          <w:p w14:paraId="13EEA2A7" w14:textId="77777777" w:rsidR="00B77350" w:rsidRPr="00A23FB4" w:rsidRDefault="00B77350" w:rsidP="00B77350">
            <w:pPr>
              <w:numPr>
                <w:ilvl w:val="12"/>
                <w:numId w:val="0"/>
              </w:numPr>
              <w:rPr>
                <w:rFonts w:ascii="Calibri" w:hAnsi="Calibri"/>
              </w:rPr>
            </w:pPr>
          </w:p>
          <w:p w14:paraId="44E2AF1E" w14:textId="77777777" w:rsidR="00B77350" w:rsidRPr="00A23FB4" w:rsidRDefault="00B77350" w:rsidP="00B77350">
            <w:pPr>
              <w:numPr>
                <w:ilvl w:val="12"/>
                <w:numId w:val="0"/>
              </w:numPr>
              <w:rPr>
                <w:rFonts w:ascii="Calibri" w:hAnsi="Calibri"/>
              </w:rPr>
            </w:pPr>
            <w:r w:rsidRPr="00A23FB4">
              <w:rPr>
                <w:rFonts w:ascii="Calibri" w:hAnsi="Calibri"/>
              </w:rPr>
              <w:t>3 próbki</w:t>
            </w:r>
          </w:p>
          <w:p w14:paraId="4764F28E" w14:textId="77777777" w:rsidR="00B77350" w:rsidRPr="00A23FB4" w:rsidRDefault="00B77350" w:rsidP="00B77350">
            <w:pPr>
              <w:numPr>
                <w:ilvl w:val="12"/>
                <w:numId w:val="0"/>
              </w:numPr>
              <w:rPr>
                <w:rFonts w:ascii="Calibri" w:hAnsi="Calibri"/>
              </w:rPr>
            </w:pPr>
            <w:r w:rsidRPr="00A23FB4">
              <w:rPr>
                <w:rFonts w:ascii="Calibri" w:hAnsi="Calibri"/>
              </w:rPr>
              <w:t>3 próbki</w:t>
            </w:r>
          </w:p>
        </w:tc>
        <w:tc>
          <w:tcPr>
            <w:tcW w:w="1919" w:type="dxa"/>
            <w:tcBorders>
              <w:bottom w:val="single" w:sz="6" w:space="0" w:color="auto"/>
              <w:right w:val="single" w:sz="6" w:space="0" w:color="auto"/>
            </w:tcBorders>
          </w:tcPr>
          <w:p w14:paraId="06BA1791" w14:textId="77777777" w:rsidR="00B77350" w:rsidRPr="00A23FB4" w:rsidRDefault="00B77350" w:rsidP="00B77350">
            <w:pPr>
              <w:numPr>
                <w:ilvl w:val="12"/>
                <w:numId w:val="0"/>
              </w:numPr>
              <w:rPr>
                <w:rFonts w:ascii="Calibri" w:hAnsi="Calibri"/>
              </w:rPr>
            </w:pPr>
          </w:p>
          <w:p w14:paraId="2C26D152" w14:textId="77777777" w:rsidR="00B77350" w:rsidRPr="00A23FB4" w:rsidRDefault="00B77350" w:rsidP="00B77350">
            <w:pPr>
              <w:numPr>
                <w:ilvl w:val="12"/>
                <w:numId w:val="0"/>
              </w:numPr>
              <w:rPr>
                <w:rFonts w:ascii="Calibri" w:hAnsi="Calibri"/>
              </w:rPr>
            </w:pPr>
            <w:r w:rsidRPr="00A23FB4">
              <w:rPr>
                <w:rFonts w:ascii="Calibri" w:hAnsi="Calibri"/>
              </w:rPr>
              <w:t>1000 m</w:t>
            </w:r>
            <w:r w:rsidRPr="00A23FB4">
              <w:rPr>
                <w:rFonts w:ascii="Calibri" w:hAnsi="Calibri"/>
                <w:vertAlign w:val="superscript"/>
              </w:rPr>
              <w:t>2</w:t>
            </w:r>
          </w:p>
        </w:tc>
      </w:tr>
      <w:tr w:rsidR="00B77350" w:rsidRPr="00A23FB4" w14:paraId="2C0C2EC9" w14:textId="77777777" w:rsidTr="00B77350">
        <w:tc>
          <w:tcPr>
            <w:tcW w:w="496" w:type="dxa"/>
            <w:tcBorders>
              <w:top w:val="single" w:sz="6" w:space="0" w:color="auto"/>
              <w:left w:val="single" w:sz="6" w:space="0" w:color="auto"/>
              <w:bottom w:val="single" w:sz="6" w:space="0" w:color="auto"/>
              <w:right w:val="single" w:sz="6" w:space="0" w:color="auto"/>
            </w:tcBorders>
          </w:tcPr>
          <w:p w14:paraId="6DDE5D93" w14:textId="77777777" w:rsidR="00B77350" w:rsidRPr="00A23FB4" w:rsidRDefault="00B77350" w:rsidP="00B77350">
            <w:pPr>
              <w:numPr>
                <w:ilvl w:val="12"/>
                <w:numId w:val="0"/>
              </w:numPr>
              <w:rPr>
                <w:rFonts w:ascii="Calibri" w:hAnsi="Calibri"/>
              </w:rPr>
            </w:pPr>
            <w:r w:rsidRPr="00A23FB4">
              <w:rPr>
                <w:rFonts w:ascii="Calibri" w:hAnsi="Calibri"/>
              </w:rPr>
              <w:t>4</w:t>
            </w:r>
          </w:p>
        </w:tc>
        <w:tc>
          <w:tcPr>
            <w:tcW w:w="4794" w:type="dxa"/>
            <w:tcBorders>
              <w:top w:val="single" w:sz="6" w:space="0" w:color="auto"/>
              <w:left w:val="single" w:sz="6" w:space="0" w:color="auto"/>
              <w:bottom w:val="single" w:sz="6" w:space="0" w:color="auto"/>
              <w:right w:val="single" w:sz="6" w:space="0" w:color="auto"/>
            </w:tcBorders>
          </w:tcPr>
          <w:p w14:paraId="06B8C778" w14:textId="77777777" w:rsidR="00B77350" w:rsidRPr="00A23FB4" w:rsidRDefault="00B77350" w:rsidP="00B77350">
            <w:pPr>
              <w:numPr>
                <w:ilvl w:val="12"/>
                <w:numId w:val="0"/>
              </w:numPr>
              <w:rPr>
                <w:rFonts w:ascii="Calibri" w:hAnsi="Calibri"/>
              </w:rPr>
            </w:pPr>
            <w:r w:rsidRPr="00A23FB4">
              <w:rPr>
                <w:rFonts w:ascii="Calibri" w:hAnsi="Calibri"/>
              </w:rPr>
              <w:t>Oznaczenie nasiąkliwości betonu</w:t>
            </w:r>
          </w:p>
        </w:tc>
        <w:tc>
          <w:tcPr>
            <w:tcW w:w="3600" w:type="dxa"/>
            <w:gridSpan w:val="2"/>
            <w:tcBorders>
              <w:top w:val="single" w:sz="6" w:space="0" w:color="auto"/>
              <w:left w:val="single" w:sz="6" w:space="0" w:color="auto"/>
              <w:bottom w:val="single" w:sz="4" w:space="0" w:color="auto"/>
              <w:right w:val="single" w:sz="6" w:space="0" w:color="auto"/>
            </w:tcBorders>
          </w:tcPr>
          <w:p w14:paraId="79C8EBD4" w14:textId="77777777" w:rsidR="00B77350" w:rsidRPr="00A23FB4" w:rsidRDefault="00B77350" w:rsidP="00B77350">
            <w:pPr>
              <w:numPr>
                <w:ilvl w:val="12"/>
                <w:numId w:val="0"/>
              </w:numPr>
              <w:rPr>
                <w:rFonts w:ascii="Calibri" w:hAnsi="Calibri"/>
              </w:rPr>
            </w:pPr>
            <w:r w:rsidRPr="00A23FB4">
              <w:rPr>
                <w:rFonts w:ascii="Calibri" w:hAnsi="Calibri"/>
              </w:rPr>
              <w:t>w przypadkach wątpliwych</w:t>
            </w:r>
          </w:p>
        </w:tc>
      </w:tr>
      <w:tr w:rsidR="00B77350" w:rsidRPr="00A23FB4" w14:paraId="02670773" w14:textId="77777777" w:rsidTr="00B77350">
        <w:tc>
          <w:tcPr>
            <w:tcW w:w="496" w:type="dxa"/>
            <w:tcBorders>
              <w:top w:val="single" w:sz="6" w:space="0" w:color="auto"/>
              <w:left w:val="single" w:sz="6" w:space="0" w:color="auto"/>
              <w:bottom w:val="single" w:sz="6" w:space="0" w:color="auto"/>
              <w:right w:val="single" w:sz="6" w:space="0" w:color="auto"/>
            </w:tcBorders>
          </w:tcPr>
          <w:p w14:paraId="6A6B97C7" w14:textId="77777777" w:rsidR="00B77350" w:rsidRPr="00A23FB4" w:rsidRDefault="00B77350" w:rsidP="00B77350">
            <w:pPr>
              <w:numPr>
                <w:ilvl w:val="12"/>
                <w:numId w:val="0"/>
              </w:numPr>
              <w:rPr>
                <w:rFonts w:ascii="Calibri" w:hAnsi="Calibri"/>
              </w:rPr>
            </w:pPr>
            <w:r w:rsidRPr="00A23FB4">
              <w:rPr>
                <w:rFonts w:ascii="Calibri" w:hAnsi="Calibri"/>
              </w:rPr>
              <w:t>5</w:t>
            </w:r>
          </w:p>
        </w:tc>
        <w:tc>
          <w:tcPr>
            <w:tcW w:w="4794" w:type="dxa"/>
            <w:tcBorders>
              <w:top w:val="single" w:sz="6" w:space="0" w:color="auto"/>
              <w:left w:val="single" w:sz="6" w:space="0" w:color="auto"/>
              <w:bottom w:val="single" w:sz="6" w:space="0" w:color="auto"/>
              <w:right w:val="single" w:sz="4" w:space="0" w:color="auto"/>
            </w:tcBorders>
          </w:tcPr>
          <w:p w14:paraId="3CAAA76D" w14:textId="77777777" w:rsidR="00B77350" w:rsidRPr="00A23FB4" w:rsidRDefault="00B77350" w:rsidP="00B77350">
            <w:pPr>
              <w:numPr>
                <w:ilvl w:val="12"/>
                <w:numId w:val="0"/>
              </w:numPr>
              <w:rPr>
                <w:rFonts w:ascii="Calibri" w:hAnsi="Calibri"/>
              </w:rPr>
            </w:pPr>
            <w:r w:rsidRPr="00A23FB4">
              <w:rPr>
                <w:rFonts w:ascii="Calibri" w:hAnsi="Calibri"/>
              </w:rPr>
              <w:t>Oznaczenie mrozoodporności betonu</w:t>
            </w:r>
          </w:p>
        </w:tc>
        <w:tc>
          <w:tcPr>
            <w:tcW w:w="3600" w:type="dxa"/>
            <w:gridSpan w:val="2"/>
            <w:tcBorders>
              <w:top w:val="single" w:sz="4" w:space="0" w:color="auto"/>
              <w:left w:val="single" w:sz="4" w:space="0" w:color="auto"/>
              <w:bottom w:val="single" w:sz="4" w:space="0" w:color="auto"/>
              <w:right w:val="single" w:sz="4" w:space="0" w:color="auto"/>
            </w:tcBorders>
          </w:tcPr>
          <w:p w14:paraId="79E5DD48" w14:textId="77777777" w:rsidR="00B77350" w:rsidRPr="00A23FB4" w:rsidRDefault="00B77350" w:rsidP="00B77350">
            <w:pPr>
              <w:numPr>
                <w:ilvl w:val="12"/>
                <w:numId w:val="0"/>
              </w:numPr>
              <w:rPr>
                <w:rFonts w:ascii="Calibri" w:hAnsi="Calibri"/>
              </w:rPr>
            </w:pPr>
            <w:r w:rsidRPr="00A23FB4">
              <w:rPr>
                <w:rFonts w:ascii="Calibri" w:hAnsi="Calibri"/>
              </w:rPr>
              <w:t>i na zlecenie Inżyniera/Kierownika projektu</w:t>
            </w:r>
          </w:p>
        </w:tc>
      </w:tr>
    </w:tbl>
    <w:p w14:paraId="459576A8" w14:textId="77777777" w:rsidR="00B77350" w:rsidRPr="00A23FB4" w:rsidRDefault="00B77350" w:rsidP="00B77350">
      <w:pPr>
        <w:numPr>
          <w:ilvl w:val="12"/>
          <w:numId w:val="0"/>
        </w:numPr>
        <w:rPr>
          <w:rFonts w:ascii="Calibri" w:hAnsi="Calibri"/>
        </w:rPr>
      </w:pPr>
    </w:p>
    <w:p w14:paraId="11F5E780" w14:textId="77777777" w:rsidR="00B77350" w:rsidRPr="00A23FB4" w:rsidRDefault="00B77350" w:rsidP="00B77350">
      <w:pPr>
        <w:numPr>
          <w:ilvl w:val="12"/>
          <w:numId w:val="0"/>
        </w:numPr>
        <w:rPr>
          <w:rFonts w:ascii="Calibri" w:hAnsi="Calibri"/>
        </w:rPr>
      </w:pPr>
      <w:r w:rsidRPr="00A23FB4">
        <w:rPr>
          <w:rFonts w:ascii="Calibri" w:hAnsi="Calibri"/>
          <w:b/>
        </w:rPr>
        <w:t xml:space="preserve">6.3.2. </w:t>
      </w:r>
      <w:r w:rsidRPr="00A23FB4">
        <w:rPr>
          <w:rFonts w:ascii="Calibri" w:hAnsi="Calibri"/>
        </w:rPr>
        <w:t>Zagęszczenie podbudowy z  betonu</w:t>
      </w:r>
    </w:p>
    <w:p w14:paraId="21BEC32A" w14:textId="77777777" w:rsidR="00B77350" w:rsidRPr="00A23FB4" w:rsidRDefault="00B77350" w:rsidP="00B77350">
      <w:pPr>
        <w:numPr>
          <w:ilvl w:val="12"/>
          <w:numId w:val="0"/>
        </w:numPr>
        <w:rPr>
          <w:rFonts w:ascii="Calibri" w:hAnsi="Calibri"/>
        </w:rPr>
      </w:pPr>
      <w:r w:rsidRPr="00A23FB4">
        <w:rPr>
          <w:rFonts w:ascii="Calibri" w:hAnsi="Calibri"/>
        </w:rPr>
        <w:t>Mieszanka betonu powinna być zagęszczana do osiągnięcia wskaźnika zagęszczenia nie mniejszego niż 0,98 maksymalnego zagęszczenia laboratoryjnego oznaczonego zgodnie z normalną próbą Proctora (metoda II), według PN-B-04481:1988.</w:t>
      </w:r>
    </w:p>
    <w:p w14:paraId="2E51D56F" w14:textId="77777777" w:rsidR="00B77350" w:rsidRPr="00A23FB4" w:rsidRDefault="00B77350" w:rsidP="00B77350">
      <w:pPr>
        <w:numPr>
          <w:ilvl w:val="12"/>
          <w:numId w:val="0"/>
        </w:numPr>
        <w:rPr>
          <w:rFonts w:ascii="Calibri" w:hAnsi="Calibri"/>
        </w:rPr>
      </w:pPr>
      <w:r w:rsidRPr="00A23FB4">
        <w:rPr>
          <w:rFonts w:ascii="Calibri" w:hAnsi="Calibri"/>
          <w:b/>
        </w:rPr>
        <w:t xml:space="preserve">6.3.3. </w:t>
      </w:r>
      <w:r w:rsidRPr="00A23FB4">
        <w:rPr>
          <w:rFonts w:ascii="Calibri" w:hAnsi="Calibri"/>
        </w:rPr>
        <w:t>Grubość podbudowy z  betonu</w:t>
      </w:r>
    </w:p>
    <w:p w14:paraId="1475DF7D" w14:textId="77777777" w:rsidR="00B77350" w:rsidRPr="00A23FB4" w:rsidRDefault="00B77350" w:rsidP="00B77350">
      <w:pPr>
        <w:numPr>
          <w:ilvl w:val="12"/>
          <w:numId w:val="0"/>
        </w:numPr>
        <w:rPr>
          <w:rFonts w:ascii="Calibri" w:hAnsi="Calibri"/>
        </w:rPr>
      </w:pPr>
      <w:r w:rsidRPr="00A23FB4">
        <w:rPr>
          <w:rFonts w:ascii="Calibri" w:hAnsi="Calibri"/>
        </w:rPr>
        <w:t xml:space="preserve">Grubość warstwy należy mierzyć bezpośrednio po jej zagęszczeniu. Grubość podbudowy powinna być zgodna z dokumentacją projektową z tolerancją  </w:t>
      </w:r>
      <w:r w:rsidRPr="00A23FB4">
        <w:rPr>
          <w:rFonts w:ascii="Calibri" w:hAnsi="Calibri"/>
        </w:rPr>
        <w:sym w:font="Symbol" w:char="F0B1"/>
      </w:r>
      <w:r w:rsidRPr="00A23FB4">
        <w:rPr>
          <w:rFonts w:ascii="Calibri" w:hAnsi="Calibri"/>
        </w:rPr>
        <w:t xml:space="preserve"> 1 cm.</w:t>
      </w:r>
    </w:p>
    <w:p w14:paraId="090B81ED" w14:textId="77777777" w:rsidR="00B77350" w:rsidRPr="00A23FB4" w:rsidRDefault="00B77350" w:rsidP="00B77350">
      <w:pPr>
        <w:numPr>
          <w:ilvl w:val="12"/>
          <w:numId w:val="0"/>
        </w:numPr>
        <w:rPr>
          <w:rFonts w:ascii="Calibri" w:hAnsi="Calibri"/>
        </w:rPr>
      </w:pPr>
      <w:r w:rsidRPr="00A23FB4">
        <w:rPr>
          <w:rFonts w:ascii="Calibri" w:hAnsi="Calibri"/>
          <w:b/>
        </w:rPr>
        <w:t xml:space="preserve">6.3.4. </w:t>
      </w:r>
      <w:r w:rsidRPr="00A23FB4">
        <w:rPr>
          <w:rFonts w:ascii="Calibri" w:hAnsi="Calibri"/>
        </w:rPr>
        <w:t>Wytrzymałość na ściskanie betonu</w:t>
      </w:r>
    </w:p>
    <w:p w14:paraId="19840777" w14:textId="77777777" w:rsidR="00B77350" w:rsidRPr="00A23FB4" w:rsidRDefault="00B77350" w:rsidP="00B77350">
      <w:pPr>
        <w:numPr>
          <w:ilvl w:val="12"/>
          <w:numId w:val="0"/>
        </w:numPr>
        <w:rPr>
          <w:rFonts w:ascii="Calibri" w:hAnsi="Calibri"/>
        </w:rPr>
      </w:pPr>
      <w:r w:rsidRPr="00A23FB4">
        <w:rPr>
          <w:rFonts w:ascii="Calibri" w:hAnsi="Calibri"/>
        </w:rPr>
        <w:t>Wytrzymałość na ściskanie określa się na próbkach walcowych o średnicy i wysokości 16,0 cm. Próbki do badań należy pobierać z miejsc wybranych losowo, w świeżo rozłożonej warstwie. Próbki w ilości 6 sztuk należy formować i przechowywać zgodnie z normą PN-S-96013: 1997. Trzy próbki należy badać po 7 dniach i trzy po 28 dniach przechowywania. Wyniki wytrzymałości na ściskanie powinny być zgodne z wymaganiami podanymi w tablicy 2.</w:t>
      </w:r>
    </w:p>
    <w:p w14:paraId="791F13B4" w14:textId="77777777" w:rsidR="00B77350" w:rsidRPr="00A23FB4" w:rsidRDefault="00B77350" w:rsidP="00B77350">
      <w:pPr>
        <w:numPr>
          <w:ilvl w:val="12"/>
          <w:numId w:val="0"/>
        </w:numPr>
        <w:rPr>
          <w:rFonts w:ascii="Calibri" w:hAnsi="Calibri"/>
        </w:rPr>
      </w:pPr>
    </w:p>
    <w:p w14:paraId="3843D86D" w14:textId="77777777" w:rsidR="00B77350" w:rsidRPr="00A23FB4" w:rsidRDefault="00B77350" w:rsidP="00B77350">
      <w:pPr>
        <w:numPr>
          <w:ilvl w:val="12"/>
          <w:numId w:val="0"/>
        </w:numPr>
        <w:rPr>
          <w:rFonts w:ascii="Calibri" w:hAnsi="Calibri"/>
        </w:rPr>
      </w:pPr>
    </w:p>
    <w:p w14:paraId="1DD2A724" w14:textId="77777777" w:rsidR="00B77350" w:rsidRPr="00A23FB4" w:rsidRDefault="00B77350" w:rsidP="00B77350">
      <w:pPr>
        <w:numPr>
          <w:ilvl w:val="12"/>
          <w:numId w:val="0"/>
        </w:numPr>
        <w:rPr>
          <w:rFonts w:ascii="Calibri" w:hAnsi="Calibri"/>
        </w:rPr>
      </w:pPr>
      <w:r w:rsidRPr="00A23FB4">
        <w:rPr>
          <w:rFonts w:ascii="Calibri" w:hAnsi="Calibri"/>
          <w:b/>
        </w:rPr>
        <w:t xml:space="preserve">6.3.5. </w:t>
      </w:r>
      <w:r w:rsidRPr="00A23FB4">
        <w:rPr>
          <w:rFonts w:ascii="Calibri" w:hAnsi="Calibri"/>
        </w:rPr>
        <w:t>Nasiąkliwość i mrozoodporność betonu</w:t>
      </w:r>
    </w:p>
    <w:p w14:paraId="3562C5E1" w14:textId="77777777" w:rsidR="00B77350" w:rsidRPr="00A23FB4" w:rsidRDefault="00B77350" w:rsidP="00B77350">
      <w:pPr>
        <w:numPr>
          <w:ilvl w:val="12"/>
          <w:numId w:val="0"/>
        </w:numPr>
        <w:rPr>
          <w:rFonts w:ascii="Calibri" w:hAnsi="Calibri"/>
        </w:rPr>
      </w:pPr>
      <w:r w:rsidRPr="00A23FB4">
        <w:rPr>
          <w:rFonts w:ascii="Calibri" w:hAnsi="Calibri"/>
        </w:rPr>
        <w:t>Nasiąkliwość i mrozoodporność określa się po 28 dniach dojrzewania betonu, zgodnie z normą PN-B-06250:1988.</w:t>
      </w:r>
    </w:p>
    <w:p w14:paraId="294E0C40" w14:textId="77777777" w:rsidR="00B77350" w:rsidRPr="00A23FB4" w:rsidRDefault="00B77350" w:rsidP="00B77350">
      <w:pPr>
        <w:numPr>
          <w:ilvl w:val="12"/>
          <w:numId w:val="0"/>
        </w:numPr>
        <w:rPr>
          <w:rFonts w:ascii="Calibri" w:hAnsi="Calibri"/>
        </w:rPr>
      </w:pPr>
      <w:r w:rsidRPr="00A23FB4">
        <w:rPr>
          <w:rFonts w:ascii="Calibri" w:hAnsi="Calibri"/>
        </w:rPr>
        <w:t>Wyniki badań powinny być zgodne z wymaganiami podanymi w  tablicy 2.</w:t>
      </w:r>
    </w:p>
    <w:p w14:paraId="3238BFFA" w14:textId="77777777" w:rsidR="00B77350" w:rsidRPr="00A23FB4" w:rsidRDefault="00B77350" w:rsidP="00B77350">
      <w:pPr>
        <w:pStyle w:val="Nagwek4"/>
        <w:rPr>
          <w:rFonts w:ascii="Calibri" w:hAnsi="Calibri"/>
        </w:rPr>
      </w:pPr>
      <w:r w:rsidRPr="00A23FB4">
        <w:rPr>
          <w:rFonts w:ascii="Calibri" w:hAnsi="Calibri"/>
        </w:rPr>
        <w:t>6.4. Wymagania dotyczące cech geometrycznych podbudowy z  betonu</w:t>
      </w:r>
    </w:p>
    <w:p w14:paraId="4629B3A9" w14:textId="77777777" w:rsidR="00B77350" w:rsidRPr="00A23FB4" w:rsidRDefault="00B77350" w:rsidP="00B77350">
      <w:pPr>
        <w:numPr>
          <w:ilvl w:val="12"/>
          <w:numId w:val="0"/>
        </w:numPr>
        <w:rPr>
          <w:rFonts w:ascii="Calibri" w:hAnsi="Calibri"/>
        </w:rPr>
      </w:pPr>
      <w:r w:rsidRPr="00A23FB4">
        <w:rPr>
          <w:rFonts w:ascii="Calibri" w:hAnsi="Calibri"/>
          <w:b/>
        </w:rPr>
        <w:t xml:space="preserve">6.4.1. </w:t>
      </w:r>
      <w:r w:rsidRPr="00A23FB4">
        <w:rPr>
          <w:rFonts w:ascii="Calibri" w:hAnsi="Calibri"/>
        </w:rPr>
        <w:t>Częstotliwość oraz zakres badań i  pomiarów</w:t>
      </w:r>
    </w:p>
    <w:p w14:paraId="48DE2C11" w14:textId="77777777" w:rsidR="00B77350" w:rsidRPr="00A23FB4" w:rsidRDefault="00B77350" w:rsidP="00B77350">
      <w:pPr>
        <w:numPr>
          <w:ilvl w:val="12"/>
          <w:numId w:val="0"/>
        </w:numPr>
        <w:rPr>
          <w:rFonts w:ascii="Calibri" w:hAnsi="Calibri"/>
        </w:rPr>
      </w:pPr>
      <w:r w:rsidRPr="00A23FB4">
        <w:rPr>
          <w:rFonts w:ascii="Calibri" w:hAnsi="Calibri"/>
        </w:rPr>
        <w:t xml:space="preserve"> Częstotliwość oraz zakres badań i pomiarów podaje  tablica 4.</w:t>
      </w:r>
    </w:p>
    <w:p w14:paraId="0E4D6192" w14:textId="77777777" w:rsidR="00B77350" w:rsidRPr="00A23FB4" w:rsidRDefault="00B77350" w:rsidP="00B77350">
      <w:pPr>
        <w:numPr>
          <w:ilvl w:val="12"/>
          <w:numId w:val="0"/>
        </w:numPr>
        <w:rPr>
          <w:rFonts w:ascii="Calibri" w:hAnsi="Calibri"/>
        </w:rPr>
      </w:pPr>
      <w:r w:rsidRPr="00A23FB4">
        <w:rPr>
          <w:rFonts w:ascii="Calibri" w:hAnsi="Calibri"/>
        </w:rPr>
        <w:t>Tablica 4. Częstotliwość oraz zakres badań i  pomiarów wykonanej podbudowy z betonu</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96"/>
        <w:gridCol w:w="3714"/>
        <w:gridCol w:w="4860"/>
      </w:tblGrid>
      <w:tr w:rsidR="00B77350" w:rsidRPr="00A23FB4" w14:paraId="5F4D1158" w14:textId="77777777" w:rsidTr="00B77350">
        <w:tc>
          <w:tcPr>
            <w:tcW w:w="496" w:type="dxa"/>
            <w:tcBorders>
              <w:bottom w:val="double" w:sz="6" w:space="0" w:color="auto"/>
            </w:tcBorders>
          </w:tcPr>
          <w:p w14:paraId="49A4C5E7" w14:textId="77777777" w:rsidR="00B77350" w:rsidRPr="00A23FB4" w:rsidRDefault="00B77350" w:rsidP="00B77350">
            <w:pPr>
              <w:numPr>
                <w:ilvl w:val="12"/>
                <w:numId w:val="0"/>
              </w:numPr>
              <w:rPr>
                <w:rFonts w:ascii="Calibri" w:hAnsi="Calibri"/>
                <w:b/>
              </w:rPr>
            </w:pPr>
            <w:r w:rsidRPr="00A23FB4">
              <w:rPr>
                <w:rFonts w:ascii="Calibri" w:hAnsi="Calibri"/>
              </w:rPr>
              <w:t>Lp.</w:t>
            </w:r>
          </w:p>
        </w:tc>
        <w:tc>
          <w:tcPr>
            <w:tcW w:w="3714" w:type="dxa"/>
            <w:tcBorders>
              <w:bottom w:val="double" w:sz="6" w:space="0" w:color="auto"/>
            </w:tcBorders>
          </w:tcPr>
          <w:p w14:paraId="5148FAAB" w14:textId="77777777" w:rsidR="00B77350" w:rsidRPr="00A23FB4" w:rsidRDefault="00B77350" w:rsidP="00B77350">
            <w:pPr>
              <w:numPr>
                <w:ilvl w:val="12"/>
                <w:numId w:val="0"/>
              </w:numPr>
              <w:rPr>
                <w:rFonts w:ascii="Calibri" w:hAnsi="Calibri"/>
                <w:b/>
              </w:rPr>
            </w:pPr>
            <w:r w:rsidRPr="00A23FB4">
              <w:rPr>
                <w:rFonts w:ascii="Calibri" w:hAnsi="Calibri"/>
              </w:rPr>
              <w:t>Wyszczególnienie badań i pomiarów</w:t>
            </w:r>
          </w:p>
        </w:tc>
        <w:tc>
          <w:tcPr>
            <w:tcW w:w="4860" w:type="dxa"/>
            <w:tcBorders>
              <w:bottom w:val="double" w:sz="6" w:space="0" w:color="auto"/>
            </w:tcBorders>
          </w:tcPr>
          <w:p w14:paraId="77C56475" w14:textId="77777777" w:rsidR="00B77350" w:rsidRPr="00A23FB4" w:rsidRDefault="00B77350" w:rsidP="00B77350">
            <w:pPr>
              <w:numPr>
                <w:ilvl w:val="12"/>
                <w:numId w:val="0"/>
              </w:numPr>
              <w:rPr>
                <w:rFonts w:ascii="Calibri" w:hAnsi="Calibri"/>
              </w:rPr>
            </w:pPr>
            <w:r w:rsidRPr="00A23FB4">
              <w:rPr>
                <w:rFonts w:ascii="Calibri" w:hAnsi="Calibri"/>
              </w:rPr>
              <w:t xml:space="preserve">Minimalna częstotliwość </w:t>
            </w:r>
          </w:p>
          <w:p w14:paraId="6AABE3BF" w14:textId="77777777" w:rsidR="00B77350" w:rsidRPr="00A23FB4" w:rsidRDefault="00B77350" w:rsidP="00B77350">
            <w:pPr>
              <w:numPr>
                <w:ilvl w:val="12"/>
                <w:numId w:val="0"/>
              </w:numPr>
              <w:rPr>
                <w:rFonts w:ascii="Calibri" w:hAnsi="Calibri"/>
                <w:b/>
              </w:rPr>
            </w:pPr>
            <w:r w:rsidRPr="00A23FB4">
              <w:rPr>
                <w:rFonts w:ascii="Calibri" w:hAnsi="Calibri"/>
              </w:rPr>
              <w:t>badań i  pomiarów</w:t>
            </w:r>
          </w:p>
        </w:tc>
      </w:tr>
      <w:tr w:rsidR="00B77350" w:rsidRPr="00A23FB4" w14:paraId="68BF9D25" w14:textId="77777777" w:rsidTr="00B77350">
        <w:tc>
          <w:tcPr>
            <w:tcW w:w="496" w:type="dxa"/>
            <w:tcBorders>
              <w:top w:val="nil"/>
            </w:tcBorders>
          </w:tcPr>
          <w:p w14:paraId="2A9F3995" w14:textId="77777777" w:rsidR="00B77350" w:rsidRPr="00A23FB4" w:rsidRDefault="00B77350" w:rsidP="00B77350">
            <w:pPr>
              <w:numPr>
                <w:ilvl w:val="12"/>
                <w:numId w:val="0"/>
              </w:numPr>
              <w:rPr>
                <w:rFonts w:ascii="Calibri" w:hAnsi="Calibri"/>
                <w:b/>
              </w:rPr>
            </w:pPr>
            <w:r w:rsidRPr="00A23FB4">
              <w:rPr>
                <w:rFonts w:ascii="Calibri" w:hAnsi="Calibri"/>
              </w:rPr>
              <w:t>1</w:t>
            </w:r>
          </w:p>
        </w:tc>
        <w:tc>
          <w:tcPr>
            <w:tcW w:w="3714" w:type="dxa"/>
            <w:tcBorders>
              <w:top w:val="nil"/>
            </w:tcBorders>
          </w:tcPr>
          <w:p w14:paraId="3970D016" w14:textId="77777777" w:rsidR="00B77350" w:rsidRPr="00A23FB4" w:rsidRDefault="00B77350" w:rsidP="00B77350">
            <w:pPr>
              <w:numPr>
                <w:ilvl w:val="12"/>
                <w:numId w:val="0"/>
              </w:numPr>
              <w:rPr>
                <w:rFonts w:ascii="Calibri" w:hAnsi="Calibri"/>
                <w:b/>
              </w:rPr>
            </w:pPr>
            <w:r w:rsidRPr="00A23FB4">
              <w:rPr>
                <w:rFonts w:ascii="Calibri" w:hAnsi="Calibri"/>
              </w:rPr>
              <w:t>Szerokość podbudowy</w:t>
            </w:r>
          </w:p>
        </w:tc>
        <w:tc>
          <w:tcPr>
            <w:tcW w:w="4860" w:type="dxa"/>
            <w:tcBorders>
              <w:top w:val="nil"/>
            </w:tcBorders>
          </w:tcPr>
          <w:p w14:paraId="37EBB65B" w14:textId="77777777" w:rsidR="00B77350" w:rsidRPr="00A23FB4" w:rsidRDefault="00B77350" w:rsidP="00B77350">
            <w:pPr>
              <w:numPr>
                <w:ilvl w:val="12"/>
                <w:numId w:val="0"/>
              </w:numPr>
              <w:rPr>
                <w:rFonts w:ascii="Calibri" w:hAnsi="Calibri"/>
                <w:b/>
              </w:rPr>
            </w:pPr>
            <w:r w:rsidRPr="00A23FB4">
              <w:rPr>
                <w:rFonts w:ascii="Calibri" w:hAnsi="Calibri"/>
              </w:rPr>
              <w:t>10 razy na 1 km</w:t>
            </w:r>
          </w:p>
        </w:tc>
      </w:tr>
      <w:tr w:rsidR="00B77350" w:rsidRPr="00A23FB4" w14:paraId="62AD8B8A" w14:textId="77777777" w:rsidTr="00B77350">
        <w:tc>
          <w:tcPr>
            <w:tcW w:w="496" w:type="dxa"/>
          </w:tcPr>
          <w:p w14:paraId="19FC7759" w14:textId="77777777" w:rsidR="00B77350" w:rsidRPr="00A23FB4" w:rsidRDefault="00B77350" w:rsidP="00B77350">
            <w:pPr>
              <w:numPr>
                <w:ilvl w:val="12"/>
                <w:numId w:val="0"/>
              </w:numPr>
              <w:rPr>
                <w:rFonts w:ascii="Calibri" w:hAnsi="Calibri"/>
                <w:b/>
              </w:rPr>
            </w:pPr>
            <w:r w:rsidRPr="00A23FB4">
              <w:rPr>
                <w:rFonts w:ascii="Calibri" w:hAnsi="Calibri"/>
              </w:rPr>
              <w:t>2</w:t>
            </w:r>
          </w:p>
        </w:tc>
        <w:tc>
          <w:tcPr>
            <w:tcW w:w="3714" w:type="dxa"/>
          </w:tcPr>
          <w:p w14:paraId="057B622F" w14:textId="77777777" w:rsidR="00B77350" w:rsidRPr="00A23FB4" w:rsidRDefault="00B77350" w:rsidP="00B77350">
            <w:pPr>
              <w:numPr>
                <w:ilvl w:val="12"/>
                <w:numId w:val="0"/>
              </w:numPr>
              <w:rPr>
                <w:rFonts w:ascii="Calibri" w:hAnsi="Calibri"/>
                <w:b/>
              </w:rPr>
            </w:pPr>
            <w:r w:rsidRPr="00A23FB4">
              <w:rPr>
                <w:rFonts w:ascii="Calibri" w:hAnsi="Calibri"/>
              </w:rPr>
              <w:t>Równość podłużna</w:t>
            </w:r>
          </w:p>
        </w:tc>
        <w:tc>
          <w:tcPr>
            <w:tcW w:w="4860" w:type="dxa"/>
          </w:tcPr>
          <w:p w14:paraId="6972582C" w14:textId="77777777" w:rsidR="00B77350" w:rsidRPr="00A23FB4" w:rsidRDefault="00B77350" w:rsidP="00B77350">
            <w:pPr>
              <w:numPr>
                <w:ilvl w:val="12"/>
                <w:numId w:val="0"/>
              </w:numPr>
              <w:rPr>
                <w:rFonts w:ascii="Calibri" w:hAnsi="Calibri"/>
                <w:b/>
              </w:rPr>
            </w:pPr>
            <w:r w:rsidRPr="00A23FB4">
              <w:rPr>
                <w:rFonts w:ascii="Calibri" w:hAnsi="Calibri"/>
              </w:rPr>
              <w:t>co 20 m łatą</w:t>
            </w:r>
          </w:p>
        </w:tc>
      </w:tr>
      <w:tr w:rsidR="00B77350" w:rsidRPr="00A23FB4" w14:paraId="08162D03" w14:textId="77777777" w:rsidTr="00B77350">
        <w:tc>
          <w:tcPr>
            <w:tcW w:w="496" w:type="dxa"/>
          </w:tcPr>
          <w:p w14:paraId="36CF1B21" w14:textId="77777777" w:rsidR="00B77350" w:rsidRPr="00A23FB4" w:rsidRDefault="00B77350" w:rsidP="00B77350">
            <w:pPr>
              <w:numPr>
                <w:ilvl w:val="12"/>
                <w:numId w:val="0"/>
              </w:numPr>
              <w:rPr>
                <w:rFonts w:ascii="Calibri" w:hAnsi="Calibri"/>
                <w:b/>
              </w:rPr>
            </w:pPr>
            <w:r w:rsidRPr="00A23FB4">
              <w:rPr>
                <w:rFonts w:ascii="Calibri" w:hAnsi="Calibri"/>
              </w:rPr>
              <w:t>3</w:t>
            </w:r>
          </w:p>
        </w:tc>
        <w:tc>
          <w:tcPr>
            <w:tcW w:w="3714" w:type="dxa"/>
          </w:tcPr>
          <w:p w14:paraId="42508D57" w14:textId="77777777" w:rsidR="00B77350" w:rsidRPr="00A23FB4" w:rsidRDefault="00B77350" w:rsidP="00B77350">
            <w:pPr>
              <w:numPr>
                <w:ilvl w:val="12"/>
                <w:numId w:val="0"/>
              </w:numPr>
              <w:rPr>
                <w:rFonts w:ascii="Calibri" w:hAnsi="Calibri"/>
                <w:b/>
              </w:rPr>
            </w:pPr>
            <w:r w:rsidRPr="00A23FB4">
              <w:rPr>
                <w:rFonts w:ascii="Calibri" w:hAnsi="Calibri"/>
              </w:rPr>
              <w:t>Równość poprzeczna</w:t>
            </w:r>
          </w:p>
        </w:tc>
        <w:tc>
          <w:tcPr>
            <w:tcW w:w="4860" w:type="dxa"/>
          </w:tcPr>
          <w:p w14:paraId="274B1FF8" w14:textId="77777777" w:rsidR="00B77350" w:rsidRPr="00A23FB4" w:rsidRDefault="00B77350" w:rsidP="00B77350">
            <w:pPr>
              <w:numPr>
                <w:ilvl w:val="12"/>
                <w:numId w:val="0"/>
              </w:numPr>
              <w:rPr>
                <w:rFonts w:ascii="Calibri" w:hAnsi="Calibri"/>
                <w:b/>
              </w:rPr>
            </w:pPr>
            <w:r w:rsidRPr="00A23FB4">
              <w:rPr>
                <w:rFonts w:ascii="Calibri" w:hAnsi="Calibri"/>
              </w:rPr>
              <w:t>10 razy na 1 km</w:t>
            </w:r>
          </w:p>
        </w:tc>
      </w:tr>
      <w:tr w:rsidR="00B77350" w:rsidRPr="00A23FB4" w14:paraId="790B4B25" w14:textId="77777777" w:rsidTr="00B77350">
        <w:tc>
          <w:tcPr>
            <w:tcW w:w="496" w:type="dxa"/>
          </w:tcPr>
          <w:p w14:paraId="55C97D3E" w14:textId="77777777" w:rsidR="00B77350" w:rsidRPr="00A23FB4" w:rsidRDefault="00B77350" w:rsidP="00B77350">
            <w:pPr>
              <w:numPr>
                <w:ilvl w:val="12"/>
                <w:numId w:val="0"/>
              </w:numPr>
              <w:rPr>
                <w:rFonts w:ascii="Calibri" w:hAnsi="Calibri"/>
                <w:b/>
              </w:rPr>
            </w:pPr>
            <w:r w:rsidRPr="00A23FB4">
              <w:rPr>
                <w:rFonts w:ascii="Calibri" w:hAnsi="Calibri"/>
              </w:rPr>
              <w:t>4</w:t>
            </w:r>
          </w:p>
        </w:tc>
        <w:tc>
          <w:tcPr>
            <w:tcW w:w="3714" w:type="dxa"/>
          </w:tcPr>
          <w:p w14:paraId="2DD6935C" w14:textId="77777777" w:rsidR="00B77350" w:rsidRPr="00A23FB4" w:rsidRDefault="00B77350" w:rsidP="00B77350">
            <w:pPr>
              <w:numPr>
                <w:ilvl w:val="12"/>
                <w:numId w:val="0"/>
              </w:numPr>
              <w:rPr>
                <w:rFonts w:ascii="Calibri" w:hAnsi="Calibri"/>
                <w:b/>
              </w:rPr>
            </w:pPr>
            <w:r w:rsidRPr="00A23FB4">
              <w:rPr>
                <w:rFonts w:ascii="Calibri" w:hAnsi="Calibri"/>
              </w:rPr>
              <w:t>Spadki poprzeczne*</w:t>
            </w:r>
            <w:r w:rsidRPr="00A23FB4">
              <w:rPr>
                <w:rFonts w:ascii="Calibri" w:hAnsi="Calibri"/>
                <w:vertAlign w:val="superscript"/>
              </w:rPr>
              <w:t>)</w:t>
            </w:r>
          </w:p>
        </w:tc>
        <w:tc>
          <w:tcPr>
            <w:tcW w:w="4860" w:type="dxa"/>
            <w:tcBorders>
              <w:bottom w:val="nil"/>
            </w:tcBorders>
          </w:tcPr>
          <w:p w14:paraId="1BDFF01D" w14:textId="77777777" w:rsidR="00B77350" w:rsidRPr="00A23FB4" w:rsidRDefault="00B77350" w:rsidP="00B77350">
            <w:pPr>
              <w:numPr>
                <w:ilvl w:val="12"/>
                <w:numId w:val="0"/>
              </w:numPr>
              <w:rPr>
                <w:rFonts w:ascii="Calibri" w:hAnsi="Calibri"/>
                <w:b/>
              </w:rPr>
            </w:pPr>
            <w:r w:rsidRPr="00A23FB4">
              <w:rPr>
                <w:rFonts w:ascii="Calibri" w:hAnsi="Calibri"/>
              </w:rPr>
              <w:t>10 razy na 1 km</w:t>
            </w:r>
          </w:p>
        </w:tc>
      </w:tr>
      <w:tr w:rsidR="00B77350" w:rsidRPr="00A23FB4" w14:paraId="7C6F72AE" w14:textId="77777777" w:rsidTr="00B77350">
        <w:tc>
          <w:tcPr>
            <w:tcW w:w="496" w:type="dxa"/>
          </w:tcPr>
          <w:p w14:paraId="414EB6A3" w14:textId="77777777" w:rsidR="00B77350" w:rsidRPr="00A23FB4" w:rsidRDefault="00B77350" w:rsidP="00B77350">
            <w:pPr>
              <w:numPr>
                <w:ilvl w:val="12"/>
                <w:numId w:val="0"/>
              </w:numPr>
              <w:rPr>
                <w:rFonts w:ascii="Calibri" w:hAnsi="Calibri"/>
                <w:b/>
              </w:rPr>
            </w:pPr>
            <w:r w:rsidRPr="00A23FB4">
              <w:rPr>
                <w:rFonts w:ascii="Calibri" w:hAnsi="Calibri"/>
              </w:rPr>
              <w:t>5</w:t>
            </w:r>
          </w:p>
        </w:tc>
        <w:tc>
          <w:tcPr>
            <w:tcW w:w="3714" w:type="dxa"/>
          </w:tcPr>
          <w:p w14:paraId="03C17026" w14:textId="77777777" w:rsidR="00B77350" w:rsidRPr="00A23FB4" w:rsidRDefault="00B77350" w:rsidP="00B77350">
            <w:pPr>
              <w:numPr>
                <w:ilvl w:val="12"/>
                <w:numId w:val="0"/>
              </w:numPr>
              <w:rPr>
                <w:rFonts w:ascii="Calibri" w:hAnsi="Calibri"/>
                <w:b/>
              </w:rPr>
            </w:pPr>
            <w:r w:rsidRPr="00A23FB4">
              <w:rPr>
                <w:rFonts w:ascii="Calibri" w:hAnsi="Calibri"/>
              </w:rPr>
              <w:t>Rzędne wysokościowe</w:t>
            </w:r>
          </w:p>
        </w:tc>
        <w:tc>
          <w:tcPr>
            <w:tcW w:w="4860" w:type="dxa"/>
            <w:tcBorders>
              <w:bottom w:val="nil"/>
            </w:tcBorders>
          </w:tcPr>
          <w:p w14:paraId="2EF8089E" w14:textId="77777777" w:rsidR="00B77350" w:rsidRPr="00A23FB4" w:rsidRDefault="00B77350" w:rsidP="00B77350">
            <w:pPr>
              <w:numPr>
                <w:ilvl w:val="12"/>
                <w:numId w:val="0"/>
              </w:numPr>
              <w:rPr>
                <w:rFonts w:ascii="Calibri" w:hAnsi="Calibri"/>
              </w:rPr>
            </w:pPr>
          </w:p>
        </w:tc>
      </w:tr>
      <w:tr w:rsidR="00B77350" w:rsidRPr="00A23FB4" w14:paraId="7C165D78" w14:textId="77777777" w:rsidTr="00B77350">
        <w:tc>
          <w:tcPr>
            <w:tcW w:w="496" w:type="dxa"/>
          </w:tcPr>
          <w:p w14:paraId="5A8F82E2" w14:textId="77777777" w:rsidR="00B77350" w:rsidRPr="00A23FB4" w:rsidRDefault="00B77350" w:rsidP="00B77350">
            <w:pPr>
              <w:numPr>
                <w:ilvl w:val="12"/>
                <w:numId w:val="0"/>
              </w:numPr>
              <w:rPr>
                <w:rFonts w:ascii="Calibri" w:hAnsi="Calibri"/>
                <w:b/>
              </w:rPr>
            </w:pPr>
            <w:r w:rsidRPr="00A23FB4">
              <w:rPr>
                <w:rFonts w:ascii="Calibri" w:hAnsi="Calibri"/>
              </w:rPr>
              <w:t>6</w:t>
            </w:r>
          </w:p>
        </w:tc>
        <w:tc>
          <w:tcPr>
            <w:tcW w:w="3714" w:type="dxa"/>
          </w:tcPr>
          <w:p w14:paraId="4E9CF3BD" w14:textId="77777777" w:rsidR="00B77350" w:rsidRPr="00A23FB4" w:rsidRDefault="00B77350" w:rsidP="00B77350">
            <w:pPr>
              <w:numPr>
                <w:ilvl w:val="12"/>
                <w:numId w:val="0"/>
              </w:numPr>
              <w:rPr>
                <w:rFonts w:ascii="Calibri" w:hAnsi="Calibri"/>
                <w:b/>
              </w:rPr>
            </w:pPr>
            <w:r w:rsidRPr="00A23FB4">
              <w:rPr>
                <w:rFonts w:ascii="Calibri" w:hAnsi="Calibri"/>
              </w:rPr>
              <w:t>Ukształtowanie osi w planie*</w:t>
            </w:r>
            <w:r w:rsidRPr="00A23FB4">
              <w:rPr>
                <w:rFonts w:ascii="Calibri" w:hAnsi="Calibri"/>
                <w:vertAlign w:val="superscript"/>
              </w:rPr>
              <w:t>)</w:t>
            </w:r>
          </w:p>
        </w:tc>
        <w:tc>
          <w:tcPr>
            <w:tcW w:w="4860" w:type="dxa"/>
            <w:tcBorders>
              <w:top w:val="nil"/>
            </w:tcBorders>
          </w:tcPr>
          <w:p w14:paraId="763F791E" w14:textId="77777777" w:rsidR="00B77350" w:rsidRPr="00A23FB4" w:rsidRDefault="00B77350" w:rsidP="00B77350">
            <w:pPr>
              <w:numPr>
                <w:ilvl w:val="12"/>
                <w:numId w:val="0"/>
              </w:numPr>
              <w:rPr>
                <w:rFonts w:ascii="Calibri" w:hAnsi="Calibri"/>
                <w:b/>
              </w:rPr>
            </w:pPr>
            <w:r w:rsidRPr="00A23FB4">
              <w:rPr>
                <w:rFonts w:ascii="Calibri" w:hAnsi="Calibri"/>
              </w:rPr>
              <w:t>co 100 m</w:t>
            </w:r>
          </w:p>
        </w:tc>
      </w:tr>
      <w:tr w:rsidR="00B77350" w:rsidRPr="00A23FB4" w14:paraId="1774420C" w14:textId="77777777" w:rsidTr="00B77350">
        <w:tc>
          <w:tcPr>
            <w:tcW w:w="496" w:type="dxa"/>
          </w:tcPr>
          <w:p w14:paraId="010CC241" w14:textId="77777777" w:rsidR="00B77350" w:rsidRPr="00A23FB4" w:rsidRDefault="00B77350" w:rsidP="00B77350">
            <w:pPr>
              <w:numPr>
                <w:ilvl w:val="12"/>
                <w:numId w:val="0"/>
              </w:numPr>
              <w:rPr>
                <w:rFonts w:ascii="Calibri" w:hAnsi="Calibri"/>
                <w:b/>
              </w:rPr>
            </w:pPr>
            <w:r w:rsidRPr="00A23FB4">
              <w:rPr>
                <w:rFonts w:ascii="Calibri" w:hAnsi="Calibri"/>
              </w:rPr>
              <w:t>7</w:t>
            </w:r>
          </w:p>
        </w:tc>
        <w:tc>
          <w:tcPr>
            <w:tcW w:w="3714" w:type="dxa"/>
          </w:tcPr>
          <w:p w14:paraId="6184DC40" w14:textId="77777777" w:rsidR="00B77350" w:rsidRPr="00A23FB4" w:rsidRDefault="00B77350" w:rsidP="00B77350">
            <w:pPr>
              <w:numPr>
                <w:ilvl w:val="12"/>
                <w:numId w:val="0"/>
              </w:numPr>
              <w:rPr>
                <w:rFonts w:ascii="Calibri" w:hAnsi="Calibri"/>
                <w:b/>
              </w:rPr>
            </w:pPr>
            <w:r w:rsidRPr="00A23FB4">
              <w:rPr>
                <w:rFonts w:ascii="Calibri" w:hAnsi="Calibri"/>
              </w:rPr>
              <w:t>Grubość podbudowy</w:t>
            </w:r>
          </w:p>
        </w:tc>
        <w:tc>
          <w:tcPr>
            <w:tcW w:w="4860" w:type="dxa"/>
          </w:tcPr>
          <w:p w14:paraId="41027CA3" w14:textId="77777777" w:rsidR="00B77350" w:rsidRPr="00A23FB4" w:rsidRDefault="00B77350" w:rsidP="00B77350">
            <w:pPr>
              <w:numPr>
                <w:ilvl w:val="12"/>
                <w:numId w:val="0"/>
              </w:numPr>
              <w:rPr>
                <w:rFonts w:ascii="Calibri" w:hAnsi="Calibri"/>
                <w:b/>
              </w:rPr>
            </w:pPr>
            <w:r w:rsidRPr="00A23FB4">
              <w:rPr>
                <w:rFonts w:ascii="Calibri" w:hAnsi="Calibri"/>
              </w:rPr>
              <w:t>w 3 punktach, lecz nie rzadziej niż raz na 100 m</w:t>
            </w:r>
          </w:p>
        </w:tc>
      </w:tr>
    </w:tbl>
    <w:p w14:paraId="62168F1D" w14:textId="77777777" w:rsidR="00B77350" w:rsidRPr="00A23FB4" w:rsidRDefault="00B77350" w:rsidP="00B77350">
      <w:pPr>
        <w:numPr>
          <w:ilvl w:val="12"/>
          <w:numId w:val="0"/>
        </w:numPr>
        <w:rPr>
          <w:rFonts w:ascii="Calibri" w:hAnsi="Calibri"/>
        </w:rPr>
      </w:pPr>
      <w:r w:rsidRPr="00A23FB4">
        <w:rPr>
          <w:rFonts w:ascii="Calibri" w:hAnsi="Calibri"/>
        </w:rPr>
        <w:t>*) Dodatkowe pomiary spadków poprzecznych i ukształtowanie osi w planie należy wykonać w punktach głównych łuków poziomych.</w:t>
      </w:r>
    </w:p>
    <w:p w14:paraId="167D33B0" w14:textId="77777777" w:rsidR="00B77350" w:rsidRPr="00A23FB4" w:rsidRDefault="00B77350" w:rsidP="00B77350">
      <w:pPr>
        <w:keepNext/>
        <w:numPr>
          <w:ilvl w:val="12"/>
          <w:numId w:val="0"/>
        </w:numPr>
        <w:rPr>
          <w:rFonts w:ascii="Calibri" w:hAnsi="Calibri"/>
        </w:rPr>
      </w:pPr>
      <w:r w:rsidRPr="00A23FB4">
        <w:rPr>
          <w:rFonts w:ascii="Calibri" w:hAnsi="Calibri"/>
          <w:b/>
        </w:rPr>
        <w:t xml:space="preserve">6.4.2. </w:t>
      </w:r>
      <w:r w:rsidRPr="00A23FB4">
        <w:rPr>
          <w:rFonts w:ascii="Calibri" w:hAnsi="Calibri"/>
        </w:rPr>
        <w:t>Szerokość podbudowy</w:t>
      </w:r>
    </w:p>
    <w:p w14:paraId="5C34ACD8" w14:textId="12168D15" w:rsidR="00B77350" w:rsidRPr="00A23FB4" w:rsidRDefault="00B77350" w:rsidP="00B77350">
      <w:pPr>
        <w:numPr>
          <w:ilvl w:val="12"/>
          <w:numId w:val="0"/>
        </w:numPr>
        <w:rPr>
          <w:rFonts w:ascii="Calibri" w:hAnsi="Calibri"/>
        </w:rPr>
      </w:pPr>
      <w:r w:rsidRPr="00A23FB4">
        <w:rPr>
          <w:rFonts w:ascii="Calibri" w:hAnsi="Calibri"/>
        </w:rPr>
        <w:t xml:space="preserve">Szerokość podbudowy powinna być zgodna z dokumentacją projektową z tolerancją +10 cm, </w:t>
      </w:r>
      <w:r w:rsidR="008F79AE">
        <w:rPr>
          <w:rFonts w:ascii="Calibri" w:hAnsi="Calibri"/>
        </w:rPr>
        <w:t>-</w:t>
      </w:r>
      <w:r w:rsidRPr="00A23FB4">
        <w:rPr>
          <w:rFonts w:ascii="Calibri" w:hAnsi="Calibri"/>
        </w:rPr>
        <w:t>5 cm.</w:t>
      </w:r>
    </w:p>
    <w:p w14:paraId="6BD7C65D" w14:textId="77777777" w:rsidR="00B77350" w:rsidRPr="00A23FB4" w:rsidRDefault="00B77350" w:rsidP="00B77350">
      <w:pPr>
        <w:numPr>
          <w:ilvl w:val="12"/>
          <w:numId w:val="0"/>
        </w:numPr>
        <w:rPr>
          <w:rFonts w:ascii="Calibri" w:hAnsi="Calibri"/>
        </w:rPr>
      </w:pPr>
      <w:r w:rsidRPr="00A23FB4">
        <w:rPr>
          <w:rFonts w:ascii="Calibri" w:hAnsi="Calibri"/>
          <w:b/>
        </w:rPr>
        <w:t xml:space="preserve">6.4.3. </w:t>
      </w:r>
      <w:r w:rsidRPr="00A23FB4">
        <w:rPr>
          <w:rFonts w:ascii="Calibri" w:hAnsi="Calibri"/>
        </w:rPr>
        <w:t>Równość podbudowy</w:t>
      </w:r>
    </w:p>
    <w:p w14:paraId="4FE1CD34" w14:textId="77777777" w:rsidR="00B77350" w:rsidRPr="00A23FB4" w:rsidRDefault="00B77350" w:rsidP="00B77350">
      <w:pPr>
        <w:numPr>
          <w:ilvl w:val="12"/>
          <w:numId w:val="0"/>
        </w:numPr>
        <w:rPr>
          <w:rFonts w:ascii="Calibri" w:hAnsi="Calibri"/>
        </w:rPr>
      </w:pPr>
      <w:r w:rsidRPr="00A23FB4">
        <w:rPr>
          <w:rFonts w:ascii="Calibri" w:hAnsi="Calibri"/>
        </w:rPr>
        <w:t xml:space="preserve">Nierówności podłużne podbudowy należy mierzyć 4-metrową łatą. </w:t>
      </w:r>
    </w:p>
    <w:p w14:paraId="248A21A1" w14:textId="77777777" w:rsidR="00B77350" w:rsidRPr="00A23FB4" w:rsidRDefault="00B77350" w:rsidP="00B77350">
      <w:pPr>
        <w:numPr>
          <w:ilvl w:val="12"/>
          <w:numId w:val="0"/>
        </w:numPr>
        <w:rPr>
          <w:rFonts w:ascii="Calibri" w:hAnsi="Calibri"/>
        </w:rPr>
      </w:pPr>
      <w:r w:rsidRPr="00A23FB4">
        <w:rPr>
          <w:rFonts w:ascii="Calibri" w:hAnsi="Calibri"/>
        </w:rPr>
        <w:t xml:space="preserve">Nierówności poprzeczne podbudowy należy mierzyć 4-metrową łatą. </w:t>
      </w:r>
    </w:p>
    <w:p w14:paraId="6238D9E1" w14:textId="77777777" w:rsidR="00B77350" w:rsidRPr="00A23FB4" w:rsidRDefault="00B77350" w:rsidP="00B77350">
      <w:pPr>
        <w:rPr>
          <w:rFonts w:ascii="Calibri" w:hAnsi="Calibri"/>
        </w:rPr>
      </w:pPr>
      <w:r w:rsidRPr="00A23FB4">
        <w:rPr>
          <w:rFonts w:ascii="Calibri" w:hAnsi="Calibri"/>
        </w:rPr>
        <w:t xml:space="preserve">Nierówności podbudowy nie mogą przekraczać 9 mm </w:t>
      </w:r>
    </w:p>
    <w:p w14:paraId="3A0B7603" w14:textId="77777777" w:rsidR="00B77350" w:rsidRPr="00A23FB4" w:rsidRDefault="00B77350" w:rsidP="00B77350">
      <w:pPr>
        <w:numPr>
          <w:ilvl w:val="12"/>
          <w:numId w:val="0"/>
        </w:numPr>
        <w:rPr>
          <w:rFonts w:ascii="Calibri" w:hAnsi="Calibri"/>
        </w:rPr>
      </w:pPr>
      <w:r w:rsidRPr="00A23FB4">
        <w:rPr>
          <w:rFonts w:ascii="Calibri" w:hAnsi="Calibri"/>
          <w:b/>
        </w:rPr>
        <w:t xml:space="preserve">6.4.4. </w:t>
      </w:r>
      <w:r w:rsidRPr="00A23FB4">
        <w:rPr>
          <w:rFonts w:ascii="Calibri" w:hAnsi="Calibri"/>
        </w:rPr>
        <w:t>Spadki poprzeczne podbudowy</w:t>
      </w:r>
    </w:p>
    <w:p w14:paraId="64BB32CB" w14:textId="77777777" w:rsidR="00B77350" w:rsidRPr="00A23FB4" w:rsidRDefault="00B77350" w:rsidP="00B77350">
      <w:pPr>
        <w:numPr>
          <w:ilvl w:val="12"/>
          <w:numId w:val="0"/>
        </w:numPr>
        <w:rPr>
          <w:rFonts w:ascii="Calibri" w:hAnsi="Calibri"/>
        </w:rPr>
      </w:pPr>
      <w:r w:rsidRPr="00A23FB4">
        <w:rPr>
          <w:rFonts w:ascii="Calibri" w:hAnsi="Calibri"/>
        </w:rPr>
        <w:t xml:space="preserve">Spadki poprzeczne podbudowy na prostych i łukach powinny być zgodne z dokumentacją projektową z tolerancją </w:t>
      </w:r>
      <w:r w:rsidRPr="00A23FB4">
        <w:rPr>
          <w:rFonts w:ascii="Calibri" w:hAnsi="Calibri"/>
        </w:rPr>
        <w:sym w:font="Symbol" w:char="F0B1"/>
      </w:r>
      <w:r w:rsidRPr="00A23FB4">
        <w:rPr>
          <w:rFonts w:ascii="Calibri" w:hAnsi="Calibri"/>
        </w:rPr>
        <w:t xml:space="preserve"> 0,5 %.</w:t>
      </w:r>
    </w:p>
    <w:p w14:paraId="7C98908D" w14:textId="77777777" w:rsidR="00B77350" w:rsidRPr="00A23FB4" w:rsidRDefault="00B77350" w:rsidP="00B77350">
      <w:pPr>
        <w:numPr>
          <w:ilvl w:val="12"/>
          <w:numId w:val="0"/>
        </w:numPr>
        <w:rPr>
          <w:rFonts w:ascii="Calibri" w:hAnsi="Calibri"/>
        </w:rPr>
      </w:pPr>
      <w:r w:rsidRPr="00A23FB4">
        <w:rPr>
          <w:rFonts w:ascii="Calibri" w:hAnsi="Calibri"/>
          <w:b/>
        </w:rPr>
        <w:t xml:space="preserve">6.4.5. </w:t>
      </w:r>
      <w:r w:rsidRPr="00A23FB4">
        <w:rPr>
          <w:rFonts w:ascii="Calibri" w:hAnsi="Calibri"/>
        </w:rPr>
        <w:t>Rzędne wysokościowe podbudowy</w:t>
      </w:r>
    </w:p>
    <w:p w14:paraId="03EE6644" w14:textId="5643CE13" w:rsidR="00B77350" w:rsidRPr="00A23FB4" w:rsidRDefault="00B77350" w:rsidP="00B77350">
      <w:pPr>
        <w:numPr>
          <w:ilvl w:val="12"/>
          <w:numId w:val="0"/>
        </w:numPr>
        <w:rPr>
          <w:rFonts w:ascii="Calibri" w:hAnsi="Calibri"/>
        </w:rPr>
      </w:pPr>
      <w:r w:rsidRPr="00A23FB4">
        <w:rPr>
          <w:rFonts w:ascii="Calibri" w:hAnsi="Calibri"/>
        </w:rPr>
        <w:t xml:space="preserve">Rzędne wysokościowe podbudowy powinny być zgodne z dokumentacją projektową z tolerancją +1 cm, </w:t>
      </w:r>
      <w:r w:rsidR="008F79AE">
        <w:rPr>
          <w:rFonts w:ascii="Calibri" w:hAnsi="Calibri"/>
        </w:rPr>
        <w:t>-</w:t>
      </w:r>
      <w:r w:rsidRPr="00A23FB4">
        <w:rPr>
          <w:rFonts w:ascii="Calibri" w:hAnsi="Calibri"/>
        </w:rPr>
        <w:t>2 cm.</w:t>
      </w:r>
    </w:p>
    <w:p w14:paraId="6BD5E7B0" w14:textId="77777777" w:rsidR="00B77350" w:rsidRPr="00A23FB4" w:rsidRDefault="00B77350" w:rsidP="00B77350">
      <w:pPr>
        <w:numPr>
          <w:ilvl w:val="12"/>
          <w:numId w:val="0"/>
        </w:numPr>
        <w:rPr>
          <w:rFonts w:ascii="Calibri" w:hAnsi="Calibri"/>
        </w:rPr>
      </w:pPr>
      <w:r w:rsidRPr="00A23FB4">
        <w:rPr>
          <w:rFonts w:ascii="Calibri" w:hAnsi="Calibri"/>
          <w:b/>
        </w:rPr>
        <w:t xml:space="preserve">6.4.6. </w:t>
      </w:r>
      <w:r w:rsidRPr="00A23FB4">
        <w:rPr>
          <w:rFonts w:ascii="Calibri" w:hAnsi="Calibri"/>
        </w:rPr>
        <w:t>Ukształtowanie osi w planie</w:t>
      </w:r>
    </w:p>
    <w:p w14:paraId="0826327E" w14:textId="77777777" w:rsidR="00B77350" w:rsidRPr="00A23FB4" w:rsidRDefault="00B77350" w:rsidP="00B77350">
      <w:pPr>
        <w:numPr>
          <w:ilvl w:val="12"/>
          <w:numId w:val="0"/>
        </w:numPr>
        <w:rPr>
          <w:rFonts w:ascii="Calibri" w:hAnsi="Calibri"/>
        </w:rPr>
      </w:pPr>
      <w:r w:rsidRPr="00A23FB4">
        <w:rPr>
          <w:rFonts w:ascii="Calibri" w:hAnsi="Calibri"/>
        </w:rPr>
        <w:t xml:space="preserve">Oś podbudowy w planie powinna być zgodna z dokumentacją projektową z tolerancją  </w:t>
      </w:r>
      <w:r w:rsidRPr="00A23FB4">
        <w:rPr>
          <w:rFonts w:ascii="Calibri" w:hAnsi="Calibri"/>
        </w:rPr>
        <w:sym w:font="Symbol" w:char="F0B1"/>
      </w:r>
      <w:r w:rsidRPr="00A23FB4">
        <w:rPr>
          <w:rFonts w:ascii="Calibri" w:hAnsi="Calibri"/>
        </w:rPr>
        <w:t xml:space="preserve"> 5 cm.</w:t>
      </w:r>
    </w:p>
    <w:p w14:paraId="3C6BC073" w14:textId="77777777" w:rsidR="00B77350" w:rsidRPr="00A23FB4" w:rsidRDefault="00B77350" w:rsidP="00B77350">
      <w:pPr>
        <w:numPr>
          <w:ilvl w:val="12"/>
          <w:numId w:val="0"/>
        </w:numPr>
        <w:rPr>
          <w:rFonts w:ascii="Calibri" w:hAnsi="Calibri"/>
        </w:rPr>
      </w:pPr>
      <w:r w:rsidRPr="00A23FB4">
        <w:rPr>
          <w:rFonts w:ascii="Calibri" w:hAnsi="Calibri"/>
          <w:b/>
        </w:rPr>
        <w:t xml:space="preserve">6.4.7. </w:t>
      </w:r>
      <w:r w:rsidRPr="00A23FB4">
        <w:rPr>
          <w:rFonts w:ascii="Calibri" w:hAnsi="Calibri"/>
        </w:rPr>
        <w:t>Grubość podbudowy</w:t>
      </w:r>
    </w:p>
    <w:p w14:paraId="0CC2C9DB" w14:textId="77777777" w:rsidR="00B77350" w:rsidRPr="00A23FB4" w:rsidRDefault="00B77350" w:rsidP="00B77350">
      <w:pPr>
        <w:numPr>
          <w:ilvl w:val="12"/>
          <w:numId w:val="0"/>
        </w:numPr>
        <w:rPr>
          <w:rFonts w:ascii="Calibri" w:hAnsi="Calibri"/>
        </w:rPr>
      </w:pPr>
      <w:r w:rsidRPr="00A23FB4">
        <w:rPr>
          <w:rFonts w:ascii="Calibri" w:hAnsi="Calibri"/>
        </w:rPr>
        <w:t xml:space="preserve">Grubość podbudowy powinna być zgodna z dokumentacją projektową z tolerancją: </w:t>
      </w:r>
      <w:r w:rsidRPr="00A23FB4">
        <w:rPr>
          <w:rFonts w:ascii="Calibri" w:hAnsi="Calibri"/>
        </w:rPr>
        <w:sym w:font="Symbol" w:char="F0B1"/>
      </w:r>
      <w:r w:rsidRPr="00A23FB4">
        <w:rPr>
          <w:rFonts w:ascii="Calibri" w:hAnsi="Calibri"/>
        </w:rPr>
        <w:t xml:space="preserve"> 1 cm,</w:t>
      </w:r>
    </w:p>
    <w:p w14:paraId="27C69460" w14:textId="77777777" w:rsidR="00B77350" w:rsidRPr="00A23FB4" w:rsidRDefault="00B77350" w:rsidP="00B77350">
      <w:pPr>
        <w:rPr>
          <w:rFonts w:ascii="Calibri" w:hAnsi="Calibri"/>
          <w:b/>
        </w:rPr>
      </w:pPr>
      <w:bookmarkStart w:id="575" w:name="_Toc32644951"/>
    </w:p>
    <w:p w14:paraId="0836FB19" w14:textId="77777777" w:rsidR="00B77350" w:rsidRPr="00A23FB4" w:rsidRDefault="00B77350" w:rsidP="00B77350">
      <w:pPr>
        <w:rPr>
          <w:rFonts w:ascii="Calibri" w:hAnsi="Calibri"/>
          <w:b/>
        </w:rPr>
      </w:pPr>
      <w:r w:rsidRPr="00A23FB4">
        <w:rPr>
          <w:rFonts w:ascii="Calibri" w:hAnsi="Calibri"/>
          <w:b/>
        </w:rPr>
        <w:t>7. OBMIAR ROBÓT</w:t>
      </w:r>
      <w:bookmarkEnd w:id="575"/>
    </w:p>
    <w:p w14:paraId="589BBB4E" w14:textId="77777777" w:rsidR="007C04C0" w:rsidRDefault="007C04C0" w:rsidP="00B77350">
      <w:pPr>
        <w:numPr>
          <w:ilvl w:val="12"/>
          <w:numId w:val="0"/>
        </w:numPr>
        <w:rPr>
          <w:rFonts w:ascii="Calibri" w:hAnsi="Calibri"/>
        </w:rPr>
      </w:pPr>
    </w:p>
    <w:p w14:paraId="0AAC3009" w14:textId="0ABB904E" w:rsidR="007C04C0" w:rsidRDefault="007C04C0" w:rsidP="00B77350">
      <w:pPr>
        <w:numPr>
          <w:ilvl w:val="12"/>
          <w:numId w:val="0"/>
        </w:numPr>
        <w:rPr>
          <w:rFonts w:ascii="Calibri" w:hAnsi="Calibri"/>
        </w:rPr>
      </w:pPr>
      <w:r>
        <w:rPr>
          <w:rFonts w:ascii="Calibri" w:hAnsi="Calibri"/>
        </w:rPr>
        <w:t>Kontrakt ryczałtowy</w:t>
      </w:r>
    </w:p>
    <w:p w14:paraId="317331C2" w14:textId="5795034B" w:rsidR="00B77350" w:rsidRPr="00A23FB4" w:rsidRDefault="00B77350" w:rsidP="00B77350">
      <w:pPr>
        <w:numPr>
          <w:ilvl w:val="12"/>
          <w:numId w:val="0"/>
        </w:numPr>
        <w:rPr>
          <w:rFonts w:ascii="Calibri" w:hAnsi="Calibri"/>
        </w:rPr>
      </w:pPr>
      <w:r w:rsidRPr="00A23FB4">
        <w:rPr>
          <w:rFonts w:ascii="Calibri" w:hAnsi="Calibri"/>
        </w:rPr>
        <w:t xml:space="preserve">Ogólne zasady obmiaru robót podano w </w:t>
      </w:r>
      <w:r w:rsidR="00F265B8">
        <w:rPr>
          <w:rFonts w:ascii="Calibri" w:hAnsi="Calibri"/>
        </w:rPr>
        <w:t>ST</w:t>
      </w:r>
      <w:r w:rsidRPr="00A23FB4">
        <w:rPr>
          <w:rFonts w:ascii="Calibri" w:hAnsi="Calibri"/>
        </w:rPr>
        <w:t>WiORB D-M-00.00.00 „Wymagania ogólne” pkt 7.</w:t>
      </w:r>
    </w:p>
    <w:p w14:paraId="1A3A6871" w14:textId="77777777" w:rsidR="00B77350" w:rsidRPr="00A23FB4" w:rsidRDefault="00B77350" w:rsidP="00B77350">
      <w:pPr>
        <w:rPr>
          <w:rFonts w:ascii="Calibri" w:hAnsi="Calibri"/>
          <w:b/>
        </w:rPr>
      </w:pPr>
      <w:bookmarkStart w:id="576" w:name="_Toc32644952"/>
    </w:p>
    <w:p w14:paraId="4DC57E88" w14:textId="77777777" w:rsidR="00B77350" w:rsidRPr="00A23FB4" w:rsidRDefault="00B77350" w:rsidP="00B77350">
      <w:pPr>
        <w:rPr>
          <w:rFonts w:ascii="Calibri" w:hAnsi="Calibri"/>
          <w:b/>
        </w:rPr>
      </w:pPr>
      <w:r w:rsidRPr="00A23FB4">
        <w:rPr>
          <w:rFonts w:ascii="Calibri" w:hAnsi="Calibri"/>
          <w:b/>
        </w:rPr>
        <w:t>8. ODBIÓR ROBÓT</w:t>
      </w:r>
      <w:bookmarkEnd w:id="576"/>
    </w:p>
    <w:p w14:paraId="2C940C30" w14:textId="260FBEE3" w:rsidR="00B77350" w:rsidRPr="00A23FB4" w:rsidRDefault="00B77350" w:rsidP="00B77350">
      <w:pPr>
        <w:numPr>
          <w:ilvl w:val="12"/>
          <w:numId w:val="0"/>
        </w:numPr>
        <w:rPr>
          <w:rFonts w:ascii="Calibri" w:hAnsi="Calibri"/>
        </w:rPr>
      </w:pPr>
      <w:r w:rsidRPr="00A23FB4">
        <w:rPr>
          <w:rFonts w:ascii="Calibri" w:hAnsi="Calibri"/>
        </w:rPr>
        <w:t xml:space="preserve">Ogólne zasady odbioru robót podano w </w:t>
      </w:r>
      <w:r w:rsidR="00F265B8">
        <w:rPr>
          <w:rFonts w:ascii="Calibri" w:hAnsi="Calibri"/>
        </w:rPr>
        <w:t>ST</w:t>
      </w:r>
      <w:r w:rsidRPr="00A23FB4">
        <w:rPr>
          <w:rFonts w:ascii="Calibri" w:hAnsi="Calibri"/>
        </w:rPr>
        <w:t>WiORB D-M-00.00.00 „Wymagania ogólne” pkt 8.</w:t>
      </w:r>
    </w:p>
    <w:p w14:paraId="46A44CAD" w14:textId="72DF3EF9" w:rsidR="00B77350" w:rsidRPr="00A23FB4" w:rsidRDefault="00B77350" w:rsidP="00B77350">
      <w:pPr>
        <w:numPr>
          <w:ilvl w:val="12"/>
          <w:numId w:val="0"/>
        </w:numPr>
        <w:rPr>
          <w:rFonts w:ascii="Calibri" w:hAnsi="Calibri"/>
        </w:rPr>
      </w:pPr>
      <w:r w:rsidRPr="00A23FB4">
        <w:rPr>
          <w:rFonts w:ascii="Calibri" w:hAnsi="Calibri"/>
        </w:rPr>
        <w:t xml:space="preserve">Roboty uznaje się za zgodne z dokumentacją projektową, </w:t>
      </w:r>
      <w:r w:rsidR="00F265B8">
        <w:rPr>
          <w:rFonts w:ascii="Calibri" w:hAnsi="Calibri"/>
        </w:rPr>
        <w:t>ST</w:t>
      </w:r>
      <w:r w:rsidRPr="00A23FB4">
        <w:rPr>
          <w:rFonts w:ascii="Calibri" w:hAnsi="Calibri"/>
        </w:rPr>
        <w:t>WiORB i wymaganiami Inżyniera/Kierownika projektu, jeżeli wszystkie pomiary i badania z zachowaniem tolerancji wg pkt 6 dały wyniki pozytywne.</w:t>
      </w:r>
    </w:p>
    <w:p w14:paraId="281E6E61" w14:textId="77777777" w:rsidR="00B77350" w:rsidRPr="00A23FB4" w:rsidRDefault="00B77350" w:rsidP="00B77350">
      <w:pPr>
        <w:rPr>
          <w:rFonts w:ascii="Calibri" w:hAnsi="Calibri"/>
          <w:b/>
        </w:rPr>
      </w:pPr>
      <w:bookmarkStart w:id="577" w:name="_Toc32644953"/>
    </w:p>
    <w:p w14:paraId="327D3770" w14:textId="77777777" w:rsidR="00B77350" w:rsidRPr="00A23FB4" w:rsidRDefault="00B77350" w:rsidP="00B77350">
      <w:pPr>
        <w:rPr>
          <w:rFonts w:ascii="Calibri" w:hAnsi="Calibri"/>
          <w:b/>
        </w:rPr>
      </w:pPr>
      <w:r w:rsidRPr="00A23FB4">
        <w:rPr>
          <w:rFonts w:ascii="Calibri" w:hAnsi="Calibri"/>
          <w:b/>
        </w:rPr>
        <w:t>9. PODSTAWA PŁATNOŚCI</w:t>
      </w:r>
      <w:bookmarkEnd w:id="577"/>
    </w:p>
    <w:p w14:paraId="0CE04F4A" w14:textId="77777777" w:rsidR="007C04C0" w:rsidRDefault="007C04C0" w:rsidP="007C04C0">
      <w:pPr>
        <w:numPr>
          <w:ilvl w:val="12"/>
          <w:numId w:val="0"/>
        </w:numPr>
        <w:rPr>
          <w:rFonts w:ascii="Calibri" w:hAnsi="Calibri"/>
        </w:rPr>
      </w:pPr>
    </w:p>
    <w:p w14:paraId="73F192F0" w14:textId="159EEC6A" w:rsidR="007C04C0" w:rsidRDefault="007C04C0" w:rsidP="007C04C0">
      <w:pPr>
        <w:numPr>
          <w:ilvl w:val="12"/>
          <w:numId w:val="0"/>
        </w:numPr>
        <w:rPr>
          <w:rFonts w:ascii="Calibri" w:hAnsi="Calibri"/>
        </w:rPr>
      </w:pPr>
      <w:r>
        <w:rPr>
          <w:rFonts w:ascii="Calibri" w:hAnsi="Calibri"/>
        </w:rPr>
        <w:t>Kontrakt ryczałtowy</w:t>
      </w:r>
    </w:p>
    <w:p w14:paraId="756F88AB" w14:textId="355825F7" w:rsidR="00B77350" w:rsidRPr="00A23FB4" w:rsidRDefault="00B77350" w:rsidP="00B77350">
      <w:pPr>
        <w:numPr>
          <w:ilvl w:val="12"/>
          <w:numId w:val="0"/>
        </w:numPr>
        <w:rPr>
          <w:rFonts w:ascii="Calibri" w:hAnsi="Calibri"/>
        </w:rPr>
      </w:pPr>
      <w:r w:rsidRPr="00A23FB4">
        <w:rPr>
          <w:rFonts w:ascii="Calibri" w:hAnsi="Calibri"/>
        </w:rPr>
        <w:t xml:space="preserve">Ogólne ustalenia dotyczące podstawy płatności podano w </w:t>
      </w:r>
      <w:r w:rsidR="00F265B8">
        <w:rPr>
          <w:rFonts w:ascii="Calibri" w:hAnsi="Calibri"/>
        </w:rPr>
        <w:t>ST</w:t>
      </w:r>
      <w:r w:rsidRPr="00A23FB4">
        <w:rPr>
          <w:rFonts w:ascii="Calibri" w:hAnsi="Calibri"/>
        </w:rPr>
        <w:t>WiORB D-M-00.00.00 „Wymagania ogólne” pkt 9.</w:t>
      </w:r>
      <w:bookmarkStart w:id="578" w:name="_Toc32644954"/>
    </w:p>
    <w:p w14:paraId="52DAEDF3" w14:textId="77777777" w:rsidR="00B77350" w:rsidRDefault="00B77350" w:rsidP="00B77350">
      <w:pPr>
        <w:rPr>
          <w:rFonts w:ascii="Calibri" w:hAnsi="Calibri"/>
          <w:b/>
        </w:rPr>
      </w:pPr>
    </w:p>
    <w:p w14:paraId="239913AC" w14:textId="77777777" w:rsidR="007C04C0" w:rsidRPr="00A23FB4" w:rsidRDefault="007C04C0" w:rsidP="00B77350">
      <w:pPr>
        <w:rPr>
          <w:rFonts w:ascii="Calibri" w:hAnsi="Calibri"/>
          <w:b/>
        </w:rPr>
      </w:pPr>
    </w:p>
    <w:p w14:paraId="33E7576C" w14:textId="77777777" w:rsidR="00B77350" w:rsidRPr="00A23FB4" w:rsidRDefault="00B77350" w:rsidP="00B77350">
      <w:pPr>
        <w:rPr>
          <w:rFonts w:ascii="Calibri" w:hAnsi="Calibri"/>
          <w:b/>
        </w:rPr>
      </w:pPr>
      <w:r w:rsidRPr="00A23FB4">
        <w:rPr>
          <w:rFonts w:ascii="Calibri" w:hAnsi="Calibri"/>
          <w:b/>
        </w:rPr>
        <w:t xml:space="preserve">10. </w:t>
      </w:r>
      <w:bookmarkEnd w:id="578"/>
      <w:r w:rsidRPr="00A23FB4">
        <w:rPr>
          <w:rFonts w:ascii="Calibri" w:hAnsi="Calibri"/>
          <w:b/>
        </w:rPr>
        <w:t>PRZEPISY ZWIĄZANE</w:t>
      </w:r>
    </w:p>
    <w:p w14:paraId="4D11A366" w14:textId="77777777" w:rsidR="00B77350" w:rsidRPr="00A23FB4" w:rsidRDefault="00B77350" w:rsidP="00B77350">
      <w:pPr>
        <w:pStyle w:val="Nagwek4"/>
        <w:rPr>
          <w:rFonts w:ascii="Calibri" w:hAnsi="Calibri"/>
        </w:rPr>
      </w:pPr>
      <w:r w:rsidRPr="00A23FB4">
        <w:rPr>
          <w:rFonts w:ascii="Calibri" w:hAnsi="Calibri"/>
        </w:rPr>
        <w:t>10.1. Normy</w:t>
      </w:r>
    </w:p>
    <w:tbl>
      <w:tblPr>
        <w:tblW w:w="9790" w:type="dxa"/>
        <w:tblLayout w:type="fixed"/>
        <w:tblCellMar>
          <w:left w:w="70" w:type="dxa"/>
          <w:right w:w="70" w:type="dxa"/>
        </w:tblCellMar>
        <w:tblLook w:val="0000" w:firstRow="0" w:lastRow="0" w:firstColumn="0" w:lastColumn="0" w:noHBand="0" w:noVBand="0"/>
      </w:tblPr>
      <w:tblGrid>
        <w:gridCol w:w="496"/>
        <w:gridCol w:w="1984"/>
        <w:gridCol w:w="7310"/>
      </w:tblGrid>
      <w:tr w:rsidR="00B77350" w:rsidRPr="00A23FB4" w14:paraId="3CF754E4" w14:textId="77777777" w:rsidTr="00B77350">
        <w:tc>
          <w:tcPr>
            <w:tcW w:w="496" w:type="dxa"/>
          </w:tcPr>
          <w:p w14:paraId="38B65FBD" w14:textId="77777777" w:rsidR="00B77350" w:rsidRPr="00067D67" w:rsidRDefault="00B77350" w:rsidP="00B77350">
            <w:pPr>
              <w:rPr>
                <w:rFonts w:ascii="Calibri" w:hAnsi="Calibri"/>
                <w:sz w:val="18"/>
                <w:szCs w:val="18"/>
              </w:rPr>
            </w:pPr>
            <w:r w:rsidRPr="00067D67">
              <w:rPr>
                <w:rFonts w:ascii="Calibri" w:hAnsi="Calibri"/>
                <w:sz w:val="18"/>
                <w:szCs w:val="18"/>
              </w:rPr>
              <w:t>1.</w:t>
            </w:r>
          </w:p>
        </w:tc>
        <w:tc>
          <w:tcPr>
            <w:tcW w:w="1984" w:type="dxa"/>
          </w:tcPr>
          <w:p w14:paraId="4783ADC7" w14:textId="77777777" w:rsidR="00B77350" w:rsidRPr="00067D67" w:rsidRDefault="00B77350" w:rsidP="00B77350">
            <w:pPr>
              <w:rPr>
                <w:rFonts w:ascii="Calibri" w:hAnsi="Calibri"/>
                <w:sz w:val="18"/>
                <w:szCs w:val="18"/>
              </w:rPr>
            </w:pPr>
            <w:r w:rsidRPr="00067D67">
              <w:rPr>
                <w:rFonts w:ascii="Calibri" w:hAnsi="Calibri"/>
                <w:sz w:val="18"/>
                <w:szCs w:val="18"/>
              </w:rPr>
              <w:t>PN-EN 196-1:1996</w:t>
            </w:r>
          </w:p>
        </w:tc>
        <w:tc>
          <w:tcPr>
            <w:tcW w:w="7310" w:type="dxa"/>
          </w:tcPr>
          <w:p w14:paraId="21AE7626" w14:textId="77777777" w:rsidR="00B77350" w:rsidRPr="00067D67" w:rsidRDefault="00B77350" w:rsidP="00B77350">
            <w:pPr>
              <w:rPr>
                <w:rFonts w:ascii="Calibri" w:hAnsi="Calibri"/>
                <w:sz w:val="18"/>
                <w:szCs w:val="18"/>
              </w:rPr>
            </w:pPr>
            <w:r w:rsidRPr="00067D67">
              <w:rPr>
                <w:rFonts w:ascii="Calibri" w:hAnsi="Calibri"/>
                <w:sz w:val="18"/>
                <w:szCs w:val="18"/>
              </w:rPr>
              <w:t>Metody badania cementu. Oznaczanie wytrzymałości</w:t>
            </w:r>
          </w:p>
        </w:tc>
      </w:tr>
      <w:tr w:rsidR="00B77350" w:rsidRPr="00A23FB4" w14:paraId="44E9E831" w14:textId="77777777" w:rsidTr="00B77350">
        <w:tc>
          <w:tcPr>
            <w:tcW w:w="496" w:type="dxa"/>
          </w:tcPr>
          <w:p w14:paraId="7780746F" w14:textId="77777777" w:rsidR="00B77350" w:rsidRPr="00067D67" w:rsidRDefault="00B77350" w:rsidP="00B77350">
            <w:pPr>
              <w:rPr>
                <w:rFonts w:ascii="Calibri" w:hAnsi="Calibri"/>
                <w:sz w:val="18"/>
                <w:szCs w:val="18"/>
              </w:rPr>
            </w:pPr>
            <w:r w:rsidRPr="00067D67">
              <w:rPr>
                <w:rFonts w:ascii="Calibri" w:hAnsi="Calibri"/>
                <w:sz w:val="18"/>
                <w:szCs w:val="18"/>
              </w:rPr>
              <w:t>2.</w:t>
            </w:r>
          </w:p>
        </w:tc>
        <w:tc>
          <w:tcPr>
            <w:tcW w:w="1984" w:type="dxa"/>
          </w:tcPr>
          <w:p w14:paraId="15FFBCB7" w14:textId="77777777" w:rsidR="00B77350" w:rsidRPr="00067D67" w:rsidRDefault="00B77350" w:rsidP="00B77350">
            <w:pPr>
              <w:rPr>
                <w:rFonts w:ascii="Calibri" w:hAnsi="Calibri"/>
                <w:sz w:val="18"/>
                <w:szCs w:val="18"/>
              </w:rPr>
            </w:pPr>
            <w:r w:rsidRPr="00067D67">
              <w:rPr>
                <w:rFonts w:ascii="Calibri" w:hAnsi="Calibri"/>
                <w:sz w:val="18"/>
                <w:szCs w:val="18"/>
              </w:rPr>
              <w:t>PN-EN 196-2:1996</w:t>
            </w:r>
          </w:p>
        </w:tc>
        <w:tc>
          <w:tcPr>
            <w:tcW w:w="7310" w:type="dxa"/>
          </w:tcPr>
          <w:p w14:paraId="0EF76BA9" w14:textId="77777777" w:rsidR="00B77350" w:rsidRPr="00067D67" w:rsidRDefault="00B77350" w:rsidP="00B77350">
            <w:pPr>
              <w:rPr>
                <w:rFonts w:ascii="Calibri" w:hAnsi="Calibri"/>
                <w:sz w:val="18"/>
                <w:szCs w:val="18"/>
              </w:rPr>
            </w:pPr>
            <w:r w:rsidRPr="00067D67">
              <w:rPr>
                <w:rFonts w:ascii="Calibri" w:hAnsi="Calibri"/>
                <w:sz w:val="18"/>
                <w:szCs w:val="18"/>
              </w:rPr>
              <w:t>Metody badania cementu. Analiza chemiczna cementu</w:t>
            </w:r>
          </w:p>
        </w:tc>
      </w:tr>
      <w:tr w:rsidR="00B77350" w:rsidRPr="00A23FB4" w14:paraId="5F9FC732" w14:textId="77777777" w:rsidTr="00B77350">
        <w:tc>
          <w:tcPr>
            <w:tcW w:w="496" w:type="dxa"/>
          </w:tcPr>
          <w:p w14:paraId="5C7D89AC" w14:textId="77777777" w:rsidR="00B77350" w:rsidRPr="00067D67" w:rsidRDefault="00B77350" w:rsidP="00B77350">
            <w:pPr>
              <w:rPr>
                <w:rFonts w:ascii="Calibri" w:hAnsi="Calibri"/>
                <w:sz w:val="18"/>
                <w:szCs w:val="18"/>
              </w:rPr>
            </w:pPr>
            <w:r w:rsidRPr="00067D67">
              <w:rPr>
                <w:rFonts w:ascii="Calibri" w:hAnsi="Calibri"/>
                <w:sz w:val="18"/>
                <w:szCs w:val="18"/>
              </w:rPr>
              <w:t>3.</w:t>
            </w:r>
          </w:p>
        </w:tc>
        <w:tc>
          <w:tcPr>
            <w:tcW w:w="1984" w:type="dxa"/>
          </w:tcPr>
          <w:p w14:paraId="57177E93" w14:textId="77777777" w:rsidR="00B77350" w:rsidRPr="00067D67" w:rsidRDefault="00B77350" w:rsidP="00B77350">
            <w:pPr>
              <w:rPr>
                <w:rFonts w:ascii="Calibri" w:hAnsi="Calibri"/>
                <w:sz w:val="18"/>
                <w:szCs w:val="18"/>
                <w:lang w:val="en-US"/>
              </w:rPr>
            </w:pPr>
            <w:r w:rsidRPr="00067D67">
              <w:rPr>
                <w:rFonts w:ascii="Calibri" w:hAnsi="Calibri"/>
                <w:sz w:val="18"/>
                <w:szCs w:val="18"/>
                <w:lang w:val="en-US"/>
              </w:rPr>
              <w:t>PN-EN 196-3:1996</w:t>
            </w:r>
          </w:p>
        </w:tc>
        <w:tc>
          <w:tcPr>
            <w:tcW w:w="7310" w:type="dxa"/>
          </w:tcPr>
          <w:p w14:paraId="3B5FA73E" w14:textId="77777777" w:rsidR="00B77350" w:rsidRPr="00067D67" w:rsidRDefault="00B77350" w:rsidP="00B77350">
            <w:pPr>
              <w:rPr>
                <w:rFonts w:ascii="Calibri" w:hAnsi="Calibri"/>
                <w:sz w:val="18"/>
                <w:szCs w:val="18"/>
              </w:rPr>
            </w:pPr>
            <w:r w:rsidRPr="00067D67">
              <w:rPr>
                <w:rFonts w:ascii="Calibri" w:hAnsi="Calibri"/>
                <w:sz w:val="18"/>
                <w:szCs w:val="18"/>
              </w:rPr>
              <w:t>Metody badania cementu. Oznaczanie czasu wiązania  i stałości objętości</w:t>
            </w:r>
          </w:p>
        </w:tc>
      </w:tr>
      <w:tr w:rsidR="00B77350" w:rsidRPr="00A23FB4" w14:paraId="7DDF5179" w14:textId="77777777" w:rsidTr="00B77350">
        <w:tc>
          <w:tcPr>
            <w:tcW w:w="496" w:type="dxa"/>
          </w:tcPr>
          <w:p w14:paraId="0FA9A28F" w14:textId="77777777" w:rsidR="00B77350" w:rsidRPr="00067D67" w:rsidRDefault="00B77350" w:rsidP="00B77350">
            <w:pPr>
              <w:rPr>
                <w:rFonts w:ascii="Calibri" w:hAnsi="Calibri"/>
                <w:sz w:val="18"/>
                <w:szCs w:val="18"/>
              </w:rPr>
            </w:pPr>
            <w:r w:rsidRPr="00067D67">
              <w:rPr>
                <w:rFonts w:ascii="Calibri" w:hAnsi="Calibri"/>
                <w:sz w:val="18"/>
                <w:szCs w:val="18"/>
              </w:rPr>
              <w:t>4.</w:t>
            </w:r>
          </w:p>
        </w:tc>
        <w:tc>
          <w:tcPr>
            <w:tcW w:w="1984" w:type="dxa"/>
          </w:tcPr>
          <w:p w14:paraId="79CDEFCF" w14:textId="77777777" w:rsidR="00B77350" w:rsidRPr="00067D67" w:rsidRDefault="00B77350" w:rsidP="00B77350">
            <w:pPr>
              <w:rPr>
                <w:rFonts w:ascii="Calibri" w:hAnsi="Calibri"/>
                <w:sz w:val="18"/>
                <w:szCs w:val="18"/>
                <w:lang w:val="en-US"/>
              </w:rPr>
            </w:pPr>
            <w:r w:rsidRPr="00067D67">
              <w:rPr>
                <w:rFonts w:ascii="Calibri" w:hAnsi="Calibri"/>
                <w:sz w:val="18"/>
                <w:szCs w:val="18"/>
                <w:lang w:val="en-US"/>
              </w:rPr>
              <w:t>PN-EN 196-6:1996</w:t>
            </w:r>
          </w:p>
        </w:tc>
        <w:tc>
          <w:tcPr>
            <w:tcW w:w="7310" w:type="dxa"/>
          </w:tcPr>
          <w:p w14:paraId="6C75CA50" w14:textId="77777777" w:rsidR="00B77350" w:rsidRPr="00067D67" w:rsidRDefault="00B77350" w:rsidP="00B77350">
            <w:pPr>
              <w:rPr>
                <w:rFonts w:ascii="Calibri" w:hAnsi="Calibri"/>
                <w:sz w:val="18"/>
                <w:szCs w:val="18"/>
              </w:rPr>
            </w:pPr>
            <w:r w:rsidRPr="00067D67">
              <w:rPr>
                <w:rFonts w:ascii="Calibri" w:hAnsi="Calibri"/>
                <w:sz w:val="18"/>
                <w:szCs w:val="18"/>
              </w:rPr>
              <w:t>Metody badania cementu. Oznaczanie stopnia zmielenia</w:t>
            </w:r>
          </w:p>
        </w:tc>
      </w:tr>
      <w:tr w:rsidR="00B77350" w:rsidRPr="00A23FB4" w14:paraId="5B803F48" w14:textId="77777777" w:rsidTr="00B77350">
        <w:tc>
          <w:tcPr>
            <w:tcW w:w="496" w:type="dxa"/>
          </w:tcPr>
          <w:p w14:paraId="7B459D3E" w14:textId="77777777" w:rsidR="00B77350" w:rsidRPr="00067D67" w:rsidRDefault="00B77350" w:rsidP="00B77350">
            <w:pPr>
              <w:rPr>
                <w:rFonts w:ascii="Calibri" w:hAnsi="Calibri"/>
                <w:sz w:val="18"/>
                <w:szCs w:val="18"/>
              </w:rPr>
            </w:pPr>
            <w:r w:rsidRPr="00067D67">
              <w:rPr>
                <w:rFonts w:ascii="Calibri" w:hAnsi="Calibri"/>
                <w:sz w:val="18"/>
                <w:szCs w:val="18"/>
              </w:rPr>
              <w:t>5.</w:t>
            </w:r>
          </w:p>
        </w:tc>
        <w:tc>
          <w:tcPr>
            <w:tcW w:w="1984" w:type="dxa"/>
          </w:tcPr>
          <w:p w14:paraId="38AE5154" w14:textId="77777777" w:rsidR="00B77350" w:rsidRPr="00067D67" w:rsidRDefault="00B77350" w:rsidP="00B77350">
            <w:pPr>
              <w:rPr>
                <w:rFonts w:ascii="Calibri" w:hAnsi="Calibri"/>
                <w:sz w:val="18"/>
                <w:szCs w:val="18"/>
                <w:lang w:val="en-US"/>
              </w:rPr>
            </w:pPr>
            <w:r w:rsidRPr="00067D67">
              <w:rPr>
                <w:rFonts w:ascii="Calibri" w:hAnsi="Calibri"/>
                <w:sz w:val="18"/>
                <w:szCs w:val="18"/>
                <w:lang w:val="en-US"/>
              </w:rPr>
              <w:t>PN-EN 197-1:2002</w:t>
            </w:r>
          </w:p>
        </w:tc>
        <w:tc>
          <w:tcPr>
            <w:tcW w:w="7310" w:type="dxa"/>
          </w:tcPr>
          <w:p w14:paraId="1272DC75" w14:textId="77777777" w:rsidR="00B77350" w:rsidRPr="00067D67" w:rsidRDefault="00B77350" w:rsidP="00B77350">
            <w:pPr>
              <w:rPr>
                <w:rFonts w:ascii="Calibri" w:hAnsi="Calibri"/>
                <w:sz w:val="18"/>
                <w:szCs w:val="18"/>
              </w:rPr>
            </w:pPr>
            <w:r w:rsidRPr="00067D67">
              <w:rPr>
                <w:rFonts w:ascii="Calibri" w:hAnsi="Calibri"/>
                <w:sz w:val="18"/>
                <w:szCs w:val="18"/>
              </w:rPr>
              <w:t>Cement.Część 1: Skład, wymagania i kryteria zgodności dotyczące cementu powszechnego użytku</w:t>
            </w:r>
          </w:p>
        </w:tc>
      </w:tr>
      <w:tr w:rsidR="00B77350" w:rsidRPr="00A23FB4" w14:paraId="76509372" w14:textId="77777777" w:rsidTr="00B77350">
        <w:tc>
          <w:tcPr>
            <w:tcW w:w="496" w:type="dxa"/>
          </w:tcPr>
          <w:p w14:paraId="620891A2" w14:textId="77777777" w:rsidR="00B77350" w:rsidRPr="00067D67" w:rsidRDefault="00B77350" w:rsidP="00B77350">
            <w:pPr>
              <w:rPr>
                <w:rFonts w:ascii="Calibri" w:hAnsi="Calibri"/>
                <w:sz w:val="18"/>
                <w:szCs w:val="18"/>
              </w:rPr>
            </w:pPr>
            <w:r w:rsidRPr="00067D67">
              <w:rPr>
                <w:rFonts w:ascii="Calibri" w:hAnsi="Calibri"/>
                <w:sz w:val="18"/>
                <w:szCs w:val="18"/>
              </w:rPr>
              <w:t>6.</w:t>
            </w:r>
          </w:p>
        </w:tc>
        <w:tc>
          <w:tcPr>
            <w:tcW w:w="1984" w:type="dxa"/>
          </w:tcPr>
          <w:p w14:paraId="7DC7E3F1" w14:textId="77777777" w:rsidR="00B77350" w:rsidRPr="00067D67" w:rsidRDefault="00B77350" w:rsidP="00B77350">
            <w:pPr>
              <w:rPr>
                <w:rFonts w:ascii="Calibri" w:hAnsi="Calibri"/>
                <w:sz w:val="18"/>
                <w:szCs w:val="18"/>
                <w:lang w:val="en-US"/>
              </w:rPr>
            </w:pPr>
            <w:r w:rsidRPr="00067D67">
              <w:rPr>
                <w:rFonts w:ascii="Calibri" w:hAnsi="Calibri"/>
                <w:sz w:val="18"/>
                <w:szCs w:val="18"/>
                <w:lang w:val="en-US"/>
              </w:rPr>
              <w:t>PN-EN 206-1:2000</w:t>
            </w:r>
          </w:p>
        </w:tc>
        <w:tc>
          <w:tcPr>
            <w:tcW w:w="7310" w:type="dxa"/>
          </w:tcPr>
          <w:p w14:paraId="78808A8F" w14:textId="77777777" w:rsidR="00B77350" w:rsidRPr="00067D67" w:rsidRDefault="00B77350" w:rsidP="00B77350">
            <w:pPr>
              <w:rPr>
                <w:rFonts w:ascii="Calibri" w:hAnsi="Calibri"/>
                <w:sz w:val="18"/>
                <w:szCs w:val="18"/>
              </w:rPr>
            </w:pPr>
            <w:r w:rsidRPr="00067D67">
              <w:rPr>
                <w:rFonts w:ascii="Calibri" w:hAnsi="Calibri"/>
                <w:sz w:val="18"/>
                <w:szCs w:val="18"/>
              </w:rPr>
              <w:t>Beton. Część 1: Wymagania, właściwości, produkcja i zgodność</w:t>
            </w:r>
          </w:p>
        </w:tc>
      </w:tr>
      <w:tr w:rsidR="00B77350" w:rsidRPr="00A23FB4" w14:paraId="77B16E04" w14:textId="77777777" w:rsidTr="00B77350">
        <w:tc>
          <w:tcPr>
            <w:tcW w:w="496" w:type="dxa"/>
          </w:tcPr>
          <w:p w14:paraId="0C35743A" w14:textId="77777777" w:rsidR="00B77350" w:rsidRPr="00067D67" w:rsidRDefault="00B77350" w:rsidP="00B77350">
            <w:pPr>
              <w:rPr>
                <w:rFonts w:ascii="Calibri" w:hAnsi="Calibri"/>
                <w:sz w:val="18"/>
                <w:szCs w:val="18"/>
              </w:rPr>
            </w:pPr>
            <w:r w:rsidRPr="00067D67">
              <w:rPr>
                <w:rFonts w:ascii="Calibri" w:hAnsi="Calibri"/>
                <w:sz w:val="18"/>
                <w:szCs w:val="18"/>
              </w:rPr>
              <w:t xml:space="preserve">  7.</w:t>
            </w:r>
          </w:p>
        </w:tc>
        <w:tc>
          <w:tcPr>
            <w:tcW w:w="1984" w:type="dxa"/>
          </w:tcPr>
          <w:p w14:paraId="79B899A0" w14:textId="77777777" w:rsidR="00B77350" w:rsidRPr="00067D67" w:rsidRDefault="00B77350" w:rsidP="00B77350">
            <w:pPr>
              <w:rPr>
                <w:rFonts w:ascii="Calibri" w:hAnsi="Calibri"/>
                <w:sz w:val="18"/>
                <w:szCs w:val="18"/>
                <w:lang w:val="en-US"/>
              </w:rPr>
            </w:pPr>
            <w:r w:rsidRPr="00067D67">
              <w:rPr>
                <w:rFonts w:ascii="Calibri" w:hAnsi="Calibri"/>
                <w:sz w:val="18"/>
                <w:szCs w:val="18"/>
                <w:lang w:val="en-US"/>
              </w:rPr>
              <w:t>PN-EN 480-11:2000</w:t>
            </w:r>
          </w:p>
        </w:tc>
        <w:tc>
          <w:tcPr>
            <w:tcW w:w="7310" w:type="dxa"/>
          </w:tcPr>
          <w:p w14:paraId="39EA970C" w14:textId="77777777" w:rsidR="00B77350" w:rsidRPr="00067D67" w:rsidRDefault="00B77350" w:rsidP="00B77350">
            <w:pPr>
              <w:rPr>
                <w:rFonts w:ascii="Calibri" w:hAnsi="Calibri"/>
                <w:sz w:val="18"/>
                <w:szCs w:val="18"/>
              </w:rPr>
            </w:pPr>
            <w:r w:rsidRPr="00067D67">
              <w:rPr>
                <w:rFonts w:ascii="Calibri" w:hAnsi="Calibri"/>
                <w:sz w:val="18"/>
                <w:szCs w:val="18"/>
              </w:rPr>
              <w:t>Domieszki do betonu, zaprawy i zaczynu. Metody badań. Oznaczanie charakterystyki porów powietrznych w stwardniałym betonie</w:t>
            </w:r>
          </w:p>
        </w:tc>
      </w:tr>
      <w:tr w:rsidR="00B77350" w:rsidRPr="00A23FB4" w14:paraId="06D2A39A" w14:textId="77777777" w:rsidTr="00B77350">
        <w:tc>
          <w:tcPr>
            <w:tcW w:w="496" w:type="dxa"/>
          </w:tcPr>
          <w:p w14:paraId="6CD6744E" w14:textId="77777777" w:rsidR="00B77350" w:rsidRPr="00067D67" w:rsidRDefault="00B77350" w:rsidP="00B77350">
            <w:pPr>
              <w:rPr>
                <w:rFonts w:ascii="Calibri" w:hAnsi="Calibri"/>
                <w:sz w:val="18"/>
                <w:szCs w:val="18"/>
              </w:rPr>
            </w:pPr>
            <w:r w:rsidRPr="00067D67">
              <w:rPr>
                <w:rFonts w:ascii="Calibri" w:hAnsi="Calibri"/>
                <w:sz w:val="18"/>
                <w:szCs w:val="18"/>
              </w:rPr>
              <w:t xml:space="preserve">  8.</w:t>
            </w:r>
          </w:p>
        </w:tc>
        <w:tc>
          <w:tcPr>
            <w:tcW w:w="1984" w:type="dxa"/>
          </w:tcPr>
          <w:p w14:paraId="7A38C10E" w14:textId="77777777" w:rsidR="00B77350" w:rsidRPr="00067D67" w:rsidRDefault="00B77350" w:rsidP="00B77350">
            <w:pPr>
              <w:rPr>
                <w:rFonts w:ascii="Calibri" w:hAnsi="Calibri"/>
                <w:sz w:val="18"/>
                <w:szCs w:val="18"/>
                <w:lang w:val="en-US"/>
              </w:rPr>
            </w:pPr>
            <w:r w:rsidRPr="00067D67">
              <w:rPr>
                <w:rFonts w:ascii="Calibri" w:hAnsi="Calibri"/>
                <w:sz w:val="18"/>
                <w:szCs w:val="18"/>
                <w:lang w:val="en-US"/>
              </w:rPr>
              <w:t>PN-EN 934-2:1999</w:t>
            </w:r>
          </w:p>
        </w:tc>
        <w:tc>
          <w:tcPr>
            <w:tcW w:w="7310" w:type="dxa"/>
          </w:tcPr>
          <w:p w14:paraId="6E532580" w14:textId="77777777" w:rsidR="00B77350" w:rsidRPr="00067D67" w:rsidRDefault="00B77350" w:rsidP="00B77350">
            <w:pPr>
              <w:rPr>
                <w:rFonts w:ascii="Calibri" w:hAnsi="Calibri"/>
                <w:sz w:val="18"/>
                <w:szCs w:val="18"/>
              </w:rPr>
            </w:pPr>
            <w:r w:rsidRPr="00067D67">
              <w:rPr>
                <w:rFonts w:ascii="Calibri" w:hAnsi="Calibri"/>
                <w:sz w:val="18"/>
                <w:szCs w:val="18"/>
              </w:rPr>
              <w:t>Domieszki do betonu, zaprawy i zaczynu. Domieszki do betonu. Definicje i wymagania</w:t>
            </w:r>
          </w:p>
        </w:tc>
      </w:tr>
      <w:tr w:rsidR="00B77350" w:rsidRPr="00A23FB4" w14:paraId="7D022C0A" w14:textId="77777777" w:rsidTr="00B77350">
        <w:tc>
          <w:tcPr>
            <w:tcW w:w="496" w:type="dxa"/>
          </w:tcPr>
          <w:p w14:paraId="59DB0769" w14:textId="77777777" w:rsidR="00B77350" w:rsidRPr="00067D67" w:rsidRDefault="00B77350" w:rsidP="00B77350">
            <w:pPr>
              <w:rPr>
                <w:rFonts w:ascii="Calibri" w:hAnsi="Calibri"/>
                <w:sz w:val="18"/>
                <w:szCs w:val="18"/>
              </w:rPr>
            </w:pPr>
            <w:r w:rsidRPr="00067D67">
              <w:rPr>
                <w:rFonts w:ascii="Calibri" w:hAnsi="Calibri"/>
                <w:sz w:val="18"/>
                <w:szCs w:val="18"/>
              </w:rPr>
              <w:t xml:space="preserve">  9.</w:t>
            </w:r>
          </w:p>
        </w:tc>
        <w:tc>
          <w:tcPr>
            <w:tcW w:w="1984" w:type="dxa"/>
          </w:tcPr>
          <w:p w14:paraId="42B83763" w14:textId="77777777" w:rsidR="00B77350" w:rsidRPr="00067D67" w:rsidRDefault="00B77350" w:rsidP="00B77350">
            <w:pPr>
              <w:rPr>
                <w:rFonts w:ascii="Calibri" w:hAnsi="Calibri"/>
                <w:sz w:val="18"/>
                <w:szCs w:val="18"/>
              </w:rPr>
            </w:pPr>
            <w:r w:rsidRPr="00067D67">
              <w:rPr>
                <w:rFonts w:ascii="Calibri" w:hAnsi="Calibri"/>
                <w:sz w:val="18"/>
                <w:szCs w:val="18"/>
              </w:rPr>
              <w:t>PN-B-04481:1988</w:t>
            </w:r>
          </w:p>
        </w:tc>
        <w:tc>
          <w:tcPr>
            <w:tcW w:w="7310" w:type="dxa"/>
          </w:tcPr>
          <w:p w14:paraId="3031AE8D" w14:textId="77777777" w:rsidR="00B77350" w:rsidRPr="00067D67" w:rsidRDefault="00B77350" w:rsidP="00B77350">
            <w:pPr>
              <w:rPr>
                <w:rFonts w:ascii="Calibri" w:hAnsi="Calibri"/>
                <w:sz w:val="18"/>
                <w:szCs w:val="18"/>
              </w:rPr>
            </w:pPr>
            <w:r w:rsidRPr="00067D67">
              <w:rPr>
                <w:rFonts w:ascii="Calibri" w:hAnsi="Calibri"/>
                <w:sz w:val="18"/>
                <w:szCs w:val="18"/>
              </w:rPr>
              <w:t>Grunty budowlane. Badania laboratoryjne</w:t>
            </w:r>
          </w:p>
        </w:tc>
      </w:tr>
      <w:tr w:rsidR="00B77350" w:rsidRPr="00A23FB4" w14:paraId="6D09D8ED" w14:textId="77777777" w:rsidTr="00B77350">
        <w:tc>
          <w:tcPr>
            <w:tcW w:w="496" w:type="dxa"/>
          </w:tcPr>
          <w:p w14:paraId="57606D26" w14:textId="77777777" w:rsidR="00B77350" w:rsidRPr="00067D67" w:rsidRDefault="00B77350" w:rsidP="00B77350">
            <w:pPr>
              <w:rPr>
                <w:rFonts w:ascii="Calibri" w:hAnsi="Calibri"/>
                <w:sz w:val="18"/>
                <w:szCs w:val="18"/>
              </w:rPr>
            </w:pPr>
            <w:r w:rsidRPr="00067D67">
              <w:rPr>
                <w:rFonts w:ascii="Calibri" w:hAnsi="Calibri"/>
                <w:sz w:val="18"/>
                <w:szCs w:val="18"/>
              </w:rPr>
              <w:t>10.</w:t>
            </w:r>
          </w:p>
        </w:tc>
        <w:tc>
          <w:tcPr>
            <w:tcW w:w="1984" w:type="dxa"/>
          </w:tcPr>
          <w:p w14:paraId="29482BD7" w14:textId="77777777" w:rsidR="00B77350" w:rsidRPr="00067D67" w:rsidRDefault="00B77350" w:rsidP="00B77350">
            <w:pPr>
              <w:rPr>
                <w:rFonts w:ascii="Calibri" w:hAnsi="Calibri"/>
                <w:sz w:val="18"/>
                <w:szCs w:val="18"/>
              </w:rPr>
            </w:pPr>
            <w:r w:rsidRPr="00067D67">
              <w:rPr>
                <w:rFonts w:ascii="Calibri" w:hAnsi="Calibri"/>
                <w:sz w:val="18"/>
                <w:szCs w:val="18"/>
              </w:rPr>
              <w:t>PN-B-06250:1988</w:t>
            </w:r>
          </w:p>
        </w:tc>
        <w:tc>
          <w:tcPr>
            <w:tcW w:w="7310" w:type="dxa"/>
          </w:tcPr>
          <w:p w14:paraId="50C69332" w14:textId="77777777" w:rsidR="00B77350" w:rsidRPr="00067D67" w:rsidRDefault="00B77350" w:rsidP="00B77350">
            <w:pPr>
              <w:rPr>
                <w:rFonts w:ascii="Calibri" w:hAnsi="Calibri"/>
                <w:sz w:val="18"/>
                <w:szCs w:val="18"/>
              </w:rPr>
            </w:pPr>
            <w:r w:rsidRPr="00067D67">
              <w:rPr>
                <w:rFonts w:ascii="Calibri" w:hAnsi="Calibri"/>
                <w:sz w:val="18"/>
                <w:szCs w:val="18"/>
              </w:rPr>
              <w:t>Beton zwykły</w:t>
            </w:r>
          </w:p>
        </w:tc>
      </w:tr>
      <w:tr w:rsidR="00B77350" w:rsidRPr="00A23FB4" w14:paraId="7F25BB2F" w14:textId="77777777" w:rsidTr="00B77350">
        <w:tc>
          <w:tcPr>
            <w:tcW w:w="496" w:type="dxa"/>
          </w:tcPr>
          <w:p w14:paraId="2DD3EE4A" w14:textId="77777777" w:rsidR="00B77350" w:rsidRPr="00067D67" w:rsidRDefault="00B77350" w:rsidP="00B77350">
            <w:pPr>
              <w:rPr>
                <w:rFonts w:ascii="Calibri" w:hAnsi="Calibri"/>
                <w:sz w:val="18"/>
                <w:szCs w:val="18"/>
              </w:rPr>
            </w:pPr>
            <w:r w:rsidRPr="00067D67">
              <w:rPr>
                <w:rFonts w:ascii="Calibri" w:hAnsi="Calibri"/>
                <w:sz w:val="18"/>
                <w:szCs w:val="18"/>
              </w:rPr>
              <w:t>11.</w:t>
            </w:r>
          </w:p>
        </w:tc>
        <w:tc>
          <w:tcPr>
            <w:tcW w:w="1984" w:type="dxa"/>
          </w:tcPr>
          <w:p w14:paraId="36695FD4" w14:textId="77777777" w:rsidR="00B77350" w:rsidRPr="00067D67" w:rsidRDefault="00B77350" w:rsidP="00B77350">
            <w:pPr>
              <w:rPr>
                <w:rFonts w:ascii="Calibri" w:hAnsi="Calibri"/>
                <w:sz w:val="18"/>
                <w:szCs w:val="18"/>
              </w:rPr>
            </w:pPr>
            <w:r w:rsidRPr="00067D67">
              <w:rPr>
                <w:rFonts w:ascii="Calibri" w:hAnsi="Calibri"/>
                <w:sz w:val="18"/>
                <w:szCs w:val="18"/>
              </w:rPr>
              <w:t xml:space="preserve">PN-B-06714-15:1991 </w:t>
            </w:r>
          </w:p>
        </w:tc>
        <w:tc>
          <w:tcPr>
            <w:tcW w:w="7310" w:type="dxa"/>
          </w:tcPr>
          <w:p w14:paraId="038E24C8" w14:textId="77777777" w:rsidR="00B77350" w:rsidRPr="00067D67" w:rsidRDefault="00B77350" w:rsidP="00B77350">
            <w:pPr>
              <w:rPr>
                <w:rFonts w:ascii="Calibri" w:hAnsi="Calibri"/>
                <w:sz w:val="18"/>
                <w:szCs w:val="18"/>
              </w:rPr>
            </w:pPr>
            <w:r w:rsidRPr="00067D67">
              <w:rPr>
                <w:rFonts w:ascii="Calibri" w:hAnsi="Calibri"/>
                <w:sz w:val="18"/>
                <w:szCs w:val="18"/>
              </w:rPr>
              <w:t>Kruszywa mineralne. Badania. Oznaczanie składu ziarnowego</w:t>
            </w:r>
          </w:p>
        </w:tc>
      </w:tr>
      <w:tr w:rsidR="00B77350" w:rsidRPr="00A23FB4" w14:paraId="2E3C521A" w14:textId="77777777" w:rsidTr="00B77350">
        <w:tc>
          <w:tcPr>
            <w:tcW w:w="496" w:type="dxa"/>
          </w:tcPr>
          <w:p w14:paraId="658AF28F" w14:textId="77777777" w:rsidR="00B77350" w:rsidRPr="00067D67" w:rsidRDefault="00B77350" w:rsidP="00B77350">
            <w:pPr>
              <w:rPr>
                <w:rFonts w:ascii="Calibri" w:hAnsi="Calibri"/>
                <w:sz w:val="18"/>
                <w:szCs w:val="18"/>
              </w:rPr>
            </w:pPr>
            <w:r w:rsidRPr="00067D67">
              <w:rPr>
                <w:rFonts w:ascii="Calibri" w:hAnsi="Calibri"/>
                <w:sz w:val="18"/>
                <w:szCs w:val="18"/>
              </w:rPr>
              <w:t>12.</w:t>
            </w:r>
          </w:p>
        </w:tc>
        <w:tc>
          <w:tcPr>
            <w:tcW w:w="1984" w:type="dxa"/>
          </w:tcPr>
          <w:p w14:paraId="1E8834CA" w14:textId="77777777" w:rsidR="00B77350" w:rsidRPr="00067D67" w:rsidRDefault="00B77350" w:rsidP="00B77350">
            <w:pPr>
              <w:rPr>
                <w:rFonts w:ascii="Calibri" w:hAnsi="Calibri"/>
                <w:sz w:val="18"/>
                <w:szCs w:val="18"/>
              </w:rPr>
            </w:pPr>
            <w:r w:rsidRPr="00067D67">
              <w:rPr>
                <w:rFonts w:ascii="Calibri" w:hAnsi="Calibri"/>
                <w:sz w:val="18"/>
                <w:szCs w:val="18"/>
              </w:rPr>
              <w:t>PN-B-06714-37:1980</w:t>
            </w:r>
          </w:p>
        </w:tc>
        <w:tc>
          <w:tcPr>
            <w:tcW w:w="7310" w:type="dxa"/>
          </w:tcPr>
          <w:p w14:paraId="6A5DDEE1" w14:textId="77777777" w:rsidR="00B77350" w:rsidRPr="00067D67" w:rsidRDefault="00B77350" w:rsidP="00B77350">
            <w:pPr>
              <w:rPr>
                <w:rFonts w:ascii="Calibri" w:hAnsi="Calibri"/>
                <w:sz w:val="18"/>
                <w:szCs w:val="18"/>
              </w:rPr>
            </w:pPr>
            <w:r w:rsidRPr="00067D67">
              <w:rPr>
                <w:rFonts w:ascii="Calibri" w:hAnsi="Calibri"/>
                <w:sz w:val="18"/>
                <w:szCs w:val="18"/>
              </w:rPr>
              <w:t>Kruszywa mineralne. Badania. Oznaczanie rozpadu krzemianowego</w:t>
            </w:r>
          </w:p>
        </w:tc>
      </w:tr>
      <w:tr w:rsidR="00B77350" w:rsidRPr="00A23FB4" w14:paraId="60C40B4C" w14:textId="77777777" w:rsidTr="00B77350">
        <w:tc>
          <w:tcPr>
            <w:tcW w:w="496" w:type="dxa"/>
          </w:tcPr>
          <w:p w14:paraId="5B268CA8" w14:textId="77777777" w:rsidR="00B77350" w:rsidRPr="00067D67" w:rsidRDefault="00B77350" w:rsidP="00B77350">
            <w:pPr>
              <w:rPr>
                <w:rFonts w:ascii="Calibri" w:hAnsi="Calibri"/>
                <w:sz w:val="18"/>
                <w:szCs w:val="18"/>
              </w:rPr>
            </w:pPr>
            <w:r w:rsidRPr="00067D67">
              <w:rPr>
                <w:rFonts w:ascii="Calibri" w:hAnsi="Calibri"/>
                <w:sz w:val="18"/>
                <w:szCs w:val="18"/>
              </w:rPr>
              <w:t>13.</w:t>
            </w:r>
          </w:p>
        </w:tc>
        <w:tc>
          <w:tcPr>
            <w:tcW w:w="1984" w:type="dxa"/>
          </w:tcPr>
          <w:p w14:paraId="70EEE15E" w14:textId="77777777" w:rsidR="00B77350" w:rsidRPr="00067D67" w:rsidRDefault="00B77350" w:rsidP="00B77350">
            <w:pPr>
              <w:rPr>
                <w:rFonts w:ascii="Calibri" w:hAnsi="Calibri"/>
                <w:sz w:val="18"/>
                <w:szCs w:val="18"/>
              </w:rPr>
            </w:pPr>
            <w:r w:rsidRPr="00067D67">
              <w:rPr>
                <w:rFonts w:ascii="Calibri" w:hAnsi="Calibri"/>
                <w:sz w:val="18"/>
                <w:szCs w:val="18"/>
              </w:rPr>
              <w:t>PN-B-06714-39: 1978</w:t>
            </w:r>
          </w:p>
        </w:tc>
        <w:tc>
          <w:tcPr>
            <w:tcW w:w="7310" w:type="dxa"/>
          </w:tcPr>
          <w:p w14:paraId="1748D946" w14:textId="77777777" w:rsidR="00B77350" w:rsidRPr="00067D67" w:rsidRDefault="00B77350" w:rsidP="00B77350">
            <w:pPr>
              <w:rPr>
                <w:rFonts w:ascii="Calibri" w:hAnsi="Calibri"/>
                <w:sz w:val="18"/>
                <w:szCs w:val="18"/>
              </w:rPr>
            </w:pPr>
            <w:r w:rsidRPr="00067D67">
              <w:rPr>
                <w:rFonts w:ascii="Calibri" w:hAnsi="Calibri"/>
                <w:sz w:val="18"/>
                <w:szCs w:val="18"/>
              </w:rPr>
              <w:t>Kruszywa mineralne. Badania. Oznaczanie rozpadu żelazawego</w:t>
            </w:r>
          </w:p>
        </w:tc>
      </w:tr>
      <w:tr w:rsidR="00B77350" w:rsidRPr="00A23FB4" w14:paraId="4CFA0BAC" w14:textId="77777777" w:rsidTr="00B77350">
        <w:tc>
          <w:tcPr>
            <w:tcW w:w="496" w:type="dxa"/>
          </w:tcPr>
          <w:p w14:paraId="5BF25DA4" w14:textId="77777777" w:rsidR="00B77350" w:rsidRPr="00067D67" w:rsidRDefault="00B77350" w:rsidP="00B77350">
            <w:pPr>
              <w:rPr>
                <w:rFonts w:ascii="Calibri" w:hAnsi="Calibri"/>
                <w:sz w:val="18"/>
                <w:szCs w:val="18"/>
              </w:rPr>
            </w:pPr>
            <w:r w:rsidRPr="00067D67">
              <w:rPr>
                <w:rFonts w:ascii="Calibri" w:hAnsi="Calibri"/>
                <w:sz w:val="18"/>
                <w:szCs w:val="18"/>
              </w:rPr>
              <w:t>14.</w:t>
            </w:r>
          </w:p>
        </w:tc>
        <w:tc>
          <w:tcPr>
            <w:tcW w:w="1984" w:type="dxa"/>
          </w:tcPr>
          <w:p w14:paraId="7BFF4028" w14:textId="77777777" w:rsidR="00B77350" w:rsidRPr="00067D67" w:rsidRDefault="00B77350" w:rsidP="00B77350">
            <w:pPr>
              <w:rPr>
                <w:rFonts w:ascii="Calibri" w:hAnsi="Calibri"/>
                <w:sz w:val="18"/>
                <w:szCs w:val="18"/>
              </w:rPr>
            </w:pPr>
            <w:r w:rsidRPr="00067D67">
              <w:rPr>
                <w:rFonts w:ascii="Calibri" w:hAnsi="Calibri"/>
                <w:sz w:val="18"/>
                <w:szCs w:val="18"/>
              </w:rPr>
              <w:t>PN-B-11111: 1996</w:t>
            </w:r>
          </w:p>
        </w:tc>
        <w:tc>
          <w:tcPr>
            <w:tcW w:w="7310" w:type="dxa"/>
          </w:tcPr>
          <w:p w14:paraId="0A4D27BC" w14:textId="77777777" w:rsidR="00B77350" w:rsidRPr="00067D67" w:rsidRDefault="00B77350" w:rsidP="00B77350">
            <w:pPr>
              <w:rPr>
                <w:rFonts w:ascii="Calibri" w:hAnsi="Calibri"/>
                <w:sz w:val="18"/>
                <w:szCs w:val="18"/>
              </w:rPr>
            </w:pPr>
            <w:r w:rsidRPr="00067D67">
              <w:rPr>
                <w:rFonts w:ascii="Calibri" w:hAnsi="Calibri"/>
                <w:sz w:val="18"/>
                <w:szCs w:val="18"/>
              </w:rPr>
              <w:t>Kruszywa mineralne. Kruszywa naturalne do nawierzchni drogowych; żwir i mieszanka</w:t>
            </w:r>
          </w:p>
        </w:tc>
      </w:tr>
      <w:tr w:rsidR="00B77350" w:rsidRPr="00A23FB4" w14:paraId="2E16DCC7" w14:textId="77777777" w:rsidTr="00B77350">
        <w:tc>
          <w:tcPr>
            <w:tcW w:w="496" w:type="dxa"/>
          </w:tcPr>
          <w:p w14:paraId="2F9E9E0D" w14:textId="77777777" w:rsidR="00B77350" w:rsidRPr="00067D67" w:rsidRDefault="00B77350" w:rsidP="00B77350">
            <w:pPr>
              <w:rPr>
                <w:rFonts w:ascii="Calibri" w:hAnsi="Calibri"/>
                <w:sz w:val="18"/>
                <w:szCs w:val="18"/>
              </w:rPr>
            </w:pPr>
            <w:r w:rsidRPr="00067D67">
              <w:rPr>
                <w:rFonts w:ascii="Calibri" w:hAnsi="Calibri"/>
                <w:sz w:val="18"/>
                <w:szCs w:val="18"/>
              </w:rPr>
              <w:t>15.</w:t>
            </w:r>
          </w:p>
        </w:tc>
        <w:tc>
          <w:tcPr>
            <w:tcW w:w="1984" w:type="dxa"/>
          </w:tcPr>
          <w:p w14:paraId="73222705" w14:textId="77777777" w:rsidR="00B77350" w:rsidRPr="00067D67" w:rsidRDefault="00B77350" w:rsidP="00B77350">
            <w:pPr>
              <w:rPr>
                <w:rFonts w:ascii="Calibri" w:hAnsi="Calibri"/>
                <w:sz w:val="18"/>
                <w:szCs w:val="18"/>
              </w:rPr>
            </w:pPr>
            <w:r w:rsidRPr="00067D67">
              <w:rPr>
                <w:rFonts w:ascii="Calibri" w:hAnsi="Calibri"/>
                <w:sz w:val="18"/>
                <w:szCs w:val="18"/>
              </w:rPr>
              <w:t>PN-B-11112: 1996</w:t>
            </w:r>
          </w:p>
        </w:tc>
        <w:tc>
          <w:tcPr>
            <w:tcW w:w="7310" w:type="dxa"/>
          </w:tcPr>
          <w:p w14:paraId="003FE3E8" w14:textId="77777777" w:rsidR="00B77350" w:rsidRPr="00067D67" w:rsidRDefault="00B77350" w:rsidP="00B77350">
            <w:pPr>
              <w:rPr>
                <w:rFonts w:ascii="Calibri" w:hAnsi="Calibri"/>
                <w:sz w:val="18"/>
                <w:szCs w:val="18"/>
              </w:rPr>
            </w:pPr>
            <w:r w:rsidRPr="00067D67">
              <w:rPr>
                <w:rFonts w:ascii="Calibri" w:hAnsi="Calibri"/>
                <w:sz w:val="18"/>
                <w:szCs w:val="18"/>
              </w:rPr>
              <w:t>Kruszywa mineralne. Kruszywa łamane do nawierzchni drogowych</w:t>
            </w:r>
          </w:p>
        </w:tc>
      </w:tr>
      <w:tr w:rsidR="00B77350" w:rsidRPr="00A23FB4" w14:paraId="6262CB87" w14:textId="77777777" w:rsidTr="00B77350">
        <w:tc>
          <w:tcPr>
            <w:tcW w:w="496" w:type="dxa"/>
          </w:tcPr>
          <w:p w14:paraId="3E207930" w14:textId="77777777" w:rsidR="00B77350" w:rsidRPr="00067D67" w:rsidRDefault="00B77350" w:rsidP="00B77350">
            <w:pPr>
              <w:rPr>
                <w:rFonts w:ascii="Calibri" w:hAnsi="Calibri"/>
                <w:sz w:val="18"/>
                <w:szCs w:val="18"/>
              </w:rPr>
            </w:pPr>
            <w:r w:rsidRPr="00067D67">
              <w:rPr>
                <w:rFonts w:ascii="Calibri" w:hAnsi="Calibri"/>
                <w:sz w:val="18"/>
                <w:szCs w:val="18"/>
              </w:rPr>
              <w:t>16.</w:t>
            </w:r>
          </w:p>
        </w:tc>
        <w:tc>
          <w:tcPr>
            <w:tcW w:w="1984" w:type="dxa"/>
          </w:tcPr>
          <w:p w14:paraId="7ED605D1" w14:textId="77777777" w:rsidR="00B77350" w:rsidRPr="00067D67" w:rsidRDefault="00B77350" w:rsidP="00B77350">
            <w:pPr>
              <w:rPr>
                <w:rFonts w:ascii="Calibri" w:hAnsi="Calibri"/>
                <w:sz w:val="18"/>
                <w:szCs w:val="18"/>
              </w:rPr>
            </w:pPr>
            <w:r w:rsidRPr="00067D67">
              <w:rPr>
                <w:rFonts w:ascii="Calibri" w:hAnsi="Calibri"/>
                <w:sz w:val="18"/>
                <w:szCs w:val="18"/>
              </w:rPr>
              <w:t>PN-B-11113: 1996</w:t>
            </w:r>
          </w:p>
        </w:tc>
        <w:tc>
          <w:tcPr>
            <w:tcW w:w="7310" w:type="dxa"/>
          </w:tcPr>
          <w:p w14:paraId="73AA2BE4" w14:textId="77777777" w:rsidR="00B77350" w:rsidRPr="00067D67" w:rsidRDefault="00B77350" w:rsidP="00B77350">
            <w:pPr>
              <w:rPr>
                <w:rFonts w:ascii="Calibri" w:hAnsi="Calibri"/>
                <w:sz w:val="18"/>
                <w:szCs w:val="18"/>
              </w:rPr>
            </w:pPr>
            <w:r w:rsidRPr="00067D67">
              <w:rPr>
                <w:rFonts w:ascii="Calibri" w:hAnsi="Calibri"/>
                <w:sz w:val="18"/>
                <w:szCs w:val="18"/>
              </w:rPr>
              <w:t>Kruszywa mineralne. Kruszywa naturalne do nawierzchni drogowych; piasek</w:t>
            </w:r>
          </w:p>
        </w:tc>
      </w:tr>
      <w:tr w:rsidR="00B77350" w:rsidRPr="00A23FB4" w14:paraId="3F21B1CE" w14:textId="77777777" w:rsidTr="00B77350">
        <w:tc>
          <w:tcPr>
            <w:tcW w:w="496" w:type="dxa"/>
          </w:tcPr>
          <w:p w14:paraId="0326E412" w14:textId="77777777" w:rsidR="00B77350" w:rsidRPr="00067D67" w:rsidRDefault="00B77350" w:rsidP="00B77350">
            <w:pPr>
              <w:rPr>
                <w:rFonts w:ascii="Calibri" w:hAnsi="Calibri"/>
                <w:sz w:val="18"/>
                <w:szCs w:val="18"/>
              </w:rPr>
            </w:pPr>
            <w:r w:rsidRPr="00067D67">
              <w:rPr>
                <w:rFonts w:ascii="Calibri" w:hAnsi="Calibri"/>
                <w:sz w:val="18"/>
                <w:szCs w:val="18"/>
              </w:rPr>
              <w:t>17.</w:t>
            </w:r>
          </w:p>
        </w:tc>
        <w:tc>
          <w:tcPr>
            <w:tcW w:w="1984" w:type="dxa"/>
          </w:tcPr>
          <w:p w14:paraId="06083AD8" w14:textId="77777777" w:rsidR="00B77350" w:rsidRPr="00067D67" w:rsidRDefault="00B77350" w:rsidP="00B77350">
            <w:pPr>
              <w:rPr>
                <w:rFonts w:ascii="Calibri" w:hAnsi="Calibri"/>
                <w:sz w:val="18"/>
                <w:szCs w:val="18"/>
              </w:rPr>
            </w:pPr>
            <w:r w:rsidRPr="00067D67">
              <w:rPr>
                <w:rFonts w:ascii="Calibri" w:hAnsi="Calibri"/>
                <w:sz w:val="18"/>
                <w:szCs w:val="18"/>
              </w:rPr>
              <w:t>PN-B-23004: 1988</w:t>
            </w:r>
          </w:p>
        </w:tc>
        <w:tc>
          <w:tcPr>
            <w:tcW w:w="7310" w:type="dxa"/>
          </w:tcPr>
          <w:p w14:paraId="04C61BB5" w14:textId="77777777" w:rsidR="00B77350" w:rsidRPr="00067D67" w:rsidRDefault="00B77350" w:rsidP="00B77350">
            <w:pPr>
              <w:rPr>
                <w:rFonts w:ascii="Calibri" w:hAnsi="Calibri"/>
                <w:sz w:val="18"/>
                <w:szCs w:val="18"/>
              </w:rPr>
            </w:pPr>
            <w:r w:rsidRPr="00067D67">
              <w:rPr>
                <w:rFonts w:ascii="Calibri" w:hAnsi="Calibri"/>
                <w:sz w:val="18"/>
                <w:szCs w:val="18"/>
              </w:rPr>
              <w:t>Kruszywa mineralne. Kruszywa sztuczne. Kruszywa z żużla wielkopiecowego kawałkowego</w:t>
            </w:r>
          </w:p>
        </w:tc>
      </w:tr>
      <w:tr w:rsidR="00B77350" w:rsidRPr="00A23FB4" w14:paraId="2F932D02" w14:textId="77777777" w:rsidTr="00B77350">
        <w:tc>
          <w:tcPr>
            <w:tcW w:w="496" w:type="dxa"/>
          </w:tcPr>
          <w:p w14:paraId="0AAF0C3A" w14:textId="77777777" w:rsidR="00B77350" w:rsidRPr="00067D67" w:rsidRDefault="00B77350" w:rsidP="00B77350">
            <w:pPr>
              <w:rPr>
                <w:rFonts w:ascii="Calibri" w:hAnsi="Calibri"/>
                <w:sz w:val="18"/>
                <w:szCs w:val="18"/>
              </w:rPr>
            </w:pPr>
            <w:r w:rsidRPr="00067D67">
              <w:rPr>
                <w:rFonts w:ascii="Calibri" w:hAnsi="Calibri"/>
                <w:sz w:val="18"/>
                <w:szCs w:val="18"/>
              </w:rPr>
              <w:t>18.</w:t>
            </w:r>
          </w:p>
        </w:tc>
        <w:tc>
          <w:tcPr>
            <w:tcW w:w="1984" w:type="dxa"/>
          </w:tcPr>
          <w:p w14:paraId="7874B83A" w14:textId="77777777" w:rsidR="00B77350" w:rsidRPr="00067D67" w:rsidRDefault="00B77350" w:rsidP="00B77350">
            <w:pPr>
              <w:rPr>
                <w:rFonts w:ascii="Calibri" w:hAnsi="Calibri"/>
                <w:sz w:val="18"/>
                <w:szCs w:val="18"/>
              </w:rPr>
            </w:pPr>
            <w:r w:rsidRPr="00067D67">
              <w:rPr>
                <w:rFonts w:ascii="Calibri" w:hAnsi="Calibri"/>
                <w:sz w:val="18"/>
                <w:szCs w:val="18"/>
              </w:rPr>
              <w:t>PN-B-32250: 1988</w:t>
            </w:r>
          </w:p>
        </w:tc>
        <w:tc>
          <w:tcPr>
            <w:tcW w:w="7310" w:type="dxa"/>
          </w:tcPr>
          <w:p w14:paraId="30CC7AE3" w14:textId="77777777" w:rsidR="00B77350" w:rsidRPr="00067D67" w:rsidRDefault="00B77350" w:rsidP="00B77350">
            <w:pPr>
              <w:rPr>
                <w:rFonts w:ascii="Calibri" w:hAnsi="Calibri"/>
                <w:sz w:val="18"/>
                <w:szCs w:val="18"/>
              </w:rPr>
            </w:pPr>
            <w:r w:rsidRPr="00067D67">
              <w:rPr>
                <w:rFonts w:ascii="Calibri" w:hAnsi="Calibri"/>
                <w:sz w:val="18"/>
                <w:szCs w:val="18"/>
              </w:rPr>
              <w:t>Materiały budowlane. Woda do betonów i zapraw</w:t>
            </w:r>
          </w:p>
        </w:tc>
      </w:tr>
      <w:tr w:rsidR="00B77350" w:rsidRPr="00A23FB4" w14:paraId="0D091C25" w14:textId="77777777" w:rsidTr="00B77350">
        <w:tc>
          <w:tcPr>
            <w:tcW w:w="496" w:type="dxa"/>
          </w:tcPr>
          <w:p w14:paraId="3C3277B3" w14:textId="77777777" w:rsidR="00B77350" w:rsidRPr="00067D67" w:rsidRDefault="00B77350" w:rsidP="00B77350">
            <w:pPr>
              <w:rPr>
                <w:rFonts w:ascii="Calibri" w:hAnsi="Calibri"/>
                <w:sz w:val="18"/>
                <w:szCs w:val="18"/>
              </w:rPr>
            </w:pPr>
            <w:r w:rsidRPr="00067D67">
              <w:rPr>
                <w:rFonts w:ascii="Calibri" w:hAnsi="Calibri"/>
                <w:sz w:val="18"/>
                <w:szCs w:val="18"/>
              </w:rPr>
              <w:t>19.</w:t>
            </w:r>
          </w:p>
        </w:tc>
        <w:tc>
          <w:tcPr>
            <w:tcW w:w="1984" w:type="dxa"/>
          </w:tcPr>
          <w:p w14:paraId="7726DCEC" w14:textId="77777777" w:rsidR="00B77350" w:rsidRPr="00067D67" w:rsidRDefault="00B77350" w:rsidP="00B77350">
            <w:pPr>
              <w:rPr>
                <w:rFonts w:ascii="Calibri" w:hAnsi="Calibri"/>
                <w:sz w:val="18"/>
                <w:szCs w:val="18"/>
              </w:rPr>
            </w:pPr>
            <w:r w:rsidRPr="00067D67">
              <w:rPr>
                <w:rFonts w:ascii="Calibri" w:hAnsi="Calibri"/>
                <w:sz w:val="18"/>
                <w:szCs w:val="18"/>
              </w:rPr>
              <w:t>PN-P-01715 : 1985</w:t>
            </w:r>
          </w:p>
        </w:tc>
        <w:tc>
          <w:tcPr>
            <w:tcW w:w="7310" w:type="dxa"/>
          </w:tcPr>
          <w:p w14:paraId="28F65434" w14:textId="77777777" w:rsidR="00B77350" w:rsidRPr="00067D67" w:rsidRDefault="00B77350" w:rsidP="00B77350">
            <w:pPr>
              <w:rPr>
                <w:rFonts w:ascii="Calibri" w:hAnsi="Calibri"/>
                <w:sz w:val="18"/>
                <w:szCs w:val="18"/>
              </w:rPr>
            </w:pPr>
            <w:r w:rsidRPr="00067D67">
              <w:rPr>
                <w:rFonts w:ascii="Calibri" w:hAnsi="Calibri"/>
                <w:sz w:val="18"/>
                <w:szCs w:val="18"/>
              </w:rPr>
              <w:t>Włókniny. Zestawienie wskaźników technologicznych i użytkowych oraz metod badań</w:t>
            </w:r>
          </w:p>
        </w:tc>
      </w:tr>
      <w:tr w:rsidR="00B77350" w:rsidRPr="00A23FB4" w14:paraId="17847661" w14:textId="77777777" w:rsidTr="00B77350">
        <w:tc>
          <w:tcPr>
            <w:tcW w:w="496" w:type="dxa"/>
          </w:tcPr>
          <w:p w14:paraId="31897555" w14:textId="77777777" w:rsidR="00B77350" w:rsidRPr="00067D67" w:rsidRDefault="00B77350" w:rsidP="00B77350">
            <w:pPr>
              <w:rPr>
                <w:rFonts w:ascii="Calibri" w:hAnsi="Calibri"/>
                <w:sz w:val="18"/>
                <w:szCs w:val="18"/>
              </w:rPr>
            </w:pPr>
            <w:r w:rsidRPr="00067D67">
              <w:rPr>
                <w:rFonts w:ascii="Calibri" w:hAnsi="Calibri"/>
                <w:sz w:val="18"/>
                <w:szCs w:val="18"/>
              </w:rPr>
              <w:t>20.</w:t>
            </w:r>
          </w:p>
        </w:tc>
        <w:tc>
          <w:tcPr>
            <w:tcW w:w="1984" w:type="dxa"/>
          </w:tcPr>
          <w:p w14:paraId="01671912" w14:textId="77777777" w:rsidR="00B77350" w:rsidRPr="00067D67" w:rsidRDefault="00B77350" w:rsidP="00B77350">
            <w:pPr>
              <w:rPr>
                <w:rFonts w:ascii="Calibri" w:hAnsi="Calibri"/>
                <w:sz w:val="18"/>
                <w:szCs w:val="18"/>
              </w:rPr>
            </w:pPr>
            <w:r w:rsidRPr="00067D67">
              <w:rPr>
                <w:rFonts w:ascii="Calibri" w:hAnsi="Calibri"/>
                <w:sz w:val="18"/>
                <w:szCs w:val="18"/>
              </w:rPr>
              <w:t>PN-S-96013 : 1997</w:t>
            </w:r>
          </w:p>
        </w:tc>
        <w:tc>
          <w:tcPr>
            <w:tcW w:w="7310" w:type="dxa"/>
          </w:tcPr>
          <w:p w14:paraId="6B397D2F" w14:textId="77777777" w:rsidR="00B77350" w:rsidRPr="00067D67" w:rsidRDefault="00B77350" w:rsidP="00B77350">
            <w:pPr>
              <w:rPr>
                <w:rFonts w:ascii="Calibri" w:hAnsi="Calibri"/>
                <w:sz w:val="18"/>
                <w:szCs w:val="18"/>
              </w:rPr>
            </w:pPr>
            <w:r w:rsidRPr="00067D67">
              <w:rPr>
                <w:rFonts w:ascii="Calibri" w:hAnsi="Calibri"/>
                <w:sz w:val="18"/>
                <w:szCs w:val="18"/>
              </w:rPr>
              <w:t>Drogi samochodowe. Podbudowa z chudego betonu. Wymagania i badania</w:t>
            </w:r>
          </w:p>
        </w:tc>
      </w:tr>
      <w:tr w:rsidR="00B77350" w:rsidRPr="00A23FB4" w14:paraId="2B6BEB6D" w14:textId="77777777" w:rsidTr="00B77350">
        <w:tc>
          <w:tcPr>
            <w:tcW w:w="496" w:type="dxa"/>
          </w:tcPr>
          <w:p w14:paraId="4FBE2175" w14:textId="77777777" w:rsidR="00B77350" w:rsidRPr="00067D67" w:rsidRDefault="00B77350" w:rsidP="00B77350">
            <w:pPr>
              <w:rPr>
                <w:rFonts w:ascii="Calibri" w:hAnsi="Calibri"/>
                <w:sz w:val="18"/>
                <w:szCs w:val="18"/>
              </w:rPr>
            </w:pPr>
            <w:r w:rsidRPr="00067D67">
              <w:rPr>
                <w:rFonts w:ascii="Calibri" w:hAnsi="Calibri"/>
                <w:sz w:val="18"/>
                <w:szCs w:val="18"/>
              </w:rPr>
              <w:t>21.</w:t>
            </w:r>
          </w:p>
        </w:tc>
        <w:tc>
          <w:tcPr>
            <w:tcW w:w="1984" w:type="dxa"/>
          </w:tcPr>
          <w:p w14:paraId="4C166483" w14:textId="77777777" w:rsidR="00B77350" w:rsidRPr="00067D67" w:rsidRDefault="00B77350" w:rsidP="00B77350">
            <w:pPr>
              <w:rPr>
                <w:rFonts w:ascii="Calibri" w:hAnsi="Calibri"/>
                <w:sz w:val="18"/>
                <w:szCs w:val="18"/>
              </w:rPr>
            </w:pPr>
            <w:r w:rsidRPr="00067D67">
              <w:rPr>
                <w:rFonts w:ascii="Calibri" w:hAnsi="Calibri"/>
                <w:sz w:val="18"/>
                <w:szCs w:val="18"/>
              </w:rPr>
              <w:t>PN-S-96014 : 1997</w:t>
            </w:r>
          </w:p>
        </w:tc>
        <w:tc>
          <w:tcPr>
            <w:tcW w:w="7310" w:type="dxa"/>
          </w:tcPr>
          <w:p w14:paraId="121ADBB8" w14:textId="77777777" w:rsidR="00B77350" w:rsidRPr="00067D67" w:rsidRDefault="00B77350" w:rsidP="00B77350">
            <w:pPr>
              <w:rPr>
                <w:rFonts w:ascii="Calibri" w:hAnsi="Calibri"/>
                <w:sz w:val="18"/>
                <w:szCs w:val="18"/>
              </w:rPr>
            </w:pPr>
            <w:r w:rsidRPr="00067D67">
              <w:rPr>
                <w:rFonts w:ascii="Calibri" w:hAnsi="Calibri"/>
                <w:sz w:val="18"/>
                <w:szCs w:val="18"/>
              </w:rPr>
              <w:t>Drogi samochodowe i lotniskowe. Podbudowa z betonu cementowego pod nawierzchnię ulepszoną.</w:t>
            </w:r>
          </w:p>
        </w:tc>
      </w:tr>
      <w:tr w:rsidR="00B77350" w:rsidRPr="00A23FB4" w14:paraId="1CC9A280" w14:textId="77777777" w:rsidTr="00B77350">
        <w:tc>
          <w:tcPr>
            <w:tcW w:w="496" w:type="dxa"/>
          </w:tcPr>
          <w:p w14:paraId="6633764F" w14:textId="77777777" w:rsidR="00B77350" w:rsidRPr="00067D67" w:rsidRDefault="00B77350" w:rsidP="00B77350">
            <w:pPr>
              <w:rPr>
                <w:rFonts w:ascii="Calibri" w:hAnsi="Calibri"/>
                <w:sz w:val="18"/>
                <w:szCs w:val="18"/>
              </w:rPr>
            </w:pPr>
            <w:r w:rsidRPr="00067D67">
              <w:rPr>
                <w:rFonts w:ascii="Calibri" w:hAnsi="Calibri"/>
                <w:sz w:val="18"/>
                <w:szCs w:val="18"/>
              </w:rPr>
              <w:t>22.</w:t>
            </w:r>
          </w:p>
        </w:tc>
        <w:tc>
          <w:tcPr>
            <w:tcW w:w="1984" w:type="dxa"/>
          </w:tcPr>
          <w:p w14:paraId="5F4E9A00" w14:textId="77777777" w:rsidR="00B77350" w:rsidRPr="00067D67" w:rsidRDefault="00B77350" w:rsidP="00B77350">
            <w:pPr>
              <w:rPr>
                <w:rFonts w:ascii="Calibri" w:hAnsi="Calibri"/>
                <w:sz w:val="18"/>
                <w:szCs w:val="18"/>
              </w:rPr>
            </w:pPr>
            <w:r w:rsidRPr="00067D67">
              <w:rPr>
                <w:rFonts w:ascii="Calibri" w:hAnsi="Calibri"/>
                <w:sz w:val="18"/>
                <w:szCs w:val="18"/>
              </w:rPr>
              <w:t>BN-88/6731-08</w:t>
            </w:r>
          </w:p>
        </w:tc>
        <w:tc>
          <w:tcPr>
            <w:tcW w:w="7310" w:type="dxa"/>
          </w:tcPr>
          <w:p w14:paraId="6576E204" w14:textId="77777777" w:rsidR="00B77350" w:rsidRPr="00067D67" w:rsidRDefault="00B77350" w:rsidP="00B77350">
            <w:pPr>
              <w:rPr>
                <w:rFonts w:ascii="Calibri" w:hAnsi="Calibri"/>
                <w:sz w:val="18"/>
                <w:szCs w:val="18"/>
              </w:rPr>
            </w:pPr>
            <w:r w:rsidRPr="00067D67">
              <w:rPr>
                <w:rFonts w:ascii="Calibri" w:hAnsi="Calibri"/>
                <w:sz w:val="18"/>
                <w:szCs w:val="18"/>
              </w:rPr>
              <w:t>Cement. Transport i przechowywanie</w:t>
            </w:r>
          </w:p>
        </w:tc>
      </w:tr>
      <w:tr w:rsidR="00B77350" w:rsidRPr="00A23FB4" w14:paraId="6367EB5A" w14:textId="77777777" w:rsidTr="00B77350">
        <w:tc>
          <w:tcPr>
            <w:tcW w:w="496" w:type="dxa"/>
          </w:tcPr>
          <w:p w14:paraId="7E6BC351" w14:textId="77777777" w:rsidR="00B77350" w:rsidRPr="00067D67" w:rsidRDefault="00B77350" w:rsidP="00B77350">
            <w:pPr>
              <w:rPr>
                <w:rFonts w:ascii="Calibri" w:hAnsi="Calibri"/>
                <w:sz w:val="18"/>
                <w:szCs w:val="18"/>
              </w:rPr>
            </w:pPr>
            <w:r w:rsidRPr="00067D67">
              <w:rPr>
                <w:rFonts w:ascii="Calibri" w:hAnsi="Calibri"/>
                <w:sz w:val="18"/>
                <w:szCs w:val="18"/>
              </w:rPr>
              <w:t>23.</w:t>
            </w:r>
          </w:p>
        </w:tc>
        <w:tc>
          <w:tcPr>
            <w:tcW w:w="1984" w:type="dxa"/>
          </w:tcPr>
          <w:p w14:paraId="0730EAD2" w14:textId="77777777" w:rsidR="00B77350" w:rsidRPr="00067D67" w:rsidRDefault="00B77350" w:rsidP="00B77350">
            <w:pPr>
              <w:rPr>
                <w:rFonts w:ascii="Calibri" w:hAnsi="Calibri"/>
                <w:sz w:val="18"/>
                <w:szCs w:val="18"/>
              </w:rPr>
            </w:pPr>
            <w:r w:rsidRPr="00067D67">
              <w:rPr>
                <w:rFonts w:ascii="Calibri" w:hAnsi="Calibri"/>
                <w:sz w:val="18"/>
                <w:szCs w:val="18"/>
              </w:rPr>
              <w:t>BN-68/8931-04</w:t>
            </w:r>
          </w:p>
        </w:tc>
        <w:tc>
          <w:tcPr>
            <w:tcW w:w="7310" w:type="dxa"/>
          </w:tcPr>
          <w:p w14:paraId="7AAD3F72" w14:textId="77777777" w:rsidR="00B77350" w:rsidRPr="00067D67" w:rsidRDefault="00B77350" w:rsidP="00B77350">
            <w:pPr>
              <w:rPr>
                <w:rFonts w:ascii="Calibri" w:hAnsi="Calibri"/>
                <w:sz w:val="18"/>
                <w:szCs w:val="18"/>
              </w:rPr>
            </w:pPr>
            <w:r w:rsidRPr="00067D67">
              <w:rPr>
                <w:rFonts w:ascii="Calibri" w:hAnsi="Calibri"/>
                <w:sz w:val="18"/>
                <w:szCs w:val="18"/>
              </w:rPr>
              <w:t>Drogi samochodowe. Pomiar równości nawierzchni planografem i łatą.</w:t>
            </w:r>
          </w:p>
        </w:tc>
      </w:tr>
    </w:tbl>
    <w:p w14:paraId="24BCCE1D" w14:textId="77777777" w:rsidR="00B77350" w:rsidRPr="00A23FB4" w:rsidRDefault="00B77350" w:rsidP="00B77350">
      <w:pPr>
        <w:pStyle w:val="Nagwek4"/>
        <w:rPr>
          <w:rFonts w:ascii="Calibri" w:hAnsi="Calibri"/>
        </w:rPr>
      </w:pPr>
    </w:p>
    <w:p w14:paraId="7A3BF005" w14:textId="77777777" w:rsidR="00B77350" w:rsidRPr="00A23FB4" w:rsidRDefault="00B77350" w:rsidP="00B77350">
      <w:pPr>
        <w:pStyle w:val="Nagwek4"/>
        <w:rPr>
          <w:rFonts w:ascii="Calibri" w:hAnsi="Calibri"/>
        </w:rPr>
      </w:pPr>
      <w:r w:rsidRPr="00A23FB4">
        <w:rPr>
          <w:rFonts w:ascii="Calibri" w:hAnsi="Calibri"/>
        </w:rPr>
        <w:t>10.2. Inne dokumenty</w:t>
      </w:r>
    </w:p>
    <w:p w14:paraId="6873E693" w14:textId="77777777" w:rsidR="00B77350" w:rsidRPr="00067D67" w:rsidRDefault="00B77350" w:rsidP="00262498">
      <w:pPr>
        <w:numPr>
          <w:ilvl w:val="0"/>
          <w:numId w:val="62"/>
        </w:numPr>
        <w:ind w:left="0"/>
        <w:rPr>
          <w:rFonts w:ascii="Calibri" w:hAnsi="Calibri"/>
          <w:sz w:val="18"/>
          <w:szCs w:val="18"/>
        </w:rPr>
      </w:pPr>
      <w:r w:rsidRPr="00067D67">
        <w:rPr>
          <w:rFonts w:ascii="Calibri" w:hAnsi="Calibri"/>
          <w:sz w:val="18"/>
          <w:szCs w:val="18"/>
        </w:rPr>
        <w:t>Katalog typowych konstrukcji nawierzchni podatnych i półsztywnych, IBDiM, Warszawa, 1997</w:t>
      </w:r>
    </w:p>
    <w:p w14:paraId="416191DC" w14:textId="77777777" w:rsidR="00B77350" w:rsidRPr="00067D67" w:rsidRDefault="00B77350" w:rsidP="00262498">
      <w:pPr>
        <w:numPr>
          <w:ilvl w:val="0"/>
          <w:numId w:val="62"/>
        </w:numPr>
        <w:ind w:left="0"/>
        <w:rPr>
          <w:rFonts w:ascii="Calibri" w:hAnsi="Calibri"/>
          <w:sz w:val="18"/>
          <w:szCs w:val="18"/>
        </w:rPr>
      </w:pPr>
      <w:r w:rsidRPr="00067D67">
        <w:rPr>
          <w:rFonts w:ascii="Calibri" w:hAnsi="Calibri"/>
          <w:sz w:val="18"/>
          <w:szCs w:val="18"/>
        </w:rPr>
        <w:t xml:space="preserve"> Katalog typowych konstrukcji nawierzchni sztywnych, IBDiM, Warszawa, 2001</w:t>
      </w:r>
    </w:p>
    <w:p w14:paraId="6558F766" w14:textId="1BA5F51C" w:rsidR="007A7D7A" w:rsidRPr="00A23FB4" w:rsidRDefault="003F4D3B" w:rsidP="007A7D7A">
      <w:pPr>
        <w:pStyle w:val="Nagwek2"/>
        <w:rPr>
          <w:rFonts w:asciiTheme="minorHAnsi" w:hAnsiTheme="minorHAnsi" w:cstheme="minorHAnsi"/>
          <w:sz w:val="22"/>
          <w:szCs w:val="22"/>
        </w:rPr>
      </w:pPr>
      <w:r w:rsidRPr="003F4D3B">
        <w:rPr>
          <w:rFonts w:asciiTheme="minorHAnsi" w:hAnsiTheme="minorHAnsi" w:cstheme="minorHAnsi"/>
          <w:sz w:val="22"/>
          <w:szCs w:val="22"/>
        </w:rPr>
        <w:t>SZCZEGÓŁOWE SPECYFIKACJE TECHNICZNE</w:t>
      </w:r>
      <w:r w:rsidR="007A7D7A" w:rsidRPr="00A23FB4">
        <w:rPr>
          <w:rFonts w:asciiTheme="minorHAnsi" w:hAnsiTheme="minorHAnsi" w:cstheme="minorHAnsi"/>
          <w:sz w:val="22"/>
          <w:szCs w:val="22"/>
        </w:rPr>
        <w:t xml:space="preserve"> WYKONANIA I ODBIORU ROBÓT BUDOWLANYCH</w:t>
      </w:r>
    </w:p>
    <w:p w14:paraId="2117E072" w14:textId="77777777" w:rsidR="007A7D7A" w:rsidRPr="00A23FB4" w:rsidRDefault="007A7D7A" w:rsidP="007A7D7A">
      <w:pPr>
        <w:pStyle w:val="Nagwek1"/>
        <w:rPr>
          <w:rFonts w:asciiTheme="minorHAnsi" w:hAnsiTheme="minorHAnsi" w:cstheme="minorHAnsi"/>
          <w:sz w:val="22"/>
          <w:szCs w:val="22"/>
        </w:rPr>
      </w:pPr>
      <w:bookmarkStart w:id="579" w:name="_Toc352837490"/>
      <w:bookmarkStart w:id="580" w:name="_Toc427178276"/>
      <w:bookmarkStart w:id="581" w:name="_Toc447714525"/>
      <w:bookmarkStart w:id="582" w:name="_Toc206275485"/>
      <w:r w:rsidRPr="00A23FB4">
        <w:rPr>
          <w:rFonts w:asciiTheme="minorHAnsi" w:hAnsiTheme="minorHAnsi" w:cstheme="minorHAnsi"/>
          <w:sz w:val="22"/>
          <w:szCs w:val="22"/>
        </w:rPr>
        <w:t>D-04.07.01A</w:t>
      </w:r>
      <w:bookmarkStart w:id="583" w:name="_Toc279993385"/>
      <w:r w:rsidRPr="00A23FB4">
        <w:rPr>
          <w:rFonts w:asciiTheme="minorHAnsi" w:hAnsiTheme="minorHAnsi" w:cstheme="minorHAnsi"/>
          <w:sz w:val="22"/>
          <w:szCs w:val="22"/>
        </w:rPr>
        <w:t xml:space="preserve"> PODBUDOWA  Z  BETONU ASFALTOWEGO </w:t>
      </w:r>
      <w:bookmarkEnd w:id="579"/>
      <w:bookmarkEnd w:id="580"/>
      <w:bookmarkEnd w:id="583"/>
      <w:r w:rsidRPr="00A23FB4">
        <w:rPr>
          <w:rFonts w:asciiTheme="minorHAnsi" w:hAnsiTheme="minorHAnsi" w:cstheme="minorHAnsi"/>
          <w:sz w:val="22"/>
          <w:szCs w:val="22"/>
        </w:rPr>
        <w:t>AC 22P</w:t>
      </w:r>
      <w:bookmarkEnd w:id="581"/>
      <w:bookmarkEnd w:id="582"/>
    </w:p>
    <w:p w14:paraId="2C0A2778" w14:textId="77777777" w:rsidR="007A7D7A" w:rsidRPr="00A23FB4" w:rsidRDefault="007A7D7A" w:rsidP="007A7D7A">
      <w:pPr>
        <w:pStyle w:val="Nagwek3"/>
        <w:tabs>
          <w:tab w:val="left" w:pos="9914"/>
        </w:tabs>
        <w:rPr>
          <w:rFonts w:ascii="Calibri" w:hAnsi="Calibri" w:cs="Calibri"/>
        </w:rPr>
      </w:pPr>
      <w:r w:rsidRPr="00A23FB4">
        <w:rPr>
          <w:rFonts w:ascii="Calibri" w:hAnsi="Calibri" w:cs="Calibri"/>
        </w:rPr>
        <w:t>1. WSTĘP</w:t>
      </w:r>
    </w:p>
    <w:p w14:paraId="1C98E6F6" w14:textId="1AC098EF" w:rsidR="007A7D7A" w:rsidRPr="00A23FB4" w:rsidRDefault="007A7D7A" w:rsidP="007A7D7A">
      <w:pPr>
        <w:pStyle w:val="Nagwek4"/>
        <w:tabs>
          <w:tab w:val="left" w:pos="9914"/>
        </w:tabs>
        <w:rPr>
          <w:rFonts w:ascii="Calibri" w:hAnsi="Calibri" w:cs="Calibri"/>
        </w:rPr>
      </w:pPr>
      <w:r w:rsidRPr="00A23FB4">
        <w:rPr>
          <w:rFonts w:ascii="Calibri" w:hAnsi="Calibri" w:cs="Calibri"/>
        </w:rPr>
        <w:t xml:space="preserve">1.1. Przedmiot </w:t>
      </w:r>
      <w:r w:rsidR="00F265B8">
        <w:rPr>
          <w:rFonts w:ascii="Calibri" w:hAnsi="Calibri" w:cs="Calibri"/>
        </w:rPr>
        <w:t>ST</w:t>
      </w:r>
      <w:r w:rsidRPr="00A23FB4">
        <w:rPr>
          <w:rFonts w:ascii="Calibri" w:hAnsi="Calibri" w:cs="Calibri"/>
        </w:rPr>
        <w:t>WiORB</w:t>
      </w:r>
    </w:p>
    <w:p w14:paraId="30E11FF8" w14:textId="291F0307" w:rsidR="007A7D7A" w:rsidRPr="00A23FB4" w:rsidRDefault="007A7D7A" w:rsidP="007A7D7A">
      <w:pPr>
        <w:pStyle w:val="Standardowytekst"/>
        <w:rPr>
          <w:rFonts w:ascii="Calibri" w:hAnsi="Calibri" w:cs="Calibri"/>
        </w:rPr>
      </w:pPr>
      <w:r w:rsidRPr="00A23FB4">
        <w:rPr>
          <w:rFonts w:ascii="Calibri" w:hAnsi="Calibri" w:cs="Calibri"/>
        </w:rPr>
        <w:t>Przedmiotem niniejszej</w:t>
      </w:r>
      <w:r w:rsidR="003F4D3B">
        <w:rPr>
          <w:rFonts w:ascii="Calibri" w:hAnsi="Calibri" w:cs="Calibri"/>
        </w:rPr>
        <w:t xml:space="preserve"> specyfikacj</w:t>
      </w:r>
      <w:r w:rsidR="00324179">
        <w:rPr>
          <w:rFonts w:ascii="Calibri" w:hAnsi="Calibri" w:cs="Calibri"/>
        </w:rPr>
        <w:t>i</w:t>
      </w:r>
      <w:r w:rsidRPr="00A23FB4">
        <w:rPr>
          <w:rFonts w:ascii="Calibri" w:hAnsi="Calibri" w:cs="Calibri"/>
        </w:rPr>
        <w:t xml:space="preserve"> są wymagania dotyczące wykonania i odbioru robót związanych z wykonaniem podbudowy z betonu asfaltowego dla jezdni kategorii ruchu KR</w:t>
      </w:r>
      <w:r w:rsidR="00324179">
        <w:rPr>
          <w:rFonts w:ascii="Calibri" w:hAnsi="Calibri" w:cs="Calibri"/>
        </w:rPr>
        <w:t>3</w:t>
      </w:r>
      <w:r w:rsidRPr="00A23FB4">
        <w:rPr>
          <w:rFonts w:ascii="Calibri" w:hAnsi="Calibri" w:cs="Calibri"/>
        </w:rPr>
        <w:t>-KR</w:t>
      </w:r>
      <w:r>
        <w:rPr>
          <w:rFonts w:ascii="Calibri" w:hAnsi="Calibri" w:cs="Calibri"/>
        </w:rPr>
        <w:t>7</w:t>
      </w:r>
      <w:r w:rsidRPr="00A23FB4">
        <w:rPr>
          <w:rFonts w:ascii="Calibri" w:hAnsi="Calibri" w:cs="Calibri"/>
        </w:rPr>
        <w:t>.</w:t>
      </w:r>
    </w:p>
    <w:p w14:paraId="47943433" w14:textId="0EFB23DC" w:rsidR="007A7D7A" w:rsidRPr="00A23FB4" w:rsidRDefault="007A7D7A" w:rsidP="007A7D7A">
      <w:pPr>
        <w:pStyle w:val="Nagwek4"/>
        <w:tabs>
          <w:tab w:val="left" w:pos="9914"/>
        </w:tabs>
        <w:rPr>
          <w:rFonts w:ascii="Calibri" w:hAnsi="Calibri" w:cs="Calibri"/>
        </w:rPr>
      </w:pPr>
      <w:r w:rsidRPr="00A23FB4">
        <w:rPr>
          <w:rFonts w:ascii="Calibri" w:hAnsi="Calibri" w:cs="Calibri"/>
        </w:rPr>
        <w:t xml:space="preserve">1.2. Zakres stosowania </w:t>
      </w:r>
      <w:r w:rsidR="00F265B8">
        <w:rPr>
          <w:rFonts w:ascii="Calibri" w:hAnsi="Calibri" w:cs="Calibri"/>
        </w:rPr>
        <w:t>ST</w:t>
      </w:r>
      <w:r w:rsidRPr="00A23FB4">
        <w:rPr>
          <w:rFonts w:ascii="Calibri" w:hAnsi="Calibri" w:cs="Calibri"/>
        </w:rPr>
        <w:t>WiORB</w:t>
      </w:r>
    </w:p>
    <w:p w14:paraId="1BA370D4" w14:textId="7450559F" w:rsidR="007A7D7A" w:rsidRPr="00A23FB4" w:rsidRDefault="00575C66" w:rsidP="007A7D7A">
      <w:pPr>
        <w:rPr>
          <w:rFonts w:ascii="Calibri" w:hAnsi="Calibri" w:cs="Calibri"/>
        </w:rPr>
      </w:pPr>
      <w:r>
        <w:rPr>
          <w:rFonts w:ascii="Calibri" w:hAnsi="Calibri" w:cs="Calibri"/>
        </w:rPr>
        <w:t>Specyfikacje</w:t>
      </w:r>
      <w:r w:rsidRPr="00A23FB4">
        <w:rPr>
          <w:rFonts w:ascii="Calibri" w:hAnsi="Calibri" w:cs="Calibri"/>
        </w:rPr>
        <w:t xml:space="preserve"> </w:t>
      </w:r>
      <w:r w:rsidR="007A7D7A" w:rsidRPr="00A23FB4">
        <w:rPr>
          <w:rFonts w:ascii="Calibri" w:hAnsi="Calibri" w:cs="Calibri"/>
        </w:rPr>
        <w:t xml:space="preserve">techniczne stanowią dokument kontraktowy przy realizacji  zadania </w:t>
      </w:r>
      <w:r w:rsidR="007A7D7A">
        <w:rPr>
          <w:rFonts w:asciiTheme="minorHAnsi" w:hAnsiTheme="minorHAnsi" w:cstheme="minorHAnsi"/>
          <w:bCs/>
        </w:rPr>
        <w:t>„</w:t>
      </w:r>
      <w:r w:rsidR="00F265B8" w:rsidRPr="00F265B8">
        <w:rPr>
          <w:rFonts w:asciiTheme="minorHAnsi" w:hAnsiTheme="minorHAnsi" w:cstheme="minorHAnsi"/>
          <w:bCs/>
        </w:rPr>
        <w:t>Rozbudowa ul. Wrocławskiej w ciągu drogi powiatowej w Tyńcu Małym wraz z rozbudową istniejącego skrzyżowania typu rondo na połączeniu dróg krajowych nr 35 i 35a oraz łącznika węzła Kobierzyce drogi S8e oraz infrastrukturą towarzyszącą w ramach zadania „Rozbudowa skrzyżowania typu rondo w ciągu DK35 koło m. Tyniec Mały usprawniająca skomunikowanie obszarów Podstrefy Wrocław – Kobierzyce TSSE EURO PARK WISŁOSAN”.</w:t>
      </w:r>
    </w:p>
    <w:p w14:paraId="682C48DC" w14:textId="4BF31729" w:rsidR="007A7D7A" w:rsidRPr="00A23FB4" w:rsidRDefault="007A7D7A" w:rsidP="007A7D7A">
      <w:pPr>
        <w:pStyle w:val="Nagwek4"/>
        <w:tabs>
          <w:tab w:val="left" w:pos="9914"/>
        </w:tabs>
        <w:rPr>
          <w:rFonts w:ascii="Calibri" w:hAnsi="Calibri" w:cs="Calibri"/>
        </w:rPr>
      </w:pPr>
      <w:r w:rsidRPr="00A23FB4">
        <w:rPr>
          <w:rFonts w:ascii="Calibri" w:hAnsi="Calibri" w:cs="Calibri"/>
        </w:rPr>
        <w:t xml:space="preserve">1.3. Zakres robót objętych </w:t>
      </w:r>
      <w:r w:rsidR="00F265B8">
        <w:rPr>
          <w:rFonts w:ascii="Calibri" w:hAnsi="Calibri" w:cs="Calibri"/>
        </w:rPr>
        <w:t>ST</w:t>
      </w:r>
      <w:r w:rsidRPr="00A23FB4">
        <w:rPr>
          <w:rFonts w:ascii="Calibri" w:hAnsi="Calibri" w:cs="Calibri"/>
        </w:rPr>
        <w:t>WiORB</w:t>
      </w:r>
    </w:p>
    <w:p w14:paraId="1EEC8AE8" w14:textId="77777777" w:rsidR="00324179" w:rsidRPr="00324179" w:rsidRDefault="00324179" w:rsidP="00324179">
      <w:pPr>
        <w:pStyle w:val="Tekstpodstawowy"/>
        <w:spacing w:line="240" w:lineRule="auto"/>
        <w:jc w:val="both"/>
        <w:rPr>
          <w:rFonts w:ascii="Calibri" w:hAnsi="Calibri" w:cs="Calibri"/>
          <w:sz w:val="20"/>
          <w:szCs w:val="20"/>
        </w:rPr>
      </w:pPr>
      <w:r w:rsidRPr="00324179">
        <w:rPr>
          <w:rFonts w:ascii="Calibri" w:hAnsi="Calibri" w:cs="Calibri"/>
          <w:sz w:val="20"/>
          <w:szCs w:val="20"/>
        </w:rPr>
        <w:t>Ustalenia zawarte w niniejszej specyfikacji dotyczą zasad prowadzenia robót związanych z wykonaniem i odbiorem warstwy podbudowy z betonu asfaltowego wg PN-EN 13108-1 i WT-2 Nawierzchnie asfaltowe 2014 z mieszanki mineralno-asfaltowej dostarczonej od producenta. W przypadku produkcji mieszanki mineralno-asfaltowej przez Wykonawcę dla potrzeb budowy, Wykonawca zobowiązany jest prowadzić Zakładową kontrolę produkcji (ZKP) zgodnie z WT-2 punkt 7.4.1.5.</w:t>
      </w:r>
    </w:p>
    <w:p w14:paraId="7D3A0E91" w14:textId="77777777" w:rsidR="007A7D7A" w:rsidRPr="00A23FB4" w:rsidRDefault="007A7D7A" w:rsidP="004270B2">
      <w:pPr>
        <w:pStyle w:val="Nagwek4"/>
        <w:tabs>
          <w:tab w:val="left" w:pos="9914"/>
        </w:tabs>
        <w:rPr>
          <w:rFonts w:ascii="Calibri" w:hAnsi="Calibri" w:cs="Calibri"/>
        </w:rPr>
      </w:pPr>
      <w:r w:rsidRPr="00A23FB4">
        <w:rPr>
          <w:rFonts w:ascii="Calibri" w:hAnsi="Calibri" w:cs="Calibri"/>
        </w:rPr>
        <w:t>1.4. Określenia podstawowe</w:t>
      </w:r>
    </w:p>
    <w:p w14:paraId="374DCDA8" w14:textId="77777777" w:rsidR="007A7D7A" w:rsidRPr="00A23FB4" w:rsidRDefault="007A7D7A" w:rsidP="004270B2">
      <w:pPr>
        <w:pStyle w:val="StylIwony"/>
        <w:spacing w:before="0" w:after="0"/>
        <w:rPr>
          <w:rFonts w:ascii="Calibri" w:hAnsi="Calibri" w:cs="Calibri"/>
          <w:sz w:val="20"/>
          <w:szCs w:val="20"/>
        </w:rPr>
      </w:pPr>
      <w:r w:rsidRPr="00A23FB4">
        <w:rPr>
          <w:rFonts w:ascii="Calibri" w:hAnsi="Calibri" w:cs="Calibri"/>
          <w:b/>
          <w:bCs/>
          <w:i/>
          <w:iCs/>
          <w:sz w:val="20"/>
          <w:szCs w:val="20"/>
        </w:rPr>
        <w:t>1.4.1.</w:t>
      </w:r>
      <w:r w:rsidRPr="00A23FB4">
        <w:rPr>
          <w:rFonts w:ascii="Calibri" w:hAnsi="Calibri" w:cs="Calibri"/>
          <w:sz w:val="20"/>
          <w:szCs w:val="20"/>
        </w:rPr>
        <w:t>Nawierzchnia – konstrukcja składająca się z jednej lub kilku warstw służących do przejmowania i rozkładania obciążeń od ruchu pojazdów na podłoże.</w:t>
      </w:r>
    </w:p>
    <w:p w14:paraId="3ED77EF9" w14:textId="77777777" w:rsidR="007A7D7A" w:rsidRPr="00A23FB4" w:rsidRDefault="007A7D7A" w:rsidP="004270B2">
      <w:pPr>
        <w:pStyle w:val="StylIwony"/>
        <w:spacing w:before="0" w:after="0"/>
        <w:rPr>
          <w:rFonts w:ascii="Calibri" w:hAnsi="Calibri" w:cs="Calibri"/>
          <w:sz w:val="20"/>
          <w:szCs w:val="20"/>
        </w:rPr>
      </w:pPr>
      <w:r w:rsidRPr="00A23FB4">
        <w:rPr>
          <w:rFonts w:ascii="Calibri" w:hAnsi="Calibri" w:cs="Calibri"/>
          <w:b/>
          <w:bCs/>
          <w:i/>
          <w:iCs/>
          <w:sz w:val="20"/>
          <w:szCs w:val="20"/>
        </w:rPr>
        <w:t>1.4.2.</w:t>
      </w:r>
      <w:r w:rsidRPr="00A23FB4">
        <w:rPr>
          <w:rFonts w:ascii="Calibri" w:hAnsi="Calibri" w:cs="Calibri"/>
          <w:sz w:val="20"/>
          <w:szCs w:val="20"/>
        </w:rPr>
        <w:t>Podbudowa – główny element konstrukcyjny nawierzchni, który może być ułożony w jednej lub kilku warstwach.</w:t>
      </w:r>
    </w:p>
    <w:p w14:paraId="6C2EE13C" w14:textId="77777777" w:rsidR="007A7D7A" w:rsidRPr="00A23FB4" w:rsidRDefault="007A7D7A" w:rsidP="004270B2">
      <w:pPr>
        <w:pStyle w:val="StylIwony"/>
        <w:spacing w:before="0" w:after="0"/>
        <w:rPr>
          <w:rFonts w:ascii="Calibri" w:hAnsi="Calibri" w:cs="Calibri"/>
          <w:sz w:val="20"/>
          <w:szCs w:val="20"/>
        </w:rPr>
      </w:pPr>
      <w:r w:rsidRPr="00A23FB4">
        <w:rPr>
          <w:rFonts w:ascii="Calibri" w:hAnsi="Calibri" w:cs="Calibri"/>
          <w:b/>
          <w:bCs/>
          <w:i/>
          <w:iCs/>
          <w:sz w:val="20"/>
          <w:szCs w:val="20"/>
        </w:rPr>
        <w:t>1.4.3.</w:t>
      </w:r>
      <w:r w:rsidRPr="00A23FB4">
        <w:rPr>
          <w:rFonts w:ascii="Calibri" w:hAnsi="Calibri" w:cs="Calibri"/>
          <w:sz w:val="20"/>
          <w:szCs w:val="20"/>
        </w:rPr>
        <w:t>Mieszanka mineralno-asfaltowa – mieszanka kruszyw i lepiszcza asfaltowego.</w:t>
      </w:r>
    </w:p>
    <w:p w14:paraId="5D839F46" w14:textId="77777777" w:rsidR="007A7D7A" w:rsidRPr="00A23FB4" w:rsidRDefault="007A7D7A" w:rsidP="004270B2">
      <w:pPr>
        <w:pStyle w:val="StylIwony"/>
        <w:spacing w:before="0" w:after="0"/>
        <w:rPr>
          <w:rFonts w:ascii="Calibri" w:hAnsi="Calibri" w:cs="Calibri"/>
          <w:sz w:val="20"/>
          <w:szCs w:val="20"/>
        </w:rPr>
      </w:pPr>
      <w:r w:rsidRPr="00A23FB4">
        <w:rPr>
          <w:rFonts w:ascii="Calibri" w:hAnsi="Calibri" w:cs="Calibri"/>
          <w:b/>
          <w:bCs/>
          <w:i/>
          <w:iCs/>
          <w:sz w:val="20"/>
          <w:szCs w:val="20"/>
        </w:rPr>
        <w:t>1.4.4.</w:t>
      </w:r>
      <w:r w:rsidRPr="00A23FB4">
        <w:rPr>
          <w:rFonts w:ascii="Calibri" w:hAnsi="Calibri" w:cs="Calibri"/>
          <w:sz w:val="20"/>
          <w:szCs w:val="20"/>
        </w:rPr>
        <w:t>Wymiar mieszanki mineralno-asfaltowej – określenie mieszanki mineralno-asfaltowej, wyróżniające tę mieszankę ze zbioru mieszanek tego samego typu ze względu na największy wymiar kruszywa, np. wymiar 16 lub 22.</w:t>
      </w:r>
    </w:p>
    <w:p w14:paraId="1D82309A" w14:textId="77777777" w:rsidR="007A7D7A" w:rsidRPr="00A23FB4" w:rsidRDefault="007A7D7A" w:rsidP="004270B2">
      <w:pPr>
        <w:pStyle w:val="StylIwony"/>
        <w:spacing w:before="0" w:after="0"/>
        <w:rPr>
          <w:rFonts w:ascii="Calibri" w:hAnsi="Calibri" w:cs="Calibri"/>
          <w:sz w:val="20"/>
          <w:szCs w:val="20"/>
        </w:rPr>
      </w:pPr>
      <w:r w:rsidRPr="00A23FB4">
        <w:rPr>
          <w:rFonts w:ascii="Calibri" w:hAnsi="Calibri" w:cs="Calibri"/>
          <w:b/>
          <w:bCs/>
          <w:i/>
          <w:iCs/>
          <w:sz w:val="20"/>
          <w:szCs w:val="20"/>
        </w:rPr>
        <w:t>1.4.5.</w:t>
      </w:r>
      <w:r w:rsidRPr="00A23FB4">
        <w:rPr>
          <w:rFonts w:ascii="Calibri" w:hAnsi="Calibri" w:cs="Calibri"/>
          <w:sz w:val="20"/>
          <w:szCs w:val="20"/>
        </w:rPr>
        <w:t>Beton asfaltowy – mieszanka mineralno-asfaltowa, w której kruszywo o uziarnieniu ciągłym lub nieciągłym tworzy strukturę wzajemnie klinującą się.</w:t>
      </w:r>
    </w:p>
    <w:p w14:paraId="268F3433" w14:textId="77777777" w:rsidR="007A7D7A" w:rsidRPr="00A23FB4" w:rsidRDefault="007A7D7A" w:rsidP="004270B2">
      <w:pPr>
        <w:pStyle w:val="StylIwony"/>
        <w:spacing w:before="0" w:after="0"/>
        <w:rPr>
          <w:rFonts w:ascii="Calibri" w:hAnsi="Calibri" w:cs="Calibri"/>
          <w:sz w:val="20"/>
          <w:szCs w:val="20"/>
        </w:rPr>
      </w:pPr>
      <w:r w:rsidRPr="00A23FB4">
        <w:rPr>
          <w:rFonts w:ascii="Calibri" w:hAnsi="Calibri" w:cs="Calibri"/>
          <w:b/>
          <w:bCs/>
          <w:i/>
          <w:iCs/>
          <w:sz w:val="20"/>
          <w:szCs w:val="20"/>
        </w:rPr>
        <w:t>1.4.6.</w:t>
      </w:r>
      <w:r w:rsidRPr="00A23FB4">
        <w:rPr>
          <w:rFonts w:ascii="Calibri" w:hAnsi="Calibri" w:cs="Calibri"/>
          <w:sz w:val="20"/>
          <w:szCs w:val="20"/>
        </w:rPr>
        <w:t>Uziarnienie – skład ziarnowy kruszywa, wyrażony w procentach masy ziaren przechodzących przez określony zestaw sit.</w:t>
      </w:r>
    </w:p>
    <w:p w14:paraId="5ED26177" w14:textId="77777777" w:rsidR="007A7D7A" w:rsidRPr="00A23FB4" w:rsidRDefault="007A7D7A" w:rsidP="004270B2">
      <w:pPr>
        <w:pStyle w:val="StylIwony"/>
        <w:spacing w:before="0" w:after="0"/>
        <w:rPr>
          <w:rFonts w:ascii="Calibri" w:hAnsi="Calibri" w:cs="Calibri"/>
          <w:sz w:val="20"/>
          <w:szCs w:val="20"/>
        </w:rPr>
      </w:pPr>
      <w:r w:rsidRPr="00A23FB4">
        <w:rPr>
          <w:rFonts w:ascii="Calibri" w:hAnsi="Calibri" w:cs="Calibri"/>
          <w:b/>
          <w:bCs/>
          <w:i/>
          <w:iCs/>
          <w:sz w:val="20"/>
          <w:szCs w:val="20"/>
        </w:rPr>
        <w:t>1.4.7.</w:t>
      </w:r>
      <w:r w:rsidRPr="00A23FB4">
        <w:rPr>
          <w:rFonts w:ascii="Calibri" w:hAnsi="Calibri" w:cs="Calibri"/>
          <w:sz w:val="20"/>
          <w:szCs w:val="20"/>
        </w:rPr>
        <w:t>Wymiar kruszywa – wielkość ziaren kruszywa, określona przez dolny (d) i górny (D) wymiar sita.</w:t>
      </w:r>
    </w:p>
    <w:p w14:paraId="47F2035F" w14:textId="77777777" w:rsidR="007A7D7A" w:rsidRPr="00A23FB4" w:rsidRDefault="007A7D7A" w:rsidP="004270B2">
      <w:pPr>
        <w:pStyle w:val="StylIwony"/>
        <w:spacing w:before="0" w:after="0"/>
        <w:rPr>
          <w:rFonts w:ascii="Calibri" w:hAnsi="Calibri" w:cs="Calibri"/>
          <w:sz w:val="20"/>
          <w:szCs w:val="20"/>
        </w:rPr>
      </w:pPr>
      <w:r w:rsidRPr="00A23FB4">
        <w:rPr>
          <w:rFonts w:ascii="Calibri" w:hAnsi="Calibri" w:cs="Calibri"/>
          <w:b/>
          <w:bCs/>
          <w:i/>
          <w:iCs/>
          <w:sz w:val="20"/>
          <w:szCs w:val="20"/>
        </w:rPr>
        <w:t>1.4.8.</w:t>
      </w:r>
      <w:r w:rsidRPr="00A23FB4">
        <w:rPr>
          <w:rFonts w:ascii="Calibri" w:hAnsi="Calibri" w:cs="Calibri"/>
          <w:sz w:val="20"/>
          <w:szCs w:val="20"/>
        </w:rPr>
        <w:t>Kruszywo grube – kruszywo z ziaren o wymiarze: D ≤ 45 mm oraz d &gt; 2 mm.</w:t>
      </w:r>
    </w:p>
    <w:p w14:paraId="2A7837FE" w14:textId="77777777" w:rsidR="007A7D7A" w:rsidRPr="00A23FB4" w:rsidRDefault="007A7D7A" w:rsidP="004270B2">
      <w:pPr>
        <w:pStyle w:val="StylIwony"/>
        <w:spacing w:before="0" w:after="0"/>
        <w:rPr>
          <w:rFonts w:ascii="Calibri" w:hAnsi="Calibri" w:cs="Calibri"/>
          <w:sz w:val="20"/>
          <w:szCs w:val="20"/>
        </w:rPr>
      </w:pPr>
      <w:r w:rsidRPr="00A23FB4">
        <w:rPr>
          <w:rFonts w:ascii="Calibri" w:hAnsi="Calibri" w:cs="Calibri"/>
          <w:b/>
          <w:bCs/>
          <w:i/>
          <w:iCs/>
          <w:sz w:val="20"/>
          <w:szCs w:val="20"/>
        </w:rPr>
        <w:t>1.4.9.</w:t>
      </w:r>
      <w:r w:rsidRPr="00A23FB4">
        <w:rPr>
          <w:rFonts w:ascii="Calibri" w:hAnsi="Calibri" w:cs="Calibri"/>
          <w:sz w:val="20"/>
          <w:szCs w:val="20"/>
        </w:rPr>
        <w:t>Kruszywo drobne – kruszywo z ziaren o wymiarze: D ≤ 2 mm, którego większa część pozostaje na sicie 0,063 mm.</w:t>
      </w:r>
    </w:p>
    <w:p w14:paraId="6108D500" w14:textId="77777777" w:rsidR="007A7D7A" w:rsidRPr="00A23FB4" w:rsidRDefault="007A7D7A" w:rsidP="004270B2">
      <w:pPr>
        <w:pStyle w:val="StylIwony"/>
        <w:spacing w:before="0" w:after="0"/>
        <w:rPr>
          <w:rFonts w:ascii="Calibri" w:hAnsi="Calibri" w:cs="Calibri"/>
          <w:sz w:val="20"/>
          <w:szCs w:val="20"/>
        </w:rPr>
      </w:pPr>
      <w:r w:rsidRPr="00A23FB4">
        <w:rPr>
          <w:rFonts w:ascii="Calibri" w:hAnsi="Calibri" w:cs="Calibri"/>
          <w:b/>
          <w:bCs/>
          <w:i/>
          <w:iCs/>
          <w:sz w:val="20"/>
          <w:szCs w:val="20"/>
        </w:rPr>
        <w:t>1.4.10.</w:t>
      </w:r>
      <w:r w:rsidRPr="00A23FB4">
        <w:rPr>
          <w:rFonts w:ascii="Calibri" w:hAnsi="Calibri" w:cs="Calibri"/>
          <w:sz w:val="20"/>
          <w:szCs w:val="20"/>
        </w:rPr>
        <w:t>Pył – kruszywo z ziaren przechodzących przez sito 0,063 mm.</w:t>
      </w:r>
    </w:p>
    <w:p w14:paraId="2AE05703" w14:textId="77777777" w:rsidR="007A7D7A" w:rsidRPr="00A23FB4" w:rsidRDefault="007A7D7A" w:rsidP="004270B2">
      <w:pPr>
        <w:pStyle w:val="StylIwony"/>
        <w:spacing w:before="0" w:after="0"/>
        <w:rPr>
          <w:rFonts w:ascii="Calibri" w:hAnsi="Calibri" w:cs="Calibri"/>
          <w:sz w:val="20"/>
          <w:szCs w:val="20"/>
        </w:rPr>
      </w:pPr>
      <w:r w:rsidRPr="00A23FB4">
        <w:rPr>
          <w:rFonts w:ascii="Calibri" w:hAnsi="Calibri" w:cs="Calibri"/>
          <w:b/>
          <w:bCs/>
          <w:i/>
          <w:iCs/>
          <w:sz w:val="20"/>
          <w:szCs w:val="20"/>
        </w:rPr>
        <w:t>1.4.11.</w:t>
      </w:r>
      <w:r w:rsidRPr="00A23FB4">
        <w:rPr>
          <w:rFonts w:ascii="Calibri" w:hAnsi="Calibri" w:cs="Calibri"/>
          <w:sz w:val="20"/>
          <w:szCs w:val="20"/>
        </w:rPr>
        <w:t>Wypełniacz – kruszywo, którego większa część przechodzi przez sito 0,063 mm. (Wypełniacz mieszany – kruszywo, które składa się z wypełniacza pochodzenia mineralnego i wodorotlenku wapnia. Wypełniacz dodany – wypełniacz pochodzenia mineralnego, wyprodukowany oddzielnie).</w:t>
      </w:r>
    </w:p>
    <w:p w14:paraId="7B76EB26" w14:textId="77777777" w:rsidR="007A7D7A" w:rsidRDefault="007A7D7A" w:rsidP="004270B2">
      <w:pPr>
        <w:pStyle w:val="StylIwony"/>
        <w:spacing w:before="0" w:after="0"/>
        <w:rPr>
          <w:rFonts w:ascii="Calibri" w:hAnsi="Calibri" w:cs="Calibri"/>
          <w:sz w:val="20"/>
          <w:szCs w:val="20"/>
        </w:rPr>
      </w:pPr>
      <w:r w:rsidRPr="00A23FB4">
        <w:rPr>
          <w:rFonts w:ascii="Calibri" w:hAnsi="Calibri" w:cs="Calibri"/>
          <w:b/>
          <w:bCs/>
          <w:i/>
          <w:iCs/>
          <w:sz w:val="20"/>
          <w:szCs w:val="20"/>
        </w:rPr>
        <w:t>1.4.12.</w:t>
      </w:r>
      <w:r w:rsidRPr="00A23FB4">
        <w:rPr>
          <w:rFonts w:ascii="Calibri" w:hAnsi="Calibri" w:cs="Calibri"/>
          <w:sz w:val="20"/>
          <w:szCs w:val="20"/>
        </w:rPr>
        <w:t>Kationowa emulsja asfaltowa – emulsja, w której emulgator nadaje dodatnie ładunki cząstkom zdyspergowanego asfaltu.</w:t>
      </w:r>
    </w:p>
    <w:p w14:paraId="742A4D28" w14:textId="7FAF27BA" w:rsidR="00BA767E" w:rsidRDefault="00BA767E" w:rsidP="004270B2">
      <w:pPr>
        <w:pStyle w:val="StylIwony"/>
        <w:spacing w:before="0" w:after="0"/>
        <w:rPr>
          <w:rFonts w:ascii="Calibri" w:hAnsi="Calibri" w:cs="Calibri"/>
          <w:sz w:val="20"/>
          <w:szCs w:val="20"/>
        </w:rPr>
      </w:pPr>
      <w:r w:rsidRPr="00BA767E">
        <w:rPr>
          <w:rFonts w:ascii="Calibri" w:hAnsi="Calibri" w:cs="Calibri"/>
          <w:b/>
          <w:bCs/>
          <w:i/>
          <w:iCs/>
          <w:sz w:val="20"/>
          <w:szCs w:val="20"/>
        </w:rPr>
        <w:t>1.4.13</w:t>
      </w:r>
      <w:r>
        <w:rPr>
          <w:rFonts w:ascii="Calibri" w:hAnsi="Calibri" w:cs="Calibri"/>
          <w:sz w:val="20"/>
          <w:szCs w:val="20"/>
        </w:rPr>
        <w:t xml:space="preserve"> Granulat asfaltowy – przekruszony destrukt asfaltowy o udokumentowanej jakości jako materiał składowy w produkcji mieszanek mineralno asfaltowych w technologii na gorąco</w:t>
      </w:r>
    </w:p>
    <w:p w14:paraId="3300E498" w14:textId="328766F2" w:rsidR="00BA767E" w:rsidRPr="00A23FB4" w:rsidRDefault="00BA767E" w:rsidP="004270B2">
      <w:pPr>
        <w:pStyle w:val="StylIwony"/>
        <w:spacing w:before="0" w:after="0"/>
        <w:rPr>
          <w:rFonts w:ascii="Calibri" w:hAnsi="Calibri" w:cs="Calibri"/>
          <w:sz w:val="20"/>
          <w:szCs w:val="20"/>
        </w:rPr>
      </w:pPr>
      <w:r w:rsidRPr="00BA767E">
        <w:rPr>
          <w:rFonts w:ascii="Calibri" w:hAnsi="Calibri" w:cs="Calibri"/>
          <w:b/>
          <w:bCs/>
          <w:i/>
          <w:iCs/>
          <w:sz w:val="20"/>
          <w:szCs w:val="20"/>
        </w:rPr>
        <w:t>1.4.14</w:t>
      </w:r>
      <w:r>
        <w:rPr>
          <w:rFonts w:ascii="Calibri" w:hAnsi="Calibri" w:cs="Calibri"/>
          <w:sz w:val="20"/>
          <w:szCs w:val="20"/>
        </w:rPr>
        <w:t xml:space="preserve"> Destrukt asfaltowy – mieszanka mineralno asfaltowa, która jest uzyskiwana w wyniku frezowania warstw asfaltowych, rozkruszenia płyt wyciętych z nawierzchni asfaltowej, brył uzyskiwanych z płyt oraz z mieszanki mineralno asfaltowej odrzuconej lub będącą nadwyżką produkcji. </w:t>
      </w:r>
    </w:p>
    <w:p w14:paraId="1C280193" w14:textId="161F8A4A" w:rsidR="007A7D7A" w:rsidRPr="00A23FB4" w:rsidRDefault="007A7D7A" w:rsidP="004270B2">
      <w:pPr>
        <w:pStyle w:val="StylIwony"/>
        <w:spacing w:before="0" w:after="0"/>
        <w:rPr>
          <w:rFonts w:ascii="Calibri" w:hAnsi="Calibri" w:cs="Calibri"/>
          <w:sz w:val="20"/>
          <w:szCs w:val="20"/>
        </w:rPr>
      </w:pPr>
      <w:r w:rsidRPr="00A23FB4">
        <w:rPr>
          <w:rFonts w:ascii="Calibri" w:hAnsi="Calibri" w:cs="Calibri"/>
          <w:b/>
          <w:bCs/>
          <w:i/>
          <w:iCs/>
          <w:sz w:val="20"/>
          <w:szCs w:val="20"/>
        </w:rPr>
        <w:t>1.4.1</w:t>
      </w:r>
      <w:r w:rsidR="00BA767E">
        <w:rPr>
          <w:rFonts w:ascii="Calibri" w:hAnsi="Calibri" w:cs="Calibri"/>
          <w:b/>
          <w:bCs/>
          <w:i/>
          <w:iCs/>
          <w:sz w:val="20"/>
          <w:szCs w:val="20"/>
        </w:rPr>
        <w:t>5</w:t>
      </w:r>
      <w:r w:rsidRPr="00A23FB4">
        <w:rPr>
          <w:rFonts w:ascii="Calibri" w:hAnsi="Calibri" w:cs="Calibri"/>
          <w:b/>
          <w:bCs/>
          <w:i/>
          <w:iCs/>
          <w:sz w:val="20"/>
          <w:szCs w:val="20"/>
        </w:rPr>
        <w:t xml:space="preserve">. </w:t>
      </w:r>
      <w:r w:rsidRPr="00A23FB4">
        <w:rPr>
          <w:rFonts w:ascii="Calibri" w:hAnsi="Calibri" w:cs="Calibri"/>
          <w:sz w:val="20"/>
          <w:szCs w:val="20"/>
        </w:rPr>
        <w:t>Pozostałe określenia podstawowe są zgodne z obowiązującymi, odpowiednimi polskimi normami i z definicjami podanymi w</w:t>
      </w:r>
      <w:r w:rsidR="006821AB">
        <w:rPr>
          <w:rFonts w:ascii="Calibri" w:hAnsi="Calibri" w:cs="Calibri"/>
          <w:sz w:val="20"/>
          <w:szCs w:val="20"/>
        </w:rPr>
        <w:t xml:space="preserve"> ST</w:t>
      </w:r>
      <w:r w:rsidR="00307E20">
        <w:rPr>
          <w:rFonts w:ascii="Calibri" w:hAnsi="Calibri" w:cs="Calibri"/>
          <w:sz w:val="20"/>
          <w:szCs w:val="20"/>
        </w:rPr>
        <w:t>WIORB</w:t>
      </w:r>
      <w:r w:rsidRPr="00A23FB4">
        <w:rPr>
          <w:rFonts w:ascii="Calibri" w:hAnsi="Calibri" w:cs="Calibri"/>
          <w:sz w:val="20"/>
          <w:szCs w:val="20"/>
        </w:rPr>
        <w:t xml:space="preserve"> D-M-00.00.00 „Wymagania ogólne” pkt 1.4.</w:t>
      </w:r>
    </w:p>
    <w:p w14:paraId="45D1261D" w14:textId="77777777" w:rsidR="007A7D7A" w:rsidRPr="00A23FB4" w:rsidRDefault="007A7D7A" w:rsidP="004270B2">
      <w:pPr>
        <w:pStyle w:val="Nagwek4"/>
        <w:tabs>
          <w:tab w:val="left" w:pos="9914"/>
        </w:tabs>
        <w:rPr>
          <w:rFonts w:ascii="Calibri" w:hAnsi="Calibri" w:cs="Calibri"/>
        </w:rPr>
      </w:pPr>
      <w:r w:rsidRPr="00A23FB4">
        <w:rPr>
          <w:rFonts w:ascii="Calibri" w:hAnsi="Calibri" w:cs="Calibri"/>
        </w:rPr>
        <w:t>1.5. Ogólne wymagania dotyczące robót</w:t>
      </w:r>
    </w:p>
    <w:p w14:paraId="03B00BD8" w14:textId="71D75B73" w:rsidR="007A7D7A" w:rsidRPr="00A23FB4" w:rsidRDefault="007A7D7A" w:rsidP="004270B2">
      <w:pPr>
        <w:pStyle w:val="StylIwony"/>
        <w:spacing w:before="0" w:after="0"/>
        <w:rPr>
          <w:rFonts w:ascii="Calibri" w:hAnsi="Calibri" w:cs="Calibri"/>
          <w:sz w:val="20"/>
          <w:szCs w:val="20"/>
        </w:rPr>
      </w:pPr>
      <w:r w:rsidRPr="00A23FB4">
        <w:rPr>
          <w:rFonts w:ascii="Calibri" w:hAnsi="Calibri" w:cs="Calibri"/>
          <w:sz w:val="20"/>
          <w:szCs w:val="20"/>
        </w:rPr>
        <w:t xml:space="preserve">Ogólne wymagania dotyczące robót podano w </w:t>
      </w:r>
      <w:r w:rsidR="00F265B8">
        <w:rPr>
          <w:rFonts w:ascii="Calibri" w:hAnsi="Calibri" w:cs="Calibri"/>
          <w:sz w:val="20"/>
          <w:szCs w:val="20"/>
        </w:rPr>
        <w:t>ST</w:t>
      </w:r>
      <w:r w:rsidRPr="00A23FB4">
        <w:rPr>
          <w:rFonts w:ascii="Calibri" w:hAnsi="Calibri" w:cs="Calibri"/>
          <w:sz w:val="20"/>
          <w:szCs w:val="20"/>
        </w:rPr>
        <w:t>WiORB D-M-00.00.00 „Wymagania ogólne” pkt 1.5.</w:t>
      </w:r>
    </w:p>
    <w:p w14:paraId="13C300C3" w14:textId="77777777" w:rsidR="007A7D7A" w:rsidRPr="00A23FB4" w:rsidRDefault="007A7D7A" w:rsidP="004270B2">
      <w:pPr>
        <w:pStyle w:val="Nagwek3"/>
        <w:tabs>
          <w:tab w:val="left" w:pos="9914"/>
        </w:tabs>
        <w:rPr>
          <w:rFonts w:ascii="Calibri" w:hAnsi="Calibri" w:cs="Calibri"/>
        </w:rPr>
      </w:pPr>
      <w:r w:rsidRPr="00A23FB4">
        <w:rPr>
          <w:rFonts w:ascii="Calibri" w:hAnsi="Calibri" w:cs="Calibri"/>
        </w:rPr>
        <w:t>2. WYROBY BUDOWLANE</w:t>
      </w:r>
    </w:p>
    <w:p w14:paraId="3B010185" w14:textId="77777777" w:rsidR="007A7D7A" w:rsidRPr="00A23FB4" w:rsidRDefault="007A7D7A" w:rsidP="004270B2">
      <w:pPr>
        <w:pStyle w:val="Nagwek4"/>
        <w:tabs>
          <w:tab w:val="left" w:pos="9914"/>
        </w:tabs>
        <w:rPr>
          <w:rFonts w:ascii="Calibri" w:hAnsi="Calibri" w:cs="Calibri"/>
        </w:rPr>
      </w:pPr>
      <w:r w:rsidRPr="00A23FB4">
        <w:rPr>
          <w:rFonts w:ascii="Calibri" w:hAnsi="Calibri" w:cs="Calibri"/>
        </w:rPr>
        <w:t>2.1. Ogólne wymagania dotyczące materiałów</w:t>
      </w:r>
    </w:p>
    <w:p w14:paraId="30A42C80" w14:textId="08B6062B" w:rsidR="007A7D7A" w:rsidRPr="00A23FB4" w:rsidRDefault="007A7D7A" w:rsidP="004270B2">
      <w:pPr>
        <w:pStyle w:val="StylIwony"/>
        <w:spacing w:before="0" w:after="0"/>
        <w:rPr>
          <w:rFonts w:ascii="Calibri" w:hAnsi="Calibri" w:cs="Calibri"/>
          <w:sz w:val="20"/>
          <w:szCs w:val="20"/>
        </w:rPr>
      </w:pPr>
      <w:r w:rsidRPr="00A23FB4">
        <w:rPr>
          <w:rFonts w:ascii="Calibri" w:hAnsi="Calibri" w:cs="Calibri"/>
          <w:sz w:val="20"/>
          <w:szCs w:val="20"/>
        </w:rPr>
        <w:t xml:space="preserve">Ogólne wymagania dotyczące materiałów, ich pozyskiwania i składowania, podano w </w:t>
      </w:r>
      <w:r w:rsidR="006821AB">
        <w:rPr>
          <w:rFonts w:ascii="Calibri" w:hAnsi="Calibri" w:cs="Calibri"/>
          <w:sz w:val="20"/>
          <w:szCs w:val="20"/>
        </w:rPr>
        <w:t>ST</w:t>
      </w:r>
      <w:r w:rsidRPr="00A23FB4">
        <w:rPr>
          <w:rFonts w:ascii="Calibri" w:hAnsi="Calibri" w:cs="Calibri"/>
          <w:sz w:val="20"/>
          <w:szCs w:val="20"/>
        </w:rPr>
        <w:t>WiORB D-M-00.00.00 „Wymagania ogólne” pkt 2.</w:t>
      </w:r>
    </w:p>
    <w:p w14:paraId="70817C3F" w14:textId="77777777" w:rsidR="00324179" w:rsidRPr="00324179" w:rsidRDefault="00324179" w:rsidP="00324179">
      <w:pPr>
        <w:pStyle w:val="Nagwek4"/>
        <w:rPr>
          <w:rFonts w:ascii="Calibri" w:hAnsi="Calibri" w:cs="Calibri"/>
        </w:rPr>
      </w:pPr>
      <w:r w:rsidRPr="00324179">
        <w:rPr>
          <w:rFonts w:ascii="Calibri" w:hAnsi="Calibri" w:cs="Calibri"/>
        </w:rPr>
        <w:t>2.2 Rodzaje materiałów</w:t>
      </w:r>
    </w:p>
    <w:p w14:paraId="32886FC1" w14:textId="77777777" w:rsidR="00324179" w:rsidRPr="00324179" w:rsidRDefault="00324179" w:rsidP="00324179">
      <w:pPr>
        <w:pStyle w:val="Tekstpodstawowy"/>
        <w:spacing w:line="240" w:lineRule="auto"/>
        <w:jc w:val="both"/>
        <w:rPr>
          <w:rFonts w:ascii="Calibri" w:hAnsi="Calibri" w:cs="Calibri"/>
          <w:sz w:val="20"/>
          <w:szCs w:val="20"/>
        </w:rPr>
      </w:pPr>
      <w:r w:rsidRPr="00324179">
        <w:rPr>
          <w:rFonts w:ascii="Calibri" w:hAnsi="Calibri" w:cs="Calibri"/>
          <w:sz w:val="20"/>
          <w:szCs w:val="20"/>
        </w:rPr>
        <w:t xml:space="preserve">Rodzaje materiałów stosowanych do mieszanki mineralno-asfaltowej podano w tablicy 1. </w:t>
      </w:r>
    </w:p>
    <w:p w14:paraId="37340420" w14:textId="77777777" w:rsidR="00324179" w:rsidRPr="00324179" w:rsidRDefault="00324179" w:rsidP="00324179">
      <w:pPr>
        <w:pStyle w:val="Tekstpodstawowy"/>
        <w:spacing w:line="240" w:lineRule="auto"/>
        <w:jc w:val="both"/>
        <w:rPr>
          <w:rFonts w:ascii="Calibri" w:hAnsi="Calibri" w:cs="Calibri"/>
          <w:sz w:val="20"/>
          <w:szCs w:val="20"/>
        </w:rPr>
      </w:pPr>
    </w:p>
    <w:p w14:paraId="618EFE43" w14:textId="77777777" w:rsidR="00324179" w:rsidRPr="00324179" w:rsidRDefault="00324179" w:rsidP="00324179">
      <w:pPr>
        <w:pStyle w:val="Tekstpodstawowy"/>
        <w:spacing w:line="240" w:lineRule="auto"/>
        <w:jc w:val="both"/>
        <w:rPr>
          <w:rFonts w:ascii="Calibri" w:hAnsi="Calibri" w:cs="Calibri"/>
          <w:sz w:val="20"/>
          <w:szCs w:val="20"/>
        </w:rPr>
      </w:pPr>
      <w:r w:rsidRPr="00324179">
        <w:rPr>
          <w:rFonts w:ascii="Calibri" w:hAnsi="Calibri" w:cs="Calibri"/>
          <w:sz w:val="20"/>
          <w:szCs w:val="20"/>
        </w:rPr>
        <w:t>Tablica 1. Rodzaje materiałów do mieszanki mineralno-asfaltowej</w:t>
      </w:r>
    </w:p>
    <w:p w14:paraId="45BD4AD9" w14:textId="77777777" w:rsidR="00324179" w:rsidRPr="00324179" w:rsidRDefault="00324179" w:rsidP="00324179">
      <w:pPr>
        <w:pStyle w:val="Tekstpodstawowy"/>
        <w:spacing w:line="240" w:lineRule="auto"/>
        <w:jc w:val="both"/>
        <w:rPr>
          <w:rFonts w:ascii="Calibri" w:hAnsi="Calibri" w:cs="Calibri"/>
          <w:sz w:val="20"/>
          <w:szCs w:val="20"/>
        </w:rPr>
      </w:pPr>
    </w:p>
    <w:tbl>
      <w:tblPr>
        <w:tblStyle w:val="TableNormal"/>
        <w:tblW w:w="9491"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2835"/>
        <w:gridCol w:w="1981"/>
        <w:gridCol w:w="2126"/>
        <w:gridCol w:w="1982"/>
      </w:tblGrid>
      <w:tr w:rsidR="00324179" w:rsidRPr="00324179" w14:paraId="226B0D23" w14:textId="77777777" w:rsidTr="00EA573C">
        <w:trPr>
          <w:trHeight w:val="410"/>
        </w:trPr>
        <w:tc>
          <w:tcPr>
            <w:tcW w:w="567" w:type="dxa"/>
            <w:vMerge w:val="restart"/>
            <w:tcBorders>
              <w:top w:val="single" w:sz="4" w:space="0" w:color="000000"/>
              <w:left w:val="single" w:sz="4" w:space="0" w:color="000000"/>
              <w:bottom w:val="single" w:sz="4" w:space="0" w:color="000000"/>
              <w:right w:val="single" w:sz="4" w:space="0" w:color="000000"/>
            </w:tcBorders>
            <w:hideMark/>
          </w:tcPr>
          <w:p w14:paraId="09ED4000" w14:textId="77777777" w:rsidR="00324179" w:rsidRPr="00324179" w:rsidRDefault="00324179" w:rsidP="00324179">
            <w:pPr>
              <w:pStyle w:val="TableParagraph"/>
              <w:rPr>
                <w:rFonts w:ascii="Calibri" w:hAnsi="Calibri" w:cs="Calibri"/>
                <w:sz w:val="20"/>
                <w:szCs w:val="20"/>
              </w:rPr>
            </w:pPr>
            <w:r w:rsidRPr="00324179">
              <w:rPr>
                <w:rFonts w:ascii="Calibri" w:hAnsi="Calibri" w:cs="Calibri"/>
                <w:sz w:val="20"/>
                <w:szCs w:val="20"/>
              </w:rPr>
              <w:t>Lp.</w:t>
            </w:r>
          </w:p>
        </w:tc>
        <w:tc>
          <w:tcPr>
            <w:tcW w:w="2835" w:type="dxa"/>
            <w:vMerge w:val="restart"/>
            <w:tcBorders>
              <w:top w:val="single" w:sz="4" w:space="0" w:color="000000"/>
              <w:left w:val="single" w:sz="4" w:space="0" w:color="000000"/>
              <w:bottom w:val="single" w:sz="4" w:space="0" w:color="000000"/>
              <w:right w:val="single" w:sz="4" w:space="0" w:color="000000"/>
            </w:tcBorders>
            <w:hideMark/>
          </w:tcPr>
          <w:p w14:paraId="6DBCF951" w14:textId="77777777" w:rsidR="00324179" w:rsidRPr="00324179" w:rsidRDefault="00324179" w:rsidP="00324179">
            <w:pPr>
              <w:pStyle w:val="TableParagraph"/>
              <w:rPr>
                <w:rFonts w:ascii="Calibri" w:hAnsi="Calibri" w:cs="Calibri"/>
                <w:sz w:val="20"/>
                <w:szCs w:val="20"/>
              </w:rPr>
            </w:pPr>
            <w:r w:rsidRPr="00324179">
              <w:rPr>
                <w:rFonts w:ascii="Calibri" w:hAnsi="Calibri" w:cs="Calibri"/>
                <w:sz w:val="20"/>
                <w:szCs w:val="20"/>
              </w:rPr>
              <w:t>Rodzaj materiału</w:t>
            </w:r>
          </w:p>
        </w:tc>
        <w:tc>
          <w:tcPr>
            <w:tcW w:w="6089" w:type="dxa"/>
            <w:gridSpan w:val="3"/>
            <w:tcBorders>
              <w:top w:val="single" w:sz="4" w:space="0" w:color="000000"/>
              <w:left w:val="single" w:sz="4" w:space="0" w:color="000000"/>
              <w:bottom w:val="single" w:sz="4" w:space="0" w:color="000000"/>
              <w:right w:val="single" w:sz="4" w:space="0" w:color="000000"/>
            </w:tcBorders>
            <w:hideMark/>
          </w:tcPr>
          <w:p w14:paraId="05B596E9" w14:textId="77777777" w:rsidR="00324179" w:rsidRPr="00324179" w:rsidRDefault="00324179" w:rsidP="00324179">
            <w:pPr>
              <w:pStyle w:val="TableParagraph"/>
              <w:ind w:left="1448"/>
              <w:rPr>
                <w:rFonts w:ascii="Calibri" w:hAnsi="Calibri" w:cs="Calibri"/>
                <w:sz w:val="20"/>
                <w:szCs w:val="20"/>
              </w:rPr>
            </w:pPr>
            <w:r w:rsidRPr="00324179">
              <w:rPr>
                <w:rFonts w:ascii="Calibri" w:hAnsi="Calibri" w:cs="Calibri"/>
                <w:sz w:val="20"/>
                <w:szCs w:val="20"/>
              </w:rPr>
              <w:t>Wymagania wg / dokument odniesienia</w:t>
            </w:r>
          </w:p>
        </w:tc>
      </w:tr>
      <w:tr w:rsidR="00324179" w:rsidRPr="00324179" w14:paraId="3A532896" w14:textId="77777777" w:rsidTr="00EA573C">
        <w:trPr>
          <w:trHeight w:val="410"/>
        </w:trPr>
        <w:tc>
          <w:tcPr>
            <w:tcW w:w="567" w:type="dxa"/>
            <w:vMerge/>
            <w:tcBorders>
              <w:top w:val="single" w:sz="4" w:space="0" w:color="000000"/>
              <w:left w:val="single" w:sz="4" w:space="0" w:color="000000"/>
              <w:bottom w:val="single" w:sz="4" w:space="0" w:color="000000"/>
              <w:right w:val="single" w:sz="4" w:space="0" w:color="000000"/>
            </w:tcBorders>
            <w:vAlign w:val="center"/>
            <w:hideMark/>
          </w:tcPr>
          <w:p w14:paraId="7FE3BCCC" w14:textId="77777777" w:rsidR="00324179" w:rsidRPr="00324179" w:rsidRDefault="00324179" w:rsidP="00324179">
            <w:pPr>
              <w:widowControl/>
              <w:autoSpaceDE/>
              <w:autoSpaceDN/>
              <w:rPr>
                <w:rFonts w:ascii="Calibri" w:eastAsia="Arial" w:hAnsi="Calibri" w:cs="Calibri"/>
              </w:rPr>
            </w:pPr>
          </w:p>
        </w:tc>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5ECECA14" w14:textId="77777777" w:rsidR="00324179" w:rsidRPr="00324179" w:rsidRDefault="00324179" w:rsidP="00324179">
            <w:pPr>
              <w:widowControl/>
              <w:autoSpaceDE/>
              <w:autoSpaceDN/>
              <w:rPr>
                <w:rFonts w:ascii="Calibri" w:eastAsia="Arial" w:hAnsi="Calibri" w:cs="Calibri"/>
              </w:rPr>
            </w:pPr>
          </w:p>
        </w:tc>
        <w:tc>
          <w:tcPr>
            <w:tcW w:w="1981" w:type="dxa"/>
            <w:tcBorders>
              <w:top w:val="single" w:sz="4" w:space="0" w:color="000000"/>
              <w:left w:val="single" w:sz="4" w:space="0" w:color="000000"/>
              <w:bottom w:val="single" w:sz="4" w:space="0" w:color="000000"/>
              <w:right w:val="single" w:sz="4" w:space="0" w:color="000000"/>
            </w:tcBorders>
            <w:hideMark/>
          </w:tcPr>
          <w:p w14:paraId="3E2B57BA" w14:textId="77777777" w:rsidR="00324179" w:rsidRPr="00324179" w:rsidRDefault="00324179" w:rsidP="00324179">
            <w:pPr>
              <w:pStyle w:val="TableParagraph"/>
              <w:ind w:left="150" w:right="144"/>
              <w:jc w:val="center"/>
              <w:rPr>
                <w:rFonts w:ascii="Calibri" w:hAnsi="Calibri" w:cs="Calibri"/>
                <w:sz w:val="20"/>
                <w:szCs w:val="20"/>
              </w:rPr>
            </w:pPr>
            <w:r w:rsidRPr="00324179">
              <w:rPr>
                <w:rFonts w:ascii="Calibri" w:hAnsi="Calibri" w:cs="Calibri"/>
                <w:sz w:val="20"/>
                <w:szCs w:val="20"/>
              </w:rPr>
              <w:t>KR 1-2</w:t>
            </w:r>
          </w:p>
        </w:tc>
        <w:tc>
          <w:tcPr>
            <w:tcW w:w="2126" w:type="dxa"/>
            <w:tcBorders>
              <w:top w:val="single" w:sz="4" w:space="0" w:color="000000"/>
              <w:left w:val="single" w:sz="4" w:space="0" w:color="000000"/>
              <w:bottom w:val="single" w:sz="4" w:space="0" w:color="000000"/>
              <w:right w:val="single" w:sz="4" w:space="0" w:color="000000"/>
            </w:tcBorders>
            <w:hideMark/>
          </w:tcPr>
          <w:p w14:paraId="1FD15B15" w14:textId="77777777" w:rsidR="00324179" w:rsidRPr="00324179" w:rsidRDefault="00324179" w:rsidP="00324179">
            <w:pPr>
              <w:pStyle w:val="TableParagraph"/>
              <w:ind w:right="100"/>
              <w:jc w:val="center"/>
              <w:rPr>
                <w:rFonts w:ascii="Calibri" w:hAnsi="Calibri" w:cs="Calibri"/>
                <w:sz w:val="20"/>
                <w:szCs w:val="20"/>
              </w:rPr>
            </w:pPr>
            <w:r w:rsidRPr="00324179">
              <w:rPr>
                <w:rFonts w:ascii="Calibri" w:hAnsi="Calibri" w:cs="Calibri"/>
                <w:sz w:val="20"/>
                <w:szCs w:val="20"/>
              </w:rPr>
              <w:t>KR3-4</w:t>
            </w:r>
          </w:p>
        </w:tc>
        <w:tc>
          <w:tcPr>
            <w:tcW w:w="1982" w:type="dxa"/>
            <w:tcBorders>
              <w:top w:val="single" w:sz="4" w:space="0" w:color="000000"/>
              <w:left w:val="single" w:sz="4" w:space="0" w:color="000000"/>
              <w:bottom w:val="single" w:sz="4" w:space="0" w:color="000000"/>
              <w:right w:val="single" w:sz="4" w:space="0" w:color="000000"/>
            </w:tcBorders>
            <w:hideMark/>
          </w:tcPr>
          <w:p w14:paraId="3D9FE64F" w14:textId="77777777" w:rsidR="00324179" w:rsidRPr="00324179" w:rsidRDefault="00324179" w:rsidP="00324179">
            <w:pPr>
              <w:pStyle w:val="TableParagraph"/>
              <w:ind w:left="720" w:right="713"/>
              <w:jc w:val="center"/>
              <w:rPr>
                <w:rFonts w:ascii="Calibri" w:hAnsi="Calibri" w:cs="Calibri"/>
                <w:sz w:val="20"/>
                <w:szCs w:val="20"/>
              </w:rPr>
            </w:pPr>
            <w:r w:rsidRPr="00324179">
              <w:rPr>
                <w:rFonts w:ascii="Calibri" w:hAnsi="Calibri" w:cs="Calibri"/>
                <w:sz w:val="20"/>
                <w:szCs w:val="20"/>
              </w:rPr>
              <w:t>≥KR5</w:t>
            </w:r>
          </w:p>
        </w:tc>
      </w:tr>
      <w:tr w:rsidR="00324179" w:rsidRPr="00324179" w14:paraId="2C9D643F" w14:textId="77777777" w:rsidTr="00EA573C">
        <w:trPr>
          <w:trHeight w:val="410"/>
        </w:trPr>
        <w:tc>
          <w:tcPr>
            <w:tcW w:w="567" w:type="dxa"/>
            <w:tcBorders>
              <w:top w:val="single" w:sz="4" w:space="0" w:color="000000"/>
              <w:left w:val="single" w:sz="4" w:space="0" w:color="000000"/>
              <w:bottom w:val="single" w:sz="4" w:space="0" w:color="000000"/>
              <w:right w:val="single" w:sz="4" w:space="0" w:color="000000"/>
            </w:tcBorders>
            <w:hideMark/>
          </w:tcPr>
          <w:p w14:paraId="2348CBB3" w14:textId="77777777" w:rsidR="00324179" w:rsidRPr="00324179" w:rsidRDefault="00324179" w:rsidP="00324179">
            <w:pPr>
              <w:pStyle w:val="TableParagraph"/>
              <w:jc w:val="center"/>
              <w:rPr>
                <w:rFonts w:ascii="Calibri" w:hAnsi="Calibri" w:cs="Calibri"/>
                <w:sz w:val="20"/>
                <w:szCs w:val="20"/>
              </w:rPr>
            </w:pPr>
            <w:r w:rsidRPr="00324179">
              <w:rPr>
                <w:rFonts w:ascii="Calibri" w:hAnsi="Calibri" w:cs="Calibri"/>
                <w:w w:val="99"/>
                <w:sz w:val="20"/>
                <w:szCs w:val="20"/>
              </w:rPr>
              <w:t>1</w:t>
            </w:r>
          </w:p>
        </w:tc>
        <w:tc>
          <w:tcPr>
            <w:tcW w:w="2835" w:type="dxa"/>
            <w:tcBorders>
              <w:top w:val="single" w:sz="4" w:space="0" w:color="000000"/>
              <w:left w:val="single" w:sz="4" w:space="0" w:color="000000"/>
              <w:bottom w:val="single" w:sz="4" w:space="0" w:color="000000"/>
              <w:right w:val="single" w:sz="4" w:space="0" w:color="000000"/>
            </w:tcBorders>
            <w:hideMark/>
          </w:tcPr>
          <w:p w14:paraId="3ABB5743" w14:textId="77777777" w:rsidR="00324179" w:rsidRPr="00324179" w:rsidRDefault="00324179" w:rsidP="00324179">
            <w:pPr>
              <w:pStyle w:val="TableParagraph"/>
              <w:jc w:val="both"/>
              <w:rPr>
                <w:rFonts w:ascii="Calibri" w:hAnsi="Calibri" w:cs="Calibri"/>
                <w:sz w:val="20"/>
                <w:szCs w:val="20"/>
              </w:rPr>
            </w:pPr>
            <w:r w:rsidRPr="00324179">
              <w:rPr>
                <w:rFonts w:ascii="Calibri" w:hAnsi="Calibri" w:cs="Calibri"/>
                <w:sz w:val="20"/>
                <w:szCs w:val="20"/>
              </w:rPr>
              <w:t>Kruszywo grube</w:t>
            </w:r>
          </w:p>
        </w:tc>
        <w:tc>
          <w:tcPr>
            <w:tcW w:w="6089" w:type="dxa"/>
            <w:gridSpan w:val="3"/>
            <w:tcBorders>
              <w:top w:val="single" w:sz="4" w:space="0" w:color="000000"/>
              <w:left w:val="single" w:sz="4" w:space="0" w:color="000000"/>
              <w:bottom w:val="single" w:sz="4" w:space="0" w:color="000000"/>
              <w:right w:val="single" w:sz="4" w:space="0" w:color="000000"/>
            </w:tcBorders>
            <w:hideMark/>
          </w:tcPr>
          <w:p w14:paraId="400F78E3" w14:textId="77777777" w:rsidR="00324179" w:rsidRPr="00324179" w:rsidRDefault="00324179" w:rsidP="00324179">
            <w:pPr>
              <w:pStyle w:val="TableParagraph"/>
              <w:ind w:left="1821"/>
              <w:rPr>
                <w:rFonts w:ascii="Calibri" w:hAnsi="Calibri" w:cs="Calibri"/>
                <w:sz w:val="20"/>
                <w:szCs w:val="20"/>
              </w:rPr>
            </w:pPr>
            <w:r w:rsidRPr="00324179">
              <w:rPr>
                <w:rFonts w:ascii="Calibri" w:hAnsi="Calibri" w:cs="Calibri"/>
                <w:sz w:val="20"/>
                <w:szCs w:val="20"/>
              </w:rPr>
              <w:t>WT-1 Kruszywa 2014 tabela 4,</w:t>
            </w:r>
          </w:p>
        </w:tc>
      </w:tr>
      <w:tr w:rsidR="00324179" w:rsidRPr="00324179" w14:paraId="6AD08672" w14:textId="77777777" w:rsidTr="00EA573C">
        <w:trPr>
          <w:trHeight w:val="640"/>
        </w:trPr>
        <w:tc>
          <w:tcPr>
            <w:tcW w:w="567" w:type="dxa"/>
            <w:tcBorders>
              <w:top w:val="single" w:sz="4" w:space="0" w:color="000000"/>
              <w:left w:val="single" w:sz="4" w:space="0" w:color="000000"/>
              <w:bottom w:val="single" w:sz="4" w:space="0" w:color="000000"/>
              <w:right w:val="single" w:sz="4" w:space="0" w:color="000000"/>
            </w:tcBorders>
            <w:hideMark/>
          </w:tcPr>
          <w:p w14:paraId="2D1B9F2D" w14:textId="77777777" w:rsidR="00324179" w:rsidRPr="00324179" w:rsidRDefault="00324179" w:rsidP="00324179">
            <w:pPr>
              <w:pStyle w:val="TableParagraph"/>
              <w:jc w:val="center"/>
              <w:rPr>
                <w:rFonts w:ascii="Calibri" w:hAnsi="Calibri" w:cs="Calibri"/>
                <w:sz w:val="20"/>
                <w:szCs w:val="20"/>
              </w:rPr>
            </w:pPr>
            <w:r w:rsidRPr="00324179">
              <w:rPr>
                <w:rFonts w:ascii="Calibri" w:hAnsi="Calibri" w:cs="Calibri"/>
                <w:w w:val="99"/>
                <w:sz w:val="20"/>
                <w:szCs w:val="20"/>
              </w:rPr>
              <w:t>2</w:t>
            </w:r>
          </w:p>
        </w:tc>
        <w:tc>
          <w:tcPr>
            <w:tcW w:w="2835" w:type="dxa"/>
            <w:tcBorders>
              <w:top w:val="single" w:sz="4" w:space="0" w:color="000000"/>
              <w:left w:val="single" w:sz="4" w:space="0" w:color="000000"/>
              <w:bottom w:val="single" w:sz="4" w:space="0" w:color="000000"/>
              <w:right w:val="single" w:sz="4" w:space="0" w:color="000000"/>
            </w:tcBorders>
            <w:hideMark/>
          </w:tcPr>
          <w:p w14:paraId="17B65678" w14:textId="77777777" w:rsidR="00324179" w:rsidRPr="00324179" w:rsidRDefault="00324179" w:rsidP="00324179">
            <w:pPr>
              <w:pStyle w:val="TableParagraph"/>
              <w:tabs>
                <w:tab w:val="left" w:pos="1189"/>
                <w:tab w:val="left" w:pos="2029"/>
                <w:tab w:val="left" w:pos="2517"/>
              </w:tabs>
              <w:ind w:right="96"/>
              <w:jc w:val="both"/>
              <w:rPr>
                <w:rFonts w:ascii="Calibri" w:hAnsi="Calibri" w:cs="Calibri"/>
                <w:sz w:val="20"/>
                <w:szCs w:val="20"/>
                <w:lang w:val="pl-PL"/>
              </w:rPr>
            </w:pPr>
            <w:r w:rsidRPr="00324179">
              <w:rPr>
                <w:rFonts w:ascii="Calibri" w:hAnsi="Calibri" w:cs="Calibri"/>
                <w:sz w:val="20"/>
                <w:szCs w:val="20"/>
                <w:lang w:val="pl-PL"/>
              </w:rPr>
              <w:t>Kruszywo drobne lub o</w:t>
            </w:r>
            <w:r w:rsidRPr="00324179">
              <w:rPr>
                <w:rFonts w:ascii="Calibri" w:hAnsi="Calibri" w:cs="Calibri"/>
                <w:w w:val="99"/>
                <w:sz w:val="20"/>
                <w:szCs w:val="20"/>
                <w:lang w:val="pl-PL"/>
              </w:rPr>
              <w:t xml:space="preserve"> </w:t>
            </w:r>
            <w:r w:rsidRPr="00324179">
              <w:rPr>
                <w:rFonts w:ascii="Calibri" w:hAnsi="Calibri" w:cs="Calibri"/>
                <w:sz w:val="20"/>
                <w:szCs w:val="20"/>
                <w:lang w:val="pl-PL"/>
              </w:rPr>
              <w:t>ciągłym uziarnieniu</w:t>
            </w:r>
            <w:r w:rsidRPr="00324179">
              <w:rPr>
                <w:rFonts w:ascii="Calibri" w:hAnsi="Calibri" w:cs="Calibri"/>
                <w:spacing w:val="-1"/>
                <w:sz w:val="20"/>
                <w:szCs w:val="20"/>
                <w:lang w:val="pl-PL"/>
              </w:rPr>
              <w:t xml:space="preserve"> </w:t>
            </w:r>
            <w:r w:rsidRPr="00324179">
              <w:rPr>
                <w:rFonts w:ascii="Calibri" w:hAnsi="Calibri" w:cs="Calibri"/>
                <w:sz w:val="20"/>
                <w:szCs w:val="20"/>
                <w:lang w:val="pl-PL"/>
              </w:rPr>
              <w:t>D≤8</w:t>
            </w:r>
          </w:p>
        </w:tc>
        <w:tc>
          <w:tcPr>
            <w:tcW w:w="6089" w:type="dxa"/>
            <w:gridSpan w:val="3"/>
            <w:tcBorders>
              <w:top w:val="single" w:sz="4" w:space="0" w:color="000000"/>
              <w:left w:val="single" w:sz="4" w:space="0" w:color="000000"/>
              <w:bottom w:val="single" w:sz="4" w:space="0" w:color="000000"/>
              <w:right w:val="single" w:sz="4" w:space="0" w:color="000000"/>
            </w:tcBorders>
            <w:hideMark/>
          </w:tcPr>
          <w:p w14:paraId="491FFA42" w14:textId="77777777" w:rsidR="00324179" w:rsidRPr="00324179" w:rsidRDefault="00324179" w:rsidP="00324179">
            <w:pPr>
              <w:pStyle w:val="TableParagraph"/>
              <w:ind w:left="1681"/>
              <w:rPr>
                <w:rFonts w:ascii="Calibri" w:hAnsi="Calibri" w:cs="Calibri"/>
                <w:sz w:val="20"/>
                <w:szCs w:val="20"/>
              </w:rPr>
            </w:pPr>
            <w:r w:rsidRPr="00324179">
              <w:rPr>
                <w:rFonts w:ascii="Calibri" w:hAnsi="Calibri" w:cs="Calibri"/>
                <w:sz w:val="20"/>
                <w:szCs w:val="20"/>
              </w:rPr>
              <w:t>WT-1 Kruszywa 2014, tabela 5, 6,</w:t>
            </w:r>
          </w:p>
        </w:tc>
      </w:tr>
      <w:tr w:rsidR="00324179" w:rsidRPr="00324179" w14:paraId="6AD41017" w14:textId="77777777" w:rsidTr="00EA573C">
        <w:trPr>
          <w:trHeight w:val="419"/>
        </w:trPr>
        <w:tc>
          <w:tcPr>
            <w:tcW w:w="567" w:type="dxa"/>
            <w:tcBorders>
              <w:top w:val="single" w:sz="4" w:space="0" w:color="000000"/>
              <w:left w:val="single" w:sz="4" w:space="0" w:color="000000"/>
              <w:bottom w:val="single" w:sz="4" w:space="0" w:color="000000"/>
              <w:right w:val="single" w:sz="4" w:space="0" w:color="000000"/>
            </w:tcBorders>
            <w:hideMark/>
          </w:tcPr>
          <w:p w14:paraId="5CC2C6C3" w14:textId="77777777" w:rsidR="00324179" w:rsidRPr="00324179" w:rsidRDefault="00324179" w:rsidP="00324179">
            <w:pPr>
              <w:pStyle w:val="TableParagraph"/>
              <w:jc w:val="center"/>
              <w:rPr>
                <w:rFonts w:ascii="Calibri" w:hAnsi="Calibri" w:cs="Calibri"/>
                <w:sz w:val="20"/>
                <w:szCs w:val="20"/>
              </w:rPr>
            </w:pPr>
            <w:r w:rsidRPr="00324179">
              <w:rPr>
                <w:rFonts w:ascii="Calibri" w:hAnsi="Calibri" w:cs="Calibri"/>
                <w:w w:val="99"/>
                <w:sz w:val="20"/>
                <w:szCs w:val="20"/>
              </w:rPr>
              <w:t>3</w:t>
            </w:r>
          </w:p>
        </w:tc>
        <w:tc>
          <w:tcPr>
            <w:tcW w:w="2835" w:type="dxa"/>
            <w:tcBorders>
              <w:top w:val="single" w:sz="4" w:space="0" w:color="000000"/>
              <w:left w:val="single" w:sz="4" w:space="0" w:color="000000"/>
              <w:bottom w:val="single" w:sz="4" w:space="0" w:color="000000"/>
              <w:right w:val="single" w:sz="4" w:space="0" w:color="000000"/>
            </w:tcBorders>
            <w:hideMark/>
          </w:tcPr>
          <w:p w14:paraId="375010B7" w14:textId="77777777" w:rsidR="00324179" w:rsidRPr="00324179" w:rsidRDefault="00324179" w:rsidP="00324179">
            <w:pPr>
              <w:pStyle w:val="TableParagraph"/>
              <w:tabs>
                <w:tab w:val="left" w:pos="1405"/>
                <w:tab w:val="left" w:pos="1948"/>
              </w:tabs>
              <w:ind w:right="98"/>
              <w:jc w:val="both"/>
              <w:rPr>
                <w:rFonts w:ascii="Calibri" w:hAnsi="Calibri" w:cs="Calibri"/>
                <w:sz w:val="20"/>
                <w:szCs w:val="20"/>
              </w:rPr>
            </w:pPr>
            <w:r w:rsidRPr="00324179">
              <w:rPr>
                <w:rFonts w:ascii="Calibri" w:hAnsi="Calibri" w:cs="Calibri"/>
                <w:sz w:val="20"/>
                <w:szCs w:val="20"/>
              </w:rPr>
              <w:t>Kruszywo o ciągłym uziarnieniu</w:t>
            </w:r>
          </w:p>
        </w:tc>
        <w:tc>
          <w:tcPr>
            <w:tcW w:w="6089" w:type="dxa"/>
            <w:gridSpan w:val="3"/>
            <w:tcBorders>
              <w:top w:val="single" w:sz="4" w:space="0" w:color="000000"/>
              <w:left w:val="single" w:sz="4" w:space="0" w:color="000000"/>
              <w:bottom w:val="single" w:sz="4" w:space="0" w:color="000000"/>
              <w:right w:val="single" w:sz="4" w:space="0" w:color="000000"/>
            </w:tcBorders>
            <w:hideMark/>
          </w:tcPr>
          <w:p w14:paraId="159E0936" w14:textId="77777777" w:rsidR="00324179" w:rsidRPr="00324179" w:rsidRDefault="00324179" w:rsidP="00324179">
            <w:pPr>
              <w:pStyle w:val="TableParagraph"/>
              <w:ind w:left="1737"/>
              <w:rPr>
                <w:rFonts w:ascii="Calibri" w:hAnsi="Calibri" w:cs="Calibri"/>
                <w:sz w:val="20"/>
                <w:szCs w:val="20"/>
              </w:rPr>
            </w:pPr>
            <w:r w:rsidRPr="00324179">
              <w:rPr>
                <w:rFonts w:ascii="Calibri" w:hAnsi="Calibri" w:cs="Calibri"/>
                <w:sz w:val="20"/>
                <w:szCs w:val="20"/>
              </w:rPr>
              <w:t>WT-1 Kruszywa 2014, tabela 6a,</w:t>
            </w:r>
          </w:p>
        </w:tc>
      </w:tr>
      <w:tr w:rsidR="00324179" w:rsidRPr="00324179" w14:paraId="557BEE12" w14:textId="77777777" w:rsidTr="00EA573C">
        <w:trPr>
          <w:trHeight w:val="410"/>
        </w:trPr>
        <w:tc>
          <w:tcPr>
            <w:tcW w:w="567" w:type="dxa"/>
            <w:tcBorders>
              <w:top w:val="single" w:sz="4" w:space="0" w:color="000000"/>
              <w:left w:val="single" w:sz="4" w:space="0" w:color="000000"/>
              <w:bottom w:val="single" w:sz="4" w:space="0" w:color="000000"/>
              <w:right w:val="single" w:sz="4" w:space="0" w:color="000000"/>
            </w:tcBorders>
            <w:hideMark/>
          </w:tcPr>
          <w:p w14:paraId="647A3A64" w14:textId="77777777" w:rsidR="00324179" w:rsidRPr="00324179" w:rsidRDefault="00324179" w:rsidP="00324179">
            <w:pPr>
              <w:pStyle w:val="TableParagraph"/>
              <w:jc w:val="center"/>
              <w:rPr>
                <w:rFonts w:ascii="Calibri" w:hAnsi="Calibri" w:cs="Calibri"/>
                <w:sz w:val="20"/>
                <w:szCs w:val="20"/>
              </w:rPr>
            </w:pPr>
            <w:r w:rsidRPr="00324179">
              <w:rPr>
                <w:rFonts w:ascii="Calibri" w:hAnsi="Calibri" w:cs="Calibri"/>
                <w:w w:val="99"/>
                <w:sz w:val="20"/>
                <w:szCs w:val="20"/>
              </w:rPr>
              <w:t>4</w:t>
            </w:r>
          </w:p>
        </w:tc>
        <w:tc>
          <w:tcPr>
            <w:tcW w:w="2835" w:type="dxa"/>
            <w:tcBorders>
              <w:top w:val="single" w:sz="4" w:space="0" w:color="000000"/>
              <w:left w:val="single" w:sz="4" w:space="0" w:color="000000"/>
              <w:bottom w:val="single" w:sz="4" w:space="0" w:color="000000"/>
              <w:right w:val="single" w:sz="4" w:space="0" w:color="000000"/>
            </w:tcBorders>
            <w:hideMark/>
          </w:tcPr>
          <w:p w14:paraId="401EE7DE" w14:textId="77777777" w:rsidR="00324179" w:rsidRPr="00324179" w:rsidRDefault="00324179" w:rsidP="00324179">
            <w:pPr>
              <w:pStyle w:val="TableParagraph"/>
              <w:jc w:val="both"/>
              <w:rPr>
                <w:rFonts w:ascii="Calibri" w:hAnsi="Calibri" w:cs="Calibri"/>
                <w:sz w:val="20"/>
                <w:szCs w:val="20"/>
              </w:rPr>
            </w:pPr>
            <w:r w:rsidRPr="00324179">
              <w:rPr>
                <w:rFonts w:ascii="Calibri" w:hAnsi="Calibri" w:cs="Calibri"/>
                <w:sz w:val="20"/>
                <w:szCs w:val="20"/>
              </w:rPr>
              <w:t>Wypełniacz</w:t>
            </w:r>
          </w:p>
        </w:tc>
        <w:tc>
          <w:tcPr>
            <w:tcW w:w="6089" w:type="dxa"/>
            <w:gridSpan w:val="3"/>
            <w:tcBorders>
              <w:top w:val="single" w:sz="4" w:space="0" w:color="000000"/>
              <w:left w:val="single" w:sz="4" w:space="0" w:color="000000"/>
              <w:bottom w:val="single" w:sz="4" w:space="0" w:color="000000"/>
              <w:right w:val="single" w:sz="4" w:space="0" w:color="000000"/>
            </w:tcBorders>
            <w:hideMark/>
          </w:tcPr>
          <w:p w14:paraId="7CB20BCF" w14:textId="77777777" w:rsidR="00324179" w:rsidRPr="00324179" w:rsidRDefault="00324179" w:rsidP="00324179">
            <w:pPr>
              <w:pStyle w:val="TableParagraph"/>
              <w:ind w:left="1821"/>
              <w:rPr>
                <w:rFonts w:ascii="Calibri" w:hAnsi="Calibri" w:cs="Calibri"/>
                <w:sz w:val="20"/>
                <w:szCs w:val="20"/>
              </w:rPr>
            </w:pPr>
            <w:r w:rsidRPr="00324179">
              <w:rPr>
                <w:rFonts w:ascii="Calibri" w:hAnsi="Calibri" w:cs="Calibri"/>
                <w:sz w:val="20"/>
                <w:szCs w:val="20"/>
              </w:rPr>
              <w:t>WT-1 Kruszywa 2014, tabela 7</w:t>
            </w:r>
          </w:p>
        </w:tc>
      </w:tr>
      <w:tr w:rsidR="00324179" w:rsidRPr="00F97DAB" w14:paraId="7903818D" w14:textId="77777777" w:rsidTr="00EA573C">
        <w:trPr>
          <w:trHeight w:val="760"/>
        </w:trPr>
        <w:tc>
          <w:tcPr>
            <w:tcW w:w="567" w:type="dxa"/>
            <w:tcBorders>
              <w:top w:val="single" w:sz="4" w:space="0" w:color="000000"/>
              <w:left w:val="single" w:sz="4" w:space="0" w:color="000000"/>
              <w:bottom w:val="single" w:sz="4" w:space="0" w:color="000000"/>
              <w:right w:val="single" w:sz="4" w:space="0" w:color="000000"/>
            </w:tcBorders>
            <w:hideMark/>
          </w:tcPr>
          <w:p w14:paraId="0E691BB5" w14:textId="77777777" w:rsidR="00324179" w:rsidRPr="00324179" w:rsidRDefault="00324179" w:rsidP="00324179">
            <w:pPr>
              <w:pStyle w:val="TableParagraph"/>
              <w:jc w:val="center"/>
              <w:rPr>
                <w:rFonts w:ascii="Calibri" w:hAnsi="Calibri" w:cs="Calibri"/>
                <w:sz w:val="20"/>
                <w:szCs w:val="20"/>
              </w:rPr>
            </w:pPr>
            <w:r w:rsidRPr="00324179">
              <w:rPr>
                <w:rFonts w:ascii="Calibri" w:hAnsi="Calibri" w:cs="Calibri"/>
                <w:w w:val="99"/>
                <w:sz w:val="20"/>
                <w:szCs w:val="20"/>
              </w:rPr>
              <w:t>5</w:t>
            </w:r>
          </w:p>
        </w:tc>
        <w:tc>
          <w:tcPr>
            <w:tcW w:w="2835" w:type="dxa"/>
            <w:tcBorders>
              <w:top w:val="single" w:sz="4" w:space="0" w:color="000000"/>
              <w:left w:val="single" w:sz="4" w:space="0" w:color="000000"/>
              <w:bottom w:val="single" w:sz="4" w:space="0" w:color="000000"/>
              <w:right w:val="single" w:sz="4" w:space="0" w:color="000000"/>
            </w:tcBorders>
            <w:hideMark/>
          </w:tcPr>
          <w:p w14:paraId="7158A932" w14:textId="77777777" w:rsidR="00324179" w:rsidRPr="00324179" w:rsidRDefault="00324179" w:rsidP="00324179">
            <w:pPr>
              <w:pStyle w:val="TableParagraph"/>
              <w:jc w:val="both"/>
              <w:rPr>
                <w:rFonts w:ascii="Calibri" w:hAnsi="Calibri" w:cs="Calibri"/>
                <w:sz w:val="20"/>
                <w:szCs w:val="20"/>
              </w:rPr>
            </w:pPr>
            <w:r w:rsidRPr="00324179">
              <w:rPr>
                <w:rFonts w:ascii="Calibri" w:hAnsi="Calibri" w:cs="Calibri"/>
                <w:sz w:val="20"/>
                <w:szCs w:val="20"/>
              </w:rPr>
              <w:t>Lepiszcze</w:t>
            </w:r>
          </w:p>
        </w:tc>
        <w:tc>
          <w:tcPr>
            <w:tcW w:w="6089" w:type="dxa"/>
            <w:gridSpan w:val="3"/>
            <w:tcBorders>
              <w:top w:val="single" w:sz="4" w:space="0" w:color="000000"/>
              <w:left w:val="single" w:sz="4" w:space="0" w:color="000000"/>
              <w:bottom w:val="single" w:sz="4" w:space="0" w:color="000000"/>
              <w:right w:val="single" w:sz="4" w:space="0" w:color="000000"/>
            </w:tcBorders>
            <w:hideMark/>
          </w:tcPr>
          <w:p w14:paraId="715FD713" w14:textId="77777777" w:rsidR="00324179" w:rsidRPr="00324179" w:rsidRDefault="00324179" w:rsidP="00324179">
            <w:pPr>
              <w:pStyle w:val="TableParagraph"/>
              <w:ind w:left="1710"/>
              <w:rPr>
                <w:rFonts w:ascii="Calibri" w:eastAsia="Arial" w:hAnsi="Calibri" w:cs="Calibri"/>
                <w:sz w:val="20"/>
                <w:szCs w:val="20"/>
              </w:rPr>
            </w:pPr>
            <w:r w:rsidRPr="00324179">
              <w:rPr>
                <w:rFonts w:ascii="Calibri" w:hAnsi="Calibri" w:cs="Calibri"/>
                <w:sz w:val="20"/>
                <w:szCs w:val="20"/>
              </w:rPr>
              <w:t>WT-2 2014 Tab. 5, PN-EN 14023</w:t>
            </w:r>
          </w:p>
          <w:p w14:paraId="04CAF41C" w14:textId="77777777" w:rsidR="00324179" w:rsidRPr="00324179" w:rsidRDefault="00324179" w:rsidP="00324179">
            <w:pPr>
              <w:pStyle w:val="TableParagraph"/>
              <w:ind w:left="1809"/>
              <w:rPr>
                <w:rFonts w:ascii="Calibri" w:hAnsi="Calibri" w:cs="Calibri"/>
                <w:sz w:val="20"/>
                <w:szCs w:val="20"/>
              </w:rPr>
            </w:pPr>
            <w:r w:rsidRPr="00324179">
              <w:rPr>
                <w:rFonts w:ascii="Calibri" w:hAnsi="Calibri" w:cs="Calibri"/>
                <w:sz w:val="20"/>
                <w:szCs w:val="20"/>
              </w:rPr>
              <w:t>PN-EN 12591, PN-EN 13924-2</w:t>
            </w:r>
          </w:p>
        </w:tc>
      </w:tr>
      <w:tr w:rsidR="00324179" w:rsidRPr="00324179" w14:paraId="010B7128" w14:textId="77777777" w:rsidTr="00EA573C">
        <w:trPr>
          <w:trHeight w:val="499"/>
        </w:trPr>
        <w:tc>
          <w:tcPr>
            <w:tcW w:w="567" w:type="dxa"/>
            <w:tcBorders>
              <w:top w:val="single" w:sz="4" w:space="0" w:color="000000"/>
              <w:left w:val="single" w:sz="4" w:space="0" w:color="000000"/>
              <w:bottom w:val="single" w:sz="4" w:space="0" w:color="000000"/>
              <w:right w:val="single" w:sz="4" w:space="0" w:color="000000"/>
            </w:tcBorders>
            <w:hideMark/>
          </w:tcPr>
          <w:p w14:paraId="168E04F2" w14:textId="77777777" w:rsidR="00324179" w:rsidRPr="00324179" w:rsidRDefault="00324179" w:rsidP="00324179">
            <w:pPr>
              <w:pStyle w:val="TableParagraph"/>
              <w:jc w:val="center"/>
              <w:rPr>
                <w:rFonts w:ascii="Calibri" w:hAnsi="Calibri" w:cs="Calibri"/>
                <w:sz w:val="20"/>
                <w:szCs w:val="20"/>
              </w:rPr>
            </w:pPr>
            <w:r w:rsidRPr="00324179">
              <w:rPr>
                <w:rFonts w:ascii="Calibri" w:hAnsi="Calibri" w:cs="Calibri"/>
                <w:w w:val="99"/>
                <w:sz w:val="20"/>
                <w:szCs w:val="20"/>
              </w:rPr>
              <w:t>6</w:t>
            </w:r>
          </w:p>
        </w:tc>
        <w:tc>
          <w:tcPr>
            <w:tcW w:w="2835" w:type="dxa"/>
            <w:tcBorders>
              <w:top w:val="single" w:sz="4" w:space="0" w:color="000000"/>
              <w:left w:val="single" w:sz="4" w:space="0" w:color="000000"/>
              <w:bottom w:val="single" w:sz="4" w:space="0" w:color="000000"/>
              <w:right w:val="single" w:sz="4" w:space="0" w:color="000000"/>
            </w:tcBorders>
            <w:hideMark/>
          </w:tcPr>
          <w:p w14:paraId="6160822B" w14:textId="77777777" w:rsidR="00324179" w:rsidRPr="00324179" w:rsidRDefault="00324179" w:rsidP="00324179">
            <w:pPr>
              <w:pStyle w:val="TableParagraph"/>
              <w:jc w:val="both"/>
              <w:rPr>
                <w:rFonts w:ascii="Calibri" w:hAnsi="Calibri" w:cs="Calibri"/>
                <w:sz w:val="20"/>
                <w:szCs w:val="20"/>
              </w:rPr>
            </w:pPr>
            <w:r w:rsidRPr="00324179">
              <w:rPr>
                <w:rFonts w:ascii="Calibri" w:hAnsi="Calibri" w:cs="Calibri"/>
                <w:sz w:val="20"/>
                <w:szCs w:val="20"/>
              </w:rPr>
              <w:t>Środek adhezyjny</w:t>
            </w:r>
          </w:p>
        </w:tc>
        <w:tc>
          <w:tcPr>
            <w:tcW w:w="6089" w:type="dxa"/>
            <w:gridSpan w:val="3"/>
            <w:tcBorders>
              <w:top w:val="single" w:sz="4" w:space="0" w:color="000000"/>
              <w:left w:val="single" w:sz="4" w:space="0" w:color="000000"/>
              <w:bottom w:val="single" w:sz="4" w:space="0" w:color="000000"/>
              <w:right w:val="single" w:sz="4" w:space="0" w:color="000000"/>
            </w:tcBorders>
            <w:hideMark/>
          </w:tcPr>
          <w:p w14:paraId="4E6E85AF" w14:textId="77777777" w:rsidR="00324179" w:rsidRPr="00324179" w:rsidRDefault="00324179" w:rsidP="00324179">
            <w:pPr>
              <w:pStyle w:val="TableParagraph"/>
              <w:tabs>
                <w:tab w:val="left" w:pos="6089"/>
              </w:tabs>
              <w:rPr>
                <w:rFonts w:ascii="Calibri" w:hAnsi="Calibri" w:cs="Calibri"/>
                <w:sz w:val="20"/>
                <w:szCs w:val="20"/>
                <w:lang w:val="pl-PL"/>
              </w:rPr>
            </w:pPr>
            <w:r w:rsidRPr="00324179">
              <w:rPr>
                <w:rFonts w:ascii="Calibri" w:hAnsi="Calibri" w:cs="Calibri"/>
                <w:sz w:val="20"/>
                <w:szCs w:val="20"/>
                <w:lang w:val="pl-PL"/>
              </w:rPr>
              <w:t>wg Aprobaty Technicznej lub zgodnie z zapisami p. 4.1 PN-EN 13108-1</w:t>
            </w:r>
          </w:p>
        </w:tc>
      </w:tr>
      <w:tr w:rsidR="00324179" w:rsidRPr="00324179" w14:paraId="270F2B83" w14:textId="77777777" w:rsidTr="00EA573C">
        <w:trPr>
          <w:trHeight w:val="638"/>
        </w:trPr>
        <w:tc>
          <w:tcPr>
            <w:tcW w:w="567" w:type="dxa"/>
            <w:tcBorders>
              <w:top w:val="single" w:sz="4" w:space="0" w:color="000000"/>
              <w:left w:val="single" w:sz="4" w:space="0" w:color="000000"/>
              <w:bottom w:val="single" w:sz="4" w:space="0" w:color="000000"/>
              <w:right w:val="single" w:sz="4" w:space="0" w:color="000000"/>
            </w:tcBorders>
            <w:hideMark/>
          </w:tcPr>
          <w:p w14:paraId="2F00B232" w14:textId="77777777" w:rsidR="00324179" w:rsidRPr="00324179" w:rsidRDefault="00324179" w:rsidP="00324179">
            <w:pPr>
              <w:pStyle w:val="TableParagraph"/>
              <w:jc w:val="center"/>
              <w:rPr>
                <w:rFonts w:ascii="Calibri" w:hAnsi="Calibri" w:cs="Calibri"/>
                <w:sz w:val="20"/>
                <w:szCs w:val="20"/>
              </w:rPr>
            </w:pPr>
            <w:r w:rsidRPr="00324179">
              <w:rPr>
                <w:rFonts w:ascii="Calibri" w:hAnsi="Calibri" w:cs="Calibri"/>
                <w:w w:val="99"/>
                <w:sz w:val="20"/>
                <w:szCs w:val="20"/>
              </w:rPr>
              <w:t>7</w:t>
            </w:r>
          </w:p>
        </w:tc>
        <w:tc>
          <w:tcPr>
            <w:tcW w:w="2835" w:type="dxa"/>
            <w:tcBorders>
              <w:top w:val="single" w:sz="4" w:space="0" w:color="000000"/>
              <w:left w:val="single" w:sz="4" w:space="0" w:color="000000"/>
              <w:bottom w:val="single" w:sz="4" w:space="0" w:color="000000"/>
              <w:right w:val="single" w:sz="4" w:space="0" w:color="000000"/>
            </w:tcBorders>
            <w:hideMark/>
          </w:tcPr>
          <w:p w14:paraId="48C0F784" w14:textId="77777777" w:rsidR="00324179" w:rsidRPr="00324179" w:rsidRDefault="00324179" w:rsidP="00324179">
            <w:pPr>
              <w:pStyle w:val="TableParagraph"/>
              <w:jc w:val="both"/>
              <w:rPr>
                <w:rFonts w:ascii="Calibri" w:hAnsi="Calibri" w:cs="Calibri"/>
                <w:sz w:val="20"/>
                <w:szCs w:val="20"/>
              </w:rPr>
            </w:pPr>
            <w:r w:rsidRPr="00324179">
              <w:rPr>
                <w:rFonts w:ascii="Calibri" w:hAnsi="Calibri" w:cs="Calibri"/>
                <w:sz w:val="20"/>
                <w:szCs w:val="20"/>
              </w:rPr>
              <w:t>Mieszanka mineralno- asfaltowa</w:t>
            </w:r>
          </w:p>
        </w:tc>
        <w:tc>
          <w:tcPr>
            <w:tcW w:w="1981" w:type="dxa"/>
            <w:tcBorders>
              <w:top w:val="single" w:sz="4" w:space="0" w:color="000000"/>
              <w:left w:val="single" w:sz="4" w:space="0" w:color="000000"/>
              <w:bottom w:val="single" w:sz="4" w:space="0" w:color="000000"/>
              <w:right w:val="single" w:sz="4" w:space="0" w:color="000000"/>
            </w:tcBorders>
            <w:hideMark/>
          </w:tcPr>
          <w:p w14:paraId="2DE44FA5" w14:textId="77777777" w:rsidR="00324179" w:rsidRPr="00324179" w:rsidRDefault="00324179" w:rsidP="00324179">
            <w:pPr>
              <w:pStyle w:val="TableParagraph"/>
              <w:ind w:left="150" w:right="144"/>
              <w:jc w:val="center"/>
              <w:rPr>
                <w:rFonts w:ascii="Calibri" w:eastAsia="Arial" w:hAnsi="Calibri" w:cs="Calibri"/>
                <w:sz w:val="20"/>
                <w:szCs w:val="20"/>
              </w:rPr>
            </w:pPr>
            <w:r w:rsidRPr="00324179">
              <w:rPr>
                <w:rFonts w:ascii="Calibri" w:hAnsi="Calibri" w:cs="Calibri"/>
                <w:sz w:val="20"/>
                <w:szCs w:val="20"/>
              </w:rPr>
              <w:t>WT-2 2014 pkt. 8.2.1.</w:t>
            </w:r>
          </w:p>
          <w:p w14:paraId="2AD03014" w14:textId="77777777" w:rsidR="00324179" w:rsidRPr="00324179" w:rsidRDefault="00324179" w:rsidP="00324179">
            <w:pPr>
              <w:pStyle w:val="TableParagraph"/>
              <w:ind w:left="148" w:right="144"/>
              <w:jc w:val="center"/>
              <w:rPr>
                <w:rFonts w:ascii="Calibri" w:hAnsi="Calibri" w:cs="Calibri"/>
                <w:sz w:val="20"/>
                <w:szCs w:val="20"/>
              </w:rPr>
            </w:pPr>
            <w:r w:rsidRPr="00324179">
              <w:rPr>
                <w:rFonts w:ascii="Calibri" w:hAnsi="Calibri" w:cs="Calibri"/>
                <w:sz w:val="20"/>
                <w:szCs w:val="20"/>
              </w:rPr>
              <w:t>tab. 6 i 7</w:t>
            </w:r>
          </w:p>
        </w:tc>
        <w:tc>
          <w:tcPr>
            <w:tcW w:w="2126" w:type="dxa"/>
            <w:tcBorders>
              <w:top w:val="single" w:sz="4" w:space="0" w:color="000000"/>
              <w:left w:val="single" w:sz="4" w:space="0" w:color="000000"/>
              <w:bottom w:val="single" w:sz="4" w:space="0" w:color="000000"/>
              <w:right w:val="single" w:sz="4" w:space="0" w:color="000000"/>
            </w:tcBorders>
            <w:hideMark/>
          </w:tcPr>
          <w:p w14:paraId="0FD13F84" w14:textId="77777777" w:rsidR="00324179" w:rsidRPr="00324179" w:rsidRDefault="00324179" w:rsidP="00324179">
            <w:pPr>
              <w:pStyle w:val="TableParagraph"/>
              <w:ind w:right="100"/>
              <w:jc w:val="center"/>
              <w:rPr>
                <w:rFonts w:ascii="Calibri" w:eastAsia="Arial" w:hAnsi="Calibri" w:cs="Calibri"/>
                <w:sz w:val="20"/>
                <w:szCs w:val="20"/>
              </w:rPr>
            </w:pPr>
            <w:r w:rsidRPr="00324179">
              <w:rPr>
                <w:rFonts w:ascii="Calibri" w:hAnsi="Calibri" w:cs="Calibri"/>
                <w:sz w:val="20"/>
                <w:szCs w:val="20"/>
              </w:rPr>
              <w:t>WT-2 2014 pkt. 8.2.1</w:t>
            </w:r>
          </w:p>
          <w:p w14:paraId="697E7308" w14:textId="77777777" w:rsidR="00324179" w:rsidRPr="00324179" w:rsidRDefault="00324179" w:rsidP="00324179">
            <w:pPr>
              <w:pStyle w:val="TableParagraph"/>
              <w:ind w:right="100"/>
              <w:jc w:val="center"/>
              <w:rPr>
                <w:rFonts w:ascii="Calibri" w:hAnsi="Calibri" w:cs="Calibri"/>
                <w:sz w:val="20"/>
                <w:szCs w:val="20"/>
              </w:rPr>
            </w:pPr>
            <w:r w:rsidRPr="00324179">
              <w:rPr>
                <w:rFonts w:ascii="Calibri" w:hAnsi="Calibri" w:cs="Calibri"/>
                <w:sz w:val="20"/>
                <w:szCs w:val="20"/>
              </w:rPr>
              <w:t>tab. 6 i 8</w:t>
            </w:r>
          </w:p>
        </w:tc>
        <w:tc>
          <w:tcPr>
            <w:tcW w:w="1982" w:type="dxa"/>
            <w:tcBorders>
              <w:top w:val="single" w:sz="4" w:space="0" w:color="000000"/>
              <w:left w:val="single" w:sz="4" w:space="0" w:color="000000"/>
              <w:bottom w:val="single" w:sz="4" w:space="0" w:color="000000"/>
              <w:right w:val="single" w:sz="4" w:space="0" w:color="000000"/>
            </w:tcBorders>
            <w:hideMark/>
          </w:tcPr>
          <w:p w14:paraId="330FF012" w14:textId="77777777" w:rsidR="00324179" w:rsidRPr="00324179" w:rsidRDefault="00324179" w:rsidP="00324179">
            <w:pPr>
              <w:pStyle w:val="TableParagraph"/>
              <w:ind w:left="306"/>
              <w:rPr>
                <w:rFonts w:ascii="Calibri" w:eastAsia="Arial" w:hAnsi="Calibri" w:cs="Calibri"/>
                <w:sz w:val="20"/>
                <w:szCs w:val="20"/>
              </w:rPr>
            </w:pPr>
            <w:r w:rsidRPr="00324179">
              <w:rPr>
                <w:rFonts w:ascii="Calibri" w:hAnsi="Calibri" w:cs="Calibri"/>
                <w:sz w:val="20"/>
                <w:szCs w:val="20"/>
              </w:rPr>
              <w:t>WT-2 2014 pkt.</w:t>
            </w:r>
          </w:p>
          <w:p w14:paraId="0579A72D" w14:textId="77777777" w:rsidR="00324179" w:rsidRPr="00324179" w:rsidRDefault="00324179" w:rsidP="00324179">
            <w:pPr>
              <w:pStyle w:val="TableParagraph"/>
              <w:ind w:left="357"/>
              <w:rPr>
                <w:rFonts w:ascii="Calibri" w:hAnsi="Calibri" w:cs="Calibri"/>
                <w:sz w:val="20"/>
                <w:szCs w:val="20"/>
              </w:rPr>
            </w:pPr>
            <w:r w:rsidRPr="00324179">
              <w:rPr>
                <w:rFonts w:ascii="Calibri" w:hAnsi="Calibri" w:cs="Calibri"/>
                <w:sz w:val="20"/>
                <w:szCs w:val="20"/>
              </w:rPr>
              <w:t>8.2.1 tab. 6 i 9</w:t>
            </w:r>
          </w:p>
        </w:tc>
      </w:tr>
      <w:tr w:rsidR="00324179" w:rsidRPr="00324179" w14:paraId="7748A048" w14:textId="77777777" w:rsidTr="00EA573C">
        <w:trPr>
          <w:trHeight w:val="410"/>
        </w:trPr>
        <w:tc>
          <w:tcPr>
            <w:tcW w:w="567" w:type="dxa"/>
            <w:tcBorders>
              <w:top w:val="single" w:sz="4" w:space="0" w:color="000000"/>
              <w:left w:val="single" w:sz="4" w:space="0" w:color="000000"/>
              <w:bottom w:val="single" w:sz="4" w:space="0" w:color="000000"/>
              <w:right w:val="single" w:sz="4" w:space="0" w:color="000000"/>
            </w:tcBorders>
            <w:hideMark/>
          </w:tcPr>
          <w:p w14:paraId="0C0502FB" w14:textId="77777777" w:rsidR="00324179" w:rsidRPr="00324179" w:rsidRDefault="00324179" w:rsidP="00324179">
            <w:pPr>
              <w:pStyle w:val="TableParagraph"/>
              <w:jc w:val="center"/>
              <w:rPr>
                <w:rFonts w:ascii="Calibri" w:hAnsi="Calibri" w:cs="Calibri"/>
                <w:sz w:val="20"/>
                <w:szCs w:val="20"/>
              </w:rPr>
            </w:pPr>
            <w:r w:rsidRPr="00324179">
              <w:rPr>
                <w:rFonts w:ascii="Calibri" w:hAnsi="Calibri" w:cs="Calibri"/>
                <w:w w:val="99"/>
                <w:sz w:val="20"/>
                <w:szCs w:val="20"/>
              </w:rPr>
              <w:t>8</w:t>
            </w:r>
          </w:p>
        </w:tc>
        <w:tc>
          <w:tcPr>
            <w:tcW w:w="2835" w:type="dxa"/>
            <w:tcBorders>
              <w:top w:val="single" w:sz="4" w:space="0" w:color="000000"/>
              <w:left w:val="single" w:sz="4" w:space="0" w:color="000000"/>
              <w:bottom w:val="single" w:sz="4" w:space="0" w:color="000000"/>
              <w:right w:val="single" w:sz="4" w:space="0" w:color="000000"/>
            </w:tcBorders>
            <w:hideMark/>
          </w:tcPr>
          <w:p w14:paraId="3750081D" w14:textId="77777777" w:rsidR="00324179" w:rsidRPr="00324179" w:rsidRDefault="00324179" w:rsidP="00324179">
            <w:pPr>
              <w:pStyle w:val="TableParagraph"/>
              <w:jc w:val="both"/>
              <w:rPr>
                <w:rFonts w:ascii="Calibri" w:hAnsi="Calibri" w:cs="Calibri"/>
                <w:sz w:val="20"/>
                <w:szCs w:val="20"/>
              </w:rPr>
            </w:pPr>
            <w:r w:rsidRPr="00324179">
              <w:rPr>
                <w:rFonts w:ascii="Calibri" w:hAnsi="Calibri" w:cs="Calibri"/>
                <w:sz w:val="20"/>
                <w:szCs w:val="20"/>
              </w:rPr>
              <w:t>Granulat asfaltowy</w:t>
            </w:r>
          </w:p>
        </w:tc>
        <w:tc>
          <w:tcPr>
            <w:tcW w:w="6089" w:type="dxa"/>
            <w:gridSpan w:val="3"/>
            <w:tcBorders>
              <w:top w:val="single" w:sz="4" w:space="0" w:color="000000"/>
              <w:left w:val="single" w:sz="4" w:space="0" w:color="000000"/>
              <w:bottom w:val="single" w:sz="4" w:space="0" w:color="000000"/>
              <w:right w:val="single" w:sz="4" w:space="0" w:color="000000"/>
            </w:tcBorders>
            <w:hideMark/>
          </w:tcPr>
          <w:p w14:paraId="14540B77" w14:textId="77777777" w:rsidR="00324179" w:rsidRPr="00324179" w:rsidRDefault="00324179" w:rsidP="00324179">
            <w:pPr>
              <w:pStyle w:val="TableParagraph"/>
              <w:ind w:left="2344" w:right="2335"/>
              <w:jc w:val="center"/>
              <w:rPr>
                <w:rFonts w:ascii="Calibri" w:hAnsi="Calibri" w:cs="Calibri"/>
                <w:sz w:val="20"/>
                <w:szCs w:val="20"/>
              </w:rPr>
            </w:pPr>
            <w:r w:rsidRPr="00324179">
              <w:rPr>
                <w:rFonts w:ascii="Calibri" w:hAnsi="Calibri" w:cs="Calibri"/>
                <w:sz w:val="20"/>
                <w:szCs w:val="20"/>
              </w:rPr>
              <w:t>WT-2 2014 pkt 7.4</w:t>
            </w:r>
          </w:p>
        </w:tc>
      </w:tr>
      <w:tr w:rsidR="00324179" w:rsidRPr="00324179" w14:paraId="54E5B147" w14:textId="77777777" w:rsidTr="00EA573C">
        <w:trPr>
          <w:trHeight w:val="760"/>
        </w:trPr>
        <w:tc>
          <w:tcPr>
            <w:tcW w:w="567" w:type="dxa"/>
            <w:tcBorders>
              <w:top w:val="single" w:sz="4" w:space="0" w:color="000000"/>
              <w:left w:val="single" w:sz="4" w:space="0" w:color="000000"/>
              <w:bottom w:val="single" w:sz="4" w:space="0" w:color="000000"/>
              <w:right w:val="single" w:sz="4" w:space="0" w:color="000000"/>
            </w:tcBorders>
            <w:hideMark/>
          </w:tcPr>
          <w:p w14:paraId="3839D202" w14:textId="77777777" w:rsidR="00324179" w:rsidRPr="00324179" w:rsidRDefault="00324179" w:rsidP="00324179">
            <w:pPr>
              <w:pStyle w:val="TableParagraph"/>
              <w:jc w:val="center"/>
              <w:rPr>
                <w:rFonts w:ascii="Calibri" w:hAnsi="Calibri" w:cs="Calibri"/>
                <w:sz w:val="20"/>
                <w:szCs w:val="20"/>
              </w:rPr>
            </w:pPr>
            <w:r w:rsidRPr="00324179">
              <w:rPr>
                <w:rFonts w:ascii="Calibri" w:hAnsi="Calibri" w:cs="Calibri"/>
                <w:w w:val="99"/>
                <w:sz w:val="20"/>
                <w:szCs w:val="20"/>
              </w:rPr>
              <w:t>9</w:t>
            </w:r>
          </w:p>
        </w:tc>
        <w:tc>
          <w:tcPr>
            <w:tcW w:w="2835" w:type="dxa"/>
            <w:tcBorders>
              <w:top w:val="single" w:sz="4" w:space="0" w:color="000000"/>
              <w:left w:val="single" w:sz="4" w:space="0" w:color="000000"/>
              <w:bottom w:val="single" w:sz="4" w:space="0" w:color="000000"/>
              <w:right w:val="single" w:sz="4" w:space="0" w:color="000000"/>
            </w:tcBorders>
            <w:hideMark/>
          </w:tcPr>
          <w:p w14:paraId="1D3A6747" w14:textId="77777777" w:rsidR="00324179" w:rsidRPr="00324179" w:rsidRDefault="00324179" w:rsidP="00324179">
            <w:pPr>
              <w:pStyle w:val="TableParagraph"/>
              <w:ind w:right="738"/>
              <w:jc w:val="both"/>
              <w:rPr>
                <w:rFonts w:ascii="Calibri" w:hAnsi="Calibri" w:cs="Calibri"/>
                <w:sz w:val="20"/>
                <w:szCs w:val="20"/>
                <w:lang w:val="pl-PL"/>
              </w:rPr>
            </w:pPr>
            <w:r w:rsidRPr="00324179">
              <w:rPr>
                <w:rFonts w:ascii="Calibri" w:hAnsi="Calibri" w:cs="Calibri"/>
                <w:sz w:val="20"/>
                <w:szCs w:val="20"/>
                <w:lang w:val="pl-PL"/>
              </w:rPr>
              <w:t>Warstwa z mieszanki mineralno-asfaltowej</w:t>
            </w:r>
          </w:p>
        </w:tc>
        <w:tc>
          <w:tcPr>
            <w:tcW w:w="6089" w:type="dxa"/>
            <w:gridSpan w:val="3"/>
            <w:tcBorders>
              <w:top w:val="single" w:sz="4" w:space="0" w:color="000000"/>
              <w:left w:val="single" w:sz="4" w:space="0" w:color="000000"/>
              <w:bottom w:val="single" w:sz="4" w:space="0" w:color="000000"/>
              <w:right w:val="single" w:sz="4" w:space="0" w:color="000000"/>
            </w:tcBorders>
            <w:hideMark/>
          </w:tcPr>
          <w:p w14:paraId="6498CC62" w14:textId="77777777" w:rsidR="00324179" w:rsidRPr="00324179" w:rsidRDefault="00324179" w:rsidP="00324179">
            <w:pPr>
              <w:pStyle w:val="TableParagraph"/>
              <w:ind w:left="997" w:right="812" w:hanging="154"/>
              <w:rPr>
                <w:rFonts w:ascii="Calibri" w:hAnsi="Calibri" w:cs="Calibri"/>
                <w:sz w:val="20"/>
                <w:szCs w:val="20"/>
                <w:lang w:val="pl-PL"/>
              </w:rPr>
            </w:pPr>
            <w:r w:rsidRPr="00324179">
              <w:rPr>
                <w:rFonts w:ascii="Calibri" w:hAnsi="Calibri" w:cs="Calibri"/>
                <w:sz w:val="20"/>
                <w:szCs w:val="20"/>
                <w:lang w:val="pl-PL"/>
              </w:rPr>
              <w:t>Wskaźnik zagęszczenia warstwy zgodnie z pkt. 6.2.5 Wolna przestrzeń w warstwie zgodnie z pkt. 6.2.6</w:t>
            </w:r>
          </w:p>
        </w:tc>
      </w:tr>
      <w:tr w:rsidR="00324179" w:rsidRPr="00324179" w14:paraId="3D0C3A52" w14:textId="77777777" w:rsidTr="00EA573C">
        <w:trPr>
          <w:trHeight w:val="580"/>
        </w:trPr>
        <w:tc>
          <w:tcPr>
            <w:tcW w:w="9491" w:type="dxa"/>
            <w:gridSpan w:val="5"/>
            <w:tcBorders>
              <w:top w:val="single" w:sz="4" w:space="0" w:color="000000"/>
              <w:left w:val="single" w:sz="4" w:space="0" w:color="000000"/>
              <w:bottom w:val="single" w:sz="4" w:space="0" w:color="000000"/>
              <w:right w:val="single" w:sz="4" w:space="0" w:color="000000"/>
            </w:tcBorders>
            <w:hideMark/>
          </w:tcPr>
          <w:p w14:paraId="0ACEDD4B" w14:textId="77777777" w:rsidR="00324179" w:rsidRPr="00324179" w:rsidRDefault="00324179" w:rsidP="00324179">
            <w:pPr>
              <w:pStyle w:val="TableParagraph"/>
              <w:ind w:right="84"/>
              <w:rPr>
                <w:rFonts w:ascii="Calibri" w:hAnsi="Calibri" w:cs="Calibri"/>
                <w:sz w:val="20"/>
                <w:szCs w:val="20"/>
                <w:lang w:val="pl-PL"/>
              </w:rPr>
            </w:pPr>
            <w:r w:rsidRPr="00324179">
              <w:rPr>
                <w:rFonts w:ascii="Calibri" w:hAnsi="Calibri" w:cs="Calibri"/>
                <w:sz w:val="20"/>
                <w:szCs w:val="20"/>
                <w:lang w:val="pl-PL"/>
              </w:rPr>
              <w:t>Jeżeli stosowana jest mieszanka kruszywa drobnego niełamanego i łamanego, to należy przyjąć proporcję kruszywa łamanego do niełamanego co najmniej 50/50.</w:t>
            </w:r>
          </w:p>
        </w:tc>
      </w:tr>
    </w:tbl>
    <w:p w14:paraId="47CF2313" w14:textId="77777777" w:rsidR="00324179" w:rsidRDefault="00324179" w:rsidP="00324179">
      <w:pPr>
        <w:pStyle w:val="Nagwek4"/>
        <w:tabs>
          <w:tab w:val="left" w:pos="9914"/>
        </w:tabs>
        <w:rPr>
          <w:rFonts w:ascii="Calibri" w:hAnsi="Calibri" w:cs="Calibri"/>
        </w:rPr>
      </w:pPr>
    </w:p>
    <w:p w14:paraId="50D8E76C" w14:textId="4737EEC0" w:rsidR="00324179" w:rsidRPr="00A23FB4" w:rsidRDefault="00324179" w:rsidP="00324179">
      <w:pPr>
        <w:pStyle w:val="Nagwek4"/>
        <w:tabs>
          <w:tab w:val="left" w:pos="9914"/>
        </w:tabs>
        <w:rPr>
          <w:rFonts w:ascii="Calibri" w:hAnsi="Calibri" w:cs="Calibri"/>
        </w:rPr>
      </w:pPr>
      <w:r w:rsidRPr="00A23FB4">
        <w:rPr>
          <w:rFonts w:ascii="Calibri" w:hAnsi="Calibri" w:cs="Calibri"/>
        </w:rPr>
        <w:t>2.2. Lepiszcza asfaltowe</w:t>
      </w:r>
    </w:p>
    <w:p w14:paraId="4C46BD4C" w14:textId="77777777" w:rsidR="00324179" w:rsidRDefault="00324179" w:rsidP="00324179">
      <w:pPr>
        <w:pStyle w:val="Tekstpodstawowy"/>
        <w:spacing w:line="240" w:lineRule="auto"/>
        <w:rPr>
          <w:rFonts w:ascii="Calibri" w:hAnsi="Calibri" w:cs="Calibri"/>
          <w:sz w:val="20"/>
          <w:szCs w:val="20"/>
        </w:rPr>
      </w:pPr>
    </w:p>
    <w:p w14:paraId="6FA4547D" w14:textId="309481DD" w:rsidR="00324179" w:rsidRPr="00324179" w:rsidRDefault="00324179" w:rsidP="00324179">
      <w:pPr>
        <w:pStyle w:val="Tekstpodstawowy"/>
        <w:spacing w:line="240" w:lineRule="auto"/>
        <w:rPr>
          <w:rFonts w:ascii="Calibri" w:hAnsi="Calibri" w:cs="Calibri"/>
          <w:sz w:val="20"/>
          <w:szCs w:val="20"/>
        </w:rPr>
      </w:pPr>
      <w:r w:rsidRPr="00324179">
        <w:rPr>
          <w:rFonts w:ascii="Calibri" w:hAnsi="Calibri" w:cs="Calibri"/>
          <w:sz w:val="20"/>
          <w:szCs w:val="20"/>
        </w:rPr>
        <w:t xml:space="preserve">Należy stosować asfalt drogowy 20/30 lub 35/50wg PN-EN 12591 </w:t>
      </w:r>
    </w:p>
    <w:p w14:paraId="0E4A45AF" w14:textId="75A32816" w:rsidR="00324179" w:rsidRPr="00324179" w:rsidRDefault="00324179" w:rsidP="00324179">
      <w:pPr>
        <w:pStyle w:val="Tekstpodstawowy"/>
        <w:spacing w:line="240" w:lineRule="auto"/>
        <w:rPr>
          <w:rFonts w:ascii="Calibri" w:hAnsi="Calibri" w:cs="Calibri"/>
          <w:sz w:val="20"/>
          <w:szCs w:val="20"/>
        </w:rPr>
      </w:pPr>
      <w:r w:rsidRPr="00324179">
        <w:rPr>
          <w:rFonts w:ascii="Calibri" w:hAnsi="Calibri" w:cs="Calibri"/>
          <w:sz w:val="20"/>
          <w:szCs w:val="20"/>
        </w:rPr>
        <w:t xml:space="preserve">Asfalty drogowe powinny spełniać wymagania podane w tablicy </w:t>
      </w:r>
      <w:r>
        <w:rPr>
          <w:rFonts w:ascii="Calibri" w:hAnsi="Calibri" w:cs="Calibri"/>
          <w:sz w:val="20"/>
          <w:szCs w:val="20"/>
        </w:rPr>
        <w:t>2</w:t>
      </w:r>
      <w:r w:rsidRPr="00324179">
        <w:rPr>
          <w:rFonts w:ascii="Calibri" w:hAnsi="Calibri" w:cs="Calibri"/>
          <w:sz w:val="20"/>
          <w:szCs w:val="20"/>
        </w:rPr>
        <w:t xml:space="preserve">. </w:t>
      </w:r>
    </w:p>
    <w:p w14:paraId="5260113B" w14:textId="77777777" w:rsidR="00324179" w:rsidRPr="00324179" w:rsidRDefault="00324179" w:rsidP="00324179">
      <w:pPr>
        <w:pStyle w:val="Tekstpodstawowy"/>
        <w:spacing w:line="240" w:lineRule="auto"/>
        <w:rPr>
          <w:rFonts w:ascii="Calibri" w:hAnsi="Calibri" w:cs="Calibri"/>
          <w:sz w:val="20"/>
          <w:szCs w:val="20"/>
        </w:rPr>
      </w:pPr>
    </w:p>
    <w:p w14:paraId="4A81E949" w14:textId="03D94020" w:rsidR="00324179" w:rsidRPr="00324179" w:rsidRDefault="00324179" w:rsidP="00324179">
      <w:pPr>
        <w:pStyle w:val="Tekstpodstawowy"/>
        <w:spacing w:line="240" w:lineRule="auto"/>
        <w:rPr>
          <w:rFonts w:ascii="Calibri" w:hAnsi="Calibri" w:cs="Calibri"/>
          <w:sz w:val="20"/>
          <w:szCs w:val="20"/>
        </w:rPr>
      </w:pPr>
      <w:r w:rsidRPr="00324179">
        <w:rPr>
          <w:rFonts w:ascii="Calibri" w:hAnsi="Calibri" w:cs="Calibri"/>
          <w:sz w:val="20"/>
          <w:szCs w:val="20"/>
        </w:rPr>
        <w:t xml:space="preserve">Tablica </w:t>
      </w:r>
      <w:r>
        <w:rPr>
          <w:rFonts w:ascii="Calibri" w:hAnsi="Calibri" w:cs="Calibri"/>
          <w:sz w:val="20"/>
          <w:szCs w:val="20"/>
        </w:rPr>
        <w:t>2</w:t>
      </w:r>
      <w:r w:rsidRPr="00324179">
        <w:rPr>
          <w:rFonts w:ascii="Calibri" w:hAnsi="Calibri" w:cs="Calibri"/>
          <w:sz w:val="20"/>
          <w:szCs w:val="20"/>
        </w:rPr>
        <w:t xml:space="preserve">. Wymagania wobec asfaltów drogowych wg PN-EN 12591 </w:t>
      </w:r>
    </w:p>
    <w:tbl>
      <w:tblPr>
        <w:tblW w:w="9179" w:type="dxa"/>
        <w:tblInd w:w="2" w:type="dxa"/>
        <w:tblLayout w:type="fixed"/>
        <w:tblLook w:val="0000" w:firstRow="0" w:lastRow="0" w:firstColumn="0" w:lastColumn="0" w:noHBand="0" w:noVBand="0"/>
      </w:tblPr>
      <w:tblGrid>
        <w:gridCol w:w="534"/>
        <w:gridCol w:w="3541"/>
        <w:gridCol w:w="851"/>
        <w:gridCol w:w="1417"/>
        <w:gridCol w:w="1418"/>
        <w:gridCol w:w="1418"/>
      </w:tblGrid>
      <w:tr w:rsidR="00324179" w:rsidRPr="00324179" w14:paraId="0936FC9F" w14:textId="77777777" w:rsidTr="00EA573C">
        <w:trPr>
          <w:trHeight w:val="490"/>
        </w:trPr>
        <w:tc>
          <w:tcPr>
            <w:tcW w:w="534" w:type="dxa"/>
            <w:tcBorders>
              <w:top w:val="single" w:sz="4" w:space="0" w:color="000000"/>
              <w:left w:val="single" w:sz="4" w:space="0" w:color="000000"/>
              <w:bottom w:val="single" w:sz="4" w:space="0" w:color="000000"/>
            </w:tcBorders>
          </w:tcPr>
          <w:p w14:paraId="74DF8216" w14:textId="77777777" w:rsidR="00324179" w:rsidRPr="00324179" w:rsidRDefault="00324179" w:rsidP="00324179">
            <w:pPr>
              <w:pStyle w:val="Tekstpodstawowy"/>
              <w:spacing w:line="240" w:lineRule="auto"/>
              <w:rPr>
                <w:rFonts w:ascii="Calibri" w:hAnsi="Calibri" w:cs="Calibri"/>
                <w:sz w:val="20"/>
                <w:szCs w:val="20"/>
              </w:rPr>
            </w:pPr>
            <w:r w:rsidRPr="00324179">
              <w:rPr>
                <w:rFonts w:ascii="Calibri" w:hAnsi="Calibri" w:cs="Calibri"/>
                <w:sz w:val="20"/>
                <w:szCs w:val="20"/>
              </w:rPr>
              <w:t>Lp.</w:t>
            </w:r>
          </w:p>
        </w:tc>
        <w:tc>
          <w:tcPr>
            <w:tcW w:w="4392" w:type="dxa"/>
            <w:gridSpan w:val="2"/>
            <w:tcBorders>
              <w:top w:val="single" w:sz="4" w:space="0" w:color="000000"/>
              <w:left w:val="single" w:sz="4" w:space="0" w:color="000000"/>
              <w:bottom w:val="single" w:sz="4" w:space="0" w:color="000000"/>
            </w:tcBorders>
          </w:tcPr>
          <w:p w14:paraId="3D8E8DC3" w14:textId="77777777" w:rsidR="00324179" w:rsidRPr="00324179" w:rsidRDefault="00324179" w:rsidP="00324179">
            <w:pPr>
              <w:pStyle w:val="Tekstpodstawowy"/>
              <w:spacing w:line="240" w:lineRule="auto"/>
              <w:rPr>
                <w:rFonts w:ascii="Calibri" w:hAnsi="Calibri" w:cs="Calibri"/>
                <w:sz w:val="20"/>
                <w:szCs w:val="20"/>
              </w:rPr>
            </w:pPr>
            <w:r w:rsidRPr="00324179">
              <w:rPr>
                <w:rFonts w:ascii="Calibri" w:hAnsi="Calibri" w:cs="Calibri"/>
                <w:sz w:val="20"/>
                <w:szCs w:val="20"/>
              </w:rPr>
              <w:t>Właściwości</w:t>
            </w:r>
          </w:p>
        </w:tc>
        <w:tc>
          <w:tcPr>
            <w:tcW w:w="1417" w:type="dxa"/>
            <w:tcBorders>
              <w:top w:val="single" w:sz="4" w:space="0" w:color="000000"/>
              <w:left w:val="single" w:sz="4" w:space="0" w:color="000000"/>
              <w:bottom w:val="single" w:sz="4" w:space="0" w:color="000000"/>
            </w:tcBorders>
          </w:tcPr>
          <w:p w14:paraId="20E150C7" w14:textId="77777777" w:rsidR="00324179" w:rsidRPr="00324179" w:rsidRDefault="00324179" w:rsidP="00324179">
            <w:pPr>
              <w:pStyle w:val="Tekstpodstawowy"/>
              <w:spacing w:line="240" w:lineRule="auto"/>
              <w:rPr>
                <w:rFonts w:ascii="Calibri" w:hAnsi="Calibri" w:cs="Calibri"/>
                <w:sz w:val="20"/>
                <w:szCs w:val="20"/>
              </w:rPr>
            </w:pPr>
            <w:r w:rsidRPr="00324179">
              <w:rPr>
                <w:rFonts w:ascii="Calibri" w:hAnsi="Calibri" w:cs="Calibri"/>
                <w:sz w:val="20"/>
                <w:szCs w:val="20"/>
              </w:rPr>
              <w:t>Metoda</w:t>
            </w:r>
          </w:p>
          <w:p w14:paraId="7EE49B16" w14:textId="77777777" w:rsidR="00324179" w:rsidRPr="00324179" w:rsidRDefault="00324179" w:rsidP="00324179">
            <w:pPr>
              <w:pStyle w:val="Tekstpodstawowy"/>
              <w:spacing w:line="240" w:lineRule="auto"/>
              <w:rPr>
                <w:rFonts w:ascii="Calibri" w:hAnsi="Calibri" w:cs="Calibri"/>
                <w:sz w:val="20"/>
                <w:szCs w:val="20"/>
              </w:rPr>
            </w:pPr>
            <w:r w:rsidRPr="00324179">
              <w:rPr>
                <w:rFonts w:ascii="Calibri" w:hAnsi="Calibri" w:cs="Calibri"/>
                <w:sz w:val="20"/>
                <w:szCs w:val="20"/>
              </w:rPr>
              <w:t>badania</w:t>
            </w:r>
          </w:p>
        </w:tc>
        <w:tc>
          <w:tcPr>
            <w:tcW w:w="1418" w:type="dxa"/>
            <w:tcBorders>
              <w:top w:val="single" w:sz="4" w:space="0" w:color="000000"/>
              <w:left w:val="single" w:sz="4" w:space="0" w:color="000000"/>
              <w:bottom w:val="single" w:sz="4" w:space="0" w:color="000000"/>
              <w:right w:val="single" w:sz="4" w:space="0" w:color="000000"/>
            </w:tcBorders>
          </w:tcPr>
          <w:p w14:paraId="231E8F0F" w14:textId="77777777" w:rsidR="00324179" w:rsidRPr="00324179" w:rsidRDefault="00324179" w:rsidP="00324179">
            <w:pPr>
              <w:pStyle w:val="Tekstpodstawowy"/>
              <w:spacing w:line="240" w:lineRule="auto"/>
              <w:rPr>
                <w:rFonts w:ascii="Calibri" w:hAnsi="Calibri" w:cs="Calibri"/>
                <w:sz w:val="20"/>
                <w:szCs w:val="20"/>
              </w:rPr>
            </w:pPr>
            <w:r w:rsidRPr="00324179">
              <w:rPr>
                <w:rFonts w:ascii="Calibri" w:hAnsi="Calibri" w:cs="Calibri"/>
                <w:sz w:val="20"/>
                <w:szCs w:val="20"/>
              </w:rPr>
              <w:t>Wymagania</w:t>
            </w:r>
          </w:p>
          <w:p w14:paraId="6662F3DC" w14:textId="77777777" w:rsidR="00324179" w:rsidRPr="00324179" w:rsidRDefault="00324179" w:rsidP="00324179">
            <w:pPr>
              <w:pStyle w:val="Tekstpodstawowy"/>
              <w:spacing w:line="240" w:lineRule="auto"/>
              <w:rPr>
                <w:rFonts w:ascii="Calibri" w:hAnsi="Calibri" w:cs="Calibri"/>
                <w:sz w:val="20"/>
                <w:szCs w:val="20"/>
              </w:rPr>
            </w:pPr>
            <w:r w:rsidRPr="00324179">
              <w:rPr>
                <w:rFonts w:ascii="Calibri" w:hAnsi="Calibri" w:cs="Calibri"/>
                <w:sz w:val="20"/>
                <w:szCs w:val="20"/>
              </w:rPr>
              <w:t>20/30</w:t>
            </w:r>
          </w:p>
        </w:tc>
        <w:tc>
          <w:tcPr>
            <w:tcW w:w="1418" w:type="dxa"/>
            <w:tcBorders>
              <w:top w:val="single" w:sz="4" w:space="0" w:color="000000"/>
              <w:left w:val="single" w:sz="4" w:space="0" w:color="000000"/>
              <w:bottom w:val="single" w:sz="4" w:space="0" w:color="000000"/>
              <w:right w:val="single" w:sz="4" w:space="0" w:color="000000"/>
            </w:tcBorders>
          </w:tcPr>
          <w:p w14:paraId="7D322EB6" w14:textId="77777777" w:rsidR="00324179" w:rsidRPr="00324179" w:rsidRDefault="00324179" w:rsidP="00324179">
            <w:pPr>
              <w:pStyle w:val="Tekstpodstawowy"/>
              <w:spacing w:line="240" w:lineRule="auto"/>
              <w:rPr>
                <w:rFonts w:ascii="Calibri" w:hAnsi="Calibri" w:cs="Calibri"/>
                <w:sz w:val="20"/>
                <w:szCs w:val="20"/>
              </w:rPr>
            </w:pPr>
            <w:r w:rsidRPr="00324179">
              <w:rPr>
                <w:rFonts w:ascii="Calibri" w:hAnsi="Calibri" w:cs="Calibri"/>
                <w:sz w:val="20"/>
                <w:szCs w:val="20"/>
              </w:rPr>
              <w:t>Wymagania 35/50</w:t>
            </w:r>
          </w:p>
        </w:tc>
      </w:tr>
      <w:tr w:rsidR="00324179" w:rsidRPr="00324179" w14:paraId="446DE3E7" w14:textId="77777777" w:rsidTr="00EA573C">
        <w:tc>
          <w:tcPr>
            <w:tcW w:w="7761" w:type="dxa"/>
            <w:gridSpan w:val="5"/>
            <w:tcBorders>
              <w:top w:val="single" w:sz="4" w:space="0" w:color="000000"/>
              <w:left w:val="single" w:sz="4" w:space="0" w:color="000000"/>
              <w:bottom w:val="single" w:sz="4" w:space="0" w:color="000000"/>
              <w:right w:val="single" w:sz="4" w:space="0" w:color="000000"/>
            </w:tcBorders>
          </w:tcPr>
          <w:p w14:paraId="1D862705" w14:textId="77777777" w:rsidR="00324179" w:rsidRPr="00324179" w:rsidRDefault="00324179" w:rsidP="00324179">
            <w:pPr>
              <w:pStyle w:val="Tekstpodstawowy"/>
              <w:spacing w:line="240" w:lineRule="auto"/>
              <w:rPr>
                <w:rFonts w:ascii="Calibri" w:hAnsi="Calibri" w:cs="Calibri"/>
                <w:sz w:val="20"/>
                <w:szCs w:val="20"/>
              </w:rPr>
            </w:pPr>
            <w:r w:rsidRPr="00324179">
              <w:rPr>
                <w:rFonts w:ascii="Calibri" w:hAnsi="Calibri" w:cs="Calibri"/>
                <w:sz w:val="20"/>
                <w:szCs w:val="20"/>
              </w:rPr>
              <w:t>WŁAŚCIWOŚCI   OBLIGATORYJNE</w:t>
            </w:r>
          </w:p>
        </w:tc>
        <w:tc>
          <w:tcPr>
            <w:tcW w:w="1418" w:type="dxa"/>
            <w:tcBorders>
              <w:top w:val="single" w:sz="4" w:space="0" w:color="000000"/>
              <w:left w:val="single" w:sz="4" w:space="0" w:color="000000"/>
              <w:bottom w:val="single" w:sz="4" w:space="0" w:color="000000"/>
              <w:right w:val="single" w:sz="4" w:space="0" w:color="000000"/>
            </w:tcBorders>
          </w:tcPr>
          <w:p w14:paraId="3E93BAB1" w14:textId="77777777" w:rsidR="00324179" w:rsidRPr="00324179" w:rsidRDefault="00324179" w:rsidP="00324179">
            <w:pPr>
              <w:pStyle w:val="Tekstpodstawowy"/>
              <w:spacing w:line="240" w:lineRule="auto"/>
              <w:rPr>
                <w:rFonts w:ascii="Calibri" w:hAnsi="Calibri" w:cs="Calibri"/>
                <w:sz w:val="20"/>
                <w:szCs w:val="20"/>
              </w:rPr>
            </w:pPr>
          </w:p>
        </w:tc>
      </w:tr>
      <w:tr w:rsidR="00324179" w:rsidRPr="00324179" w14:paraId="050BCF0C" w14:textId="77777777" w:rsidTr="00EA573C">
        <w:tc>
          <w:tcPr>
            <w:tcW w:w="534" w:type="dxa"/>
            <w:tcBorders>
              <w:top w:val="single" w:sz="4" w:space="0" w:color="000000"/>
              <w:left w:val="single" w:sz="4" w:space="0" w:color="000000"/>
              <w:bottom w:val="single" w:sz="4" w:space="0" w:color="000000"/>
            </w:tcBorders>
          </w:tcPr>
          <w:p w14:paraId="46CCF952" w14:textId="77777777" w:rsidR="00324179" w:rsidRPr="00324179" w:rsidRDefault="00324179" w:rsidP="00324179">
            <w:pPr>
              <w:pStyle w:val="Tekstpodstawowy"/>
              <w:spacing w:line="240" w:lineRule="auto"/>
              <w:rPr>
                <w:rFonts w:ascii="Calibri" w:hAnsi="Calibri" w:cs="Calibri"/>
                <w:sz w:val="20"/>
                <w:szCs w:val="20"/>
              </w:rPr>
            </w:pPr>
            <w:r w:rsidRPr="00324179">
              <w:rPr>
                <w:rFonts w:ascii="Calibri" w:hAnsi="Calibri" w:cs="Calibri"/>
                <w:sz w:val="20"/>
                <w:szCs w:val="20"/>
              </w:rPr>
              <w:t>1</w:t>
            </w:r>
          </w:p>
        </w:tc>
        <w:tc>
          <w:tcPr>
            <w:tcW w:w="3541" w:type="dxa"/>
            <w:tcBorders>
              <w:top w:val="single" w:sz="4" w:space="0" w:color="000000"/>
              <w:left w:val="single" w:sz="4" w:space="0" w:color="000000"/>
              <w:bottom w:val="single" w:sz="4" w:space="0" w:color="000000"/>
            </w:tcBorders>
          </w:tcPr>
          <w:p w14:paraId="4085A7EA" w14:textId="77777777" w:rsidR="00324179" w:rsidRPr="00324179" w:rsidRDefault="00324179" w:rsidP="00324179">
            <w:pPr>
              <w:pStyle w:val="Tekstpodstawowy"/>
              <w:spacing w:line="240" w:lineRule="auto"/>
              <w:rPr>
                <w:rFonts w:ascii="Calibri" w:hAnsi="Calibri" w:cs="Calibri"/>
                <w:sz w:val="20"/>
                <w:szCs w:val="20"/>
              </w:rPr>
            </w:pPr>
            <w:r w:rsidRPr="00324179">
              <w:rPr>
                <w:rFonts w:ascii="Calibri" w:hAnsi="Calibri" w:cs="Calibri"/>
                <w:sz w:val="20"/>
                <w:szCs w:val="20"/>
              </w:rPr>
              <w:t>Penetracja w 25°C</w:t>
            </w:r>
          </w:p>
        </w:tc>
        <w:tc>
          <w:tcPr>
            <w:tcW w:w="851" w:type="dxa"/>
            <w:tcBorders>
              <w:top w:val="single" w:sz="4" w:space="0" w:color="000000"/>
              <w:left w:val="single" w:sz="4" w:space="0" w:color="000000"/>
              <w:bottom w:val="single" w:sz="4" w:space="0" w:color="000000"/>
            </w:tcBorders>
          </w:tcPr>
          <w:p w14:paraId="62878FC7" w14:textId="77777777" w:rsidR="00324179" w:rsidRPr="00324179" w:rsidRDefault="00324179" w:rsidP="00324179">
            <w:pPr>
              <w:pStyle w:val="Tekstpodstawowy"/>
              <w:spacing w:line="240" w:lineRule="auto"/>
              <w:rPr>
                <w:rFonts w:ascii="Calibri" w:hAnsi="Calibri" w:cs="Calibri"/>
                <w:sz w:val="20"/>
                <w:szCs w:val="20"/>
              </w:rPr>
            </w:pPr>
            <w:r w:rsidRPr="00324179">
              <w:rPr>
                <w:rFonts w:ascii="Calibri" w:hAnsi="Calibri" w:cs="Calibri"/>
                <w:sz w:val="20"/>
                <w:szCs w:val="20"/>
              </w:rPr>
              <w:t>0,1 mm</w:t>
            </w:r>
          </w:p>
        </w:tc>
        <w:tc>
          <w:tcPr>
            <w:tcW w:w="1417" w:type="dxa"/>
            <w:tcBorders>
              <w:top w:val="single" w:sz="4" w:space="0" w:color="000000"/>
              <w:left w:val="single" w:sz="4" w:space="0" w:color="000000"/>
              <w:bottom w:val="single" w:sz="4" w:space="0" w:color="000000"/>
            </w:tcBorders>
          </w:tcPr>
          <w:p w14:paraId="05A3A1FC" w14:textId="77777777" w:rsidR="00324179" w:rsidRPr="00324179" w:rsidRDefault="00324179" w:rsidP="00324179">
            <w:pPr>
              <w:pStyle w:val="Tekstpodstawowy"/>
              <w:spacing w:line="240" w:lineRule="auto"/>
              <w:rPr>
                <w:rFonts w:ascii="Calibri" w:hAnsi="Calibri" w:cs="Calibri"/>
                <w:sz w:val="20"/>
                <w:szCs w:val="20"/>
              </w:rPr>
            </w:pPr>
            <w:r w:rsidRPr="00324179">
              <w:rPr>
                <w:rFonts w:ascii="Calibri" w:hAnsi="Calibri" w:cs="Calibri"/>
                <w:sz w:val="20"/>
                <w:szCs w:val="20"/>
              </w:rPr>
              <w:t xml:space="preserve">PN-EN 1426 </w:t>
            </w:r>
          </w:p>
        </w:tc>
        <w:tc>
          <w:tcPr>
            <w:tcW w:w="1418" w:type="dxa"/>
            <w:tcBorders>
              <w:top w:val="single" w:sz="4" w:space="0" w:color="000000"/>
              <w:left w:val="single" w:sz="4" w:space="0" w:color="000000"/>
              <w:bottom w:val="single" w:sz="4" w:space="0" w:color="000000"/>
              <w:right w:val="single" w:sz="4" w:space="0" w:color="000000"/>
            </w:tcBorders>
          </w:tcPr>
          <w:p w14:paraId="7189E81B" w14:textId="77777777" w:rsidR="00324179" w:rsidRPr="00324179" w:rsidRDefault="00324179" w:rsidP="00324179">
            <w:pPr>
              <w:pStyle w:val="Tekstpodstawowy"/>
              <w:spacing w:line="240" w:lineRule="auto"/>
              <w:rPr>
                <w:rFonts w:ascii="Calibri" w:hAnsi="Calibri" w:cs="Calibri"/>
                <w:sz w:val="20"/>
                <w:szCs w:val="20"/>
              </w:rPr>
            </w:pPr>
            <w:r w:rsidRPr="00324179">
              <w:rPr>
                <w:rFonts w:ascii="Calibri" w:hAnsi="Calibri" w:cs="Calibri"/>
                <w:sz w:val="20"/>
                <w:szCs w:val="20"/>
              </w:rPr>
              <w:t>20-30</w:t>
            </w:r>
          </w:p>
        </w:tc>
        <w:tc>
          <w:tcPr>
            <w:tcW w:w="1418" w:type="dxa"/>
            <w:tcBorders>
              <w:top w:val="single" w:sz="4" w:space="0" w:color="000000"/>
              <w:left w:val="single" w:sz="4" w:space="0" w:color="000000"/>
              <w:bottom w:val="single" w:sz="4" w:space="0" w:color="000000"/>
              <w:right w:val="single" w:sz="4" w:space="0" w:color="000000"/>
            </w:tcBorders>
          </w:tcPr>
          <w:p w14:paraId="529A506A" w14:textId="77777777" w:rsidR="00324179" w:rsidRPr="00324179" w:rsidRDefault="00324179" w:rsidP="00324179">
            <w:pPr>
              <w:pStyle w:val="Tekstpodstawowy"/>
              <w:spacing w:line="240" w:lineRule="auto"/>
              <w:rPr>
                <w:rFonts w:ascii="Calibri" w:hAnsi="Calibri" w:cs="Calibri"/>
                <w:sz w:val="20"/>
                <w:szCs w:val="20"/>
              </w:rPr>
            </w:pPr>
            <w:r w:rsidRPr="00324179">
              <w:rPr>
                <w:rFonts w:ascii="Calibri" w:hAnsi="Calibri" w:cs="Calibri"/>
                <w:sz w:val="20"/>
                <w:szCs w:val="20"/>
              </w:rPr>
              <w:t>35-50</w:t>
            </w:r>
          </w:p>
        </w:tc>
      </w:tr>
      <w:tr w:rsidR="00324179" w:rsidRPr="00324179" w14:paraId="63B178AE" w14:textId="77777777" w:rsidTr="00EA573C">
        <w:tc>
          <w:tcPr>
            <w:tcW w:w="534" w:type="dxa"/>
            <w:tcBorders>
              <w:top w:val="single" w:sz="4" w:space="0" w:color="000000"/>
              <w:left w:val="single" w:sz="4" w:space="0" w:color="000000"/>
              <w:bottom w:val="single" w:sz="4" w:space="0" w:color="000000"/>
            </w:tcBorders>
          </w:tcPr>
          <w:p w14:paraId="3112BF59" w14:textId="77777777" w:rsidR="00324179" w:rsidRPr="00324179" w:rsidRDefault="00324179" w:rsidP="00324179">
            <w:pPr>
              <w:pStyle w:val="Tekstpodstawowy"/>
              <w:spacing w:line="240" w:lineRule="auto"/>
              <w:rPr>
                <w:rFonts w:ascii="Calibri" w:hAnsi="Calibri" w:cs="Calibri"/>
                <w:sz w:val="20"/>
                <w:szCs w:val="20"/>
              </w:rPr>
            </w:pPr>
            <w:r w:rsidRPr="00324179">
              <w:rPr>
                <w:rFonts w:ascii="Calibri" w:hAnsi="Calibri" w:cs="Calibri"/>
                <w:sz w:val="20"/>
                <w:szCs w:val="20"/>
              </w:rPr>
              <w:t>2</w:t>
            </w:r>
          </w:p>
        </w:tc>
        <w:tc>
          <w:tcPr>
            <w:tcW w:w="3541" w:type="dxa"/>
            <w:tcBorders>
              <w:top w:val="single" w:sz="4" w:space="0" w:color="000000"/>
              <w:left w:val="single" w:sz="4" w:space="0" w:color="000000"/>
              <w:bottom w:val="single" w:sz="4" w:space="0" w:color="000000"/>
            </w:tcBorders>
          </w:tcPr>
          <w:p w14:paraId="374397D1" w14:textId="77777777" w:rsidR="00324179" w:rsidRPr="00324179" w:rsidRDefault="00324179" w:rsidP="00324179">
            <w:pPr>
              <w:pStyle w:val="Tekstpodstawowy"/>
              <w:spacing w:line="240" w:lineRule="auto"/>
              <w:rPr>
                <w:rFonts w:ascii="Calibri" w:hAnsi="Calibri" w:cs="Calibri"/>
                <w:sz w:val="20"/>
                <w:szCs w:val="20"/>
              </w:rPr>
            </w:pPr>
            <w:r w:rsidRPr="00324179">
              <w:rPr>
                <w:rFonts w:ascii="Calibri" w:hAnsi="Calibri" w:cs="Calibri"/>
                <w:sz w:val="20"/>
                <w:szCs w:val="20"/>
              </w:rPr>
              <w:t>Temperatura mięknienia</w:t>
            </w:r>
          </w:p>
        </w:tc>
        <w:tc>
          <w:tcPr>
            <w:tcW w:w="851" w:type="dxa"/>
            <w:tcBorders>
              <w:top w:val="single" w:sz="4" w:space="0" w:color="000000"/>
              <w:left w:val="single" w:sz="4" w:space="0" w:color="000000"/>
              <w:bottom w:val="single" w:sz="4" w:space="0" w:color="000000"/>
            </w:tcBorders>
          </w:tcPr>
          <w:p w14:paraId="372408A4" w14:textId="77777777" w:rsidR="00324179" w:rsidRPr="00324179" w:rsidRDefault="00324179" w:rsidP="00324179">
            <w:pPr>
              <w:pStyle w:val="Tekstpodstawowy"/>
              <w:spacing w:line="240" w:lineRule="auto"/>
              <w:rPr>
                <w:rFonts w:ascii="Calibri" w:hAnsi="Calibri" w:cs="Calibri"/>
                <w:sz w:val="20"/>
                <w:szCs w:val="20"/>
              </w:rPr>
            </w:pPr>
            <w:r w:rsidRPr="00324179">
              <w:rPr>
                <w:rFonts w:ascii="Calibri" w:hAnsi="Calibri" w:cs="Calibri"/>
                <w:sz w:val="20"/>
                <w:szCs w:val="20"/>
              </w:rPr>
              <w:t>°C</w:t>
            </w:r>
          </w:p>
        </w:tc>
        <w:tc>
          <w:tcPr>
            <w:tcW w:w="1417" w:type="dxa"/>
            <w:tcBorders>
              <w:top w:val="single" w:sz="4" w:space="0" w:color="000000"/>
              <w:left w:val="single" w:sz="4" w:space="0" w:color="000000"/>
              <w:bottom w:val="single" w:sz="4" w:space="0" w:color="000000"/>
            </w:tcBorders>
          </w:tcPr>
          <w:p w14:paraId="7C6C3BA3" w14:textId="77777777" w:rsidR="00324179" w:rsidRPr="00324179" w:rsidRDefault="00324179" w:rsidP="00324179">
            <w:pPr>
              <w:pStyle w:val="Tekstpodstawowy"/>
              <w:spacing w:line="240" w:lineRule="auto"/>
              <w:rPr>
                <w:rFonts w:ascii="Calibri" w:hAnsi="Calibri" w:cs="Calibri"/>
                <w:sz w:val="20"/>
                <w:szCs w:val="20"/>
              </w:rPr>
            </w:pPr>
            <w:r w:rsidRPr="00324179">
              <w:rPr>
                <w:rFonts w:ascii="Calibri" w:hAnsi="Calibri" w:cs="Calibri"/>
                <w:sz w:val="20"/>
                <w:szCs w:val="20"/>
              </w:rPr>
              <w:t xml:space="preserve">PN-EN 1427 </w:t>
            </w:r>
          </w:p>
        </w:tc>
        <w:tc>
          <w:tcPr>
            <w:tcW w:w="1418" w:type="dxa"/>
            <w:tcBorders>
              <w:top w:val="single" w:sz="4" w:space="0" w:color="000000"/>
              <w:left w:val="single" w:sz="4" w:space="0" w:color="000000"/>
              <w:bottom w:val="single" w:sz="4" w:space="0" w:color="000000"/>
              <w:right w:val="single" w:sz="4" w:space="0" w:color="000000"/>
            </w:tcBorders>
          </w:tcPr>
          <w:p w14:paraId="5F38E808" w14:textId="77777777" w:rsidR="00324179" w:rsidRPr="00324179" w:rsidRDefault="00324179" w:rsidP="00324179">
            <w:pPr>
              <w:pStyle w:val="Tekstpodstawowy"/>
              <w:spacing w:line="240" w:lineRule="auto"/>
              <w:rPr>
                <w:rFonts w:ascii="Calibri" w:hAnsi="Calibri" w:cs="Calibri"/>
                <w:sz w:val="20"/>
                <w:szCs w:val="20"/>
              </w:rPr>
            </w:pPr>
            <w:r w:rsidRPr="00324179">
              <w:rPr>
                <w:rFonts w:ascii="Calibri" w:hAnsi="Calibri" w:cs="Calibri"/>
                <w:sz w:val="20"/>
                <w:szCs w:val="20"/>
              </w:rPr>
              <w:t>55-63</w:t>
            </w:r>
          </w:p>
        </w:tc>
        <w:tc>
          <w:tcPr>
            <w:tcW w:w="1418" w:type="dxa"/>
            <w:tcBorders>
              <w:top w:val="single" w:sz="4" w:space="0" w:color="000000"/>
              <w:left w:val="single" w:sz="4" w:space="0" w:color="000000"/>
              <w:bottom w:val="single" w:sz="4" w:space="0" w:color="000000"/>
              <w:right w:val="single" w:sz="4" w:space="0" w:color="000000"/>
            </w:tcBorders>
          </w:tcPr>
          <w:p w14:paraId="252A52A6" w14:textId="77777777" w:rsidR="00324179" w:rsidRPr="00324179" w:rsidRDefault="00324179" w:rsidP="00324179">
            <w:pPr>
              <w:pStyle w:val="Tekstpodstawowy"/>
              <w:spacing w:line="240" w:lineRule="auto"/>
              <w:rPr>
                <w:rFonts w:ascii="Calibri" w:hAnsi="Calibri" w:cs="Calibri"/>
                <w:sz w:val="20"/>
                <w:szCs w:val="20"/>
              </w:rPr>
            </w:pPr>
            <w:r w:rsidRPr="00324179">
              <w:rPr>
                <w:rFonts w:ascii="Calibri" w:hAnsi="Calibri" w:cs="Calibri"/>
                <w:sz w:val="20"/>
                <w:szCs w:val="20"/>
              </w:rPr>
              <w:t>50 – 58</w:t>
            </w:r>
          </w:p>
        </w:tc>
      </w:tr>
      <w:tr w:rsidR="00324179" w:rsidRPr="00324179" w14:paraId="72691634" w14:textId="77777777" w:rsidTr="00EA573C">
        <w:tc>
          <w:tcPr>
            <w:tcW w:w="534" w:type="dxa"/>
            <w:tcBorders>
              <w:top w:val="single" w:sz="4" w:space="0" w:color="000000"/>
              <w:left w:val="single" w:sz="4" w:space="0" w:color="000000"/>
              <w:bottom w:val="single" w:sz="4" w:space="0" w:color="000000"/>
            </w:tcBorders>
          </w:tcPr>
          <w:p w14:paraId="2A6F84E7" w14:textId="77777777" w:rsidR="00324179" w:rsidRPr="00324179" w:rsidRDefault="00324179" w:rsidP="00324179">
            <w:pPr>
              <w:pStyle w:val="Tekstpodstawowy"/>
              <w:spacing w:line="240" w:lineRule="auto"/>
              <w:rPr>
                <w:rFonts w:ascii="Calibri" w:hAnsi="Calibri" w:cs="Calibri"/>
                <w:sz w:val="20"/>
                <w:szCs w:val="20"/>
              </w:rPr>
            </w:pPr>
            <w:r w:rsidRPr="00324179">
              <w:rPr>
                <w:rFonts w:ascii="Calibri" w:hAnsi="Calibri" w:cs="Calibri"/>
                <w:sz w:val="20"/>
                <w:szCs w:val="20"/>
              </w:rPr>
              <w:t>3</w:t>
            </w:r>
          </w:p>
        </w:tc>
        <w:tc>
          <w:tcPr>
            <w:tcW w:w="3541" w:type="dxa"/>
            <w:tcBorders>
              <w:top w:val="single" w:sz="4" w:space="0" w:color="000000"/>
              <w:left w:val="single" w:sz="4" w:space="0" w:color="000000"/>
              <w:bottom w:val="single" w:sz="4" w:space="0" w:color="000000"/>
            </w:tcBorders>
          </w:tcPr>
          <w:p w14:paraId="134A55A8" w14:textId="77777777" w:rsidR="00324179" w:rsidRPr="00324179" w:rsidRDefault="00324179" w:rsidP="00324179">
            <w:pPr>
              <w:pStyle w:val="Tekstpodstawowy"/>
              <w:spacing w:line="240" w:lineRule="auto"/>
              <w:rPr>
                <w:rFonts w:ascii="Calibri" w:hAnsi="Calibri" w:cs="Calibri"/>
                <w:sz w:val="20"/>
                <w:szCs w:val="20"/>
              </w:rPr>
            </w:pPr>
            <w:r w:rsidRPr="00324179">
              <w:rPr>
                <w:rFonts w:ascii="Calibri" w:hAnsi="Calibri" w:cs="Calibri"/>
                <w:sz w:val="20"/>
                <w:szCs w:val="20"/>
              </w:rPr>
              <w:t>Temperatura zapłonu, nie mniej niż</w:t>
            </w:r>
          </w:p>
        </w:tc>
        <w:tc>
          <w:tcPr>
            <w:tcW w:w="851" w:type="dxa"/>
            <w:tcBorders>
              <w:top w:val="single" w:sz="4" w:space="0" w:color="000000"/>
              <w:left w:val="single" w:sz="4" w:space="0" w:color="000000"/>
              <w:bottom w:val="single" w:sz="4" w:space="0" w:color="000000"/>
            </w:tcBorders>
          </w:tcPr>
          <w:p w14:paraId="25C4C94D" w14:textId="77777777" w:rsidR="00324179" w:rsidRPr="00324179" w:rsidRDefault="00324179" w:rsidP="00324179">
            <w:pPr>
              <w:pStyle w:val="Tekstpodstawowy"/>
              <w:spacing w:line="240" w:lineRule="auto"/>
              <w:rPr>
                <w:rFonts w:ascii="Calibri" w:hAnsi="Calibri" w:cs="Calibri"/>
                <w:sz w:val="20"/>
                <w:szCs w:val="20"/>
              </w:rPr>
            </w:pPr>
            <w:r w:rsidRPr="00324179">
              <w:rPr>
                <w:rFonts w:ascii="Calibri" w:hAnsi="Calibri" w:cs="Calibri"/>
                <w:sz w:val="20"/>
                <w:szCs w:val="20"/>
              </w:rPr>
              <w:t>°C</w:t>
            </w:r>
          </w:p>
        </w:tc>
        <w:tc>
          <w:tcPr>
            <w:tcW w:w="1417" w:type="dxa"/>
            <w:tcBorders>
              <w:top w:val="single" w:sz="4" w:space="0" w:color="000000"/>
              <w:left w:val="single" w:sz="4" w:space="0" w:color="000000"/>
              <w:bottom w:val="single" w:sz="4" w:space="0" w:color="000000"/>
            </w:tcBorders>
          </w:tcPr>
          <w:p w14:paraId="096B5C74" w14:textId="77777777" w:rsidR="00324179" w:rsidRPr="00324179" w:rsidRDefault="00324179" w:rsidP="00324179">
            <w:pPr>
              <w:pStyle w:val="Tekstpodstawowy"/>
              <w:spacing w:line="240" w:lineRule="auto"/>
              <w:rPr>
                <w:rFonts w:ascii="Calibri" w:hAnsi="Calibri" w:cs="Calibri"/>
                <w:sz w:val="20"/>
                <w:szCs w:val="20"/>
              </w:rPr>
            </w:pPr>
            <w:r w:rsidRPr="00324179">
              <w:rPr>
                <w:rFonts w:ascii="Calibri" w:hAnsi="Calibri" w:cs="Calibri"/>
                <w:sz w:val="20"/>
                <w:szCs w:val="20"/>
              </w:rPr>
              <w:t>PN-EN 22592</w:t>
            </w:r>
          </w:p>
        </w:tc>
        <w:tc>
          <w:tcPr>
            <w:tcW w:w="1418" w:type="dxa"/>
            <w:tcBorders>
              <w:top w:val="single" w:sz="4" w:space="0" w:color="000000"/>
              <w:left w:val="single" w:sz="4" w:space="0" w:color="000000"/>
              <w:bottom w:val="single" w:sz="4" w:space="0" w:color="000000"/>
              <w:right w:val="single" w:sz="4" w:space="0" w:color="000000"/>
            </w:tcBorders>
          </w:tcPr>
          <w:p w14:paraId="76C67A92" w14:textId="77777777" w:rsidR="00324179" w:rsidRPr="00324179" w:rsidRDefault="00324179" w:rsidP="00324179">
            <w:pPr>
              <w:pStyle w:val="Tekstpodstawowy"/>
              <w:spacing w:line="240" w:lineRule="auto"/>
              <w:rPr>
                <w:rFonts w:ascii="Calibri" w:hAnsi="Calibri" w:cs="Calibri"/>
                <w:sz w:val="20"/>
                <w:szCs w:val="20"/>
              </w:rPr>
            </w:pPr>
            <w:r w:rsidRPr="00324179">
              <w:rPr>
                <w:rFonts w:ascii="Calibri" w:hAnsi="Calibri" w:cs="Calibri"/>
                <w:sz w:val="20"/>
                <w:szCs w:val="20"/>
              </w:rPr>
              <w:t>≥240</w:t>
            </w:r>
          </w:p>
        </w:tc>
        <w:tc>
          <w:tcPr>
            <w:tcW w:w="1418" w:type="dxa"/>
            <w:tcBorders>
              <w:top w:val="single" w:sz="4" w:space="0" w:color="000000"/>
              <w:left w:val="single" w:sz="4" w:space="0" w:color="000000"/>
              <w:bottom w:val="single" w:sz="4" w:space="0" w:color="000000"/>
              <w:right w:val="single" w:sz="4" w:space="0" w:color="000000"/>
            </w:tcBorders>
          </w:tcPr>
          <w:p w14:paraId="3759283A" w14:textId="77777777" w:rsidR="00324179" w:rsidRPr="00324179" w:rsidRDefault="00324179" w:rsidP="00324179">
            <w:pPr>
              <w:pStyle w:val="Tekstpodstawowy"/>
              <w:spacing w:line="240" w:lineRule="auto"/>
              <w:rPr>
                <w:rFonts w:ascii="Calibri" w:hAnsi="Calibri" w:cs="Calibri"/>
                <w:sz w:val="20"/>
                <w:szCs w:val="20"/>
              </w:rPr>
            </w:pPr>
            <w:r w:rsidRPr="00324179">
              <w:rPr>
                <w:rFonts w:ascii="Calibri" w:hAnsi="Calibri" w:cs="Calibri"/>
                <w:sz w:val="20"/>
                <w:szCs w:val="20"/>
              </w:rPr>
              <w:t>≥240</w:t>
            </w:r>
          </w:p>
        </w:tc>
      </w:tr>
      <w:tr w:rsidR="00324179" w:rsidRPr="00324179" w14:paraId="6662E005" w14:textId="77777777" w:rsidTr="00EA573C">
        <w:tc>
          <w:tcPr>
            <w:tcW w:w="534" w:type="dxa"/>
            <w:tcBorders>
              <w:top w:val="single" w:sz="4" w:space="0" w:color="000000"/>
              <w:left w:val="single" w:sz="4" w:space="0" w:color="000000"/>
              <w:bottom w:val="single" w:sz="4" w:space="0" w:color="000000"/>
            </w:tcBorders>
          </w:tcPr>
          <w:p w14:paraId="4485C0A0" w14:textId="77777777" w:rsidR="00324179" w:rsidRPr="00324179" w:rsidRDefault="00324179" w:rsidP="00324179">
            <w:pPr>
              <w:pStyle w:val="Tekstpodstawowy"/>
              <w:spacing w:line="240" w:lineRule="auto"/>
              <w:rPr>
                <w:rFonts w:ascii="Calibri" w:hAnsi="Calibri" w:cs="Calibri"/>
                <w:sz w:val="20"/>
                <w:szCs w:val="20"/>
              </w:rPr>
            </w:pPr>
            <w:r w:rsidRPr="00324179">
              <w:rPr>
                <w:rFonts w:ascii="Calibri" w:hAnsi="Calibri" w:cs="Calibri"/>
                <w:sz w:val="20"/>
                <w:szCs w:val="20"/>
              </w:rPr>
              <w:t>4</w:t>
            </w:r>
          </w:p>
        </w:tc>
        <w:tc>
          <w:tcPr>
            <w:tcW w:w="3541" w:type="dxa"/>
            <w:tcBorders>
              <w:top w:val="single" w:sz="4" w:space="0" w:color="000000"/>
              <w:left w:val="single" w:sz="4" w:space="0" w:color="000000"/>
              <w:bottom w:val="single" w:sz="4" w:space="0" w:color="000000"/>
            </w:tcBorders>
          </w:tcPr>
          <w:p w14:paraId="5A3B9E27" w14:textId="77777777" w:rsidR="00324179" w:rsidRPr="00324179" w:rsidRDefault="00324179" w:rsidP="00324179">
            <w:pPr>
              <w:pStyle w:val="Tekstpodstawowy"/>
              <w:spacing w:line="240" w:lineRule="auto"/>
              <w:rPr>
                <w:rFonts w:ascii="Calibri" w:hAnsi="Calibri" w:cs="Calibri"/>
                <w:sz w:val="20"/>
                <w:szCs w:val="20"/>
              </w:rPr>
            </w:pPr>
            <w:r w:rsidRPr="00324179">
              <w:rPr>
                <w:rFonts w:ascii="Calibri" w:hAnsi="Calibri" w:cs="Calibri"/>
                <w:sz w:val="20"/>
                <w:szCs w:val="20"/>
              </w:rPr>
              <w:t>Zawartość składników rozpuszczalnych, nie mniej niż</w:t>
            </w:r>
          </w:p>
        </w:tc>
        <w:tc>
          <w:tcPr>
            <w:tcW w:w="851" w:type="dxa"/>
            <w:tcBorders>
              <w:top w:val="single" w:sz="4" w:space="0" w:color="000000"/>
              <w:left w:val="single" w:sz="4" w:space="0" w:color="000000"/>
              <w:bottom w:val="single" w:sz="4" w:space="0" w:color="000000"/>
            </w:tcBorders>
          </w:tcPr>
          <w:p w14:paraId="3C2F2AD1" w14:textId="77777777" w:rsidR="00324179" w:rsidRPr="00324179" w:rsidRDefault="00324179" w:rsidP="00324179">
            <w:pPr>
              <w:pStyle w:val="Tekstpodstawowy"/>
              <w:spacing w:line="240" w:lineRule="auto"/>
              <w:rPr>
                <w:rFonts w:ascii="Calibri" w:hAnsi="Calibri" w:cs="Calibri"/>
                <w:sz w:val="20"/>
                <w:szCs w:val="20"/>
              </w:rPr>
            </w:pPr>
            <w:r w:rsidRPr="00324179">
              <w:rPr>
                <w:rFonts w:ascii="Calibri" w:hAnsi="Calibri" w:cs="Calibri"/>
                <w:sz w:val="20"/>
                <w:szCs w:val="20"/>
              </w:rPr>
              <w:t>% m/m</w:t>
            </w:r>
          </w:p>
        </w:tc>
        <w:tc>
          <w:tcPr>
            <w:tcW w:w="1417" w:type="dxa"/>
            <w:tcBorders>
              <w:top w:val="single" w:sz="4" w:space="0" w:color="000000"/>
              <w:left w:val="single" w:sz="4" w:space="0" w:color="000000"/>
              <w:bottom w:val="single" w:sz="4" w:space="0" w:color="000000"/>
            </w:tcBorders>
          </w:tcPr>
          <w:p w14:paraId="788A55EF" w14:textId="77777777" w:rsidR="00324179" w:rsidRPr="00324179" w:rsidRDefault="00324179" w:rsidP="00324179">
            <w:pPr>
              <w:pStyle w:val="Tekstpodstawowy"/>
              <w:spacing w:line="240" w:lineRule="auto"/>
              <w:rPr>
                <w:rFonts w:ascii="Calibri" w:hAnsi="Calibri" w:cs="Calibri"/>
                <w:sz w:val="20"/>
                <w:szCs w:val="20"/>
              </w:rPr>
            </w:pPr>
            <w:r w:rsidRPr="00324179">
              <w:rPr>
                <w:rFonts w:ascii="Calibri" w:hAnsi="Calibri" w:cs="Calibri"/>
                <w:sz w:val="20"/>
                <w:szCs w:val="20"/>
              </w:rPr>
              <w:t>PN-EN 12592</w:t>
            </w:r>
          </w:p>
        </w:tc>
        <w:tc>
          <w:tcPr>
            <w:tcW w:w="1418" w:type="dxa"/>
            <w:tcBorders>
              <w:top w:val="single" w:sz="4" w:space="0" w:color="000000"/>
              <w:left w:val="single" w:sz="4" w:space="0" w:color="000000"/>
              <w:bottom w:val="single" w:sz="4" w:space="0" w:color="000000"/>
              <w:right w:val="single" w:sz="4" w:space="0" w:color="000000"/>
            </w:tcBorders>
          </w:tcPr>
          <w:p w14:paraId="6E0FB300" w14:textId="77777777" w:rsidR="00324179" w:rsidRPr="00324179" w:rsidRDefault="00324179" w:rsidP="00324179">
            <w:pPr>
              <w:pStyle w:val="Tekstpodstawowy"/>
              <w:spacing w:line="240" w:lineRule="auto"/>
              <w:rPr>
                <w:rFonts w:ascii="Calibri" w:hAnsi="Calibri" w:cs="Calibri"/>
                <w:sz w:val="20"/>
                <w:szCs w:val="20"/>
              </w:rPr>
            </w:pPr>
            <w:r w:rsidRPr="00324179">
              <w:rPr>
                <w:rFonts w:ascii="Calibri" w:hAnsi="Calibri" w:cs="Calibri"/>
                <w:sz w:val="20"/>
                <w:szCs w:val="20"/>
              </w:rPr>
              <w:t>≥99</w:t>
            </w:r>
          </w:p>
        </w:tc>
        <w:tc>
          <w:tcPr>
            <w:tcW w:w="1418" w:type="dxa"/>
            <w:tcBorders>
              <w:top w:val="single" w:sz="4" w:space="0" w:color="000000"/>
              <w:left w:val="single" w:sz="4" w:space="0" w:color="000000"/>
              <w:bottom w:val="single" w:sz="4" w:space="0" w:color="000000"/>
              <w:right w:val="single" w:sz="4" w:space="0" w:color="000000"/>
            </w:tcBorders>
          </w:tcPr>
          <w:p w14:paraId="6B52E688" w14:textId="77777777" w:rsidR="00324179" w:rsidRPr="00324179" w:rsidRDefault="00324179" w:rsidP="00324179">
            <w:pPr>
              <w:pStyle w:val="Tekstpodstawowy"/>
              <w:spacing w:line="240" w:lineRule="auto"/>
              <w:rPr>
                <w:rFonts w:ascii="Calibri" w:hAnsi="Calibri" w:cs="Calibri"/>
                <w:sz w:val="20"/>
                <w:szCs w:val="20"/>
              </w:rPr>
            </w:pPr>
            <w:r w:rsidRPr="00324179">
              <w:rPr>
                <w:rFonts w:ascii="Calibri" w:hAnsi="Calibri" w:cs="Calibri"/>
                <w:sz w:val="20"/>
                <w:szCs w:val="20"/>
              </w:rPr>
              <w:t>≥99</w:t>
            </w:r>
          </w:p>
        </w:tc>
      </w:tr>
      <w:tr w:rsidR="00324179" w:rsidRPr="00324179" w14:paraId="20E5384B" w14:textId="77777777" w:rsidTr="00EA573C">
        <w:tc>
          <w:tcPr>
            <w:tcW w:w="534" w:type="dxa"/>
            <w:tcBorders>
              <w:top w:val="single" w:sz="4" w:space="0" w:color="000000"/>
              <w:left w:val="single" w:sz="4" w:space="0" w:color="000000"/>
              <w:bottom w:val="single" w:sz="4" w:space="0" w:color="000000"/>
            </w:tcBorders>
          </w:tcPr>
          <w:p w14:paraId="7A392051" w14:textId="77777777" w:rsidR="00324179" w:rsidRPr="00324179" w:rsidRDefault="00324179" w:rsidP="00324179">
            <w:pPr>
              <w:pStyle w:val="Tekstpodstawowy"/>
              <w:spacing w:line="240" w:lineRule="auto"/>
              <w:rPr>
                <w:rFonts w:ascii="Calibri" w:hAnsi="Calibri" w:cs="Calibri"/>
                <w:sz w:val="20"/>
                <w:szCs w:val="20"/>
              </w:rPr>
            </w:pPr>
            <w:r w:rsidRPr="00324179">
              <w:rPr>
                <w:rFonts w:ascii="Calibri" w:hAnsi="Calibri" w:cs="Calibri"/>
                <w:sz w:val="20"/>
                <w:szCs w:val="20"/>
              </w:rPr>
              <w:t>5</w:t>
            </w:r>
          </w:p>
        </w:tc>
        <w:tc>
          <w:tcPr>
            <w:tcW w:w="3541" w:type="dxa"/>
            <w:tcBorders>
              <w:top w:val="single" w:sz="4" w:space="0" w:color="000000"/>
              <w:left w:val="single" w:sz="4" w:space="0" w:color="000000"/>
              <w:bottom w:val="single" w:sz="4" w:space="0" w:color="000000"/>
            </w:tcBorders>
          </w:tcPr>
          <w:p w14:paraId="7C99B0F8" w14:textId="77777777" w:rsidR="00324179" w:rsidRPr="00324179" w:rsidRDefault="00324179" w:rsidP="00324179">
            <w:pPr>
              <w:pStyle w:val="Tekstpodstawowy"/>
              <w:spacing w:line="240" w:lineRule="auto"/>
              <w:rPr>
                <w:rFonts w:ascii="Calibri" w:hAnsi="Calibri" w:cs="Calibri"/>
                <w:sz w:val="20"/>
                <w:szCs w:val="20"/>
              </w:rPr>
            </w:pPr>
            <w:r w:rsidRPr="00324179">
              <w:rPr>
                <w:rFonts w:ascii="Calibri" w:hAnsi="Calibri" w:cs="Calibri"/>
                <w:sz w:val="20"/>
                <w:szCs w:val="20"/>
              </w:rPr>
              <w:t>Zmiana masy po starzeniu (ubytek lub przyrost), nie więcej niż</w:t>
            </w:r>
          </w:p>
        </w:tc>
        <w:tc>
          <w:tcPr>
            <w:tcW w:w="851" w:type="dxa"/>
            <w:tcBorders>
              <w:top w:val="single" w:sz="4" w:space="0" w:color="000000"/>
              <w:left w:val="single" w:sz="4" w:space="0" w:color="000000"/>
              <w:bottom w:val="single" w:sz="4" w:space="0" w:color="000000"/>
            </w:tcBorders>
          </w:tcPr>
          <w:p w14:paraId="2F270983" w14:textId="77777777" w:rsidR="00324179" w:rsidRPr="00324179" w:rsidRDefault="00324179" w:rsidP="00324179">
            <w:pPr>
              <w:pStyle w:val="Tekstpodstawowy"/>
              <w:spacing w:line="240" w:lineRule="auto"/>
              <w:rPr>
                <w:rFonts w:ascii="Calibri" w:hAnsi="Calibri" w:cs="Calibri"/>
                <w:sz w:val="20"/>
                <w:szCs w:val="20"/>
              </w:rPr>
            </w:pPr>
            <w:r w:rsidRPr="00324179">
              <w:rPr>
                <w:rFonts w:ascii="Calibri" w:hAnsi="Calibri" w:cs="Calibri"/>
                <w:sz w:val="20"/>
                <w:szCs w:val="20"/>
              </w:rPr>
              <w:t>% m/m</w:t>
            </w:r>
          </w:p>
        </w:tc>
        <w:tc>
          <w:tcPr>
            <w:tcW w:w="1417" w:type="dxa"/>
            <w:tcBorders>
              <w:top w:val="single" w:sz="4" w:space="0" w:color="000000"/>
              <w:left w:val="single" w:sz="4" w:space="0" w:color="000000"/>
              <w:bottom w:val="single" w:sz="4" w:space="0" w:color="000000"/>
            </w:tcBorders>
          </w:tcPr>
          <w:p w14:paraId="07A4C454" w14:textId="77777777" w:rsidR="00324179" w:rsidRPr="00324179" w:rsidRDefault="00324179" w:rsidP="00324179">
            <w:pPr>
              <w:pStyle w:val="Tekstpodstawowy"/>
              <w:spacing w:line="240" w:lineRule="auto"/>
              <w:rPr>
                <w:rFonts w:ascii="Calibri" w:hAnsi="Calibri" w:cs="Calibri"/>
                <w:sz w:val="20"/>
                <w:szCs w:val="20"/>
              </w:rPr>
            </w:pPr>
            <w:r w:rsidRPr="00324179">
              <w:rPr>
                <w:rFonts w:ascii="Calibri" w:hAnsi="Calibri" w:cs="Calibri"/>
                <w:sz w:val="20"/>
                <w:szCs w:val="20"/>
              </w:rPr>
              <w:t xml:space="preserve">PN-EN 12607-1 </w:t>
            </w:r>
          </w:p>
        </w:tc>
        <w:tc>
          <w:tcPr>
            <w:tcW w:w="1418" w:type="dxa"/>
            <w:tcBorders>
              <w:top w:val="single" w:sz="4" w:space="0" w:color="000000"/>
              <w:left w:val="single" w:sz="4" w:space="0" w:color="000000"/>
              <w:bottom w:val="single" w:sz="4" w:space="0" w:color="000000"/>
              <w:right w:val="single" w:sz="4" w:space="0" w:color="000000"/>
            </w:tcBorders>
          </w:tcPr>
          <w:p w14:paraId="570C86E8" w14:textId="77777777" w:rsidR="00324179" w:rsidRPr="00324179" w:rsidRDefault="00324179" w:rsidP="00324179">
            <w:pPr>
              <w:pStyle w:val="Tekstpodstawowy"/>
              <w:spacing w:line="240" w:lineRule="auto"/>
              <w:rPr>
                <w:rFonts w:ascii="Calibri" w:hAnsi="Calibri" w:cs="Calibri"/>
                <w:sz w:val="20"/>
                <w:szCs w:val="20"/>
              </w:rPr>
            </w:pPr>
            <w:r w:rsidRPr="00324179">
              <w:rPr>
                <w:rFonts w:ascii="Calibri" w:hAnsi="Calibri" w:cs="Calibri"/>
                <w:sz w:val="20"/>
                <w:szCs w:val="20"/>
              </w:rPr>
              <w:t>≤0,5</w:t>
            </w:r>
          </w:p>
        </w:tc>
        <w:tc>
          <w:tcPr>
            <w:tcW w:w="1418" w:type="dxa"/>
            <w:tcBorders>
              <w:top w:val="single" w:sz="4" w:space="0" w:color="000000"/>
              <w:left w:val="single" w:sz="4" w:space="0" w:color="000000"/>
              <w:bottom w:val="single" w:sz="4" w:space="0" w:color="000000"/>
              <w:right w:val="single" w:sz="4" w:space="0" w:color="000000"/>
            </w:tcBorders>
          </w:tcPr>
          <w:p w14:paraId="16A05B8F" w14:textId="77777777" w:rsidR="00324179" w:rsidRPr="00324179" w:rsidRDefault="00324179" w:rsidP="00324179">
            <w:pPr>
              <w:pStyle w:val="Tekstpodstawowy"/>
              <w:spacing w:line="240" w:lineRule="auto"/>
              <w:rPr>
                <w:rFonts w:ascii="Calibri" w:hAnsi="Calibri" w:cs="Calibri"/>
                <w:sz w:val="20"/>
                <w:szCs w:val="20"/>
              </w:rPr>
            </w:pPr>
            <w:r w:rsidRPr="00324179">
              <w:rPr>
                <w:rFonts w:ascii="Calibri" w:hAnsi="Calibri" w:cs="Calibri"/>
                <w:sz w:val="20"/>
                <w:szCs w:val="20"/>
              </w:rPr>
              <w:t>≤0,5</w:t>
            </w:r>
          </w:p>
        </w:tc>
      </w:tr>
      <w:tr w:rsidR="00324179" w:rsidRPr="00324179" w14:paraId="3B9CB646" w14:textId="77777777" w:rsidTr="00EA573C">
        <w:tc>
          <w:tcPr>
            <w:tcW w:w="534" w:type="dxa"/>
            <w:tcBorders>
              <w:top w:val="single" w:sz="4" w:space="0" w:color="000000"/>
              <w:left w:val="single" w:sz="4" w:space="0" w:color="000000"/>
              <w:bottom w:val="single" w:sz="4" w:space="0" w:color="000000"/>
            </w:tcBorders>
          </w:tcPr>
          <w:p w14:paraId="14AD69B1" w14:textId="77777777" w:rsidR="00324179" w:rsidRPr="00324179" w:rsidRDefault="00324179" w:rsidP="00324179">
            <w:pPr>
              <w:pStyle w:val="Tekstpodstawowy"/>
              <w:spacing w:line="240" w:lineRule="auto"/>
              <w:rPr>
                <w:rFonts w:ascii="Calibri" w:hAnsi="Calibri" w:cs="Calibri"/>
                <w:sz w:val="20"/>
                <w:szCs w:val="20"/>
              </w:rPr>
            </w:pPr>
            <w:r w:rsidRPr="00324179">
              <w:rPr>
                <w:rFonts w:ascii="Calibri" w:hAnsi="Calibri" w:cs="Calibri"/>
                <w:sz w:val="20"/>
                <w:szCs w:val="20"/>
              </w:rPr>
              <w:t>6</w:t>
            </w:r>
          </w:p>
        </w:tc>
        <w:tc>
          <w:tcPr>
            <w:tcW w:w="3541" w:type="dxa"/>
            <w:tcBorders>
              <w:top w:val="single" w:sz="4" w:space="0" w:color="000000"/>
              <w:left w:val="single" w:sz="4" w:space="0" w:color="000000"/>
              <w:bottom w:val="single" w:sz="4" w:space="0" w:color="000000"/>
            </w:tcBorders>
          </w:tcPr>
          <w:p w14:paraId="5BBC79F9" w14:textId="77777777" w:rsidR="00324179" w:rsidRPr="00324179" w:rsidRDefault="00324179" w:rsidP="00324179">
            <w:pPr>
              <w:pStyle w:val="Tekstpodstawowy"/>
              <w:spacing w:line="240" w:lineRule="auto"/>
              <w:rPr>
                <w:rFonts w:ascii="Calibri" w:hAnsi="Calibri" w:cs="Calibri"/>
                <w:sz w:val="20"/>
                <w:szCs w:val="20"/>
              </w:rPr>
            </w:pPr>
            <w:r w:rsidRPr="00324179">
              <w:rPr>
                <w:rFonts w:ascii="Calibri" w:hAnsi="Calibri" w:cs="Calibri"/>
                <w:sz w:val="20"/>
                <w:szCs w:val="20"/>
              </w:rPr>
              <w:t>Pozostała penetracja po starzeniu, nie mniej niż</w:t>
            </w:r>
          </w:p>
        </w:tc>
        <w:tc>
          <w:tcPr>
            <w:tcW w:w="851" w:type="dxa"/>
            <w:tcBorders>
              <w:top w:val="single" w:sz="4" w:space="0" w:color="000000"/>
              <w:left w:val="single" w:sz="4" w:space="0" w:color="000000"/>
              <w:bottom w:val="single" w:sz="4" w:space="0" w:color="000000"/>
            </w:tcBorders>
          </w:tcPr>
          <w:p w14:paraId="68A03B04" w14:textId="77777777" w:rsidR="00324179" w:rsidRPr="00324179" w:rsidRDefault="00324179" w:rsidP="00324179">
            <w:pPr>
              <w:pStyle w:val="Tekstpodstawowy"/>
              <w:spacing w:line="240" w:lineRule="auto"/>
              <w:rPr>
                <w:rFonts w:ascii="Calibri" w:hAnsi="Calibri" w:cs="Calibri"/>
                <w:sz w:val="20"/>
                <w:szCs w:val="20"/>
              </w:rPr>
            </w:pPr>
            <w:r w:rsidRPr="00324179">
              <w:rPr>
                <w:rFonts w:ascii="Calibri" w:hAnsi="Calibri" w:cs="Calibri"/>
                <w:sz w:val="20"/>
                <w:szCs w:val="20"/>
              </w:rPr>
              <w:t>%</w:t>
            </w:r>
          </w:p>
        </w:tc>
        <w:tc>
          <w:tcPr>
            <w:tcW w:w="1417" w:type="dxa"/>
            <w:tcBorders>
              <w:top w:val="single" w:sz="4" w:space="0" w:color="000000"/>
              <w:left w:val="single" w:sz="4" w:space="0" w:color="000000"/>
              <w:bottom w:val="single" w:sz="4" w:space="0" w:color="000000"/>
            </w:tcBorders>
          </w:tcPr>
          <w:p w14:paraId="6605086E" w14:textId="77777777" w:rsidR="00324179" w:rsidRPr="00324179" w:rsidRDefault="00324179" w:rsidP="00324179">
            <w:pPr>
              <w:pStyle w:val="Tekstpodstawowy"/>
              <w:spacing w:line="240" w:lineRule="auto"/>
              <w:rPr>
                <w:rFonts w:ascii="Calibri" w:hAnsi="Calibri" w:cs="Calibri"/>
                <w:sz w:val="20"/>
                <w:szCs w:val="20"/>
              </w:rPr>
            </w:pPr>
            <w:r w:rsidRPr="00324179">
              <w:rPr>
                <w:rFonts w:ascii="Calibri" w:hAnsi="Calibri" w:cs="Calibri"/>
                <w:sz w:val="20"/>
                <w:szCs w:val="20"/>
              </w:rPr>
              <w:t>PN-EN 1426</w:t>
            </w:r>
          </w:p>
        </w:tc>
        <w:tc>
          <w:tcPr>
            <w:tcW w:w="1418" w:type="dxa"/>
            <w:tcBorders>
              <w:top w:val="single" w:sz="4" w:space="0" w:color="000000"/>
              <w:left w:val="single" w:sz="4" w:space="0" w:color="000000"/>
              <w:bottom w:val="single" w:sz="4" w:space="0" w:color="000000"/>
              <w:right w:val="single" w:sz="4" w:space="0" w:color="000000"/>
            </w:tcBorders>
          </w:tcPr>
          <w:p w14:paraId="6A214717" w14:textId="77777777" w:rsidR="00324179" w:rsidRPr="00324179" w:rsidRDefault="00324179" w:rsidP="00324179">
            <w:pPr>
              <w:pStyle w:val="Tekstpodstawowy"/>
              <w:spacing w:line="240" w:lineRule="auto"/>
              <w:rPr>
                <w:rFonts w:ascii="Calibri" w:hAnsi="Calibri" w:cs="Calibri"/>
                <w:sz w:val="20"/>
                <w:szCs w:val="20"/>
              </w:rPr>
            </w:pPr>
            <w:r w:rsidRPr="00324179">
              <w:rPr>
                <w:rFonts w:ascii="Calibri" w:hAnsi="Calibri" w:cs="Calibri"/>
                <w:sz w:val="20"/>
                <w:szCs w:val="20"/>
              </w:rPr>
              <w:t>≥55</w:t>
            </w:r>
          </w:p>
        </w:tc>
        <w:tc>
          <w:tcPr>
            <w:tcW w:w="1418" w:type="dxa"/>
            <w:tcBorders>
              <w:top w:val="single" w:sz="4" w:space="0" w:color="000000"/>
              <w:left w:val="single" w:sz="4" w:space="0" w:color="000000"/>
              <w:bottom w:val="single" w:sz="4" w:space="0" w:color="000000"/>
              <w:right w:val="single" w:sz="4" w:space="0" w:color="000000"/>
            </w:tcBorders>
          </w:tcPr>
          <w:p w14:paraId="19B1231C" w14:textId="77777777" w:rsidR="00324179" w:rsidRPr="00324179" w:rsidRDefault="00324179" w:rsidP="00324179">
            <w:pPr>
              <w:pStyle w:val="Tekstpodstawowy"/>
              <w:spacing w:line="240" w:lineRule="auto"/>
              <w:rPr>
                <w:rFonts w:ascii="Calibri" w:hAnsi="Calibri" w:cs="Calibri"/>
                <w:sz w:val="20"/>
                <w:szCs w:val="20"/>
              </w:rPr>
            </w:pPr>
            <w:r w:rsidRPr="00324179">
              <w:rPr>
                <w:rFonts w:ascii="Calibri" w:hAnsi="Calibri" w:cs="Calibri"/>
                <w:sz w:val="20"/>
                <w:szCs w:val="20"/>
              </w:rPr>
              <w:t>≥53</w:t>
            </w:r>
          </w:p>
        </w:tc>
      </w:tr>
      <w:tr w:rsidR="00324179" w:rsidRPr="00324179" w14:paraId="421144B9" w14:textId="77777777" w:rsidTr="00EA573C">
        <w:tc>
          <w:tcPr>
            <w:tcW w:w="534" w:type="dxa"/>
            <w:tcBorders>
              <w:top w:val="single" w:sz="4" w:space="0" w:color="000000"/>
              <w:left w:val="single" w:sz="4" w:space="0" w:color="000000"/>
              <w:bottom w:val="single" w:sz="4" w:space="0" w:color="000000"/>
            </w:tcBorders>
          </w:tcPr>
          <w:p w14:paraId="060971C0" w14:textId="77777777" w:rsidR="00324179" w:rsidRPr="00324179" w:rsidRDefault="00324179" w:rsidP="00324179">
            <w:pPr>
              <w:pStyle w:val="Tekstpodstawowy"/>
              <w:spacing w:line="240" w:lineRule="auto"/>
              <w:rPr>
                <w:rFonts w:ascii="Calibri" w:hAnsi="Calibri" w:cs="Calibri"/>
                <w:sz w:val="20"/>
                <w:szCs w:val="20"/>
              </w:rPr>
            </w:pPr>
            <w:r w:rsidRPr="00324179">
              <w:rPr>
                <w:rFonts w:ascii="Calibri" w:hAnsi="Calibri" w:cs="Calibri"/>
                <w:sz w:val="20"/>
                <w:szCs w:val="20"/>
              </w:rPr>
              <w:t>7</w:t>
            </w:r>
          </w:p>
        </w:tc>
        <w:tc>
          <w:tcPr>
            <w:tcW w:w="3541" w:type="dxa"/>
            <w:tcBorders>
              <w:top w:val="single" w:sz="4" w:space="0" w:color="000000"/>
              <w:left w:val="single" w:sz="4" w:space="0" w:color="000000"/>
              <w:bottom w:val="single" w:sz="4" w:space="0" w:color="000000"/>
            </w:tcBorders>
          </w:tcPr>
          <w:p w14:paraId="335D8FD1" w14:textId="77777777" w:rsidR="00324179" w:rsidRPr="00324179" w:rsidRDefault="00324179" w:rsidP="00324179">
            <w:pPr>
              <w:pStyle w:val="Tekstpodstawowy"/>
              <w:spacing w:line="240" w:lineRule="auto"/>
              <w:rPr>
                <w:rFonts w:ascii="Calibri" w:hAnsi="Calibri" w:cs="Calibri"/>
                <w:sz w:val="20"/>
                <w:szCs w:val="20"/>
              </w:rPr>
            </w:pPr>
            <w:r w:rsidRPr="00324179">
              <w:rPr>
                <w:rFonts w:ascii="Calibri" w:hAnsi="Calibri" w:cs="Calibri"/>
                <w:sz w:val="20"/>
                <w:szCs w:val="20"/>
              </w:rPr>
              <w:t>Temperatura mięknienia po starzeniu, nie mniej niż</w:t>
            </w:r>
          </w:p>
        </w:tc>
        <w:tc>
          <w:tcPr>
            <w:tcW w:w="851" w:type="dxa"/>
            <w:tcBorders>
              <w:top w:val="single" w:sz="4" w:space="0" w:color="000000"/>
              <w:left w:val="single" w:sz="4" w:space="0" w:color="000000"/>
              <w:bottom w:val="single" w:sz="4" w:space="0" w:color="000000"/>
            </w:tcBorders>
          </w:tcPr>
          <w:p w14:paraId="27632031" w14:textId="77777777" w:rsidR="00324179" w:rsidRPr="00324179" w:rsidRDefault="00324179" w:rsidP="00324179">
            <w:pPr>
              <w:pStyle w:val="Tekstpodstawowy"/>
              <w:spacing w:line="240" w:lineRule="auto"/>
              <w:rPr>
                <w:rFonts w:ascii="Calibri" w:hAnsi="Calibri" w:cs="Calibri"/>
                <w:sz w:val="20"/>
                <w:szCs w:val="20"/>
              </w:rPr>
            </w:pPr>
            <w:r w:rsidRPr="00324179">
              <w:rPr>
                <w:rFonts w:ascii="Calibri" w:hAnsi="Calibri" w:cs="Calibri"/>
                <w:sz w:val="20"/>
                <w:szCs w:val="20"/>
              </w:rPr>
              <w:t>°C</w:t>
            </w:r>
          </w:p>
        </w:tc>
        <w:tc>
          <w:tcPr>
            <w:tcW w:w="1417" w:type="dxa"/>
            <w:tcBorders>
              <w:top w:val="single" w:sz="4" w:space="0" w:color="000000"/>
              <w:left w:val="single" w:sz="4" w:space="0" w:color="000000"/>
              <w:bottom w:val="single" w:sz="4" w:space="0" w:color="000000"/>
            </w:tcBorders>
          </w:tcPr>
          <w:p w14:paraId="20D6B46C" w14:textId="77777777" w:rsidR="00324179" w:rsidRPr="00324179" w:rsidRDefault="00324179" w:rsidP="00324179">
            <w:pPr>
              <w:pStyle w:val="Tekstpodstawowy"/>
              <w:spacing w:line="240" w:lineRule="auto"/>
              <w:rPr>
                <w:rFonts w:ascii="Calibri" w:hAnsi="Calibri" w:cs="Calibri"/>
                <w:sz w:val="20"/>
                <w:szCs w:val="20"/>
              </w:rPr>
            </w:pPr>
            <w:r w:rsidRPr="00324179">
              <w:rPr>
                <w:rFonts w:ascii="Calibri" w:hAnsi="Calibri" w:cs="Calibri"/>
                <w:sz w:val="20"/>
                <w:szCs w:val="20"/>
              </w:rPr>
              <w:t>PN-EN 1427</w:t>
            </w:r>
          </w:p>
        </w:tc>
        <w:tc>
          <w:tcPr>
            <w:tcW w:w="1418" w:type="dxa"/>
            <w:tcBorders>
              <w:top w:val="single" w:sz="4" w:space="0" w:color="000000"/>
              <w:left w:val="single" w:sz="4" w:space="0" w:color="000000"/>
              <w:bottom w:val="single" w:sz="4" w:space="0" w:color="000000"/>
              <w:right w:val="single" w:sz="4" w:space="0" w:color="000000"/>
            </w:tcBorders>
          </w:tcPr>
          <w:p w14:paraId="67D444AF" w14:textId="77777777" w:rsidR="00324179" w:rsidRPr="00324179" w:rsidRDefault="00324179" w:rsidP="00324179">
            <w:pPr>
              <w:pStyle w:val="Tekstpodstawowy"/>
              <w:spacing w:line="240" w:lineRule="auto"/>
              <w:rPr>
                <w:rFonts w:ascii="Calibri" w:hAnsi="Calibri" w:cs="Calibri"/>
                <w:sz w:val="20"/>
                <w:szCs w:val="20"/>
              </w:rPr>
            </w:pPr>
            <w:r w:rsidRPr="00324179">
              <w:rPr>
                <w:rFonts w:ascii="Calibri" w:hAnsi="Calibri" w:cs="Calibri"/>
                <w:sz w:val="20"/>
                <w:szCs w:val="20"/>
              </w:rPr>
              <w:t>≥52</w:t>
            </w:r>
          </w:p>
        </w:tc>
        <w:tc>
          <w:tcPr>
            <w:tcW w:w="1418" w:type="dxa"/>
            <w:tcBorders>
              <w:top w:val="single" w:sz="4" w:space="0" w:color="000000"/>
              <w:left w:val="single" w:sz="4" w:space="0" w:color="000000"/>
              <w:bottom w:val="single" w:sz="4" w:space="0" w:color="000000"/>
              <w:right w:val="single" w:sz="4" w:space="0" w:color="000000"/>
            </w:tcBorders>
          </w:tcPr>
          <w:p w14:paraId="555BE948" w14:textId="77777777" w:rsidR="00324179" w:rsidRPr="00324179" w:rsidRDefault="00324179" w:rsidP="00324179">
            <w:pPr>
              <w:pStyle w:val="Tekstpodstawowy"/>
              <w:spacing w:line="240" w:lineRule="auto"/>
              <w:rPr>
                <w:rFonts w:ascii="Calibri" w:hAnsi="Calibri" w:cs="Calibri"/>
                <w:sz w:val="20"/>
                <w:szCs w:val="20"/>
              </w:rPr>
            </w:pPr>
            <w:r w:rsidRPr="00324179">
              <w:rPr>
                <w:rFonts w:ascii="Calibri" w:hAnsi="Calibri" w:cs="Calibri"/>
                <w:sz w:val="20"/>
                <w:szCs w:val="20"/>
              </w:rPr>
              <w:t>≥52</w:t>
            </w:r>
          </w:p>
        </w:tc>
      </w:tr>
      <w:tr w:rsidR="00324179" w:rsidRPr="00324179" w14:paraId="03BA0507" w14:textId="77777777" w:rsidTr="00EA573C">
        <w:tc>
          <w:tcPr>
            <w:tcW w:w="7761" w:type="dxa"/>
            <w:gridSpan w:val="5"/>
            <w:tcBorders>
              <w:top w:val="single" w:sz="4" w:space="0" w:color="000000"/>
              <w:left w:val="single" w:sz="4" w:space="0" w:color="000000"/>
              <w:bottom w:val="single" w:sz="4" w:space="0" w:color="000000"/>
              <w:right w:val="single" w:sz="4" w:space="0" w:color="000000"/>
            </w:tcBorders>
          </w:tcPr>
          <w:p w14:paraId="2B8657AF" w14:textId="77777777" w:rsidR="00324179" w:rsidRPr="00324179" w:rsidRDefault="00324179" w:rsidP="00324179">
            <w:pPr>
              <w:pStyle w:val="Tekstpodstawowy"/>
              <w:spacing w:line="240" w:lineRule="auto"/>
              <w:rPr>
                <w:rFonts w:ascii="Calibri" w:hAnsi="Calibri" w:cs="Calibri"/>
                <w:sz w:val="20"/>
                <w:szCs w:val="20"/>
              </w:rPr>
            </w:pPr>
            <w:r w:rsidRPr="00324179">
              <w:rPr>
                <w:rFonts w:ascii="Calibri" w:hAnsi="Calibri" w:cs="Calibri"/>
                <w:sz w:val="20"/>
                <w:szCs w:val="20"/>
              </w:rPr>
              <w:t>WŁAŚCIWOŚCI   SPECJALNE   KRAJOWE</w:t>
            </w:r>
          </w:p>
        </w:tc>
        <w:tc>
          <w:tcPr>
            <w:tcW w:w="1418" w:type="dxa"/>
            <w:tcBorders>
              <w:top w:val="single" w:sz="4" w:space="0" w:color="000000"/>
              <w:left w:val="single" w:sz="4" w:space="0" w:color="000000"/>
              <w:bottom w:val="single" w:sz="4" w:space="0" w:color="000000"/>
              <w:right w:val="single" w:sz="4" w:space="0" w:color="000000"/>
            </w:tcBorders>
          </w:tcPr>
          <w:p w14:paraId="5BDE8C52" w14:textId="77777777" w:rsidR="00324179" w:rsidRPr="00324179" w:rsidRDefault="00324179" w:rsidP="00324179">
            <w:pPr>
              <w:pStyle w:val="Tekstpodstawowy"/>
              <w:spacing w:line="240" w:lineRule="auto"/>
              <w:rPr>
                <w:rFonts w:ascii="Calibri" w:hAnsi="Calibri" w:cs="Calibri"/>
                <w:sz w:val="20"/>
                <w:szCs w:val="20"/>
              </w:rPr>
            </w:pPr>
          </w:p>
        </w:tc>
      </w:tr>
      <w:tr w:rsidR="00324179" w:rsidRPr="00324179" w14:paraId="43FD7714" w14:textId="77777777" w:rsidTr="00EA573C">
        <w:tc>
          <w:tcPr>
            <w:tcW w:w="534" w:type="dxa"/>
            <w:tcBorders>
              <w:top w:val="single" w:sz="4" w:space="0" w:color="000000"/>
              <w:left w:val="single" w:sz="4" w:space="0" w:color="000000"/>
              <w:bottom w:val="single" w:sz="4" w:space="0" w:color="000000"/>
            </w:tcBorders>
          </w:tcPr>
          <w:p w14:paraId="125F8BDA" w14:textId="77777777" w:rsidR="00324179" w:rsidRPr="00324179" w:rsidRDefault="00324179" w:rsidP="00324179">
            <w:pPr>
              <w:pStyle w:val="Tekstpodstawowy"/>
              <w:spacing w:line="240" w:lineRule="auto"/>
              <w:rPr>
                <w:rFonts w:ascii="Calibri" w:hAnsi="Calibri" w:cs="Calibri"/>
                <w:sz w:val="20"/>
                <w:szCs w:val="20"/>
              </w:rPr>
            </w:pPr>
            <w:r w:rsidRPr="00324179">
              <w:rPr>
                <w:rFonts w:ascii="Calibri" w:hAnsi="Calibri" w:cs="Calibri"/>
                <w:sz w:val="20"/>
                <w:szCs w:val="20"/>
              </w:rPr>
              <w:t>8</w:t>
            </w:r>
          </w:p>
        </w:tc>
        <w:tc>
          <w:tcPr>
            <w:tcW w:w="3541" w:type="dxa"/>
            <w:tcBorders>
              <w:top w:val="single" w:sz="4" w:space="0" w:color="000000"/>
              <w:left w:val="single" w:sz="4" w:space="0" w:color="000000"/>
              <w:bottom w:val="single" w:sz="4" w:space="0" w:color="000000"/>
            </w:tcBorders>
          </w:tcPr>
          <w:p w14:paraId="7684E769" w14:textId="77777777" w:rsidR="00324179" w:rsidRPr="00324179" w:rsidRDefault="00324179" w:rsidP="00324179">
            <w:pPr>
              <w:pStyle w:val="Tekstpodstawowy"/>
              <w:spacing w:line="240" w:lineRule="auto"/>
              <w:rPr>
                <w:rFonts w:ascii="Calibri" w:hAnsi="Calibri" w:cs="Calibri"/>
                <w:sz w:val="20"/>
                <w:szCs w:val="20"/>
              </w:rPr>
            </w:pPr>
            <w:r w:rsidRPr="00324179">
              <w:rPr>
                <w:rFonts w:ascii="Calibri" w:hAnsi="Calibri" w:cs="Calibri"/>
                <w:sz w:val="20"/>
                <w:szCs w:val="20"/>
              </w:rPr>
              <w:t>Zawartość parafiny, nie więcej niż</w:t>
            </w:r>
          </w:p>
        </w:tc>
        <w:tc>
          <w:tcPr>
            <w:tcW w:w="851" w:type="dxa"/>
            <w:tcBorders>
              <w:top w:val="single" w:sz="4" w:space="0" w:color="000000"/>
              <w:left w:val="single" w:sz="4" w:space="0" w:color="000000"/>
              <w:bottom w:val="single" w:sz="4" w:space="0" w:color="000000"/>
            </w:tcBorders>
          </w:tcPr>
          <w:p w14:paraId="63AE9058" w14:textId="77777777" w:rsidR="00324179" w:rsidRPr="00324179" w:rsidRDefault="00324179" w:rsidP="00324179">
            <w:pPr>
              <w:pStyle w:val="Tekstpodstawowy"/>
              <w:spacing w:line="240" w:lineRule="auto"/>
              <w:rPr>
                <w:rFonts w:ascii="Calibri" w:hAnsi="Calibri" w:cs="Calibri"/>
                <w:sz w:val="20"/>
                <w:szCs w:val="20"/>
              </w:rPr>
            </w:pPr>
            <w:r w:rsidRPr="00324179">
              <w:rPr>
                <w:rFonts w:ascii="Calibri" w:hAnsi="Calibri" w:cs="Calibri"/>
                <w:sz w:val="20"/>
                <w:szCs w:val="20"/>
              </w:rPr>
              <w:t>%</w:t>
            </w:r>
          </w:p>
        </w:tc>
        <w:tc>
          <w:tcPr>
            <w:tcW w:w="1417" w:type="dxa"/>
            <w:tcBorders>
              <w:top w:val="single" w:sz="4" w:space="0" w:color="000000"/>
              <w:left w:val="single" w:sz="4" w:space="0" w:color="000000"/>
              <w:bottom w:val="single" w:sz="4" w:space="0" w:color="000000"/>
            </w:tcBorders>
          </w:tcPr>
          <w:p w14:paraId="3AE45AB5" w14:textId="77777777" w:rsidR="00324179" w:rsidRPr="00324179" w:rsidRDefault="00324179" w:rsidP="00324179">
            <w:pPr>
              <w:pStyle w:val="Tekstpodstawowy"/>
              <w:spacing w:line="240" w:lineRule="auto"/>
              <w:rPr>
                <w:rFonts w:ascii="Calibri" w:hAnsi="Calibri" w:cs="Calibri"/>
                <w:sz w:val="20"/>
                <w:szCs w:val="20"/>
              </w:rPr>
            </w:pPr>
            <w:r w:rsidRPr="00324179">
              <w:rPr>
                <w:rFonts w:ascii="Calibri" w:hAnsi="Calibri" w:cs="Calibri"/>
                <w:sz w:val="20"/>
                <w:szCs w:val="20"/>
              </w:rPr>
              <w:t xml:space="preserve">PN-EN 12606-1 </w:t>
            </w:r>
          </w:p>
        </w:tc>
        <w:tc>
          <w:tcPr>
            <w:tcW w:w="1418" w:type="dxa"/>
            <w:tcBorders>
              <w:top w:val="single" w:sz="4" w:space="0" w:color="000000"/>
              <w:left w:val="single" w:sz="4" w:space="0" w:color="000000"/>
              <w:bottom w:val="single" w:sz="4" w:space="0" w:color="000000"/>
              <w:right w:val="single" w:sz="4" w:space="0" w:color="000000"/>
            </w:tcBorders>
          </w:tcPr>
          <w:p w14:paraId="6578AA51" w14:textId="77777777" w:rsidR="00324179" w:rsidRPr="00324179" w:rsidRDefault="00324179" w:rsidP="00324179">
            <w:pPr>
              <w:pStyle w:val="Tekstpodstawowy"/>
              <w:spacing w:line="240" w:lineRule="auto"/>
              <w:rPr>
                <w:rFonts w:ascii="Calibri" w:hAnsi="Calibri" w:cs="Calibri"/>
                <w:sz w:val="20"/>
                <w:szCs w:val="20"/>
              </w:rPr>
            </w:pPr>
            <w:r w:rsidRPr="00324179">
              <w:rPr>
                <w:rFonts w:ascii="Calibri" w:hAnsi="Calibri" w:cs="Calibri"/>
                <w:sz w:val="20"/>
                <w:szCs w:val="20"/>
              </w:rPr>
              <w:t>≤2,2</w:t>
            </w:r>
          </w:p>
        </w:tc>
        <w:tc>
          <w:tcPr>
            <w:tcW w:w="1418" w:type="dxa"/>
            <w:tcBorders>
              <w:top w:val="single" w:sz="4" w:space="0" w:color="000000"/>
              <w:left w:val="single" w:sz="4" w:space="0" w:color="000000"/>
              <w:bottom w:val="single" w:sz="4" w:space="0" w:color="000000"/>
              <w:right w:val="single" w:sz="4" w:space="0" w:color="000000"/>
            </w:tcBorders>
          </w:tcPr>
          <w:p w14:paraId="612ADA16" w14:textId="77777777" w:rsidR="00324179" w:rsidRPr="00324179" w:rsidRDefault="00324179" w:rsidP="00324179">
            <w:pPr>
              <w:pStyle w:val="Tekstpodstawowy"/>
              <w:spacing w:line="240" w:lineRule="auto"/>
              <w:rPr>
                <w:rFonts w:ascii="Calibri" w:hAnsi="Calibri" w:cs="Calibri"/>
                <w:sz w:val="20"/>
                <w:szCs w:val="20"/>
              </w:rPr>
            </w:pPr>
            <w:r w:rsidRPr="00324179">
              <w:rPr>
                <w:rFonts w:ascii="Calibri" w:hAnsi="Calibri" w:cs="Calibri"/>
                <w:sz w:val="20"/>
                <w:szCs w:val="20"/>
              </w:rPr>
              <w:t>≤2,2</w:t>
            </w:r>
          </w:p>
        </w:tc>
      </w:tr>
      <w:tr w:rsidR="00324179" w:rsidRPr="00324179" w14:paraId="751D788C" w14:textId="77777777" w:rsidTr="00EA573C">
        <w:trPr>
          <w:trHeight w:val="60"/>
        </w:trPr>
        <w:tc>
          <w:tcPr>
            <w:tcW w:w="534" w:type="dxa"/>
            <w:tcBorders>
              <w:top w:val="single" w:sz="4" w:space="0" w:color="000000"/>
              <w:left w:val="single" w:sz="4" w:space="0" w:color="000000"/>
              <w:bottom w:val="single" w:sz="4" w:space="0" w:color="000000"/>
            </w:tcBorders>
          </w:tcPr>
          <w:p w14:paraId="6DCE021F" w14:textId="77777777" w:rsidR="00324179" w:rsidRPr="00324179" w:rsidRDefault="00324179" w:rsidP="00324179">
            <w:pPr>
              <w:pStyle w:val="Tekstpodstawowy"/>
              <w:spacing w:line="240" w:lineRule="auto"/>
              <w:rPr>
                <w:rFonts w:ascii="Calibri" w:hAnsi="Calibri" w:cs="Calibri"/>
                <w:sz w:val="20"/>
                <w:szCs w:val="20"/>
              </w:rPr>
            </w:pPr>
            <w:r w:rsidRPr="00324179">
              <w:rPr>
                <w:rFonts w:ascii="Calibri" w:hAnsi="Calibri" w:cs="Calibri"/>
                <w:sz w:val="20"/>
                <w:szCs w:val="20"/>
              </w:rPr>
              <w:t>9</w:t>
            </w:r>
          </w:p>
        </w:tc>
        <w:tc>
          <w:tcPr>
            <w:tcW w:w="3541" w:type="dxa"/>
            <w:tcBorders>
              <w:top w:val="single" w:sz="4" w:space="0" w:color="000000"/>
              <w:left w:val="single" w:sz="4" w:space="0" w:color="000000"/>
              <w:bottom w:val="single" w:sz="4" w:space="0" w:color="000000"/>
            </w:tcBorders>
          </w:tcPr>
          <w:p w14:paraId="13344086" w14:textId="77777777" w:rsidR="00324179" w:rsidRPr="00324179" w:rsidRDefault="00324179" w:rsidP="00324179">
            <w:pPr>
              <w:pStyle w:val="Tekstpodstawowy"/>
              <w:spacing w:line="240" w:lineRule="auto"/>
              <w:rPr>
                <w:rFonts w:ascii="Calibri" w:hAnsi="Calibri" w:cs="Calibri"/>
                <w:sz w:val="20"/>
                <w:szCs w:val="20"/>
              </w:rPr>
            </w:pPr>
            <w:r w:rsidRPr="00324179">
              <w:rPr>
                <w:rFonts w:ascii="Calibri" w:hAnsi="Calibri" w:cs="Calibri"/>
                <w:sz w:val="20"/>
                <w:szCs w:val="20"/>
              </w:rPr>
              <w:t>Wzrost temp. mięknienia po starzeniu, nie więcej niż</w:t>
            </w:r>
          </w:p>
        </w:tc>
        <w:tc>
          <w:tcPr>
            <w:tcW w:w="851" w:type="dxa"/>
            <w:tcBorders>
              <w:top w:val="single" w:sz="4" w:space="0" w:color="000000"/>
              <w:left w:val="single" w:sz="4" w:space="0" w:color="000000"/>
              <w:bottom w:val="single" w:sz="4" w:space="0" w:color="000000"/>
            </w:tcBorders>
          </w:tcPr>
          <w:p w14:paraId="569BFF76" w14:textId="77777777" w:rsidR="00324179" w:rsidRPr="00324179" w:rsidRDefault="00324179" w:rsidP="00324179">
            <w:pPr>
              <w:pStyle w:val="Tekstpodstawowy"/>
              <w:spacing w:line="240" w:lineRule="auto"/>
              <w:rPr>
                <w:rFonts w:ascii="Calibri" w:hAnsi="Calibri" w:cs="Calibri"/>
                <w:sz w:val="20"/>
                <w:szCs w:val="20"/>
              </w:rPr>
            </w:pPr>
            <w:r w:rsidRPr="00324179">
              <w:rPr>
                <w:rFonts w:ascii="Calibri" w:hAnsi="Calibri" w:cs="Calibri"/>
                <w:sz w:val="20"/>
                <w:szCs w:val="20"/>
              </w:rPr>
              <w:t>°C</w:t>
            </w:r>
          </w:p>
        </w:tc>
        <w:tc>
          <w:tcPr>
            <w:tcW w:w="1417" w:type="dxa"/>
            <w:tcBorders>
              <w:top w:val="single" w:sz="4" w:space="0" w:color="000000"/>
              <w:left w:val="single" w:sz="4" w:space="0" w:color="000000"/>
              <w:bottom w:val="single" w:sz="4" w:space="0" w:color="000000"/>
            </w:tcBorders>
          </w:tcPr>
          <w:p w14:paraId="39A44735" w14:textId="77777777" w:rsidR="00324179" w:rsidRPr="00324179" w:rsidRDefault="00324179" w:rsidP="00324179">
            <w:pPr>
              <w:pStyle w:val="Tekstpodstawowy"/>
              <w:spacing w:line="240" w:lineRule="auto"/>
              <w:rPr>
                <w:rFonts w:ascii="Calibri" w:hAnsi="Calibri" w:cs="Calibri"/>
                <w:sz w:val="20"/>
                <w:szCs w:val="20"/>
              </w:rPr>
            </w:pPr>
            <w:r w:rsidRPr="00324179">
              <w:rPr>
                <w:rFonts w:ascii="Calibri" w:hAnsi="Calibri" w:cs="Calibri"/>
                <w:sz w:val="20"/>
                <w:szCs w:val="20"/>
              </w:rPr>
              <w:t>PN-EN 1427</w:t>
            </w:r>
          </w:p>
        </w:tc>
        <w:tc>
          <w:tcPr>
            <w:tcW w:w="1418" w:type="dxa"/>
            <w:tcBorders>
              <w:top w:val="single" w:sz="4" w:space="0" w:color="000000"/>
              <w:left w:val="single" w:sz="4" w:space="0" w:color="000000"/>
              <w:bottom w:val="single" w:sz="4" w:space="0" w:color="000000"/>
              <w:right w:val="single" w:sz="4" w:space="0" w:color="000000"/>
            </w:tcBorders>
          </w:tcPr>
          <w:p w14:paraId="6E4C80F6" w14:textId="77777777" w:rsidR="00324179" w:rsidRPr="00324179" w:rsidRDefault="00324179" w:rsidP="00324179">
            <w:pPr>
              <w:pStyle w:val="Tekstpodstawowy"/>
              <w:spacing w:line="240" w:lineRule="auto"/>
              <w:rPr>
                <w:rFonts w:ascii="Calibri" w:hAnsi="Calibri" w:cs="Calibri"/>
                <w:sz w:val="20"/>
                <w:szCs w:val="20"/>
              </w:rPr>
            </w:pPr>
            <w:r w:rsidRPr="00324179">
              <w:rPr>
                <w:rFonts w:ascii="Calibri" w:hAnsi="Calibri" w:cs="Calibri"/>
                <w:sz w:val="20"/>
                <w:szCs w:val="20"/>
              </w:rPr>
              <w:t>≤8</w:t>
            </w:r>
          </w:p>
        </w:tc>
        <w:tc>
          <w:tcPr>
            <w:tcW w:w="1418" w:type="dxa"/>
            <w:tcBorders>
              <w:top w:val="single" w:sz="4" w:space="0" w:color="000000"/>
              <w:left w:val="single" w:sz="4" w:space="0" w:color="000000"/>
              <w:bottom w:val="single" w:sz="4" w:space="0" w:color="000000"/>
              <w:right w:val="single" w:sz="4" w:space="0" w:color="000000"/>
            </w:tcBorders>
          </w:tcPr>
          <w:p w14:paraId="07FC4CDD" w14:textId="77777777" w:rsidR="00324179" w:rsidRPr="00324179" w:rsidRDefault="00324179" w:rsidP="00324179">
            <w:pPr>
              <w:pStyle w:val="Tekstpodstawowy"/>
              <w:spacing w:line="240" w:lineRule="auto"/>
              <w:rPr>
                <w:rFonts w:ascii="Calibri" w:hAnsi="Calibri" w:cs="Calibri"/>
                <w:sz w:val="20"/>
                <w:szCs w:val="20"/>
              </w:rPr>
            </w:pPr>
            <w:r w:rsidRPr="00324179">
              <w:rPr>
                <w:rFonts w:ascii="Calibri" w:hAnsi="Calibri" w:cs="Calibri"/>
                <w:sz w:val="20"/>
                <w:szCs w:val="20"/>
              </w:rPr>
              <w:t>≤8</w:t>
            </w:r>
          </w:p>
        </w:tc>
      </w:tr>
      <w:tr w:rsidR="00324179" w:rsidRPr="00324179" w14:paraId="70572624" w14:textId="77777777" w:rsidTr="00EA573C">
        <w:tc>
          <w:tcPr>
            <w:tcW w:w="534" w:type="dxa"/>
            <w:tcBorders>
              <w:top w:val="single" w:sz="4" w:space="0" w:color="000000"/>
              <w:left w:val="single" w:sz="4" w:space="0" w:color="000000"/>
              <w:bottom w:val="single" w:sz="4" w:space="0" w:color="000000"/>
            </w:tcBorders>
          </w:tcPr>
          <w:p w14:paraId="06A690E5" w14:textId="77777777" w:rsidR="00324179" w:rsidRPr="00324179" w:rsidRDefault="00324179" w:rsidP="00324179">
            <w:pPr>
              <w:pStyle w:val="Tekstpodstawowy"/>
              <w:spacing w:line="240" w:lineRule="auto"/>
              <w:rPr>
                <w:rFonts w:ascii="Calibri" w:hAnsi="Calibri" w:cs="Calibri"/>
                <w:sz w:val="20"/>
                <w:szCs w:val="20"/>
              </w:rPr>
            </w:pPr>
            <w:r w:rsidRPr="00324179">
              <w:rPr>
                <w:rFonts w:ascii="Calibri" w:hAnsi="Calibri" w:cs="Calibri"/>
                <w:sz w:val="20"/>
                <w:szCs w:val="20"/>
              </w:rPr>
              <w:t>10</w:t>
            </w:r>
          </w:p>
        </w:tc>
        <w:tc>
          <w:tcPr>
            <w:tcW w:w="3541" w:type="dxa"/>
            <w:tcBorders>
              <w:top w:val="single" w:sz="4" w:space="0" w:color="000000"/>
              <w:left w:val="single" w:sz="4" w:space="0" w:color="000000"/>
              <w:bottom w:val="single" w:sz="4" w:space="0" w:color="000000"/>
            </w:tcBorders>
          </w:tcPr>
          <w:p w14:paraId="3F114263" w14:textId="77777777" w:rsidR="00324179" w:rsidRPr="00324179" w:rsidRDefault="00324179" w:rsidP="00324179">
            <w:pPr>
              <w:pStyle w:val="Tekstpodstawowy"/>
              <w:spacing w:line="240" w:lineRule="auto"/>
              <w:rPr>
                <w:rFonts w:ascii="Calibri" w:hAnsi="Calibri" w:cs="Calibri"/>
                <w:sz w:val="20"/>
                <w:szCs w:val="20"/>
              </w:rPr>
            </w:pPr>
            <w:r w:rsidRPr="00324179">
              <w:rPr>
                <w:rFonts w:ascii="Calibri" w:hAnsi="Calibri" w:cs="Calibri"/>
                <w:sz w:val="20"/>
                <w:szCs w:val="20"/>
              </w:rPr>
              <w:t>Temperatura łamliwości Fraassa, nie więcej niż</w:t>
            </w:r>
          </w:p>
        </w:tc>
        <w:tc>
          <w:tcPr>
            <w:tcW w:w="851" w:type="dxa"/>
            <w:tcBorders>
              <w:top w:val="single" w:sz="4" w:space="0" w:color="000000"/>
              <w:left w:val="single" w:sz="4" w:space="0" w:color="000000"/>
              <w:bottom w:val="single" w:sz="4" w:space="0" w:color="000000"/>
            </w:tcBorders>
          </w:tcPr>
          <w:p w14:paraId="142C955A" w14:textId="77777777" w:rsidR="00324179" w:rsidRPr="00324179" w:rsidRDefault="00324179" w:rsidP="00324179">
            <w:pPr>
              <w:pStyle w:val="Tekstpodstawowy"/>
              <w:spacing w:line="240" w:lineRule="auto"/>
              <w:rPr>
                <w:rFonts w:ascii="Calibri" w:hAnsi="Calibri" w:cs="Calibri"/>
                <w:sz w:val="20"/>
                <w:szCs w:val="20"/>
              </w:rPr>
            </w:pPr>
            <w:r w:rsidRPr="00324179">
              <w:rPr>
                <w:rFonts w:ascii="Calibri" w:hAnsi="Calibri" w:cs="Calibri"/>
                <w:sz w:val="20"/>
                <w:szCs w:val="20"/>
              </w:rPr>
              <w:t>°C</w:t>
            </w:r>
          </w:p>
        </w:tc>
        <w:tc>
          <w:tcPr>
            <w:tcW w:w="1417" w:type="dxa"/>
            <w:tcBorders>
              <w:top w:val="single" w:sz="4" w:space="0" w:color="000000"/>
              <w:left w:val="single" w:sz="4" w:space="0" w:color="000000"/>
              <w:bottom w:val="single" w:sz="4" w:space="0" w:color="000000"/>
            </w:tcBorders>
          </w:tcPr>
          <w:p w14:paraId="0D6A58D1" w14:textId="77777777" w:rsidR="00324179" w:rsidRPr="00324179" w:rsidRDefault="00324179" w:rsidP="00324179">
            <w:pPr>
              <w:pStyle w:val="Tekstpodstawowy"/>
              <w:spacing w:line="240" w:lineRule="auto"/>
              <w:rPr>
                <w:rFonts w:ascii="Calibri" w:hAnsi="Calibri" w:cs="Calibri"/>
                <w:sz w:val="20"/>
                <w:szCs w:val="20"/>
              </w:rPr>
            </w:pPr>
            <w:r w:rsidRPr="00324179">
              <w:rPr>
                <w:rFonts w:ascii="Calibri" w:hAnsi="Calibri" w:cs="Calibri"/>
                <w:sz w:val="20"/>
                <w:szCs w:val="20"/>
              </w:rPr>
              <w:t>PN-EN 12593</w:t>
            </w:r>
          </w:p>
        </w:tc>
        <w:tc>
          <w:tcPr>
            <w:tcW w:w="1418" w:type="dxa"/>
            <w:tcBorders>
              <w:top w:val="single" w:sz="4" w:space="0" w:color="000000"/>
              <w:left w:val="single" w:sz="4" w:space="0" w:color="000000"/>
              <w:bottom w:val="single" w:sz="4" w:space="0" w:color="000000"/>
              <w:right w:val="single" w:sz="4" w:space="0" w:color="000000"/>
            </w:tcBorders>
          </w:tcPr>
          <w:p w14:paraId="43DE0977" w14:textId="77777777" w:rsidR="00324179" w:rsidRPr="00324179" w:rsidRDefault="00324179" w:rsidP="00324179">
            <w:pPr>
              <w:pStyle w:val="Tekstpodstawowy"/>
              <w:spacing w:line="240" w:lineRule="auto"/>
              <w:rPr>
                <w:rFonts w:ascii="Calibri" w:hAnsi="Calibri" w:cs="Calibri"/>
                <w:sz w:val="20"/>
                <w:szCs w:val="20"/>
              </w:rPr>
            </w:pPr>
            <w:r w:rsidRPr="00324179">
              <w:rPr>
                <w:rFonts w:ascii="Calibri" w:hAnsi="Calibri" w:cs="Calibri"/>
                <w:sz w:val="20"/>
                <w:szCs w:val="20"/>
              </w:rPr>
              <w:t>NR</w:t>
            </w:r>
          </w:p>
        </w:tc>
        <w:tc>
          <w:tcPr>
            <w:tcW w:w="1418" w:type="dxa"/>
            <w:tcBorders>
              <w:top w:val="single" w:sz="4" w:space="0" w:color="000000"/>
              <w:left w:val="single" w:sz="4" w:space="0" w:color="000000"/>
              <w:bottom w:val="single" w:sz="4" w:space="0" w:color="000000"/>
              <w:right w:val="single" w:sz="4" w:space="0" w:color="000000"/>
            </w:tcBorders>
          </w:tcPr>
          <w:p w14:paraId="381DF545" w14:textId="77777777" w:rsidR="00324179" w:rsidRPr="00324179" w:rsidRDefault="00324179" w:rsidP="00324179">
            <w:pPr>
              <w:pStyle w:val="Tekstpodstawowy"/>
              <w:spacing w:line="240" w:lineRule="auto"/>
              <w:rPr>
                <w:rFonts w:ascii="Calibri" w:hAnsi="Calibri" w:cs="Calibri"/>
                <w:sz w:val="20"/>
                <w:szCs w:val="20"/>
              </w:rPr>
            </w:pPr>
            <w:r w:rsidRPr="00324179">
              <w:rPr>
                <w:rFonts w:ascii="Calibri" w:hAnsi="Calibri" w:cs="Calibri"/>
                <w:sz w:val="20"/>
                <w:szCs w:val="20"/>
              </w:rPr>
              <w:t>NR</w:t>
            </w:r>
          </w:p>
        </w:tc>
      </w:tr>
    </w:tbl>
    <w:p w14:paraId="5A5F1742" w14:textId="77777777" w:rsidR="00324179" w:rsidRPr="00324179" w:rsidRDefault="00324179" w:rsidP="00324179">
      <w:pPr>
        <w:pStyle w:val="Tekstpodstawowy"/>
        <w:spacing w:line="240" w:lineRule="auto"/>
        <w:rPr>
          <w:rFonts w:ascii="Calibri" w:hAnsi="Calibri" w:cs="Calibri"/>
          <w:sz w:val="20"/>
          <w:szCs w:val="20"/>
        </w:rPr>
      </w:pPr>
    </w:p>
    <w:p w14:paraId="0D0C1346" w14:textId="77777777" w:rsidR="00324179" w:rsidRPr="00324179" w:rsidRDefault="00324179" w:rsidP="00324179">
      <w:pPr>
        <w:pStyle w:val="Tekstpodstawowy"/>
        <w:spacing w:line="240" w:lineRule="auto"/>
        <w:rPr>
          <w:rFonts w:ascii="Calibri" w:hAnsi="Calibri" w:cs="Calibri"/>
          <w:sz w:val="20"/>
          <w:szCs w:val="20"/>
        </w:rPr>
      </w:pPr>
      <w:r w:rsidRPr="00324179">
        <w:rPr>
          <w:rFonts w:ascii="Calibri" w:hAnsi="Calibri" w:cs="Calibri"/>
          <w:sz w:val="20"/>
          <w:szCs w:val="20"/>
        </w:rPr>
        <w:t>Składowanie asfaltu drogowego powinno się odbywać w zbiornikach, wykluczających zanieczyszczenie asfaltu i wyposażonych w system grzewczy pośredni (bez kontaktu asfaltu z przewodami grzewczymi). Zbiornik roboczy otaczarki powinien być izolowany termicznie, posiadać automatyczny system grzewczy z tolerancją ± 5°C oraz układ cyrkulacji asfaltu.</w:t>
      </w:r>
    </w:p>
    <w:p w14:paraId="5C64A512" w14:textId="3435AD51" w:rsidR="007A7D7A" w:rsidRPr="00A23FB4" w:rsidRDefault="007A7D7A" w:rsidP="004270B2">
      <w:pPr>
        <w:pStyle w:val="Nagwek4"/>
        <w:tabs>
          <w:tab w:val="left" w:pos="9914"/>
        </w:tabs>
        <w:rPr>
          <w:rFonts w:ascii="Calibri" w:hAnsi="Calibri" w:cs="Calibri"/>
        </w:rPr>
      </w:pPr>
      <w:r w:rsidRPr="00A23FB4">
        <w:rPr>
          <w:rFonts w:ascii="Calibri" w:hAnsi="Calibri" w:cs="Calibri"/>
        </w:rPr>
        <w:t>2.</w:t>
      </w:r>
      <w:r w:rsidR="00324179">
        <w:rPr>
          <w:rFonts w:ascii="Calibri" w:hAnsi="Calibri" w:cs="Calibri"/>
        </w:rPr>
        <w:t>4</w:t>
      </w:r>
      <w:r w:rsidRPr="00A23FB4">
        <w:rPr>
          <w:rFonts w:ascii="Calibri" w:hAnsi="Calibri" w:cs="Calibri"/>
        </w:rPr>
        <w:t xml:space="preserve">. Kruszywo </w:t>
      </w:r>
    </w:p>
    <w:p w14:paraId="1C1D7E94" w14:textId="77777777" w:rsidR="007A7D7A" w:rsidRPr="00A23FB4" w:rsidRDefault="007A7D7A" w:rsidP="007A7D7A">
      <w:pPr>
        <w:jc w:val="left"/>
        <w:rPr>
          <w:rFonts w:ascii="Calibri" w:hAnsi="Calibri" w:cs="Calibri"/>
        </w:rPr>
      </w:pPr>
      <w:r w:rsidRPr="00A23FB4">
        <w:rPr>
          <w:rFonts w:ascii="Calibri" w:hAnsi="Calibri" w:cs="Calibri"/>
        </w:rPr>
        <w:t>Do warstwy podbudowy z betonu asfaltowego należy stosować kruszywo według PN-EN 13043:2004 i WT-1 Kruszywa 2014, obejmujące kruszywo grube , kruszywo drobne  i wypełniacz. Kruszywa powinny spełniać wymagania podane w WT-1 Kruszywa 2014 – rozdział 5 – punkt 5.1, tabela 4 , tabela 5 , tabela 6, tabela 6a, tabela 7</w:t>
      </w:r>
    </w:p>
    <w:p w14:paraId="328DC1D8" w14:textId="77777777" w:rsidR="007A7D7A" w:rsidRPr="00A23FB4" w:rsidRDefault="007A7D7A" w:rsidP="007A7D7A">
      <w:pPr>
        <w:rPr>
          <w:rFonts w:ascii="Calibri" w:hAnsi="Calibri" w:cs="Calibri"/>
        </w:rPr>
      </w:pPr>
      <w:r w:rsidRPr="00A23FB4">
        <w:rPr>
          <w:rFonts w:ascii="Calibri" w:hAnsi="Calibri" w:cs="Calibri"/>
        </w:rPr>
        <w:t>Składowanie kruszywa powinno się odbywać w warunkach zabezpieczających je przed zanieczyszczeniem i zmieszaniem z kruszywem o innym wymiarze lub pochodzeniu. Podłoże składowiska musi być równe, utwardzone i odwodnione. Składowanie wypełniacza powinno się odbywać w silosach wyposażonych w urządzenia do aeracji.</w:t>
      </w:r>
    </w:p>
    <w:p w14:paraId="43546DC3" w14:textId="5AC0E122" w:rsidR="00F97DAB" w:rsidRPr="00BA767E" w:rsidRDefault="00F97DAB" w:rsidP="00BA767E">
      <w:pPr>
        <w:pStyle w:val="Nagwek4"/>
        <w:spacing w:before="0" w:after="0"/>
        <w:ind w:left="864" w:hanging="864"/>
        <w:rPr>
          <w:rFonts w:asciiTheme="minorHAnsi" w:hAnsiTheme="minorHAnsi" w:cstheme="minorHAnsi"/>
        </w:rPr>
      </w:pPr>
      <w:bookmarkStart w:id="584" w:name="_Toc70203724"/>
      <w:bookmarkStart w:id="585" w:name="_Toc70205435"/>
      <w:bookmarkStart w:id="586" w:name="_Toc70207140"/>
      <w:bookmarkStart w:id="587" w:name="_Toc70208845"/>
      <w:bookmarkStart w:id="588" w:name="_Toc70210550"/>
      <w:bookmarkStart w:id="589" w:name="_Toc70212255"/>
      <w:bookmarkStart w:id="590" w:name="_Toc70213960"/>
      <w:bookmarkStart w:id="591" w:name="_Toc70215665"/>
      <w:bookmarkStart w:id="592" w:name="_Toc70217370"/>
      <w:bookmarkStart w:id="593" w:name="_Toc70219075"/>
      <w:bookmarkStart w:id="594" w:name="_Toc70220780"/>
      <w:r w:rsidRPr="00BA767E">
        <w:rPr>
          <w:rFonts w:asciiTheme="minorHAnsi" w:hAnsiTheme="minorHAnsi" w:cstheme="minorHAnsi"/>
        </w:rPr>
        <w:t>2.5. Granulat asfaltowy</w:t>
      </w:r>
      <w:bookmarkEnd w:id="584"/>
      <w:bookmarkEnd w:id="585"/>
      <w:bookmarkEnd w:id="586"/>
      <w:bookmarkEnd w:id="587"/>
      <w:bookmarkEnd w:id="588"/>
      <w:bookmarkEnd w:id="589"/>
      <w:bookmarkEnd w:id="590"/>
      <w:bookmarkEnd w:id="591"/>
      <w:bookmarkEnd w:id="592"/>
      <w:bookmarkEnd w:id="593"/>
      <w:bookmarkEnd w:id="594"/>
    </w:p>
    <w:p w14:paraId="19039ABF" w14:textId="77777777" w:rsidR="00F97DAB" w:rsidRPr="00BA767E" w:rsidRDefault="00F97DAB" w:rsidP="00BA767E">
      <w:pPr>
        <w:pStyle w:val="Tekstpodstawowy"/>
        <w:spacing w:line="240" w:lineRule="auto"/>
        <w:jc w:val="both"/>
        <w:rPr>
          <w:rFonts w:asciiTheme="minorHAnsi" w:hAnsiTheme="minorHAnsi" w:cstheme="minorHAnsi"/>
          <w:sz w:val="20"/>
          <w:szCs w:val="20"/>
        </w:rPr>
      </w:pPr>
      <w:r w:rsidRPr="00BA767E">
        <w:rPr>
          <w:rFonts w:asciiTheme="minorHAnsi" w:hAnsiTheme="minorHAnsi" w:cstheme="minorHAnsi"/>
          <w:sz w:val="20"/>
          <w:szCs w:val="20"/>
        </w:rPr>
        <w:t>Granulat asfaltowy należy stosować zgodnie z wymaganiami podanymi w normie PN-EN 13108-8 oraz WT-2 2014 pkt 7.4.</w:t>
      </w:r>
    </w:p>
    <w:p w14:paraId="3A54611C" w14:textId="31910EF4" w:rsidR="00F97DAB" w:rsidRPr="00BA767E" w:rsidRDefault="00F97DAB" w:rsidP="00BA767E">
      <w:pPr>
        <w:pStyle w:val="Tekstpodstawowy"/>
        <w:spacing w:line="240" w:lineRule="auto"/>
        <w:jc w:val="both"/>
        <w:rPr>
          <w:rFonts w:asciiTheme="minorHAnsi" w:hAnsiTheme="minorHAnsi" w:cstheme="minorHAnsi"/>
          <w:sz w:val="20"/>
          <w:szCs w:val="20"/>
        </w:rPr>
      </w:pPr>
      <w:r w:rsidRPr="00BA767E">
        <w:rPr>
          <w:rFonts w:asciiTheme="minorHAnsi" w:hAnsiTheme="minorHAnsi" w:cstheme="minorHAnsi"/>
          <w:sz w:val="20"/>
          <w:szCs w:val="20"/>
        </w:rPr>
        <w:t>Mieszanki mineralno-asfaltowe zawierające granulat asfaltowy muszą mieć parametry odpowiadające ich rodzajowi oraz przeznaczaniu, zgodnie z wymaganiami niniejsze</w:t>
      </w:r>
      <w:r w:rsidR="00BA767E">
        <w:rPr>
          <w:rFonts w:asciiTheme="minorHAnsi" w:hAnsiTheme="minorHAnsi" w:cstheme="minorHAnsi"/>
          <w:sz w:val="20"/>
          <w:szCs w:val="20"/>
        </w:rPr>
        <w:t>j</w:t>
      </w:r>
      <w:r w:rsidRPr="00BA767E">
        <w:rPr>
          <w:rFonts w:asciiTheme="minorHAnsi" w:hAnsiTheme="minorHAnsi" w:cstheme="minorHAnsi"/>
          <w:sz w:val="20"/>
          <w:szCs w:val="20"/>
        </w:rPr>
        <w:t xml:space="preserve"> STWiORB. </w:t>
      </w:r>
    </w:p>
    <w:p w14:paraId="521E5333" w14:textId="2DB424E8" w:rsidR="00F97DAB" w:rsidRPr="00BA767E" w:rsidRDefault="00F97DAB" w:rsidP="00BA767E">
      <w:pPr>
        <w:pStyle w:val="Nagwek4"/>
        <w:spacing w:before="0" w:after="0"/>
        <w:ind w:left="864" w:hanging="864"/>
        <w:rPr>
          <w:rFonts w:asciiTheme="minorHAnsi" w:hAnsiTheme="minorHAnsi" w:cstheme="minorHAnsi"/>
        </w:rPr>
      </w:pPr>
      <w:bookmarkStart w:id="595" w:name="_Toc70203725"/>
      <w:bookmarkStart w:id="596" w:name="_Toc70205436"/>
      <w:bookmarkStart w:id="597" w:name="_Toc70207141"/>
      <w:bookmarkStart w:id="598" w:name="_Toc70208846"/>
      <w:bookmarkStart w:id="599" w:name="_Toc70210551"/>
      <w:bookmarkStart w:id="600" w:name="_Toc70212256"/>
      <w:bookmarkStart w:id="601" w:name="_Toc70213961"/>
      <w:bookmarkStart w:id="602" w:name="_Toc70215666"/>
      <w:bookmarkStart w:id="603" w:name="_Toc70217371"/>
      <w:bookmarkStart w:id="604" w:name="_Toc70219076"/>
      <w:bookmarkStart w:id="605" w:name="_Toc70220781"/>
      <w:r w:rsidRPr="00BA767E">
        <w:rPr>
          <w:rFonts w:asciiTheme="minorHAnsi" w:hAnsiTheme="minorHAnsi" w:cstheme="minorHAnsi"/>
        </w:rPr>
        <w:t>2.5.1.  Zasady stosowania granulatu asfaltowego</w:t>
      </w:r>
      <w:bookmarkEnd w:id="595"/>
      <w:bookmarkEnd w:id="596"/>
      <w:bookmarkEnd w:id="597"/>
      <w:bookmarkEnd w:id="598"/>
      <w:bookmarkEnd w:id="599"/>
      <w:bookmarkEnd w:id="600"/>
      <w:bookmarkEnd w:id="601"/>
      <w:bookmarkEnd w:id="602"/>
      <w:bookmarkEnd w:id="603"/>
      <w:bookmarkEnd w:id="604"/>
      <w:bookmarkEnd w:id="605"/>
      <w:r w:rsidRPr="00BA767E">
        <w:rPr>
          <w:rFonts w:asciiTheme="minorHAnsi" w:hAnsiTheme="minorHAnsi" w:cstheme="minorHAnsi"/>
        </w:rPr>
        <w:t xml:space="preserve"> </w:t>
      </w:r>
    </w:p>
    <w:p w14:paraId="706AB82C" w14:textId="77777777" w:rsidR="00F97DAB" w:rsidRPr="00BA767E" w:rsidRDefault="00F97DAB" w:rsidP="00BA767E">
      <w:pPr>
        <w:pStyle w:val="Tekstpodstawowy"/>
        <w:spacing w:line="240" w:lineRule="auto"/>
        <w:jc w:val="both"/>
        <w:rPr>
          <w:rFonts w:asciiTheme="minorHAnsi" w:hAnsiTheme="minorHAnsi" w:cstheme="minorHAnsi"/>
          <w:sz w:val="20"/>
          <w:szCs w:val="20"/>
        </w:rPr>
      </w:pPr>
      <w:r w:rsidRPr="00BA767E">
        <w:rPr>
          <w:rFonts w:asciiTheme="minorHAnsi" w:hAnsiTheme="minorHAnsi" w:cstheme="minorHAnsi"/>
          <w:sz w:val="20"/>
          <w:szCs w:val="20"/>
        </w:rPr>
        <w:t xml:space="preserve">Zakres stosowania granulatu asfaltowego w mieszankach mineralno-asfaltowych typu AC P, zależy od następujących czynników: </w:t>
      </w:r>
    </w:p>
    <w:p w14:paraId="4928585C" w14:textId="77777777" w:rsidR="00F97DAB" w:rsidRPr="00BA767E" w:rsidRDefault="00F97DAB" w:rsidP="00BA767E">
      <w:pPr>
        <w:pStyle w:val="Tekstpodstawowy"/>
        <w:spacing w:line="240" w:lineRule="auto"/>
        <w:ind w:firstLine="708"/>
        <w:jc w:val="both"/>
        <w:rPr>
          <w:rFonts w:asciiTheme="minorHAnsi" w:hAnsiTheme="minorHAnsi" w:cstheme="minorHAnsi"/>
          <w:sz w:val="20"/>
          <w:szCs w:val="20"/>
        </w:rPr>
      </w:pPr>
      <w:r w:rsidRPr="00BA767E">
        <w:rPr>
          <w:rFonts w:asciiTheme="minorHAnsi" w:hAnsiTheme="minorHAnsi" w:cstheme="minorHAnsi"/>
          <w:sz w:val="20"/>
          <w:szCs w:val="20"/>
        </w:rPr>
        <w:t xml:space="preserve">–  </w:t>
      </w:r>
      <w:r w:rsidRPr="00BA767E">
        <w:rPr>
          <w:rFonts w:asciiTheme="minorHAnsi" w:hAnsiTheme="minorHAnsi" w:cstheme="minorHAnsi"/>
          <w:sz w:val="20"/>
          <w:szCs w:val="20"/>
        </w:rPr>
        <w:tab/>
        <w:t xml:space="preserve">pochodzenia granulatu asfaltowego, </w:t>
      </w:r>
    </w:p>
    <w:p w14:paraId="2BD29C50" w14:textId="77777777" w:rsidR="00F97DAB" w:rsidRPr="00BA767E" w:rsidRDefault="00F97DAB" w:rsidP="00BA767E">
      <w:pPr>
        <w:pStyle w:val="Tekstpodstawowy"/>
        <w:spacing w:line="240" w:lineRule="auto"/>
        <w:ind w:left="1413" w:hanging="705"/>
        <w:jc w:val="both"/>
        <w:rPr>
          <w:rFonts w:asciiTheme="minorHAnsi" w:hAnsiTheme="minorHAnsi" w:cstheme="minorHAnsi"/>
          <w:sz w:val="20"/>
          <w:szCs w:val="20"/>
        </w:rPr>
      </w:pPr>
      <w:r w:rsidRPr="00BA767E">
        <w:rPr>
          <w:rFonts w:asciiTheme="minorHAnsi" w:hAnsiTheme="minorHAnsi" w:cstheme="minorHAnsi"/>
          <w:sz w:val="20"/>
          <w:szCs w:val="20"/>
        </w:rPr>
        <w:t xml:space="preserve">– </w:t>
      </w:r>
      <w:r w:rsidRPr="00BA767E">
        <w:rPr>
          <w:rFonts w:asciiTheme="minorHAnsi" w:hAnsiTheme="minorHAnsi" w:cstheme="minorHAnsi"/>
          <w:sz w:val="20"/>
          <w:szCs w:val="20"/>
        </w:rPr>
        <w:tab/>
        <w:t xml:space="preserve">jakości granulatu asfaltowego, a w szczególności właściwości lepiszcza, właściwości kruszywa i jednorodności granulatu,  </w:t>
      </w:r>
    </w:p>
    <w:p w14:paraId="49C36933" w14:textId="77777777" w:rsidR="00F97DAB" w:rsidRPr="00BA767E" w:rsidRDefault="00F97DAB" w:rsidP="00BA767E">
      <w:pPr>
        <w:pStyle w:val="Tekstpodstawowy"/>
        <w:spacing w:line="240" w:lineRule="auto"/>
        <w:ind w:firstLine="708"/>
        <w:jc w:val="both"/>
        <w:rPr>
          <w:rFonts w:asciiTheme="minorHAnsi" w:hAnsiTheme="minorHAnsi" w:cstheme="minorHAnsi"/>
          <w:sz w:val="20"/>
          <w:szCs w:val="20"/>
        </w:rPr>
      </w:pPr>
      <w:r w:rsidRPr="00BA767E">
        <w:rPr>
          <w:rFonts w:asciiTheme="minorHAnsi" w:hAnsiTheme="minorHAnsi" w:cstheme="minorHAnsi"/>
          <w:sz w:val="20"/>
          <w:szCs w:val="20"/>
        </w:rPr>
        <w:t xml:space="preserve">–  </w:t>
      </w:r>
      <w:r w:rsidRPr="00BA767E">
        <w:rPr>
          <w:rFonts w:asciiTheme="minorHAnsi" w:hAnsiTheme="minorHAnsi" w:cstheme="minorHAnsi"/>
          <w:sz w:val="20"/>
          <w:szCs w:val="20"/>
        </w:rPr>
        <w:tab/>
        <w:t xml:space="preserve">rodzaju nowego lepiszcza, </w:t>
      </w:r>
    </w:p>
    <w:p w14:paraId="68A7B5F2" w14:textId="77777777" w:rsidR="00F97DAB" w:rsidRPr="00BA767E" w:rsidRDefault="00F97DAB" w:rsidP="00BA767E">
      <w:pPr>
        <w:pStyle w:val="Tekstpodstawowy"/>
        <w:spacing w:line="240" w:lineRule="auto"/>
        <w:ind w:firstLine="709"/>
        <w:jc w:val="both"/>
        <w:rPr>
          <w:rFonts w:asciiTheme="minorHAnsi" w:hAnsiTheme="minorHAnsi" w:cstheme="minorHAnsi"/>
          <w:sz w:val="20"/>
          <w:szCs w:val="20"/>
        </w:rPr>
      </w:pPr>
      <w:r w:rsidRPr="00BA767E">
        <w:rPr>
          <w:rFonts w:asciiTheme="minorHAnsi" w:hAnsiTheme="minorHAnsi" w:cstheme="minorHAnsi"/>
          <w:sz w:val="20"/>
          <w:szCs w:val="20"/>
        </w:rPr>
        <w:t xml:space="preserve">–  </w:t>
      </w:r>
      <w:r w:rsidRPr="00BA767E">
        <w:rPr>
          <w:rFonts w:asciiTheme="minorHAnsi" w:hAnsiTheme="minorHAnsi" w:cstheme="minorHAnsi"/>
          <w:sz w:val="20"/>
          <w:szCs w:val="20"/>
        </w:rPr>
        <w:tab/>
        <w:t xml:space="preserve">technologii stosowanej do recyklingu na gorąco (metoda dozowania granulatu na zimno/na gorąco). </w:t>
      </w:r>
    </w:p>
    <w:p w14:paraId="04FBFEC0" w14:textId="77777777" w:rsidR="00F97DAB" w:rsidRPr="00BA767E" w:rsidRDefault="00F97DAB" w:rsidP="00BA767E">
      <w:pPr>
        <w:pStyle w:val="Tekstpodstawowy"/>
        <w:spacing w:line="240" w:lineRule="auto"/>
        <w:jc w:val="both"/>
        <w:rPr>
          <w:rFonts w:asciiTheme="minorHAnsi" w:hAnsiTheme="minorHAnsi" w:cstheme="minorHAnsi"/>
          <w:sz w:val="20"/>
          <w:szCs w:val="20"/>
        </w:rPr>
      </w:pPr>
      <w:r w:rsidRPr="00BA767E">
        <w:rPr>
          <w:rFonts w:asciiTheme="minorHAnsi" w:hAnsiTheme="minorHAnsi" w:cstheme="minorHAnsi"/>
          <w:sz w:val="20"/>
          <w:szCs w:val="20"/>
        </w:rPr>
        <w:t xml:space="preserve">Procentowe zawartości granulatu asfaltowego określa się na podstawie maksymalnej wartości wskaźnika zastąpienia lepiszcza BR [%], obliczanego następująco: </w:t>
      </w:r>
    </w:p>
    <w:p w14:paraId="5268CC90" w14:textId="77777777" w:rsidR="00F97DAB" w:rsidRPr="00BA767E" w:rsidRDefault="00F97DAB" w:rsidP="00BA767E">
      <w:pPr>
        <w:pStyle w:val="Tekstpodstawowy"/>
        <w:spacing w:line="240" w:lineRule="auto"/>
        <w:ind w:left="2832" w:firstLine="708"/>
        <w:jc w:val="both"/>
        <w:rPr>
          <w:rFonts w:asciiTheme="minorHAnsi" w:hAnsiTheme="minorHAnsi" w:cstheme="minorHAnsi"/>
          <w:sz w:val="20"/>
          <w:szCs w:val="20"/>
        </w:rPr>
      </w:pPr>
      <w:r w:rsidRPr="00BA767E">
        <w:rPr>
          <w:rFonts w:asciiTheme="minorHAnsi" w:hAnsiTheme="minorHAnsi" w:cstheme="minorHAnsi"/>
          <w:sz w:val="20"/>
          <w:szCs w:val="20"/>
        </w:rPr>
        <w:t xml:space="preserve">BR = (a x b)/c </w:t>
      </w:r>
    </w:p>
    <w:p w14:paraId="197C8EBA" w14:textId="77777777" w:rsidR="00F97DAB" w:rsidRPr="00BA767E" w:rsidRDefault="00F97DAB" w:rsidP="00BA767E">
      <w:pPr>
        <w:pStyle w:val="Tekstpodstawowy"/>
        <w:spacing w:line="240" w:lineRule="auto"/>
        <w:jc w:val="both"/>
        <w:rPr>
          <w:rFonts w:asciiTheme="minorHAnsi" w:hAnsiTheme="minorHAnsi" w:cstheme="minorHAnsi"/>
          <w:sz w:val="20"/>
          <w:szCs w:val="20"/>
        </w:rPr>
      </w:pPr>
      <w:r w:rsidRPr="00BA767E">
        <w:rPr>
          <w:rFonts w:asciiTheme="minorHAnsi" w:hAnsiTheme="minorHAnsi" w:cstheme="minorHAnsi"/>
          <w:sz w:val="20"/>
          <w:szCs w:val="20"/>
        </w:rPr>
        <w:t xml:space="preserve">gdzie: </w:t>
      </w:r>
    </w:p>
    <w:p w14:paraId="5A7C23F3" w14:textId="77777777" w:rsidR="00F97DAB" w:rsidRPr="00BA767E" w:rsidRDefault="00F97DAB" w:rsidP="00BA767E">
      <w:pPr>
        <w:pStyle w:val="Tekstpodstawowy"/>
        <w:spacing w:line="240" w:lineRule="auto"/>
        <w:jc w:val="both"/>
        <w:rPr>
          <w:rFonts w:asciiTheme="minorHAnsi" w:hAnsiTheme="minorHAnsi" w:cstheme="minorHAnsi"/>
          <w:sz w:val="20"/>
          <w:szCs w:val="20"/>
        </w:rPr>
      </w:pPr>
      <w:r w:rsidRPr="00BA767E">
        <w:rPr>
          <w:rFonts w:asciiTheme="minorHAnsi" w:hAnsiTheme="minorHAnsi" w:cstheme="minorHAnsi"/>
          <w:sz w:val="20"/>
          <w:szCs w:val="20"/>
        </w:rPr>
        <w:t xml:space="preserve">BR – wskaźnik zastąpienia lepiszcza [% (m/m)], </w:t>
      </w:r>
    </w:p>
    <w:p w14:paraId="677C0BD3" w14:textId="77777777" w:rsidR="00F97DAB" w:rsidRPr="00BA767E" w:rsidRDefault="00F97DAB" w:rsidP="00BA767E">
      <w:pPr>
        <w:pStyle w:val="Tekstpodstawowy"/>
        <w:spacing w:line="240" w:lineRule="auto"/>
        <w:jc w:val="both"/>
        <w:rPr>
          <w:rFonts w:asciiTheme="minorHAnsi" w:hAnsiTheme="minorHAnsi" w:cstheme="minorHAnsi"/>
          <w:sz w:val="20"/>
          <w:szCs w:val="20"/>
        </w:rPr>
      </w:pPr>
      <w:r w:rsidRPr="00BA767E">
        <w:rPr>
          <w:rFonts w:asciiTheme="minorHAnsi" w:hAnsiTheme="minorHAnsi" w:cstheme="minorHAnsi"/>
          <w:sz w:val="20"/>
          <w:szCs w:val="20"/>
        </w:rPr>
        <w:t xml:space="preserve">a – zawartość lepiszcza rozpuszczalnego w granulacie asfaltowym [% (m/m)],  </w:t>
      </w:r>
    </w:p>
    <w:p w14:paraId="1CDE82BC" w14:textId="77777777" w:rsidR="00F97DAB" w:rsidRPr="00BA767E" w:rsidRDefault="00F97DAB" w:rsidP="00BA767E">
      <w:pPr>
        <w:pStyle w:val="Tekstpodstawowy"/>
        <w:spacing w:line="240" w:lineRule="auto"/>
        <w:jc w:val="both"/>
        <w:rPr>
          <w:rFonts w:asciiTheme="minorHAnsi" w:hAnsiTheme="minorHAnsi" w:cstheme="minorHAnsi"/>
          <w:sz w:val="20"/>
          <w:szCs w:val="20"/>
        </w:rPr>
      </w:pPr>
      <w:r w:rsidRPr="00BA767E">
        <w:rPr>
          <w:rFonts w:asciiTheme="minorHAnsi" w:hAnsiTheme="minorHAnsi" w:cstheme="minorHAnsi"/>
          <w:sz w:val="20"/>
          <w:szCs w:val="20"/>
        </w:rPr>
        <w:t xml:space="preserve">b – udział granulatu asfaltowego w mieszance mineralno-asfaltowej [% (m/m)],  </w:t>
      </w:r>
    </w:p>
    <w:p w14:paraId="1F4A1B0C" w14:textId="77777777" w:rsidR="00F97DAB" w:rsidRPr="00BA767E" w:rsidRDefault="00F97DAB" w:rsidP="00BA767E">
      <w:pPr>
        <w:pStyle w:val="Tekstpodstawowy"/>
        <w:spacing w:line="240" w:lineRule="auto"/>
        <w:jc w:val="both"/>
        <w:rPr>
          <w:rFonts w:asciiTheme="minorHAnsi" w:hAnsiTheme="minorHAnsi" w:cstheme="minorHAnsi"/>
          <w:sz w:val="20"/>
          <w:szCs w:val="20"/>
        </w:rPr>
      </w:pPr>
      <w:r w:rsidRPr="00BA767E">
        <w:rPr>
          <w:rFonts w:asciiTheme="minorHAnsi" w:hAnsiTheme="minorHAnsi" w:cstheme="minorHAnsi"/>
          <w:sz w:val="20"/>
          <w:szCs w:val="20"/>
        </w:rPr>
        <w:t xml:space="preserve">c  –  całkowita  zawartość  lepiszcza  rozpuszczalnego  w  mieszance  mineralno-asfaltowej [% (m/m)]. </w:t>
      </w:r>
    </w:p>
    <w:p w14:paraId="326DBFFE" w14:textId="77777777" w:rsidR="00BA767E" w:rsidRDefault="00BA767E" w:rsidP="00BA767E">
      <w:pPr>
        <w:pStyle w:val="Tekstpodstawowy"/>
        <w:spacing w:line="240" w:lineRule="auto"/>
        <w:jc w:val="both"/>
        <w:rPr>
          <w:rFonts w:asciiTheme="minorHAnsi" w:hAnsiTheme="minorHAnsi" w:cstheme="minorHAnsi"/>
          <w:b/>
          <w:bCs/>
          <w:sz w:val="20"/>
          <w:szCs w:val="20"/>
        </w:rPr>
      </w:pPr>
    </w:p>
    <w:p w14:paraId="2B90F6AA" w14:textId="77777777" w:rsidR="00BA767E" w:rsidRDefault="00BA767E" w:rsidP="00BA767E">
      <w:pPr>
        <w:pStyle w:val="Tekstpodstawowy"/>
        <w:spacing w:line="240" w:lineRule="auto"/>
        <w:jc w:val="both"/>
        <w:rPr>
          <w:rFonts w:asciiTheme="minorHAnsi" w:hAnsiTheme="minorHAnsi" w:cstheme="minorHAnsi"/>
          <w:b/>
          <w:bCs/>
          <w:sz w:val="20"/>
          <w:szCs w:val="20"/>
        </w:rPr>
      </w:pPr>
    </w:p>
    <w:p w14:paraId="6A55C8D5" w14:textId="77777777" w:rsidR="00BA767E" w:rsidRDefault="00BA767E" w:rsidP="00BA767E">
      <w:pPr>
        <w:pStyle w:val="Tekstpodstawowy"/>
        <w:spacing w:line="240" w:lineRule="auto"/>
        <w:jc w:val="both"/>
        <w:rPr>
          <w:rFonts w:asciiTheme="minorHAnsi" w:hAnsiTheme="minorHAnsi" w:cstheme="minorHAnsi"/>
          <w:b/>
          <w:bCs/>
          <w:sz w:val="20"/>
          <w:szCs w:val="20"/>
        </w:rPr>
      </w:pPr>
    </w:p>
    <w:p w14:paraId="2DCBDEA6" w14:textId="77777777" w:rsidR="00BA767E" w:rsidRDefault="00BA767E" w:rsidP="00BA767E">
      <w:pPr>
        <w:pStyle w:val="Tekstpodstawowy"/>
        <w:spacing w:line="240" w:lineRule="auto"/>
        <w:jc w:val="both"/>
        <w:rPr>
          <w:rFonts w:asciiTheme="minorHAnsi" w:hAnsiTheme="minorHAnsi" w:cstheme="minorHAnsi"/>
          <w:b/>
          <w:bCs/>
          <w:sz w:val="20"/>
          <w:szCs w:val="20"/>
        </w:rPr>
      </w:pPr>
    </w:p>
    <w:p w14:paraId="2A464988" w14:textId="77777777" w:rsidR="00BA767E" w:rsidRDefault="00BA767E" w:rsidP="00BA767E">
      <w:pPr>
        <w:pStyle w:val="Tekstpodstawowy"/>
        <w:spacing w:line="240" w:lineRule="auto"/>
        <w:jc w:val="both"/>
        <w:rPr>
          <w:rFonts w:asciiTheme="minorHAnsi" w:hAnsiTheme="minorHAnsi" w:cstheme="minorHAnsi"/>
          <w:b/>
          <w:bCs/>
          <w:sz w:val="20"/>
          <w:szCs w:val="20"/>
        </w:rPr>
      </w:pPr>
    </w:p>
    <w:p w14:paraId="6CF9FC5B" w14:textId="77777777" w:rsidR="00BA767E" w:rsidRDefault="00BA767E" w:rsidP="00BA767E">
      <w:pPr>
        <w:pStyle w:val="Tekstpodstawowy"/>
        <w:spacing w:line="240" w:lineRule="auto"/>
        <w:jc w:val="both"/>
        <w:rPr>
          <w:rFonts w:asciiTheme="minorHAnsi" w:hAnsiTheme="minorHAnsi" w:cstheme="minorHAnsi"/>
          <w:b/>
          <w:bCs/>
          <w:sz w:val="20"/>
          <w:szCs w:val="20"/>
        </w:rPr>
      </w:pPr>
    </w:p>
    <w:p w14:paraId="78FC7066" w14:textId="43CF99F6" w:rsidR="00F97DAB" w:rsidRPr="00BA767E" w:rsidRDefault="00F97DAB" w:rsidP="00BA767E">
      <w:pPr>
        <w:pStyle w:val="Tekstpodstawowy"/>
        <w:spacing w:line="240" w:lineRule="auto"/>
        <w:jc w:val="both"/>
        <w:rPr>
          <w:rFonts w:asciiTheme="minorHAnsi" w:hAnsiTheme="minorHAnsi" w:cstheme="minorHAnsi"/>
          <w:sz w:val="20"/>
          <w:szCs w:val="20"/>
        </w:rPr>
      </w:pPr>
      <w:r w:rsidRPr="00BA767E">
        <w:rPr>
          <w:rFonts w:asciiTheme="minorHAnsi" w:hAnsiTheme="minorHAnsi" w:cstheme="minorHAnsi"/>
          <w:sz w:val="20"/>
          <w:szCs w:val="20"/>
        </w:rPr>
        <w:t xml:space="preserve">Tablica </w:t>
      </w:r>
      <w:r w:rsidR="00BA767E" w:rsidRPr="00BA767E">
        <w:rPr>
          <w:rFonts w:asciiTheme="minorHAnsi" w:hAnsiTheme="minorHAnsi" w:cstheme="minorHAnsi"/>
          <w:sz w:val="20"/>
          <w:szCs w:val="20"/>
        </w:rPr>
        <w:t>3</w:t>
      </w:r>
      <w:r w:rsidRPr="00BA767E">
        <w:rPr>
          <w:rFonts w:asciiTheme="minorHAnsi" w:hAnsiTheme="minorHAnsi" w:cstheme="minorHAnsi"/>
          <w:sz w:val="20"/>
          <w:szCs w:val="20"/>
        </w:rPr>
        <w:t xml:space="preserve"> Dopuszczalne wartości wskaźnika BR [%]</w:t>
      </w:r>
    </w:p>
    <w:p w14:paraId="0770FF7B" w14:textId="77777777" w:rsidR="00F97DAB" w:rsidRPr="00BA767E" w:rsidRDefault="00F97DAB" w:rsidP="00BA767E">
      <w:pPr>
        <w:pStyle w:val="Tekstpodstawowy"/>
        <w:spacing w:line="240" w:lineRule="auto"/>
        <w:jc w:val="both"/>
        <w:rPr>
          <w:rFonts w:asciiTheme="minorHAnsi" w:hAnsiTheme="minorHAnsi" w:cstheme="minorHAnsi"/>
          <w:sz w:val="20"/>
          <w:szCs w:val="20"/>
        </w:rPr>
      </w:pPr>
    </w:p>
    <w:tbl>
      <w:tblPr>
        <w:tblStyle w:val="Tabela-Siatka"/>
        <w:tblW w:w="0" w:type="auto"/>
        <w:tblLook w:val="04A0" w:firstRow="1" w:lastRow="0" w:firstColumn="1" w:lastColumn="0" w:noHBand="0" w:noVBand="1"/>
      </w:tblPr>
      <w:tblGrid>
        <w:gridCol w:w="2405"/>
        <w:gridCol w:w="2693"/>
        <w:gridCol w:w="3119"/>
      </w:tblGrid>
      <w:tr w:rsidR="00F97DAB" w:rsidRPr="00BA767E" w14:paraId="35CE7E80" w14:textId="77777777" w:rsidTr="00EA573C">
        <w:tc>
          <w:tcPr>
            <w:tcW w:w="2405" w:type="dxa"/>
            <w:vMerge w:val="restart"/>
            <w:vAlign w:val="center"/>
          </w:tcPr>
          <w:p w14:paraId="1505C011" w14:textId="77777777" w:rsidR="00F97DAB" w:rsidRPr="00BA767E" w:rsidRDefault="00F97DAB" w:rsidP="00BA767E">
            <w:pPr>
              <w:pStyle w:val="Tekstpodstawowy"/>
              <w:spacing w:line="240" w:lineRule="auto"/>
              <w:jc w:val="center"/>
              <w:rPr>
                <w:rFonts w:asciiTheme="minorHAnsi" w:hAnsiTheme="minorHAnsi" w:cstheme="minorHAnsi"/>
                <w:sz w:val="20"/>
                <w:szCs w:val="20"/>
              </w:rPr>
            </w:pPr>
            <w:r w:rsidRPr="00BA767E">
              <w:rPr>
                <w:rFonts w:asciiTheme="minorHAnsi" w:hAnsiTheme="minorHAnsi" w:cstheme="minorHAnsi"/>
                <w:sz w:val="20"/>
                <w:szCs w:val="20"/>
              </w:rPr>
              <w:t>Typ betonu asfaltowego</w:t>
            </w:r>
          </w:p>
        </w:tc>
        <w:tc>
          <w:tcPr>
            <w:tcW w:w="5812" w:type="dxa"/>
            <w:gridSpan w:val="2"/>
            <w:vAlign w:val="center"/>
          </w:tcPr>
          <w:p w14:paraId="18A6105D" w14:textId="77777777" w:rsidR="00F97DAB" w:rsidRPr="00BA767E" w:rsidRDefault="00F97DAB" w:rsidP="00BA767E">
            <w:pPr>
              <w:pStyle w:val="Tekstpodstawowy"/>
              <w:spacing w:line="240" w:lineRule="auto"/>
              <w:jc w:val="center"/>
              <w:rPr>
                <w:rFonts w:asciiTheme="minorHAnsi" w:hAnsiTheme="minorHAnsi" w:cstheme="minorHAnsi"/>
                <w:sz w:val="20"/>
                <w:szCs w:val="20"/>
              </w:rPr>
            </w:pPr>
            <w:r w:rsidRPr="00BA767E">
              <w:rPr>
                <w:rFonts w:asciiTheme="minorHAnsi" w:hAnsiTheme="minorHAnsi" w:cstheme="minorHAnsi"/>
                <w:sz w:val="20"/>
                <w:szCs w:val="20"/>
              </w:rPr>
              <w:t>Dopuszczalna  wartość  wskaźnika  zastąpienia lepiszcza BR [%] w przypadku dozowania granulatu asfaltowego w otaczarce metodą</w:t>
            </w:r>
          </w:p>
        </w:tc>
      </w:tr>
      <w:tr w:rsidR="00F97DAB" w:rsidRPr="00BA767E" w14:paraId="525E8EE5" w14:textId="77777777" w:rsidTr="00EA573C">
        <w:trPr>
          <w:trHeight w:val="270"/>
        </w:trPr>
        <w:tc>
          <w:tcPr>
            <w:tcW w:w="2405" w:type="dxa"/>
            <w:vMerge/>
            <w:vAlign w:val="center"/>
          </w:tcPr>
          <w:p w14:paraId="4DD7CF9D" w14:textId="77777777" w:rsidR="00F97DAB" w:rsidRPr="00BA767E" w:rsidRDefault="00F97DAB" w:rsidP="00BA767E">
            <w:pPr>
              <w:pStyle w:val="Tekstpodstawowy"/>
              <w:spacing w:line="240" w:lineRule="auto"/>
              <w:jc w:val="center"/>
              <w:rPr>
                <w:rFonts w:asciiTheme="minorHAnsi" w:hAnsiTheme="minorHAnsi" w:cstheme="minorHAnsi"/>
                <w:sz w:val="20"/>
                <w:szCs w:val="20"/>
              </w:rPr>
            </w:pPr>
          </w:p>
        </w:tc>
        <w:tc>
          <w:tcPr>
            <w:tcW w:w="2693" w:type="dxa"/>
            <w:vAlign w:val="center"/>
          </w:tcPr>
          <w:p w14:paraId="6B448F14" w14:textId="77777777" w:rsidR="00F97DAB" w:rsidRPr="00BA767E" w:rsidRDefault="00F97DAB" w:rsidP="00BA767E">
            <w:pPr>
              <w:pStyle w:val="Tekstpodstawowy"/>
              <w:spacing w:line="240" w:lineRule="auto"/>
              <w:jc w:val="center"/>
              <w:rPr>
                <w:rFonts w:asciiTheme="minorHAnsi" w:hAnsiTheme="minorHAnsi" w:cstheme="minorHAnsi"/>
                <w:sz w:val="20"/>
                <w:szCs w:val="20"/>
              </w:rPr>
            </w:pPr>
            <w:r w:rsidRPr="00BA767E">
              <w:rPr>
                <w:rFonts w:asciiTheme="minorHAnsi" w:hAnsiTheme="minorHAnsi" w:cstheme="minorHAnsi"/>
                <w:sz w:val="20"/>
                <w:szCs w:val="20"/>
              </w:rPr>
              <w:t xml:space="preserve">na zimno </w:t>
            </w:r>
          </w:p>
        </w:tc>
        <w:tc>
          <w:tcPr>
            <w:tcW w:w="3119" w:type="dxa"/>
            <w:vAlign w:val="center"/>
          </w:tcPr>
          <w:p w14:paraId="4031D253" w14:textId="77777777" w:rsidR="00F97DAB" w:rsidRPr="00BA767E" w:rsidRDefault="00F97DAB" w:rsidP="00BA767E">
            <w:pPr>
              <w:pStyle w:val="Tekstpodstawowy"/>
              <w:spacing w:line="240" w:lineRule="auto"/>
              <w:jc w:val="center"/>
              <w:rPr>
                <w:rFonts w:asciiTheme="minorHAnsi" w:hAnsiTheme="minorHAnsi" w:cstheme="minorHAnsi"/>
                <w:sz w:val="20"/>
                <w:szCs w:val="20"/>
              </w:rPr>
            </w:pPr>
            <w:r w:rsidRPr="00BA767E">
              <w:rPr>
                <w:rFonts w:asciiTheme="minorHAnsi" w:hAnsiTheme="minorHAnsi" w:cstheme="minorHAnsi"/>
                <w:sz w:val="20"/>
                <w:szCs w:val="20"/>
              </w:rPr>
              <w:t>na gorąco</w:t>
            </w:r>
          </w:p>
        </w:tc>
      </w:tr>
      <w:tr w:rsidR="00F97DAB" w:rsidRPr="00BA767E" w14:paraId="791D1DF8" w14:textId="77777777" w:rsidTr="00EA573C">
        <w:trPr>
          <w:trHeight w:val="301"/>
        </w:trPr>
        <w:tc>
          <w:tcPr>
            <w:tcW w:w="2405" w:type="dxa"/>
            <w:vAlign w:val="center"/>
          </w:tcPr>
          <w:p w14:paraId="109CD1BE" w14:textId="77777777" w:rsidR="00F97DAB" w:rsidRPr="00BA767E" w:rsidRDefault="00F97DAB" w:rsidP="00BA767E">
            <w:pPr>
              <w:pStyle w:val="Tekstpodstawowy"/>
              <w:spacing w:line="240" w:lineRule="auto"/>
              <w:jc w:val="center"/>
              <w:rPr>
                <w:rFonts w:asciiTheme="minorHAnsi" w:hAnsiTheme="minorHAnsi" w:cstheme="minorHAnsi"/>
                <w:sz w:val="20"/>
                <w:szCs w:val="20"/>
              </w:rPr>
            </w:pPr>
            <w:r w:rsidRPr="00BA767E">
              <w:rPr>
                <w:rFonts w:asciiTheme="minorHAnsi" w:hAnsiTheme="minorHAnsi" w:cstheme="minorHAnsi"/>
                <w:sz w:val="20"/>
                <w:szCs w:val="20"/>
              </w:rPr>
              <w:t>AC P</w:t>
            </w:r>
          </w:p>
        </w:tc>
        <w:tc>
          <w:tcPr>
            <w:tcW w:w="2693" w:type="dxa"/>
            <w:vAlign w:val="center"/>
          </w:tcPr>
          <w:p w14:paraId="6B2724BC" w14:textId="77777777" w:rsidR="00F97DAB" w:rsidRPr="00BA767E" w:rsidRDefault="00F97DAB" w:rsidP="00BA767E">
            <w:pPr>
              <w:pStyle w:val="Tekstpodstawowy"/>
              <w:spacing w:line="240" w:lineRule="auto"/>
              <w:jc w:val="center"/>
              <w:rPr>
                <w:rFonts w:asciiTheme="minorHAnsi" w:hAnsiTheme="minorHAnsi" w:cstheme="minorHAnsi"/>
                <w:sz w:val="20"/>
                <w:szCs w:val="20"/>
              </w:rPr>
            </w:pPr>
            <w:r w:rsidRPr="00BA767E">
              <w:rPr>
                <w:rFonts w:asciiTheme="minorHAnsi" w:hAnsiTheme="minorHAnsi" w:cstheme="minorHAnsi"/>
                <w:sz w:val="20"/>
                <w:szCs w:val="20"/>
              </w:rPr>
              <w:t>20</w:t>
            </w:r>
          </w:p>
        </w:tc>
        <w:tc>
          <w:tcPr>
            <w:tcW w:w="3119" w:type="dxa"/>
            <w:vAlign w:val="center"/>
          </w:tcPr>
          <w:p w14:paraId="57B941C6" w14:textId="77777777" w:rsidR="00F97DAB" w:rsidRPr="00BA767E" w:rsidRDefault="00F97DAB" w:rsidP="00BA767E">
            <w:pPr>
              <w:pStyle w:val="Tekstpodstawowy"/>
              <w:spacing w:line="240" w:lineRule="auto"/>
              <w:jc w:val="center"/>
              <w:rPr>
                <w:rFonts w:asciiTheme="minorHAnsi" w:hAnsiTheme="minorHAnsi" w:cstheme="minorHAnsi"/>
                <w:sz w:val="20"/>
                <w:szCs w:val="20"/>
              </w:rPr>
            </w:pPr>
            <w:r w:rsidRPr="00BA767E">
              <w:rPr>
                <w:rFonts w:asciiTheme="minorHAnsi" w:hAnsiTheme="minorHAnsi" w:cstheme="minorHAnsi"/>
                <w:sz w:val="20"/>
                <w:szCs w:val="20"/>
              </w:rPr>
              <w:t>40 (50</w:t>
            </w:r>
            <w:r w:rsidRPr="00BA767E">
              <w:rPr>
                <w:rFonts w:asciiTheme="minorHAnsi" w:hAnsiTheme="minorHAnsi" w:cstheme="minorHAnsi"/>
                <w:sz w:val="20"/>
                <w:szCs w:val="20"/>
                <w:vertAlign w:val="superscript"/>
              </w:rPr>
              <w:t>1)</w:t>
            </w:r>
            <w:r w:rsidRPr="00BA767E">
              <w:rPr>
                <w:rFonts w:asciiTheme="minorHAnsi" w:hAnsiTheme="minorHAnsi" w:cstheme="minorHAnsi"/>
                <w:sz w:val="20"/>
                <w:szCs w:val="20"/>
              </w:rPr>
              <w:t>)</w:t>
            </w:r>
          </w:p>
        </w:tc>
      </w:tr>
    </w:tbl>
    <w:p w14:paraId="6D13B983" w14:textId="77777777" w:rsidR="00F97DAB" w:rsidRPr="00BA767E" w:rsidRDefault="00F97DAB" w:rsidP="00BA767E">
      <w:pPr>
        <w:pStyle w:val="Tekstpodstawowy"/>
        <w:spacing w:line="240" w:lineRule="auto"/>
        <w:jc w:val="both"/>
        <w:rPr>
          <w:rFonts w:asciiTheme="minorHAnsi" w:hAnsiTheme="minorHAnsi" w:cstheme="minorHAnsi"/>
          <w:sz w:val="20"/>
          <w:szCs w:val="20"/>
        </w:rPr>
      </w:pPr>
      <w:r w:rsidRPr="00BA767E">
        <w:rPr>
          <w:rFonts w:asciiTheme="minorHAnsi" w:hAnsiTheme="minorHAnsi" w:cstheme="minorHAnsi"/>
          <w:sz w:val="20"/>
          <w:szCs w:val="20"/>
        </w:rPr>
        <w:t>1)  Na zasadzie indywidualnego dopuszczenia przez Zamawiającego</w:t>
      </w:r>
    </w:p>
    <w:p w14:paraId="28C0D1B3" w14:textId="77777777" w:rsidR="00F97DAB" w:rsidRPr="00BA767E" w:rsidRDefault="00F97DAB" w:rsidP="00BA767E">
      <w:pPr>
        <w:pStyle w:val="Tekstpodstawowy"/>
        <w:spacing w:line="240" w:lineRule="auto"/>
        <w:jc w:val="both"/>
        <w:rPr>
          <w:rFonts w:asciiTheme="minorHAnsi" w:hAnsiTheme="minorHAnsi" w:cstheme="minorHAnsi"/>
          <w:sz w:val="20"/>
          <w:szCs w:val="20"/>
        </w:rPr>
      </w:pPr>
    </w:p>
    <w:p w14:paraId="0839844A" w14:textId="77777777" w:rsidR="00F97DAB" w:rsidRPr="00BA767E" w:rsidRDefault="00F97DAB" w:rsidP="00BA767E">
      <w:pPr>
        <w:pStyle w:val="Tekstpodstawowy"/>
        <w:spacing w:line="240" w:lineRule="auto"/>
        <w:jc w:val="both"/>
        <w:rPr>
          <w:rFonts w:asciiTheme="minorHAnsi" w:hAnsiTheme="minorHAnsi" w:cstheme="minorHAnsi"/>
          <w:sz w:val="20"/>
          <w:szCs w:val="20"/>
        </w:rPr>
      </w:pPr>
      <w:r w:rsidRPr="00BA767E">
        <w:rPr>
          <w:rFonts w:asciiTheme="minorHAnsi" w:hAnsiTheme="minorHAnsi" w:cstheme="minorHAnsi"/>
          <w:sz w:val="20"/>
          <w:szCs w:val="20"/>
        </w:rPr>
        <w:t xml:space="preserve">Ponieważ dodatek granulatu asfaltowego może wywrzeć niekorzystny wpływ na odporność mieszanek mineralno-asfaltowych na spękania niskotemperaturowe, należy w przypadku mieszanek AC P o podwyższonej wartości wskaźnika BR, odpowiednio do 50% przy dozowaniu granulatu asfaltowego metodą na gorąco, przeprowadzić badania służące ocenie odporności tych mieszanek na spękania niskotemperaturowe. </w:t>
      </w:r>
    </w:p>
    <w:p w14:paraId="2194D091" w14:textId="77777777" w:rsidR="00F97DAB" w:rsidRPr="00BA767E" w:rsidRDefault="00F97DAB" w:rsidP="00BA767E">
      <w:pPr>
        <w:pStyle w:val="Tekstpodstawowy"/>
        <w:spacing w:line="240" w:lineRule="auto"/>
        <w:jc w:val="both"/>
        <w:rPr>
          <w:rFonts w:asciiTheme="minorHAnsi" w:hAnsiTheme="minorHAnsi" w:cstheme="minorHAnsi"/>
          <w:sz w:val="20"/>
          <w:szCs w:val="20"/>
        </w:rPr>
      </w:pPr>
      <w:r w:rsidRPr="00BA767E">
        <w:rPr>
          <w:rFonts w:asciiTheme="minorHAnsi" w:hAnsiTheme="minorHAnsi" w:cstheme="minorHAnsi"/>
          <w:sz w:val="20"/>
          <w:szCs w:val="20"/>
        </w:rPr>
        <w:t>Jeżeli w projektowanej mieszance mineralno-asfaltowej przewidziano użycie:</w:t>
      </w:r>
    </w:p>
    <w:p w14:paraId="651221AA" w14:textId="77777777" w:rsidR="00F97DAB" w:rsidRPr="00BA767E" w:rsidRDefault="00F97DAB" w:rsidP="00BA767E">
      <w:pPr>
        <w:pStyle w:val="Tekstpodstawowy"/>
        <w:spacing w:line="240" w:lineRule="auto"/>
        <w:ind w:firstLine="708"/>
        <w:jc w:val="both"/>
        <w:rPr>
          <w:rFonts w:asciiTheme="minorHAnsi" w:hAnsiTheme="minorHAnsi" w:cstheme="minorHAnsi"/>
          <w:sz w:val="20"/>
          <w:szCs w:val="20"/>
        </w:rPr>
      </w:pPr>
      <w:r w:rsidRPr="00BA767E">
        <w:rPr>
          <w:rFonts w:asciiTheme="minorHAnsi" w:hAnsiTheme="minorHAnsi" w:cstheme="minorHAnsi"/>
          <w:sz w:val="20"/>
          <w:szCs w:val="20"/>
        </w:rPr>
        <w:t xml:space="preserve">–  </w:t>
      </w:r>
      <w:r w:rsidRPr="00BA767E">
        <w:rPr>
          <w:rFonts w:asciiTheme="minorHAnsi" w:hAnsiTheme="minorHAnsi" w:cstheme="minorHAnsi"/>
          <w:sz w:val="20"/>
          <w:szCs w:val="20"/>
        </w:rPr>
        <w:tab/>
        <w:t>asfaltu modyfikowanego,</w:t>
      </w:r>
    </w:p>
    <w:p w14:paraId="03A2728B" w14:textId="77777777" w:rsidR="00F97DAB" w:rsidRPr="00BA767E" w:rsidRDefault="00F97DAB" w:rsidP="00BA767E">
      <w:pPr>
        <w:pStyle w:val="Tekstpodstawowy"/>
        <w:spacing w:line="240" w:lineRule="auto"/>
        <w:ind w:left="1412" w:hanging="703"/>
        <w:jc w:val="both"/>
        <w:rPr>
          <w:rFonts w:asciiTheme="minorHAnsi" w:hAnsiTheme="minorHAnsi" w:cstheme="minorHAnsi"/>
          <w:sz w:val="20"/>
          <w:szCs w:val="20"/>
        </w:rPr>
      </w:pPr>
      <w:r w:rsidRPr="00BA767E">
        <w:rPr>
          <w:rFonts w:asciiTheme="minorHAnsi" w:hAnsiTheme="minorHAnsi" w:cstheme="minorHAnsi"/>
          <w:sz w:val="20"/>
          <w:szCs w:val="20"/>
        </w:rPr>
        <w:t xml:space="preserve">–  </w:t>
      </w:r>
      <w:r w:rsidRPr="00BA767E">
        <w:rPr>
          <w:rFonts w:asciiTheme="minorHAnsi" w:hAnsiTheme="minorHAnsi" w:cstheme="minorHAnsi"/>
          <w:sz w:val="20"/>
          <w:szCs w:val="20"/>
        </w:rPr>
        <w:tab/>
        <w:t>granulatu asfaltowego zawierającego asfalt modyfikowany i w projektowanej mieszance mineralno-asfaltowej przewidziano użycie zwykłego asfaltu drogowego,</w:t>
      </w:r>
    </w:p>
    <w:p w14:paraId="0A10F4AC" w14:textId="77777777" w:rsidR="00F97DAB" w:rsidRPr="00BA767E" w:rsidRDefault="00F97DAB" w:rsidP="00BA767E">
      <w:pPr>
        <w:pStyle w:val="Tekstpodstawowy"/>
        <w:spacing w:line="240" w:lineRule="auto"/>
        <w:jc w:val="both"/>
        <w:rPr>
          <w:rFonts w:asciiTheme="minorHAnsi" w:hAnsiTheme="minorHAnsi" w:cstheme="minorHAnsi"/>
          <w:sz w:val="20"/>
          <w:szCs w:val="20"/>
        </w:rPr>
      </w:pPr>
      <w:r w:rsidRPr="00BA767E">
        <w:rPr>
          <w:rFonts w:asciiTheme="minorHAnsi" w:hAnsiTheme="minorHAnsi" w:cstheme="minorHAnsi"/>
          <w:sz w:val="20"/>
          <w:szCs w:val="20"/>
        </w:rPr>
        <w:t>zastosowanie granulatu asfaltowego może nastąpić na zasadzie indywidualnego dopuszczenia.</w:t>
      </w:r>
    </w:p>
    <w:p w14:paraId="47872A79" w14:textId="685A7B66" w:rsidR="00F97DAB" w:rsidRPr="00BA767E" w:rsidRDefault="00F97DAB" w:rsidP="00BA767E">
      <w:pPr>
        <w:pStyle w:val="Nagwek4"/>
        <w:spacing w:before="0" w:after="0"/>
        <w:ind w:left="864" w:hanging="864"/>
        <w:rPr>
          <w:rFonts w:asciiTheme="minorHAnsi" w:hAnsiTheme="minorHAnsi" w:cstheme="minorHAnsi"/>
        </w:rPr>
      </w:pPr>
      <w:bookmarkStart w:id="606" w:name="_Toc70203726"/>
      <w:bookmarkStart w:id="607" w:name="_Toc70205437"/>
      <w:bookmarkStart w:id="608" w:name="_Toc70207142"/>
      <w:bookmarkStart w:id="609" w:name="_Toc70208847"/>
      <w:bookmarkStart w:id="610" w:name="_Toc70210552"/>
      <w:bookmarkStart w:id="611" w:name="_Toc70212257"/>
      <w:bookmarkStart w:id="612" w:name="_Toc70213962"/>
      <w:bookmarkStart w:id="613" w:name="_Toc70215667"/>
      <w:bookmarkStart w:id="614" w:name="_Toc70217372"/>
      <w:bookmarkStart w:id="615" w:name="_Toc70219077"/>
      <w:bookmarkStart w:id="616" w:name="_Toc70220782"/>
      <w:r w:rsidRPr="00BA767E">
        <w:rPr>
          <w:rFonts w:asciiTheme="minorHAnsi" w:hAnsiTheme="minorHAnsi" w:cstheme="minorHAnsi"/>
        </w:rPr>
        <w:t>2.</w:t>
      </w:r>
      <w:r w:rsidR="00BA767E">
        <w:rPr>
          <w:rFonts w:asciiTheme="minorHAnsi" w:hAnsiTheme="minorHAnsi" w:cstheme="minorHAnsi"/>
        </w:rPr>
        <w:t>5</w:t>
      </w:r>
      <w:r w:rsidRPr="00BA767E">
        <w:rPr>
          <w:rFonts w:asciiTheme="minorHAnsi" w:hAnsiTheme="minorHAnsi" w:cstheme="minorHAnsi"/>
        </w:rPr>
        <w:t>.2.  Wymagania dla granulatu asfaltowego</w:t>
      </w:r>
      <w:bookmarkEnd w:id="606"/>
      <w:bookmarkEnd w:id="607"/>
      <w:bookmarkEnd w:id="608"/>
      <w:bookmarkEnd w:id="609"/>
      <w:bookmarkEnd w:id="610"/>
      <w:bookmarkEnd w:id="611"/>
      <w:bookmarkEnd w:id="612"/>
      <w:bookmarkEnd w:id="613"/>
      <w:bookmarkEnd w:id="614"/>
      <w:bookmarkEnd w:id="615"/>
      <w:bookmarkEnd w:id="616"/>
      <w:r w:rsidRPr="00BA767E">
        <w:rPr>
          <w:rFonts w:asciiTheme="minorHAnsi" w:hAnsiTheme="minorHAnsi" w:cstheme="minorHAnsi"/>
        </w:rPr>
        <w:t xml:space="preserve"> </w:t>
      </w:r>
    </w:p>
    <w:p w14:paraId="37CFB258" w14:textId="77777777" w:rsidR="00BA767E" w:rsidRDefault="00F97DAB" w:rsidP="00BA767E">
      <w:pPr>
        <w:pStyle w:val="Tekstpodstawowy"/>
        <w:spacing w:line="240" w:lineRule="auto"/>
        <w:jc w:val="both"/>
        <w:rPr>
          <w:rFonts w:asciiTheme="minorHAnsi" w:hAnsiTheme="minorHAnsi" w:cstheme="minorHAnsi"/>
          <w:sz w:val="20"/>
          <w:szCs w:val="20"/>
        </w:rPr>
      </w:pPr>
      <w:r w:rsidRPr="00BA767E">
        <w:rPr>
          <w:rFonts w:asciiTheme="minorHAnsi" w:hAnsiTheme="minorHAnsi" w:cstheme="minorHAnsi"/>
          <w:sz w:val="20"/>
          <w:szCs w:val="20"/>
        </w:rPr>
        <w:t xml:space="preserve">W przypadku stosowania  granulatu asfaltowego do produkcji mieszanek mineralno-asfaltowych typu beton  asfaltowy do warstwy  podbudowy  AC P to musi on spełniać wymagania określone w </w:t>
      </w:r>
      <w:r w:rsidR="00BA767E">
        <w:rPr>
          <w:rFonts w:asciiTheme="minorHAnsi" w:hAnsiTheme="minorHAnsi" w:cstheme="minorHAnsi"/>
          <w:sz w:val="20"/>
          <w:szCs w:val="20"/>
        </w:rPr>
        <w:t>t</w:t>
      </w:r>
      <w:r w:rsidRPr="00BA767E">
        <w:rPr>
          <w:rFonts w:asciiTheme="minorHAnsi" w:hAnsiTheme="minorHAnsi" w:cstheme="minorHAnsi"/>
          <w:sz w:val="20"/>
          <w:szCs w:val="20"/>
        </w:rPr>
        <w:t>ablicy 3.</w:t>
      </w:r>
    </w:p>
    <w:p w14:paraId="27754272" w14:textId="3A039DF6" w:rsidR="00F97DAB" w:rsidRPr="00BA767E" w:rsidRDefault="00F97DAB" w:rsidP="00BA767E">
      <w:pPr>
        <w:pStyle w:val="Tekstpodstawowy"/>
        <w:spacing w:line="240" w:lineRule="auto"/>
        <w:jc w:val="both"/>
        <w:rPr>
          <w:rFonts w:asciiTheme="minorHAnsi" w:hAnsiTheme="minorHAnsi" w:cstheme="minorHAnsi"/>
          <w:sz w:val="20"/>
          <w:szCs w:val="20"/>
        </w:rPr>
      </w:pPr>
      <w:r w:rsidRPr="00BA767E">
        <w:rPr>
          <w:rFonts w:asciiTheme="minorHAnsi" w:hAnsiTheme="minorHAnsi" w:cstheme="minorHAnsi"/>
          <w:sz w:val="20"/>
          <w:szCs w:val="20"/>
        </w:rPr>
        <w:t xml:space="preserve"> </w:t>
      </w:r>
    </w:p>
    <w:p w14:paraId="5882C4C3" w14:textId="77777777" w:rsidR="00F97DAB" w:rsidRPr="00BA767E" w:rsidRDefault="00F97DAB" w:rsidP="00BA767E">
      <w:pPr>
        <w:pStyle w:val="Tekstpodstawowy"/>
        <w:spacing w:line="240" w:lineRule="auto"/>
        <w:jc w:val="both"/>
        <w:rPr>
          <w:rFonts w:asciiTheme="minorHAnsi" w:hAnsiTheme="minorHAnsi" w:cstheme="minorHAnsi"/>
          <w:sz w:val="20"/>
          <w:szCs w:val="20"/>
        </w:rPr>
      </w:pPr>
      <w:r w:rsidRPr="00BA767E">
        <w:rPr>
          <w:rFonts w:asciiTheme="minorHAnsi" w:hAnsiTheme="minorHAnsi" w:cstheme="minorHAnsi"/>
          <w:sz w:val="20"/>
          <w:szCs w:val="20"/>
        </w:rPr>
        <w:t xml:space="preserve">Tablica 3 Wymagane właściwości granulatu asfaltowego stosowanego do mieszanek mineralno-asfaltowych typu ACP  </w:t>
      </w:r>
    </w:p>
    <w:tbl>
      <w:tblPr>
        <w:tblStyle w:val="Tabela-Siatka"/>
        <w:tblW w:w="0" w:type="auto"/>
        <w:jc w:val="center"/>
        <w:tblLook w:val="04A0" w:firstRow="1" w:lastRow="0" w:firstColumn="1" w:lastColumn="0" w:noHBand="0" w:noVBand="1"/>
      </w:tblPr>
      <w:tblGrid>
        <w:gridCol w:w="1308"/>
        <w:gridCol w:w="575"/>
        <w:gridCol w:w="3828"/>
        <w:gridCol w:w="1693"/>
      </w:tblGrid>
      <w:tr w:rsidR="00F97DAB" w:rsidRPr="00BA767E" w14:paraId="42813A9D" w14:textId="77777777" w:rsidTr="00EA573C">
        <w:trPr>
          <w:jc w:val="center"/>
        </w:trPr>
        <w:tc>
          <w:tcPr>
            <w:tcW w:w="1883" w:type="dxa"/>
            <w:gridSpan w:val="2"/>
            <w:vAlign w:val="center"/>
          </w:tcPr>
          <w:p w14:paraId="2BC35345" w14:textId="77777777" w:rsidR="00F97DAB" w:rsidRPr="00BA767E" w:rsidRDefault="00F97DAB" w:rsidP="00BA767E">
            <w:pPr>
              <w:pStyle w:val="Tekstpodstawowy"/>
              <w:spacing w:line="240" w:lineRule="auto"/>
              <w:rPr>
                <w:rFonts w:asciiTheme="minorHAnsi" w:hAnsiTheme="minorHAnsi" w:cstheme="minorHAnsi"/>
                <w:sz w:val="20"/>
                <w:szCs w:val="20"/>
              </w:rPr>
            </w:pPr>
            <w:r w:rsidRPr="00BA767E">
              <w:rPr>
                <w:rFonts w:asciiTheme="minorHAnsi" w:hAnsiTheme="minorHAnsi" w:cstheme="minorHAnsi"/>
                <w:sz w:val="20"/>
                <w:szCs w:val="20"/>
              </w:rPr>
              <w:t>Właściwość</w:t>
            </w:r>
          </w:p>
        </w:tc>
        <w:tc>
          <w:tcPr>
            <w:tcW w:w="3828" w:type="dxa"/>
            <w:vAlign w:val="center"/>
          </w:tcPr>
          <w:p w14:paraId="7F5E3D27" w14:textId="77777777" w:rsidR="00F97DAB" w:rsidRPr="00BA767E" w:rsidRDefault="00F97DAB" w:rsidP="00BA767E">
            <w:pPr>
              <w:pStyle w:val="Tekstpodstawowy"/>
              <w:spacing w:line="240" w:lineRule="auto"/>
              <w:jc w:val="center"/>
              <w:rPr>
                <w:rFonts w:asciiTheme="minorHAnsi" w:hAnsiTheme="minorHAnsi" w:cstheme="minorHAnsi"/>
                <w:sz w:val="20"/>
                <w:szCs w:val="20"/>
              </w:rPr>
            </w:pPr>
            <w:r w:rsidRPr="00BA767E">
              <w:rPr>
                <w:rFonts w:asciiTheme="minorHAnsi" w:hAnsiTheme="minorHAnsi" w:cstheme="minorHAnsi"/>
                <w:sz w:val="20"/>
                <w:szCs w:val="20"/>
              </w:rPr>
              <w:t>Wymagania</w:t>
            </w:r>
          </w:p>
        </w:tc>
        <w:tc>
          <w:tcPr>
            <w:tcW w:w="1693" w:type="dxa"/>
            <w:vAlign w:val="center"/>
          </w:tcPr>
          <w:p w14:paraId="5D5CFF1F" w14:textId="77777777" w:rsidR="00F97DAB" w:rsidRPr="00BA767E" w:rsidRDefault="00F97DAB" w:rsidP="00BA767E">
            <w:pPr>
              <w:pStyle w:val="Tekstpodstawowy"/>
              <w:spacing w:line="240" w:lineRule="auto"/>
              <w:jc w:val="center"/>
              <w:rPr>
                <w:rFonts w:asciiTheme="minorHAnsi" w:hAnsiTheme="minorHAnsi" w:cstheme="minorHAnsi"/>
                <w:sz w:val="20"/>
                <w:szCs w:val="20"/>
              </w:rPr>
            </w:pPr>
            <w:r w:rsidRPr="00BA767E">
              <w:rPr>
                <w:rFonts w:asciiTheme="minorHAnsi" w:hAnsiTheme="minorHAnsi" w:cstheme="minorHAnsi"/>
                <w:sz w:val="20"/>
                <w:szCs w:val="20"/>
              </w:rPr>
              <w:t xml:space="preserve">Dokument </w:t>
            </w:r>
          </w:p>
          <w:p w14:paraId="53B42F23" w14:textId="77777777" w:rsidR="00F97DAB" w:rsidRPr="00BA767E" w:rsidRDefault="00F97DAB" w:rsidP="00BA767E">
            <w:pPr>
              <w:pStyle w:val="Tekstpodstawowy"/>
              <w:spacing w:line="240" w:lineRule="auto"/>
              <w:jc w:val="center"/>
              <w:rPr>
                <w:rFonts w:asciiTheme="minorHAnsi" w:hAnsiTheme="minorHAnsi" w:cstheme="minorHAnsi"/>
                <w:sz w:val="20"/>
                <w:szCs w:val="20"/>
              </w:rPr>
            </w:pPr>
            <w:r w:rsidRPr="00BA767E">
              <w:rPr>
                <w:rFonts w:asciiTheme="minorHAnsi" w:hAnsiTheme="minorHAnsi" w:cstheme="minorHAnsi"/>
                <w:sz w:val="20"/>
                <w:szCs w:val="20"/>
              </w:rPr>
              <w:t>odniesienia</w:t>
            </w:r>
          </w:p>
        </w:tc>
      </w:tr>
      <w:tr w:rsidR="00F97DAB" w:rsidRPr="00BA767E" w14:paraId="107D2891" w14:textId="77777777" w:rsidTr="00EA573C">
        <w:trPr>
          <w:jc w:val="center"/>
        </w:trPr>
        <w:tc>
          <w:tcPr>
            <w:tcW w:w="1883" w:type="dxa"/>
            <w:gridSpan w:val="2"/>
            <w:vAlign w:val="center"/>
          </w:tcPr>
          <w:p w14:paraId="72B27E43" w14:textId="77777777" w:rsidR="00F97DAB" w:rsidRPr="00BA767E" w:rsidRDefault="00F97DAB" w:rsidP="00BA767E">
            <w:pPr>
              <w:pStyle w:val="Tekstpodstawowy"/>
              <w:spacing w:line="240" w:lineRule="auto"/>
              <w:rPr>
                <w:rFonts w:asciiTheme="minorHAnsi" w:hAnsiTheme="minorHAnsi" w:cstheme="minorHAnsi"/>
                <w:sz w:val="20"/>
                <w:szCs w:val="20"/>
              </w:rPr>
            </w:pPr>
            <w:r w:rsidRPr="00BA767E">
              <w:rPr>
                <w:rFonts w:asciiTheme="minorHAnsi" w:hAnsiTheme="minorHAnsi" w:cstheme="minorHAnsi"/>
                <w:sz w:val="20"/>
                <w:szCs w:val="20"/>
              </w:rPr>
              <w:t xml:space="preserve">Zawartość </w:t>
            </w:r>
          </w:p>
          <w:p w14:paraId="44A2B964" w14:textId="77777777" w:rsidR="00F97DAB" w:rsidRPr="00BA767E" w:rsidRDefault="00F97DAB" w:rsidP="00BA767E">
            <w:pPr>
              <w:pStyle w:val="Tekstpodstawowy"/>
              <w:spacing w:line="240" w:lineRule="auto"/>
              <w:rPr>
                <w:rFonts w:asciiTheme="minorHAnsi" w:hAnsiTheme="minorHAnsi" w:cstheme="minorHAnsi"/>
                <w:sz w:val="20"/>
                <w:szCs w:val="20"/>
              </w:rPr>
            </w:pPr>
            <w:r w:rsidRPr="00BA767E">
              <w:rPr>
                <w:rFonts w:asciiTheme="minorHAnsi" w:hAnsiTheme="minorHAnsi" w:cstheme="minorHAnsi"/>
                <w:sz w:val="20"/>
                <w:szCs w:val="20"/>
              </w:rPr>
              <w:t>materiałów obcych</w:t>
            </w:r>
          </w:p>
        </w:tc>
        <w:tc>
          <w:tcPr>
            <w:tcW w:w="3828" w:type="dxa"/>
            <w:vAlign w:val="center"/>
          </w:tcPr>
          <w:p w14:paraId="31AEFE48" w14:textId="77777777" w:rsidR="00F97DAB" w:rsidRPr="00BA767E" w:rsidRDefault="00F97DAB" w:rsidP="00BA767E">
            <w:pPr>
              <w:pStyle w:val="Tekstpodstawowy"/>
              <w:spacing w:line="240" w:lineRule="auto"/>
              <w:jc w:val="center"/>
              <w:rPr>
                <w:rFonts w:asciiTheme="minorHAnsi" w:hAnsiTheme="minorHAnsi" w:cstheme="minorHAnsi"/>
                <w:sz w:val="20"/>
                <w:szCs w:val="20"/>
              </w:rPr>
            </w:pPr>
            <w:r w:rsidRPr="00BA767E">
              <w:rPr>
                <w:rFonts w:asciiTheme="minorHAnsi" w:hAnsiTheme="minorHAnsi" w:cstheme="minorHAnsi"/>
                <w:sz w:val="20"/>
                <w:szCs w:val="20"/>
              </w:rPr>
              <w:t>Kategoria FM1</w:t>
            </w:r>
          </w:p>
        </w:tc>
        <w:tc>
          <w:tcPr>
            <w:tcW w:w="1693" w:type="dxa"/>
            <w:vAlign w:val="center"/>
          </w:tcPr>
          <w:p w14:paraId="215DD88A" w14:textId="77777777" w:rsidR="00F97DAB" w:rsidRPr="00BA767E" w:rsidRDefault="00F97DAB" w:rsidP="00BA767E">
            <w:pPr>
              <w:pStyle w:val="Tekstpodstawowy"/>
              <w:spacing w:line="240" w:lineRule="auto"/>
              <w:jc w:val="center"/>
              <w:rPr>
                <w:rFonts w:asciiTheme="minorHAnsi" w:hAnsiTheme="minorHAnsi" w:cstheme="minorHAnsi"/>
                <w:sz w:val="20"/>
                <w:szCs w:val="20"/>
              </w:rPr>
            </w:pPr>
            <w:r w:rsidRPr="00BA767E">
              <w:rPr>
                <w:rFonts w:asciiTheme="minorHAnsi" w:hAnsiTheme="minorHAnsi" w:cstheme="minorHAnsi"/>
                <w:sz w:val="20"/>
                <w:szCs w:val="20"/>
              </w:rPr>
              <w:t xml:space="preserve">PN-EN 13108-8 </w:t>
            </w:r>
          </w:p>
          <w:p w14:paraId="2848EB71" w14:textId="77777777" w:rsidR="00F97DAB" w:rsidRPr="00BA767E" w:rsidRDefault="00F97DAB" w:rsidP="00BA767E">
            <w:pPr>
              <w:pStyle w:val="Tekstpodstawowy"/>
              <w:spacing w:line="240" w:lineRule="auto"/>
              <w:jc w:val="center"/>
              <w:rPr>
                <w:rFonts w:asciiTheme="minorHAnsi" w:hAnsiTheme="minorHAnsi" w:cstheme="minorHAnsi"/>
                <w:sz w:val="20"/>
                <w:szCs w:val="20"/>
              </w:rPr>
            </w:pPr>
            <w:r w:rsidRPr="00BA767E">
              <w:rPr>
                <w:rFonts w:asciiTheme="minorHAnsi" w:hAnsiTheme="minorHAnsi" w:cstheme="minorHAnsi"/>
                <w:sz w:val="20"/>
                <w:szCs w:val="20"/>
              </w:rPr>
              <w:t>pkt. 4.1</w:t>
            </w:r>
          </w:p>
        </w:tc>
      </w:tr>
      <w:tr w:rsidR="00F97DAB" w:rsidRPr="00BA767E" w14:paraId="5148E787" w14:textId="77777777" w:rsidTr="00EA573C">
        <w:trPr>
          <w:jc w:val="center"/>
        </w:trPr>
        <w:tc>
          <w:tcPr>
            <w:tcW w:w="1308" w:type="dxa"/>
            <w:vMerge w:val="restart"/>
            <w:vAlign w:val="center"/>
          </w:tcPr>
          <w:p w14:paraId="2C8A0656" w14:textId="77777777" w:rsidR="00F97DAB" w:rsidRPr="00BA767E" w:rsidRDefault="00F97DAB" w:rsidP="00BA767E">
            <w:pPr>
              <w:pStyle w:val="Tekstpodstawowy"/>
              <w:spacing w:line="240" w:lineRule="auto"/>
              <w:rPr>
                <w:rFonts w:asciiTheme="minorHAnsi" w:hAnsiTheme="minorHAnsi" w:cstheme="minorHAnsi"/>
                <w:sz w:val="20"/>
                <w:szCs w:val="20"/>
              </w:rPr>
            </w:pPr>
            <w:r w:rsidRPr="00BA767E">
              <w:rPr>
                <w:rFonts w:asciiTheme="minorHAnsi" w:hAnsiTheme="minorHAnsi" w:cstheme="minorHAnsi"/>
                <w:sz w:val="20"/>
                <w:szCs w:val="20"/>
              </w:rPr>
              <w:t xml:space="preserve">Właściwości </w:t>
            </w:r>
          </w:p>
          <w:p w14:paraId="4621EBE8" w14:textId="77777777" w:rsidR="00F97DAB" w:rsidRPr="00BA767E" w:rsidRDefault="00F97DAB" w:rsidP="00BA767E">
            <w:pPr>
              <w:pStyle w:val="Tekstpodstawowy"/>
              <w:spacing w:line="240" w:lineRule="auto"/>
              <w:rPr>
                <w:rFonts w:asciiTheme="minorHAnsi" w:hAnsiTheme="minorHAnsi" w:cstheme="minorHAnsi"/>
                <w:sz w:val="20"/>
                <w:szCs w:val="20"/>
              </w:rPr>
            </w:pPr>
            <w:r w:rsidRPr="00BA767E">
              <w:rPr>
                <w:rFonts w:asciiTheme="minorHAnsi" w:hAnsiTheme="minorHAnsi" w:cstheme="minorHAnsi"/>
                <w:sz w:val="20"/>
                <w:szCs w:val="20"/>
              </w:rPr>
              <w:t xml:space="preserve">lepiszcza </w:t>
            </w:r>
          </w:p>
          <w:p w14:paraId="1E63F4E1" w14:textId="77777777" w:rsidR="00F97DAB" w:rsidRPr="00BA767E" w:rsidRDefault="00F97DAB" w:rsidP="00BA767E">
            <w:pPr>
              <w:pStyle w:val="Tekstpodstawowy"/>
              <w:spacing w:line="240" w:lineRule="auto"/>
              <w:rPr>
                <w:rFonts w:asciiTheme="minorHAnsi" w:hAnsiTheme="minorHAnsi" w:cstheme="minorHAnsi"/>
                <w:sz w:val="20"/>
                <w:szCs w:val="20"/>
              </w:rPr>
            </w:pPr>
            <w:r w:rsidRPr="00BA767E">
              <w:rPr>
                <w:rFonts w:asciiTheme="minorHAnsi" w:hAnsiTheme="minorHAnsi" w:cstheme="minorHAnsi"/>
                <w:sz w:val="20"/>
                <w:szCs w:val="20"/>
              </w:rPr>
              <w:t xml:space="preserve">odzyskanego </w:t>
            </w:r>
          </w:p>
          <w:p w14:paraId="7BB62E28" w14:textId="77777777" w:rsidR="00F97DAB" w:rsidRPr="00BA767E" w:rsidRDefault="00F97DAB" w:rsidP="00BA767E">
            <w:pPr>
              <w:pStyle w:val="Tekstpodstawowy"/>
              <w:spacing w:line="240" w:lineRule="auto"/>
              <w:rPr>
                <w:rFonts w:asciiTheme="minorHAnsi" w:hAnsiTheme="minorHAnsi" w:cstheme="minorHAnsi"/>
                <w:sz w:val="20"/>
                <w:szCs w:val="20"/>
              </w:rPr>
            </w:pPr>
            <w:r w:rsidRPr="00BA767E">
              <w:rPr>
                <w:rFonts w:asciiTheme="minorHAnsi" w:hAnsiTheme="minorHAnsi" w:cstheme="minorHAnsi"/>
                <w:sz w:val="20"/>
                <w:szCs w:val="20"/>
              </w:rPr>
              <w:t xml:space="preserve">w granulacie </w:t>
            </w:r>
          </w:p>
          <w:p w14:paraId="1715AD3E" w14:textId="77777777" w:rsidR="00F97DAB" w:rsidRPr="00BA767E" w:rsidRDefault="00F97DAB" w:rsidP="00BA767E">
            <w:pPr>
              <w:pStyle w:val="Tekstpodstawowy"/>
              <w:spacing w:line="240" w:lineRule="auto"/>
              <w:rPr>
                <w:rFonts w:asciiTheme="minorHAnsi" w:hAnsiTheme="minorHAnsi" w:cstheme="minorHAnsi"/>
                <w:sz w:val="20"/>
                <w:szCs w:val="20"/>
              </w:rPr>
            </w:pPr>
            <w:r w:rsidRPr="00BA767E">
              <w:rPr>
                <w:rFonts w:asciiTheme="minorHAnsi" w:hAnsiTheme="minorHAnsi" w:cstheme="minorHAnsi"/>
                <w:sz w:val="20"/>
                <w:szCs w:val="20"/>
              </w:rPr>
              <w:t xml:space="preserve">asfaltowym </w:t>
            </w:r>
            <w:r w:rsidRPr="00BA767E">
              <w:rPr>
                <w:rFonts w:asciiTheme="minorHAnsi" w:hAnsiTheme="minorHAnsi" w:cstheme="minorHAnsi"/>
                <w:sz w:val="20"/>
                <w:szCs w:val="20"/>
                <w:vertAlign w:val="superscript"/>
              </w:rPr>
              <w:t>a)</w:t>
            </w:r>
          </w:p>
        </w:tc>
        <w:tc>
          <w:tcPr>
            <w:tcW w:w="575" w:type="dxa"/>
            <w:vAlign w:val="center"/>
          </w:tcPr>
          <w:p w14:paraId="35A3EEFA" w14:textId="77777777" w:rsidR="00F97DAB" w:rsidRPr="00BA767E" w:rsidRDefault="00F97DAB" w:rsidP="00BA767E">
            <w:pPr>
              <w:pStyle w:val="Tekstpodstawowy"/>
              <w:spacing w:line="240" w:lineRule="auto"/>
              <w:rPr>
                <w:rFonts w:asciiTheme="minorHAnsi" w:hAnsiTheme="minorHAnsi" w:cstheme="minorHAnsi"/>
                <w:sz w:val="20"/>
                <w:szCs w:val="20"/>
              </w:rPr>
            </w:pPr>
            <w:r w:rsidRPr="00BA767E">
              <w:rPr>
                <w:rFonts w:asciiTheme="minorHAnsi" w:hAnsiTheme="minorHAnsi" w:cstheme="minorHAnsi"/>
                <w:sz w:val="20"/>
                <w:szCs w:val="20"/>
              </w:rPr>
              <w:t>PiK</w:t>
            </w:r>
          </w:p>
        </w:tc>
        <w:tc>
          <w:tcPr>
            <w:tcW w:w="3828" w:type="dxa"/>
            <w:vAlign w:val="center"/>
          </w:tcPr>
          <w:p w14:paraId="6D13C349" w14:textId="77777777" w:rsidR="00F97DAB" w:rsidRPr="00BA767E" w:rsidRDefault="00F97DAB" w:rsidP="00BA767E">
            <w:pPr>
              <w:pStyle w:val="Tekstpodstawowy"/>
              <w:spacing w:line="240" w:lineRule="auto"/>
              <w:jc w:val="both"/>
              <w:rPr>
                <w:rFonts w:asciiTheme="minorHAnsi" w:hAnsiTheme="minorHAnsi" w:cstheme="minorHAnsi"/>
                <w:sz w:val="20"/>
                <w:szCs w:val="20"/>
              </w:rPr>
            </w:pPr>
            <w:r w:rsidRPr="00BA767E">
              <w:rPr>
                <w:rFonts w:asciiTheme="minorHAnsi" w:hAnsiTheme="minorHAnsi" w:cstheme="minorHAnsi"/>
                <w:sz w:val="20"/>
                <w:szCs w:val="20"/>
              </w:rPr>
              <w:t>Kategoria S</w:t>
            </w:r>
            <w:r w:rsidRPr="00BA767E">
              <w:rPr>
                <w:rFonts w:asciiTheme="minorHAnsi" w:hAnsiTheme="minorHAnsi" w:cstheme="minorHAnsi"/>
                <w:sz w:val="20"/>
                <w:szCs w:val="20"/>
                <w:vertAlign w:val="subscript"/>
              </w:rPr>
              <w:t>70</w:t>
            </w:r>
          </w:p>
          <w:p w14:paraId="2A37B8E3" w14:textId="77777777" w:rsidR="00F97DAB" w:rsidRPr="00BA767E" w:rsidRDefault="00F97DAB" w:rsidP="00BA767E">
            <w:pPr>
              <w:pStyle w:val="Tekstpodstawowy"/>
              <w:spacing w:line="240" w:lineRule="auto"/>
              <w:jc w:val="both"/>
              <w:rPr>
                <w:rFonts w:asciiTheme="minorHAnsi" w:hAnsiTheme="minorHAnsi" w:cstheme="minorHAnsi"/>
                <w:sz w:val="20"/>
                <w:szCs w:val="20"/>
              </w:rPr>
            </w:pPr>
            <w:r w:rsidRPr="00BA767E">
              <w:rPr>
                <w:rFonts w:asciiTheme="minorHAnsi" w:hAnsiTheme="minorHAnsi" w:cstheme="minorHAnsi"/>
                <w:sz w:val="20"/>
                <w:szCs w:val="20"/>
              </w:rPr>
              <w:t>Wartość średnia temperatury mięknienia  nie może być wyższa niż 70 o C. Pojedyncze  wartości temperatury  mięknienia  nie  mogą  przekraczać 77</w:t>
            </w:r>
            <w:r w:rsidRPr="00BA767E">
              <w:rPr>
                <w:rFonts w:asciiTheme="minorHAnsi" w:hAnsiTheme="minorHAnsi" w:cstheme="minorHAnsi"/>
                <w:sz w:val="20"/>
                <w:szCs w:val="20"/>
                <w:vertAlign w:val="superscript"/>
              </w:rPr>
              <w:t>o</w:t>
            </w:r>
            <w:r w:rsidRPr="00BA767E">
              <w:rPr>
                <w:rFonts w:asciiTheme="minorHAnsi" w:hAnsiTheme="minorHAnsi" w:cstheme="minorHAnsi"/>
                <w:sz w:val="20"/>
                <w:szCs w:val="20"/>
              </w:rPr>
              <w:t>C.</w:t>
            </w:r>
          </w:p>
        </w:tc>
        <w:tc>
          <w:tcPr>
            <w:tcW w:w="1693" w:type="dxa"/>
            <w:vMerge w:val="restart"/>
            <w:vAlign w:val="center"/>
          </w:tcPr>
          <w:p w14:paraId="36BCAF90" w14:textId="77777777" w:rsidR="00F97DAB" w:rsidRPr="00BA767E" w:rsidRDefault="00F97DAB" w:rsidP="00BA767E">
            <w:pPr>
              <w:pStyle w:val="Tekstpodstawowy"/>
              <w:spacing w:line="240" w:lineRule="auto"/>
              <w:jc w:val="center"/>
              <w:rPr>
                <w:rFonts w:asciiTheme="minorHAnsi" w:hAnsiTheme="minorHAnsi" w:cstheme="minorHAnsi"/>
                <w:sz w:val="20"/>
                <w:szCs w:val="20"/>
                <w:lang w:val="es-ES"/>
              </w:rPr>
            </w:pPr>
            <w:r w:rsidRPr="00BA767E">
              <w:rPr>
                <w:rFonts w:asciiTheme="minorHAnsi" w:hAnsiTheme="minorHAnsi" w:cstheme="minorHAnsi"/>
                <w:sz w:val="20"/>
                <w:szCs w:val="20"/>
                <w:lang w:val="es-ES"/>
              </w:rPr>
              <w:t xml:space="preserve">PN-EN 13108-8 </w:t>
            </w:r>
          </w:p>
          <w:p w14:paraId="7FA7EBA5" w14:textId="77777777" w:rsidR="00F97DAB" w:rsidRPr="00BA767E" w:rsidRDefault="00F97DAB" w:rsidP="00BA767E">
            <w:pPr>
              <w:pStyle w:val="Tekstpodstawowy"/>
              <w:spacing w:line="240" w:lineRule="auto"/>
              <w:jc w:val="center"/>
              <w:rPr>
                <w:rFonts w:asciiTheme="minorHAnsi" w:hAnsiTheme="minorHAnsi" w:cstheme="minorHAnsi"/>
                <w:sz w:val="20"/>
                <w:szCs w:val="20"/>
                <w:lang w:val="es-ES"/>
              </w:rPr>
            </w:pPr>
            <w:r w:rsidRPr="00BA767E">
              <w:rPr>
                <w:rFonts w:asciiTheme="minorHAnsi" w:hAnsiTheme="minorHAnsi" w:cstheme="minorHAnsi"/>
                <w:sz w:val="20"/>
                <w:szCs w:val="20"/>
                <w:lang w:val="es-ES"/>
              </w:rPr>
              <w:t xml:space="preserve">pkt. 4.2 </w:t>
            </w:r>
          </w:p>
          <w:p w14:paraId="68080BF4" w14:textId="77777777" w:rsidR="00F97DAB" w:rsidRPr="00BA767E" w:rsidRDefault="00F97DAB" w:rsidP="00BA767E">
            <w:pPr>
              <w:pStyle w:val="Tekstpodstawowy"/>
              <w:spacing w:line="240" w:lineRule="auto"/>
              <w:jc w:val="center"/>
              <w:rPr>
                <w:rFonts w:asciiTheme="minorHAnsi" w:hAnsiTheme="minorHAnsi" w:cstheme="minorHAnsi"/>
                <w:sz w:val="20"/>
                <w:szCs w:val="20"/>
                <w:lang w:val="es-ES"/>
              </w:rPr>
            </w:pPr>
          </w:p>
          <w:p w14:paraId="17BF88F4" w14:textId="77777777" w:rsidR="00F97DAB" w:rsidRPr="00BA767E" w:rsidRDefault="00F97DAB" w:rsidP="00BA767E">
            <w:pPr>
              <w:pStyle w:val="Tekstpodstawowy"/>
              <w:spacing w:line="240" w:lineRule="auto"/>
              <w:jc w:val="center"/>
              <w:rPr>
                <w:rFonts w:asciiTheme="minorHAnsi" w:hAnsiTheme="minorHAnsi" w:cstheme="minorHAnsi"/>
                <w:sz w:val="20"/>
                <w:szCs w:val="20"/>
                <w:lang w:val="es-ES"/>
              </w:rPr>
            </w:pPr>
            <w:r w:rsidRPr="00BA767E">
              <w:rPr>
                <w:rFonts w:asciiTheme="minorHAnsi" w:hAnsiTheme="minorHAnsi" w:cstheme="minorHAnsi"/>
                <w:sz w:val="20"/>
                <w:szCs w:val="20"/>
                <w:lang w:val="es-ES"/>
              </w:rPr>
              <w:t>PN-EN 13108-</w:t>
            </w:r>
          </w:p>
          <w:p w14:paraId="29F5AF0A" w14:textId="77777777" w:rsidR="00F97DAB" w:rsidRPr="00BA767E" w:rsidRDefault="00F97DAB" w:rsidP="00BA767E">
            <w:pPr>
              <w:pStyle w:val="Tekstpodstawowy"/>
              <w:spacing w:line="240" w:lineRule="auto"/>
              <w:jc w:val="center"/>
              <w:rPr>
                <w:rFonts w:asciiTheme="minorHAnsi" w:hAnsiTheme="minorHAnsi" w:cstheme="minorHAnsi"/>
                <w:sz w:val="20"/>
                <w:szCs w:val="20"/>
              </w:rPr>
            </w:pPr>
            <w:r w:rsidRPr="00BA767E">
              <w:rPr>
                <w:rFonts w:asciiTheme="minorHAnsi" w:hAnsiTheme="minorHAnsi" w:cstheme="minorHAnsi"/>
                <w:sz w:val="20"/>
                <w:szCs w:val="20"/>
              </w:rPr>
              <w:t>20 Załącznik A</w:t>
            </w:r>
          </w:p>
        </w:tc>
      </w:tr>
      <w:tr w:rsidR="00F97DAB" w:rsidRPr="00BA767E" w14:paraId="71F198D8" w14:textId="77777777" w:rsidTr="00EA573C">
        <w:trPr>
          <w:jc w:val="center"/>
        </w:trPr>
        <w:tc>
          <w:tcPr>
            <w:tcW w:w="1308" w:type="dxa"/>
            <w:vMerge/>
            <w:vAlign w:val="center"/>
          </w:tcPr>
          <w:p w14:paraId="74E6F829" w14:textId="77777777" w:rsidR="00F97DAB" w:rsidRPr="00BA767E" w:rsidRDefault="00F97DAB" w:rsidP="00BA767E">
            <w:pPr>
              <w:pStyle w:val="Tekstpodstawowy"/>
              <w:spacing w:line="240" w:lineRule="auto"/>
              <w:jc w:val="center"/>
              <w:rPr>
                <w:rFonts w:asciiTheme="minorHAnsi" w:hAnsiTheme="minorHAnsi" w:cstheme="minorHAnsi"/>
                <w:sz w:val="20"/>
                <w:szCs w:val="20"/>
              </w:rPr>
            </w:pPr>
          </w:p>
        </w:tc>
        <w:tc>
          <w:tcPr>
            <w:tcW w:w="575" w:type="dxa"/>
            <w:vAlign w:val="center"/>
          </w:tcPr>
          <w:p w14:paraId="5BCB4018" w14:textId="77777777" w:rsidR="00F97DAB" w:rsidRPr="00BA767E" w:rsidRDefault="00F97DAB" w:rsidP="00BA767E">
            <w:pPr>
              <w:pStyle w:val="Tekstpodstawowy"/>
              <w:spacing w:line="240" w:lineRule="auto"/>
              <w:jc w:val="center"/>
              <w:rPr>
                <w:rFonts w:asciiTheme="minorHAnsi" w:hAnsiTheme="minorHAnsi" w:cstheme="minorHAnsi"/>
                <w:sz w:val="20"/>
                <w:szCs w:val="20"/>
              </w:rPr>
            </w:pPr>
            <w:r w:rsidRPr="00BA767E">
              <w:rPr>
                <w:rFonts w:asciiTheme="minorHAnsi" w:hAnsiTheme="minorHAnsi" w:cstheme="minorHAnsi"/>
                <w:sz w:val="20"/>
                <w:szCs w:val="20"/>
              </w:rPr>
              <w:t>Pen.</w:t>
            </w:r>
          </w:p>
        </w:tc>
        <w:tc>
          <w:tcPr>
            <w:tcW w:w="3828" w:type="dxa"/>
            <w:vAlign w:val="center"/>
          </w:tcPr>
          <w:p w14:paraId="1F66B4A8" w14:textId="77777777" w:rsidR="00F97DAB" w:rsidRPr="00BA767E" w:rsidRDefault="00F97DAB" w:rsidP="00BA767E">
            <w:pPr>
              <w:pStyle w:val="Tekstpodstawowy"/>
              <w:spacing w:line="240" w:lineRule="auto"/>
              <w:jc w:val="both"/>
              <w:rPr>
                <w:rFonts w:asciiTheme="minorHAnsi" w:hAnsiTheme="minorHAnsi" w:cstheme="minorHAnsi"/>
                <w:sz w:val="20"/>
                <w:szCs w:val="20"/>
              </w:rPr>
            </w:pPr>
            <w:r w:rsidRPr="00BA767E">
              <w:rPr>
                <w:rFonts w:asciiTheme="minorHAnsi" w:hAnsiTheme="minorHAnsi" w:cstheme="minorHAnsi"/>
                <w:sz w:val="20"/>
                <w:szCs w:val="20"/>
              </w:rPr>
              <w:t>Kategoria P</w:t>
            </w:r>
            <w:r w:rsidRPr="00BA767E">
              <w:rPr>
                <w:rFonts w:asciiTheme="minorHAnsi" w:hAnsiTheme="minorHAnsi" w:cstheme="minorHAnsi"/>
                <w:sz w:val="20"/>
                <w:szCs w:val="20"/>
                <w:vertAlign w:val="subscript"/>
              </w:rPr>
              <w:t>15</w:t>
            </w:r>
            <w:r w:rsidRPr="00BA767E">
              <w:rPr>
                <w:rFonts w:asciiTheme="minorHAnsi" w:hAnsiTheme="minorHAnsi" w:cstheme="minorHAnsi"/>
                <w:sz w:val="20"/>
                <w:szCs w:val="20"/>
              </w:rPr>
              <w:t xml:space="preserve">  </w:t>
            </w:r>
          </w:p>
          <w:p w14:paraId="422D6600" w14:textId="77777777" w:rsidR="00F97DAB" w:rsidRPr="00BA767E" w:rsidRDefault="00F97DAB" w:rsidP="00BA767E">
            <w:pPr>
              <w:pStyle w:val="Tekstpodstawowy"/>
              <w:spacing w:line="240" w:lineRule="auto"/>
              <w:jc w:val="both"/>
              <w:rPr>
                <w:rFonts w:asciiTheme="minorHAnsi" w:hAnsiTheme="minorHAnsi" w:cstheme="minorHAnsi"/>
                <w:sz w:val="20"/>
                <w:szCs w:val="20"/>
              </w:rPr>
            </w:pPr>
            <w:r w:rsidRPr="00BA767E">
              <w:rPr>
                <w:rFonts w:asciiTheme="minorHAnsi" w:hAnsiTheme="minorHAnsi" w:cstheme="minorHAnsi"/>
                <w:sz w:val="20"/>
                <w:szCs w:val="20"/>
              </w:rPr>
              <w:t xml:space="preserve">Wartość  średnia  nie  może  być  mniejsza  niż </w:t>
            </w:r>
          </w:p>
          <w:p w14:paraId="62AEE717" w14:textId="77777777" w:rsidR="00F97DAB" w:rsidRPr="00BA767E" w:rsidRDefault="00F97DAB" w:rsidP="00BA767E">
            <w:pPr>
              <w:pStyle w:val="Tekstpodstawowy"/>
              <w:spacing w:line="240" w:lineRule="auto"/>
              <w:jc w:val="both"/>
              <w:rPr>
                <w:rFonts w:asciiTheme="minorHAnsi" w:hAnsiTheme="minorHAnsi" w:cstheme="minorHAnsi"/>
                <w:sz w:val="20"/>
                <w:szCs w:val="20"/>
              </w:rPr>
            </w:pPr>
            <w:r w:rsidRPr="00BA767E">
              <w:rPr>
                <w:rFonts w:asciiTheme="minorHAnsi" w:hAnsiTheme="minorHAnsi" w:cstheme="minorHAnsi"/>
                <w:sz w:val="20"/>
                <w:szCs w:val="20"/>
              </w:rPr>
              <w:t xml:space="preserve">15x0,1mm.  Pojedyncze  wartości  penetracji  nie </w:t>
            </w:r>
          </w:p>
          <w:p w14:paraId="6AE43611" w14:textId="77777777" w:rsidR="00F97DAB" w:rsidRPr="00BA767E" w:rsidRDefault="00F97DAB" w:rsidP="00BA767E">
            <w:pPr>
              <w:pStyle w:val="Tekstpodstawowy"/>
              <w:spacing w:line="240" w:lineRule="auto"/>
              <w:jc w:val="both"/>
              <w:rPr>
                <w:rFonts w:asciiTheme="minorHAnsi" w:hAnsiTheme="minorHAnsi" w:cstheme="minorHAnsi"/>
                <w:sz w:val="20"/>
                <w:szCs w:val="20"/>
              </w:rPr>
            </w:pPr>
            <w:r w:rsidRPr="00BA767E">
              <w:rPr>
                <w:rFonts w:asciiTheme="minorHAnsi" w:hAnsiTheme="minorHAnsi" w:cstheme="minorHAnsi"/>
                <w:sz w:val="20"/>
                <w:szCs w:val="20"/>
              </w:rPr>
              <w:t>mogą być mniejsze niż 10x0,1mm.</w:t>
            </w:r>
          </w:p>
        </w:tc>
        <w:tc>
          <w:tcPr>
            <w:tcW w:w="1693" w:type="dxa"/>
            <w:vMerge/>
            <w:vAlign w:val="center"/>
          </w:tcPr>
          <w:p w14:paraId="4FFB2CC6" w14:textId="77777777" w:rsidR="00F97DAB" w:rsidRPr="00BA767E" w:rsidRDefault="00F97DAB" w:rsidP="00BA767E">
            <w:pPr>
              <w:pStyle w:val="Tekstpodstawowy"/>
              <w:spacing w:line="240" w:lineRule="auto"/>
              <w:jc w:val="center"/>
              <w:rPr>
                <w:rFonts w:asciiTheme="minorHAnsi" w:hAnsiTheme="minorHAnsi" w:cstheme="minorHAnsi"/>
                <w:sz w:val="20"/>
                <w:szCs w:val="20"/>
              </w:rPr>
            </w:pPr>
          </w:p>
        </w:tc>
      </w:tr>
      <w:tr w:rsidR="00F97DAB" w:rsidRPr="00BA767E" w14:paraId="0FCAA3B8" w14:textId="77777777" w:rsidTr="00EA573C">
        <w:trPr>
          <w:jc w:val="center"/>
        </w:trPr>
        <w:tc>
          <w:tcPr>
            <w:tcW w:w="1883" w:type="dxa"/>
            <w:gridSpan w:val="2"/>
            <w:vAlign w:val="center"/>
          </w:tcPr>
          <w:p w14:paraId="5C818C68" w14:textId="77777777" w:rsidR="00F97DAB" w:rsidRPr="00BA767E" w:rsidRDefault="00F97DAB" w:rsidP="00BA767E">
            <w:pPr>
              <w:pStyle w:val="Tekstpodstawowy"/>
              <w:spacing w:line="240" w:lineRule="auto"/>
              <w:jc w:val="center"/>
              <w:rPr>
                <w:rFonts w:asciiTheme="minorHAnsi" w:hAnsiTheme="minorHAnsi" w:cstheme="minorHAnsi"/>
                <w:sz w:val="20"/>
                <w:szCs w:val="20"/>
              </w:rPr>
            </w:pPr>
            <w:r w:rsidRPr="00BA767E">
              <w:rPr>
                <w:rFonts w:asciiTheme="minorHAnsi" w:hAnsiTheme="minorHAnsi" w:cstheme="minorHAnsi"/>
                <w:sz w:val="20"/>
                <w:szCs w:val="20"/>
              </w:rPr>
              <w:t xml:space="preserve">Zawartość asfaltu </w:t>
            </w:r>
          </w:p>
          <w:p w14:paraId="70F44805" w14:textId="77777777" w:rsidR="00F97DAB" w:rsidRPr="00BA767E" w:rsidRDefault="00F97DAB" w:rsidP="00BA767E">
            <w:pPr>
              <w:pStyle w:val="Tekstpodstawowy"/>
              <w:spacing w:line="240" w:lineRule="auto"/>
              <w:jc w:val="center"/>
              <w:rPr>
                <w:rFonts w:asciiTheme="minorHAnsi" w:hAnsiTheme="minorHAnsi" w:cstheme="minorHAnsi"/>
                <w:sz w:val="20"/>
                <w:szCs w:val="20"/>
              </w:rPr>
            </w:pPr>
            <w:r w:rsidRPr="00BA767E">
              <w:rPr>
                <w:rFonts w:asciiTheme="minorHAnsi" w:hAnsiTheme="minorHAnsi" w:cstheme="minorHAnsi"/>
                <w:sz w:val="20"/>
                <w:szCs w:val="20"/>
              </w:rPr>
              <w:t>Uziarnienie kruszywa</w:t>
            </w:r>
          </w:p>
        </w:tc>
        <w:tc>
          <w:tcPr>
            <w:tcW w:w="5521" w:type="dxa"/>
            <w:gridSpan w:val="2"/>
            <w:vAlign w:val="center"/>
          </w:tcPr>
          <w:p w14:paraId="667BEAA4" w14:textId="77777777" w:rsidR="00F97DAB" w:rsidRPr="00BA767E" w:rsidRDefault="00F97DAB" w:rsidP="00BA767E">
            <w:pPr>
              <w:pStyle w:val="Tekstpodstawowy"/>
              <w:spacing w:line="240" w:lineRule="auto"/>
              <w:jc w:val="center"/>
              <w:rPr>
                <w:rFonts w:asciiTheme="minorHAnsi" w:hAnsiTheme="minorHAnsi" w:cstheme="minorHAnsi"/>
                <w:sz w:val="20"/>
                <w:szCs w:val="20"/>
              </w:rPr>
            </w:pPr>
            <w:r w:rsidRPr="00BA767E">
              <w:rPr>
                <w:rFonts w:asciiTheme="minorHAnsi" w:hAnsiTheme="minorHAnsi" w:cstheme="minorHAnsi"/>
                <w:sz w:val="20"/>
                <w:szCs w:val="20"/>
              </w:rPr>
              <w:t>PN-EN 13108-20 Załącznik A</w:t>
            </w:r>
          </w:p>
          <w:p w14:paraId="3AE5751D" w14:textId="77777777" w:rsidR="00F97DAB" w:rsidRPr="00BA767E" w:rsidRDefault="00F97DAB" w:rsidP="00BA767E">
            <w:pPr>
              <w:pStyle w:val="Tekstpodstawowy"/>
              <w:spacing w:line="240" w:lineRule="auto"/>
              <w:jc w:val="center"/>
              <w:rPr>
                <w:rFonts w:asciiTheme="minorHAnsi" w:hAnsiTheme="minorHAnsi" w:cstheme="minorHAnsi"/>
                <w:sz w:val="20"/>
                <w:szCs w:val="20"/>
              </w:rPr>
            </w:pPr>
            <w:r w:rsidRPr="00BA767E">
              <w:rPr>
                <w:rFonts w:asciiTheme="minorHAnsi" w:hAnsiTheme="minorHAnsi" w:cstheme="minorHAnsi"/>
                <w:sz w:val="20"/>
                <w:szCs w:val="20"/>
              </w:rPr>
              <w:t>Dopuszcza się deklarowanie właściwości kruszywa mineralnego w granulacie  asfaltowym na  podstawie zadeklarowanego, wcześniejszego zastosowania. W przypadku braku możliwości takiego zadeklarowania jakości kruszywa w granulacie, oraz wątpliwości co do właściwości fizycznych lub mechanicznych, należy przeprowadzić badania kruszywa w wymaganym przez Zamawiającego zakresie</w:t>
            </w:r>
          </w:p>
        </w:tc>
      </w:tr>
      <w:tr w:rsidR="00F97DAB" w:rsidRPr="00BA767E" w14:paraId="45AC8BF4" w14:textId="77777777" w:rsidTr="00EA573C">
        <w:trPr>
          <w:jc w:val="center"/>
        </w:trPr>
        <w:tc>
          <w:tcPr>
            <w:tcW w:w="7404" w:type="dxa"/>
            <w:gridSpan w:val="4"/>
            <w:vAlign w:val="center"/>
          </w:tcPr>
          <w:p w14:paraId="6BF77693" w14:textId="77777777" w:rsidR="00F97DAB" w:rsidRPr="00BA767E" w:rsidRDefault="00F97DAB" w:rsidP="00262498">
            <w:pPr>
              <w:pStyle w:val="Tekstpodstawowy"/>
              <w:widowControl w:val="0"/>
              <w:numPr>
                <w:ilvl w:val="0"/>
                <w:numId w:val="310"/>
              </w:numPr>
              <w:overflowPunct/>
              <w:adjustRightInd/>
              <w:spacing w:line="240" w:lineRule="auto"/>
              <w:ind w:left="322" w:hanging="322"/>
              <w:textAlignment w:val="auto"/>
              <w:rPr>
                <w:rFonts w:asciiTheme="minorHAnsi" w:hAnsiTheme="minorHAnsi" w:cstheme="minorHAnsi"/>
                <w:sz w:val="20"/>
                <w:szCs w:val="20"/>
              </w:rPr>
            </w:pPr>
            <w:r w:rsidRPr="00BA767E">
              <w:rPr>
                <w:rFonts w:asciiTheme="minorHAnsi" w:hAnsiTheme="minorHAnsi" w:cstheme="minorHAnsi"/>
                <w:sz w:val="20"/>
                <w:szCs w:val="20"/>
              </w:rPr>
              <w:t xml:space="preserve">do  sklasyfikowania  lepiszcza  odzyskanego  w  granulacie  asfaltowym  należy  oznaczyć  następujące właściwości w zależności od wskaźnika BR: </w:t>
            </w:r>
          </w:p>
          <w:p w14:paraId="0F8CD01A" w14:textId="77777777" w:rsidR="00F97DAB" w:rsidRPr="00BA767E" w:rsidRDefault="00F97DAB" w:rsidP="00BA767E">
            <w:pPr>
              <w:pStyle w:val="Tekstpodstawowy"/>
              <w:spacing w:line="240" w:lineRule="auto"/>
              <w:rPr>
                <w:rFonts w:asciiTheme="minorHAnsi" w:hAnsiTheme="minorHAnsi" w:cstheme="minorHAnsi"/>
                <w:sz w:val="20"/>
                <w:szCs w:val="20"/>
              </w:rPr>
            </w:pPr>
            <w:r w:rsidRPr="00BA767E">
              <w:rPr>
                <w:rFonts w:asciiTheme="minorHAnsi" w:hAnsiTheme="minorHAnsi" w:cstheme="minorHAnsi"/>
                <w:sz w:val="20"/>
                <w:szCs w:val="20"/>
              </w:rPr>
              <w:t xml:space="preserve">- BR≤15% : temperaturę mięknienia PiK. lub penetrację, </w:t>
            </w:r>
          </w:p>
          <w:p w14:paraId="28184219" w14:textId="77777777" w:rsidR="00F97DAB" w:rsidRPr="00BA767E" w:rsidRDefault="00F97DAB" w:rsidP="00BA767E">
            <w:pPr>
              <w:pStyle w:val="Tekstpodstawowy"/>
              <w:spacing w:line="240" w:lineRule="auto"/>
              <w:rPr>
                <w:rFonts w:asciiTheme="minorHAnsi" w:hAnsiTheme="minorHAnsi" w:cstheme="minorHAnsi"/>
                <w:sz w:val="20"/>
                <w:szCs w:val="20"/>
              </w:rPr>
            </w:pPr>
            <w:r w:rsidRPr="00BA767E">
              <w:rPr>
                <w:rFonts w:asciiTheme="minorHAnsi" w:hAnsiTheme="minorHAnsi" w:cstheme="minorHAnsi"/>
                <w:sz w:val="20"/>
                <w:szCs w:val="20"/>
              </w:rPr>
              <w:t>- BR&gt;15% : temperaturę mięknienia PiK. i penetrację.</w:t>
            </w:r>
          </w:p>
        </w:tc>
      </w:tr>
    </w:tbl>
    <w:p w14:paraId="0781E570" w14:textId="77777777" w:rsidR="00F97DAB" w:rsidRPr="00BA767E" w:rsidRDefault="00F97DAB" w:rsidP="00BA767E">
      <w:pPr>
        <w:pStyle w:val="Tekstpodstawowy"/>
        <w:spacing w:line="240" w:lineRule="auto"/>
        <w:jc w:val="both"/>
        <w:rPr>
          <w:rFonts w:asciiTheme="minorHAnsi" w:hAnsiTheme="minorHAnsi" w:cstheme="minorHAnsi"/>
          <w:sz w:val="20"/>
          <w:szCs w:val="20"/>
        </w:rPr>
      </w:pPr>
    </w:p>
    <w:p w14:paraId="1D4BAC57" w14:textId="77777777" w:rsidR="00F97DAB" w:rsidRPr="00BA767E" w:rsidRDefault="00F97DAB" w:rsidP="00BA767E">
      <w:pPr>
        <w:pStyle w:val="Tekstpodstawowy"/>
        <w:spacing w:line="240" w:lineRule="auto"/>
        <w:jc w:val="both"/>
        <w:rPr>
          <w:rFonts w:asciiTheme="minorHAnsi" w:hAnsiTheme="minorHAnsi" w:cstheme="minorHAnsi"/>
          <w:sz w:val="20"/>
          <w:szCs w:val="20"/>
        </w:rPr>
      </w:pPr>
      <w:r w:rsidRPr="00BA767E">
        <w:rPr>
          <w:rFonts w:asciiTheme="minorHAnsi" w:hAnsiTheme="minorHAnsi" w:cstheme="minorHAnsi"/>
          <w:sz w:val="20"/>
          <w:szCs w:val="20"/>
        </w:rPr>
        <w:t>Właściwości lepiszcza asfaltowego oraz kruszywa, które powstaną z połączenia starych i nowych składników, muszą spełniać wymagania stawiane tym materiałom, ze względu na typ i przeznaczenie mieszanki mineralno-asfaltowej. Wykonawca może deklarować właściwości kruszyw pochodzących z destruktu na podstawie wcześniejszego ich zastosowania w poszczególnych warstwach asfaltowych, jednakże musi na to uzyskać pozwolenie Inżyniera. W przypadku, gdy Wykonawca nie przedstawi dokumentacji lub nie uzyska akceptacji Inżyniera, potwierdzenie właściwości kruszyw pochodzących z destruktu będzie możliwe na podstawie własnych badań:</w:t>
      </w:r>
    </w:p>
    <w:p w14:paraId="7B1F5759" w14:textId="77777777" w:rsidR="00F97DAB" w:rsidRPr="00BA767E" w:rsidRDefault="00F97DAB" w:rsidP="00262498">
      <w:pPr>
        <w:pStyle w:val="Tekstpodstawowy"/>
        <w:widowControl w:val="0"/>
        <w:numPr>
          <w:ilvl w:val="0"/>
          <w:numId w:val="311"/>
        </w:numPr>
        <w:overflowPunct/>
        <w:adjustRightInd/>
        <w:spacing w:line="240" w:lineRule="auto"/>
        <w:jc w:val="both"/>
        <w:textAlignment w:val="auto"/>
        <w:rPr>
          <w:rFonts w:asciiTheme="minorHAnsi" w:hAnsiTheme="minorHAnsi" w:cstheme="minorHAnsi"/>
          <w:sz w:val="20"/>
          <w:szCs w:val="20"/>
        </w:rPr>
      </w:pPr>
      <w:r w:rsidRPr="00BA767E">
        <w:rPr>
          <w:rFonts w:asciiTheme="minorHAnsi" w:hAnsiTheme="minorHAnsi" w:cstheme="minorHAnsi"/>
          <w:sz w:val="20"/>
          <w:szCs w:val="20"/>
        </w:rPr>
        <w:t>mrozoodporność w wodzie (frakcja 4/8 lub 8/16)</w:t>
      </w:r>
    </w:p>
    <w:p w14:paraId="7C66F80D" w14:textId="77777777" w:rsidR="00F97DAB" w:rsidRPr="00BA767E" w:rsidRDefault="00F97DAB" w:rsidP="00262498">
      <w:pPr>
        <w:pStyle w:val="Tekstpodstawowy"/>
        <w:widowControl w:val="0"/>
        <w:numPr>
          <w:ilvl w:val="0"/>
          <w:numId w:val="311"/>
        </w:numPr>
        <w:overflowPunct/>
        <w:adjustRightInd/>
        <w:spacing w:line="240" w:lineRule="auto"/>
        <w:jc w:val="both"/>
        <w:textAlignment w:val="auto"/>
        <w:rPr>
          <w:rFonts w:asciiTheme="minorHAnsi" w:hAnsiTheme="minorHAnsi" w:cstheme="minorHAnsi"/>
          <w:sz w:val="20"/>
          <w:szCs w:val="20"/>
        </w:rPr>
      </w:pPr>
      <w:r w:rsidRPr="00BA767E">
        <w:rPr>
          <w:rFonts w:asciiTheme="minorHAnsi" w:hAnsiTheme="minorHAnsi" w:cstheme="minorHAnsi"/>
          <w:sz w:val="20"/>
          <w:szCs w:val="20"/>
        </w:rPr>
        <w:t>odporność na rozdrobnienie (frakcja 4/8, 8/11)</w:t>
      </w:r>
    </w:p>
    <w:p w14:paraId="1546FB58" w14:textId="77777777" w:rsidR="00F97DAB" w:rsidRPr="00BA767E" w:rsidRDefault="00F97DAB" w:rsidP="00262498">
      <w:pPr>
        <w:pStyle w:val="Tekstpodstawowy"/>
        <w:widowControl w:val="0"/>
        <w:numPr>
          <w:ilvl w:val="0"/>
          <w:numId w:val="311"/>
        </w:numPr>
        <w:overflowPunct/>
        <w:adjustRightInd/>
        <w:spacing w:line="240" w:lineRule="auto"/>
        <w:jc w:val="both"/>
        <w:textAlignment w:val="auto"/>
        <w:rPr>
          <w:rFonts w:asciiTheme="minorHAnsi" w:hAnsiTheme="minorHAnsi" w:cstheme="minorHAnsi"/>
          <w:sz w:val="20"/>
          <w:szCs w:val="20"/>
        </w:rPr>
      </w:pPr>
      <w:r w:rsidRPr="00BA767E">
        <w:rPr>
          <w:rFonts w:asciiTheme="minorHAnsi" w:hAnsiTheme="minorHAnsi" w:cstheme="minorHAnsi"/>
          <w:sz w:val="20"/>
          <w:szCs w:val="20"/>
        </w:rPr>
        <w:t>grube zanieczyszczenia lekkie</w:t>
      </w:r>
    </w:p>
    <w:p w14:paraId="5F2512BE" w14:textId="77777777" w:rsidR="00F97DAB" w:rsidRPr="00BA767E" w:rsidRDefault="00F97DAB" w:rsidP="00262498">
      <w:pPr>
        <w:pStyle w:val="Tekstpodstawowy"/>
        <w:widowControl w:val="0"/>
        <w:numPr>
          <w:ilvl w:val="0"/>
          <w:numId w:val="311"/>
        </w:numPr>
        <w:overflowPunct/>
        <w:adjustRightInd/>
        <w:spacing w:line="240" w:lineRule="auto"/>
        <w:jc w:val="both"/>
        <w:textAlignment w:val="auto"/>
        <w:rPr>
          <w:rFonts w:asciiTheme="minorHAnsi" w:hAnsiTheme="minorHAnsi" w:cstheme="minorHAnsi"/>
          <w:sz w:val="20"/>
          <w:szCs w:val="20"/>
        </w:rPr>
      </w:pPr>
      <w:r w:rsidRPr="00BA767E">
        <w:rPr>
          <w:rFonts w:asciiTheme="minorHAnsi" w:hAnsiTheme="minorHAnsi" w:cstheme="minorHAnsi"/>
          <w:sz w:val="20"/>
          <w:szCs w:val="20"/>
        </w:rPr>
        <w:t>ocena zawartości drobnych cząstek</w:t>
      </w:r>
    </w:p>
    <w:p w14:paraId="2C4CF092" w14:textId="77777777" w:rsidR="00F97DAB" w:rsidRPr="00BA767E" w:rsidRDefault="00F97DAB" w:rsidP="00BA767E">
      <w:pPr>
        <w:pStyle w:val="Tekstpodstawowy"/>
        <w:spacing w:line="240" w:lineRule="auto"/>
        <w:jc w:val="both"/>
        <w:rPr>
          <w:rFonts w:asciiTheme="minorHAnsi" w:hAnsiTheme="minorHAnsi" w:cstheme="minorHAnsi"/>
          <w:sz w:val="20"/>
          <w:szCs w:val="20"/>
        </w:rPr>
      </w:pPr>
      <w:r w:rsidRPr="00BA767E">
        <w:rPr>
          <w:rFonts w:asciiTheme="minorHAnsi" w:hAnsiTheme="minorHAnsi" w:cstheme="minorHAnsi"/>
          <w:sz w:val="20"/>
          <w:szCs w:val="20"/>
        </w:rPr>
        <w:t>Wyniki te powinny spełniać wymagania WT-1</w:t>
      </w:r>
    </w:p>
    <w:p w14:paraId="4B742FA3" w14:textId="77777777" w:rsidR="00F97DAB" w:rsidRPr="00BA767E" w:rsidRDefault="00F97DAB" w:rsidP="00BA767E">
      <w:pPr>
        <w:pStyle w:val="Nagwek4"/>
        <w:tabs>
          <w:tab w:val="left" w:pos="9914"/>
        </w:tabs>
        <w:spacing w:before="0" w:after="0"/>
        <w:rPr>
          <w:rFonts w:asciiTheme="minorHAnsi" w:hAnsiTheme="minorHAnsi" w:cstheme="minorHAnsi"/>
        </w:rPr>
      </w:pPr>
    </w:p>
    <w:p w14:paraId="03415D20" w14:textId="488211B7" w:rsidR="007A7D7A" w:rsidRPr="00A23FB4" w:rsidRDefault="007A7D7A" w:rsidP="007A7D7A">
      <w:pPr>
        <w:pStyle w:val="Nagwek4"/>
        <w:tabs>
          <w:tab w:val="left" w:pos="9914"/>
        </w:tabs>
        <w:rPr>
          <w:rFonts w:ascii="Calibri" w:hAnsi="Calibri" w:cs="Calibri"/>
        </w:rPr>
      </w:pPr>
      <w:r w:rsidRPr="00A23FB4">
        <w:rPr>
          <w:rFonts w:ascii="Calibri" w:hAnsi="Calibri" w:cs="Calibri"/>
        </w:rPr>
        <w:t>2.</w:t>
      </w:r>
      <w:r w:rsidR="00BA767E">
        <w:rPr>
          <w:rFonts w:ascii="Calibri" w:hAnsi="Calibri" w:cs="Calibri"/>
        </w:rPr>
        <w:t>6</w:t>
      </w:r>
      <w:r w:rsidRPr="00A23FB4">
        <w:rPr>
          <w:rFonts w:ascii="Calibri" w:hAnsi="Calibri" w:cs="Calibri"/>
        </w:rPr>
        <w:t>. Środek adhezyjny</w:t>
      </w:r>
    </w:p>
    <w:p w14:paraId="7D9E4134" w14:textId="77777777" w:rsidR="007A7D7A" w:rsidRPr="00A23FB4" w:rsidRDefault="007A7D7A" w:rsidP="007A7D7A">
      <w:pPr>
        <w:rPr>
          <w:rFonts w:ascii="Calibri" w:hAnsi="Calibri" w:cs="Calibri"/>
        </w:rPr>
      </w:pPr>
      <w:r w:rsidRPr="00A23FB4">
        <w:rPr>
          <w:rFonts w:ascii="Calibri" w:hAnsi="Calibri" w:cs="Calibri"/>
        </w:rPr>
        <w:t>W celu poprawy powinowactwa fizykochemicznego lepiszcza asfaltowego i kruszywa, gwarantującego odpowiednią przyczepność (adhezję) lepiszcza do kruszywa i odporność mieszanki mineralno-asfaltowej na działanie wody, można zastosować środek adhezyjny, tak aby dla konkretnej pary kruszywo-lepiszcze wartość przyczepności określona według PN-EN 12697-11, metoda C wynosiła co najmniej 80%.</w:t>
      </w:r>
    </w:p>
    <w:p w14:paraId="3B386B05" w14:textId="77777777" w:rsidR="007A7D7A" w:rsidRPr="00A23FB4" w:rsidRDefault="007A7D7A" w:rsidP="007A7D7A">
      <w:pPr>
        <w:rPr>
          <w:rFonts w:ascii="Calibri" w:hAnsi="Calibri" w:cs="Calibri"/>
        </w:rPr>
      </w:pPr>
      <w:r w:rsidRPr="00A23FB4">
        <w:rPr>
          <w:rFonts w:ascii="Calibri" w:hAnsi="Calibri" w:cs="Calibri"/>
        </w:rPr>
        <w:t>Środek adhezyjny powinien odpowiadać wymaganiom określonym przez producenta.</w:t>
      </w:r>
    </w:p>
    <w:p w14:paraId="7E6E646C" w14:textId="77777777" w:rsidR="007A7D7A" w:rsidRPr="00A23FB4" w:rsidRDefault="007A7D7A" w:rsidP="007A7D7A">
      <w:pPr>
        <w:rPr>
          <w:rFonts w:ascii="Calibri" w:hAnsi="Calibri" w:cs="Calibri"/>
        </w:rPr>
      </w:pPr>
      <w:r w:rsidRPr="00A23FB4">
        <w:rPr>
          <w:rFonts w:ascii="Calibri" w:hAnsi="Calibri" w:cs="Calibri"/>
        </w:rPr>
        <w:t>Składowanie środka adhezyjnego jest dozwolone tylko w oryginalnych opakowaniach, w warunkach określonych przez producenta.</w:t>
      </w:r>
    </w:p>
    <w:p w14:paraId="6C0F799E" w14:textId="1629E9B5" w:rsidR="007A7D7A" w:rsidRPr="00A23FB4" w:rsidRDefault="007A7D7A" w:rsidP="007A7D7A">
      <w:pPr>
        <w:pStyle w:val="Nagwek4"/>
        <w:tabs>
          <w:tab w:val="left" w:pos="9914"/>
        </w:tabs>
        <w:rPr>
          <w:rFonts w:ascii="Calibri" w:hAnsi="Calibri" w:cs="Calibri"/>
        </w:rPr>
      </w:pPr>
      <w:r w:rsidRPr="00A23FB4">
        <w:rPr>
          <w:rFonts w:ascii="Calibri" w:hAnsi="Calibri" w:cs="Calibri"/>
        </w:rPr>
        <w:t>2.</w:t>
      </w:r>
      <w:r w:rsidR="00BA767E">
        <w:rPr>
          <w:rFonts w:ascii="Calibri" w:hAnsi="Calibri" w:cs="Calibri"/>
        </w:rPr>
        <w:t>7</w:t>
      </w:r>
      <w:r w:rsidRPr="00A23FB4">
        <w:rPr>
          <w:rFonts w:ascii="Calibri" w:hAnsi="Calibri" w:cs="Calibri"/>
        </w:rPr>
        <w:t>. Wyroby budowlane do uszczelnienia połączeń i krawędzi</w:t>
      </w:r>
    </w:p>
    <w:p w14:paraId="28B9A24E" w14:textId="77777777" w:rsidR="007A7D7A" w:rsidRPr="00A23FB4" w:rsidRDefault="007A7D7A" w:rsidP="007A7D7A">
      <w:pPr>
        <w:rPr>
          <w:rFonts w:ascii="Calibri" w:hAnsi="Calibri" w:cs="Calibri"/>
        </w:rPr>
      </w:pPr>
      <w:r w:rsidRPr="00A23FB4">
        <w:rPr>
          <w:rFonts w:ascii="Calibri" w:hAnsi="Calibri" w:cs="Calibri"/>
        </w:rPr>
        <w:t>Do uszczelnienia połączeń technologicznych (tj. złączy podłużnych i poprzecznych z tego samego materiału wykonywanego w różnym czasie oraz spoin stanowiących połączenia różnych materiałów lub połączenie warstwy asfaltowej z urządzeniami obcymi w nawierzchni lub ją ograniczającymi, należy stosować:</w:t>
      </w:r>
    </w:p>
    <w:p w14:paraId="79AA9ADD" w14:textId="77777777" w:rsidR="00B16BD8" w:rsidRDefault="007A7D7A" w:rsidP="00262498">
      <w:pPr>
        <w:numPr>
          <w:ilvl w:val="0"/>
          <w:numId w:val="28"/>
        </w:numPr>
        <w:tabs>
          <w:tab w:val="left" w:pos="680"/>
        </w:tabs>
        <w:suppressAutoHyphens/>
        <w:autoSpaceDN/>
        <w:adjustRightInd/>
        <w:rPr>
          <w:rFonts w:ascii="Calibri" w:hAnsi="Calibri" w:cs="Calibri"/>
        </w:rPr>
      </w:pPr>
      <w:r w:rsidRPr="00A23FB4">
        <w:rPr>
          <w:rFonts w:ascii="Calibri" w:hAnsi="Calibri" w:cs="Calibri"/>
        </w:rPr>
        <w:t>emulsję asfaltową według PN-EN 13808</w:t>
      </w:r>
      <w:r w:rsidR="00B16BD8">
        <w:rPr>
          <w:rFonts w:ascii="Calibri" w:hAnsi="Calibri" w:cs="Calibri"/>
        </w:rPr>
        <w:t>,</w:t>
      </w:r>
    </w:p>
    <w:p w14:paraId="76702218" w14:textId="1FCB6578" w:rsidR="007A7D7A" w:rsidRPr="00B16BD8" w:rsidRDefault="00B16BD8" w:rsidP="00262498">
      <w:pPr>
        <w:numPr>
          <w:ilvl w:val="0"/>
          <w:numId w:val="28"/>
        </w:numPr>
        <w:tabs>
          <w:tab w:val="left" w:pos="680"/>
        </w:tabs>
        <w:suppressAutoHyphens/>
        <w:autoSpaceDN/>
        <w:adjustRightInd/>
        <w:rPr>
          <w:rFonts w:ascii="Calibri" w:hAnsi="Calibri" w:cs="Calibri"/>
        </w:rPr>
      </w:pPr>
      <w:r w:rsidRPr="00375F64">
        <w:rPr>
          <w:rFonts w:ascii="Calibri" w:hAnsi="Calibri" w:cs="Calibri"/>
        </w:rPr>
        <w:t>asfalt drogowy wg PN-EN 12591</w:t>
      </w:r>
      <w:r w:rsidRPr="00A23FB4">
        <w:rPr>
          <w:rFonts w:ascii="Calibri" w:hAnsi="Calibri" w:cs="Calibri"/>
        </w:rPr>
        <w:t xml:space="preserve"> lub inne lepiszcza według norm lub aprobat technicznych</w:t>
      </w:r>
      <w:r w:rsidR="00012A18">
        <w:rPr>
          <w:rFonts w:ascii="Calibri" w:hAnsi="Calibri" w:cs="Calibri"/>
        </w:rPr>
        <w:t>.</w:t>
      </w:r>
      <w:r w:rsidR="007A7D7A" w:rsidRPr="00B16BD8">
        <w:rPr>
          <w:rFonts w:ascii="Calibri" w:hAnsi="Calibri" w:cs="Calibri"/>
        </w:rPr>
        <w:t xml:space="preserve">  </w:t>
      </w:r>
    </w:p>
    <w:p w14:paraId="46D8E1D6" w14:textId="77777777" w:rsidR="007A7D7A" w:rsidRPr="00A23FB4" w:rsidRDefault="007A7D7A" w:rsidP="007A7D7A">
      <w:pPr>
        <w:rPr>
          <w:rFonts w:ascii="Calibri" w:hAnsi="Calibri" w:cs="Calibri"/>
        </w:rPr>
      </w:pPr>
      <w:r w:rsidRPr="00A23FB4">
        <w:rPr>
          <w:rFonts w:ascii="Calibri" w:hAnsi="Calibri" w:cs="Calibri"/>
        </w:rPr>
        <w:t>Grubość materiału termoplastycznego do spoiny powinna wynosić:</w:t>
      </w:r>
    </w:p>
    <w:p w14:paraId="095CB6F9" w14:textId="77777777" w:rsidR="007A7D7A" w:rsidRPr="00A23FB4" w:rsidRDefault="007A7D7A" w:rsidP="00262498">
      <w:pPr>
        <w:numPr>
          <w:ilvl w:val="0"/>
          <w:numId w:val="29"/>
        </w:numPr>
        <w:tabs>
          <w:tab w:val="left" w:pos="680"/>
          <w:tab w:val="left" w:pos="2329"/>
        </w:tabs>
        <w:suppressAutoHyphens/>
        <w:autoSpaceDN/>
        <w:adjustRightInd/>
        <w:rPr>
          <w:rFonts w:ascii="Calibri" w:hAnsi="Calibri" w:cs="Calibri"/>
        </w:rPr>
      </w:pPr>
      <w:r w:rsidRPr="00A23FB4">
        <w:rPr>
          <w:rFonts w:ascii="Calibri" w:hAnsi="Calibri" w:cs="Calibri"/>
        </w:rPr>
        <w:t>nie mniej niż 10 mm przy grubości warstwy technologicznej do 2,5 cm,</w:t>
      </w:r>
    </w:p>
    <w:p w14:paraId="44E414F8" w14:textId="77777777" w:rsidR="007A7D7A" w:rsidRPr="00A23FB4" w:rsidRDefault="007A7D7A" w:rsidP="00262498">
      <w:pPr>
        <w:numPr>
          <w:ilvl w:val="0"/>
          <w:numId w:val="29"/>
        </w:numPr>
        <w:tabs>
          <w:tab w:val="left" w:pos="680"/>
          <w:tab w:val="left" w:pos="2329"/>
        </w:tabs>
        <w:suppressAutoHyphens/>
        <w:autoSpaceDN/>
        <w:adjustRightInd/>
        <w:rPr>
          <w:rFonts w:ascii="Calibri" w:hAnsi="Calibri" w:cs="Calibri"/>
        </w:rPr>
      </w:pPr>
      <w:r w:rsidRPr="00A23FB4">
        <w:rPr>
          <w:rFonts w:ascii="Calibri" w:hAnsi="Calibri" w:cs="Calibri"/>
        </w:rPr>
        <w:t>nie mniej niż 15 mm przy grubości warstwy technologicznej większej niż 2,5 cm.</w:t>
      </w:r>
    </w:p>
    <w:p w14:paraId="7D0555DE" w14:textId="77777777" w:rsidR="007A7D7A" w:rsidRPr="00A23FB4" w:rsidRDefault="007A7D7A" w:rsidP="007A7D7A">
      <w:pPr>
        <w:rPr>
          <w:rFonts w:ascii="Calibri" w:hAnsi="Calibri" w:cs="Calibri"/>
        </w:rPr>
      </w:pPr>
      <w:r w:rsidRPr="00A23FB4">
        <w:rPr>
          <w:rFonts w:ascii="Calibri" w:hAnsi="Calibri" w:cs="Calibri"/>
        </w:rPr>
        <w:t>Składowanie materiałów termoplastycznych jest dozwolone tylko w oryginalnych opakowaniach producenta, w warunkach określonych w aprobacie technicznej.</w:t>
      </w:r>
    </w:p>
    <w:p w14:paraId="50BC1571" w14:textId="77777777" w:rsidR="007A7D7A" w:rsidRPr="00A23FB4" w:rsidRDefault="007A7D7A" w:rsidP="007A7D7A">
      <w:pPr>
        <w:rPr>
          <w:rFonts w:ascii="Calibri" w:hAnsi="Calibri" w:cs="Calibri"/>
        </w:rPr>
      </w:pPr>
      <w:r w:rsidRPr="00A23FB4">
        <w:rPr>
          <w:rFonts w:ascii="Calibri" w:hAnsi="Calibri" w:cs="Calibri"/>
        </w:rPr>
        <w:t>Do uszczelnienia krawędzi należy stosować asfalt drogowy wg PN-EN 12591, asfalt modyfikowany polimerami wg PN-EN 14023 „metoda na gorąco”. Dopuszcza się inne rodzaje lepiszcza wg norm lub aprobat technicznych.</w:t>
      </w:r>
    </w:p>
    <w:p w14:paraId="5A8F6A30" w14:textId="10D200DA" w:rsidR="007A7D7A" w:rsidRPr="00A23FB4" w:rsidRDefault="007A7D7A" w:rsidP="007A7D7A">
      <w:pPr>
        <w:pStyle w:val="Nagwek4"/>
        <w:tabs>
          <w:tab w:val="left" w:pos="9914"/>
        </w:tabs>
        <w:rPr>
          <w:rFonts w:ascii="Calibri" w:hAnsi="Calibri" w:cs="Calibri"/>
        </w:rPr>
      </w:pPr>
      <w:r w:rsidRPr="00A23FB4">
        <w:rPr>
          <w:rFonts w:ascii="Calibri" w:hAnsi="Calibri" w:cs="Calibri"/>
        </w:rPr>
        <w:t>2.</w:t>
      </w:r>
      <w:r w:rsidR="00BA767E">
        <w:rPr>
          <w:rFonts w:ascii="Calibri" w:hAnsi="Calibri" w:cs="Calibri"/>
        </w:rPr>
        <w:t>8</w:t>
      </w:r>
      <w:r w:rsidRPr="00A23FB4">
        <w:rPr>
          <w:rFonts w:ascii="Calibri" w:hAnsi="Calibri" w:cs="Calibri"/>
        </w:rPr>
        <w:t>. Wyroby budowlane do złączenia warstw konstrukcji</w:t>
      </w:r>
    </w:p>
    <w:p w14:paraId="4AE9A0FB" w14:textId="77777777" w:rsidR="007A7D7A" w:rsidRPr="00A23FB4" w:rsidRDefault="007A7D7A" w:rsidP="007A7D7A">
      <w:pPr>
        <w:rPr>
          <w:rFonts w:ascii="Calibri" w:hAnsi="Calibri" w:cs="Calibri"/>
        </w:rPr>
      </w:pPr>
      <w:r w:rsidRPr="00A23FB4">
        <w:rPr>
          <w:rFonts w:ascii="Calibri" w:hAnsi="Calibri" w:cs="Calibri"/>
        </w:rPr>
        <w:t>Do złączania warstw konstrukcji nawierzchni  należy stosować  kationowe emulsje asfaltowe lub kationowe emulsje modyfikowane polimerami według PN-EN 13808 i WT-3 Emulsje asfaltowe 2009 punkt 5.1 tablica 2 i tablica 3.</w:t>
      </w:r>
    </w:p>
    <w:p w14:paraId="7FD1AC73" w14:textId="77777777" w:rsidR="007A7D7A" w:rsidRPr="00A23FB4" w:rsidRDefault="007A7D7A" w:rsidP="007A7D7A">
      <w:pPr>
        <w:rPr>
          <w:rFonts w:ascii="Calibri" w:hAnsi="Calibri" w:cs="Calibri"/>
        </w:rPr>
      </w:pPr>
      <w:r w:rsidRPr="00A23FB4">
        <w:rPr>
          <w:rFonts w:ascii="Calibri" w:hAnsi="Calibri" w:cs="Calibri"/>
        </w:rPr>
        <w:t xml:space="preserve">Emulsję asfaltową można składować w opakowaniach transportowych lub w stacjonarnych zbiornikach pionowych z nalewaniem od dna. Nie należy nalewać emulsji do opakowań i zbiorników zanieczyszczonych materiałami mineralnymi. </w:t>
      </w:r>
    </w:p>
    <w:p w14:paraId="29D1ADDE" w14:textId="77777777" w:rsidR="007A7D7A" w:rsidRPr="00A23FB4" w:rsidRDefault="007A7D7A" w:rsidP="007A7D7A">
      <w:pPr>
        <w:pStyle w:val="Nagwek3"/>
        <w:tabs>
          <w:tab w:val="left" w:pos="9914"/>
        </w:tabs>
        <w:rPr>
          <w:rFonts w:ascii="Calibri" w:hAnsi="Calibri" w:cs="Calibri"/>
        </w:rPr>
      </w:pPr>
      <w:r w:rsidRPr="00A23FB4">
        <w:rPr>
          <w:rFonts w:ascii="Calibri" w:hAnsi="Calibri" w:cs="Calibri"/>
        </w:rPr>
        <w:t>3. SPRZĘT</w:t>
      </w:r>
    </w:p>
    <w:p w14:paraId="6C07DB50" w14:textId="77777777" w:rsidR="007A7D7A" w:rsidRPr="00A23FB4" w:rsidRDefault="007A7D7A" w:rsidP="007A7D7A">
      <w:pPr>
        <w:pStyle w:val="Nagwek4"/>
        <w:tabs>
          <w:tab w:val="left" w:pos="9914"/>
        </w:tabs>
        <w:rPr>
          <w:rFonts w:ascii="Calibri" w:hAnsi="Calibri" w:cs="Calibri"/>
        </w:rPr>
      </w:pPr>
      <w:r w:rsidRPr="00A23FB4">
        <w:rPr>
          <w:rFonts w:ascii="Calibri" w:hAnsi="Calibri" w:cs="Calibri"/>
        </w:rPr>
        <w:t>3.1. Ogólne wymagania dotyczące sprzętu</w:t>
      </w:r>
    </w:p>
    <w:p w14:paraId="047578B6" w14:textId="42672E14" w:rsidR="007A7D7A" w:rsidRPr="00A23FB4" w:rsidRDefault="007A7D7A" w:rsidP="007A7D7A">
      <w:pPr>
        <w:rPr>
          <w:rFonts w:ascii="Calibri" w:hAnsi="Calibri" w:cs="Calibri"/>
        </w:rPr>
      </w:pPr>
      <w:r w:rsidRPr="00A23FB4">
        <w:rPr>
          <w:rFonts w:ascii="Calibri" w:hAnsi="Calibri" w:cs="Calibri"/>
        </w:rPr>
        <w:t xml:space="preserve">Ogólne wymagania dotyczące sprzętu podano w </w:t>
      </w:r>
      <w:r w:rsidR="00BA2C10">
        <w:rPr>
          <w:rFonts w:ascii="Calibri" w:hAnsi="Calibri" w:cs="Calibri"/>
        </w:rPr>
        <w:t>ST</w:t>
      </w:r>
      <w:r w:rsidRPr="00A23FB4">
        <w:rPr>
          <w:rFonts w:ascii="Calibri" w:hAnsi="Calibri" w:cs="Calibri"/>
        </w:rPr>
        <w:t>WiORB  D-M-00.00.00 „Wymagania ogólne”  pkt 3.</w:t>
      </w:r>
    </w:p>
    <w:p w14:paraId="29A4A048" w14:textId="77777777" w:rsidR="007A7D7A" w:rsidRPr="00A23FB4" w:rsidRDefault="007A7D7A" w:rsidP="007A7D7A">
      <w:pPr>
        <w:pStyle w:val="Nagwek4"/>
        <w:tabs>
          <w:tab w:val="left" w:pos="9914"/>
        </w:tabs>
        <w:rPr>
          <w:rFonts w:ascii="Calibri" w:hAnsi="Calibri" w:cs="Calibri"/>
        </w:rPr>
      </w:pPr>
      <w:r w:rsidRPr="00A23FB4">
        <w:rPr>
          <w:rFonts w:ascii="Calibri" w:hAnsi="Calibri" w:cs="Calibri"/>
        </w:rPr>
        <w:t>3.2. Sprzęt stosowany do wykonania robót</w:t>
      </w:r>
    </w:p>
    <w:p w14:paraId="2BA5AC8B" w14:textId="77777777" w:rsidR="007A7D7A" w:rsidRPr="00A23FB4" w:rsidRDefault="007A7D7A" w:rsidP="007A7D7A">
      <w:pPr>
        <w:rPr>
          <w:rFonts w:ascii="Calibri" w:hAnsi="Calibri" w:cs="Calibri"/>
        </w:rPr>
      </w:pPr>
      <w:r w:rsidRPr="00A23FB4">
        <w:rPr>
          <w:rFonts w:ascii="Calibri" w:hAnsi="Calibri" w:cs="Calibri"/>
        </w:rPr>
        <w:t>Przy wykonywaniu robót Wykonawca w zależności od potrzeb, powinien wykazać się możliwością korzystania ze sprzętu dostosowanego do przyjętej metody robót, jak:</w:t>
      </w:r>
    </w:p>
    <w:p w14:paraId="0DD927CA" w14:textId="77777777" w:rsidR="007A7D7A" w:rsidRPr="00A23FB4" w:rsidRDefault="007A7D7A" w:rsidP="00262498">
      <w:pPr>
        <w:numPr>
          <w:ilvl w:val="0"/>
          <w:numId w:val="32"/>
        </w:numPr>
        <w:tabs>
          <w:tab w:val="left" w:pos="680"/>
        </w:tabs>
        <w:suppressAutoHyphens/>
        <w:autoSpaceDN/>
        <w:adjustRightInd/>
        <w:rPr>
          <w:rFonts w:ascii="Calibri" w:hAnsi="Calibri" w:cs="Calibri"/>
        </w:rPr>
      </w:pPr>
      <w:r w:rsidRPr="00A23FB4">
        <w:rPr>
          <w:rFonts w:ascii="Calibri" w:hAnsi="Calibri" w:cs="Calibri"/>
        </w:rPr>
        <w:t xml:space="preserve">wytwórnia (otaczarka) o mieszaniu cyklicznym lub ciągłym, z automatycznym komputerowym sterowaniem produkcji, do wytwarzania mieszanek mineralno-asfaltowych, </w:t>
      </w:r>
    </w:p>
    <w:p w14:paraId="5ED83B4F" w14:textId="77777777" w:rsidR="007A7D7A" w:rsidRPr="00A23FB4" w:rsidRDefault="007A7D7A" w:rsidP="00262498">
      <w:pPr>
        <w:numPr>
          <w:ilvl w:val="0"/>
          <w:numId w:val="32"/>
        </w:numPr>
        <w:tabs>
          <w:tab w:val="left" w:pos="680"/>
        </w:tabs>
        <w:suppressAutoHyphens/>
        <w:autoSpaceDN/>
        <w:adjustRightInd/>
        <w:rPr>
          <w:rFonts w:ascii="Calibri" w:hAnsi="Calibri" w:cs="Calibri"/>
        </w:rPr>
      </w:pPr>
      <w:r w:rsidRPr="00A23FB4">
        <w:rPr>
          <w:rFonts w:ascii="Calibri" w:hAnsi="Calibri" w:cs="Calibri"/>
        </w:rPr>
        <w:t>układarka gąsienicowa, z elektronicznym sterowaniem równości układanej warstwy,</w:t>
      </w:r>
    </w:p>
    <w:p w14:paraId="2868381E" w14:textId="77777777" w:rsidR="007A7D7A" w:rsidRPr="00A23FB4" w:rsidRDefault="007A7D7A" w:rsidP="00262498">
      <w:pPr>
        <w:numPr>
          <w:ilvl w:val="0"/>
          <w:numId w:val="32"/>
        </w:numPr>
        <w:tabs>
          <w:tab w:val="left" w:pos="680"/>
        </w:tabs>
        <w:suppressAutoHyphens/>
        <w:autoSpaceDN/>
        <w:adjustRightInd/>
        <w:rPr>
          <w:rFonts w:ascii="Calibri" w:hAnsi="Calibri" w:cs="Calibri"/>
        </w:rPr>
      </w:pPr>
      <w:r w:rsidRPr="00A23FB4">
        <w:rPr>
          <w:rFonts w:ascii="Calibri" w:hAnsi="Calibri" w:cs="Calibri"/>
        </w:rPr>
        <w:t>skrapiarka,</w:t>
      </w:r>
    </w:p>
    <w:p w14:paraId="413D9863" w14:textId="77777777" w:rsidR="007A7D7A" w:rsidRPr="00A23FB4" w:rsidRDefault="007A7D7A" w:rsidP="00262498">
      <w:pPr>
        <w:numPr>
          <w:ilvl w:val="0"/>
          <w:numId w:val="32"/>
        </w:numPr>
        <w:tabs>
          <w:tab w:val="left" w:pos="680"/>
        </w:tabs>
        <w:suppressAutoHyphens/>
        <w:autoSpaceDN/>
        <w:adjustRightInd/>
        <w:rPr>
          <w:rFonts w:ascii="Calibri" w:hAnsi="Calibri" w:cs="Calibri"/>
        </w:rPr>
      </w:pPr>
      <w:r w:rsidRPr="00A23FB4">
        <w:rPr>
          <w:rFonts w:ascii="Calibri" w:hAnsi="Calibri" w:cs="Calibri"/>
        </w:rPr>
        <w:t xml:space="preserve">walce stalowe gładkie, </w:t>
      </w:r>
    </w:p>
    <w:p w14:paraId="730BDE5C" w14:textId="77777777" w:rsidR="007A7D7A" w:rsidRPr="00A23FB4" w:rsidRDefault="007A7D7A" w:rsidP="00262498">
      <w:pPr>
        <w:numPr>
          <w:ilvl w:val="0"/>
          <w:numId w:val="32"/>
        </w:numPr>
        <w:tabs>
          <w:tab w:val="left" w:pos="680"/>
        </w:tabs>
        <w:suppressAutoHyphens/>
        <w:autoSpaceDN/>
        <w:adjustRightInd/>
        <w:rPr>
          <w:rFonts w:ascii="Calibri" w:hAnsi="Calibri" w:cs="Calibri"/>
        </w:rPr>
      </w:pPr>
      <w:r w:rsidRPr="00A23FB4">
        <w:rPr>
          <w:rFonts w:ascii="Calibri" w:hAnsi="Calibri" w:cs="Calibri"/>
        </w:rPr>
        <w:t>walce ogumione</w:t>
      </w:r>
    </w:p>
    <w:p w14:paraId="295E6BCE" w14:textId="77777777" w:rsidR="007A7D7A" w:rsidRPr="00A23FB4" w:rsidRDefault="007A7D7A" w:rsidP="00262498">
      <w:pPr>
        <w:numPr>
          <w:ilvl w:val="0"/>
          <w:numId w:val="32"/>
        </w:numPr>
        <w:tabs>
          <w:tab w:val="left" w:pos="680"/>
        </w:tabs>
        <w:suppressAutoHyphens/>
        <w:autoSpaceDN/>
        <w:adjustRightInd/>
        <w:rPr>
          <w:rFonts w:ascii="Calibri" w:hAnsi="Calibri" w:cs="Calibri"/>
        </w:rPr>
      </w:pPr>
      <w:r w:rsidRPr="00A23FB4">
        <w:rPr>
          <w:rFonts w:ascii="Calibri" w:hAnsi="Calibri" w:cs="Calibri"/>
        </w:rPr>
        <w:t>szczotki mechaniczne i/lub inne urządzenia czyszczące,</w:t>
      </w:r>
    </w:p>
    <w:p w14:paraId="265A8565" w14:textId="77777777" w:rsidR="007A7D7A" w:rsidRPr="00A23FB4" w:rsidRDefault="007A7D7A" w:rsidP="00262498">
      <w:pPr>
        <w:numPr>
          <w:ilvl w:val="0"/>
          <w:numId w:val="32"/>
        </w:numPr>
        <w:tabs>
          <w:tab w:val="left" w:pos="680"/>
        </w:tabs>
        <w:suppressAutoHyphens/>
        <w:autoSpaceDN/>
        <w:adjustRightInd/>
        <w:rPr>
          <w:rFonts w:ascii="Calibri" w:hAnsi="Calibri" w:cs="Calibri"/>
        </w:rPr>
      </w:pPr>
      <w:r w:rsidRPr="00A23FB4">
        <w:rPr>
          <w:rFonts w:ascii="Calibri" w:hAnsi="Calibri" w:cs="Calibri"/>
        </w:rPr>
        <w:t>samochody samowyładowcze z przykryciem brezentowym lub termosami,</w:t>
      </w:r>
    </w:p>
    <w:p w14:paraId="79BC3912" w14:textId="77777777" w:rsidR="007A7D7A" w:rsidRPr="00A23FB4" w:rsidRDefault="007A7D7A" w:rsidP="00262498">
      <w:pPr>
        <w:numPr>
          <w:ilvl w:val="0"/>
          <w:numId w:val="32"/>
        </w:numPr>
        <w:tabs>
          <w:tab w:val="num" w:pos="0"/>
          <w:tab w:val="left" w:pos="680"/>
        </w:tabs>
        <w:suppressAutoHyphens/>
        <w:autoSpaceDN/>
        <w:adjustRightInd/>
        <w:rPr>
          <w:rFonts w:ascii="Calibri" w:hAnsi="Calibri" w:cs="Calibri"/>
        </w:rPr>
      </w:pPr>
      <w:r w:rsidRPr="00A23FB4">
        <w:rPr>
          <w:rFonts w:ascii="Calibri" w:hAnsi="Calibri" w:cs="Calibri"/>
        </w:rPr>
        <w:t>sprzęt drobny.</w:t>
      </w:r>
    </w:p>
    <w:p w14:paraId="44E66F62" w14:textId="77777777" w:rsidR="007A7D7A" w:rsidRPr="00A23FB4" w:rsidRDefault="007A7D7A" w:rsidP="007A7D7A">
      <w:pPr>
        <w:pStyle w:val="Nagwek3"/>
        <w:tabs>
          <w:tab w:val="left" w:pos="9914"/>
        </w:tabs>
        <w:rPr>
          <w:rFonts w:ascii="Calibri" w:hAnsi="Calibri" w:cs="Calibri"/>
        </w:rPr>
      </w:pPr>
      <w:r w:rsidRPr="00A23FB4">
        <w:rPr>
          <w:rFonts w:ascii="Calibri" w:hAnsi="Calibri" w:cs="Calibri"/>
        </w:rPr>
        <w:t>4. TRANSPORT</w:t>
      </w:r>
    </w:p>
    <w:p w14:paraId="574BE894" w14:textId="77777777" w:rsidR="007A7D7A" w:rsidRPr="00A23FB4" w:rsidRDefault="007A7D7A" w:rsidP="007A7D7A">
      <w:pPr>
        <w:pStyle w:val="Nagwek4"/>
        <w:tabs>
          <w:tab w:val="left" w:pos="9914"/>
        </w:tabs>
        <w:rPr>
          <w:rFonts w:ascii="Calibri" w:hAnsi="Calibri" w:cs="Calibri"/>
        </w:rPr>
      </w:pPr>
      <w:r w:rsidRPr="00A23FB4">
        <w:rPr>
          <w:rFonts w:ascii="Calibri" w:hAnsi="Calibri" w:cs="Calibri"/>
        </w:rPr>
        <w:t>4.1. Ogólne wymagania dotyczące transportu</w:t>
      </w:r>
    </w:p>
    <w:p w14:paraId="162657C6" w14:textId="3F5D537D" w:rsidR="007A7D7A" w:rsidRPr="00A23FB4" w:rsidRDefault="007A7D7A" w:rsidP="007A7D7A">
      <w:pPr>
        <w:rPr>
          <w:rFonts w:ascii="Calibri" w:hAnsi="Calibri" w:cs="Calibri"/>
        </w:rPr>
      </w:pPr>
      <w:r w:rsidRPr="00A23FB4">
        <w:rPr>
          <w:rFonts w:ascii="Calibri" w:hAnsi="Calibri" w:cs="Calibri"/>
        </w:rPr>
        <w:t xml:space="preserve">Ogólne wymagania dotyczące transportu podano w </w:t>
      </w:r>
      <w:r w:rsidR="00D114B3">
        <w:rPr>
          <w:rFonts w:ascii="Calibri" w:hAnsi="Calibri" w:cs="Calibri"/>
        </w:rPr>
        <w:t>ST</w:t>
      </w:r>
      <w:r w:rsidRPr="00A23FB4">
        <w:rPr>
          <w:rFonts w:ascii="Calibri" w:hAnsi="Calibri" w:cs="Calibri"/>
        </w:rPr>
        <w:t>WiORB D-M-00.00.00 „Wymagania ogólne” pkt 4.</w:t>
      </w:r>
      <w:r w:rsidRPr="00A23FB4">
        <w:rPr>
          <w:rFonts w:ascii="Calibri" w:hAnsi="Calibri" w:cs="Calibri"/>
        </w:rPr>
        <w:tab/>
      </w:r>
    </w:p>
    <w:p w14:paraId="580210E2" w14:textId="77777777" w:rsidR="007A7D7A" w:rsidRPr="00A23FB4" w:rsidRDefault="007A7D7A" w:rsidP="007A7D7A">
      <w:pPr>
        <w:pStyle w:val="Nagwek4"/>
        <w:tabs>
          <w:tab w:val="left" w:pos="9914"/>
        </w:tabs>
        <w:rPr>
          <w:rFonts w:ascii="Calibri" w:hAnsi="Calibri" w:cs="Calibri"/>
        </w:rPr>
      </w:pPr>
      <w:r w:rsidRPr="00A23FB4">
        <w:rPr>
          <w:rFonts w:ascii="Calibri" w:hAnsi="Calibri" w:cs="Calibri"/>
        </w:rPr>
        <w:t xml:space="preserve">4.2. Transport materiałów </w:t>
      </w:r>
    </w:p>
    <w:p w14:paraId="624E92A7" w14:textId="77777777" w:rsidR="007A7D7A" w:rsidRPr="00A23FB4" w:rsidRDefault="007A7D7A" w:rsidP="007A7D7A">
      <w:pPr>
        <w:rPr>
          <w:rFonts w:ascii="Calibri" w:hAnsi="Calibri" w:cs="Calibri"/>
        </w:rPr>
      </w:pPr>
      <w:r w:rsidRPr="00A23FB4">
        <w:rPr>
          <w:rFonts w:ascii="Calibri" w:hAnsi="Calibri" w:cs="Calibri"/>
        </w:rPr>
        <w:t>Asfalt należy przewozić w cysternach kolejowych lub samochodach izolowanych i zaopatrzonych w urządzenia umożliwiające pośrednie ogrzewanie oraz w zawory spustowe.</w:t>
      </w:r>
    </w:p>
    <w:p w14:paraId="7B5D07BA" w14:textId="77777777" w:rsidR="007A7D7A" w:rsidRPr="00A23FB4" w:rsidRDefault="007A7D7A" w:rsidP="007A7D7A">
      <w:pPr>
        <w:rPr>
          <w:rFonts w:ascii="Calibri" w:hAnsi="Calibri" w:cs="Calibri"/>
        </w:rPr>
      </w:pPr>
      <w:r w:rsidRPr="00A23FB4">
        <w:rPr>
          <w:rFonts w:ascii="Calibri" w:hAnsi="Calibri" w:cs="Calibri"/>
        </w:rPr>
        <w:t>Kruszywa można przewozić dowolnymi środkami transportu, w warunkach zabezpieczających je przed zanieczyszczeniem, zmieszaniem z innymi materiałami i nadmiernym zawilgoceniem.</w:t>
      </w:r>
    </w:p>
    <w:p w14:paraId="3AFE5C76" w14:textId="77777777" w:rsidR="007A7D7A" w:rsidRPr="00A23FB4" w:rsidRDefault="007A7D7A" w:rsidP="007A7D7A">
      <w:pPr>
        <w:rPr>
          <w:rFonts w:ascii="Calibri" w:hAnsi="Calibri" w:cs="Calibri"/>
        </w:rPr>
      </w:pPr>
      <w:r w:rsidRPr="00A23FB4">
        <w:rPr>
          <w:rFonts w:ascii="Calibri" w:hAnsi="Calibri" w:cs="Calibri"/>
        </w:rPr>
        <w:t>Wypełniacz należy przewozić w sposób chroniący go przed zawilgoceniem, zbryleniem i zanieczyszczeniem. Wypełniacz luzem powinien być przewożony w odpowiednich cysternach przystosowanych do przewozu materiałów sypkich, umożliwiających rozładunek pneumatyczny.</w:t>
      </w:r>
    </w:p>
    <w:p w14:paraId="4B2DF84D" w14:textId="77777777" w:rsidR="007A7D7A" w:rsidRPr="00A23FB4" w:rsidRDefault="007A7D7A" w:rsidP="007A7D7A">
      <w:pPr>
        <w:rPr>
          <w:rFonts w:ascii="Calibri" w:hAnsi="Calibri" w:cs="Calibri"/>
        </w:rPr>
      </w:pPr>
      <w:r w:rsidRPr="00A23FB4">
        <w:rPr>
          <w:rFonts w:ascii="Calibri" w:hAnsi="Calibri" w:cs="Calibri"/>
        </w:rPr>
        <w:t>Emulsja asfaltowa może być transportowana w zamkniętych cysternach, autocysternach, beczkach i innych opakowaniach pod warunkiem, że nie będą korodowały pod wpływem emulsji i nie będą powodowały jej rozpadu. Cysterny powinny być wyposażone w przegrody. Nie należy używać do transportu opakowań z metali lekkich (może zachodzić wydzielanie wodoru i groźba wybuchu przy emulsjach o pH ≤ 4).</w:t>
      </w:r>
    </w:p>
    <w:p w14:paraId="3D9B8F38" w14:textId="77777777" w:rsidR="007A7D7A" w:rsidRPr="00A23FB4" w:rsidRDefault="007A7D7A" w:rsidP="007A7D7A">
      <w:pPr>
        <w:rPr>
          <w:rFonts w:ascii="Calibri" w:hAnsi="Calibri" w:cs="Calibri"/>
        </w:rPr>
      </w:pPr>
      <w:r w:rsidRPr="00A23FB4">
        <w:rPr>
          <w:rFonts w:ascii="Calibri" w:hAnsi="Calibri" w:cs="Calibri"/>
        </w:rPr>
        <w:t>Mieszankę mineralno-asfaltową należy  dowozić na budowę pojazdami samowyładowczymi w zależności od postępu robót. Podczas transportu i postoju przed wbudowaniem mieszanka powinna być zabezpieczona przed ostygnięciem i dopływem powietrza (przez przykrycie, pojemniki termoizolacyjne lub ogrzewane itp.). Warunki i czas transportu mieszanki, od produkcji do wbudowania, powinna zapewniać utrzymanie temperatury w wymaganym przedziale. Powierzchnie pojemników używanych do transportu mieszanki powinny być czyste, a do zwilżania tych powierzchni można używać tylko środki antyadhezyjne niewpływające szkodliwie na mieszankę.</w:t>
      </w:r>
    </w:p>
    <w:p w14:paraId="13D22ABE" w14:textId="77777777" w:rsidR="007A7D7A" w:rsidRPr="00A23FB4" w:rsidRDefault="007A7D7A" w:rsidP="007A7D7A">
      <w:pPr>
        <w:pStyle w:val="Nagwek3"/>
        <w:tabs>
          <w:tab w:val="left" w:pos="9914"/>
        </w:tabs>
        <w:rPr>
          <w:rFonts w:ascii="Calibri" w:hAnsi="Calibri" w:cs="Calibri"/>
        </w:rPr>
      </w:pPr>
      <w:r w:rsidRPr="00A23FB4">
        <w:rPr>
          <w:rFonts w:ascii="Calibri" w:hAnsi="Calibri" w:cs="Calibri"/>
        </w:rPr>
        <w:t>5. WYKONANIE ROBÓT</w:t>
      </w:r>
    </w:p>
    <w:p w14:paraId="00BE74DF" w14:textId="77777777" w:rsidR="007A7D7A" w:rsidRPr="00A23FB4" w:rsidRDefault="007A7D7A" w:rsidP="007A7D7A">
      <w:pPr>
        <w:pStyle w:val="Nagwek4"/>
        <w:tabs>
          <w:tab w:val="left" w:pos="9914"/>
        </w:tabs>
        <w:rPr>
          <w:rFonts w:ascii="Calibri" w:hAnsi="Calibri" w:cs="Calibri"/>
        </w:rPr>
      </w:pPr>
      <w:r w:rsidRPr="00A23FB4">
        <w:rPr>
          <w:rFonts w:ascii="Calibri" w:hAnsi="Calibri" w:cs="Calibri"/>
        </w:rPr>
        <w:t>5.1. Ogólne zasady wykonania robót</w:t>
      </w:r>
    </w:p>
    <w:p w14:paraId="25964B2E" w14:textId="678B4D4C" w:rsidR="007A7D7A" w:rsidRPr="00A23FB4" w:rsidRDefault="007A7D7A" w:rsidP="007A7D7A">
      <w:pPr>
        <w:rPr>
          <w:rFonts w:ascii="Calibri" w:hAnsi="Calibri" w:cs="Calibri"/>
        </w:rPr>
      </w:pPr>
      <w:r w:rsidRPr="00A23FB4">
        <w:rPr>
          <w:rFonts w:ascii="Calibri" w:hAnsi="Calibri" w:cs="Calibri"/>
        </w:rPr>
        <w:t xml:space="preserve">Ogólne zasady wykonania robót podano w </w:t>
      </w:r>
      <w:r w:rsidR="00D114B3">
        <w:rPr>
          <w:rFonts w:ascii="Calibri" w:hAnsi="Calibri" w:cs="Calibri"/>
        </w:rPr>
        <w:t>ST</w:t>
      </w:r>
      <w:r w:rsidRPr="00A23FB4">
        <w:rPr>
          <w:rFonts w:ascii="Calibri" w:hAnsi="Calibri" w:cs="Calibri"/>
        </w:rPr>
        <w:t>WiORB D-M-00.00.00 „Wymagania ogólne” pkt 5.</w:t>
      </w:r>
    </w:p>
    <w:p w14:paraId="66CBEC0E" w14:textId="77777777" w:rsidR="00324179" w:rsidRPr="00324179" w:rsidRDefault="00324179" w:rsidP="00324179">
      <w:pPr>
        <w:pStyle w:val="Nagwek4"/>
        <w:spacing w:before="0" w:after="0"/>
        <w:rPr>
          <w:rFonts w:ascii="Calibri" w:hAnsi="Calibri" w:cs="Calibri"/>
        </w:rPr>
      </w:pPr>
      <w:r w:rsidRPr="00324179">
        <w:rPr>
          <w:rFonts w:ascii="Calibri" w:hAnsi="Calibri" w:cs="Calibri"/>
        </w:rPr>
        <w:t>5.2 Projektowanie mieszanki</w:t>
      </w:r>
      <w:r w:rsidRPr="00324179">
        <w:rPr>
          <w:rFonts w:ascii="Calibri" w:hAnsi="Calibri" w:cs="Calibri"/>
          <w:spacing w:val="-1"/>
        </w:rPr>
        <w:t xml:space="preserve"> </w:t>
      </w:r>
      <w:r w:rsidRPr="00324179">
        <w:rPr>
          <w:rFonts w:ascii="Calibri" w:hAnsi="Calibri" w:cs="Calibri"/>
        </w:rPr>
        <w:t>mineralno-asfaltowej.</w:t>
      </w:r>
    </w:p>
    <w:p w14:paraId="382BB37F" w14:textId="77777777" w:rsidR="00324179" w:rsidRPr="00324179" w:rsidRDefault="00324179" w:rsidP="00324179">
      <w:pPr>
        <w:pStyle w:val="Tekstpodstawowy"/>
        <w:spacing w:line="240" w:lineRule="auto"/>
        <w:jc w:val="both"/>
        <w:rPr>
          <w:rFonts w:ascii="Calibri" w:hAnsi="Calibri" w:cs="Calibri"/>
          <w:sz w:val="20"/>
          <w:szCs w:val="20"/>
        </w:rPr>
      </w:pPr>
    </w:p>
    <w:p w14:paraId="7F91E3E1" w14:textId="77777777" w:rsidR="00324179" w:rsidRPr="00324179" w:rsidRDefault="00324179" w:rsidP="00324179">
      <w:pPr>
        <w:pStyle w:val="Tekstpodstawowy"/>
        <w:spacing w:line="240" w:lineRule="auto"/>
        <w:jc w:val="both"/>
        <w:rPr>
          <w:rFonts w:ascii="Calibri" w:hAnsi="Calibri" w:cs="Calibri"/>
          <w:sz w:val="20"/>
          <w:szCs w:val="20"/>
        </w:rPr>
      </w:pPr>
      <w:r w:rsidRPr="00324179">
        <w:rPr>
          <w:rFonts w:ascii="Calibri" w:hAnsi="Calibri" w:cs="Calibri"/>
          <w:sz w:val="20"/>
          <w:szCs w:val="20"/>
        </w:rPr>
        <w:t>W terminie 7 dni przed rozpoczęciem robót Wykonawca przedstawi Inżynierowi do zatwierdzenia projekt MMA (Badanie Typu) oraz wszystkie dokumenty potwierdzające jakość materiałów składowych MMA i reprezentatywne próbki materiałów. MMA powinna być tak zaprojektowana, aby spełniać wymagania podane w pkt. 8.2.1 WT-2 Nawierzchnie Asfaltowe 2014 w zależności od kategorii ruchu.</w:t>
      </w:r>
    </w:p>
    <w:p w14:paraId="1AE0194A" w14:textId="77777777" w:rsidR="00324179" w:rsidRPr="00324179" w:rsidRDefault="00324179" w:rsidP="00324179">
      <w:pPr>
        <w:pStyle w:val="Nagwek4"/>
        <w:spacing w:before="0" w:after="0"/>
        <w:rPr>
          <w:rFonts w:ascii="Calibri" w:hAnsi="Calibri" w:cs="Calibri"/>
        </w:rPr>
      </w:pPr>
      <w:r w:rsidRPr="00324179">
        <w:rPr>
          <w:rFonts w:ascii="Calibri" w:hAnsi="Calibri" w:cs="Calibri"/>
        </w:rPr>
        <w:t>5.3 Wytwarzanie</w:t>
      </w:r>
      <w:r w:rsidRPr="00324179">
        <w:rPr>
          <w:rFonts w:ascii="Calibri" w:hAnsi="Calibri" w:cs="Calibri"/>
          <w:spacing w:val="-2"/>
        </w:rPr>
        <w:t xml:space="preserve"> </w:t>
      </w:r>
      <w:r w:rsidRPr="00324179">
        <w:rPr>
          <w:rFonts w:ascii="Calibri" w:hAnsi="Calibri" w:cs="Calibri"/>
        </w:rPr>
        <w:t>MMA</w:t>
      </w:r>
    </w:p>
    <w:p w14:paraId="2236EAC0" w14:textId="77777777" w:rsidR="00324179" w:rsidRPr="00324179" w:rsidRDefault="00324179" w:rsidP="00324179">
      <w:pPr>
        <w:pStyle w:val="Tekstpodstawowy"/>
        <w:spacing w:line="240" w:lineRule="auto"/>
        <w:jc w:val="both"/>
        <w:rPr>
          <w:rFonts w:ascii="Calibri" w:hAnsi="Calibri" w:cs="Calibri"/>
          <w:sz w:val="20"/>
          <w:szCs w:val="20"/>
        </w:rPr>
      </w:pPr>
    </w:p>
    <w:p w14:paraId="2FD88A70" w14:textId="77777777" w:rsidR="00324179" w:rsidRPr="00324179" w:rsidRDefault="00324179" w:rsidP="00324179">
      <w:pPr>
        <w:pStyle w:val="Tekstpodstawowy"/>
        <w:spacing w:line="240" w:lineRule="auto"/>
        <w:jc w:val="both"/>
        <w:rPr>
          <w:rFonts w:ascii="Calibri" w:hAnsi="Calibri" w:cs="Calibri"/>
          <w:sz w:val="20"/>
          <w:szCs w:val="20"/>
        </w:rPr>
      </w:pPr>
      <w:r w:rsidRPr="00324179">
        <w:rPr>
          <w:rFonts w:ascii="Calibri" w:hAnsi="Calibri" w:cs="Calibri"/>
          <w:sz w:val="20"/>
          <w:szCs w:val="20"/>
        </w:rPr>
        <w:t>Produkcja MMA powinna odbywać się na WMA o cyklicznym systemie produkcji mieszanki, zgodnie z wymaganiami opisanymi w p. 3.1. Dozowanie wszystkich składników, w tym środka adhezyjnego, powinno odbywać się wagowo. Temperatury technologiczne wytwarzania MMA powinny być zgodne z wymaganiami podanymi w p. 8.3 WT-2 2014 Nawierzchnie Asfaltowe (Tablica 42) lub zgodnie z zalecaniami producenta. Mieszankę MMA zaleca się wbudowywać bezpośrednio po wyprodukowaniu bez magazynowania na zapas. Przechowywanie wyprodukowanej MMA w silosie może mieć miejsce tylko w sytuacjach awaryjnych.</w:t>
      </w:r>
    </w:p>
    <w:p w14:paraId="2143B77E" w14:textId="77777777" w:rsidR="00324179" w:rsidRPr="00324179" w:rsidRDefault="00324179" w:rsidP="00324179">
      <w:pPr>
        <w:pStyle w:val="Nagwek4"/>
        <w:spacing w:before="0" w:after="0"/>
        <w:rPr>
          <w:rFonts w:ascii="Calibri" w:hAnsi="Calibri" w:cs="Calibri"/>
        </w:rPr>
      </w:pPr>
      <w:r w:rsidRPr="00324179">
        <w:rPr>
          <w:rFonts w:ascii="Calibri" w:hAnsi="Calibri" w:cs="Calibri"/>
        </w:rPr>
        <w:t>5.4 Przygotowanie podłoża</w:t>
      </w:r>
    </w:p>
    <w:p w14:paraId="3DE31738" w14:textId="77777777" w:rsidR="00324179" w:rsidRPr="00324179" w:rsidRDefault="00324179" w:rsidP="00324179">
      <w:pPr>
        <w:pStyle w:val="Tekstpodstawowy"/>
        <w:spacing w:line="240" w:lineRule="auto"/>
        <w:jc w:val="both"/>
        <w:rPr>
          <w:rFonts w:ascii="Calibri" w:hAnsi="Calibri" w:cs="Calibri"/>
          <w:sz w:val="20"/>
          <w:szCs w:val="20"/>
        </w:rPr>
      </w:pPr>
    </w:p>
    <w:p w14:paraId="4BFE8CE5" w14:textId="77777777" w:rsidR="00324179" w:rsidRPr="00324179" w:rsidRDefault="00324179" w:rsidP="00324179">
      <w:pPr>
        <w:pStyle w:val="Tekstpodstawowy"/>
        <w:spacing w:line="240" w:lineRule="auto"/>
        <w:jc w:val="both"/>
        <w:rPr>
          <w:rFonts w:ascii="Calibri" w:hAnsi="Calibri" w:cs="Calibri"/>
          <w:sz w:val="20"/>
          <w:szCs w:val="20"/>
        </w:rPr>
      </w:pPr>
      <w:r w:rsidRPr="00324179">
        <w:rPr>
          <w:rFonts w:ascii="Calibri" w:hAnsi="Calibri" w:cs="Calibri"/>
          <w:sz w:val="20"/>
          <w:szCs w:val="20"/>
        </w:rPr>
        <w:t>Podłoże pod warstwę podbudowy z MMA powinno spełniać wymagania pkt. 7.2 oraz zostać przygotowane zgodnie z pkt. 7.3 WT-2 Nawierzchnie Asfaltowe Na Drogach Krajowych 2016 – część II. Warstwę podłoża pod warstwę podbudowy z MMA należy skropić emulsją asfaltową zgodnie z STWiORB D.04.03.01.</w:t>
      </w:r>
    </w:p>
    <w:p w14:paraId="7F7006F4" w14:textId="77777777" w:rsidR="00324179" w:rsidRPr="00324179" w:rsidRDefault="00324179" w:rsidP="00324179">
      <w:pPr>
        <w:pStyle w:val="Tekstpodstawowy"/>
        <w:spacing w:line="240" w:lineRule="auto"/>
        <w:jc w:val="both"/>
        <w:rPr>
          <w:rFonts w:ascii="Calibri" w:hAnsi="Calibri" w:cs="Calibri"/>
          <w:sz w:val="20"/>
          <w:szCs w:val="20"/>
        </w:rPr>
      </w:pPr>
      <w:r w:rsidRPr="00324179">
        <w:rPr>
          <w:rFonts w:ascii="Calibri" w:hAnsi="Calibri" w:cs="Calibri"/>
          <w:sz w:val="20"/>
          <w:szCs w:val="20"/>
        </w:rPr>
        <w:t>Brzegi krawężników i innych urządzeń przylegających do nawierzchni powinny być posmarowane gorącym asfaltem lub emulsją asfaltową  lub asfaltem modyfikowanym (w zależności od rodzaju asfaltu użytego w mieszance MMA)</w:t>
      </w:r>
    </w:p>
    <w:p w14:paraId="07C7AFB6" w14:textId="77777777" w:rsidR="00324179" w:rsidRPr="00324179" w:rsidRDefault="00324179" w:rsidP="00324179">
      <w:pPr>
        <w:pStyle w:val="Nagwek4"/>
        <w:spacing w:before="0" w:after="0"/>
        <w:rPr>
          <w:rFonts w:ascii="Calibri" w:hAnsi="Calibri" w:cs="Calibri"/>
        </w:rPr>
      </w:pPr>
      <w:r w:rsidRPr="00324179">
        <w:rPr>
          <w:rFonts w:ascii="Calibri" w:hAnsi="Calibri" w:cs="Calibri"/>
        </w:rPr>
        <w:t>5.5 Próba</w:t>
      </w:r>
      <w:r w:rsidRPr="00324179">
        <w:rPr>
          <w:rFonts w:ascii="Calibri" w:hAnsi="Calibri" w:cs="Calibri"/>
          <w:spacing w:val="-3"/>
        </w:rPr>
        <w:t xml:space="preserve"> </w:t>
      </w:r>
      <w:r w:rsidRPr="00324179">
        <w:rPr>
          <w:rFonts w:ascii="Calibri" w:hAnsi="Calibri" w:cs="Calibri"/>
        </w:rPr>
        <w:t>technologiczna</w:t>
      </w:r>
    </w:p>
    <w:p w14:paraId="12AC9058" w14:textId="77777777" w:rsidR="00324179" w:rsidRPr="00324179" w:rsidRDefault="00324179" w:rsidP="00324179">
      <w:pPr>
        <w:pStyle w:val="Tekstpodstawowy"/>
        <w:spacing w:line="240" w:lineRule="auto"/>
        <w:jc w:val="both"/>
        <w:rPr>
          <w:rFonts w:ascii="Calibri" w:hAnsi="Calibri" w:cs="Calibri"/>
          <w:sz w:val="20"/>
          <w:szCs w:val="20"/>
        </w:rPr>
      </w:pPr>
    </w:p>
    <w:p w14:paraId="012A2E6E" w14:textId="77777777" w:rsidR="00324179" w:rsidRPr="00324179" w:rsidRDefault="00324179" w:rsidP="00324179">
      <w:pPr>
        <w:pStyle w:val="Tekstpodstawowy"/>
        <w:spacing w:line="240" w:lineRule="auto"/>
        <w:jc w:val="both"/>
        <w:rPr>
          <w:rFonts w:ascii="Calibri" w:hAnsi="Calibri" w:cs="Calibri"/>
          <w:sz w:val="20"/>
          <w:szCs w:val="20"/>
        </w:rPr>
      </w:pPr>
      <w:r w:rsidRPr="00324179">
        <w:rPr>
          <w:rFonts w:ascii="Calibri" w:hAnsi="Calibri" w:cs="Calibri"/>
          <w:sz w:val="20"/>
          <w:szCs w:val="20"/>
        </w:rPr>
        <w:t>Wykonawca przed przystąpieniem do produkcji MMA na żądanie Inżyniera jest zobowiązany do przeprowadzenia próby technologicznej.</w:t>
      </w:r>
    </w:p>
    <w:p w14:paraId="4A43D6C0" w14:textId="77777777" w:rsidR="00324179" w:rsidRPr="00324179" w:rsidRDefault="00324179" w:rsidP="00324179">
      <w:pPr>
        <w:pStyle w:val="Tekstpodstawowy"/>
        <w:spacing w:line="240" w:lineRule="auto"/>
        <w:jc w:val="both"/>
        <w:rPr>
          <w:rFonts w:ascii="Calibri" w:hAnsi="Calibri" w:cs="Calibri"/>
          <w:sz w:val="20"/>
          <w:szCs w:val="20"/>
        </w:rPr>
      </w:pPr>
      <w:r w:rsidRPr="00324179">
        <w:rPr>
          <w:rFonts w:ascii="Calibri" w:hAnsi="Calibri" w:cs="Calibri"/>
          <w:sz w:val="20"/>
          <w:szCs w:val="20"/>
        </w:rPr>
        <w:t>Nie dopuszcza się oceniania dokładności pracy otaczarki oraz prawidłowości składu mieszanki mineralnej na podstawie tzw. suchego zarobu, z uwagi na segregację kruszywa. Na podstawie uzyskanych wyników Inżynier podejmuje decyzję o wykonaniu odcinka próbnego. Tolerancje zawartości składników MMA względem składu zaprojektowanego powinny być zgodne z wymaganiami podanymi w pkt. 6.2 niniejszej SST.</w:t>
      </w:r>
    </w:p>
    <w:p w14:paraId="31056C19" w14:textId="77777777" w:rsidR="00375F64" w:rsidRDefault="00375F64" w:rsidP="00324179">
      <w:pPr>
        <w:pStyle w:val="Nagwek4"/>
        <w:spacing w:before="0" w:after="0"/>
        <w:rPr>
          <w:rFonts w:ascii="Calibri" w:hAnsi="Calibri" w:cs="Calibri"/>
        </w:rPr>
      </w:pPr>
    </w:p>
    <w:p w14:paraId="279264B6" w14:textId="41DF5D27" w:rsidR="00324179" w:rsidRPr="00324179" w:rsidRDefault="00324179" w:rsidP="00324179">
      <w:pPr>
        <w:pStyle w:val="Nagwek4"/>
        <w:spacing w:before="0" w:after="0"/>
        <w:rPr>
          <w:rFonts w:ascii="Calibri" w:hAnsi="Calibri" w:cs="Calibri"/>
        </w:rPr>
      </w:pPr>
      <w:r w:rsidRPr="00324179">
        <w:rPr>
          <w:rFonts w:ascii="Calibri" w:hAnsi="Calibri" w:cs="Calibri"/>
        </w:rPr>
        <w:t>5.6 Odcinek</w:t>
      </w:r>
      <w:r w:rsidRPr="00324179">
        <w:rPr>
          <w:rFonts w:ascii="Calibri" w:hAnsi="Calibri" w:cs="Calibri"/>
          <w:spacing w:val="-1"/>
        </w:rPr>
        <w:t xml:space="preserve"> </w:t>
      </w:r>
      <w:r w:rsidRPr="00324179">
        <w:rPr>
          <w:rFonts w:ascii="Calibri" w:hAnsi="Calibri" w:cs="Calibri"/>
        </w:rPr>
        <w:t>próbny</w:t>
      </w:r>
    </w:p>
    <w:p w14:paraId="362E5AB5" w14:textId="77777777" w:rsidR="00324179" w:rsidRPr="00324179" w:rsidRDefault="00324179" w:rsidP="00324179">
      <w:pPr>
        <w:pStyle w:val="Tekstpodstawowy"/>
        <w:spacing w:line="240" w:lineRule="auto"/>
        <w:jc w:val="both"/>
        <w:rPr>
          <w:rFonts w:ascii="Calibri" w:hAnsi="Calibri" w:cs="Calibri"/>
          <w:sz w:val="20"/>
          <w:szCs w:val="20"/>
        </w:rPr>
      </w:pPr>
    </w:p>
    <w:p w14:paraId="2B5A9B43" w14:textId="7BBC30F6" w:rsidR="00324179" w:rsidRPr="00324179" w:rsidRDefault="00324179" w:rsidP="00324179">
      <w:pPr>
        <w:pStyle w:val="Tekstpodstawowy"/>
        <w:spacing w:line="240" w:lineRule="auto"/>
        <w:jc w:val="both"/>
        <w:rPr>
          <w:rFonts w:ascii="Calibri" w:hAnsi="Calibri" w:cs="Calibri"/>
          <w:sz w:val="20"/>
          <w:szCs w:val="20"/>
        </w:rPr>
      </w:pPr>
      <w:r w:rsidRPr="00324179">
        <w:rPr>
          <w:rFonts w:ascii="Calibri" w:hAnsi="Calibri" w:cs="Calibri"/>
          <w:sz w:val="20"/>
          <w:szCs w:val="20"/>
        </w:rPr>
        <w:t>Na żądanie Inżyniera, Wykonawca powinien wykonać odcinek próbny o długości przynajmniej 100m na całej szerokości jezdni. Wykonawca powinien wykonać odcinek próbny w celu:</w:t>
      </w:r>
    </w:p>
    <w:p w14:paraId="4E031415" w14:textId="77777777" w:rsidR="00324179" w:rsidRPr="00324179" w:rsidRDefault="00324179" w:rsidP="00262498">
      <w:pPr>
        <w:pStyle w:val="Tekstpodstawowy"/>
        <w:widowControl w:val="0"/>
        <w:numPr>
          <w:ilvl w:val="0"/>
          <w:numId w:val="244"/>
        </w:numPr>
        <w:overflowPunct/>
        <w:adjustRightInd/>
        <w:spacing w:line="240" w:lineRule="auto"/>
        <w:jc w:val="both"/>
        <w:textAlignment w:val="auto"/>
        <w:rPr>
          <w:rFonts w:ascii="Calibri" w:hAnsi="Calibri" w:cs="Calibri"/>
          <w:sz w:val="20"/>
          <w:szCs w:val="20"/>
        </w:rPr>
      </w:pPr>
      <w:r w:rsidRPr="00324179">
        <w:rPr>
          <w:rFonts w:ascii="Calibri" w:hAnsi="Calibri" w:cs="Calibri"/>
          <w:sz w:val="20"/>
          <w:szCs w:val="20"/>
        </w:rPr>
        <w:t>zdefiniowania parametrów produkcyjnych</w:t>
      </w:r>
      <w:r w:rsidRPr="00324179">
        <w:rPr>
          <w:rFonts w:ascii="Calibri" w:hAnsi="Calibri" w:cs="Calibri"/>
          <w:spacing w:val="-3"/>
          <w:sz w:val="20"/>
          <w:szCs w:val="20"/>
        </w:rPr>
        <w:t xml:space="preserve"> </w:t>
      </w:r>
      <w:r w:rsidRPr="00324179">
        <w:rPr>
          <w:rFonts w:ascii="Calibri" w:hAnsi="Calibri" w:cs="Calibri"/>
          <w:sz w:val="20"/>
          <w:szCs w:val="20"/>
        </w:rPr>
        <w:t>MMA</w:t>
      </w:r>
    </w:p>
    <w:p w14:paraId="6726530D" w14:textId="77777777" w:rsidR="00324179" w:rsidRPr="00324179" w:rsidRDefault="00324179" w:rsidP="00262498">
      <w:pPr>
        <w:pStyle w:val="Tekstpodstawowy"/>
        <w:widowControl w:val="0"/>
        <w:numPr>
          <w:ilvl w:val="0"/>
          <w:numId w:val="244"/>
        </w:numPr>
        <w:overflowPunct/>
        <w:adjustRightInd/>
        <w:spacing w:line="240" w:lineRule="auto"/>
        <w:jc w:val="both"/>
        <w:textAlignment w:val="auto"/>
        <w:rPr>
          <w:rFonts w:ascii="Calibri" w:hAnsi="Calibri" w:cs="Calibri"/>
          <w:sz w:val="20"/>
          <w:szCs w:val="20"/>
        </w:rPr>
      </w:pPr>
      <w:r w:rsidRPr="00324179">
        <w:rPr>
          <w:rFonts w:ascii="Calibri" w:hAnsi="Calibri" w:cs="Calibri"/>
          <w:sz w:val="20"/>
          <w:szCs w:val="20"/>
        </w:rPr>
        <w:t>sprawdzenia czy sprzęt użyty do rozkładania i zagęszczania mieszanki jest</w:t>
      </w:r>
      <w:r w:rsidRPr="00324179">
        <w:rPr>
          <w:rFonts w:ascii="Calibri" w:hAnsi="Calibri" w:cs="Calibri"/>
          <w:spacing w:val="-17"/>
          <w:sz w:val="20"/>
          <w:szCs w:val="20"/>
        </w:rPr>
        <w:t xml:space="preserve"> </w:t>
      </w:r>
      <w:r w:rsidRPr="00324179">
        <w:rPr>
          <w:rFonts w:ascii="Calibri" w:hAnsi="Calibri" w:cs="Calibri"/>
          <w:sz w:val="20"/>
          <w:szCs w:val="20"/>
        </w:rPr>
        <w:t>właściwy</w:t>
      </w:r>
    </w:p>
    <w:p w14:paraId="444D095E" w14:textId="77777777" w:rsidR="00324179" w:rsidRPr="00324179" w:rsidRDefault="00324179" w:rsidP="00262498">
      <w:pPr>
        <w:pStyle w:val="Tekstpodstawowy"/>
        <w:widowControl w:val="0"/>
        <w:numPr>
          <w:ilvl w:val="0"/>
          <w:numId w:val="244"/>
        </w:numPr>
        <w:overflowPunct/>
        <w:adjustRightInd/>
        <w:spacing w:line="240" w:lineRule="auto"/>
        <w:jc w:val="both"/>
        <w:textAlignment w:val="auto"/>
        <w:rPr>
          <w:rFonts w:ascii="Calibri" w:hAnsi="Calibri" w:cs="Calibri"/>
          <w:sz w:val="20"/>
          <w:szCs w:val="20"/>
        </w:rPr>
      </w:pPr>
      <w:r w:rsidRPr="00324179">
        <w:rPr>
          <w:rFonts w:ascii="Calibri" w:hAnsi="Calibri" w:cs="Calibri"/>
          <w:sz w:val="20"/>
          <w:szCs w:val="20"/>
        </w:rPr>
        <w:t>określenia grubości warstwy mieszanki mineralno-asfaltowej przed zagęszczeniem, koniecznej do uzyskania wymaganej ostatecznej grubości</w:t>
      </w:r>
      <w:r w:rsidRPr="00324179">
        <w:rPr>
          <w:rFonts w:ascii="Calibri" w:hAnsi="Calibri" w:cs="Calibri"/>
          <w:spacing w:val="2"/>
          <w:sz w:val="20"/>
          <w:szCs w:val="20"/>
        </w:rPr>
        <w:t xml:space="preserve"> </w:t>
      </w:r>
      <w:r w:rsidRPr="00324179">
        <w:rPr>
          <w:rFonts w:ascii="Calibri" w:hAnsi="Calibri" w:cs="Calibri"/>
          <w:sz w:val="20"/>
          <w:szCs w:val="20"/>
        </w:rPr>
        <w:t>warstwyokreślenia potrzebnej liczby przejść walców dla uzyskania prawidłowego zagęszczenia warstwy.</w:t>
      </w:r>
    </w:p>
    <w:p w14:paraId="5A6D2759" w14:textId="77777777" w:rsidR="00324179" w:rsidRPr="00324179" w:rsidRDefault="00324179" w:rsidP="00324179">
      <w:pPr>
        <w:pStyle w:val="Tekstpodstawowy"/>
        <w:spacing w:line="240" w:lineRule="auto"/>
        <w:jc w:val="both"/>
        <w:rPr>
          <w:rFonts w:ascii="Calibri" w:hAnsi="Calibri" w:cs="Calibri"/>
          <w:sz w:val="20"/>
          <w:szCs w:val="20"/>
        </w:rPr>
      </w:pPr>
      <w:r w:rsidRPr="00324179">
        <w:rPr>
          <w:rFonts w:ascii="Calibri" w:hAnsi="Calibri" w:cs="Calibri"/>
          <w:sz w:val="20"/>
          <w:szCs w:val="20"/>
        </w:rPr>
        <w:t>Do wykonania odcinka próbnego, Wykonawca powinien zastosować takie same materiały oraz sprzęt, jakie będą stosowane do wykonania warstwy z MMA podczas robót. Lokalizacja odcinka próbnego zostanie zaakceptowana przez Inżyniera. Wykonawca rozpocznie wykonywanie nawierzchni z MMA dopiero po otrzymaniu akceptacji Inżyniera, wydanej na podstawie testów oraz pomiarów dokonanych na odcinku próbnym. W przypadku nieprawidłowych parametrów warstwy podbudowy i nie zatwierdzeniu przez Inżyniera odcinka próbnego, Wykonawca ma obowiązek usunąć odcinek próbny warstwy podbudowy (jeżeli był wykonywany w obrębie Kontraktu) na własny koszt.</w:t>
      </w:r>
    </w:p>
    <w:p w14:paraId="4A95BC78" w14:textId="77777777" w:rsidR="00375F64" w:rsidRDefault="00375F64" w:rsidP="00324179">
      <w:pPr>
        <w:pStyle w:val="Nagwek4"/>
        <w:spacing w:before="0" w:after="0"/>
        <w:rPr>
          <w:rFonts w:ascii="Calibri" w:hAnsi="Calibri" w:cs="Calibri"/>
        </w:rPr>
      </w:pPr>
    </w:p>
    <w:p w14:paraId="288B771F" w14:textId="7DAF567C" w:rsidR="00324179" w:rsidRPr="00324179" w:rsidRDefault="00324179" w:rsidP="00324179">
      <w:pPr>
        <w:pStyle w:val="Nagwek4"/>
        <w:spacing w:before="0" w:after="0"/>
        <w:rPr>
          <w:rFonts w:ascii="Calibri" w:hAnsi="Calibri" w:cs="Calibri"/>
        </w:rPr>
      </w:pPr>
      <w:r w:rsidRPr="00324179">
        <w:rPr>
          <w:rFonts w:ascii="Calibri" w:hAnsi="Calibri" w:cs="Calibri"/>
        </w:rPr>
        <w:t>5.7 Wbudowywanie mieszanki</w:t>
      </w:r>
      <w:r w:rsidRPr="00324179">
        <w:rPr>
          <w:rFonts w:ascii="Calibri" w:hAnsi="Calibri" w:cs="Calibri"/>
          <w:spacing w:val="-2"/>
        </w:rPr>
        <w:t xml:space="preserve"> </w:t>
      </w:r>
      <w:r w:rsidRPr="00324179">
        <w:rPr>
          <w:rFonts w:ascii="Calibri" w:hAnsi="Calibri" w:cs="Calibri"/>
        </w:rPr>
        <w:t>MMA</w:t>
      </w:r>
    </w:p>
    <w:p w14:paraId="0965A86C" w14:textId="77777777" w:rsidR="00324179" w:rsidRPr="00324179" w:rsidRDefault="00324179" w:rsidP="00324179">
      <w:pPr>
        <w:pStyle w:val="Tekstpodstawowy"/>
        <w:spacing w:line="240" w:lineRule="auto"/>
        <w:jc w:val="both"/>
        <w:rPr>
          <w:rFonts w:ascii="Calibri" w:hAnsi="Calibri" w:cs="Calibri"/>
          <w:sz w:val="20"/>
          <w:szCs w:val="20"/>
        </w:rPr>
      </w:pPr>
    </w:p>
    <w:p w14:paraId="1BFAE7A4" w14:textId="77777777" w:rsidR="00324179" w:rsidRPr="00324179" w:rsidRDefault="00324179" w:rsidP="00324179">
      <w:pPr>
        <w:pStyle w:val="Tekstpodstawowy"/>
        <w:spacing w:line="240" w:lineRule="auto"/>
        <w:jc w:val="both"/>
        <w:rPr>
          <w:rFonts w:ascii="Calibri" w:hAnsi="Calibri" w:cs="Calibri"/>
          <w:sz w:val="20"/>
          <w:szCs w:val="20"/>
        </w:rPr>
      </w:pPr>
      <w:r w:rsidRPr="00324179">
        <w:rPr>
          <w:rFonts w:ascii="Calibri" w:hAnsi="Calibri" w:cs="Calibri"/>
          <w:sz w:val="20"/>
          <w:szCs w:val="20"/>
        </w:rPr>
        <w:t>Transport MMA powinien odbywać się zgodnie z wymaganiami podanymi w pkt. 7.4 WT-2 Nawierzchnie Asfaltowe Na Drogach Krajowych 2016 – część II. Wbudowywanie MMA powinno odbywać się zgodnie z wymaganiami podanymi w pkt. 7.5 WT-2 Nawierzchnie Asfaltowe Na Drogach Krajowych 2016 – część II. Układanie MMA może odbywać się tylko przy użyciu mechanicznej układarki całą szerokością. Dopuszcza się układanie warstwy pasami o mniejszej szerokości niż szerokość jezdni, lecz przy użyciu 2 układarek przy niewielkich odległościach pomiędzy nimi (metoda „gorąco na gorąco”). Układanie mieszanki musi odbywać się w sposób ciągły, bez przestoju, z jednostajną prędkością. Układarka powinna być stale zasilana w mieszankę tak, ażeby w zasobniku zawsze znajdowała się jakaś jej ilość, a kosz, transporter i stół były zawsze gorące i nie stygły. Mieszanka mineralno-asfaltowa powinna być zagęszczana walcami stalowymi gładkimi, ogumionymi lub kombinowanymi.</w:t>
      </w:r>
    </w:p>
    <w:p w14:paraId="6B92CB3B" w14:textId="77777777" w:rsidR="00375F64" w:rsidRDefault="00375F64" w:rsidP="00324179">
      <w:pPr>
        <w:pStyle w:val="Nagwek4"/>
        <w:spacing w:before="0" w:after="0"/>
        <w:rPr>
          <w:rFonts w:ascii="Calibri" w:hAnsi="Calibri" w:cs="Calibri"/>
        </w:rPr>
      </w:pPr>
    </w:p>
    <w:p w14:paraId="03953F18" w14:textId="6D6C374F" w:rsidR="00324179" w:rsidRPr="00324179" w:rsidRDefault="00324179" w:rsidP="00324179">
      <w:pPr>
        <w:pStyle w:val="Nagwek4"/>
        <w:spacing w:before="0" w:after="0"/>
        <w:rPr>
          <w:rFonts w:ascii="Calibri" w:hAnsi="Calibri" w:cs="Calibri"/>
        </w:rPr>
      </w:pPr>
      <w:r w:rsidRPr="00324179">
        <w:rPr>
          <w:rFonts w:ascii="Calibri" w:hAnsi="Calibri" w:cs="Calibri"/>
        </w:rPr>
        <w:t>5.8 Połączenia</w:t>
      </w:r>
      <w:r w:rsidRPr="00324179">
        <w:rPr>
          <w:rFonts w:ascii="Calibri" w:hAnsi="Calibri" w:cs="Calibri"/>
          <w:spacing w:val="-1"/>
        </w:rPr>
        <w:t xml:space="preserve"> </w:t>
      </w:r>
      <w:r w:rsidRPr="00324179">
        <w:rPr>
          <w:rFonts w:ascii="Calibri" w:hAnsi="Calibri" w:cs="Calibri"/>
        </w:rPr>
        <w:t>technologiczne</w:t>
      </w:r>
    </w:p>
    <w:p w14:paraId="0FA23E42" w14:textId="77777777" w:rsidR="00324179" w:rsidRPr="00324179" w:rsidRDefault="00324179" w:rsidP="00324179">
      <w:pPr>
        <w:pStyle w:val="Tekstpodstawowy"/>
        <w:spacing w:line="240" w:lineRule="auto"/>
        <w:jc w:val="both"/>
        <w:rPr>
          <w:rFonts w:ascii="Calibri" w:hAnsi="Calibri" w:cs="Calibri"/>
          <w:sz w:val="20"/>
          <w:szCs w:val="20"/>
        </w:rPr>
      </w:pPr>
    </w:p>
    <w:p w14:paraId="5E3B28D7" w14:textId="77777777" w:rsidR="00324179" w:rsidRDefault="00324179" w:rsidP="00324179">
      <w:pPr>
        <w:pStyle w:val="Tekstpodstawowy"/>
        <w:spacing w:line="240" w:lineRule="auto"/>
        <w:jc w:val="both"/>
        <w:rPr>
          <w:rFonts w:ascii="Calibri" w:hAnsi="Calibri" w:cs="Calibri"/>
          <w:sz w:val="20"/>
          <w:szCs w:val="20"/>
        </w:rPr>
      </w:pPr>
      <w:r w:rsidRPr="00324179">
        <w:rPr>
          <w:rFonts w:ascii="Calibri" w:hAnsi="Calibri" w:cs="Calibri"/>
          <w:sz w:val="20"/>
          <w:szCs w:val="20"/>
        </w:rPr>
        <w:t>Połączenia technologiczne powinny być wykonane zgodnie z pkt. 7.6 WT-2 Nawierzchnie Asfaltowe Na Drogach Krajowych 2016 – część II. Odcinanie krawędzi dziennych działek roboczych powinno odbywać się na gorąco, długość odciętego końcowego powinna wynosić do 3m. W przypadku gdy z przyczyn technologicznych nie jest możliwe wykonanie odcięcia „na ciepło” dopuszcza się</w:t>
      </w:r>
      <w:r w:rsidRPr="00324179">
        <w:rPr>
          <w:rFonts w:ascii="Calibri" w:hAnsi="Calibri" w:cs="Calibri"/>
          <w:color w:val="FF0000"/>
          <w:sz w:val="20"/>
          <w:szCs w:val="20"/>
        </w:rPr>
        <w:t xml:space="preserve"> </w:t>
      </w:r>
      <w:r w:rsidRPr="00324179">
        <w:rPr>
          <w:rFonts w:ascii="Calibri" w:hAnsi="Calibri" w:cs="Calibri"/>
          <w:sz w:val="20"/>
          <w:szCs w:val="20"/>
        </w:rPr>
        <w:t>odcięcie na zimno końcowego odcinka wykonanej warstwy z mieszanki mineralno-asfaltowej.</w:t>
      </w:r>
    </w:p>
    <w:p w14:paraId="654C219F" w14:textId="77777777" w:rsidR="00375F64" w:rsidRPr="00324179" w:rsidRDefault="00375F64" w:rsidP="00324179">
      <w:pPr>
        <w:pStyle w:val="Tekstpodstawowy"/>
        <w:spacing w:line="240" w:lineRule="auto"/>
        <w:jc w:val="both"/>
        <w:rPr>
          <w:rFonts w:ascii="Calibri" w:hAnsi="Calibri" w:cs="Calibri"/>
          <w:sz w:val="20"/>
          <w:szCs w:val="20"/>
        </w:rPr>
      </w:pPr>
    </w:p>
    <w:p w14:paraId="1E9AA928" w14:textId="582E9F71" w:rsidR="00324179" w:rsidRPr="00324179" w:rsidRDefault="00324179" w:rsidP="00262498">
      <w:pPr>
        <w:pStyle w:val="Nagwek3"/>
        <w:numPr>
          <w:ilvl w:val="0"/>
          <w:numId w:val="69"/>
        </w:numPr>
        <w:spacing w:before="0" w:after="0"/>
        <w:rPr>
          <w:rFonts w:ascii="Calibri" w:hAnsi="Calibri" w:cs="Calibri"/>
        </w:rPr>
      </w:pPr>
      <w:r w:rsidRPr="00324179">
        <w:rPr>
          <w:rFonts w:ascii="Calibri" w:hAnsi="Calibri" w:cs="Calibri"/>
        </w:rPr>
        <w:t>KONTROLA JAKOŚCI</w:t>
      </w:r>
      <w:r w:rsidRPr="00324179">
        <w:rPr>
          <w:rFonts w:ascii="Calibri" w:hAnsi="Calibri" w:cs="Calibri"/>
          <w:spacing w:val="-3"/>
        </w:rPr>
        <w:t xml:space="preserve"> </w:t>
      </w:r>
      <w:r w:rsidRPr="00324179">
        <w:rPr>
          <w:rFonts w:ascii="Calibri" w:hAnsi="Calibri" w:cs="Calibri"/>
        </w:rPr>
        <w:t>ROBÓT</w:t>
      </w:r>
    </w:p>
    <w:p w14:paraId="499D35B2" w14:textId="77777777" w:rsidR="00375F64" w:rsidRDefault="00375F64" w:rsidP="00324179">
      <w:pPr>
        <w:pStyle w:val="Nagwek4"/>
        <w:spacing w:before="0" w:after="0"/>
        <w:rPr>
          <w:rFonts w:ascii="Calibri" w:hAnsi="Calibri" w:cs="Calibri"/>
        </w:rPr>
      </w:pPr>
    </w:p>
    <w:p w14:paraId="2E583056" w14:textId="34B2C786" w:rsidR="00324179" w:rsidRPr="00324179" w:rsidRDefault="00324179" w:rsidP="00324179">
      <w:pPr>
        <w:pStyle w:val="Nagwek4"/>
        <w:spacing w:before="0" w:after="0"/>
        <w:rPr>
          <w:rFonts w:ascii="Calibri" w:hAnsi="Calibri" w:cs="Calibri"/>
        </w:rPr>
      </w:pPr>
      <w:r w:rsidRPr="00324179">
        <w:rPr>
          <w:rFonts w:ascii="Calibri" w:hAnsi="Calibri" w:cs="Calibri"/>
        </w:rPr>
        <w:t>6.1. Ogólne zasady kontroli jakości robót</w:t>
      </w:r>
    </w:p>
    <w:p w14:paraId="08430DB1" w14:textId="77777777" w:rsidR="00324179" w:rsidRPr="00324179" w:rsidRDefault="00324179" w:rsidP="00324179">
      <w:pPr>
        <w:pStyle w:val="Tekstpodstawowy"/>
        <w:spacing w:line="240" w:lineRule="auto"/>
        <w:jc w:val="both"/>
        <w:rPr>
          <w:rFonts w:ascii="Calibri" w:hAnsi="Calibri" w:cs="Calibri"/>
          <w:sz w:val="20"/>
          <w:szCs w:val="20"/>
        </w:rPr>
      </w:pPr>
    </w:p>
    <w:p w14:paraId="0F70E67E" w14:textId="77777777" w:rsidR="00324179" w:rsidRPr="00324179" w:rsidRDefault="00324179" w:rsidP="00324179">
      <w:pPr>
        <w:pStyle w:val="Tekstpodstawowy"/>
        <w:spacing w:line="240" w:lineRule="auto"/>
        <w:jc w:val="both"/>
        <w:rPr>
          <w:rFonts w:ascii="Calibri" w:hAnsi="Calibri" w:cs="Calibri"/>
          <w:sz w:val="20"/>
          <w:szCs w:val="20"/>
        </w:rPr>
      </w:pPr>
      <w:r w:rsidRPr="00324179">
        <w:rPr>
          <w:rFonts w:ascii="Calibri" w:hAnsi="Calibri" w:cs="Calibri"/>
          <w:sz w:val="20"/>
          <w:szCs w:val="20"/>
        </w:rPr>
        <w:t>Ogólne zasady kontroli jakości robót podano w STWiORB   D-M-00.00.00 „Wymagania ogólne” pkt 6</w:t>
      </w:r>
    </w:p>
    <w:p w14:paraId="7947232C" w14:textId="77777777" w:rsidR="00324179" w:rsidRPr="00324179" w:rsidRDefault="00324179" w:rsidP="00324179">
      <w:pPr>
        <w:pStyle w:val="Tekstpodstawowy"/>
        <w:spacing w:line="240" w:lineRule="auto"/>
        <w:jc w:val="both"/>
        <w:rPr>
          <w:rFonts w:ascii="Calibri" w:hAnsi="Calibri" w:cs="Calibri"/>
          <w:sz w:val="20"/>
          <w:szCs w:val="20"/>
        </w:rPr>
      </w:pPr>
      <w:r w:rsidRPr="00324179">
        <w:rPr>
          <w:rFonts w:ascii="Calibri" w:hAnsi="Calibri" w:cs="Calibri"/>
          <w:sz w:val="20"/>
          <w:szCs w:val="20"/>
        </w:rPr>
        <w:t>Badania mieszanki mineralno-asfaltowej należy wykonywać zgodnie z normami podanymi w pkt. 8.2.1 WT-2 2014 Nawierzchnie Asfaltowe (Tablica 7,8,9 w zależności od kategorii ruchu).</w:t>
      </w:r>
    </w:p>
    <w:p w14:paraId="22352133" w14:textId="77777777" w:rsidR="00375F64" w:rsidRDefault="00375F64" w:rsidP="00324179">
      <w:pPr>
        <w:pStyle w:val="Nagwek4"/>
        <w:spacing w:before="0" w:after="0"/>
        <w:rPr>
          <w:rFonts w:ascii="Calibri" w:hAnsi="Calibri" w:cs="Calibri"/>
        </w:rPr>
      </w:pPr>
    </w:p>
    <w:p w14:paraId="391D400D" w14:textId="03F67D64" w:rsidR="00324179" w:rsidRPr="00324179" w:rsidRDefault="00324179" w:rsidP="00324179">
      <w:pPr>
        <w:pStyle w:val="Nagwek4"/>
        <w:spacing w:before="0" w:after="0"/>
        <w:rPr>
          <w:rFonts w:ascii="Calibri" w:hAnsi="Calibri" w:cs="Calibri"/>
        </w:rPr>
      </w:pPr>
      <w:r w:rsidRPr="00324179">
        <w:rPr>
          <w:rFonts w:ascii="Calibri" w:hAnsi="Calibri" w:cs="Calibri"/>
        </w:rPr>
        <w:t>6.2 Badania i pomiary przed przystąpieniem do</w:t>
      </w:r>
      <w:r w:rsidRPr="00324179">
        <w:rPr>
          <w:rFonts w:ascii="Calibri" w:hAnsi="Calibri" w:cs="Calibri"/>
          <w:spacing w:val="-4"/>
        </w:rPr>
        <w:t xml:space="preserve"> </w:t>
      </w:r>
      <w:r w:rsidRPr="00324179">
        <w:rPr>
          <w:rFonts w:ascii="Calibri" w:hAnsi="Calibri" w:cs="Calibri"/>
        </w:rPr>
        <w:t>robót</w:t>
      </w:r>
    </w:p>
    <w:p w14:paraId="322F104F" w14:textId="77777777" w:rsidR="00324179" w:rsidRPr="00324179" w:rsidRDefault="00324179" w:rsidP="00324179">
      <w:pPr>
        <w:pStyle w:val="Tekstpodstawowy"/>
        <w:spacing w:line="240" w:lineRule="auto"/>
        <w:jc w:val="both"/>
        <w:rPr>
          <w:rFonts w:ascii="Calibri" w:hAnsi="Calibri" w:cs="Calibri"/>
          <w:sz w:val="20"/>
          <w:szCs w:val="20"/>
        </w:rPr>
      </w:pPr>
      <w:r w:rsidRPr="00324179">
        <w:rPr>
          <w:rFonts w:ascii="Calibri" w:hAnsi="Calibri" w:cs="Calibri"/>
          <w:sz w:val="20"/>
          <w:szCs w:val="20"/>
        </w:rPr>
        <w:t>Przed przystąpieniem do robót Wykonawca powinien przedstawić Inżynierowi do akceptacji źródła poboru kruszyw oraz wszystkich dodatkowych materiałów, dołączając wszystkie dokumenty potwierdzające jakość materiałów składowych.</w:t>
      </w:r>
    </w:p>
    <w:p w14:paraId="52917B84" w14:textId="77777777" w:rsidR="00324179" w:rsidRPr="00324179" w:rsidRDefault="00324179" w:rsidP="00324179">
      <w:pPr>
        <w:pStyle w:val="Tekstpodstawowy"/>
        <w:spacing w:line="240" w:lineRule="auto"/>
        <w:jc w:val="both"/>
        <w:rPr>
          <w:rFonts w:ascii="Calibri" w:hAnsi="Calibri" w:cs="Calibri"/>
          <w:sz w:val="20"/>
          <w:szCs w:val="20"/>
        </w:rPr>
      </w:pPr>
      <w:r w:rsidRPr="00324179">
        <w:rPr>
          <w:rFonts w:ascii="Calibri" w:hAnsi="Calibri" w:cs="Calibri"/>
          <w:sz w:val="20"/>
          <w:szCs w:val="20"/>
        </w:rPr>
        <w:t>Wykonawca przedstawi do akceptacji, na co najmniej 2 tygodnie przed planowanym terminem realizacji do laboratorium Zamawiającego recepty, Deklaracje Właściwości Użytkowych (włącznie z własnymi badaniami) i</w:t>
      </w:r>
      <w:r w:rsidRPr="00324179">
        <w:rPr>
          <w:rFonts w:ascii="Calibri" w:hAnsi="Calibri" w:cs="Calibri"/>
          <w:spacing w:val="-1"/>
          <w:sz w:val="20"/>
          <w:szCs w:val="20"/>
        </w:rPr>
        <w:t xml:space="preserve"> </w:t>
      </w:r>
      <w:r w:rsidRPr="00324179">
        <w:rPr>
          <w:rFonts w:ascii="Calibri" w:hAnsi="Calibri" w:cs="Calibri"/>
          <w:sz w:val="20"/>
          <w:szCs w:val="20"/>
        </w:rPr>
        <w:t>materiały.</w:t>
      </w:r>
    </w:p>
    <w:p w14:paraId="2B55705F" w14:textId="77777777" w:rsidR="00375F64" w:rsidRDefault="00375F64" w:rsidP="00324179">
      <w:pPr>
        <w:pStyle w:val="Nagwek4"/>
        <w:spacing w:before="0" w:after="0"/>
        <w:rPr>
          <w:rFonts w:ascii="Calibri" w:hAnsi="Calibri" w:cs="Calibri"/>
        </w:rPr>
      </w:pPr>
    </w:p>
    <w:p w14:paraId="323C6878" w14:textId="6B475A05" w:rsidR="00324179" w:rsidRPr="00324179" w:rsidRDefault="00324179" w:rsidP="00324179">
      <w:pPr>
        <w:pStyle w:val="Nagwek4"/>
        <w:spacing w:before="0" w:after="0"/>
        <w:rPr>
          <w:rFonts w:ascii="Calibri" w:hAnsi="Calibri" w:cs="Calibri"/>
        </w:rPr>
      </w:pPr>
      <w:r w:rsidRPr="00324179">
        <w:rPr>
          <w:rFonts w:ascii="Calibri" w:hAnsi="Calibri" w:cs="Calibri"/>
        </w:rPr>
        <w:t>6.3 Badania w czasie</w:t>
      </w:r>
      <w:r w:rsidRPr="00324179">
        <w:rPr>
          <w:rFonts w:ascii="Calibri" w:hAnsi="Calibri" w:cs="Calibri"/>
          <w:spacing w:val="-3"/>
        </w:rPr>
        <w:t xml:space="preserve"> </w:t>
      </w:r>
      <w:r w:rsidRPr="00324179">
        <w:rPr>
          <w:rFonts w:ascii="Calibri" w:hAnsi="Calibri" w:cs="Calibri"/>
        </w:rPr>
        <w:t>robót</w:t>
      </w:r>
    </w:p>
    <w:p w14:paraId="5280A48D" w14:textId="583F7A67" w:rsidR="00324179" w:rsidRPr="00324179" w:rsidRDefault="00324179" w:rsidP="00324179">
      <w:pPr>
        <w:pStyle w:val="Tekstpodstawowy"/>
        <w:spacing w:line="240" w:lineRule="auto"/>
        <w:jc w:val="both"/>
        <w:rPr>
          <w:rFonts w:ascii="Calibri" w:hAnsi="Calibri" w:cs="Calibri"/>
          <w:sz w:val="20"/>
          <w:szCs w:val="20"/>
        </w:rPr>
      </w:pPr>
      <w:r w:rsidRPr="00324179">
        <w:rPr>
          <w:rFonts w:ascii="Calibri" w:hAnsi="Calibri" w:cs="Calibri"/>
          <w:sz w:val="20"/>
          <w:szCs w:val="20"/>
        </w:rPr>
        <w:t xml:space="preserve">Tablica </w:t>
      </w:r>
      <w:r w:rsidR="00BA767E">
        <w:rPr>
          <w:rFonts w:ascii="Calibri" w:hAnsi="Calibri" w:cs="Calibri"/>
          <w:sz w:val="20"/>
          <w:szCs w:val="20"/>
        </w:rPr>
        <w:t>4</w:t>
      </w:r>
      <w:r w:rsidRPr="00324179">
        <w:rPr>
          <w:rFonts w:ascii="Calibri" w:hAnsi="Calibri" w:cs="Calibri"/>
          <w:sz w:val="20"/>
          <w:szCs w:val="20"/>
        </w:rPr>
        <w:t xml:space="preserve"> Zakres oraz częstość badań i pomiarów w czasie wytwarzania i wbudowywania mieszanki</w:t>
      </w:r>
    </w:p>
    <w:p w14:paraId="2C3590B6" w14:textId="77777777" w:rsidR="00324179" w:rsidRPr="00324179" w:rsidRDefault="00324179" w:rsidP="00324179">
      <w:pPr>
        <w:pStyle w:val="Tekstpodstawowy"/>
        <w:spacing w:line="240" w:lineRule="auto"/>
        <w:jc w:val="both"/>
        <w:rPr>
          <w:rFonts w:ascii="Calibri" w:hAnsi="Calibri" w:cs="Calibri"/>
          <w:sz w:val="20"/>
          <w:szCs w:val="20"/>
        </w:rPr>
      </w:pPr>
    </w:p>
    <w:tbl>
      <w:tblPr>
        <w:tblStyle w:val="TableNormal"/>
        <w:tblW w:w="0" w:type="auto"/>
        <w:tblInd w:w="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23"/>
        <w:gridCol w:w="4262"/>
        <w:gridCol w:w="4502"/>
      </w:tblGrid>
      <w:tr w:rsidR="00324179" w:rsidRPr="00324179" w14:paraId="40700CE1" w14:textId="77777777" w:rsidTr="00EA573C">
        <w:trPr>
          <w:trHeight w:val="290"/>
        </w:trPr>
        <w:tc>
          <w:tcPr>
            <w:tcW w:w="523" w:type="dxa"/>
            <w:tcBorders>
              <w:top w:val="single" w:sz="4" w:space="0" w:color="000000"/>
              <w:left w:val="single" w:sz="4" w:space="0" w:color="000000"/>
              <w:bottom w:val="single" w:sz="4" w:space="0" w:color="000000"/>
              <w:right w:val="single" w:sz="4" w:space="0" w:color="000000"/>
            </w:tcBorders>
            <w:hideMark/>
          </w:tcPr>
          <w:p w14:paraId="1DFD67A4" w14:textId="77777777" w:rsidR="00324179" w:rsidRPr="00324179" w:rsidRDefault="00324179" w:rsidP="00324179">
            <w:pPr>
              <w:pStyle w:val="Tekstpodstawowy"/>
              <w:spacing w:line="240" w:lineRule="auto"/>
              <w:jc w:val="both"/>
              <w:rPr>
                <w:rFonts w:ascii="Calibri" w:hAnsi="Calibri" w:cs="Calibri"/>
                <w:sz w:val="20"/>
                <w:szCs w:val="20"/>
              </w:rPr>
            </w:pPr>
            <w:r w:rsidRPr="00324179">
              <w:rPr>
                <w:rFonts w:ascii="Calibri" w:hAnsi="Calibri" w:cs="Calibri"/>
                <w:sz w:val="20"/>
                <w:szCs w:val="20"/>
              </w:rPr>
              <w:t>Lp.</w:t>
            </w:r>
          </w:p>
        </w:tc>
        <w:tc>
          <w:tcPr>
            <w:tcW w:w="4262" w:type="dxa"/>
            <w:tcBorders>
              <w:top w:val="single" w:sz="4" w:space="0" w:color="000000"/>
              <w:left w:val="single" w:sz="4" w:space="0" w:color="000000"/>
              <w:bottom w:val="single" w:sz="4" w:space="0" w:color="000000"/>
              <w:right w:val="single" w:sz="4" w:space="0" w:color="000000"/>
            </w:tcBorders>
            <w:hideMark/>
          </w:tcPr>
          <w:p w14:paraId="1D7DCA09" w14:textId="77777777" w:rsidR="00324179" w:rsidRPr="00324179" w:rsidRDefault="00324179" w:rsidP="00324179">
            <w:pPr>
              <w:pStyle w:val="Tekstpodstawowy"/>
              <w:spacing w:line="240" w:lineRule="auto"/>
              <w:jc w:val="both"/>
              <w:rPr>
                <w:rFonts w:ascii="Calibri" w:hAnsi="Calibri" w:cs="Calibri"/>
                <w:sz w:val="20"/>
                <w:szCs w:val="20"/>
              </w:rPr>
            </w:pPr>
            <w:r w:rsidRPr="00324179">
              <w:rPr>
                <w:rFonts w:ascii="Calibri" w:hAnsi="Calibri" w:cs="Calibri"/>
                <w:sz w:val="20"/>
                <w:szCs w:val="20"/>
              </w:rPr>
              <w:t>Właściwość</w:t>
            </w:r>
          </w:p>
        </w:tc>
        <w:tc>
          <w:tcPr>
            <w:tcW w:w="4502" w:type="dxa"/>
            <w:tcBorders>
              <w:top w:val="single" w:sz="4" w:space="0" w:color="000000"/>
              <w:left w:val="single" w:sz="4" w:space="0" w:color="000000"/>
              <w:bottom w:val="single" w:sz="4" w:space="0" w:color="000000"/>
              <w:right w:val="single" w:sz="4" w:space="0" w:color="000000"/>
            </w:tcBorders>
            <w:hideMark/>
          </w:tcPr>
          <w:p w14:paraId="7DBC6B5F" w14:textId="77777777" w:rsidR="00324179" w:rsidRPr="00324179" w:rsidRDefault="00324179" w:rsidP="00324179">
            <w:pPr>
              <w:pStyle w:val="Tekstpodstawowy"/>
              <w:spacing w:line="240" w:lineRule="auto"/>
              <w:jc w:val="both"/>
              <w:rPr>
                <w:rFonts w:ascii="Calibri" w:hAnsi="Calibri" w:cs="Calibri"/>
                <w:sz w:val="20"/>
                <w:szCs w:val="20"/>
              </w:rPr>
            </w:pPr>
            <w:r w:rsidRPr="00324179">
              <w:rPr>
                <w:rFonts w:ascii="Calibri" w:hAnsi="Calibri" w:cs="Calibri"/>
                <w:sz w:val="20"/>
                <w:szCs w:val="20"/>
              </w:rPr>
              <w:t>Częstość badań</w:t>
            </w:r>
          </w:p>
        </w:tc>
      </w:tr>
      <w:tr w:rsidR="00324179" w:rsidRPr="00324179" w14:paraId="28666414" w14:textId="77777777" w:rsidTr="00EA573C">
        <w:trPr>
          <w:trHeight w:val="290"/>
        </w:trPr>
        <w:tc>
          <w:tcPr>
            <w:tcW w:w="9287" w:type="dxa"/>
            <w:gridSpan w:val="3"/>
            <w:tcBorders>
              <w:top w:val="single" w:sz="4" w:space="0" w:color="000000"/>
              <w:left w:val="single" w:sz="4" w:space="0" w:color="000000"/>
              <w:bottom w:val="single" w:sz="4" w:space="0" w:color="000000"/>
              <w:right w:val="single" w:sz="4" w:space="0" w:color="000000"/>
            </w:tcBorders>
            <w:hideMark/>
          </w:tcPr>
          <w:p w14:paraId="25AAE6D6" w14:textId="77777777" w:rsidR="00324179" w:rsidRPr="00324179" w:rsidRDefault="00324179" w:rsidP="00324179">
            <w:pPr>
              <w:pStyle w:val="Tekstpodstawowy"/>
              <w:spacing w:line="240" w:lineRule="auto"/>
              <w:jc w:val="both"/>
              <w:rPr>
                <w:rFonts w:ascii="Calibri" w:hAnsi="Calibri" w:cs="Calibri"/>
                <w:sz w:val="20"/>
                <w:szCs w:val="20"/>
              </w:rPr>
            </w:pPr>
            <w:r w:rsidRPr="00324179">
              <w:rPr>
                <w:rFonts w:ascii="Calibri" w:hAnsi="Calibri" w:cs="Calibri"/>
                <w:sz w:val="20"/>
                <w:szCs w:val="20"/>
              </w:rPr>
              <w:t>Badania materiałów</w:t>
            </w:r>
          </w:p>
        </w:tc>
      </w:tr>
      <w:tr w:rsidR="00324179" w:rsidRPr="00324179" w14:paraId="5DBCD12E" w14:textId="77777777" w:rsidTr="00EA573C">
        <w:trPr>
          <w:trHeight w:val="290"/>
        </w:trPr>
        <w:tc>
          <w:tcPr>
            <w:tcW w:w="523" w:type="dxa"/>
            <w:tcBorders>
              <w:top w:val="single" w:sz="4" w:space="0" w:color="000000"/>
              <w:left w:val="single" w:sz="4" w:space="0" w:color="000000"/>
              <w:bottom w:val="single" w:sz="4" w:space="0" w:color="000000"/>
              <w:right w:val="single" w:sz="4" w:space="0" w:color="000000"/>
            </w:tcBorders>
            <w:hideMark/>
          </w:tcPr>
          <w:p w14:paraId="7B1A1FEA" w14:textId="77777777" w:rsidR="00324179" w:rsidRPr="00324179" w:rsidRDefault="00324179" w:rsidP="00324179">
            <w:pPr>
              <w:pStyle w:val="Tekstpodstawowy"/>
              <w:spacing w:line="240" w:lineRule="auto"/>
              <w:jc w:val="both"/>
              <w:rPr>
                <w:rFonts w:ascii="Calibri" w:hAnsi="Calibri" w:cs="Calibri"/>
                <w:sz w:val="20"/>
                <w:szCs w:val="20"/>
              </w:rPr>
            </w:pPr>
            <w:r w:rsidRPr="00324179">
              <w:rPr>
                <w:rFonts w:ascii="Calibri" w:hAnsi="Calibri" w:cs="Calibri"/>
                <w:sz w:val="20"/>
                <w:szCs w:val="20"/>
              </w:rPr>
              <w:t>1.</w:t>
            </w:r>
          </w:p>
        </w:tc>
        <w:tc>
          <w:tcPr>
            <w:tcW w:w="4262" w:type="dxa"/>
            <w:tcBorders>
              <w:top w:val="single" w:sz="4" w:space="0" w:color="000000"/>
              <w:left w:val="single" w:sz="4" w:space="0" w:color="000000"/>
              <w:bottom w:val="single" w:sz="4" w:space="0" w:color="000000"/>
              <w:right w:val="single" w:sz="4" w:space="0" w:color="000000"/>
            </w:tcBorders>
            <w:hideMark/>
          </w:tcPr>
          <w:p w14:paraId="34474D3E" w14:textId="77777777" w:rsidR="00324179" w:rsidRPr="00324179" w:rsidRDefault="00324179" w:rsidP="00324179">
            <w:pPr>
              <w:pStyle w:val="Tekstpodstawowy"/>
              <w:spacing w:line="240" w:lineRule="auto"/>
              <w:jc w:val="both"/>
              <w:rPr>
                <w:rFonts w:ascii="Calibri" w:hAnsi="Calibri" w:cs="Calibri"/>
                <w:sz w:val="20"/>
                <w:szCs w:val="20"/>
              </w:rPr>
            </w:pPr>
            <w:r w:rsidRPr="00324179">
              <w:rPr>
                <w:rFonts w:ascii="Calibri" w:hAnsi="Calibri" w:cs="Calibri"/>
                <w:sz w:val="20"/>
                <w:szCs w:val="20"/>
              </w:rPr>
              <w:t>Uziarnienie kruszywa</w:t>
            </w:r>
          </w:p>
        </w:tc>
        <w:tc>
          <w:tcPr>
            <w:tcW w:w="4502" w:type="dxa"/>
            <w:tcBorders>
              <w:top w:val="single" w:sz="4" w:space="0" w:color="000000"/>
              <w:left w:val="single" w:sz="4" w:space="0" w:color="000000"/>
              <w:bottom w:val="single" w:sz="4" w:space="0" w:color="000000"/>
              <w:right w:val="single" w:sz="4" w:space="0" w:color="000000"/>
            </w:tcBorders>
            <w:hideMark/>
          </w:tcPr>
          <w:p w14:paraId="2E6B1978" w14:textId="77777777" w:rsidR="00324179" w:rsidRPr="00324179" w:rsidRDefault="00324179" w:rsidP="00324179">
            <w:pPr>
              <w:pStyle w:val="Tekstpodstawowy"/>
              <w:spacing w:line="240" w:lineRule="auto"/>
              <w:jc w:val="center"/>
              <w:rPr>
                <w:rFonts w:ascii="Calibri" w:hAnsi="Calibri" w:cs="Calibri"/>
                <w:sz w:val="20"/>
                <w:szCs w:val="20"/>
                <w:lang w:val="pl-PL"/>
              </w:rPr>
            </w:pPr>
            <w:r w:rsidRPr="00324179">
              <w:rPr>
                <w:rFonts w:ascii="Calibri" w:hAnsi="Calibri" w:cs="Calibri"/>
                <w:sz w:val="20"/>
                <w:szCs w:val="20"/>
                <w:lang w:val="pl-PL"/>
              </w:rPr>
              <w:t>1 raz na 2000 ton dla każdej frakcji</w:t>
            </w:r>
          </w:p>
        </w:tc>
      </w:tr>
      <w:tr w:rsidR="00324179" w:rsidRPr="00324179" w14:paraId="5D86D8F7" w14:textId="77777777" w:rsidTr="00EA573C">
        <w:trPr>
          <w:trHeight w:val="290"/>
        </w:trPr>
        <w:tc>
          <w:tcPr>
            <w:tcW w:w="523" w:type="dxa"/>
            <w:tcBorders>
              <w:top w:val="single" w:sz="4" w:space="0" w:color="000000"/>
              <w:left w:val="single" w:sz="4" w:space="0" w:color="000000"/>
              <w:bottom w:val="single" w:sz="4" w:space="0" w:color="000000"/>
              <w:right w:val="single" w:sz="4" w:space="0" w:color="000000"/>
            </w:tcBorders>
            <w:hideMark/>
          </w:tcPr>
          <w:p w14:paraId="2FB1C195" w14:textId="77777777" w:rsidR="00324179" w:rsidRPr="00324179" w:rsidRDefault="00324179" w:rsidP="00324179">
            <w:pPr>
              <w:pStyle w:val="Tekstpodstawowy"/>
              <w:spacing w:line="240" w:lineRule="auto"/>
              <w:jc w:val="both"/>
              <w:rPr>
                <w:rFonts w:ascii="Calibri" w:hAnsi="Calibri" w:cs="Calibri"/>
                <w:sz w:val="20"/>
                <w:szCs w:val="20"/>
              </w:rPr>
            </w:pPr>
            <w:r w:rsidRPr="00324179">
              <w:rPr>
                <w:rFonts w:ascii="Calibri" w:hAnsi="Calibri" w:cs="Calibri"/>
                <w:sz w:val="20"/>
                <w:szCs w:val="20"/>
              </w:rPr>
              <w:t>2.</w:t>
            </w:r>
          </w:p>
        </w:tc>
        <w:tc>
          <w:tcPr>
            <w:tcW w:w="4262" w:type="dxa"/>
            <w:tcBorders>
              <w:top w:val="single" w:sz="4" w:space="0" w:color="000000"/>
              <w:left w:val="single" w:sz="4" w:space="0" w:color="000000"/>
              <w:bottom w:val="single" w:sz="4" w:space="0" w:color="000000"/>
              <w:right w:val="single" w:sz="4" w:space="0" w:color="000000"/>
            </w:tcBorders>
            <w:hideMark/>
          </w:tcPr>
          <w:p w14:paraId="515C2BDF" w14:textId="77777777" w:rsidR="00324179" w:rsidRPr="00324179" w:rsidRDefault="00324179" w:rsidP="00324179">
            <w:pPr>
              <w:pStyle w:val="Tekstpodstawowy"/>
              <w:spacing w:line="240" w:lineRule="auto"/>
              <w:jc w:val="both"/>
              <w:rPr>
                <w:rFonts w:ascii="Calibri" w:hAnsi="Calibri" w:cs="Calibri"/>
                <w:sz w:val="20"/>
                <w:szCs w:val="20"/>
              </w:rPr>
            </w:pPr>
            <w:r w:rsidRPr="00324179">
              <w:rPr>
                <w:rFonts w:ascii="Calibri" w:hAnsi="Calibri" w:cs="Calibri"/>
                <w:sz w:val="20"/>
                <w:szCs w:val="20"/>
              </w:rPr>
              <w:t>Uziarnienie wypełniacza</w:t>
            </w:r>
          </w:p>
        </w:tc>
        <w:tc>
          <w:tcPr>
            <w:tcW w:w="4502" w:type="dxa"/>
            <w:tcBorders>
              <w:top w:val="single" w:sz="4" w:space="0" w:color="000000"/>
              <w:left w:val="single" w:sz="4" w:space="0" w:color="000000"/>
              <w:bottom w:val="single" w:sz="4" w:space="0" w:color="000000"/>
              <w:right w:val="single" w:sz="4" w:space="0" w:color="000000"/>
            </w:tcBorders>
            <w:hideMark/>
          </w:tcPr>
          <w:p w14:paraId="580BF36F" w14:textId="77777777" w:rsidR="00324179" w:rsidRPr="00324179" w:rsidRDefault="00324179" w:rsidP="00324179">
            <w:pPr>
              <w:pStyle w:val="Tekstpodstawowy"/>
              <w:spacing w:line="240" w:lineRule="auto"/>
              <w:jc w:val="center"/>
              <w:rPr>
                <w:rFonts w:ascii="Calibri" w:hAnsi="Calibri" w:cs="Calibri"/>
                <w:sz w:val="20"/>
                <w:szCs w:val="20"/>
              </w:rPr>
            </w:pPr>
            <w:r w:rsidRPr="00324179">
              <w:rPr>
                <w:rFonts w:ascii="Calibri" w:hAnsi="Calibri" w:cs="Calibri"/>
                <w:sz w:val="20"/>
                <w:szCs w:val="20"/>
              </w:rPr>
              <w:t>1 raz na 200 ton</w:t>
            </w:r>
          </w:p>
        </w:tc>
      </w:tr>
      <w:tr w:rsidR="00324179" w:rsidRPr="00324179" w14:paraId="11F6A44C" w14:textId="77777777" w:rsidTr="00EA573C">
        <w:trPr>
          <w:trHeight w:val="808"/>
        </w:trPr>
        <w:tc>
          <w:tcPr>
            <w:tcW w:w="523" w:type="dxa"/>
            <w:tcBorders>
              <w:top w:val="single" w:sz="4" w:space="0" w:color="000000"/>
              <w:left w:val="single" w:sz="4" w:space="0" w:color="000000"/>
              <w:bottom w:val="single" w:sz="4" w:space="0" w:color="000000"/>
              <w:right w:val="single" w:sz="4" w:space="0" w:color="000000"/>
            </w:tcBorders>
            <w:hideMark/>
          </w:tcPr>
          <w:p w14:paraId="193E6E4C" w14:textId="77777777" w:rsidR="00324179" w:rsidRPr="00324179" w:rsidRDefault="00324179" w:rsidP="00324179">
            <w:pPr>
              <w:pStyle w:val="Tekstpodstawowy"/>
              <w:spacing w:line="240" w:lineRule="auto"/>
              <w:jc w:val="both"/>
              <w:rPr>
                <w:rFonts w:ascii="Calibri" w:hAnsi="Calibri" w:cs="Calibri"/>
                <w:sz w:val="20"/>
                <w:szCs w:val="20"/>
              </w:rPr>
            </w:pPr>
            <w:r w:rsidRPr="00324179">
              <w:rPr>
                <w:rFonts w:ascii="Calibri" w:hAnsi="Calibri" w:cs="Calibri"/>
                <w:sz w:val="20"/>
                <w:szCs w:val="20"/>
              </w:rPr>
              <w:t>3.</w:t>
            </w:r>
          </w:p>
        </w:tc>
        <w:tc>
          <w:tcPr>
            <w:tcW w:w="4262" w:type="dxa"/>
            <w:tcBorders>
              <w:top w:val="single" w:sz="4" w:space="0" w:color="000000"/>
              <w:left w:val="single" w:sz="4" w:space="0" w:color="000000"/>
              <w:bottom w:val="single" w:sz="4" w:space="0" w:color="000000"/>
              <w:right w:val="single" w:sz="4" w:space="0" w:color="000000"/>
            </w:tcBorders>
            <w:hideMark/>
          </w:tcPr>
          <w:p w14:paraId="0B1A2909" w14:textId="77777777" w:rsidR="00324179" w:rsidRPr="00324179" w:rsidRDefault="00324179" w:rsidP="00324179">
            <w:pPr>
              <w:pStyle w:val="Tekstpodstawowy"/>
              <w:spacing w:line="240" w:lineRule="auto"/>
              <w:jc w:val="both"/>
              <w:rPr>
                <w:rFonts w:ascii="Calibri" w:eastAsia="Arial" w:hAnsi="Calibri" w:cs="Calibri"/>
                <w:sz w:val="20"/>
                <w:szCs w:val="20"/>
                <w:lang w:val="pl-PL"/>
              </w:rPr>
            </w:pPr>
            <w:r w:rsidRPr="00324179">
              <w:rPr>
                <w:rFonts w:ascii="Calibri" w:hAnsi="Calibri" w:cs="Calibri"/>
                <w:sz w:val="20"/>
                <w:szCs w:val="20"/>
                <w:lang w:val="pl-PL"/>
              </w:rPr>
              <w:t>Właściwości asfaltu</w:t>
            </w:r>
          </w:p>
          <w:p w14:paraId="05A5066E" w14:textId="77777777" w:rsidR="00324179" w:rsidRPr="00324179" w:rsidRDefault="00324179" w:rsidP="00324179">
            <w:pPr>
              <w:pStyle w:val="Tekstpodstawowy"/>
              <w:spacing w:line="240" w:lineRule="auto"/>
              <w:jc w:val="both"/>
              <w:rPr>
                <w:rFonts w:ascii="Calibri" w:hAnsi="Calibri" w:cs="Calibri"/>
                <w:sz w:val="20"/>
                <w:szCs w:val="20"/>
                <w:lang w:val="pl-PL"/>
              </w:rPr>
            </w:pPr>
            <w:r w:rsidRPr="00324179">
              <w:rPr>
                <w:rFonts w:ascii="Calibri" w:hAnsi="Calibri" w:cs="Calibri"/>
                <w:sz w:val="20"/>
                <w:szCs w:val="20"/>
                <w:lang w:val="pl-PL"/>
              </w:rPr>
              <w:t>- Penetracja w 25°C lub temperatura mięknienia wg PIK</w:t>
            </w:r>
          </w:p>
        </w:tc>
        <w:tc>
          <w:tcPr>
            <w:tcW w:w="4502" w:type="dxa"/>
            <w:tcBorders>
              <w:top w:val="single" w:sz="4" w:space="0" w:color="000000"/>
              <w:left w:val="single" w:sz="4" w:space="0" w:color="000000"/>
              <w:bottom w:val="single" w:sz="4" w:space="0" w:color="000000"/>
              <w:right w:val="single" w:sz="4" w:space="0" w:color="000000"/>
            </w:tcBorders>
          </w:tcPr>
          <w:p w14:paraId="26F45A5E" w14:textId="77777777" w:rsidR="00324179" w:rsidRPr="00324179" w:rsidRDefault="00324179" w:rsidP="00324179">
            <w:pPr>
              <w:pStyle w:val="Tekstpodstawowy"/>
              <w:spacing w:line="240" w:lineRule="auto"/>
              <w:jc w:val="center"/>
              <w:rPr>
                <w:rFonts w:ascii="Calibri" w:eastAsia="Arial" w:hAnsi="Calibri" w:cs="Calibri"/>
                <w:sz w:val="20"/>
                <w:szCs w:val="20"/>
                <w:lang w:val="pl-PL"/>
              </w:rPr>
            </w:pPr>
          </w:p>
          <w:p w14:paraId="073B88AA" w14:textId="77777777" w:rsidR="00324179" w:rsidRPr="00324179" w:rsidRDefault="00324179" w:rsidP="00324179">
            <w:pPr>
              <w:pStyle w:val="Tekstpodstawowy"/>
              <w:spacing w:line="240" w:lineRule="auto"/>
              <w:jc w:val="center"/>
              <w:rPr>
                <w:rFonts w:ascii="Calibri" w:hAnsi="Calibri" w:cs="Calibri"/>
                <w:sz w:val="20"/>
                <w:szCs w:val="20"/>
              </w:rPr>
            </w:pPr>
            <w:r w:rsidRPr="00324179">
              <w:rPr>
                <w:rFonts w:ascii="Calibri" w:hAnsi="Calibri" w:cs="Calibri"/>
                <w:sz w:val="20"/>
                <w:szCs w:val="20"/>
              </w:rPr>
              <w:t>1 raz na 300 ton</w:t>
            </w:r>
          </w:p>
        </w:tc>
      </w:tr>
      <w:tr w:rsidR="00324179" w:rsidRPr="00324179" w14:paraId="15AA2902" w14:textId="77777777" w:rsidTr="00EA573C">
        <w:trPr>
          <w:trHeight w:val="290"/>
        </w:trPr>
        <w:tc>
          <w:tcPr>
            <w:tcW w:w="9287" w:type="dxa"/>
            <w:gridSpan w:val="3"/>
            <w:tcBorders>
              <w:top w:val="single" w:sz="4" w:space="0" w:color="000000"/>
              <w:left w:val="single" w:sz="4" w:space="0" w:color="000000"/>
              <w:bottom w:val="single" w:sz="4" w:space="0" w:color="000000"/>
              <w:right w:val="single" w:sz="4" w:space="0" w:color="000000"/>
            </w:tcBorders>
            <w:hideMark/>
          </w:tcPr>
          <w:p w14:paraId="3E09B67A" w14:textId="77777777" w:rsidR="00324179" w:rsidRPr="00324179" w:rsidRDefault="00324179" w:rsidP="00324179">
            <w:pPr>
              <w:pStyle w:val="Tekstpodstawowy"/>
              <w:spacing w:line="240" w:lineRule="auto"/>
              <w:jc w:val="both"/>
              <w:rPr>
                <w:rFonts w:ascii="Calibri" w:hAnsi="Calibri" w:cs="Calibri"/>
                <w:sz w:val="20"/>
                <w:szCs w:val="20"/>
              </w:rPr>
            </w:pPr>
            <w:r w:rsidRPr="00324179">
              <w:rPr>
                <w:rFonts w:ascii="Calibri" w:hAnsi="Calibri" w:cs="Calibri"/>
                <w:sz w:val="20"/>
                <w:szCs w:val="20"/>
              </w:rPr>
              <w:t>Badania mieszanki mineralno-asfaltowej</w:t>
            </w:r>
          </w:p>
        </w:tc>
      </w:tr>
      <w:tr w:rsidR="00324179" w:rsidRPr="00324179" w14:paraId="419F3A27" w14:textId="77777777" w:rsidTr="00EA573C">
        <w:trPr>
          <w:trHeight w:val="290"/>
        </w:trPr>
        <w:tc>
          <w:tcPr>
            <w:tcW w:w="523" w:type="dxa"/>
            <w:tcBorders>
              <w:top w:val="single" w:sz="4" w:space="0" w:color="000000"/>
              <w:left w:val="single" w:sz="4" w:space="0" w:color="000000"/>
              <w:bottom w:val="single" w:sz="4" w:space="0" w:color="000000"/>
              <w:right w:val="single" w:sz="4" w:space="0" w:color="000000"/>
            </w:tcBorders>
            <w:hideMark/>
          </w:tcPr>
          <w:p w14:paraId="3BF3FE87" w14:textId="77777777" w:rsidR="00324179" w:rsidRPr="00324179" w:rsidRDefault="00324179" w:rsidP="00324179">
            <w:pPr>
              <w:pStyle w:val="Tekstpodstawowy"/>
              <w:spacing w:line="240" w:lineRule="auto"/>
              <w:jc w:val="both"/>
              <w:rPr>
                <w:rFonts w:ascii="Calibri" w:hAnsi="Calibri" w:cs="Calibri"/>
                <w:sz w:val="20"/>
                <w:szCs w:val="20"/>
              </w:rPr>
            </w:pPr>
            <w:r w:rsidRPr="00324179">
              <w:rPr>
                <w:rFonts w:ascii="Calibri" w:hAnsi="Calibri" w:cs="Calibri"/>
                <w:sz w:val="20"/>
                <w:szCs w:val="20"/>
              </w:rPr>
              <w:t>4.</w:t>
            </w:r>
          </w:p>
        </w:tc>
        <w:tc>
          <w:tcPr>
            <w:tcW w:w="4262" w:type="dxa"/>
            <w:tcBorders>
              <w:top w:val="single" w:sz="4" w:space="0" w:color="000000"/>
              <w:left w:val="single" w:sz="4" w:space="0" w:color="000000"/>
              <w:bottom w:val="single" w:sz="4" w:space="0" w:color="000000"/>
              <w:right w:val="single" w:sz="4" w:space="0" w:color="000000"/>
            </w:tcBorders>
            <w:hideMark/>
          </w:tcPr>
          <w:p w14:paraId="1A7861DA" w14:textId="77777777" w:rsidR="00324179" w:rsidRPr="00324179" w:rsidRDefault="00324179" w:rsidP="00324179">
            <w:pPr>
              <w:pStyle w:val="Tekstpodstawowy"/>
              <w:spacing w:line="240" w:lineRule="auto"/>
              <w:jc w:val="both"/>
              <w:rPr>
                <w:rFonts w:ascii="Calibri" w:hAnsi="Calibri" w:cs="Calibri"/>
                <w:sz w:val="20"/>
                <w:szCs w:val="20"/>
              </w:rPr>
            </w:pPr>
            <w:r w:rsidRPr="00324179">
              <w:rPr>
                <w:rFonts w:ascii="Calibri" w:hAnsi="Calibri" w:cs="Calibri"/>
                <w:sz w:val="20"/>
                <w:szCs w:val="20"/>
              </w:rPr>
              <w:t>Temperatura składników</w:t>
            </w:r>
          </w:p>
        </w:tc>
        <w:tc>
          <w:tcPr>
            <w:tcW w:w="4502" w:type="dxa"/>
            <w:tcBorders>
              <w:top w:val="single" w:sz="4" w:space="0" w:color="000000"/>
              <w:left w:val="single" w:sz="4" w:space="0" w:color="000000"/>
              <w:bottom w:val="single" w:sz="4" w:space="0" w:color="000000"/>
              <w:right w:val="single" w:sz="4" w:space="0" w:color="000000"/>
            </w:tcBorders>
            <w:hideMark/>
          </w:tcPr>
          <w:p w14:paraId="174EB5C0" w14:textId="77777777" w:rsidR="00324179" w:rsidRPr="00324179" w:rsidRDefault="00324179" w:rsidP="00324179">
            <w:pPr>
              <w:pStyle w:val="Tekstpodstawowy"/>
              <w:spacing w:line="240" w:lineRule="auto"/>
              <w:jc w:val="both"/>
              <w:rPr>
                <w:rFonts w:ascii="Calibri" w:hAnsi="Calibri" w:cs="Calibri"/>
                <w:sz w:val="20"/>
                <w:szCs w:val="20"/>
              </w:rPr>
            </w:pPr>
            <w:r w:rsidRPr="00324179">
              <w:rPr>
                <w:rFonts w:ascii="Calibri" w:hAnsi="Calibri" w:cs="Calibri"/>
                <w:sz w:val="20"/>
                <w:szCs w:val="20"/>
              </w:rPr>
              <w:t>Nadzór ciągły</w:t>
            </w:r>
          </w:p>
        </w:tc>
      </w:tr>
      <w:tr w:rsidR="00324179" w:rsidRPr="00324179" w14:paraId="115F56AF" w14:textId="77777777" w:rsidTr="00EA573C">
        <w:trPr>
          <w:trHeight w:val="520"/>
        </w:trPr>
        <w:tc>
          <w:tcPr>
            <w:tcW w:w="523" w:type="dxa"/>
            <w:tcBorders>
              <w:top w:val="single" w:sz="4" w:space="0" w:color="000000"/>
              <w:left w:val="single" w:sz="4" w:space="0" w:color="000000"/>
              <w:bottom w:val="single" w:sz="4" w:space="0" w:color="000000"/>
              <w:right w:val="single" w:sz="4" w:space="0" w:color="000000"/>
            </w:tcBorders>
            <w:hideMark/>
          </w:tcPr>
          <w:p w14:paraId="1486B4E0" w14:textId="77777777" w:rsidR="00324179" w:rsidRPr="00324179" w:rsidRDefault="00324179" w:rsidP="00324179">
            <w:pPr>
              <w:pStyle w:val="Tekstpodstawowy"/>
              <w:spacing w:line="240" w:lineRule="auto"/>
              <w:jc w:val="both"/>
              <w:rPr>
                <w:rFonts w:ascii="Calibri" w:hAnsi="Calibri" w:cs="Calibri"/>
                <w:sz w:val="20"/>
                <w:szCs w:val="20"/>
              </w:rPr>
            </w:pPr>
            <w:r w:rsidRPr="00324179">
              <w:rPr>
                <w:rFonts w:ascii="Calibri" w:hAnsi="Calibri" w:cs="Calibri"/>
                <w:sz w:val="20"/>
                <w:szCs w:val="20"/>
              </w:rPr>
              <w:t>5.</w:t>
            </w:r>
          </w:p>
        </w:tc>
        <w:tc>
          <w:tcPr>
            <w:tcW w:w="4262" w:type="dxa"/>
            <w:tcBorders>
              <w:top w:val="single" w:sz="4" w:space="0" w:color="000000"/>
              <w:left w:val="single" w:sz="4" w:space="0" w:color="000000"/>
              <w:bottom w:val="single" w:sz="4" w:space="0" w:color="000000"/>
              <w:right w:val="single" w:sz="4" w:space="0" w:color="000000"/>
            </w:tcBorders>
            <w:hideMark/>
          </w:tcPr>
          <w:p w14:paraId="0ED5AC87" w14:textId="77777777" w:rsidR="00324179" w:rsidRPr="00324179" w:rsidRDefault="00324179" w:rsidP="00324179">
            <w:pPr>
              <w:pStyle w:val="Tekstpodstawowy"/>
              <w:spacing w:line="240" w:lineRule="auto"/>
              <w:jc w:val="both"/>
              <w:rPr>
                <w:rFonts w:ascii="Calibri" w:hAnsi="Calibri" w:cs="Calibri"/>
                <w:sz w:val="20"/>
                <w:szCs w:val="20"/>
              </w:rPr>
            </w:pPr>
            <w:r w:rsidRPr="00324179">
              <w:rPr>
                <w:rFonts w:ascii="Calibri" w:hAnsi="Calibri" w:cs="Calibri"/>
                <w:sz w:val="20"/>
                <w:szCs w:val="20"/>
              </w:rPr>
              <w:t>Temperatura mieszanki</w:t>
            </w:r>
          </w:p>
        </w:tc>
        <w:tc>
          <w:tcPr>
            <w:tcW w:w="4502" w:type="dxa"/>
            <w:tcBorders>
              <w:top w:val="single" w:sz="4" w:space="0" w:color="000000"/>
              <w:left w:val="single" w:sz="4" w:space="0" w:color="000000"/>
              <w:bottom w:val="single" w:sz="4" w:space="0" w:color="000000"/>
              <w:right w:val="single" w:sz="4" w:space="0" w:color="000000"/>
            </w:tcBorders>
            <w:hideMark/>
          </w:tcPr>
          <w:p w14:paraId="36485E88" w14:textId="77777777" w:rsidR="00324179" w:rsidRPr="00324179" w:rsidRDefault="00324179" w:rsidP="00324179">
            <w:pPr>
              <w:pStyle w:val="Tekstpodstawowy"/>
              <w:spacing w:line="240" w:lineRule="auto"/>
              <w:jc w:val="center"/>
              <w:rPr>
                <w:rFonts w:ascii="Calibri" w:hAnsi="Calibri" w:cs="Calibri"/>
                <w:sz w:val="20"/>
                <w:szCs w:val="20"/>
                <w:lang w:val="pl-PL"/>
              </w:rPr>
            </w:pPr>
            <w:r w:rsidRPr="00324179">
              <w:rPr>
                <w:rFonts w:ascii="Calibri" w:hAnsi="Calibri" w:cs="Calibri"/>
                <w:sz w:val="20"/>
                <w:szCs w:val="20"/>
                <w:lang w:val="pl-PL"/>
              </w:rPr>
              <w:t>Każdy</w:t>
            </w:r>
            <w:r w:rsidRPr="00324179">
              <w:rPr>
                <w:rFonts w:ascii="Calibri" w:hAnsi="Calibri" w:cs="Calibri"/>
                <w:spacing w:val="-34"/>
                <w:sz w:val="20"/>
                <w:szCs w:val="20"/>
                <w:lang w:val="pl-PL"/>
              </w:rPr>
              <w:t xml:space="preserve"> </w:t>
            </w:r>
            <w:r w:rsidRPr="00324179">
              <w:rPr>
                <w:rFonts w:ascii="Calibri" w:hAnsi="Calibri" w:cs="Calibri"/>
                <w:sz w:val="20"/>
                <w:szCs w:val="20"/>
                <w:lang w:val="pl-PL"/>
              </w:rPr>
              <w:t>samochód</w:t>
            </w:r>
            <w:r w:rsidRPr="00324179">
              <w:rPr>
                <w:rFonts w:ascii="Calibri" w:hAnsi="Calibri" w:cs="Calibri"/>
                <w:spacing w:val="-32"/>
                <w:sz w:val="20"/>
                <w:szCs w:val="20"/>
                <w:lang w:val="pl-PL"/>
              </w:rPr>
              <w:t xml:space="preserve"> </w:t>
            </w:r>
            <w:r w:rsidRPr="00324179">
              <w:rPr>
                <w:rFonts w:ascii="Calibri" w:hAnsi="Calibri" w:cs="Calibri"/>
                <w:sz w:val="20"/>
                <w:szCs w:val="20"/>
                <w:lang w:val="pl-PL"/>
              </w:rPr>
              <w:t>przy</w:t>
            </w:r>
            <w:r w:rsidRPr="00324179">
              <w:rPr>
                <w:rFonts w:ascii="Calibri" w:hAnsi="Calibri" w:cs="Calibri"/>
                <w:spacing w:val="-34"/>
                <w:sz w:val="20"/>
                <w:szCs w:val="20"/>
                <w:lang w:val="pl-PL"/>
              </w:rPr>
              <w:t xml:space="preserve"> </w:t>
            </w:r>
            <w:r w:rsidRPr="00324179">
              <w:rPr>
                <w:rFonts w:ascii="Calibri" w:hAnsi="Calibri" w:cs="Calibri"/>
                <w:sz w:val="20"/>
                <w:szCs w:val="20"/>
                <w:lang w:val="pl-PL"/>
              </w:rPr>
              <w:t>załadunku</w:t>
            </w:r>
            <w:r w:rsidRPr="00324179">
              <w:rPr>
                <w:rFonts w:ascii="Calibri" w:hAnsi="Calibri" w:cs="Calibri"/>
                <w:spacing w:val="-32"/>
                <w:sz w:val="20"/>
                <w:szCs w:val="20"/>
                <w:lang w:val="pl-PL"/>
              </w:rPr>
              <w:t xml:space="preserve"> </w:t>
            </w:r>
            <w:r w:rsidRPr="00324179">
              <w:rPr>
                <w:rFonts w:ascii="Calibri" w:hAnsi="Calibri" w:cs="Calibri"/>
                <w:sz w:val="20"/>
                <w:szCs w:val="20"/>
                <w:lang w:val="pl-PL"/>
              </w:rPr>
              <w:t>i</w:t>
            </w:r>
            <w:r w:rsidRPr="00324179">
              <w:rPr>
                <w:rFonts w:ascii="Calibri" w:hAnsi="Calibri" w:cs="Calibri"/>
                <w:spacing w:val="-33"/>
                <w:sz w:val="20"/>
                <w:szCs w:val="20"/>
                <w:lang w:val="pl-PL"/>
              </w:rPr>
              <w:t xml:space="preserve"> </w:t>
            </w:r>
            <w:r w:rsidRPr="00324179">
              <w:rPr>
                <w:rFonts w:ascii="Calibri" w:hAnsi="Calibri" w:cs="Calibri"/>
                <w:sz w:val="20"/>
                <w:szCs w:val="20"/>
                <w:lang w:val="pl-PL"/>
              </w:rPr>
              <w:t>w</w:t>
            </w:r>
            <w:r w:rsidRPr="00324179">
              <w:rPr>
                <w:rFonts w:ascii="Calibri" w:hAnsi="Calibri" w:cs="Calibri"/>
                <w:spacing w:val="-33"/>
                <w:sz w:val="20"/>
                <w:szCs w:val="20"/>
                <w:lang w:val="pl-PL"/>
              </w:rPr>
              <w:t xml:space="preserve"> </w:t>
            </w:r>
            <w:r w:rsidRPr="00324179">
              <w:rPr>
                <w:rFonts w:ascii="Calibri" w:hAnsi="Calibri" w:cs="Calibri"/>
                <w:sz w:val="20"/>
                <w:szCs w:val="20"/>
                <w:lang w:val="pl-PL"/>
              </w:rPr>
              <w:t>czasie wbudowania</w:t>
            </w:r>
          </w:p>
        </w:tc>
      </w:tr>
      <w:tr w:rsidR="00324179" w:rsidRPr="00324179" w14:paraId="381C6D2E" w14:textId="77777777" w:rsidTr="00EA573C">
        <w:trPr>
          <w:trHeight w:val="520"/>
        </w:trPr>
        <w:tc>
          <w:tcPr>
            <w:tcW w:w="523" w:type="dxa"/>
            <w:tcBorders>
              <w:top w:val="single" w:sz="4" w:space="0" w:color="000000"/>
              <w:left w:val="single" w:sz="4" w:space="0" w:color="000000"/>
              <w:bottom w:val="single" w:sz="4" w:space="0" w:color="000000"/>
              <w:right w:val="single" w:sz="4" w:space="0" w:color="000000"/>
            </w:tcBorders>
            <w:hideMark/>
          </w:tcPr>
          <w:p w14:paraId="118D31CC" w14:textId="77777777" w:rsidR="00324179" w:rsidRPr="00324179" w:rsidRDefault="00324179" w:rsidP="00324179">
            <w:pPr>
              <w:pStyle w:val="Tekstpodstawowy"/>
              <w:spacing w:line="240" w:lineRule="auto"/>
              <w:jc w:val="both"/>
              <w:rPr>
                <w:rFonts w:ascii="Calibri" w:hAnsi="Calibri" w:cs="Calibri"/>
                <w:sz w:val="20"/>
                <w:szCs w:val="20"/>
              </w:rPr>
            </w:pPr>
            <w:r w:rsidRPr="00324179">
              <w:rPr>
                <w:rFonts w:ascii="Calibri" w:hAnsi="Calibri" w:cs="Calibri"/>
                <w:sz w:val="20"/>
                <w:szCs w:val="20"/>
              </w:rPr>
              <w:t>6.</w:t>
            </w:r>
          </w:p>
        </w:tc>
        <w:tc>
          <w:tcPr>
            <w:tcW w:w="4262" w:type="dxa"/>
            <w:tcBorders>
              <w:top w:val="single" w:sz="4" w:space="0" w:color="000000"/>
              <w:left w:val="single" w:sz="4" w:space="0" w:color="000000"/>
              <w:bottom w:val="single" w:sz="4" w:space="0" w:color="000000"/>
              <w:right w:val="single" w:sz="4" w:space="0" w:color="000000"/>
            </w:tcBorders>
            <w:hideMark/>
          </w:tcPr>
          <w:p w14:paraId="70BC17C1" w14:textId="77777777" w:rsidR="00324179" w:rsidRPr="00324179" w:rsidRDefault="00324179" w:rsidP="00324179">
            <w:pPr>
              <w:pStyle w:val="Tekstpodstawowy"/>
              <w:spacing w:line="240" w:lineRule="auto"/>
              <w:jc w:val="both"/>
              <w:rPr>
                <w:rFonts w:ascii="Calibri" w:hAnsi="Calibri" w:cs="Calibri"/>
                <w:sz w:val="20"/>
                <w:szCs w:val="20"/>
                <w:lang w:val="pl-PL"/>
              </w:rPr>
            </w:pPr>
            <w:r w:rsidRPr="00324179">
              <w:rPr>
                <w:rFonts w:ascii="Calibri" w:hAnsi="Calibri" w:cs="Calibri"/>
                <w:sz w:val="20"/>
                <w:szCs w:val="20"/>
                <w:lang w:val="pl-PL"/>
              </w:rPr>
              <w:t>Zawartość asfaltu rozpuszczalnego w mieszance mineralno-asfaltowej</w:t>
            </w:r>
          </w:p>
        </w:tc>
        <w:tc>
          <w:tcPr>
            <w:tcW w:w="4502" w:type="dxa"/>
            <w:tcBorders>
              <w:top w:val="single" w:sz="4" w:space="0" w:color="000000"/>
              <w:left w:val="single" w:sz="4" w:space="0" w:color="000000"/>
              <w:bottom w:val="single" w:sz="4" w:space="0" w:color="000000"/>
              <w:right w:val="single" w:sz="4" w:space="0" w:color="000000"/>
            </w:tcBorders>
            <w:hideMark/>
          </w:tcPr>
          <w:p w14:paraId="7AE82D3D" w14:textId="77777777" w:rsidR="00324179" w:rsidRPr="00324179" w:rsidRDefault="00324179" w:rsidP="00324179">
            <w:pPr>
              <w:pStyle w:val="Tekstpodstawowy"/>
              <w:spacing w:line="240" w:lineRule="auto"/>
              <w:jc w:val="center"/>
              <w:rPr>
                <w:rFonts w:ascii="Calibri" w:hAnsi="Calibri" w:cs="Calibri"/>
                <w:sz w:val="20"/>
                <w:szCs w:val="20"/>
                <w:lang w:val="pl-PL"/>
              </w:rPr>
            </w:pPr>
            <w:r w:rsidRPr="00324179">
              <w:rPr>
                <w:rFonts w:ascii="Calibri" w:hAnsi="Calibri" w:cs="Calibri"/>
                <w:sz w:val="20"/>
                <w:szCs w:val="20"/>
                <w:lang w:val="pl-PL"/>
              </w:rPr>
              <w:t>1 raz na 1000 ton wyprodukowanej mma, przynajmniej raz dziennie w trakcie produkcji mma</w:t>
            </w:r>
          </w:p>
        </w:tc>
      </w:tr>
      <w:tr w:rsidR="00324179" w:rsidRPr="00324179" w14:paraId="63BDAB1F" w14:textId="77777777" w:rsidTr="00EA573C">
        <w:trPr>
          <w:trHeight w:val="520"/>
        </w:trPr>
        <w:tc>
          <w:tcPr>
            <w:tcW w:w="523" w:type="dxa"/>
            <w:tcBorders>
              <w:top w:val="single" w:sz="4" w:space="0" w:color="000000"/>
              <w:left w:val="single" w:sz="4" w:space="0" w:color="000000"/>
              <w:bottom w:val="single" w:sz="4" w:space="0" w:color="000000"/>
              <w:right w:val="single" w:sz="4" w:space="0" w:color="000000"/>
            </w:tcBorders>
            <w:hideMark/>
          </w:tcPr>
          <w:p w14:paraId="35954678" w14:textId="77777777" w:rsidR="00324179" w:rsidRPr="00324179" w:rsidRDefault="00324179" w:rsidP="00324179">
            <w:pPr>
              <w:pStyle w:val="Tekstpodstawowy"/>
              <w:spacing w:line="240" w:lineRule="auto"/>
              <w:jc w:val="both"/>
              <w:rPr>
                <w:rFonts w:ascii="Calibri" w:hAnsi="Calibri" w:cs="Calibri"/>
                <w:sz w:val="20"/>
                <w:szCs w:val="20"/>
              </w:rPr>
            </w:pPr>
            <w:r w:rsidRPr="00324179">
              <w:rPr>
                <w:rFonts w:ascii="Calibri" w:hAnsi="Calibri" w:cs="Calibri"/>
                <w:sz w:val="20"/>
                <w:szCs w:val="20"/>
              </w:rPr>
              <w:t>7.</w:t>
            </w:r>
          </w:p>
        </w:tc>
        <w:tc>
          <w:tcPr>
            <w:tcW w:w="4262" w:type="dxa"/>
            <w:tcBorders>
              <w:top w:val="single" w:sz="4" w:space="0" w:color="000000"/>
              <w:left w:val="single" w:sz="4" w:space="0" w:color="000000"/>
              <w:bottom w:val="single" w:sz="4" w:space="0" w:color="000000"/>
              <w:right w:val="single" w:sz="4" w:space="0" w:color="000000"/>
            </w:tcBorders>
            <w:hideMark/>
          </w:tcPr>
          <w:p w14:paraId="3ABD2B62" w14:textId="77777777" w:rsidR="00324179" w:rsidRPr="00324179" w:rsidRDefault="00324179" w:rsidP="00324179">
            <w:pPr>
              <w:pStyle w:val="Tekstpodstawowy"/>
              <w:spacing w:line="240" w:lineRule="auto"/>
              <w:jc w:val="both"/>
              <w:rPr>
                <w:rFonts w:ascii="Calibri" w:hAnsi="Calibri" w:cs="Calibri"/>
                <w:sz w:val="20"/>
                <w:szCs w:val="20"/>
              </w:rPr>
            </w:pPr>
            <w:r w:rsidRPr="00324179">
              <w:rPr>
                <w:rFonts w:ascii="Calibri" w:hAnsi="Calibri" w:cs="Calibri"/>
                <w:sz w:val="20"/>
                <w:szCs w:val="20"/>
              </w:rPr>
              <w:t>Uziarnienie mieszanki mineralno-asfaltowej</w:t>
            </w:r>
          </w:p>
        </w:tc>
        <w:tc>
          <w:tcPr>
            <w:tcW w:w="4502" w:type="dxa"/>
            <w:tcBorders>
              <w:top w:val="single" w:sz="4" w:space="0" w:color="000000"/>
              <w:left w:val="single" w:sz="4" w:space="0" w:color="000000"/>
              <w:bottom w:val="single" w:sz="4" w:space="0" w:color="000000"/>
              <w:right w:val="single" w:sz="4" w:space="0" w:color="000000"/>
            </w:tcBorders>
            <w:hideMark/>
          </w:tcPr>
          <w:p w14:paraId="06361483" w14:textId="77777777" w:rsidR="00324179" w:rsidRPr="00324179" w:rsidRDefault="00324179" w:rsidP="00324179">
            <w:pPr>
              <w:pStyle w:val="Tekstpodstawowy"/>
              <w:spacing w:line="240" w:lineRule="auto"/>
              <w:jc w:val="center"/>
              <w:rPr>
                <w:rFonts w:ascii="Calibri" w:hAnsi="Calibri" w:cs="Calibri"/>
                <w:sz w:val="20"/>
                <w:szCs w:val="20"/>
                <w:lang w:val="pl-PL"/>
              </w:rPr>
            </w:pPr>
            <w:r w:rsidRPr="00324179">
              <w:rPr>
                <w:rFonts w:ascii="Calibri" w:hAnsi="Calibri" w:cs="Calibri"/>
                <w:sz w:val="20"/>
                <w:szCs w:val="20"/>
                <w:lang w:val="pl-PL"/>
              </w:rPr>
              <w:t>1 raz na 1000 ton wyprodukowanej mma, przynajmniej raz dziennie w trakcie produkcji mma</w:t>
            </w:r>
          </w:p>
        </w:tc>
      </w:tr>
      <w:tr w:rsidR="00324179" w:rsidRPr="00324179" w14:paraId="56C49C52" w14:textId="77777777" w:rsidTr="00EA573C">
        <w:trPr>
          <w:trHeight w:val="520"/>
        </w:trPr>
        <w:tc>
          <w:tcPr>
            <w:tcW w:w="523" w:type="dxa"/>
            <w:tcBorders>
              <w:top w:val="single" w:sz="4" w:space="0" w:color="000000"/>
              <w:left w:val="single" w:sz="4" w:space="0" w:color="000000"/>
              <w:bottom w:val="single" w:sz="4" w:space="0" w:color="000000"/>
              <w:right w:val="single" w:sz="4" w:space="0" w:color="000000"/>
            </w:tcBorders>
            <w:hideMark/>
          </w:tcPr>
          <w:p w14:paraId="7E5AB3AD" w14:textId="77777777" w:rsidR="00324179" w:rsidRPr="00324179" w:rsidRDefault="00324179" w:rsidP="00324179">
            <w:pPr>
              <w:pStyle w:val="Tekstpodstawowy"/>
              <w:spacing w:line="240" w:lineRule="auto"/>
              <w:jc w:val="both"/>
              <w:rPr>
                <w:rFonts w:ascii="Calibri" w:hAnsi="Calibri" w:cs="Calibri"/>
                <w:sz w:val="20"/>
                <w:szCs w:val="20"/>
              </w:rPr>
            </w:pPr>
            <w:r w:rsidRPr="00324179">
              <w:rPr>
                <w:rFonts w:ascii="Calibri" w:hAnsi="Calibri" w:cs="Calibri"/>
                <w:sz w:val="20"/>
                <w:szCs w:val="20"/>
              </w:rPr>
              <w:t>8.</w:t>
            </w:r>
          </w:p>
        </w:tc>
        <w:tc>
          <w:tcPr>
            <w:tcW w:w="4262" w:type="dxa"/>
            <w:tcBorders>
              <w:top w:val="single" w:sz="4" w:space="0" w:color="000000"/>
              <w:left w:val="single" w:sz="4" w:space="0" w:color="000000"/>
              <w:bottom w:val="single" w:sz="4" w:space="0" w:color="000000"/>
              <w:right w:val="single" w:sz="4" w:space="0" w:color="000000"/>
            </w:tcBorders>
            <w:hideMark/>
          </w:tcPr>
          <w:p w14:paraId="78ABF7DE" w14:textId="77777777" w:rsidR="00324179" w:rsidRPr="00324179" w:rsidRDefault="00324179" w:rsidP="00324179">
            <w:pPr>
              <w:pStyle w:val="Tekstpodstawowy"/>
              <w:spacing w:line="240" w:lineRule="auto"/>
              <w:jc w:val="both"/>
              <w:rPr>
                <w:rFonts w:ascii="Calibri" w:hAnsi="Calibri" w:cs="Calibri"/>
                <w:sz w:val="20"/>
                <w:szCs w:val="20"/>
                <w:lang w:val="pl-PL"/>
              </w:rPr>
            </w:pPr>
            <w:r w:rsidRPr="00324179">
              <w:rPr>
                <w:rFonts w:ascii="Calibri" w:hAnsi="Calibri" w:cs="Calibri"/>
                <w:sz w:val="20"/>
                <w:szCs w:val="20"/>
                <w:lang w:val="pl-PL"/>
              </w:rPr>
              <w:t>Zawartość wolnych przestrzeni w próbkach Marshalla</w:t>
            </w:r>
          </w:p>
        </w:tc>
        <w:tc>
          <w:tcPr>
            <w:tcW w:w="4502" w:type="dxa"/>
            <w:tcBorders>
              <w:top w:val="single" w:sz="4" w:space="0" w:color="000000"/>
              <w:left w:val="single" w:sz="4" w:space="0" w:color="000000"/>
              <w:bottom w:val="single" w:sz="4" w:space="0" w:color="000000"/>
              <w:right w:val="single" w:sz="4" w:space="0" w:color="000000"/>
            </w:tcBorders>
            <w:hideMark/>
          </w:tcPr>
          <w:p w14:paraId="785101F2" w14:textId="77777777" w:rsidR="00324179" w:rsidRPr="00324179" w:rsidRDefault="00324179" w:rsidP="00324179">
            <w:pPr>
              <w:pStyle w:val="Tekstpodstawowy"/>
              <w:spacing w:line="240" w:lineRule="auto"/>
              <w:jc w:val="center"/>
              <w:rPr>
                <w:rFonts w:ascii="Calibri" w:hAnsi="Calibri" w:cs="Calibri"/>
                <w:sz w:val="20"/>
                <w:szCs w:val="20"/>
                <w:lang w:val="pl-PL"/>
              </w:rPr>
            </w:pPr>
            <w:r w:rsidRPr="00324179">
              <w:rPr>
                <w:rFonts w:ascii="Calibri" w:hAnsi="Calibri" w:cs="Calibri"/>
                <w:sz w:val="20"/>
                <w:szCs w:val="20"/>
                <w:lang w:val="pl-PL"/>
              </w:rPr>
              <w:t>1 raz na 1000 ton wyprodukowanej mma, przynajmniej raz dziennie w trakcie produkcji mma</w:t>
            </w:r>
          </w:p>
        </w:tc>
      </w:tr>
      <w:tr w:rsidR="00324179" w:rsidRPr="00324179" w14:paraId="5AF49A4C" w14:textId="77777777" w:rsidTr="00EA573C">
        <w:trPr>
          <w:trHeight w:val="290"/>
        </w:trPr>
        <w:tc>
          <w:tcPr>
            <w:tcW w:w="9287" w:type="dxa"/>
            <w:gridSpan w:val="3"/>
            <w:tcBorders>
              <w:top w:val="single" w:sz="4" w:space="0" w:color="000000"/>
              <w:left w:val="single" w:sz="4" w:space="0" w:color="000000"/>
              <w:bottom w:val="single" w:sz="4" w:space="0" w:color="000000"/>
              <w:right w:val="single" w:sz="4" w:space="0" w:color="000000"/>
            </w:tcBorders>
            <w:hideMark/>
          </w:tcPr>
          <w:p w14:paraId="4FADD5EC" w14:textId="77777777" w:rsidR="00324179" w:rsidRPr="00324179" w:rsidRDefault="00324179" w:rsidP="00324179">
            <w:pPr>
              <w:pStyle w:val="Tekstpodstawowy"/>
              <w:spacing w:line="240" w:lineRule="auto"/>
              <w:jc w:val="both"/>
              <w:rPr>
                <w:rFonts w:ascii="Calibri" w:hAnsi="Calibri" w:cs="Calibri"/>
                <w:sz w:val="20"/>
                <w:szCs w:val="20"/>
                <w:lang w:val="pl-PL"/>
              </w:rPr>
            </w:pPr>
            <w:r w:rsidRPr="00324179">
              <w:rPr>
                <w:rFonts w:ascii="Calibri" w:hAnsi="Calibri" w:cs="Calibri"/>
                <w:sz w:val="20"/>
                <w:szCs w:val="20"/>
                <w:lang w:val="pl-PL"/>
              </w:rPr>
              <w:t>Badania po wykonaniu warstwy podbudowy</w:t>
            </w:r>
          </w:p>
        </w:tc>
      </w:tr>
      <w:tr w:rsidR="00324179" w:rsidRPr="00324179" w14:paraId="07BB5D46" w14:textId="77777777" w:rsidTr="00EA573C">
        <w:trPr>
          <w:trHeight w:val="518"/>
        </w:trPr>
        <w:tc>
          <w:tcPr>
            <w:tcW w:w="523" w:type="dxa"/>
            <w:tcBorders>
              <w:top w:val="single" w:sz="4" w:space="0" w:color="000000"/>
              <w:left w:val="single" w:sz="4" w:space="0" w:color="000000"/>
              <w:bottom w:val="single" w:sz="4" w:space="0" w:color="000000"/>
              <w:right w:val="single" w:sz="4" w:space="0" w:color="000000"/>
            </w:tcBorders>
            <w:hideMark/>
          </w:tcPr>
          <w:p w14:paraId="74D02E19" w14:textId="77777777" w:rsidR="00324179" w:rsidRPr="00324179" w:rsidRDefault="00324179" w:rsidP="00324179">
            <w:pPr>
              <w:pStyle w:val="Tekstpodstawowy"/>
              <w:spacing w:line="240" w:lineRule="auto"/>
              <w:jc w:val="both"/>
              <w:rPr>
                <w:rFonts w:ascii="Calibri" w:hAnsi="Calibri" w:cs="Calibri"/>
                <w:sz w:val="20"/>
                <w:szCs w:val="20"/>
              </w:rPr>
            </w:pPr>
            <w:r w:rsidRPr="00324179">
              <w:rPr>
                <w:rFonts w:ascii="Calibri" w:hAnsi="Calibri" w:cs="Calibri"/>
                <w:sz w:val="20"/>
                <w:szCs w:val="20"/>
              </w:rPr>
              <w:t>9.</w:t>
            </w:r>
          </w:p>
        </w:tc>
        <w:tc>
          <w:tcPr>
            <w:tcW w:w="4262" w:type="dxa"/>
            <w:tcBorders>
              <w:top w:val="single" w:sz="4" w:space="0" w:color="000000"/>
              <w:left w:val="single" w:sz="4" w:space="0" w:color="000000"/>
              <w:bottom w:val="single" w:sz="4" w:space="0" w:color="000000"/>
              <w:right w:val="single" w:sz="4" w:space="0" w:color="000000"/>
            </w:tcBorders>
            <w:hideMark/>
          </w:tcPr>
          <w:p w14:paraId="718562C6" w14:textId="77777777" w:rsidR="00324179" w:rsidRPr="00324179" w:rsidRDefault="00324179" w:rsidP="00324179">
            <w:pPr>
              <w:pStyle w:val="Tekstpodstawowy"/>
              <w:spacing w:line="240" w:lineRule="auto"/>
              <w:jc w:val="both"/>
              <w:rPr>
                <w:rFonts w:ascii="Calibri" w:hAnsi="Calibri" w:cs="Calibri"/>
                <w:sz w:val="20"/>
                <w:szCs w:val="20"/>
                <w:lang w:val="pl-PL"/>
              </w:rPr>
            </w:pPr>
            <w:r w:rsidRPr="00324179">
              <w:rPr>
                <w:rFonts w:ascii="Calibri" w:hAnsi="Calibri" w:cs="Calibri"/>
                <w:sz w:val="20"/>
                <w:szCs w:val="20"/>
                <w:lang w:val="pl-PL"/>
              </w:rPr>
              <w:t>Grubość warstwy, wskaźnik zagęszczenia warstwy, wolna przestrzeń w warstwie</w:t>
            </w:r>
          </w:p>
        </w:tc>
        <w:tc>
          <w:tcPr>
            <w:tcW w:w="4502" w:type="dxa"/>
            <w:tcBorders>
              <w:top w:val="single" w:sz="4" w:space="0" w:color="000000"/>
              <w:left w:val="single" w:sz="4" w:space="0" w:color="000000"/>
              <w:bottom w:val="single" w:sz="4" w:space="0" w:color="000000"/>
              <w:right w:val="single" w:sz="4" w:space="0" w:color="000000"/>
            </w:tcBorders>
            <w:hideMark/>
          </w:tcPr>
          <w:p w14:paraId="252B4323" w14:textId="77777777" w:rsidR="00324179" w:rsidRPr="00324179" w:rsidRDefault="00324179" w:rsidP="00324179">
            <w:pPr>
              <w:pStyle w:val="Tekstpodstawowy"/>
              <w:spacing w:line="240" w:lineRule="auto"/>
              <w:jc w:val="center"/>
              <w:rPr>
                <w:rFonts w:ascii="Calibri" w:hAnsi="Calibri" w:cs="Calibri"/>
                <w:sz w:val="20"/>
                <w:szCs w:val="20"/>
              </w:rPr>
            </w:pPr>
            <w:r w:rsidRPr="00324179">
              <w:rPr>
                <w:rFonts w:ascii="Calibri" w:hAnsi="Calibri" w:cs="Calibri"/>
                <w:sz w:val="20"/>
                <w:szCs w:val="20"/>
              </w:rPr>
              <w:t>2 próbki na 1 km jezdni</w:t>
            </w:r>
          </w:p>
        </w:tc>
      </w:tr>
      <w:tr w:rsidR="00324179" w:rsidRPr="00324179" w14:paraId="11AF3D99" w14:textId="77777777" w:rsidTr="00EA573C">
        <w:trPr>
          <w:trHeight w:val="546"/>
        </w:trPr>
        <w:tc>
          <w:tcPr>
            <w:tcW w:w="523" w:type="dxa"/>
            <w:tcBorders>
              <w:top w:val="single" w:sz="4" w:space="0" w:color="000000"/>
              <w:left w:val="single" w:sz="4" w:space="0" w:color="000000"/>
              <w:bottom w:val="single" w:sz="4" w:space="0" w:color="000000"/>
              <w:right w:val="single" w:sz="4" w:space="0" w:color="000000"/>
            </w:tcBorders>
            <w:hideMark/>
          </w:tcPr>
          <w:p w14:paraId="39F60BD0" w14:textId="77777777" w:rsidR="00324179" w:rsidRPr="00324179" w:rsidRDefault="00324179" w:rsidP="00324179">
            <w:pPr>
              <w:pStyle w:val="Tekstpodstawowy"/>
              <w:spacing w:line="240" w:lineRule="auto"/>
              <w:jc w:val="both"/>
              <w:rPr>
                <w:rFonts w:ascii="Calibri" w:hAnsi="Calibri" w:cs="Calibri"/>
                <w:sz w:val="20"/>
                <w:szCs w:val="20"/>
              </w:rPr>
            </w:pPr>
            <w:r w:rsidRPr="00324179">
              <w:rPr>
                <w:rFonts w:ascii="Calibri" w:hAnsi="Calibri" w:cs="Calibri"/>
                <w:sz w:val="20"/>
                <w:szCs w:val="20"/>
              </w:rPr>
              <w:t>10.</w:t>
            </w:r>
          </w:p>
        </w:tc>
        <w:tc>
          <w:tcPr>
            <w:tcW w:w="4262" w:type="dxa"/>
            <w:tcBorders>
              <w:top w:val="single" w:sz="4" w:space="0" w:color="000000"/>
              <w:left w:val="single" w:sz="4" w:space="0" w:color="000000"/>
              <w:bottom w:val="single" w:sz="4" w:space="0" w:color="000000"/>
              <w:right w:val="single" w:sz="4" w:space="0" w:color="000000"/>
            </w:tcBorders>
            <w:hideMark/>
          </w:tcPr>
          <w:p w14:paraId="2F300C0C" w14:textId="77777777" w:rsidR="00324179" w:rsidRPr="00324179" w:rsidRDefault="00324179" w:rsidP="00324179">
            <w:pPr>
              <w:pStyle w:val="Tekstpodstawowy"/>
              <w:spacing w:line="240" w:lineRule="auto"/>
              <w:jc w:val="both"/>
              <w:rPr>
                <w:rFonts w:ascii="Calibri" w:hAnsi="Calibri" w:cs="Calibri"/>
                <w:sz w:val="20"/>
                <w:szCs w:val="20"/>
                <w:lang w:val="pl-PL"/>
              </w:rPr>
            </w:pPr>
            <w:r w:rsidRPr="00324179">
              <w:rPr>
                <w:rFonts w:ascii="Calibri" w:hAnsi="Calibri" w:cs="Calibri"/>
                <w:sz w:val="20"/>
                <w:szCs w:val="20"/>
                <w:lang w:val="pl-PL"/>
              </w:rPr>
              <w:t>Wytrzymałość na ścinanie połączeń między warstwami (podbudowa/podbudowa)</w:t>
            </w:r>
          </w:p>
        </w:tc>
        <w:tc>
          <w:tcPr>
            <w:tcW w:w="4502" w:type="dxa"/>
            <w:tcBorders>
              <w:top w:val="single" w:sz="4" w:space="0" w:color="000000"/>
              <w:left w:val="single" w:sz="4" w:space="0" w:color="000000"/>
              <w:bottom w:val="single" w:sz="4" w:space="0" w:color="000000"/>
              <w:right w:val="single" w:sz="4" w:space="0" w:color="000000"/>
            </w:tcBorders>
            <w:hideMark/>
          </w:tcPr>
          <w:p w14:paraId="614AE7E6" w14:textId="77777777" w:rsidR="00324179" w:rsidRPr="00324179" w:rsidRDefault="00324179" w:rsidP="00324179">
            <w:pPr>
              <w:pStyle w:val="Tekstpodstawowy"/>
              <w:spacing w:line="240" w:lineRule="auto"/>
              <w:jc w:val="center"/>
              <w:rPr>
                <w:rFonts w:ascii="Calibri" w:hAnsi="Calibri" w:cs="Calibri"/>
                <w:sz w:val="20"/>
                <w:szCs w:val="20"/>
              </w:rPr>
            </w:pPr>
            <w:r w:rsidRPr="00324179">
              <w:rPr>
                <w:rFonts w:ascii="Calibri" w:hAnsi="Calibri" w:cs="Calibri"/>
                <w:sz w:val="20"/>
                <w:szCs w:val="20"/>
              </w:rPr>
              <w:t>2 próbki na 1 km jezdni</w:t>
            </w:r>
          </w:p>
        </w:tc>
      </w:tr>
    </w:tbl>
    <w:p w14:paraId="0ADABE4C" w14:textId="77777777" w:rsidR="00324179" w:rsidRPr="00324179" w:rsidRDefault="00324179" w:rsidP="00324179">
      <w:pPr>
        <w:pStyle w:val="Tekstpodstawowy"/>
        <w:spacing w:line="240" w:lineRule="auto"/>
        <w:jc w:val="both"/>
        <w:rPr>
          <w:rFonts w:ascii="Calibri" w:hAnsi="Calibri" w:cs="Calibri"/>
          <w:sz w:val="20"/>
          <w:szCs w:val="20"/>
        </w:rPr>
      </w:pPr>
    </w:p>
    <w:p w14:paraId="04C3276E" w14:textId="77777777" w:rsidR="00324179" w:rsidRPr="00324179" w:rsidRDefault="00324179" w:rsidP="00324179">
      <w:pPr>
        <w:pStyle w:val="Tekstpodstawowy"/>
        <w:spacing w:line="240" w:lineRule="auto"/>
        <w:jc w:val="both"/>
        <w:rPr>
          <w:rFonts w:ascii="Calibri" w:hAnsi="Calibri" w:cs="Calibri"/>
          <w:b/>
          <w:sz w:val="20"/>
          <w:szCs w:val="20"/>
        </w:rPr>
      </w:pPr>
      <w:r w:rsidRPr="00324179">
        <w:rPr>
          <w:rFonts w:ascii="Calibri" w:hAnsi="Calibri" w:cs="Calibri"/>
          <w:b/>
          <w:sz w:val="20"/>
          <w:szCs w:val="20"/>
        </w:rPr>
        <w:t>6.3.1 Zawartość lepiszcza</w:t>
      </w:r>
      <w:r w:rsidRPr="00324179">
        <w:rPr>
          <w:rFonts w:ascii="Calibri" w:hAnsi="Calibri" w:cs="Calibri"/>
          <w:b/>
          <w:spacing w:val="-2"/>
          <w:sz w:val="20"/>
          <w:szCs w:val="20"/>
        </w:rPr>
        <w:t xml:space="preserve"> </w:t>
      </w:r>
      <w:r w:rsidRPr="00324179">
        <w:rPr>
          <w:rFonts w:ascii="Calibri" w:hAnsi="Calibri" w:cs="Calibri"/>
          <w:b/>
          <w:sz w:val="20"/>
          <w:szCs w:val="20"/>
        </w:rPr>
        <w:t>rozpuszczalnego</w:t>
      </w:r>
    </w:p>
    <w:p w14:paraId="4DCC54D1" w14:textId="77777777" w:rsidR="00324179" w:rsidRPr="00324179" w:rsidRDefault="00324179" w:rsidP="00324179">
      <w:pPr>
        <w:pStyle w:val="Tekstpodstawowy"/>
        <w:spacing w:line="240" w:lineRule="auto"/>
        <w:jc w:val="both"/>
        <w:rPr>
          <w:rFonts w:ascii="Calibri" w:hAnsi="Calibri" w:cs="Calibri"/>
          <w:sz w:val="20"/>
          <w:szCs w:val="20"/>
        </w:rPr>
      </w:pPr>
      <w:r w:rsidRPr="00324179">
        <w:rPr>
          <w:rFonts w:ascii="Calibri" w:hAnsi="Calibri" w:cs="Calibri"/>
          <w:sz w:val="20"/>
          <w:szCs w:val="20"/>
        </w:rPr>
        <w:t>Badanie polega na wykonaniu ekstrakcji lepiszcza, zgodnie PN-EN 12697-1, z próbki pobranej z mieszanki mineralno-asfaltowej. Zawartość rozpuszczalnego lepiszcza z każdej pobranej próbki nie może odbiegać od wartości projektowanej, z uwzględnieniem dopuszczalnej odchyłki wg Instrukcji DP-T-14</w:t>
      </w:r>
    </w:p>
    <w:p w14:paraId="32DEB60F" w14:textId="77777777" w:rsidR="00324179" w:rsidRPr="00324179" w:rsidRDefault="00324179" w:rsidP="00324179">
      <w:pPr>
        <w:pStyle w:val="Tekstpodstawowy"/>
        <w:spacing w:line="240" w:lineRule="auto"/>
        <w:jc w:val="both"/>
        <w:rPr>
          <w:rFonts w:ascii="Calibri" w:hAnsi="Calibri" w:cs="Calibri"/>
          <w:b/>
          <w:sz w:val="20"/>
          <w:szCs w:val="20"/>
        </w:rPr>
      </w:pPr>
      <w:r w:rsidRPr="00324179">
        <w:rPr>
          <w:rFonts w:ascii="Calibri" w:hAnsi="Calibri" w:cs="Calibri"/>
          <w:b/>
          <w:sz w:val="20"/>
          <w:szCs w:val="20"/>
        </w:rPr>
        <w:t>6.3.2 Uziarnienie mieszanki</w:t>
      </w:r>
      <w:r w:rsidRPr="00324179">
        <w:rPr>
          <w:rFonts w:ascii="Calibri" w:hAnsi="Calibri" w:cs="Calibri"/>
          <w:b/>
          <w:spacing w:val="-3"/>
          <w:sz w:val="20"/>
          <w:szCs w:val="20"/>
        </w:rPr>
        <w:t xml:space="preserve"> </w:t>
      </w:r>
      <w:r w:rsidRPr="00324179">
        <w:rPr>
          <w:rFonts w:ascii="Calibri" w:hAnsi="Calibri" w:cs="Calibri"/>
          <w:b/>
          <w:sz w:val="20"/>
          <w:szCs w:val="20"/>
        </w:rPr>
        <w:t>mineralnej</w:t>
      </w:r>
    </w:p>
    <w:p w14:paraId="24FB3903" w14:textId="77777777" w:rsidR="00324179" w:rsidRPr="00324179" w:rsidRDefault="00324179" w:rsidP="00324179">
      <w:pPr>
        <w:pStyle w:val="Tekstpodstawowy"/>
        <w:spacing w:line="240" w:lineRule="auto"/>
        <w:jc w:val="both"/>
        <w:rPr>
          <w:rFonts w:ascii="Calibri" w:hAnsi="Calibri" w:cs="Calibri"/>
          <w:sz w:val="20"/>
          <w:szCs w:val="20"/>
        </w:rPr>
      </w:pPr>
      <w:r w:rsidRPr="00324179">
        <w:rPr>
          <w:rFonts w:ascii="Calibri" w:hAnsi="Calibri" w:cs="Calibri"/>
          <w:sz w:val="20"/>
          <w:szCs w:val="20"/>
        </w:rPr>
        <w:t>Po wykonaniu ekstrakcji lepiszcza należy przeprowadzić kontrolę uziarnienia mieszanki kruszywa mineralnego wg 12697-2. Uziarnienie każdej próbki pobranej z luźnej mieszanki mineralno-asfaltowej nie może odbiegać od wartości projektowanych z uwzględnieniem dopuszczalnych odchyłek wg Instrukcji DP-T-14</w:t>
      </w:r>
    </w:p>
    <w:p w14:paraId="54C70094" w14:textId="77777777" w:rsidR="00324179" w:rsidRPr="00324179" w:rsidRDefault="00324179" w:rsidP="00324179">
      <w:pPr>
        <w:pStyle w:val="Tekstpodstawowy"/>
        <w:spacing w:line="240" w:lineRule="auto"/>
        <w:jc w:val="both"/>
        <w:rPr>
          <w:rFonts w:ascii="Calibri" w:hAnsi="Calibri" w:cs="Calibri"/>
          <w:b/>
          <w:sz w:val="20"/>
          <w:szCs w:val="20"/>
        </w:rPr>
      </w:pPr>
      <w:r w:rsidRPr="00324179">
        <w:rPr>
          <w:rFonts w:ascii="Calibri" w:hAnsi="Calibri" w:cs="Calibri"/>
          <w:b/>
          <w:sz w:val="20"/>
          <w:szCs w:val="20"/>
        </w:rPr>
        <w:t>6.3.3 Zawartość wolnych przestrzeni w mieszance MMA</w:t>
      </w:r>
    </w:p>
    <w:p w14:paraId="716E1B75" w14:textId="77777777" w:rsidR="00324179" w:rsidRPr="00324179" w:rsidRDefault="00324179" w:rsidP="00324179">
      <w:pPr>
        <w:pStyle w:val="Tekstpodstawowy"/>
        <w:spacing w:line="240" w:lineRule="auto"/>
        <w:jc w:val="both"/>
        <w:rPr>
          <w:rFonts w:ascii="Calibri" w:hAnsi="Calibri" w:cs="Calibri"/>
          <w:sz w:val="20"/>
          <w:szCs w:val="20"/>
        </w:rPr>
      </w:pPr>
      <w:r w:rsidRPr="00324179">
        <w:rPr>
          <w:rFonts w:ascii="Calibri" w:hAnsi="Calibri" w:cs="Calibri"/>
          <w:sz w:val="20"/>
          <w:szCs w:val="20"/>
        </w:rPr>
        <w:t>Zawartość wolnych przestrzeni w próbkach Marshalla oblicza się zgodnie z PN-EN 12697-8. Zawartość wolnych przestrzeni nie może przekroczyć wartości podanych w WT-2 2014 (Tablica 7, 8, 9 w zależności od kategorii ruchu).</w:t>
      </w:r>
    </w:p>
    <w:p w14:paraId="282054B6" w14:textId="77777777" w:rsidR="00324179" w:rsidRPr="00324179" w:rsidRDefault="00324179" w:rsidP="00324179">
      <w:pPr>
        <w:pStyle w:val="Tekstpodstawowy"/>
        <w:spacing w:line="240" w:lineRule="auto"/>
        <w:jc w:val="both"/>
        <w:rPr>
          <w:rFonts w:ascii="Calibri" w:hAnsi="Calibri" w:cs="Calibri"/>
          <w:b/>
          <w:sz w:val="20"/>
          <w:szCs w:val="20"/>
        </w:rPr>
      </w:pPr>
      <w:r w:rsidRPr="00324179">
        <w:rPr>
          <w:rFonts w:ascii="Calibri" w:hAnsi="Calibri" w:cs="Calibri"/>
          <w:b/>
          <w:sz w:val="20"/>
          <w:szCs w:val="20"/>
        </w:rPr>
        <w:t>6.3.4 Pomiar grubości warstwy wg PN-EN</w:t>
      </w:r>
      <w:r w:rsidRPr="00324179">
        <w:rPr>
          <w:rFonts w:ascii="Calibri" w:hAnsi="Calibri" w:cs="Calibri"/>
          <w:b/>
          <w:spacing w:val="-3"/>
          <w:sz w:val="20"/>
          <w:szCs w:val="20"/>
        </w:rPr>
        <w:t xml:space="preserve"> </w:t>
      </w:r>
      <w:r w:rsidRPr="00324179">
        <w:rPr>
          <w:rFonts w:ascii="Calibri" w:hAnsi="Calibri" w:cs="Calibri"/>
          <w:b/>
          <w:sz w:val="20"/>
          <w:szCs w:val="20"/>
        </w:rPr>
        <w:t>12697-36</w:t>
      </w:r>
    </w:p>
    <w:p w14:paraId="7B5E91AC" w14:textId="77777777" w:rsidR="00324179" w:rsidRPr="00324179" w:rsidRDefault="00324179" w:rsidP="00324179">
      <w:pPr>
        <w:pStyle w:val="Tekstpodstawowy"/>
        <w:spacing w:line="240" w:lineRule="auto"/>
        <w:jc w:val="both"/>
        <w:rPr>
          <w:rFonts w:ascii="Calibri" w:hAnsi="Calibri" w:cs="Calibri"/>
          <w:sz w:val="20"/>
          <w:szCs w:val="20"/>
        </w:rPr>
      </w:pPr>
      <w:r w:rsidRPr="00324179">
        <w:rPr>
          <w:rFonts w:ascii="Calibri" w:hAnsi="Calibri" w:cs="Calibri"/>
          <w:sz w:val="20"/>
          <w:szCs w:val="20"/>
        </w:rPr>
        <w:t>Grubości wykonanej warstwy należy określać na wyciętych próbkach (nie wycinać próbek na obiektach mostowych wiertnicą mechaniczną) z częstością 2 próbki na 1 km. Tolerancja dla grubości warstwy określona jest w DP-T-14.</w:t>
      </w:r>
    </w:p>
    <w:p w14:paraId="76075F3A" w14:textId="77777777" w:rsidR="00324179" w:rsidRPr="00324179" w:rsidRDefault="00324179" w:rsidP="00324179">
      <w:pPr>
        <w:pStyle w:val="Tekstpodstawowy"/>
        <w:spacing w:line="240" w:lineRule="auto"/>
        <w:jc w:val="both"/>
        <w:rPr>
          <w:rFonts w:ascii="Calibri" w:hAnsi="Calibri" w:cs="Calibri"/>
          <w:b/>
          <w:sz w:val="20"/>
          <w:szCs w:val="20"/>
        </w:rPr>
      </w:pPr>
      <w:r w:rsidRPr="00324179">
        <w:rPr>
          <w:rFonts w:ascii="Calibri" w:hAnsi="Calibri" w:cs="Calibri"/>
          <w:b/>
          <w:sz w:val="20"/>
          <w:szCs w:val="20"/>
        </w:rPr>
        <w:t>6.3.5 Wskaźnik zagęszczenia warstwy wg PN-EN 13108-20 załącznik</w:t>
      </w:r>
      <w:r w:rsidRPr="00324179">
        <w:rPr>
          <w:rFonts w:ascii="Calibri" w:hAnsi="Calibri" w:cs="Calibri"/>
          <w:b/>
          <w:spacing w:val="-4"/>
          <w:sz w:val="20"/>
          <w:szCs w:val="20"/>
        </w:rPr>
        <w:t xml:space="preserve"> </w:t>
      </w:r>
      <w:r w:rsidRPr="00324179">
        <w:rPr>
          <w:rFonts w:ascii="Calibri" w:hAnsi="Calibri" w:cs="Calibri"/>
          <w:b/>
          <w:sz w:val="20"/>
          <w:szCs w:val="20"/>
        </w:rPr>
        <w:t>C4.</w:t>
      </w:r>
    </w:p>
    <w:p w14:paraId="13DD3C11" w14:textId="77777777" w:rsidR="00324179" w:rsidRPr="00324179" w:rsidRDefault="00324179" w:rsidP="00324179">
      <w:pPr>
        <w:pStyle w:val="Tekstpodstawowy"/>
        <w:spacing w:line="240" w:lineRule="auto"/>
        <w:jc w:val="both"/>
        <w:rPr>
          <w:rFonts w:ascii="Calibri" w:hAnsi="Calibri" w:cs="Calibri"/>
          <w:sz w:val="20"/>
          <w:szCs w:val="20"/>
        </w:rPr>
      </w:pPr>
      <w:r w:rsidRPr="00324179">
        <w:rPr>
          <w:rFonts w:ascii="Calibri" w:hAnsi="Calibri" w:cs="Calibri"/>
          <w:sz w:val="20"/>
          <w:szCs w:val="20"/>
        </w:rPr>
        <w:t>Wskaźnik zagęszczenia warstwy należy sprawdzać na próbkach wyciętych z zagęszczonej warstwy</w:t>
      </w:r>
      <w:r w:rsidRPr="00324179">
        <w:rPr>
          <w:rFonts w:ascii="Calibri" w:hAnsi="Calibri" w:cs="Calibri"/>
          <w:spacing w:val="61"/>
          <w:sz w:val="20"/>
          <w:szCs w:val="20"/>
        </w:rPr>
        <w:t xml:space="preserve"> </w:t>
      </w:r>
      <w:r w:rsidRPr="00324179">
        <w:rPr>
          <w:rFonts w:ascii="Calibri" w:hAnsi="Calibri" w:cs="Calibri"/>
          <w:sz w:val="20"/>
          <w:szCs w:val="20"/>
        </w:rPr>
        <w:t>z</w:t>
      </w:r>
      <w:r w:rsidRPr="00324179">
        <w:rPr>
          <w:rFonts w:ascii="Calibri" w:hAnsi="Calibri" w:cs="Calibri"/>
          <w:spacing w:val="63"/>
          <w:sz w:val="20"/>
          <w:szCs w:val="20"/>
        </w:rPr>
        <w:t xml:space="preserve"> </w:t>
      </w:r>
      <w:r w:rsidRPr="00324179">
        <w:rPr>
          <w:rFonts w:ascii="Calibri" w:hAnsi="Calibri" w:cs="Calibri"/>
          <w:sz w:val="20"/>
          <w:szCs w:val="20"/>
        </w:rPr>
        <w:t>częstością</w:t>
      </w:r>
      <w:r w:rsidRPr="00324179">
        <w:rPr>
          <w:rFonts w:ascii="Calibri" w:hAnsi="Calibri" w:cs="Calibri"/>
          <w:spacing w:val="62"/>
          <w:sz w:val="20"/>
          <w:szCs w:val="20"/>
        </w:rPr>
        <w:t xml:space="preserve"> </w:t>
      </w:r>
      <w:r w:rsidRPr="00324179">
        <w:rPr>
          <w:rFonts w:ascii="Calibri" w:hAnsi="Calibri" w:cs="Calibri"/>
          <w:sz w:val="20"/>
          <w:szCs w:val="20"/>
        </w:rPr>
        <w:t>podaną</w:t>
      </w:r>
      <w:r w:rsidRPr="00324179">
        <w:rPr>
          <w:rFonts w:ascii="Calibri" w:hAnsi="Calibri" w:cs="Calibri"/>
          <w:spacing w:val="63"/>
          <w:sz w:val="20"/>
          <w:szCs w:val="20"/>
        </w:rPr>
        <w:t xml:space="preserve"> </w:t>
      </w:r>
      <w:r w:rsidRPr="00324179">
        <w:rPr>
          <w:rFonts w:ascii="Calibri" w:hAnsi="Calibri" w:cs="Calibri"/>
          <w:sz w:val="20"/>
          <w:szCs w:val="20"/>
        </w:rPr>
        <w:t>w</w:t>
      </w:r>
      <w:r w:rsidRPr="00324179">
        <w:rPr>
          <w:rFonts w:ascii="Calibri" w:hAnsi="Calibri" w:cs="Calibri"/>
          <w:spacing w:val="62"/>
          <w:sz w:val="20"/>
          <w:szCs w:val="20"/>
        </w:rPr>
        <w:t xml:space="preserve"> </w:t>
      </w:r>
      <w:r w:rsidRPr="00324179">
        <w:rPr>
          <w:rFonts w:ascii="Calibri" w:hAnsi="Calibri" w:cs="Calibri"/>
          <w:sz w:val="20"/>
          <w:szCs w:val="20"/>
        </w:rPr>
        <w:t>pkt.</w:t>
      </w:r>
      <w:r w:rsidRPr="00324179">
        <w:rPr>
          <w:rFonts w:ascii="Calibri" w:hAnsi="Calibri" w:cs="Calibri"/>
          <w:spacing w:val="62"/>
          <w:sz w:val="20"/>
          <w:szCs w:val="20"/>
        </w:rPr>
        <w:t xml:space="preserve"> </w:t>
      </w:r>
      <w:r w:rsidRPr="00324179">
        <w:rPr>
          <w:rFonts w:ascii="Calibri" w:hAnsi="Calibri" w:cs="Calibri"/>
          <w:sz w:val="20"/>
          <w:szCs w:val="20"/>
        </w:rPr>
        <w:t>6.2.</w:t>
      </w:r>
      <w:r w:rsidRPr="00324179">
        <w:rPr>
          <w:rFonts w:ascii="Calibri" w:hAnsi="Calibri" w:cs="Calibri"/>
          <w:spacing w:val="63"/>
          <w:sz w:val="20"/>
          <w:szCs w:val="20"/>
        </w:rPr>
        <w:t xml:space="preserve"> </w:t>
      </w:r>
      <w:r w:rsidRPr="00324179">
        <w:rPr>
          <w:rFonts w:ascii="Calibri" w:hAnsi="Calibri" w:cs="Calibri"/>
          <w:sz w:val="20"/>
          <w:szCs w:val="20"/>
        </w:rPr>
        <w:t>Wskaźnik</w:t>
      </w:r>
      <w:r w:rsidRPr="00324179">
        <w:rPr>
          <w:rFonts w:ascii="Calibri" w:hAnsi="Calibri" w:cs="Calibri"/>
          <w:spacing w:val="62"/>
          <w:sz w:val="20"/>
          <w:szCs w:val="20"/>
        </w:rPr>
        <w:t xml:space="preserve"> </w:t>
      </w:r>
      <w:r w:rsidRPr="00324179">
        <w:rPr>
          <w:rFonts w:ascii="Calibri" w:hAnsi="Calibri" w:cs="Calibri"/>
          <w:sz w:val="20"/>
          <w:szCs w:val="20"/>
        </w:rPr>
        <w:t>zagęszczenia</w:t>
      </w:r>
      <w:r w:rsidRPr="00324179">
        <w:rPr>
          <w:rFonts w:ascii="Calibri" w:hAnsi="Calibri" w:cs="Calibri"/>
          <w:spacing w:val="62"/>
          <w:sz w:val="20"/>
          <w:szCs w:val="20"/>
        </w:rPr>
        <w:t xml:space="preserve"> </w:t>
      </w:r>
      <w:r w:rsidRPr="00324179">
        <w:rPr>
          <w:rFonts w:ascii="Calibri" w:hAnsi="Calibri" w:cs="Calibri"/>
          <w:sz w:val="20"/>
          <w:szCs w:val="20"/>
        </w:rPr>
        <w:t>nie</w:t>
      </w:r>
      <w:r w:rsidRPr="00324179">
        <w:rPr>
          <w:rFonts w:ascii="Calibri" w:hAnsi="Calibri" w:cs="Calibri"/>
          <w:spacing w:val="61"/>
          <w:sz w:val="20"/>
          <w:szCs w:val="20"/>
        </w:rPr>
        <w:t xml:space="preserve"> </w:t>
      </w:r>
      <w:r w:rsidRPr="00324179">
        <w:rPr>
          <w:rFonts w:ascii="Calibri" w:hAnsi="Calibri" w:cs="Calibri"/>
          <w:sz w:val="20"/>
          <w:szCs w:val="20"/>
        </w:rPr>
        <w:t>może</w:t>
      </w:r>
      <w:r w:rsidRPr="00324179">
        <w:rPr>
          <w:rFonts w:ascii="Calibri" w:hAnsi="Calibri" w:cs="Calibri"/>
          <w:spacing w:val="61"/>
          <w:sz w:val="20"/>
          <w:szCs w:val="20"/>
        </w:rPr>
        <w:t xml:space="preserve"> </w:t>
      </w:r>
      <w:r w:rsidRPr="00324179">
        <w:rPr>
          <w:rFonts w:ascii="Calibri" w:hAnsi="Calibri" w:cs="Calibri"/>
          <w:sz w:val="20"/>
          <w:szCs w:val="20"/>
        </w:rPr>
        <w:t>być</w:t>
      </w:r>
      <w:r w:rsidRPr="00324179">
        <w:rPr>
          <w:rFonts w:ascii="Calibri" w:hAnsi="Calibri" w:cs="Calibri"/>
          <w:spacing w:val="61"/>
          <w:sz w:val="20"/>
          <w:szCs w:val="20"/>
        </w:rPr>
        <w:t xml:space="preserve"> </w:t>
      </w:r>
      <w:r w:rsidRPr="00324179">
        <w:rPr>
          <w:rFonts w:ascii="Calibri" w:hAnsi="Calibri" w:cs="Calibri"/>
          <w:sz w:val="20"/>
          <w:szCs w:val="20"/>
        </w:rPr>
        <w:t>niższy</w:t>
      </w:r>
      <w:r w:rsidRPr="00324179">
        <w:rPr>
          <w:rFonts w:ascii="Calibri" w:hAnsi="Calibri" w:cs="Calibri"/>
          <w:spacing w:val="61"/>
          <w:sz w:val="20"/>
          <w:szCs w:val="20"/>
        </w:rPr>
        <w:t xml:space="preserve"> </w:t>
      </w:r>
      <w:r w:rsidRPr="00324179">
        <w:rPr>
          <w:rFonts w:ascii="Calibri" w:hAnsi="Calibri" w:cs="Calibri"/>
          <w:sz w:val="20"/>
          <w:szCs w:val="20"/>
        </w:rPr>
        <w:t>niż 98,0%.. Wykonawca wytnie próbki na każde życzenie Inżyniera w miejscach wątpliwych przez niego wskazanych.</w:t>
      </w:r>
    </w:p>
    <w:p w14:paraId="295625BA" w14:textId="77777777" w:rsidR="00324179" w:rsidRPr="00324179" w:rsidRDefault="00324179" w:rsidP="00324179">
      <w:pPr>
        <w:pStyle w:val="Tekstpodstawowy"/>
        <w:spacing w:line="240" w:lineRule="auto"/>
        <w:jc w:val="both"/>
        <w:rPr>
          <w:rFonts w:ascii="Calibri" w:hAnsi="Calibri" w:cs="Calibri"/>
          <w:b/>
          <w:sz w:val="20"/>
          <w:szCs w:val="20"/>
        </w:rPr>
      </w:pPr>
      <w:r w:rsidRPr="00324179">
        <w:rPr>
          <w:rFonts w:ascii="Calibri" w:hAnsi="Calibri" w:cs="Calibri"/>
          <w:b/>
          <w:sz w:val="20"/>
          <w:szCs w:val="20"/>
        </w:rPr>
        <w:t>6.3.6 Wolna przestrzeń w zagęszczonej warstwie wg PN-EN</w:t>
      </w:r>
      <w:r w:rsidRPr="00324179">
        <w:rPr>
          <w:rFonts w:ascii="Calibri" w:hAnsi="Calibri" w:cs="Calibri"/>
          <w:b/>
          <w:spacing w:val="-5"/>
          <w:sz w:val="20"/>
          <w:szCs w:val="20"/>
        </w:rPr>
        <w:t xml:space="preserve"> </w:t>
      </w:r>
      <w:r w:rsidRPr="00324179">
        <w:rPr>
          <w:rFonts w:ascii="Calibri" w:hAnsi="Calibri" w:cs="Calibri"/>
          <w:b/>
          <w:sz w:val="20"/>
          <w:szCs w:val="20"/>
        </w:rPr>
        <w:t>12697-8.</w:t>
      </w:r>
    </w:p>
    <w:p w14:paraId="68F22A55" w14:textId="77777777" w:rsidR="00324179" w:rsidRPr="00324179" w:rsidRDefault="00324179" w:rsidP="00324179">
      <w:pPr>
        <w:pStyle w:val="Tekstpodstawowy"/>
        <w:spacing w:line="240" w:lineRule="auto"/>
        <w:jc w:val="both"/>
        <w:rPr>
          <w:rFonts w:ascii="Calibri" w:hAnsi="Calibri" w:cs="Calibri"/>
          <w:sz w:val="20"/>
          <w:szCs w:val="20"/>
        </w:rPr>
      </w:pPr>
      <w:r w:rsidRPr="00324179">
        <w:rPr>
          <w:rFonts w:ascii="Calibri" w:hAnsi="Calibri" w:cs="Calibri"/>
          <w:sz w:val="20"/>
          <w:szCs w:val="20"/>
        </w:rPr>
        <w:t>Do obliczenia wolnej przestrzeni w warstwie należy przyjmować gęstość mieszanki mineralno asfaltowej oznaczonej w dniu wykonywania kontrolowanej działki roboczej. Zawartość wolnej przestrzeni w warstwie powinna mieścić się w granicach określonych w WT-2 2016 część II. Zawartość wolnej przestrzeni w warstwie należy sprawdzać z częstością podaną w pkt. 6.2.</w:t>
      </w:r>
    </w:p>
    <w:p w14:paraId="2D4EEFF2" w14:textId="77777777" w:rsidR="00324179" w:rsidRPr="00324179" w:rsidRDefault="00324179" w:rsidP="00324179">
      <w:pPr>
        <w:pStyle w:val="Tekstpodstawowy"/>
        <w:spacing w:line="240" w:lineRule="auto"/>
        <w:jc w:val="both"/>
        <w:rPr>
          <w:rFonts w:ascii="Calibri" w:hAnsi="Calibri" w:cs="Calibri"/>
          <w:b/>
          <w:sz w:val="20"/>
          <w:szCs w:val="20"/>
        </w:rPr>
      </w:pPr>
      <w:r w:rsidRPr="00324179">
        <w:rPr>
          <w:rFonts w:ascii="Calibri" w:hAnsi="Calibri" w:cs="Calibri"/>
          <w:b/>
          <w:sz w:val="20"/>
          <w:szCs w:val="20"/>
        </w:rPr>
        <w:t>6.3.7 Wytrzymałość na ścinanie połączeń</w:t>
      </w:r>
      <w:r w:rsidRPr="00324179">
        <w:rPr>
          <w:rFonts w:ascii="Calibri" w:hAnsi="Calibri" w:cs="Calibri"/>
          <w:b/>
          <w:spacing w:val="2"/>
          <w:sz w:val="20"/>
          <w:szCs w:val="20"/>
        </w:rPr>
        <w:t xml:space="preserve"> </w:t>
      </w:r>
      <w:r w:rsidRPr="00324179">
        <w:rPr>
          <w:rFonts w:ascii="Calibri" w:hAnsi="Calibri" w:cs="Calibri"/>
          <w:b/>
          <w:sz w:val="20"/>
          <w:szCs w:val="20"/>
        </w:rPr>
        <w:t>międzywarstwowych.</w:t>
      </w:r>
    </w:p>
    <w:p w14:paraId="4857F46D" w14:textId="77777777" w:rsidR="00324179" w:rsidRPr="00324179" w:rsidRDefault="00324179" w:rsidP="00324179">
      <w:pPr>
        <w:pStyle w:val="Tekstpodstawowy"/>
        <w:spacing w:line="240" w:lineRule="auto"/>
        <w:jc w:val="both"/>
        <w:rPr>
          <w:rFonts w:ascii="Calibri" w:hAnsi="Calibri" w:cs="Calibri"/>
          <w:sz w:val="20"/>
          <w:szCs w:val="20"/>
        </w:rPr>
      </w:pPr>
      <w:r w:rsidRPr="00324179">
        <w:rPr>
          <w:rFonts w:ascii="Calibri" w:hAnsi="Calibri" w:cs="Calibri"/>
          <w:sz w:val="20"/>
          <w:szCs w:val="20"/>
        </w:rPr>
        <w:t>Badanie sczepności międzywarstwowej należy wykonać wg metody Leutnera na próbkach Ø 150±2mm lub Ø 100±2mm zgodnie z „Instrukcją laboratoryjnego badania sczepności międzywarstwowej warstw asfaltowych wg metody Leutnera i wymagania techniczne sczepności. 2014”. Wymagania wartość dla połączenia międzywarstwowego określono w WT-2 2016 część II.</w:t>
      </w:r>
    </w:p>
    <w:p w14:paraId="7148C772" w14:textId="77777777" w:rsidR="00324179" w:rsidRPr="00324179" w:rsidRDefault="00324179" w:rsidP="00324179">
      <w:pPr>
        <w:pStyle w:val="Tekstpodstawowy"/>
        <w:spacing w:line="240" w:lineRule="auto"/>
        <w:jc w:val="both"/>
        <w:rPr>
          <w:rFonts w:ascii="Calibri" w:hAnsi="Calibri" w:cs="Calibri"/>
          <w:b/>
          <w:sz w:val="20"/>
          <w:szCs w:val="20"/>
        </w:rPr>
      </w:pPr>
      <w:r w:rsidRPr="00324179">
        <w:rPr>
          <w:rFonts w:ascii="Calibri" w:hAnsi="Calibri" w:cs="Calibri"/>
          <w:b/>
          <w:sz w:val="20"/>
          <w:szCs w:val="20"/>
        </w:rPr>
        <w:t>6.3.8 Temperatura mięknienia lepiszcza</w:t>
      </w:r>
      <w:r w:rsidRPr="00324179">
        <w:rPr>
          <w:rFonts w:ascii="Calibri" w:hAnsi="Calibri" w:cs="Calibri"/>
          <w:b/>
          <w:spacing w:val="-3"/>
          <w:sz w:val="20"/>
          <w:szCs w:val="20"/>
        </w:rPr>
        <w:t xml:space="preserve"> </w:t>
      </w:r>
      <w:r w:rsidRPr="00324179">
        <w:rPr>
          <w:rFonts w:ascii="Calibri" w:hAnsi="Calibri" w:cs="Calibri"/>
          <w:b/>
          <w:sz w:val="20"/>
          <w:szCs w:val="20"/>
        </w:rPr>
        <w:t>odzyskanego.</w:t>
      </w:r>
    </w:p>
    <w:p w14:paraId="1018560E" w14:textId="77777777" w:rsidR="00324179" w:rsidRPr="00324179" w:rsidRDefault="00324179" w:rsidP="00324179">
      <w:pPr>
        <w:pStyle w:val="Tekstpodstawowy"/>
        <w:spacing w:line="240" w:lineRule="auto"/>
        <w:jc w:val="both"/>
        <w:rPr>
          <w:rFonts w:ascii="Calibri" w:hAnsi="Calibri" w:cs="Calibri"/>
          <w:sz w:val="20"/>
          <w:szCs w:val="20"/>
        </w:rPr>
      </w:pPr>
      <w:r w:rsidRPr="00324179">
        <w:rPr>
          <w:rFonts w:ascii="Calibri" w:hAnsi="Calibri" w:cs="Calibri"/>
          <w:sz w:val="20"/>
          <w:szCs w:val="20"/>
        </w:rPr>
        <w:t>Wymagania dla</w:t>
      </w:r>
      <w:r w:rsidRPr="00324179">
        <w:rPr>
          <w:rFonts w:ascii="Calibri" w:hAnsi="Calibri" w:cs="Calibri"/>
          <w:sz w:val="20"/>
          <w:szCs w:val="20"/>
        </w:rPr>
        <w:tab/>
        <w:t>temperatury mięknienia lepiszcza odzyskanego zgodnie z pkt.8.1.1.Nawierzchnie Asfaltowe Na Drogach Krajowych 2016 – część</w:t>
      </w:r>
      <w:r w:rsidRPr="00324179">
        <w:rPr>
          <w:rFonts w:ascii="Calibri" w:hAnsi="Calibri" w:cs="Calibri"/>
          <w:spacing w:val="-4"/>
          <w:sz w:val="20"/>
          <w:szCs w:val="20"/>
        </w:rPr>
        <w:t xml:space="preserve"> </w:t>
      </w:r>
      <w:r w:rsidRPr="00324179">
        <w:rPr>
          <w:rFonts w:ascii="Calibri" w:hAnsi="Calibri" w:cs="Calibri"/>
          <w:sz w:val="20"/>
          <w:szCs w:val="20"/>
        </w:rPr>
        <w:t>II.</w:t>
      </w:r>
    </w:p>
    <w:p w14:paraId="10AA1175" w14:textId="77777777" w:rsidR="00324179" w:rsidRPr="00324179" w:rsidRDefault="00324179" w:rsidP="00324179">
      <w:pPr>
        <w:pStyle w:val="Nagwek4"/>
        <w:spacing w:before="0" w:after="0"/>
        <w:rPr>
          <w:rFonts w:ascii="Calibri" w:hAnsi="Calibri" w:cs="Calibri"/>
        </w:rPr>
      </w:pPr>
      <w:r w:rsidRPr="00324179">
        <w:rPr>
          <w:rFonts w:ascii="Calibri" w:hAnsi="Calibri" w:cs="Calibri"/>
        </w:rPr>
        <w:t>6.4 Badania cech geometrycznych warstwy z</w:t>
      </w:r>
      <w:r w:rsidRPr="00324179">
        <w:rPr>
          <w:rFonts w:ascii="Calibri" w:hAnsi="Calibri" w:cs="Calibri"/>
          <w:spacing w:val="-20"/>
        </w:rPr>
        <w:t xml:space="preserve"> </w:t>
      </w:r>
      <w:r w:rsidRPr="00324179">
        <w:rPr>
          <w:rFonts w:ascii="Calibri" w:hAnsi="Calibri" w:cs="Calibri"/>
        </w:rPr>
        <w:t>MMA</w:t>
      </w:r>
    </w:p>
    <w:p w14:paraId="47E135E1" w14:textId="5823F638" w:rsidR="00324179" w:rsidRPr="00324179" w:rsidRDefault="00324179" w:rsidP="00324179">
      <w:pPr>
        <w:pStyle w:val="Tekstpodstawowy"/>
        <w:spacing w:line="240" w:lineRule="auto"/>
        <w:jc w:val="both"/>
        <w:rPr>
          <w:rFonts w:ascii="Calibri" w:hAnsi="Calibri" w:cs="Calibri"/>
          <w:sz w:val="20"/>
          <w:szCs w:val="20"/>
        </w:rPr>
      </w:pPr>
      <w:r w:rsidRPr="00324179">
        <w:rPr>
          <w:rFonts w:ascii="Calibri" w:hAnsi="Calibri" w:cs="Calibri"/>
          <w:sz w:val="20"/>
          <w:szCs w:val="20"/>
        </w:rPr>
        <w:t xml:space="preserve">Częstość oraz zakres badań i pomiarów podano w tablicy </w:t>
      </w:r>
      <w:r w:rsidR="00BA767E">
        <w:rPr>
          <w:rFonts w:ascii="Calibri" w:hAnsi="Calibri" w:cs="Calibri"/>
          <w:sz w:val="20"/>
          <w:szCs w:val="20"/>
        </w:rPr>
        <w:t>5</w:t>
      </w:r>
    </w:p>
    <w:p w14:paraId="21344436" w14:textId="66494CAE" w:rsidR="00324179" w:rsidRPr="00324179" w:rsidRDefault="00324179" w:rsidP="00324179">
      <w:pPr>
        <w:pStyle w:val="Tekstpodstawowy"/>
        <w:spacing w:line="240" w:lineRule="auto"/>
        <w:jc w:val="both"/>
        <w:rPr>
          <w:rFonts w:ascii="Calibri" w:hAnsi="Calibri" w:cs="Calibri"/>
          <w:sz w:val="20"/>
          <w:szCs w:val="20"/>
        </w:rPr>
      </w:pPr>
      <w:r w:rsidRPr="00324179">
        <w:rPr>
          <w:rFonts w:ascii="Calibri" w:hAnsi="Calibri" w:cs="Calibri"/>
          <w:sz w:val="20"/>
          <w:szCs w:val="20"/>
        </w:rPr>
        <w:t xml:space="preserve">Tablica </w:t>
      </w:r>
      <w:r w:rsidR="00BA767E">
        <w:rPr>
          <w:rFonts w:ascii="Calibri" w:hAnsi="Calibri" w:cs="Calibri"/>
          <w:sz w:val="20"/>
          <w:szCs w:val="20"/>
        </w:rPr>
        <w:t>5</w:t>
      </w:r>
      <w:r w:rsidRPr="00324179">
        <w:rPr>
          <w:rFonts w:ascii="Calibri" w:hAnsi="Calibri" w:cs="Calibri"/>
          <w:sz w:val="20"/>
          <w:szCs w:val="20"/>
        </w:rPr>
        <w:t xml:space="preserve"> Częstość oraz zakres badań</w:t>
      </w:r>
    </w:p>
    <w:tbl>
      <w:tblPr>
        <w:tblStyle w:val="TableNormal"/>
        <w:tblW w:w="8706" w:type="dxa"/>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36"/>
        <w:gridCol w:w="3260"/>
        <w:gridCol w:w="4810"/>
      </w:tblGrid>
      <w:tr w:rsidR="00324179" w:rsidRPr="00324179" w14:paraId="3F5A5E55" w14:textId="77777777" w:rsidTr="00375F64">
        <w:trPr>
          <w:trHeight w:val="760"/>
        </w:trPr>
        <w:tc>
          <w:tcPr>
            <w:tcW w:w="636" w:type="dxa"/>
            <w:tcBorders>
              <w:top w:val="single" w:sz="4" w:space="0" w:color="000000"/>
              <w:left w:val="single" w:sz="4" w:space="0" w:color="000000"/>
              <w:bottom w:val="single" w:sz="4" w:space="0" w:color="000000"/>
              <w:right w:val="single" w:sz="4" w:space="0" w:color="000000"/>
            </w:tcBorders>
            <w:hideMark/>
          </w:tcPr>
          <w:p w14:paraId="6D2987B5" w14:textId="77777777" w:rsidR="00324179" w:rsidRPr="00324179" w:rsidRDefault="00324179" w:rsidP="00324179">
            <w:pPr>
              <w:pStyle w:val="Tekstpodstawowy"/>
              <w:spacing w:line="240" w:lineRule="auto"/>
              <w:jc w:val="both"/>
              <w:rPr>
                <w:rFonts w:ascii="Calibri" w:hAnsi="Calibri" w:cs="Calibri"/>
                <w:sz w:val="20"/>
                <w:szCs w:val="20"/>
              </w:rPr>
            </w:pPr>
            <w:r w:rsidRPr="00324179">
              <w:rPr>
                <w:rFonts w:ascii="Calibri" w:hAnsi="Calibri" w:cs="Calibri"/>
                <w:sz w:val="20"/>
                <w:szCs w:val="20"/>
              </w:rPr>
              <w:t>Lp.</w:t>
            </w:r>
          </w:p>
        </w:tc>
        <w:tc>
          <w:tcPr>
            <w:tcW w:w="3260" w:type="dxa"/>
            <w:tcBorders>
              <w:top w:val="single" w:sz="4" w:space="0" w:color="000000"/>
              <w:left w:val="single" w:sz="4" w:space="0" w:color="000000"/>
              <w:bottom w:val="single" w:sz="4" w:space="0" w:color="000000"/>
              <w:right w:val="single" w:sz="4" w:space="0" w:color="000000"/>
            </w:tcBorders>
            <w:hideMark/>
          </w:tcPr>
          <w:p w14:paraId="6D481E84" w14:textId="77777777" w:rsidR="00324179" w:rsidRPr="00324179" w:rsidRDefault="00324179" w:rsidP="00324179">
            <w:pPr>
              <w:pStyle w:val="Tekstpodstawowy"/>
              <w:spacing w:line="240" w:lineRule="auto"/>
              <w:jc w:val="both"/>
              <w:rPr>
                <w:rFonts w:ascii="Calibri" w:hAnsi="Calibri" w:cs="Calibri"/>
                <w:sz w:val="20"/>
                <w:szCs w:val="20"/>
              </w:rPr>
            </w:pPr>
            <w:r w:rsidRPr="00324179">
              <w:rPr>
                <w:rFonts w:ascii="Calibri" w:hAnsi="Calibri" w:cs="Calibri"/>
                <w:sz w:val="20"/>
                <w:szCs w:val="20"/>
              </w:rPr>
              <w:t>Badana cecha</w:t>
            </w:r>
          </w:p>
        </w:tc>
        <w:tc>
          <w:tcPr>
            <w:tcW w:w="4810" w:type="dxa"/>
            <w:tcBorders>
              <w:top w:val="single" w:sz="4" w:space="0" w:color="000000"/>
              <w:left w:val="single" w:sz="4" w:space="0" w:color="000000"/>
              <w:bottom w:val="single" w:sz="4" w:space="0" w:color="000000"/>
              <w:right w:val="single" w:sz="4" w:space="0" w:color="000000"/>
            </w:tcBorders>
            <w:hideMark/>
          </w:tcPr>
          <w:p w14:paraId="02C7A039" w14:textId="77777777" w:rsidR="00324179" w:rsidRPr="00324179" w:rsidRDefault="00324179" w:rsidP="00324179">
            <w:pPr>
              <w:pStyle w:val="Tekstpodstawowy"/>
              <w:spacing w:line="240" w:lineRule="auto"/>
              <w:jc w:val="both"/>
              <w:rPr>
                <w:rFonts w:ascii="Calibri" w:hAnsi="Calibri" w:cs="Calibri"/>
                <w:sz w:val="20"/>
                <w:szCs w:val="20"/>
                <w:lang w:val="pl-PL"/>
              </w:rPr>
            </w:pPr>
            <w:r w:rsidRPr="00324179">
              <w:rPr>
                <w:rFonts w:ascii="Calibri" w:hAnsi="Calibri" w:cs="Calibri"/>
                <w:sz w:val="20"/>
                <w:szCs w:val="20"/>
                <w:lang w:val="pl-PL"/>
              </w:rPr>
              <w:t>Minimalna częstość badań i pomiarów</w:t>
            </w:r>
          </w:p>
        </w:tc>
      </w:tr>
      <w:tr w:rsidR="00324179" w:rsidRPr="00324179" w14:paraId="4612C73E" w14:textId="77777777" w:rsidTr="00375F64">
        <w:trPr>
          <w:trHeight w:val="410"/>
        </w:trPr>
        <w:tc>
          <w:tcPr>
            <w:tcW w:w="636" w:type="dxa"/>
            <w:tcBorders>
              <w:top w:val="single" w:sz="4" w:space="0" w:color="000000"/>
              <w:left w:val="single" w:sz="4" w:space="0" w:color="000000"/>
              <w:bottom w:val="single" w:sz="4" w:space="0" w:color="000000"/>
              <w:right w:val="single" w:sz="4" w:space="0" w:color="000000"/>
            </w:tcBorders>
            <w:hideMark/>
          </w:tcPr>
          <w:p w14:paraId="08E1C27E" w14:textId="77777777" w:rsidR="00324179" w:rsidRPr="00324179" w:rsidRDefault="00324179" w:rsidP="00324179">
            <w:pPr>
              <w:pStyle w:val="Tekstpodstawowy"/>
              <w:spacing w:line="240" w:lineRule="auto"/>
              <w:jc w:val="both"/>
              <w:rPr>
                <w:rFonts w:ascii="Calibri" w:hAnsi="Calibri" w:cs="Calibri"/>
                <w:sz w:val="20"/>
                <w:szCs w:val="20"/>
              </w:rPr>
            </w:pPr>
            <w:r w:rsidRPr="00324179">
              <w:rPr>
                <w:rFonts w:ascii="Calibri" w:hAnsi="Calibri" w:cs="Calibri"/>
                <w:sz w:val="20"/>
                <w:szCs w:val="20"/>
              </w:rPr>
              <w:t>1</w:t>
            </w:r>
          </w:p>
        </w:tc>
        <w:tc>
          <w:tcPr>
            <w:tcW w:w="3260" w:type="dxa"/>
            <w:tcBorders>
              <w:top w:val="single" w:sz="4" w:space="0" w:color="000000"/>
              <w:left w:val="single" w:sz="4" w:space="0" w:color="000000"/>
              <w:bottom w:val="single" w:sz="4" w:space="0" w:color="000000"/>
              <w:right w:val="single" w:sz="4" w:space="0" w:color="000000"/>
            </w:tcBorders>
            <w:hideMark/>
          </w:tcPr>
          <w:p w14:paraId="57EF1D8F" w14:textId="77777777" w:rsidR="00324179" w:rsidRPr="00324179" w:rsidRDefault="00324179" w:rsidP="00324179">
            <w:pPr>
              <w:pStyle w:val="Tekstpodstawowy"/>
              <w:spacing w:line="240" w:lineRule="auto"/>
              <w:jc w:val="both"/>
              <w:rPr>
                <w:rFonts w:ascii="Calibri" w:hAnsi="Calibri" w:cs="Calibri"/>
                <w:sz w:val="20"/>
                <w:szCs w:val="20"/>
              </w:rPr>
            </w:pPr>
            <w:r w:rsidRPr="00324179">
              <w:rPr>
                <w:rFonts w:ascii="Calibri" w:hAnsi="Calibri" w:cs="Calibri"/>
                <w:sz w:val="20"/>
                <w:szCs w:val="20"/>
              </w:rPr>
              <w:t>Szerokość warstwy</w:t>
            </w:r>
          </w:p>
        </w:tc>
        <w:tc>
          <w:tcPr>
            <w:tcW w:w="4810" w:type="dxa"/>
            <w:tcBorders>
              <w:top w:val="single" w:sz="4" w:space="0" w:color="000000"/>
              <w:left w:val="single" w:sz="4" w:space="0" w:color="000000"/>
              <w:bottom w:val="single" w:sz="4" w:space="0" w:color="000000"/>
              <w:right w:val="single" w:sz="4" w:space="0" w:color="000000"/>
            </w:tcBorders>
            <w:hideMark/>
          </w:tcPr>
          <w:p w14:paraId="0B4DE339" w14:textId="77777777" w:rsidR="00324179" w:rsidRPr="00324179" w:rsidRDefault="00324179" w:rsidP="00324179">
            <w:pPr>
              <w:pStyle w:val="Tekstpodstawowy"/>
              <w:spacing w:line="240" w:lineRule="auto"/>
              <w:jc w:val="both"/>
              <w:rPr>
                <w:rFonts w:ascii="Calibri" w:hAnsi="Calibri" w:cs="Calibri"/>
                <w:sz w:val="20"/>
                <w:szCs w:val="20"/>
              </w:rPr>
            </w:pPr>
            <w:r w:rsidRPr="00324179">
              <w:rPr>
                <w:rFonts w:ascii="Calibri" w:hAnsi="Calibri" w:cs="Calibri"/>
                <w:sz w:val="20"/>
                <w:szCs w:val="20"/>
              </w:rPr>
              <w:t>10 razy na 1 km jezdni</w:t>
            </w:r>
          </w:p>
        </w:tc>
      </w:tr>
      <w:tr w:rsidR="00324179" w:rsidRPr="00324179" w14:paraId="3F4AE2FF" w14:textId="77777777" w:rsidTr="00375F64">
        <w:trPr>
          <w:trHeight w:val="917"/>
        </w:trPr>
        <w:tc>
          <w:tcPr>
            <w:tcW w:w="636" w:type="dxa"/>
            <w:tcBorders>
              <w:top w:val="single" w:sz="4" w:space="0" w:color="000000"/>
              <w:left w:val="single" w:sz="4" w:space="0" w:color="000000"/>
              <w:bottom w:val="single" w:sz="4" w:space="0" w:color="000000"/>
              <w:right w:val="single" w:sz="4" w:space="0" w:color="000000"/>
            </w:tcBorders>
            <w:hideMark/>
          </w:tcPr>
          <w:p w14:paraId="59725E94" w14:textId="77777777" w:rsidR="00324179" w:rsidRPr="00324179" w:rsidRDefault="00324179" w:rsidP="00324179">
            <w:pPr>
              <w:pStyle w:val="Tekstpodstawowy"/>
              <w:spacing w:line="240" w:lineRule="auto"/>
              <w:jc w:val="both"/>
              <w:rPr>
                <w:rFonts w:ascii="Calibri" w:hAnsi="Calibri" w:cs="Calibri"/>
                <w:sz w:val="20"/>
                <w:szCs w:val="20"/>
              </w:rPr>
            </w:pPr>
            <w:r w:rsidRPr="00324179">
              <w:rPr>
                <w:rFonts w:ascii="Calibri" w:hAnsi="Calibri" w:cs="Calibri"/>
                <w:sz w:val="20"/>
                <w:szCs w:val="20"/>
              </w:rPr>
              <w:t>2</w:t>
            </w:r>
          </w:p>
        </w:tc>
        <w:tc>
          <w:tcPr>
            <w:tcW w:w="3260" w:type="dxa"/>
            <w:tcBorders>
              <w:top w:val="single" w:sz="4" w:space="0" w:color="000000"/>
              <w:left w:val="single" w:sz="4" w:space="0" w:color="000000"/>
              <w:bottom w:val="single" w:sz="4" w:space="0" w:color="000000"/>
              <w:right w:val="single" w:sz="4" w:space="0" w:color="000000"/>
            </w:tcBorders>
            <w:hideMark/>
          </w:tcPr>
          <w:p w14:paraId="13A3316E" w14:textId="77777777" w:rsidR="00324179" w:rsidRPr="00324179" w:rsidRDefault="00324179" w:rsidP="00324179">
            <w:pPr>
              <w:pStyle w:val="Tekstpodstawowy"/>
              <w:spacing w:line="240" w:lineRule="auto"/>
              <w:jc w:val="both"/>
              <w:rPr>
                <w:rFonts w:ascii="Calibri" w:hAnsi="Calibri" w:cs="Calibri"/>
                <w:sz w:val="20"/>
                <w:szCs w:val="20"/>
              </w:rPr>
            </w:pPr>
            <w:r w:rsidRPr="00324179">
              <w:rPr>
                <w:rFonts w:ascii="Calibri" w:hAnsi="Calibri" w:cs="Calibri"/>
                <w:sz w:val="20"/>
                <w:szCs w:val="20"/>
              </w:rPr>
              <w:t>Równość podłużna</w:t>
            </w:r>
          </w:p>
        </w:tc>
        <w:tc>
          <w:tcPr>
            <w:tcW w:w="4810" w:type="dxa"/>
            <w:tcBorders>
              <w:top w:val="single" w:sz="4" w:space="0" w:color="000000"/>
              <w:left w:val="single" w:sz="4" w:space="0" w:color="000000"/>
              <w:bottom w:val="single" w:sz="4" w:space="0" w:color="000000"/>
              <w:right w:val="single" w:sz="4" w:space="0" w:color="000000"/>
            </w:tcBorders>
            <w:hideMark/>
          </w:tcPr>
          <w:p w14:paraId="76ABFE62" w14:textId="77777777" w:rsidR="00324179" w:rsidRPr="00324179" w:rsidRDefault="00324179" w:rsidP="00324179">
            <w:pPr>
              <w:pStyle w:val="Tekstpodstawowy"/>
              <w:spacing w:line="240" w:lineRule="auto"/>
              <w:jc w:val="both"/>
              <w:rPr>
                <w:rFonts w:ascii="Calibri" w:hAnsi="Calibri" w:cs="Calibri"/>
                <w:sz w:val="20"/>
                <w:szCs w:val="20"/>
                <w:lang w:val="pl-PL"/>
              </w:rPr>
            </w:pPr>
            <w:r w:rsidRPr="00324179">
              <w:rPr>
                <w:rFonts w:ascii="Calibri" w:hAnsi="Calibri" w:cs="Calibri"/>
                <w:sz w:val="20"/>
                <w:szCs w:val="20"/>
                <w:lang w:val="pl-PL"/>
              </w:rPr>
              <w:t>Należy stosować metodę z wykorzystaniem łaty 4-metrowej i klina lub metodę równoważną użyciu łaty i klina (planograf). Pomiar wykonać należy w sposób ciągły na każdym pasie ruchu.</w:t>
            </w:r>
          </w:p>
        </w:tc>
      </w:tr>
      <w:tr w:rsidR="00324179" w:rsidRPr="00324179" w14:paraId="6679B442" w14:textId="77777777" w:rsidTr="00375F64">
        <w:trPr>
          <w:trHeight w:val="931"/>
        </w:trPr>
        <w:tc>
          <w:tcPr>
            <w:tcW w:w="636" w:type="dxa"/>
            <w:tcBorders>
              <w:top w:val="single" w:sz="4" w:space="0" w:color="000000"/>
              <w:left w:val="single" w:sz="4" w:space="0" w:color="000000"/>
              <w:bottom w:val="single" w:sz="4" w:space="0" w:color="000000"/>
              <w:right w:val="single" w:sz="4" w:space="0" w:color="000000"/>
            </w:tcBorders>
            <w:hideMark/>
          </w:tcPr>
          <w:p w14:paraId="36F331F8" w14:textId="77777777" w:rsidR="00324179" w:rsidRPr="00324179" w:rsidRDefault="00324179" w:rsidP="00324179">
            <w:pPr>
              <w:pStyle w:val="Tekstpodstawowy"/>
              <w:spacing w:line="240" w:lineRule="auto"/>
              <w:jc w:val="both"/>
              <w:rPr>
                <w:rFonts w:ascii="Calibri" w:hAnsi="Calibri" w:cs="Calibri"/>
                <w:sz w:val="20"/>
                <w:szCs w:val="20"/>
              </w:rPr>
            </w:pPr>
            <w:r w:rsidRPr="00324179">
              <w:rPr>
                <w:rFonts w:ascii="Calibri" w:hAnsi="Calibri" w:cs="Calibri"/>
                <w:sz w:val="20"/>
                <w:szCs w:val="20"/>
              </w:rPr>
              <w:t>3</w:t>
            </w:r>
          </w:p>
        </w:tc>
        <w:tc>
          <w:tcPr>
            <w:tcW w:w="3260" w:type="dxa"/>
            <w:tcBorders>
              <w:top w:val="single" w:sz="4" w:space="0" w:color="000000"/>
              <w:left w:val="single" w:sz="4" w:space="0" w:color="000000"/>
              <w:bottom w:val="single" w:sz="4" w:space="0" w:color="000000"/>
              <w:right w:val="single" w:sz="4" w:space="0" w:color="000000"/>
            </w:tcBorders>
            <w:hideMark/>
          </w:tcPr>
          <w:p w14:paraId="2AD0CF10" w14:textId="77777777" w:rsidR="00324179" w:rsidRPr="00324179" w:rsidRDefault="00324179" w:rsidP="00324179">
            <w:pPr>
              <w:pStyle w:val="Tekstpodstawowy"/>
              <w:spacing w:line="240" w:lineRule="auto"/>
              <w:jc w:val="both"/>
              <w:rPr>
                <w:rFonts w:ascii="Calibri" w:hAnsi="Calibri" w:cs="Calibri"/>
                <w:sz w:val="20"/>
                <w:szCs w:val="20"/>
              </w:rPr>
            </w:pPr>
            <w:r w:rsidRPr="00324179">
              <w:rPr>
                <w:rFonts w:ascii="Calibri" w:hAnsi="Calibri" w:cs="Calibri"/>
                <w:sz w:val="20"/>
                <w:szCs w:val="20"/>
              </w:rPr>
              <w:t>Równość poprzeczna</w:t>
            </w:r>
          </w:p>
        </w:tc>
        <w:tc>
          <w:tcPr>
            <w:tcW w:w="4810" w:type="dxa"/>
            <w:tcBorders>
              <w:top w:val="single" w:sz="4" w:space="0" w:color="000000"/>
              <w:left w:val="single" w:sz="4" w:space="0" w:color="000000"/>
              <w:bottom w:val="single" w:sz="4" w:space="0" w:color="000000"/>
              <w:right w:val="single" w:sz="4" w:space="0" w:color="000000"/>
            </w:tcBorders>
            <w:hideMark/>
          </w:tcPr>
          <w:p w14:paraId="27A455BB" w14:textId="77777777" w:rsidR="00324179" w:rsidRPr="00324179" w:rsidRDefault="00324179" w:rsidP="00324179">
            <w:pPr>
              <w:pStyle w:val="Tekstpodstawowy"/>
              <w:spacing w:line="240" w:lineRule="auto"/>
              <w:jc w:val="both"/>
              <w:rPr>
                <w:rFonts w:ascii="Calibri" w:hAnsi="Calibri" w:cs="Calibri"/>
                <w:sz w:val="20"/>
                <w:szCs w:val="20"/>
                <w:lang w:val="pl-PL"/>
              </w:rPr>
            </w:pPr>
            <w:r w:rsidRPr="00324179">
              <w:rPr>
                <w:rFonts w:ascii="Calibri" w:hAnsi="Calibri" w:cs="Calibri"/>
                <w:sz w:val="20"/>
                <w:szCs w:val="20"/>
                <w:lang w:val="pl-PL"/>
              </w:rPr>
              <w:t>Należy stosować metodę pomiaru profilometrycznego, oznaczenie wyznaczać z krokiem co 1 m lub metodą równoważną z wykorzystaniem łaty (o długości 2 m) i klina nie rzadziej niż co 5 m.</w:t>
            </w:r>
          </w:p>
        </w:tc>
      </w:tr>
      <w:tr w:rsidR="00324179" w:rsidRPr="00324179" w14:paraId="7F1DDBCC" w14:textId="77777777" w:rsidTr="00375F64">
        <w:trPr>
          <w:trHeight w:val="410"/>
        </w:trPr>
        <w:tc>
          <w:tcPr>
            <w:tcW w:w="636" w:type="dxa"/>
            <w:tcBorders>
              <w:top w:val="single" w:sz="4" w:space="0" w:color="000000"/>
              <w:left w:val="single" w:sz="4" w:space="0" w:color="000000"/>
              <w:bottom w:val="single" w:sz="4" w:space="0" w:color="000000"/>
              <w:right w:val="single" w:sz="4" w:space="0" w:color="000000"/>
            </w:tcBorders>
            <w:hideMark/>
          </w:tcPr>
          <w:p w14:paraId="66053332" w14:textId="77777777" w:rsidR="00324179" w:rsidRPr="00324179" w:rsidRDefault="00324179" w:rsidP="00324179">
            <w:pPr>
              <w:pStyle w:val="Tekstpodstawowy"/>
              <w:spacing w:line="240" w:lineRule="auto"/>
              <w:jc w:val="both"/>
              <w:rPr>
                <w:rFonts w:ascii="Calibri" w:hAnsi="Calibri" w:cs="Calibri"/>
                <w:sz w:val="20"/>
                <w:szCs w:val="20"/>
              </w:rPr>
            </w:pPr>
            <w:r w:rsidRPr="00324179">
              <w:rPr>
                <w:rFonts w:ascii="Calibri" w:hAnsi="Calibri" w:cs="Calibri"/>
                <w:sz w:val="20"/>
                <w:szCs w:val="20"/>
              </w:rPr>
              <w:t>4</w:t>
            </w:r>
          </w:p>
        </w:tc>
        <w:tc>
          <w:tcPr>
            <w:tcW w:w="3260" w:type="dxa"/>
            <w:tcBorders>
              <w:top w:val="single" w:sz="4" w:space="0" w:color="000000"/>
              <w:left w:val="single" w:sz="4" w:space="0" w:color="000000"/>
              <w:bottom w:val="single" w:sz="4" w:space="0" w:color="000000"/>
              <w:right w:val="single" w:sz="4" w:space="0" w:color="000000"/>
            </w:tcBorders>
            <w:hideMark/>
          </w:tcPr>
          <w:p w14:paraId="708A0297" w14:textId="77777777" w:rsidR="00324179" w:rsidRPr="00324179" w:rsidRDefault="00324179" w:rsidP="00324179">
            <w:pPr>
              <w:pStyle w:val="Tekstpodstawowy"/>
              <w:spacing w:line="240" w:lineRule="auto"/>
              <w:jc w:val="both"/>
              <w:rPr>
                <w:rFonts w:ascii="Calibri" w:hAnsi="Calibri" w:cs="Calibri"/>
                <w:sz w:val="20"/>
                <w:szCs w:val="20"/>
              </w:rPr>
            </w:pPr>
            <w:r w:rsidRPr="00324179">
              <w:rPr>
                <w:rFonts w:ascii="Calibri" w:hAnsi="Calibri" w:cs="Calibri"/>
                <w:sz w:val="20"/>
                <w:szCs w:val="20"/>
              </w:rPr>
              <w:t>Spadki poprzeczne*)</w:t>
            </w:r>
          </w:p>
        </w:tc>
        <w:tc>
          <w:tcPr>
            <w:tcW w:w="4810" w:type="dxa"/>
            <w:tcBorders>
              <w:top w:val="single" w:sz="4" w:space="0" w:color="000000"/>
              <w:left w:val="single" w:sz="4" w:space="0" w:color="000000"/>
              <w:bottom w:val="single" w:sz="4" w:space="0" w:color="000000"/>
              <w:right w:val="single" w:sz="4" w:space="0" w:color="000000"/>
            </w:tcBorders>
            <w:hideMark/>
          </w:tcPr>
          <w:p w14:paraId="79925D9A" w14:textId="77777777" w:rsidR="00324179" w:rsidRPr="00324179" w:rsidRDefault="00324179" w:rsidP="00324179">
            <w:pPr>
              <w:pStyle w:val="Tekstpodstawowy"/>
              <w:spacing w:line="240" w:lineRule="auto"/>
              <w:jc w:val="both"/>
              <w:rPr>
                <w:rFonts w:ascii="Calibri" w:hAnsi="Calibri" w:cs="Calibri"/>
                <w:sz w:val="20"/>
                <w:szCs w:val="20"/>
                <w:lang w:val="pl-PL"/>
              </w:rPr>
            </w:pPr>
            <w:r w:rsidRPr="00324179">
              <w:rPr>
                <w:rFonts w:ascii="Calibri" w:hAnsi="Calibri" w:cs="Calibri"/>
                <w:sz w:val="20"/>
                <w:szCs w:val="20"/>
                <w:lang w:val="pl-PL"/>
              </w:rPr>
              <w:t>Nie rzadziej niż co 20 m jezdni</w:t>
            </w:r>
          </w:p>
        </w:tc>
      </w:tr>
      <w:tr w:rsidR="00324179" w:rsidRPr="00324179" w14:paraId="62FA0C70" w14:textId="77777777" w:rsidTr="00375F64">
        <w:trPr>
          <w:trHeight w:val="448"/>
        </w:trPr>
        <w:tc>
          <w:tcPr>
            <w:tcW w:w="636" w:type="dxa"/>
            <w:tcBorders>
              <w:top w:val="single" w:sz="4" w:space="0" w:color="000000"/>
              <w:left w:val="single" w:sz="4" w:space="0" w:color="000000"/>
              <w:bottom w:val="single" w:sz="4" w:space="0" w:color="000000"/>
              <w:right w:val="single" w:sz="4" w:space="0" w:color="000000"/>
            </w:tcBorders>
            <w:hideMark/>
          </w:tcPr>
          <w:p w14:paraId="37860EE1" w14:textId="77777777" w:rsidR="00324179" w:rsidRPr="00324179" w:rsidRDefault="00324179" w:rsidP="00324179">
            <w:pPr>
              <w:pStyle w:val="Tekstpodstawowy"/>
              <w:spacing w:line="240" w:lineRule="auto"/>
              <w:jc w:val="both"/>
              <w:rPr>
                <w:rFonts w:ascii="Calibri" w:hAnsi="Calibri" w:cs="Calibri"/>
                <w:sz w:val="20"/>
                <w:szCs w:val="20"/>
              </w:rPr>
            </w:pPr>
            <w:r w:rsidRPr="00324179">
              <w:rPr>
                <w:rFonts w:ascii="Calibri" w:hAnsi="Calibri" w:cs="Calibri"/>
                <w:sz w:val="20"/>
                <w:szCs w:val="20"/>
              </w:rPr>
              <w:t>5</w:t>
            </w:r>
          </w:p>
        </w:tc>
        <w:tc>
          <w:tcPr>
            <w:tcW w:w="3260" w:type="dxa"/>
            <w:tcBorders>
              <w:top w:val="single" w:sz="4" w:space="0" w:color="000000"/>
              <w:left w:val="single" w:sz="4" w:space="0" w:color="000000"/>
              <w:bottom w:val="single" w:sz="4" w:space="0" w:color="000000"/>
              <w:right w:val="single" w:sz="4" w:space="0" w:color="000000"/>
            </w:tcBorders>
            <w:hideMark/>
          </w:tcPr>
          <w:p w14:paraId="2CF5ABA0" w14:textId="77777777" w:rsidR="00324179" w:rsidRPr="00324179" w:rsidRDefault="00324179" w:rsidP="00324179">
            <w:pPr>
              <w:pStyle w:val="Tekstpodstawowy"/>
              <w:spacing w:line="240" w:lineRule="auto"/>
              <w:jc w:val="both"/>
              <w:rPr>
                <w:rFonts w:ascii="Calibri" w:eastAsia="Arial" w:hAnsi="Calibri" w:cs="Calibri"/>
                <w:sz w:val="20"/>
                <w:szCs w:val="20"/>
                <w:lang w:val="pl-PL"/>
              </w:rPr>
            </w:pPr>
            <w:r w:rsidRPr="00324179">
              <w:rPr>
                <w:rFonts w:ascii="Calibri" w:hAnsi="Calibri" w:cs="Calibri"/>
                <w:sz w:val="20"/>
                <w:szCs w:val="20"/>
                <w:lang w:val="pl-PL"/>
              </w:rPr>
              <w:t>Rzędne wysokościowe (oś podłużna i</w:t>
            </w:r>
          </w:p>
          <w:p w14:paraId="67C5E374" w14:textId="77777777" w:rsidR="00324179" w:rsidRPr="00324179" w:rsidRDefault="00324179" w:rsidP="00324179">
            <w:pPr>
              <w:pStyle w:val="Tekstpodstawowy"/>
              <w:spacing w:line="240" w:lineRule="auto"/>
              <w:jc w:val="both"/>
              <w:rPr>
                <w:rFonts w:ascii="Calibri" w:hAnsi="Calibri" w:cs="Calibri"/>
                <w:sz w:val="20"/>
                <w:szCs w:val="20"/>
                <w:lang w:val="pl-PL"/>
              </w:rPr>
            </w:pPr>
            <w:r w:rsidRPr="00324179">
              <w:rPr>
                <w:rFonts w:ascii="Calibri" w:hAnsi="Calibri" w:cs="Calibri"/>
                <w:sz w:val="20"/>
                <w:szCs w:val="20"/>
                <w:lang w:val="pl-PL"/>
              </w:rPr>
              <w:t>krawędzie)</w:t>
            </w:r>
          </w:p>
        </w:tc>
        <w:tc>
          <w:tcPr>
            <w:tcW w:w="4810" w:type="dxa"/>
            <w:tcBorders>
              <w:top w:val="single" w:sz="4" w:space="0" w:color="000000"/>
              <w:left w:val="single" w:sz="4" w:space="0" w:color="000000"/>
              <w:bottom w:val="single" w:sz="4" w:space="0" w:color="000000"/>
              <w:right w:val="single" w:sz="4" w:space="0" w:color="000000"/>
            </w:tcBorders>
            <w:hideMark/>
          </w:tcPr>
          <w:p w14:paraId="2DB3BA2D" w14:textId="77777777" w:rsidR="00324179" w:rsidRPr="00324179" w:rsidRDefault="00324179" w:rsidP="00324179">
            <w:pPr>
              <w:pStyle w:val="Tekstpodstawowy"/>
              <w:spacing w:line="240" w:lineRule="auto"/>
              <w:jc w:val="both"/>
              <w:rPr>
                <w:rFonts w:ascii="Calibri" w:hAnsi="Calibri" w:cs="Calibri"/>
                <w:sz w:val="20"/>
                <w:szCs w:val="20"/>
              </w:rPr>
            </w:pPr>
            <w:r w:rsidRPr="00324179">
              <w:rPr>
                <w:rFonts w:ascii="Calibri" w:hAnsi="Calibri" w:cs="Calibri"/>
                <w:sz w:val="20"/>
                <w:szCs w:val="20"/>
              </w:rPr>
              <w:t>+1 / -1 cm</w:t>
            </w:r>
          </w:p>
        </w:tc>
      </w:tr>
      <w:tr w:rsidR="00324179" w:rsidRPr="00324179" w14:paraId="2C1C1265" w14:textId="77777777" w:rsidTr="00375F64">
        <w:trPr>
          <w:trHeight w:val="410"/>
        </w:trPr>
        <w:tc>
          <w:tcPr>
            <w:tcW w:w="636" w:type="dxa"/>
            <w:tcBorders>
              <w:top w:val="single" w:sz="4" w:space="0" w:color="000000"/>
              <w:left w:val="single" w:sz="4" w:space="0" w:color="000000"/>
              <w:bottom w:val="single" w:sz="4" w:space="0" w:color="000000"/>
              <w:right w:val="single" w:sz="4" w:space="0" w:color="000000"/>
            </w:tcBorders>
            <w:hideMark/>
          </w:tcPr>
          <w:p w14:paraId="2DBC1874" w14:textId="77777777" w:rsidR="00324179" w:rsidRPr="00324179" w:rsidRDefault="00324179" w:rsidP="00324179">
            <w:pPr>
              <w:pStyle w:val="Tekstpodstawowy"/>
              <w:spacing w:line="240" w:lineRule="auto"/>
              <w:jc w:val="both"/>
              <w:rPr>
                <w:rFonts w:ascii="Calibri" w:hAnsi="Calibri" w:cs="Calibri"/>
                <w:sz w:val="20"/>
                <w:szCs w:val="20"/>
              </w:rPr>
            </w:pPr>
            <w:r w:rsidRPr="00324179">
              <w:rPr>
                <w:rFonts w:ascii="Calibri" w:hAnsi="Calibri" w:cs="Calibri"/>
                <w:sz w:val="20"/>
                <w:szCs w:val="20"/>
              </w:rPr>
              <w:t>6</w:t>
            </w:r>
          </w:p>
        </w:tc>
        <w:tc>
          <w:tcPr>
            <w:tcW w:w="3260" w:type="dxa"/>
            <w:tcBorders>
              <w:top w:val="single" w:sz="4" w:space="0" w:color="000000"/>
              <w:left w:val="single" w:sz="4" w:space="0" w:color="000000"/>
              <w:bottom w:val="single" w:sz="4" w:space="0" w:color="000000"/>
              <w:right w:val="single" w:sz="4" w:space="0" w:color="000000"/>
            </w:tcBorders>
            <w:hideMark/>
          </w:tcPr>
          <w:p w14:paraId="2402E5F8" w14:textId="77777777" w:rsidR="00324179" w:rsidRPr="00324179" w:rsidRDefault="00324179" w:rsidP="00324179">
            <w:pPr>
              <w:pStyle w:val="Tekstpodstawowy"/>
              <w:spacing w:line="240" w:lineRule="auto"/>
              <w:jc w:val="both"/>
              <w:rPr>
                <w:rFonts w:ascii="Calibri" w:hAnsi="Calibri" w:cs="Calibri"/>
                <w:sz w:val="20"/>
                <w:szCs w:val="20"/>
              </w:rPr>
            </w:pPr>
            <w:r w:rsidRPr="00324179">
              <w:rPr>
                <w:rFonts w:ascii="Calibri" w:hAnsi="Calibri" w:cs="Calibri"/>
                <w:sz w:val="20"/>
                <w:szCs w:val="20"/>
              </w:rPr>
              <w:t>Złącza podłużne i poprzeczne</w:t>
            </w:r>
          </w:p>
        </w:tc>
        <w:tc>
          <w:tcPr>
            <w:tcW w:w="4810" w:type="dxa"/>
            <w:tcBorders>
              <w:top w:val="single" w:sz="4" w:space="0" w:color="000000"/>
              <w:left w:val="single" w:sz="4" w:space="0" w:color="000000"/>
              <w:bottom w:val="single" w:sz="4" w:space="0" w:color="000000"/>
              <w:right w:val="single" w:sz="4" w:space="0" w:color="000000"/>
            </w:tcBorders>
            <w:hideMark/>
          </w:tcPr>
          <w:p w14:paraId="1E3D2E0B" w14:textId="77777777" w:rsidR="00324179" w:rsidRPr="00324179" w:rsidRDefault="00324179" w:rsidP="00324179">
            <w:pPr>
              <w:pStyle w:val="Tekstpodstawowy"/>
              <w:spacing w:line="240" w:lineRule="auto"/>
              <w:jc w:val="both"/>
              <w:rPr>
                <w:rFonts w:ascii="Calibri" w:hAnsi="Calibri" w:cs="Calibri"/>
                <w:sz w:val="20"/>
                <w:szCs w:val="20"/>
              </w:rPr>
            </w:pPr>
            <w:r w:rsidRPr="00324179">
              <w:rPr>
                <w:rFonts w:ascii="Calibri" w:hAnsi="Calibri" w:cs="Calibri"/>
                <w:sz w:val="20"/>
                <w:szCs w:val="20"/>
              </w:rPr>
              <w:t>każde złącze (ocena wizualna)</w:t>
            </w:r>
          </w:p>
        </w:tc>
      </w:tr>
      <w:tr w:rsidR="00324179" w:rsidRPr="00324179" w14:paraId="73976EDF" w14:textId="77777777" w:rsidTr="00375F64">
        <w:trPr>
          <w:trHeight w:val="410"/>
        </w:trPr>
        <w:tc>
          <w:tcPr>
            <w:tcW w:w="636" w:type="dxa"/>
            <w:tcBorders>
              <w:top w:val="single" w:sz="4" w:space="0" w:color="000000"/>
              <w:left w:val="single" w:sz="4" w:space="0" w:color="000000"/>
              <w:bottom w:val="single" w:sz="4" w:space="0" w:color="000000"/>
              <w:right w:val="single" w:sz="4" w:space="0" w:color="000000"/>
            </w:tcBorders>
            <w:hideMark/>
          </w:tcPr>
          <w:p w14:paraId="4BFA8196" w14:textId="77777777" w:rsidR="00324179" w:rsidRPr="00324179" w:rsidRDefault="00324179" w:rsidP="00324179">
            <w:pPr>
              <w:pStyle w:val="Tekstpodstawowy"/>
              <w:spacing w:line="240" w:lineRule="auto"/>
              <w:jc w:val="both"/>
              <w:rPr>
                <w:rFonts w:ascii="Calibri" w:hAnsi="Calibri" w:cs="Calibri"/>
                <w:sz w:val="20"/>
                <w:szCs w:val="20"/>
              </w:rPr>
            </w:pPr>
            <w:r w:rsidRPr="00324179">
              <w:rPr>
                <w:rFonts w:ascii="Calibri" w:hAnsi="Calibri" w:cs="Calibri"/>
                <w:sz w:val="20"/>
                <w:szCs w:val="20"/>
              </w:rPr>
              <w:t>7</w:t>
            </w:r>
          </w:p>
        </w:tc>
        <w:tc>
          <w:tcPr>
            <w:tcW w:w="3260" w:type="dxa"/>
            <w:tcBorders>
              <w:top w:val="single" w:sz="4" w:space="0" w:color="000000"/>
              <w:left w:val="single" w:sz="4" w:space="0" w:color="000000"/>
              <w:bottom w:val="single" w:sz="4" w:space="0" w:color="000000"/>
              <w:right w:val="single" w:sz="4" w:space="0" w:color="000000"/>
            </w:tcBorders>
            <w:hideMark/>
          </w:tcPr>
          <w:p w14:paraId="644A299D" w14:textId="77777777" w:rsidR="00324179" w:rsidRPr="00324179" w:rsidRDefault="00324179" w:rsidP="00324179">
            <w:pPr>
              <w:pStyle w:val="Tekstpodstawowy"/>
              <w:spacing w:line="240" w:lineRule="auto"/>
              <w:jc w:val="both"/>
              <w:rPr>
                <w:rFonts w:ascii="Calibri" w:hAnsi="Calibri" w:cs="Calibri"/>
                <w:sz w:val="20"/>
                <w:szCs w:val="20"/>
              </w:rPr>
            </w:pPr>
            <w:r w:rsidRPr="00324179">
              <w:rPr>
                <w:rFonts w:ascii="Calibri" w:hAnsi="Calibri" w:cs="Calibri"/>
                <w:sz w:val="20"/>
                <w:szCs w:val="20"/>
              </w:rPr>
              <w:t>Ukształtowanie osi w planie*)</w:t>
            </w:r>
          </w:p>
        </w:tc>
        <w:tc>
          <w:tcPr>
            <w:tcW w:w="4810" w:type="dxa"/>
            <w:tcBorders>
              <w:top w:val="single" w:sz="4" w:space="0" w:color="000000"/>
              <w:left w:val="single" w:sz="4" w:space="0" w:color="000000"/>
              <w:bottom w:val="single" w:sz="4" w:space="0" w:color="000000"/>
              <w:right w:val="single" w:sz="4" w:space="0" w:color="000000"/>
            </w:tcBorders>
            <w:hideMark/>
          </w:tcPr>
          <w:p w14:paraId="0C2B48E0" w14:textId="77777777" w:rsidR="00324179" w:rsidRPr="00324179" w:rsidRDefault="00324179" w:rsidP="00324179">
            <w:pPr>
              <w:pStyle w:val="Tekstpodstawowy"/>
              <w:spacing w:line="240" w:lineRule="auto"/>
              <w:jc w:val="both"/>
              <w:rPr>
                <w:rFonts w:ascii="Calibri" w:hAnsi="Calibri" w:cs="Calibri"/>
                <w:sz w:val="20"/>
                <w:szCs w:val="20"/>
              </w:rPr>
            </w:pPr>
            <w:r w:rsidRPr="00324179">
              <w:rPr>
                <w:rFonts w:ascii="Calibri" w:hAnsi="Calibri" w:cs="Calibri"/>
                <w:sz w:val="20"/>
                <w:szCs w:val="20"/>
              </w:rPr>
              <w:t>co 100 m jezdni</w:t>
            </w:r>
          </w:p>
        </w:tc>
      </w:tr>
      <w:tr w:rsidR="00324179" w:rsidRPr="00324179" w14:paraId="7D292128" w14:textId="77777777" w:rsidTr="00375F64">
        <w:trPr>
          <w:trHeight w:val="580"/>
        </w:trPr>
        <w:tc>
          <w:tcPr>
            <w:tcW w:w="8706" w:type="dxa"/>
            <w:gridSpan w:val="3"/>
            <w:tcBorders>
              <w:top w:val="single" w:sz="4" w:space="0" w:color="000000"/>
              <w:left w:val="single" w:sz="4" w:space="0" w:color="000000"/>
              <w:bottom w:val="single" w:sz="4" w:space="0" w:color="000000"/>
              <w:right w:val="single" w:sz="4" w:space="0" w:color="000000"/>
            </w:tcBorders>
            <w:hideMark/>
          </w:tcPr>
          <w:p w14:paraId="13855561" w14:textId="77777777" w:rsidR="00324179" w:rsidRPr="00324179" w:rsidRDefault="00324179" w:rsidP="00324179">
            <w:pPr>
              <w:pStyle w:val="Tekstpodstawowy"/>
              <w:spacing w:line="240" w:lineRule="auto"/>
              <w:jc w:val="both"/>
              <w:rPr>
                <w:rFonts w:ascii="Calibri" w:hAnsi="Calibri" w:cs="Calibri"/>
                <w:sz w:val="20"/>
                <w:szCs w:val="20"/>
                <w:lang w:val="pl-PL"/>
              </w:rPr>
            </w:pPr>
            <w:r w:rsidRPr="00324179">
              <w:rPr>
                <w:rFonts w:ascii="Calibri" w:hAnsi="Calibri" w:cs="Calibri"/>
                <w:sz w:val="20"/>
                <w:szCs w:val="20"/>
                <w:lang w:val="pl-PL"/>
              </w:rPr>
              <w:t>*)Dodatkowe pomiary spadków poprzecznych i ukształtowania osi w planie należy wykonać w punktach głównych łuków poziomych.</w:t>
            </w:r>
          </w:p>
        </w:tc>
      </w:tr>
    </w:tbl>
    <w:p w14:paraId="2DEA0134" w14:textId="77777777" w:rsidR="00324179" w:rsidRPr="00324179" w:rsidRDefault="00324179" w:rsidP="00324179">
      <w:pPr>
        <w:pStyle w:val="Tekstpodstawowy"/>
        <w:spacing w:line="240" w:lineRule="auto"/>
        <w:jc w:val="both"/>
        <w:rPr>
          <w:rFonts w:ascii="Calibri" w:hAnsi="Calibri" w:cs="Calibri"/>
          <w:b/>
          <w:sz w:val="20"/>
          <w:szCs w:val="20"/>
        </w:rPr>
      </w:pPr>
      <w:r w:rsidRPr="00324179">
        <w:rPr>
          <w:rFonts w:ascii="Calibri" w:hAnsi="Calibri" w:cs="Calibri"/>
          <w:b/>
          <w:sz w:val="20"/>
          <w:szCs w:val="20"/>
        </w:rPr>
        <w:t>6.4.1 Szerokość</w:t>
      </w:r>
      <w:r w:rsidRPr="00324179">
        <w:rPr>
          <w:rFonts w:ascii="Calibri" w:hAnsi="Calibri" w:cs="Calibri"/>
          <w:b/>
          <w:spacing w:val="1"/>
          <w:sz w:val="20"/>
          <w:szCs w:val="20"/>
        </w:rPr>
        <w:t xml:space="preserve"> </w:t>
      </w:r>
      <w:r w:rsidRPr="00324179">
        <w:rPr>
          <w:rFonts w:ascii="Calibri" w:hAnsi="Calibri" w:cs="Calibri"/>
          <w:b/>
          <w:sz w:val="20"/>
          <w:szCs w:val="20"/>
        </w:rPr>
        <w:t>warstwy</w:t>
      </w:r>
    </w:p>
    <w:p w14:paraId="053D0388" w14:textId="77777777" w:rsidR="00324179" w:rsidRPr="00324179" w:rsidRDefault="00324179" w:rsidP="00324179">
      <w:pPr>
        <w:pStyle w:val="Tekstpodstawowy"/>
        <w:spacing w:line="240" w:lineRule="auto"/>
        <w:jc w:val="both"/>
        <w:rPr>
          <w:rFonts w:ascii="Calibri" w:hAnsi="Calibri" w:cs="Calibri"/>
          <w:sz w:val="20"/>
          <w:szCs w:val="20"/>
        </w:rPr>
      </w:pPr>
      <w:r w:rsidRPr="00324179">
        <w:rPr>
          <w:rFonts w:ascii="Calibri" w:hAnsi="Calibri" w:cs="Calibri"/>
          <w:sz w:val="20"/>
          <w:szCs w:val="20"/>
        </w:rPr>
        <w:t>Szerokość wykonanej warstwy powinna być zgodna z szerokością projektowaną z tolerancją + 5 cm. Wymaga się, aby co najmniej 95% wykonanych pomiarów nie przekraczało dopuszczalnego odchylenia.</w:t>
      </w:r>
    </w:p>
    <w:p w14:paraId="10BD3181" w14:textId="77777777" w:rsidR="00324179" w:rsidRPr="00324179" w:rsidRDefault="00324179" w:rsidP="00324179">
      <w:pPr>
        <w:pStyle w:val="Tekstpodstawowy"/>
        <w:spacing w:line="240" w:lineRule="auto"/>
        <w:jc w:val="both"/>
        <w:rPr>
          <w:rFonts w:ascii="Calibri" w:hAnsi="Calibri" w:cs="Calibri"/>
          <w:b/>
          <w:sz w:val="20"/>
          <w:szCs w:val="20"/>
        </w:rPr>
      </w:pPr>
      <w:r w:rsidRPr="00324179">
        <w:rPr>
          <w:rFonts w:ascii="Calibri" w:hAnsi="Calibri" w:cs="Calibri"/>
          <w:b/>
          <w:sz w:val="20"/>
          <w:szCs w:val="20"/>
        </w:rPr>
        <w:t>6.4.2 Równość podłużna i poprzeczna</w:t>
      </w:r>
      <w:r w:rsidRPr="00324179">
        <w:rPr>
          <w:rFonts w:ascii="Calibri" w:hAnsi="Calibri" w:cs="Calibri"/>
          <w:b/>
          <w:spacing w:val="-6"/>
          <w:sz w:val="20"/>
          <w:szCs w:val="20"/>
        </w:rPr>
        <w:t xml:space="preserve"> </w:t>
      </w:r>
      <w:r w:rsidRPr="00324179">
        <w:rPr>
          <w:rFonts w:ascii="Calibri" w:hAnsi="Calibri" w:cs="Calibri"/>
          <w:b/>
          <w:sz w:val="20"/>
          <w:szCs w:val="20"/>
        </w:rPr>
        <w:t>warstwy</w:t>
      </w:r>
    </w:p>
    <w:p w14:paraId="4520E513" w14:textId="77777777" w:rsidR="00324179" w:rsidRPr="00324179" w:rsidRDefault="00324179" w:rsidP="00324179">
      <w:pPr>
        <w:pStyle w:val="Tekstpodstawowy"/>
        <w:spacing w:line="240" w:lineRule="auto"/>
        <w:jc w:val="both"/>
        <w:rPr>
          <w:rFonts w:ascii="Calibri" w:hAnsi="Calibri" w:cs="Calibri"/>
          <w:sz w:val="20"/>
          <w:szCs w:val="20"/>
        </w:rPr>
      </w:pPr>
      <w:r w:rsidRPr="00324179">
        <w:rPr>
          <w:rFonts w:ascii="Calibri" w:hAnsi="Calibri" w:cs="Calibri"/>
          <w:sz w:val="20"/>
          <w:szCs w:val="20"/>
        </w:rPr>
        <w:t>Pomiar równości podłużnej</w:t>
      </w:r>
      <w:r w:rsidRPr="00324179">
        <w:rPr>
          <w:rFonts w:ascii="Calibri" w:hAnsi="Calibri" w:cs="Calibri"/>
          <w:spacing w:val="1"/>
          <w:sz w:val="20"/>
          <w:szCs w:val="20"/>
        </w:rPr>
        <w:t xml:space="preserve"> </w:t>
      </w:r>
      <w:r w:rsidRPr="00324179">
        <w:rPr>
          <w:rFonts w:ascii="Calibri" w:hAnsi="Calibri" w:cs="Calibri"/>
          <w:sz w:val="20"/>
          <w:szCs w:val="20"/>
        </w:rPr>
        <w:t>nawierzchni</w:t>
      </w:r>
    </w:p>
    <w:p w14:paraId="1A00E11F" w14:textId="63F1DC63" w:rsidR="00324179" w:rsidRPr="00324179" w:rsidRDefault="00324179" w:rsidP="00324179">
      <w:pPr>
        <w:pStyle w:val="Tekstpodstawowy"/>
        <w:spacing w:line="240" w:lineRule="auto"/>
        <w:jc w:val="both"/>
        <w:rPr>
          <w:rFonts w:ascii="Calibri" w:hAnsi="Calibri" w:cs="Calibri"/>
          <w:sz w:val="20"/>
          <w:szCs w:val="20"/>
        </w:rPr>
      </w:pPr>
      <w:r w:rsidRPr="00324179">
        <w:rPr>
          <w:rFonts w:ascii="Calibri" w:hAnsi="Calibri" w:cs="Calibri"/>
          <w:sz w:val="20"/>
          <w:szCs w:val="20"/>
        </w:rPr>
        <w:t>Do oceny równości podłużnej warstwy podbudowy nawierzchni dróg wszystkich klas technicznych, należy stosować metodę pomiaru ciągłego równoważną użyciu łaty i klina z wykorzystaniem planografu, umożliwiającego wyznaczanie odchyleń równości podłużnej jako największej odległości (prześwitu) pomiędzy teoretyczną linią łączącą spody kółek jezdnych urządzenia a mierzoną powierzchnią warstwy [mm]. Pomiary należy wykonywać w środku każdego ocenianego pasa ruchu. Prędkość planografu w czasie pomiaru nie powinna  przekraczać 15 km/h. Wymagana równość podłużna jest określona przez maksymalne dopuszczalne wartości odchyleń dla warstwy podbudowy, podane w Tablicy</w:t>
      </w:r>
      <w:r w:rsidRPr="00324179">
        <w:rPr>
          <w:rFonts w:ascii="Calibri" w:hAnsi="Calibri" w:cs="Calibri"/>
          <w:spacing w:val="-13"/>
          <w:sz w:val="20"/>
          <w:szCs w:val="20"/>
        </w:rPr>
        <w:t xml:space="preserve"> </w:t>
      </w:r>
      <w:r w:rsidR="00BA767E">
        <w:rPr>
          <w:rFonts w:ascii="Calibri" w:hAnsi="Calibri" w:cs="Calibri"/>
          <w:spacing w:val="-13"/>
          <w:sz w:val="20"/>
          <w:szCs w:val="20"/>
        </w:rPr>
        <w:t>6</w:t>
      </w:r>
      <w:r w:rsidRPr="00324179">
        <w:rPr>
          <w:rFonts w:ascii="Calibri" w:hAnsi="Calibri" w:cs="Calibri"/>
          <w:sz w:val="20"/>
          <w:szCs w:val="20"/>
        </w:rPr>
        <w:t>.</w:t>
      </w:r>
    </w:p>
    <w:p w14:paraId="2EC92639" w14:textId="77777777" w:rsidR="00324179" w:rsidRPr="00324179" w:rsidRDefault="00324179" w:rsidP="00324179">
      <w:pPr>
        <w:pStyle w:val="Tekstpodstawowy"/>
        <w:spacing w:line="240" w:lineRule="auto"/>
        <w:jc w:val="both"/>
        <w:rPr>
          <w:rFonts w:ascii="Calibri" w:hAnsi="Calibri" w:cs="Calibri"/>
          <w:sz w:val="20"/>
          <w:szCs w:val="20"/>
        </w:rPr>
      </w:pPr>
    </w:p>
    <w:p w14:paraId="743C557A" w14:textId="77777777" w:rsidR="00BA767E" w:rsidRDefault="00BA767E" w:rsidP="00324179">
      <w:pPr>
        <w:pStyle w:val="Tekstpodstawowy"/>
        <w:spacing w:line="240" w:lineRule="auto"/>
        <w:jc w:val="both"/>
        <w:rPr>
          <w:rFonts w:ascii="Calibri" w:hAnsi="Calibri" w:cs="Calibri"/>
          <w:sz w:val="20"/>
          <w:szCs w:val="20"/>
        </w:rPr>
      </w:pPr>
    </w:p>
    <w:p w14:paraId="54507FC9" w14:textId="77777777" w:rsidR="00BA767E" w:rsidRDefault="00BA767E" w:rsidP="00324179">
      <w:pPr>
        <w:pStyle w:val="Tekstpodstawowy"/>
        <w:spacing w:line="240" w:lineRule="auto"/>
        <w:jc w:val="both"/>
        <w:rPr>
          <w:rFonts w:ascii="Calibri" w:hAnsi="Calibri" w:cs="Calibri"/>
          <w:sz w:val="20"/>
          <w:szCs w:val="20"/>
        </w:rPr>
      </w:pPr>
    </w:p>
    <w:p w14:paraId="75CC28E1" w14:textId="49A83044" w:rsidR="00324179" w:rsidRPr="00324179" w:rsidRDefault="00324179" w:rsidP="00324179">
      <w:pPr>
        <w:pStyle w:val="Tekstpodstawowy"/>
        <w:spacing w:line="240" w:lineRule="auto"/>
        <w:jc w:val="both"/>
        <w:rPr>
          <w:rFonts w:ascii="Calibri" w:hAnsi="Calibri" w:cs="Calibri"/>
          <w:sz w:val="20"/>
          <w:szCs w:val="20"/>
        </w:rPr>
      </w:pPr>
      <w:r w:rsidRPr="00324179">
        <w:rPr>
          <w:rFonts w:ascii="Calibri" w:hAnsi="Calibri" w:cs="Calibri"/>
          <w:sz w:val="20"/>
          <w:szCs w:val="20"/>
        </w:rPr>
        <w:t xml:space="preserve">Tablica </w:t>
      </w:r>
      <w:r w:rsidR="00BA767E">
        <w:rPr>
          <w:rFonts w:ascii="Calibri" w:hAnsi="Calibri" w:cs="Calibri"/>
          <w:sz w:val="20"/>
          <w:szCs w:val="20"/>
        </w:rPr>
        <w:t>6</w:t>
      </w:r>
      <w:r w:rsidRPr="00324179">
        <w:rPr>
          <w:rFonts w:ascii="Calibri" w:hAnsi="Calibri" w:cs="Calibri"/>
          <w:sz w:val="20"/>
          <w:szCs w:val="20"/>
        </w:rPr>
        <w:t>. Dopuszczalne wartości odchyleń dla warstwy podbudowy</w:t>
      </w:r>
    </w:p>
    <w:tbl>
      <w:tblPr>
        <w:tblStyle w:val="TableNormal"/>
        <w:tblW w:w="8672" w:type="dxa"/>
        <w:tblInd w:w="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59"/>
        <w:gridCol w:w="3969"/>
        <w:gridCol w:w="3544"/>
      </w:tblGrid>
      <w:tr w:rsidR="00324179" w:rsidRPr="00324179" w14:paraId="2EC9A6B8" w14:textId="77777777" w:rsidTr="00375F64">
        <w:trPr>
          <w:trHeight w:val="688"/>
        </w:trPr>
        <w:tc>
          <w:tcPr>
            <w:tcW w:w="1159" w:type="dxa"/>
            <w:tcBorders>
              <w:top w:val="single" w:sz="4" w:space="0" w:color="000000"/>
              <w:left w:val="single" w:sz="4" w:space="0" w:color="000000"/>
              <w:bottom w:val="single" w:sz="4" w:space="0" w:color="000000"/>
              <w:right w:val="single" w:sz="4" w:space="0" w:color="000000"/>
            </w:tcBorders>
          </w:tcPr>
          <w:p w14:paraId="34492737" w14:textId="77777777" w:rsidR="00324179" w:rsidRPr="00324179" w:rsidRDefault="00324179" w:rsidP="00324179">
            <w:pPr>
              <w:pStyle w:val="Tekstpodstawowy"/>
              <w:spacing w:line="240" w:lineRule="auto"/>
              <w:jc w:val="both"/>
              <w:rPr>
                <w:rFonts w:ascii="Calibri" w:eastAsia="Arial" w:hAnsi="Calibri" w:cs="Calibri"/>
                <w:sz w:val="20"/>
                <w:szCs w:val="20"/>
                <w:lang w:val="pl-PL"/>
              </w:rPr>
            </w:pPr>
          </w:p>
          <w:p w14:paraId="75723CF9" w14:textId="77777777" w:rsidR="00324179" w:rsidRPr="00324179" w:rsidRDefault="00324179" w:rsidP="00324179">
            <w:pPr>
              <w:pStyle w:val="Tekstpodstawowy"/>
              <w:spacing w:line="240" w:lineRule="auto"/>
              <w:jc w:val="both"/>
              <w:rPr>
                <w:rFonts w:ascii="Calibri" w:hAnsi="Calibri" w:cs="Calibri"/>
                <w:sz w:val="20"/>
                <w:szCs w:val="20"/>
              </w:rPr>
            </w:pPr>
            <w:r w:rsidRPr="00324179">
              <w:rPr>
                <w:rFonts w:ascii="Calibri" w:hAnsi="Calibri" w:cs="Calibri"/>
                <w:sz w:val="20"/>
                <w:szCs w:val="20"/>
              </w:rPr>
              <w:t>Klasa drogi</w:t>
            </w:r>
          </w:p>
        </w:tc>
        <w:tc>
          <w:tcPr>
            <w:tcW w:w="3969" w:type="dxa"/>
            <w:tcBorders>
              <w:top w:val="single" w:sz="4" w:space="0" w:color="000000"/>
              <w:left w:val="single" w:sz="4" w:space="0" w:color="000000"/>
              <w:bottom w:val="single" w:sz="4" w:space="0" w:color="000000"/>
              <w:right w:val="single" w:sz="4" w:space="0" w:color="000000"/>
            </w:tcBorders>
          </w:tcPr>
          <w:p w14:paraId="3A9A0E0D" w14:textId="77777777" w:rsidR="00324179" w:rsidRPr="00324179" w:rsidRDefault="00324179" w:rsidP="00324179">
            <w:pPr>
              <w:pStyle w:val="Tekstpodstawowy"/>
              <w:spacing w:line="240" w:lineRule="auto"/>
              <w:jc w:val="both"/>
              <w:rPr>
                <w:rFonts w:ascii="Calibri" w:eastAsia="Arial" w:hAnsi="Calibri" w:cs="Calibri"/>
                <w:sz w:val="20"/>
                <w:szCs w:val="20"/>
              </w:rPr>
            </w:pPr>
          </w:p>
          <w:p w14:paraId="4319CA49" w14:textId="77777777" w:rsidR="00324179" w:rsidRPr="00324179" w:rsidRDefault="00324179" w:rsidP="00324179">
            <w:pPr>
              <w:pStyle w:val="Tekstpodstawowy"/>
              <w:spacing w:line="240" w:lineRule="auto"/>
              <w:jc w:val="both"/>
              <w:rPr>
                <w:rFonts w:ascii="Calibri" w:hAnsi="Calibri" w:cs="Calibri"/>
                <w:sz w:val="20"/>
                <w:szCs w:val="20"/>
              </w:rPr>
            </w:pPr>
            <w:r w:rsidRPr="00324179">
              <w:rPr>
                <w:rFonts w:ascii="Calibri" w:hAnsi="Calibri" w:cs="Calibri"/>
                <w:sz w:val="20"/>
                <w:szCs w:val="20"/>
              </w:rPr>
              <w:t>Element nawierzchni</w:t>
            </w:r>
          </w:p>
        </w:tc>
        <w:tc>
          <w:tcPr>
            <w:tcW w:w="3544" w:type="dxa"/>
            <w:tcBorders>
              <w:top w:val="single" w:sz="4" w:space="0" w:color="000000"/>
              <w:left w:val="single" w:sz="4" w:space="0" w:color="000000"/>
              <w:bottom w:val="single" w:sz="4" w:space="0" w:color="000000"/>
              <w:right w:val="single" w:sz="4" w:space="0" w:color="000000"/>
            </w:tcBorders>
            <w:hideMark/>
          </w:tcPr>
          <w:p w14:paraId="4F7229E3" w14:textId="77777777" w:rsidR="00324179" w:rsidRPr="00324179" w:rsidRDefault="00324179" w:rsidP="00324179">
            <w:pPr>
              <w:pStyle w:val="Tekstpodstawowy"/>
              <w:spacing w:line="240" w:lineRule="auto"/>
              <w:jc w:val="both"/>
              <w:rPr>
                <w:rFonts w:ascii="Calibri" w:eastAsia="Arial" w:hAnsi="Calibri" w:cs="Calibri"/>
                <w:sz w:val="20"/>
                <w:szCs w:val="20"/>
                <w:lang w:val="pl-PL"/>
              </w:rPr>
            </w:pPr>
            <w:r w:rsidRPr="00324179">
              <w:rPr>
                <w:rFonts w:ascii="Calibri" w:hAnsi="Calibri" w:cs="Calibri"/>
                <w:sz w:val="20"/>
                <w:szCs w:val="20"/>
                <w:lang w:val="pl-PL"/>
              </w:rPr>
              <w:t>Dopuszczalne wartości odchyleń</w:t>
            </w:r>
          </w:p>
          <w:p w14:paraId="69BDBB5C" w14:textId="77777777" w:rsidR="00324179" w:rsidRPr="00324179" w:rsidRDefault="00324179" w:rsidP="00324179">
            <w:pPr>
              <w:pStyle w:val="Tekstpodstawowy"/>
              <w:spacing w:line="240" w:lineRule="auto"/>
              <w:jc w:val="both"/>
              <w:rPr>
                <w:rFonts w:ascii="Calibri" w:hAnsi="Calibri" w:cs="Calibri"/>
                <w:sz w:val="20"/>
                <w:szCs w:val="20"/>
                <w:lang w:val="pl-PL"/>
              </w:rPr>
            </w:pPr>
            <w:r w:rsidRPr="00324179">
              <w:rPr>
                <w:rFonts w:ascii="Calibri" w:hAnsi="Calibri" w:cs="Calibri"/>
                <w:sz w:val="20"/>
                <w:szCs w:val="20"/>
                <w:lang w:val="pl-PL"/>
              </w:rPr>
              <w:t>równości podłużnej warstwy podbudowy [mm]</w:t>
            </w:r>
          </w:p>
        </w:tc>
      </w:tr>
      <w:tr w:rsidR="00324179" w:rsidRPr="00324179" w14:paraId="1491F4B8" w14:textId="77777777" w:rsidTr="00375F64">
        <w:trPr>
          <w:trHeight w:val="690"/>
        </w:trPr>
        <w:tc>
          <w:tcPr>
            <w:tcW w:w="1159" w:type="dxa"/>
            <w:vMerge w:val="restart"/>
            <w:tcBorders>
              <w:top w:val="single" w:sz="4" w:space="0" w:color="000000"/>
              <w:left w:val="single" w:sz="4" w:space="0" w:color="000000"/>
              <w:bottom w:val="single" w:sz="4" w:space="0" w:color="000000"/>
              <w:right w:val="single" w:sz="4" w:space="0" w:color="000000"/>
            </w:tcBorders>
          </w:tcPr>
          <w:p w14:paraId="090DA2B6" w14:textId="77777777" w:rsidR="00324179" w:rsidRPr="00324179" w:rsidRDefault="00324179" w:rsidP="00324179">
            <w:pPr>
              <w:pStyle w:val="Tekstpodstawowy"/>
              <w:spacing w:line="240" w:lineRule="auto"/>
              <w:jc w:val="both"/>
              <w:rPr>
                <w:rFonts w:ascii="Calibri" w:eastAsia="Arial" w:hAnsi="Calibri" w:cs="Calibri"/>
                <w:sz w:val="20"/>
                <w:szCs w:val="20"/>
                <w:lang w:val="pl-PL"/>
              </w:rPr>
            </w:pPr>
          </w:p>
          <w:p w14:paraId="6B27C6A1" w14:textId="77777777" w:rsidR="00324179" w:rsidRPr="00324179" w:rsidRDefault="00324179" w:rsidP="00324179">
            <w:pPr>
              <w:pStyle w:val="Tekstpodstawowy"/>
              <w:spacing w:line="240" w:lineRule="auto"/>
              <w:jc w:val="both"/>
              <w:rPr>
                <w:rFonts w:ascii="Calibri" w:hAnsi="Calibri" w:cs="Calibri"/>
                <w:sz w:val="20"/>
                <w:szCs w:val="20"/>
              </w:rPr>
            </w:pPr>
            <w:r w:rsidRPr="00324179">
              <w:rPr>
                <w:rFonts w:ascii="Calibri" w:hAnsi="Calibri" w:cs="Calibri"/>
                <w:sz w:val="20"/>
                <w:szCs w:val="20"/>
              </w:rPr>
              <w:t>GP</w:t>
            </w:r>
          </w:p>
        </w:tc>
        <w:tc>
          <w:tcPr>
            <w:tcW w:w="3969" w:type="dxa"/>
            <w:tcBorders>
              <w:top w:val="single" w:sz="4" w:space="0" w:color="000000"/>
              <w:left w:val="single" w:sz="4" w:space="0" w:color="000000"/>
              <w:bottom w:val="single" w:sz="4" w:space="0" w:color="000000"/>
              <w:right w:val="single" w:sz="4" w:space="0" w:color="000000"/>
            </w:tcBorders>
            <w:hideMark/>
          </w:tcPr>
          <w:p w14:paraId="6FFBF643" w14:textId="77777777" w:rsidR="00324179" w:rsidRPr="00324179" w:rsidRDefault="00324179" w:rsidP="00324179">
            <w:pPr>
              <w:pStyle w:val="Tekstpodstawowy"/>
              <w:spacing w:line="240" w:lineRule="auto"/>
              <w:rPr>
                <w:rFonts w:ascii="Calibri" w:hAnsi="Calibri" w:cs="Calibri"/>
                <w:sz w:val="20"/>
                <w:szCs w:val="20"/>
                <w:lang w:val="pl-PL"/>
              </w:rPr>
            </w:pPr>
            <w:r w:rsidRPr="00324179">
              <w:rPr>
                <w:rFonts w:ascii="Calibri" w:hAnsi="Calibri" w:cs="Calibri"/>
                <w:sz w:val="20"/>
                <w:szCs w:val="20"/>
                <w:lang w:val="pl-PL"/>
              </w:rPr>
              <w:t>Pasy ruchu zasadnicze, awaryjne, dodatkowe, włącznie i wyłączenia, jezdnie łącznic</w:t>
            </w:r>
          </w:p>
        </w:tc>
        <w:tc>
          <w:tcPr>
            <w:tcW w:w="3544" w:type="dxa"/>
            <w:tcBorders>
              <w:top w:val="single" w:sz="4" w:space="0" w:color="000000"/>
              <w:left w:val="single" w:sz="4" w:space="0" w:color="000000"/>
              <w:bottom w:val="single" w:sz="4" w:space="0" w:color="000000"/>
              <w:right w:val="single" w:sz="4" w:space="0" w:color="000000"/>
            </w:tcBorders>
          </w:tcPr>
          <w:p w14:paraId="30235836" w14:textId="77777777" w:rsidR="00324179" w:rsidRPr="00324179" w:rsidRDefault="00324179" w:rsidP="00324179">
            <w:pPr>
              <w:pStyle w:val="Tekstpodstawowy"/>
              <w:spacing w:line="240" w:lineRule="auto"/>
              <w:jc w:val="both"/>
              <w:rPr>
                <w:rFonts w:ascii="Calibri" w:eastAsia="Arial" w:hAnsi="Calibri" w:cs="Calibri"/>
                <w:sz w:val="20"/>
                <w:szCs w:val="20"/>
                <w:lang w:val="pl-PL"/>
              </w:rPr>
            </w:pPr>
          </w:p>
          <w:p w14:paraId="56FBCA6F" w14:textId="77777777" w:rsidR="00324179" w:rsidRPr="00324179" w:rsidRDefault="00324179" w:rsidP="00324179">
            <w:pPr>
              <w:pStyle w:val="Tekstpodstawowy"/>
              <w:spacing w:line="240" w:lineRule="auto"/>
              <w:jc w:val="both"/>
              <w:rPr>
                <w:rFonts w:ascii="Calibri" w:hAnsi="Calibri" w:cs="Calibri"/>
                <w:sz w:val="20"/>
                <w:szCs w:val="20"/>
              </w:rPr>
            </w:pPr>
            <w:r w:rsidRPr="00324179">
              <w:rPr>
                <w:rFonts w:ascii="Calibri" w:hAnsi="Calibri" w:cs="Calibri"/>
                <w:sz w:val="20"/>
                <w:szCs w:val="20"/>
              </w:rPr>
              <w:t>9</w:t>
            </w:r>
          </w:p>
        </w:tc>
      </w:tr>
      <w:tr w:rsidR="00324179" w:rsidRPr="00324179" w14:paraId="312ACF0E" w14:textId="77777777" w:rsidTr="00375F64">
        <w:trPr>
          <w:trHeight w:val="460"/>
        </w:trPr>
        <w:tc>
          <w:tcPr>
            <w:tcW w:w="1159" w:type="dxa"/>
            <w:vMerge/>
            <w:tcBorders>
              <w:top w:val="single" w:sz="4" w:space="0" w:color="000000"/>
              <w:left w:val="single" w:sz="4" w:space="0" w:color="000000"/>
              <w:bottom w:val="single" w:sz="4" w:space="0" w:color="000000"/>
              <w:right w:val="single" w:sz="4" w:space="0" w:color="000000"/>
            </w:tcBorders>
            <w:vAlign w:val="center"/>
            <w:hideMark/>
          </w:tcPr>
          <w:p w14:paraId="3E65FC01" w14:textId="77777777" w:rsidR="00324179" w:rsidRPr="00324179" w:rsidRDefault="00324179" w:rsidP="00324179">
            <w:pPr>
              <w:pStyle w:val="Tekstpodstawowy"/>
              <w:spacing w:line="240" w:lineRule="auto"/>
              <w:jc w:val="both"/>
              <w:rPr>
                <w:rFonts w:ascii="Calibri" w:eastAsia="Arial" w:hAnsi="Calibri" w:cs="Calibri"/>
                <w:sz w:val="20"/>
                <w:szCs w:val="20"/>
              </w:rPr>
            </w:pPr>
          </w:p>
        </w:tc>
        <w:tc>
          <w:tcPr>
            <w:tcW w:w="3969" w:type="dxa"/>
            <w:tcBorders>
              <w:top w:val="single" w:sz="4" w:space="0" w:color="000000"/>
              <w:left w:val="single" w:sz="4" w:space="0" w:color="000000"/>
              <w:bottom w:val="single" w:sz="4" w:space="0" w:color="000000"/>
              <w:right w:val="single" w:sz="4" w:space="0" w:color="000000"/>
            </w:tcBorders>
            <w:hideMark/>
          </w:tcPr>
          <w:p w14:paraId="69817EF0" w14:textId="77777777" w:rsidR="00324179" w:rsidRPr="00324179" w:rsidRDefault="00324179" w:rsidP="00324179">
            <w:pPr>
              <w:pStyle w:val="Tekstpodstawowy"/>
              <w:spacing w:line="240" w:lineRule="auto"/>
              <w:rPr>
                <w:rFonts w:ascii="Calibri" w:hAnsi="Calibri" w:cs="Calibri"/>
                <w:sz w:val="20"/>
                <w:szCs w:val="20"/>
              </w:rPr>
            </w:pPr>
            <w:r w:rsidRPr="00324179">
              <w:rPr>
                <w:rFonts w:ascii="Calibri" w:hAnsi="Calibri" w:cs="Calibri"/>
                <w:sz w:val="20"/>
                <w:szCs w:val="20"/>
              </w:rPr>
              <w:t>Jezdnie MOP, utwardzone pobocza</w:t>
            </w:r>
          </w:p>
        </w:tc>
        <w:tc>
          <w:tcPr>
            <w:tcW w:w="3544" w:type="dxa"/>
            <w:tcBorders>
              <w:top w:val="single" w:sz="4" w:space="0" w:color="000000"/>
              <w:left w:val="single" w:sz="4" w:space="0" w:color="000000"/>
              <w:bottom w:val="single" w:sz="4" w:space="0" w:color="000000"/>
              <w:right w:val="single" w:sz="4" w:space="0" w:color="000000"/>
            </w:tcBorders>
            <w:hideMark/>
          </w:tcPr>
          <w:p w14:paraId="27EFAF74" w14:textId="77777777" w:rsidR="00324179" w:rsidRPr="00324179" w:rsidRDefault="00324179" w:rsidP="00324179">
            <w:pPr>
              <w:pStyle w:val="Tekstpodstawowy"/>
              <w:spacing w:line="240" w:lineRule="auto"/>
              <w:jc w:val="both"/>
              <w:rPr>
                <w:rFonts w:ascii="Calibri" w:hAnsi="Calibri" w:cs="Calibri"/>
                <w:sz w:val="20"/>
                <w:szCs w:val="20"/>
              </w:rPr>
            </w:pPr>
            <w:r w:rsidRPr="00324179">
              <w:rPr>
                <w:rFonts w:ascii="Calibri" w:hAnsi="Calibri" w:cs="Calibri"/>
                <w:sz w:val="20"/>
                <w:szCs w:val="20"/>
              </w:rPr>
              <w:t>12</w:t>
            </w:r>
          </w:p>
        </w:tc>
      </w:tr>
      <w:tr w:rsidR="00324179" w:rsidRPr="00324179" w14:paraId="48A8EEE9" w14:textId="77777777" w:rsidTr="00375F64">
        <w:trPr>
          <w:trHeight w:val="600"/>
        </w:trPr>
        <w:tc>
          <w:tcPr>
            <w:tcW w:w="1159" w:type="dxa"/>
            <w:vMerge w:val="restart"/>
            <w:tcBorders>
              <w:top w:val="single" w:sz="4" w:space="0" w:color="000000"/>
              <w:left w:val="single" w:sz="4" w:space="0" w:color="000000"/>
              <w:bottom w:val="single" w:sz="4" w:space="0" w:color="000000"/>
              <w:right w:val="single" w:sz="4" w:space="0" w:color="000000"/>
            </w:tcBorders>
          </w:tcPr>
          <w:p w14:paraId="525624BA" w14:textId="77777777" w:rsidR="00324179" w:rsidRPr="00324179" w:rsidRDefault="00324179" w:rsidP="00324179">
            <w:pPr>
              <w:pStyle w:val="Tekstpodstawowy"/>
              <w:spacing w:line="240" w:lineRule="auto"/>
              <w:jc w:val="both"/>
              <w:rPr>
                <w:rFonts w:ascii="Calibri" w:eastAsia="Arial" w:hAnsi="Calibri" w:cs="Calibri"/>
                <w:sz w:val="20"/>
                <w:szCs w:val="20"/>
              </w:rPr>
            </w:pPr>
          </w:p>
          <w:p w14:paraId="4DCBC8D7" w14:textId="77777777" w:rsidR="00324179" w:rsidRPr="00324179" w:rsidRDefault="00324179" w:rsidP="00324179">
            <w:pPr>
              <w:pStyle w:val="Tekstpodstawowy"/>
              <w:spacing w:line="240" w:lineRule="auto"/>
              <w:jc w:val="both"/>
              <w:rPr>
                <w:rFonts w:ascii="Calibri" w:hAnsi="Calibri" w:cs="Calibri"/>
                <w:sz w:val="20"/>
                <w:szCs w:val="20"/>
              </w:rPr>
            </w:pPr>
            <w:r w:rsidRPr="00324179">
              <w:rPr>
                <w:rFonts w:ascii="Calibri" w:hAnsi="Calibri" w:cs="Calibri"/>
                <w:sz w:val="20"/>
                <w:szCs w:val="20"/>
              </w:rPr>
              <w:t>G, Z</w:t>
            </w:r>
          </w:p>
        </w:tc>
        <w:tc>
          <w:tcPr>
            <w:tcW w:w="3969" w:type="dxa"/>
            <w:tcBorders>
              <w:top w:val="single" w:sz="4" w:space="0" w:color="000000"/>
              <w:left w:val="single" w:sz="4" w:space="0" w:color="000000"/>
              <w:bottom w:val="single" w:sz="4" w:space="0" w:color="000000"/>
              <w:right w:val="single" w:sz="4" w:space="0" w:color="000000"/>
            </w:tcBorders>
            <w:hideMark/>
          </w:tcPr>
          <w:p w14:paraId="1DE4AEB5" w14:textId="77777777" w:rsidR="00324179" w:rsidRPr="00324179" w:rsidRDefault="00324179" w:rsidP="00324179">
            <w:pPr>
              <w:pStyle w:val="Tekstpodstawowy"/>
              <w:spacing w:line="240" w:lineRule="auto"/>
              <w:rPr>
                <w:rFonts w:ascii="Calibri" w:hAnsi="Calibri" w:cs="Calibri"/>
                <w:sz w:val="20"/>
                <w:szCs w:val="20"/>
                <w:lang w:val="pl-PL"/>
              </w:rPr>
            </w:pPr>
            <w:r w:rsidRPr="00324179">
              <w:rPr>
                <w:rFonts w:ascii="Calibri" w:hAnsi="Calibri" w:cs="Calibri"/>
                <w:sz w:val="20"/>
                <w:szCs w:val="20"/>
                <w:lang w:val="pl-PL"/>
              </w:rPr>
              <w:t>Pasy ruchu zasadnicze, dodatkowe, włączenia i wyłączenia, postojowe</w:t>
            </w:r>
          </w:p>
        </w:tc>
        <w:tc>
          <w:tcPr>
            <w:tcW w:w="3544" w:type="dxa"/>
            <w:tcBorders>
              <w:top w:val="single" w:sz="4" w:space="0" w:color="000000"/>
              <w:left w:val="single" w:sz="4" w:space="0" w:color="000000"/>
              <w:bottom w:val="single" w:sz="4" w:space="0" w:color="000000"/>
              <w:right w:val="single" w:sz="4" w:space="0" w:color="000000"/>
            </w:tcBorders>
          </w:tcPr>
          <w:p w14:paraId="690F1DFC" w14:textId="77777777" w:rsidR="00324179" w:rsidRPr="00324179" w:rsidRDefault="00324179" w:rsidP="00324179">
            <w:pPr>
              <w:pStyle w:val="Tekstpodstawowy"/>
              <w:spacing w:line="240" w:lineRule="auto"/>
              <w:jc w:val="both"/>
              <w:rPr>
                <w:rFonts w:ascii="Calibri" w:eastAsia="Arial" w:hAnsi="Calibri" w:cs="Calibri"/>
                <w:sz w:val="20"/>
                <w:szCs w:val="20"/>
                <w:lang w:val="pl-PL"/>
              </w:rPr>
            </w:pPr>
          </w:p>
          <w:p w14:paraId="03FE2A49" w14:textId="77777777" w:rsidR="00324179" w:rsidRPr="00324179" w:rsidRDefault="00324179" w:rsidP="00324179">
            <w:pPr>
              <w:pStyle w:val="Tekstpodstawowy"/>
              <w:spacing w:line="240" w:lineRule="auto"/>
              <w:jc w:val="both"/>
              <w:rPr>
                <w:rFonts w:ascii="Calibri" w:hAnsi="Calibri" w:cs="Calibri"/>
                <w:sz w:val="20"/>
                <w:szCs w:val="20"/>
              </w:rPr>
            </w:pPr>
            <w:r w:rsidRPr="00324179">
              <w:rPr>
                <w:rFonts w:ascii="Calibri" w:hAnsi="Calibri" w:cs="Calibri"/>
                <w:sz w:val="20"/>
                <w:szCs w:val="20"/>
              </w:rPr>
              <w:t>12</w:t>
            </w:r>
          </w:p>
        </w:tc>
      </w:tr>
      <w:tr w:rsidR="00324179" w:rsidRPr="00324179" w14:paraId="22E5C9DE" w14:textId="77777777" w:rsidTr="00375F64">
        <w:trPr>
          <w:trHeight w:val="230"/>
        </w:trPr>
        <w:tc>
          <w:tcPr>
            <w:tcW w:w="1159" w:type="dxa"/>
            <w:vMerge/>
            <w:tcBorders>
              <w:top w:val="single" w:sz="4" w:space="0" w:color="000000"/>
              <w:left w:val="single" w:sz="4" w:space="0" w:color="000000"/>
              <w:bottom w:val="single" w:sz="4" w:space="0" w:color="000000"/>
              <w:right w:val="single" w:sz="4" w:space="0" w:color="000000"/>
            </w:tcBorders>
            <w:vAlign w:val="center"/>
            <w:hideMark/>
          </w:tcPr>
          <w:p w14:paraId="13E249EC" w14:textId="77777777" w:rsidR="00324179" w:rsidRPr="00324179" w:rsidRDefault="00324179" w:rsidP="00324179">
            <w:pPr>
              <w:pStyle w:val="Tekstpodstawowy"/>
              <w:spacing w:line="240" w:lineRule="auto"/>
              <w:jc w:val="both"/>
              <w:rPr>
                <w:rFonts w:ascii="Calibri" w:eastAsia="Arial" w:hAnsi="Calibri" w:cs="Calibri"/>
                <w:sz w:val="20"/>
                <w:szCs w:val="20"/>
              </w:rPr>
            </w:pPr>
          </w:p>
        </w:tc>
        <w:tc>
          <w:tcPr>
            <w:tcW w:w="3969" w:type="dxa"/>
            <w:tcBorders>
              <w:top w:val="single" w:sz="4" w:space="0" w:color="000000"/>
              <w:left w:val="single" w:sz="4" w:space="0" w:color="000000"/>
              <w:bottom w:val="single" w:sz="4" w:space="0" w:color="000000"/>
              <w:right w:val="single" w:sz="4" w:space="0" w:color="000000"/>
            </w:tcBorders>
            <w:hideMark/>
          </w:tcPr>
          <w:p w14:paraId="6B3A9E13" w14:textId="77777777" w:rsidR="00324179" w:rsidRPr="00324179" w:rsidRDefault="00324179" w:rsidP="00324179">
            <w:pPr>
              <w:pStyle w:val="Tekstpodstawowy"/>
              <w:spacing w:line="240" w:lineRule="auto"/>
              <w:rPr>
                <w:rFonts w:ascii="Calibri" w:hAnsi="Calibri" w:cs="Calibri"/>
                <w:sz w:val="20"/>
                <w:szCs w:val="20"/>
              </w:rPr>
            </w:pPr>
            <w:r w:rsidRPr="00324179">
              <w:rPr>
                <w:rFonts w:ascii="Calibri" w:hAnsi="Calibri" w:cs="Calibri"/>
                <w:sz w:val="20"/>
                <w:szCs w:val="20"/>
              </w:rPr>
              <w:t>Utwardzone pobocza</w:t>
            </w:r>
          </w:p>
        </w:tc>
        <w:tc>
          <w:tcPr>
            <w:tcW w:w="3544" w:type="dxa"/>
            <w:tcBorders>
              <w:top w:val="single" w:sz="4" w:space="0" w:color="000000"/>
              <w:left w:val="single" w:sz="4" w:space="0" w:color="000000"/>
              <w:bottom w:val="single" w:sz="4" w:space="0" w:color="000000"/>
              <w:right w:val="single" w:sz="4" w:space="0" w:color="000000"/>
            </w:tcBorders>
            <w:hideMark/>
          </w:tcPr>
          <w:p w14:paraId="42CF39B6" w14:textId="77777777" w:rsidR="00324179" w:rsidRPr="00324179" w:rsidRDefault="00324179" w:rsidP="00324179">
            <w:pPr>
              <w:pStyle w:val="Tekstpodstawowy"/>
              <w:spacing w:line="240" w:lineRule="auto"/>
              <w:jc w:val="both"/>
              <w:rPr>
                <w:rFonts w:ascii="Calibri" w:hAnsi="Calibri" w:cs="Calibri"/>
                <w:sz w:val="20"/>
                <w:szCs w:val="20"/>
              </w:rPr>
            </w:pPr>
            <w:r w:rsidRPr="00324179">
              <w:rPr>
                <w:rFonts w:ascii="Calibri" w:hAnsi="Calibri" w:cs="Calibri"/>
                <w:sz w:val="20"/>
                <w:szCs w:val="20"/>
              </w:rPr>
              <w:t>15</w:t>
            </w:r>
          </w:p>
        </w:tc>
      </w:tr>
      <w:tr w:rsidR="00324179" w:rsidRPr="00324179" w14:paraId="75F247E2" w14:textId="77777777" w:rsidTr="00375F64">
        <w:trPr>
          <w:trHeight w:val="688"/>
        </w:trPr>
        <w:tc>
          <w:tcPr>
            <w:tcW w:w="1159" w:type="dxa"/>
            <w:tcBorders>
              <w:top w:val="single" w:sz="4" w:space="0" w:color="000000"/>
              <w:left w:val="single" w:sz="4" w:space="0" w:color="000000"/>
              <w:bottom w:val="single" w:sz="4" w:space="0" w:color="000000"/>
              <w:right w:val="single" w:sz="4" w:space="0" w:color="000000"/>
            </w:tcBorders>
          </w:tcPr>
          <w:p w14:paraId="647E1FD0" w14:textId="77777777" w:rsidR="00324179" w:rsidRPr="00324179" w:rsidRDefault="00324179" w:rsidP="00324179">
            <w:pPr>
              <w:pStyle w:val="Tekstpodstawowy"/>
              <w:spacing w:line="240" w:lineRule="auto"/>
              <w:jc w:val="both"/>
              <w:rPr>
                <w:rFonts w:ascii="Calibri" w:eastAsia="Arial" w:hAnsi="Calibri" w:cs="Calibri"/>
                <w:sz w:val="20"/>
                <w:szCs w:val="20"/>
              </w:rPr>
            </w:pPr>
          </w:p>
          <w:p w14:paraId="55976A6B" w14:textId="77777777" w:rsidR="00324179" w:rsidRPr="00324179" w:rsidRDefault="00324179" w:rsidP="00324179">
            <w:pPr>
              <w:pStyle w:val="Tekstpodstawowy"/>
              <w:spacing w:line="240" w:lineRule="auto"/>
              <w:jc w:val="both"/>
              <w:rPr>
                <w:rFonts w:ascii="Calibri" w:hAnsi="Calibri" w:cs="Calibri"/>
                <w:sz w:val="20"/>
                <w:szCs w:val="20"/>
              </w:rPr>
            </w:pPr>
            <w:r w:rsidRPr="00324179">
              <w:rPr>
                <w:rFonts w:ascii="Calibri" w:hAnsi="Calibri" w:cs="Calibri"/>
                <w:sz w:val="20"/>
                <w:szCs w:val="20"/>
              </w:rPr>
              <w:t>L, D, place, parkingi</w:t>
            </w:r>
          </w:p>
        </w:tc>
        <w:tc>
          <w:tcPr>
            <w:tcW w:w="3969" w:type="dxa"/>
            <w:tcBorders>
              <w:top w:val="single" w:sz="4" w:space="0" w:color="000000"/>
              <w:left w:val="single" w:sz="4" w:space="0" w:color="000000"/>
              <w:bottom w:val="single" w:sz="4" w:space="0" w:color="000000"/>
              <w:right w:val="single" w:sz="4" w:space="0" w:color="000000"/>
            </w:tcBorders>
            <w:hideMark/>
          </w:tcPr>
          <w:p w14:paraId="2CDA6E61" w14:textId="77777777" w:rsidR="00324179" w:rsidRPr="00324179" w:rsidRDefault="00324179" w:rsidP="00324179">
            <w:pPr>
              <w:pStyle w:val="Tekstpodstawowy"/>
              <w:spacing w:line="240" w:lineRule="auto"/>
              <w:rPr>
                <w:rFonts w:ascii="Calibri" w:eastAsia="Arial" w:hAnsi="Calibri" w:cs="Calibri"/>
                <w:sz w:val="20"/>
                <w:szCs w:val="20"/>
                <w:lang w:val="pl-PL"/>
              </w:rPr>
            </w:pPr>
            <w:r w:rsidRPr="00324179">
              <w:rPr>
                <w:rFonts w:ascii="Calibri" w:hAnsi="Calibri" w:cs="Calibri"/>
                <w:sz w:val="20"/>
                <w:szCs w:val="20"/>
                <w:lang w:val="pl-PL"/>
              </w:rPr>
              <w:t>Wszystkie pasy ruchu i</w:t>
            </w:r>
          </w:p>
          <w:p w14:paraId="52C93B1B" w14:textId="77777777" w:rsidR="00324179" w:rsidRPr="00324179" w:rsidRDefault="00324179" w:rsidP="00324179">
            <w:pPr>
              <w:pStyle w:val="Tekstpodstawowy"/>
              <w:spacing w:line="240" w:lineRule="auto"/>
              <w:rPr>
                <w:rFonts w:ascii="Calibri" w:hAnsi="Calibri" w:cs="Calibri"/>
                <w:sz w:val="20"/>
                <w:szCs w:val="20"/>
                <w:lang w:val="pl-PL"/>
              </w:rPr>
            </w:pPr>
            <w:r w:rsidRPr="00324179">
              <w:rPr>
                <w:rFonts w:ascii="Calibri" w:hAnsi="Calibri" w:cs="Calibri"/>
                <w:sz w:val="20"/>
                <w:szCs w:val="20"/>
                <w:lang w:val="pl-PL"/>
              </w:rPr>
              <w:t>powierzchnie przeznaczone do ruchu i postoju pojazdów</w:t>
            </w:r>
          </w:p>
        </w:tc>
        <w:tc>
          <w:tcPr>
            <w:tcW w:w="3544" w:type="dxa"/>
            <w:tcBorders>
              <w:top w:val="single" w:sz="4" w:space="0" w:color="000000"/>
              <w:left w:val="single" w:sz="4" w:space="0" w:color="000000"/>
              <w:bottom w:val="single" w:sz="4" w:space="0" w:color="000000"/>
              <w:right w:val="single" w:sz="4" w:space="0" w:color="000000"/>
            </w:tcBorders>
          </w:tcPr>
          <w:p w14:paraId="0CED59AC" w14:textId="77777777" w:rsidR="00324179" w:rsidRPr="00324179" w:rsidRDefault="00324179" w:rsidP="00324179">
            <w:pPr>
              <w:pStyle w:val="Tekstpodstawowy"/>
              <w:spacing w:line="240" w:lineRule="auto"/>
              <w:jc w:val="both"/>
              <w:rPr>
                <w:rFonts w:ascii="Calibri" w:eastAsia="Arial" w:hAnsi="Calibri" w:cs="Calibri"/>
                <w:sz w:val="20"/>
                <w:szCs w:val="20"/>
                <w:lang w:val="pl-PL"/>
              </w:rPr>
            </w:pPr>
          </w:p>
          <w:p w14:paraId="0895CD51" w14:textId="77777777" w:rsidR="00324179" w:rsidRPr="00324179" w:rsidRDefault="00324179" w:rsidP="00324179">
            <w:pPr>
              <w:pStyle w:val="Tekstpodstawowy"/>
              <w:spacing w:line="240" w:lineRule="auto"/>
              <w:jc w:val="both"/>
              <w:rPr>
                <w:rFonts w:ascii="Calibri" w:hAnsi="Calibri" w:cs="Calibri"/>
                <w:sz w:val="20"/>
                <w:szCs w:val="20"/>
              </w:rPr>
            </w:pPr>
            <w:r w:rsidRPr="00324179">
              <w:rPr>
                <w:rFonts w:ascii="Calibri" w:hAnsi="Calibri" w:cs="Calibri"/>
                <w:sz w:val="20"/>
                <w:szCs w:val="20"/>
              </w:rPr>
              <w:t>15</w:t>
            </w:r>
          </w:p>
        </w:tc>
      </w:tr>
    </w:tbl>
    <w:p w14:paraId="6ABC906D" w14:textId="77777777" w:rsidR="00324179" w:rsidRPr="00324179" w:rsidRDefault="00324179" w:rsidP="00324179">
      <w:pPr>
        <w:pStyle w:val="Tekstpodstawowy"/>
        <w:spacing w:line="240" w:lineRule="auto"/>
        <w:jc w:val="both"/>
        <w:rPr>
          <w:rFonts w:ascii="Calibri" w:hAnsi="Calibri" w:cs="Calibri"/>
          <w:sz w:val="20"/>
          <w:szCs w:val="20"/>
        </w:rPr>
      </w:pPr>
    </w:p>
    <w:p w14:paraId="5EFD9204" w14:textId="77777777" w:rsidR="00324179" w:rsidRPr="00324179" w:rsidRDefault="00324179" w:rsidP="00324179">
      <w:pPr>
        <w:pStyle w:val="Tekstpodstawowy"/>
        <w:spacing w:line="240" w:lineRule="auto"/>
        <w:jc w:val="both"/>
        <w:rPr>
          <w:rFonts w:ascii="Calibri" w:hAnsi="Calibri" w:cs="Calibri"/>
          <w:b/>
          <w:sz w:val="20"/>
          <w:szCs w:val="20"/>
        </w:rPr>
      </w:pPr>
      <w:r w:rsidRPr="00324179">
        <w:rPr>
          <w:rFonts w:ascii="Calibri" w:hAnsi="Calibri" w:cs="Calibri"/>
          <w:b/>
          <w:sz w:val="20"/>
          <w:szCs w:val="20"/>
        </w:rPr>
        <w:t>6.4.3 Pomiar równości podłużnej nawierzchni metodą łaty i klina</w:t>
      </w:r>
    </w:p>
    <w:p w14:paraId="40D79D49" w14:textId="77777777" w:rsidR="00324179" w:rsidRPr="00324179" w:rsidRDefault="00324179" w:rsidP="00324179">
      <w:pPr>
        <w:pStyle w:val="Tekstpodstawowy"/>
        <w:spacing w:line="240" w:lineRule="auto"/>
        <w:jc w:val="both"/>
        <w:rPr>
          <w:rFonts w:ascii="Calibri" w:hAnsi="Calibri" w:cs="Calibri"/>
          <w:sz w:val="20"/>
          <w:szCs w:val="20"/>
        </w:rPr>
      </w:pPr>
      <w:r w:rsidRPr="00324179">
        <w:rPr>
          <w:rFonts w:ascii="Calibri" w:hAnsi="Calibri" w:cs="Calibri"/>
          <w:sz w:val="20"/>
          <w:szCs w:val="20"/>
        </w:rPr>
        <w:t>Pomiar równości podłużnej warstw nawierzchni z użyciem łaty i klina należy wykonywać jedynie w miejscach niedostępnych dla sprzętu pomiarowego (stanowiska postojowe, zatoki autobusowe itp.). Pomiary równości podłużnej z wykorzystaniem łaty i klina należy wykonywać w osi podłużnej elementu drogi/pasa ruchu, w płaszczyźnie prostopadłej do powierzchni badanej warstwy. Pomiar należy wykonywać w sposób ciągły (początek każdego pomiaru łatą w miejscu zakończenia poprzedniego pomiaru). Klin należy podkładać pod łatę w miejscu, w którym prześwit jest największy (największe odchylenie równości). Wielkość prześwitu jest równa najmniejszej liczbie widocznej na klinie podłożonym pod łatę. Zasady oceny wyników pomiaru jak w Tablicy 9.</w:t>
      </w:r>
    </w:p>
    <w:p w14:paraId="2AB9E0B3" w14:textId="77777777" w:rsidR="00324179" w:rsidRPr="00324179" w:rsidRDefault="00324179" w:rsidP="00324179">
      <w:pPr>
        <w:pStyle w:val="Tekstpodstawowy"/>
        <w:spacing w:line="240" w:lineRule="auto"/>
        <w:jc w:val="both"/>
        <w:rPr>
          <w:rFonts w:ascii="Calibri" w:hAnsi="Calibri" w:cs="Calibri"/>
          <w:b/>
          <w:sz w:val="20"/>
          <w:szCs w:val="20"/>
        </w:rPr>
      </w:pPr>
      <w:r w:rsidRPr="00324179">
        <w:rPr>
          <w:rFonts w:ascii="Calibri" w:hAnsi="Calibri" w:cs="Calibri"/>
          <w:b/>
          <w:sz w:val="20"/>
          <w:szCs w:val="20"/>
        </w:rPr>
        <w:t>6.4.4 Pomiar równości poprzecznej warstwy</w:t>
      </w:r>
      <w:r w:rsidRPr="00324179">
        <w:rPr>
          <w:rFonts w:ascii="Calibri" w:hAnsi="Calibri" w:cs="Calibri"/>
          <w:b/>
          <w:spacing w:val="-4"/>
          <w:sz w:val="20"/>
          <w:szCs w:val="20"/>
        </w:rPr>
        <w:t xml:space="preserve"> </w:t>
      </w:r>
      <w:r w:rsidRPr="00324179">
        <w:rPr>
          <w:rFonts w:ascii="Calibri" w:hAnsi="Calibri" w:cs="Calibri"/>
          <w:b/>
          <w:sz w:val="20"/>
          <w:szCs w:val="20"/>
        </w:rPr>
        <w:t>podbudowy</w:t>
      </w:r>
    </w:p>
    <w:p w14:paraId="37EDEB13" w14:textId="3F73575B" w:rsidR="00324179" w:rsidRDefault="00324179" w:rsidP="00324179">
      <w:pPr>
        <w:pStyle w:val="Tekstpodstawowy"/>
        <w:spacing w:line="240" w:lineRule="auto"/>
        <w:jc w:val="both"/>
        <w:rPr>
          <w:rFonts w:ascii="Calibri" w:hAnsi="Calibri" w:cs="Calibri"/>
          <w:sz w:val="20"/>
          <w:szCs w:val="20"/>
        </w:rPr>
      </w:pPr>
      <w:r w:rsidRPr="00324179">
        <w:rPr>
          <w:rFonts w:ascii="Calibri" w:hAnsi="Calibri" w:cs="Calibri"/>
          <w:sz w:val="20"/>
          <w:szCs w:val="20"/>
        </w:rPr>
        <w:t>Do oceny równości poprzecznej warstw nawierzchni dróg wszystkich klas technicznych oraz placów i parkingów należy stosować metodę pomiaru profilometrycznego lub z wykorzystaniem łaty i klina, umożliwiającą wyznaczenie odchylenia równości w przekroju poprzecznym pasa ruchu/elementu drogi. W przypadku metody profilometrycznej odchylenie to jest obliczane jako największa odległość (prześwit) pomiędzy teoretyczną łatą a zarejestrowanym profilem poprzecznym warstwy. Wartość odchylenia równości poprzecznej standardowo należy wyznaczać z krokiem co 1 m. Zaleca się utrzymywanie w czasie pomiaru stałej prędkości pomiarowej w zakresie 50-70 km/h, przy czym w zależności od panujących warunków oraz organizacji</w:t>
      </w:r>
      <w:r w:rsidRPr="00324179">
        <w:rPr>
          <w:rFonts w:ascii="Calibri" w:hAnsi="Calibri" w:cs="Calibri"/>
          <w:spacing w:val="41"/>
          <w:sz w:val="20"/>
          <w:szCs w:val="20"/>
        </w:rPr>
        <w:t xml:space="preserve"> </w:t>
      </w:r>
      <w:r w:rsidRPr="00324179">
        <w:rPr>
          <w:rFonts w:ascii="Calibri" w:hAnsi="Calibri" w:cs="Calibri"/>
          <w:sz w:val="20"/>
          <w:szCs w:val="20"/>
        </w:rPr>
        <w:t>ruchu</w:t>
      </w:r>
      <w:r w:rsidRPr="00324179">
        <w:rPr>
          <w:rFonts w:ascii="Calibri" w:hAnsi="Calibri" w:cs="Calibri"/>
          <w:spacing w:val="41"/>
          <w:sz w:val="20"/>
          <w:szCs w:val="20"/>
        </w:rPr>
        <w:t xml:space="preserve"> </w:t>
      </w:r>
      <w:r w:rsidRPr="00324179">
        <w:rPr>
          <w:rFonts w:ascii="Calibri" w:hAnsi="Calibri" w:cs="Calibri"/>
          <w:sz w:val="20"/>
          <w:szCs w:val="20"/>
        </w:rPr>
        <w:t>dopuszcza</w:t>
      </w:r>
      <w:r w:rsidRPr="00324179">
        <w:rPr>
          <w:rFonts w:ascii="Calibri" w:hAnsi="Calibri" w:cs="Calibri"/>
          <w:spacing w:val="40"/>
          <w:sz w:val="20"/>
          <w:szCs w:val="20"/>
        </w:rPr>
        <w:t xml:space="preserve"> </w:t>
      </w:r>
      <w:r w:rsidRPr="00324179">
        <w:rPr>
          <w:rFonts w:ascii="Calibri" w:hAnsi="Calibri" w:cs="Calibri"/>
          <w:sz w:val="20"/>
          <w:szCs w:val="20"/>
        </w:rPr>
        <w:t>się</w:t>
      </w:r>
      <w:r w:rsidRPr="00324179">
        <w:rPr>
          <w:rFonts w:ascii="Calibri" w:hAnsi="Calibri" w:cs="Calibri"/>
          <w:spacing w:val="38"/>
          <w:sz w:val="20"/>
          <w:szCs w:val="20"/>
        </w:rPr>
        <w:t xml:space="preserve"> </w:t>
      </w:r>
      <w:r w:rsidRPr="00324179">
        <w:rPr>
          <w:rFonts w:ascii="Calibri" w:hAnsi="Calibri" w:cs="Calibri"/>
          <w:sz w:val="20"/>
          <w:szCs w:val="20"/>
        </w:rPr>
        <w:t>wykonywanie</w:t>
      </w:r>
      <w:r w:rsidRPr="00324179">
        <w:rPr>
          <w:rFonts w:ascii="Calibri" w:hAnsi="Calibri" w:cs="Calibri"/>
          <w:spacing w:val="38"/>
          <w:sz w:val="20"/>
          <w:szCs w:val="20"/>
        </w:rPr>
        <w:t xml:space="preserve"> </w:t>
      </w:r>
      <w:r w:rsidRPr="00324179">
        <w:rPr>
          <w:rFonts w:ascii="Calibri" w:hAnsi="Calibri" w:cs="Calibri"/>
          <w:sz w:val="20"/>
          <w:szCs w:val="20"/>
        </w:rPr>
        <w:t>pomiarów</w:t>
      </w:r>
      <w:r w:rsidRPr="00324179">
        <w:rPr>
          <w:rFonts w:ascii="Calibri" w:hAnsi="Calibri" w:cs="Calibri"/>
          <w:spacing w:val="42"/>
          <w:sz w:val="20"/>
          <w:szCs w:val="20"/>
        </w:rPr>
        <w:t xml:space="preserve"> </w:t>
      </w:r>
      <w:r w:rsidRPr="00324179">
        <w:rPr>
          <w:rFonts w:ascii="Calibri" w:hAnsi="Calibri" w:cs="Calibri"/>
          <w:sz w:val="20"/>
          <w:szCs w:val="20"/>
        </w:rPr>
        <w:t>z</w:t>
      </w:r>
      <w:r w:rsidRPr="00324179">
        <w:rPr>
          <w:rFonts w:ascii="Calibri" w:hAnsi="Calibri" w:cs="Calibri"/>
          <w:spacing w:val="40"/>
          <w:sz w:val="20"/>
          <w:szCs w:val="20"/>
        </w:rPr>
        <w:t xml:space="preserve"> </w:t>
      </w:r>
      <w:r w:rsidRPr="00324179">
        <w:rPr>
          <w:rFonts w:ascii="Calibri" w:hAnsi="Calibri" w:cs="Calibri"/>
          <w:sz w:val="20"/>
          <w:szCs w:val="20"/>
        </w:rPr>
        <w:t>prędkością</w:t>
      </w:r>
      <w:r w:rsidRPr="00324179">
        <w:rPr>
          <w:rFonts w:ascii="Calibri" w:hAnsi="Calibri" w:cs="Calibri"/>
          <w:spacing w:val="40"/>
          <w:sz w:val="20"/>
          <w:szCs w:val="20"/>
        </w:rPr>
        <w:t xml:space="preserve"> </w:t>
      </w:r>
      <w:r w:rsidRPr="00324179">
        <w:rPr>
          <w:rFonts w:ascii="Calibri" w:hAnsi="Calibri" w:cs="Calibri"/>
          <w:sz w:val="20"/>
          <w:szCs w:val="20"/>
        </w:rPr>
        <w:t>0-110</w:t>
      </w:r>
      <w:r w:rsidRPr="00324179">
        <w:rPr>
          <w:rFonts w:ascii="Calibri" w:hAnsi="Calibri" w:cs="Calibri"/>
          <w:spacing w:val="40"/>
          <w:sz w:val="20"/>
          <w:szCs w:val="20"/>
        </w:rPr>
        <w:t xml:space="preserve"> </w:t>
      </w:r>
      <w:r w:rsidRPr="00324179">
        <w:rPr>
          <w:rFonts w:ascii="Calibri" w:hAnsi="Calibri" w:cs="Calibri"/>
          <w:sz w:val="20"/>
          <w:szCs w:val="20"/>
        </w:rPr>
        <w:t>km/h.</w:t>
      </w:r>
      <w:r w:rsidRPr="00324179">
        <w:rPr>
          <w:rFonts w:ascii="Calibri" w:hAnsi="Calibri" w:cs="Calibri"/>
          <w:spacing w:val="41"/>
          <w:sz w:val="20"/>
          <w:szCs w:val="20"/>
        </w:rPr>
        <w:t xml:space="preserve"> </w:t>
      </w:r>
      <w:r w:rsidRPr="00324179">
        <w:rPr>
          <w:rFonts w:ascii="Calibri" w:hAnsi="Calibri" w:cs="Calibri"/>
          <w:sz w:val="20"/>
          <w:szCs w:val="20"/>
        </w:rPr>
        <w:t>W</w:t>
      </w:r>
      <w:r w:rsidRPr="00324179">
        <w:rPr>
          <w:rFonts w:ascii="Calibri" w:hAnsi="Calibri" w:cs="Calibri"/>
          <w:spacing w:val="39"/>
          <w:sz w:val="20"/>
          <w:szCs w:val="20"/>
        </w:rPr>
        <w:t xml:space="preserve"> </w:t>
      </w:r>
      <w:r w:rsidRPr="00324179">
        <w:rPr>
          <w:rFonts w:ascii="Calibri" w:hAnsi="Calibri" w:cs="Calibri"/>
          <w:sz w:val="20"/>
          <w:szCs w:val="20"/>
        </w:rPr>
        <w:t xml:space="preserve">czasie pomiaru należy bezwzględnie unikać gwałtownych zmian prędkości. Dopuszczalne wartości odchyleń zostały podane w Tablicy </w:t>
      </w:r>
      <w:r w:rsidR="00BA767E">
        <w:rPr>
          <w:rFonts w:ascii="Calibri" w:hAnsi="Calibri" w:cs="Calibri"/>
          <w:sz w:val="20"/>
          <w:szCs w:val="20"/>
        </w:rPr>
        <w:t>7</w:t>
      </w:r>
      <w:r w:rsidRPr="00324179">
        <w:rPr>
          <w:rFonts w:ascii="Calibri" w:hAnsi="Calibri" w:cs="Calibri"/>
          <w:sz w:val="20"/>
          <w:szCs w:val="20"/>
        </w:rPr>
        <w:t>.</w:t>
      </w:r>
    </w:p>
    <w:p w14:paraId="23BFF6E5" w14:textId="77777777" w:rsidR="00375F64" w:rsidRDefault="00375F64" w:rsidP="00324179">
      <w:pPr>
        <w:pStyle w:val="Tekstpodstawowy"/>
        <w:spacing w:line="240" w:lineRule="auto"/>
        <w:jc w:val="both"/>
        <w:rPr>
          <w:rFonts w:ascii="Calibri" w:hAnsi="Calibri" w:cs="Calibri"/>
          <w:sz w:val="20"/>
          <w:szCs w:val="20"/>
        </w:rPr>
      </w:pPr>
    </w:p>
    <w:p w14:paraId="28D2007E" w14:textId="46312B02" w:rsidR="00324179" w:rsidRPr="00324179" w:rsidRDefault="00324179" w:rsidP="00324179">
      <w:pPr>
        <w:pStyle w:val="Tekstpodstawowy"/>
        <w:spacing w:line="240" w:lineRule="auto"/>
        <w:jc w:val="both"/>
        <w:rPr>
          <w:rFonts w:ascii="Calibri" w:hAnsi="Calibri" w:cs="Calibri"/>
          <w:sz w:val="20"/>
          <w:szCs w:val="20"/>
        </w:rPr>
      </w:pPr>
      <w:r w:rsidRPr="00324179">
        <w:rPr>
          <w:rFonts w:ascii="Calibri" w:hAnsi="Calibri" w:cs="Calibri"/>
          <w:sz w:val="20"/>
          <w:szCs w:val="20"/>
        </w:rPr>
        <w:t xml:space="preserve">Tablica </w:t>
      </w:r>
      <w:r w:rsidR="00BA767E">
        <w:rPr>
          <w:rFonts w:ascii="Calibri" w:hAnsi="Calibri" w:cs="Calibri"/>
          <w:sz w:val="20"/>
          <w:szCs w:val="20"/>
        </w:rPr>
        <w:t>7</w:t>
      </w:r>
      <w:r w:rsidRPr="00324179">
        <w:rPr>
          <w:rFonts w:ascii="Calibri" w:hAnsi="Calibri" w:cs="Calibri"/>
          <w:sz w:val="20"/>
          <w:szCs w:val="20"/>
        </w:rPr>
        <w:t>. Dopuszczalne wartości odchyleń</w:t>
      </w:r>
    </w:p>
    <w:tbl>
      <w:tblPr>
        <w:tblStyle w:val="TableNormal"/>
        <w:tblW w:w="9777" w:type="dxa"/>
        <w:tblInd w:w="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17"/>
        <w:gridCol w:w="4395"/>
        <w:gridCol w:w="4365"/>
      </w:tblGrid>
      <w:tr w:rsidR="00324179" w:rsidRPr="00324179" w14:paraId="4ACF32AA" w14:textId="77777777" w:rsidTr="00375F64">
        <w:trPr>
          <w:trHeight w:val="690"/>
        </w:trPr>
        <w:tc>
          <w:tcPr>
            <w:tcW w:w="1017" w:type="dxa"/>
            <w:tcBorders>
              <w:top w:val="single" w:sz="4" w:space="0" w:color="000000"/>
              <w:left w:val="single" w:sz="4" w:space="0" w:color="000000"/>
              <w:bottom w:val="single" w:sz="4" w:space="0" w:color="000000"/>
              <w:right w:val="single" w:sz="4" w:space="0" w:color="000000"/>
            </w:tcBorders>
          </w:tcPr>
          <w:p w14:paraId="1B69A07E" w14:textId="77777777" w:rsidR="00324179" w:rsidRPr="00324179" w:rsidRDefault="00324179" w:rsidP="00324179">
            <w:pPr>
              <w:pStyle w:val="Tekstpodstawowy"/>
              <w:spacing w:line="240" w:lineRule="auto"/>
              <w:jc w:val="both"/>
              <w:rPr>
                <w:rFonts w:ascii="Calibri" w:eastAsia="Arial" w:hAnsi="Calibri" w:cs="Calibri"/>
                <w:sz w:val="20"/>
                <w:szCs w:val="20"/>
                <w:lang w:val="pl-PL"/>
              </w:rPr>
            </w:pPr>
          </w:p>
          <w:p w14:paraId="3E3EB686" w14:textId="77777777" w:rsidR="00324179" w:rsidRPr="00324179" w:rsidRDefault="00324179" w:rsidP="00324179">
            <w:pPr>
              <w:pStyle w:val="Tekstpodstawowy"/>
              <w:spacing w:line="240" w:lineRule="auto"/>
              <w:jc w:val="both"/>
              <w:rPr>
                <w:rFonts w:ascii="Calibri" w:hAnsi="Calibri" w:cs="Calibri"/>
                <w:sz w:val="20"/>
                <w:szCs w:val="20"/>
              </w:rPr>
            </w:pPr>
            <w:r w:rsidRPr="00324179">
              <w:rPr>
                <w:rFonts w:ascii="Calibri" w:hAnsi="Calibri" w:cs="Calibri"/>
                <w:sz w:val="20"/>
                <w:szCs w:val="20"/>
              </w:rPr>
              <w:t>Klasa drogi</w:t>
            </w:r>
          </w:p>
        </w:tc>
        <w:tc>
          <w:tcPr>
            <w:tcW w:w="4395" w:type="dxa"/>
            <w:tcBorders>
              <w:top w:val="single" w:sz="4" w:space="0" w:color="000000"/>
              <w:left w:val="single" w:sz="4" w:space="0" w:color="000000"/>
              <w:bottom w:val="single" w:sz="4" w:space="0" w:color="000000"/>
              <w:right w:val="single" w:sz="4" w:space="0" w:color="000000"/>
            </w:tcBorders>
          </w:tcPr>
          <w:p w14:paraId="06ED07BA" w14:textId="77777777" w:rsidR="00324179" w:rsidRPr="00324179" w:rsidRDefault="00324179" w:rsidP="00324179">
            <w:pPr>
              <w:pStyle w:val="Tekstpodstawowy"/>
              <w:spacing w:line="240" w:lineRule="auto"/>
              <w:jc w:val="both"/>
              <w:rPr>
                <w:rFonts w:ascii="Calibri" w:eastAsia="Arial" w:hAnsi="Calibri" w:cs="Calibri"/>
                <w:sz w:val="20"/>
                <w:szCs w:val="20"/>
              </w:rPr>
            </w:pPr>
          </w:p>
          <w:p w14:paraId="4E4E2444" w14:textId="77777777" w:rsidR="00324179" w:rsidRPr="00324179" w:rsidRDefault="00324179" w:rsidP="00324179">
            <w:pPr>
              <w:pStyle w:val="Tekstpodstawowy"/>
              <w:spacing w:line="240" w:lineRule="auto"/>
              <w:jc w:val="both"/>
              <w:rPr>
                <w:rFonts w:ascii="Calibri" w:hAnsi="Calibri" w:cs="Calibri"/>
                <w:sz w:val="20"/>
                <w:szCs w:val="20"/>
              </w:rPr>
            </w:pPr>
            <w:r w:rsidRPr="00324179">
              <w:rPr>
                <w:rFonts w:ascii="Calibri" w:hAnsi="Calibri" w:cs="Calibri"/>
                <w:sz w:val="20"/>
                <w:szCs w:val="20"/>
              </w:rPr>
              <w:t>Element nawierzchni</w:t>
            </w:r>
          </w:p>
        </w:tc>
        <w:tc>
          <w:tcPr>
            <w:tcW w:w="4365" w:type="dxa"/>
            <w:tcBorders>
              <w:top w:val="single" w:sz="4" w:space="0" w:color="000000"/>
              <w:left w:val="single" w:sz="4" w:space="0" w:color="000000"/>
              <w:bottom w:val="single" w:sz="4" w:space="0" w:color="000000"/>
              <w:right w:val="single" w:sz="4" w:space="0" w:color="000000"/>
            </w:tcBorders>
            <w:hideMark/>
          </w:tcPr>
          <w:p w14:paraId="26D2194D" w14:textId="77777777" w:rsidR="00324179" w:rsidRPr="00324179" w:rsidRDefault="00324179" w:rsidP="00324179">
            <w:pPr>
              <w:pStyle w:val="Tekstpodstawowy"/>
              <w:spacing w:line="240" w:lineRule="auto"/>
              <w:jc w:val="both"/>
              <w:rPr>
                <w:rFonts w:ascii="Calibri" w:eastAsia="Arial" w:hAnsi="Calibri" w:cs="Calibri"/>
                <w:sz w:val="20"/>
                <w:szCs w:val="20"/>
                <w:lang w:val="pl-PL"/>
              </w:rPr>
            </w:pPr>
            <w:r w:rsidRPr="00324179">
              <w:rPr>
                <w:rFonts w:ascii="Calibri" w:hAnsi="Calibri" w:cs="Calibri"/>
                <w:sz w:val="20"/>
                <w:szCs w:val="20"/>
                <w:lang w:val="pl-PL"/>
              </w:rPr>
              <w:t>Dopuszczalne wartości odchyleń równości poprzecznej warstwy</w:t>
            </w:r>
          </w:p>
          <w:p w14:paraId="65215538" w14:textId="77777777" w:rsidR="00324179" w:rsidRPr="00324179" w:rsidRDefault="00324179" w:rsidP="00324179">
            <w:pPr>
              <w:pStyle w:val="Tekstpodstawowy"/>
              <w:spacing w:line="240" w:lineRule="auto"/>
              <w:jc w:val="both"/>
              <w:rPr>
                <w:rFonts w:ascii="Calibri" w:hAnsi="Calibri" w:cs="Calibri"/>
                <w:sz w:val="20"/>
                <w:szCs w:val="20"/>
              </w:rPr>
            </w:pPr>
            <w:r w:rsidRPr="00324179">
              <w:rPr>
                <w:rFonts w:ascii="Calibri" w:hAnsi="Calibri" w:cs="Calibri"/>
                <w:sz w:val="20"/>
                <w:szCs w:val="20"/>
              </w:rPr>
              <w:t>podbudowy [mm]</w:t>
            </w:r>
          </w:p>
        </w:tc>
      </w:tr>
      <w:tr w:rsidR="00324179" w:rsidRPr="00324179" w14:paraId="6BE16BFE" w14:textId="77777777" w:rsidTr="00375F64">
        <w:trPr>
          <w:trHeight w:val="690"/>
        </w:trPr>
        <w:tc>
          <w:tcPr>
            <w:tcW w:w="1017" w:type="dxa"/>
            <w:vMerge w:val="restart"/>
            <w:tcBorders>
              <w:top w:val="single" w:sz="4" w:space="0" w:color="000000"/>
              <w:left w:val="single" w:sz="4" w:space="0" w:color="000000"/>
              <w:bottom w:val="single" w:sz="4" w:space="0" w:color="000000"/>
              <w:right w:val="single" w:sz="4" w:space="0" w:color="000000"/>
            </w:tcBorders>
          </w:tcPr>
          <w:p w14:paraId="09D77E20" w14:textId="77777777" w:rsidR="00324179" w:rsidRPr="00324179" w:rsidRDefault="00324179" w:rsidP="00324179">
            <w:pPr>
              <w:pStyle w:val="Tekstpodstawowy"/>
              <w:spacing w:line="240" w:lineRule="auto"/>
              <w:jc w:val="both"/>
              <w:rPr>
                <w:rFonts w:ascii="Calibri" w:eastAsia="Arial" w:hAnsi="Calibri" w:cs="Calibri"/>
                <w:sz w:val="20"/>
                <w:szCs w:val="20"/>
              </w:rPr>
            </w:pPr>
          </w:p>
          <w:p w14:paraId="2B0E475A" w14:textId="77777777" w:rsidR="00324179" w:rsidRPr="00324179" w:rsidRDefault="00324179" w:rsidP="00324179">
            <w:pPr>
              <w:pStyle w:val="Tekstpodstawowy"/>
              <w:spacing w:line="240" w:lineRule="auto"/>
              <w:jc w:val="both"/>
              <w:rPr>
                <w:rFonts w:ascii="Calibri" w:hAnsi="Calibri" w:cs="Calibri"/>
                <w:sz w:val="20"/>
                <w:szCs w:val="20"/>
              </w:rPr>
            </w:pPr>
            <w:r w:rsidRPr="00324179">
              <w:rPr>
                <w:rFonts w:ascii="Calibri" w:hAnsi="Calibri" w:cs="Calibri"/>
                <w:sz w:val="20"/>
                <w:szCs w:val="20"/>
              </w:rPr>
              <w:t>GP</w:t>
            </w:r>
          </w:p>
        </w:tc>
        <w:tc>
          <w:tcPr>
            <w:tcW w:w="4395" w:type="dxa"/>
            <w:tcBorders>
              <w:top w:val="single" w:sz="4" w:space="0" w:color="000000"/>
              <w:left w:val="single" w:sz="4" w:space="0" w:color="000000"/>
              <w:bottom w:val="single" w:sz="4" w:space="0" w:color="000000"/>
              <w:right w:val="single" w:sz="4" w:space="0" w:color="000000"/>
            </w:tcBorders>
            <w:hideMark/>
          </w:tcPr>
          <w:p w14:paraId="5DD4043C" w14:textId="77777777" w:rsidR="00324179" w:rsidRPr="00324179" w:rsidRDefault="00324179" w:rsidP="00324179">
            <w:pPr>
              <w:pStyle w:val="Tekstpodstawowy"/>
              <w:spacing w:line="240" w:lineRule="auto"/>
              <w:jc w:val="both"/>
              <w:rPr>
                <w:rFonts w:ascii="Calibri" w:hAnsi="Calibri" w:cs="Calibri"/>
                <w:sz w:val="20"/>
                <w:szCs w:val="20"/>
                <w:lang w:val="pl-PL"/>
              </w:rPr>
            </w:pPr>
            <w:r w:rsidRPr="00324179">
              <w:rPr>
                <w:rFonts w:ascii="Calibri" w:hAnsi="Calibri" w:cs="Calibri"/>
                <w:sz w:val="20"/>
                <w:szCs w:val="20"/>
                <w:lang w:val="pl-PL"/>
              </w:rPr>
              <w:t>Pasy ruchu zasadnicze, awaryjne, dodatkowe, włączenia i wyłączenia, jezdnia łącznic</w:t>
            </w:r>
          </w:p>
        </w:tc>
        <w:tc>
          <w:tcPr>
            <w:tcW w:w="4365" w:type="dxa"/>
            <w:tcBorders>
              <w:top w:val="single" w:sz="4" w:space="0" w:color="000000"/>
              <w:left w:val="single" w:sz="4" w:space="0" w:color="000000"/>
              <w:bottom w:val="single" w:sz="4" w:space="0" w:color="000000"/>
              <w:right w:val="single" w:sz="4" w:space="0" w:color="000000"/>
            </w:tcBorders>
          </w:tcPr>
          <w:p w14:paraId="29B36902" w14:textId="77777777" w:rsidR="00324179" w:rsidRPr="00324179" w:rsidRDefault="00324179" w:rsidP="00324179">
            <w:pPr>
              <w:pStyle w:val="Tekstpodstawowy"/>
              <w:spacing w:line="240" w:lineRule="auto"/>
              <w:jc w:val="both"/>
              <w:rPr>
                <w:rFonts w:ascii="Calibri" w:eastAsia="Arial" w:hAnsi="Calibri" w:cs="Calibri"/>
                <w:sz w:val="20"/>
                <w:szCs w:val="20"/>
                <w:lang w:val="pl-PL"/>
              </w:rPr>
            </w:pPr>
          </w:p>
          <w:p w14:paraId="62D04B30" w14:textId="77777777" w:rsidR="00324179" w:rsidRPr="00324179" w:rsidRDefault="00324179" w:rsidP="00324179">
            <w:pPr>
              <w:pStyle w:val="Tekstpodstawowy"/>
              <w:spacing w:line="240" w:lineRule="auto"/>
              <w:jc w:val="both"/>
              <w:rPr>
                <w:rFonts w:ascii="Calibri" w:hAnsi="Calibri" w:cs="Calibri"/>
                <w:sz w:val="20"/>
                <w:szCs w:val="20"/>
              </w:rPr>
            </w:pPr>
            <w:r w:rsidRPr="00324179">
              <w:rPr>
                <w:rFonts w:ascii="Calibri" w:hAnsi="Calibri" w:cs="Calibri"/>
                <w:sz w:val="20"/>
                <w:szCs w:val="20"/>
              </w:rPr>
              <w:t>9</w:t>
            </w:r>
          </w:p>
        </w:tc>
      </w:tr>
      <w:tr w:rsidR="00324179" w:rsidRPr="00324179" w14:paraId="133F17B7" w14:textId="77777777" w:rsidTr="00375F64">
        <w:trPr>
          <w:trHeight w:val="340"/>
        </w:trPr>
        <w:tc>
          <w:tcPr>
            <w:tcW w:w="1017" w:type="dxa"/>
            <w:vMerge/>
            <w:tcBorders>
              <w:top w:val="single" w:sz="4" w:space="0" w:color="000000"/>
              <w:left w:val="single" w:sz="4" w:space="0" w:color="000000"/>
              <w:bottom w:val="single" w:sz="4" w:space="0" w:color="000000"/>
              <w:right w:val="single" w:sz="4" w:space="0" w:color="000000"/>
            </w:tcBorders>
            <w:vAlign w:val="center"/>
            <w:hideMark/>
          </w:tcPr>
          <w:p w14:paraId="41F8DD45" w14:textId="77777777" w:rsidR="00324179" w:rsidRPr="00324179" w:rsidRDefault="00324179" w:rsidP="00324179">
            <w:pPr>
              <w:pStyle w:val="Tekstpodstawowy"/>
              <w:spacing w:line="240" w:lineRule="auto"/>
              <w:jc w:val="both"/>
              <w:rPr>
                <w:rFonts w:ascii="Calibri" w:eastAsia="Arial" w:hAnsi="Calibri" w:cs="Calibri"/>
                <w:sz w:val="20"/>
                <w:szCs w:val="20"/>
              </w:rPr>
            </w:pPr>
          </w:p>
        </w:tc>
        <w:tc>
          <w:tcPr>
            <w:tcW w:w="4395" w:type="dxa"/>
            <w:tcBorders>
              <w:top w:val="single" w:sz="4" w:space="0" w:color="000000"/>
              <w:left w:val="single" w:sz="4" w:space="0" w:color="000000"/>
              <w:bottom w:val="single" w:sz="4" w:space="0" w:color="000000"/>
              <w:right w:val="single" w:sz="4" w:space="0" w:color="000000"/>
            </w:tcBorders>
            <w:hideMark/>
          </w:tcPr>
          <w:p w14:paraId="034D6C6C" w14:textId="77777777" w:rsidR="00324179" w:rsidRPr="00324179" w:rsidRDefault="00324179" w:rsidP="00324179">
            <w:pPr>
              <w:pStyle w:val="Tekstpodstawowy"/>
              <w:spacing w:line="240" w:lineRule="auto"/>
              <w:jc w:val="both"/>
              <w:rPr>
                <w:rFonts w:ascii="Calibri" w:hAnsi="Calibri" w:cs="Calibri"/>
                <w:sz w:val="20"/>
                <w:szCs w:val="20"/>
              </w:rPr>
            </w:pPr>
            <w:r w:rsidRPr="00324179">
              <w:rPr>
                <w:rFonts w:ascii="Calibri" w:hAnsi="Calibri" w:cs="Calibri"/>
                <w:sz w:val="20"/>
                <w:szCs w:val="20"/>
              </w:rPr>
              <w:t>Jezdnie MOP, utwardzone pobocza</w:t>
            </w:r>
          </w:p>
        </w:tc>
        <w:tc>
          <w:tcPr>
            <w:tcW w:w="4365" w:type="dxa"/>
            <w:tcBorders>
              <w:top w:val="single" w:sz="4" w:space="0" w:color="000000"/>
              <w:left w:val="single" w:sz="4" w:space="0" w:color="000000"/>
              <w:bottom w:val="single" w:sz="4" w:space="0" w:color="000000"/>
              <w:right w:val="single" w:sz="4" w:space="0" w:color="000000"/>
            </w:tcBorders>
            <w:hideMark/>
          </w:tcPr>
          <w:p w14:paraId="4C45223B" w14:textId="77777777" w:rsidR="00324179" w:rsidRPr="00324179" w:rsidRDefault="00324179" w:rsidP="00324179">
            <w:pPr>
              <w:pStyle w:val="Tekstpodstawowy"/>
              <w:spacing w:line="240" w:lineRule="auto"/>
              <w:jc w:val="both"/>
              <w:rPr>
                <w:rFonts w:ascii="Calibri" w:hAnsi="Calibri" w:cs="Calibri"/>
                <w:sz w:val="20"/>
                <w:szCs w:val="20"/>
              </w:rPr>
            </w:pPr>
            <w:r w:rsidRPr="00324179">
              <w:rPr>
                <w:rFonts w:ascii="Calibri" w:hAnsi="Calibri" w:cs="Calibri"/>
                <w:sz w:val="20"/>
                <w:szCs w:val="20"/>
              </w:rPr>
              <w:t>12</w:t>
            </w:r>
          </w:p>
        </w:tc>
      </w:tr>
      <w:tr w:rsidR="00324179" w:rsidRPr="00324179" w14:paraId="6B71C752" w14:textId="77777777" w:rsidTr="00375F64">
        <w:trPr>
          <w:trHeight w:val="446"/>
        </w:trPr>
        <w:tc>
          <w:tcPr>
            <w:tcW w:w="1017" w:type="dxa"/>
            <w:vMerge w:val="restart"/>
            <w:tcBorders>
              <w:top w:val="single" w:sz="4" w:space="0" w:color="000000"/>
              <w:left w:val="single" w:sz="4" w:space="0" w:color="000000"/>
              <w:bottom w:val="single" w:sz="4" w:space="0" w:color="000000"/>
              <w:right w:val="single" w:sz="4" w:space="0" w:color="000000"/>
            </w:tcBorders>
          </w:tcPr>
          <w:p w14:paraId="767D8FA2" w14:textId="77777777" w:rsidR="00324179" w:rsidRPr="00324179" w:rsidRDefault="00324179" w:rsidP="00324179">
            <w:pPr>
              <w:pStyle w:val="Tekstpodstawowy"/>
              <w:spacing w:line="240" w:lineRule="auto"/>
              <w:jc w:val="both"/>
              <w:rPr>
                <w:rFonts w:ascii="Calibri" w:eastAsia="Arial" w:hAnsi="Calibri" w:cs="Calibri"/>
                <w:sz w:val="20"/>
                <w:szCs w:val="20"/>
              </w:rPr>
            </w:pPr>
          </w:p>
          <w:p w14:paraId="49FC36FB" w14:textId="77777777" w:rsidR="00324179" w:rsidRPr="00324179" w:rsidRDefault="00324179" w:rsidP="00324179">
            <w:pPr>
              <w:pStyle w:val="Tekstpodstawowy"/>
              <w:spacing w:line="240" w:lineRule="auto"/>
              <w:jc w:val="both"/>
              <w:rPr>
                <w:rFonts w:ascii="Calibri" w:hAnsi="Calibri" w:cs="Calibri"/>
                <w:sz w:val="20"/>
                <w:szCs w:val="20"/>
              </w:rPr>
            </w:pPr>
            <w:r w:rsidRPr="00324179">
              <w:rPr>
                <w:rFonts w:ascii="Calibri" w:hAnsi="Calibri" w:cs="Calibri"/>
                <w:sz w:val="20"/>
                <w:szCs w:val="20"/>
              </w:rPr>
              <w:t>G, Z</w:t>
            </w:r>
          </w:p>
        </w:tc>
        <w:tc>
          <w:tcPr>
            <w:tcW w:w="4395" w:type="dxa"/>
            <w:tcBorders>
              <w:top w:val="single" w:sz="4" w:space="0" w:color="000000"/>
              <w:left w:val="single" w:sz="4" w:space="0" w:color="000000"/>
              <w:bottom w:val="single" w:sz="4" w:space="0" w:color="000000"/>
              <w:right w:val="single" w:sz="4" w:space="0" w:color="000000"/>
            </w:tcBorders>
            <w:hideMark/>
          </w:tcPr>
          <w:p w14:paraId="6BD62235" w14:textId="77777777" w:rsidR="00324179" w:rsidRPr="00324179" w:rsidRDefault="00324179" w:rsidP="00324179">
            <w:pPr>
              <w:pStyle w:val="Tekstpodstawowy"/>
              <w:spacing w:line="240" w:lineRule="auto"/>
              <w:jc w:val="both"/>
              <w:rPr>
                <w:rFonts w:ascii="Calibri" w:eastAsia="Arial" w:hAnsi="Calibri" w:cs="Calibri"/>
                <w:sz w:val="20"/>
                <w:szCs w:val="20"/>
                <w:lang w:val="pl-PL"/>
              </w:rPr>
            </w:pPr>
            <w:r w:rsidRPr="00324179">
              <w:rPr>
                <w:rFonts w:ascii="Calibri" w:hAnsi="Calibri" w:cs="Calibri"/>
                <w:sz w:val="20"/>
                <w:szCs w:val="20"/>
                <w:lang w:val="pl-PL"/>
              </w:rPr>
              <w:t>Pasy ruchu</w:t>
            </w:r>
            <w:r w:rsidRPr="00324179">
              <w:rPr>
                <w:rFonts w:ascii="Calibri" w:hAnsi="Calibri" w:cs="Calibri"/>
                <w:spacing w:val="-12"/>
                <w:sz w:val="20"/>
                <w:szCs w:val="20"/>
                <w:lang w:val="pl-PL"/>
              </w:rPr>
              <w:t xml:space="preserve"> </w:t>
            </w:r>
            <w:r w:rsidRPr="00324179">
              <w:rPr>
                <w:rFonts w:ascii="Calibri" w:hAnsi="Calibri" w:cs="Calibri"/>
                <w:sz w:val="20"/>
                <w:szCs w:val="20"/>
                <w:lang w:val="pl-PL"/>
              </w:rPr>
              <w:t>zasadnicze, dodatkowe, włączenia</w:t>
            </w:r>
            <w:r w:rsidRPr="00324179">
              <w:rPr>
                <w:rFonts w:ascii="Calibri" w:hAnsi="Calibri" w:cs="Calibri"/>
                <w:spacing w:val="-13"/>
                <w:sz w:val="20"/>
                <w:szCs w:val="20"/>
                <w:lang w:val="pl-PL"/>
              </w:rPr>
              <w:t xml:space="preserve"> </w:t>
            </w:r>
            <w:r w:rsidRPr="00324179">
              <w:rPr>
                <w:rFonts w:ascii="Calibri" w:hAnsi="Calibri" w:cs="Calibri"/>
                <w:sz w:val="20"/>
                <w:szCs w:val="20"/>
                <w:lang w:val="pl-PL"/>
              </w:rPr>
              <w:t>i</w:t>
            </w:r>
          </w:p>
          <w:p w14:paraId="10EB4218" w14:textId="77777777" w:rsidR="00324179" w:rsidRPr="00324179" w:rsidRDefault="00324179" w:rsidP="00324179">
            <w:pPr>
              <w:pStyle w:val="Tekstpodstawowy"/>
              <w:spacing w:line="240" w:lineRule="auto"/>
              <w:jc w:val="both"/>
              <w:rPr>
                <w:rFonts w:ascii="Calibri" w:hAnsi="Calibri" w:cs="Calibri"/>
                <w:sz w:val="20"/>
                <w:szCs w:val="20"/>
              </w:rPr>
            </w:pPr>
            <w:r w:rsidRPr="00324179">
              <w:rPr>
                <w:rFonts w:ascii="Calibri" w:hAnsi="Calibri" w:cs="Calibri"/>
                <w:sz w:val="20"/>
                <w:szCs w:val="20"/>
              </w:rPr>
              <w:t>wyłączenia,</w:t>
            </w:r>
            <w:r w:rsidRPr="00324179">
              <w:rPr>
                <w:rFonts w:ascii="Calibri" w:hAnsi="Calibri" w:cs="Calibri"/>
                <w:spacing w:val="-12"/>
                <w:sz w:val="20"/>
                <w:szCs w:val="20"/>
              </w:rPr>
              <w:t xml:space="preserve"> </w:t>
            </w:r>
            <w:r w:rsidRPr="00324179">
              <w:rPr>
                <w:rFonts w:ascii="Calibri" w:hAnsi="Calibri" w:cs="Calibri"/>
                <w:sz w:val="20"/>
                <w:szCs w:val="20"/>
              </w:rPr>
              <w:t>postojowe</w:t>
            </w:r>
          </w:p>
        </w:tc>
        <w:tc>
          <w:tcPr>
            <w:tcW w:w="4365" w:type="dxa"/>
            <w:tcBorders>
              <w:top w:val="single" w:sz="4" w:space="0" w:color="000000"/>
              <w:left w:val="single" w:sz="4" w:space="0" w:color="000000"/>
              <w:bottom w:val="single" w:sz="4" w:space="0" w:color="000000"/>
              <w:right w:val="single" w:sz="4" w:space="0" w:color="000000"/>
            </w:tcBorders>
          </w:tcPr>
          <w:p w14:paraId="2C53497E" w14:textId="77777777" w:rsidR="00324179" w:rsidRPr="00324179" w:rsidRDefault="00324179" w:rsidP="00324179">
            <w:pPr>
              <w:pStyle w:val="Tekstpodstawowy"/>
              <w:spacing w:line="240" w:lineRule="auto"/>
              <w:jc w:val="both"/>
              <w:rPr>
                <w:rFonts w:ascii="Calibri" w:eastAsia="Arial" w:hAnsi="Calibri" w:cs="Calibri"/>
                <w:sz w:val="20"/>
                <w:szCs w:val="20"/>
              </w:rPr>
            </w:pPr>
          </w:p>
          <w:p w14:paraId="12373826" w14:textId="77777777" w:rsidR="00324179" w:rsidRPr="00324179" w:rsidRDefault="00324179" w:rsidP="00324179">
            <w:pPr>
              <w:pStyle w:val="Tekstpodstawowy"/>
              <w:spacing w:line="240" w:lineRule="auto"/>
              <w:jc w:val="both"/>
              <w:rPr>
                <w:rFonts w:ascii="Calibri" w:hAnsi="Calibri" w:cs="Calibri"/>
                <w:sz w:val="20"/>
                <w:szCs w:val="20"/>
              </w:rPr>
            </w:pPr>
            <w:r w:rsidRPr="00324179">
              <w:rPr>
                <w:rFonts w:ascii="Calibri" w:hAnsi="Calibri" w:cs="Calibri"/>
                <w:sz w:val="20"/>
                <w:szCs w:val="20"/>
              </w:rPr>
              <w:t>12</w:t>
            </w:r>
          </w:p>
        </w:tc>
      </w:tr>
      <w:tr w:rsidR="00324179" w:rsidRPr="00324179" w14:paraId="208889ED" w14:textId="77777777" w:rsidTr="00375F64">
        <w:trPr>
          <w:trHeight w:val="230"/>
        </w:trPr>
        <w:tc>
          <w:tcPr>
            <w:tcW w:w="1017" w:type="dxa"/>
            <w:vMerge/>
            <w:tcBorders>
              <w:top w:val="single" w:sz="4" w:space="0" w:color="000000"/>
              <w:left w:val="single" w:sz="4" w:space="0" w:color="000000"/>
              <w:bottom w:val="single" w:sz="4" w:space="0" w:color="000000"/>
              <w:right w:val="single" w:sz="4" w:space="0" w:color="000000"/>
            </w:tcBorders>
            <w:vAlign w:val="center"/>
            <w:hideMark/>
          </w:tcPr>
          <w:p w14:paraId="06F87381" w14:textId="77777777" w:rsidR="00324179" w:rsidRPr="00324179" w:rsidRDefault="00324179" w:rsidP="00324179">
            <w:pPr>
              <w:pStyle w:val="Tekstpodstawowy"/>
              <w:spacing w:line="240" w:lineRule="auto"/>
              <w:jc w:val="both"/>
              <w:rPr>
                <w:rFonts w:ascii="Calibri" w:eastAsia="Arial" w:hAnsi="Calibri" w:cs="Calibri"/>
                <w:sz w:val="20"/>
                <w:szCs w:val="20"/>
              </w:rPr>
            </w:pPr>
          </w:p>
        </w:tc>
        <w:tc>
          <w:tcPr>
            <w:tcW w:w="4395" w:type="dxa"/>
            <w:tcBorders>
              <w:top w:val="single" w:sz="4" w:space="0" w:color="000000"/>
              <w:left w:val="single" w:sz="4" w:space="0" w:color="000000"/>
              <w:bottom w:val="single" w:sz="4" w:space="0" w:color="000000"/>
              <w:right w:val="single" w:sz="4" w:space="0" w:color="000000"/>
            </w:tcBorders>
            <w:hideMark/>
          </w:tcPr>
          <w:p w14:paraId="0473BFC2" w14:textId="77777777" w:rsidR="00324179" w:rsidRPr="00324179" w:rsidRDefault="00324179" w:rsidP="00324179">
            <w:pPr>
              <w:pStyle w:val="Tekstpodstawowy"/>
              <w:spacing w:line="240" w:lineRule="auto"/>
              <w:jc w:val="both"/>
              <w:rPr>
                <w:rFonts w:ascii="Calibri" w:hAnsi="Calibri" w:cs="Calibri"/>
                <w:sz w:val="20"/>
                <w:szCs w:val="20"/>
              </w:rPr>
            </w:pPr>
            <w:r w:rsidRPr="00324179">
              <w:rPr>
                <w:rFonts w:ascii="Calibri" w:hAnsi="Calibri" w:cs="Calibri"/>
                <w:sz w:val="20"/>
                <w:szCs w:val="20"/>
              </w:rPr>
              <w:t>Utwardzone pobocza</w:t>
            </w:r>
          </w:p>
        </w:tc>
        <w:tc>
          <w:tcPr>
            <w:tcW w:w="4365" w:type="dxa"/>
            <w:tcBorders>
              <w:top w:val="single" w:sz="4" w:space="0" w:color="000000"/>
              <w:left w:val="single" w:sz="4" w:space="0" w:color="000000"/>
              <w:bottom w:val="single" w:sz="4" w:space="0" w:color="000000"/>
              <w:right w:val="single" w:sz="4" w:space="0" w:color="000000"/>
            </w:tcBorders>
            <w:hideMark/>
          </w:tcPr>
          <w:p w14:paraId="6790292D" w14:textId="77777777" w:rsidR="00324179" w:rsidRPr="00324179" w:rsidRDefault="00324179" w:rsidP="00324179">
            <w:pPr>
              <w:pStyle w:val="Tekstpodstawowy"/>
              <w:spacing w:line="240" w:lineRule="auto"/>
              <w:jc w:val="both"/>
              <w:rPr>
                <w:rFonts w:ascii="Calibri" w:hAnsi="Calibri" w:cs="Calibri"/>
                <w:sz w:val="20"/>
                <w:szCs w:val="20"/>
              </w:rPr>
            </w:pPr>
            <w:r w:rsidRPr="00324179">
              <w:rPr>
                <w:rFonts w:ascii="Calibri" w:hAnsi="Calibri" w:cs="Calibri"/>
                <w:sz w:val="20"/>
                <w:szCs w:val="20"/>
              </w:rPr>
              <w:t>15</w:t>
            </w:r>
          </w:p>
        </w:tc>
      </w:tr>
      <w:tr w:rsidR="00324179" w:rsidRPr="00324179" w14:paraId="4495DC31" w14:textId="77777777" w:rsidTr="00375F64">
        <w:trPr>
          <w:trHeight w:val="541"/>
        </w:trPr>
        <w:tc>
          <w:tcPr>
            <w:tcW w:w="1017" w:type="dxa"/>
            <w:tcBorders>
              <w:top w:val="single" w:sz="4" w:space="0" w:color="000000"/>
              <w:left w:val="single" w:sz="4" w:space="0" w:color="000000"/>
              <w:bottom w:val="single" w:sz="4" w:space="0" w:color="000000"/>
              <w:right w:val="single" w:sz="4" w:space="0" w:color="000000"/>
            </w:tcBorders>
          </w:tcPr>
          <w:p w14:paraId="31201620" w14:textId="77777777" w:rsidR="00324179" w:rsidRPr="00324179" w:rsidRDefault="00324179" w:rsidP="00324179">
            <w:pPr>
              <w:pStyle w:val="Tekstpodstawowy"/>
              <w:spacing w:line="240" w:lineRule="auto"/>
              <w:jc w:val="both"/>
              <w:rPr>
                <w:rFonts w:ascii="Calibri" w:eastAsia="Arial" w:hAnsi="Calibri" w:cs="Calibri"/>
                <w:sz w:val="20"/>
                <w:szCs w:val="20"/>
              </w:rPr>
            </w:pPr>
          </w:p>
          <w:p w14:paraId="36FD98FA" w14:textId="77777777" w:rsidR="00324179" w:rsidRPr="00324179" w:rsidRDefault="00324179" w:rsidP="00324179">
            <w:pPr>
              <w:pStyle w:val="Tekstpodstawowy"/>
              <w:spacing w:line="240" w:lineRule="auto"/>
              <w:jc w:val="both"/>
              <w:rPr>
                <w:rFonts w:ascii="Calibri" w:hAnsi="Calibri" w:cs="Calibri"/>
                <w:sz w:val="20"/>
                <w:szCs w:val="20"/>
              </w:rPr>
            </w:pPr>
            <w:r w:rsidRPr="00324179">
              <w:rPr>
                <w:rFonts w:ascii="Calibri" w:hAnsi="Calibri" w:cs="Calibri"/>
                <w:sz w:val="20"/>
                <w:szCs w:val="20"/>
              </w:rPr>
              <w:t>L, D, place, parkingi</w:t>
            </w:r>
          </w:p>
        </w:tc>
        <w:tc>
          <w:tcPr>
            <w:tcW w:w="4395" w:type="dxa"/>
            <w:tcBorders>
              <w:top w:val="single" w:sz="4" w:space="0" w:color="000000"/>
              <w:left w:val="single" w:sz="4" w:space="0" w:color="000000"/>
              <w:bottom w:val="single" w:sz="4" w:space="0" w:color="000000"/>
              <w:right w:val="single" w:sz="4" w:space="0" w:color="000000"/>
            </w:tcBorders>
            <w:hideMark/>
          </w:tcPr>
          <w:p w14:paraId="39E27002" w14:textId="77777777" w:rsidR="00324179" w:rsidRPr="00324179" w:rsidRDefault="00324179" w:rsidP="00324179">
            <w:pPr>
              <w:pStyle w:val="Tekstpodstawowy"/>
              <w:spacing w:line="240" w:lineRule="auto"/>
              <w:jc w:val="both"/>
              <w:rPr>
                <w:rFonts w:ascii="Calibri" w:hAnsi="Calibri" w:cs="Calibri"/>
                <w:sz w:val="20"/>
                <w:szCs w:val="20"/>
                <w:lang w:val="pl-PL"/>
              </w:rPr>
            </w:pPr>
            <w:r w:rsidRPr="00324179">
              <w:rPr>
                <w:rFonts w:ascii="Calibri" w:hAnsi="Calibri" w:cs="Calibri"/>
                <w:sz w:val="20"/>
                <w:szCs w:val="20"/>
                <w:lang w:val="pl-PL"/>
              </w:rPr>
              <w:t>Wszystkie pasy ruchu i powierzchnie przeznaczone do ruchu i postoju pojazdów</w:t>
            </w:r>
          </w:p>
        </w:tc>
        <w:tc>
          <w:tcPr>
            <w:tcW w:w="4365" w:type="dxa"/>
            <w:tcBorders>
              <w:top w:val="single" w:sz="4" w:space="0" w:color="000000"/>
              <w:left w:val="single" w:sz="4" w:space="0" w:color="000000"/>
              <w:bottom w:val="single" w:sz="4" w:space="0" w:color="000000"/>
              <w:right w:val="single" w:sz="4" w:space="0" w:color="000000"/>
            </w:tcBorders>
          </w:tcPr>
          <w:p w14:paraId="3EEFD79D" w14:textId="77777777" w:rsidR="00324179" w:rsidRPr="00324179" w:rsidRDefault="00324179" w:rsidP="00324179">
            <w:pPr>
              <w:pStyle w:val="Tekstpodstawowy"/>
              <w:spacing w:line="240" w:lineRule="auto"/>
              <w:jc w:val="both"/>
              <w:rPr>
                <w:rFonts w:ascii="Calibri" w:eastAsia="Arial" w:hAnsi="Calibri" w:cs="Calibri"/>
                <w:sz w:val="20"/>
                <w:szCs w:val="20"/>
                <w:lang w:val="pl-PL"/>
              </w:rPr>
            </w:pPr>
          </w:p>
          <w:p w14:paraId="122F888A" w14:textId="77777777" w:rsidR="00324179" w:rsidRPr="00324179" w:rsidRDefault="00324179" w:rsidP="00324179">
            <w:pPr>
              <w:pStyle w:val="Tekstpodstawowy"/>
              <w:spacing w:line="240" w:lineRule="auto"/>
              <w:jc w:val="both"/>
              <w:rPr>
                <w:rFonts w:ascii="Calibri" w:hAnsi="Calibri" w:cs="Calibri"/>
                <w:sz w:val="20"/>
                <w:szCs w:val="20"/>
              </w:rPr>
            </w:pPr>
            <w:r w:rsidRPr="00324179">
              <w:rPr>
                <w:rFonts w:ascii="Calibri" w:hAnsi="Calibri" w:cs="Calibri"/>
                <w:sz w:val="20"/>
                <w:szCs w:val="20"/>
              </w:rPr>
              <w:t>15</w:t>
            </w:r>
          </w:p>
        </w:tc>
      </w:tr>
    </w:tbl>
    <w:p w14:paraId="442D1745" w14:textId="77777777" w:rsidR="00324179" w:rsidRPr="00324179" w:rsidRDefault="00324179" w:rsidP="00324179">
      <w:pPr>
        <w:pStyle w:val="Tekstpodstawowy"/>
        <w:spacing w:line="240" w:lineRule="auto"/>
        <w:jc w:val="both"/>
        <w:rPr>
          <w:rFonts w:ascii="Calibri" w:hAnsi="Calibri" w:cs="Calibri"/>
          <w:sz w:val="20"/>
          <w:szCs w:val="20"/>
        </w:rPr>
      </w:pPr>
    </w:p>
    <w:p w14:paraId="10E2993F" w14:textId="77777777" w:rsidR="00324179" w:rsidRPr="00324179" w:rsidRDefault="00324179" w:rsidP="00324179">
      <w:pPr>
        <w:pStyle w:val="Tekstpodstawowy"/>
        <w:spacing w:line="240" w:lineRule="auto"/>
        <w:jc w:val="both"/>
        <w:rPr>
          <w:rFonts w:ascii="Calibri" w:hAnsi="Calibri" w:cs="Calibri"/>
          <w:sz w:val="20"/>
          <w:szCs w:val="20"/>
        </w:rPr>
      </w:pPr>
      <w:r w:rsidRPr="00324179">
        <w:rPr>
          <w:rFonts w:ascii="Calibri" w:hAnsi="Calibri" w:cs="Calibri"/>
          <w:sz w:val="20"/>
          <w:szCs w:val="20"/>
        </w:rPr>
        <w:t>Pomiary równości poprzecznej z wykorzystaniem łaty i klina należy wykonywać z krokiem nie rzadziej niż co 5 m, oraz w miejscach dodatkowych budzących wątpliwości co do zachowania warunku równości poprzecznej. W czasie pomiaru łata powinna leżeć prostopadle do osi drogi i w płaszczyźnie prostopadłej do powierzchni badanej</w:t>
      </w:r>
      <w:r w:rsidRPr="00324179">
        <w:rPr>
          <w:rFonts w:ascii="Calibri" w:hAnsi="Calibri" w:cs="Calibri"/>
          <w:spacing w:val="-8"/>
          <w:sz w:val="20"/>
          <w:szCs w:val="20"/>
        </w:rPr>
        <w:t xml:space="preserve"> </w:t>
      </w:r>
      <w:r w:rsidRPr="00324179">
        <w:rPr>
          <w:rFonts w:ascii="Calibri" w:hAnsi="Calibri" w:cs="Calibri"/>
          <w:sz w:val="20"/>
          <w:szCs w:val="20"/>
        </w:rPr>
        <w:t>warstwy.</w:t>
      </w:r>
    </w:p>
    <w:p w14:paraId="601DBDEE" w14:textId="77777777" w:rsidR="00324179" w:rsidRPr="00324179" w:rsidRDefault="00324179" w:rsidP="00324179">
      <w:pPr>
        <w:pStyle w:val="Tekstpodstawowy"/>
        <w:spacing w:line="240" w:lineRule="auto"/>
        <w:jc w:val="both"/>
        <w:rPr>
          <w:rFonts w:ascii="Calibri" w:hAnsi="Calibri" w:cs="Calibri"/>
          <w:sz w:val="20"/>
          <w:szCs w:val="20"/>
        </w:rPr>
      </w:pPr>
      <w:r w:rsidRPr="00324179">
        <w:rPr>
          <w:rFonts w:ascii="Calibri" w:hAnsi="Calibri" w:cs="Calibri"/>
          <w:sz w:val="20"/>
          <w:szCs w:val="20"/>
        </w:rPr>
        <w:t>Klin należy podkładać pod łatę w miejscu, w którym prześwit jest największy (największe odchylenie równości). Wielkość prześwitu jest równa najmniejszej liczbie widocznej na klinie podłożonym pod łatę. Zasady oceny wyników podano w Tablicy 10.</w:t>
      </w:r>
    </w:p>
    <w:p w14:paraId="700C4E91" w14:textId="77777777" w:rsidR="00324179" w:rsidRPr="00324179" w:rsidRDefault="00324179" w:rsidP="00324179">
      <w:pPr>
        <w:pStyle w:val="Tekstpodstawowy"/>
        <w:spacing w:line="240" w:lineRule="auto"/>
        <w:jc w:val="both"/>
        <w:rPr>
          <w:rFonts w:ascii="Calibri" w:hAnsi="Calibri" w:cs="Calibri"/>
          <w:b/>
          <w:sz w:val="20"/>
          <w:szCs w:val="20"/>
        </w:rPr>
      </w:pPr>
      <w:r w:rsidRPr="00324179">
        <w:rPr>
          <w:rFonts w:ascii="Calibri" w:hAnsi="Calibri" w:cs="Calibri"/>
          <w:b/>
          <w:sz w:val="20"/>
          <w:szCs w:val="20"/>
        </w:rPr>
        <w:t>6.4.5 Spadki</w:t>
      </w:r>
      <w:r w:rsidRPr="00324179">
        <w:rPr>
          <w:rFonts w:ascii="Calibri" w:hAnsi="Calibri" w:cs="Calibri"/>
          <w:b/>
          <w:spacing w:val="-1"/>
          <w:sz w:val="20"/>
          <w:szCs w:val="20"/>
        </w:rPr>
        <w:t xml:space="preserve"> </w:t>
      </w:r>
      <w:r w:rsidRPr="00324179">
        <w:rPr>
          <w:rFonts w:ascii="Calibri" w:hAnsi="Calibri" w:cs="Calibri"/>
          <w:b/>
          <w:sz w:val="20"/>
          <w:szCs w:val="20"/>
        </w:rPr>
        <w:t>poprzeczne</w:t>
      </w:r>
    </w:p>
    <w:p w14:paraId="232EFB3A" w14:textId="77777777" w:rsidR="00324179" w:rsidRPr="00324179" w:rsidRDefault="00324179" w:rsidP="00324179">
      <w:pPr>
        <w:pStyle w:val="Tekstpodstawowy"/>
        <w:spacing w:line="240" w:lineRule="auto"/>
        <w:jc w:val="both"/>
        <w:rPr>
          <w:rFonts w:ascii="Calibri" w:hAnsi="Calibri" w:cs="Calibri"/>
          <w:sz w:val="20"/>
          <w:szCs w:val="20"/>
        </w:rPr>
      </w:pPr>
      <w:r w:rsidRPr="00324179">
        <w:rPr>
          <w:rFonts w:ascii="Calibri" w:hAnsi="Calibri" w:cs="Calibri"/>
          <w:sz w:val="20"/>
          <w:szCs w:val="20"/>
        </w:rPr>
        <w:t>Sprawdzenie polega na przyłożeniu łaty i pomiar prześwitu klinem lub pomiar profilografem laserowym. Spadki poprzeczne warstwy ścieralnej na odcinkach prostych i na łukach powinny być zgodne z spadkami poprzecznymi z tolerancją ± 0,5%. Wymaga się, aby co najmniej 95% wykonanych pomiarów nie przekraczało przedziału dopuszczalnych odchyleń.</w:t>
      </w:r>
    </w:p>
    <w:p w14:paraId="5C689EEF" w14:textId="77777777" w:rsidR="00324179" w:rsidRPr="00324179" w:rsidRDefault="00324179" w:rsidP="00324179">
      <w:pPr>
        <w:pStyle w:val="Tekstpodstawowy"/>
        <w:spacing w:line="240" w:lineRule="auto"/>
        <w:jc w:val="both"/>
        <w:rPr>
          <w:rFonts w:ascii="Calibri" w:hAnsi="Calibri" w:cs="Calibri"/>
          <w:b/>
          <w:sz w:val="20"/>
          <w:szCs w:val="20"/>
        </w:rPr>
      </w:pPr>
      <w:r w:rsidRPr="00324179">
        <w:rPr>
          <w:rFonts w:ascii="Calibri" w:hAnsi="Calibri" w:cs="Calibri"/>
          <w:b/>
          <w:sz w:val="20"/>
          <w:szCs w:val="20"/>
        </w:rPr>
        <w:t>6.4.6 Ukształtowanie osi w</w:t>
      </w:r>
      <w:r w:rsidRPr="00324179">
        <w:rPr>
          <w:rFonts w:ascii="Calibri" w:hAnsi="Calibri" w:cs="Calibri"/>
          <w:b/>
          <w:spacing w:val="-1"/>
          <w:sz w:val="20"/>
          <w:szCs w:val="20"/>
        </w:rPr>
        <w:t xml:space="preserve"> </w:t>
      </w:r>
      <w:r w:rsidRPr="00324179">
        <w:rPr>
          <w:rFonts w:ascii="Calibri" w:hAnsi="Calibri" w:cs="Calibri"/>
          <w:b/>
          <w:sz w:val="20"/>
          <w:szCs w:val="20"/>
        </w:rPr>
        <w:t>planie</w:t>
      </w:r>
    </w:p>
    <w:p w14:paraId="34A61FE0" w14:textId="77777777" w:rsidR="00324179" w:rsidRPr="00324179" w:rsidRDefault="00324179" w:rsidP="00324179">
      <w:pPr>
        <w:pStyle w:val="Tekstpodstawowy"/>
        <w:spacing w:line="240" w:lineRule="auto"/>
        <w:jc w:val="both"/>
        <w:rPr>
          <w:rFonts w:ascii="Calibri" w:hAnsi="Calibri" w:cs="Calibri"/>
          <w:sz w:val="20"/>
          <w:szCs w:val="20"/>
        </w:rPr>
      </w:pPr>
      <w:r w:rsidRPr="00324179">
        <w:rPr>
          <w:rFonts w:ascii="Calibri" w:hAnsi="Calibri" w:cs="Calibri"/>
          <w:sz w:val="20"/>
          <w:szCs w:val="20"/>
        </w:rPr>
        <w:t>Oś warstwy w planie powinna być usytuowana zgodnie z osią projektowaną z tolerancją ± 5 cm. Wymaga się, aby co najmniej 95% wykonanych pomiarów nie przekraczało przedziału dopuszczalnych odchyleń.</w:t>
      </w:r>
    </w:p>
    <w:p w14:paraId="6421A12D" w14:textId="77777777" w:rsidR="00324179" w:rsidRPr="00324179" w:rsidRDefault="00324179" w:rsidP="00324179">
      <w:pPr>
        <w:pStyle w:val="Tekstpodstawowy"/>
        <w:spacing w:line="240" w:lineRule="auto"/>
        <w:jc w:val="both"/>
        <w:rPr>
          <w:rFonts w:ascii="Calibri" w:hAnsi="Calibri" w:cs="Calibri"/>
          <w:b/>
          <w:sz w:val="20"/>
          <w:szCs w:val="20"/>
        </w:rPr>
      </w:pPr>
      <w:r w:rsidRPr="00324179">
        <w:rPr>
          <w:rFonts w:ascii="Calibri" w:hAnsi="Calibri" w:cs="Calibri"/>
          <w:b/>
          <w:sz w:val="20"/>
          <w:szCs w:val="20"/>
        </w:rPr>
        <w:t>6.4.7 Rzędne wysokościowe</w:t>
      </w:r>
      <w:r w:rsidRPr="00324179">
        <w:rPr>
          <w:rFonts w:ascii="Calibri" w:hAnsi="Calibri" w:cs="Calibri"/>
          <w:b/>
          <w:spacing w:val="1"/>
          <w:sz w:val="20"/>
          <w:szCs w:val="20"/>
        </w:rPr>
        <w:t xml:space="preserve"> </w:t>
      </w:r>
      <w:r w:rsidRPr="00324179">
        <w:rPr>
          <w:rFonts w:ascii="Calibri" w:hAnsi="Calibri" w:cs="Calibri"/>
          <w:b/>
          <w:sz w:val="20"/>
          <w:szCs w:val="20"/>
        </w:rPr>
        <w:t>nawierzchni</w:t>
      </w:r>
    </w:p>
    <w:p w14:paraId="79311C27" w14:textId="77777777" w:rsidR="00324179" w:rsidRPr="00324179" w:rsidRDefault="00324179" w:rsidP="00324179">
      <w:pPr>
        <w:pStyle w:val="Tekstpodstawowy"/>
        <w:spacing w:line="240" w:lineRule="auto"/>
        <w:jc w:val="both"/>
        <w:rPr>
          <w:rFonts w:ascii="Calibri" w:hAnsi="Calibri" w:cs="Calibri"/>
          <w:sz w:val="20"/>
          <w:szCs w:val="20"/>
        </w:rPr>
      </w:pPr>
      <w:r w:rsidRPr="00324179">
        <w:rPr>
          <w:rFonts w:ascii="Calibri" w:hAnsi="Calibri" w:cs="Calibri"/>
          <w:sz w:val="20"/>
          <w:szCs w:val="20"/>
        </w:rPr>
        <w:t>Rzędne wysokościowe warstwy ścieralnej powinny być mierzone w przekrojach co 10m w osi i na krawędziach każdej jezdni. Przed przystąpieniem do robót Wykonawca przedstawi schemat punktów pomiarowych do akceptacji. Różnice pomiędzy rzędnymi wysokościowymi warstwy a rzędnymi projektowanymi nie powinny przekraczać ± 1cm. Wymaga się, aby co najmniej 95% wykonanych pomiarów nie przekraczało przedziału dopuszczalnych</w:t>
      </w:r>
      <w:r w:rsidRPr="00324179">
        <w:rPr>
          <w:rFonts w:ascii="Calibri" w:hAnsi="Calibri" w:cs="Calibri"/>
          <w:spacing w:val="-9"/>
          <w:sz w:val="20"/>
          <w:szCs w:val="20"/>
        </w:rPr>
        <w:t xml:space="preserve"> </w:t>
      </w:r>
      <w:r w:rsidRPr="00324179">
        <w:rPr>
          <w:rFonts w:ascii="Calibri" w:hAnsi="Calibri" w:cs="Calibri"/>
          <w:sz w:val="20"/>
          <w:szCs w:val="20"/>
        </w:rPr>
        <w:t>odchyleń.</w:t>
      </w:r>
    </w:p>
    <w:p w14:paraId="6C11F814" w14:textId="77777777" w:rsidR="00324179" w:rsidRPr="00324179" w:rsidRDefault="00324179" w:rsidP="00324179">
      <w:pPr>
        <w:pStyle w:val="Tekstpodstawowy"/>
        <w:spacing w:line="240" w:lineRule="auto"/>
        <w:jc w:val="both"/>
        <w:rPr>
          <w:rFonts w:ascii="Calibri" w:hAnsi="Calibri" w:cs="Calibri"/>
          <w:b/>
          <w:sz w:val="20"/>
          <w:szCs w:val="20"/>
        </w:rPr>
      </w:pPr>
      <w:r w:rsidRPr="00324179">
        <w:rPr>
          <w:rFonts w:ascii="Calibri" w:hAnsi="Calibri" w:cs="Calibri"/>
          <w:b/>
          <w:sz w:val="20"/>
          <w:szCs w:val="20"/>
        </w:rPr>
        <w:t>6.4.8 Złącza podłużne i</w:t>
      </w:r>
      <w:r w:rsidRPr="00324179">
        <w:rPr>
          <w:rFonts w:ascii="Calibri" w:hAnsi="Calibri" w:cs="Calibri"/>
          <w:b/>
          <w:spacing w:val="-5"/>
          <w:sz w:val="20"/>
          <w:szCs w:val="20"/>
        </w:rPr>
        <w:t xml:space="preserve"> </w:t>
      </w:r>
      <w:r w:rsidRPr="00324179">
        <w:rPr>
          <w:rFonts w:ascii="Calibri" w:hAnsi="Calibri" w:cs="Calibri"/>
          <w:b/>
          <w:sz w:val="20"/>
          <w:szCs w:val="20"/>
        </w:rPr>
        <w:t>poprzeczne</w:t>
      </w:r>
    </w:p>
    <w:p w14:paraId="08671779" w14:textId="77777777" w:rsidR="00324179" w:rsidRPr="004E54A4" w:rsidRDefault="00324179" w:rsidP="00324179">
      <w:pPr>
        <w:pStyle w:val="Tekstpodstawowy"/>
        <w:spacing w:line="240" w:lineRule="auto"/>
        <w:jc w:val="both"/>
        <w:rPr>
          <w:rFonts w:cstheme="minorHAnsi"/>
        </w:rPr>
      </w:pPr>
      <w:r w:rsidRPr="00324179">
        <w:rPr>
          <w:rFonts w:ascii="Calibri" w:hAnsi="Calibri" w:cs="Calibri"/>
          <w:sz w:val="20"/>
          <w:szCs w:val="20"/>
        </w:rPr>
        <w:t>Złącza w nawierzchni powinny być wykonane w linii prostej, prostopadle do osi drogi. Złącza w konstrukcji wielowarstwowej powinny być przesunięte względem siebie co najmniej o 3m. Złącza powinny być całkowicie związane, a przylegające warstwy powinny być w jednym poziomie.</w:t>
      </w:r>
    </w:p>
    <w:p w14:paraId="75FC2856" w14:textId="77777777" w:rsidR="00324179" w:rsidRPr="004E54A4" w:rsidRDefault="00324179" w:rsidP="00324179">
      <w:pPr>
        <w:pStyle w:val="Nagwek4"/>
      </w:pPr>
      <w:r w:rsidRPr="004E54A4">
        <w:t>6.5. Badania arbitrażowe</w:t>
      </w:r>
    </w:p>
    <w:p w14:paraId="2AF3D607" w14:textId="65A471F6" w:rsidR="007A7D7A" w:rsidRPr="00A23FB4" w:rsidRDefault="00324179" w:rsidP="00324179">
      <w:pPr>
        <w:rPr>
          <w:rFonts w:ascii="Calibri" w:hAnsi="Calibri" w:cs="Calibri"/>
        </w:rPr>
      </w:pPr>
      <w:r w:rsidRPr="004E54A4">
        <w:rPr>
          <w:rFonts w:cstheme="minorHAnsi"/>
        </w:rPr>
        <w:t>Zgodnie z p. 6.7 DM.00.00.00</w:t>
      </w:r>
      <w:r w:rsidR="007A7D7A" w:rsidRPr="00A23FB4">
        <w:rPr>
          <w:rFonts w:ascii="Calibri" w:hAnsi="Calibri" w:cs="Calibri"/>
        </w:rPr>
        <w:t>.</w:t>
      </w:r>
    </w:p>
    <w:p w14:paraId="676696E5" w14:textId="77777777" w:rsidR="007A7D7A" w:rsidRPr="00A23FB4" w:rsidRDefault="007A7D7A" w:rsidP="007A7D7A">
      <w:pPr>
        <w:pStyle w:val="Nagwek3"/>
        <w:tabs>
          <w:tab w:val="left" w:pos="9914"/>
        </w:tabs>
        <w:rPr>
          <w:rFonts w:ascii="Calibri" w:hAnsi="Calibri" w:cs="Calibri"/>
        </w:rPr>
      </w:pPr>
      <w:r w:rsidRPr="00A23FB4">
        <w:rPr>
          <w:rFonts w:ascii="Calibri" w:hAnsi="Calibri" w:cs="Calibri"/>
        </w:rPr>
        <w:t>7. OBMIAR ROBÓT</w:t>
      </w:r>
    </w:p>
    <w:p w14:paraId="7E51C9E0" w14:textId="77777777" w:rsidR="00375F64" w:rsidRDefault="00375F64" w:rsidP="007A7D7A">
      <w:pPr>
        <w:rPr>
          <w:rFonts w:ascii="Calibri" w:hAnsi="Calibri" w:cs="Calibri"/>
        </w:rPr>
      </w:pPr>
    </w:p>
    <w:p w14:paraId="10C98000" w14:textId="63A9A5FD" w:rsidR="00375F64" w:rsidRDefault="00375F64" w:rsidP="007A7D7A">
      <w:pPr>
        <w:rPr>
          <w:rFonts w:ascii="Calibri" w:hAnsi="Calibri" w:cs="Calibri"/>
        </w:rPr>
      </w:pPr>
      <w:r>
        <w:rPr>
          <w:rFonts w:ascii="Calibri" w:hAnsi="Calibri" w:cs="Calibri"/>
        </w:rPr>
        <w:t>Kontrakt ryczałtowy</w:t>
      </w:r>
    </w:p>
    <w:p w14:paraId="52638380" w14:textId="0031C7C5" w:rsidR="007A7D7A" w:rsidRPr="00A23FB4" w:rsidRDefault="007A7D7A" w:rsidP="007A7D7A">
      <w:pPr>
        <w:rPr>
          <w:rFonts w:ascii="Calibri" w:hAnsi="Calibri" w:cs="Calibri"/>
        </w:rPr>
      </w:pPr>
      <w:r w:rsidRPr="00A23FB4">
        <w:rPr>
          <w:rFonts w:ascii="Calibri" w:hAnsi="Calibri" w:cs="Calibri"/>
        </w:rPr>
        <w:t xml:space="preserve">Ogólne zasady obmiaru robót podano w </w:t>
      </w:r>
      <w:r w:rsidR="00FF2938">
        <w:rPr>
          <w:rFonts w:ascii="Calibri" w:hAnsi="Calibri" w:cs="Calibri"/>
        </w:rPr>
        <w:t>ST</w:t>
      </w:r>
      <w:r w:rsidRPr="00A23FB4">
        <w:rPr>
          <w:rFonts w:ascii="Calibri" w:hAnsi="Calibri" w:cs="Calibri"/>
        </w:rPr>
        <w:t>WiORB  D-M-00.00.00 „Wymagania ogólne” pkt 7.</w:t>
      </w:r>
    </w:p>
    <w:p w14:paraId="2CCF1093" w14:textId="22BA96F4" w:rsidR="007A7D7A" w:rsidRPr="00A23FB4" w:rsidRDefault="007A7D7A" w:rsidP="007A7D7A">
      <w:pPr>
        <w:pStyle w:val="Nagwek3"/>
        <w:tabs>
          <w:tab w:val="left" w:pos="9914"/>
        </w:tabs>
        <w:rPr>
          <w:rFonts w:ascii="Calibri" w:hAnsi="Calibri" w:cs="Calibri"/>
        </w:rPr>
      </w:pPr>
      <w:r w:rsidRPr="00A23FB4">
        <w:rPr>
          <w:rFonts w:ascii="Calibri" w:hAnsi="Calibri" w:cs="Calibri"/>
        </w:rPr>
        <w:t>8. ODBIÓR ROBÓT</w:t>
      </w:r>
    </w:p>
    <w:p w14:paraId="1EBB9A04" w14:textId="3FCCE089" w:rsidR="007A7D7A" w:rsidRPr="00A23FB4" w:rsidRDefault="007A7D7A" w:rsidP="007A7D7A">
      <w:pPr>
        <w:rPr>
          <w:rFonts w:ascii="Calibri" w:hAnsi="Calibri" w:cs="Calibri"/>
        </w:rPr>
      </w:pPr>
      <w:r w:rsidRPr="00A23FB4">
        <w:rPr>
          <w:rFonts w:ascii="Calibri" w:hAnsi="Calibri" w:cs="Calibri"/>
        </w:rPr>
        <w:t xml:space="preserve">Ogólne zasady odbioru robót podano w </w:t>
      </w:r>
      <w:r w:rsidR="00FF2938">
        <w:rPr>
          <w:rFonts w:ascii="Calibri" w:hAnsi="Calibri" w:cs="Calibri"/>
        </w:rPr>
        <w:t>ST</w:t>
      </w:r>
      <w:r w:rsidRPr="00A23FB4">
        <w:rPr>
          <w:rFonts w:ascii="Calibri" w:hAnsi="Calibri" w:cs="Calibri"/>
        </w:rPr>
        <w:t>WiORB  D-M-00.00.00 „Wymagania ogólne” pkt 8.</w:t>
      </w:r>
    </w:p>
    <w:p w14:paraId="1E10514A" w14:textId="26D46BA3" w:rsidR="007A7D7A" w:rsidRPr="00A23FB4" w:rsidRDefault="007A7D7A" w:rsidP="007A7D7A">
      <w:pPr>
        <w:rPr>
          <w:rFonts w:ascii="Calibri" w:hAnsi="Calibri" w:cs="Calibri"/>
        </w:rPr>
      </w:pPr>
      <w:r w:rsidRPr="00A23FB4">
        <w:rPr>
          <w:rFonts w:ascii="Calibri" w:hAnsi="Calibri" w:cs="Calibri"/>
        </w:rPr>
        <w:t xml:space="preserve">Roboty uznaje się za wykonane zgodnie z dokumentacją projektową, </w:t>
      </w:r>
      <w:r w:rsidR="000907B8">
        <w:rPr>
          <w:rFonts w:ascii="Calibri" w:hAnsi="Calibri" w:cs="Calibri"/>
        </w:rPr>
        <w:t>ST</w:t>
      </w:r>
      <w:r w:rsidRPr="00A23FB4">
        <w:rPr>
          <w:rFonts w:ascii="Calibri" w:hAnsi="Calibri" w:cs="Calibri"/>
        </w:rPr>
        <w:t>WiORB i wymaganiami Inżyniera, jeżeli wszystkie pomiary i badania z zachowaniem tolerancji według pktu 6 dały wyniki pozytywne.</w:t>
      </w:r>
    </w:p>
    <w:p w14:paraId="730B4272" w14:textId="77777777" w:rsidR="007A7D7A" w:rsidRPr="00A23FB4" w:rsidRDefault="007A7D7A" w:rsidP="007A7D7A">
      <w:pPr>
        <w:rPr>
          <w:rFonts w:ascii="Calibri" w:hAnsi="Calibri" w:cs="Calibri"/>
        </w:rPr>
      </w:pPr>
      <w:r w:rsidRPr="00A23FB4">
        <w:rPr>
          <w:rFonts w:ascii="Calibri" w:hAnsi="Calibri" w:cs="Calibri"/>
        </w:rPr>
        <w:t>Jeśli warunki umowy przewidują dokonywanie potrąceń, to Zamawiający może w razie niedotrzymania wartości dopuszczalnych dokonać potrąceń według zasad określonych w WT-2 pkt 9.2.</w:t>
      </w:r>
    </w:p>
    <w:p w14:paraId="120102F5" w14:textId="77777777" w:rsidR="007A7D7A" w:rsidRPr="00A23FB4" w:rsidRDefault="007A7D7A" w:rsidP="007A7D7A">
      <w:pPr>
        <w:pStyle w:val="Nagwek3"/>
        <w:tabs>
          <w:tab w:val="left" w:pos="9914"/>
        </w:tabs>
        <w:rPr>
          <w:rFonts w:ascii="Calibri" w:hAnsi="Calibri" w:cs="Calibri"/>
        </w:rPr>
      </w:pPr>
      <w:r w:rsidRPr="00A23FB4">
        <w:rPr>
          <w:rFonts w:ascii="Calibri" w:hAnsi="Calibri" w:cs="Calibri"/>
        </w:rPr>
        <w:t>9. PODSTAWA PŁATNOŚCI</w:t>
      </w:r>
    </w:p>
    <w:p w14:paraId="3F4C1C88" w14:textId="77777777" w:rsidR="00375F64" w:rsidRDefault="00375F64" w:rsidP="007A7D7A">
      <w:pPr>
        <w:rPr>
          <w:rFonts w:ascii="Calibri" w:hAnsi="Calibri" w:cs="Calibri"/>
        </w:rPr>
      </w:pPr>
    </w:p>
    <w:p w14:paraId="65EF5DA7" w14:textId="77777777" w:rsidR="00375F64" w:rsidRDefault="00375F64" w:rsidP="00375F64">
      <w:pPr>
        <w:rPr>
          <w:rFonts w:ascii="Calibri" w:hAnsi="Calibri" w:cs="Calibri"/>
        </w:rPr>
      </w:pPr>
      <w:r>
        <w:rPr>
          <w:rFonts w:ascii="Calibri" w:hAnsi="Calibri" w:cs="Calibri"/>
        </w:rPr>
        <w:t>Kontrakt ryczałtowy</w:t>
      </w:r>
    </w:p>
    <w:p w14:paraId="319D4E26" w14:textId="6B3DDCCA" w:rsidR="007A7D7A" w:rsidRPr="00A23FB4" w:rsidRDefault="007A7D7A" w:rsidP="007A7D7A">
      <w:pPr>
        <w:rPr>
          <w:rFonts w:ascii="Calibri" w:hAnsi="Calibri" w:cs="Calibri"/>
        </w:rPr>
      </w:pPr>
      <w:r w:rsidRPr="00A23FB4">
        <w:rPr>
          <w:rFonts w:ascii="Calibri" w:hAnsi="Calibri" w:cs="Calibri"/>
        </w:rPr>
        <w:t xml:space="preserve">Ogólne ustalenia dotyczące podstawy płatności podano w </w:t>
      </w:r>
      <w:r w:rsidR="00FF2938">
        <w:rPr>
          <w:rFonts w:ascii="Calibri" w:hAnsi="Calibri" w:cs="Calibri"/>
        </w:rPr>
        <w:t>ST</w:t>
      </w:r>
      <w:r w:rsidRPr="00A23FB4">
        <w:rPr>
          <w:rFonts w:ascii="Calibri" w:hAnsi="Calibri" w:cs="Calibri"/>
        </w:rPr>
        <w:t>WiORB D-M-00.00.00 „Wymagania ogólne” pkt 9.</w:t>
      </w:r>
    </w:p>
    <w:p w14:paraId="1FCD9A76" w14:textId="77777777" w:rsidR="007A7D7A" w:rsidRPr="00A23FB4" w:rsidRDefault="007A7D7A" w:rsidP="007A7D7A">
      <w:pPr>
        <w:pStyle w:val="Nagwek3"/>
        <w:tabs>
          <w:tab w:val="left" w:pos="9914"/>
        </w:tabs>
        <w:rPr>
          <w:rFonts w:ascii="Calibri" w:hAnsi="Calibri" w:cs="Calibri"/>
        </w:rPr>
      </w:pPr>
      <w:r w:rsidRPr="00A23FB4">
        <w:rPr>
          <w:rFonts w:ascii="Calibri" w:hAnsi="Calibri" w:cs="Calibri"/>
        </w:rPr>
        <w:t>10. PRZEPISY ZWIĄZANE</w:t>
      </w:r>
    </w:p>
    <w:p w14:paraId="2DAB6F8B" w14:textId="77777777" w:rsidR="007A7D7A" w:rsidRPr="00A23FB4" w:rsidRDefault="007A7D7A" w:rsidP="007A7D7A">
      <w:pPr>
        <w:pStyle w:val="Nagwek4"/>
        <w:tabs>
          <w:tab w:val="left" w:pos="9914"/>
        </w:tabs>
        <w:rPr>
          <w:rFonts w:ascii="Calibri" w:hAnsi="Calibri" w:cs="Calibri"/>
        </w:rPr>
      </w:pPr>
      <w:r w:rsidRPr="00A23FB4">
        <w:rPr>
          <w:rFonts w:ascii="Calibri" w:hAnsi="Calibri" w:cs="Calibri"/>
        </w:rPr>
        <w:t>10.1. Przepisy techniczno budowlane</w:t>
      </w:r>
    </w:p>
    <w:p w14:paraId="24E2F6B3" w14:textId="77777777" w:rsidR="007A7D7A" w:rsidRPr="00A23FB4" w:rsidRDefault="007A7D7A" w:rsidP="00262498">
      <w:pPr>
        <w:numPr>
          <w:ilvl w:val="0"/>
          <w:numId w:val="31"/>
        </w:numPr>
        <w:tabs>
          <w:tab w:val="left" w:pos="283"/>
        </w:tabs>
        <w:suppressAutoHyphens/>
        <w:autoSpaceDN/>
        <w:adjustRightInd/>
        <w:rPr>
          <w:rFonts w:ascii="Calibri" w:hAnsi="Calibri" w:cs="Calibri"/>
        </w:rPr>
      </w:pPr>
      <w:r w:rsidRPr="00A23FB4">
        <w:rPr>
          <w:rFonts w:ascii="Calibri" w:hAnsi="Calibri" w:cs="Calibri"/>
        </w:rPr>
        <w:t>Rozporządzenie Ministra Transportu i Gospodarki Morskiej z dnia 2 marca 1999 r. w sprawie warunków technicznych, jakim powinny odpowiadać drogi publiczne i ich usytuowanie (Dz.U. nr 43, poz. 430)</w:t>
      </w:r>
    </w:p>
    <w:p w14:paraId="321EE448" w14:textId="77777777" w:rsidR="007A7D7A" w:rsidRPr="007A7D7A" w:rsidRDefault="007A7D7A" w:rsidP="007A7D7A">
      <w:pPr>
        <w:pStyle w:val="Nagwek4"/>
        <w:tabs>
          <w:tab w:val="left" w:pos="9914"/>
        </w:tabs>
        <w:rPr>
          <w:rFonts w:ascii="Calibri" w:hAnsi="Calibri" w:cs="Calibri"/>
          <w:sz w:val="18"/>
          <w:szCs w:val="18"/>
        </w:rPr>
      </w:pPr>
      <w:r w:rsidRPr="00A23FB4">
        <w:rPr>
          <w:rFonts w:ascii="Calibri" w:hAnsi="Calibri" w:cs="Calibri"/>
        </w:rPr>
        <w:t>10.2</w:t>
      </w:r>
      <w:r w:rsidRPr="007A7D7A">
        <w:rPr>
          <w:rFonts w:ascii="Calibri" w:hAnsi="Calibri" w:cs="Calibri"/>
          <w:sz w:val="18"/>
          <w:szCs w:val="18"/>
        </w:rPr>
        <w:t>. Normy</w:t>
      </w:r>
    </w:p>
    <w:tbl>
      <w:tblPr>
        <w:tblW w:w="0" w:type="auto"/>
        <w:tblInd w:w="2" w:type="dxa"/>
        <w:tblLayout w:type="fixed"/>
        <w:tblLook w:val="0000" w:firstRow="0" w:lastRow="0" w:firstColumn="0" w:lastColumn="0" w:noHBand="0" w:noVBand="0"/>
      </w:tblPr>
      <w:tblGrid>
        <w:gridCol w:w="534"/>
        <w:gridCol w:w="1842"/>
        <w:gridCol w:w="7371"/>
      </w:tblGrid>
      <w:tr w:rsidR="007A7D7A" w:rsidRPr="007A7D7A" w14:paraId="4E3A3CE8" w14:textId="77777777" w:rsidTr="00F11EC1">
        <w:tc>
          <w:tcPr>
            <w:tcW w:w="534" w:type="dxa"/>
          </w:tcPr>
          <w:p w14:paraId="66285AEC" w14:textId="77777777" w:rsidR="007A7D7A" w:rsidRPr="007A7D7A" w:rsidRDefault="007A7D7A" w:rsidP="00F11EC1">
            <w:pPr>
              <w:snapToGrid w:val="0"/>
              <w:rPr>
                <w:rFonts w:ascii="Calibri" w:hAnsi="Calibri" w:cs="Calibri"/>
                <w:sz w:val="18"/>
                <w:szCs w:val="18"/>
              </w:rPr>
            </w:pPr>
            <w:r w:rsidRPr="007A7D7A">
              <w:rPr>
                <w:rFonts w:ascii="Calibri" w:hAnsi="Calibri" w:cs="Calibri"/>
                <w:sz w:val="18"/>
                <w:szCs w:val="18"/>
              </w:rPr>
              <w:t>2.</w:t>
            </w:r>
          </w:p>
        </w:tc>
        <w:tc>
          <w:tcPr>
            <w:tcW w:w="1842" w:type="dxa"/>
          </w:tcPr>
          <w:p w14:paraId="3534F57D" w14:textId="77777777" w:rsidR="007A7D7A" w:rsidRPr="007A7D7A" w:rsidRDefault="007A7D7A" w:rsidP="00F11EC1">
            <w:pPr>
              <w:snapToGrid w:val="0"/>
              <w:rPr>
                <w:rFonts w:ascii="Calibri" w:hAnsi="Calibri" w:cs="Calibri"/>
                <w:sz w:val="18"/>
                <w:szCs w:val="18"/>
              </w:rPr>
            </w:pPr>
            <w:r w:rsidRPr="007A7D7A">
              <w:rPr>
                <w:rFonts w:ascii="Calibri" w:hAnsi="Calibri" w:cs="Calibri"/>
                <w:sz w:val="18"/>
                <w:szCs w:val="18"/>
              </w:rPr>
              <w:t>PN-EN 196-21</w:t>
            </w:r>
          </w:p>
        </w:tc>
        <w:tc>
          <w:tcPr>
            <w:tcW w:w="7371" w:type="dxa"/>
          </w:tcPr>
          <w:p w14:paraId="4BBA8983" w14:textId="77777777" w:rsidR="007A7D7A" w:rsidRPr="007A7D7A" w:rsidRDefault="007A7D7A" w:rsidP="00F11EC1">
            <w:pPr>
              <w:snapToGrid w:val="0"/>
              <w:rPr>
                <w:rFonts w:ascii="Calibri" w:hAnsi="Calibri" w:cs="Calibri"/>
                <w:sz w:val="18"/>
                <w:szCs w:val="18"/>
              </w:rPr>
            </w:pPr>
            <w:r w:rsidRPr="007A7D7A">
              <w:rPr>
                <w:rFonts w:ascii="Calibri" w:hAnsi="Calibri" w:cs="Calibri"/>
                <w:sz w:val="18"/>
                <w:szCs w:val="18"/>
              </w:rPr>
              <w:t>Metody badania cementu – Oznaczanie zawartości chlorków, dwutlenku węgla i alkaliów w cemencie</w:t>
            </w:r>
          </w:p>
        </w:tc>
      </w:tr>
      <w:tr w:rsidR="007A7D7A" w:rsidRPr="007A7D7A" w14:paraId="4B07A029" w14:textId="77777777" w:rsidTr="00F11EC1">
        <w:tc>
          <w:tcPr>
            <w:tcW w:w="534" w:type="dxa"/>
          </w:tcPr>
          <w:p w14:paraId="2B3F73B6" w14:textId="77777777" w:rsidR="007A7D7A" w:rsidRPr="007A7D7A" w:rsidRDefault="007A7D7A" w:rsidP="00F11EC1">
            <w:pPr>
              <w:snapToGrid w:val="0"/>
              <w:rPr>
                <w:rFonts w:ascii="Calibri" w:hAnsi="Calibri" w:cs="Calibri"/>
                <w:sz w:val="18"/>
                <w:szCs w:val="18"/>
              </w:rPr>
            </w:pPr>
            <w:r w:rsidRPr="007A7D7A">
              <w:rPr>
                <w:rFonts w:ascii="Calibri" w:hAnsi="Calibri" w:cs="Calibri"/>
                <w:sz w:val="18"/>
                <w:szCs w:val="18"/>
              </w:rPr>
              <w:t>3.</w:t>
            </w:r>
          </w:p>
        </w:tc>
        <w:tc>
          <w:tcPr>
            <w:tcW w:w="1842" w:type="dxa"/>
          </w:tcPr>
          <w:p w14:paraId="3C46E861" w14:textId="77777777" w:rsidR="007A7D7A" w:rsidRPr="007A7D7A" w:rsidRDefault="007A7D7A" w:rsidP="00F11EC1">
            <w:pPr>
              <w:snapToGrid w:val="0"/>
              <w:rPr>
                <w:rFonts w:ascii="Calibri" w:hAnsi="Calibri" w:cs="Calibri"/>
                <w:sz w:val="18"/>
                <w:szCs w:val="18"/>
              </w:rPr>
            </w:pPr>
            <w:r w:rsidRPr="007A7D7A">
              <w:rPr>
                <w:rFonts w:ascii="Calibri" w:hAnsi="Calibri" w:cs="Calibri"/>
                <w:sz w:val="18"/>
                <w:szCs w:val="18"/>
              </w:rPr>
              <w:t>PN-EN 459-2</w:t>
            </w:r>
          </w:p>
        </w:tc>
        <w:tc>
          <w:tcPr>
            <w:tcW w:w="7371" w:type="dxa"/>
          </w:tcPr>
          <w:p w14:paraId="074DB439" w14:textId="77777777" w:rsidR="007A7D7A" w:rsidRPr="007A7D7A" w:rsidRDefault="007A7D7A" w:rsidP="00F11EC1">
            <w:pPr>
              <w:snapToGrid w:val="0"/>
              <w:rPr>
                <w:rFonts w:ascii="Calibri" w:hAnsi="Calibri" w:cs="Calibri"/>
                <w:sz w:val="18"/>
                <w:szCs w:val="18"/>
              </w:rPr>
            </w:pPr>
            <w:r w:rsidRPr="007A7D7A">
              <w:rPr>
                <w:rFonts w:ascii="Calibri" w:hAnsi="Calibri" w:cs="Calibri"/>
                <w:sz w:val="18"/>
                <w:szCs w:val="18"/>
              </w:rPr>
              <w:t>Wapno budowlane – Część 2: Metody badań</w:t>
            </w:r>
          </w:p>
        </w:tc>
      </w:tr>
      <w:tr w:rsidR="007A7D7A" w:rsidRPr="007A7D7A" w14:paraId="063FA8DA" w14:textId="77777777" w:rsidTr="00F11EC1">
        <w:tc>
          <w:tcPr>
            <w:tcW w:w="534" w:type="dxa"/>
          </w:tcPr>
          <w:p w14:paraId="7E981A3C" w14:textId="77777777" w:rsidR="007A7D7A" w:rsidRPr="007A7D7A" w:rsidRDefault="007A7D7A" w:rsidP="00F11EC1">
            <w:pPr>
              <w:snapToGrid w:val="0"/>
              <w:rPr>
                <w:rFonts w:ascii="Calibri" w:hAnsi="Calibri" w:cs="Calibri"/>
                <w:sz w:val="18"/>
                <w:szCs w:val="18"/>
              </w:rPr>
            </w:pPr>
            <w:r w:rsidRPr="007A7D7A">
              <w:rPr>
                <w:rFonts w:ascii="Calibri" w:hAnsi="Calibri" w:cs="Calibri"/>
                <w:sz w:val="18"/>
                <w:szCs w:val="18"/>
              </w:rPr>
              <w:t>4.</w:t>
            </w:r>
          </w:p>
        </w:tc>
        <w:tc>
          <w:tcPr>
            <w:tcW w:w="1842" w:type="dxa"/>
          </w:tcPr>
          <w:p w14:paraId="2C336BBB" w14:textId="77777777" w:rsidR="007A7D7A" w:rsidRPr="007A7D7A" w:rsidRDefault="007A7D7A" w:rsidP="00F11EC1">
            <w:pPr>
              <w:snapToGrid w:val="0"/>
              <w:rPr>
                <w:rFonts w:ascii="Calibri" w:hAnsi="Calibri" w:cs="Calibri"/>
                <w:sz w:val="18"/>
                <w:szCs w:val="18"/>
              </w:rPr>
            </w:pPr>
            <w:r w:rsidRPr="007A7D7A">
              <w:rPr>
                <w:rFonts w:ascii="Calibri" w:hAnsi="Calibri" w:cs="Calibri"/>
                <w:sz w:val="18"/>
                <w:szCs w:val="18"/>
              </w:rPr>
              <w:t>PN-EN 932-3</w:t>
            </w:r>
          </w:p>
        </w:tc>
        <w:tc>
          <w:tcPr>
            <w:tcW w:w="7371" w:type="dxa"/>
          </w:tcPr>
          <w:p w14:paraId="4BB8A931" w14:textId="77777777" w:rsidR="007A7D7A" w:rsidRPr="007A7D7A" w:rsidRDefault="007A7D7A" w:rsidP="00F11EC1">
            <w:pPr>
              <w:snapToGrid w:val="0"/>
              <w:rPr>
                <w:rFonts w:ascii="Calibri" w:hAnsi="Calibri" w:cs="Calibri"/>
                <w:sz w:val="18"/>
                <w:szCs w:val="18"/>
              </w:rPr>
            </w:pPr>
            <w:r w:rsidRPr="007A7D7A">
              <w:rPr>
                <w:rFonts w:ascii="Calibri" w:hAnsi="Calibri" w:cs="Calibri"/>
                <w:sz w:val="18"/>
                <w:szCs w:val="18"/>
              </w:rPr>
              <w:t>Badania podstawowych właściwości kruszyw – Procedura i terminologia uproszczonego opisu petrograficznego</w:t>
            </w:r>
          </w:p>
        </w:tc>
      </w:tr>
      <w:tr w:rsidR="007A7D7A" w:rsidRPr="007A7D7A" w14:paraId="2106B555" w14:textId="77777777" w:rsidTr="00F11EC1">
        <w:tc>
          <w:tcPr>
            <w:tcW w:w="534" w:type="dxa"/>
          </w:tcPr>
          <w:p w14:paraId="533D63D3" w14:textId="77777777" w:rsidR="007A7D7A" w:rsidRPr="007A7D7A" w:rsidRDefault="007A7D7A" w:rsidP="00F11EC1">
            <w:pPr>
              <w:snapToGrid w:val="0"/>
              <w:rPr>
                <w:rFonts w:ascii="Calibri" w:hAnsi="Calibri" w:cs="Calibri"/>
                <w:sz w:val="18"/>
                <w:szCs w:val="18"/>
              </w:rPr>
            </w:pPr>
            <w:r w:rsidRPr="007A7D7A">
              <w:rPr>
                <w:rFonts w:ascii="Calibri" w:hAnsi="Calibri" w:cs="Calibri"/>
                <w:sz w:val="18"/>
                <w:szCs w:val="18"/>
              </w:rPr>
              <w:t>5.</w:t>
            </w:r>
          </w:p>
        </w:tc>
        <w:tc>
          <w:tcPr>
            <w:tcW w:w="1842" w:type="dxa"/>
          </w:tcPr>
          <w:p w14:paraId="752B6B11" w14:textId="77777777" w:rsidR="007A7D7A" w:rsidRPr="007A7D7A" w:rsidRDefault="007A7D7A" w:rsidP="00F11EC1">
            <w:pPr>
              <w:snapToGrid w:val="0"/>
              <w:rPr>
                <w:rFonts w:ascii="Calibri" w:hAnsi="Calibri" w:cs="Calibri"/>
                <w:sz w:val="18"/>
                <w:szCs w:val="18"/>
              </w:rPr>
            </w:pPr>
            <w:r w:rsidRPr="007A7D7A">
              <w:rPr>
                <w:rFonts w:ascii="Calibri" w:hAnsi="Calibri" w:cs="Calibri"/>
                <w:sz w:val="18"/>
                <w:szCs w:val="18"/>
              </w:rPr>
              <w:t>PN-EN 933-1</w:t>
            </w:r>
          </w:p>
        </w:tc>
        <w:tc>
          <w:tcPr>
            <w:tcW w:w="7371" w:type="dxa"/>
          </w:tcPr>
          <w:p w14:paraId="1DB76E14" w14:textId="77777777" w:rsidR="007A7D7A" w:rsidRPr="007A7D7A" w:rsidRDefault="007A7D7A" w:rsidP="00F11EC1">
            <w:pPr>
              <w:snapToGrid w:val="0"/>
              <w:rPr>
                <w:rFonts w:ascii="Calibri" w:hAnsi="Calibri" w:cs="Calibri"/>
                <w:sz w:val="18"/>
                <w:szCs w:val="18"/>
              </w:rPr>
            </w:pPr>
            <w:r w:rsidRPr="007A7D7A">
              <w:rPr>
                <w:rFonts w:ascii="Calibri" w:hAnsi="Calibri" w:cs="Calibri"/>
                <w:sz w:val="18"/>
                <w:szCs w:val="18"/>
              </w:rPr>
              <w:t>Badania geometrycznych właściwości kruszyw – Oznaczanie składu ziarnowego – Metoda przesiewania</w:t>
            </w:r>
          </w:p>
        </w:tc>
      </w:tr>
      <w:tr w:rsidR="007A7D7A" w:rsidRPr="007A7D7A" w14:paraId="64F5D9CE" w14:textId="77777777" w:rsidTr="00F11EC1">
        <w:tc>
          <w:tcPr>
            <w:tcW w:w="534" w:type="dxa"/>
          </w:tcPr>
          <w:p w14:paraId="19673CF9" w14:textId="77777777" w:rsidR="007A7D7A" w:rsidRPr="007A7D7A" w:rsidRDefault="007A7D7A" w:rsidP="00F11EC1">
            <w:pPr>
              <w:snapToGrid w:val="0"/>
              <w:rPr>
                <w:rFonts w:ascii="Calibri" w:hAnsi="Calibri" w:cs="Calibri"/>
                <w:sz w:val="18"/>
                <w:szCs w:val="18"/>
              </w:rPr>
            </w:pPr>
            <w:r w:rsidRPr="007A7D7A">
              <w:rPr>
                <w:rFonts w:ascii="Calibri" w:hAnsi="Calibri" w:cs="Calibri"/>
                <w:sz w:val="18"/>
                <w:szCs w:val="18"/>
              </w:rPr>
              <w:t>6.</w:t>
            </w:r>
          </w:p>
        </w:tc>
        <w:tc>
          <w:tcPr>
            <w:tcW w:w="1842" w:type="dxa"/>
          </w:tcPr>
          <w:p w14:paraId="289ACDB0" w14:textId="77777777" w:rsidR="007A7D7A" w:rsidRPr="007A7D7A" w:rsidRDefault="007A7D7A" w:rsidP="00F11EC1">
            <w:pPr>
              <w:snapToGrid w:val="0"/>
              <w:rPr>
                <w:rFonts w:ascii="Calibri" w:hAnsi="Calibri" w:cs="Calibri"/>
                <w:sz w:val="18"/>
                <w:szCs w:val="18"/>
              </w:rPr>
            </w:pPr>
            <w:r w:rsidRPr="007A7D7A">
              <w:rPr>
                <w:rFonts w:ascii="Calibri" w:hAnsi="Calibri" w:cs="Calibri"/>
                <w:sz w:val="18"/>
                <w:szCs w:val="18"/>
              </w:rPr>
              <w:t>PN-EN 933-3</w:t>
            </w:r>
          </w:p>
        </w:tc>
        <w:tc>
          <w:tcPr>
            <w:tcW w:w="7371" w:type="dxa"/>
          </w:tcPr>
          <w:p w14:paraId="55D19960" w14:textId="77777777" w:rsidR="007A7D7A" w:rsidRPr="007A7D7A" w:rsidRDefault="007A7D7A" w:rsidP="00F11EC1">
            <w:pPr>
              <w:snapToGrid w:val="0"/>
              <w:rPr>
                <w:rFonts w:ascii="Calibri" w:hAnsi="Calibri" w:cs="Calibri"/>
                <w:sz w:val="18"/>
                <w:szCs w:val="18"/>
              </w:rPr>
            </w:pPr>
            <w:r w:rsidRPr="007A7D7A">
              <w:rPr>
                <w:rFonts w:ascii="Calibri" w:hAnsi="Calibri" w:cs="Calibri"/>
                <w:sz w:val="18"/>
                <w:szCs w:val="18"/>
              </w:rPr>
              <w:t>Badania geometrycznych właściwości kruszyw – Oznaczanie kształtu ziaren za pomocą wskaźnika płaskości</w:t>
            </w:r>
          </w:p>
        </w:tc>
      </w:tr>
      <w:tr w:rsidR="007A7D7A" w:rsidRPr="007A7D7A" w14:paraId="6777B951" w14:textId="77777777" w:rsidTr="00F11EC1">
        <w:tc>
          <w:tcPr>
            <w:tcW w:w="534" w:type="dxa"/>
          </w:tcPr>
          <w:p w14:paraId="46B19D2F" w14:textId="77777777" w:rsidR="007A7D7A" w:rsidRPr="007A7D7A" w:rsidRDefault="007A7D7A" w:rsidP="00F11EC1">
            <w:pPr>
              <w:snapToGrid w:val="0"/>
              <w:rPr>
                <w:rFonts w:ascii="Calibri" w:hAnsi="Calibri" w:cs="Calibri"/>
                <w:sz w:val="18"/>
                <w:szCs w:val="18"/>
              </w:rPr>
            </w:pPr>
            <w:r w:rsidRPr="007A7D7A">
              <w:rPr>
                <w:rFonts w:ascii="Calibri" w:hAnsi="Calibri" w:cs="Calibri"/>
                <w:sz w:val="18"/>
                <w:szCs w:val="18"/>
              </w:rPr>
              <w:t>7.</w:t>
            </w:r>
          </w:p>
        </w:tc>
        <w:tc>
          <w:tcPr>
            <w:tcW w:w="1842" w:type="dxa"/>
          </w:tcPr>
          <w:p w14:paraId="26E7FCC0" w14:textId="77777777" w:rsidR="007A7D7A" w:rsidRPr="007A7D7A" w:rsidRDefault="007A7D7A" w:rsidP="00F11EC1">
            <w:pPr>
              <w:snapToGrid w:val="0"/>
              <w:rPr>
                <w:rFonts w:ascii="Calibri" w:hAnsi="Calibri" w:cs="Calibri"/>
                <w:sz w:val="18"/>
                <w:szCs w:val="18"/>
              </w:rPr>
            </w:pPr>
            <w:r w:rsidRPr="007A7D7A">
              <w:rPr>
                <w:rFonts w:ascii="Calibri" w:hAnsi="Calibri" w:cs="Calibri"/>
                <w:sz w:val="18"/>
                <w:szCs w:val="18"/>
              </w:rPr>
              <w:t>PN-EN 933-4</w:t>
            </w:r>
          </w:p>
        </w:tc>
        <w:tc>
          <w:tcPr>
            <w:tcW w:w="7371" w:type="dxa"/>
          </w:tcPr>
          <w:p w14:paraId="2CD82213" w14:textId="77777777" w:rsidR="007A7D7A" w:rsidRPr="007A7D7A" w:rsidRDefault="007A7D7A" w:rsidP="00F11EC1">
            <w:pPr>
              <w:snapToGrid w:val="0"/>
              <w:rPr>
                <w:rFonts w:ascii="Calibri" w:hAnsi="Calibri" w:cs="Calibri"/>
                <w:sz w:val="18"/>
                <w:szCs w:val="18"/>
              </w:rPr>
            </w:pPr>
            <w:r w:rsidRPr="007A7D7A">
              <w:rPr>
                <w:rFonts w:ascii="Calibri" w:hAnsi="Calibri" w:cs="Calibri"/>
                <w:sz w:val="18"/>
                <w:szCs w:val="18"/>
              </w:rPr>
              <w:t>Badania geometrycznych właściwości kruszyw – Część 4: Oznaczanie kształtu ziaren – Wskaźnik kształtu</w:t>
            </w:r>
          </w:p>
          <w:p w14:paraId="7AA001F3" w14:textId="77777777" w:rsidR="007A7D7A" w:rsidRPr="007A7D7A" w:rsidRDefault="007A7D7A" w:rsidP="00F11EC1">
            <w:pPr>
              <w:snapToGrid w:val="0"/>
              <w:rPr>
                <w:rFonts w:ascii="Calibri" w:hAnsi="Calibri" w:cs="Calibri"/>
                <w:sz w:val="18"/>
                <w:szCs w:val="18"/>
              </w:rPr>
            </w:pPr>
          </w:p>
        </w:tc>
      </w:tr>
      <w:tr w:rsidR="007A7D7A" w:rsidRPr="007A7D7A" w14:paraId="21200686" w14:textId="77777777" w:rsidTr="00F11EC1">
        <w:tc>
          <w:tcPr>
            <w:tcW w:w="534" w:type="dxa"/>
          </w:tcPr>
          <w:p w14:paraId="770D43F2" w14:textId="77777777" w:rsidR="007A7D7A" w:rsidRPr="007A7D7A" w:rsidRDefault="007A7D7A" w:rsidP="00F11EC1">
            <w:pPr>
              <w:snapToGrid w:val="0"/>
              <w:rPr>
                <w:rFonts w:ascii="Calibri" w:hAnsi="Calibri" w:cs="Calibri"/>
                <w:sz w:val="18"/>
                <w:szCs w:val="18"/>
              </w:rPr>
            </w:pPr>
            <w:r w:rsidRPr="007A7D7A">
              <w:rPr>
                <w:rFonts w:ascii="Calibri" w:hAnsi="Calibri" w:cs="Calibri"/>
                <w:sz w:val="18"/>
                <w:szCs w:val="18"/>
              </w:rPr>
              <w:t>8.</w:t>
            </w:r>
          </w:p>
        </w:tc>
        <w:tc>
          <w:tcPr>
            <w:tcW w:w="1842" w:type="dxa"/>
          </w:tcPr>
          <w:p w14:paraId="52F48DDA" w14:textId="77777777" w:rsidR="007A7D7A" w:rsidRPr="007A7D7A" w:rsidRDefault="007A7D7A" w:rsidP="00F11EC1">
            <w:pPr>
              <w:snapToGrid w:val="0"/>
              <w:rPr>
                <w:rFonts w:ascii="Calibri" w:hAnsi="Calibri" w:cs="Calibri"/>
                <w:sz w:val="18"/>
                <w:szCs w:val="18"/>
              </w:rPr>
            </w:pPr>
            <w:r w:rsidRPr="007A7D7A">
              <w:rPr>
                <w:rFonts w:ascii="Calibri" w:hAnsi="Calibri" w:cs="Calibri"/>
                <w:sz w:val="18"/>
                <w:szCs w:val="18"/>
              </w:rPr>
              <w:t>PN-EN 933-5</w:t>
            </w:r>
          </w:p>
        </w:tc>
        <w:tc>
          <w:tcPr>
            <w:tcW w:w="7371" w:type="dxa"/>
          </w:tcPr>
          <w:p w14:paraId="0AF2D69D" w14:textId="77777777" w:rsidR="007A7D7A" w:rsidRPr="007A7D7A" w:rsidRDefault="007A7D7A" w:rsidP="00F11EC1">
            <w:pPr>
              <w:snapToGrid w:val="0"/>
              <w:rPr>
                <w:rFonts w:ascii="Calibri" w:hAnsi="Calibri" w:cs="Calibri"/>
                <w:sz w:val="18"/>
                <w:szCs w:val="18"/>
              </w:rPr>
            </w:pPr>
            <w:r w:rsidRPr="007A7D7A">
              <w:rPr>
                <w:rFonts w:ascii="Calibri" w:hAnsi="Calibri" w:cs="Calibri"/>
                <w:sz w:val="18"/>
                <w:szCs w:val="18"/>
              </w:rPr>
              <w:t>Badania geometrycznych właściwości kruszyw – Oznaczanie procentowej zawartości ziaren o powierzchniach powstałych w wyniku przekruszenia lub łamania kruszyw grubych</w:t>
            </w:r>
          </w:p>
        </w:tc>
      </w:tr>
      <w:tr w:rsidR="007A7D7A" w:rsidRPr="007A7D7A" w14:paraId="79C838B9" w14:textId="77777777" w:rsidTr="00F11EC1">
        <w:tc>
          <w:tcPr>
            <w:tcW w:w="534" w:type="dxa"/>
          </w:tcPr>
          <w:p w14:paraId="64A71313" w14:textId="77777777" w:rsidR="007A7D7A" w:rsidRPr="007A7D7A" w:rsidRDefault="007A7D7A" w:rsidP="00F11EC1">
            <w:pPr>
              <w:snapToGrid w:val="0"/>
              <w:rPr>
                <w:rFonts w:ascii="Calibri" w:hAnsi="Calibri" w:cs="Calibri"/>
                <w:sz w:val="18"/>
                <w:szCs w:val="18"/>
              </w:rPr>
            </w:pPr>
            <w:r w:rsidRPr="007A7D7A">
              <w:rPr>
                <w:rFonts w:ascii="Calibri" w:hAnsi="Calibri" w:cs="Calibri"/>
                <w:sz w:val="18"/>
                <w:szCs w:val="18"/>
              </w:rPr>
              <w:t>9.</w:t>
            </w:r>
          </w:p>
        </w:tc>
        <w:tc>
          <w:tcPr>
            <w:tcW w:w="1842" w:type="dxa"/>
          </w:tcPr>
          <w:p w14:paraId="7893BC48" w14:textId="77777777" w:rsidR="007A7D7A" w:rsidRPr="007A7D7A" w:rsidRDefault="007A7D7A" w:rsidP="00F11EC1">
            <w:pPr>
              <w:snapToGrid w:val="0"/>
              <w:rPr>
                <w:rFonts w:ascii="Calibri" w:hAnsi="Calibri" w:cs="Calibri"/>
                <w:sz w:val="18"/>
                <w:szCs w:val="18"/>
              </w:rPr>
            </w:pPr>
            <w:r w:rsidRPr="007A7D7A">
              <w:rPr>
                <w:rFonts w:ascii="Calibri" w:hAnsi="Calibri" w:cs="Calibri"/>
                <w:sz w:val="18"/>
                <w:szCs w:val="18"/>
              </w:rPr>
              <w:t>PN-EN 933-6</w:t>
            </w:r>
          </w:p>
        </w:tc>
        <w:tc>
          <w:tcPr>
            <w:tcW w:w="7371" w:type="dxa"/>
          </w:tcPr>
          <w:p w14:paraId="56AB0413" w14:textId="77777777" w:rsidR="007A7D7A" w:rsidRPr="007A7D7A" w:rsidRDefault="007A7D7A" w:rsidP="00F11EC1">
            <w:pPr>
              <w:snapToGrid w:val="0"/>
              <w:rPr>
                <w:rFonts w:ascii="Calibri" w:hAnsi="Calibri" w:cs="Calibri"/>
                <w:sz w:val="18"/>
                <w:szCs w:val="18"/>
              </w:rPr>
            </w:pPr>
            <w:r w:rsidRPr="007A7D7A">
              <w:rPr>
                <w:rFonts w:ascii="Calibri" w:hAnsi="Calibri" w:cs="Calibri"/>
                <w:sz w:val="18"/>
                <w:szCs w:val="18"/>
              </w:rPr>
              <w:t>Badania geometrycznych właściwości kruszyw – Część 6: Ocena właściwości powierzchni – Wskaźnik przepływu kruszywa</w:t>
            </w:r>
          </w:p>
        </w:tc>
      </w:tr>
      <w:tr w:rsidR="007A7D7A" w:rsidRPr="007A7D7A" w14:paraId="2E691E28" w14:textId="77777777" w:rsidTr="00F11EC1">
        <w:tc>
          <w:tcPr>
            <w:tcW w:w="534" w:type="dxa"/>
          </w:tcPr>
          <w:p w14:paraId="1134F9A9" w14:textId="77777777" w:rsidR="007A7D7A" w:rsidRPr="007A7D7A" w:rsidRDefault="007A7D7A" w:rsidP="00F11EC1">
            <w:pPr>
              <w:snapToGrid w:val="0"/>
              <w:rPr>
                <w:rFonts w:ascii="Calibri" w:hAnsi="Calibri" w:cs="Calibri"/>
                <w:sz w:val="18"/>
                <w:szCs w:val="18"/>
              </w:rPr>
            </w:pPr>
            <w:r w:rsidRPr="007A7D7A">
              <w:rPr>
                <w:rFonts w:ascii="Calibri" w:hAnsi="Calibri" w:cs="Calibri"/>
                <w:sz w:val="18"/>
                <w:szCs w:val="18"/>
              </w:rPr>
              <w:t>10.</w:t>
            </w:r>
          </w:p>
        </w:tc>
        <w:tc>
          <w:tcPr>
            <w:tcW w:w="1842" w:type="dxa"/>
          </w:tcPr>
          <w:p w14:paraId="385A83F7" w14:textId="77777777" w:rsidR="007A7D7A" w:rsidRPr="007A7D7A" w:rsidRDefault="007A7D7A" w:rsidP="00F11EC1">
            <w:pPr>
              <w:snapToGrid w:val="0"/>
              <w:rPr>
                <w:rFonts w:ascii="Calibri" w:hAnsi="Calibri" w:cs="Calibri"/>
                <w:sz w:val="18"/>
                <w:szCs w:val="18"/>
              </w:rPr>
            </w:pPr>
            <w:r w:rsidRPr="007A7D7A">
              <w:rPr>
                <w:rFonts w:ascii="Calibri" w:hAnsi="Calibri" w:cs="Calibri"/>
                <w:sz w:val="18"/>
                <w:szCs w:val="18"/>
              </w:rPr>
              <w:t>PN-EN 933-9</w:t>
            </w:r>
          </w:p>
        </w:tc>
        <w:tc>
          <w:tcPr>
            <w:tcW w:w="7371" w:type="dxa"/>
          </w:tcPr>
          <w:p w14:paraId="03855DB8" w14:textId="77777777" w:rsidR="007A7D7A" w:rsidRPr="007A7D7A" w:rsidRDefault="007A7D7A" w:rsidP="00F11EC1">
            <w:pPr>
              <w:snapToGrid w:val="0"/>
              <w:rPr>
                <w:rFonts w:ascii="Calibri" w:hAnsi="Calibri" w:cs="Calibri"/>
                <w:sz w:val="18"/>
                <w:szCs w:val="18"/>
              </w:rPr>
            </w:pPr>
            <w:r w:rsidRPr="007A7D7A">
              <w:rPr>
                <w:rFonts w:ascii="Calibri" w:hAnsi="Calibri" w:cs="Calibri"/>
                <w:sz w:val="18"/>
                <w:szCs w:val="18"/>
              </w:rPr>
              <w:t>Badania geometrycznych właściwości kruszyw – Ocena zawartości drobnych cząstek – Badania błękitem metylenowym</w:t>
            </w:r>
          </w:p>
        </w:tc>
      </w:tr>
      <w:tr w:rsidR="007A7D7A" w:rsidRPr="007A7D7A" w14:paraId="2CEA61B5" w14:textId="77777777" w:rsidTr="00F11EC1">
        <w:tc>
          <w:tcPr>
            <w:tcW w:w="534" w:type="dxa"/>
          </w:tcPr>
          <w:p w14:paraId="11B6B4DC" w14:textId="77777777" w:rsidR="007A7D7A" w:rsidRPr="007A7D7A" w:rsidRDefault="007A7D7A" w:rsidP="00F11EC1">
            <w:pPr>
              <w:snapToGrid w:val="0"/>
              <w:rPr>
                <w:rFonts w:ascii="Calibri" w:hAnsi="Calibri" w:cs="Calibri"/>
                <w:sz w:val="18"/>
                <w:szCs w:val="18"/>
              </w:rPr>
            </w:pPr>
            <w:r w:rsidRPr="007A7D7A">
              <w:rPr>
                <w:rFonts w:ascii="Calibri" w:hAnsi="Calibri" w:cs="Calibri"/>
                <w:sz w:val="18"/>
                <w:szCs w:val="18"/>
              </w:rPr>
              <w:t>11.</w:t>
            </w:r>
          </w:p>
        </w:tc>
        <w:tc>
          <w:tcPr>
            <w:tcW w:w="1842" w:type="dxa"/>
          </w:tcPr>
          <w:p w14:paraId="2945049C" w14:textId="77777777" w:rsidR="007A7D7A" w:rsidRPr="007A7D7A" w:rsidRDefault="007A7D7A" w:rsidP="00F11EC1">
            <w:pPr>
              <w:snapToGrid w:val="0"/>
              <w:rPr>
                <w:rFonts w:ascii="Calibri" w:hAnsi="Calibri" w:cs="Calibri"/>
                <w:sz w:val="18"/>
                <w:szCs w:val="18"/>
              </w:rPr>
            </w:pPr>
            <w:r w:rsidRPr="007A7D7A">
              <w:rPr>
                <w:rFonts w:ascii="Calibri" w:hAnsi="Calibri" w:cs="Calibri"/>
                <w:sz w:val="18"/>
                <w:szCs w:val="18"/>
              </w:rPr>
              <w:t>PN-EN 933-10</w:t>
            </w:r>
          </w:p>
        </w:tc>
        <w:tc>
          <w:tcPr>
            <w:tcW w:w="7371" w:type="dxa"/>
          </w:tcPr>
          <w:p w14:paraId="57CEA059" w14:textId="77777777" w:rsidR="007A7D7A" w:rsidRPr="007A7D7A" w:rsidRDefault="007A7D7A" w:rsidP="00F11EC1">
            <w:pPr>
              <w:snapToGrid w:val="0"/>
              <w:rPr>
                <w:rFonts w:ascii="Calibri" w:hAnsi="Calibri" w:cs="Calibri"/>
                <w:sz w:val="18"/>
                <w:szCs w:val="18"/>
              </w:rPr>
            </w:pPr>
            <w:r w:rsidRPr="007A7D7A">
              <w:rPr>
                <w:rFonts w:ascii="Calibri" w:hAnsi="Calibri" w:cs="Calibri"/>
                <w:sz w:val="18"/>
                <w:szCs w:val="18"/>
              </w:rPr>
              <w:t>Badania geometrycznych właściwości kruszyw – Część 10: Ocena zawartości drobnych cząstek – Uziarnienie wypełniaczy (przesiewanie w strumieniu powietrza)</w:t>
            </w:r>
          </w:p>
        </w:tc>
      </w:tr>
      <w:tr w:rsidR="007A7D7A" w:rsidRPr="007A7D7A" w14:paraId="5C6652F7" w14:textId="77777777" w:rsidTr="00F11EC1">
        <w:tc>
          <w:tcPr>
            <w:tcW w:w="534" w:type="dxa"/>
          </w:tcPr>
          <w:p w14:paraId="36B31B65" w14:textId="77777777" w:rsidR="007A7D7A" w:rsidRPr="007A7D7A" w:rsidRDefault="007A7D7A" w:rsidP="00F11EC1">
            <w:pPr>
              <w:snapToGrid w:val="0"/>
              <w:rPr>
                <w:rFonts w:ascii="Calibri" w:hAnsi="Calibri" w:cs="Calibri"/>
                <w:sz w:val="18"/>
                <w:szCs w:val="18"/>
              </w:rPr>
            </w:pPr>
            <w:r w:rsidRPr="007A7D7A">
              <w:rPr>
                <w:rFonts w:ascii="Calibri" w:hAnsi="Calibri" w:cs="Calibri"/>
                <w:sz w:val="18"/>
                <w:szCs w:val="18"/>
              </w:rPr>
              <w:t>12.</w:t>
            </w:r>
          </w:p>
        </w:tc>
        <w:tc>
          <w:tcPr>
            <w:tcW w:w="1842" w:type="dxa"/>
          </w:tcPr>
          <w:p w14:paraId="102EC5D7" w14:textId="77777777" w:rsidR="007A7D7A" w:rsidRPr="007A7D7A" w:rsidRDefault="007A7D7A" w:rsidP="00F11EC1">
            <w:pPr>
              <w:snapToGrid w:val="0"/>
              <w:rPr>
                <w:rFonts w:ascii="Calibri" w:hAnsi="Calibri" w:cs="Calibri"/>
                <w:sz w:val="18"/>
                <w:szCs w:val="18"/>
              </w:rPr>
            </w:pPr>
            <w:r w:rsidRPr="007A7D7A">
              <w:rPr>
                <w:rFonts w:ascii="Calibri" w:hAnsi="Calibri" w:cs="Calibri"/>
                <w:sz w:val="18"/>
                <w:szCs w:val="18"/>
              </w:rPr>
              <w:t>PN-EN 1097-2</w:t>
            </w:r>
          </w:p>
        </w:tc>
        <w:tc>
          <w:tcPr>
            <w:tcW w:w="7371" w:type="dxa"/>
          </w:tcPr>
          <w:p w14:paraId="6D687BE8" w14:textId="77777777" w:rsidR="007A7D7A" w:rsidRPr="007A7D7A" w:rsidRDefault="007A7D7A" w:rsidP="00F11EC1">
            <w:pPr>
              <w:snapToGrid w:val="0"/>
              <w:rPr>
                <w:rFonts w:ascii="Calibri" w:hAnsi="Calibri" w:cs="Calibri"/>
                <w:sz w:val="18"/>
                <w:szCs w:val="18"/>
              </w:rPr>
            </w:pPr>
            <w:r w:rsidRPr="007A7D7A">
              <w:rPr>
                <w:rFonts w:ascii="Calibri" w:hAnsi="Calibri" w:cs="Calibri"/>
                <w:sz w:val="18"/>
                <w:szCs w:val="18"/>
              </w:rPr>
              <w:t>Badania mechanicznych i fizycznych właściwości kruszyw – Metody oznaczania odporności na rozdrabnianie</w:t>
            </w:r>
          </w:p>
        </w:tc>
      </w:tr>
      <w:tr w:rsidR="007A7D7A" w:rsidRPr="007A7D7A" w14:paraId="5C8EACFD" w14:textId="77777777" w:rsidTr="00F11EC1">
        <w:tc>
          <w:tcPr>
            <w:tcW w:w="534" w:type="dxa"/>
          </w:tcPr>
          <w:p w14:paraId="5C89A5EB" w14:textId="77777777" w:rsidR="007A7D7A" w:rsidRPr="007A7D7A" w:rsidRDefault="007A7D7A" w:rsidP="00F11EC1">
            <w:pPr>
              <w:snapToGrid w:val="0"/>
              <w:rPr>
                <w:rFonts w:ascii="Calibri" w:hAnsi="Calibri" w:cs="Calibri"/>
                <w:sz w:val="18"/>
                <w:szCs w:val="18"/>
              </w:rPr>
            </w:pPr>
            <w:r w:rsidRPr="007A7D7A">
              <w:rPr>
                <w:rFonts w:ascii="Calibri" w:hAnsi="Calibri" w:cs="Calibri"/>
                <w:sz w:val="18"/>
                <w:szCs w:val="18"/>
              </w:rPr>
              <w:t>13.</w:t>
            </w:r>
          </w:p>
        </w:tc>
        <w:tc>
          <w:tcPr>
            <w:tcW w:w="1842" w:type="dxa"/>
          </w:tcPr>
          <w:p w14:paraId="27AF208F" w14:textId="77777777" w:rsidR="007A7D7A" w:rsidRPr="007A7D7A" w:rsidRDefault="007A7D7A" w:rsidP="00F11EC1">
            <w:pPr>
              <w:snapToGrid w:val="0"/>
              <w:rPr>
                <w:rFonts w:ascii="Calibri" w:hAnsi="Calibri" w:cs="Calibri"/>
                <w:sz w:val="18"/>
                <w:szCs w:val="18"/>
              </w:rPr>
            </w:pPr>
            <w:r w:rsidRPr="007A7D7A">
              <w:rPr>
                <w:rFonts w:ascii="Calibri" w:hAnsi="Calibri" w:cs="Calibri"/>
                <w:sz w:val="18"/>
                <w:szCs w:val="18"/>
              </w:rPr>
              <w:t>PN-EN 1097-3</w:t>
            </w:r>
          </w:p>
        </w:tc>
        <w:tc>
          <w:tcPr>
            <w:tcW w:w="7371" w:type="dxa"/>
          </w:tcPr>
          <w:p w14:paraId="0480CEEA" w14:textId="77777777" w:rsidR="007A7D7A" w:rsidRPr="007A7D7A" w:rsidRDefault="007A7D7A" w:rsidP="00F11EC1">
            <w:pPr>
              <w:snapToGrid w:val="0"/>
              <w:rPr>
                <w:rFonts w:ascii="Calibri" w:hAnsi="Calibri" w:cs="Calibri"/>
                <w:sz w:val="18"/>
                <w:szCs w:val="18"/>
              </w:rPr>
            </w:pPr>
            <w:r w:rsidRPr="007A7D7A">
              <w:rPr>
                <w:rFonts w:ascii="Calibri" w:hAnsi="Calibri" w:cs="Calibri"/>
                <w:sz w:val="18"/>
                <w:szCs w:val="18"/>
              </w:rPr>
              <w:t>Badania mechanicznych i fizycznych właściwości kruszyw – Oznaczanie gęstości nasypowej i jamistości</w:t>
            </w:r>
          </w:p>
        </w:tc>
      </w:tr>
      <w:tr w:rsidR="007A7D7A" w:rsidRPr="007A7D7A" w14:paraId="23981E14" w14:textId="77777777" w:rsidTr="00F11EC1">
        <w:tc>
          <w:tcPr>
            <w:tcW w:w="534" w:type="dxa"/>
          </w:tcPr>
          <w:p w14:paraId="688F58C6" w14:textId="77777777" w:rsidR="007A7D7A" w:rsidRPr="007A7D7A" w:rsidRDefault="007A7D7A" w:rsidP="00F11EC1">
            <w:pPr>
              <w:snapToGrid w:val="0"/>
              <w:rPr>
                <w:rFonts w:ascii="Calibri" w:hAnsi="Calibri" w:cs="Calibri"/>
                <w:sz w:val="18"/>
                <w:szCs w:val="18"/>
              </w:rPr>
            </w:pPr>
            <w:r w:rsidRPr="007A7D7A">
              <w:rPr>
                <w:rFonts w:ascii="Calibri" w:hAnsi="Calibri" w:cs="Calibri"/>
                <w:sz w:val="18"/>
                <w:szCs w:val="18"/>
              </w:rPr>
              <w:t>14.</w:t>
            </w:r>
          </w:p>
        </w:tc>
        <w:tc>
          <w:tcPr>
            <w:tcW w:w="1842" w:type="dxa"/>
          </w:tcPr>
          <w:p w14:paraId="5E4D8F3A" w14:textId="77777777" w:rsidR="007A7D7A" w:rsidRPr="007A7D7A" w:rsidRDefault="007A7D7A" w:rsidP="00F11EC1">
            <w:pPr>
              <w:snapToGrid w:val="0"/>
              <w:rPr>
                <w:rFonts w:ascii="Calibri" w:hAnsi="Calibri" w:cs="Calibri"/>
                <w:sz w:val="18"/>
                <w:szCs w:val="18"/>
              </w:rPr>
            </w:pPr>
            <w:r w:rsidRPr="007A7D7A">
              <w:rPr>
                <w:rFonts w:ascii="Calibri" w:hAnsi="Calibri" w:cs="Calibri"/>
                <w:sz w:val="18"/>
                <w:szCs w:val="18"/>
              </w:rPr>
              <w:t>PN-EN 1097-4</w:t>
            </w:r>
          </w:p>
        </w:tc>
        <w:tc>
          <w:tcPr>
            <w:tcW w:w="7371" w:type="dxa"/>
          </w:tcPr>
          <w:p w14:paraId="607C821B" w14:textId="77777777" w:rsidR="007A7D7A" w:rsidRPr="007A7D7A" w:rsidRDefault="007A7D7A" w:rsidP="00F11EC1">
            <w:pPr>
              <w:snapToGrid w:val="0"/>
              <w:rPr>
                <w:rFonts w:ascii="Calibri" w:hAnsi="Calibri" w:cs="Calibri"/>
                <w:sz w:val="18"/>
                <w:szCs w:val="18"/>
              </w:rPr>
            </w:pPr>
            <w:r w:rsidRPr="007A7D7A">
              <w:rPr>
                <w:rFonts w:ascii="Calibri" w:hAnsi="Calibri" w:cs="Calibri"/>
                <w:sz w:val="18"/>
                <w:szCs w:val="18"/>
              </w:rPr>
              <w:t>Badania mechanicznych i fizycznych właściwości kruszyw – Część 4: Oznaczanie pustych przestrzeni suchego, zagęszczonego wypełniacza</w:t>
            </w:r>
          </w:p>
        </w:tc>
      </w:tr>
      <w:tr w:rsidR="007A7D7A" w:rsidRPr="007A7D7A" w14:paraId="30D04479" w14:textId="77777777" w:rsidTr="00F11EC1">
        <w:tc>
          <w:tcPr>
            <w:tcW w:w="534" w:type="dxa"/>
          </w:tcPr>
          <w:p w14:paraId="1DC697B2" w14:textId="77777777" w:rsidR="007A7D7A" w:rsidRPr="007A7D7A" w:rsidRDefault="007A7D7A" w:rsidP="00F11EC1">
            <w:pPr>
              <w:snapToGrid w:val="0"/>
              <w:rPr>
                <w:rFonts w:ascii="Calibri" w:hAnsi="Calibri" w:cs="Calibri"/>
                <w:sz w:val="18"/>
                <w:szCs w:val="18"/>
              </w:rPr>
            </w:pPr>
            <w:r w:rsidRPr="007A7D7A">
              <w:rPr>
                <w:rFonts w:ascii="Calibri" w:hAnsi="Calibri" w:cs="Calibri"/>
                <w:sz w:val="18"/>
                <w:szCs w:val="18"/>
              </w:rPr>
              <w:t>15.</w:t>
            </w:r>
          </w:p>
        </w:tc>
        <w:tc>
          <w:tcPr>
            <w:tcW w:w="1842" w:type="dxa"/>
          </w:tcPr>
          <w:p w14:paraId="66B64481" w14:textId="77777777" w:rsidR="007A7D7A" w:rsidRPr="007A7D7A" w:rsidRDefault="007A7D7A" w:rsidP="00F11EC1">
            <w:pPr>
              <w:snapToGrid w:val="0"/>
              <w:rPr>
                <w:rFonts w:ascii="Calibri" w:hAnsi="Calibri" w:cs="Calibri"/>
                <w:sz w:val="18"/>
                <w:szCs w:val="18"/>
              </w:rPr>
            </w:pPr>
            <w:r w:rsidRPr="007A7D7A">
              <w:rPr>
                <w:rFonts w:ascii="Calibri" w:hAnsi="Calibri" w:cs="Calibri"/>
                <w:sz w:val="18"/>
                <w:szCs w:val="18"/>
              </w:rPr>
              <w:t>PN-EN 1097-5</w:t>
            </w:r>
          </w:p>
        </w:tc>
        <w:tc>
          <w:tcPr>
            <w:tcW w:w="7371" w:type="dxa"/>
          </w:tcPr>
          <w:p w14:paraId="796EF595" w14:textId="77777777" w:rsidR="007A7D7A" w:rsidRPr="007A7D7A" w:rsidRDefault="007A7D7A" w:rsidP="00F11EC1">
            <w:pPr>
              <w:snapToGrid w:val="0"/>
              <w:rPr>
                <w:rFonts w:ascii="Calibri" w:hAnsi="Calibri" w:cs="Calibri"/>
                <w:sz w:val="18"/>
                <w:szCs w:val="18"/>
              </w:rPr>
            </w:pPr>
            <w:r w:rsidRPr="007A7D7A">
              <w:rPr>
                <w:rFonts w:ascii="Calibri" w:hAnsi="Calibri" w:cs="Calibri"/>
                <w:sz w:val="18"/>
                <w:szCs w:val="18"/>
              </w:rPr>
              <w:t>Badania mechanicznych i fizycznych właściwości kruszyw – Część 5: Oznaczanie zawartości wody przez suszenie w suszarce z wentylacją</w:t>
            </w:r>
          </w:p>
        </w:tc>
      </w:tr>
      <w:tr w:rsidR="007A7D7A" w:rsidRPr="007A7D7A" w14:paraId="4D1A8279" w14:textId="77777777" w:rsidTr="00F11EC1">
        <w:tc>
          <w:tcPr>
            <w:tcW w:w="534" w:type="dxa"/>
          </w:tcPr>
          <w:p w14:paraId="40DFACCD" w14:textId="77777777" w:rsidR="007A7D7A" w:rsidRPr="007A7D7A" w:rsidRDefault="007A7D7A" w:rsidP="00F11EC1">
            <w:pPr>
              <w:snapToGrid w:val="0"/>
              <w:rPr>
                <w:rFonts w:ascii="Calibri" w:hAnsi="Calibri" w:cs="Calibri"/>
                <w:sz w:val="18"/>
                <w:szCs w:val="18"/>
              </w:rPr>
            </w:pPr>
            <w:r w:rsidRPr="007A7D7A">
              <w:rPr>
                <w:rFonts w:ascii="Calibri" w:hAnsi="Calibri" w:cs="Calibri"/>
                <w:sz w:val="18"/>
                <w:szCs w:val="18"/>
              </w:rPr>
              <w:t>16.</w:t>
            </w:r>
          </w:p>
        </w:tc>
        <w:tc>
          <w:tcPr>
            <w:tcW w:w="1842" w:type="dxa"/>
          </w:tcPr>
          <w:p w14:paraId="5FF4FBF4" w14:textId="77777777" w:rsidR="007A7D7A" w:rsidRPr="007A7D7A" w:rsidRDefault="007A7D7A" w:rsidP="00F11EC1">
            <w:pPr>
              <w:snapToGrid w:val="0"/>
              <w:rPr>
                <w:rFonts w:ascii="Calibri" w:hAnsi="Calibri" w:cs="Calibri"/>
                <w:sz w:val="18"/>
                <w:szCs w:val="18"/>
              </w:rPr>
            </w:pPr>
            <w:r w:rsidRPr="007A7D7A">
              <w:rPr>
                <w:rFonts w:ascii="Calibri" w:hAnsi="Calibri" w:cs="Calibri"/>
                <w:sz w:val="18"/>
                <w:szCs w:val="18"/>
              </w:rPr>
              <w:t>PN-EN 1097-6</w:t>
            </w:r>
          </w:p>
        </w:tc>
        <w:tc>
          <w:tcPr>
            <w:tcW w:w="7371" w:type="dxa"/>
          </w:tcPr>
          <w:p w14:paraId="5472A46B" w14:textId="77777777" w:rsidR="007A7D7A" w:rsidRPr="007A7D7A" w:rsidRDefault="007A7D7A" w:rsidP="00F11EC1">
            <w:pPr>
              <w:snapToGrid w:val="0"/>
              <w:rPr>
                <w:rFonts w:ascii="Calibri" w:hAnsi="Calibri" w:cs="Calibri"/>
                <w:sz w:val="18"/>
                <w:szCs w:val="18"/>
              </w:rPr>
            </w:pPr>
            <w:r w:rsidRPr="007A7D7A">
              <w:rPr>
                <w:rFonts w:ascii="Calibri" w:hAnsi="Calibri" w:cs="Calibri"/>
                <w:sz w:val="18"/>
                <w:szCs w:val="18"/>
              </w:rPr>
              <w:t>Badania mechanicznych i fizycznych właściwości kruszyw –Część 6: Oznaczanie gęstości ziaren i nasiąkliwości</w:t>
            </w:r>
          </w:p>
        </w:tc>
      </w:tr>
      <w:tr w:rsidR="007A7D7A" w:rsidRPr="007A7D7A" w14:paraId="0B168838" w14:textId="77777777" w:rsidTr="00F11EC1">
        <w:tc>
          <w:tcPr>
            <w:tcW w:w="534" w:type="dxa"/>
          </w:tcPr>
          <w:p w14:paraId="0D0C417D" w14:textId="77777777" w:rsidR="007A7D7A" w:rsidRPr="007A7D7A" w:rsidRDefault="007A7D7A" w:rsidP="00F11EC1">
            <w:pPr>
              <w:snapToGrid w:val="0"/>
              <w:rPr>
                <w:rFonts w:ascii="Calibri" w:hAnsi="Calibri" w:cs="Calibri"/>
                <w:sz w:val="18"/>
                <w:szCs w:val="18"/>
              </w:rPr>
            </w:pPr>
            <w:r w:rsidRPr="007A7D7A">
              <w:rPr>
                <w:rFonts w:ascii="Calibri" w:hAnsi="Calibri" w:cs="Calibri"/>
                <w:sz w:val="18"/>
                <w:szCs w:val="18"/>
              </w:rPr>
              <w:t>17.</w:t>
            </w:r>
          </w:p>
        </w:tc>
        <w:tc>
          <w:tcPr>
            <w:tcW w:w="1842" w:type="dxa"/>
          </w:tcPr>
          <w:p w14:paraId="2A39109C" w14:textId="77777777" w:rsidR="007A7D7A" w:rsidRPr="007A7D7A" w:rsidRDefault="007A7D7A" w:rsidP="00F11EC1">
            <w:pPr>
              <w:snapToGrid w:val="0"/>
              <w:rPr>
                <w:rFonts w:ascii="Calibri" w:hAnsi="Calibri" w:cs="Calibri"/>
                <w:sz w:val="18"/>
                <w:szCs w:val="18"/>
              </w:rPr>
            </w:pPr>
            <w:r w:rsidRPr="007A7D7A">
              <w:rPr>
                <w:rFonts w:ascii="Calibri" w:hAnsi="Calibri" w:cs="Calibri"/>
                <w:sz w:val="18"/>
                <w:szCs w:val="18"/>
              </w:rPr>
              <w:t>PN-EN 1097-7</w:t>
            </w:r>
          </w:p>
        </w:tc>
        <w:tc>
          <w:tcPr>
            <w:tcW w:w="7371" w:type="dxa"/>
          </w:tcPr>
          <w:p w14:paraId="6A3EECFD" w14:textId="77777777" w:rsidR="007A7D7A" w:rsidRPr="007A7D7A" w:rsidRDefault="007A7D7A" w:rsidP="00F11EC1">
            <w:pPr>
              <w:snapToGrid w:val="0"/>
              <w:rPr>
                <w:rFonts w:ascii="Calibri" w:hAnsi="Calibri" w:cs="Calibri"/>
                <w:sz w:val="18"/>
                <w:szCs w:val="18"/>
              </w:rPr>
            </w:pPr>
            <w:r w:rsidRPr="007A7D7A">
              <w:rPr>
                <w:rFonts w:ascii="Calibri" w:hAnsi="Calibri" w:cs="Calibri"/>
                <w:sz w:val="18"/>
                <w:szCs w:val="18"/>
              </w:rPr>
              <w:t>Badania mechanicznych i fizycznych właściwości kruszyw – Część 7: Oznaczanie gęstości wypełniacza – Metoda piknometryczna</w:t>
            </w:r>
          </w:p>
        </w:tc>
      </w:tr>
      <w:tr w:rsidR="007A7D7A" w:rsidRPr="007A7D7A" w14:paraId="001DAAE4" w14:textId="77777777" w:rsidTr="00F11EC1">
        <w:tc>
          <w:tcPr>
            <w:tcW w:w="534" w:type="dxa"/>
          </w:tcPr>
          <w:p w14:paraId="7A748BCE" w14:textId="77777777" w:rsidR="007A7D7A" w:rsidRPr="007A7D7A" w:rsidRDefault="007A7D7A" w:rsidP="00F11EC1">
            <w:pPr>
              <w:snapToGrid w:val="0"/>
              <w:rPr>
                <w:rFonts w:ascii="Calibri" w:hAnsi="Calibri" w:cs="Calibri"/>
                <w:sz w:val="18"/>
                <w:szCs w:val="18"/>
              </w:rPr>
            </w:pPr>
            <w:r w:rsidRPr="007A7D7A">
              <w:rPr>
                <w:rFonts w:ascii="Calibri" w:hAnsi="Calibri" w:cs="Calibri"/>
                <w:sz w:val="18"/>
                <w:szCs w:val="18"/>
              </w:rPr>
              <w:t>18.</w:t>
            </w:r>
          </w:p>
        </w:tc>
        <w:tc>
          <w:tcPr>
            <w:tcW w:w="1842" w:type="dxa"/>
          </w:tcPr>
          <w:p w14:paraId="64245844" w14:textId="77777777" w:rsidR="007A7D7A" w:rsidRPr="007A7D7A" w:rsidRDefault="007A7D7A" w:rsidP="00F11EC1">
            <w:pPr>
              <w:snapToGrid w:val="0"/>
              <w:rPr>
                <w:rFonts w:ascii="Calibri" w:hAnsi="Calibri" w:cs="Calibri"/>
                <w:sz w:val="18"/>
                <w:szCs w:val="18"/>
              </w:rPr>
            </w:pPr>
            <w:r w:rsidRPr="007A7D7A">
              <w:rPr>
                <w:rFonts w:ascii="Calibri" w:hAnsi="Calibri" w:cs="Calibri"/>
                <w:sz w:val="18"/>
                <w:szCs w:val="18"/>
              </w:rPr>
              <w:t>PN-EN 1097-8</w:t>
            </w:r>
          </w:p>
        </w:tc>
        <w:tc>
          <w:tcPr>
            <w:tcW w:w="7371" w:type="dxa"/>
          </w:tcPr>
          <w:p w14:paraId="615B2169" w14:textId="77777777" w:rsidR="007A7D7A" w:rsidRPr="007A7D7A" w:rsidRDefault="007A7D7A" w:rsidP="00F11EC1">
            <w:pPr>
              <w:snapToGrid w:val="0"/>
              <w:rPr>
                <w:rFonts w:ascii="Calibri" w:hAnsi="Calibri" w:cs="Calibri"/>
                <w:sz w:val="18"/>
                <w:szCs w:val="18"/>
              </w:rPr>
            </w:pPr>
            <w:r w:rsidRPr="007A7D7A">
              <w:rPr>
                <w:rFonts w:ascii="Calibri" w:hAnsi="Calibri" w:cs="Calibri"/>
                <w:sz w:val="18"/>
                <w:szCs w:val="18"/>
              </w:rPr>
              <w:t>Badania mechanicznych i fizycznych właściwości kruszyw – Część 8: Oznaczanie polerowalności kamienia</w:t>
            </w:r>
          </w:p>
        </w:tc>
      </w:tr>
      <w:tr w:rsidR="007A7D7A" w:rsidRPr="007A7D7A" w14:paraId="60B09C4C" w14:textId="77777777" w:rsidTr="00F11EC1">
        <w:tc>
          <w:tcPr>
            <w:tcW w:w="534" w:type="dxa"/>
          </w:tcPr>
          <w:p w14:paraId="0D3195F8" w14:textId="77777777" w:rsidR="007A7D7A" w:rsidRPr="007A7D7A" w:rsidRDefault="007A7D7A" w:rsidP="00F11EC1">
            <w:pPr>
              <w:snapToGrid w:val="0"/>
              <w:rPr>
                <w:rFonts w:ascii="Calibri" w:hAnsi="Calibri" w:cs="Calibri"/>
                <w:sz w:val="18"/>
                <w:szCs w:val="18"/>
              </w:rPr>
            </w:pPr>
            <w:r w:rsidRPr="007A7D7A">
              <w:rPr>
                <w:rFonts w:ascii="Calibri" w:hAnsi="Calibri" w:cs="Calibri"/>
                <w:sz w:val="18"/>
                <w:szCs w:val="18"/>
              </w:rPr>
              <w:t>19.</w:t>
            </w:r>
          </w:p>
        </w:tc>
        <w:tc>
          <w:tcPr>
            <w:tcW w:w="1842" w:type="dxa"/>
          </w:tcPr>
          <w:p w14:paraId="4252F3DB" w14:textId="77777777" w:rsidR="007A7D7A" w:rsidRPr="007A7D7A" w:rsidRDefault="007A7D7A" w:rsidP="00F11EC1">
            <w:pPr>
              <w:snapToGrid w:val="0"/>
              <w:rPr>
                <w:rFonts w:ascii="Calibri" w:hAnsi="Calibri" w:cs="Calibri"/>
                <w:sz w:val="18"/>
                <w:szCs w:val="18"/>
              </w:rPr>
            </w:pPr>
            <w:r w:rsidRPr="007A7D7A">
              <w:rPr>
                <w:rFonts w:ascii="Calibri" w:hAnsi="Calibri" w:cs="Calibri"/>
                <w:sz w:val="18"/>
                <w:szCs w:val="18"/>
              </w:rPr>
              <w:t>PN-EN 1367-1</w:t>
            </w:r>
          </w:p>
        </w:tc>
        <w:tc>
          <w:tcPr>
            <w:tcW w:w="7371" w:type="dxa"/>
          </w:tcPr>
          <w:p w14:paraId="0361F996" w14:textId="77777777" w:rsidR="007A7D7A" w:rsidRPr="007A7D7A" w:rsidRDefault="007A7D7A" w:rsidP="00F11EC1">
            <w:pPr>
              <w:snapToGrid w:val="0"/>
              <w:rPr>
                <w:rFonts w:ascii="Calibri" w:hAnsi="Calibri" w:cs="Calibri"/>
                <w:sz w:val="18"/>
                <w:szCs w:val="18"/>
              </w:rPr>
            </w:pPr>
            <w:r w:rsidRPr="007A7D7A">
              <w:rPr>
                <w:rFonts w:ascii="Calibri" w:hAnsi="Calibri" w:cs="Calibri"/>
                <w:sz w:val="18"/>
                <w:szCs w:val="18"/>
              </w:rPr>
              <w:t>Badania właściwości cieplnych i odporności kruszyw na działanie czynników atmosferycznych – Część 1: Oznaczanie mrozoodporności</w:t>
            </w:r>
          </w:p>
        </w:tc>
      </w:tr>
      <w:tr w:rsidR="007A7D7A" w:rsidRPr="007A7D7A" w14:paraId="6F304353" w14:textId="77777777" w:rsidTr="00F11EC1">
        <w:tc>
          <w:tcPr>
            <w:tcW w:w="534" w:type="dxa"/>
          </w:tcPr>
          <w:p w14:paraId="72690146" w14:textId="77777777" w:rsidR="007A7D7A" w:rsidRPr="007A7D7A" w:rsidRDefault="007A7D7A" w:rsidP="00F11EC1">
            <w:pPr>
              <w:snapToGrid w:val="0"/>
              <w:rPr>
                <w:rFonts w:ascii="Calibri" w:hAnsi="Calibri" w:cs="Calibri"/>
                <w:sz w:val="18"/>
                <w:szCs w:val="18"/>
              </w:rPr>
            </w:pPr>
            <w:r w:rsidRPr="007A7D7A">
              <w:rPr>
                <w:rFonts w:ascii="Calibri" w:hAnsi="Calibri" w:cs="Calibri"/>
                <w:sz w:val="18"/>
                <w:szCs w:val="18"/>
              </w:rPr>
              <w:t>20.</w:t>
            </w:r>
          </w:p>
        </w:tc>
        <w:tc>
          <w:tcPr>
            <w:tcW w:w="1842" w:type="dxa"/>
          </w:tcPr>
          <w:p w14:paraId="4162C953" w14:textId="77777777" w:rsidR="007A7D7A" w:rsidRPr="007A7D7A" w:rsidRDefault="007A7D7A" w:rsidP="00F11EC1">
            <w:pPr>
              <w:snapToGrid w:val="0"/>
              <w:rPr>
                <w:rFonts w:ascii="Calibri" w:hAnsi="Calibri" w:cs="Calibri"/>
                <w:sz w:val="18"/>
                <w:szCs w:val="18"/>
              </w:rPr>
            </w:pPr>
            <w:r w:rsidRPr="007A7D7A">
              <w:rPr>
                <w:rFonts w:ascii="Calibri" w:hAnsi="Calibri" w:cs="Calibri"/>
                <w:sz w:val="18"/>
                <w:szCs w:val="18"/>
              </w:rPr>
              <w:t>PN-EN 1367-3</w:t>
            </w:r>
          </w:p>
        </w:tc>
        <w:tc>
          <w:tcPr>
            <w:tcW w:w="7371" w:type="dxa"/>
          </w:tcPr>
          <w:p w14:paraId="05D24867" w14:textId="77777777" w:rsidR="007A7D7A" w:rsidRPr="007A7D7A" w:rsidRDefault="007A7D7A" w:rsidP="00F11EC1">
            <w:pPr>
              <w:snapToGrid w:val="0"/>
              <w:rPr>
                <w:rFonts w:ascii="Calibri" w:hAnsi="Calibri" w:cs="Calibri"/>
                <w:sz w:val="18"/>
                <w:szCs w:val="18"/>
              </w:rPr>
            </w:pPr>
            <w:r w:rsidRPr="007A7D7A">
              <w:rPr>
                <w:rFonts w:ascii="Calibri" w:hAnsi="Calibri" w:cs="Calibri"/>
                <w:sz w:val="18"/>
                <w:szCs w:val="18"/>
              </w:rPr>
              <w:t>Badania właściwości cieplnych i odporności kruszyw na działanie czynników atmosferycznych – Część 3: Badanie bazaltowej zgorzeli słonecznej metodą gotowania</w:t>
            </w:r>
          </w:p>
        </w:tc>
      </w:tr>
      <w:tr w:rsidR="007A7D7A" w:rsidRPr="007A7D7A" w14:paraId="6CD50846" w14:textId="77777777" w:rsidTr="00F11EC1">
        <w:tc>
          <w:tcPr>
            <w:tcW w:w="534" w:type="dxa"/>
          </w:tcPr>
          <w:p w14:paraId="2993B1ED" w14:textId="77777777" w:rsidR="007A7D7A" w:rsidRPr="007A7D7A" w:rsidRDefault="007A7D7A" w:rsidP="00F11EC1">
            <w:pPr>
              <w:snapToGrid w:val="0"/>
              <w:rPr>
                <w:rFonts w:ascii="Calibri" w:hAnsi="Calibri" w:cs="Calibri"/>
                <w:sz w:val="18"/>
                <w:szCs w:val="18"/>
              </w:rPr>
            </w:pPr>
            <w:r w:rsidRPr="007A7D7A">
              <w:rPr>
                <w:rFonts w:ascii="Calibri" w:hAnsi="Calibri" w:cs="Calibri"/>
                <w:sz w:val="18"/>
                <w:szCs w:val="18"/>
              </w:rPr>
              <w:t>21.</w:t>
            </w:r>
          </w:p>
        </w:tc>
        <w:tc>
          <w:tcPr>
            <w:tcW w:w="1842" w:type="dxa"/>
          </w:tcPr>
          <w:p w14:paraId="221DA4CB" w14:textId="77777777" w:rsidR="007A7D7A" w:rsidRPr="007A7D7A" w:rsidRDefault="007A7D7A" w:rsidP="00F11EC1">
            <w:pPr>
              <w:snapToGrid w:val="0"/>
              <w:rPr>
                <w:rFonts w:ascii="Calibri" w:hAnsi="Calibri" w:cs="Calibri"/>
                <w:sz w:val="18"/>
                <w:szCs w:val="18"/>
              </w:rPr>
            </w:pPr>
            <w:r w:rsidRPr="007A7D7A">
              <w:rPr>
                <w:rFonts w:ascii="Calibri" w:hAnsi="Calibri" w:cs="Calibri"/>
                <w:sz w:val="18"/>
                <w:szCs w:val="18"/>
              </w:rPr>
              <w:t>PN-EN 1426</w:t>
            </w:r>
          </w:p>
        </w:tc>
        <w:tc>
          <w:tcPr>
            <w:tcW w:w="7371" w:type="dxa"/>
          </w:tcPr>
          <w:p w14:paraId="6647D576" w14:textId="77777777" w:rsidR="007A7D7A" w:rsidRPr="007A7D7A" w:rsidRDefault="007A7D7A" w:rsidP="00F11EC1">
            <w:pPr>
              <w:snapToGrid w:val="0"/>
              <w:rPr>
                <w:rFonts w:ascii="Calibri" w:hAnsi="Calibri" w:cs="Calibri"/>
                <w:sz w:val="18"/>
                <w:szCs w:val="18"/>
              </w:rPr>
            </w:pPr>
            <w:r w:rsidRPr="007A7D7A">
              <w:rPr>
                <w:rFonts w:ascii="Calibri" w:hAnsi="Calibri" w:cs="Calibri"/>
                <w:sz w:val="18"/>
                <w:szCs w:val="18"/>
              </w:rPr>
              <w:t>Asfalty i produkty asfaltowe – Oznaczanie penetracji igłą</w:t>
            </w:r>
          </w:p>
        </w:tc>
      </w:tr>
      <w:tr w:rsidR="007A7D7A" w:rsidRPr="007A7D7A" w14:paraId="1A3300CD" w14:textId="77777777" w:rsidTr="00F11EC1">
        <w:tc>
          <w:tcPr>
            <w:tcW w:w="534" w:type="dxa"/>
          </w:tcPr>
          <w:p w14:paraId="43AB61A9" w14:textId="77777777" w:rsidR="007A7D7A" w:rsidRPr="007A7D7A" w:rsidRDefault="007A7D7A" w:rsidP="00F11EC1">
            <w:pPr>
              <w:snapToGrid w:val="0"/>
              <w:rPr>
                <w:rFonts w:ascii="Calibri" w:hAnsi="Calibri" w:cs="Calibri"/>
                <w:sz w:val="18"/>
                <w:szCs w:val="18"/>
              </w:rPr>
            </w:pPr>
            <w:r w:rsidRPr="007A7D7A">
              <w:rPr>
                <w:rFonts w:ascii="Calibri" w:hAnsi="Calibri" w:cs="Calibri"/>
                <w:sz w:val="18"/>
                <w:szCs w:val="18"/>
              </w:rPr>
              <w:t xml:space="preserve">22. </w:t>
            </w:r>
          </w:p>
        </w:tc>
        <w:tc>
          <w:tcPr>
            <w:tcW w:w="1842" w:type="dxa"/>
          </w:tcPr>
          <w:p w14:paraId="20CE7088" w14:textId="77777777" w:rsidR="007A7D7A" w:rsidRPr="007A7D7A" w:rsidRDefault="007A7D7A" w:rsidP="00F11EC1">
            <w:pPr>
              <w:snapToGrid w:val="0"/>
              <w:rPr>
                <w:rFonts w:ascii="Calibri" w:hAnsi="Calibri" w:cs="Calibri"/>
                <w:sz w:val="18"/>
                <w:szCs w:val="18"/>
              </w:rPr>
            </w:pPr>
            <w:r w:rsidRPr="007A7D7A">
              <w:rPr>
                <w:rFonts w:ascii="Calibri" w:hAnsi="Calibri" w:cs="Calibri"/>
                <w:sz w:val="18"/>
                <w:szCs w:val="18"/>
              </w:rPr>
              <w:t>PN-EN 1427</w:t>
            </w:r>
          </w:p>
        </w:tc>
        <w:tc>
          <w:tcPr>
            <w:tcW w:w="7371" w:type="dxa"/>
          </w:tcPr>
          <w:p w14:paraId="2ABFC69B" w14:textId="77777777" w:rsidR="007A7D7A" w:rsidRPr="007A7D7A" w:rsidRDefault="007A7D7A" w:rsidP="00F11EC1">
            <w:pPr>
              <w:snapToGrid w:val="0"/>
              <w:rPr>
                <w:rFonts w:ascii="Calibri" w:hAnsi="Calibri" w:cs="Calibri"/>
                <w:sz w:val="18"/>
                <w:szCs w:val="18"/>
              </w:rPr>
            </w:pPr>
            <w:r w:rsidRPr="007A7D7A">
              <w:rPr>
                <w:rFonts w:ascii="Calibri" w:hAnsi="Calibri" w:cs="Calibri"/>
                <w:sz w:val="18"/>
                <w:szCs w:val="18"/>
              </w:rPr>
              <w:t>Asfalty i produkty asfaltowe – Oznaczanie temperatury mięknienia – Metoda Pierścień i Kula</w:t>
            </w:r>
          </w:p>
        </w:tc>
      </w:tr>
      <w:tr w:rsidR="007A7D7A" w:rsidRPr="007A7D7A" w14:paraId="7A473513" w14:textId="77777777" w:rsidTr="00F11EC1">
        <w:tc>
          <w:tcPr>
            <w:tcW w:w="534" w:type="dxa"/>
          </w:tcPr>
          <w:p w14:paraId="31B27FCE" w14:textId="77777777" w:rsidR="007A7D7A" w:rsidRPr="007A7D7A" w:rsidRDefault="007A7D7A" w:rsidP="00F11EC1">
            <w:pPr>
              <w:snapToGrid w:val="0"/>
              <w:rPr>
                <w:rFonts w:ascii="Calibri" w:hAnsi="Calibri" w:cs="Calibri"/>
                <w:sz w:val="18"/>
                <w:szCs w:val="18"/>
              </w:rPr>
            </w:pPr>
            <w:r w:rsidRPr="007A7D7A">
              <w:rPr>
                <w:rFonts w:ascii="Calibri" w:hAnsi="Calibri" w:cs="Calibri"/>
                <w:sz w:val="18"/>
                <w:szCs w:val="18"/>
              </w:rPr>
              <w:t xml:space="preserve">23. </w:t>
            </w:r>
          </w:p>
        </w:tc>
        <w:tc>
          <w:tcPr>
            <w:tcW w:w="1842" w:type="dxa"/>
          </w:tcPr>
          <w:p w14:paraId="27DDD8AE" w14:textId="77777777" w:rsidR="007A7D7A" w:rsidRPr="007A7D7A" w:rsidRDefault="007A7D7A" w:rsidP="00F11EC1">
            <w:pPr>
              <w:snapToGrid w:val="0"/>
              <w:rPr>
                <w:rFonts w:ascii="Calibri" w:hAnsi="Calibri" w:cs="Calibri"/>
                <w:sz w:val="18"/>
                <w:szCs w:val="18"/>
              </w:rPr>
            </w:pPr>
            <w:r w:rsidRPr="007A7D7A">
              <w:rPr>
                <w:rFonts w:ascii="Calibri" w:hAnsi="Calibri" w:cs="Calibri"/>
                <w:sz w:val="18"/>
                <w:szCs w:val="18"/>
              </w:rPr>
              <w:t>PN-EN 1428</w:t>
            </w:r>
          </w:p>
        </w:tc>
        <w:tc>
          <w:tcPr>
            <w:tcW w:w="7371" w:type="dxa"/>
          </w:tcPr>
          <w:p w14:paraId="04CE52B2" w14:textId="77777777" w:rsidR="007A7D7A" w:rsidRPr="007A7D7A" w:rsidRDefault="007A7D7A" w:rsidP="00F11EC1">
            <w:pPr>
              <w:snapToGrid w:val="0"/>
              <w:rPr>
                <w:rFonts w:ascii="Calibri" w:hAnsi="Calibri" w:cs="Calibri"/>
                <w:sz w:val="18"/>
                <w:szCs w:val="18"/>
              </w:rPr>
            </w:pPr>
            <w:r w:rsidRPr="007A7D7A">
              <w:rPr>
                <w:rFonts w:ascii="Calibri" w:hAnsi="Calibri" w:cs="Calibri"/>
                <w:sz w:val="18"/>
                <w:szCs w:val="18"/>
              </w:rPr>
              <w:t>Asfalty i lepiszcza asfaltowe – Oznaczanie zawartości wody w emulsjach asfaltowych – Metoda destylacji azeotropowej</w:t>
            </w:r>
          </w:p>
        </w:tc>
      </w:tr>
      <w:tr w:rsidR="007A7D7A" w:rsidRPr="007A7D7A" w14:paraId="149D061D" w14:textId="77777777" w:rsidTr="00F11EC1">
        <w:tc>
          <w:tcPr>
            <w:tcW w:w="534" w:type="dxa"/>
          </w:tcPr>
          <w:p w14:paraId="18CC25DF" w14:textId="77777777" w:rsidR="007A7D7A" w:rsidRPr="007A7D7A" w:rsidRDefault="007A7D7A" w:rsidP="00F11EC1">
            <w:pPr>
              <w:snapToGrid w:val="0"/>
              <w:rPr>
                <w:rFonts w:ascii="Calibri" w:hAnsi="Calibri" w:cs="Calibri"/>
                <w:sz w:val="18"/>
                <w:szCs w:val="18"/>
              </w:rPr>
            </w:pPr>
            <w:r w:rsidRPr="007A7D7A">
              <w:rPr>
                <w:rFonts w:ascii="Calibri" w:hAnsi="Calibri" w:cs="Calibri"/>
                <w:sz w:val="18"/>
                <w:szCs w:val="18"/>
              </w:rPr>
              <w:t>24.</w:t>
            </w:r>
          </w:p>
        </w:tc>
        <w:tc>
          <w:tcPr>
            <w:tcW w:w="1842" w:type="dxa"/>
          </w:tcPr>
          <w:p w14:paraId="6AD59B2D" w14:textId="77777777" w:rsidR="007A7D7A" w:rsidRPr="007A7D7A" w:rsidRDefault="007A7D7A" w:rsidP="00F11EC1">
            <w:pPr>
              <w:snapToGrid w:val="0"/>
              <w:rPr>
                <w:rFonts w:ascii="Calibri" w:hAnsi="Calibri" w:cs="Calibri"/>
                <w:sz w:val="18"/>
                <w:szCs w:val="18"/>
              </w:rPr>
            </w:pPr>
            <w:r w:rsidRPr="007A7D7A">
              <w:rPr>
                <w:rFonts w:ascii="Calibri" w:hAnsi="Calibri" w:cs="Calibri"/>
                <w:sz w:val="18"/>
                <w:szCs w:val="18"/>
              </w:rPr>
              <w:t>PN-EN 1429</w:t>
            </w:r>
          </w:p>
        </w:tc>
        <w:tc>
          <w:tcPr>
            <w:tcW w:w="7371" w:type="dxa"/>
          </w:tcPr>
          <w:p w14:paraId="1FAEEBE9" w14:textId="77777777" w:rsidR="007A7D7A" w:rsidRPr="007A7D7A" w:rsidRDefault="007A7D7A" w:rsidP="00F11EC1">
            <w:pPr>
              <w:snapToGrid w:val="0"/>
              <w:rPr>
                <w:rFonts w:ascii="Calibri" w:hAnsi="Calibri" w:cs="Calibri"/>
                <w:sz w:val="18"/>
                <w:szCs w:val="18"/>
              </w:rPr>
            </w:pPr>
            <w:r w:rsidRPr="007A7D7A">
              <w:rPr>
                <w:rFonts w:ascii="Calibri" w:hAnsi="Calibri" w:cs="Calibri"/>
                <w:sz w:val="18"/>
                <w:szCs w:val="18"/>
              </w:rPr>
              <w:t>Asfalty i lepiszcza asfaltowe – Oznaczanie pozostałości na sicie emulsji asfaltowych oraz trwałości podczas magazynowania metodą pozostałości na sicie</w:t>
            </w:r>
          </w:p>
        </w:tc>
      </w:tr>
      <w:tr w:rsidR="007A7D7A" w:rsidRPr="007A7D7A" w14:paraId="551B6249" w14:textId="77777777" w:rsidTr="00F11EC1">
        <w:tc>
          <w:tcPr>
            <w:tcW w:w="534" w:type="dxa"/>
          </w:tcPr>
          <w:p w14:paraId="6700506A" w14:textId="77777777" w:rsidR="007A7D7A" w:rsidRPr="007A7D7A" w:rsidRDefault="007A7D7A" w:rsidP="00F11EC1">
            <w:pPr>
              <w:snapToGrid w:val="0"/>
              <w:rPr>
                <w:rFonts w:ascii="Calibri" w:hAnsi="Calibri" w:cs="Calibri"/>
                <w:sz w:val="18"/>
                <w:szCs w:val="18"/>
              </w:rPr>
            </w:pPr>
            <w:r w:rsidRPr="007A7D7A">
              <w:rPr>
                <w:rFonts w:ascii="Calibri" w:hAnsi="Calibri" w:cs="Calibri"/>
                <w:sz w:val="18"/>
                <w:szCs w:val="18"/>
              </w:rPr>
              <w:t>25.</w:t>
            </w:r>
          </w:p>
        </w:tc>
        <w:tc>
          <w:tcPr>
            <w:tcW w:w="1842" w:type="dxa"/>
          </w:tcPr>
          <w:p w14:paraId="1219D019" w14:textId="77777777" w:rsidR="007A7D7A" w:rsidRPr="007A7D7A" w:rsidRDefault="007A7D7A" w:rsidP="00F11EC1">
            <w:pPr>
              <w:snapToGrid w:val="0"/>
              <w:rPr>
                <w:rFonts w:ascii="Calibri" w:hAnsi="Calibri" w:cs="Calibri"/>
                <w:sz w:val="18"/>
                <w:szCs w:val="18"/>
              </w:rPr>
            </w:pPr>
            <w:r w:rsidRPr="007A7D7A">
              <w:rPr>
                <w:rFonts w:ascii="Calibri" w:hAnsi="Calibri" w:cs="Calibri"/>
                <w:sz w:val="18"/>
                <w:szCs w:val="18"/>
              </w:rPr>
              <w:t>PN-EN 1744-1</w:t>
            </w:r>
          </w:p>
        </w:tc>
        <w:tc>
          <w:tcPr>
            <w:tcW w:w="7371" w:type="dxa"/>
          </w:tcPr>
          <w:p w14:paraId="0350FD8B" w14:textId="77777777" w:rsidR="007A7D7A" w:rsidRPr="007A7D7A" w:rsidRDefault="007A7D7A" w:rsidP="00F11EC1">
            <w:pPr>
              <w:snapToGrid w:val="0"/>
              <w:rPr>
                <w:rFonts w:ascii="Calibri" w:hAnsi="Calibri" w:cs="Calibri"/>
                <w:sz w:val="18"/>
                <w:szCs w:val="18"/>
              </w:rPr>
            </w:pPr>
            <w:r w:rsidRPr="007A7D7A">
              <w:rPr>
                <w:rFonts w:ascii="Calibri" w:hAnsi="Calibri" w:cs="Calibri"/>
                <w:sz w:val="18"/>
                <w:szCs w:val="18"/>
              </w:rPr>
              <w:t>Badania chemicznych właściwości kruszyw – Analiza chemiczna</w:t>
            </w:r>
          </w:p>
        </w:tc>
      </w:tr>
      <w:tr w:rsidR="007A7D7A" w:rsidRPr="007A7D7A" w14:paraId="451BD118" w14:textId="77777777" w:rsidTr="00F11EC1">
        <w:tc>
          <w:tcPr>
            <w:tcW w:w="534" w:type="dxa"/>
          </w:tcPr>
          <w:p w14:paraId="16966B7B" w14:textId="77777777" w:rsidR="007A7D7A" w:rsidRPr="007A7D7A" w:rsidRDefault="007A7D7A" w:rsidP="00F11EC1">
            <w:pPr>
              <w:snapToGrid w:val="0"/>
              <w:rPr>
                <w:rFonts w:ascii="Calibri" w:hAnsi="Calibri" w:cs="Calibri"/>
                <w:sz w:val="18"/>
                <w:szCs w:val="18"/>
              </w:rPr>
            </w:pPr>
            <w:r w:rsidRPr="007A7D7A">
              <w:rPr>
                <w:rFonts w:ascii="Calibri" w:hAnsi="Calibri" w:cs="Calibri"/>
                <w:sz w:val="18"/>
                <w:szCs w:val="18"/>
              </w:rPr>
              <w:t>26.</w:t>
            </w:r>
          </w:p>
        </w:tc>
        <w:tc>
          <w:tcPr>
            <w:tcW w:w="1842" w:type="dxa"/>
          </w:tcPr>
          <w:p w14:paraId="23A619D0" w14:textId="77777777" w:rsidR="007A7D7A" w:rsidRPr="007A7D7A" w:rsidRDefault="007A7D7A" w:rsidP="00F11EC1">
            <w:pPr>
              <w:snapToGrid w:val="0"/>
              <w:rPr>
                <w:rFonts w:ascii="Calibri" w:hAnsi="Calibri" w:cs="Calibri"/>
                <w:sz w:val="18"/>
                <w:szCs w:val="18"/>
              </w:rPr>
            </w:pPr>
            <w:r w:rsidRPr="007A7D7A">
              <w:rPr>
                <w:rFonts w:ascii="Calibri" w:hAnsi="Calibri" w:cs="Calibri"/>
                <w:sz w:val="18"/>
                <w:szCs w:val="18"/>
              </w:rPr>
              <w:t>PN-EN 1744-4</w:t>
            </w:r>
          </w:p>
        </w:tc>
        <w:tc>
          <w:tcPr>
            <w:tcW w:w="7371" w:type="dxa"/>
          </w:tcPr>
          <w:p w14:paraId="36390905" w14:textId="77777777" w:rsidR="007A7D7A" w:rsidRPr="007A7D7A" w:rsidRDefault="007A7D7A" w:rsidP="00F11EC1">
            <w:pPr>
              <w:snapToGrid w:val="0"/>
              <w:rPr>
                <w:rFonts w:ascii="Calibri" w:hAnsi="Calibri" w:cs="Calibri"/>
                <w:sz w:val="18"/>
                <w:szCs w:val="18"/>
              </w:rPr>
            </w:pPr>
            <w:r w:rsidRPr="007A7D7A">
              <w:rPr>
                <w:rFonts w:ascii="Calibri" w:hAnsi="Calibri" w:cs="Calibri"/>
                <w:sz w:val="18"/>
                <w:szCs w:val="18"/>
              </w:rPr>
              <w:t>Badania chemicznych właściwości kruszyw – Część 4: Oznaczanie podatności wypełniaczy do mieszanek mineralno-asfaltowych na działanie wody</w:t>
            </w:r>
          </w:p>
        </w:tc>
      </w:tr>
      <w:tr w:rsidR="007A7D7A" w:rsidRPr="007A7D7A" w14:paraId="7BF26810" w14:textId="77777777" w:rsidTr="00F11EC1">
        <w:tc>
          <w:tcPr>
            <w:tcW w:w="534" w:type="dxa"/>
          </w:tcPr>
          <w:p w14:paraId="57315C1C" w14:textId="77777777" w:rsidR="007A7D7A" w:rsidRPr="007A7D7A" w:rsidRDefault="007A7D7A" w:rsidP="00F11EC1">
            <w:pPr>
              <w:snapToGrid w:val="0"/>
              <w:rPr>
                <w:rFonts w:ascii="Calibri" w:hAnsi="Calibri" w:cs="Calibri"/>
                <w:sz w:val="18"/>
                <w:szCs w:val="18"/>
              </w:rPr>
            </w:pPr>
            <w:r w:rsidRPr="007A7D7A">
              <w:rPr>
                <w:rFonts w:ascii="Calibri" w:hAnsi="Calibri" w:cs="Calibri"/>
                <w:sz w:val="18"/>
                <w:szCs w:val="18"/>
              </w:rPr>
              <w:t>27.</w:t>
            </w:r>
          </w:p>
        </w:tc>
        <w:tc>
          <w:tcPr>
            <w:tcW w:w="1842" w:type="dxa"/>
          </w:tcPr>
          <w:p w14:paraId="1BA78893" w14:textId="77777777" w:rsidR="007A7D7A" w:rsidRPr="007A7D7A" w:rsidRDefault="007A7D7A" w:rsidP="00F11EC1">
            <w:pPr>
              <w:snapToGrid w:val="0"/>
              <w:rPr>
                <w:rFonts w:ascii="Calibri" w:hAnsi="Calibri" w:cs="Calibri"/>
                <w:sz w:val="18"/>
                <w:szCs w:val="18"/>
              </w:rPr>
            </w:pPr>
            <w:r w:rsidRPr="007A7D7A">
              <w:rPr>
                <w:rFonts w:ascii="Calibri" w:hAnsi="Calibri" w:cs="Calibri"/>
                <w:sz w:val="18"/>
                <w:szCs w:val="18"/>
              </w:rPr>
              <w:t>PN-EN 12591</w:t>
            </w:r>
          </w:p>
        </w:tc>
        <w:tc>
          <w:tcPr>
            <w:tcW w:w="7371" w:type="dxa"/>
          </w:tcPr>
          <w:p w14:paraId="052F202F" w14:textId="77777777" w:rsidR="007A7D7A" w:rsidRPr="007A7D7A" w:rsidRDefault="007A7D7A" w:rsidP="00F11EC1">
            <w:pPr>
              <w:snapToGrid w:val="0"/>
              <w:rPr>
                <w:rFonts w:ascii="Calibri" w:hAnsi="Calibri" w:cs="Calibri"/>
                <w:sz w:val="18"/>
                <w:szCs w:val="18"/>
              </w:rPr>
            </w:pPr>
            <w:r w:rsidRPr="007A7D7A">
              <w:rPr>
                <w:rFonts w:ascii="Calibri" w:hAnsi="Calibri" w:cs="Calibri"/>
                <w:sz w:val="18"/>
                <w:szCs w:val="18"/>
              </w:rPr>
              <w:t>Asfalty i produkty asfaltowe – Wymagania dla asfaltów drogowych</w:t>
            </w:r>
          </w:p>
        </w:tc>
      </w:tr>
      <w:tr w:rsidR="007A7D7A" w:rsidRPr="007A7D7A" w14:paraId="5D6F7C90" w14:textId="77777777" w:rsidTr="00F11EC1">
        <w:tc>
          <w:tcPr>
            <w:tcW w:w="534" w:type="dxa"/>
          </w:tcPr>
          <w:p w14:paraId="1D8F2879" w14:textId="77777777" w:rsidR="007A7D7A" w:rsidRPr="007A7D7A" w:rsidRDefault="007A7D7A" w:rsidP="00F11EC1">
            <w:pPr>
              <w:snapToGrid w:val="0"/>
              <w:rPr>
                <w:rFonts w:ascii="Calibri" w:hAnsi="Calibri" w:cs="Calibri"/>
                <w:sz w:val="18"/>
                <w:szCs w:val="18"/>
              </w:rPr>
            </w:pPr>
            <w:r w:rsidRPr="007A7D7A">
              <w:rPr>
                <w:rFonts w:ascii="Calibri" w:hAnsi="Calibri" w:cs="Calibri"/>
                <w:sz w:val="18"/>
                <w:szCs w:val="18"/>
              </w:rPr>
              <w:t>28.</w:t>
            </w:r>
          </w:p>
        </w:tc>
        <w:tc>
          <w:tcPr>
            <w:tcW w:w="1842" w:type="dxa"/>
          </w:tcPr>
          <w:p w14:paraId="18106AC6" w14:textId="77777777" w:rsidR="007A7D7A" w:rsidRPr="007A7D7A" w:rsidRDefault="007A7D7A" w:rsidP="00F11EC1">
            <w:pPr>
              <w:snapToGrid w:val="0"/>
              <w:rPr>
                <w:rFonts w:ascii="Calibri" w:hAnsi="Calibri" w:cs="Calibri"/>
                <w:sz w:val="18"/>
                <w:szCs w:val="18"/>
              </w:rPr>
            </w:pPr>
            <w:r w:rsidRPr="007A7D7A">
              <w:rPr>
                <w:rFonts w:ascii="Calibri" w:hAnsi="Calibri" w:cs="Calibri"/>
                <w:sz w:val="18"/>
                <w:szCs w:val="18"/>
              </w:rPr>
              <w:t>PN-EN 12592</w:t>
            </w:r>
          </w:p>
        </w:tc>
        <w:tc>
          <w:tcPr>
            <w:tcW w:w="7371" w:type="dxa"/>
          </w:tcPr>
          <w:p w14:paraId="48DCE5FA" w14:textId="77777777" w:rsidR="007A7D7A" w:rsidRPr="007A7D7A" w:rsidRDefault="007A7D7A" w:rsidP="00F11EC1">
            <w:pPr>
              <w:snapToGrid w:val="0"/>
              <w:rPr>
                <w:rFonts w:ascii="Calibri" w:hAnsi="Calibri" w:cs="Calibri"/>
                <w:sz w:val="18"/>
                <w:szCs w:val="18"/>
              </w:rPr>
            </w:pPr>
            <w:r w:rsidRPr="007A7D7A">
              <w:rPr>
                <w:rFonts w:ascii="Calibri" w:hAnsi="Calibri" w:cs="Calibri"/>
                <w:sz w:val="18"/>
                <w:szCs w:val="18"/>
              </w:rPr>
              <w:t>Asfalty i produkty asfaltowe – Oznaczanie rozpuszczalności</w:t>
            </w:r>
          </w:p>
        </w:tc>
      </w:tr>
      <w:tr w:rsidR="007A7D7A" w:rsidRPr="007A7D7A" w14:paraId="646EF394" w14:textId="77777777" w:rsidTr="00F11EC1">
        <w:tc>
          <w:tcPr>
            <w:tcW w:w="534" w:type="dxa"/>
          </w:tcPr>
          <w:p w14:paraId="190A8ADD" w14:textId="77777777" w:rsidR="007A7D7A" w:rsidRPr="007A7D7A" w:rsidRDefault="007A7D7A" w:rsidP="00F11EC1">
            <w:pPr>
              <w:snapToGrid w:val="0"/>
              <w:rPr>
                <w:rFonts w:ascii="Calibri" w:hAnsi="Calibri" w:cs="Calibri"/>
                <w:sz w:val="18"/>
                <w:szCs w:val="18"/>
              </w:rPr>
            </w:pPr>
            <w:r w:rsidRPr="007A7D7A">
              <w:rPr>
                <w:rFonts w:ascii="Calibri" w:hAnsi="Calibri" w:cs="Calibri"/>
                <w:sz w:val="18"/>
                <w:szCs w:val="18"/>
              </w:rPr>
              <w:t>29.</w:t>
            </w:r>
          </w:p>
        </w:tc>
        <w:tc>
          <w:tcPr>
            <w:tcW w:w="1842" w:type="dxa"/>
          </w:tcPr>
          <w:p w14:paraId="447DFF00" w14:textId="77777777" w:rsidR="007A7D7A" w:rsidRPr="007A7D7A" w:rsidRDefault="007A7D7A" w:rsidP="00F11EC1">
            <w:pPr>
              <w:snapToGrid w:val="0"/>
              <w:rPr>
                <w:rFonts w:ascii="Calibri" w:hAnsi="Calibri" w:cs="Calibri"/>
                <w:sz w:val="18"/>
                <w:szCs w:val="18"/>
              </w:rPr>
            </w:pPr>
            <w:r w:rsidRPr="007A7D7A">
              <w:rPr>
                <w:rFonts w:ascii="Calibri" w:hAnsi="Calibri" w:cs="Calibri"/>
                <w:sz w:val="18"/>
                <w:szCs w:val="18"/>
              </w:rPr>
              <w:t>PN-EN 12593</w:t>
            </w:r>
          </w:p>
        </w:tc>
        <w:tc>
          <w:tcPr>
            <w:tcW w:w="7371" w:type="dxa"/>
          </w:tcPr>
          <w:p w14:paraId="30AC7E1D" w14:textId="77777777" w:rsidR="007A7D7A" w:rsidRPr="007A7D7A" w:rsidRDefault="007A7D7A" w:rsidP="00F11EC1">
            <w:pPr>
              <w:snapToGrid w:val="0"/>
              <w:rPr>
                <w:rFonts w:ascii="Calibri" w:hAnsi="Calibri" w:cs="Calibri"/>
                <w:sz w:val="18"/>
                <w:szCs w:val="18"/>
              </w:rPr>
            </w:pPr>
            <w:r w:rsidRPr="007A7D7A">
              <w:rPr>
                <w:rFonts w:ascii="Calibri" w:hAnsi="Calibri" w:cs="Calibri"/>
                <w:sz w:val="18"/>
                <w:szCs w:val="18"/>
              </w:rPr>
              <w:t>Asfalty i produkty asfaltowe – Oznaczanie temperatury łamliwości Fraassa</w:t>
            </w:r>
          </w:p>
        </w:tc>
      </w:tr>
      <w:tr w:rsidR="007A7D7A" w:rsidRPr="007A7D7A" w14:paraId="58A5DD75" w14:textId="77777777" w:rsidTr="00F11EC1">
        <w:tc>
          <w:tcPr>
            <w:tcW w:w="534" w:type="dxa"/>
          </w:tcPr>
          <w:p w14:paraId="0F8354D4" w14:textId="77777777" w:rsidR="007A7D7A" w:rsidRPr="007A7D7A" w:rsidRDefault="007A7D7A" w:rsidP="00F11EC1">
            <w:pPr>
              <w:snapToGrid w:val="0"/>
              <w:rPr>
                <w:rFonts w:ascii="Calibri" w:hAnsi="Calibri" w:cs="Calibri"/>
                <w:sz w:val="18"/>
                <w:szCs w:val="18"/>
              </w:rPr>
            </w:pPr>
            <w:r w:rsidRPr="007A7D7A">
              <w:rPr>
                <w:rFonts w:ascii="Calibri" w:hAnsi="Calibri" w:cs="Calibri"/>
                <w:sz w:val="18"/>
                <w:szCs w:val="18"/>
              </w:rPr>
              <w:t>30.</w:t>
            </w:r>
          </w:p>
        </w:tc>
        <w:tc>
          <w:tcPr>
            <w:tcW w:w="1842" w:type="dxa"/>
          </w:tcPr>
          <w:p w14:paraId="3C59F73F" w14:textId="77777777" w:rsidR="007A7D7A" w:rsidRPr="007A7D7A" w:rsidRDefault="007A7D7A" w:rsidP="00F11EC1">
            <w:pPr>
              <w:snapToGrid w:val="0"/>
              <w:rPr>
                <w:rFonts w:ascii="Calibri" w:hAnsi="Calibri" w:cs="Calibri"/>
                <w:sz w:val="18"/>
                <w:szCs w:val="18"/>
              </w:rPr>
            </w:pPr>
            <w:r w:rsidRPr="007A7D7A">
              <w:rPr>
                <w:rFonts w:ascii="Calibri" w:hAnsi="Calibri" w:cs="Calibri"/>
                <w:sz w:val="18"/>
                <w:szCs w:val="18"/>
              </w:rPr>
              <w:t>PN-EN 12606-1</w:t>
            </w:r>
          </w:p>
        </w:tc>
        <w:tc>
          <w:tcPr>
            <w:tcW w:w="7371" w:type="dxa"/>
          </w:tcPr>
          <w:p w14:paraId="626F087F" w14:textId="77777777" w:rsidR="007A7D7A" w:rsidRPr="007A7D7A" w:rsidRDefault="007A7D7A" w:rsidP="00F11EC1">
            <w:pPr>
              <w:snapToGrid w:val="0"/>
              <w:rPr>
                <w:rFonts w:ascii="Calibri" w:hAnsi="Calibri" w:cs="Calibri"/>
                <w:sz w:val="18"/>
                <w:szCs w:val="18"/>
              </w:rPr>
            </w:pPr>
            <w:r w:rsidRPr="007A7D7A">
              <w:rPr>
                <w:rFonts w:ascii="Calibri" w:hAnsi="Calibri" w:cs="Calibri"/>
                <w:sz w:val="18"/>
                <w:szCs w:val="18"/>
              </w:rPr>
              <w:t>Asfalty i produkty asfaltowe – Oznaczanie zawartości parafiny – Część 1: Metoda destylacyjna</w:t>
            </w:r>
          </w:p>
        </w:tc>
      </w:tr>
      <w:tr w:rsidR="007A7D7A" w:rsidRPr="007A7D7A" w14:paraId="126A5C4B" w14:textId="77777777" w:rsidTr="00F11EC1">
        <w:tc>
          <w:tcPr>
            <w:tcW w:w="534" w:type="dxa"/>
          </w:tcPr>
          <w:p w14:paraId="6E2DABDD" w14:textId="77777777" w:rsidR="007A7D7A" w:rsidRPr="007A7D7A" w:rsidRDefault="007A7D7A" w:rsidP="00F11EC1">
            <w:pPr>
              <w:snapToGrid w:val="0"/>
              <w:rPr>
                <w:rFonts w:ascii="Calibri" w:hAnsi="Calibri" w:cs="Calibri"/>
                <w:sz w:val="18"/>
                <w:szCs w:val="18"/>
              </w:rPr>
            </w:pPr>
            <w:r w:rsidRPr="007A7D7A">
              <w:rPr>
                <w:rFonts w:ascii="Calibri" w:hAnsi="Calibri" w:cs="Calibri"/>
                <w:sz w:val="18"/>
                <w:szCs w:val="18"/>
              </w:rPr>
              <w:t>31.</w:t>
            </w:r>
          </w:p>
        </w:tc>
        <w:tc>
          <w:tcPr>
            <w:tcW w:w="1842" w:type="dxa"/>
          </w:tcPr>
          <w:p w14:paraId="69273FBC" w14:textId="77777777" w:rsidR="007A7D7A" w:rsidRPr="007A7D7A" w:rsidRDefault="007A7D7A" w:rsidP="00F11EC1">
            <w:pPr>
              <w:snapToGrid w:val="0"/>
              <w:rPr>
                <w:rFonts w:ascii="Calibri" w:hAnsi="Calibri" w:cs="Calibri"/>
                <w:sz w:val="18"/>
                <w:szCs w:val="18"/>
              </w:rPr>
            </w:pPr>
            <w:r w:rsidRPr="007A7D7A">
              <w:rPr>
                <w:rFonts w:ascii="Calibri" w:hAnsi="Calibri" w:cs="Calibri"/>
                <w:sz w:val="18"/>
                <w:szCs w:val="18"/>
              </w:rPr>
              <w:t>PN-EN 12607-1</w:t>
            </w:r>
          </w:p>
          <w:p w14:paraId="21C4F248" w14:textId="77777777" w:rsidR="007A7D7A" w:rsidRPr="007A7D7A" w:rsidRDefault="007A7D7A" w:rsidP="00F11EC1">
            <w:pPr>
              <w:rPr>
                <w:rFonts w:ascii="Calibri" w:hAnsi="Calibri" w:cs="Calibri"/>
                <w:sz w:val="18"/>
                <w:szCs w:val="18"/>
              </w:rPr>
            </w:pPr>
            <w:r w:rsidRPr="007A7D7A">
              <w:rPr>
                <w:rFonts w:ascii="Calibri" w:hAnsi="Calibri" w:cs="Calibri"/>
                <w:sz w:val="18"/>
                <w:szCs w:val="18"/>
              </w:rPr>
              <w:t>i</w:t>
            </w:r>
          </w:p>
          <w:p w14:paraId="1B8F659D" w14:textId="77777777" w:rsidR="007A7D7A" w:rsidRPr="007A7D7A" w:rsidRDefault="007A7D7A" w:rsidP="00F11EC1">
            <w:pPr>
              <w:rPr>
                <w:rFonts w:ascii="Calibri" w:hAnsi="Calibri" w:cs="Calibri"/>
                <w:sz w:val="18"/>
                <w:szCs w:val="18"/>
              </w:rPr>
            </w:pPr>
            <w:r w:rsidRPr="007A7D7A">
              <w:rPr>
                <w:rFonts w:ascii="Calibri" w:hAnsi="Calibri" w:cs="Calibri"/>
                <w:sz w:val="18"/>
                <w:szCs w:val="18"/>
              </w:rPr>
              <w:t>PN-EN 12607-3</w:t>
            </w:r>
          </w:p>
        </w:tc>
        <w:tc>
          <w:tcPr>
            <w:tcW w:w="7371" w:type="dxa"/>
          </w:tcPr>
          <w:p w14:paraId="6739E703" w14:textId="77777777" w:rsidR="007A7D7A" w:rsidRPr="007A7D7A" w:rsidRDefault="007A7D7A" w:rsidP="00F11EC1">
            <w:pPr>
              <w:snapToGrid w:val="0"/>
              <w:rPr>
                <w:rFonts w:ascii="Calibri" w:hAnsi="Calibri" w:cs="Calibri"/>
                <w:sz w:val="18"/>
                <w:szCs w:val="18"/>
              </w:rPr>
            </w:pPr>
            <w:r w:rsidRPr="007A7D7A">
              <w:rPr>
                <w:rFonts w:ascii="Calibri" w:hAnsi="Calibri" w:cs="Calibri"/>
                <w:sz w:val="18"/>
                <w:szCs w:val="18"/>
              </w:rPr>
              <w:t>Asfalty i produkty asfaltowe – Oznaczanie odporności na twardnienie pod wpływem ciepła i powietrza – Część 1: Metoda RTFOT</w:t>
            </w:r>
          </w:p>
          <w:p w14:paraId="33605A06" w14:textId="77777777" w:rsidR="007A7D7A" w:rsidRPr="007A7D7A" w:rsidRDefault="007A7D7A" w:rsidP="00F11EC1">
            <w:pPr>
              <w:rPr>
                <w:rFonts w:ascii="Calibri" w:hAnsi="Calibri" w:cs="Calibri"/>
                <w:sz w:val="18"/>
                <w:szCs w:val="18"/>
              </w:rPr>
            </w:pPr>
            <w:r w:rsidRPr="007A7D7A">
              <w:rPr>
                <w:rFonts w:ascii="Calibri" w:hAnsi="Calibri" w:cs="Calibri"/>
                <w:sz w:val="18"/>
                <w:szCs w:val="18"/>
              </w:rPr>
              <w:t>Jw. Część 3: Metoda RFT</w:t>
            </w:r>
          </w:p>
        </w:tc>
      </w:tr>
      <w:tr w:rsidR="007A7D7A" w:rsidRPr="007A7D7A" w14:paraId="36076EC6" w14:textId="77777777" w:rsidTr="00F11EC1">
        <w:tc>
          <w:tcPr>
            <w:tcW w:w="534" w:type="dxa"/>
          </w:tcPr>
          <w:p w14:paraId="156360FF" w14:textId="77777777" w:rsidR="007A7D7A" w:rsidRPr="007A7D7A" w:rsidRDefault="007A7D7A" w:rsidP="00F11EC1">
            <w:pPr>
              <w:snapToGrid w:val="0"/>
              <w:rPr>
                <w:rFonts w:ascii="Calibri" w:hAnsi="Calibri" w:cs="Calibri"/>
                <w:sz w:val="18"/>
                <w:szCs w:val="18"/>
              </w:rPr>
            </w:pPr>
            <w:r w:rsidRPr="007A7D7A">
              <w:rPr>
                <w:rFonts w:ascii="Calibri" w:hAnsi="Calibri" w:cs="Calibri"/>
                <w:sz w:val="18"/>
                <w:szCs w:val="18"/>
              </w:rPr>
              <w:t>32.</w:t>
            </w:r>
          </w:p>
        </w:tc>
        <w:tc>
          <w:tcPr>
            <w:tcW w:w="1842" w:type="dxa"/>
          </w:tcPr>
          <w:p w14:paraId="208CCF82" w14:textId="77777777" w:rsidR="007A7D7A" w:rsidRPr="007A7D7A" w:rsidRDefault="007A7D7A" w:rsidP="00F11EC1">
            <w:pPr>
              <w:snapToGrid w:val="0"/>
              <w:rPr>
                <w:rFonts w:ascii="Calibri" w:hAnsi="Calibri" w:cs="Calibri"/>
                <w:sz w:val="18"/>
                <w:szCs w:val="18"/>
              </w:rPr>
            </w:pPr>
            <w:r w:rsidRPr="007A7D7A">
              <w:rPr>
                <w:rFonts w:ascii="Calibri" w:hAnsi="Calibri" w:cs="Calibri"/>
                <w:sz w:val="18"/>
                <w:szCs w:val="18"/>
              </w:rPr>
              <w:t>PN-EN 12697-6</w:t>
            </w:r>
          </w:p>
        </w:tc>
        <w:tc>
          <w:tcPr>
            <w:tcW w:w="7371" w:type="dxa"/>
          </w:tcPr>
          <w:p w14:paraId="550182E5" w14:textId="77777777" w:rsidR="007A7D7A" w:rsidRPr="007A7D7A" w:rsidRDefault="007A7D7A" w:rsidP="00F11EC1">
            <w:pPr>
              <w:snapToGrid w:val="0"/>
              <w:rPr>
                <w:rFonts w:ascii="Calibri" w:hAnsi="Calibri" w:cs="Calibri"/>
                <w:sz w:val="18"/>
                <w:szCs w:val="18"/>
              </w:rPr>
            </w:pPr>
            <w:r w:rsidRPr="007A7D7A">
              <w:rPr>
                <w:rFonts w:ascii="Calibri" w:hAnsi="Calibri" w:cs="Calibri"/>
                <w:sz w:val="18"/>
                <w:szCs w:val="18"/>
              </w:rPr>
              <w:t>Mieszanki mineralno-asfaltowe – Metody badań mieszanek mineralno-asfaltowych na gorąco – Część 6: Oznaczanie gęstości objętościowej metodą hydrostatyczną</w:t>
            </w:r>
          </w:p>
        </w:tc>
      </w:tr>
      <w:tr w:rsidR="007A7D7A" w:rsidRPr="007A7D7A" w14:paraId="78B16032" w14:textId="77777777" w:rsidTr="00F11EC1">
        <w:tc>
          <w:tcPr>
            <w:tcW w:w="534" w:type="dxa"/>
          </w:tcPr>
          <w:p w14:paraId="563164C4" w14:textId="77777777" w:rsidR="007A7D7A" w:rsidRPr="007A7D7A" w:rsidRDefault="007A7D7A" w:rsidP="00F11EC1">
            <w:pPr>
              <w:snapToGrid w:val="0"/>
              <w:rPr>
                <w:rFonts w:ascii="Calibri" w:hAnsi="Calibri" w:cs="Calibri"/>
                <w:sz w:val="18"/>
                <w:szCs w:val="18"/>
              </w:rPr>
            </w:pPr>
            <w:r w:rsidRPr="007A7D7A">
              <w:rPr>
                <w:rFonts w:ascii="Calibri" w:hAnsi="Calibri" w:cs="Calibri"/>
                <w:sz w:val="18"/>
                <w:szCs w:val="18"/>
              </w:rPr>
              <w:t>33.</w:t>
            </w:r>
          </w:p>
        </w:tc>
        <w:tc>
          <w:tcPr>
            <w:tcW w:w="1842" w:type="dxa"/>
          </w:tcPr>
          <w:p w14:paraId="3FF38DF1" w14:textId="77777777" w:rsidR="007A7D7A" w:rsidRPr="007A7D7A" w:rsidRDefault="007A7D7A" w:rsidP="00F11EC1">
            <w:pPr>
              <w:snapToGrid w:val="0"/>
              <w:rPr>
                <w:rFonts w:ascii="Calibri" w:hAnsi="Calibri" w:cs="Calibri"/>
                <w:sz w:val="18"/>
                <w:szCs w:val="18"/>
              </w:rPr>
            </w:pPr>
            <w:r w:rsidRPr="007A7D7A">
              <w:rPr>
                <w:rFonts w:ascii="Calibri" w:hAnsi="Calibri" w:cs="Calibri"/>
                <w:sz w:val="18"/>
                <w:szCs w:val="18"/>
              </w:rPr>
              <w:t>PN-EN 12697-8</w:t>
            </w:r>
          </w:p>
        </w:tc>
        <w:tc>
          <w:tcPr>
            <w:tcW w:w="7371" w:type="dxa"/>
          </w:tcPr>
          <w:p w14:paraId="7D992F1D" w14:textId="77777777" w:rsidR="007A7D7A" w:rsidRPr="007A7D7A" w:rsidRDefault="007A7D7A" w:rsidP="00F11EC1">
            <w:pPr>
              <w:snapToGrid w:val="0"/>
              <w:rPr>
                <w:rFonts w:ascii="Calibri" w:hAnsi="Calibri" w:cs="Calibri"/>
                <w:sz w:val="18"/>
                <w:szCs w:val="18"/>
              </w:rPr>
            </w:pPr>
            <w:r w:rsidRPr="007A7D7A">
              <w:rPr>
                <w:rFonts w:ascii="Calibri" w:hAnsi="Calibri" w:cs="Calibri"/>
                <w:sz w:val="18"/>
                <w:szCs w:val="18"/>
              </w:rPr>
              <w:t>Mieszanki mineralno-asfaltowe – Metody badań mieszanek mineralno-asfaltowych na gorąco – Część 8: Oznaczanie zawartości wolnej przestrzeni</w:t>
            </w:r>
          </w:p>
        </w:tc>
      </w:tr>
      <w:tr w:rsidR="007A7D7A" w:rsidRPr="007A7D7A" w14:paraId="0E777A45" w14:textId="77777777" w:rsidTr="00F11EC1">
        <w:tc>
          <w:tcPr>
            <w:tcW w:w="534" w:type="dxa"/>
          </w:tcPr>
          <w:p w14:paraId="47C45753" w14:textId="77777777" w:rsidR="007A7D7A" w:rsidRPr="007A7D7A" w:rsidRDefault="007A7D7A" w:rsidP="00F11EC1">
            <w:pPr>
              <w:snapToGrid w:val="0"/>
              <w:rPr>
                <w:rFonts w:ascii="Calibri" w:hAnsi="Calibri" w:cs="Calibri"/>
                <w:sz w:val="18"/>
                <w:szCs w:val="18"/>
              </w:rPr>
            </w:pPr>
            <w:r w:rsidRPr="007A7D7A">
              <w:rPr>
                <w:rFonts w:ascii="Calibri" w:hAnsi="Calibri" w:cs="Calibri"/>
                <w:sz w:val="18"/>
                <w:szCs w:val="18"/>
              </w:rPr>
              <w:t>34.</w:t>
            </w:r>
          </w:p>
        </w:tc>
        <w:tc>
          <w:tcPr>
            <w:tcW w:w="1842" w:type="dxa"/>
          </w:tcPr>
          <w:p w14:paraId="5256DA0D" w14:textId="77777777" w:rsidR="007A7D7A" w:rsidRPr="007A7D7A" w:rsidRDefault="007A7D7A" w:rsidP="00F11EC1">
            <w:pPr>
              <w:snapToGrid w:val="0"/>
              <w:rPr>
                <w:rFonts w:ascii="Calibri" w:hAnsi="Calibri" w:cs="Calibri"/>
                <w:sz w:val="18"/>
                <w:szCs w:val="18"/>
              </w:rPr>
            </w:pPr>
            <w:r w:rsidRPr="007A7D7A">
              <w:rPr>
                <w:rFonts w:ascii="Calibri" w:hAnsi="Calibri" w:cs="Calibri"/>
                <w:sz w:val="18"/>
                <w:szCs w:val="18"/>
              </w:rPr>
              <w:t>PN-EN 12697-11</w:t>
            </w:r>
          </w:p>
        </w:tc>
        <w:tc>
          <w:tcPr>
            <w:tcW w:w="7371" w:type="dxa"/>
          </w:tcPr>
          <w:p w14:paraId="68F808D3" w14:textId="77777777" w:rsidR="007A7D7A" w:rsidRPr="007A7D7A" w:rsidRDefault="007A7D7A" w:rsidP="00F11EC1">
            <w:pPr>
              <w:snapToGrid w:val="0"/>
              <w:rPr>
                <w:rFonts w:ascii="Calibri" w:hAnsi="Calibri" w:cs="Calibri"/>
                <w:sz w:val="18"/>
                <w:szCs w:val="18"/>
              </w:rPr>
            </w:pPr>
            <w:r w:rsidRPr="007A7D7A">
              <w:rPr>
                <w:rFonts w:ascii="Calibri" w:hAnsi="Calibri" w:cs="Calibri"/>
                <w:sz w:val="18"/>
                <w:szCs w:val="18"/>
              </w:rPr>
              <w:t>Mieszanki mineralno-asfaltowe – Metody badań mieszanek mineralno-asfaltowych na gorąco – Część 11: Określenie powiązania pomiędzy kruszywem i asfaltem</w:t>
            </w:r>
          </w:p>
        </w:tc>
      </w:tr>
      <w:tr w:rsidR="007A7D7A" w:rsidRPr="007A7D7A" w14:paraId="7E7E2E7F" w14:textId="77777777" w:rsidTr="00F11EC1">
        <w:tc>
          <w:tcPr>
            <w:tcW w:w="534" w:type="dxa"/>
          </w:tcPr>
          <w:p w14:paraId="189A66F6" w14:textId="77777777" w:rsidR="007A7D7A" w:rsidRPr="007A7D7A" w:rsidRDefault="007A7D7A" w:rsidP="00F11EC1">
            <w:pPr>
              <w:snapToGrid w:val="0"/>
              <w:rPr>
                <w:rFonts w:ascii="Calibri" w:hAnsi="Calibri" w:cs="Calibri"/>
                <w:sz w:val="18"/>
                <w:szCs w:val="18"/>
              </w:rPr>
            </w:pPr>
            <w:r w:rsidRPr="007A7D7A">
              <w:rPr>
                <w:rFonts w:ascii="Calibri" w:hAnsi="Calibri" w:cs="Calibri"/>
                <w:sz w:val="18"/>
                <w:szCs w:val="18"/>
              </w:rPr>
              <w:t>35.</w:t>
            </w:r>
          </w:p>
        </w:tc>
        <w:tc>
          <w:tcPr>
            <w:tcW w:w="1842" w:type="dxa"/>
          </w:tcPr>
          <w:p w14:paraId="766CA030" w14:textId="77777777" w:rsidR="007A7D7A" w:rsidRPr="007A7D7A" w:rsidRDefault="007A7D7A" w:rsidP="00F11EC1">
            <w:pPr>
              <w:snapToGrid w:val="0"/>
              <w:rPr>
                <w:rFonts w:ascii="Calibri" w:hAnsi="Calibri" w:cs="Calibri"/>
                <w:sz w:val="18"/>
                <w:szCs w:val="18"/>
              </w:rPr>
            </w:pPr>
            <w:r w:rsidRPr="007A7D7A">
              <w:rPr>
                <w:rFonts w:ascii="Calibri" w:hAnsi="Calibri" w:cs="Calibri"/>
                <w:sz w:val="18"/>
                <w:szCs w:val="18"/>
              </w:rPr>
              <w:t>PN-EN 12697-12</w:t>
            </w:r>
          </w:p>
        </w:tc>
        <w:tc>
          <w:tcPr>
            <w:tcW w:w="7371" w:type="dxa"/>
          </w:tcPr>
          <w:p w14:paraId="404A53D0" w14:textId="77777777" w:rsidR="007A7D7A" w:rsidRPr="007A7D7A" w:rsidRDefault="007A7D7A" w:rsidP="00F11EC1">
            <w:pPr>
              <w:snapToGrid w:val="0"/>
              <w:rPr>
                <w:rFonts w:ascii="Calibri" w:hAnsi="Calibri" w:cs="Calibri"/>
                <w:sz w:val="18"/>
                <w:szCs w:val="18"/>
              </w:rPr>
            </w:pPr>
            <w:r w:rsidRPr="007A7D7A">
              <w:rPr>
                <w:rFonts w:ascii="Calibri" w:hAnsi="Calibri" w:cs="Calibri"/>
                <w:sz w:val="18"/>
                <w:szCs w:val="18"/>
              </w:rPr>
              <w:t>Mieszanki mineralno-asfaltowe – Metody badań mieszanek mineralno-asfaltowych na gorąco – Część 12: Określanie wrażliwości na wodę</w:t>
            </w:r>
          </w:p>
        </w:tc>
      </w:tr>
      <w:tr w:rsidR="007A7D7A" w:rsidRPr="007A7D7A" w14:paraId="27B861E7" w14:textId="77777777" w:rsidTr="00F11EC1">
        <w:tc>
          <w:tcPr>
            <w:tcW w:w="534" w:type="dxa"/>
          </w:tcPr>
          <w:p w14:paraId="49CAB978" w14:textId="77777777" w:rsidR="007A7D7A" w:rsidRPr="007A7D7A" w:rsidRDefault="007A7D7A" w:rsidP="00F11EC1">
            <w:pPr>
              <w:snapToGrid w:val="0"/>
              <w:rPr>
                <w:rFonts w:ascii="Calibri" w:hAnsi="Calibri" w:cs="Calibri"/>
                <w:sz w:val="18"/>
                <w:szCs w:val="18"/>
              </w:rPr>
            </w:pPr>
            <w:r w:rsidRPr="007A7D7A">
              <w:rPr>
                <w:rFonts w:ascii="Calibri" w:hAnsi="Calibri" w:cs="Calibri"/>
                <w:sz w:val="18"/>
                <w:szCs w:val="18"/>
              </w:rPr>
              <w:t>36.</w:t>
            </w:r>
          </w:p>
        </w:tc>
        <w:tc>
          <w:tcPr>
            <w:tcW w:w="1842" w:type="dxa"/>
          </w:tcPr>
          <w:p w14:paraId="013A09D6" w14:textId="77777777" w:rsidR="007A7D7A" w:rsidRPr="007A7D7A" w:rsidRDefault="007A7D7A" w:rsidP="00F11EC1">
            <w:pPr>
              <w:snapToGrid w:val="0"/>
              <w:rPr>
                <w:rFonts w:ascii="Calibri" w:hAnsi="Calibri" w:cs="Calibri"/>
                <w:sz w:val="18"/>
                <w:szCs w:val="18"/>
              </w:rPr>
            </w:pPr>
            <w:r w:rsidRPr="007A7D7A">
              <w:rPr>
                <w:rFonts w:ascii="Calibri" w:hAnsi="Calibri" w:cs="Calibri"/>
                <w:sz w:val="18"/>
                <w:szCs w:val="18"/>
              </w:rPr>
              <w:t>PN-EN 12697-13</w:t>
            </w:r>
          </w:p>
        </w:tc>
        <w:tc>
          <w:tcPr>
            <w:tcW w:w="7371" w:type="dxa"/>
          </w:tcPr>
          <w:p w14:paraId="2A981708" w14:textId="77777777" w:rsidR="007A7D7A" w:rsidRPr="007A7D7A" w:rsidRDefault="007A7D7A" w:rsidP="00F11EC1">
            <w:pPr>
              <w:snapToGrid w:val="0"/>
              <w:rPr>
                <w:rFonts w:ascii="Calibri" w:hAnsi="Calibri" w:cs="Calibri"/>
                <w:sz w:val="18"/>
                <w:szCs w:val="18"/>
              </w:rPr>
            </w:pPr>
            <w:r w:rsidRPr="007A7D7A">
              <w:rPr>
                <w:rFonts w:ascii="Calibri" w:hAnsi="Calibri" w:cs="Calibri"/>
                <w:sz w:val="18"/>
                <w:szCs w:val="18"/>
              </w:rPr>
              <w:t>Mieszanki mineralno-asfaltowe – Metody badań mieszanek mineralno-asfaltowych na gorąco – Część 13: Pomiar temperatury</w:t>
            </w:r>
          </w:p>
        </w:tc>
      </w:tr>
      <w:tr w:rsidR="007A7D7A" w:rsidRPr="007A7D7A" w14:paraId="3440C2E9" w14:textId="77777777" w:rsidTr="00F11EC1">
        <w:tc>
          <w:tcPr>
            <w:tcW w:w="534" w:type="dxa"/>
          </w:tcPr>
          <w:p w14:paraId="6790B1A5" w14:textId="77777777" w:rsidR="007A7D7A" w:rsidRPr="007A7D7A" w:rsidRDefault="007A7D7A" w:rsidP="00F11EC1">
            <w:pPr>
              <w:snapToGrid w:val="0"/>
              <w:rPr>
                <w:rFonts w:ascii="Calibri" w:hAnsi="Calibri" w:cs="Calibri"/>
                <w:sz w:val="18"/>
                <w:szCs w:val="18"/>
              </w:rPr>
            </w:pPr>
            <w:r w:rsidRPr="007A7D7A">
              <w:rPr>
                <w:rFonts w:ascii="Calibri" w:hAnsi="Calibri" w:cs="Calibri"/>
                <w:sz w:val="18"/>
                <w:szCs w:val="18"/>
              </w:rPr>
              <w:t>37.</w:t>
            </w:r>
          </w:p>
        </w:tc>
        <w:tc>
          <w:tcPr>
            <w:tcW w:w="1842" w:type="dxa"/>
          </w:tcPr>
          <w:p w14:paraId="34FBFD84" w14:textId="77777777" w:rsidR="007A7D7A" w:rsidRPr="007A7D7A" w:rsidRDefault="007A7D7A" w:rsidP="00F11EC1">
            <w:pPr>
              <w:snapToGrid w:val="0"/>
              <w:rPr>
                <w:rFonts w:ascii="Calibri" w:hAnsi="Calibri" w:cs="Calibri"/>
                <w:sz w:val="18"/>
                <w:szCs w:val="18"/>
              </w:rPr>
            </w:pPr>
            <w:r w:rsidRPr="007A7D7A">
              <w:rPr>
                <w:rFonts w:ascii="Calibri" w:hAnsi="Calibri" w:cs="Calibri"/>
                <w:sz w:val="18"/>
                <w:szCs w:val="18"/>
              </w:rPr>
              <w:t>PN-EN 12697-18</w:t>
            </w:r>
          </w:p>
        </w:tc>
        <w:tc>
          <w:tcPr>
            <w:tcW w:w="7371" w:type="dxa"/>
          </w:tcPr>
          <w:p w14:paraId="423988C5" w14:textId="77777777" w:rsidR="007A7D7A" w:rsidRPr="007A7D7A" w:rsidRDefault="007A7D7A" w:rsidP="00F11EC1">
            <w:pPr>
              <w:snapToGrid w:val="0"/>
              <w:rPr>
                <w:rFonts w:ascii="Calibri" w:hAnsi="Calibri" w:cs="Calibri"/>
                <w:sz w:val="18"/>
                <w:szCs w:val="18"/>
              </w:rPr>
            </w:pPr>
            <w:r w:rsidRPr="007A7D7A">
              <w:rPr>
                <w:rFonts w:ascii="Calibri" w:hAnsi="Calibri" w:cs="Calibri"/>
                <w:sz w:val="18"/>
                <w:szCs w:val="18"/>
              </w:rPr>
              <w:t>Mieszanki mineralno-asfaltowe – Metody badań mieszanek mineralno-asfaltowych na gorąco – Część 18: Spływanie lepiszcza</w:t>
            </w:r>
          </w:p>
        </w:tc>
      </w:tr>
      <w:tr w:rsidR="007A7D7A" w:rsidRPr="007A7D7A" w14:paraId="2CBF7877" w14:textId="77777777" w:rsidTr="00F11EC1">
        <w:tc>
          <w:tcPr>
            <w:tcW w:w="534" w:type="dxa"/>
          </w:tcPr>
          <w:p w14:paraId="33823A37" w14:textId="77777777" w:rsidR="007A7D7A" w:rsidRPr="007A7D7A" w:rsidRDefault="007A7D7A" w:rsidP="00F11EC1">
            <w:pPr>
              <w:snapToGrid w:val="0"/>
              <w:rPr>
                <w:rFonts w:ascii="Calibri" w:hAnsi="Calibri" w:cs="Calibri"/>
                <w:sz w:val="18"/>
                <w:szCs w:val="18"/>
              </w:rPr>
            </w:pPr>
            <w:r w:rsidRPr="007A7D7A">
              <w:rPr>
                <w:rFonts w:ascii="Calibri" w:hAnsi="Calibri" w:cs="Calibri"/>
                <w:sz w:val="18"/>
                <w:szCs w:val="18"/>
              </w:rPr>
              <w:t>38.</w:t>
            </w:r>
          </w:p>
        </w:tc>
        <w:tc>
          <w:tcPr>
            <w:tcW w:w="1842" w:type="dxa"/>
          </w:tcPr>
          <w:p w14:paraId="26001418" w14:textId="77777777" w:rsidR="007A7D7A" w:rsidRPr="007A7D7A" w:rsidRDefault="007A7D7A" w:rsidP="00F11EC1">
            <w:pPr>
              <w:snapToGrid w:val="0"/>
              <w:rPr>
                <w:rFonts w:ascii="Calibri" w:hAnsi="Calibri" w:cs="Calibri"/>
                <w:sz w:val="18"/>
                <w:szCs w:val="18"/>
              </w:rPr>
            </w:pPr>
            <w:r w:rsidRPr="007A7D7A">
              <w:rPr>
                <w:rFonts w:ascii="Calibri" w:hAnsi="Calibri" w:cs="Calibri"/>
                <w:sz w:val="18"/>
                <w:szCs w:val="18"/>
              </w:rPr>
              <w:t>PN-EN 12697-22</w:t>
            </w:r>
          </w:p>
        </w:tc>
        <w:tc>
          <w:tcPr>
            <w:tcW w:w="7371" w:type="dxa"/>
          </w:tcPr>
          <w:p w14:paraId="6C0F9477" w14:textId="77777777" w:rsidR="007A7D7A" w:rsidRPr="007A7D7A" w:rsidRDefault="007A7D7A" w:rsidP="00F11EC1">
            <w:pPr>
              <w:snapToGrid w:val="0"/>
              <w:rPr>
                <w:rFonts w:ascii="Calibri" w:hAnsi="Calibri" w:cs="Calibri"/>
                <w:sz w:val="18"/>
                <w:szCs w:val="18"/>
              </w:rPr>
            </w:pPr>
            <w:r w:rsidRPr="007A7D7A">
              <w:rPr>
                <w:rFonts w:ascii="Calibri" w:hAnsi="Calibri" w:cs="Calibri"/>
                <w:sz w:val="18"/>
                <w:szCs w:val="18"/>
              </w:rPr>
              <w:t>Mieszanki mineralno-asfaltowe – Metody badań mieszanek mineralno-asfaltowych na gorąco – Część 22: Koleinowanie</w:t>
            </w:r>
          </w:p>
        </w:tc>
      </w:tr>
      <w:tr w:rsidR="007A7D7A" w:rsidRPr="007A7D7A" w14:paraId="2BB6612A" w14:textId="77777777" w:rsidTr="00F11EC1">
        <w:tc>
          <w:tcPr>
            <w:tcW w:w="534" w:type="dxa"/>
          </w:tcPr>
          <w:p w14:paraId="487D41F9" w14:textId="77777777" w:rsidR="007A7D7A" w:rsidRPr="007A7D7A" w:rsidRDefault="007A7D7A" w:rsidP="00F11EC1">
            <w:pPr>
              <w:snapToGrid w:val="0"/>
              <w:rPr>
                <w:rFonts w:ascii="Calibri" w:hAnsi="Calibri" w:cs="Calibri"/>
                <w:sz w:val="18"/>
                <w:szCs w:val="18"/>
              </w:rPr>
            </w:pPr>
            <w:r w:rsidRPr="007A7D7A">
              <w:rPr>
                <w:rFonts w:ascii="Calibri" w:hAnsi="Calibri" w:cs="Calibri"/>
                <w:sz w:val="18"/>
                <w:szCs w:val="18"/>
              </w:rPr>
              <w:t>39.</w:t>
            </w:r>
          </w:p>
        </w:tc>
        <w:tc>
          <w:tcPr>
            <w:tcW w:w="1842" w:type="dxa"/>
          </w:tcPr>
          <w:p w14:paraId="0858D802" w14:textId="77777777" w:rsidR="007A7D7A" w:rsidRPr="007A7D7A" w:rsidRDefault="007A7D7A" w:rsidP="00F11EC1">
            <w:pPr>
              <w:snapToGrid w:val="0"/>
              <w:rPr>
                <w:rFonts w:ascii="Calibri" w:hAnsi="Calibri" w:cs="Calibri"/>
                <w:sz w:val="18"/>
                <w:szCs w:val="18"/>
              </w:rPr>
            </w:pPr>
            <w:r w:rsidRPr="007A7D7A">
              <w:rPr>
                <w:rFonts w:ascii="Calibri" w:hAnsi="Calibri" w:cs="Calibri"/>
                <w:sz w:val="18"/>
                <w:szCs w:val="18"/>
              </w:rPr>
              <w:t>PN-EN 12697-27</w:t>
            </w:r>
          </w:p>
        </w:tc>
        <w:tc>
          <w:tcPr>
            <w:tcW w:w="7371" w:type="dxa"/>
          </w:tcPr>
          <w:p w14:paraId="53638371" w14:textId="77777777" w:rsidR="007A7D7A" w:rsidRPr="007A7D7A" w:rsidRDefault="007A7D7A" w:rsidP="00F11EC1">
            <w:pPr>
              <w:snapToGrid w:val="0"/>
              <w:rPr>
                <w:rFonts w:ascii="Calibri" w:hAnsi="Calibri" w:cs="Calibri"/>
                <w:sz w:val="18"/>
                <w:szCs w:val="18"/>
              </w:rPr>
            </w:pPr>
            <w:r w:rsidRPr="007A7D7A">
              <w:rPr>
                <w:rFonts w:ascii="Calibri" w:hAnsi="Calibri" w:cs="Calibri"/>
                <w:sz w:val="18"/>
                <w:szCs w:val="18"/>
              </w:rPr>
              <w:t>Mieszanki mineralno-asfaltowe – Metody badań mieszanek mineralno-asfaltowych na gorąco – Część 27: Pobieranie próbek</w:t>
            </w:r>
          </w:p>
        </w:tc>
      </w:tr>
      <w:tr w:rsidR="007A7D7A" w:rsidRPr="007A7D7A" w14:paraId="6FFBA11C" w14:textId="77777777" w:rsidTr="00F11EC1">
        <w:tc>
          <w:tcPr>
            <w:tcW w:w="534" w:type="dxa"/>
          </w:tcPr>
          <w:p w14:paraId="0EBA5D4E" w14:textId="77777777" w:rsidR="007A7D7A" w:rsidRPr="007A7D7A" w:rsidRDefault="007A7D7A" w:rsidP="00F11EC1">
            <w:pPr>
              <w:snapToGrid w:val="0"/>
              <w:rPr>
                <w:rFonts w:ascii="Calibri" w:hAnsi="Calibri" w:cs="Calibri"/>
                <w:sz w:val="18"/>
                <w:szCs w:val="18"/>
              </w:rPr>
            </w:pPr>
            <w:r w:rsidRPr="007A7D7A">
              <w:rPr>
                <w:rFonts w:ascii="Calibri" w:hAnsi="Calibri" w:cs="Calibri"/>
                <w:sz w:val="18"/>
                <w:szCs w:val="18"/>
              </w:rPr>
              <w:t>40.</w:t>
            </w:r>
          </w:p>
        </w:tc>
        <w:tc>
          <w:tcPr>
            <w:tcW w:w="1842" w:type="dxa"/>
          </w:tcPr>
          <w:p w14:paraId="1E9A3308" w14:textId="77777777" w:rsidR="007A7D7A" w:rsidRPr="007A7D7A" w:rsidRDefault="007A7D7A" w:rsidP="00F11EC1">
            <w:pPr>
              <w:snapToGrid w:val="0"/>
              <w:rPr>
                <w:rFonts w:ascii="Calibri" w:hAnsi="Calibri" w:cs="Calibri"/>
                <w:sz w:val="18"/>
                <w:szCs w:val="18"/>
              </w:rPr>
            </w:pPr>
            <w:r w:rsidRPr="007A7D7A">
              <w:rPr>
                <w:rFonts w:ascii="Calibri" w:hAnsi="Calibri" w:cs="Calibri"/>
                <w:sz w:val="18"/>
                <w:szCs w:val="18"/>
              </w:rPr>
              <w:t>PN-EN 12697-36</w:t>
            </w:r>
          </w:p>
        </w:tc>
        <w:tc>
          <w:tcPr>
            <w:tcW w:w="7371" w:type="dxa"/>
          </w:tcPr>
          <w:p w14:paraId="1CA48E81" w14:textId="77777777" w:rsidR="007A7D7A" w:rsidRPr="007A7D7A" w:rsidRDefault="007A7D7A" w:rsidP="00F11EC1">
            <w:pPr>
              <w:snapToGrid w:val="0"/>
              <w:rPr>
                <w:rFonts w:ascii="Calibri" w:hAnsi="Calibri" w:cs="Calibri"/>
                <w:sz w:val="18"/>
                <w:szCs w:val="18"/>
              </w:rPr>
            </w:pPr>
            <w:r w:rsidRPr="007A7D7A">
              <w:rPr>
                <w:rFonts w:ascii="Calibri" w:hAnsi="Calibri" w:cs="Calibri"/>
                <w:sz w:val="18"/>
                <w:szCs w:val="18"/>
              </w:rPr>
              <w:t>Mieszanki mineralno-asfaltowe – Metody badań mieszanek mineralno-asfaltowych na gorąco – Część 36: Oznaczanie grubości nawierzchni asfaltowych</w:t>
            </w:r>
          </w:p>
        </w:tc>
      </w:tr>
      <w:tr w:rsidR="007A7D7A" w:rsidRPr="007A7D7A" w14:paraId="4B5B1F45" w14:textId="77777777" w:rsidTr="00F11EC1">
        <w:tc>
          <w:tcPr>
            <w:tcW w:w="534" w:type="dxa"/>
          </w:tcPr>
          <w:p w14:paraId="23609C7F" w14:textId="77777777" w:rsidR="007A7D7A" w:rsidRPr="007A7D7A" w:rsidRDefault="007A7D7A" w:rsidP="00F11EC1">
            <w:pPr>
              <w:snapToGrid w:val="0"/>
              <w:rPr>
                <w:rFonts w:ascii="Calibri" w:hAnsi="Calibri" w:cs="Calibri"/>
                <w:sz w:val="18"/>
                <w:szCs w:val="18"/>
              </w:rPr>
            </w:pPr>
            <w:r w:rsidRPr="007A7D7A">
              <w:rPr>
                <w:rFonts w:ascii="Calibri" w:hAnsi="Calibri" w:cs="Calibri"/>
                <w:sz w:val="18"/>
                <w:szCs w:val="18"/>
              </w:rPr>
              <w:t>41.</w:t>
            </w:r>
          </w:p>
        </w:tc>
        <w:tc>
          <w:tcPr>
            <w:tcW w:w="1842" w:type="dxa"/>
          </w:tcPr>
          <w:p w14:paraId="4C606836" w14:textId="77777777" w:rsidR="007A7D7A" w:rsidRPr="007A7D7A" w:rsidRDefault="007A7D7A" w:rsidP="00F11EC1">
            <w:pPr>
              <w:snapToGrid w:val="0"/>
              <w:rPr>
                <w:rFonts w:ascii="Calibri" w:hAnsi="Calibri" w:cs="Calibri"/>
                <w:sz w:val="18"/>
                <w:szCs w:val="18"/>
              </w:rPr>
            </w:pPr>
            <w:r w:rsidRPr="007A7D7A">
              <w:rPr>
                <w:rFonts w:ascii="Calibri" w:hAnsi="Calibri" w:cs="Calibri"/>
                <w:sz w:val="18"/>
                <w:szCs w:val="18"/>
              </w:rPr>
              <w:t>PN-EN 12846</w:t>
            </w:r>
          </w:p>
        </w:tc>
        <w:tc>
          <w:tcPr>
            <w:tcW w:w="7371" w:type="dxa"/>
          </w:tcPr>
          <w:p w14:paraId="298AC2AD" w14:textId="77777777" w:rsidR="007A7D7A" w:rsidRPr="007A7D7A" w:rsidRDefault="007A7D7A" w:rsidP="00F11EC1">
            <w:pPr>
              <w:snapToGrid w:val="0"/>
              <w:rPr>
                <w:rFonts w:ascii="Calibri" w:hAnsi="Calibri" w:cs="Calibri"/>
                <w:sz w:val="18"/>
                <w:szCs w:val="18"/>
              </w:rPr>
            </w:pPr>
            <w:r w:rsidRPr="007A7D7A">
              <w:rPr>
                <w:rFonts w:ascii="Calibri" w:hAnsi="Calibri" w:cs="Calibri"/>
                <w:sz w:val="18"/>
                <w:szCs w:val="18"/>
              </w:rPr>
              <w:t>Asfalty i lepiszcza asfaltowe – Oznaczanie czasu wypływu emulsji asfaltowych lepkościomierzem wypływowym</w:t>
            </w:r>
          </w:p>
        </w:tc>
      </w:tr>
      <w:tr w:rsidR="007A7D7A" w:rsidRPr="007A7D7A" w14:paraId="3EA3CEE4" w14:textId="77777777" w:rsidTr="00F11EC1">
        <w:tc>
          <w:tcPr>
            <w:tcW w:w="534" w:type="dxa"/>
          </w:tcPr>
          <w:p w14:paraId="01CB6B4B" w14:textId="77777777" w:rsidR="007A7D7A" w:rsidRPr="007A7D7A" w:rsidRDefault="007A7D7A" w:rsidP="00F11EC1">
            <w:pPr>
              <w:snapToGrid w:val="0"/>
              <w:rPr>
                <w:rFonts w:ascii="Calibri" w:hAnsi="Calibri" w:cs="Calibri"/>
                <w:sz w:val="18"/>
                <w:szCs w:val="18"/>
              </w:rPr>
            </w:pPr>
            <w:r w:rsidRPr="007A7D7A">
              <w:rPr>
                <w:rFonts w:ascii="Calibri" w:hAnsi="Calibri" w:cs="Calibri"/>
                <w:sz w:val="18"/>
                <w:szCs w:val="18"/>
              </w:rPr>
              <w:t>42.</w:t>
            </w:r>
          </w:p>
        </w:tc>
        <w:tc>
          <w:tcPr>
            <w:tcW w:w="1842" w:type="dxa"/>
          </w:tcPr>
          <w:p w14:paraId="73DFCBD3" w14:textId="77777777" w:rsidR="007A7D7A" w:rsidRPr="007A7D7A" w:rsidRDefault="007A7D7A" w:rsidP="00F11EC1">
            <w:pPr>
              <w:snapToGrid w:val="0"/>
              <w:rPr>
                <w:rFonts w:ascii="Calibri" w:hAnsi="Calibri" w:cs="Calibri"/>
                <w:sz w:val="18"/>
                <w:szCs w:val="18"/>
              </w:rPr>
            </w:pPr>
            <w:r w:rsidRPr="007A7D7A">
              <w:rPr>
                <w:rFonts w:ascii="Calibri" w:hAnsi="Calibri" w:cs="Calibri"/>
                <w:sz w:val="18"/>
                <w:szCs w:val="18"/>
              </w:rPr>
              <w:t>PN-EN 12847</w:t>
            </w:r>
          </w:p>
        </w:tc>
        <w:tc>
          <w:tcPr>
            <w:tcW w:w="7371" w:type="dxa"/>
          </w:tcPr>
          <w:p w14:paraId="6B9B449B" w14:textId="77777777" w:rsidR="007A7D7A" w:rsidRPr="007A7D7A" w:rsidRDefault="007A7D7A" w:rsidP="00F11EC1">
            <w:pPr>
              <w:snapToGrid w:val="0"/>
              <w:rPr>
                <w:rFonts w:ascii="Calibri" w:hAnsi="Calibri" w:cs="Calibri"/>
                <w:sz w:val="18"/>
                <w:szCs w:val="18"/>
              </w:rPr>
            </w:pPr>
            <w:r w:rsidRPr="007A7D7A">
              <w:rPr>
                <w:rFonts w:ascii="Calibri" w:hAnsi="Calibri" w:cs="Calibri"/>
                <w:sz w:val="18"/>
                <w:szCs w:val="18"/>
              </w:rPr>
              <w:t>Asfalty i lepiszcza asfaltowe – Oznaczanie sedymentacji emulsji asfaltowych</w:t>
            </w:r>
          </w:p>
        </w:tc>
      </w:tr>
      <w:tr w:rsidR="007A7D7A" w:rsidRPr="007A7D7A" w14:paraId="292A0723" w14:textId="77777777" w:rsidTr="00F11EC1">
        <w:tc>
          <w:tcPr>
            <w:tcW w:w="534" w:type="dxa"/>
          </w:tcPr>
          <w:p w14:paraId="2D44DFEA" w14:textId="77777777" w:rsidR="007A7D7A" w:rsidRPr="007A7D7A" w:rsidRDefault="007A7D7A" w:rsidP="00F11EC1">
            <w:pPr>
              <w:snapToGrid w:val="0"/>
              <w:rPr>
                <w:rFonts w:ascii="Calibri" w:hAnsi="Calibri" w:cs="Calibri"/>
                <w:sz w:val="18"/>
                <w:szCs w:val="18"/>
              </w:rPr>
            </w:pPr>
            <w:r w:rsidRPr="007A7D7A">
              <w:rPr>
                <w:rFonts w:ascii="Calibri" w:hAnsi="Calibri" w:cs="Calibri"/>
                <w:sz w:val="18"/>
                <w:szCs w:val="18"/>
              </w:rPr>
              <w:t>43.</w:t>
            </w:r>
          </w:p>
        </w:tc>
        <w:tc>
          <w:tcPr>
            <w:tcW w:w="1842" w:type="dxa"/>
          </w:tcPr>
          <w:p w14:paraId="464EDABD" w14:textId="77777777" w:rsidR="007A7D7A" w:rsidRPr="007A7D7A" w:rsidRDefault="007A7D7A" w:rsidP="00F11EC1">
            <w:pPr>
              <w:snapToGrid w:val="0"/>
              <w:rPr>
                <w:rFonts w:ascii="Calibri" w:hAnsi="Calibri" w:cs="Calibri"/>
                <w:sz w:val="18"/>
                <w:szCs w:val="18"/>
              </w:rPr>
            </w:pPr>
            <w:r w:rsidRPr="007A7D7A">
              <w:rPr>
                <w:rFonts w:ascii="Calibri" w:hAnsi="Calibri" w:cs="Calibri"/>
                <w:sz w:val="18"/>
                <w:szCs w:val="18"/>
              </w:rPr>
              <w:t>PN-EN 12850</w:t>
            </w:r>
          </w:p>
        </w:tc>
        <w:tc>
          <w:tcPr>
            <w:tcW w:w="7371" w:type="dxa"/>
          </w:tcPr>
          <w:p w14:paraId="5A2A707B" w14:textId="77777777" w:rsidR="007A7D7A" w:rsidRPr="007A7D7A" w:rsidRDefault="007A7D7A" w:rsidP="00F11EC1">
            <w:pPr>
              <w:snapToGrid w:val="0"/>
              <w:rPr>
                <w:rFonts w:ascii="Calibri" w:hAnsi="Calibri" w:cs="Calibri"/>
                <w:sz w:val="18"/>
                <w:szCs w:val="18"/>
              </w:rPr>
            </w:pPr>
            <w:r w:rsidRPr="007A7D7A">
              <w:rPr>
                <w:rFonts w:ascii="Calibri" w:hAnsi="Calibri" w:cs="Calibri"/>
                <w:sz w:val="18"/>
                <w:szCs w:val="18"/>
              </w:rPr>
              <w:t>Asfalty i lepiszcza asfaltowe – Oznaczanie wartości pH emulsji asfaltowych</w:t>
            </w:r>
          </w:p>
        </w:tc>
      </w:tr>
      <w:tr w:rsidR="007A7D7A" w:rsidRPr="007A7D7A" w14:paraId="0EDA2B0E" w14:textId="77777777" w:rsidTr="00F11EC1">
        <w:tc>
          <w:tcPr>
            <w:tcW w:w="534" w:type="dxa"/>
          </w:tcPr>
          <w:p w14:paraId="4C608522" w14:textId="77777777" w:rsidR="007A7D7A" w:rsidRPr="007A7D7A" w:rsidRDefault="007A7D7A" w:rsidP="00F11EC1">
            <w:pPr>
              <w:snapToGrid w:val="0"/>
              <w:rPr>
                <w:rFonts w:ascii="Calibri" w:hAnsi="Calibri" w:cs="Calibri"/>
                <w:sz w:val="18"/>
                <w:szCs w:val="18"/>
              </w:rPr>
            </w:pPr>
            <w:r w:rsidRPr="007A7D7A">
              <w:rPr>
                <w:rFonts w:ascii="Calibri" w:hAnsi="Calibri" w:cs="Calibri"/>
                <w:sz w:val="18"/>
                <w:szCs w:val="18"/>
              </w:rPr>
              <w:t>44.</w:t>
            </w:r>
          </w:p>
        </w:tc>
        <w:tc>
          <w:tcPr>
            <w:tcW w:w="1842" w:type="dxa"/>
          </w:tcPr>
          <w:p w14:paraId="2DE044C4" w14:textId="77777777" w:rsidR="007A7D7A" w:rsidRPr="007A7D7A" w:rsidRDefault="007A7D7A" w:rsidP="00F11EC1">
            <w:pPr>
              <w:snapToGrid w:val="0"/>
              <w:rPr>
                <w:rFonts w:ascii="Calibri" w:hAnsi="Calibri" w:cs="Calibri"/>
                <w:sz w:val="18"/>
                <w:szCs w:val="18"/>
              </w:rPr>
            </w:pPr>
            <w:r w:rsidRPr="007A7D7A">
              <w:rPr>
                <w:rFonts w:ascii="Calibri" w:hAnsi="Calibri" w:cs="Calibri"/>
                <w:sz w:val="18"/>
                <w:szCs w:val="18"/>
              </w:rPr>
              <w:t>PN-EN 13043</w:t>
            </w:r>
          </w:p>
        </w:tc>
        <w:tc>
          <w:tcPr>
            <w:tcW w:w="7371" w:type="dxa"/>
          </w:tcPr>
          <w:p w14:paraId="0FBADDC3" w14:textId="77777777" w:rsidR="007A7D7A" w:rsidRPr="007A7D7A" w:rsidRDefault="007A7D7A" w:rsidP="00F11EC1">
            <w:pPr>
              <w:snapToGrid w:val="0"/>
              <w:rPr>
                <w:rFonts w:ascii="Calibri" w:hAnsi="Calibri" w:cs="Calibri"/>
                <w:sz w:val="18"/>
                <w:szCs w:val="18"/>
              </w:rPr>
            </w:pPr>
            <w:r w:rsidRPr="007A7D7A">
              <w:rPr>
                <w:rFonts w:ascii="Calibri" w:hAnsi="Calibri" w:cs="Calibri"/>
                <w:sz w:val="18"/>
                <w:szCs w:val="18"/>
              </w:rPr>
              <w:t>Kruszywa do mieszanek bitumicznych i powierzchniowych utrwaleń stosowanych na drogach, lotniskach i innych powierzchniach przeznaczonych do ruchu</w:t>
            </w:r>
          </w:p>
        </w:tc>
      </w:tr>
      <w:tr w:rsidR="007A7D7A" w:rsidRPr="007A7D7A" w14:paraId="6A7A2B59" w14:textId="77777777" w:rsidTr="00F11EC1">
        <w:tc>
          <w:tcPr>
            <w:tcW w:w="534" w:type="dxa"/>
          </w:tcPr>
          <w:p w14:paraId="62B267D0" w14:textId="77777777" w:rsidR="007A7D7A" w:rsidRPr="007A7D7A" w:rsidRDefault="007A7D7A" w:rsidP="00F11EC1">
            <w:pPr>
              <w:snapToGrid w:val="0"/>
              <w:rPr>
                <w:rFonts w:ascii="Calibri" w:hAnsi="Calibri" w:cs="Calibri"/>
                <w:sz w:val="18"/>
                <w:szCs w:val="18"/>
              </w:rPr>
            </w:pPr>
            <w:r w:rsidRPr="007A7D7A">
              <w:rPr>
                <w:rFonts w:ascii="Calibri" w:hAnsi="Calibri" w:cs="Calibri"/>
                <w:sz w:val="18"/>
                <w:szCs w:val="18"/>
              </w:rPr>
              <w:t>45.</w:t>
            </w:r>
          </w:p>
        </w:tc>
        <w:tc>
          <w:tcPr>
            <w:tcW w:w="1842" w:type="dxa"/>
          </w:tcPr>
          <w:p w14:paraId="71458B73" w14:textId="77777777" w:rsidR="007A7D7A" w:rsidRPr="007A7D7A" w:rsidRDefault="007A7D7A" w:rsidP="00F11EC1">
            <w:pPr>
              <w:snapToGrid w:val="0"/>
              <w:rPr>
                <w:rFonts w:ascii="Calibri" w:hAnsi="Calibri" w:cs="Calibri"/>
                <w:sz w:val="18"/>
                <w:szCs w:val="18"/>
              </w:rPr>
            </w:pPr>
            <w:r w:rsidRPr="007A7D7A">
              <w:rPr>
                <w:rFonts w:ascii="Calibri" w:hAnsi="Calibri" w:cs="Calibri"/>
                <w:sz w:val="18"/>
                <w:szCs w:val="18"/>
              </w:rPr>
              <w:t>PN-EN 13074</w:t>
            </w:r>
          </w:p>
        </w:tc>
        <w:tc>
          <w:tcPr>
            <w:tcW w:w="7371" w:type="dxa"/>
          </w:tcPr>
          <w:p w14:paraId="1403A268" w14:textId="77777777" w:rsidR="007A7D7A" w:rsidRPr="007A7D7A" w:rsidRDefault="007A7D7A" w:rsidP="00F11EC1">
            <w:pPr>
              <w:snapToGrid w:val="0"/>
              <w:rPr>
                <w:rFonts w:ascii="Calibri" w:hAnsi="Calibri" w:cs="Calibri"/>
                <w:sz w:val="18"/>
                <w:szCs w:val="18"/>
              </w:rPr>
            </w:pPr>
            <w:r w:rsidRPr="007A7D7A">
              <w:rPr>
                <w:rFonts w:ascii="Calibri" w:hAnsi="Calibri" w:cs="Calibri"/>
                <w:sz w:val="18"/>
                <w:szCs w:val="18"/>
              </w:rPr>
              <w:t>Asfalty i lepiszcza asfaltowe – Oznaczanie lepiszczy z emulsji asfaltowych przez odparowanie</w:t>
            </w:r>
          </w:p>
        </w:tc>
      </w:tr>
      <w:tr w:rsidR="007A7D7A" w:rsidRPr="007A7D7A" w14:paraId="3758614E" w14:textId="77777777" w:rsidTr="00F11EC1">
        <w:tc>
          <w:tcPr>
            <w:tcW w:w="534" w:type="dxa"/>
          </w:tcPr>
          <w:p w14:paraId="6BDDDEAE" w14:textId="77777777" w:rsidR="007A7D7A" w:rsidRPr="007A7D7A" w:rsidRDefault="007A7D7A" w:rsidP="00F11EC1">
            <w:pPr>
              <w:snapToGrid w:val="0"/>
              <w:rPr>
                <w:rFonts w:ascii="Calibri" w:hAnsi="Calibri" w:cs="Calibri"/>
                <w:sz w:val="18"/>
                <w:szCs w:val="18"/>
              </w:rPr>
            </w:pPr>
            <w:r w:rsidRPr="007A7D7A">
              <w:rPr>
                <w:rFonts w:ascii="Calibri" w:hAnsi="Calibri" w:cs="Calibri"/>
                <w:sz w:val="18"/>
                <w:szCs w:val="18"/>
              </w:rPr>
              <w:t>46.</w:t>
            </w:r>
          </w:p>
        </w:tc>
        <w:tc>
          <w:tcPr>
            <w:tcW w:w="1842" w:type="dxa"/>
          </w:tcPr>
          <w:p w14:paraId="39B4A1E3" w14:textId="77777777" w:rsidR="007A7D7A" w:rsidRPr="007A7D7A" w:rsidRDefault="007A7D7A" w:rsidP="00F11EC1">
            <w:pPr>
              <w:snapToGrid w:val="0"/>
              <w:rPr>
                <w:rFonts w:ascii="Calibri" w:hAnsi="Calibri" w:cs="Calibri"/>
                <w:sz w:val="18"/>
                <w:szCs w:val="18"/>
              </w:rPr>
            </w:pPr>
            <w:r w:rsidRPr="007A7D7A">
              <w:rPr>
                <w:rFonts w:ascii="Calibri" w:hAnsi="Calibri" w:cs="Calibri"/>
                <w:sz w:val="18"/>
                <w:szCs w:val="18"/>
              </w:rPr>
              <w:t>PN-EN 13075-1</w:t>
            </w:r>
          </w:p>
        </w:tc>
        <w:tc>
          <w:tcPr>
            <w:tcW w:w="7371" w:type="dxa"/>
          </w:tcPr>
          <w:p w14:paraId="61B351DC" w14:textId="77777777" w:rsidR="007A7D7A" w:rsidRPr="007A7D7A" w:rsidRDefault="007A7D7A" w:rsidP="00F11EC1">
            <w:pPr>
              <w:snapToGrid w:val="0"/>
              <w:rPr>
                <w:rFonts w:ascii="Calibri" w:hAnsi="Calibri" w:cs="Calibri"/>
                <w:sz w:val="18"/>
                <w:szCs w:val="18"/>
              </w:rPr>
            </w:pPr>
            <w:r w:rsidRPr="007A7D7A">
              <w:rPr>
                <w:rFonts w:ascii="Calibri" w:hAnsi="Calibri" w:cs="Calibri"/>
                <w:sz w:val="18"/>
                <w:szCs w:val="18"/>
              </w:rPr>
              <w:t>Asfalty i lepiszcza asfaltowe – Badanie rozpadu – Część 1: Oznaczanie indeksu rozpadu kationowych emulsji asfaltowych, metoda z wypełniaczem mineralnym</w:t>
            </w:r>
          </w:p>
        </w:tc>
      </w:tr>
      <w:tr w:rsidR="007A7D7A" w:rsidRPr="007A7D7A" w14:paraId="4223D601" w14:textId="77777777" w:rsidTr="00F11EC1">
        <w:tc>
          <w:tcPr>
            <w:tcW w:w="534" w:type="dxa"/>
          </w:tcPr>
          <w:p w14:paraId="5499B4E4" w14:textId="77777777" w:rsidR="007A7D7A" w:rsidRPr="007A7D7A" w:rsidRDefault="007A7D7A" w:rsidP="00F11EC1">
            <w:pPr>
              <w:snapToGrid w:val="0"/>
              <w:rPr>
                <w:rFonts w:ascii="Calibri" w:hAnsi="Calibri" w:cs="Calibri"/>
                <w:sz w:val="18"/>
                <w:szCs w:val="18"/>
              </w:rPr>
            </w:pPr>
            <w:r w:rsidRPr="007A7D7A">
              <w:rPr>
                <w:rFonts w:ascii="Calibri" w:hAnsi="Calibri" w:cs="Calibri"/>
                <w:sz w:val="18"/>
                <w:szCs w:val="18"/>
              </w:rPr>
              <w:t>47.</w:t>
            </w:r>
          </w:p>
        </w:tc>
        <w:tc>
          <w:tcPr>
            <w:tcW w:w="1842" w:type="dxa"/>
          </w:tcPr>
          <w:p w14:paraId="27BD7A94" w14:textId="77777777" w:rsidR="007A7D7A" w:rsidRPr="007A7D7A" w:rsidRDefault="007A7D7A" w:rsidP="00F11EC1">
            <w:pPr>
              <w:snapToGrid w:val="0"/>
              <w:rPr>
                <w:rFonts w:ascii="Calibri" w:hAnsi="Calibri" w:cs="Calibri"/>
                <w:sz w:val="18"/>
                <w:szCs w:val="18"/>
              </w:rPr>
            </w:pPr>
            <w:r w:rsidRPr="007A7D7A">
              <w:rPr>
                <w:rFonts w:ascii="Calibri" w:hAnsi="Calibri" w:cs="Calibri"/>
                <w:sz w:val="18"/>
                <w:szCs w:val="18"/>
              </w:rPr>
              <w:t>PN-EN 13108-1</w:t>
            </w:r>
          </w:p>
        </w:tc>
        <w:tc>
          <w:tcPr>
            <w:tcW w:w="7371" w:type="dxa"/>
          </w:tcPr>
          <w:p w14:paraId="2B143AE3" w14:textId="77777777" w:rsidR="007A7D7A" w:rsidRPr="007A7D7A" w:rsidRDefault="007A7D7A" w:rsidP="00F11EC1">
            <w:pPr>
              <w:snapToGrid w:val="0"/>
              <w:rPr>
                <w:rFonts w:ascii="Calibri" w:hAnsi="Calibri" w:cs="Calibri"/>
                <w:sz w:val="18"/>
                <w:szCs w:val="18"/>
              </w:rPr>
            </w:pPr>
            <w:r w:rsidRPr="007A7D7A">
              <w:rPr>
                <w:rFonts w:ascii="Calibri" w:hAnsi="Calibri" w:cs="Calibri"/>
                <w:sz w:val="18"/>
                <w:szCs w:val="18"/>
              </w:rPr>
              <w:t>Mieszanki mineralno-asfaltowe – Wymagania – Część 1: Beton asfaltowy</w:t>
            </w:r>
          </w:p>
        </w:tc>
      </w:tr>
      <w:tr w:rsidR="007A7D7A" w:rsidRPr="007A7D7A" w14:paraId="7F995599" w14:textId="77777777" w:rsidTr="00F11EC1">
        <w:tc>
          <w:tcPr>
            <w:tcW w:w="534" w:type="dxa"/>
          </w:tcPr>
          <w:p w14:paraId="73D5BF66" w14:textId="77777777" w:rsidR="007A7D7A" w:rsidRPr="007A7D7A" w:rsidRDefault="007A7D7A" w:rsidP="00F11EC1">
            <w:pPr>
              <w:snapToGrid w:val="0"/>
              <w:rPr>
                <w:rFonts w:ascii="Calibri" w:hAnsi="Calibri" w:cs="Calibri"/>
                <w:sz w:val="18"/>
                <w:szCs w:val="18"/>
              </w:rPr>
            </w:pPr>
            <w:r w:rsidRPr="007A7D7A">
              <w:rPr>
                <w:rFonts w:ascii="Calibri" w:hAnsi="Calibri" w:cs="Calibri"/>
                <w:sz w:val="18"/>
                <w:szCs w:val="18"/>
              </w:rPr>
              <w:t>48.</w:t>
            </w:r>
          </w:p>
        </w:tc>
        <w:tc>
          <w:tcPr>
            <w:tcW w:w="1842" w:type="dxa"/>
          </w:tcPr>
          <w:p w14:paraId="6A1CA07E" w14:textId="77777777" w:rsidR="007A7D7A" w:rsidRPr="007A7D7A" w:rsidRDefault="007A7D7A" w:rsidP="00F11EC1">
            <w:pPr>
              <w:snapToGrid w:val="0"/>
              <w:rPr>
                <w:rFonts w:ascii="Calibri" w:hAnsi="Calibri" w:cs="Calibri"/>
                <w:sz w:val="18"/>
                <w:szCs w:val="18"/>
              </w:rPr>
            </w:pPr>
            <w:r w:rsidRPr="007A7D7A">
              <w:rPr>
                <w:rFonts w:ascii="Calibri" w:hAnsi="Calibri" w:cs="Calibri"/>
                <w:sz w:val="18"/>
                <w:szCs w:val="18"/>
              </w:rPr>
              <w:t>PN-EN 13108-20</w:t>
            </w:r>
          </w:p>
        </w:tc>
        <w:tc>
          <w:tcPr>
            <w:tcW w:w="7371" w:type="dxa"/>
          </w:tcPr>
          <w:p w14:paraId="6745E61A" w14:textId="77777777" w:rsidR="007A7D7A" w:rsidRPr="007A7D7A" w:rsidRDefault="007A7D7A" w:rsidP="00F11EC1">
            <w:pPr>
              <w:snapToGrid w:val="0"/>
              <w:rPr>
                <w:rFonts w:ascii="Calibri" w:hAnsi="Calibri" w:cs="Calibri"/>
                <w:sz w:val="18"/>
                <w:szCs w:val="18"/>
              </w:rPr>
            </w:pPr>
            <w:r w:rsidRPr="007A7D7A">
              <w:rPr>
                <w:rFonts w:ascii="Calibri" w:hAnsi="Calibri" w:cs="Calibri"/>
                <w:sz w:val="18"/>
                <w:szCs w:val="18"/>
              </w:rPr>
              <w:t>Mieszanki mineralno-asfaltowe – Wymagania – Część 20: Badanie typu</w:t>
            </w:r>
          </w:p>
        </w:tc>
      </w:tr>
      <w:tr w:rsidR="007A7D7A" w:rsidRPr="007A7D7A" w14:paraId="6E389224" w14:textId="77777777" w:rsidTr="00F11EC1">
        <w:tc>
          <w:tcPr>
            <w:tcW w:w="534" w:type="dxa"/>
          </w:tcPr>
          <w:p w14:paraId="3875CCD6" w14:textId="77777777" w:rsidR="007A7D7A" w:rsidRPr="007A7D7A" w:rsidRDefault="007A7D7A" w:rsidP="00F11EC1">
            <w:pPr>
              <w:snapToGrid w:val="0"/>
              <w:rPr>
                <w:rFonts w:ascii="Calibri" w:hAnsi="Calibri" w:cs="Calibri"/>
                <w:sz w:val="18"/>
                <w:szCs w:val="18"/>
              </w:rPr>
            </w:pPr>
            <w:r w:rsidRPr="007A7D7A">
              <w:rPr>
                <w:rFonts w:ascii="Calibri" w:hAnsi="Calibri" w:cs="Calibri"/>
                <w:sz w:val="18"/>
                <w:szCs w:val="18"/>
              </w:rPr>
              <w:t>49.</w:t>
            </w:r>
          </w:p>
        </w:tc>
        <w:tc>
          <w:tcPr>
            <w:tcW w:w="1842" w:type="dxa"/>
          </w:tcPr>
          <w:p w14:paraId="1A400A22" w14:textId="77777777" w:rsidR="007A7D7A" w:rsidRPr="007A7D7A" w:rsidRDefault="007A7D7A" w:rsidP="00F11EC1">
            <w:pPr>
              <w:snapToGrid w:val="0"/>
              <w:rPr>
                <w:rFonts w:ascii="Calibri" w:hAnsi="Calibri" w:cs="Calibri"/>
                <w:sz w:val="18"/>
                <w:szCs w:val="18"/>
              </w:rPr>
            </w:pPr>
            <w:r w:rsidRPr="007A7D7A">
              <w:rPr>
                <w:rFonts w:ascii="Calibri" w:hAnsi="Calibri" w:cs="Calibri"/>
                <w:sz w:val="18"/>
                <w:szCs w:val="18"/>
              </w:rPr>
              <w:t>PN-EN 13179-1</w:t>
            </w:r>
          </w:p>
        </w:tc>
        <w:tc>
          <w:tcPr>
            <w:tcW w:w="7371" w:type="dxa"/>
          </w:tcPr>
          <w:p w14:paraId="25D16C68" w14:textId="77777777" w:rsidR="007A7D7A" w:rsidRPr="007A7D7A" w:rsidRDefault="007A7D7A" w:rsidP="00F11EC1">
            <w:pPr>
              <w:snapToGrid w:val="0"/>
              <w:rPr>
                <w:rFonts w:ascii="Calibri" w:hAnsi="Calibri" w:cs="Calibri"/>
                <w:sz w:val="18"/>
                <w:szCs w:val="18"/>
              </w:rPr>
            </w:pPr>
            <w:r w:rsidRPr="007A7D7A">
              <w:rPr>
                <w:rFonts w:ascii="Calibri" w:hAnsi="Calibri" w:cs="Calibri"/>
                <w:sz w:val="18"/>
                <w:szCs w:val="18"/>
              </w:rPr>
              <w:t>Badania kruszyw wypełniających stosowanych do mieszanek bitumicznych – Część 1: Badanie metodą Pierścienia i Kuli</w:t>
            </w:r>
          </w:p>
        </w:tc>
      </w:tr>
      <w:tr w:rsidR="007A7D7A" w:rsidRPr="007A7D7A" w14:paraId="23F42ED5" w14:textId="77777777" w:rsidTr="00F11EC1">
        <w:tc>
          <w:tcPr>
            <w:tcW w:w="534" w:type="dxa"/>
          </w:tcPr>
          <w:p w14:paraId="0B4B7068" w14:textId="77777777" w:rsidR="007A7D7A" w:rsidRPr="007A7D7A" w:rsidRDefault="007A7D7A" w:rsidP="00F11EC1">
            <w:pPr>
              <w:snapToGrid w:val="0"/>
              <w:rPr>
                <w:rFonts w:ascii="Calibri" w:hAnsi="Calibri" w:cs="Calibri"/>
                <w:sz w:val="18"/>
                <w:szCs w:val="18"/>
              </w:rPr>
            </w:pPr>
            <w:r w:rsidRPr="007A7D7A">
              <w:rPr>
                <w:rFonts w:ascii="Calibri" w:hAnsi="Calibri" w:cs="Calibri"/>
                <w:sz w:val="18"/>
                <w:szCs w:val="18"/>
              </w:rPr>
              <w:t>50.</w:t>
            </w:r>
          </w:p>
        </w:tc>
        <w:tc>
          <w:tcPr>
            <w:tcW w:w="1842" w:type="dxa"/>
          </w:tcPr>
          <w:p w14:paraId="68240D09" w14:textId="77777777" w:rsidR="007A7D7A" w:rsidRPr="007A7D7A" w:rsidRDefault="007A7D7A" w:rsidP="00F11EC1">
            <w:pPr>
              <w:snapToGrid w:val="0"/>
              <w:rPr>
                <w:rFonts w:ascii="Calibri" w:hAnsi="Calibri" w:cs="Calibri"/>
                <w:sz w:val="18"/>
                <w:szCs w:val="18"/>
              </w:rPr>
            </w:pPr>
            <w:r w:rsidRPr="007A7D7A">
              <w:rPr>
                <w:rFonts w:ascii="Calibri" w:hAnsi="Calibri" w:cs="Calibri"/>
                <w:sz w:val="18"/>
                <w:szCs w:val="18"/>
              </w:rPr>
              <w:t>PN-EN 13179-2</w:t>
            </w:r>
          </w:p>
        </w:tc>
        <w:tc>
          <w:tcPr>
            <w:tcW w:w="7371" w:type="dxa"/>
          </w:tcPr>
          <w:p w14:paraId="4A150882" w14:textId="77777777" w:rsidR="007A7D7A" w:rsidRPr="007A7D7A" w:rsidRDefault="007A7D7A" w:rsidP="00F11EC1">
            <w:pPr>
              <w:snapToGrid w:val="0"/>
              <w:rPr>
                <w:rFonts w:ascii="Calibri" w:hAnsi="Calibri" w:cs="Calibri"/>
                <w:sz w:val="18"/>
                <w:szCs w:val="18"/>
              </w:rPr>
            </w:pPr>
            <w:r w:rsidRPr="007A7D7A">
              <w:rPr>
                <w:rFonts w:ascii="Calibri" w:hAnsi="Calibri" w:cs="Calibri"/>
                <w:sz w:val="18"/>
                <w:szCs w:val="18"/>
              </w:rPr>
              <w:t>Badania kruszyw wypełniających stosowanych do mieszanek bitumicznych – Część 2: Liczba bitumiczna</w:t>
            </w:r>
          </w:p>
        </w:tc>
      </w:tr>
      <w:tr w:rsidR="007A7D7A" w:rsidRPr="007A7D7A" w14:paraId="168C289F" w14:textId="77777777" w:rsidTr="00F11EC1">
        <w:tc>
          <w:tcPr>
            <w:tcW w:w="534" w:type="dxa"/>
          </w:tcPr>
          <w:p w14:paraId="69B55F6B" w14:textId="77777777" w:rsidR="007A7D7A" w:rsidRPr="007A7D7A" w:rsidRDefault="007A7D7A" w:rsidP="00F11EC1">
            <w:pPr>
              <w:snapToGrid w:val="0"/>
              <w:rPr>
                <w:rFonts w:ascii="Calibri" w:hAnsi="Calibri" w:cs="Calibri"/>
                <w:sz w:val="18"/>
                <w:szCs w:val="18"/>
              </w:rPr>
            </w:pPr>
            <w:r w:rsidRPr="007A7D7A">
              <w:rPr>
                <w:rFonts w:ascii="Calibri" w:hAnsi="Calibri" w:cs="Calibri"/>
                <w:sz w:val="18"/>
                <w:szCs w:val="18"/>
              </w:rPr>
              <w:t>51.</w:t>
            </w:r>
          </w:p>
        </w:tc>
        <w:tc>
          <w:tcPr>
            <w:tcW w:w="1842" w:type="dxa"/>
          </w:tcPr>
          <w:p w14:paraId="6E1A74FE" w14:textId="77777777" w:rsidR="007A7D7A" w:rsidRPr="007A7D7A" w:rsidRDefault="007A7D7A" w:rsidP="00F11EC1">
            <w:pPr>
              <w:snapToGrid w:val="0"/>
              <w:rPr>
                <w:rFonts w:ascii="Calibri" w:hAnsi="Calibri" w:cs="Calibri"/>
                <w:sz w:val="18"/>
                <w:szCs w:val="18"/>
              </w:rPr>
            </w:pPr>
            <w:r w:rsidRPr="007A7D7A">
              <w:rPr>
                <w:rFonts w:ascii="Calibri" w:hAnsi="Calibri" w:cs="Calibri"/>
                <w:sz w:val="18"/>
                <w:szCs w:val="18"/>
              </w:rPr>
              <w:t>PN-EN 13398</w:t>
            </w:r>
          </w:p>
        </w:tc>
        <w:tc>
          <w:tcPr>
            <w:tcW w:w="7371" w:type="dxa"/>
          </w:tcPr>
          <w:p w14:paraId="08072E69" w14:textId="77777777" w:rsidR="007A7D7A" w:rsidRPr="007A7D7A" w:rsidRDefault="007A7D7A" w:rsidP="00F11EC1">
            <w:pPr>
              <w:snapToGrid w:val="0"/>
              <w:rPr>
                <w:rFonts w:ascii="Calibri" w:hAnsi="Calibri" w:cs="Calibri"/>
                <w:sz w:val="18"/>
                <w:szCs w:val="18"/>
              </w:rPr>
            </w:pPr>
            <w:r w:rsidRPr="007A7D7A">
              <w:rPr>
                <w:rFonts w:ascii="Calibri" w:hAnsi="Calibri" w:cs="Calibri"/>
                <w:sz w:val="18"/>
                <w:szCs w:val="18"/>
              </w:rPr>
              <w:t>Asfalty i lepiszcza asfaltowe – Oznaczanie nawrotu sprężystego asfaltów modyfikowanych</w:t>
            </w:r>
          </w:p>
        </w:tc>
      </w:tr>
      <w:tr w:rsidR="007A7D7A" w:rsidRPr="007A7D7A" w14:paraId="6063A544" w14:textId="77777777" w:rsidTr="00F11EC1">
        <w:tc>
          <w:tcPr>
            <w:tcW w:w="534" w:type="dxa"/>
          </w:tcPr>
          <w:p w14:paraId="19FF1143" w14:textId="77777777" w:rsidR="007A7D7A" w:rsidRPr="007A7D7A" w:rsidRDefault="007A7D7A" w:rsidP="00F11EC1">
            <w:pPr>
              <w:snapToGrid w:val="0"/>
              <w:rPr>
                <w:rFonts w:ascii="Calibri" w:hAnsi="Calibri" w:cs="Calibri"/>
                <w:sz w:val="18"/>
                <w:szCs w:val="18"/>
              </w:rPr>
            </w:pPr>
            <w:r w:rsidRPr="007A7D7A">
              <w:rPr>
                <w:rFonts w:ascii="Calibri" w:hAnsi="Calibri" w:cs="Calibri"/>
                <w:sz w:val="18"/>
                <w:szCs w:val="18"/>
              </w:rPr>
              <w:t>52.</w:t>
            </w:r>
          </w:p>
        </w:tc>
        <w:tc>
          <w:tcPr>
            <w:tcW w:w="1842" w:type="dxa"/>
          </w:tcPr>
          <w:p w14:paraId="69460557" w14:textId="77777777" w:rsidR="007A7D7A" w:rsidRPr="007A7D7A" w:rsidRDefault="007A7D7A" w:rsidP="00F11EC1">
            <w:pPr>
              <w:snapToGrid w:val="0"/>
              <w:rPr>
                <w:rFonts w:ascii="Calibri" w:hAnsi="Calibri" w:cs="Calibri"/>
                <w:sz w:val="18"/>
                <w:szCs w:val="18"/>
              </w:rPr>
            </w:pPr>
            <w:r w:rsidRPr="007A7D7A">
              <w:rPr>
                <w:rFonts w:ascii="Calibri" w:hAnsi="Calibri" w:cs="Calibri"/>
                <w:sz w:val="18"/>
                <w:szCs w:val="18"/>
              </w:rPr>
              <w:t>PN-EN 13399</w:t>
            </w:r>
          </w:p>
        </w:tc>
        <w:tc>
          <w:tcPr>
            <w:tcW w:w="7371" w:type="dxa"/>
          </w:tcPr>
          <w:p w14:paraId="3E47B7D1" w14:textId="77777777" w:rsidR="007A7D7A" w:rsidRPr="007A7D7A" w:rsidRDefault="007A7D7A" w:rsidP="00F11EC1">
            <w:pPr>
              <w:snapToGrid w:val="0"/>
              <w:rPr>
                <w:rFonts w:ascii="Calibri" w:hAnsi="Calibri" w:cs="Calibri"/>
                <w:sz w:val="18"/>
                <w:szCs w:val="18"/>
              </w:rPr>
            </w:pPr>
            <w:r w:rsidRPr="007A7D7A">
              <w:rPr>
                <w:rFonts w:ascii="Calibri" w:hAnsi="Calibri" w:cs="Calibri"/>
                <w:sz w:val="18"/>
                <w:szCs w:val="18"/>
              </w:rPr>
              <w:t>Asfalty i lepiszcza asfaltowe – Oznaczanie odporności na magazynowanie modyfikowanych asfaltów</w:t>
            </w:r>
          </w:p>
        </w:tc>
      </w:tr>
      <w:tr w:rsidR="007A7D7A" w:rsidRPr="007A7D7A" w14:paraId="7FB77D54" w14:textId="77777777" w:rsidTr="00F11EC1">
        <w:tc>
          <w:tcPr>
            <w:tcW w:w="534" w:type="dxa"/>
          </w:tcPr>
          <w:p w14:paraId="69C80176" w14:textId="77777777" w:rsidR="007A7D7A" w:rsidRPr="007A7D7A" w:rsidRDefault="007A7D7A" w:rsidP="00F11EC1">
            <w:pPr>
              <w:snapToGrid w:val="0"/>
              <w:rPr>
                <w:rFonts w:ascii="Calibri" w:hAnsi="Calibri" w:cs="Calibri"/>
                <w:sz w:val="18"/>
                <w:szCs w:val="18"/>
              </w:rPr>
            </w:pPr>
            <w:r w:rsidRPr="007A7D7A">
              <w:rPr>
                <w:rFonts w:ascii="Calibri" w:hAnsi="Calibri" w:cs="Calibri"/>
                <w:sz w:val="18"/>
                <w:szCs w:val="18"/>
              </w:rPr>
              <w:t>53.</w:t>
            </w:r>
          </w:p>
        </w:tc>
        <w:tc>
          <w:tcPr>
            <w:tcW w:w="1842" w:type="dxa"/>
          </w:tcPr>
          <w:p w14:paraId="38ECEAF4" w14:textId="77777777" w:rsidR="007A7D7A" w:rsidRPr="007A7D7A" w:rsidRDefault="007A7D7A" w:rsidP="00F11EC1">
            <w:pPr>
              <w:snapToGrid w:val="0"/>
              <w:rPr>
                <w:rFonts w:ascii="Calibri" w:hAnsi="Calibri" w:cs="Calibri"/>
                <w:sz w:val="18"/>
                <w:szCs w:val="18"/>
              </w:rPr>
            </w:pPr>
            <w:r w:rsidRPr="007A7D7A">
              <w:rPr>
                <w:rFonts w:ascii="Calibri" w:hAnsi="Calibri" w:cs="Calibri"/>
                <w:sz w:val="18"/>
                <w:szCs w:val="18"/>
              </w:rPr>
              <w:t>PN-EN 13587</w:t>
            </w:r>
          </w:p>
        </w:tc>
        <w:tc>
          <w:tcPr>
            <w:tcW w:w="7371" w:type="dxa"/>
          </w:tcPr>
          <w:p w14:paraId="73FE595F" w14:textId="77777777" w:rsidR="007A7D7A" w:rsidRPr="007A7D7A" w:rsidRDefault="007A7D7A" w:rsidP="00F11EC1">
            <w:pPr>
              <w:snapToGrid w:val="0"/>
              <w:rPr>
                <w:rFonts w:ascii="Calibri" w:hAnsi="Calibri" w:cs="Calibri"/>
                <w:sz w:val="18"/>
                <w:szCs w:val="18"/>
              </w:rPr>
            </w:pPr>
            <w:r w:rsidRPr="007A7D7A">
              <w:rPr>
                <w:rFonts w:ascii="Calibri" w:hAnsi="Calibri" w:cs="Calibri"/>
                <w:sz w:val="18"/>
                <w:szCs w:val="18"/>
              </w:rPr>
              <w:t>Asfalty i lepiszcza asfaltowe – Oznaczanie ciągliwości lepiszczy asfaltowych metodą pomiaru ciągliwości</w:t>
            </w:r>
          </w:p>
        </w:tc>
      </w:tr>
      <w:tr w:rsidR="007A7D7A" w:rsidRPr="007A7D7A" w14:paraId="61E0CBD3" w14:textId="77777777" w:rsidTr="00F11EC1">
        <w:tc>
          <w:tcPr>
            <w:tcW w:w="534" w:type="dxa"/>
          </w:tcPr>
          <w:p w14:paraId="3D500E68" w14:textId="77777777" w:rsidR="007A7D7A" w:rsidRPr="007A7D7A" w:rsidRDefault="007A7D7A" w:rsidP="00F11EC1">
            <w:pPr>
              <w:snapToGrid w:val="0"/>
              <w:rPr>
                <w:rFonts w:ascii="Calibri" w:hAnsi="Calibri" w:cs="Calibri"/>
                <w:sz w:val="18"/>
                <w:szCs w:val="18"/>
              </w:rPr>
            </w:pPr>
            <w:r w:rsidRPr="007A7D7A">
              <w:rPr>
                <w:rFonts w:ascii="Calibri" w:hAnsi="Calibri" w:cs="Calibri"/>
                <w:sz w:val="18"/>
                <w:szCs w:val="18"/>
              </w:rPr>
              <w:t>54.</w:t>
            </w:r>
          </w:p>
        </w:tc>
        <w:tc>
          <w:tcPr>
            <w:tcW w:w="1842" w:type="dxa"/>
          </w:tcPr>
          <w:p w14:paraId="43456E3E" w14:textId="77777777" w:rsidR="007A7D7A" w:rsidRPr="007A7D7A" w:rsidRDefault="007A7D7A" w:rsidP="00F11EC1">
            <w:pPr>
              <w:snapToGrid w:val="0"/>
              <w:rPr>
                <w:rFonts w:ascii="Calibri" w:hAnsi="Calibri" w:cs="Calibri"/>
                <w:sz w:val="18"/>
                <w:szCs w:val="18"/>
              </w:rPr>
            </w:pPr>
            <w:r w:rsidRPr="007A7D7A">
              <w:rPr>
                <w:rFonts w:ascii="Calibri" w:hAnsi="Calibri" w:cs="Calibri"/>
                <w:sz w:val="18"/>
                <w:szCs w:val="18"/>
              </w:rPr>
              <w:t>PN-EN 13588</w:t>
            </w:r>
          </w:p>
        </w:tc>
        <w:tc>
          <w:tcPr>
            <w:tcW w:w="7371" w:type="dxa"/>
          </w:tcPr>
          <w:p w14:paraId="59A31EC8" w14:textId="77777777" w:rsidR="007A7D7A" w:rsidRPr="007A7D7A" w:rsidRDefault="007A7D7A" w:rsidP="00F11EC1">
            <w:pPr>
              <w:snapToGrid w:val="0"/>
              <w:rPr>
                <w:rFonts w:ascii="Calibri" w:hAnsi="Calibri" w:cs="Calibri"/>
                <w:sz w:val="18"/>
                <w:szCs w:val="18"/>
              </w:rPr>
            </w:pPr>
            <w:r w:rsidRPr="007A7D7A">
              <w:rPr>
                <w:rFonts w:ascii="Calibri" w:hAnsi="Calibri" w:cs="Calibri"/>
                <w:sz w:val="18"/>
                <w:szCs w:val="18"/>
              </w:rPr>
              <w:t>Asfalty i lepiszcza asfaltowe – Oznaczanie kohezji lepiszczy asfaltowych metodą testu wahadłowego</w:t>
            </w:r>
          </w:p>
        </w:tc>
      </w:tr>
      <w:tr w:rsidR="007A7D7A" w:rsidRPr="007A7D7A" w14:paraId="587F1495" w14:textId="77777777" w:rsidTr="00F11EC1">
        <w:tc>
          <w:tcPr>
            <w:tcW w:w="534" w:type="dxa"/>
          </w:tcPr>
          <w:p w14:paraId="07F85072" w14:textId="77777777" w:rsidR="007A7D7A" w:rsidRPr="007A7D7A" w:rsidRDefault="007A7D7A" w:rsidP="00F11EC1">
            <w:pPr>
              <w:snapToGrid w:val="0"/>
              <w:rPr>
                <w:rFonts w:ascii="Calibri" w:hAnsi="Calibri" w:cs="Calibri"/>
                <w:sz w:val="18"/>
                <w:szCs w:val="18"/>
              </w:rPr>
            </w:pPr>
            <w:r w:rsidRPr="007A7D7A">
              <w:rPr>
                <w:rFonts w:ascii="Calibri" w:hAnsi="Calibri" w:cs="Calibri"/>
                <w:sz w:val="18"/>
                <w:szCs w:val="18"/>
              </w:rPr>
              <w:t>55.</w:t>
            </w:r>
          </w:p>
        </w:tc>
        <w:tc>
          <w:tcPr>
            <w:tcW w:w="1842" w:type="dxa"/>
          </w:tcPr>
          <w:p w14:paraId="5C32E361" w14:textId="77777777" w:rsidR="007A7D7A" w:rsidRPr="007A7D7A" w:rsidRDefault="007A7D7A" w:rsidP="00F11EC1">
            <w:pPr>
              <w:snapToGrid w:val="0"/>
              <w:rPr>
                <w:rFonts w:ascii="Calibri" w:hAnsi="Calibri" w:cs="Calibri"/>
                <w:sz w:val="18"/>
                <w:szCs w:val="18"/>
              </w:rPr>
            </w:pPr>
            <w:r w:rsidRPr="007A7D7A">
              <w:rPr>
                <w:rFonts w:ascii="Calibri" w:hAnsi="Calibri" w:cs="Calibri"/>
                <w:sz w:val="18"/>
                <w:szCs w:val="18"/>
              </w:rPr>
              <w:t>PN-EN 13589</w:t>
            </w:r>
          </w:p>
        </w:tc>
        <w:tc>
          <w:tcPr>
            <w:tcW w:w="7371" w:type="dxa"/>
          </w:tcPr>
          <w:p w14:paraId="2749E265" w14:textId="77777777" w:rsidR="007A7D7A" w:rsidRPr="007A7D7A" w:rsidRDefault="007A7D7A" w:rsidP="00F11EC1">
            <w:pPr>
              <w:snapToGrid w:val="0"/>
              <w:rPr>
                <w:rFonts w:ascii="Calibri" w:hAnsi="Calibri" w:cs="Calibri"/>
                <w:sz w:val="18"/>
                <w:szCs w:val="18"/>
              </w:rPr>
            </w:pPr>
            <w:r w:rsidRPr="007A7D7A">
              <w:rPr>
                <w:rFonts w:ascii="Calibri" w:hAnsi="Calibri" w:cs="Calibri"/>
                <w:sz w:val="18"/>
                <w:szCs w:val="18"/>
              </w:rPr>
              <w:t>Asfalty i lepiszcza asfaltowe – Oznaczanie ciągliwości modyfikowanych asfaltów – Metoda z duktylometrem</w:t>
            </w:r>
          </w:p>
        </w:tc>
      </w:tr>
      <w:tr w:rsidR="007A7D7A" w:rsidRPr="007A7D7A" w14:paraId="2AD08C23" w14:textId="77777777" w:rsidTr="00F11EC1">
        <w:tc>
          <w:tcPr>
            <w:tcW w:w="534" w:type="dxa"/>
          </w:tcPr>
          <w:p w14:paraId="1E457471" w14:textId="77777777" w:rsidR="007A7D7A" w:rsidRPr="007A7D7A" w:rsidRDefault="007A7D7A" w:rsidP="00F11EC1">
            <w:pPr>
              <w:snapToGrid w:val="0"/>
              <w:rPr>
                <w:rFonts w:ascii="Calibri" w:hAnsi="Calibri" w:cs="Calibri"/>
                <w:sz w:val="18"/>
                <w:szCs w:val="18"/>
              </w:rPr>
            </w:pPr>
            <w:r w:rsidRPr="007A7D7A">
              <w:rPr>
                <w:rFonts w:ascii="Calibri" w:hAnsi="Calibri" w:cs="Calibri"/>
                <w:sz w:val="18"/>
                <w:szCs w:val="18"/>
              </w:rPr>
              <w:t>56.</w:t>
            </w:r>
          </w:p>
        </w:tc>
        <w:tc>
          <w:tcPr>
            <w:tcW w:w="1842" w:type="dxa"/>
          </w:tcPr>
          <w:p w14:paraId="6990E47F" w14:textId="77777777" w:rsidR="007A7D7A" w:rsidRPr="007A7D7A" w:rsidRDefault="007A7D7A" w:rsidP="00F11EC1">
            <w:pPr>
              <w:snapToGrid w:val="0"/>
              <w:rPr>
                <w:rFonts w:ascii="Calibri" w:hAnsi="Calibri" w:cs="Calibri"/>
                <w:sz w:val="18"/>
                <w:szCs w:val="18"/>
              </w:rPr>
            </w:pPr>
            <w:r w:rsidRPr="007A7D7A">
              <w:rPr>
                <w:rFonts w:ascii="Calibri" w:hAnsi="Calibri" w:cs="Calibri"/>
                <w:sz w:val="18"/>
                <w:szCs w:val="18"/>
              </w:rPr>
              <w:t>PN-EN 13614</w:t>
            </w:r>
          </w:p>
        </w:tc>
        <w:tc>
          <w:tcPr>
            <w:tcW w:w="7371" w:type="dxa"/>
          </w:tcPr>
          <w:p w14:paraId="769AC6FB" w14:textId="77777777" w:rsidR="007A7D7A" w:rsidRPr="007A7D7A" w:rsidRDefault="007A7D7A" w:rsidP="00F11EC1">
            <w:pPr>
              <w:snapToGrid w:val="0"/>
              <w:rPr>
                <w:rFonts w:ascii="Calibri" w:hAnsi="Calibri" w:cs="Calibri"/>
                <w:sz w:val="18"/>
                <w:szCs w:val="18"/>
              </w:rPr>
            </w:pPr>
            <w:r w:rsidRPr="007A7D7A">
              <w:rPr>
                <w:rFonts w:ascii="Calibri" w:hAnsi="Calibri" w:cs="Calibri"/>
                <w:sz w:val="18"/>
                <w:szCs w:val="18"/>
              </w:rPr>
              <w:t>Asfalty i lepiszcza asfaltowe – Oznaczanie przyczepności emulsji bitumicznych przez zanurzenie w wodzie – Metoda z kruszywem</w:t>
            </w:r>
          </w:p>
        </w:tc>
      </w:tr>
      <w:tr w:rsidR="007A7D7A" w:rsidRPr="007A7D7A" w14:paraId="281FA96B" w14:textId="77777777" w:rsidTr="00F11EC1">
        <w:tc>
          <w:tcPr>
            <w:tcW w:w="534" w:type="dxa"/>
          </w:tcPr>
          <w:p w14:paraId="1D9CE56C" w14:textId="77777777" w:rsidR="007A7D7A" w:rsidRPr="007A7D7A" w:rsidRDefault="007A7D7A" w:rsidP="00F11EC1">
            <w:pPr>
              <w:snapToGrid w:val="0"/>
              <w:rPr>
                <w:rFonts w:ascii="Calibri" w:hAnsi="Calibri" w:cs="Calibri"/>
                <w:sz w:val="18"/>
                <w:szCs w:val="18"/>
              </w:rPr>
            </w:pPr>
            <w:r w:rsidRPr="007A7D7A">
              <w:rPr>
                <w:rFonts w:ascii="Calibri" w:hAnsi="Calibri" w:cs="Calibri"/>
                <w:sz w:val="18"/>
                <w:szCs w:val="18"/>
              </w:rPr>
              <w:t>57.</w:t>
            </w:r>
          </w:p>
        </w:tc>
        <w:tc>
          <w:tcPr>
            <w:tcW w:w="1842" w:type="dxa"/>
          </w:tcPr>
          <w:p w14:paraId="271A1762" w14:textId="77777777" w:rsidR="007A7D7A" w:rsidRPr="007A7D7A" w:rsidRDefault="007A7D7A" w:rsidP="00F11EC1">
            <w:pPr>
              <w:snapToGrid w:val="0"/>
              <w:rPr>
                <w:rFonts w:ascii="Calibri" w:hAnsi="Calibri" w:cs="Calibri"/>
                <w:sz w:val="18"/>
                <w:szCs w:val="18"/>
              </w:rPr>
            </w:pPr>
            <w:r w:rsidRPr="007A7D7A">
              <w:rPr>
                <w:rFonts w:ascii="Calibri" w:hAnsi="Calibri" w:cs="Calibri"/>
                <w:sz w:val="18"/>
                <w:szCs w:val="18"/>
              </w:rPr>
              <w:t>PN-EN 13703</w:t>
            </w:r>
          </w:p>
        </w:tc>
        <w:tc>
          <w:tcPr>
            <w:tcW w:w="7371" w:type="dxa"/>
          </w:tcPr>
          <w:p w14:paraId="2EFFD874" w14:textId="77777777" w:rsidR="007A7D7A" w:rsidRPr="007A7D7A" w:rsidRDefault="007A7D7A" w:rsidP="00F11EC1">
            <w:pPr>
              <w:snapToGrid w:val="0"/>
              <w:rPr>
                <w:rFonts w:ascii="Calibri" w:hAnsi="Calibri" w:cs="Calibri"/>
                <w:sz w:val="18"/>
                <w:szCs w:val="18"/>
              </w:rPr>
            </w:pPr>
            <w:r w:rsidRPr="007A7D7A">
              <w:rPr>
                <w:rFonts w:ascii="Calibri" w:hAnsi="Calibri" w:cs="Calibri"/>
                <w:sz w:val="18"/>
                <w:szCs w:val="18"/>
              </w:rPr>
              <w:t>Asfalty i lepiszcza asfaltowe – Oznaczanie energii deformacji</w:t>
            </w:r>
          </w:p>
        </w:tc>
      </w:tr>
      <w:tr w:rsidR="007A7D7A" w:rsidRPr="007A7D7A" w14:paraId="01E99C97" w14:textId="77777777" w:rsidTr="00F11EC1">
        <w:tc>
          <w:tcPr>
            <w:tcW w:w="534" w:type="dxa"/>
          </w:tcPr>
          <w:p w14:paraId="61B32817" w14:textId="77777777" w:rsidR="007A7D7A" w:rsidRPr="007A7D7A" w:rsidRDefault="007A7D7A" w:rsidP="00F11EC1">
            <w:pPr>
              <w:snapToGrid w:val="0"/>
              <w:rPr>
                <w:rFonts w:ascii="Calibri" w:hAnsi="Calibri" w:cs="Calibri"/>
                <w:sz w:val="18"/>
                <w:szCs w:val="18"/>
              </w:rPr>
            </w:pPr>
            <w:r w:rsidRPr="007A7D7A">
              <w:rPr>
                <w:rFonts w:ascii="Calibri" w:hAnsi="Calibri" w:cs="Calibri"/>
                <w:sz w:val="18"/>
                <w:szCs w:val="18"/>
              </w:rPr>
              <w:t>58.</w:t>
            </w:r>
          </w:p>
        </w:tc>
        <w:tc>
          <w:tcPr>
            <w:tcW w:w="1842" w:type="dxa"/>
          </w:tcPr>
          <w:p w14:paraId="3115D95E" w14:textId="77777777" w:rsidR="007A7D7A" w:rsidRPr="007A7D7A" w:rsidRDefault="007A7D7A" w:rsidP="00F11EC1">
            <w:pPr>
              <w:snapToGrid w:val="0"/>
              <w:rPr>
                <w:rFonts w:ascii="Calibri" w:hAnsi="Calibri" w:cs="Calibri"/>
                <w:sz w:val="18"/>
                <w:szCs w:val="18"/>
              </w:rPr>
            </w:pPr>
            <w:r w:rsidRPr="007A7D7A">
              <w:rPr>
                <w:rFonts w:ascii="Calibri" w:hAnsi="Calibri" w:cs="Calibri"/>
                <w:sz w:val="18"/>
                <w:szCs w:val="18"/>
              </w:rPr>
              <w:t>PN-EN 13808</w:t>
            </w:r>
          </w:p>
        </w:tc>
        <w:tc>
          <w:tcPr>
            <w:tcW w:w="7371" w:type="dxa"/>
          </w:tcPr>
          <w:p w14:paraId="2E40AAEA" w14:textId="77777777" w:rsidR="007A7D7A" w:rsidRPr="007A7D7A" w:rsidRDefault="007A7D7A" w:rsidP="00F11EC1">
            <w:pPr>
              <w:snapToGrid w:val="0"/>
              <w:rPr>
                <w:rFonts w:ascii="Calibri" w:hAnsi="Calibri" w:cs="Calibri"/>
                <w:sz w:val="18"/>
                <w:szCs w:val="18"/>
              </w:rPr>
            </w:pPr>
            <w:r w:rsidRPr="007A7D7A">
              <w:rPr>
                <w:rFonts w:ascii="Calibri" w:hAnsi="Calibri" w:cs="Calibri"/>
                <w:sz w:val="18"/>
                <w:szCs w:val="18"/>
              </w:rPr>
              <w:t>Asfalty i lepiszcza asfaltowe – Zasady specyfikacji kationowych emulsji asfaltowych</w:t>
            </w:r>
          </w:p>
        </w:tc>
      </w:tr>
      <w:tr w:rsidR="007A7D7A" w:rsidRPr="007A7D7A" w14:paraId="796483F3" w14:textId="77777777" w:rsidTr="00F11EC1">
        <w:tc>
          <w:tcPr>
            <w:tcW w:w="534" w:type="dxa"/>
          </w:tcPr>
          <w:p w14:paraId="7A290E90" w14:textId="77777777" w:rsidR="007A7D7A" w:rsidRPr="007A7D7A" w:rsidRDefault="007A7D7A" w:rsidP="00F11EC1">
            <w:pPr>
              <w:snapToGrid w:val="0"/>
              <w:rPr>
                <w:rFonts w:ascii="Calibri" w:hAnsi="Calibri" w:cs="Calibri"/>
                <w:sz w:val="18"/>
                <w:szCs w:val="18"/>
              </w:rPr>
            </w:pPr>
            <w:r w:rsidRPr="007A7D7A">
              <w:rPr>
                <w:rFonts w:ascii="Calibri" w:hAnsi="Calibri" w:cs="Calibri"/>
                <w:sz w:val="18"/>
                <w:szCs w:val="18"/>
              </w:rPr>
              <w:t>59.</w:t>
            </w:r>
          </w:p>
        </w:tc>
        <w:tc>
          <w:tcPr>
            <w:tcW w:w="1842" w:type="dxa"/>
          </w:tcPr>
          <w:p w14:paraId="1420B5FC" w14:textId="77777777" w:rsidR="007A7D7A" w:rsidRPr="007A7D7A" w:rsidRDefault="007A7D7A" w:rsidP="00F11EC1">
            <w:pPr>
              <w:snapToGrid w:val="0"/>
              <w:rPr>
                <w:rFonts w:ascii="Calibri" w:hAnsi="Calibri" w:cs="Calibri"/>
                <w:sz w:val="18"/>
                <w:szCs w:val="18"/>
              </w:rPr>
            </w:pPr>
            <w:r w:rsidRPr="007A7D7A">
              <w:rPr>
                <w:rFonts w:ascii="Calibri" w:hAnsi="Calibri" w:cs="Calibri"/>
                <w:sz w:val="18"/>
                <w:szCs w:val="18"/>
              </w:rPr>
              <w:t>PN-EN 14023</w:t>
            </w:r>
          </w:p>
        </w:tc>
        <w:tc>
          <w:tcPr>
            <w:tcW w:w="7371" w:type="dxa"/>
          </w:tcPr>
          <w:p w14:paraId="45F23EEA" w14:textId="77777777" w:rsidR="007A7D7A" w:rsidRPr="007A7D7A" w:rsidRDefault="007A7D7A" w:rsidP="00F11EC1">
            <w:pPr>
              <w:snapToGrid w:val="0"/>
              <w:rPr>
                <w:rFonts w:ascii="Calibri" w:hAnsi="Calibri" w:cs="Calibri"/>
                <w:sz w:val="18"/>
                <w:szCs w:val="18"/>
              </w:rPr>
            </w:pPr>
            <w:r w:rsidRPr="007A7D7A">
              <w:rPr>
                <w:rFonts w:ascii="Calibri" w:hAnsi="Calibri" w:cs="Calibri"/>
                <w:sz w:val="18"/>
                <w:szCs w:val="18"/>
              </w:rPr>
              <w:t>Asfalty i lepiszcza asfaltowe – Zasady specyfikacji asfaltów modyfikowanych polimerami</w:t>
            </w:r>
          </w:p>
        </w:tc>
      </w:tr>
      <w:tr w:rsidR="007A7D7A" w:rsidRPr="007A7D7A" w14:paraId="0CD8AFD9" w14:textId="77777777" w:rsidTr="00F11EC1">
        <w:tc>
          <w:tcPr>
            <w:tcW w:w="534" w:type="dxa"/>
          </w:tcPr>
          <w:p w14:paraId="20270587" w14:textId="77777777" w:rsidR="007A7D7A" w:rsidRPr="007A7D7A" w:rsidRDefault="007A7D7A" w:rsidP="00F11EC1">
            <w:pPr>
              <w:snapToGrid w:val="0"/>
              <w:rPr>
                <w:rFonts w:ascii="Calibri" w:hAnsi="Calibri" w:cs="Calibri"/>
                <w:sz w:val="18"/>
                <w:szCs w:val="18"/>
              </w:rPr>
            </w:pPr>
            <w:r w:rsidRPr="007A7D7A">
              <w:rPr>
                <w:rFonts w:ascii="Calibri" w:hAnsi="Calibri" w:cs="Calibri"/>
                <w:sz w:val="18"/>
                <w:szCs w:val="18"/>
              </w:rPr>
              <w:t>60.</w:t>
            </w:r>
          </w:p>
        </w:tc>
        <w:tc>
          <w:tcPr>
            <w:tcW w:w="1842" w:type="dxa"/>
          </w:tcPr>
          <w:p w14:paraId="140BD673" w14:textId="77777777" w:rsidR="007A7D7A" w:rsidRPr="007A7D7A" w:rsidRDefault="007A7D7A" w:rsidP="00F11EC1">
            <w:pPr>
              <w:snapToGrid w:val="0"/>
              <w:rPr>
                <w:rFonts w:ascii="Calibri" w:hAnsi="Calibri" w:cs="Calibri"/>
                <w:sz w:val="18"/>
                <w:szCs w:val="18"/>
              </w:rPr>
            </w:pPr>
            <w:r w:rsidRPr="007A7D7A">
              <w:rPr>
                <w:rFonts w:ascii="Calibri" w:hAnsi="Calibri" w:cs="Calibri"/>
                <w:sz w:val="18"/>
                <w:szCs w:val="18"/>
              </w:rPr>
              <w:t>PN-EN 14188-1</w:t>
            </w:r>
          </w:p>
        </w:tc>
        <w:tc>
          <w:tcPr>
            <w:tcW w:w="7371" w:type="dxa"/>
          </w:tcPr>
          <w:p w14:paraId="252EBB6B" w14:textId="77777777" w:rsidR="007A7D7A" w:rsidRPr="007A7D7A" w:rsidRDefault="007A7D7A" w:rsidP="00F11EC1">
            <w:pPr>
              <w:snapToGrid w:val="0"/>
              <w:rPr>
                <w:rFonts w:ascii="Calibri" w:hAnsi="Calibri" w:cs="Calibri"/>
                <w:sz w:val="18"/>
                <w:szCs w:val="18"/>
              </w:rPr>
            </w:pPr>
            <w:r w:rsidRPr="007A7D7A">
              <w:rPr>
                <w:rFonts w:ascii="Calibri" w:hAnsi="Calibri" w:cs="Calibri"/>
                <w:sz w:val="18"/>
                <w:szCs w:val="18"/>
              </w:rPr>
              <w:t>Wypełniacze złączy i zalewy – Część 1: Specyfikacja zalew na gorąco</w:t>
            </w:r>
          </w:p>
        </w:tc>
      </w:tr>
      <w:tr w:rsidR="007A7D7A" w:rsidRPr="007A7D7A" w14:paraId="477E5B5E" w14:textId="77777777" w:rsidTr="00F11EC1">
        <w:tc>
          <w:tcPr>
            <w:tcW w:w="534" w:type="dxa"/>
          </w:tcPr>
          <w:p w14:paraId="6FDEBF3E" w14:textId="77777777" w:rsidR="007A7D7A" w:rsidRPr="007A7D7A" w:rsidRDefault="007A7D7A" w:rsidP="00F11EC1">
            <w:pPr>
              <w:snapToGrid w:val="0"/>
              <w:rPr>
                <w:rFonts w:ascii="Calibri" w:hAnsi="Calibri" w:cs="Calibri"/>
                <w:sz w:val="18"/>
                <w:szCs w:val="18"/>
              </w:rPr>
            </w:pPr>
            <w:r w:rsidRPr="007A7D7A">
              <w:rPr>
                <w:rFonts w:ascii="Calibri" w:hAnsi="Calibri" w:cs="Calibri"/>
                <w:sz w:val="18"/>
                <w:szCs w:val="18"/>
              </w:rPr>
              <w:t>61.</w:t>
            </w:r>
          </w:p>
        </w:tc>
        <w:tc>
          <w:tcPr>
            <w:tcW w:w="1842" w:type="dxa"/>
          </w:tcPr>
          <w:p w14:paraId="4F5B9C31" w14:textId="77777777" w:rsidR="007A7D7A" w:rsidRPr="007A7D7A" w:rsidRDefault="007A7D7A" w:rsidP="00F11EC1">
            <w:pPr>
              <w:snapToGrid w:val="0"/>
              <w:rPr>
                <w:rFonts w:ascii="Calibri" w:hAnsi="Calibri" w:cs="Calibri"/>
                <w:sz w:val="18"/>
                <w:szCs w:val="18"/>
              </w:rPr>
            </w:pPr>
            <w:r w:rsidRPr="007A7D7A">
              <w:rPr>
                <w:rFonts w:ascii="Calibri" w:hAnsi="Calibri" w:cs="Calibri"/>
                <w:sz w:val="18"/>
                <w:szCs w:val="18"/>
              </w:rPr>
              <w:t>PN-EN 14188-2</w:t>
            </w:r>
          </w:p>
        </w:tc>
        <w:tc>
          <w:tcPr>
            <w:tcW w:w="7371" w:type="dxa"/>
          </w:tcPr>
          <w:p w14:paraId="0883E895" w14:textId="77777777" w:rsidR="007A7D7A" w:rsidRPr="007A7D7A" w:rsidRDefault="007A7D7A" w:rsidP="00F11EC1">
            <w:pPr>
              <w:snapToGrid w:val="0"/>
              <w:rPr>
                <w:rFonts w:ascii="Calibri" w:hAnsi="Calibri" w:cs="Calibri"/>
                <w:sz w:val="18"/>
                <w:szCs w:val="18"/>
              </w:rPr>
            </w:pPr>
            <w:r w:rsidRPr="007A7D7A">
              <w:rPr>
                <w:rFonts w:ascii="Calibri" w:hAnsi="Calibri" w:cs="Calibri"/>
                <w:sz w:val="18"/>
                <w:szCs w:val="18"/>
              </w:rPr>
              <w:t>Wypełniacze złączy i zalewy – Część 2: Specyfikacja zalew na zimno</w:t>
            </w:r>
          </w:p>
        </w:tc>
      </w:tr>
      <w:tr w:rsidR="007A7D7A" w:rsidRPr="007A7D7A" w14:paraId="29FEBE2D" w14:textId="77777777" w:rsidTr="00F11EC1">
        <w:tc>
          <w:tcPr>
            <w:tcW w:w="534" w:type="dxa"/>
          </w:tcPr>
          <w:p w14:paraId="55840AAD" w14:textId="77777777" w:rsidR="007A7D7A" w:rsidRPr="007A7D7A" w:rsidRDefault="007A7D7A" w:rsidP="00F11EC1">
            <w:pPr>
              <w:snapToGrid w:val="0"/>
              <w:rPr>
                <w:rFonts w:ascii="Calibri" w:hAnsi="Calibri" w:cs="Calibri"/>
                <w:sz w:val="18"/>
                <w:szCs w:val="18"/>
              </w:rPr>
            </w:pPr>
            <w:r w:rsidRPr="007A7D7A">
              <w:rPr>
                <w:rFonts w:ascii="Calibri" w:hAnsi="Calibri" w:cs="Calibri"/>
                <w:sz w:val="18"/>
                <w:szCs w:val="18"/>
              </w:rPr>
              <w:t>62.</w:t>
            </w:r>
          </w:p>
        </w:tc>
        <w:tc>
          <w:tcPr>
            <w:tcW w:w="1842" w:type="dxa"/>
          </w:tcPr>
          <w:p w14:paraId="459A6D68" w14:textId="77777777" w:rsidR="007A7D7A" w:rsidRPr="007A7D7A" w:rsidRDefault="007A7D7A" w:rsidP="00F11EC1">
            <w:pPr>
              <w:snapToGrid w:val="0"/>
              <w:rPr>
                <w:rFonts w:ascii="Calibri" w:hAnsi="Calibri" w:cs="Calibri"/>
                <w:sz w:val="18"/>
                <w:szCs w:val="18"/>
              </w:rPr>
            </w:pPr>
            <w:r w:rsidRPr="007A7D7A">
              <w:rPr>
                <w:rFonts w:ascii="Calibri" w:hAnsi="Calibri" w:cs="Calibri"/>
                <w:sz w:val="18"/>
                <w:szCs w:val="18"/>
              </w:rPr>
              <w:t>PN-EN 22592</w:t>
            </w:r>
          </w:p>
        </w:tc>
        <w:tc>
          <w:tcPr>
            <w:tcW w:w="7371" w:type="dxa"/>
          </w:tcPr>
          <w:p w14:paraId="50641176" w14:textId="77777777" w:rsidR="007A7D7A" w:rsidRPr="007A7D7A" w:rsidRDefault="007A7D7A" w:rsidP="00F11EC1">
            <w:pPr>
              <w:snapToGrid w:val="0"/>
              <w:rPr>
                <w:rFonts w:ascii="Calibri" w:hAnsi="Calibri" w:cs="Calibri"/>
                <w:sz w:val="18"/>
                <w:szCs w:val="18"/>
              </w:rPr>
            </w:pPr>
            <w:r w:rsidRPr="007A7D7A">
              <w:rPr>
                <w:rFonts w:ascii="Calibri" w:hAnsi="Calibri" w:cs="Calibri"/>
                <w:sz w:val="18"/>
                <w:szCs w:val="18"/>
              </w:rPr>
              <w:t>Przetwory naftowe – Oznaczanie temperatury zapłonu i palenia – Pomiar metodą otwartego tygla Clevelanda</w:t>
            </w:r>
          </w:p>
        </w:tc>
      </w:tr>
      <w:tr w:rsidR="007A7D7A" w:rsidRPr="007A7D7A" w14:paraId="5A818B2A" w14:textId="77777777" w:rsidTr="00F11EC1">
        <w:tc>
          <w:tcPr>
            <w:tcW w:w="534" w:type="dxa"/>
          </w:tcPr>
          <w:p w14:paraId="2CD283D0" w14:textId="77777777" w:rsidR="007A7D7A" w:rsidRPr="007A7D7A" w:rsidRDefault="007A7D7A" w:rsidP="00F11EC1">
            <w:pPr>
              <w:snapToGrid w:val="0"/>
              <w:rPr>
                <w:rFonts w:ascii="Calibri" w:hAnsi="Calibri" w:cs="Calibri"/>
                <w:sz w:val="18"/>
                <w:szCs w:val="18"/>
              </w:rPr>
            </w:pPr>
            <w:r w:rsidRPr="007A7D7A">
              <w:rPr>
                <w:rFonts w:ascii="Calibri" w:hAnsi="Calibri" w:cs="Calibri"/>
                <w:sz w:val="18"/>
                <w:szCs w:val="18"/>
              </w:rPr>
              <w:t>63.</w:t>
            </w:r>
          </w:p>
        </w:tc>
        <w:tc>
          <w:tcPr>
            <w:tcW w:w="1842" w:type="dxa"/>
          </w:tcPr>
          <w:p w14:paraId="231796A2" w14:textId="77777777" w:rsidR="007A7D7A" w:rsidRPr="007A7D7A" w:rsidRDefault="007A7D7A" w:rsidP="00F11EC1">
            <w:pPr>
              <w:snapToGrid w:val="0"/>
              <w:rPr>
                <w:rFonts w:ascii="Calibri" w:hAnsi="Calibri" w:cs="Calibri"/>
                <w:sz w:val="18"/>
                <w:szCs w:val="18"/>
              </w:rPr>
            </w:pPr>
            <w:r w:rsidRPr="007A7D7A">
              <w:rPr>
                <w:rFonts w:ascii="Calibri" w:hAnsi="Calibri" w:cs="Calibri"/>
                <w:sz w:val="18"/>
                <w:szCs w:val="18"/>
              </w:rPr>
              <w:t>PN-EN ISO 2592</w:t>
            </w:r>
          </w:p>
        </w:tc>
        <w:tc>
          <w:tcPr>
            <w:tcW w:w="7371" w:type="dxa"/>
          </w:tcPr>
          <w:p w14:paraId="5AFA970C" w14:textId="77777777" w:rsidR="007A7D7A" w:rsidRPr="007A7D7A" w:rsidRDefault="007A7D7A" w:rsidP="00F11EC1">
            <w:pPr>
              <w:snapToGrid w:val="0"/>
              <w:rPr>
                <w:rFonts w:ascii="Calibri" w:hAnsi="Calibri" w:cs="Calibri"/>
                <w:sz w:val="18"/>
                <w:szCs w:val="18"/>
              </w:rPr>
            </w:pPr>
            <w:r w:rsidRPr="007A7D7A">
              <w:rPr>
                <w:rFonts w:ascii="Calibri" w:hAnsi="Calibri" w:cs="Calibri"/>
                <w:sz w:val="18"/>
                <w:szCs w:val="18"/>
              </w:rPr>
              <w:t>Oznaczanie temperatury zapłonu i palenia – Metoda otwartego tygla Clevelanda</w:t>
            </w:r>
          </w:p>
        </w:tc>
      </w:tr>
    </w:tbl>
    <w:p w14:paraId="36C4A200" w14:textId="77777777" w:rsidR="007A7D7A" w:rsidRPr="007A7D7A" w:rsidRDefault="007A7D7A" w:rsidP="007A7D7A">
      <w:pPr>
        <w:pStyle w:val="Nagwek4"/>
        <w:tabs>
          <w:tab w:val="left" w:pos="9914"/>
        </w:tabs>
        <w:rPr>
          <w:rFonts w:ascii="Calibri" w:hAnsi="Calibri" w:cs="Calibri"/>
          <w:sz w:val="18"/>
          <w:szCs w:val="18"/>
        </w:rPr>
      </w:pPr>
      <w:r w:rsidRPr="007A7D7A">
        <w:rPr>
          <w:rFonts w:ascii="Calibri" w:hAnsi="Calibri" w:cs="Calibri"/>
          <w:sz w:val="18"/>
          <w:szCs w:val="18"/>
        </w:rPr>
        <w:t>10.3. Wymagania techniczne (rekomendowane przez Ministra Infrastruktury)</w:t>
      </w:r>
    </w:p>
    <w:p w14:paraId="3087A860" w14:textId="77777777" w:rsidR="007A7D7A" w:rsidRPr="007A7D7A" w:rsidRDefault="007A7D7A" w:rsidP="00262498">
      <w:pPr>
        <w:numPr>
          <w:ilvl w:val="0"/>
          <w:numId w:val="27"/>
        </w:numPr>
        <w:tabs>
          <w:tab w:val="left" w:pos="283"/>
        </w:tabs>
        <w:suppressAutoHyphens/>
        <w:autoSpaceDN/>
        <w:adjustRightInd/>
        <w:rPr>
          <w:rFonts w:ascii="Calibri" w:hAnsi="Calibri" w:cs="Calibri"/>
          <w:sz w:val="18"/>
          <w:szCs w:val="18"/>
        </w:rPr>
      </w:pPr>
      <w:r w:rsidRPr="007A7D7A">
        <w:rPr>
          <w:rFonts w:ascii="Calibri" w:hAnsi="Calibri" w:cs="Calibri"/>
          <w:sz w:val="18"/>
          <w:szCs w:val="18"/>
        </w:rPr>
        <w:t>WT-1 Kruszywa 2010. Kruszywa do mieszanek mineralno-asfaltowych i powierzchniowych utrwaleń na drogach publicznych, Warszawa 2010</w:t>
      </w:r>
    </w:p>
    <w:p w14:paraId="5F534490" w14:textId="77777777" w:rsidR="007A7D7A" w:rsidRPr="007A7D7A" w:rsidRDefault="007A7D7A" w:rsidP="00262498">
      <w:pPr>
        <w:numPr>
          <w:ilvl w:val="0"/>
          <w:numId w:val="27"/>
        </w:numPr>
        <w:tabs>
          <w:tab w:val="left" w:pos="283"/>
        </w:tabs>
        <w:suppressAutoHyphens/>
        <w:autoSpaceDN/>
        <w:adjustRightInd/>
        <w:rPr>
          <w:rFonts w:ascii="Calibri" w:hAnsi="Calibri" w:cs="Calibri"/>
          <w:sz w:val="18"/>
          <w:szCs w:val="18"/>
        </w:rPr>
      </w:pPr>
      <w:r w:rsidRPr="007A7D7A">
        <w:rPr>
          <w:rFonts w:ascii="Calibri" w:hAnsi="Calibri" w:cs="Calibri"/>
          <w:sz w:val="18"/>
          <w:szCs w:val="18"/>
        </w:rPr>
        <w:t>WT-2 Nawierzchnie asfaltowe 2010. Nawierzchnie asfaltowe na drogach publicznych, Warszawa 2010</w:t>
      </w:r>
    </w:p>
    <w:p w14:paraId="187A326A" w14:textId="77777777" w:rsidR="007A7D7A" w:rsidRPr="007A7D7A" w:rsidRDefault="007A7D7A" w:rsidP="00262498">
      <w:pPr>
        <w:numPr>
          <w:ilvl w:val="0"/>
          <w:numId w:val="27"/>
        </w:numPr>
        <w:tabs>
          <w:tab w:val="left" w:pos="283"/>
        </w:tabs>
        <w:suppressAutoHyphens/>
        <w:autoSpaceDN/>
        <w:adjustRightInd/>
        <w:rPr>
          <w:rFonts w:ascii="Calibri" w:hAnsi="Calibri" w:cs="Calibri"/>
          <w:sz w:val="18"/>
          <w:szCs w:val="18"/>
        </w:rPr>
      </w:pPr>
      <w:r w:rsidRPr="007A7D7A">
        <w:rPr>
          <w:rFonts w:ascii="Calibri" w:hAnsi="Calibri" w:cs="Calibri"/>
          <w:sz w:val="18"/>
          <w:szCs w:val="18"/>
        </w:rPr>
        <w:t>WT-3 Emulsje asfaltowe 2009. Kationowe emulsje asfaltowe na drogach publicznych, Warszawa 2009</w:t>
      </w:r>
    </w:p>
    <w:p w14:paraId="22ECC7C7" w14:textId="77777777" w:rsidR="007A7D7A" w:rsidRPr="007A7D7A" w:rsidRDefault="007A7D7A" w:rsidP="007A7D7A">
      <w:pPr>
        <w:pStyle w:val="Nagwek4"/>
        <w:tabs>
          <w:tab w:val="left" w:pos="9914"/>
        </w:tabs>
        <w:rPr>
          <w:rFonts w:ascii="Calibri" w:hAnsi="Calibri" w:cs="Calibri"/>
          <w:sz w:val="18"/>
          <w:szCs w:val="18"/>
        </w:rPr>
      </w:pPr>
      <w:r w:rsidRPr="007A7D7A">
        <w:rPr>
          <w:rFonts w:ascii="Calibri" w:hAnsi="Calibri" w:cs="Calibri"/>
          <w:sz w:val="18"/>
          <w:szCs w:val="18"/>
        </w:rPr>
        <w:t>10.4. Inne dokumenty</w:t>
      </w:r>
    </w:p>
    <w:p w14:paraId="214C3337" w14:textId="1258FE33" w:rsidR="007A7D7A" w:rsidRPr="007A7D7A" w:rsidRDefault="007A7D7A" w:rsidP="007A7D7A">
      <w:pPr>
        <w:overflowPunct/>
        <w:autoSpaceDE/>
        <w:autoSpaceDN/>
        <w:adjustRightInd/>
        <w:jc w:val="left"/>
        <w:textAlignment w:val="auto"/>
        <w:rPr>
          <w:rFonts w:asciiTheme="minorHAnsi" w:hAnsiTheme="minorHAnsi" w:cs="TTE18C80C0t00"/>
          <w:sz w:val="18"/>
          <w:szCs w:val="18"/>
        </w:rPr>
      </w:pPr>
      <w:r w:rsidRPr="007A7D7A">
        <w:rPr>
          <w:rFonts w:ascii="Calibri" w:hAnsi="Calibri" w:cs="Calibri"/>
          <w:sz w:val="18"/>
          <w:szCs w:val="18"/>
        </w:rPr>
        <w:t xml:space="preserve">Katalog typowych konstrukcji nawierzchni podatnych i półsztywnych. Generalna Dyrekcja Dróg Publicznych – Instytut Badawczy Dróg i Mostów, Warszawa </w:t>
      </w:r>
      <w:r w:rsidRPr="007A7D7A">
        <w:rPr>
          <w:rFonts w:asciiTheme="minorHAnsi" w:hAnsiTheme="minorHAnsi"/>
          <w:sz w:val="18"/>
          <w:szCs w:val="18"/>
        </w:rPr>
        <w:br w:type="page"/>
      </w:r>
    </w:p>
    <w:p w14:paraId="57257372" w14:textId="767817FA" w:rsidR="00AE14BA" w:rsidRPr="009367E1" w:rsidRDefault="003F4D3B" w:rsidP="007A7D7A">
      <w:pPr>
        <w:overflowPunct/>
        <w:autoSpaceDE/>
        <w:autoSpaceDN/>
        <w:adjustRightInd/>
        <w:spacing w:line="360" w:lineRule="auto"/>
        <w:jc w:val="center"/>
        <w:textAlignment w:val="auto"/>
        <w:rPr>
          <w:rFonts w:asciiTheme="minorHAnsi" w:hAnsiTheme="minorHAnsi"/>
          <w:b/>
          <w:sz w:val="22"/>
          <w:szCs w:val="22"/>
        </w:rPr>
      </w:pPr>
      <w:r>
        <w:rPr>
          <w:rFonts w:ascii="Calibri" w:hAnsi="Calibri" w:cs="Calibri"/>
          <w:b/>
          <w:sz w:val="22"/>
          <w:szCs w:val="22"/>
        </w:rPr>
        <w:t>SZCZEGÓŁOWE SPECYFIKACJE TECHNICZNE</w:t>
      </w:r>
      <w:r w:rsidR="00AE14BA" w:rsidRPr="009367E1">
        <w:rPr>
          <w:rFonts w:asciiTheme="minorHAnsi" w:hAnsiTheme="minorHAnsi"/>
          <w:b/>
          <w:sz w:val="22"/>
          <w:szCs w:val="22"/>
        </w:rPr>
        <w:t xml:space="preserve"> WYKONANIA I ODBIORU ROBÓT BUDOWLANYCH</w:t>
      </w:r>
    </w:p>
    <w:p w14:paraId="52CAC40A" w14:textId="77777777" w:rsidR="00AE14BA" w:rsidRPr="00A23FB4" w:rsidRDefault="00327255" w:rsidP="0044266C">
      <w:pPr>
        <w:pStyle w:val="Nagowek1"/>
        <w:spacing w:before="0" w:line="360" w:lineRule="auto"/>
      </w:pPr>
      <w:bookmarkStart w:id="617" w:name="_Toc285044236"/>
      <w:bookmarkStart w:id="618" w:name="_Toc288993902"/>
      <w:bookmarkStart w:id="619" w:name="_Toc430694561"/>
      <w:bookmarkStart w:id="620" w:name="_Toc480533259"/>
      <w:bookmarkStart w:id="621" w:name="_Toc206275486"/>
      <w:r w:rsidRPr="009367E1">
        <w:t>D-</w:t>
      </w:r>
      <w:r w:rsidR="00AE14BA" w:rsidRPr="009367E1">
        <w:t>05.03.01 NAWIERZCHNIA Z KOSTKI KAMIENNEJ</w:t>
      </w:r>
      <w:bookmarkEnd w:id="617"/>
      <w:bookmarkEnd w:id="618"/>
      <w:bookmarkEnd w:id="619"/>
      <w:bookmarkEnd w:id="620"/>
      <w:bookmarkEnd w:id="621"/>
    </w:p>
    <w:p w14:paraId="47CF957D" w14:textId="77777777" w:rsidR="00AE14BA" w:rsidRPr="00A23FB4" w:rsidRDefault="00AE14BA" w:rsidP="00AE14BA">
      <w:pPr>
        <w:rPr>
          <w:rFonts w:asciiTheme="minorHAnsi" w:hAnsiTheme="minorHAnsi"/>
          <w:b/>
        </w:rPr>
      </w:pPr>
      <w:bookmarkStart w:id="622" w:name="_Toc422115846"/>
      <w:r w:rsidRPr="00A23FB4">
        <w:rPr>
          <w:rFonts w:asciiTheme="minorHAnsi" w:hAnsiTheme="minorHAnsi"/>
          <w:b/>
        </w:rPr>
        <w:t>1. WSTĘP</w:t>
      </w:r>
      <w:bookmarkEnd w:id="622"/>
    </w:p>
    <w:p w14:paraId="01A6BECC" w14:textId="0DEE7BD3" w:rsidR="00AE14BA" w:rsidRPr="00A23FB4" w:rsidRDefault="00AE14BA" w:rsidP="00AE14BA">
      <w:pPr>
        <w:pStyle w:val="Nagwek4"/>
        <w:rPr>
          <w:rFonts w:asciiTheme="minorHAnsi" w:hAnsiTheme="minorHAnsi"/>
        </w:rPr>
      </w:pPr>
      <w:r w:rsidRPr="00A23FB4">
        <w:rPr>
          <w:rFonts w:asciiTheme="minorHAnsi" w:hAnsiTheme="minorHAnsi"/>
        </w:rPr>
        <w:t xml:space="preserve">1.1. Przedmiot </w:t>
      </w:r>
      <w:r w:rsidR="00FF2938">
        <w:rPr>
          <w:rFonts w:asciiTheme="minorHAnsi" w:hAnsiTheme="minorHAnsi"/>
        </w:rPr>
        <w:t>ST</w:t>
      </w:r>
      <w:r w:rsidRPr="00A23FB4">
        <w:rPr>
          <w:rFonts w:asciiTheme="minorHAnsi" w:hAnsiTheme="minorHAnsi"/>
        </w:rPr>
        <w:t>WiORB</w:t>
      </w:r>
    </w:p>
    <w:p w14:paraId="74F2382D" w14:textId="3B241D26" w:rsidR="00AE14BA" w:rsidRPr="00A23FB4" w:rsidRDefault="00AE14BA" w:rsidP="00AE14BA">
      <w:pPr>
        <w:pStyle w:val="Standardowytekst"/>
        <w:rPr>
          <w:rFonts w:asciiTheme="minorHAnsi" w:hAnsiTheme="minorHAnsi"/>
        </w:rPr>
      </w:pPr>
      <w:r w:rsidRPr="00A23FB4">
        <w:rPr>
          <w:rFonts w:asciiTheme="minorHAnsi" w:hAnsiTheme="minorHAnsi"/>
        </w:rPr>
        <w:t>Przedmiotem niniejsz</w:t>
      </w:r>
      <w:r w:rsidR="00375F64">
        <w:rPr>
          <w:rFonts w:asciiTheme="minorHAnsi" w:hAnsiTheme="minorHAnsi"/>
        </w:rPr>
        <w:t>ej</w:t>
      </w:r>
      <w:r w:rsidRPr="00A23FB4">
        <w:rPr>
          <w:rFonts w:asciiTheme="minorHAnsi" w:hAnsiTheme="minorHAnsi"/>
        </w:rPr>
        <w:t xml:space="preserve"> </w:t>
      </w:r>
      <w:r w:rsidR="003F4D3B">
        <w:rPr>
          <w:rFonts w:asciiTheme="minorHAnsi" w:hAnsiTheme="minorHAnsi"/>
        </w:rPr>
        <w:t>specyfikacji</w:t>
      </w:r>
      <w:r w:rsidRPr="00A23FB4">
        <w:rPr>
          <w:rFonts w:asciiTheme="minorHAnsi" w:hAnsiTheme="minorHAnsi"/>
        </w:rPr>
        <w:t xml:space="preserve"> są wymagania dotyczące wykonan</w:t>
      </w:r>
      <w:r w:rsidR="00775E10" w:rsidRPr="00A23FB4">
        <w:rPr>
          <w:rFonts w:asciiTheme="minorHAnsi" w:hAnsiTheme="minorHAnsi"/>
        </w:rPr>
        <w:t>ia i odbioru robót związanych z </w:t>
      </w:r>
      <w:r w:rsidRPr="00A23FB4">
        <w:rPr>
          <w:rFonts w:asciiTheme="minorHAnsi" w:hAnsiTheme="minorHAnsi"/>
        </w:rPr>
        <w:t>wykonywaniem nawierzchni z kostki kamiennej.</w:t>
      </w:r>
    </w:p>
    <w:p w14:paraId="0B620CAA" w14:textId="3CE21E40" w:rsidR="00AE14BA" w:rsidRPr="00A23FB4" w:rsidRDefault="00AE14BA" w:rsidP="00AE14BA">
      <w:pPr>
        <w:pStyle w:val="Nagwek4"/>
        <w:rPr>
          <w:rFonts w:asciiTheme="minorHAnsi" w:hAnsiTheme="minorHAnsi"/>
        </w:rPr>
      </w:pPr>
      <w:r w:rsidRPr="00A23FB4">
        <w:rPr>
          <w:rFonts w:asciiTheme="minorHAnsi" w:hAnsiTheme="minorHAnsi"/>
        </w:rPr>
        <w:t xml:space="preserve">1.2. Zakres stosowania </w:t>
      </w:r>
      <w:r w:rsidR="00FF2938">
        <w:rPr>
          <w:rFonts w:asciiTheme="minorHAnsi" w:hAnsiTheme="minorHAnsi"/>
        </w:rPr>
        <w:t>ST</w:t>
      </w:r>
      <w:r w:rsidRPr="00A23FB4">
        <w:rPr>
          <w:rFonts w:asciiTheme="minorHAnsi" w:hAnsiTheme="minorHAnsi"/>
        </w:rPr>
        <w:t>WiORB</w:t>
      </w:r>
    </w:p>
    <w:p w14:paraId="168A203B" w14:textId="48F1A1C8" w:rsidR="003D707D" w:rsidRDefault="00575C66" w:rsidP="003D707D">
      <w:pPr>
        <w:rPr>
          <w:b/>
          <w:bCs/>
          <w:smallCaps/>
          <w:sz w:val="28"/>
          <w:szCs w:val="28"/>
        </w:rPr>
      </w:pPr>
      <w:r>
        <w:rPr>
          <w:rFonts w:ascii="Calibri" w:hAnsi="Calibri" w:cs="Calibri"/>
        </w:rPr>
        <w:t>Specyfikacj</w:t>
      </w:r>
      <w:r w:rsidR="00375F64">
        <w:rPr>
          <w:rFonts w:ascii="Calibri" w:hAnsi="Calibri" w:cs="Calibri"/>
        </w:rPr>
        <w:t>a</w:t>
      </w:r>
      <w:r w:rsidRPr="00A23FB4">
        <w:rPr>
          <w:rFonts w:asciiTheme="minorHAnsi" w:hAnsiTheme="minorHAnsi" w:cs="Calibri"/>
        </w:rPr>
        <w:t xml:space="preserve"> </w:t>
      </w:r>
      <w:r w:rsidR="00AE14BA" w:rsidRPr="00A23FB4">
        <w:rPr>
          <w:rFonts w:asciiTheme="minorHAnsi" w:hAnsiTheme="minorHAnsi" w:cs="Calibri"/>
        </w:rPr>
        <w:t>stanowi dokument kontraktowy przy realizacji  zadania</w:t>
      </w:r>
      <w:r w:rsidR="0044266C" w:rsidRPr="00A23FB4">
        <w:rPr>
          <w:rFonts w:asciiTheme="minorHAnsi" w:hAnsiTheme="minorHAnsi" w:cstheme="minorHAnsi"/>
          <w:bCs/>
        </w:rPr>
        <w:t xml:space="preserve"> </w:t>
      </w:r>
      <w:r w:rsidR="00506838">
        <w:rPr>
          <w:rFonts w:asciiTheme="minorHAnsi" w:hAnsiTheme="minorHAnsi" w:cstheme="minorHAnsi"/>
          <w:bCs/>
        </w:rPr>
        <w:t>„</w:t>
      </w:r>
      <w:r w:rsidR="00FF2938" w:rsidRPr="00FF2938">
        <w:rPr>
          <w:rFonts w:asciiTheme="minorHAnsi" w:hAnsiTheme="minorHAnsi" w:cstheme="minorHAnsi"/>
          <w:bCs/>
        </w:rPr>
        <w:t>Rozbudowa ul. Wrocławskiej w ciągu drogi powiatowej w Tyńcu Małym wraz z rozbudową istniejącego skrzyżowania typu rondo na połączeniu dróg krajowych nr 35 i 35a oraz łącznika węzła Kobierzyce drogi S8e oraz infrastrukturą towarzyszącą w ramach zadania „Rozbudowa skrzyżowania typu rondo w ciągu DK35 koło m. Tyniec Mały usprawniająca skomunikowanie obszarów Podstrefy Wrocław – Kobierzyce TSSE EURO PARK WISŁOSAN”.</w:t>
      </w:r>
    </w:p>
    <w:p w14:paraId="4B8C8D94" w14:textId="4C032DAE" w:rsidR="00AE14BA" w:rsidRPr="00A23FB4" w:rsidRDefault="00AE14BA" w:rsidP="00AE14BA">
      <w:pPr>
        <w:rPr>
          <w:rFonts w:asciiTheme="minorHAnsi" w:hAnsiTheme="minorHAnsi" w:cs="Calibri"/>
        </w:rPr>
      </w:pPr>
    </w:p>
    <w:p w14:paraId="6A204CF7" w14:textId="153FD11D" w:rsidR="00AE14BA" w:rsidRPr="00A23FB4" w:rsidRDefault="00AE14BA" w:rsidP="00AE14BA">
      <w:pPr>
        <w:pStyle w:val="Nagwek4"/>
        <w:rPr>
          <w:rFonts w:asciiTheme="minorHAnsi" w:hAnsiTheme="minorHAnsi"/>
        </w:rPr>
      </w:pPr>
      <w:r w:rsidRPr="00A23FB4">
        <w:rPr>
          <w:rFonts w:asciiTheme="minorHAnsi" w:hAnsiTheme="minorHAnsi"/>
        </w:rPr>
        <w:t xml:space="preserve">1.3. Zakres robót objętych </w:t>
      </w:r>
      <w:r w:rsidR="00FF2938">
        <w:rPr>
          <w:rFonts w:asciiTheme="minorHAnsi" w:hAnsiTheme="minorHAnsi"/>
        </w:rPr>
        <w:t>ST</w:t>
      </w:r>
      <w:r w:rsidRPr="00A23FB4">
        <w:rPr>
          <w:rFonts w:asciiTheme="minorHAnsi" w:hAnsiTheme="minorHAnsi"/>
        </w:rPr>
        <w:t>WiORB</w:t>
      </w:r>
    </w:p>
    <w:p w14:paraId="743596A4" w14:textId="6943785F" w:rsidR="00AE14BA" w:rsidRPr="00A23FB4" w:rsidRDefault="00AE14BA" w:rsidP="00AE14BA">
      <w:pPr>
        <w:rPr>
          <w:rFonts w:asciiTheme="minorHAnsi" w:hAnsiTheme="minorHAnsi"/>
        </w:rPr>
      </w:pPr>
      <w:r w:rsidRPr="00A23FB4">
        <w:rPr>
          <w:rFonts w:asciiTheme="minorHAnsi" w:hAnsiTheme="minorHAnsi"/>
        </w:rPr>
        <w:t xml:space="preserve">Ustalenia zawarte w niniejszych </w:t>
      </w:r>
      <w:r w:rsidR="003F4D3B">
        <w:rPr>
          <w:rFonts w:asciiTheme="minorHAnsi" w:hAnsiTheme="minorHAnsi"/>
        </w:rPr>
        <w:t>specyfikacjach</w:t>
      </w:r>
      <w:r w:rsidRPr="00A23FB4">
        <w:rPr>
          <w:rFonts w:asciiTheme="minorHAnsi" w:hAnsiTheme="minorHAnsi"/>
        </w:rPr>
        <w:t xml:space="preserve"> dotyczą zasad prowadzenia robót związanych z wykonywaniem </w:t>
      </w:r>
      <w:r w:rsidR="000529EE" w:rsidRPr="00A23FB4">
        <w:rPr>
          <w:rFonts w:asciiTheme="minorHAnsi" w:hAnsiTheme="minorHAnsi"/>
        </w:rPr>
        <w:t xml:space="preserve">ścieku przykrawężnikowego o </w:t>
      </w:r>
      <w:r w:rsidRPr="00A23FB4">
        <w:rPr>
          <w:rFonts w:asciiTheme="minorHAnsi" w:hAnsiTheme="minorHAnsi"/>
        </w:rPr>
        <w:t>nawierzchni kostkowych.</w:t>
      </w:r>
    </w:p>
    <w:p w14:paraId="46E0F588" w14:textId="77777777" w:rsidR="00AE14BA" w:rsidRPr="00A23FB4" w:rsidRDefault="00AE14BA" w:rsidP="00AE14BA">
      <w:pPr>
        <w:pStyle w:val="Nagwek4"/>
        <w:rPr>
          <w:rFonts w:asciiTheme="minorHAnsi" w:hAnsiTheme="minorHAnsi"/>
        </w:rPr>
      </w:pPr>
      <w:r w:rsidRPr="00A23FB4">
        <w:rPr>
          <w:rFonts w:asciiTheme="minorHAnsi" w:hAnsiTheme="minorHAnsi"/>
        </w:rPr>
        <w:t>1.4. Określenia podstawowe</w:t>
      </w:r>
    </w:p>
    <w:p w14:paraId="3F38483C" w14:textId="77777777" w:rsidR="00AE14BA" w:rsidRPr="00A23FB4" w:rsidRDefault="00AE14BA" w:rsidP="00AE14BA">
      <w:pPr>
        <w:rPr>
          <w:rFonts w:asciiTheme="minorHAnsi" w:hAnsiTheme="minorHAnsi"/>
        </w:rPr>
      </w:pPr>
      <w:r w:rsidRPr="00A23FB4">
        <w:rPr>
          <w:rFonts w:asciiTheme="minorHAnsi" w:hAnsiTheme="minorHAnsi"/>
          <w:b/>
        </w:rPr>
        <w:t xml:space="preserve">1.4.1. </w:t>
      </w:r>
      <w:r w:rsidRPr="00A23FB4">
        <w:rPr>
          <w:rFonts w:asciiTheme="minorHAnsi" w:hAnsiTheme="minorHAnsi"/>
        </w:rPr>
        <w:t>Nawierzchnia twarda ulepszona - nawierzchnia bezpylna i dostatecznie równa, przystosowana do szybkiego ruchu samochodowego.</w:t>
      </w:r>
    </w:p>
    <w:p w14:paraId="6D37F9DD" w14:textId="77777777" w:rsidR="00AE14BA" w:rsidRPr="00A23FB4" w:rsidRDefault="00AE14BA" w:rsidP="00AE14BA">
      <w:pPr>
        <w:rPr>
          <w:rFonts w:asciiTheme="minorHAnsi" w:hAnsiTheme="minorHAnsi"/>
        </w:rPr>
      </w:pPr>
      <w:r w:rsidRPr="00A23FB4">
        <w:rPr>
          <w:rFonts w:asciiTheme="minorHAnsi" w:hAnsiTheme="minorHAnsi"/>
          <w:b/>
        </w:rPr>
        <w:t xml:space="preserve">1.4.2. </w:t>
      </w:r>
      <w:r w:rsidRPr="00A23FB4">
        <w:rPr>
          <w:rFonts w:asciiTheme="minorHAnsi" w:hAnsiTheme="minorHAnsi"/>
        </w:rPr>
        <w:t>Nawierzchnia kostkowa - nawierzchnia, której warstwa ścieralna jest wykonana z kostek kamiennych.</w:t>
      </w:r>
    </w:p>
    <w:p w14:paraId="17798BD9" w14:textId="5F7191B9" w:rsidR="00AE14BA" w:rsidRPr="00A23FB4" w:rsidRDefault="00AE14BA" w:rsidP="00AE14BA">
      <w:pPr>
        <w:rPr>
          <w:rFonts w:asciiTheme="minorHAnsi" w:hAnsiTheme="minorHAnsi"/>
        </w:rPr>
      </w:pPr>
      <w:r w:rsidRPr="00A23FB4">
        <w:rPr>
          <w:rFonts w:asciiTheme="minorHAnsi" w:hAnsiTheme="minorHAnsi"/>
          <w:b/>
        </w:rPr>
        <w:t xml:space="preserve">1.4.3. </w:t>
      </w:r>
      <w:r w:rsidRPr="00A23FB4">
        <w:rPr>
          <w:rFonts w:asciiTheme="minorHAnsi" w:hAnsiTheme="minorHAnsi"/>
        </w:rPr>
        <w:t xml:space="preserve">Pozostałe określenia podstawowe są zgodne z obowiązującymi, odpowiednimi polskimi normami i z definicjami podanymi w </w:t>
      </w:r>
      <w:r w:rsidR="00FF2938">
        <w:rPr>
          <w:rFonts w:asciiTheme="minorHAnsi" w:hAnsiTheme="minorHAnsi"/>
        </w:rPr>
        <w:t>ST</w:t>
      </w:r>
      <w:r w:rsidRPr="00A23FB4">
        <w:rPr>
          <w:rFonts w:asciiTheme="minorHAnsi" w:hAnsiTheme="minorHAnsi"/>
        </w:rPr>
        <w:t>WiORB D-M-00.00.00 „Wymagania ogólne” pkt 1.4.</w:t>
      </w:r>
    </w:p>
    <w:p w14:paraId="2CF6C15A" w14:textId="77777777" w:rsidR="00AE14BA" w:rsidRPr="00A23FB4" w:rsidRDefault="00AE14BA" w:rsidP="00AE14BA">
      <w:pPr>
        <w:pStyle w:val="Nagwek4"/>
        <w:rPr>
          <w:rFonts w:asciiTheme="minorHAnsi" w:hAnsiTheme="minorHAnsi"/>
        </w:rPr>
      </w:pPr>
      <w:r w:rsidRPr="00A23FB4">
        <w:rPr>
          <w:rFonts w:asciiTheme="minorHAnsi" w:hAnsiTheme="minorHAnsi"/>
        </w:rPr>
        <w:t xml:space="preserve">1.5. Ogólne wymagania dotyczące robót </w:t>
      </w:r>
    </w:p>
    <w:p w14:paraId="1164520B" w14:textId="39B299C4" w:rsidR="00AE14BA" w:rsidRPr="00A23FB4" w:rsidRDefault="00AE14BA" w:rsidP="00AE14BA">
      <w:pPr>
        <w:rPr>
          <w:rFonts w:asciiTheme="minorHAnsi" w:hAnsiTheme="minorHAnsi"/>
        </w:rPr>
      </w:pPr>
      <w:r w:rsidRPr="00A23FB4">
        <w:rPr>
          <w:rFonts w:asciiTheme="minorHAnsi" w:hAnsiTheme="minorHAnsi"/>
        </w:rPr>
        <w:t xml:space="preserve">Ogólne wymagania dotyczące robót podano w </w:t>
      </w:r>
      <w:r w:rsidR="00FF2938">
        <w:rPr>
          <w:rFonts w:asciiTheme="minorHAnsi" w:hAnsiTheme="minorHAnsi"/>
        </w:rPr>
        <w:t>ST</w:t>
      </w:r>
      <w:r w:rsidRPr="00A23FB4">
        <w:rPr>
          <w:rFonts w:asciiTheme="minorHAnsi" w:hAnsiTheme="minorHAnsi"/>
        </w:rPr>
        <w:t>WiORB D-M-00.00.00 „Wymagania ogólne” pkt 1.5.</w:t>
      </w:r>
    </w:p>
    <w:p w14:paraId="50AC3A40" w14:textId="77777777" w:rsidR="00AE14BA" w:rsidRPr="00A23FB4" w:rsidRDefault="00AE14BA" w:rsidP="00AE14BA">
      <w:pPr>
        <w:rPr>
          <w:rFonts w:asciiTheme="minorHAnsi" w:hAnsiTheme="minorHAnsi"/>
          <w:b/>
        </w:rPr>
      </w:pPr>
      <w:bookmarkStart w:id="623" w:name="_Toc422115847"/>
      <w:r w:rsidRPr="00A23FB4">
        <w:rPr>
          <w:rFonts w:asciiTheme="minorHAnsi" w:hAnsiTheme="minorHAnsi"/>
          <w:b/>
        </w:rPr>
        <w:t>2. MATERIAŁY</w:t>
      </w:r>
      <w:bookmarkEnd w:id="623"/>
    </w:p>
    <w:p w14:paraId="7A438350" w14:textId="77777777" w:rsidR="00AE14BA" w:rsidRPr="00A23FB4" w:rsidRDefault="00AE14BA" w:rsidP="00AE14BA">
      <w:pPr>
        <w:pStyle w:val="Nagwek4"/>
        <w:rPr>
          <w:rFonts w:asciiTheme="minorHAnsi" w:hAnsiTheme="minorHAnsi"/>
        </w:rPr>
      </w:pPr>
      <w:r w:rsidRPr="00A23FB4">
        <w:rPr>
          <w:rFonts w:asciiTheme="minorHAnsi" w:hAnsiTheme="minorHAnsi"/>
        </w:rPr>
        <w:t>2.1. Ogólne wymagania dotyczące materiałów</w:t>
      </w:r>
    </w:p>
    <w:p w14:paraId="0B117AA5" w14:textId="18E88E81" w:rsidR="00AE14BA" w:rsidRPr="00A23FB4" w:rsidRDefault="00AE14BA" w:rsidP="00AE14BA">
      <w:pPr>
        <w:rPr>
          <w:rFonts w:asciiTheme="minorHAnsi" w:hAnsiTheme="minorHAnsi"/>
        </w:rPr>
      </w:pPr>
      <w:r w:rsidRPr="00A23FB4">
        <w:rPr>
          <w:rFonts w:asciiTheme="minorHAnsi" w:hAnsiTheme="minorHAnsi"/>
        </w:rPr>
        <w:t xml:space="preserve">Ogólne wymagania dotyczące materiałów, ich pozyskiwania i składowania, podano w </w:t>
      </w:r>
      <w:r w:rsidR="00FF2938">
        <w:rPr>
          <w:rFonts w:asciiTheme="minorHAnsi" w:hAnsiTheme="minorHAnsi"/>
        </w:rPr>
        <w:t>ST</w:t>
      </w:r>
      <w:r w:rsidRPr="00A23FB4">
        <w:rPr>
          <w:rFonts w:asciiTheme="minorHAnsi" w:hAnsiTheme="minorHAnsi"/>
        </w:rPr>
        <w:t>WiORB D-M-00.00.00 „Wymagania ogólne” pkt 2.</w:t>
      </w:r>
    </w:p>
    <w:p w14:paraId="389AB2AE" w14:textId="77777777" w:rsidR="00AE14BA" w:rsidRPr="00A23FB4" w:rsidRDefault="00AE14BA" w:rsidP="00AE14BA">
      <w:pPr>
        <w:pStyle w:val="Nagwek4"/>
        <w:rPr>
          <w:rFonts w:asciiTheme="minorHAnsi" w:hAnsiTheme="minorHAnsi"/>
        </w:rPr>
      </w:pPr>
      <w:r w:rsidRPr="00A23FB4">
        <w:rPr>
          <w:rFonts w:asciiTheme="minorHAnsi" w:hAnsiTheme="minorHAnsi"/>
        </w:rPr>
        <w:t>2.2. Kamienna kostka drogowa</w:t>
      </w:r>
    </w:p>
    <w:p w14:paraId="21C59388" w14:textId="77777777" w:rsidR="00AE14BA" w:rsidRPr="00A23FB4" w:rsidRDefault="00AE14BA" w:rsidP="00AE14BA">
      <w:pPr>
        <w:rPr>
          <w:rFonts w:asciiTheme="minorHAnsi" w:hAnsiTheme="minorHAnsi"/>
        </w:rPr>
      </w:pPr>
      <w:r w:rsidRPr="00A23FB4">
        <w:rPr>
          <w:rFonts w:asciiTheme="minorHAnsi" w:hAnsiTheme="minorHAnsi"/>
          <w:b/>
        </w:rPr>
        <w:t xml:space="preserve">2.2.1. </w:t>
      </w:r>
      <w:r w:rsidRPr="00A23FB4">
        <w:rPr>
          <w:rFonts w:asciiTheme="minorHAnsi" w:hAnsiTheme="minorHAnsi"/>
        </w:rPr>
        <w:t>Wymagania</w:t>
      </w:r>
    </w:p>
    <w:p w14:paraId="33B98579" w14:textId="77777777" w:rsidR="00AE14BA" w:rsidRPr="00A23FB4" w:rsidRDefault="00AE14BA" w:rsidP="00AE14BA">
      <w:pPr>
        <w:rPr>
          <w:rFonts w:asciiTheme="minorHAnsi" w:hAnsiTheme="minorHAnsi"/>
        </w:rPr>
      </w:pPr>
      <w:r w:rsidRPr="00A23FB4">
        <w:rPr>
          <w:rFonts w:asciiTheme="minorHAnsi" w:hAnsiTheme="minorHAnsi"/>
        </w:rPr>
        <w:t>Surowcem do wyrobu kostki kamiennej są skały magmowe, osadowe i przeobrażone. Wymagane cechy fizyczne i wytrzymałościowe przedstawia tablica 1.</w:t>
      </w:r>
    </w:p>
    <w:p w14:paraId="6F424E38" w14:textId="77777777" w:rsidR="00AE14BA" w:rsidRPr="00A23FB4" w:rsidRDefault="00AE14BA" w:rsidP="00AE14BA">
      <w:pPr>
        <w:rPr>
          <w:rFonts w:asciiTheme="minorHAnsi" w:hAnsiTheme="minorHAnsi"/>
        </w:rPr>
      </w:pPr>
    </w:p>
    <w:p w14:paraId="5DBF9D53" w14:textId="77777777" w:rsidR="00AE14BA" w:rsidRPr="00A23FB4" w:rsidRDefault="00AE14BA" w:rsidP="00AE14BA">
      <w:pPr>
        <w:rPr>
          <w:rFonts w:asciiTheme="minorHAnsi" w:hAnsiTheme="minorHAnsi"/>
        </w:rPr>
      </w:pPr>
      <w:r w:rsidRPr="00A23FB4">
        <w:rPr>
          <w:rFonts w:asciiTheme="minorHAnsi" w:hAnsiTheme="minorHAnsi"/>
        </w:rPr>
        <w:t>Tablica 1. Wymagane cechy fizyczne i wytrzymałościowe dla kostki kamiennej</w:t>
      </w:r>
    </w:p>
    <w:tbl>
      <w:tblPr>
        <w:tblW w:w="0" w:type="auto"/>
        <w:tblLayout w:type="fixed"/>
        <w:tblCellMar>
          <w:left w:w="70" w:type="dxa"/>
          <w:right w:w="70" w:type="dxa"/>
        </w:tblCellMar>
        <w:tblLook w:val="0000" w:firstRow="0" w:lastRow="0" w:firstColumn="0" w:lastColumn="0" w:noHBand="0" w:noVBand="0"/>
      </w:tblPr>
      <w:tblGrid>
        <w:gridCol w:w="496"/>
        <w:gridCol w:w="4252"/>
        <w:gridCol w:w="1559"/>
        <w:gridCol w:w="1559"/>
      </w:tblGrid>
      <w:tr w:rsidR="00AE14BA" w:rsidRPr="00A23FB4" w14:paraId="5CA386A9" w14:textId="77777777" w:rsidTr="00502D10">
        <w:tc>
          <w:tcPr>
            <w:tcW w:w="496" w:type="dxa"/>
            <w:tcBorders>
              <w:top w:val="single" w:sz="6" w:space="0" w:color="auto"/>
              <w:left w:val="single" w:sz="6" w:space="0" w:color="auto"/>
            </w:tcBorders>
          </w:tcPr>
          <w:p w14:paraId="1B03510C" w14:textId="77777777" w:rsidR="00AE14BA" w:rsidRPr="00A23FB4" w:rsidRDefault="00AE14BA" w:rsidP="00502D10">
            <w:pPr>
              <w:rPr>
                <w:rFonts w:asciiTheme="minorHAnsi" w:hAnsiTheme="minorHAnsi"/>
              </w:rPr>
            </w:pPr>
            <w:r w:rsidRPr="00A23FB4">
              <w:rPr>
                <w:rFonts w:asciiTheme="minorHAnsi" w:hAnsiTheme="minorHAnsi"/>
              </w:rPr>
              <w:t>Lp.</w:t>
            </w:r>
          </w:p>
        </w:tc>
        <w:tc>
          <w:tcPr>
            <w:tcW w:w="4252" w:type="dxa"/>
            <w:vMerge w:val="restart"/>
            <w:tcBorders>
              <w:top w:val="single" w:sz="6" w:space="0" w:color="auto"/>
              <w:left w:val="single" w:sz="6" w:space="0" w:color="auto"/>
            </w:tcBorders>
          </w:tcPr>
          <w:p w14:paraId="6948EF4E" w14:textId="77777777" w:rsidR="00AE14BA" w:rsidRPr="00A23FB4" w:rsidRDefault="00AE14BA" w:rsidP="00502D10">
            <w:pPr>
              <w:rPr>
                <w:rFonts w:asciiTheme="minorHAnsi" w:hAnsiTheme="minorHAnsi"/>
              </w:rPr>
            </w:pPr>
            <w:r w:rsidRPr="00A23FB4">
              <w:rPr>
                <w:rFonts w:asciiTheme="minorHAnsi" w:hAnsiTheme="minorHAnsi"/>
              </w:rPr>
              <w:t>Cechy fizyczne</w:t>
            </w:r>
          </w:p>
          <w:p w14:paraId="2E117B26" w14:textId="77777777" w:rsidR="00AE14BA" w:rsidRPr="00A23FB4" w:rsidRDefault="00AE14BA" w:rsidP="00502D10">
            <w:pPr>
              <w:rPr>
                <w:rFonts w:asciiTheme="minorHAnsi" w:hAnsiTheme="minorHAnsi"/>
              </w:rPr>
            </w:pPr>
            <w:r w:rsidRPr="00A23FB4">
              <w:rPr>
                <w:rFonts w:asciiTheme="minorHAnsi" w:hAnsiTheme="minorHAnsi"/>
              </w:rPr>
              <w:t>i wytrzymałościowe</w:t>
            </w:r>
          </w:p>
        </w:tc>
        <w:tc>
          <w:tcPr>
            <w:tcW w:w="1559" w:type="dxa"/>
            <w:vMerge w:val="restart"/>
            <w:tcBorders>
              <w:top w:val="single" w:sz="6" w:space="0" w:color="auto"/>
              <w:left w:val="single" w:sz="6" w:space="0" w:color="auto"/>
              <w:right w:val="single" w:sz="4" w:space="0" w:color="auto"/>
            </w:tcBorders>
          </w:tcPr>
          <w:p w14:paraId="6FAE2549" w14:textId="77777777" w:rsidR="00AE14BA" w:rsidRPr="00A23FB4" w:rsidRDefault="00AE14BA" w:rsidP="00502D10">
            <w:pPr>
              <w:rPr>
                <w:rFonts w:asciiTheme="minorHAnsi" w:hAnsiTheme="minorHAnsi"/>
              </w:rPr>
            </w:pPr>
            <w:r w:rsidRPr="00A23FB4">
              <w:rPr>
                <w:rFonts w:asciiTheme="minorHAnsi" w:hAnsiTheme="minorHAnsi"/>
              </w:rPr>
              <w:t>Wymagania</w:t>
            </w:r>
          </w:p>
        </w:tc>
        <w:tc>
          <w:tcPr>
            <w:tcW w:w="1559" w:type="dxa"/>
            <w:tcBorders>
              <w:top w:val="single" w:sz="4" w:space="0" w:color="auto"/>
              <w:left w:val="single" w:sz="4" w:space="0" w:color="auto"/>
              <w:right w:val="single" w:sz="4" w:space="0" w:color="auto"/>
            </w:tcBorders>
          </w:tcPr>
          <w:p w14:paraId="06D9627A" w14:textId="77777777" w:rsidR="00AE14BA" w:rsidRPr="00A23FB4" w:rsidRDefault="00AE14BA" w:rsidP="00502D10">
            <w:pPr>
              <w:rPr>
                <w:rFonts w:asciiTheme="minorHAnsi" w:hAnsiTheme="minorHAnsi"/>
              </w:rPr>
            </w:pPr>
            <w:r w:rsidRPr="00A23FB4">
              <w:rPr>
                <w:rFonts w:asciiTheme="minorHAnsi" w:hAnsiTheme="minorHAnsi"/>
              </w:rPr>
              <w:t>Badania</w:t>
            </w:r>
          </w:p>
        </w:tc>
      </w:tr>
      <w:tr w:rsidR="00AE14BA" w:rsidRPr="00A23FB4" w14:paraId="3EC6A7C3" w14:textId="77777777" w:rsidTr="00502D10">
        <w:tc>
          <w:tcPr>
            <w:tcW w:w="496" w:type="dxa"/>
            <w:tcBorders>
              <w:left w:val="single" w:sz="6" w:space="0" w:color="auto"/>
              <w:bottom w:val="double" w:sz="6" w:space="0" w:color="auto"/>
              <w:right w:val="single" w:sz="6" w:space="0" w:color="auto"/>
            </w:tcBorders>
          </w:tcPr>
          <w:p w14:paraId="0871DEE9" w14:textId="77777777" w:rsidR="00AE14BA" w:rsidRPr="00A23FB4" w:rsidRDefault="00AE14BA" w:rsidP="00502D10">
            <w:pPr>
              <w:rPr>
                <w:rFonts w:asciiTheme="minorHAnsi" w:hAnsiTheme="minorHAnsi"/>
              </w:rPr>
            </w:pPr>
          </w:p>
        </w:tc>
        <w:tc>
          <w:tcPr>
            <w:tcW w:w="4252" w:type="dxa"/>
            <w:vMerge/>
            <w:tcBorders>
              <w:left w:val="single" w:sz="6" w:space="0" w:color="auto"/>
              <w:bottom w:val="double" w:sz="6" w:space="0" w:color="auto"/>
            </w:tcBorders>
          </w:tcPr>
          <w:p w14:paraId="13813823" w14:textId="77777777" w:rsidR="00AE14BA" w:rsidRPr="00A23FB4" w:rsidRDefault="00AE14BA" w:rsidP="00502D10">
            <w:pPr>
              <w:rPr>
                <w:rFonts w:asciiTheme="minorHAnsi" w:hAnsiTheme="minorHAnsi"/>
              </w:rPr>
            </w:pPr>
          </w:p>
        </w:tc>
        <w:tc>
          <w:tcPr>
            <w:tcW w:w="1559" w:type="dxa"/>
            <w:vMerge/>
            <w:tcBorders>
              <w:left w:val="single" w:sz="6" w:space="0" w:color="auto"/>
              <w:bottom w:val="double" w:sz="6" w:space="0" w:color="auto"/>
              <w:right w:val="single" w:sz="4" w:space="0" w:color="auto"/>
            </w:tcBorders>
          </w:tcPr>
          <w:p w14:paraId="5F533FA0" w14:textId="77777777" w:rsidR="00AE14BA" w:rsidRPr="00A23FB4" w:rsidRDefault="00AE14BA" w:rsidP="00502D10">
            <w:pPr>
              <w:rPr>
                <w:rFonts w:asciiTheme="minorHAnsi" w:hAnsiTheme="minorHAnsi"/>
              </w:rPr>
            </w:pPr>
          </w:p>
        </w:tc>
        <w:tc>
          <w:tcPr>
            <w:tcW w:w="1552" w:type="dxa"/>
            <w:tcBorders>
              <w:left w:val="single" w:sz="4" w:space="0" w:color="auto"/>
              <w:bottom w:val="single" w:sz="4" w:space="0" w:color="auto"/>
              <w:right w:val="single" w:sz="4" w:space="0" w:color="auto"/>
            </w:tcBorders>
          </w:tcPr>
          <w:p w14:paraId="17BCBDB6" w14:textId="77777777" w:rsidR="00AE14BA" w:rsidRPr="00A23FB4" w:rsidRDefault="00AE14BA" w:rsidP="00502D10">
            <w:pPr>
              <w:rPr>
                <w:rFonts w:asciiTheme="minorHAnsi" w:hAnsiTheme="minorHAnsi"/>
              </w:rPr>
            </w:pPr>
            <w:r w:rsidRPr="00A23FB4">
              <w:rPr>
                <w:rFonts w:asciiTheme="minorHAnsi" w:hAnsiTheme="minorHAnsi"/>
              </w:rPr>
              <w:t>według</w:t>
            </w:r>
          </w:p>
        </w:tc>
      </w:tr>
      <w:tr w:rsidR="00AE14BA" w:rsidRPr="00A23FB4" w14:paraId="79882444" w14:textId="77777777" w:rsidTr="00502D10">
        <w:tc>
          <w:tcPr>
            <w:tcW w:w="496" w:type="dxa"/>
            <w:tcBorders>
              <w:left w:val="single" w:sz="6" w:space="0" w:color="auto"/>
              <w:bottom w:val="single" w:sz="6" w:space="0" w:color="auto"/>
              <w:right w:val="single" w:sz="6" w:space="0" w:color="auto"/>
            </w:tcBorders>
          </w:tcPr>
          <w:p w14:paraId="661EC9F7" w14:textId="77777777" w:rsidR="00AE14BA" w:rsidRPr="00A23FB4" w:rsidRDefault="00AE14BA" w:rsidP="00502D10">
            <w:pPr>
              <w:rPr>
                <w:rFonts w:asciiTheme="minorHAnsi" w:hAnsiTheme="minorHAnsi"/>
              </w:rPr>
            </w:pPr>
            <w:r w:rsidRPr="00A23FB4">
              <w:rPr>
                <w:rFonts w:asciiTheme="minorHAnsi" w:hAnsiTheme="minorHAnsi"/>
              </w:rPr>
              <w:t>1</w:t>
            </w:r>
          </w:p>
        </w:tc>
        <w:tc>
          <w:tcPr>
            <w:tcW w:w="4252" w:type="dxa"/>
            <w:tcBorders>
              <w:left w:val="single" w:sz="6" w:space="0" w:color="auto"/>
              <w:bottom w:val="single" w:sz="6" w:space="0" w:color="auto"/>
              <w:right w:val="single" w:sz="6" w:space="0" w:color="auto"/>
            </w:tcBorders>
          </w:tcPr>
          <w:p w14:paraId="4636F8AC" w14:textId="77777777" w:rsidR="00AE14BA" w:rsidRPr="00A23FB4" w:rsidRDefault="00AE14BA" w:rsidP="00502D10">
            <w:pPr>
              <w:rPr>
                <w:rFonts w:asciiTheme="minorHAnsi" w:hAnsiTheme="minorHAnsi"/>
              </w:rPr>
            </w:pPr>
            <w:r w:rsidRPr="00A23FB4">
              <w:rPr>
                <w:rFonts w:asciiTheme="minorHAnsi" w:hAnsiTheme="minorHAnsi"/>
              </w:rPr>
              <w:t>Wytrzymałość na ściskanie w stanie powietrzno-suchym, MPa, nie mniej niż</w:t>
            </w:r>
          </w:p>
        </w:tc>
        <w:tc>
          <w:tcPr>
            <w:tcW w:w="1559" w:type="dxa"/>
            <w:tcBorders>
              <w:left w:val="single" w:sz="6" w:space="0" w:color="auto"/>
              <w:bottom w:val="single" w:sz="6" w:space="0" w:color="auto"/>
              <w:right w:val="single" w:sz="6" w:space="0" w:color="auto"/>
            </w:tcBorders>
          </w:tcPr>
          <w:p w14:paraId="45EEC68F" w14:textId="77777777" w:rsidR="00AE14BA" w:rsidRPr="00A23FB4" w:rsidRDefault="00AE14BA" w:rsidP="00502D10">
            <w:pPr>
              <w:rPr>
                <w:rFonts w:asciiTheme="minorHAnsi" w:hAnsiTheme="minorHAnsi"/>
              </w:rPr>
            </w:pPr>
            <w:r w:rsidRPr="00A23FB4">
              <w:rPr>
                <w:rFonts w:asciiTheme="minorHAnsi" w:hAnsiTheme="minorHAnsi"/>
              </w:rPr>
              <w:t>160</w:t>
            </w:r>
          </w:p>
        </w:tc>
        <w:tc>
          <w:tcPr>
            <w:tcW w:w="1552" w:type="dxa"/>
            <w:tcBorders>
              <w:top w:val="single" w:sz="4" w:space="0" w:color="auto"/>
              <w:left w:val="single" w:sz="6" w:space="0" w:color="auto"/>
              <w:bottom w:val="single" w:sz="6" w:space="0" w:color="auto"/>
              <w:right w:val="single" w:sz="6" w:space="0" w:color="auto"/>
            </w:tcBorders>
          </w:tcPr>
          <w:p w14:paraId="74444140" w14:textId="77777777" w:rsidR="00AE14BA" w:rsidRPr="00A23FB4" w:rsidRDefault="00AE14BA" w:rsidP="00502D10">
            <w:pPr>
              <w:rPr>
                <w:rFonts w:asciiTheme="minorHAnsi" w:hAnsiTheme="minorHAnsi"/>
              </w:rPr>
            </w:pPr>
            <w:r w:rsidRPr="00A23FB4">
              <w:rPr>
                <w:rFonts w:asciiTheme="minorHAnsi" w:hAnsiTheme="minorHAnsi"/>
              </w:rPr>
              <w:t>PN-B-04110:1984</w:t>
            </w:r>
          </w:p>
        </w:tc>
      </w:tr>
      <w:tr w:rsidR="00AE14BA" w:rsidRPr="00A23FB4" w14:paraId="63BCD237" w14:textId="77777777" w:rsidTr="00502D10">
        <w:tc>
          <w:tcPr>
            <w:tcW w:w="496" w:type="dxa"/>
            <w:tcBorders>
              <w:top w:val="single" w:sz="6" w:space="0" w:color="auto"/>
              <w:left w:val="single" w:sz="6" w:space="0" w:color="auto"/>
              <w:bottom w:val="single" w:sz="6" w:space="0" w:color="auto"/>
              <w:right w:val="single" w:sz="6" w:space="0" w:color="auto"/>
            </w:tcBorders>
          </w:tcPr>
          <w:p w14:paraId="76E433D2" w14:textId="77777777" w:rsidR="00AE14BA" w:rsidRPr="00A23FB4" w:rsidRDefault="00AE14BA" w:rsidP="00502D10">
            <w:pPr>
              <w:rPr>
                <w:rFonts w:asciiTheme="minorHAnsi" w:hAnsiTheme="minorHAnsi"/>
              </w:rPr>
            </w:pPr>
            <w:r w:rsidRPr="00A23FB4">
              <w:rPr>
                <w:rFonts w:asciiTheme="minorHAnsi" w:hAnsiTheme="minorHAnsi"/>
              </w:rPr>
              <w:t>2</w:t>
            </w:r>
          </w:p>
        </w:tc>
        <w:tc>
          <w:tcPr>
            <w:tcW w:w="4252" w:type="dxa"/>
            <w:tcBorders>
              <w:top w:val="single" w:sz="6" w:space="0" w:color="auto"/>
              <w:left w:val="single" w:sz="6" w:space="0" w:color="auto"/>
              <w:bottom w:val="single" w:sz="6" w:space="0" w:color="auto"/>
              <w:right w:val="single" w:sz="6" w:space="0" w:color="auto"/>
            </w:tcBorders>
          </w:tcPr>
          <w:p w14:paraId="2BA4E784" w14:textId="77777777" w:rsidR="00AE14BA" w:rsidRPr="00A23FB4" w:rsidRDefault="00AE14BA" w:rsidP="00502D10">
            <w:pPr>
              <w:rPr>
                <w:rFonts w:asciiTheme="minorHAnsi" w:hAnsiTheme="minorHAnsi"/>
              </w:rPr>
            </w:pPr>
            <w:r w:rsidRPr="00A23FB4">
              <w:rPr>
                <w:rFonts w:asciiTheme="minorHAnsi" w:hAnsiTheme="minorHAnsi"/>
              </w:rPr>
              <w:t>Ścieralność na tarczy Boehmego,                     w centymetrach, nie więcej niż</w:t>
            </w:r>
          </w:p>
        </w:tc>
        <w:tc>
          <w:tcPr>
            <w:tcW w:w="1559" w:type="dxa"/>
            <w:tcBorders>
              <w:top w:val="single" w:sz="6" w:space="0" w:color="auto"/>
              <w:left w:val="single" w:sz="6" w:space="0" w:color="auto"/>
              <w:bottom w:val="single" w:sz="6" w:space="0" w:color="auto"/>
              <w:right w:val="single" w:sz="6" w:space="0" w:color="auto"/>
            </w:tcBorders>
          </w:tcPr>
          <w:p w14:paraId="70527FE7" w14:textId="77777777" w:rsidR="00AE14BA" w:rsidRPr="00A23FB4" w:rsidRDefault="00AE14BA" w:rsidP="00502D10">
            <w:pPr>
              <w:rPr>
                <w:rFonts w:asciiTheme="minorHAnsi" w:hAnsiTheme="minorHAnsi"/>
              </w:rPr>
            </w:pPr>
            <w:r w:rsidRPr="00A23FB4">
              <w:rPr>
                <w:rFonts w:asciiTheme="minorHAnsi" w:hAnsiTheme="minorHAnsi"/>
              </w:rPr>
              <w:t>0,2</w:t>
            </w:r>
          </w:p>
        </w:tc>
        <w:tc>
          <w:tcPr>
            <w:tcW w:w="1552" w:type="dxa"/>
            <w:tcBorders>
              <w:top w:val="single" w:sz="6" w:space="0" w:color="auto"/>
              <w:left w:val="single" w:sz="6" w:space="0" w:color="auto"/>
              <w:bottom w:val="single" w:sz="6" w:space="0" w:color="auto"/>
              <w:right w:val="single" w:sz="6" w:space="0" w:color="auto"/>
            </w:tcBorders>
          </w:tcPr>
          <w:p w14:paraId="2801AFAA" w14:textId="77777777" w:rsidR="00AE14BA" w:rsidRPr="00A23FB4" w:rsidRDefault="00AE14BA" w:rsidP="00502D10">
            <w:pPr>
              <w:rPr>
                <w:rFonts w:asciiTheme="minorHAnsi" w:hAnsiTheme="minorHAnsi"/>
              </w:rPr>
            </w:pPr>
            <w:r w:rsidRPr="00A23FB4">
              <w:rPr>
                <w:rFonts w:asciiTheme="minorHAnsi" w:hAnsiTheme="minorHAnsi"/>
              </w:rPr>
              <w:t>PN-B-04111:1984</w:t>
            </w:r>
          </w:p>
        </w:tc>
      </w:tr>
      <w:tr w:rsidR="00AE14BA" w:rsidRPr="00A23FB4" w14:paraId="5812B353" w14:textId="77777777" w:rsidTr="00502D10">
        <w:tc>
          <w:tcPr>
            <w:tcW w:w="496" w:type="dxa"/>
            <w:tcBorders>
              <w:top w:val="single" w:sz="6" w:space="0" w:color="auto"/>
              <w:left w:val="single" w:sz="6" w:space="0" w:color="auto"/>
              <w:bottom w:val="single" w:sz="6" w:space="0" w:color="auto"/>
              <w:right w:val="single" w:sz="6" w:space="0" w:color="auto"/>
            </w:tcBorders>
          </w:tcPr>
          <w:p w14:paraId="5DD9706E" w14:textId="77777777" w:rsidR="00AE14BA" w:rsidRPr="00A23FB4" w:rsidRDefault="00AE14BA" w:rsidP="00502D10">
            <w:pPr>
              <w:rPr>
                <w:rFonts w:asciiTheme="minorHAnsi" w:hAnsiTheme="minorHAnsi"/>
              </w:rPr>
            </w:pPr>
            <w:r w:rsidRPr="00A23FB4">
              <w:rPr>
                <w:rFonts w:asciiTheme="minorHAnsi" w:hAnsiTheme="minorHAnsi"/>
              </w:rPr>
              <w:t>3</w:t>
            </w:r>
          </w:p>
        </w:tc>
        <w:tc>
          <w:tcPr>
            <w:tcW w:w="4252" w:type="dxa"/>
            <w:tcBorders>
              <w:top w:val="single" w:sz="6" w:space="0" w:color="auto"/>
              <w:left w:val="single" w:sz="6" w:space="0" w:color="auto"/>
              <w:bottom w:val="single" w:sz="6" w:space="0" w:color="auto"/>
              <w:right w:val="single" w:sz="6" w:space="0" w:color="auto"/>
            </w:tcBorders>
          </w:tcPr>
          <w:p w14:paraId="79BB0DBD" w14:textId="77777777" w:rsidR="00AE14BA" w:rsidRPr="00A23FB4" w:rsidRDefault="00AE14BA" w:rsidP="00502D10">
            <w:pPr>
              <w:rPr>
                <w:rFonts w:asciiTheme="minorHAnsi" w:hAnsiTheme="minorHAnsi"/>
              </w:rPr>
            </w:pPr>
            <w:r w:rsidRPr="00A23FB4">
              <w:rPr>
                <w:rFonts w:asciiTheme="minorHAnsi" w:hAnsiTheme="minorHAnsi"/>
              </w:rPr>
              <w:t>Wytrzymałość na uderzenie (zwięzłość), liczba uderzeń, nie mniej niż</w:t>
            </w:r>
          </w:p>
        </w:tc>
        <w:tc>
          <w:tcPr>
            <w:tcW w:w="1559" w:type="dxa"/>
            <w:tcBorders>
              <w:top w:val="single" w:sz="6" w:space="0" w:color="auto"/>
              <w:left w:val="single" w:sz="6" w:space="0" w:color="auto"/>
              <w:bottom w:val="single" w:sz="6" w:space="0" w:color="auto"/>
              <w:right w:val="single" w:sz="6" w:space="0" w:color="auto"/>
            </w:tcBorders>
          </w:tcPr>
          <w:p w14:paraId="180B0D70" w14:textId="77777777" w:rsidR="00AE14BA" w:rsidRPr="00A23FB4" w:rsidRDefault="00AE14BA" w:rsidP="00502D10">
            <w:pPr>
              <w:rPr>
                <w:rFonts w:asciiTheme="minorHAnsi" w:hAnsiTheme="minorHAnsi"/>
              </w:rPr>
            </w:pPr>
            <w:r w:rsidRPr="00A23FB4">
              <w:rPr>
                <w:rFonts w:asciiTheme="minorHAnsi" w:hAnsiTheme="minorHAnsi"/>
              </w:rPr>
              <w:t>12</w:t>
            </w:r>
          </w:p>
        </w:tc>
        <w:tc>
          <w:tcPr>
            <w:tcW w:w="1552" w:type="dxa"/>
            <w:tcBorders>
              <w:top w:val="single" w:sz="6" w:space="0" w:color="auto"/>
              <w:left w:val="single" w:sz="6" w:space="0" w:color="auto"/>
              <w:bottom w:val="single" w:sz="6" w:space="0" w:color="auto"/>
              <w:right w:val="single" w:sz="6" w:space="0" w:color="auto"/>
            </w:tcBorders>
          </w:tcPr>
          <w:p w14:paraId="7B0F4C3D" w14:textId="77777777" w:rsidR="00AE14BA" w:rsidRPr="00A23FB4" w:rsidRDefault="00AE14BA" w:rsidP="00502D10">
            <w:pPr>
              <w:rPr>
                <w:rFonts w:asciiTheme="minorHAnsi" w:hAnsiTheme="minorHAnsi"/>
              </w:rPr>
            </w:pPr>
            <w:r w:rsidRPr="00A23FB4">
              <w:rPr>
                <w:rFonts w:asciiTheme="minorHAnsi" w:hAnsiTheme="minorHAnsi"/>
              </w:rPr>
              <w:t>PN-B-04115:1967</w:t>
            </w:r>
          </w:p>
          <w:p w14:paraId="14ECB61A" w14:textId="77777777" w:rsidR="00AE14BA" w:rsidRPr="00A23FB4" w:rsidRDefault="00AE14BA" w:rsidP="00502D10">
            <w:pPr>
              <w:rPr>
                <w:rFonts w:asciiTheme="minorHAnsi" w:hAnsiTheme="minorHAnsi"/>
              </w:rPr>
            </w:pPr>
          </w:p>
        </w:tc>
      </w:tr>
      <w:tr w:rsidR="00AE14BA" w:rsidRPr="00A23FB4" w14:paraId="524011FB" w14:textId="77777777" w:rsidTr="00502D10">
        <w:tc>
          <w:tcPr>
            <w:tcW w:w="496" w:type="dxa"/>
            <w:tcBorders>
              <w:top w:val="single" w:sz="6" w:space="0" w:color="auto"/>
              <w:left w:val="single" w:sz="6" w:space="0" w:color="auto"/>
              <w:bottom w:val="single" w:sz="6" w:space="0" w:color="auto"/>
              <w:right w:val="single" w:sz="6" w:space="0" w:color="auto"/>
            </w:tcBorders>
          </w:tcPr>
          <w:p w14:paraId="6076539D" w14:textId="77777777" w:rsidR="00AE14BA" w:rsidRPr="00A23FB4" w:rsidRDefault="00AE14BA" w:rsidP="00502D10">
            <w:pPr>
              <w:rPr>
                <w:rFonts w:asciiTheme="minorHAnsi" w:hAnsiTheme="minorHAnsi"/>
              </w:rPr>
            </w:pPr>
            <w:r w:rsidRPr="00A23FB4">
              <w:rPr>
                <w:rFonts w:asciiTheme="minorHAnsi" w:hAnsiTheme="minorHAnsi"/>
              </w:rPr>
              <w:t>4</w:t>
            </w:r>
          </w:p>
        </w:tc>
        <w:tc>
          <w:tcPr>
            <w:tcW w:w="4252" w:type="dxa"/>
            <w:tcBorders>
              <w:top w:val="single" w:sz="6" w:space="0" w:color="auto"/>
              <w:left w:val="single" w:sz="6" w:space="0" w:color="auto"/>
              <w:bottom w:val="single" w:sz="6" w:space="0" w:color="auto"/>
              <w:right w:val="single" w:sz="6" w:space="0" w:color="auto"/>
            </w:tcBorders>
          </w:tcPr>
          <w:p w14:paraId="36728D6B" w14:textId="77777777" w:rsidR="00AE14BA" w:rsidRPr="00A23FB4" w:rsidRDefault="00AE14BA" w:rsidP="00502D10">
            <w:pPr>
              <w:rPr>
                <w:rFonts w:asciiTheme="minorHAnsi" w:hAnsiTheme="minorHAnsi"/>
              </w:rPr>
            </w:pPr>
            <w:r w:rsidRPr="00A23FB4">
              <w:rPr>
                <w:rFonts w:asciiTheme="minorHAnsi" w:hAnsiTheme="minorHAnsi"/>
              </w:rPr>
              <w:t>Nasiąkliwość wodą, w %, nie więcej niż</w:t>
            </w:r>
          </w:p>
        </w:tc>
        <w:tc>
          <w:tcPr>
            <w:tcW w:w="1559" w:type="dxa"/>
            <w:tcBorders>
              <w:top w:val="single" w:sz="6" w:space="0" w:color="auto"/>
              <w:left w:val="single" w:sz="6" w:space="0" w:color="auto"/>
              <w:bottom w:val="single" w:sz="6" w:space="0" w:color="auto"/>
              <w:right w:val="single" w:sz="6" w:space="0" w:color="auto"/>
            </w:tcBorders>
          </w:tcPr>
          <w:p w14:paraId="63A8247A" w14:textId="77777777" w:rsidR="00AE14BA" w:rsidRPr="00A23FB4" w:rsidRDefault="00AE14BA" w:rsidP="00502D10">
            <w:pPr>
              <w:rPr>
                <w:rFonts w:asciiTheme="minorHAnsi" w:hAnsiTheme="minorHAnsi"/>
              </w:rPr>
            </w:pPr>
            <w:r w:rsidRPr="00A23FB4">
              <w:rPr>
                <w:rFonts w:asciiTheme="minorHAnsi" w:hAnsiTheme="minorHAnsi"/>
              </w:rPr>
              <w:t>0,5</w:t>
            </w:r>
          </w:p>
        </w:tc>
        <w:tc>
          <w:tcPr>
            <w:tcW w:w="1552" w:type="dxa"/>
            <w:tcBorders>
              <w:top w:val="single" w:sz="6" w:space="0" w:color="auto"/>
              <w:left w:val="single" w:sz="6" w:space="0" w:color="auto"/>
              <w:bottom w:val="single" w:sz="6" w:space="0" w:color="auto"/>
              <w:right w:val="single" w:sz="6" w:space="0" w:color="auto"/>
            </w:tcBorders>
          </w:tcPr>
          <w:p w14:paraId="448C37A8" w14:textId="77777777" w:rsidR="00AE14BA" w:rsidRPr="00A23FB4" w:rsidRDefault="00AE14BA" w:rsidP="00502D10">
            <w:pPr>
              <w:rPr>
                <w:rFonts w:asciiTheme="minorHAnsi" w:hAnsiTheme="minorHAnsi"/>
              </w:rPr>
            </w:pPr>
            <w:r w:rsidRPr="00A23FB4">
              <w:rPr>
                <w:rFonts w:asciiTheme="minorHAnsi" w:hAnsiTheme="minorHAnsi"/>
              </w:rPr>
              <w:t>PN-B-04101:1985</w:t>
            </w:r>
          </w:p>
        </w:tc>
      </w:tr>
      <w:tr w:rsidR="00AE14BA" w:rsidRPr="00A23FB4" w14:paraId="3671A557" w14:textId="77777777" w:rsidTr="00502D10">
        <w:tc>
          <w:tcPr>
            <w:tcW w:w="496" w:type="dxa"/>
            <w:tcBorders>
              <w:top w:val="single" w:sz="6" w:space="0" w:color="auto"/>
              <w:left w:val="single" w:sz="6" w:space="0" w:color="auto"/>
              <w:bottom w:val="single" w:sz="6" w:space="0" w:color="auto"/>
              <w:right w:val="single" w:sz="6" w:space="0" w:color="auto"/>
            </w:tcBorders>
          </w:tcPr>
          <w:p w14:paraId="7EFE9DE0" w14:textId="77777777" w:rsidR="00AE14BA" w:rsidRPr="00A23FB4" w:rsidRDefault="00AE14BA" w:rsidP="00502D10">
            <w:pPr>
              <w:rPr>
                <w:rFonts w:asciiTheme="minorHAnsi" w:hAnsiTheme="minorHAnsi"/>
              </w:rPr>
            </w:pPr>
            <w:r w:rsidRPr="00A23FB4">
              <w:rPr>
                <w:rFonts w:asciiTheme="minorHAnsi" w:hAnsiTheme="minorHAnsi"/>
              </w:rPr>
              <w:t>5</w:t>
            </w:r>
          </w:p>
        </w:tc>
        <w:tc>
          <w:tcPr>
            <w:tcW w:w="4252" w:type="dxa"/>
            <w:tcBorders>
              <w:top w:val="single" w:sz="6" w:space="0" w:color="auto"/>
              <w:left w:val="single" w:sz="6" w:space="0" w:color="auto"/>
              <w:bottom w:val="single" w:sz="6" w:space="0" w:color="auto"/>
              <w:right w:val="single" w:sz="6" w:space="0" w:color="auto"/>
            </w:tcBorders>
          </w:tcPr>
          <w:p w14:paraId="08FB9676" w14:textId="77777777" w:rsidR="00AE14BA" w:rsidRPr="00A23FB4" w:rsidRDefault="00AE14BA" w:rsidP="00502D10">
            <w:pPr>
              <w:rPr>
                <w:rFonts w:asciiTheme="minorHAnsi" w:hAnsiTheme="minorHAnsi"/>
              </w:rPr>
            </w:pPr>
            <w:r w:rsidRPr="00A23FB4">
              <w:rPr>
                <w:rFonts w:asciiTheme="minorHAnsi" w:hAnsiTheme="minorHAnsi"/>
              </w:rPr>
              <w:t>Odporność na zamrażanie</w:t>
            </w:r>
          </w:p>
        </w:tc>
        <w:tc>
          <w:tcPr>
            <w:tcW w:w="1559" w:type="dxa"/>
            <w:tcBorders>
              <w:top w:val="single" w:sz="6" w:space="0" w:color="auto"/>
              <w:left w:val="single" w:sz="6" w:space="0" w:color="auto"/>
              <w:bottom w:val="single" w:sz="6" w:space="0" w:color="auto"/>
              <w:right w:val="single" w:sz="6" w:space="0" w:color="auto"/>
            </w:tcBorders>
          </w:tcPr>
          <w:p w14:paraId="36C7D88D" w14:textId="77777777" w:rsidR="00AE14BA" w:rsidRPr="00A23FB4" w:rsidRDefault="00AE14BA" w:rsidP="00502D10">
            <w:pPr>
              <w:rPr>
                <w:rFonts w:asciiTheme="minorHAnsi" w:hAnsiTheme="minorHAnsi"/>
              </w:rPr>
            </w:pPr>
            <w:r w:rsidRPr="00A23FB4">
              <w:rPr>
                <w:rFonts w:asciiTheme="minorHAnsi" w:hAnsiTheme="minorHAnsi"/>
              </w:rPr>
              <w:t xml:space="preserve">nie bada się </w:t>
            </w:r>
          </w:p>
        </w:tc>
        <w:tc>
          <w:tcPr>
            <w:tcW w:w="1552" w:type="dxa"/>
            <w:tcBorders>
              <w:top w:val="single" w:sz="6" w:space="0" w:color="auto"/>
              <w:left w:val="single" w:sz="6" w:space="0" w:color="auto"/>
              <w:bottom w:val="single" w:sz="6" w:space="0" w:color="auto"/>
              <w:right w:val="single" w:sz="6" w:space="0" w:color="auto"/>
            </w:tcBorders>
          </w:tcPr>
          <w:p w14:paraId="2BCB6F18" w14:textId="77777777" w:rsidR="00AE14BA" w:rsidRPr="00A23FB4" w:rsidRDefault="00AE14BA" w:rsidP="00502D10">
            <w:pPr>
              <w:rPr>
                <w:rFonts w:asciiTheme="minorHAnsi" w:hAnsiTheme="minorHAnsi"/>
              </w:rPr>
            </w:pPr>
            <w:r w:rsidRPr="00A23FB4">
              <w:rPr>
                <w:rFonts w:asciiTheme="minorHAnsi" w:hAnsiTheme="minorHAnsi"/>
              </w:rPr>
              <w:t>PN-B-04102:1985</w:t>
            </w:r>
          </w:p>
        </w:tc>
      </w:tr>
    </w:tbl>
    <w:p w14:paraId="40E0C83B" w14:textId="77777777" w:rsidR="00AE14BA" w:rsidRPr="00A23FB4" w:rsidRDefault="00AE14BA" w:rsidP="00AE14BA">
      <w:pPr>
        <w:rPr>
          <w:rFonts w:asciiTheme="minorHAnsi" w:hAnsiTheme="minorHAnsi"/>
        </w:rPr>
      </w:pPr>
    </w:p>
    <w:p w14:paraId="0A6E602B" w14:textId="77777777" w:rsidR="000529EE" w:rsidRPr="00A23FB4" w:rsidRDefault="000529EE" w:rsidP="00AE14BA">
      <w:pPr>
        <w:rPr>
          <w:rFonts w:asciiTheme="minorHAnsi" w:hAnsiTheme="minorHAnsi"/>
        </w:rPr>
      </w:pPr>
    </w:p>
    <w:p w14:paraId="476C1834" w14:textId="77777777" w:rsidR="00AE14BA" w:rsidRPr="00A23FB4" w:rsidRDefault="00AE14BA" w:rsidP="00AE14BA">
      <w:pPr>
        <w:rPr>
          <w:rFonts w:asciiTheme="minorHAnsi" w:hAnsiTheme="minorHAnsi"/>
        </w:rPr>
      </w:pPr>
      <w:r w:rsidRPr="00A23FB4">
        <w:rPr>
          <w:rFonts w:asciiTheme="minorHAnsi" w:hAnsiTheme="minorHAnsi"/>
          <w:b/>
        </w:rPr>
        <w:t xml:space="preserve">2.2.2. </w:t>
      </w:r>
      <w:r w:rsidRPr="00A23FB4">
        <w:rPr>
          <w:rFonts w:asciiTheme="minorHAnsi" w:hAnsiTheme="minorHAnsi"/>
        </w:rPr>
        <w:t xml:space="preserve">Kształt i wymiary kostki </w:t>
      </w:r>
    </w:p>
    <w:p w14:paraId="18E960C7" w14:textId="77777777" w:rsidR="00AE14BA" w:rsidRPr="00A23FB4" w:rsidRDefault="00AE14BA" w:rsidP="00AE14BA">
      <w:pPr>
        <w:rPr>
          <w:rFonts w:asciiTheme="minorHAnsi" w:hAnsiTheme="minorHAnsi"/>
        </w:rPr>
      </w:pPr>
      <w:r w:rsidRPr="00A23FB4">
        <w:rPr>
          <w:rFonts w:asciiTheme="minorHAnsi" w:hAnsiTheme="minorHAnsi"/>
        </w:rPr>
        <w:t>Kostka powinna mieć kształt sześcianu. Kształt kostki  przedstawia rysunek 1.</w:t>
      </w:r>
    </w:p>
    <w:p w14:paraId="4C327C9F" w14:textId="77777777" w:rsidR="00AE14BA" w:rsidRPr="00A23FB4" w:rsidRDefault="00AE14BA" w:rsidP="00AE14BA">
      <w:pPr>
        <w:rPr>
          <w:rFonts w:asciiTheme="minorHAnsi" w:hAnsiTheme="minorHAnsi"/>
        </w:rPr>
      </w:pPr>
      <w:r w:rsidRPr="00A23FB4">
        <w:rPr>
          <w:rFonts w:asciiTheme="minorHAnsi" w:hAnsiTheme="minorHAnsi"/>
        </w:rPr>
        <w:tab/>
      </w:r>
      <w:r w:rsidRPr="00A23FB4">
        <w:rPr>
          <w:rFonts w:asciiTheme="minorHAnsi" w:hAnsiTheme="minorHAnsi"/>
        </w:rPr>
        <w:tab/>
      </w:r>
      <w:r w:rsidRPr="00A23FB4">
        <w:rPr>
          <w:rFonts w:asciiTheme="minorHAnsi" w:hAnsiTheme="minorHAnsi"/>
        </w:rPr>
        <w:tab/>
      </w:r>
    </w:p>
    <w:p w14:paraId="47E3C0CB" w14:textId="77777777" w:rsidR="00232306" w:rsidRPr="00A23FB4" w:rsidRDefault="00AE14BA" w:rsidP="00AE14BA">
      <w:pPr>
        <w:rPr>
          <w:rFonts w:asciiTheme="minorHAnsi" w:hAnsiTheme="minorHAnsi"/>
        </w:rPr>
      </w:pPr>
      <w:r w:rsidRPr="00A23FB4">
        <w:rPr>
          <w:rFonts w:asciiTheme="minorHAnsi" w:hAnsiTheme="minorHAnsi"/>
        </w:rPr>
        <w:t xml:space="preserve">Rysunek1 .Kształt kostki </w:t>
      </w:r>
    </w:p>
    <w:p w14:paraId="07680E35" w14:textId="77777777" w:rsidR="00232306" w:rsidRPr="00A23FB4" w:rsidRDefault="00232306" w:rsidP="00232306">
      <w:pPr>
        <w:jc w:val="center"/>
        <w:rPr>
          <w:rFonts w:asciiTheme="minorHAnsi" w:hAnsiTheme="minorHAnsi"/>
        </w:rPr>
      </w:pPr>
      <w:r w:rsidRPr="00A23FB4">
        <w:rPr>
          <w:rFonts w:asciiTheme="minorHAnsi" w:hAnsiTheme="minorHAnsi"/>
          <w:noProof/>
        </w:rPr>
        <w:drawing>
          <wp:inline distT="0" distB="0" distL="0" distR="0" wp14:anchorId="76D5FEE2" wp14:editId="0AA01AA4">
            <wp:extent cx="2171700" cy="1571625"/>
            <wp:effectExtent l="19050" t="0" r="0" b="0"/>
            <wp:docPr id="2" name="Obraz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3"/>
                    <a:srcRect/>
                    <a:stretch>
                      <a:fillRect/>
                    </a:stretch>
                  </pic:blipFill>
                  <pic:spPr bwMode="auto">
                    <a:xfrm>
                      <a:off x="0" y="0"/>
                      <a:ext cx="2171700" cy="1571625"/>
                    </a:xfrm>
                    <a:prstGeom prst="rect">
                      <a:avLst/>
                    </a:prstGeom>
                    <a:noFill/>
                    <a:ln w="9525">
                      <a:noFill/>
                      <a:miter lim="800000"/>
                      <a:headEnd/>
                      <a:tailEnd/>
                    </a:ln>
                  </pic:spPr>
                </pic:pic>
              </a:graphicData>
            </a:graphic>
          </wp:inline>
        </w:drawing>
      </w:r>
    </w:p>
    <w:p w14:paraId="3DF5AE4B" w14:textId="77777777" w:rsidR="00232306" w:rsidRPr="00A23FB4" w:rsidRDefault="00232306" w:rsidP="00232306">
      <w:pPr>
        <w:rPr>
          <w:rFonts w:asciiTheme="minorHAnsi" w:hAnsiTheme="minorHAnsi"/>
        </w:rPr>
      </w:pPr>
      <w:r w:rsidRPr="00A23FB4">
        <w:rPr>
          <w:rFonts w:asciiTheme="minorHAnsi" w:hAnsiTheme="minorHAnsi"/>
        </w:rPr>
        <w:t>Wymagania dotyczące wymiarów kostki regularnej normalnej i łącznikowej przedstawia tablica 2.</w:t>
      </w:r>
    </w:p>
    <w:p w14:paraId="152C3F14" w14:textId="77777777" w:rsidR="00232306" w:rsidRPr="00A23FB4" w:rsidRDefault="00232306" w:rsidP="00AE14BA">
      <w:pPr>
        <w:rPr>
          <w:rFonts w:asciiTheme="minorHAnsi" w:hAnsiTheme="minorHAnsi"/>
        </w:rPr>
      </w:pPr>
    </w:p>
    <w:p w14:paraId="5D7C8ED9" w14:textId="77777777" w:rsidR="00AE14BA" w:rsidRPr="00A23FB4" w:rsidRDefault="00AE14BA" w:rsidP="00AE14BA">
      <w:pPr>
        <w:rPr>
          <w:rFonts w:asciiTheme="minorHAnsi" w:hAnsiTheme="minorHAnsi"/>
        </w:rPr>
      </w:pPr>
      <w:r w:rsidRPr="00A23FB4">
        <w:rPr>
          <w:rFonts w:asciiTheme="minorHAnsi" w:hAnsiTheme="minorHAnsi"/>
        </w:rPr>
        <w:t>Tablica 2. Wymiary kostki oraz dopuszczalne odchyłki</w:t>
      </w:r>
    </w:p>
    <w:tbl>
      <w:tblPr>
        <w:tblW w:w="9143" w:type="dxa"/>
        <w:tblLayout w:type="fixed"/>
        <w:tblCellMar>
          <w:left w:w="70" w:type="dxa"/>
          <w:right w:w="70" w:type="dxa"/>
        </w:tblCellMar>
        <w:tblLook w:val="0000" w:firstRow="0" w:lastRow="0" w:firstColumn="0" w:lastColumn="0" w:noHBand="0" w:noVBand="0"/>
      </w:tblPr>
      <w:tblGrid>
        <w:gridCol w:w="5173"/>
        <w:gridCol w:w="993"/>
        <w:gridCol w:w="992"/>
        <w:gridCol w:w="1985"/>
      </w:tblGrid>
      <w:tr w:rsidR="0015445B" w:rsidRPr="00A23FB4" w14:paraId="7EE8F996" w14:textId="77777777" w:rsidTr="0044266C">
        <w:tc>
          <w:tcPr>
            <w:tcW w:w="5173" w:type="dxa"/>
            <w:tcBorders>
              <w:top w:val="single" w:sz="6" w:space="0" w:color="auto"/>
              <w:left w:val="single" w:sz="6" w:space="0" w:color="auto"/>
            </w:tcBorders>
          </w:tcPr>
          <w:p w14:paraId="0E80F799" w14:textId="77777777" w:rsidR="0015445B" w:rsidRPr="00A23FB4" w:rsidRDefault="0015445B" w:rsidP="00502D10">
            <w:pPr>
              <w:rPr>
                <w:rFonts w:asciiTheme="minorHAnsi" w:hAnsiTheme="minorHAnsi"/>
              </w:rPr>
            </w:pPr>
          </w:p>
          <w:p w14:paraId="04A7571E" w14:textId="77777777" w:rsidR="0015445B" w:rsidRPr="00A23FB4" w:rsidRDefault="0015445B" w:rsidP="00502D10">
            <w:pPr>
              <w:rPr>
                <w:rFonts w:asciiTheme="minorHAnsi" w:hAnsiTheme="minorHAnsi"/>
              </w:rPr>
            </w:pPr>
            <w:r w:rsidRPr="00A23FB4">
              <w:rPr>
                <w:rFonts w:asciiTheme="minorHAnsi" w:hAnsiTheme="minorHAnsi"/>
              </w:rPr>
              <w:t>Wyszczególnienie</w:t>
            </w:r>
          </w:p>
        </w:tc>
        <w:tc>
          <w:tcPr>
            <w:tcW w:w="1985" w:type="dxa"/>
            <w:gridSpan w:val="2"/>
            <w:tcBorders>
              <w:top w:val="single" w:sz="6" w:space="0" w:color="auto"/>
              <w:left w:val="single" w:sz="6" w:space="0" w:color="auto"/>
              <w:bottom w:val="single" w:sz="6" w:space="0" w:color="auto"/>
              <w:right w:val="single" w:sz="6" w:space="0" w:color="auto"/>
            </w:tcBorders>
          </w:tcPr>
          <w:p w14:paraId="22C5C5A9" w14:textId="77777777" w:rsidR="0015445B" w:rsidRPr="00A23FB4" w:rsidRDefault="0015445B" w:rsidP="00502D10">
            <w:pPr>
              <w:rPr>
                <w:rFonts w:asciiTheme="minorHAnsi" w:hAnsiTheme="minorHAnsi"/>
              </w:rPr>
            </w:pPr>
            <w:r w:rsidRPr="00A23FB4">
              <w:rPr>
                <w:rFonts w:asciiTheme="minorHAnsi" w:hAnsiTheme="minorHAnsi"/>
              </w:rPr>
              <w:t>Wielkość</w:t>
            </w:r>
          </w:p>
          <w:p w14:paraId="183C9ADF" w14:textId="77777777" w:rsidR="0015445B" w:rsidRPr="00A23FB4" w:rsidRDefault="0015445B" w:rsidP="00502D10">
            <w:pPr>
              <w:rPr>
                <w:rFonts w:asciiTheme="minorHAnsi" w:hAnsiTheme="minorHAnsi"/>
              </w:rPr>
            </w:pPr>
            <w:r w:rsidRPr="00A23FB4">
              <w:rPr>
                <w:rFonts w:asciiTheme="minorHAnsi" w:hAnsiTheme="minorHAnsi"/>
              </w:rPr>
              <w:t>(cm)</w:t>
            </w:r>
          </w:p>
        </w:tc>
        <w:tc>
          <w:tcPr>
            <w:tcW w:w="1985" w:type="dxa"/>
            <w:tcBorders>
              <w:top w:val="single" w:sz="6" w:space="0" w:color="auto"/>
              <w:left w:val="single" w:sz="6" w:space="0" w:color="auto"/>
              <w:bottom w:val="single" w:sz="6" w:space="0" w:color="auto"/>
              <w:right w:val="single" w:sz="6" w:space="0" w:color="auto"/>
            </w:tcBorders>
          </w:tcPr>
          <w:p w14:paraId="680E1282" w14:textId="77777777" w:rsidR="0015445B" w:rsidRPr="00A23FB4" w:rsidRDefault="0015445B" w:rsidP="00502D10">
            <w:pPr>
              <w:rPr>
                <w:rFonts w:asciiTheme="minorHAnsi" w:hAnsiTheme="minorHAnsi"/>
              </w:rPr>
            </w:pPr>
            <w:r w:rsidRPr="00A23FB4">
              <w:rPr>
                <w:rFonts w:asciiTheme="minorHAnsi" w:hAnsiTheme="minorHAnsi"/>
              </w:rPr>
              <w:t>Dopuszczalne odchyłki dla gatunku   (cm)</w:t>
            </w:r>
          </w:p>
        </w:tc>
      </w:tr>
      <w:tr w:rsidR="0015445B" w:rsidRPr="00A23FB4" w14:paraId="6AB978B2" w14:textId="77777777" w:rsidTr="0044266C">
        <w:tc>
          <w:tcPr>
            <w:tcW w:w="5173" w:type="dxa"/>
            <w:tcBorders>
              <w:left w:val="single" w:sz="6" w:space="0" w:color="auto"/>
              <w:bottom w:val="double" w:sz="6" w:space="0" w:color="auto"/>
            </w:tcBorders>
          </w:tcPr>
          <w:p w14:paraId="4ABBF311" w14:textId="77777777" w:rsidR="0015445B" w:rsidRPr="00A23FB4" w:rsidRDefault="0015445B" w:rsidP="00502D10">
            <w:pPr>
              <w:rPr>
                <w:rFonts w:asciiTheme="minorHAnsi" w:hAnsiTheme="minorHAnsi"/>
              </w:rPr>
            </w:pPr>
          </w:p>
        </w:tc>
        <w:tc>
          <w:tcPr>
            <w:tcW w:w="993" w:type="dxa"/>
            <w:tcBorders>
              <w:top w:val="single" w:sz="6" w:space="0" w:color="auto"/>
              <w:left w:val="single" w:sz="6" w:space="0" w:color="auto"/>
              <w:bottom w:val="double" w:sz="6" w:space="0" w:color="auto"/>
              <w:right w:val="single" w:sz="6" w:space="0" w:color="auto"/>
            </w:tcBorders>
          </w:tcPr>
          <w:p w14:paraId="2768AB85" w14:textId="77777777" w:rsidR="0015445B" w:rsidRPr="00A23FB4" w:rsidRDefault="0015445B" w:rsidP="00502D10">
            <w:pPr>
              <w:rPr>
                <w:rFonts w:asciiTheme="minorHAnsi" w:hAnsiTheme="minorHAnsi"/>
              </w:rPr>
            </w:pPr>
            <w:r w:rsidRPr="00A23FB4">
              <w:rPr>
                <w:rFonts w:asciiTheme="minorHAnsi" w:hAnsiTheme="minorHAnsi"/>
              </w:rPr>
              <w:t>16x18</w:t>
            </w:r>
          </w:p>
        </w:tc>
        <w:tc>
          <w:tcPr>
            <w:tcW w:w="992" w:type="dxa"/>
            <w:tcBorders>
              <w:top w:val="single" w:sz="6" w:space="0" w:color="auto"/>
              <w:left w:val="single" w:sz="6" w:space="0" w:color="auto"/>
              <w:bottom w:val="double" w:sz="6" w:space="0" w:color="auto"/>
              <w:right w:val="single" w:sz="6" w:space="0" w:color="auto"/>
            </w:tcBorders>
          </w:tcPr>
          <w:p w14:paraId="7588C6B5" w14:textId="77777777" w:rsidR="0015445B" w:rsidRPr="00A23FB4" w:rsidRDefault="0015445B" w:rsidP="00502D10">
            <w:pPr>
              <w:rPr>
                <w:rFonts w:asciiTheme="minorHAnsi" w:hAnsiTheme="minorHAnsi"/>
              </w:rPr>
            </w:pPr>
            <w:r w:rsidRPr="00A23FB4">
              <w:rPr>
                <w:rFonts w:asciiTheme="minorHAnsi" w:hAnsiTheme="minorHAnsi"/>
              </w:rPr>
              <w:t>18x20</w:t>
            </w:r>
          </w:p>
        </w:tc>
        <w:tc>
          <w:tcPr>
            <w:tcW w:w="1985" w:type="dxa"/>
            <w:tcBorders>
              <w:top w:val="single" w:sz="6" w:space="0" w:color="auto"/>
              <w:left w:val="single" w:sz="6" w:space="0" w:color="auto"/>
              <w:bottom w:val="double" w:sz="6" w:space="0" w:color="auto"/>
              <w:right w:val="single" w:sz="6" w:space="0" w:color="auto"/>
            </w:tcBorders>
          </w:tcPr>
          <w:p w14:paraId="1B3C1334" w14:textId="77777777" w:rsidR="0015445B" w:rsidRPr="00A23FB4" w:rsidRDefault="0015445B" w:rsidP="00502D10">
            <w:pPr>
              <w:rPr>
                <w:rFonts w:asciiTheme="minorHAnsi" w:hAnsiTheme="minorHAnsi"/>
              </w:rPr>
            </w:pPr>
            <w:r w:rsidRPr="00A23FB4">
              <w:rPr>
                <w:rFonts w:asciiTheme="minorHAnsi" w:hAnsiTheme="minorHAnsi"/>
              </w:rPr>
              <w:t>1</w:t>
            </w:r>
          </w:p>
        </w:tc>
      </w:tr>
      <w:tr w:rsidR="0015445B" w:rsidRPr="00A23FB4" w14:paraId="0C6342E5" w14:textId="77777777" w:rsidTr="0044266C">
        <w:tc>
          <w:tcPr>
            <w:tcW w:w="5173" w:type="dxa"/>
            <w:tcBorders>
              <w:left w:val="single" w:sz="6" w:space="0" w:color="auto"/>
              <w:bottom w:val="single" w:sz="6" w:space="0" w:color="auto"/>
              <w:right w:val="single" w:sz="6" w:space="0" w:color="auto"/>
            </w:tcBorders>
          </w:tcPr>
          <w:p w14:paraId="68583774" w14:textId="77777777" w:rsidR="0015445B" w:rsidRPr="00A23FB4" w:rsidRDefault="0015445B" w:rsidP="00502D10">
            <w:pPr>
              <w:rPr>
                <w:rFonts w:asciiTheme="minorHAnsi" w:hAnsiTheme="minorHAnsi"/>
              </w:rPr>
            </w:pPr>
            <w:r w:rsidRPr="00A23FB4">
              <w:rPr>
                <w:rFonts w:asciiTheme="minorHAnsi" w:hAnsiTheme="minorHAnsi"/>
              </w:rPr>
              <w:t>Wymiar a</w:t>
            </w:r>
          </w:p>
        </w:tc>
        <w:tc>
          <w:tcPr>
            <w:tcW w:w="993" w:type="dxa"/>
            <w:tcBorders>
              <w:left w:val="single" w:sz="6" w:space="0" w:color="auto"/>
              <w:bottom w:val="single" w:sz="6" w:space="0" w:color="auto"/>
              <w:right w:val="single" w:sz="6" w:space="0" w:color="auto"/>
            </w:tcBorders>
          </w:tcPr>
          <w:p w14:paraId="1B544179" w14:textId="77777777" w:rsidR="0015445B" w:rsidRPr="00A23FB4" w:rsidRDefault="0015445B" w:rsidP="00502D10">
            <w:pPr>
              <w:rPr>
                <w:rFonts w:asciiTheme="minorHAnsi" w:hAnsiTheme="minorHAnsi"/>
              </w:rPr>
            </w:pPr>
            <w:r w:rsidRPr="00A23FB4">
              <w:rPr>
                <w:rFonts w:asciiTheme="minorHAnsi" w:hAnsiTheme="minorHAnsi"/>
              </w:rPr>
              <w:t>16</w:t>
            </w:r>
          </w:p>
        </w:tc>
        <w:tc>
          <w:tcPr>
            <w:tcW w:w="992" w:type="dxa"/>
            <w:tcBorders>
              <w:left w:val="single" w:sz="6" w:space="0" w:color="auto"/>
              <w:bottom w:val="single" w:sz="6" w:space="0" w:color="auto"/>
              <w:right w:val="single" w:sz="6" w:space="0" w:color="auto"/>
            </w:tcBorders>
          </w:tcPr>
          <w:p w14:paraId="0A607AC1" w14:textId="77777777" w:rsidR="0015445B" w:rsidRPr="00A23FB4" w:rsidRDefault="0015445B" w:rsidP="00502D10">
            <w:pPr>
              <w:rPr>
                <w:rFonts w:asciiTheme="minorHAnsi" w:hAnsiTheme="minorHAnsi"/>
              </w:rPr>
            </w:pPr>
            <w:r w:rsidRPr="00A23FB4">
              <w:rPr>
                <w:rFonts w:asciiTheme="minorHAnsi" w:hAnsiTheme="minorHAnsi"/>
              </w:rPr>
              <w:t>18</w:t>
            </w:r>
          </w:p>
        </w:tc>
        <w:tc>
          <w:tcPr>
            <w:tcW w:w="1985" w:type="dxa"/>
            <w:tcBorders>
              <w:left w:val="single" w:sz="6" w:space="0" w:color="auto"/>
              <w:bottom w:val="single" w:sz="6" w:space="0" w:color="auto"/>
              <w:right w:val="single" w:sz="6" w:space="0" w:color="auto"/>
            </w:tcBorders>
          </w:tcPr>
          <w:p w14:paraId="3251EFA4" w14:textId="77777777" w:rsidR="0015445B" w:rsidRPr="00A23FB4" w:rsidRDefault="0015445B" w:rsidP="00502D10">
            <w:pPr>
              <w:rPr>
                <w:rFonts w:asciiTheme="minorHAnsi" w:hAnsiTheme="minorHAnsi"/>
              </w:rPr>
            </w:pPr>
            <w:r w:rsidRPr="00A23FB4">
              <w:rPr>
                <w:rFonts w:asciiTheme="minorHAnsi" w:hAnsiTheme="minorHAnsi"/>
              </w:rPr>
              <w:sym w:font="Symbol" w:char="F0B1"/>
            </w:r>
            <w:r w:rsidRPr="00A23FB4">
              <w:rPr>
                <w:rFonts w:asciiTheme="minorHAnsi" w:hAnsiTheme="minorHAnsi"/>
              </w:rPr>
              <w:t xml:space="preserve"> 3,0</w:t>
            </w:r>
          </w:p>
        </w:tc>
      </w:tr>
      <w:tr w:rsidR="0015445B" w:rsidRPr="00A23FB4" w14:paraId="0175CBFB" w14:textId="77777777" w:rsidTr="0044266C">
        <w:tc>
          <w:tcPr>
            <w:tcW w:w="5173" w:type="dxa"/>
            <w:tcBorders>
              <w:top w:val="single" w:sz="6" w:space="0" w:color="auto"/>
              <w:left w:val="single" w:sz="6" w:space="0" w:color="auto"/>
              <w:bottom w:val="single" w:sz="6" w:space="0" w:color="auto"/>
              <w:right w:val="single" w:sz="6" w:space="0" w:color="auto"/>
            </w:tcBorders>
          </w:tcPr>
          <w:p w14:paraId="5709F646" w14:textId="77777777" w:rsidR="0015445B" w:rsidRPr="00A23FB4" w:rsidRDefault="0015445B" w:rsidP="00502D10">
            <w:pPr>
              <w:rPr>
                <w:rFonts w:asciiTheme="minorHAnsi" w:hAnsiTheme="minorHAnsi"/>
              </w:rPr>
            </w:pPr>
            <w:r w:rsidRPr="00A23FB4">
              <w:rPr>
                <w:rFonts w:asciiTheme="minorHAnsi" w:hAnsiTheme="minorHAnsi"/>
              </w:rPr>
              <w:t>Wymiar b</w:t>
            </w:r>
          </w:p>
        </w:tc>
        <w:tc>
          <w:tcPr>
            <w:tcW w:w="993" w:type="dxa"/>
            <w:tcBorders>
              <w:top w:val="single" w:sz="6" w:space="0" w:color="auto"/>
              <w:left w:val="single" w:sz="6" w:space="0" w:color="auto"/>
              <w:bottom w:val="single" w:sz="6" w:space="0" w:color="auto"/>
              <w:right w:val="single" w:sz="6" w:space="0" w:color="auto"/>
            </w:tcBorders>
          </w:tcPr>
          <w:p w14:paraId="3439C647" w14:textId="77777777" w:rsidR="0015445B" w:rsidRPr="00A23FB4" w:rsidRDefault="0015445B" w:rsidP="00502D10">
            <w:pPr>
              <w:rPr>
                <w:rFonts w:asciiTheme="minorHAnsi" w:hAnsiTheme="minorHAnsi"/>
              </w:rPr>
            </w:pPr>
            <w:r w:rsidRPr="00A23FB4">
              <w:rPr>
                <w:rFonts w:asciiTheme="minorHAnsi" w:hAnsiTheme="minorHAnsi"/>
              </w:rPr>
              <w:t>16-18</w:t>
            </w:r>
          </w:p>
        </w:tc>
        <w:tc>
          <w:tcPr>
            <w:tcW w:w="992" w:type="dxa"/>
            <w:tcBorders>
              <w:top w:val="single" w:sz="6" w:space="0" w:color="auto"/>
              <w:left w:val="single" w:sz="6" w:space="0" w:color="auto"/>
              <w:bottom w:val="single" w:sz="6" w:space="0" w:color="auto"/>
              <w:right w:val="single" w:sz="6" w:space="0" w:color="auto"/>
            </w:tcBorders>
          </w:tcPr>
          <w:p w14:paraId="27786C62" w14:textId="77777777" w:rsidR="0015445B" w:rsidRPr="00A23FB4" w:rsidRDefault="0015445B" w:rsidP="00502D10">
            <w:pPr>
              <w:rPr>
                <w:rFonts w:asciiTheme="minorHAnsi" w:hAnsiTheme="minorHAnsi"/>
              </w:rPr>
            </w:pPr>
            <w:r w:rsidRPr="00A23FB4">
              <w:rPr>
                <w:rFonts w:asciiTheme="minorHAnsi" w:hAnsiTheme="minorHAnsi"/>
              </w:rPr>
              <w:t>18-20</w:t>
            </w:r>
          </w:p>
        </w:tc>
        <w:tc>
          <w:tcPr>
            <w:tcW w:w="1985" w:type="dxa"/>
            <w:tcBorders>
              <w:top w:val="single" w:sz="6" w:space="0" w:color="auto"/>
              <w:left w:val="single" w:sz="6" w:space="0" w:color="auto"/>
              <w:bottom w:val="single" w:sz="6" w:space="0" w:color="auto"/>
              <w:right w:val="single" w:sz="6" w:space="0" w:color="auto"/>
            </w:tcBorders>
          </w:tcPr>
          <w:p w14:paraId="51E2B63B" w14:textId="77777777" w:rsidR="0015445B" w:rsidRPr="00A23FB4" w:rsidRDefault="0015445B" w:rsidP="00502D10">
            <w:pPr>
              <w:rPr>
                <w:rFonts w:asciiTheme="minorHAnsi" w:hAnsiTheme="minorHAnsi"/>
              </w:rPr>
            </w:pPr>
            <w:r w:rsidRPr="00A23FB4">
              <w:rPr>
                <w:rFonts w:asciiTheme="minorHAnsi" w:hAnsiTheme="minorHAnsi"/>
              </w:rPr>
              <w:sym w:font="Symbol" w:char="F0B1"/>
            </w:r>
            <w:r w:rsidRPr="00A23FB4">
              <w:rPr>
                <w:rFonts w:asciiTheme="minorHAnsi" w:hAnsiTheme="minorHAnsi"/>
              </w:rPr>
              <w:t xml:space="preserve"> 3,0</w:t>
            </w:r>
          </w:p>
        </w:tc>
      </w:tr>
      <w:tr w:rsidR="0015445B" w:rsidRPr="00A23FB4" w14:paraId="10DD3F42" w14:textId="77777777" w:rsidTr="0044266C">
        <w:tc>
          <w:tcPr>
            <w:tcW w:w="5173" w:type="dxa"/>
            <w:tcBorders>
              <w:top w:val="single" w:sz="6" w:space="0" w:color="auto"/>
              <w:left w:val="single" w:sz="6" w:space="0" w:color="auto"/>
              <w:bottom w:val="single" w:sz="6" w:space="0" w:color="auto"/>
              <w:right w:val="single" w:sz="6" w:space="0" w:color="auto"/>
            </w:tcBorders>
          </w:tcPr>
          <w:p w14:paraId="1F1F07CB" w14:textId="77777777" w:rsidR="0015445B" w:rsidRPr="00A23FB4" w:rsidRDefault="0015445B" w:rsidP="00502D10">
            <w:pPr>
              <w:rPr>
                <w:rFonts w:asciiTheme="minorHAnsi" w:hAnsiTheme="minorHAnsi"/>
              </w:rPr>
            </w:pPr>
            <w:r w:rsidRPr="00A23FB4">
              <w:rPr>
                <w:rFonts w:asciiTheme="minorHAnsi" w:hAnsiTheme="minorHAnsi"/>
              </w:rPr>
              <w:t>Stosunek pola powierzchni dolnej (stopki) do górnej (czoła), nie mniejszy niż</w:t>
            </w:r>
          </w:p>
        </w:tc>
        <w:tc>
          <w:tcPr>
            <w:tcW w:w="993" w:type="dxa"/>
            <w:tcBorders>
              <w:top w:val="single" w:sz="6" w:space="0" w:color="auto"/>
              <w:left w:val="single" w:sz="6" w:space="0" w:color="auto"/>
              <w:bottom w:val="single" w:sz="6" w:space="0" w:color="auto"/>
              <w:right w:val="single" w:sz="6" w:space="0" w:color="auto"/>
            </w:tcBorders>
          </w:tcPr>
          <w:p w14:paraId="047AC5A7" w14:textId="77777777" w:rsidR="0015445B" w:rsidRPr="00A23FB4" w:rsidRDefault="0015445B" w:rsidP="00502D10">
            <w:pPr>
              <w:rPr>
                <w:rFonts w:asciiTheme="minorHAnsi" w:hAnsiTheme="minorHAnsi"/>
              </w:rPr>
            </w:pPr>
            <w:r w:rsidRPr="00A23FB4">
              <w:rPr>
                <w:rFonts w:asciiTheme="minorHAnsi" w:hAnsiTheme="minorHAnsi"/>
              </w:rPr>
              <w:t>-</w:t>
            </w:r>
          </w:p>
        </w:tc>
        <w:tc>
          <w:tcPr>
            <w:tcW w:w="992" w:type="dxa"/>
            <w:tcBorders>
              <w:top w:val="single" w:sz="6" w:space="0" w:color="auto"/>
              <w:left w:val="single" w:sz="6" w:space="0" w:color="auto"/>
              <w:bottom w:val="single" w:sz="6" w:space="0" w:color="auto"/>
              <w:right w:val="single" w:sz="6" w:space="0" w:color="auto"/>
            </w:tcBorders>
          </w:tcPr>
          <w:p w14:paraId="74FD3A8B" w14:textId="77777777" w:rsidR="0015445B" w:rsidRPr="00A23FB4" w:rsidRDefault="0015445B" w:rsidP="00502D10">
            <w:pPr>
              <w:rPr>
                <w:rFonts w:asciiTheme="minorHAnsi" w:hAnsiTheme="minorHAnsi"/>
              </w:rPr>
            </w:pPr>
            <w:r w:rsidRPr="00A23FB4">
              <w:rPr>
                <w:rFonts w:asciiTheme="minorHAnsi" w:hAnsiTheme="minorHAnsi"/>
              </w:rPr>
              <w:t>-</w:t>
            </w:r>
          </w:p>
        </w:tc>
        <w:tc>
          <w:tcPr>
            <w:tcW w:w="1985" w:type="dxa"/>
            <w:tcBorders>
              <w:top w:val="single" w:sz="6" w:space="0" w:color="auto"/>
              <w:left w:val="single" w:sz="6" w:space="0" w:color="auto"/>
              <w:bottom w:val="single" w:sz="6" w:space="0" w:color="auto"/>
              <w:right w:val="single" w:sz="6" w:space="0" w:color="auto"/>
            </w:tcBorders>
          </w:tcPr>
          <w:p w14:paraId="31BBE8C3" w14:textId="77777777" w:rsidR="0015445B" w:rsidRPr="00A23FB4" w:rsidRDefault="0015445B" w:rsidP="00502D10">
            <w:pPr>
              <w:rPr>
                <w:rFonts w:asciiTheme="minorHAnsi" w:hAnsiTheme="minorHAnsi"/>
              </w:rPr>
            </w:pPr>
            <w:r w:rsidRPr="00A23FB4">
              <w:rPr>
                <w:rFonts w:asciiTheme="minorHAnsi" w:hAnsiTheme="minorHAnsi"/>
              </w:rPr>
              <w:t>1,0</w:t>
            </w:r>
          </w:p>
        </w:tc>
      </w:tr>
      <w:tr w:rsidR="0015445B" w:rsidRPr="00A23FB4" w14:paraId="56F10855" w14:textId="77777777" w:rsidTr="0044266C">
        <w:tc>
          <w:tcPr>
            <w:tcW w:w="5173" w:type="dxa"/>
            <w:tcBorders>
              <w:top w:val="single" w:sz="6" w:space="0" w:color="auto"/>
              <w:left w:val="single" w:sz="6" w:space="0" w:color="auto"/>
              <w:bottom w:val="single" w:sz="6" w:space="0" w:color="auto"/>
              <w:right w:val="single" w:sz="6" w:space="0" w:color="auto"/>
            </w:tcBorders>
          </w:tcPr>
          <w:p w14:paraId="12D08638" w14:textId="77777777" w:rsidR="0015445B" w:rsidRPr="00A23FB4" w:rsidRDefault="0015445B" w:rsidP="00502D10">
            <w:pPr>
              <w:rPr>
                <w:rFonts w:asciiTheme="minorHAnsi" w:hAnsiTheme="minorHAnsi"/>
              </w:rPr>
            </w:pPr>
            <w:r w:rsidRPr="00A23FB4">
              <w:rPr>
                <w:rFonts w:asciiTheme="minorHAnsi" w:hAnsiTheme="minorHAnsi"/>
              </w:rPr>
              <w:t>Nierówności powierzchni górnej (czoła), nie większe niż</w:t>
            </w:r>
          </w:p>
        </w:tc>
        <w:tc>
          <w:tcPr>
            <w:tcW w:w="993" w:type="dxa"/>
            <w:tcBorders>
              <w:top w:val="single" w:sz="6" w:space="0" w:color="auto"/>
              <w:left w:val="single" w:sz="6" w:space="0" w:color="auto"/>
              <w:bottom w:val="single" w:sz="6" w:space="0" w:color="auto"/>
              <w:right w:val="single" w:sz="6" w:space="0" w:color="auto"/>
            </w:tcBorders>
          </w:tcPr>
          <w:p w14:paraId="64B9D182" w14:textId="77777777" w:rsidR="0015445B" w:rsidRPr="00A23FB4" w:rsidRDefault="0015445B" w:rsidP="00502D10">
            <w:pPr>
              <w:rPr>
                <w:rFonts w:asciiTheme="minorHAnsi" w:hAnsiTheme="minorHAnsi"/>
              </w:rPr>
            </w:pPr>
            <w:r w:rsidRPr="00A23FB4">
              <w:rPr>
                <w:rFonts w:asciiTheme="minorHAnsi" w:hAnsiTheme="minorHAnsi"/>
              </w:rPr>
              <w:t>-</w:t>
            </w:r>
          </w:p>
        </w:tc>
        <w:tc>
          <w:tcPr>
            <w:tcW w:w="992" w:type="dxa"/>
            <w:tcBorders>
              <w:top w:val="single" w:sz="6" w:space="0" w:color="auto"/>
              <w:left w:val="single" w:sz="6" w:space="0" w:color="auto"/>
              <w:bottom w:val="single" w:sz="6" w:space="0" w:color="auto"/>
              <w:right w:val="single" w:sz="6" w:space="0" w:color="auto"/>
            </w:tcBorders>
          </w:tcPr>
          <w:p w14:paraId="47A746C9" w14:textId="77777777" w:rsidR="0015445B" w:rsidRPr="00A23FB4" w:rsidRDefault="0015445B" w:rsidP="00502D10">
            <w:pPr>
              <w:rPr>
                <w:rFonts w:asciiTheme="minorHAnsi" w:hAnsiTheme="minorHAnsi"/>
              </w:rPr>
            </w:pPr>
            <w:r w:rsidRPr="00A23FB4">
              <w:rPr>
                <w:rFonts w:asciiTheme="minorHAnsi" w:hAnsiTheme="minorHAnsi"/>
              </w:rPr>
              <w:t>-</w:t>
            </w:r>
          </w:p>
        </w:tc>
        <w:tc>
          <w:tcPr>
            <w:tcW w:w="1985" w:type="dxa"/>
            <w:tcBorders>
              <w:top w:val="single" w:sz="6" w:space="0" w:color="auto"/>
              <w:left w:val="single" w:sz="6" w:space="0" w:color="auto"/>
              <w:bottom w:val="single" w:sz="6" w:space="0" w:color="auto"/>
              <w:right w:val="single" w:sz="6" w:space="0" w:color="auto"/>
            </w:tcBorders>
          </w:tcPr>
          <w:p w14:paraId="77536FB2" w14:textId="77777777" w:rsidR="0015445B" w:rsidRPr="00A23FB4" w:rsidRDefault="0015445B" w:rsidP="00502D10">
            <w:pPr>
              <w:rPr>
                <w:rFonts w:asciiTheme="minorHAnsi" w:hAnsiTheme="minorHAnsi"/>
              </w:rPr>
            </w:pPr>
            <w:r w:rsidRPr="00A23FB4">
              <w:rPr>
                <w:rFonts w:asciiTheme="minorHAnsi" w:hAnsiTheme="minorHAnsi"/>
              </w:rPr>
              <w:sym w:font="Symbol" w:char="F0B1"/>
            </w:r>
            <w:r w:rsidRPr="00A23FB4">
              <w:rPr>
                <w:rFonts w:asciiTheme="minorHAnsi" w:hAnsiTheme="minorHAnsi"/>
              </w:rPr>
              <w:t xml:space="preserve"> 1</w:t>
            </w:r>
          </w:p>
        </w:tc>
      </w:tr>
      <w:tr w:rsidR="0015445B" w:rsidRPr="00A23FB4" w14:paraId="6EF7199B" w14:textId="77777777" w:rsidTr="0044266C">
        <w:tc>
          <w:tcPr>
            <w:tcW w:w="5173" w:type="dxa"/>
            <w:tcBorders>
              <w:top w:val="single" w:sz="6" w:space="0" w:color="auto"/>
              <w:left w:val="single" w:sz="6" w:space="0" w:color="auto"/>
              <w:bottom w:val="single" w:sz="6" w:space="0" w:color="auto"/>
              <w:right w:val="single" w:sz="6" w:space="0" w:color="auto"/>
            </w:tcBorders>
          </w:tcPr>
          <w:p w14:paraId="77D98AB4" w14:textId="77777777" w:rsidR="0015445B" w:rsidRPr="00A23FB4" w:rsidRDefault="0015445B" w:rsidP="00502D10">
            <w:pPr>
              <w:rPr>
                <w:rFonts w:asciiTheme="minorHAnsi" w:hAnsiTheme="minorHAnsi"/>
              </w:rPr>
            </w:pPr>
            <w:r w:rsidRPr="00A23FB4">
              <w:rPr>
                <w:rFonts w:asciiTheme="minorHAnsi" w:hAnsiTheme="minorHAnsi"/>
              </w:rPr>
              <w:t>Wypukłość powierzchni bocznej, nie większa niż</w:t>
            </w:r>
          </w:p>
        </w:tc>
        <w:tc>
          <w:tcPr>
            <w:tcW w:w="993" w:type="dxa"/>
            <w:tcBorders>
              <w:top w:val="single" w:sz="6" w:space="0" w:color="auto"/>
              <w:left w:val="single" w:sz="6" w:space="0" w:color="auto"/>
              <w:bottom w:val="single" w:sz="6" w:space="0" w:color="auto"/>
              <w:right w:val="single" w:sz="6" w:space="0" w:color="auto"/>
            </w:tcBorders>
          </w:tcPr>
          <w:p w14:paraId="6FAB15D2" w14:textId="77777777" w:rsidR="0015445B" w:rsidRPr="00A23FB4" w:rsidRDefault="0015445B" w:rsidP="00502D10">
            <w:pPr>
              <w:rPr>
                <w:rFonts w:asciiTheme="minorHAnsi" w:hAnsiTheme="minorHAnsi"/>
              </w:rPr>
            </w:pPr>
            <w:r w:rsidRPr="00A23FB4">
              <w:rPr>
                <w:rFonts w:asciiTheme="minorHAnsi" w:hAnsiTheme="minorHAnsi"/>
              </w:rPr>
              <w:t>-</w:t>
            </w:r>
          </w:p>
        </w:tc>
        <w:tc>
          <w:tcPr>
            <w:tcW w:w="992" w:type="dxa"/>
            <w:tcBorders>
              <w:top w:val="single" w:sz="6" w:space="0" w:color="auto"/>
              <w:left w:val="single" w:sz="6" w:space="0" w:color="auto"/>
              <w:bottom w:val="single" w:sz="6" w:space="0" w:color="auto"/>
              <w:right w:val="single" w:sz="6" w:space="0" w:color="auto"/>
            </w:tcBorders>
          </w:tcPr>
          <w:p w14:paraId="11711200" w14:textId="77777777" w:rsidR="0015445B" w:rsidRPr="00A23FB4" w:rsidRDefault="0015445B" w:rsidP="00502D10">
            <w:pPr>
              <w:rPr>
                <w:rFonts w:asciiTheme="minorHAnsi" w:hAnsiTheme="minorHAnsi"/>
              </w:rPr>
            </w:pPr>
            <w:r w:rsidRPr="00A23FB4">
              <w:rPr>
                <w:rFonts w:asciiTheme="minorHAnsi" w:hAnsiTheme="minorHAnsi"/>
              </w:rPr>
              <w:t>-</w:t>
            </w:r>
          </w:p>
        </w:tc>
        <w:tc>
          <w:tcPr>
            <w:tcW w:w="1985" w:type="dxa"/>
            <w:tcBorders>
              <w:top w:val="single" w:sz="6" w:space="0" w:color="auto"/>
              <w:left w:val="single" w:sz="6" w:space="0" w:color="auto"/>
              <w:bottom w:val="single" w:sz="6" w:space="0" w:color="auto"/>
              <w:right w:val="single" w:sz="6" w:space="0" w:color="auto"/>
            </w:tcBorders>
          </w:tcPr>
          <w:p w14:paraId="39CC5574" w14:textId="77777777" w:rsidR="0015445B" w:rsidRPr="00A23FB4" w:rsidRDefault="0015445B" w:rsidP="00502D10">
            <w:pPr>
              <w:rPr>
                <w:rFonts w:asciiTheme="minorHAnsi" w:hAnsiTheme="minorHAnsi"/>
              </w:rPr>
            </w:pPr>
            <w:r w:rsidRPr="00A23FB4">
              <w:rPr>
                <w:rFonts w:asciiTheme="minorHAnsi" w:hAnsiTheme="minorHAnsi"/>
              </w:rPr>
              <w:t>1</w:t>
            </w:r>
          </w:p>
        </w:tc>
      </w:tr>
      <w:tr w:rsidR="0015445B" w:rsidRPr="00A23FB4" w14:paraId="4856AACA" w14:textId="77777777" w:rsidTr="0044266C">
        <w:tc>
          <w:tcPr>
            <w:tcW w:w="5173" w:type="dxa"/>
            <w:tcBorders>
              <w:top w:val="single" w:sz="6" w:space="0" w:color="auto"/>
              <w:left w:val="single" w:sz="6" w:space="0" w:color="auto"/>
              <w:bottom w:val="single" w:sz="6" w:space="0" w:color="auto"/>
              <w:right w:val="single" w:sz="6" w:space="0" w:color="auto"/>
            </w:tcBorders>
          </w:tcPr>
          <w:p w14:paraId="189E40AE" w14:textId="77777777" w:rsidR="0015445B" w:rsidRPr="00A23FB4" w:rsidRDefault="0015445B" w:rsidP="00502D10">
            <w:pPr>
              <w:rPr>
                <w:rFonts w:asciiTheme="minorHAnsi" w:hAnsiTheme="minorHAnsi"/>
              </w:rPr>
            </w:pPr>
            <w:r w:rsidRPr="00A23FB4">
              <w:rPr>
                <w:rFonts w:asciiTheme="minorHAnsi" w:hAnsiTheme="minorHAnsi"/>
              </w:rPr>
              <w:t>Nierówność powierzchni dolnej (stopki), nie większa niż</w:t>
            </w:r>
          </w:p>
        </w:tc>
        <w:tc>
          <w:tcPr>
            <w:tcW w:w="993" w:type="dxa"/>
            <w:tcBorders>
              <w:top w:val="single" w:sz="6" w:space="0" w:color="auto"/>
              <w:left w:val="single" w:sz="6" w:space="0" w:color="auto"/>
              <w:bottom w:val="single" w:sz="6" w:space="0" w:color="auto"/>
              <w:right w:val="single" w:sz="6" w:space="0" w:color="auto"/>
            </w:tcBorders>
          </w:tcPr>
          <w:p w14:paraId="0A23FFF2" w14:textId="77777777" w:rsidR="0015445B" w:rsidRPr="00A23FB4" w:rsidRDefault="0015445B" w:rsidP="00502D10">
            <w:pPr>
              <w:rPr>
                <w:rFonts w:asciiTheme="minorHAnsi" w:hAnsiTheme="minorHAnsi"/>
              </w:rPr>
            </w:pPr>
            <w:r w:rsidRPr="00A23FB4">
              <w:rPr>
                <w:rFonts w:asciiTheme="minorHAnsi" w:hAnsiTheme="minorHAnsi"/>
              </w:rPr>
              <w:t>-</w:t>
            </w:r>
          </w:p>
        </w:tc>
        <w:tc>
          <w:tcPr>
            <w:tcW w:w="992" w:type="dxa"/>
            <w:tcBorders>
              <w:top w:val="single" w:sz="6" w:space="0" w:color="auto"/>
              <w:left w:val="single" w:sz="6" w:space="0" w:color="auto"/>
              <w:bottom w:val="single" w:sz="6" w:space="0" w:color="auto"/>
              <w:right w:val="single" w:sz="6" w:space="0" w:color="auto"/>
            </w:tcBorders>
          </w:tcPr>
          <w:p w14:paraId="221EAB40" w14:textId="77777777" w:rsidR="0015445B" w:rsidRPr="00A23FB4" w:rsidRDefault="0015445B" w:rsidP="00502D10">
            <w:pPr>
              <w:rPr>
                <w:rFonts w:asciiTheme="minorHAnsi" w:hAnsiTheme="minorHAnsi"/>
              </w:rPr>
            </w:pPr>
            <w:r w:rsidRPr="00A23FB4">
              <w:rPr>
                <w:rFonts w:asciiTheme="minorHAnsi" w:hAnsiTheme="minorHAnsi"/>
              </w:rPr>
              <w:t>-</w:t>
            </w:r>
          </w:p>
        </w:tc>
        <w:tc>
          <w:tcPr>
            <w:tcW w:w="1985" w:type="dxa"/>
            <w:tcBorders>
              <w:top w:val="single" w:sz="6" w:space="0" w:color="auto"/>
              <w:left w:val="single" w:sz="6" w:space="0" w:color="auto"/>
              <w:bottom w:val="single" w:sz="6" w:space="0" w:color="auto"/>
              <w:right w:val="single" w:sz="6" w:space="0" w:color="auto"/>
            </w:tcBorders>
          </w:tcPr>
          <w:p w14:paraId="0D9C82E8" w14:textId="77777777" w:rsidR="0015445B" w:rsidRPr="00A23FB4" w:rsidRDefault="0015445B" w:rsidP="00502D10">
            <w:pPr>
              <w:rPr>
                <w:rFonts w:asciiTheme="minorHAnsi" w:hAnsiTheme="minorHAnsi"/>
              </w:rPr>
            </w:pPr>
            <w:r w:rsidRPr="00A23FB4">
              <w:rPr>
                <w:rFonts w:asciiTheme="minorHAnsi" w:hAnsiTheme="minorHAnsi"/>
              </w:rPr>
              <w:sym w:font="Symbol" w:char="F0B1"/>
            </w:r>
            <w:r w:rsidRPr="00A23FB4">
              <w:rPr>
                <w:rFonts w:asciiTheme="minorHAnsi" w:hAnsiTheme="minorHAnsi"/>
              </w:rPr>
              <w:t xml:space="preserve"> 1</w:t>
            </w:r>
          </w:p>
        </w:tc>
      </w:tr>
      <w:tr w:rsidR="0015445B" w:rsidRPr="00A23FB4" w14:paraId="46E18F2E" w14:textId="77777777" w:rsidTr="0044266C">
        <w:tc>
          <w:tcPr>
            <w:tcW w:w="5173" w:type="dxa"/>
            <w:tcBorders>
              <w:top w:val="single" w:sz="6" w:space="0" w:color="auto"/>
              <w:left w:val="single" w:sz="6" w:space="0" w:color="auto"/>
              <w:bottom w:val="single" w:sz="6" w:space="0" w:color="auto"/>
              <w:right w:val="single" w:sz="6" w:space="0" w:color="auto"/>
            </w:tcBorders>
          </w:tcPr>
          <w:p w14:paraId="3FE2DD2D" w14:textId="77777777" w:rsidR="0015445B" w:rsidRPr="00A23FB4" w:rsidRDefault="0015445B" w:rsidP="00502D10">
            <w:pPr>
              <w:rPr>
                <w:rFonts w:asciiTheme="minorHAnsi" w:hAnsiTheme="minorHAnsi"/>
              </w:rPr>
            </w:pPr>
            <w:r w:rsidRPr="00A23FB4">
              <w:rPr>
                <w:rFonts w:asciiTheme="minorHAnsi" w:hAnsiTheme="minorHAnsi"/>
              </w:rPr>
              <w:t>Pęknięcia kostki</w:t>
            </w:r>
          </w:p>
        </w:tc>
        <w:tc>
          <w:tcPr>
            <w:tcW w:w="993" w:type="dxa"/>
            <w:tcBorders>
              <w:top w:val="single" w:sz="6" w:space="0" w:color="auto"/>
              <w:left w:val="single" w:sz="6" w:space="0" w:color="auto"/>
              <w:bottom w:val="single" w:sz="6" w:space="0" w:color="auto"/>
              <w:right w:val="single" w:sz="6" w:space="0" w:color="auto"/>
            </w:tcBorders>
          </w:tcPr>
          <w:p w14:paraId="7D4BE05C" w14:textId="77777777" w:rsidR="0015445B" w:rsidRPr="00A23FB4" w:rsidRDefault="0015445B" w:rsidP="00502D10">
            <w:pPr>
              <w:rPr>
                <w:rFonts w:asciiTheme="minorHAnsi" w:hAnsiTheme="minorHAnsi"/>
              </w:rPr>
            </w:pPr>
            <w:r w:rsidRPr="00A23FB4">
              <w:rPr>
                <w:rFonts w:asciiTheme="minorHAnsi" w:hAnsiTheme="minorHAnsi"/>
              </w:rPr>
              <w:t>-</w:t>
            </w:r>
          </w:p>
        </w:tc>
        <w:tc>
          <w:tcPr>
            <w:tcW w:w="992" w:type="dxa"/>
            <w:tcBorders>
              <w:top w:val="single" w:sz="6" w:space="0" w:color="auto"/>
              <w:left w:val="single" w:sz="6" w:space="0" w:color="auto"/>
              <w:bottom w:val="single" w:sz="6" w:space="0" w:color="auto"/>
              <w:right w:val="single" w:sz="6" w:space="0" w:color="auto"/>
            </w:tcBorders>
          </w:tcPr>
          <w:p w14:paraId="62EB2188" w14:textId="77777777" w:rsidR="0015445B" w:rsidRPr="00A23FB4" w:rsidRDefault="0015445B" w:rsidP="00502D10">
            <w:pPr>
              <w:rPr>
                <w:rFonts w:asciiTheme="minorHAnsi" w:hAnsiTheme="minorHAnsi"/>
              </w:rPr>
            </w:pPr>
            <w:r w:rsidRPr="00A23FB4">
              <w:rPr>
                <w:rFonts w:asciiTheme="minorHAnsi" w:hAnsiTheme="minorHAnsi"/>
              </w:rPr>
              <w:t>-</w:t>
            </w:r>
          </w:p>
        </w:tc>
        <w:tc>
          <w:tcPr>
            <w:tcW w:w="1985" w:type="dxa"/>
            <w:tcBorders>
              <w:top w:val="single" w:sz="6" w:space="0" w:color="auto"/>
              <w:left w:val="single" w:sz="6" w:space="0" w:color="auto"/>
              <w:bottom w:val="single" w:sz="6" w:space="0" w:color="auto"/>
              <w:right w:val="single" w:sz="6" w:space="0" w:color="auto"/>
            </w:tcBorders>
          </w:tcPr>
          <w:p w14:paraId="71723ED6" w14:textId="77777777" w:rsidR="0015445B" w:rsidRPr="00A23FB4" w:rsidRDefault="0015445B" w:rsidP="00502D10">
            <w:pPr>
              <w:rPr>
                <w:rFonts w:asciiTheme="minorHAnsi" w:hAnsiTheme="minorHAnsi"/>
              </w:rPr>
            </w:pPr>
            <w:r w:rsidRPr="00A23FB4">
              <w:rPr>
                <w:rFonts w:asciiTheme="minorHAnsi" w:hAnsiTheme="minorHAnsi"/>
              </w:rPr>
              <w:t>niedopuszczalne</w:t>
            </w:r>
          </w:p>
        </w:tc>
      </w:tr>
    </w:tbl>
    <w:p w14:paraId="563E9FDE" w14:textId="77777777" w:rsidR="00AE14BA" w:rsidRPr="00A23FB4" w:rsidRDefault="00AE14BA" w:rsidP="00AE14BA">
      <w:pPr>
        <w:rPr>
          <w:rFonts w:asciiTheme="minorHAnsi" w:hAnsiTheme="minorHAnsi"/>
        </w:rPr>
      </w:pPr>
    </w:p>
    <w:p w14:paraId="3B87DE6A" w14:textId="77777777" w:rsidR="00AE14BA" w:rsidRPr="00A23FB4" w:rsidRDefault="00AE14BA" w:rsidP="00AE14BA">
      <w:pPr>
        <w:rPr>
          <w:rFonts w:asciiTheme="minorHAnsi" w:hAnsiTheme="minorHAnsi"/>
        </w:rPr>
      </w:pPr>
      <w:r w:rsidRPr="00A23FB4">
        <w:rPr>
          <w:rFonts w:asciiTheme="minorHAnsi" w:hAnsiTheme="minorHAnsi"/>
        </w:rPr>
        <w:t>Krawędzie co najmniej jednej powierzchni kostki winny być bez uszkodzeń. Pozostałe krawędzie kostki mogą mieć uszkodzenie długości nie większej niż pół wymiaru wysokości kostki (a), natomiast łączna ich długość nie powinna przekraczać wymiaru wysokości kostki (a).</w:t>
      </w:r>
    </w:p>
    <w:p w14:paraId="666C6F62" w14:textId="77777777" w:rsidR="00AE14BA" w:rsidRPr="00A23FB4" w:rsidRDefault="00AE14BA" w:rsidP="00AE14BA">
      <w:pPr>
        <w:rPr>
          <w:rFonts w:asciiTheme="minorHAnsi" w:hAnsiTheme="minorHAnsi"/>
        </w:rPr>
      </w:pPr>
      <w:r w:rsidRPr="00A23FB4">
        <w:rPr>
          <w:rFonts w:asciiTheme="minorHAnsi" w:hAnsiTheme="minorHAnsi"/>
        </w:rPr>
        <w:t>Uszkodzenia któregokolwiek z naroży kostki są niedopuszczalne.</w:t>
      </w:r>
    </w:p>
    <w:p w14:paraId="68F9EB80" w14:textId="77777777" w:rsidR="00AE14BA" w:rsidRPr="00A23FB4" w:rsidRDefault="00AE14BA" w:rsidP="00AE14BA">
      <w:pPr>
        <w:pStyle w:val="Nagwek4"/>
        <w:rPr>
          <w:rFonts w:asciiTheme="minorHAnsi" w:hAnsiTheme="minorHAnsi"/>
        </w:rPr>
      </w:pPr>
      <w:r w:rsidRPr="00A23FB4">
        <w:rPr>
          <w:rFonts w:asciiTheme="minorHAnsi" w:hAnsiTheme="minorHAnsi"/>
        </w:rPr>
        <w:t>2.3. Cement</w:t>
      </w:r>
    </w:p>
    <w:p w14:paraId="56CC72BA" w14:textId="77777777" w:rsidR="00AE14BA" w:rsidRPr="00A23FB4" w:rsidRDefault="00AE14BA" w:rsidP="00AE14BA">
      <w:pPr>
        <w:rPr>
          <w:rFonts w:asciiTheme="minorHAnsi" w:hAnsiTheme="minorHAnsi"/>
        </w:rPr>
      </w:pPr>
      <w:r w:rsidRPr="00A23FB4">
        <w:rPr>
          <w:rFonts w:asciiTheme="minorHAnsi" w:hAnsiTheme="minorHAnsi"/>
        </w:rPr>
        <w:t>Cement stosowany do podsypki i wypełnienia spoin powinien być cementem portlandzkim CEM I klasy N 32,5, odpowiadający wymaganiom PN-EN-197-1:2002.</w:t>
      </w:r>
    </w:p>
    <w:p w14:paraId="7C5A329E" w14:textId="77777777" w:rsidR="00AE14BA" w:rsidRPr="00A23FB4" w:rsidRDefault="00AE14BA" w:rsidP="00AE14BA">
      <w:pPr>
        <w:rPr>
          <w:rFonts w:asciiTheme="minorHAnsi" w:hAnsiTheme="minorHAnsi"/>
        </w:rPr>
      </w:pPr>
      <w:r w:rsidRPr="00A23FB4">
        <w:rPr>
          <w:rFonts w:asciiTheme="minorHAnsi" w:hAnsiTheme="minorHAnsi"/>
        </w:rPr>
        <w:t>Transport i przechowywanie cementu powinny być zgodne z BN-88/6731-08.</w:t>
      </w:r>
    </w:p>
    <w:p w14:paraId="2B54CA91" w14:textId="77777777" w:rsidR="00AE14BA" w:rsidRPr="00A23FB4" w:rsidRDefault="00AE14BA" w:rsidP="00AE14BA">
      <w:pPr>
        <w:pStyle w:val="Nagwek4"/>
        <w:rPr>
          <w:rFonts w:asciiTheme="minorHAnsi" w:hAnsiTheme="minorHAnsi"/>
        </w:rPr>
      </w:pPr>
      <w:r w:rsidRPr="00A23FB4">
        <w:rPr>
          <w:rFonts w:asciiTheme="minorHAnsi" w:hAnsiTheme="minorHAnsi"/>
        </w:rPr>
        <w:t>2.4. Kruszywo</w:t>
      </w:r>
    </w:p>
    <w:p w14:paraId="6EEBD731" w14:textId="77777777" w:rsidR="00AE14BA" w:rsidRPr="00A23FB4" w:rsidRDefault="00AE14BA" w:rsidP="00AE14BA">
      <w:pPr>
        <w:rPr>
          <w:rFonts w:asciiTheme="minorHAnsi" w:hAnsiTheme="minorHAnsi"/>
        </w:rPr>
      </w:pPr>
      <w:r w:rsidRPr="00A23FB4">
        <w:rPr>
          <w:rFonts w:asciiTheme="minorHAnsi" w:hAnsiTheme="minorHAnsi"/>
        </w:rPr>
        <w:t>Kruszywo na podsypkę i do wypełniania spoin powinno odpowiadać wymaganiom normy PN-EN-12620:2004.</w:t>
      </w:r>
    </w:p>
    <w:p w14:paraId="68AB6DAE" w14:textId="77777777" w:rsidR="00AE14BA" w:rsidRPr="00A23FB4" w:rsidRDefault="00AE14BA" w:rsidP="00AE14BA">
      <w:pPr>
        <w:rPr>
          <w:rFonts w:asciiTheme="minorHAnsi" w:hAnsiTheme="minorHAnsi"/>
        </w:rPr>
      </w:pPr>
      <w:r w:rsidRPr="00A23FB4">
        <w:rPr>
          <w:rFonts w:asciiTheme="minorHAnsi" w:hAnsiTheme="minorHAnsi"/>
        </w:rPr>
        <w:t>Na podsypkę stosuje się mieszankę kruszywa naturalnego o frakcji od 0 do 8 mm, a do zaprawy cementowo-piaskowej o frakcji od 0 do 4 mm.</w:t>
      </w:r>
    </w:p>
    <w:p w14:paraId="139BA838" w14:textId="77777777" w:rsidR="00AE14BA" w:rsidRPr="00A23FB4" w:rsidRDefault="00AE14BA" w:rsidP="00AE14BA">
      <w:pPr>
        <w:rPr>
          <w:rFonts w:asciiTheme="minorHAnsi" w:hAnsiTheme="minorHAnsi"/>
        </w:rPr>
      </w:pPr>
      <w:r w:rsidRPr="00A23FB4">
        <w:rPr>
          <w:rFonts w:asciiTheme="minorHAnsi" w:hAnsiTheme="minorHAnsi"/>
        </w:rPr>
        <w:t>Zawartość pyłów w kruszywie na podsypkę cementowo-żwirową i do zaprawy cementowo-piaskowej nie może przekraczać 3%, a na podsypkę żwirową - 8%.</w:t>
      </w:r>
    </w:p>
    <w:p w14:paraId="5591376C" w14:textId="77777777" w:rsidR="00AE14BA" w:rsidRPr="00A23FB4" w:rsidRDefault="00AE14BA" w:rsidP="00AE14BA">
      <w:pPr>
        <w:rPr>
          <w:rFonts w:asciiTheme="minorHAnsi" w:hAnsiTheme="minorHAnsi"/>
        </w:rPr>
      </w:pPr>
      <w:r w:rsidRPr="00A23FB4">
        <w:rPr>
          <w:rFonts w:asciiTheme="minorHAnsi" w:hAnsiTheme="minorHAnsi"/>
        </w:rPr>
        <w:t>Kruszywo należy przechowywać w warunkach zabezpieczających je przed zanieczyszczeniem oraz zmieszaniem z kruszywami innych klas, gatunków, frakcji (grupy frakcji).</w:t>
      </w:r>
    </w:p>
    <w:p w14:paraId="3F080439" w14:textId="77777777" w:rsidR="00AE14BA" w:rsidRPr="00A23FB4" w:rsidRDefault="00AE14BA" w:rsidP="00AE14BA">
      <w:pPr>
        <w:pStyle w:val="Nagwek4"/>
        <w:rPr>
          <w:rFonts w:asciiTheme="minorHAnsi" w:hAnsiTheme="minorHAnsi"/>
        </w:rPr>
      </w:pPr>
      <w:r w:rsidRPr="00A23FB4">
        <w:rPr>
          <w:rFonts w:asciiTheme="minorHAnsi" w:hAnsiTheme="minorHAnsi"/>
        </w:rPr>
        <w:t>2.5. Woda</w:t>
      </w:r>
    </w:p>
    <w:p w14:paraId="3196DE51" w14:textId="77777777" w:rsidR="00AE14BA" w:rsidRPr="00A23FB4" w:rsidRDefault="00AE14BA" w:rsidP="00AE14BA">
      <w:pPr>
        <w:rPr>
          <w:rFonts w:asciiTheme="minorHAnsi" w:hAnsiTheme="minorHAnsi"/>
        </w:rPr>
      </w:pPr>
      <w:r w:rsidRPr="00A23FB4">
        <w:rPr>
          <w:rFonts w:asciiTheme="minorHAnsi" w:hAnsiTheme="minorHAnsi"/>
        </w:rPr>
        <w:t>Woda stosowana do podsypki i zaprawy cementowo-piaskowej, powinna odpowiadać wymaganiom PN-EN-1008:2004. Badania wody należy wykonywać:</w:t>
      </w:r>
    </w:p>
    <w:p w14:paraId="03DB9A94" w14:textId="77777777" w:rsidR="00AE14BA" w:rsidRPr="00A23FB4" w:rsidRDefault="00AE14BA" w:rsidP="00262498">
      <w:pPr>
        <w:numPr>
          <w:ilvl w:val="0"/>
          <w:numId w:val="26"/>
        </w:numPr>
        <w:ind w:left="284" w:hanging="284"/>
        <w:rPr>
          <w:rFonts w:asciiTheme="minorHAnsi" w:hAnsiTheme="minorHAnsi"/>
        </w:rPr>
      </w:pPr>
      <w:r w:rsidRPr="00A23FB4">
        <w:rPr>
          <w:rFonts w:asciiTheme="minorHAnsi" w:hAnsiTheme="minorHAnsi"/>
        </w:rPr>
        <w:t>w przypadku nowego źródła poboru wody,</w:t>
      </w:r>
    </w:p>
    <w:p w14:paraId="1AC5C861" w14:textId="77777777" w:rsidR="00AE14BA" w:rsidRPr="00A23FB4" w:rsidRDefault="00AE14BA" w:rsidP="00262498">
      <w:pPr>
        <w:numPr>
          <w:ilvl w:val="0"/>
          <w:numId w:val="26"/>
        </w:numPr>
        <w:ind w:left="284" w:hanging="284"/>
        <w:rPr>
          <w:rFonts w:asciiTheme="minorHAnsi" w:hAnsiTheme="minorHAnsi"/>
        </w:rPr>
      </w:pPr>
      <w:r w:rsidRPr="00A23FB4">
        <w:rPr>
          <w:rFonts w:asciiTheme="minorHAnsi" w:hAnsiTheme="minorHAnsi"/>
        </w:rPr>
        <w:t>w przypadku podejrzeń dotyczących zmiany parametrów wody, np. zmętnienia, zapachu, barwy.</w:t>
      </w:r>
    </w:p>
    <w:p w14:paraId="30A4F5F3" w14:textId="77777777" w:rsidR="00AE14BA" w:rsidRPr="00A23FB4" w:rsidRDefault="00AE14BA" w:rsidP="00AE14BA">
      <w:pPr>
        <w:pStyle w:val="Nagwek4"/>
        <w:rPr>
          <w:rFonts w:asciiTheme="minorHAnsi" w:hAnsiTheme="minorHAnsi"/>
        </w:rPr>
      </w:pPr>
      <w:r w:rsidRPr="00A23FB4">
        <w:rPr>
          <w:rFonts w:asciiTheme="minorHAnsi" w:hAnsiTheme="minorHAnsi"/>
        </w:rPr>
        <w:t>2.6. Masa zalewowa</w:t>
      </w:r>
    </w:p>
    <w:p w14:paraId="437C3468" w14:textId="77777777" w:rsidR="00AE14BA" w:rsidRPr="00A23FB4" w:rsidRDefault="00AE14BA" w:rsidP="00AE14BA">
      <w:pPr>
        <w:rPr>
          <w:rFonts w:asciiTheme="minorHAnsi" w:hAnsiTheme="minorHAnsi"/>
        </w:rPr>
      </w:pPr>
      <w:r w:rsidRPr="00A23FB4">
        <w:rPr>
          <w:rFonts w:asciiTheme="minorHAnsi" w:hAnsiTheme="minorHAnsi"/>
        </w:rPr>
        <w:t>Masa zalewowa do wypełniania spoin i szczelin dylatacyjnych w nawierzchniach z kostki kamiennej powinna być stosowana na gorąco i odpowiadać wymaganiom normy BN-74/6771-04 lub aprobaty technicznej.</w:t>
      </w:r>
    </w:p>
    <w:p w14:paraId="0EF35E6A" w14:textId="77777777" w:rsidR="00AE14BA" w:rsidRPr="00A23FB4" w:rsidRDefault="00AE14BA" w:rsidP="00AE14BA">
      <w:pPr>
        <w:rPr>
          <w:rFonts w:asciiTheme="minorHAnsi" w:hAnsiTheme="minorHAnsi"/>
          <w:b/>
        </w:rPr>
      </w:pPr>
      <w:bookmarkStart w:id="624" w:name="_Toc422115848"/>
      <w:r w:rsidRPr="00A23FB4">
        <w:rPr>
          <w:rFonts w:asciiTheme="minorHAnsi" w:hAnsiTheme="minorHAnsi"/>
          <w:b/>
        </w:rPr>
        <w:t>3. SPRZĘT</w:t>
      </w:r>
      <w:bookmarkEnd w:id="624"/>
    </w:p>
    <w:p w14:paraId="2979B9D0" w14:textId="77777777" w:rsidR="00AE14BA" w:rsidRPr="00A23FB4" w:rsidRDefault="00AE14BA" w:rsidP="00AE14BA">
      <w:pPr>
        <w:pStyle w:val="Nagwek4"/>
        <w:rPr>
          <w:rFonts w:asciiTheme="minorHAnsi" w:hAnsiTheme="minorHAnsi"/>
        </w:rPr>
      </w:pPr>
      <w:r w:rsidRPr="00A23FB4">
        <w:rPr>
          <w:rFonts w:asciiTheme="minorHAnsi" w:hAnsiTheme="minorHAnsi"/>
        </w:rPr>
        <w:t>3.1. Ogólne wymagania dotyczące sprzętu</w:t>
      </w:r>
    </w:p>
    <w:p w14:paraId="3DDA27F8" w14:textId="6B4EE123" w:rsidR="00AE14BA" w:rsidRPr="00A23FB4" w:rsidRDefault="00AE14BA" w:rsidP="00AE14BA">
      <w:pPr>
        <w:rPr>
          <w:rFonts w:asciiTheme="minorHAnsi" w:hAnsiTheme="minorHAnsi"/>
        </w:rPr>
      </w:pPr>
      <w:r w:rsidRPr="00A23FB4">
        <w:rPr>
          <w:rFonts w:asciiTheme="minorHAnsi" w:hAnsiTheme="minorHAnsi"/>
        </w:rPr>
        <w:t xml:space="preserve">Ogólne wymagania dotyczące sprzętu podano w </w:t>
      </w:r>
      <w:r w:rsidR="00FF2938">
        <w:rPr>
          <w:rFonts w:asciiTheme="minorHAnsi" w:hAnsiTheme="minorHAnsi"/>
        </w:rPr>
        <w:t>ST</w:t>
      </w:r>
      <w:r w:rsidRPr="00A23FB4">
        <w:rPr>
          <w:rFonts w:asciiTheme="minorHAnsi" w:hAnsiTheme="minorHAnsi"/>
        </w:rPr>
        <w:t>WiORB D-M-00.00.00 „Wymagania ogólne” pkt 3.</w:t>
      </w:r>
    </w:p>
    <w:p w14:paraId="753C32E7" w14:textId="77777777" w:rsidR="00AE14BA" w:rsidRPr="00A23FB4" w:rsidRDefault="00AE14BA" w:rsidP="00AE14BA">
      <w:pPr>
        <w:pStyle w:val="Nagwek4"/>
        <w:rPr>
          <w:rFonts w:asciiTheme="minorHAnsi" w:hAnsiTheme="minorHAnsi"/>
        </w:rPr>
      </w:pPr>
      <w:r w:rsidRPr="00A23FB4">
        <w:rPr>
          <w:rFonts w:asciiTheme="minorHAnsi" w:hAnsiTheme="minorHAnsi"/>
        </w:rPr>
        <w:t>3.2. Sprzęt do wykonania nawierzchni z kostki kamiennej</w:t>
      </w:r>
    </w:p>
    <w:p w14:paraId="2179B1A5" w14:textId="77777777" w:rsidR="00AE14BA" w:rsidRPr="00A23FB4" w:rsidRDefault="00AE14BA" w:rsidP="00AE14BA">
      <w:pPr>
        <w:rPr>
          <w:rFonts w:asciiTheme="minorHAnsi" w:hAnsiTheme="minorHAnsi"/>
        </w:rPr>
      </w:pPr>
      <w:r w:rsidRPr="00A23FB4">
        <w:rPr>
          <w:rFonts w:asciiTheme="minorHAnsi" w:hAnsiTheme="minorHAnsi"/>
        </w:rPr>
        <w:t>Wykonawca przystępujący do wykonania nawierzchni z kostek kamiennych powinien wykazać się możliwością korzystania z następującego sprzętu:</w:t>
      </w:r>
    </w:p>
    <w:p w14:paraId="54A0C5CE" w14:textId="77777777" w:rsidR="00AE14BA" w:rsidRPr="00A23FB4" w:rsidRDefault="00AE14BA" w:rsidP="00262498">
      <w:pPr>
        <w:numPr>
          <w:ilvl w:val="0"/>
          <w:numId w:val="26"/>
        </w:numPr>
        <w:ind w:left="284" w:hanging="284"/>
        <w:rPr>
          <w:rFonts w:asciiTheme="minorHAnsi" w:hAnsiTheme="minorHAnsi"/>
        </w:rPr>
      </w:pPr>
      <w:r w:rsidRPr="00A23FB4">
        <w:rPr>
          <w:rFonts w:asciiTheme="minorHAnsi" w:hAnsiTheme="minorHAnsi"/>
        </w:rPr>
        <w:t>betoniarki, do wytwarzania betonu i zapraw oraz przygotowywania podsypki cementowo-piaskowej,</w:t>
      </w:r>
    </w:p>
    <w:p w14:paraId="36D158E3" w14:textId="77777777" w:rsidR="00AE14BA" w:rsidRPr="00A23FB4" w:rsidRDefault="00AE14BA" w:rsidP="00262498">
      <w:pPr>
        <w:numPr>
          <w:ilvl w:val="0"/>
          <w:numId w:val="26"/>
        </w:numPr>
        <w:ind w:left="284" w:hanging="284"/>
        <w:rPr>
          <w:rFonts w:asciiTheme="minorHAnsi" w:hAnsiTheme="minorHAnsi"/>
        </w:rPr>
      </w:pPr>
      <w:r w:rsidRPr="00A23FB4">
        <w:rPr>
          <w:rFonts w:asciiTheme="minorHAnsi" w:hAnsiTheme="minorHAnsi"/>
        </w:rPr>
        <w:t>ubijaków ręcznych i mechanicznych, do ubijania kostki,</w:t>
      </w:r>
    </w:p>
    <w:p w14:paraId="184BC945" w14:textId="77777777" w:rsidR="00AE14BA" w:rsidRPr="00A23FB4" w:rsidRDefault="00AE14BA" w:rsidP="00262498">
      <w:pPr>
        <w:numPr>
          <w:ilvl w:val="0"/>
          <w:numId w:val="26"/>
        </w:numPr>
        <w:ind w:left="284" w:hanging="284"/>
        <w:rPr>
          <w:rFonts w:asciiTheme="minorHAnsi" w:hAnsiTheme="minorHAnsi"/>
        </w:rPr>
      </w:pPr>
      <w:r w:rsidRPr="00A23FB4">
        <w:rPr>
          <w:rFonts w:asciiTheme="minorHAnsi" w:hAnsiTheme="minorHAnsi"/>
        </w:rPr>
        <w:t>wibratorów płytowych i lekkich walców wibracyjnych, do ubijania kostki po pierwszym ubiciu ręcznym.</w:t>
      </w:r>
    </w:p>
    <w:p w14:paraId="2E751683" w14:textId="77777777" w:rsidR="00AE14BA" w:rsidRPr="00A23FB4" w:rsidRDefault="00AE14BA" w:rsidP="00AE14BA">
      <w:pPr>
        <w:rPr>
          <w:rFonts w:asciiTheme="minorHAnsi" w:hAnsiTheme="minorHAnsi"/>
          <w:b/>
        </w:rPr>
      </w:pPr>
      <w:bookmarkStart w:id="625" w:name="_Toc422115849"/>
      <w:r w:rsidRPr="00A23FB4">
        <w:rPr>
          <w:rFonts w:asciiTheme="minorHAnsi" w:hAnsiTheme="minorHAnsi"/>
          <w:b/>
        </w:rPr>
        <w:t>4. TRANSPORT</w:t>
      </w:r>
      <w:bookmarkEnd w:id="625"/>
    </w:p>
    <w:p w14:paraId="5CED6D24" w14:textId="77777777" w:rsidR="00AE14BA" w:rsidRPr="00A23FB4" w:rsidRDefault="00AE14BA" w:rsidP="00AE14BA">
      <w:pPr>
        <w:pStyle w:val="Nagwek4"/>
        <w:rPr>
          <w:rFonts w:asciiTheme="minorHAnsi" w:hAnsiTheme="minorHAnsi"/>
        </w:rPr>
      </w:pPr>
      <w:r w:rsidRPr="00A23FB4">
        <w:rPr>
          <w:rFonts w:asciiTheme="minorHAnsi" w:hAnsiTheme="minorHAnsi"/>
        </w:rPr>
        <w:t>4.1. Ogólne wymagania dotyczące transportu</w:t>
      </w:r>
    </w:p>
    <w:p w14:paraId="1B80D7D8" w14:textId="4B393079" w:rsidR="00AE14BA" w:rsidRPr="00A23FB4" w:rsidRDefault="00AE14BA" w:rsidP="00AE14BA">
      <w:pPr>
        <w:rPr>
          <w:rFonts w:asciiTheme="minorHAnsi" w:hAnsiTheme="minorHAnsi"/>
        </w:rPr>
      </w:pPr>
      <w:r w:rsidRPr="00A23FB4">
        <w:rPr>
          <w:rFonts w:asciiTheme="minorHAnsi" w:hAnsiTheme="minorHAnsi"/>
        </w:rPr>
        <w:t xml:space="preserve">Ogólne wymagania dotyczące transportu podano w </w:t>
      </w:r>
      <w:r w:rsidR="00815EE5">
        <w:rPr>
          <w:rFonts w:asciiTheme="minorHAnsi" w:hAnsiTheme="minorHAnsi"/>
        </w:rPr>
        <w:t>ST</w:t>
      </w:r>
      <w:r w:rsidRPr="00A23FB4">
        <w:rPr>
          <w:rFonts w:asciiTheme="minorHAnsi" w:hAnsiTheme="minorHAnsi"/>
        </w:rPr>
        <w:t>WiORB D-M-00.00.00 „Wymagania ogólne” pkt 4.</w:t>
      </w:r>
    </w:p>
    <w:p w14:paraId="38E5442C" w14:textId="77777777" w:rsidR="00AE14BA" w:rsidRPr="00A23FB4" w:rsidRDefault="00AE14BA" w:rsidP="00AE14BA">
      <w:pPr>
        <w:pStyle w:val="Nagwek4"/>
        <w:rPr>
          <w:rFonts w:asciiTheme="minorHAnsi" w:hAnsiTheme="minorHAnsi"/>
        </w:rPr>
      </w:pPr>
      <w:r w:rsidRPr="00A23FB4">
        <w:rPr>
          <w:rFonts w:asciiTheme="minorHAnsi" w:hAnsiTheme="minorHAnsi"/>
        </w:rPr>
        <w:t>4.2. Transport materiałów</w:t>
      </w:r>
    </w:p>
    <w:p w14:paraId="4E75297F" w14:textId="77777777" w:rsidR="00AE14BA" w:rsidRPr="00A23FB4" w:rsidRDefault="00AE14BA" w:rsidP="00AE14BA">
      <w:pPr>
        <w:pStyle w:val="Nagwek5"/>
        <w:rPr>
          <w:rFonts w:asciiTheme="minorHAnsi" w:hAnsiTheme="minorHAnsi"/>
        </w:rPr>
      </w:pPr>
      <w:r w:rsidRPr="00A23FB4">
        <w:rPr>
          <w:rFonts w:asciiTheme="minorHAnsi" w:hAnsiTheme="minorHAnsi"/>
        </w:rPr>
        <w:t>4.2.1. Transport kostek kamiennych</w:t>
      </w:r>
    </w:p>
    <w:p w14:paraId="7FC5BAFC" w14:textId="77777777" w:rsidR="00AE14BA" w:rsidRPr="00A23FB4" w:rsidRDefault="00AE14BA" w:rsidP="00AE14BA">
      <w:pPr>
        <w:rPr>
          <w:rFonts w:asciiTheme="minorHAnsi" w:hAnsiTheme="minorHAnsi"/>
        </w:rPr>
      </w:pPr>
      <w:r w:rsidRPr="00A23FB4">
        <w:rPr>
          <w:rFonts w:asciiTheme="minorHAnsi" w:hAnsiTheme="minorHAnsi"/>
        </w:rPr>
        <w:t>Kostki kamienne przewozi się dowolnymi środkami transportowymi.</w:t>
      </w:r>
    </w:p>
    <w:p w14:paraId="5FA34B2F" w14:textId="77777777" w:rsidR="00AE14BA" w:rsidRPr="00A23FB4" w:rsidRDefault="00AE14BA" w:rsidP="00AE14BA">
      <w:pPr>
        <w:pStyle w:val="Nagwek5"/>
        <w:rPr>
          <w:rFonts w:asciiTheme="minorHAnsi" w:hAnsiTheme="minorHAnsi"/>
        </w:rPr>
      </w:pPr>
      <w:r w:rsidRPr="00A23FB4">
        <w:rPr>
          <w:rFonts w:asciiTheme="minorHAnsi" w:hAnsiTheme="minorHAnsi"/>
        </w:rPr>
        <w:t>4.2.2.  Transport kruszywa i podsypki</w:t>
      </w:r>
    </w:p>
    <w:p w14:paraId="16882ACF" w14:textId="77777777" w:rsidR="00AE14BA" w:rsidRPr="00A23FB4" w:rsidRDefault="00AE14BA" w:rsidP="00AE14BA">
      <w:pPr>
        <w:rPr>
          <w:rFonts w:asciiTheme="minorHAnsi" w:hAnsiTheme="minorHAnsi"/>
        </w:rPr>
      </w:pPr>
      <w:r w:rsidRPr="00A23FB4">
        <w:rPr>
          <w:rFonts w:asciiTheme="minorHAnsi" w:hAnsiTheme="minorHAnsi"/>
        </w:rPr>
        <w:t>Kruszywo można przewozić dowolnymi środkami transportowymi w warunkach zabezpieczających je przed rozsypywaniem i zanieczyszczeniem.</w:t>
      </w:r>
    </w:p>
    <w:p w14:paraId="00DF0DC9" w14:textId="77777777" w:rsidR="00AE14BA" w:rsidRPr="00A23FB4" w:rsidRDefault="00AE14BA" w:rsidP="00AE14BA">
      <w:pPr>
        <w:rPr>
          <w:rFonts w:asciiTheme="minorHAnsi" w:hAnsiTheme="minorHAnsi"/>
        </w:rPr>
      </w:pPr>
    </w:p>
    <w:p w14:paraId="08208F8C" w14:textId="77777777" w:rsidR="00AE14BA" w:rsidRPr="00A23FB4" w:rsidRDefault="00AE14BA" w:rsidP="00AE14BA">
      <w:pPr>
        <w:rPr>
          <w:rFonts w:asciiTheme="minorHAnsi" w:hAnsiTheme="minorHAnsi"/>
          <w:b/>
        </w:rPr>
      </w:pPr>
      <w:bookmarkStart w:id="626" w:name="_Toc422115850"/>
      <w:r w:rsidRPr="00A23FB4">
        <w:rPr>
          <w:rFonts w:asciiTheme="minorHAnsi" w:hAnsiTheme="minorHAnsi"/>
          <w:b/>
        </w:rPr>
        <w:t>5. WYKONANIE ROBÓT</w:t>
      </w:r>
      <w:bookmarkEnd w:id="626"/>
    </w:p>
    <w:p w14:paraId="642F91D3" w14:textId="77777777" w:rsidR="00AE14BA" w:rsidRPr="00A23FB4" w:rsidRDefault="00AE14BA" w:rsidP="00AE14BA">
      <w:pPr>
        <w:pStyle w:val="Nagwek4"/>
        <w:rPr>
          <w:rFonts w:asciiTheme="minorHAnsi" w:hAnsiTheme="minorHAnsi"/>
        </w:rPr>
      </w:pPr>
      <w:r w:rsidRPr="00A23FB4">
        <w:rPr>
          <w:rFonts w:asciiTheme="minorHAnsi" w:hAnsiTheme="minorHAnsi"/>
        </w:rPr>
        <w:t>5.1. Ogólne zasady wykonania robót</w:t>
      </w:r>
    </w:p>
    <w:p w14:paraId="0FFA3830" w14:textId="6E5383E3" w:rsidR="00AE14BA" w:rsidRPr="00A23FB4" w:rsidRDefault="00AE14BA" w:rsidP="00AE14BA">
      <w:pPr>
        <w:rPr>
          <w:rFonts w:asciiTheme="minorHAnsi" w:hAnsiTheme="minorHAnsi"/>
        </w:rPr>
      </w:pPr>
      <w:r w:rsidRPr="00A23FB4">
        <w:rPr>
          <w:rFonts w:asciiTheme="minorHAnsi" w:hAnsiTheme="minorHAnsi"/>
        </w:rPr>
        <w:t xml:space="preserve">Ogólne zasady wykonania robót podano w </w:t>
      </w:r>
      <w:r w:rsidR="00815EE5">
        <w:rPr>
          <w:rFonts w:asciiTheme="minorHAnsi" w:hAnsiTheme="minorHAnsi"/>
        </w:rPr>
        <w:t>ST</w:t>
      </w:r>
      <w:r w:rsidRPr="00A23FB4">
        <w:rPr>
          <w:rFonts w:asciiTheme="minorHAnsi" w:hAnsiTheme="minorHAnsi"/>
        </w:rPr>
        <w:t>WiORB D-M-00.00.00 „Wymagania ogólne” pkt 5.</w:t>
      </w:r>
    </w:p>
    <w:p w14:paraId="0D4A5438" w14:textId="77777777" w:rsidR="00AE14BA" w:rsidRPr="00A23FB4" w:rsidRDefault="00AE14BA" w:rsidP="00AE14BA">
      <w:pPr>
        <w:pStyle w:val="Nagwek4"/>
        <w:rPr>
          <w:rFonts w:asciiTheme="minorHAnsi" w:hAnsiTheme="minorHAnsi"/>
        </w:rPr>
      </w:pPr>
      <w:r w:rsidRPr="00A23FB4">
        <w:rPr>
          <w:rFonts w:asciiTheme="minorHAnsi" w:hAnsiTheme="minorHAnsi"/>
        </w:rPr>
        <w:t>5.2. Przygotowanie podbudowy</w:t>
      </w:r>
    </w:p>
    <w:p w14:paraId="778DA675" w14:textId="29663F0D" w:rsidR="00AE14BA" w:rsidRPr="00A23FB4" w:rsidRDefault="00AE14BA" w:rsidP="00AE14BA">
      <w:pPr>
        <w:rPr>
          <w:rFonts w:asciiTheme="minorHAnsi" w:hAnsiTheme="minorHAnsi"/>
        </w:rPr>
      </w:pPr>
      <w:r w:rsidRPr="00A23FB4">
        <w:rPr>
          <w:rFonts w:asciiTheme="minorHAnsi" w:hAnsiTheme="minorHAnsi"/>
        </w:rPr>
        <w:t xml:space="preserve">Podłoże powinno odpowiadać wymaganiom zawartym w </w:t>
      </w:r>
      <w:r w:rsidR="00815EE5">
        <w:rPr>
          <w:rFonts w:asciiTheme="minorHAnsi" w:hAnsiTheme="minorHAnsi"/>
        </w:rPr>
        <w:t>ST</w:t>
      </w:r>
      <w:r w:rsidRPr="00A23FB4">
        <w:rPr>
          <w:rFonts w:asciiTheme="minorHAnsi" w:hAnsiTheme="minorHAnsi"/>
        </w:rPr>
        <w:t>WiORB D-04.06.01   Podbudowa z betonu,</w:t>
      </w:r>
    </w:p>
    <w:p w14:paraId="1037C69A" w14:textId="77777777" w:rsidR="00AE14BA" w:rsidRPr="00A23FB4" w:rsidRDefault="00AE14BA" w:rsidP="00AE14BA">
      <w:pPr>
        <w:pStyle w:val="Nagwek4"/>
        <w:rPr>
          <w:rFonts w:asciiTheme="minorHAnsi" w:hAnsiTheme="minorHAnsi"/>
        </w:rPr>
      </w:pPr>
      <w:r w:rsidRPr="00A23FB4">
        <w:rPr>
          <w:rFonts w:asciiTheme="minorHAnsi" w:hAnsiTheme="minorHAnsi"/>
        </w:rPr>
        <w:t>5.3. Podsypka</w:t>
      </w:r>
    </w:p>
    <w:p w14:paraId="46CAAB3B" w14:textId="77777777" w:rsidR="00AE14BA" w:rsidRPr="00A23FB4" w:rsidRDefault="00AE14BA" w:rsidP="00AE14BA">
      <w:pPr>
        <w:rPr>
          <w:rFonts w:asciiTheme="minorHAnsi" w:hAnsiTheme="minorHAnsi"/>
        </w:rPr>
      </w:pPr>
      <w:r w:rsidRPr="00A23FB4">
        <w:rPr>
          <w:rFonts w:asciiTheme="minorHAnsi" w:hAnsiTheme="minorHAnsi"/>
        </w:rPr>
        <w:t>Do wykonania nawierzchni z kostki kamiennej należy stosować podsypkę cementowo-piaskową,</w:t>
      </w:r>
    </w:p>
    <w:p w14:paraId="6817D37E" w14:textId="25EC4E8F" w:rsidR="00AE14BA" w:rsidRPr="00A23FB4" w:rsidRDefault="00AE14BA" w:rsidP="00AE14BA">
      <w:pPr>
        <w:rPr>
          <w:rFonts w:asciiTheme="minorHAnsi" w:hAnsiTheme="minorHAnsi"/>
        </w:rPr>
      </w:pPr>
      <w:r w:rsidRPr="00A23FB4">
        <w:rPr>
          <w:rFonts w:asciiTheme="minorHAnsi" w:hAnsiTheme="minorHAnsi"/>
        </w:rPr>
        <w:t xml:space="preserve">Wymagania dla materiałów stosowanych na podsypkę powinny być zgodne z pkt 2 niniejszej </w:t>
      </w:r>
      <w:r w:rsidR="00815EE5">
        <w:rPr>
          <w:rFonts w:asciiTheme="minorHAnsi" w:hAnsiTheme="minorHAnsi"/>
        </w:rPr>
        <w:t>ST</w:t>
      </w:r>
      <w:r w:rsidRPr="00A23FB4">
        <w:rPr>
          <w:rFonts w:asciiTheme="minorHAnsi" w:hAnsiTheme="minorHAnsi"/>
        </w:rPr>
        <w:t>WiORB oraz z PN-S-96026:1958.</w:t>
      </w:r>
    </w:p>
    <w:p w14:paraId="7519798A" w14:textId="77777777" w:rsidR="00AE14BA" w:rsidRPr="00A23FB4" w:rsidRDefault="00AE14BA" w:rsidP="00AE14BA">
      <w:pPr>
        <w:rPr>
          <w:rFonts w:asciiTheme="minorHAnsi" w:hAnsiTheme="minorHAnsi"/>
        </w:rPr>
      </w:pPr>
      <w:r w:rsidRPr="00A23FB4">
        <w:rPr>
          <w:rFonts w:asciiTheme="minorHAnsi" w:hAnsiTheme="minorHAnsi"/>
        </w:rPr>
        <w:t>Grubość podsypki powinna być zgodna z dokumentacją projektową.</w:t>
      </w:r>
    </w:p>
    <w:p w14:paraId="6D588B21" w14:textId="77777777" w:rsidR="00AE14BA" w:rsidRPr="00A23FB4" w:rsidRDefault="00AE14BA" w:rsidP="00AE14BA">
      <w:pPr>
        <w:rPr>
          <w:rFonts w:asciiTheme="minorHAnsi" w:hAnsiTheme="minorHAnsi"/>
        </w:rPr>
      </w:pPr>
      <w:r w:rsidRPr="00A23FB4">
        <w:rPr>
          <w:rFonts w:asciiTheme="minorHAnsi" w:hAnsiTheme="minorHAnsi"/>
        </w:rPr>
        <w:t>Współczynnik wodnocementowy dla podsypki cementowo-piaskowej powinien wynosić od 0,20 do 0,25, a wytrzymałość na ściskanie R</w:t>
      </w:r>
      <w:r w:rsidRPr="00A23FB4">
        <w:rPr>
          <w:rFonts w:asciiTheme="minorHAnsi" w:hAnsiTheme="minorHAnsi"/>
          <w:vertAlign w:val="subscript"/>
        </w:rPr>
        <w:t>7</w:t>
      </w:r>
      <w:r w:rsidRPr="00A23FB4">
        <w:rPr>
          <w:rFonts w:asciiTheme="minorHAnsi" w:hAnsiTheme="minorHAnsi"/>
        </w:rPr>
        <w:t xml:space="preserve"> = 10 MPa, R</w:t>
      </w:r>
      <w:r w:rsidRPr="00A23FB4">
        <w:rPr>
          <w:rFonts w:asciiTheme="minorHAnsi" w:hAnsiTheme="minorHAnsi"/>
          <w:vertAlign w:val="subscript"/>
        </w:rPr>
        <w:t>28</w:t>
      </w:r>
      <w:r w:rsidRPr="00A23FB4">
        <w:rPr>
          <w:rFonts w:asciiTheme="minorHAnsi" w:hAnsiTheme="minorHAnsi"/>
        </w:rPr>
        <w:t xml:space="preserve"> = 14 MPa. </w:t>
      </w:r>
    </w:p>
    <w:p w14:paraId="78DE75AF" w14:textId="77777777" w:rsidR="00AE14BA" w:rsidRPr="00A23FB4" w:rsidRDefault="00AE14BA" w:rsidP="00AE14BA">
      <w:pPr>
        <w:pStyle w:val="Nagwek4"/>
        <w:rPr>
          <w:rFonts w:asciiTheme="minorHAnsi" w:hAnsiTheme="minorHAnsi"/>
        </w:rPr>
      </w:pPr>
      <w:r w:rsidRPr="00A23FB4">
        <w:rPr>
          <w:rFonts w:asciiTheme="minorHAnsi" w:hAnsiTheme="minorHAnsi"/>
        </w:rPr>
        <w:t>5.5. Układanie nawierzchni z kostki kamiennej</w:t>
      </w:r>
    </w:p>
    <w:p w14:paraId="0955AECB" w14:textId="77777777" w:rsidR="00AE14BA" w:rsidRPr="00A23FB4" w:rsidRDefault="00AE14BA" w:rsidP="00AE14BA">
      <w:pPr>
        <w:rPr>
          <w:rFonts w:asciiTheme="minorHAnsi" w:hAnsiTheme="minorHAnsi"/>
        </w:rPr>
      </w:pPr>
      <w:r w:rsidRPr="00A23FB4">
        <w:rPr>
          <w:rFonts w:asciiTheme="minorHAnsi" w:hAnsiTheme="minorHAnsi"/>
        </w:rPr>
        <w:t>Kostka winna być układana w rzędy prostopadłe do osi drogi, lub w wachlarze (bloki)</w:t>
      </w:r>
    </w:p>
    <w:p w14:paraId="371F4ABC" w14:textId="77777777" w:rsidR="00AE14BA" w:rsidRPr="00A23FB4" w:rsidRDefault="00AE14BA" w:rsidP="00AE14BA">
      <w:pPr>
        <w:rPr>
          <w:rFonts w:asciiTheme="minorHAnsi" w:hAnsiTheme="minorHAnsi"/>
        </w:rPr>
      </w:pPr>
      <w:r w:rsidRPr="00A23FB4">
        <w:rPr>
          <w:rFonts w:asciiTheme="minorHAnsi" w:hAnsiTheme="minorHAnsi"/>
        </w:rPr>
        <w:t>Szerokość spoin między kostkami nie powinna przekraczać 12 mm. Spoiny w sąsiednich rzędach powinny się mijać co najmniej o 1/4 szerokości kostki.</w:t>
      </w:r>
    </w:p>
    <w:p w14:paraId="4682CF7C" w14:textId="77777777" w:rsidR="00AE14BA" w:rsidRPr="00A23FB4" w:rsidRDefault="00AE14BA" w:rsidP="00AE14BA">
      <w:pPr>
        <w:rPr>
          <w:rFonts w:asciiTheme="minorHAnsi" w:hAnsiTheme="minorHAnsi"/>
        </w:rPr>
      </w:pPr>
      <w:r w:rsidRPr="00A23FB4">
        <w:rPr>
          <w:rFonts w:asciiTheme="minorHAnsi" w:hAnsiTheme="minorHAnsi"/>
        </w:rPr>
        <w:t>Szczeliny dylatacyjne poprzeczne należy stosować w nawierzchniach z kostki na zaprawie cementowej w odległości od 10 do 15 m oraz w takich miejscach, w których występuje dylatacja podbudowy lub zmiana sztywności podłoża.</w:t>
      </w:r>
    </w:p>
    <w:p w14:paraId="235EA2F0" w14:textId="77777777" w:rsidR="00AE14BA" w:rsidRPr="00A23FB4" w:rsidRDefault="00AE14BA" w:rsidP="00AE14BA">
      <w:pPr>
        <w:rPr>
          <w:rFonts w:asciiTheme="minorHAnsi" w:hAnsiTheme="minorHAnsi"/>
        </w:rPr>
      </w:pPr>
      <w:r w:rsidRPr="00A23FB4">
        <w:rPr>
          <w:rFonts w:asciiTheme="minorHAnsi" w:hAnsiTheme="minorHAnsi"/>
        </w:rPr>
        <w:t>Przy układaniu nawierzchni z kostki na podbudowie betonowej - na podsypce cementowo-żwirowej z zalaniem spoin zaprawą cementowo-piaskową, szczeliny dylatacyjne warstwy jezdnej należy wykonywać nad szczelinami podbudowy. Szerokość szczelin dylatacyjnych powinna wynosić od 8 do 12 mm.</w:t>
      </w:r>
    </w:p>
    <w:p w14:paraId="009D9155" w14:textId="77777777" w:rsidR="00AE14BA" w:rsidRPr="00A23FB4" w:rsidRDefault="00AE14BA" w:rsidP="00AE14BA">
      <w:pPr>
        <w:rPr>
          <w:rFonts w:asciiTheme="minorHAnsi" w:hAnsiTheme="minorHAnsi"/>
        </w:rPr>
      </w:pPr>
      <w:r w:rsidRPr="00A23FB4">
        <w:rPr>
          <w:rFonts w:asciiTheme="minorHAnsi" w:hAnsiTheme="minorHAnsi"/>
        </w:rPr>
        <w:t>Kostkę na zaprawie cementowo-piaskowej można układać bez środków ochronnych przed mrozem, jeżeli temperatura otoczenia jest +5</w:t>
      </w:r>
      <w:r w:rsidRPr="00A23FB4">
        <w:rPr>
          <w:rFonts w:asciiTheme="minorHAnsi" w:hAnsiTheme="minorHAnsi"/>
          <w:vertAlign w:val="superscript"/>
        </w:rPr>
        <w:t>o</w:t>
      </w:r>
      <w:r w:rsidRPr="00A23FB4">
        <w:rPr>
          <w:rFonts w:asciiTheme="minorHAnsi" w:hAnsiTheme="minorHAnsi"/>
        </w:rPr>
        <w:t>C lub wyższa. Nie należy układać kostki w temperaturze 0</w:t>
      </w:r>
      <w:r w:rsidRPr="00A23FB4">
        <w:rPr>
          <w:rFonts w:asciiTheme="minorHAnsi" w:hAnsiTheme="minorHAnsi"/>
          <w:vertAlign w:val="superscript"/>
        </w:rPr>
        <w:t>o</w:t>
      </w:r>
      <w:r w:rsidRPr="00A23FB4">
        <w:rPr>
          <w:rFonts w:asciiTheme="minorHAnsi" w:hAnsiTheme="minorHAnsi"/>
        </w:rPr>
        <w:t>C lub niższej. Jeżeli w ciągu dnia temperatura utrzymuje się w granicach od 0 do +5</w:t>
      </w:r>
      <w:r w:rsidRPr="00A23FB4">
        <w:rPr>
          <w:rFonts w:asciiTheme="minorHAnsi" w:hAnsiTheme="minorHAnsi"/>
          <w:vertAlign w:val="superscript"/>
        </w:rPr>
        <w:t>o</w:t>
      </w:r>
      <w:r w:rsidRPr="00A23FB4">
        <w:rPr>
          <w:rFonts w:asciiTheme="minorHAnsi" w:hAnsiTheme="minorHAnsi"/>
        </w:rPr>
        <w:t xml:space="preserve">C, a w nocy spodziewane są przymrozki, kostkę należy zabezpieczyć przez nakrycie materiałem o złym przewodnictwie cieplnym. </w:t>
      </w:r>
    </w:p>
    <w:p w14:paraId="37DD0993" w14:textId="77777777" w:rsidR="00AE14BA" w:rsidRPr="00A23FB4" w:rsidRDefault="00AE14BA" w:rsidP="00AE14BA">
      <w:pPr>
        <w:rPr>
          <w:rFonts w:asciiTheme="minorHAnsi" w:hAnsiTheme="minorHAnsi"/>
        </w:rPr>
      </w:pPr>
      <w:r w:rsidRPr="00A23FB4">
        <w:rPr>
          <w:rFonts w:asciiTheme="minorHAnsi" w:hAnsiTheme="minorHAnsi"/>
        </w:rPr>
        <w:t>Sposób ubijania kostki powinien być dostosowany do rodzaju podsypki oraz materiału do wypełnienia spoin.</w:t>
      </w:r>
    </w:p>
    <w:p w14:paraId="35C51FE0" w14:textId="77777777" w:rsidR="00AE14BA" w:rsidRPr="00A23FB4" w:rsidRDefault="00AE14BA" w:rsidP="00AE14BA">
      <w:pPr>
        <w:rPr>
          <w:rFonts w:asciiTheme="minorHAnsi" w:hAnsiTheme="minorHAnsi"/>
        </w:rPr>
      </w:pPr>
      <w:r w:rsidRPr="00A23FB4">
        <w:rPr>
          <w:rFonts w:asciiTheme="minorHAnsi" w:hAnsiTheme="minorHAnsi"/>
        </w:rPr>
        <w:t>Kostkę, należy ubijać dwukrotnie.</w:t>
      </w:r>
    </w:p>
    <w:p w14:paraId="6664A0A6" w14:textId="77777777" w:rsidR="00AE14BA" w:rsidRPr="00A23FB4" w:rsidRDefault="00AE14BA" w:rsidP="00AE14BA">
      <w:pPr>
        <w:rPr>
          <w:rFonts w:asciiTheme="minorHAnsi" w:hAnsiTheme="minorHAnsi"/>
        </w:rPr>
      </w:pPr>
      <w:r w:rsidRPr="00A23FB4">
        <w:rPr>
          <w:rFonts w:asciiTheme="minorHAnsi" w:hAnsiTheme="minorHAnsi"/>
        </w:rPr>
        <w:t>Pierwsze mocne ubicie powinno nastąpić przed zalaniem spoin i spowodować obniżenie kostek do wymaganej niwelety.</w:t>
      </w:r>
    </w:p>
    <w:p w14:paraId="3D73FD10" w14:textId="77777777" w:rsidR="00AE14BA" w:rsidRPr="00A23FB4" w:rsidRDefault="00AE14BA" w:rsidP="00AE14BA">
      <w:pPr>
        <w:rPr>
          <w:rFonts w:asciiTheme="minorHAnsi" w:hAnsiTheme="minorHAnsi"/>
        </w:rPr>
      </w:pPr>
      <w:r w:rsidRPr="00A23FB4">
        <w:rPr>
          <w:rFonts w:asciiTheme="minorHAnsi" w:hAnsiTheme="minorHAnsi"/>
        </w:rPr>
        <w:t>Drugie - lekkie ubicie, ma na celu doprowadzenie ubijanej powierzchni kostek do wymaganego przekroju poprzecznego jezdni. Drugi ubicie następuje bezpośrednio po zalaniu spoin zaprawą cementowo-piaskową. Zamiast drugiego ubijania można stosować wibratory płytowe lub lekkie walce wibracyjne.</w:t>
      </w:r>
    </w:p>
    <w:p w14:paraId="25C012D9" w14:textId="77777777" w:rsidR="00AE14BA" w:rsidRPr="00A23FB4" w:rsidRDefault="00AE14BA" w:rsidP="00AE14BA">
      <w:pPr>
        <w:rPr>
          <w:rFonts w:asciiTheme="minorHAnsi" w:hAnsiTheme="minorHAnsi"/>
        </w:rPr>
      </w:pPr>
      <w:r w:rsidRPr="00A23FB4">
        <w:rPr>
          <w:rFonts w:asciiTheme="minorHAnsi" w:hAnsiTheme="minorHAnsi"/>
        </w:rPr>
        <w:t>Kostki, które pękną podczas ubijania powinny być wymienione na całe. Ostatni rząd kostek na zakończenie działki roboczej, przy ubijaniu należy zabezpieczyć przed przesunięciem za pomocą np. belki drewnianej umocowanej szpilkami stalowymi w podłożu.</w:t>
      </w:r>
    </w:p>
    <w:p w14:paraId="549FE5F9" w14:textId="77777777" w:rsidR="00AE14BA" w:rsidRPr="00A23FB4" w:rsidRDefault="00AE14BA" w:rsidP="00AE14BA">
      <w:pPr>
        <w:rPr>
          <w:rFonts w:asciiTheme="minorHAnsi" w:hAnsiTheme="minorHAnsi"/>
        </w:rPr>
      </w:pPr>
      <w:r w:rsidRPr="00A23FB4">
        <w:rPr>
          <w:rFonts w:asciiTheme="minorHAnsi" w:hAnsiTheme="minorHAnsi"/>
        </w:rPr>
        <w:t>Wypełnienie spoin zaprawą cementowo-piaskową powinno być wykonane z zachowaniem następujących wymagań:</w:t>
      </w:r>
    </w:p>
    <w:p w14:paraId="154664D1" w14:textId="77777777" w:rsidR="00AE14BA" w:rsidRPr="00A23FB4" w:rsidRDefault="00AE14BA" w:rsidP="00262498">
      <w:pPr>
        <w:numPr>
          <w:ilvl w:val="0"/>
          <w:numId w:val="26"/>
        </w:numPr>
        <w:rPr>
          <w:rFonts w:asciiTheme="minorHAnsi" w:hAnsiTheme="minorHAnsi"/>
        </w:rPr>
      </w:pPr>
      <w:r w:rsidRPr="00A23FB4">
        <w:rPr>
          <w:rFonts w:asciiTheme="minorHAnsi" w:hAnsiTheme="minorHAnsi"/>
        </w:rPr>
        <w:t>piasek powinien odpowiadać wymaganiom wg pkt 2.5,</w:t>
      </w:r>
    </w:p>
    <w:p w14:paraId="489653DB" w14:textId="77777777" w:rsidR="00AE14BA" w:rsidRPr="00A23FB4" w:rsidRDefault="00AE14BA" w:rsidP="00262498">
      <w:pPr>
        <w:numPr>
          <w:ilvl w:val="0"/>
          <w:numId w:val="26"/>
        </w:numPr>
        <w:rPr>
          <w:rFonts w:asciiTheme="minorHAnsi" w:hAnsiTheme="minorHAnsi"/>
        </w:rPr>
      </w:pPr>
      <w:r w:rsidRPr="00A23FB4">
        <w:rPr>
          <w:rFonts w:asciiTheme="minorHAnsi" w:hAnsiTheme="minorHAnsi"/>
        </w:rPr>
        <w:t>cement powinien odpowiadać wymaganiom wg pkt 2.4,</w:t>
      </w:r>
    </w:p>
    <w:p w14:paraId="4A1BDFA9" w14:textId="77777777" w:rsidR="00AE14BA" w:rsidRPr="00A23FB4" w:rsidRDefault="00AE14BA" w:rsidP="00262498">
      <w:pPr>
        <w:numPr>
          <w:ilvl w:val="0"/>
          <w:numId w:val="26"/>
        </w:numPr>
        <w:rPr>
          <w:rFonts w:asciiTheme="minorHAnsi" w:hAnsiTheme="minorHAnsi"/>
        </w:rPr>
      </w:pPr>
      <w:r w:rsidRPr="00A23FB4">
        <w:rPr>
          <w:rFonts w:asciiTheme="minorHAnsi" w:hAnsiTheme="minorHAnsi"/>
        </w:rPr>
        <w:t>wytrzymałość zaprawy na ściskanie powinna wynosić nie mniej niż 30 MPa,</w:t>
      </w:r>
    </w:p>
    <w:p w14:paraId="2A602DD6" w14:textId="77777777" w:rsidR="00AE14BA" w:rsidRPr="00A23FB4" w:rsidRDefault="00AE14BA" w:rsidP="00262498">
      <w:pPr>
        <w:numPr>
          <w:ilvl w:val="0"/>
          <w:numId w:val="26"/>
        </w:numPr>
        <w:rPr>
          <w:rFonts w:asciiTheme="minorHAnsi" w:hAnsiTheme="minorHAnsi"/>
        </w:rPr>
      </w:pPr>
      <w:r w:rsidRPr="00A23FB4">
        <w:rPr>
          <w:rFonts w:asciiTheme="minorHAnsi" w:hAnsiTheme="minorHAnsi"/>
        </w:rPr>
        <w:t>przed rozpoczęciem zalewania kostka powinna być oczyszczona i dobrze zwilżona wodą z dodatkiem 1% cementu w stosunku objętościowym,</w:t>
      </w:r>
    </w:p>
    <w:p w14:paraId="46CB439B" w14:textId="77777777" w:rsidR="00AE14BA" w:rsidRPr="00A23FB4" w:rsidRDefault="00AE14BA" w:rsidP="00262498">
      <w:pPr>
        <w:numPr>
          <w:ilvl w:val="0"/>
          <w:numId w:val="26"/>
        </w:numPr>
        <w:ind w:hanging="284"/>
        <w:rPr>
          <w:rFonts w:asciiTheme="minorHAnsi" w:hAnsiTheme="minorHAnsi"/>
        </w:rPr>
      </w:pPr>
      <w:r w:rsidRPr="00A23FB4">
        <w:rPr>
          <w:rFonts w:asciiTheme="minorHAnsi" w:hAnsiTheme="minorHAnsi"/>
        </w:rPr>
        <w:t>głębokość wypełnienia spoin zaprawą cementowo-piaskową powinna wynosić około 5 cm,</w:t>
      </w:r>
    </w:p>
    <w:p w14:paraId="7EED7B7A" w14:textId="77777777" w:rsidR="00AE14BA" w:rsidRPr="00A23FB4" w:rsidRDefault="00AE14BA" w:rsidP="00262498">
      <w:pPr>
        <w:numPr>
          <w:ilvl w:val="0"/>
          <w:numId w:val="26"/>
        </w:numPr>
        <w:ind w:hanging="284"/>
        <w:rPr>
          <w:rFonts w:asciiTheme="minorHAnsi" w:hAnsiTheme="minorHAnsi"/>
        </w:rPr>
      </w:pPr>
      <w:r w:rsidRPr="00A23FB4">
        <w:rPr>
          <w:rFonts w:asciiTheme="minorHAnsi" w:hAnsiTheme="minorHAnsi"/>
        </w:rPr>
        <w:t>zaprawa cementowo-piaskowa powinna całkowicie wypełnić spoiny i tworzyć monolit z kostką.</w:t>
      </w:r>
    </w:p>
    <w:p w14:paraId="77A70648" w14:textId="77777777" w:rsidR="00AE14BA" w:rsidRPr="00A23FB4" w:rsidRDefault="00AE14BA" w:rsidP="00AE14BA">
      <w:pPr>
        <w:pStyle w:val="Nagwek4"/>
        <w:rPr>
          <w:rFonts w:asciiTheme="minorHAnsi" w:hAnsiTheme="minorHAnsi"/>
        </w:rPr>
      </w:pPr>
      <w:r w:rsidRPr="00A23FB4">
        <w:rPr>
          <w:rFonts w:asciiTheme="minorHAnsi" w:hAnsiTheme="minorHAnsi"/>
        </w:rPr>
        <w:t>5.6. Pielęgnacja nawierzchni</w:t>
      </w:r>
    </w:p>
    <w:p w14:paraId="5DA8E7DF" w14:textId="77777777" w:rsidR="00AE14BA" w:rsidRPr="00A23FB4" w:rsidRDefault="00AE14BA" w:rsidP="00AE14BA">
      <w:pPr>
        <w:rPr>
          <w:rFonts w:asciiTheme="minorHAnsi" w:hAnsiTheme="minorHAnsi"/>
        </w:rPr>
      </w:pPr>
      <w:r w:rsidRPr="00A23FB4">
        <w:rPr>
          <w:rFonts w:asciiTheme="minorHAnsi" w:hAnsiTheme="minorHAnsi"/>
        </w:rPr>
        <w:t>Pielęgnacja nawierzchni kostkowej, której spoiny są wypełnione zaprawą cementowo-piaskową polega na polaniu nawierzchni wodą w kilka godzin po zalaniu spoin i utrzymaniu jej w stałej wilgotności przez okres jednej doby. Następnie nawierzchnię należy przykryć piaskiem i utrzymywać w stałej wilgotności przez okres 7 dni. Po upływie od 2 do 3 tygodni - w zależności od warunków atmosferycznych, nawierzchnię należy oczyścić dokładnie z piasku i można oddać do ruchu.</w:t>
      </w:r>
    </w:p>
    <w:p w14:paraId="33D44F9F" w14:textId="77777777" w:rsidR="00AE14BA" w:rsidRPr="00A23FB4" w:rsidRDefault="00AE14BA" w:rsidP="00AE14BA">
      <w:pPr>
        <w:rPr>
          <w:rFonts w:asciiTheme="minorHAnsi" w:hAnsiTheme="minorHAnsi"/>
          <w:b/>
        </w:rPr>
      </w:pPr>
      <w:bookmarkStart w:id="627" w:name="_Toc422115851"/>
      <w:r w:rsidRPr="00A23FB4">
        <w:rPr>
          <w:rFonts w:asciiTheme="minorHAnsi" w:hAnsiTheme="minorHAnsi"/>
          <w:b/>
        </w:rPr>
        <w:t>6. KONTROLA JAKOŚCI ROBÓT</w:t>
      </w:r>
      <w:bookmarkEnd w:id="627"/>
    </w:p>
    <w:p w14:paraId="72FF5908" w14:textId="77777777" w:rsidR="00AE14BA" w:rsidRPr="00A23FB4" w:rsidRDefault="00AE14BA" w:rsidP="00AE14BA">
      <w:pPr>
        <w:pStyle w:val="Nagwek4"/>
        <w:rPr>
          <w:rFonts w:asciiTheme="minorHAnsi" w:hAnsiTheme="minorHAnsi"/>
        </w:rPr>
      </w:pPr>
      <w:r w:rsidRPr="00A23FB4">
        <w:rPr>
          <w:rFonts w:asciiTheme="minorHAnsi" w:hAnsiTheme="minorHAnsi"/>
        </w:rPr>
        <w:t>6.1. Ogólne zasady kontroli jakości robót</w:t>
      </w:r>
    </w:p>
    <w:p w14:paraId="490772AE" w14:textId="582E3DA0" w:rsidR="00AE14BA" w:rsidRPr="00A23FB4" w:rsidRDefault="00AE14BA" w:rsidP="00AE14BA">
      <w:pPr>
        <w:rPr>
          <w:rFonts w:asciiTheme="minorHAnsi" w:hAnsiTheme="minorHAnsi"/>
        </w:rPr>
      </w:pPr>
      <w:r w:rsidRPr="00A23FB4">
        <w:rPr>
          <w:rFonts w:asciiTheme="minorHAnsi" w:hAnsiTheme="minorHAnsi"/>
        </w:rPr>
        <w:t xml:space="preserve">Ogólne zasady kontroli jakości robót podano w </w:t>
      </w:r>
      <w:r w:rsidR="00815EE5">
        <w:rPr>
          <w:rFonts w:asciiTheme="minorHAnsi" w:hAnsiTheme="minorHAnsi"/>
        </w:rPr>
        <w:t>ST</w:t>
      </w:r>
      <w:r w:rsidRPr="00A23FB4">
        <w:rPr>
          <w:rFonts w:asciiTheme="minorHAnsi" w:hAnsiTheme="minorHAnsi"/>
        </w:rPr>
        <w:t>WiORB D-M-00.00.00 „Wymagania ogólne” pkt 6.</w:t>
      </w:r>
    </w:p>
    <w:p w14:paraId="3DC750E8" w14:textId="77777777" w:rsidR="00AE14BA" w:rsidRPr="00A23FB4" w:rsidRDefault="00AE14BA" w:rsidP="00AE14BA">
      <w:pPr>
        <w:pStyle w:val="Nagwek4"/>
        <w:rPr>
          <w:rFonts w:asciiTheme="minorHAnsi" w:hAnsiTheme="minorHAnsi"/>
        </w:rPr>
      </w:pPr>
      <w:r w:rsidRPr="00A23FB4">
        <w:rPr>
          <w:rFonts w:asciiTheme="minorHAnsi" w:hAnsiTheme="minorHAnsi"/>
        </w:rPr>
        <w:t>6.2. Badania przed przystąpieniem do robót</w:t>
      </w:r>
    </w:p>
    <w:p w14:paraId="2277AA00" w14:textId="77777777" w:rsidR="00AE14BA" w:rsidRPr="00A23FB4" w:rsidRDefault="00AE14BA" w:rsidP="00AE14BA">
      <w:pPr>
        <w:rPr>
          <w:rFonts w:asciiTheme="minorHAnsi" w:hAnsiTheme="minorHAnsi"/>
        </w:rPr>
      </w:pPr>
      <w:r w:rsidRPr="00A23FB4">
        <w:rPr>
          <w:rFonts w:asciiTheme="minorHAnsi" w:hAnsiTheme="minorHAnsi"/>
        </w:rPr>
        <w:t>Rodzaj i zakres badań dla kostek kamiennych powinien być zgodny z wymaganiami wg PN-B-11100:1960.</w:t>
      </w:r>
    </w:p>
    <w:p w14:paraId="63C1940B" w14:textId="77777777" w:rsidR="00AE14BA" w:rsidRPr="00A23FB4" w:rsidRDefault="00AE14BA" w:rsidP="00AE14BA">
      <w:pPr>
        <w:rPr>
          <w:rFonts w:asciiTheme="minorHAnsi" w:hAnsiTheme="minorHAnsi"/>
        </w:rPr>
      </w:pPr>
      <w:r w:rsidRPr="00A23FB4">
        <w:rPr>
          <w:rFonts w:asciiTheme="minorHAnsi" w:hAnsiTheme="minorHAnsi"/>
        </w:rPr>
        <w:t>Badanie zwykłe obejmuje sprawdzenie cech zewnętrznych i dopuszczalnych odchyłek.</w:t>
      </w:r>
    </w:p>
    <w:p w14:paraId="1459663B" w14:textId="77777777" w:rsidR="00AE14BA" w:rsidRPr="00A23FB4" w:rsidRDefault="00AE14BA" w:rsidP="00AE14BA">
      <w:pPr>
        <w:rPr>
          <w:rFonts w:asciiTheme="minorHAnsi" w:hAnsiTheme="minorHAnsi"/>
        </w:rPr>
      </w:pPr>
      <w:r w:rsidRPr="00A23FB4">
        <w:rPr>
          <w:rFonts w:asciiTheme="minorHAnsi" w:hAnsiTheme="minorHAnsi"/>
        </w:rPr>
        <w:t>Badanie pełne obejmuje zakres badania zwykłego oraz sprawdzenie cech fizycznych i wytrzymałościowych podanych w tablicy 1.</w:t>
      </w:r>
    </w:p>
    <w:p w14:paraId="44B39F0E" w14:textId="77777777" w:rsidR="00AE14BA" w:rsidRPr="00A23FB4" w:rsidRDefault="00AE14BA" w:rsidP="00AE14BA">
      <w:pPr>
        <w:rPr>
          <w:rFonts w:asciiTheme="minorHAnsi" w:hAnsiTheme="minorHAnsi"/>
        </w:rPr>
      </w:pPr>
      <w:r w:rsidRPr="00A23FB4">
        <w:rPr>
          <w:rFonts w:asciiTheme="minorHAnsi" w:hAnsiTheme="minorHAnsi"/>
        </w:rPr>
        <w:t>W skład partii przeznaczonej do badań powinny wchodzić kostki jednakowego typu, rodzaju klasy i wielkości. Wielkość partii nie powinna przekraczać 500 ton kostki.</w:t>
      </w:r>
    </w:p>
    <w:p w14:paraId="39E9A9B6" w14:textId="77777777" w:rsidR="00AE14BA" w:rsidRPr="00A23FB4" w:rsidRDefault="00AE14BA" w:rsidP="00AE14BA">
      <w:pPr>
        <w:rPr>
          <w:rFonts w:asciiTheme="minorHAnsi" w:hAnsiTheme="minorHAnsi"/>
        </w:rPr>
      </w:pPr>
      <w:r w:rsidRPr="00A23FB4">
        <w:rPr>
          <w:rFonts w:asciiTheme="minorHAnsi" w:hAnsiTheme="minorHAnsi"/>
        </w:rPr>
        <w:t>Z partii przeznaczonej do badań należy pobrać w sposób losowy próbkę składającą się z kostek drogowych w liczbie:</w:t>
      </w:r>
    </w:p>
    <w:p w14:paraId="54208BD9" w14:textId="77777777" w:rsidR="00AE14BA" w:rsidRPr="00A23FB4" w:rsidRDefault="00AE14BA" w:rsidP="00262498">
      <w:pPr>
        <w:numPr>
          <w:ilvl w:val="0"/>
          <w:numId w:val="26"/>
        </w:numPr>
        <w:rPr>
          <w:rFonts w:asciiTheme="minorHAnsi" w:hAnsiTheme="minorHAnsi"/>
        </w:rPr>
      </w:pPr>
      <w:r w:rsidRPr="00A23FB4">
        <w:rPr>
          <w:rFonts w:asciiTheme="minorHAnsi" w:hAnsiTheme="minorHAnsi"/>
        </w:rPr>
        <w:t>do badania zwykłego: 40 sztuk,</w:t>
      </w:r>
    </w:p>
    <w:p w14:paraId="7FA1F0C6" w14:textId="77777777" w:rsidR="00AE14BA" w:rsidRPr="00A23FB4" w:rsidRDefault="00AE14BA" w:rsidP="00262498">
      <w:pPr>
        <w:numPr>
          <w:ilvl w:val="0"/>
          <w:numId w:val="26"/>
        </w:numPr>
        <w:rPr>
          <w:rFonts w:asciiTheme="minorHAnsi" w:hAnsiTheme="minorHAnsi"/>
        </w:rPr>
      </w:pPr>
      <w:r w:rsidRPr="00A23FB4">
        <w:rPr>
          <w:rFonts w:asciiTheme="minorHAnsi" w:hAnsiTheme="minorHAnsi"/>
        </w:rPr>
        <w:t>do badania cech podanych w tablicy 1: 6 sztuk.</w:t>
      </w:r>
    </w:p>
    <w:p w14:paraId="029EE02F" w14:textId="77777777" w:rsidR="00AE14BA" w:rsidRPr="00A23FB4" w:rsidRDefault="00AE14BA" w:rsidP="00AE14BA">
      <w:pPr>
        <w:rPr>
          <w:rFonts w:asciiTheme="minorHAnsi" w:hAnsiTheme="minorHAnsi"/>
        </w:rPr>
      </w:pPr>
      <w:r w:rsidRPr="00A23FB4">
        <w:rPr>
          <w:rFonts w:asciiTheme="minorHAnsi" w:hAnsiTheme="minorHAnsi"/>
        </w:rPr>
        <w:t>Badania zwykłe należy przeprowadzać przy każdym sprawdzaniu zgodności partii z wymaganiami normy, badanie pełne przeprowadza się na żądanie odbiorcy.</w:t>
      </w:r>
    </w:p>
    <w:p w14:paraId="240B0F1E" w14:textId="77777777" w:rsidR="00AE14BA" w:rsidRPr="00A23FB4" w:rsidRDefault="00AE14BA" w:rsidP="00AE14BA">
      <w:pPr>
        <w:rPr>
          <w:rFonts w:asciiTheme="minorHAnsi" w:hAnsiTheme="minorHAnsi"/>
        </w:rPr>
      </w:pPr>
      <w:r w:rsidRPr="00A23FB4">
        <w:rPr>
          <w:rFonts w:asciiTheme="minorHAnsi" w:hAnsiTheme="minorHAnsi"/>
        </w:rPr>
        <w:t>W badaniu zwykłym partię kostki należy uznać za zgodną z wymaganiami normy, jeżeli liczba sztuk niedobrych w zbadanej ilości kostek jest dla poszczególnych sprawdzań równa lub mniejsza od 4.</w:t>
      </w:r>
    </w:p>
    <w:p w14:paraId="574FB389" w14:textId="77777777" w:rsidR="00AE14BA" w:rsidRPr="00A23FB4" w:rsidRDefault="00AE14BA" w:rsidP="00AE14BA">
      <w:pPr>
        <w:rPr>
          <w:rFonts w:asciiTheme="minorHAnsi" w:hAnsiTheme="minorHAnsi"/>
        </w:rPr>
      </w:pPr>
      <w:r w:rsidRPr="00A23FB4">
        <w:rPr>
          <w:rFonts w:asciiTheme="minorHAnsi" w:hAnsiTheme="minorHAnsi"/>
        </w:rPr>
        <w:t>W przypadku gdy liczba kostek niedobrych dla jednego sprawdzenia jest większa od 4, całą partię należy uznać za niezgodną z wymaganiami.</w:t>
      </w:r>
    </w:p>
    <w:p w14:paraId="27A7841C" w14:textId="77777777" w:rsidR="00AE14BA" w:rsidRPr="00A23FB4" w:rsidRDefault="00AE14BA" w:rsidP="00AE14BA">
      <w:pPr>
        <w:rPr>
          <w:rFonts w:asciiTheme="minorHAnsi" w:hAnsiTheme="minorHAnsi"/>
        </w:rPr>
      </w:pPr>
      <w:r w:rsidRPr="00A23FB4">
        <w:rPr>
          <w:rFonts w:asciiTheme="minorHAnsi" w:hAnsiTheme="minorHAnsi"/>
        </w:rPr>
        <w:t>W badaniu pełnym, partię kostki poddaną sprawdzeniu cech podanych w tablicy 1, należy uznać za zgodną z wymaganiami normy, jeżeli wszystkie sprawdzenia dadzą wynik dodatni. Jeżeli chociaż jedno ze sprawdzeń da wynik ujemny, całą partię należy uznać za niezgodną z wymaganiami.</w:t>
      </w:r>
    </w:p>
    <w:p w14:paraId="6083EAE1" w14:textId="77777777" w:rsidR="00AE14BA" w:rsidRPr="00A23FB4" w:rsidRDefault="00AE14BA" w:rsidP="00AE14BA">
      <w:pPr>
        <w:rPr>
          <w:rFonts w:asciiTheme="minorHAnsi" w:hAnsiTheme="minorHAnsi"/>
        </w:rPr>
      </w:pPr>
      <w:r w:rsidRPr="00A23FB4">
        <w:rPr>
          <w:rFonts w:asciiTheme="minorHAnsi" w:hAnsiTheme="minorHAnsi"/>
        </w:rPr>
        <w:t>Badania pozostałych materiałów stosowanych do wykonania nawierzchni z kostek kamiennych, powinny obejmować wszystkie właściwości, które zostały określone w normach podanych dla odpowiednich  materiałów wg pkt od 2.3 do 2.7.</w:t>
      </w:r>
    </w:p>
    <w:p w14:paraId="3FD6A93B" w14:textId="77777777" w:rsidR="00AE14BA" w:rsidRPr="00A23FB4" w:rsidRDefault="00AE14BA" w:rsidP="00AE14BA">
      <w:pPr>
        <w:pStyle w:val="Nagwek4"/>
        <w:rPr>
          <w:rFonts w:asciiTheme="minorHAnsi" w:hAnsiTheme="minorHAnsi"/>
        </w:rPr>
      </w:pPr>
      <w:r w:rsidRPr="00A23FB4">
        <w:rPr>
          <w:rFonts w:asciiTheme="minorHAnsi" w:hAnsiTheme="minorHAnsi"/>
        </w:rPr>
        <w:t>6.3. Badania w czasie robót</w:t>
      </w:r>
    </w:p>
    <w:p w14:paraId="29272110" w14:textId="77777777" w:rsidR="00AE14BA" w:rsidRPr="00A23FB4" w:rsidRDefault="00AE14BA" w:rsidP="00AE14BA">
      <w:pPr>
        <w:rPr>
          <w:rFonts w:asciiTheme="minorHAnsi" w:hAnsiTheme="minorHAnsi"/>
        </w:rPr>
      </w:pPr>
      <w:r w:rsidRPr="00A23FB4">
        <w:rPr>
          <w:rFonts w:asciiTheme="minorHAnsi" w:hAnsiTheme="minorHAnsi"/>
          <w:b/>
        </w:rPr>
        <w:t xml:space="preserve">6.3.1. </w:t>
      </w:r>
      <w:r w:rsidRPr="00A23FB4">
        <w:rPr>
          <w:rFonts w:asciiTheme="minorHAnsi" w:hAnsiTheme="minorHAnsi"/>
        </w:rPr>
        <w:t>Sprawdzenie podsypki</w:t>
      </w:r>
    </w:p>
    <w:p w14:paraId="5D2C3A7A" w14:textId="77777777" w:rsidR="00AE14BA" w:rsidRPr="00A23FB4" w:rsidRDefault="00AE14BA" w:rsidP="00AE14BA">
      <w:pPr>
        <w:rPr>
          <w:rFonts w:asciiTheme="minorHAnsi" w:hAnsiTheme="minorHAnsi"/>
        </w:rPr>
      </w:pPr>
      <w:r w:rsidRPr="00A23FB4">
        <w:rPr>
          <w:rFonts w:asciiTheme="minorHAnsi" w:hAnsiTheme="minorHAnsi"/>
        </w:rPr>
        <w:t>Sprawdzenie podsypki polega na stwierdzeniu jej zgodności z dokumentacją projektową oraz z wymaganiami określonymi w p. 5.4.</w:t>
      </w:r>
    </w:p>
    <w:p w14:paraId="04CC4818" w14:textId="77777777" w:rsidR="00AE14BA" w:rsidRPr="00A23FB4" w:rsidRDefault="00AE14BA" w:rsidP="00AE14BA">
      <w:pPr>
        <w:rPr>
          <w:rFonts w:asciiTheme="minorHAnsi" w:hAnsiTheme="minorHAnsi"/>
        </w:rPr>
      </w:pPr>
      <w:r w:rsidRPr="00A23FB4">
        <w:rPr>
          <w:rFonts w:asciiTheme="minorHAnsi" w:hAnsiTheme="minorHAnsi"/>
          <w:b/>
        </w:rPr>
        <w:t xml:space="preserve">6.3.2. </w:t>
      </w:r>
      <w:r w:rsidRPr="00A23FB4">
        <w:rPr>
          <w:rFonts w:asciiTheme="minorHAnsi" w:hAnsiTheme="minorHAnsi"/>
        </w:rPr>
        <w:t>Badanie prawidłowości układania kostki</w:t>
      </w:r>
    </w:p>
    <w:p w14:paraId="2BF6782B" w14:textId="77777777" w:rsidR="00AE14BA" w:rsidRPr="00A23FB4" w:rsidRDefault="00AE14BA" w:rsidP="00AE14BA">
      <w:pPr>
        <w:rPr>
          <w:rFonts w:asciiTheme="minorHAnsi" w:hAnsiTheme="minorHAnsi"/>
        </w:rPr>
      </w:pPr>
      <w:r w:rsidRPr="00A23FB4">
        <w:rPr>
          <w:rFonts w:asciiTheme="minorHAnsi" w:hAnsiTheme="minorHAnsi"/>
        </w:rPr>
        <w:t>Badanie prawidłowości układania kostki polega na:</w:t>
      </w:r>
    </w:p>
    <w:p w14:paraId="296CCCFC" w14:textId="77777777" w:rsidR="00AE14BA" w:rsidRPr="00A23FB4" w:rsidRDefault="00AE14BA" w:rsidP="00262498">
      <w:pPr>
        <w:numPr>
          <w:ilvl w:val="0"/>
          <w:numId w:val="26"/>
        </w:numPr>
        <w:rPr>
          <w:rFonts w:asciiTheme="minorHAnsi" w:hAnsiTheme="minorHAnsi"/>
        </w:rPr>
      </w:pPr>
      <w:r w:rsidRPr="00A23FB4">
        <w:rPr>
          <w:rFonts w:asciiTheme="minorHAnsi" w:hAnsiTheme="minorHAnsi"/>
        </w:rPr>
        <w:t>zmierzeniu szerokości spoin oraz powiązania spoin i sprawdzeniu zgodności z p. 5.5.6,</w:t>
      </w:r>
    </w:p>
    <w:p w14:paraId="4E009E56" w14:textId="77777777" w:rsidR="00AE14BA" w:rsidRPr="00A23FB4" w:rsidRDefault="00AE14BA" w:rsidP="00262498">
      <w:pPr>
        <w:numPr>
          <w:ilvl w:val="0"/>
          <w:numId w:val="26"/>
        </w:numPr>
        <w:rPr>
          <w:rFonts w:asciiTheme="minorHAnsi" w:hAnsiTheme="minorHAnsi"/>
        </w:rPr>
      </w:pPr>
      <w:r w:rsidRPr="00A23FB4">
        <w:rPr>
          <w:rFonts w:asciiTheme="minorHAnsi" w:hAnsiTheme="minorHAnsi"/>
        </w:rPr>
        <w:t>zbadaniu rodzaju i gatunku użytej kostki, zgodnie z wymogami wg p. od 2.2.2 do 2.2.5,</w:t>
      </w:r>
    </w:p>
    <w:p w14:paraId="08C72B54" w14:textId="77777777" w:rsidR="00AE14BA" w:rsidRPr="00A23FB4" w:rsidRDefault="00AE14BA" w:rsidP="00262498">
      <w:pPr>
        <w:numPr>
          <w:ilvl w:val="0"/>
          <w:numId w:val="26"/>
        </w:numPr>
        <w:rPr>
          <w:rFonts w:asciiTheme="minorHAnsi" w:hAnsiTheme="minorHAnsi"/>
        </w:rPr>
      </w:pPr>
      <w:r w:rsidRPr="00A23FB4">
        <w:rPr>
          <w:rFonts w:asciiTheme="minorHAnsi" w:hAnsiTheme="minorHAnsi"/>
        </w:rPr>
        <w:t>sprawdzeniu prawidłowości wykonania szczelin dylatacyjnych zgodnie z p. 5.5.3.</w:t>
      </w:r>
    </w:p>
    <w:p w14:paraId="5BD5E013" w14:textId="77777777" w:rsidR="00AE14BA" w:rsidRPr="00A23FB4" w:rsidRDefault="00AE14BA" w:rsidP="00AE14BA">
      <w:pPr>
        <w:rPr>
          <w:rFonts w:asciiTheme="minorHAnsi" w:hAnsiTheme="minorHAnsi"/>
        </w:rPr>
      </w:pPr>
      <w:r w:rsidRPr="00A23FB4">
        <w:rPr>
          <w:rFonts w:asciiTheme="minorHAnsi" w:hAnsiTheme="minorHAnsi"/>
        </w:rPr>
        <w:t>Sprawdzenie wiązania kostki wykonuje się wyrywkowo w kilku miejscach przez oględziny nawierzchni i określenie czy wiązanie odpowiada wymaganiom wg p. 5.5.</w:t>
      </w:r>
    </w:p>
    <w:p w14:paraId="37021956" w14:textId="77777777" w:rsidR="00AE14BA" w:rsidRPr="00A23FB4" w:rsidRDefault="00AE14BA" w:rsidP="00AE14BA">
      <w:pPr>
        <w:rPr>
          <w:rFonts w:asciiTheme="minorHAnsi" w:hAnsiTheme="minorHAnsi"/>
        </w:rPr>
      </w:pPr>
      <w:r w:rsidRPr="00A23FB4">
        <w:rPr>
          <w:rFonts w:asciiTheme="minorHAnsi" w:hAnsiTheme="minorHAnsi"/>
        </w:rPr>
        <w:t>Ubicie kostki sprawdza się przez swobodne jednokrotne opuszczenie z wysokości 15 cm ubijaka o masie 25 kg na poszczególne kostki. Pod wpływem takiego uderzenia osiadanie kostek nie powinno być dostrzegane.</w:t>
      </w:r>
    </w:p>
    <w:p w14:paraId="6692C950" w14:textId="77777777" w:rsidR="00AE14BA" w:rsidRPr="00A23FB4" w:rsidRDefault="00AE14BA" w:rsidP="00AE14BA">
      <w:pPr>
        <w:rPr>
          <w:rFonts w:asciiTheme="minorHAnsi" w:hAnsiTheme="minorHAnsi"/>
        </w:rPr>
      </w:pPr>
      <w:r w:rsidRPr="00A23FB4">
        <w:rPr>
          <w:rFonts w:asciiTheme="minorHAnsi" w:hAnsiTheme="minorHAnsi"/>
          <w:b/>
        </w:rPr>
        <w:t xml:space="preserve">6.3.3. </w:t>
      </w:r>
      <w:r w:rsidRPr="00A23FB4">
        <w:rPr>
          <w:rFonts w:asciiTheme="minorHAnsi" w:hAnsiTheme="minorHAnsi"/>
        </w:rPr>
        <w:t>Sprawdzenie wypełnienia spoin</w:t>
      </w:r>
    </w:p>
    <w:p w14:paraId="2841F06F" w14:textId="77777777" w:rsidR="00AE14BA" w:rsidRPr="00A23FB4" w:rsidRDefault="00AE14BA" w:rsidP="00AE14BA">
      <w:pPr>
        <w:rPr>
          <w:rFonts w:asciiTheme="minorHAnsi" w:hAnsiTheme="minorHAnsi"/>
        </w:rPr>
      </w:pPr>
      <w:r w:rsidRPr="00A23FB4">
        <w:rPr>
          <w:rFonts w:asciiTheme="minorHAnsi" w:hAnsiTheme="minorHAnsi"/>
        </w:rPr>
        <w:t>Badanie prawidłowości wypełnienia spoin polega na sprawdzeniu zgodności z wymaganiami zawartymi w p. 5.5.6.</w:t>
      </w:r>
    </w:p>
    <w:p w14:paraId="04B19B29" w14:textId="77777777" w:rsidR="00AE14BA" w:rsidRPr="00A23FB4" w:rsidRDefault="00AE14BA" w:rsidP="00AE14BA">
      <w:pPr>
        <w:rPr>
          <w:rFonts w:asciiTheme="minorHAnsi" w:hAnsiTheme="minorHAnsi"/>
        </w:rPr>
      </w:pPr>
      <w:r w:rsidRPr="00A23FB4">
        <w:rPr>
          <w:rFonts w:asciiTheme="minorHAnsi" w:hAnsiTheme="minorHAnsi"/>
        </w:rPr>
        <w:t>Sprawdzenie wypełnienia spoin wykonuje się co najmniej w pięciu dowolnie obranych miejscach na każdym kilometrze przez wykruszenie zaprawy na długości około 10 cm i zmierzenie głębokości wypełnienia spoiny zaprawą, a przy zaprawie cementowo-piaskowej i masie zalewowej - również przez sprawdzenie przyczepności zaprawy lub masy zalewowej do kostki.</w:t>
      </w:r>
    </w:p>
    <w:p w14:paraId="2C9A164A" w14:textId="77777777" w:rsidR="00AE14BA" w:rsidRPr="00A23FB4" w:rsidRDefault="00AE14BA" w:rsidP="00AE14BA">
      <w:pPr>
        <w:pStyle w:val="Nagwek4"/>
        <w:rPr>
          <w:rFonts w:asciiTheme="minorHAnsi" w:hAnsiTheme="minorHAnsi"/>
        </w:rPr>
      </w:pPr>
      <w:r w:rsidRPr="00A23FB4">
        <w:rPr>
          <w:rFonts w:asciiTheme="minorHAnsi" w:hAnsiTheme="minorHAnsi"/>
        </w:rPr>
        <w:t>6.4. Sprawdzenie cech geometrycznych nawierzchni</w:t>
      </w:r>
    </w:p>
    <w:p w14:paraId="2E55D6AC" w14:textId="77777777" w:rsidR="00AE14BA" w:rsidRPr="00A23FB4" w:rsidRDefault="00AE14BA" w:rsidP="00AE14BA">
      <w:pPr>
        <w:rPr>
          <w:rFonts w:asciiTheme="minorHAnsi" w:hAnsiTheme="minorHAnsi"/>
        </w:rPr>
      </w:pPr>
      <w:r w:rsidRPr="00A23FB4">
        <w:rPr>
          <w:rFonts w:asciiTheme="minorHAnsi" w:hAnsiTheme="minorHAnsi"/>
          <w:b/>
        </w:rPr>
        <w:t xml:space="preserve">6.4.1. </w:t>
      </w:r>
      <w:r w:rsidRPr="00A23FB4">
        <w:rPr>
          <w:rFonts w:asciiTheme="minorHAnsi" w:hAnsiTheme="minorHAnsi"/>
        </w:rPr>
        <w:t>Równość</w:t>
      </w:r>
    </w:p>
    <w:p w14:paraId="2E194A65" w14:textId="77777777" w:rsidR="00AE14BA" w:rsidRPr="00A23FB4" w:rsidRDefault="00AE14BA" w:rsidP="00AE14BA">
      <w:pPr>
        <w:rPr>
          <w:rFonts w:asciiTheme="minorHAnsi" w:hAnsiTheme="minorHAnsi"/>
        </w:rPr>
      </w:pPr>
      <w:r w:rsidRPr="00A23FB4">
        <w:rPr>
          <w:rFonts w:asciiTheme="minorHAnsi" w:hAnsiTheme="minorHAnsi"/>
        </w:rPr>
        <w:t>Nierówności podłużne nawierzchni należy mierzyć 4-metrową łatą lub planografem, zgodnie z normą BN-68/8931-04 .</w:t>
      </w:r>
    </w:p>
    <w:p w14:paraId="1B47CA3A" w14:textId="77777777" w:rsidR="00AE14BA" w:rsidRPr="00A23FB4" w:rsidRDefault="00AE14BA" w:rsidP="00AE14BA">
      <w:pPr>
        <w:rPr>
          <w:rFonts w:asciiTheme="minorHAnsi" w:hAnsiTheme="minorHAnsi"/>
        </w:rPr>
      </w:pPr>
      <w:r w:rsidRPr="00A23FB4">
        <w:rPr>
          <w:rFonts w:asciiTheme="minorHAnsi" w:hAnsiTheme="minorHAnsi"/>
        </w:rPr>
        <w:t>Nierówności podłużne nawierzchni nie powinny przekraczać 1,0 cm.</w:t>
      </w:r>
    </w:p>
    <w:p w14:paraId="2C25DC20" w14:textId="77777777" w:rsidR="00AE14BA" w:rsidRPr="00A23FB4" w:rsidRDefault="00AE14BA" w:rsidP="00AE14BA">
      <w:pPr>
        <w:rPr>
          <w:rFonts w:asciiTheme="minorHAnsi" w:hAnsiTheme="minorHAnsi"/>
        </w:rPr>
      </w:pPr>
      <w:r w:rsidRPr="00A23FB4">
        <w:rPr>
          <w:rFonts w:asciiTheme="minorHAnsi" w:hAnsiTheme="minorHAnsi"/>
          <w:b/>
        </w:rPr>
        <w:t xml:space="preserve">6.4.2. </w:t>
      </w:r>
      <w:r w:rsidRPr="00A23FB4">
        <w:rPr>
          <w:rFonts w:asciiTheme="minorHAnsi" w:hAnsiTheme="minorHAnsi"/>
        </w:rPr>
        <w:t>Spadki poprzeczne</w:t>
      </w:r>
    </w:p>
    <w:p w14:paraId="437A9549" w14:textId="77777777" w:rsidR="00AE14BA" w:rsidRPr="00A23FB4" w:rsidRDefault="00AE14BA" w:rsidP="00AE14BA">
      <w:pPr>
        <w:rPr>
          <w:rFonts w:asciiTheme="minorHAnsi" w:hAnsiTheme="minorHAnsi"/>
        </w:rPr>
      </w:pPr>
      <w:r w:rsidRPr="00A23FB4">
        <w:rPr>
          <w:rFonts w:asciiTheme="minorHAnsi" w:hAnsiTheme="minorHAnsi"/>
        </w:rPr>
        <w:t xml:space="preserve">Spadki poprzeczne nawierzchni powinny być zgodne z dokumentacją projektową z tolerancją </w:t>
      </w:r>
      <w:r w:rsidRPr="00A23FB4">
        <w:rPr>
          <w:rFonts w:asciiTheme="minorHAnsi" w:hAnsiTheme="minorHAnsi"/>
        </w:rPr>
        <w:sym w:font="Symbol" w:char="F0B1"/>
      </w:r>
      <w:r w:rsidRPr="00A23FB4">
        <w:rPr>
          <w:rFonts w:asciiTheme="minorHAnsi" w:hAnsiTheme="minorHAnsi"/>
        </w:rPr>
        <w:t xml:space="preserve"> 0,5%.</w:t>
      </w:r>
    </w:p>
    <w:p w14:paraId="50BDED4E" w14:textId="77777777" w:rsidR="00AE14BA" w:rsidRPr="00A23FB4" w:rsidRDefault="00AE14BA" w:rsidP="00AE14BA">
      <w:pPr>
        <w:rPr>
          <w:rFonts w:asciiTheme="minorHAnsi" w:hAnsiTheme="minorHAnsi"/>
        </w:rPr>
      </w:pPr>
      <w:r w:rsidRPr="00A23FB4">
        <w:rPr>
          <w:rFonts w:asciiTheme="minorHAnsi" w:hAnsiTheme="minorHAnsi"/>
          <w:b/>
        </w:rPr>
        <w:t xml:space="preserve">6.4.3. </w:t>
      </w:r>
      <w:r w:rsidRPr="00A23FB4">
        <w:rPr>
          <w:rFonts w:asciiTheme="minorHAnsi" w:hAnsiTheme="minorHAnsi"/>
        </w:rPr>
        <w:t>Rzędne wysokościowe</w:t>
      </w:r>
    </w:p>
    <w:p w14:paraId="2145B6BC" w14:textId="77777777" w:rsidR="00AE14BA" w:rsidRPr="00A23FB4" w:rsidRDefault="00AE14BA" w:rsidP="00AE14BA">
      <w:pPr>
        <w:rPr>
          <w:rFonts w:asciiTheme="minorHAnsi" w:hAnsiTheme="minorHAnsi"/>
        </w:rPr>
      </w:pPr>
      <w:r w:rsidRPr="00A23FB4">
        <w:rPr>
          <w:rFonts w:asciiTheme="minorHAnsi" w:hAnsiTheme="minorHAnsi"/>
        </w:rPr>
        <w:t>Różnice pomiędzy rzędnymi wykonanej nawierzchni i rzędnymi projektowanymi nie powinny przekraczać +1 cm i -2 cm.</w:t>
      </w:r>
    </w:p>
    <w:p w14:paraId="0A800545" w14:textId="77777777" w:rsidR="00AE14BA" w:rsidRPr="00A23FB4" w:rsidRDefault="00AE14BA" w:rsidP="00AE14BA">
      <w:pPr>
        <w:rPr>
          <w:rFonts w:asciiTheme="minorHAnsi" w:hAnsiTheme="minorHAnsi"/>
        </w:rPr>
      </w:pPr>
      <w:r w:rsidRPr="00A23FB4">
        <w:rPr>
          <w:rFonts w:asciiTheme="minorHAnsi" w:hAnsiTheme="minorHAnsi"/>
          <w:b/>
        </w:rPr>
        <w:t xml:space="preserve">6.4.4. </w:t>
      </w:r>
      <w:r w:rsidRPr="00A23FB4">
        <w:rPr>
          <w:rFonts w:asciiTheme="minorHAnsi" w:hAnsiTheme="minorHAnsi"/>
        </w:rPr>
        <w:t>Ukształtowanie osi</w:t>
      </w:r>
    </w:p>
    <w:p w14:paraId="6C56D9AB" w14:textId="77777777" w:rsidR="00AE14BA" w:rsidRPr="00A23FB4" w:rsidRDefault="00AE14BA" w:rsidP="00AE14BA">
      <w:pPr>
        <w:rPr>
          <w:rFonts w:asciiTheme="minorHAnsi" w:hAnsiTheme="minorHAnsi"/>
        </w:rPr>
      </w:pPr>
      <w:r w:rsidRPr="00A23FB4">
        <w:rPr>
          <w:rFonts w:asciiTheme="minorHAnsi" w:hAnsiTheme="minorHAnsi"/>
        </w:rPr>
        <w:t xml:space="preserve">Oś nawierzchni w planie nie może być przesunięta w stosunku do osi projektowanej o więcej niż </w:t>
      </w:r>
      <w:r w:rsidRPr="00A23FB4">
        <w:rPr>
          <w:rFonts w:asciiTheme="minorHAnsi" w:hAnsiTheme="minorHAnsi"/>
        </w:rPr>
        <w:sym w:font="Symbol" w:char="F0B1"/>
      </w:r>
      <w:r w:rsidRPr="00A23FB4">
        <w:rPr>
          <w:rFonts w:asciiTheme="minorHAnsi" w:hAnsiTheme="minorHAnsi"/>
        </w:rPr>
        <w:t xml:space="preserve"> 5 cm.</w:t>
      </w:r>
    </w:p>
    <w:p w14:paraId="5AE95866" w14:textId="77777777" w:rsidR="00AE14BA" w:rsidRPr="00A23FB4" w:rsidRDefault="00AE14BA" w:rsidP="00AE14BA">
      <w:pPr>
        <w:rPr>
          <w:rFonts w:asciiTheme="minorHAnsi" w:hAnsiTheme="minorHAnsi"/>
        </w:rPr>
      </w:pPr>
      <w:r w:rsidRPr="00A23FB4">
        <w:rPr>
          <w:rFonts w:asciiTheme="minorHAnsi" w:hAnsiTheme="minorHAnsi"/>
          <w:b/>
        </w:rPr>
        <w:t xml:space="preserve">6.4.5. </w:t>
      </w:r>
      <w:r w:rsidRPr="00A23FB4">
        <w:rPr>
          <w:rFonts w:asciiTheme="minorHAnsi" w:hAnsiTheme="minorHAnsi"/>
        </w:rPr>
        <w:t>Szerokość nawierzchni</w:t>
      </w:r>
    </w:p>
    <w:p w14:paraId="44F134D2" w14:textId="77777777" w:rsidR="00AE14BA" w:rsidRPr="00A23FB4" w:rsidRDefault="00AE14BA" w:rsidP="00AE14BA">
      <w:pPr>
        <w:rPr>
          <w:rFonts w:asciiTheme="minorHAnsi" w:hAnsiTheme="minorHAnsi"/>
        </w:rPr>
      </w:pPr>
      <w:r w:rsidRPr="00A23FB4">
        <w:rPr>
          <w:rFonts w:asciiTheme="minorHAnsi" w:hAnsiTheme="minorHAnsi"/>
        </w:rPr>
        <w:t xml:space="preserve">Szerokość nawierzchni nie może różnić się od szerokości projektowanej o więcej niż </w:t>
      </w:r>
      <w:r w:rsidRPr="00A23FB4">
        <w:rPr>
          <w:rFonts w:asciiTheme="minorHAnsi" w:hAnsiTheme="minorHAnsi"/>
        </w:rPr>
        <w:sym w:font="Symbol" w:char="F0B1"/>
      </w:r>
      <w:r w:rsidRPr="00A23FB4">
        <w:rPr>
          <w:rFonts w:asciiTheme="minorHAnsi" w:hAnsiTheme="minorHAnsi"/>
        </w:rPr>
        <w:t xml:space="preserve"> 5 cm.</w:t>
      </w:r>
    </w:p>
    <w:p w14:paraId="7484281D" w14:textId="77777777" w:rsidR="00AE14BA" w:rsidRPr="00A23FB4" w:rsidRDefault="00AE14BA" w:rsidP="00AE14BA">
      <w:pPr>
        <w:rPr>
          <w:rFonts w:asciiTheme="minorHAnsi" w:hAnsiTheme="minorHAnsi"/>
        </w:rPr>
      </w:pPr>
      <w:r w:rsidRPr="00A23FB4">
        <w:rPr>
          <w:rFonts w:asciiTheme="minorHAnsi" w:hAnsiTheme="minorHAnsi"/>
          <w:b/>
        </w:rPr>
        <w:t xml:space="preserve">6.4.6. </w:t>
      </w:r>
      <w:r w:rsidRPr="00A23FB4">
        <w:rPr>
          <w:rFonts w:asciiTheme="minorHAnsi" w:hAnsiTheme="minorHAnsi"/>
        </w:rPr>
        <w:t>Grubość podsypki</w:t>
      </w:r>
    </w:p>
    <w:p w14:paraId="0D03D9D9" w14:textId="77777777" w:rsidR="00AE14BA" w:rsidRPr="00A23FB4" w:rsidRDefault="00AE14BA" w:rsidP="00AE14BA">
      <w:pPr>
        <w:rPr>
          <w:rFonts w:asciiTheme="minorHAnsi" w:hAnsiTheme="minorHAnsi"/>
        </w:rPr>
      </w:pPr>
      <w:r w:rsidRPr="00A23FB4">
        <w:rPr>
          <w:rFonts w:asciiTheme="minorHAnsi" w:hAnsiTheme="minorHAnsi"/>
        </w:rPr>
        <w:t xml:space="preserve">Dopuszczalne odchyłki od projektowanej grubości podsypki nie powinny przekraczać </w:t>
      </w:r>
      <w:r w:rsidRPr="00A23FB4">
        <w:rPr>
          <w:rFonts w:asciiTheme="minorHAnsi" w:hAnsiTheme="minorHAnsi"/>
        </w:rPr>
        <w:sym w:font="Symbol" w:char="F0B1"/>
      </w:r>
      <w:r w:rsidRPr="00A23FB4">
        <w:rPr>
          <w:rFonts w:asciiTheme="minorHAnsi" w:hAnsiTheme="minorHAnsi"/>
        </w:rPr>
        <w:t xml:space="preserve"> 1,0 cm.</w:t>
      </w:r>
    </w:p>
    <w:p w14:paraId="67C9104E" w14:textId="77777777" w:rsidR="00AE14BA" w:rsidRPr="00A23FB4" w:rsidRDefault="00AE14BA" w:rsidP="00AE14BA">
      <w:pPr>
        <w:rPr>
          <w:rFonts w:asciiTheme="minorHAnsi" w:hAnsiTheme="minorHAnsi"/>
        </w:rPr>
      </w:pPr>
      <w:r w:rsidRPr="00A23FB4">
        <w:rPr>
          <w:rFonts w:asciiTheme="minorHAnsi" w:hAnsiTheme="minorHAnsi"/>
          <w:b/>
        </w:rPr>
        <w:t xml:space="preserve">6.4.7. </w:t>
      </w:r>
      <w:r w:rsidRPr="00A23FB4">
        <w:rPr>
          <w:rFonts w:asciiTheme="minorHAnsi" w:hAnsiTheme="minorHAnsi"/>
        </w:rPr>
        <w:t>Częstotliwość oraz zakres badań i pomiarów</w:t>
      </w:r>
    </w:p>
    <w:p w14:paraId="27835C33" w14:textId="77777777" w:rsidR="00AE14BA" w:rsidRPr="00A23FB4" w:rsidRDefault="00AE14BA" w:rsidP="00AE14BA">
      <w:pPr>
        <w:rPr>
          <w:rFonts w:asciiTheme="minorHAnsi" w:hAnsiTheme="minorHAnsi"/>
        </w:rPr>
      </w:pPr>
      <w:r w:rsidRPr="00A23FB4">
        <w:rPr>
          <w:rFonts w:asciiTheme="minorHAnsi" w:hAnsiTheme="minorHAnsi"/>
        </w:rPr>
        <w:t>Częstotliwość oraz zakres badań i pomiarów wykonanej nawierzchni z kostek kamiennych przedstawiono w tablicy 5.</w:t>
      </w:r>
    </w:p>
    <w:p w14:paraId="7574DE86" w14:textId="77777777" w:rsidR="00AE14BA" w:rsidRPr="00A23FB4" w:rsidRDefault="00AE14BA" w:rsidP="00AE14BA">
      <w:pPr>
        <w:rPr>
          <w:rFonts w:asciiTheme="minorHAnsi" w:hAnsiTheme="minorHAnsi"/>
        </w:rPr>
      </w:pPr>
      <w:r w:rsidRPr="00A23FB4">
        <w:rPr>
          <w:rFonts w:asciiTheme="minorHAnsi" w:hAnsiTheme="minorHAnsi"/>
        </w:rPr>
        <w:t>Tablica 5. Częstotliwość i zakres badań cech geometrycznych nawierzchni</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96"/>
        <w:gridCol w:w="2551"/>
        <w:gridCol w:w="5387"/>
      </w:tblGrid>
      <w:tr w:rsidR="00AE14BA" w:rsidRPr="00A23FB4" w14:paraId="717CC1CE" w14:textId="77777777" w:rsidTr="00502D10">
        <w:tc>
          <w:tcPr>
            <w:tcW w:w="496" w:type="dxa"/>
            <w:tcBorders>
              <w:bottom w:val="double" w:sz="6" w:space="0" w:color="auto"/>
            </w:tcBorders>
          </w:tcPr>
          <w:p w14:paraId="1F89BE42" w14:textId="77777777" w:rsidR="00AE14BA" w:rsidRPr="00A23FB4" w:rsidRDefault="00AE14BA" w:rsidP="00502D10">
            <w:pPr>
              <w:rPr>
                <w:rFonts w:asciiTheme="minorHAnsi" w:hAnsiTheme="minorHAnsi"/>
              </w:rPr>
            </w:pPr>
            <w:r w:rsidRPr="00A23FB4">
              <w:rPr>
                <w:rFonts w:asciiTheme="minorHAnsi" w:hAnsiTheme="minorHAnsi"/>
              </w:rPr>
              <w:t>Lp.</w:t>
            </w:r>
          </w:p>
        </w:tc>
        <w:tc>
          <w:tcPr>
            <w:tcW w:w="2551" w:type="dxa"/>
            <w:tcBorders>
              <w:bottom w:val="double" w:sz="6" w:space="0" w:color="auto"/>
            </w:tcBorders>
          </w:tcPr>
          <w:p w14:paraId="02549BF5" w14:textId="77777777" w:rsidR="00AE14BA" w:rsidRPr="00A23FB4" w:rsidRDefault="00AE14BA" w:rsidP="00502D10">
            <w:pPr>
              <w:rPr>
                <w:rFonts w:asciiTheme="minorHAnsi" w:hAnsiTheme="minorHAnsi"/>
              </w:rPr>
            </w:pPr>
            <w:r w:rsidRPr="00A23FB4">
              <w:rPr>
                <w:rFonts w:asciiTheme="minorHAnsi" w:hAnsiTheme="minorHAnsi"/>
              </w:rPr>
              <w:t>Wyszczególnienie badań            i pomiarów</w:t>
            </w:r>
          </w:p>
        </w:tc>
        <w:tc>
          <w:tcPr>
            <w:tcW w:w="5387" w:type="dxa"/>
            <w:tcBorders>
              <w:bottom w:val="double" w:sz="6" w:space="0" w:color="auto"/>
            </w:tcBorders>
          </w:tcPr>
          <w:p w14:paraId="02EFBF67" w14:textId="77777777" w:rsidR="00AE14BA" w:rsidRPr="00A23FB4" w:rsidRDefault="00AE14BA" w:rsidP="00502D10">
            <w:pPr>
              <w:rPr>
                <w:rFonts w:asciiTheme="minorHAnsi" w:hAnsiTheme="minorHAnsi"/>
              </w:rPr>
            </w:pPr>
            <w:r w:rsidRPr="00A23FB4">
              <w:rPr>
                <w:rFonts w:asciiTheme="minorHAnsi" w:hAnsiTheme="minorHAnsi"/>
              </w:rPr>
              <w:t>Minimalna częstotliwość</w:t>
            </w:r>
          </w:p>
          <w:p w14:paraId="428E8B24" w14:textId="77777777" w:rsidR="00AE14BA" w:rsidRPr="00A23FB4" w:rsidRDefault="00AE14BA" w:rsidP="00502D10">
            <w:pPr>
              <w:rPr>
                <w:rFonts w:asciiTheme="minorHAnsi" w:hAnsiTheme="minorHAnsi"/>
              </w:rPr>
            </w:pPr>
            <w:r w:rsidRPr="00A23FB4">
              <w:rPr>
                <w:rFonts w:asciiTheme="minorHAnsi" w:hAnsiTheme="minorHAnsi"/>
              </w:rPr>
              <w:t>badań i pomiarów</w:t>
            </w:r>
          </w:p>
        </w:tc>
      </w:tr>
      <w:tr w:rsidR="00AE14BA" w:rsidRPr="00A23FB4" w14:paraId="22184B3F" w14:textId="77777777" w:rsidTr="00502D10">
        <w:tc>
          <w:tcPr>
            <w:tcW w:w="496" w:type="dxa"/>
            <w:tcBorders>
              <w:top w:val="nil"/>
            </w:tcBorders>
          </w:tcPr>
          <w:p w14:paraId="5A23FD50" w14:textId="77777777" w:rsidR="00AE14BA" w:rsidRPr="00A23FB4" w:rsidRDefault="00AE14BA" w:rsidP="00502D10">
            <w:pPr>
              <w:rPr>
                <w:rFonts w:asciiTheme="minorHAnsi" w:hAnsiTheme="minorHAnsi"/>
              </w:rPr>
            </w:pPr>
            <w:r w:rsidRPr="00A23FB4">
              <w:rPr>
                <w:rFonts w:asciiTheme="minorHAnsi" w:hAnsiTheme="minorHAnsi"/>
              </w:rPr>
              <w:t>1</w:t>
            </w:r>
          </w:p>
        </w:tc>
        <w:tc>
          <w:tcPr>
            <w:tcW w:w="2551" w:type="dxa"/>
            <w:tcBorders>
              <w:top w:val="nil"/>
            </w:tcBorders>
          </w:tcPr>
          <w:p w14:paraId="31B9BB1B" w14:textId="77777777" w:rsidR="00AE14BA" w:rsidRPr="00A23FB4" w:rsidRDefault="00AE14BA" w:rsidP="00502D10">
            <w:pPr>
              <w:rPr>
                <w:rFonts w:asciiTheme="minorHAnsi" w:hAnsiTheme="minorHAnsi"/>
              </w:rPr>
            </w:pPr>
            <w:r w:rsidRPr="00A23FB4">
              <w:rPr>
                <w:rFonts w:asciiTheme="minorHAnsi" w:hAnsiTheme="minorHAnsi"/>
              </w:rPr>
              <w:t>Spadki poprzeczne</w:t>
            </w:r>
          </w:p>
        </w:tc>
        <w:tc>
          <w:tcPr>
            <w:tcW w:w="5387" w:type="dxa"/>
            <w:tcBorders>
              <w:top w:val="nil"/>
            </w:tcBorders>
          </w:tcPr>
          <w:p w14:paraId="3D4BDADE" w14:textId="77777777" w:rsidR="00AE14BA" w:rsidRPr="00A23FB4" w:rsidRDefault="00AE14BA" w:rsidP="00502D10">
            <w:pPr>
              <w:rPr>
                <w:rFonts w:asciiTheme="minorHAnsi" w:hAnsiTheme="minorHAnsi"/>
              </w:rPr>
            </w:pPr>
            <w:r w:rsidRPr="00A23FB4">
              <w:rPr>
                <w:rFonts w:asciiTheme="minorHAnsi" w:hAnsiTheme="minorHAnsi"/>
              </w:rPr>
              <w:t>10 razy na 1 km i w charakterystycznych punktach niwelety</w:t>
            </w:r>
          </w:p>
        </w:tc>
      </w:tr>
      <w:tr w:rsidR="00AE14BA" w:rsidRPr="00A23FB4" w14:paraId="74B56BEA" w14:textId="77777777" w:rsidTr="00502D10">
        <w:tc>
          <w:tcPr>
            <w:tcW w:w="496" w:type="dxa"/>
          </w:tcPr>
          <w:p w14:paraId="190B6623" w14:textId="77777777" w:rsidR="00AE14BA" w:rsidRPr="00A23FB4" w:rsidRDefault="00AE14BA" w:rsidP="00502D10">
            <w:pPr>
              <w:rPr>
                <w:rFonts w:asciiTheme="minorHAnsi" w:hAnsiTheme="minorHAnsi"/>
              </w:rPr>
            </w:pPr>
            <w:r w:rsidRPr="00A23FB4">
              <w:rPr>
                <w:rFonts w:asciiTheme="minorHAnsi" w:hAnsiTheme="minorHAnsi"/>
              </w:rPr>
              <w:t>2</w:t>
            </w:r>
          </w:p>
        </w:tc>
        <w:tc>
          <w:tcPr>
            <w:tcW w:w="2551" w:type="dxa"/>
          </w:tcPr>
          <w:p w14:paraId="655A13AC" w14:textId="77777777" w:rsidR="00AE14BA" w:rsidRPr="00A23FB4" w:rsidRDefault="00AE14BA" w:rsidP="00502D10">
            <w:pPr>
              <w:rPr>
                <w:rFonts w:asciiTheme="minorHAnsi" w:hAnsiTheme="minorHAnsi"/>
              </w:rPr>
            </w:pPr>
            <w:r w:rsidRPr="00A23FB4">
              <w:rPr>
                <w:rFonts w:asciiTheme="minorHAnsi" w:hAnsiTheme="minorHAnsi"/>
              </w:rPr>
              <w:t>Rzędne wysokościowe</w:t>
            </w:r>
          </w:p>
        </w:tc>
        <w:tc>
          <w:tcPr>
            <w:tcW w:w="5387" w:type="dxa"/>
          </w:tcPr>
          <w:p w14:paraId="4BB187D9" w14:textId="77777777" w:rsidR="00AE14BA" w:rsidRPr="00A23FB4" w:rsidRDefault="00AE14BA" w:rsidP="00502D10">
            <w:pPr>
              <w:rPr>
                <w:rFonts w:asciiTheme="minorHAnsi" w:hAnsiTheme="minorHAnsi"/>
              </w:rPr>
            </w:pPr>
            <w:r w:rsidRPr="00A23FB4">
              <w:rPr>
                <w:rFonts w:asciiTheme="minorHAnsi" w:hAnsiTheme="minorHAnsi"/>
              </w:rPr>
              <w:t>10 razy na 1 km i w charakterystycznych punktach niwelety</w:t>
            </w:r>
          </w:p>
        </w:tc>
      </w:tr>
      <w:tr w:rsidR="00AE14BA" w:rsidRPr="00A23FB4" w14:paraId="584FE50F" w14:textId="77777777" w:rsidTr="00502D10">
        <w:tc>
          <w:tcPr>
            <w:tcW w:w="496" w:type="dxa"/>
          </w:tcPr>
          <w:p w14:paraId="6EF9F946" w14:textId="77777777" w:rsidR="00AE14BA" w:rsidRPr="00A23FB4" w:rsidRDefault="00AE14BA" w:rsidP="00502D10">
            <w:pPr>
              <w:rPr>
                <w:rFonts w:asciiTheme="minorHAnsi" w:hAnsiTheme="minorHAnsi"/>
              </w:rPr>
            </w:pPr>
            <w:r w:rsidRPr="00A23FB4">
              <w:rPr>
                <w:rFonts w:asciiTheme="minorHAnsi" w:hAnsiTheme="minorHAnsi"/>
              </w:rPr>
              <w:t>3</w:t>
            </w:r>
          </w:p>
        </w:tc>
        <w:tc>
          <w:tcPr>
            <w:tcW w:w="2551" w:type="dxa"/>
          </w:tcPr>
          <w:p w14:paraId="06DCE9A5" w14:textId="77777777" w:rsidR="00AE14BA" w:rsidRPr="00A23FB4" w:rsidRDefault="00AE14BA" w:rsidP="00502D10">
            <w:pPr>
              <w:rPr>
                <w:rFonts w:asciiTheme="minorHAnsi" w:hAnsiTheme="minorHAnsi"/>
              </w:rPr>
            </w:pPr>
            <w:r w:rsidRPr="00A23FB4">
              <w:rPr>
                <w:rFonts w:asciiTheme="minorHAnsi" w:hAnsiTheme="minorHAnsi"/>
              </w:rPr>
              <w:t>Ukształtowanie osi w planie</w:t>
            </w:r>
          </w:p>
        </w:tc>
        <w:tc>
          <w:tcPr>
            <w:tcW w:w="5387" w:type="dxa"/>
          </w:tcPr>
          <w:p w14:paraId="63FC121E" w14:textId="77777777" w:rsidR="00AE14BA" w:rsidRPr="00A23FB4" w:rsidRDefault="00AE14BA" w:rsidP="00502D10">
            <w:pPr>
              <w:rPr>
                <w:rFonts w:asciiTheme="minorHAnsi" w:hAnsiTheme="minorHAnsi"/>
              </w:rPr>
            </w:pPr>
            <w:r w:rsidRPr="00A23FB4">
              <w:rPr>
                <w:rFonts w:asciiTheme="minorHAnsi" w:hAnsiTheme="minorHAnsi"/>
              </w:rPr>
              <w:t>10 razy na 1 km i w charakterystycznych punktach niwelety</w:t>
            </w:r>
          </w:p>
        </w:tc>
      </w:tr>
      <w:tr w:rsidR="00AE14BA" w:rsidRPr="00A23FB4" w14:paraId="19608A71" w14:textId="77777777" w:rsidTr="00502D10">
        <w:tc>
          <w:tcPr>
            <w:tcW w:w="496" w:type="dxa"/>
          </w:tcPr>
          <w:p w14:paraId="0C135A54" w14:textId="77777777" w:rsidR="00AE14BA" w:rsidRPr="00A23FB4" w:rsidRDefault="00AE14BA" w:rsidP="00502D10">
            <w:pPr>
              <w:rPr>
                <w:rFonts w:asciiTheme="minorHAnsi" w:hAnsiTheme="minorHAnsi"/>
              </w:rPr>
            </w:pPr>
            <w:r w:rsidRPr="00A23FB4">
              <w:rPr>
                <w:rFonts w:asciiTheme="minorHAnsi" w:hAnsiTheme="minorHAnsi"/>
              </w:rPr>
              <w:t>4</w:t>
            </w:r>
          </w:p>
        </w:tc>
        <w:tc>
          <w:tcPr>
            <w:tcW w:w="2551" w:type="dxa"/>
          </w:tcPr>
          <w:p w14:paraId="5D7CEEE1" w14:textId="77777777" w:rsidR="00AE14BA" w:rsidRPr="00A23FB4" w:rsidRDefault="00AE14BA" w:rsidP="00502D10">
            <w:pPr>
              <w:rPr>
                <w:rFonts w:asciiTheme="minorHAnsi" w:hAnsiTheme="minorHAnsi"/>
              </w:rPr>
            </w:pPr>
            <w:r w:rsidRPr="00A23FB4">
              <w:rPr>
                <w:rFonts w:asciiTheme="minorHAnsi" w:hAnsiTheme="minorHAnsi"/>
              </w:rPr>
              <w:t>Szerokość nawierzchni</w:t>
            </w:r>
          </w:p>
        </w:tc>
        <w:tc>
          <w:tcPr>
            <w:tcW w:w="5387" w:type="dxa"/>
          </w:tcPr>
          <w:p w14:paraId="1CE50794" w14:textId="77777777" w:rsidR="00AE14BA" w:rsidRPr="00A23FB4" w:rsidRDefault="00AE14BA" w:rsidP="00502D10">
            <w:pPr>
              <w:rPr>
                <w:rFonts w:asciiTheme="minorHAnsi" w:hAnsiTheme="minorHAnsi"/>
              </w:rPr>
            </w:pPr>
            <w:r w:rsidRPr="00A23FB4">
              <w:rPr>
                <w:rFonts w:asciiTheme="minorHAnsi" w:hAnsiTheme="minorHAnsi"/>
              </w:rPr>
              <w:t>10 razy na 1 km</w:t>
            </w:r>
          </w:p>
        </w:tc>
      </w:tr>
      <w:tr w:rsidR="00AE14BA" w:rsidRPr="00A23FB4" w14:paraId="098CA906" w14:textId="77777777" w:rsidTr="00502D10">
        <w:tc>
          <w:tcPr>
            <w:tcW w:w="496" w:type="dxa"/>
          </w:tcPr>
          <w:p w14:paraId="27ABC414" w14:textId="77777777" w:rsidR="00AE14BA" w:rsidRPr="00A23FB4" w:rsidRDefault="00AE14BA" w:rsidP="00502D10">
            <w:pPr>
              <w:rPr>
                <w:rFonts w:asciiTheme="minorHAnsi" w:hAnsiTheme="minorHAnsi"/>
              </w:rPr>
            </w:pPr>
            <w:r w:rsidRPr="00A23FB4">
              <w:rPr>
                <w:rFonts w:asciiTheme="minorHAnsi" w:hAnsiTheme="minorHAnsi"/>
              </w:rPr>
              <w:t>5</w:t>
            </w:r>
          </w:p>
        </w:tc>
        <w:tc>
          <w:tcPr>
            <w:tcW w:w="2551" w:type="dxa"/>
          </w:tcPr>
          <w:p w14:paraId="038E017F" w14:textId="77777777" w:rsidR="00AE14BA" w:rsidRPr="00A23FB4" w:rsidRDefault="00AE14BA" w:rsidP="00502D10">
            <w:pPr>
              <w:rPr>
                <w:rFonts w:asciiTheme="minorHAnsi" w:hAnsiTheme="minorHAnsi"/>
              </w:rPr>
            </w:pPr>
            <w:r w:rsidRPr="00A23FB4">
              <w:rPr>
                <w:rFonts w:asciiTheme="minorHAnsi" w:hAnsiTheme="minorHAnsi"/>
              </w:rPr>
              <w:t>Grubość podsypki</w:t>
            </w:r>
          </w:p>
        </w:tc>
        <w:tc>
          <w:tcPr>
            <w:tcW w:w="5387" w:type="dxa"/>
          </w:tcPr>
          <w:p w14:paraId="79DC0A86" w14:textId="77777777" w:rsidR="00AE14BA" w:rsidRPr="00A23FB4" w:rsidRDefault="00AE14BA" w:rsidP="00502D10">
            <w:pPr>
              <w:rPr>
                <w:rFonts w:asciiTheme="minorHAnsi" w:hAnsiTheme="minorHAnsi"/>
              </w:rPr>
            </w:pPr>
            <w:r w:rsidRPr="00A23FB4">
              <w:rPr>
                <w:rFonts w:asciiTheme="minorHAnsi" w:hAnsiTheme="minorHAnsi"/>
              </w:rPr>
              <w:t>10 razy na 1 km</w:t>
            </w:r>
          </w:p>
        </w:tc>
      </w:tr>
    </w:tbl>
    <w:p w14:paraId="743D05D8" w14:textId="77777777" w:rsidR="00AE14BA" w:rsidRPr="00A23FB4" w:rsidRDefault="00AE14BA" w:rsidP="00AE14BA">
      <w:pPr>
        <w:rPr>
          <w:rFonts w:asciiTheme="minorHAnsi" w:hAnsiTheme="minorHAnsi"/>
        </w:rPr>
      </w:pPr>
    </w:p>
    <w:p w14:paraId="64163849" w14:textId="77777777" w:rsidR="00AE14BA" w:rsidRPr="00A23FB4" w:rsidRDefault="00AE14BA" w:rsidP="00AE14BA">
      <w:pPr>
        <w:rPr>
          <w:rFonts w:asciiTheme="minorHAnsi" w:hAnsiTheme="minorHAnsi"/>
          <w:b/>
        </w:rPr>
      </w:pPr>
      <w:bookmarkStart w:id="628" w:name="_Toc422021648"/>
      <w:bookmarkStart w:id="629" w:name="_Toc422115852"/>
      <w:r w:rsidRPr="00A23FB4">
        <w:rPr>
          <w:rFonts w:asciiTheme="minorHAnsi" w:hAnsiTheme="minorHAnsi"/>
          <w:b/>
        </w:rPr>
        <w:t>7. OBMIAR ROBÓT</w:t>
      </w:r>
      <w:bookmarkEnd w:id="628"/>
      <w:bookmarkEnd w:id="629"/>
    </w:p>
    <w:p w14:paraId="43475BA4" w14:textId="77777777" w:rsidR="00375F64" w:rsidRDefault="00375F64" w:rsidP="00375F64">
      <w:pPr>
        <w:rPr>
          <w:rFonts w:ascii="Calibri" w:hAnsi="Calibri" w:cs="Calibri"/>
        </w:rPr>
      </w:pPr>
    </w:p>
    <w:p w14:paraId="48F32E66" w14:textId="3447D872" w:rsidR="00375F64" w:rsidRDefault="00375F64" w:rsidP="00375F64">
      <w:pPr>
        <w:rPr>
          <w:rFonts w:ascii="Calibri" w:hAnsi="Calibri" w:cs="Calibri"/>
        </w:rPr>
      </w:pPr>
      <w:r>
        <w:rPr>
          <w:rFonts w:ascii="Calibri" w:hAnsi="Calibri" w:cs="Calibri"/>
        </w:rPr>
        <w:t>Kontrakt ryczałtowy</w:t>
      </w:r>
    </w:p>
    <w:p w14:paraId="436D4817" w14:textId="73C897B3" w:rsidR="00AE14BA" w:rsidRPr="00A23FB4" w:rsidRDefault="00AE14BA" w:rsidP="00AE14BA">
      <w:pPr>
        <w:rPr>
          <w:rFonts w:asciiTheme="minorHAnsi" w:hAnsiTheme="minorHAnsi"/>
        </w:rPr>
      </w:pPr>
      <w:r w:rsidRPr="00A23FB4">
        <w:rPr>
          <w:rFonts w:asciiTheme="minorHAnsi" w:hAnsiTheme="minorHAnsi"/>
        </w:rPr>
        <w:t xml:space="preserve">Ogólne zasady obmiaru robót podano w </w:t>
      </w:r>
      <w:r w:rsidR="000907B8">
        <w:rPr>
          <w:rFonts w:asciiTheme="minorHAnsi" w:hAnsiTheme="minorHAnsi"/>
        </w:rPr>
        <w:t>ST</w:t>
      </w:r>
      <w:r w:rsidRPr="00A23FB4">
        <w:rPr>
          <w:rFonts w:asciiTheme="minorHAnsi" w:hAnsiTheme="minorHAnsi"/>
        </w:rPr>
        <w:t>WiORB D-M-00.00.00 „Wymagania ogólne” pkt 7.</w:t>
      </w:r>
    </w:p>
    <w:p w14:paraId="5273650F" w14:textId="77777777" w:rsidR="00AE14BA" w:rsidRPr="00A23FB4" w:rsidRDefault="00AE14BA" w:rsidP="00AE14BA">
      <w:pPr>
        <w:pStyle w:val="Nagwek4"/>
        <w:rPr>
          <w:rFonts w:asciiTheme="minorHAnsi" w:hAnsiTheme="minorHAnsi"/>
        </w:rPr>
      </w:pPr>
      <w:r w:rsidRPr="00A23FB4">
        <w:rPr>
          <w:rFonts w:asciiTheme="minorHAnsi" w:hAnsiTheme="minorHAnsi"/>
        </w:rPr>
        <w:t>7.2. Jednostka obmiarowa</w:t>
      </w:r>
    </w:p>
    <w:p w14:paraId="2FF8CDF6" w14:textId="77777777" w:rsidR="00AE14BA" w:rsidRPr="00A23FB4" w:rsidRDefault="00AE14BA" w:rsidP="004D2317">
      <w:pPr>
        <w:spacing w:after="240"/>
        <w:rPr>
          <w:rFonts w:asciiTheme="minorHAnsi" w:hAnsiTheme="minorHAnsi"/>
        </w:rPr>
      </w:pPr>
      <w:r w:rsidRPr="00A23FB4">
        <w:rPr>
          <w:rFonts w:asciiTheme="minorHAnsi" w:hAnsiTheme="minorHAnsi"/>
        </w:rPr>
        <w:t>Jednostką obmiarową jest komplet wykonanych prac.</w:t>
      </w:r>
    </w:p>
    <w:p w14:paraId="77022437" w14:textId="77777777" w:rsidR="00AE14BA" w:rsidRPr="00A23FB4" w:rsidRDefault="00AE14BA" w:rsidP="00AE14BA">
      <w:pPr>
        <w:rPr>
          <w:rFonts w:asciiTheme="minorHAnsi" w:hAnsiTheme="minorHAnsi"/>
          <w:b/>
        </w:rPr>
      </w:pPr>
      <w:bookmarkStart w:id="630" w:name="_Toc422021649"/>
      <w:bookmarkStart w:id="631" w:name="_Toc422115853"/>
      <w:r w:rsidRPr="00A23FB4">
        <w:rPr>
          <w:rFonts w:asciiTheme="minorHAnsi" w:hAnsiTheme="minorHAnsi"/>
          <w:b/>
        </w:rPr>
        <w:t>8. ODBIÓR ROBÓT</w:t>
      </w:r>
      <w:bookmarkEnd w:id="630"/>
      <w:bookmarkEnd w:id="631"/>
    </w:p>
    <w:p w14:paraId="2834479F" w14:textId="77777777" w:rsidR="00AE14BA" w:rsidRPr="00A23FB4" w:rsidRDefault="00AE14BA" w:rsidP="00AE14BA">
      <w:pPr>
        <w:pStyle w:val="Nagwek4"/>
        <w:rPr>
          <w:rFonts w:asciiTheme="minorHAnsi" w:hAnsiTheme="minorHAnsi"/>
        </w:rPr>
      </w:pPr>
      <w:r w:rsidRPr="00A23FB4">
        <w:rPr>
          <w:rFonts w:asciiTheme="minorHAnsi" w:hAnsiTheme="minorHAnsi"/>
        </w:rPr>
        <w:t>8.1. Ogólne zasady odbioru robót</w:t>
      </w:r>
    </w:p>
    <w:p w14:paraId="78AC5921" w14:textId="0A303E2E" w:rsidR="00AE14BA" w:rsidRPr="00A23FB4" w:rsidRDefault="00AE14BA" w:rsidP="00AE14BA">
      <w:pPr>
        <w:rPr>
          <w:rFonts w:asciiTheme="minorHAnsi" w:hAnsiTheme="minorHAnsi"/>
        </w:rPr>
      </w:pPr>
      <w:r w:rsidRPr="00A23FB4">
        <w:rPr>
          <w:rFonts w:asciiTheme="minorHAnsi" w:hAnsiTheme="minorHAnsi"/>
        </w:rPr>
        <w:t xml:space="preserve">Ogólne zasady odbioru robót podano w </w:t>
      </w:r>
      <w:r w:rsidR="000907B8">
        <w:rPr>
          <w:rFonts w:asciiTheme="minorHAnsi" w:hAnsiTheme="minorHAnsi"/>
        </w:rPr>
        <w:t>ST</w:t>
      </w:r>
      <w:r w:rsidRPr="00A23FB4">
        <w:rPr>
          <w:rFonts w:asciiTheme="minorHAnsi" w:hAnsiTheme="minorHAnsi"/>
        </w:rPr>
        <w:t>WiORB D-M-00.00.00 „Wymagania ogólne” pkt 8.</w:t>
      </w:r>
    </w:p>
    <w:p w14:paraId="06E433F0" w14:textId="1A00D252" w:rsidR="00AE14BA" w:rsidRPr="00A23FB4" w:rsidRDefault="00AE14BA" w:rsidP="00AE14BA">
      <w:pPr>
        <w:rPr>
          <w:rFonts w:asciiTheme="minorHAnsi" w:hAnsiTheme="minorHAnsi"/>
        </w:rPr>
      </w:pPr>
      <w:r w:rsidRPr="00A23FB4">
        <w:rPr>
          <w:rFonts w:asciiTheme="minorHAnsi" w:hAnsiTheme="minorHAnsi"/>
        </w:rPr>
        <w:t xml:space="preserve">Roboty uznaje się za wykonane zgodnie z dokumentacją projektową, </w:t>
      </w:r>
      <w:r w:rsidR="000907B8">
        <w:rPr>
          <w:rFonts w:asciiTheme="minorHAnsi" w:hAnsiTheme="minorHAnsi"/>
        </w:rPr>
        <w:t>ST</w:t>
      </w:r>
      <w:r w:rsidRPr="00A23FB4">
        <w:rPr>
          <w:rFonts w:asciiTheme="minorHAnsi" w:hAnsiTheme="minorHAnsi"/>
        </w:rPr>
        <w:t>WiORB i wymaganiami Inżyniera/Kierownika projektu, jeżeli wszystkie pomiary i badania z zachowaniem tolerancji według pkt 6 dały wyniki pozytywne.</w:t>
      </w:r>
    </w:p>
    <w:p w14:paraId="7BA935DB" w14:textId="77777777" w:rsidR="00AE14BA" w:rsidRPr="00A23FB4" w:rsidRDefault="00AE14BA" w:rsidP="00AE14BA">
      <w:pPr>
        <w:pStyle w:val="Nagwek4"/>
        <w:rPr>
          <w:rFonts w:asciiTheme="minorHAnsi" w:hAnsiTheme="minorHAnsi"/>
        </w:rPr>
      </w:pPr>
      <w:r w:rsidRPr="00A23FB4">
        <w:rPr>
          <w:rFonts w:asciiTheme="minorHAnsi" w:hAnsiTheme="minorHAnsi"/>
        </w:rPr>
        <w:t>8.2. Odbiór robót zanikających i ulegających  zakryciu</w:t>
      </w:r>
    </w:p>
    <w:p w14:paraId="25841130" w14:textId="016F86B2" w:rsidR="00AE14BA" w:rsidRPr="00A23FB4" w:rsidRDefault="00AE14BA" w:rsidP="00AE14BA">
      <w:pPr>
        <w:rPr>
          <w:rFonts w:asciiTheme="minorHAnsi" w:hAnsiTheme="minorHAnsi"/>
        </w:rPr>
      </w:pPr>
      <w:r w:rsidRPr="00A23FB4">
        <w:rPr>
          <w:rFonts w:asciiTheme="minorHAnsi" w:hAnsiTheme="minorHAnsi"/>
        </w:rPr>
        <w:t xml:space="preserve">Roboty związane z wykonaniem podsypki należą do robót ulegających zakryciu. Zasady ich odbioru są określone w </w:t>
      </w:r>
      <w:r w:rsidR="00850A65">
        <w:rPr>
          <w:rFonts w:asciiTheme="minorHAnsi" w:hAnsiTheme="minorHAnsi"/>
        </w:rPr>
        <w:t>ST</w:t>
      </w:r>
      <w:r w:rsidRPr="00A23FB4">
        <w:rPr>
          <w:rFonts w:asciiTheme="minorHAnsi" w:hAnsiTheme="minorHAnsi"/>
        </w:rPr>
        <w:t>WiORB D-M-00.00.00 „Wymagania ogólne”  pkt 8.2.</w:t>
      </w:r>
    </w:p>
    <w:p w14:paraId="69FC7EDB" w14:textId="77777777" w:rsidR="00375F64" w:rsidRDefault="00375F64" w:rsidP="00AE14BA">
      <w:pPr>
        <w:rPr>
          <w:rFonts w:asciiTheme="minorHAnsi" w:hAnsiTheme="minorHAnsi"/>
          <w:b/>
        </w:rPr>
      </w:pPr>
      <w:bookmarkStart w:id="632" w:name="_Toc422021650"/>
      <w:bookmarkStart w:id="633" w:name="_Toc422115854"/>
    </w:p>
    <w:p w14:paraId="56943760" w14:textId="23936E55" w:rsidR="00AE14BA" w:rsidRPr="00A23FB4" w:rsidRDefault="00AE14BA" w:rsidP="00AE14BA">
      <w:pPr>
        <w:rPr>
          <w:rFonts w:asciiTheme="minorHAnsi" w:hAnsiTheme="minorHAnsi"/>
          <w:b/>
        </w:rPr>
      </w:pPr>
      <w:r w:rsidRPr="00A23FB4">
        <w:rPr>
          <w:rFonts w:asciiTheme="minorHAnsi" w:hAnsiTheme="minorHAnsi"/>
          <w:b/>
        </w:rPr>
        <w:t>9. PODSTAWA PŁATNOŚCI</w:t>
      </w:r>
      <w:bookmarkEnd w:id="632"/>
      <w:bookmarkEnd w:id="633"/>
    </w:p>
    <w:p w14:paraId="6F8DC5AE" w14:textId="77777777" w:rsidR="00375F64" w:rsidRDefault="00375F64" w:rsidP="00375F64">
      <w:pPr>
        <w:rPr>
          <w:rFonts w:ascii="Calibri" w:hAnsi="Calibri" w:cs="Calibri"/>
        </w:rPr>
      </w:pPr>
    </w:p>
    <w:p w14:paraId="169B7872" w14:textId="65685B91" w:rsidR="00375F64" w:rsidRDefault="00375F64" w:rsidP="00375F64">
      <w:pPr>
        <w:rPr>
          <w:rFonts w:ascii="Calibri" w:hAnsi="Calibri" w:cs="Calibri"/>
        </w:rPr>
      </w:pPr>
      <w:r>
        <w:rPr>
          <w:rFonts w:ascii="Calibri" w:hAnsi="Calibri" w:cs="Calibri"/>
        </w:rPr>
        <w:t>Kontrakt ryczałtowy</w:t>
      </w:r>
    </w:p>
    <w:p w14:paraId="726D30EE" w14:textId="2CADAE31" w:rsidR="00AE14BA" w:rsidRPr="00A23FB4" w:rsidRDefault="00AE14BA" w:rsidP="004D2317">
      <w:pPr>
        <w:spacing w:after="240"/>
        <w:rPr>
          <w:rFonts w:asciiTheme="minorHAnsi" w:hAnsiTheme="minorHAnsi"/>
        </w:rPr>
      </w:pPr>
      <w:r w:rsidRPr="00A23FB4">
        <w:rPr>
          <w:rFonts w:asciiTheme="minorHAnsi" w:hAnsiTheme="minorHAnsi"/>
        </w:rPr>
        <w:t xml:space="preserve">Ogólne ustalenia dotyczące podstawy płatności podano w </w:t>
      </w:r>
      <w:r w:rsidR="00850A65">
        <w:rPr>
          <w:rFonts w:asciiTheme="minorHAnsi" w:hAnsiTheme="minorHAnsi"/>
        </w:rPr>
        <w:t>ST</w:t>
      </w:r>
      <w:r w:rsidRPr="00A23FB4">
        <w:rPr>
          <w:rFonts w:asciiTheme="minorHAnsi" w:hAnsiTheme="minorHAnsi"/>
        </w:rPr>
        <w:t>WiORB D-M-00.00.00 „Wymagania ogólne” pkt 9.</w:t>
      </w:r>
    </w:p>
    <w:p w14:paraId="61FB0A8D" w14:textId="77777777" w:rsidR="00AE14BA" w:rsidRPr="00A23FB4" w:rsidRDefault="00AE14BA" w:rsidP="00AE14BA">
      <w:pPr>
        <w:rPr>
          <w:rFonts w:asciiTheme="minorHAnsi" w:hAnsiTheme="minorHAnsi"/>
          <w:b/>
        </w:rPr>
      </w:pPr>
      <w:bookmarkStart w:id="634" w:name="_Toc422115855"/>
      <w:r w:rsidRPr="00A23FB4">
        <w:rPr>
          <w:rFonts w:asciiTheme="minorHAnsi" w:hAnsiTheme="minorHAnsi"/>
          <w:b/>
        </w:rPr>
        <w:t>10. PRZEPISY ZWIĄZANE</w:t>
      </w:r>
      <w:bookmarkEnd w:id="634"/>
    </w:p>
    <w:p w14:paraId="76D0B93B" w14:textId="77777777" w:rsidR="00AE14BA" w:rsidRPr="00A23FB4" w:rsidRDefault="00AE14BA" w:rsidP="00AE14BA">
      <w:pPr>
        <w:pStyle w:val="Nagwek4"/>
        <w:rPr>
          <w:rFonts w:asciiTheme="minorHAnsi" w:hAnsiTheme="minorHAnsi"/>
        </w:rPr>
      </w:pPr>
      <w:r w:rsidRPr="00A23FB4">
        <w:rPr>
          <w:rFonts w:asciiTheme="minorHAnsi" w:hAnsiTheme="minorHAnsi"/>
        </w:rPr>
        <w:t>10.1. Normy</w:t>
      </w:r>
    </w:p>
    <w:tbl>
      <w:tblPr>
        <w:tblW w:w="0" w:type="auto"/>
        <w:tblLayout w:type="fixed"/>
        <w:tblCellMar>
          <w:left w:w="70" w:type="dxa"/>
          <w:right w:w="70" w:type="dxa"/>
        </w:tblCellMar>
        <w:tblLook w:val="0000" w:firstRow="0" w:lastRow="0" w:firstColumn="0" w:lastColumn="0" w:noHBand="0" w:noVBand="0"/>
      </w:tblPr>
      <w:tblGrid>
        <w:gridCol w:w="496"/>
        <w:gridCol w:w="1701"/>
        <w:gridCol w:w="7512"/>
      </w:tblGrid>
      <w:tr w:rsidR="00AE14BA" w:rsidRPr="00A23FB4" w14:paraId="529F1F49" w14:textId="77777777" w:rsidTr="00502D10">
        <w:tc>
          <w:tcPr>
            <w:tcW w:w="496" w:type="dxa"/>
          </w:tcPr>
          <w:p w14:paraId="405F0FDC" w14:textId="77777777" w:rsidR="00AE14BA" w:rsidRPr="00067D67" w:rsidRDefault="00AE14BA" w:rsidP="00502D10">
            <w:pPr>
              <w:pStyle w:val="tekstost"/>
              <w:rPr>
                <w:rFonts w:asciiTheme="minorHAnsi" w:hAnsiTheme="minorHAnsi"/>
                <w:sz w:val="18"/>
                <w:szCs w:val="18"/>
              </w:rPr>
            </w:pPr>
            <w:r w:rsidRPr="00067D67">
              <w:rPr>
                <w:rFonts w:asciiTheme="minorHAnsi" w:hAnsiTheme="minorHAnsi"/>
                <w:sz w:val="18"/>
                <w:szCs w:val="18"/>
              </w:rPr>
              <w:t xml:space="preserve">  1.</w:t>
            </w:r>
          </w:p>
        </w:tc>
        <w:tc>
          <w:tcPr>
            <w:tcW w:w="1701" w:type="dxa"/>
          </w:tcPr>
          <w:p w14:paraId="19F0357A" w14:textId="77777777" w:rsidR="00AE14BA" w:rsidRPr="00067D67" w:rsidRDefault="00AE14BA" w:rsidP="00502D10">
            <w:pPr>
              <w:pStyle w:val="tekstost"/>
              <w:rPr>
                <w:rFonts w:asciiTheme="minorHAnsi" w:hAnsiTheme="minorHAnsi"/>
                <w:sz w:val="18"/>
                <w:szCs w:val="18"/>
              </w:rPr>
            </w:pPr>
            <w:r w:rsidRPr="00067D67">
              <w:rPr>
                <w:rFonts w:asciiTheme="minorHAnsi" w:hAnsiTheme="minorHAnsi"/>
                <w:sz w:val="18"/>
                <w:szCs w:val="18"/>
              </w:rPr>
              <w:t>PN-B-04101:1985</w:t>
            </w:r>
          </w:p>
        </w:tc>
        <w:tc>
          <w:tcPr>
            <w:tcW w:w="7512" w:type="dxa"/>
          </w:tcPr>
          <w:p w14:paraId="2F4058E5" w14:textId="77777777" w:rsidR="00AE14BA" w:rsidRPr="00067D67" w:rsidRDefault="00AE14BA" w:rsidP="00502D10">
            <w:pPr>
              <w:pStyle w:val="tekstost"/>
              <w:rPr>
                <w:rFonts w:asciiTheme="minorHAnsi" w:hAnsiTheme="minorHAnsi"/>
                <w:sz w:val="18"/>
                <w:szCs w:val="18"/>
              </w:rPr>
            </w:pPr>
            <w:r w:rsidRPr="00067D67">
              <w:rPr>
                <w:rFonts w:asciiTheme="minorHAnsi" w:hAnsiTheme="minorHAnsi"/>
                <w:sz w:val="18"/>
                <w:szCs w:val="18"/>
              </w:rPr>
              <w:t>Materiały kamienne. Oznaczanie nasiąkliwości wodą</w:t>
            </w:r>
          </w:p>
        </w:tc>
      </w:tr>
      <w:tr w:rsidR="00AE14BA" w:rsidRPr="00A23FB4" w14:paraId="74EE0FED" w14:textId="77777777" w:rsidTr="00502D10">
        <w:tc>
          <w:tcPr>
            <w:tcW w:w="496" w:type="dxa"/>
          </w:tcPr>
          <w:p w14:paraId="3D80020B" w14:textId="77777777" w:rsidR="00AE14BA" w:rsidRPr="00067D67" w:rsidRDefault="00AE14BA" w:rsidP="00502D10">
            <w:pPr>
              <w:pStyle w:val="tekstost"/>
              <w:rPr>
                <w:rFonts w:asciiTheme="minorHAnsi" w:hAnsiTheme="minorHAnsi"/>
                <w:sz w:val="18"/>
                <w:szCs w:val="18"/>
              </w:rPr>
            </w:pPr>
            <w:r w:rsidRPr="00067D67">
              <w:rPr>
                <w:rFonts w:asciiTheme="minorHAnsi" w:hAnsiTheme="minorHAnsi"/>
                <w:sz w:val="18"/>
                <w:szCs w:val="18"/>
              </w:rPr>
              <w:t xml:space="preserve">  2.</w:t>
            </w:r>
          </w:p>
        </w:tc>
        <w:tc>
          <w:tcPr>
            <w:tcW w:w="1701" w:type="dxa"/>
          </w:tcPr>
          <w:p w14:paraId="72DB479F" w14:textId="77777777" w:rsidR="00AE14BA" w:rsidRPr="00067D67" w:rsidRDefault="00AE14BA" w:rsidP="00502D10">
            <w:pPr>
              <w:pStyle w:val="tekstost"/>
              <w:rPr>
                <w:rFonts w:asciiTheme="minorHAnsi" w:hAnsiTheme="minorHAnsi"/>
                <w:sz w:val="18"/>
                <w:szCs w:val="18"/>
              </w:rPr>
            </w:pPr>
            <w:r w:rsidRPr="00067D67">
              <w:rPr>
                <w:rFonts w:asciiTheme="minorHAnsi" w:hAnsiTheme="minorHAnsi"/>
                <w:sz w:val="18"/>
                <w:szCs w:val="18"/>
              </w:rPr>
              <w:t>PN-B-04102:1985</w:t>
            </w:r>
          </w:p>
        </w:tc>
        <w:tc>
          <w:tcPr>
            <w:tcW w:w="7512" w:type="dxa"/>
          </w:tcPr>
          <w:p w14:paraId="6157809E" w14:textId="77777777" w:rsidR="00AE14BA" w:rsidRPr="00067D67" w:rsidRDefault="00AE14BA" w:rsidP="00502D10">
            <w:pPr>
              <w:pStyle w:val="tekstost"/>
              <w:rPr>
                <w:rFonts w:asciiTheme="minorHAnsi" w:hAnsiTheme="minorHAnsi"/>
                <w:sz w:val="18"/>
                <w:szCs w:val="18"/>
              </w:rPr>
            </w:pPr>
            <w:r w:rsidRPr="00067D67">
              <w:rPr>
                <w:rFonts w:asciiTheme="minorHAnsi" w:hAnsiTheme="minorHAnsi"/>
                <w:sz w:val="18"/>
                <w:szCs w:val="18"/>
              </w:rPr>
              <w:t>Materiały kamienne. Oznaczanie mrozoodporności metodą bezpośrednią</w:t>
            </w:r>
          </w:p>
        </w:tc>
      </w:tr>
      <w:tr w:rsidR="00AE14BA" w:rsidRPr="00A23FB4" w14:paraId="77230D07" w14:textId="77777777" w:rsidTr="00502D10">
        <w:tc>
          <w:tcPr>
            <w:tcW w:w="496" w:type="dxa"/>
          </w:tcPr>
          <w:p w14:paraId="6BE5F1D4" w14:textId="77777777" w:rsidR="00AE14BA" w:rsidRPr="00067D67" w:rsidRDefault="00AE14BA" w:rsidP="00502D10">
            <w:pPr>
              <w:pStyle w:val="tekstost"/>
              <w:rPr>
                <w:rFonts w:asciiTheme="minorHAnsi" w:hAnsiTheme="minorHAnsi"/>
                <w:sz w:val="18"/>
                <w:szCs w:val="18"/>
              </w:rPr>
            </w:pPr>
            <w:r w:rsidRPr="00067D67">
              <w:rPr>
                <w:rFonts w:asciiTheme="minorHAnsi" w:hAnsiTheme="minorHAnsi"/>
                <w:sz w:val="18"/>
                <w:szCs w:val="18"/>
              </w:rPr>
              <w:t xml:space="preserve">  3.</w:t>
            </w:r>
          </w:p>
        </w:tc>
        <w:tc>
          <w:tcPr>
            <w:tcW w:w="1701" w:type="dxa"/>
          </w:tcPr>
          <w:p w14:paraId="6F7B403C" w14:textId="77777777" w:rsidR="00AE14BA" w:rsidRPr="00067D67" w:rsidRDefault="00AE14BA" w:rsidP="00502D10">
            <w:pPr>
              <w:pStyle w:val="tekstost"/>
              <w:rPr>
                <w:rFonts w:asciiTheme="minorHAnsi" w:hAnsiTheme="minorHAnsi"/>
                <w:sz w:val="18"/>
                <w:szCs w:val="18"/>
              </w:rPr>
            </w:pPr>
            <w:r w:rsidRPr="00067D67">
              <w:rPr>
                <w:rFonts w:asciiTheme="minorHAnsi" w:hAnsiTheme="minorHAnsi"/>
                <w:sz w:val="18"/>
                <w:szCs w:val="18"/>
              </w:rPr>
              <w:t>PN-B-04110:1984</w:t>
            </w:r>
          </w:p>
        </w:tc>
        <w:tc>
          <w:tcPr>
            <w:tcW w:w="7512" w:type="dxa"/>
          </w:tcPr>
          <w:p w14:paraId="665C1F20" w14:textId="77777777" w:rsidR="00AE14BA" w:rsidRPr="00067D67" w:rsidRDefault="00AE14BA" w:rsidP="00502D10">
            <w:pPr>
              <w:pStyle w:val="tekstost"/>
              <w:rPr>
                <w:rFonts w:asciiTheme="minorHAnsi" w:hAnsiTheme="minorHAnsi"/>
                <w:sz w:val="18"/>
                <w:szCs w:val="18"/>
              </w:rPr>
            </w:pPr>
            <w:r w:rsidRPr="00067D67">
              <w:rPr>
                <w:rFonts w:asciiTheme="minorHAnsi" w:hAnsiTheme="minorHAnsi"/>
                <w:sz w:val="18"/>
                <w:szCs w:val="18"/>
              </w:rPr>
              <w:t>Materiały kamienne. Oznaczanie wytrzymałości na ściskanie</w:t>
            </w:r>
          </w:p>
        </w:tc>
      </w:tr>
      <w:tr w:rsidR="00AE14BA" w:rsidRPr="00A23FB4" w14:paraId="60E358B3" w14:textId="77777777" w:rsidTr="00502D10">
        <w:tc>
          <w:tcPr>
            <w:tcW w:w="496" w:type="dxa"/>
          </w:tcPr>
          <w:p w14:paraId="16B7AFCB" w14:textId="77777777" w:rsidR="00AE14BA" w:rsidRPr="00067D67" w:rsidRDefault="00AE14BA" w:rsidP="00502D10">
            <w:pPr>
              <w:pStyle w:val="tekstost"/>
              <w:rPr>
                <w:rFonts w:asciiTheme="minorHAnsi" w:hAnsiTheme="minorHAnsi"/>
                <w:sz w:val="18"/>
                <w:szCs w:val="18"/>
              </w:rPr>
            </w:pPr>
            <w:r w:rsidRPr="00067D67">
              <w:rPr>
                <w:rFonts w:asciiTheme="minorHAnsi" w:hAnsiTheme="minorHAnsi"/>
                <w:sz w:val="18"/>
                <w:szCs w:val="18"/>
              </w:rPr>
              <w:t xml:space="preserve">  4.</w:t>
            </w:r>
          </w:p>
        </w:tc>
        <w:tc>
          <w:tcPr>
            <w:tcW w:w="1701" w:type="dxa"/>
          </w:tcPr>
          <w:p w14:paraId="1FDFC81A" w14:textId="77777777" w:rsidR="00AE14BA" w:rsidRPr="00067D67" w:rsidRDefault="00AE14BA" w:rsidP="00502D10">
            <w:pPr>
              <w:pStyle w:val="tekstost"/>
              <w:rPr>
                <w:rFonts w:asciiTheme="minorHAnsi" w:hAnsiTheme="minorHAnsi"/>
                <w:sz w:val="18"/>
                <w:szCs w:val="18"/>
              </w:rPr>
            </w:pPr>
            <w:r w:rsidRPr="00067D67">
              <w:rPr>
                <w:rFonts w:asciiTheme="minorHAnsi" w:hAnsiTheme="minorHAnsi"/>
                <w:sz w:val="18"/>
                <w:szCs w:val="18"/>
              </w:rPr>
              <w:t>PN-B-04111:1984</w:t>
            </w:r>
          </w:p>
        </w:tc>
        <w:tc>
          <w:tcPr>
            <w:tcW w:w="7512" w:type="dxa"/>
          </w:tcPr>
          <w:p w14:paraId="670C609D" w14:textId="77777777" w:rsidR="00AE14BA" w:rsidRPr="00067D67" w:rsidRDefault="00AE14BA" w:rsidP="00502D10">
            <w:pPr>
              <w:pStyle w:val="tekstost"/>
              <w:rPr>
                <w:rFonts w:asciiTheme="minorHAnsi" w:hAnsiTheme="minorHAnsi"/>
                <w:sz w:val="18"/>
                <w:szCs w:val="18"/>
              </w:rPr>
            </w:pPr>
            <w:r w:rsidRPr="00067D67">
              <w:rPr>
                <w:rFonts w:asciiTheme="minorHAnsi" w:hAnsiTheme="minorHAnsi"/>
                <w:sz w:val="18"/>
                <w:szCs w:val="18"/>
              </w:rPr>
              <w:t>Materiały kamienne. Oznaczanie ścieralności na tarczy Boehmego</w:t>
            </w:r>
          </w:p>
        </w:tc>
      </w:tr>
      <w:tr w:rsidR="00AE14BA" w:rsidRPr="00A23FB4" w14:paraId="70C1ED10" w14:textId="77777777" w:rsidTr="00502D10">
        <w:tc>
          <w:tcPr>
            <w:tcW w:w="496" w:type="dxa"/>
          </w:tcPr>
          <w:p w14:paraId="0CCEB9ED" w14:textId="77777777" w:rsidR="00AE14BA" w:rsidRPr="00067D67" w:rsidRDefault="00AE14BA" w:rsidP="00502D10">
            <w:pPr>
              <w:pStyle w:val="tekstost"/>
              <w:rPr>
                <w:rFonts w:asciiTheme="minorHAnsi" w:hAnsiTheme="minorHAnsi"/>
                <w:sz w:val="18"/>
                <w:szCs w:val="18"/>
              </w:rPr>
            </w:pPr>
            <w:r w:rsidRPr="00067D67">
              <w:rPr>
                <w:rFonts w:asciiTheme="minorHAnsi" w:hAnsiTheme="minorHAnsi"/>
                <w:sz w:val="18"/>
                <w:szCs w:val="18"/>
              </w:rPr>
              <w:t xml:space="preserve">  5.</w:t>
            </w:r>
          </w:p>
        </w:tc>
        <w:tc>
          <w:tcPr>
            <w:tcW w:w="1701" w:type="dxa"/>
          </w:tcPr>
          <w:p w14:paraId="71BF65FA" w14:textId="77777777" w:rsidR="00AE14BA" w:rsidRPr="00067D67" w:rsidRDefault="00AE14BA" w:rsidP="00502D10">
            <w:pPr>
              <w:pStyle w:val="tekstost"/>
              <w:rPr>
                <w:rFonts w:asciiTheme="minorHAnsi" w:hAnsiTheme="minorHAnsi"/>
                <w:sz w:val="18"/>
                <w:szCs w:val="18"/>
              </w:rPr>
            </w:pPr>
            <w:r w:rsidRPr="00067D67">
              <w:rPr>
                <w:rFonts w:asciiTheme="minorHAnsi" w:hAnsiTheme="minorHAnsi"/>
                <w:sz w:val="18"/>
                <w:szCs w:val="18"/>
              </w:rPr>
              <w:t>PN-B-04115:1967</w:t>
            </w:r>
          </w:p>
        </w:tc>
        <w:tc>
          <w:tcPr>
            <w:tcW w:w="7512" w:type="dxa"/>
          </w:tcPr>
          <w:p w14:paraId="56B82074" w14:textId="77777777" w:rsidR="00AE14BA" w:rsidRPr="00067D67" w:rsidRDefault="00AE14BA" w:rsidP="00502D10">
            <w:pPr>
              <w:pStyle w:val="tekstost"/>
              <w:rPr>
                <w:rFonts w:asciiTheme="minorHAnsi" w:hAnsiTheme="minorHAnsi"/>
                <w:sz w:val="18"/>
                <w:szCs w:val="18"/>
              </w:rPr>
            </w:pPr>
            <w:r w:rsidRPr="00067D67">
              <w:rPr>
                <w:rFonts w:asciiTheme="minorHAnsi" w:hAnsiTheme="minorHAnsi"/>
                <w:sz w:val="18"/>
                <w:szCs w:val="18"/>
              </w:rPr>
              <w:t>Materiały kamienne. Oznaczanie wytrzymałości kamienia na uderzenie (zwięzłości)</w:t>
            </w:r>
          </w:p>
        </w:tc>
      </w:tr>
      <w:tr w:rsidR="00AE14BA" w:rsidRPr="00A23FB4" w14:paraId="76C78786" w14:textId="77777777" w:rsidTr="00502D10">
        <w:tc>
          <w:tcPr>
            <w:tcW w:w="496" w:type="dxa"/>
          </w:tcPr>
          <w:p w14:paraId="5AB0605E" w14:textId="77777777" w:rsidR="00AE14BA" w:rsidRPr="00067D67" w:rsidRDefault="00AE14BA" w:rsidP="00502D10">
            <w:pPr>
              <w:pStyle w:val="tekstost"/>
              <w:rPr>
                <w:rFonts w:asciiTheme="minorHAnsi" w:hAnsiTheme="minorHAnsi"/>
                <w:sz w:val="18"/>
                <w:szCs w:val="18"/>
              </w:rPr>
            </w:pPr>
            <w:r w:rsidRPr="00067D67">
              <w:rPr>
                <w:rFonts w:asciiTheme="minorHAnsi" w:hAnsiTheme="minorHAnsi"/>
                <w:sz w:val="18"/>
                <w:szCs w:val="18"/>
              </w:rPr>
              <w:t xml:space="preserve">  6.</w:t>
            </w:r>
          </w:p>
        </w:tc>
        <w:tc>
          <w:tcPr>
            <w:tcW w:w="1701" w:type="dxa"/>
          </w:tcPr>
          <w:p w14:paraId="3B6DE32B" w14:textId="77777777" w:rsidR="00AE14BA" w:rsidRPr="00067D67" w:rsidRDefault="00AE14BA" w:rsidP="00502D10">
            <w:pPr>
              <w:pStyle w:val="tekstost"/>
              <w:rPr>
                <w:rFonts w:asciiTheme="minorHAnsi" w:hAnsiTheme="minorHAnsi"/>
                <w:sz w:val="18"/>
                <w:szCs w:val="18"/>
              </w:rPr>
            </w:pPr>
            <w:r w:rsidRPr="00067D67">
              <w:rPr>
                <w:rFonts w:asciiTheme="minorHAnsi" w:hAnsiTheme="minorHAnsi"/>
                <w:sz w:val="18"/>
                <w:szCs w:val="18"/>
              </w:rPr>
              <w:t>PN-B-06251:1963</w:t>
            </w:r>
          </w:p>
        </w:tc>
        <w:tc>
          <w:tcPr>
            <w:tcW w:w="7512" w:type="dxa"/>
          </w:tcPr>
          <w:p w14:paraId="01B0CD7B" w14:textId="77777777" w:rsidR="00AE14BA" w:rsidRPr="00067D67" w:rsidRDefault="00AE14BA" w:rsidP="00502D10">
            <w:pPr>
              <w:pStyle w:val="tekstost"/>
              <w:rPr>
                <w:rFonts w:asciiTheme="minorHAnsi" w:hAnsiTheme="minorHAnsi"/>
                <w:sz w:val="18"/>
                <w:szCs w:val="18"/>
              </w:rPr>
            </w:pPr>
            <w:r w:rsidRPr="00067D67">
              <w:rPr>
                <w:rFonts w:asciiTheme="minorHAnsi" w:hAnsiTheme="minorHAnsi"/>
                <w:sz w:val="18"/>
                <w:szCs w:val="18"/>
              </w:rPr>
              <w:t>Roboty betonowe i żelbetowe. Wymagania techniczne</w:t>
            </w:r>
          </w:p>
        </w:tc>
      </w:tr>
      <w:tr w:rsidR="00AE14BA" w:rsidRPr="00A23FB4" w14:paraId="1E7275D2" w14:textId="77777777" w:rsidTr="00502D10">
        <w:tc>
          <w:tcPr>
            <w:tcW w:w="496" w:type="dxa"/>
          </w:tcPr>
          <w:p w14:paraId="5FA72773" w14:textId="77777777" w:rsidR="00AE14BA" w:rsidRPr="00067D67" w:rsidRDefault="00AE14BA" w:rsidP="00502D10">
            <w:pPr>
              <w:pStyle w:val="tekstost"/>
              <w:rPr>
                <w:rFonts w:asciiTheme="minorHAnsi" w:hAnsiTheme="minorHAnsi"/>
                <w:sz w:val="18"/>
                <w:szCs w:val="18"/>
              </w:rPr>
            </w:pPr>
            <w:r w:rsidRPr="00067D67">
              <w:rPr>
                <w:rFonts w:asciiTheme="minorHAnsi" w:hAnsiTheme="minorHAnsi"/>
                <w:sz w:val="18"/>
                <w:szCs w:val="18"/>
              </w:rPr>
              <w:t xml:space="preserve">  7.</w:t>
            </w:r>
          </w:p>
        </w:tc>
        <w:tc>
          <w:tcPr>
            <w:tcW w:w="1701" w:type="dxa"/>
          </w:tcPr>
          <w:p w14:paraId="2AA15CCB" w14:textId="77777777" w:rsidR="00AE14BA" w:rsidRPr="00067D67" w:rsidRDefault="00AE14BA" w:rsidP="00502D10">
            <w:pPr>
              <w:pStyle w:val="tekstost"/>
              <w:rPr>
                <w:rFonts w:asciiTheme="minorHAnsi" w:hAnsiTheme="minorHAnsi"/>
                <w:sz w:val="18"/>
                <w:szCs w:val="18"/>
              </w:rPr>
            </w:pPr>
            <w:r w:rsidRPr="00067D67">
              <w:rPr>
                <w:rFonts w:asciiTheme="minorHAnsi" w:hAnsiTheme="minorHAnsi"/>
                <w:sz w:val="18"/>
                <w:szCs w:val="18"/>
              </w:rPr>
              <w:t>PN-B-06712:1986</w:t>
            </w:r>
          </w:p>
        </w:tc>
        <w:tc>
          <w:tcPr>
            <w:tcW w:w="7512" w:type="dxa"/>
          </w:tcPr>
          <w:p w14:paraId="0B718E73" w14:textId="77777777" w:rsidR="00AE14BA" w:rsidRPr="00067D67" w:rsidRDefault="00AE14BA" w:rsidP="00502D10">
            <w:pPr>
              <w:pStyle w:val="tekstost"/>
              <w:rPr>
                <w:rFonts w:asciiTheme="minorHAnsi" w:hAnsiTheme="minorHAnsi"/>
                <w:sz w:val="18"/>
                <w:szCs w:val="18"/>
              </w:rPr>
            </w:pPr>
            <w:r w:rsidRPr="00067D67">
              <w:rPr>
                <w:rFonts w:asciiTheme="minorHAnsi" w:hAnsiTheme="minorHAnsi"/>
                <w:sz w:val="18"/>
                <w:szCs w:val="18"/>
              </w:rPr>
              <w:t>Kruszywa mineralne do betonu zwykłego</w:t>
            </w:r>
          </w:p>
        </w:tc>
      </w:tr>
      <w:tr w:rsidR="00AE14BA" w:rsidRPr="00A23FB4" w14:paraId="1AA2F1C1" w14:textId="77777777" w:rsidTr="00502D10">
        <w:tc>
          <w:tcPr>
            <w:tcW w:w="496" w:type="dxa"/>
          </w:tcPr>
          <w:p w14:paraId="281EBAEE" w14:textId="77777777" w:rsidR="00AE14BA" w:rsidRPr="00067D67" w:rsidRDefault="00AE14BA" w:rsidP="00502D10">
            <w:pPr>
              <w:pStyle w:val="tekstost"/>
              <w:rPr>
                <w:rFonts w:asciiTheme="minorHAnsi" w:hAnsiTheme="minorHAnsi"/>
                <w:sz w:val="18"/>
                <w:szCs w:val="18"/>
              </w:rPr>
            </w:pPr>
            <w:r w:rsidRPr="00067D67">
              <w:rPr>
                <w:rFonts w:asciiTheme="minorHAnsi" w:hAnsiTheme="minorHAnsi"/>
                <w:sz w:val="18"/>
                <w:szCs w:val="18"/>
              </w:rPr>
              <w:t xml:space="preserve">  8.</w:t>
            </w:r>
          </w:p>
        </w:tc>
        <w:tc>
          <w:tcPr>
            <w:tcW w:w="1701" w:type="dxa"/>
          </w:tcPr>
          <w:p w14:paraId="3DF5F46F" w14:textId="77777777" w:rsidR="00AE14BA" w:rsidRPr="00067D67" w:rsidRDefault="00AE14BA" w:rsidP="00502D10">
            <w:pPr>
              <w:pStyle w:val="tekstost"/>
              <w:rPr>
                <w:rFonts w:asciiTheme="minorHAnsi" w:hAnsiTheme="minorHAnsi"/>
                <w:sz w:val="18"/>
                <w:szCs w:val="18"/>
              </w:rPr>
            </w:pPr>
            <w:r w:rsidRPr="00067D67">
              <w:rPr>
                <w:rFonts w:asciiTheme="minorHAnsi" w:hAnsiTheme="minorHAnsi"/>
                <w:sz w:val="18"/>
                <w:szCs w:val="18"/>
              </w:rPr>
              <w:t>PN-B-11100:1960</w:t>
            </w:r>
          </w:p>
        </w:tc>
        <w:tc>
          <w:tcPr>
            <w:tcW w:w="7512" w:type="dxa"/>
          </w:tcPr>
          <w:p w14:paraId="1FAF141A" w14:textId="77777777" w:rsidR="00AE14BA" w:rsidRPr="00067D67" w:rsidRDefault="00AE14BA" w:rsidP="00502D10">
            <w:pPr>
              <w:pStyle w:val="tekstost"/>
              <w:rPr>
                <w:rFonts w:asciiTheme="minorHAnsi" w:hAnsiTheme="minorHAnsi"/>
                <w:sz w:val="18"/>
                <w:szCs w:val="18"/>
              </w:rPr>
            </w:pPr>
            <w:r w:rsidRPr="00067D67">
              <w:rPr>
                <w:rFonts w:asciiTheme="minorHAnsi" w:hAnsiTheme="minorHAnsi"/>
                <w:sz w:val="18"/>
                <w:szCs w:val="18"/>
              </w:rPr>
              <w:t>Materiały kamienne. Kostka drogowa</w:t>
            </w:r>
          </w:p>
        </w:tc>
      </w:tr>
      <w:tr w:rsidR="00AE14BA" w:rsidRPr="00A23FB4" w14:paraId="4C5A5FD2" w14:textId="77777777" w:rsidTr="00502D10">
        <w:tc>
          <w:tcPr>
            <w:tcW w:w="496" w:type="dxa"/>
          </w:tcPr>
          <w:p w14:paraId="78213773" w14:textId="77777777" w:rsidR="00AE14BA" w:rsidRPr="00067D67" w:rsidRDefault="00AE14BA" w:rsidP="00502D10">
            <w:pPr>
              <w:pStyle w:val="tekstost"/>
              <w:rPr>
                <w:rFonts w:asciiTheme="minorHAnsi" w:hAnsiTheme="minorHAnsi"/>
                <w:sz w:val="18"/>
                <w:szCs w:val="18"/>
              </w:rPr>
            </w:pPr>
            <w:r w:rsidRPr="00067D67">
              <w:rPr>
                <w:rFonts w:asciiTheme="minorHAnsi" w:hAnsiTheme="minorHAnsi"/>
                <w:sz w:val="18"/>
                <w:szCs w:val="18"/>
              </w:rPr>
              <w:t xml:space="preserve">  9.</w:t>
            </w:r>
          </w:p>
        </w:tc>
        <w:tc>
          <w:tcPr>
            <w:tcW w:w="1701" w:type="dxa"/>
          </w:tcPr>
          <w:p w14:paraId="2D593BC7" w14:textId="77777777" w:rsidR="00AE14BA" w:rsidRPr="00067D67" w:rsidRDefault="00AE14BA" w:rsidP="00502D10">
            <w:pPr>
              <w:pStyle w:val="tekstost"/>
              <w:rPr>
                <w:rFonts w:asciiTheme="minorHAnsi" w:hAnsiTheme="minorHAnsi"/>
                <w:sz w:val="18"/>
                <w:szCs w:val="18"/>
              </w:rPr>
            </w:pPr>
            <w:r w:rsidRPr="00067D67">
              <w:rPr>
                <w:rFonts w:asciiTheme="minorHAnsi" w:hAnsiTheme="minorHAnsi"/>
                <w:sz w:val="18"/>
                <w:szCs w:val="18"/>
              </w:rPr>
              <w:t>PN-EN-197-1:2002</w:t>
            </w:r>
          </w:p>
        </w:tc>
        <w:tc>
          <w:tcPr>
            <w:tcW w:w="7512" w:type="dxa"/>
          </w:tcPr>
          <w:p w14:paraId="535704A7" w14:textId="77777777" w:rsidR="00AE14BA" w:rsidRPr="00067D67" w:rsidRDefault="00AE14BA" w:rsidP="00502D10">
            <w:pPr>
              <w:pStyle w:val="tekstost"/>
              <w:rPr>
                <w:rFonts w:asciiTheme="minorHAnsi" w:hAnsiTheme="minorHAnsi"/>
                <w:sz w:val="18"/>
                <w:szCs w:val="18"/>
              </w:rPr>
            </w:pPr>
            <w:r w:rsidRPr="00067D67">
              <w:rPr>
                <w:rFonts w:asciiTheme="minorHAnsi" w:hAnsiTheme="minorHAnsi"/>
                <w:sz w:val="18"/>
                <w:szCs w:val="18"/>
              </w:rPr>
              <w:t>Cement. Część I. Skład, wymagania i kryteria zgodności dotyczące cementów powszechnego użytku</w:t>
            </w:r>
          </w:p>
        </w:tc>
      </w:tr>
      <w:tr w:rsidR="00AE14BA" w:rsidRPr="00A23FB4" w14:paraId="3832A38D" w14:textId="77777777" w:rsidTr="00502D10">
        <w:tc>
          <w:tcPr>
            <w:tcW w:w="496" w:type="dxa"/>
          </w:tcPr>
          <w:p w14:paraId="421ADD5F" w14:textId="77777777" w:rsidR="00AE14BA" w:rsidRPr="00067D67" w:rsidRDefault="00AE14BA" w:rsidP="00502D10">
            <w:pPr>
              <w:pStyle w:val="tekstost"/>
              <w:rPr>
                <w:rFonts w:asciiTheme="minorHAnsi" w:hAnsiTheme="minorHAnsi"/>
                <w:sz w:val="18"/>
                <w:szCs w:val="18"/>
              </w:rPr>
            </w:pPr>
            <w:r w:rsidRPr="00067D67">
              <w:rPr>
                <w:rFonts w:asciiTheme="minorHAnsi" w:hAnsiTheme="minorHAnsi"/>
                <w:sz w:val="18"/>
                <w:szCs w:val="18"/>
              </w:rPr>
              <w:t>10.</w:t>
            </w:r>
          </w:p>
        </w:tc>
        <w:tc>
          <w:tcPr>
            <w:tcW w:w="1701" w:type="dxa"/>
          </w:tcPr>
          <w:p w14:paraId="1BAB5670" w14:textId="77777777" w:rsidR="00AE14BA" w:rsidRPr="00067D67" w:rsidRDefault="00AE14BA" w:rsidP="00502D10">
            <w:pPr>
              <w:pStyle w:val="tekstost"/>
              <w:rPr>
                <w:rFonts w:asciiTheme="minorHAnsi" w:hAnsiTheme="minorHAnsi"/>
                <w:sz w:val="18"/>
                <w:szCs w:val="18"/>
              </w:rPr>
            </w:pPr>
            <w:r w:rsidRPr="00067D67">
              <w:rPr>
                <w:rFonts w:asciiTheme="minorHAnsi" w:hAnsiTheme="minorHAnsi"/>
                <w:sz w:val="18"/>
                <w:szCs w:val="18"/>
              </w:rPr>
              <w:t>PN-EN-1008:2004</w:t>
            </w:r>
          </w:p>
        </w:tc>
        <w:tc>
          <w:tcPr>
            <w:tcW w:w="7512" w:type="dxa"/>
          </w:tcPr>
          <w:p w14:paraId="171FC0C2" w14:textId="77777777" w:rsidR="00AE14BA" w:rsidRPr="00067D67" w:rsidRDefault="00AE14BA" w:rsidP="00502D10">
            <w:pPr>
              <w:pStyle w:val="tekstost"/>
              <w:rPr>
                <w:rFonts w:asciiTheme="minorHAnsi" w:hAnsiTheme="minorHAnsi"/>
                <w:sz w:val="18"/>
                <w:szCs w:val="18"/>
              </w:rPr>
            </w:pPr>
            <w:r w:rsidRPr="00067D67">
              <w:rPr>
                <w:rFonts w:asciiTheme="minorHAnsi" w:hAnsiTheme="minorHAnsi"/>
                <w:sz w:val="18"/>
                <w:szCs w:val="18"/>
              </w:rPr>
              <w:t>Woda zarobowa do betonu Specyfikacja pobierania próbek, badanie i ocena przydatności wody zarobowej do betonu, w tym wody odzyskanej z procesów produkcji betonu</w:t>
            </w:r>
          </w:p>
        </w:tc>
      </w:tr>
      <w:tr w:rsidR="00AE14BA" w:rsidRPr="00A23FB4" w14:paraId="282525A8" w14:textId="77777777" w:rsidTr="00502D10">
        <w:tc>
          <w:tcPr>
            <w:tcW w:w="496" w:type="dxa"/>
          </w:tcPr>
          <w:p w14:paraId="09B9203B" w14:textId="77777777" w:rsidR="00AE14BA" w:rsidRPr="00067D67" w:rsidRDefault="00AE14BA" w:rsidP="00502D10">
            <w:pPr>
              <w:pStyle w:val="tekstost"/>
              <w:rPr>
                <w:rFonts w:asciiTheme="minorHAnsi" w:hAnsiTheme="minorHAnsi"/>
                <w:sz w:val="18"/>
                <w:szCs w:val="18"/>
              </w:rPr>
            </w:pPr>
            <w:r w:rsidRPr="00067D67">
              <w:rPr>
                <w:rFonts w:asciiTheme="minorHAnsi" w:hAnsiTheme="minorHAnsi"/>
                <w:sz w:val="18"/>
                <w:szCs w:val="18"/>
              </w:rPr>
              <w:t>11.</w:t>
            </w:r>
          </w:p>
        </w:tc>
        <w:tc>
          <w:tcPr>
            <w:tcW w:w="1701" w:type="dxa"/>
          </w:tcPr>
          <w:p w14:paraId="1E164044" w14:textId="77777777" w:rsidR="00AE14BA" w:rsidRPr="00067D67" w:rsidRDefault="00AE14BA" w:rsidP="00502D10">
            <w:pPr>
              <w:pStyle w:val="tekstost"/>
              <w:rPr>
                <w:rFonts w:asciiTheme="minorHAnsi" w:hAnsiTheme="minorHAnsi"/>
                <w:sz w:val="18"/>
                <w:szCs w:val="18"/>
              </w:rPr>
            </w:pPr>
            <w:r w:rsidRPr="00067D67">
              <w:rPr>
                <w:rFonts w:asciiTheme="minorHAnsi" w:hAnsiTheme="minorHAnsi"/>
                <w:sz w:val="18"/>
                <w:szCs w:val="18"/>
              </w:rPr>
              <w:t>PN-S-06100:1957</w:t>
            </w:r>
          </w:p>
        </w:tc>
        <w:tc>
          <w:tcPr>
            <w:tcW w:w="7512" w:type="dxa"/>
          </w:tcPr>
          <w:p w14:paraId="56AC3975" w14:textId="77777777" w:rsidR="00AE14BA" w:rsidRPr="00067D67" w:rsidRDefault="00AE14BA" w:rsidP="00502D10">
            <w:pPr>
              <w:pStyle w:val="tekstost"/>
              <w:rPr>
                <w:rFonts w:asciiTheme="minorHAnsi" w:hAnsiTheme="minorHAnsi"/>
                <w:sz w:val="18"/>
                <w:szCs w:val="18"/>
              </w:rPr>
            </w:pPr>
            <w:r w:rsidRPr="00067D67">
              <w:rPr>
                <w:rFonts w:asciiTheme="minorHAnsi" w:hAnsiTheme="minorHAnsi"/>
                <w:sz w:val="18"/>
                <w:szCs w:val="18"/>
              </w:rPr>
              <w:t>Drogi samochodowe. Nawierzchnie z kostki kamiennej. Warunki techniczne</w:t>
            </w:r>
          </w:p>
        </w:tc>
      </w:tr>
      <w:tr w:rsidR="00AE14BA" w:rsidRPr="00A23FB4" w14:paraId="1C017506" w14:textId="77777777" w:rsidTr="00502D10">
        <w:tc>
          <w:tcPr>
            <w:tcW w:w="496" w:type="dxa"/>
          </w:tcPr>
          <w:p w14:paraId="342263F1" w14:textId="77777777" w:rsidR="00AE14BA" w:rsidRPr="00067D67" w:rsidRDefault="00AE14BA" w:rsidP="00502D10">
            <w:pPr>
              <w:pStyle w:val="tekstost"/>
              <w:rPr>
                <w:rFonts w:asciiTheme="minorHAnsi" w:hAnsiTheme="minorHAnsi"/>
                <w:sz w:val="18"/>
                <w:szCs w:val="18"/>
              </w:rPr>
            </w:pPr>
            <w:r w:rsidRPr="00067D67">
              <w:rPr>
                <w:rFonts w:asciiTheme="minorHAnsi" w:hAnsiTheme="minorHAnsi"/>
                <w:sz w:val="18"/>
                <w:szCs w:val="18"/>
              </w:rPr>
              <w:t>12.</w:t>
            </w:r>
          </w:p>
        </w:tc>
        <w:tc>
          <w:tcPr>
            <w:tcW w:w="1701" w:type="dxa"/>
          </w:tcPr>
          <w:p w14:paraId="2660DA16" w14:textId="77777777" w:rsidR="00AE14BA" w:rsidRPr="00067D67" w:rsidRDefault="00AE14BA" w:rsidP="00502D10">
            <w:pPr>
              <w:pStyle w:val="tekstost"/>
              <w:rPr>
                <w:rFonts w:asciiTheme="minorHAnsi" w:hAnsiTheme="minorHAnsi"/>
                <w:sz w:val="18"/>
                <w:szCs w:val="18"/>
              </w:rPr>
            </w:pPr>
            <w:r w:rsidRPr="00067D67">
              <w:rPr>
                <w:rFonts w:asciiTheme="minorHAnsi" w:hAnsiTheme="minorHAnsi"/>
                <w:sz w:val="18"/>
                <w:szCs w:val="18"/>
              </w:rPr>
              <w:t>PN-S-96026:1958</w:t>
            </w:r>
          </w:p>
        </w:tc>
        <w:tc>
          <w:tcPr>
            <w:tcW w:w="7512" w:type="dxa"/>
          </w:tcPr>
          <w:p w14:paraId="6C9B470B" w14:textId="77777777" w:rsidR="00AE14BA" w:rsidRPr="00067D67" w:rsidRDefault="00AE14BA" w:rsidP="00502D10">
            <w:pPr>
              <w:pStyle w:val="tekstost"/>
              <w:rPr>
                <w:rFonts w:asciiTheme="minorHAnsi" w:hAnsiTheme="minorHAnsi"/>
                <w:sz w:val="18"/>
                <w:szCs w:val="18"/>
              </w:rPr>
            </w:pPr>
            <w:r w:rsidRPr="00067D67">
              <w:rPr>
                <w:rFonts w:asciiTheme="minorHAnsi" w:hAnsiTheme="minorHAnsi"/>
                <w:sz w:val="18"/>
                <w:szCs w:val="18"/>
              </w:rPr>
              <w:t>Drogi samochodowe. Nawierzchnie z kostki kamiennej nieregularnej. Wymagania techniczne i badania przy odbiorze</w:t>
            </w:r>
          </w:p>
        </w:tc>
      </w:tr>
      <w:tr w:rsidR="00AE14BA" w:rsidRPr="00A23FB4" w14:paraId="7296864C" w14:textId="77777777" w:rsidTr="00502D10">
        <w:tc>
          <w:tcPr>
            <w:tcW w:w="496" w:type="dxa"/>
          </w:tcPr>
          <w:p w14:paraId="7EF31CC0" w14:textId="77777777" w:rsidR="00AE14BA" w:rsidRPr="00067D67" w:rsidRDefault="00AE14BA" w:rsidP="00502D10">
            <w:pPr>
              <w:pStyle w:val="tekstost"/>
              <w:rPr>
                <w:rFonts w:asciiTheme="minorHAnsi" w:hAnsiTheme="minorHAnsi"/>
                <w:sz w:val="18"/>
                <w:szCs w:val="18"/>
              </w:rPr>
            </w:pPr>
            <w:r w:rsidRPr="00067D67">
              <w:rPr>
                <w:rFonts w:asciiTheme="minorHAnsi" w:hAnsiTheme="minorHAnsi"/>
                <w:sz w:val="18"/>
                <w:szCs w:val="18"/>
              </w:rPr>
              <w:t>13.</w:t>
            </w:r>
          </w:p>
        </w:tc>
        <w:tc>
          <w:tcPr>
            <w:tcW w:w="1701" w:type="dxa"/>
          </w:tcPr>
          <w:p w14:paraId="4FA2ED15" w14:textId="77777777" w:rsidR="00AE14BA" w:rsidRPr="00067D67" w:rsidRDefault="00AE14BA" w:rsidP="00502D10">
            <w:pPr>
              <w:pStyle w:val="tekstost"/>
              <w:rPr>
                <w:rFonts w:asciiTheme="minorHAnsi" w:hAnsiTheme="minorHAnsi"/>
                <w:sz w:val="18"/>
                <w:szCs w:val="18"/>
              </w:rPr>
            </w:pPr>
            <w:r w:rsidRPr="00067D67">
              <w:rPr>
                <w:rFonts w:asciiTheme="minorHAnsi" w:hAnsiTheme="minorHAnsi"/>
                <w:sz w:val="18"/>
                <w:szCs w:val="18"/>
              </w:rPr>
              <w:t>BN-69/6731-08</w:t>
            </w:r>
          </w:p>
        </w:tc>
        <w:tc>
          <w:tcPr>
            <w:tcW w:w="7512" w:type="dxa"/>
          </w:tcPr>
          <w:p w14:paraId="386E17DF" w14:textId="77777777" w:rsidR="00AE14BA" w:rsidRPr="00067D67" w:rsidRDefault="00AE14BA" w:rsidP="00502D10">
            <w:pPr>
              <w:pStyle w:val="tekstost"/>
              <w:rPr>
                <w:rFonts w:asciiTheme="minorHAnsi" w:hAnsiTheme="minorHAnsi"/>
                <w:sz w:val="18"/>
                <w:szCs w:val="18"/>
              </w:rPr>
            </w:pPr>
            <w:r w:rsidRPr="00067D67">
              <w:rPr>
                <w:rFonts w:asciiTheme="minorHAnsi" w:hAnsiTheme="minorHAnsi"/>
                <w:sz w:val="18"/>
                <w:szCs w:val="18"/>
              </w:rPr>
              <w:t>Cement. Transport i przechowywanie</w:t>
            </w:r>
          </w:p>
        </w:tc>
      </w:tr>
      <w:tr w:rsidR="00AE14BA" w:rsidRPr="00A23FB4" w14:paraId="39E50EBD" w14:textId="77777777" w:rsidTr="00502D10">
        <w:tc>
          <w:tcPr>
            <w:tcW w:w="496" w:type="dxa"/>
          </w:tcPr>
          <w:p w14:paraId="13AB0BF8" w14:textId="77777777" w:rsidR="00AE14BA" w:rsidRPr="00067D67" w:rsidRDefault="00AE14BA" w:rsidP="00502D10">
            <w:pPr>
              <w:pStyle w:val="tekstost"/>
              <w:rPr>
                <w:rFonts w:asciiTheme="minorHAnsi" w:hAnsiTheme="minorHAnsi"/>
                <w:sz w:val="18"/>
                <w:szCs w:val="18"/>
              </w:rPr>
            </w:pPr>
            <w:r w:rsidRPr="00067D67">
              <w:rPr>
                <w:rFonts w:asciiTheme="minorHAnsi" w:hAnsiTheme="minorHAnsi"/>
                <w:sz w:val="18"/>
                <w:szCs w:val="18"/>
              </w:rPr>
              <w:t>14.</w:t>
            </w:r>
          </w:p>
        </w:tc>
        <w:tc>
          <w:tcPr>
            <w:tcW w:w="1701" w:type="dxa"/>
          </w:tcPr>
          <w:p w14:paraId="23F6F466" w14:textId="77777777" w:rsidR="00AE14BA" w:rsidRPr="00067D67" w:rsidRDefault="00AE14BA" w:rsidP="00502D10">
            <w:pPr>
              <w:pStyle w:val="tekstost"/>
              <w:rPr>
                <w:rFonts w:asciiTheme="minorHAnsi" w:hAnsiTheme="minorHAnsi"/>
                <w:sz w:val="18"/>
                <w:szCs w:val="18"/>
              </w:rPr>
            </w:pPr>
            <w:r w:rsidRPr="00067D67">
              <w:rPr>
                <w:rFonts w:asciiTheme="minorHAnsi" w:hAnsiTheme="minorHAnsi"/>
                <w:sz w:val="18"/>
                <w:szCs w:val="18"/>
              </w:rPr>
              <w:t>BN-74/6771-04</w:t>
            </w:r>
          </w:p>
        </w:tc>
        <w:tc>
          <w:tcPr>
            <w:tcW w:w="7512" w:type="dxa"/>
          </w:tcPr>
          <w:p w14:paraId="540AB596" w14:textId="77777777" w:rsidR="00AE14BA" w:rsidRPr="00067D67" w:rsidRDefault="00AE14BA" w:rsidP="00502D10">
            <w:pPr>
              <w:pStyle w:val="tekstost"/>
              <w:rPr>
                <w:rFonts w:asciiTheme="minorHAnsi" w:hAnsiTheme="minorHAnsi"/>
                <w:sz w:val="18"/>
                <w:szCs w:val="18"/>
              </w:rPr>
            </w:pPr>
            <w:r w:rsidRPr="00067D67">
              <w:rPr>
                <w:rFonts w:asciiTheme="minorHAnsi" w:hAnsiTheme="minorHAnsi"/>
                <w:sz w:val="18"/>
                <w:szCs w:val="18"/>
              </w:rPr>
              <w:t>Drogi samochodowe. Masa zalewowa</w:t>
            </w:r>
          </w:p>
        </w:tc>
      </w:tr>
      <w:tr w:rsidR="00AE14BA" w:rsidRPr="00A23FB4" w14:paraId="15C5E3A0" w14:textId="77777777" w:rsidTr="00502D10">
        <w:tc>
          <w:tcPr>
            <w:tcW w:w="496" w:type="dxa"/>
          </w:tcPr>
          <w:p w14:paraId="23733AEF" w14:textId="77777777" w:rsidR="00AE14BA" w:rsidRPr="00067D67" w:rsidRDefault="00AE14BA" w:rsidP="00502D10">
            <w:pPr>
              <w:pStyle w:val="tekstost"/>
              <w:rPr>
                <w:rFonts w:asciiTheme="minorHAnsi" w:hAnsiTheme="minorHAnsi"/>
                <w:sz w:val="18"/>
                <w:szCs w:val="18"/>
              </w:rPr>
            </w:pPr>
            <w:r w:rsidRPr="00067D67">
              <w:rPr>
                <w:rFonts w:asciiTheme="minorHAnsi" w:hAnsiTheme="minorHAnsi"/>
                <w:sz w:val="18"/>
                <w:szCs w:val="18"/>
              </w:rPr>
              <w:t>15.</w:t>
            </w:r>
          </w:p>
        </w:tc>
        <w:tc>
          <w:tcPr>
            <w:tcW w:w="1701" w:type="dxa"/>
          </w:tcPr>
          <w:p w14:paraId="16A8A73D" w14:textId="77777777" w:rsidR="00AE14BA" w:rsidRPr="00067D67" w:rsidRDefault="00AE14BA" w:rsidP="00502D10">
            <w:pPr>
              <w:pStyle w:val="tekstost"/>
              <w:rPr>
                <w:rFonts w:asciiTheme="minorHAnsi" w:hAnsiTheme="minorHAnsi"/>
                <w:sz w:val="18"/>
                <w:szCs w:val="18"/>
              </w:rPr>
            </w:pPr>
            <w:r w:rsidRPr="00067D67">
              <w:rPr>
                <w:rFonts w:asciiTheme="minorHAnsi" w:hAnsiTheme="minorHAnsi"/>
                <w:sz w:val="18"/>
                <w:szCs w:val="18"/>
              </w:rPr>
              <w:t>BN-66/6775-01</w:t>
            </w:r>
          </w:p>
        </w:tc>
        <w:tc>
          <w:tcPr>
            <w:tcW w:w="7512" w:type="dxa"/>
          </w:tcPr>
          <w:p w14:paraId="5F247C6A" w14:textId="77777777" w:rsidR="00AE14BA" w:rsidRPr="00067D67" w:rsidRDefault="00AE14BA" w:rsidP="00502D10">
            <w:pPr>
              <w:pStyle w:val="tekstost"/>
              <w:rPr>
                <w:rFonts w:asciiTheme="minorHAnsi" w:hAnsiTheme="minorHAnsi"/>
                <w:sz w:val="18"/>
                <w:szCs w:val="18"/>
              </w:rPr>
            </w:pPr>
            <w:r w:rsidRPr="00067D67">
              <w:rPr>
                <w:rFonts w:asciiTheme="minorHAnsi" w:hAnsiTheme="minorHAnsi"/>
                <w:sz w:val="18"/>
                <w:szCs w:val="18"/>
              </w:rPr>
              <w:t>Elementy kamienne. Krawężniki uliczne, mostowe i drogowe</w:t>
            </w:r>
          </w:p>
        </w:tc>
      </w:tr>
      <w:tr w:rsidR="00AE14BA" w:rsidRPr="00A23FB4" w14:paraId="76BAE8AB" w14:textId="77777777" w:rsidTr="00502D10">
        <w:tc>
          <w:tcPr>
            <w:tcW w:w="496" w:type="dxa"/>
          </w:tcPr>
          <w:p w14:paraId="63BA20ED" w14:textId="77777777" w:rsidR="00AE14BA" w:rsidRPr="00067D67" w:rsidRDefault="00AE14BA" w:rsidP="00502D10">
            <w:pPr>
              <w:pStyle w:val="tekstost"/>
              <w:rPr>
                <w:rFonts w:asciiTheme="minorHAnsi" w:hAnsiTheme="minorHAnsi"/>
                <w:sz w:val="18"/>
                <w:szCs w:val="18"/>
              </w:rPr>
            </w:pPr>
            <w:r w:rsidRPr="00067D67">
              <w:rPr>
                <w:rFonts w:asciiTheme="minorHAnsi" w:hAnsiTheme="minorHAnsi"/>
                <w:sz w:val="18"/>
                <w:szCs w:val="18"/>
              </w:rPr>
              <w:t>16.</w:t>
            </w:r>
          </w:p>
        </w:tc>
        <w:tc>
          <w:tcPr>
            <w:tcW w:w="1701" w:type="dxa"/>
          </w:tcPr>
          <w:p w14:paraId="768E1FF3" w14:textId="77777777" w:rsidR="00AE14BA" w:rsidRPr="00067D67" w:rsidRDefault="00AE14BA" w:rsidP="00502D10">
            <w:pPr>
              <w:pStyle w:val="tekstost"/>
              <w:rPr>
                <w:rFonts w:asciiTheme="minorHAnsi" w:hAnsiTheme="minorHAnsi"/>
                <w:sz w:val="18"/>
                <w:szCs w:val="18"/>
              </w:rPr>
            </w:pPr>
            <w:r w:rsidRPr="00067D67">
              <w:rPr>
                <w:rFonts w:asciiTheme="minorHAnsi" w:hAnsiTheme="minorHAnsi"/>
                <w:sz w:val="18"/>
                <w:szCs w:val="18"/>
              </w:rPr>
              <w:t>BN-80/6775-03/01</w:t>
            </w:r>
          </w:p>
        </w:tc>
        <w:tc>
          <w:tcPr>
            <w:tcW w:w="7512" w:type="dxa"/>
          </w:tcPr>
          <w:p w14:paraId="456CB725" w14:textId="77777777" w:rsidR="00AE14BA" w:rsidRPr="00067D67" w:rsidRDefault="00AE14BA" w:rsidP="00502D10">
            <w:pPr>
              <w:pStyle w:val="tekstost"/>
              <w:rPr>
                <w:rFonts w:asciiTheme="minorHAnsi" w:hAnsiTheme="minorHAnsi"/>
                <w:sz w:val="18"/>
                <w:szCs w:val="18"/>
              </w:rPr>
            </w:pPr>
            <w:r w:rsidRPr="00067D67">
              <w:rPr>
                <w:rFonts w:asciiTheme="minorHAnsi" w:hAnsiTheme="minorHAnsi"/>
                <w:sz w:val="18"/>
                <w:szCs w:val="18"/>
              </w:rPr>
              <w:t>Prefabrykaty budowlane z betonu. Elementy nawierzchni dróg, ulic, parkingów i torowisk tramwajowych. Wspólne wymagania i badania</w:t>
            </w:r>
          </w:p>
        </w:tc>
      </w:tr>
      <w:tr w:rsidR="00AE14BA" w:rsidRPr="00A23FB4" w14:paraId="6F104E75" w14:textId="77777777" w:rsidTr="00502D10">
        <w:tc>
          <w:tcPr>
            <w:tcW w:w="496" w:type="dxa"/>
          </w:tcPr>
          <w:p w14:paraId="7B7CED57" w14:textId="77777777" w:rsidR="00AE14BA" w:rsidRPr="00067D67" w:rsidRDefault="00AE14BA" w:rsidP="00502D10">
            <w:pPr>
              <w:pStyle w:val="tekstost"/>
              <w:rPr>
                <w:rFonts w:asciiTheme="minorHAnsi" w:hAnsiTheme="minorHAnsi"/>
                <w:sz w:val="18"/>
                <w:szCs w:val="18"/>
              </w:rPr>
            </w:pPr>
            <w:r w:rsidRPr="00067D67">
              <w:rPr>
                <w:rFonts w:asciiTheme="minorHAnsi" w:hAnsiTheme="minorHAnsi"/>
                <w:sz w:val="18"/>
                <w:szCs w:val="18"/>
              </w:rPr>
              <w:t>17.</w:t>
            </w:r>
          </w:p>
        </w:tc>
        <w:tc>
          <w:tcPr>
            <w:tcW w:w="1701" w:type="dxa"/>
          </w:tcPr>
          <w:p w14:paraId="02AA2150" w14:textId="77777777" w:rsidR="00AE14BA" w:rsidRPr="00067D67" w:rsidRDefault="00AE14BA" w:rsidP="00502D10">
            <w:pPr>
              <w:pStyle w:val="tekstost"/>
              <w:rPr>
                <w:rFonts w:asciiTheme="minorHAnsi" w:hAnsiTheme="minorHAnsi"/>
                <w:sz w:val="18"/>
                <w:szCs w:val="18"/>
              </w:rPr>
            </w:pPr>
            <w:r w:rsidRPr="00067D67">
              <w:rPr>
                <w:rFonts w:asciiTheme="minorHAnsi" w:hAnsiTheme="minorHAnsi"/>
                <w:sz w:val="18"/>
                <w:szCs w:val="18"/>
              </w:rPr>
              <w:t>BN-80/6775-03/04</w:t>
            </w:r>
          </w:p>
        </w:tc>
        <w:tc>
          <w:tcPr>
            <w:tcW w:w="7512" w:type="dxa"/>
          </w:tcPr>
          <w:p w14:paraId="53CCB388" w14:textId="77777777" w:rsidR="00AE14BA" w:rsidRPr="00067D67" w:rsidRDefault="00AE14BA" w:rsidP="00502D10">
            <w:pPr>
              <w:pStyle w:val="tekstost"/>
              <w:rPr>
                <w:rFonts w:asciiTheme="minorHAnsi" w:hAnsiTheme="minorHAnsi"/>
                <w:sz w:val="18"/>
                <w:szCs w:val="18"/>
              </w:rPr>
            </w:pPr>
            <w:r w:rsidRPr="00067D67">
              <w:rPr>
                <w:rFonts w:asciiTheme="minorHAnsi" w:hAnsiTheme="minorHAnsi"/>
                <w:sz w:val="18"/>
                <w:szCs w:val="18"/>
              </w:rPr>
              <w:t>Prefabrykaty budowlane z betonu. Elementy nawierzchni dróg, ulic, parkingów i torowisk tramwajowych. Krawężniki i obrzeża</w:t>
            </w:r>
          </w:p>
        </w:tc>
      </w:tr>
      <w:tr w:rsidR="00AE14BA" w:rsidRPr="00A23FB4" w14:paraId="538F0CAD" w14:textId="77777777" w:rsidTr="00502D10">
        <w:tc>
          <w:tcPr>
            <w:tcW w:w="496" w:type="dxa"/>
          </w:tcPr>
          <w:p w14:paraId="5F9EDE7B" w14:textId="77777777" w:rsidR="00AE14BA" w:rsidRPr="00067D67" w:rsidRDefault="00AE14BA" w:rsidP="00502D10">
            <w:pPr>
              <w:pStyle w:val="tekstost"/>
              <w:rPr>
                <w:rFonts w:asciiTheme="minorHAnsi" w:hAnsiTheme="minorHAnsi"/>
                <w:sz w:val="18"/>
                <w:szCs w:val="18"/>
              </w:rPr>
            </w:pPr>
            <w:r w:rsidRPr="00067D67">
              <w:rPr>
                <w:rFonts w:asciiTheme="minorHAnsi" w:hAnsiTheme="minorHAnsi"/>
                <w:sz w:val="18"/>
                <w:szCs w:val="18"/>
              </w:rPr>
              <w:t>18.</w:t>
            </w:r>
          </w:p>
        </w:tc>
        <w:tc>
          <w:tcPr>
            <w:tcW w:w="1701" w:type="dxa"/>
          </w:tcPr>
          <w:p w14:paraId="6CC9F7D0" w14:textId="77777777" w:rsidR="00AE14BA" w:rsidRPr="00067D67" w:rsidRDefault="00AE14BA" w:rsidP="00502D10">
            <w:pPr>
              <w:pStyle w:val="tekstost"/>
              <w:rPr>
                <w:rFonts w:asciiTheme="minorHAnsi" w:hAnsiTheme="minorHAnsi"/>
                <w:sz w:val="18"/>
                <w:szCs w:val="18"/>
              </w:rPr>
            </w:pPr>
            <w:r w:rsidRPr="00067D67">
              <w:rPr>
                <w:rFonts w:asciiTheme="minorHAnsi" w:hAnsiTheme="minorHAnsi"/>
                <w:sz w:val="18"/>
                <w:szCs w:val="18"/>
              </w:rPr>
              <w:t>BN-68/8931-04</w:t>
            </w:r>
          </w:p>
        </w:tc>
        <w:tc>
          <w:tcPr>
            <w:tcW w:w="7512" w:type="dxa"/>
          </w:tcPr>
          <w:p w14:paraId="1B34CC51" w14:textId="77777777" w:rsidR="00AE14BA" w:rsidRPr="00067D67" w:rsidRDefault="00AE14BA" w:rsidP="00502D10">
            <w:pPr>
              <w:pStyle w:val="tekstost"/>
              <w:rPr>
                <w:rFonts w:asciiTheme="minorHAnsi" w:hAnsiTheme="minorHAnsi"/>
                <w:sz w:val="18"/>
                <w:szCs w:val="18"/>
              </w:rPr>
            </w:pPr>
            <w:r w:rsidRPr="00067D67">
              <w:rPr>
                <w:rFonts w:asciiTheme="minorHAnsi" w:hAnsiTheme="minorHAnsi"/>
                <w:sz w:val="18"/>
                <w:szCs w:val="18"/>
              </w:rPr>
              <w:t>Drogi samochodowe. Pomiar równości nawierzchni planografem i łatą.</w:t>
            </w:r>
          </w:p>
        </w:tc>
      </w:tr>
    </w:tbl>
    <w:p w14:paraId="31E62D1A" w14:textId="77777777" w:rsidR="00AE14BA" w:rsidRPr="00A23FB4" w:rsidRDefault="00AE14BA" w:rsidP="00AE14BA">
      <w:pPr>
        <w:pStyle w:val="Nagwek4"/>
        <w:rPr>
          <w:rFonts w:asciiTheme="minorHAnsi" w:hAnsiTheme="minorHAnsi"/>
        </w:rPr>
      </w:pPr>
      <w:r w:rsidRPr="00A23FB4">
        <w:rPr>
          <w:rFonts w:asciiTheme="minorHAnsi" w:hAnsiTheme="minorHAnsi"/>
        </w:rPr>
        <w:t>10.2. Inne dokumenty</w:t>
      </w:r>
    </w:p>
    <w:p w14:paraId="665D19A2" w14:textId="77777777" w:rsidR="00AE14BA" w:rsidRPr="00067D67" w:rsidRDefault="00AE14BA" w:rsidP="00AE14BA">
      <w:pPr>
        <w:rPr>
          <w:rFonts w:asciiTheme="minorHAnsi" w:hAnsiTheme="minorHAnsi"/>
          <w:sz w:val="18"/>
          <w:szCs w:val="18"/>
        </w:rPr>
      </w:pPr>
      <w:r w:rsidRPr="00067D67">
        <w:rPr>
          <w:rFonts w:asciiTheme="minorHAnsi" w:hAnsiTheme="minorHAnsi"/>
          <w:sz w:val="18"/>
          <w:szCs w:val="18"/>
        </w:rPr>
        <w:t>19.    Warunki techniczne. Drogowe emulsje asfaltowe EmA-94. IBDiM - 1994 r.</w:t>
      </w:r>
    </w:p>
    <w:p w14:paraId="1CAD37DE" w14:textId="77777777" w:rsidR="00AE14BA" w:rsidRPr="00A23FB4" w:rsidRDefault="00AE14BA">
      <w:pPr>
        <w:overflowPunct/>
        <w:autoSpaceDE/>
        <w:autoSpaceDN/>
        <w:adjustRightInd/>
        <w:jc w:val="left"/>
        <w:textAlignment w:val="auto"/>
        <w:rPr>
          <w:rFonts w:asciiTheme="minorHAnsi" w:hAnsiTheme="minorHAnsi"/>
        </w:rPr>
      </w:pPr>
      <w:r w:rsidRPr="00A23FB4">
        <w:rPr>
          <w:rFonts w:asciiTheme="minorHAnsi" w:hAnsiTheme="minorHAnsi"/>
        </w:rPr>
        <w:br w:type="page"/>
      </w:r>
    </w:p>
    <w:p w14:paraId="177D8847" w14:textId="77777777" w:rsidR="00D901E4" w:rsidRDefault="00D901E4" w:rsidP="004F111B">
      <w:pPr>
        <w:pStyle w:val="Nagwek2"/>
        <w:jc w:val="both"/>
        <w:rPr>
          <w:rFonts w:asciiTheme="minorHAnsi" w:hAnsiTheme="minorHAnsi"/>
          <w:sz w:val="22"/>
          <w:szCs w:val="22"/>
        </w:rPr>
      </w:pPr>
    </w:p>
    <w:p w14:paraId="1A38C168" w14:textId="51092B84" w:rsidR="002146B0" w:rsidRPr="00E30D66" w:rsidRDefault="00575C66" w:rsidP="00E30D66">
      <w:pPr>
        <w:pStyle w:val="Default"/>
        <w:jc w:val="center"/>
        <w:rPr>
          <w:rFonts w:asciiTheme="minorHAnsi" w:hAnsiTheme="minorHAnsi"/>
          <w:b/>
          <w:bCs/>
          <w:color w:val="auto"/>
          <w:sz w:val="20"/>
          <w:szCs w:val="20"/>
        </w:rPr>
      </w:pPr>
      <w:r>
        <w:rPr>
          <w:rFonts w:ascii="Calibri" w:hAnsi="Calibri" w:cs="Calibri"/>
          <w:b/>
          <w:sz w:val="22"/>
          <w:szCs w:val="22"/>
        </w:rPr>
        <w:t>SZCZEGÓŁOWE SPECYFIKACJE TECHNICZNE</w:t>
      </w:r>
      <w:r w:rsidR="002146B0" w:rsidRPr="00E30D66">
        <w:rPr>
          <w:rFonts w:asciiTheme="minorHAnsi" w:hAnsiTheme="minorHAnsi"/>
          <w:b/>
          <w:bCs/>
          <w:color w:val="auto"/>
          <w:sz w:val="20"/>
          <w:szCs w:val="20"/>
        </w:rPr>
        <w:t xml:space="preserve"> WYKONANIA I ODBIORU ROBÓT BUDOWLANYCH</w:t>
      </w:r>
    </w:p>
    <w:p w14:paraId="6C3983C4" w14:textId="613E26E9" w:rsidR="008622B6" w:rsidRPr="00A921D0" w:rsidRDefault="002146B0" w:rsidP="00A921D0">
      <w:pPr>
        <w:pStyle w:val="Nagwek1"/>
        <w:rPr>
          <w:rFonts w:asciiTheme="minorHAnsi" w:hAnsiTheme="minorHAnsi" w:cstheme="minorHAnsi"/>
          <w:sz w:val="20"/>
          <w:szCs w:val="20"/>
        </w:rPr>
      </w:pPr>
      <w:bookmarkStart w:id="635" w:name="_Toc427178280"/>
      <w:bookmarkStart w:id="636" w:name="_Toc449065565"/>
      <w:bookmarkStart w:id="637" w:name="_Toc455953296"/>
      <w:bookmarkStart w:id="638" w:name="_Toc206275487"/>
      <w:r w:rsidRPr="00A921D0">
        <w:rPr>
          <w:rFonts w:asciiTheme="minorHAnsi" w:hAnsiTheme="minorHAnsi" w:cstheme="minorHAnsi"/>
          <w:sz w:val="20"/>
          <w:szCs w:val="20"/>
        </w:rPr>
        <w:t>D-05.03.</w:t>
      </w:r>
      <w:r w:rsidR="008622B6" w:rsidRPr="00A921D0">
        <w:rPr>
          <w:rFonts w:asciiTheme="minorHAnsi" w:hAnsiTheme="minorHAnsi" w:cstheme="minorHAnsi"/>
          <w:sz w:val="20"/>
          <w:szCs w:val="20"/>
        </w:rPr>
        <w:t>05</w:t>
      </w:r>
      <w:r w:rsidRPr="00A921D0">
        <w:rPr>
          <w:rFonts w:asciiTheme="minorHAnsi" w:hAnsiTheme="minorHAnsi" w:cstheme="minorHAnsi"/>
          <w:sz w:val="20"/>
          <w:szCs w:val="20"/>
        </w:rPr>
        <w:t xml:space="preserve">a </w:t>
      </w:r>
      <w:bookmarkEnd w:id="635"/>
      <w:bookmarkEnd w:id="636"/>
      <w:bookmarkEnd w:id="637"/>
      <w:r w:rsidR="00450F51" w:rsidRPr="00A921D0">
        <w:rPr>
          <w:rFonts w:asciiTheme="minorHAnsi" w:hAnsiTheme="minorHAnsi" w:cstheme="minorHAnsi"/>
          <w:sz w:val="20"/>
          <w:szCs w:val="20"/>
        </w:rPr>
        <w:t xml:space="preserve">  </w:t>
      </w:r>
      <w:r w:rsidR="008622B6" w:rsidRPr="00A921D0">
        <w:rPr>
          <w:rFonts w:asciiTheme="minorHAnsi" w:hAnsiTheme="minorHAnsi" w:cstheme="minorHAnsi"/>
          <w:sz w:val="20"/>
          <w:szCs w:val="20"/>
        </w:rPr>
        <w:t>NAWIERZCHNIA Z BETONU ASFALTOWEGO WARSTWA WIĄŻĄCa</w:t>
      </w:r>
      <w:bookmarkEnd w:id="638"/>
      <w:r w:rsidR="008622B6" w:rsidRPr="00A921D0">
        <w:rPr>
          <w:rFonts w:asciiTheme="minorHAnsi" w:hAnsiTheme="minorHAnsi" w:cstheme="minorHAnsi"/>
          <w:sz w:val="20"/>
          <w:szCs w:val="20"/>
        </w:rPr>
        <w:t xml:space="preserve"> </w:t>
      </w:r>
    </w:p>
    <w:p w14:paraId="02B09B66" w14:textId="6F1AB6E9" w:rsidR="00E00D25" w:rsidRPr="008652E1" w:rsidRDefault="002146B0" w:rsidP="008652E1">
      <w:pPr>
        <w:pStyle w:val="Nagwek4"/>
        <w:tabs>
          <w:tab w:val="left" w:pos="9914"/>
        </w:tabs>
        <w:rPr>
          <w:rFonts w:ascii="Calibri" w:hAnsi="Calibri" w:cs="Calibri"/>
          <w:sz w:val="22"/>
          <w:szCs w:val="22"/>
        </w:rPr>
      </w:pPr>
      <w:r w:rsidRPr="008652E1">
        <w:rPr>
          <w:rFonts w:ascii="Calibri" w:hAnsi="Calibri" w:cs="Calibri"/>
          <w:sz w:val="22"/>
          <w:szCs w:val="22"/>
        </w:rPr>
        <w:t>1.WSTĘP</w:t>
      </w:r>
      <w:r w:rsidRPr="008652E1">
        <w:rPr>
          <w:rFonts w:ascii="Calibri" w:hAnsi="Calibri" w:cs="Calibri"/>
          <w:sz w:val="22"/>
          <w:szCs w:val="22"/>
        </w:rPr>
        <w:tab/>
      </w:r>
    </w:p>
    <w:p w14:paraId="4C46563F" w14:textId="0BCD29A5" w:rsidR="00E00D25" w:rsidRPr="00FD657F" w:rsidRDefault="00E00D25" w:rsidP="00E00D25">
      <w:pPr>
        <w:pStyle w:val="Nagwek4"/>
        <w:tabs>
          <w:tab w:val="left" w:pos="9914"/>
        </w:tabs>
        <w:rPr>
          <w:rFonts w:ascii="Calibri" w:hAnsi="Calibri" w:cs="Calibri"/>
          <w:sz w:val="22"/>
          <w:szCs w:val="22"/>
        </w:rPr>
      </w:pPr>
      <w:r w:rsidRPr="00FD657F">
        <w:rPr>
          <w:rFonts w:ascii="Calibri" w:hAnsi="Calibri" w:cs="Calibri"/>
          <w:sz w:val="22"/>
          <w:szCs w:val="22"/>
        </w:rPr>
        <w:t>1.1. Przedmiot</w:t>
      </w:r>
      <w:r w:rsidR="00E85067">
        <w:rPr>
          <w:rFonts w:ascii="Calibri" w:hAnsi="Calibri" w:cs="Calibri"/>
          <w:sz w:val="22"/>
          <w:szCs w:val="22"/>
        </w:rPr>
        <w:t xml:space="preserve"> ST</w:t>
      </w:r>
      <w:r w:rsidRPr="00FD657F">
        <w:rPr>
          <w:rFonts w:ascii="Calibri" w:hAnsi="Calibri" w:cs="Calibri"/>
          <w:sz w:val="22"/>
          <w:szCs w:val="22"/>
        </w:rPr>
        <w:t>WiORB</w:t>
      </w:r>
    </w:p>
    <w:p w14:paraId="41677F96" w14:textId="3EE7E7A0" w:rsidR="00E00D25" w:rsidRPr="006736A8" w:rsidRDefault="00E00D25" w:rsidP="00E00D25">
      <w:pPr>
        <w:pStyle w:val="Standardowytekst"/>
        <w:tabs>
          <w:tab w:val="left" w:pos="9914"/>
        </w:tabs>
        <w:rPr>
          <w:rFonts w:ascii="Calibri" w:hAnsi="Calibri" w:cs="Calibri"/>
        </w:rPr>
      </w:pPr>
      <w:r w:rsidRPr="006736A8">
        <w:rPr>
          <w:rFonts w:ascii="Calibri" w:hAnsi="Calibri" w:cs="Calibri"/>
        </w:rPr>
        <w:t>Przedmiotem niniejsz</w:t>
      </w:r>
      <w:r w:rsidR="00375F64">
        <w:rPr>
          <w:rFonts w:ascii="Calibri" w:hAnsi="Calibri" w:cs="Calibri"/>
        </w:rPr>
        <w:t>ej</w:t>
      </w:r>
      <w:r w:rsidRPr="006736A8">
        <w:rPr>
          <w:rFonts w:ascii="Calibri" w:hAnsi="Calibri" w:cs="Calibri"/>
        </w:rPr>
        <w:t xml:space="preserve"> </w:t>
      </w:r>
      <w:r w:rsidR="00575C66">
        <w:rPr>
          <w:rFonts w:ascii="Calibri" w:hAnsi="Calibri" w:cs="Calibri"/>
        </w:rPr>
        <w:t>specyfikacji</w:t>
      </w:r>
      <w:r w:rsidRPr="006736A8">
        <w:rPr>
          <w:rFonts w:ascii="Calibri" w:hAnsi="Calibri" w:cs="Calibri"/>
        </w:rPr>
        <w:t xml:space="preserve"> są wymagania dotyczące wykonania i odbioru robót związanych z wykonaniem warstwy wiążącej  z betonu asfaltowego.</w:t>
      </w:r>
    </w:p>
    <w:p w14:paraId="3A968006" w14:textId="2AECD6D2" w:rsidR="00E00D25" w:rsidRPr="00FD657F" w:rsidRDefault="00E00D25" w:rsidP="00E00D25">
      <w:pPr>
        <w:pStyle w:val="Nagwek4"/>
        <w:tabs>
          <w:tab w:val="left" w:pos="9914"/>
        </w:tabs>
        <w:rPr>
          <w:rFonts w:ascii="Calibri" w:hAnsi="Calibri" w:cs="Calibri"/>
          <w:sz w:val="22"/>
          <w:szCs w:val="22"/>
        </w:rPr>
      </w:pPr>
      <w:r w:rsidRPr="00FD657F">
        <w:rPr>
          <w:rFonts w:ascii="Calibri" w:hAnsi="Calibri" w:cs="Calibri"/>
          <w:sz w:val="22"/>
          <w:szCs w:val="22"/>
        </w:rPr>
        <w:t xml:space="preserve">1.2. Zakres stosowania </w:t>
      </w:r>
      <w:r w:rsidR="003D1D4D">
        <w:rPr>
          <w:rFonts w:ascii="Calibri" w:hAnsi="Calibri" w:cs="Calibri"/>
          <w:sz w:val="22"/>
          <w:szCs w:val="22"/>
        </w:rPr>
        <w:t>ST</w:t>
      </w:r>
      <w:r w:rsidRPr="00FD657F">
        <w:rPr>
          <w:rFonts w:ascii="Calibri" w:hAnsi="Calibri" w:cs="Calibri"/>
          <w:sz w:val="22"/>
          <w:szCs w:val="22"/>
        </w:rPr>
        <w:t>WiORB</w:t>
      </w:r>
    </w:p>
    <w:p w14:paraId="3ABA3A8D" w14:textId="27644D9F" w:rsidR="00E00D25" w:rsidRPr="006736A8" w:rsidRDefault="00575C66" w:rsidP="00E00D25">
      <w:pPr>
        <w:pStyle w:val="Standardowytekst"/>
        <w:tabs>
          <w:tab w:val="left" w:pos="9914"/>
        </w:tabs>
        <w:rPr>
          <w:rFonts w:ascii="Calibri" w:hAnsi="Calibri" w:cs="Calibri"/>
        </w:rPr>
      </w:pPr>
      <w:r>
        <w:rPr>
          <w:rFonts w:ascii="Calibri" w:hAnsi="Calibri" w:cs="Calibri"/>
        </w:rPr>
        <w:t>Specyfikacj</w:t>
      </w:r>
      <w:r w:rsidR="00375F64">
        <w:rPr>
          <w:rFonts w:ascii="Calibri" w:hAnsi="Calibri" w:cs="Calibri"/>
        </w:rPr>
        <w:t>a</w:t>
      </w:r>
      <w:r w:rsidRPr="006736A8">
        <w:rPr>
          <w:rFonts w:ascii="Calibri" w:hAnsi="Calibri" w:cs="Calibri"/>
        </w:rPr>
        <w:t xml:space="preserve"> </w:t>
      </w:r>
      <w:r w:rsidR="00E00D25" w:rsidRPr="006736A8">
        <w:rPr>
          <w:rFonts w:ascii="Calibri" w:hAnsi="Calibri" w:cs="Calibri"/>
        </w:rPr>
        <w:t>stanowi dokument kontraktowy przy realizacji  zadania „</w:t>
      </w:r>
      <w:r w:rsidR="003D1D4D" w:rsidRPr="003D1D4D">
        <w:rPr>
          <w:rFonts w:ascii="Calibri" w:hAnsi="Calibri" w:cs="Calibri"/>
        </w:rPr>
        <w:t>Rozbudowa ul. Wrocławskiej w ciągu drogi powiatowej w Tyńcu Małym wraz z rozbudową istniejącego skrzyżowania typu rondo na połączeniu dróg krajowych nr 35 i 35a oraz łącznika węzła Kobierzyce drogi S8e oraz infrastrukturą towarzyszącą w ramach zadania „Rozbudowa skrzyżowania typu rondo w ciągu DK35 koło m. Tyniec Mały usprawniająca skomunikowanie obszarów Podstrefy Wrocław – Kobierzyce TSSE EURO PARK WISŁOSAN”</w:t>
      </w:r>
      <w:r w:rsidR="00E00D25" w:rsidRPr="006736A8">
        <w:rPr>
          <w:rFonts w:ascii="Calibri" w:hAnsi="Calibri" w:cs="Calibri"/>
        </w:rPr>
        <w:t>.</w:t>
      </w:r>
    </w:p>
    <w:p w14:paraId="1564FAEF" w14:textId="06FB6A6C" w:rsidR="00E00D25" w:rsidRPr="00FD657F" w:rsidRDefault="00E00D25" w:rsidP="00E00D25">
      <w:pPr>
        <w:pStyle w:val="Nagwek4"/>
        <w:tabs>
          <w:tab w:val="left" w:pos="9914"/>
        </w:tabs>
        <w:rPr>
          <w:rFonts w:ascii="Calibri" w:hAnsi="Calibri" w:cs="Calibri"/>
          <w:sz w:val="22"/>
          <w:szCs w:val="22"/>
        </w:rPr>
      </w:pPr>
      <w:r w:rsidRPr="00FD657F">
        <w:rPr>
          <w:rFonts w:ascii="Calibri" w:hAnsi="Calibri" w:cs="Calibri"/>
          <w:sz w:val="22"/>
          <w:szCs w:val="22"/>
        </w:rPr>
        <w:t xml:space="preserve">1.3. Zakres robót objętych </w:t>
      </w:r>
      <w:r w:rsidR="003D1D4D">
        <w:rPr>
          <w:rFonts w:ascii="Calibri" w:hAnsi="Calibri" w:cs="Calibri"/>
          <w:sz w:val="22"/>
          <w:szCs w:val="22"/>
        </w:rPr>
        <w:t>ST</w:t>
      </w:r>
      <w:r w:rsidRPr="00FD657F">
        <w:rPr>
          <w:rFonts w:ascii="Calibri" w:hAnsi="Calibri" w:cs="Calibri"/>
          <w:sz w:val="22"/>
          <w:szCs w:val="22"/>
        </w:rPr>
        <w:t>WiORB</w:t>
      </w:r>
    </w:p>
    <w:p w14:paraId="5DFB4FC8" w14:textId="0F9C9C3A" w:rsidR="00E00D25" w:rsidRPr="006736A8" w:rsidRDefault="00E00D25" w:rsidP="00E00D25">
      <w:pPr>
        <w:pStyle w:val="Standardowytekst"/>
        <w:tabs>
          <w:tab w:val="left" w:pos="9914"/>
        </w:tabs>
        <w:rPr>
          <w:rFonts w:ascii="Calibri" w:hAnsi="Calibri" w:cs="Calibri"/>
        </w:rPr>
      </w:pPr>
      <w:r w:rsidRPr="006736A8">
        <w:rPr>
          <w:rFonts w:ascii="Calibri" w:hAnsi="Calibri" w:cs="Calibri"/>
        </w:rPr>
        <w:t xml:space="preserve">Ustalenia zawarte w niniejszych </w:t>
      </w:r>
      <w:r w:rsidR="00575C66">
        <w:rPr>
          <w:rFonts w:ascii="Calibri" w:hAnsi="Calibri" w:cs="Calibri"/>
        </w:rPr>
        <w:t>specyfikacjach</w:t>
      </w:r>
      <w:r w:rsidRPr="006736A8">
        <w:rPr>
          <w:rFonts w:ascii="Calibri" w:hAnsi="Calibri" w:cs="Calibri"/>
        </w:rPr>
        <w:t xml:space="preserve"> dotyczą zasad prowadzenia robót związanych z wykonaniem i odbiorem warstwy wiążącej z betonu asfaltowego wg PN-EN 13108-1:2010, oraz WT-2 2014 Mieszanki mineralno – asfaltowe Wymagania techniczne. W przypadku produkcji mieszanki mineralno-asfaltowej przez Wykonawcę dla potrzeb budowy, Wykonawca zobowiązany jest prowadzić Zakładową kontrolę produkcji (ZKP) zgodnie z PN-EN 13108 -21.</w:t>
      </w:r>
    </w:p>
    <w:p w14:paraId="0D3084E6" w14:textId="77777777" w:rsidR="00E00D25" w:rsidRPr="00FD657F" w:rsidRDefault="00E00D25" w:rsidP="00E00D25">
      <w:pPr>
        <w:pStyle w:val="Nagwek4"/>
        <w:tabs>
          <w:tab w:val="left" w:pos="9914"/>
        </w:tabs>
        <w:rPr>
          <w:rFonts w:ascii="Calibri" w:hAnsi="Calibri" w:cs="Calibri"/>
          <w:sz w:val="22"/>
          <w:szCs w:val="22"/>
        </w:rPr>
      </w:pPr>
      <w:r w:rsidRPr="00FD657F">
        <w:rPr>
          <w:rFonts w:ascii="Calibri" w:hAnsi="Calibri" w:cs="Calibri"/>
          <w:sz w:val="22"/>
          <w:szCs w:val="22"/>
        </w:rPr>
        <w:t>1.4. Określenia podstawowe</w:t>
      </w:r>
    </w:p>
    <w:p w14:paraId="19672BD9" w14:textId="77777777" w:rsidR="00E00D25" w:rsidRPr="006736A8" w:rsidRDefault="00E00D25" w:rsidP="00E00D25">
      <w:pPr>
        <w:pStyle w:val="StylIwony"/>
        <w:tabs>
          <w:tab w:val="left" w:pos="9914"/>
        </w:tabs>
        <w:spacing w:before="0" w:after="0"/>
        <w:rPr>
          <w:rFonts w:ascii="Calibri" w:hAnsi="Calibri" w:cs="Calibri"/>
          <w:sz w:val="20"/>
          <w:szCs w:val="20"/>
        </w:rPr>
      </w:pPr>
      <w:r w:rsidRPr="006736A8">
        <w:rPr>
          <w:rFonts w:ascii="Calibri" w:hAnsi="Calibri" w:cs="Calibri"/>
          <w:b/>
          <w:bCs/>
          <w:i/>
          <w:iCs/>
          <w:sz w:val="20"/>
          <w:szCs w:val="20"/>
        </w:rPr>
        <w:t>1.4.1.</w:t>
      </w:r>
      <w:r w:rsidRPr="006736A8">
        <w:rPr>
          <w:rFonts w:ascii="Calibri" w:hAnsi="Calibri" w:cs="Calibri"/>
          <w:sz w:val="20"/>
          <w:szCs w:val="20"/>
        </w:rPr>
        <w:t>Nawierzchnia – konstrukcja składająca się z jednej lub kilku warstw służących do przejmowania i rozkładania obciążeń od ruchu pojazdów na podłoże.</w:t>
      </w:r>
    </w:p>
    <w:p w14:paraId="2609D177" w14:textId="77777777" w:rsidR="00E00D25" w:rsidRPr="006736A8" w:rsidRDefault="00E00D25" w:rsidP="00E00D25">
      <w:pPr>
        <w:pStyle w:val="StylIwony"/>
        <w:tabs>
          <w:tab w:val="left" w:pos="9914"/>
        </w:tabs>
        <w:spacing w:before="0" w:after="0"/>
        <w:rPr>
          <w:rFonts w:ascii="Calibri" w:hAnsi="Calibri" w:cs="Calibri"/>
          <w:sz w:val="20"/>
          <w:szCs w:val="20"/>
        </w:rPr>
      </w:pPr>
      <w:r w:rsidRPr="006736A8">
        <w:rPr>
          <w:rFonts w:ascii="Calibri" w:hAnsi="Calibri" w:cs="Calibri"/>
          <w:b/>
          <w:bCs/>
          <w:i/>
          <w:iCs/>
          <w:sz w:val="20"/>
          <w:szCs w:val="20"/>
        </w:rPr>
        <w:t>1.4.2.</w:t>
      </w:r>
      <w:r w:rsidRPr="006736A8">
        <w:rPr>
          <w:rFonts w:ascii="Calibri" w:hAnsi="Calibri" w:cs="Calibri"/>
          <w:sz w:val="20"/>
          <w:szCs w:val="20"/>
        </w:rPr>
        <w:t>Warstwa wiążąca – warstwa nawierzchni między warstwą ścieralną a podbudową.</w:t>
      </w:r>
    </w:p>
    <w:p w14:paraId="61B58D75" w14:textId="77777777" w:rsidR="00E00D25" w:rsidRPr="006736A8" w:rsidRDefault="00E00D25" w:rsidP="00E00D25">
      <w:pPr>
        <w:pStyle w:val="StylIwony"/>
        <w:tabs>
          <w:tab w:val="left" w:pos="9914"/>
        </w:tabs>
        <w:spacing w:before="0" w:after="0"/>
        <w:rPr>
          <w:rFonts w:ascii="Calibri" w:hAnsi="Calibri" w:cs="Calibri"/>
          <w:sz w:val="20"/>
          <w:szCs w:val="20"/>
        </w:rPr>
      </w:pPr>
      <w:r w:rsidRPr="006736A8">
        <w:rPr>
          <w:rFonts w:ascii="Calibri" w:hAnsi="Calibri" w:cs="Calibri"/>
          <w:b/>
          <w:bCs/>
          <w:i/>
          <w:iCs/>
          <w:sz w:val="20"/>
          <w:szCs w:val="20"/>
        </w:rPr>
        <w:t>1.4.3.</w:t>
      </w:r>
      <w:r w:rsidRPr="006736A8">
        <w:rPr>
          <w:rFonts w:ascii="Calibri" w:hAnsi="Calibri" w:cs="Calibri"/>
          <w:sz w:val="20"/>
          <w:szCs w:val="20"/>
        </w:rPr>
        <w:t>Mieszanka mineralno-asfaltowa – mieszanka kruszyw i lepiszcza asfaltowego.</w:t>
      </w:r>
    </w:p>
    <w:p w14:paraId="0D00A96F" w14:textId="77777777" w:rsidR="00E00D25" w:rsidRPr="006736A8" w:rsidRDefault="00E00D25" w:rsidP="00E00D25">
      <w:pPr>
        <w:pStyle w:val="StylIwony"/>
        <w:tabs>
          <w:tab w:val="left" w:pos="9914"/>
        </w:tabs>
        <w:spacing w:before="0" w:after="0"/>
        <w:rPr>
          <w:rFonts w:ascii="Calibri" w:hAnsi="Calibri" w:cs="Calibri"/>
          <w:sz w:val="20"/>
          <w:szCs w:val="20"/>
        </w:rPr>
      </w:pPr>
      <w:r w:rsidRPr="006736A8">
        <w:rPr>
          <w:rFonts w:ascii="Calibri" w:hAnsi="Calibri" w:cs="Calibri"/>
          <w:b/>
          <w:bCs/>
          <w:i/>
          <w:iCs/>
          <w:sz w:val="20"/>
          <w:szCs w:val="20"/>
        </w:rPr>
        <w:t>1.4.4.</w:t>
      </w:r>
      <w:r w:rsidRPr="006736A8">
        <w:rPr>
          <w:rFonts w:ascii="Calibri" w:hAnsi="Calibri" w:cs="Calibri"/>
          <w:sz w:val="20"/>
          <w:szCs w:val="20"/>
        </w:rPr>
        <w:t>Wymiar mieszanki mineralno-asfaltowej – określenie mieszanki mineralno-asfaltowej, wyróżniające tę mieszankę ze zbioru mieszanek tego samego typu ze względu na największy wymiar kruszywa, np. wymiar 11 lub 6.</w:t>
      </w:r>
    </w:p>
    <w:p w14:paraId="6D70B853" w14:textId="77777777" w:rsidR="00E00D25" w:rsidRPr="006736A8" w:rsidRDefault="00E00D25" w:rsidP="00E00D25">
      <w:pPr>
        <w:pStyle w:val="StylIwony"/>
        <w:tabs>
          <w:tab w:val="left" w:pos="9914"/>
        </w:tabs>
        <w:spacing w:before="0" w:after="0"/>
        <w:rPr>
          <w:rFonts w:ascii="Calibri" w:hAnsi="Calibri" w:cs="Calibri"/>
          <w:sz w:val="20"/>
          <w:szCs w:val="20"/>
        </w:rPr>
      </w:pPr>
      <w:r w:rsidRPr="006736A8">
        <w:rPr>
          <w:rFonts w:ascii="Calibri" w:hAnsi="Calibri" w:cs="Calibri"/>
          <w:b/>
          <w:bCs/>
          <w:i/>
          <w:iCs/>
          <w:sz w:val="20"/>
          <w:szCs w:val="20"/>
        </w:rPr>
        <w:t>1.4.5.</w:t>
      </w:r>
      <w:r w:rsidRPr="006736A8">
        <w:rPr>
          <w:rFonts w:ascii="Calibri" w:hAnsi="Calibri" w:cs="Calibri"/>
          <w:sz w:val="20"/>
          <w:szCs w:val="20"/>
        </w:rPr>
        <w:t>Beton asfaltowy – mieszanka mineralno-asfaltowa, w której kruszywo o uziarnieniu ciągłym lub nieciągłym tworzy strukturę wzajemnie klinującą się.</w:t>
      </w:r>
    </w:p>
    <w:p w14:paraId="185C406A" w14:textId="77777777" w:rsidR="00E00D25" w:rsidRPr="006736A8" w:rsidRDefault="00E00D25" w:rsidP="00E00D25">
      <w:pPr>
        <w:pStyle w:val="StylIwony"/>
        <w:tabs>
          <w:tab w:val="left" w:pos="9914"/>
        </w:tabs>
        <w:spacing w:before="0" w:after="0"/>
        <w:rPr>
          <w:rFonts w:ascii="Calibri" w:hAnsi="Calibri" w:cs="Calibri"/>
          <w:sz w:val="20"/>
          <w:szCs w:val="20"/>
        </w:rPr>
      </w:pPr>
      <w:r w:rsidRPr="006736A8">
        <w:rPr>
          <w:rFonts w:ascii="Calibri" w:hAnsi="Calibri" w:cs="Calibri"/>
          <w:b/>
          <w:bCs/>
          <w:i/>
          <w:iCs/>
          <w:sz w:val="20"/>
          <w:szCs w:val="20"/>
        </w:rPr>
        <w:t>1.4.6.</w:t>
      </w:r>
      <w:r w:rsidRPr="006736A8">
        <w:rPr>
          <w:rFonts w:ascii="Calibri" w:hAnsi="Calibri" w:cs="Calibri"/>
          <w:sz w:val="20"/>
          <w:szCs w:val="20"/>
        </w:rPr>
        <w:t>Uziarnienie – skład ziarnowy kruszywa, wyrażony w procentach masy ziaren przechodzących przez określony zestaw sit.</w:t>
      </w:r>
    </w:p>
    <w:p w14:paraId="261FEA84" w14:textId="77777777" w:rsidR="00E00D25" w:rsidRPr="006736A8" w:rsidRDefault="00E00D25" w:rsidP="00E00D25">
      <w:pPr>
        <w:pStyle w:val="StylIwony"/>
        <w:tabs>
          <w:tab w:val="left" w:pos="9914"/>
        </w:tabs>
        <w:spacing w:before="0" w:after="0"/>
        <w:rPr>
          <w:rFonts w:ascii="Calibri" w:hAnsi="Calibri" w:cs="Calibri"/>
          <w:sz w:val="20"/>
          <w:szCs w:val="20"/>
        </w:rPr>
      </w:pPr>
      <w:r w:rsidRPr="006736A8">
        <w:rPr>
          <w:rFonts w:ascii="Calibri" w:hAnsi="Calibri" w:cs="Calibri"/>
          <w:b/>
          <w:bCs/>
          <w:i/>
          <w:iCs/>
          <w:sz w:val="20"/>
          <w:szCs w:val="20"/>
        </w:rPr>
        <w:t>1.4.7.</w:t>
      </w:r>
      <w:r w:rsidRPr="006736A8">
        <w:rPr>
          <w:rFonts w:ascii="Calibri" w:hAnsi="Calibri" w:cs="Calibri"/>
          <w:sz w:val="20"/>
          <w:szCs w:val="20"/>
        </w:rPr>
        <w:t>Wymiar kruszywa – wielkość ziaren kruszywa, określona przez dolny (d) i górny (D) wymiar sita.</w:t>
      </w:r>
    </w:p>
    <w:p w14:paraId="317492C9" w14:textId="77777777" w:rsidR="00E00D25" w:rsidRPr="006736A8" w:rsidRDefault="00E00D25" w:rsidP="00E00D25">
      <w:pPr>
        <w:pStyle w:val="StylIwony"/>
        <w:tabs>
          <w:tab w:val="left" w:pos="9914"/>
        </w:tabs>
        <w:spacing w:before="0" w:after="0"/>
        <w:rPr>
          <w:rFonts w:ascii="Calibri" w:hAnsi="Calibri" w:cs="Calibri"/>
          <w:sz w:val="20"/>
          <w:szCs w:val="20"/>
        </w:rPr>
      </w:pPr>
      <w:r w:rsidRPr="006736A8">
        <w:rPr>
          <w:rFonts w:ascii="Calibri" w:hAnsi="Calibri" w:cs="Calibri"/>
          <w:b/>
          <w:bCs/>
          <w:i/>
          <w:iCs/>
          <w:sz w:val="20"/>
          <w:szCs w:val="20"/>
        </w:rPr>
        <w:t>1.4.8.</w:t>
      </w:r>
      <w:r w:rsidRPr="006736A8">
        <w:rPr>
          <w:rFonts w:ascii="Calibri" w:hAnsi="Calibri" w:cs="Calibri"/>
          <w:sz w:val="20"/>
          <w:szCs w:val="20"/>
        </w:rPr>
        <w:t>Kruszywo grube – kruszywo z ziaren o wymiarze: D ≤ 45 mm oraz d &gt; 2 mm.</w:t>
      </w:r>
    </w:p>
    <w:p w14:paraId="602FF1C6" w14:textId="77777777" w:rsidR="00E00D25" w:rsidRPr="006736A8" w:rsidRDefault="00E00D25" w:rsidP="00E00D25">
      <w:pPr>
        <w:pStyle w:val="StylIwony"/>
        <w:tabs>
          <w:tab w:val="left" w:pos="9914"/>
        </w:tabs>
        <w:spacing w:before="0" w:after="0"/>
        <w:rPr>
          <w:rFonts w:ascii="Calibri" w:hAnsi="Calibri" w:cs="Calibri"/>
          <w:sz w:val="20"/>
          <w:szCs w:val="20"/>
        </w:rPr>
      </w:pPr>
      <w:r w:rsidRPr="006736A8">
        <w:rPr>
          <w:rFonts w:ascii="Calibri" w:hAnsi="Calibri" w:cs="Calibri"/>
          <w:b/>
          <w:bCs/>
          <w:i/>
          <w:iCs/>
          <w:sz w:val="20"/>
          <w:szCs w:val="20"/>
        </w:rPr>
        <w:t>1.4.9.</w:t>
      </w:r>
      <w:r w:rsidRPr="006736A8">
        <w:rPr>
          <w:rFonts w:ascii="Calibri" w:hAnsi="Calibri" w:cs="Calibri"/>
          <w:sz w:val="20"/>
          <w:szCs w:val="20"/>
        </w:rPr>
        <w:t>Kruszywo drobne – kruszywo z ziaren o wymiarze: D ≤ 2 mm, którego większa część pozostaje na sicie 0,063 mm.</w:t>
      </w:r>
    </w:p>
    <w:p w14:paraId="2A5B2115" w14:textId="77777777" w:rsidR="00E00D25" w:rsidRPr="006736A8" w:rsidRDefault="00E00D25" w:rsidP="00E00D25">
      <w:pPr>
        <w:pStyle w:val="StylIwony"/>
        <w:tabs>
          <w:tab w:val="left" w:pos="9914"/>
        </w:tabs>
        <w:spacing w:before="0" w:after="0"/>
        <w:rPr>
          <w:rFonts w:ascii="Calibri" w:hAnsi="Calibri" w:cs="Calibri"/>
          <w:sz w:val="20"/>
          <w:szCs w:val="20"/>
        </w:rPr>
      </w:pPr>
      <w:r w:rsidRPr="006736A8">
        <w:rPr>
          <w:rFonts w:ascii="Calibri" w:hAnsi="Calibri" w:cs="Calibri"/>
          <w:b/>
          <w:bCs/>
          <w:i/>
          <w:iCs/>
          <w:sz w:val="20"/>
          <w:szCs w:val="20"/>
        </w:rPr>
        <w:t>1.4.10.</w:t>
      </w:r>
      <w:r w:rsidRPr="006736A8">
        <w:rPr>
          <w:rFonts w:ascii="Calibri" w:hAnsi="Calibri" w:cs="Calibri"/>
          <w:sz w:val="20"/>
          <w:szCs w:val="20"/>
        </w:rPr>
        <w:t>Pył – kruszywo z ziaren przechodzących przez sito 0,063 mm.</w:t>
      </w:r>
    </w:p>
    <w:p w14:paraId="0510E88A" w14:textId="77777777" w:rsidR="00E00D25" w:rsidRPr="006736A8" w:rsidRDefault="00E00D25" w:rsidP="00E00D25">
      <w:pPr>
        <w:pStyle w:val="StylIwony"/>
        <w:tabs>
          <w:tab w:val="left" w:pos="9914"/>
        </w:tabs>
        <w:spacing w:before="0" w:after="0"/>
        <w:rPr>
          <w:rFonts w:ascii="Calibri" w:hAnsi="Calibri" w:cs="Calibri"/>
          <w:sz w:val="20"/>
          <w:szCs w:val="20"/>
        </w:rPr>
      </w:pPr>
      <w:r w:rsidRPr="006736A8">
        <w:rPr>
          <w:rFonts w:ascii="Calibri" w:hAnsi="Calibri" w:cs="Calibri"/>
          <w:b/>
          <w:bCs/>
          <w:i/>
          <w:iCs/>
          <w:sz w:val="20"/>
          <w:szCs w:val="20"/>
        </w:rPr>
        <w:t>1.4.11.</w:t>
      </w:r>
      <w:r w:rsidRPr="006736A8">
        <w:rPr>
          <w:rFonts w:ascii="Calibri" w:hAnsi="Calibri" w:cs="Calibri"/>
          <w:sz w:val="20"/>
          <w:szCs w:val="20"/>
        </w:rPr>
        <w:t>Wypełniacz – kruszywo, którego większa część przechodzi przez sito 0,063 mm. (Wypełniacz mieszany – kruszywo, które składa się z wypełniacza pochodzenia mineralnego i wodorotlenku wapnia. Wypełniacz dodany – wypełniacz pochodzenia mineralnego, wyprodukowany oddzielnie).</w:t>
      </w:r>
    </w:p>
    <w:p w14:paraId="74B5BBAA" w14:textId="77777777" w:rsidR="00E00D25" w:rsidRPr="006736A8" w:rsidRDefault="00E00D25" w:rsidP="00E00D25">
      <w:pPr>
        <w:pStyle w:val="StylIwony"/>
        <w:tabs>
          <w:tab w:val="left" w:pos="9914"/>
        </w:tabs>
        <w:spacing w:before="0" w:after="0"/>
        <w:rPr>
          <w:rFonts w:ascii="Calibri" w:hAnsi="Calibri" w:cs="Calibri"/>
          <w:sz w:val="20"/>
          <w:szCs w:val="20"/>
        </w:rPr>
      </w:pPr>
      <w:r w:rsidRPr="006736A8">
        <w:rPr>
          <w:rFonts w:ascii="Calibri" w:hAnsi="Calibri" w:cs="Calibri"/>
          <w:b/>
          <w:bCs/>
          <w:i/>
          <w:iCs/>
          <w:sz w:val="20"/>
          <w:szCs w:val="20"/>
        </w:rPr>
        <w:t>1.4.12.</w:t>
      </w:r>
      <w:r w:rsidRPr="006736A8">
        <w:rPr>
          <w:rFonts w:ascii="Calibri" w:hAnsi="Calibri" w:cs="Calibri"/>
          <w:sz w:val="20"/>
          <w:szCs w:val="20"/>
        </w:rPr>
        <w:t>Kationowa emulsja asfaltowa – emulsja, w której emulgator nadaje dodatnie ładunki cząstkom zdyspergowanego asfaltu.</w:t>
      </w:r>
    </w:p>
    <w:p w14:paraId="61C7D9A4" w14:textId="77777777" w:rsidR="00BA767E" w:rsidRDefault="00BA767E" w:rsidP="00BA767E">
      <w:pPr>
        <w:pStyle w:val="StylIwony"/>
        <w:spacing w:before="0" w:after="0"/>
        <w:rPr>
          <w:rFonts w:ascii="Calibri" w:hAnsi="Calibri" w:cs="Calibri"/>
          <w:sz w:val="20"/>
          <w:szCs w:val="20"/>
        </w:rPr>
      </w:pPr>
      <w:r w:rsidRPr="00BA767E">
        <w:rPr>
          <w:rFonts w:ascii="Calibri" w:hAnsi="Calibri" w:cs="Calibri"/>
          <w:b/>
          <w:bCs/>
          <w:i/>
          <w:iCs/>
          <w:sz w:val="20"/>
          <w:szCs w:val="20"/>
        </w:rPr>
        <w:t>1.4.13</w:t>
      </w:r>
      <w:r>
        <w:rPr>
          <w:rFonts w:ascii="Calibri" w:hAnsi="Calibri" w:cs="Calibri"/>
          <w:sz w:val="20"/>
          <w:szCs w:val="20"/>
        </w:rPr>
        <w:t xml:space="preserve"> Granulat asfaltowy – przekruszony destrukt asfaltowy o udokumentowanej jakości jako materiał składowy w produkcji mieszanek mineralno asfaltowych w technologii na gorąco</w:t>
      </w:r>
    </w:p>
    <w:p w14:paraId="4AF5451D" w14:textId="77777777" w:rsidR="00BA767E" w:rsidRPr="00A23FB4" w:rsidRDefault="00BA767E" w:rsidP="00BA767E">
      <w:pPr>
        <w:pStyle w:val="StylIwony"/>
        <w:spacing w:before="0" w:after="0"/>
        <w:rPr>
          <w:rFonts w:ascii="Calibri" w:hAnsi="Calibri" w:cs="Calibri"/>
          <w:sz w:val="20"/>
          <w:szCs w:val="20"/>
        </w:rPr>
      </w:pPr>
      <w:r w:rsidRPr="00BA767E">
        <w:rPr>
          <w:rFonts w:ascii="Calibri" w:hAnsi="Calibri" w:cs="Calibri"/>
          <w:b/>
          <w:bCs/>
          <w:i/>
          <w:iCs/>
          <w:sz w:val="20"/>
          <w:szCs w:val="20"/>
        </w:rPr>
        <w:t>1.4.14</w:t>
      </w:r>
      <w:r>
        <w:rPr>
          <w:rFonts w:ascii="Calibri" w:hAnsi="Calibri" w:cs="Calibri"/>
          <w:sz w:val="20"/>
          <w:szCs w:val="20"/>
        </w:rPr>
        <w:t xml:space="preserve"> Destrukt asfaltowy – mieszanka mineralno asfaltowa, która jest uzyskiwana w wyniku frezowania warstw asfaltowych, rozkruszenia płyt wyciętych z nawierzchni asfaltowej, brył uzyskiwanych z płyt oraz z mieszanki mineralno asfaltowej odrzuconej lub będącą nadwyżką produkcji. </w:t>
      </w:r>
    </w:p>
    <w:p w14:paraId="54B93F8D" w14:textId="77777777" w:rsidR="00BA767E" w:rsidRDefault="00BA767E" w:rsidP="00E00D25">
      <w:pPr>
        <w:pStyle w:val="StylIwony"/>
        <w:tabs>
          <w:tab w:val="left" w:pos="9914"/>
        </w:tabs>
        <w:spacing w:before="0" w:after="0"/>
        <w:rPr>
          <w:rFonts w:ascii="Calibri" w:hAnsi="Calibri" w:cs="Calibri"/>
          <w:b/>
          <w:bCs/>
          <w:i/>
          <w:iCs/>
          <w:sz w:val="20"/>
          <w:szCs w:val="20"/>
        </w:rPr>
      </w:pPr>
    </w:p>
    <w:p w14:paraId="7AED582C" w14:textId="79C6DE55" w:rsidR="00E00D25" w:rsidRPr="006736A8" w:rsidRDefault="00E00D25" w:rsidP="00E00D25">
      <w:pPr>
        <w:pStyle w:val="StylIwony"/>
        <w:tabs>
          <w:tab w:val="left" w:pos="9914"/>
        </w:tabs>
        <w:spacing w:before="0" w:after="0"/>
        <w:rPr>
          <w:rFonts w:ascii="Calibri" w:hAnsi="Calibri" w:cs="Calibri"/>
          <w:sz w:val="20"/>
          <w:szCs w:val="20"/>
        </w:rPr>
      </w:pPr>
      <w:r w:rsidRPr="006736A8">
        <w:rPr>
          <w:rFonts w:ascii="Calibri" w:hAnsi="Calibri" w:cs="Calibri"/>
          <w:b/>
          <w:bCs/>
          <w:i/>
          <w:iCs/>
          <w:sz w:val="20"/>
          <w:szCs w:val="20"/>
        </w:rPr>
        <w:t>1.4.1</w:t>
      </w:r>
      <w:r w:rsidR="00BA767E">
        <w:rPr>
          <w:rFonts w:ascii="Calibri" w:hAnsi="Calibri" w:cs="Calibri"/>
          <w:b/>
          <w:bCs/>
          <w:i/>
          <w:iCs/>
          <w:sz w:val="20"/>
          <w:szCs w:val="20"/>
        </w:rPr>
        <w:t>5</w:t>
      </w:r>
      <w:r w:rsidRPr="006736A8">
        <w:rPr>
          <w:rFonts w:ascii="Calibri" w:hAnsi="Calibri" w:cs="Calibri"/>
          <w:b/>
          <w:bCs/>
          <w:i/>
          <w:iCs/>
          <w:sz w:val="20"/>
          <w:szCs w:val="20"/>
        </w:rPr>
        <w:t>.</w:t>
      </w:r>
      <w:r w:rsidRPr="006736A8">
        <w:rPr>
          <w:rFonts w:ascii="Calibri" w:hAnsi="Calibri" w:cs="Calibri"/>
          <w:sz w:val="20"/>
          <w:szCs w:val="20"/>
        </w:rPr>
        <w:t xml:space="preserve">Pozostałe określenia podstawowe są zgodne z obowiązującymi, odpowiednimi polskimi normami i z definicjami podanymi w </w:t>
      </w:r>
      <w:r w:rsidR="003D1D4D">
        <w:rPr>
          <w:rFonts w:ascii="Calibri" w:hAnsi="Calibri" w:cs="Calibri"/>
          <w:sz w:val="20"/>
          <w:szCs w:val="20"/>
        </w:rPr>
        <w:t>ST</w:t>
      </w:r>
      <w:r w:rsidRPr="006736A8">
        <w:rPr>
          <w:rFonts w:ascii="Calibri" w:hAnsi="Calibri" w:cs="Calibri"/>
          <w:sz w:val="20"/>
          <w:szCs w:val="20"/>
        </w:rPr>
        <w:t>WiORB D-M-00.00.00 „Wymagania ogólne” pkt 1.4.</w:t>
      </w:r>
    </w:p>
    <w:p w14:paraId="7E5C9414" w14:textId="77777777" w:rsidR="00E00D25" w:rsidRPr="006736A8" w:rsidRDefault="00E00D25" w:rsidP="00E00D25">
      <w:pPr>
        <w:pStyle w:val="Nagwek4"/>
        <w:tabs>
          <w:tab w:val="left" w:pos="9914"/>
        </w:tabs>
        <w:rPr>
          <w:rFonts w:ascii="Calibri" w:hAnsi="Calibri" w:cs="Calibri"/>
          <w:sz w:val="22"/>
          <w:szCs w:val="22"/>
        </w:rPr>
      </w:pPr>
      <w:r w:rsidRPr="006736A8">
        <w:rPr>
          <w:rFonts w:ascii="Calibri" w:hAnsi="Calibri" w:cs="Calibri"/>
          <w:sz w:val="22"/>
          <w:szCs w:val="22"/>
        </w:rPr>
        <w:t>1.5. Ogólne wymagania dotyczące robót</w:t>
      </w:r>
    </w:p>
    <w:p w14:paraId="40A9CC76" w14:textId="406E298C" w:rsidR="00E00D25" w:rsidRPr="006736A8" w:rsidRDefault="00E00D25" w:rsidP="00E00D25">
      <w:pPr>
        <w:pStyle w:val="StylIwony"/>
        <w:tabs>
          <w:tab w:val="left" w:pos="9914"/>
        </w:tabs>
        <w:spacing w:before="0" w:after="0"/>
        <w:rPr>
          <w:rFonts w:ascii="Calibri" w:hAnsi="Calibri" w:cs="Calibri"/>
          <w:sz w:val="20"/>
          <w:szCs w:val="20"/>
        </w:rPr>
      </w:pPr>
      <w:r w:rsidRPr="006736A8">
        <w:rPr>
          <w:rFonts w:ascii="Calibri" w:hAnsi="Calibri" w:cs="Calibri"/>
          <w:sz w:val="20"/>
          <w:szCs w:val="20"/>
        </w:rPr>
        <w:t xml:space="preserve">Ogólne wymagania dotyczące robót podano w </w:t>
      </w:r>
      <w:r w:rsidR="003D1D4D">
        <w:rPr>
          <w:rFonts w:ascii="Calibri" w:hAnsi="Calibri" w:cs="Calibri"/>
          <w:sz w:val="20"/>
          <w:szCs w:val="20"/>
        </w:rPr>
        <w:t>ST</w:t>
      </w:r>
      <w:r w:rsidRPr="006736A8">
        <w:rPr>
          <w:rFonts w:ascii="Calibri" w:hAnsi="Calibri" w:cs="Calibri"/>
          <w:sz w:val="20"/>
          <w:szCs w:val="20"/>
        </w:rPr>
        <w:t>WiORB D-M-00.00.00 „Wymagania ogólne” pkt 1.5.</w:t>
      </w:r>
    </w:p>
    <w:p w14:paraId="4D1594D2" w14:textId="77777777" w:rsidR="00E00D25" w:rsidRPr="00FD657F" w:rsidRDefault="00E00D25" w:rsidP="00E00D25">
      <w:pPr>
        <w:rPr>
          <w:rFonts w:ascii="Calibri" w:hAnsi="Calibri" w:cs="Calibri"/>
          <w:b/>
          <w:sz w:val="22"/>
          <w:szCs w:val="22"/>
        </w:rPr>
      </w:pPr>
    </w:p>
    <w:p w14:paraId="29E90F37" w14:textId="77777777" w:rsidR="00375F64" w:rsidRDefault="00375F64" w:rsidP="00E00D25">
      <w:pPr>
        <w:rPr>
          <w:rFonts w:ascii="Calibri" w:hAnsi="Calibri" w:cs="Calibri"/>
          <w:b/>
          <w:sz w:val="22"/>
          <w:szCs w:val="22"/>
        </w:rPr>
      </w:pPr>
    </w:p>
    <w:p w14:paraId="4FFB20D8" w14:textId="6BA812E0" w:rsidR="00E00D25" w:rsidRPr="00FD657F" w:rsidRDefault="00E00D25" w:rsidP="00E00D25">
      <w:pPr>
        <w:rPr>
          <w:rFonts w:ascii="Calibri" w:hAnsi="Calibri" w:cs="Calibri"/>
          <w:b/>
          <w:sz w:val="22"/>
          <w:szCs w:val="22"/>
        </w:rPr>
      </w:pPr>
      <w:r w:rsidRPr="00FD657F">
        <w:rPr>
          <w:rFonts w:ascii="Calibri" w:hAnsi="Calibri" w:cs="Calibri"/>
          <w:b/>
          <w:sz w:val="22"/>
          <w:szCs w:val="22"/>
        </w:rPr>
        <w:t>2. MATERIAŁY</w:t>
      </w:r>
    </w:p>
    <w:p w14:paraId="7027CF2A" w14:textId="77777777" w:rsidR="00E00D25" w:rsidRPr="00FD657F" w:rsidRDefault="00E00D25" w:rsidP="00E00D25">
      <w:pPr>
        <w:pStyle w:val="Nagwek4"/>
        <w:tabs>
          <w:tab w:val="left" w:pos="9914"/>
        </w:tabs>
        <w:rPr>
          <w:rFonts w:ascii="Calibri" w:hAnsi="Calibri" w:cs="Calibri"/>
          <w:sz w:val="22"/>
          <w:szCs w:val="22"/>
        </w:rPr>
      </w:pPr>
      <w:r w:rsidRPr="00FD657F">
        <w:rPr>
          <w:rFonts w:ascii="Calibri" w:hAnsi="Calibri" w:cs="Calibri"/>
          <w:sz w:val="22"/>
          <w:szCs w:val="22"/>
        </w:rPr>
        <w:t>2.1. Ogólne wymagania dotyczące materiałów</w:t>
      </w:r>
    </w:p>
    <w:p w14:paraId="42437026" w14:textId="7ABCF93F" w:rsidR="00E00D25" w:rsidRPr="006736A8" w:rsidRDefault="00E00D25" w:rsidP="00E00D25">
      <w:pPr>
        <w:pStyle w:val="StylIwony"/>
        <w:tabs>
          <w:tab w:val="left" w:pos="9914"/>
        </w:tabs>
        <w:spacing w:before="0" w:after="0"/>
        <w:rPr>
          <w:rFonts w:ascii="Calibri" w:hAnsi="Calibri" w:cs="Calibri"/>
          <w:sz w:val="20"/>
          <w:szCs w:val="20"/>
        </w:rPr>
      </w:pPr>
      <w:r w:rsidRPr="006736A8">
        <w:rPr>
          <w:rFonts w:ascii="Calibri" w:hAnsi="Calibri" w:cs="Calibri"/>
          <w:sz w:val="20"/>
          <w:szCs w:val="20"/>
        </w:rPr>
        <w:t xml:space="preserve">Ogólne wymagania dotyczące materiałów, ich pozyskiwania i składowania, podano w </w:t>
      </w:r>
      <w:r w:rsidR="003D1D4D">
        <w:rPr>
          <w:rFonts w:ascii="Calibri" w:hAnsi="Calibri" w:cs="Calibri"/>
          <w:sz w:val="20"/>
          <w:szCs w:val="20"/>
        </w:rPr>
        <w:t>ST</w:t>
      </w:r>
      <w:r w:rsidRPr="006736A8">
        <w:rPr>
          <w:rFonts w:ascii="Calibri" w:hAnsi="Calibri" w:cs="Calibri"/>
          <w:sz w:val="20"/>
          <w:szCs w:val="20"/>
        </w:rPr>
        <w:t xml:space="preserve">WiORB D-M-00.00.00 „Wymagania ogólne” pkt 2. </w:t>
      </w:r>
    </w:p>
    <w:p w14:paraId="1C8961EC" w14:textId="77777777" w:rsidR="00375F64" w:rsidRPr="00375F64" w:rsidRDefault="00375F64" w:rsidP="00375F64">
      <w:pPr>
        <w:pStyle w:val="Nagwek4"/>
        <w:spacing w:before="0" w:after="0"/>
        <w:rPr>
          <w:rFonts w:ascii="Calibri" w:hAnsi="Calibri" w:cs="Calibri"/>
        </w:rPr>
      </w:pPr>
      <w:r w:rsidRPr="00375F64">
        <w:rPr>
          <w:rFonts w:ascii="Calibri" w:hAnsi="Calibri" w:cs="Calibri"/>
        </w:rPr>
        <w:t>2.2 Rodzaje materiałów</w:t>
      </w:r>
    </w:p>
    <w:p w14:paraId="5D7E5D32" w14:textId="77777777" w:rsidR="00375F64" w:rsidRPr="00375F64" w:rsidRDefault="00375F64" w:rsidP="00375F64">
      <w:pPr>
        <w:pStyle w:val="Tekstpodstawowy"/>
        <w:spacing w:line="240" w:lineRule="auto"/>
        <w:jc w:val="both"/>
        <w:rPr>
          <w:rFonts w:ascii="Calibri" w:hAnsi="Calibri" w:cs="Calibri"/>
          <w:sz w:val="20"/>
          <w:szCs w:val="20"/>
        </w:rPr>
      </w:pPr>
    </w:p>
    <w:p w14:paraId="53CA256C" w14:textId="77777777" w:rsidR="00375F64" w:rsidRPr="00375F64" w:rsidRDefault="00375F64" w:rsidP="00375F64">
      <w:pPr>
        <w:pStyle w:val="Tekstpodstawowy"/>
        <w:spacing w:line="240" w:lineRule="auto"/>
        <w:jc w:val="both"/>
        <w:rPr>
          <w:rFonts w:ascii="Calibri" w:hAnsi="Calibri" w:cs="Calibri"/>
          <w:sz w:val="20"/>
          <w:szCs w:val="20"/>
        </w:rPr>
      </w:pPr>
      <w:r w:rsidRPr="00375F64">
        <w:rPr>
          <w:rFonts w:ascii="Calibri" w:hAnsi="Calibri" w:cs="Calibri"/>
          <w:sz w:val="20"/>
          <w:szCs w:val="20"/>
        </w:rPr>
        <w:t xml:space="preserve">Rodzaje materiałów stosowanych do mieszanki mineralno-asfaltowej podano w tablicy 1. </w:t>
      </w:r>
    </w:p>
    <w:p w14:paraId="0D0A8D69" w14:textId="77777777" w:rsidR="00375F64" w:rsidRPr="00375F64" w:rsidRDefault="00375F64" w:rsidP="00375F64">
      <w:pPr>
        <w:pStyle w:val="Tekstpodstawowy"/>
        <w:spacing w:line="240" w:lineRule="auto"/>
        <w:jc w:val="both"/>
        <w:rPr>
          <w:rFonts w:ascii="Calibri" w:hAnsi="Calibri" w:cs="Calibri"/>
          <w:sz w:val="20"/>
          <w:szCs w:val="20"/>
        </w:rPr>
      </w:pPr>
    </w:p>
    <w:p w14:paraId="68DF9B35" w14:textId="77777777" w:rsidR="00375F64" w:rsidRPr="00375F64" w:rsidRDefault="00375F64" w:rsidP="00375F64">
      <w:pPr>
        <w:pStyle w:val="Tekstpodstawowy"/>
        <w:spacing w:line="240" w:lineRule="auto"/>
        <w:jc w:val="both"/>
        <w:rPr>
          <w:rFonts w:ascii="Calibri" w:hAnsi="Calibri" w:cs="Calibri"/>
          <w:sz w:val="20"/>
          <w:szCs w:val="20"/>
        </w:rPr>
      </w:pPr>
      <w:r w:rsidRPr="00375F64">
        <w:rPr>
          <w:rFonts w:ascii="Calibri" w:hAnsi="Calibri" w:cs="Calibri"/>
          <w:sz w:val="20"/>
          <w:szCs w:val="20"/>
        </w:rPr>
        <w:t>Tablica 1. Rodzaje materiałów do mieszanki mineralno-asfaltowej</w:t>
      </w:r>
    </w:p>
    <w:tbl>
      <w:tblPr>
        <w:tblStyle w:val="TableNormal"/>
        <w:tblW w:w="0" w:type="auto"/>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26"/>
        <w:gridCol w:w="3020"/>
        <w:gridCol w:w="2127"/>
        <w:gridCol w:w="1985"/>
        <w:gridCol w:w="139"/>
        <w:gridCol w:w="1843"/>
      </w:tblGrid>
      <w:tr w:rsidR="00375F64" w:rsidRPr="00375F64" w14:paraId="64AE5A74" w14:textId="77777777" w:rsidTr="00EA573C">
        <w:trPr>
          <w:trHeight w:val="410"/>
        </w:trPr>
        <w:tc>
          <w:tcPr>
            <w:tcW w:w="526" w:type="dxa"/>
            <w:vMerge w:val="restart"/>
            <w:tcBorders>
              <w:top w:val="single" w:sz="4" w:space="0" w:color="000000"/>
              <w:left w:val="single" w:sz="4" w:space="0" w:color="000000"/>
              <w:bottom w:val="single" w:sz="4" w:space="0" w:color="000000"/>
              <w:right w:val="single" w:sz="4" w:space="0" w:color="000000"/>
            </w:tcBorders>
            <w:hideMark/>
          </w:tcPr>
          <w:p w14:paraId="65522495" w14:textId="77777777" w:rsidR="00375F64" w:rsidRPr="00375F64" w:rsidRDefault="00375F64" w:rsidP="00375F64">
            <w:pPr>
              <w:pStyle w:val="TableParagraph"/>
              <w:jc w:val="center"/>
              <w:rPr>
                <w:rFonts w:ascii="Calibri" w:hAnsi="Calibri" w:cs="Calibri"/>
                <w:sz w:val="20"/>
                <w:szCs w:val="20"/>
              </w:rPr>
            </w:pPr>
            <w:r w:rsidRPr="00375F64">
              <w:rPr>
                <w:rFonts w:ascii="Calibri" w:hAnsi="Calibri" w:cs="Calibri"/>
                <w:sz w:val="20"/>
                <w:szCs w:val="20"/>
              </w:rPr>
              <w:t>Lp.</w:t>
            </w:r>
          </w:p>
        </w:tc>
        <w:tc>
          <w:tcPr>
            <w:tcW w:w="3020" w:type="dxa"/>
            <w:vMerge w:val="restart"/>
            <w:tcBorders>
              <w:top w:val="single" w:sz="4" w:space="0" w:color="000000"/>
              <w:left w:val="single" w:sz="4" w:space="0" w:color="000000"/>
              <w:bottom w:val="single" w:sz="4" w:space="0" w:color="000000"/>
              <w:right w:val="single" w:sz="4" w:space="0" w:color="000000"/>
            </w:tcBorders>
            <w:hideMark/>
          </w:tcPr>
          <w:p w14:paraId="1B524A4A" w14:textId="77777777" w:rsidR="00375F64" w:rsidRPr="00375F64" w:rsidRDefault="00375F64" w:rsidP="00375F64">
            <w:pPr>
              <w:pStyle w:val="TableParagraph"/>
              <w:jc w:val="center"/>
              <w:rPr>
                <w:rFonts w:ascii="Calibri" w:hAnsi="Calibri" w:cs="Calibri"/>
                <w:sz w:val="20"/>
                <w:szCs w:val="20"/>
              </w:rPr>
            </w:pPr>
            <w:r w:rsidRPr="00375F64">
              <w:rPr>
                <w:rFonts w:ascii="Calibri" w:hAnsi="Calibri" w:cs="Calibri"/>
                <w:sz w:val="20"/>
                <w:szCs w:val="20"/>
              </w:rPr>
              <w:t>Rodzaj materiału</w:t>
            </w:r>
          </w:p>
        </w:tc>
        <w:tc>
          <w:tcPr>
            <w:tcW w:w="6094" w:type="dxa"/>
            <w:gridSpan w:val="4"/>
            <w:tcBorders>
              <w:top w:val="single" w:sz="4" w:space="0" w:color="000000"/>
              <w:left w:val="single" w:sz="4" w:space="0" w:color="000000"/>
              <w:bottom w:val="single" w:sz="4" w:space="0" w:color="000000"/>
              <w:right w:val="single" w:sz="4" w:space="0" w:color="000000"/>
            </w:tcBorders>
            <w:hideMark/>
          </w:tcPr>
          <w:p w14:paraId="3EF8AA69" w14:textId="77777777" w:rsidR="00375F64" w:rsidRPr="00375F64" w:rsidRDefault="00375F64" w:rsidP="00375F64">
            <w:pPr>
              <w:pStyle w:val="TableParagraph"/>
              <w:ind w:left="1306"/>
              <w:jc w:val="center"/>
              <w:rPr>
                <w:rFonts w:ascii="Calibri" w:hAnsi="Calibri" w:cs="Calibri"/>
                <w:sz w:val="20"/>
                <w:szCs w:val="20"/>
              </w:rPr>
            </w:pPr>
            <w:r w:rsidRPr="00375F64">
              <w:rPr>
                <w:rFonts w:ascii="Calibri" w:hAnsi="Calibri" w:cs="Calibri"/>
                <w:sz w:val="20"/>
                <w:szCs w:val="20"/>
              </w:rPr>
              <w:t>Wymagania wg / dokument odniesienia</w:t>
            </w:r>
          </w:p>
        </w:tc>
      </w:tr>
      <w:tr w:rsidR="00375F64" w:rsidRPr="00375F64" w14:paraId="0BEF2508" w14:textId="77777777" w:rsidTr="00EA573C">
        <w:trPr>
          <w:trHeight w:val="410"/>
        </w:trPr>
        <w:tc>
          <w:tcPr>
            <w:tcW w:w="9640" w:type="dxa"/>
            <w:vMerge/>
            <w:tcBorders>
              <w:top w:val="single" w:sz="4" w:space="0" w:color="000000"/>
              <w:left w:val="single" w:sz="4" w:space="0" w:color="000000"/>
              <w:bottom w:val="single" w:sz="4" w:space="0" w:color="000000"/>
              <w:right w:val="single" w:sz="4" w:space="0" w:color="000000"/>
            </w:tcBorders>
            <w:vAlign w:val="center"/>
            <w:hideMark/>
          </w:tcPr>
          <w:p w14:paraId="0FD10BF4" w14:textId="77777777" w:rsidR="00375F64" w:rsidRPr="00375F64" w:rsidRDefault="00375F64" w:rsidP="00375F64">
            <w:pPr>
              <w:widowControl/>
              <w:autoSpaceDE/>
              <w:autoSpaceDN/>
              <w:rPr>
                <w:rFonts w:ascii="Calibri" w:eastAsia="Arial" w:hAnsi="Calibri" w:cs="Calibri"/>
              </w:rPr>
            </w:pPr>
          </w:p>
        </w:tc>
        <w:tc>
          <w:tcPr>
            <w:tcW w:w="3020" w:type="dxa"/>
            <w:vMerge/>
            <w:tcBorders>
              <w:top w:val="single" w:sz="4" w:space="0" w:color="000000"/>
              <w:left w:val="single" w:sz="4" w:space="0" w:color="000000"/>
              <w:bottom w:val="single" w:sz="4" w:space="0" w:color="000000"/>
              <w:right w:val="single" w:sz="4" w:space="0" w:color="000000"/>
            </w:tcBorders>
            <w:vAlign w:val="center"/>
            <w:hideMark/>
          </w:tcPr>
          <w:p w14:paraId="61C45420" w14:textId="77777777" w:rsidR="00375F64" w:rsidRPr="00375F64" w:rsidRDefault="00375F64" w:rsidP="00375F64">
            <w:pPr>
              <w:widowControl/>
              <w:autoSpaceDE/>
              <w:autoSpaceDN/>
              <w:rPr>
                <w:rFonts w:ascii="Calibri" w:eastAsia="Arial" w:hAnsi="Calibri" w:cs="Calibri"/>
              </w:rPr>
            </w:pPr>
          </w:p>
        </w:tc>
        <w:tc>
          <w:tcPr>
            <w:tcW w:w="2127" w:type="dxa"/>
            <w:tcBorders>
              <w:top w:val="single" w:sz="4" w:space="0" w:color="000000"/>
              <w:left w:val="single" w:sz="4" w:space="0" w:color="000000"/>
              <w:bottom w:val="single" w:sz="4" w:space="0" w:color="000000"/>
              <w:right w:val="single" w:sz="4" w:space="0" w:color="000000"/>
            </w:tcBorders>
            <w:hideMark/>
          </w:tcPr>
          <w:p w14:paraId="43DC2A37" w14:textId="77777777" w:rsidR="00375F64" w:rsidRPr="00375F64" w:rsidRDefault="00375F64" w:rsidP="00375F64">
            <w:pPr>
              <w:pStyle w:val="TableParagraph"/>
              <w:ind w:left="104" w:right="102"/>
              <w:jc w:val="center"/>
              <w:rPr>
                <w:rFonts w:ascii="Calibri" w:hAnsi="Calibri" w:cs="Calibri"/>
                <w:sz w:val="20"/>
                <w:szCs w:val="20"/>
              </w:rPr>
            </w:pPr>
            <w:r w:rsidRPr="00375F64">
              <w:rPr>
                <w:rFonts w:ascii="Calibri" w:hAnsi="Calibri" w:cs="Calibri"/>
                <w:sz w:val="20"/>
                <w:szCs w:val="20"/>
              </w:rPr>
              <w:t>KR 1-2</w:t>
            </w:r>
          </w:p>
        </w:tc>
        <w:tc>
          <w:tcPr>
            <w:tcW w:w="2124" w:type="dxa"/>
            <w:gridSpan w:val="2"/>
            <w:tcBorders>
              <w:top w:val="single" w:sz="4" w:space="0" w:color="000000"/>
              <w:left w:val="single" w:sz="4" w:space="0" w:color="000000"/>
              <w:bottom w:val="single" w:sz="4" w:space="0" w:color="000000"/>
              <w:right w:val="single" w:sz="4" w:space="0" w:color="000000"/>
            </w:tcBorders>
            <w:hideMark/>
          </w:tcPr>
          <w:p w14:paraId="704C4A9B" w14:textId="77777777" w:rsidR="00375F64" w:rsidRPr="00375F64" w:rsidRDefault="00375F64" w:rsidP="00375F64">
            <w:pPr>
              <w:pStyle w:val="TableParagraph"/>
              <w:ind w:left="754" w:right="753"/>
              <w:jc w:val="center"/>
              <w:rPr>
                <w:rFonts w:ascii="Calibri" w:hAnsi="Calibri" w:cs="Calibri"/>
                <w:sz w:val="20"/>
                <w:szCs w:val="20"/>
              </w:rPr>
            </w:pPr>
            <w:r w:rsidRPr="00375F64">
              <w:rPr>
                <w:rFonts w:ascii="Calibri" w:hAnsi="Calibri" w:cs="Calibri"/>
                <w:sz w:val="20"/>
                <w:szCs w:val="20"/>
              </w:rPr>
              <w:t>KR3-4</w:t>
            </w:r>
          </w:p>
        </w:tc>
        <w:tc>
          <w:tcPr>
            <w:tcW w:w="1843" w:type="dxa"/>
            <w:tcBorders>
              <w:top w:val="single" w:sz="4" w:space="0" w:color="000000"/>
              <w:left w:val="single" w:sz="4" w:space="0" w:color="000000"/>
              <w:bottom w:val="single" w:sz="4" w:space="0" w:color="000000"/>
              <w:right w:val="single" w:sz="4" w:space="0" w:color="000000"/>
            </w:tcBorders>
            <w:hideMark/>
          </w:tcPr>
          <w:p w14:paraId="39D71937" w14:textId="77777777" w:rsidR="00375F64" w:rsidRPr="00375F64" w:rsidRDefault="00375F64" w:rsidP="00375F64">
            <w:pPr>
              <w:pStyle w:val="TableParagraph"/>
              <w:ind w:left="615"/>
              <w:rPr>
                <w:rFonts w:ascii="Calibri" w:hAnsi="Calibri" w:cs="Calibri"/>
                <w:sz w:val="20"/>
                <w:szCs w:val="20"/>
              </w:rPr>
            </w:pPr>
            <w:r w:rsidRPr="00375F64">
              <w:rPr>
                <w:rFonts w:ascii="Calibri" w:hAnsi="Calibri" w:cs="Calibri"/>
                <w:sz w:val="20"/>
                <w:szCs w:val="20"/>
              </w:rPr>
              <w:t>KR5-6</w:t>
            </w:r>
          </w:p>
        </w:tc>
      </w:tr>
      <w:tr w:rsidR="00375F64" w:rsidRPr="00375F64" w14:paraId="1B8BC5A4" w14:textId="77777777" w:rsidTr="00EA573C">
        <w:trPr>
          <w:trHeight w:val="410"/>
        </w:trPr>
        <w:tc>
          <w:tcPr>
            <w:tcW w:w="526" w:type="dxa"/>
            <w:tcBorders>
              <w:top w:val="single" w:sz="4" w:space="0" w:color="000000"/>
              <w:left w:val="single" w:sz="4" w:space="0" w:color="000000"/>
              <w:bottom w:val="single" w:sz="4" w:space="0" w:color="000000"/>
              <w:right w:val="single" w:sz="4" w:space="0" w:color="000000"/>
            </w:tcBorders>
            <w:hideMark/>
          </w:tcPr>
          <w:p w14:paraId="706C5368" w14:textId="77777777" w:rsidR="00375F64" w:rsidRPr="00375F64" w:rsidRDefault="00375F64" w:rsidP="00375F64">
            <w:pPr>
              <w:pStyle w:val="TableParagraph"/>
              <w:rPr>
                <w:rFonts w:ascii="Calibri" w:hAnsi="Calibri" w:cs="Calibri"/>
                <w:sz w:val="20"/>
                <w:szCs w:val="20"/>
              </w:rPr>
            </w:pPr>
            <w:r w:rsidRPr="00375F64">
              <w:rPr>
                <w:rFonts w:ascii="Calibri" w:hAnsi="Calibri" w:cs="Calibri"/>
                <w:w w:val="99"/>
                <w:sz w:val="20"/>
                <w:szCs w:val="20"/>
              </w:rPr>
              <w:t>1</w:t>
            </w:r>
          </w:p>
        </w:tc>
        <w:tc>
          <w:tcPr>
            <w:tcW w:w="3020" w:type="dxa"/>
            <w:tcBorders>
              <w:top w:val="single" w:sz="4" w:space="0" w:color="000000"/>
              <w:left w:val="single" w:sz="4" w:space="0" w:color="000000"/>
              <w:bottom w:val="single" w:sz="4" w:space="0" w:color="000000"/>
              <w:right w:val="single" w:sz="4" w:space="0" w:color="000000"/>
            </w:tcBorders>
            <w:hideMark/>
          </w:tcPr>
          <w:p w14:paraId="06C8C322" w14:textId="77777777" w:rsidR="00375F64" w:rsidRPr="00375F64" w:rsidRDefault="00375F64" w:rsidP="00375F64">
            <w:pPr>
              <w:pStyle w:val="TableParagraph"/>
              <w:rPr>
                <w:rFonts w:ascii="Calibri" w:hAnsi="Calibri" w:cs="Calibri"/>
                <w:sz w:val="20"/>
                <w:szCs w:val="20"/>
              </w:rPr>
            </w:pPr>
            <w:r w:rsidRPr="00375F64">
              <w:rPr>
                <w:rFonts w:ascii="Calibri" w:hAnsi="Calibri" w:cs="Calibri"/>
                <w:sz w:val="20"/>
                <w:szCs w:val="20"/>
              </w:rPr>
              <w:t>Kruszywo grube</w:t>
            </w:r>
          </w:p>
        </w:tc>
        <w:tc>
          <w:tcPr>
            <w:tcW w:w="6094" w:type="dxa"/>
            <w:gridSpan w:val="4"/>
            <w:tcBorders>
              <w:top w:val="single" w:sz="4" w:space="0" w:color="000000"/>
              <w:left w:val="single" w:sz="4" w:space="0" w:color="000000"/>
              <w:bottom w:val="single" w:sz="4" w:space="0" w:color="000000"/>
              <w:right w:val="single" w:sz="4" w:space="0" w:color="000000"/>
            </w:tcBorders>
            <w:hideMark/>
          </w:tcPr>
          <w:p w14:paraId="5EF296B0" w14:textId="77777777" w:rsidR="00375F64" w:rsidRPr="00375F64" w:rsidRDefault="00375F64" w:rsidP="00375F64">
            <w:pPr>
              <w:pStyle w:val="TableParagraph"/>
              <w:ind w:left="1784"/>
              <w:rPr>
                <w:rFonts w:ascii="Calibri" w:hAnsi="Calibri" w:cs="Calibri"/>
                <w:sz w:val="20"/>
                <w:szCs w:val="20"/>
              </w:rPr>
            </w:pPr>
            <w:r w:rsidRPr="00375F64">
              <w:rPr>
                <w:rFonts w:ascii="Calibri" w:hAnsi="Calibri" w:cs="Calibri"/>
                <w:sz w:val="20"/>
                <w:szCs w:val="20"/>
              </w:rPr>
              <w:t>WT-1 Kruszywa 2014 tab. 8,</w:t>
            </w:r>
          </w:p>
        </w:tc>
      </w:tr>
      <w:tr w:rsidR="00375F64" w:rsidRPr="00375F64" w14:paraId="22F20C6E" w14:textId="77777777" w:rsidTr="00EA573C">
        <w:trPr>
          <w:trHeight w:val="640"/>
        </w:trPr>
        <w:tc>
          <w:tcPr>
            <w:tcW w:w="526" w:type="dxa"/>
            <w:tcBorders>
              <w:top w:val="single" w:sz="4" w:space="0" w:color="000000"/>
              <w:left w:val="single" w:sz="4" w:space="0" w:color="000000"/>
              <w:bottom w:val="single" w:sz="4" w:space="0" w:color="000000"/>
              <w:right w:val="single" w:sz="4" w:space="0" w:color="000000"/>
            </w:tcBorders>
            <w:hideMark/>
          </w:tcPr>
          <w:p w14:paraId="5C29E70A" w14:textId="77777777" w:rsidR="00375F64" w:rsidRPr="00375F64" w:rsidRDefault="00375F64" w:rsidP="00375F64">
            <w:pPr>
              <w:pStyle w:val="TableParagraph"/>
              <w:rPr>
                <w:rFonts w:ascii="Calibri" w:hAnsi="Calibri" w:cs="Calibri"/>
                <w:sz w:val="20"/>
                <w:szCs w:val="20"/>
              </w:rPr>
            </w:pPr>
            <w:r w:rsidRPr="00375F64">
              <w:rPr>
                <w:rFonts w:ascii="Calibri" w:hAnsi="Calibri" w:cs="Calibri"/>
                <w:w w:val="99"/>
                <w:sz w:val="20"/>
                <w:szCs w:val="20"/>
              </w:rPr>
              <w:t>2</w:t>
            </w:r>
          </w:p>
        </w:tc>
        <w:tc>
          <w:tcPr>
            <w:tcW w:w="3020" w:type="dxa"/>
            <w:tcBorders>
              <w:top w:val="single" w:sz="4" w:space="0" w:color="000000"/>
              <w:left w:val="single" w:sz="4" w:space="0" w:color="000000"/>
              <w:bottom w:val="single" w:sz="4" w:space="0" w:color="000000"/>
              <w:right w:val="single" w:sz="4" w:space="0" w:color="000000"/>
            </w:tcBorders>
            <w:hideMark/>
          </w:tcPr>
          <w:p w14:paraId="4E9148E4" w14:textId="77777777" w:rsidR="00375F64" w:rsidRPr="00375F64" w:rsidRDefault="00375F64" w:rsidP="00375F64">
            <w:pPr>
              <w:pStyle w:val="TableParagraph"/>
              <w:rPr>
                <w:rFonts w:ascii="Calibri" w:hAnsi="Calibri" w:cs="Calibri"/>
                <w:sz w:val="20"/>
                <w:szCs w:val="20"/>
                <w:lang w:val="pl-PL"/>
              </w:rPr>
            </w:pPr>
            <w:r w:rsidRPr="00375F64">
              <w:rPr>
                <w:rFonts w:ascii="Calibri" w:hAnsi="Calibri" w:cs="Calibri"/>
                <w:sz w:val="20"/>
                <w:szCs w:val="20"/>
                <w:lang w:val="pl-PL"/>
              </w:rPr>
              <w:t>Kruszywo drobne lub o ciągłym uziarnieniu D≤8</w:t>
            </w:r>
          </w:p>
        </w:tc>
        <w:tc>
          <w:tcPr>
            <w:tcW w:w="6094" w:type="dxa"/>
            <w:gridSpan w:val="4"/>
            <w:tcBorders>
              <w:top w:val="single" w:sz="4" w:space="0" w:color="000000"/>
              <w:left w:val="single" w:sz="4" w:space="0" w:color="000000"/>
              <w:bottom w:val="single" w:sz="4" w:space="0" w:color="000000"/>
              <w:right w:val="single" w:sz="4" w:space="0" w:color="000000"/>
            </w:tcBorders>
            <w:hideMark/>
          </w:tcPr>
          <w:p w14:paraId="36A64000" w14:textId="77777777" w:rsidR="00375F64" w:rsidRPr="00375F64" w:rsidRDefault="00375F64" w:rsidP="00375F64">
            <w:pPr>
              <w:pStyle w:val="TableParagraph"/>
              <w:ind w:left="1594"/>
              <w:rPr>
                <w:rFonts w:ascii="Calibri" w:hAnsi="Calibri" w:cs="Calibri"/>
                <w:sz w:val="20"/>
                <w:szCs w:val="20"/>
              </w:rPr>
            </w:pPr>
            <w:r w:rsidRPr="00375F64">
              <w:rPr>
                <w:rFonts w:ascii="Calibri" w:hAnsi="Calibri" w:cs="Calibri"/>
                <w:sz w:val="20"/>
                <w:szCs w:val="20"/>
              </w:rPr>
              <w:t>WT-1 Kruszywa 2014, tab. 9 i 10</w:t>
            </w:r>
          </w:p>
        </w:tc>
      </w:tr>
      <w:tr w:rsidR="00375F64" w:rsidRPr="00375F64" w14:paraId="3C4A512D" w14:textId="77777777" w:rsidTr="00EA573C">
        <w:trPr>
          <w:trHeight w:val="410"/>
        </w:trPr>
        <w:tc>
          <w:tcPr>
            <w:tcW w:w="526" w:type="dxa"/>
            <w:tcBorders>
              <w:top w:val="single" w:sz="4" w:space="0" w:color="000000"/>
              <w:left w:val="single" w:sz="4" w:space="0" w:color="000000"/>
              <w:bottom w:val="single" w:sz="4" w:space="0" w:color="000000"/>
              <w:right w:val="single" w:sz="4" w:space="0" w:color="000000"/>
            </w:tcBorders>
            <w:hideMark/>
          </w:tcPr>
          <w:p w14:paraId="3AD395ED" w14:textId="77777777" w:rsidR="00375F64" w:rsidRPr="00375F64" w:rsidRDefault="00375F64" w:rsidP="00375F64">
            <w:pPr>
              <w:pStyle w:val="TableParagraph"/>
              <w:rPr>
                <w:rFonts w:ascii="Calibri" w:hAnsi="Calibri" w:cs="Calibri"/>
                <w:sz w:val="20"/>
                <w:szCs w:val="20"/>
              </w:rPr>
            </w:pPr>
            <w:r w:rsidRPr="00375F64">
              <w:rPr>
                <w:rFonts w:ascii="Calibri" w:hAnsi="Calibri" w:cs="Calibri"/>
                <w:w w:val="99"/>
                <w:sz w:val="20"/>
                <w:szCs w:val="20"/>
              </w:rPr>
              <w:t>3</w:t>
            </w:r>
          </w:p>
        </w:tc>
        <w:tc>
          <w:tcPr>
            <w:tcW w:w="3020" w:type="dxa"/>
            <w:tcBorders>
              <w:top w:val="single" w:sz="4" w:space="0" w:color="000000"/>
              <w:left w:val="single" w:sz="4" w:space="0" w:color="000000"/>
              <w:bottom w:val="single" w:sz="4" w:space="0" w:color="000000"/>
              <w:right w:val="single" w:sz="4" w:space="0" w:color="000000"/>
            </w:tcBorders>
            <w:hideMark/>
          </w:tcPr>
          <w:p w14:paraId="622B8741" w14:textId="77777777" w:rsidR="00375F64" w:rsidRPr="00375F64" w:rsidRDefault="00375F64" w:rsidP="00375F64">
            <w:pPr>
              <w:pStyle w:val="TableParagraph"/>
              <w:rPr>
                <w:rFonts w:ascii="Calibri" w:hAnsi="Calibri" w:cs="Calibri"/>
                <w:sz w:val="20"/>
                <w:szCs w:val="20"/>
              </w:rPr>
            </w:pPr>
            <w:r w:rsidRPr="00375F64">
              <w:rPr>
                <w:rFonts w:ascii="Calibri" w:hAnsi="Calibri" w:cs="Calibri"/>
                <w:sz w:val="20"/>
                <w:szCs w:val="20"/>
              </w:rPr>
              <w:t>Wypełniacz</w:t>
            </w:r>
          </w:p>
        </w:tc>
        <w:tc>
          <w:tcPr>
            <w:tcW w:w="6094" w:type="dxa"/>
            <w:gridSpan w:val="4"/>
            <w:tcBorders>
              <w:top w:val="single" w:sz="4" w:space="0" w:color="000000"/>
              <w:left w:val="single" w:sz="4" w:space="0" w:color="000000"/>
              <w:bottom w:val="single" w:sz="4" w:space="0" w:color="000000"/>
              <w:right w:val="single" w:sz="4" w:space="0" w:color="000000"/>
            </w:tcBorders>
            <w:hideMark/>
          </w:tcPr>
          <w:p w14:paraId="3AF0A081" w14:textId="77777777" w:rsidR="00375F64" w:rsidRPr="00375F64" w:rsidRDefault="00375F64" w:rsidP="00375F64">
            <w:pPr>
              <w:pStyle w:val="TableParagraph"/>
              <w:ind w:left="1700"/>
              <w:rPr>
                <w:rFonts w:ascii="Calibri" w:hAnsi="Calibri" w:cs="Calibri"/>
                <w:sz w:val="20"/>
                <w:szCs w:val="20"/>
              </w:rPr>
            </w:pPr>
            <w:r w:rsidRPr="00375F64">
              <w:rPr>
                <w:rFonts w:ascii="Calibri" w:hAnsi="Calibri" w:cs="Calibri"/>
                <w:sz w:val="20"/>
                <w:szCs w:val="20"/>
              </w:rPr>
              <w:t>WT-1 Kruszywa 2014, tab. 11,</w:t>
            </w:r>
          </w:p>
        </w:tc>
      </w:tr>
      <w:tr w:rsidR="00375F64" w:rsidRPr="00F97DAB" w14:paraId="477C816E" w14:textId="77777777" w:rsidTr="00EA573C">
        <w:trPr>
          <w:trHeight w:val="760"/>
        </w:trPr>
        <w:tc>
          <w:tcPr>
            <w:tcW w:w="526" w:type="dxa"/>
            <w:tcBorders>
              <w:top w:val="single" w:sz="4" w:space="0" w:color="000000"/>
              <w:left w:val="single" w:sz="4" w:space="0" w:color="000000"/>
              <w:bottom w:val="single" w:sz="4" w:space="0" w:color="000000"/>
              <w:right w:val="single" w:sz="4" w:space="0" w:color="000000"/>
            </w:tcBorders>
            <w:hideMark/>
          </w:tcPr>
          <w:p w14:paraId="0A18FCCC" w14:textId="77777777" w:rsidR="00375F64" w:rsidRPr="00375F64" w:rsidRDefault="00375F64" w:rsidP="00375F64">
            <w:pPr>
              <w:pStyle w:val="TableParagraph"/>
              <w:rPr>
                <w:rFonts w:ascii="Calibri" w:hAnsi="Calibri" w:cs="Calibri"/>
                <w:sz w:val="20"/>
                <w:szCs w:val="20"/>
              </w:rPr>
            </w:pPr>
            <w:r w:rsidRPr="00375F64">
              <w:rPr>
                <w:rFonts w:ascii="Calibri" w:hAnsi="Calibri" w:cs="Calibri"/>
                <w:w w:val="99"/>
                <w:sz w:val="20"/>
                <w:szCs w:val="20"/>
              </w:rPr>
              <w:t>4</w:t>
            </w:r>
          </w:p>
        </w:tc>
        <w:tc>
          <w:tcPr>
            <w:tcW w:w="3020" w:type="dxa"/>
            <w:tcBorders>
              <w:top w:val="single" w:sz="4" w:space="0" w:color="000000"/>
              <w:left w:val="single" w:sz="4" w:space="0" w:color="000000"/>
              <w:bottom w:val="single" w:sz="4" w:space="0" w:color="000000"/>
              <w:right w:val="single" w:sz="4" w:space="0" w:color="000000"/>
            </w:tcBorders>
            <w:hideMark/>
          </w:tcPr>
          <w:p w14:paraId="7BA6E297" w14:textId="77777777" w:rsidR="00375F64" w:rsidRPr="00375F64" w:rsidRDefault="00375F64" w:rsidP="00375F64">
            <w:pPr>
              <w:pStyle w:val="TableParagraph"/>
              <w:rPr>
                <w:rFonts w:ascii="Calibri" w:hAnsi="Calibri" w:cs="Calibri"/>
                <w:sz w:val="20"/>
                <w:szCs w:val="20"/>
              </w:rPr>
            </w:pPr>
            <w:r w:rsidRPr="00375F64">
              <w:rPr>
                <w:rFonts w:ascii="Calibri" w:hAnsi="Calibri" w:cs="Calibri"/>
                <w:sz w:val="20"/>
                <w:szCs w:val="20"/>
              </w:rPr>
              <w:t>Lepiszcze</w:t>
            </w:r>
          </w:p>
        </w:tc>
        <w:tc>
          <w:tcPr>
            <w:tcW w:w="6094" w:type="dxa"/>
            <w:gridSpan w:val="4"/>
            <w:tcBorders>
              <w:top w:val="single" w:sz="4" w:space="0" w:color="000000"/>
              <w:left w:val="single" w:sz="4" w:space="0" w:color="000000"/>
              <w:bottom w:val="single" w:sz="4" w:space="0" w:color="000000"/>
              <w:right w:val="single" w:sz="4" w:space="0" w:color="000000"/>
            </w:tcBorders>
            <w:hideMark/>
          </w:tcPr>
          <w:p w14:paraId="4C4FBBCE" w14:textId="77777777" w:rsidR="00375F64" w:rsidRPr="00375F64" w:rsidRDefault="00375F64" w:rsidP="00375F64">
            <w:pPr>
              <w:pStyle w:val="TableParagraph"/>
              <w:ind w:left="1491" w:right="1484"/>
              <w:rPr>
                <w:rFonts w:ascii="Calibri" w:eastAsia="Arial" w:hAnsi="Calibri" w:cs="Calibri"/>
                <w:sz w:val="20"/>
                <w:szCs w:val="20"/>
              </w:rPr>
            </w:pPr>
            <w:r w:rsidRPr="00375F64">
              <w:rPr>
                <w:rFonts w:ascii="Calibri" w:hAnsi="Calibri" w:cs="Calibri"/>
                <w:sz w:val="20"/>
                <w:szCs w:val="20"/>
              </w:rPr>
              <w:t>WT-2 2014 Tab. 10, PN-EN 14023</w:t>
            </w:r>
          </w:p>
          <w:p w14:paraId="29E4BEE8" w14:textId="77777777" w:rsidR="00375F64" w:rsidRPr="00375F64" w:rsidRDefault="00375F64" w:rsidP="00375F64">
            <w:pPr>
              <w:pStyle w:val="TableParagraph"/>
              <w:ind w:left="1489" w:right="1484"/>
              <w:rPr>
                <w:rFonts w:ascii="Calibri" w:hAnsi="Calibri" w:cs="Calibri"/>
                <w:sz w:val="20"/>
                <w:szCs w:val="20"/>
              </w:rPr>
            </w:pPr>
            <w:r w:rsidRPr="00375F64">
              <w:rPr>
                <w:rFonts w:ascii="Calibri" w:hAnsi="Calibri" w:cs="Calibri"/>
                <w:sz w:val="20"/>
                <w:szCs w:val="20"/>
              </w:rPr>
              <w:t>PN-EN 12591, PN-EN 13924-2</w:t>
            </w:r>
          </w:p>
        </w:tc>
      </w:tr>
      <w:tr w:rsidR="00375F64" w:rsidRPr="00375F64" w14:paraId="2199412A" w14:textId="77777777" w:rsidTr="00EA573C">
        <w:trPr>
          <w:trHeight w:val="410"/>
        </w:trPr>
        <w:tc>
          <w:tcPr>
            <w:tcW w:w="526" w:type="dxa"/>
            <w:tcBorders>
              <w:top w:val="single" w:sz="4" w:space="0" w:color="000000"/>
              <w:left w:val="single" w:sz="4" w:space="0" w:color="000000"/>
              <w:bottom w:val="single" w:sz="4" w:space="0" w:color="000000"/>
              <w:right w:val="single" w:sz="4" w:space="0" w:color="000000"/>
            </w:tcBorders>
            <w:hideMark/>
          </w:tcPr>
          <w:p w14:paraId="0E7E26D1" w14:textId="77777777" w:rsidR="00375F64" w:rsidRPr="00375F64" w:rsidRDefault="00375F64" w:rsidP="00375F64">
            <w:pPr>
              <w:pStyle w:val="TableParagraph"/>
              <w:rPr>
                <w:rFonts w:ascii="Calibri" w:hAnsi="Calibri" w:cs="Calibri"/>
                <w:sz w:val="20"/>
                <w:szCs w:val="20"/>
              </w:rPr>
            </w:pPr>
            <w:r w:rsidRPr="00375F64">
              <w:rPr>
                <w:rFonts w:ascii="Calibri" w:hAnsi="Calibri" w:cs="Calibri"/>
                <w:w w:val="99"/>
                <w:sz w:val="20"/>
                <w:szCs w:val="20"/>
              </w:rPr>
              <w:t>5</w:t>
            </w:r>
          </w:p>
        </w:tc>
        <w:tc>
          <w:tcPr>
            <w:tcW w:w="3020" w:type="dxa"/>
            <w:tcBorders>
              <w:top w:val="single" w:sz="4" w:space="0" w:color="000000"/>
              <w:left w:val="single" w:sz="4" w:space="0" w:color="000000"/>
              <w:bottom w:val="single" w:sz="4" w:space="0" w:color="000000"/>
              <w:right w:val="single" w:sz="4" w:space="0" w:color="000000"/>
            </w:tcBorders>
            <w:hideMark/>
          </w:tcPr>
          <w:p w14:paraId="18A3C8D7" w14:textId="77777777" w:rsidR="00375F64" w:rsidRPr="00375F64" w:rsidRDefault="00375F64" w:rsidP="00375F64">
            <w:pPr>
              <w:pStyle w:val="TableParagraph"/>
              <w:rPr>
                <w:rFonts w:ascii="Calibri" w:hAnsi="Calibri" w:cs="Calibri"/>
                <w:sz w:val="20"/>
                <w:szCs w:val="20"/>
              </w:rPr>
            </w:pPr>
            <w:r w:rsidRPr="00375F64">
              <w:rPr>
                <w:rFonts w:ascii="Calibri" w:hAnsi="Calibri" w:cs="Calibri"/>
                <w:sz w:val="20"/>
                <w:szCs w:val="20"/>
              </w:rPr>
              <w:t>Granulat asfaltowy</w:t>
            </w:r>
          </w:p>
        </w:tc>
        <w:tc>
          <w:tcPr>
            <w:tcW w:w="6094" w:type="dxa"/>
            <w:gridSpan w:val="4"/>
            <w:tcBorders>
              <w:top w:val="single" w:sz="4" w:space="0" w:color="000000"/>
              <w:left w:val="single" w:sz="4" w:space="0" w:color="000000"/>
              <w:bottom w:val="single" w:sz="4" w:space="0" w:color="000000"/>
              <w:right w:val="single" w:sz="4" w:space="0" w:color="000000"/>
            </w:tcBorders>
            <w:hideMark/>
          </w:tcPr>
          <w:p w14:paraId="5E5C9A53" w14:textId="77777777" w:rsidR="00375F64" w:rsidRPr="00375F64" w:rsidRDefault="00375F64" w:rsidP="00375F64">
            <w:pPr>
              <w:pStyle w:val="TableParagraph"/>
              <w:ind w:left="1491" w:right="1484"/>
              <w:rPr>
                <w:rFonts w:ascii="Calibri" w:hAnsi="Calibri" w:cs="Calibri"/>
                <w:sz w:val="20"/>
                <w:szCs w:val="20"/>
              </w:rPr>
            </w:pPr>
            <w:r w:rsidRPr="00375F64">
              <w:rPr>
                <w:rFonts w:ascii="Calibri" w:hAnsi="Calibri" w:cs="Calibri"/>
                <w:sz w:val="20"/>
                <w:szCs w:val="20"/>
              </w:rPr>
              <w:t>wg WT-2 2014 pkt. 7.4</w:t>
            </w:r>
          </w:p>
        </w:tc>
      </w:tr>
      <w:tr w:rsidR="00375F64" w:rsidRPr="00375F64" w14:paraId="4DAB8786" w14:textId="77777777" w:rsidTr="00EA573C">
        <w:trPr>
          <w:trHeight w:val="363"/>
        </w:trPr>
        <w:tc>
          <w:tcPr>
            <w:tcW w:w="526" w:type="dxa"/>
            <w:tcBorders>
              <w:top w:val="single" w:sz="4" w:space="0" w:color="000000"/>
              <w:left w:val="single" w:sz="4" w:space="0" w:color="000000"/>
              <w:bottom w:val="single" w:sz="4" w:space="0" w:color="000000"/>
              <w:right w:val="single" w:sz="4" w:space="0" w:color="000000"/>
            </w:tcBorders>
            <w:hideMark/>
          </w:tcPr>
          <w:p w14:paraId="0F65A806" w14:textId="77777777" w:rsidR="00375F64" w:rsidRPr="00375F64" w:rsidRDefault="00375F64" w:rsidP="00375F64">
            <w:pPr>
              <w:pStyle w:val="TableParagraph"/>
              <w:rPr>
                <w:rFonts w:ascii="Calibri" w:hAnsi="Calibri" w:cs="Calibri"/>
                <w:sz w:val="20"/>
                <w:szCs w:val="20"/>
              </w:rPr>
            </w:pPr>
            <w:r w:rsidRPr="00375F64">
              <w:rPr>
                <w:rFonts w:ascii="Calibri" w:hAnsi="Calibri" w:cs="Calibri"/>
                <w:w w:val="99"/>
                <w:sz w:val="20"/>
                <w:szCs w:val="20"/>
              </w:rPr>
              <w:t>6</w:t>
            </w:r>
          </w:p>
        </w:tc>
        <w:tc>
          <w:tcPr>
            <w:tcW w:w="3020" w:type="dxa"/>
            <w:tcBorders>
              <w:top w:val="single" w:sz="4" w:space="0" w:color="000000"/>
              <w:left w:val="single" w:sz="4" w:space="0" w:color="000000"/>
              <w:bottom w:val="single" w:sz="4" w:space="0" w:color="000000"/>
              <w:right w:val="single" w:sz="4" w:space="0" w:color="000000"/>
            </w:tcBorders>
            <w:hideMark/>
          </w:tcPr>
          <w:p w14:paraId="49EBB7C2" w14:textId="77777777" w:rsidR="00375F64" w:rsidRPr="00375F64" w:rsidRDefault="00375F64" w:rsidP="00375F64">
            <w:pPr>
              <w:pStyle w:val="TableParagraph"/>
              <w:rPr>
                <w:rFonts w:ascii="Calibri" w:hAnsi="Calibri" w:cs="Calibri"/>
                <w:sz w:val="20"/>
                <w:szCs w:val="20"/>
              </w:rPr>
            </w:pPr>
            <w:r w:rsidRPr="00375F64">
              <w:rPr>
                <w:rFonts w:ascii="Calibri" w:hAnsi="Calibri" w:cs="Calibri"/>
                <w:sz w:val="20"/>
                <w:szCs w:val="20"/>
              </w:rPr>
              <w:t>Środek adhezyjny</w:t>
            </w:r>
          </w:p>
        </w:tc>
        <w:tc>
          <w:tcPr>
            <w:tcW w:w="6094" w:type="dxa"/>
            <w:gridSpan w:val="4"/>
            <w:tcBorders>
              <w:top w:val="single" w:sz="4" w:space="0" w:color="000000"/>
              <w:left w:val="single" w:sz="4" w:space="0" w:color="000000"/>
              <w:bottom w:val="single" w:sz="4" w:space="0" w:color="000000"/>
              <w:right w:val="single" w:sz="4" w:space="0" w:color="000000"/>
            </w:tcBorders>
            <w:hideMark/>
          </w:tcPr>
          <w:p w14:paraId="72F5758D" w14:textId="77777777" w:rsidR="00375F64" w:rsidRPr="00375F64" w:rsidRDefault="00375F64" w:rsidP="00375F64">
            <w:pPr>
              <w:pStyle w:val="TableParagraph"/>
              <w:ind w:left="106" w:right="97"/>
              <w:jc w:val="center"/>
              <w:rPr>
                <w:rFonts w:ascii="Calibri" w:hAnsi="Calibri" w:cs="Calibri"/>
                <w:sz w:val="20"/>
                <w:szCs w:val="20"/>
                <w:lang w:val="pl-PL"/>
              </w:rPr>
            </w:pPr>
            <w:r w:rsidRPr="00375F64">
              <w:rPr>
                <w:rFonts w:ascii="Calibri" w:hAnsi="Calibri" w:cs="Calibri"/>
                <w:sz w:val="20"/>
                <w:szCs w:val="20"/>
                <w:lang w:val="pl-PL"/>
              </w:rPr>
              <w:t>zgodnie z zapisami p. 4.1 PN-EN 13108-1</w:t>
            </w:r>
          </w:p>
        </w:tc>
      </w:tr>
      <w:tr w:rsidR="00375F64" w:rsidRPr="00375F64" w14:paraId="18A6A18F" w14:textId="77777777" w:rsidTr="00EA573C">
        <w:trPr>
          <w:trHeight w:val="699"/>
        </w:trPr>
        <w:tc>
          <w:tcPr>
            <w:tcW w:w="526" w:type="dxa"/>
            <w:tcBorders>
              <w:top w:val="single" w:sz="4" w:space="0" w:color="000000"/>
              <w:left w:val="single" w:sz="4" w:space="0" w:color="000000"/>
              <w:bottom w:val="single" w:sz="4" w:space="0" w:color="000000"/>
              <w:right w:val="single" w:sz="4" w:space="0" w:color="000000"/>
            </w:tcBorders>
            <w:hideMark/>
          </w:tcPr>
          <w:p w14:paraId="487B0FB3" w14:textId="77777777" w:rsidR="00375F64" w:rsidRPr="00375F64" w:rsidRDefault="00375F64" w:rsidP="00375F64">
            <w:pPr>
              <w:pStyle w:val="TableParagraph"/>
              <w:rPr>
                <w:rFonts w:ascii="Calibri" w:hAnsi="Calibri" w:cs="Calibri"/>
                <w:sz w:val="20"/>
                <w:szCs w:val="20"/>
              </w:rPr>
            </w:pPr>
            <w:r w:rsidRPr="00375F64">
              <w:rPr>
                <w:rFonts w:ascii="Calibri" w:hAnsi="Calibri" w:cs="Calibri"/>
                <w:w w:val="99"/>
                <w:sz w:val="20"/>
                <w:szCs w:val="20"/>
              </w:rPr>
              <w:t>7</w:t>
            </w:r>
          </w:p>
        </w:tc>
        <w:tc>
          <w:tcPr>
            <w:tcW w:w="3020" w:type="dxa"/>
            <w:tcBorders>
              <w:top w:val="single" w:sz="4" w:space="0" w:color="000000"/>
              <w:left w:val="single" w:sz="4" w:space="0" w:color="000000"/>
              <w:bottom w:val="single" w:sz="4" w:space="0" w:color="000000"/>
              <w:right w:val="single" w:sz="4" w:space="0" w:color="000000"/>
            </w:tcBorders>
            <w:hideMark/>
          </w:tcPr>
          <w:p w14:paraId="34160EB5" w14:textId="77777777" w:rsidR="00375F64" w:rsidRPr="00375F64" w:rsidRDefault="00375F64" w:rsidP="00375F64">
            <w:pPr>
              <w:pStyle w:val="TableParagraph"/>
              <w:rPr>
                <w:rFonts w:ascii="Calibri" w:hAnsi="Calibri" w:cs="Calibri"/>
                <w:sz w:val="20"/>
                <w:szCs w:val="20"/>
              </w:rPr>
            </w:pPr>
            <w:r w:rsidRPr="00375F64">
              <w:rPr>
                <w:rFonts w:ascii="Calibri" w:hAnsi="Calibri" w:cs="Calibri"/>
                <w:sz w:val="20"/>
                <w:szCs w:val="20"/>
              </w:rPr>
              <w:t>Mieszanka mineralno-asfaltowe</w:t>
            </w:r>
          </w:p>
        </w:tc>
        <w:tc>
          <w:tcPr>
            <w:tcW w:w="2127" w:type="dxa"/>
            <w:tcBorders>
              <w:top w:val="single" w:sz="4" w:space="0" w:color="000000"/>
              <w:left w:val="single" w:sz="4" w:space="0" w:color="000000"/>
              <w:bottom w:val="single" w:sz="4" w:space="0" w:color="000000"/>
              <w:right w:val="single" w:sz="4" w:space="0" w:color="000000"/>
            </w:tcBorders>
            <w:hideMark/>
          </w:tcPr>
          <w:p w14:paraId="4D3F16EF" w14:textId="77777777" w:rsidR="00375F64" w:rsidRPr="00375F64" w:rsidRDefault="00375F64" w:rsidP="00375F64">
            <w:pPr>
              <w:pStyle w:val="TableParagraph"/>
              <w:ind w:left="106" w:right="102"/>
              <w:rPr>
                <w:rFonts w:ascii="Calibri" w:hAnsi="Calibri" w:cs="Calibri"/>
                <w:sz w:val="20"/>
                <w:szCs w:val="20"/>
              </w:rPr>
            </w:pPr>
            <w:r w:rsidRPr="00375F64">
              <w:rPr>
                <w:rFonts w:ascii="Calibri" w:hAnsi="Calibri" w:cs="Calibri"/>
                <w:sz w:val="20"/>
                <w:szCs w:val="20"/>
              </w:rPr>
              <w:t>WT-2 2014 pkt. 8.2.2 tab. 11 i 12</w:t>
            </w:r>
          </w:p>
        </w:tc>
        <w:tc>
          <w:tcPr>
            <w:tcW w:w="1985" w:type="dxa"/>
            <w:tcBorders>
              <w:top w:val="single" w:sz="4" w:space="0" w:color="000000"/>
              <w:left w:val="single" w:sz="4" w:space="0" w:color="000000"/>
              <w:bottom w:val="single" w:sz="4" w:space="0" w:color="000000"/>
              <w:right w:val="single" w:sz="4" w:space="0" w:color="000000"/>
            </w:tcBorders>
            <w:hideMark/>
          </w:tcPr>
          <w:p w14:paraId="085FBF38" w14:textId="77777777" w:rsidR="00375F64" w:rsidRPr="00375F64" w:rsidRDefault="00375F64" w:rsidP="00375F64">
            <w:pPr>
              <w:pStyle w:val="TableParagraph"/>
              <w:ind w:left="283" w:right="284"/>
              <w:rPr>
                <w:rFonts w:ascii="Calibri" w:eastAsia="Arial" w:hAnsi="Calibri" w:cs="Calibri"/>
                <w:sz w:val="20"/>
                <w:szCs w:val="20"/>
              </w:rPr>
            </w:pPr>
            <w:r w:rsidRPr="00375F64">
              <w:rPr>
                <w:rFonts w:ascii="Calibri" w:hAnsi="Calibri" w:cs="Calibri"/>
                <w:sz w:val="20"/>
                <w:szCs w:val="20"/>
              </w:rPr>
              <w:t>WT-2 2014 pkt.</w:t>
            </w:r>
          </w:p>
          <w:p w14:paraId="5C378C80" w14:textId="77777777" w:rsidR="00375F64" w:rsidRPr="00375F64" w:rsidRDefault="00375F64" w:rsidP="00375F64">
            <w:pPr>
              <w:pStyle w:val="TableParagraph"/>
              <w:ind w:left="283" w:right="284"/>
              <w:rPr>
                <w:rFonts w:ascii="Calibri" w:hAnsi="Calibri" w:cs="Calibri"/>
                <w:sz w:val="20"/>
                <w:szCs w:val="20"/>
              </w:rPr>
            </w:pPr>
            <w:r w:rsidRPr="00375F64">
              <w:rPr>
                <w:rFonts w:ascii="Calibri" w:hAnsi="Calibri" w:cs="Calibri"/>
                <w:sz w:val="20"/>
                <w:szCs w:val="20"/>
              </w:rPr>
              <w:t>8.2.2 tab. 11 i 13</w:t>
            </w:r>
          </w:p>
        </w:tc>
        <w:tc>
          <w:tcPr>
            <w:tcW w:w="1982" w:type="dxa"/>
            <w:gridSpan w:val="2"/>
            <w:tcBorders>
              <w:top w:val="single" w:sz="4" w:space="0" w:color="000000"/>
              <w:left w:val="single" w:sz="4" w:space="0" w:color="000000"/>
              <w:bottom w:val="single" w:sz="4" w:space="0" w:color="000000"/>
              <w:right w:val="single" w:sz="4" w:space="0" w:color="000000"/>
            </w:tcBorders>
            <w:hideMark/>
          </w:tcPr>
          <w:p w14:paraId="5A15FD70" w14:textId="77777777" w:rsidR="00375F64" w:rsidRPr="00375F64" w:rsidRDefault="00375F64" w:rsidP="00375F64">
            <w:pPr>
              <w:pStyle w:val="TableParagraph"/>
              <w:ind w:left="285" w:right="279"/>
              <w:rPr>
                <w:rFonts w:ascii="Calibri" w:eastAsia="Arial" w:hAnsi="Calibri" w:cs="Calibri"/>
                <w:sz w:val="20"/>
                <w:szCs w:val="20"/>
              </w:rPr>
            </w:pPr>
            <w:r w:rsidRPr="00375F64">
              <w:rPr>
                <w:rFonts w:ascii="Calibri" w:hAnsi="Calibri" w:cs="Calibri"/>
                <w:sz w:val="20"/>
                <w:szCs w:val="20"/>
              </w:rPr>
              <w:t>WT-2 2014 pkt.</w:t>
            </w:r>
          </w:p>
          <w:p w14:paraId="18A8A3F5" w14:textId="77777777" w:rsidR="00375F64" w:rsidRPr="00375F64" w:rsidRDefault="00375F64" w:rsidP="00375F64">
            <w:pPr>
              <w:pStyle w:val="TableParagraph"/>
              <w:ind w:left="285" w:right="279"/>
              <w:rPr>
                <w:rFonts w:ascii="Calibri" w:hAnsi="Calibri" w:cs="Calibri"/>
                <w:sz w:val="20"/>
                <w:szCs w:val="20"/>
              </w:rPr>
            </w:pPr>
            <w:r w:rsidRPr="00375F64">
              <w:rPr>
                <w:rFonts w:ascii="Calibri" w:hAnsi="Calibri" w:cs="Calibri"/>
                <w:sz w:val="20"/>
                <w:szCs w:val="20"/>
              </w:rPr>
              <w:t>8.2.2 tab. 11 i 14</w:t>
            </w:r>
          </w:p>
        </w:tc>
      </w:tr>
      <w:tr w:rsidR="00375F64" w:rsidRPr="00375F64" w14:paraId="46D7787C" w14:textId="77777777" w:rsidTr="00EA573C">
        <w:trPr>
          <w:trHeight w:val="760"/>
        </w:trPr>
        <w:tc>
          <w:tcPr>
            <w:tcW w:w="526" w:type="dxa"/>
            <w:tcBorders>
              <w:top w:val="single" w:sz="4" w:space="0" w:color="000000"/>
              <w:left w:val="single" w:sz="4" w:space="0" w:color="000000"/>
              <w:bottom w:val="single" w:sz="4" w:space="0" w:color="000000"/>
              <w:right w:val="single" w:sz="4" w:space="0" w:color="000000"/>
            </w:tcBorders>
            <w:hideMark/>
          </w:tcPr>
          <w:p w14:paraId="4B909D3A" w14:textId="77777777" w:rsidR="00375F64" w:rsidRPr="00375F64" w:rsidRDefault="00375F64" w:rsidP="00375F64">
            <w:pPr>
              <w:pStyle w:val="TableParagraph"/>
              <w:rPr>
                <w:rFonts w:ascii="Calibri" w:hAnsi="Calibri" w:cs="Calibri"/>
                <w:sz w:val="20"/>
                <w:szCs w:val="20"/>
              </w:rPr>
            </w:pPr>
            <w:r w:rsidRPr="00375F64">
              <w:rPr>
                <w:rFonts w:ascii="Calibri" w:hAnsi="Calibri" w:cs="Calibri"/>
                <w:w w:val="99"/>
                <w:sz w:val="20"/>
                <w:szCs w:val="20"/>
              </w:rPr>
              <w:t>8</w:t>
            </w:r>
          </w:p>
        </w:tc>
        <w:tc>
          <w:tcPr>
            <w:tcW w:w="3020" w:type="dxa"/>
            <w:tcBorders>
              <w:top w:val="single" w:sz="4" w:space="0" w:color="000000"/>
              <w:left w:val="single" w:sz="4" w:space="0" w:color="000000"/>
              <w:bottom w:val="single" w:sz="4" w:space="0" w:color="000000"/>
              <w:right w:val="single" w:sz="4" w:space="0" w:color="000000"/>
            </w:tcBorders>
            <w:hideMark/>
          </w:tcPr>
          <w:p w14:paraId="05EC8F58" w14:textId="77777777" w:rsidR="00375F64" w:rsidRPr="00375F64" w:rsidRDefault="00375F64" w:rsidP="00375F64">
            <w:pPr>
              <w:pStyle w:val="TableParagraph"/>
              <w:ind w:right="1022"/>
              <w:rPr>
                <w:rFonts w:ascii="Calibri" w:hAnsi="Calibri" w:cs="Calibri"/>
                <w:sz w:val="20"/>
                <w:szCs w:val="20"/>
                <w:lang w:val="pl-PL"/>
              </w:rPr>
            </w:pPr>
            <w:r w:rsidRPr="00375F64">
              <w:rPr>
                <w:rFonts w:ascii="Calibri" w:hAnsi="Calibri" w:cs="Calibri"/>
                <w:sz w:val="20"/>
                <w:szCs w:val="20"/>
                <w:lang w:val="pl-PL"/>
              </w:rPr>
              <w:t>Warstwa z mieszanki mineralno-asfaltowej</w:t>
            </w:r>
          </w:p>
        </w:tc>
        <w:tc>
          <w:tcPr>
            <w:tcW w:w="6094" w:type="dxa"/>
            <w:gridSpan w:val="4"/>
            <w:tcBorders>
              <w:top w:val="single" w:sz="4" w:space="0" w:color="000000"/>
              <w:left w:val="single" w:sz="4" w:space="0" w:color="000000"/>
              <w:bottom w:val="single" w:sz="4" w:space="0" w:color="000000"/>
              <w:right w:val="single" w:sz="4" w:space="0" w:color="000000"/>
            </w:tcBorders>
            <w:hideMark/>
          </w:tcPr>
          <w:p w14:paraId="5F43CB34" w14:textId="77777777" w:rsidR="00375F64" w:rsidRPr="00375F64" w:rsidRDefault="00375F64" w:rsidP="00375F64">
            <w:pPr>
              <w:pStyle w:val="TableParagraph"/>
              <w:ind w:left="828" w:right="118" w:hanging="156"/>
              <w:rPr>
                <w:rFonts w:ascii="Calibri" w:hAnsi="Calibri" w:cs="Calibri"/>
                <w:sz w:val="20"/>
                <w:szCs w:val="20"/>
                <w:lang w:val="pl-PL"/>
              </w:rPr>
            </w:pPr>
            <w:r w:rsidRPr="00375F64">
              <w:rPr>
                <w:rFonts w:ascii="Calibri" w:hAnsi="Calibri" w:cs="Calibri"/>
                <w:sz w:val="20"/>
                <w:szCs w:val="20"/>
                <w:lang w:val="pl-PL"/>
              </w:rPr>
              <w:t>Wskaźnik zagęszczenia warstwy zgodnie z pkt. 6.2.5. Wolna przestrzeń w warstwie zgodnie z pkt. 6.2.6.</w:t>
            </w:r>
          </w:p>
        </w:tc>
      </w:tr>
      <w:tr w:rsidR="00375F64" w:rsidRPr="00375F64" w14:paraId="5B487D69" w14:textId="77777777" w:rsidTr="00EA573C">
        <w:trPr>
          <w:trHeight w:val="580"/>
        </w:trPr>
        <w:tc>
          <w:tcPr>
            <w:tcW w:w="9640" w:type="dxa"/>
            <w:gridSpan w:val="6"/>
            <w:tcBorders>
              <w:top w:val="single" w:sz="4" w:space="0" w:color="000000"/>
              <w:left w:val="single" w:sz="4" w:space="0" w:color="000000"/>
              <w:bottom w:val="single" w:sz="4" w:space="0" w:color="000000"/>
              <w:right w:val="single" w:sz="4" w:space="0" w:color="000000"/>
            </w:tcBorders>
            <w:hideMark/>
          </w:tcPr>
          <w:p w14:paraId="53360AC8" w14:textId="77777777" w:rsidR="00375F64" w:rsidRPr="00375F64" w:rsidRDefault="00375F64" w:rsidP="00375F64">
            <w:pPr>
              <w:pStyle w:val="TableParagraph"/>
              <w:ind w:right="86"/>
              <w:rPr>
                <w:rFonts w:ascii="Calibri" w:hAnsi="Calibri" w:cs="Calibri"/>
                <w:sz w:val="20"/>
                <w:szCs w:val="20"/>
                <w:lang w:val="pl-PL"/>
              </w:rPr>
            </w:pPr>
            <w:r w:rsidRPr="00375F64">
              <w:rPr>
                <w:rFonts w:ascii="Calibri" w:hAnsi="Calibri" w:cs="Calibri"/>
                <w:sz w:val="20"/>
                <w:szCs w:val="20"/>
                <w:lang w:val="pl-PL"/>
              </w:rPr>
              <w:t>Jeżeli stosowana jest mieszanka kruszywa drobnego niełamanego i łamanego, to należy przyjąć proporcję kruszywa łamanego do niełamanego co najmniej 50/50.</w:t>
            </w:r>
          </w:p>
        </w:tc>
      </w:tr>
    </w:tbl>
    <w:p w14:paraId="07000E6C" w14:textId="77777777" w:rsidR="00375F64" w:rsidRPr="00375F64" w:rsidRDefault="00375F64" w:rsidP="00375F64">
      <w:pPr>
        <w:pStyle w:val="Tekstpodstawowy"/>
        <w:spacing w:line="240" w:lineRule="auto"/>
        <w:jc w:val="both"/>
        <w:rPr>
          <w:rFonts w:ascii="Calibri" w:hAnsi="Calibri" w:cs="Calibri"/>
          <w:sz w:val="20"/>
          <w:szCs w:val="20"/>
        </w:rPr>
      </w:pPr>
    </w:p>
    <w:p w14:paraId="28360094" w14:textId="77777777" w:rsidR="00375F64" w:rsidRPr="00375F64" w:rsidRDefault="00375F64" w:rsidP="00375F64">
      <w:pPr>
        <w:pStyle w:val="Nagwek4"/>
        <w:spacing w:before="0" w:after="0"/>
        <w:rPr>
          <w:rFonts w:ascii="Calibri" w:hAnsi="Calibri" w:cs="Calibri"/>
        </w:rPr>
      </w:pPr>
      <w:r w:rsidRPr="00375F64">
        <w:rPr>
          <w:rFonts w:ascii="Calibri" w:hAnsi="Calibri" w:cs="Calibri"/>
        </w:rPr>
        <w:t>2.3. Lepiszcza asfaltowe</w:t>
      </w:r>
    </w:p>
    <w:p w14:paraId="3AC10236" w14:textId="77777777" w:rsidR="00375F64" w:rsidRPr="00375F64" w:rsidRDefault="00375F64" w:rsidP="00375F64">
      <w:pPr>
        <w:pStyle w:val="Tekstpodstawowy"/>
        <w:spacing w:line="240" w:lineRule="auto"/>
        <w:rPr>
          <w:rFonts w:ascii="Calibri" w:hAnsi="Calibri" w:cs="Calibri"/>
          <w:sz w:val="20"/>
          <w:szCs w:val="20"/>
        </w:rPr>
      </w:pPr>
    </w:p>
    <w:p w14:paraId="197EA04B" w14:textId="62A0D5C4" w:rsidR="00375F64" w:rsidRPr="00375F64" w:rsidRDefault="00375F64" w:rsidP="00375F64">
      <w:pPr>
        <w:pStyle w:val="Tekstpodstawowy"/>
        <w:spacing w:line="240" w:lineRule="auto"/>
        <w:rPr>
          <w:rFonts w:ascii="Calibri" w:hAnsi="Calibri" w:cs="Calibri"/>
          <w:sz w:val="20"/>
          <w:szCs w:val="20"/>
        </w:rPr>
      </w:pPr>
      <w:r w:rsidRPr="00375F64">
        <w:rPr>
          <w:rFonts w:ascii="Calibri" w:hAnsi="Calibri" w:cs="Calibri"/>
          <w:sz w:val="20"/>
          <w:szCs w:val="20"/>
        </w:rPr>
        <w:t xml:space="preserve">Dla warstw konstrukcji KR3 - </w:t>
      </w:r>
      <w:r>
        <w:rPr>
          <w:rFonts w:ascii="Calibri" w:hAnsi="Calibri" w:cs="Calibri"/>
          <w:sz w:val="20"/>
          <w:szCs w:val="20"/>
        </w:rPr>
        <w:t>6</w:t>
      </w:r>
      <w:r w:rsidRPr="00375F64">
        <w:rPr>
          <w:rFonts w:ascii="Calibri" w:hAnsi="Calibri" w:cs="Calibri"/>
          <w:sz w:val="20"/>
          <w:szCs w:val="20"/>
        </w:rPr>
        <w:t xml:space="preserve"> należy stosować asfalty drogowe 35/50 wg PN-EN 12591 </w:t>
      </w:r>
    </w:p>
    <w:p w14:paraId="29D82C72" w14:textId="77777777" w:rsidR="00375F64" w:rsidRPr="00375F64" w:rsidRDefault="00375F64" w:rsidP="00375F64">
      <w:pPr>
        <w:pStyle w:val="Tekstpodstawowy"/>
        <w:spacing w:line="240" w:lineRule="auto"/>
        <w:rPr>
          <w:rFonts w:ascii="Calibri" w:hAnsi="Calibri" w:cs="Calibri"/>
          <w:sz w:val="20"/>
          <w:szCs w:val="20"/>
        </w:rPr>
      </w:pPr>
      <w:r w:rsidRPr="00375F64">
        <w:rPr>
          <w:rFonts w:ascii="Calibri" w:hAnsi="Calibri" w:cs="Calibri"/>
          <w:sz w:val="20"/>
          <w:szCs w:val="20"/>
        </w:rPr>
        <w:t>Dla warstw konstrukcji KR1-2  należy stosować asfalty drogowe 35/50 lub 50/70 wg PN-EN 12591</w:t>
      </w:r>
    </w:p>
    <w:p w14:paraId="652DEB07" w14:textId="77777777" w:rsidR="00375F64" w:rsidRPr="00375F64" w:rsidRDefault="00375F64" w:rsidP="00375F64">
      <w:pPr>
        <w:pStyle w:val="Tekstpodstawowy"/>
        <w:spacing w:line="240" w:lineRule="auto"/>
        <w:rPr>
          <w:rFonts w:ascii="Calibri" w:hAnsi="Calibri" w:cs="Calibri"/>
          <w:sz w:val="20"/>
          <w:szCs w:val="20"/>
        </w:rPr>
      </w:pPr>
      <w:r w:rsidRPr="00375F64">
        <w:rPr>
          <w:rFonts w:ascii="Calibri" w:hAnsi="Calibri" w:cs="Calibri"/>
          <w:sz w:val="20"/>
          <w:szCs w:val="20"/>
        </w:rPr>
        <w:t xml:space="preserve">Asfalty drogowe powinny spełniać wymagania podane w tablicy 2. </w:t>
      </w:r>
    </w:p>
    <w:p w14:paraId="4135FFA8" w14:textId="77777777" w:rsidR="00375F64" w:rsidRPr="00375F64" w:rsidRDefault="00375F64" w:rsidP="00375F64">
      <w:pPr>
        <w:pStyle w:val="Tekstpodstawowy"/>
        <w:spacing w:line="240" w:lineRule="auto"/>
        <w:rPr>
          <w:rFonts w:ascii="Calibri" w:hAnsi="Calibri" w:cs="Calibri"/>
          <w:sz w:val="20"/>
          <w:szCs w:val="20"/>
        </w:rPr>
      </w:pPr>
    </w:p>
    <w:p w14:paraId="4F9DB376" w14:textId="77777777" w:rsidR="00375F64" w:rsidRPr="00375F64" w:rsidRDefault="00375F64" w:rsidP="00375F64">
      <w:pPr>
        <w:pStyle w:val="Tekstpodstawowy"/>
        <w:spacing w:line="240" w:lineRule="auto"/>
        <w:rPr>
          <w:rFonts w:ascii="Calibri" w:hAnsi="Calibri" w:cs="Calibri"/>
          <w:sz w:val="20"/>
          <w:szCs w:val="20"/>
        </w:rPr>
      </w:pPr>
      <w:r w:rsidRPr="00375F64">
        <w:rPr>
          <w:rFonts w:ascii="Calibri" w:hAnsi="Calibri" w:cs="Calibri"/>
          <w:sz w:val="20"/>
          <w:szCs w:val="20"/>
        </w:rPr>
        <w:t xml:space="preserve">Tablica 2. Wymagania wobec asfaltów drogowych wg PN-EN 12591 </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400"/>
        <w:gridCol w:w="851"/>
        <w:gridCol w:w="1559"/>
        <w:gridCol w:w="1276"/>
        <w:gridCol w:w="1276"/>
      </w:tblGrid>
      <w:tr w:rsidR="00375F64" w:rsidRPr="00375F64" w14:paraId="1487C239" w14:textId="77777777" w:rsidTr="00EA573C">
        <w:trPr>
          <w:trHeight w:val="490"/>
        </w:trPr>
        <w:tc>
          <w:tcPr>
            <w:tcW w:w="534" w:type="dxa"/>
            <w:vAlign w:val="center"/>
          </w:tcPr>
          <w:p w14:paraId="6FFA9121" w14:textId="77777777" w:rsidR="00375F64" w:rsidRPr="00375F64" w:rsidRDefault="00375F64" w:rsidP="00375F64">
            <w:pPr>
              <w:pStyle w:val="Tekstpodstawowy"/>
              <w:spacing w:line="240" w:lineRule="auto"/>
              <w:rPr>
                <w:rFonts w:ascii="Calibri" w:hAnsi="Calibri" w:cs="Calibri"/>
                <w:sz w:val="20"/>
                <w:szCs w:val="20"/>
              </w:rPr>
            </w:pPr>
            <w:r w:rsidRPr="00375F64">
              <w:rPr>
                <w:rFonts w:ascii="Calibri" w:hAnsi="Calibri" w:cs="Calibri"/>
                <w:sz w:val="20"/>
                <w:szCs w:val="20"/>
              </w:rPr>
              <w:t>Lp.</w:t>
            </w:r>
          </w:p>
        </w:tc>
        <w:tc>
          <w:tcPr>
            <w:tcW w:w="4251" w:type="dxa"/>
            <w:gridSpan w:val="2"/>
            <w:vAlign w:val="center"/>
          </w:tcPr>
          <w:p w14:paraId="7A9E81F7" w14:textId="77777777" w:rsidR="00375F64" w:rsidRPr="00375F64" w:rsidRDefault="00375F64" w:rsidP="00375F64">
            <w:pPr>
              <w:pStyle w:val="Tekstpodstawowy"/>
              <w:spacing w:line="240" w:lineRule="auto"/>
              <w:rPr>
                <w:rFonts w:ascii="Calibri" w:hAnsi="Calibri" w:cs="Calibri"/>
                <w:sz w:val="20"/>
                <w:szCs w:val="20"/>
              </w:rPr>
            </w:pPr>
            <w:r w:rsidRPr="00375F64">
              <w:rPr>
                <w:rFonts w:ascii="Calibri" w:hAnsi="Calibri" w:cs="Calibri"/>
                <w:sz w:val="20"/>
                <w:szCs w:val="20"/>
              </w:rPr>
              <w:t>Właściwości</w:t>
            </w:r>
          </w:p>
        </w:tc>
        <w:tc>
          <w:tcPr>
            <w:tcW w:w="1559" w:type="dxa"/>
            <w:vAlign w:val="center"/>
          </w:tcPr>
          <w:p w14:paraId="2DECDEFC" w14:textId="77777777" w:rsidR="00375F64" w:rsidRPr="00375F64" w:rsidRDefault="00375F64" w:rsidP="00375F64">
            <w:pPr>
              <w:pStyle w:val="Tekstpodstawowy"/>
              <w:spacing w:line="240" w:lineRule="auto"/>
              <w:rPr>
                <w:rFonts w:ascii="Calibri" w:hAnsi="Calibri" w:cs="Calibri"/>
                <w:sz w:val="20"/>
                <w:szCs w:val="20"/>
              </w:rPr>
            </w:pPr>
            <w:r w:rsidRPr="00375F64">
              <w:rPr>
                <w:rFonts w:ascii="Calibri" w:hAnsi="Calibri" w:cs="Calibri"/>
                <w:sz w:val="20"/>
                <w:szCs w:val="20"/>
              </w:rPr>
              <w:t>Metoda</w:t>
            </w:r>
          </w:p>
          <w:p w14:paraId="733345EE" w14:textId="77777777" w:rsidR="00375F64" w:rsidRPr="00375F64" w:rsidRDefault="00375F64" w:rsidP="00375F64">
            <w:pPr>
              <w:pStyle w:val="Tekstpodstawowy"/>
              <w:spacing w:line="240" w:lineRule="auto"/>
              <w:rPr>
                <w:rFonts w:ascii="Calibri" w:hAnsi="Calibri" w:cs="Calibri"/>
                <w:sz w:val="20"/>
                <w:szCs w:val="20"/>
              </w:rPr>
            </w:pPr>
            <w:r w:rsidRPr="00375F64">
              <w:rPr>
                <w:rFonts w:ascii="Calibri" w:hAnsi="Calibri" w:cs="Calibri"/>
                <w:sz w:val="20"/>
                <w:szCs w:val="20"/>
              </w:rPr>
              <w:t>badania</w:t>
            </w:r>
          </w:p>
        </w:tc>
        <w:tc>
          <w:tcPr>
            <w:tcW w:w="1276" w:type="dxa"/>
          </w:tcPr>
          <w:p w14:paraId="110EBA3E" w14:textId="77777777" w:rsidR="00375F64" w:rsidRPr="00375F64" w:rsidRDefault="00375F64" w:rsidP="00375F64">
            <w:pPr>
              <w:pStyle w:val="Tekstpodstawowy"/>
              <w:spacing w:line="240" w:lineRule="auto"/>
              <w:rPr>
                <w:rFonts w:ascii="Calibri" w:hAnsi="Calibri" w:cs="Calibri"/>
                <w:sz w:val="20"/>
                <w:szCs w:val="20"/>
              </w:rPr>
            </w:pPr>
            <w:r w:rsidRPr="00375F64">
              <w:rPr>
                <w:rFonts w:ascii="Calibri" w:hAnsi="Calibri" w:cs="Calibri"/>
                <w:sz w:val="20"/>
                <w:szCs w:val="20"/>
              </w:rPr>
              <w:t>Wymagania</w:t>
            </w:r>
          </w:p>
          <w:p w14:paraId="7D0B9CE2" w14:textId="77777777" w:rsidR="00375F64" w:rsidRPr="00375F64" w:rsidRDefault="00375F64" w:rsidP="00375F64">
            <w:pPr>
              <w:pStyle w:val="Tekstpodstawowy"/>
              <w:spacing w:line="240" w:lineRule="auto"/>
              <w:rPr>
                <w:rFonts w:ascii="Calibri" w:hAnsi="Calibri" w:cs="Calibri"/>
                <w:sz w:val="20"/>
                <w:szCs w:val="20"/>
              </w:rPr>
            </w:pPr>
            <w:r w:rsidRPr="00375F64">
              <w:rPr>
                <w:rFonts w:ascii="Calibri" w:hAnsi="Calibri" w:cs="Calibri"/>
                <w:sz w:val="20"/>
                <w:szCs w:val="20"/>
              </w:rPr>
              <w:t>35/50</w:t>
            </w:r>
          </w:p>
        </w:tc>
        <w:tc>
          <w:tcPr>
            <w:tcW w:w="1276" w:type="dxa"/>
          </w:tcPr>
          <w:p w14:paraId="418E8B6E" w14:textId="77777777" w:rsidR="00375F64" w:rsidRPr="00375F64" w:rsidRDefault="00375F64" w:rsidP="00375F64">
            <w:pPr>
              <w:pStyle w:val="Tekstpodstawowy"/>
              <w:spacing w:line="240" w:lineRule="auto"/>
              <w:rPr>
                <w:rFonts w:ascii="Calibri" w:hAnsi="Calibri" w:cs="Calibri"/>
                <w:sz w:val="20"/>
                <w:szCs w:val="20"/>
              </w:rPr>
            </w:pPr>
            <w:r w:rsidRPr="00375F64">
              <w:rPr>
                <w:rFonts w:ascii="Calibri" w:hAnsi="Calibri" w:cs="Calibri"/>
                <w:sz w:val="20"/>
                <w:szCs w:val="20"/>
              </w:rPr>
              <w:t>Wymagania 50/70</w:t>
            </w:r>
          </w:p>
        </w:tc>
      </w:tr>
      <w:tr w:rsidR="00375F64" w:rsidRPr="00375F64" w14:paraId="2A1DD952" w14:textId="77777777" w:rsidTr="00EA573C">
        <w:tc>
          <w:tcPr>
            <w:tcW w:w="7620" w:type="dxa"/>
            <w:gridSpan w:val="5"/>
          </w:tcPr>
          <w:p w14:paraId="3732AE38" w14:textId="77777777" w:rsidR="00375F64" w:rsidRPr="00375F64" w:rsidRDefault="00375F64" w:rsidP="00375F64">
            <w:pPr>
              <w:pStyle w:val="Tekstpodstawowy"/>
              <w:spacing w:line="240" w:lineRule="auto"/>
              <w:rPr>
                <w:rFonts w:ascii="Calibri" w:hAnsi="Calibri" w:cs="Calibri"/>
                <w:sz w:val="20"/>
                <w:szCs w:val="20"/>
              </w:rPr>
            </w:pPr>
            <w:r w:rsidRPr="00375F64">
              <w:rPr>
                <w:rFonts w:ascii="Calibri" w:hAnsi="Calibri" w:cs="Calibri"/>
                <w:sz w:val="20"/>
                <w:szCs w:val="20"/>
              </w:rPr>
              <w:t>WŁAŚCIWOŚCI   OBLIGATORYJNE</w:t>
            </w:r>
          </w:p>
        </w:tc>
        <w:tc>
          <w:tcPr>
            <w:tcW w:w="1276" w:type="dxa"/>
          </w:tcPr>
          <w:p w14:paraId="2E5265F3" w14:textId="77777777" w:rsidR="00375F64" w:rsidRPr="00375F64" w:rsidRDefault="00375F64" w:rsidP="00375F64">
            <w:pPr>
              <w:pStyle w:val="Tekstpodstawowy"/>
              <w:spacing w:line="240" w:lineRule="auto"/>
              <w:rPr>
                <w:rFonts w:ascii="Calibri" w:hAnsi="Calibri" w:cs="Calibri"/>
                <w:sz w:val="20"/>
                <w:szCs w:val="20"/>
              </w:rPr>
            </w:pPr>
          </w:p>
        </w:tc>
      </w:tr>
      <w:tr w:rsidR="00375F64" w:rsidRPr="00375F64" w14:paraId="2254D045" w14:textId="77777777" w:rsidTr="00EA573C">
        <w:tc>
          <w:tcPr>
            <w:tcW w:w="534" w:type="dxa"/>
          </w:tcPr>
          <w:p w14:paraId="5626E18D" w14:textId="77777777" w:rsidR="00375F64" w:rsidRPr="00375F64" w:rsidRDefault="00375F64" w:rsidP="00375F64">
            <w:pPr>
              <w:pStyle w:val="Tekstpodstawowy"/>
              <w:spacing w:line="240" w:lineRule="auto"/>
              <w:rPr>
                <w:rFonts w:ascii="Calibri" w:hAnsi="Calibri" w:cs="Calibri"/>
                <w:sz w:val="20"/>
                <w:szCs w:val="20"/>
              </w:rPr>
            </w:pPr>
            <w:r w:rsidRPr="00375F64">
              <w:rPr>
                <w:rFonts w:ascii="Calibri" w:hAnsi="Calibri" w:cs="Calibri"/>
                <w:sz w:val="20"/>
                <w:szCs w:val="20"/>
              </w:rPr>
              <w:t>1</w:t>
            </w:r>
          </w:p>
        </w:tc>
        <w:tc>
          <w:tcPr>
            <w:tcW w:w="3400" w:type="dxa"/>
          </w:tcPr>
          <w:p w14:paraId="2CA7B1FE" w14:textId="77777777" w:rsidR="00375F64" w:rsidRPr="00375F64" w:rsidRDefault="00375F64" w:rsidP="00375F64">
            <w:pPr>
              <w:pStyle w:val="Tekstpodstawowy"/>
              <w:spacing w:line="240" w:lineRule="auto"/>
              <w:rPr>
                <w:rFonts w:ascii="Calibri" w:hAnsi="Calibri" w:cs="Calibri"/>
                <w:sz w:val="20"/>
                <w:szCs w:val="20"/>
              </w:rPr>
            </w:pPr>
            <w:r w:rsidRPr="00375F64">
              <w:rPr>
                <w:rFonts w:ascii="Calibri" w:hAnsi="Calibri" w:cs="Calibri"/>
                <w:sz w:val="20"/>
                <w:szCs w:val="20"/>
              </w:rPr>
              <w:t>Penetracja w 25°C</w:t>
            </w:r>
          </w:p>
        </w:tc>
        <w:tc>
          <w:tcPr>
            <w:tcW w:w="851" w:type="dxa"/>
          </w:tcPr>
          <w:p w14:paraId="386439F6" w14:textId="77777777" w:rsidR="00375F64" w:rsidRPr="00375F64" w:rsidRDefault="00375F64" w:rsidP="00375F64">
            <w:pPr>
              <w:pStyle w:val="Tekstpodstawowy"/>
              <w:spacing w:line="240" w:lineRule="auto"/>
              <w:rPr>
                <w:rFonts w:ascii="Calibri" w:hAnsi="Calibri" w:cs="Calibri"/>
                <w:sz w:val="20"/>
                <w:szCs w:val="20"/>
              </w:rPr>
            </w:pPr>
            <w:r w:rsidRPr="00375F64">
              <w:rPr>
                <w:rFonts w:ascii="Calibri" w:hAnsi="Calibri" w:cs="Calibri"/>
                <w:sz w:val="20"/>
                <w:szCs w:val="20"/>
              </w:rPr>
              <w:t>0,1 mm</w:t>
            </w:r>
          </w:p>
        </w:tc>
        <w:tc>
          <w:tcPr>
            <w:tcW w:w="1559" w:type="dxa"/>
          </w:tcPr>
          <w:p w14:paraId="7810604A" w14:textId="77777777" w:rsidR="00375F64" w:rsidRPr="00375F64" w:rsidRDefault="00375F64" w:rsidP="00375F64">
            <w:pPr>
              <w:pStyle w:val="Tekstpodstawowy"/>
              <w:spacing w:line="240" w:lineRule="auto"/>
              <w:rPr>
                <w:rFonts w:ascii="Calibri" w:hAnsi="Calibri" w:cs="Calibri"/>
                <w:sz w:val="20"/>
                <w:szCs w:val="20"/>
              </w:rPr>
            </w:pPr>
            <w:r w:rsidRPr="00375F64">
              <w:rPr>
                <w:rFonts w:ascii="Calibri" w:hAnsi="Calibri" w:cs="Calibri"/>
                <w:sz w:val="20"/>
                <w:szCs w:val="20"/>
              </w:rPr>
              <w:t xml:space="preserve">PN-EN 1426 </w:t>
            </w:r>
          </w:p>
        </w:tc>
        <w:tc>
          <w:tcPr>
            <w:tcW w:w="1276" w:type="dxa"/>
          </w:tcPr>
          <w:p w14:paraId="274AF37E" w14:textId="77777777" w:rsidR="00375F64" w:rsidRPr="00375F64" w:rsidRDefault="00375F64" w:rsidP="00375F64">
            <w:pPr>
              <w:pStyle w:val="Tekstpodstawowy"/>
              <w:spacing w:line="240" w:lineRule="auto"/>
              <w:rPr>
                <w:rFonts w:ascii="Calibri" w:hAnsi="Calibri" w:cs="Calibri"/>
                <w:sz w:val="20"/>
                <w:szCs w:val="20"/>
              </w:rPr>
            </w:pPr>
            <w:r w:rsidRPr="00375F64">
              <w:rPr>
                <w:rFonts w:ascii="Calibri" w:hAnsi="Calibri" w:cs="Calibri"/>
                <w:sz w:val="20"/>
                <w:szCs w:val="20"/>
              </w:rPr>
              <w:t>35÷50</w:t>
            </w:r>
          </w:p>
        </w:tc>
        <w:tc>
          <w:tcPr>
            <w:tcW w:w="1276" w:type="dxa"/>
          </w:tcPr>
          <w:p w14:paraId="016BDEF3" w14:textId="77777777" w:rsidR="00375F64" w:rsidRPr="00375F64" w:rsidRDefault="00375F64" w:rsidP="00375F64">
            <w:pPr>
              <w:pStyle w:val="Tekstpodstawowy"/>
              <w:spacing w:line="240" w:lineRule="auto"/>
              <w:rPr>
                <w:rFonts w:ascii="Calibri" w:hAnsi="Calibri" w:cs="Calibri"/>
                <w:sz w:val="20"/>
                <w:szCs w:val="20"/>
              </w:rPr>
            </w:pPr>
            <w:r w:rsidRPr="00375F64">
              <w:rPr>
                <w:rFonts w:ascii="Calibri" w:hAnsi="Calibri" w:cs="Calibri"/>
                <w:sz w:val="20"/>
                <w:szCs w:val="20"/>
              </w:rPr>
              <w:t>50 -70</w:t>
            </w:r>
          </w:p>
        </w:tc>
      </w:tr>
      <w:tr w:rsidR="00375F64" w:rsidRPr="00375F64" w14:paraId="46348297" w14:textId="77777777" w:rsidTr="00EA573C">
        <w:tc>
          <w:tcPr>
            <w:tcW w:w="534" w:type="dxa"/>
          </w:tcPr>
          <w:p w14:paraId="2AC69F31" w14:textId="77777777" w:rsidR="00375F64" w:rsidRPr="00375F64" w:rsidRDefault="00375F64" w:rsidP="00375F64">
            <w:pPr>
              <w:pStyle w:val="Tekstpodstawowy"/>
              <w:spacing w:line="240" w:lineRule="auto"/>
              <w:rPr>
                <w:rFonts w:ascii="Calibri" w:hAnsi="Calibri" w:cs="Calibri"/>
                <w:sz w:val="20"/>
                <w:szCs w:val="20"/>
              </w:rPr>
            </w:pPr>
            <w:r w:rsidRPr="00375F64">
              <w:rPr>
                <w:rFonts w:ascii="Calibri" w:hAnsi="Calibri" w:cs="Calibri"/>
                <w:sz w:val="20"/>
                <w:szCs w:val="20"/>
              </w:rPr>
              <w:t>2</w:t>
            </w:r>
          </w:p>
        </w:tc>
        <w:tc>
          <w:tcPr>
            <w:tcW w:w="3400" w:type="dxa"/>
          </w:tcPr>
          <w:p w14:paraId="20D5DBA7" w14:textId="77777777" w:rsidR="00375F64" w:rsidRPr="00375F64" w:rsidRDefault="00375F64" w:rsidP="00375F64">
            <w:pPr>
              <w:pStyle w:val="Tekstpodstawowy"/>
              <w:spacing w:line="240" w:lineRule="auto"/>
              <w:rPr>
                <w:rFonts w:ascii="Calibri" w:hAnsi="Calibri" w:cs="Calibri"/>
                <w:sz w:val="20"/>
                <w:szCs w:val="20"/>
              </w:rPr>
            </w:pPr>
            <w:r w:rsidRPr="00375F64">
              <w:rPr>
                <w:rFonts w:ascii="Calibri" w:hAnsi="Calibri" w:cs="Calibri"/>
                <w:sz w:val="20"/>
                <w:szCs w:val="20"/>
              </w:rPr>
              <w:t>Temperatura mięknienia</w:t>
            </w:r>
          </w:p>
        </w:tc>
        <w:tc>
          <w:tcPr>
            <w:tcW w:w="851" w:type="dxa"/>
          </w:tcPr>
          <w:p w14:paraId="47586461" w14:textId="77777777" w:rsidR="00375F64" w:rsidRPr="00375F64" w:rsidRDefault="00375F64" w:rsidP="00375F64">
            <w:pPr>
              <w:pStyle w:val="Tekstpodstawowy"/>
              <w:spacing w:line="240" w:lineRule="auto"/>
              <w:rPr>
                <w:rFonts w:ascii="Calibri" w:hAnsi="Calibri" w:cs="Calibri"/>
                <w:sz w:val="20"/>
                <w:szCs w:val="20"/>
              </w:rPr>
            </w:pPr>
            <w:r w:rsidRPr="00375F64">
              <w:rPr>
                <w:rFonts w:ascii="Calibri" w:hAnsi="Calibri" w:cs="Calibri"/>
                <w:sz w:val="20"/>
                <w:szCs w:val="20"/>
              </w:rPr>
              <w:t>°C</w:t>
            </w:r>
          </w:p>
        </w:tc>
        <w:tc>
          <w:tcPr>
            <w:tcW w:w="1559" w:type="dxa"/>
          </w:tcPr>
          <w:p w14:paraId="250FC31B" w14:textId="77777777" w:rsidR="00375F64" w:rsidRPr="00375F64" w:rsidRDefault="00375F64" w:rsidP="00375F64">
            <w:pPr>
              <w:pStyle w:val="Tekstpodstawowy"/>
              <w:spacing w:line="240" w:lineRule="auto"/>
              <w:rPr>
                <w:rFonts w:ascii="Calibri" w:hAnsi="Calibri" w:cs="Calibri"/>
                <w:sz w:val="20"/>
                <w:szCs w:val="20"/>
              </w:rPr>
            </w:pPr>
            <w:r w:rsidRPr="00375F64">
              <w:rPr>
                <w:rFonts w:ascii="Calibri" w:hAnsi="Calibri" w:cs="Calibri"/>
                <w:sz w:val="20"/>
                <w:szCs w:val="20"/>
              </w:rPr>
              <w:t xml:space="preserve">PN-EN 1427 </w:t>
            </w:r>
          </w:p>
        </w:tc>
        <w:tc>
          <w:tcPr>
            <w:tcW w:w="1276" w:type="dxa"/>
          </w:tcPr>
          <w:p w14:paraId="68BCA724" w14:textId="77777777" w:rsidR="00375F64" w:rsidRPr="00375F64" w:rsidRDefault="00375F64" w:rsidP="00375F64">
            <w:pPr>
              <w:pStyle w:val="Tekstpodstawowy"/>
              <w:spacing w:line="240" w:lineRule="auto"/>
              <w:rPr>
                <w:rFonts w:ascii="Calibri" w:hAnsi="Calibri" w:cs="Calibri"/>
                <w:sz w:val="20"/>
                <w:szCs w:val="20"/>
              </w:rPr>
            </w:pPr>
            <w:r w:rsidRPr="00375F64">
              <w:rPr>
                <w:rFonts w:ascii="Calibri" w:hAnsi="Calibri" w:cs="Calibri"/>
                <w:sz w:val="20"/>
                <w:szCs w:val="20"/>
              </w:rPr>
              <w:t>50÷58</w:t>
            </w:r>
          </w:p>
        </w:tc>
        <w:tc>
          <w:tcPr>
            <w:tcW w:w="1276" w:type="dxa"/>
          </w:tcPr>
          <w:p w14:paraId="28650318" w14:textId="77777777" w:rsidR="00375F64" w:rsidRPr="00375F64" w:rsidRDefault="00375F64" w:rsidP="00375F64">
            <w:pPr>
              <w:pStyle w:val="Tekstpodstawowy"/>
              <w:spacing w:line="240" w:lineRule="auto"/>
              <w:rPr>
                <w:rFonts w:ascii="Calibri" w:hAnsi="Calibri" w:cs="Calibri"/>
                <w:sz w:val="20"/>
                <w:szCs w:val="20"/>
              </w:rPr>
            </w:pPr>
            <w:r w:rsidRPr="00375F64">
              <w:rPr>
                <w:rFonts w:ascii="Calibri" w:hAnsi="Calibri" w:cs="Calibri"/>
                <w:sz w:val="20"/>
                <w:szCs w:val="20"/>
              </w:rPr>
              <w:t>46-54</w:t>
            </w:r>
          </w:p>
        </w:tc>
      </w:tr>
      <w:tr w:rsidR="00375F64" w:rsidRPr="00375F64" w14:paraId="3C80C54A" w14:textId="77777777" w:rsidTr="00EA573C">
        <w:tc>
          <w:tcPr>
            <w:tcW w:w="534" w:type="dxa"/>
          </w:tcPr>
          <w:p w14:paraId="6782B0A5" w14:textId="77777777" w:rsidR="00375F64" w:rsidRPr="00375F64" w:rsidRDefault="00375F64" w:rsidP="00375F64">
            <w:pPr>
              <w:pStyle w:val="Tekstpodstawowy"/>
              <w:spacing w:line="240" w:lineRule="auto"/>
              <w:rPr>
                <w:rFonts w:ascii="Calibri" w:hAnsi="Calibri" w:cs="Calibri"/>
                <w:sz w:val="20"/>
                <w:szCs w:val="20"/>
              </w:rPr>
            </w:pPr>
            <w:r w:rsidRPr="00375F64">
              <w:rPr>
                <w:rFonts w:ascii="Calibri" w:hAnsi="Calibri" w:cs="Calibri"/>
                <w:sz w:val="20"/>
                <w:szCs w:val="20"/>
              </w:rPr>
              <w:t>3</w:t>
            </w:r>
          </w:p>
        </w:tc>
        <w:tc>
          <w:tcPr>
            <w:tcW w:w="3400" w:type="dxa"/>
          </w:tcPr>
          <w:p w14:paraId="1BBFA952" w14:textId="77777777" w:rsidR="00375F64" w:rsidRPr="00375F64" w:rsidRDefault="00375F64" w:rsidP="00375F64">
            <w:pPr>
              <w:pStyle w:val="Tekstpodstawowy"/>
              <w:spacing w:line="240" w:lineRule="auto"/>
              <w:rPr>
                <w:rFonts w:ascii="Calibri" w:hAnsi="Calibri" w:cs="Calibri"/>
                <w:sz w:val="20"/>
                <w:szCs w:val="20"/>
              </w:rPr>
            </w:pPr>
            <w:r w:rsidRPr="00375F64">
              <w:rPr>
                <w:rFonts w:ascii="Calibri" w:hAnsi="Calibri" w:cs="Calibri"/>
                <w:sz w:val="20"/>
                <w:szCs w:val="20"/>
              </w:rPr>
              <w:t>Temperatura zapłonu, nie mniej niż</w:t>
            </w:r>
          </w:p>
        </w:tc>
        <w:tc>
          <w:tcPr>
            <w:tcW w:w="851" w:type="dxa"/>
          </w:tcPr>
          <w:p w14:paraId="22CF808A" w14:textId="77777777" w:rsidR="00375F64" w:rsidRPr="00375F64" w:rsidRDefault="00375F64" w:rsidP="00375F64">
            <w:pPr>
              <w:pStyle w:val="Tekstpodstawowy"/>
              <w:spacing w:line="240" w:lineRule="auto"/>
              <w:rPr>
                <w:rFonts w:ascii="Calibri" w:hAnsi="Calibri" w:cs="Calibri"/>
                <w:sz w:val="20"/>
                <w:szCs w:val="20"/>
              </w:rPr>
            </w:pPr>
            <w:r w:rsidRPr="00375F64">
              <w:rPr>
                <w:rFonts w:ascii="Calibri" w:hAnsi="Calibri" w:cs="Calibri"/>
                <w:sz w:val="20"/>
                <w:szCs w:val="20"/>
              </w:rPr>
              <w:t>°C</w:t>
            </w:r>
          </w:p>
        </w:tc>
        <w:tc>
          <w:tcPr>
            <w:tcW w:w="1559" w:type="dxa"/>
          </w:tcPr>
          <w:p w14:paraId="0D82E821" w14:textId="77777777" w:rsidR="00375F64" w:rsidRPr="00375F64" w:rsidRDefault="00375F64" w:rsidP="00375F64">
            <w:pPr>
              <w:pStyle w:val="Tekstpodstawowy"/>
              <w:spacing w:line="240" w:lineRule="auto"/>
              <w:rPr>
                <w:rFonts w:ascii="Calibri" w:hAnsi="Calibri" w:cs="Calibri"/>
                <w:sz w:val="20"/>
                <w:szCs w:val="20"/>
              </w:rPr>
            </w:pPr>
            <w:r w:rsidRPr="00375F64">
              <w:rPr>
                <w:rFonts w:ascii="Calibri" w:hAnsi="Calibri" w:cs="Calibri"/>
                <w:sz w:val="20"/>
                <w:szCs w:val="20"/>
              </w:rPr>
              <w:t>PN-EN 12592</w:t>
            </w:r>
          </w:p>
        </w:tc>
        <w:tc>
          <w:tcPr>
            <w:tcW w:w="1276" w:type="dxa"/>
          </w:tcPr>
          <w:p w14:paraId="72100417" w14:textId="77777777" w:rsidR="00375F64" w:rsidRPr="00375F64" w:rsidRDefault="00375F64" w:rsidP="00375F64">
            <w:pPr>
              <w:pStyle w:val="Tekstpodstawowy"/>
              <w:spacing w:line="240" w:lineRule="auto"/>
              <w:rPr>
                <w:rFonts w:ascii="Calibri" w:hAnsi="Calibri" w:cs="Calibri"/>
                <w:sz w:val="20"/>
                <w:szCs w:val="20"/>
              </w:rPr>
            </w:pPr>
            <w:r w:rsidRPr="00375F64">
              <w:rPr>
                <w:rFonts w:ascii="Calibri" w:hAnsi="Calibri" w:cs="Calibri"/>
                <w:sz w:val="20"/>
                <w:szCs w:val="20"/>
              </w:rPr>
              <w:t>240</w:t>
            </w:r>
          </w:p>
        </w:tc>
        <w:tc>
          <w:tcPr>
            <w:tcW w:w="1276" w:type="dxa"/>
          </w:tcPr>
          <w:p w14:paraId="6B79D8D8" w14:textId="77777777" w:rsidR="00375F64" w:rsidRPr="00375F64" w:rsidRDefault="00375F64" w:rsidP="00375F64">
            <w:pPr>
              <w:pStyle w:val="Tekstpodstawowy"/>
              <w:spacing w:line="240" w:lineRule="auto"/>
              <w:rPr>
                <w:rFonts w:ascii="Calibri" w:hAnsi="Calibri" w:cs="Calibri"/>
                <w:sz w:val="20"/>
                <w:szCs w:val="20"/>
              </w:rPr>
            </w:pPr>
            <w:r w:rsidRPr="00375F64">
              <w:rPr>
                <w:rFonts w:ascii="Calibri" w:hAnsi="Calibri" w:cs="Calibri"/>
                <w:sz w:val="20"/>
                <w:szCs w:val="20"/>
              </w:rPr>
              <w:t>230</w:t>
            </w:r>
          </w:p>
        </w:tc>
      </w:tr>
      <w:tr w:rsidR="00375F64" w:rsidRPr="00375F64" w14:paraId="17DF345A" w14:textId="77777777" w:rsidTr="00EA573C">
        <w:tc>
          <w:tcPr>
            <w:tcW w:w="534" w:type="dxa"/>
          </w:tcPr>
          <w:p w14:paraId="331D743C" w14:textId="77777777" w:rsidR="00375F64" w:rsidRPr="00375F64" w:rsidRDefault="00375F64" w:rsidP="00375F64">
            <w:pPr>
              <w:pStyle w:val="Tekstpodstawowy"/>
              <w:spacing w:line="240" w:lineRule="auto"/>
              <w:rPr>
                <w:rFonts w:ascii="Calibri" w:hAnsi="Calibri" w:cs="Calibri"/>
                <w:sz w:val="20"/>
                <w:szCs w:val="20"/>
              </w:rPr>
            </w:pPr>
            <w:r w:rsidRPr="00375F64">
              <w:rPr>
                <w:rFonts w:ascii="Calibri" w:hAnsi="Calibri" w:cs="Calibri"/>
                <w:sz w:val="20"/>
                <w:szCs w:val="20"/>
              </w:rPr>
              <w:t>4</w:t>
            </w:r>
          </w:p>
        </w:tc>
        <w:tc>
          <w:tcPr>
            <w:tcW w:w="3400" w:type="dxa"/>
          </w:tcPr>
          <w:p w14:paraId="0C00FF29" w14:textId="77777777" w:rsidR="00375F64" w:rsidRPr="00375F64" w:rsidRDefault="00375F64" w:rsidP="00375F64">
            <w:pPr>
              <w:pStyle w:val="Tekstpodstawowy"/>
              <w:spacing w:line="240" w:lineRule="auto"/>
              <w:rPr>
                <w:rFonts w:ascii="Calibri" w:hAnsi="Calibri" w:cs="Calibri"/>
                <w:sz w:val="20"/>
                <w:szCs w:val="20"/>
              </w:rPr>
            </w:pPr>
            <w:r w:rsidRPr="00375F64">
              <w:rPr>
                <w:rFonts w:ascii="Calibri" w:hAnsi="Calibri" w:cs="Calibri"/>
                <w:sz w:val="20"/>
                <w:szCs w:val="20"/>
              </w:rPr>
              <w:t>Zawartość składników rozpuszczalnych, nie mniej niż</w:t>
            </w:r>
          </w:p>
        </w:tc>
        <w:tc>
          <w:tcPr>
            <w:tcW w:w="851" w:type="dxa"/>
          </w:tcPr>
          <w:p w14:paraId="1D4987D0" w14:textId="77777777" w:rsidR="00375F64" w:rsidRPr="00375F64" w:rsidRDefault="00375F64" w:rsidP="00375F64">
            <w:pPr>
              <w:pStyle w:val="Tekstpodstawowy"/>
              <w:spacing w:line="240" w:lineRule="auto"/>
              <w:rPr>
                <w:rFonts w:ascii="Calibri" w:hAnsi="Calibri" w:cs="Calibri"/>
                <w:sz w:val="20"/>
                <w:szCs w:val="20"/>
              </w:rPr>
            </w:pPr>
          </w:p>
          <w:p w14:paraId="28EBE7B8" w14:textId="77777777" w:rsidR="00375F64" w:rsidRPr="00375F64" w:rsidRDefault="00375F64" w:rsidP="00375F64">
            <w:pPr>
              <w:pStyle w:val="Tekstpodstawowy"/>
              <w:spacing w:line="240" w:lineRule="auto"/>
              <w:rPr>
                <w:rFonts w:ascii="Calibri" w:hAnsi="Calibri" w:cs="Calibri"/>
                <w:sz w:val="20"/>
                <w:szCs w:val="20"/>
              </w:rPr>
            </w:pPr>
            <w:r w:rsidRPr="00375F64">
              <w:rPr>
                <w:rFonts w:ascii="Calibri" w:hAnsi="Calibri" w:cs="Calibri"/>
                <w:sz w:val="20"/>
                <w:szCs w:val="20"/>
              </w:rPr>
              <w:t>% m/m</w:t>
            </w:r>
          </w:p>
        </w:tc>
        <w:tc>
          <w:tcPr>
            <w:tcW w:w="1559" w:type="dxa"/>
          </w:tcPr>
          <w:p w14:paraId="7D25374F" w14:textId="77777777" w:rsidR="00375F64" w:rsidRPr="00375F64" w:rsidRDefault="00375F64" w:rsidP="00375F64">
            <w:pPr>
              <w:pStyle w:val="Tekstpodstawowy"/>
              <w:spacing w:line="240" w:lineRule="auto"/>
              <w:rPr>
                <w:rFonts w:ascii="Calibri" w:hAnsi="Calibri" w:cs="Calibri"/>
                <w:sz w:val="20"/>
                <w:szCs w:val="20"/>
              </w:rPr>
            </w:pPr>
          </w:p>
          <w:p w14:paraId="17C7DE1E" w14:textId="77777777" w:rsidR="00375F64" w:rsidRPr="00375F64" w:rsidRDefault="00375F64" w:rsidP="00375F64">
            <w:pPr>
              <w:pStyle w:val="Tekstpodstawowy"/>
              <w:spacing w:line="240" w:lineRule="auto"/>
              <w:rPr>
                <w:rFonts w:ascii="Calibri" w:hAnsi="Calibri" w:cs="Calibri"/>
                <w:sz w:val="20"/>
                <w:szCs w:val="20"/>
              </w:rPr>
            </w:pPr>
            <w:r w:rsidRPr="00375F64">
              <w:rPr>
                <w:rFonts w:ascii="Calibri" w:hAnsi="Calibri" w:cs="Calibri"/>
                <w:sz w:val="20"/>
                <w:szCs w:val="20"/>
              </w:rPr>
              <w:t>PN-EN 12592</w:t>
            </w:r>
          </w:p>
        </w:tc>
        <w:tc>
          <w:tcPr>
            <w:tcW w:w="1276" w:type="dxa"/>
          </w:tcPr>
          <w:p w14:paraId="69A0E7A8" w14:textId="77777777" w:rsidR="00375F64" w:rsidRPr="00375F64" w:rsidRDefault="00375F64" w:rsidP="00375F64">
            <w:pPr>
              <w:pStyle w:val="Tekstpodstawowy"/>
              <w:spacing w:line="240" w:lineRule="auto"/>
              <w:rPr>
                <w:rFonts w:ascii="Calibri" w:hAnsi="Calibri" w:cs="Calibri"/>
                <w:sz w:val="20"/>
                <w:szCs w:val="20"/>
              </w:rPr>
            </w:pPr>
          </w:p>
          <w:p w14:paraId="5CE4122A" w14:textId="77777777" w:rsidR="00375F64" w:rsidRPr="00375F64" w:rsidRDefault="00375F64" w:rsidP="00375F64">
            <w:pPr>
              <w:pStyle w:val="Tekstpodstawowy"/>
              <w:spacing w:line="240" w:lineRule="auto"/>
              <w:rPr>
                <w:rFonts w:ascii="Calibri" w:hAnsi="Calibri" w:cs="Calibri"/>
                <w:sz w:val="20"/>
                <w:szCs w:val="20"/>
              </w:rPr>
            </w:pPr>
            <w:r w:rsidRPr="00375F64">
              <w:rPr>
                <w:rFonts w:ascii="Calibri" w:hAnsi="Calibri" w:cs="Calibri"/>
                <w:sz w:val="20"/>
                <w:szCs w:val="20"/>
              </w:rPr>
              <w:t>99</w:t>
            </w:r>
          </w:p>
        </w:tc>
        <w:tc>
          <w:tcPr>
            <w:tcW w:w="1276" w:type="dxa"/>
          </w:tcPr>
          <w:p w14:paraId="3499B1F2" w14:textId="77777777" w:rsidR="00375F64" w:rsidRPr="00375F64" w:rsidRDefault="00375F64" w:rsidP="00375F64">
            <w:pPr>
              <w:pStyle w:val="Tekstpodstawowy"/>
              <w:spacing w:line="240" w:lineRule="auto"/>
              <w:rPr>
                <w:rFonts w:ascii="Calibri" w:hAnsi="Calibri" w:cs="Calibri"/>
                <w:sz w:val="20"/>
                <w:szCs w:val="20"/>
              </w:rPr>
            </w:pPr>
          </w:p>
          <w:p w14:paraId="074C5ED8" w14:textId="77777777" w:rsidR="00375F64" w:rsidRPr="00375F64" w:rsidRDefault="00375F64" w:rsidP="00375F64">
            <w:pPr>
              <w:pStyle w:val="Tekstpodstawowy"/>
              <w:spacing w:line="240" w:lineRule="auto"/>
              <w:rPr>
                <w:rFonts w:ascii="Calibri" w:hAnsi="Calibri" w:cs="Calibri"/>
                <w:sz w:val="20"/>
                <w:szCs w:val="20"/>
              </w:rPr>
            </w:pPr>
            <w:r w:rsidRPr="00375F64">
              <w:rPr>
                <w:rFonts w:ascii="Calibri" w:hAnsi="Calibri" w:cs="Calibri"/>
                <w:sz w:val="20"/>
                <w:szCs w:val="20"/>
              </w:rPr>
              <w:t>99</w:t>
            </w:r>
          </w:p>
        </w:tc>
      </w:tr>
      <w:tr w:rsidR="00375F64" w:rsidRPr="00375F64" w14:paraId="7EB1F398" w14:textId="77777777" w:rsidTr="00EA573C">
        <w:tc>
          <w:tcPr>
            <w:tcW w:w="534" w:type="dxa"/>
          </w:tcPr>
          <w:p w14:paraId="68E816CB" w14:textId="77777777" w:rsidR="00375F64" w:rsidRPr="00375F64" w:rsidRDefault="00375F64" w:rsidP="00375F64">
            <w:pPr>
              <w:pStyle w:val="Tekstpodstawowy"/>
              <w:spacing w:line="240" w:lineRule="auto"/>
              <w:rPr>
                <w:rFonts w:ascii="Calibri" w:hAnsi="Calibri" w:cs="Calibri"/>
                <w:sz w:val="20"/>
                <w:szCs w:val="20"/>
              </w:rPr>
            </w:pPr>
            <w:r w:rsidRPr="00375F64">
              <w:rPr>
                <w:rFonts w:ascii="Calibri" w:hAnsi="Calibri" w:cs="Calibri"/>
                <w:sz w:val="20"/>
                <w:szCs w:val="20"/>
              </w:rPr>
              <w:t>5</w:t>
            </w:r>
          </w:p>
        </w:tc>
        <w:tc>
          <w:tcPr>
            <w:tcW w:w="3400" w:type="dxa"/>
          </w:tcPr>
          <w:p w14:paraId="2ABF4922" w14:textId="77777777" w:rsidR="00375F64" w:rsidRPr="00375F64" w:rsidRDefault="00375F64" w:rsidP="00375F64">
            <w:pPr>
              <w:pStyle w:val="Tekstpodstawowy"/>
              <w:spacing w:line="240" w:lineRule="auto"/>
              <w:rPr>
                <w:rFonts w:ascii="Calibri" w:hAnsi="Calibri" w:cs="Calibri"/>
                <w:sz w:val="20"/>
                <w:szCs w:val="20"/>
              </w:rPr>
            </w:pPr>
            <w:r w:rsidRPr="00375F64">
              <w:rPr>
                <w:rFonts w:ascii="Calibri" w:hAnsi="Calibri" w:cs="Calibri"/>
                <w:sz w:val="20"/>
                <w:szCs w:val="20"/>
              </w:rPr>
              <w:t xml:space="preserve">Zmiana masy po starzeniu (ubytek lub przyrost), </w:t>
            </w:r>
          </w:p>
          <w:p w14:paraId="07655999" w14:textId="77777777" w:rsidR="00375F64" w:rsidRPr="00375F64" w:rsidRDefault="00375F64" w:rsidP="00375F64">
            <w:pPr>
              <w:pStyle w:val="Tekstpodstawowy"/>
              <w:spacing w:line="240" w:lineRule="auto"/>
              <w:rPr>
                <w:rFonts w:ascii="Calibri" w:hAnsi="Calibri" w:cs="Calibri"/>
                <w:sz w:val="20"/>
                <w:szCs w:val="20"/>
              </w:rPr>
            </w:pPr>
            <w:r w:rsidRPr="00375F64">
              <w:rPr>
                <w:rFonts w:ascii="Calibri" w:hAnsi="Calibri" w:cs="Calibri"/>
                <w:sz w:val="20"/>
                <w:szCs w:val="20"/>
              </w:rPr>
              <w:t>nie więcej niż</w:t>
            </w:r>
          </w:p>
        </w:tc>
        <w:tc>
          <w:tcPr>
            <w:tcW w:w="851" w:type="dxa"/>
          </w:tcPr>
          <w:p w14:paraId="562AF78E" w14:textId="77777777" w:rsidR="00375F64" w:rsidRPr="00375F64" w:rsidRDefault="00375F64" w:rsidP="00375F64">
            <w:pPr>
              <w:pStyle w:val="Tekstpodstawowy"/>
              <w:spacing w:line="240" w:lineRule="auto"/>
              <w:rPr>
                <w:rFonts w:ascii="Calibri" w:hAnsi="Calibri" w:cs="Calibri"/>
                <w:sz w:val="20"/>
                <w:szCs w:val="20"/>
              </w:rPr>
            </w:pPr>
          </w:p>
          <w:p w14:paraId="4967EC89" w14:textId="77777777" w:rsidR="00375F64" w:rsidRPr="00375F64" w:rsidRDefault="00375F64" w:rsidP="00375F64">
            <w:pPr>
              <w:pStyle w:val="Tekstpodstawowy"/>
              <w:spacing w:line="240" w:lineRule="auto"/>
              <w:rPr>
                <w:rFonts w:ascii="Calibri" w:hAnsi="Calibri" w:cs="Calibri"/>
                <w:sz w:val="20"/>
                <w:szCs w:val="20"/>
              </w:rPr>
            </w:pPr>
            <w:r w:rsidRPr="00375F64">
              <w:rPr>
                <w:rFonts w:ascii="Calibri" w:hAnsi="Calibri" w:cs="Calibri"/>
                <w:sz w:val="20"/>
                <w:szCs w:val="20"/>
              </w:rPr>
              <w:t>% m/m</w:t>
            </w:r>
          </w:p>
        </w:tc>
        <w:tc>
          <w:tcPr>
            <w:tcW w:w="1559" w:type="dxa"/>
          </w:tcPr>
          <w:p w14:paraId="32EA1777" w14:textId="77777777" w:rsidR="00375F64" w:rsidRPr="00375F64" w:rsidRDefault="00375F64" w:rsidP="00375F64">
            <w:pPr>
              <w:pStyle w:val="Tekstpodstawowy"/>
              <w:spacing w:line="240" w:lineRule="auto"/>
              <w:rPr>
                <w:rFonts w:ascii="Calibri" w:hAnsi="Calibri" w:cs="Calibri"/>
                <w:sz w:val="20"/>
                <w:szCs w:val="20"/>
              </w:rPr>
            </w:pPr>
          </w:p>
          <w:p w14:paraId="599305F2" w14:textId="77777777" w:rsidR="00375F64" w:rsidRPr="00375F64" w:rsidRDefault="00375F64" w:rsidP="00375F64">
            <w:pPr>
              <w:pStyle w:val="Tekstpodstawowy"/>
              <w:spacing w:line="240" w:lineRule="auto"/>
              <w:rPr>
                <w:rFonts w:ascii="Calibri" w:hAnsi="Calibri" w:cs="Calibri"/>
                <w:sz w:val="20"/>
                <w:szCs w:val="20"/>
              </w:rPr>
            </w:pPr>
            <w:r w:rsidRPr="00375F64">
              <w:rPr>
                <w:rFonts w:ascii="Calibri" w:hAnsi="Calibri" w:cs="Calibri"/>
                <w:sz w:val="20"/>
                <w:szCs w:val="20"/>
              </w:rPr>
              <w:t>PN-EN 12607-1</w:t>
            </w:r>
          </w:p>
        </w:tc>
        <w:tc>
          <w:tcPr>
            <w:tcW w:w="1276" w:type="dxa"/>
          </w:tcPr>
          <w:p w14:paraId="78580D52" w14:textId="77777777" w:rsidR="00375F64" w:rsidRPr="00375F64" w:rsidRDefault="00375F64" w:rsidP="00375F64">
            <w:pPr>
              <w:pStyle w:val="Tekstpodstawowy"/>
              <w:spacing w:line="240" w:lineRule="auto"/>
              <w:rPr>
                <w:rFonts w:ascii="Calibri" w:hAnsi="Calibri" w:cs="Calibri"/>
                <w:sz w:val="20"/>
                <w:szCs w:val="20"/>
              </w:rPr>
            </w:pPr>
          </w:p>
          <w:p w14:paraId="6503FF05" w14:textId="77777777" w:rsidR="00375F64" w:rsidRPr="00375F64" w:rsidRDefault="00375F64" w:rsidP="00375F64">
            <w:pPr>
              <w:pStyle w:val="Tekstpodstawowy"/>
              <w:spacing w:line="240" w:lineRule="auto"/>
              <w:rPr>
                <w:rFonts w:ascii="Calibri" w:hAnsi="Calibri" w:cs="Calibri"/>
                <w:sz w:val="20"/>
                <w:szCs w:val="20"/>
              </w:rPr>
            </w:pPr>
            <w:r w:rsidRPr="00375F64">
              <w:rPr>
                <w:rFonts w:ascii="Calibri" w:hAnsi="Calibri" w:cs="Calibri"/>
                <w:sz w:val="20"/>
                <w:szCs w:val="20"/>
              </w:rPr>
              <w:t>0,5</w:t>
            </w:r>
          </w:p>
        </w:tc>
        <w:tc>
          <w:tcPr>
            <w:tcW w:w="1276" w:type="dxa"/>
          </w:tcPr>
          <w:p w14:paraId="655B42F3" w14:textId="77777777" w:rsidR="00375F64" w:rsidRPr="00375F64" w:rsidRDefault="00375F64" w:rsidP="00375F64">
            <w:pPr>
              <w:pStyle w:val="Tekstpodstawowy"/>
              <w:spacing w:line="240" w:lineRule="auto"/>
              <w:rPr>
                <w:rFonts w:ascii="Calibri" w:hAnsi="Calibri" w:cs="Calibri"/>
                <w:sz w:val="20"/>
                <w:szCs w:val="20"/>
              </w:rPr>
            </w:pPr>
          </w:p>
          <w:p w14:paraId="79243FD6" w14:textId="77777777" w:rsidR="00375F64" w:rsidRPr="00375F64" w:rsidRDefault="00375F64" w:rsidP="00375F64">
            <w:pPr>
              <w:pStyle w:val="Tekstpodstawowy"/>
              <w:spacing w:line="240" w:lineRule="auto"/>
              <w:rPr>
                <w:rFonts w:ascii="Calibri" w:hAnsi="Calibri" w:cs="Calibri"/>
                <w:sz w:val="20"/>
                <w:szCs w:val="20"/>
              </w:rPr>
            </w:pPr>
            <w:r w:rsidRPr="00375F64">
              <w:rPr>
                <w:rFonts w:ascii="Calibri" w:hAnsi="Calibri" w:cs="Calibri"/>
                <w:sz w:val="20"/>
                <w:szCs w:val="20"/>
              </w:rPr>
              <w:t>0,5</w:t>
            </w:r>
          </w:p>
        </w:tc>
      </w:tr>
      <w:tr w:rsidR="00375F64" w:rsidRPr="00375F64" w14:paraId="6080CDB3" w14:textId="77777777" w:rsidTr="00EA573C">
        <w:tc>
          <w:tcPr>
            <w:tcW w:w="534" w:type="dxa"/>
          </w:tcPr>
          <w:p w14:paraId="0BDAFBFE" w14:textId="77777777" w:rsidR="00375F64" w:rsidRPr="00375F64" w:rsidRDefault="00375F64" w:rsidP="00375F64">
            <w:pPr>
              <w:pStyle w:val="Tekstpodstawowy"/>
              <w:spacing w:line="240" w:lineRule="auto"/>
              <w:rPr>
                <w:rFonts w:ascii="Calibri" w:hAnsi="Calibri" w:cs="Calibri"/>
                <w:sz w:val="20"/>
                <w:szCs w:val="20"/>
              </w:rPr>
            </w:pPr>
            <w:r w:rsidRPr="00375F64">
              <w:rPr>
                <w:rFonts w:ascii="Calibri" w:hAnsi="Calibri" w:cs="Calibri"/>
                <w:sz w:val="20"/>
                <w:szCs w:val="20"/>
              </w:rPr>
              <w:t>6</w:t>
            </w:r>
          </w:p>
        </w:tc>
        <w:tc>
          <w:tcPr>
            <w:tcW w:w="3400" w:type="dxa"/>
          </w:tcPr>
          <w:p w14:paraId="6B01F6CB" w14:textId="77777777" w:rsidR="00375F64" w:rsidRPr="00375F64" w:rsidRDefault="00375F64" w:rsidP="00375F64">
            <w:pPr>
              <w:pStyle w:val="Tekstpodstawowy"/>
              <w:spacing w:line="240" w:lineRule="auto"/>
              <w:rPr>
                <w:rFonts w:ascii="Calibri" w:hAnsi="Calibri" w:cs="Calibri"/>
                <w:sz w:val="20"/>
                <w:szCs w:val="20"/>
              </w:rPr>
            </w:pPr>
            <w:r w:rsidRPr="00375F64">
              <w:rPr>
                <w:rFonts w:ascii="Calibri" w:hAnsi="Calibri" w:cs="Calibri"/>
                <w:sz w:val="20"/>
                <w:szCs w:val="20"/>
              </w:rPr>
              <w:t>Pozostała penetracja po starzeniu, nie mniej niż</w:t>
            </w:r>
          </w:p>
        </w:tc>
        <w:tc>
          <w:tcPr>
            <w:tcW w:w="851" w:type="dxa"/>
          </w:tcPr>
          <w:p w14:paraId="4565BA70" w14:textId="77777777" w:rsidR="00375F64" w:rsidRPr="00375F64" w:rsidRDefault="00375F64" w:rsidP="00375F64">
            <w:pPr>
              <w:pStyle w:val="Tekstpodstawowy"/>
              <w:spacing w:line="240" w:lineRule="auto"/>
              <w:rPr>
                <w:rFonts w:ascii="Calibri" w:hAnsi="Calibri" w:cs="Calibri"/>
                <w:sz w:val="20"/>
                <w:szCs w:val="20"/>
              </w:rPr>
            </w:pPr>
            <w:r w:rsidRPr="00375F64">
              <w:rPr>
                <w:rFonts w:ascii="Calibri" w:hAnsi="Calibri" w:cs="Calibri"/>
                <w:sz w:val="20"/>
                <w:szCs w:val="20"/>
              </w:rPr>
              <w:t>%</w:t>
            </w:r>
          </w:p>
        </w:tc>
        <w:tc>
          <w:tcPr>
            <w:tcW w:w="1559" w:type="dxa"/>
          </w:tcPr>
          <w:p w14:paraId="6AAE3BB8" w14:textId="77777777" w:rsidR="00375F64" w:rsidRPr="00375F64" w:rsidRDefault="00375F64" w:rsidP="00375F64">
            <w:pPr>
              <w:pStyle w:val="Tekstpodstawowy"/>
              <w:spacing w:line="240" w:lineRule="auto"/>
              <w:rPr>
                <w:rFonts w:ascii="Calibri" w:hAnsi="Calibri" w:cs="Calibri"/>
                <w:sz w:val="20"/>
                <w:szCs w:val="20"/>
              </w:rPr>
            </w:pPr>
            <w:r w:rsidRPr="00375F64">
              <w:rPr>
                <w:rFonts w:ascii="Calibri" w:hAnsi="Calibri" w:cs="Calibri"/>
                <w:sz w:val="20"/>
                <w:szCs w:val="20"/>
              </w:rPr>
              <w:t>PN-EN 1426</w:t>
            </w:r>
          </w:p>
        </w:tc>
        <w:tc>
          <w:tcPr>
            <w:tcW w:w="1276" w:type="dxa"/>
          </w:tcPr>
          <w:p w14:paraId="3935E44D" w14:textId="77777777" w:rsidR="00375F64" w:rsidRPr="00375F64" w:rsidRDefault="00375F64" w:rsidP="00375F64">
            <w:pPr>
              <w:pStyle w:val="Tekstpodstawowy"/>
              <w:spacing w:line="240" w:lineRule="auto"/>
              <w:rPr>
                <w:rFonts w:ascii="Calibri" w:hAnsi="Calibri" w:cs="Calibri"/>
                <w:sz w:val="20"/>
                <w:szCs w:val="20"/>
              </w:rPr>
            </w:pPr>
            <w:r w:rsidRPr="00375F64">
              <w:rPr>
                <w:rFonts w:ascii="Calibri" w:hAnsi="Calibri" w:cs="Calibri"/>
                <w:sz w:val="20"/>
                <w:szCs w:val="20"/>
              </w:rPr>
              <w:t>53</w:t>
            </w:r>
          </w:p>
        </w:tc>
        <w:tc>
          <w:tcPr>
            <w:tcW w:w="1276" w:type="dxa"/>
          </w:tcPr>
          <w:p w14:paraId="63842B5F" w14:textId="77777777" w:rsidR="00375F64" w:rsidRPr="00375F64" w:rsidRDefault="00375F64" w:rsidP="00375F64">
            <w:pPr>
              <w:pStyle w:val="Tekstpodstawowy"/>
              <w:spacing w:line="240" w:lineRule="auto"/>
              <w:rPr>
                <w:rFonts w:ascii="Calibri" w:hAnsi="Calibri" w:cs="Calibri"/>
                <w:sz w:val="20"/>
                <w:szCs w:val="20"/>
              </w:rPr>
            </w:pPr>
            <w:r w:rsidRPr="00375F64">
              <w:rPr>
                <w:rFonts w:ascii="Calibri" w:hAnsi="Calibri" w:cs="Calibri"/>
                <w:sz w:val="20"/>
                <w:szCs w:val="20"/>
              </w:rPr>
              <w:t>50</w:t>
            </w:r>
          </w:p>
        </w:tc>
      </w:tr>
      <w:tr w:rsidR="00375F64" w:rsidRPr="00375F64" w14:paraId="5E5C5BCC" w14:textId="77777777" w:rsidTr="00EA573C">
        <w:tc>
          <w:tcPr>
            <w:tcW w:w="534" w:type="dxa"/>
          </w:tcPr>
          <w:p w14:paraId="48604556" w14:textId="77777777" w:rsidR="00375F64" w:rsidRPr="00375F64" w:rsidRDefault="00375F64" w:rsidP="00375F64">
            <w:pPr>
              <w:pStyle w:val="Tekstpodstawowy"/>
              <w:spacing w:line="240" w:lineRule="auto"/>
              <w:rPr>
                <w:rFonts w:ascii="Calibri" w:hAnsi="Calibri" w:cs="Calibri"/>
                <w:sz w:val="20"/>
                <w:szCs w:val="20"/>
              </w:rPr>
            </w:pPr>
            <w:r w:rsidRPr="00375F64">
              <w:rPr>
                <w:rFonts w:ascii="Calibri" w:hAnsi="Calibri" w:cs="Calibri"/>
                <w:sz w:val="20"/>
                <w:szCs w:val="20"/>
              </w:rPr>
              <w:t>7</w:t>
            </w:r>
          </w:p>
        </w:tc>
        <w:tc>
          <w:tcPr>
            <w:tcW w:w="3400" w:type="dxa"/>
          </w:tcPr>
          <w:p w14:paraId="3050D101" w14:textId="77777777" w:rsidR="00375F64" w:rsidRPr="00375F64" w:rsidRDefault="00375F64" w:rsidP="00375F64">
            <w:pPr>
              <w:pStyle w:val="Tekstpodstawowy"/>
              <w:spacing w:line="240" w:lineRule="auto"/>
              <w:rPr>
                <w:rFonts w:ascii="Calibri" w:hAnsi="Calibri" w:cs="Calibri"/>
                <w:sz w:val="20"/>
                <w:szCs w:val="20"/>
              </w:rPr>
            </w:pPr>
            <w:r w:rsidRPr="00375F64">
              <w:rPr>
                <w:rFonts w:ascii="Calibri" w:hAnsi="Calibri" w:cs="Calibri"/>
                <w:sz w:val="20"/>
                <w:szCs w:val="20"/>
              </w:rPr>
              <w:t>Temperatura mięknienia po starzeniu, nie mniej niż</w:t>
            </w:r>
          </w:p>
        </w:tc>
        <w:tc>
          <w:tcPr>
            <w:tcW w:w="851" w:type="dxa"/>
          </w:tcPr>
          <w:p w14:paraId="276EE842" w14:textId="77777777" w:rsidR="00375F64" w:rsidRPr="00375F64" w:rsidRDefault="00375F64" w:rsidP="00375F64">
            <w:pPr>
              <w:pStyle w:val="Tekstpodstawowy"/>
              <w:spacing w:line="240" w:lineRule="auto"/>
              <w:rPr>
                <w:rFonts w:ascii="Calibri" w:hAnsi="Calibri" w:cs="Calibri"/>
                <w:sz w:val="20"/>
                <w:szCs w:val="20"/>
              </w:rPr>
            </w:pPr>
            <w:r w:rsidRPr="00375F64">
              <w:rPr>
                <w:rFonts w:ascii="Calibri" w:hAnsi="Calibri" w:cs="Calibri"/>
                <w:sz w:val="20"/>
                <w:szCs w:val="20"/>
              </w:rPr>
              <w:t>°C</w:t>
            </w:r>
          </w:p>
        </w:tc>
        <w:tc>
          <w:tcPr>
            <w:tcW w:w="1559" w:type="dxa"/>
          </w:tcPr>
          <w:p w14:paraId="64D0FE19" w14:textId="77777777" w:rsidR="00375F64" w:rsidRPr="00375F64" w:rsidRDefault="00375F64" w:rsidP="00375F64">
            <w:pPr>
              <w:pStyle w:val="Tekstpodstawowy"/>
              <w:spacing w:line="240" w:lineRule="auto"/>
              <w:rPr>
                <w:rFonts w:ascii="Calibri" w:hAnsi="Calibri" w:cs="Calibri"/>
                <w:sz w:val="20"/>
                <w:szCs w:val="20"/>
              </w:rPr>
            </w:pPr>
            <w:r w:rsidRPr="00375F64">
              <w:rPr>
                <w:rFonts w:ascii="Calibri" w:hAnsi="Calibri" w:cs="Calibri"/>
                <w:sz w:val="20"/>
                <w:szCs w:val="20"/>
              </w:rPr>
              <w:t>PN-EN 1427</w:t>
            </w:r>
          </w:p>
        </w:tc>
        <w:tc>
          <w:tcPr>
            <w:tcW w:w="1276" w:type="dxa"/>
          </w:tcPr>
          <w:p w14:paraId="40B0E1EB" w14:textId="77777777" w:rsidR="00375F64" w:rsidRPr="00375F64" w:rsidRDefault="00375F64" w:rsidP="00375F64">
            <w:pPr>
              <w:pStyle w:val="Tekstpodstawowy"/>
              <w:spacing w:line="240" w:lineRule="auto"/>
              <w:rPr>
                <w:rFonts w:ascii="Calibri" w:hAnsi="Calibri" w:cs="Calibri"/>
                <w:sz w:val="20"/>
                <w:szCs w:val="20"/>
              </w:rPr>
            </w:pPr>
            <w:r w:rsidRPr="00375F64">
              <w:rPr>
                <w:rFonts w:ascii="Calibri" w:hAnsi="Calibri" w:cs="Calibri"/>
                <w:sz w:val="20"/>
                <w:szCs w:val="20"/>
              </w:rPr>
              <w:t>52</w:t>
            </w:r>
          </w:p>
        </w:tc>
        <w:tc>
          <w:tcPr>
            <w:tcW w:w="1276" w:type="dxa"/>
          </w:tcPr>
          <w:p w14:paraId="5CD7D03B" w14:textId="77777777" w:rsidR="00375F64" w:rsidRPr="00375F64" w:rsidRDefault="00375F64" w:rsidP="00375F64">
            <w:pPr>
              <w:pStyle w:val="Tekstpodstawowy"/>
              <w:spacing w:line="240" w:lineRule="auto"/>
              <w:rPr>
                <w:rFonts w:ascii="Calibri" w:hAnsi="Calibri" w:cs="Calibri"/>
                <w:sz w:val="20"/>
                <w:szCs w:val="20"/>
              </w:rPr>
            </w:pPr>
            <w:r w:rsidRPr="00375F64">
              <w:rPr>
                <w:rFonts w:ascii="Calibri" w:hAnsi="Calibri" w:cs="Calibri"/>
                <w:sz w:val="20"/>
                <w:szCs w:val="20"/>
              </w:rPr>
              <w:t>48</w:t>
            </w:r>
          </w:p>
        </w:tc>
      </w:tr>
      <w:tr w:rsidR="00375F64" w:rsidRPr="00375F64" w14:paraId="170CE822" w14:textId="77777777" w:rsidTr="00EA573C">
        <w:tc>
          <w:tcPr>
            <w:tcW w:w="8896" w:type="dxa"/>
            <w:gridSpan w:val="6"/>
          </w:tcPr>
          <w:p w14:paraId="183A7E53" w14:textId="77777777" w:rsidR="00375F64" w:rsidRPr="00375F64" w:rsidRDefault="00375F64" w:rsidP="00375F64">
            <w:pPr>
              <w:pStyle w:val="Tekstpodstawowy"/>
              <w:spacing w:line="240" w:lineRule="auto"/>
              <w:rPr>
                <w:rFonts w:ascii="Calibri" w:hAnsi="Calibri" w:cs="Calibri"/>
                <w:sz w:val="20"/>
                <w:szCs w:val="20"/>
              </w:rPr>
            </w:pPr>
            <w:r w:rsidRPr="00375F64">
              <w:rPr>
                <w:rFonts w:ascii="Calibri" w:hAnsi="Calibri" w:cs="Calibri"/>
                <w:sz w:val="20"/>
                <w:szCs w:val="20"/>
              </w:rPr>
              <w:t>WŁAŚCIWOŚCI   SPECJALNE   KRAJOWE</w:t>
            </w:r>
          </w:p>
        </w:tc>
      </w:tr>
      <w:tr w:rsidR="00375F64" w:rsidRPr="00375F64" w14:paraId="765E8426" w14:textId="77777777" w:rsidTr="00EA573C">
        <w:tc>
          <w:tcPr>
            <w:tcW w:w="534" w:type="dxa"/>
          </w:tcPr>
          <w:p w14:paraId="653219BF" w14:textId="77777777" w:rsidR="00375F64" w:rsidRPr="00375F64" w:rsidRDefault="00375F64" w:rsidP="00375F64">
            <w:pPr>
              <w:pStyle w:val="Tekstpodstawowy"/>
              <w:spacing w:line="240" w:lineRule="auto"/>
              <w:rPr>
                <w:rFonts w:ascii="Calibri" w:hAnsi="Calibri" w:cs="Calibri"/>
                <w:sz w:val="20"/>
                <w:szCs w:val="20"/>
              </w:rPr>
            </w:pPr>
            <w:r w:rsidRPr="00375F64">
              <w:rPr>
                <w:rFonts w:ascii="Calibri" w:hAnsi="Calibri" w:cs="Calibri"/>
                <w:sz w:val="20"/>
                <w:szCs w:val="20"/>
              </w:rPr>
              <w:t>8</w:t>
            </w:r>
          </w:p>
        </w:tc>
        <w:tc>
          <w:tcPr>
            <w:tcW w:w="3400" w:type="dxa"/>
          </w:tcPr>
          <w:p w14:paraId="4E129378" w14:textId="77777777" w:rsidR="00375F64" w:rsidRPr="00375F64" w:rsidRDefault="00375F64" w:rsidP="00375F64">
            <w:pPr>
              <w:pStyle w:val="Tekstpodstawowy"/>
              <w:spacing w:line="240" w:lineRule="auto"/>
              <w:rPr>
                <w:rFonts w:ascii="Calibri" w:hAnsi="Calibri" w:cs="Calibri"/>
                <w:sz w:val="20"/>
                <w:szCs w:val="20"/>
              </w:rPr>
            </w:pPr>
            <w:r w:rsidRPr="00375F64">
              <w:rPr>
                <w:rFonts w:ascii="Calibri" w:hAnsi="Calibri" w:cs="Calibri"/>
                <w:sz w:val="20"/>
                <w:szCs w:val="20"/>
              </w:rPr>
              <w:t>Zawartość parafiny, nie więcej niż</w:t>
            </w:r>
          </w:p>
        </w:tc>
        <w:tc>
          <w:tcPr>
            <w:tcW w:w="851" w:type="dxa"/>
          </w:tcPr>
          <w:p w14:paraId="39B04FB1" w14:textId="77777777" w:rsidR="00375F64" w:rsidRPr="00375F64" w:rsidRDefault="00375F64" w:rsidP="00375F64">
            <w:pPr>
              <w:pStyle w:val="Tekstpodstawowy"/>
              <w:spacing w:line="240" w:lineRule="auto"/>
              <w:rPr>
                <w:rFonts w:ascii="Calibri" w:hAnsi="Calibri" w:cs="Calibri"/>
                <w:sz w:val="20"/>
                <w:szCs w:val="20"/>
              </w:rPr>
            </w:pPr>
            <w:r w:rsidRPr="00375F64">
              <w:rPr>
                <w:rFonts w:ascii="Calibri" w:hAnsi="Calibri" w:cs="Calibri"/>
                <w:sz w:val="20"/>
                <w:szCs w:val="20"/>
              </w:rPr>
              <w:t>%</w:t>
            </w:r>
          </w:p>
        </w:tc>
        <w:tc>
          <w:tcPr>
            <w:tcW w:w="1559" w:type="dxa"/>
          </w:tcPr>
          <w:p w14:paraId="3BEDFEC3" w14:textId="77777777" w:rsidR="00375F64" w:rsidRPr="00375F64" w:rsidRDefault="00375F64" w:rsidP="00375F64">
            <w:pPr>
              <w:pStyle w:val="Tekstpodstawowy"/>
              <w:spacing w:line="240" w:lineRule="auto"/>
              <w:rPr>
                <w:rFonts w:ascii="Calibri" w:hAnsi="Calibri" w:cs="Calibri"/>
                <w:sz w:val="20"/>
                <w:szCs w:val="20"/>
              </w:rPr>
            </w:pPr>
            <w:r w:rsidRPr="00375F64">
              <w:rPr>
                <w:rFonts w:ascii="Calibri" w:hAnsi="Calibri" w:cs="Calibri"/>
                <w:sz w:val="20"/>
                <w:szCs w:val="20"/>
              </w:rPr>
              <w:t>PN-EN 12606-1</w:t>
            </w:r>
          </w:p>
        </w:tc>
        <w:tc>
          <w:tcPr>
            <w:tcW w:w="1276" w:type="dxa"/>
          </w:tcPr>
          <w:p w14:paraId="345340ED" w14:textId="77777777" w:rsidR="00375F64" w:rsidRPr="00375F64" w:rsidRDefault="00375F64" w:rsidP="00375F64">
            <w:pPr>
              <w:pStyle w:val="Tekstpodstawowy"/>
              <w:spacing w:line="240" w:lineRule="auto"/>
              <w:rPr>
                <w:rFonts w:ascii="Calibri" w:hAnsi="Calibri" w:cs="Calibri"/>
                <w:sz w:val="20"/>
                <w:szCs w:val="20"/>
              </w:rPr>
            </w:pPr>
            <w:r w:rsidRPr="00375F64">
              <w:rPr>
                <w:rFonts w:ascii="Calibri" w:hAnsi="Calibri" w:cs="Calibri"/>
                <w:sz w:val="20"/>
                <w:szCs w:val="20"/>
              </w:rPr>
              <w:t>2,2</w:t>
            </w:r>
          </w:p>
        </w:tc>
        <w:tc>
          <w:tcPr>
            <w:tcW w:w="1276" w:type="dxa"/>
          </w:tcPr>
          <w:p w14:paraId="78EEA5E0" w14:textId="77777777" w:rsidR="00375F64" w:rsidRPr="00375F64" w:rsidRDefault="00375F64" w:rsidP="00375F64">
            <w:pPr>
              <w:pStyle w:val="Tekstpodstawowy"/>
              <w:spacing w:line="240" w:lineRule="auto"/>
              <w:rPr>
                <w:rFonts w:ascii="Calibri" w:hAnsi="Calibri" w:cs="Calibri"/>
                <w:sz w:val="20"/>
                <w:szCs w:val="20"/>
              </w:rPr>
            </w:pPr>
            <w:r w:rsidRPr="00375F64">
              <w:rPr>
                <w:rFonts w:ascii="Calibri" w:hAnsi="Calibri" w:cs="Calibri"/>
                <w:sz w:val="20"/>
                <w:szCs w:val="20"/>
              </w:rPr>
              <w:t>2,2</w:t>
            </w:r>
          </w:p>
        </w:tc>
      </w:tr>
      <w:tr w:rsidR="00375F64" w:rsidRPr="00375F64" w14:paraId="28AC01D7" w14:textId="77777777" w:rsidTr="00EA573C">
        <w:tc>
          <w:tcPr>
            <w:tcW w:w="534" w:type="dxa"/>
          </w:tcPr>
          <w:p w14:paraId="230096B9" w14:textId="77777777" w:rsidR="00375F64" w:rsidRPr="00375F64" w:rsidRDefault="00375F64" w:rsidP="00375F64">
            <w:pPr>
              <w:pStyle w:val="Tekstpodstawowy"/>
              <w:spacing w:line="240" w:lineRule="auto"/>
              <w:rPr>
                <w:rFonts w:ascii="Calibri" w:hAnsi="Calibri" w:cs="Calibri"/>
                <w:sz w:val="20"/>
                <w:szCs w:val="20"/>
              </w:rPr>
            </w:pPr>
            <w:r w:rsidRPr="00375F64">
              <w:rPr>
                <w:rFonts w:ascii="Calibri" w:hAnsi="Calibri" w:cs="Calibri"/>
                <w:sz w:val="20"/>
                <w:szCs w:val="20"/>
              </w:rPr>
              <w:t>9</w:t>
            </w:r>
          </w:p>
        </w:tc>
        <w:tc>
          <w:tcPr>
            <w:tcW w:w="3400" w:type="dxa"/>
          </w:tcPr>
          <w:p w14:paraId="68A306DB" w14:textId="77777777" w:rsidR="00375F64" w:rsidRPr="00375F64" w:rsidRDefault="00375F64" w:rsidP="00375F64">
            <w:pPr>
              <w:pStyle w:val="Tekstpodstawowy"/>
              <w:spacing w:line="240" w:lineRule="auto"/>
              <w:rPr>
                <w:rFonts w:ascii="Calibri" w:hAnsi="Calibri" w:cs="Calibri"/>
                <w:sz w:val="20"/>
                <w:szCs w:val="20"/>
              </w:rPr>
            </w:pPr>
            <w:r w:rsidRPr="00375F64">
              <w:rPr>
                <w:rFonts w:ascii="Calibri" w:hAnsi="Calibri" w:cs="Calibri"/>
                <w:sz w:val="20"/>
                <w:szCs w:val="20"/>
              </w:rPr>
              <w:t>Wzrost temp. mięknienia po starzeniu, nie więcej niż</w:t>
            </w:r>
          </w:p>
        </w:tc>
        <w:tc>
          <w:tcPr>
            <w:tcW w:w="851" w:type="dxa"/>
          </w:tcPr>
          <w:p w14:paraId="514ADC9E" w14:textId="77777777" w:rsidR="00375F64" w:rsidRPr="00375F64" w:rsidRDefault="00375F64" w:rsidP="00375F64">
            <w:pPr>
              <w:pStyle w:val="Tekstpodstawowy"/>
              <w:spacing w:line="240" w:lineRule="auto"/>
              <w:rPr>
                <w:rFonts w:ascii="Calibri" w:hAnsi="Calibri" w:cs="Calibri"/>
                <w:sz w:val="20"/>
                <w:szCs w:val="20"/>
              </w:rPr>
            </w:pPr>
            <w:r w:rsidRPr="00375F64">
              <w:rPr>
                <w:rFonts w:ascii="Calibri" w:hAnsi="Calibri" w:cs="Calibri"/>
                <w:sz w:val="20"/>
                <w:szCs w:val="20"/>
              </w:rPr>
              <w:t>°C</w:t>
            </w:r>
          </w:p>
        </w:tc>
        <w:tc>
          <w:tcPr>
            <w:tcW w:w="1559" w:type="dxa"/>
          </w:tcPr>
          <w:p w14:paraId="3FFE8A2A" w14:textId="77777777" w:rsidR="00375F64" w:rsidRPr="00375F64" w:rsidRDefault="00375F64" w:rsidP="00375F64">
            <w:pPr>
              <w:pStyle w:val="Tekstpodstawowy"/>
              <w:spacing w:line="240" w:lineRule="auto"/>
              <w:rPr>
                <w:rFonts w:ascii="Calibri" w:hAnsi="Calibri" w:cs="Calibri"/>
                <w:sz w:val="20"/>
                <w:szCs w:val="20"/>
              </w:rPr>
            </w:pPr>
            <w:r w:rsidRPr="00375F64">
              <w:rPr>
                <w:rFonts w:ascii="Calibri" w:hAnsi="Calibri" w:cs="Calibri"/>
                <w:sz w:val="20"/>
                <w:szCs w:val="20"/>
              </w:rPr>
              <w:t>PN-EN 1427</w:t>
            </w:r>
          </w:p>
        </w:tc>
        <w:tc>
          <w:tcPr>
            <w:tcW w:w="1276" w:type="dxa"/>
          </w:tcPr>
          <w:p w14:paraId="23075543" w14:textId="77777777" w:rsidR="00375F64" w:rsidRPr="00375F64" w:rsidRDefault="00375F64" w:rsidP="00375F64">
            <w:pPr>
              <w:pStyle w:val="Tekstpodstawowy"/>
              <w:spacing w:line="240" w:lineRule="auto"/>
              <w:rPr>
                <w:rFonts w:ascii="Calibri" w:hAnsi="Calibri" w:cs="Calibri"/>
                <w:sz w:val="20"/>
                <w:szCs w:val="20"/>
              </w:rPr>
            </w:pPr>
            <w:r w:rsidRPr="00375F64">
              <w:rPr>
                <w:rFonts w:ascii="Calibri" w:hAnsi="Calibri" w:cs="Calibri"/>
                <w:sz w:val="20"/>
                <w:szCs w:val="20"/>
              </w:rPr>
              <w:t>8</w:t>
            </w:r>
          </w:p>
        </w:tc>
        <w:tc>
          <w:tcPr>
            <w:tcW w:w="1276" w:type="dxa"/>
          </w:tcPr>
          <w:p w14:paraId="6B5EA34F" w14:textId="77777777" w:rsidR="00375F64" w:rsidRPr="00375F64" w:rsidRDefault="00375F64" w:rsidP="00375F64">
            <w:pPr>
              <w:pStyle w:val="Tekstpodstawowy"/>
              <w:spacing w:line="240" w:lineRule="auto"/>
              <w:rPr>
                <w:rFonts w:ascii="Calibri" w:hAnsi="Calibri" w:cs="Calibri"/>
                <w:sz w:val="20"/>
                <w:szCs w:val="20"/>
              </w:rPr>
            </w:pPr>
            <w:r w:rsidRPr="00375F64">
              <w:rPr>
                <w:rFonts w:ascii="Calibri" w:hAnsi="Calibri" w:cs="Calibri"/>
                <w:sz w:val="20"/>
                <w:szCs w:val="20"/>
              </w:rPr>
              <w:t>9</w:t>
            </w:r>
          </w:p>
        </w:tc>
      </w:tr>
      <w:tr w:rsidR="00375F64" w:rsidRPr="00375F64" w14:paraId="7C255A31" w14:textId="77777777" w:rsidTr="00EA573C">
        <w:tc>
          <w:tcPr>
            <w:tcW w:w="534" w:type="dxa"/>
          </w:tcPr>
          <w:p w14:paraId="69CF5D8F" w14:textId="77777777" w:rsidR="00375F64" w:rsidRPr="00375F64" w:rsidRDefault="00375F64" w:rsidP="00375F64">
            <w:pPr>
              <w:pStyle w:val="Tekstpodstawowy"/>
              <w:spacing w:line="240" w:lineRule="auto"/>
              <w:rPr>
                <w:rFonts w:ascii="Calibri" w:hAnsi="Calibri" w:cs="Calibri"/>
                <w:sz w:val="20"/>
                <w:szCs w:val="20"/>
              </w:rPr>
            </w:pPr>
            <w:r w:rsidRPr="00375F64">
              <w:rPr>
                <w:rFonts w:ascii="Calibri" w:hAnsi="Calibri" w:cs="Calibri"/>
                <w:sz w:val="20"/>
                <w:szCs w:val="20"/>
              </w:rPr>
              <w:t>10</w:t>
            </w:r>
          </w:p>
        </w:tc>
        <w:tc>
          <w:tcPr>
            <w:tcW w:w="3400" w:type="dxa"/>
          </w:tcPr>
          <w:p w14:paraId="53452997" w14:textId="77777777" w:rsidR="00375F64" w:rsidRPr="00375F64" w:rsidRDefault="00375F64" w:rsidP="00375F64">
            <w:pPr>
              <w:pStyle w:val="Tekstpodstawowy"/>
              <w:spacing w:line="240" w:lineRule="auto"/>
              <w:rPr>
                <w:rFonts w:ascii="Calibri" w:hAnsi="Calibri" w:cs="Calibri"/>
                <w:sz w:val="20"/>
                <w:szCs w:val="20"/>
              </w:rPr>
            </w:pPr>
            <w:r w:rsidRPr="00375F64">
              <w:rPr>
                <w:rFonts w:ascii="Calibri" w:hAnsi="Calibri" w:cs="Calibri"/>
                <w:sz w:val="20"/>
                <w:szCs w:val="20"/>
              </w:rPr>
              <w:t>Temperatura łamliwości Fraassa, nie więcej niż</w:t>
            </w:r>
          </w:p>
        </w:tc>
        <w:tc>
          <w:tcPr>
            <w:tcW w:w="851" w:type="dxa"/>
          </w:tcPr>
          <w:p w14:paraId="1F595C40" w14:textId="77777777" w:rsidR="00375F64" w:rsidRPr="00375F64" w:rsidRDefault="00375F64" w:rsidP="00375F64">
            <w:pPr>
              <w:pStyle w:val="Tekstpodstawowy"/>
              <w:spacing w:line="240" w:lineRule="auto"/>
              <w:rPr>
                <w:rFonts w:ascii="Calibri" w:hAnsi="Calibri" w:cs="Calibri"/>
                <w:sz w:val="20"/>
                <w:szCs w:val="20"/>
              </w:rPr>
            </w:pPr>
            <w:r w:rsidRPr="00375F64">
              <w:rPr>
                <w:rFonts w:ascii="Calibri" w:hAnsi="Calibri" w:cs="Calibri"/>
                <w:sz w:val="20"/>
                <w:szCs w:val="20"/>
              </w:rPr>
              <w:t>°C</w:t>
            </w:r>
          </w:p>
        </w:tc>
        <w:tc>
          <w:tcPr>
            <w:tcW w:w="1559" w:type="dxa"/>
          </w:tcPr>
          <w:p w14:paraId="4234C749" w14:textId="77777777" w:rsidR="00375F64" w:rsidRPr="00375F64" w:rsidRDefault="00375F64" w:rsidP="00375F64">
            <w:pPr>
              <w:pStyle w:val="Tekstpodstawowy"/>
              <w:spacing w:line="240" w:lineRule="auto"/>
              <w:rPr>
                <w:rFonts w:ascii="Calibri" w:hAnsi="Calibri" w:cs="Calibri"/>
                <w:sz w:val="20"/>
                <w:szCs w:val="20"/>
              </w:rPr>
            </w:pPr>
            <w:r w:rsidRPr="00375F64">
              <w:rPr>
                <w:rFonts w:ascii="Calibri" w:hAnsi="Calibri" w:cs="Calibri"/>
                <w:sz w:val="20"/>
                <w:szCs w:val="20"/>
              </w:rPr>
              <w:t>PN-EN 12593</w:t>
            </w:r>
          </w:p>
        </w:tc>
        <w:tc>
          <w:tcPr>
            <w:tcW w:w="1276" w:type="dxa"/>
          </w:tcPr>
          <w:p w14:paraId="7DCE12A8" w14:textId="77777777" w:rsidR="00375F64" w:rsidRPr="00375F64" w:rsidRDefault="00375F64" w:rsidP="00375F64">
            <w:pPr>
              <w:pStyle w:val="Tekstpodstawowy"/>
              <w:spacing w:line="240" w:lineRule="auto"/>
              <w:rPr>
                <w:rFonts w:ascii="Calibri" w:hAnsi="Calibri" w:cs="Calibri"/>
                <w:sz w:val="20"/>
                <w:szCs w:val="20"/>
              </w:rPr>
            </w:pPr>
            <w:r w:rsidRPr="00375F64">
              <w:rPr>
                <w:rFonts w:ascii="Calibri" w:hAnsi="Calibri" w:cs="Calibri"/>
                <w:sz w:val="20"/>
                <w:szCs w:val="20"/>
              </w:rPr>
              <w:t>-5</w:t>
            </w:r>
          </w:p>
        </w:tc>
        <w:tc>
          <w:tcPr>
            <w:tcW w:w="1276" w:type="dxa"/>
          </w:tcPr>
          <w:p w14:paraId="65AEC0BF" w14:textId="77777777" w:rsidR="00375F64" w:rsidRPr="00375F64" w:rsidRDefault="00375F64" w:rsidP="00375F64">
            <w:pPr>
              <w:pStyle w:val="Tekstpodstawowy"/>
              <w:spacing w:line="240" w:lineRule="auto"/>
              <w:rPr>
                <w:rFonts w:ascii="Calibri" w:hAnsi="Calibri" w:cs="Calibri"/>
                <w:sz w:val="20"/>
                <w:szCs w:val="20"/>
              </w:rPr>
            </w:pPr>
            <w:r w:rsidRPr="00375F64">
              <w:rPr>
                <w:rFonts w:ascii="Calibri" w:hAnsi="Calibri" w:cs="Calibri"/>
                <w:sz w:val="20"/>
                <w:szCs w:val="20"/>
              </w:rPr>
              <w:t>-8</w:t>
            </w:r>
          </w:p>
        </w:tc>
      </w:tr>
    </w:tbl>
    <w:p w14:paraId="4001FED7" w14:textId="77777777" w:rsidR="00375F64" w:rsidRPr="00375F64" w:rsidRDefault="00375F64" w:rsidP="00375F64">
      <w:pPr>
        <w:pStyle w:val="Tekstpodstawowy"/>
        <w:spacing w:line="240" w:lineRule="auto"/>
        <w:rPr>
          <w:rFonts w:ascii="Calibri" w:hAnsi="Calibri" w:cs="Calibri"/>
          <w:sz w:val="20"/>
          <w:szCs w:val="20"/>
        </w:rPr>
      </w:pPr>
    </w:p>
    <w:p w14:paraId="279A4D75" w14:textId="77777777" w:rsidR="00375F64" w:rsidRPr="00375F64" w:rsidRDefault="00375F64" w:rsidP="00375F64">
      <w:pPr>
        <w:pStyle w:val="Tekstpodstawowy"/>
        <w:spacing w:line="240" w:lineRule="auto"/>
        <w:rPr>
          <w:rFonts w:ascii="Calibri" w:hAnsi="Calibri" w:cs="Calibri"/>
          <w:sz w:val="20"/>
          <w:szCs w:val="20"/>
        </w:rPr>
      </w:pPr>
      <w:r w:rsidRPr="00375F64">
        <w:rPr>
          <w:rFonts w:ascii="Calibri" w:hAnsi="Calibri" w:cs="Calibri"/>
          <w:sz w:val="20"/>
          <w:szCs w:val="20"/>
        </w:rPr>
        <w:t>Składowanie asfaltu drogowego powinno się odbywać w zbiornikach, wykluczających zanieczyszczenie asfaltu i wyposażonych w system grzewczy pośredni (bez kontaktu asfaltu z przewodami grzewczymi). Zbiornik roboczy otaczarki powinien być izolowany termicznie, posiadać automatyczny system grzewczy z tolerancją ± 5°C oraz układ cyrkulacji asfaltu.</w:t>
      </w:r>
    </w:p>
    <w:p w14:paraId="659A42B1" w14:textId="77777777" w:rsidR="00375F64" w:rsidRPr="00375F64" w:rsidRDefault="00375F64" w:rsidP="00375F64">
      <w:pPr>
        <w:pStyle w:val="Nagwek4"/>
        <w:spacing w:before="0" w:after="0"/>
        <w:rPr>
          <w:rFonts w:ascii="Calibri" w:hAnsi="Calibri" w:cs="Calibri"/>
        </w:rPr>
      </w:pPr>
      <w:r w:rsidRPr="00375F64">
        <w:rPr>
          <w:rFonts w:ascii="Calibri" w:hAnsi="Calibri" w:cs="Calibri"/>
        </w:rPr>
        <w:t xml:space="preserve">2.4 Kruszywo </w:t>
      </w:r>
    </w:p>
    <w:p w14:paraId="69FD5B30" w14:textId="77777777" w:rsidR="00375F64" w:rsidRPr="00375F64" w:rsidRDefault="00375F64" w:rsidP="00375F64">
      <w:pPr>
        <w:pStyle w:val="Nagwek4"/>
        <w:spacing w:before="0" w:after="0"/>
        <w:rPr>
          <w:rFonts w:ascii="Calibri" w:hAnsi="Calibri" w:cs="Calibri"/>
          <w:b w:val="0"/>
        </w:rPr>
      </w:pPr>
      <w:r w:rsidRPr="00375F64">
        <w:rPr>
          <w:rFonts w:ascii="Calibri" w:hAnsi="Calibri" w:cs="Calibri"/>
          <w:b w:val="0"/>
        </w:rPr>
        <w:t>Do warstwy wiążącej z betonu asfaltowego należy stosować kruszywo według PN-EN 13043 i WT-1 Kruszywa 2014, obejmujące kruszywo grube , kruszywo drobne  i wypełniacz. Kruszywa powinny spełniać wymagania podane w WT-1 Kruszywa 2014 – rozdział 5 – punkt 5.2, tabela 8 , tabela 9 , tabela 10, tabela 11</w:t>
      </w:r>
    </w:p>
    <w:p w14:paraId="0763C18C" w14:textId="1CCEC13C" w:rsidR="00BA767E" w:rsidRPr="00BA767E" w:rsidRDefault="00BA767E" w:rsidP="00BA767E">
      <w:pPr>
        <w:pStyle w:val="Nagwek4"/>
        <w:spacing w:before="0" w:after="0"/>
        <w:ind w:left="864" w:hanging="864"/>
        <w:rPr>
          <w:rFonts w:asciiTheme="minorHAnsi" w:hAnsiTheme="minorHAnsi" w:cstheme="minorHAnsi"/>
        </w:rPr>
      </w:pPr>
      <w:bookmarkStart w:id="639" w:name="_Toc70203861"/>
      <w:bookmarkStart w:id="640" w:name="_Toc70205572"/>
      <w:bookmarkStart w:id="641" w:name="_Toc70207277"/>
      <w:bookmarkStart w:id="642" w:name="_Toc70208982"/>
      <w:bookmarkStart w:id="643" w:name="_Toc70210687"/>
      <w:bookmarkStart w:id="644" w:name="_Toc70212392"/>
      <w:bookmarkStart w:id="645" w:name="_Toc70214097"/>
      <w:bookmarkStart w:id="646" w:name="_Toc70215802"/>
      <w:bookmarkStart w:id="647" w:name="_Toc70217507"/>
      <w:bookmarkStart w:id="648" w:name="_Toc70219212"/>
      <w:bookmarkStart w:id="649" w:name="_Toc70220917"/>
      <w:r w:rsidRPr="00BA767E">
        <w:rPr>
          <w:rFonts w:asciiTheme="minorHAnsi" w:hAnsiTheme="minorHAnsi" w:cstheme="minorHAnsi"/>
        </w:rPr>
        <w:t>2.</w:t>
      </w:r>
      <w:r>
        <w:rPr>
          <w:rFonts w:asciiTheme="minorHAnsi" w:hAnsiTheme="minorHAnsi" w:cstheme="minorHAnsi"/>
        </w:rPr>
        <w:t>5</w:t>
      </w:r>
      <w:r w:rsidRPr="00BA767E">
        <w:rPr>
          <w:rFonts w:asciiTheme="minorHAnsi" w:hAnsiTheme="minorHAnsi" w:cstheme="minorHAnsi"/>
        </w:rPr>
        <w:t>. Granulat asfaltowy</w:t>
      </w:r>
      <w:bookmarkEnd w:id="639"/>
      <w:bookmarkEnd w:id="640"/>
      <w:bookmarkEnd w:id="641"/>
      <w:bookmarkEnd w:id="642"/>
      <w:bookmarkEnd w:id="643"/>
      <w:bookmarkEnd w:id="644"/>
      <w:bookmarkEnd w:id="645"/>
      <w:bookmarkEnd w:id="646"/>
      <w:bookmarkEnd w:id="647"/>
      <w:bookmarkEnd w:id="648"/>
      <w:bookmarkEnd w:id="649"/>
    </w:p>
    <w:p w14:paraId="1904BD40" w14:textId="77777777" w:rsidR="00BA767E" w:rsidRPr="00BA767E" w:rsidRDefault="00BA767E" w:rsidP="00BA767E">
      <w:pPr>
        <w:pStyle w:val="Tekstpodstawowy"/>
        <w:spacing w:line="240" w:lineRule="auto"/>
        <w:jc w:val="both"/>
        <w:rPr>
          <w:rFonts w:asciiTheme="minorHAnsi" w:hAnsiTheme="minorHAnsi" w:cstheme="minorHAnsi"/>
          <w:sz w:val="20"/>
          <w:szCs w:val="20"/>
        </w:rPr>
      </w:pPr>
      <w:r w:rsidRPr="00BA767E">
        <w:rPr>
          <w:rFonts w:asciiTheme="minorHAnsi" w:hAnsiTheme="minorHAnsi" w:cstheme="minorHAnsi"/>
          <w:sz w:val="20"/>
          <w:szCs w:val="20"/>
        </w:rPr>
        <w:t xml:space="preserve">Granulat asfaltowy należy stosować zgodnie z wymaganiami podanymi w normie PN-EN 13108-8. Mieszanki mineralno-asfaltowe zawierające granulat asfaltowy muszą mieć parametry odpowiadające ich rodzajowi oraz przeznaczaniu, zgodnie z wymaganiami niniejszego STWiORB. </w:t>
      </w:r>
    </w:p>
    <w:p w14:paraId="65DD0C3A" w14:textId="54ECEF1E" w:rsidR="00BA767E" w:rsidRPr="00BA767E" w:rsidRDefault="00BA767E" w:rsidP="00BA767E">
      <w:pPr>
        <w:pStyle w:val="Nagwek4"/>
        <w:spacing w:before="0" w:after="0"/>
        <w:ind w:left="864" w:hanging="864"/>
        <w:rPr>
          <w:rFonts w:asciiTheme="minorHAnsi" w:hAnsiTheme="minorHAnsi" w:cstheme="minorHAnsi"/>
        </w:rPr>
      </w:pPr>
      <w:bookmarkStart w:id="650" w:name="_Toc70203862"/>
      <w:bookmarkStart w:id="651" w:name="_Toc70205573"/>
      <w:bookmarkStart w:id="652" w:name="_Toc70207278"/>
      <w:bookmarkStart w:id="653" w:name="_Toc70208983"/>
      <w:bookmarkStart w:id="654" w:name="_Toc70210688"/>
      <w:bookmarkStart w:id="655" w:name="_Toc70212393"/>
      <w:bookmarkStart w:id="656" w:name="_Toc70214098"/>
      <w:bookmarkStart w:id="657" w:name="_Toc70215803"/>
      <w:bookmarkStart w:id="658" w:name="_Toc70217508"/>
      <w:bookmarkStart w:id="659" w:name="_Toc70219213"/>
      <w:bookmarkStart w:id="660" w:name="_Toc70220918"/>
      <w:r w:rsidRPr="00BA767E">
        <w:rPr>
          <w:rFonts w:asciiTheme="minorHAnsi" w:hAnsiTheme="minorHAnsi" w:cstheme="minorHAnsi"/>
        </w:rPr>
        <w:t>2.</w:t>
      </w:r>
      <w:r>
        <w:rPr>
          <w:rFonts w:asciiTheme="minorHAnsi" w:hAnsiTheme="minorHAnsi" w:cstheme="minorHAnsi"/>
        </w:rPr>
        <w:t>5</w:t>
      </w:r>
      <w:r w:rsidRPr="00BA767E">
        <w:rPr>
          <w:rFonts w:asciiTheme="minorHAnsi" w:hAnsiTheme="minorHAnsi" w:cstheme="minorHAnsi"/>
        </w:rPr>
        <w:t>.1.  Zasady stosowania granulatu asfaltowego</w:t>
      </w:r>
      <w:bookmarkEnd w:id="650"/>
      <w:bookmarkEnd w:id="651"/>
      <w:bookmarkEnd w:id="652"/>
      <w:bookmarkEnd w:id="653"/>
      <w:bookmarkEnd w:id="654"/>
      <w:bookmarkEnd w:id="655"/>
      <w:bookmarkEnd w:id="656"/>
      <w:bookmarkEnd w:id="657"/>
      <w:bookmarkEnd w:id="658"/>
      <w:bookmarkEnd w:id="659"/>
      <w:bookmarkEnd w:id="660"/>
      <w:r w:rsidRPr="00BA767E">
        <w:rPr>
          <w:rFonts w:asciiTheme="minorHAnsi" w:hAnsiTheme="minorHAnsi" w:cstheme="minorHAnsi"/>
        </w:rPr>
        <w:t xml:space="preserve"> </w:t>
      </w:r>
    </w:p>
    <w:p w14:paraId="6C2AEDF3" w14:textId="77777777" w:rsidR="00BA767E" w:rsidRPr="00BA767E" w:rsidRDefault="00BA767E" w:rsidP="00BA767E">
      <w:pPr>
        <w:pStyle w:val="Tekstpodstawowy"/>
        <w:spacing w:line="240" w:lineRule="auto"/>
        <w:jc w:val="both"/>
        <w:rPr>
          <w:rFonts w:asciiTheme="minorHAnsi" w:hAnsiTheme="minorHAnsi" w:cstheme="minorHAnsi"/>
          <w:sz w:val="20"/>
          <w:szCs w:val="20"/>
        </w:rPr>
      </w:pPr>
      <w:r w:rsidRPr="00BA767E">
        <w:rPr>
          <w:rFonts w:asciiTheme="minorHAnsi" w:hAnsiTheme="minorHAnsi" w:cstheme="minorHAnsi"/>
          <w:sz w:val="20"/>
          <w:szCs w:val="20"/>
        </w:rPr>
        <w:t xml:space="preserve">Zakres stosowania granulatu asfaltowego w mieszankach mineralno-asfaltowych typu AC W, zależy od następujących czynników: </w:t>
      </w:r>
    </w:p>
    <w:p w14:paraId="45F77E29" w14:textId="77777777" w:rsidR="00BA767E" w:rsidRPr="00BA767E" w:rsidRDefault="00BA767E" w:rsidP="00BA767E">
      <w:pPr>
        <w:pStyle w:val="Tekstpodstawowy"/>
        <w:spacing w:line="240" w:lineRule="auto"/>
        <w:ind w:firstLine="708"/>
        <w:jc w:val="both"/>
        <w:rPr>
          <w:rFonts w:asciiTheme="minorHAnsi" w:hAnsiTheme="minorHAnsi" w:cstheme="minorHAnsi"/>
          <w:sz w:val="20"/>
          <w:szCs w:val="20"/>
        </w:rPr>
      </w:pPr>
      <w:r w:rsidRPr="00BA767E">
        <w:rPr>
          <w:rFonts w:asciiTheme="minorHAnsi" w:hAnsiTheme="minorHAnsi" w:cstheme="minorHAnsi"/>
          <w:sz w:val="20"/>
          <w:szCs w:val="20"/>
        </w:rPr>
        <w:t xml:space="preserve">–  </w:t>
      </w:r>
      <w:r w:rsidRPr="00BA767E">
        <w:rPr>
          <w:rFonts w:asciiTheme="minorHAnsi" w:hAnsiTheme="minorHAnsi" w:cstheme="minorHAnsi"/>
          <w:sz w:val="20"/>
          <w:szCs w:val="20"/>
        </w:rPr>
        <w:tab/>
        <w:t xml:space="preserve">pochodzenia granulatu asfaltowego, </w:t>
      </w:r>
    </w:p>
    <w:p w14:paraId="42AFC08A" w14:textId="77777777" w:rsidR="00BA767E" w:rsidRPr="00BA767E" w:rsidRDefault="00BA767E" w:rsidP="00BA767E">
      <w:pPr>
        <w:pStyle w:val="Tekstpodstawowy"/>
        <w:spacing w:line="240" w:lineRule="auto"/>
        <w:ind w:left="1413" w:hanging="705"/>
        <w:jc w:val="both"/>
        <w:rPr>
          <w:rFonts w:asciiTheme="minorHAnsi" w:hAnsiTheme="minorHAnsi" w:cstheme="minorHAnsi"/>
          <w:sz w:val="20"/>
          <w:szCs w:val="20"/>
        </w:rPr>
      </w:pPr>
      <w:r w:rsidRPr="00BA767E">
        <w:rPr>
          <w:rFonts w:asciiTheme="minorHAnsi" w:hAnsiTheme="minorHAnsi" w:cstheme="minorHAnsi"/>
          <w:sz w:val="20"/>
          <w:szCs w:val="20"/>
        </w:rPr>
        <w:t xml:space="preserve">– </w:t>
      </w:r>
      <w:r w:rsidRPr="00BA767E">
        <w:rPr>
          <w:rFonts w:asciiTheme="minorHAnsi" w:hAnsiTheme="minorHAnsi" w:cstheme="minorHAnsi"/>
          <w:sz w:val="20"/>
          <w:szCs w:val="20"/>
        </w:rPr>
        <w:tab/>
        <w:t xml:space="preserve">jakości granulatu asfaltowego, a w szczególności właściwości lepiszcza, właściwości kruszywa i jednorodności granulatu,  </w:t>
      </w:r>
    </w:p>
    <w:p w14:paraId="6B7A3935" w14:textId="77777777" w:rsidR="00BA767E" w:rsidRPr="00BA767E" w:rsidRDefault="00BA767E" w:rsidP="00BA767E">
      <w:pPr>
        <w:pStyle w:val="Tekstpodstawowy"/>
        <w:spacing w:line="240" w:lineRule="auto"/>
        <w:ind w:firstLine="708"/>
        <w:jc w:val="both"/>
        <w:rPr>
          <w:rFonts w:asciiTheme="minorHAnsi" w:hAnsiTheme="minorHAnsi" w:cstheme="minorHAnsi"/>
          <w:sz w:val="20"/>
          <w:szCs w:val="20"/>
        </w:rPr>
      </w:pPr>
      <w:r w:rsidRPr="00BA767E">
        <w:rPr>
          <w:rFonts w:asciiTheme="minorHAnsi" w:hAnsiTheme="minorHAnsi" w:cstheme="minorHAnsi"/>
          <w:sz w:val="20"/>
          <w:szCs w:val="20"/>
        </w:rPr>
        <w:t xml:space="preserve">–  </w:t>
      </w:r>
      <w:r w:rsidRPr="00BA767E">
        <w:rPr>
          <w:rFonts w:asciiTheme="minorHAnsi" w:hAnsiTheme="minorHAnsi" w:cstheme="minorHAnsi"/>
          <w:sz w:val="20"/>
          <w:szCs w:val="20"/>
        </w:rPr>
        <w:tab/>
        <w:t xml:space="preserve">rodzaju nowego lepiszcza, </w:t>
      </w:r>
    </w:p>
    <w:p w14:paraId="4AF1A69B" w14:textId="77777777" w:rsidR="00BA767E" w:rsidRPr="00BA767E" w:rsidRDefault="00BA767E" w:rsidP="00BA767E">
      <w:pPr>
        <w:pStyle w:val="Tekstpodstawowy"/>
        <w:spacing w:line="240" w:lineRule="auto"/>
        <w:ind w:firstLine="709"/>
        <w:jc w:val="both"/>
        <w:rPr>
          <w:rFonts w:asciiTheme="minorHAnsi" w:hAnsiTheme="minorHAnsi" w:cstheme="minorHAnsi"/>
          <w:sz w:val="20"/>
          <w:szCs w:val="20"/>
        </w:rPr>
      </w:pPr>
      <w:r w:rsidRPr="00BA767E">
        <w:rPr>
          <w:rFonts w:asciiTheme="minorHAnsi" w:hAnsiTheme="minorHAnsi" w:cstheme="minorHAnsi"/>
          <w:sz w:val="20"/>
          <w:szCs w:val="20"/>
        </w:rPr>
        <w:t xml:space="preserve">–  </w:t>
      </w:r>
      <w:r w:rsidRPr="00BA767E">
        <w:rPr>
          <w:rFonts w:asciiTheme="minorHAnsi" w:hAnsiTheme="minorHAnsi" w:cstheme="minorHAnsi"/>
          <w:sz w:val="20"/>
          <w:szCs w:val="20"/>
        </w:rPr>
        <w:tab/>
        <w:t xml:space="preserve">technologii stosowanej do recyklingu na gorąco (metoda dozowania granulatu na zimno/na gorąco). </w:t>
      </w:r>
    </w:p>
    <w:p w14:paraId="339167FE" w14:textId="77777777" w:rsidR="00BA767E" w:rsidRPr="00BA767E" w:rsidRDefault="00BA767E" w:rsidP="00BA767E">
      <w:pPr>
        <w:pStyle w:val="Tekstpodstawowy"/>
        <w:spacing w:line="240" w:lineRule="auto"/>
        <w:jc w:val="both"/>
        <w:rPr>
          <w:rFonts w:asciiTheme="minorHAnsi" w:hAnsiTheme="minorHAnsi" w:cstheme="minorHAnsi"/>
          <w:sz w:val="20"/>
          <w:szCs w:val="20"/>
        </w:rPr>
      </w:pPr>
      <w:r w:rsidRPr="00BA767E">
        <w:rPr>
          <w:rFonts w:asciiTheme="minorHAnsi" w:hAnsiTheme="minorHAnsi" w:cstheme="minorHAnsi"/>
          <w:sz w:val="20"/>
          <w:szCs w:val="20"/>
        </w:rPr>
        <w:t xml:space="preserve">Procentowe zawartości granulatu asfaltowego określa się na podstawie maksymalnej wartości wskaźnika zastąpienia lepiszcza BR [%], obliczanego następująco: </w:t>
      </w:r>
    </w:p>
    <w:p w14:paraId="6C4F5363" w14:textId="77777777" w:rsidR="00BA767E" w:rsidRPr="00BA767E" w:rsidRDefault="00BA767E" w:rsidP="00BA767E">
      <w:pPr>
        <w:pStyle w:val="Tekstpodstawowy"/>
        <w:spacing w:line="240" w:lineRule="auto"/>
        <w:ind w:left="2832" w:firstLine="708"/>
        <w:jc w:val="both"/>
        <w:rPr>
          <w:rFonts w:asciiTheme="minorHAnsi" w:hAnsiTheme="minorHAnsi" w:cstheme="minorHAnsi"/>
          <w:sz w:val="20"/>
          <w:szCs w:val="20"/>
        </w:rPr>
      </w:pPr>
      <w:r w:rsidRPr="00BA767E">
        <w:rPr>
          <w:rFonts w:asciiTheme="minorHAnsi" w:hAnsiTheme="minorHAnsi" w:cstheme="minorHAnsi"/>
          <w:sz w:val="20"/>
          <w:szCs w:val="20"/>
        </w:rPr>
        <w:t xml:space="preserve">BR = (a x b)/c </w:t>
      </w:r>
    </w:p>
    <w:p w14:paraId="3A3EEE2F" w14:textId="77777777" w:rsidR="00BA767E" w:rsidRPr="00BA767E" w:rsidRDefault="00BA767E" w:rsidP="00BA767E">
      <w:pPr>
        <w:pStyle w:val="Tekstpodstawowy"/>
        <w:spacing w:line="240" w:lineRule="auto"/>
        <w:jc w:val="both"/>
        <w:rPr>
          <w:rFonts w:asciiTheme="minorHAnsi" w:hAnsiTheme="minorHAnsi" w:cstheme="minorHAnsi"/>
          <w:sz w:val="20"/>
          <w:szCs w:val="20"/>
        </w:rPr>
      </w:pPr>
      <w:r w:rsidRPr="00BA767E">
        <w:rPr>
          <w:rFonts w:asciiTheme="minorHAnsi" w:hAnsiTheme="minorHAnsi" w:cstheme="minorHAnsi"/>
          <w:sz w:val="20"/>
          <w:szCs w:val="20"/>
        </w:rPr>
        <w:t xml:space="preserve">gdzie: </w:t>
      </w:r>
    </w:p>
    <w:p w14:paraId="1B44463C" w14:textId="77777777" w:rsidR="00BA767E" w:rsidRPr="00BA767E" w:rsidRDefault="00BA767E" w:rsidP="00BA767E">
      <w:pPr>
        <w:pStyle w:val="Tekstpodstawowy"/>
        <w:spacing w:line="240" w:lineRule="auto"/>
        <w:jc w:val="both"/>
        <w:rPr>
          <w:rFonts w:asciiTheme="minorHAnsi" w:hAnsiTheme="minorHAnsi" w:cstheme="minorHAnsi"/>
          <w:sz w:val="20"/>
          <w:szCs w:val="20"/>
        </w:rPr>
      </w:pPr>
      <w:r w:rsidRPr="00BA767E">
        <w:rPr>
          <w:rFonts w:asciiTheme="minorHAnsi" w:hAnsiTheme="minorHAnsi" w:cstheme="minorHAnsi"/>
          <w:sz w:val="20"/>
          <w:szCs w:val="20"/>
        </w:rPr>
        <w:t xml:space="preserve">BR – wskaźnik zastąpienia lepiszcza [% (m/m)], </w:t>
      </w:r>
    </w:p>
    <w:p w14:paraId="25473860" w14:textId="77777777" w:rsidR="00BA767E" w:rsidRPr="00BA767E" w:rsidRDefault="00BA767E" w:rsidP="00BA767E">
      <w:pPr>
        <w:pStyle w:val="Tekstpodstawowy"/>
        <w:spacing w:line="240" w:lineRule="auto"/>
        <w:jc w:val="both"/>
        <w:rPr>
          <w:rFonts w:asciiTheme="minorHAnsi" w:hAnsiTheme="minorHAnsi" w:cstheme="minorHAnsi"/>
          <w:sz w:val="20"/>
          <w:szCs w:val="20"/>
        </w:rPr>
      </w:pPr>
      <w:r w:rsidRPr="00BA767E">
        <w:rPr>
          <w:rFonts w:asciiTheme="minorHAnsi" w:hAnsiTheme="minorHAnsi" w:cstheme="minorHAnsi"/>
          <w:sz w:val="20"/>
          <w:szCs w:val="20"/>
        </w:rPr>
        <w:t xml:space="preserve">a – zawartość lepiszcza rozpuszczalnego w granulacie asfaltowym [% (m/m)],  </w:t>
      </w:r>
    </w:p>
    <w:p w14:paraId="384A86C7" w14:textId="77777777" w:rsidR="00BA767E" w:rsidRPr="00BA767E" w:rsidRDefault="00BA767E" w:rsidP="00BA767E">
      <w:pPr>
        <w:pStyle w:val="Tekstpodstawowy"/>
        <w:spacing w:line="240" w:lineRule="auto"/>
        <w:jc w:val="both"/>
        <w:rPr>
          <w:rFonts w:asciiTheme="minorHAnsi" w:hAnsiTheme="minorHAnsi" w:cstheme="minorHAnsi"/>
          <w:sz w:val="20"/>
          <w:szCs w:val="20"/>
        </w:rPr>
      </w:pPr>
      <w:r w:rsidRPr="00BA767E">
        <w:rPr>
          <w:rFonts w:asciiTheme="minorHAnsi" w:hAnsiTheme="minorHAnsi" w:cstheme="minorHAnsi"/>
          <w:sz w:val="20"/>
          <w:szCs w:val="20"/>
        </w:rPr>
        <w:t xml:space="preserve">b – udział granulatu asfaltowego w mieszance mineralno-asfaltowej [% (m/m)],  </w:t>
      </w:r>
    </w:p>
    <w:p w14:paraId="1E215A36" w14:textId="77777777" w:rsidR="00BA767E" w:rsidRPr="00BA767E" w:rsidRDefault="00BA767E" w:rsidP="00BA767E">
      <w:pPr>
        <w:pStyle w:val="Tekstpodstawowy"/>
        <w:spacing w:line="240" w:lineRule="auto"/>
        <w:jc w:val="both"/>
        <w:rPr>
          <w:rFonts w:asciiTheme="minorHAnsi" w:hAnsiTheme="minorHAnsi" w:cstheme="minorHAnsi"/>
          <w:sz w:val="20"/>
          <w:szCs w:val="20"/>
        </w:rPr>
      </w:pPr>
      <w:r w:rsidRPr="00BA767E">
        <w:rPr>
          <w:rFonts w:asciiTheme="minorHAnsi" w:hAnsiTheme="minorHAnsi" w:cstheme="minorHAnsi"/>
          <w:sz w:val="20"/>
          <w:szCs w:val="20"/>
        </w:rPr>
        <w:t xml:space="preserve">c  –  całkowita  zawartość  lepiszcza  rozpuszczalnego  w  mieszance  mineralno-asfaltowej [% (m/m)]. </w:t>
      </w:r>
    </w:p>
    <w:p w14:paraId="008E7BE6" w14:textId="6F70DE49" w:rsidR="00BA767E" w:rsidRPr="00BA767E" w:rsidRDefault="00BA767E" w:rsidP="00BA767E">
      <w:pPr>
        <w:pStyle w:val="Tekstpodstawowy"/>
        <w:spacing w:line="240" w:lineRule="auto"/>
        <w:jc w:val="both"/>
        <w:rPr>
          <w:rFonts w:asciiTheme="minorHAnsi" w:hAnsiTheme="minorHAnsi" w:cstheme="minorHAnsi"/>
          <w:sz w:val="20"/>
          <w:szCs w:val="20"/>
        </w:rPr>
      </w:pPr>
      <w:r w:rsidRPr="00BA767E">
        <w:rPr>
          <w:rFonts w:asciiTheme="minorHAnsi" w:hAnsiTheme="minorHAnsi" w:cstheme="minorHAnsi"/>
          <w:sz w:val="20"/>
          <w:szCs w:val="20"/>
        </w:rPr>
        <w:t>Tablica 3 Dopuszczalne wartości wskaźnika BR [%]</w:t>
      </w:r>
    </w:p>
    <w:p w14:paraId="7533D575" w14:textId="77777777" w:rsidR="00BA767E" w:rsidRPr="00BA767E" w:rsidRDefault="00BA767E" w:rsidP="00BA767E">
      <w:pPr>
        <w:pStyle w:val="Tekstpodstawowy"/>
        <w:spacing w:line="240" w:lineRule="auto"/>
        <w:jc w:val="both"/>
        <w:rPr>
          <w:rFonts w:asciiTheme="minorHAnsi" w:hAnsiTheme="minorHAnsi" w:cstheme="minorHAnsi"/>
          <w:sz w:val="20"/>
          <w:szCs w:val="20"/>
        </w:rPr>
      </w:pPr>
    </w:p>
    <w:tbl>
      <w:tblPr>
        <w:tblStyle w:val="Tabela-Siatka"/>
        <w:tblW w:w="0" w:type="auto"/>
        <w:tblLook w:val="04A0" w:firstRow="1" w:lastRow="0" w:firstColumn="1" w:lastColumn="0" w:noHBand="0" w:noVBand="1"/>
      </w:tblPr>
      <w:tblGrid>
        <w:gridCol w:w="2405"/>
        <w:gridCol w:w="2693"/>
        <w:gridCol w:w="3119"/>
      </w:tblGrid>
      <w:tr w:rsidR="00BA767E" w:rsidRPr="00BA767E" w14:paraId="6FAD2D57" w14:textId="77777777" w:rsidTr="00EA573C">
        <w:tc>
          <w:tcPr>
            <w:tcW w:w="2405" w:type="dxa"/>
            <w:vMerge w:val="restart"/>
            <w:vAlign w:val="center"/>
          </w:tcPr>
          <w:p w14:paraId="6090DE77" w14:textId="77777777" w:rsidR="00BA767E" w:rsidRPr="00BA767E" w:rsidRDefault="00BA767E" w:rsidP="00BA767E">
            <w:pPr>
              <w:pStyle w:val="Tekstpodstawowy"/>
              <w:spacing w:line="240" w:lineRule="auto"/>
              <w:jc w:val="center"/>
              <w:rPr>
                <w:rFonts w:asciiTheme="minorHAnsi" w:hAnsiTheme="minorHAnsi" w:cstheme="minorHAnsi"/>
                <w:sz w:val="20"/>
                <w:szCs w:val="20"/>
              </w:rPr>
            </w:pPr>
            <w:r w:rsidRPr="00BA767E">
              <w:rPr>
                <w:rFonts w:asciiTheme="minorHAnsi" w:hAnsiTheme="minorHAnsi" w:cstheme="minorHAnsi"/>
                <w:sz w:val="20"/>
                <w:szCs w:val="20"/>
              </w:rPr>
              <w:t>Typ betonu asfaltowego</w:t>
            </w:r>
          </w:p>
        </w:tc>
        <w:tc>
          <w:tcPr>
            <w:tcW w:w="5812" w:type="dxa"/>
            <w:gridSpan w:val="2"/>
            <w:vAlign w:val="center"/>
          </w:tcPr>
          <w:p w14:paraId="30B37571" w14:textId="77777777" w:rsidR="00BA767E" w:rsidRPr="00BA767E" w:rsidRDefault="00BA767E" w:rsidP="00BA767E">
            <w:pPr>
              <w:pStyle w:val="Tekstpodstawowy"/>
              <w:spacing w:line="240" w:lineRule="auto"/>
              <w:jc w:val="center"/>
              <w:rPr>
                <w:rFonts w:asciiTheme="minorHAnsi" w:hAnsiTheme="minorHAnsi" w:cstheme="minorHAnsi"/>
                <w:sz w:val="20"/>
                <w:szCs w:val="20"/>
              </w:rPr>
            </w:pPr>
            <w:r w:rsidRPr="00BA767E">
              <w:rPr>
                <w:rFonts w:asciiTheme="minorHAnsi" w:hAnsiTheme="minorHAnsi" w:cstheme="minorHAnsi"/>
                <w:sz w:val="20"/>
                <w:szCs w:val="20"/>
              </w:rPr>
              <w:t>Dopuszczalna  wartość  wskaźnika  zastąpienia lepiszcza BR [%] w przypadku dozowania granulatu asfaltowego w otaczarce metodą</w:t>
            </w:r>
          </w:p>
        </w:tc>
      </w:tr>
      <w:tr w:rsidR="00BA767E" w:rsidRPr="00BA767E" w14:paraId="24EE4025" w14:textId="77777777" w:rsidTr="00EA573C">
        <w:trPr>
          <w:trHeight w:val="270"/>
        </w:trPr>
        <w:tc>
          <w:tcPr>
            <w:tcW w:w="2405" w:type="dxa"/>
            <w:vMerge/>
            <w:vAlign w:val="center"/>
          </w:tcPr>
          <w:p w14:paraId="61B152C5" w14:textId="77777777" w:rsidR="00BA767E" w:rsidRPr="00BA767E" w:rsidRDefault="00BA767E" w:rsidP="00BA767E">
            <w:pPr>
              <w:pStyle w:val="Tekstpodstawowy"/>
              <w:spacing w:line="240" w:lineRule="auto"/>
              <w:jc w:val="center"/>
              <w:rPr>
                <w:rFonts w:asciiTheme="minorHAnsi" w:hAnsiTheme="minorHAnsi" w:cstheme="minorHAnsi"/>
                <w:sz w:val="20"/>
                <w:szCs w:val="20"/>
              </w:rPr>
            </w:pPr>
          </w:p>
        </w:tc>
        <w:tc>
          <w:tcPr>
            <w:tcW w:w="2693" w:type="dxa"/>
            <w:vAlign w:val="center"/>
          </w:tcPr>
          <w:p w14:paraId="6AC14C9F" w14:textId="77777777" w:rsidR="00BA767E" w:rsidRPr="00BA767E" w:rsidRDefault="00BA767E" w:rsidP="00BA767E">
            <w:pPr>
              <w:pStyle w:val="Tekstpodstawowy"/>
              <w:spacing w:line="240" w:lineRule="auto"/>
              <w:jc w:val="center"/>
              <w:rPr>
                <w:rFonts w:asciiTheme="minorHAnsi" w:hAnsiTheme="minorHAnsi" w:cstheme="minorHAnsi"/>
                <w:sz w:val="20"/>
                <w:szCs w:val="20"/>
              </w:rPr>
            </w:pPr>
            <w:r w:rsidRPr="00BA767E">
              <w:rPr>
                <w:rFonts w:asciiTheme="minorHAnsi" w:hAnsiTheme="minorHAnsi" w:cstheme="minorHAnsi"/>
                <w:sz w:val="20"/>
                <w:szCs w:val="20"/>
              </w:rPr>
              <w:t xml:space="preserve">na zimno </w:t>
            </w:r>
          </w:p>
        </w:tc>
        <w:tc>
          <w:tcPr>
            <w:tcW w:w="3119" w:type="dxa"/>
            <w:vAlign w:val="center"/>
          </w:tcPr>
          <w:p w14:paraId="14A54FAC" w14:textId="77777777" w:rsidR="00BA767E" w:rsidRPr="00BA767E" w:rsidRDefault="00BA767E" w:rsidP="00BA767E">
            <w:pPr>
              <w:pStyle w:val="Tekstpodstawowy"/>
              <w:spacing w:line="240" w:lineRule="auto"/>
              <w:jc w:val="center"/>
              <w:rPr>
                <w:rFonts w:asciiTheme="minorHAnsi" w:hAnsiTheme="minorHAnsi" w:cstheme="minorHAnsi"/>
                <w:sz w:val="20"/>
                <w:szCs w:val="20"/>
              </w:rPr>
            </w:pPr>
            <w:r w:rsidRPr="00BA767E">
              <w:rPr>
                <w:rFonts w:asciiTheme="minorHAnsi" w:hAnsiTheme="minorHAnsi" w:cstheme="minorHAnsi"/>
                <w:sz w:val="20"/>
                <w:szCs w:val="20"/>
              </w:rPr>
              <w:t>na gorąco</w:t>
            </w:r>
          </w:p>
        </w:tc>
      </w:tr>
      <w:tr w:rsidR="00BA767E" w:rsidRPr="00BA767E" w14:paraId="65755BFF" w14:textId="77777777" w:rsidTr="00EA573C">
        <w:trPr>
          <w:trHeight w:val="301"/>
        </w:trPr>
        <w:tc>
          <w:tcPr>
            <w:tcW w:w="2405" w:type="dxa"/>
            <w:vAlign w:val="center"/>
          </w:tcPr>
          <w:p w14:paraId="631F89EE" w14:textId="77777777" w:rsidR="00BA767E" w:rsidRPr="00BA767E" w:rsidRDefault="00BA767E" w:rsidP="00BA767E">
            <w:pPr>
              <w:pStyle w:val="Tekstpodstawowy"/>
              <w:spacing w:line="240" w:lineRule="auto"/>
              <w:jc w:val="center"/>
              <w:rPr>
                <w:rFonts w:asciiTheme="minorHAnsi" w:hAnsiTheme="minorHAnsi" w:cstheme="minorHAnsi"/>
                <w:sz w:val="20"/>
                <w:szCs w:val="20"/>
              </w:rPr>
            </w:pPr>
            <w:r w:rsidRPr="00BA767E">
              <w:rPr>
                <w:rFonts w:asciiTheme="minorHAnsi" w:hAnsiTheme="minorHAnsi" w:cstheme="minorHAnsi"/>
                <w:sz w:val="20"/>
                <w:szCs w:val="20"/>
              </w:rPr>
              <w:t>AC W</w:t>
            </w:r>
          </w:p>
        </w:tc>
        <w:tc>
          <w:tcPr>
            <w:tcW w:w="2693" w:type="dxa"/>
            <w:vAlign w:val="center"/>
          </w:tcPr>
          <w:p w14:paraId="4BFB5C08" w14:textId="77777777" w:rsidR="00BA767E" w:rsidRPr="00BA767E" w:rsidRDefault="00BA767E" w:rsidP="00BA767E">
            <w:pPr>
              <w:pStyle w:val="Tekstpodstawowy"/>
              <w:spacing w:line="240" w:lineRule="auto"/>
              <w:jc w:val="center"/>
              <w:rPr>
                <w:rFonts w:asciiTheme="minorHAnsi" w:hAnsiTheme="minorHAnsi" w:cstheme="minorHAnsi"/>
                <w:sz w:val="20"/>
                <w:szCs w:val="20"/>
              </w:rPr>
            </w:pPr>
            <w:r w:rsidRPr="00BA767E">
              <w:rPr>
                <w:rFonts w:asciiTheme="minorHAnsi" w:hAnsiTheme="minorHAnsi" w:cstheme="minorHAnsi"/>
                <w:sz w:val="20"/>
                <w:szCs w:val="20"/>
              </w:rPr>
              <w:t>20</w:t>
            </w:r>
          </w:p>
        </w:tc>
        <w:tc>
          <w:tcPr>
            <w:tcW w:w="3119" w:type="dxa"/>
            <w:vAlign w:val="center"/>
          </w:tcPr>
          <w:p w14:paraId="05068051" w14:textId="77777777" w:rsidR="00BA767E" w:rsidRPr="00BA767E" w:rsidRDefault="00BA767E" w:rsidP="00BA767E">
            <w:pPr>
              <w:pStyle w:val="Tekstpodstawowy"/>
              <w:spacing w:line="240" w:lineRule="auto"/>
              <w:jc w:val="center"/>
              <w:rPr>
                <w:rFonts w:asciiTheme="minorHAnsi" w:hAnsiTheme="minorHAnsi" w:cstheme="minorHAnsi"/>
                <w:sz w:val="20"/>
                <w:szCs w:val="20"/>
              </w:rPr>
            </w:pPr>
            <w:r w:rsidRPr="00BA767E">
              <w:rPr>
                <w:rFonts w:asciiTheme="minorHAnsi" w:hAnsiTheme="minorHAnsi" w:cstheme="minorHAnsi"/>
                <w:sz w:val="20"/>
                <w:szCs w:val="20"/>
              </w:rPr>
              <w:t>30 (40</w:t>
            </w:r>
            <w:r w:rsidRPr="00BA767E">
              <w:rPr>
                <w:rFonts w:asciiTheme="minorHAnsi" w:hAnsiTheme="minorHAnsi" w:cstheme="minorHAnsi"/>
                <w:sz w:val="20"/>
                <w:szCs w:val="20"/>
                <w:vertAlign w:val="superscript"/>
              </w:rPr>
              <w:t>1)</w:t>
            </w:r>
            <w:r w:rsidRPr="00BA767E">
              <w:rPr>
                <w:rFonts w:asciiTheme="minorHAnsi" w:hAnsiTheme="minorHAnsi" w:cstheme="minorHAnsi"/>
                <w:sz w:val="20"/>
                <w:szCs w:val="20"/>
              </w:rPr>
              <w:t>)</w:t>
            </w:r>
          </w:p>
        </w:tc>
      </w:tr>
    </w:tbl>
    <w:p w14:paraId="625724CB" w14:textId="77777777" w:rsidR="00BA767E" w:rsidRPr="00BA767E" w:rsidRDefault="00BA767E" w:rsidP="00BA767E">
      <w:pPr>
        <w:pStyle w:val="Tekstpodstawowy"/>
        <w:spacing w:line="240" w:lineRule="auto"/>
        <w:jc w:val="both"/>
        <w:rPr>
          <w:rFonts w:asciiTheme="minorHAnsi" w:hAnsiTheme="minorHAnsi" w:cstheme="minorHAnsi"/>
          <w:sz w:val="20"/>
          <w:szCs w:val="20"/>
        </w:rPr>
      </w:pPr>
      <w:r w:rsidRPr="00BA767E">
        <w:rPr>
          <w:rFonts w:asciiTheme="minorHAnsi" w:hAnsiTheme="minorHAnsi" w:cstheme="minorHAnsi"/>
          <w:sz w:val="20"/>
          <w:szCs w:val="20"/>
        </w:rPr>
        <w:t>1)  Na zasadzie indywidualnego dopuszczenia przez Zamawiającego</w:t>
      </w:r>
    </w:p>
    <w:p w14:paraId="442B73CF" w14:textId="77777777" w:rsidR="00BA767E" w:rsidRPr="00BA767E" w:rsidRDefault="00BA767E" w:rsidP="00BA767E">
      <w:pPr>
        <w:pStyle w:val="Tekstpodstawowy"/>
        <w:spacing w:line="240" w:lineRule="auto"/>
        <w:jc w:val="both"/>
        <w:rPr>
          <w:rFonts w:asciiTheme="minorHAnsi" w:hAnsiTheme="minorHAnsi" w:cstheme="minorHAnsi"/>
          <w:sz w:val="20"/>
          <w:szCs w:val="20"/>
        </w:rPr>
      </w:pPr>
    </w:p>
    <w:p w14:paraId="5206B3E6" w14:textId="77777777" w:rsidR="00BA767E" w:rsidRPr="00BA767E" w:rsidRDefault="00BA767E" w:rsidP="00BA767E">
      <w:pPr>
        <w:pStyle w:val="Tekstpodstawowy"/>
        <w:spacing w:line="240" w:lineRule="auto"/>
        <w:jc w:val="both"/>
        <w:rPr>
          <w:rFonts w:asciiTheme="minorHAnsi" w:hAnsiTheme="minorHAnsi" w:cstheme="minorHAnsi"/>
          <w:sz w:val="20"/>
          <w:szCs w:val="20"/>
        </w:rPr>
      </w:pPr>
      <w:r w:rsidRPr="00BA767E">
        <w:rPr>
          <w:rFonts w:asciiTheme="minorHAnsi" w:hAnsiTheme="minorHAnsi" w:cstheme="minorHAnsi"/>
          <w:sz w:val="20"/>
          <w:szCs w:val="20"/>
        </w:rPr>
        <w:t xml:space="preserve">Ponieważ dodatek granulatu asfaltowego może wywrzeć niekorzystny wpływ na odporność mieszanek mineralno-asfaltowych na spękania niskotemperaturowe, należy w przypadku mieszanek AC W o podwyższonej wartości wskaźnika BR, odpowiednio do 40% przy dozowaniu granulatu asfaltowego metodą na gorąco, przeprowadzić badania służące ocenie odporności tych mieszanek na spękania niskotemperaturowe. </w:t>
      </w:r>
    </w:p>
    <w:p w14:paraId="66306761" w14:textId="77777777" w:rsidR="00BA767E" w:rsidRPr="00BA767E" w:rsidRDefault="00BA767E" w:rsidP="00BA767E">
      <w:pPr>
        <w:pStyle w:val="Tekstpodstawowy"/>
        <w:spacing w:line="240" w:lineRule="auto"/>
        <w:jc w:val="both"/>
        <w:rPr>
          <w:rFonts w:asciiTheme="minorHAnsi" w:hAnsiTheme="minorHAnsi" w:cstheme="minorHAnsi"/>
          <w:sz w:val="20"/>
          <w:szCs w:val="20"/>
        </w:rPr>
      </w:pPr>
      <w:r w:rsidRPr="00BA767E">
        <w:rPr>
          <w:rFonts w:asciiTheme="minorHAnsi" w:hAnsiTheme="minorHAnsi" w:cstheme="minorHAnsi"/>
          <w:sz w:val="20"/>
          <w:szCs w:val="20"/>
        </w:rPr>
        <w:t>Jeżeli w projektowanej mieszance mineralno-asfaltowej przewidziano użycie:</w:t>
      </w:r>
    </w:p>
    <w:p w14:paraId="69FAD27F" w14:textId="77777777" w:rsidR="00BA767E" w:rsidRPr="00BA767E" w:rsidRDefault="00BA767E" w:rsidP="00BA767E">
      <w:pPr>
        <w:pStyle w:val="Tekstpodstawowy"/>
        <w:spacing w:line="240" w:lineRule="auto"/>
        <w:ind w:firstLine="708"/>
        <w:jc w:val="both"/>
        <w:rPr>
          <w:rFonts w:asciiTheme="minorHAnsi" w:hAnsiTheme="minorHAnsi" w:cstheme="minorHAnsi"/>
          <w:sz w:val="20"/>
          <w:szCs w:val="20"/>
        </w:rPr>
      </w:pPr>
      <w:r w:rsidRPr="00BA767E">
        <w:rPr>
          <w:rFonts w:asciiTheme="minorHAnsi" w:hAnsiTheme="minorHAnsi" w:cstheme="minorHAnsi"/>
          <w:sz w:val="20"/>
          <w:szCs w:val="20"/>
        </w:rPr>
        <w:t xml:space="preserve">–  </w:t>
      </w:r>
      <w:r w:rsidRPr="00BA767E">
        <w:rPr>
          <w:rFonts w:asciiTheme="minorHAnsi" w:hAnsiTheme="minorHAnsi" w:cstheme="minorHAnsi"/>
          <w:sz w:val="20"/>
          <w:szCs w:val="20"/>
        </w:rPr>
        <w:tab/>
        <w:t>asfaltu modyfikowanego,</w:t>
      </w:r>
    </w:p>
    <w:p w14:paraId="566A3F4E" w14:textId="77777777" w:rsidR="00BA767E" w:rsidRPr="00BA767E" w:rsidRDefault="00BA767E" w:rsidP="00BA767E">
      <w:pPr>
        <w:pStyle w:val="Tekstpodstawowy"/>
        <w:spacing w:line="240" w:lineRule="auto"/>
        <w:ind w:left="1412" w:hanging="703"/>
        <w:jc w:val="both"/>
        <w:rPr>
          <w:rFonts w:asciiTheme="minorHAnsi" w:hAnsiTheme="minorHAnsi" w:cstheme="minorHAnsi"/>
          <w:sz w:val="20"/>
          <w:szCs w:val="20"/>
        </w:rPr>
      </w:pPr>
      <w:r w:rsidRPr="00BA767E">
        <w:rPr>
          <w:rFonts w:asciiTheme="minorHAnsi" w:hAnsiTheme="minorHAnsi" w:cstheme="minorHAnsi"/>
          <w:sz w:val="20"/>
          <w:szCs w:val="20"/>
        </w:rPr>
        <w:t xml:space="preserve">–  </w:t>
      </w:r>
      <w:r w:rsidRPr="00BA767E">
        <w:rPr>
          <w:rFonts w:asciiTheme="minorHAnsi" w:hAnsiTheme="minorHAnsi" w:cstheme="minorHAnsi"/>
          <w:sz w:val="20"/>
          <w:szCs w:val="20"/>
        </w:rPr>
        <w:tab/>
        <w:t>granulatu asfaltowego zawierającego asfalt modyfikowany i w projektowanej mieszance mineralno-asfaltowej przewidziano użycie zwykłego asfaltu drogowego,</w:t>
      </w:r>
    </w:p>
    <w:p w14:paraId="450B8620" w14:textId="77777777" w:rsidR="00BA767E" w:rsidRPr="00BA767E" w:rsidRDefault="00BA767E" w:rsidP="00BA767E">
      <w:pPr>
        <w:pStyle w:val="Tekstpodstawowy"/>
        <w:spacing w:line="240" w:lineRule="auto"/>
        <w:jc w:val="both"/>
        <w:rPr>
          <w:rFonts w:asciiTheme="minorHAnsi" w:hAnsiTheme="minorHAnsi" w:cstheme="minorHAnsi"/>
          <w:sz w:val="20"/>
          <w:szCs w:val="20"/>
        </w:rPr>
      </w:pPr>
      <w:r w:rsidRPr="00BA767E">
        <w:rPr>
          <w:rFonts w:asciiTheme="minorHAnsi" w:hAnsiTheme="minorHAnsi" w:cstheme="minorHAnsi"/>
          <w:sz w:val="20"/>
          <w:szCs w:val="20"/>
        </w:rPr>
        <w:t>zastosowanie granulatu asfaltowego może nastąpić na zasadzie indywidualnego dopuszczenia.</w:t>
      </w:r>
    </w:p>
    <w:p w14:paraId="66255DF4" w14:textId="5FE42BB6" w:rsidR="00BA767E" w:rsidRPr="00BA767E" w:rsidRDefault="00BA767E" w:rsidP="00BA767E">
      <w:pPr>
        <w:pStyle w:val="Nagwek4"/>
        <w:spacing w:before="0" w:after="0"/>
        <w:ind w:left="864" w:hanging="864"/>
        <w:rPr>
          <w:rFonts w:asciiTheme="minorHAnsi" w:hAnsiTheme="minorHAnsi" w:cstheme="minorHAnsi"/>
        </w:rPr>
      </w:pPr>
      <w:bookmarkStart w:id="661" w:name="_Toc70203863"/>
      <w:bookmarkStart w:id="662" w:name="_Toc70205574"/>
      <w:bookmarkStart w:id="663" w:name="_Toc70207279"/>
      <w:bookmarkStart w:id="664" w:name="_Toc70208984"/>
      <w:bookmarkStart w:id="665" w:name="_Toc70210689"/>
      <w:bookmarkStart w:id="666" w:name="_Toc70212394"/>
      <w:bookmarkStart w:id="667" w:name="_Toc70214099"/>
      <w:bookmarkStart w:id="668" w:name="_Toc70215804"/>
      <w:bookmarkStart w:id="669" w:name="_Toc70217509"/>
      <w:bookmarkStart w:id="670" w:name="_Toc70219214"/>
      <w:bookmarkStart w:id="671" w:name="_Toc70220919"/>
      <w:r w:rsidRPr="00BA767E">
        <w:rPr>
          <w:rFonts w:asciiTheme="minorHAnsi" w:hAnsiTheme="minorHAnsi" w:cstheme="minorHAnsi"/>
        </w:rPr>
        <w:t>2.</w:t>
      </w:r>
      <w:r w:rsidR="00113681">
        <w:rPr>
          <w:rFonts w:asciiTheme="minorHAnsi" w:hAnsiTheme="minorHAnsi" w:cstheme="minorHAnsi"/>
        </w:rPr>
        <w:t>5</w:t>
      </w:r>
      <w:r w:rsidRPr="00BA767E">
        <w:rPr>
          <w:rFonts w:asciiTheme="minorHAnsi" w:hAnsiTheme="minorHAnsi" w:cstheme="minorHAnsi"/>
        </w:rPr>
        <w:t>.2.  Wymagania dla granulatu asfaltowego</w:t>
      </w:r>
      <w:bookmarkEnd w:id="661"/>
      <w:bookmarkEnd w:id="662"/>
      <w:bookmarkEnd w:id="663"/>
      <w:bookmarkEnd w:id="664"/>
      <w:bookmarkEnd w:id="665"/>
      <w:bookmarkEnd w:id="666"/>
      <w:bookmarkEnd w:id="667"/>
      <w:bookmarkEnd w:id="668"/>
      <w:bookmarkEnd w:id="669"/>
      <w:bookmarkEnd w:id="670"/>
      <w:bookmarkEnd w:id="671"/>
      <w:r w:rsidRPr="00BA767E">
        <w:rPr>
          <w:rFonts w:asciiTheme="minorHAnsi" w:hAnsiTheme="minorHAnsi" w:cstheme="minorHAnsi"/>
        </w:rPr>
        <w:t xml:space="preserve"> </w:t>
      </w:r>
    </w:p>
    <w:p w14:paraId="42923BCC" w14:textId="6DE6ECFB" w:rsidR="00BA767E" w:rsidRPr="00BA767E" w:rsidRDefault="00BA767E" w:rsidP="00BA767E">
      <w:pPr>
        <w:pStyle w:val="Tekstpodstawowy"/>
        <w:spacing w:line="240" w:lineRule="auto"/>
        <w:jc w:val="both"/>
        <w:rPr>
          <w:rFonts w:asciiTheme="minorHAnsi" w:hAnsiTheme="minorHAnsi" w:cstheme="minorHAnsi"/>
          <w:sz w:val="20"/>
          <w:szCs w:val="20"/>
        </w:rPr>
      </w:pPr>
      <w:r w:rsidRPr="00BA767E">
        <w:rPr>
          <w:rFonts w:asciiTheme="minorHAnsi" w:hAnsiTheme="minorHAnsi" w:cstheme="minorHAnsi"/>
          <w:sz w:val="20"/>
          <w:szCs w:val="20"/>
        </w:rPr>
        <w:t xml:space="preserve">W przypadku stosowania  granulatu asfaltowego do produkcji mieszanek mineralno-asfaltowych typu beton  asfaltowy do warstwy  wiążącej AC W to musi on spełniać wymagania określone w </w:t>
      </w:r>
      <w:r w:rsidR="00113681">
        <w:rPr>
          <w:rFonts w:asciiTheme="minorHAnsi" w:hAnsiTheme="minorHAnsi" w:cstheme="minorHAnsi"/>
          <w:sz w:val="20"/>
          <w:szCs w:val="20"/>
        </w:rPr>
        <w:t>t</w:t>
      </w:r>
      <w:r w:rsidRPr="00113681">
        <w:rPr>
          <w:rFonts w:asciiTheme="minorHAnsi" w:hAnsiTheme="minorHAnsi" w:cstheme="minorHAnsi"/>
          <w:sz w:val="20"/>
          <w:szCs w:val="20"/>
        </w:rPr>
        <w:t xml:space="preserve">ablicy </w:t>
      </w:r>
      <w:r w:rsidR="00113681" w:rsidRPr="00113681">
        <w:rPr>
          <w:rFonts w:asciiTheme="minorHAnsi" w:hAnsiTheme="minorHAnsi" w:cstheme="minorHAnsi"/>
          <w:sz w:val="20"/>
          <w:szCs w:val="20"/>
        </w:rPr>
        <w:t>4</w:t>
      </w:r>
      <w:r w:rsidRPr="00BA767E">
        <w:rPr>
          <w:rFonts w:asciiTheme="minorHAnsi" w:hAnsiTheme="minorHAnsi" w:cstheme="minorHAnsi"/>
          <w:sz w:val="20"/>
          <w:szCs w:val="20"/>
        </w:rPr>
        <w:t xml:space="preserve">. </w:t>
      </w:r>
    </w:p>
    <w:p w14:paraId="7F0CD8FF" w14:textId="5A7A7B29" w:rsidR="00BA767E" w:rsidRPr="00BA767E" w:rsidRDefault="00BA767E" w:rsidP="00BA767E">
      <w:pPr>
        <w:pStyle w:val="Tekstpodstawowy"/>
        <w:spacing w:line="240" w:lineRule="auto"/>
        <w:jc w:val="both"/>
        <w:rPr>
          <w:rFonts w:asciiTheme="minorHAnsi" w:hAnsiTheme="minorHAnsi" w:cstheme="minorHAnsi"/>
          <w:sz w:val="20"/>
          <w:szCs w:val="20"/>
        </w:rPr>
      </w:pPr>
      <w:r w:rsidRPr="00113681">
        <w:rPr>
          <w:rFonts w:asciiTheme="minorHAnsi" w:hAnsiTheme="minorHAnsi" w:cstheme="minorHAnsi"/>
          <w:sz w:val="20"/>
          <w:szCs w:val="20"/>
        </w:rPr>
        <w:t xml:space="preserve">Tablica </w:t>
      </w:r>
      <w:r w:rsidR="00113681">
        <w:rPr>
          <w:rFonts w:asciiTheme="minorHAnsi" w:hAnsiTheme="minorHAnsi" w:cstheme="minorHAnsi"/>
          <w:sz w:val="20"/>
          <w:szCs w:val="20"/>
        </w:rPr>
        <w:t>4</w:t>
      </w:r>
      <w:r w:rsidRPr="00BA767E">
        <w:rPr>
          <w:rFonts w:asciiTheme="minorHAnsi" w:hAnsiTheme="minorHAnsi" w:cstheme="minorHAnsi"/>
          <w:sz w:val="20"/>
          <w:szCs w:val="20"/>
        </w:rPr>
        <w:t xml:space="preserve"> Wymagane właściwości granulatu asfaltowego stosowanego do mieszanek mineralno-asfaltowych typu AC W  </w:t>
      </w:r>
    </w:p>
    <w:tbl>
      <w:tblPr>
        <w:tblStyle w:val="Tabela-Siatka"/>
        <w:tblW w:w="0" w:type="auto"/>
        <w:jc w:val="center"/>
        <w:tblLook w:val="04A0" w:firstRow="1" w:lastRow="0" w:firstColumn="1" w:lastColumn="0" w:noHBand="0" w:noVBand="1"/>
      </w:tblPr>
      <w:tblGrid>
        <w:gridCol w:w="1308"/>
        <w:gridCol w:w="575"/>
        <w:gridCol w:w="3828"/>
        <w:gridCol w:w="1693"/>
      </w:tblGrid>
      <w:tr w:rsidR="00BA767E" w:rsidRPr="00BA767E" w14:paraId="16DA1025" w14:textId="77777777" w:rsidTr="00EA573C">
        <w:trPr>
          <w:jc w:val="center"/>
        </w:trPr>
        <w:tc>
          <w:tcPr>
            <w:tcW w:w="1883" w:type="dxa"/>
            <w:gridSpan w:val="2"/>
            <w:vAlign w:val="center"/>
          </w:tcPr>
          <w:p w14:paraId="2AEDB150" w14:textId="77777777" w:rsidR="00BA767E" w:rsidRPr="00BA767E" w:rsidRDefault="00BA767E" w:rsidP="00BA767E">
            <w:pPr>
              <w:pStyle w:val="Tekstpodstawowy"/>
              <w:spacing w:line="240" w:lineRule="auto"/>
              <w:rPr>
                <w:rFonts w:asciiTheme="minorHAnsi" w:hAnsiTheme="minorHAnsi" w:cstheme="minorHAnsi"/>
                <w:sz w:val="20"/>
                <w:szCs w:val="20"/>
              </w:rPr>
            </w:pPr>
            <w:r w:rsidRPr="00BA767E">
              <w:rPr>
                <w:rFonts w:asciiTheme="minorHAnsi" w:hAnsiTheme="minorHAnsi" w:cstheme="minorHAnsi"/>
                <w:sz w:val="20"/>
                <w:szCs w:val="20"/>
              </w:rPr>
              <w:t>Właściwość</w:t>
            </w:r>
          </w:p>
        </w:tc>
        <w:tc>
          <w:tcPr>
            <w:tcW w:w="3828" w:type="dxa"/>
            <w:vAlign w:val="center"/>
          </w:tcPr>
          <w:p w14:paraId="7BB81B82" w14:textId="77777777" w:rsidR="00BA767E" w:rsidRPr="00BA767E" w:rsidRDefault="00BA767E" w:rsidP="00BA767E">
            <w:pPr>
              <w:pStyle w:val="Tekstpodstawowy"/>
              <w:spacing w:line="240" w:lineRule="auto"/>
              <w:jc w:val="center"/>
              <w:rPr>
                <w:rFonts w:asciiTheme="minorHAnsi" w:hAnsiTheme="minorHAnsi" w:cstheme="minorHAnsi"/>
                <w:sz w:val="20"/>
                <w:szCs w:val="20"/>
              </w:rPr>
            </w:pPr>
            <w:r w:rsidRPr="00BA767E">
              <w:rPr>
                <w:rFonts w:asciiTheme="minorHAnsi" w:hAnsiTheme="minorHAnsi" w:cstheme="minorHAnsi"/>
                <w:sz w:val="20"/>
                <w:szCs w:val="20"/>
              </w:rPr>
              <w:t>Wymagania</w:t>
            </w:r>
          </w:p>
        </w:tc>
        <w:tc>
          <w:tcPr>
            <w:tcW w:w="1693" w:type="dxa"/>
            <w:vAlign w:val="center"/>
          </w:tcPr>
          <w:p w14:paraId="61043513" w14:textId="77777777" w:rsidR="00BA767E" w:rsidRPr="00BA767E" w:rsidRDefault="00BA767E" w:rsidP="00BA767E">
            <w:pPr>
              <w:pStyle w:val="Tekstpodstawowy"/>
              <w:spacing w:line="240" w:lineRule="auto"/>
              <w:jc w:val="center"/>
              <w:rPr>
                <w:rFonts w:asciiTheme="minorHAnsi" w:hAnsiTheme="minorHAnsi" w:cstheme="minorHAnsi"/>
                <w:sz w:val="20"/>
                <w:szCs w:val="20"/>
              </w:rPr>
            </w:pPr>
            <w:r w:rsidRPr="00BA767E">
              <w:rPr>
                <w:rFonts w:asciiTheme="minorHAnsi" w:hAnsiTheme="minorHAnsi" w:cstheme="minorHAnsi"/>
                <w:sz w:val="20"/>
                <w:szCs w:val="20"/>
              </w:rPr>
              <w:t xml:space="preserve">Dokument </w:t>
            </w:r>
          </w:p>
          <w:p w14:paraId="7974F4A3" w14:textId="77777777" w:rsidR="00BA767E" w:rsidRPr="00BA767E" w:rsidRDefault="00BA767E" w:rsidP="00BA767E">
            <w:pPr>
              <w:pStyle w:val="Tekstpodstawowy"/>
              <w:spacing w:line="240" w:lineRule="auto"/>
              <w:jc w:val="center"/>
              <w:rPr>
                <w:rFonts w:asciiTheme="minorHAnsi" w:hAnsiTheme="minorHAnsi" w:cstheme="minorHAnsi"/>
                <w:sz w:val="20"/>
                <w:szCs w:val="20"/>
              </w:rPr>
            </w:pPr>
            <w:r w:rsidRPr="00BA767E">
              <w:rPr>
                <w:rFonts w:asciiTheme="minorHAnsi" w:hAnsiTheme="minorHAnsi" w:cstheme="minorHAnsi"/>
                <w:sz w:val="20"/>
                <w:szCs w:val="20"/>
              </w:rPr>
              <w:t>odniesienia</w:t>
            </w:r>
          </w:p>
        </w:tc>
      </w:tr>
      <w:tr w:rsidR="00BA767E" w:rsidRPr="00BA767E" w14:paraId="4A486EE2" w14:textId="77777777" w:rsidTr="00EA573C">
        <w:trPr>
          <w:jc w:val="center"/>
        </w:trPr>
        <w:tc>
          <w:tcPr>
            <w:tcW w:w="1883" w:type="dxa"/>
            <w:gridSpan w:val="2"/>
            <w:vAlign w:val="center"/>
          </w:tcPr>
          <w:p w14:paraId="46AA29E4" w14:textId="77777777" w:rsidR="00BA767E" w:rsidRPr="00BA767E" w:rsidRDefault="00BA767E" w:rsidP="00BA767E">
            <w:pPr>
              <w:pStyle w:val="Tekstpodstawowy"/>
              <w:spacing w:line="240" w:lineRule="auto"/>
              <w:rPr>
                <w:rFonts w:asciiTheme="minorHAnsi" w:hAnsiTheme="minorHAnsi" w:cstheme="minorHAnsi"/>
                <w:sz w:val="20"/>
                <w:szCs w:val="20"/>
              </w:rPr>
            </w:pPr>
            <w:r w:rsidRPr="00BA767E">
              <w:rPr>
                <w:rFonts w:asciiTheme="minorHAnsi" w:hAnsiTheme="minorHAnsi" w:cstheme="minorHAnsi"/>
                <w:sz w:val="20"/>
                <w:szCs w:val="20"/>
              </w:rPr>
              <w:t xml:space="preserve">Zawartość </w:t>
            </w:r>
          </w:p>
          <w:p w14:paraId="0915F07D" w14:textId="77777777" w:rsidR="00BA767E" w:rsidRPr="00BA767E" w:rsidRDefault="00BA767E" w:rsidP="00BA767E">
            <w:pPr>
              <w:pStyle w:val="Tekstpodstawowy"/>
              <w:spacing w:line="240" w:lineRule="auto"/>
              <w:rPr>
                <w:rFonts w:asciiTheme="minorHAnsi" w:hAnsiTheme="minorHAnsi" w:cstheme="minorHAnsi"/>
                <w:sz w:val="20"/>
                <w:szCs w:val="20"/>
              </w:rPr>
            </w:pPr>
            <w:r w:rsidRPr="00BA767E">
              <w:rPr>
                <w:rFonts w:asciiTheme="minorHAnsi" w:hAnsiTheme="minorHAnsi" w:cstheme="minorHAnsi"/>
                <w:sz w:val="20"/>
                <w:szCs w:val="20"/>
              </w:rPr>
              <w:t>materiałów obcych</w:t>
            </w:r>
          </w:p>
        </w:tc>
        <w:tc>
          <w:tcPr>
            <w:tcW w:w="3828" w:type="dxa"/>
            <w:vAlign w:val="center"/>
          </w:tcPr>
          <w:p w14:paraId="29B7AB07" w14:textId="77777777" w:rsidR="00BA767E" w:rsidRPr="00BA767E" w:rsidRDefault="00BA767E" w:rsidP="00BA767E">
            <w:pPr>
              <w:pStyle w:val="Tekstpodstawowy"/>
              <w:spacing w:line="240" w:lineRule="auto"/>
              <w:jc w:val="center"/>
              <w:rPr>
                <w:rFonts w:asciiTheme="minorHAnsi" w:hAnsiTheme="minorHAnsi" w:cstheme="minorHAnsi"/>
                <w:sz w:val="20"/>
                <w:szCs w:val="20"/>
              </w:rPr>
            </w:pPr>
            <w:r w:rsidRPr="00BA767E">
              <w:rPr>
                <w:rFonts w:asciiTheme="minorHAnsi" w:hAnsiTheme="minorHAnsi" w:cstheme="minorHAnsi"/>
                <w:sz w:val="20"/>
                <w:szCs w:val="20"/>
              </w:rPr>
              <w:t>Kategoria FM1</w:t>
            </w:r>
          </w:p>
        </w:tc>
        <w:tc>
          <w:tcPr>
            <w:tcW w:w="1693" w:type="dxa"/>
            <w:vAlign w:val="center"/>
          </w:tcPr>
          <w:p w14:paraId="0628E731" w14:textId="77777777" w:rsidR="00BA767E" w:rsidRPr="00BA767E" w:rsidRDefault="00BA767E" w:rsidP="00BA767E">
            <w:pPr>
              <w:pStyle w:val="Tekstpodstawowy"/>
              <w:spacing w:line="240" w:lineRule="auto"/>
              <w:jc w:val="center"/>
              <w:rPr>
                <w:rFonts w:asciiTheme="minorHAnsi" w:hAnsiTheme="minorHAnsi" w:cstheme="minorHAnsi"/>
                <w:sz w:val="20"/>
                <w:szCs w:val="20"/>
              </w:rPr>
            </w:pPr>
            <w:r w:rsidRPr="00BA767E">
              <w:rPr>
                <w:rFonts w:asciiTheme="minorHAnsi" w:hAnsiTheme="minorHAnsi" w:cstheme="minorHAnsi"/>
                <w:sz w:val="20"/>
                <w:szCs w:val="20"/>
              </w:rPr>
              <w:t xml:space="preserve">PN-EN 13108-8 </w:t>
            </w:r>
          </w:p>
          <w:p w14:paraId="6A39E664" w14:textId="77777777" w:rsidR="00BA767E" w:rsidRPr="00BA767E" w:rsidRDefault="00BA767E" w:rsidP="00BA767E">
            <w:pPr>
              <w:pStyle w:val="Tekstpodstawowy"/>
              <w:spacing w:line="240" w:lineRule="auto"/>
              <w:jc w:val="center"/>
              <w:rPr>
                <w:rFonts w:asciiTheme="minorHAnsi" w:hAnsiTheme="minorHAnsi" w:cstheme="minorHAnsi"/>
                <w:sz w:val="20"/>
                <w:szCs w:val="20"/>
              </w:rPr>
            </w:pPr>
            <w:r w:rsidRPr="00BA767E">
              <w:rPr>
                <w:rFonts w:asciiTheme="minorHAnsi" w:hAnsiTheme="minorHAnsi" w:cstheme="minorHAnsi"/>
                <w:sz w:val="20"/>
                <w:szCs w:val="20"/>
              </w:rPr>
              <w:t>pkt. 4.1</w:t>
            </w:r>
          </w:p>
        </w:tc>
      </w:tr>
      <w:tr w:rsidR="00BA767E" w:rsidRPr="00BA767E" w14:paraId="6620ABA7" w14:textId="77777777" w:rsidTr="00EA573C">
        <w:trPr>
          <w:jc w:val="center"/>
        </w:trPr>
        <w:tc>
          <w:tcPr>
            <w:tcW w:w="1308" w:type="dxa"/>
            <w:vMerge w:val="restart"/>
            <w:vAlign w:val="center"/>
          </w:tcPr>
          <w:p w14:paraId="57D2A4CC" w14:textId="77777777" w:rsidR="00BA767E" w:rsidRPr="00BA767E" w:rsidRDefault="00BA767E" w:rsidP="00BA767E">
            <w:pPr>
              <w:pStyle w:val="Tekstpodstawowy"/>
              <w:spacing w:line="240" w:lineRule="auto"/>
              <w:rPr>
                <w:rFonts w:asciiTheme="minorHAnsi" w:hAnsiTheme="minorHAnsi" w:cstheme="minorHAnsi"/>
                <w:sz w:val="20"/>
                <w:szCs w:val="20"/>
              </w:rPr>
            </w:pPr>
            <w:r w:rsidRPr="00BA767E">
              <w:rPr>
                <w:rFonts w:asciiTheme="minorHAnsi" w:hAnsiTheme="minorHAnsi" w:cstheme="minorHAnsi"/>
                <w:sz w:val="20"/>
                <w:szCs w:val="20"/>
              </w:rPr>
              <w:t xml:space="preserve">Właściwości </w:t>
            </w:r>
          </w:p>
          <w:p w14:paraId="47091800" w14:textId="77777777" w:rsidR="00BA767E" w:rsidRPr="00BA767E" w:rsidRDefault="00BA767E" w:rsidP="00BA767E">
            <w:pPr>
              <w:pStyle w:val="Tekstpodstawowy"/>
              <w:spacing w:line="240" w:lineRule="auto"/>
              <w:rPr>
                <w:rFonts w:asciiTheme="minorHAnsi" w:hAnsiTheme="minorHAnsi" w:cstheme="minorHAnsi"/>
                <w:sz w:val="20"/>
                <w:szCs w:val="20"/>
              </w:rPr>
            </w:pPr>
            <w:r w:rsidRPr="00BA767E">
              <w:rPr>
                <w:rFonts w:asciiTheme="minorHAnsi" w:hAnsiTheme="minorHAnsi" w:cstheme="minorHAnsi"/>
                <w:sz w:val="20"/>
                <w:szCs w:val="20"/>
              </w:rPr>
              <w:t xml:space="preserve">lepiszcza </w:t>
            </w:r>
          </w:p>
          <w:p w14:paraId="42EA9570" w14:textId="77777777" w:rsidR="00BA767E" w:rsidRPr="00BA767E" w:rsidRDefault="00BA767E" w:rsidP="00BA767E">
            <w:pPr>
              <w:pStyle w:val="Tekstpodstawowy"/>
              <w:spacing w:line="240" w:lineRule="auto"/>
              <w:rPr>
                <w:rFonts w:asciiTheme="minorHAnsi" w:hAnsiTheme="minorHAnsi" w:cstheme="minorHAnsi"/>
                <w:sz w:val="20"/>
                <w:szCs w:val="20"/>
              </w:rPr>
            </w:pPr>
            <w:r w:rsidRPr="00BA767E">
              <w:rPr>
                <w:rFonts w:asciiTheme="minorHAnsi" w:hAnsiTheme="minorHAnsi" w:cstheme="minorHAnsi"/>
                <w:sz w:val="20"/>
                <w:szCs w:val="20"/>
              </w:rPr>
              <w:t xml:space="preserve">odzyskanego </w:t>
            </w:r>
          </w:p>
          <w:p w14:paraId="3C73B092" w14:textId="77777777" w:rsidR="00BA767E" w:rsidRPr="00BA767E" w:rsidRDefault="00BA767E" w:rsidP="00BA767E">
            <w:pPr>
              <w:pStyle w:val="Tekstpodstawowy"/>
              <w:spacing w:line="240" w:lineRule="auto"/>
              <w:rPr>
                <w:rFonts w:asciiTheme="minorHAnsi" w:hAnsiTheme="minorHAnsi" w:cstheme="minorHAnsi"/>
                <w:sz w:val="20"/>
                <w:szCs w:val="20"/>
              </w:rPr>
            </w:pPr>
            <w:r w:rsidRPr="00BA767E">
              <w:rPr>
                <w:rFonts w:asciiTheme="minorHAnsi" w:hAnsiTheme="minorHAnsi" w:cstheme="minorHAnsi"/>
                <w:sz w:val="20"/>
                <w:szCs w:val="20"/>
              </w:rPr>
              <w:t xml:space="preserve">w granulacie </w:t>
            </w:r>
          </w:p>
          <w:p w14:paraId="3D49A46F" w14:textId="77777777" w:rsidR="00BA767E" w:rsidRPr="00BA767E" w:rsidRDefault="00BA767E" w:rsidP="00BA767E">
            <w:pPr>
              <w:pStyle w:val="Tekstpodstawowy"/>
              <w:spacing w:line="240" w:lineRule="auto"/>
              <w:rPr>
                <w:rFonts w:asciiTheme="minorHAnsi" w:hAnsiTheme="minorHAnsi" w:cstheme="minorHAnsi"/>
                <w:sz w:val="20"/>
                <w:szCs w:val="20"/>
              </w:rPr>
            </w:pPr>
            <w:r w:rsidRPr="00BA767E">
              <w:rPr>
                <w:rFonts w:asciiTheme="minorHAnsi" w:hAnsiTheme="minorHAnsi" w:cstheme="minorHAnsi"/>
                <w:sz w:val="20"/>
                <w:szCs w:val="20"/>
              </w:rPr>
              <w:t xml:space="preserve">asfaltowym </w:t>
            </w:r>
            <w:r w:rsidRPr="00BA767E">
              <w:rPr>
                <w:rFonts w:asciiTheme="minorHAnsi" w:hAnsiTheme="minorHAnsi" w:cstheme="minorHAnsi"/>
                <w:sz w:val="20"/>
                <w:szCs w:val="20"/>
                <w:vertAlign w:val="superscript"/>
              </w:rPr>
              <w:t>a)</w:t>
            </w:r>
          </w:p>
        </w:tc>
        <w:tc>
          <w:tcPr>
            <w:tcW w:w="575" w:type="dxa"/>
            <w:vAlign w:val="center"/>
          </w:tcPr>
          <w:p w14:paraId="4D361688" w14:textId="77777777" w:rsidR="00BA767E" w:rsidRPr="00BA767E" w:rsidRDefault="00BA767E" w:rsidP="00BA767E">
            <w:pPr>
              <w:pStyle w:val="Tekstpodstawowy"/>
              <w:spacing w:line="240" w:lineRule="auto"/>
              <w:rPr>
                <w:rFonts w:asciiTheme="minorHAnsi" w:hAnsiTheme="minorHAnsi" w:cstheme="minorHAnsi"/>
                <w:sz w:val="20"/>
                <w:szCs w:val="20"/>
              </w:rPr>
            </w:pPr>
            <w:r w:rsidRPr="00BA767E">
              <w:rPr>
                <w:rFonts w:asciiTheme="minorHAnsi" w:hAnsiTheme="minorHAnsi" w:cstheme="minorHAnsi"/>
                <w:sz w:val="20"/>
                <w:szCs w:val="20"/>
              </w:rPr>
              <w:t>PiK</w:t>
            </w:r>
          </w:p>
        </w:tc>
        <w:tc>
          <w:tcPr>
            <w:tcW w:w="3828" w:type="dxa"/>
            <w:vAlign w:val="center"/>
          </w:tcPr>
          <w:p w14:paraId="2F0B41F0" w14:textId="77777777" w:rsidR="00BA767E" w:rsidRPr="00BA767E" w:rsidRDefault="00BA767E" w:rsidP="00BA767E">
            <w:pPr>
              <w:pStyle w:val="Tekstpodstawowy"/>
              <w:spacing w:line="240" w:lineRule="auto"/>
              <w:jc w:val="both"/>
              <w:rPr>
                <w:rFonts w:asciiTheme="minorHAnsi" w:hAnsiTheme="minorHAnsi" w:cstheme="minorHAnsi"/>
                <w:sz w:val="20"/>
                <w:szCs w:val="20"/>
              </w:rPr>
            </w:pPr>
            <w:r w:rsidRPr="00BA767E">
              <w:rPr>
                <w:rFonts w:asciiTheme="minorHAnsi" w:hAnsiTheme="minorHAnsi" w:cstheme="minorHAnsi"/>
                <w:sz w:val="20"/>
                <w:szCs w:val="20"/>
              </w:rPr>
              <w:t>Kategoria S</w:t>
            </w:r>
            <w:r w:rsidRPr="00BA767E">
              <w:rPr>
                <w:rFonts w:asciiTheme="minorHAnsi" w:hAnsiTheme="minorHAnsi" w:cstheme="minorHAnsi"/>
                <w:sz w:val="20"/>
                <w:szCs w:val="20"/>
                <w:vertAlign w:val="subscript"/>
              </w:rPr>
              <w:t>70</w:t>
            </w:r>
          </w:p>
          <w:p w14:paraId="5DED688E" w14:textId="77777777" w:rsidR="00BA767E" w:rsidRPr="00BA767E" w:rsidRDefault="00BA767E" w:rsidP="00BA767E">
            <w:pPr>
              <w:pStyle w:val="Tekstpodstawowy"/>
              <w:spacing w:line="240" w:lineRule="auto"/>
              <w:jc w:val="both"/>
              <w:rPr>
                <w:rFonts w:asciiTheme="minorHAnsi" w:hAnsiTheme="minorHAnsi" w:cstheme="minorHAnsi"/>
                <w:sz w:val="20"/>
                <w:szCs w:val="20"/>
              </w:rPr>
            </w:pPr>
            <w:r w:rsidRPr="00BA767E">
              <w:rPr>
                <w:rFonts w:asciiTheme="minorHAnsi" w:hAnsiTheme="minorHAnsi" w:cstheme="minorHAnsi"/>
                <w:sz w:val="20"/>
                <w:szCs w:val="20"/>
              </w:rPr>
              <w:t>Wartość średnia temperatury mięknienia  nie może być wyższa niż 70</w:t>
            </w:r>
            <w:r w:rsidRPr="00BA767E">
              <w:rPr>
                <w:rFonts w:asciiTheme="minorHAnsi" w:hAnsiTheme="minorHAnsi" w:cstheme="minorHAnsi"/>
                <w:sz w:val="20"/>
                <w:szCs w:val="20"/>
                <w:vertAlign w:val="superscript"/>
              </w:rPr>
              <w:t>o</w:t>
            </w:r>
            <w:r w:rsidRPr="00BA767E">
              <w:rPr>
                <w:rFonts w:asciiTheme="minorHAnsi" w:hAnsiTheme="minorHAnsi" w:cstheme="minorHAnsi"/>
                <w:sz w:val="20"/>
                <w:szCs w:val="20"/>
              </w:rPr>
              <w:t>C. Pojedyncze  wartości temperatury  mięknienia  nie  mogą  przekraczać 77</w:t>
            </w:r>
            <w:r w:rsidRPr="00BA767E">
              <w:rPr>
                <w:rFonts w:asciiTheme="minorHAnsi" w:hAnsiTheme="minorHAnsi" w:cstheme="minorHAnsi"/>
                <w:sz w:val="20"/>
                <w:szCs w:val="20"/>
                <w:vertAlign w:val="superscript"/>
              </w:rPr>
              <w:t>o</w:t>
            </w:r>
            <w:r w:rsidRPr="00BA767E">
              <w:rPr>
                <w:rFonts w:asciiTheme="minorHAnsi" w:hAnsiTheme="minorHAnsi" w:cstheme="minorHAnsi"/>
                <w:sz w:val="20"/>
                <w:szCs w:val="20"/>
              </w:rPr>
              <w:t>C.</w:t>
            </w:r>
          </w:p>
        </w:tc>
        <w:tc>
          <w:tcPr>
            <w:tcW w:w="1693" w:type="dxa"/>
            <w:vMerge w:val="restart"/>
            <w:vAlign w:val="center"/>
          </w:tcPr>
          <w:p w14:paraId="77D0FDA7" w14:textId="77777777" w:rsidR="00BA767E" w:rsidRPr="00BA767E" w:rsidRDefault="00BA767E" w:rsidP="00BA767E">
            <w:pPr>
              <w:pStyle w:val="Tekstpodstawowy"/>
              <w:spacing w:line="240" w:lineRule="auto"/>
              <w:jc w:val="center"/>
              <w:rPr>
                <w:rFonts w:asciiTheme="minorHAnsi" w:hAnsiTheme="minorHAnsi" w:cstheme="minorHAnsi"/>
                <w:sz w:val="20"/>
                <w:szCs w:val="20"/>
                <w:lang w:val="es-ES"/>
              </w:rPr>
            </w:pPr>
            <w:r w:rsidRPr="00BA767E">
              <w:rPr>
                <w:rFonts w:asciiTheme="minorHAnsi" w:hAnsiTheme="minorHAnsi" w:cstheme="minorHAnsi"/>
                <w:sz w:val="20"/>
                <w:szCs w:val="20"/>
                <w:lang w:val="es-ES"/>
              </w:rPr>
              <w:t xml:space="preserve">PN-EN 13108-8 </w:t>
            </w:r>
          </w:p>
          <w:p w14:paraId="279FE95A" w14:textId="77777777" w:rsidR="00BA767E" w:rsidRPr="00BA767E" w:rsidRDefault="00BA767E" w:rsidP="00BA767E">
            <w:pPr>
              <w:pStyle w:val="Tekstpodstawowy"/>
              <w:spacing w:line="240" w:lineRule="auto"/>
              <w:jc w:val="center"/>
              <w:rPr>
                <w:rFonts w:asciiTheme="minorHAnsi" w:hAnsiTheme="minorHAnsi" w:cstheme="minorHAnsi"/>
                <w:sz w:val="20"/>
                <w:szCs w:val="20"/>
                <w:lang w:val="es-ES"/>
              </w:rPr>
            </w:pPr>
            <w:r w:rsidRPr="00BA767E">
              <w:rPr>
                <w:rFonts w:asciiTheme="minorHAnsi" w:hAnsiTheme="minorHAnsi" w:cstheme="minorHAnsi"/>
                <w:sz w:val="20"/>
                <w:szCs w:val="20"/>
                <w:lang w:val="es-ES"/>
              </w:rPr>
              <w:t xml:space="preserve">pkt. 4.2 </w:t>
            </w:r>
          </w:p>
          <w:p w14:paraId="3CC7FAEF" w14:textId="77777777" w:rsidR="00BA767E" w:rsidRPr="00BA767E" w:rsidRDefault="00BA767E" w:rsidP="00BA767E">
            <w:pPr>
              <w:pStyle w:val="Tekstpodstawowy"/>
              <w:spacing w:line="240" w:lineRule="auto"/>
              <w:jc w:val="center"/>
              <w:rPr>
                <w:rFonts w:asciiTheme="minorHAnsi" w:hAnsiTheme="minorHAnsi" w:cstheme="minorHAnsi"/>
                <w:sz w:val="20"/>
                <w:szCs w:val="20"/>
                <w:lang w:val="es-ES"/>
              </w:rPr>
            </w:pPr>
          </w:p>
          <w:p w14:paraId="5EF28979" w14:textId="77777777" w:rsidR="00BA767E" w:rsidRPr="00BA767E" w:rsidRDefault="00BA767E" w:rsidP="00BA767E">
            <w:pPr>
              <w:pStyle w:val="Tekstpodstawowy"/>
              <w:spacing w:line="240" w:lineRule="auto"/>
              <w:jc w:val="center"/>
              <w:rPr>
                <w:rFonts w:asciiTheme="minorHAnsi" w:hAnsiTheme="minorHAnsi" w:cstheme="minorHAnsi"/>
                <w:sz w:val="20"/>
                <w:szCs w:val="20"/>
                <w:lang w:val="es-ES"/>
              </w:rPr>
            </w:pPr>
            <w:r w:rsidRPr="00BA767E">
              <w:rPr>
                <w:rFonts w:asciiTheme="minorHAnsi" w:hAnsiTheme="minorHAnsi" w:cstheme="minorHAnsi"/>
                <w:sz w:val="20"/>
                <w:szCs w:val="20"/>
                <w:lang w:val="es-ES"/>
              </w:rPr>
              <w:t>PN-EN 13108-</w:t>
            </w:r>
          </w:p>
          <w:p w14:paraId="1990E151" w14:textId="77777777" w:rsidR="00BA767E" w:rsidRPr="00BA767E" w:rsidRDefault="00BA767E" w:rsidP="00BA767E">
            <w:pPr>
              <w:pStyle w:val="Tekstpodstawowy"/>
              <w:spacing w:line="240" w:lineRule="auto"/>
              <w:jc w:val="center"/>
              <w:rPr>
                <w:rFonts w:asciiTheme="minorHAnsi" w:hAnsiTheme="minorHAnsi" w:cstheme="minorHAnsi"/>
                <w:sz w:val="20"/>
                <w:szCs w:val="20"/>
              </w:rPr>
            </w:pPr>
            <w:r w:rsidRPr="00BA767E">
              <w:rPr>
                <w:rFonts w:asciiTheme="minorHAnsi" w:hAnsiTheme="minorHAnsi" w:cstheme="minorHAnsi"/>
                <w:sz w:val="20"/>
                <w:szCs w:val="20"/>
              </w:rPr>
              <w:t>20 Załącznik A</w:t>
            </w:r>
          </w:p>
        </w:tc>
      </w:tr>
      <w:tr w:rsidR="00BA767E" w:rsidRPr="00BA767E" w14:paraId="3B4B15FC" w14:textId="77777777" w:rsidTr="00EA573C">
        <w:trPr>
          <w:jc w:val="center"/>
        </w:trPr>
        <w:tc>
          <w:tcPr>
            <w:tcW w:w="1308" w:type="dxa"/>
            <w:vMerge/>
            <w:vAlign w:val="center"/>
          </w:tcPr>
          <w:p w14:paraId="0E660D99" w14:textId="77777777" w:rsidR="00BA767E" w:rsidRPr="00BA767E" w:rsidRDefault="00BA767E" w:rsidP="00BA767E">
            <w:pPr>
              <w:pStyle w:val="Tekstpodstawowy"/>
              <w:spacing w:line="240" w:lineRule="auto"/>
              <w:jc w:val="center"/>
              <w:rPr>
                <w:rFonts w:asciiTheme="minorHAnsi" w:hAnsiTheme="minorHAnsi" w:cstheme="minorHAnsi"/>
                <w:sz w:val="20"/>
                <w:szCs w:val="20"/>
              </w:rPr>
            </w:pPr>
          </w:p>
        </w:tc>
        <w:tc>
          <w:tcPr>
            <w:tcW w:w="575" w:type="dxa"/>
            <w:vAlign w:val="center"/>
          </w:tcPr>
          <w:p w14:paraId="7C245795" w14:textId="77777777" w:rsidR="00BA767E" w:rsidRPr="00BA767E" w:rsidRDefault="00BA767E" w:rsidP="00BA767E">
            <w:pPr>
              <w:pStyle w:val="Tekstpodstawowy"/>
              <w:spacing w:line="240" w:lineRule="auto"/>
              <w:jc w:val="center"/>
              <w:rPr>
                <w:rFonts w:asciiTheme="minorHAnsi" w:hAnsiTheme="minorHAnsi" w:cstheme="minorHAnsi"/>
                <w:sz w:val="20"/>
                <w:szCs w:val="20"/>
              </w:rPr>
            </w:pPr>
            <w:r w:rsidRPr="00BA767E">
              <w:rPr>
                <w:rFonts w:asciiTheme="minorHAnsi" w:hAnsiTheme="minorHAnsi" w:cstheme="minorHAnsi"/>
                <w:sz w:val="20"/>
                <w:szCs w:val="20"/>
              </w:rPr>
              <w:t>Pen.</w:t>
            </w:r>
          </w:p>
        </w:tc>
        <w:tc>
          <w:tcPr>
            <w:tcW w:w="3828" w:type="dxa"/>
            <w:vAlign w:val="center"/>
          </w:tcPr>
          <w:p w14:paraId="1940E764" w14:textId="77777777" w:rsidR="00BA767E" w:rsidRPr="00BA767E" w:rsidRDefault="00BA767E" w:rsidP="00BA767E">
            <w:pPr>
              <w:pStyle w:val="Tekstpodstawowy"/>
              <w:spacing w:line="240" w:lineRule="auto"/>
              <w:jc w:val="both"/>
              <w:rPr>
                <w:rFonts w:asciiTheme="minorHAnsi" w:hAnsiTheme="minorHAnsi" w:cstheme="minorHAnsi"/>
                <w:sz w:val="20"/>
                <w:szCs w:val="20"/>
              </w:rPr>
            </w:pPr>
            <w:r w:rsidRPr="00BA767E">
              <w:rPr>
                <w:rFonts w:asciiTheme="minorHAnsi" w:hAnsiTheme="minorHAnsi" w:cstheme="minorHAnsi"/>
                <w:sz w:val="20"/>
                <w:szCs w:val="20"/>
              </w:rPr>
              <w:t>Kategoria P</w:t>
            </w:r>
            <w:r w:rsidRPr="00BA767E">
              <w:rPr>
                <w:rFonts w:asciiTheme="minorHAnsi" w:hAnsiTheme="minorHAnsi" w:cstheme="minorHAnsi"/>
                <w:sz w:val="20"/>
                <w:szCs w:val="20"/>
                <w:vertAlign w:val="subscript"/>
              </w:rPr>
              <w:t>15</w:t>
            </w:r>
            <w:r w:rsidRPr="00BA767E">
              <w:rPr>
                <w:rFonts w:asciiTheme="minorHAnsi" w:hAnsiTheme="minorHAnsi" w:cstheme="minorHAnsi"/>
                <w:sz w:val="20"/>
                <w:szCs w:val="20"/>
              </w:rPr>
              <w:t xml:space="preserve">  </w:t>
            </w:r>
          </w:p>
          <w:p w14:paraId="69F9AF55" w14:textId="77777777" w:rsidR="00BA767E" w:rsidRPr="00BA767E" w:rsidRDefault="00BA767E" w:rsidP="00BA767E">
            <w:pPr>
              <w:pStyle w:val="Tekstpodstawowy"/>
              <w:spacing w:line="240" w:lineRule="auto"/>
              <w:jc w:val="both"/>
              <w:rPr>
                <w:rFonts w:asciiTheme="minorHAnsi" w:hAnsiTheme="minorHAnsi" w:cstheme="minorHAnsi"/>
                <w:sz w:val="20"/>
                <w:szCs w:val="20"/>
              </w:rPr>
            </w:pPr>
            <w:r w:rsidRPr="00BA767E">
              <w:rPr>
                <w:rFonts w:asciiTheme="minorHAnsi" w:hAnsiTheme="minorHAnsi" w:cstheme="minorHAnsi"/>
                <w:sz w:val="20"/>
                <w:szCs w:val="20"/>
              </w:rPr>
              <w:t xml:space="preserve">Wartość  średnia  nie  może  być  mniejsza  niż </w:t>
            </w:r>
          </w:p>
          <w:p w14:paraId="2AC83F13" w14:textId="77777777" w:rsidR="00BA767E" w:rsidRPr="00BA767E" w:rsidRDefault="00BA767E" w:rsidP="00BA767E">
            <w:pPr>
              <w:pStyle w:val="Tekstpodstawowy"/>
              <w:spacing w:line="240" w:lineRule="auto"/>
              <w:jc w:val="both"/>
              <w:rPr>
                <w:rFonts w:asciiTheme="minorHAnsi" w:hAnsiTheme="minorHAnsi" w:cstheme="minorHAnsi"/>
                <w:sz w:val="20"/>
                <w:szCs w:val="20"/>
              </w:rPr>
            </w:pPr>
            <w:r w:rsidRPr="00BA767E">
              <w:rPr>
                <w:rFonts w:asciiTheme="minorHAnsi" w:hAnsiTheme="minorHAnsi" w:cstheme="minorHAnsi"/>
                <w:sz w:val="20"/>
                <w:szCs w:val="20"/>
              </w:rPr>
              <w:t xml:space="preserve">15x0,1mm.  Pojedyncze  wartości  penetracji  nie </w:t>
            </w:r>
          </w:p>
          <w:p w14:paraId="5F2884A8" w14:textId="77777777" w:rsidR="00BA767E" w:rsidRPr="00BA767E" w:rsidRDefault="00BA767E" w:rsidP="00BA767E">
            <w:pPr>
              <w:pStyle w:val="Tekstpodstawowy"/>
              <w:spacing w:line="240" w:lineRule="auto"/>
              <w:jc w:val="both"/>
              <w:rPr>
                <w:rFonts w:asciiTheme="minorHAnsi" w:hAnsiTheme="minorHAnsi" w:cstheme="minorHAnsi"/>
                <w:sz w:val="20"/>
                <w:szCs w:val="20"/>
              </w:rPr>
            </w:pPr>
            <w:r w:rsidRPr="00BA767E">
              <w:rPr>
                <w:rFonts w:asciiTheme="minorHAnsi" w:hAnsiTheme="minorHAnsi" w:cstheme="minorHAnsi"/>
                <w:sz w:val="20"/>
                <w:szCs w:val="20"/>
              </w:rPr>
              <w:t>mogą być mniejsze niż 10x0,1mm.</w:t>
            </w:r>
          </w:p>
        </w:tc>
        <w:tc>
          <w:tcPr>
            <w:tcW w:w="1693" w:type="dxa"/>
            <w:vMerge/>
            <w:vAlign w:val="center"/>
          </w:tcPr>
          <w:p w14:paraId="3076092F" w14:textId="77777777" w:rsidR="00BA767E" w:rsidRPr="00BA767E" w:rsidRDefault="00BA767E" w:rsidP="00BA767E">
            <w:pPr>
              <w:pStyle w:val="Tekstpodstawowy"/>
              <w:spacing w:line="240" w:lineRule="auto"/>
              <w:jc w:val="center"/>
              <w:rPr>
                <w:rFonts w:asciiTheme="minorHAnsi" w:hAnsiTheme="minorHAnsi" w:cstheme="minorHAnsi"/>
                <w:sz w:val="20"/>
                <w:szCs w:val="20"/>
              </w:rPr>
            </w:pPr>
          </w:p>
        </w:tc>
      </w:tr>
      <w:tr w:rsidR="00BA767E" w:rsidRPr="00BA767E" w14:paraId="21841587" w14:textId="77777777" w:rsidTr="00EA573C">
        <w:trPr>
          <w:jc w:val="center"/>
        </w:trPr>
        <w:tc>
          <w:tcPr>
            <w:tcW w:w="1883" w:type="dxa"/>
            <w:gridSpan w:val="2"/>
            <w:vAlign w:val="center"/>
          </w:tcPr>
          <w:p w14:paraId="4A972A14" w14:textId="77777777" w:rsidR="00BA767E" w:rsidRPr="00BA767E" w:rsidRDefault="00BA767E" w:rsidP="00BA767E">
            <w:pPr>
              <w:pStyle w:val="Tekstpodstawowy"/>
              <w:spacing w:line="240" w:lineRule="auto"/>
              <w:jc w:val="center"/>
              <w:rPr>
                <w:rFonts w:asciiTheme="minorHAnsi" w:hAnsiTheme="minorHAnsi" w:cstheme="minorHAnsi"/>
                <w:sz w:val="20"/>
                <w:szCs w:val="20"/>
              </w:rPr>
            </w:pPr>
            <w:r w:rsidRPr="00BA767E">
              <w:rPr>
                <w:rFonts w:asciiTheme="minorHAnsi" w:hAnsiTheme="minorHAnsi" w:cstheme="minorHAnsi"/>
                <w:sz w:val="20"/>
                <w:szCs w:val="20"/>
              </w:rPr>
              <w:t xml:space="preserve">Zawartość asfaltu </w:t>
            </w:r>
          </w:p>
          <w:p w14:paraId="243630B0" w14:textId="77777777" w:rsidR="00BA767E" w:rsidRPr="00BA767E" w:rsidRDefault="00BA767E" w:rsidP="00BA767E">
            <w:pPr>
              <w:pStyle w:val="Tekstpodstawowy"/>
              <w:spacing w:line="240" w:lineRule="auto"/>
              <w:jc w:val="center"/>
              <w:rPr>
                <w:rFonts w:asciiTheme="minorHAnsi" w:hAnsiTheme="minorHAnsi" w:cstheme="minorHAnsi"/>
                <w:sz w:val="20"/>
                <w:szCs w:val="20"/>
              </w:rPr>
            </w:pPr>
            <w:r w:rsidRPr="00BA767E">
              <w:rPr>
                <w:rFonts w:asciiTheme="minorHAnsi" w:hAnsiTheme="minorHAnsi" w:cstheme="minorHAnsi"/>
                <w:sz w:val="20"/>
                <w:szCs w:val="20"/>
              </w:rPr>
              <w:t>Uziarnienie kruszywa</w:t>
            </w:r>
          </w:p>
        </w:tc>
        <w:tc>
          <w:tcPr>
            <w:tcW w:w="5521" w:type="dxa"/>
            <w:gridSpan w:val="2"/>
            <w:vAlign w:val="center"/>
          </w:tcPr>
          <w:p w14:paraId="4DF6873C" w14:textId="77777777" w:rsidR="00BA767E" w:rsidRPr="00BA767E" w:rsidRDefault="00BA767E" w:rsidP="00BA767E">
            <w:pPr>
              <w:pStyle w:val="Tekstpodstawowy"/>
              <w:spacing w:line="240" w:lineRule="auto"/>
              <w:jc w:val="center"/>
              <w:rPr>
                <w:rFonts w:asciiTheme="minorHAnsi" w:hAnsiTheme="minorHAnsi" w:cstheme="minorHAnsi"/>
                <w:sz w:val="20"/>
                <w:szCs w:val="20"/>
              </w:rPr>
            </w:pPr>
            <w:r w:rsidRPr="00BA767E">
              <w:rPr>
                <w:rFonts w:asciiTheme="minorHAnsi" w:hAnsiTheme="minorHAnsi" w:cstheme="minorHAnsi"/>
                <w:sz w:val="20"/>
                <w:szCs w:val="20"/>
              </w:rPr>
              <w:t>PN-EN 13108-20 Załącznik A</w:t>
            </w:r>
          </w:p>
          <w:p w14:paraId="05AEE497" w14:textId="77777777" w:rsidR="00BA767E" w:rsidRPr="00BA767E" w:rsidRDefault="00BA767E" w:rsidP="00BA767E">
            <w:pPr>
              <w:pStyle w:val="Tekstpodstawowy"/>
              <w:spacing w:line="240" w:lineRule="auto"/>
              <w:jc w:val="center"/>
              <w:rPr>
                <w:rFonts w:asciiTheme="minorHAnsi" w:hAnsiTheme="minorHAnsi" w:cstheme="minorHAnsi"/>
                <w:sz w:val="20"/>
                <w:szCs w:val="20"/>
              </w:rPr>
            </w:pPr>
            <w:r w:rsidRPr="00BA767E">
              <w:rPr>
                <w:rFonts w:asciiTheme="minorHAnsi" w:hAnsiTheme="minorHAnsi" w:cstheme="minorHAnsi"/>
                <w:sz w:val="20"/>
                <w:szCs w:val="20"/>
              </w:rPr>
              <w:t>Dopuszcza się deklarowanie właściwości kruszywa mineralnego w granulacie  asfaltowym na  podstawie zadeklarowanego, wcześniejszego zastosowania. W przypadku braku możliwości takiego zadeklarowania jakości kruszywa w granulacie, oraz wątpliwości co do właściwości fizycznych lub mechanicznych, należy przeprowadzić badania kruszywa w wymaganym przez Zamawiającego zakresie</w:t>
            </w:r>
          </w:p>
        </w:tc>
      </w:tr>
      <w:tr w:rsidR="00BA767E" w:rsidRPr="00BA767E" w14:paraId="56E04579" w14:textId="77777777" w:rsidTr="00EA573C">
        <w:trPr>
          <w:jc w:val="center"/>
        </w:trPr>
        <w:tc>
          <w:tcPr>
            <w:tcW w:w="7404" w:type="dxa"/>
            <w:gridSpan w:val="4"/>
            <w:vAlign w:val="center"/>
          </w:tcPr>
          <w:p w14:paraId="633A9702" w14:textId="77777777" w:rsidR="00BA767E" w:rsidRPr="00BA767E" w:rsidRDefault="00BA767E" w:rsidP="00262498">
            <w:pPr>
              <w:pStyle w:val="Tekstpodstawowy"/>
              <w:widowControl w:val="0"/>
              <w:numPr>
                <w:ilvl w:val="0"/>
                <w:numId w:val="310"/>
              </w:numPr>
              <w:overflowPunct/>
              <w:adjustRightInd/>
              <w:spacing w:line="240" w:lineRule="auto"/>
              <w:ind w:left="322" w:hanging="322"/>
              <w:textAlignment w:val="auto"/>
              <w:rPr>
                <w:rFonts w:asciiTheme="minorHAnsi" w:hAnsiTheme="minorHAnsi" w:cstheme="minorHAnsi"/>
                <w:sz w:val="20"/>
                <w:szCs w:val="20"/>
              </w:rPr>
            </w:pPr>
            <w:r w:rsidRPr="00BA767E">
              <w:rPr>
                <w:rFonts w:asciiTheme="minorHAnsi" w:hAnsiTheme="minorHAnsi" w:cstheme="minorHAnsi"/>
                <w:sz w:val="20"/>
                <w:szCs w:val="20"/>
              </w:rPr>
              <w:t xml:space="preserve">do  sklasyfikowania  lepiszcza  odzyskanego  w  granulacie  asfaltowym  należy  oznaczyć  następujące właściwości w zależności od wskaźnika BR: </w:t>
            </w:r>
          </w:p>
          <w:p w14:paraId="59C0260E" w14:textId="77777777" w:rsidR="00BA767E" w:rsidRPr="00BA767E" w:rsidRDefault="00BA767E" w:rsidP="00BA767E">
            <w:pPr>
              <w:pStyle w:val="Tekstpodstawowy"/>
              <w:spacing w:line="240" w:lineRule="auto"/>
              <w:rPr>
                <w:rFonts w:asciiTheme="minorHAnsi" w:hAnsiTheme="minorHAnsi" w:cstheme="minorHAnsi"/>
                <w:sz w:val="20"/>
                <w:szCs w:val="20"/>
              </w:rPr>
            </w:pPr>
            <w:r w:rsidRPr="00BA767E">
              <w:rPr>
                <w:rFonts w:asciiTheme="minorHAnsi" w:hAnsiTheme="minorHAnsi" w:cstheme="minorHAnsi"/>
                <w:sz w:val="20"/>
                <w:szCs w:val="20"/>
              </w:rPr>
              <w:t xml:space="preserve">- BR≤15% : temperaturę mięknienia PiK. lub penetrację, </w:t>
            </w:r>
          </w:p>
          <w:p w14:paraId="3B80CA5E" w14:textId="77777777" w:rsidR="00BA767E" w:rsidRPr="00BA767E" w:rsidRDefault="00BA767E" w:rsidP="00BA767E">
            <w:pPr>
              <w:pStyle w:val="Tekstpodstawowy"/>
              <w:spacing w:line="240" w:lineRule="auto"/>
              <w:rPr>
                <w:rFonts w:asciiTheme="minorHAnsi" w:hAnsiTheme="minorHAnsi" w:cstheme="minorHAnsi"/>
                <w:sz w:val="20"/>
                <w:szCs w:val="20"/>
              </w:rPr>
            </w:pPr>
            <w:r w:rsidRPr="00BA767E">
              <w:rPr>
                <w:rFonts w:asciiTheme="minorHAnsi" w:hAnsiTheme="minorHAnsi" w:cstheme="minorHAnsi"/>
                <w:sz w:val="20"/>
                <w:szCs w:val="20"/>
              </w:rPr>
              <w:t>- BR&gt;15% : temperaturę mięknienia PiK. i penetrację.</w:t>
            </w:r>
          </w:p>
        </w:tc>
      </w:tr>
    </w:tbl>
    <w:p w14:paraId="74D61E2D" w14:textId="77777777" w:rsidR="00BA767E" w:rsidRPr="00BA767E" w:rsidRDefault="00BA767E" w:rsidP="00BA767E">
      <w:pPr>
        <w:pStyle w:val="Tekstpodstawowy"/>
        <w:spacing w:line="240" w:lineRule="auto"/>
        <w:jc w:val="both"/>
        <w:rPr>
          <w:rFonts w:asciiTheme="minorHAnsi" w:hAnsiTheme="minorHAnsi" w:cstheme="minorHAnsi"/>
          <w:sz w:val="20"/>
          <w:szCs w:val="20"/>
        </w:rPr>
      </w:pPr>
    </w:p>
    <w:p w14:paraId="5550A1C7" w14:textId="77777777" w:rsidR="00BA767E" w:rsidRPr="00BA767E" w:rsidRDefault="00BA767E" w:rsidP="00BA767E">
      <w:pPr>
        <w:pStyle w:val="Default"/>
        <w:rPr>
          <w:rFonts w:asciiTheme="minorHAnsi" w:hAnsiTheme="minorHAnsi" w:cstheme="minorHAnsi"/>
          <w:color w:val="auto"/>
          <w:sz w:val="20"/>
          <w:szCs w:val="20"/>
        </w:rPr>
      </w:pPr>
      <w:r w:rsidRPr="00BA767E">
        <w:rPr>
          <w:rFonts w:asciiTheme="minorHAnsi" w:hAnsiTheme="minorHAnsi" w:cstheme="minorHAnsi"/>
          <w:color w:val="auto"/>
          <w:sz w:val="20"/>
          <w:szCs w:val="20"/>
        </w:rPr>
        <w:t xml:space="preserve">Właściwości lepiszcza asfaltowego oraz kruszywa, które powstaną z połączenia starych i nowych składników, muszą spełniać wymagania stawiane tym materiałom, ze względu na typ i przeznaczenie mieszanki mineralno-asfaltowej. Wykonawca może deklarować właściwości kruszyw pochodzących z destruktu na podstawie wcześniejszego ich zastosowania w poszczególnych warstwach asfaltowych pod warunkiem akceptacji przez Zamawiającego. W przypadku gdy Wykonawca nie będzie mógł pozyskać dokumentacji lub nie uzyska na ich podstawie akceptacji, potwierdzenie właściwości kruszyw będzie możliwe na podstawie własnych badań kruszyw w zakresie jak niżej: </w:t>
      </w:r>
    </w:p>
    <w:p w14:paraId="115B2BD5" w14:textId="77777777" w:rsidR="00BA767E" w:rsidRPr="00BA767E" w:rsidRDefault="00BA767E" w:rsidP="00BA767E">
      <w:pPr>
        <w:pStyle w:val="Default"/>
        <w:rPr>
          <w:rFonts w:asciiTheme="minorHAnsi" w:hAnsiTheme="minorHAnsi" w:cstheme="minorHAnsi"/>
          <w:color w:val="auto"/>
          <w:sz w:val="20"/>
          <w:szCs w:val="20"/>
        </w:rPr>
      </w:pPr>
      <w:r w:rsidRPr="00BA767E">
        <w:rPr>
          <w:rFonts w:asciiTheme="minorHAnsi" w:hAnsiTheme="minorHAnsi" w:cstheme="minorHAnsi"/>
          <w:color w:val="auto"/>
          <w:sz w:val="20"/>
          <w:szCs w:val="20"/>
        </w:rPr>
        <w:t xml:space="preserve">• </w:t>
      </w:r>
      <w:r w:rsidRPr="00BA767E">
        <w:rPr>
          <w:rFonts w:asciiTheme="minorHAnsi" w:hAnsiTheme="minorHAnsi" w:cstheme="minorHAnsi"/>
          <w:color w:val="auto"/>
          <w:sz w:val="20"/>
          <w:szCs w:val="20"/>
        </w:rPr>
        <w:tab/>
        <w:t xml:space="preserve">mrozoodporność w wodzie (frakcja 4-8 lub 8-16mm), </w:t>
      </w:r>
    </w:p>
    <w:p w14:paraId="71AD4A5D" w14:textId="77777777" w:rsidR="00BA767E" w:rsidRPr="00BA767E" w:rsidRDefault="00BA767E" w:rsidP="00BA767E">
      <w:pPr>
        <w:pStyle w:val="Default"/>
        <w:rPr>
          <w:rFonts w:asciiTheme="minorHAnsi" w:hAnsiTheme="minorHAnsi" w:cstheme="minorHAnsi"/>
          <w:color w:val="auto"/>
          <w:sz w:val="20"/>
          <w:szCs w:val="20"/>
        </w:rPr>
      </w:pPr>
      <w:r w:rsidRPr="00BA767E">
        <w:rPr>
          <w:rFonts w:asciiTheme="minorHAnsi" w:hAnsiTheme="minorHAnsi" w:cstheme="minorHAnsi"/>
          <w:color w:val="auto"/>
          <w:sz w:val="20"/>
          <w:szCs w:val="20"/>
        </w:rPr>
        <w:t xml:space="preserve">• </w:t>
      </w:r>
      <w:r w:rsidRPr="00BA767E">
        <w:rPr>
          <w:rFonts w:asciiTheme="minorHAnsi" w:hAnsiTheme="minorHAnsi" w:cstheme="minorHAnsi"/>
          <w:color w:val="auto"/>
          <w:sz w:val="20"/>
          <w:szCs w:val="20"/>
        </w:rPr>
        <w:tab/>
        <w:t xml:space="preserve">odporność na rozdrabnianie wg normy PN-EN 1097-2 (frakcja 4-8, 8-11 lub 10-14mm), </w:t>
      </w:r>
    </w:p>
    <w:p w14:paraId="200AD6A3" w14:textId="77777777" w:rsidR="00BA767E" w:rsidRPr="00BA767E" w:rsidRDefault="00BA767E" w:rsidP="00BA767E">
      <w:pPr>
        <w:pStyle w:val="Default"/>
        <w:rPr>
          <w:rFonts w:asciiTheme="minorHAnsi" w:hAnsiTheme="minorHAnsi" w:cstheme="minorHAnsi"/>
          <w:color w:val="auto"/>
          <w:sz w:val="20"/>
          <w:szCs w:val="20"/>
        </w:rPr>
      </w:pPr>
      <w:r w:rsidRPr="00BA767E">
        <w:rPr>
          <w:rFonts w:asciiTheme="minorHAnsi" w:hAnsiTheme="minorHAnsi" w:cstheme="minorHAnsi"/>
          <w:color w:val="auto"/>
          <w:sz w:val="20"/>
          <w:szCs w:val="20"/>
        </w:rPr>
        <w:t xml:space="preserve">• </w:t>
      </w:r>
      <w:r w:rsidRPr="00BA767E">
        <w:rPr>
          <w:rFonts w:asciiTheme="minorHAnsi" w:hAnsiTheme="minorHAnsi" w:cstheme="minorHAnsi"/>
          <w:color w:val="auto"/>
          <w:sz w:val="20"/>
          <w:szCs w:val="20"/>
        </w:rPr>
        <w:tab/>
        <w:t xml:space="preserve">grube zanieczyszczenia lekkie wg normy PN-EN 1744-1+A1:2013-05 pkt 14.2, </w:t>
      </w:r>
    </w:p>
    <w:p w14:paraId="5AD8E0A3" w14:textId="77777777" w:rsidR="00BA767E" w:rsidRPr="00BA767E" w:rsidRDefault="00BA767E" w:rsidP="00BA767E">
      <w:pPr>
        <w:pStyle w:val="Default"/>
        <w:ind w:left="705" w:hanging="705"/>
        <w:rPr>
          <w:rFonts w:asciiTheme="minorHAnsi" w:hAnsiTheme="minorHAnsi" w:cstheme="minorHAnsi"/>
          <w:color w:val="auto"/>
          <w:sz w:val="20"/>
          <w:szCs w:val="20"/>
        </w:rPr>
      </w:pPr>
      <w:r w:rsidRPr="00BA767E">
        <w:rPr>
          <w:rFonts w:asciiTheme="minorHAnsi" w:hAnsiTheme="minorHAnsi" w:cstheme="minorHAnsi"/>
          <w:color w:val="auto"/>
          <w:sz w:val="20"/>
          <w:szCs w:val="20"/>
        </w:rPr>
        <w:t xml:space="preserve">• </w:t>
      </w:r>
      <w:r w:rsidRPr="00BA767E">
        <w:rPr>
          <w:rFonts w:asciiTheme="minorHAnsi" w:hAnsiTheme="minorHAnsi" w:cstheme="minorHAnsi"/>
          <w:color w:val="auto"/>
          <w:sz w:val="20"/>
          <w:szCs w:val="20"/>
        </w:rPr>
        <w:tab/>
        <w:t xml:space="preserve">ocena zawartości drobnych cząstek - badanie błękitem metylenowym wg normy PN-EN 933-9 +A1:2013-07, </w:t>
      </w:r>
    </w:p>
    <w:p w14:paraId="4D2EBA9C" w14:textId="77777777" w:rsidR="00BA767E" w:rsidRPr="00BA767E" w:rsidRDefault="00BA767E" w:rsidP="00BA767E">
      <w:pPr>
        <w:pStyle w:val="Default"/>
        <w:ind w:left="705" w:hanging="705"/>
        <w:rPr>
          <w:rFonts w:asciiTheme="minorHAnsi" w:hAnsiTheme="minorHAnsi" w:cstheme="minorHAnsi"/>
          <w:color w:val="auto"/>
          <w:sz w:val="20"/>
          <w:szCs w:val="20"/>
        </w:rPr>
      </w:pPr>
      <w:r w:rsidRPr="00BA767E">
        <w:rPr>
          <w:rFonts w:asciiTheme="minorHAnsi" w:hAnsiTheme="minorHAnsi" w:cstheme="minorHAnsi"/>
          <w:color w:val="auto"/>
          <w:sz w:val="20"/>
          <w:szCs w:val="20"/>
        </w:rPr>
        <w:t xml:space="preserve">• </w:t>
      </w:r>
      <w:r w:rsidRPr="00BA767E">
        <w:rPr>
          <w:rFonts w:asciiTheme="minorHAnsi" w:hAnsiTheme="minorHAnsi" w:cstheme="minorHAnsi"/>
          <w:color w:val="auto"/>
          <w:sz w:val="20"/>
          <w:szCs w:val="20"/>
        </w:rPr>
        <w:tab/>
        <w:t xml:space="preserve">w przypadku granulatu stosowanego do warstw ścieralnych z BA (dla dróg niższych kategorii) wymaga się wykonania badań mrozoodporności w soli na frakcji zgodnie z PN-EN 1367-6. </w:t>
      </w:r>
    </w:p>
    <w:p w14:paraId="14B9D402" w14:textId="77777777" w:rsidR="00BA767E" w:rsidRPr="00BA767E" w:rsidRDefault="00BA767E" w:rsidP="00BA767E">
      <w:pPr>
        <w:pStyle w:val="Default"/>
        <w:rPr>
          <w:rFonts w:asciiTheme="minorHAnsi" w:hAnsiTheme="minorHAnsi" w:cstheme="minorHAnsi"/>
          <w:color w:val="auto"/>
          <w:sz w:val="20"/>
          <w:szCs w:val="20"/>
        </w:rPr>
      </w:pPr>
      <w:r w:rsidRPr="00BA767E">
        <w:rPr>
          <w:rFonts w:asciiTheme="minorHAnsi" w:hAnsiTheme="minorHAnsi" w:cstheme="minorHAnsi"/>
          <w:color w:val="auto"/>
          <w:sz w:val="20"/>
          <w:szCs w:val="20"/>
        </w:rPr>
        <w:t xml:space="preserve">Wyniki badań powinny spełniać wymagania podane w WT-1 (dla każdej w wymienionej frakcji); </w:t>
      </w:r>
    </w:p>
    <w:p w14:paraId="4566C5FD" w14:textId="77777777" w:rsidR="00BA767E" w:rsidRDefault="00BA767E" w:rsidP="00375F64">
      <w:pPr>
        <w:pStyle w:val="Nagwek4"/>
        <w:spacing w:before="0" w:after="0"/>
        <w:rPr>
          <w:rFonts w:ascii="Calibri" w:hAnsi="Calibri" w:cs="Calibri"/>
        </w:rPr>
      </w:pPr>
    </w:p>
    <w:p w14:paraId="5C74C984" w14:textId="77777777" w:rsidR="00BA767E" w:rsidRPr="00BA767E" w:rsidRDefault="00BA767E" w:rsidP="00BA767E"/>
    <w:p w14:paraId="37A026F1" w14:textId="7E0D7EDB" w:rsidR="00375F64" w:rsidRPr="00375F64" w:rsidRDefault="00375F64" w:rsidP="00375F64">
      <w:pPr>
        <w:pStyle w:val="Nagwek4"/>
        <w:spacing w:before="0" w:after="0"/>
        <w:rPr>
          <w:rFonts w:ascii="Calibri" w:hAnsi="Calibri" w:cs="Calibri"/>
        </w:rPr>
      </w:pPr>
      <w:r w:rsidRPr="00375F64">
        <w:rPr>
          <w:rFonts w:ascii="Calibri" w:hAnsi="Calibri" w:cs="Calibri"/>
        </w:rPr>
        <w:t>2.</w:t>
      </w:r>
      <w:r w:rsidR="00113681">
        <w:rPr>
          <w:rFonts w:ascii="Calibri" w:hAnsi="Calibri" w:cs="Calibri"/>
        </w:rPr>
        <w:t>6</w:t>
      </w:r>
      <w:r w:rsidRPr="00375F64">
        <w:rPr>
          <w:rFonts w:ascii="Calibri" w:hAnsi="Calibri" w:cs="Calibri"/>
        </w:rPr>
        <w:t xml:space="preserve"> Wymagania wobec innych</w:t>
      </w:r>
      <w:r w:rsidRPr="00375F64">
        <w:rPr>
          <w:rFonts w:ascii="Calibri" w:hAnsi="Calibri" w:cs="Calibri"/>
          <w:spacing w:val="1"/>
        </w:rPr>
        <w:t xml:space="preserve"> </w:t>
      </w:r>
      <w:r w:rsidRPr="00375F64">
        <w:rPr>
          <w:rFonts w:ascii="Calibri" w:hAnsi="Calibri" w:cs="Calibri"/>
        </w:rPr>
        <w:t>materiałów</w:t>
      </w:r>
    </w:p>
    <w:p w14:paraId="1602B19D" w14:textId="77777777" w:rsidR="00375F64" w:rsidRPr="00375F64" w:rsidRDefault="00375F64" w:rsidP="00375F64">
      <w:pPr>
        <w:pStyle w:val="Tekstpodstawowy"/>
        <w:spacing w:line="240" w:lineRule="auto"/>
        <w:jc w:val="both"/>
        <w:rPr>
          <w:rFonts w:ascii="Calibri" w:hAnsi="Calibri" w:cs="Calibri"/>
          <w:b/>
          <w:sz w:val="20"/>
          <w:szCs w:val="20"/>
        </w:rPr>
      </w:pPr>
    </w:p>
    <w:p w14:paraId="00648125" w14:textId="35CF63E7" w:rsidR="00375F64" w:rsidRPr="00375F64" w:rsidRDefault="00375F64" w:rsidP="00375F64">
      <w:pPr>
        <w:pStyle w:val="Tekstpodstawowy"/>
        <w:spacing w:line="240" w:lineRule="auto"/>
        <w:jc w:val="both"/>
        <w:rPr>
          <w:rFonts w:ascii="Calibri" w:hAnsi="Calibri" w:cs="Calibri"/>
          <w:b/>
          <w:sz w:val="20"/>
          <w:szCs w:val="20"/>
        </w:rPr>
      </w:pPr>
      <w:r w:rsidRPr="00375F64">
        <w:rPr>
          <w:rFonts w:ascii="Calibri" w:hAnsi="Calibri" w:cs="Calibri"/>
          <w:b/>
          <w:sz w:val="20"/>
          <w:szCs w:val="20"/>
        </w:rPr>
        <w:t>2.</w:t>
      </w:r>
      <w:r w:rsidR="00113681">
        <w:rPr>
          <w:rFonts w:ascii="Calibri" w:hAnsi="Calibri" w:cs="Calibri"/>
          <w:b/>
          <w:sz w:val="20"/>
          <w:szCs w:val="20"/>
        </w:rPr>
        <w:t>6</w:t>
      </w:r>
      <w:r w:rsidRPr="00375F64">
        <w:rPr>
          <w:rFonts w:ascii="Calibri" w:hAnsi="Calibri" w:cs="Calibri"/>
          <w:b/>
          <w:sz w:val="20"/>
          <w:szCs w:val="20"/>
        </w:rPr>
        <w:t>.1 Materiały do połączeń</w:t>
      </w:r>
      <w:r w:rsidRPr="00375F64">
        <w:rPr>
          <w:rFonts w:ascii="Calibri" w:hAnsi="Calibri" w:cs="Calibri"/>
          <w:b/>
          <w:spacing w:val="-3"/>
          <w:sz w:val="20"/>
          <w:szCs w:val="20"/>
        </w:rPr>
        <w:t xml:space="preserve"> </w:t>
      </w:r>
      <w:r w:rsidRPr="00375F64">
        <w:rPr>
          <w:rFonts w:ascii="Calibri" w:hAnsi="Calibri" w:cs="Calibri"/>
          <w:b/>
          <w:sz w:val="20"/>
          <w:szCs w:val="20"/>
        </w:rPr>
        <w:t>technologicznych</w:t>
      </w:r>
    </w:p>
    <w:p w14:paraId="0D822D2B" w14:textId="77777777" w:rsidR="00B16BD8" w:rsidRPr="00A23FB4" w:rsidRDefault="00B16BD8" w:rsidP="00B16BD8">
      <w:pPr>
        <w:rPr>
          <w:rFonts w:ascii="Calibri" w:hAnsi="Calibri" w:cs="Calibri"/>
        </w:rPr>
      </w:pPr>
      <w:r w:rsidRPr="00A23FB4">
        <w:rPr>
          <w:rFonts w:ascii="Calibri" w:hAnsi="Calibri" w:cs="Calibri"/>
        </w:rPr>
        <w:t>Do uszczelnienia połączeń technologicznych (tj. złączy podłużnych i poprzecznych z tego samego materiału wykonywanego w różnym czasie oraz spoin stanowiących połączenia różnych materiałów lub połączenie warstwy asfaltowej z urządzeniami obcymi w nawierzchni lub ją ograniczającymi, należy stosować:</w:t>
      </w:r>
    </w:p>
    <w:p w14:paraId="5E3EF721" w14:textId="3FD6EDF6" w:rsidR="00B16BD8" w:rsidRDefault="00B16BD8" w:rsidP="00262498">
      <w:pPr>
        <w:numPr>
          <w:ilvl w:val="0"/>
          <w:numId w:val="28"/>
        </w:numPr>
        <w:tabs>
          <w:tab w:val="left" w:pos="680"/>
        </w:tabs>
        <w:suppressAutoHyphens/>
        <w:autoSpaceDN/>
        <w:adjustRightInd/>
        <w:rPr>
          <w:rFonts w:ascii="Calibri" w:hAnsi="Calibri" w:cs="Calibri"/>
        </w:rPr>
      </w:pPr>
      <w:r w:rsidRPr="00A23FB4">
        <w:rPr>
          <w:rFonts w:ascii="Calibri" w:hAnsi="Calibri" w:cs="Calibri"/>
        </w:rPr>
        <w:t>emulsję asfaltową według PN-EN 13808</w:t>
      </w:r>
      <w:r>
        <w:rPr>
          <w:rFonts w:ascii="Calibri" w:hAnsi="Calibri" w:cs="Calibri"/>
        </w:rPr>
        <w:t>,</w:t>
      </w:r>
    </w:p>
    <w:p w14:paraId="560B76E7" w14:textId="051A70C3" w:rsidR="00B16BD8" w:rsidRPr="00A23FB4" w:rsidRDefault="00B16BD8" w:rsidP="00262498">
      <w:pPr>
        <w:numPr>
          <w:ilvl w:val="0"/>
          <w:numId w:val="28"/>
        </w:numPr>
        <w:tabs>
          <w:tab w:val="left" w:pos="680"/>
        </w:tabs>
        <w:suppressAutoHyphens/>
        <w:autoSpaceDN/>
        <w:adjustRightInd/>
        <w:rPr>
          <w:rFonts w:ascii="Calibri" w:hAnsi="Calibri" w:cs="Calibri"/>
        </w:rPr>
      </w:pPr>
      <w:r w:rsidRPr="00375F64">
        <w:rPr>
          <w:rFonts w:ascii="Calibri" w:hAnsi="Calibri" w:cs="Calibri"/>
        </w:rPr>
        <w:t>asfalt drogowy wg PN-EN 12591</w:t>
      </w:r>
      <w:r w:rsidRPr="00A23FB4">
        <w:rPr>
          <w:rFonts w:ascii="Calibri" w:hAnsi="Calibri" w:cs="Calibri"/>
        </w:rPr>
        <w:t xml:space="preserve"> lub inne lepiszcza według norm lub aprobat technicznych</w:t>
      </w:r>
      <w:r>
        <w:rPr>
          <w:rFonts w:ascii="Calibri" w:hAnsi="Calibri" w:cs="Calibri"/>
        </w:rPr>
        <w:t>.</w:t>
      </w:r>
    </w:p>
    <w:p w14:paraId="692A8106" w14:textId="77777777" w:rsidR="00375F64" w:rsidRPr="00375F64" w:rsidRDefault="00375F64" w:rsidP="00375F64">
      <w:pPr>
        <w:pStyle w:val="Tekstpodstawowy"/>
        <w:spacing w:line="240" w:lineRule="auto"/>
        <w:jc w:val="both"/>
        <w:rPr>
          <w:rFonts w:ascii="Calibri" w:hAnsi="Calibri" w:cs="Calibri"/>
          <w:sz w:val="20"/>
          <w:szCs w:val="20"/>
        </w:rPr>
      </w:pPr>
      <w:r w:rsidRPr="00375F64">
        <w:rPr>
          <w:rFonts w:ascii="Calibri" w:hAnsi="Calibri" w:cs="Calibri"/>
          <w:sz w:val="20"/>
          <w:szCs w:val="20"/>
        </w:rPr>
        <w:t>Do uszczelnienia krawędzi należy stosować asfalt drogowy wg PN-EN 12591, asfalt modyfikowany polimerami wg PN-EN 14023, asfalty wielorodzajowe wg PN-EN 13924-2 „metodą na gorąco”. Dopuszcza się inne rodzaje lepiszcza wg norm lub aprobat technicznych. Składowanie materiałów termoplastycznych dozwolone jest tylko w oryginalnych opakowaniach producenta, w warunkach określonych w aprobacie technicznej.</w:t>
      </w:r>
    </w:p>
    <w:p w14:paraId="1EA4A650" w14:textId="77777777" w:rsidR="00375F64" w:rsidRPr="00375F64" w:rsidRDefault="00375F64" w:rsidP="00375F64">
      <w:pPr>
        <w:pStyle w:val="Tekstpodstawowy"/>
        <w:spacing w:line="240" w:lineRule="auto"/>
        <w:jc w:val="both"/>
        <w:rPr>
          <w:rFonts w:ascii="Calibri" w:hAnsi="Calibri" w:cs="Calibri"/>
          <w:sz w:val="20"/>
          <w:szCs w:val="20"/>
        </w:rPr>
      </w:pPr>
      <w:r w:rsidRPr="00375F64">
        <w:rPr>
          <w:rFonts w:ascii="Calibri" w:hAnsi="Calibri" w:cs="Calibri"/>
          <w:sz w:val="20"/>
          <w:szCs w:val="20"/>
        </w:rPr>
        <w:t>Dopuszczone jest zastosowanie materiałów do uszczelnień połączeń i krawędzi w postaci taśm bitumicznych na podstawie rekomendacji z badań laboratoryjnych pod warunkiem zachowania wymaganej grubości i wyskości spoimy. Dopuszczone jest zastosowanie polimerowych, tiksotropowych, bezrozpuszczalnikowych emulsji asfaltowych o wysokiej lepkości w postaci pasty do uszczelnień krawędzi pod warunkiem zachowania wymaganej grubości i wysokości spoiny. W celu dokładnej i jednorodnej aplikacji wymaga się zastosowania specjalistycznych układarek.</w:t>
      </w:r>
    </w:p>
    <w:p w14:paraId="2D8D0A74" w14:textId="77777777" w:rsidR="00375F64" w:rsidRPr="00375F64" w:rsidRDefault="00375F64" w:rsidP="00375F64">
      <w:pPr>
        <w:pStyle w:val="Tekstpodstawowy"/>
        <w:spacing w:line="240" w:lineRule="auto"/>
        <w:jc w:val="both"/>
        <w:rPr>
          <w:rFonts w:ascii="Calibri" w:hAnsi="Calibri" w:cs="Calibri"/>
          <w:sz w:val="20"/>
          <w:szCs w:val="20"/>
        </w:rPr>
      </w:pPr>
    </w:p>
    <w:p w14:paraId="16D6D13F" w14:textId="4153EAC2" w:rsidR="00375F64" w:rsidRPr="00375F64" w:rsidRDefault="00375F64" w:rsidP="00375F64">
      <w:pPr>
        <w:pStyle w:val="Tekstpodstawowy"/>
        <w:spacing w:line="240" w:lineRule="auto"/>
        <w:jc w:val="both"/>
        <w:rPr>
          <w:rFonts w:ascii="Calibri" w:hAnsi="Calibri" w:cs="Calibri"/>
          <w:b/>
          <w:sz w:val="20"/>
          <w:szCs w:val="20"/>
        </w:rPr>
      </w:pPr>
      <w:r w:rsidRPr="00375F64">
        <w:rPr>
          <w:rFonts w:ascii="Calibri" w:hAnsi="Calibri" w:cs="Calibri"/>
          <w:b/>
          <w:sz w:val="20"/>
          <w:szCs w:val="20"/>
        </w:rPr>
        <w:t>2.</w:t>
      </w:r>
      <w:r w:rsidR="00113681">
        <w:rPr>
          <w:rFonts w:ascii="Calibri" w:hAnsi="Calibri" w:cs="Calibri"/>
          <w:b/>
          <w:sz w:val="20"/>
          <w:szCs w:val="20"/>
        </w:rPr>
        <w:t>6</w:t>
      </w:r>
      <w:r w:rsidRPr="00375F64">
        <w:rPr>
          <w:rFonts w:ascii="Calibri" w:hAnsi="Calibri" w:cs="Calibri"/>
          <w:b/>
          <w:sz w:val="20"/>
          <w:szCs w:val="20"/>
        </w:rPr>
        <w:t>.2 Lepiszcze do skropienia podłoża</w:t>
      </w:r>
    </w:p>
    <w:p w14:paraId="4A260DD7" w14:textId="77777777" w:rsidR="00375F64" w:rsidRPr="00375F64" w:rsidRDefault="00375F64" w:rsidP="00375F64">
      <w:pPr>
        <w:pStyle w:val="Tekstpodstawowy"/>
        <w:spacing w:line="240" w:lineRule="auto"/>
        <w:jc w:val="both"/>
        <w:rPr>
          <w:rFonts w:ascii="Calibri" w:hAnsi="Calibri" w:cs="Calibri"/>
          <w:sz w:val="20"/>
          <w:szCs w:val="20"/>
        </w:rPr>
      </w:pPr>
      <w:r w:rsidRPr="00375F64">
        <w:rPr>
          <w:rFonts w:ascii="Calibri" w:hAnsi="Calibri" w:cs="Calibri"/>
          <w:sz w:val="20"/>
          <w:szCs w:val="20"/>
        </w:rPr>
        <w:t>Lepiszcze do skropienia podłoża powinno spełniać wymagania podane w ST D-04.03.01</w:t>
      </w:r>
    </w:p>
    <w:p w14:paraId="30EDD489" w14:textId="08311D65" w:rsidR="00375F64" w:rsidRPr="00375F64" w:rsidRDefault="00375F64" w:rsidP="00375F64">
      <w:pPr>
        <w:pStyle w:val="Nagwek4"/>
        <w:spacing w:before="0" w:after="0"/>
        <w:rPr>
          <w:rFonts w:ascii="Calibri" w:hAnsi="Calibri" w:cs="Calibri"/>
        </w:rPr>
      </w:pPr>
      <w:r w:rsidRPr="00375F64">
        <w:rPr>
          <w:rFonts w:ascii="Calibri" w:hAnsi="Calibri" w:cs="Calibri"/>
        </w:rPr>
        <w:t>2.</w:t>
      </w:r>
      <w:r w:rsidR="00113681">
        <w:rPr>
          <w:rFonts w:ascii="Calibri" w:hAnsi="Calibri" w:cs="Calibri"/>
        </w:rPr>
        <w:t>7</w:t>
      </w:r>
      <w:r w:rsidRPr="00375F64">
        <w:rPr>
          <w:rFonts w:ascii="Calibri" w:hAnsi="Calibri" w:cs="Calibri"/>
        </w:rPr>
        <w:t xml:space="preserve"> Dostawy materiałów</w:t>
      </w:r>
    </w:p>
    <w:p w14:paraId="2EFF6709" w14:textId="77777777" w:rsidR="00375F64" w:rsidRPr="00375F64" w:rsidRDefault="00375F64" w:rsidP="00375F64">
      <w:pPr>
        <w:pStyle w:val="Tekstpodstawowy"/>
        <w:spacing w:line="240" w:lineRule="auto"/>
        <w:jc w:val="both"/>
        <w:rPr>
          <w:rFonts w:ascii="Calibri" w:hAnsi="Calibri" w:cs="Calibri"/>
          <w:sz w:val="20"/>
          <w:szCs w:val="20"/>
        </w:rPr>
      </w:pPr>
      <w:r w:rsidRPr="00375F64">
        <w:rPr>
          <w:rFonts w:ascii="Calibri" w:hAnsi="Calibri" w:cs="Calibri"/>
          <w:sz w:val="20"/>
          <w:szCs w:val="20"/>
        </w:rPr>
        <w:t>Za dostawy materiałów odpowiedzialny jest Wykonawca robot zgodnie z ustaleniami określonymi w DM.00.00.00 „Wymagania</w:t>
      </w:r>
      <w:r w:rsidRPr="00375F64">
        <w:rPr>
          <w:rFonts w:ascii="Calibri" w:hAnsi="Calibri" w:cs="Calibri"/>
          <w:spacing w:val="-2"/>
          <w:sz w:val="20"/>
          <w:szCs w:val="20"/>
        </w:rPr>
        <w:t xml:space="preserve"> </w:t>
      </w:r>
      <w:r w:rsidRPr="00375F64">
        <w:rPr>
          <w:rFonts w:ascii="Calibri" w:hAnsi="Calibri" w:cs="Calibri"/>
          <w:sz w:val="20"/>
          <w:szCs w:val="20"/>
        </w:rPr>
        <w:t>ogólne”.</w:t>
      </w:r>
    </w:p>
    <w:p w14:paraId="172080E4" w14:textId="77777777" w:rsidR="00375F64" w:rsidRPr="00375F64" w:rsidRDefault="00375F64" w:rsidP="00375F64">
      <w:pPr>
        <w:pStyle w:val="Tekstpodstawowy"/>
        <w:spacing w:line="240" w:lineRule="auto"/>
        <w:jc w:val="both"/>
        <w:rPr>
          <w:rFonts w:ascii="Calibri" w:hAnsi="Calibri" w:cs="Calibri"/>
          <w:sz w:val="20"/>
          <w:szCs w:val="20"/>
        </w:rPr>
      </w:pPr>
      <w:r w:rsidRPr="00375F64">
        <w:rPr>
          <w:rFonts w:ascii="Calibri" w:hAnsi="Calibri" w:cs="Calibri"/>
          <w:sz w:val="20"/>
          <w:szCs w:val="20"/>
        </w:rPr>
        <w:t>Do obowiązku Wykonawcy należy takie zorganizowanie dostaw materiałów do wytwarzania MMA, aby zapewnić nieprzerwaną pracę otaczarki w trakcie wykonywania dziennej działki roboczej. Jakość każdej dostawy kruszywa i wypełniacza musi być potwierdzona deklaracją producenta (oznakowanie</w:t>
      </w:r>
      <w:r w:rsidRPr="00375F64">
        <w:rPr>
          <w:rFonts w:ascii="Calibri" w:hAnsi="Calibri" w:cs="Calibri"/>
          <w:spacing w:val="-3"/>
          <w:sz w:val="20"/>
          <w:szCs w:val="20"/>
        </w:rPr>
        <w:t xml:space="preserve"> </w:t>
      </w:r>
      <w:r w:rsidRPr="00375F64">
        <w:rPr>
          <w:rFonts w:ascii="Calibri" w:hAnsi="Calibri" w:cs="Calibri"/>
          <w:sz w:val="20"/>
          <w:szCs w:val="20"/>
        </w:rPr>
        <w:t>CE).</w:t>
      </w:r>
    </w:p>
    <w:p w14:paraId="54FD5C48" w14:textId="77777777" w:rsidR="00375F64" w:rsidRPr="00375F64" w:rsidRDefault="00375F64" w:rsidP="00375F64">
      <w:pPr>
        <w:pStyle w:val="Tekstpodstawowy"/>
        <w:spacing w:line="240" w:lineRule="auto"/>
        <w:jc w:val="both"/>
        <w:rPr>
          <w:rFonts w:ascii="Calibri" w:hAnsi="Calibri" w:cs="Calibri"/>
          <w:sz w:val="20"/>
          <w:szCs w:val="20"/>
        </w:rPr>
      </w:pPr>
    </w:p>
    <w:p w14:paraId="60280311" w14:textId="67A260AC" w:rsidR="00375F64" w:rsidRPr="00375F64" w:rsidRDefault="00375F64" w:rsidP="00375F64">
      <w:pPr>
        <w:pStyle w:val="Nagwek4"/>
        <w:spacing w:before="0" w:after="0"/>
        <w:rPr>
          <w:rFonts w:ascii="Calibri" w:hAnsi="Calibri" w:cs="Calibri"/>
        </w:rPr>
      </w:pPr>
      <w:r w:rsidRPr="00375F64">
        <w:rPr>
          <w:rFonts w:ascii="Calibri" w:hAnsi="Calibri" w:cs="Calibri"/>
        </w:rPr>
        <w:t>2.</w:t>
      </w:r>
      <w:r w:rsidR="00113681">
        <w:rPr>
          <w:rFonts w:ascii="Calibri" w:hAnsi="Calibri" w:cs="Calibri"/>
        </w:rPr>
        <w:t>8</w:t>
      </w:r>
      <w:r w:rsidRPr="00375F64">
        <w:rPr>
          <w:rFonts w:ascii="Calibri" w:hAnsi="Calibri" w:cs="Calibri"/>
        </w:rPr>
        <w:t xml:space="preserve"> Składowanie materiałów</w:t>
      </w:r>
    </w:p>
    <w:p w14:paraId="01E8F76B" w14:textId="186EC614" w:rsidR="00375F64" w:rsidRPr="00375F64" w:rsidRDefault="00375F64" w:rsidP="00375F64">
      <w:pPr>
        <w:pStyle w:val="Tekstpodstawowy"/>
        <w:spacing w:line="240" w:lineRule="auto"/>
        <w:jc w:val="both"/>
        <w:rPr>
          <w:rFonts w:ascii="Calibri" w:hAnsi="Calibri" w:cs="Calibri"/>
          <w:b/>
          <w:sz w:val="20"/>
          <w:szCs w:val="20"/>
        </w:rPr>
      </w:pPr>
      <w:r w:rsidRPr="00375F64">
        <w:rPr>
          <w:rFonts w:ascii="Calibri" w:hAnsi="Calibri" w:cs="Calibri"/>
          <w:b/>
          <w:sz w:val="20"/>
          <w:szCs w:val="20"/>
        </w:rPr>
        <w:t>2.</w:t>
      </w:r>
      <w:r w:rsidR="00113681">
        <w:rPr>
          <w:rFonts w:ascii="Calibri" w:hAnsi="Calibri" w:cs="Calibri"/>
          <w:b/>
          <w:sz w:val="20"/>
          <w:szCs w:val="20"/>
        </w:rPr>
        <w:t>8</w:t>
      </w:r>
      <w:r w:rsidRPr="00375F64">
        <w:rPr>
          <w:rFonts w:ascii="Calibri" w:hAnsi="Calibri" w:cs="Calibri"/>
          <w:b/>
          <w:sz w:val="20"/>
          <w:szCs w:val="20"/>
        </w:rPr>
        <w:t>.1 Składowanie</w:t>
      </w:r>
      <w:r w:rsidRPr="00375F64">
        <w:rPr>
          <w:rFonts w:ascii="Calibri" w:hAnsi="Calibri" w:cs="Calibri"/>
          <w:b/>
          <w:spacing w:val="-2"/>
          <w:sz w:val="20"/>
          <w:szCs w:val="20"/>
        </w:rPr>
        <w:t xml:space="preserve"> </w:t>
      </w:r>
      <w:r w:rsidRPr="00375F64">
        <w:rPr>
          <w:rFonts w:ascii="Calibri" w:hAnsi="Calibri" w:cs="Calibri"/>
          <w:b/>
          <w:sz w:val="20"/>
          <w:szCs w:val="20"/>
        </w:rPr>
        <w:t>kruszywa</w:t>
      </w:r>
    </w:p>
    <w:p w14:paraId="61687CBD" w14:textId="77777777" w:rsidR="00375F64" w:rsidRPr="00375F64" w:rsidRDefault="00375F64" w:rsidP="00375F64">
      <w:pPr>
        <w:pStyle w:val="Tekstpodstawowy"/>
        <w:spacing w:line="240" w:lineRule="auto"/>
        <w:jc w:val="both"/>
        <w:rPr>
          <w:rFonts w:ascii="Calibri" w:hAnsi="Calibri" w:cs="Calibri"/>
          <w:sz w:val="20"/>
          <w:szCs w:val="20"/>
        </w:rPr>
      </w:pPr>
      <w:r w:rsidRPr="00375F64">
        <w:rPr>
          <w:rFonts w:ascii="Calibri" w:hAnsi="Calibri" w:cs="Calibri"/>
          <w:sz w:val="20"/>
          <w:szCs w:val="20"/>
        </w:rPr>
        <w:t>Składowanie kruszywa powinno odbywać się w warunkach zabezpieczających je przed zanieczyszczeniem i zmieszaniem z innymi rodzajami lub frakcjami kruszywa.</w:t>
      </w:r>
    </w:p>
    <w:p w14:paraId="008659B3" w14:textId="778152E5" w:rsidR="00375F64" w:rsidRPr="00375F64" w:rsidRDefault="00375F64" w:rsidP="00375F64">
      <w:pPr>
        <w:pStyle w:val="Tekstpodstawowy"/>
        <w:spacing w:line="240" w:lineRule="auto"/>
        <w:jc w:val="both"/>
        <w:rPr>
          <w:rFonts w:ascii="Calibri" w:hAnsi="Calibri" w:cs="Calibri"/>
          <w:b/>
          <w:sz w:val="20"/>
          <w:szCs w:val="20"/>
        </w:rPr>
      </w:pPr>
      <w:r w:rsidRPr="00375F64">
        <w:rPr>
          <w:rFonts w:ascii="Calibri" w:hAnsi="Calibri" w:cs="Calibri"/>
          <w:b/>
          <w:sz w:val="20"/>
          <w:szCs w:val="20"/>
        </w:rPr>
        <w:t>2.</w:t>
      </w:r>
      <w:r w:rsidR="00113681">
        <w:rPr>
          <w:rFonts w:ascii="Calibri" w:hAnsi="Calibri" w:cs="Calibri"/>
          <w:b/>
          <w:sz w:val="20"/>
          <w:szCs w:val="20"/>
        </w:rPr>
        <w:t>8</w:t>
      </w:r>
      <w:r w:rsidRPr="00375F64">
        <w:rPr>
          <w:rFonts w:ascii="Calibri" w:hAnsi="Calibri" w:cs="Calibri"/>
          <w:b/>
          <w:sz w:val="20"/>
          <w:szCs w:val="20"/>
        </w:rPr>
        <w:t>.2 Składowanie wypełniacza</w:t>
      </w:r>
    </w:p>
    <w:p w14:paraId="3D2BD5E2" w14:textId="77777777" w:rsidR="00375F64" w:rsidRPr="00375F64" w:rsidRDefault="00375F64" w:rsidP="00375F64">
      <w:pPr>
        <w:pStyle w:val="Tekstpodstawowy"/>
        <w:spacing w:line="240" w:lineRule="auto"/>
        <w:jc w:val="both"/>
        <w:rPr>
          <w:rFonts w:ascii="Calibri" w:hAnsi="Calibri" w:cs="Calibri"/>
          <w:sz w:val="20"/>
          <w:szCs w:val="20"/>
        </w:rPr>
      </w:pPr>
      <w:r w:rsidRPr="00375F64">
        <w:rPr>
          <w:rFonts w:ascii="Calibri" w:hAnsi="Calibri" w:cs="Calibri"/>
          <w:sz w:val="20"/>
          <w:szCs w:val="20"/>
        </w:rPr>
        <w:t>Wypełniacz należy składować w silosach wyposażonych w urządzenia do aeracji.</w:t>
      </w:r>
    </w:p>
    <w:p w14:paraId="55B91F3C" w14:textId="7EB3346F" w:rsidR="00375F64" w:rsidRPr="00375F64" w:rsidRDefault="00375F64" w:rsidP="00375F64">
      <w:pPr>
        <w:pStyle w:val="Tekstpodstawowy"/>
        <w:spacing w:line="240" w:lineRule="auto"/>
        <w:jc w:val="both"/>
        <w:rPr>
          <w:rFonts w:ascii="Calibri" w:hAnsi="Calibri" w:cs="Calibri"/>
          <w:b/>
          <w:sz w:val="20"/>
          <w:szCs w:val="20"/>
        </w:rPr>
      </w:pPr>
      <w:r w:rsidRPr="00375F64">
        <w:rPr>
          <w:rFonts w:ascii="Calibri" w:hAnsi="Calibri" w:cs="Calibri"/>
          <w:b/>
          <w:sz w:val="20"/>
          <w:szCs w:val="20"/>
        </w:rPr>
        <w:t>2.</w:t>
      </w:r>
      <w:r w:rsidR="00113681">
        <w:rPr>
          <w:rFonts w:ascii="Calibri" w:hAnsi="Calibri" w:cs="Calibri"/>
          <w:b/>
          <w:sz w:val="20"/>
          <w:szCs w:val="20"/>
        </w:rPr>
        <w:t>8</w:t>
      </w:r>
      <w:r w:rsidRPr="00375F64">
        <w:rPr>
          <w:rFonts w:ascii="Calibri" w:hAnsi="Calibri" w:cs="Calibri"/>
          <w:b/>
          <w:sz w:val="20"/>
          <w:szCs w:val="20"/>
        </w:rPr>
        <w:t>.3 Składowanie asfaltu</w:t>
      </w:r>
    </w:p>
    <w:p w14:paraId="39F027D3" w14:textId="77777777" w:rsidR="00375F64" w:rsidRPr="00375F64" w:rsidRDefault="00375F64" w:rsidP="00375F64">
      <w:pPr>
        <w:pStyle w:val="Tekstpodstawowy"/>
        <w:spacing w:line="240" w:lineRule="auto"/>
        <w:jc w:val="both"/>
        <w:rPr>
          <w:rFonts w:ascii="Calibri" w:hAnsi="Calibri" w:cs="Calibri"/>
          <w:sz w:val="20"/>
          <w:szCs w:val="20"/>
        </w:rPr>
      </w:pPr>
      <w:r w:rsidRPr="00375F64">
        <w:rPr>
          <w:rFonts w:ascii="Calibri" w:hAnsi="Calibri" w:cs="Calibri"/>
          <w:sz w:val="20"/>
          <w:szCs w:val="20"/>
        </w:rPr>
        <w:t>Lepiszcze asfaltowe należy przechowywać zgodnie z zasadami podanymi w pkt. 8.3 WT-2 Nawierzchnie Asfaltowe 2014. Maksymalne temperatury składowania asfaltu powinny być zgodne z wymaganiami podanymi w tablicy 41. Temperatury składowania asfaltów modyfikowanych powinny być zgodne z zaleceniami</w:t>
      </w:r>
      <w:r w:rsidRPr="00375F64">
        <w:rPr>
          <w:rFonts w:ascii="Calibri" w:hAnsi="Calibri" w:cs="Calibri"/>
          <w:spacing w:val="62"/>
          <w:sz w:val="20"/>
          <w:szCs w:val="20"/>
        </w:rPr>
        <w:t xml:space="preserve"> </w:t>
      </w:r>
      <w:r w:rsidRPr="00375F64">
        <w:rPr>
          <w:rFonts w:ascii="Calibri" w:hAnsi="Calibri" w:cs="Calibri"/>
          <w:sz w:val="20"/>
          <w:szCs w:val="20"/>
        </w:rPr>
        <w:t>producenta.</w:t>
      </w:r>
    </w:p>
    <w:p w14:paraId="4D349A20" w14:textId="6D5C6E22" w:rsidR="00375F64" w:rsidRPr="00375F64" w:rsidRDefault="00375F64" w:rsidP="00375F64">
      <w:pPr>
        <w:pStyle w:val="Tekstpodstawowy"/>
        <w:spacing w:line="240" w:lineRule="auto"/>
        <w:jc w:val="both"/>
        <w:rPr>
          <w:rFonts w:ascii="Calibri" w:hAnsi="Calibri" w:cs="Calibri"/>
          <w:b/>
          <w:sz w:val="20"/>
          <w:szCs w:val="20"/>
        </w:rPr>
      </w:pPr>
      <w:r w:rsidRPr="00375F64">
        <w:rPr>
          <w:rFonts w:ascii="Calibri" w:hAnsi="Calibri" w:cs="Calibri"/>
          <w:b/>
          <w:sz w:val="20"/>
          <w:szCs w:val="20"/>
        </w:rPr>
        <w:t>2.</w:t>
      </w:r>
      <w:r w:rsidR="00113681">
        <w:rPr>
          <w:rFonts w:ascii="Calibri" w:hAnsi="Calibri" w:cs="Calibri"/>
          <w:b/>
          <w:sz w:val="20"/>
          <w:szCs w:val="20"/>
        </w:rPr>
        <w:t>8</w:t>
      </w:r>
      <w:r w:rsidRPr="00375F64">
        <w:rPr>
          <w:rFonts w:ascii="Calibri" w:hAnsi="Calibri" w:cs="Calibri"/>
          <w:b/>
          <w:sz w:val="20"/>
          <w:szCs w:val="20"/>
        </w:rPr>
        <w:t>.4 Składowanie środka</w:t>
      </w:r>
      <w:r w:rsidRPr="00375F64">
        <w:rPr>
          <w:rFonts w:ascii="Calibri" w:hAnsi="Calibri" w:cs="Calibri"/>
          <w:b/>
          <w:spacing w:val="-1"/>
          <w:sz w:val="20"/>
          <w:szCs w:val="20"/>
        </w:rPr>
        <w:t xml:space="preserve"> </w:t>
      </w:r>
      <w:r w:rsidRPr="00375F64">
        <w:rPr>
          <w:rFonts w:ascii="Calibri" w:hAnsi="Calibri" w:cs="Calibri"/>
          <w:b/>
          <w:sz w:val="20"/>
          <w:szCs w:val="20"/>
        </w:rPr>
        <w:t>adhezyjnego</w:t>
      </w:r>
    </w:p>
    <w:p w14:paraId="76099A9C" w14:textId="77777777" w:rsidR="00375F64" w:rsidRPr="004E54A4" w:rsidRDefault="00375F64" w:rsidP="00375F64">
      <w:pPr>
        <w:pStyle w:val="Tekstpodstawowy"/>
        <w:spacing w:line="240" w:lineRule="auto"/>
        <w:jc w:val="both"/>
        <w:rPr>
          <w:rFonts w:cstheme="minorHAnsi"/>
        </w:rPr>
      </w:pPr>
      <w:r w:rsidRPr="00375F64">
        <w:rPr>
          <w:rFonts w:ascii="Calibri" w:hAnsi="Calibri" w:cs="Calibri"/>
          <w:sz w:val="20"/>
          <w:szCs w:val="20"/>
        </w:rPr>
        <w:t>Składowanie środka adhezyjnego jest dozwolone tylko w oryginalnych opakowaniach producenta w warunkach podanych w Aprobacie Technicznej lub zgodnie z zaleceniami producenta</w:t>
      </w:r>
      <w:r w:rsidRPr="004E54A4">
        <w:rPr>
          <w:rFonts w:cstheme="minorHAnsi"/>
        </w:rPr>
        <w:t>.</w:t>
      </w:r>
    </w:p>
    <w:p w14:paraId="719B1B51" w14:textId="77777777" w:rsidR="00E00D25" w:rsidRPr="00FD657F" w:rsidRDefault="00E00D25" w:rsidP="00E00D25">
      <w:pPr>
        <w:rPr>
          <w:rFonts w:ascii="Calibri" w:hAnsi="Calibri" w:cs="Calibri"/>
          <w:b/>
          <w:sz w:val="22"/>
          <w:szCs w:val="22"/>
        </w:rPr>
      </w:pPr>
    </w:p>
    <w:p w14:paraId="6673E823" w14:textId="77777777" w:rsidR="00E00D25" w:rsidRPr="00FD657F" w:rsidRDefault="00E00D25" w:rsidP="00E00D25">
      <w:pPr>
        <w:rPr>
          <w:rFonts w:ascii="Calibri" w:hAnsi="Calibri" w:cs="Calibri"/>
          <w:b/>
          <w:sz w:val="22"/>
          <w:szCs w:val="22"/>
        </w:rPr>
      </w:pPr>
      <w:r w:rsidRPr="00FD657F">
        <w:rPr>
          <w:rFonts w:ascii="Calibri" w:hAnsi="Calibri" w:cs="Calibri"/>
          <w:b/>
          <w:sz w:val="22"/>
          <w:szCs w:val="22"/>
        </w:rPr>
        <w:t>3. SPRZĘT</w:t>
      </w:r>
    </w:p>
    <w:p w14:paraId="079D6E58" w14:textId="77777777" w:rsidR="00E00D25" w:rsidRPr="00FD657F" w:rsidRDefault="00E00D25" w:rsidP="00E00D25">
      <w:pPr>
        <w:pStyle w:val="Nagwek4"/>
        <w:tabs>
          <w:tab w:val="left" w:pos="9914"/>
        </w:tabs>
        <w:rPr>
          <w:rFonts w:ascii="Calibri" w:hAnsi="Calibri" w:cs="Calibri"/>
          <w:sz w:val="22"/>
          <w:szCs w:val="22"/>
        </w:rPr>
      </w:pPr>
      <w:r w:rsidRPr="00FD657F">
        <w:rPr>
          <w:rFonts w:ascii="Calibri" w:hAnsi="Calibri" w:cs="Calibri"/>
          <w:sz w:val="22"/>
          <w:szCs w:val="22"/>
        </w:rPr>
        <w:t>3.1. Ogólne wymagania dotyczące sprzętu</w:t>
      </w:r>
    </w:p>
    <w:p w14:paraId="3D9EE176" w14:textId="1B5355AC" w:rsidR="00E00D25" w:rsidRPr="00FD657F" w:rsidRDefault="00E00D25" w:rsidP="00E00D25">
      <w:pPr>
        <w:numPr>
          <w:ilvl w:val="12"/>
          <w:numId w:val="0"/>
        </w:numPr>
        <w:tabs>
          <w:tab w:val="left" w:pos="9914"/>
        </w:tabs>
        <w:rPr>
          <w:rFonts w:ascii="Calibri" w:hAnsi="Calibri" w:cs="Calibri"/>
          <w:sz w:val="22"/>
          <w:szCs w:val="22"/>
        </w:rPr>
      </w:pPr>
      <w:r w:rsidRPr="00FD657F">
        <w:rPr>
          <w:rFonts w:ascii="Calibri" w:hAnsi="Calibri" w:cs="Calibri"/>
          <w:sz w:val="22"/>
          <w:szCs w:val="22"/>
        </w:rPr>
        <w:t xml:space="preserve">Ogólne wymagania dotyczące sprzętu podano w </w:t>
      </w:r>
      <w:r w:rsidR="003D1D4D">
        <w:rPr>
          <w:rFonts w:ascii="Calibri" w:hAnsi="Calibri" w:cs="Calibri"/>
          <w:sz w:val="22"/>
          <w:szCs w:val="22"/>
        </w:rPr>
        <w:t>ST</w:t>
      </w:r>
      <w:r w:rsidRPr="00FD657F">
        <w:rPr>
          <w:rFonts w:ascii="Calibri" w:hAnsi="Calibri" w:cs="Calibri"/>
          <w:sz w:val="22"/>
          <w:szCs w:val="22"/>
        </w:rPr>
        <w:t>WiORB  D-M-00.00.00 „Wymagania ogólne” pkt 3.</w:t>
      </w:r>
    </w:p>
    <w:p w14:paraId="133C4E40" w14:textId="77777777" w:rsidR="00E00D25" w:rsidRPr="00FD657F" w:rsidRDefault="00E00D25" w:rsidP="00E00D25">
      <w:pPr>
        <w:pStyle w:val="Nagwek4"/>
        <w:tabs>
          <w:tab w:val="left" w:pos="9914"/>
        </w:tabs>
        <w:rPr>
          <w:rFonts w:ascii="Calibri" w:hAnsi="Calibri" w:cs="Calibri"/>
          <w:sz w:val="22"/>
          <w:szCs w:val="22"/>
        </w:rPr>
      </w:pPr>
      <w:r w:rsidRPr="00FD657F">
        <w:rPr>
          <w:rFonts w:ascii="Calibri" w:hAnsi="Calibri" w:cs="Calibri"/>
          <w:sz w:val="22"/>
          <w:szCs w:val="22"/>
        </w:rPr>
        <w:t>3.2. Sprzęt stosowany do wykonania robót</w:t>
      </w:r>
    </w:p>
    <w:p w14:paraId="0B92B3B0" w14:textId="77777777" w:rsidR="00E00D25" w:rsidRPr="00FD657F" w:rsidRDefault="00E00D25" w:rsidP="00E00D25">
      <w:pPr>
        <w:tabs>
          <w:tab w:val="left" w:pos="9914"/>
        </w:tabs>
        <w:rPr>
          <w:rFonts w:ascii="Calibri" w:hAnsi="Calibri" w:cs="Calibri"/>
          <w:sz w:val="22"/>
          <w:szCs w:val="22"/>
        </w:rPr>
      </w:pPr>
      <w:r w:rsidRPr="00FD657F">
        <w:rPr>
          <w:rFonts w:ascii="Calibri" w:hAnsi="Calibri" w:cs="Calibri"/>
          <w:sz w:val="22"/>
          <w:szCs w:val="22"/>
        </w:rPr>
        <w:t>Przy wykonywaniu robót Wykonawca w zależności od potrzeb, powinien wykazać się możliwością korzystania ze sprzętu dostosowanego do przyjętej metody robót, jak:</w:t>
      </w:r>
    </w:p>
    <w:p w14:paraId="1CA5B2CC" w14:textId="77777777" w:rsidR="00375F64" w:rsidRDefault="00E00D25" w:rsidP="00262498">
      <w:pPr>
        <w:pStyle w:val="Akapitzlist"/>
        <w:numPr>
          <w:ilvl w:val="0"/>
          <w:numId w:val="245"/>
        </w:numPr>
        <w:tabs>
          <w:tab w:val="left" w:pos="9914"/>
        </w:tabs>
        <w:rPr>
          <w:rFonts w:ascii="Calibri" w:hAnsi="Calibri" w:cs="Calibri"/>
          <w:sz w:val="22"/>
          <w:szCs w:val="22"/>
        </w:rPr>
      </w:pPr>
      <w:r w:rsidRPr="00375F64">
        <w:rPr>
          <w:rFonts w:ascii="Calibri" w:hAnsi="Calibri" w:cs="Calibri"/>
          <w:sz w:val="22"/>
          <w:szCs w:val="22"/>
        </w:rPr>
        <w:t xml:space="preserve">wytwórnia (otaczarka) o mieszaniu cyklicznym lub ciągłym, z automatycznym komputerowym sterowaniem produkcji, do wytwarzania mieszanek mineralno-asfaltowych, </w:t>
      </w:r>
    </w:p>
    <w:p w14:paraId="5F22A74F" w14:textId="77777777" w:rsidR="00375F64" w:rsidRDefault="00E00D25" w:rsidP="00262498">
      <w:pPr>
        <w:pStyle w:val="Akapitzlist"/>
        <w:numPr>
          <w:ilvl w:val="0"/>
          <w:numId w:val="245"/>
        </w:numPr>
        <w:tabs>
          <w:tab w:val="left" w:pos="9914"/>
        </w:tabs>
        <w:rPr>
          <w:rFonts w:ascii="Calibri" w:hAnsi="Calibri" w:cs="Calibri"/>
          <w:sz w:val="22"/>
          <w:szCs w:val="22"/>
        </w:rPr>
      </w:pPr>
      <w:r w:rsidRPr="00375F64">
        <w:rPr>
          <w:rFonts w:ascii="Calibri" w:hAnsi="Calibri" w:cs="Calibri"/>
          <w:sz w:val="22"/>
          <w:szCs w:val="22"/>
        </w:rPr>
        <w:t>układarka gąsienicowa, z elektronicznym sterowaniem równości układanej warstwy,</w:t>
      </w:r>
    </w:p>
    <w:p w14:paraId="2E45388E" w14:textId="77777777" w:rsidR="00375F64" w:rsidRDefault="00E00D25" w:rsidP="00262498">
      <w:pPr>
        <w:pStyle w:val="Akapitzlist"/>
        <w:numPr>
          <w:ilvl w:val="0"/>
          <w:numId w:val="245"/>
        </w:numPr>
        <w:tabs>
          <w:tab w:val="left" w:pos="9914"/>
        </w:tabs>
        <w:rPr>
          <w:rFonts w:ascii="Calibri" w:hAnsi="Calibri" w:cs="Calibri"/>
          <w:sz w:val="22"/>
          <w:szCs w:val="22"/>
        </w:rPr>
      </w:pPr>
      <w:r w:rsidRPr="00375F64">
        <w:rPr>
          <w:rFonts w:ascii="Calibri" w:hAnsi="Calibri" w:cs="Calibri"/>
          <w:sz w:val="22"/>
          <w:szCs w:val="22"/>
        </w:rPr>
        <w:t>skrapiarka,</w:t>
      </w:r>
    </w:p>
    <w:p w14:paraId="7E5E1BF4" w14:textId="77777777" w:rsidR="00375F64" w:rsidRDefault="00E00D25" w:rsidP="00262498">
      <w:pPr>
        <w:pStyle w:val="Akapitzlist"/>
        <w:numPr>
          <w:ilvl w:val="0"/>
          <w:numId w:val="245"/>
        </w:numPr>
        <w:tabs>
          <w:tab w:val="left" w:pos="9914"/>
        </w:tabs>
        <w:rPr>
          <w:rFonts w:ascii="Calibri" w:hAnsi="Calibri" w:cs="Calibri"/>
          <w:sz w:val="22"/>
          <w:szCs w:val="22"/>
        </w:rPr>
      </w:pPr>
      <w:r w:rsidRPr="00375F64">
        <w:rPr>
          <w:rFonts w:ascii="Calibri" w:hAnsi="Calibri" w:cs="Calibri"/>
          <w:sz w:val="22"/>
          <w:szCs w:val="22"/>
        </w:rPr>
        <w:t xml:space="preserve">walce stalowe gładkie, </w:t>
      </w:r>
    </w:p>
    <w:p w14:paraId="65DA5926" w14:textId="77777777" w:rsidR="00375F64" w:rsidRDefault="00E00D25" w:rsidP="00262498">
      <w:pPr>
        <w:pStyle w:val="Akapitzlist"/>
        <w:numPr>
          <w:ilvl w:val="0"/>
          <w:numId w:val="245"/>
        </w:numPr>
        <w:tabs>
          <w:tab w:val="left" w:pos="9914"/>
        </w:tabs>
        <w:rPr>
          <w:rFonts w:ascii="Calibri" w:hAnsi="Calibri" w:cs="Calibri"/>
          <w:sz w:val="22"/>
          <w:szCs w:val="22"/>
        </w:rPr>
      </w:pPr>
      <w:r w:rsidRPr="00375F64">
        <w:rPr>
          <w:rFonts w:ascii="Calibri" w:hAnsi="Calibri" w:cs="Calibri"/>
          <w:sz w:val="22"/>
          <w:szCs w:val="22"/>
        </w:rPr>
        <w:t>walce ogumione</w:t>
      </w:r>
    </w:p>
    <w:p w14:paraId="7938E231" w14:textId="77777777" w:rsidR="00375F64" w:rsidRDefault="00E00D25" w:rsidP="00262498">
      <w:pPr>
        <w:pStyle w:val="Akapitzlist"/>
        <w:numPr>
          <w:ilvl w:val="0"/>
          <w:numId w:val="245"/>
        </w:numPr>
        <w:tabs>
          <w:tab w:val="left" w:pos="9914"/>
        </w:tabs>
        <w:rPr>
          <w:rFonts w:ascii="Calibri" w:hAnsi="Calibri" w:cs="Calibri"/>
          <w:sz w:val="22"/>
          <w:szCs w:val="22"/>
        </w:rPr>
      </w:pPr>
      <w:r w:rsidRPr="00375F64">
        <w:rPr>
          <w:rFonts w:ascii="Calibri" w:hAnsi="Calibri" w:cs="Calibri"/>
          <w:sz w:val="22"/>
          <w:szCs w:val="22"/>
        </w:rPr>
        <w:t>szczotki mechaniczne i/lub inne urządzenia czyszczące,</w:t>
      </w:r>
    </w:p>
    <w:p w14:paraId="74FA35E3" w14:textId="77777777" w:rsidR="00375F64" w:rsidRDefault="00E00D25" w:rsidP="00262498">
      <w:pPr>
        <w:pStyle w:val="Akapitzlist"/>
        <w:numPr>
          <w:ilvl w:val="0"/>
          <w:numId w:val="245"/>
        </w:numPr>
        <w:tabs>
          <w:tab w:val="left" w:pos="9914"/>
        </w:tabs>
        <w:rPr>
          <w:rFonts w:ascii="Calibri" w:hAnsi="Calibri" w:cs="Calibri"/>
          <w:sz w:val="22"/>
          <w:szCs w:val="22"/>
        </w:rPr>
      </w:pPr>
      <w:r w:rsidRPr="00375F64">
        <w:rPr>
          <w:rFonts w:ascii="Calibri" w:hAnsi="Calibri" w:cs="Calibri"/>
          <w:sz w:val="22"/>
          <w:szCs w:val="22"/>
        </w:rPr>
        <w:t>samochody samowyładowcze z przykryciem brezentowym lub termosami,</w:t>
      </w:r>
    </w:p>
    <w:p w14:paraId="6ACA5C8C" w14:textId="0A9443D0" w:rsidR="00E00D25" w:rsidRPr="00375F64" w:rsidRDefault="00E00D25" w:rsidP="00262498">
      <w:pPr>
        <w:pStyle w:val="Akapitzlist"/>
        <w:numPr>
          <w:ilvl w:val="0"/>
          <w:numId w:val="245"/>
        </w:numPr>
        <w:tabs>
          <w:tab w:val="left" w:pos="9914"/>
        </w:tabs>
        <w:rPr>
          <w:rFonts w:ascii="Calibri" w:hAnsi="Calibri" w:cs="Calibri"/>
          <w:sz w:val="22"/>
          <w:szCs w:val="22"/>
        </w:rPr>
      </w:pPr>
      <w:r w:rsidRPr="00375F64">
        <w:rPr>
          <w:rFonts w:ascii="Calibri" w:hAnsi="Calibri" w:cs="Calibri"/>
          <w:sz w:val="22"/>
          <w:szCs w:val="22"/>
        </w:rPr>
        <w:t>sprzęt drobny.</w:t>
      </w:r>
    </w:p>
    <w:p w14:paraId="704D5035" w14:textId="77777777" w:rsidR="00E00D25" w:rsidRPr="00FD657F" w:rsidRDefault="00E00D25" w:rsidP="00E00D25">
      <w:pPr>
        <w:rPr>
          <w:rFonts w:ascii="Calibri" w:hAnsi="Calibri" w:cs="Calibri"/>
          <w:b/>
          <w:sz w:val="22"/>
          <w:szCs w:val="22"/>
        </w:rPr>
      </w:pPr>
    </w:p>
    <w:p w14:paraId="610AEA14" w14:textId="77777777" w:rsidR="00E00D25" w:rsidRPr="00FD657F" w:rsidRDefault="00E00D25" w:rsidP="00E00D25">
      <w:pPr>
        <w:rPr>
          <w:rFonts w:ascii="Calibri" w:hAnsi="Calibri" w:cs="Calibri"/>
          <w:b/>
          <w:sz w:val="22"/>
          <w:szCs w:val="22"/>
        </w:rPr>
      </w:pPr>
    </w:p>
    <w:p w14:paraId="7AC2DF99" w14:textId="77777777" w:rsidR="00E00D25" w:rsidRPr="00FD657F" w:rsidRDefault="00E00D25" w:rsidP="00E00D25">
      <w:pPr>
        <w:rPr>
          <w:rFonts w:ascii="Calibri" w:hAnsi="Calibri" w:cs="Calibri"/>
          <w:b/>
          <w:sz w:val="22"/>
          <w:szCs w:val="22"/>
        </w:rPr>
      </w:pPr>
      <w:r w:rsidRPr="00FD657F">
        <w:rPr>
          <w:rFonts w:ascii="Calibri" w:hAnsi="Calibri" w:cs="Calibri"/>
          <w:b/>
          <w:sz w:val="22"/>
          <w:szCs w:val="22"/>
        </w:rPr>
        <w:t>4. TRANSPORT</w:t>
      </w:r>
    </w:p>
    <w:p w14:paraId="2108E4B9" w14:textId="77777777" w:rsidR="00E00D25" w:rsidRPr="00FD657F" w:rsidRDefault="00E00D25" w:rsidP="00E00D25">
      <w:pPr>
        <w:pStyle w:val="Nagwek4"/>
        <w:tabs>
          <w:tab w:val="left" w:pos="9914"/>
        </w:tabs>
        <w:rPr>
          <w:rFonts w:ascii="Calibri" w:hAnsi="Calibri" w:cs="Calibri"/>
          <w:sz w:val="22"/>
          <w:szCs w:val="22"/>
        </w:rPr>
      </w:pPr>
      <w:r w:rsidRPr="00FD657F">
        <w:rPr>
          <w:rFonts w:ascii="Calibri" w:hAnsi="Calibri" w:cs="Calibri"/>
          <w:sz w:val="22"/>
          <w:szCs w:val="22"/>
        </w:rPr>
        <w:t>4.1. Ogólne wymagania dotyczące transportu</w:t>
      </w:r>
    </w:p>
    <w:p w14:paraId="6D3B55A9" w14:textId="57DF4229" w:rsidR="00E00D25" w:rsidRPr="00FD657F" w:rsidRDefault="00E00D25" w:rsidP="00E00D25">
      <w:pPr>
        <w:numPr>
          <w:ilvl w:val="12"/>
          <w:numId w:val="0"/>
        </w:numPr>
        <w:tabs>
          <w:tab w:val="left" w:pos="9914"/>
        </w:tabs>
        <w:rPr>
          <w:rFonts w:ascii="Calibri" w:hAnsi="Calibri" w:cs="Calibri"/>
          <w:sz w:val="22"/>
          <w:szCs w:val="22"/>
        </w:rPr>
      </w:pPr>
      <w:r w:rsidRPr="00FD657F">
        <w:rPr>
          <w:rFonts w:ascii="Calibri" w:hAnsi="Calibri" w:cs="Calibri"/>
          <w:sz w:val="22"/>
          <w:szCs w:val="22"/>
        </w:rPr>
        <w:t xml:space="preserve">Ogólne wymagania dotyczące transportu podano w </w:t>
      </w:r>
      <w:r w:rsidR="003D1D4D">
        <w:rPr>
          <w:rFonts w:ascii="Calibri" w:hAnsi="Calibri" w:cs="Calibri"/>
          <w:sz w:val="22"/>
          <w:szCs w:val="22"/>
        </w:rPr>
        <w:t>ST</w:t>
      </w:r>
      <w:r w:rsidRPr="00FD657F">
        <w:rPr>
          <w:rFonts w:ascii="Calibri" w:hAnsi="Calibri" w:cs="Calibri"/>
          <w:sz w:val="22"/>
          <w:szCs w:val="22"/>
        </w:rPr>
        <w:t>WiORB D-M-00.00.00 „Wymagania ogólne” pkt 4.</w:t>
      </w:r>
      <w:r w:rsidRPr="00FD657F">
        <w:rPr>
          <w:rFonts w:ascii="Calibri" w:hAnsi="Calibri" w:cs="Calibri"/>
          <w:sz w:val="22"/>
          <w:szCs w:val="22"/>
        </w:rPr>
        <w:tab/>
      </w:r>
    </w:p>
    <w:p w14:paraId="1852270A" w14:textId="77777777" w:rsidR="00E00D25" w:rsidRPr="00FD657F" w:rsidRDefault="00E00D25" w:rsidP="00E00D25">
      <w:pPr>
        <w:pStyle w:val="Nagwek4"/>
        <w:tabs>
          <w:tab w:val="left" w:pos="9914"/>
        </w:tabs>
        <w:rPr>
          <w:rFonts w:ascii="Calibri" w:hAnsi="Calibri" w:cs="Calibri"/>
          <w:sz w:val="22"/>
          <w:szCs w:val="22"/>
        </w:rPr>
      </w:pPr>
      <w:r w:rsidRPr="00FD657F">
        <w:rPr>
          <w:rFonts w:ascii="Calibri" w:hAnsi="Calibri" w:cs="Calibri"/>
          <w:sz w:val="22"/>
          <w:szCs w:val="22"/>
        </w:rPr>
        <w:t xml:space="preserve">4.2. Transport materiałów </w:t>
      </w:r>
    </w:p>
    <w:p w14:paraId="22B05AD0" w14:textId="77777777" w:rsidR="00E00D25" w:rsidRPr="00FD657F" w:rsidRDefault="00E00D25" w:rsidP="00E00D25">
      <w:pPr>
        <w:tabs>
          <w:tab w:val="left" w:pos="9914"/>
        </w:tabs>
        <w:rPr>
          <w:rFonts w:ascii="Calibri" w:hAnsi="Calibri" w:cs="Calibri"/>
          <w:sz w:val="22"/>
          <w:szCs w:val="22"/>
        </w:rPr>
      </w:pPr>
      <w:r w:rsidRPr="00FD657F">
        <w:rPr>
          <w:rFonts w:ascii="Calibri" w:hAnsi="Calibri" w:cs="Calibri"/>
          <w:sz w:val="22"/>
          <w:szCs w:val="22"/>
        </w:rPr>
        <w:t>Asfalt należy przewozić w cysternach kolejowych lub samochodach izolowanych i zaopatrzonych w urządzenia umożliwiające pośrednie ogrzewanie oraz w zawory spustowe.</w:t>
      </w:r>
    </w:p>
    <w:p w14:paraId="6298AF88" w14:textId="77777777" w:rsidR="00E00D25" w:rsidRPr="00FD657F" w:rsidRDefault="00E00D25" w:rsidP="00E00D25">
      <w:pPr>
        <w:tabs>
          <w:tab w:val="left" w:pos="9914"/>
        </w:tabs>
        <w:rPr>
          <w:rFonts w:ascii="Calibri" w:hAnsi="Calibri" w:cs="Calibri"/>
          <w:sz w:val="22"/>
          <w:szCs w:val="22"/>
        </w:rPr>
      </w:pPr>
      <w:r w:rsidRPr="00FD657F">
        <w:rPr>
          <w:rFonts w:ascii="Calibri" w:hAnsi="Calibri" w:cs="Calibri"/>
          <w:sz w:val="22"/>
          <w:szCs w:val="22"/>
        </w:rPr>
        <w:t>Kruszywa można przewozić dowolnymi środkami transportu, w warunkach zabezpieczających je przed zanieczyszczeniem, zmieszaniem z innymi materiałami i nadmiernym zawilgoceniem.</w:t>
      </w:r>
    </w:p>
    <w:p w14:paraId="1692E9AC" w14:textId="77777777" w:rsidR="00E00D25" w:rsidRPr="00FD657F" w:rsidRDefault="00E00D25" w:rsidP="00E00D25">
      <w:pPr>
        <w:tabs>
          <w:tab w:val="left" w:pos="9914"/>
        </w:tabs>
        <w:rPr>
          <w:rFonts w:ascii="Calibri" w:hAnsi="Calibri" w:cs="Calibri"/>
          <w:sz w:val="22"/>
          <w:szCs w:val="22"/>
        </w:rPr>
      </w:pPr>
      <w:r w:rsidRPr="00FD657F">
        <w:rPr>
          <w:rFonts w:ascii="Calibri" w:hAnsi="Calibri" w:cs="Calibri"/>
          <w:sz w:val="22"/>
          <w:szCs w:val="22"/>
        </w:rPr>
        <w:t>Wypełniacz należy przewozić w sposób chroniący go przed zawilgoceniem, zbryleniem i zanieczyszczeniem. Wypełniacz luzem powinien być przewożony w odpowiednich cysternach przystosowanych do przewozu materiałów sypkich, umożliwiających rozładunek pneumatyczny.</w:t>
      </w:r>
    </w:p>
    <w:p w14:paraId="1D1B293A" w14:textId="77777777" w:rsidR="00E00D25" w:rsidRPr="00FD657F" w:rsidRDefault="00E00D25" w:rsidP="00E00D25">
      <w:pPr>
        <w:tabs>
          <w:tab w:val="left" w:pos="9914"/>
        </w:tabs>
        <w:rPr>
          <w:rFonts w:ascii="Calibri" w:hAnsi="Calibri" w:cs="Calibri"/>
          <w:sz w:val="22"/>
          <w:szCs w:val="22"/>
        </w:rPr>
      </w:pPr>
      <w:r w:rsidRPr="00FD657F">
        <w:rPr>
          <w:rFonts w:ascii="Calibri" w:hAnsi="Calibri" w:cs="Calibri"/>
          <w:sz w:val="22"/>
          <w:szCs w:val="22"/>
        </w:rPr>
        <w:t>Emulsja asfaltowa może być transportowana w zamkniętych cysternach, autocysternach, beczkach i innych opakowaniach pod warunkiem, że nie będą korodowały pod wpływem emulsji i nie będą powodowały jej rozpadu. Cysterny powinny być wyposażone w przegrody. Nie należy używać do transportu opakowań z metali lekkich (może zachodzić wydzielanie wodoru i groźba wybuchu przy emulsjach o pH ≤ 4).</w:t>
      </w:r>
    </w:p>
    <w:p w14:paraId="36096353" w14:textId="77777777" w:rsidR="00E00D25" w:rsidRPr="00FD657F" w:rsidRDefault="00E00D25" w:rsidP="00E00D25">
      <w:pPr>
        <w:tabs>
          <w:tab w:val="left" w:pos="9914"/>
        </w:tabs>
        <w:rPr>
          <w:rFonts w:ascii="Calibri" w:hAnsi="Calibri" w:cs="Calibri"/>
          <w:sz w:val="22"/>
          <w:szCs w:val="22"/>
        </w:rPr>
      </w:pPr>
      <w:r w:rsidRPr="00FD657F">
        <w:rPr>
          <w:rFonts w:ascii="Calibri" w:hAnsi="Calibri" w:cs="Calibri"/>
          <w:sz w:val="22"/>
          <w:szCs w:val="22"/>
        </w:rPr>
        <w:t>Mieszankę mineralno-asfaltową należy  dowozić na budowę pojazdami samowyładowczymi w zależności od postępu robót. Podczas transportu i postoju przed wbudowaniem mieszanka powinna być zabezpieczona przed ostygnięciem i dopływem powietrza (przez przykrycie, pojemniki termoizolacyjne lub ogrzewane itp.). Warunki i czas transportu mieszanki, od produkcji do wbudowania, powinna zapewniać utrzymanie temperatury w wymaganym przedziale. Powierzchnie pojemników używanych do transportu mieszanki powinny być czyste, a do zwilżania tych powierzchni można używać tylko środki antyadhezyjne niewpływające szkodliwie na mieszankę.</w:t>
      </w:r>
    </w:p>
    <w:p w14:paraId="2134250C" w14:textId="77777777" w:rsidR="00E00D25" w:rsidRPr="00FD657F" w:rsidRDefault="00E00D25" w:rsidP="00E00D25">
      <w:pPr>
        <w:rPr>
          <w:rFonts w:ascii="Calibri" w:hAnsi="Calibri" w:cs="Calibri"/>
          <w:b/>
          <w:sz w:val="22"/>
          <w:szCs w:val="22"/>
        </w:rPr>
      </w:pPr>
    </w:p>
    <w:p w14:paraId="687DF22F" w14:textId="77777777" w:rsidR="00E00D25" w:rsidRPr="00FD657F" w:rsidRDefault="00E00D25" w:rsidP="00E00D25">
      <w:pPr>
        <w:rPr>
          <w:rFonts w:ascii="Calibri" w:hAnsi="Calibri" w:cs="Calibri"/>
          <w:b/>
          <w:sz w:val="22"/>
          <w:szCs w:val="22"/>
        </w:rPr>
      </w:pPr>
      <w:r w:rsidRPr="00FD657F">
        <w:rPr>
          <w:rFonts w:ascii="Calibri" w:hAnsi="Calibri" w:cs="Calibri"/>
          <w:b/>
          <w:sz w:val="22"/>
          <w:szCs w:val="22"/>
        </w:rPr>
        <w:t>5. WYKONANIE ROBÓT</w:t>
      </w:r>
    </w:p>
    <w:p w14:paraId="42C0D116" w14:textId="77777777" w:rsidR="00E00D25" w:rsidRPr="00FD657F" w:rsidRDefault="00E00D25" w:rsidP="00E00D25">
      <w:pPr>
        <w:pStyle w:val="Nagwek4"/>
        <w:tabs>
          <w:tab w:val="left" w:pos="9914"/>
        </w:tabs>
        <w:rPr>
          <w:rFonts w:ascii="Calibri" w:hAnsi="Calibri" w:cs="Calibri"/>
          <w:sz w:val="22"/>
          <w:szCs w:val="22"/>
        </w:rPr>
      </w:pPr>
      <w:r w:rsidRPr="00FD657F">
        <w:rPr>
          <w:rFonts w:ascii="Calibri" w:hAnsi="Calibri" w:cs="Calibri"/>
          <w:sz w:val="22"/>
          <w:szCs w:val="22"/>
        </w:rPr>
        <w:t>5.1. Ogólne zasady wykonania robót</w:t>
      </w:r>
    </w:p>
    <w:p w14:paraId="7A2214ED" w14:textId="68F88C0F" w:rsidR="00E00D25" w:rsidRPr="00FD657F" w:rsidRDefault="00E00D25" w:rsidP="00E00D25">
      <w:pPr>
        <w:numPr>
          <w:ilvl w:val="12"/>
          <w:numId w:val="0"/>
        </w:numPr>
        <w:tabs>
          <w:tab w:val="left" w:pos="9914"/>
        </w:tabs>
        <w:rPr>
          <w:rFonts w:ascii="Calibri" w:hAnsi="Calibri" w:cs="Calibri"/>
          <w:sz w:val="22"/>
          <w:szCs w:val="22"/>
        </w:rPr>
      </w:pPr>
      <w:r w:rsidRPr="00FD657F">
        <w:rPr>
          <w:rFonts w:ascii="Calibri" w:hAnsi="Calibri" w:cs="Calibri"/>
          <w:sz w:val="22"/>
          <w:szCs w:val="22"/>
        </w:rPr>
        <w:t xml:space="preserve">Ogólne zasady wykonania robót podano w </w:t>
      </w:r>
      <w:r w:rsidR="003D1D4D">
        <w:rPr>
          <w:rFonts w:ascii="Calibri" w:hAnsi="Calibri" w:cs="Calibri"/>
          <w:sz w:val="22"/>
          <w:szCs w:val="22"/>
        </w:rPr>
        <w:t>ST</w:t>
      </w:r>
      <w:r w:rsidRPr="00FD657F">
        <w:rPr>
          <w:rFonts w:ascii="Calibri" w:hAnsi="Calibri" w:cs="Calibri"/>
          <w:sz w:val="22"/>
          <w:szCs w:val="22"/>
        </w:rPr>
        <w:t>WiORB D-M-00.00.00 „Wymagania ogólne” pkt 5.</w:t>
      </w:r>
    </w:p>
    <w:p w14:paraId="0889C36F" w14:textId="77777777" w:rsidR="00E00D25" w:rsidRPr="00FD657F" w:rsidRDefault="00E00D25" w:rsidP="00E00D25">
      <w:pPr>
        <w:pStyle w:val="podpkt11"/>
        <w:rPr>
          <w:rFonts w:ascii="Calibri" w:hAnsi="Calibri" w:cs="Calibri"/>
          <w:sz w:val="22"/>
          <w:szCs w:val="22"/>
        </w:rPr>
      </w:pPr>
    </w:p>
    <w:p w14:paraId="511B522B" w14:textId="56A56DE9" w:rsidR="00375F64" w:rsidRPr="00375F64" w:rsidRDefault="00375F64" w:rsidP="00375F64">
      <w:pPr>
        <w:pStyle w:val="Nagwek4"/>
        <w:spacing w:before="0" w:after="0"/>
        <w:rPr>
          <w:rFonts w:asciiTheme="minorHAnsi" w:hAnsiTheme="minorHAnsi" w:cstheme="minorHAnsi"/>
        </w:rPr>
      </w:pPr>
      <w:r w:rsidRPr="00375F64">
        <w:rPr>
          <w:rFonts w:asciiTheme="minorHAnsi" w:hAnsiTheme="minorHAnsi" w:cstheme="minorHAnsi"/>
        </w:rPr>
        <w:t>5.2 Projektowanie mieszanki</w:t>
      </w:r>
      <w:r w:rsidRPr="00375F64">
        <w:rPr>
          <w:rFonts w:asciiTheme="minorHAnsi" w:hAnsiTheme="minorHAnsi" w:cstheme="minorHAnsi"/>
          <w:spacing w:val="-1"/>
        </w:rPr>
        <w:t xml:space="preserve"> </w:t>
      </w:r>
      <w:r w:rsidRPr="00375F64">
        <w:rPr>
          <w:rFonts w:asciiTheme="minorHAnsi" w:hAnsiTheme="minorHAnsi" w:cstheme="minorHAnsi"/>
        </w:rPr>
        <w:t>mineralno-asfaltowej</w:t>
      </w:r>
    </w:p>
    <w:p w14:paraId="202C15D6" w14:textId="77777777" w:rsidR="00375F64" w:rsidRPr="00375F64" w:rsidRDefault="00375F64" w:rsidP="00375F64">
      <w:pPr>
        <w:pStyle w:val="Tekstpodstawowy"/>
        <w:spacing w:line="240" w:lineRule="auto"/>
        <w:jc w:val="both"/>
        <w:rPr>
          <w:rFonts w:asciiTheme="minorHAnsi" w:hAnsiTheme="minorHAnsi" w:cstheme="minorHAnsi"/>
          <w:sz w:val="20"/>
          <w:szCs w:val="20"/>
        </w:rPr>
      </w:pPr>
    </w:p>
    <w:p w14:paraId="564E80E4" w14:textId="77777777" w:rsidR="00375F64" w:rsidRPr="00375F64" w:rsidRDefault="00375F64" w:rsidP="00375F64">
      <w:pPr>
        <w:pStyle w:val="Tekstpodstawowy"/>
        <w:spacing w:line="240" w:lineRule="auto"/>
        <w:jc w:val="both"/>
        <w:rPr>
          <w:rFonts w:asciiTheme="minorHAnsi" w:hAnsiTheme="minorHAnsi" w:cstheme="minorHAnsi"/>
          <w:sz w:val="20"/>
          <w:szCs w:val="20"/>
        </w:rPr>
      </w:pPr>
      <w:r w:rsidRPr="00375F64">
        <w:rPr>
          <w:rFonts w:asciiTheme="minorHAnsi" w:hAnsiTheme="minorHAnsi" w:cstheme="minorHAnsi"/>
          <w:sz w:val="20"/>
          <w:szCs w:val="20"/>
        </w:rPr>
        <w:t>W terminie 7 dni przed rozpoczęciem robót Wykonawca przedstawi Inżynierowi do zatwierdzenia projekt MMA (Badanie Typu) oraz wszystkie dokumenty potwierdzające jakość materiałów składowych MMA i reprezentatywne próbki materiałów. MMA powinna być tak zaprojektowana, aby spełniać wymagania podane w pkt. 8.2.2 WT-2 Nawierzchnie Asfaltowe 2014 w zależności od kategorii ruchu.</w:t>
      </w:r>
    </w:p>
    <w:p w14:paraId="1CB395FA" w14:textId="77777777" w:rsidR="00375F64" w:rsidRPr="00375F64" w:rsidRDefault="00375F64" w:rsidP="00375F64">
      <w:pPr>
        <w:pStyle w:val="Nagwek4"/>
        <w:spacing w:before="0" w:after="0"/>
        <w:rPr>
          <w:rFonts w:asciiTheme="minorHAnsi" w:hAnsiTheme="minorHAnsi" w:cstheme="minorHAnsi"/>
        </w:rPr>
      </w:pPr>
      <w:r w:rsidRPr="00375F64">
        <w:rPr>
          <w:rFonts w:asciiTheme="minorHAnsi" w:hAnsiTheme="minorHAnsi" w:cstheme="minorHAnsi"/>
        </w:rPr>
        <w:t>5.3 Wytwarzanie</w:t>
      </w:r>
      <w:r w:rsidRPr="00375F64">
        <w:rPr>
          <w:rFonts w:asciiTheme="minorHAnsi" w:hAnsiTheme="minorHAnsi" w:cstheme="minorHAnsi"/>
          <w:spacing w:val="-2"/>
        </w:rPr>
        <w:t xml:space="preserve"> </w:t>
      </w:r>
      <w:r w:rsidRPr="00375F64">
        <w:rPr>
          <w:rFonts w:asciiTheme="minorHAnsi" w:hAnsiTheme="minorHAnsi" w:cstheme="minorHAnsi"/>
        </w:rPr>
        <w:t>MMA</w:t>
      </w:r>
    </w:p>
    <w:p w14:paraId="308D67EC" w14:textId="77777777" w:rsidR="00375F64" w:rsidRPr="00375F64" w:rsidRDefault="00375F64" w:rsidP="00375F64">
      <w:pPr>
        <w:pStyle w:val="Tekstpodstawowy"/>
        <w:spacing w:line="240" w:lineRule="auto"/>
        <w:jc w:val="both"/>
        <w:rPr>
          <w:rFonts w:asciiTheme="minorHAnsi" w:hAnsiTheme="minorHAnsi" w:cstheme="minorHAnsi"/>
          <w:sz w:val="20"/>
          <w:szCs w:val="20"/>
        </w:rPr>
      </w:pPr>
    </w:p>
    <w:p w14:paraId="3BD882E1" w14:textId="77777777" w:rsidR="00375F64" w:rsidRPr="00375F64" w:rsidRDefault="00375F64" w:rsidP="00375F64">
      <w:pPr>
        <w:pStyle w:val="Tekstpodstawowy"/>
        <w:spacing w:line="240" w:lineRule="auto"/>
        <w:jc w:val="both"/>
        <w:rPr>
          <w:rFonts w:asciiTheme="minorHAnsi" w:hAnsiTheme="minorHAnsi" w:cstheme="minorHAnsi"/>
          <w:sz w:val="20"/>
          <w:szCs w:val="20"/>
        </w:rPr>
      </w:pPr>
      <w:r w:rsidRPr="00375F64">
        <w:rPr>
          <w:rFonts w:asciiTheme="minorHAnsi" w:hAnsiTheme="minorHAnsi" w:cstheme="minorHAnsi"/>
          <w:sz w:val="20"/>
          <w:szCs w:val="20"/>
        </w:rPr>
        <w:t>Produkcja MMA powinna odbywać się na WMA o cyklicznym systemie produkcji mieszanki, zgodnie z wymaganiami opisanymi w p. 3.1. Dozowanie wszystkich składników, w tym środka adhezyjnego, powinno odbywać się wagowo. Temperatury technologiczne wytwarzania MMA powinny być zgodne z wymaganiami podanymi w p. 8.3 WT-2 2014 Nawierzchnie Asfaltowe (Tablica 42). Mieszankę MMA zaleca się wbudowywać bezpośrednio po wyprodukowaniu bez magazynowania na zapas. Przechowywanie wyprodukowanej MMA w silosie może mieć miejsce tylko w sytuacjach awaryjnych.</w:t>
      </w:r>
    </w:p>
    <w:p w14:paraId="7C21C9C7" w14:textId="77777777" w:rsidR="00375F64" w:rsidRPr="00375F64" w:rsidRDefault="00375F64" w:rsidP="00375F64">
      <w:pPr>
        <w:pStyle w:val="Nagwek4"/>
        <w:spacing w:before="0" w:after="0"/>
        <w:rPr>
          <w:rFonts w:asciiTheme="minorHAnsi" w:hAnsiTheme="minorHAnsi" w:cstheme="minorHAnsi"/>
        </w:rPr>
      </w:pPr>
      <w:r w:rsidRPr="00375F64">
        <w:rPr>
          <w:rFonts w:asciiTheme="minorHAnsi" w:hAnsiTheme="minorHAnsi" w:cstheme="minorHAnsi"/>
        </w:rPr>
        <w:t>5.4 Przygotowanie podłoża</w:t>
      </w:r>
    </w:p>
    <w:p w14:paraId="3746C18B" w14:textId="77777777" w:rsidR="00375F64" w:rsidRPr="00375F64" w:rsidRDefault="00375F64" w:rsidP="00375F64">
      <w:pPr>
        <w:pStyle w:val="Tekstpodstawowy"/>
        <w:spacing w:line="240" w:lineRule="auto"/>
        <w:jc w:val="both"/>
        <w:rPr>
          <w:rFonts w:asciiTheme="minorHAnsi" w:hAnsiTheme="minorHAnsi" w:cstheme="minorHAnsi"/>
          <w:sz w:val="20"/>
          <w:szCs w:val="20"/>
        </w:rPr>
      </w:pPr>
    </w:p>
    <w:p w14:paraId="307BBADA" w14:textId="77777777" w:rsidR="00375F64" w:rsidRPr="00375F64" w:rsidRDefault="00375F64" w:rsidP="00375F64">
      <w:pPr>
        <w:pStyle w:val="Tekstpodstawowy"/>
        <w:spacing w:line="240" w:lineRule="auto"/>
        <w:jc w:val="both"/>
        <w:rPr>
          <w:rFonts w:asciiTheme="minorHAnsi" w:hAnsiTheme="minorHAnsi" w:cstheme="minorHAnsi"/>
          <w:sz w:val="20"/>
          <w:szCs w:val="20"/>
        </w:rPr>
      </w:pPr>
      <w:r w:rsidRPr="00375F64">
        <w:rPr>
          <w:rFonts w:asciiTheme="minorHAnsi" w:hAnsiTheme="minorHAnsi" w:cstheme="minorHAnsi"/>
          <w:sz w:val="20"/>
          <w:szCs w:val="20"/>
        </w:rPr>
        <w:t>Podłoże pod warstwę wiążącą z MMA powinno spełniać wymagania pkt. 7.2 oraz zostać przygotowane zgodnie z pkt. 7.3 WT-2 Nawierzchnie Asfaltowe Na Drogach Krajowych 2016 – część II. Warstwę podłoża pod warstwę wiążącą z MMA należy skropić emulsją asfaltową zgodnie z STWiORB</w:t>
      </w:r>
      <w:r w:rsidRPr="00375F64">
        <w:rPr>
          <w:rFonts w:asciiTheme="minorHAnsi" w:hAnsiTheme="minorHAnsi" w:cstheme="minorHAnsi"/>
          <w:spacing w:val="-4"/>
          <w:sz w:val="20"/>
          <w:szCs w:val="20"/>
        </w:rPr>
        <w:t xml:space="preserve"> </w:t>
      </w:r>
      <w:r w:rsidRPr="00375F64">
        <w:rPr>
          <w:rFonts w:asciiTheme="minorHAnsi" w:hAnsiTheme="minorHAnsi" w:cstheme="minorHAnsi"/>
          <w:sz w:val="20"/>
          <w:szCs w:val="20"/>
        </w:rPr>
        <w:t>D.04.03.01.</w:t>
      </w:r>
    </w:p>
    <w:p w14:paraId="15BC105E" w14:textId="77777777" w:rsidR="00375F64" w:rsidRPr="00375F64" w:rsidRDefault="00375F64" w:rsidP="00375F64">
      <w:pPr>
        <w:pStyle w:val="Nagwek4"/>
        <w:spacing w:before="0" w:after="0"/>
        <w:rPr>
          <w:rFonts w:asciiTheme="minorHAnsi" w:hAnsiTheme="minorHAnsi" w:cstheme="minorHAnsi"/>
        </w:rPr>
      </w:pPr>
      <w:r w:rsidRPr="00375F64">
        <w:rPr>
          <w:rFonts w:asciiTheme="minorHAnsi" w:hAnsiTheme="minorHAnsi" w:cstheme="minorHAnsi"/>
        </w:rPr>
        <w:t>5.5 Próba</w:t>
      </w:r>
      <w:r w:rsidRPr="00375F64">
        <w:rPr>
          <w:rFonts w:asciiTheme="minorHAnsi" w:hAnsiTheme="minorHAnsi" w:cstheme="minorHAnsi"/>
          <w:spacing w:val="-3"/>
        </w:rPr>
        <w:t xml:space="preserve"> </w:t>
      </w:r>
      <w:r w:rsidRPr="00375F64">
        <w:rPr>
          <w:rFonts w:asciiTheme="minorHAnsi" w:hAnsiTheme="minorHAnsi" w:cstheme="minorHAnsi"/>
        </w:rPr>
        <w:t>technologiczna</w:t>
      </w:r>
    </w:p>
    <w:p w14:paraId="6ACCB173" w14:textId="77777777" w:rsidR="00375F64" w:rsidRPr="00375F64" w:rsidRDefault="00375F64" w:rsidP="00375F64">
      <w:pPr>
        <w:pStyle w:val="Tekstpodstawowy"/>
        <w:spacing w:line="240" w:lineRule="auto"/>
        <w:jc w:val="both"/>
        <w:rPr>
          <w:rFonts w:asciiTheme="minorHAnsi" w:hAnsiTheme="minorHAnsi" w:cstheme="minorHAnsi"/>
          <w:sz w:val="20"/>
          <w:szCs w:val="20"/>
        </w:rPr>
      </w:pPr>
      <w:r w:rsidRPr="00375F64">
        <w:rPr>
          <w:rFonts w:asciiTheme="minorHAnsi" w:hAnsiTheme="minorHAnsi" w:cstheme="minorHAnsi"/>
          <w:sz w:val="20"/>
          <w:szCs w:val="20"/>
        </w:rPr>
        <w:t>Wykonawca przed przystąpieniem do produkcji MMA na żądanie Inżyniera jest zobowiązany do przeprowadzenia próby technologicznej.</w:t>
      </w:r>
    </w:p>
    <w:p w14:paraId="49C077AC" w14:textId="77777777" w:rsidR="00375F64" w:rsidRPr="00375F64" w:rsidRDefault="00375F64" w:rsidP="00375F64">
      <w:pPr>
        <w:pStyle w:val="Tekstpodstawowy"/>
        <w:spacing w:line="240" w:lineRule="auto"/>
        <w:jc w:val="both"/>
        <w:rPr>
          <w:rFonts w:asciiTheme="minorHAnsi" w:hAnsiTheme="minorHAnsi" w:cstheme="minorHAnsi"/>
          <w:sz w:val="20"/>
          <w:szCs w:val="20"/>
        </w:rPr>
      </w:pPr>
      <w:r w:rsidRPr="00375F64">
        <w:rPr>
          <w:rFonts w:asciiTheme="minorHAnsi" w:hAnsiTheme="minorHAnsi" w:cstheme="minorHAnsi"/>
          <w:sz w:val="20"/>
          <w:szCs w:val="20"/>
        </w:rPr>
        <w:t>Nie dopuszcza się oceniania dokładności pracy otaczarki oraz prawidłowości składu mieszanki mineralnej na podstawie tzw. suchego zarobu, z uwagi na segregację kruszywa. Na podstawie uzyskanych wyników Inżynier podejmuje decyzję o wykonaniu odcinka próbnego. Tolerancje zawartości składników MMA względem składu zaprojektowanego powinny być zgodne z wymaganiami podanymi w pkt. 6.2 niniejszej SST.</w:t>
      </w:r>
    </w:p>
    <w:p w14:paraId="77BBD4BA" w14:textId="77777777" w:rsidR="00375F64" w:rsidRPr="00375F64" w:rsidRDefault="00375F64" w:rsidP="00375F64">
      <w:pPr>
        <w:pStyle w:val="Nagwek4"/>
        <w:spacing w:before="0" w:after="0"/>
        <w:rPr>
          <w:rFonts w:asciiTheme="minorHAnsi" w:hAnsiTheme="minorHAnsi" w:cstheme="minorHAnsi"/>
        </w:rPr>
      </w:pPr>
      <w:r w:rsidRPr="00375F64">
        <w:rPr>
          <w:rFonts w:asciiTheme="minorHAnsi" w:hAnsiTheme="minorHAnsi" w:cstheme="minorHAnsi"/>
        </w:rPr>
        <w:t>5.6 Odcinek</w:t>
      </w:r>
      <w:r w:rsidRPr="00375F64">
        <w:rPr>
          <w:rFonts w:asciiTheme="minorHAnsi" w:hAnsiTheme="minorHAnsi" w:cstheme="minorHAnsi"/>
          <w:spacing w:val="-1"/>
        </w:rPr>
        <w:t xml:space="preserve"> </w:t>
      </w:r>
      <w:r w:rsidRPr="00375F64">
        <w:rPr>
          <w:rFonts w:asciiTheme="minorHAnsi" w:hAnsiTheme="minorHAnsi" w:cstheme="minorHAnsi"/>
        </w:rPr>
        <w:t>próbny</w:t>
      </w:r>
    </w:p>
    <w:p w14:paraId="7BDCDC34" w14:textId="77777777" w:rsidR="00375F64" w:rsidRPr="00375F64" w:rsidRDefault="00375F64" w:rsidP="00375F64">
      <w:pPr>
        <w:pStyle w:val="Tekstpodstawowy"/>
        <w:spacing w:line="240" w:lineRule="auto"/>
        <w:jc w:val="both"/>
        <w:rPr>
          <w:rFonts w:asciiTheme="minorHAnsi" w:hAnsiTheme="minorHAnsi" w:cstheme="minorHAnsi"/>
          <w:sz w:val="20"/>
          <w:szCs w:val="20"/>
        </w:rPr>
      </w:pPr>
      <w:r w:rsidRPr="00375F64">
        <w:rPr>
          <w:rFonts w:asciiTheme="minorHAnsi" w:hAnsiTheme="minorHAnsi" w:cstheme="minorHAnsi"/>
          <w:sz w:val="20"/>
          <w:szCs w:val="20"/>
        </w:rPr>
        <w:t>Na żądanie Inżyniera, Wykonawca powinien wykonać odcinek próbny o długości przynajmniej 100m na całej szerokości jednej jezdni. Wykonawca powinien wykonać odcinek próbny w celu:</w:t>
      </w:r>
    </w:p>
    <w:p w14:paraId="62F8A1D0" w14:textId="77777777" w:rsidR="00375F64" w:rsidRPr="00375F64" w:rsidRDefault="00375F64" w:rsidP="00262498">
      <w:pPr>
        <w:pStyle w:val="Tekstpodstawowy"/>
        <w:widowControl w:val="0"/>
        <w:numPr>
          <w:ilvl w:val="0"/>
          <w:numId w:val="227"/>
        </w:numPr>
        <w:overflowPunct/>
        <w:adjustRightInd/>
        <w:spacing w:line="240" w:lineRule="auto"/>
        <w:jc w:val="both"/>
        <w:textAlignment w:val="auto"/>
        <w:rPr>
          <w:rFonts w:asciiTheme="minorHAnsi" w:hAnsiTheme="minorHAnsi" w:cstheme="minorHAnsi"/>
          <w:sz w:val="20"/>
          <w:szCs w:val="20"/>
        </w:rPr>
      </w:pPr>
      <w:r w:rsidRPr="00375F64">
        <w:rPr>
          <w:rFonts w:asciiTheme="minorHAnsi" w:hAnsiTheme="minorHAnsi" w:cstheme="minorHAnsi"/>
          <w:sz w:val="20"/>
          <w:szCs w:val="20"/>
        </w:rPr>
        <w:t>zdefiniowania parametrów produkcyjnych</w:t>
      </w:r>
      <w:r w:rsidRPr="00375F64">
        <w:rPr>
          <w:rFonts w:asciiTheme="minorHAnsi" w:hAnsiTheme="minorHAnsi" w:cstheme="minorHAnsi"/>
          <w:spacing w:val="-3"/>
          <w:sz w:val="20"/>
          <w:szCs w:val="20"/>
        </w:rPr>
        <w:t xml:space="preserve"> </w:t>
      </w:r>
      <w:r w:rsidRPr="00375F64">
        <w:rPr>
          <w:rFonts w:asciiTheme="minorHAnsi" w:hAnsiTheme="minorHAnsi" w:cstheme="minorHAnsi"/>
          <w:sz w:val="20"/>
          <w:szCs w:val="20"/>
        </w:rPr>
        <w:t>MMA</w:t>
      </w:r>
    </w:p>
    <w:p w14:paraId="77648A31" w14:textId="77777777" w:rsidR="00375F64" w:rsidRPr="00375F64" w:rsidRDefault="00375F64" w:rsidP="00262498">
      <w:pPr>
        <w:pStyle w:val="Tekstpodstawowy"/>
        <w:widowControl w:val="0"/>
        <w:numPr>
          <w:ilvl w:val="0"/>
          <w:numId w:val="227"/>
        </w:numPr>
        <w:overflowPunct/>
        <w:adjustRightInd/>
        <w:spacing w:line="240" w:lineRule="auto"/>
        <w:jc w:val="both"/>
        <w:textAlignment w:val="auto"/>
        <w:rPr>
          <w:rFonts w:asciiTheme="minorHAnsi" w:hAnsiTheme="minorHAnsi" w:cstheme="minorHAnsi"/>
          <w:sz w:val="20"/>
          <w:szCs w:val="20"/>
        </w:rPr>
      </w:pPr>
      <w:r w:rsidRPr="00375F64">
        <w:rPr>
          <w:rFonts w:asciiTheme="minorHAnsi" w:hAnsiTheme="minorHAnsi" w:cstheme="minorHAnsi"/>
          <w:sz w:val="20"/>
          <w:szCs w:val="20"/>
        </w:rPr>
        <w:t>sprawdzenia czy sprzęt użyty do rozkładania i zagęszczania mieszanki jest</w:t>
      </w:r>
      <w:r w:rsidRPr="00375F64">
        <w:rPr>
          <w:rFonts w:asciiTheme="minorHAnsi" w:hAnsiTheme="minorHAnsi" w:cstheme="minorHAnsi"/>
          <w:spacing w:val="-17"/>
          <w:sz w:val="20"/>
          <w:szCs w:val="20"/>
        </w:rPr>
        <w:t xml:space="preserve"> </w:t>
      </w:r>
      <w:r w:rsidRPr="00375F64">
        <w:rPr>
          <w:rFonts w:asciiTheme="minorHAnsi" w:hAnsiTheme="minorHAnsi" w:cstheme="minorHAnsi"/>
          <w:sz w:val="20"/>
          <w:szCs w:val="20"/>
        </w:rPr>
        <w:t>właściwy</w:t>
      </w:r>
    </w:p>
    <w:p w14:paraId="67166DA3" w14:textId="77777777" w:rsidR="00375F64" w:rsidRPr="00375F64" w:rsidRDefault="00375F64" w:rsidP="00262498">
      <w:pPr>
        <w:pStyle w:val="Tekstpodstawowy"/>
        <w:widowControl w:val="0"/>
        <w:numPr>
          <w:ilvl w:val="0"/>
          <w:numId w:val="227"/>
        </w:numPr>
        <w:overflowPunct/>
        <w:adjustRightInd/>
        <w:spacing w:line="240" w:lineRule="auto"/>
        <w:jc w:val="both"/>
        <w:textAlignment w:val="auto"/>
        <w:rPr>
          <w:rFonts w:asciiTheme="minorHAnsi" w:hAnsiTheme="minorHAnsi" w:cstheme="minorHAnsi"/>
          <w:sz w:val="20"/>
          <w:szCs w:val="20"/>
        </w:rPr>
      </w:pPr>
      <w:r w:rsidRPr="00375F64">
        <w:rPr>
          <w:rFonts w:asciiTheme="minorHAnsi" w:hAnsiTheme="minorHAnsi" w:cstheme="minorHAnsi"/>
          <w:sz w:val="20"/>
          <w:szCs w:val="20"/>
        </w:rPr>
        <w:t>określenia grubości warstwy mieszanki mineralno-asfaltowej przed zagęszczeniem, koniecznej do uzyskania wymaganej ostatecznej grubości</w:t>
      </w:r>
      <w:r w:rsidRPr="00375F64">
        <w:rPr>
          <w:rFonts w:asciiTheme="minorHAnsi" w:hAnsiTheme="minorHAnsi" w:cstheme="minorHAnsi"/>
          <w:spacing w:val="2"/>
          <w:sz w:val="20"/>
          <w:szCs w:val="20"/>
        </w:rPr>
        <w:t xml:space="preserve"> </w:t>
      </w:r>
      <w:r w:rsidRPr="00375F64">
        <w:rPr>
          <w:rFonts w:asciiTheme="minorHAnsi" w:hAnsiTheme="minorHAnsi" w:cstheme="minorHAnsi"/>
          <w:sz w:val="20"/>
          <w:szCs w:val="20"/>
        </w:rPr>
        <w:t>warstwy</w:t>
      </w:r>
    </w:p>
    <w:p w14:paraId="6278FF86" w14:textId="77777777" w:rsidR="00375F64" w:rsidRPr="00375F64" w:rsidRDefault="00375F64" w:rsidP="00262498">
      <w:pPr>
        <w:pStyle w:val="Tekstpodstawowy"/>
        <w:widowControl w:val="0"/>
        <w:numPr>
          <w:ilvl w:val="0"/>
          <w:numId w:val="227"/>
        </w:numPr>
        <w:overflowPunct/>
        <w:adjustRightInd/>
        <w:spacing w:line="240" w:lineRule="auto"/>
        <w:jc w:val="both"/>
        <w:textAlignment w:val="auto"/>
        <w:rPr>
          <w:rFonts w:asciiTheme="minorHAnsi" w:hAnsiTheme="minorHAnsi" w:cstheme="minorHAnsi"/>
          <w:sz w:val="20"/>
          <w:szCs w:val="20"/>
        </w:rPr>
      </w:pPr>
      <w:r w:rsidRPr="00375F64">
        <w:rPr>
          <w:rFonts w:asciiTheme="minorHAnsi" w:hAnsiTheme="minorHAnsi" w:cstheme="minorHAnsi"/>
          <w:sz w:val="20"/>
          <w:szCs w:val="20"/>
        </w:rPr>
        <w:t>określenia potrzebnej liczby przejść walców dla uzyskania prawidłowego zagęszczenia warstwy.</w:t>
      </w:r>
    </w:p>
    <w:p w14:paraId="56EF9471" w14:textId="77777777" w:rsidR="00375F64" w:rsidRPr="00375F64" w:rsidRDefault="00375F64" w:rsidP="00375F64">
      <w:pPr>
        <w:pStyle w:val="Tekstpodstawowy"/>
        <w:spacing w:line="240" w:lineRule="auto"/>
        <w:jc w:val="both"/>
        <w:rPr>
          <w:rFonts w:asciiTheme="minorHAnsi" w:hAnsiTheme="minorHAnsi" w:cstheme="minorHAnsi"/>
          <w:sz w:val="20"/>
          <w:szCs w:val="20"/>
        </w:rPr>
      </w:pPr>
      <w:r w:rsidRPr="00375F64">
        <w:rPr>
          <w:rFonts w:asciiTheme="minorHAnsi" w:hAnsiTheme="minorHAnsi" w:cstheme="minorHAnsi"/>
          <w:sz w:val="20"/>
          <w:szCs w:val="20"/>
        </w:rPr>
        <w:t>Do wykonania odcinka próbnego, Wykonawca powinien zastosować takie same materiały oraz sprzęt, jakie będą stosowane do wykonania warstwy z MMA podczas robót. Lokalizacja odcinka próbnego zostanie zaakceptowana przez Inżyniera. Wykonawca rozpocznie wykonywanie nawierzchni z MMA dopiero po otrzymaniu akceptacji Inżyniera, wydanej na podstawie testów oraz pomiarów dokonanych na odcinku próbnym. W przypadku nieprawidłowych parametrów warstwy wiążącej i nie zatwierdzeniu przez Inżyniera odcinka próbnego, Wykonawca ma obowiązek usunąć odcinek próbny warstwy wiążącej (jeżeli był wykonywany w obrębie Kontraktu) na własny koszt.</w:t>
      </w:r>
    </w:p>
    <w:p w14:paraId="401E87F2" w14:textId="77777777" w:rsidR="00375F64" w:rsidRPr="00375F64" w:rsidRDefault="00375F64" w:rsidP="00375F64">
      <w:pPr>
        <w:pStyle w:val="Nagwek4"/>
        <w:spacing w:before="0" w:after="0"/>
        <w:rPr>
          <w:rFonts w:asciiTheme="minorHAnsi" w:hAnsiTheme="minorHAnsi" w:cstheme="minorHAnsi"/>
        </w:rPr>
      </w:pPr>
      <w:r w:rsidRPr="00375F64">
        <w:rPr>
          <w:rFonts w:asciiTheme="minorHAnsi" w:hAnsiTheme="minorHAnsi" w:cstheme="minorHAnsi"/>
        </w:rPr>
        <w:t>5.7 Wbudowywanie mieszanki</w:t>
      </w:r>
      <w:r w:rsidRPr="00375F64">
        <w:rPr>
          <w:rFonts w:asciiTheme="minorHAnsi" w:hAnsiTheme="minorHAnsi" w:cstheme="minorHAnsi"/>
          <w:spacing w:val="-2"/>
        </w:rPr>
        <w:t xml:space="preserve"> </w:t>
      </w:r>
      <w:r w:rsidRPr="00375F64">
        <w:rPr>
          <w:rFonts w:asciiTheme="minorHAnsi" w:hAnsiTheme="minorHAnsi" w:cstheme="minorHAnsi"/>
        </w:rPr>
        <w:t>MMA</w:t>
      </w:r>
    </w:p>
    <w:p w14:paraId="6E522108" w14:textId="77777777" w:rsidR="00375F64" w:rsidRPr="00375F64" w:rsidRDefault="00375F64" w:rsidP="00375F64">
      <w:pPr>
        <w:pStyle w:val="Tekstpodstawowy"/>
        <w:spacing w:line="240" w:lineRule="auto"/>
        <w:jc w:val="both"/>
        <w:rPr>
          <w:rFonts w:asciiTheme="minorHAnsi" w:hAnsiTheme="minorHAnsi" w:cstheme="minorHAnsi"/>
          <w:sz w:val="20"/>
          <w:szCs w:val="20"/>
        </w:rPr>
      </w:pPr>
      <w:r w:rsidRPr="00375F64">
        <w:rPr>
          <w:rFonts w:asciiTheme="minorHAnsi" w:hAnsiTheme="minorHAnsi" w:cstheme="minorHAnsi"/>
          <w:sz w:val="20"/>
          <w:szCs w:val="20"/>
        </w:rPr>
        <w:t>Układanie MMA może odbywać się tylko przy użyciu mechanicznej układarki całą szerokością. Dopuszcza się układanie warstwy pasami o mniejszej szerokości niż szerokość jezdni, lecz przy użyciu 2 układarek przy niewielkich odległościach pomiędzy nimi (metoda „gorąco na gorąco”). Układanie mieszanki musi odbywać się w sposób ciągły, bez przestoju, z jednostajną prędkością. Układarka powinna być stale zasilana w mieszankę tak, ażeby w zasobniku zawsze znajdowała się jakaś jej ilość, a kosz, transporter i stół były zawsze gorące i nie stygły. Mieszanka mineralno-asfaltowa powinna być zagęszczana walcami stalowymi gładkimi, ogumionymi lub kombinowanymi.</w:t>
      </w:r>
    </w:p>
    <w:p w14:paraId="5FCA331B" w14:textId="77777777" w:rsidR="00375F64" w:rsidRPr="00375F64" w:rsidRDefault="00375F64" w:rsidP="00375F64">
      <w:pPr>
        <w:pStyle w:val="Nagwek4"/>
        <w:spacing w:before="0" w:after="0"/>
        <w:rPr>
          <w:rFonts w:asciiTheme="minorHAnsi" w:hAnsiTheme="minorHAnsi" w:cstheme="minorHAnsi"/>
        </w:rPr>
      </w:pPr>
      <w:r w:rsidRPr="00375F64">
        <w:rPr>
          <w:rFonts w:asciiTheme="minorHAnsi" w:hAnsiTheme="minorHAnsi" w:cstheme="minorHAnsi"/>
        </w:rPr>
        <w:t>5.8 Połączenia</w:t>
      </w:r>
      <w:r w:rsidRPr="00375F64">
        <w:rPr>
          <w:rFonts w:asciiTheme="minorHAnsi" w:hAnsiTheme="minorHAnsi" w:cstheme="minorHAnsi"/>
          <w:spacing w:val="-1"/>
        </w:rPr>
        <w:t xml:space="preserve"> </w:t>
      </w:r>
      <w:r w:rsidRPr="00375F64">
        <w:rPr>
          <w:rFonts w:asciiTheme="minorHAnsi" w:hAnsiTheme="minorHAnsi" w:cstheme="minorHAnsi"/>
        </w:rPr>
        <w:t>technologiczne</w:t>
      </w:r>
    </w:p>
    <w:p w14:paraId="0F8A2F99" w14:textId="6B176EBE" w:rsidR="00E00D25" w:rsidRPr="00375F64" w:rsidRDefault="00375F64" w:rsidP="00375F64">
      <w:pPr>
        <w:rPr>
          <w:rFonts w:asciiTheme="minorHAnsi" w:hAnsiTheme="minorHAnsi" w:cstheme="minorHAnsi"/>
          <w:b/>
        </w:rPr>
      </w:pPr>
      <w:r w:rsidRPr="00375F64">
        <w:rPr>
          <w:rFonts w:asciiTheme="minorHAnsi" w:hAnsiTheme="minorHAnsi" w:cstheme="minorHAnsi"/>
        </w:rPr>
        <w:t>Połączenia technologiczne powinny być wykonane zgodnie z pkt. 7.6 WT-2 Nawierzchnie Asfaltowe Na Drogach Krajowych 2016 – część II. Odcinanie krawędzi dziennych działek roboczych powinno odbywać się na gorąco. Długość odciętego końcowego powinna wynosić do 3m. W przypadku gdy z przyczyn technologicznych nie jest możliwe wykonanie odcięcia „na ciepło” dopuszcza się odcięcie na zimno</w:t>
      </w:r>
      <w:r w:rsidRPr="00375F64">
        <w:rPr>
          <w:rFonts w:asciiTheme="minorHAnsi" w:hAnsiTheme="minorHAnsi" w:cstheme="minorHAnsi"/>
          <w:strike/>
          <w:color w:val="FF0000"/>
        </w:rPr>
        <w:t>)</w:t>
      </w:r>
      <w:r w:rsidRPr="00375F64">
        <w:rPr>
          <w:rFonts w:asciiTheme="minorHAnsi" w:hAnsiTheme="minorHAnsi" w:cstheme="minorHAnsi"/>
        </w:rPr>
        <w:t xml:space="preserve"> końcowego odcinka wykonanej warstwy z mieszanki mineralno-asfaltowej</w:t>
      </w:r>
    </w:p>
    <w:p w14:paraId="4350B5C8" w14:textId="77777777" w:rsidR="00E00D25" w:rsidRPr="00FD657F" w:rsidRDefault="00E00D25" w:rsidP="00E00D25">
      <w:pPr>
        <w:rPr>
          <w:rFonts w:ascii="Calibri" w:hAnsi="Calibri" w:cs="Calibri"/>
          <w:b/>
          <w:sz w:val="22"/>
          <w:szCs w:val="22"/>
        </w:rPr>
      </w:pPr>
    </w:p>
    <w:p w14:paraId="0A5A9226" w14:textId="77777777" w:rsidR="00E00D25" w:rsidRPr="00FD657F" w:rsidRDefault="00E00D25" w:rsidP="00E00D25">
      <w:pPr>
        <w:rPr>
          <w:rFonts w:ascii="Calibri" w:hAnsi="Calibri" w:cs="Calibri"/>
          <w:b/>
          <w:sz w:val="22"/>
          <w:szCs w:val="22"/>
        </w:rPr>
      </w:pPr>
      <w:r w:rsidRPr="00FD657F">
        <w:rPr>
          <w:rFonts w:ascii="Calibri" w:hAnsi="Calibri" w:cs="Calibri"/>
          <w:b/>
          <w:sz w:val="22"/>
          <w:szCs w:val="22"/>
        </w:rPr>
        <w:t>6. KONTROLA JAKOŚCI ROBÓT</w:t>
      </w:r>
    </w:p>
    <w:p w14:paraId="4FA58323" w14:textId="77777777" w:rsidR="00E00D25" w:rsidRPr="00FD657F" w:rsidRDefault="00E00D25" w:rsidP="00E00D25">
      <w:pPr>
        <w:pStyle w:val="Nagwek4"/>
        <w:tabs>
          <w:tab w:val="left" w:pos="9914"/>
        </w:tabs>
        <w:rPr>
          <w:rFonts w:ascii="Calibri" w:hAnsi="Calibri" w:cs="Calibri"/>
          <w:sz w:val="22"/>
          <w:szCs w:val="22"/>
        </w:rPr>
      </w:pPr>
      <w:r w:rsidRPr="00FD657F">
        <w:rPr>
          <w:rFonts w:ascii="Calibri" w:hAnsi="Calibri" w:cs="Calibri"/>
          <w:sz w:val="22"/>
          <w:szCs w:val="22"/>
        </w:rPr>
        <w:t>6.1. Ogólne zasady kontroli jakości robót</w:t>
      </w:r>
    </w:p>
    <w:p w14:paraId="1BA4AC8F" w14:textId="6FC59319" w:rsidR="00E00D25" w:rsidRPr="00FD657F" w:rsidRDefault="00E00D25" w:rsidP="00E00D25">
      <w:pPr>
        <w:numPr>
          <w:ilvl w:val="12"/>
          <w:numId w:val="0"/>
        </w:numPr>
        <w:tabs>
          <w:tab w:val="left" w:pos="9914"/>
        </w:tabs>
        <w:rPr>
          <w:rFonts w:ascii="Calibri" w:hAnsi="Calibri" w:cs="Calibri"/>
          <w:sz w:val="22"/>
          <w:szCs w:val="22"/>
        </w:rPr>
      </w:pPr>
      <w:r w:rsidRPr="00FD657F">
        <w:rPr>
          <w:rFonts w:ascii="Calibri" w:hAnsi="Calibri" w:cs="Calibri"/>
          <w:sz w:val="22"/>
          <w:szCs w:val="22"/>
        </w:rPr>
        <w:t xml:space="preserve">Ogólne zasady kontroli jakości robót podano w </w:t>
      </w:r>
      <w:r w:rsidR="00664E38">
        <w:rPr>
          <w:rFonts w:ascii="Calibri" w:hAnsi="Calibri" w:cs="Calibri"/>
          <w:sz w:val="22"/>
          <w:szCs w:val="22"/>
        </w:rPr>
        <w:t>ST</w:t>
      </w:r>
      <w:r w:rsidRPr="00FD657F">
        <w:rPr>
          <w:rFonts w:ascii="Calibri" w:hAnsi="Calibri" w:cs="Calibri"/>
          <w:sz w:val="22"/>
          <w:szCs w:val="22"/>
        </w:rPr>
        <w:t>WiORB   D-M-00.00.00 „Wymagania ogólne” pkt 6.</w:t>
      </w:r>
    </w:p>
    <w:p w14:paraId="5647DE00" w14:textId="77777777" w:rsidR="00A85D08" w:rsidRPr="00A85D08" w:rsidRDefault="00A85D08" w:rsidP="00A85D08">
      <w:pPr>
        <w:pStyle w:val="Nagwek4"/>
        <w:spacing w:before="0" w:after="0"/>
        <w:rPr>
          <w:rFonts w:asciiTheme="minorHAnsi" w:hAnsiTheme="minorHAnsi" w:cstheme="minorHAnsi"/>
        </w:rPr>
      </w:pPr>
      <w:r w:rsidRPr="00A85D08">
        <w:rPr>
          <w:rFonts w:asciiTheme="minorHAnsi" w:hAnsiTheme="minorHAnsi" w:cstheme="minorHAnsi"/>
        </w:rPr>
        <w:t>6.2 Badania i pomiary przed przystąpieniem do</w:t>
      </w:r>
      <w:r w:rsidRPr="00A85D08">
        <w:rPr>
          <w:rFonts w:asciiTheme="minorHAnsi" w:hAnsiTheme="minorHAnsi" w:cstheme="minorHAnsi"/>
          <w:spacing w:val="-4"/>
        </w:rPr>
        <w:t xml:space="preserve"> </w:t>
      </w:r>
      <w:r w:rsidRPr="00A85D08">
        <w:rPr>
          <w:rFonts w:asciiTheme="minorHAnsi" w:hAnsiTheme="minorHAnsi" w:cstheme="minorHAnsi"/>
        </w:rPr>
        <w:t>robót</w:t>
      </w:r>
    </w:p>
    <w:p w14:paraId="1E1C9964" w14:textId="77777777" w:rsidR="00A85D08" w:rsidRPr="00A85D08" w:rsidRDefault="00A85D08" w:rsidP="00A85D08">
      <w:pPr>
        <w:pStyle w:val="Tekstpodstawowy"/>
        <w:spacing w:line="240" w:lineRule="auto"/>
        <w:jc w:val="both"/>
        <w:rPr>
          <w:rFonts w:asciiTheme="minorHAnsi" w:hAnsiTheme="minorHAnsi" w:cstheme="minorHAnsi"/>
          <w:sz w:val="20"/>
          <w:szCs w:val="20"/>
        </w:rPr>
      </w:pPr>
      <w:r w:rsidRPr="00A85D08">
        <w:rPr>
          <w:rFonts w:asciiTheme="minorHAnsi" w:hAnsiTheme="minorHAnsi" w:cstheme="minorHAnsi"/>
          <w:sz w:val="20"/>
          <w:szCs w:val="20"/>
        </w:rPr>
        <w:t>Przed przystąpieniem do robót Wykonawca powinien przedstawić Inżynierowi do akceptacji źródła poboru kruszyw oraz wszystkich dodatkowych materiałów, dołączając wszystkie dokumenty potwierdzające jakość materiałów składowych.</w:t>
      </w:r>
    </w:p>
    <w:p w14:paraId="4A3560AD" w14:textId="77777777" w:rsidR="00A85D08" w:rsidRPr="00A85D08" w:rsidRDefault="00A85D08" w:rsidP="00A85D08">
      <w:pPr>
        <w:pStyle w:val="Tekstpodstawowy"/>
        <w:spacing w:line="240" w:lineRule="auto"/>
        <w:jc w:val="both"/>
        <w:rPr>
          <w:rFonts w:asciiTheme="minorHAnsi" w:hAnsiTheme="minorHAnsi" w:cstheme="minorHAnsi"/>
          <w:sz w:val="20"/>
          <w:szCs w:val="20"/>
        </w:rPr>
      </w:pPr>
      <w:r w:rsidRPr="00A85D08">
        <w:rPr>
          <w:rFonts w:asciiTheme="minorHAnsi" w:hAnsiTheme="minorHAnsi" w:cstheme="minorHAnsi"/>
          <w:sz w:val="20"/>
          <w:szCs w:val="20"/>
        </w:rPr>
        <w:t>Wykonawca przedstawi do akceptacji, na co najmniej 2 tygodnie przed planowanym terminem realizacji do laboratorium Zamawiającego recepty, Deklaracje Właściwości Użytkowych (włącznie z własnymi badaniami) i</w:t>
      </w:r>
      <w:r w:rsidRPr="00A85D08">
        <w:rPr>
          <w:rFonts w:asciiTheme="minorHAnsi" w:hAnsiTheme="minorHAnsi" w:cstheme="minorHAnsi"/>
          <w:spacing w:val="-1"/>
          <w:sz w:val="20"/>
          <w:szCs w:val="20"/>
        </w:rPr>
        <w:t xml:space="preserve"> </w:t>
      </w:r>
      <w:r w:rsidRPr="00A85D08">
        <w:rPr>
          <w:rFonts w:asciiTheme="minorHAnsi" w:hAnsiTheme="minorHAnsi" w:cstheme="minorHAnsi"/>
          <w:sz w:val="20"/>
          <w:szCs w:val="20"/>
        </w:rPr>
        <w:t>materiały.</w:t>
      </w:r>
    </w:p>
    <w:p w14:paraId="751F2719" w14:textId="77777777" w:rsidR="00113681" w:rsidRDefault="00113681" w:rsidP="00A85D08">
      <w:pPr>
        <w:pStyle w:val="Nagwek4"/>
        <w:spacing w:before="0" w:after="0"/>
        <w:rPr>
          <w:rFonts w:asciiTheme="minorHAnsi" w:hAnsiTheme="minorHAnsi" w:cstheme="minorHAnsi"/>
        </w:rPr>
      </w:pPr>
    </w:p>
    <w:p w14:paraId="7BBEF924" w14:textId="77777777" w:rsidR="00113681" w:rsidRDefault="00113681" w:rsidP="00A85D08">
      <w:pPr>
        <w:pStyle w:val="Nagwek4"/>
        <w:spacing w:before="0" w:after="0"/>
        <w:rPr>
          <w:rFonts w:asciiTheme="minorHAnsi" w:hAnsiTheme="minorHAnsi" w:cstheme="minorHAnsi"/>
        </w:rPr>
      </w:pPr>
    </w:p>
    <w:p w14:paraId="1926325B" w14:textId="77777777" w:rsidR="00113681" w:rsidRDefault="00113681" w:rsidP="00A85D08">
      <w:pPr>
        <w:pStyle w:val="Nagwek4"/>
        <w:spacing w:before="0" w:after="0"/>
        <w:rPr>
          <w:rFonts w:asciiTheme="minorHAnsi" w:hAnsiTheme="minorHAnsi" w:cstheme="minorHAnsi"/>
        </w:rPr>
      </w:pPr>
    </w:p>
    <w:p w14:paraId="20AAC7E9" w14:textId="77777777" w:rsidR="00113681" w:rsidRDefault="00113681" w:rsidP="00A85D08">
      <w:pPr>
        <w:pStyle w:val="Nagwek4"/>
        <w:spacing w:before="0" w:after="0"/>
        <w:rPr>
          <w:rFonts w:asciiTheme="minorHAnsi" w:hAnsiTheme="minorHAnsi" w:cstheme="minorHAnsi"/>
        </w:rPr>
      </w:pPr>
    </w:p>
    <w:p w14:paraId="7CCAB465" w14:textId="69669D3B" w:rsidR="00A85D08" w:rsidRPr="00A85D08" w:rsidRDefault="00A85D08" w:rsidP="00A85D08">
      <w:pPr>
        <w:pStyle w:val="Nagwek4"/>
        <w:spacing w:before="0" w:after="0"/>
        <w:rPr>
          <w:rFonts w:asciiTheme="minorHAnsi" w:hAnsiTheme="minorHAnsi" w:cstheme="minorHAnsi"/>
        </w:rPr>
      </w:pPr>
      <w:r w:rsidRPr="00A85D08">
        <w:rPr>
          <w:rFonts w:asciiTheme="minorHAnsi" w:hAnsiTheme="minorHAnsi" w:cstheme="minorHAnsi"/>
        </w:rPr>
        <w:t>6.3 Badania w czasie</w:t>
      </w:r>
      <w:r w:rsidRPr="00A85D08">
        <w:rPr>
          <w:rFonts w:asciiTheme="minorHAnsi" w:hAnsiTheme="minorHAnsi" w:cstheme="minorHAnsi"/>
          <w:spacing w:val="-3"/>
        </w:rPr>
        <w:t xml:space="preserve"> </w:t>
      </w:r>
      <w:r w:rsidRPr="00A85D08">
        <w:rPr>
          <w:rFonts w:asciiTheme="minorHAnsi" w:hAnsiTheme="minorHAnsi" w:cstheme="minorHAnsi"/>
        </w:rPr>
        <w:t>robót</w:t>
      </w:r>
    </w:p>
    <w:p w14:paraId="077787F2" w14:textId="77777777" w:rsidR="00A85D08" w:rsidRPr="00A85D08" w:rsidRDefault="00A85D08" w:rsidP="00A85D08">
      <w:pPr>
        <w:pStyle w:val="Tekstpodstawowy"/>
        <w:spacing w:line="240" w:lineRule="auto"/>
        <w:jc w:val="both"/>
        <w:rPr>
          <w:rFonts w:asciiTheme="minorHAnsi" w:hAnsiTheme="minorHAnsi" w:cstheme="minorHAnsi"/>
          <w:sz w:val="20"/>
          <w:szCs w:val="20"/>
        </w:rPr>
      </w:pPr>
    </w:p>
    <w:p w14:paraId="0FA70F22" w14:textId="45AFC3EF" w:rsidR="00A85D08" w:rsidRPr="00A85D08" w:rsidRDefault="00A85D08" w:rsidP="00A85D08">
      <w:pPr>
        <w:pStyle w:val="Tekstpodstawowy"/>
        <w:spacing w:line="240" w:lineRule="auto"/>
        <w:jc w:val="both"/>
        <w:rPr>
          <w:rFonts w:asciiTheme="minorHAnsi" w:hAnsiTheme="minorHAnsi" w:cstheme="minorHAnsi"/>
          <w:sz w:val="20"/>
          <w:szCs w:val="20"/>
        </w:rPr>
      </w:pPr>
      <w:r w:rsidRPr="00A85D08">
        <w:rPr>
          <w:rFonts w:asciiTheme="minorHAnsi" w:hAnsiTheme="minorHAnsi" w:cstheme="minorHAnsi"/>
          <w:sz w:val="20"/>
          <w:szCs w:val="20"/>
        </w:rPr>
        <w:t xml:space="preserve">Tablica </w:t>
      </w:r>
      <w:r w:rsidR="00113681">
        <w:rPr>
          <w:rFonts w:asciiTheme="minorHAnsi" w:hAnsiTheme="minorHAnsi" w:cstheme="minorHAnsi"/>
          <w:sz w:val="20"/>
          <w:szCs w:val="20"/>
        </w:rPr>
        <w:t>5</w:t>
      </w:r>
      <w:r w:rsidRPr="00A85D08">
        <w:rPr>
          <w:rFonts w:asciiTheme="minorHAnsi" w:hAnsiTheme="minorHAnsi" w:cstheme="minorHAnsi"/>
          <w:sz w:val="20"/>
          <w:szCs w:val="20"/>
        </w:rPr>
        <w:t xml:space="preserve"> Zakres oraz częstość badań i pomiarów w czasie wytwarzania i wbudowywania mieszanki</w:t>
      </w:r>
    </w:p>
    <w:tbl>
      <w:tblPr>
        <w:tblStyle w:val="TableNormal"/>
        <w:tblW w:w="0" w:type="auto"/>
        <w:tblInd w:w="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23"/>
        <w:gridCol w:w="4262"/>
        <w:gridCol w:w="4029"/>
      </w:tblGrid>
      <w:tr w:rsidR="00A85D08" w:rsidRPr="00A85D08" w14:paraId="5EF28311" w14:textId="77777777" w:rsidTr="00A85D08">
        <w:trPr>
          <w:trHeight w:val="290"/>
        </w:trPr>
        <w:tc>
          <w:tcPr>
            <w:tcW w:w="523" w:type="dxa"/>
            <w:tcBorders>
              <w:top w:val="single" w:sz="4" w:space="0" w:color="000000"/>
              <w:left w:val="single" w:sz="4" w:space="0" w:color="000000"/>
              <w:bottom w:val="single" w:sz="4" w:space="0" w:color="000000"/>
              <w:right w:val="single" w:sz="4" w:space="0" w:color="000000"/>
            </w:tcBorders>
            <w:hideMark/>
          </w:tcPr>
          <w:p w14:paraId="16FC3204" w14:textId="77777777" w:rsidR="00A85D08" w:rsidRPr="00A85D08" w:rsidRDefault="00A85D08" w:rsidP="00A85D08">
            <w:pPr>
              <w:pStyle w:val="Tekstpodstawowy"/>
              <w:spacing w:line="240" w:lineRule="auto"/>
              <w:jc w:val="both"/>
              <w:rPr>
                <w:rFonts w:asciiTheme="minorHAnsi" w:hAnsiTheme="minorHAnsi" w:cstheme="minorHAnsi"/>
                <w:sz w:val="20"/>
                <w:szCs w:val="20"/>
              </w:rPr>
            </w:pPr>
            <w:r w:rsidRPr="00A85D08">
              <w:rPr>
                <w:rFonts w:asciiTheme="minorHAnsi" w:hAnsiTheme="minorHAnsi" w:cstheme="minorHAnsi"/>
                <w:sz w:val="20"/>
                <w:szCs w:val="20"/>
              </w:rPr>
              <w:t>Lp.</w:t>
            </w:r>
          </w:p>
        </w:tc>
        <w:tc>
          <w:tcPr>
            <w:tcW w:w="4262" w:type="dxa"/>
            <w:tcBorders>
              <w:top w:val="single" w:sz="4" w:space="0" w:color="000000"/>
              <w:left w:val="single" w:sz="4" w:space="0" w:color="000000"/>
              <w:bottom w:val="single" w:sz="4" w:space="0" w:color="000000"/>
              <w:right w:val="single" w:sz="4" w:space="0" w:color="000000"/>
            </w:tcBorders>
            <w:hideMark/>
          </w:tcPr>
          <w:p w14:paraId="641792CD" w14:textId="77777777" w:rsidR="00A85D08" w:rsidRPr="00A85D08" w:rsidRDefault="00A85D08" w:rsidP="00A85D08">
            <w:pPr>
              <w:pStyle w:val="Tekstpodstawowy"/>
              <w:spacing w:line="240" w:lineRule="auto"/>
              <w:jc w:val="both"/>
              <w:rPr>
                <w:rFonts w:asciiTheme="minorHAnsi" w:hAnsiTheme="minorHAnsi" w:cstheme="minorHAnsi"/>
                <w:sz w:val="20"/>
                <w:szCs w:val="20"/>
              </w:rPr>
            </w:pPr>
            <w:r w:rsidRPr="00A85D08">
              <w:rPr>
                <w:rFonts w:asciiTheme="minorHAnsi" w:hAnsiTheme="minorHAnsi" w:cstheme="minorHAnsi"/>
                <w:sz w:val="20"/>
                <w:szCs w:val="20"/>
              </w:rPr>
              <w:t>Właściwość</w:t>
            </w:r>
          </w:p>
        </w:tc>
        <w:tc>
          <w:tcPr>
            <w:tcW w:w="4029" w:type="dxa"/>
            <w:tcBorders>
              <w:top w:val="single" w:sz="4" w:space="0" w:color="000000"/>
              <w:left w:val="single" w:sz="4" w:space="0" w:color="000000"/>
              <w:bottom w:val="single" w:sz="4" w:space="0" w:color="000000"/>
              <w:right w:val="single" w:sz="4" w:space="0" w:color="000000"/>
            </w:tcBorders>
            <w:hideMark/>
          </w:tcPr>
          <w:p w14:paraId="7767AA05" w14:textId="77777777" w:rsidR="00A85D08" w:rsidRPr="00A85D08" w:rsidRDefault="00A85D08" w:rsidP="00A85D08">
            <w:pPr>
              <w:pStyle w:val="Tekstpodstawowy"/>
              <w:spacing w:line="240" w:lineRule="auto"/>
              <w:jc w:val="both"/>
              <w:rPr>
                <w:rFonts w:asciiTheme="minorHAnsi" w:hAnsiTheme="minorHAnsi" w:cstheme="minorHAnsi"/>
                <w:sz w:val="20"/>
                <w:szCs w:val="20"/>
              </w:rPr>
            </w:pPr>
            <w:r w:rsidRPr="00A85D08">
              <w:rPr>
                <w:rFonts w:asciiTheme="minorHAnsi" w:hAnsiTheme="minorHAnsi" w:cstheme="minorHAnsi"/>
                <w:sz w:val="20"/>
                <w:szCs w:val="20"/>
              </w:rPr>
              <w:t>Częstość badań</w:t>
            </w:r>
          </w:p>
        </w:tc>
      </w:tr>
      <w:tr w:rsidR="00A85D08" w:rsidRPr="00A85D08" w14:paraId="0ED1FE25" w14:textId="77777777" w:rsidTr="00A85D08">
        <w:trPr>
          <w:trHeight w:val="290"/>
        </w:trPr>
        <w:tc>
          <w:tcPr>
            <w:tcW w:w="8814" w:type="dxa"/>
            <w:gridSpan w:val="3"/>
            <w:tcBorders>
              <w:top w:val="single" w:sz="4" w:space="0" w:color="000000"/>
              <w:left w:val="single" w:sz="4" w:space="0" w:color="000000"/>
              <w:bottom w:val="single" w:sz="4" w:space="0" w:color="000000"/>
              <w:right w:val="single" w:sz="4" w:space="0" w:color="000000"/>
            </w:tcBorders>
            <w:hideMark/>
          </w:tcPr>
          <w:p w14:paraId="189B09C1" w14:textId="77777777" w:rsidR="00A85D08" w:rsidRPr="00A85D08" w:rsidRDefault="00A85D08" w:rsidP="00A85D08">
            <w:pPr>
              <w:pStyle w:val="Tekstpodstawowy"/>
              <w:spacing w:line="240" w:lineRule="auto"/>
              <w:jc w:val="both"/>
              <w:rPr>
                <w:rFonts w:asciiTheme="minorHAnsi" w:hAnsiTheme="minorHAnsi" w:cstheme="minorHAnsi"/>
                <w:sz w:val="20"/>
                <w:szCs w:val="20"/>
              </w:rPr>
            </w:pPr>
            <w:r w:rsidRPr="00A85D08">
              <w:rPr>
                <w:rFonts w:asciiTheme="minorHAnsi" w:hAnsiTheme="minorHAnsi" w:cstheme="minorHAnsi"/>
                <w:sz w:val="20"/>
                <w:szCs w:val="20"/>
              </w:rPr>
              <w:t>Badania materiałów</w:t>
            </w:r>
          </w:p>
        </w:tc>
      </w:tr>
      <w:tr w:rsidR="00A85D08" w:rsidRPr="00A85D08" w14:paraId="07478FCE" w14:textId="77777777" w:rsidTr="00A85D08">
        <w:trPr>
          <w:trHeight w:val="290"/>
        </w:trPr>
        <w:tc>
          <w:tcPr>
            <w:tcW w:w="523" w:type="dxa"/>
            <w:tcBorders>
              <w:top w:val="single" w:sz="4" w:space="0" w:color="000000"/>
              <w:left w:val="single" w:sz="4" w:space="0" w:color="000000"/>
              <w:bottom w:val="single" w:sz="4" w:space="0" w:color="000000"/>
              <w:right w:val="single" w:sz="4" w:space="0" w:color="000000"/>
            </w:tcBorders>
            <w:hideMark/>
          </w:tcPr>
          <w:p w14:paraId="290F7A6E" w14:textId="77777777" w:rsidR="00A85D08" w:rsidRPr="00A85D08" w:rsidRDefault="00A85D08" w:rsidP="00A85D08">
            <w:pPr>
              <w:pStyle w:val="Tekstpodstawowy"/>
              <w:spacing w:line="240" w:lineRule="auto"/>
              <w:jc w:val="both"/>
              <w:rPr>
                <w:rFonts w:asciiTheme="minorHAnsi" w:hAnsiTheme="minorHAnsi" w:cstheme="minorHAnsi"/>
                <w:sz w:val="20"/>
                <w:szCs w:val="20"/>
              </w:rPr>
            </w:pPr>
            <w:r w:rsidRPr="00A85D08">
              <w:rPr>
                <w:rFonts w:asciiTheme="minorHAnsi" w:hAnsiTheme="minorHAnsi" w:cstheme="minorHAnsi"/>
                <w:sz w:val="20"/>
                <w:szCs w:val="20"/>
              </w:rPr>
              <w:t>1.</w:t>
            </w:r>
          </w:p>
        </w:tc>
        <w:tc>
          <w:tcPr>
            <w:tcW w:w="4262" w:type="dxa"/>
            <w:tcBorders>
              <w:top w:val="single" w:sz="4" w:space="0" w:color="000000"/>
              <w:left w:val="single" w:sz="4" w:space="0" w:color="000000"/>
              <w:bottom w:val="single" w:sz="4" w:space="0" w:color="000000"/>
              <w:right w:val="single" w:sz="4" w:space="0" w:color="000000"/>
            </w:tcBorders>
            <w:hideMark/>
          </w:tcPr>
          <w:p w14:paraId="51D88F26" w14:textId="77777777" w:rsidR="00A85D08" w:rsidRPr="00A85D08" w:rsidRDefault="00A85D08" w:rsidP="00A85D08">
            <w:pPr>
              <w:pStyle w:val="Tekstpodstawowy"/>
              <w:spacing w:line="240" w:lineRule="auto"/>
              <w:jc w:val="both"/>
              <w:rPr>
                <w:rFonts w:asciiTheme="minorHAnsi" w:hAnsiTheme="minorHAnsi" w:cstheme="minorHAnsi"/>
                <w:sz w:val="20"/>
                <w:szCs w:val="20"/>
              </w:rPr>
            </w:pPr>
            <w:r w:rsidRPr="00A85D08">
              <w:rPr>
                <w:rFonts w:asciiTheme="minorHAnsi" w:hAnsiTheme="minorHAnsi" w:cstheme="minorHAnsi"/>
                <w:sz w:val="20"/>
                <w:szCs w:val="20"/>
              </w:rPr>
              <w:t>Uziarnienie kruszywa</w:t>
            </w:r>
          </w:p>
        </w:tc>
        <w:tc>
          <w:tcPr>
            <w:tcW w:w="4029" w:type="dxa"/>
            <w:tcBorders>
              <w:top w:val="single" w:sz="4" w:space="0" w:color="000000"/>
              <w:left w:val="single" w:sz="4" w:space="0" w:color="000000"/>
              <w:bottom w:val="single" w:sz="4" w:space="0" w:color="000000"/>
              <w:right w:val="single" w:sz="4" w:space="0" w:color="000000"/>
            </w:tcBorders>
            <w:hideMark/>
          </w:tcPr>
          <w:p w14:paraId="7BF87FB0" w14:textId="77777777" w:rsidR="00A85D08" w:rsidRPr="00A85D08" w:rsidRDefault="00A85D08" w:rsidP="00A85D08">
            <w:pPr>
              <w:pStyle w:val="Tekstpodstawowy"/>
              <w:spacing w:line="240" w:lineRule="auto"/>
              <w:jc w:val="both"/>
              <w:rPr>
                <w:rFonts w:asciiTheme="minorHAnsi" w:hAnsiTheme="minorHAnsi" w:cstheme="minorHAnsi"/>
                <w:sz w:val="20"/>
                <w:szCs w:val="20"/>
                <w:lang w:val="pl-PL"/>
              </w:rPr>
            </w:pPr>
            <w:r w:rsidRPr="00A85D08">
              <w:rPr>
                <w:rFonts w:asciiTheme="minorHAnsi" w:hAnsiTheme="minorHAnsi" w:cstheme="minorHAnsi"/>
                <w:sz w:val="20"/>
                <w:szCs w:val="20"/>
                <w:lang w:val="pl-PL"/>
              </w:rPr>
              <w:t>1 raz na 2000 ton dla każdej frakcji</w:t>
            </w:r>
          </w:p>
        </w:tc>
      </w:tr>
      <w:tr w:rsidR="00A85D08" w:rsidRPr="00A85D08" w14:paraId="0E280874" w14:textId="77777777" w:rsidTr="00A85D08">
        <w:trPr>
          <w:trHeight w:val="290"/>
        </w:trPr>
        <w:tc>
          <w:tcPr>
            <w:tcW w:w="523" w:type="dxa"/>
            <w:tcBorders>
              <w:top w:val="single" w:sz="4" w:space="0" w:color="000000"/>
              <w:left w:val="single" w:sz="4" w:space="0" w:color="000000"/>
              <w:bottom w:val="single" w:sz="4" w:space="0" w:color="000000"/>
              <w:right w:val="single" w:sz="4" w:space="0" w:color="000000"/>
            </w:tcBorders>
            <w:hideMark/>
          </w:tcPr>
          <w:p w14:paraId="5F6497E4" w14:textId="77777777" w:rsidR="00A85D08" w:rsidRPr="00A85D08" w:rsidRDefault="00A85D08" w:rsidP="00A85D08">
            <w:pPr>
              <w:pStyle w:val="Tekstpodstawowy"/>
              <w:spacing w:line="240" w:lineRule="auto"/>
              <w:jc w:val="both"/>
              <w:rPr>
                <w:rFonts w:asciiTheme="minorHAnsi" w:hAnsiTheme="minorHAnsi" w:cstheme="minorHAnsi"/>
                <w:sz w:val="20"/>
                <w:szCs w:val="20"/>
              </w:rPr>
            </w:pPr>
            <w:r w:rsidRPr="00A85D08">
              <w:rPr>
                <w:rFonts w:asciiTheme="minorHAnsi" w:hAnsiTheme="minorHAnsi" w:cstheme="minorHAnsi"/>
                <w:sz w:val="20"/>
                <w:szCs w:val="20"/>
              </w:rPr>
              <w:t>2.</w:t>
            </w:r>
          </w:p>
        </w:tc>
        <w:tc>
          <w:tcPr>
            <w:tcW w:w="4262" w:type="dxa"/>
            <w:tcBorders>
              <w:top w:val="single" w:sz="4" w:space="0" w:color="000000"/>
              <w:left w:val="single" w:sz="4" w:space="0" w:color="000000"/>
              <w:bottom w:val="single" w:sz="4" w:space="0" w:color="000000"/>
              <w:right w:val="single" w:sz="4" w:space="0" w:color="000000"/>
            </w:tcBorders>
            <w:hideMark/>
          </w:tcPr>
          <w:p w14:paraId="3123FFAA" w14:textId="77777777" w:rsidR="00A85D08" w:rsidRPr="00A85D08" w:rsidRDefault="00A85D08" w:rsidP="00A85D08">
            <w:pPr>
              <w:pStyle w:val="Tekstpodstawowy"/>
              <w:spacing w:line="240" w:lineRule="auto"/>
              <w:jc w:val="both"/>
              <w:rPr>
                <w:rFonts w:asciiTheme="minorHAnsi" w:hAnsiTheme="minorHAnsi" w:cstheme="minorHAnsi"/>
                <w:sz w:val="20"/>
                <w:szCs w:val="20"/>
              </w:rPr>
            </w:pPr>
            <w:r w:rsidRPr="00A85D08">
              <w:rPr>
                <w:rFonts w:asciiTheme="minorHAnsi" w:hAnsiTheme="minorHAnsi" w:cstheme="minorHAnsi"/>
                <w:sz w:val="20"/>
                <w:szCs w:val="20"/>
              </w:rPr>
              <w:t>Uziarnienie wypełniacza</w:t>
            </w:r>
          </w:p>
        </w:tc>
        <w:tc>
          <w:tcPr>
            <w:tcW w:w="4029" w:type="dxa"/>
            <w:tcBorders>
              <w:top w:val="single" w:sz="4" w:space="0" w:color="000000"/>
              <w:left w:val="single" w:sz="4" w:space="0" w:color="000000"/>
              <w:bottom w:val="single" w:sz="4" w:space="0" w:color="000000"/>
              <w:right w:val="single" w:sz="4" w:space="0" w:color="000000"/>
            </w:tcBorders>
            <w:hideMark/>
          </w:tcPr>
          <w:p w14:paraId="4D13DD92" w14:textId="77777777" w:rsidR="00A85D08" w:rsidRPr="00A85D08" w:rsidRDefault="00A85D08" w:rsidP="00A85D08">
            <w:pPr>
              <w:pStyle w:val="Tekstpodstawowy"/>
              <w:spacing w:line="240" w:lineRule="auto"/>
              <w:jc w:val="both"/>
              <w:rPr>
                <w:rFonts w:asciiTheme="minorHAnsi" w:hAnsiTheme="minorHAnsi" w:cstheme="minorHAnsi"/>
                <w:sz w:val="20"/>
                <w:szCs w:val="20"/>
              </w:rPr>
            </w:pPr>
            <w:r w:rsidRPr="00A85D08">
              <w:rPr>
                <w:rFonts w:asciiTheme="minorHAnsi" w:hAnsiTheme="minorHAnsi" w:cstheme="minorHAnsi"/>
                <w:sz w:val="20"/>
                <w:szCs w:val="20"/>
              </w:rPr>
              <w:t>1 raz na 200 ton</w:t>
            </w:r>
          </w:p>
        </w:tc>
      </w:tr>
      <w:tr w:rsidR="00A85D08" w:rsidRPr="00A85D08" w14:paraId="34B902A4" w14:textId="77777777" w:rsidTr="00A85D08">
        <w:trPr>
          <w:trHeight w:val="1338"/>
        </w:trPr>
        <w:tc>
          <w:tcPr>
            <w:tcW w:w="523" w:type="dxa"/>
            <w:tcBorders>
              <w:top w:val="single" w:sz="4" w:space="0" w:color="000000"/>
              <w:left w:val="single" w:sz="4" w:space="0" w:color="000000"/>
              <w:right w:val="single" w:sz="4" w:space="0" w:color="000000"/>
            </w:tcBorders>
            <w:hideMark/>
          </w:tcPr>
          <w:p w14:paraId="30D8F886" w14:textId="77777777" w:rsidR="00A85D08" w:rsidRPr="00A85D08" w:rsidRDefault="00A85D08" w:rsidP="00A85D08">
            <w:pPr>
              <w:pStyle w:val="Tekstpodstawowy"/>
              <w:spacing w:line="240" w:lineRule="auto"/>
              <w:jc w:val="both"/>
              <w:rPr>
                <w:rFonts w:asciiTheme="minorHAnsi" w:hAnsiTheme="minorHAnsi" w:cstheme="minorHAnsi"/>
                <w:sz w:val="20"/>
                <w:szCs w:val="20"/>
              </w:rPr>
            </w:pPr>
            <w:r w:rsidRPr="00A85D08">
              <w:rPr>
                <w:rFonts w:asciiTheme="minorHAnsi" w:hAnsiTheme="minorHAnsi" w:cstheme="minorHAnsi"/>
                <w:sz w:val="20"/>
                <w:szCs w:val="20"/>
              </w:rPr>
              <w:t>3.</w:t>
            </w:r>
          </w:p>
        </w:tc>
        <w:tc>
          <w:tcPr>
            <w:tcW w:w="4262" w:type="dxa"/>
            <w:tcBorders>
              <w:top w:val="single" w:sz="4" w:space="0" w:color="000000"/>
              <w:left w:val="single" w:sz="4" w:space="0" w:color="000000"/>
              <w:right w:val="single" w:sz="4" w:space="0" w:color="000000"/>
            </w:tcBorders>
            <w:hideMark/>
          </w:tcPr>
          <w:p w14:paraId="0EC2F0DE" w14:textId="77777777" w:rsidR="00A85D08" w:rsidRPr="00A85D08" w:rsidRDefault="00A85D08" w:rsidP="00A85D08">
            <w:pPr>
              <w:pStyle w:val="Tekstpodstawowy"/>
              <w:spacing w:line="240" w:lineRule="auto"/>
              <w:jc w:val="both"/>
              <w:rPr>
                <w:rFonts w:asciiTheme="minorHAnsi" w:hAnsiTheme="minorHAnsi" w:cstheme="minorHAnsi"/>
                <w:sz w:val="20"/>
                <w:szCs w:val="20"/>
                <w:lang w:val="pl-PL"/>
              </w:rPr>
            </w:pPr>
            <w:r w:rsidRPr="00A85D08">
              <w:rPr>
                <w:rFonts w:asciiTheme="minorHAnsi" w:hAnsiTheme="minorHAnsi" w:cstheme="minorHAnsi"/>
                <w:sz w:val="20"/>
                <w:szCs w:val="20"/>
                <w:lang w:val="pl-PL"/>
              </w:rPr>
              <w:t>Właściwości asfaltu</w:t>
            </w:r>
          </w:p>
          <w:p w14:paraId="679F335D" w14:textId="77777777" w:rsidR="00A85D08" w:rsidRPr="00A85D08" w:rsidRDefault="00A85D08" w:rsidP="00A85D08">
            <w:pPr>
              <w:pStyle w:val="Tekstpodstawowy"/>
              <w:spacing w:line="240" w:lineRule="auto"/>
              <w:jc w:val="both"/>
              <w:rPr>
                <w:rFonts w:asciiTheme="minorHAnsi" w:eastAsia="Arial" w:hAnsiTheme="minorHAnsi" w:cstheme="minorHAnsi"/>
                <w:sz w:val="20"/>
                <w:szCs w:val="20"/>
                <w:lang w:val="pl-PL"/>
              </w:rPr>
            </w:pPr>
            <w:r w:rsidRPr="00A85D08">
              <w:rPr>
                <w:rFonts w:asciiTheme="minorHAnsi" w:hAnsiTheme="minorHAnsi" w:cstheme="minorHAnsi"/>
                <w:sz w:val="20"/>
                <w:szCs w:val="20"/>
                <w:lang w:val="pl-PL"/>
              </w:rPr>
              <w:t>- Penetracja w 25°C lub temperatura mięknienia wg PIK</w:t>
            </w:r>
          </w:p>
          <w:p w14:paraId="618251E5" w14:textId="77777777" w:rsidR="00A85D08" w:rsidRPr="00A85D08" w:rsidRDefault="00A85D08" w:rsidP="00A85D08">
            <w:pPr>
              <w:pStyle w:val="Tekstpodstawowy"/>
              <w:spacing w:line="240" w:lineRule="auto"/>
              <w:jc w:val="both"/>
              <w:rPr>
                <w:rFonts w:asciiTheme="minorHAnsi" w:hAnsiTheme="minorHAnsi" w:cstheme="minorHAnsi"/>
                <w:sz w:val="20"/>
                <w:szCs w:val="20"/>
                <w:lang w:val="pl-PL"/>
              </w:rPr>
            </w:pPr>
            <w:r w:rsidRPr="00A85D08">
              <w:rPr>
                <w:rFonts w:asciiTheme="minorHAnsi" w:hAnsiTheme="minorHAnsi" w:cstheme="minorHAnsi"/>
                <w:sz w:val="20"/>
                <w:szCs w:val="20"/>
                <w:lang w:val="pl-PL"/>
              </w:rPr>
              <w:t>-</w:t>
            </w:r>
            <w:r w:rsidRPr="00A85D08">
              <w:rPr>
                <w:rFonts w:asciiTheme="minorHAnsi" w:hAnsiTheme="minorHAnsi" w:cstheme="minorHAnsi"/>
                <w:spacing w:val="-31"/>
                <w:sz w:val="20"/>
                <w:szCs w:val="20"/>
                <w:lang w:val="pl-PL"/>
              </w:rPr>
              <w:t xml:space="preserve"> </w:t>
            </w:r>
            <w:r w:rsidRPr="00A85D08">
              <w:rPr>
                <w:rFonts w:asciiTheme="minorHAnsi" w:hAnsiTheme="minorHAnsi" w:cstheme="minorHAnsi"/>
                <w:sz w:val="20"/>
                <w:szCs w:val="20"/>
                <w:lang w:val="pl-PL"/>
              </w:rPr>
              <w:t>Nawrót</w:t>
            </w:r>
            <w:r w:rsidRPr="00A85D08">
              <w:rPr>
                <w:rFonts w:asciiTheme="minorHAnsi" w:hAnsiTheme="minorHAnsi" w:cstheme="minorHAnsi"/>
                <w:spacing w:val="-30"/>
                <w:sz w:val="20"/>
                <w:szCs w:val="20"/>
                <w:lang w:val="pl-PL"/>
              </w:rPr>
              <w:t xml:space="preserve"> </w:t>
            </w:r>
            <w:r w:rsidRPr="00A85D08">
              <w:rPr>
                <w:rFonts w:asciiTheme="minorHAnsi" w:hAnsiTheme="minorHAnsi" w:cstheme="minorHAnsi"/>
                <w:sz w:val="20"/>
                <w:szCs w:val="20"/>
                <w:lang w:val="pl-PL"/>
              </w:rPr>
              <w:t>sprężysty</w:t>
            </w:r>
            <w:r w:rsidRPr="00A85D08">
              <w:rPr>
                <w:rFonts w:asciiTheme="minorHAnsi" w:hAnsiTheme="minorHAnsi" w:cstheme="minorHAnsi"/>
                <w:spacing w:val="-31"/>
                <w:sz w:val="20"/>
                <w:szCs w:val="20"/>
                <w:lang w:val="pl-PL"/>
              </w:rPr>
              <w:t xml:space="preserve"> </w:t>
            </w:r>
            <w:r w:rsidRPr="00A85D08">
              <w:rPr>
                <w:rFonts w:asciiTheme="minorHAnsi" w:hAnsiTheme="minorHAnsi" w:cstheme="minorHAnsi"/>
                <w:sz w:val="20"/>
                <w:szCs w:val="20"/>
                <w:lang w:val="pl-PL"/>
              </w:rPr>
              <w:t>w</w:t>
            </w:r>
            <w:r w:rsidRPr="00A85D08">
              <w:rPr>
                <w:rFonts w:asciiTheme="minorHAnsi" w:hAnsiTheme="minorHAnsi" w:cstheme="minorHAnsi"/>
                <w:spacing w:val="-31"/>
                <w:sz w:val="20"/>
                <w:szCs w:val="20"/>
                <w:lang w:val="pl-PL"/>
              </w:rPr>
              <w:t xml:space="preserve"> </w:t>
            </w:r>
            <w:r w:rsidRPr="00A85D08">
              <w:rPr>
                <w:rFonts w:asciiTheme="minorHAnsi" w:hAnsiTheme="minorHAnsi" w:cstheme="minorHAnsi"/>
                <w:sz w:val="20"/>
                <w:szCs w:val="20"/>
                <w:lang w:val="pl-PL"/>
              </w:rPr>
              <w:t>25°C</w:t>
            </w:r>
            <w:r w:rsidRPr="00A85D08">
              <w:rPr>
                <w:rFonts w:asciiTheme="minorHAnsi" w:hAnsiTheme="minorHAnsi" w:cstheme="minorHAnsi"/>
                <w:spacing w:val="-30"/>
                <w:sz w:val="20"/>
                <w:szCs w:val="20"/>
                <w:lang w:val="pl-PL"/>
              </w:rPr>
              <w:t xml:space="preserve"> </w:t>
            </w:r>
            <w:r w:rsidRPr="00A85D08">
              <w:rPr>
                <w:rFonts w:asciiTheme="minorHAnsi" w:hAnsiTheme="minorHAnsi" w:cstheme="minorHAnsi"/>
                <w:sz w:val="20"/>
                <w:szCs w:val="20"/>
                <w:lang w:val="pl-PL"/>
              </w:rPr>
              <w:t>(dla</w:t>
            </w:r>
            <w:r w:rsidRPr="00A85D08">
              <w:rPr>
                <w:rFonts w:asciiTheme="minorHAnsi" w:hAnsiTheme="minorHAnsi" w:cstheme="minorHAnsi"/>
                <w:spacing w:val="-31"/>
                <w:sz w:val="20"/>
                <w:szCs w:val="20"/>
                <w:lang w:val="pl-PL"/>
              </w:rPr>
              <w:t xml:space="preserve"> </w:t>
            </w:r>
            <w:r w:rsidRPr="00A85D08">
              <w:rPr>
                <w:rFonts w:asciiTheme="minorHAnsi" w:hAnsiTheme="minorHAnsi" w:cstheme="minorHAnsi"/>
                <w:sz w:val="20"/>
                <w:szCs w:val="20"/>
                <w:lang w:val="pl-PL"/>
              </w:rPr>
              <w:t>asfaltów modyfikowanych)</w:t>
            </w:r>
          </w:p>
        </w:tc>
        <w:tc>
          <w:tcPr>
            <w:tcW w:w="4029" w:type="dxa"/>
            <w:tcBorders>
              <w:top w:val="single" w:sz="4" w:space="0" w:color="000000"/>
              <w:left w:val="single" w:sz="4" w:space="0" w:color="000000"/>
              <w:right w:val="single" w:sz="4" w:space="0" w:color="000000"/>
            </w:tcBorders>
            <w:hideMark/>
          </w:tcPr>
          <w:p w14:paraId="5F8CB999" w14:textId="77777777" w:rsidR="00A85D08" w:rsidRPr="00A85D08" w:rsidRDefault="00A85D08" w:rsidP="00A85D08">
            <w:pPr>
              <w:pStyle w:val="Tekstpodstawowy"/>
              <w:spacing w:line="240" w:lineRule="auto"/>
              <w:jc w:val="both"/>
              <w:rPr>
                <w:rFonts w:asciiTheme="minorHAnsi" w:hAnsiTheme="minorHAnsi" w:cstheme="minorHAnsi"/>
                <w:sz w:val="20"/>
                <w:szCs w:val="20"/>
              </w:rPr>
            </w:pPr>
            <w:r w:rsidRPr="00A85D08">
              <w:rPr>
                <w:rFonts w:asciiTheme="minorHAnsi" w:hAnsiTheme="minorHAnsi" w:cstheme="minorHAnsi"/>
                <w:sz w:val="20"/>
                <w:szCs w:val="20"/>
              </w:rPr>
              <w:t>1 raz na 300 ton</w:t>
            </w:r>
          </w:p>
        </w:tc>
      </w:tr>
      <w:tr w:rsidR="00A85D08" w:rsidRPr="00A85D08" w14:paraId="7ED6CE98" w14:textId="77777777" w:rsidTr="00A85D08">
        <w:trPr>
          <w:trHeight w:val="290"/>
        </w:trPr>
        <w:tc>
          <w:tcPr>
            <w:tcW w:w="8814" w:type="dxa"/>
            <w:gridSpan w:val="3"/>
            <w:tcBorders>
              <w:top w:val="single" w:sz="4" w:space="0" w:color="000000"/>
              <w:left w:val="single" w:sz="4" w:space="0" w:color="000000"/>
              <w:bottom w:val="single" w:sz="4" w:space="0" w:color="000000"/>
              <w:right w:val="single" w:sz="4" w:space="0" w:color="000000"/>
            </w:tcBorders>
            <w:hideMark/>
          </w:tcPr>
          <w:p w14:paraId="38A7222C" w14:textId="77777777" w:rsidR="00A85D08" w:rsidRPr="00A85D08" w:rsidRDefault="00A85D08" w:rsidP="00A85D08">
            <w:pPr>
              <w:pStyle w:val="Tekstpodstawowy"/>
              <w:spacing w:line="240" w:lineRule="auto"/>
              <w:jc w:val="both"/>
              <w:rPr>
                <w:rFonts w:asciiTheme="minorHAnsi" w:hAnsiTheme="minorHAnsi" w:cstheme="minorHAnsi"/>
                <w:sz w:val="20"/>
                <w:szCs w:val="20"/>
              </w:rPr>
            </w:pPr>
            <w:r w:rsidRPr="00A85D08">
              <w:rPr>
                <w:rFonts w:asciiTheme="minorHAnsi" w:hAnsiTheme="minorHAnsi" w:cstheme="minorHAnsi"/>
                <w:sz w:val="20"/>
                <w:szCs w:val="20"/>
              </w:rPr>
              <w:t>Badania mieszanki mineralno-asfaltowej</w:t>
            </w:r>
          </w:p>
        </w:tc>
      </w:tr>
      <w:tr w:rsidR="00A85D08" w:rsidRPr="00A85D08" w14:paraId="29182581" w14:textId="77777777" w:rsidTr="00A85D08">
        <w:trPr>
          <w:trHeight w:val="290"/>
        </w:trPr>
        <w:tc>
          <w:tcPr>
            <w:tcW w:w="523" w:type="dxa"/>
            <w:tcBorders>
              <w:top w:val="single" w:sz="4" w:space="0" w:color="000000"/>
              <w:left w:val="single" w:sz="4" w:space="0" w:color="000000"/>
              <w:bottom w:val="single" w:sz="4" w:space="0" w:color="000000"/>
              <w:right w:val="single" w:sz="4" w:space="0" w:color="000000"/>
            </w:tcBorders>
            <w:hideMark/>
          </w:tcPr>
          <w:p w14:paraId="11C08A8B" w14:textId="77777777" w:rsidR="00A85D08" w:rsidRPr="00A85D08" w:rsidRDefault="00A85D08" w:rsidP="00A85D08">
            <w:pPr>
              <w:pStyle w:val="Tekstpodstawowy"/>
              <w:spacing w:line="240" w:lineRule="auto"/>
              <w:jc w:val="both"/>
              <w:rPr>
                <w:rFonts w:asciiTheme="minorHAnsi" w:hAnsiTheme="minorHAnsi" w:cstheme="minorHAnsi"/>
                <w:sz w:val="20"/>
                <w:szCs w:val="20"/>
              </w:rPr>
            </w:pPr>
            <w:r w:rsidRPr="00A85D08">
              <w:rPr>
                <w:rFonts w:asciiTheme="minorHAnsi" w:hAnsiTheme="minorHAnsi" w:cstheme="minorHAnsi"/>
                <w:sz w:val="20"/>
                <w:szCs w:val="20"/>
              </w:rPr>
              <w:t>4.</w:t>
            </w:r>
          </w:p>
        </w:tc>
        <w:tc>
          <w:tcPr>
            <w:tcW w:w="4262" w:type="dxa"/>
            <w:tcBorders>
              <w:top w:val="single" w:sz="4" w:space="0" w:color="000000"/>
              <w:left w:val="single" w:sz="4" w:space="0" w:color="000000"/>
              <w:bottom w:val="single" w:sz="4" w:space="0" w:color="000000"/>
              <w:right w:val="single" w:sz="4" w:space="0" w:color="000000"/>
            </w:tcBorders>
            <w:hideMark/>
          </w:tcPr>
          <w:p w14:paraId="228FAA93" w14:textId="77777777" w:rsidR="00A85D08" w:rsidRPr="00A85D08" w:rsidRDefault="00A85D08" w:rsidP="00A85D08">
            <w:pPr>
              <w:pStyle w:val="Tekstpodstawowy"/>
              <w:spacing w:line="240" w:lineRule="auto"/>
              <w:jc w:val="both"/>
              <w:rPr>
                <w:rFonts w:asciiTheme="minorHAnsi" w:hAnsiTheme="minorHAnsi" w:cstheme="minorHAnsi"/>
                <w:sz w:val="20"/>
                <w:szCs w:val="20"/>
              </w:rPr>
            </w:pPr>
            <w:r w:rsidRPr="00A85D08">
              <w:rPr>
                <w:rFonts w:asciiTheme="minorHAnsi" w:hAnsiTheme="minorHAnsi" w:cstheme="minorHAnsi"/>
                <w:sz w:val="20"/>
                <w:szCs w:val="20"/>
              </w:rPr>
              <w:t>Temperatura składników</w:t>
            </w:r>
          </w:p>
        </w:tc>
        <w:tc>
          <w:tcPr>
            <w:tcW w:w="4029" w:type="dxa"/>
            <w:tcBorders>
              <w:top w:val="single" w:sz="4" w:space="0" w:color="000000"/>
              <w:left w:val="single" w:sz="4" w:space="0" w:color="000000"/>
              <w:bottom w:val="single" w:sz="4" w:space="0" w:color="000000"/>
              <w:right w:val="single" w:sz="4" w:space="0" w:color="000000"/>
            </w:tcBorders>
            <w:hideMark/>
          </w:tcPr>
          <w:p w14:paraId="7C8F8617" w14:textId="77777777" w:rsidR="00A85D08" w:rsidRPr="00A85D08" w:rsidRDefault="00A85D08" w:rsidP="00A85D08">
            <w:pPr>
              <w:pStyle w:val="Tekstpodstawowy"/>
              <w:spacing w:line="240" w:lineRule="auto"/>
              <w:jc w:val="both"/>
              <w:rPr>
                <w:rFonts w:asciiTheme="minorHAnsi" w:hAnsiTheme="minorHAnsi" w:cstheme="minorHAnsi"/>
                <w:sz w:val="20"/>
                <w:szCs w:val="20"/>
              </w:rPr>
            </w:pPr>
            <w:r w:rsidRPr="00A85D08">
              <w:rPr>
                <w:rFonts w:asciiTheme="minorHAnsi" w:hAnsiTheme="minorHAnsi" w:cstheme="minorHAnsi"/>
                <w:sz w:val="20"/>
                <w:szCs w:val="20"/>
              </w:rPr>
              <w:t>Nadzór ciągły</w:t>
            </w:r>
          </w:p>
        </w:tc>
      </w:tr>
      <w:tr w:rsidR="00A85D08" w:rsidRPr="00A85D08" w14:paraId="5C444313" w14:textId="77777777" w:rsidTr="00A85D08">
        <w:trPr>
          <w:trHeight w:val="520"/>
        </w:trPr>
        <w:tc>
          <w:tcPr>
            <w:tcW w:w="523" w:type="dxa"/>
            <w:tcBorders>
              <w:top w:val="single" w:sz="4" w:space="0" w:color="000000"/>
              <w:left w:val="single" w:sz="4" w:space="0" w:color="000000"/>
              <w:bottom w:val="single" w:sz="4" w:space="0" w:color="000000"/>
              <w:right w:val="single" w:sz="4" w:space="0" w:color="000000"/>
            </w:tcBorders>
            <w:hideMark/>
          </w:tcPr>
          <w:p w14:paraId="1E63972A" w14:textId="77777777" w:rsidR="00A85D08" w:rsidRPr="00A85D08" w:rsidRDefault="00A85D08" w:rsidP="00A85D08">
            <w:pPr>
              <w:pStyle w:val="Tekstpodstawowy"/>
              <w:spacing w:line="240" w:lineRule="auto"/>
              <w:jc w:val="both"/>
              <w:rPr>
                <w:rFonts w:asciiTheme="minorHAnsi" w:hAnsiTheme="minorHAnsi" w:cstheme="minorHAnsi"/>
                <w:sz w:val="20"/>
                <w:szCs w:val="20"/>
              </w:rPr>
            </w:pPr>
            <w:r w:rsidRPr="00A85D08">
              <w:rPr>
                <w:rFonts w:asciiTheme="minorHAnsi" w:hAnsiTheme="minorHAnsi" w:cstheme="minorHAnsi"/>
                <w:sz w:val="20"/>
                <w:szCs w:val="20"/>
              </w:rPr>
              <w:t>5.</w:t>
            </w:r>
          </w:p>
        </w:tc>
        <w:tc>
          <w:tcPr>
            <w:tcW w:w="4262" w:type="dxa"/>
            <w:tcBorders>
              <w:top w:val="single" w:sz="4" w:space="0" w:color="000000"/>
              <w:left w:val="single" w:sz="4" w:space="0" w:color="000000"/>
              <w:bottom w:val="single" w:sz="4" w:space="0" w:color="000000"/>
              <w:right w:val="single" w:sz="4" w:space="0" w:color="000000"/>
            </w:tcBorders>
            <w:hideMark/>
          </w:tcPr>
          <w:p w14:paraId="6DAADCCE" w14:textId="77777777" w:rsidR="00A85D08" w:rsidRPr="00A85D08" w:rsidRDefault="00A85D08" w:rsidP="00A85D08">
            <w:pPr>
              <w:pStyle w:val="Tekstpodstawowy"/>
              <w:spacing w:line="240" w:lineRule="auto"/>
              <w:jc w:val="both"/>
              <w:rPr>
                <w:rFonts w:asciiTheme="minorHAnsi" w:hAnsiTheme="minorHAnsi" w:cstheme="minorHAnsi"/>
                <w:sz w:val="20"/>
                <w:szCs w:val="20"/>
              </w:rPr>
            </w:pPr>
            <w:r w:rsidRPr="00A85D08">
              <w:rPr>
                <w:rFonts w:asciiTheme="minorHAnsi" w:hAnsiTheme="minorHAnsi" w:cstheme="minorHAnsi"/>
                <w:sz w:val="20"/>
                <w:szCs w:val="20"/>
              </w:rPr>
              <w:t>Temperatura mieszanki</w:t>
            </w:r>
          </w:p>
        </w:tc>
        <w:tc>
          <w:tcPr>
            <w:tcW w:w="4029" w:type="dxa"/>
            <w:tcBorders>
              <w:top w:val="single" w:sz="4" w:space="0" w:color="000000"/>
              <w:left w:val="single" w:sz="4" w:space="0" w:color="000000"/>
              <w:bottom w:val="single" w:sz="4" w:space="0" w:color="000000"/>
              <w:right w:val="single" w:sz="4" w:space="0" w:color="000000"/>
            </w:tcBorders>
            <w:hideMark/>
          </w:tcPr>
          <w:p w14:paraId="4EE5ADAA" w14:textId="77777777" w:rsidR="00A85D08" w:rsidRPr="00A85D08" w:rsidRDefault="00A85D08" w:rsidP="00A85D08">
            <w:pPr>
              <w:pStyle w:val="Tekstpodstawowy"/>
              <w:spacing w:line="240" w:lineRule="auto"/>
              <w:jc w:val="both"/>
              <w:rPr>
                <w:rFonts w:asciiTheme="minorHAnsi" w:hAnsiTheme="minorHAnsi" w:cstheme="minorHAnsi"/>
                <w:sz w:val="20"/>
                <w:szCs w:val="20"/>
                <w:lang w:val="pl-PL"/>
              </w:rPr>
            </w:pPr>
            <w:r w:rsidRPr="00A85D08">
              <w:rPr>
                <w:rFonts w:asciiTheme="minorHAnsi" w:hAnsiTheme="minorHAnsi" w:cstheme="minorHAnsi"/>
                <w:sz w:val="20"/>
                <w:szCs w:val="20"/>
                <w:lang w:val="pl-PL"/>
              </w:rPr>
              <w:t>Każdy</w:t>
            </w:r>
            <w:r w:rsidRPr="00A85D08">
              <w:rPr>
                <w:rFonts w:asciiTheme="minorHAnsi" w:hAnsiTheme="minorHAnsi" w:cstheme="minorHAnsi"/>
                <w:spacing w:val="-34"/>
                <w:sz w:val="20"/>
                <w:szCs w:val="20"/>
                <w:lang w:val="pl-PL"/>
              </w:rPr>
              <w:t xml:space="preserve"> </w:t>
            </w:r>
            <w:r w:rsidRPr="00A85D08">
              <w:rPr>
                <w:rFonts w:asciiTheme="minorHAnsi" w:hAnsiTheme="minorHAnsi" w:cstheme="minorHAnsi"/>
                <w:sz w:val="20"/>
                <w:szCs w:val="20"/>
                <w:lang w:val="pl-PL"/>
              </w:rPr>
              <w:t>samochód</w:t>
            </w:r>
            <w:r w:rsidRPr="00A85D08">
              <w:rPr>
                <w:rFonts w:asciiTheme="minorHAnsi" w:hAnsiTheme="minorHAnsi" w:cstheme="minorHAnsi"/>
                <w:spacing w:val="-32"/>
                <w:sz w:val="20"/>
                <w:szCs w:val="20"/>
                <w:lang w:val="pl-PL"/>
              </w:rPr>
              <w:t xml:space="preserve"> </w:t>
            </w:r>
            <w:r w:rsidRPr="00A85D08">
              <w:rPr>
                <w:rFonts w:asciiTheme="minorHAnsi" w:hAnsiTheme="minorHAnsi" w:cstheme="minorHAnsi"/>
                <w:sz w:val="20"/>
                <w:szCs w:val="20"/>
                <w:lang w:val="pl-PL"/>
              </w:rPr>
              <w:t>przy</w:t>
            </w:r>
            <w:r w:rsidRPr="00A85D08">
              <w:rPr>
                <w:rFonts w:asciiTheme="minorHAnsi" w:hAnsiTheme="minorHAnsi" w:cstheme="minorHAnsi"/>
                <w:spacing w:val="-34"/>
                <w:sz w:val="20"/>
                <w:szCs w:val="20"/>
                <w:lang w:val="pl-PL"/>
              </w:rPr>
              <w:t xml:space="preserve"> </w:t>
            </w:r>
            <w:r w:rsidRPr="00A85D08">
              <w:rPr>
                <w:rFonts w:asciiTheme="minorHAnsi" w:hAnsiTheme="minorHAnsi" w:cstheme="minorHAnsi"/>
                <w:sz w:val="20"/>
                <w:szCs w:val="20"/>
                <w:lang w:val="pl-PL"/>
              </w:rPr>
              <w:t>załadunku</w:t>
            </w:r>
            <w:r w:rsidRPr="00A85D08">
              <w:rPr>
                <w:rFonts w:asciiTheme="minorHAnsi" w:hAnsiTheme="minorHAnsi" w:cstheme="minorHAnsi"/>
                <w:spacing w:val="-32"/>
                <w:sz w:val="20"/>
                <w:szCs w:val="20"/>
                <w:lang w:val="pl-PL"/>
              </w:rPr>
              <w:t xml:space="preserve"> </w:t>
            </w:r>
            <w:r w:rsidRPr="00A85D08">
              <w:rPr>
                <w:rFonts w:asciiTheme="minorHAnsi" w:hAnsiTheme="minorHAnsi" w:cstheme="minorHAnsi"/>
                <w:sz w:val="20"/>
                <w:szCs w:val="20"/>
                <w:lang w:val="pl-PL"/>
              </w:rPr>
              <w:t>i</w:t>
            </w:r>
            <w:r w:rsidRPr="00A85D08">
              <w:rPr>
                <w:rFonts w:asciiTheme="minorHAnsi" w:hAnsiTheme="minorHAnsi" w:cstheme="minorHAnsi"/>
                <w:spacing w:val="-33"/>
                <w:sz w:val="20"/>
                <w:szCs w:val="20"/>
                <w:lang w:val="pl-PL"/>
              </w:rPr>
              <w:t xml:space="preserve"> </w:t>
            </w:r>
            <w:r w:rsidRPr="00A85D08">
              <w:rPr>
                <w:rFonts w:asciiTheme="minorHAnsi" w:hAnsiTheme="minorHAnsi" w:cstheme="minorHAnsi"/>
                <w:sz w:val="20"/>
                <w:szCs w:val="20"/>
                <w:lang w:val="pl-PL"/>
              </w:rPr>
              <w:t>w</w:t>
            </w:r>
            <w:r w:rsidRPr="00A85D08">
              <w:rPr>
                <w:rFonts w:asciiTheme="minorHAnsi" w:hAnsiTheme="minorHAnsi" w:cstheme="minorHAnsi"/>
                <w:spacing w:val="-33"/>
                <w:sz w:val="20"/>
                <w:szCs w:val="20"/>
                <w:lang w:val="pl-PL"/>
              </w:rPr>
              <w:t xml:space="preserve"> </w:t>
            </w:r>
            <w:r w:rsidRPr="00A85D08">
              <w:rPr>
                <w:rFonts w:asciiTheme="minorHAnsi" w:hAnsiTheme="minorHAnsi" w:cstheme="minorHAnsi"/>
                <w:sz w:val="20"/>
                <w:szCs w:val="20"/>
                <w:lang w:val="pl-PL"/>
              </w:rPr>
              <w:t>czasie wbudowania</w:t>
            </w:r>
          </w:p>
        </w:tc>
      </w:tr>
      <w:tr w:rsidR="00A85D08" w:rsidRPr="00A85D08" w14:paraId="5E0AA94E" w14:textId="77777777" w:rsidTr="00A85D08">
        <w:trPr>
          <w:trHeight w:val="520"/>
        </w:trPr>
        <w:tc>
          <w:tcPr>
            <w:tcW w:w="523" w:type="dxa"/>
            <w:tcBorders>
              <w:top w:val="single" w:sz="4" w:space="0" w:color="000000"/>
              <w:left w:val="single" w:sz="4" w:space="0" w:color="000000"/>
              <w:bottom w:val="single" w:sz="4" w:space="0" w:color="000000"/>
              <w:right w:val="single" w:sz="4" w:space="0" w:color="000000"/>
            </w:tcBorders>
            <w:hideMark/>
          </w:tcPr>
          <w:p w14:paraId="41CE1475" w14:textId="77777777" w:rsidR="00A85D08" w:rsidRPr="00A85D08" w:rsidRDefault="00A85D08" w:rsidP="00A85D08">
            <w:pPr>
              <w:pStyle w:val="Tekstpodstawowy"/>
              <w:spacing w:line="240" w:lineRule="auto"/>
              <w:jc w:val="both"/>
              <w:rPr>
                <w:rFonts w:asciiTheme="minorHAnsi" w:hAnsiTheme="minorHAnsi" w:cstheme="minorHAnsi"/>
                <w:sz w:val="20"/>
                <w:szCs w:val="20"/>
              </w:rPr>
            </w:pPr>
            <w:r w:rsidRPr="00A85D08">
              <w:rPr>
                <w:rFonts w:asciiTheme="minorHAnsi" w:hAnsiTheme="minorHAnsi" w:cstheme="minorHAnsi"/>
                <w:sz w:val="20"/>
                <w:szCs w:val="20"/>
              </w:rPr>
              <w:t>6.</w:t>
            </w:r>
          </w:p>
        </w:tc>
        <w:tc>
          <w:tcPr>
            <w:tcW w:w="4262" w:type="dxa"/>
            <w:tcBorders>
              <w:top w:val="single" w:sz="4" w:space="0" w:color="000000"/>
              <w:left w:val="single" w:sz="4" w:space="0" w:color="000000"/>
              <w:bottom w:val="single" w:sz="4" w:space="0" w:color="000000"/>
              <w:right w:val="single" w:sz="4" w:space="0" w:color="000000"/>
            </w:tcBorders>
            <w:hideMark/>
          </w:tcPr>
          <w:p w14:paraId="19F39D34" w14:textId="77777777" w:rsidR="00A85D08" w:rsidRPr="00A85D08" w:rsidRDefault="00A85D08" w:rsidP="00A85D08">
            <w:pPr>
              <w:pStyle w:val="Tekstpodstawowy"/>
              <w:spacing w:line="240" w:lineRule="auto"/>
              <w:jc w:val="both"/>
              <w:rPr>
                <w:rFonts w:asciiTheme="minorHAnsi" w:hAnsiTheme="minorHAnsi" w:cstheme="minorHAnsi"/>
                <w:sz w:val="20"/>
                <w:szCs w:val="20"/>
                <w:lang w:val="pl-PL"/>
              </w:rPr>
            </w:pPr>
            <w:r w:rsidRPr="00A85D08">
              <w:rPr>
                <w:rFonts w:asciiTheme="minorHAnsi" w:hAnsiTheme="minorHAnsi" w:cstheme="minorHAnsi"/>
                <w:sz w:val="20"/>
                <w:szCs w:val="20"/>
                <w:lang w:val="pl-PL"/>
              </w:rPr>
              <w:t>Zawartość asfaltu rozpuszczalnego w mieszance mineralno-asfaltowej</w:t>
            </w:r>
          </w:p>
        </w:tc>
        <w:tc>
          <w:tcPr>
            <w:tcW w:w="4029" w:type="dxa"/>
            <w:tcBorders>
              <w:top w:val="single" w:sz="4" w:space="0" w:color="000000"/>
              <w:left w:val="single" w:sz="4" w:space="0" w:color="000000"/>
              <w:bottom w:val="single" w:sz="4" w:space="0" w:color="000000"/>
              <w:right w:val="single" w:sz="4" w:space="0" w:color="000000"/>
            </w:tcBorders>
            <w:hideMark/>
          </w:tcPr>
          <w:p w14:paraId="31E29F6B" w14:textId="77777777" w:rsidR="00A85D08" w:rsidRPr="00A85D08" w:rsidRDefault="00A85D08" w:rsidP="00A85D08">
            <w:pPr>
              <w:pStyle w:val="Tekstpodstawowy"/>
              <w:spacing w:line="240" w:lineRule="auto"/>
              <w:jc w:val="both"/>
              <w:rPr>
                <w:rFonts w:asciiTheme="minorHAnsi" w:hAnsiTheme="minorHAnsi" w:cstheme="minorHAnsi"/>
                <w:sz w:val="20"/>
                <w:szCs w:val="20"/>
                <w:lang w:val="pl-PL"/>
              </w:rPr>
            </w:pPr>
            <w:r w:rsidRPr="00A85D08">
              <w:rPr>
                <w:rFonts w:asciiTheme="minorHAnsi" w:hAnsiTheme="minorHAnsi" w:cstheme="minorHAnsi"/>
                <w:sz w:val="20"/>
                <w:szCs w:val="20"/>
                <w:lang w:val="pl-PL"/>
              </w:rPr>
              <w:t>1 raz na 1000 ton wyprodukowanej mma, przynajmniej raz dziennie w trakcie produkcji mma</w:t>
            </w:r>
          </w:p>
        </w:tc>
      </w:tr>
      <w:tr w:rsidR="00A85D08" w:rsidRPr="00A85D08" w14:paraId="0F9A3400" w14:textId="77777777" w:rsidTr="00A85D08">
        <w:trPr>
          <w:trHeight w:val="520"/>
        </w:trPr>
        <w:tc>
          <w:tcPr>
            <w:tcW w:w="523" w:type="dxa"/>
            <w:tcBorders>
              <w:top w:val="single" w:sz="4" w:space="0" w:color="000000"/>
              <w:left w:val="single" w:sz="4" w:space="0" w:color="000000"/>
              <w:bottom w:val="single" w:sz="4" w:space="0" w:color="000000"/>
              <w:right w:val="single" w:sz="4" w:space="0" w:color="000000"/>
            </w:tcBorders>
            <w:hideMark/>
          </w:tcPr>
          <w:p w14:paraId="5A0E0295" w14:textId="77777777" w:rsidR="00A85D08" w:rsidRPr="00A85D08" w:rsidRDefault="00A85D08" w:rsidP="00A85D08">
            <w:pPr>
              <w:pStyle w:val="Tekstpodstawowy"/>
              <w:spacing w:line="240" w:lineRule="auto"/>
              <w:jc w:val="both"/>
              <w:rPr>
                <w:rFonts w:asciiTheme="minorHAnsi" w:hAnsiTheme="minorHAnsi" w:cstheme="minorHAnsi"/>
                <w:sz w:val="20"/>
                <w:szCs w:val="20"/>
              </w:rPr>
            </w:pPr>
            <w:r w:rsidRPr="00A85D08">
              <w:rPr>
                <w:rFonts w:asciiTheme="minorHAnsi" w:hAnsiTheme="minorHAnsi" w:cstheme="minorHAnsi"/>
                <w:sz w:val="20"/>
                <w:szCs w:val="20"/>
              </w:rPr>
              <w:t>7.</w:t>
            </w:r>
          </w:p>
        </w:tc>
        <w:tc>
          <w:tcPr>
            <w:tcW w:w="4262" w:type="dxa"/>
            <w:tcBorders>
              <w:top w:val="single" w:sz="4" w:space="0" w:color="000000"/>
              <w:left w:val="single" w:sz="4" w:space="0" w:color="000000"/>
              <w:bottom w:val="single" w:sz="4" w:space="0" w:color="000000"/>
              <w:right w:val="single" w:sz="4" w:space="0" w:color="000000"/>
            </w:tcBorders>
            <w:hideMark/>
          </w:tcPr>
          <w:p w14:paraId="6685E186" w14:textId="77777777" w:rsidR="00A85D08" w:rsidRPr="00A85D08" w:rsidRDefault="00A85D08" w:rsidP="00A85D08">
            <w:pPr>
              <w:pStyle w:val="Tekstpodstawowy"/>
              <w:spacing w:line="240" w:lineRule="auto"/>
              <w:jc w:val="both"/>
              <w:rPr>
                <w:rFonts w:asciiTheme="minorHAnsi" w:hAnsiTheme="minorHAnsi" w:cstheme="minorHAnsi"/>
                <w:sz w:val="20"/>
                <w:szCs w:val="20"/>
              </w:rPr>
            </w:pPr>
            <w:r w:rsidRPr="00A85D08">
              <w:rPr>
                <w:rFonts w:asciiTheme="minorHAnsi" w:hAnsiTheme="minorHAnsi" w:cstheme="minorHAnsi"/>
                <w:sz w:val="20"/>
                <w:szCs w:val="20"/>
              </w:rPr>
              <w:t>Uziarnienie mieszanki mineralno-asfaltowej</w:t>
            </w:r>
          </w:p>
        </w:tc>
        <w:tc>
          <w:tcPr>
            <w:tcW w:w="4029" w:type="dxa"/>
            <w:tcBorders>
              <w:top w:val="single" w:sz="4" w:space="0" w:color="000000"/>
              <w:left w:val="single" w:sz="4" w:space="0" w:color="000000"/>
              <w:bottom w:val="single" w:sz="4" w:space="0" w:color="000000"/>
              <w:right w:val="single" w:sz="4" w:space="0" w:color="000000"/>
            </w:tcBorders>
            <w:hideMark/>
          </w:tcPr>
          <w:p w14:paraId="3929B1E3" w14:textId="77777777" w:rsidR="00A85D08" w:rsidRPr="00A85D08" w:rsidRDefault="00A85D08" w:rsidP="00A85D08">
            <w:pPr>
              <w:pStyle w:val="Tekstpodstawowy"/>
              <w:spacing w:line="240" w:lineRule="auto"/>
              <w:jc w:val="both"/>
              <w:rPr>
                <w:rFonts w:asciiTheme="minorHAnsi" w:hAnsiTheme="minorHAnsi" w:cstheme="minorHAnsi"/>
                <w:sz w:val="20"/>
                <w:szCs w:val="20"/>
                <w:lang w:val="pl-PL"/>
              </w:rPr>
            </w:pPr>
            <w:r w:rsidRPr="00A85D08">
              <w:rPr>
                <w:rFonts w:asciiTheme="minorHAnsi" w:hAnsiTheme="minorHAnsi" w:cstheme="minorHAnsi"/>
                <w:sz w:val="20"/>
                <w:szCs w:val="20"/>
                <w:lang w:val="pl-PL"/>
              </w:rPr>
              <w:t>1 raz na 1000 ton wyprodukowanej mma, przynajmniej raz dziennie w trakcie produkcji mma</w:t>
            </w:r>
          </w:p>
        </w:tc>
      </w:tr>
      <w:tr w:rsidR="00A85D08" w:rsidRPr="00A85D08" w14:paraId="463FA22E" w14:textId="77777777" w:rsidTr="00A85D08">
        <w:trPr>
          <w:trHeight w:val="520"/>
        </w:trPr>
        <w:tc>
          <w:tcPr>
            <w:tcW w:w="523" w:type="dxa"/>
            <w:tcBorders>
              <w:top w:val="single" w:sz="4" w:space="0" w:color="000000"/>
              <w:left w:val="single" w:sz="4" w:space="0" w:color="000000"/>
              <w:bottom w:val="single" w:sz="4" w:space="0" w:color="000000"/>
              <w:right w:val="single" w:sz="4" w:space="0" w:color="000000"/>
            </w:tcBorders>
            <w:hideMark/>
          </w:tcPr>
          <w:p w14:paraId="29C99202" w14:textId="77777777" w:rsidR="00A85D08" w:rsidRPr="00A85D08" w:rsidRDefault="00A85D08" w:rsidP="00A85D08">
            <w:pPr>
              <w:pStyle w:val="Tekstpodstawowy"/>
              <w:spacing w:line="240" w:lineRule="auto"/>
              <w:jc w:val="both"/>
              <w:rPr>
                <w:rFonts w:asciiTheme="minorHAnsi" w:hAnsiTheme="minorHAnsi" w:cstheme="minorHAnsi"/>
                <w:sz w:val="20"/>
                <w:szCs w:val="20"/>
              </w:rPr>
            </w:pPr>
            <w:r w:rsidRPr="00A85D08">
              <w:rPr>
                <w:rFonts w:asciiTheme="minorHAnsi" w:hAnsiTheme="minorHAnsi" w:cstheme="minorHAnsi"/>
                <w:sz w:val="20"/>
                <w:szCs w:val="20"/>
              </w:rPr>
              <w:t>8.</w:t>
            </w:r>
          </w:p>
        </w:tc>
        <w:tc>
          <w:tcPr>
            <w:tcW w:w="4262" w:type="dxa"/>
            <w:tcBorders>
              <w:top w:val="single" w:sz="4" w:space="0" w:color="000000"/>
              <w:left w:val="single" w:sz="4" w:space="0" w:color="000000"/>
              <w:bottom w:val="single" w:sz="4" w:space="0" w:color="000000"/>
              <w:right w:val="single" w:sz="4" w:space="0" w:color="000000"/>
            </w:tcBorders>
            <w:hideMark/>
          </w:tcPr>
          <w:p w14:paraId="34F31E6F" w14:textId="77777777" w:rsidR="00A85D08" w:rsidRPr="00A85D08" w:rsidRDefault="00A85D08" w:rsidP="00A85D08">
            <w:pPr>
              <w:pStyle w:val="Tekstpodstawowy"/>
              <w:spacing w:line="240" w:lineRule="auto"/>
              <w:jc w:val="both"/>
              <w:rPr>
                <w:rFonts w:asciiTheme="minorHAnsi" w:hAnsiTheme="minorHAnsi" w:cstheme="minorHAnsi"/>
                <w:sz w:val="20"/>
                <w:szCs w:val="20"/>
                <w:lang w:val="pl-PL"/>
              </w:rPr>
            </w:pPr>
            <w:r w:rsidRPr="00A85D08">
              <w:rPr>
                <w:rFonts w:asciiTheme="minorHAnsi" w:hAnsiTheme="minorHAnsi" w:cstheme="minorHAnsi"/>
                <w:sz w:val="20"/>
                <w:szCs w:val="20"/>
                <w:lang w:val="pl-PL"/>
              </w:rPr>
              <w:t>Zawartość wolnych przestrzeni w próbkach Marshalla</w:t>
            </w:r>
          </w:p>
        </w:tc>
        <w:tc>
          <w:tcPr>
            <w:tcW w:w="4029" w:type="dxa"/>
            <w:tcBorders>
              <w:top w:val="single" w:sz="4" w:space="0" w:color="000000"/>
              <w:left w:val="single" w:sz="4" w:space="0" w:color="000000"/>
              <w:bottom w:val="single" w:sz="4" w:space="0" w:color="000000"/>
              <w:right w:val="single" w:sz="4" w:space="0" w:color="000000"/>
            </w:tcBorders>
            <w:hideMark/>
          </w:tcPr>
          <w:p w14:paraId="6DE35BA4" w14:textId="77777777" w:rsidR="00A85D08" w:rsidRPr="00A85D08" w:rsidRDefault="00A85D08" w:rsidP="00A85D08">
            <w:pPr>
              <w:pStyle w:val="Tekstpodstawowy"/>
              <w:spacing w:line="240" w:lineRule="auto"/>
              <w:jc w:val="both"/>
              <w:rPr>
                <w:rFonts w:asciiTheme="minorHAnsi" w:hAnsiTheme="minorHAnsi" w:cstheme="minorHAnsi"/>
                <w:sz w:val="20"/>
                <w:szCs w:val="20"/>
                <w:lang w:val="pl-PL"/>
              </w:rPr>
            </w:pPr>
            <w:r w:rsidRPr="00A85D08">
              <w:rPr>
                <w:rFonts w:asciiTheme="minorHAnsi" w:hAnsiTheme="minorHAnsi" w:cstheme="minorHAnsi"/>
                <w:sz w:val="20"/>
                <w:szCs w:val="20"/>
                <w:lang w:val="pl-PL"/>
              </w:rPr>
              <w:t>1 raz na 1000 ton wyprodukowanej mma, przynajmniej raz dziennie w trakcie produkcji mma</w:t>
            </w:r>
          </w:p>
        </w:tc>
      </w:tr>
      <w:tr w:rsidR="00A85D08" w:rsidRPr="00A85D08" w14:paraId="600C413A" w14:textId="77777777" w:rsidTr="00A85D08">
        <w:trPr>
          <w:trHeight w:val="290"/>
        </w:trPr>
        <w:tc>
          <w:tcPr>
            <w:tcW w:w="523" w:type="dxa"/>
            <w:tcBorders>
              <w:top w:val="single" w:sz="4" w:space="0" w:color="000000"/>
              <w:left w:val="single" w:sz="4" w:space="0" w:color="000000"/>
              <w:bottom w:val="single" w:sz="4" w:space="0" w:color="000000"/>
              <w:right w:val="single" w:sz="4" w:space="0" w:color="000000"/>
            </w:tcBorders>
            <w:hideMark/>
          </w:tcPr>
          <w:p w14:paraId="123DA571" w14:textId="77777777" w:rsidR="00A85D08" w:rsidRPr="00A85D08" w:rsidRDefault="00A85D08" w:rsidP="00A85D08">
            <w:pPr>
              <w:pStyle w:val="Tekstpodstawowy"/>
              <w:spacing w:line="240" w:lineRule="auto"/>
              <w:jc w:val="both"/>
              <w:rPr>
                <w:rFonts w:asciiTheme="minorHAnsi" w:hAnsiTheme="minorHAnsi" w:cstheme="minorHAnsi"/>
                <w:sz w:val="20"/>
                <w:szCs w:val="20"/>
              </w:rPr>
            </w:pPr>
            <w:r w:rsidRPr="00A85D08">
              <w:rPr>
                <w:rFonts w:asciiTheme="minorHAnsi" w:hAnsiTheme="minorHAnsi" w:cstheme="minorHAnsi"/>
                <w:sz w:val="20"/>
                <w:szCs w:val="20"/>
              </w:rPr>
              <w:t>9.</w:t>
            </w:r>
          </w:p>
        </w:tc>
        <w:tc>
          <w:tcPr>
            <w:tcW w:w="4262" w:type="dxa"/>
            <w:tcBorders>
              <w:top w:val="single" w:sz="4" w:space="0" w:color="000000"/>
              <w:left w:val="single" w:sz="4" w:space="0" w:color="000000"/>
              <w:bottom w:val="single" w:sz="4" w:space="0" w:color="000000"/>
              <w:right w:val="single" w:sz="4" w:space="0" w:color="000000"/>
            </w:tcBorders>
            <w:hideMark/>
          </w:tcPr>
          <w:p w14:paraId="620094A6" w14:textId="77777777" w:rsidR="00A85D08" w:rsidRPr="00A85D08" w:rsidRDefault="00A85D08" w:rsidP="00A85D08">
            <w:pPr>
              <w:pStyle w:val="Tekstpodstawowy"/>
              <w:spacing w:line="240" w:lineRule="auto"/>
              <w:jc w:val="both"/>
              <w:rPr>
                <w:rFonts w:asciiTheme="minorHAnsi" w:hAnsiTheme="minorHAnsi" w:cstheme="minorHAnsi"/>
                <w:sz w:val="20"/>
                <w:szCs w:val="20"/>
              </w:rPr>
            </w:pPr>
            <w:r w:rsidRPr="00A85D08">
              <w:rPr>
                <w:rFonts w:asciiTheme="minorHAnsi" w:hAnsiTheme="minorHAnsi" w:cstheme="minorHAnsi"/>
                <w:sz w:val="20"/>
                <w:szCs w:val="20"/>
              </w:rPr>
              <w:t>Temperatura mięknienia lepiszcza odzyskanego</w:t>
            </w:r>
          </w:p>
        </w:tc>
        <w:tc>
          <w:tcPr>
            <w:tcW w:w="4029" w:type="dxa"/>
            <w:tcBorders>
              <w:top w:val="single" w:sz="4" w:space="0" w:color="000000"/>
              <w:left w:val="single" w:sz="4" w:space="0" w:color="000000"/>
              <w:bottom w:val="single" w:sz="4" w:space="0" w:color="000000"/>
              <w:right w:val="single" w:sz="4" w:space="0" w:color="000000"/>
            </w:tcBorders>
            <w:hideMark/>
          </w:tcPr>
          <w:p w14:paraId="4B5391C6" w14:textId="77777777" w:rsidR="00A85D08" w:rsidRPr="00A85D08" w:rsidRDefault="00A85D08" w:rsidP="00A85D08">
            <w:pPr>
              <w:pStyle w:val="Tekstpodstawowy"/>
              <w:spacing w:line="240" w:lineRule="auto"/>
              <w:jc w:val="both"/>
              <w:rPr>
                <w:rFonts w:asciiTheme="minorHAnsi" w:hAnsiTheme="minorHAnsi" w:cstheme="minorHAnsi"/>
                <w:sz w:val="20"/>
                <w:szCs w:val="20"/>
                <w:lang w:val="pl-PL"/>
              </w:rPr>
            </w:pPr>
            <w:r w:rsidRPr="00A85D08">
              <w:rPr>
                <w:rFonts w:asciiTheme="minorHAnsi" w:hAnsiTheme="minorHAnsi" w:cstheme="minorHAnsi"/>
                <w:sz w:val="20"/>
                <w:szCs w:val="20"/>
                <w:lang w:val="pl-PL"/>
              </w:rPr>
              <w:t>1 raz na 10 000 ton wyprodukowanej mma</w:t>
            </w:r>
          </w:p>
        </w:tc>
      </w:tr>
      <w:tr w:rsidR="00A85D08" w:rsidRPr="00A85D08" w14:paraId="1DF4AF73" w14:textId="77777777" w:rsidTr="00A85D08">
        <w:trPr>
          <w:trHeight w:val="290"/>
        </w:trPr>
        <w:tc>
          <w:tcPr>
            <w:tcW w:w="8814" w:type="dxa"/>
            <w:gridSpan w:val="3"/>
            <w:tcBorders>
              <w:top w:val="single" w:sz="4" w:space="0" w:color="000000"/>
              <w:left w:val="single" w:sz="4" w:space="0" w:color="000000"/>
              <w:bottom w:val="single" w:sz="4" w:space="0" w:color="000000"/>
              <w:right w:val="single" w:sz="4" w:space="0" w:color="000000"/>
            </w:tcBorders>
            <w:hideMark/>
          </w:tcPr>
          <w:p w14:paraId="512F4847" w14:textId="77777777" w:rsidR="00A85D08" w:rsidRPr="00A85D08" w:rsidRDefault="00A85D08" w:rsidP="00A85D08">
            <w:pPr>
              <w:pStyle w:val="Tekstpodstawowy"/>
              <w:spacing w:line="240" w:lineRule="auto"/>
              <w:jc w:val="both"/>
              <w:rPr>
                <w:rFonts w:asciiTheme="minorHAnsi" w:hAnsiTheme="minorHAnsi" w:cstheme="minorHAnsi"/>
                <w:sz w:val="20"/>
                <w:szCs w:val="20"/>
                <w:lang w:val="pl-PL"/>
              </w:rPr>
            </w:pPr>
            <w:r w:rsidRPr="00A85D08">
              <w:rPr>
                <w:rFonts w:asciiTheme="minorHAnsi" w:hAnsiTheme="minorHAnsi" w:cstheme="minorHAnsi"/>
                <w:sz w:val="20"/>
                <w:szCs w:val="20"/>
                <w:lang w:val="pl-PL"/>
              </w:rPr>
              <w:t>Badania po wykonaniu warstwy wiążącej</w:t>
            </w:r>
          </w:p>
        </w:tc>
      </w:tr>
      <w:tr w:rsidR="00A85D08" w:rsidRPr="00A85D08" w14:paraId="1D41EB4C" w14:textId="77777777" w:rsidTr="00A85D08">
        <w:trPr>
          <w:trHeight w:val="520"/>
        </w:trPr>
        <w:tc>
          <w:tcPr>
            <w:tcW w:w="523" w:type="dxa"/>
            <w:tcBorders>
              <w:top w:val="single" w:sz="4" w:space="0" w:color="000000"/>
              <w:left w:val="single" w:sz="4" w:space="0" w:color="000000"/>
              <w:bottom w:val="single" w:sz="4" w:space="0" w:color="000000"/>
              <w:right w:val="single" w:sz="4" w:space="0" w:color="000000"/>
            </w:tcBorders>
            <w:hideMark/>
          </w:tcPr>
          <w:p w14:paraId="4EFB9895" w14:textId="77777777" w:rsidR="00A85D08" w:rsidRPr="00A85D08" w:rsidRDefault="00A85D08" w:rsidP="00A85D08">
            <w:pPr>
              <w:pStyle w:val="Tekstpodstawowy"/>
              <w:spacing w:line="240" w:lineRule="auto"/>
              <w:jc w:val="both"/>
              <w:rPr>
                <w:rFonts w:asciiTheme="minorHAnsi" w:hAnsiTheme="minorHAnsi" w:cstheme="minorHAnsi"/>
                <w:sz w:val="20"/>
                <w:szCs w:val="20"/>
              </w:rPr>
            </w:pPr>
            <w:r w:rsidRPr="00A85D08">
              <w:rPr>
                <w:rFonts w:asciiTheme="minorHAnsi" w:hAnsiTheme="minorHAnsi" w:cstheme="minorHAnsi"/>
                <w:sz w:val="20"/>
                <w:szCs w:val="20"/>
              </w:rPr>
              <w:t>10.</w:t>
            </w:r>
          </w:p>
        </w:tc>
        <w:tc>
          <w:tcPr>
            <w:tcW w:w="4262" w:type="dxa"/>
            <w:tcBorders>
              <w:top w:val="single" w:sz="4" w:space="0" w:color="000000"/>
              <w:left w:val="single" w:sz="4" w:space="0" w:color="000000"/>
              <w:bottom w:val="single" w:sz="4" w:space="0" w:color="000000"/>
              <w:right w:val="single" w:sz="4" w:space="0" w:color="000000"/>
            </w:tcBorders>
            <w:hideMark/>
          </w:tcPr>
          <w:p w14:paraId="251962BF" w14:textId="77777777" w:rsidR="00A85D08" w:rsidRPr="00A85D08" w:rsidRDefault="00A85D08" w:rsidP="00A85D08">
            <w:pPr>
              <w:pStyle w:val="Tekstpodstawowy"/>
              <w:spacing w:line="240" w:lineRule="auto"/>
              <w:jc w:val="both"/>
              <w:rPr>
                <w:rFonts w:asciiTheme="minorHAnsi" w:hAnsiTheme="minorHAnsi" w:cstheme="minorHAnsi"/>
                <w:sz w:val="20"/>
                <w:szCs w:val="20"/>
                <w:lang w:val="pl-PL"/>
              </w:rPr>
            </w:pPr>
            <w:r w:rsidRPr="00A85D08">
              <w:rPr>
                <w:rFonts w:asciiTheme="minorHAnsi" w:hAnsiTheme="minorHAnsi" w:cstheme="minorHAnsi"/>
                <w:sz w:val="20"/>
                <w:szCs w:val="20"/>
                <w:lang w:val="pl-PL"/>
              </w:rPr>
              <w:t>Grubość warstwy, wskaźnik zagęszczenia warstwy, wolna przestrzeń w warstwie</w:t>
            </w:r>
          </w:p>
        </w:tc>
        <w:tc>
          <w:tcPr>
            <w:tcW w:w="4029" w:type="dxa"/>
            <w:tcBorders>
              <w:top w:val="single" w:sz="4" w:space="0" w:color="000000"/>
              <w:left w:val="single" w:sz="4" w:space="0" w:color="000000"/>
              <w:bottom w:val="single" w:sz="4" w:space="0" w:color="000000"/>
              <w:right w:val="single" w:sz="4" w:space="0" w:color="000000"/>
            </w:tcBorders>
            <w:hideMark/>
          </w:tcPr>
          <w:p w14:paraId="59EE1253" w14:textId="77777777" w:rsidR="00A85D08" w:rsidRPr="00A85D08" w:rsidRDefault="00A85D08" w:rsidP="00A85D08">
            <w:pPr>
              <w:pStyle w:val="Tekstpodstawowy"/>
              <w:spacing w:line="240" w:lineRule="auto"/>
              <w:jc w:val="both"/>
              <w:rPr>
                <w:rFonts w:asciiTheme="minorHAnsi" w:hAnsiTheme="minorHAnsi" w:cstheme="minorHAnsi"/>
                <w:sz w:val="20"/>
                <w:szCs w:val="20"/>
              </w:rPr>
            </w:pPr>
            <w:r w:rsidRPr="00A85D08">
              <w:rPr>
                <w:rFonts w:asciiTheme="minorHAnsi" w:hAnsiTheme="minorHAnsi" w:cstheme="minorHAnsi"/>
                <w:sz w:val="20"/>
                <w:szCs w:val="20"/>
              </w:rPr>
              <w:t>2 próbki na 1 km jezdni</w:t>
            </w:r>
          </w:p>
        </w:tc>
      </w:tr>
      <w:tr w:rsidR="00A85D08" w:rsidRPr="00A85D08" w14:paraId="5B8336D3" w14:textId="77777777" w:rsidTr="00A85D08">
        <w:trPr>
          <w:trHeight w:val="520"/>
        </w:trPr>
        <w:tc>
          <w:tcPr>
            <w:tcW w:w="523" w:type="dxa"/>
            <w:tcBorders>
              <w:top w:val="single" w:sz="4" w:space="0" w:color="000000"/>
              <w:left w:val="single" w:sz="4" w:space="0" w:color="000000"/>
              <w:bottom w:val="single" w:sz="4" w:space="0" w:color="000000"/>
              <w:right w:val="single" w:sz="4" w:space="0" w:color="000000"/>
            </w:tcBorders>
            <w:hideMark/>
          </w:tcPr>
          <w:p w14:paraId="04EC80BB" w14:textId="77777777" w:rsidR="00A85D08" w:rsidRPr="00A85D08" w:rsidRDefault="00A85D08" w:rsidP="00A85D08">
            <w:pPr>
              <w:pStyle w:val="Tekstpodstawowy"/>
              <w:spacing w:line="240" w:lineRule="auto"/>
              <w:jc w:val="both"/>
              <w:rPr>
                <w:rFonts w:asciiTheme="minorHAnsi" w:hAnsiTheme="minorHAnsi" w:cstheme="minorHAnsi"/>
                <w:sz w:val="20"/>
                <w:szCs w:val="20"/>
              </w:rPr>
            </w:pPr>
            <w:r w:rsidRPr="00A85D08">
              <w:rPr>
                <w:rFonts w:asciiTheme="minorHAnsi" w:hAnsiTheme="minorHAnsi" w:cstheme="minorHAnsi"/>
                <w:sz w:val="20"/>
                <w:szCs w:val="20"/>
              </w:rPr>
              <w:t>11.</w:t>
            </w:r>
          </w:p>
        </w:tc>
        <w:tc>
          <w:tcPr>
            <w:tcW w:w="4262" w:type="dxa"/>
            <w:tcBorders>
              <w:top w:val="single" w:sz="4" w:space="0" w:color="000000"/>
              <w:left w:val="single" w:sz="4" w:space="0" w:color="000000"/>
              <w:bottom w:val="single" w:sz="4" w:space="0" w:color="000000"/>
              <w:right w:val="single" w:sz="4" w:space="0" w:color="000000"/>
            </w:tcBorders>
            <w:hideMark/>
          </w:tcPr>
          <w:p w14:paraId="0013294E" w14:textId="77777777" w:rsidR="00A85D08" w:rsidRPr="00A85D08" w:rsidRDefault="00A85D08" w:rsidP="00A85D08">
            <w:pPr>
              <w:pStyle w:val="Tekstpodstawowy"/>
              <w:spacing w:line="240" w:lineRule="auto"/>
              <w:jc w:val="both"/>
              <w:rPr>
                <w:rFonts w:asciiTheme="minorHAnsi" w:hAnsiTheme="minorHAnsi" w:cstheme="minorHAnsi"/>
                <w:sz w:val="20"/>
                <w:szCs w:val="20"/>
                <w:lang w:val="pl-PL"/>
              </w:rPr>
            </w:pPr>
            <w:r w:rsidRPr="00A85D08">
              <w:rPr>
                <w:rFonts w:asciiTheme="minorHAnsi" w:hAnsiTheme="minorHAnsi" w:cstheme="minorHAnsi"/>
                <w:sz w:val="20"/>
                <w:szCs w:val="20"/>
                <w:lang w:val="pl-PL"/>
              </w:rPr>
              <w:t>Wytrzymałość na ścinanie połączeń między warstwami (podbudowa/wiążąca)</w:t>
            </w:r>
          </w:p>
        </w:tc>
        <w:tc>
          <w:tcPr>
            <w:tcW w:w="4029" w:type="dxa"/>
            <w:tcBorders>
              <w:top w:val="single" w:sz="4" w:space="0" w:color="000000"/>
              <w:left w:val="single" w:sz="4" w:space="0" w:color="000000"/>
              <w:bottom w:val="single" w:sz="4" w:space="0" w:color="000000"/>
              <w:right w:val="single" w:sz="4" w:space="0" w:color="000000"/>
            </w:tcBorders>
            <w:hideMark/>
          </w:tcPr>
          <w:p w14:paraId="7A243E9E" w14:textId="77777777" w:rsidR="00A85D08" w:rsidRPr="00A85D08" w:rsidRDefault="00A85D08" w:rsidP="00A85D08">
            <w:pPr>
              <w:pStyle w:val="Tekstpodstawowy"/>
              <w:spacing w:line="240" w:lineRule="auto"/>
              <w:jc w:val="both"/>
              <w:rPr>
                <w:rFonts w:asciiTheme="minorHAnsi" w:hAnsiTheme="minorHAnsi" w:cstheme="minorHAnsi"/>
                <w:sz w:val="20"/>
                <w:szCs w:val="20"/>
              </w:rPr>
            </w:pPr>
            <w:r w:rsidRPr="00A85D08">
              <w:rPr>
                <w:rFonts w:asciiTheme="minorHAnsi" w:hAnsiTheme="minorHAnsi" w:cstheme="minorHAnsi"/>
                <w:sz w:val="20"/>
                <w:szCs w:val="20"/>
              </w:rPr>
              <w:t>2 próbki na 1 km jezdni</w:t>
            </w:r>
          </w:p>
        </w:tc>
      </w:tr>
    </w:tbl>
    <w:p w14:paraId="53DB14D8" w14:textId="77777777" w:rsidR="00A85D08" w:rsidRPr="00A85D08" w:rsidRDefault="00A85D08" w:rsidP="00A85D08">
      <w:pPr>
        <w:pStyle w:val="Tekstpodstawowy"/>
        <w:spacing w:line="240" w:lineRule="auto"/>
        <w:jc w:val="both"/>
        <w:rPr>
          <w:rFonts w:asciiTheme="minorHAnsi" w:hAnsiTheme="minorHAnsi" w:cstheme="minorHAnsi"/>
          <w:sz w:val="20"/>
          <w:szCs w:val="20"/>
        </w:rPr>
      </w:pPr>
    </w:p>
    <w:p w14:paraId="16BB744B" w14:textId="77777777" w:rsidR="00A85D08" w:rsidRPr="00A85D08" w:rsidRDefault="00A85D08" w:rsidP="00A85D08">
      <w:pPr>
        <w:pStyle w:val="Tekstpodstawowy"/>
        <w:spacing w:line="240" w:lineRule="auto"/>
        <w:jc w:val="both"/>
        <w:rPr>
          <w:rFonts w:asciiTheme="minorHAnsi" w:hAnsiTheme="minorHAnsi" w:cstheme="minorHAnsi"/>
          <w:b/>
          <w:sz w:val="20"/>
          <w:szCs w:val="20"/>
        </w:rPr>
      </w:pPr>
      <w:r w:rsidRPr="00A85D08">
        <w:rPr>
          <w:rFonts w:asciiTheme="minorHAnsi" w:hAnsiTheme="minorHAnsi" w:cstheme="minorHAnsi"/>
          <w:b/>
          <w:sz w:val="20"/>
          <w:szCs w:val="20"/>
        </w:rPr>
        <w:t>6.3.1 Zawartość lepiszcza</w:t>
      </w:r>
      <w:r w:rsidRPr="00A85D08">
        <w:rPr>
          <w:rFonts w:asciiTheme="minorHAnsi" w:hAnsiTheme="minorHAnsi" w:cstheme="minorHAnsi"/>
          <w:b/>
          <w:spacing w:val="-2"/>
          <w:sz w:val="20"/>
          <w:szCs w:val="20"/>
        </w:rPr>
        <w:t xml:space="preserve"> </w:t>
      </w:r>
      <w:r w:rsidRPr="00A85D08">
        <w:rPr>
          <w:rFonts w:asciiTheme="minorHAnsi" w:hAnsiTheme="minorHAnsi" w:cstheme="minorHAnsi"/>
          <w:b/>
          <w:sz w:val="20"/>
          <w:szCs w:val="20"/>
        </w:rPr>
        <w:t>rozpuszczalnego</w:t>
      </w:r>
    </w:p>
    <w:p w14:paraId="30692236" w14:textId="77777777" w:rsidR="00A85D08" w:rsidRPr="00A85D08" w:rsidRDefault="00A85D08" w:rsidP="00A85D08">
      <w:pPr>
        <w:pStyle w:val="Tekstpodstawowy"/>
        <w:spacing w:line="240" w:lineRule="auto"/>
        <w:jc w:val="both"/>
        <w:rPr>
          <w:rFonts w:asciiTheme="minorHAnsi" w:hAnsiTheme="minorHAnsi" w:cstheme="minorHAnsi"/>
          <w:sz w:val="20"/>
          <w:szCs w:val="20"/>
        </w:rPr>
      </w:pPr>
      <w:r w:rsidRPr="00A85D08">
        <w:rPr>
          <w:rFonts w:asciiTheme="minorHAnsi" w:hAnsiTheme="minorHAnsi" w:cstheme="minorHAnsi"/>
          <w:sz w:val="20"/>
          <w:szCs w:val="20"/>
        </w:rPr>
        <w:t>Badanie polega na wykonaniu ekstrakcji lepiszcza, zgodnie PN-EN 12697-1, z próbki pobranej z mieszanki mineralno-asfaltowej. Zawartość rozpuszczalnego lepiszcza z każdej pobranej próbki nie może odbiegać od wartości projektowanej, z uwzględnieniem dopuszczalnej odchyłki wg Instrukcji DP-T-14</w:t>
      </w:r>
    </w:p>
    <w:p w14:paraId="4C52379A" w14:textId="77777777" w:rsidR="00A85D08" w:rsidRPr="00A85D08" w:rsidRDefault="00A85D08" w:rsidP="00A85D08">
      <w:pPr>
        <w:pStyle w:val="Tekstpodstawowy"/>
        <w:spacing w:line="240" w:lineRule="auto"/>
        <w:jc w:val="both"/>
        <w:rPr>
          <w:rFonts w:asciiTheme="minorHAnsi" w:hAnsiTheme="minorHAnsi" w:cstheme="minorHAnsi"/>
          <w:b/>
          <w:sz w:val="20"/>
          <w:szCs w:val="20"/>
        </w:rPr>
      </w:pPr>
      <w:r w:rsidRPr="00A85D08">
        <w:rPr>
          <w:rFonts w:asciiTheme="minorHAnsi" w:hAnsiTheme="minorHAnsi" w:cstheme="minorHAnsi"/>
          <w:b/>
          <w:sz w:val="20"/>
          <w:szCs w:val="20"/>
        </w:rPr>
        <w:t>6.3.2 Uziarnienie mieszanki</w:t>
      </w:r>
      <w:r w:rsidRPr="00A85D08">
        <w:rPr>
          <w:rFonts w:asciiTheme="minorHAnsi" w:hAnsiTheme="minorHAnsi" w:cstheme="minorHAnsi"/>
          <w:b/>
          <w:spacing w:val="-3"/>
          <w:sz w:val="20"/>
          <w:szCs w:val="20"/>
        </w:rPr>
        <w:t xml:space="preserve"> </w:t>
      </w:r>
      <w:r w:rsidRPr="00A85D08">
        <w:rPr>
          <w:rFonts w:asciiTheme="minorHAnsi" w:hAnsiTheme="minorHAnsi" w:cstheme="minorHAnsi"/>
          <w:b/>
          <w:sz w:val="20"/>
          <w:szCs w:val="20"/>
        </w:rPr>
        <w:t>mineralnej</w:t>
      </w:r>
    </w:p>
    <w:p w14:paraId="092BDB73" w14:textId="77777777" w:rsidR="00A85D08" w:rsidRPr="00A85D08" w:rsidRDefault="00A85D08" w:rsidP="00A85D08">
      <w:pPr>
        <w:pStyle w:val="Tekstpodstawowy"/>
        <w:spacing w:line="240" w:lineRule="auto"/>
        <w:jc w:val="both"/>
        <w:rPr>
          <w:rFonts w:asciiTheme="minorHAnsi" w:hAnsiTheme="minorHAnsi" w:cstheme="minorHAnsi"/>
          <w:sz w:val="20"/>
          <w:szCs w:val="20"/>
        </w:rPr>
      </w:pPr>
      <w:r w:rsidRPr="00A85D08">
        <w:rPr>
          <w:rFonts w:asciiTheme="minorHAnsi" w:hAnsiTheme="minorHAnsi" w:cstheme="minorHAnsi"/>
          <w:sz w:val="20"/>
          <w:szCs w:val="20"/>
        </w:rPr>
        <w:t>Po wykonaniu ekstrakcji lepiszcza należy przeprowadzić kontrolę uziarnienia mieszanki kruszywa mineralnego wg 12697-2. Uziarnienie każdej próbki pobranej z luźnej mieszanki mineralno-asfaltowej nie może odbiegać od wartości projektowanych z uwzględnieniem dopuszczalnych odchyłek wg Instrukcji DP-T-14</w:t>
      </w:r>
    </w:p>
    <w:p w14:paraId="728E8FB5" w14:textId="77777777" w:rsidR="00A85D08" w:rsidRPr="00A85D08" w:rsidRDefault="00A85D08" w:rsidP="00A85D08">
      <w:pPr>
        <w:pStyle w:val="Tekstpodstawowy"/>
        <w:spacing w:line="240" w:lineRule="auto"/>
        <w:jc w:val="both"/>
        <w:rPr>
          <w:rFonts w:asciiTheme="minorHAnsi" w:hAnsiTheme="minorHAnsi" w:cstheme="minorHAnsi"/>
          <w:b/>
          <w:sz w:val="20"/>
          <w:szCs w:val="20"/>
        </w:rPr>
      </w:pPr>
      <w:r w:rsidRPr="00A85D08">
        <w:rPr>
          <w:rFonts w:asciiTheme="minorHAnsi" w:hAnsiTheme="minorHAnsi" w:cstheme="minorHAnsi"/>
          <w:b/>
          <w:sz w:val="20"/>
          <w:szCs w:val="20"/>
        </w:rPr>
        <w:t>6.3.3 Zawartość wolnych przestrzeni w mieszance MMA</w:t>
      </w:r>
    </w:p>
    <w:p w14:paraId="622C1727" w14:textId="77777777" w:rsidR="00A85D08" w:rsidRPr="00A85D08" w:rsidRDefault="00A85D08" w:rsidP="00A85D08">
      <w:pPr>
        <w:pStyle w:val="Tekstpodstawowy"/>
        <w:spacing w:line="240" w:lineRule="auto"/>
        <w:jc w:val="both"/>
        <w:rPr>
          <w:rFonts w:asciiTheme="minorHAnsi" w:hAnsiTheme="minorHAnsi" w:cstheme="minorHAnsi"/>
          <w:sz w:val="20"/>
          <w:szCs w:val="20"/>
        </w:rPr>
      </w:pPr>
      <w:r w:rsidRPr="00A85D08">
        <w:rPr>
          <w:rFonts w:asciiTheme="minorHAnsi" w:hAnsiTheme="minorHAnsi" w:cstheme="minorHAnsi"/>
          <w:sz w:val="20"/>
          <w:szCs w:val="20"/>
        </w:rPr>
        <w:t>Zawartość wolnych przestrzeni w próbkach Marshalla oblicza się zgodnie z PN-EN 12697-8. Zawartość wolnych przestrzeni nie może przekroczyć wartości podanych w WT-2 2014 Tablica 12, 13 i 14 w zależności o kategorii ruchu.</w:t>
      </w:r>
    </w:p>
    <w:p w14:paraId="50810B82" w14:textId="77777777" w:rsidR="00A85D08" w:rsidRPr="00A85D08" w:rsidRDefault="00A85D08" w:rsidP="00A85D08">
      <w:pPr>
        <w:pStyle w:val="Tekstpodstawowy"/>
        <w:spacing w:line="240" w:lineRule="auto"/>
        <w:jc w:val="both"/>
        <w:rPr>
          <w:rFonts w:asciiTheme="minorHAnsi" w:hAnsiTheme="minorHAnsi" w:cstheme="minorHAnsi"/>
          <w:b/>
          <w:sz w:val="20"/>
          <w:szCs w:val="20"/>
        </w:rPr>
      </w:pPr>
      <w:r w:rsidRPr="00A85D08">
        <w:rPr>
          <w:rFonts w:asciiTheme="minorHAnsi" w:hAnsiTheme="minorHAnsi" w:cstheme="minorHAnsi"/>
          <w:b/>
          <w:sz w:val="20"/>
          <w:szCs w:val="20"/>
        </w:rPr>
        <w:t>6.3.4 Pomiar grubości warstwy wg PN-EN</w:t>
      </w:r>
      <w:r w:rsidRPr="00A85D08">
        <w:rPr>
          <w:rFonts w:asciiTheme="minorHAnsi" w:hAnsiTheme="minorHAnsi" w:cstheme="minorHAnsi"/>
          <w:b/>
          <w:spacing w:val="-3"/>
          <w:sz w:val="20"/>
          <w:szCs w:val="20"/>
        </w:rPr>
        <w:t xml:space="preserve"> </w:t>
      </w:r>
      <w:r w:rsidRPr="00A85D08">
        <w:rPr>
          <w:rFonts w:asciiTheme="minorHAnsi" w:hAnsiTheme="minorHAnsi" w:cstheme="minorHAnsi"/>
          <w:b/>
          <w:sz w:val="20"/>
          <w:szCs w:val="20"/>
        </w:rPr>
        <w:t>12697-36</w:t>
      </w:r>
    </w:p>
    <w:p w14:paraId="01A359FD" w14:textId="77777777" w:rsidR="00A85D08" w:rsidRPr="00A85D08" w:rsidRDefault="00A85D08" w:rsidP="00A85D08">
      <w:pPr>
        <w:pStyle w:val="Tekstpodstawowy"/>
        <w:spacing w:line="240" w:lineRule="auto"/>
        <w:jc w:val="both"/>
        <w:rPr>
          <w:rFonts w:asciiTheme="minorHAnsi" w:hAnsiTheme="minorHAnsi" w:cstheme="minorHAnsi"/>
          <w:sz w:val="20"/>
          <w:szCs w:val="20"/>
        </w:rPr>
      </w:pPr>
      <w:r w:rsidRPr="00A85D08">
        <w:rPr>
          <w:rFonts w:asciiTheme="minorHAnsi" w:hAnsiTheme="minorHAnsi" w:cstheme="minorHAnsi"/>
          <w:sz w:val="20"/>
          <w:szCs w:val="20"/>
        </w:rPr>
        <w:t>Grubości wykonanej warstwy należy określać na wyciętych próbkach (nie wycinać próbek na obiektach mostowych wiertnicą mechaniczną) z częstością 2 próbki na 1 km. Tolerancja dla grubości warstwy określona jest w DP-T-14.</w:t>
      </w:r>
    </w:p>
    <w:p w14:paraId="72BFF7A1" w14:textId="77777777" w:rsidR="00A85D08" w:rsidRPr="00A85D08" w:rsidRDefault="00A85D08" w:rsidP="00A85D08">
      <w:pPr>
        <w:pStyle w:val="Tekstpodstawowy"/>
        <w:spacing w:line="240" w:lineRule="auto"/>
        <w:jc w:val="both"/>
        <w:rPr>
          <w:rFonts w:asciiTheme="minorHAnsi" w:hAnsiTheme="minorHAnsi" w:cstheme="minorHAnsi"/>
          <w:b/>
          <w:sz w:val="20"/>
          <w:szCs w:val="20"/>
        </w:rPr>
      </w:pPr>
      <w:r w:rsidRPr="00A85D08">
        <w:rPr>
          <w:rFonts w:asciiTheme="minorHAnsi" w:hAnsiTheme="minorHAnsi" w:cstheme="minorHAnsi"/>
          <w:b/>
          <w:sz w:val="20"/>
          <w:szCs w:val="20"/>
        </w:rPr>
        <w:t>6.3.5 Wskaźnik zagęszczenia warstwy wg PN-EN 13108-20 załącznik</w:t>
      </w:r>
      <w:r w:rsidRPr="00A85D08">
        <w:rPr>
          <w:rFonts w:asciiTheme="minorHAnsi" w:hAnsiTheme="minorHAnsi" w:cstheme="minorHAnsi"/>
          <w:b/>
          <w:spacing w:val="-4"/>
          <w:sz w:val="20"/>
          <w:szCs w:val="20"/>
        </w:rPr>
        <w:t xml:space="preserve"> </w:t>
      </w:r>
      <w:r w:rsidRPr="00A85D08">
        <w:rPr>
          <w:rFonts w:asciiTheme="minorHAnsi" w:hAnsiTheme="minorHAnsi" w:cstheme="minorHAnsi"/>
          <w:b/>
          <w:sz w:val="20"/>
          <w:szCs w:val="20"/>
        </w:rPr>
        <w:t>C4</w:t>
      </w:r>
    </w:p>
    <w:p w14:paraId="498BC896" w14:textId="77777777" w:rsidR="00A85D08" w:rsidRPr="00A85D08" w:rsidRDefault="00A85D08" w:rsidP="00A85D08">
      <w:pPr>
        <w:pStyle w:val="Tekstpodstawowy"/>
        <w:spacing w:line="240" w:lineRule="auto"/>
        <w:jc w:val="both"/>
        <w:rPr>
          <w:rFonts w:asciiTheme="minorHAnsi" w:hAnsiTheme="minorHAnsi" w:cstheme="minorHAnsi"/>
          <w:sz w:val="20"/>
          <w:szCs w:val="20"/>
        </w:rPr>
      </w:pPr>
      <w:r w:rsidRPr="00A85D08">
        <w:rPr>
          <w:rFonts w:asciiTheme="minorHAnsi" w:hAnsiTheme="minorHAnsi" w:cstheme="minorHAnsi"/>
          <w:sz w:val="20"/>
          <w:szCs w:val="20"/>
        </w:rPr>
        <w:t>Wskaźnik zagęszczenia warstwy należy sprawdzać na próbkach wyciętych z zagęszczonej warstwy z częstością podaną w tablicy 7. Wskaźnik zagęszczenia nie może być niższy niż 98,0%. Wykonawca wytnie próbki na każde życzenie Inżyniera w miejscach wątpliwych przez niego wskazanych.</w:t>
      </w:r>
    </w:p>
    <w:p w14:paraId="129AF37E" w14:textId="77777777" w:rsidR="00A85D08" w:rsidRPr="00A85D08" w:rsidRDefault="00A85D08" w:rsidP="00A85D08">
      <w:pPr>
        <w:pStyle w:val="Tekstpodstawowy"/>
        <w:spacing w:line="240" w:lineRule="auto"/>
        <w:jc w:val="both"/>
        <w:rPr>
          <w:rFonts w:asciiTheme="minorHAnsi" w:hAnsiTheme="minorHAnsi" w:cstheme="minorHAnsi"/>
          <w:b/>
          <w:sz w:val="20"/>
          <w:szCs w:val="20"/>
        </w:rPr>
      </w:pPr>
      <w:r w:rsidRPr="00A85D08">
        <w:rPr>
          <w:rFonts w:asciiTheme="minorHAnsi" w:hAnsiTheme="minorHAnsi" w:cstheme="minorHAnsi"/>
          <w:b/>
          <w:sz w:val="20"/>
          <w:szCs w:val="20"/>
        </w:rPr>
        <w:t>6.3.6 Wolna przestrzeń w zagęszczonej warstwie wg PN-EN</w:t>
      </w:r>
      <w:r w:rsidRPr="00A85D08">
        <w:rPr>
          <w:rFonts w:asciiTheme="minorHAnsi" w:hAnsiTheme="minorHAnsi" w:cstheme="minorHAnsi"/>
          <w:b/>
          <w:spacing w:val="-5"/>
          <w:sz w:val="20"/>
          <w:szCs w:val="20"/>
        </w:rPr>
        <w:t xml:space="preserve"> </w:t>
      </w:r>
      <w:r w:rsidRPr="00A85D08">
        <w:rPr>
          <w:rFonts w:asciiTheme="minorHAnsi" w:hAnsiTheme="minorHAnsi" w:cstheme="minorHAnsi"/>
          <w:b/>
          <w:sz w:val="20"/>
          <w:szCs w:val="20"/>
        </w:rPr>
        <w:t>12697-8.</w:t>
      </w:r>
    </w:p>
    <w:p w14:paraId="5D7BE9CF" w14:textId="77777777" w:rsidR="00A85D08" w:rsidRPr="00A85D08" w:rsidRDefault="00A85D08" w:rsidP="00A85D08">
      <w:pPr>
        <w:pStyle w:val="Tekstpodstawowy"/>
        <w:spacing w:line="240" w:lineRule="auto"/>
        <w:jc w:val="both"/>
        <w:rPr>
          <w:rFonts w:asciiTheme="minorHAnsi" w:hAnsiTheme="minorHAnsi" w:cstheme="minorHAnsi"/>
          <w:sz w:val="20"/>
          <w:szCs w:val="20"/>
        </w:rPr>
      </w:pPr>
      <w:r w:rsidRPr="00A85D08">
        <w:rPr>
          <w:rFonts w:asciiTheme="minorHAnsi" w:hAnsiTheme="minorHAnsi" w:cstheme="minorHAnsi"/>
          <w:sz w:val="20"/>
          <w:szCs w:val="20"/>
        </w:rPr>
        <w:t>Do obliczenia wolnej przestrzeni w warstwie należy przyjmować gęstość mieszanki mineralno asfaltowej oznaczonej w dniu wykonywania kontrolowanej działki roboczej. Zawartość wolnej przestrzeni w warstwie powinna mieścić się w granicach określonych w WT-2 2016 część II. Zawartość wolnej przestrzeni w warstwie należy sprawdzać z częstością podaną w pkt. 6.2.</w:t>
      </w:r>
    </w:p>
    <w:p w14:paraId="75C59D83" w14:textId="77777777" w:rsidR="00A85D08" w:rsidRPr="00A85D08" w:rsidRDefault="00A85D08" w:rsidP="00A85D08">
      <w:pPr>
        <w:pStyle w:val="Tekstpodstawowy"/>
        <w:spacing w:line="240" w:lineRule="auto"/>
        <w:jc w:val="both"/>
        <w:rPr>
          <w:rFonts w:asciiTheme="minorHAnsi" w:hAnsiTheme="minorHAnsi" w:cstheme="minorHAnsi"/>
          <w:b/>
          <w:sz w:val="20"/>
          <w:szCs w:val="20"/>
        </w:rPr>
      </w:pPr>
      <w:r w:rsidRPr="00A85D08">
        <w:rPr>
          <w:rFonts w:asciiTheme="minorHAnsi" w:hAnsiTheme="minorHAnsi" w:cstheme="minorHAnsi"/>
          <w:b/>
          <w:sz w:val="20"/>
          <w:szCs w:val="20"/>
        </w:rPr>
        <w:t>6.3.7 Wytrzymałość na ścinanie połączeń</w:t>
      </w:r>
      <w:r w:rsidRPr="00A85D08">
        <w:rPr>
          <w:rFonts w:asciiTheme="minorHAnsi" w:hAnsiTheme="minorHAnsi" w:cstheme="minorHAnsi"/>
          <w:b/>
          <w:spacing w:val="2"/>
          <w:sz w:val="20"/>
          <w:szCs w:val="20"/>
        </w:rPr>
        <w:t xml:space="preserve"> </w:t>
      </w:r>
      <w:r w:rsidRPr="00A85D08">
        <w:rPr>
          <w:rFonts w:asciiTheme="minorHAnsi" w:hAnsiTheme="minorHAnsi" w:cstheme="minorHAnsi"/>
          <w:b/>
          <w:sz w:val="20"/>
          <w:szCs w:val="20"/>
        </w:rPr>
        <w:t>międzywarstwowych.</w:t>
      </w:r>
    </w:p>
    <w:p w14:paraId="39389956" w14:textId="77777777" w:rsidR="00A85D08" w:rsidRPr="00A85D08" w:rsidRDefault="00A85D08" w:rsidP="00A85D08">
      <w:pPr>
        <w:pStyle w:val="Tekstpodstawowy"/>
        <w:spacing w:line="240" w:lineRule="auto"/>
        <w:jc w:val="both"/>
        <w:rPr>
          <w:rFonts w:asciiTheme="minorHAnsi" w:hAnsiTheme="minorHAnsi" w:cstheme="minorHAnsi"/>
          <w:sz w:val="20"/>
          <w:szCs w:val="20"/>
        </w:rPr>
      </w:pPr>
      <w:r w:rsidRPr="00A85D08">
        <w:rPr>
          <w:rFonts w:asciiTheme="minorHAnsi" w:hAnsiTheme="minorHAnsi" w:cstheme="minorHAnsi"/>
          <w:sz w:val="20"/>
          <w:szCs w:val="20"/>
        </w:rPr>
        <w:t>Badanie sczepności międzywarstwowej należy wykonać wg metody Leutnera na próbkach Ø 150±2mm lub Ø 100±2mm zgodnie z „Instrukcją laboratoryjnego badania sczepności międzywarstwowej warstw asfaltowych wg metody Leutnera i wymagania techniczne sczepności. 2014”. Wymagana wartość dla połączenia międzywarstwowego określono w WT-2 2016 część II.</w:t>
      </w:r>
    </w:p>
    <w:p w14:paraId="4B5F3DB3" w14:textId="77777777" w:rsidR="00A85D08" w:rsidRPr="00A85D08" w:rsidRDefault="00A85D08" w:rsidP="00A85D08">
      <w:pPr>
        <w:pStyle w:val="Tekstpodstawowy"/>
        <w:spacing w:line="240" w:lineRule="auto"/>
        <w:jc w:val="both"/>
        <w:rPr>
          <w:rFonts w:asciiTheme="minorHAnsi" w:hAnsiTheme="minorHAnsi" w:cstheme="minorHAnsi"/>
          <w:b/>
          <w:sz w:val="20"/>
          <w:szCs w:val="20"/>
        </w:rPr>
      </w:pPr>
      <w:r w:rsidRPr="00A85D08">
        <w:rPr>
          <w:rFonts w:asciiTheme="minorHAnsi" w:hAnsiTheme="minorHAnsi" w:cstheme="minorHAnsi"/>
          <w:b/>
          <w:sz w:val="20"/>
          <w:szCs w:val="20"/>
        </w:rPr>
        <w:t>6.3.8 Temperatura mięknienia lepiszcza</w:t>
      </w:r>
      <w:r w:rsidRPr="00A85D08">
        <w:rPr>
          <w:rFonts w:asciiTheme="minorHAnsi" w:hAnsiTheme="minorHAnsi" w:cstheme="minorHAnsi"/>
          <w:b/>
          <w:spacing w:val="-3"/>
          <w:sz w:val="20"/>
          <w:szCs w:val="20"/>
        </w:rPr>
        <w:t xml:space="preserve"> </w:t>
      </w:r>
      <w:r w:rsidRPr="00A85D08">
        <w:rPr>
          <w:rFonts w:asciiTheme="minorHAnsi" w:hAnsiTheme="minorHAnsi" w:cstheme="minorHAnsi"/>
          <w:b/>
          <w:sz w:val="20"/>
          <w:szCs w:val="20"/>
        </w:rPr>
        <w:t>odzyskanego.</w:t>
      </w:r>
    </w:p>
    <w:p w14:paraId="1FCEE47B" w14:textId="77777777" w:rsidR="00A85D08" w:rsidRPr="00A85D08" w:rsidRDefault="00A85D08" w:rsidP="00A85D08">
      <w:pPr>
        <w:pStyle w:val="Tekstpodstawowy"/>
        <w:spacing w:line="240" w:lineRule="auto"/>
        <w:jc w:val="both"/>
        <w:rPr>
          <w:rFonts w:asciiTheme="minorHAnsi" w:hAnsiTheme="minorHAnsi" w:cstheme="minorHAnsi"/>
          <w:sz w:val="20"/>
          <w:szCs w:val="20"/>
        </w:rPr>
      </w:pPr>
      <w:r w:rsidRPr="00A85D08">
        <w:rPr>
          <w:rFonts w:asciiTheme="minorHAnsi" w:hAnsiTheme="minorHAnsi" w:cstheme="minorHAnsi"/>
          <w:sz w:val="20"/>
          <w:szCs w:val="20"/>
        </w:rPr>
        <w:t>Wymagania dla</w:t>
      </w:r>
      <w:r w:rsidRPr="00A85D08">
        <w:rPr>
          <w:rFonts w:asciiTheme="minorHAnsi" w:hAnsiTheme="minorHAnsi" w:cstheme="minorHAnsi"/>
          <w:sz w:val="20"/>
          <w:szCs w:val="20"/>
        </w:rPr>
        <w:tab/>
        <w:t>temperatury mięknienia lepiszcza odzyskanego zgodnie z pkt.8.1.1. Nawierzchnie Asfaltowe Na Drogach Krajowych 2016 – część</w:t>
      </w:r>
      <w:r w:rsidRPr="00A85D08">
        <w:rPr>
          <w:rFonts w:asciiTheme="minorHAnsi" w:hAnsiTheme="minorHAnsi" w:cstheme="minorHAnsi"/>
          <w:spacing w:val="-4"/>
          <w:sz w:val="20"/>
          <w:szCs w:val="20"/>
        </w:rPr>
        <w:t xml:space="preserve"> </w:t>
      </w:r>
      <w:r w:rsidRPr="00A85D08">
        <w:rPr>
          <w:rFonts w:asciiTheme="minorHAnsi" w:hAnsiTheme="minorHAnsi" w:cstheme="minorHAnsi"/>
          <w:sz w:val="20"/>
          <w:szCs w:val="20"/>
        </w:rPr>
        <w:t>II.</w:t>
      </w:r>
    </w:p>
    <w:p w14:paraId="5F1FFE1A" w14:textId="77777777" w:rsidR="00A85D08" w:rsidRPr="00A85D08" w:rsidRDefault="00A85D08" w:rsidP="00A85D08">
      <w:pPr>
        <w:pStyle w:val="Nagwek4"/>
        <w:spacing w:before="0" w:after="0"/>
        <w:rPr>
          <w:rFonts w:asciiTheme="minorHAnsi" w:hAnsiTheme="minorHAnsi" w:cstheme="minorHAnsi"/>
        </w:rPr>
      </w:pPr>
      <w:r w:rsidRPr="00A85D08">
        <w:rPr>
          <w:rFonts w:asciiTheme="minorHAnsi" w:hAnsiTheme="minorHAnsi" w:cstheme="minorHAnsi"/>
        </w:rPr>
        <w:t>6.4 Badania cech geometrycznych warstwy z</w:t>
      </w:r>
      <w:r w:rsidRPr="00A85D08">
        <w:rPr>
          <w:rFonts w:asciiTheme="minorHAnsi" w:hAnsiTheme="minorHAnsi" w:cstheme="minorHAnsi"/>
          <w:spacing w:val="-20"/>
        </w:rPr>
        <w:t xml:space="preserve"> </w:t>
      </w:r>
      <w:r w:rsidRPr="00A85D08">
        <w:rPr>
          <w:rFonts w:asciiTheme="minorHAnsi" w:hAnsiTheme="minorHAnsi" w:cstheme="minorHAnsi"/>
        </w:rPr>
        <w:t>MMA</w:t>
      </w:r>
    </w:p>
    <w:p w14:paraId="696406DB" w14:textId="77777777" w:rsidR="00A85D08" w:rsidRPr="00A85D08" w:rsidRDefault="00A85D08" w:rsidP="00A85D08">
      <w:pPr>
        <w:pStyle w:val="Tekstpodstawowy"/>
        <w:spacing w:line="240" w:lineRule="auto"/>
        <w:jc w:val="both"/>
        <w:rPr>
          <w:rFonts w:asciiTheme="minorHAnsi" w:hAnsiTheme="minorHAnsi" w:cstheme="minorHAnsi"/>
          <w:sz w:val="20"/>
          <w:szCs w:val="20"/>
        </w:rPr>
      </w:pPr>
    </w:p>
    <w:p w14:paraId="3D67F07A" w14:textId="77777777" w:rsidR="00A85D08" w:rsidRPr="00A85D08" w:rsidRDefault="00A85D08" w:rsidP="00A85D08">
      <w:pPr>
        <w:pStyle w:val="Tekstpodstawowy"/>
        <w:spacing w:line="240" w:lineRule="auto"/>
        <w:jc w:val="both"/>
        <w:rPr>
          <w:rFonts w:asciiTheme="minorHAnsi" w:hAnsiTheme="minorHAnsi" w:cstheme="minorHAnsi"/>
          <w:b/>
          <w:sz w:val="20"/>
          <w:szCs w:val="20"/>
        </w:rPr>
      </w:pPr>
      <w:r w:rsidRPr="00A85D08">
        <w:rPr>
          <w:rFonts w:asciiTheme="minorHAnsi" w:hAnsiTheme="minorHAnsi" w:cstheme="minorHAnsi"/>
          <w:b/>
          <w:sz w:val="20"/>
          <w:szCs w:val="20"/>
        </w:rPr>
        <w:t>6.4.1 Częstość oraz zakres badań i</w:t>
      </w:r>
      <w:r w:rsidRPr="00A85D08">
        <w:rPr>
          <w:rFonts w:asciiTheme="minorHAnsi" w:hAnsiTheme="minorHAnsi" w:cstheme="minorHAnsi"/>
          <w:b/>
          <w:spacing w:val="-1"/>
          <w:sz w:val="20"/>
          <w:szCs w:val="20"/>
        </w:rPr>
        <w:t xml:space="preserve"> </w:t>
      </w:r>
      <w:r w:rsidRPr="00A85D08">
        <w:rPr>
          <w:rFonts w:asciiTheme="minorHAnsi" w:hAnsiTheme="minorHAnsi" w:cstheme="minorHAnsi"/>
          <w:b/>
          <w:sz w:val="20"/>
          <w:szCs w:val="20"/>
        </w:rPr>
        <w:t>pomiarów</w:t>
      </w:r>
    </w:p>
    <w:p w14:paraId="578147E5" w14:textId="2EC1A901" w:rsidR="00A85D08" w:rsidRPr="00A85D08" w:rsidRDefault="00A85D08" w:rsidP="00A85D08">
      <w:pPr>
        <w:pStyle w:val="Tekstpodstawowy"/>
        <w:spacing w:line="240" w:lineRule="auto"/>
        <w:jc w:val="both"/>
        <w:rPr>
          <w:rFonts w:asciiTheme="minorHAnsi" w:hAnsiTheme="minorHAnsi" w:cstheme="minorHAnsi"/>
          <w:sz w:val="20"/>
          <w:szCs w:val="20"/>
        </w:rPr>
      </w:pPr>
      <w:r w:rsidRPr="00A85D08">
        <w:rPr>
          <w:rFonts w:asciiTheme="minorHAnsi" w:hAnsiTheme="minorHAnsi" w:cstheme="minorHAnsi"/>
          <w:sz w:val="20"/>
          <w:szCs w:val="20"/>
        </w:rPr>
        <w:t xml:space="preserve">Częstość oraz zakres badań i pomiarów podano w tablicy </w:t>
      </w:r>
      <w:r w:rsidR="00113681">
        <w:rPr>
          <w:rFonts w:asciiTheme="minorHAnsi" w:hAnsiTheme="minorHAnsi" w:cstheme="minorHAnsi"/>
          <w:sz w:val="20"/>
          <w:szCs w:val="20"/>
        </w:rPr>
        <w:t>6</w:t>
      </w:r>
    </w:p>
    <w:p w14:paraId="15AFF249" w14:textId="77777777" w:rsidR="00A85D08" w:rsidRPr="00A85D08" w:rsidRDefault="00A85D08" w:rsidP="00A85D08">
      <w:pPr>
        <w:pStyle w:val="Tekstpodstawowy"/>
        <w:spacing w:line="240" w:lineRule="auto"/>
        <w:jc w:val="both"/>
        <w:rPr>
          <w:rFonts w:asciiTheme="minorHAnsi" w:hAnsiTheme="minorHAnsi" w:cstheme="minorHAnsi"/>
          <w:sz w:val="20"/>
          <w:szCs w:val="20"/>
        </w:rPr>
      </w:pPr>
    </w:p>
    <w:p w14:paraId="19EEA90C" w14:textId="22F6CC33" w:rsidR="00A85D08" w:rsidRPr="00A85D08" w:rsidRDefault="00A85D08" w:rsidP="00A85D08">
      <w:pPr>
        <w:pStyle w:val="Tekstpodstawowy"/>
        <w:spacing w:line="240" w:lineRule="auto"/>
        <w:jc w:val="both"/>
        <w:rPr>
          <w:rFonts w:asciiTheme="minorHAnsi" w:hAnsiTheme="minorHAnsi" w:cstheme="minorHAnsi"/>
          <w:sz w:val="20"/>
          <w:szCs w:val="20"/>
        </w:rPr>
      </w:pPr>
      <w:r w:rsidRPr="00A85D08">
        <w:rPr>
          <w:rFonts w:asciiTheme="minorHAnsi" w:hAnsiTheme="minorHAnsi" w:cstheme="minorHAnsi"/>
          <w:sz w:val="20"/>
          <w:szCs w:val="20"/>
        </w:rPr>
        <w:t xml:space="preserve">Tablica </w:t>
      </w:r>
      <w:r w:rsidR="00113681">
        <w:rPr>
          <w:rFonts w:asciiTheme="minorHAnsi" w:hAnsiTheme="minorHAnsi" w:cstheme="minorHAnsi"/>
          <w:sz w:val="20"/>
          <w:szCs w:val="20"/>
        </w:rPr>
        <w:t>6</w:t>
      </w:r>
      <w:r w:rsidRPr="00A85D08">
        <w:rPr>
          <w:rFonts w:asciiTheme="minorHAnsi" w:hAnsiTheme="minorHAnsi" w:cstheme="minorHAnsi"/>
          <w:sz w:val="20"/>
          <w:szCs w:val="20"/>
        </w:rPr>
        <w:t xml:space="preserve"> Zakres I częstość pomiarów</w:t>
      </w:r>
    </w:p>
    <w:tbl>
      <w:tblPr>
        <w:tblStyle w:val="TableNormal"/>
        <w:tblW w:w="8706" w:type="dxa"/>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36"/>
        <w:gridCol w:w="2835"/>
        <w:gridCol w:w="5235"/>
      </w:tblGrid>
      <w:tr w:rsidR="00A85D08" w:rsidRPr="00A85D08" w14:paraId="476D48D4" w14:textId="77777777" w:rsidTr="00A85D08">
        <w:trPr>
          <w:trHeight w:val="760"/>
        </w:trPr>
        <w:tc>
          <w:tcPr>
            <w:tcW w:w="636" w:type="dxa"/>
            <w:tcBorders>
              <w:top w:val="single" w:sz="4" w:space="0" w:color="000000"/>
              <w:left w:val="single" w:sz="4" w:space="0" w:color="000000"/>
              <w:bottom w:val="single" w:sz="4" w:space="0" w:color="000000"/>
              <w:right w:val="single" w:sz="4" w:space="0" w:color="000000"/>
            </w:tcBorders>
            <w:hideMark/>
          </w:tcPr>
          <w:p w14:paraId="73D7F29E" w14:textId="77777777" w:rsidR="00A85D08" w:rsidRPr="00A85D08" w:rsidRDefault="00A85D08" w:rsidP="00A85D08">
            <w:pPr>
              <w:pStyle w:val="Tekstpodstawowy"/>
              <w:spacing w:line="240" w:lineRule="auto"/>
              <w:jc w:val="both"/>
              <w:rPr>
                <w:rFonts w:asciiTheme="minorHAnsi" w:hAnsiTheme="minorHAnsi" w:cstheme="minorHAnsi"/>
                <w:sz w:val="20"/>
                <w:szCs w:val="20"/>
              </w:rPr>
            </w:pPr>
            <w:r w:rsidRPr="00A85D08">
              <w:rPr>
                <w:rFonts w:asciiTheme="minorHAnsi" w:hAnsiTheme="minorHAnsi" w:cstheme="minorHAnsi"/>
                <w:sz w:val="20"/>
                <w:szCs w:val="20"/>
              </w:rPr>
              <w:t>Lp.</w:t>
            </w:r>
          </w:p>
        </w:tc>
        <w:tc>
          <w:tcPr>
            <w:tcW w:w="2835" w:type="dxa"/>
            <w:tcBorders>
              <w:top w:val="single" w:sz="4" w:space="0" w:color="000000"/>
              <w:left w:val="single" w:sz="4" w:space="0" w:color="000000"/>
              <w:bottom w:val="single" w:sz="4" w:space="0" w:color="000000"/>
              <w:right w:val="single" w:sz="4" w:space="0" w:color="000000"/>
            </w:tcBorders>
            <w:hideMark/>
          </w:tcPr>
          <w:p w14:paraId="3E839F9E" w14:textId="77777777" w:rsidR="00A85D08" w:rsidRPr="00A85D08" w:rsidRDefault="00A85D08" w:rsidP="00A85D08">
            <w:pPr>
              <w:pStyle w:val="Tekstpodstawowy"/>
              <w:spacing w:line="240" w:lineRule="auto"/>
              <w:jc w:val="both"/>
              <w:rPr>
                <w:rFonts w:asciiTheme="minorHAnsi" w:hAnsiTheme="minorHAnsi" w:cstheme="minorHAnsi"/>
                <w:sz w:val="20"/>
                <w:szCs w:val="20"/>
              </w:rPr>
            </w:pPr>
            <w:r w:rsidRPr="00A85D08">
              <w:rPr>
                <w:rFonts w:asciiTheme="minorHAnsi" w:hAnsiTheme="minorHAnsi" w:cstheme="minorHAnsi"/>
                <w:sz w:val="20"/>
                <w:szCs w:val="20"/>
              </w:rPr>
              <w:t>Badana cecha</w:t>
            </w:r>
          </w:p>
        </w:tc>
        <w:tc>
          <w:tcPr>
            <w:tcW w:w="5235" w:type="dxa"/>
            <w:tcBorders>
              <w:top w:val="single" w:sz="4" w:space="0" w:color="000000"/>
              <w:left w:val="single" w:sz="4" w:space="0" w:color="000000"/>
              <w:bottom w:val="single" w:sz="4" w:space="0" w:color="000000"/>
              <w:right w:val="single" w:sz="4" w:space="0" w:color="000000"/>
            </w:tcBorders>
            <w:hideMark/>
          </w:tcPr>
          <w:p w14:paraId="5A8F52EE" w14:textId="77777777" w:rsidR="00A85D08" w:rsidRPr="00A85D08" w:rsidRDefault="00A85D08" w:rsidP="00A85D08">
            <w:pPr>
              <w:pStyle w:val="Tekstpodstawowy"/>
              <w:spacing w:line="240" w:lineRule="auto"/>
              <w:jc w:val="both"/>
              <w:rPr>
                <w:rFonts w:asciiTheme="minorHAnsi" w:hAnsiTheme="minorHAnsi" w:cstheme="minorHAnsi"/>
                <w:sz w:val="20"/>
                <w:szCs w:val="20"/>
                <w:lang w:val="pl-PL"/>
              </w:rPr>
            </w:pPr>
            <w:r w:rsidRPr="00A85D08">
              <w:rPr>
                <w:rFonts w:asciiTheme="minorHAnsi" w:hAnsiTheme="minorHAnsi" w:cstheme="minorHAnsi"/>
                <w:sz w:val="20"/>
                <w:szCs w:val="20"/>
                <w:lang w:val="pl-PL"/>
              </w:rPr>
              <w:t>Minimalna częstość badań i pomiarów</w:t>
            </w:r>
          </w:p>
        </w:tc>
      </w:tr>
      <w:tr w:rsidR="00A85D08" w:rsidRPr="00A85D08" w14:paraId="2F54CCA0" w14:textId="77777777" w:rsidTr="00A85D08">
        <w:trPr>
          <w:trHeight w:val="410"/>
        </w:trPr>
        <w:tc>
          <w:tcPr>
            <w:tcW w:w="636" w:type="dxa"/>
            <w:tcBorders>
              <w:top w:val="single" w:sz="4" w:space="0" w:color="000000"/>
              <w:left w:val="single" w:sz="4" w:space="0" w:color="000000"/>
              <w:bottom w:val="single" w:sz="4" w:space="0" w:color="000000"/>
              <w:right w:val="single" w:sz="4" w:space="0" w:color="000000"/>
            </w:tcBorders>
            <w:hideMark/>
          </w:tcPr>
          <w:p w14:paraId="468FDB16" w14:textId="77777777" w:rsidR="00A85D08" w:rsidRPr="00A85D08" w:rsidRDefault="00A85D08" w:rsidP="00A85D08">
            <w:pPr>
              <w:pStyle w:val="Tekstpodstawowy"/>
              <w:spacing w:line="240" w:lineRule="auto"/>
              <w:jc w:val="both"/>
              <w:rPr>
                <w:rFonts w:asciiTheme="minorHAnsi" w:hAnsiTheme="minorHAnsi" w:cstheme="minorHAnsi"/>
                <w:sz w:val="20"/>
                <w:szCs w:val="20"/>
              </w:rPr>
            </w:pPr>
            <w:r w:rsidRPr="00A85D08">
              <w:rPr>
                <w:rFonts w:asciiTheme="minorHAnsi" w:hAnsiTheme="minorHAnsi" w:cstheme="minorHAnsi"/>
                <w:sz w:val="20"/>
                <w:szCs w:val="20"/>
              </w:rPr>
              <w:t>1</w:t>
            </w:r>
          </w:p>
        </w:tc>
        <w:tc>
          <w:tcPr>
            <w:tcW w:w="2835" w:type="dxa"/>
            <w:tcBorders>
              <w:top w:val="single" w:sz="4" w:space="0" w:color="000000"/>
              <w:left w:val="single" w:sz="4" w:space="0" w:color="000000"/>
              <w:bottom w:val="single" w:sz="4" w:space="0" w:color="000000"/>
              <w:right w:val="single" w:sz="4" w:space="0" w:color="000000"/>
            </w:tcBorders>
            <w:hideMark/>
          </w:tcPr>
          <w:p w14:paraId="17D4AE51" w14:textId="77777777" w:rsidR="00A85D08" w:rsidRPr="00A85D08" w:rsidRDefault="00A85D08" w:rsidP="00A85D08">
            <w:pPr>
              <w:pStyle w:val="Tekstpodstawowy"/>
              <w:spacing w:line="240" w:lineRule="auto"/>
              <w:jc w:val="both"/>
              <w:rPr>
                <w:rFonts w:asciiTheme="minorHAnsi" w:hAnsiTheme="minorHAnsi" w:cstheme="minorHAnsi"/>
                <w:sz w:val="20"/>
                <w:szCs w:val="20"/>
              </w:rPr>
            </w:pPr>
            <w:r w:rsidRPr="00A85D08">
              <w:rPr>
                <w:rFonts w:asciiTheme="minorHAnsi" w:hAnsiTheme="minorHAnsi" w:cstheme="minorHAnsi"/>
                <w:sz w:val="20"/>
                <w:szCs w:val="20"/>
              </w:rPr>
              <w:t>Szerokość warstwy</w:t>
            </w:r>
          </w:p>
        </w:tc>
        <w:tc>
          <w:tcPr>
            <w:tcW w:w="5235" w:type="dxa"/>
            <w:tcBorders>
              <w:top w:val="single" w:sz="4" w:space="0" w:color="000000"/>
              <w:left w:val="single" w:sz="4" w:space="0" w:color="000000"/>
              <w:bottom w:val="single" w:sz="4" w:space="0" w:color="000000"/>
              <w:right w:val="single" w:sz="4" w:space="0" w:color="000000"/>
            </w:tcBorders>
            <w:hideMark/>
          </w:tcPr>
          <w:p w14:paraId="55300C4D" w14:textId="77777777" w:rsidR="00A85D08" w:rsidRPr="00A85D08" w:rsidRDefault="00A85D08" w:rsidP="00A85D08">
            <w:pPr>
              <w:pStyle w:val="Tekstpodstawowy"/>
              <w:spacing w:line="240" w:lineRule="auto"/>
              <w:jc w:val="both"/>
              <w:rPr>
                <w:rFonts w:asciiTheme="minorHAnsi" w:hAnsiTheme="minorHAnsi" w:cstheme="minorHAnsi"/>
                <w:sz w:val="20"/>
                <w:szCs w:val="20"/>
              </w:rPr>
            </w:pPr>
            <w:r w:rsidRPr="00A85D08">
              <w:rPr>
                <w:rFonts w:asciiTheme="minorHAnsi" w:hAnsiTheme="minorHAnsi" w:cstheme="minorHAnsi"/>
                <w:sz w:val="20"/>
                <w:szCs w:val="20"/>
              </w:rPr>
              <w:t>10 razy na 1 km jezdni</w:t>
            </w:r>
          </w:p>
        </w:tc>
      </w:tr>
      <w:tr w:rsidR="00A85D08" w:rsidRPr="00A85D08" w14:paraId="2D21739C" w14:textId="77777777" w:rsidTr="00A85D08">
        <w:trPr>
          <w:trHeight w:val="779"/>
        </w:trPr>
        <w:tc>
          <w:tcPr>
            <w:tcW w:w="636" w:type="dxa"/>
            <w:tcBorders>
              <w:top w:val="single" w:sz="4" w:space="0" w:color="000000"/>
              <w:left w:val="single" w:sz="4" w:space="0" w:color="000000"/>
              <w:bottom w:val="single" w:sz="4" w:space="0" w:color="000000"/>
              <w:right w:val="single" w:sz="4" w:space="0" w:color="000000"/>
            </w:tcBorders>
            <w:hideMark/>
          </w:tcPr>
          <w:p w14:paraId="633AEA1E" w14:textId="77777777" w:rsidR="00A85D08" w:rsidRPr="00A85D08" w:rsidRDefault="00A85D08" w:rsidP="00A85D08">
            <w:pPr>
              <w:pStyle w:val="Tekstpodstawowy"/>
              <w:spacing w:line="240" w:lineRule="auto"/>
              <w:jc w:val="both"/>
              <w:rPr>
                <w:rFonts w:asciiTheme="minorHAnsi" w:hAnsiTheme="minorHAnsi" w:cstheme="minorHAnsi"/>
                <w:sz w:val="20"/>
                <w:szCs w:val="20"/>
              </w:rPr>
            </w:pPr>
            <w:r w:rsidRPr="00A85D08">
              <w:rPr>
                <w:rFonts w:asciiTheme="minorHAnsi" w:hAnsiTheme="minorHAnsi" w:cstheme="minorHAnsi"/>
                <w:sz w:val="20"/>
                <w:szCs w:val="20"/>
              </w:rPr>
              <w:t>2</w:t>
            </w:r>
          </w:p>
        </w:tc>
        <w:tc>
          <w:tcPr>
            <w:tcW w:w="2835" w:type="dxa"/>
            <w:tcBorders>
              <w:top w:val="single" w:sz="4" w:space="0" w:color="000000"/>
              <w:left w:val="single" w:sz="4" w:space="0" w:color="000000"/>
              <w:bottom w:val="single" w:sz="4" w:space="0" w:color="000000"/>
              <w:right w:val="single" w:sz="4" w:space="0" w:color="000000"/>
            </w:tcBorders>
            <w:hideMark/>
          </w:tcPr>
          <w:p w14:paraId="6634727D" w14:textId="77777777" w:rsidR="00A85D08" w:rsidRPr="00A85D08" w:rsidRDefault="00A85D08" w:rsidP="00A85D08">
            <w:pPr>
              <w:pStyle w:val="Tekstpodstawowy"/>
              <w:spacing w:line="240" w:lineRule="auto"/>
              <w:jc w:val="both"/>
              <w:rPr>
                <w:rFonts w:asciiTheme="minorHAnsi" w:hAnsiTheme="minorHAnsi" w:cstheme="minorHAnsi"/>
                <w:sz w:val="20"/>
                <w:szCs w:val="20"/>
              </w:rPr>
            </w:pPr>
            <w:r w:rsidRPr="00A85D08">
              <w:rPr>
                <w:rFonts w:asciiTheme="minorHAnsi" w:hAnsiTheme="minorHAnsi" w:cstheme="minorHAnsi"/>
                <w:sz w:val="20"/>
                <w:szCs w:val="20"/>
              </w:rPr>
              <w:t>Równość podłużna</w:t>
            </w:r>
          </w:p>
        </w:tc>
        <w:tc>
          <w:tcPr>
            <w:tcW w:w="5235" w:type="dxa"/>
            <w:tcBorders>
              <w:top w:val="single" w:sz="4" w:space="0" w:color="000000"/>
              <w:left w:val="single" w:sz="4" w:space="0" w:color="000000"/>
              <w:bottom w:val="single" w:sz="4" w:space="0" w:color="000000"/>
              <w:right w:val="single" w:sz="4" w:space="0" w:color="000000"/>
            </w:tcBorders>
            <w:hideMark/>
          </w:tcPr>
          <w:p w14:paraId="05190D57" w14:textId="77777777" w:rsidR="00A85D08" w:rsidRPr="00A85D08" w:rsidRDefault="00A85D08" w:rsidP="00A85D08">
            <w:pPr>
              <w:pStyle w:val="Tekstpodstawowy"/>
              <w:spacing w:line="240" w:lineRule="auto"/>
              <w:jc w:val="both"/>
              <w:rPr>
                <w:rFonts w:asciiTheme="minorHAnsi" w:hAnsiTheme="minorHAnsi" w:cstheme="minorHAnsi"/>
                <w:sz w:val="20"/>
                <w:szCs w:val="20"/>
                <w:lang w:val="pl-PL"/>
              </w:rPr>
            </w:pPr>
            <w:r w:rsidRPr="00A85D08">
              <w:rPr>
                <w:rFonts w:asciiTheme="minorHAnsi" w:hAnsiTheme="minorHAnsi" w:cstheme="minorHAnsi"/>
                <w:sz w:val="20"/>
                <w:szCs w:val="20"/>
                <w:lang w:val="pl-PL"/>
              </w:rPr>
              <w:t>Należy stosować metodę z wykorzystaniem łaty 4-metrowej i klina lub metodę równoważną użyciu łaty i klina (planograf). Pomiar wykonać należy w sposób ciągły na każdym pasie</w:t>
            </w:r>
            <w:r w:rsidRPr="00A85D08">
              <w:rPr>
                <w:rFonts w:asciiTheme="minorHAnsi" w:hAnsiTheme="minorHAnsi" w:cstheme="minorHAnsi"/>
                <w:spacing w:val="-3"/>
                <w:sz w:val="20"/>
                <w:szCs w:val="20"/>
                <w:lang w:val="pl-PL"/>
              </w:rPr>
              <w:t xml:space="preserve"> </w:t>
            </w:r>
            <w:r w:rsidRPr="00A85D08">
              <w:rPr>
                <w:rFonts w:asciiTheme="minorHAnsi" w:hAnsiTheme="minorHAnsi" w:cstheme="minorHAnsi"/>
                <w:sz w:val="20"/>
                <w:szCs w:val="20"/>
                <w:lang w:val="pl-PL"/>
              </w:rPr>
              <w:t>ruchu.</w:t>
            </w:r>
          </w:p>
        </w:tc>
      </w:tr>
      <w:tr w:rsidR="00A85D08" w:rsidRPr="00A85D08" w14:paraId="598C65AA" w14:textId="77777777" w:rsidTr="00A85D08">
        <w:trPr>
          <w:trHeight w:val="989"/>
        </w:trPr>
        <w:tc>
          <w:tcPr>
            <w:tcW w:w="636" w:type="dxa"/>
            <w:tcBorders>
              <w:top w:val="single" w:sz="4" w:space="0" w:color="000000"/>
              <w:left w:val="single" w:sz="4" w:space="0" w:color="000000"/>
              <w:bottom w:val="single" w:sz="4" w:space="0" w:color="000000"/>
              <w:right w:val="single" w:sz="4" w:space="0" w:color="000000"/>
            </w:tcBorders>
            <w:hideMark/>
          </w:tcPr>
          <w:p w14:paraId="775CF991" w14:textId="77777777" w:rsidR="00A85D08" w:rsidRPr="00A85D08" w:rsidRDefault="00A85D08" w:rsidP="00A85D08">
            <w:pPr>
              <w:pStyle w:val="Tekstpodstawowy"/>
              <w:spacing w:line="240" w:lineRule="auto"/>
              <w:jc w:val="both"/>
              <w:rPr>
                <w:rFonts w:asciiTheme="minorHAnsi" w:hAnsiTheme="minorHAnsi" w:cstheme="minorHAnsi"/>
                <w:sz w:val="20"/>
                <w:szCs w:val="20"/>
              </w:rPr>
            </w:pPr>
            <w:r w:rsidRPr="00A85D08">
              <w:rPr>
                <w:rFonts w:asciiTheme="minorHAnsi" w:hAnsiTheme="minorHAnsi" w:cstheme="minorHAnsi"/>
                <w:sz w:val="20"/>
                <w:szCs w:val="20"/>
              </w:rPr>
              <w:t>3</w:t>
            </w:r>
          </w:p>
        </w:tc>
        <w:tc>
          <w:tcPr>
            <w:tcW w:w="2835" w:type="dxa"/>
            <w:tcBorders>
              <w:top w:val="single" w:sz="4" w:space="0" w:color="000000"/>
              <w:left w:val="single" w:sz="4" w:space="0" w:color="000000"/>
              <w:bottom w:val="single" w:sz="4" w:space="0" w:color="000000"/>
              <w:right w:val="single" w:sz="4" w:space="0" w:color="000000"/>
            </w:tcBorders>
            <w:hideMark/>
          </w:tcPr>
          <w:p w14:paraId="44DF1DF8" w14:textId="77777777" w:rsidR="00A85D08" w:rsidRPr="00A85D08" w:rsidRDefault="00A85D08" w:rsidP="00A85D08">
            <w:pPr>
              <w:pStyle w:val="Tekstpodstawowy"/>
              <w:spacing w:line="240" w:lineRule="auto"/>
              <w:jc w:val="both"/>
              <w:rPr>
                <w:rFonts w:asciiTheme="minorHAnsi" w:hAnsiTheme="minorHAnsi" w:cstheme="minorHAnsi"/>
                <w:sz w:val="20"/>
                <w:szCs w:val="20"/>
              </w:rPr>
            </w:pPr>
            <w:r w:rsidRPr="00A85D08">
              <w:rPr>
                <w:rFonts w:asciiTheme="minorHAnsi" w:hAnsiTheme="minorHAnsi" w:cstheme="minorHAnsi"/>
                <w:sz w:val="20"/>
                <w:szCs w:val="20"/>
              </w:rPr>
              <w:t>Równość poprzeczna</w:t>
            </w:r>
          </w:p>
        </w:tc>
        <w:tc>
          <w:tcPr>
            <w:tcW w:w="5235" w:type="dxa"/>
            <w:tcBorders>
              <w:top w:val="single" w:sz="4" w:space="0" w:color="000000"/>
              <w:left w:val="single" w:sz="4" w:space="0" w:color="000000"/>
              <w:bottom w:val="single" w:sz="4" w:space="0" w:color="000000"/>
              <w:right w:val="single" w:sz="4" w:space="0" w:color="000000"/>
            </w:tcBorders>
            <w:hideMark/>
          </w:tcPr>
          <w:p w14:paraId="3E8D9B52" w14:textId="77777777" w:rsidR="00A85D08" w:rsidRPr="00A85D08" w:rsidRDefault="00A85D08" w:rsidP="00A85D08">
            <w:pPr>
              <w:pStyle w:val="Tekstpodstawowy"/>
              <w:spacing w:line="240" w:lineRule="auto"/>
              <w:jc w:val="both"/>
              <w:rPr>
                <w:rFonts w:asciiTheme="minorHAnsi" w:hAnsiTheme="minorHAnsi" w:cstheme="minorHAnsi"/>
                <w:sz w:val="20"/>
                <w:szCs w:val="20"/>
                <w:lang w:val="pl-PL"/>
              </w:rPr>
            </w:pPr>
            <w:r w:rsidRPr="00A85D08">
              <w:rPr>
                <w:rFonts w:asciiTheme="minorHAnsi" w:hAnsiTheme="minorHAnsi" w:cstheme="minorHAnsi"/>
                <w:sz w:val="20"/>
                <w:szCs w:val="20"/>
                <w:lang w:val="pl-PL"/>
              </w:rPr>
              <w:t>Należy stosować metodę pomiaru profilometrycznego,</w:t>
            </w:r>
            <w:r w:rsidRPr="00A85D08">
              <w:rPr>
                <w:rFonts w:asciiTheme="minorHAnsi" w:hAnsiTheme="minorHAnsi" w:cstheme="minorHAnsi"/>
                <w:sz w:val="20"/>
                <w:szCs w:val="20"/>
                <w:lang w:val="pl-PL"/>
              </w:rPr>
              <w:tab/>
              <w:t>oznaczenie wyznaczać z krokiem co 1 m lub metodą równoważną z wykorzystaniem łaty (o długości 2 m) i klina nie rzadziej niż co 5</w:t>
            </w:r>
            <w:r w:rsidRPr="00A85D08">
              <w:rPr>
                <w:rFonts w:asciiTheme="minorHAnsi" w:hAnsiTheme="minorHAnsi" w:cstheme="minorHAnsi"/>
                <w:spacing w:val="-4"/>
                <w:sz w:val="20"/>
                <w:szCs w:val="20"/>
                <w:lang w:val="pl-PL"/>
              </w:rPr>
              <w:t xml:space="preserve"> </w:t>
            </w:r>
            <w:r w:rsidRPr="00A85D08">
              <w:rPr>
                <w:rFonts w:asciiTheme="minorHAnsi" w:hAnsiTheme="minorHAnsi" w:cstheme="minorHAnsi"/>
                <w:sz w:val="20"/>
                <w:szCs w:val="20"/>
                <w:lang w:val="pl-PL"/>
              </w:rPr>
              <w:t>m.</w:t>
            </w:r>
          </w:p>
        </w:tc>
      </w:tr>
      <w:tr w:rsidR="00A85D08" w:rsidRPr="00A85D08" w14:paraId="000B2062" w14:textId="77777777" w:rsidTr="00A85D08">
        <w:trPr>
          <w:trHeight w:val="410"/>
        </w:trPr>
        <w:tc>
          <w:tcPr>
            <w:tcW w:w="636" w:type="dxa"/>
            <w:tcBorders>
              <w:top w:val="single" w:sz="4" w:space="0" w:color="000000"/>
              <w:left w:val="single" w:sz="4" w:space="0" w:color="000000"/>
              <w:bottom w:val="single" w:sz="4" w:space="0" w:color="000000"/>
              <w:right w:val="single" w:sz="4" w:space="0" w:color="000000"/>
            </w:tcBorders>
            <w:hideMark/>
          </w:tcPr>
          <w:p w14:paraId="7A251288" w14:textId="77777777" w:rsidR="00A85D08" w:rsidRPr="00A85D08" w:rsidRDefault="00A85D08" w:rsidP="00A85D08">
            <w:pPr>
              <w:pStyle w:val="Tekstpodstawowy"/>
              <w:spacing w:line="240" w:lineRule="auto"/>
              <w:jc w:val="both"/>
              <w:rPr>
                <w:rFonts w:asciiTheme="minorHAnsi" w:hAnsiTheme="minorHAnsi" w:cstheme="minorHAnsi"/>
                <w:sz w:val="20"/>
                <w:szCs w:val="20"/>
              </w:rPr>
            </w:pPr>
            <w:r w:rsidRPr="00A85D08">
              <w:rPr>
                <w:rFonts w:asciiTheme="minorHAnsi" w:hAnsiTheme="minorHAnsi" w:cstheme="minorHAnsi"/>
                <w:sz w:val="20"/>
                <w:szCs w:val="20"/>
              </w:rPr>
              <w:t>4</w:t>
            </w:r>
          </w:p>
        </w:tc>
        <w:tc>
          <w:tcPr>
            <w:tcW w:w="2835" w:type="dxa"/>
            <w:tcBorders>
              <w:top w:val="single" w:sz="4" w:space="0" w:color="000000"/>
              <w:left w:val="single" w:sz="4" w:space="0" w:color="000000"/>
              <w:bottom w:val="single" w:sz="4" w:space="0" w:color="000000"/>
              <w:right w:val="single" w:sz="4" w:space="0" w:color="000000"/>
            </w:tcBorders>
            <w:hideMark/>
          </w:tcPr>
          <w:p w14:paraId="7B44DB32" w14:textId="77777777" w:rsidR="00A85D08" w:rsidRPr="00A85D08" w:rsidRDefault="00A85D08" w:rsidP="00A85D08">
            <w:pPr>
              <w:pStyle w:val="Tekstpodstawowy"/>
              <w:spacing w:line="240" w:lineRule="auto"/>
              <w:jc w:val="both"/>
              <w:rPr>
                <w:rFonts w:asciiTheme="minorHAnsi" w:hAnsiTheme="minorHAnsi" w:cstheme="minorHAnsi"/>
                <w:sz w:val="20"/>
                <w:szCs w:val="20"/>
              </w:rPr>
            </w:pPr>
            <w:r w:rsidRPr="00A85D08">
              <w:rPr>
                <w:rFonts w:asciiTheme="minorHAnsi" w:hAnsiTheme="minorHAnsi" w:cstheme="minorHAnsi"/>
                <w:sz w:val="20"/>
                <w:szCs w:val="20"/>
              </w:rPr>
              <w:t>Spadki poprzeczne*)</w:t>
            </w:r>
          </w:p>
        </w:tc>
        <w:tc>
          <w:tcPr>
            <w:tcW w:w="5235" w:type="dxa"/>
            <w:tcBorders>
              <w:top w:val="single" w:sz="4" w:space="0" w:color="000000"/>
              <w:left w:val="single" w:sz="4" w:space="0" w:color="000000"/>
              <w:bottom w:val="single" w:sz="4" w:space="0" w:color="000000"/>
              <w:right w:val="single" w:sz="4" w:space="0" w:color="000000"/>
            </w:tcBorders>
            <w:hideMark/>
          </w:tcPr>
          <w:p w14:paraId="1B9A0DAB" w14:textId="77777777" w:rsidR="00A85D08" w:rsidRPr="00A85D08" w:rsidRDefault="00A85D08" w:rsidP="00A85D08">
            <w:pPr>
              <w:pStyle w:val="Tekstpodstawowy"/>
              <w:spacing w:line="240" w:lineRule="auto"/>
              <w:jc w:val="both"/>
              <w:rPr>
                <w:rFonts w:asciiTheme="minorHAnsi" w:hAnsiTheme="minorHAnsi" w:cstheme="minorHAnsi"/>
                <w:sz w:val="20"/>
                <w:szCs w:val="20"/>
                <w:lang w:val="pl-PL"/>
              </w:rPr>
            </w:pPr>
            <w:r w:rsidRPr="00A85D08">
              <w:rPr>
                <w:rFonts w:asciiTheme="minorHAnsi" w:hAnsiTheme="minorHAnsi" w:cstheme="minorHAnsi"/>
                <w:sz w:val="20"/>
                <w:szCs w:val="20"/>
                <w:lang w:val="pl-PL"/>
              </w:rPr>
              <w:t>Nie rzadziej niż co 20 m jezdni</w:t>
            </w:r>
          </w:p>
        </w:tc>
      </w:tr>
      <w:tr w:rsidR="00A85D08" w:rsidRPr="00A85D08" w14:paraId="2AF4687D" w14:textId="77777777" w:rsidTr="00A85D08">
        <w:trPr>
          <w:trHeight w:val="541"/>
        </w:trPr>
        <w:tc>
          <w:tcPr>
            <w:tcW w:w="636" w:type="dxa"/>
            <w:tcBorders>
              <w:top w:val="single" w:sz="4" w:space="0" w:color="000000"/>
              <w:left w:val="single" w:sz="4" w:space="0" w:color="000000"/>
              <w:bottom w:val="single" w:sz="4" w:space="0" w:color="000000"/>
              <w:right w:val="single" w:sz="4" w:space="0" w:color="000000"/>
            </w:tcBorders>
            <w:hideMark/>
          </w:tcPr>
          <w:p w14:paraId="45E5F91D" w14:textId="77777777" w:rsidR="00A85D08" w:rsidRPr="00A85D08" w:rsidRDefault="00A85D08" w:rsidP="00A85D08">
            <w:pPr>
              <w:pStyle w:val="Tekstpodstawowy"/>
              <w:spacing w:line="240" w:lineRule="auto"/>
              <w:jc w:val="both"/>
              <w:rPr>
                <w:rFonts w:asciiTheme="minorHAnsi" w:hAnsiTheme="minorHAnsi" w:cstheme="minorHAnsi"/>
                <w:sz w:val="20"/>
                <w:szCs w:val="20"/>
              </w:rPr>
            </w:pPr>
            <w:r w:rsidRPr="00A85D08">
              <w:rPr>
                <w:rFonts w:asciiTheme="minorHAnsi" w:hAnsiTheme="minorHAnsi" w:cstheme="minorHAnsi"/>
                <w:sz w:val="20"/>
                <w:szCs w:val="20"/>
              </w:rPr>
              <w:t>5</w:t>
            </w:r>
          </w:p>
        </w:tc>
        <w:tc>
          <w:tcPr>
            <w:tcW w:w="2835" w:type="dxa"/>
            <w:tcBorders>
              <w:top w:val="single" w:sz="4" w:space="0" w:color="000000"/>
              <w:left w:val="single" w:sz="4" w:space="0" w:color="000000"/>
              <w:bottom w:val="single" w:sz="4" w:space="0" w:color="000000"/>
              <w:right w:val="single" w:sz="4" w:space="0" w:color="000000"/>
            </w:tcBorders>
            <w:hideMark/>
          </w:tcPr>
          <w:p w14:paraId="22929924" w14:textId="77777777" w:rsidR="00A85D08" w:rsidRPr="00A85D08" w:rsidRDefault="00A85D08" w:rsidP="00A85D08">
            <w:pPr>
              <w:pStyle w:val="Tekstpodstawowy"/>
              <w:spacing w:line="240" w:lineRule="auto"/>
              <w:jc w:val="both"/>
              <w:rPr>
                <w:rFonts w:asciiTheme="minorHAnsi" w:hAnsiTheme="minorHAnsi" w:cstheme="minorHAnsi"/>
                <w:sz w:val="20"/>
                <w:szCs w:val="20"/>
                <w:lang w:val="pl-PL"/>
              </w:rPr>
            </w:pPr>
            <w:r w:rsidRPr="00A85D08">
              <w:rPr>
                <w:rFonts w:asciiTheme="minorHAnsi" w:hAnsiTheme="minorHAnsi" w:cstheme="minorHAnsi"/>
                <w:sz w:val="20"/>
                <w:szCs w:val="20"/>
                <w:lang w:val="pl-PL"/>
              </w:rPr>
              <w:t>Rzędne wysokościowe (oś podłużna I krawędzie)</w:t>
            </w:r>
          </w:p>
        </w:tc>
        <w:tc>
          <w:tcPr>
            <w:tcW w:w="5235" w:type="dxa"/>
            <w:tcBorders>
              <w:top w:val="single" w:sz="4" w:space="0" w:color="000000"/>
              <w:left w:val="single" w:sz="4" w:space="0" w:color="000000"/>
              <w:bottom w:val="single" w:sz="4" w:space="0" w:color="000000"/>
              <w:right w:val="single" w:sz="4" w:space="0" w:color="000000"/>
            </w:tcBorders>
            <w:hideMark/>
          </w:tcPr>
          <w:p w14:paraId="6D09C5C1" w14:textId="77777777" w:rsidR="00A85D08" w:rsidRPr="00A85D08" w:rsidRDefault="00A85D08" w:rsidP="00A85D08">
            <w:pPr>
              <w:pStyle w:val="Tekstpodstawowy"/>
              <w:spacing w:line="240" w:lineRule="auto"/>
              <w:jc w:val="both"/>
              <w:rPr>
                <w:rFonts w:asciiTheme="minorHAnsi" w:hAnsiTheme="minorHAnsi" w:cstheme="minorHAnsi"/>
                <w:sz w:val="20"/>
                <w:szCs w:val="20"/>
              </w:rPr>
            </w:pPr>
            <w:r w:rsidRPr="00A85D08">
              <w:rPr>
                <w:rFonts w:asciiTheme="minorHAnsi" w:hAnsiTheme="minorHAnsi" w:cstheme="minorHAnsi"/>
                <w:sz w:val="20"/>
                <w:szCs w:val="20"/>
              </w:rPr>
              <w:t>±1 cm</w:t>
            </w:r>
          </w:p>
        </w:tc>
      </w:tr>
      <w:tr w:rsidR="00A85D08" w:rsidRPr="00A85D08" w14:paraId="4B9CA473" w14:textId="77777777" w:rsidTr="00A85D08">
        <w:trPr>
          <w:trHeight w:val="410"/>
        </w:trPr>
        <w:tc>
          <w:tcPr>
            <w:tcW w:w="636" w:type="dxa"/>
            <w:tcBorders>
              <w:top w:val="single" w:sz="4" w:space="0" w:color="000000"/>
              <w:left w:val="single" w:sz="4" w:space="0" w:color="000000"/>
              <w:bottom w:val="single" w:sz="4" w:space="0" w:color="000000"/>
              <w:right w:val="single" w:sz="4" w:space="0" w:color="000000"/>
            </w:tcBorders>
            <w:hideMark/>
          </w:tcPr>
          <w:p w14:paraId="7D59421F" w14:textId="77777777" w:rsidR="00A85D08" w:rsidRPr="00A85D08" w:rsidRDefault="00A85D08" w:rsidP="00A85D08">
            <w:pPr>
              <w:pStyle w:val="Tekstpodstawowy"/>
              <w:spacing w:line="240" w:lineRule="auto"/>
              <w:jc w:val="both"/>
              <w:rPr>
                <w:rFonts w:asciiTheme="minorHAnsi" w:hAnsiTheme="minorHAnsi" w:cstheme="minorHAnsi"/>
                <w:sz w:val="20"/>
                <w:szCs w:val="20"/>
              </w:rPr>
            </w:pPr>
            <w:r w:rsidRPr="00A85D08">
              <w:rPr>
                <w:rFonts w:asciiTheme="minorHAnsi" w:hAnsiTheme="minorHAnsi" w:cstheme="minorHAnsi"/>
                <w:sz w:val="20"/>
                <w:szCs w:val="20"/>
              </w:rPr>
              <w:t>6</w:t>
            </w:r>
          </w:p>
        </w:tc>
        <w:tc>
          <w:tcPr>
            <w:tcW w:w="2835" w:type="dxa"/>
            <w:tcBorders>
              <w:top w:val="single" w:sz="4" w:space="0" w:color="000000"/>
              <w:left w:val="single" w:sz="4" w:space="0" w:color="000000"/>
              <w:bottom w:val="single" w:sz="4" w:space="0" w:color="000000"/>
              <w:right w:val="single" w:sz="4" w:space="0" w:color="000000"/>
            </w:tcBorders>
            <w:hideMark/>
          </w:tcPr>
          <w:p w14:paraId="644AA0BC" w14:textId="77777777" w:rsidR="00A85D08" w:rsidRPr="00A85D08" w:rsidRDefault="00A85D08" w:rsidP="00A85D08">
            <w:pPr>
              <w:pStyle w:val="Tekstpodstawowy"/>
              <w:spacing w:line="240" w:lineRule="auto"/>
              <w:jc w:val="both"/>
              <w:rPr>
                <w:rFonts w:asciiTheme="minorHAnsi" w:hAnsiTheme="minorHAnsi" w:cstheme="minorHAnsi"/>
                <w:sz w:val="20"/>
                <w:szCs w:val="20"/>
              </w:rPr>
            </w:pPr>
            <w:r w:rsidRPr="00A85D08">
              <w:rPr>
                <w:rFonts w:asciiTheme="minorHAnsi" w:hAnsiTheme="minorHAnsi" w:cstheme="minorHAnsi"/>
                <w:sz w:val="20"/>
                <w:szCs w:val="20"/>
              </w:rPr>
              <w:t>Złącza podłużne i poprzeczne</w:t>
            </w:r>
          </w:p>
        </w:tc>
        <w:tc>
          <w:tcPr>
            <w:tcW w:w="5235" w:type="dxa"/>
            <w:tcBorders>
              <w:top w:val="single" w:sz="4" w:space="0" w:color="000000"/>
              <w:left w:val="single" w:sz="4" w:space="0" w:color="000000"/>
              <w:bottom w:val="single" w:sz="4" w:space="0" w:color="000000"/>
              <w:right w:val="single" w:sz="4" w:space="0" w:color="000000"/>
            </w:tcBorders>
            <w:hideMark/>
          </w:tcPr>
          <w:p w14:paraId="1E0547B5" w14:textId="77777777" w:rsidR="00A85D08" w:rsidRPr="00A85D08" w:rsidRDefault="00A85D08" w:rsidP="00A85D08">
            <w:pPr>
              <w:pStyle w:val="Tekstpodstawowy"/>
              <w:spacing w:line="240" w:lineRule="auto"/>
              <w:jc w:val="both"/>
              <w:rPr>
                <w:rFonts w:asciiTheme="minorHAnsi" w:hAnsiTheme="minorHAnsi" w:cstheme="minorHAnsi"/>
                <w:sz w:val="20"/>
                <w:szCs w:val="20"/>
              </w:rPr>
            </w:pPr>
            <w:r w:rsidRPr="00A85D08">
              <w:rPr>
                <w:rFonts w:asciiTheme="minorHAnsi" w:hAnsiTheme="minorHAnsi" w:cstheme="minorHAnsi"/>
                <w:sz w:val="20"/>
                <w:szCs w:val="20"/>
              </w:rPr>
              <w:t>każde złącze (ocena wizualna)</w:t>
            </w:r>
          </w:p>
        </w:tc>
      </w:tr>
      <w:tr w:rsidR="00A85D08" w:rsidRPr="00A85D08" w14:paraId="71E10D7D" w14:textId="77777777" w:rsidTr="00A85D08">
        <w:trPr>
          <w:trHeight w:val="410"/>
        </w:trPr>
        <w:tc>
          <w:tcPr>
            <w:tcW w:w="636" w:type="dxa"/>
            <w:tcBorders>
              <w:top w:val="single" w:sz="4" w:space="0" w:color="000000"/>
              <w:left w:val="single" w:sz="4" w:space="0" w:color="000000"/>
              <w:bottom w:val="single" w:sz="4" w:space="0" w:color="000000"/>
              <w:right w:val="single" w:sz="4" w:space="0" w:color="000000"/>
            </w:tcBorders>
            <w:hideMark/>
          </w:tcPr>
          <w:p w14:paraId="535DA45F" w14:textId="77777777" w:rsidR="00A85D08" w:rsidRPr="00A85D08" w:rsidRDefault="00A85D08" w:rsidP="00A85D08">
            <w:pPr>
              <w:pStyle w:val="Tekstpodstawowy"/>
              <w:spacing w:line="240" w:lineRule="auto"/>
              <w:jc w:val="both"/>
              <w:rPr>
                <w:rFonts w:asciiTheme="minorHAnsi" w:hAnsiTheme="minorHAnsi" w:cstheme="minorHAnsi"/>
                <w:sz w:val="20"/>
                <w:szCs w:val="20"/>
              </w:rPr>
            </w:pPr>
            <w:r w:rsidRPr="00A85D08">
              <w:rPr>
                <w:rFonts w:asciiTheme="minorHAnsi" w:hAnsiTheme="minorHAnsi" w:cstheme="minorHAnsi"/>
                <w:sz w:val="20"/>
                <w:szCs w:val="20"/>
              </w:rPr>
              <w:t>7</w:t>
            </w:r>
          </w:p>
        </w:tc>
        <w:tc>
          <w:tcPr>
            <w:tcW w:w="2835" w:type="dxa"/>
            <w:tcBorders>
              <w:top w:val="single" w:sz="4" w:space="0" w:color="000000"/>
              <w:left w:val="single" w:sz="4" w:space="0" w:color="000000"/>
              <w:bottom w:val="single" w:sz="4" w:space="0" w:color="000000"/>
              <w:right w:val="single" w:sz="4" w:space="0" w:color="000000"/>
            </w:tcBorders>
            <w:hideMark/>
          </w:tcPr>
          <w:p w14:paraId="4A77AD1F" w14:textId="77777777" w:rsidR="00A85D08" w:rsidRPr="00A85D08" w:rsidRDefault="00A85D08" w:rsidP="00A85D08">
            <w:pPr>
              <w:pStyle w:val="Tekstpodstawowy"/>
              <w:spacing w:line="240" w:lineRule="auto"/>
              <w:jc w:val="both"/>
              <w:rPr>
                <w:rFonts w:asciiTheme="minorHAnsi" w:hAnsiTheme="minorHAnsi" w:cstheme="minorHAnsi"/>
                <w:sz w:val="20"/>
                <w:szCs w:val="20"/>
              </w:rPr>
            </w:pPr>
            <w:r w:rsidRPr="00A85D08">
              <w:rPr>
                <w:rFonts w:asciiTheme="minorHAnsi" w:hAnsiTheme="minorHAnsi" w:cstheme="minorHAnsi"/>
                <w:sz w:val="20"/>
                <w:szCs w:val="20"/>
              </w:rPr>
              <w:t>Ukształtowanie osi w planie*)</w:t>
            </w:r>
          </w:p>
        </w:tc>
        <w:tc>
          <w:tcPr>
            <w:tcW w:w="5235" w:type="dxa"/>
            <w:tcBorders>
              <w:top w:val="single" w:sz="4" w:space="0" w:color="000000"/>
              <w:left w:val="single" w:sz="4" w:space="0" w:color="000000"/>
              <w:bottom w:val="single" w:sz="4" w:space="0" w:color="000000"/>
              <w:right w:val="single" w:sz="4" w:space="0" w:color="000000"/>
            </w:tcBorders>
            <w:hideMark/>
          </w:tcPr>
          <w:p w14:paraId="6C396B94" w14:textId="77777777" w:rsidR="00A85D08" w:rsidRPr="00A85D08" w:rsidRDefault="00A85D08" w:rsidP="00A85D08">
            <w:pPr>
              <w:pStyle w:val="Tekstpodstawowy"/>
              <w:spacing w:line="240" w:lineRule="auto"/>
              <w:jc w:val="both"/>
              <w:rPr>
                <w:rFonts w:asciiTheme="minorHAnsi" w:hAnsiTheme="minorHAnsi" w:cstheme="minorHAnsi"/>
                <w:sz w:val="20"/>
                <w:szCs w:val="20"/>
              </w:rPr>
            </w:pPr>
            <w:r w:rsidRPr="00A85D08">
              <w:rPr>
                <w:rFonts w:asciiTheme="minorHAnsi" w:hAnsiTheme="minorHAnsi" w:cstheme="minorHAnsi"/>
                <w:sz w:val="20"/>
                <w:szCs w:val="20"/>
              </w:rPr>
              <w:t>co 100 m jezdni</w:t>
            </w:r>
          </w:p>
        </w:tc>
      </w:tr>
      <w:tr w:rsidR="00A85D08" w:rsidRPr="00A85D08" w14:paraId="6F1578A4" w14:textId="77777777" w:rsidTr="00A85D08">
        <w:trPr>
          <w:trHeight w:val="580"/>
        </w:trPr>
        <w:tc>
          <w:tcPr>
            <w:tcW w:w="8706" w:type="dxa"/>
            <w:gridSpan w:val="3"/>
            <w:tcBorders>
              <w:top w:val="single" w:sz="4" w:space="0" w:color="000000"/>
              <w:left w:val="single" w:sz="4" w:space="0" w:color="000000"/>
              <w:bottom w:val="single" w:sz="4" w:space="0" w:color="000000"/>
              <w:right w:val="single" w:sz="4" w:space="0" w:color="000000"/>
            </w:tcBorders>
            <w:hideMark/>
          </w:tcPr>
          <w:p w14:paraId="61CF7702" w14:textId="77777777" w:rsidR="00A85D08" w:rsidRPr="00A85D08" w:rsidRDefault="00A85D08" w:rsidP="00A85D08">
            <w:pPr>
              <w:pStyle w:val="Tekstpodstawowy"/>
              <w:spacing w:line="240" w:lineRule="auto"/>
              <w:jc w:val="both"/>
              <w:rPr>
                <w:rFonts w:asciiTheme="minorHAnsi" w:hAnsiTheme="minorHAnsi" w:cstheme="minorHAnsi"/>
                <w:sz w:val="20"/>
                <w:szCs w:val="20"/>
                <w:lang w:val="pl-PL"/>
              </w:rPr>
            </w:pPr>
            <w:r w:rsidRPr="00A85D08">
              <w:rPr>
                <w:rFonts w:asciiTheme="minorHAnsi" w:hAnsiTheme="minorHAnsi" w:cstheme="minorHAnsi"/>
                <w:sz w:val="20"/>
                <w:szCs w:val="20"/>
                <w:lang w:val="pl-PL"/>
              </w:rPr>
              <w:t>*)Dodatkowe pomiary spadków poprzecznych i ukształtowania osi w planie należy wykonać w punktach głównych łuków poziomych.</w:t>
            </w:r>
          </w:p>
        </w:tc>
      </w:tr>
    </w:tbl>
    <w:p w14:paraId="25C22184" w14:textId="77777777" w:rsidR="00A85D08" w:rsidRPr="00A85D08" w:rsidRDefault="00A85D08" w:rsidP="00A85D08">
      <w:pPr>
        <w:pStyle w:val="Tekstpodstawowy"/>
        <w:spacing w:line="240" w:lineRule="auto"/>
        <w:jc w:val="both"/>
        <w:rPr>
          <w:rFonts w:asciiTheme="minorHAnsi" w:hAnsiTheme="minorHAnsi" w:cstheme="minorHAnsi"/>
          <w:sz w:val="20"/>
          <w:szCs w:val="20"/>
        </w:rPr>
      </w:pPr>
    </w:p>
    <w:p w14:paraId="238C9B33" w14:textId="77777777" w:rsidR="00A85D08" w:rsidRPr="00A85D08" w:rsidRDefault="00A85D08" w:rsidP="00A85D08">
      <w:pPr>
        <w:pStyle w:val="Tekstpodstawowy"/>
        <w:spacing w:line="240" w:lineRule="auto"/>
        <w:jc w:val="both"/>
        <w:rPr>
          <w:rFonts w:asciiTheme="minorHAnsi" w:hAnsiTheme="minorHAnsi" w:cstheme="minorHAnsi"/>
          <w:b/>
          <w:sz w:val="20"/>
          <w:szCs w:val="20"/>
        </w:rPr>
      </w:pPr>
      <w:r w:rsidRPr="00A85D08">
        <w:rPr>
          <w:rFonts w:asciiTheme="minorHAnsi" w:hAnsiTheme="minorHAnsi" w:cstheme="minorHAnsi"/>
          <w:b/>
          <w:sz w:val="20"/>
          <w:szCs w:val="20"/>
        </w:rPr>
        <w:t>6.4.2 Szerokość</w:t>
      </w:r>
      <w:r w:rsidRPr="00A85D08">
        <w:rPr>
          <w:rFonts w:asciiTheme="minorHAnsi" w:hAnsiTheme="minorHAnsi" w:cstheme="minorHAnsi"/>
          <w:b/>
          <w:spacing w:val="1"/>
          <w:sz w:val="20"/>
          <w:szCs w:val="20"/>
        </w:rPr>
        <w:t xml:space="preserve"> </w:t>
      </w:r>
      <w:r w:rsidRPr="00A85D08">
        <w:rPr>
          <w:rFonts w:asciiTheme="minorHAnsi" w:hAnsiTheme="minorHAnsi" w:cstheme="minorHAnsi"/>
          <w:b/>
          <w:sz w:val="20"/>
          <w:szCs w:val="20"/>
        </w:rPr>
        <w:t>warstwy</w:t>
      </w:r>
    </w:p>
    <w:p w14:paraId="642AA9A0" w14:textId="77777777" w:rsidR="00A85D08" w:rsidRPr="00A85D08" w:rsidRDefault="00A85D08" w:rsidP="00A85D08">
      <w:pPr>
        <w:pStyle w:val="Tekstpodstawowy"/>
        <w:spacing w:line="240" w:lineRule="auto"/>
        <w:jc w:val="both"/>
        <w:rPr>
          <w:rFonts w:asciiTheme="minorHAnsi" w:hAnsiTheme="minorHAnsi" w:cstheme="minorHAnsi"/>
          <w:sz w:val="20"/>
          <w:szCs w:val="20"/>
        </w:rPr>
      </w:pPr>
      <w:r w:rsidRPr="00A85D08">
        <w:rPr>
          <w:rFonts w:asciiTheme="minorHAnsi" w:hAnsiTheme="minorHAnsi" w:cstheme="minorHAnsi"/>
          <w:sz w:val="20"/>
          <w:szCs w:val="20"/>
        </w:rPr>
        <w:t>Szerokość wykonanej warstwy powinna być zgodna z szerokością projektowaną z tolerancją + 5 cm. Wymaga się, aby co najmniej 95% wykonanych pomiarów nie przekraczało dopuszczalnego odchylenia.</w:t>
      </w:r>
    </w:p>
    <w:p w14:paraId="53BA3E82" w14:textId="77777777" w:rsidR="00A85D08" w:rsidRPr="00A85D08" w:rsidRDefault="00A85D08" w:rsidP="00A85D08">
      <w:pPr>
        <w:pStyle w:val="Tekstpodstawowy"/>
        <w:spacing w:line="240" w:lineRule="auto"/>
        <w:jc w:val="both"/>
        <w:rPr>
          <w:rFonts w:asciiTheme="minorHAnsi" w:hAnsiTheme="minorHAnsi" w:cstheme="minorHAnsi"/>
          <w:b/>
          <w:sz w:val="20"/>
          <w:szCs w:val="20"/>
        </w:rPr>
      </w:pPr>
      <w:r w:rsidRPr="00A85D08">
        <w:rPr>
          <w:rFonts w:asciiTheme="minorHAnsi" w:hAnsiTheme="minorHAnsi" w:cstheme="minorHAnsi"/>
          <w:b/>
          <w:sz w:val="20"/>
          <w:szCs w:val="20"/>
        </w:rPr>
        <w:t>6.4.3 Równość podłużna i poprzeczna</w:t>
      </w:r>
      <w:r w:rsidRPr="00A85D08">
        <w:rPr>
          <w:rFonts w:asciiTheme="minorHAnsi" w:hAnsiTheme="minorHAnsi" w:cstheme="minorHAnsi"/>
          <w:b/>
          <w:spacing w:val="-6"/>
          <w:sz w:val="20"/>
          <w:szCs w:val="20"/>
        </w:rPr>
        <w:t xml:space="preserve"> </w:t>
      </w:r>
      <w:r w:rsidRPr="00A85D08">
        <w:rPr>
          <w:rFonts w:asciiTheme="minorHAnsi" w:hAnsiTheme="minorHAnsi" w:cstheme="minorHAnsi"/>
          <w:b/>
          <w:sz w:val="20"/>
          <w:szCs w:val="20"/>
        </w:rPr>
        <w:t>warstwy</w:t>
      </w:r>
    </w:p>
    <w:p w14:paraId="2AFCE3D5" w14:textId="256B12F4" w:rsidR="00A85D08" w:rsidRPr="00A85D08" w:rsidRDefault="00A85D08" w:rsidP="00A85D08">
      <w:pPr>
        <w:pStyle w:val="Tekstpodstawowy"/>
        <w:spacing w:line="240" w:lineRule="auto"/>
        <w:jc w:val="both"/>
        <w:rPr>
          <w:rFonts w:asciiTheme="minorHAnsi" w:hAnsiTheme="minorHAnsi" w:cstheme="minorHAnsi"/>
          <w:sz w:val="20"/>
          <w:szCs w:val="20"/>
        </w:rPr>
      </w:pPr>
      <w:r w:rsidRPr="00A85D08">
        <w:rPr>
          <w:rFonts w:asciiTheme="minorHAnsi" w:hAnsiTheme="minorHAnsi" w:cstheme="minorHAnsi"/>
          <w:sz w:val="20"/>
          <w:szCs w:val="20"/>
        </w:rPr>
        <w:t xml:space="preserve">Do oceny równości podłużnej warstwy wiążącej nawierzchni dróg wszystkich klas technicznych, należy stosować metodę pomiaru ciągłego równoważną użyciu łaty i klina z wykorzystaniem planografu, umożliwiającego wyznaczanie odchyleń równości podłużnej jako największej odległości (prześwitu) pomiędzy teoretyczną linią łączącą spody kółek jezdnych urządzenia a mierzoną powierzchnią warstwy [mm]. Pomiary należy wykonywać w środku każdego ocenianego pasa ruchu. Prędkość planografu w czasie pomiaru nie powinna przekraczać 15 km/h. Wymagana równość podłużna jest określona przez maksymalne dopuszczalne wartości odchyleń dla warstwy podbudowy zostały podane w Tablicy </w:t>
      </w:r>
      <w:r w:rsidR="00113681">
        <w:rPr>
          <w:rFonts w:asciiTheme="minorHAnsi" w:hAnsiTheme="minorHAnsi" w:cstheme="minorHAnsi"/>
          <w:sz w:val="20"/>
          <w:szCs w:val="20"/>
        </w:rPr>
        <w:t>7</w:t>
      </w:r>
      <w:r w:rsidRPr="00A85D08">
        <w:rPr>
          <w:rFonts w:asciiTheme="minorHAnsi" w:hAnsiTheme="minorHAnsi" w:cstheme="minorHAnsi"/>
          <w:sz w:val="20"/>
          <w:szCs w:val="20"/>
        </w:rPr>
        <w:t>.</w:t>
      </w:r>
    </w:p>
    <w:p w14:paraId="42BD3DB7" w14:textId="77777777" w:rsidR="00A85D08" w:rsidRPr="00A85D08" w:rsidRDefault="00A85D08" w:rsidP="00A85D08">
      <w:pPr>
        <w:pStyle w:val="Tekstpodstawowy"/>
        <w:spacing w:line="240" w:lineRule="auto"/>
        <w:jc w:val="both"/>
        <w:rPr>
          <w:rFonts w:asciiTheme="minorHAnsi" w:hAnsiTheme="minorHAnsi" w:cstheme="minorHAnsi"/>
          <w:sz w:val="20"/>
          <w:szCs w:val="20"/>
        </w:rPr>
      </w:pPr>
    </w:p>
    <w:p w14:paraId="70F57F6D" w14:textId="2975660A" w:rsidR="00A85D08" w:rsidRPr="00A85D08" w:rsidRDefault="00A85D08" w:rsidP="00A85D08">
      <w:pPr>
        <w:pStyle w:val="Tekstpodstawowy"/>
        <w:spacing w:line="240" w:lineRule="auto"/>
        <w:jc w:val="both"/>
        <w:rPr>
          <w:rFonts w:asciiTheme="minorHAnsi" w:hAnsiTheme="minorHAnsi" w:cstheme="minorHAnsi"/>
          <w:sz w:val="20"/>
          <w:szCs w:val="20"/>
        </w:rPr>
      </w:pPr>
      <w:r w:rsidRPr="00A85D08">
        <w:rPr>
          <w:rFonts w:asciiTheme="minorHAnsi" w:hAnsiTheme="minorHAnsi" w:cstheme="minorHAnsi"/>
          <w:sz w:val="20"/>
          <w:szCs w:val="20"/>
        </w:rPr>
        <w:t xml:space="preserve">Tablica </w:t>
      </w:r>
      <w:r w:rsidR="00113681">
        <w:rPr>
          <w:rFonts w:asciiTheme="minorHAnsi" w:hAnsiTheme="minorHAnsi" w:cstheme="minorHAnsi"/>
          <w:sz w:val="20"/>
          <w:szCs w:val="20"/>
        </w:rPr>
        <w:t>7</w:t>
      </w:r>
    </w:p>
    <w:tbl>
      <w:tblPr>
        <w:tblStyle w:val="TableNormal"/>
        <w:tblW w:w="8814" w:type="dxa"/>
        <w:tblInd w:w="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36"/>
        <w:gridCol w:w="3817"/>
        <w:gridCol w:w="3261"/>
      </w:tblGrid>
      <w:tr w:rsidR="00A85D08" w:rsidRPr="00A85D08" w14:paraId="78FD1A94" w14:textId="77777777" w:rsidTr="00A85D08">
        <w:trPr>
          <w:trHeight w:val="690"/>
        </w:trPr>
        <w:tc>
          <w:tcPr>
            <w:tcW w:w="1736" w:type="dxa"/>
            <w:tcBorders>
              <w:top w:val="single" w:sz="4" w:space="0" w:color="000000"/>
              <w:left w:val="single" w:sz="4" w:space="0" w:color="000000"/>
              <w:bottom w:val="single" w:sz="4" w:space="0" w:color="000000"/>
              <w:right w:val="single" w:sz="4" w:space="0" w:color="000000"/>
            </w:tcBorders>
          </w:tcPr>
          <w:p w14:paraId="152672A9" w14:textId="77777777" w:rsidR="00A85D08" w:rsidRPr="00A85D08" w:rsidRDefault="00A85D08" w:rsidP="00A85D08">
            <w:pPr>
              <w:pStyle w:val="Tekstpodstawowy"/>
              <w:spacing w:line="240" w:lineRule="auto"/>
              <w:jc w:val="both"/>
              <w:rPr>
                <w:rFonts w:asciiTheme="minorHAnsi" w:eastAsia="Arial" w:hAnsiTheme="minorHAnsi" w:cstheme="minorHAnsi"/>
                <w:sz w:val="20"/>
                <w:szCs w:val="20"/>
              </w:rPr>
            </w:pPr>
          </w:p>
          <w:p w14:paraId="7F096CD2" w14:textId="77777777" w:rsidR="00A85D08" w:rsidRPr="00A85D08" w:rsidRDefault="00A85D08" w:rsidP="00A85D08">
            <w:pPr>
              <w:pStyle w:val="Tekstpodstawowy"/>
              <w:spacing w:line="240" w:lineRule="auto"/>
              <w:jc w:val="both"/>
              <w:rPr>
                <w:rFonts w:asciiTheme="minorHAnsi" w:hAnsiTheme="minorHAnsi" w:cstheme="minorHAnsi"/>
                <w:sz w:val="20"/>
                <w:szCs w:val="20"/>
              </w:rPr>
            </w:pPr>
            <w:r w:rsidRPr="00A85D08">
              <w:rPr>
                <w:rFonts w:asciiTheme="minorHAnsi" w:hAnsiTheme="minorHAnsi" w:cstheme="minorHAnsi"/>
                <w:sz w:val="20"/>
                <w:szCs w:val="20"/>
              </w:rPr>
              <w:t>Klasa drogi</w:t>
            </w:r>
          </w:p>
        </w:tc>
        <w:tc>
          <w:tcPr>
            <w:tcW w:w="3817" w:type="dxa"/>
            <w:tcBorders>
              <w:top w:val="single" w:sz="4" w:space="0" w:color="000000"/>
              <w:left w:val="single" w:sz="4" w:space="0" w:color="000000"/>
              <w:bottom w:val="single" w:sz="4" w:space="0" w:color="000000"/>
              <w:right w:val="single" w:sz="4" w:space="0" w:color="000000"/>
            </w:tcBorders>
          </w:tcPr>
          <w:p w14:paraId="27A0B3AB" w14:textId="77777777" w:rsidR="00A85D08" w:rsidRPr="00A85D08" w:rsidRDefault="00A85D08" w:rsidP="00A85D08">
            <w:pPr>
              <w:pStyle w:val="Tekstpodstawowy"/>
              <w:spacing w:line="240" w:lineRule="auto"/>
              <w:jc w:val="both"/>
              <w:rPr>
                <w:rFonts w:asciiTheme="minorHAnsi" w:eastAsia="Arial" w:hAnsiTheme="minorHAnsi" w:cstheme="minorHAnsi"/>
                <w:sz w:val="20"/>
                <w:szCs w:val="20"/>
              </w:rPr>
            </w:pPr>
          </w:p>
          <w:p w14:paraId="5B1978DE" w14:textId="77777777" w:rsidR="00A85D08" w:rsidRPr="00A85D08" w:rsidRDefault="00A85D08" w:rsidP="00A85D08">
            <w:pPr>
              <w:pStyle w:val="Tekstpodstawowy"/>
              <w:spacing w:line="240" w:lineRule="auto"/>
              <w:jc w:val="both"/>
              <w:rPr>
                <w:rFonts w:asciiTheme="minorHAnsi" w:hAnsiTheme="minorHAnsi" w:cstheme="minorHAnsi"/>
                <w:sz w:val="20"/>
                <w:szCs w:val="20"/>
              </w:rPr>
            </w:pPr>
            <w:r w:rsidRPr="00A85D08">
              <w:rPr>
                <w:rFonts w:asciiTheme="minorHAnsi" w:hAnsiTheme="minorHAnsi" w:cstheme="minorHAnsi"/>
                <w:sz w:val="20"/>
                <w:szCs w:val="20"/>
              </w:rPr>
              <w:t>Element nawierzchni</w:t>
            </w:r>
          </w:p>
        </w:tc>
        <w:tc>
          <w:tcPr>
            <w:tcW w:w="3261" w:type="dxa"/>
            <w:tcBorders>
              <w:top w:val="single" w:sz="4" w:space="0" w:color="000000"/>
              <w:left w:val="single" w:sz="4" w:space="0" w:color="000000"/>
              <w:bottom w:val="single" w:sz="4" w:space="0" w:color="000000"/>
              <w:right w:val="single" w:sz="4" w:space="0" w:color="000000"/>
            </w:tcBorders>
            <w:hideMark/>
          </w:tcPr>
          <w:p w14:paraId="7B3EBD01" w14:textId="77777777" w:rsidR="00A85D08" w:rsidRPr="00A85D08" w:rsidRDefault="00A85D08" w:rsidP="00A85D08">
            <w:pPr>
              <w:pStyle w:val="Tekstpodstawowy"/>
              <w:spacing w:line="240" w:lineRule="auto"/>
              <w:jc w:val="both"/>
              <w:rPr>
                <w:rFonts w:asciiTheme="minorHAnsi" w:eastAsia="Arial" w:hAnsiTheme="minorHAnsi" w:cstheme="minorHAnsi"/>
                <w:sz w:val="20"/>
                <w:szCs w:val="20"/>
                <w:lang w:val="pl-PL"/>
              </w:rPr>
            </w:pPr>
            <w:r w:rsidRPr="00A85D08">
              <w:rPr>
                <w:rFonts w:asciiTheme="minorHAnsi" w:hAnsiTheme="minorHAnsi" w:cstheme="minorHAnsi"/>
                <w:sz w:val="20"/>
                <w:szCs w:val="20"/>
                <w:lang w:val="pl-PL"/>
              </w:rPr>
              <w:t>Dopuszczalne wartości odchyleń równości podłużnej warstwy</w:t>
            </w:r>
          </w:p>
          <w:p w14:paraId="30E5BFD5" w14:textId="77777777" w:rsidR="00A85D08" w:rsidRPr="00A85D08" w:rsidRDefault="00A85D08" w:rsidP="00A85D08">
            <w:pPr>
              <w:pStyle w:val="Tekstpodstawowy"/>
              <w:spacing w:line="240" w:lineRule="auto"/>
              <w:jc w:val="both"/>
              <w:rPr>
                <w:rFonts w:asciiTheme="minorHAnsi" w:hAnsiTheme="minorHAnsi" w:cstheme="minorHAnsi"/>
                <w:sz w:val="20"/>
                <w:szCs w:val="20"/>
              </w:rPr>
            </w:pPr>
            <w:r w:rsidRPr="00A85D08">
              <w:rPr>
                <w:rFonts w:asciiTheme="minorHAnsi" w:hAnsiTheme="minorHAnsi" w:cstheme="minorHAnsi"/>
                <w:sz w:val="20"/>
                <w:szCs w:val="20"/>
              </w:rPr>
              <w:t>wiążącej [mm]</w:t>
            </w:r>
          </w:p>
        </w:tc>
      </w:tr>
      <w:tr w:rsidR="00A85D08" w:rsidRPr="00A85D08" w14:paraId="0E1DAD8A" w14:textId="77777777" w:rsidTr="00A85D08">
        <w:trPr>
          <w:trHeight w:val="494"/>
        </w:trPr>
        <w:tc>
          <w:tcPr>
            <w:tcW w:w="1736" w:type="dxa"/>
            <w:vMerge w:val="restart"/>
            <w:tcBorders>
              <w:top w:val="single" w:sz="4" w:space="0" w:color="000000"/>
              <w:left w:val="single" w:sz="4" w:space="0" w:color="000000"/>
              <w:bottom w:val="single" w:sz="4" w:space="0" w:color="000000"/>
              <w:right w:val="single" w:sz="4" w:space="0" w:color="000000"/>
            </w:tcBorders>
          </w:tcPr>
          <w:p w14:paraId="20F1958E" w14:textId="77777777" w:rsidR="00A85D08" w:rsidRPr="00A85D08" w:rsidRDefault="00A85D08" w:rsidP="00A85D08">
            <w:pPr>
              <w:pStyle w:val="Tekstpodstawowy"/>
              <w:spacing w:line="240" w:lineRule="auto"/>
              <w:jc w:val="both"/>
              <w:rPr>
                <w:rFonts w:asciiTheme="minorHAnsi" w:eastAsia="Arial" w:hAnsiTheme="minorHAnsi" w:cstheme="minorHAnsi"/>
                <w:sz w:val="20"/>
                <w:szCs w:val="20"/>
              </w:rPr>
            </w:pPr>
          </w:p>
          <w:p w14:paraId="6F0330BD" w14:textId="77777777" w:rsidR="00A85D08" w:rsidRPr="00A85D08" w:rsidRDefault="00A85D08" w:rsidP="00A85D08">
            <w:pPr>
              <w:pStyle w:val="Tekstpodstawowy"/>
              <w:spacing w:line="240" w:lineRule="auto"/>
              <w:jc w:val="both"/>
              <w:rPr>
                <w:rFonts w:asciiTheme="minorHAnsi" w:hAnsiTheme="minorHAnsi" w:cstheme="minorHAnsi"/>
                <w:sz w:val="20"/>
                <w:szCs w:val="20"/>
              </w:rPr>
            </w:pPr>
            <w:r w:rsidRPr="00A85D08">
              <w:rPr>
                <w:rFonts w:asciiTheme="minorHAnsi" w:hAnsiTheme="minorHAnsi" w:cstheme="minorHAnsi"/>
                <w:sz w:val="20"/>
                <w:szCs w:val="20"/>
              </w:rPr>
              <w:t>GP</w:t>
            </w:r>
          </w:p>
        </w:tc>
        <w:tc>
          <w:tcPr>
            <w:tcW w:w="3817" w:type="dxa"/>
            <w:tcBorders>
              <w:top w:val="single" w:sz="4" w:space="0" w:color="000000"/>
              <w:left w:val="single" w:sz="4" w:space="0" w:color="000000"/>
              <w:bottom w:val="single" w:sz="4" w:space="0" w:color="000000"/>
              <w:right w:val="single" w:sz="4" w:space="0" w:color="000000"/>
            </w:tcBorders>
            <w:hideMark/>
          </w:tcPr>
          <w:p w14:paraId="6871BFCA" w14:textId="77777777" w:rsidR="00A85D08" w:rsidRPr="00A85D08" w:rsidRDefault="00A85D08" w:rsidP="00A85D08">
            <w:pPr>
              <w:pStyle w:val="Tekstpodstawowy"/>
              <w:spacing w:line="240" w:lineRule="auto"/>
              <w:jc w:val="both"/>
              <w:rPr>
                <w:rFonts w:asciiTheme="minorHAnsi" w:hAnsiTheme="minorHAnsi" w:cstheme="minorHAnsi"/>
                <w:sz w:val="20"/>
                <w:szCs w:val="20"/>
                <w:lang w:val="pl-PL"/>
              </w:rPr>
            </w:pPr>
            <w:r w:rsidRPr="00A85D08">
              <w:rPr>
                <w:rFonts w:asciiTheme="minorHAnsi" w:hAnsiTheme="minorHAnsi" w:cstheme="minorHAnsi"/>
                <w:sz w:val="20"/>
                <w:szCs w:val="20"/>
                <w:lang w:val="pl-PL"/>
              </w:rPr>
              <w:t>Pasy ruchu zasadnicze, awaryjne, dodatkowe, włącznie i wyłączenia, jezdnie łącznic</w:t>
            </w:r>
          </w:p>
        </w:tc>
        <w:tc>
          <w:tcPr>
            <w:tcW w:w="3261" w:type="dxa"/>
            <w:tcBorders>
              <w:top w:val="single" w:sz="4" w:space="0" w:color="000000"/>
              <w:left w:val="single" w:sz="4" w:space="0" w:color="000000"/>
              <w:bottom w:val="single" w:sz="4" w:space="0" w:color="000000"/>
              <w:right w:val="single" w:sz="4" w:space="0" w:color="000000"/>
            </w:tcBorders>
          </w:tcPr>
          <w:p w14:paraId="6ED78F68" w14:textId="77777777" w:rsidR="00A85D08" w:rsidRPr="00A85D08" w:rsidRDefault="00A85D08" w:rsidP="00A85D08">
            <w:pPr>
              <w:pStyle w:val="Tekstpodstawowy"/>
              <w:spacing w:line="240" w:lineRule="auto"/>
              <w:jc w:val="both"/>
              <w:rPr>
                <w:rFonts w:asciiTheme="minorHAnsi" w:eastAsia="Arial" w:hAnsiTheme="minorHAnsi" w:cstheme="minorHAnsi"/>
                <w:sz w:val="20"/>
                <w:szCs w:val="20"/>
                <w:lang w:val="pl-PL"/>
              </w:rPr>
            </w:pPr>
          </w:p>
          <w:p w14:paraId="5EA57F9E" w14:textId="77777777" w:rsidR="00A85D08" w:rsidRPr="00A85D08" w:rsidRDefault="00A85D08" w:rsidP="00A85D08">
            <w:pPr>
              <w:pStyle w:val="Tekstpodstawowy"/>
              <w:spacing w:line="240" w:lineRule="auto"/>
              <w:jc w:val="both"/>
              <w:rPr>
                <w:rFonts w:asciiTheme="minorHAnsi" w:hAnsiTheme="minorHAnsi" w:cstheme="minorHAnsi"/>
                <w:sz w:val="20"/>
                <w:szCs w:val="20"/>
              </w:rPr>
            </w:pPr>
            <w:r w:rsidRPr="00A85D08">
              <w:rPr>
                <w:rFonts w:asciiTheme="minorHAnsi" w:hAnsiTheme="minorHAnsi" w:cstheme="minorHAnsi"/>
                <w:sz w:val="20"/>
                <w:szCs w:val="20"/>
              </w:rPr>
              <w:t>6</w:t>
            </w:r>
          </w:p>
        </w:tc>
      </w:tr>
      <w:tr w:rsidR="00A85D08" w:rsidRPr="00A85D08" w14:paraId="57CFD9BC" w14:textId="77777777" w:rsidTr="00A85D08">
        <w:trPr>
          <w:trHeight w:val="458"/>
        </w:trPr>
        <w:tc>
          <w:tcPr>
            <w:tcW w:w="1736" w:type="dxa"/>
            <w:vMerge/>
            <w:tcBorders>
              <w:top w:val="single" w:sz="4" w:space="0" w:color="000000"/>
              <w:left w:val="single" w:sz="4" w:space="0" w:color="000000"/>
              <w:bottom w:val="single" w:sz="4" w:space="0" w:color="000000"/>
              <w:right w:val="single" w:sz="4" w:space="0" w:color="000000"/>
            </w:tcBorders>
            <w:vAlign w:val="center"/>
            <w:hideMark/>
          </w:tcPr>
          <w:p w14:paraId="23973225" w14:textId="77777777" w:rsidR="00A85D08" w:rsidRPr="00A85D08" w:rsidRDefault="00A85D08" w:rsidP="00A85D08">
            <w:pPr>
              <w:pStyle w:val="Tekstpodstawowy"/>
              <w:spacing w:line="240" w:lineRule="auto"/>
              <w:jc w:val="both"/>
              <w:rPr>
                <w:rFonts w:asciiTheme="minorHAnsi" w:eastAsia="Arial" w:hAnsiTheme="minorHAnsi" w:cstheme="minorHAnsi"/>
                <w:sz w:val="20"/>
                <w:szCs w:val="20"/>
              </w:rPr>
            </w:pPr>
          </w:p>
        </w:tc>
        <w:tc>
          <w:tcPr>
            <w:tcW w:w="3817" w:type="dxa"/>
            <w:tcBorders>
              <w:top w:val="single" w:sz="4" w:space="0" w:color="000000"/>
              <w:left w:val="single" w:sz="4" w:space="0" w:color="000000"/>
              <w:bottom w:val="single" w:sz="4" w:space="0" w:color="000000"/>
              <w:right w:val="single" w:sz="4" w:space="0" w:color="000000"/>
            </w:tcBorders>
            <w:hideMark/>
          </w:tcPr>
          <w:p w14:paraId="7A6B72F4" w14:textId="77777777" w:rsidR="00A85D08" w:rsidRPr="00A85D08" w:rsidRDefault="00A85D08" w:rsidP="00A85D08">
            <w:pPr>
              <w:pStyle w:val="Tekstpodstawowy"/>
              <w:spacing w:line="240" w:lineRule="auto"/>
              <w:jc w:val="both"/>
              <w:rPr>
                <w:rFonts w:asciiTheme="minorHAnsi" w:hAnsiTheme="minorHAnsi" w:cstheme="minorHAnsi"/>
                <w:sz w:val="20"/>
                <w:szCs w:val="20"/>
              </w:rPr>
            </w:pPr>
            <w:r w:rsidRPr="00A85D08">
              <w:rPr>
                <w:rFonts w:asciiTheme="minorHAnsi" w:hAnsiTheme="minorHAnsi" w:cstheme="minorHAnsi"/>
                <w:sz w:val="20"/>
                <w:szCs w:val="20"/>
              </w:rPr>
              <w:t>Jezdnie MOP, utwardzone pobocza</w:t>
            </w:r>
          </w:p>
        </w:tc>
        <w:tc>
          <w:tcPr>
            <w:tcW w:w="3261" w:type="dxa"/>
            <w:tcBorders>
              <w:top w:val="single" w:sz="4" w:space="0" w:color="000000"/>
              <w:left w:val="single" w:sz="4" w:space="0" w:color="000000"/>
              <w:bottom w:val="single" w:sz="4" w:space="0" w:color="000000"/>
              <w:right w:val="single" w:sz="4" w:space="0" w:color="000000"/>
            </w:tcBorders>
            <w:hideMark/>
          </w:tcPr>
          <w:p w14:paraId="0725FFB8" w14:textId="77777777" w:rsidR="00A85D08" w:rsidRPr="00A85D08" w:rsidRDefault="00A85D08" w:rsidP="00A85D08">
            <w:pPr>
              <w:pStyle w:val="Tekstpodstawowy"/>
              <w:spacing w:line="240" w:lineRule="auto"/>
              <w:jc w:val="both"/>
              <w:rPr>
                <w:rFonts w:asciiTheme="minorHAnsi" w:hAnsiTheme="minorHAnsi" w:cstheme="minorHAnsi"/>
                <w:sz w:val="20"/>
                <w:szCs w:val="20"/>
              </w:rPr>
            </w:pPr>
            <w:r w:rsidRPr="00A85D08">
              <w:rPr>
                <w:rFonts w:asciiTheme="minorHAnsi" w:hAnsiTheme="minorHAnsi" w:cstheme="minorHAnsi"/>
                <w:sz w:val="20"/>
                <w:szCs w:val="20"/>
              </w:rPr>
              <w:t>9</w:t>
            </w:r>
          </w:p>
        </w:tc>
      </w:tr>
      <w:tr w:rsidR="00A85D08" w:rsidRPr="00A85D08" w14:paraId="3B7430FF" w14:textId="77777777" w:rsidTr="00A85D08">
        <w:trPr>
          <w:trHeight w:val="517"/>
        </w:trPr>
        <w:tc>
          <w:tcPr>
            <w:tcW w:w="1736" w:type="dxa"/>
            <w:vMerge w:val="restart"/>
            <w:tcBorders>
              <w:top w:val="single" w:sz="4" w:space="0" w:color="000000"/>
              <w:left w:val="single" w:sz="4" w:space="0" w:color="000000"/>
              <w:bottom w:val="single" w:sz="4" w:space="0" w:color="000000"/>
              <w:right w:val="single" w:sz="4" w:space="0" w:color="000000"/>
            </w:tcBorders>
          </w:tcPr>
          <w:p w14:paraId="5BE0DB5C" w14:textId="77777777" w:rsidR="00A85D08" w:rsidRPr="00A85D08" w:rsidRDefault="00A85D08" w:rsidP="00A85D08">
            <w:pPr>
              <w:pStyle w:val="Tekstpodstawowy"/>
              <w:spacing w:line="240" w:lineRule="auto"/>
              <w:jc w:val="both"/>
              <w:rPr>
                <w:rFonts w:asciiTheme="minorHAnsi" w:eastAsia="Arial" w:hAnsiTheme="minorHAnsi" w:cstheme="minorHAnsi"/>
                <w:sz w:val="20"/>
                <w:szCs w:val="20"/>
              </w:rPr>
            </w:pPr>
          </w:p>
          <w:p w14:paraId="5C4C3EFF" w14:textId="77777777" w:rsidR="00A85D08" w:rsidRPr="00A85D08" w:rsidRDefault="00A85D08" w:rsidP="00A85D08">
            <w:pPr>
              <w:pStyle w:val="Tekstpodstawowy"/>
              <w:spacing w:line="240" w:lineRule="auto"/>
              <w:jc w:val="both"/>
              <w:rPr>
                <w:rFonts w:asciiTheme="minorHAnsi" w:hAnsiTheme="minorHAnsi" w:cstheme="minorHAnsi"/>
                <w:sz w:val="20"/>
                <w:szCs w:val="20"/>
              </w:rPr>
            </w:pPr>
            <w:r w:rsidRPr="00A85D08">
              <w:rPr>
                <w:rFonts w:asciiTheme="minorHAnsi" w:hAnsiTheme="minorHAnsi" w:cstheme="minorHAnsi"/>
                <w:sz w:val="20"/>
                <w:szCs w:val="20"/>
              </w:rPr>
              <w:t>G, Z</w:t>
            </w:r>
          </w:p>
        </w:tc>
        <w:tc>
          <w:tcPr>
            <w:tcW w:w="3817" w:type="dxa"/>
            <w:tcBorders>
              <w:top w:val="single" w:sz="4" w:space="0" w:color="000000"/>
              <w:left w:val="single" w:sz="4" w:space="0" w:color="000000"/>
              <w:bottom w:val="single" w:sz="4" w:space="0" w:color="000000"/>
              <w:right w:val="single" w:sz="4" w:space="0" w:color="000000"/>
            </w:tcBorders>
            <w:hideMark/>
          </w:tcPr>
          <w:p w14:paraId="7419B006" w14:textId="77777777" w:rsidR="00A85D08" w:rsidRPr="00A85D08" w:rsidRDefault="00A85D08" w:rsidP="00A85D08">
            <w:pPr>
              <w:pStyle w:val="Tekstpodstawowy"/>
              <w:spacing w:line="240" w:lineRule="auto"/>
              <w:jc w:val="both"/>
              <w:rPr>
                <w:rFonts w:asciiTheme="minorHAnsi" w:hAnsiTheme="minorHAnsi" w:cstheme="minorHAnsi"/>
                <w:sz w:val="20"/>
                <w:szCs w:val="20"/>
                <w:lang w:val="pl-PL"/>
              </w:rPr>
            </w:pPr>
            <w:r w:rsidRPr="00A85D08">
              <w:rPr>
                <w:rFonts w:asciiTheme="minorHAnsi" w:hAnsiTheme="minorHAnsi" w:cstheme="minorHAnsi"/>
                <w:sz w:val="20"/>
                <w:szCs w:val="20"/>
                <w:lang w:val="pl-PL"/>
              </w:rPr>
              <w:t>Pasy ruchu zasadnicze, dodatkowe, włączenia i wyłączenia, postojowe</w:t>
            </w:r>
          </w:p>
        </w:tc>
        <w:tc>
          <w:tcPr>
            <w:tcW w:w="3261" w:type="dxa"/>
            <w:tcBorders>
              <w:top w:val="single" w:sz="4" w:space="0" w:color="000000"/>
              <w:left w:val="single" w:sz="4" w:space="0" w:color="000000"/>
              <w:bottom w:val="single" w:sz="4" w:space="0" w:color="000000"/>
              <w:right w:val="single" w:sz="4" w:space="0" w:color="000000"/>
            </w:tcBorders>
          </w:tcPr>
          <w:p w14:paraId="1882CBE5" w14:textId="77777777" w:rsidR="00A85D08" w:rsidRPr="00A85D08" w:rsidRDefault="00A85D08" w:rsidP="00A85D08">
            <w:pPr>
              <w:pStyle w:val="Tekstpodstawowy"/>
              <w:spacing w:line="240" w:lineRule="auto"/>
              <w:jc w:val="both"/>
              <w:rPr>
                <w:rFonts w:asciiTheme="minorHAnsi" w:eastAsia="Arial" w:hAnsiTheme="minorHAnsi" w:cstheme="minorHAnsi"/>
                <w:sz w:val="20"/>
                <w:szCs w:val="20"/>
                <w:lang w:val="pl-PL"/>
              </w:rPr>
            </w:pPr>
          </w:p>
          <w:p w14:paraId="6CD4D174" w14:textId="77777777" w:rsidR="00A85D08" w:rsidRPr="00A85D08" w:rsidRDefault="00A85D08" w:rsidP="00A85D08">
            <w:pPr>
              <w:pStyle w:val="Tekstpodstawowy"/>
              <w:spacing w:line="240" w:lineRule="auto"/>
              <w:jc w:val="both"/>
              <w:rPr>
                <w:rFonts w:asciiTheme="minorHAnsi" w:hAnsiTheme="minorHAnsi" w:cstheme="minorHAnsi"/>
                <w:sz w:val="20"/>
                <w:szCs w:val="20"/>
              </w:rPr>
            </w:pPr>
            <w:r w:rsidRPr="00A85D08">
              <w:rPr>
                <w:rFonts w:asciiTheme="minorHAnsi" w:hAnsiTheme="minorHAnsi" w:cstheme="minorHAnsi"/>
                <w:sz w:val="20"/>
                <w:szCs w:val="20"/>
              </w:rPr>
              <w:t>9</w:t>
            </w:r>
          </w:p>
        </w:tc>
      </w:tr>
      <w:tr w:rsidR="00A85D08" w:rsidRPr="00A85D08" w14:paraId="575F253E" w14:textId="77777777" w:rsidTr="00A85D08">
        <w:trPr>
          <w:trHeight w:val="230"/>
        </w:trPr>
        <w:tc>
          <w:tcPr>
            <w:tcW w:w="1736" w:type="dxa"/>
            <w:vMerge/>
            <w:tcBorders>
              <w:top w:val="single" w:sz="4" w:space="0" w:color="000000"/>
              <w:left w:val="single" w:sz="4" w:space="0" w:color="000000"/>
              <w:bottom w:val="single" w:sz="4" w:space="0" w:color="000000"/>
              <w:right w:val="single" w:sz="4" w:space="0" w:color="000000"/>
            </w:tcBorders>
            <w:vAlign w:val="center"/>
            <w:hideMark/>
          </w:tcPr>
          <w:p w14:paraId="7388892A" w14:textId="77777777" w:rsidR="00A85D08" w:rsidRPr="00A85D08" w:rsidRDefault="00A85D08" w:rsidP="00A85D08">
            <w:pPr>
              <w:pStyle w:val="Tekstpodstawowy"/>
              <w:spacing w:line="240" w:lineRule="auto"/>
              <w:jc w:val="both"/>
              <w:rPr>
                <w:rFonts w:asciiTheme="minorHAnsi" w:eastAsia="Arial" w:hAnsiTheme="minorHAnsi" w:cstheme="minorHAnsi"/>
                <w:sz w:val="20"/>
                <w:szCs w:val="20"/>
              </w:rPr>
            </w:pPr>
          </w:p>
        </w:tc>
        <w:tc>
          <w:tcPr>
            <w:tcW w:w="3817" w:type="dxa"/>
            <w:tcBorders>
              <w:top w:val="single" w:sz="4" w:space="0" w:color="000000"/>
              <w:left w:val="single" w:sz="4" w:space="0" w:color="000000"/>
              <w:bottom w:val="single" w:sz="4" w:space="0" w:color="000000"/>
              <w:right w:val="single" w:sz="4" w:space="0" w:color="000000"/>
            </w:tcBorders>
            <w:hideMark/>
          </w:tcPr>
          <w:p w14:paraId="58030AFD" w14:textId="77777777" w:rsidR="00A85D08" w:rsidRPr="00A85D08" w:rsidRDefault="00A85D08" w:rsidP="00A85D08">
            <w:pPr>
              <w:pStyle w:val="Tekstpodstawowy"/>
              <w:spacing w:line="240" w:lineRule="auto"/>
              <w:jc w:val="both"/>
              <w:rPr>
                <w:rFonts w:asciiTheme="minorHAnsi" w:hAnsiTheme="minorHAnsi" w:cstheme="minorHAnsi"/>
                <w:sz w:val="20"/>
                <w:szCs w:val="20"/>
              </w:rPr>
            </w:pPr>
            <w:r w:rsidRPr="00A85D08">
              <w:rPr>
                <w:rFonts w:asciiTheme="minorHAnsi" w:hAnsiTheme="minorHAnsi" w:cstheme="minorHAnsi"/>
                <w:sz w:val="20"/>
                <w:szCs w:val="20"/>
              </w:rPr>
              <w:t>Utwardzone pobocza</w:t>
            </w:r>
          </w:p>
        </w:tc>
        <w:tc>
          <w:tcPr>
            <w:tcW w:w="3261" w:type="dxa"/>
            <w:tcBorders>
              <w:top w:val="single" w:sz="4" w:space="0" w:color="000000"/>
              <w:left w:val="single" w:sz="4" w:space="0" w:color="000000"/>
              <w:bottom w:val="single" w:sz="4" w:space="0" w:color="000000"/>
              <w:right w:val="single" w:sz="4" w:space="0" w:color="000000"/>
            </w:tcBorders>
            <w:hideMark/>
          </w:tcPr>
          <w:p w14:paraId="07C97A22" w14:textId="77777777" w:rsidR="00A85D08" w:rsidRPr="00A85D08" w:rsidRDefault="00A85D08" w:rsidP="00A85D08">
            <w:pPr>
              <w:pStyle w:val="Tekstpodstawowy"/>
              <w:spacing w:line="240" w:lineRule="auto"/>
              <w:jc w:val="both"/>
              <w:rPr>
                <w:rFonts w:asciiTheme="minorHAnsi" w:hAnsiTheme="minorHAnsi" w:cstheme="minorHAnsi"/>
                <w:sz w:val="20"/>
                <w:szCs w:val="20"/>
              </w:rPr>
            </w:pPr>
            <w:r w:rsidRPr="00A85D08">
              <w:rPr>
                <w:rFonts w:asciiTheme="minorHAnsi" w:hAnsiTheme="minorHAnsi" w:cstheme="minorHAnsi"/>
                <w:sz w:val="20"/>
                <w:szCs w:val="20"/>
              </w:rPr>
              <w:t>12</w:t>
            </w:r>
          </w:p>
        </w:tc>
      </w:tr>
      <w:tr w:rsidR="00A85D08" w:rsidRPr="00A85D08" w14:paraId="0483813E" w14:textId="77777777" w:rsidTr="00A85D08">
        <w:trPr>
          <w:trHeight w:val="598"/>
        </w:trPr>
        <w:tc>
          <w:tcPr>
            <w:tcW w:w="1736" w:type="dxa"/>
            <w:tcBorders>
              <w:top w:val="single" w:sz="4" w:space="0" w:color="000000"/>
              <w:left w:val="single" w:sz="4" w:space="0" w:color="000000"/>
              <w:bottom w:val="single" w:sz="4" w:space="0" w:color="000000"/>
              <w:right w:val="single" w:sz="4" w:space="0" w:color="000000"/>
            </w:tcBorders>
          </w:tcPr>
          <w:p w14:paraId="7824B2E2" w14:textId="77777777" w:rsidR="00A85D08" w:rsidRPr="00A85D08" w:rsidRDefault="00A85D08" w:rsidP="00A85D08">
            <w:pPr>
              <w:pStyle w:val="Tekstpodstawowy"/>
              <w:spacing w:line="240" w:lineRule="auto"/>
              <w:jc w:val="both"/>
              <w:rPr>
                <w:rFonts w:asciiTheme="minorHAnsi" w:eastAsia="Arial" w:hAnsiTheme="minorHAnsi" w:cstheme="minorHAnsi"/>
                <w:sz w:val="20"/>
                <w:szCs w:val="20"/>
              </w:rPr>
            </w:pPr>
          </w:p>
          <w:p w14:paraId="32EF6F81" w14:textId="77777777" w:rsidR="00A85D08" w:rsidRPr="00A85D08" w:rsidRDefault="00A85D08" w:rsidP="00A85D08">
            <w:pPr>
              <w:pStyle w:val="Tekstpodstawowy"/>
              <w:spacing w:line="240" w:lineRule="auto"/>
              <w:jc w:val="both"/>
              <w:rPr>
                <w:rFonts w:asciiTheme="minorHAnsi" w:hAnsiTheme="minorHAnsi" w:cstheme="minorHAnsi"/>
                <w:sz w:val="20"/>
                <w:szCs w:val="20"/>
              </w:rPr>
            </w:pPr>
            <w:r w:rsidRPr="00A85D08">
              <w:rPr>
                <w:rFonts w:asciiTheme="minorHAnsi" w:hAnsiTheme="minorHAnsi" w:cstheme="minorHAnsi"/>
                <w:sz w:val="20"/>
                <w:szCs w:val="20"/>
              </w:rPr>
              <w:t>L, D, place, parkingi</w:t>
            </w:r>
          </w:p>
        </w:tc>
        <w:tc>
          <w:tcPr>
            <w:tcW w:w="3817" w:type="dxa"/>
            <w:tcBorders>
              <w:top w:val="single" w:sz="4" w:space="0" w:color="000000"/>
              <w:left w:val="single" w:sz="4" w:space="0" w:color="000000"/>
              <w:bottom w:val="single" w:sz="4" w:space="0" w:color="000000"/>
              <w:right w:val="single" w:sz="4" w:space="0" w:color="000000"/>
            </w:tcBorders>
            <w:hideMark/>
          </w:tcPr>
          <w:p w14:paraId="269574D1" w14:textId="77777777" w:rsidR="00A85D08" w:rsidRPr="00A85D08" w:rsidRDefault="00A85D08" w:rsidP="00A85D08">
            <w:pPr>
              <w:pStyle w:val="Tekstpodstawowy"/>
              <w:spacing w:line="240" w:lineRule="auto"/>
              <w:jc w:val="both"/>
              <w:rPr>
                <w:rFonts w:asciiTheme="minorHAnsi" w:hAnsiTheme="minorHAnsi" w:cstheme="minorHAnsi"/>
                <w:sz w:val="20"/>
                <w:szCs w:val="20"/>
                <w:lang w:val="pl-PL"/>
              </w:rPr>
            </w:pPr>
            <w:r w:rsidRPr="00A85D08">
              <w:rPr>
                <w:rFonts w:asciiTheme="minorHAnsi" w:hAnsiTheme="minorHAnsi" w:cstheme="minorHAnsi"/>
                <w:sz w:val="20"/>
                <w:szCs w:val="20"/>
                <w:lang w:val="pl-PL"/>
              </w:rPr>
              <w:t>Wszystkie pasy ruchu i powierzchnie przeznaczone do ruchu i postoju pojazdów</w:t>
            </w:r>
          </w:p>
        </w:tc>
        <w:tc>
          <w:tcPr>
            <w:tcW w:w="3261" w:type="dxa"/>
            <w:tcBorders>
              <w:top w:val="single" w:sz="4" w:space="0" w:color="000000"/>
              <w:left w:val="single" w:sz="4" w:space="0" w:color="000000"/>
              <w:bottom w:val="single" w:sz="4" w:space="0" w:color="000000"/>
              <w:right w:val="single" w:sz="4" w:space="0" w:color="000000"/>
            </w:tcBorders>
          </w:tcPr>
          <w:p w14:paraId="4EAF3E4E" w14:textId="77777777" w:rsidR="00A85D08" w:rsidRPr="00A85D08" w:rsidRDefault="00A85D08" w:rsidP="00A85D08">
            <w:pPr>
              <w:pStyle w:val="Tekstpodstawowy"/>
              <w:spacing w:line="240" w:lineRule="auto"/>
              <w:jc w:val="both"/>
              <w:rPr>
                <w:rFonts w:asciiTheme="minorHAnsi" w:eastAsia="Arial" w:hAnsiTheme="minorHAnsi" w:cstheme="minorHAnsi"/>
                <w:sz w:val="20"/>
                <w:szCs w:val="20"/>
                <w:lang w:val="pl-PL"/>
              </w:rPr>
            </w:pPr>
          </w:p>
          <w:p w14:paraId="33F62202" w14:textId="77777777" w:rsidR="00A85D08" w:rsidRPr="00A85D08" w:rsidRDefault="00A85D08" w:rsidP="00A85D08">
            <w:pPr>
              <w:pStyle w:val="Tekstpodstawowy"/>
              <w:spacing w:line="240" w:lineRule="auto"/>
              <w:jc w:val="both"/>
              <w:rPr>
                <w:rFonts w:asciiTheme="minorHAnsi" w:hAnsiTheme="minorHAnsi" w:cstheme="minorHAnsi"/>
                <w:sz w:val="20"/>
                <w:szCs w:val="20"/>
              </w:rPr>
            </w:pPr>
            <w:r w:rsidRPr="00A85D08">
              <w:rPr>
                <w:rFonts w:asciiTheme="minorHAnsi" w:hAnsiTheme="minorHAnsi" w:cstheme="minorHAnsi"/>
                <w:sz w:val="20"/>
                <w:szCs w:val="20"/>
              </w:rPr>
              <w:t>12</w:t>
            </w:r>
          </w:p>
        </w:tc>
      </w:tr>
    </w:tbl>
    <w:p w14:paraId="4401EB2F" w14:textId="77777777" w:rsidR="00A85D08" w:rsidRPr="00A85D08" w:rsidRDefault="00A85D08" w:rsidP="00A85D08">
      <w:pPr>
        <w:pStyle w:val="Tekstpodstawowy"/>
        <w:spacing w:line="240" w:lineRule="auto"/>
        <w:jc w:val="both"/>
        <w:rPr>
          <w:rFonts w:asciiTheme="minorHAnsi" w:hAnsiTheme="minorHAnsi" w:cstheme="minorHAnsi"/>
          <w:sz w:val="20"/>
          <w:szCs w:val="20"/>
        </w:rPr>
      </w:pPr>
    </w:p>
    <w:p w14:paraId="18A844BD" w14:textId="77777777" w:rsidR="00A85D08" w:rsidRPr="00A85D08" w:rsidRDefault="00A85D08" w:rsidP="00A85D08">
      <w:pPr>
        <w:pStyle w:val="Tekstpodstawowy"/>
        <w:spacing w:line="240" w:lineRule="auto"/>
        <w:jc w:val="both"/>
        <w:rPr>
          <w:rFonts w:asciiTheme="minorHAnsi" w:hAnsiTheme="minorHAnsi" w:cstheme="minorHAnsi"/>
          <w:sz w:val="20"/>
          <w:szCs w:val="20"/>
        </w:rPr>
      </w:pPr>
      <w:r w:rsidRPr="00A85D08">
        <w:rPr>
          <w:rFonts w:asciiTheme="minorHAnsi" w:hAnsiTheme="minorHAnsi" w:cstheme="minorHAnsi"/>
          <w:sz w:val="20"/>
          <w:szCs w:val="20"/>
        </w:rPr>
        <w:t>Pomiar równości podłużnej warstw nawierzchni z użyciem łaty i klina należy wykonywać jedynie w miejscach niedostępnych dla sprzętu pomiarowego takie jak stanowiska postojowe, zatoki autobusowe itp. Pomiary równości podłużnej z wykorzystaniem łaty i klina należy wykonywać w osi podłużnej elementu drogi/pasa ruchu, w płaszczyźnie prostopadłej do powierzchni badanej warstwy. Pomiar należy wykonywać w sposób ciągły (początek każdego pomiaru łatą w miejscu zakończenia poprzedniego pomiaru). Klin należy podkładać pod łatę w miejscu, w którym prześwit jest największy (największe odchylenie równości). Wielkość prześwitu jest równa najmniejszej liczbie widocznej na klinie podłożonym pod łatę. Zasady oceny wyników pomiaru jak w Tablicy</w:t>
      </w:r>
      <w:r w:rsidRPr="00A85D08">
        <w:rPr>
          <w:rFonts w:asciiTheme="minorHAnsi" w:hAnsiTheme="minorHAnsi" w:cstheme="minorHAnsi"/>
          <w:spacing w:val="-5"/>
          <w:sz w:val="20"/>
          <w:szCs w:val="20"/>
        </w:rPr>
        <w:t xml:space="preserve"> 5</w:t>
      </w:r>
      <w:r w:rsidRPr="00A85D08">
        <w:rPr>
          <w:rFonts w:asciiTheme="minorHAnsi" w:hAnsiTheme="minorHAnsi" w:cstheme="minorHAnsi"/>
          <w:sz w:val="20"/>
          <w:szCs w:val="20"/>
        </w:rPr>
        <w:t>.</w:t>
      </w:r>
    </w:p>
    <w:p w14:paraId="0A61D843" w14:textId="77777777" w:rsidR="00A85D08" w:rsidRPr="00A85D08" w:rsidRDefault="00A85D08" w:rsidP="00A85D08">
      <w:pPr>
        <w:pStyle w:val="Tekstpodstawowy"/>
        <w:spacing w:line="240" w:lineRule="auto"/>
        <w:jc w:val="both"/>
        <w:rPr>
          <w:rFonts w:asciiTheme="minorHAnsi" w:hAnsiTheme="minorHAnsi" w:cstheme="minorHAnsi"/>
          <w:sz w:val="20"/>
          <w:szCs w:val="20"/>
        </w:rPr>
      </w:pPr>
      <w:r w:rsidRPr="00A85D08">
        <w:rPr>
          <w:rFonts w:asciiTheme="minorHAnsi" w:hAnsiTheme="minorHAnsi" w:cstheme="minorHAnsi"/>
          <w:sz w:val="20"/>
          <w:szCs w:val="20"/>
        </w:rPr>
        <w:t>Do oceny równości poprzecznej warstw nawierzchni dróg wszystkich klas technicznych oraz placów i parkingów należy stosować metodę pomiaru profilometrycznego lub z wykorzystaniem metody łaty i klina, umożliwiającą wyznaczenie odchylenia równości w przekroju poprzecznym pasa ruchu/elementu drogi. W przypadku metody profilometrycznej odchylenie to jest obliczane jako największa odległość (prześwit) pomiędzy teoretyczną łatą a zarejestrowanym profilem poprzecznym warstwy. Wartość odchylenia równości poprzecznej standardowo należy wyznaczać z krokiem co 1 m. Zaleca się utrzymywanie w czasie pomiaru stałej prędkości pomiarowej w zakresie 50-70 km/h, przy czym w zależności od panujących warunków oraz organizacji ruchu dopuszcza się wykonywanie pomiarów z prędkością 0-110 km/h. W czasie pomiaru należy bezwzględnie unikać gwałtownych zmian</w:t>
      </w:r>
      <w:r w:rsidRPr="00A85D08">
        <w:rPr>
          <w:rFonts w:asciiTheme="minorHAnsi" w:hAnsiTheme="minorHAnsi" w:cstheme="minorHAnsi"/>
          <w:spacing w:val="-10"/>
          <w:sz w:val="20"/>
          <w:szCs w:val="20"/>
        </w:rPr>
        <w:t xml:space="preserve"> </w:t>
      </w:r>
      <w:r w:rsidRPr="00A85D08">
        <w:rPr>
          <w:rFonts w:asciiTheme="minorHAnsi" w:hAnsiTheme="minorHAnsi" w:cstheme="minorHAnsi"/>
          <w:sz w:val="20"/>
          <w:szCs w:val="20"/>
        </w:rPr>
        <w:t>prędkości.</w:t>
      </w:r>
    </w:p>
    <w:p w14:paraId="66B22E65" w14:textId="5F6EB386" w:rsidR="00A85D08" w:rsidRPr="00A85D08" w:rsidRDefault="00A85D08" w:rsidP="00A85D08">
      <w:pPr>
        <w:pStyle w:val="Tekstpodstawowy"/>
        <w:spacing w:line="240" w:lineRule="auto"/>
        <w:jc w:val="both"/>
        <w:rPr>
          <w:rFonts w:asciiTheme="minorHAnsi" w:hAnsiTheme="minorHAnsi" w:cstheme="minorHAnsi"/>
          <w:sz w:val="20"/>
          <w:szCs w:val="20"/>
        </w:rPr>
      </w:pPr>
      <w:r w:rsidRPr="00A85D08">
        <w:rPr>
          <w:rFonts w:asciiTheme="minorHAnsi" w:hAnsiTheme="minorHAnsi" w:cstheme="minorHAnsi"/>
          <w:sz w:val="20"/>
          <w:szCs w:val="20"/>
        </w:rPr>
        <w:t xml:space="preserve">Dopuszczalne wartości odchyleń zostały podane w Tablicy </w:t>
      </w:r>
      <w:r w:rsidR="00113681">
        <w:rPr>
          <w:rFonts w:asciiTheme="minorHAnsi" w:hAnsiTheme="minorHAnsi" w:cstheme="minorHAnsi"/>
          <w:sz w:val="20"/>
          <w:szCs w:val="20"/>
        </w:rPr>
        <w:t>8</w:t>
      </w:r>
      <w:r w:rsidRPr="00A85D08">
        <w:rPr>
          <w:rFonts w:asciiTheme="minorHAnsi" w:hAnsiTheme="minorHAnsi" w:cstheme="minorHAnsi"/>
          <w:sz w:val="20"/>
          <w:szCs w:val="20"/>
        </w:rPr>
        <w:t>.</w:t>
      </w:r>
    </w:p>
    <w:p w14:paraId="5CAAD166" w14:textId="77777777" w:rsidR="00A85D08" w:rsidRPr="00A85D08" w:rsidRDefault="00A85D08" w:rsidP="00A85D08">
      <w:pPr>
        <w:pStyle w:val="Tekstpodstawowy"/>
        <w:spacing w:line="240" w:lineRule="auto"/>
        <w:jc w:val="both"/>
        <w:rPr>
          <w:rFonts w:asciiTheme="minorHAnsi" w:hAnsiTheme="minorHAnsi" w:cstheme="minorHAnsi"/>
          <w:sz w:val="20"/>
          <w:szCs w:val="20"/>
        </w:rPr>
      </w:pPr>
    </w:p>
    <w:p w14:paraId="203027CC" w14:textId="0E0CA609" w:rsidR="00A85D08" w:rsidRPr="00A85D08" w:rsidRDefault="00A85D08" w:rsidP="00A85D08">
      <w:pPr>
        <w:pStyle w:val="Tekstpodstawowy"/>
        <w:spacing w:line="240" w:lineRule="auto"/>
        <w:jc w:val="both"/>
        <w:rPr>
          <w:rFonts w:asciiTheme="minorHAnsi" w:hAnsiTheme="minorHAnsi" w:cstheme="minorHAnsi"/>
          <w:sz w:val="20"/>
          <w:szCs w:val="20"/>
        </w:rPr>
      </w:pPr>
      <w:r w:rsidRPr="00A85D08">
        <w:rPr>
          <w:rFonts w:asciiTheme="minorHAnsi" w:hAnsiTheme="minorHAnsi" w:cstheme="minorHAnsi"/>
          <w:sz w:val="20"/>
          <w:szCs w:val="20"/>
        </w:rPr>
        <w:t xml:space="preserve">Tablica </w:t>
      </w:r>
      <w:r w:rsidR="00113681">
        <w:rPr>
          <w:rFonts w:asciiTheme="minorHAnsi" w:hAnsiTheme="minorHAnsi" w:cstheme="minorHAnsi"/>
          <w:sz w:val="20"/>
          <w:szCs w:val="20"/>
        </w:rPr>
        <w:t>8</w:t>
      </w:r>
    </w:p>
    <w:tbl>
      <w:tblPr>
        <w:tblStyle w:val="TableNormal"/>
        <w:tblW w:w="8814" w:type="dxa"/>
        <w:tblInd w:w="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36"/>
        <w:gridCol w:w="3676"/>
        <w:gridCol w:w="3402"/>
      </w:tblGrid>
      <w:tr w:rsidR="00A85D08" w:rsidRPr="00A85D08" w14:paraId="7A48D69E" w14:textId="77777777" w:rsidTr="00A85D08">
        <w:trPr>
          <w:trHeight w:val="690"/>
        </w:trPr>
        <w:tc>
          <w:tcPr>
            <w:tcW w:w="1736" w:type="dxa"/>
            <w:tcBorders>
              <w:top w:val="single" w:sz="4" w:space="0" w:color="000000"/>
              <w:left w:val="single" w:sz="4" w:space="0" w:color="000000"/>
              <w:bottom w:val="single" w:sz="4" w:space="0" w:color="000000"/>
              <w:right w:val="single" w:sz="4" w:space="0" w:color="000000"/>
            </w:tcBorders>
          </w:tcPr>
          <w:p w14:paraId="72738C9B" w14:textId="77777777" w:rsidR="00A85D08" w:rsidRPr="00A85D08" w:rsidRDefault="00A85D08" w:rsidP="00A85D08">
            <w:pPr>
              <w:pStyle w:val="Tekstpodstawowy"/>
              <w:spacing w:line="240" w:lineRule="auto"/>
              <w:jc w:val="both"/>
              <w:rPr>
                <w:rFonts w:asciiTheme="minorHAnsi" w:eastAsia="Arial" w:hAnsiTheme="minorHAnsi" w:cstheme="minorHAnsi"/>
                <w:sz w:val="20"/>
                <w:szCs w:val="20"/>
              </w:rPr>
            </w:pPr>
          </w:p>
          <w:p w14:paraId="55E60BCC" w14:textId="77777777" w:rsidR="00A85D08" w:rsidRPr="00A85D08" w:rsidRDefault="00A85D08" w:rsidP="00A85D08">
            <w:pPr>
              <w:pStyle w:val="Tekstpodstawowy"/>
              <w:spacing w:line="240" w:lineRule="auto"/>
              <w:jc w:val="both"/>
              <w:rPr>
                <w:rFonts w:asciiTheme="minorHAnsi" w:hAnsiTheme="minorHAnsi" w:cstheme="minorHAnsi"/>
                <w:sz w:val="20"/>
                <w:szCs w:val="20"/>
              </w:rPr>
            </w:pPr>
            <w:r w:rsidRPr="00A85D08">
              <w:rPr>
                <w:rFonts w:asciiTheme="minorHAnsi" w:hAnsiTheme="minorHAnsi" w:cstheme="minorHAnsi"/>
                <w:sz w:val="20"/>
                <w:szCs w:val="20"/>
              </w:rPr>
              <w:t>Klasa drogi</w:t>
            </w:r>
          </w:p>
        </w:tc>
        <w:tc>
          <w:tcPr>
            <w:tcW w:w="3676" w:type="dxa"/>
            <w:tcBorders>
              <w:top w:val="single" w:sz="4" w:space="0" w:color="000000"/>
              <w:left w:val="single" w:sz="4" w:space="0" w:color="000000"/>
              <w:bottom w:val="single" w:sz="4" w:space="0" w:color="000000"/>
              <w:right w:val="single" w:sz="4" w:space="0" w:color="000000"/>
            </w:tcBorders>
          </w:tcPr>
          <w:p w14:paraId="755F63C1" w14:textId="77777777" w:rsidR="00A85D08" w:rsidRPr="00A85D08" w:rsidRDefault="00A85D08" w:rsidP="00A85D08">
            <w:pPr>
              <w:pStyle w:val="Tekstpodstawowy"/>
              <w:spacing w:line="240" w:lineRule="auto"/>
              <w:jc w:val="both"/>
              <w:rPr>
                <w:rFonts w:asciiTheme="minorHAnsi" w:eastAsia="Arial" w:hAnsiTheme="minorHAnsi" w:cstheme="minorHAnsi"/>
                <w:sz w:val="20"/>
                <w:szCs w:val="20"/>
              </w:rPr>
            </w:pPr>
          </w:p>
          <w:p w14:paraId="6782CA5D" w14:textId="77777777" w:rsidR="00A85D08" w:rsidRPr="00A85D08" w:rsidRDefault="00A85D08" w:rsidP="00A85D08">
            <w:pPr>
              <w:pStyle w:val="Tekstpodstawowy"/>
              <w:spacing w:line="240" w:lineRule="auto"/>
              <w:jc w:val="both"/>
              <w:rPr>
                <w:rFonts w:asciiTheme="minorHAnsi" w:hAnsiTheme="minorHAnsi" w:cstheme="minorHAnsi"/>
                <w:sz w:val="20"/>
                <w:szCs w:val="20"/>
              </w:rPr>
            </w:pPr>
            <w:r w:rsidRPr="00A85D08">
              <w:rPr>
                <w:rFonts w:asciiTheme="minorHAnsi" w:hAnsiTheme="minorHAnsi" w:cstheme="minorHAnsi"/>
                <w:sz w:val="20"/>
                <w:szCs w:val="20"/>
              </w:rPr>
              <w:t>Element nawierzchni</w:t>
            </w:r>
          </w:p>
        </w:tc>
        <w:tc>
          <w:tcPr>
            <w:tcW w:w="3402" w:type="dxa"/>
            <w:tcBorders>
              <w:top w:val="single" w:sz="4" w:space="0" w:color="000000"/>
              <w:left w:val="single" w:sz="4" w:space="0" w:color="000000"/>
              <w:bottom w:val="single" w:sz="4" w:space="0" w:color="000000"/>
              <w:right w:val="single" w:sz="4" w:space="0" w:color="000000"/>
            </w:tcBorders>
            <w:hideMark/>
          </w:tcPr>
          <w:p w14:paraId="1F9A3751" w14:textId="77777777" w:rsidR="00A85D08" w:rsidRPr="00A85D08" w:rsidRDefault="00A85D08" w:rsidP="00A85D08">
            <w:pPr>
              <w:pStyle w:val="Tekstpodstawowy"/>
              <w:spacing w:line="240" w:lineRule="auto"/>
              <w:jc w:val="both"/>
              <w:rPr>
                <w:rFonts w:asciiTheme="minorHAnsi" w:hAnsiTheme="minorHAnsi" w:cstheme="minorHAnsi"/>
                <w:sz w:val="20"/>
                <w:szCs w:val="20"/>
                <w:lang w:val="pl-PL"/>
              </w:rPr>
            </w:pPr>
            <w:r w:rsidRPr="00A85D08">
              <w:rPr>
                <w:rFonts w:asciiTheme="minorHAnsi" w:hAnsiTheme="minorHAnsi" w:cstheme="minorHAnsi"/>
                <w:sz w:val="20"/>
                <w:szCs w:val="20"/>
                <w:lang w:val="pl-PL"/>
              </w:rPr>
              <w:t>Dopuszczalne wartości odchyleń równości poprzecznej warstwy wiążącej [mm]</w:t>
            </w:r>
          </w:p>
        </w:tc>
      </w:tr>
      <w:tr w:rsidR="00A85D08" w:rsidRPr="00A85D08" w14:paraId="393A58E8" w14:textId="77777777" w:rsidTr="00A85D08">
        <w:trPr>
          <w:trHeight w:val="478"/>
        </w:trPr>
        <w:tc>
          <w:tcPr>
            <w:tcW w:w="1736" w:type="dxa"/>
            <w:vMerge w:val="restart"/>
            <w:tcBorders>
              <w:top w:val="single" w:sz="4" w:space="0" w:color="000000"/>
              <w:left w:val="single" w:sz="4" w:space="0" w:color="000000"/>
              <w:bottom w:val="single" w:sz="4" w:space="0" w:color="000000"/>
              <w:right w:val="single" w:sz="4" w:space="0" w:color="000000"/>
            </w:tcBorders>
          </w:tcPr>
          <w:p w14:paraId="575E7471" w14:textId="77777777" w:rsidR="00A85D08" w:rsidRPr="00A85D08" w:rsidRDefault="00A85D08" w:rsidP="00A85D08">
            <w:pPr>
              <w:pStyle w:val="Tekstpodstawowy"/>
              <w:spacing w:line="240" w:lineRule="auto"/>
              <w:jc w:val="both"/>
              <w:rPr>
                <w:rFonts w:asciiTheme="minorHAnsi" w:eastAsia="Arial" w:hAnsiTheme="minorHAnsi" w:cstheme="minorHAnsi"/>
                <w:sz w:val="20"/>
                <w:szCs w:val="20"/>
                <w:lang w:val="pl-PL"/>
              </w:rPr>
            </w:pPr>
          </w:p>
          <w:p w14:paraId="5DA5F56E" w14:textId="77777777" w:rsidR="00A85D08" w:rsidRPr="00A85D08" w:rsidRDefault="00A85D08" w:rsidP="00A85D08">
            <w:pPr>
              <w:pStyle w:val="Tekstpodstawowy"/>
              <w:spacing w:line="240" w:lineRule="auto"/>
              <w:jc w:val="both"/>
              <w:rPr>
                <w:rFonts w:asciiTheme="minorHAnsi" w:hAnsiTheme="minorHAnsi" w:cstheme="minorHAnsi"/>
                <w:sz w:val="20"/>
                <w:szCs w:val="20"/>
              </w:rPr>
            </w:pPr>
            <w:r w:rsidRPr="00A85D08">
              <w:rPr>
                <w:rFonts w:asciiTheme="minorHAnsi" w:hAnsiTheme="minorHAnsi" w:cstheme="minorHAnsi"/>
                <w:sz w:val="20"/>
                <w:szCs w:val="20"/>
              </w:rPr>
              <w:t>GP</w:t>
            </w:r>
          </w:p>
        </w:tc>
        <w:tc>
          <w:tcPr>
            <w:tcW w:w="3676" w:type="dxa"/>
            <w:tcBorders>
              <w:top w:val="single" w:sz="4" w:space="0" w:color="000000"/>
              <w:left w:val="single" w:sz="4" w:space="0" w:color="000000"/>
              <w:bottom w:val="single" w:sz="4" w:space="0" w:color="000000"/>
              <w:right w:val="single" w:sz="4" w:space="0" w:color="000000"/>
            </w:tcBorders>
            <w:hideMark/>
          </w:tcPr>
          <w:p w14:paraId="42C569C2" w14:textId="77777777" w:rsidR="00A85D08" w:rsidRPr="00A85D08" w:rsidRDefault="00A85D08" w:rsidP="00A85D08">
            <w:pPr>
              <w:pStyle w:val="Tekstpodstawowy"/>
              <w:spacing w:line="240" w:lineRule="auto"/>
              <w:jc w:val="both"/>
              <w:rPr>
                <w:rFonts w:asciiTheme="minorHAnsi" w:hAnsiTheme="minorHAnsi" w:cstheme="minorHAnsi"/>
                <w:sz w:val="20"/>
                <w:szCs w:val="20"/>
                <w:lang w:val="pl-PL"/>
              </w:rPr>
            </w:pPr>
            <w:r w:rsidRPr="00A85D08">
              <w:rPr>
                <w:rFonts w:asciiTheme="minorHAnsi" w:hAnsiTheme="minorHAnsi" w:cstheme="minorHAnsi"/>
                <w:sz w:val="20"/>
                <w:szCs w:val="20"/>
                <w:lang w:val="pl-PL"/>
              </w:rPr>
              <w:t>Pasy ruchu zasadnicze, awaryjne, dodatkowe, włączenia i wyłączenia, jezdnia łącznic</w:t>
            </w:r>
          </w:p>
        </w:tc>
        <w:tc>
          <w:tcPr>
            <w:tcW w:w="3402" w:type="dxa"/>
            <w:tcBorders>
              <w:top w:val="single" w:sz="4" w:space="0" w:color="000000"/>
              <w:left w:val="single" w:sz="4" w:space="0" w:color="000000"/>
              <w:bottom w:val="single" w:sz="4" w:space="0" w:color="000000"/>
              <w:right w:val="single" w:sz="4" w:space="0" w:color="000000"/>
            </w:tcBorders>
          </w:tcPr>
          <w:p w14:paraId="2A77076D" w14:textId="77777777" w:rsidR="00A85D08" w:rsidRPr="00A85D08" w:rsidRDefault="00A85D08" w:rsidP="00A85D08">
            <w:pPr>
              <w:pStyle w:val="Tekstpodstawowy"/>
              <w:spacing w:line="240" w:lineRule="auto"/>
              <w:jc w:val="both"/>
              <w:rPr>
                <w:rFonts w:asciiTheme="minorHAnsi" w:eastAsia="Arial" w:hAnsiTheme="minorHAnsi" w:cstheme="minorHAnsi"/>
                <w:sz w:val="20"/>
                <w:szCs w:val="20"/>
                <w:lang w:val="pl-PL"/>
              </w:rPr>
            </w:pPr>
          </w:p>
          <w:p w14:paraId="3364B32B" w14:textId="77777777" w:rsidR="00A85D08" w:rsidRPr="00A85D08" w:rsidRDefault="00A85D08" w:rsidP="00A85D08">
            <w:pPr>
              <w:pStyle w:val="Tekstpodstawowy"/>
              <w:spacing w:line="240" w:lineRule="auto"/>
              <w:jc w:val="both"/>
              <w:rPr>
                <w:rFonts w:asciiTheme="minorHAnsi" w:hAnsiTheme="minorHAnsi" w:cstheme="minorHAnsi"/>
                <w:sz w:val="20"/>
                <w:szCs w:val="20"/>
              </w:rPr>
            </w:pPr>
            <w:r w:rsidRPr="00A85D08">
              <w:rPr>
                <w:rFonts w:asciiTheme="minorHAnsi" w:hAnsiTheme="minorHAnsi" w:cstheme="minorHAnsi"/>
                <w:sz w:val="20"/>
                <w:szCs w:val="20"/>
              </w:rPr>
              <w:t>6</w:t>
            </w:r>
          </w:p>
        </w:tc>
      </w:tr>
      <w:tr w:rsidR="00A85D08" w:rsidRPr="00A85D08" w14:paraId="23E774C5" w14:textId="77777777" w:rsidTr="00A85D08">
        <w:trPr>
          <w:trHeight w:val="272"/>
        </w:trPr>
        <w:tc>
          <w:tcPr>
            <w:tcW w:w="1736" w:type="dxa"/>
            <w:vMerge/>
            <w:tcBorders>
              <w:top w:val="single" w:sz="4" w:space="0" w:color="000000"/>
              <w:left w:val="single" w:sz="4" w:space="0" w:color="000000"/>
              <w:bottom w:val="single" w:sz="4" w:space="0" w:color="000000"/>
              <w:right w:val="single" w:sz="4" w:space="0" w:color="000000"/>
            </w:tcBorders>
            <w:vAlign w:val="center"/>
            <w:hideMark/>
          </w:tcPr>
          <w:p w14:paraId="0E717F6C" w14:textId="77777777" w:rsidR="00A85D08" w:rsidRPr="00A85D08" w:rsidRDefault="00A85D08" w:rsidP="00A85D08">
            <w:pPr>
              <w:pStyle w:val="Tekstpodstawowy"/>
              <w:spacing w:line="240" w:lineRule="auto"/>
              <w:jc w:val="both"/>
              <w:rPr>
                <w:rFonts w:asciiTheme="minorHAnsi" w:eastAsia="Arial" w:hAnsiTheme="minorHAnsi" w:cstheme="minorHAnsi"/>
                <w:sz w:val="20"/>
                <w:szCs w:val="20"/>
              </w:rPr>
            </w:pPr>
          </w:p>
        </w:tc>
        <w:tc>
          <w:tcPr>
            <w:tcW w:w="3676" w:type="dxa"/>
            <w:tcBorders>
              <w:top w:val="single" w:sz="4" w:space="0" w:color="000000"/>
              <w:left w:val="single" w:sz="4" w:space="0" w:color="000000"/>
              <w:bottom w:val="single" w:sz="4" w:space="0" w:color="000000"/>
              <w:right w:val="single" w:sz="4" w:space="0" w:color="000000"/>
            </w:tcBorders>
            <w:hideMark/>
          </w:tcPr>
          <w:p w14:paraId="3331FC1F" w14:textId="77777777" w:rsidR="00A85D08" w:rsidRPr="00A85D08" w:rsidRDefault="00A85D08" w:rsidP="00A85D08">
            <w:pPr>
              <w:pStyle w:val="Tekstpodstawowy"/>
              <w:spacing w:line="240" w:lineRule="auto"/>
              <w:jc w:val="both"/>
              <w:rPr>
                <w:rFonts w:asciiTheme="minorHAnsi" w:hAnsiTheme="minorHAnsi" w:cstheme="minorHAnsi"/>
                <w:sz w:val="20"/>
                <w:szCs w:val="20"/>
              </w:rPr>
            </w:pPr>
            <w:r w:rsidRPr="00A85D08">
              <w:rPr>
                <w:rFonts w:asciiTheme="minorHAnsi" w:hAnsiTheme="minorHAnsi" w:cstheme="minorHAnsi"/>
                <w:sz w:val="20"/>
                <w:szCs w:val="20"/>
              </w:rPr>
              <w:t>Jezdnie MOP, utwardzone pobocza</w:t>
            </w:r>
          </w:p>
        </w:tc>
        <w:tc>
          <w:tcPr>
            <w:tcW w:w="3402" w:type="dxa"/>
            <w:tcBorders>
              <w:top w:val="single" w:sz="4" w:space="0" w:color="000000"/>
              <w:left w:val="single" w:sz="4" w:space="0" w:color="000000"/>
              <w:bottom w:val="single" w:sz="4" w:space="0" w:color="000000"/>
              <w:right w:val="single" w:sz="4" w:space="0" w:color="000000"/>
            </w:tcBorders>
            <w:hideMark/>
          </w:tcPr>
          <w:p w14:paraId="1FA1F958" w14:textId="77777777" w:rsidR="00A85D08" w:rsidRPr="00A85D08" w:rsidRDefault="00A85D08" w:rsidP="00A85D08">
            <w:pPr>
              <w:pStyle w:val="Tekstpodstawowy"/>
              <w:spacing w:line="240" w:lineRule="auto"/>
              <w:jc w:val="both"/>
              <w:rPr>
                <w:rFonts w:asciiTheme="minorHAnsi" w:hAnsiTheme="minorHAnsi" w:cstheme="minorHAnsi"/>
                <w:sz w:val="20"/>
                <w:szCs w:val="20"/>
              </w:rPr>
            </w:pPr>
            <w:r w:rsidRPr="00A85D08">
              <w:rPr>
                <w:rFonts w:asciiTheme="minorHAnsi" w:hAnsiTheme="minorHAnsi" w:cstheme="minorHAnsi"/>
                <w:sz w:val="20"/>
                <w:szCs w:val="20"/>
              </w:rPr>
              <w:t>9</w:t>
            </w:r>
          </w:p>
        </w:tc>
      </w:tr>
      <w:tr w:rsidR="00A85D08" w:rsidRPr="00A85D08" w14:paraId="78F6E0B6" w14:textId="77777777" w:rsidTr="00A85D08">
        <w:trPr>
          <w:trHeight w:val="546"/>
        </w:trPr>
        <w:tc>
          <w:tcPr>
            <w:tcW w:w="1736" w:type="dxa"/>
            <w:vMerge w:val="restart"/>
            <w:tcBorders>
              <w:top w:val="single" w:sz="4" w:space="0" w:color="000000"/>
              <w:left w:val="single" w:sz="4" w:space="0" w:color="000000"/>
              <w:bottom w:val="single" w:sz="4" w:space="0" w:color="000000"/>
              <w:right w:val="single" w:sz="4" w:space="0" w:color="000000"/>
            </w:tcBorders>
          </w:tcPr>
          <w:p w14:paraId="01776E34" w14:textId="77777777" w:rsidR="00A85D08" w:rsidRPr="00A85D08" w:rsidRDefault="00A85D08" w:rsidP="00A85D08">
            <w:pPr>
              <w:pStyle w:val="Tekstpodstawowy"/>
              <w:spacing w:line="240" w:lineRule="auto"/>
              <w:jc w:val="both"/>
              <w:rPr>
                <w:rFonts w:asciiTheme="minorHAnsi" w:eastAsia="Arial" w:hAnsiTheme="minorHAnsi" w:cstheme="minorHAnsi"/>
                <w:sz w:val="20"/>
                <w:szCs w:val="20"/>
              </w:rPr>
            </w:pPr>
          </w:p>
          <w:p w14:paraId="5DCB830D" w14:textId="77777777" w:rsidR="00A85D08" w:rsidRPr="00A85D08" w:rsidRDefault="00A85D08" w:rsidP="00A85D08">
            <w:pPr>
              <w:pStyle w:val="Tekstpodstawowy"/>
              <w:spacing w:line="240" w:lineRule="auto"/>
              <w:jc w:val="both"/>
              <w:rPr>
                <w:rFonts w:asciiTheme="minorHAnsi" w:hAnsiTheme="minorHAnsi" w:cstheme="minorHAnsi"/>
                <w:sz w:val="20"/>
                <w:szCs w:val="20"/>
              </w:rPr>
            </w:pPr>
            <w:r w:rsidRPr="00A85D08">
              <w:rPr>
                <w:rFonts w:asciiTheme="minorHAnsi" w:hAnsiTheme="minorHAnsi" w:cstheme="minorHAnsi"/>
                <w:sz w:val="20"/>
                <w:szCs w:val="20"/>
              </w:rPr>
              <w:t>G, Z</w:t>
            </w:r>
          </w:p>
        </w:tc>
        <w:tc>
          <w:tcPr>
            <w:tcW w:w="3676" w:type="dxa"/>
            <w:tcBorders>
              <w:top w:val="single" w:sz="4" w:space="0" w:color="000000"/>
              <w:left w:val="single" w:sz="4" w:space="0" w:color="000000"/>
              <w:bottom w:val="single" w:sz="4" w:space="0" w:color="000000"/>
              <w:right w:val="single" w:sz="4" w:space="0" w:color="000000"/>
            </w:tcBorders>
            <w:hideMark/>
          </w:tcPr>
          <w:p w14:paraId="636F7279" w14:textId="77777777" w:rsidR="00A85D08" w:rsidRPr="00A85D08" w:rsidRDefault="00A85D08" w:rsidP="00A85D08">
            <w:pPr>
              <w:pStyle w:val="Tekstpodstawowy"/>
              <w:spacing w:line="240" w:lineRule="auto"/>
              <w:jc w:val="both"/>
              <w:rPr>
                <w:rFonts w:asciiTheme="minorHAnsi" w:eastAsia="Arial" w:hAnsiTheme="minorHAnsi" w:cstheme="minorHAnsi"/>
                <w:sz w:val="20"/>
                <w:szCs w:val="20"/>
                <w:lang w:val="pl-PL"/>
              </w:rPr>
            </w:pPr>
            <w:r w:rsidRPr="00A85D08">
              <w:rPr>
                <w:rFonts w:asciiTheme="minorHAnsi" w:hAnsiTheme="minorHAnsi" w:cstheme="minorHAnsi"/>
                <w:sz w:val="20"/>
                <w:szCs w:val="20"/>
                <w:lang w:val="pl-PL"/>
              </w:rPr>
              <w:t>Pasy ruchu</w:t>
            </w:r>
            <w:r w:rsidRPr="00A85D08">
              <w:rPr>
                <w:rFonts w:asciiTheme="minorHAnsi" w:hAnsiTheme="minorHAnsi" w:cstheme="minorHAnsi"/>
                <w:spacing w:val="-12"/>
                <w:sz w:val="20"/>
                <w:szCs w:val="20"/>
                <w:lang w:val="pl-PL"/>
              </w:rPr>
              <w:t xml:space="preserve"> </w:t>
            </w:r>
            <w:r w:rsidRPr="00A85D08">
              <w:rPr>
                <w:rFonts w:asciiTheme="minorHAnsi" w:hAnsiTheme="minorHAnsi" w:cstheme="minorHAnsi"/>
                <w:sz w:val="20"/>
                <w:szCs w:val="20"/>
                <w:lang w:val="pl-PL"/>
              </w:rPr>
              <w:t>zasadnicze, dodatkowe, włączenia</w:t>
            </w:r>
            <w:r w:rsidRPr="00A85D08">
              <w:rPr>
                <w:rFonts w:asciiTheme="minorHAnsi" w:hAnsiTheme="minorHAnsi" w:cstheme="minorHAnsi"/>
                <w:spacing w:val="-13"/>
                <w:sz w:val="20"/>
                <w:szCs w:val="20"/>
                <w:lang w:val="pl-PL"/>
              </w:rPr>
              <w:t xml:space="preserve"> </w:t>
            </w:r>
            <w:r w:rsidRPr="00A85D08">
              <w:rPr>
                <w:rFonts w:asciiTheme="minorHAnsi" w:hAnsiTheme="minorHAnsi" w:cstheme="minorHAnsi"/>
                <w:sz w:val="20"/>
                <w:szCs w:val="20"/>
                <w:lang w:val="pl-PL"/>
              </w:rPr>
              <w:t>i</w:t>
            </w:r>
          </w:p>
          <w:p w14:paraId="45876EB6" w14:textId="77777777" w:rsidR="00A85D08" w:rsidRPr="00A85D08" w:rsidRDefault="00A85D08" w:rsidP="00A85D08">
            <w:pPr>
              <w:pStyle w:val="Tekstpodstawowy"/>
              <w:spacing w:line="240" w:lineRule="auto"/>
              <w:jc w:val="both"/>
              <w:rPr>
                <w:rFonts w:asciiTheme="minorHAnsi" w:hAnsiTheme="minorHAnsi" w:cstheme="minorHAnsi"/>
                <w:sz w:val="20"/>
                <w:szCs w:val="20"/>
              </w:rPr>
            </w:pPr>
            <w:r w:rsidRPr="00A85D08">
              <w:rPr>
                <w:rFonts w:asciiTheme="minorHAnsi" w:hAnsiTheme="minorHAnsi" w:cstheme="minorHAnsi"/>
                <w:sz w:val="20"/>
                <w:szCs w:val="20"/>
              </w:rPr>
              <w:t>wyłączenia,</w:t>
            </w:r>
            <w:r w:rsidRPr="00A85D08">
              <w:rPr>
                <w:rFonts w:asciiTheme="minorHAnsi" w:hAnsiTheme="minorHAnsi" w:cstheme="minorHAnsi"/>
                <w:spacing w:val="-12"/>
                <w:sz w:val="20"/>
                <w:szCs w:val="20"/>
              </w:rPr>
              <w:t xml:space="preserve"> </w:t>
            </w:r>
            <w:r w:rsidRPr="00A85D08">
              <w:rPr>
                <w:rFonts w:asciiTheme="minorHAnsi" w:hAnsiTheme="minorHAnsi" w:cstheme="minorHAnsi"/>
                <w:sz w:val="20"/>
                <w:szCs w:val="20"/>
              </w:rPr>
              <w:t>postojowe</w:t>
            </w:r>
          </w:p>
        </w:tc>
        <w:tc>
          <w:tcPr>
            <w:tcW w:w="3402" w:type="dxa"/>
            <w:tcBorders>
              <w:top w:val="single" w:sz="4" w:space="0" w:color="000000"/>
              <w:left w:val="single" w:sz="4" w:space="0" w:color="000000"/>
              <w:bottom w:val="single" w:sz="4" w:space="0" w:color="000000"/>
              <w:right w:val="single" w:sz="4" w:space="0" w:color="000000"/>
            </w:tcBorders>
          </w:tcPr>
          <w:p w14:paraId="77AF2563" w14:textId="77777777" w:rsidR="00A85D08" w:rsidRPr="00A85D08" w:rsidRDefault="00A85D08" w:rsidP="00A85D08">
            <w:pPr>
              <w:pStyle w:val="Tekstpodstawowy"/>
              <w:spacing w:line="240" w:lineRule="auto"/>
              <w:jc w:val="both"/>
              <w:rPr>
                <w:rFonts w:asciiTheme="minorHAnsi" w:eastAsia="Arial" w:hAnsiTheme="minorHAnsi" w:cstheme="minorHAnsi"/>
                <w:sz w:val="20"/>
                <w:szCs w:val="20"/>
              </w:rPr>
            </w:pPr>
          </w:p>
          <w:p w14:paraId="153A4F0A" w14:textId="77777777" w:rsidR="00A85D08" w:rsidRPr="00A85D08" w:rsidRDefault="00A85D08" w:rsidP="00A85D08">
            <w:pPr>
              <w:pStyle w:val="Tekstpodstawowy"/>
              <w:spacing w:line="240" w:lineRule="auto"/>
              <w:jc w:val="both"/>
              <w:rPr>
                <w:rFonts w:asciiTheme="minorHAnsi" w:hAnsiTheme="minorHAnsi" w:cstheme="minorHAnsi"/>
                <w:sz w:val="20"/>
                <w:szCs w:val="20"/>
              </w:rPr>
            </w:pPr>
            <w:r w:rsidRPr="00A85D08">
              <w:rPr>
                <w:rFonts w:asciiTheme="minorHAnsi" w:hAnsiTheme="minorHAnsi" w:cstheme="minorHAnsi"/>
                <w:sz w:val="20"/>
                <w:szCs w:val="20"/>
              </w:rPr>
              <w:t>9</w:t>
            </w:r>
          </w:p>
        </w:tc>
      </w:tr>
      <w:tr w:rsidR="00A85D08" w:rsidRPr="00A85D08" w14:paraId="294BB0C6" w14:textId="77777777" w:rsidTr="00A85D08">
        <w:trPr>
          <w:trHeight w:val="230"/>
        </w:trPr>
        <w:tc>
          <w:tcPr>
            <w:tcW w:w="1736" w:type="dxa"/>
            <w:vMerge/>
            <w:tcBorders>
              <w:top w:val="single" w:sz="4" w:space="0" w:color="000000"/>
              <w:left w:val="single" w:sz="4" w:space="0" w:color="000000"/>
              <w:bottom w:val="single" w:sz="4" w:space="0" w:color="000000"/>
              <w:right w:val="single" w:sz="4" w:space="0" w:color="000000"/>
            </w:tcBorders>
            <w:vAlign w:val="center"/>
            <w:hideMark/>
          </w:tcPr>
          <w:p w14:paraId="32179B28" w14:textId="77777777" w:rsidR="00A85D08" w:rsidRPr="00A85D08" w:rsidRDefault="00A85D08" w:rsidP="00A85D08">
            <w:pPr>
              <w:pStyle w:val="Tekstpodstawowy"/>
              <w:spacing w:line="240" w:lineRule="auto"/>
              <w:jc w:val="both"/>
              <w:rPr>
                <w:rFonts w:asciiTheme="minorHAnsi" w:eastAsia="Arial" w:hAnsiTheme="minorHAnsi" w:cstheme="minorHAnsi"/>
                <w:sz w:val="20"/>
                <w:szCs w:val="20"/>
              </w:rPr>
            </w:pPr>
          </w:p>
        </w:tc>
        <w:tc>
          <w:tcPr>
            <w:tcW w:w="3676" w:type="dxa"/>
            <w:tcBorders>
              <w:top w:val="single" w:sz="4" w:space="0" w:color="000000"/>
              <w:left w:val="single" w:sz="4" w:space="0" w:color="000000"/>
              <w:bottom w:val="single" w:sz="4" w:space="0" w:color="000000"/>
              <w:right w:val="single" w:sz="4" w:space="0" w:color="000000"/>
            </w:tcBorders>
            <w:hideMark/>
          </w:tcPr>
          <w:p w14:paraId="4EA81CE1" w14:textId="77777777" w:rsidR="00A85D08" w:rsidRPr="00A85D08" w:rsidRDefault="00A85D08" w:rsidP="00A85D08">
            <w:pPr>
              <w:pStyle w:val="Tekstpodstawowy"/>
              <w:spacing w:line="240" w:lineRule="auto"/>
              <w:jc w:val="both"/>
              <w:rPr>
                <w:rFonts w:asciiTheme="minorHAnsi" w:hAnsiTheme="minorHAnsi" w:cstheme="minorHAnsi"/>
                <w:sz w:val="20"/>
                <w:szCs w:val="20"/>
              </w:rPr>
            </w:pPr>
            <w:r w:rsidRPr="00A85D08">
              <w:rPr>
                <w:rFonts w:asciiTheme="minorHAnsi" w:hAnsiTheme="minorHAnsi" w:cstheme="minorHAnsi"/>
                <w:sz w:val="20"/>
                <w:szCs w:val="20"/>
              </w:rPr>
              <w:t>Utwardzone pobocza</w:t>
            </w:r>
          </w:p>
        </w:tc>
        <w:tc>
          <w:tcPr>
            <w:tcW w:w="3402" w:type="dxa"/>
            <w:tcBorders>
              <w:top w:val="single" w:sz="4" w:space="0" w:color="000000"/>
              <w:left w:val="single" w:sz="4" w:space="0" w:color="000000"/>
              <w:bottom w:val="single" w:sz="4" w:space="0" w:color="000000"/>
              <w:right w:val="single" w:sz="4" w:space="0" w:color="000000"/>
            </w:tcBorders>
            <w:hideMark/>
          </w:tcPr>
          <w:p w14:paraId="2268CB4B" w14:textId="77777777" w:rsidR="00A85D08" w:rsidRPr="00A85D08" w:rsidRDefault="00A85D08" w:rsidP="00A85D08">
            <w:pPr>
              <w:pStyle w:val="Tekstpodstawowy"/>
              <w:spacing w:line="240" w:lineRule="auto"/>
              <w:jc w:val="both"/>
              <w:rPr>
                <w:rFonts w:asciiTheme="minorHAnsi" w:hAnsiTheme="minorHAnsi" w:cstheme="minorHAnsi"/>
                <w:sz w:val="20"/>
                <w:szCs w:val="20"/>
              </w:rPr>
            </w:pPr>
            <w:r w:rsidRPr="00A85D08">
              <w:rPr>
                <w:rFonts w:asciiTheme="minorHAnsi" w:hAnsiTheme="minorHAnsi" w:cstheme="minorHAnsi"/>
                <w:sz w:val="20"/>
                <w:szCs w:val="20"/>
              </w:rPr>
              <w:t>12</w:t>
            </w:r>
          </w:p>
        </w:tc>
      </w:tr>
      <w:tr w:rsidR="00A85D08" w:rsidRPr="00A85D08" w14:paraId="253FE359" w14:textId="77777777" w:rsidTr="00A85D08">
        <w:trPr>
          <w:trHeight w:val="443"/>
        </w:trPr>
        <w:tc>
          <w:tcPr>
            <w:tcW w:w="1736" w:type="dxa"/>
            <w:tcBorders>
              <w:top w:val="single" w:sz="4" w:space="0" w:color="000000"/>
              <w:left w:val="single" w:sz="4" w:space="0" w:color="000000"/>
              <w:bottom w:val="single" w:sz="4" w:space="0" w:color="000000"/>
              <w:right w:val="single" w:sz="4" w:space="0" w:color="000000"/>
            </w:tcBorders>
          </w:tcPr>
          <w:p w14:paraId="57C95C11" w14:textId="77777777" w:rsidR="00A85D08" w:rsidRPr="00A85D08" w:rsidRDefault="00A85D08" w:rsidP="00A85D08">
            <w:pPr>
              <w:pStyle w:val="Tekstpodstawowy"/>
              <w:spacing w:line="240" w:lineRule="auto"/>
              <w:jc w:val="both"/>
              <w:rPr>
                <w:rFonts w:asciiTheme="minorHAnsi" w:eastAsia="Arial" w:hAnsiTheme="minorHAnsi" w:cstheme="minorHAnsi"/>
                <w:sz w:val="20"/>
                <w:szCs w:val="20"/>
              </w:rPr>
            </w:pPr>
          </w:p>
          <w:p w14:paraId="62DDE498" w14:textId="77777777" w:rsidR="00A85D08" w:rsidRPr="00A85D08" w:rsidRDefault="00A85D08" w:rsidP="00A85D08">
            <w:pPr>
              <w:pStyle w:val="Tekstpodstawowy"/>
              <w:spacing w:line="240" w:lineRule="auto"/>
              <w:jc w:val="both"/>
              <w:rPr>
                <w:rFonts w:asciiTheme="minorHAnsi" w:hAnsiTheme="minorHAnsi" w:cstheme="minorHAnsi"/>
                <w:sz w:val="20"/>
                <w:szCs w:val="20"/>
              </w:rPr>
            </w:pPr>
            <w:r w:rsidRPr="00A85D08">
              <w:rPr>
                <w:rFonts w:asciiTheme="minorHAnsi" w:hAnsiTheme="minorHAnsi" w:cstheme="minorHAnsi"/>
                <w:sz w:val="20"/>
                <w:szCs w:val="20"/>
              </w:rPr>
              <w:t>L, D, place, parkingi</w:t>
            </w:r>
          </w:p>
        </w:tc>
        <w:tc>
          <w:tcPr>
            <w:tcW w:w="3676" w:type="dxa"/>
            <w:tcBorders>
              <w:top w:val="single" w:sz="4" w:space="0" w:color="000000"/>
              <w:left w:val="single" w:sz="4" w:space="0" w:color="000000"/>
              <w:bottom w:val="single" w:sz="4" w:space="0" w:color="000000"/>
              <w:right w:val="single" w:sz="4" w:space="0" w:color="000000"/>
            </w:tcBorders>
            <w:hideMark/>
          </w:tcPr>
          <w:p w14:paraId="7597950D" w14:textId="77777777" w:rsidR="00A85D08" w:rsidRPr="00A85D08" w:rsidRDefault="00A85D08" w:rsidP="00A85D08">
            <w:pPr>
              <w:pStyle w:val="Tekstpodstawowy"/>
              <w:spacing w:line="240" w:lineRule="auto"/>
              <w:jc w:val="both"/>
              <w:rPr>
                <w:rFonts w:asciiTheme="minorHAnsi" w:hAnsiTheme="minorHAnsi" w:cstheme="minorHAnsi"/>
                <w:sz w:val="20"/>
                <w:szCs w:val="20"/>
                <w:lang w:val="pl-PL"/>
              </w:rPr>
            </w:pPr>
            <w:r w:rsidRPr="00A85D08">
              <w:rPr>
                <w:rFonts w:asciiTheme="minorHAnsi" w:hAnsiTheme="minorHAnsi" w:cstheme="minorHAnsi"/>
                <w:sz w:val="20"/>
                <w:szCs w:val="20"/>
                <w:lang w:val="pl-PL"/>
              </w:rPr>
              <w:t>Wszystkie pasy ruchu i powierzchnie przeznaczone do ruchu i postoju pojazdów</w:t>
            </w:r>
          </w:p>
        </w:tc>
        <w:tc>
          <w:tcPr>
            <w:tcW w:w="3402" w:type="dxa"/>
            <w:tcBorders>
              <w:top w:val="single" w:sz="4" w:space="0" w:color="000000"/>
              <w:left w:val="single" w:sz="4" w:space="0" w:color="000000"/>
              <w:bottom w:val="single" w:sz="4" w:space="0" w:color="000000"/>
              <w:right w:val="single" w:sz="4" w:space="0" w:color="000000"/>
            </w:tcBorders>
          </w:tcPr>
          <w:p w14:paraId="533DFAE6" w14:textId="77777777" w:rsidR="00A85D08" w:rsidRPr="00A85D08" w:rsidRDefault="00A85D08" w:rsidP="00A85D08">
            <w:pPr>
              <w:pStyle w:val="Tekstpodstawowy"/>
              <w:spacing w:line="240" w:lineRule="auto"/>
              <w:jc w:val="both"/>
              <w:rPr>
                <w:rFonts w:asciiTheme="minorHAnsi" w:eastAsia="Arial" w:hAnsiTheme="minorHAnsi" w:cstheme="minorHAnsi"/>
                <w:sz w:val="20"/>
                <w:szCs w:val="20"/>
                <w:lang w:val="pl-PL"/>
              </w:rPr>
            </w:pPr>
          </w:p>
          <w:p w14:paraId="0BCF280B" w14:textId="77777777" w:rsidR="00A85D08" w:rsidRPr="00A85D08" w:rsidRDefault="00A85D08" w:rsidP="00A85D08">
            <w:pPr>
              <w:pStyle w:val="Tekstpodstawowy"/>
              <w:spacing w:line="240" w:lineRule="auto"/>
              <w:jc w:val="both"/>
              <w:rPr>
                <w:rFonts w:asciiTheme="minorHAnsi" w:hAnsiTheme="minorHAnsi" w:cstheme="minorHAnsi"/>
                <w:sz w:val="20"/>
                <w:szCs w:val="20"/>
              </w:rPr>
            </w:pPr>
            <w:r w:rsidRPr="00A85D08">
              <w:rPr>
                <w:rFonts w:asciiTheme="minorHAnsi" w:hAnsiTheme="minorHAnsi" w:cstheme="minorHAnsi"/>
                <w:sz w:val="20"/>
                <w:szCs w:val="20"/>
              </w:rPr>
              <w:t>12</w:t>
            </w:r>
          </w:p>
        </w:tc>
      </w:tr>
    </w:tbl>
    <w:p w14:paraId="1F018D66" w14:textId="77777777" w:rsidR="00A85D08" w:rsidRPr="00A85D08" w:rsidRDefault="00A85D08" w:rsidP="00A85D08">
      <w:pPr>
        <w:pStyle w:val="Tekstpodstawowy"/>
        <w:spacing w:line="240" w:lineRule="auto"/>
        <w:jc w:val="both"/>
        <w:rPr>
          <w:rFonts w:asciiTheme="minorHAnsi" w:hAnsiTheme="minorHAnsi" w:cstheme="minorHAnsi"/>
          <w:sz w:val="20"/>
          <w:szCs w:val="20"/>
        </w:rPr>
      </w:pPr>
    </w:p>
    <w:p w14:paraId="199A4126" w14:textId="77777777" w:rsidR="00A85D08" w:rsidRPr="00A85D08" w:rsidRDefault="00A85D08" w:rsidP="00A85D08">
      <w:pPr>
        <w:pStyle w:val="Tekstpodstawowy"/>
        <w:spacing w:line="240" w:lineRule="auto"/>
        <w:jc w:val="both"/>
        <w:rPr>
          <w:rFonts w:asciiTheme="minorHAnsi" w:hAnsiTheme="minorHAnsi" w:cstheme="minorHAnsi"/>
          <w:sz w:val="20"/>
          <w:szCs w:val="20"/>
        </w:rPr>
      </w:pPr>
      <w:r w:rsidRPr="00A85D08">
        <w:rPr>
          <w:rFonts w:asciiTheme="minorHAnsi" w:hAnsiTheme="minorHAnsi" w:cstheme="minorHAnsi"/>
          <w:sz w:val="20"/>
          <w:szCs w:val="20"/>
        </w:rPr>
        <w:t>Pomiary równości poprzecznej z wykorzystaniem łaty i klina należy wykonywać z krokiem nie rzadziej niż co 5 m, oraz w miejscach dodatkowych budzących wątpliwości co do zachowania warunku równości poprzecznej. W czasie pomiaru łata powinna leżeć prostopadle do osi drogi i w płaszczyźnie prostopadłej do powierzchni badanej</w:t>
      </w:r>
      <w:r w:rsidRPr="00A85D08">
        <w:rPr>
          <w:rFonts w:asciiTheme="minorHAnsi" w:hAnsiTheme="minorHAnsi" w:cstheme="minorHAnsi"/>
          <w:spacing w:val="-8"/>
          <w:sz w:val="20"/>
          <w:szCs w:val="20"/>
        </w:rPr>
        <w:t xml:space="preserve"> </w:t>
      </w:r>
      <w:r w:rsidRPr="00A85D08">
        <w:rPr>
          <w:rFonts w:asciiTheme="minorHAnsi" w:hAnsiTheme="minorHAnsi" w:cstheme="minorHAnsi"/>
          <w:sz w:val="20"/>
          <w:szCs w:val="20"/>
        </w:rPr>
        <w:t>warstwy.</w:t>
      </w:r>
    </w:p>
    <w:p w14:paraId="4DC20008" w14:textId="77777777" w:rsidR="00A85D08" w:rsidRPr="00A85D08" w:rsidRDefault="00A85D08" w:rsidP="00A85D08">
      <w:pPr>
        <w:pStyle w:val="Tekstpodstawowy"/>
        <w:spacing w:line="240" w:lineRule="auto"/>
        <w:jc w:val="both"/>
        <w:rPr>
          <w:rFonts w:asciiTheme="minorHAnsi" w:hAnsiTheme="minorHAnsi" w:cstheme="minorHAnsi"/>
          <w:sz w:val="20"/>
          <w:szCs w:val="20"/>
        </w:rPr>
      </w:pPr>
      <w:r w:rsidRPr="00A85D08">
        <w:rPr>
          <w:rFonts w:asciiTheme="minorHAnsi" w:hAnsiTheme="minorHAnsi" w:cstheme="minorHAnsi"/>
          <w:sz w:val="20"/>
          <w:szCs w:val="20"/>
        </w:rPr>
        <w:t>Klin należy podkładać pod łatę w miejscu, w którym prześwit jest największy (największe odchylenie równości). Wielkość prześwitu jest równa najmniejszej liczbie widocznej na klinie podłożonym pod łatę. Zasady oceny wyników podano w Tablicy 6.</w:t>
      </w:r>
    </w:p>
    <w:p w14:paraId="268819B6" w14:textId="77777777" w:rsidR="00A85D08" w:rsidRPr="00A85D08" w:rsidRDefault="00A85D08" w:rsidP="00A85D08">
      <w:pPr>
        <w:pStyle w:val="Tekstpodstawowy"/>
        <w:spacing w:line="240" w:lineRule="auto"/>
        <w:jc w:val="both"/>
        <w:rPr>
          <w:rFonts w:asciiTheme="minorHAnsi" w:hAnsiTheme="minorHAnsi" w:cstheme="minorHAnsi"/>
          <w:b/>
          <w:sz w:val="20"/>
          <w:szCs w:val="20"/>
        </w:rPr>
      </w:pPr>
      <w:r w:rsidRPr="00A85D08">
        <w:rPr>
          <w:rFonts w:asciiTheme="minorHAnsi" w:hAnsiTheme="minorHAnsi" w:cstheme="minorHAnsi"/>
          <w:b/>
          <w:sz w:val="20"/>
          <w:szCs w:val="20"/>
        </w:rPr>
        <w:t>6.4.4 Spadki</w:t>
      </w:r>
      <w:r w:rsidRPr="00A85D08">
        <w:rPr>
          <w:rFonts w:asciiTheme="minorHAnsi" w:hAnsiTheme="minorHAnsi" w:cstheme="minorHAnsi"/>
          <w:b/>
          <w:spacing w:val="-1"/>
          <w:sz w:val="20"/>
          <w:szCs w:val="20"/>
        </w:rPr>
        <w:t xml:space="preserve"> </w:t>
      </w:r>
      <w:r w:rsidRPr="00A85D08">
        <w:rPr>
          <w:rFonts w:asciiTheme="minorHAnsi" w:hAnsiTheme="minorHAnsi" w:cstheme="minorHAnsi"/>
          <w:b/>
          <w:sz w:val="20"/>
          <w:szCs w:val="20"/>
        </w:rPr>
        <w:t>poprzeczne</w:t>
      </w:r>
    </w:p>
    <w:p w14:paraId="4E4F16AF" w14:textId="77777777" w:rsidR="00A85D08" w:rsidRPr="00A85D08" w:rsidRDefault="00A85D08" w:rsidP="00A85D08">
      <w:pPr>
        <w:pStyle w:val="Tekstpodstawowy"/>
        <w:spacing w:line="240" w:lineRule="auto"/>
        <w:jc w:val="both"/>
        <w:rPr>
          <w:rFonts w:asciiTheme="minorHAnsi" w:hAnsiTheme="minorHAnsi" w:cstheme="minorHAnsi"/>
          <w:sz w:val="20"/>
          <w:szCs w:val="20"/>
        </w:rPr>
      </w:pPr>
      <w:r w:rsidRPr="00A85D08">
        <w:rPr>
          <w:rFonts w:asciiTheme="minorHAnsi" w:hAnsiTheme="minorHAnsi" w:cstheme="minorHAnsi"/>
          <w:sz w:val="20"/>
          <w:szCs w:val="20"/>
        </w:rPr>
        <w:t>Sprawdzenie polega na przyłożeniu łaty i pomiar prześwitu klinem lub pomiar profilografem laserowym. Spadki poprzeczne warstwy wiążącej na odcinkach prostych i na łukach powinny  być zgodne z spadkami poprzecznymi z tolerancją ± 0,5%. Wymaga się, aby co najmniej 95% wykonanych pomiarów nie przekraczało przedziału dopuszczalnych</w:t>
      </w:r>
      <w:r w:rsidRPr="00A85D08">
        <w:rPr>
          <w:rFonts w:asciiTheme="minorHAnsi" w:hAnsiTheme="minorHAnsi" w:cstheme="minorHAnsi"/>
          <w:spacing w:val="-9"/>
          <w:sz w:val="20"/>
          <w:szCs w:val="20"/>
        </w:rPr>
        <w:t xml:space="preserve"> </w:t>
      </w:r>
      <w:r w:rsidRPr="00A85D08">
        <w:rPr>
          <w:rFonts w:asciiTheme="minorHAnsi" w:hAnsiTheme="minorHAnsi" w:cstheme="minorHAnsi"/>
          <w:sz w:val="20"/>
          <w:szCs w:val="20"/>
        </w:rPr>
        <w:t>odchyleń.</w:t>
      </w:r>
    </w:p>
    <w:p w14:paraId="4B2620EC" w14:textId="77777777" w:rsidR="00A85D08" w:rsidRPr="00A85D08" w:rsidRDefault="00A85D08" w:rsidP="00A85D08">
      <w:pPr>
        <w:pStyle w:val="Tekstpodstawowy"/>
        <w:spacing w:line="240" w:lineRule="auto"/>
        <w:jc w:val="both"/>
        <w:rPr>
          <w:rFonts w:asciiTheme="minorHAnsi" w:hAnsiTheme="minorHAnsi" w:cstheme="minorHAnsi"/>
          <w:b/>
          <w:sz w:val="20"/>
          <w:szCs w:val="20"/>
        </w:rPr>
      </w:pPr>
      <w:r w:rsidRPr="00A85D08">
        <w:rPr>
          <w:rFonts w:asciiTheme="minorHAnsi" w:hAnsiTheme="minorHAnsi" w:cstheme="minorHAnsi"/>
          <w:b/>
          <w:sz w:val="20"/>
          <w:szCs w:val="20"/>
        </w:rPr>
        <w:t>6.4.5 Ukształtowanie osi w</w:t>
      </w:r>
      <w:r w:rsidRPr="00A85D08">
        <w:rPr>
          <w:rFonts w:asciiTheme="minorHAnsi" w:hAnsiTheme="minorHAnsi" w:cstheme="minorHAnsi"/>
          <w:b/>
          <w:spacing w:val="-1"/>
          <w:sz w:val="20"/>
          <w:szCs w:val="20"/>
        </w:rPr>
        <w:t xml:space="preserve"> </w:t>
      </w:r>
      <w:r w:rsidRPr="00A85D08">
        <w:rPr>
          <w:rFonts w:asciiTheme="minorHAnsi" w:hAnsiTheme="minorHAnsi" w:cstheme="minorHAnsi"/>
          <w:b/>
          <w:sz w:val="20"/>
          <w:szCs w:val="20"/>
        </w:rPr>
        <w:t>planie</w:t>
      </w:r>
    </w:p>
    <w:p w14:paraId="10C9E66A" w14:textId="77777777" w:rsidR="00A85D08" w:rsidRPr="00A85D08" w:rsidRDefault="00A85D08" w:rsidP="00A85D08">
      <w:pPr>
        <w:pStyle w:val="Tekstpodstawowy"/>
        <w:spacing w:line="240" w:lineRule="auto"/>
        <w:jc w:val="both"/>
        <w:rPr>
          <w:rFonts w:asciiTheme="minorHAnsi" w:hAnsiTheme="minorHAnsi" w:cstheme="minorHAnsi"/>
          <w:sz w:val="20"/>
          <w:szCs w:val="20"/>
        </w:rPr>
      </w:pPr>
      <w:r w:rsidRPr="00A85D08">
        <w:rPr>
          <w:rFonts w:asciiTheme="minorHAnsi" w:hAnsiTheme="minorHAnsi" w:cstheme="minorHAnsi"/>
          <w:sz w:val="20"/>
          <w:szCs w:val="20"/>
        </w:rPr>
        <w:t>Oś warstwy w planie powinna być usytuowana zgodnie z osią projektowaną z tolerancją ± 5 cm. Wymaga się, aby co najmniej 95% wykonanych pomiarów nie przekraczało przedziału dopuszczalnych odchyleń.</w:t>
      </w:r>
    </w:p>
    <w:p w14:paraId="2C991A78" w14:textId="77777777" w:rsidR="00A85D08" w:rsidRPr="00A85D08" w:rsidRDefault="00A85D08" w:rsidP="00A85D08">
      <w:pPr>
        <w:pStyle w:val="Tekstpodstawowy"/>
        <w:spacing w:line="240" w:lineRule="auto"/>
        <w:jc w:val="both"/>
        <w:rPr>
          <w:rFonts w:asciiTheme="minorHAnsi" w:hAnsiTheme="minorHAnsi" w:cstheme="minorHAnsi"/>
          <w:b/>
          <w:sz w:val="20"/>
          <w:szCs w:val="20"/>
        </w:rPr>
      </w:pPr>
      <w:r w:rsidRPr="00A85D08">
        <w:rPr>
          <w:rFonts w:asciiTheme="minorHAnsi" w:hAnsiTheme="minorHAnsi" w:cstheme="minorHAnsi"/>
          <w:b/>
          <w:sz w:val="20"/>
          <w:szCs w:val="20"/>
        </w:rPr>
        <w:t>6.4.6 Rzędne wysokościowe</w:t>
      </w:r>
      <w:r w:rsidRPr="00A85D08">
        <w:rPr>
          <w:rFonts w:asciiTheme="minorHAnsi" w:hAnsiTheme="minorHAnsi" w:cstheme="minorHAnsi"/>
          <w:b/>
          <w:spacing w:val="1"/>
          <w:sz w:val="20"/>
          <w:szCs w:val="20"/>
        </w:rPr>
        <w:t xml:space="preserve"> </w:t>
      </w:r>
      <w:r w:rsidRPr="00A85D08">
        <w:rPr>
          <w:rFonts w:asciiTheme="minorHAnsi" w:hAnsiTheme="minorHAnsi" w:cstheme="minorHAnsi"/>
          <w:b/>
          <w:sz w:val="20"/>
          <w:szCs w:val="20"/>
        </w:rPr>
        <w:t>nawierzchni</w:t>
      </w:r>
    </w:p>
    <w:p w14:paraId="08993CA6" w14:textId="77777777" w:rsidR="00A85D08" w:rsidRPr="00A85D08" w:rsidRDefault="00A85D08" w:rsidP="00A85D08">
      <w:pPr>
        <w:pStyle w:val="Tekstpodstawowy"/>
        <w:spacing w:line="240" w:lineRule="auto"/>
        <w:jc w:val="both"/>
        <w:rPr>
          <w:rFonts w:asciiTheme="minorHAnsi" w:hAnsiTheme="minorHAnsi" w:cstheme="minorHAnsi"/>
          <w:sz w:val="20"/>
          <w:szCs w:val="20"/>
        </w:rPr>
      </w:pPr>
      <w:r w:rsidRPr="00A85D08">
        <w:rPr>
          <w:rFonts w:asciiTheme="minorHAnsi" w:hAnsiTheme="minorHAnsi" w:cstheme="minorHAnsi"/>
          <w:sz w:val="20"/>
          <w:szCs w:val="20"/>
        </w:rPr>
        <w:t>Rzędne wysokościowe warstwy wiążącej powinny być mierzone w przekrojach co 10m w osi i na krawędziach każdej jezdni. Przed przystąpieniem do robót Wykonawca przedstawi schemat punktów pomiarowych do akceptacji. Różnice pomiędzy rzędnymi wysokościowymi warstwy a rzędnymi projektowanymi nie powinny przekraczać ± 1 cm. Wymaga się, aby co najmniej 95% wykonanych pomiarów nie przekraczało przedziału dopuszczalnych odchyleń.</w:t>
      </w:r>
    </w:p>
    <w:p w14:paraId="79B8519E" w14:textId="77777777" w:rsidR="00A85D08" w:rsidRPr="00A85D08" w:rsidRDefault="00A85D08" w:rsidP="00A85D08">
      <w:pPr>
        <w:pStyle w:val="Tekstpodstawowy"/>
        <w:spacing w:line="240" w:lineRule="auto"/>
        <w:jc w:val="both"/>
        <w:rPr>
          <w:rFonts w:asciiTheme="minorHAnsi" w:hAnsiTheme="minorHAnsi" w:cstheme="minorHAnsi"/>
          <w:b/>
          <w:sz w:val="20"/>
          <w:szCs w:val="20"/>
        </w:rPr>
      </w:pPr>
      <w:r w:rsidRPr="00A85D08">
        <w:rPr>
          <w:rFonts w:asciiTheme="minorHAnsi" w:hAnsiTheme="minorHAnsi" w:cstheme="minorHAnsi"/>
          <w:b/>
          <w:sz w:val="20"/>
          <w:szCs w:val="20"/>
        </w:rPr>
        <w:t>6.4.7 Złącza podłużne i</w:t>
      </w:r>
      <w:r w:rsidRPr="00A85D08">
        <w:rPr>
          <w:rFonts w:asciiTheme="minorHAnsi" w:hAnsiTheme="minorHAnsi" w:cstheme="minorHAnsi"/>
          <w:b/>
          <w:spacing w:val="-5"/>
          <w:sz w:val="20"/>
          <w:szCs w:val="20"/>
        </w:rPr>
        <w:t xml:space="preserve"> </w:t>
      </w:r>
      <w:r w:rsidRPr="00A85D08">
        <w:rPr>
          <w:rFonts w:asciiTheme="minorHAnsi" w:hAnsiTheme="minorHAnsi" w:cstheme="minorHAnsi"/>
          <w:b/>
          <w:sz w:val="20"/>
          <w:szCs w:val="20"/>
        </w:rPr>
        <w:t>poprzeczne</w:t>
      </w:r>
    </w:p>
    <w:p w14:paraId="2F2005C6" w14:textId="77777777" w:rsidR="00A85D08" w:rsidRPr="00A85D08" w:rsidRDefault="00A85D08" w:rsidP="00A85D08">
      <w:pPr>
        <w:pStyle w:val="Tekstpodstawowy"/>
        <w:spacing w:line="240" w:lineRule="auto"/>
        <w:jc w:val="both"/>
        <w:rPr>
          <w:rFonts w:asciiTheme="minorHAnsi" w:hAnsiTheme="minorHAnsi" w:cstheme="minorHAnsi"/>
          <w:sz w:val="20"/>
          <w:szCs w:val="20"/>
        </w:rPr>
      </w:pPr>
      <w:r w:rsidRPr="00A85D08">
        <w:rPr>
          <w:rFonts w:asciiTheme="minorHAnsi" w:hAnsiTheme="minorHAnsi" w:cstheme="minorHAnsi"/>
          <w:sz w:val="20"/>
          <w:szCs w:val="20"/>
        </w:rPr>
        <w:t>Złącza w nawierzchni powinny być wykonane w linii prostej, prostopadle do osi drogi. Złącza w konstrukcji wielowarstwowej powinny być przesunięte względem siebie co najmniej o 15 cm. Złącza powinny być całkowicie związane, a przylegające warstwy powinny być w jednym poziomie.</w:t>
      </w:r>
    </w:p>
    <w:p w14:paraId="7A8A3BA4" w14:textId="77777777" w:rsidR="00A85D08" w:rsidRPr="004E54A4" w:rsidRDefault="00A85D08" w:rsidP="00A85D08">
      <w:pPr>
        <w:pStyle w:val="Nagwek4"/>
      </w:pPr>
      <w:r w:rsidRPr="004E54A4">
        <w:t>6.5. Badania arbitrażowe</w:t>
      </w:r>
    </w:p>
    <w:p w14:paraId="241F040E" w14:textId="77777777" w:rsidR="00A85D08" w:rsidRPr="004E54A4" w:rsidRDefault="00A85D08" w:rsidP="00A85D08">
      <w:pPr>
        <w:pStyle w:val="Tekstpodstawowy"/>
        <w:jc w:val="both"/>
        <w:rPr>
          <w:rFonts w:cstheme="minorHAnsi"/>
        </w:rPr>
      </w:pPr>
    </w:p>
    <w:p w14:paraId="64D4E451" w14:textId="54EB6221" w:rsidR="00A85D08" w:rsidRPr="00FD657F" w:rsidRDefault="00A85D08" w:rsidP="00A85D08">
      <w:pPr>
        <w:rPr>
          <w:rFonts w:ascii="Calibri" w:hAnsi="Calibri" w:cs="Calibri"/>
          <w:sz w:val="22"/>
          <w:szCs w:val="22"/>
        </w:rPr>
      </w:pPr>
      <w:r w:rsidRPr="004E54A4">
        <w:rPr>
          <w:rFonts w:cstheme="minorHAnsi"/>
        </w:rPr>
        <w:t>Zgodnie z p. 6.7 DM.00.00.00</w:t>
      </w:r>
    </w:p>
    <w:p w14:paraId="6ABCDDFC" w14:textId="77777777" w:rsidR="00E00D25" w:rsidRPr="00FD657F" w:rsidRDefault="00E00D25" w:rsidP="00E00D25">
      <w:pPr>
        <w:tabs>
          <w:tab w:val="left" w:pos="9914"/>
        </w:tabs>
        <w:rPr>
          <w:rFonts w:ascii="Calibri" w:hAnsi="Calibri" w:cs="Calibri"/>
          <w:b/>
          <w:bCs/>
          <w:i/>
          <w:iCs/>
          <w:sz w:val="22"/>
          <w:szCs w:val="22"/>
        </w:rPr>
      </w:pPr>
    </w:p>
    <w:p w14:paraId="6A9D0DCC" w14:textId="77777777" w:rsidR="00E00D25" w:rsidRPr="00FD657F" w:rsidRDefault="00E00D25" w:rsidP="00E00D25">
      <w:pPr>
        <w:rPr>
          <w:rFonts w:ascii="Calibri" w:hAnsi="Calibri" w:cs="Calibri"/>
          <w:b/>
          <w:sz w:val="22"/>
          <w:szCs w:val="22"/>
        </w:rPr>
      </w:pPr>
      <w:r w:rsidRPr="00FD657F">
        <w:rPr>
          <w:rFonts w:ascii="Calibri" w:hAnsi="Calibri" w:cs="Calibri"/>
          <w:b/>
          <w:sz w:val="22"/>
          <w:szCs w:val="22"/>
        </w:rPr>
        <w:t>7. OBMIAR ROBÓT</w:t>
      </w:r>
    </w:p>
    <w:p w14:paraId="1A346B45" w14:textId="77777777" w:rsidR="00A85D08" w:rsidRDefault="00A85D08" w:rsidP="00E00D25">
      <w:pPr>
        <w:numPr>
          <w:ilvl w:val="12"/>
          <w:numId w:val="0"/>
        </w:numPr>
        <w:tabs>
          <w:tab w:val="left" w:pos="9914"/>
        </w:tabs>
        <w:rPr>
          <w:rFonts w:ascii="Calibri" w:hAnsi="Calibri" w:cs="Calibri"/>
          <w:sz w:val="22"/>
          <w:szCs w:val="22"/>
        </w:rPr>
      </w:pPr>
    </w:p>
    <w:p w14:paraId="0D099A72" w14:textId="4476BCC3" w:rsidR="00A85D08" w:rsidRDefault="00A85D08" w:rsidP="00E00D25">
      <w:pPr>
        <w:numPr>
          <w:ilvl w:val="12"/>
          <w:numId w:val="0"/>
        </w:numPr>
        <w:tabs>
          <w:tab w:val="left" w:pos="9914"/>
        </w:tabs>
        <w:rPr>
          <w:rFonts w:ascii="Calibri" w:hAnsi="Calibri" w:cs="Calibri"/>
          <w:sz w:val="22"/>
          <w:szCs w:val="22"/>
        </w:rPr>
      </w:pPr>
      <w:r>
        <w:rPr>
          <w:rFonts w:ascii="Calibri" w:hAnsi="Calibri" w:cs="Calibri"/>
          <w:sz w:val="22"/>
          <w:szCs w:val="22"/>
        </w:rPr>
        <w:t>Kontrakt ryczałtowy</w:t>
      </w:r>
    </w:p>
    <w:p w14:paraId="48A71A18" w14:textId="66776279" w:rsidR="00E00D25" w:rsidRPr="00FD657F" w:rsidRDefault="00E00D25" w:rsidP="00E00D25">
      <w:pPr>
        <w:numPr>
          <w:ilvl w:val="12"/>
          <w:numId w:val="0"/>
        </w:numPr>
        <w:tabs>
          <w:tab w:val="left" w:pos="9914"/>
        </w:tabs>
        <w:rPr>
          <w:rFonts w:ascii="Calibri" w:hAnsi="Calibri" w:cs="Calibri"/>
          <w:sz w:val="22"/>
          <w:szCs w:val="22"/>
        </w:rPr>
      </w:pPr>
      <w:r w:rsidRPr="00FD657F">
        <w:rPr>
          <w:rFonts w:ascii="Calibri" w:hAnsi="Calibri" w:cs="Calibri"/>
          <w:sz w:val="22"/>
          <w:szCs w:val="22"/>
        </w:rPr>
        <w:t xml:space="preserve">Ogólne zasady obmiaru robót podano w </w:t>
      </w:r>
      <w:r w:rsidR="00664E38">
        <w:rPr>
          <w:rFonts w:ascii="Calibri" w:hAnsi="Calibri" w:cs="Calibri"/>
          <w:sz w:val="22"/>
          <w:szCs w:val="22"/>
        </w:rPr>
        <w:t>ST</w:t>
      </w:r>
      <w:r w:rsidRPr="00FD657F">
        <w:rPr>
          <w:rFonts w:ascii="Calibri" w:hAnsi="Calibri" w:cs="Calibri"/>
          <w:sz w:val="22"/>
          <w:szCs w:val="22"/>
        </w:rPr>
        <w:t>WiORB  D-M-00.00.00 „Wymagania ogólne” pkt 7.</w:t>
      </w:r>
    </w:p>
    <w:p w14:paraId="46356B72" w14:textId="77777777" w:rsidR="00E00D25" w:rsidRPr="00FD657F" w:rsidRDefault="00E00D25" w:rsidP="00E00D25">
      <w:pPr>
        <w:rPr>
          <w:rFonts w:ascii="Calibri" w:hAnsi="Calibri" w:cs="Calibri"/>
          <w:b/>
          <w:sz w:val="22"/>
          <w:szCs w:val="22"/>
        </w:rPr>
      </w:pPr>
    </w:p>
    <w:p w14:paraId="0A67C929" w14:textId="77777777" w:rsidR="00E00D25" w:rsidRPr="00FD657F" w:rsidRDefault="00E00D25" w:rsidP="00E00D25">
      <w:pPr>
        <w:rPr>
          <w:rFonts w:ascii="Calibri" w:hAnsi="Calibri" w:cs="Calibri"/>
          <w:b/>
          <w:sz w:val="22"/>
          <w:szCs w:val="22"/>
        </w:rPr>
      </w:pPr>
      <w:r w:rsidRPr="00FD657F">
        <w:rPr>
          <w:rFonts w:ascii="Calibri" w:hAnsi="Calibri" w:cs="Calibri"/>
          <w:b/>
          <w:sz w:val="22"/>
          <w:szCs w:val="22"/>
        </w:rPr>
        <w:t>8. ODBIÓR ROBÓT</w:t>
      </w:r>
    </w:p>
    <w:p w14:paraId="4A9CEE14" w14:textId="5E16457E" w:rsidR="00E00D25" w:rsidRPr="00FD657F" w:rsidRDefault="00E00D25" w:rsidP="00E00D25">
      <w:pPr>
        <w:numPr>
          <w:ilvl w:val="12"/>
          <w:numId w:val="0"/>
        </w:numPr>
        <w:tabs>
          <w:tab w:val="left" w:pos="9914"/>
        </w:tabs>
        <w:rPr>
          <w:rFonts w:ascii="Calibri" w:hAnsi="Calibri" w:cs="Calibri"/>
          <w:sz w:val="22"/>
          <w:szCs w:val="22"/>
        </w:rPr>
      </w:pPr>
      <w:r w:rsidRPr="00FD657F">
        <w:rPr>
          <w:rFonts w:ascii="Calibri" w:hAnsi="Calibri" w:cs="Calibri"/>
          <w:sz w:val="22"/>
          <w:szCs w:val="22"/>
        </w:rPr>
        <w:t xml:space="preserve">Ogólne zasady odbioru robót podano w </w:t>
      </w:r>
      <w:r w:rsidR="00664E38">
        <w:rPr>
          <w:rFonts w:ascii="Calibri" w:hAnsi="Calibri" w:cs="Calibri"/>
          <w:sz w:val="22"/>
          <w:szCs w:val="22"/>
        </w:rPr>
        <w:t>ST</w:t>
      </w:r>
      <w:r w:rsidRPr="00FD657F">
        <w:rPr>
          <w:rFonts w:ascii="Calibri" w:hAnsi="Calibri" w:cs="Calibri"/>
          <w:sz w:val="22"/>
          <w:szCs w:val="22"/>
        </w:rPr>
        <w:t>WiORB  D-M-00.00.00 „Wymagania ogólne”  pkt 8.</w:t>
      </w:r>
    </w:p>
    <w:p w14:paraId="01665A59" w14:textId="77777777" w:rsidR="00E00D25" w:rsidRPr="00FD657F" w:rsidRDefault="00E00D25" w:rsidP="00E00D25">
      <w:pPr>
        <w:numPr>
          <w:ilvl w:val="12"/>
          <w:numId w:val="0"/>
        </w:numPr>
        <w:tabs>
          <w:tab w:val="left" w:pos="9914"/>
        </w:tabs>
        <w:rPr>
          <w:rFonts w:ascii="Calibri" w:hAnsi="Calibri" w:cs="Calibri"/>
          <w:sz w:val="22"/>
          <w:szCs w:val="22"/>
        </w:rPr>
      </w:pPr>
      <w:r w:rsidRPr="00FD657F">
        <w:rPr>
          <w:rFonts w:ascii="Calibri" w:hAnsi="Calibri" w:cs="Calibri"/>
          <w:sz w:val="22"/>
          <w:szCs w:val="22"/>
        </w:rPr>
        <w:t>Roboty uznaje się za wykonane zgodnie z dokumentacją projektową, ST i wymaganiami Inżyniera/Kierownika projektu, jeżeli wszystkie pomiary i badania z zachowaniem tolerancji według pktu 6 dały wyniki pozytywne.</w:t>
      </w:r>
    </w:p>
    <w:p w14:paraId="4EA4BD15" w14:textId="77777777" w:rsidR="00E00D25" w:rsidRPr="00FD657F" w:rsidRDefault="00E00D25" w:rsidP="00E00D25">
      <w:pPr>
        <w:numPr>
          <w:ilvl w:val="12"/>
          <w:numId w:val="0"/>
        </w:numPr>
        <w:tabs>
          <w:tab w:val="left" w:pos="9914"/>
        </w:tabs>
        <w:rPr>
          <w:rFonts w:ascii="Calibri" w:hAnsi="Calibri" w:cs="Calibri"/>
          <w:sz w:val="22"/>
          <w:szCs w:val="22"/>
        </w:rPr>
      </w:pPr>
      <w:r w:rsidRPr="00FD657F">
        <w:rPr>
          <w:rFonts w:ascii="Calibri" w:hAnsi="Calibri" w:cs="Calibri"/>
          <w:sz w:val="22"/>
          <w:szCs w:val="22"/>
        </w:rPr>
        <w:t>Jeśli warunki umowy przewidują dokonywanie potrąceń, to Zamawiający może w razie niedotrzymania wartości dopuszczalnych dokonać potrąceń według zasad określonych w WT-2  pkt 9.2.</w:t>
      </w:r>
    </w:p>
    <w:p w14:paraId="20F6A3AD" w14:textId="77777777" w:rsidR="00E00D25" w:rsidRPr="00FD657F" w:rsidRDefault="00E00D25" w:rsidP="00E00D25">
      <w:pPr>
        <w:rPr>
          <w:rFonts w:ascii="Calibri" w:hAnsi="Calibri" w:cs="Calibri"/>
          <w:b/>
          <w:sz w:val="22"/>
          <w:szCs w:val="22"/>
        </w:rPr>
      </w:pPr>
    </w:p>
    <w:p w14:paraId="30F1E902" w14:textId="77777777" w:rsidR="00E00D25" w:rsidRPr="00FD657F" w:rsidRDefault="00E00D25" w:rsidP="00E00D25">
      <w:pPr>
        <w:rPr>
          <w:rFonts w:ascii="Calibri" w:hAnsi="Calibri" w:cs="Calibri"/>
          <w:b/>
          <w:sz w:val="22"/>
          <w:szCs w:val="22"/>
        </w:rPr>
      </w:pPr>
      <w:r w:rsidRPr="00FD657F">
        <w:rPr>
          <w:rFonts w:ascii="Calibri" w:hAnsi="Calibri" w:cs="Calibri"/>
          <w:b/>
          <w:sz w:val="22"/>
          <w:szCs w:val="22"/>
        </w:rPr>
        <w:t>9. PODSTAWA PŁATNOŚCI</w:t>
      </w:r>
    </w:p>
    <w:p w14:paraId="789F09AD" w14:textId="77777777" w:rsidR="00A85D08" w:rsidRDefault="00A85D08" w:rsidP="00E00D25">
      <w:pPr>
        <w:numPr>
          <w:ilvl w:val="12"/>
          <w:numId w:val="0"/>
        </w:numPr>
        <w:tabs>
          <w:tab w:val="left" w:pos="9914"/>
        </w:tabs>
        <w:rPr>
          <w:rFonts w:ascii="Calibri" w:hAnsi="Calibri" w:cs="Calibri"/>
          <w:sz w:val="22"/>
          <w:szCs w:val="22"/>
        </w:rPr>
      </w:pPr>
    </w:p>
    <w:p w14:paraId="40CB6C6F" w14:textId="570BBEAE" w:rsidR="00A85D08" w:rsidRDefault="00A85D08" w:rsidP="00E00D25">
      <w:pPr>
        <w:numPr>
          <w:ilvl w:val="12"/>
          <w:numId w:val="0"/>
        </w:numPr>
        <w:tabs>
          <w:tab w:val="left" w:pos="9914"/>
        </w:tabs>
        <w:rPr>
          <w:rFonts w:ascii="Calibri" w:hAnsi="Calibri" w:cs="Calibri"/>
          <w:sz w:val="22"/>
          <w:szCs w:val="22"/>
        </w:rPr>
      </w:pPr>
      <w:r>
        <w:rPr>
          <w:rFonts w:ascii="Calibri" w:hAnsi="Calibri" w:cs="Calibri"/>
          <w:sz w:val="22"/>
          <w:szCs w:val="22"/>
        </w:rPr>
        <w:t>Kontrakt ryczałtowy</w:t>
      </w:r>
    </w:p>
    <w:p w14:paraId="3E85823D" w14:textId="2FA3FA70" w:rsidR="00E00D25" w:rsidRPr="00FD657F" w:rsidRDefault="00E00D25" w:rsidP="00E00D25">
      <w:pPr>
        <w:numPr>
          <w:ilvl w:val="12"/>
          <w:numId w:val="0"/>
        </w:numPr>
        <w:tabs>
          <w:tab w:val="left" w:pos="9914"/>
        </w:tabs>
        <w:rPr>
          <w:rFonts w:ascii="Calibri" w:hAnsi="Calibri" w:cs="Calibri"/>
          <w:sz w:val="22"/>
          <w:szCs w:val="22"/>
        </w:rPr>
      </w:pPr>
      <w:r w:rsidRPr="00FD657F">
        <w:rPr>
          <w:rFonts w:ascii="Calibri" w:hAnsi="Calibri" w:cs="Calibri"/>
          <w:sz w:val="22"/>
          <w:szCs w:val="22"/>
        </w:rPr>
        <w:t xml:space="preserve">Ogólne ustalenia dotyczące podstawy płatności podano w </w:t>
      </w:r>
      <w:r w:rsidR="00664E38">
        <w:rPr>
          <w:rFonts w:ascii="Calibri" w:hAnsi="Calibri" w:cs="Calibri"/>
          <w:sz w:val="22"/>
          <w:szCs w:val="22"/>
        </w:rPr>
        <w:t>ST</w:t>
      </w:r>
      <w:r w:rsidRPr="00FD657F">
        <w:rPr>
          <w:rFonts w:ascii="Calibri" w:hAnsi="Calibri" w:cs="Calibri"/>
          <w:sz w:val="22"/>
          <w:szCs w:val="22"/>
        </w:rPr>
        <w:t>WiORB D-M-00.00.00 „Wymagania ogólne” pkt 9.</w:t>
      </w:r>
    </w:p>
    <w:p w14:paraId="0411B9E9" w14:textId="77777777" w:rsidR="00E00D25" w:rsidRPr="00FD657F" w:rsidRDefault="00E00D25" w:rsidP="00E00D25">
      <w:pPr>
        <w:rPr>
          <w:rFonts w:ascii="Calibri" w:hAnsi="Calibri" w:cs="Calibri"/>
          <w:b/>
          <w:sz w:val="22"/>
          <w:szCs w:val="22"/>
        </w:rPr>
      </w:pPr>
    </w:p>
    <w:p w14:paraId="3715DB4A" w14:textId="77777777" w:rsidR="00E00D25" w:rsidRPr="00FD657F" w:rsidRDefault="00E00D25" w:rsidP="00E00D25">
      <w:pPr>
        <w:rPr>
          <w:rFonts w:ascii="Calibri" w:hAnsi="Calibri" w:cs="Calibri"/>
          <w:b/>
          <w:sz w:val="22"/>
          <w:szCs w:val="22"/>
        </w:rPr>
      </w:pPr>
      <w:r w:rsidRPr="00FD657F">
        <w:rPr>
          <w:rFonts w:ascii="Calibri" w:hAnsi="Calibri" w:cs="Calibri"/>
          <w:b/>
          <w:sz w:val="22"/>
          <w:szCs w:val="22"/>
        </w:rPr>
        <w:t>10. PRZEPISY ZWIĄZANE</w:t>
      </w:r>
    </w:p>
    <w:p w14:paraId="5C8A6FD6" w14:textId="77777777" w:rsidR="00E00D25" w:rsidRPr="00FD657F" w:rsidRDefault="00E00D25" w:rsidP="00E00D25">
      <w:pPr>
        <w:pStyle w:val="Nagwek4"/>
        <w:tabs>
          <w:tab w:val="left" w:pos="9914"/>
        </w:tabs>
        <w:rPr>
          <w:rFonts w:ascii="Calibri" w:hAnsi="Calibri" w:cs="Calibri"/>
          <w:sz w:val="22"/>
          <w:szCs w:val="22"/>
        </w:rPr>
      </w:pPr>
      <w:r w:rsidRPr="00FD657F">
        <w:rPr>
          <w:rFonts w:ascii="Calibri" w:hAnsi="Calibri" w:cs="Calibri"/>
          <w:sz w:val="22"/>
          <w:szCs w:val="22"/>
        </w:rPr>
        <w:t>10.1. Przepisy techniczno budowlane</w:t>
      </w:r>
    </w:p>
    <w:p w14:paraId="45F1494C" w14:textId="77777777" w:rsidR="00E00D25" w:rsidRPr="00FD657F" w:rsidRDefault="00E00D25" w:rsidP="00262498">
      <w:pPr>
        <w:numPr>
          <w:ilvl w:val="0"/>
          <w:numId w:val="179"/>
        </w:numPr>
        <w:tabs>
          <w:tab w:val="left" w:pos="9914"/>
        </w:tabs>
        <w:rPr>
          <w:rFonts w:ascii="Calibri" w:hAnsi="Calibri" w:cs="Calibri"/>
          <w:sz w:val="22"/>
          <w:szCs w:val="22"/>
        </w:rPr>
      </w:pPr>
      <w:r w:rsidRPr="00FD657F">
        <w:rPr>
          <w:rFonts w:ascii="Calibri" w:hAnsi="Calibri" w:cs="Calibri"/>
          <w:sz w:val="22"/>
          <w:szCs w:val="22"/>
        </w:rPr>
        <w:t>Rozporządzenie Ministra Transportu i Gospodarki Morskiej z dnia 2 marca 1999 r. w sprawie warunków technicznych, jakim powinny odpowiadać drogi publiczne i ich usytuowanie (Dz.U. nr 43, poz. 430)</w:t>
      </w:r>
    </w:p>
    <w:p w14:paraId="5495B94E" w14:textId="77777777" w:rsidR="00E00D25" w:rsidRPr="00FD657F" w:rsidRDefault="00E00D25" w:rsidP="00E00D25">
      <w:pPr>
        <w:pStyle w:val="Nagwek4"/>
        <w:tabs>
          <w:tab w:val="left" w:pos="9914"/>
        </w:tabs>
        <w:rPr>
          <w:rFonts w:ascii="Calibri" w:hAnsi="Calibri" w:cs="Calibri"/>
          <w:sz w:val="22"/>
          <w:szCs w:val="22"/>
        </w:rPr>
      </w:pPr>
      <w:r w:rsidRPr="00FD657F">
        <w:rPr>
          <w:rFonts w:ascii="Calibri" w:hAnsi="Calibri" w:cs="Calibri"/>
          <w:sz w:val="22"/>
          <w:szCs w:val="22"/>
        </w:rPr>
        <w:t>10.2. Normy</w:t>
      </w:r>
    </w:p>
    <w:tbl>
      <w:tblPr>
        <w:tblW w:w="9747" w:type="dxa"/>
        <w:tblInd w:w="2" w:type="dxa"/>
        <w:tblLook w:val="01E0" w:firstRow="1" w:lastRow="1" w:firstColumn="1" w:lastColumn="1" w:noHBand="0" w:noVBand="0"/>
      </w:tblPr>
      <w:tblGrid>
        <w:gridCol w:w="534"/>
        <w:gridCol w:w="1842"/>
        <w:gridCol w:w="7371"/>
      </w:tblGrid>
      <w:tr w:rsidR="00E00D25" w:rsidRPr="00FD657F" w14:paraId="170DB092" w14:textId="77777777" w:rsidTr="007679E0">
        <w:tc>
          <w:tcPr>
            <w:tcW w:w="534" w:type="dxa"/>
          </w:tcPr>
          <w:p w14:paraId="0EF2D73B" w14:textId="77777777" w:rsidR="00E00D25" w:rsidRPr="00FD657F" w:rsidRDefault="00E00D25" w:rsidP="007679E0">
            <w:pPr>
              <w:tabs>
                <w:tab w:val="left" w:pos="9914"/>
              </w:tabs>
              <w:rPr>
                <w:rFonts w:ascii="Calibri" w:hAnsi="Calibri" w:cs="Calibri"/>
                <w:sz w:val="16"/>
                <w:szCs w:val="16"/>
              </w:rPr>
            </w:pPr>
            <w:r w:rsidRPr="00FD657F">
              <w:rPr>
                <w:rFonts w:ascii="Calibri" w:hAnsi="Calibri" w:cs="Calibri"/>
                <w:sz w:val="16"/>
                <w:szCs w:val="16"/>
              </w:rPr>
              <w:t>2.</w:t>
            </w:r>
          </w:p>
        </w:tc>
        <w:tc>
          <w:tcPr>
            <w:tcW w:w="1842" w:type="dxa"/>
          </w:tcPr>
          <w:p w14:paraId="1537A982" w14:textId="77777777" w:rsidR="00E00D25" w:rsidRPr="00FD657F" w:rsidRDefault="00E00D25" w:rsidP="007679E0">
            <w:pPr>
              <w:tabs>
                <w:tab w:val="left" w:pos="9914"/>
              </w:tabs>
              <w:rPr>
                <w:rFonts w:ascii="Calibri" w:hAnsi="Calibri" w:cs="Calibri"/>
                <w:sz w:val="16"/>
                <w:szCs w:val="16"/>
              </w:rPr>
            </w:pPr>
            <w:r w:rsidRPr="00FD657F">
              <w:rPr>
                <w:rFonts w:ascii="Calibri" w:hAnsi="Calibri" w:cs="Calibri"/>
                <w:sz w:val="16"/>
                <w:szCs w:val="16"/>
              </w:rPr>
              <w:t>PN-EN 196-21:1997</w:t>
            </w:r>
          </w:p>
        </w:tc>
        <w:tc>
          <w:tcPr>
            <w:tcW w:w="7371" w:type="dxa"/>
          </w:tcPr>
          <w:p w14:paraId="136EA71D" w14:textId="77777777" w:rsidR="00E00D25" w:rsidRPr="00FD657F" w:rsidRDefault="00E00D25" w:rsidP="007679E0">
            <w:pPr>
              <w:tabs>
                <w:tab w:val="left" w:pos="9914"/>
              </w:tabs>
              <w:rPr>
                <w:rFonts w:ascii="Calibri" w:hAnsi="Calibri" w:cs="Calibri"/>
                <w:sz w:val="16"/>
                <w:szCs w:val="16"/>
              </w:rPr>
            </w:pPr>
            <w:r w:rsidRPr="00FD657F">
              <w:rPr>
                <w:rFonts w:ascii="Calibri" w:hAnsi="Calibri" w:cs="Calibri"/>
                <w:sz w:val="16"/>
                <w:szCs w:val="16"/>
              </w:rPr>
              <w:t>Metody badania cementu – Oznaczanie zawartości chlorków, dwutlenku węgla i alkaliów w cemencie</w:t>
            </w:r>
          </w:p>
        </w:tc>
      </w:tr>
      <w:tr w:rsidR="00E00D25" w:rsidRPr="00FD657F" w14:paraId="6700AA6A" w14:textId="77777777" w:rsidTr="007679E0">
        <w:tc>
          <w:tcPr>
            <w:tcW w:w="534" w:type="dxa"/>
          </w:tcPr>
          <w:p w14:paraId="033B8AE3" w14:textId="77777777" w:rsidR="00E00D25" w:rsidRPr="00FD657F" w:rsidRDefault="00E00D25" w:rsidP="007679E0">
            <w:pPr>
              <w:tabs>
                <w:tab w:val="left" w:pos="9914"/>
              </w:tabs>
              <w:rPr>
                <w:rFonts w:ascii="Calibri" w:hAnsi="Calibri" w:cs="Calibri"/>
                <w:sz w:val="16"/>
                <w:szCs w:val="16"/>
              </w:rPr>
            </w:pPr>
            <w:r w:rsidRPr="00FD657F">
              <w:rPr>
                <w:rFonts w:ascii="Calibri" w:hAnsi="Calibri" w:cs="Calibri"/>
                <w:sz w:val="16"/>
                <w:szCs w:val="16"/>
              </w:rPr>
              <w:t>3.</w:t>
            </w:r>
          </w:p>
        </w:tc>
        <w:tc>
          <w:tcPr>
            <w:tcW w:w="1842" w:type="dxa"/>
          </w:tcPr>
          <w:p w14:paraId="1E4BE2A2" w14:textId="77777777" w:rsidR="00E00D25" w:rsidRPr="00FD657F" w:rsidRDefault="00E00D25" w:rsidP="007679E0">
            <w:pPr>
              <w:tabs>
                <w:tab w:val="left" w:pos="9914"/>
              </w:tabs>
              <w:rPr>
                <w:rFonts w:ascii="Calibri" w:hAnsi="Calibri" w:cs="Calibri"/>
                <w:sz w:val="16"/>
                <w:szCs w:val="16"/>
              </w:rPr>
            </w:pPr>
            <w:r w:rsidRPr="00FD657F">
              <w:rPr>
                <w:rFonts w:ascii="Calibri" w:hAnsi="Calibri" w:cs="Calibri"/>
                <w:sz w:val="16"/>
                <w:szCs w:val="16"/>
              </w:rPr>
              <w:t>PN-EN 459-2:2003</w:t>
            </w:r>
          </w:p>
        </w:tc>
        <w:tc>
          <w:tcPr>
            <w:tcW w:w="7371" w:type="dxa"/>
          </w:tcPr>
          <w:p w14:paraId="60423539" w14:textId="77777777" w:rsidR="00E00D25" w:rsidRPr="00FD657F" w:rsidRDefault="00E00D25" w:rsidP="007679E0">
            <w:pPr>
              <w:tabs>
                <w:tab w:val="left" w:pos="9914"/>
              </w:tabs>
              <w:rPr>
                <w:rFonts w:ascii="Calibri" w:hAnsi="Calibri" w:cs="Calibri"/>
                <w:sz w:val="16"/>
                <w:szCs w:val="16"/>
              </w:rPr>
            </w:pPr>
            <w:r w:rsidRPr="00FD657F">
              <w:rPr>
                <w:rFonts w:ascii="Calibri" w:hAnsi="Calibri" w:cs="Calibri"/>
                <w:sz w:val="16"/>
                <w:szCs w:val="16"/>
              </w:rPr>
              <w:t>Wapno budowlane – Część 2: Metody badań</w:t>
            </w:r>
          </w:p>
        </w:tc>
      </w:tr>
      <w:tr w:rsidR="00E00D25" w:rsidRPr="00FD657F" w14:paraId="40CD790E" w14:textId="77777777" w:rsidTr="007679E0">
        <w:tc>
          <w:tcPr>
            <w:tcW w:w="534" w:type="dxa"/>
          </w:tcPr>
          <w:p w14:paraId="1F969521" w14:textId="77777777" w:rsidR="00E00D25" w:rsidRPr="00FD657F" w:rsidRDefault="00E00D25" w:rsidP="007679E0">
            <w:pPr>
              <w:tabs>
                <w:tab w:val="left" w:pos="9914"/>
              </w:tabs>
              <w:rPr>
                <w:rFonts w:ascii="Calibri" w:hAnsi="Calibri" w:cs="Calibri"/>
                <w:sz w:val="16"/>
                <w:szCs w:val="16"/>
              </w:rPr>
            </w:pPr>
            <w:r w:rsidRPr="00FD657F">
              <w:rPr>
                <w:rFonts w:ascii="Calibri" w:hAnsi="Calibri" w:cs="Calibri"/>
                <w:sz w:val="16"/>
                <w:szCs w:val="16"/>
              </w:rPr>
              <w:t>4.</w:t>
            </w:r>
          </w:p>
        </w:tc>
        <w:tc>
          <w:tcPr>
            <w:tcW w:w="1842" w:type="dxa"/>
          </w:tcPr>
          <w:p w14:paraId="6EE3C6B0" w14:textId="77777777" w:rsidR="00E00D25" w:rsidRPr="00FD657F" w:rsidRDefault="00E00D25" w:rsidP="007679E0">
            <w:pPr>
              <w:tabs>
                <w:tab w:val="left" w:pos="9914"/>
              </w:tabs>
              <w:rPr>
                <w:rFonts w:ascii="Calibri" w:hAnsi="Calibri" w:cs="Calibri"/>
                <w:sz w:val="16"/>
                <w:szCs w:val="16"/>
              </w:rPr>
            </w:pPr>
            <w:r w:rsidRPr="00FD657F">
              <w:rPr>
                <w:rFonts w:ascii="Calibri" w:hAnsi="Calibri" w:cs="Calibri"/>
                <w:sz w:val="16"/>
                <w:szCs w:val="16"/>
              </w:rPr>
              <w:t>PN-EN 932-3:1999</w:t>
            </w:r>
          </w:p>
        </w:tc>
        <w:tc>
          <w:tcPr>
            <w:tcW w:w="7371" w:type="dxa"/>
          </w:tcPr>
          <w:p w14:paraId="334A3484" w14:textId="77777777" w:rsidR="00E00D25" w:rsidRPr="00FD657F" w:rsidRDefault="00E00D25" w:rsidP="007679E0">
            <w:pPr>
              <w:tabs>
                <w:tab w:val="left" w:pos="9914"/>
              </w:tabs>
              <w:rPr>
                <w:rFonts w:ascii="Calibri" w:hAnsi="Calibri" w:cs="Calibri"/>
                <w:sz w:val="16"/>
                <w:szCs w:val="16"/>
              </w:rPr>
            </w:pPr>
            <w:r w:rsidRPr="00FD657F">
              <w:rPr>
                <w:rFonts w:ascii="Calibri" w:hAnsi="Calibri" w:cs="Calibri"/>
                <w:sz w:val="16"/>
                <w:szCs w:val="16"/>
              </w:rPr>
              <w:t>Badania podstawowych właściwości kruszyw – Procedura i terminologia uproszczonego opisu petrograficznego</w:t>
            </w:r>
          </w:p>
        </w:tc>
      </w:tr>
      <w:tr w:rsidR="00E00D25" w:rsidRPr="00FD657F" w14:paraId="790431B3" w14:textId="77777777" w:rsidTr="007679E0">
        <w:tc>
          <w:tcPr>
            <w:tcW w:w="534" w:type="dxa"/>
          </w:tcPr>
          <w:p w14:paraId="25A9E468" w14:textId="77777777" w:rsidR="00E00D25" w:rsidRPr="00FD657F" w:rsidRDefault="00E00D25" w:rsidP="007679E0">
            <w:pPr>
              <w:tabs>
                <w:tab w:val="left" w:pos="9914"/>
              </w:tabs>
              <w:rPr>
                <w:rFonts w:ascii="Calibri" w:hAnsi="Calibri" w:cs="Calibri"/>
                <w:sz w:val="16"/>
                <w:szCs w:val="16"/>
              </w:rPr>
            </w:pPr>
            <w:r w:rsidRPr="00FD657F">
              <w:rPr>
                <w:rFonts w:ascii="Calibri" w:hAnsi="Calibri" w:cs="Calibri"/>
                <w:sz w:val="16"/>
                <w:szCs w:val="16"/>
              </w:rPr>
              <w:t>5.</w:t>
            </w:r>
          </w:p>
        </w:tc>
        <w:tc>
          <w:tcPr>
            <w:tcW w:w="1842" w:type="dxa"/>
          </w:tcPr>
          <w:p w14:paraId="01AC26DA" w14:textId="77777777" w:rsidR="00E00D25" w:rsidRPr="00FD657F" w:rsidRDefault="00E00D25" w:rsidP="007679E0">
            <w:pPr>
              <w:tabs>
                <w:tab w:val="left" w:pos="9914"/>
              </w:tabs>
              <w:rPr>
                <w:rFonts w:ascii="Calibri" w:hAnsi="Calibri" w:cs="Calibri"/>
                <w:sz w:val="16"/>
                <w:szCs w:val="16"/>
              </w:rPr>
            </w:pPr>
            <w:r w:rsidRPr="00FD657F">
              <w:rPr>
                <w:rFonts w:ascii="Calibri" w:hAnsi="Calibri" w:cs="Calibri"/>
                <w:sz w:val="16"/>
                <w:szCs w:val="16"/>
              </w:rPr>
              <w:t>PN-EN 933-1:2000</w:t>
            </w:r>
          </w:p>
        </w:tc>
        <w:tc>
          <w:tcPr>
            <w:tcW w:w="7371" w:type="dxa"/>
          </w:tcPr>
          <w:p w14:paraId="445B2E18" w14:textId="77777777" w:rsidR="00E00D25" w:rsidRPr="00FD657F" w:rsidRDefault="00E00D25" w:rsidP="007679E0">
            <w:pPr>
              <w:tabs>
                <w:tab w:val="left" w:pos="9914"/>
              </w:tabs>
              <w:rPr>
                <w:rFonts w:ascii="Calibri" w:hAnsi="Calibri" w:cs="Calibri"/>
                <w:sz w:val="16"/>
                <w:szCs w:val="16"/>
              </w:rPr>
            </w:pPr>
            <w:r w:rsidRPr="00FD657F">
              <w:rPr>
                <w:rFonts w:ascii="Calibri" w:hAnsi="Calibri" w:cs="Calibri"/>
                <w:sz w:val="16"/>
                <w:szCs w:val="16"/>
              </w:rPr>
              <w:t>Badania geometrycznych właściwości kruszyw – Oznaczanie składu ziarnowego – Metoda przesiewania</w:t>
            </w:r>
          </w:p>
        </w:tc>
      </w:tr>
      <w:tr w:rsidR="00E00D25" w:rsidRPr="00FD657F" w14:paraId="65DC2F99" w14:textId="77777777" w:rsidTr="007679E0">
        <w:tc>
          <w:tcPr>
            <w:tcW w:w="534" w:type="dxa"/>
          </w:tcPr>
          <w:p w14:paraId="30F38ED9" w14:textId="77777777" w:rsidR="00E00D25" w:rsidRPr="00FD657F" w:rsidRDefault="00E00D25" w:rsidP="007679E0">
            <w:pPr>
              <w:tabs>
                <w:tab w:val="left" w:pos="9914"/>
              </w:tabs>
              <w:rPr>
                <w:rFonts w:ascii="Calibri" w:hAnsi="Calibri" w:cs="Calibri"/>
                <w:sz w:val="16"/>
                <w:szCs w:val="16"/>
              </w:rPr>
            </w:pPr>
            <w:r w:rsidRPr="00FD657F">
              <w:rPr>
                <w:rFonts w:ascii="Calibri" w:hAnsi="Calibri" w:cs="Calibri"/>
                <w:sz w:val="16"/>
                <w:szCs w:val="16"/>
              </w:rPr>
              <w:t>6.</w:t>
            </w:r>
          </w:p>
        </w:tc>
        <w:tc>
          <w:tcPr>
            <w:tcW w:w="1842" w:type="dxa"/>
          </w:tcPr>
          <w:p w14:paraId="0ABBE730" w14:textId="77777777" w:rsidR="00E00D25" w:rsidRPr="00FD657F" w:rsidRDefault="00E00D25" w:rsidP="007679E0">
            <w:pPr>
              <w:tabs>
                <w:tab w:val="left" w:pos="9914"/>
              </w:tabs>
              <w:rPr>
                <w:rFonts w:ascii="Calibri" w:hAnsi="Calibri" w:cs="Calibri"/>
                <w:sz w:val="16"/>
                <w:szCs w:val="16"/>
              </w:rPr>
            </w:pPr>
            <w:r w:rsidRPr="00FD657F">
              <w:rPr>
                <w:rFonts w:ascii="Calibri" w:hAnsi="Calibri" w:cs="Calibri"/>
                <w:sz w:val="16"/>
                <w:szCs w:val="16"/>
              </w:rPr>
              <w:t>PN-EN 933-3:1999</w:t>
            </w:r>
          </w:p>
        </w:tc>
        <w:tc>
          <w:tcPr>
            <w:tcW w:w="7371" w:type="dxa"/>
          </w:tcPr>
          <w:p w14:paraId="65A0D36F" w14:textId="77777777" w:rsidR="00E00D25" w:rsidRPr="00FD657F" w:rsidRDefault="00E00D25" w:rsidP="007679E0">
            <w:pPr>
              <w:tabs>
                <w:tab w:val="left" w:pos="9914"/>
              </w:tabs>
              <w:rPr>
                <w:rFonts w:ascii="Calibri" w:hAnsi="Calibri" w:cs="Calibri"/>
                <w:sz w:val="16"/>
                <w:szCs w:val="16"/>
              </w:rPr>
            </w:pPr>
            <w:r w:rsidRPr="00FD657F">
              <w:rPr>
                <w:rFonts w:ascii="Calibri" w:hAnsi="Calibri" w:cs="Calibri"/>
                <w:sz w:val="16"/>
                <w:szCs w:val="16"/>
              </w:rPr>
              <w:t>Badania geometrycznych właściwości kruszyw – Oznaczanie kształtu ziaren za pomocą wskaźnika płaskości</w:t>
            </w:r>
          </w:p>
        </w:tc>
      </w:tr>
      <w:tr w:rsidR="00E00D25" w:rsidRPr="00FD657F" w14:paraId="11BE913E" w14:textId="77777777" w:rsidTr="007679E0">
        <w:tc>
          <w:tcPr>
            <w:tcW w:w="534" w:type="dxa"/>
          </w:tcPr>
          <w:p w14:paraId="4B1AFE76" w14:textId="77777777" w:rsidR="00E00D25" w:rsidRPr="00FD657F" w:rsidRDefault="00E00D25" w:rsidP="007679E0">
            <w:pPr>
              <w:tabs>
                <w:tab w:val="left" w:pos="9914"/>
              </w:tabs>
              <w:rPr>
                <w:rFonts w:ascii="Calibri" w:hAnsi="Calibri" w:cs="Calibri"/>
                <w:sz w:val="16"/>
                <w:szCs w:val="16"/>
              </w:rPr>
            </w:pPr>
            <w:r w:rsidRPr="00FD657F">
              <w:rPr>
                <w:rFonts w:ascii="Calibri" w:hAnsi="Calibri" w:cs="Calibri"/>
                <w:sz w:val="16"/>
                <w:szCs w:val="16"/>
              </w:rPr>
              <w:t>7.</w:t>
            </w:r>
          </w:p>
        </w:tc>
        <w:tc>
          <w:tcPr>
            <w:tcW w:w="1842" w:type="dxa"/>
          </w:tcPr>
          <w:p w14:paraId="65A0D4B3" w14:textId="77777777" w:rsidR="00E00D25" w:rsidRPr="00FD657F" w:rsidRDefault="00E00D25" w:rsidP="007679E0">
            <w:pPr>
              <w:tabs>
                <w:tab w:val="left" w:pos="9914"/>
              </w:tabs>
              <w:rPr>
                <w:rFonts w:ascii="Calibri" w:hAnsi="Calibri" w:cs="Calibri"/>
                <w:sz w:val="16"/>
                <w:szCs w:val="16"/>
              </w:rPr>
            </w:pPr>
            <w:r w:rsidRPr="00FD657F">
              <w:rPr>
                <w:rFonts w:ascii="Calibri" w:hAnsi="Calibri" w:cs="Calibri"/>
                <w:sz w:val="16"/>
                <w:szCs w:val="16"/>
              </w:rPr>
              <w:t>PN-EN 933-4:2008</w:t>
            </w:r>
          </w:p>
        </w:tc>
        <w:tc>
          <w:tcPr>
            <w:tcW w:w="7371" w:type="dxa"/>
          </w:tcPr>
          <w:p w14:paraId="660CBD14" w14:textId="77777777" w:rsidR="00E00D25" w:rsidRPr="00FD657F" w:rsidRDefault="00E00D25" w:rsidP="007679E0">
            <w:pPr>
              <w:tabs>
                <w:tab w:val="left" w:pos="9914"/>
              </w:tabs>
              <w:rPr>
                <w:rFonts w:ascii="Calibri" w:hAnsi="Calibri" w:cs="Calibri"/>
                <w:sz w:val="16"/>
                <w:szCs w:val="16"/>
              </w:rPr>
            </w:pPr>
            <w:r w:rsidRPr="00FD657F">
              <w:rPr>
                <w:rFonts w:ascii="Calibri" w:hAnsi="Calibri" w:cs="Calibri"/>
                <w:sz w:val="16"/>
                <w:szCs w:val="16"/>
              </w:rPr>
              <w:t>Badania geometrycznych właściwości kruszyw – Część 4: Oznaczanie kształtu ziaren – Wskaźnik kształtu</w:t>
            </w:r>
          </w:p>
        </w:tc>
      </w:tr>
      <w:tr w:rsidR="00E00D25" w:rsidRPr="00FD657F" w14:paraId="56FF5447" w14:textId="77777777" w:rsidTr="007679E0">
        <w:tc>
          <w:tcPr>
            <w:tcW w:w="534" w:type="dxa"/>
          </w:tcPr>
          <w:p w14:paraId="56D6BD5B" w14:textId="77777777" w:rsidR="00E00D25" w:rsidRPr="00FD657F" w:rsidRDefault="00E00D25" w:rsidP="007679E0">
            <w:pPr>
              <w:tabs>
                <w:tab w:val="left" w:pos="9914"/>
              </w:tabs>
              <w:rPr>
                <w:rFonts w:ascii="Calibri" w:hAnsi="Calibri" w:cs="Calibri"/>
                <w:sz w:val="16"/>
                <w:szCs w:val="16"/>
              </w:rPr>
            </w:pPr>
            <w:r w:rsidRPr="00FD657F">
              <w:rPr>
                <w:rFonts w:ascii="Calibri" w:hAnsi="Calibri" w:cs="Calibri"/>
                <w:sz w:val="16"/>
                <w:szCs w:val="16"/>
              </w:rPr>
              <w:t>8.</w:t>
            </w:r>
          </w:p>
        </w:tc>
        <w:tc>
          <w:tcPr>
            <w:tcW w:w="1842" w:type="dxa"/>
          </w:tcPr>
          <w:p w14:paraId="072B30FE" w14:textId="77777777" w:rsidR="00E00D25" w:rsidRPr="00FD657F" w:rsidRDefault="00E00D25" w:rsidP="007679E0">
            <w:pPr>
              <w:tabs>
                <w:tab w:val="left" w:pos="9914"/>
              </w:tabs>
              <w:rPr>
                <w:rFonts w:ascii="Calibri" w:hAnsi="Calibri" w:cs="Calibri"/>
                <w:sz w:val="16"/>
                <w:szCs w:val="16"/>
              </w:rPr>
            </w:pPr>
            <w:r w:rsidRPr="00FD657F">
              <w:rPr>
                <w:rFonts w:ascii="Calibri" w:hAnsi="Calibri" w:cs="Calibri"/>
                <w:sz w:val="16"/>
                <w:szCs w:val="16"/>
              </w:rPr>
              <w:t>PN-EN 933-5:2000</w:t>
            </w:r>
          </w:p>
        </w:tc>
        <w:tc>
          <w:tcPr>
            <w:tcW w:w="7371" w:type="dxa"/>
          </w:tcPr>
          <w:p w14:paraId="1F032717" w14:textId="77777777" w:rsidR="00E00D25" w:rsidRPr="00FD657F" w:rsidRDefault="00E00D25" w:rsidP="007679E0">
            <w:pPr>
              <w:tabs>
                <w:tab w:val="left" w:pos="9914"/>
              </w:tabs>
              <w:rPr>
                <w:rFonts w:ascii="Calibri" w:hAnsi="Calibri" w:cs="Calibri"/>
                <w:sz w:val="16"/>
                <w:szCs w:val="16"/>
              </w:rPr>
            </w:pPr>
            <w:r w:rsidRPr="00FD657F">
              <w:rPr>
                <w:rFonts w:ascii="Calibri" w:hAnsi="Calibri" w:cs="Calibri"/>
                <w:sz w:val="16"/>
                <w:szCs w:val="16"/>
              </w:rPr>
              <w:t>Badania geometrycznych właściwości kruszyw – Oznaczanie procentowej zawartości ziaren o powierzchniach powstałych w wyniku przekruszenia lub łamania kruszyw grubych</w:t>
            </w:r>
          </w:p>
        </w:tc>
      </w:tr>
      <w:tr w:rsidR="00E00D25" w:rsidRPr="00FD657F" w14:paraId="0E51B2B8" w14:textId="77777777" w:rsidTr="007679E0">
        <w:tc>
          <w:tcPr>
            <w:tcW w:w="534" w:type="dxa"/>
          </w:tcPr>
          <w:p w14:paraId="1C51071B" w14:textId="77777777" w:rsidR="00E00D25" w:rsidRPr="00FD657F" w:rsidRDefault="00E00D25" w:rsidP="007679E0">
            <w:pPr>
              <w:tabs>
                <w:tab w:val="left" w:pos="9914"/>
              </w:tabs>
              <w:rPr>
                <w:rFonts w:ascii="Calibri" w:hAnsi="Calibri" w:cs="Calibri"/>
                <w:sz w:val="16"/>
                <w:szCs w:val="16"/>
              </w:rPr>
            </w:pPr>
            <w:r w:rsidRPr="00FD657F">
              <w:rPr>
                <w:rFonts w:ascii="Calibri" w:hAnsi="Calibri" w:cs="Calibri"/>
                <w:sz w:val="16"/>
                <w:szCs w:val="16"/>
              </w:rPr>
              <w:t>9.</w:t>
            </w:r>
          </w:p>
        </w:tc>
        <w:tc>
          <w:tcPr>
            <w:tcW w:w="1842" w:type="dxa"/>
          </w:tcPr>
          <w:p w14:paraId="6B8A4C15" w14:textId="77777777" w:rsidR="00E00D25" w:rsidRPr="00FD657F" w:rsidRDefault="00E00D25" w:rsidP="007679E0">
            <w:pPr>
              <w:tabs>
                <w:tab w:val="left" w:pos="9914"/>
              </w:tabs>
              <w:rPr>
                <w:rFonts w:ascii="Calibri" w:hAnsi="Calibri" w:cs="Calibri"/>
                <w:sz w:val="16"/>
                <w:szCs w:val="16"/>
              </w:rPr>
            </w:pPr>
            <w:r w:rsidRPr="00FD657F">
              <w:rPr>
                <w:rFonts w:ascii="Calibri" w:hAnsi="Calibri" w:cs="Calibri"/>
                <w:sz w:val="16"/>
                <w:szCs w:val="16"/>
              </w:rPr>
              <w:t>PN-EN 933-6:2002</w:t>
            </w:r>
          </w:p>
        </w:tc>
        <w:tc>
          <w:tcPr>
            <w:tcW w:w="7371" w:type="dxa"/>
          </w:tcPr>
          <w:p w14:paraId="3395A117" w14:textId="77777777" w:rsidR="00E00D25" w:rsidRPr="00FD657F" w:rsidRDefault="00E00D25" w:rsidP="007679E0">
            <w:pPr>
              <w:tabs>
                <w:tab w:val="left" w:pos="9914"/>
              </w:tabs>
              <w:rPr>
                <w:rFonts w:ascii="Calibri" w:hAnsi="Calibri" w:cs="Calibri"/>
                <w:sz w:val="16"/>
                <w:szCs w:val="16"/>
              </w:rPr>
            </w:pPr>
            <w:r w:rsidRPr="00FD657F">
              <w:rPr>
                <w:rFonts w:ascii="Calibri" w:hAnsi="Calibri" w:cs="Calibri"/>
                <w:sz w:val="16"/>
                <w:szCs w:val="16"/>
              </w:rPr>
              <w:t>Badania geometrycznych właściwości kruszyw – Część 6: Ocena właściwości powierzchni – Wskaźnik przepływu kruszywa</w:t>
            </w:r>
          </w:p>
        </w:tc>
      </w:tr>
      <w:tr w:rsidR="00E00D25" w:rsidRPr="00FD657F" w14:paraId="63D32BB0" w14:textId="77777777" w:rsidTr="007679E0">
        <w:tc>
          <w:tcPr>
            <w:tcW w:w="534" w:type="dxa"/>
          </w:tcPr>
          <w:p w14:paraId="6F41FBA2" w14:textId="77777777" w:rsidR="00E00D25" w:rsidRPr="00FD657F" w:rsidRDefault="00E00D25" w:rsidP="007679E0">
            <w:pPr>
              <w:tabs>
                <w:tab w:val="left" w:pos="9914"/>
              </w:tabs>
              <w:rPr>
                <w:rFonts w:ascii="Calibri" w:hAnsi="Calibri" w:cs="Calibri"/>
                <w:sz w:val="16"/>
                <w:szCs w:val="16"/>
              </w:rPr>
            </w:pPr>
            <w:r w:rsidRPr="00FD657F">
              <w:rPr>
                <w:rFonts w:ascii="Calibri" w:hAnsi="Calibri" w:cs="Calibri"/>
                <w:sz w:val="16"/>
                <w:szCs w:val="16"/>
              </w:rPr>
              <w:t>10.</w:t>
            </w:r>
          </w:p>
        </w:tc>
        <w:tc>
          <w:tcPr>
            <w:tcW w:w="1842" w:type="dxa"/>
          </w:tcPr>
          <w:p w14:paraId="515F57EF" w14:textId="77777777" w:rsidR="00E00D25" w:rsidRPr="00FD657F" w:rsidRDefault="00E00D25" w:rsidP="007679E0">
            <w:pPr>
              <w:tabs>
                <w:tab w:val="left" w:pos="9914"/>
              </w:tabs>
              <w:rPr>
                <w:rFonts w:ascii="Calibri" w:hAnsi="Calibri" w:cs="Calibri"/>
                <w:sz w:val="16"/>
                <w:szCs w:val="16"/>
              </w:rPr>
            </w:pPr>
            <w:r w:rsidRPr="00FD657F">
              <w:rPr>
                <w:rFonts w:ascii="Calibri" w:hAnsi="Calibri" w:cs="Calibri"/>
                <w:sz w:val="16"/>
                <w:szCs w:val="16"/>
              </w:rPr>
              <w:t>PN-EN 933-9:2009</w:t>
            </w:r>
          </w:p>
        </w:tc>
        <w:tc>
          <w:tcPr>
            <w:tcW w:w="7371" w:type="dxa"/>
          </w:tcPr>
          <w:p w14:paraId="51BD3CD2" w14:textId="77777777" w:rsidR="00E00D25" w:rsidRPr="00FD657F" w:rsidRDefault="00E00D25" w:rsidP="007679E0">
            <w:pPr>
              <w:tabs>
                <w:tab w:val="left" w:pos="9914"/>
              </w:tabs>
              <w:rPr>
                <w:rFonts w:ascii="Calibri" w:hAnsi="Calibri" w:cs="Calibri"/>
                <w:sz w:val="16"/>
                <w:szCs w:val="16"/>
              </w:rPr>
            </w:pPr>
            <w:r w:rsidRPr="00FD657F">
              <w:rPr>
                <w:rFonts w:ascii="Calibri" w:hAnsi="Calibri" w:cs="Calibri"/>
                <w:sz w:val="16"/>
                <w:szCs w:val="16"/>
              </w:rPr>
              <w:t>Badania geometrycznych właściwości kruszyw – Ocena zawartości drobnych cząstek – Badania błękitem metylenowym</w:t>
            </w:r>
          </w:p>
        </w:tc>
      </w:tr>
      <w:tr w:rsidR="00E00D25" w:rsidRPr="00FD657F" w14:paraId="2D27746E" w14:textId="77777777" w:rsidTr="007679E0">
        <w:tc>
          <w:tcPr>
            <w:tcW w:w="534" w:type="dxa"/>
          </w:tcPr>
          <w:p w14:paraId="373FF241" w14:textId="77777777" w:rsidR="00E00D25" w:rsidRPr="00FD657F" w:rsidRDefault="00E00D25" w:rsidP="007679E0">
            <w:pPr>
              <w:tabs>
                <w:tab w:val="left" w:pos="9914"/>
              </w:tabs>
              <w:rPr>
                <w:rFonts w:ascii="Calibri" w:hAnsi="Calibri" w:cs="Calibri"/>
                <w:sz w:val="16"/>
                <w:szCs w:val="16"/>
              </w:rPr>
            </w:pPr>
            <w:r w:rsidRPr="00FD657F">
              <w:rPr>
                <w:rFonts w:ascii="Calibri" w:hAnsi="Calibri" w:cs="Calibri"/>
                <w:sz w:val="16"/>
                <w:szCs w:val="16"/>
              </w:rPr>
              <w:t>11.</w:t>
            </w:r>
          </w:p>
        </w:tc>
        <w:tc>
          <w:tcPr>
            <w:tcW w:w="1842" w:type="dxa"/>
          </w:tcPr>
          <w:p w14:paraId="2B3D6FFF" w14:textId="77777777" w:rsidR="00E00D25" w:rsidRPr="00FD657F" w:rsidRDefault="00E00D25" w:rsidP="007679E0">
            <w:pPr>
              <w:tabs>
                <w:tab w:val="left" w:pos="9914"/>
              </w:tabs>
              <w:rPr>
                <w:rFonts w:ascii="Calibri" w:hAnsi="Calibri" w:cs="Calibri"/>
                <w:sz w:val="16"/>
                <w:szCs w:val="16"/>
              </w:rPr>
            </w:pPr>
            <w:r w:rsidRPr="00FD657F">
              <w:rPr>
                <w:rFonts w:ascii="Calibri" w:hAnsi="Calibri" w:cs="Calibri"/>
                <w:sz w:val="16"/>
                <w:szCs w:val="16"/>
              </w:rPr>
              <w:t>PN-EN 933-10:2009</w:t>
            </w:r>
          </w:p>
        </w:tc>
        <w:tc>
          <w:tcPr>
            <w:tcW w:w="7371" w:type="dxa"/>
          </w:tcPr>
          <w:p w14:paraId="6EFE4EF1" w14:textId="77777777" w:rsidR="00E00D25" w:rsidRPr="00FD657F" w:rsidRDefault="00E00D25" w:rsidP="007679E0">
            <w:pPr>
              <w:tabs>
                <w:tab w:val="left" w:pos="9914"/>
              </w:tabs>
              <w:rPr>
                <w:rFonts w:ascii="Calibri" w:hAnsi="Calibri" w:cs="Calibri"/>
                <w:sz w:val="16"/>
                <w:szCs w:val="16"/>
              </w:rPr>
            </w:pPr>
            <w:r w:rsidRPr="00FD657F">
              <w:rPr>
                <w:rFonts w:ascii="Calibri" w:hAnsi="Calibri" w:cs="Calibri"/>
                <w:sz w:val="16"/>
                <w:szCs w:val="16"/>
              </w:rPr>
              <w:t>Badania geometrycznych właściwości kruszyw – Część 10: Ocena zawartości drobnych cząstek – Uziarnienie wypełniaczy (przesiewanie w strumieniu powietrza)</w:t>
            </w:r>
          </w:p>
        </w:tc>
      </w:tr>
      <w:tr w:rsidR="00E00D25" w:rsidRPr="00FD657F" w14:paraId="096408AA" w14:textId="77777777" w:rsidTr="007679E0">
        <w:tc>
          <w:tcPr>
            <w:tcW w:w="534" w:type="dxa"/>
          </w:tcPr>
          <w:p w14:paraId="5DAA639F" w14:textId="77777777" w:rsidR="00E00D25" w:rsidRPr="00FD657F" w:rsidRDefault="00E00D25" w:rsidP="007679E0">
            <w:pPr>
              <w:tabs>
                <w:tab w:val="left" w:pos="9914"/>
              </w:tabs>
              <w:rPr>
                <w:rFonts w:ascii="Calibri" w:hAnsi="Calibri" w:cs="Calibri"/>
                <w:sz w:val="16"/>
                <w:szCs w:val="16"/>
              </w:rPr>
            </w:pPr>
            <w:r w:rsidRPr="00FD657F">
              <w:rPr>
                <w:rFonts w:ascii="Calibri" w:hAnsi="Calibri" w:cs="Calibri"/>
                <w:sz w:val="16"/>
                <w:szCs w:val="16"/>
              </w:rPr>
              <w:t>12.</w:t>
            </w:r>
          </w:p>
        </w:tc>
        <w:tc>
          <w:tcPr>
            <w:tcW w:w="1842" w:type="dxa"/>
          </w:tcPr>
          <w:p w14:paraId="6CBCA56C" w14:textId="77777777" w:rsidR="00E00D25" w:rsidRPr="00FD657F" w:rsidRDefault="00E00D25" w:rsidP="007679E0">
            <w:pPr>
              <w:tabs>
                <w:tab w:val="left" w:pos="9914"/>
              </w:tabs>
              <w:rPr>
                <w:rFonts w:ascii="Calibri" w:hAnsi="Calibri" w:cs="Calibri"/>
                <w:sz w:val="16"/>
                <w:szCs w:val="16"/>
              </w:rPr>
            </w:pPr>
            <w:r w:rsidRPr="00FD657F">
              <w:rPr>
                <w:rFonts w:ascii="Calibri" w:hAnsi="Calibri" w:cs="Calibri"/>
                <w:sz w:val="16"/>
                <w:szCs w:val="16"/>
              </w:rPr>
              <w:t>PN-EN 1097-2:2010</w:t>
            </w:r>
          </w:p>
        </w:tc>
        <w:tc>
          <w:tcPr>
            <w:tcW w:w="7371" w:type="dxa"/>
          </w:tcPr>
          <w:p w14:paraId="1C231832" w14:textId="77777777" w:rsidR="00E00D25" w:rsidRPr="00FD657F" w:rsidRDefault="00E00D25" w:rsidP="007679E0">
            <w:pPr>
              <w:tabs>
                <w:tab w:val="left" w:pos="9914"/>
              </w:tabs>
              <w:rPr>
                <w:rFonts w:ascii="Calibri" w:hAnsi="Calibri" w:cs="Calibri"/>
                <w:sz w:val="16"/>
                <w:szCs w:val="16"/>
              </w:rPr>
            </w:pPr>
            <w:r w:rsidRPr="00FD657F">
              <w:rPr>
                <w:rFonts w:ascii="Calibri" w:hAnsi="Calibri" w:cs="Calibri"/>
                <w:sz w:val="16"/>
                <w:szCs w:val="16"/>
              </w:rPr>
              <w:t>Badania mechanicznych i fizycznych właściwości kruszyw – Metody oznaczania odporności na rozdrabnianie</w:t>
            </w:r>
          </w:p>
        </w:tc>
      </w:tr>
      <w:tr w:rsidR="00E00D25" w:rsidRPr="00FD657F" w14:paraId="1C83545B" w14:textId="77777777" w:rsidTr="007679E0">
        <w:tc>
          <w:tcPr>
            <w:tcW w:w="534" w:type="dxa"/>
          </w:tcPr>
          <w:p w14:paraId="5DAD14B5" w14:textId="77777777" w:rsidR="00E00D25" w:rsidRPr="00FD657F" w:rsidRDefault="00E00D25" w:rsidP="007679E0">
            <w:pPr>
              <w:tabs>
                <w:tab w:val="left" w:pos="9914"/>
              </w:tabs>
              <w:rPr>
                <w:rFonts w:ascii="Calibri" w:hAnsi="Calibri" w:cs="Calibri"/>
                <w:sz w:val="16"/>
                <w:szCs w:val="16"/>
              </w:rPr>
            </w:pPr>
            <w:r w:rsidRPr="00FD657F">
              <w:rPr>
                <w:rFonts w:ascii="Calibri" w:hAnsi="Calibri" w:cs="Calibri"/>
                <w:sz w:val="16"/>
                <w:szCs w:val="16"/>
              </w:rPr>
              <w:t>13.</w:t>
            </w:r>
          </w:p>
        </w:tc>
        <w:tc>
          <w:tcPr>
            <w:tcW w:w="1842" w:type="dxa"/>
          </w:tcPr>
          <w:p w14:paraId="54005160" w14:textId="77777777" w:rsidR="00E00D25" w:rsidRPr="00FD657F" w:rsidRDefault="00E00D25" w:rsidP="007679E0">
            <w:pPr>
              <w:tabs>
                <w:tab w:val="left" w:pos="9914"/>
              </w:tabs>
              <w:rPr>
                <w:rFonts w:ascii="Calibri" w:hAnsi="Calibri" w:cs="Calibri"/>
                <w:sz w:val="16"/>
                <w:szCs w:val="16"/>
              </w:rPr>
            </w:pPr>
            <w:r w:rsidRPr="00FD657F">
              <w:rPr>
                <w:rFonts w:ascii="Calibri" w:hAnsi="Calibri" w:cs="Calibri"/>
                <w:sz w:val="16"/>
                <w:szCs w:val="16"/>
              </w:rPr>
              <w:t>PN-EN 1097-3:2000</w:t>
            </w:r>
          </w:p>
        </w:tc>
        <w:tc>
          <w:tcPr>
            <w:tcW w:w="7371" w:type="dxa"/>
          </w:tcPr>
          <w:p w14:paraId="2B3E9FC0" w14:textId="77777777" w:rsidR="00E00D25" w:rsidRPr="00FD657F" w:rsidRDefault="00E00D25" w:rsidP="007679E0">
            <w:pPr>
              <w:tabs>
                <w:tab w:val="left" w:pos="9914"/>
              </w:tabs>
              <w:rPr>
                <w:rFonts w:ascii="Calibri" w:hAnsi="Calibri" w:cs="Calibri"/>
                <w:sz w:val="16"/>
                <w:szCs w:val="16"/>
              </w:rPr>
            </w:pPr>
            <w:r w:rsidRPr="00FD657F">
              <w:rPr>
                <w:rFonts w:ascii="Calibri" w:hAnsi="Calibri" w:cs="Calibri"/>
                <w:sz w:val="16"/>
                <w:szCs w:val="16"/>
              </w:rPr>
              <w:t>Badania mechanicznych i fizycznych właściwości kruszyw – Oznaczanie gęstości nasypowej i jamistości</w:t>
            </w:r>
          </w:p>
        </w:tc>
      </w:tr>
      <w:tr w:rsidR="00E00D25" w:rsidRPr="00FD657F" w14:paraId="1F4594BD" w14:textId="77777777" w:rsidTr="007679E0">
        <w:tc>
          <w:tcPr>
            <w:tcW w:w="534" w:type="dxa"/>
          </w:tcPr>
          <w:p w14:paraId="7547E519" w14:textId="77777777" w:rsidR="00E00D25" w:rsidRPr="00FD657F" w:rsidRDefault="00E00D25" w:rsidP="007679E0">
            <w:pPr>
              <w:tabs>
                <w:tab w:val="left" w:pos="9914"/>
              </w:tabs>
              <w:rPr>
                <w:rFonts w:ascii="Calibri" w:hAnsi="Calibri" w:cs="Calibri"/>
                <w:sz w:val="16"/>
                <w:szCs w:val="16"/>
              </w:rPr>
            </w:pPr>
            <w:r w:rsidRPr="00FD657F">
              <w:rPr>
                <w:rFonts w:ascii="Calibri" w:hAnsi="Calibri" w:cs="Calibri"/>
                <w:sz w:val="16"/>
                <w:szCs w:val="16"/>
              </w:rPr>
              <w:t>14.</w:t>
            </w:r>
          </w:p>
        </w:tc>
        <w:tc>
          <w:tcPr>
            <w:tcW w:w="1842" w:type="dxa"/>
          </w:tcPr>
          <w:p w14:paraId="622CD934" w14:textId="77777777" w:rsidR="00E00D25" w:rsidRPr="00FD657F" w:rsidRDefault="00E00D25" w:rsidP="007679E0">
            <w:pPr>
              <w:tabs>
                <w:tab w:val="left" w:pos="9914"/>
              </w:tabs>
              <w:rPr>
                <w:rFonts w:ascii="Calibri" w:hAnsi="Calibri" w:cs="Calibri"/>
                <w:sz w:val="16"/>
                <w:szCs w:val="16"/>
              </w:rPr>
            </w:pPr>
            <w:r w:rsidRPr="00FD657F">
              <w:rPr>
                <w:rFonts w:ascii="Calibri" w:hAnsi="Calibri" w:cs="Calibri"/>
                <w:sz w:val="16"/>
                <w:szCs w:val="16"/>
              </w:rPr>
              <w:t>PN-EN 1097-4:2008</w:t>
            </w:r>
          </w:p>
        </w:tc>
        <w:tc>
          <w:tcPr>
            <w:tcW w:w="7371" w:type="dxa"/>
          </w:tcPr>
          <w:p w14:paraId="6D959A19" w14:textId="77777777" w:rsidR="00E00D25" w:rsidRPr="00FD657F" w:rsidRDefault="00E00D25" w:rsidP="007679E0">
            <w:pPr>
              <w:tabs>
                <w:tab w:val="left" w:pos="9914"/>
              </w:tabs>
              <w:rPr>
                <w:rFonts w:ascii="Calibri" w:hAnsi="Calibri" w:cs="Calibri"/>
                <w:sz w:val="16"/>
                <w:szCs w:val="16"/>
              </w:rPr>
            </w:pPr>
            <w:r w:rsidRPr="00FD657F">
              <w:rPr>
                <w:rFonts w:ascii="Calibri" w:hAnsi="Calibri" w:cs="Calibri"/>
                <w:sz w:val="16"/>
                <w:szCs w:val="16"/>
              </w:rPr>
              <w:t>Badania mechanicznych i fizycznych właściwości kruszyw – Część 4: Oznaczanie pustych przestrzeni suchego, zagęszczonego wypełniacza</w:t>
            </w:r>
          </w:p>
        </w:tc>
      </w:tr>
      <w:tr w:rsidR="00E00D25" w:rsidRPr="00FD657F" w14:paraId="01668331" w14:textId="77777777" w:rsidTr="007679E0">
        <w:tc>
          <w:tcPr>
            <w:tcW w:w="534" w:type="dxa"/>
          </w:tcPr>
          <w:p w14:paraId="4B67E09D" w14:textId="77777777" w:rsidR="00E00D25" w:rsidRPr="00FD657F" w:rsidRDefault="00E00D25" w:rsidP="007679E0">
            <w:pPr>
              <w:tabs>
                <w:tab w:val="left" w:pos="9914"/>
              </w:tabs>
              <w:rPr>
                <w:rFonts w:ascii="Calibri" w:hAnsi="Calibri" w:cs="Calibri"/>
                <w:sz w:val="16"/>
                <w:szCs w:val="16"/>
              </w:rPr>
            </w:pPr>
            <w:r w:rsidRPr="00FD657F">
              <w:rPr>
                <w:rFonts w:ascii="Calibri" w:hAnsi="Calibri" w:cs="Calibri"/>
                <w:sz w:val="16"/>
                <w:szCs w:val="16"/>
              </w:rPr>
              <w:t>15.</w:t>
            </w:r>
          </w:p>
        </w:tc>
        <w:tc>
          <w:tcPr>
            <w:tcW w:w="1842" w:type="dxa"/>
          </w:tcPr>
          <w:p w14:paraId="6B20CB96" w14:textId="77777777" w:rsidR="00E00D25" w:rsidRPr="00FD657F" w:rsidRDefault="00E00D25" w:rsidP="007679E0">
            <w:pPr>
              <w:tabs>
                <w:tab w:val="left" w:pos="9914"/>
              </w:tabs>
              <w:rPr>
                <w:rFonts w:ascii="Calibri" w:hAnsi="Calibri" w:cs="Calibri"/>
                <w:sz w:val="16"/>
                <w:szCs w:val="16"/>
              </w:rPr>
            </w:pPr>
            <w:r w:rsidRPr="00FD657F">
              <w:rPr>
                <w:rFonts w:ascii="Calibri" w:hAnsi="Calibri" w:cs="Calibri"/>
                <w:sz w:val="16"/>
                <w:szCs w:val="16"/>
              </w:rPr>
              <w:t>PN-EN 1097-5:2008</w:t>
            </w:r>
          </w:p>
        </w:tc>
        <w:tc>
          <w:tcPr>
            <w:tcW w:w="7371" w:type="dxa"/>
          </w:tcPr>
          <w:p w14:paraId="642F308D" w14:textId="77777777" w:rsidR="00E00D25" w:rsidRPr="00FD657F" w:rsidRDefault="00E00D25" w:rsidP="007679E0">
            <w:pPr>
              <w:tabs>
                <w:tab w:val="left" w:pos="9914"/>
              </w:tabs>
              <w:rPr>
                <w:rFonts w:ascii="Calibri" w:hAnsi="Calibri" w:cs="Calibri"/>
                <w:sz w:val="16"/>
                <w:szCs w:val="16"/>
              </w:rPr>
            </w:pPr>
            <w:r w:rsidRPr="00FD657F">
              <w:rPr>
                <w:rFonts w:ascii="Calibri" w:hAnsi="Calibri" w:cs="Calibri"/>
                <w:sz w:val="16"/>
                <w:szCs w:val="16"/>
              </w:rPr>
              <w:t>Badania mechanicznych i fizycznych właściwości kruszyw – Część 5: Oznaczanie zawartości wody przez suszenie w suszarce z wentylacją</w:t>
            </w:r>
          </w:p>
        </w:tc>
      </w:tr>
      <w:tr w:rsidR="00E00D25" w:rsidRPr="00FD657F" w14:paraId="3C0BD7DE" w14:textId="77777777" w:rsidTr="007679E0">
        <w:tc>
          <w:tcPr>
            <w:tcW w:w="534" w:type="dxa"/>
          </w:tcPr>
          <w:p w14:paraId="54C3ACD7" w14:textId="77777777" w:rsidR="00E00D25" w:rsidRPr="00FD657F" w:rsidRDefault="00E00D25" w:rsidP="007679E0">
            <w:pPr>
              <w:tabs>
                <w:tab w:val="left" w:pos="9914"/>
              </w:tabs>
              <w:rPr>
                <w:rFonts w:ascii="Calibri" w:hAnsi="Calibri" w:cs="Calibri"/>
                <w:sz w:val="16"/>
                <w:szCs w:val="16"/>
              </w:rPr>
            </w:pPr>
            <w:r w:rsidRPr="00FD657F">
              <w:rPr>
                <w:rFonts w:ascii="Calibri" w:hAnsi="Calibri" w:cs="Calibri"/>
                <w:sz w:val="16"/>
                <w:szCs w:val="16"/>
              </w:rPr>
              <w:t>16.</w:t>
            </w:r>
          </w:p>
        </w:tc>
        <w:tc>
          <w:tcPr>
            <w:tcW w:w="1842" w:type="dxa"/>
          </w:tcPr>
          <w:p w14:paraId="71CA9D3A" w14:textId="77777777" w:rsidR="00E00D25" w:rsidRPr="00FD657F" w:rsidRDefault="00E00D25" w:rsidP="007679E0">
            <w:pPr>
              <w:tabs>
                <w:tab w:val="left" w:pos="9914"/>
              </w:tabs>
              <w:rPr>
                <w:rFonts w:ascii="Calibri" w:hAnsi="Calibri" w:cs="Calibri"/>
                <w:sz w:val="16"/>
                <w:szCs w:val="16"/>
              </w:rPr>
            </w:pPr>
            <w:r w:rsidRPr="00FD657F">
              <w:rPr>
                <w:rFonts w:ascii="Calibri" w:hAnsi="Calibri" w:cs="Calibri"/>
                <w:sz w:val="16"/>
                <w:szCs w:val="16"/>
              </w:rPr>
              <w:t>PN-EN 1097-6:2002</w:t>
            </w:r>
          </w:p>
        </w:tc>
        <w:tc>
          <w:tcPr>
            <w:tcW w:w="7371" w:type="dxa"/>
          </w:tcPr>
          <w:p w14:paraId="04FEBFAC" w14:textId="77777777" w:rsidR="00E00D25" w:rsidRPr="00FD657F" w:rsidRDefault="00E00D25" w:rsidP="007679E0">
            <w:pPr>
              <w:tabs>
                <w:tab w:val="left" w:pos="9914"/>
              </w:tabs>
              <w:rPr>
                <w:rFonts w:ascii="Calibri" w:hAnsi="Calibri" w:cs="Calibri"/>
                <w:sz w:val="16"/>
                <w:szCs w:val="16"/>
              </w:rPr>
            </w:pPr>
            <w:r w:rsidRPr="00FD657F">
              <w:rPr>
                <w:rFonts w:ascii="Calibri" w:hAnsi="Calibri" w:cs="Calibri"/>
                <w:sz w:val="16"/>
                <w:szCs w:val="16"/>
              </w:rPr>
              <w:t>Badania mechanicznych i fizycznych właściwości kruszyw –Część 6: Oznaczanie gęstości ziaren i nasiąkliwości</w:t>
            </w:r>
          </w:p>
        </w:tc>
      </w:tr>
      <w:tr w:rsidR="00E00D25" w:rsidRPr="00FD657F" w14:paraId="52F17871" w14:textId="77777777" w:rsidTr="007679E0">
        <w:tc>
          <w:tcPr>
            <w:tcW w:w="534" w:type="dxa"/>
          </w:tcPr>
          <w:p w14:paraId="2D6523D6" w14:textId="77777777" w:rsidR="00E00D25" w:rsidRPr="00FD657F" w:rsidRDefault="00E00D25" w:rsidP="007679E0">
            <w:pPr>
              <w:tabs>
                <w:tab w:val="left" w:pos="9914"/>
              </w:tabs>
              <w:rPr>
                <w:rFonts w:ascii="Calibri" w:hAnsi="Calibri" w:cs="Calibri"/>
                <w:sz w:val="16"/>
                <w:szCs w:val="16"/>
              </w:rPr>
            </w:pPr>
            <w:r w:rsidRPr="00FD657F">
              <w:rPr>
                <w:rFonts w:ascii="Calibri" w:hAnsi="Calibri" w:cs="Calibri"/>
                <w:sz w:val="16"/>
                <w:szCs w:val="16"/>
              </w:rPr>
              <w:t>17.</w:t>
            </w:r>
          </w:p>
        </w:tc>
        <w:tc>
          <w:tcPr>
            <w:tcW w:w="1842" w:type="dxa"/>
          </w:tcPr>
          <w:p w14:paraId="1C1C8776" w14:textId="77777777" w:rsidR="00E00D25" w:rsidRPr="00FD657F" w:rsidRDefault="00E00D25" w:rsidP="007679E0">
            <w:pPr>
              <w:tabs>
                <w:tab w:val="left" w:pos="9914"/>
              </w:tabs>
              <w:rPr>
                <w:rFonts w:ascii="Calibri" w:hAnsi="Calibri" w:cs="Calibri"/>
                <w:sz w:val="16"/>
                <w:szCs w:val="16"/>
              </w:rPr>
            </w:pPr>
            <w:r w:rsidRPr="00FD657F">
              <w:rPr>
                <w:rFonts w:ascii="Calibri" w:hAnsi="Calibri" w:cs="Calibri"/>
                <w:sz w:val="16"/>
                <w:szCs w:val="16"/>
              </w:rPr>
              <w:t>PN-EN 1097-7:2008</w:t>
            </w:r>
          </w:p>
        </w:tc>
        <w:tc>
          <w:tcPr>
            <w:tcW w:w="7371" w:type="dxa"/>
          </w:tcPr>
          <w:p w14:paraId="0D856E9F" w14:textId="77777777" w:rsidR="00E00D25" w:rsidRPr="00FD657F" w:rsidRDefault="00E00D25" w:rsidP="007679E0">
            <w:pPr>
              <w:tabs>
                <w:tab w:val="left" w:pos="9914"/>
              </w:tabs>
              <w:rPr>
                <w:rFonts w:ascii="Calibri" w:hAnsi="Calibri" w:cs="Calibri"/>
                <w:sz w:val="16"/>
                <w:szCs w:val="16"/>
              </w:rPr>
            </w:pPr>
            <w:r w:rsidRPr="00FD657F">
              <w:rPr>
                <w:rFonts w:ascii="Calibri" w:hAnsi="Calibri" w:cs="Calibri"/>
                <w:sz w:val="16"/>
                <w:szCs w:val="16"/>
              </w:rPr>
              <w:t>Badania mechanicznych i fizycznych właściwości kruszyw – Część 7: Oznaczanie gęstości wypełniacza – Metoda piknometryczna</w:t>
            </w:r>
          </w:p>
        </w:tc>
      </w:tr>
      <w:tr w:rsidR="00E00D25" w:rsidRPr="00FD657F" w14:paraId="56C940E2" w14:textId="77777777" w:rsidTr="007679E0">
        <w:tc>
          <w:tcPr>
            <w:tcW w:w="534" w:type="dxa"/>
          </w:tcPr>
          <w:p w14:paraId="14A6671D" w14:textId="77777777" w:rsidR="00E00D25" w:rsidRPr="00FD657F" w:rsidRDefault="00E00D25" w:rsidP="007679E0">
            <w:pPr>
              <w:tabs>
                <w:tab w:val="left" w:pos="9914"/>
              </w:tabs>
              <w:rPr>
                <w:rFonts w:ascii="Calibri" w:hAnsi="Calibri" w:cs="Calibri"/>
                <w:sz w:val="16"/>
                <w:szCs w:val="16"/>
              </w:rPr>
            </w:pPr>
            <w:r w:rsidRPr="00FD657F">
              <w:rPr>
                <w:rFonts w:ascii="Calibri" w:hAnsi="Calibri" w:cs="Calibri"/>
                <w:sz w:val="16"/>
                <w:szCs w:val="16"/>
              </w:rPr>
              <w:t>18.</w:t>
            </w:r>
          </w:p>
        </w:tc>
        <w:tc>
          <w:tcPr>
            <w:tcW w:w="1842" w:type="dxa"/>
          </w:tcPr>
          <w:p w14:paraId="4ECE71C4" w14:textId="77777777" w:rsidR="00E00D25" w:rsidRPr="00FD657F" w:rsidRDefault="00E00D25" w:rsidP="007679E0">
            <w:pPr>
              <w:tabs>
                <w:tab w:val="left" w:pos="9914"/>
              </w:tabs>
              <w:rPr>
                <w:rFonts w:ascii="Calibri" w:hAnsi="Calibri" w:cs="Calibri"/>
                <w:sz w:val="16"/>
                <w:szCs w:val="16"/>
              </w:rPr>
            </w:pPr>
            <w:r w:rsidRPr="00FD657F">
              <w:rPr>
                <w:rFonts w:ascii="Calibri" w:hAnsi="Calibri" w:cs="Calibri"/>
                <w:sz w:val="16"/>
                <w:szCs w:val="16"/>
              </w:rPr>
              <w:t>PN-EN 1097-8:2009</w:t>
            </w:r>
          </w:p>
        </w:tc>
        <w:tc>
          <w:tcPr>
            <w:tcW w:w="7371" w:type="dxa"/>
          </w:tcPr>
          <w:p w14:paraId="60EF48D0" w14:textId="77777777" w:rsidR="00E00D25" w:rsidRPr="00FD657F" w:rsidRDefault="00E00D25" w:rsidP="007679E0">
            <w:pPr>
              <w:tabs>
                <w:tab w:val="left" w:pos="9914"/>
              </w:tabs>
              <w:rPr>
                <w:rFonts w:ascii="Calibri" w:hAnsi="Calibri" w:cs="Calibri"/>
                <w:sz w:val="16"/>
                <w:szCs w:val="16"/>
              </w:rPr>
            </w:pPr>
            <w:r w:rsidRPr="00FD657F">
              <w:rPr>
                <w:rFonts w:ascii="Calibri" w:hAnsi="Calibri" w:cs="Calibri"/>
                <w:sz w:val="16"/>
                <w:szCs w:val="16"/>
              </w:rPr>
              <w:t>Badania mechanicznych i fizycznych właściwości kruszyw – Część 8: Oznaczanie polerowalności kamienia</w:t>
            </w:r>
          </w:p>
        </w:tc>
      </w:tr>
      <w:tr w:rsidR="00E00D25" w:rsidRPr="00FD657F" w14:paraId="2F91A3BB" w14:textId="77777777" w:rsidTr="007679E0">
        <w:tc>
          <w:tcPr>
            <w:tcW w:w="534" w:type="dxa"/>
          </w:tcPr>
          <w:p w14:paraId="01CAF878" w14:textId="77777777" w:rsidR="00E00D25" w:rsidRPr="00FD657F" w:rsidRDefault="00E00D25" w:rsidP="007679E0">
            <w:pPr>
              <w:tabs>
                <w:tab w:val="left" w:pos="9914"/>
              </w:tabs>
              <w:rPr>
                <w:rFonts w:ascii="Calibri" w:hAnsi="Calibri" w:cs="Calibri"/>
                <w:sz w:val="16"/>
                <w:szCs w:val="16"/>
              </w:rPr>
            </w:pPr>
            <w:r w:rsidRPr="00FD657F">
              <w:rPr>
                <w:rFonts w:ascii="Calibri" w:hAnsi="Calibri" w:cs="Calibri"/>
                <w:sz w:val="16"/>
                <w:szCs w:val="16"/>
              </w:rPr>
              <w:t>19.</w:t>
            </w:r>
          </w:p>
        </w:tc>
        <w:tc>
          <w:tcPr>
            <w:tcW w:w="1842" w:type="dxa"/>
          </w:tcPr>
          <w:p w14:paraId="62AAC951" w14:textId="77777777" w:rsidR="00E00D25" w:rsidRPr="00FD657F" w:rsidRDefault="00E00D25" w:rsidP="007679E0">
            <w:pPr>
              <w:tabs>
                <w:tab w:val="left" w:pos="9914"/>
              </w:tabs>
              <w:rPr>
                <w:rFonts w:ascii="Calibri" w:hAnsi="Calibri" w:cs="Calibri"/>
                <w:sz w:val="16"/>
                <w:szCs w:val="16"/>
              </w:rPr>
            </w:pPr>
            <w:r w:rsidRPr="00FD657F">
              <w:rPr>
                <w:rFonts w:ascii="Calibri" w:hAnsi="Calibri" w:cs="Calibri"/>
                <w:sz w:val="16"/>
                <w:szCs w:val="16"/>
              </w:rPr>
              <w:t>PN-EN 1367-1:2007</w:t>
            </w:r>
          </w:p>
        </w:tc>
        <w:tc>
          <w:tcPr>
            <w:tcW w:w="7371" w:type="dxa"/>
          </w:tcPr>
          <w:p w14:paraId="4CFA0B55" w14:textId="77777777" w:rsidR="00E00D25" w:rsidRPr="00FD657F" w:rsidRDefault="00E00D25" w:rsidP="007679E0">
            <w:pPr>
              <w:tabs>
                <w:tab w:val="left" w:pos="9914"/>
              </w:tabs>
              <w:rPr>
                <w:rFonts w:ascii="Calibri" w:hAnsi="Calibri" w:cs="Calibri"/>
                <w:sz w:val="16"/>
                <w:szCs w:val="16"/>
              </w:rPr>
            </w:pPr>
            <w:r w:rsidRPr="00FD657F">
              <w:rPr>
                <w:rFonts w:ascii="Calibri" w:hAnsi="Calibri" w:cs="Calibri"/>
                <w:sz w:val="16"/>
                <w:szCs w:val="16"/>
              </w:rPr>
              <w:t>Badania właściwości cieplnych i odporności kruszyw na działanie czynników atmosferycznych – Część 1: Oznaczanie mrozoodporności</w:t>
            </w:r>
          </w:p>
        </w:tc>
      </w:tr>
      <w:tr w:rsidR="00E00D25" w:rsidRPr="00FD657F" w14:paraId="33E9EF6B" w14:textId="77777777" w:rsidTr="007679E0">
        <w:tc>
          <w:tcPr>
            <w:tcW w:w="534" w:type="dxa"/>
          </w:tcPr>
          <w:p w14:paraId="01430D56" w14:textId="77777777" w:rsidR="00E00D25" w:rsidRPr="00FD657F" w:rsidRDefault="00E00D25" w:rsidP="007679E0">
            <w:pPr>
              <w:tabs>
                <w:tab w:val="left" w:pos="9914"/>
              </w:tabs>
              <w:rPr>
                <w:rFonts w:ascii="Calibri" w:hAnsi="Calibri" w:cs="Calibri"/>
                <w:sz w:val="16"/>
                <w:szCs w:val="16"/>
              </w:rPr>
            </w:pPr>
            <w:r w:rsidRPr="00FD657F">
              <w:rPr>
                <w:rFonts w:ascii="Calibri" w:hAnsi="Calibri" w:cs="Calibri"/>
                <w:sz w:val="16"/>
                <w:szCs w:val="16"/>
              </w:rPr>
              <w:t>20.</w:t>
            </w:r>
          </w:p>
        </w:tc>
        <w:tc>
          <w:tcPr>
            <w:tcW w:w="1842" w:type="dxa"/>
          </w:tcPr>
          <w:p w14:paraId="04634BE7" w14:textId="77777777" w:rsidR="00E00D25" w:rsidRPr="00FD657F" w:rsidRDefault="00E00D25" w:rsidP="007679E0">
            <w:pPr>
              <w:tabs>
                <w:tab w:val="left" w:pos="9914"/>
              </w:tabs>
              <w:rPr>
                <w:rFonts w:ascii="Calibri" w:hAnsi="Calibri" w:cs="Calibri"/>
                <w:sz w:val="16"/>
                <w:szCs w:val="16"/>
              </w:rPr>
            </w:pPr>
            <w:r w:rsidRPr="00FD657F">
              <w:rPr>
                <w:rFonts w:ascii="Calibri" w:hAnsi="Calibri" w:cs="Calibri"/>
                <w:sz w:val="16"/>
                <w:szCs w:val="16"/>
              </w:rPr>
              <w:t>PN-EN 1367-3:2002</w:t>
            </w:r>
          </w:p>
        </w:tc>
        <w:tc>
          <w:tcPr>
            <w:tcW w:w="7371" w:type="dxa"/>
          </w:tcPr>
          <w:p w14:paraId="70637E1C" w14:textId="77777777" w:rsidR="00E00D25" w:rsidRPr="00FD657F" w:rsidRDefault="00E00D25" w:rsidP="007679E0">
            <w:pPr>
              <w:tabs>
                <w:tab w:val="left" w:pos="9914"/>
              </w:tabs>
              <w:rPr>
                <w:rFonts w:ascii="Calibri" w:hAnsi="Calibri" w:cs="Calibri"/>
                <w:sz w:val="16"/>
                <w:szCs w:val="16"/>
              </w:rPr>
            </w:pPr>
            <w:r w:rsidRPr="00FD657F">
              <w:rPr>
                <w:rFonts w:ascii="Calibri" w:hAnsi="Calibri" w:cs="Calibri"/>
                <w:sz w:val="16"/>
                <w:szCs w:val="16"/>
              </w:rPr>
              <w:t>Badania właściwości cieplnych i odporności kruszyw na działanie czynników atmosferycznych – Część 3: Badanie bazaltowej zgorzeli słonecznej metodą gotowania</w:t>
            </w:r>
          </w:p>
        </w:tc>
      </w:tr>
      <w:tr w:rsidR="00E00D25" w:rsidRPr="00FD657F" w14:paraId="21CFF815" w14:textId="77777777" w:rsidTr="007679E0">
        <w:tc>
          <w:tcPr>
            <w:tcW w:w="534" w:type="dxa"/>
          </w:tcPr>
          <w:p w14:paraId="30929E09" w14:textId="77777777" w:rsidR="00E00D25" w:rsidRPr="00FD657F" w:rsidRDefault="00E00D25" w:rsidP="007679E0">
            <w:pPr>
              <w:tabs>
                <w:tab w:val="left" w:pos="9914"/>
              </w:tabs>
              <w:rPr>
                <w:rFonts w:ascii="Calibri" w:hAnsi="Calibri" w:cs="Calibri"/>
                <w:sz w:val="16"/>
                <w:szCs w:val="16"/>
              </w:rPr>
            </w:pPr>
            <w:r w:rsidRPr="00FD657F">
              <w:rPr>
                <w:rFonts w:ascii="Calibri" w:hAnsi="Calibri" w:cs="Calibri"/>
                <w:sz w:val="16"/>
                <w:szCs w:val="16"/>
              </w:rPr>
              <w:t>21.</w:t>
            </w:r>
          </w:p>
        </w:tc>
        <w:tc>
          <w:tcPr>
            <w:tcW w:w="1842" w:type="dxa"/>
          </w:tcPr>
          <w:p w14:paraId="03C581A9" w14:textId="77777777" w:rsidR="00E00D25" w:rsidRPr="00FD657F" w:rsidRDefault="00E00D25" w:rsidP="007679E0">
            <w:pPr>
              <w:tabs>
                <w:tab w:val="left" w:pos="9914"/>
              </w:tabs>
              <w:rPr>
                <w:rFonts w:ascii="Calibri" w:hAnsi="Calibri" w:cs="Calibri"/>
                <w:sz w:val="16"/>
                <w:szCs w:val="16"/>
              </w:rPr>
            </w:pPr>
            <w:r w:rsidRPr="00FD657F">
              <w:rPr>
                <w:rFonts w:ascii="Calibri" w:hAnsi="Calibri" w:cs="Calibri"/>
                <w:sz w:val="16"/>
                <w:szCs w:val="16"/>
              </w:rPr>
              <w:t>PN-EN 1426:2009</w:t>
            </w:r>
          </w:p>
        </w:tc>
        <w:tc>
          <w:tcPr>
            <w:tcW w:w="7371" w:type="dxa"/>
          </w:tcPr>
          <w:p w14:paraId="4B0BE153" w14:textId="77777777" w:rsidR="00E00D25" w:rsidRPr="00FD657F" w:rsidRDefault="00E00D25" w:rsidP="007679E0">
            <w:pPr>
              <w:tabs>
                <w:tab w:val="left" w:pos="9914"/>
              </w:tabs>
              <w:rPr>
                <w:rFonts w:ascii="Calibri" w:hAnsi="Calibri" w:cs="Calibri"/>
                <w:sz w:val="16"/>
                <w:szCs w:val="16"/>
              </w:rPr>
            </w:pPr>
            <w:r w:rsidRPr="00FD657F">
              <w:rPr>
                <w:rFonts w:ascii="Calibri" w:hAnsi="Calibri" w:cs="Calibri"/>
                <w:sz w:val="16"/>
                <w:szCs w:val="16"/>
              </w:rPr>
              <w:t>Asfalty i produkty asfaltowe – Oznaczanie penetracji igłą</w:t>
            </w:r>
          </w:p>
        </w:tc>
      </w:tr>
      <w:tr w:rsidR="00E00D25" w:rsidRPr="00FD657F" w14:paraId="75B2CBB5" w14:textId="77777777" w:rsidTr="007679E0">
        <w:tc>
          <w:tcPr>
            <w:tcW w:w="534" w:type="dxa"/>
          </w:tcPr>
          <w:p w14:paraId="426D09AE" w14:textId="77777777" w:rsidR="00E00D25" w:rsidRPr="00FD657F" w:rsidRDefault="00E00D25" w:rsidP="007679E0">
            <w:pPr>
              <w:tabs>
                <w:tab w:val="left" w:pos="9914"/>
              </w:tabs>
              <w:rPr>
                <w:rFonts w:ascii="Calibri" w:hAnsi="Calibri" w:cs="Calibri"/>
                <w:sz w:val="16"/>
                <w:szCs w:val="16"/>
              </w:rPr>
            </w:pPr>
            <w:r w:rsidRPr="00FD657F">
              <w:rPr>
                <w:rFonts w:ascii="Calibri" w:hAnsi="Calibri" w:cs="Calibri"/>
                <w:sz w:val="16"/>
                <w:szCs w:val="16"/>
              </w:rPr>
              <w:t xml:space="preserve">22. </w:t>
            </w:r>
          </w:p>
        </w:tc>
        <w:tc>
          <w:tcPr>
            <w:tcW w:w="1842" w:type="dxa"/>
          </w:tcPr>
          <w:p w14:paraId="6C19400F" w14:textId="77777777" w:rsidR="00E00D25" w:rsidRPr="00FD657F" w:rsidRDefault="00E00D25" w:rsidP="007679E0">
            <w:pPr>
              <w:tabs>
                <w:tab w:val="left" w:pos="9914"/>
              </w:tabs>
              <w:rPr>
                <w:rFonts w:ascii="Calibri" w:hAnsi="Calibri" w:cs="Calibri"/>
                <w:sz w:val="16"/>
                <w:szCs w:val="16"/>
              </w:rPr>
            </w:pPr>
            <w:r w:rsidRPr="00FD657F">
              <w:rPr>
                <w:rFonts w:ascii="Calibri" w:hAnsi="Calibri" w:cs="Calibri"/>
                <w:sz w:val="16"/>
                <w:szCs w:val="16"/>
              </w:rPr>
              <w:t>PN-EN 1427:2009</w:t>
            </w:r>
          </w:p>
        </w:tc>
        <w:tc>
          <w:tcPr>
            <w:tcW w:w="7371" w:type="dxa"/>
          </w:tcPr>
          <w:p w14:paraId="1FBB7636" w14:textId="77777777" w:rsidR="00E00D25" w:rsidRPr="00FD657F" w:rsidRDefault="00E00D25" w:rsidP="007679E0">
            <w:pPr>
              <w:tabs>
                <w:tab w:val="left" w:pos="9914"/>
              </w:tabs>
              <w:rPr>
                <w:rFonts w:ascii="Calibri" w:hAnsi="Calibri" w:cs="Calibri"/>
                <w:sz w:val="16"/>
                <w:szCs w:val="16"/>
              </w:rPr>
            </w:pPr>
            <w:r w:rsidRPr="00FD657F">
              <w:rPr>
                <w:rFonts w:ascii="Calibri" w:hAnsi="Calibri" w:cs="Calibri"/>
                <w:sz w:val="16"/>
                <w:szCs w:val="16"/>
              </w:rPr>
              <w:t>Asfalty i produkty asfaltowe – Oznaczanie temperatury mięknienia – Metoda Pierścień i Kula</w:t>
            </w:r>
          </w:p>
        </w:tc>
      </w:tr>
      <w:tr w:rsidR="00E00D25" w:rsidRPr="00FD657F" w14:paraId="7E7DAFC4" w14:textId="77777777" w:rsidTr="007679E0">
        <w:tc>
          <w:tcPr>
            <w:tcW w:w="534" w:type="dxa"/>
          </w:tcPr>
          <w:p w14:paraId="673DD3A4" w14:textId="77777777" w:rsidR="00E00D25" w:rsidRPr="00FD657F" w:rsidRDefault="00E00D25" w:rsidP="007679E0">
            <w:pPr>
              <w:tabs>
                <w:tab w:val="left" w:pos="9914"/>
              </w:tabs>
              <w:rPr>
                <w:rFonts w:ascii="Calibri" w:hAnsi="Calibri" w:cs="Calibri"/>
                <w:sz w:val="16"/>
                <w:szCs w:val="16"/>
              </w:rPr>
            </w:pPr>
            <w:r w:rsidRPr="00FD657F">
              <w:rPr>
                <w:rFonts w:ascii="Calibri" w:hAnsi="Calibri" w:cs="Calibri"/>
                <w:sz w:val="16"/>
                <w:szCs w:val="16"/>
              </w:rPr>
              <w:t xml:space="preserve">23. </w:t>
            </w:r>
          </w:p>
        </w:tc>
        <w:tc>
          <w:tcPr>
            <w:tcW w:w="1842" w:type="dxa"/>
          </w:tcPr>
          <w:p w14:paraId="49ED2234" w14:textId="77777777" w:rsidR="00E00D25" w:rsidRPr="00FD657F" w:rsidRDefault="00E00D25" w:rsidP="007679E0">
            <w:pPr>
              <w:tabs>
                <w:tab w:val="left" w:pos="9914"/>
              </w:tabs>
              <w:rPr>
                <w:rFonts w:ascii="Calibri" w:hAnsi="Calibri" w:cs="Calibri"/>
                <w:sz w:val="16"/>
                <w:szCs w:val="16"/>
              </w:rPr>
            </w:pPr>
            <w:r w:rsidRPr="00FD657F">
              <w:rPr>
                <w:rFonts w:ascii="Calibri" w:hAnsi="Calibri" w:cs="Calibri"/>
                <w:sz w:val="16"/>
                <w:szCs w:val="16"/>
              </w:rPr>
              <w:t>PN-EN 1428:2009</w:t>
            </w:r>
          </w:p>
        </w:tc>
        <w:tc>
          <w:tcPr>
            <w:tcW w:w="7371" w:type="dxa"/>
          </w:tcPr>
          <w:p w14:paraId="294606C0" w14:textId="77777777" w:rsidR="00E00D25" w:rsidRPr="00FD657F" w:rsidRDefault="00E00D25" w:rsidP="007679E0">
            <w:pPr>
              <w:tabs>
                <w:tab w:val="left" w:pos="9914"/>
              </w:tabs>
              <w:rPr>
                <w:rFonts w:ascii="Calibri" w:hAnsi="Calibri" w:cs="Calibri"/>
                <w:sz w:val="16"/>
                <w:szCs w:val="16"/>
              </w:rPr>
            </w:pPr>
            <w:r w:rsidRPr="00FD657F">
              <w:rPr>
                <w:rFonts w:ascii="Calibri" w:hAnsi="Calibri" w:cs="Calibri"/>
                <w:sz w:val="16"/>
                <w:szCs w:val="16"/>
              </w:rPr>
              <w:t>Asfalty i lepiszcza asfaltowe – Oznaczanie zawartości wody w emulsjach asfaltowych – Metoda destylacji azeotropowej</w:t>
            </w:r>
          </w:p>
        </w:tc>
      </w:tr>
      <w:tr w:rsidR="00E00D25" w:rsidRPr="00FD657F" w14:paraId="5B121343" w14:textId="77777777" w:rsidTr="007679E0">
        <w:tc>
          <w:tcPr>
            <w:tcW w:w="534" w:type="dxa"/>
          </w:tcPr>
          <w:p w14:paraId="36CCDF00" w14:textId="77777777" w:rsidR="00E00D25" w:rsidRPr="00FD657F" w:rsidRDefault="00E00D25" w:rsidP="007679E0">
            <w:pPr>
              <w:tabs>
                <w:tab w:val="left" w:pos="9914"/>
              </w:tabs>
              <w:rPr>
                <w:rFonts w:ascii="Calibri" w:hAnsi="Calibri" w:cs="Calibri"/>
                <w:sz w:val="16"/>
                <w:szCs w:val="16"/>
              </w:rPr>
            </w:pPr>
            <w:r w:rsidRPr="00FD657F">
              <w:rPr>
                <w:rFonts w:ascii="Calibri" w:hAnsi="Calibri" w:cs="Calibri"/>
                <w:sz w:val="16"/>
                <w:szCs w:val="16"/>
              </w:rPr>
              <w:t>24.</w:t>
            </w:r>
          </w:p>
        </w:tc>
        <w:tc>
          <w:tcPr>
            <w:tcW w:w="1842" w:type="dxa"/>
          </w:tcPr>
          <w:p w14:paraId="6C93D2F2" w14:textId="77777777" w:rsidR="00E00D25" w:rsidRPr="00FD657F" w:rsidRDefault="00E00D25" w:rsidP="007679E0">
            <w:pPr>
              <w:tabs>
                <w:tab w:val="left" w:pos="9914"/>
              </w:tabs>
              <w:rPr>
                <w:rFonts w:ascii="Calibri" w:hAnsi="Calibri" w:cs="Calibri"/>
                <w:sz w:val="16"/>
                <w:szCs w:val="16"/>
              </w:rPr>
            </w:pPr>
            <w:r w:rsidRPr="00FD657F">
              <w:rPr>
                <w:rFonts w:ascii="Calibri" w:hAnsi="Calibri" w:cs="Calibri"/>
                <w:sz w:val="16"/>
                <w:szCs w:val="16"/>
              </w:rPr>
              <w:t>PN-EN 1429:2009</w:t>
            </w:r>
          </w:p>
        </w:tc>
        <w:tc>
          <w:tcPr>
            <w:tcW w:w="7371" w:type="dxa"/>
          </w:tcPr>
          <w:p w14:paraId="7E1086D8" w14:textId="77777777" w:rsidR="00E00D25" w:rsidRPr="00FD657F" w:rsidRDefault="00E00D25" w:rsidP="007679E0">
            <w:pPr>
              <w:tabs>
                <w:tab w:val="left" w:pos="9914"/>
              </w:tabs>
              <w:rPr>
                <w:rFonts w:ascii="Calibri" w:hAnsi="Calibri" w:cs="Calibri"/>
                <w:sz w:val="16"/>
                <w:szCs w:val="16"/>
              </w:rPr>
            </w:pPr>
            <w:r w:rsidRPr="00FD657F">
              <w:rPr>
                <w:rFonts w:ascii="Calibri" w:hAnsi="Calibri" w:cs="Calibri"/>
                <w:sz w:val="16"/>
                <w:szCs w:val="16"/>
              </w:rPr>
              <w:t>Asfalty i lepiszcza asfaltowe – Oznaczanie pozostałości na sicie emulsji asfaltowych oraz trwałości podczas magazynowania metodą pozostałości na sicie</w:t>
            </w:r>
          </w:p>
        </w:tc>
      </w:tr>
      <w:tr w:rsidR="00E00D25" w:rsidRPr="00FD657F" w14:paraId="134033CC" w14:textId="77777777" w:rsidTr="007679E0">
        <w:tc>
          <w:tcPr>
            <w:tcW w:w="534" w:type="dxa"/>
          </w:tcPr>
          <w:p w14:paraId="5F79E8D9" w14:textId="77777777" w:rsidR="00E00D25" w:rsidRPr="00FD657F" w:rsidRDefault="00E00D25" w:rsidP="007679E0">
            <w:pPr>
              <w:tabs>
                <w:tab w:val="left" w:pos="9914"/>
              </w:tabs>
              <w:rPr>
                <w:rFonts w:ascii="Calibri" w:hAnsi="Calibri" w:cs="Calibri"/>
                <w:sz w:val="16"/>
                <w:szCs w:val="16"/>
              </w:rPr>
            </w:pPr>
            <w:r w:rsidRPr="00FD657F">
              <w:rPr>
                <w:rFonts w:ascii="Calibri" w:hAnsi="Calibri" w:cs="Calibri"/>
                <w:sz w:val="16"/>
                <w:szCs w:val="16"/>
              </w:rPr>
              <w:t>25.</w:t>
            </w:r>
          </w:p>
        </w:tc>
        <w:tc>
          <w:tcPr>
            <w:tcW w:w="1842" w:type="dxa"/>
          </w:tcPr>
          <w:p w14:paraId="62E6C22B" w14:textId="77777777" w:rsidR="00E00D25" w:rsidRPr="00FD657F" w:rsidRDefault="00E00D25" w:rsidP="007679E0">
            <w:pPr>
              <w:tabs>
                <w:tab w:val="left" w:pos="9914"/>
              </w:tabs>
              <w:rPr>
                <w:rFonts w:ascii="Calibri" w:hAnsi="Calibri" w:cs="Calibri"/>
                <w:sz w:val="16"/>
                <w:szCs w:val="16"/>
              </w:rPr>
            </w:pPr>
            <w:r w:rsidRPr="00FD657F">
              <w:rPr>
                <w:rFonts w:ascii="Calibri" w:hAnsi="Calibri" w:cs="Calibri"/>
                <w:sz w:val="16"/>
                <w:szCs w:val="16"/>
              </w:rPr>
              <w:t>PN-EN 1744-1:2010</w:t>
            </w:r>
          </w:p>
        </w:tc>
        <w:tc>
          <w:tcPr>
            <w:tcW w:w="7371" w:type="dxa"/>
          </w:tcPr>
          <w:p w14:paraId="49B3D6B1" w14:textId="77777777" w:rsidR="00E00D25" w:rsidRPr="00FD657F" w:rsidRDefault="00E00D25" w:rsidP="007679E0">
            <w:pPr>
              <w:tabs>
                <w:tab w:val="left" w:pos="9914"/>
              </w:tabs>
              <w:rPr>
                <w:rFonts w:ascii="Calibri" w:hAnsi="Calibri" w:cs="Calibri"/>
                <w:sz w:val="16"/>
                <w:szCs w:val="16"/>
              </w:rPr>
            </w:pPr>
            <w:r w:rsidRPr="00FD657F">
              <w:rPr>
                <w:rFonts w:ascii="Calibri" w:hAnsi="Calibri" w:cs="Calibri"/>
                <w:sz w:val="16"/>
                <w:szCs w:val="16"/>
              </w:rPr>
              <w:t>Badania chemicznych właściwości kruszyw – Analiza chemiczna</w:t>
            </w:r>
          </w:p>
        </w:tc>
      </w:tr>
      <w:tr w:rsidR="00E00D25" w:rsidRPr="00FD657F" w14:paraId="55E087CD" w14:textId="77777777" w:rsidTr="007679E0">
        <w:tc>
          <w:tcPr>
            <w:tcW w:w="534" w:type="dxa"/>
          </w:tcPr>
          <w:p w14:paraId="210FD761" w14:textId="77777777" w:rsidR="00E00D25" w:rsidRPr="00FD657F" w:rsidRDefault="00E00D25" w:rsidP="007679E0">
            <w:pPr>
              <w:tabs>
                <w:tab w:val="left" w:pos="9914"/>
              </w:tabs>
              <w:rPr>
                <w:rFonts w:ascii="Calibri" w:hAnsi="Calibri" w:cs="Calibri"/>
                <w:sz w:val="16"/>
                <w:szCs w:val="16"/>
              </w:rPr>
            </w:pPr>
            <w:r w:rsidRPr="00FD657F">
              <w:rPr>
                <w:rFonts w:ascii="Calibri" w:hAnsi="Calibri" w:cs="Calibri"/>
                <w:sz w:val="16"/>
                <w:szCs w:val="16"/>
              </w:rPr>
              <w:t>26.</w:t>
            </w:r>
          </w:p>
        </w:tc>
        <w:tc>
          <w:tcPr>
            <w:tcW w:w="1842" w:type="dxa"/>
          </w:tcPr>
          <w:p w14:paraId="77C6558A" w14:textId="77777777" w:rsidR="00E00D25" w:rsidRPr="00FD657F" w:rsidRDefault="00E00D25" w:rsidP="007679E0">
            <w:pPr>
              <w:tabs>
                <w:tab w:val="left" w:pos="9914"/>
              </w:tabs>
              <w:rPr>
                <w:rFonts w:ascii="Calibri" w:hAnsi="Calibri" w:cs="Calibri"/>
                <w:sz w:val="16"/>
                <w:szCs w:val="16"/>
              </w:rPr>
            </w:pPr>
            <w:r w:rsidRPr="00FD657F">
              <w:rPr>
                <w:rFonts w:ascii="Calibri" w:hAnsi="Calibri" w:cs="Calibri"/>
                <w:sz w:val="16"/>
                <w:szCs w:val="16"/>
              </w:rPr>
              <w:t>PN-EN 1744-4:2008</w:t>
            </w:r>
          </w:p>
        </w:tc>
        <w:tc>
          <w:tcPr>
            <w:tcW w:w="7371" w:type="dxa"/>
          </w:tcPr>
          <w:p w14:paraId="0ECC7CE8" w14:textId="77777777" w:rsidR="00E00D25" w:rsidRPr="00FD657F" w:rsidRDefault="00E00D25" w:rsidP="007679E0">
            <w:pPr>
              <w:tabs>
                <w:tab w:val="left" w:pos="9914"/>
              </w:tabs>
              <w:rPr>
                <w:rFonts w:ascii="Calibri" w:hAnsi="Calibri" w:cs="Calibri"/>
                <w:sz w:val="16"/>
                <w:szCs w:val="16"/>
              </w:rPr>
            </w:pPr>
            <w:r w:rsidRPr="00FD657F">
              <w:rPr>
                <w:rFonts w:ascii="Calibri" w:hAnsi="Calibri" w:cs="Calibri"/>
                <w:sz w:val="16"/>
                <w:szCs w:val="16"/>
              </w:rPr>
              <w:t>Badania chemicznych właściwości kruszyw – Część 4: Oznaczanie podatności wypełniaczy do mieszanek mineralno-asfaltowych na działanie wody</w:t>
            </w:r>
          </w:p>
        </w:tc>
      </w:tr>
      <w:tr w:rsidR="00E00D25" w:rsidRPr="00FD657F" w14:paraId="00D05C03" w14:textId="77777777" w:rsidTr="007679E0">
        <w:tc>
          <w:tcPr>
            <w:tcW w:w="534" w:type="dxa"/>
          </w:tcPr>
          <w:p w14:paraId="21C6B42B" w14:textId="77777777" w:rsidR="00E00D25" w:rsidRPr="00FD657F" w:rsidRDefault="00E00D25" w:rsidP="007679E0">
            <w:pPr>
              <w:tabs>
                <w:tab w:val="left" w:pos="9914"/>
              </w:tabs>
              <w:rPr>
                <w:rFonts w:ascii="Calibri" w:hAnsi="Calibri" w:cs="Calibri"/>
                <w:sz w:val="16"/>
                <w:szCs w:val="16"/>
              </w:rPr>
            </w:pPr>
            <w:r w:rsidRPr="00FD657F">
              <w:rPr>
                <w:rFonts w:ascii="Calibri" w:hAnsi="Calibri" w:cs="Calibri"/>
                <w:sz w:val="16"/>
                <w:szCs w:val="16"/>
              </w:rPr>
              <w:t>27.</w:t>
            </w:r>
          </w:p>
        </w:tc>
        <w:tc>
          <w:tcPr>
            <w:tcW w:w="1842" w:type="dxa"/>
          </w:tcPr>
          <w:p w14:paraId="5EFA904A" w14:textId="77777777" w:rsidR="00E00D25" w:rsidRPr="00FD657F" w:rsidRDefault="00E00D25" w:rsidP="007679E0">
            <w:pPr>
              <w:tabs>
                <w:tab w:val="left" w:pos="9914"/>
              </w:tabs>
              <w:rPr>
                <w:rFonts w:ascii="Calibri" w:hAnsi="Calibri" w:cs="Calibri"/>
                <w:sz w:val="16"/>
                <w:szCs w:val="16"/>
              </w:rPr>
            </w:pPr>
            <w:r w:rsidRPr="00FD657F">
              <w:rPr>
                <w:rFonts w:ascii="Calibri" w:hAnsi="Calibri" w:cs="Calibri"/>
                <w:sz w:val="16"/>
                <w:szCs w:val="16"/>
              </w:rPr>
              <w:t>PN-EN 12591:2010</w:t>
            </w:r>
          </w:p>
        </w:tc>
        <w:tc>
          <w:tcPr>
            <w:tcW w:w="7371" w:type="dxa"/>
          </w:tcPr>
          <w:p w14:paraId="4D7E4957" w14:textId="77777777" w:rsidR="00E00D25" w:rsidRPr="00FD657F" w:rsidRDefault="00E00D25" w:rsidP="007679E0">
            <w:pPr>
              <w:tabs>
                <w:tab w:val="left" w:pos="9914"/>
              </w:tabs>
              <w:rPr>
                <w:rFonts w:ascii="Calibri" w:hAnsi="Calibri" w:cs="Calibri"/>
                <w:sz w:val="16"/>
                <w:szCs w:val="16"/>
              </w:rPr>
            </w:pPr>
            <w:r w:rsidRPr="00FD657F">
              <w:rPr>
                <w:rFonts w:ascii="Calibri" w:hAnsi="Calibri" w:cs="Calibri"/>
                <w:sz w:val="16"/>
                <w:szCs w:val="16"/>
              </w:rPr>
              <w:t>Asfalty i produkty asfaltowe – Wymagania dla asfaltów drogowych</w:t>
            </w:r>
          </w:p>
        </w:tc>
      </w:tr>
      <w:tr w:rsidR="00E00D25" w:rsidRPr="00FD657F" w14:paraId="512B96CD" w14:textId="77777777" w:rsidTr="007679E0">
        <w:tc>
          <w:tcPr>
            <w:tcW w:w="534" w:type="dxa"/>
          </w:tcPr>
          <w:p w14:paraId="5466848E" w14:textId="77777777" w:rsidR="00E00D25" w:rsidRPr="00FD657F" w:rsidRDefault="00E00D25" w:rsidP="007679E0">
            <w:pPr>
              <w:tabs>
                <w:tab w:val="left" w:pos="9914"/>
              </w:tabs>
              <w:rPr>
                <w:rFonts w:ascii="Calibri" w:hAnsi="Calibri" w:cs="Calibri"/>
                <w:sz w:val="16"/>
                <w:szCs w:val="16"/>
              </w:rPr>
            </w:pPr>
            <w:r w:rsidRPr="00FD657F">
              <w:rPr>
                <w:rFonts w:ascii="Calibri" w:hAnsi="Calibri" w:cs="Calibri"/>
                <w:sz w:val="16"/>
                <w:szCs w:val="16"/>
              </w:rPr>
              <w:t>28.</w:t>
            </w:r>
          </w:p>
        </w:tc>
        <w:tc>
          <w:tcPr>
            <w:tcW w:w="1842" w:type="dxa"/>
          </w:tcPr>
          <w:p w14:paraId="7BF80E88" w14:textId="77777777" w:rsidR="00E00D25" w:rsidRPr="00FD657F" w:rsidRDefault="00E00D25" w:rsidP="007679E0">
            <w:pPr>
              <w:tabs>
                <w:tab w:val="left" w:pos="9914"/>
              </w:tabs>
              <w:rPr>
                <w:rFonts w:ascii="Calibri" w:hAnsi="Calibri" w:cs="Calibri"/>
                <w:sz w:val="16"/>
                <w:szCs w:val="16"/>
              </w:rPr>
            </w:pPr>
            <w:r w:rsidRPr="00FD657F">
              <w:rPr>
                <w:rFonts w:ascii="Calibri" w:hAnsi="Calibri" w:cs="Calibri"/>
                <w:sz w:val="16"/>
                <w:szCs w:val="16"/>
              </w:rPr>
              <w:t>PN-EN 12592:2009</w:t>
            </w:r>
          </w:p>
        </w:tc>
        <w:tc>
          <w:tcPr>
            <w:tcW w:w="7371" w:type="dxa"/>
          </w:tcPr>
          <w:p w14:paraId="76525FA1" w14:textId="77777777" w:rsidR="00E00D25" w:rsidRPr="00FD657F" w:rsidRDefault="00E00D25" w:rsidP="007679E0">
            <w:pPr>
              <w:tabs>
                <w:tab w:val="left" w:pos="9914"/>
              </w:tabs>
              <w:rPr>
                <w:rFonts w:ascii="Calibri" w:hAnsi="Calibri" w:cs="Calibri"/>
                <w:sz w:val="16"/>
                <w:szCs w:val="16"/>
              </w:rPr>
            </w:pPr>
            <w:r w:rsidRPr="00FD657F">
              <w:rPr>
                <w:rFonts w:ascii="Calibri" w:hAnsi="Calibri" w:cs="Calibri"/>
                <w:sz w:val="16"/>
                <w:szCs w:val="16"/>
              </w:rPr>
              <w:t>Asfalty i produkty asfaltowe – Oznaczanie rozpuszczalności</w:t>
            </w:r>
          </w:p>
        </w:tc>
      </w:tr>
      <w:tr w:rsidR="00E00D25" w:rsidRPr="00FD657F" w14:paraId="69ACC5EF" w14:textId="77777777" w:rsidTr="007679E0">
        <w:tc>
          <w:tcPr>
            <w:tcW w:w="534" w:type="dxa"/>
          </w:tcPr>
          <w:p w14:paraId="1045254B" w14:textId="77777777" w:rsidR="00E00D25" w:rsidRPr="00FD657F" w:rsidRDefault="00E00D25" w:rsidP="007679E0">
            <w:pPr>
              <w:tabs>
                <w:tab w:val="left" w:pos="9914"/>
              </w:tabs>
              <w:rPr>
                <w:rFonts w:ascii="Calibri" w:hAnsi="Calibri" w:cs="Calibri"/>
                <w:sz w:val="16"/>
                <w:szCs w:val="16"/>
              </w:rPr>
            </w:pPr>
            <w:r w:rsidRPr="00FD657F">
              <w:rPr>
                <w:rFonts w:ascii="Calibri" w:hAnsi="Calibri" w:cs="Calibri"/>
                <w:sz w:val="16"/>
                <w:szCs w:val="16"/>
              </w:rPr>
              <w:t>29.</w:t>
            </w:r>
          </w:p>
        </w:tc>
        <w:tc>
          <w:tcPr>
            <w:tcW w:w="1842" w:type="dxa"/>
          </w:tcPr>
          <w:p w14:paraId="47B47A86" w14:textId="77777777" w:rsidR="00E00D25" w:rsidRPr="00FD657F" w:rsidRDefault="00E00D25" w:rsidP="007679E0">
            <w:pPr>
              <w:tabs>
                <w:tab w:val="left" w:pos="9914"/>
              </w:tabs>
              <w:rPr>
                <w:rFonts w:ascii="Calibri" w:hAnsi="Calibri" w:cs="Calibri"/>
                <w:sz w:val="16"/>
                <w:szCs w:val="16"/>
              </w:rPr>
            </w:pPr>
            <w:r w:rsidRPr="00FD657F">
              <w:rPr>
                <w:rFonts w:ascii="Calibri" w:hAnsi="Calibri" w:cs="Calibri"/>
                <w:sz w:val="16"/>
                <w:szCs w:val="16"/>
              </w:rPr>
              <w:t>PN-EN 12593:2009</w:t>
            </w:r>
          </w:p>
        </w:tc>
        <w:tc>
          <w:tcPr>
            <w:tcW w:w="7371" w:type="dxa"/>
          </w:tcPr>
          <w:p w14:paraId="71CD3D12" w14:textId="77777777" w:rsidR="00E00D25" w:rsidRPr="00FD657F" w:rsidRDefault="00E00D25" w:rsidP="007679E0">
            <w:pPr>
              <w:tabs>
                <w:tab w:val="left" w:pos="9914"/>
              </w:tabs>
              <w:rPr>
                <w:rFonts w:ascii="Calibri" w:hAnsi="Calibri" w:cs="Calibri"/>
                <w:sz w:val="16"/>
                <w:szCs w:val="16"/>
              </w:rPr>
            </w:pPr>
            <w:r w:rsidRPr="00FD657F">
              <w:rPr>
                <w:rFonts w:ascii="Calibri" w:hAnsi="Calibri" w:cs="Calibri"/>
                <w:sz w:val="16"/>
                <w:szCs w:val="16"/>
              </w:rPr>
              <w:t>Asfalty i produkty asfaltowe – Oznaczanie temperatury łamliwości Fraassa</w:t>
            </w:r>
          </w:p>
        </w:tc>
      </w:tr>
      <w:tr w:rsidR="00E00D25" w:rsidRPr="00FD657F" w14:paraId="10C85671" w14:textId="77777777" w:rsidTr="007679E0">
        <w:tc>
          <w:tcPr>
            <w:tcW w:w="534" w:type="dxa"/>
          </w:tcPr>
          <w:p w14:paraId="24325F55" w14:textId="77777777" w:rsidR="00E00D25" w:rsidRPr="00FD657F" w:rsidRDefault="00E00D25" w:rsidP="007679E0">
            <w:pPr>
              <w:tabs>
                <w:tab w:val="left" w:pos="9914"/>
              </w:tabs>
              <w:rPr>
                <w:rFonts w:ascii="Calibri" w:hAnsi="Calibri" w:cs="Calibri"/>
                <w:sz w:val="16"/>
                <w:szCs w:val="16"/>
              </w:rPr>
            </w:pPr>
            <w:r w:rsidRPr="00FD657F">
              <w:rPr>
                <w:rFonts w:ascii="Calibri" w:hAnsi="Calibri" w:cs="Calibri"/>
                <w:sz w:val="16"/>
                <w:szCs w:val="16"/>
              </w:rPr>
              <w:t>30.</w:t>
            </w:r>
          </w:p>
        </w:tc>
        <w:tc>
          <w:tcPr>
            <w:tcW w:w="1842" w:type="dxa"/>
          </w:tcPr>
          <w:p w14:paraId="3B7FFCDF" w14:textId="77777777" w:rsidR="00E00D25" w:rsidRPr="00FD657F" w:rsidRDefault="00E00D25" w:rsidP="007679E0">
            <w:pPr>
              <w:tabs>
                <w:tab w:val="left" w:pos="9914"/>
              </w:tabs>
              <w:rPr>
                <w:rFonts w:ascii="Calibri" w:hAnsi="Calibri" w:cs="Calibri"/>
                <w:sz w:val="16"/>
                <w:szCs w:val="16"/>
              </w:rPr>
            </w:pPr>
            <w:r w:rsidRPr="00FD657F">
              <w:rPr>
                <w:rFonts w:ascii="Calibri" w:hAnsi="Calibri" w:cs="Calibri"/>
                <w:sz w:val="16"/>
                <w:szCs w:val="16"/>
              </w:rPr>
              <w:t>PN-EN 12606-1:2009</w:t>
            </w:r>
          </w:p>
        </w:tc>
        <w:tc>
          <w:tcPr>
            <w:tcW w:w="7371" w:type="dxa"/>
          </w:tcPr>
          <w:p w14:paraId="3814CB4F" w14:textId="77777777" w:rsidR="00E00D25" w:rsidRPr="00FD657F" w:rsidRDefault="00E00D25" w:rsidP="007679E0">
            <w:pPr>
              <w:tabs>
                <w:tab w:val="left" w:pos="9914"/>
              </w:tabs>
              <w:rPr>
                <w:rFonts w:ascii="Calibri" w:hAnsi="Calibri" w:cs="Calibri"/>
                <w:sz w:val="16"/>
                <w:szCs w:val="16"/>
              </w:rPr>
            </w:pPr>
            <w:r w:rsidRPr="00FD657F">
              <w:rPr>
                <w:rFonts w:ascii="Calibri" w:hAnsi="Calibri" w:cs="Calibri"/>
                <w:sz w:val="16"/>
                <w:szCs w:val="16"/>
              </w:rPr>
              <w:t>Asfalty i produkty asfaltowe – Oznaczanie zawartości parafiny – Część 1: Metoda destylacyjna</w:t>
            </w:r>
          </w:p>
        </w:tc>
      </w:tr>
      <w:tr w:rsidR="00E00D25" w:rsidRPr="00FD657F" w14:paraId="478E2F18" w14:textId="77777777" w:rsidTr="007679E0">
        <w:tc>
          <w:tcPr>
            <w:tcW w:w="534" w:type="dxa"/>
          </w:tcPr>
          <w:p w14:paraId="70A8DE20" w14:textId="77777777" w:rsidR="00E00D25" w:rsidRPr="00FD657F" w:rsidRDefault="00E00D25" w:rsidP="007679E0">
            <w:pPr>
              <w:tabs>
                <w:tab w:val="left" w:pos="9914"/>
              </w:tabs>
              <w:rPr>
                <w:rFonts w:ascii="Calibri" w:hAnsi="Calibri" w:cs="Calibri"/>
                <w:sz w:val="16"/>
                <w:szCs w:val="16"/>
              </w:rPr>
            </w:pPr>
            <w:r w:rsidRPr="00FD657F">
              <w:rPr>
                <w:rFonts w:ascii="Calibri" w:hAnsi="Calibri" w:cs="Calibri"/>
                <w:sz w:val="16"/>
                <w:szCs w:val="16"/>
              </w:rPr>
              <w:t>31.</w:t>
            </w:r>
          </w:p>
        </w:tc>
        <w:tc>
          <w:tcPr>
            <w:tcW w:w="1842" w:type="dxa"/>
          </w:tcPr>
          <w:p w14:paraId="195E70DB" w14:textId="77777777" w:rsidR="00E00D25" w:rsidRPr="00FD657F" w:rsidRDefault="00E00D25" w:rsidP="007679E0">
            <w:pPr>
              <w:tabs>
                <w:tab w:val="left" w:pos="9914"/>
              </w:tabs>
              <w:rPr>
                <w:rFonts w:ascii="Calibri" w:hAnsi="Calibri" w:cs="Calibri"/>
                <w:sz w:val="16"/>
                <w:szCs w:val="16"/>
              </w:rPr>
            </w:pPr>
            <w:r w:rsidRPr="00FD657F">
              <w:rPr>
                <w:rFonts w:ascii="Calibri" w:hAnsi="Calibri" w:cs="Calibri"/>
                <w:sz w:val="16"/>
                <w:szCs w:val="16"/>
              </w:rPr>
              <w:t>PN-EN 12607-1:2009</w:t>
            </w:r>
          </w:p>
          <w:p w14:paraId="571C4584" w14:textId="77777777" w:rsidR="00E00D25" w:rsidRPr="00FD657F" w:rsidRDefault="00E00D25" w:rsidP="007679E0">
            <w:pPr>
              <w:tabs>
                <w:tab w:val="left" w:pos="9914"/>
              </w:tabs>
              <w:rPr>
                <w:rFonts w:ascii="Calibri" w:hAnsi="Calibri" w:cs="Calibri"/>
                <w:sz w:val="16"/>
                <w:szCs w:val="16"/>
              </w:rPr>
            </w:pPr>
            <w:r w:rsidRPr="00FD657F">
              <w:rPr>
                <w:rFonts w:ascii="Calibri" w:hAnsi="Calibri" w:cs="Calibri"/>
                <w:sz w:val="16"/>
                <w:szCs w:val="16"/>
              </w:rPr>
              <w:t>i</w:t>
            </w:r>
          </w:p>
          <w:p w14:paraId="72A3CF7D" w14:textId="77777777" w:rsidR="00E00D25" w:rsidRPr="00FD657F" w:rsidRDefault="00E00D25" w:rsidP="007679E0">
            <w:pPr>
              <w:tabs>
                <w:tab w:val="left" w:pos="9914"/>
              </w:tabs>
              <w:rPr>
                <w:rFonts w:ascii="Calibri" w:hAnsi="Calibri" w:cs="Calibri"/>
                <w:sz w:val="16"/>
                <w:szCs w:val="16"/>
              </w:rPr>
            </w:pPr>
            <w:r w:rsidRPr="00FD657F">
              <w:rPr>
                <w:rFonts w:ascii="Calibri" w:hAnsi="Calibri" w:cs="Calibri"/>
                <w:sz w:val="16"/>
                <w:szCs w:val="16"/>
              </w:rPr>
              <w:t>PN-EN 12607-3:2010</w:t>
            </w:r>
          </w:p>
        </w:tc>
        <w:tc>
          <w:tcPr>
            <w:tcW w:w="7371" w:type="dxa"/>
          </w:tcPr>
          <w:p w14:paraId="115BD5E4" w14:textId="77777777" w:rsidR="00E00D25" w:rsidRPr="00FD657F" w:rsidRDefault="00E00D25" w:rsidP="007679E0">
            <w:pPr>
              <w:tabs>
                <w:tab w:val="left" w:pos="9914"/>
              </w:tabs>
              <w:rPr>
                <w:rFonts w:ascii="Calibri" w:hAnsi="Calibri" w:cs="Calibri"/>
                <w:sz w:val="16"/>
                <w:szCs w:val="16"/>
              </w:rPr>
            </w:pPr>
            <w:r w:rsidRPr="00FD657F">
              <w:rPr>
                <w:rFonts w:ascii="Calibri" w:hAnsi="Calibri" w:cs="Calibri"/>
                <w:sz w:val="16"/>
                <w:szCs w:val="16"/>
              </w:rPr>
              <w:t>Asfalty i produkty asfaltowe – Oznaczanie odporności na twardnienie pod wpływem ciepła i powietrza – Część 1: Metoda RTFOT</w:t>
            </w:r>
          </w:p>
          <w:p w14:paraId="0B293977" w14:textId="77777777" w:rsidR="00E00D25" w:rsidRPr="00FD657F" w:rsidRDefault="00E00D25" w:rsidP="007679E0">
            <w:pPr>
              <w:tabs>
                <w:tab w:val="left" w:pos="9914"/>
              </w:tabs>
              <w:rPr>
                <w:rFonts w:ascii="Calibri" w:hAnsi="Calibri" w:cs="Calibri"/>
                <w:sz w:val="16"/>
                <w:szCs w:val="16"/>
              </w:rPr>
            </w:pPr>
            <w:r w:rsidRPr="00FD657F">
              <w:rPr>
                <w:rFonts w:ascii="Calibri" w:hAnsi="Calibri" w:cs="Calibri"/>
                <w:sz w:val="16"/>
                <w:szCs w:val="16"/>
              </w:rPr>
              <w:t>Jw. Część 3: Metoda RFT</w:t>
            </w:r>
          </w:p>
        </w:tc>
      </w:tr>
      <w:tr w:rsidR="00E00D25" w:rsidRPr="00FD657F" w14:paraId="42E47583" w14:textId="77777777" w:rsidTr="007679E0">
        <w:tc>
          <w:tcPr>
            <w:tcW w:w="534" w:type="dxa"/>
          </w:tcPr>
          <w:p w14:paraId="34B193A5" w14:textId="77777777" w:rsidR="00E00D25" w:rsidRPr="00FD657F" w:rsidRDefault="00E00D25" w:rsidP="007679E0">
            <w:pPr>
              <w:tabs>
                <w:tab w:val="left" w:pos="9914"/>
              </w:tabs>
              <w:rPr>
                <w:rFonts w:ascii="Calibri" w:hAnsi="Calibri" w:cs="Calibri"/>
                <w:sz w:val="16"/>
                <w:szCs w:val="16"/>
              </w:rPr>
            </w:pPr>
            <w:r w:rsidRPr="00FD657F">
              <w:rPr>
                <w:rFonts w:ascii="Calibri" w:hAnsi="Calibri" w:cs="Calibri"/>
                <w:sz w:val="16"/>
                <w:szCs w:val="16"/>
              </w:rPr>
              <w:t>32.</w:t>
            </w:r>
          </w:p>
        </w:tc>
        <w:tc>
          <w:tcPr>
            <w:tcW w:w="1842" w:type="dxa"/>
          </w:tcPr>
          <w:p w14:paraId="1B79F84F" w14:textId="77777777" w:rsidR="00E00D25" w:rsidRPr="00FD657F" w:rsidRDefault="00E00D25" w:rsidP="007679E0">
            <w:pPr>
              <w:tabs>
                <w:tab w:val="left" w:pos="9914"/>
              </w:tabs>
              <w:rPr>
                <w:rFonts w:ascii="Calibri" w:hAnsi="Calibri" w:cs="Calibri"/>
                <w:sz w:val="16"/>
                <w:szCs w:val="16"/>
              </w:rPr>
            </w:pPr>
            <w:r w:rsidRPr="00FD657F">
              <w:rPr>
                <w:rFonts w:ascii="Calibri" w:hAnsi="Calibri" w:cs="Calibri"/>
                <w:sz w:val="16"/>
                <w:szCs w:val="16"/>
              </w:rPr>
              <w:t>PN-EN 12697-5:2008</w:t>
            </w:r>
          </w:p>
        </w:tc>
        <w:tc>
          <w:tcPr>
            <w:tcW w:w="7371" w:type="dxa"/>
          </w:tcPr>
          <w:p w14:paraId="3137C099" w14:textId="77777777" w:rsidR="00E00D25" w:rsidRPr="00FD657F" w:rsidRDefault="00E00D25" w:rsidP="007679E0">
            <w:pPr>
              <w:tabs>
                <w:tab w:val="left" w:pos="9914"/>
              </w:tabs>
              <w:rPr>
                <w:rFonts w:ascii="Calibri" w:hAnsi="Calibri" w:cs="Calibri"/>
                <w:sz w:val="16"/>
                <w:szCs w:val="16"/>
              </w:rPr>
            </w:pPr>
            <w:r w:rsidRPr="00FD657F">
              <w:rPr>
                <w:rFonts w:ascii="Calibri" w:hAnsi="Calibri" w:cs="Calibri"/>
                <w:sz w:val="16"/>
                <w:szCs w:val="16"/>
              </w:rPr>
              <w:t xml:space="preserve">Mieszanki mineralno-asfaltowe – Metody badań mieszanek mineralno-asfaltowych na gorąco – Część 5: Oznaczanie gęstości </w:t>
            </w:r>
          </w:p>
        </w:tc>
      </w:tr>
      <w:tr w:rsidR="00E00D25" w:rsidRPr="00FD657F" w14:paraId="42BA40AE" w14:textId="77777777" w:rsidTr="007679E0">
        <w:tc>
          <w:tcPr>
            <w:tcW w:w="534" w:type="dxa"/>
          </w:tcPr>
          <w:p w14:paraId="517D0AD0" w14:textId="77777777" w:rsidR="00E00D25" w:rsidRPr="00FD657F" w:rsidRDefault="00E00D25" w:rsidP="007679E0">
            <w:pPr>
              <w:tabs>
                <w:tab w:val="left" w:pos="9914"/>
              </w:tabs>
              <w:rPr>
                <w:rFonts w:ascii="Calibri" w:hAnsi="Calibri" w:cs="Calibri"/>
                <w:sz w:val="16"/>
                <w:szCs w:val="16"/>
              </w:rPr>
            </w:pPr>
            <w:r w:rsidRPr="00FD657F">
              <w:rPr>
                <w:rFonts w:ascii="Calibri" w:hAnsi="Calibri" w:cs="Calibri"/>
                <w:sz w:val="16"/>
                <w:szCs w:val="16"/>
              </w:rPr>
              <w:t>33.</w:t>
            </w:r>
          </w:p>
        </w:tc>
        <w:tc>
          <w:tcPr>
            <w:tcW w:w="1842" w:type="dxa"/>
          </w:tcPr>
          <w:p w14:paraId="4514C0CD" w14:textId="77777777" w:rsidR="00E00D25" w:rsidRPr="00FD657F" w:rsidRDefault="00E00D25" w:rsidP="007679E0">
            <w:pPr>
              <w:tabs>
                <w:tab w:val="left" w:pos="9914"/>
              </w:tabs>
              <w:rPr>
                <w:rFonts w:ascii="Calibri" w:hAnsi="Calibri" w:cs="Calibri"/>
                <w:sz w:val="16"/>
                <w:szCs w:val="16"/>
              </w:rPr>
            </w:pPr>
            <w:r w:rsidRPr="00FD657F">
              <w:rPr>
                <w:rFonts w:ascii="Calibri" w:hAnsi="Calibri" w:cs="Calibri"/>
                <w:sz w:val="16"/>
                <w:szCs w:val="16"/>
              </w:rPr>
              <w:t>PN-EN 12697-6:2008</w:t>
            </w:r>
          </w:p>
        </w:tc>
        <w:tc>
          <w:tcPr>
            <w:tcW w:w="7371" w:type="dxa"/>
          </w:tcPr>
          <w:p w14:paraId="48356040" w14:textId="77777777" w:rsidR="00E00D25" w:rsidRPr="00FD657F" w:rsidRDefault="00E00D25" w:rsidP="007679E0">
            <w:pPr>
              <w:tabs>
                <w:tab w:val="left" w:pos="9914"/>
              </w:tabs>
              <w:rPr>
                <w:rFonts w:ascii="Calibri" w:hAnsi="Calibri" w:cs="Calibri"/>
                <w:sz w:val="16"/>
                <w:szCs w:val="16"/>
              </w:rPr>
            </w:pPr>
            <w:r w:rsidRPr="00FD657F">
              <w:rPr>
                <w:rFonts w:ascii="Calibri" w:hAnsi="Calibri" w:cs="Calibri"/>
                <w:sz w:val="16"/>
                <w:szCs w:val="16"/>
              </w:rPr>
              <w:t>Mieszanki mineralno-asfaltowe – Metody badań mieszanek mineralno-asfaltowych na gorąco – Część 6: Oznaczanie gęstości objętościowej metodą hydrostatyczną</w:t>
            </w:r>
          </w:p>
        </w:tc>
      </w:tr>
      <w:tr w:rsidR="00E00D25" w:rsidRPr="00FD657F" w14:paraId="3BDE4568" w14:textId="77777777" w:rsidTr="007679E0">
        <w:tc>
          <w:tcPr>
            <w:tcW w:w="534" w:type="dxa"/>
          </w:tcPr>
          <w:p w14:paraId="7E502D59" w14:textId="77777777" w:rsidR="00E00D25" w:rsidRPr="00FD657F" w:rsidRDefault="00E00D25" w:rsidP="007679E0">
            <w:pPr>
              <w:tabs>
                <w:tab w:val="left" w:pos="9914"/>
              </w:tabs>
              <w:rPr>
                <w:rFonts w:ascii="Calibri" w:hAnsi="Calibri" w:cs="Calibri"/>
                <w:sz w:val="16"/>
                <w:szCs w:val="16"/>
              </w:rPr>
            </w:pPr>
            <w:r w:rsidRPr="00FD657F">
              <w:rPr>
                <w:rFonts w:ascii="Calibri" w:hAnsi="Calibri" w:cs="Calibri"/>
                <w:sz w:val="16"/>
                <w:szCs w:val="16"/>
              </w:rPr>
              <w:t>34.</w:t>
            </w:r>
          </w:p>
        </w:tc>
        <w:tc>
          <w:tcPr>
            <w:tcW w:w="1842" w:type="dxa"/>
          </w:tcPr>
          <w:p w14:paraId="64E89CE0" w14:textId="77777777" w:rsidR="00E00D25" w:rsidRPr="00FD657F" w:rsidRDefault="00E00D25" w:rsidP="007679E0">
            <w:pPr>
              <w:tabs>
                <w:tab w:val="left" w:pos="9914"/>
              </w:tabs>
              <w:rPr>
                <w:rFonts w:ascii="Calibri" w:hAnsi="Calibri" w:cs="Calibri"/>
                <w:sz w:val="16"/>
                <w:szCs w:val="16"/>
              </w:rPr>
            </w:pPr>
            <w:r w:rsidRPr="00FD657F">
              <w:rPr>
                <w:rFonts w:ascii="Calibri" w:hAnsi="Calibri" w:cs="Calibri"/>
                <w:sz w:val="16"/>
                <w:szCs w:val="16"/>
              </w:rPr>
              <w:t>PN-EN 12697-8:2005</w:t>
            </w:r>
          </w:p>
        </w:tc>
        <w:tc>
          <w:tcPr>
            <w:tcW w:w="7371" w:type="dxa"/>
          </w:tcPr>
          <w:p w14:paraId="4AD72CCB" w14:textId="77777777" w:rsidR="00E00D25" w:rsidRPr="00FD657F" w:rsidRDefault="00E00D25" w:rsidP="007679E0">
            <w:pPr>
              <w:tabs>
                <w:tab w:val="left" w:pos="9914"/>
              </w:tabs>
              <w:rPr>
                <w:rFonts w:ascii="Calibri" w:hAnsi="Calibri" w:cs="Calibri"/>
                <w:sz w:val="16"/>
                <w:szCs w:val="16"/>
              </w:rPr>
            </w:pPr>
            <w:r w:rsidRPr="00FD657F">
              <w:rPr>
                <w:rFonts w:ascii="Calibri" w:hAnsi="Calibri" w:cs="Calibri"/>
                <w:sz w:val="16"/>
                <w:szCs w:val="16"/>
              </w:rPr>
              <w:t>Mieszanki mineralno-asfaltowe – Metody badań mieszanek mineralno-asfaltowych na gorąco – Część 8: Oznaczanie zawartości wolnej przestrzeni</w:t>
            </w:r>
          </w:p>
        </w:tc>
      </w:tr>
      <w:tr w:rsidR="00E00D25" w:rsidRPr="00FD657F" w14:paraId="4CF61BFA" w14:textId="77777777" w:rsidTr="007679E0">
        <w:tc>
          <w:tcPr>
            <w:tcW w:w="534" w:type="dxa"/>
          </w:tcPr>
          <w:p w14:paraId="59198291" w14:textId="77777777" w:rsidR="00E00D25" w:rsidRPr="00FD657F" w:rsidRDefault="00E00D25" w:rsidP="007679E0">
            <w:pPr>
              <w:tabs>
                <w:tab w:val="left" w:pos="9914"/>
              </w:tabs>
              <w:rPr>
                <w:rFonts w:ascii="Calibri" w:hAnsi="Calibri" w:cs="Calibri"/>
                <w:sz w:val="16"/>
                <w:szCs w:val="16"/>
              </w:rPr>
            </w:pPr>
            <w:r w:rsidRPr="00FD657F">
              <w:rPr>
                <w:rFonts w:ascii="Calibri" w:hAnsi="Calibri" w:cs="Calibri"/>
                <w:sz w:val="16"/>
                <w:szCs w:val="16"/>
              </w:rPr>
              <w:t>35.</w:t>
            </w:r>
          </w:p>
        </w:tc>
        <w:tc>
          <w:tcPr>
            <w:tcW w:w="1842" w:type="dxa"/>
          </w:tcPr>
          <w:p w14:paraId="42B2E212" w14:textId="77777777" w:rsidR="00E00D25" w:rsidRPr="00FD657F" w:rsidRDefault="00E00D25" w:rsidP="007679E0">
            <w:pPr>
              <w:tabs>
                <w:tab w:val="left" w:pos="9914"/>
              </w:tabs>
              <w:rPr>
                <w:rFonts w:ascii="Calibri" w:hAnsi="Calibri" w:cs="Calibri"/>
                <w:sz w:val="16"/>
                <w:szCs w:val="16"/>
              </w:rPr>
            </w:pPr>
            <w:r w:rsidRPr="00FD657F">
              <w:rPr>
                <w:rFonts w:ascii="Calibri" w:hAnsi="Calibri" w:cs="Calibri"/>
                <w:sz w:val="16"/>
                <w:szCs w:val="16"/>
              </w:rPr>
              <w:t>PN-EN 12697-11:2009</w:t>
            </w:r>
          </w:p>
        </w:tc>
        <w:tc>
          <w:tcPr>
            <w:tcW w:w="7371" w:type="dxa"/>
          </w:tcPr>
          <w:p w14:paraId="6397ADDE" w14:textId="77777777" w:rsidR="00E00D25" w:rsidRPr="00FD657F" w:rsidRDefault="00E00D25" w:rsidP="007679E0">
            <w:pPr>
              <w:tabs>
                <w:tab w:val="left" w:pos="9914"/>
              </w:tabs>
              <w:rPr>
                <w:rFonts w:ascii="Calibri" w:hAnsi="Calibri" w:cs="Calibri"/>
                <w:sz w:val="16"/>
                <w:szCs w:val="16"/>
              </w:rPr>
            </w:pPr>
            <w:r w:rsidRPr="00FD657F">
              <w:rPr>
                <w:rFonts w:ascii="Calibri" w:hAnsi="Calibri" w:cs="Calibri"/>
                <w:sz w:val="16"/>
                <w:szCs w:val="16"/>
              </w:rPr>
              <w:t>Mieszanki mineralno-asfaltowe – Metody badań mieszanek mineralno-asfaltowych na gorąco – Część 11: Określenie powiązania pomiędzy kruszywem i asfaltem</w:t>
            </w:r>
          </w:p>
        </w:tc>
      </w:tr>
      <w:tr w:rsidR="00E00D25" w:rsidRPr="00FD657F" w14:paraId="6DD05B72" w14:textId="77777777" w:rsidTr="007679E0">
        <w:tc>
          <w:tcPr>
            <w:tcW w:w="534" w:type="dxa"/>
          </w:tcPr>
          <w:p w14:paraId="189C291A" w14:textId="77777777" w:rsidR="00E00D25" w:rsidRPr="00FD657F" w:rsidRDefault="00E00D25" w:rsidP="007679E0">
            <w:pPr>
              <w:tabs>
                <w:tab w:val="left" w:pos="9914"/>
              </w:tabs>
              <w:rPr>
                <w:rFonts w:ascii="Calibri" w:hAnsi="Calibri" w:cs="Calibri"/>
                <w:sz w:val="16"/>
                <w:szCs w:val="16"/>
              </w:rPr>
            </w:pPr>
            <w:r w:rsidRPr="00FD657F">
              <w:rPr>
                <w:rFonts w:ascii="Calibri" w:hAnsi="Calibri" w:cs="Calibri"/>
                <w:sz w:val="16"/>
                <w:szCs w:val="16"/>
              </w:rPr>
              <w:t>36.</w:t>
            </w:r>
          </w:p>
        </w:tc>
        <w:tc>
          <w:tcPr>
            <w:tcW w:w="1842" w:type="dxa"/>
          </w:tcPr>
          <w:p w14:paraId="39E197C6" w14:textId="77777777" w:rsidR="00E00D25" w:rsidRPr="00FD657F" w:rsidRDefault="00E00D25" w:rsidP="007679E0">
            <w:pPr>
              <w:tabs>
                <w:tab w:val="left" w:pos="9914"/>
              </w:tabs>
              <w:rPr>
                <w:rFonts w:ascii="Calibri" w:hAnsi="Calibri" w:cs="Calibri"/>
                <w:sz w:val="16"/>
                <w:szCs w:val="16"/>
              </w:rPr>
            </w:pPr>
            <w:r w:rsidRPr="00FD657F">
              <w:rPr>
                <w:rFonts w:ascii="Calibri" w:hAnsi="Calibri" w:cs="Calibri"/>
                <w:sz w:val="16"/>
                <w:szCs w:val="16"/>
              </w:rPr>
              <w:t>PN-EN 12697-12:2008</w:t>
            </w:r>
          </w:p>
        </w:tc>
        <w:tc>
          <w:tcPr>
            <w:tcW w:w="7371" w:type="dxa"/>
          </w:tcPr>
          <w:p w14:paraId="1E884BCB" w14:textId="77777777" w:rsidR="00E00D25" w:rsidRPr="00FD657F" w:rsidRDefault="00E00D25" w:rsidP="007679E0">
            <w:pPr>
              <w:tabs>
                <w:tab w:val="left" w:pos="9914"/>
              </w:tabs>
              <w:rPr>
                <w:rFonts w:ascii="Calibri" w:hAnsi="Calibri" w:cs="Calibri"/>
                <w:sz w:val="16"/>
                <w:szCs w:val="16"/>
              </w:rPr>
            </w:pPr>
            <w:r w:rsidRPr="00FD657F">
              <w:rPr>
                <w:rFonts w:ascii="Calibri" w:hAnsi="Calibri" w:cs="Calibri"/>
                <w:sz w:val="16"/>
                <w:szCs w:val="16"/>
              </w:rPr>
              <w:t>Mieszanki mineralno-asfaltowe – Metody badań mieszanek mineralno-asfaltowych na gorąco – Część 12: Określanie wrażliwości na wodę</w:t>
            </w:r>
          </w:p>
        </w:tc>
      </w:tr>
      <w:tr w:rsidR="00E00D25" w:rsidRPr="00FD657F" w14:paraId="52045357" w14:textId="77777777" w:rsidTr="007679E0">
        <w:tc>
          <w:tcPr>
            <w:tcW w:w="534" w:type="dxa"/>
          </w:tcPr>
          <w:p w14:paraId="6D512729" w14:textId="77777777" w:rsidR="00E00D25" w:rsidRPr="00FD657F" w:rsidRDefault="00E00D25" w:rsidP="007679E0">
            <w:pPr>
              <w:tabs>
                <w:tab w:val="left" w:pos="9914"/>
              </w:tabs>
              <w:rPr>
                <w:rFonts w:ascii="Calibri" w:hAnsi="Calibri" w:cs="Calibri"/>
                <w:sz w:val="16"/>
                <w:szCs w:val="16"/>
              </w:rPr>
            </w:pPr>
            <w:r w:rsidRPr="00FD657F">
              <w:rPr>
                <w:rFonts w:ascii="Calibri" w:hAnsi="Calibri" w:cs="Calibri"/>
                <w:sz w:val="16"/>
                <w:szCs w:val="16"/>
              </w:rPr>
              <w:t>37.</w:t>
            </w:r>
          </w:p>
        </w:tc>
        <w:tc>
          <w:tcPr>
            <w:tcW w:w="1842" w:type="dxa"/>
          </w:tcPr>
          <w:p w14:paraId="5D584EBF" w14:textId="77777777" w:rsidR="00E00D25" w:rsidRPr="00FD657F" w:rsidRDefault="00E00D25" w:rsidP="007679E0">
            <w:pPr>
              <w:tabs>
                <w:tab w:val="left" w:pos="9914"/>
              </w:tabs>
              <w:rPr>
                <w:rFonts w:ascii="Calibri" w:hAnsi="Calibri" w:cs="Calibri"/>
                <w:sz w:val="16"/>
                <w:szCs w:val="16"/>
              </w:rPr>
            </w:pPr>
            <w:r w:rsidRPr="00FD657F">
              <w:rPr>
                <w:rFonts w:ascii="Calibri" w:hAnsi="Calibri" w:cs="Calibri"/>
                <w:sz w:val="16"/>
                <w:szCs w:val="16"/>
              </w:rPr>
              <w:t>PN-EN 12697-13:2005</w:t>
            </w:r>
          </w:p>
        </w:tc>
        <w:tc>
          <w:tcPr>
            <w:tcW w:w="7371" w:type="dxa"/>
          </w:tcPr>
          <w:p w14:paraId="1FD1E329" w14:textId="77777777" w:rsidR="00E00D25" w:rsidRPr="00FD657F" w:rsidRDefault="00E00D25" w:rsidP="007679E0">
            <w:pPr>
              <w:tabs>
                <w:tab w:val="left" w:pos="9914"/>
              </w:tabs>
              <w:rPr>
                <w:rFonts w:ascii="Calibri" w:hAnsi="Calibri" w:cs="Calibri"/>
                <w:sz w:val="16"/>
                <w:szCs w:val="16"/>
              </w:rPr>
            </w:pPr>
            <w:r w:rsidRPr="00FD657F">
              <w:rPr>
                <w:rFonts w:ascii="Calibri" w:hAnsi="Calibri" w:cs="Calibri"/>
                <w:sz w:val="16"/>
                <w:szCs w:val="16"/>
              </w:rPr>
              <w:t>Mieszanki mineralno-asfaltowe – Metody badań mieszanek mineralno-asfaltowych na gorąco – Część 13: Pomiar temperatury</w:t>
            </w:r>
          </w:p>
        </w:tc>
      </w:tr>
      <w:tr w:rsidR="00E00D25" w:rsidRPr="00FD657F" w14:paraId="3474EAD0" w14:textId="77777777" w:rsidTr="007679E0">
        <w:tc>
          <w:tcPr>
            <w:tcW w:w="534" w:type="dxa"/>
          </w:tcPr>
          <w:p w14:paraId="0AFE1A55" w14:textId="77777777" w:rsidR="00E00D25" w:rsidRPr="00FD657F" w:rsidRDefault="00E00D25" w:rsidP="007679E0">
            <w:pPr>
              <w:tabs>
                <w:tab w:val="left" w:pos="9914"/>
              </w:tabs>
              <w:rPr>
                <w:rFonts w:ascii="Calibri" w:hAnsi="Calibri" w:cs="Calibri"/>
                <w:sz w:val="16"/>
                <w:szCs w:val="16"/>
              </w:rPr>
            </w:pPr>
            <w:r w:rsidRPr="00FD657F">
              <w:rPr>
                <w:rFonts w:ascii="Calibri" w:hAnsi="Calibri" w:cs="Calibri"/>
                <w:sz w:val="16"/>
                <w:szCs w:val="16"/>
              </w:rPr>
              <w:t>38.</w:t>
            </w:r>
          </w:p>
        </w:tc>
        <w:tc>
          <w:tcPr>
            <w:tcW w:w="1842" w:type="dxa"/>
          </w:tcPr>
          <w:p w14:paraId="5144EDAB" w14:textId="77777777" w:rsidR="00E00D25" w:rsidRPr="00FD657F" w:rsidRDefault="00E00D25" w:rsidP="007679E0">
            <w:pPr>
              <w:tabs>
                <w:tab w:val="left" w:pos="9914"/>
              </w:tabs>
              <w:rPr>
                <w:rFonts w:ascii="Calibri" w:hAnsi="Calibri" w:cs="Calibri"/>
                <w:sz w:val="16"/>
                <w:szCs w:val="16"/>
              </w:rPr>
            </w:pPr>
            <w:r w:rsidRPr="00FD657F">
              <w:rPr>
                <w:rFonts w:ascii="Calibri" w:hAnsi="Calibri" w:cs="Calibri"/>
                <w:sz w:val="16"/>
                <w:szCs w:val="16"/>
              </w:rPr>
              <w:t>PN-EN 12697-18:2007</w:t>
            </w:r>
          </w:p>
        </w:tc>
        <w:tc>
          <w:tcPr>
            <w:tcW w:w="7371" w:type="dxa"/>
          </w:tcPr>
          <w:p w14:paraId="5C5E9B33" w14:textId="77777777" w:rsidR="00E00D25" w:rsidRPr="00FD657F" w:rsidRDefault="00E00D25" w:rsidP="007679E0">
            <w:pPr>
              <w:tabs>
                <w:tab w:val="left" w:pos="9914"/>
              </w:tabs>
              <w:rPr>
                <w:rFonts w:ascii="Calibri" w:hAnsi="Calibri" w:cs="Calibri"/>
                <w:sz w:val="16"/>
                <w:szCs w:val="16"/>
              </w:rPr>
            </w:pPr>
            <w:r w:rsidRPr="00FD657F">
              <w:rPr>
                <w:rFonts w:ascii="Calibri" w:hAnsi="Calibri" w:cs="Calibri"/>
                <w:sz w:val="16"/>
                <w:szCs w:val="16"/>
              </w:rPr>
              <w:t>Mieszanki mineralno-asfaltowe – Metody badań mieszanek mineralno-asfaltowych na gorąco – Część 18: Spływanie lepiszcza</w:t>
            </w:r>
          </w:p>
        </w:tc>
      </w:tr>
      <w:tr w:rsidR="00E00D25" w:rsidRPr="00FD657F" w14:paraId="49FB6A74" w14:textId="77777777" w:rsidTr="007679E0">
        <w:tc>
          <w:tcPr>
            <w:tcW w:w="534" w:type="dxa"/>
          </w:tcPr>
          <w:p w14:paraId="04610E00" w14:textId="77777777" w:rsidR="00E00D25" w:rsidRPr="00FD657F" w:rsidRDefault="00E00D25" w:rsidP="007679E0">
            <w:pPr>
              <w:tabs>
                <w:tab w:val="left" w:pos="9914"/>
              </w:tabs>
              <w:rPr>
                <w:rFonts w:ascii="Calibri" w:hAnsi="Calibri" w:cs="Calibri"/>
                <w:sz w:val="16"/>
                <w:szCs w:val="16"/>
              </w:rPr>
            </w:pPr>
            <w:r w:rsidRPr="00FD657F">
              <w:rPr>
                <w:rFonts w:ascii="Calibri" w:hAnsi="Calibri" w:cs="Calibri"/>
                <w:sz w:val="16"/>
                <w:szCs w:val="16"/>
              </w:rPr>
              <w:t>39.</w:t>
            </w:r>
          </w:p>
        </w:tc>
        <w:tc>
          <w:tcPr>
            <w:tcW w:w="1842" w:type="dxa"/>
          </w:tcPr>
          <w:p w14:paraId="1A62C0B6" w14:textId="77777777" w:rsidR="00E00D25" w:rsidRPr="00FD657F" w:rsidRDefault="00E00D25" w:rsidP="007679E0">
            <w:pPr>
              <w:tabs>
                <w:tab w:val="left" w:pos="9914"/>
              </w:tabs>
              <w:rPr>
                <w:rFonts w:ascii="Calibri" w:hAnsi="Calibri" w:cs="Calibri"/>
                <w:sz w:val="16"/>
                <w:szCs w:val="16"/>
              </w:rPr>
            </w:pPr>
            <w:r w:rsidRPr="00FD657F">
              <w:rPr>
                <w:rFonts w:ascii="Calibri" w:hAnsi="Calibri" w:cs="Calibri"/>
                <w:sz w:val="16"/>
                <w:szCs w:val="16"/>
              </w:rPr>
              <w:t>PN-EN 12697-22:2004</w:t>
            </w:r>
          </w:p>
        </w:tc>
        <w:tc>
          <w:tcPr>
            <w:tcW w:w="7371" w:type="dxa"/>
          </w:tcPr>
          <w:p w14:paraId="5987CE1F" w14:textId="77777777" w:rsidR="00E00D25" w:rsidRPr="00FD657F" w:rsidRDefault="00E00D25" w:rsidP="007679E0">
            <w:pPr>
              <w:tabs>
                <w:tab w:val="left" w:pos="9914"/>
              </w:tabs>
              <w:rPr>
                <w:rFonts w:ascii="Calibri" w:hAnsi="Calibri" w:cs="Calibri"/>
                <w:sz w:val="16"/>
                <w:szCs w:val="16"/>
              </w:rPr>
            </w:pPr>
            <w:r w:rsidRPr="00FD657F">
              <w:rPr>
                <w:rFonts w:ascii="Calibri" w:hAnsi="Calibri" w:cs="Calibri"/>
                <w:sz w:val="16"/>
                <w:szCs w:val="16"/>
              </w:rPr>
              <w:t>Mieszanki mineralno-asfaltowe – Metody badań mieszanek mineralno-asfaltowych na gorąco – Część 22: Koleinowanie</w:t>
            </w:r>
          </w:p>
        </w:tc>
      </w:tr>
      <w:tr w:rsidR="00E00D25" w:rsidRPr="00FD657F" w14:paraId="27120317" w14:textId="77777777" w:rsidTr="007679E0">
        <w:tc>
          <w:tcPr>
            <w:tcW w:w="534" w:type="dxa"/>
          </w:tcPr>
          <w:p w14:paraId="4D2FD342" w14:textId="77777777" w:rsidR="00E00D25" w:rsidRPr="00FD657F" w:rsidRDefault="00E00D25" w:rsidP="007679E0">
            <w:pPr>
              <w:tabs>
                <w:tab w:val="left" w:pos="9914"/>
              </w:tabs>
              <w:rPr>
                <w:rFonts w:ascii="Calibri" w:hAnsi="Calibri" w:cs="Calibri"/>
                <w:sz w:val="16"/>
                <w:szCs w:val="16"/>
              </w:rPr>
            </w:pPr>
            <w:r w:rsidRPr="00FD657F">
              <w:rPr>
                <w:rFonts w:ascii="Calibri" w:hAnsi="Calibri" w:cs="Calibri"/>
                <w:sz w:val="16"/>
                <w:szCs w:val="16"/>
              </w:rPr>
              <w:t>40.</w:t>
            </w:r>
          </w:p>
        </w:tc>
        <w:tc>
          <w:tcPr>
            <w:tcW w:w="1842" w:type="dxa"/>
          </w:tcPr>
          <w:p w14:paraId="3EC87321" w14:textId="77777777" w:rsidR="00E00D25" w:rsidRPr="00FD657F" w:rsidRDefault="00E00D25" w:rsidP="007679E0">
            <w:pPr>
              <w:tabs>
                <w:tab w:val="left" w:pos="9914"/>
              </w:tabs>
              <w:rPr>
                <w:rFonts w:ascii="Calibri" w:hAnsi="Calibri" w:cs="Calibri"/>
                <w:sz w:val="16"/>
                <w:szCs w:val="16"/>
              </w:rPr>
            </w:pPr>
            <w:r w:rsidRPr="00FD657F">
              <w:rPr>
                <w:rFonts w:ascii="Calibri" w:hAnsi="Calibri" w:cs="Calibri"/>
                <w:sz w:val="16"/>
                <w:szCs w:val="16"/>
              </w:rPr>
              <w:t>PN-EN 12697-27:2005</w:t>
            </w:r>
          </w:p>
        </w:tc>
        <w:tc>
          <w:tcPr>
            <w:tcW w:w="7371" w:type="dxa"/>
          </w:tcPr>
          <w:p w14:paraId="2AF57EE6" w14:textId="77777777" w:rsidR="00E00D25" w:rsidRPr="00FD657F" w:rsidRDefault="00E00D25" w:rsidP="007679E0">
            <w:pPr>
              <w:tabs>
                <w:tab w:val="left" w:pos="9914"/>
              </w:tabs>
              <w:rPr>
                <w:rFonts w:ascii="Calibri" w:hAnsi="Calibri" w:cs="Calibri"/>
                <w:sz w:val="16"/>
                <w:szCs w:val="16"/>
              </w:rPr>
            </w:pPr>
            <w:r w:rsidRPr="00FD657F">
              <w:rPr>
                <w:rFonts w:ascii="Calibri" w:hAnsi="Calibri" w:cs="Calibri"/>
                <w:sz w:val="16"/>
                <w:szCs w:val="16"/>
              </w:rPr>
              <w:t>Mieszanki mineralno-asfaltowe – Metody badań mieszanek mineralno-asfaltowych na gorąco – Część 27: Pobieranie próbek</w:t>
            </w:r>
          </w:p>
        </w:tc>
      </w:tr>
      <w:tr w:rsidR="00E00D25" w:rsidRPr="00FD657F" w14:paraId="6064CDE6" w14:textId="77777777" w:rsidTr="007679E0">
        <w:tc>
          <w:tcPr>
            <w:tcW w:w="534" w:type="dxa"/>
          </w:tcPr>
          <w:p w14:paraId="790D5268" w14:textId="77777777" w:rsidR="00E00D25" w:rsidRPr="00FD657F" w:rsidRDefault="00E00D25" w:rsidP="007679E0">
            <w:pPr>
              <w:tabs>
                <w:tab w:val="left" w:pos="9914"/>
              </w:tabs>
              <w:rPr>
                <w:rFonts w:ascii="Calibri" w:hAnsi="Calibri" w:cs="Calibri"/>
                <w:sz w:val="16"/>
                <w:szCs w:val="16"/>
              </w:rPr>
            </w:pPr>
            <w:r w:rsidRPr="00FD657F">
              <w:rPr>
                <w:rFonts w:ascii="Calibri" w:hAnsi="Calibri" w:cs="Calibri"/>
                <w:sz w:val="16"/>
                <w:szCs w:val="16"/>
              </w:rPr>
              <w:t>41.</w:t>
            </w:r>
          </w:p>
        </w:tc>
        <w:tc>
          <w:tcPr>
            <w:tcW w:w="1842" w:type="dxa"/>
          </w:tcPr>
          <w:p w14:paraId="0F1F63CF" w14:textId="77777777" w:rsidR="00E00D25" w:rsidRPr="00FD657F" w:rsidRDefault="00E00D25" w:rsidP="007679E0">
            <w:pPr>
              <w:tabs>
                <w:tab w:val="left" w:pos="9914"/>
              </w:tabs>
              <w:rPr>
                <w:rFonts w:ascii="Calibri" w:hAnsi="Calibri" w:cs="Calibri"/>
                <w:sz w:val="16"/>
                <w:szCs w:val="16"/>
              </w:rPr>
            </w:pPr>
            <w:r w:rsidRPr="00FD657F">
              <w:rPr>
                <w:rFonts w:ascii="Calibri" w:hAnsi="Calibri" w:cs="Calibri"/>
                <w:sz w:val="16"/>
                <w:szCs w:val="16"/>
              </w:rPr>
              <w:t>PN-EN 12697-36:2005</w:t>
            </w:r>
          </w:p>
        </w:tc>
        <w:tc>
          <w:tcPr>
            <w:tcW w:w="7371" w:type="dxa"/>
          </w:tcPr>
          <w:p w14:paraId="4244B1C6" w14:textId="77777777" w:rsidR="00E00D25" w:rsidRPr="00FD657F" w:rsidRDefault="00E00D25" w:rsidP="007679E0">
            <w:pPr>
              <w:tabs>
                <w:tab w:val="left" w:pos="9914"/>
              </w:tabs>
              <w:rPr>
                <w:rFonts w:ascii="Calibri" w:hAnsi="Calibri" w:cs="Calibri"/>
                <w:sz w:val="16"/>
                <w:szCs w:val="16"/>
              </w:rPr>
            </w:pPr>
            <w:r w:rsidRPr="00FD657F">
              <w:rPr>
                <w:rFonts w:ascii="Calibri" w:hAnsi="Calibri" w:cs="Calibri"/>
                <w:sz w:val="16"/>
                <w:szCs w:val="16"/>
              </w:rPr>
              <w:t>Mieszanki mineralno-asfaltowe – Metody badań mieszanek mineralno-asfaltowych na gorąco – Część 36: Oznaczanie grubości nawierzchni asfaltowych</w:t>
            </w:r>
          </w:p>
        </w:tc>
      </w:tr>
      <w:tr w:rsidR="00E00D25" w:rsidRPr="00FD657F" w14:paraId="67BAF58B" w14:textId="77777777" w:rsidTr="007679E0">
        <w:tc>
          <w:tcPr>
            <w:tcW w:w="534" w:type="dxa"/>
          </w:tcPr>
          <w:p w14:paraId="163BC9A6" w14:textId="77777777" w:rsidR="00E00D25" w:rsidRPr="00FD657F" w:rsidRDefault="00E00D25" w:rsidP="007679E0">
            <w:pPr>
              <w:tabs>
                <w:tab w:val="left" w:pos="9914"/>
              </w:tabs>
              <w:rPr>
                <w:rFonts w:ascii="Calibri" w:hAnsi="Calibri" w:cs="Calibri"/>
                <w:sz w:val="16"/>
                <w:szCs w:val="16"/>
              </w:rPr>
            </w:pPr>
            <w:r w:rsidRPr="00FD657F">
              <w:rPr>
                <w:rFonts w:ascii="Calibri" w:hAnsi="Calibri" w:cs="Calibri"/>
                <w:sz w:val="16"/>
                <w:szCs w:val="16"/>
              </w:rPr>
              <w:t>42.</w:t>
            </w:r>
          </w:p>
        </w:tc>
        <w:tc>
          <w:tcPr>
            <w:tcW w:w="1842" w:type="dxa"/>
          </w:tcPr>
          <w:p w14:paraId="0EB397A9" w14:textId="77777777" w:rsidR="00E00D25" w:rsidRPr="00FD657F" w:rsidRDefault="00E00D25" w:rsidP="007679E0">
            <w:pPr>
              <w:tabs>
                <w:tab w:val="left" w:pos="9914"/>
              </w:tabs>
              <w:rPr>
                <w:rFonts w:ascii="Calibri" w:hAnsi="Calibri" w:cs="Calibri"/>
                <w:sz w:val="16"/>
                <w:szCs w:val="16"/>
              </w:rPr>
            </w:pPr>
            <w:r w:rsidRPr="00FD657F">
              <w:rPr>
                <w:rFonts w:ascii="Calibri" w:hAnsi="Calibri" w:cs="Calibri"/>
                <w:sz w:val="16"/>
                <w:szCs w:val="16"/>
              </w:rPr>
              <w:t>PN-EN 12846:2009</w:t>
            </w:r>
          </w:p>
        </w:tc>
        <w:tc>
          <w:tcPr>
            <w:tcW w:w="7371" w:type="dxa"/>
          </w:tcPr>
          <w:p w14:paraId="1ACDE445" w14:textId="77777777" w:rsidR="00E00D25" w:rsidRPr="00FD657F" w:rsidRDefault="00E00D25" w:rsidP="007679E0">
            <w:pPr>
              <w:tabs>
                <w:tab w:val="left" w:pos="9914"/>
              </w:tabs>
              <w:rPr>
                <w:rFonts w:ascii="Calibri" w:hAnsi="Calibri" w:cs="Calibri"/>
                <w:sz w:val="16"/>
                <w:szCs w:val="16"/>
              </w:rPr>
            </w:pPr>
            <w:r w:rsidRPr="00FD657F">
              <w:rPr>
                <w:rFonts w:ascii="Calibri" w:hAnsi="Calibri" w:cs="Calibri"/>
                <w:sz w:val="16"/>
                <w:szCs w:val="16"/>
              </w:rPr>
              <w:t>Asfalty i lepiszcza asfaltowe – Oznaczanie czasu wypływu emulsji asfaltowych lepkościomierzem wypływowym</w:t>
            </w:r>
          </w:p>
        </w:tc>
      </w:tr>
      <w:tr w:rsidR="00E00D25" w:rsidRPr="00FD657F" w14:paraId="11303177" w14:textId="77777777" w:rsidTr="007679E0">
        <w:tc>
          <w:tcPr>
            <w:tcW w:w="534" w:type="dxa"/>
          </w:tcPr>
          <w:p w14:paraId="0A6AC478" w14:textId="77777777" w:rsidR="00E00D25" w:rsidRPr="00FD657F" w:rsidRDefault="00E00D25" w:rsidP="007679E0">
            <w:pPr>
              <w:tabs>
                <w:tab w:val="left" w:pos="9914"/>
              </w:tabs>
              <w:rPr>
                <w:rFonts w:ascii="Calibri" w:hAnsi="Calibri" w:cs="Calibri"/>
                <w:sz w:val="16"/>
                <w:szCs w:val="16"/>
              </w:rPr>
            </w:pPr>
            <w:r w:rsidRPr="00FD657F">
              <w:rPr>
                <w:rFonts w:ascii="Calibri" w:hAnsi="Calibri" w:cs="Calibri"/>
                <w:sz w:val="16"/>
                <w:szCs w:val="16"/>
              </w:rPr>
              <w:t>43.</w:t>
            </w:r>
          </w:p>
        </w:tc>
        <w:tc>
          <w:tcPr>
            <w:tcW w:w="1842" w:type="dxa"/>
          </w:tcPr>
          <w:p w14:paraId="3CFFE372" w14:textId="77777777" w:rsidR="00E00D25" w:rsidRPr="00FD657F" w:rsidRDefault="00E00D25" w:rsidP="007679E0">
            <w:pPr>
              <w:tabs>
                <w:tab w:val="left" w:pos="9914"/>
              </w:tabs>
              <w:rPr>
                <w:rFonts w:ascii="Calibri" w:hAnsi="Calibri" w:cs="Calibri"/>
                <w:sz w:val="16"/>
                <w:szCs w:val="16"/>
              </w:rPr>
            </w:pPr>
            <w:r w:rsidRPr="00FD657F">
              <w:rPr>
                <w:rFonts w:ascii="Calibri" w:hAnsi="Calibri" w:cs="Calibri"/>
                <w:sz w:val="16"/>
                <w:szCs w:val="16"/>
              </w:rPr>
              <w:t>PN-EN 12847:2009</w:t>
            </w:r>
          </w:p>
        </w:tc>
        <w:tc>
          <w:tcPr>
            <w:tcW w:w="7371" w:type="dxa"/>
          </w:tcPr>
          <w:p w14:paraId="3FC55A91" w14:textId="77777777" w:rsidR="00E00D25" w:rsidRPr="00FD657F" w:rsidRDefault="00E00D25" w:rsidP="007679E0">
            <w:pPr>
              <w:tabs>
                <w:tab w:val="left" w:pos="9914"/>
              </w:tabs>
              <w:rPr>
                <w:rFonts w:ascii="Calibri" w:hAnsi="Calibri" w:cs="Calibri"/>
                <w:sz w:val="16"/>
                <w:szCs w:val="16"/>
              </w:rPr>
            </w:pPr>
            <w:r w:rsidRPr="00FD657F">
              <w:rPr>
                <w:rFonts w:ascii="Calibri" w:hAnsi="Calibri" w:cs="Calibri"/>
                <w:sz w:val="16"/>
                <w:szCs w:val="16"/>
              </w:rPr>
              <w:t>Asfalty i lepiszcza asfaltowe – Oznaczanie sedymentacji emulsji asfaltowych</w:t>
            </w:r>
          </w:p>
        </w:tc>
      </w:tr>
      <w:tr w:rsidR="00E00D25" w:rsidRPr="00FD657F" w14:paraId="4110A147" w14:textId="77777777" w:rsidTr="007679E0">
        <w:tc>
          <w:tcPr>
            <w:tcW w:w="534" w:type="dxa"/>
          </w:tcPr>
          <w:p w14:paraId="00E64BF8" w14:textId="77777777" w:rsidR="00E00D25" w:rsidRPr="00FD657F" w:rsidRDefault="00E00D25" w:rsidP="007679E0">
            <w:pPr>
              <w:tabs>
                <w:tab w:val="left" w:pos="9914"/>
              </w:tabs>
              <w:rPr>
                <w:rFonts w:ascii="Calibri" w:hAnsi="Calibri" w:cs="Calibri"/>
                <w:sz w:val="16"/>
                <w:szCs w:val="16"/>
              </w:rPr>
            </w:pPr>
            <w:r w:rsidRPr="00FD657F">
              <w:rPr>
                <w:rFonts w:ascii="Calibri" w:hAnsi="Calibri" w:cs="Calibri"/>
                <w:sz w:val="16"/>
                <w:szCs w:val="16"/>
              </w:rPr>
              <w:t>44.</w:t>
            </w:r>
          </w:p>
        </w:tc>
        <w:tc>
          <w:tcPr>
            <w:tcW w:w="1842" w:type="dxa"/>
          </w:tcPr>
          <w:p w14:paraId="1DFD233E" w14:textId="77777777" w:rsidR="00E00D25" w:rsidRPr="00FD657F" w:rsidRDefault="00E00D25" w:rsidP="007679E0">
            <w:pPr>
              <w:tabs>
                <w:tab w:val="left" w:pos="9914"/>
              </w:tabs>
              <w:rPr>
                <w:rFonts w:ascii="Calibri" w:hAnsi="Calibri" w:cs="Calibri"/>
                <w:sz w:val="16"/>
                <w:szCs w:val="16"/>
              </w:rPr>
            </w:pPr>
            <w:r w:rsidRPr="00FD657F">
              <w:rPr>
                <w:rFonts w:ascii="Calibri" w:hAnsi="Calibri" w:cs="Calibri"/>
                <w:sz w:val="16"/>
                <w:szCs w:val="16"/>
              </w:rPr>
              <w:t>PN-EN 12850:2009</w:t>
            </w:r>
          </w:p>
        </w:tc>
        <w:tc>
          <w:tcPr>
            <w:tcW w:w="7371" w:type="dxa"/>
          </w:tcPr>
          <w:p w14:paraId="133DB335" w14:textId="77777777" w:rsidR="00E00D25" w:rsidRPr="00FD657F" w:rsidRDefault="00E00D25" w:rsidP="007679E0">
            <w:pPr>
              <w:tabs>
                <w:tab w:val="left" w:pos="9914"/>
              </w:tabs>
              <w:rPr>
                <w:rFonts w:ascii="Calibri" w:hAnsi="Calibri" w:cs="Calibri"/>
                <w:sz w:val="16"/>
                <w:szCs w:val="16"/>
              </w:rPr>
            </w:pPr>
            <w:r w:rsidRPr="00FD657F">
              <w:rPr>
                <w:rFonts w:ascii="Calibri" w:hAnsi="Calibri" w:cs="Calibri"/>
                <w:sz w:val="16"/>
                <w:szCs w:val="16"/>
              </w:rPr>
              <w:t>Asfalty i lepiszcza asfaltowe – Oznaczanie wartości pH emulsji asfaltowych</w:t>
            </w:r>
          </w:p>
        </w:tc>
      </w:tr>
      <w:tr w:rsidR="00E00D25" w:rsidRPr="00FD657F" w14:paraId="6B669869" w14:textId="77777777" w:rsidTr="007679E0">
        <w:tc>
          <w:tcPr>
            <w:tcW w:w="534" w:type="dxa"/>
          </w:tcPr>
          <w:p w14:paraId="3607F8A6" w14:textId="77777777" w:rsidR="00E00D25" w:rsidRPr="00FD657F" w:rsidRDefault="00E00D25" w:rsidP="007679E0">
            <w:pPr>
              <w:tabs>
                <w:tab w:val="left" w:pos="9914"/>
              </w:tabs>
              <w:rPr>
                <w:rFonts w:ascii="Calibri" w:hAnsi="Calibri" w:cs="Calibri"/>
                <w:sz w:val="16"/>
                <w:szCs w:val="16"/>
              </w:rPr>
            </w:pPr>
            <w:r w:rsidRPr="00FD657F">
              <w:rPr>
                <w:rFonts w:ascii="Calibri" w:hAnsi="Calibri" w:cs="Calibri"/>
                <w:sz w:val="16"/>
                <w:szCs w:val="16"/>
              </w:rPr>
              <w:t>45.</w:t>
            </w:r>
          </w:p>
        </w:tc>
        <w:tc>
          <w:tcPr>
            <w:tcW w:w="1842" w:type="dxa"/>
          </w:tcPr>
          <w:p w14:paraId="6ADABDFC" w14:textId="77777777" w:rsidR="00E00D25" w:rsidRPr="00FD657F" w:rsidRDefault="00E00D25" w:rsidP="007679E0">
            <w:pPr>
              <w:tabs>
                <w:tab w:val="left" w:pos="9914"/>
              </w:tabs>
              <w:rPr>
                <w:rFonts w:ascii="Calibri" w:hAnsi="Calibri" w:cs="Calibri"/>
                <w:sz w:val="16"/>
                <w:szCs w:val="16"/>
              </w:rPr>
            </w:pPr>
            <w:r w:rsidRPr="00FD657F">
              <w:rPr>
                <w:rFonts w:ascii="Calibri" w:hAnsi="Calibri" w:cs="Calibri"/>
                <w:sz w:val="16"/>
                <w:szCs w:val="16"/>
              </w:rPr>
              <w:t>PN-EN 13043:2004</w:t>
            </w:r>
          </w:p>
        </w:tc>
        <w:tc>
          <w:tcPr>
            <w:tcW w:w="7371" w:type="dxa"/>
          </w:tcPr>
          <w:p w14:paraId="64B769E6" w14:textId="77777777" w:rsidR="00E00D25" w:rsidRPr="00FD657F" w:rsidRDefault="00E00D25" w:rsidP="007679E0">
            <w:pPr>
              <w:tabs>
                <w:tab w:val="left" w:pos="9914"/>
              </w:tabs>
              <w:rPr>
                <w:rFonts w:ascii="Calibri" w:hAnsi="Calibri" w:cs="Calibri"/>
                <w:sz w:val="16"/>
                <w:szCs w:val="16"/>
              </w:rPr>
            </w:pPr>
            <w:r w:rsidRPr="00FD657F">
              <w:rPr>
                <w:rFonts w:ascii="Calibri" w:hAnsi="Calibri" w:cs="Calibri"/>
                <w:sz w:val="16"/>
                <w:szCs w:val="16"/>
              </w:rPr>
              <w:t>Kruszywa do mieszanek bitumicznych i powierzchniowych utrwaleń stosowanych na drogach, lotniskach i innych powierzchniach przeznaczonych do ruchu</w:t>
            </w:r>
          </w:p>
        </w:tc>
      </w:tr>
      <w:tr w:rsidR="00E00D25" w:rsidRPr="00FD657F" w14:paraId="40FB8BAE" w14:textId="77777777" w:rsidTr="007679E0">
        <w:tc>
          <w:tcPr>
            <w:tcW w:w="534" w:type="dxa"/>
          </w:tcPr>
          <w:p w14:paraId="59F1D7A6" w14:textId="77777777" w:rsidR="00E00D25" w:rsidRPr="00FD657F" w:rsidRDefault="00E00D25" w:rsidP="007679E0">
            <w:pPr>
              <w:tabs>
                <w:tab w:val="left" w:pos="9914"/>
              </w:tabs>
              <w:rPr>
                <w:rFonts w:ascii="Calibri" w:hAnsi="Calibri" w:cs="Calibri"/>
                <w:sz w:val="16"/>
                <w:szCs w:val="16"/>
              </w:rPr>
            </w:pPr>
            <w:r w:rsidRPr="00FD657F">
              <w:rPr>
                <w:rFonts w:ascii="Calibri" w:hAnsi="Calibri" w:cs="Calibri"/>
                <w:sz w:val="16"/>
                <w:szCs w:val="16"/>
              </w:rPr>
              <w:t>46.</w:t>
            </w:r>
          </w:p>
        </w:tc>
        <w:tc>
          <w:tcPr>
            <w:tcW w:w="1842" w:type="dxa"/>
          </w:tcPr>
          <w:p w14:paraId="2DEADD89" w14:textId="77777777" w:rsidR="00E00D25" w:rsidRPr="00FD657F" w:rsidRDefault="00E00D25" w:rsidP="007679E0">
            <w:pPr>
              <w:tabs>
                <w:tab w:val="left" w:pos="9914"/>
              </w:tabs>
              <w:rPr>
                <w:rFonts w:ascii="Calibri" w:hAnsi="Calibri" w:cs="Calibri"/>
                <w:sz w:val="16"/>
                <w:szCs w:val="16"/>
              </w:rPr>
            </w:pPr>
            <w:r w:rsidRPr="00FD657F">
              <w:rPr>
                <w:rFonts w:ascii="Calibri" w:hAnsi="Calibri" w:cs="Calibri"/>
                <w:sz w:val="16"/>
                <w:szCs w:val="16"/>
              </w:rPr>
              <w:t>PN-EN 13074:2009</w:t>
            </w:r>
          </w:p>
        </w:tc>
        <w:tc>
          <w:tcPr>
            <w:tcW w:w="7371" w:type="dxa"/>
          </w:tcPr>
          <w:p w14:paraId="2641AFA1" w14:textId="77777777" w:rsidR="00E00D25" w:rsidRPr="00FD657F" w:rsidRDefault="00E00D25" w:rsidP="007679E0">
            <w:pPr>
              <w:tabs>
                <w:tab w:val="left" w:pos="9914"/>
              </w:tabs>
              <w:rPr>
                <w:rFonts w:ascii="Calibri" w:hAnsi="Calibri" w:cs="Calibri"/>
                <w:sz w:val="16"/>
                <w:szCs w:val="16"/>
              </w:rPr>
            </w:pPr>
            <w:r w:rsidRPr="00FD657F">
              <w:rPr>
                <w:rFonts w:ascii="Calibri" w:hAnsi="Calibri" w:cs="Calibri"/>
                <w:sz w:val="16"/>
                <w:szCs w:val="16"/>
              </w:rPr>
              <w:t>Asfalty i lepiszcza asfaltowe – Oznaczanie lepiszczy z emulsji asfaltowych przez odparowanie</w:t>
            </w:r>
          </w:p>
        </w:tc>
      </w:tr>
      <w:tr w:rsidR="00E00D25" w:rsidRPr="00FD657F" w14:paraId="063CFA29" w14:textId="77777777" w:rsidTr="007679E0">
        <w:tc>
          <w:tcPr>
            <w:tcW w:w="534" w:type="dxa"/>
          </w:tcPr>
          <w:p w14:paraId="0D2A6409" w14:textId="77777777" w:rsidR="00E00D25" w:rsidRPr="00FD657F" w:rsidRDefault="00E00D25" w:rsidP="007679E0">
            <w:pPr>
              <w:tabs>
                <w:tab w:val="left" w:pos="9914"/>
              </w:tabs>
              <w:rPr>
                <w:rFonts w:ascii="Calibri" w:hAnsi="Calibri" w:cs="Calibri"/>
                <w:sz w:val="16"/>
                <w:szCs w:val="16"/>
              </w:rPr>
            </w:pPr>
            <w:r w:rsidRPr="00FD657F">
              <w:rPr>
                <w:rFonts w:ascii="Calibri" w:hAnsi="Calibri" w:cs="Calibri"/>
                <w:sz w:val="16"/>
                <w:szCs w:val="16"/>
              </w:rPr>
              <w:t>47.</w:t>
            </w:r>
          </w:p>
        </w:tc>
        <w:tc>
          <w:tcPr>
            <w:tcW w:w="1842" w:type="dxa"/>
          </w:tcPr>
          <w:p w14:paraId="2E4C6E3C" w14:textId="77777777" w:rsidR="00E00D25" w:rsidRPr="00FD657F" w:rsidRDefault="00E00D25" w:rsidP="007679E0">
            <w:pPr>
              <w:tabs>
                <w:tab w:val="left" w:pos="9914"/>
              </w:tabs>
              <w:rPr>
                <w:rFonts w:ascii="Calibri" w:hAnsi="Calibri" w:cs="Calibri"/>
                <w:sz w:val="16"/>
                <w:szCs w:val="16"/>
              </w:rPr>
            </w:pPr>
            <w:r w:rsidRPr="00FD657F">
              <w:rPr>
                <w:rFonts w:ascii="Calibri" w:hAnsi="Calibri" w:cs="Calibri"/>
                <w:sz w:val="16"/>
                <w:szCs w:val="16"/>
              </w:rPr>
              <w:t>PN-EN 13075-1:2009</w:t>
            </w:r>
          </w:p>
        </w:tc>
        <w:tc>
          <w:tcPr>
            <w:tcW w:w="7371" w:type="dxa"/>
          </w:tcPr>
          <w:p w14:paraId="452DB9C8" w14:textId="77777777" w:rsidR="00E00D25" w:rsidRPr="00FD657F" w:rsidRDefault="00E00D25" w:rsidP="007679E0">
            <w:pPr>
              <w:tabs>
                <w:tab w:val="left" w:pos="9914"/>
              </w:tabs>
              <w:rPr>
                <w:rFonts w:ascii="Calibri" w:hAnsi="Calibri" w:cs="Calibri"/>
                <w:sz w:val="16"/>
                <w:szCs w:val="16"/>
              </w:rPr>
            </w:pPr>
            <w:r w:rsidRPr="00FD657F">
              <w:rPr>
                <w:rFonts w:ascii="Calibri" w:hAnsi="Calibri" w:cs="Calibri"/>
                <w:sz w:val="16"/>
                <w:szCs w:val="16"/>
              </w:rPr>
              <w:t>Asfalty i lepiszcza asfaltowe – Badanie rozpadu – Część 1: Oznaczanie indeksu rozpadu kationowych emulsji asfaltowych, metoda z wypełniaczem mineralnym</w:t>
            </w:r>
          </w:p>
        </w:tc>
      </w:tr>
      <w:tr w:rsidR="00E00D25" w:rsidRPr="00FD657F" w14:paraId="41B8A692" w14:textId="77777777" w:rsidTr="007679E0">
        <w:tc>
          <w:tcPr>
            <w:tcW w:w="534" w:type="dxa"/>
          </w:tcPr>
          <w:p w14:paraId="6C55BBD4" w14:textId="77777777" w:rsidR="00E00D25" w:rsidRPr="00FD657F" w:rsidRDefault="00E00D25" w:rsidP="007679E0">
            <w:pPr>
              <w:tabs>
                <w:tab w:val="left" w:pos="9914"/>
              </w:tabs>
              <w:rPr>
                <w:rFonts w:ascii="Calibri" w:hAnsi="Calibri" w:cs="Calibri"/>
                <w:sz w:val="16"/>
                <w:szCs w:val="16"/>
              </w:rPr>
            </w:pPr>
            <w:r w:rsidRPr="00FD657F">
              <w:rPr>
                <w:rFonts w:ascii="Calibri" w:hAnsi="Calibri" w:cs="Calibri"/>
                <w:sz w:val="16"/>
                <w:szCs w:val="16"/>
              </w:rPr>
              <w:t>48.</w:t>
            </w:r>
          </w:p>
        </w:tc>
        <w:tc>
          <w:tcPr>
            <w:tcW w:w="1842" w:type="dxa"/>
          </w:tcPr>
          <w:p w14:paraId="3013920D" w14:textId="77777777" w:rsidR="00E00D25" w:rsidRPr="00FD657F" w:rsidRDefault="00E00D25" w:rsidP="007679E0">
            <w:pPr>
              <w:tabs>
                <w:tab w:val="left" w:pos="9914"/>
              </w:tabs>
              <w:rPr>
                <w:rFonts w:ascii="Calibri" w:hAnsi="Calibri" w:cs="Calibri"/>
                <w:sz w:val="16"/>
                <w:szCs w:val="16"/>
              </w:rPr>
            </w:pPr>
            <w:r w:rsidRPr="00FD657F">
              <w:rPr>
                <w:rFonts w:ascii="Calibri" w:hAnsi="Calibri" w:cs="Calibri"/>
                <w:sz w:val="16"/>
                <w:szCs w:val="16"/>
              </w:rPr>
              <w:t>PN-EN 13108-1:2008</w:t>
            </w:r>
          </w:p>
        </w:tc>
        <w:tc>
          <w:tcPr>
            <w:tcW w:w="7371" w:type="dxa"/>
          </w:tcPr>
          <w:p w14:paraId="79D6D50F" w14:textId="77777777" w:rsidR="00E00D25" w:rsidRPr="00FD657F" w:rsidRDefault="00E00D25" w:rsidP="007679E0">
            <w:pPr>
              <w:tabs>
                <w:tab w:val="left" w:pos="9914"/>
              </w:tabs>
              <w:rPr>
                <w:rFonts w:ascii="Calibri" w:hAnsi="Calibri" w:cs="Calibri"/>
                <w:sz w:val="16"/>
                <w:szCs w:val="16"/>
              </w:rPr>
            </w:pPr>
            <w:r w:rsidRPr="00FD657F">
              <w:rPr>
                <w:rFonts w:ascii="Calibri" w:hAnsi="Calibri" w:cs="Calibri"/>
                <w:sz w:val="16"/>
                <w:szCs w:val="16"/>
              </w:rPr>
              <w:t>Mieszanki mineralno-asfaltowe – Wymagania – Część 1: Beton asfaltowy</w:t>
            </w:r>
          </w:p>
        </w:tc>
      </w:tr>
      <w:tr w:rsidR="00E00D25" w:rsidRPr="00FD657F" w14:paraId="334DBE98" w14:textId="77777777" w:rsidTr="007679E0">
        <w:tc>
          <w:tcPr>
            <w:tcW w:w="534" w:type="dxa"/>
          </w:tcPr>
          <w:p w14:paraId="63DB0E45" w14:textId="77777777" w:rsidR="00E00D25" w:rsidRPr="00FD657F" w:rsidRDefault="00E00D25" w:rsidP="007679E0">
            <w:pPr>
              <w:tabs>
                <w:tab w:val="left" w:pos="9914"/>
              </w:tabs>
              <w:rPr>
                <w:rFonts w:ascii="Calibri" w:hAnsi="Calibri" w:cs="Calibri"/>
                <w:sz w:val="16"/>
                <w:szCs w:val="16"/>
              </w:rPr>
            </w:pPr>
            <w:r w:rsidRPr="00FD657F">
              <w:rPr>
                <w:rFonts w:ascii="Calibri" w:hAnsi="Calibri" w:cs="Calibri"/>
                <w:sz w:val="16"/>
                <w:szCs w:val="16"/>
              </w:rPr>
              <w:t>49.</w:t>
            </w:r>
          </w:p>
        </w:tc>
        <w:tc>
          <w:tcPr>
            <w:tcW w:w="1842" w:type="dxa"/>
          </w:tcPr>
          <w:p w14:paraId="65BF6819" w14:textId="77777777" w:rsidR="00E00D25" w:rsidRPr="00FD657F" w:rsidRDefault="00E00D25" w:rsidP="007679E0">
            <w:pPr>
              <w:tabs>
                <w:tab w:val="left" w:pos="9914"/>
              </w:tabs>
              <w:rPr>
                <w:rFonts w:ascii="Calibri" w:hAnsi="Calibri" w:cs="Calibri"/>
                <w:sz w:val="16"/>
                <w:szCs w:val="16"/>
              </w:rPr>
            </w:pPr>
            <w:r w:rsidRPr="00FD657F">
              <w:rPr>
                <w:rFonts w:ascii="Calibri" w:hAnsi="Calibri" w:cs="Calibri"/>
                <w:sz w:val="16"/>
                <w:szCs w:val="16"/>
              </w:rPr>
              <w:t>PN-EN 13108-20:2008</w:t>
            </w:r>
          </w:p>
        </w:tc>
        <w:tc>
          <w:tcPr>
            <w:tcW w:w="7371" w:type="dxa"/>
          </w:tcPr>
          <w:p w14:paraId="7B096AA9" w14:textId="77777777" w:rsidR="00E00D25" w:rsidRPr="00FD657F" w:rsidRDefault="00E00D25" w:rsidP="007679E0">
            <w:pPr>
              <w:tabs>
                <w:tab w:val="left" w:pos="9914"/>
              </w:tabs>
              <w:rPr>
                <w:rFonts w:ascii="Calibri" w:hAnsi="Calibri" w:cs="Calibri"/>
                <w:sz w:val="16"/>
                <w:szCs w:val="16"/>
              </w:rPr>
            </w:pPr>
            <w:r w:rsidRPr="00FD657F">
              <w:rPr>
                <w:rFonts w:ascii="Calibri" w:hAnsi="Calibri" w:cs="Calibri"/>
                <w:sz w:val="16"/>
                <w:szCs w:val="16"/>
              </w:rPr>
              <w:t>Mieszanki mineralno-asfaltowe – Wymagania – Część 20: Badanie typu</w:t>
            </w:r>
          </w:p>
        </w:tc>
      </w:tr>
      <w:tr w:rsidR="00E00D25" w:rsidRPr="00FD657F" w14:paraId="388DF954" w14:textId="77777777" w:rsidTr="007679E0">
        <w:tc>
          <w:tcPr>
            <w:tcW w:w="534" w:type="dxa"/>
          </w:tcPr>
          <w:p w14:paraId="4895A7F5" w14:textId="77777777" w:rsidR="00E00D25" w:rsidRPr="00FD657F" w:rsidRDefault="00E00D25" w:rsidP="007679E0">
            <w:pPr>
              <w:tabs>
                <w:tab w:val="left" w:pos="9914"/>
              </w:tabs>
              <w:rPr>
                <w:rFonts w:ascii="Calibri" w:hAnsi="Calibri" w:cs="Calibri"/>
                <w:sz w:val="16"/>
                <w:szCs w:val="16"/>
              </w:rPr>
            </w:pPr>
            <w:r w:rsidRPr="00FD657F">
              <w:rPr>
                <w:rFonts w:ascii="Calibri" w:hAnsi="Calibri" w:cs="Calibri"/>
                <w:sz w:val="16"/>
                <w:szCs w:val="16"/>
              </w:rPr>
              <w:t>50.</w:t>
            </w:r>
          </w:p>
        </w:tc>
        <w:tc>
          <w:tcPr>
            <w:tcW w:w="1842" w:type="dxa"/>
          </w:tcPr>
          <w:p w14:paraId="30593A92" w14:textId="77777777" w:rsidR="00E00D25" w:rsidRPr="00FD657F" w:rsidRDefault="00E00D25" w:rsidP="007679E0">
            <w:pPr>
              <w:tabs>
                <w:tab w:val="left" w:pos="9914"/>
              </w:tabs>
              <w:rPr>
                <w:rFonts w:ascii="Calibri" w:hAnsi="Calibri" w:cs="Calibri"/>
                <w:sz w:val="16"/>
                <w:szCs w:val="16"/>
              </w:rPr>
            </w:pPr>
            <w:r w:rsidRPr="00FD657F">
              <w:rPr>
                <w:rFonts w:ascii="Calibri" w:hAnsi="Calibri" w:cs="Calibri"/>
                <w:sz w:val="16"/>
                <w:szCs w:val="16"/>
              </w:rPr>
              <w:t>PN-EN 13179-1:2002</w:t>
            </w:r>
          </w:p>
        </w:tc>
        <w:tc>
          <w:tcPr>
            <w:tcW w:w="7371" w:type="dxa"/>
          </w:tcPr>
          <w:p w14:paraId="6A28C156" w14:textId="77777777" w:rsidR="00E00D25" w:rsidRPr="00FD657F" w:rsidRDefault="00E00D25" w:rsidP="007679E0">
            <w:pPr>
              <w:tabs>
                <w:tab w:val="left" w:pos="9914"/>
              </w:tabs>
              <w:rPr>
                <w:rFonts w:ascii="Calibri" w:hAnsi="Calibri" w:cs="Calibri"/>
                <w:sz w:val="16"/>
                <w:szCs w:val="16"/>
              </w:rPr>
            </w:pPr>
            <w:r w:rsidRPr="00FD657F">
              <w:rPr>
                <w:rFonts w:ascii="Calibri" w:hAnsi="Calibri" w:cs="Calibri"/>
                <w:sz w:val="16"/>
                <w:szCs w:val="16"/>
              </w:rPr>
              <w:t>Badania kruszyw wypełniających stosowanych do mieszanek bitumicznych – Część 1: Badanie metodą Pierścienia i Kuli</w:t>
            </w:r>
          </w:p>
        </w:tc>
      </w:tr>
      <w:tr w:rsidR="00E00D25" w:rsidRPr="00FD657F" w14:paraId="70009DB6" w14:textId="77777777" w:rsidTr="007679E0">
        <w:tc>
          <w:tcPr>
            <w:tcW w:w="534" w:type="dxa"/>
          </w:tcPr>
          <w:p w14:paraId="39A2D35F" w14:textId="77777777" w:rsidR="00E00D25" w:rsidRPr="00FD657F" w:rsidRDefault="00E00D25" w:rsidP="007679E0">
            <w:pPr>
              <w:tabs>
                <w:tab w:val="left" w:pos="9914"/>
              </w:tabs>
              <w:rPr>
                <w:rFonts w:ascii="Calibri" w:hAnsi="Calibri" w:cs="Calibri"/>
                <w:sz w:val="16"/>
                <w:szCs w:val="16"/>
              </w:rPr>
            </w:pPr>
            <w:r w:rsidRPr="00FD657F">
              <w:rPr>
                <w:rFonts w:ascii="Calibri" w:hAnsi="Calibri" w:cs="Calibri"/>
                <w:sz w:val="16"/>
                <w:szCs w:val="16"/>
              </w:rPr>
              <w:t>51.</w:t>
            </w:r>
          </w:p>
        </w:tc>
        <w:tc>
          <w:tcPr>
            <w:tcW w:w="1842" w:type="dxa"/>
          </w:tcPr>
          <w:p w14:paraId="3693C4C5" w14:textId="77777777" w:rsidR="00E00D25" w:rsidRPr="00FD657F" w:rsidRDefault="00E00D25" w:rsidP="007679E0">
            <w:pPr>
              <w:tabs>
                <w:tab w:val="left" w:pos="9914"/>
              </w:tabs>
              <w:rPr>
                <w:rFonts w:ascii="Calibri" w:hAnsi="Calibri" w:cs="Calibri"/>
                <w:sz w:val="16"/>
                <w:szCs w:val="16"/>
              </w:rPr>
            </w:pPr>
            <w:r w:rsidRPr="00FD657F">
              <w:rPr>
                <w:rFonts w:ascii="Calibri" w:hAnsi="Calibri" w:cs="Calibri"/>
                <w:sz w:val="16"/>
                <w:szCs w:val="16"/>
              </w:rPr>
              <w:t>PN-EN 13179-2:2002</w:t>
            </w:r>
          </w:p>
        </w:tc>
        <w:tc>
          <w:tcPr>
            <w:tcW w:w="7371" w:type="dxa"/>
          </w:tcPr>
          <w:p w14:paraId="5DF08A90" w14:textId="77777777" w:rsidR="00E00D25" w:rsidRPr="00FD657F" w:rsidRDefault="00E00D25" w:rsidP="007679E0">
            <w:pPr>
              <w:tabs>
                <w:tab w:val="left" w:pos="9914"/>
              </w:tabs>
              <w:rPr>
                <w:rFonts w:ascii="Calibri" w:hAnsi="Calibri" w:cs="Calibri"/>
                <w:sz w:val="16"/>
                <w:szCs w:val="16"/>
              </w:rPr>
            </w:pPr>
            <w:r w:rsidRPr="00FD657F">
              <w:rPr>
                <w:rFonts w:ascii="Calibri" w:hAnsi="Calibri" w:cs="Calibri"/>
                <w:sz w:val="16"/>
                <w:szCs w:val="16"/>
              </w:rPr>
              <w:t>Badania kruszyw wypełniających stosowanych do mieszanek bitumicznych – Część 2: Liczba bitumiczna</w:t>
            </w:r>
          </w:p>
        </w:tc>
      </w:tr>
      <w:tr w:rsidR="00E00D25" w:rsidRPr="00FD657F" w14:paraId="29285F5E" w14:textId="77777777" w:rsidTr="007679E0">
        <w:tc>
          <w:tcPr>
            <w:tcW w:w="534" w:type="dxa"/>
          </w:tcPr>
          <w:p w14:paraId="62AF426E" w14:textId="77777777" w:rsidR="00E00D25" w:rsidRPr="00FD657F" w:rsidRDefault="00E00D25" w:rsidP="007679E0">
            <w:pPr>
              <w:tabs>
                <w:tab w:val="left" w:pos="9914"/>
              </w:tabs>
              <w:rPr>
                <w:rFonts w:ascii="Calibri" w:hAnsi="Calibri" w:cs="Calibri"/>
                <w:sz w:val="16"/>
                <w:szCs w:val="16"/>
              </w:rPr>
            </w:pPr>
            <w:r w:rsidRPr="00FD657F">
              <w:rPr>
                <w:rFonts w:ascii="Calibri" w:hAnsi="Calibri" w:cs="Calibri"/>
                <w:sz w:val="16"/>
                <w:szCs w:val="16"/>
              </w:rPr>
              <w:t>52.</w:t>
            </w:r>
          </w:p>
        </w:tc>
        <w:tc>
          <w:tcPr>
            <w:tcW w:w="1842" w:type="dxa"/>
          </w:tcPr>
          <w:p w14:paraId="789464C7" w14:textId="77777777" w:rsidR="00E00D25" w:rsidRPr="00FD657F" w:rsidRDefault="00E00D25" w:rsidP="007679E0">
            <w:pPr>
              <w:tabs>
                <w:tab w:val="left" w:pos="9914"/>
              </w:tabs>
              <w:rPr>
                <w:rFonts w:ascii="Calibri" w:hAnsi="Calibri" w:cs="Calibri"/>
                <w:sz w:val="16"/>
                <w:szCs w:val="16"/>
              </w:rPr>
            </w:pPr>
            <w:r w:rsidRPr="00FD657F">
              <w:rPr>
                <w:rFonts w:ascii="Calibri" w:hAnsi="Calibri" w:cs="Calibri"/>
                <w:sz w:val="16"/>
                <w:szCs w:val="16"/>
              </w:rPr>
              <w:t>PN-EN 13398:2010</w:t>
            </w:r>
          </w:p>
        </w:tc>
        <w:tc>
          <w:tcPr>
            <w:tcW w:w="7371" w:type="dxa"/>
          </w:tcPr>
          <w:p w14:paraId="6FEB18EE" w14:textId="77777777" w:rsidR="00E00D25" w:rsidRPr="00FD657F" w:rsidRDefault="00E00D25" w:rsidP="007679E0">
            <w:pPr>
              <w:tabs>
                <w:tab w:val="left" w:pos="9914"/>
              </w:tabs>
              <w:rPr>
                <w:rFonts w:ascii="Calibri" w:hAnsi="Calibri" w:cs="Calibri"/>
                <w:sz w:val="16"/>
                <w:szCs w:val="16"/>
              </w:rPr>
            </w:pPr>
            <w:r w:rsidRPr="00FD657F">
              <w:rPr>
                <w:rFonts w:ascii="Calibri" w:hAnsi="Calibri" w:cs="Calibri"/>
                <w:sz w:val="16"/>
                <w:szCs w:val="16"/>
              </w:rPr>
              <w:t>Asfalty i lepiszcza asfaltowe – Oznaczanie nawrotu sprężystego asfaltów modyfikowanych</w:t>
            </w:r>
          </w:p>
        </w:tc>
      </w:tr>
      <w:tr w:rsidR="00E00D25" w:rsidRPr="00FD657F" w14:paraId="73E68D87" w14:textId="77777777" w:rsidTr="007679E0">
        <w:tc>
          <w:tcPr>
            <w:tcW w:w="534" w:type="dxa"/>
          </w:tcPr>
          <w:p w14:paraId="0CDF6B33" w14:textId="77777777" w:rsidR="00E00D25" w:rsidRPr="00FD657F" w:rsidRDefault="00E00D25" w:rsidP="007679E0">
            <w:pPr>
              <w:tabs>
                <w:tab w:val="left" w:pos="9914"/>
              </w:tabs>
              <w:rPr>
                <w:rFonts w:ascii="Calibri" w:hAnsi="Calibri" w:cs="Calibri"/>
                <w:sz w:val="16"/>
                <w:szCs w:val="16"/>
              </w:rPr>
            </w:pPr>
            <w:r w:rsidRPr="00FD657F">
              <w:rPr>
                <w:rFonts w:ascii="Calibri" w:hAnsi="Calibri" w:cs="Calibri"/>
                <w:sz w:val="16"/>
                <w:szCs w:val="16"/>
              </w:rPr>
              <w:t>53.</w:t>
            </w:r>
          </w:p>
        </w:tc>
        <w:tc>
          <w:tcPr>
            <w:tcW w:w="1842" w:type="dxa"/>
          </w:tcPr>
          <w:p w14:paraId="72203307" w14:textId="77777777" w:rsidR="00E00D25" w:rsidRPr="00FD657F" w:rsidRDefault="00E00D25" w:rsidP="007679E0">
            <w:pPr>
              <w:tabs>
                <w:tab w:val="left" w:pos="9914"/>
              </w:tabs>
              <w:rPr>
                <w:rFonts w:ascii="Calibri" w:hAnsi="Calibri" w:cs="Calibri"/>
                <w:sz w:val="16"/>
                <w:szCs w:val="16"/>
              </w:rPr>
            </w:pPr>
            <w:r w:rsidRPr="00FD657F">
              <w:rPr>
                <w:rFonts w:ascii="Calibri" w:hAnsi="Calibri" w:cs="Calibri"/>
                <w:sz w:val="16"/>
                <w:szCs w:val="16"/>
              </w:rPr>
              <w:t>PN-EN 13399:2010</w:t>
            </w:r>
          </w:p>
        </w:tc>
        <w:tc>
          <w:tcPr>
            <w:tcW w:w="7371" w:type="dxa"/>
          </w:tcPr>
          <w:p w14:paraId="585299E3" w14:textId="77777777" w:rsidR="00E00D25" w:rsidRPr="00FD657F" w:rsidRDefault="00E00D25" w:rsidP="007679E0">
            <w:pPr>
              <w:tabs>
                <w:tab w:val="left" w:pos="9914"/>
              </w:tabs>
              <w:rPr>
                <w:rFonts w:ascii="Calibri" w:hAnsi="Calibri" w:cs="Calibri"/>
                <w:sz w:val="16"/>
                <w:szCs w:val="16"/>
              </w:rPr>
            </w:pPr>
            <w:r w:rsidRPr="00FD657F">
              <w:rPr>
                <w:rFonts w:ascii="Calibri" w:hAnsi="Calibri" w:cs="Calibri"/>
                <w:sz w:val="16"/>
                <w:szCs w:val="16"/>
              </w:rPr>
              <w:t>Asfalty i lepiszcza asfaltowe – Oznaczanie odporności na magazynowanie modyfikowanych asfaltów</w:t>
            </w:r>
          </w:p>
        </w:tc>
      </w:tr>
      <w:tr w:rsidR="00E00D25" w:rsidRPr="00FD657F" w14:paraId="68862665" w14:textId="77777777" w:rsidTr="007679E0">
        <w:tc>
          <w:tcPr>
            <w:tcW w:w="534" w:type="dxa"/>
          </w:tcPr>
          <w:p w14:paraId="6ED05BBE" w14:textId="77777777" w:rsidR="00E00D25" w:rsidRPr="00FD657F" w:rsidRDefault="00E00D25" w:rsidP="007679E0">
            <w:pPr>
              <w:tabs>
                <w:tab w:val="left" w:pos="9914"/>
              </w:tabs>
              <w:rPr>
                <w:rFonts w:ascii="Calibri" w:hAnsi="Calibri" w:cs="Calibri"/>
                <w:sz w:val="16"/>
                <w:szCs w:val="16"/>
              </w:rPr>
            </w:pPr>
            <w:r w:rsidRPr="00FD657F">
              <w:rPr>
                <w:rFonts w:ascii="Calibri" w:hAnsi="Calibri" w:cs="Calibri"/>
                <w:sz w:val="16"/>
                <w:szCs w:val="16"/>
              </w:rPr>
              <w:t>54.</w:t>
            </w:r>
          </w:p>
        </w:tc>
        <w:tc>
          <w:tcPr>
            <w:tcW w:w="1842" w:type="dxa"/>
          </w:tcPr>
          <w:p w14:paraId="4A5C70D9" w14:textId="77777777" w:rsidR="00E00D25" w:rsidRPr="00FD657F" w:rsidRDefault="00E00D25" w:rsidP="007679E0">
            <w:pPr>
              <w:tabs>
                <w:tab w:val="left" w:pos="9914"/>
              </w:tabs>
              <w:rPr>
                <w:rFonts w:ascii="Calibri" w:hAnsi="Calibri" w:cs="Calibri"/>
                <w:sz w:val="16"/>
                <w:szCs w:val="16"/>
              </w:rPr>
            </w:pPr>
            <w:r w:rsidRPr="00FD657F">
              <w:rPr>
                <w:rFonts w:ascii="Calibri" w:hAnsi="Calibri" w:cs="Calibri"/>
                <w:sz w:val="16"/>
                <w:szCs w:val="16"/>
              </w:rPr>
              <w:t>PN-EN 13587:2010</w:t>
            </w:r>
          </w:p>
        </w:tc>
        <w:tc>
          <w:tcPr>
            <w:tcW w:w="7371" w:type="dxa"/>
          </w:tcPr>
          <w:p w14:paraId="5762132A" w14:textId="77777777" w:rsidR="00E00D25" w:rsidRPr="00FD657F" w:rsidRDefault="00E00D25" w:rsidP="007679E0">
            <w:pPr>
              <w:tabs>
                <w:tab w:val="left" w:pos="9914"/>
              </w:tabs>
              <w:rPr>
                <w:rFonts w:ascii="Calibri" w:hAnsi="Calibri" w:cs="Calibri"/>
                <w:sz w:val="16"/>
                <w:szCs w:val="16"/>
              </w:rPr>
            </w:pPr>
            <w:r w:rsidRPr="00FD657F">
              <w:rPr>
                <w:rFonts w:ascii="Calibri" w:hAnsi="Calibri" w:cs="Calibri"/>
                <w:sz w:val="16"/>
                <w:szCs w:val="16"/>
              </w:rPr>
              <w:t>Asfalty i lepiszcza asfaltowe – Oznaczanie ciągliwości lepiszczy asfaltowych metodą pomiaru ciągliwości</w:t>
            </w:r>
          </w:p>
        </w:tc>
      </w:tr>
      <w:tr w:rsidR="00E00D25" w:rsidRPr="00FD657F" w14:paraId="62C988A0" w14:textId="77777777" w:rsidTr="007679E0">
        <w:tc>
          <w:tcPr>
            <w:tcW w:w="534" w:type="dxa"/>
          </w:tcPr>
          <w:p w14:paraId="7D7BDF5B" w14:textId="77777777" w:rsidR="00E00D25" w:rsidRPr="00FD657F" w:rsidRDefault="00E00D25" w:rsidP="007679E0">
            <w:pPr>
              <w:tabs>
                <w:tab w:val="left" w:pos="9914"/>
              </w:tabs>
              <w:rPr>
                <w:rFonts w:ascii="Calibri" w:hAnsi="Calibri" w:cs="Calibri"/>
                <w:sz w:val="16"/>
                <w:szCs w:val="16"/>
              </w:rPr>
            </w:pPr>
            <w:r w:rsidRPr="00FD657F">
              <w:rPr>
                <w:rFonts w:ascii="Calibri" w:hAnsi="Calibri" w:cs="Calibri"/>
                <w:sz w:val="16"/>
                <w:szCs w:val="16"/>
              </w:rPr>
              <w:t>55.</w:t>
            </w:r>
          </w:p>
        </w:tc>
        <w:tc>
          <w:tcPr>
            <w:tcW w:w="1842" w:type="dxa"/>
          </w:tcPr>
          <w:p w14:paraId="1434B121" w14:textId="77777777" w:rsidR="00E00D25" w:rsidRPr="00FD657F" w:rsidRDefault="00E00D25" w:rsidP="007679E0">
            <w:pPr>
              <w:tabs>
                <w:tab w:val="left" w:pos="9914"/>
              </w:tabs>
              <w:rPr>
                <w:rFonts w:ascii="Calibri" w:hAnsi="Calibri" w:cs="Calibri"/>
                <w:sz w:val="16"/>
                <w:szCs w:val="16"/>
              </w:rPr>
            </w:pPr>
            <w:r w:rsidRPr="00FD657F">
              <w:rPr>
                <w:rFonts w:ascii="Calibri" w:hAnsi="Calibri" w:cs="Calibri"/>
                <w:sz w:val="16"/>
                <w:szCs w:val="16"/>
              </w:rPr>
              <w:t>PN-EN 13588:2009</w:t>
            </w:r>
          </w:p>
        </w:tc>
        <w:tc>
          <w:tcPr>
            <w:tcW w:w="7371" w:type="dxa"/>
          </w:tcPr>
          <w:p w14:paraId="447BF742" w14:textId="77777777" w:rsidR="00E00D25" w:rsidRPr="00FD657F" w:rsidRDefault="00E00D25" w:rsidP="007679E0">
            <w:pPr>
              <w:tabs>
                <w:tab w:val="left" w:pos="9914"/>
              </w:tabs>
              <w:rPr>
                <w:rFonts w:ascii="Calibri" w:hAnsi="Calibri" w:cs="Calibri"/>
                <w:sz w:val="16"/>
                <w:szCs w:val="16"/>
              </w:rPr>
            </w:pPr>
            <w:r w:rsidRPr="00FD657F">
              <w:rPr>
                <w:rFonts w:ascii="Calibri" w:hAnsi="Calibri" w:cs="Calibri"/>
                <w:sz w:val="16"/>
                <w:szCs w:val="16"/>
              </w:rPr>
              <w:t>Asfalty i lepiszcza asfaltowe – Oznaczanie kohezji lepiszczy asfaltowych metodą testu wahadłowego</w:t>
            </w:r>
          </w:p>
        </w:tc>
      </w:tr>
      <w:tr w:rsidR="00E00D25" w:rsidRPr="00FD657F" w14:paraId="679D8B2F" w14:textId="77777777" w:rsidTr="007679E0">
        <w:tc>
          <w:tcPr>
            <w:tcW w:w="534" w:type="dxa"/>
          </w:tcPr>
          <w:p w14:paraId="688B404F" w14:textId="77777777" w:rsidR="00E00D25" w:rsidRPr="00FD657F" w:rsidRDefault="00E00D25" w:rsidP="007679E0">
            <w:pPr>
              <w:tabs>
                <w:tab w:val="left" w:pos="9914"/>
              </w:tabs>
              <w:rPr>
                <w:rFonts w:ascii="Calibri" w:hAnsi="Calibri" w:cs="Calibri"/>
                <w:sz w:val="16"/>
                <w:szCs w:val="16"/>
              </w:rPr>
            </w:pPr>
            <w:r w:rsidRPr="00FD657F">
              <w:rPr>
                <w:rFonts w:ascii="Calibri" w:hAnsi="Calibri" w:cs="Calibri"/>
                <w:sz w:val="16"/>
                <w:szCs w:val="16"/>
              </w:rPr>
              <w:t>56.</w:t>
            </w:r>
          </w:p>
        </w:tc>
        <w:tc>
          <w:tcPr>
            <w:tcW w:w="1842" w:type="dxa"/>
          </w:tcPr>
          <w:p w14:paraId="412EFCE7" w14:textId="77777777" w:rsidR="00E00D25" w:rsidRPr="00FD657F" w:rsidRDefault="00E00D25" w:rsidP="007679E0">
            <w:pPr>
              <w:tabs>
                <w:tab w:val="left" w:pos="9914"/>
              </w:tabs>
              <w:rPr>
                <w:rFonts w:ascii="Calibri" w:hAnsi="Calibri" w:cs="Calibri"/>
                <w:sz w:val="16"/>
                <w:szCs w:val="16"/>
              </w:rPr>
            </w:pPr>
            <w:r w:rsidRPr="00FD657F">
              <w:rPr>
                <w:rFonts w:ascii="Calibri" w:hAnsi="Calibri" w:cs="Calibri"/>
                <w:sz w:val="16"/>
                <w:szCs w:val="16"/>
              </w:rPr>
              <w:t>PN-EN 13589:2008</w:t>
            </w:r>
          </w:p>
        </w:tc>
        <w:tc>
          <w:tcPr>
            <w:tcW w:w="7371" w:type="dxa"/>
          </w:tcPr>
          <w:p w14:paraId="42A8FA77" w14:textId="77777777" w:rsidR="00E00D25" w:rsidRPr="00FD657F" w:rsidRDefault="00E00D25" w:rsidP="007679E0">
            <w:pPr>
              <w:tabs>
                <w:tab w:val="left" w:pos="9914"/>
              </w:tabs>
              <w:rPr>
                <w:rFonts w:ascii="Calibri" w:hAnsi="Calibri" w:cs="Calibri"/>
                <w:sz w:val="16"/>
                <w:szCs w:val="16"/>
              </w:rPr>
            </w:pPr>
            <w:r w:rsidRPr="00FD657F">
              <w:rPr>
                <w:rFonts w:ascii="Calibri" w:hAnsi="Calibri" w:cs="Calibri"/>
                <w:sz w:val="16"/>
                <w:szCs w:val="16"/>
              </w:rPr>
              <w:t>Asfalty i lepiszcza asfaltowe – Oznaczanie ciągliwości modyfikowanych asfaltów – Metoda z duktylometrem</w:t>
            </w:r>
          </w:p>
        </w:tc>
      </w:tr>
      <w:tr w:rsidR="00E00D25" w:rsidRPr="00FD657F" w14:paraId="70EA7F34" w14:textId="77777777" w:rsidTr="007679E0">
        <w:tc>
          <w:tcPr>
            <w:tcW w:w="534" w:type="dxa"/>
          </w:tcPr>
          <w:p w14:paraId="21F16FC1" w14:textId="77777777" w:rsidR="00E00D25" w:rsidRPr="00FD657F" w:rsidRDefault="00E00D25" w:rsidP="007679E0">
            <w:pPr>
              <w:tabs>
                <w:tab w:val="left" w:pos="9914"/>
              </w:tabs>
              <w:rPr>
                <w:rFonts w:ascii="Calibri" w:hAnsi="Calibri" w:cs="Calibri"/>
                <w:sz w:val="16"/>
                <w:szCs w:val="16"/>
              </w:rPr>
            </w:pPr>
            <w:r w:rsidRPr="00FD657F">
              <w:rPr>
                <w:rFonts w:ascii="Calibri" w:hAnsi="Calibri" w:cs="Calibri"/>
                <w:sz w:val="16"/>
                <w:szCs w:val="16"/>
              </w:rPr>
              <w:t>57.</w:t>
            </w:r>
          </w:p>
        </w:tc>
        <w:tc>
          <w:tcPr>
            <w:tcW w:w="1842" w:type="dxa"/>
          </w:tcPr>
          <w:p w14:paraId="4659053F" w14:textId="77777777" w:rsidR="00E00D25" w:rsidRPr="00FD657F" w:rsidRDefault="00E00D25" w:rsidP="007679E0">
            <w:pPr>
              <w:tabs>
                <w:tab w:val="left" w:pos="9914"/>
              </w:tabs>
              <w:rPr>
                <w:rFonts w:ascii="Calibri" w:hAnsi="Calibri" w:cs="Calibri"/>
                <w:sz w:val="16"/>
                <w:szCs w:val="16"/>
              </w:rPr>
            </w:pPr>
            <w:r w:rsidRPr="00FD657F">
              <w:rPr>
                <w:rFonts w:ascii="Calibri" w:hAnsi="Calibri" w:cs="Calibri"/>
                <w:sz w:val="16"/>
                <w:szCs w:val="16"/>
              </w:rPr>
              <w:t>PN-EN 13614:2010</w:t>
            </w:r>
          </w:p>
        </w:tc>
        <w:tc>
          <w:tcPr>
            <w:tcW w:w="7371" w:type="dxa"/>
          </w:tcPr>
          <w:p w14:paraId="602B1C53" w14:textId="77777777" w:rsidR="00E00D25" w:rsidRPr="00FD657F" w:rsidRDefault="00E00D25" w:rsidP="007679E0">
            <w:pPr>
              <w:tabs>
                <w:tab w:val="left" w:pos="9914"/>
              </w:tabs>
              <w:rPr>
                <w:rFonts w:ascii="Calibri" w:hAnsi="Calibri" w:cs="Calibri"/>
                <w:sz w:val="16"/>
                <w:szCs w:val="16"/>
              </w:rPr>
            </w:pPr>
            <w:r w:rsidRPr="00FD657F">
              <w:rPr>
                <w:rFonts w:ascii="Calibri" w:hAnsi="Calibri" w:cs="Calibri"/>
                <w:sz w:val="16"/>
                <w:szCs w:val="16"/>
              </w:rPr>
              <w:t>Asfalty i lepiszcza asfaltowe – Oznaczanie przyczepności emulsji bitumicznych przez zanurzenie w wodzie – Metoda z kruszywem</w:t>
            </w:r>
          </w:p>
        </w:tc>
      </w:tr>
      <w:tr w:rsidR="00E00D25" w:rsidRPr="00FD657F" w14:paraId="51889936" w14:textId="77777777" w:rsidTr="007679E0">
        <w:tc>
          <w:tcPr>
            <w:tcW w:w="534" w:type="dxa"/>
          </w:tcPr>
          <w:p w14:paraId="6F1EF309" w14:textId="77777777" w:rsidR="00E00D25" w:rsidRPr="00FD657F" w:rsidRDefault="00E00D25" w:rsidP="007679E0">
            <w:pPr>
              <w:tabs>
                <w:tab w:val="left" w:pos="9914"/>
              </w:tabs>
              <w:rPr>
                <w:rFonts w:ascii="Calibri" w:hAnsi="Calibri" w:cs="Calibri"/>
                <w:sz w:val="16"/>
                <w:szCs w:val="16"/>
              </w:rPr>
            </w:pPr>
            <w:r w:rsidRPr="00FD657F">
              <w:rPr>
                <w:rFonts w:ascii="Calibri" w:hAnsi="Calibri" w:cs="Calibri"/>
                <w:sz w:val="16"/>
                <w:szCs w:val="16"/>
              </w:rPr>
              <w:t>58.</w:t>
            </w:r>
          </w:p>
        </w:tc>
        <w:tc>
          <w:tcPr>
            <w:tcW w:w="1842" w:type="dxa"/>
          </w:tcPr>
          <w:p w14:paraId="115E97EF" w14:textId="77777777" w:rsidR="00E00D25" w:rsidRPr="00FD657F" w:rsidRDefault="00E00D25" w:rsidP="007679E0">
            <w:pPr>
              <w:tabs>
                <w:tab w:val="left" w:pos="9914"/>
              </w:tabs>
              <w:rPr>
                <w:rFonts w:ascii="Calibri" w:hAnsi="Calibri" w:cs="Calibri"/>
                <w:sz w:val="16"/>
                <w:szCs w:val="16"/>
              </w:rPr>
            </w:pPr>
            <w:r w:rsidRPr="00FD657F">
              <w:rPr>
                <w:rFonts w:ascii="Calibri" w:hAnsi="Calibri" w:cs="Calibri"/>
                <w:sz w:val="16"/>
                <w:szCs w:val="16"/>
              </w:rPr>
              <w:t>PN-EN 13703:2009</w:t>
            </w:r>
          </w:p>
        </w:tc>
        <w:tc>
          <w:tcPr>
            <w:tcW w:w="7371" w:type="dxa"/>
          </w:tcPr>
          <w:p w14:paraId="74F76272" w14:textId="77777777" w:rsidR="00E00D25" w:rsidRPr="00FD657F" w:rsidRDefault="00E00D25" w:rsidP="007679E0">
            <w:pPr>
              <w:tabs>
                <w:tab w:val="left" w:pos="9914"/>
              </w:tabs>
              <w:rPr>
                <w:rFonts w:ascii="Calibri" w:hAnsi="Calibri" w:cs="Calibri"/>
                <w:sz w:val="16"/>
                <w:szCs w:val="16"/>
              </w:rPr>
            </w:pPr>
            <w:r w:rsidRPr="00FD657F">
              <w:rPr>
                <w:rFonts w:ascii="Calibri" w:hAnsi="Calibri" w:cs="Calibri"/>
                <w:sz w:val="16"/>
                <w:szCs w:val="16"/>
              </w:rPr>
              <w:t>Asfalty i lepiszcza asfaltowe – Oznaczanie energii deformacji</w:t>
            </w:r>
          </w:p>
        </w:tc>
      </w:tr>
      <w:tr w:rsidR="00E00D25" w:rsidRPr="00FD657F" w14:paraId="0478C0DE" w14:textId="77777777" w:rsidTr="007679E0">
        <w:tc>
          <w:tcPr>
            <w:tcW w:w="534" w:type="dxa"/>
          </w:tcPr>
          <w:p w14:paraId="006A98BE" w14:textId="77777777" w:rsidR="00E00D25" w:rsidRPr="00FD657F" w:rsidRDefault="00E00D25" w:rsidP="007679E0">
            <w:pPr>
              <w:tabs>
                <w:tab w:val="left" w:pos="9914"/>
              </w:tabs>
              <w:rPr>
                <w:rFonts w:ascii="Calibri" w:hAnsi="Calibri" w:cs="Calibri"/>
                <w:sz w:val="16"/>
                <w:szCs w:val="16"/>
              </w:rPr>
            </w:pPr>
            <w:r w:rsidRPr="00FD657F">
              <w:rPr>
                <w:rFonts w:ascii="Calibri" w:hAnsi="Calibri" w:cs="Calibri"/>
                <w:sz w:val="16"/>
                <w:szCs w:val="16"/>
              </w:rPr>
              <w:t>59.</w:t>
            </w:r>
          </w:p>
        </w:tc>
        <w:tc>
          <w:tcPr>
            <w:tcW w:w="1842" w:type="dxa"/>
          </w:tcPr>
          <w:p w14:paraId="147268A0" w14:textId="77777777" w:rsidR="00E00D25" w:rsidRPr="00FD657F" w:rsidRDefault="00E00D25" w:rsidP="007679E0">
            <w:pPr>
              <w:tabs>
                <w:tab w:val="left" w:pos="9914"/>
              </w:tabs>
              <w:rPr>
                <w:rFonts w:ascii="Calibri" w:hAnsi="Calibri" w:cs="Calibri"/>
                <w:sz w:val="16"/>
                <w:szCs w:val="16"/>
              </w:rPr>
            </w:pPr>
            <w:r w:rsidRPr="00FD657F">
              <w:rPr>
                <w:rFonts w:ascii="Calibri" w:hAnsi="Calibri" w:cs="Calibri"/>
                <w:sz w:val="16"/>
                <w:szCs w:val="16"/>
              </w:rPr>
              <w:t>PN-EN 13808:2010</w:t>
            </w:r>
          </w:p>
        </w:tc>
        <w:tc>
          <w:tcPr>
            <w:tcW w:w="7371" w:type="dxa"/>
          </w:tcPr>
          <w:p w14:paraId="04246D10" w14:textId="77777777" w:rsidR="00E00D25" w:rsidRPr="00FD657F" w:rsidRDefault="00E00D25" w:rsidP="007679E0">
            <w:pPr>
              <w:tabs>
                <w:tab w:val="left" w:pos="9914"/>
              </w:tabs>
              <w:rPr>
                <w:rFonts w:ascii="Calibri" w:hAnsi="Calibri" w:cs="Calibri"/>
                <w:sz w:val="16"/>
                <w:szCs w:val="16"/>
              </w:rPr>
            </w:pPr>
            <w:r w:rsidRPr="00FD657F">
              <w:rPr>
                <w:rFonts w:ascii="Calibri" w:hAnsi="Calibri" w:cs="Calibri"/>
                <w:sz w:val="16"/>
                <w:szCs w:val="16"/>
              </w:rPr>
              <w:t>Asfalty i lepiszcza asfaltowe – Zasady specyfikacji kationowych emulsji asfaltowych</w:t>
            </w:r>
          </w:p>
        </w:tc>
      </w:tr>
      <w:tr w:rsidR="00E00D25" w:rsidRPr="00FD657F" w14:paraId="3E0D4462" w14:textId="77777777" w:rsidTr="007679E0">
        <w:tc>
          <w:tcPr>
            <w:tcW w:w="534" w:type="dxa"/>
          </w:tcPr>
          <w:p w14:paraId="278BA967" w14:textId="77777777" w:rsidR="00E00D25" w:rsidRPr="00FD657F" w:rsidRDefault="00E00D25" w:rsidP="007679E0">
            <w:pPr>
              <w:tabs>
                <w:tab w:val="left" w:pos="9914"/>
              </w:tabs>
              <w:rPr>
                <w:rFonts w:ascii="Calibri" w:hAnsi="Calibri" w:cs="Calibri"/>
                <w:sz w:val="16"/>
                <w:szCs w:val="16"/>
              </w:rPr>
            </w:pPr>
            <w:r w:rsidRPr="00FD657F">
              <w:rPr>
                <w:rFonts w:ascii="Calibri" w:hAnsi="Calibri" w:cs="Calibri"/>
                <w:sz w:val="16"/>
                <w:szCs w:val="16"/>
              </w:rPr>
              <w:t>60.</w:t>
            </w:r>
          </w:p>
        </w:tc>
        <w:tc>
          <w:tcPr>
            <w:tcW w:w="1842" w:type="dxa"/>
          </w:tcPr>
          <w:p w14:paraId="33EE9EB6" w14:textId="77777777" w:rsidR="00E00D25" w:rsidRPr="00FD657F" w:rsidRDefault="00E00D25" w:rsidP="007679E0">
            <w:pPr>
              <w:tabs>
                <w:tab w:val="left" w:pos="9914"/>
              </w:tabs>
              <w:rPr>
                <w:rFonts w:ascii="Calibri" w:hAnsi="Calibri" w:cs="Calibri"/>
                <w:sz w:val="16"/>
                <w:szCs w:val="16"/>
              </w:rPr>
            </w:pPr>
            <w:r w:rsidRPr="00FD657F">
              <w:rPr>
                <w:rFonts w:ascii="Calibri" w:hAnsi="Calibri" w:cs="Calibri"/>
                <w:sz w:val="16"/>
                <w:szCs w:val="16"/>
              </w:rPr>
              <w:t>PN-EN 14023:2010</w:t>
            </w:r>
          </w:p>
        </w:tc>
        <w:tc>
          <w:tcPr>
            <w:tcW w:w="7371" w:type="dxa"/>
          </w:tcPr>
          <w:p w14:paraId="644B767B" w14:textId="77777777" w:rsidR="00E00D25" w:rsidRPr="00FD657F" w:rsidRDefault="00E00D25" w:rsidP="007679E0">
            <w:pPr>
              <w:tabs>
                <w:tab w:val="left" w:pos="9914"/>
              </w:tabs>
              <w:rPr>
                <w:rFonts w:ascii="Calibri" w:hAnsi="Calibri" w:cs="Calibri"/>
                <w:sz w:val="16"/>
                <w:szCs w:val="16"/>
              </w:rPr>
            </w:pPr>
            <w:r w:rsidRPr="00FD657F">
              <w:rPr>
                <w:rFonts w:ascii="Calibri" w:hAnsi="Calibri" w:cs="Calibri"/>
                <w:sz w:val="16"/>
                <w:szCs w:val="16"/>
              </w:rPr>
              <w:t>Asfalty i lepiszcza asfaltowe – Zasady specyfikacji asfaltów modyfikowanych polimerami</w:t>
            </w:r>
          </w:p>
        </w:tc>
      </w:tr>
      <w:tr w:rsidR="00E00D25" w:rsidRPr="00FD657F" w14:paraId="4709C48A" w14:textId="77777777" w:rsidTr="007679E0">
        <w:tc>
          <w:tcPr>
            <w:tcW w:w="534" w:type="dxa"/>
          </w:tcPr>
          <w:p w14:paraId="1E0530C8" w14:textId="77777777" w:rsidR="00E00D25" w:rsidRPr="00FD657F" w:rsidRDefault="00E00D25" w:rsidP="007679E0">
            <w:pPr>
              <w:tabs>
                <w:tab w:val="left" w:pos="9914"/>
              </w:tabs>
              <w:rPr>
                <w:rFonts w:ascii="Calibri" w:hAnsi="Calibri" w:cs="Calibri"/>
                <w:sz w:val="16"/>
                <w:szCs w:val="16"/>
              </w:rPr>
            </w:pPr>
            <w:r w:rsidRPr="00FD657F">
              <w:rPr>
                <w:rFonts w:ascii="Calibri" w:hAnsi="Calibri" w:cs="Calibri"/>
                <w:sz w:val="16"/>
                <w:szCs w:val="16"/>
              </w:rPr>
              <w:t>61.</w:t>
            </w:r>
          </w:p>
        </w:tc>
        <w:tc>
          <w:tcPr>
            <w:tcW w:w="1842" w:type="dxa"/>
          </w:tcPr>
          <w:p w14:paraId="482D1F94" w14:textId="77777777" w:rsidR="00E00D25" w:rsidRPr="00FD657F" w:rsidRDefault="00E00D25" w:rsidP="007679E0">
            <w:pPr>
              <w:tabs>
                <w:tab w:val="left" w:pos="9914"/>
              </w:tabs>
              <w:rPr>
                <w:rFonts w:ascii="Calibri" w:hAnsi="Calibri" w:cs="Calibri"/>
                <w:sz w:val="16"/>
                <w:szCs w:val="16"/>
              </w:rPr>
            </w:pPr>
            <w:r w:rsidRPr="00FD657F">
              <w:rPr>
                <w:rFonts w:ascii="Calibri" w:hAnsi="Calibri" w:cs="Calibri"/>
                <w:sz w:val="16"/>
                <w:szCs w:val="16"/>
              </w:rPr>
              <w:t>PN-EN 14188-1:2010</w:t>
            </w:r>
          </w:p>
        </w:tc>
        <w:tc>
          <w:tcPr>
            <w:tcW w:w="7371" w:type="dxa"/>
          </w:tcPr>
          <w:p w14:paraId="06215014" w14:textId="77777777" w:rsidR="00E00D25" w:rsidRPr="00FD657F" w:rsidRDefault="00E00D25" w:rsidP="007679E0">
            <w:pPr>
              <w:tabs>
                <w:tab w:val="left" w:pos="9914"/>
              </w:tabs>
              <w:rPr>
                <w:rFonts w:ascii="Calibri" w:hAnsi="Calibri" w:cs="Calibri"/>
                <w:sz w:val="16"/>
                <w:szCs w:val="16"/>
              </w:rPr>
            </w:pPr>
            <w:r w:rsidRPr="00FD657F">
              <w:rPr>
                <w:rFonts w:ascii="Calibri" w:hAnsi="Calibri" w:cs="Calibri"/>
                <w:sz w:val="16"/>
                <w:szCs w:val="16"/>
              </w:rPr>
              <w:t>Wypełniacze złączy i zalewy – Część 1: Specyfikacja zalew na gorąco</w:t>
            </w:r>
          </w:p>
        </w:tc>
      </w:tr>
      <w:tr w:rsidR="00E00D25" w:rsidRPr="00FD657F" w14:paraId="327AEEAC" w14:textId="77777777" w:rsidTr="007679E0">
        <w:tc>
          <w:tcPr>
            <w:tcW w:w="534" w:type="dxa"/>
          </w:tcPr>
          <w:p w14:paraId="5CC5C197" w14:textId="77777777" w:rsidR="00E00D25" w:rsidRPr="00FD657F" w:rsidRDefault="00E00D25" w:rsidP="007679E0">
            <w:pPr>
              <w:tabs>
                <w:tab w:val="left" w:pos="9914"/>
              </w:tabs>
              <w:rPr>
                <w:rFonts w:ascii="Calibri" w:hAnsi="Calibri" w:cs="Calibri"/>
                <w:sz w:val="16"/>
                <w:szCs w:val="16"/>
              </w:rPr>
            </w:pPr>
            <w:r w:rsidRPr="00FD657F">
              <w:rPr>
                <w:rFonts w:ascii="Calibri" w:hAnsi="Calibri" w:cs="Calibri"/>
                <w:sz w:val="16"/>
                <w:szCs w:val="16"/>
              </w:rPr>
              <w:t>62.</w:t>
            </w:r>
          </w:p>
        </w:tc>
        <w:tc>
          <w:tcPr>
            <w:tcW w:w="1842" w:type="dxa"/>
          </w:tcPr>
          <w:p w14:paraId="29A0A76E" w14:textId="77777777" w:rsidR="00E00D25" w:rsidRPr="00FD657F" w:rsidRDefault="00E00D25" w:rsidP="007679E0">
            <w:pPr>
              <w:tabs>
                <w:tab w:val="left" w:pos="9914"/>
              </w:tabs>
              <w:rPr>
                <w:rFonts w:ascii="Calibri" w:hAnsi="Calibri" w:cs="Calibri"/>
                <w:sz w:val="16"/>
                <w:szCs w:val="16"/>
              </w:rPr>
            </w:pPr>
            <w:r w:rsidRPr="00FD657F">
              <w:rPr>
                <w:rFonts w:ascii="Calibri" w:hAnsi="Calibri" w:cs="Calibri"/>
                <w:sz w:val="16"/>
                <w:szCs w:val="16"/>
              </w:rPr>
              <w:t>PN-EN 14188-2:2010</w:t>
            </w:r>
          </w:p>
        </w:tc>
        <w:tc>
          <w:tcPr>
            <w:tcW w:w="7371" w:type="dxa"/>
          </w:tcPr>
          <w:p w14:paraId="1343FE2E" w14:textId="77777777" w:rsidR="00E00D25" w:rsidRPr="00FD657F" w:rsidRDefault="00E00D25" w:rsidP="007679E0">
            <w:pPr>
              <w:tabs>
                <w:tab w:val="left" w:pos="9914"/>
              </w:tabs>
              <w:rPr>
                <w:rFonts w:ascii="Calibri" w:hAnsi="Calibri" w:cs="Calibri"/>
                <w:sz w:val="16"/>
                <w:szCs w:val="16"/>
              </w:rPr>
            </w:pPr>
            <w:r w:rsidRPr="00FD657F">
              <w:rPr>
                <w:rFonts w:ascii="Calibri" w:hAnsi="Calibri" w:cs="Calibri"/>
                <w:sz w:val="16"/>
                <w:szCs w:val="16"/>
              </w:rPr>
              <w:t>Wypełniacze złączy i zalewy – Część 2: Specyfikacja zalew na zimno</w:t>
            </w:r>
          </w:p>
        </w:tc>
      </w:tr>
      <w:tr w:rsidR="00E00D25" w:rsidRPr="00FD657F" w14:paraId="56421910" w14:textId="77777777" w:rsidTr="007679E0">
        <w:tc>
          <w:tcPr>
            <w:tcW w:w="534" w:type="dxa"/>
          </w:tcPr>
          <w:p w14:paraId="31230CA9" w14:textId="77777777" w:rsidR="00E00D25" w:rsidRPr="00FD657F" w:rsidRDefault="00E00D25" w:rsidP="007679E0">
            <w:pPr>
              <w:tabs>
                <w:tab w:val="left" w:pos="9914"/>
              </w:tabs>
              <w:rPr>
                <w:rFonts w:ascii="Calibri" w:hAnsi="Calibri" w:cs="Calibri"/>
                <w:sz w:val="16"/>
                <w:szCs w:val="16"/>
              </w:rPr>
            </w:pPr>
            <w:r w:rsidRPr="00FD657F">
              <w:rPr>
                <w:rFonts w:ascii="Calibri" w:hAnsi="Calibri" w:cs="Calibri"/>
                <w:sz w:val="16"/>
                <w:szCs w:val="16"/>
              </w:rPr>
              <w:t>63.</w:t>
            </w:r>
          </w:p>
        </w:tc>
        <w:tc>
          <w:tcPr>
            <w:tcW w:w="1842" w:type="dxa"/>
          </w:tcPr>
          <w:p w14:paraId="28A97082" w14:textId="77777777" w:rsidR="00E00D25" w:rsidRPr="00FD657F" w:rsidRDefault="00E00D25" w:rsidP="007679E0">
            <w:pPr>
              <w:tabs>
                <w:tab w:val="left" w:pos="9914"/>
              </w:tabs>
              <w:rPr>
                <w:rFonts w:ascii="Calibri" w:hAnsi="Calibri" w:cs="Calibri"/>
                <w:sz w:val="16"/>
                <w:szCs w:val="16"/>
              </w:rPr>
            </w:pPr>
            <w:r w:rsidRPr="00FD657F">
              <w:rPr>
                <w:rFonts w:ascii="Calibri" w:hAnsi="Calibri" w:cs="Calibri"/>
                <w:sz w:val="16"/>
                <w:szCs w:val="16"/>
              </w:rPr>
              <w:t>PN-EN 12592:2009</w:t>
            </w:r>
          </w:p>
        </w:tc>
        <w:tc>
          <w:tcPr>
            <w:tcW w:w="7371" w:type="dxa"/>
          </w:tcPr>
          <w:p w14:paraId="074DFF26" w14:textId="77777777" w:rsidR="00E00D25" w:rsidRPr="00FD657F" w:rsidRDefault="00E00D25" w:rsidP="007679E0">
            <w:pPr>
              <w:tabs>
                <w:tab w:val="left" w:pos="9914"/>
              </w:tabs>
              <w:rPr>
                <w:rFonts w:ascii="Calibri" w:hAnsi="Calibri" w:cs="Calibri"/>
                <w:sz w:val="16"/>
                <w:szCs w:val="16"/>
              </w:rPr>
            </w:pPr>
            <w:r w:rsidRPr="00FD657F">
              <w:rPr>
                <w:rFonts w:ascii="Calibri" w:hAnsi="Calibri" w:cs="Calibri"/>
                <w:sz w:val="16"/>
                <w:szCs w:val="16"/>
              </w:rPr>
              <w:t>Przetwory naftowe – Oznaczanie temperatury zapłonu i palenia – Pomiar metodą otwartego tygla Clevelanda</w:t>
            </w:r>
          </w:p>
        </w:tc>
      </w:tr>
      <w:tr w:rsidR="00E00D25" w:rsidRPr="00FD657F" w14:paraId="574E7C22" w14:textId="77777777" w:rsidTr="007679E0">
        <w:tc>
          <w:tcPr>
            <w:tcW w:w="534" w:type="dxa"/>
          </w:tcPr>
          <w:p w14:paraId="40C866DC" w14:textId="77777777" w:rsidR="00E00D25" w:rsidRPr="00FD657F" w:rsidRDefault="00E00D25" w:rsidP="007679E0">
            <w:pPr>
              <w:tabs>
                <w:tab w:val="left" w:pos="9914"/>
              </w:tabs>
              <w:rPr>
                <w:rFonts w:ascii="Calibri" w:hAnsi="Calibri" w:cs="Calibri"/>
                <w:sz w:val="16"/>
                <w:szCs w:val="16"/>
              </w:rPr>
            </w:pPr>
            <w:r w:rsidRPr="00FD657F">
              <w:rPr>
                <w:rFonts w:ascii="Calibri" w:hAnsi="Calibri" w:cs="Calibri"/>
                <w:sz w:val="16"/>
                <w:szCs w:val="16"/>
              </w:rPr>
              <w:t>64.</w:t>
            </w:r>
          </w:p>
        </w:tc>
        <w:tc>
          <w:tcPr>
            <w:tcW w:w="1842" w:type="dxa"/>
          </w:tcPr>
          <w:p w14:paraId="631EDCE9" w14:textId="77777777" w:rsidR="00E00D25" w:rsidRPr="00FD657F" w:rsidRDefault="00E00D25" w:rsidP="007679E0">
            <w:pPr>
              <w:tabs>
                <w:tab w:val="left" w:pos="9914"/>
              </w:tabs>
              <w:rPr>
                <w:rFonts w:ascii="Calibri" w:hAnsi="Calibri" w:cs="Calibri"/>
                <w:sz w:val="16"/>
                <w:szCs w:val="16"/>
              </w:rPr>
            </w:pPr>
            <w:r w:rsidRPr="00FD657F">
              <w:rPr>
                <w:rFonts w:ascii="Calibri" w:hAnsi="Calibri" w:cs="Calibri"/>
                <w:sz w:val="16"/>
                <w:szCs w:val="16"/>
              </w:rPr>
              <w:t>PN-EN ISO 2592</w:t>
            </w:r>
          </w:p>
        </w:tc>
        <w:tc>
          <w:tcPr>
            <w:tcW w:w="7371" w:type="dxa"/>
          </w:tcPr>
          <w:p w14:paraId="320DD26D" w14:textId="77777777" w:rsidR="00E00D25" w:rsidRPr="00FD657F" w:rsidRDefault="00E00D25" w:rsidP="007679E0">
            <w:pPr>
              <w:tabs>
                <w:tab w:val="left" w:pos="9914"/>
              </w:tabs>
              <w:rPr>
                <w:rFonts w:ascii="Calibri" w:hAnsi="Calibri" w:cs="Calibri"/>
                <w:sz w:val="16"/>
                <w:szCs w:val="16"/>
              </w:rPr>
            </w:pPr>
            <w:r w:rsidRPr="00FD657F">
              <w:rPr>
                <w:rFonts w:ascii="Calibri" w:hAnsi="Calibri" w:cs="Calibri"/>
                <w:sz w:val="16"/>
                <w:szCs w:val="16"/>
              </w:rPr>
              <w:t>Oznaczanie temperatury zapłonu i palenia – Metoda otwartego tygla Clevelanda</w:t>
            </w:r>
          </w:p>
        </w:tc>
      </w:tr>
    </w:tbl>
    <w:p w14:paraId="78FD0AB3" w14:textId="77777777" w:rsidR="00E00D25" w:rsidRPr="00FD657F" w:rsidRDefault="00E00D25" w:rsidP="00E00D25">
      <w:pPr>
        <w:pStyle w:val="Nagwek4"/>
        <w:tabs>
          <w:tab w:val="left" w:pos="9914"/>
        </w:tabs>
        <w:rPr>
          <w:rFonts w:ascii="Calibri" w:hAnsi="Calibri" w:cs="Calibri"/>
          <w:sz w:val="16"/>
          <w:szCs w:val="16"/>
        </w:rPr>
      </w:pPr>
      <w:r w:rsidRPr="00FD657F">
        <w:rPr>
          <w:rFonts w:ascii="Calibri" w:hAnsi="Calibri" w:cs="Calibri"/>
          <w:sz w:val="16"/>
          <w:szCs w:val="16"/>
        </w:rPr>
        <w:t>10.3. Wymagania techniczne (rekomendowane przez Ministra Infrastruktury)</w:t>
      </w:r>
    </w:p>
    <w:p w14:paraId="1E9079E1" w14:textId="77777777" w:rsidR="00E00D25" w:rsidRPr="00FD657F" w:rsidRDefault="00E00D25" w:rsidP="00262498">
      <w:pPr>
        <w:numPr>
          <w:ilvl w:val="0"/>
          <w:numId w:val="180"/>
        </w:numPr>
        <w:tabs>
          <w:tab w:val="left" w:pos="397"/>
          <w:tab w:val="left" w:pos="9914"/>
        </w:tabs>
        <w:rPr>
          <w:rFonts w:ascii="Calibri" w:hAnsi="Calibri" w:cs="Calibri"/>
          <w:sz w:val="16"/>
          <w:szCs w:val="16"/>
        </w:rPr>
      </w:pPr>
      <w:r w:rsidRPr="00FD657F">
        <w:rPr>
          <w:rFonts w:ascii="Calibri" w:hAnsi="Calibri" w:cs="Calibri"/>
          <w:sz w:val="16"/>
          <w:szCs w:val="16"/>
        </w:rPr>
        <w:t>WT-1 Kruszywa 2008. Kruszywa do mieszanek mineralno-asfaltowych i powierzchniowych utrwaleń na drogach publicznych, Warszawa 2008</w:t>
      </w:r>
    </w:p>
    <w:p w14:paraId="27A0622A" w14:textId="77777777" w:rsidR="00E00D25" w:rsidRPr="00FD657F" w:rsidRDefault="00E00D25" w:rsidP="00262498">
      <w:pPr>
        <w:numPr>
          <w:ilvl w:val="0"/>
          <w:numId w:val="180"/>
        </w:numPr>
        <w:tabs>
          <w:tab w:val="left" w:pos="397"/>
          <w:tab w:val="left" w:pos="9914"/>
        </w:tabs>
        <w:rPr>
          <w:rFonts w:ascii="Calibri" w:hAnsi="Calibri" w:cs="Calibri"/>
          <w:sz w:val="16"/>
          <w:szCs w:val="16"/>
        </w:rPr>
      </w:pPr>
      <w:r w:rsidRPr="00FD657F">
        <w:rPr>
          <w:rFonts w:ascii="Calibri" w:hAnsi="Calibri" w:cs="Calibri"/>
          <w:sz w:val="16"/>
          <w:szCs w:val="16"/>
        </w:rPr>
        <w:t>WT-2 Nawierzchnie asfaltowe 2008. Nawierzchnie asfaltowe na drogach publicznych</w:t>
      </w:r>
    </w:p>
    <w:p w14:paraId="4EE2AC4A" w14:textId="77777777" w:rsidR="00E00D25" w:rsidRPr="00FD657F" w:rsidRDefault="00E00D25" w:rsidP="00262498">
      <w:pPr>
        <w:numPr>
          <w:ilvl w:val="0"/>
          <w:numId w:val="180"/>
        </w:numPr>
        <w:tabs>
          <w:tab w:val="left" w:pos="397"/>
          <w:tab w:val="left" w:pos="9914"/>
        </w:tabs>
        <w:rPr>
          <w:rFonts w:ascii="Calibri" w:hAnsi="Calibri" w:cs="Calibri"/>
          <w:sz w:val="16"/>
          <w:szCs w:val="16"/>
        </w:rPr>
      </w:pPr>
      <w:r w:rsidRPr="00FD657F">
        <w:rPr>
          <w:rFonts w:ascii="Calibri" w:hAnsi="Calibri" w:cs="Calibri"/>
          <w:sz w:val="16"/>
          <w:szCs w:val="16"/>
        </w:rPr>
        <w:t>WT-2 2010 Mieszanki mineralno – asfaltowe Wymagania techniczne</w:t>
      </w:r>
    </w:p>
    <w:p w14:paraId="68F87436" w14:textId="77777777" w:rsidR="00E00D25" w:rsidRPr="00FD657F" w:rsidRDefault="00E00D25" w:rsidP="00262498">
      <w:pPr>
        <w:numPr>
          <w:ilvl w:val="0"/>
          <w:numId w:val="180"/>
        </w:numPr>
        <w:tabs>
          <w:tab w:val="left" w:pos="397"/>
          <w:tab w:val="left" w:pos="9914"/>
        </w:tabs>
        <w:rPr>
          <w:rFonts w:ascii="Calibri" w:hAnsi="Calibri" w:cs="Calibri"/>
          <w:sz w:val="16"/>
          <w:szCs w:val="16"/>
        </w:rPr>
      </w:pPr>
      <w:r w:rsidRPr="00FD657F">
        <w:rPr>
          <w:rFonts w:ascii="Calibri" w:hAnsi="Calibri" w:cs="Calibri"/>
          <w:sz w:val="16"/>
          <w:szCs w:val="16"/>
        </w:rPr>
        <w:t>WT-3 Emulsje asfaltowe 2009. Kationowe emulsje asfaltowe na drogach publicznych</w:t>
      </w:r>
    </w:p>
    <w:p w14:paraId="1E8F39F3" w14:textId="77777777" w:rsidR="00E00D25" w:rsidRPr="00FD657F" w:rsidRDefault="00E00D25" w:rsidP="00E00D25">
      <w:pPr>
        <w:pStyle w:val="Nagwek4"/>
        <w:tabs>
          <w:tab w:val="left" w:pos="9914"/>
        </w:tabs>
        <w:rPr>
          <w:rFonts w:ascii="Calibri" w:hAnsi="Calibri" w:cs="Calibri"/>
          <w:sz w:val="16"/>
          <w:szCs w:val="16"/>
        </w:rPr>
      </w:pPr>
      <w:r w:rsidRPr="00FD657F">
        <w:rPr>
          <w:rFonts w:ascii="Calibri" w:hAnsi="Calibri" w:cs="Calibri"/>
          <w:sz w:val="16"/>
          <w:szCs w:val="16"/>
        </w:rPr>
        <w:t>10.4. Inne dokumenty</w:t>
      </w:r>
    </w:p>
    <w:p w14:paraId="77AEDC31" w14:textId="77777777" w:rsidR="00E00D25" w:rsidRPr="00FD657F" w:rsidRDefault="00E00D25" w:rsidP="00262498">
      <w:pPr>
        <w:numPr>
          <w:ilvl w:val="0"/>
          <w:numId w:val="180"/>
        </w:numPr>
        <w:tabs>
          <w:tab w:val="left" w:pos="9914"/>
        </w:tabs>
        <w:rPr>
          <w:rFonts w:ascii="Calibri" w:hAnsi="Calibri" w:cs="Calibri"/>
          <w:sz w:val="16"/>
          <w:szCs w:val="16"/>
        </w:rPr>
      </w:pPr>
      <w:r w:rsidRPr="00FD657F">
        <w:rPr>
          <w:rFonts w:ascii="Calibri" w:hAnsi="Calibri" w:cs="Calibri"/>
          <w:sz w:val="16"/>
          <w:szCs w:val="16"/>
        </w:rPr>
        <w:t>Katalog typowych konstrukcji nawierzchni podatnych i półsztywnych. Generalna Dyrekcja Dróg Publicznych – Instytut Badawczy Dróg i Mostów, Warszawa 1997</w:t>
      </w:r>
    </w:p>
    <w:p w14:paraId="0A42377E" w14:textId="77777777" w:rsidR="00E00D25" w:rsidRPr="00462241" w:rsidRDefault="00E00D25" w:rsidP="00E00D25">
      <w:pPr>
        <w:overflowPunct/>
        <w:autoSpaceDE/>
        <w:autoSpaceDN/>
        <w:adjustRightInd/>
        <w:jc w:val="left"/>
        <w:textAlignment w:val="auto"/>
        <w:rPr>
          <w:rFonts w:ascii="Calibri" w:hAnsi="Calibri" w:cs="Calibri"/>
          <w:b/>
          <w:sz w:val="16"/>
          <w:szCs w:val="16"/>
        </w:rPr>
      </w:pPr>
      <w:r w:rsidRPr="00FD657F">
        <w:rPr>
          <w:rFonts w:asciiTheme="minorHAnsi" w:hAnsiTheme="minorHAnsi"/>
          <w:sz w:val="16"/>
          <w:szCs w:val="16"/>
        </w:rPr>
        <w:br w:type="page"/>
      </w:r>
    </w:p>
    <w:p w14:paraId="437DA0D8" w14:textId="77777777" w:rsidR="00786904" w:rsidRDefault="00786904" w:rsidP="002146B0">
      <w:pPr>
        <w:overflowPunct/>
        <w:autoSpaceDE/>
        <w:autoSpaceDN/>
        <w:adjustRightInd/>
        <w:jc w:val="left"/>
        <w:textAlignment w:val="auto"/>
        <w:rPr>
          <w:rFonts w:ascii="Calibri" w:hAnsi="Calibri" w:cs="Calibri"/>
          <w:b/>
          <w:sz w:val="22"/>
          <w:szCs w:val="22"/>
        </w:rPr>
      </w:pPr>
    </w:p>
    <w:p w14:paraId="0CCCAF13" w14:textId="6590C921" w:rsidR="00786904" w:rsidRPr="009367E1" w:rsidRDefault="00575C66" w:rsidP="00786904">
      <w:pPr>
        <w:overflowPunct/>
        <w:autoSpaceDE/>
        <w:autoSpaceDN/>
        <w:adjustRightInd/>
        <w:spacing w:line="360" w:lineRule="auto"/>
        <w:jc w:val="center"/>
        <w:textAlignment w:val="auto"/>
        <w:rPr>
          <w:rFonts w:asciiTheme="minorHAnsi" w:hAnsiTheme="minorHAnsi"/>
          <w:b/>
          <w:sz w:val="22"/>
          <w:szCs w:val="22"/>
        </w:rPr>
      </w:pPr>
      <w:r>
        <w:rPr>
          <w:rFonts w:ascii="Calibri" w:hAnsi="Calibri" w:cs="Calibri"/>
          <w:b/>
          <w:sz w:val="22"/>
          <w:szCs w:val="22"/>
        </w:rPr>
        <w:t>SZCZEGÓŁOWE SPECYFIKACJE TECHNICZNE</w:t>
      </w:r>
      <w:r w:rsidRPr="00E30D66">
        <w:rPr>
          <w:rFonts w:ascii="Calibri" w:hAnsi="Calibri" w:cs="Calibri"/>
          <w:b/>
          <w:sz w:val="22"/>
          <w:szCs w:val="22"/>
        </w:rPr>
        <w:t xml:space="preserve"> </w:t>
      </w:r>
      <w:r w:rsidR="00786904" w:rsidRPr="009367E1">
        <w:rPr>
          <w:rFonts w:asciiTheme="minorHAnsi" w:hAnsiTheme="minorHAnsi"/>
          <w:b/>
          <w:sz w:val="22"/>
          <w:szCs w:val="22"/>
        </w:rPr>
        <w:t>WYKONANIA I ODBIORU ROBÓT BUDOWLANYCH</w:t>
      </w:r>
    </w:p>
    <w:p w14:paraId="236526A6" w14:textId="2C9109C6" w:rsidR="00786904" w:rsidRPr="002146B0" w:rsidRDefault="00786904" w:rsidP="00786904">
      <w:pPr>
        <w:pStyle w:val="Nagowek1"/>
        <w:spacing w:before="0" w:line="360" w:lineRule="auto"/>
      </w:pPr>
      <w:bookmarkStart w:id="672" w:name="_Toc206275488"/>
      <w:r w:rsidRPr="00A23FB4">
        <w:t>D-05.03.</w:t>
      </w:r>
      <w:r>
        <w:t>13</w:t>
      </w:r>
      <w:r w:rsidRPr="00A23FB4">
        <w:t xml:space="preserve">b NAWIERZCHNIA Z </w:t>
      </w:r>
      <w:r>
        <w:t>mieszanki matyksowo-grysowej (sma)</w:t>
      </w:r>
      <w:bookmarkEnd w:id="672"/>
    </w:p>
    <w:p w14:paraId="7A88715D" w14:textId="77777777" w:rsidR="00786904" w:rsidRPr="00FD657F" w:rsidRDefault="00786904" w:rsidP="00F3201D">
      <w:pPr>
        <w:rPr>
          <w:rFonts w:ascii="Calibri" w:hAnsi="Calibri" w:cs="Calibri"/>
          <w:b/>
          <w:sz w:val="22"/>
          <w:szCs w:val="22"/>
        </w:rPr>
      </w:pPr>
      <w:r w:rsidRPr="00A23FB4">
        <w:rPr>
          <w:rFonts w:ascii="Calibri" w:hAnsi="Calibri" w:cs="Calibri"/>
          <w:b/>
        </w:rPr>
        <w:t>1</w:t>
      </w:r>
      <w:r w:rsidRPr="00FD657F">
        <w:rPr>
          <w:rFonts w:ascii="Calibri" w:hAnsi="Calibri" w:cs="Calibri"/>
          <w:b/>
          <w:sz w:val="22"/>
          <w:szCs w:val="22"/>
        </w:rPr>
        <w:t>. WSTĘP</w:t>
      </w:r>
    </w:p>
    <w:p w14:paraId="5F71EC6D" w14:textId="17184834" w:rsidR="00786904" w:rsidRPr="00786904" w:rsidRDefault="00786904" w:rsidP="00F3201D">
      <w:pPr>
        <w:pStyle w:val="Nagwek4"/>
        <w:tabs>
          <w:tab w:val="left" w:pos="9914"/>
        </w:tabs>
        <w:rPr>
          <w:rFonts w:ascii="Calibri" w:hAnsi="Calibri" w:cs="Calibri"/>
        </w:rPr>
      </w:pPr>
      <w:r w:rsidRPr="00786904">
        <w:rPr>
          <w:rFonts w:ascii="Calibri" w:hAnsi="Calibri" w:cs="Calibri"/>
        </w:rPr>
        <w:t xml:space="preserve">1.1. Przedmiot </w:t>
      </w:r>
      <w:r w:rsidR="00664E38">
        <w:rPr>
          <w:rFonts w:ascii="Calibri" w:hAnsi="Calibri" w:cs="Calibri"/>
        </w:rPr>
        <w:t>ST</w:t>
      </w:r>
      <w:r w:rsidRPr="00786904">
        <w:rPr>
          <w:rFonts w:ascii="Calibri" w:hAnsi="Calibri" w:cs="Calibri"/>
        </w:rPr>
        <w:t>WiORB</w:t>
      </w:r>
    </w:p>
    <w:p w14:paraId="6A9E1947" w14:textId="18A82250" w:rsidR="00786904" w:rsidRPr="00B525BF" w:rsidRDefault="00786904" w:rsidP="00F3201D">
      <w:pPr>
        <w:rPr>
          <w:rFonts w:asciiTheme="minorHAnsi" w:hAnsiTheme="minorHAnsi" w:cstheme="minorHAnsi"/>
        </w:rPr>
      </w:pPr>
      <w:r w:rsidRPr="00B525BF">
        <w:rPr>
          <w:rFonts w:asciiTheme="minorHAnsi" w:hAnsiTheme="minorHAnsi" w:cstheme="minorHAnsi"/>
        </w:rPr>
        <w:t>Przedmiotem niniejsz</w:t>
      </w:r>
      <w:r w:rsidR="00A85D08">
        <w:rPr>
          <w:rFonts w:asciiTheme="minorHAnsi" w:hAnsiTheme="minorHAnsi" w:cstheme="minorHAnsi"/>
        </w:rPr>
        <w:t>ej</w:t>
      </w:r>
      <w:r w:rsidRPr="00B525BF">
        <w:rPr>
          <w:rFonts w:asciiTheme="minorHAnsi" w:hAnsiTheme="minorHAnsi" w:cstheme="minorHAnsi"/>
        </w:rPr>
        <w:t xml:space="preserve"> </w:t>
      </w:r>
      <w:r w:rsidR="00575C66">
        <w:rPr>
          <w:rFonts w:asciiTheme="minorHAnsi" w:hAnsiTheme="minorHAnsi" w:cstheme="minorHAnsi"/>
        </w:rPr>
        <w:t>Szczegółow</w:t>
      </w:r>
      <w:r w:rsidR="00A85D08">
        <w:rPr>
          <w:rFonts w:asciiTheme="minorHAnsi" w:hAnsiTheme="minorHAnsi" w:cstheme="minorHAnsi"/>
        </w:rPr>
        <w:t>ej</w:t>
      </w:r>
      <w:r w:rsidR="00575C66">
        <w:rPr>
          <w:rFonts w:asciiTheme="minorHAnsi" w:hAnsiTheme="minorHAnsi" w:cstheme="minorHAnsi"/>
        </w:rPr>
        <w:t xml:space="preserve"> Specyfikacj</w:t>
      </w:r>
      <w:r w:rsidR="00A85D08">
        <w:rPr>
          <w:rFonts w:asciiTheme="minorHAnsi" w:hAnsiTheme="minorHAnsi" w:cstheme="minorHAnsi"/>
        </w:rPr>
        <w:t>i</w:t>
      </w:r>
      <w:r w:rsidR="00575C66">
        <w:rPr>
          <w:rFonts w:asciiTheme="minorHAnsi" w:hAnsiTheme="minorHAnsi" w:cstheme="minorHAnsi"/>
        </w:rPr>
        <w:t xml:space="preserve"> Techniczn</w:t>
      </w:r>
      <w:r w:rsidR="00A85D08">
        <w:rPr>
          <w:rFonts w:asciiTheme="minorHAnsi" w:hAnsiTheme="minorHAnsi" w:cstheme="minorHAnsi"/>
        </w:rPr>
        <w:t>ej</w:t>
      </w:r>
      <w:r w:rsidRPr="00B525BF">
        <w:rPr>
          <w:rFonts w:asciiTheme="minorHAnsi" w:hAnsiTheme="minorHAnsi" w:cstheme="minorHAnsi"/>
        </w:rPr>
        <w:t xml:space="preserve"> Wykonania i Odbioru Robót Budowlanych (</w:t>
      </w:r>
      <w:r w:rsidR="00664E38">
        <w:rPr>
          <w:rFonts w:asciiTheme="minorHAnsi" w:hAnsiTheme="minorHAnsi" w:cstheme="minorHAnsi"/>
        </w:rPr>
        <w:t>ST</w:t>
      </w:r>
      <w:r w:rsidRPr="00B525BF">
        <w:rPr>
          <w:rFonts w:asciiTheme="minorHAnsi" w:hAnsiTheme="minorHAnsi" w:cstheme="minorHAnsi"/>
        </w:rPr>
        <w:t>WiORB) są wymagania dotyczące wykonania i odbioru robót związanych z wykonaniem warstwy ścieralnej z mieszanki mastyksowo-grysowej (mieszanki SMA).</w:t>
      </w:r>
    </w:p>
    <w:p w14:paraId="22A5D453" w14:textId="1CBB286A" w:rsidR="00786904" w:rsidRPr="00786904" w:rsidRDefault="00786904" w:rsidP="00F3201D">
      <w:pPr>
        <w:pStyle w:val="Nagwek4"/>
        <w:tabs>
          <w:tab w:val="left" w:pos="9914"/>
        </w:tabs>
        <w:rPr>
          <w:rFonts w:asciiTheme="minorHAnsi" w:hAnsiTheme="minorHAnsi" w:cstheme="minorHAnsi"/>
        </w:rPr>
      </w:pPr>
      <w:r w:rsidRPr="00786904">
        <w:rPr>
          <w:rFonts w:asciiTheme="minorHAnsi" w:hAnsiTheme="minorHAnsi" w:cstheme="minorHAnsi"/>
        </w:rPr>
        <w:t xml:space="preserve">1.2. Zakres stosowania </w:t>
      </w:r>
      <w:r w:rsidR="000907B8">
        <w:rPr>
          <w:rFonts w:asciiTheme="minorHAnsi" w:hAnsiTheme="minorHAnsi" w:cstheme="minorHAnsi"/>
        </w:rPr>
        <w:t>ST</w:t>
      </w:r>
      <w:r w:rsidRPr="00786904">
        <w:rPr>
          <w:rFonts w:asciiTheme="minorHAnsi" w:hAnsiTheme="minorHAnsi" w:cstheme="minorHAnsi"/>
        </w:rPr>
        <w:t xml:space="preserve">WiORB </w:t>
      </w:r>
    </w:p>
    <w:p w14:paraId="4ECF2993" w14:textId="539677F5" w:rsidR="00786904" w:rsidRPr="00B525BF" w:rsidRDefault="00A85D08" w:rsidP="00F3201D">
      <w:pPr>
        <w:rPr>
          <w:rFonts w:asciiTheme="minorHAnsi" w:hAnsiTheme="minorHAnsi" w:cstheme="minorHAnsi"/>
        </w:rPr>
      </w:pPr>
      <w:r>
        <w:rPr>
          <w:rFonts w:ascii="Calibri" w:hAnsi="Calibri" w:cs="Calibri"/>
        </w:rPr>
        <w:t>Specyfikacja</w:t>
      </w:r>
      <w:r w:rsidRPr="006736A8">
        <w:rPr>
          <w:rFonts w:ascii="Calibri" w:hAnsi="Calibri" w:cs="Calibri"/>
        </w:rPr>
        <w:t xml:space="preserve"> stanowi dokument kontraktowy przy realizacji  zadania „</w:t>
      </w:r>
      <w:r w:rsidRPr="003D1D4D">
        <w:rPr>
          <w:rFonts w:ascii="Calibri" w:hAnsi="Calibri" w:cs="Calibri"/>
        </w:rPr>
        <w:t>Rozbudowa ul. Wrocławskiej w ciągu drogi powiatowej w Tyńcu Małym wraz z rozbudową istniejącego skrzyżowania typu rondo na połączeniu dróg krajowych nr 35 i 35a oraz łącznika węzła Kobierzyce drogi S8e oraz infrastrukturą towarzyszącą w ramach zadania „Rozbudowa skrzyżowania typu rondo w ciągu DK35 koło m. Tyniec Mały usprawniająca skomunikowanie obszarów Podstrefy Wrocław – Kobierzyce TSSE EURO PARK WISŁOSAN”</w:t>
      </w:r>
      <w:r w:rsidR="00786904" w:rsidRPr="00786904">
        <w:rPr>
          <w:rFonts w:asciiTheme="minorHAnsi" w:hAnsiTheme="minorHAnsi" w:cstheme="minorHAnsi"/>
        </w:rPr>
        <w:t xml:space="preserve"> </w:t>
      </w:r>
    </w:p>
    <w:p w14:paraId="7C7AD9CB" w14:textId="73D91C3B" w:rsidR="00786904" w:rsidRPr="00786904" w:rsidRDefault="00786904" w:rsidP="00F3201D">
      <w:pPr>
        <w:pStyle w:val="Nagwek4"/>
        <w:tabs>
          <w:tab w:val="left" w:pos="9914"/>
        </w:tabs>
        <w:rPr>
          <w:rFonts w:asciiTheme="minorHAnsi" w:hAnsiTheme="minorHAnsi" w:cstheme="minorHAnsi"/>
        </w:rPr>
      </w:pPr>
      <w:r w:rsidRPr="00786904">
        <w:rPr>
          <w:rFonts w:asciiTheme="minorHAnsi" w:hAnsiTheme="minorHAnsi" w:cstheme="minorHAnsi"/>
        </w:rPr>
        <w:t xml:space="preserve">1.3. Zakres robót objętych </w:t>
      </w:r>
      <w:r w:rsidR="0087628D">
        <w:rPr>
          <w:rFonts w:asciiTheme="minorHAnsi" w:hAnsiTheme="minorHAnsi" w:cstheme="minorHAnsi"/>
        </w:rPr>
        <w:t>ST</w:t>
      </w:r>
      <w:r w:rsidRPr="00786904">
        <w:rPr>
          <w:rFonts w:asciiTheme="minorHAnsi" w:hAnsiTheme="minorHAnsi" w:cstheme="minorHAnsi"/>
        </w:rPr>
        <w:t xml:space="preserve">WiORB </w:t>
      </w:r>
    </w:p>
    <w:p w14:paraId="245C8EA6" w14:textId="77777777" w:rsidR="00A85D08" w:rsidRPr="00A85D08" w:rsidRDefault="00A85D08" w:rsidP="00A85D08">
      <w:pPr>
        <w:pStyle w:val="Tekstpodstawowy"/>
        <w:spacing w:line="240" w:lineRule="auto"/>
        <w:jc w:val="both"/>
        <w:rPr>
          <w:rFonts w:ascii="Calibri" w:hAnsi="Calibri" w:cs="Calibri"/>
          <w:sz w:val="20"/>
          <w:szCs w:val="20"/>
        </w:rPr>
      </w:pPr>
      <w:r w:rsidRPr="00A85D08">
        <w:rPr>
          <w:rFonts w:ascii="Calibri" w:hAnsi="Calibri" w:cs="Calibri"/>
          <w:sz w:val="20"/>
          <w:szCs w:val="20"/>
        </w:rPr>
        <w:t>Ustalenia zawarte w niniejszej specyfikacji dotyczą zasad prowadzenia robót związanych z wykonaniem warstwy ścieralnej z mieszanki SMA11 wg PN-EN 13108-5:2008</w:t>
      </w:r>
      <w:r w:rsidRPr="00A85D08">
        <w:rPr>
          <w:rFonts w:ascii="Calibri" w:hAnsi="Calibri" w:cs="Calibri"/>
          <w:strike/>
          <w:sz w:val="20"/>
          <w:szCs w:val="20"/>
        </w:rPr>
        <w:t xml:space="preserve"> </w:t>
      </w:r>
      <w:r w:rsidRPr="00A85D08">
        <w:rPr>
          <w:rFonts w:ascii="Calibri" w:hAnsi="Calibri" w:cs="Calibri"/>
          <w:sz w:val="20"/>
          <w:szCs w:val="20"/>
        </w:rPr>
        <w:t>oraz WT-2 2014 Mieszanki mineralno – asfaltowe Wymagania techniczne. W przypadku produkcji mieszanki mineralno-asfaltowej przez Wykonawcę dla potrzeb budowy, Wykonawca zobowiązany jest prowadzić Zakładową kontrolę produkcji (ZKP) zgodnie z PN-EN 13108 -21.</w:t>
      </w:r>
    </w:p>
    <w:p w14:paraId="077C0E7F" w14:textId="6695D8DD" w:rsidR="00B525BF" w:rsidRPr="00B525BF" w:rsidRDefault="00B525BF" w:rsidP="00F3201D">
      <w:pPr>
        <w:pStyle w:val="Nagwek4"/>
        <w:tabs>
          <w:tab w:val="left" w:pos="9914"/>
        </w:tabs>
        <w:rPr>
          <w:rFonts w:asciiTheme="minorHAnsi" w:hAnsiTheme="minorHAnsi" w:cstheme="minorHAnsi"/>
        </w:rPr>
      </w:pPr>
      <w:r w:rsidRPr="00B525BF">
        <w:rPr>
          <w:rFonts w:asciiTheme="minorHAnsi" w:hAnsiTheme="minorHAnsi" w:cstheme="minorHAnsi"/>
        </w:rPr>
        <w:t xml:space="preserve">1.4. Określenia podstawowe </w:t>
      </w:r>
    </w:p>
    <w:p w14:paraId="3D44D2E3" w14:textId="77777777" w:rsidR="00B525BF" w:rsidRPr="00B525BF" w:rsidRDefault="00B525BF" w:rsidP="00F3201D">
      <w:pPr>
        <w:overflowPunct/>
        <w:textAlignment w:val="auto"/>
        <w:rPr>
          <w:rFonts w:asciiTheme="minorHAnsi" w:eastAsia="Calibri" w:hAnsiTheme="minorHAnsi" w:cstheme="minorHAnsi"/>
          <w:color w:val="000000"/>
        </w:rPr>
      </w:pPr>
      <w:r w:rsidRPr="00B525BF">
        <w:rPr>
          <w:rFonts w:asciiTheme="minorHAnsi" w:eastAsia="Calibri" w:hAnsiTheme="minorHAnsi" w:cstheme="minorHAnsi"/>
          <w:b/>
          <w:bCs/>
          <w:color w:val="000000"/>
        </w:rPr>
        <w:t xml:space="preserve">1.4.1. </w:t>
      </w:r>
      <w:r w:rsidRPr="00B525BF">
        <w:rPr>
          <w:rFonts w:asciiTheme="minorHAnsi" w:hAnsiTheme="minorHAnsi" w:cstheme="minorHAnsi"/>
        </w:rPr>
        <w:t>Nawierzchnia – konstrukcja składająca się z jednej lub kilku warstw służących do przejmowania i rozkładania obciążeń od ruchu pojazdów na podłoże.</w:t>
      </w:r>
      <w:r w:rsidRPr="00B525BF">
        <w:rPr>
          <w:rFonts w:asciiTheme="minorHAnsi" w:eastAsia="Calibri" w:hAnsiTheme="minorHAnsi" w:cstheme="minorHAnsi"/>
          <w:color w:val="000000"/>
        </w:rPr>
        <w:t xml:space="preserve"> </w:t>
      </w:r>
    </w:p>
    <w:p w14:paraId="145B2F03" w14:textId="77777777" w:rsidR="00B525BF" w:rsidRPr="00B525BF" w:rsidRDefault="00B525BF" w:rsidP="00F3201D">
      <w:pPr>
        <w:overflowPunct/>
        <w:textAlignment w:val="auto"/>
        <w:rPr>
          <w:rFonts w:asciiTheme="minorHAnsi" w:eastAsia="Calibri" w:hAnsiTheme="minorHAnsi" w:cstheme="minorHAnsi"/>
          <w:color w:val="000000"/>
        </w:rPr>
      </w:pPr>
      <w:r w:rsidRPr="00B525BF">
        <w:rPr>
          <w:rFonts w:asciiTheme="minorHAnsi" w:eastAsia="Calibri" w:hAnsiTheme="minorHAnsi" w:cstheme="minorHAnsi"/>
          <w:b/>
          <w:bCs/>
          <w:color w:val="000000"/>
        </w:rPr>
        <w:t xml:space="preserve">1.4.2. </w:t>
      </w:r>
      <w:r w:rsidRPr="00B525BF">
        <w:rPr>
          <w:rFonts w:asciiTheme="minorHAnsi" w:eastAsia="Calibri" w:hAnsiTheme="minorHAnsi" w:cstheme="minorHAnsi"/>
          <w:color w:val="000000"/>
        </w:rPr>
        <w:t xml:space="preserve">Warstwa ścieralna – górna warstwa nawierzchni będąca w bezpośrednim kontakcie z kołami pojazdów. </w:t>
      </w:r>
    </w:p>
    <w:p w14:paraId="09274E79" w14:textId="77777777" w:rsidR="00B525BF" w:rsidRPr="00B525BF" w:rsidRDefault="00B525BF" w:rsidP="00F3201D">
      <w:pPr>
        <w:overflowPunct/>
        <w:textAlignment w:val="auto"/>
        <w:rPr>
          <w:rFonts w:asciiTheme="minorHAnsi" w:eastAsia="Calibri" w:hAnsiTheme="minorHAnsi" w:cstheme="minorHAnsi"/>
          <w:color w:val="000000"/>
        </w:rPr>
      </w:pPr>
      <w:r w:rsidRPr="00B525BF">
        <w:rPr>
          <w:rFonts w:asciiTheme="minorHAnsi" w:eastAsia="Calibri" w:hAnsiTheme="minorHAnsi" w:cstheme="minorHAnsi"/>
          <w:b/>
          <w:bCs/>
          <w:color w:val="000000"/>
        </w:rPr>
        <w:t xml:space="preserve">1.4.3. </w:t>
      </w:r>
      <w:r w:rsidRPr="00B525BF">
        <w:rPr>
          <w:rFonts w:asciiTheme="minorHAnsi" w:eastAsia="Calibri" w:hAnsiTheme="minorHAnsi" w:cstheme="minorHAnsi"/>
          <w:color w:val="000000"/>
        </w:rPr>
        <w:t xml:space="preserve">Mieszanka mineralno-asfaltowa – mieszanka kruszyw i lepiszcza asfaltowego. </w:t>
      </w:r>
    </w:p>
    <w:p w14:paraId="43FA3D44" w14:textId="77777777" w:rsidR="00B525BF" w:rsidRPr="00B525BF" w:rsidRDefault="00B525BF" w:rsidP="00F3201D">
      <w:pPr>
        <w:overflowPunct/>
        <w:textAlignment w:val="auto"/>
        <w:rPr>
          <w:rFonts w:asciiTheme="minorHAnsi" w:eastAsia="Calibri" w:hAnsiTheme="minorHAnsi" w:cstheme="minorHAnsi"/>
          <w:color w:val="000000"/>
        </w:rPr>
      </w:pPr>
      <w:r w:rsidRPr="00B525BF">
        <w:rPr>
          <w:rFonts w:asciiTheme="minorHAnsi" w:eastAsia="Calibri" w:hAnsiTheme="minorHAnsi" w:cstheme="minorHAnsi"/>
          <w:b/>
          <w:bCs/>
          <w:color w:val="000000"/>
        </w:rPr>
        <w:t xml:space="preserve">1.4.4. </w:t>
      </w:r>
      <w:r w:rsidRPr="00B525BF">
        <w:rPr>
          <w:rFonts w:asciiTheme="minorHAnsi" w:eastAsia="Calibri" w:hAnsiTheme="minorHAnsi" w:cstheme="minorHAnsi"/>
          <w:color w:val="000000"/>
        </w:rPr>
        <w:t xml:space="preserve">Wymiar mieszanki mineralno-asfaltowej – określenie mieszanki mineralno-asfaltowej, wyróżniające tę mieszankę ze zbioru mieszanek tego samego typu ze względu na największy wymiar kruszywa, np. wymiar 8 lub 11. </w:t>
      </w:r>
    </w:p>
    <w:p w14:paraId="720D3437" w14:textId="77777777" w:rsidR="00B525BF" w:rsidRPr="00B525BF" w:rsidRDefault="00B525BF" w:rsidP="00F3201D">
      <w:pPr>
        <w:overflowPunct/>
        <w:textAlignment w:val="auto"/>
        <w:rPr>
          <w:rFonts w:asciiTheme="minorHAnsi" w:eastAsia="Calibri" w:hAnsiTheme="minorHAnsi" w:cstheme="minorHAnsi"/>
          <w:color w:val="000000"/>
        </w:rPr>
      </w:pPr>
      <w:r w:rsidRPr="00B525BF">
        <w:rPr>
          <w:rFonts w:asciiTheme="minorHAnsi" w:eastAsia="Calibri" w:hAnsiTheme="minorHAnsi" w:cstheme="minorHAnsi"/>
          <w:b/>
          <w:bCs/>
          <w:color w:val="000000"/>
        </w:rPr>
        <w:t xml:space="preserve">1.4.5. </w:t>
      </w:r>
      <w:r w:rsidRPr="00B525BF">
        <w:rPr>
          <w:rFonts w:asciiTheme="minorHAnsi" w:eastAsia="Calibri" w:hAnsiTheme="minorHAnsi" w:cstheme="minorHAnsi"/>
          <w:color w:val="000000"/>
        </w:rPr>
        <w:t xml:space="preserve">Mieszanka SMA (mieszanka mastyksowo-grysowa) – mieszanka mineralno-asfaltowa o nieciągłym uziarnieniu, składająca się z grubego łamanego szkieletu kruszywowego, związanego zaprawą mastyksową. </w:t>
      </w:r>
    </w:p>
    <w:p w14:paraId="4C6FC134" w14:textId="7F990C00" w:rsidR="00B525BF" w:rsidRDefault="00B525BF" w:rsidP="00F3201D">
      <w:pPr>
        <w:rPr>
          <w:rFonts w:asciiTheme="minorHAnsi" w:eastAsia="Calibri" w:hAnsiTheme="minorHAnsi" w:cstheme="minorHAnsi"/>
          <w:color w:val="000000"/>
        </w:rPr>
      </w:pPr>
      <w:r w:rsidRPr="00B525BF">
        <w:rPr>
          <w:rFonts w:asciiTheme="minorHAnsi" w:eastAsia="Calibri" w:hAnsiTheme="minorHAnsi" w:cstheme="minorHAnsi"/>
          <w:b/>
          <w:bCs/>
          <w:color w:val="000000"/>
        </w:rPr>
        <w:t xml:space="preserve">1.4.6. </w:t>
      </w:r>
      <w:r w:rsidRPr="00B525BF">
        <w:rPr>
          <w:rFonts w:asciiTheme="minorHAnsi" w:eastAsia="Calibri" w:hAnsiTheme="minorHAnsi" w:cstheme="minorHAnsi"/>
          <w:color w:val="000000"/>
        </w:rPr>
        <w:t>Dodatek stabilizujący – stabilizator mastyksu, zapobiegający spływaniu lepiszcza asfaltowego z ziaren kruszywa w wyprodukowanej mieszance SMA.</w:t>
      </w:r>
    </w:p>
    <w:p w14:paraId="1381F8FD" w14:textId="77777777" w:rsidR="00B525BF" w:rsidRPr="00B525BF" w:rsidRDefault="00B525BF" w:rsidP="00F3201D">
      <w:pPr>
        <w:overflowPunct/>
        <w:textAlignment w:val="auto"/>
        <w:rPr>
          <w:rFonts w:asciiTheme="minorHAnsi" w:eastAsia="Calibri" w:hAnsiTheme="minorHAnsi" w:cstheme="minorHAnsi"/>
          <w:color w:val="000000"/>
        </w:rPr>
      </w:pPr>
      <w:r w:rsidRPr="00B525BF">
        <w:rPr>
          <w:rFonts w:asciiTheme="minorHAnsi" w:eastAsia="Calibri" w:hAnsiTheme="minorHAnsi" w:cstheme="minorHAnsi"/>
          <w:b/>
          <w:bCs/>
          <w:color w:val="000000"/>
        </w:rPr>
        <w:t xml:space="preserve">1.4.7. </w:t>
      </w:r>
      <w:r w:rsidRPr="00B525BF">
        <w:rPr>
          <w:rFonts w:asciiTheme="minorHAnsi" w:eastAsia="Calibri" w:hAnsiTheme="minorHAnsi" w:cstheme="minorHAnsi"/>
          <w:color w:val="000000"/>
        </w:rPr>
        <w:t xml:space="preserve">Kategoria ruchu – obciążenie drogi ruchem samochodowym, wyrażone w osiach obliczeniowych (100 kN) wg „Katalogu typowych konstrukcji nawierzchni podatnych i półsztywnych” GDDP-IBDiM [68]. </w:t>
      </w:r>
    </w:p>
    <w:p w14:paraId="7C39B2D6" w14:textId="77777777" w:rsidR="00B525BF" w:rsidRPr="00B525BF" w:rsidRDefault="00B525BF" w:rsidP="00F3201D">
      <w:pPr>
        <w:overflowPunct/>
        <w:textAlignment w:val="auto"/>
        <w:rPr>
          <w:rFonts w:asciiTheme="minorHAnsi" w:eastAsia="Calibri" w:hAnsiTheme="minorHAnsi" w:cstheme="minorHAnsi"/>
          <w:color w:val="000000"/>
        </w:rPr>
      </w:pPr>
      <w:r w:rsidRPr="00B525BF">
        <w:rPr>
          <w:rFonts w:asciiTheme="minorHAnsi" w:eastAsia="Calibri" w:hAnsiTheme="minorHAnsi" w:cstheme="minorHAnsi"/>
          <w:b/>
          <w:bCs/>
          <w:color w:val="000000"/>
        </w:rPr>
        <w:t xml:space="preserve">1.4.8. </w:t>
      </w:r>
      <w:r w:rsidRPr="00B525BF">
        <w:rPr>
          <w:rFonts w:asciiTheme="minorHAnsi" w:eastAsia="Calibri" w:hAnsiTheme="minorHAnsi" w:cstheme="minorHAnsi"/>
          <w:color w:val="000000"/>
        </w:rPr>
        <w:t xml:space="preserve">Wymiar kruszywa – wielkość ziaren kruszywa, określona przez dolny (d) i górny (D) wymiar sita. </w:t>
      </w:r>
    </w:p>
    <w:p w14:paraId="4C8EAD09" w14:textId="77777777" w:rsidR="00B525BF" w:rsidRPr="00B525BF" w:rsidRDefault="00B525BF" w:rsidP="00F3201D">
      <w:pPr>
        <w:overflowPunct/>
        <w:textAlignment w:val="auto"/>
        <w:rPr>
          <w:rFonts w:asciiTheme="minorHAnsi" w:eastAsia="Calibri" w:hAnsiTheme="minorHAnsi" w:cstheme="minorHAnsi"/>
          <w:color w:val="000000"/>
        </w:rPr>
      </w:pPr>
      <w:r w:rsidRPr="00B525BF">
        <w:rPr>
          <w:rFonts w:asciiTheme="minorHAnsi" w:eastAsia="Calibri" w:hAnsiTheme="minorHAnsi" w:cstheme="minorHAnsi"/>
          <w:b/>
          <w:bCs/>
          <w:color w:val="000000"/>
        </w:rPr>
        <w:t xml:space="preserve">1.4.9. </w:t>
      </w:r>
      <w:r w:rsidRPr="00B525BF">
        <w:rPr>
          <w:rFonts w:asciiTheme="minorHAnsi" w:eastAsia="Calibri" w:hAnsiTheme="minorHAnsi" w:cstheme="minorHAnsi"/>
          <w:color w:val="000000"/>
        </w:rPr>
        <w:t xml:space="preserve">Kruszywo grube – kruszywo z ziaren o wymiarze: D ≤ 45 mm oraz d &gt; 2 mm. </w:t>
      </w:r>
    </w:p>
    <w:p w14:paraId="1890FE53" w14:textId="77777777" w:rsidR="00B525BF" w:rsidRPr="00B525BF" w:rsidRDefault="00B525BF" w:rsidP="00F3201D">
      <w:pPr>
        <w:overflowPunct/>
        <w:textAlignment w:val="auto"/>
        <w:rPr>
          <w:rFonts w:asciiTheme="minorHAnsi" w:eastAsia="Calibri" w:hAnsiTheme="minorHAnsi" w:cstheme="minorHAnsi"/>
          <w:color w:val="000000"/>
        </w:rPr>
      </w:pPr>
      <w:r w:rsidRPr="00B525BF">
        <w:rPr>
          <w:rFonts w:asciiTheme="minorHAnsi" w:eastAsia="Calibri" w:hAnsiTheme="minorHAnsi" w:cstheme="minorHAnsi"/>
          <w:b/>
          <w:bCs/>
          <w:color w:val="000000"/>
        </w:rPr>
        <w:t xml:space="preserve">1.4.10. </w:t>
      </w:r>
      <w:r w:rsidRPr="00B525BF">
        <w:rPr>
          <w:rFonts w:asciiTheme="minorHAnsi" w:eastAsia="Calibri" w:hAnsiTheme="minorHAnsi" w:cstheme="minorHAnsi"/>
          <w:color w:val="000000"/>
        </w:rPr>
        <w:t xml:space="preserve">Kruszywo drobne – kruszywo z ziaren o wymiarze: D ≤ 2 mm, którego większa część pozostaje na sicie 0,063 mm. </w:t>
      </w:r>
    </w:p>
    <w:p w14:paraId="0D7977A5" w14:textId="77777777" w:rsidR="00B525BF" w:rsidRPr="00B525BF" w:rsidRDefault="00B525BF" w:rsidP="00F3201D">
      <w:pPr>
        <w:overflowPunct/>
        <w:textAlignment w:val="auto"/>
        <w:rPr>
          <w:rFonts w:asciiTheme="minorHAnsi" w:eastAsia="Calibri" w:hAnsiTheme="minorHAnsi" w:cstheme="minorHAnsi"/>
          <w:color w:val="000000"/>
        </w:rPr>
      </w:pPr>
      <w:r w:rsidRPr="00B525BF">
        <w:rPr>
          <w:rFonts w:asciiTheme="minorHAnsi" w:eastAsia="Calibri" w:hAnsiTheme="minorHAnsi" w:cstheme="minorHAnsi"/>
          <w:b/>
          <w:bCs/>
          <w:color w:val="000000"/>
        </w:rPr>
        <w:t xml:space="preserve">1.4.11. </w:t>
      </w:r>
      <w:r w:rsidRPr="00B525BF">
        <w:rPr>
          <w:rFonts w:asciiTheme="minorHAnsi" w:eastAsia="Calibri" w:hAnsiTheme="minorHAnsi" w:cstheme="minorHAnsi"/>
          <w:color w:val="000000"/>
        </w:rPr>
        <w:t xml:space="preserve">Pył – kruszywo z ziaren przechodzących przez sito 0,063 mm. </w:t>
      </w:r>
    </w:p>
    <w:p w14:paraId="07EF9EFB" w14:textId="77777777" w:rsidR="00B525BF" w:rsidRPr="00B525BF" w:rsidRDefault="00B525BF" w:rsidP="00F3201D">
      <w:pPr>
        <w:overflowPunct/>
        <w:textAlignment w:val="auto"/>
        <w:rPr>
          <w:rFonts w:asciiTheme="minorHAnsi" w:eastAsia="Calibri" w:hAnsiTheme="minorHAnsi" w:cstheme="minorHAnsi"/>
          <w:color w:val="000000"/>
        </w:rPr>
      </w:pPr>
      <w:r w:rsidRPr="00B525BF">
        <w:rPr>
          <w:rFonts w:asciiTheme="minorHAnsi" w:eastAsia="Calibri" w:hAnsiTheme="minorHAnsi" w:cstheme="minorHAnsi"/>
          <w:b/>
          <w:bCs/>
          <w:color w:val="000000"/>
        </w:rPr>
        <w:t xml:space="preserve">1.4.12. </w:t>
      </w:r>
      <w:r w:rsidRPr="00B525BF">
        <w:rPr>
          <w:rFonts w:asciiTheme="minorHAnsi" w:eastAsia="Calibri" w:hAnsiTheme="minorHAnsi" w:cstheme="minorHAnsi"/>
          <w:color w:val="000000"/>
        </w:rPr>
        <w:t xml:space="preserve">Wypełniacz – kruszywo, którego większa część przechodzi przez sito 0,063 mm. (Wypełniacz mieszany – kruszywo, które składa się z wypełniacza pochodzenia mineralnego i wodorotlenku wapnia. Wypełniacz dodany – wypełniacz pochodzenia mineralnego, wyprodukowany oddzielnie). </w:t>
      </w:r>
    </w:p>
    <w:p w14:paraId="0EB2B2D7" w14:textId="77777777" w:rsidR="00B525BF" w:rsidRPr="00B525BF" w:rsidRDefault="00B525BF" w:rsidP="00F3201D">
      <w:pPr>
        <w:overflowPunct/>
        <w:textAlignment w:val="auto"/>
        <w:rPr>
          <w:rFonts w:asciiTheme="minorHAnsi" w:eastAsia="Calibri" w:hAnsiTheme="minorHAnsi" w:cstheme="minorHAnsi"/>
          <w:color w:val="000000"/>
        </w:rPr>
      </w:pPr>
      <w:r w:rsidRPr="00B525BF">
        <w:rPr>
          <w:rFonts w:asciiTheme="minorHAnsi" w:eastAsia="Calibri" w:hAnsiTheme="minorHAnsi" w:cstheme="minorHAnsi"/>
          <w:b/>
          <w:bCs/>
          <w:color w:val="000000"/>
        </w:rPr>
        <w:t xml:space="preserve">1.4.13. </w:t>
      </w:r>
      <w:r w:rsidRPr="00B525BF">
        <w:rPr>
          <w:rFonts w:asciiTheme="minorHAnsi" w:eastAsia="Calibri" w:hAnsiTheme="minorHAnsi" w:cstheme="minorHAnsi"/>
          <w:color w:val="000000"/>
        </w:rPr>
        <w:t xml:space="preserve">Kationowa emulsja asfaltowa – emulsja, w której emulgator nadaje dodatnie ładunki cząstkom zdyspergowanego asfaltu. </w:t>
      </w:r>
    </w:p>
    <w:p w14:paraId="7883A9A9" w14:textId="77777777" w:rsidR="00B525BF" w:rsidRPr="00B525BF" w:rsidRDefault="00B525BF" w:rsidP="00F3201D">
      <w:pPr>
        <w:overflowPunct/>
        <w:textAlignment w:val="auto"/>
        <w:rPr>
          <w:rFonts w:asciiTheme="minorHAnsi" w:eastAsia="Calibri" w:hAnsiTheme="minorHAnsi" w:cstheme="minorHAnsi"/>
          <w:color w:val="000000"/>
        </w:rPr>
      </w:pPr>
      <w:r w:rsidRPr="00B525BF">
        <w:rPr>
          <w:rFonts w:asciiTheme="minorHAnsi" w:eastAsia="Calibri" w:hAnsiTheme="minorHAnsi" w:cstheme="minorHAnsi"/>
          <w:b/>
          <w:bCs/>
          <w:color w:val="000000"/>
        </w:rPr>
        <w:t xml:space="preserve">1.4.14. </w:t>
      </w:r>
      <w:r w:rsidRPr="00B525BF">
        <w:rPr>
          <w:rFonts w:asciiTheme="minorHAnsi" w:eastAsia="Calibri" w:hAnsiTheme="minorHAnsi" w:cstheme="minorHAnsi"/>
          <w:color w:val="000000"/>
        </w:rPr>
        <w:t xml:space="preserve">Pozostałe określenia podstawowe są zgodne z obowiązującymi, odpowiednimi polskimi normami i z definicjami podanymi w DMU.00.00.00„Wymagania ogólne” pkt 1.4. </w:t>
      </w:r>
    </w:p>
    <w:p w14:paraId="6E10A424" w14:textId="77777777" w:rsidR="00B525BF" w:rsidRPr="00B525BF" w:rsidRDefault="00B525BF" w:rsidP="00F3201D">
      <w:pPr>
        <w:overflowPunct/>
        <w:textAlignment w:val="auto"/>
        <w:rPr>
          <w:rFonts w:asciiTheme="minorHAnsi" w:eastAsia="Calibri" w:hAnsiTheme="minorHAnsi" w:cstheme="minorHAnsi"/>
          <w:color w:val="000000"/>
        </w:rPr>
      </w:pPr>
      <w:r w:rsidRPr="00B525BF">
        <w:rPr>
          <w:rFonts w:asciiTheme="minorHAnsi" w:eastAsia="Calibri" w:hAnsiTheme="minorHAnsi" w:cstheme="minorHAnsi"/>
          <w:b/>
          <w:bCs/>
          <w:color w:val="000000"/>
        </w:rPr>
        <w:t xml:space="preserve">1.4.15. </w:t>
      </w:r>
      <w:r w:rsidRPr="00B525BF">
        <w:rPr>
          <w:rFonts w:asciiTheme="minorHAnsi" w:eastAsia="Calibri" w:hAnsiTheme="minorHAnsi" w:cstheme="minorHAnsi"/>
          <w:color w:val="000000"/>
        </w:rPr>
        <w:t xml:space="preserve">Symbole i skróty dodatkowe </w:t>
      </w:r>
    </w:p>
    <w:p w14:paraId="0F75DAB7" w14:textId="77777777" w:rsidR="00B525BF" w:rsidRPr="00B525BF" w:rsidRDefault="00B525BF" w:rsidP="00F3201D">
      <w:pPr>
        <w:overflowPunct/>
        <w:textAlignment w:val="auto"/>
        <w:rPr>
          <w:rFonts w:asciiTheme="minorHAnsi" w:eastAsia="Calibri" w:hAnsiTheme="minorHAnsi" w:cstheme="minorHAnsi"/>
          <w:color w:val="000000"/>
        </w:rPr>
      </w:pPr>
      <w:r w:rsidRPr="00B525BF">
        <w:rPr>
          <w:rFonts w:asciiTheme="minorHAnsi" w:eastAsia="Calibri" w:hAnsiTheme="minorHAnsi" w:cstheme="minorHAnsi"/>
          <w:color w:val="000000"/>
        </w:rPr>
        <w:t xml:space="preserve">SMA - mieszanka mastyksowo-grysowa, </w:t>
      </w:r>
    </w:p>
    <w:p w14:paraId="375445AB" w14:textId="77777777" w:rsidR="00B525BF" w:rsidRPr="00B525BF" w:rsidRDefault="00B525BF" w:rsidP="00F3201D">
      <w:pPr>
        <w:overflowPunct/>
        <w:textAlignment w:val="auto"/>
        <w:rPr>
          <w:rFonts w:asciiTheme="minorHAnsi" w:eastAsia="Calibri" w:hAnsiTheme="minorHAnsi" w:cstheme="minorHAnsi"/>
          <w:color w:val="000000"/>
        </w:rPr>
      </w:pPr>
      <w:r w:rsidRPr="00B525BF">
        <w:rPr>
          <w:rFonts w:asciiTheme="minorHAnsi" w:eastAsia="Calibri" w:hAnsiTheme="minorHAnsi" w:cstheme="minorHAnsi"/>
          <w:color w:val="000000"/>
        </w:rPr>
        <w:t xml:space="preserve">PMB - polimeroasfalt, </w:t>
      </w:r>
    </w:p>
    <w:p w14:paraId="37018AE3" w14:textId="77777777" w:rsidR="00B525BF" w:rsidRPr="00B525BF" w:rsidRDefault="00B525BF" w:rsidP="00F3201D">
      <w:pPr>
        <w:overflowPunct/>
        <w:textAlignment w:val="auto"/>
        <w:rPr>
          <w:rFonts w:asciiTheme="minorHAnsi" w:eastAsia="Calibri" w:hAnsiTheme="minorHAnsi" w:cstheme="minorHAnsi"/>
          <w:color w:val="000000"/>
        </w:rPr>
      </w:pPr>
      <w:r w:rsidRPr="00B525BF">
        <w:rPr>
          <w:rFonts w:asciiTheme="minorHAnsi" w:eastAsia="Calibri" w:hAnsiTheme="minorHAnsi" w:cstheme="minorHAnsi"/>
          <w:color w:val="000000"/>
        </w:rPr>
        <w:t xml:space="preserve">D - górny wymiar sita (przy określaniu wielkości ziaren kruszywa), </w:t>
      </w:r>
    </w:p>
    <w:p w14:paraId="5139F12B" w14:textId="77777777" w:rsidR="00B525BF" w:rsidRPr="00B525BF" w:rsidRDefault="00B525BF" w:rsidP="00F3201D">
      <w:pPr>
        <w:overflowPunct/>
        <w:textAlignment w:val="auto"/>
        <w:rPr>
          <w:rFonts w:asciiTheme="minorHAnsi" w:eastAsia="Calibri" w:hAnsiTheme="minorHAnsi" w:cstheme="minorHAnsi"/>
          <w:color w:val="000000"/>
        </w:rPr>
      </w:pPr>
      <w:r w:rsidRPr="00B525BF">
        <w:rPr>
          <w:rFonts w:asciiTheme="minorHAnsi" w:eastAsia="Calibri" w:hAnsiTheme="minorHAnsi" w:cstheme="minorHAnsi"/>
          <w:color w:val="000000"/>
        </w:rPr>
        <w:t xml:space="preserve">d - dolny wymiar sita (przy określaniu wielkości ziaren kruszywa), </w:t>
      </w:r>
    </w:p>
    <w:p w14:paraId="36E5DC22" w14:textId="77777777" w:rsidR="00B525BF" w:rsidRPr="00B525BF" w:rsidRDefault="00B525BF" w:rsidP="00F3201D">
      <w:pPr>
        <w:overflowPunct/>
        <w:textAlignment w:val="auto"/>
        <w:rPr>
          <w:rFonts w:asciiTheme="minorHAnsi" w:eastAsia="Calibri" w:hAnsiTheme="minorHAnsi" w:cstheme="minorHAnsi"/>
          <w:color w:val="000000"/>
        </w:rPr>
      </w:pPr>
      <w:r w:rsidRPr="00B525BF">
        <w:rPr>
          <w:rFonts w:asciiTheme="minorHAnsi" w:eastAsia="Calibri" w:hAnsiTheme="minorHAnsi" w:cstheme="minorHAnsi"/>
          <w:color w:val="000000"/>
        </w:rPr>
        <w:t xml:space="preserve">C - kationowa emulsja asfaltowa, </w:t>
      </w:r>
    </w:p>
    <w:p w14:paraId="2B3AD234" w14:textId="77777777" w:rsidR="00B525BF" w:rsidRPr="00B525BF" w:rsidRDefault="00B525BF" w:rsidP="00F3201D">
      <w:pPr>
        <w:overflowPunct/>
        <w:textAlignment w:val="auto"/>
        <w:rPr>
          <w:rFonts w:asciiTheme="minorHAnsi" w:eastAsia="Calibri" w:hAnsiTheme="minorHAnsi" w:cstheme="minorHAnsi"/>
          <w:color w:val="000000"/>
        </w:rPr>
      </w:pPr>
      <w:r w:rsidRPr="00B525BF">
        <w:rPr>
          <w:rFonts w:asciiTheme="minorHAnsi" w:eastAsia="Calibri" w:hAnsiTheme="minorHAnsi" w:cstheme="minorHAnsi"/>
          <w:color w:val="000000"/>
        </w:rPr>
        <w:t xml:space="preserve">NPD - właściwość użytkowa nie określana (ang. No Performance Determined; producent może jej nie określać), </w:t>
      </w:r>
    </w:p>
    <w:p w14:paraId="0A9EE42B" w14:textId="77777777" w:rsidR="00B525BF" w:rsidRPr="00B525BF" w:rsidRDefault="00B525BF" w:rsidP="00F3201D">
      <w:pPr>
        <w:overflowPunct/>
        <w:textAlignment w:val="auto"/>
        <w:rPr>
          <w:rFonts w:asciiTheme="minorHAnsi" w:eastAsia="Calibri" w:hAnsiTheme="minorHAnsi" w:cstheme="minorHAnsi"/>
          <w:color w:val="000000"/>
        </w:rPr>
      </w:pPr>
      <w:r w:rsidRPr="00B525BF">
        <w:rPr>
          <w:rFonts w:asciiTheme="minorHAnsi" w:eastAsia="Calibri" w:hAnsiTheme="minorHAnsi" w:cstheme="minorHAnsi"/>
          <w:color w:val="000000"/>
        </w:rPr>
        <w:t xml:space="preserve">TBR - do zadeklarowania (ang. To Be Reported; producent może dostarczyć odpowiednie informacje, jednak nie jest do tego zobowiązany), </w:t>
      </w:r>
    </w:p>
    <w:p w14:paraId="0CA3FFD8" w14:textId="77777777" w:rsidR="00B525BF" w:rsidRPr="00B525BF" w:rsidRDefault="00B525BF" w:rsidP="00F3201D">
      <w:pPr>
        <w:overflowPunct/>
        <w:textAlignment w:val="auto"/>
        <w:rPr>
          <w:rFonts w:asciiTheme="minorHAnsi" w:eastAsia="Calibri" w:hAnsiTheme="minorHAnsi" w:cstheme="minorHAnsi"/>
          <w:color w:val="000000"/>
        </w:rPr>
      </w:pPr>
      <w:r w:rsidRPr="00B525BF">
        <w:rPr>
          <w:rFonts w:asciiTheme="minorHAnsi" w:eastAsia="Calibri" w:hAnsiTheme="minorHAnsi" w:cstheme="minorHAnsi"/>
          <w:color w:val="000000"/>
        </w:rPr>
        <w:t xml:space="preserve">IRI - (International Roughness Index) międzynarodowy wskaźnik równości, </w:t>
      </w:r>
    </w:p>
    <w:p w14:paraId="0A9ABA1E" w14:textId="77777777" w:rsidR="00B525BF" w:rsidRDefault="00B525BF" w:rsidP="00F3201D">
      <w:pPr>
        <w:overflowPunct/>
        <w:textAlignment w:val="auto"/>
        <w:rPr>
          <w:rFonts w:asciiTheme="minorHAnsi" w:eastAsia="Calibri" w:hAnsiTheme="minorHAnsi" w:cstheme="minorHAnsi"/>
          <w:color w:val="000000"/>
        </w:rPr>
      </w:pPr>
      <w:r w:rsidRPr="00B525BF">
        <w:rPr>
          <w:rFonts w:asciiTheme="minorHAnsi" w:eastAsia="Calibri" w:hAnsiTheme="minorHAnsi" w:cstheme="minorHAnsi"/>
          <w:color w:val="000000"/>
        </w:rPr>
        <w:t xml:space="preserve">MOP - miejsce obsługi podróżnych. </w:t>
      </w:r>
    </w:p>
    <w:p w14:paraId="05FF3111" w14:textId="77777777" w:rsidR="008A07E0" w:rsidRPr="00B525BF" w:rsidRDefault="008A07E0" w:rsidP="00F3201D">
      <w:pPr>
        <w:overflowPunct/>
        <w:textAlignment w:val="auto"/>
        <w:rPr>
          <w:rFonts w:asciiTheme="minorHAnsi" w:eastAsia="Calibri" w:hAnsiTheme="minorHAnsi" w:cstheme="minorHAnsi"/>
          <w:color w:val="000000"/>
        </w:rPr>
      </w:pPr>
    </w:p>
    <w:p w14:paraId="6CE2D0A9" w14:textId="77777777" w:rsidR="00B525BF" w:rsidRPr="00B525BF" w:rsidRDefault="00B525BF" w:rsidP="00F3201D">
      <w:pPr>
        <w:overflowPunct/>
        <w:textAlignment w:val="auto"/>
        <w:rPr>
          <w:rFonts w:asciiTheme="minorHAnsi" w:eastAsia="Calibri" w:hAnsiTheme="minorHAnsi" w:cstheme="minorHAnsi"/>
          <w:color w:val="000000"/>
        </w:rPr>
      </w:pPr>
      <w:r w:rsidRPr="00B525BF">
        <w:rPr>
          <w:rFonts w:asciiTheme="minorHAnsi" w:eastAsia="Calibri" w:hAnsiTheme="minorHAnsi" w:cstheme="minorHAnsi"/>
          <w:b/>
          <w:bCs/>
          <w:color w:val="000000"/>
        </w:rPr>
        <w:t xml:space="preserve">1.5. Ogólne wymagania dotyczące robót </w:t>
      </w:r>
    </w:p>
    <w:p w14:paraId="346680AF" w14:textId="01AD9168" w:rsidR="00B525BF" w:rsidRPr="00B525BF" w:rsidRDefault="00B525BF" w:rsidP="00F3201D">
      <w:pPr>
        <w:rPr>
          <w:rFonts w:asciiTheme="minorHAnsi" w:hAnsiTheme="minorHAnsi" w:cstheme="minorHAnsi"/>
        </w:rPr>
      </w:pPr>
      <w:r w:rsidRPr="00B525BF">
        <w:rPr>
          <w:rFonts w:asciiTheme="minorHAnsi" w:eastAsia="Calibri" w:hAnsiTheme="minorHAnsi" w:cstheme="minorHAnsi"/>
          <w:color w:val="000000"/>
        </w:rPr>
        <w:t>Ogólne wymagania dotyczące robót podano w DMU.00.00.00 „Wymagania ogólne” pkt 1.5.</w:t>
      </w:r>
    </w:p>
    <w:p w14:paraId="24B1F941" w14:textId="77777777" w:rsidR="00786904" w:rsidRPr="00B525BF" w:rsidRDefault="00786904" w:rsidP="00F3201D">
      <w:pPr>
        <w:rPr>
          <w:rFonts w:ascii="Calibri" w:hAnsi="Calibri" w:cs="Calibri"/>
          <w:b/>
        </w:rPr>
      </w:pPr>
    </w:p>
    <w:p w14:paraId="424C0235" w14:textId="60277B5C" w:rsidR="00B525BF" w:rsidRPr="00B525BF" w:rsidRDefault="00B525BF" w:rsidP="00262498">
      <w:pPr>
        <w:pStyle w:val="Akapitzlist"/>
        <w:numPr>
          <w:ilvl w:val="0"/>
          <w:numId w:val="31"/>
        </w:numPr>
        <w:rPr>
          <w:rFonts w:ascii="Calibri" w:hAnsi="Calibri" w:cs="Calibri"/>
          <w:b/>
        </w:rPr>
      </w:pPr>
      <w:r w:rsidRPr="00B525BF">
        <w:rPr>
          <w:rFonts w:ascii="Calibri" w:hAnsi="Calibri" w:cs="Calibri"/>
          <w:b/>
        </w:rPr>
        <w:t xml:space="preserve">MATERIAŁY </w:t>
      </w:r>
    </w:p>
    <w:p w14:paraId="61A70995" w14:textId="77777777" w:rsidR="00B525BF" w:rsidRPr="00B525BF" w:rsidRDefault="00B525BF" w:rsidP="00F3201D">
      <w:pPr>
        <w:pStyle w:val="Akapitzlist"/>
        <w:ind w:left="283"/>
        <w:rPr>
          <w:rFonts w:ascii="Calibri" w:hAnsi="Calibri" w:cs="Calibri"/>
          <w:b/>
        </w:rPr>
      </w:pPr>
    </w:p>
    <w:p w14:paraId="78FD7C40" w14:textId="77777777" w:rsidR="00B525BF" w:rsidRPr="00B525BF" w:rsidRDefault="00B525BF" w:rsidP="00F3201D">
      <w:pPr>
        <w:rPr>
          <w:rFonts w:asciiTheme="minorHAnsi" w:hAnsiTheme="minorHAnsi" w:cstheme="minorHAnsi"/>
          <w:b/>
        </w:rPr>
      </w:pPr>
      <w:r w:rsidRPr="00B525BF">
        <w:rPr>
          <w:rFonts w:asciiTheme="minorHAnsi" w:hAnsiTheme="minorHAnsi" w:cstheme="minorHAnsi"/>
          <w:b/>
        </w:rPr>
        <w:t xml:space="preserve">2.1. Ogólne wymagania dotyczące materiałów </w:t>
      </w:r>
    </w:p>
    <w:p w14:paraId="2F948AA7" w14:textId="77777777" w:rsidR="00B525BF" w:rsidRDefault="00B525BF" w:rsidP="00F3201D">
      <w:pPr>
        <w:overflowPunct/>
        <w:textAlignment w:val="auto"/>
        <w:rPr>
          <w:rFonts w:asciiTheme="minorHAnsi" w:eastAsia="Calibri" w:hAnsiTheme="minorHAnsi" w:cstheme="minorHAnsi"/>
          <w:color w:val="000000"/>
        </w:rPr>
      </w:pPr>
      <w:r w:rsidRPr="00B525BF">
        <w:rPr>
          <w:rFonts w:asciiTheme="minorHAnsi" w:eastAsia="Calibri" w:hAnsiTheme="minorHAnsi" w:cstheme="minorHAnsi"/>
          <w:color w:val="000000"/>
        </w:rPr>
        <w:t xml:space="preserve">Ogólne wymagania dotyczące materiałów, ich pozyskiwania i składowania, podano w DMU.00.00.00 „Wymagania ogólne” [1] pkt 2. </w:t>
      </w:r>
    </w:p>
    <w:p w14:paraId="2C87DDC4" w14:textId="77777777" w:rsidR="00B525BF" w:rsidRPr="00B525BF" w:rsidRDefault="00B525BF" w:rsidP="00F3201D">
      <w:pPr>
        <w:overflowPunct/>
        <w:textAlignment w:val="auto"/>
        <w:rPr>
          <w:rFonts w:asciiTheme="minorHAnsi" w:eastAsia="Calibri" w:hAnsiTheme="minorHAnsi" w:cstheme="minorHAnsi"/>
          <w:color w:val="000000"/>
        </w:rPr>
      </w:pPr>
    </w:p>
    <w:p w14:paraId="63D8F3E7" w14:textId="77777777" w:rsidR="00A85D08" w:rsidRPr="004E54A4" w:rsidRDefault="00A85D08" w:rsidP="00A85D08">
      <w:pPr>
        <w:pStyle w:val="Nagwek4"/>
      </w:pPr>
      <w:r w:rsidRPr="004E54A4">
        <w:t>2.2 Rodzaje materiałów</w:t>
      </w:r>
    </w:p>
    <w:p w14:paraId="1511D610" w14:textId="77777777" w:rsidR="00A85D08" w:rsidRPr="00A85D08" w:rsidRDefault="00A85D08" w:rsidP="00A85D08">
      <w:pPr>
        <w:pStyle w:val="Tekstpodstawowy"/>
        <w:spacing w:line="240" w:lineRule="auto"/>
        <w:jc w:val="both"/>
        <w:rPr>
          <w:rFonts w:ascii="Calibri" w:hAnsi="Calibri" w:cs="Calibri"/>
          <w:sz w:val="20"/>
          <w:szCs w:val="20"/>
        </w:rPr>
      </w:pPr>
      <w:r w:rsidRPr="00A85D08">
        <w:rPr>
          <w:rFonts w:ascii="Calibri" w:hAnsi="Calibri" w:cs="Calibri"/>
          <w:sz w:val="20"/>
          <w:szCs w:val="20"/>
        </w:rPr>
        <w:t>Rodzaje materiałów stosowanych do mieszanki SMA podano w tablicy 1.</w:t>
      </w:r>
    </w:p>
    <w:p w14:paraId="684DE1ED" w14:textId="77777777" w:rsidR="00A85D08" w:rsidRPr="00A85D08" w:rsidRDefault="00A85D08" w:rsidP="00A85D08">
      <w:pPr>
        <w:pStyle w:val="Tekstpodstawowy"/>
        <w:spacing w:line="240" w:lineRule="auto"/>
        <w:jc w:val="both"/>
        <w:rPr>
          <w:rFonts w:ascii="Calibri" w:hAnsi="Calibri" w:cs="Calibri"/>
          <w:sz w:val="20"/>
          <w:szCs w:val="20"/>
        </w:rPr>
      </w:pPr>
    </w:p>
    <w:p w14:paraId="0EE13132" w14:textId="77777777" w:rsidR="00A85D08" w:rsidRPr="00A85D08" w:rsidRDefault="00A85D08" w:rsidP="00A85D08">
      <w:pPr>
        <w:pStyle w:val="Tekstpodstawowy"/>
        <w:spacing w:line="240" w:lineRule="auto"/>
        <w:jc w:val="both"/>
        <w:rPr>
          <w:rFonts w:ascii="Calibri" w:hAnsi="Calibri" w:cs="Calibri"/>
          <w:sz w:val="20"/>
          <w:szCs w:val="20"/>
        </w:rPr>
      </w:pPr>
      <w:r w:rsidRPr="00A85D08">
        <w:rPr>
          <w:rFonts w:ascii="Calibri" w:hAnsi="Calibri" w:cs="Calibri"/>
          <w:sz w:val="20"/>
          <w:szCs w:val="20"/>
        </w:rPr>
        <w:t>Tablica 1. Rodzaje materiałów do mieszanki SMA</w:t>
      </w:r>
    </w:p>
    <w:tbl>
      <w:tblPr>
        <w:tblStyle w:val="TableNormal"/>
        <w:tblW w:w="9072"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2825"/>
        <w:gridCol w:w="5680"/>
      </w:tblGrid>
      <w:tr w:rsidR="00A85D08" w:rsidRPr="00A85D08" w14:paraId="5E91790B" w14:textId="77777777" w:rsidTr="00A85D08">
        <w:trPr>
          <w:trHeight w:val="422"/>
        </w:trPr>
        <w:tc>
          <w:tcPr>
            <w:tcW w:w="567" w:type="dxa"/>
            <w:vMerge w:val="restart"/>
            <w:tcBorders>
              <w:top w:val="single" w:sz="4" w:space="0" w:color="000000"/>
              <w:left w:val="single" w:sz="4" w:space="0" w:color="000000"/>
              <w:bottom w:val="single" w:sz="4" w:space="0" w:color="000000"/>
              <w:right w:val="single" w:sz="4" w:space="0" w:color="000000"/>
            </w:tcBorders>
            <w:hideMark/>
          </w:tcPr>
          <w:p w14:paraId="7028F472" w14:textId="77777777" w:rsidR="00A85D08" w:rsidRPr="00A85D08" w:rsidRDefault="00A85D08" w:rsidP="00A85D08">
            <w:pPr>
              <w:pStyle w:val="Tekstpodstawowy"/>
              <w:spacing w:line="240" w:lineRule="auto"/>
              <w:jc w:val="both"/>
              <w:rPr>
                <w:rFonts w:ascii="Calibri" w:hAnsi="Calibri" w:cs="Calibri"/>
                <w:sz w:val="20"/>
                <w:szCs w:val="20"/>
              </w:rPr>
            </w:pPr>
            <w:r w:rsidRPr="00A85D08">
              <w:rPr>
                <w:rFonts w:ascii="Calibri" w:hAnsi="Calibri" w:cs="Calibri"/>
                <w:sz w:val="20"/>
                <w:szCs w:val="20"/>
              </w:rPr>
              <w:t>Lp.</w:t>
            </w:r>
          </w:p>
        </w:tc>
        <w:tc>
          <w:tcPr>
            <w:tcW w:w="2825" w:type="dxa"/>
            <w:vMerge w:val="restart"/>
            <w:tcBorders>
              <w:top w:val="single" w:sz="4" w:space="0" w:color="000000"/>
              <w:left w:val="single" w:sz="4" w:space="0" w:color="000000"/>
              <w:bottom w:val="single" w:sz="4" w:space="0" w:color="000000"/>
              <w:right w:val="single" w:sz="4" w:space="0" w:color="000000"/>
            </w:tcBorders>
            <w:hideMark/>
          </w:tcPr>
          <w:p w14:paraId="6E36BCD6" w14:textId="77777777" w:rsidR="00A85D08" w:rsidRPr="00A85D08" w:rsidRDefault="00A85D08" w:rsidP="00A85D08">
            <w:pPr>
              <w:pStyle w:val="Tekstpodstawowy"/>
              <w:spacing w:line="240" w:lineRule="auto"/>
              <w:jc w:val="both"/>
              <w:rPr>
                <w:rFonts w:ascii="Calibri" w:hAnsi="Calibri" w:cs="Calibri"/>
                <w:sz w:val="20"/>
                <w:szCs w:val="20"/>
              </w:rPr>
            </w:pPr>
            <w:r w:rsidRPr="00A85D08">
              <w:rPr>
                <w:rFonts w:ascii="Calibri" w:hAnsi="Calibri" w:cs="Calibri"/>
                <w:sz w:val="20"/>
                <w:szCs w:val="20"/>
              </w:rPr>
              <w:t>Rodzaj materiału</w:t>
            </w:r>
          </w:p>
        </w:tc>
        <w:tc>
          <w:tcPr>
            <w:tcW w:w="5680" w:type="dxa"/>
            <w:tcBorders>
              <w:top w:val="single" w:sz="4" w:space="0" w:color="000000"/>
              <w:left w:val="single" w:sz="4" w:space="0" w:color="000000"/>
              <w:bottom w:val="single" w:sz="4" w:space="0" w:color="000000"/>
              <w:right w:val="single" w:sz="4" w:space="0" w:color="000000"/>
            </w:tcBorders>
            <w:hideMark/>
          </w:tcPr>
          <w:p w14:paraId="44F74EA9" w14:textId="77777777" w:rsidR="00A85D08" w:rsidRPr="00A85D08" w:rsidRDefault="00A85D08" w:rsidP="00A85D08">
            <w:pPr>
              <w:pStyle w:val="Tekstpodstawowy"/>
              <w:spacing w:line="240" w:lineRule="auto"/>
              <w:jc w:val="both"/>
              <w:rPr>
                <w:rFonts w:ascii="Calibri" w:hAnsi="Calibri" w:cs="Calibri"/>
                <w:sz w:val="20"/>
                <w:szCs w:val="20"/>
              </w:rPr>
            </w:pPr>
            <w:r w:rsidRPr="00A85D08">
              <w:rPr>
                <w:rFonts w:ascii="Calibri" w:hAnsi="Calibri" w:cs="Calibri"/>
                <w:sz w:val="20"/>
                <w:szCs w:val="20"/>
              </w:rPr>
              <w:t>Wymagania wg / dokument odniesienia</w:t>
            </w:r>
          </w:p>
        </w:tc>
      </w:tr>
      <w:tr w:rsidR="00A85D08" w:rsidRPr="00A85D08" w14:paraId="00FB2C81" w14:textId="77777777" w:rsidTr="00A85D08">
        <w:trPr>
          <w:trHeight w:val="424"/>
        </w:trPr>
        <w:tc>
          <w:tcPr>
            <w:tcW w:w="567" w:type="dxa"/>
            <w:vMerge/>
            <w:tcBorders>
              <w:top w:val="single" w:sz="4" w:space="0" w:color="000000"/>
              <w:left w:val="single" w:sz="4" w:space="0" w:color="000000"/>
              <w:bottom w:val="single" w:sz="4" w:space="0" w:color="000000"/>
              <w:right w:val="single" w:sz="4" w:space="0" w:color="000000"/>
            </w:tcBorders>
            <w:vAlign w:val="center"/>
            <w:hideMark/>
          </w:tcPr>
          <w:p w14:paraId="0DDD780F" w14:textId="77777777" w:rsidR="00A85D08" w:rsidRPr="00A85D08" w:rsidRDefault="00A85D08" w:rsidP="00A85D08">
            <w:pPr>
              <w:pStyle w:val="Tekstpodstawowy"/>
              <w:spacing w:line="240" w:lineRule="auto"/>
              <w:jc w:val="both"/>
              <w:rPr>
                <w:rFonts w:ascii="Calibri" w:hAnsi="Calibri" w:cs="Calibri"/>
                <w:sz w:val="20"/>
                <w:szCs w:val="20"/>
              </w:rPr>
            </w:pPr>
          </w:p>
        </w:tc>
        <w:tc>
          <w:tcPr>
            <w:tcW w:w="2825" w:type="dxa"/>
            <w:vMerge/>
            <w:tcBorders>
              <w:top w:val="single" w:sz="4" w:space="0" w:color="000000"/>
              <w:left w:val="single" w:sz="4" w:space="0" w:color="000000"/>
              <w:bottom w:val="single" w:sz="4" w:space="0" w:color="000000"/>
              <w:right w:val="single" w:sz="4" w:space="0" w:color="000000"/>
            </w:tcBorders>
            <w:vAlign w:val="center"/>
            <w:hideMark/>
          </w:tcPr>
          <w:p w14:paraId="0453A1DB" w14:textId="77777777" w:rsidR="00A85D08" w:rsidRPr="00A85D08" w:rsidRDefault="00A85D08" w:rsidP="00A85D08">
            <w:pPr>
              <w:pStyle w:val="Tekstpodstawowy"/>
              <w:spacing w:line="240" w:lineRule="auto"/>
              <w:jc w:val="both"/>
              <w:rPr>
                <w:rFonts w:ascii="Calibri" w:hAnsi="Calibri" w:cs="Calibri"/>
                <w:sz w:val="20"/>
                <w:szCs w:val="20"/>
              </w:rPr>
            </w:pPr>
          </w:p>
        </w:tc>
        <w:tc>
          <w:tcPr>
            <w:tcW w:w="5680" w:type="dxa"/>
            <w:tcBorders>
              <w:top w:val="single" w:sz="4" w:space="0" w:color="000000"/>
              <w:left w:val="single" w:sz="4" w:space="0" w:color="000000"/>
              <w:bottom w:val="single" w:sz="4" w:space="0" w:color="000000"/>
              <w:right w:val="single" w:sz="4" w:space="0" w:color="000000"/>
            </w:tcBorders>
            <w:hideMark/>
          </w:tcPr>
          <w:p w14:paraId="17751033" w14:textId="77777777" w:rsidR="00A85D08" w:rsidRPr="00A85D08" w:rsidRDefault="00A85D08" w:rsidP="00A85D08">
            <w:pPr>
              <w:pStyle w:val="Tekstpodstawowy"/>
              <w:spacing w:line="240" w:lineRule="auto"/>
              <w:jc w:val="both"/>
              <w:rPr>
                <w:rFonts w:ascii="Calibri" w:hAnsi="Calibri" w:cs="Calibri"/>
                <w:sz w:val="20"/>
                <w:szCs w:val="20"/>
              </w:rPr>
            </w:pPr>
            <w:r w:rsidRPr="00A85D08">
              <w:rPr>
                <w:rFonts w:ascii="Calibri" w:hAnsi="Calibri" w:cs="Calibri"/>
                <w:sz w:val="20"/>
                <w:szCs w:val="20"/>
              </w:rPr>
              <w:t>Uzależnione od kategorii ruchu</w:t>
            </w:r>
          </w:p>
        </w:tc>
      </w:tr>
      <w:tr w:rsidR="00A85D08" w:rsidRPr="00A85D08" w14:paraId="2282A4DF" w14:textId="77777777" w:rsidTr="00A85D08">
        <w:trPr>
          <w:trHeight w:val="422"/>
        </w:trPr>
        <w:tc>
          <w:tcPr>
            <w:tcW w:w="567" w:type="dxa"/>
            <w:tcBorders>
              <w:top w:val="single" w:sz="4" w:space="0" w:color="000000"/>
              <w:left w:val="single" w:sz="4" w:space="0" w:color="000000"/>
              <w:bottom w:val="single" w:sz="4" w:space="0" w:color="000000"/>
              <w:right w:val="single" w:sz="4" w:space="0" w:color="000000"/>
            </w:tcBorders>
            <w:hideMark/>
          </w:tcPr>
          <w:p w14:paraId="3EE6F847" w14:textId="77777777" w:rsidR="00A85D08" w:rsidRPr="00A85D08" w:rsidRDefault="00A85D08" w:rsidP="00A85D08">
            <w:pPr>
              <w:pStyle w:val="Tekstpodstawowy"/>
              <w:spacing w:line="240" w:lineRule="auto"/>
              <w:jc w:val="both"/>
              <w:rPr>
                <w:rFonts w:ascii="Calibri" w:hAnsi="Calibri" w:cs="Calibri"/>
                <w:sz w:val="20"/>
                <w:szCs w:val="20"/>
              </w:rPr>
            </w:pPr>
            <w:r w:rsidRPr="00A85D08">
              <w:rPr>
                <w:rFonts w:ascii="Calibri" w:hAnsi="Calibri" w:cs="Calibri"/>
                <w:sz w:val="20"/>
                <w:szCs w:val="20"/>
              </w:rPr>
              <w:t>1</w:t>
            </w:r>
          </w:p>
        </w:tc>
        <w:tc>
          <w:tcPr>
            <w:tcW w:w="2825" w:type="dxa"/>
            <w:tcBorders>
              <w:top w:val="single" w:sz="4" w:space="0" w:color="000000"/>
              <w:left w:val="single" w:sz="4" w:space="0" w:color="000000"/>
              <w:bottom w:val="single" w:sz="4" w:space="0" w:color="000000"/>
              <w:right w:val="single" w:sz="4" w:space="0" w:color="000000"/>
            </w:tcBorders>
            <w:hideMark/>
          </w:tcPr>
          <w:p w14:paraId="3DCF841A" w14:textId="77777777" w:rsidR="00A85D08" w:rsidRPr="00A85D08" w:rsidRDefault="00A85D08" w:rsidP="00A85D08">
            <w:pPr>
              <w:pStyle w:val="Tekstpodstawowy"/>
              <w:spacing w:line="240" w:lineRule="auto"/>
              <w:jc w:val="both"/>
              <w:rPr>
                <w:rFonts w:ascii="Calibri" w:hAnsi="Calibri" w:cs="Calibri"/>
                <w:sz w:val="20"/>
                <w:szCs w:val="20"/>
              </w:rPr>
            </w:pPr>
            <w:r w:rsidRPr="00A85D08">
              <w:rPr>
                <w:rFonts w:ascii="Calibri" w:hAnsi="Calibri" w:cs="Calibri"/>
                <w:sz w:val="20"/>
                <w:szCs w:val="20"/>
              </w:rPr>
              <w:t>Kruszywo grube</w:t>
            </w:r>
          </w:p>
        </w:tc>
        <w:tc>
          <w:tcPr>
            <w:tcW w:w="5680" w:type="dxa"/>
            <w:tcBorders>
              <w:top w:val="single" w:sz="4" w:space="0" w:color="000000"/>
              <w:left w:val="single" w:sz="4" w:space="0" w:color="000000"/>
              <w:bottom w:val="single" w:sz="4" w:space="0" w:color="000000"/>
              <w:right w:val="single" w:sz="4" w:space="0" w:color="000000"/>
            </w:tcBorders>
            <w:hideMark/>
          </w:tcPr>
          <w:p w14:paraId="5D0BA340" w14:textId="77777777" w:rsidR="00A85D08" w:rsidRPr="00A85D08" w:rsidRDefault="00A85D08" w:rsidP="00A85D08">
            <w:pPr>
              <w:pStyle w:val="Tekstpodstawowy"/>
              <w:spacing w:line="240" w:lineRule="auto"/>
              <w:jc w:val="both"/>
              <w:rPr>
                <w:rFonts w:ascii="Calibri" w:hAnsi="Calibri" w:cs="Calibri"/>
                <w:sz w:val="20"/>
                <w:szCs w:val="20"/>
              </w:rPr>
            </w:pPr>
            <w:r w:rsidRPr="00A85D08">
              <w:rPr>
                <w:rFonts w:ascii="Calibri" w:hAnsi="Calibri" w:cs="Calibri"/>
                <w:sz w:val="20"/>
                <w:szCs w:val="20"/>
              </w:rPr>
              <w:t>WT-1 Kruszywa 2014, tab. 16</w:t>
            </w:r>
          </w:p>
        </w:tc>
      </w:tr>
      <w:tr w:rsidR="00A85D08" w:rsidRPr="00A85D08" w14:paraId="77FC9D9B" w14:textId="77777777" w:rsidTr="00A85D08">
        <w:trPr>
          <w:trHeight w:val="422"/>
        </w:trPr>
        <w:tc>
          <w:tcPr>
            <w:tcW w:w="567" w:type="dxa"/>
            <w:tcBorders>
              <w:top w:val="single" w:sz="4" w:space="0" w:color="000000"/>
              <w:left w:val="single" w:sz="4" w:space="0" w:color="000000"/>
              <w:bottom w:val="single" w:sz="4" w:space="0" w:color="000000"/>
              <w:right w:val="single" w:sz="4" w:space="0" w:color="000000"/>
            </w:tcBorders>
            <w:hideMark/>
          </w:tcPr>
          <w:p w14:paraId="08FBB198" w14:textId="77777777" w:rsidR="00A85D08" w:rsidRPr="00A85D08" w:rsidRDefault="00A85D08" w:rsidP="00A85D08">
            <w:pPr>
              <w:pStyle w:val="Tekstpodstawowy"/>
              <w:spacing w:line="240" w:lineRule="auto"/>
              <w:jc w:val="both"/>
              <w:rPr>
                <w:rFonts w:ascii="Calibri" w:hAnsi="Calibri" w:cs="Calibri"/>
                <w:sz w:val="20"/>
                <w:szCs w:val="20"/>
              </w:rPr>
            </w:pPr>
            <w:r w:rsidRPr="00A85D08">
              <w:rPr>
                <w:rFonts w:ascii="Calibri" w:hAnsi="Calibri" w:cs="Calibri"/>
                <w:sz w:val="20"/>
                <w:szCs w:val="20"/>
              </w:rPr>
              <w:t>2</w:t>
            </w:r>
          </w:p>
        </w:tc>
        <w:tc>
          <w:tcPr>
            <w:tcW w:w="2825" w:type="dxa"/>
            <w:tcBorders>
              <w:top w:val="single" w:sz="4" w:space="0" w:color="000000"/>
              <w:left w:val="single" w:sz="4" w:space="0" w:color="000000"/>
              <w:bottom w:val="single" w:sz="4" w:space="0" w:color="000000"/>
              <w:right w:val="single" w:sz="4" w:space="0" w:color="000000"/>
            </w:tcBorders>
            <w:hideMark/>
          </w:tcPr>
          <w:p w14:paraId="3AD8B8A2" w14:textId="77777777" w:rsidR="00A85D08" w:rsidRPr="00A85D08" w:rsidRDefault="00A85D08" w:rsidP="00A85D08">
            <w:pPr>
              <w:pStyle w:val="Tekstpodstawowy"/>
              <w:spacing w:line="240" w:lineRule="auto"/>
              <w:jc w:val="both"/>
              <w:rPr>
                <w:rFonts w:ascii="Calibri" w:hAnsi="Calibri" w:cs="Calibri"/>
                <w:sz w:val="20"/>
                <w:szCs w:val="20"/>
              </w:rPr>
            </w:pPr>
            <w:r w:rsidRPr="00A85D08">
              <w:rPr>
                <w:rFonts w:ascii="Calibri" w:hAnsi="Calibri" w:cs="Calibri"/>
                <w:sz w:val="20"/>
                <w:szCs w:val="20"/>
              </w:rPr>
              <w:t>Kruszywo drobne</w:t>
            </w:r>
          </w:p>
        </w:tc>
        <w:tc>
          <w:tcPr>
            <w:tcW w:w="5680" w:type="dxa"/>
            <w:tcBorders>
              <w:top w:val="single" w:sz="4" w:space="0" w:color="000000"/>
              <w:left w:val="single" w:sz="4" w:space="0" w:color="000000"/>
              <w:bottom w:val="single" w:sz="4" w:space="0" w:color="000000"/>
              <w:right w:val="single" w:sz="4" w:space="0" w:color="000000"/>
            </w:tcBorders>
            <w:hideMark/>
          </w:tcPr>
          <w:p w14:paraId="27300355" w14:textId="77777777" w:rsidR="00A85D08" w:rsidRPr="00A85D08" w:rsidRDefault="00A85D08" w:rsidP="00A85D08">
            <w:pPr>
              <w:pStyle w:val="Tekstpodstawowy"/>
              <w:spacing w:line="240" w:lineRule="auto"/>
              <w:jc w:val="both"/>
              <w:rPr>
                <w:rFonts w:ascii="Calibri" w:hAnsi="Calibri" w:cs="Calibri"/>
                <w:sz w:val="20"/>
                <w:szCs w:val="20"/>
              </w:rPr>
            </w:pPr>
            <w:r w:rsidRPr="00A85D08">
              <w:rPr>
                <w:rFonts w:ascii="Calibri" w:hAnsi="Calibri" w:cs="Calibri"/>
                <w:sz w:val="20"/>
                <w:szCs w:val="20"/>
              </w:rPr>
              <w:t>WT-1 Kruszywa 2014, tab. 17</w:t>
            </w:r>
          </w:p>
        </w:tc>
      </w:tr>
      <w:tr w:rsidR="00A85D08" w:rsidRPr="00A85D08" w14:paraId="6FB4B378" w14:textId="77777777" w:rsidTr="00A85D08">
        <w:trPr>
          <w:trHeight w:val="424"/>
        </w:trPr>
        <w:tc>
          <w:tcPr>
            <w:tcW w:w="567" w:type="dxa"/>
            <w:tcBorders>
              <w:top w:val="single" w:sz="4" w:space="0" w:color="000000"/>
              <w:left w:val="single" w:sz="4" w:space="0" w:color="000000"/>
              <w:bottom w:val="single" w:sz="4" w:space="0" w:color="000000"/>
              <w:right w:val="single" w:sz="4" w:space="0" w:color="000000"/>
            </w:tcBorders>
            <w:hideMark/>
          </w:tcPr>
          <w:p w14:paraId="31373952" w14:textId="77777777" w:rsidR="00A85D08" w:rsidRPr="00A85D08" w:rsidRDefault="00A85D08" w:rsidP="00A85D08">
            <w:pPr>
              <w:pStyle w:val="Tekstpodstawowy"/>
              <w:spacing w:line="240" w:lineRule="auto"/>
              <w:jc w:val="both"/>
              <w:rPr>
                <w:rFonts w:ascii="Calibri" w:hAnsi="Calibri" w:cs="Calibri"/>
                <w:sz w:val="20"/>
                <w:szCs w:val="20"/>
              </w:rPr>
            </w:pPr>
            <w:r w:rsidRPr="00A85D08">
              <w:rPr>
                <w:rFonts w:ascii="Calibri" w:hAnsi="Calibri" w:cs="Calibri"/>
                <w:sz w:val="20"/>
                <w:szCs w:val="20"/>
              </w:rPr>
              <w:t>3</w:t>
            </w:r>
          </w:p>
        </w:tc>
        <w:tc>
          <w:tcPr>
            <w:tcW w:w="2825" w:type="dxa"/>
            <w:tcBorders>
              <w:top w:val="single" w:sz="4" w:space="0" w:color="000000"/>
              <w:left w:val="single" w:sz="4" w:space="0" w:color="000000"/>
              <w:bottom w:val="single" w:sz="4" w:space="0" w:color="000000"/>
              <w:right w:val="single" w:sz="4" w:space="0" w:color="000000"/>
            </w:tcBorders>
            <w:hideMark/>
          </w:tcPr>
          <w:p w14:paraId="2E9EDBED" w14:textId="77777777" w:rsidR="00A85D08" w:rsidRPr="00A85D08" w:rsidRDefault="00A85D08" w:rsidP="00A85D08">
            <w:pPr>
              <w:pStyle w:val="Tekstpodstawowy"/>
              <w:spacing w:line="240" w:lineRule="auto"/>
              <w:jc w:val="both"/>
              <w:rPr>
                <w:rFonts w:ascii="Calibri" w:hAnsi="Calibri" w:cs="Calibri"/>
                <w:sz w:val="20"/>
                <w:szCs w:val="20"/>
              </w:rPr>
            </w:pPr>
            <w:r w:rsidRPr="00A85D08">
              <w:rPr>
                <w:rFonts w:ascii="Calibri" w:hAnsi="Calibri" w:cs="Calibri"/>
                <w:sz w:val="20"/>
                <w:szCs w:val="20"/>
              </w:rPr>
              <w:t>Wypełniacz</w:t>
            </w:r>
          </w:p>
        </w:tc>
        <w:tc>
          <w:tcPr>
            <w:tcW w:w="5680" w:type="dxa"/>
            <w:tcBorders>
              <w:top w:val="single" w:sz="4" w:space="0" w:color="000000"/>
              <w:left w:val="single" w:sz="4" w:space="0" w:color="000000"/>
              <w:bottom w:val="single" w:sz="4" w:space="0" w:color="000000"/>
              <w:right w:val="single" w:sz="4" w:space="0" w:color="000000"/>
            </w:tcBorders>
            <w:hideMark/>
          </w:tcPr>
          <w:p w14:paraId="1F67E479" w14:textId="77777777" w:rsidR="00A85D08" w:rsidRPr="00A85D08" w:rsidRDefault="00A85D08" w:rsidP="00A85D08">
            <w:pPr>
              <w:pStyle w:val="Tekstpodstawowy"/>
              <w:spacing w:line="240" w:lineRule="auto"/>
              <w:jc w:val="both"/>
              <w:rPr>
                <w:rFonts w:ascii="Calibri" w:hAnsi="Calibri" w:cs="Calibri"/>
                <w:sz w:val="20"/>
                <w:szCs w:val="20"/>
              </w:rPr>
            </w:pPr>
            <w:r w:rsidRPr="00A85D08">
              <w:rPr>
                <w:rFonts w:ascii="Calibri" w:hAnsi="Calibri" w:cs="Calibri"/>
                <w:sz w:val="20"/>
                <w:szCs w:val="20"/>
              </w:rPr>
              <w:t>WT-1 Kruszywa 2014, tab. 18</w:t>
            </w:r>
          </w:p>
        </w:tc>
      </w:tr>
      <w:tr w:rsidR="00A85D08" w:rsidRPr="00A85D08" w14:paraId="488F1DC4" w14:textId="77777777" w:rsidTr="00A85D08">
        <w:trPr>
          <w:trHeight w:val="439"/>
        </w:trPr>
        <w:tc>
          <w:tcPr>
            <w:tcW w:w="567" w:type="dxa"/>
            <w:tcBorders>
              <w:top w:val="single" w:sz="4" w:space="0" w:color="000000"/>
              <w:left w:val="single" w:sz="4" w:space="0" w:color="000000"/>
              <w:bottom w:val="single" w:sz="4" w:space="0" w:color="000000"/>
              <w:right w:val="single" w:sz="4" w:space="0" w:color="000000"/>
            </w:tcBorders>
            <w:hideMark/>
          </w:tcPr>
          <w:p w14:paraId="025607AC" w14:textId="77777777" w:rsidR="00A85D08" w:rsidRPr="00A85D08" w:rsidRDefault="00A85D08" w:rsidP="00A85D08">
            <w:pPr>
              <w:pStyle w:val="Tekstpodstawowy"/>
              <w:spacing w:line="240" w:lineRule="auto"/>
              <w:jc w:val="both"/>
              <w:rPr>
                <w:rFonts w:ascii="Calibri" w:hAnsi="Calibri" w:cs="Calibri"/>
                <w:sz w:val="20"/>
                <w:szCs w:val="20"/>
              </w:rPr>
            </w:pPr>
            <w:r w:rsidRPr="00A85D08">
              <w:rPr>
                <w:rFonts w:ascii="Calibri" w:hAnsi="Calibri" w:cs="Calibri"/>
                <w:sz w:val="20"/>
                <w:szCs w:val="20"/>
              </w:rPr>
              <w:t>4</w:t>
            </w:r>
          </w:p>
        </w:tc>
        <w:tc>
          <w:tcPr>
            <w:tcW w:w="2825" w:type="dxa"/>
            <w:tcBorders>
              <w:top w:val="single" w:sz="4" w:space="0" w:color="000000"/>
              <w:left w:val="single" w:sz="4" w:space="0" w:color="000000"/>
              <w:bottom w:val="single" w:sz="4" w:space="0" w:color="000000"/>
              <w:right w:val="single" w:sz="4" w:space="0" w:color="000000"/>
            </w:tcBorders>
            <w:hideMark/>
          </w:tcPr>
          <w:p w14:paraId="3970F560" w14:textId="77777777" w:rsidR="00A85D08" w:rsidRPr="00A85D08" w:rsidRDefault="00A85D08" w:rsidP="00A85D08">
            <w:pPr>
              <w:pStyle w:val="Tekstpodstawowy"/>
              <w:spacing w:line="240" w:lineRule="auto"/>
              <w:jc w:val="both"/>
              <w:rPr>
                <w:rFonts w:ascii="Calibri" w:hAnsi="Calibri" w:cs="Calibri"/>
                <w:sz w:val="20"/>
                <w:szCs w:val="20"/>
              </w:rPr>
            </w:pPr>
            <w:r w:rsidRPr="00A85D08">
              <w:rPr>
                <w:rFonts w:ascii="Calibri" w:hAnsi="Calibri" w:cs="Calibri"/>
                <w:sz w:val="20"/>
                <w:szCs w:val="20"/>
              </w:rPr>
              <w:t>Lepiszcze</w:t>
            </w:r>
          </w:p>
        </w:tc>
        <w:tc>
          <w:tcPr>
            <w:tcW w:w="5680" w:type="dxa"/>
            <w:tcBorders>
              <w:top w:val="single" w:sz="4" w:space="0" w:color="000000"/>
              <w:left w:val="single" w:sz="4" w:space="0" w:color="000000"/>
              <w:bottom w:val="single" w:sz="4" w:space="0" w:color="000000"/>
              <w:right w:val="single" w:sz="4" w:space="0" w:color="000000"/>
            </w:tcBorders>
            <w:hideMark/>
          </w:tcPr>
          <w:p w14:paraId="3D823DF1" w14:textId="77777777" w:rsidR="00A85D08" w:rsidRPr="00A85D08" w:rsidRDefault="00A85D08" w:rsidP="00A85D08">
            <w:pPr>
              <w:pStyle w:val="Tekstpodstawowy"/>
              <w:spacing w:line="240" w:lineRule="auto"/>
              <w:jc w:val="both"/>
              <w:rPr>
                <w:rFonts w:ascii="Calibri" w:hAnsi="Calibri" w:cs="Calibri"/>
                <w:sz w:val="20"/>
                <w:szCs w:val="20"/>
                <w:lang w:val="pl-PL"/>
              </w:rPr>
            </w:pPr>
            <w:r w:rsidRPr="00A85D08">
              <w:rPr>
                <w:rFonts w:ascii="Calibri" w:hAnsi="Calibri" w:cs="Calibri"/>
                <w:sz w:val="20"/>
                <w:szCs w:val="20"/>
                <w:lang w:val="pl-PL"/>
              </w:rPr>
              <w:t>WT-2 2014 – część I Tab. 25, PN-EN 14023, PN- EN 12591, PN-EN 13924-2</w:t>
            </w:r>
          </w:p>
        </w:tc>
      </w:tr>
      <w:tr w:rsidR="00A85D08" w:rsidRPr="00A85D08" w14:paraId="29B88A6D" w14:textId="77777777" w:rsidTr="00A85D08">
        <w:trPr>
          <w:trHeight w:val="517"/>
        </w:trPr>
        <w:tc>
          <w:tcPr>
            <w:tcW w:w="567" w:type="dxa"/>
            <w:tcBorders>
              <w:top w:val="single" w:sz="4" w:space="0" w:color="000000"/>
              <w:left w:val="single" w:sz="4" w:space="0" w:color="000000"/>
              <w:bottom w:val="single" w:sz="4" w:space="0" w:color="000000"/>
              <w:right w:val="single" w:sz="4" w:space="0" w:color="000000"/>
            </w:tcBorders>
            <w:hideMark/>
          </w:tcPr>
          <w:p w14:paraId="3575D287" w14:textId="77777777" w:rsidR="00A85D08" w:rsidRPr="00A85D08" w:rsidRDefault="00A85D08" w:rsidP="00A85D08">
            <w:pPr>
              <w:pStyle w:val="Tekstpodstawowy"/>
              <w:spacing w:line="240" w:lineRule="auto"/>
              <w:jc w:val="both"/>
              <w:rPr>
                <w:rFonts w:ascii="Calibri" w:hAnsi="Calibri" w:cs="Calibri"/>
                <w:sz w:val="20"/>
                <w:szCs w:val="20"/>
              </w:rPr>
            </w:pPr>
            <w:r w:rsidRPr="00A85D08">
              <w:rPr>
                <w:rFonts w:ascii="Calibri" w:hAnsi="Calibri" w:cs="Calibri"/>
                <w:sz w:val="20"/>
                <w:szCs w:val="20"/>
              </w:rPr>
              <w:t>5</w:t>
            </w:r>
          </w:p>
        </w:tc>
        <w:tc>
          <w:tcPr>
            <w:tcW w:w="2825" w:type="dxa"/>
            <w:tcBorders>
              <w:top w:val="single" w:sz="4" w:space="0" w:color="000000"/>
              <w:left w:val="single" w:sz="4" w:space="0" w:color="000000"/>
              <w:bottom w:val="single" w:sz="4" w:space="0" w:color="000000"/>
              <w:right w:val="single" w:sz="4" w:space="0" w:color="000000"/>
            </w:tcBorders>
            <w:hideMark/>
          </w:tcPr>
          <w:p w14:paraId="041A5538" w14:textId="77777777" w:rsidR="00A85D08" w:rsidRPr="00A85D08" w:rsidRDefault="00A85D08" w:rsidP="00A85D08">
            <w:pPr>
              <w:pStyle w:val="Tekstpodstawowy"/>
              <w:spacing w:line="240" w:lineRule="auto"/>
              <w:jc w:val="both"/>
              <w:rPr>
                <w:rFonts w:ascii="Calibri" w:hAnsi="Calibri" w:cs="Calibri"/>
                <w:sz w:val="20"/>
                <w:szCs w:val="20"/>
              </w:rPr>
            </w:pPr>
            <w:r w:rsidRPr="00A85D08">
              <w:rPr>
                <w:rFonts w:ascii="Calibri" w:hAnsi="Calibri" w:cs="Calibri"/>
                <w:sz w:val="20"/>
                <w:szCs w:val="20"/>
              </w:rPr>
              <w:t>Środek adhezyjny</w:t>
            </w:r>
          </w:p>
        </w:tc>
        <w:tc>
          <w:tcPr>
            <w:tcW w:w="5680" w:type="dxa"/>
            <w:tcBorders>
              <w:top w:val="single" w:sz="4" w:space="0" w:color="000000"/>
              <w:left w:val="single" w:sz="4" w:space="0" w:color="000000"/>
              <w:bottom w:val="single" w:sz="4" w:space="0" w:color="000000"/>
              <w:right w:val="single" w:sz="4" w:space="0" w:color="000000"/>
            </w:tcBorders>
            <w:hideMark/>
          </w:tcPr>
          <w:p w14:paraId="01440676" w14:textId="77777777" w:rsidR="00A85D08" w:rsidRPr="00A85D08" w:rsidRDefault="00A85D08" w:rsidP="00A85D08">
            <w:pPr>
              <w:pStyle w:val="Tekstpodstawowy"/>
              <w:spacing w:line="240" w:lineRule="auto"/>
              <w:jc w:val="both"/>
              <w:rPr>
                <w:rFonts w:ascii="Calibri" w:hAnsi="Calibri" w:cs="Calibri"/>
                <w:sz w:val="20"/>
                <w:szCs w:val="20"/>
                <w:lang w:val="pl-PL"/>
              </w:rPr>
            </w:pPr>
            <w:r w:rsidRPr="00A85D08">
              <w:rPr>
                <w:rFonts w:ascii="Calibri" w:hAnsi="Calibri" w:cs="Calibri"/>
                <w:sz w:val="20"/>
                <w:szCs w:val="20"/>
                <w:lang w:val="pl-PL"/>
              </w:rPr>
              <w:t>wg Aprobaty Technicznej lub zgodnie z zapisami p. 4.1 PN-EN 13108-5</w:t>
            </w:r>
          </w:p>
        </w:tc>
      </w:tr>
      <w:tr w:rsidR="00A85D08" w:rsidRPr="00A85D08" w14:paraId="7CAB96A4" w14:textId="77777777" w:rsidTr="00A85D08">
        <w:trPr>
          <w:trHeight w:val="425"/>
        </w:trPr>
        <w:tc>
          <w:tcPr>
            <w:tcW w:w="567" w:type="dxa"/>
            <w:tcBorders>
              <w:top w:val="single" w:sz="4" w:space="0" w:color="000000"/>
              <w:left w:val="single" w:sz="4" w:space="0" w:color="000000"/>
              <w:bottom w:val="single" w:sz="4" w:space="0" w:color="000000"/>
              <w:right w:val="single" w:sz="4" w:space="0" w:color="000000"/>
            </w:tcBorders>
            <w:hideMark/>
          </w:tcPr>
          <w:p w14:paraId="27A33BDC" w14:textId="77777777" w:rsidR="00A85D08" w:rsidRPr="00A85D08" w:rsidRDefault="00A85D08" w:rsidP="00A85D08">
            <w:pPr>
              <w:pStyle w:val="Tekstpodstawowy"/>
              <w:spacing w:line="240" w:lineRule="auto"/>
              <w:jc w:val="both"/>
              <w:rPr>
                <w:rFonts w:ascii="Calibri" w:hAnsi="Calibri" w:cs="Calibri"/>
                <w:sz w:val="20"/>
                <w:szCs w:val="20"/>
              </w:rPr>
            </w:pPr>
            <w:r w:rsidRPr="00A85D08">
              <w:rPr>
                <w:rFonts w:ascii="Calibri" w:hAnsi="Calibri" w:cs="Calibri"/>
                <w:sz w:val="20"/>
                <w:szCs w:val="20"/>
              </w:rPr>
              <w:t>6</w:t>
            </w:r>
          </w:p>
        </w:tc>
        <w:tc>
          <w:tcPr>
            <w:tcW w:w="2825" w:type="dxa"/>
            <w:tcBorders>
              <w:top w:val="single" w:sz="4" w:space="0" w:color="000000"/>
              <w:left w:val="single" w:sz="4" w:space="0" w:color="000000"/>
              <w:bottom w:val="single" w:sz="4" w:space="0" w:color="000000"/>
              <w:right w:val="single" w:sz="4" w:space="0" w:color="000000"/>
            </w:tcBorders>
            <w:hideMark/>
          </w:tcPr>
          <w:p w14:paraId="3C3C381B" w14:textId="77777777" w:rsidR="00A85D08" w:rsidRPr="00A85D08" w:rsidRDefault="00A85D08" w:rsidP="00A85D08">
            <w:pPr>
              <w:pStyle w:val="Tekstpodstawowy"/>
              <w:spacing w:line="240" w:lineRule="auto"/>
              <w:jc w:val="both"/>
              <w:rPr>
                <w:rFonts w:ascii="Calibri" w:hAnsi="Calibri" w:cs="Calibri"/>
                <w:sz w:val="20"/>
                <w:szCs w:val="20"/>
              </w:rPr>
            </w:pPr>
            <w:r w:rsidRPr="00A85D08">
              <w:rPr>
                <w:rFonts w:ascii="Calibri" w:hAnsi="Calibri" w:cs="Calibri"/>
                <w:sz w:val="20"/>
                <w:szCs w:val="20"/>
              </w:rPr>
              <w:t>Stabilizator mastyksu</w:t>
            </w:r>
          </w:p>
        </w:tc>
        <w:tc>
          <w:tcPr>
            <w:tcW w:w="5680" w:type="dxa"/>
            <w:tcBorders>
              <w:top w:val="single" w:sz="4" w:space="0" w:color="000000"/>
              <w:left w:val="single" w:sz="4" w:space="0" w:color="000000"/>
              <w:bottom w:val="single" w:sz="4" w:space="0" w:color="000000"/>
              <w:right w:val="single" w:sz="4" w:space="0" w:color="000000"/>
            </w:tcBorders>
            <w:hideMark/>
          </w:tcPr>
          <w:p w14:paraId="6D414972" w14:textId="77777777" w:rsidR="00A85D08" w:rsidRPr="00A85D08" w:rsidRDefault="00A85D08" w:rsidP="00A85D08">
            <w:pPr>
              <w:pStyle w:val="Tekstpodstawowy"/>
              <w:spacing w:line="240" w:lineRule="auto"/>
              <w:jc w:val="both"/>
              <w:rPr>
                <w:rFonts w:ascii="Calibri" w:hAnsi="Calibri" w:cs="Calibri"/>
                <w:sz w:val="20"/>
                <w:szCs w:val="20"/>
                <w:lang w:val="pl-PL"/>
              </w:rPr>
            </w:pPr>
            <w:r w:rsidRPr="00A85D08">
              <w:rPr>
                <w:rFonts w:ascii="Calibri" w:hAnsi="Calibri" w:cs="Calibri"/>
                <w:sz w:val="20"/>
                <w:szCs w:val="20"/>
                <w:lang w:val="pl-PL"/>
              </w:rPr>
              <w:t>wg Aprobaty Technicznej lub zgodnie z zapisami p. 4.1 PN-EN 13108-5</w:t>
            </w:r>
          </w:p>
        </w:tc>
      </w:tr>
      <w:tr w:rsidR="00A85D08" w:rsidRPr="00A85D08" w14:paraId="7BF58F6D" w14:textId="77777777" w:rsidTr="00A85D08">
        <w:trPr>
          <w:trHeight w:val="348"/>
        </w:trPr>
        <w:tc>
          <w:tcPr>
            <w:tcW w:w="567" w:type="dxa"/>
            <w:tcBorders>
              <w:top w:val="single" w:sz="4" w:space="0" w:color="000000"/>
              <w:left w:val="single" w:sz="4" w:space="0" w:color="000000"/>
              <w:bottom w:val="single" w:sz="4" w:space="0" w:color="000000"/>
              <w:right w:val="single" w:sz="4" w:space="0" w:color="000000"/>
            </w:tcBorders>
            <w:hideMark/>
          </w:tcPr>
          <w:p w14:paraId="5DBF1813" w14:textId="77777777" w:rsidR="00A85D08" w:rsidRPr="00A85D08" w:rsidRDefault="00A85D08" w:rsidP="00A85D08">
            <w:pPr>
              <w:pStyle w:val="Tekstpodstawowy"/>
              <w:spacing w:line="240" w:lineRule="auto"/>
              <w:jc w:val="both"/>
              <w:rPr>
                <w:rFonts w:ascii="Calibri" w:hAnsi="Calibri" w:cs="Calibri"/>
                <w:sz w:val="20"/>
                <w:szCs w:val="20"/>
              </w:rPr>
            </w:pPr>
            <w:r w:rsidRPr="00A85D08">
              <w:rPr>
                <w:rFonts w:ascii="Calibri" w:hAnsi="Calibri" w:cs="Calibri"/>
                <w:sz w:val="20"/>
                <w:szCs w:val="20"/>
              </w:rPr>
              <w:t>7</w:t>
            </w:r>
          </w:p>
        </w:tc>
        <w:tc>
          <w:tcPr>
            <w:tcW w:w="2825" w:type="dxa"/>
            <w:tcBorders>
              <w:top w:val="single" w:sz="4" w:space="0" w:color="000000"/>
              <w:left w:val="single" w:sz="4" w:space="0" w:color="000000"/>
              <w:bottom w:val="single" w:sz="4" w:space="0" w:color="000000"/>
              <w:right w:val="single" w:sz="4" w:space="0" w:color="000000"/>
            </w:tcBorders>
            <w:hideMark/>
          </w:tcPr>
          <w:p w14:paraId="070B6C8B" w14:textId="77777777" w:rsidR="00A85D08" w:rsidRPr="00A85D08" w:rsidRDefault="00A85D08" w:rsidP="00A85D08">
            <w:pPr>
              <w:pStyle w:val="Tekstpodstawowy"/>
              <w:spacing w:line="240" w:lineRule="auto"/>
              <w:jc w:val="both"/>
              <w:rPr>
                <w:rFonts w:ascii="Calibri" w:hAnsi="Calibri" w:cs="Calibri"/>
                <w:sz w:val="20"/>
                <w:szCs w:val="20"/>
              </w:rPr>
            </w:pPr>
            <w:r w:rsidRPr="00A85D08">
              <w:rPr>
                <w:rFonts w:ascii="Calibri" w:hAnsi="Calibri" w:cs="Calibri"/>
                <w:sz w:val="20"/>
                <w:szCs w:val="20"/>
              </w:rPr>
              <w:t>Mieszanka mastyksowo- grysowa</w:t>
            </w:r>
          </w:p>
        </w:tc>
        <w:tc>
          <w:tcPr>
            <w:tcW w:w="5680" w:type="dxa"/>
            <w:tcBorders>
              <w:top w:val="single" w:sz="4" w:space="0" w:color="000000"/>
              <w:left w:val="single" w:sz="4" w:space="0" w:color="000000"/>
              <w:bottom w:val="single" w:sz="4" w:space="0" w:color="000000"/>
              <w:right w:val="single" w:sz="4" w:space="0" w:color="000000"/>
            </w:tcBorders>
            <w:hideMark/>
          </w:tcPr>
          <w:p w14:paraId="5C4FC997" w14:textId="77777777" w:rsidR="00A85D08" w:rsidRPr="00A85D08" w:rsidRDefault="00A85D08" w:rsidP="00A85D08">
            <w:pPr>
              <w:pStyle w:val="Tekstpodstawowy"/>
              <w:spacing w:line="240" w:lineRule="auto"/>
              <w:jc w:val="both"/>
              <w:rPr>
                <w:rFonts w:ascii="Calibri" w:hAnsi="Calibri" w:cs="Calibri"/>
                <w:sz w:val="20"/>
                <w:szCs w:val="20"/>
                <w:lang w:val="pl-PL"/>
              </w:rPr>
            </w:pPr>
            <w:r w:rsidRPr="00A85D08">
              <w:rPr>
                <w:rFonts w:ascii="Calibri" w:hAnsi="Calibri" w:cs="Calibri"/>
                <w:sz w:val="20"/>
                <w:szCs w:val="20"/>
                <w:lang w:val="pl-PL"/>
              </w:rPr>
              <w:t>WT-2 2014 część I pkt. 8.2.5 tab. 26, 27, 28 i 29</w:t>
            </w:r>
          </w:p>
        </w:tc>
      </w:tr>
      <w:tr w:rsidR="00A85D08" w:rsidRPr="00A85D08" w14:paraId="4A48C725" w14:textId="77777777" w:rsidTr="00A85D08">
        <w:trPr>
          <w:trHeight w:val="552"/>
        </w:trPr>
        <w:tc>
          <w:tcPr>
            <w:tcW w:w="567" w:type="dxa"/>
            <w:tcBorders>
              <w:top w:val="single" w:sz="4" w:space="0" w:color="000000"/>
              <w:left w:val="single" w:sz="4" w:space="0" w:color="000000"/>
              <w:bottom w:val="single" w:sz="4" w:space="0" w:color="000000"/>
              <w:right w:val="single" w:sz="4" w:space="0" w:color="000000"/>
            </w:tcBorders>
            <w:hideMark/>
          </w:tcPr>
          <w:p w14:paraId="168C462E" w14:textId="77777777" w:rsidR="00A85D08" w:rsidRPr="00A85D08" w:rsidRDefault="00A85D08" w:rsidP="00A85D08">
            <w:pPr>
              <w:pStyle w:val="Tekstpodstawowy"/>
              <w:spacing w:line="240" w:lineRule="auto"/>
              <w:jc w:val="both"/>
              <w:rPr>
                <w:rFonts w:ascii="Calibri" w:hAnsi="Calibri" w:cs="Calibri"/>
                <w:sz w:val="20"/>
                <w:szCs w:val="20"/>
              </w:rPr>
            </w:pPr>
            <w:r w:rsidRPr="00A85D08">
              <w:rPr>
                <w:rFonts w:ascii="Calibri" w:hAnsi="Calibri" w:cs="Calibri"/>
                <w:sz w:val="20"/>
                <w:szCs w:val="20"/>
              </w:rPr>
              <w:t>8</w:t>
            </w:r>
          </w:p>
        </w:tc>
        <w:tc>
          <w:tcPr>
            <w:tcW w:w="2825" w:type="dxa"/>
            <w:tcBorders>
              <w:top w:val="single" w:sz="4" w:space="0" w:color="000000"/>
              <w:left w:val="single" w:sz="4" w:space="0" w:color="000000"/>
              <w:bottom w:val="single" w:sz="4" w:space="0" w:color="000000"/>
              <w:right w:val="single" w:sz="4" w:space="0" w:color="000000"/>
            </w:tcBorders>
            <w:hideMark/>
          </w:tcPr>
          <w:p w14:paraId="1E6D16AC" w14:textId="77777777" w:rsidR="00A85D08" w:rsidRPr="00A85D08" w:rsidRDefault="00A85D08" w:rsidP="00A85D08">
            <w:pPr>
              <w:pStyle w:val="Tekstpodstawowy"/>
              <w:spacing w:line="240" w:lineRule="auto"/>
              <w:jc w:val="both"/>
              <w:rPr>
                <w:rFonts w:ascii="Calibri" w:hAnsi="Calibri" w:cs="Calibri"/>
                <w:sz w:val="20"/>
                <w:szCs w:val="20"/>
                <w:lang w:val="pl-PL"/>
              </w:rPr>
            </w:pPr>
            <w:r w:rsidRPr="00A85D08">
              <w:rPr>
                <w:rFonts w:ascii="Calibri" w:hAnsi="Calibri" w:cs="Calibri"/>
                <w:sz w:val="20"/>
                <w:szCs w:val="20"/>
                <w:lang w:val="pl-PL"/>
              </w:rPr>
              <w:t>Warstwa z mieszanki mastyksowo-grysowej</w:t>
            </w:r>
          </w:p>
        </w:tc>
        <w:tc>
          <w:tcPr>
            <w:tcW w:w="5680" w:type="dxa"/>
            <w:tcBorders>
              <w:top w:val="single" w:sz="4" w:space="0" w:color="000000"/>
              <w:left w:val="single" w:sz="4" w:space="0" w:color="000000"/>
              <w:bottom w:val="single" w:sz="4" w:space="0" w:color="000000"/>
              <w:right w:val="single" w:sz="4" w:space="0" w:color="000000"/>
            </w:tcBorders>
            <w:hideMark/>
          </w:tcPr>
          <w:p w14:paraId="5A0B94A8" w14:textId="77777777" w:rsidR="00A85D08" w:rsidRPr="00A85D08" w:rsidRDefault="00A85D08" w:rsidP="00A85D08">
            <w:pPr>
              <w:pStyle w:val="Tekstpodstawowy"/>
              <w:spacing w:line="240" w:lineRule="auto"/>
              <w:jc w:val="both"/>
              <w:rPr>
                <w:rFonts w:ascii="Calibri" w:hAnsi="Calibri" w:cs="Calibri"/>
                <w:sz w:val="20"/>
                <w:szCs w:val="20"/>
                <w:lang w:val="pl-PL"/>
              </w:rPr>
            </w:pPr>
            <w:r w:rsidRPr="00A85D08">
              <w:rPr>
                <w:rFonts w:ascii="Calibri" w:hAnsi="Calibri" w:cs="Calibri"/>
                <w:sz w:val="20"/>
                <w:szCs w:val="20"/>
                <w:lang w:val="pl-PL"/>
              </w:rPr>
              <w:t>Wskaźnik zagęszczenia warstwy zgodnie z pkt. 6.2.5</w:t>
            </w:r>
          </w:p>
          <w:p w14:paraId="0952D883" w14:textId="77777777" w:rsidR="00A85D08" w:rsidRPr="00A85D08" w:rsidRDefault="00A85D08" w:rsidP="00A85D08">
            <w:pPr>
              <w:pStyle w:val="Tekstpodstawowy"/>
              <w:spacing w:line="240" w:lineRule="auto"/>
              <w:jc w:val="both"/>
              <w:rPr>
                <w:rFonts w:ascii="Calibri" w:hAnsi="Calibri" w:cs="Calibri"/>
                <w:sz w:val="20"/>
                <w:szCs w:val="20"/>
                <w:lang w:val="pl-PL"/>
              </w:rPr>
            </w:pPr>
            <w:r w:rsidRPr="00A85D08">
              <w:rPr>
                <w:rFonts w:ascii="Calibri" w:hAnsi="Calibri" w:cs="Calibri"/>
                <w:sz w:val="20"/>
                <w:szCs w:val="20"/>
                <w:lang w:val="pl-PL"/>
              </w:rPr>
              <w:t>Wolna przestrzeń w warstwie zgodnie z pkt. 6.2.6</w:t>
            </w:r>
          </w:p>
        </w:tc>
      </w:tr>
      <w:tr w:rsidR="00A85D08" w:rsidRPr="00A85D08" w14:paraId="47431A6D" w14:textId="77777777" w:rsidTr="00A85D08">
        <w:trPr>
          <w:trHeight w:val="404"/>
        </w:trPr>
        <w:tc>
          <w:tcPr>
            <w:tcW w:w="567" w:type="dxa"/>
            <w:tcBorders>
              <w:top w:val="single" w:sz="4" w:space="0" w:color="000000"/>
              <w:left w:val="single" w:sz="4" w:space="0" w:color="000000"/>
              <w:bottom w:val="single" w:sz="4" w:space="0" w:color="000000"/>
              <w:right w:val="single" w:sz="4" w:space="0" w:color="000000"/>
            </w:tcBorders>
            <w:hideMark/>
          </w:tcPr>
          <w:p w14:paraId="650CC110" w14:textId="77777777" w:rsidR="00A85D08" w:rsidRPr="00A85D08" w:rsidRDefault="00A85D08" w:rsidP="00A85D08">
            <w:pPr>
              <w:pStyle w:val="Tekstpodstawowy"/>
              <w:spacing w:line="240" w:lineRule="auto"/>
              <w:jc w:val="both"/>
              <w:rPr>
                <w:rFonts w:ascii="Calibri" w:hAnsi="Calibri" w:cs="Calibri"/>
                <w:sz w:val="20"/>
                <w:szCs w:val="20"/>
              </w:rPr>
            </w:pPr>
            <w:r w:rsidRPr="00A85D08">
              <w:rPr>
                <w:rFonts w:ascii="Calibri" w:hAnsi="Calibri" w:cs="Calibri"/>
                <w:sz w:val="20"/>
                <w:szCs w:val="20"/>
              </w:rPr>
              <w:t>9</w:t>
            </w:r>
          </w:p>
        </w:tc>
        <w:tc>
          <w:tcPr>
            <w:tcW w:w="2825" w:type="dxa"/>
            <w:tcBorders>
              <w:top w:val="single" w:sz="4" w:space="0" w:color="000000"/>
              <w:left w:val="single" w:sz="4" w:space="0" w:color="000000"/>
              <w:bottom w:val="single" w:sz="4" w:space="0" w:color="000000"/>
              <w:right w:val="single" w:sz="4" w:space="0" w:color="000000"/>
            </w:tcBorders>
            <w:hideMark/>
          </w:tcPr>
          <w:p w14:paraId="35576EDC" w14:textId="77777777" w:rsidR="00A85D08" w:rsidRPr="00A85D08" w:rsidRDefault="00A85D08" w:rsidP="00A85D08">
            <w:pPr>
              <w:pStyle w:val="Tekstpodstawowy"/>
              <w:spacing w:line="240" w:lineRule="auto"/>
              <w:jc w:val="both"/>
              <w:rPr>
                <w:rFonts w:ascii="Calibri" w:hAnsi="Calibri" w:cs="Calibri"/>
                <w:sz w:val="20"/>
                <w:szCs w:val="20"/>
              </w:rPr>
            </w:pPr>
            <w:r w:rsidRPr="00A85D08">
              <w:rPr>
                <w:rFonts w:ascii="Calibri" w:hAnsi="Calibri" w:cs="Calibri"/>
                <w:sz w:val="20"/>
                <w:szCs w:val="20"/>
              </w:rPr>
              <w:t>Posypka</w:t>
            </w:r>
          </w:p>
        </w:tc>
        <w:tc>
          <w:tcPr>
            <w:tcW w:w="5680" w:type="dxa"/>
            <w:tcBorders>
              <w:top w:val="single" w:sz="4" w:space="0" w:color="000000"/>
              <w:left w:val="single" w:sz="4" w:space="0" w:color="000000"/>
              <w:bottom w:val="single" w:sz="4" w:space="0" w:color="000000"/>
              <w:right w:val="single" w:sz="4" w:space="0" w:color="000000"/>
            </w:tcBorders>
            <w:hideMark/>
          </w:tcPr>
          <w:p w14:paraId="7644C4E9" w14:textId="77777777" w:rsidR="00A85D08" w:rsidRPr="00A85D08" w:rsidRDefault="00A85D08" w:rsidP="00A85D08">
            <w:pPr>
              <w:pStyle w:val="Tekstpodstawowy"/>
              <w:spacing w:line="240" w:lineRule="auto"/>
              <w:jc w:val="both"/>
              <w:rPr>
                <w:rFonts w:ascii="Calibri" w:hAnsi="Calibri" w:cs="Calibri"/>
                <w:sz w:val="20"/>
                <w:szCs w:val="20"/>
                <w:lang w:val="pl-PL"/>
              </w:rPr>
            </w:pPr>
            <w:r w:rsidRPr="00A85D08">
              <w:rPr>
                <w:rFonts w:ascii="Calibri" w:hAnsi="Calibri" w:cs="Calibri"/>
                <w:sz w:val="20"/>
                <w:szCs w:val="20"/>
                <w:lang w:val="pl-PL"/>
              </w:rPr>
              <w:t>Wg WT-2 2016 Część II pkt 7.1.2 wykonana z jasnego kruszywa.</w:t>
            </w:r>
          </w:p>
        </w:tc>
      </w:tr>
    </w:tbl>
    <w:p w14:paraId="7459A422" w14:textId="77777777" w:rsidR="00A85D08" w:rsidRPr="00A85D08" w:rsidRDefault="00A85D08" w:rsidP="00A85D08">
      <w:pPr>
        <w:pStyle w:val="Tekstpodstawowy"/>
        <w:spacing w:line="240" w:lineRule="auto"/>
        <w:jc w:val="both"/>
        <w:rPr>
          <w:rFonts w:ascii="Calibri" w:hAnsi="Calibri" w:cs="Calibri"/>
          <w:sz w:val="20"/>
          <w:szCs w:val="20"/>
        </w:rPr>
      </w:pPr>
    </w:p>
    <w:p w14:paraId="2DFA92B4" w14:textId="77777777" w:rsidR="00A85D08" w:rsidRPr="00A85D08" w:rsidRDefault="00A85D08" w:rsidP="00A85D08">
      <w:pPr>
        <w:pStyle w:val="Nagwek4"/>
        <w:spacing w:before="0" w:after="0"/>
        <w:rPr>
          <w:rFonts w:ascii="Calibri" w:hAnsi="Calibri" w:cs="Calibri"/>
          <w:spacing w:val="-3"/>
        </w:rPr>
      </w:pPr>
      <w:r w:rsidRPr="00A85D08">
        <w:rPr>
          <w:rFonts w:ascii="Calibri" w:hAnsi="Calibri" w:cs="Calibri"/>
        </w:rPr>
        <w:t>2.3.Wymagania wobec asfaltów</w:t>
      </w:r>
    </w:p>
    <w:p w14:paraId="00DAE207" w14:textId="77777777" w:rsidR="00A85D08" w:rsidRPr="00A85D08" w:rsidRDefault="00A85D08" w:rsidP="00A85D08">
      <w:pPr>
        <w:pStyle w:val="Tekstpodstawowy"/>
        <w:spacing w:line="240" w:lineRule="auto"/>
        <w:rPr>
          <w:rFonts w:ascii="Calibri" w:hAnsi="Calibri" w:cs="Calibri"/>
          <w:sz w:val="20"/>
          <w:szCs w:val="20"/>
        </w:rPr>
      </w:pPr>
    </w:p>
    <w:p w14:paraId="681DE9D4" w14:textId="77777777" w:rsidR="00A85D08" w:rsidRPr="00A85D08" w:rsidRDefault="00A85D08" w:rsidP="00A85D08">
      <w:pPr>
        <w:pStyle w:val="Tekstpodstawowy"/>
        <w:spacing w:line="240" w:lineRule="auto"/>
        <w:rPr>
          <w:rFonts w:ascii="Calibri" w:hAnsi="Calibri" w:cs="Calibri"/>
          <w:sz w:val="20"/>
          <w:szCs w:val="20"/>
        </w:rPr>
      </w:pPr>
      <w:r w:rsidRPr="00A85D08">
        <w:rPr>
          <w:rFonts w:ascii="Calibri" w:hAnsi="Calibri" w:cs="Calibri"/>
          <w:sz w:val="20"/>
          <w:szCs w:val="20"/>
        </w:rPr>
        <w:t>Należy stosować polimeroasfalt PMB 45/80-55 spełniający wymagania wg tablicy 2</w:t>
      </w:r>
    </w:p>
    <w:p w14:paraId="5EA04833" w14:textId="77777777" w:rsidR="00A85D08" w:rsidRPr="00A85D08" w:rsidRDefault="00A85D08" w:rsidP="00A85D08">
      <w:pPr>
        <w:pStyle w:val="Tekstpodstawowy"/>
        <w:spacing w:line="240" w:lineRule="auto"/>
        <w:rPr>
          <w:rFonts w:ascii="Calibri" w:hAnsi="Calibri" w:cs="Calibri"/>
          <w:sz w:val="20"/>
          <w:szCs w:val="20"/>
        </w:rPr>
      </w:pPr>
    </w:p>
    <w:p w14:paraId="45FEBE32" w14:textId="77777777" w:rsidR="00A85D08" w:rsidRPr="00A85D08" w:rsidRDefault="00A85D08" w:rsidP="00A85D08">
      <w:pPr>
        <w:pStyle w:val="Tekstpodstawowy"/>
        <w:spacing w:line="240" w:lineRule="auto"/>
        <w:rPr>
          <w:rFonts w:ascii="Calibri" w:hAnsi="Calibri" w:cs="Calibri"/>
          <w:sz w:val="20"/>
          <w:szCs w:val="20"/>
        </w:rPr>
      </w:pPr>
      <w:r w:rsidRPr="00A85D08">
        <w:rPr>
          <w:rFonts w:ascii="Calibri" w:hAnsi="Calibri" w:cs="Calibri"/>
          <w:sz w:val="20"/>
          <w:szCs w:val="20"/>
        </w:rPr>
        <w:t>Tablica 2. Wymagania dla asfaltu modyfikowanego polimerami PMB 45/80-55</w:t>
      </w:r>
    </w:p>
    <w:tbl>
      <w:tblPr>
        <w:tblW w:w="920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2"/>
        <w:gridCol w:w="2448"/>
        <w:gridCol w:w="1701"/>
        <w:gridCol w:w="1559"/>
        <w:gridCol w:w="1134"/>
        <w:gridCol w:w="993"/>
        <w:gridCol w:w="850"/>
      </w:tblGrid>
      <w:tr w:rsidR="00A85D08" w:rsidRPr="00A85D08" w14:paraId="27A3A2AA" w14:textId="77777777" w:rsidTr="00A85D08">
        <w:tc>
          <w:tcPr>
            <w:tcW w:w="522" w:type="dxa"/>
            <w:vMerge w:val="restart"/>
          </w:tcPr>
          <w:p w14:paraId="58D34CB2" w14:textId="77777777" w:rsidR="00A85D08" w:rsidRPr="00A85D08" w:rsidRDefault="00A85D08" w:rsidP="00A85D08">
            <w:pPr>
              <w:pStyle w:val="Tekstpodstawowy"/>
              <w:spacing w:line="240" w:lineRule="auto"/>
              <w:rPr>
                <w:rFonts w:ascii="Calibri" w:hAnsi="Calibri" w:cs="Calibri"/>
                <w:sz w:val="20"/>
                <w:szCs w:val="20"/>
              </w:rPr>
            </w:pPr>
            <w:r w:rsidRPr="00A85D08">
              <w:rPr>
                <w:rFonts w:ascii="Calibri" w:hAnsi="Calibri" w:cs="Calibri"/>
                <w:sz w:val="20"/>
                <w:szCs w:val="20"/>
              </w:rPr>
              <w:t>Lp</w:t>
            </w:r>
          </w:p>
        </w:tc>
        <w:tc>
          <w:tcPr>
            <w:tcW w:w="2448" w:type="dxa"/>
            <w:vMerge w:val="restart"/>
          </w:tcPr>
          <w:p w14:paraId="3D321BE9" w14:textId="77777777" w:rsidR="00A85D08" w:rsidRPr="00A85D08" w:rsidRDefault="00A85D08" w:rsidP="00A85D08">
            <w:pPr>
              <w:pStyle w:val="Tekstpodstawowy"/>
              <w:spacing w:line="240" w:lineRule="auto"/>
              <w:rPr>
                <w:rFonts w:ascii="Calibri" w:hAnsi="Calibri" w:cs="Calibri"/>
                <w:sz w:val="20"/>
                <w:szCs w:val="20"/>
              </w:rPr>
            </w:pPr>
            <w:r w:rsidRPr="00A85D08">
              <w:rPr>
                <w:rFonts w:ascii="Calibri" w:hAnsi="Calibri" w:cs="Calibri"/>
                <w:sz w:val="20"/>
                <w:szCs w:val="20"/>
              </w:rPr>
              <w:t>Wymaganie podstawowe</w:t>
            </w:r>
          </w:p>
        </w:tc>
        <w:tc>
          <w:tcPr>
            <w:tcW w:w="1701" w:type="dxa"/>
            <w:vMerge w:val="restart"/>
          </w:tcPr>
          <w:p w14:paraId="46658BEA" w14:textId="77777777" w:rsidR="00A85D08" w:rsidRPr="00A85D08" w:rsidRDefault="00A85D08" w:rsidP="00A85D08">
            <w:pPr>
              <w:pStyle w:val="Tekstpodstawowy"/>
              <w:spacing w:line="240" w:lineRule="auto"/>
              <w:rPr>
                <w:rFonts w:ascii="Calibri" w:hAnsi="Calibri" w:cs="Calibri"/>
                <w:sz w:val="20"/>
                <w:szCs w:val="20"/>
              </w:rPr>
            </w:pPr>
            <w:r w:rsidRPr="00A85D08">
              <w:rPr>
                <w:rFonts w:ascii="Calibri" w:hAnsi="Calibri" w:cs="Calibri"/>
                <w:sz w:val="20"/>
                <w:szCs w:val="20"/>
              </w:rPr>
              <w:t>Właściwość</w:t>
            </w:r>
          </w:p>
        </w:tc>
        <w:tc>
          <w:tcPr>
            <w:tcW w:w="1559" w:type="dxa"/>
            <w:vMerge w:val="restart"/>
          </w:tcPr>
          <w:p w14:paraId="40B57AC8" w14:textId="77777777" w:rsidR="00A85D08" w:rsidRPr="00A85D08" w:rsidRDefault="00A85D08" w:rsidP="00A85D08">
            <w:pPr>
              <w:pStyle w:val="Tekstpodstawowy"/>
              <w:spacing w:line="240" w:lineRule="auto"/>
              <w:rPr>
                <w:rFonts w:ascii="Calibri" w:hAnsi="Calibri" w:cs="Calibri"/>
                <w:sz w:val="20"/>
                <w:szCs w:val="20"/>
              </w:rPr>
            </w:pPr>
            <w:r w:rsidRPr="00A85D08">
              <w:rPr>
                <w:rFonts w:ascii="Calibri" w:hAnsi="Calibri" w:cs="Calibri"/>
                <w:sz w:val="20"/>
                <w:szCs w:val="20"/>
              </w:rPr>
              <w:t>Metoda badania</w:t>
            </w:r>
          </w:p>
        </w:tc>
        <w:tc>
          <w:tcPr>
            <w:tcW w:w="1134" w:type="dxa"/>
            <w:vMerge w:val="restart"/>
          </w:tcPr>
          <w:p w14:paraId="0D341E48" w14:textId="77777777" w:rsidR="00A85D08" w:rsidRPr="00A85D08" w:rsidRDefault="00A85D08" w:rsidP="00A85D08">
            <w:pPr>
              <w:pStyle w:val="Tekstpodstawowy"/>
              <w:spacing w:line="240" w:lineRule="auto"/>
              <w:rPr>
                <w:rFonts w:ascii="Calibri" w:hAnsi="Calibri" w:cs="Calibri"/>
                <w:sz w:val="20"/>
                <w:szCs w:val="20"/>
              </w:rPr>
            </w:pPr>
            <w:r w:rsidRPr="00A85D08">
              <w:rPr>
                <w:rFonts w:ascii="Calibri" w:hAnsi="Calibri" w:cs="Calibri"/>
                <w:sz w:val="20"/>
                <w:szCs w:val="20"/>
              </w:rPr>
              <w:t>Jednostka</w:t>
            </w:r>
          </w:p>
        </w:tc>
        <w:tc>
          <w:tcPr>
            <w:tcW w:w="1843" w:type="dxa"/>
            <w:gridSpan w:val="2"/>
          </w:tcPr>
          <w:p w14:paraId="237A588B" w14:textId="77777777" w:rsidR="00A85D08" w:rsidRPr="00A85D08" w:rsidRDefault="00A85D08" w:rsidP="00A85D08">
            <w:pPr>
              <w:pStyle w:val="Tekstpodstawowy"/>
              <w:spacing w:line="240" w:lineRule="auto"/>
              <w:rPr>
                <w:rFonts w:ascii="Calibri" w:hAnsi="Calibri" w:cs="Calibri"/>
                <w:sz w:val="20"/>
                <w:szCs w:val="20"/>
              </w:rPr>
            </w:pPr>
            <w:r w:rsidRPr="00A85D08">
              <w:rPr>
                <w:rFonts w:ascii="Calibri" w:hAnsi="Calibri" w:cs="Calibri"/>
                <w:sz w:val="20"/>
                <w:szCs w:val="20"/>
              </w:rPr>
              <w:t>45/80-55</w:t>
            </w:r>
          </w:p>
        </w:tc>
      </w:tr>
      <w:tr w:rsidR="00A85D08" w:rsidRPr="00A85D08" w14:paraId="0E5A1BFE" w14:textId="77777777" w:rsidTr="00A85D08">
        <w:tc>
          <w:tcPr>
            <w:tcW w:w="522" w:type="dxa"/>
            <w:vMerge/>
          </w:tcPr>
          <w:p w14:paraId="4BA42940" w14:textId="77777777" w:rsidR="00A85D08" w:rsidRPr="00A85D08" w:rsidRDefault="00A85D08" w:rsidP="00A85D08">
            <w:pPr>
              <w:pStyle w:val="Tekstpodstawowy"/>
              <w:spacing w:line="240" w:lineRule="auto"/>
              <w:rPr>
                <w:rFonts w:ascii="Calibri" w:hAnsi="Calibri" w:cs="Calibri"/>
                <w:sz w:val="20"/>
                <w:szCs w:val="20"/>
              </w:rPr>
            </w:pPr>
          </w:p>
        </w:tc>
        <w:tc>
          <w:tcPr>
            <w:tcW w:w="2448" w:type="dxa"/>
            <w:vMerge/>
          </w:tcPr>
          <w:p w14:paraId="73CF5FC0" w14:textId="77777777" w:rsidR="00A85D08" w:rsidRPr="00A85D08" w:rsidRDefault="00A85D08" w:rsidP="00A85D08">
            <w:pPr>
              <w:pStyle w:val="Tekstpodstawowy"/>
              <w:spacing w:line="240" w:lineRule="auto"/>
              <w:rPr>
                <w:rFonts w:ascii="Calibri" w:hAnsi="Calibri" w:cs="Calibri"/>
                <w:sz w:val="20"/>
                <w:szCs w:val="20"/>
              </w:rPr>
            </w:pPr>
          </w:p>
        </w:tc>
        <w:tc>
          <w:tcPr>
            <w:tcW w:w="1701" w:type="dxa"/>
            <w:vMerge/>
          </w:tcPr>
          <w:p w14:paraId="75995157" w14:textId="77777777" w:rsidR="00A85D08" w:rsidRPr="00A85D08" w:rsidRDefault="00A85D08" w:rsidP="00A85D08">
            <w:pPr>
              <w:pStyle w:val="Tekstpodstawowy"/>
              <w:spacing w:line="240" w:lineRule="auto"/>
              <w:rPr>
                <w:rFonts w:ascii="Calibri" w:hAnsi="Calibri" w:cs="Calibri"/>
                <w:sz w:val="20"/>
                <w:szCs w:val="20"/>
              </w:rPr>
            </w:pPr>
          </w:p>
        </w:tc>
        <w:tc>
          <w:tcPr>
            <w:tcW w:w="1559" w:type="dxa"/>
            <w:vMerge/>
          </w:tcPr>
          <w:p w14:paraId="15D27BE8" w14:textId="77777777" w:rsidR="00A85D08" w:rsidRPr="00A85D08" w:rsidRDefault="00A85D08" w:rsidP="00A85D08">
            <w:pPr>
              <w:pStyle w:val="Tekstpodstawowy"/>
              <w:spacing w:line="240" w:lineRule="auto"/>
              <w:rPr>
                <w:rFonts w:ascii="Calibri" w:hAnsi="Calibri" w:cs="Calibri"/>
                <w:sz w:val="20"/>
                <w:szCs w:val="20"/>
              </w:rPr>
            </w:pPr>
          </w:p>
        </w:tc>
        <w:tc>
          <w:tcPr>
            <w:tcW w:w="1134" w:type="dxa"/>
            <w:vMerge/>
          </w:tcPr>
          <w:p w14:paraId="46E82C27" w14:textId="77777777" w:rsidR="00A85D08" w:rsidRPr="00A85D08" w:rsidRDefault="00A85D08" w:rsidP="00A85D08">
            <w:pPr>
              <w:pStyle w:val="Tekstpodstawowy"/>
              <w:spacing w:line="240" w:lineRule="auto"/>
              <w:rPr>
                <w:rFonts w:ascii="Calibri" w:hAnsi="Calibri" w:cs="Calibri"/>
                <w:sz w:val="20"/>
                <w:szCs w:val="20"/>
              </w:rPr>
            </w:pPr>
          </w:p>
        </w:tc>
        <w:tc>
          <w:tcPr>
            <w:tcW w:w="993" w:type="dxa"/>
          </w:tcPr>
          <w:p w14:paraId="53F2A8D6" w14:textId="77777777" w:rsidR="00A85D08" w:rsidRPr="00A85D08" w:rsidRDefault="00A85D08" w:rsidP="00A85D08">
            <w:pPr>
              <w:pStyle w:val="Tekstpodstawowy"/>
              <w:spacing w:line="240" w:lineRule="auto"/>
              <w:rPr>
                <w:rFonts w:ascii="Calibri" w:hAnsi="Calibri" w:cs="Calibri"/>
                <w:sz w:val="20"/>
                <w:szCs w:val="20"/>
              </w:rPr>
            </w:pPr>
            <w:r w:rsidRPr="00A85D08">
              <w:rPr>
                <w:rFonts w:ascii="Calibri" w:hAnsi="Calibri" w:cs="Calibri"/>
                <w:sz w:val="20"/>
                <w:szCs w:val="20"/>
              </w:rPr>
              <w:t>Wymaganie</w:t>
            </w:r>
          </w:p>
        </w:tc>
        <w:tc>
          <w:tcPr>
            <w:tcW w:w="850" w:type="dxa"/>
          </w:tcPr>
          <w:p w14:paraId="1F43FD53" w14:textId="77777777" w:rsidR="00A85D08" w:rsidRPr="00A85D08" w:rsidRDefault="00A85D08" w:rsidP="00A85D08">
            <w:pPr>
              <w:pStyle w:val="Tekstpodstawowy"/>
              <w:spacing w:line="240" w:lineRule="auto"/>
              <w:rPr>
                <w:rFonts w:ascii="Calibri" w:hAnsi="Calibri" w:cs="Calibri"/>
                <w:sz w:val="20"/>
                <w:szCs w:val="20"/>
              </w:rPr>
            </w:pPr>
            <w:r w:rsidRPr="00A85D08">
              <w:rPr>
                <w:rFonts w:ascii="Calibri" w:hAnsi="Calibri" w:cs="Calibri"/>
                <w:sz w:val="20"/>
                <w:szCs w:val="20"/>
              </w:rPr>
              <w:t>Klasa</w:t>
            </w:r>
          </w:p>
        </w:tc>
      </w:tr>
      <w:tr w:rsidR="00A85D08" w:rsidRPr="00A85D08" w14:paraId="5B52699A" w14:textId="77777777" w:rsidTr="00A85D08">
        <w:tc>
          <w:tcPr>
            <w:tcW w:w="522" w:type="dxa"/>
          </w:tcPr>
          <w:p w14:paraId="31F093A6" w14:textId="77777777" w:rsidR="00A85D08" w:rsidRPr="00A85D08" w:rsidRDefault="00A85D08" w:rsidP="00A85D08">
            <w:pPr>
              <w:pStyle w:val="Tekstpodstawowy"/>
              <w:spacing w:line="240" w:lineRule="auto"/>
              <w:rPr>
                <w:rFonts w:ascii="Calibri" w:hAnsi="Calibri" w:cs="Calibri"/>
                <w:sz w:val="20"/>
                <w:szCs w:val="20"/>
              </w:rPr>
            </w:pPr>
            <w:r w:rsidRPr="00A85D08">
              <w:rPr>
                <w:rFonts w:ascii="Calibri" w:hAnsi="Calibri" w:cs="Calibri"/>
                <w:sz w:val="20"/>
                <w:szCs w:val="20"/>
              </w:rPr>
              <w:t>1</w:t>
            </w:r>
          </w:p>
        </w:tc>
        <w:tc>
          <w:tcPr>
            <w:tcW w:w="2448" w:type="dxa"/>
          </w:tcPr>
          <w:p w14:paraId="755D1FDE" w14:textId="77777777" w:rsidR="00A85D08" w:rsidRPr="00A85D08" w:rsidRDefault="00A85D08" w:rsidP="00A85D08">
            <w:pPr>
              <w:pStyle w:val="Tekstpodstawowy"/>
              <w:spacing w:line="240" w:lineRule="auto"/>
              <w:rPr>
                <w:rFonts w:ascii="Calibri" w:hAnsi="Calibri" w:cs="Calibri"/>
                <w:sz w:val="20"/>
                <w:szCs w:val="20"/>
              </w:rPr>
            </w:pPr>
            <w:r w:rsidRPr="00A85D08">
              <w:rPr>
                <w:rFonts w:ascii="Calibri" w:hAnsi="Calibri" w:cs="Calibri"/>
                <w:sz w:val="20"/>
                <w:szCs w:val="20"/>
              </w:rPr>
              <w:t>Konsystencja w pośredniej temperaturze eksploatacji</w:t>
            </w:r>
          </w:p>
        </w:tc>
        <w:tc>
          <w:tcPr>
            <w:tcW w:w="1701" w:type="dxa"/>
          </w:tcPr>
          <w:p w14:paraId="109C7C51" w14:textId="77777777" w:rsidR="00A85D08" w:rsidRPr="00A85D08" w:rsidRDefault="00A85D08" w:rsidP="00A85D08">
            <w:pPr>
              <w:pStyle w:val="Tekstpodstawowy"/>
              <w:spacing w:line="240" w:lineRule="auto"/>
              <w:rPr>
                <w:rFonts w:ascii="Calibri" w:hAnsi="Calibri" w:cs="Calibri"/>
                <w:sz w:val="20"/>
                <w:szCs w:val="20"/>
              </w:rPr>
            </w:pPr>
            <w:r w:rsidRPr="00A85D08">
              <w:rPr>
                <w:rFonts w:ascii="Calibri" w:hAnsi="Calibri" w:cs="Calibri"/>
                <w:sz w:val="20"/>
                <w:szCs w:val="20"/>
              </w:rPr>
              <w:t>Penetracja w 25</w:t>
            </w:r>
            <w:r w:rsidRPr="00A85D08">
              <w:rPr>
                <w:rFonts w:ascii="Calibri" w:hAnsi="Calibri" w:cs="Calibri"/>
                <w:sz w:val="20"/>
                <w:szCs w:val="20"/>
                <w:vertAlign w:val="superscript"/>
              </w:rPr>
              <w:t>0</w:t>
            </w:r>
            <w:r w:rsidRPr="00A85D08">
              <w:rPr>
                <w:rFonts w:ascii="Calibri" w:hAnsi="Calibri" w:cs="Calibri"/>
                <w:sz w:val="20"/>
                <w:szCs w:val="20"/>
              </w:rPr>
              <w:t>C</w:t>
            </w:r>
          </w:p>
        </w:tc>
        <w:tc>
          <w:tcPr>
            <w:tcW w:w="1559" w:type="dxa"/>
          </w:tcPr>
          <w:p w14:paraId="5E59DBDB" w14:textId="77777777" w:rsidR="00A85D08" w:rsidRPr="00A85D08" w:rsidRDefault="00A85D08" w:rsidP="00A85D08">
            <w:pPr>
              <w:pStyle w:val="Tekstpodstawowy"/>
              <w:spacing w:line="240" w:lineRule="auto"/>
              <w:rPr>
                <w:rFonts w:ascii="Calibri" w:hAnsi="Calibri" w:cs="Calibri"/>
                <w:sz w:val="20"/>
                <w:szCs w:val="20"/>
              </w:rPr>
            </w:pPr>
            <w:r w:rsidRPr="00A85D08">
              <w:rPr>
                <w:rFonts w:ascii="Calibri" w:hAnsi="Calibri" w:cs="Calibri"/>
                <w:sz w:val="20"/>
                <w:szCs w:val="20"/>
              </w:rPr>
              <w:t>PN-EN 1426</w:t>
            </w:r>
          </w:p>
        </w:tc>
        <w:tc>
          <w:tcPr>
            <w:tcW w:w="1134" w:type="dxa"/>
          </w:tcPr>
          <w:p w14:paraId="385455BF" w14:textId="77777777" w:rsidR="00A85D08" w:rsidRPr="00A85D08" w:rsidRDefault="00A85D08" w:rsidP="00A85D08">
            <w:pPr>
              <w:pStyle w:val="Tekstpodstawowy"/>
              <w:spacing w:line="240" w:lineRule="auto"/>
              <w:rPr>
                <w:rFonts w:ascii="Calibri" w:hAnsi="Calibri" w:cs="Calibri"/>
                <w:sz w:val="20"/>
                <w:szCs w:val="20"/>
              </w:rPr>
            </w:pPr>
            <w:r w:rsidRPr="00A85D08">
              <w:rPr>
                <w:rFonts w:ascii="Calibri" w:hAnsi="Calibri" w:cs="Calibri"/>
                <w:sz w:val="20"/>
                <w:szCs w:val="20"/>
              </w:rPr>
              <w:t>0,1 mm</w:t>
            </w:r>
          </w:p>
        </w:tc>
        <w:tc>
          <w:tcPr>
            <w:tcW w:w="993" w:type="dxa"/>
          </w:tcPr>
          <w:p w14:paraId="166A5D87" w14:textId="77777777" w:rsidR="00A85D08" w:rsidRPr="00A85D08" w:rsidRDefault="00A85D08" w:rsidP="00A85D08">
            <w:pPr>
              <w:pStyle w:val="Tekstpodstawowy"/>
              <w:spacing w:line="240" w:lineRule="auto"/>
              <w:rPr>
                <w:rFonts w:ascii="Calibri" w:hAnsi="Calibri" w:cs="Calibri"/>
                <w:sz w:val="20"/>
                <w:szCs w:val="20"/>
              </w:rPr>
            </w:pPr>
            <w:r w:rsidRPr="00A85D08">
              <w:rPr>
                <w:rFonts w:ascii="Calibri" w:hAnsi="Calibri" w:cs="Calibri"/>
                <w:sz w:val="20"/>
                <w:szCs w:val="20"/>
              </w:rPr>
              <w:t>45 – 80</w:t>
            </w:r>
          </w:p>
        </w:tc>
        <w:tc>
          <w:tcPr>
            <w:tcW w:w="850" w:type="dxa"/>
          </w:tcPr>
          <w:p w14:paraId="0992AF0E" w14:textId="77777777" w:rsidR="00A85D08" w:rsidRPr="00A85D08" w:rsidRDefault="00A85D08" w:rsidP="00A85D08">
            <w:pPr>
              <w:pStyle w:val="Tekstpodstawowy"/>
              <w:spacing w:line="240" w:lineRule="auto"/>
              <w:rPr>
                <w:rFonts w:ascii="Calibri" w:hAnsi="Calibri" w:cs="Calibri"/>
                <w:sz w:val="20"/>
                <w:szCs w:val="20"/>
              </w:rPr>
            </w:pPr>
            <w:r w:rsidRPr="00A85D08">
              <w:rPr>
                <w:rFonts w:ascii="Calibri" w:hAnsi="Calibri" w:cs="Calibri"/>
                <w:sz w:val="20"/>
                <w:szCs w:val="20"/>
              </w:rPr>
              <w:t>4</w:t>
            </w:r>
          </w:p>
        </w:tc>
      </w:tr>
      <w:tr w:rsidR="00A85D08" w:rsidRPr="00A85D08" w14:paraId="472AA6E5" w14:textId="77777777" w:rsidTr="00A85D08">
        <w:tc>
          <w:tcPr>
            <w:tcW w:w="522" w:type="dxa"/>
          </w:tcPr>
          <w:p w14:paraId="03AA17A9" w14:textId="77777777" w:rsidR="00A85D08" w:rsidRPr="00A85D08" w:rsidRDefault="00A85D08" w:rsidP="00A85D08">
            <w:pPr>
              <w:pStyle w:val="Tekstpodstawowy"/>
              <w:spacing w:line="240" w:lineRule="auto"/>
              <w:rPr>
                <w:rFonts w:ascii="Calibri" w:hAnsi="Calibri" w:cs="Calibri"/>
                <w:sz w:val="20"/>
                <w:szCs w:val="20"/>
              </w:rPr>
            </w:pPr>
            <w:r w:rsidRPr="00A85D08">
              <w:rPr>
                <w:rFonts w:ascii="Calibri" w:hAnsi="Calibri" w:cs="Calibri"/>
                <w:sz w:val="20"/>
                <w:szCs w:val="20"/>
              </w:rPr>
              <w:t>2</w:t>
            </w:r>
          </w:p>
        </w:tc>
        <w:tc>
          <w:tcPr>
            <w:tcW w:w="2448" w:type="dxa"/>
          </w:tcPr>
          <w:p w14:paraId="2F5A5249" w14:textId="77777777" w:rsidR="00A85D08" w:rsidRPr="00A85D08" w:rsidRDefault="00A85D08" w:rsidP="00A85D08">
            <w:pPr>
              <w:pStyle w:val="Tekstpodstawowy"/>
              <w:spacing w:line="240" w:lineRule="auto"/>
              <w:rPr>
                <w:rFonts w:ascii="Calibri" w:hAnsi="Calibri" w:cs="Calibri"/>
                <w:sz w:val="20"/>
                <w:szCs w:val="20"/>
              </w:rPr>
            </w:pPr>
            <w:r w:rsidRPr="00A85D08">
              <w:rPr>
                <w:rFonts w:ascii="Calibri" w:hAnsi="Calibri" w:cs="Calibri"/>
                <w:sz w:val="20"/>
                <w:szCs w:val="20"/>
              </w:rPr>
              <w:t>Konsystencja w wysokiej temperaturze eksploatacji</w:t>
            </w:r>
          </w:p>
        </w:tc>
        <w:tc>
          <w:tcPr>
            <w:tcW w:w="1701" w:type="dxa"/>
          </w:tcPr>
          <w:p w14:paraId="37139496" w14:textId="77777777" w:rsidR="00A85D08" w:rsidRPr="00A85D08" w:rsidRDefault="00A85D08" w:rsidP="00A85D08">
            <w:pPr>
              <w:pStyle w:val="Tekstpodstawowy"/>
              <w:spacing w:line="240" w:lineRule="auto"/>
              <w:rPr>
                <w:rFonts w:ascii="Calibri" w:hAnsi="Calibri" w:cs="Calibri"/>
                <w:sz w:val="20"/>
                <w:szCs w:val="20"/>
              </w:rPr>
            </w:pPr>
            <w:r w:rsidRPr="00A85D08">
              <w:rPr>
                <w:rFonts w:ascii="Calibri" w:hAnsi="Calibri" w:cs="Calibri"/>
                <w:sz w:val="20"/>
                <w:szCs w:val="20"/>
              </w:rPr>
              <w:t>Temperatura mięknienia</w:t>
            </w:r>
          </w:p>
        </w:tc>
        <w:tc>
          <w:tcPr>
            <w:tcW w:w="1559" w:type="dxa"/>
          </w:tcPr>
          <w:p w14:paraId="0537FEB6" w14:textId="77777777" w:rsidR="00A85D08" w:rsidRPr="00A85D08" w:rsidRDefault="00A85D08" w:rsidP="00A85D08">
            <w:pPr>
              <w:pStyle w:val="Tekstpodstawowy"/>
              <w:spacing w:line="240" w:lineRule="auto"/>
              <w:rPr>
                <w:rFonts w:ascii="Calibri" w:hAnsi="Calibri" w:cs="Calibri"/>
                <w:sz w:val="20"/>
                <w:szCs w:val="20"/>
              </w:rPr>
            </w:pPr>
            <w:r w:rsidRPr="00A85D08">
              <w:rPr>
                <w:rFonts w:ascii="Calibri" w:hAnsi="Calibri" w:cs="Calibri"/>
                <w:sz w:val="20"/>
                <w:szCs w:val="20"/>
              </w:rPr>
              <w:t>PN-EN 1427</w:t>
            </w:r>
          </w:p>
        </w:tc>
        <w:tc>
          <w:tcPr>
            <w:tcW w:w="1134" w:type="dxa"/>
          </w:tcPr>
          <w:p w14:paraId="503332C8" w14:textId="77777777" w:rsidR="00A85D08" w:rsidRPr="00A85D08" w:rsidRDefault="00A85D08" w:rsidP="00A85D08">
            <w:pPr>
              <w:pStyle w:val="Tekstpodstawowy"/>
              <w:spacing w:line="240" w:lineRule="auto"/>
              <w:rPr>
                <w:rFonts w:ascii="Calibri" w:hAnsi="Calibri" w:cs="Calibri"/>
                <w:sz w:val="20"/>
                <w:szCs w:val="20"/>
              </w:rPr>
            </w:pPr>
            <w:r w:rsidRPr="00A85D08">
              <w:rPr>
                <w:rFonts w:ascii="Calibri" w:hAnsi="Calibri" w:cs="Calibri"/>
                <w:sz w:val="20"/>
                <w:szCs w:val="20"/>
                <w:vertAlign w:val="superscript"/>
              </w:rPr>
              <w:t>0</w:t>
            </w:r>
            <w:r w:rsidRPr="00A85D08">
              <w:rPr>
                <w:rFonts w:ascii="Calibri" w:hAnsi="Calibri" w:cs="Calibri"/>
                <w:sz w:val="20"/>
                <w:szCs w:val="20"/>
              </w:rPr>
              <w:t>C</w:t>
            </w:r>
          </w:p>
        </w:tc>
        <w:tc>
          <w:tcPr>
            <w:tcW w:w="993" w:type="dxa"/>
          </w:tcPr>
          <w:p w14:paraId="572FF201" w14:textId="77777777" w:rsidR="00A85D08" w:rsidRPr="00A85D08" w:rsidRDefault="00A85D08" w:rsidP="00A85D08">
            <w:pPr>
              <w:pStyle w:val="Tekstpodstawowy"/>
              <w:spacing w:line="240" w:lineRule="auto"/>
              <w:rPr>
                <w:rFonts w:ascii="Calibri" w:hAnsi="Calibri" w:cs="Calibri"/>
                <w:sz w:val="20"/>
                <w:szCs w:val="20"/>
              </w:rPr>
            </w:pPr>
            <w:r w:rsidRPr="00A85D08">
              <w:rPr>
                <w:rFonts w:ascii="Calibri" w:hAnsi="Calibri" w:cs="Calibri"/>
                <w:sz w:val="20"/>
                <w:szCs w:val="20"/>
              </w:rPr>
              <w:t>≥ 55</w:t>
            </w:r>
          </w:p>
        </w:tc>
        <w:tc>
          <w:tcPr>
            <w:tcW w:w="850" w:type="dxa"/>
          </w:tcPr>
          <w:p w14:paraId="6563F7EA" w14:textId="77777777" w:rsidR="00A85D08" w:rsidRPr="00A85D08" w:rsidRDefault="00A85D08" w:rsidP="00A85D08">
            <w:pPr>
              <w:pStyle w:val="Tekstpodstawowy"/>
              <w:spacing w:line="240" w:lineRule="auto"/>
              <w:rPr>
                <w:rFonts w:ascii="Calibri" w:hAnsi="Calibri" w:cs="Calibri"/>
                <w:sz w:val="20"/>
                <w:szCs w:val="20"/>
              </w:rPr>
            </w:pPr>
            <w:r w:rsidRPr="00A85D08">
              <w:rPr>
                <w:rFonts w:ascii="Calibri" w:hAnsi="Calibri" w:cs="Calibri"/>
                <w:sz w:val="20"/>
                <w:szCs w:val="20"/>
              </w:rPr>
              <w:t>7</w:t>
            </w:r>
          </w:p>
        </w:tc>
      </w:tr>
      <w:tr w:rsidR="00A85D08" w:rsidRPr="00A85D08" w14:paraId="0A82564B" w14:textId="77777777" w:rsidTr="00A85D08">
        <w:tc>
          <w:tcPr>
            <w:tcW w:w="522" w:type="dxa"/>
          </w:tcPr>
          <w:p w14:paraId="4A5185B1" w14:textId="77777777" w:rsidR="00A85D08" w:rsidRPr="00A85D08" w:rsidRDefault="00A85D08" w:rsidP="00A85D08">
            <w:pPr>
              <w:pStyle w:val="Tekstpodstawowy"/>
              <w:spacing w:line="240" w:lineRule="auto"/>
              <w:rPr>
                <w:rFonts w:ascii="Calibri" w:hAnsi="Calibri" w:cs="Calibri"/>
                <w:sz w:val="20"/>
                <w:szCs w:val="20"/>
              </w:rPr>
            </w:pPr>
            <w:r w:rsidRPr="00A85D08">
              <w:rPr>
                <w:rFonts w:ascii="Calibri" w:hAnsi="Calibri" w:cs="Calibri"/>
                <w:sz w:val="20"/>
                <w:szCs w:val="20"/>
              </w:rPr>
              <w:t>3</w:t>
            </w:r>
          </w:p>
        </w:tc>
        <w:tc>
          <w:tcPr>
            <w:tcW w:w="2448" w:type="dxa"/>
            <w:vMerge w:val="restart"/>
          </w:tcPr>
          <w:p w14:paraId="3482C3B9" w14:textId="77777777" w:rsidR="00A85D08" w:rsidRPr="00A85D08" w:rsidRDefault="00A85D08" w:rsidP="00A85D08">
            <w:pPr>
              <w:pStyle w:val="Tekstpodstawowy"/>
              <w:spacing w:line="240" w:lineRule="auto"/>
              <w:rPr>
                <w:rFonts w:ascii="Calibri" w:hAnsi="Calibri" w:cs="Calibri"/>
                <w:sz w:val="20"/>
                <w:szCs w:val="20"/>
              </w:rPr>
            </w:pPr>
            <w:r w:rsidRPr="00A85D08">
              <w:rPr>
                <w:rFonts w:ascii="Calibri" w:hAnsi="Calibri" w:cs="Calibri"/>
                <w:sz w:val="20"/>
                <w:szCs w:val="20"/>
              </w:rPr>
              <w:t>Kohezja</w:t>
            </w:r>
          </w:p>
        </w:tc>
        <w:tc>
          <w:tcPr>
            <w:tcW w:w="1701" w:type="dxa"/>
          </w:tcPr>
          <w:p w14:paraId="179B63AE" w14:textId="77777777" w:rsidR="00A85D08" w:rsidRPr="00A85D08" w:rsidRDefault="00A85D08" w:rsidP="00A85D08">
            <w:pPr>
              <w:pStyle w:val="Tekstpodstawowy"/>
              <w:spacing w:line="240" w:lineRule="auto"/>
              <w:rPr>
                <w:rFonts w:ascii="Calibri" w:hAnsi="Calibri" w:cs="Calibri"/>
                <w:sz w:val="20"/>
                <w:szCs w:val="20"/>
              </w:rPr>
            </w:pPr>
            <w:r w:rsidRPr="00A85D08">
              <w:rPr>
                <w:rFonts w:ascii="Calibri" w:hAnsi="Calibri" w:cs="Calibri"/>
                <w:sz w:val="20"/>
                <w:szCs w:val="20"/>
              </w:rPr>
              <w:t>Siła rozciągania (mała prędkość rozciągania)</w:t>
            </w:r>
          </w:p>
        </w:tc>
        <w:tc>
          <w:tcPr>
            <w:tcW w:w="1559" w:type="dxa"/>
          </w:tcPr>
          <w:p w14:paraId="3F4BCB06" w14:textId="77777777" w:rsidR="00A85D08" w:rsidRPr="00A85D08" w:rsidRDefault="00A85D08" w:rsidP="00A85D08">
            <w:pPr>
              <w:pStyle w:val="Tekstpodstawowy"/>
              <w:spacing w:line="240" w:lineRule="auto"/>
              <w:rPr>
                <w:rFonts w:ascii="Calibri" w:hAnsi="Calibri" w:cs="Calibri"/>
                <w:sz w:val="20"/>
                <w:szCs w:val="20"/>
              </w:rPr>
            </w:pPr>
            <w:r w:rsidRPr="00A85D08">
              <w:rPr>
                <w:rFonts w:ascii="Calibri" w:hAnsi="Calibri" w:cs="Calibri"/>
                <w:sz w:val="20"/>
                <w:szCs w:val="20"/>
              </w:rPr>
              <w:t>PN-EN 13589</w:t>
            </w:r>
          </w:p>
          <w:p w14:paraId="59B88397" w14:textId="77777777" w:rsidR="00A85D08" w:rsidRPr="00A85D08" w:rsidRDefault="00A85D08" w:rsidP="00A85D08">
            <w:pPr>
              <w:pStyle w:val="Tekstpodstawowy"/>
              <w:spacing w:line="240" w:lineRule="auto"/>
              <w:rPr>
                <w:rFonts w:ascii="Calibri" w:hAnsi="Calibri" w:cs="Calibri"/>
                <w:sz w:val="20"/>
                <w:szCs w:val="20"/>
              </w:rPr>
            </w:pPr>
            <w:r w:rsidRPr="00A85D08">
              <w:rPr>
                <w:rFonts w:ascii="Calibri" w:hAnsi="Calibri" w:cs="Calibri"/>
                <w:sz w:val="20"/>
                <w:szCs w:val="20"/>
              </w:rPr>
              <w:t>PN-EN 13703</w:t>
            </w:r>
          </w:p>
        </w:tc>
        <w:tc>
          <w:tcPr>
            <w:tcW w:w="1134" w:type="dxa"/>
          </w:tcPr>
          <w:p w14:paraId="169D0C9A" w14:textId="77777777" w:rsidR="00A85D08" w:rsidRPr="00A85D08" w:rsidRDefault="00A85D08" w:rsidP="00A85D08">
            <w:pPr>
              <w:pStyle w:val="Tekstpodstawowy"/>
              <w:spacing w:line="240" w:lineRule="auto"/>
              <w:rPr>
                <w:rFonts w:ascii="Calibri" w:hAnsi="Calibri" w:cs="Calibri"/>
                <w:sz w:val="20"/>
                <w:szCs w:val="20"/>
              </w:rPr>
            </w:pPr>
            <w:r w:rsidRPr="00A85D08">
              <w:rPr>
                <w:rFonts w:ascii="Calibri" w:hAnsi="Calibri" w:cs="Calibri"/>
                <w:sz w:val="20"/>
                <w:szCs w:val="20"/>
              </w:rPr>
              <w:t>J/cm</w:t>
            </w:r>
            <w:r w:rsidRPr="00A85D08">
              <w:rPr>
                <w:rFonts w:ascii="Calibri" w:hAnsi="Calibri" w:cs="Calibri"/>
                <w:sz w:val="20"/>
                <w:szCs w:val="20"/>
                <w:vertAlign w:val="superscript"/>
              </w:rPr>
              <w:t>2</w:t>
            </w:r>
          </w:p>
        </w:tc>
        <w:tc>
          <w:tcPr>
            <w:tcW w:w="993" w:type="dxa"/>
          </w:tcPr>
          <w:p w14:paraId="21F93422" w14:textId="77777777" w:rsidR="00A85D08" w:rsidRPr="00A85D08" w:rsidRDefault="00A85D08" w:rsidP="00A85D08">
            <w:pPr>
              <w:pStyle w:val="Tekstpodstawowy"/>
              <w:spacing w:line="240" w:lineRule="auto"/>
              <w:rPr>
                <w:rFonts w:ascii="Calibri" w:hAnsi="Calibri" w:cs="Calibri"/>
                <w:sz w:val="20"/>
                <w:szCs w:val="20"/>
              </w:rPr>
            </w:pPr>
            <w:r w:rsidRPr="00A85D08">
              <w:rPr>
                <w:rFonts w:ascii="Calibri" w:hAnsi="Calibri" w:cs="Calibri"/>
                <w:sz w:val="20"/>
                <w:szCs w:val="20"/>
              </w:rPr>
              <w:t>≥3 w 5</w:t>
            </w:r>
            <w:r w:rsidRPr="00A85D08">
              <w:rPr>
                <w:rFonts w:ascii="Calibri" w:hAnsi="Calibri" w:cs="Calibri"/>
                <w:sz w:val="20"/>
                <w:szCs w:val="20"/>
                <w:vertAlign w:val="superscript"/>
              </w:rPr>
              <w:t>0</w:t>
            </w:r>
            <w:r w:rsidRPr="00A85D08">
              <w:rPr>
                <w:rFonts w:ascii="Calibri" w:hAnsi="Calibri" w:cs="Calibri"/>
                <w:sz w:val="20"/>
                <w:szCs w:val="20"/>
              </w:rPr>
              <w:t>C</w:t>
            </w:r>
          </w:p>
        </w:tc>
        <w:tc>
          <w:tcPr>
            <w:tcW w:w="850" w:type="dxa"/>
          </w:tcPr>
          <w:p w14:paraId="7051BB10" w14:textId="77777777" w:rsidR="00A85D08" w:rsidRPr="00A85D08" w:rsidRDefault="00A85D08" w:rsidP="00A85D08">
            <w:pPr>
              <w:pStyle w:val="Tekstpodstawowy"/>
              <w:spacing w:line="240" w:lineRule="auto"/>
              <w:rPr>
                <w:rFonts w:ascii="Calibri" w:hAnsi="Calibri" w:cs="Calibri"/>
                <w:sz w:val="20"/>
                <w:szCs w:val="20"/>
              </w:rPr>
            </w:pPr>
            <w:r w:rsidRPr="00A85D08">
              <w:rPr>
                <w:rFonts w:ascii="Calibri" w:hAnsi="Calibri" w:cs="Calibri"/>
                <w:sz w:val="20"/>
                <w:szCs w:val="20"/>
              </w:rPr>
              <w:t>4</w:t>
            </w:r>
          </w:p>
        </w:tc>
      </w:tr>
      <w:tr w:rsidR="00A85D08" w:rsidRPr="00A85D08" w14:paraId="6200CBB6" w14:textId="77777777" w:rsidTr="00A85D08">
        <w:tc>
          <w:tcPr>
            <w:tcW w:w="522" w:type="dxa"/>
          </w:tcPr>
          <w:p w14:paraId="453529ED" w14:textId="77777777" w:rsidR="00A85D08" w:rsidRPr="00A85D08" w:rsidRDefault="00A85D08" w:rsidP="00A85D08">
            <w:pPr>
              <w:pStyle w:val="Tekstpodstawowy"/>
              <w:spacing w:line="240" w:lineRule="auto"/>
              <w:ind w:right="-118"/>
              <w:rPr>
                <w:rFonts w:ascii="Calibri" w:hAnsi="Calibri" w:cs="Calibri"/>
                <w:sz w:val="20"/>
                <w:szCs w:val="20"/>
              </w:rPr>
            </w:pPr>
            <w:r w:rsidRPr="00A85D08">
              <w:rPr>
                <w:rFonts w:ascii="Calibri" w:hAnsi="Calibri" w:cs="Calibri"/>
                <w:sz w:val="20"/>
                <w:szCs w:val="20"/>
              </w:rPr>
              <w:t>4</w:t>
            </w:r>
          </w:p>
        </w:tc>
        <w:tc>
          <w:tcPr>
            <w:tcW w:w="2448" w:type="dxa"/>
            <w:vMerge/>
          </w:tcPr>
          <w:p w14:paraId="23964928" w14:textId="77777777" w:rsidR="00A85D08" w:rsidRPr="00A85D08" w:rsidRDefault="00A85D08" w:rsidP="00A85D08">
            <w:pPr>
              <w:pStyle w:val="Tekstpodstawowy"/>
              <w:spacing w:line="240" w:lineRule="auto"/>
              <w:rPr>
                <w:rFonts w:ascii="Calibri" w:hAnsi="Calibri" w:cs="Calibri"/>
                <w:sz w:val="20"/>
                <w:szCs w:val="20"/>
              </w:rPr>
            </w:pPr>
          </w:p>
        </w:tc>
        <w:tc>
          <w:tcPr>
            <w:tcW w:w="1701" w:type="dxa"/>
          </w:tcPr>
          <w:p w14:paraId="57815820" w14:textId="77777777" w:rsidR="00A85D08" w:rsidRPr="00A85D08" w:rsidRDefault="00A85D08" w:rsidP="00A85D08">
            <w:pPr>
              <w:pStyle w:val="Tekstpodstawowy"/>
              <w:spacing w:line="240" w:lineRule="auto"/>
              <w:rPr>
                <w:rFonts w:ascii="Calibri" w:hAnsi="Calibri" w:cs="Calibri"/>
                <w:sz w:val="20"/>
                <w:szCs w:val="20"/>
              </w:rPr>
            </w:pPr>
            <w:r w:rsidRPr="00A85D08">
              <w:rPr>
                <w:rFonts w:ascii="Calibri" w:hAnsi="Calibri" w:cs="Calibri"/>
                <w:sz w:val="20"/>
                <w:szCs w:val="20"/>
              </w:rPr>
              <w:t>Siła rozciągania w 5</w:t>
            </w:r>
            <w:r w:rsidRPr="00A85D08">
              <w:rPr>
                <w:rFonts w:ascii="Calibri" w:hAnsi="Calibri" w:cs="Calibri"/>
                <w:sz w:val="20"/>
                <w:szCs w:val="20"/>
                <w:vertAlign w:val="superscript"/>
              </w:rPr>
              <w:t>0</w:t>
            </w:r>
            <w:r w:rsidRPr="00A85D08">
              <w:rPr>
                <w:rFonts w:ascii="Calibri" w:hAnsi="Calibri" w:cs="Calibri"/>
                <w:sz w:val="20"/>
                <w:szCs w:val="20"/>
              </w:rPr>
              <w:t>C (duża prędkość rozciągania)</w:t>
            </w:r>
          </w:p>
        </w:tc>
        <w:tc>
          <w:tcPr>
            <w:tcW w:w="1559" w:type="dxa"/>
          </w:tcPr>
          <w:p w14:paraId="181EA03D" w14:textId="77777777" w:rsidR="00A85D08" w:rsidRPr="00A85D08" w:rsidRDefault="00A85D08" w:rsidP="00A85D08">
            <w:pPr>
              <w:pStyle w:val="Tekstpodstawowy"/>
              <w:spacing w:line="240" w:lineRule="auto"/>
              <w:rPr>
                <w:rFonts w:ascii="Calibri" w:hAnsi="Calibri" w:cs="Calibri"/>
                <w:sz w:val="20"/>
                <w:szCs w:val="20"/>
              </w:rPr>
            </w:pPr>
            <w:r w:rsidRPr="00A85D08">
              <w:rPr>
                <w:rFonts w:ascii="Calibri" w:hAnsi="Calibri" w:cs="Calibri"/>
                <w:sz w:val="20"/>
                <w:szCs w:val="20"/>
              </w:rPr>
              <w:t>PN-EN 13587</w:t>
            </w:r>
          </w:p>
          <w:p w14:paraId="69F60B1D" w14:textId="77777777" w:rsidR="00A85D08" w:rsidRPr="00A85D08" w:rsidRDefault="00A85D08" w:rsidP="00A85D08">
            <w:pPr>
              <w:pStyle w:val="Tekstpodstawowy"/>
              <w:spacing w:line="240" w:lineRule="auto"/>
              <w:rPr>
                <w:rFonts w:ascii="Calibri" w:hAnsi="Calibri" w:cs="Calibri"/>
                <w:sz w:val="20"/>
                <w:szCs w:val="20"/>
              </w:rPr>
            </w:pPr>
            <w:r w:rsidRPr="00A85D08">
              <w:rPr>
                <w:rFonts w:ascii="Calibri" w:hAnsi="Calibri" w:cs="Calibri"/>
                <w:sz w:val="20"/>
                <w:szCs w:val="20"/>
              </w:rPr>
              <w:t>PN-EN 13703</w:t>
            </w:r>
          </w:p>
        </w:tc>
        <w:tc>
          <w:tcPr>
            <w:tcW w:w="1134" w:type="dxa"/>
          </w:tcPr>
          <w:p w14:paraId="1F155844" w14:textId="77777777" w:rsidR="00A85D08" w:rsidRPr="00A85D08" w:rsidRDefault="00A85D08" w:rsidP="00A85D08">
            <w:pPr>
              <w:pStyle w:val="Tekstpodstawowy"/>
              <w:spacing w:line="240" w:lineRule="auto"/>
              <w:rPr>
                <w:rFonts w:ascii="Calibri" w:hAnsi="Calibri" w:cs="Calibri"/>
                <w:sz w:val="20"/>
                <w:szCs w:val="20"/>
              </w:rPr>
            </w:pPr>
            <w:r w:rsidRPr="00A85D08">
              <w:rPr>
                <w:rFonts w:ascii="Calibri" w:hAnsi="Calibri" w:cs="Calibri"/>
                <w:sz w:val="20"/>
                <w:szCs w:val="20"/>
              </w:rPr>
              <w:t>J/cm</w:t>
            </w:r>
            <w:r w:rsidRPr="00A85D08">
              <w:rPr>
                <w:rFonts w:ascii="Calibri" w:hAnsi="Calibri" w:cs="Calibri"/>
                <w:sz w:val="20"/>
                <w:szCs w:val="20"/>
                <w:vertAlign w:val="superscript"/>
              </w:rPr>
              <w:t>2</w:t>
            </w:r>
          </w:p>
        </w:tc>
        <w:tc>
          <w:tcPr>
            <w:tcW w:w="993" w:type="dxa"/>
          </w:tcPr>
          <w:p w14:paraId="10E7DE6E" w14:textId="77777777" w:rsidR="00A85D08" w:rsidRPr="00A85D08" w:rsidRDefault="00A85D08" w:rsidP="00A85D08">
            <w:pPr>
              <w:pStyle w:val="Tekstpodstawowy"/>
              <w:spacing w:line="240" w:lineRule="auto"/>
              <w:rPr>
                <w:rFonts w:ascii="Calibri" w:hAnsi="Calibri" w:cs="Calibri"/>
                <w:sz w:val="20"/>
                <w:szCs w:val="20"/>
              </w:rPr>
            </w:pPr>
            <w:r w:rsidRPr="00A85D08">
              <w:rPr>
                <w:rFonts w:ascii="Calibri" w:hAnsi="Calibri" w:cs="Calibri"/>
                <w:sz w:val="20"/>
                <w:szCs w:val="20"/>
              </w:rPr>
              <w:t>NPD</w:t>
            </w:r>
          </w:p>
        </w:tc>
        <w:tc>
          <w:tcPr>
            <w:tcW w:w="850" w:type="dxa"/>
          </w:tcPr>
          <w:p w14:paraId="2A4CDE81" w14:textId="77777777" w:rsidR="00A85D08" w:rsidRPr="00A85D08" w:rsidRDefault="00A85D08" w:rsidP="00A85D08">
            <w:pPr>
              <w:pStyle w:val="Tekstpodstawowy"/>
              <w:spacing w:line="240" w:lineRule="auto"/>
              <w:rPr>
                <w:rFonts w:ascii="Calibri" w:hAnsi="Calibri" w:cs="Calibri"/>
                <w:sz w:val="20"/>
                <w:szCs w:val="20"/>
              </w:rPr>
            </w:pPr>
            <w:r w:rsidRPr="00A85D08">
              <w:rPr>
                <w:rFonts w:ascii="Calibri" w:hAnsi="Calibri" w:cs="Calibri"/>
                <w:sz w:val="20"/>
                <w:szCs w:val="20"/>
              </w:rPr>
              <w:t>0</w:t>
            </w:r>
          </w:p>
        </w:tc>
      </w:tr>
      <w:tr w:rsidR="00A85D08" w:rsidRPr="00A85D08" w14:paraId="1710B1E4" w14:textId="77777777" w:rsidTr="00A85D08">
        <w:tc>
          <w:tcPr>
            <w:tcW w:w="522" w:type="dxa"/>
          </w:tcPr>
          <w:p w14:paraId="5393DE95" w14:textId="77777777" w:rsidR="00A85D08" w:rsidRPr="00A85D08" w:rsidRDefault="00A85D08" w:rsidP="00A85D08">
            <w:pPr>
              <w:pStyle w:val="Tekstpodstawowy"/>
              <w:spacing w:line="240" w:lineRule="auto"/>
              <w:rPr>
                <w:rFonts w:ascii="Calibri" w:hAnsi="Calibri" w:cs="Calibri"/>
                <w:sz w:val="20"/>
                <w:szCs w:val="20"/>
              </w:rPr>
            </w:pPr>
            <w:r w:rsidRPr="00A85D08">
              <w:rPr>
                <w:rFonts w:ascii="Calibri" w:hAnsi="Calibri" w:cs="Calibri"/>
                <w:sz w:val="20"/>
                <w:szCs w:val="20"/>
              </w:rPr>
              <w:t>5</w:t>
            </w:r>
          </w:p>
        </w:tc>
        <w:tc>
          <w:tcPr>
            <w:tcW w:w="2448" w:type="dxa"/>
            <w:vMerge/>
          </w:tcPr>
          <w:p w14:paraId="6ACECF52" w14:textId="77777777" w:rsidR="00A85D08" w:rsidRPr="00A85D08" w:rsidRDefault="00A85D08" w:rsidP="00A85D08">
            <w:pPr>
              <w:pStyle w:val="Tekstpodstawowy"/>
              <w:spacing w:line="240" w:lineRule="auto"/>
              <w:rPr>
                <w:rFonts w:ascii="Calibri" w:hAnsi="Calibri" w:cs="Calibri"/>
                <w:sz w:val="20"/>
                <w:szCs w:val="20"/>
              </w:rPr>
            </w:pPr>
          </w:p>
        </w:tc>
        <w:tc>
          <w:tcPr>
            <w:tcW w:w="1701" w:type="dxa"/>
          </w:tcPr>
          <w:p w14:paraId="1AF46AC9" w14:textId="77777777" w:rsidR="00A85D08" w:rsidRPr="00A85D08" w:rsidRDefault="00A85D08" w:rsidP="00A85D08">
            <w:pPr>
              <w:pStyle w:val="Tekstpodstawowy"/>
              <w:spacing w:line="240" w:lineRule="auto"/>
              <w:rPr>
                <w:rFonts w:ascii="Calibri" w:hAnsi="Calibri" w:cs="Calibri"/>
                <w:sz w:val="20"/>
                <w:szCs w:val="20"/>
              </w:rPr>
            </w:pPr>
            <w:r w:rsidRPr="00A85D08">
              <w:rPr>
                <w:rFonts w:ascii="Calibri" w:hAnsi="Calibri" w:cs="Calibri"/>
                <w:sz w:val="20"/>
                <w:szCs w:val="20"/>
              </w:rPr>
              <w:t>Wahadło VIALIT (matoda uderzenia)</w:t>
            </w:r>
          </w:p>
        </w:tc>
        <w:tc>
          <w:tcPr>
            <w:tcW w:w="1559" w:type="dxa"/>
          </w:tcPr>
          <w:p w14:paraId="2DB16D5F" w14:textId="77777777" w:rsidR="00A85D08" w:rsidRPr="00A85D08" w:rsidRDefault="00A85D08" w:rsidP="00A85D08">
            <w:pPr>
              <w:pStyle w:val="Tekstpodstawowy"/>
              <w:spacing w:line="240" w:lineRule="auto"/>
              <w:rPr>
                <w:rFonts w:ascii="Calibri" w:hAnsi="Calibri" w:cs="Calibri"/>
                <w:sz w:val="20"/>
                <w:szCs w:val="20"/>
              </w:rPr>
            </w:pPr>
            <w:r w:rsidRPr="00A85D08">
              <w:rPr>
                <w:rFonts w:ascii="Calibri" w:hAnsi="Calibri" w:cs="Calibri"/>
                <w:sz w:val="20"/>
                <w:szCs w:val="20"/>
              </w:rPr>
              <w:t>PN-EN 13588</w:t>
            </w:r>
          </w:p>
        </w:tc>
        <w:tc>
          <w:tcPr>
            <w:tcW w:w="1134" w:type="dxa"/>
          </w:tcPr>
          <w:p w14:paraId="0ABDB2E0" w14:textId="77777777" w:rsidR="00A85D08" w:rsidRPr="00A85D08" w:rsidRDefault="00A85D08" w:rsidP="00A85D08">
            <w:pPr>
              <w:pStyle w:val="Tekstpodstawowy"/>
              <w:spacing w:line="240" w:lineRule="auto"/>
              <w:rPr>
                <w:rFonts w:ascii="Calibri" w:hAnsi="Calibri" w:cs="Calibri"/>
                <w:sz w:val="20"/>
                <w:szCs w:val="20"/>
              </w:rPr>
            </w:pPr>
            <w:r w:rsidRPr="00A85D08">
              <w:rPr>
                <w:rFonts w:ascii="Calibri" w:hAnsi="Calibri" w:cs="Calibri"/>
                <w:sz w:val="20"/>
                <w:szCs w:val="20"/>
              </w:rPr>
              <w:t>J/cm</w:t>
            </w:r>
            <w:r w:rsidRPr="00A85D08">
              <w:rPr>
                <w:rFonts w:ascii="Calibri" w:hAnsi="Calibri" w:cs="Calibri"/>
                <w:sz w:val="20"/>
                <w:szCs w:val="20"/>
                <w:vertAlign w:val="superscript"/>
              </w:rPr>
              <w:t>2</w:t>
            </w:r>
          </w:p>
        </w:tc>
        <w:tc>
          <w:tcPr>
            <w:tcW w:w="993" w:type="dxa"/>
          </w:tcPr>
          <w:p w14:paraId="2A83FB4A" w14:textId="77777777" w:rsidR="00A85D08" w:rsidRPr="00A85D08" w:rsidRDefault="00A85D08" w:rsidP="00A85D08">
            <w:pPr>
              <w:pStyle w:val="Tekstpodstawowy"/>
              <w:spacing w:line="240" w:lineRule="auto"/>
              <w:rPr>
                <w:rFonts w:ascii="Calibri" w:hAnsi="Calibri" w:cs="Calibri"/>
                <w:sz w:val="20"/>
                <w:szCs w:val="20"/>
              </w:rPr>
            </w:pPr>
            <w:r w:rsidRPr="00A85D08">
              <w:rPr>
                <w:rFonts w:ascii="Calibri" w:hAnsi="Calibri" w:cs="Calibri"/>
                <w:sz w:val="20"/>
                <w:szCs w:val="20"/>
              </w:rPr>
              <w:t>NPD</w:t>
            </w:r>
          </w:p>
        </w:tc>
        <w:tc>
          <w:tcPr>
            <w:tcW w:w="850" w:type="dxa"/>
          </w:tcPr>
          <w:p w14:paraId="244C1D67" w14:textId="77777777" w:rsidR="00A85D08" w:rsidRPr="00A85D08" w:rsidRDefault="00A85D08" w:rsidP="00A85D08">
            <w:pPr>
              <w:pStyle w:val="Tekstpodstawowy"/>
              <w:spacing w:line="240" w:lineRule="auto"/>
              <w:rPr>
                <w:rFonts w:ascii="Calibri" w:hAnsi="Calibri" w:cs="Calibri"/>
                <w:sz w:val="20"/>
                <w:szCs w:val="20"/>
              </w:rPr>
            </w:pPr>
            <w:r w:rsidRPr="00A85D08">
              <w:rPr>
                <w:rFonts w:ascii="Calibri" w:hAnsi="Calibri" w:cs="Calibri"/>
                <w:sz w:val="20"/>
                <w:szCs w:val="20"/>
              </w:rPr>
              <w:t>0</w:t>
            </w:r>
          </w:p>
        </w:tc>
      </w:tr>
      <w:tr w:rsidR="00A85D08" w:rsidRPr="00A85D08" w14:paraId="6A3EE16A" w14:textId="77777777" w:rsidTr="00A85D08">
        <w:tc>
          <w:tcPr>
            <w:tcW w:w="522" w:type="dxa"/>
          </w:tcPr>
          <w:p w14:paraId="76853784" w14:textId="77777777" w:rsidR="00A85D08" w:rsidRPr="00A85D08" w:rsidRDefault="00A85D08" w:rsidP="00A85D08">
            <w:pPr>
              <w:pStyle w:val="Tekstpodstawowy"/>
              <w:spacing w:line="240" w:lineRule="auto"/>
              <w:rPr>
                <w:rFonts w:ascii="Calibri" w:hAnsi="Calibri" w:cs="Calibri"/>
                <w:sz w:val="20"/>
                <w:szCs w:val="20"/>
              </w:rPr>
            </w:pPr>
            <w:r w:rsidRPr="00A85D08">
              <w:rPr>
                <w:rFonts w:ascii="Calibri" w:hAnsi="Calibri" w:cs="Calibri"/>
                <w:sz w:val="20"/>
                <w:szCs w:val="20"/>
              </w:rPr>
              <w:t>6</w:t>
            </w:r>
          </w:p>
        </w:tc>
        <w:tc>
          <w:tcPr>
            <w:tcW w:w="2448" w:type="dxa"/>
            <w:vMerge w:val="restart"/>
          </w:tcPr>
          <w:p w14:paraId="6FAFABED" w14:textId="77777777" w:rsidR="00A85D08" w:rsidRPr="00A85D08" w:rsidRDefault="00A85D08" w:rsidP="00A85D08">
            <w:pPr>
              <w:pStyle w:val="Tekstpodstawowy"/>
              <w:spacing w:line="240" w:lineRule="auto"/>
              <w:rPr>
                <w:rFonts w:ascii="Calibri" w:hAnsi="Calibri" w:cs="Calibri"/>
                <w:sz w:val="20"/>
                <w:szCs w:val="20"/>
              </w:rPr>
            </w:pPr>
            <w:r w:rsidRPr="00A85D08">
              <w:rPr>
                <w:rFonts w:ascii="Calibri" w:hAnsi="Calibri" w:cs="Calibri"/>
                <w:sz w:val="20"/>
                <w:szCs w:val="20"/>
              </w:rPr>
              <w:t>Stałość konsystencji (odporność na starzenie wg PN-EN 12607-1)</w:t>
            </w:r>
          </w:p>
        </w:tc>
        <w:tc>
          <w:tcPr>
            <w:tcW w:w="1701" w:type="dxa"/>
          </w:tcPr>
          <w:p w14:paraId="41638F5F" w14:textId="77777777" w:rsidR="00A85D08" w:rsidRPr="00A85D08" w:rsidRDefault="00A85D08" w:rsidP="00A85D08">
            <w:pPr>
              <w:pStyle w:val="Tekstpodstawowy"/>
              <w:spacing w:line="240" w:lineRule="auto"/>
              <w:rPr>
                <w:rFonts w:ascii="Calibri" w:hAnsi="Calibri" w:cs="Calibri"/>
                <w:sz w:val="20"/>
                <w:szCs w:val="20"/>
              </w:rPr>
            </w:pPr>
            <w:r w:rsidRPr="00A85D08">
              <w:rPr>
                <w:rFonts w:ascii="Calibri" w:hAnsi="Calibri" w:cs="Calibri"/>
                <w:sz w:val="20"/>
                <w:szCs w:val="20"/>
              </w:rPr>
              <w:t>Zmiana masy</w:t>
            </w:r>
          </w:p>
        </w:tc>
        <w:tc>
          <w:tcPr>
            <w:tcW w:w="1559" w:type="dxa"/>
          </w:tcPr>
          <w:p w14:paraId="237FF51F" w14:textId="77777777" w:rsidR="00A85D08" w:rsidRPr="00A85D08" w:rsidRDefault="00A85D08" w:rsidP="00A85D08">
            <w:pPr>
              <w:pStyle w:val="Tekstpodstawowy"/>
              <w:spacing w:line="240" w:lineRule="auto"/>
              <w:rPr>
                <w:rFonts w:ascii="Calibri" w:hAnsi="Calibri" w:cs="Calibri"/>
                <w:sz w:val="20"/>
                <w:szCs w:val="20"/>
              </w:rPr>
            </w:pPr>
          </w:p>
        </w:tc>
        <w:tc>
          <w:tcPr>
            <w:tcW w:w="1134" w:type="dxa"/>
          </w:tcPr>
          <w:p w14:paraId="7EEB7648" w14:textId="77777777" w:rsidR="00A85D08" w:rsidRPr="00A85D08" w:rsidRDefault="00A85D08" w:rsidP="00A85D08">
            <w:pPr>
              <w:pStyle w:val="Tekstpodstawowy"/>
              <w:spacing w:line="240" w:lineRule="auto"/>
              <w:rPr>
                <w:rFonts w:ascii="Calibri" w:hAnsi="Calibri" w:cs="Calibri"/>
                <w:sz w:val="20"/>
                <w:szCs w:val="20"/>
              </w:rPr>
            </w:pPr>
            <w:r w:rsidRPr="00A85D08">
              <w:rPr>
                <w:rFonts w:ascii="Calibri" w:hAnsi="Calibri" w:cs="Calibri"/>
                <w:sz w:val="20"/>
                <w:szCs w:val="20"/>
              </w:rPr>
              <w:t>%</w:t>
            </w:r>
          </w:p>
        </w:tc>
        <w:tc>
          <w:tcPr>
            <w:tcW w:w="993" w:type="dxa"/>
          </w:tcPr>
          <w:p w14:paraId="2A25A80F" w14:textId="77777777" w:rsidR="00A85D08" w:rsidRPr="00A85D08" w:rsidRDefault="00A85D08" w:rsidP="00A85D08">
            <w:pPr>
              <w:pStyle w:val="Tekstpodstawowy"/>
              <w:spacing w:line="240" w:lineRule="auto"/>
              <w:rPr>
                <w:rFonts w:ascii="Calibri" w:hAnsi="Calibri" w:cs="Calibri"/>
                <w:sz w:val="20"/>
                <w:szCs w:val="20"/>
              </w:rPr>
            </w:pPr>
            <w:r w:rsidRPr="00A85D08">
              <w:rPr>
                <w:rFonts w:ascii="Calibri" w:hAnsi="Calibri" w:cs="Calibri"/>
                <w:sz w:val="20"/>
                <w:szCs w:val="20"/>
              </w:rPr>
              <w:t>≤0,5</w:t>
            </w:r>
          </w:p>
        </w:tc>
        <w:tc>
          <w:tcPr>
            <w:tcW w:w="850" w:type="dxa"/>
          </w:tcPr>
          <w:p w14:paraId="01AD23B1" w14:textId="77777777" w:rsidR="00A85D08" w:rsidRPr="00A85D08" w:rsidRDefault="00A85D08" w:rsidP="00A85D08">
            <w:pPr>
              <w:pStyle w:val="Tekstpodstawowy"/>
              <w:spacing w:line="240" w:lineRule="auto"/>
              <w:rPr>
                <w:rFonts w:ascii="Calibri" w:hAnsi="Calibri" w:cs="Calibri"/>
                <w:sz w:val="20"/>
                <w:szCs w:val="20"/>
              </w:rPr>
            </w:pPr>
            <w:r w:rsidRPr="00A85D08">
              <w:rPr>
                <w:rFonts w:ascii="Calibri" w:hAnsi="Calibri" w:cs="Calibri"/>
                <w:sz w:val="20"/>
                <w:szCs w:val="20"/>
              </w:rPr>
              <w:t>3</w:t>
            </w:r>
          </w:p>
        </w:tc>
      </w:tr>
      <w:tr w:rsidR="00A85D08" w:rsidRPr="00A85D08" w14:paraId="4DB7332D" w14:textId="77777777" w:rsidTr="00A85D08">
        <w:tc>
          <w:tcPr>
            <w:tcW w:w="522" w:type="dxa"/>
          </w:tcPr>
          <w:p w14:paraId="095A8E7C" w14:textId="77777777" w:rsidR="00A85D08" w:rsidRPr="00A85D08" w:rsidRDefault="00A85D08" w:rsidP="00A85D08">
            <w:pPr>
              <w:pStyle w:val="Tekstpodstawowy"/>
              <w:spacing w:line="240" w:lineRule="auto"/>
              <w:rPr>
                <w:rFonts w:ascii="Calibri" w:hAnsi="Calibri" w:cs="Calibri"/>
                <w:sz w:val="20"/>
                <w:szCs w:val="20"/>
              </w:rPr>
            </w:pPr>
            <w:r w:rsidRPr="00A85D08">
              <w:rPr>
                <w:rFonts w:ascii="Calibri" w:hAnsi="Calibri" w:cs="Calibri"/>
                <w:sz w:val="20"/>
                <w:szCs w:val="20"/>
              </w:rPr>
              <w:t>7</w:t>
            </w:r>
          </w:p>
        </w:tc>
        <w:tc>
          <w:tcPr>
            <w:tcW w:w="2448" w:type="dxa"/>
            <w:vMerge/>
          </w:tcPr>
          <w:p w14:paraId="7218CF89" w14:textId="77777777" w:rsidR="00A85D08" w:rsidRPr="00A85D08" w:rsidRDefault="00A85D08" w:rsidP="00A85D08">
            <w:pPr>
              <w:pStyle w:val="Tekstpodstawowy"/>
              <w:spacing w:line="240" w:lineRule="auto"/>
              <w:rPr>
                <w:rFonts w:ascii="Calibri" w:hAnsi="Calibri" w:cs="Calibri"/>
                <w:sz w:val="20"/>
                <w:szCs w:val="20"/>
              </w:rPr>
            </w:pPr>
          </w:p>
        </w:tc>
        <w:tc>
          <w:tcPr>
            <w:tcW w:w="1701" w:type="dxa"/>
          </w:tcPr>
          <w:p w14:paraId="3CDEA638" w14:textId="77777777" w:rsidR="00A85D08" w:rsidRPr="00A85D08" w:rsidRDefault="00A85D08" w:rsidP="00A85D08">
            <w:pPr>
              <w:pStyle w:val="Tekstpodstawowy"/>
              <w:spacing w:line="240" w:lineRule="auto"/>
              <w:rPr>
                <w:rFonts w:ascii="Calibri" w:hAnsi="Calibri" w:cs="Calibri"/>
                <w:sz w:val="20"/>
                <w:szCs w:val="20"/>
              </w:rPr>
            </w:pPr>
            <w:r w:rsidRPr="00A85D08">
              <w:rPr>
                <w:rFonts w:ascii="Calibri" w:hAnsi="Calibri" w:cs="Calibri"/>
                <w:sz w:val="20"/>
                <w:szCs w:val="20"/>
              </w:rPr>
              <w:t>Pozostała penetracja</w:t>
            </w:r>
          </w:p>
        </w:tc>
        <w:tc>
          <w:tcPr>
            <w:tcW w:w="1559" w:type="dxa"/>
          </w:tcPr>
          <w:p w14:paraId="449B781A" w14:textId="77777777" w:rsidR="00A85D08" w:rsidRPr="00A85D08" w:rsidRDefault="00A85D08" w:rsidP="00A85D08">
            <w:pPr>
              <w:pStyle w:val="Tekstpodstawowy"/>
              <w:spacing w:line="240" w:lineRule="auto"/>
              <w:rPr>
                <w:rFonts w:ascii="Calibri" w:hAnsi="Calibri" w:cs="Calibri"/>
                <w:sz w:val="20"/>
                <w:szCs w:val="20"/>
              </w:rPr>
            </w:pPr>
            <w:r w:rsidRPr="00A85D08">
              <w:rPr>
                <w:rFonts w:ascii="Calibri" w:hAnsi="Calibri" w:cs="Calibri"/>
                <w:sz w:val="20"/>
                <w:szCs w:val="20"/>
              </w:rPr>
              <w:t>PN-EN 1426</w:t>
            </w:r>
          </w:p>
        </w:tc>
        <w:tc>
          <w:tcPr>
            <w:tcW w:w="1134" w:type="dxa"/>
          </w:tcPr>
          <w:p w14:paraId="1B5B5B68" w14:textId="77777777" w:rsidR="00A85D08" w:rsidRPr="00A85D08" w:rsidRDefault="00A85D08" w:rsidP="00A85D08">
            <w:pPr>
              <w:pStyle w:val="Tekstpodstawowy"/>
              <w:spacing w:line="240" w:lineRule="auto"/>
              <w:rPr>
                <w:rFonts w:ascii="Calibri" w:hAnsi="Calibri" w:cs="Calibri"/>
                <w:sz w:val="20"/>
                <w:szCs w:val="20"/>
              </w:rPr>
            </w:pPr>
            <w:r w:rsidRPr="00A85D08">
              <w:rPr>
                <w:rFonts w:ascii="Calibri" w:hAnsi="Calibri" w:cs="Calibri"/>
                <w:sz w:val="20"/>
                <w:szCs w:val="20"/>
              </w:rPr>
              <w:t>%</w:t>
            </w:r>
          </w:p>
        </w:tc>
        <w:tc>
          <w:tcPr>
            <w:tcW w:w="993" w:type="dxa"/>
          </w:tcPr>
          <w:p w14:paraId="1ACE7615" w14:textId="77777777" w:rsidR="00A85D08" w:rsidRPr="00A85D08" w:rsidRDefault="00A85D08" w:rsidP="00A85D08">
            <w:pPr>
              <w:pStyle w:val="Tekstpodstawowy"/>
              <w:spacing w:line="240" w:lineRule="auto"/>
              <w:rPr>
                <w:rFonts w:ascii="Calibri" w:hAnsi="Calibri" w:cs="Calibri"/>
                <w:sz w:val="20"/>
                <w:szCs w:val="20"/>
              </w:rPr>
            </w:pPr>
            <w:r w:rsidRPr="00A85D08">
              <w:rPr>
                <w:rFonts w:ascii="Calibri" w:hAnsi="Calibri" w:cs="Calibri"/>
                <w:sz w:val="20"/>
                <w:szCs w:val="20"/>
              </w:rPr>
              <w:t>≥60</w:t>
            </w:r>
          </w:p>
        </w:tc>
        <w:tc>
          <w:tcPr>
            <w:tcW w:w="850" w:type="dxa"/>
          </w:tcPr>
          <w:p w14:paraId="7D94BA2C" w14:textId="77777777" w:rsidR="00A85D08" w:rsidRPr="00A85D08" w:rsidRDefault="00A85D08" w:rsidP="00A85D08">
            <w:pPr>
              <w:pStyle w:val="Tekstpodstawowy"/>
              <w:spacing w:line="240" w:lineRule="auto"/>
              <w:rPr>
                <w:rFonts w:ascii="Calibri" w:hAnsi="Calibri" w:cs="Calibri"/>
                <w:sz w:val="20"/>
                <w:szCs w:val="20"/>
              </w:rPr>
            </w:pPr>
            <w:r w:rsidRPr="00A85D08">
              <w:rPr>
                <w:rFonts w:ascii="Calibri" w:hAnsi="Calibri" w:cs="Calibri"/>
                <w:sz w:val="20"/>
                <w:szCs w:val="20"/>
              </w:rPr>
              <w:t>7</w:t>
            </w:r>
          </w:p>
        </w:tc>
      </w:tr>
      <w:tr w:rsidR="00A85D08" w:rsidRPr="00A85D08" w14:paraId="0B203147" w14:textId="77777777" w:rsidTr="00A85D08">
        <w:tc>
          <w:tcPr>
            <w:tcW w:w="522" w:type="dxa"/>
          </w:tcPr>
          <w:p w14:paraId="083335AB" w14:textId="77777777" w:rsidR="00A85D08" w:rsidRPr="00A85D08" w:rsidRDefault="00A85D08" w:rsidP="00A85D08">
            <w:pPr>
              <w:pStyle w:val="Tekstpodstawowy"/>
              <w:spacing w:line="240" w:lineRule="auto"/>
              <w:rPr>
                <w:rFonts w:ascii="Calibri" w:hAnsi="Calibri" w:cs="Calibri"/>
                <w:sz w:val="20"/>
                <w:szCs w:val="20"/>
              </w:rPr>
            </w:pPr>
            <w:r w:rsidRPr="00A85D08">
              <w:rPr>
                <w:rFonts w:ascii="Calibri" w:hAnsi="Calibri" w:cs="Calibri"/>
                <w:sz w:val="20"/>
                <w:szCs w:val="20"/>
              </w:rPr>
              <w:t>8</w:t>
            </w:r>
          </w:p>
        </w:tc>
        <w:tc>
          <w:tcPr>
            <w:tcW w:w="2448" w:type="dxa"/>
            <w:vMerge/>
          </w:tcPr>
          <w:p w14:paraId="2F9E9F50" w14:textId="77777777" w:rsidR="00A85D08" w:rsidRPr="00A85D08" w:rsidRDefault="00A85D08" w:rsidP="00A85D08">
            <w:pPr>
              <w:pStyle w:val="Tekstpodstawowy"/>
              <w:spacing w:line="240" w:lineRule="auto"/>
              <w:rPr>
                <w:rFonts w:ascii="Calibri" w:hAnsi="Calibri" w:cs="Calibri"/>
                <w:sz w:val="20"/>
                <w:szCs w:val="20"/>
              </w:rPr>
            </w:pPr>
          </w:p>
        </w:tc>
        <w:tc>
          <w:tcPr>
            <w:tcW w:w="1701" w:type="dxa"/>
          </w:tcPr>
          <w:p w14:paraId="735290C2" w14:textId="77777777" w:rsidR="00A85D08" w:rsidRPr="00A85D08" w:rsidRDefault="00A85D08" w:rsidP="00A85D08">
            <w:pPr>
              <w:pStyle w:val="Tekstpodstawowy"/>
              <w:spacing w:line="240" w:lineRule="auto"/>
              <w:rPr>
                <w:rFonts w:ascii="Calibri" w:hAnsi="Calibri" w:cs="Calibri"/>
                <w:sz w:val="20"/>
                <w:szCs w:val="20"/>
              </w:rPr>
            </w:pPr>
            <w:r w:rsidRPr="00A85D08">
              <w:rPr>
                <w:rFonts w:ascii="Calibri" w:hAnsi="Calibri" w:cs="Calibri"/>
                <w:sz w:val="20"/>
                <w:szCs w:val="20"/>
              </w:rPr>
              <w:t>Wzrost temperatury mięknienia</w:t>
            </w:r>
          </w:p>
        </w:tc>
        <w:tc>
          <w:tcPr>
            <w:tcW w:w="1559" w:type="dxa"/>
          </w:tcPr>
          <w:p w14:paraId="4188545E" w14:textId="77777777" w:rsidR="00A85D08" w:rsidRPr="00A85D08" w:rsidRDefault="00A85D08" w:rsidP="00A85D08">
            <w:pPr>
              <w:pStyle w:val="Tekstpodstawowy"/>
              <w:spacing w:line="240" w:lineRule="auto"/>
              <w:rPr>
                <w:rFonts w:ascii="Calibri" w:hAnsi="Calibri" w:cs="Calibri"/>
                <w:sz w:val="20"/>
                <w:szCs w:val="20"/>
              </w:rPr>
            </w:pPr>
            <w:r w:rsidRPr="00A85D08">
              <w:rPr>
                <w:rFonts w:ascii="Calibri" w:hAnsi="Calibri" w:cs="Calibri"/>
                <w:sz w:val="20"/>
                <w:szCs w:val="20"/>
              </w:rPr>
              <w:t>PN-EN 1427</w:t>
            </w:r>
          </w:p>
        </w:tc>
        <w:tc>
          <w:tcPr>
            <w:tcW w:w="1134" w:type="dxa"/>
          </w:tcPr>
          <w:p w14:paraId="26197796" w14:textId="77777777" w:rsidR="00A85D08" w:rsidRPr="00A85D08" w:rsidRDefault="00A85D08" w:rsidP="00A85D08">
            <w:pPr>
              <w:pStyle w:val="Tekstpodstawowy"/>
              <w:spacing w:line="240" w:lineRule="auto"/>
              <w:rPr>
                <w:rFonts w:ascii="Calibri" w:hAnsi="Calibri" w:cs="Calibri"/>
                <w:sz w:val="20"/>
                <w:szCs w:val="20"/>
              </w:rPr>
            </w:pPr>
            <w:r w:rsidRPr="00A85D08">
              <w:rPr>
                <w:rFonts w:ascii="Calibri" w:hAnsi="Calibri" w:cs="Calibri"/>
                <w:sz w:val="20"/>
                <w:szCs w:val="20"/>
                <w:vertAlign w:val="superscript"/>
              </w:rPr>
              <w:t>0</w:t>
            </w:r>
            <w:r w:rsidRPr="00A85D08">
              <w:rPr>
                <w:rFonts w:ascii="Calibri" w:hAnsi="Calibri" w:cs="Calibri"/>
                <w:sz w:val="20"/>
                <w:szCs w:val="20"/>
              </w:rPr>
              <w:t>C</w:t>
            </w:r>
          </w:p>
        </w:tc>
        <w:tc>
          <w:tcPr>
            <w:tcW w:w="993" w:type="dxa"/>
          </w:tcPr>
          <w:p w14:paraId="3A0D7C60" w14:textId="77777777" w:rsidR="00A85D08" w:rsidRPr="00A85D08" w:rsidRDefault="00A85D08" w:rsidP="00A85D08">
            <w:pPr>
              <w:pStyle w:val="Tekstpodstawowy"/>
              <w:spacing w:line="240" w:lineRule="auto"/>
              <w:rPr>
                <w:rFonts w:ascii="Calibri" w:hAnsi="Calibri" w:cs="Calibri"/>
                <w:sz w:val="20"/>
                <w:szCs w:val="20"/>
              </w:rPr>
            </w:pPr>
            <w:r w:rsidRPr="00A85D08">
              <w:rPr>
                <w:rFonts w:ascii="Calibri" w:hAnsi="Calibri" w:cs="Calibri"/>
                <w:sz w:val="20"/>
                <w:szCs w:val="20"/>
              </w:rPr>
              <w:t>≤8</w:t>
            </w:r>
          </w:p>
        </w:tc>
        <w:tc>
          <w:tcPr>
            <w:tcW w:w="850" w:type="dxa"/>
          </w:tcPr>
          <w:p w14:paraId="32694245" w14:textId="77777777" w:rsidR="00A85D08" w:rsidRPr="00A85D08" w:rsidRDefault="00A85D08" w:rsidP="00A85D08">
            <w:pPr>
              <w:pStyle w:val="Tekstpodstawowy"/>
              <w:spacing w:line="240" w:lineRule="auto"/>
              <w:rPr>
                <w:rFonts w:ascii="Calibri" w:hAnsi="Calibri" w:cs="Calibri"/>
                <w:sz w:val="20"/>
                <w:szCs w:val="20"/>
              </w:rPr>
            </w:pPr>
            <w:r w:rsidRPr="00A85D08">
              <w:rPr>
                <w:rFonts w:ascii="Calibri" w:hAnsi="Calibri" w:cs="Calibri"/>
                <w:sz w:val="20"/>
                <w:szCs w:val="20"/>
              </w:rPr>
              <w:t>2</w:t>
            </w:r>
          </w:p>
        </w:tc>
      </w:tr>
      <w:tr w:rsidR="00A85D08" w:rsidRPr="00A85D08" w14:paraId="1EF3FE1D" w14:textId="77777777" w:rsidTr="00A85D08">
        <w:tc>
          <w:tcPr>
            <w:tcW w:w="522" w:type="dxa"/>
          </w:tcPr>
          <w:p w14:paraId="6D0F2CF5" w14:textId="77777777" w:rsidR="00A85D08" w:rsidRPr="00A85D08" w:rsidRDefault="00A85D08" w:rsidP="00A85D08">
            <w:pPr>
              <w:pStyle w:val="Tekstpodstawowy"/>
              <w:spacing w:line="240" w:lineRule="auto"/>
              <w:rPr>
                <w:rFonts w:ascii="Calibri" w:hAnsi="Calibri" w:cs="Calibri"/>
                <w:sz w:val="20"/>
                <w:szCs w:val="20"/>
              </w:rPr>
            </w:pPr>
            <w:r w:rsidRPr="00A85D08">
              <w:rPr>
                <w:rFonts w:ascii="Calibri" w:hAnsi="Calibri" w:cs="Calibri"/>
                <w:sz w:val="20"/>
                <w:szCs w:val="20"/>
              </w:rPr>
              <w:t>9</w:t>
            </w:r>
          </w:p>
        </w:tc>
        <w:tc>
          <w:tcPr>
            <w:tcW w:w="2448" w:type="dxa"/>
          </w:tcPr>
          <w:p w14:paraId="7A3CADBC" w14:textId="77777777" w:rsidR="00A85D08" w:rsidRPr="00A85D08" w:rsidRDefault="00A85D08" w:rsidP="00A85D08">
            <w:pPr>
              <w:pStyle w:val="Tekstpodstawowy"/>
              <w:spacing w:line="240" w:lineRule="auto"/>
              <w:rPr>
                <w:rFonts w:ascii="Calibri" w:hAnsi="Calibri" w:cs="Calibri"/>
                <w:sz w:val="20"/>
                <w:szCs w:val="20"/>
              </w:rPr>
            </w:pPr>
            <w:r w:rsidRPr="00A85D08">
              <w:rPr>
                <w:rFonts w:ascii="Calibri" w:hAnsi="Calibri" w:cs="Calibri"/>
                <w:sz w:val="20"/>
                <w:szCs w:val="20"/>
              </w:rPr>
              <w:t>Inne właściwości</w:t>
            </w:r>
          </w:p>
        </w:tc>
        <w:tc>
          <w:tcPr>
            <w:tcW w:w="1701" w:type="dxa"/>
          </w:tcPr>
          <w:p w14:paraId="04E1F385" w14:textId="77777777" w:rsidR="00A85D08" w:rsidRPr="00A85D08" w:rsidRDefault="00A85D08" w:rsidP="00A85D08">
            <w:pPr>
              <w:pStyle w:val="Tekstpodstawowy"/>
              <w:spacing w:line="240" w:lineRule="auto"/>
              <w:rPr>
                <w:rFonts w:ascii="Calibri" w:hAnsi="Calibri" w:cs="Calibri"/>
                <w:sz w:val="20"/>
                <w:szCs w:val="20"/>
              </w:rPr>
            </w:pPr>
            <w:r w:rsidRPr="00A85D08">
              <w:rPr>
                <w:rFonts w:ascii="Calibri" w:hAnsi="Calibri" w:cs="Calibri"/>
                <w:sz w:val="20"/>
                <w:szCs w:val="20"/>
              </w:rPr>
              <w:t>Temperatura zapłonu</w:t>
            </w:r>
          </w:p>
        </w:tc>
        <w:tc>
          <w:tcPr>
            <w:tcW w:w="1559" w:type="dxa"/>
          </w:tcPr>
          <w:p w14:paraId="6B47F048" w14:textId="77777777" w:rsidR="00A85D08" w:rsidRPr="00A85D08" w:rsidRDefault="00A85D08" w:rsidP="00A85D08">
            <w:pPr>
              <w:pStyle w:val="Tekstpodstawowy"/>
              <w:spacing w:line="240" w:lineRule="auto"/>
              <w:rPr>
                <w:rFonts w:ascii="Calibri" w:hAnsi="Calibri" w:cs="Calibri"/>
                <w:sz w:val="20"/>
                <w:szCs w:val="20"/>
              </w:rPr>
            </w:pPr>
            <w:r w:rsidRPr="00A85D08">
              <w:rPr>
                <w:rFonts w:ascii="Calibri" w:hAnsi="Calibri" w:cs="Calibri"/>
                <w:sz w:val="20"/>
                <w:szCs w:val="20"/>
              </w:rPr>
              <w:t>EN ISO 2592</w:t>
            </w:r>
          </w:p>
        </w:tc>
        <w:tc>
          <w:tcPr>
            <w:tcW w:w="1134" w:type="dxa"/>
          </w:tcPr>
          <w:p w14:paraId="41D9F87C" w14:textId="77777777" w:rsidR="00A85D08" w:rsidRPr="00A85D08" w:rsidRDefault="00A85D08" w:rsidP="00A85D08">
            <w:pPr>
              <w:pStyle w:val="Tekstpodstawowy"/>
              <w:spacing w:line="240" w:lineRule="auto"/>
              <w:rPr>
                <w:rFonts w:ascii="Calibri" w:hAnsi="Calibri" w:cs="Calibri"/>
                <w:sz w:val="20"/>
                <w:szCs w:val="20"/>
              </w:rPr>
            </w:pPr>
            <w:r w:rsidRPr="00A85D08">
              <w:rPr>
                <w:rFonts w:ascii="Calibri" w:hAnsi="Calibri" w:cs="Calibri"/>
                <w:sz w:val="20"/>
                <w:szCs w:val="20"/>
                <w:vertAlign w:val="superscript"/>
              </w:rPr>
              <w:t>0</w:t>
            </w:r>
            <w:r w:rsidRPr="00A85D08">
              <w:rPr>
                <w:rFonts w:ascii="Calibri" w:hAnsi="Calibri" w:cs="Calibri"/>
                <w:sz w:val="20"/>
                <w:szCs w:val="20"/>
              </w:rPr>
              <w:t>C</w:t>
            </w:r>
          </w:p>
        </w:tc>
        <w:tc>
          <w:tcPr>
            <w:tcW w:w="993" w:type="dxa"/>
          </w:tcPr>
          <w:p w14:paraId="621E907A" w14:textId="77777777" w:rsidR="00A85D08" w:rsidRPr="00A85D08" w:rsidRDefault="00A85D08" w:rsidP="00A85D08">
            <w:pPr>
              <w:pStyle w:val="Tekstpodstawowy"/>
              <w:spacing w:line="240" w:lineRule="auto"/>
              <w:rPr>
                <w:rFonts w:ascii="Calibri" w:hAnsi="Calibri" w:cs="Calibri"/>
                <w:sz w:val="20"/>
                <w:szCs w:val="20"/>
              </w:rPr>
            </w:pPr>
            <w:r w:rsidRPr="00A85D08">
              <w:rPr>
                <w:rFonts w:ascii="Calibri" w:hAnsi="Calibri" w:cs="Calibri"/>
                <w:sz w:val="20"/>
                <w:szCs w:val="20"/>
              </w:rPr>
              <w:t>≥235</w:t>
            </w:r>
          </w:p>
        </w:tc>
        <w:tc>
          <w:tcPr>
            <w:tcW w:w="850" w:type="dxa"/>
          </w:tcPr>
          <w:p w14:paraId="49997395" w14:textId="77777777" w:rsidR="00A85D08" w:rsidRPr="00A85D08" w:rsidRDefault="00A85D08" w:rsidP="00A85D08">
            <w:pPr>
              <w:pStyle w:val="Tekstpodstawowy"/>
              <w:spacing w:line="240" w:lineRule="auto"/>
              <w:rPr>
                <w:rFonts w:ascii="Calibri" w:hAnsi="Calibri" w:cs="Calibri"/>
                <w:sz w:val="20"/>
                <w:szCs w:val="20"/>
              </w:rPr>
            </w:pPr>
            <w:r w:rsidRPr="00A85D08">
              <w:rPr>
                <w:rFonts w:ascii="Calibri" w:hAnsi="Calibri" w:cs="Calibri"/>
                <w:sz w:val="20"/>
                <w:szCs w:val="20"/>
              </w:rPr>
              <w:t>3</w:t>
            </w:r>
          </w:p>
        </w:tc>
      </w:tr>
      <w:tr w:rsidR="00A85D08" w:rsidRPr="00A85D08" w14:paraId="0AA697E2" w14:textId="77777777" w:rsidTr="00A85D08">
        <w:tc>
          <w:tcPr>
            <w:tcW w:w="522" w:type="dxa"/>
          </w:tcPr>
          <w:p w14:paraId="11684FFE" w14:textId="77777777" w:rsidR="00A85D08" w:rsidRPr="00A85D08" w:rsidRDefault="00A85D08" w:rsidP="00A85D08">
            <w:pPr>
              <w:pStyle w:val="Tekstpodstawowy"/>
              <w:spacing w:line="240" w:lineRule="auto"/>
              <w:ind w:right="-118"/>
              <w:rPr>
                <w:rFonts w:ascii="Calibri" w:hAnsi="Calibri" w:cs="Calibri"/>
                <w:sz w:val="20"/>
                <w:szCs w:val="20"/>
              </w:rPr>
            </w:pPr>
            <w:r w:rsidRPr="00A85D08">
              <w:rPr>
                <w:rFonts w:ascii="Calibri" w:hAnsi="Calibri" w:cs="Calibri"/>
                <w:sz w:val="20"/>
                <w:szCs w:val="20"/>
              </w:rPr>
              <w:t>10</w:t>
            </w:r>
          </w:p>
        </w:tc>
        <w:tc>
          <w:tcPr>
            <w:tcW w:w="2448" w:type="dxa"/>
            <w:vMerge w:val="restart"/>
          </w:tcPr>
          <w:p w14:paraId="69D17240" w14:textId="77777777" w:rsidR="00A85D08" w:rsidRPr="00A85D08" w:rsidRDefault="00A85D08" w:rsidP="00A85D08">
            <w:pPr>
              <w:pStyle w:val="Tekstpodstawowy"/>
              <w:spacing w:line="240" w:lineRule="auto"/>
              <w:rPr>
                <w:rFonts w:ascii="Calibri" w:hAnsi="Calibri" w:cs="Calibri"/>
                <w:sz w:val="20"/>
                <w:szCs w:val="20"/>
              </w:rPr>
            </w:pPr>
            <w:r w:rsidRPr="00A85D08">
              <w:rPr>
                <w:rFonts w:ascii="Calibri" w:hAnsi="Calibri" w:cs="Calibri"/>
                <w:sz w:val="20"/>
                <w:szCs w:val="20"/>
              </w:rPr>
              <w:t>Wymagania dodatkowe</w:t>
            </w:r>
          </w:p>
        </w:tc>
        <w:tc>
          <w:tcPr>
            <w:tcW w:w="1701" w:type="dxa"/>
          </w:tcPr>
          <w:p w14:paraId="2318FD2F" w14:textId="77777777" w:rsidR="00A85D08" w:rsidRPr="00A85D08" w:rsidRDefault="00A85D08" w:rsidP="00A85D08">
            <w:pPr>
              <w:pStyle w:val="Tekstpodstawowy"/>
              <w:spacing w:line="240" w:lineRule="auto"/>
              <w:rPr>
                <w:rFonts w:ascii="Calibri" w:hAnsi="Calibri" w:cs="Calibri"/>
                <w:sz w:val="20"/>
                <w:szCs w:val="20"/>
              </w:rPr>
            </w:pPr>
            <w:r w:rsidRPr="00A85D08">
              <w:rPr>
                <w:rFonts w:ascii="Calibri" w:hAnsi="Calibri" w:cs="Calibri"/>
                <w:sz w:val="20"/>
                <w:szCs w:val="20"/>
              </w:rPr>
              <w:t>Temperatura łamliwości</w:t>
            </w:r>
          </w:p>
        </w:tc>
        <w:tc>
          <w:tcPr>
            <w:tcW w:w="1559" w:type="dxa"/>
          </w:tcPr>
          <w:p w14:paraId="10B5B830" w14:textId="77777777" w:rsidR="00A85D08" w:rsidRPr="00A85D08" w:rsidRDefault="00A85D08" w:rsidP="00A85D08">
            <w:pPr>
              <w:pStyle w:val="Tekstpodstawowy"/>
              <w:spacing w:line="240" w:lineRule="auto"/>
              <w:rPr>
                <w:rFonts w:ascii="Calibri" w:hAnsi="Calibri" w:cs="Calibri"/>
                <w:sz w:val="20"/>
                <w:szCs w:val="20"/>
              </w:rPr>
            </w:pPr>
            <w:r w:rsidRPr="00A85D08">
              <w:rPr>
                <w:rFonts w:ascii="Calibri" w:hAnsi="Calibri" w:cs="Calibri"/>
                <w:sz w:val="20"/>
                <w:szCs w:val="20"/>
              </w:rPr>
              <w:t>PN-EN 12593</w:t>
            </w:r>
          </w:p>
        </w:tc>
        <w:tc>
          <w:tcPr>
            <w:tcW w:w="1134" w:type="dxa"/>
          </w:tcPr>
          <w:p w14:paraId="2667C130" w14:textId="77777777" w:rsidR="00A85D08" w:rsidRPr="00A85D08" w:rsidRDefault="00A85D08" w:rsidP="00A85D08">
            <w:pPr>
              <w:pStyle w:val="Tekstpodstawowy"/>
              <w:spacing w:line="240" w:lineRule="auto"/>
              <w:rPr>
                <w:rFonts w:ascii="Calibri" w:hAnsi="Calibri" w:cs="Calibri"/>
                <w:sz w:val="20"/>
                <w:szCs w:val="20"/>
              </w:rPr>
            </w:pPr>
            <w:r w:rsidRPr="00A85D08">
              <w:rPr>
                <w:rFonts w:ascii="Calibri" w:hAnsi="Calibri" w:cs="Calibri"/>
                <w:sz w:val="20"/>
                <w:szCs w:val="20"/>
                <w:vertAlign w:val="superscript"/>
              </w:rPr>
              <w:t>0</w:t>
            </w:r>
            <w:r w:rsidRPr="00A85D08">
              <w:rPr>
                <w:rFonts w:ascii="Calibri" w:hAnsi="Calibri" w:cs="Calibri"/>
                <w:sz w:val="20"/>
                <w:szCs w:val="20"/>
              </w:rPr>
              <w:t>C</w:t>
            </w:r>
          </w:p>
        </w:tc>
        <w:tc>
          <w:tcPr>
            <w:tcW w:w="993" w:type="dxa"/>
          </w:tcPr>
          <w:p w14:paraId="756B074E" w14:textId="77777777" w:rsidR="00A85D08" w:rsidRPr="00A85D08" w:rsidRDefault="00A85D08" w:rsidP="00A85D08">
            <w:pPr>
              <w:pStyle w:val="Tekstpodstawowy"/>
              <w:spacing w:line="240" w:lineRule="auto"/>
              <w:rPr>
                <w:rFonts w:ascii="Calibri" w:hAnsi="Calibri" w:cs="Calibri"/>
                <w:sz w:val="20"/>
                <w:szCs w:val="20"/>
              </w:rPr>
            </w:pPr>
            <w:r w:rsidRPr="00A85D08">
              <w:rPr>
                <w:rFonts w:ascii="Calibri" w:hAnsi="Calibri" w:cs="Calibri"/>
                <w:sz w:val="20"/>
                <w:szCs w:val="20"/>
              </w:rPr>
              <w:t>≤-12</w:t>
            </w:r>
          </w:p>
        </w:tc>
        <w:tc>
          <w:tcPr>
            <w:tcW w:w="850" w:type="dxa"/>
          </w:tcPr>
          <w:p w14:paraId="2604365F" w14:textId="77777777" w:rsidR="00A85D08" w:rsidRPr="00A85D08" w:rsidRDefault="00A85D08" w:rsidP="00A85D08">
            <w:pPr>
              <w:pStyle w:val="Tekstpodstawowy"/>
              <w:spacing w:line="240" w:lineRule="auto"/>
              <w:rPr>
                <w:rFonts w:ascii="Calibri" w:hAnsi="Calibri" w:cs="Calibri"/>
                <w:sz w:val="20"/>
                <w:szCs w:val="20"/>
              </w:rPr>
            </w:pPr>
            <w:r w:rsidRPr="00A85D08">
              <w:rPr>
                <w:rFonts w:ascii="Calibri" w:hAnsi="Calibri" w:cs="Calibri"/>
                <w:sz w:val="20"/>
                <w:szCs w:val="20"/>
              </w:rPr>
              <w:t>6</w:t>
            </w:r>
          </w:p>
        </w:tc>
      </w:tr>
      <w:tr w:rsidR="00A85D08" w:rsidRPr="00A85D08" w14:paraId="387305DA" w14:textId="77777777" w:rsidTr="00A85D08">
        <w:tc>
          <w:tcPr>
            <w:tcW w:w="522" w:type="dxa"/>
          </w:tcPr>
          <w:p w14:paraId="341D6383" w14:textId="77777777" w:rsidR="00A85D08" w:rsidRPr="00A85D08" w:rsidRDefault="00A85D08" w:rsidP="00A85D08">
            <w:pPr>
              <w:pStyle w:val="Tekstpodstawowy"/>
              <w:spacing w:line="240" w:lineRule="auto"/>
              <w:ind w:right="-118"/>
              <w:rPr>
                <w:rFonts w:ascii="Calibri" w:hAnsi="Calibri" w:cs="Calibri"/>
                <w:sz w:val="20"/>
                <w:szCs w:val="20"/>
              </w:rPr>
            </w:pPr>
            <w:r w:rsidRPr="00A85D08">
              <w:rPr>
                <w:rFonts w:ascii="Calibri" w:hAnsi="Calibri" w:cs="Calibri"/>
                <w:sz w:val="20"/>
                <w:szCs w:val="20"/>
              </w:rPr>
              <w:t>11</w:t>
            </w:r>
          </w:p>
        </w:tc>
        <w:tc>
          <w:tcPr>
            <w:tcW w:w="2448" w:type="dxa"/>
            <w:vMerge/>
          </w:tcPr>
          <w:p w14:paraId="667F6B15" w14:textId="77777777" w:rsidR="00A85D08" w:rsidRPr="00A85D08" w:rsidRDefault="00A85D08" w:rsidP="00A85D08">
            <w:pPr>
              <w:pStyle w:val="Tekstpodstawowy"/>
              <w:spacing w:line="240" w:lineRule="auto"/>
              <w:rPr>
                <w:rFonts w:ascii="Calibri" w:hAnsi="Calibri" w:cs="Calibri"/>
                <w:sz w:val="20"/>
                <w:szCs w:val="20"/>
              </w:rPr>
            </w:pPr>
          </w:p>
        </w:tc>
        <w:tc>
          <w:tcPr>
            <w:tcW w:w="1701" w:type="dxa"/>
          </w:tcPr>
          <w:p w14:paraId="413C044F" w14:textId="77777777" w:rsidR="00A85D08" w:rsidRPr="00A85D08" w:rsidRDefault="00A85D08" w:rsidP="00A85D08">
            <w:pPr>
              <w:pStyle w:val="Tekstpodstawowy"/>
              <w:spacing w:line="240" w:lineRule="auto"/>
              <w:rPr>
                <w:rFonts w:ascii="Calibri" w:hAnsi="Calibri" w:cs="Calibri"/>
                <w:sz w:val="20"/>
                <w:szCs w:val="20"/>
              </w:rPr>
            </w:pPr>
            <w:r w:rsidRPr="00A85D08">
              <w:rPr>
                <w:rFonts w:ascii="Calibri" w:hAnsi="Calibri" w:cs="Calibri"/>
                <w:sz w:val="20"/>
                <w:szCs w:val="20"/>
              </w:rPr>
              <w:t>Nawrót sprężysty w 25</w:t>
            </w:r>
            <w:r w:rsidRPr="00A85D08">
              <w:rPr>
                <w:rFonts w:ascii="Calibri" w:hAnsi="Calibri" w:cs="Calibri"/>
                <w:sz w:val="20"/>
                <w:szCs w:val="20"/>
                <w:vertAlign w:val="superscript"/>
              </w:rPr>
              <w:t>0</w:t>
            </w:r>
            <w:r w:rsidRPr="00A85D08">
              <w:rPr>
                <w:rFonts w:ascii="Calibri" w:hAnsi="Calibri" w:cs="Calibri"/>
                <w:sz w:val="20"/>
                <w:szCs w:val="20"/>
              </w:rPr>
              <w:t>C</w:t>
            </w:r>
          </w:p>
        </w:tc>
        <w:tc>
          <w:tcPr>
            <w:tcW w:w="1559" w:type="dxa"/>
          </w:tcPr>
          <w:p w14:paraId="367E11F5" w14:textId="77777777" w:rsidR="00A85D08" w:rsidRPr="00A85D08" w:rsidRDefault="00A85D08" w:rsidP="00A85D08">
            <w:pPr>
              <w:pStyle w:val="Tekstpodstawowy"/>
              <w:spacing w:line="240" w:lineRule="auto"/>
              <w:rPr>
                <w:rFonts w:ascii="Calibri" w:hAnsi="Calibri" w:cs="Calibri"/>
                <w:sz w:val="20"/>
                <w:szCs w:val="20"/>
              </w:rPr>
            </w:pPr>
            <w:r w:rsidRPr="00A85D08">
              <w:rPr>
                <w:rFonts w:ascii="Calibri" w:hAnsi="Calibri" w:cs="Calibri"/>
                <w:sz w:val="20"/>
                <w:szCs w:val="20"/>
              </w:rPr>
              <w:t>PN-EN 13398</w:t>
            </w:r>
          </w:p>
        </w:tc>
        <w:tc>
          <w:tcPr>
            <w:tcW w:w="1134" w:type="dxa"/>
          </w:tcPr>
          <w:p w14:paraId="1D83B3E1" w14:textId="77777777" w:rsidR="00A85D08" w:rsidRPr="00A85D08" w:rsidRDefault="00A85D08" w:rsidP="00A85D08">
            <w:pPr>
              <w:pStyle w:val="Tekstpodstawowy"/>
              <w:spacing w:line="240" w:lineRule="auto"/>
              <w:rPr>
                <w:rFonts w:ascii="Calibri" w:hAnsi="Calibri" w:cs="Calibri"/>
                <w:sz w:val="20"/>
                <w:szCs w:val="20"/>
              </w:rPr>
            </w:pPr>
            <w:r w:rsidRPr="00A85D08">
              <w:rPr>
                <w:rFonts w:ascii="Calibri" w:hAnsi="Calibri" w:cs="Calibri"/>
                <w:sz w:val="20"/>
                <w:szCs w:val="20"/>
              </w:rPr>
              <w:t>%</w:t>
            </w:r>
          </w:p>
        </w:tc>
        <w:tc>
          <w:tcPr>
            <w:tcW w:w="993" w:type="dxa"/>
          </w:tcPr>
          <w:p w14:paraId="60988A57" w14:textId="77777777" w:rsidR="00A85D08" w:rsidRPr="00A85D08" w:rsidRDefault="00A85D08" w:rsidP="00A85D08">
            <w:pPr>
              <w:pStyle w:val="Tekstpodstawowy"/>
              <w:spacing w:line="240" w:lineRule="auto"/>
              <w:rPr>
                <w:rFonts w:ascii="Calibri" w:hAnsi="Calibri" w:cs="Calibri"/>
                <w:sz w:val="20"/>
                <w:szCs w:val="20"/>
              </w:rPr>
            </w:pPr>
            <w:r w:rsidRPr="00A85D08">
              <w:rPr>
                <w:rFonts w:ascii="Calibri" w:hAnsi="Calibri" w:cs="Calibri"/>
                <w:sz w:val="20"/>
                <w:szCs w:val="20"/>
              </w:rPr>
              <w:t>≥50</w:t>
            </w:r>
          </w:p>
        </w:tc>
        <w:tc>
          <w:tcPr>
            <w:tcW w:w="850" w:type="dxa"/>
          </w:tcPr>
          <w:p w14:paraId="57001002" w14:textId="77777777" w:rsidR="00A85D08" w:rsidRPr="00A85D08" w:rsidRDefault="00A85D08" w:rsidP="00A85D08">
            <w:pPr>
              <w:pStyle w:val="Tekstpodstawowy"/>
              <w:spacing w:line="240" w:lineRule="auto"/>
              <w:rPr>
                <w:rFonts w:ascii="Calibri" w:hAnsi="Calibri" w:cs="Calibri"/>
                <w:sz w:val="20"/>
                <w:szCs w:val="20"/>
              </w:rPr>
            </w:pPr>
            <w:r w:rsidRPr="00A85D08">
              <w:rPr>
                <w:rFonts w:ascii="Calibri" w:hAnsi="Calibri" w:cs="Calibri"/>
                <w:sz w:val="20"/>
                <w:szCs w:val="20"/>
              </w:rPr>
              <w:t>5</w:t>
            </w:r>
          </w:p>
        </w:tc>
      </w:tr>
      <w:tr w:rsidR="00A85D08" w:rsidRPr="00A85D08" w14:paraId="7C5F2027" w14:textId="77777777" w:rsidTr="00A85D08">
        <w:tc>
          <w:tcPr>
            <w:tcW w:w="522" w:type="dxa"/>
          </w:tcPr>
          <w:p w14:paraId="2FB44FF7" w14:textId="77777777" w:rsidR="00A85D08" w:rsidRPr="00A85D08" w:rsidRDefault="00A85D08" w:rsidP="00A85D08">
            <w:pPr>
              <w:pStyle w:val="Tekstpodstawowy"/>
              <w:spacing w:line="240" w:lineRule="auto"/>
              <w:ind w:right="-118"/>
              <w:rPr>
                <w:rFonts w:ascii="Calibri" w:hAnsi="Calibri" w:cs="Calibri"/>
                <w:sz w:val="20"/>
                <w:szCs w:val="20"/>
              </w:rPr>
            </w:pPr>
            <w:r w:rsidRPr="00A85D08">
              <w:rPr>
                <w:rFonts w:ascii="Calibri" w:hAnsi="Calibri" w:cs="Calibri"/>
                <w:sz w:val="20"/>
                <w:szCs w:val="20"/>
              </w:rPr>
              <w:t>12</w:t>
            </w:r>
          </w:p>
        </w:tc>
        <w:tc>
          <w:tcPr>
            <w:tcW w:w="2448" w:type="dxa"/>
            <w:vMerge/>
          </w:tcPr>
          <w:p w14:paraId="336C936B" w14:textId="77777777" w:rsidR="00A85D08" w:rsidRPr="00A85D08" w:rsidRDefault="00A85D08" w:rsidP="00A85D08">
            <w:pPr>
              <w:pStyle w:val="Tekstpodstawowy"/>
              <w:spacing w:line="240" w:lineRule="auto"/>
              <w:rPr>
                <w:rFonts w:ascii="Calibri" w:hAnsi="Calibri" w:cs="Calibri"/>
                <w:sz w:val="20"/>
                <w:szCs w:val="20"/>
              </w:rPr>
            </w:pPr>
          </w:p>
        </w:tc>
        <w:tc>
          <w:tcPr>
            <w:tcW w:w="1701" w:type="dxa"/>
          </w:tcPr>
          <w:p w14:paraId="67603DCB" w14:textId="77777777" w:rsidR="00A85D08" w:rsidRPr="00A85D08" w:rsidRDefault="00A85D08" w:rsidP="00A85D08">
            <w:pPr>
              <w:pStyle w:val="Tekstpodstawowy"/>
              <w:spacing w:line="240" w:lineRule="auto"/>
              <w:rPr>
                <w:rFonts w:ascii="Calibri" w:hAnsi="Calibri" w:cs="Calibri"/>
                <w:sz w:val="20"/>
                <w:szCs w:val="20"/>
              </w:rPr>
            </w:pPr>
            <w:r w:rsidRPr="00A85D08">
              <w:rPr>
                <w:rFonts w:ascii="Calibri" w:hAnsi="Calibri" w:cs="Calibri"/>
                <w:sz w:val="20"/>
                <w:szCs w:val="20"/>
              </w:rPr>
              <w:t>Zakres plastyczności</w:t>
            </w:r>
          </w:p>
        </w:tc>
        <w:tc>
          <w:tcPr>
            <w:tcW w:w="1559" w:type="dxa"/>
          </w:tcPr>
          <w:p w14:paraId="722F9159" w14:textId="77777777" w:rsidR="00A85D08" w:rsidRPr="00A85D08" w:rsidRDefault="00A85D08" w:rsidP="00A85D08">
            <w:pPr>
              <w:pStyle w:val="Tekstpodstawowy"/>
              <w:spacing w:line="240" w:lineRule="auto"/>
              <w:rPr>
                <w:rFonts w:ascii="Calibri" w:hAnsi="Calibri" w:cs="Calibri"/>
                <w:sz w:val="20"/>
                <w:szCs w:val="20"/>
              </w:rPr>
            </w:pPr>
            <w:r w:rsidRPr="00A85D08">
              <w:rPr>
                <w:rFonts w:ascii="Calibri" w:hAnsi="Calibri" w:cs="Calibri"/>
                <w:sz w:val="20"/>
                <w:szCs w:val="20"/>
              </w:rPr>
              <w:t>Podpunkt 5.1.9. normy PN-EN 14023</w:t>
            </w:r>
          </w:p>
        </w:tc>
        <w:tc>
          <w:tcPr>
            <w:tcW w:w="1134" w:type="dxa"/>
          </w:tcPr>
          <w:p w14:paraId="25E80629" w14:textId="77777777" w:rsidR="00A85D08" w:rsidRPr="00A85D08" w:rsidRDefault="00A85D08" w:rsidP="00A85D08">
            <w:pPr>
              <w:pStyle w:val="Tekstpodstawowy"/>
              <w:spacing w:line="240" w:lineRule="auto"/>
              <w:rPr>
                <w:rFonts w:ascii="Calibri" w:hAnsi="Calibri" w:cs="Calibri"/>
                <w:sz w:val="20"/>
                <w:szCs w:val="20"/>
              </w:rPr>
            </w:pPr>
            <w:r w:rsidRPr="00A85D08">
              <w:rPr>
                <w:rFonts w:ascii="Calibri" w:hAnsi="Calibri" w:cs="Calibri"/>
                <w:sz w:val="20"/>
                <w:szCs w:val="20"/>
                <w:vertAlign w:val="superscript"/>
              </w:rPr>
              <w:t>0</w:t>
            </w:r>
            <w:r w:rsidRPr="00A85D08">
              <w:rPr>
                <w:rFonts w:ascii="Calibri" w:hAnsi="Calibri" w:cs="Calibri"/>
                <w:sz w:val="20"/>
                <w:szCs w:val="20"/>
              </w:rPr>
              <w:t>C</w:t>
            </w:r>
          </w:p>
        </w:tc>
        <w:tc>
          <w:tcPr>
            <w:tcW w:w="993" w:type="dxa"/>
          </w:tcPr>
          <w:p w14:paraId="51410C10" w14:textId="77777777" w:rsidR="00A85D08" w:rsidRPr="00A85D08" w:rsidRDefault="00A85D08" w:rsidP="00A85D08">
            <w:pPr>
              <w:pStyle w:val="Tekstpodstawowy"/>
              <w:spacing w:line="240" w:lineRule="auto"/>
              <w:rPr>
                <w:rFonts w:ascii="Calibri" w:hAnsi="Calibri" w:cs="Calibri"/>
                <w:sz w:val="20"/>
                <w:szCs w:val="20"/>
              </w:rPr>
            </w:pPr>
            <w:r w:rsidRPr="00A85D08">
              <w:rPr>
                <w:rFonts w:ascii="Calibri" w:hAnsi="Calibri" w:cs="Calibri"/>
                <w:sz w:val="20"/>
                <w:szCs w:val="20"/>
              </w:rPr>
              <w:t>TBR</w:t>
            </w:r>
          </w:p>
        </w:tc>
        <w:tc>
          <w:tcPr>
            <w:tcW w:w="850" w:type="dxa"/>
          </w:tcPr>
          <w:p w14:paraId="4778B25B" w14:textId="77777777" w:rsidR="00A85D08" w:rsidRPr="00A85D08" w:rsidRDefault="00A85D08" w:rsidP="00A85D08">
            <w:pPr>
              <w:pStyle w:val="Tekstpodstawowy"/>
              <w:spacing w:line="240" w:lineRule="auto"/>
              <w:rPr>
                <w:rFonts w:ascii="Calibri" w:hAnsi="Calibri" w:cs="Calibri"/>
                <w:sz w:val="20"/>
                <w:szCs w:val="20"/>
              </w:rPr>
            </w:pPr>
            <w:r w:rsidRPr="00A85D08">
              <w:rPr>
                <w:rFonts w:ascii="Calibri" w:hAnsi="Calibri" w:cs="Calibri"/>
                <w:sz w:val="20"/>
                <w:szCs w:val="20"/>
              </w:rPr>
              <w:t>1</w:t>
            </w:r>
          </w:p>
        </w:tc>
      </w:tr>
      <w:tr w:rsidR="00A85D08" w:rsidRPr="00A85D08" w14:paraId="722E2669" w14:textId="77777777" w:rsidTr="00A85D08">
        <w:tc>
          <w:tcPr>
            <w:tcW w:w="522" w:type="dxa"/>
          </w:tcPr>
          <w:p w14:paraId="686162DD" w14:textId="77777777" w:rsidR="00A85D08" w:rsidRPr="00A85D08" w:rsidRDefault="00A85D08" w:rsidP="00A85D08">
            <w:pPr>
              <w:pStyle w:val="Tekstpodstawowy"/>
              <w:spacing w:line="240" w:lineRule="auto"/>
              <w:ind w:right="-118"/>
              <w:rPr>
                <w:rFonts w:ascii="Calibri" w:hAnsi="Calibri" w:cs="Calibri"/>
                <w:sz w:val="20"/>
                <w:szCs w:val="20"/>
              </w:rPr>
            </w:pPr>
            <w:r w:rsidRPr="00A85D08">
              <w:rPr>
                <w:rFonts w:ascii="Calibri" w:hAnsi="Calibri" w:cs="Calibri"/>
                <w:sz w:val="20"/>
                <w:szCs w:val="20"/>
              </w:rPr>
              <w:t>13</w:t>
            </w:r>
          </w:p>
        </w:tc>
        <w:tc>
          <w:tcPr>
            <w:tcW w:w="2448" w:type="dxa"/>
            <w:vMerge/>
          </w:tcPr>
          <w:p w14:paraId="7B1AAB4C" w14:textId="77777777" w:rsidR="00A85D08" w:rsidRPr="00A85D08" w:rsidRDefault="00A85D08" w:rsidP="00A85D08">
            <w:pPr>
              <w:pStyle w:val="Tekstpodstawowy"/>
              <w:spacing w:line="240" w:lineRule="auto"/>
              <w:rPr>
                <w:rFonts w:ascii="Calibri" w:hAnsi="Calibri" w:cs="Calibri"/>
                <w:sz w:val="20"/>
                <w:szCs w:val="20"/>
              </w:rPr>
            </w:pPr>
          </w:p>
        </w:tc>
        <w:tc>
          <w:tcPr>
            <w:tcW w:w="1701" w:type="dxa"/>
          </w:tcPr>
          <w:p w14:paraId="492A7BD8" w14:textId="77777777" w:rsidR="00A85D08" w:rsidRPr="00A85D08" w:rsidRDefault="00A85D08" w:rsidP="00A85D08">
            <w:pPr>
              <w:pStyle w:val="Tekstpodstawowy"/>
              <w:spacing w:line="240" w:lineRule="auto"/>
              <w:rPr>
                <w:rFonts w:ascii="Calibri" w:hAnsi="Calibri" w:cs="Calibri"/>
                <w:sz w:val="20"/>
                <w:szCs w:val="20"/>
              </w:rPr>
            </w:pPr>
            <w:r w:rsidRPr="00A85D08">
              <w:rPr>
                <w:rFonts w:ascii="Calibri" w:hAnsi="Calibri" w:cs="Calibri"/>
                <w:sz w:val="20"/>
                <w:szCs w:val="20"/>
              </w:rPr>
              <w:t>Stabilność magazynowania. Różnica temperatur mięknienia</w:t>
            </w:r>
          </w:p>
        </w:tc>
        <w:tc>
          <w:tcPr>
            <w:tcW w:w="1559" w:type="dxa"/>
          </w:tcPr>
          <w:p w14:paraId="7DDDE368" w14:textId="77777777" w:rsidR="00A85D08" w:rsidRPr="00A85D08" w:rsidRDefault="00A85D08" w:rsidP="00A85D08">
            <w:pPr>
              <w:pStyle w:val="Tekstpodstawowy"/>
              <w:spacing w:line="240" w:lineRule="auto"/>
              <w:rPr>
                <w:rFonts w:ascii="Calibri" w:hAnsi="Calibri" w:cs="Calibri"/>
                <w:sz w:val="20"/>
                <w:szCs w:val="20"/>
              </w:rPr>
            </w:pPr>
            <w:r w:rsidRPr="00A85D08">
              <w:rPr>
                <w:rFonts w:ascii="Calibri" w:hAnsi="Calibri" w:cs="Calibri"/>
                <w:sz w:val="20"/>
                <w:szCs w:val="20"/>
              </w:rPr>
              <w:t>PN-EN 13399</w:t>
            </w:r>
          </w:p>
          <w:p w14:paraId="446A1A19" w14:textId="77777777" w:rsidR="00A85D08" w:rsidRPr="00A85D08" w:rsidRDefault="00A85D08" w:rsidP="00A85D08">
            <w:pPr>
              <w:pStyle w:val="Tekstpodstawowy"/>
              <w:spacing w:line="240" w:lineRule="auto"/>
              <w:rPr>
                <w:rFonts w:ascii="Calibri" w:hAnsi="Calibri" w:cs="Calibri"/>
                <w:sz w:val="20"/>
                <w:szCs w:val="20"/>
              </w:rPr>
            </w:pPr>
            <w:r w:rsidRPr="00A85D08">
              <w:rPr>
                <w:rFonts w:ascii="Calibri" w:hAnsi="Calibri" w:cs="Calibri"/>
                <w:sz w:val="20"/>
                <w:szCs w:val="20"/>
              </w:rPr>
              <w:t>PN-EN 1427</w:t>
            </w:r>
          </w:p>
        </w:tc>
        <w:tc>
          <w:tcPr>
            <w:tcW w:w="1134" w:type="dxa"/>
          </w:tcPr>
          <w:p w14:paraId="3577FABD" w14:textId="77777777" w:rsidR="00A85D08" w:rsidRPr="00A85D08" w:rsidRDefault="00A85D08" w:rsidP="00A85D08">
            <w:pPr>
              <w:pStyle w:val="Tekstpodstawowy"/>
              <w:spacing w:line="240" w:lineRule="auto"/>
              <w:rPr>
                <w:rFonts w:ascii="Calibri" w:hAnsi="Calibri" w:cs="Calibri"/>
                <w:sz w:val="20"/>
                <w:szCs w:val="20"/>
              </w:rPr>
            </w:pPr>
            <w:r w:rsidRPr="00A85D08">
              <w:rPr>
                <w:rFonts w:ascii="Calibri" w:hAnsi="Calibri" w:cs="Calibri"/>
                <w:sz w:val="20"/>
                <w:szCs w:val="20"/>
                <w:vertAlign w:val="superscript"/>
              </w:rPr>
              <w:t>0</w:t>
            </w:r>
            <w:r w:rsidRPr="00A85D08">
              <w:rPr>
                <w:rFonts w:ascii="Calibri" w:hAnsi="Calibri" w:cs="Calibri"/>
                <w:sz w:val="20"/>
                <w:szCs w:val="20"/>
              </w:rPr>
              <w:t>C</w:t>
            </w:r>
          </w:p>
        </w:tc>
        <w:tc>
          <w:tcPr>
            <w:tcW w:w="993" w:type="dxa"/>
          </w:tcPr>
          <w:p w14:paraId="56DAED57" w14:textId="77777777" w:rsidR="00A85D08" w:rsidRPr="00A85D08" w:rsidRDefault="00A85D08" w:rsidP="00A85D08">
            <w:pPr>
              <w:pStyle w:val="Tekstpodstawowy"/>
              <w:spacing w:line="240" w:lineRule="auto"/>
              <w:rPr>
                <w:rFonts w:ascii="Calibri" w:hAnsi="Calibri" w:cs="Calibri"/>
                <w:sz w:val="20"/>
                <w:szCs w:val="20"/>
              </w:rPr>
            </w:pPr>
            <w:r w:rsidRPr="00A85D08">
              <w:rPr>
                <w:rFonts w:ascii="Calibri" w:hAnsi="Calibri" w:cs="Calibri"/>
                <w:sz w:val="20"/>
                <w:szCs w:val="20"/>
              </w:rPr>
              <w:t>≤5</w:t>
            </w:r>
          </w:p>
        </w:tc>
        <w:tc>
          <w:tcPr>
            <w:tcW w:w="850" w:type="dxa"/>
          </w:tcPr>
          <w:p w14:paraId="27D003CA" w14:textId="77777777" w:rsidR="00A85D08" w:rsidRPr="00A85D08" w:rsidRDefault="00A85D08" w:rsidP="00A85D08">
            <w:pPr>
              <w:pStyle w:val="Tekstpodstawowy"/>
              <w:spacing w:line="240" w:lineRule="auto"/>
              <w:rPr>
                <w:rFonts w:ascii="Calibri" w:hAnsi="Calibri" w:cs="Calibri"/>
                <w:sz w:val="20"/>
                <w:szCs w:val="20"/>
              </w:rPr>
            </w:pPr>
            <w:r w:rsidRPr="00A85D08">
              <w:rPr>
                <w:rFonts w:ascii="Calibri" w:hAnsi="Calibri" w:cs="Calibri"/>
                <w:sz w:val="20"/>
                <w:szCs w:val="20"/>
              </w:rPr>
              <w:t>2</w:t>
            </w:r>
          </w:p>
        </w:tc>
      </w:tr>
      <w:tr w:rsidR="00A85D08" w:rsidRPr="00A85D08" w14:paraId="470E8B46" w14:textId="77777777" w:rsidTr="00A85D08">
        <w:tc>
          <w:tcPr>
            <w:tcW w:w="522" w:type="dxa"/>
          </w:tcPr>
          <w:p w14:paraId="6F8475AA" w14:textId="77777777" w:rsidR="00A85D08" w:rsidRPr="00A85D08" w:rsidRDefault="00A85D08" w:rsidP="00A85D08">
            <w:pPr>
              <w:pStyle w:val="Tekstpodstawowy"/>
              <w:spacing w:line="240" w:lineRule="auto"/>
              <w:ind w:right="-118"/>
              <w:rPr>
                <w:rFonts w:ascii="Calibri" w:hAnsi="Calibri" w:cs="Calibri"/>
                <w:sz w:val="20"/>
                <w:szCs w:val="20"/>
              </w:rPr>
            </w:pPr>
            <w:r w:rsidRPr="00A85D08">
              <w:rPr>
                <w:rFonts w:ascii="Calibri" w:hAnsi="Calibri" w:cs="Calibri"/>
                <w:sz w:val="20"/>
                <w:szCs w:val="20"/>
              </w:rPr>
              <w:t>14</w:t>
            </w:r>
          </w:p>
        </w:tc>
        <w:tc>
          <w:tcPr>
            <w:tcW w:w="2448" w:type="dxa"/>
            <w:vMerge/>
          </w:tcPr>
          <w:p w14:paraId="47A2EDC6" w14:textId="77777777" w:rsidR="00A85D08" w:rsidRPr="00A85D08" w:rsidRDefault="00A85D08" w:rsidP="00A85D08">
            <w:pPr>
              <w:pStyle w:val="Tekstpodstawowy"/>
              <w:spacing w:line="240" w:lineRule="auto"/>
              <w:rPr>
                <w:rFonts w:ascii="Calibri" w:hAnsi="Calibri" w:cs="Calibri"/>
                <w:sz w:val="20"/>
                <w:szCs w:val="20"/>
              </w:rPr>
            </w:pPr>
          </w:p>
        </w:tc>
        <w:tc>
          <w:tcPr>
            <w:tcW w:w="1701" w:type="dxa"/>
          </w:tcPr>
          <w:p w14:paraId="508897E0" w14:textId="77777777" w:rsidR="00A85D08" w:rsidRPr="00A85D08" w:rsidRDefault="00A85D08" w:rsidP="00A85D08">
            <w:pPr>
              <w:pStyle w:val="Tekstpodstawowy"/>
              <w:spacing w:line="240" w:lineRule="auto"/>
              <w:rPr>
                <w:rFonts w:ascii="Calibri" w:hAnsi="Calibri" w:cs="Calibri"/>
                <w:sz w:val="20"/>
                <w:szCs w:val="20"/>
              </w:rPr>
            </w:pPr>
            <w:r w:rsidRPr="00A85D08">
              <w:rPr>
                <w:rFonts w:ascii="Calibri" w:hAnsi="Calibri" w:cs="Calibri"/>
                <w:sz w:val="20"/>
                <w:szCs w:val="20"/>
              </w:rPr>
              <w:t>Stabilność magazynowania. Różnica penetracji</w:t>
            </w:r>
          </w:p>
        </w:tc>
        <w:tc>
          <w:tcPr>
            <w:tcW w:w="1559" w:type="dxa"/>
          </w:tcPr>
          <w:p w14:paraId="23374923" w14:textId="77777777" w:rsidR="00A85D08" w:rsidRPr="00A85D08" w:rsidRDefault="00A85D08" w:rsidP="00A85D08">
            <w:pPr>
              <w:pStyle w:val="Tekstpodstawowy"/>
              <w:spacing w:line="240" w:lineRule="auto"/>
              <w:rPr>
                <w:rFonts w:ascii="Calibri" w:hAnsi="Calibri" w:cs="Calibri"/>
                <w:sz w:val="20"/>
                <w:szCs w:val="20"/>
              </w:rPr>
            </w:pPr>
            <w:r w:rsidRPr="00A85D08">
              <w:rPr>
                <w:rFonts w:ascii="Calibri" w:hAnsi="Calibri" w:cs="Calibri"/>
                <w:sz w:val="20"/>
                <w:szCs w:val="20"/>
              </w:rPr>
              <w:t>PN-EN 13399</w:t>
            </w:r>
          </w:p>
          <w:p w14:paraId="1AFD989C" w14:textId="77777777" w:rsidR="00A85D08" w:rsidRPr="00A85D08" w:rsidRDefault="00A85D08" w:rsidP="00A85D08">
            <w:pPr>
              <w:pStyle w:val="Tekstpodstawowy"/>
              <w:spacing w:line="240" w:lineRule="auto"/>
              <w:rPr>
                <w:rFonts w:ascii="Calibri" w:hAnsi="Calibri" w:cs="Calibri"/>
                <w:sz w:val="20"/>
                <w:szCs w:val="20"/>
              </w:rPr>
            </w:pPr>
            <w:r w:rsidRPr="00A85D08">
              <w:rPr>
                <w:rFonts w:ascii="Calibri" w:hAnsi="Calibri" w:cs="Calibri"/>
                <w:sz w:val="20"/>
                <w:szCs w:val="20"/>
              </w:rPr>
              <w:t>PN-EN 1426</w:t>
            </w:r>
          </w:p>
        </w:tc>
        <w:tc>
          <w:tcPr>
            <w:tcW w:w="1134" w:type="dxa"/>
          </w:tcPr>
          <w:p w14:paraId="0DD46ACC" w14:textId="77777777" w:rsidR="00A85D08" w:rsidRPr="00A85D08" w:rsidRDefault="00A85D08" w:rsidP="00A85D08">
            <w:pPr>
              <w:pStyle w:val="Tekstpodstawowy"/>
              <w:spacing w:line="240" w:lineRule="auto"/>
              <w:rPr>
                <w:rFonts w:ascii="Calibri" w:hAnsi="Calibri" w:cs="Calibri"/>
                <w:sz w:val="20"/>
                <w:szCs w:val="20"/>
              </w:rPr>
            </w:pPr>
            <w:r w:rsidRPr="00A85D08">
              <w:rPr>
                <w:rFonts w:ascii="Calibri" w:hAnsi="Calibri" w:cs="Calibri"/>
                <w:sz w:val="20"/>
                <w:szCs w:val="20"/>
              </w:rPr>
              <w:t>0,1 mm</w:t>
            </w:r>
          </w:p>
        </w:tc>
        <w:tc>
          <w:tcPr>
            <w:tcW w:w="993" w:type="dxa"/>
          </w:tcPr>
          <w:p w14:paraId="2911CA95" w14:textId="77777777" w:rsidR="00A85D08" w:rsidRPr="00A85D08" w:rsidRDefault="00A85D08" w:rsidP="00A85D08">
            <w:pPr>
              <w:pStyle w:val="Tekstpodstawowy"/>
              <w:spacing w:line="240" w:lineRule="auto"/>
              <w:rPr>
                <w:rFonts w:ascii="Calibri" w:hAnsi="Calibri" w:cs="Calibri"/>
                <w:sz w:val="20"/>
                <w:szCs w:val="20"/>
              </w:rPr>
            </w:pPr>
            <w:r w:rsidRPr="00A85D08">
              <w:rPr>
                <w:rFonts w:ascii="Calibri" w:hAnsi="Calibri" w:cs="Calibri"/>
                <w:sz w:val="20"/>
                <w:szCs w:val="20"/>
              </w:rPr>
              <w:t>NPD</w:t>
            </w:r>
          </w:p>
        </w:tc>
        <w:tc>
          <w:tcPr>
            <w:tcW w:w="850" w:type="dxa"/>
          </w:tcPr>
          <w:p w14:paraId="2A9591FE" w14:textId="77777777" w:rsidR="00A85D08" w:rsidRPr="00A85D08" w:rsidRDefault="00A85D08" w:rsidP="00A85D08">
            <w:pPr>
              <w:pStyle w:val="Tekstpodstawowy"/>
              <w:spacing w:line="240" w:lineRule="auto"/>
              <w:rPr>
                <w:rFonts w:ascii="Calibri" w:hAnsi="Calibri" w:cs="Calibri"/>
                <w:sz w:val="20"/>
                <w:szCs w:val="20"/>
              </w:rPr>
            </w:pPr>
            <w:r w:rsidRPr="00A85D08">
              <w:rPr>
                <w:rFonts w:ascii="Calibri" w:hAnsi="Calibri" w:cs="Calibri"/>
                <w:sz w:val="20"/>
                <w:szCs w:val="20"/>
              </w:rPr>
              <w:t>0</w:t>
            </w:r>
          </w:p>
        </w:tc>
      </w:tr>
      <w:tr w:rsidR="00A85D08" w:rsidRPr="00A85D08" w14:paraId="37EEFA3E" w14:textId="77777777" w:rsidTr="00A85D08">
        <w:tc>
          <w:tcPr>
            <w:tcW w:w="522" w:type="dxa"/>
          </w:tcPr>
          <w:p w14:paraId="1401D9A5" w14:textId="77777777" w:rsidR="00A85D08" w:rsidRPr="00A85D08" w:rsidRDefault="00A85D08" w:rsidP="00A85D08">
            <w:pPr>
              <w:pStyle w:val="Tekstpodstawowy"/>
              <w:spacing w:line="240" w:lineRule="auto"/>
              <w:ind w:right="-118"/>
              <w:rPr>
                <w:rFonts w:ascii="Calibri" w:hAnsi="Calibri" w:cs="Calibri"/>
                <w:sz w:val="20"/>
                <w:szCs w:val="20"/>
              </w:rPr>
            </w:pPr>
            <w:r w:rsidRPr="00A85D08">
              <w:rPr>
                <w:rFonts w:ascii="Calibri" w:hAnsi="Calibri" w:cs="Calibri"/>
                <w:sz w:val="20"/>
                <w:szCs w:val="20"/>
              </w:rPr>
              <w:t>15</w:t>
            </w:r>
          </w:p>
        </w:tc>
        <w:tc>
          <w:tcPr>
            <w:tcW w:w="2448" w:type="dxa"/>
            <w:vMerge/>
          </w:tcPr>
          <w:p w14:paraId="260740EC" w14:textId="77777777" w:rsidR="00A85D08" w:rsidRPr="00A85D08" w:rsidRDefault="00A85D08" w:rsidP="00A85D08">
            <w:pPr>
              <w:pStyle w:val="Tekstpodstawowy"/>
              <w:spacing w:line="240" w:lineRule="auto"/>
              <w:rPr>
                <w:rFonts w:ascii="Calibri" w:hAnsi="Calibri" w:cs="Calibri"/>
                <w:sz w:val="20"/>
                <w:szCs w:val="20"/>
              </w:rPr>
            </w:pPr>
          </w:p>
        </w:tc>
        <w:tc>
          <w:tcPr>
            <w:tcW w:w="1701" w:type="dxa"/>
          </w:tcPr>
          <w:p w14:paraId="7F525720" w14:textId="77777777" w:rsidR="00A85D08" w:rsidRPr="00A85D08" w:rsidRDefault="00A85D08" w:rsidP="00A85D08">
            <w:pPr>
              <w:pStyle w:val="Tekstpodstawowy"/>
              <w:spacing w:line="240" w:lineRule="auto"/>
              <w:rPr>
                <w:rFonts w:ascii="Calibri" w:hAnsi="Calibri" w:cs="Calibri"/>
                <w:sz w:val="20"/>
                <w:szCs w:val="20"/>
              </w:rPr>
            </w:pPr>
            <w:r w:rsidRPr="00A85D08">
              <w:rPr>
                <w:rFonts w:ascii="Calibri" w:hAnsi="Calibri" w:cs="Calibri"/>
                <w:sz w:val="20"/>
                <w:szCs w:val="20"/>
              </w:rPr>
              <w:t>Spadek temperatury mięknienia po starzeniu wg PN-EN 12607-1</w:t>
            </w:r>
          </w:p>
        </w:tc>
        <w:tc>
          <w:tcPr>
            <w:tcW w:w="1559" w:type="dxa"/>
          </w:tcPr>
          <w:p w14:paraId="14E56C13" w14:textId="77777777" w:rsidR="00A85D08" w:rsidRPr="00A85D08" w:rsidRDefault="00A85D08" w:rsidP="00A85D08">
            <w:pPr>
              <w:pStyle w:val="Tekstpodstawowy"/>
              <w:spacing w:line="240" w:lineRule="auto"/>
              <w:rPr>
                <w:rFonts w:ascii="Calibri" w:hAnsi="Calibri" w:cs="Calibri"/>
                <w:sz w:val="20"/>
                <w:szCs w:val="20"/>
              </w:rPr>
            </w:pPr>
            <w:r w:rsidRPr="00A85D08">
              <w:rPr>
                <w:rFonts w:ascii="Calibri" w:hAnsi="Calibri" w:cs="Calibri"/>
                <w:sz w:val="20"/>
                <w:szCs w:val="20"/>
              </w:rPr>
              <w:t>PN-EN 12607-1</w:t>
            </w:r>
          </w:p>
          <w:p w14:paraId="406FDBB6" w14:textId="77777777" w:rsidR="00A85D08" w:rsidRPr="00A85D08" w:rsidRDefault="00A85D08" w:rsidP="00A85D08">
            <w:pPr>
              <w:pStyle w:val="Tekstpodstawowy"/>
              <w:spacing w:line="240" w:lineRule="auto"/>
              <w:rPr>
                <w:rFonts w:ascii="Calibri" w:hAnsi="Calibri" w:cs="Calibri"/>
                <w:sz w:val="20"/>
                <w:szCs w:val="20"/>
              </w:rPr>
            </w:pPr>
            <w:r w:rsidRPr="00A85D08">
              <w:rPr>
                <w:rFonts w:ascii="Calibri" w:hAnsi="Calibri" w:cs="Calibri"/>
                <w:sz w:val="20"/>
                <w:szCs w:val="20"/>
              </w:rPr>
              <w:t>PN-EN 1427</w:t>
            </w:r>
          </w:p>
        </w:tc>
        <w:tc>
          <w:tcPr>
            <w:tcW w:w="1134" w:type="dxa"/>
          </w:tcPr>
          <w:p w14:paraId="1E4CA18C" w14:textId="77777777" w:rsidR="00A85D08" w:rsidRPr="00A85D08" w:rsidRDefault="00A85D08" w:rsidP="00A85D08">
            <w:pPr>
              <w:pStyle w:val="Tekstpodstawowy"/>
              <w:spacing w:line="240" w:lineRule="auto"/>
              <w:rPr>
                <w:rFonts w:ascii="Calibri" w:hAnsi="Calibri" w:cs="Calibri"/>
                <w:sz w:val="20"/>
                <w:szCs w:val="20"/>
              </w:rPr>
            </w:pPr>
            <w:r w:rsidRPr="00A85D08">
              <w:rPr>
                <w:rFonts w:ascii="Calibri" w:hAnsi="Calibri" w:cs="Calibri"/>
                <w:sz w:val="20"/>
                <w:szCs w:val="20"/>
                <w:vertAlign w:val="superscript"/>
              </w:rPr>
              <w:t>0</w:t>
            </w:r>
            <w:r w:rsidRPr="00A85D08">
              <w:rPr>
                <w:rFonts w:ascii="Calibri" w:hAnsi="Calibri" w:cs="Calibri"/>
                <w:sz w:val="20"/>
                <w:szCs w:val="20"/>
              </w:rPr>
              <w:t>C</w:t>
            </w:r>
          </w:p>
        </w:tc>
        <w:tc>
          <w:tcPr>
            <w:tcW w:w="993" w:type="dxa"/>
          </w:tcPr>
          <w:p w14:paraId="7CDE35D2" w14:textId="77777777" w:rsidR="00A85D08" w:rsidRPr="00A85D08" w:rsidRDefault="00A85D08" w:rsidP="00A85D08">
            <w:pPr>
              <w:pStyle w:val="Tekstpodstawowy"/>
              <w:spacing w:line="240" w:lineRule="auto"/>
              <w:rPr>
                <w:rFonts w:ascii="Calibri" w:hAnsi="Calibri" w:cs="Calibri"/>
                <w:sz w:val="20"/>
                <w:szCs w:val="20"/>
              </w:rPr>
            </w:pPr>
            <w:r w:rsidRPr="00A85D08">
              <w:rPr>
                <w:rFonts w:ascii="Calibri" w:hAnsi="Calibri" w:cs="Calibri"/>
                <w:sz w:val="20"/>
                <w:szCs w:val="20"/>
              </w:rPr>
              <w:t>TBR</w:t>
            </w:r>
          </w:p>
        </w:tc>
        <w:tc>
          <w:tcPr>
            <w:tcW w:w="850" w:type="dxa"/>
          </w:tcPr>
          <w:p w14:paraId="73C3C1CE" w14:textId="77777777" w:rsidR="00A85D08" w:rsidRPr="00A85D08" w:rsidRDefault="00A85D08" w:rsidP="00A85D08">
            <w:pPr>
              <w:pStyle w:val="Tekstpodstawowy"/>
              <w:spacing w:line="240" w:lineRule="auto"/>
              <w:rPr>
                <w:rFonts w:ascii="Calibri" w:hAnsi="Calibri" w:cs="Calibri"/>
                <w:sz w:val="20"/>
                <w:szCs w:val="20"/>
              </w:rPr>
            </w:pPr>
            <w:r w:rsidRPr="00A85D08">
              <w:rPr>
                <w:rFonts w:ascii="Calibri" w:hAnsi="Calibri" w:cs="Calibri"/>
                <w:sz w:val="20"/>
                <w:szCs w:val="20"/>
              </w:rPr>
              <w:t>1</w:t>
            </w:r>
          </w:p>
        </w:tc>
      </w:tr>
      <w:tr w:rsidR="00A85D08" w:rsidRPr="00A85D08" w14:paraId="3527EFD1" w14:textId="77777777" w:rsidTr="00A85D08">
        <w:tc>
          <w:tcPr>
            <w:tcW w:w="522" w:type="dxa"/>
          </w:tcPr>
          <w:p w14:paraId="6602E07B" w14:textId="77777777" w:rsidR="00A85D08" w:rsidRPr="00A85D08" w:rsidRDefault="00A85D08" w:rsidP="00A85D08">
            <w:pPr>
              <w:pStyle w:val="Tekstpodstawowy"/>
              <w:spacing w:line="240" w:lineRule="auto"/>
              <w:ind w:right="-118"/>
              <w:rPr>
                <w:rFonts w:ascii="Calibri" w:hAnsi="Calibri" w:cs="Calibri"/>
                <w:sz w:val="20"/>
                <w:szCs w:val="20"/>
              </w:rPr>
            </w:pPr>
            <w:r w:rsidRPr="00A85D08">
              <w:rPr>
                <w:rFonts w:ascii="Calibri" w:hAnsi="Calibri" w:cs="Calibri"/>
                <w:sz w:val="20"/>
                <w:szCs w:val="20"/>
              </w:rPr>
              <w:t>16</w:t>
            </w:r>
          </w:p>
        </w:tc>
        <w:tc>
          <w:tcPr>
            <w:tcW w:w="2448" w:type="dxa"/>
            <w:vMerge/>
          </w:tcPr>
          <w:p w14:paraId="176AC539" w14:textId="77777777" w:rsidR="00A85D08" w:rsidRPr="00A85D08" w:rsidRDefault="00A85D08" w:rsidP="00A85D08">
            <w:pPr>
              <w:pStyle w:val="Tekstpodstawowy"/>
              <w:spacing w:line="240" w:lineRule="auto"/>
              <w:rPr>
                <w:rFonts w:ascii="Calibri" w:hAnsi="Calibri" w:cs="Calibri"/>
                <w:sz w:val="20"/>
                <w:szCs w:val="20"/>
              </w:rPr>
            </w:pPr>
          </w:p>
        </w:tc>
        <w:tc>
          <w:tcPr>
            <w:tcW w:w="1701" w:type="dxa"/>
          </w:tcPr>
          <w:p w14:paraId="761CDCD1" w14:textId="77777777" w:rsidR="00A85D08" w:rsidRPr="00A85D08" w:rsidRDefault="00A85D08" w:rsidP="00A85D08">
            <w:pPr>
              <w:pStyle w:val="Tekstpodstawowy"/>
              <w:spacing w:line="240" w:lineRule="auto"/>
              <w:rPr>
                <w:rFonts w:ascii="Calibri" w:hAnsi="Calibri" w:cs="Calibri"/>
                <w:sz w:val="20"/>
                <w:szCs w:val="20"/>
              </w:rPr>
            </w:pPr>
            <w:r w:rsidRPr="00A85D08">
              <w:rPr>
                <w:rFonts w:ascii="Calibri" w:hAnsi="Calibri" w:cs="Calibri"/>
                <w:sz w:val="20"/>
                <w:szCs w:val="20"/>
              </w:rPr>
              <w:t>Nawrót sprężysty w 25</w:t>
            </w:r>
            <w:r w:rsidRPr="00A85D08">
              <w:rPr>
                <w:rFonts w:ascii="Calibri" w:hAnsi="Calibri" w:cs="Calibri"/>
                <w:sz w:val="20"/>
                <w:szCs w:val="20"/>
                <w:vertAlign w:val="superscript"/>
              </w:rPr>
              <w:t>0</w:t>
            </w:r>
            <w:r w:rsidRPr="00A85D08">
              <w:rPr>
                <w:rFonts w:ascii="Calibri" w:hAnsi="Calibri" w:cs="Calibri"/>
                <w:sz w:val="20"/>
                <w:szCs w:val="20"/>
              </w:rPr>
              <w:t>C po starzeniu wg PN-EN 12607-1</w:t>
            </w:r>
          </w:p>
        </w:tc>
        <w:tc>
          <w:tcPr>
            <w:tcW w:w="1559" w:type="dxa"/>
          </w:tcPr>
          <w:p w14:paraId="4C503835" w14:textId="77777777" w:rsidR="00A85D08" w:rsidRPr="00A85D08" w:rsidRDefault="00A85D08" w:rsidP="00A85D08">
            <w:pPr>
              <w:pStyle w:val="Tekstpodstawowy"/>
              <w:spacing w:line="240" w:lineRule="auto"/>
              <w:rPr>
                <w:rFonts w:ascii="Calibri" w:hAnsi="Calibri" w:cs="Calibri"/>
                <w:sz w:val="20"/>
                <w:szCs w:val="20"/>
              </w:rPr>
            </w:pPr>
            <w:r w:rsidRPr="00A85D08">
              <w:rPr>
                <w:rFonts w:ascii="Calibri" w:hAnsi="Calibri" w:cs="Calibri"/>
                <w:sz w:val="20"/>
                <w:szCs w:val="20"/>
              </w:rPr>
              <w:t>PN-EN 12607-1</w:t>
            </w:r>
          </w:p>
          <w:p w14:paraId="3C8933E1" w14:textId="77777777" w:rsidR="00A85D08" w:rsidRPr="00A85D08" w:rsidRDefault="00A85D08" w:rsidP="00A85D08">
            <w:pPr>
              <w:pStyle w:val="Tekstpodstawowy"/>
              <w:spacing w:line="240" w:lineRule="auto"/>
              <w:rPr>
                <w:rFonts w:ascii="Calibri" w:hAnsi="Calibri" w:cs="Calibri"/>
                <w:sz w:val="20"/>
                <w:szCs w:val="20"/>
              </w:rPr>
            </w:pPr>
            <w:r w:rsidRPr="00A85D08">
              <w:rPr>
                <w:rFonts w:ascii="Calibri" w:hAnsi="Calibri" w:cs="Calibri"/>
                <w:sz w:val="20"/>
                <w:szCs w:val="20"/>
              </w:rPr>
              <w:t xml:space="preserve">PN-EN 13398 </w:t>
            </w:r>
          </w:p>
        </w:tc>
        <w:tc>
          <w:tcPr>
            <w:tcW w:w="1134" w:type="dxa"/>
          </w:tcPr>
          <w:p w14:paraId="7698046B" w14:textId="77777777" w:rsidR="00A85D08" w:rsidRPr="00A85D08" w:rsidRDefault="00A85D08" w:rsidP="00A85D08">
            <w:pPr>
              <w:pStyle w:val="Tekstpodstawowy"/>
              <w:spacing w:line="240" w:lineRule="auto"/>
              <w:rPr>
                <w:rFonts w:ascii="Calibri" w:hAnsi="Calibri" w:cs="Calibri"/>
                <w:sz w:val="20"/>
                <w:szCs w:val="20"/>
              </w:rPr>
            </w:pPr>
            <w:r w:rsidRPr="00A85D08">
              <w:rPr>
                <w:rFonts w:ascii="Calibri" w:hAnsi="Calibri" w:cs="Calibri"/>
                <w:sz w:val="20"/>
                <w:szCs w:val="20"/>
              </w:rPr>
              <w:t>%</w:t>
            </w:r>
          </w:p>
        </w:tc>
        <w:tc>
          <w:tcPr>
            <w:tcW w:w="993" w:type="dxa"/>
          </w:tcPr>
          <w:p w14:paraId="40EE7A3A" w14:textId="77777777" w:rsidR="00A85D08" w:rsidRPr="00A85D08" w:rsidRDefault="00A85D08" w:rsidP="00A85D08">
            <w:pPr>
              <w:pStyle w:val="Tekstpodstawowy"/>
              <w:spacing w:line="240" w:lineRule="auto"/>
              <w:rPr>
                <w:rFonts w:ascii="Calibri" w:hAnsi="Calibri" w:cs="Calibri"/>
                <w:sz w:val="20"/>
                <w:szCs w:val="20"/>
              </w:rPr>
            </w:pPr>
            <w:r w:rsidRPr="00A85D08">
              <w:rPr>
                <w:rFonts w:ascii="Calibri" w:hAnsi="Calibri" w:cs="Calibri"/>
                <w:sz w:val="20"/>
                <w:szCs w:val="20"/>
              </w:rPr>
              <w:t>≥50</w:t>
            </w:r>
          </w:p>
        </w:tc>
        <w:tc>
          <w:tcPr>
            <w:tcW w:w="850" w:type="dxa"/>
          </w:tcPr>
          <w:p w14:paraId="17D3D891" w14:textId="77777777" w:rsidR="00A85D08" w:rsidRPr="00A85D08" w:rsidRDefault="00A85D08" w:rsidP="00A85D08">
            <w:pPr>
              <w:pStyle w:val="Tekstpodstawowy"/>
              <w:spacing w:line="240" w:lineRule="auto"/>
              <w:rPr>
                <w:rFonts w:ascii="Calibri" w:hAnsi="Calibri" w:cs="Calibri"/>
                <w:sz w:val="20"/>
                <w:szCs w:val="20"/>
              </w:rPr>
            </w:pPr>
            <w:r w:rsidRPr="00A85D08">
              <w:rPr>
                <w:rFonts w:ascii="Calibri" w:hAnsi="Calibri" w:cs="Calibri"/>
                <w:sz w:val="20"/>
                <w:szCs w:val="20"/>
              </w:rPr>
              <w:t>4</w:t>
            </w:r>
          </w:p>
        </w:tc>
      </w:tr>
    </w:tbl>
    <w:p w14:paraId="58280728" w14:textId="77777777" w:rsidR="00A85D08" w:rsidRPr="00A85D08" w:rsidRDefault="00A85D08" w:rsidP="00A85D08">
      <w:pPr>
        <w:pStyle w:val="Tekstpodstawowy"/>
        <w:spacing w:line="240" w:lineRule="auto"/>
        <w:rPr>
          <w:rFonts w:ascii="Calibri" w:hAnsi="Calibri" w:cs="Calibri"/>
          <w:i/>
          <w:iCs/>
          <w:sz w:val="20"/>
          <w:szCs w:val="20"/>
        </w:rPr>
      </w:pPr>
      <w:r w:rsidRPr="00A85D08">
        <w:rPr>
          <w:rFonts w:ascii="Calibri" w:hAnsi="Calibri" w:cs="Calibri"/>
          <w:i/>
          <w:iCs/>
          <w:sz w:val="20"/>
          <w:szCs w:val="20"/>
        </w:rPr>
        <w:t>NPD – właściwość użytkowa nie określana</w:t>
      </w:r>
    </w:p>
    <w:p w14:paraId="12A76865" w14:textId="77777777" w:rsidR="00A85D08" w:rsidRPr="00A85D08" w:rsidRDefault="00A85D08" w:rsidP="00A85D08">
      <w:pPr>
        <w:pStyle w:val="Tekstpodstawowy"/>
        <w:spacing w:line="240" w:lineRule="auto"/>
        <w:rPr>
          <w:rFonts w:ascii="Calibri" w:hAnsi="Calibri" w:cs="Calibri"/>
          <w:i/>
          <w:iCs/>
          <w:sz w:val="20"/>
          <w:szCs w:val="20"/>
        </w:rPr>
      </w:pPr>
      <w:r w:rsidRPr="00A85D08">
        <w:rPr>
          <w:rFonts w:ascii="Calibri" w:hAnsi="Calibri" w:cs="Calibri"/>
          <w:i/>
          <w:iCs/>
          <w:sz w:val="20"/>
          <w:szCs w:val="20"/>
        </w:rPr>
        <w:t>TBR – właściwość do zadeklarowania</w:t>
      </w:r>
    </w:p>
    <w:p w14:paraId="3B5C9C85" w14:textId="77777777" w:rsidR="00A85D08" w:rsidRPr="00A85D08" w:rsidRDefault="00A85D08" w:rsidP="00A85D08">
      <w:pPr>
        <w:pStyle w:val="Tekstpodstawowy"/>
        <w:spacing w:line="240" w:lineRule="auto"/>
        <w:rPr>
          <w:rFonts w:ascii="Calibri" w:hAnsi="Calibri" w:cs="Calibri"/>
          <w:sz w:val="20"/>
          <w:szCs w:val="20"/>
        </w:rPr>
      </w:pPr>
      <w:r w:rsidRPr="00A85D08">
        <w:rPr>
          <w:rFonts w:ascii="Calibri" w:hAnsi="Calibri" w:cs="Calibri"/>
          <w:sz w:val="20"/>
          <w:szCs w:val="20"/>
        </w:rPr>
        <w:t>Asfalt modyfikowany polimerami musi spełniać wymagania PN-EN 14023.</w:t>
      </w:r>
    </w:p>
    <w:p w14:paraId="6AED6C23" w14:textId="77777777" w:rsidR="00A85D08" w:rsidRPr="00A85D08" w:rsidRDefault="00A85D08" w:rsidP="00A85D08">
      <w:pPr>
        <w:pStyle w:val="Tekstpodstawowy"/>
        <w:spacing w:line="240" w:lineRule="auto"/>
        <w:rPr>
          <w:rFonts w:ascii="Calibri" w:hAnsi="Calibri" w:cs="Calibri"/>
          <w:sz w:val="20"/>
          <w:szCs w:val="20"/>
        </w:rPr>
      </w:pPr>
    </w:p>
    <w:p w14:paraId="315A620B" w14:textId="77777777" w:rsidR="00A85D08" w:rsidRPr="00A85D08" w:rsidRDefault="00A85D08" w:rsidP="00A85D08">
      <w:pPr>
        <w:pStyle w:val="Nagwek4"/>
        <w:spacing w:before="0" w:after="0"/>
        <w:rPr>
          <w:rFonts w:ascii="Calibri" w:hAnsi="Calibri" w:cs="Calibri"/>
        </w:rPr>
      </w:pPr>
      <w:r w:rsidRPr="00A85D08">
        <w:rPr>
          <w:rFonts w:ascii="Calibri" w:hAnsi="Calibri" w:cs="Calibri"/>
        </w:rPr>
        <w:t>2.4.Wymagania wobec kruszywa do SMA</w:t>
      </w:r>
    </w:p>
    <w:p w14:paraId="7370060D" w14:textId="77777777" w:rsidR="00A85D08" w:rsidRPr="00A85D08" w:rsidRDefault="00A85D08" w:rsidP="00A85D08">
      <w:pPr>
        <w:rPr>
          <w:rFonts w:ascii="Calibri" w:hAnsi="Calibri" w:cs="Calibri"/>
        </w:rPr>
      </w:pPr>
    </w:p>
    <w:p w14:paraId="2BA51A8F" w14:textId="77777777" w:rsidR="00A85D08" w:rsidRPr="00A85D08" w:rsidRDefault="00A85D08" w:rsidP="00A85D08">
      <w:pPr>
        <w:pStyle w:val="Tekstpodstawowy"/>
        <w:spacing w:line="240" w:lineRule="auto"/>
        <w:jc w:val="both"/>
        <w:rPr>
          <w:rFonts w:ascii="Calibri" w:hAnsi="Calibri" w:cs="Calibri"/>
          <w:color w:val="FF0000"/>
          <w:sz w:val="20"/>
          <w:szCs w:val="20"/>
        </w:rPr>
      </w:pPr>
      <w:r w:rsidRPr="00A85D08">
        <w:rPr>
          <w:rFonts w:ascii="Calibri" w:hAnsi="Calibri" w:cs="Calibri"/>
          <w:sz w:val="20"/>
          <w:szCs w:val="20"/>
        </w:rPr>
        <w:t>Do warstwy ścieralnej z mieszanki SMA  należy stosować kruszywo według PN-EN 13043 i WT-1 Kruszywa 2014, obejmujące kruszywo grube , kruszywo drobne  i wypełniacz. Kruszywa powinny spełniać wymagania podane w WT-1 Kruszywa 2014 – rozdział 5 – punkt 5.4, tabela 16 , tabela 17 , tabela 18</w:t>
      </w:r>
      <w:r w:rsidRPr="00A85D08">
        <w:rPr>
          <w:rFonts w:ascii="Calibri" w:hAnsi="Calibri" w:cs="Calibri"/>
          <w:color w:val="FF0000"/>
          <w:sz w:val="20"/>
          <w:szCs w:val="20"/>
        </w:rPr>
        <w:t>.</w:t>
      </w:r>
    </w:p>
    <w:p w14:paraId="77F8A0E9" w14:textId="77777777" w:rsidR="00A85D08" w:rsidRPr="00A85D08" w:rsidRDefault="00A85D08" w:rsidP="00A85D08">
      <w:pPr>
        <w:pStyle w:val="Nagwek4"/>
        <w:spacing w:before="0" w:after="0"/>
        <w:rPr>
          <w:rFonts w:ascii="Calibri" w:hAnsi="Calibri" w:cs="Calibri"/>
        </w:rPr>
      </w:pPr>
      <w:r w:rsidRPr="00A85D08">
        <w:rPr>
          <w:rFonts w:ascii="Calibri" w:hAnsi="Calibri" w:cs="Calibri"/>
        </w:rPr>
        <w:t>2.5 Wymagania wobec innych</w:t>
      </w:r>
      <w:r w:rsidRPr="00A85D08">
        <w:rPr>
          <w:rFonts w:ascii="Calibri" w:hAnsi="Calibri" w:cs="Calibri"/>
          <w:spacing w:val="1"/>
        </w:rPr>
        <w:t xml:space="preserve"> </w:t>
      </w:r>
      <w:r w:rsidRPr="00A85D08">
        <w:rPr>
          <w:rFonts w:ascii="Calibri" w:hAnsi="Calibri" w:cs="Calibri"/>
        </w:rPr>
        <w:t>materiałów</w:t>
      </w:r>
    </w:p>
    <w:p w14:paraId="1841F6FE" w14:textId="77777777" w:rsidR="00A85D08" w:rsidRPr="00A85D08" w:rsidRDefault="00A85D08" w:rsidP="00A85D08">
      <w:pPr>
        <w:pStyle w:val="Tekstpodstawowy"/>
        <w:spacing w:line="240" w:lineRule="auto"/>
        <w:jc w:val="both"/>
        <w:rPr>
          <w:rFonts w:ascii="Calibri" w:hAnsi="Calibri" w:cs="Calibri"/>
          <w:b/>
          <w:sz w:val="20"/>
          <w:szCs w:val="20"/>
        </w:rPr>
      </w:pPr>
      <w:r w:rsidRPr="00A85D08">
        <w:rPr>
          <w:rFonts w:ascii="Calibri" w:hAnsi="Calibri" w:cs="Calibri"/>
          <w:b/>
          <w:sz w:val="20"/>
          <w:szCs w:val="20"/>
        </w:rPr>
        <w:t>2.5.1 Kruszywa do wykończenia powierzchni warstwy</w:t>
      </w:r>
      <w:r w:rsidRPr="00A85D08">
        <w:rPr>
          <w:rFonts w:ascii="Calibri" w:hAnsi="Calibri" w:cs="Calibri"/>
          <w:b/>
          <w:spacing w:val="-4"/>
          <w:sz w:val="20"/>
          <w:szCs w:val="20"/>
        </w:rPr>
        <w:t xml:space="preserve"> </w:t>
      </w:r>
      <w:r w:rsidRPr="00A85D08">
        <w:rPr>
          <w:rFonts w:ascii="Calibri" w:hAnsi="Calibri" w:cs="Calibri"/>
          <w:b/>
          <w:sz w:val="20"/>
          <w:szCs w:val="20"/>
        </w:rPr>
        <w:t>SMA</w:t>
      </w:r>
    </w:p>
    <w:p w14:paraId="35AD3AED" w14:textId="77777777" w:rsidR="00A85D08" w:rsidRPr="00A85D08" w:rsidRDefault="00A85D08" w:rsidP="00A85D08">
      <w:pPr>
        <w:pStyle w:val="Tekstpodstawowy"/>
        <w:spacing w:line="240" w:lineRule="auto"/>
        <w:jc w:val="both"/>
        <w:rPr>
          <w:rFonts w:ascii="Calibri" w:hAnsi="Calibri" w:cs="Calibri"/>
          <w:sz w:val="20"/>
          <w:szCs w:val="20"/>
        </w:rPr>
      </w:pPr>
      <w:r w:rsidRPr="00A85D08">
        <w:rPr>
          <w:rFonts w:ascii="Calibri" w:hAnsi="Calibri" w:cs="Calibri"/>
          <w:sz w:val="20"/>
          <w:szCs w:val="20"/>
        </w:rPr>
        <w:t>Do uszorstnienia warstwy z mieszanki SMA będzie użyte kruszywo spełniające wymagania  WT-2 2016 Część II pkt 7.1.2.</w:t>
      </w:r>
    </w:p>
    <w:p w14:paraId="51BA68F8" w14:textId="77777777" w:rsidR="00A85D08" w:rsidRPr="00A85D08" w:rsidRDefault="00A85D08" w:rsidP="00A85D08">
      <w:pPr>
        <w:pStyle w:val="Tekstpodstawowy"/>
        <w:spacing w:line="240" w:lineRule="auto"/>
        <w:jc w:val="both"/>
        <w:rPr>
          <w:rFonts w:ascii="Calibri" w:hAnsi="Calibri" w:cs="Calibri"/>
          <w:b/>
          <w:sz w:val="20"/>
          <w:szCs w:val="20"/>
        </w:rPr>
      </w:pPr>
      <w:r w:rsidRPr="00A85D08">
        <w:rPr>
          <w:rFonts w:ascii="Calibri" w:hAnsi="Calibri" w:cs="Calibri"/>
          <w:b/>
          <w:sz w:val="20"/>
          <w:szCs w:val="20"/>
        </w:rPr>
        <w:t>2.5.2 Materiały do połączeń</w:t>
      </w:r>
      <w:r w:rsidRPr="00A85D08">
        <w:rPr>
          <w:rFonts w:ascii="Calibri" w:hAnsi="Calibri" w:cs="Calibri"/>
          <w:b/>
          <w:spacing w:val="-3"/>
          <w:sz w:val="20"/>
          <w:szCs w:val="20"/>
        </w:rPr>
        <w:t xml:space="preserve"> </w:t>
      </w:r>
      <w:r w:rsidRPr="00A85D08">
        <w:rPr>
          <w:rFonts w:ascii="Calibri" w:hAnsi="Calibri" w:cs="Calibri"/>
          <w:b/>
          <w:sz w:val="20"/>
          <w:szCs w:val="20"/>
        </w:rPr>
        <w:t>technologicznych</w:t>
      </w:r>
    </w:p>
    <w:p w14:paraId="7759C7E2" w14:textId="4807B56B" w:rsidR="00A85D08" w:rsidRPr="00A85D08" w:rsidRDefault="00A85D08" w:rsidP="00A85D08">
      <w:pPr>
        <w:pStyle w:val="Tekstpodstawowy"/>
        <w:spacing w:line="240" w:lineRule="auto"/>
        <w:jc w:val="both"/>
        <w:rPr>
          <w:rFonts w:ascii="Calibri" w:hAnsi="Calibri" w:cs="Calibri"/>
          <w:sz w:val="20"/>
          <w:szCs w:val="20"/>
        </w:rPr>
      </w:pPr>
      <w:r w:rsidRPr="00A85D08">
        <w:rPr>
          <w:rFonts w:ascii="Calibri" w:hAnsi="Calibri" w:cs="Calibri"/>
          <w:sz w:val="20"/>
          <w:szCs w:val="20"/>
        </w:rPr>
        <w:t xml:space="preserve">Do uszczelniania połączeń technologicznych (spoin podłużnych i poprzecznych) oraz połączeń nawierzchni z elementami z innych materiałów takich jak kratki, wpusty, studzienki, krawężniki, ścieki prefabrykowane i inne elementy występujące w nawierzchni należy stosować pasty </w:t>
      </w:r>
      <w:r w:rsidR="006F408E">
        <w:rPr>
          <w:rFonts w:ascii="Calibri" w:hAnsi="Calibri" w:cs="Calibri"/>
          <w:sz w:val="20"/>
          <w:szCs w:val="20"/>
        </w:rPr>
        <w:t>asfaltowe,</w:t>
      </w:r>
      <w:r w:rsidRPr="00A85D08">
        <w:rPr>
          <w:rFonts w:ascii="Calibri" w:hAnsi="Calibri" w:cs="Calibri"/>
          <w:sz w:val="20"/>
          <w:szCs w:val="20"/>
        </w:rPr>
        <w:t xml:space="preserve"> taśmy </w:t>
      </w:r>
      <w:r w:rsidR="006F408E">
        <w:rPr>
          <w:rFonts w:ascii="Calibri" w:hAnsi="Calibri" w:cs="Calibri"/>
          <w:sz w:val="20"/>
          <w:szCs w:val="20"/>
        </w:rPr>
        <w:t>bitumiczne lub asfalt drogowy</w:t>
      </w:r>
      <w:r w:rsidRPr="00A85D08">
        <w:rPr>
          <w:rFonts w:ascii="Calibri" w:hAnsi="Calibri" w:cs="Calibri"/>
          <w:sz w:val="20"/>
          <w:szCs w:val="20"/>
        </w:rPr>
        <w:t xml:space="preserve">. Należy stosować </w:t>
      </w:r>
      <w:r w:rsidR="006F408E">
        <w:rPr>
          <w:rFonts w:ascii="Calibri" w:hAnsi="Calibri" w:cs="Calibri"/>
          <w:sz w:val="20"/>
          <w:szCs w:val="20"/>
        </w:rPr>
        <w:t xml:space="preserve">materiały </w:t>
      </w:r>
      <w:r w:rsidRPr="00A85D08">
        <w:rPr>
          <w:rFonts w:ascii="Calibri" w:hAnsi="Calibri" w:cs="Calibri"/>
          <w:sz w:val="20"/>
          <w:szCs w:val="20"/>
        </w:rPr>
        <w:t>z posiadając</w:t>
      </w:r>
      <w:r w:rsidR="006F408E">
        <w:rPr>
          <w:rFonts w:ascii="Calibri" w:hAnsi="Calibri" w:cs="Calibri"/>
          <w:sz w:val="20"/>
          <w:szCs w:val="20"/>
        </w:rPr>
        <w:t>e</w:t>
      </w:r>
      <w:r w:rsidRPr="00A85D08">
        <w:rPr>
          <w:rFonts w:ascii="Calibri" w:hAnsi="Calibri" w:cs="Calibri"/>
          <w:sz w:val="20"/>
          <w:szCs w:val="20"/>
        </w:rPr>
        <w:t xml:space="preserve"> Aprobatę Techniczną.</w:t>
      </w:r>
    </w:p>
    <w:p w14:paraId="4A56287B" w14:textId="77777777" w:rsidR="00A85D08" w:rsidRPr="00A85D08" w:rsidRDefault="00A85D08" w:rsidP="00A85D08">
      <w:pPr>
        <w:pStyle w:val="Tekstpodstawowy"/>
        <w:spacing w:line="240" w:lineRule="auto"/>
        <w:jc w:val="both"/>
        <w:rPr>
          <w:rFonts w:ascii="Calibri" w:hAnsi="Calibri" w:cs="Calibri"/>
          <w:sz w:val="20"/>
          <w:szCs w:val="20"/>
        </w:rPr>
      </w:pPr>
      <w:r w:rsidRPr="00A85D08">
        <w:rPr>
          <w:rFonts w:ascii="Calibri" w:hAnsi="Calibri" w:cs="Calibri"/>
          <w:sz w:val="20"/>
          <w:szCs w:val="20"/>
        </w:rPr>
        <w:t>Do uszczelnienia krawędzi należy stosować asfalt drogowy wg PN-EN 12591, asfalt modyfikowany polimerami wg PN-EN 14023, asfalty wielorodzajowe wg PN-EN 13924-2 „metodą na gorąco”. Dopuszcza się inne rodzaje lepiszcza wg norm lub aprobat technicznych. Składowanie materiałów termoplastycznych dozwolone jest tylko w oryginalnych opakowaniach producenta, w warunkach określonych w aprobacie technicznej.</w:t>
      </w:r>
    </w:p>
    <w:p w14:paraId="665BC86E" w14:textId="77777777" w:rsidR="00A85D08" w:rsidRPr="00A85D08" w:rsidRDefault="00A85D08" w:rsidP="00A85D08">
      <w:pPr>
        <w:pStyle w:val="Tekstpodstawowy"/>
        <w:spacing w:line="240" w:lineRule="auto"/>
        <w:jc w:val="both"/>
        <w:rPr>
          <w:rFonts w:ascii="Calibri" w:hAnsi="Calibri" w:cs="Calibri"/>
          <w:sz w:val="20"/>
          <w:szCs w:val="20"/>
        </w:rPr>
      </w:pPr>
      <w:r w:rsidRPr="00A85D08">
        <w:rPr>
          <w:rFonts w:ascii="Calibri" w:hAnsi="Calibri" w:cs="Calibri"/>
          <w:sz w:val="20"/>
          <w:szCs w:val="20"/>
        </w:rPr>
        <w:t>Dopuszczone jest zastosowanie materiałów do uszczelnień połączeń i krawędzi w postaci taśm bitumicznych na podstawie rekomendacji z badań laboratoryjnych pod warunkiem zachowania wymaganej grubości i wyskości spoimy. Dopuszczone jest zastosowanie polimerowych, tiksotropowych, bezrozpuszczalnikowych emulsji asfaltowych o wysokiej lepkości w postaci pasty do uszczelnień krawędzi pod warunkiem zachowania wymaganej grubości i wysokości spoiny. W celu dokładnej i jednorodnej aplikacji wymaga się zastosowania specjalistycznych układarek.</w:t>
      </w:r>
    </w:p>
    <w:p w14:paraId="292387E5" w14:textId="77777777" w:rsidR="00A85D08" w:rsidRPr="00A85D08" w:rsidRDefault="00A85D08" w:rsidP="00A85D08">
      <w:pPr>
        <w:pStyle w:val="Tekstpodstawowy"/>
        <w:spacing w:line="240" w:lineRule="auto"/>
        <w:jc w:val="both"/>
        <w:rPr>
          <w:rFonts w:ascii="Calibri" w:hAnsi="Calibri" w:cs="Calibri"/>
          <w:b/>
          <w:sz w:val="20"/>
          <w:szCs w:val="20"/>
        </w:rPr>
      </w:pPr>
      <w:r w:rsidRPr="00A85D08">
        <w:rPr>
          <w:rFonts w:ascii="Calibri" w:hAnsi="Calibri" w:cs="Calibri"/>
          <w:b/>
          <w:sz w:val="20"/>
          <w:szCs w:val="20"/>
        </w:rPr>
        <w:t>2.5.3 Lepiszcze do skropienia podłoża</w:t>
      </w:r>
    </w:p>
    <w:p w14:paraId="53212851" w14:textId="77777777" w:rsidR="00A85D08" w:rsidRPr="00A85D08" w:rsidRDefault="00A85D08" w:rsidP="00A85D08">
      <w:pPr>
        <w:pStyle w:val="Tekstpodstawowy"/>
        <w:spacing w:line="240" w:lineRule="auto"/>
        <w:jc w:val="both"/>
        <w:rPr>
          <w:rFonts w:ascii="Calibri" w:hAnsi="Calibri" w:cs="Calibri"/>
          <w:sz w:val="20"/>
          <w:szCs w:val="20"/>
        </w:rPr>
      </w:pPr>
      <w:r w:rsidRPr="00A85D08">
        <w:rPr>
          <w:rFonts w:ascii="Calibri" w:hAnsi="Calibri" w:cs="Calibri"/>
          <w:sz w:val="20"/>
          <w:szCs w:val="20"/>
        </w:rPr>
        <w:t>Lepiszcze do skropienia podłoża powinno spełniać wymagania podane w ST D-04.03.01</w:t>
      </w:r>
    </w:p>
    <w:p w14:paraId="3A149A3F" w14:textId="77777777" w:rsidR="00A85D08" w:rsidRPr="00A85D08" w:rsidRDefault="00A85D08" w:rsidP="00A85D08">
      <w:pPr>
        <w:pStyle w:val="Nagwek4"/>
        <w:spacing w:before="0" w:after="0"/>
        <w:rPr>
          <w:rFonts w:ascii="Calibri" w:hAnsi="Calibri" w:cs="Calibri"/>
        </w:rPr>
      </w:pPr>
      <w:r w:rsidRPr="00A85D08">
        <w:rPr>
          <w:rFonts w:ascii="Calibri" w:hAnsi="Calibri" w:cs="Calibri"/>
        </w:rPr>
        <w:t>2.6 Dostawy materiałów</w:t>
      </w:r>
    </w:p>
    <w:p w14:paraId="436E2F2A" w14:textId="77777777" w:rsidR="00A85D08" w:rsidRPr="00A85D08" w:rsidRDefault="00A85D08" w:rsidP="00A85D08">
      <w:pPr>
        <w:pStyle w:val="Tekstpodstawowy"/>
        <w:spacing w:line="240" w:lineRule="auto"/>
        <w:jc w:val="both"/>
        <w:rPr>
          <w:rFonts w:ascii="Calibri" w:hAnsi="Calibri" w:cs="Calibri"/>
          <w:sz w:val="20"/>
          <w:szCs w:val="20"/>
        </w:rPr>
      </w:pPr>
      <w:r w:rsidRPr="00A85D08">
        <w:rPr>
          <w:rFonts w:ascii="Calibri" w:hAnsi="Calibri" w:cs="Calibri"/>
          <w:sz w:val="20"/>
          <w:szCs w:val="20"/>
        </w:rPr>
        <w:t>Za dostawy materiałów odpowiedzialny jest Wykonawca robot zgodnie z ustaleniami określonymi w STWiORB DM.00.00.00 „Wymagania</w:t>
      </w:r>
      <w:r w:rsidRPr="00A85D08">
        <w:rPr>
          <w:rFonts w:ascii="Calibri" w:hAnsi="Calibri" w:cs="Calibri"/>
          <w:spacing w:val="-2"/>
          <w:sz w:val="20"/>
          <w:szCs w:val="20"/>
        </w:rPr>
        <w:t xml:space="preserve"> </w:t>
      </w:r>
      <w:r w:rsidRPr="00A85D08">
        <w:rPr>
          <w:rFonts w:ascii="Calibri" w:hAnsi="Calibri" w:cs="Calibri"/>
          <w:sz w:val="20"/>
          <w:szCs w:val="20"/>
        </w:rPr>
        <w:t>ogólne”.</w:t>
      </w:r>
    </w:p>
    <w:p w14:paraId="751434A6" w14:textId="77777777" w:rsidR="00A85D08" w:rsidRPr="00A85D08" w:rsidRDefault="00A85D08" w:rsidP="00A85D08">
      <w:pPr>
        <w:pStyle w:val="Tekstpodstawowy"/>
        <w:spacing w:line="240" w:lineRule="auto"/>
        <w:jc w:val="both"/>
        <w:rPr>
          <w:rFonts w:ascii="Calibri" w:hAnsi="Calibri" w:cs="Calibri"/>
          <w:sz w:val="20"/>
          <w:szCs w:val="20"/>
        </w:rPr>
      </w:pPr>
      <w:r w:rsidRPr="00A85D08">
        <w:rPr>
          <w:rFonts w:ascii="Calibri" w:hAnsi="Calibri" w:cs="Calibri"/>
          <w:sz w:val="20"/>
          <w:szCs w:val="20"/>
        </w:rPr>
        <w:t>Do obowiązku Wykonawcy należy takie zorganizowanie dostaw materiałów do wytwarzania mieszanki SMA, aby zapewnić nieprzerwaną pracę otaczarki w trakcie wykonywania dziennej działki roboczej. Jakość każdej dostawy kruszywa i wypełniacza musi być potwierdzona deklaracją producenta (oznakowanie CE).</w:t>
      </w:r>
    </w:p>
    <w:p w14:paraId="2334AEB4" w14:textId="77777777" w:rsidR="00A85D08" w:rsidRPr="00A85D08" w:rsidRDefault="00A85D08" w:rsidP="00A85D08">
      <w:pPr>
        <w:pStyle w:val="Nagwek4"/>
        <w:spacing w:before="0" w:after="0"/>
        <w:rPr>
          <w:rFonts w:ascii="Calibri" w:hAnsi="Calibri" w:cs="Calibri"/>
        </w:rPr>
      </w:pPr>
      <w:r w:rsidRPr="00A85D08">
        <w:rPr>
          <w:rFonts w:ascii="Calibri" w:hAnsi="Calibri" w:cs="Calibri"/>
        </w:rPr>
        <w:t>2.7 Składowanie materiałów</w:t>
      </w:r>
    </w:p>
    <w:p w14:paraId="3C4A72C3" w14:textId="77777777" w:rsidR="00A85D08" w:rsidRPr="00A85D08" w:rsidRDefault="00A85D08" w:rsidP="00A85D08">
      <w:pPr>
        <w:pStyle w:val="Tekstpodstawowy"/>
        <w:spacing w:line="240" w:lineRule="auto"/>
        <w:jc w:val="both"/>
        <w:rPr>
          <w:rFonts w:ascii="Calibri" w:hAnsi="Calibri" w:cs="Calibri"/>
          <w:b/>
          <w:sz w:val="20"/>
          <w:szCs w:val="20"/>
        </w:rPr>
      </w:pPr>
      <w:r w:rsidRPr="00A85D08">
        <w:rPr>
          <w:rFonts w:ascii="Calibri" w:hAnsi="Calibri" w:cs="Calibri"/>
          <w:b/>
          <w:sz w:val="20"/>
          <w:szCs w:val="20"/>
        </w:rPr>
        <w:t>2.7.1 Składowanie</w:t>
      </w:r>
      <w:r w:rsidRPr="00A85D08">
        <w:rPr>
          <w:rFonts w:ascii="Calibri" w:hAnsi="Calibri" w:cs="Calibri"/>
          <w:b/>
          <w:spacing w:val="-2"/>
          <w:sz w:val="20"/>
          <w:szCs w:val="20"/>
        </w:rPr>
        <w:t xml:space="preserve"> </w:t>
      </w:r>
      <w:r w:rsidRPr="00A85D08">
        <w:rPr>
          <w:rFonts w:ascii="Calibri" w:hAnsi="Calibri" w:cs="Calibri"/>
          <w:b/>
          <w:sz w:val="20"/>
          <w:szCs w:val="20"/>
        </w:rPr>
        <w:t>kruszywa</w:t>
      </w:r>
    </w:p>
    <w:p w14:paraId="0F217723" w14:textId="77777777" w:rsidR="00A85D08" w:rsidRPr="00A85D08" w:rsidRDefault="00A85D08" w:rsidP="00A85D08">
      <w:pPr>
        <w:pStyle w:val="Tekstpodstawowy"/>
        <w:spacing w:line="240" w:lineRule="auto"/>
        <w:jc w:val="both"/>
        <w:rPr>
          <w:rFonts w:ascii="Calibri" w:hAnsi="Calibri" w:cs="Calibri"/>
          <w:sz w:val="20"/>
          <w:szCs w:val="20"/>
        </w:rPr>
      </w:pPr>
      <w:r w:rsidRPr="00A85D08">
        <w:rPr>
          <w:rFonts w:ascii="Calibri" w:hAnsi="Calibri" w:cs="Calibri"/>
          <w:sz w:val="20"/>
          <w:szCs w:val="20"/>
        </w:rPr>
        <w:t>Składowanie kruszywa powinno odbywać się w warunkach zabezpieczających je przed zanieczyszczeniem i zmieszaniem z innymi rodzajami lub frakcjami kruszywa.</w:t>
      </w:r>
    </w:p>
    <w:p w14:paraId="11E43A75" w14:textId="77777777" w:rsidR="00A85D08" w:rsidRPr="00A85D08" w:rsidRDefault="00A85D08" w:rsidP="00A85D08">
      <w:pPr>
        <w:pStyle w:val="Tekstpodstawowy"/>
        <w:spacing w:line="240" w:lineRule="auto"/>
        <w:jc w:val="both"/>
        <w:rPr>
          <w:rFonts w:ascii="Calibri" w:hAnsi="Calibri" w:cs="Calibri"/>
          <w:b/>
          <w:sz w:val="20"/>
          <w:szCs w:val="20"/>
        </w:rPr>
      </w:pPr>
      <w:r w:rsidRPr="00A85D08">
        <w:rPr>
          <w:rFonts w:ascii="Calibri" w:hAnsi="Calibri" w:cs="Calibri"/>
          <w:b/>
          <w:sz w:val="20"/>
          <w:szCs w:val="20"/>
        </w:rPr>
        <w:t>2.7.2 Składowanie wypełniacza</w:t>
      </w:r>
    </w:p>
    <w:p w14:paraId="7BA34B94" w14:textId="77777777" w:rsidR="00A85D08" w:rsidRPr="00A85D08" w:rsidRDefault="00A85D08" w:rsidP="00A85D08">
      <w:pPr>
        <w:pStyle w:val="Tekstpodstawowy"/>
        <w:spacing w:line="240" w:lineRule="auto"/>
        <w:jc w:val="both"/>
        <w:rPr>
          <w:rFonts w:ascii="Calibri" w:hAnsi="Calibri" w:cs="Calibri"/>
          <w:sz w:val="20"/>
          <w:szCs w:val="20"/>
        </w:rPr>
      </w:pPr>
      <w:r w:rsidRPr="00A85D08">
        <w:rPr>
          <w:rFonts w:ascii="Calibri" w:hAnsi="Calibri" w:cs="Calibri"/>
          <w:sz w:val="20"/>
          <w:szCs w:val="20"/>
        </w:rPr>
        <w:t>Wypełniacz należy składować w silosach wyposażonych w urządzenia do aeracji.</w:t>
      </w:r>
    </w:p>
    <w:p w14:paraId="42976BFE" w14:textId="77777777" w:rsidR="00A85D08" w:rsidRPr="00A85D08" w:rsidRDefault="00A85D08" w:rsidP="00A85D08">
      <w:pPr>
        <w:pStyle w:val="Tekstpodstawowy"/>
        <w:spacing w:line="240" w:lineRule="auto"/>
        <w:jc w:val="both"/>
        <w:rPr>
          <w:rFonts w:ascii="Calibri" w:hAnsi="Calibri" w:cs="Calibri"/>
          <w:b/>
          <w:sz w:val="20"/>
          <w:szCs w:val="20"/>
        </w:rPr>
      </w:pPr>
      <w:r w:rsidRPr="00A85D08">
        <w:rPr>
          <w:rFonts w:ascii="Calibri" w:hAnsi="Calibri" w:cs="Calibri"/>
          <w:b/>
          <w:sz w:val="20"/>
          <w:szCs w:val="20"/>
        </w:rPr>
        <w:t>2.7.3 Składowanie asfaltu</w:t>
      </w:r>
    </w:p>
    <w:p w14:paraId="4616D999" w14:textId="77777777" w:rsidR="00A85D08" w:rsidRPr="00A85D08" w:rsidRDefault="00A85D08" w:rsidP="00A85D08">
      <w:pPr>
        <w:pStyle w:val="Tekstpodstawowy"/>
        <w:spacing w:line="240" w:lineRule="auto"/>
        <w:jc w:val="both"/>
        <w:rPr>
          <w:rFonts w:ascii="Calibri" w:hAnsi="Calibri" w:cs="Calibri"/>
          <w:sz w:val="20"/>
          <w:szCs w:val="20"/>
        </w:rPr>
      </w:pPr>
      <w:r w:rsidRPr="00A85D08">
        <w:rPr>
          <w:rFonts w:ascii="Calibri" w:hAnsi="Calibri" w:cs="Calibri"/>
          <w:sz w:val="20"/>
          <w:szCs w:val="20"/>
        </w:rPr>
        <w:t>Lepiszcze asfaltowe należy przechowywać zgodnie z zasadami podanymi w pkt. 8.3 WT-2 Nawierzchnie Asfaltowe 2014. Maksymalne temperatury składowania asfaltu powinny być zgodne z tablicą 41 WT-2 2014 oraz zgodnie z zaleceniami</w:t>
      </w:r>
      <w:r w:rsidRPr="00A85D08">
        <w:rPr>
          <w:rFonts w:ascii="Calibri" w:hAnsi="Calibri" w:cs="Calibri"/>
          <w:spacing w:val="-12"/>
          <w:sz w:val="20"/>
          <w:szCs w:val="20"/>
        </w:rPr>
        <w:t xml:space="preserve"> </w:t>
      </w:r>
      <w:r w:rsidRPr="00A85D08">
        <w:rPr>
          <w:rFonts w:ascii="Calibri" w:hAnsi="Calibri" w:cs="Calibri"/>
          <w:sz w:val="20"/>
          <w:szCs w:val="20"/>
        </w:rPr>
        <w:t>producenta.</w:t>
      </w:r>
    </w:p>
    <w:p w14:paraId="75A692C1" w14:textId="77777777" w:rsidR="00A85D08" w:rsidRPr="00A85D08" w:rsidRDefault="00A85D08" w:rsidP="00A85D08">
      <w:pPr>
        <w:pStyle w:val="Tekstpodstawowy"/>
        <w:spacing w:line="240" w:lineRule="auto"/>
        <w:jc w:val="both"/>
        <w:rPr>
          <w:rFonts w:ascii="Calibri" w:hAnsi="Calibri" w:cs="Calibri"/>
          <w:b/>
          <w:sz w:val="20"/>
          <w:szCs w:val="20"/>
        </w:rPr>
      </w:pPr>
      <w:r w:rsidRPr="00A85D08">
        <w:rPr>
          <w:rFonts w:ascii="Calibri" w:hAnsi="Calibri" w:cs="Calibri"/>
          <w:b/>
          <w:sz w:val="20"/>
          <w:szCs w:val="20"/>
        </w:rPr>
        <w:t>2.7.4 Składowanie środka</w:t>
      </w:r>
      <w:r w:rsidRPr="00A85D08">
        <w:rPr>
          <w:rFonts w:ascii="Calibri" w:hAnsi="Calibri" w:cs="Calibri"/>
          <w:b/>
          <w:spacing w:val="-1"/>
          <w:sz w:val="20"/>
          <w:szCs w:val="20"/>
        </w:rPr>
        <w:t xml:space="preserve"> </w:t>
      </w:r>
      <w:r w:rsidRPr="00A85D08">
        <w:rPr>
          <w:rFonts w:ascii="Calibri" w:hAnsi="Calibri" w:cs="Calibri"/>
          <w:b/>
          <w:sz w:val="20"/>
          <w:szCs w:val="20"/>
        </w:rPr>
        <w:t>adhezyjnego</w:t>
      </w:r>
    </w:p>
    <w:p w14:paraId="1258DD98" w14:textId="77777777" w:rsidR="00A85D08" w:rsidRPr="00A85D08" w:rsidRDefault="00A85D08" w:rsidP="00A85D08">
      <w:pPr>
        <w:pStyle w:val="Tekstpodstawowy"/>
        <w:spacing w:line="240" w:lineRule="auto"/>
        <w:jc w:val="both"/>
        <w:rPr>
          <w:rFonts w:ascii="Calibri" w:hAnsi="Calibri" w:cs="Calibri"/>
          <w:sz w:val="20"/>
          <w:szCs w:val="20"/>
        </w:rPr>
      </w:pPr>
      <w:r w:rsidRPr="00A85D08">
        <w:rPr>
          <w:rFonts w:ascii="Calibri" w:hAnsi="Calibri" w:cs="Calibri"/>
          <w:sz w:val="20"/>
          <w:szCs w:val="20"/>
        </w:rPr>
        <w:t>Składowanie środka adhezyjnego jest dozwolone tylko w oryginalnych opakowaniach producenta w warunkach podanych w Aprobacie Technicznej lub zgodnie z zaleceniami producenta.</w:t>
      </w:r>
    </w:p>
    <w:p w14:paraId="7639BDD9" w14:textId="77777777" w:rsidR="00A85D08" w:rsidRPr="00A85D08" w:rsidRDefault="00A85D08" w:rsidP="00A85D08">
      <w:pPr>
        <w:pStyle w:val="Tekstpodstawowy"/>
        <w:spacing w:line="240" w:lineRule="auto"/>
        <w:jc w:val="both"/>
        <w:rPr>
          <w:rFonts w:ascii="Calibri" w:hAnsi="Calibri" w:cs="Calibri"/>
          <w:b/>
          <w:sz w:val="20"/>
          <w:szCs w:val="20"/>
        </w:rPr>
      </w:pPr>
      <w:r w:rsidRPr="00A85D08">
        <w:rPr>
          <w:rFonts w:ascii="Calibri" w:hAnsi="Calibri" w:cs="Calibri"/>
          <w:b/>
          <w:sz w:val="20"/>
          <w:szCs w:val="20"/>
        </w:rPr>
        <w:t>2.7.5 Składowanie stabilizatora</w:t>
      </w:r>
      <w:r w:rsidRPr="00A85D08">
        <w:rPr>
          <w:rFonts w:ascii="Calibri" w:hAnsi="Calibri" w:cs="Calibri"/>
          <w:b/>
          <w:spacing w:val="-1"/>
          <w:sz w:val="20"/>
          <w:szCs w:val="20"/>
        </w:rPr>
        <w:t xml:space="preserve"> </w:t>
      </w:r>
      <w:r w:rsidRPr="00A85D08">
        <w:rPr>
          <w:rFonts w:ascii="Calibri" w:hAnsi="Calibri" w:cs="Calibri"/>
          <w:b/>
          <w:sz w:val="20"/>
          <w:szCs w:val="20"/>
        </w:rPr>
        <w:t>mastyksu</w:t>
      </w:r>
    </w:p>
    <w:p w14:paraId="20351F6D" w14:textId="77777777" w:rsidR="00A85D08" w:rsidRPr="004E54A4" w:rsidRDefault="00A85D08" w:rsidP="00A85D08">
      <w:pPr>
        <w:pStyle w:val="Tekstpodstawowy"/>
        <w:spacing w:line="240" w:lineRule="auto"/>
        <w:jc w:val="both"/>
        <w:rPr>
          <w:rFonts w:cstheme="minorHAnsi"/>
        </w:rPr>
      </w:pPr>
      <w:r w:rsidRPr="00A85D08">
        <w:rPr>
          <w:rFonts w:ascii="Calibri" w:hAnsi="Calibri" w:cs="Calibri"/>
          <w:sz w:val="20"/>
          <w:szCs w:val="20"/>
        </w:rPr>
        <w:t>Składowanie stabilizatora mastyksu jest dozwolone tylko w oryginalnych opakowaniach producenta lub w odpowiednich do tego celu przystosowanych zbiornikach, w warunkach podanych w Aprobacie Technicznej lub zgodnie z zaleceniami producenta</w:t>
      </w:r>
      <w:r w:rsidRPr="004E54A4">
        <w:rPr>
          <w:rFonts w:cstheme="minorHAnsi"/>
        </w:rPr>
        <w:t>.</w:t>
      </w:r>
    </w:p>
    <w:p w14:paraId="0E9DCB1E" w14:textId="77777777" w:rsidR="0073248C" w:rsidRPr="0073248C" w:rsidRDefault="0073248C" w:rsidP="00F3201D">
      <w:pPr>
        <w:overflowPunct/>
        <w:autoSpaceDE/>
        <w:autoSpaceDN/>
        <w:adjustRightInd/>
        <w:textAlignment w:val="auto"/>
        <w:rPr>
          <w:rFonts w:asciiTheme="minorHAnsi" w:hAnsiTheme="minorHAnsi" w:cstheme="minorHAnsi"/>
        </w:rPr>
      </w:pPr>
    </w:p>
    <w:p w14:paraId="7EA3B155" w14:textId="77777777" w:rsidR="0073248C" w:rsidRPr="0073248C" w:rsidRDefault="0073248C" w:rsidP="00F3201D">
      <w:pPr>
        <w:pStyle w:val="Akapitzlist"/>
        <w:ind w:left="283"/>
        <w:rPr>
          <w:rFonts w:ascii="Calibri" w:hAnsi="Calibri" w:cs="Calibri"/>
          <w:b/>
        </w:rPr>
      </w:pPr>
      <w:r w:rsidRPr="0073248C">
        <w:rPr>
          <w:rFonts w:ascii="Calibri" w:hAnsi="Calibri" w:cs="Calibri"/>
          <w:b/>
        </w:rPr>
        <w:t xml:space="preserve">3. SPRZĘT </w:t>
      </w:r>
    </w:p>
    <w:p w14:paraId="6DEE05FF" w14:textId="77777777" w:rsidR="0073248C" w:rsidRDefault="0073248C" w:rsidP="00F3201D">
      <w:pPr>
        <w:overflowPunct/>
        <w:textAlignment w:val="auto"/>
        <w:rPr>
          <w:rFonts w:ascii="Calibri" w:hAnsi="Calibri" w:cs="Calibri"/>
          <w:b/>
          <w:sz w:val="22"/>
          <w:szCs w:val="22"/>
        </w:rPr>
      </w:pPr>
    </w:p>
    <w:p w14:paraId="68D702D0" w14:textId="56860155" w:rsidR="0073248C" w:rsidRPr="0073248C" w:rsidRDefault="0073248C" w:rsidP="00F3201D">
      <w:pPr>
        <w:overflowPunct/>
        <w:textAlignment w:val="auto"/>
        <w:rPr>
          <w:rFonts w:eastAsia="Calibri"/>
          <w:color w:val="000000"/>
        </w:rPr>
      </w:pPr>
      <w:r w:rsidRPr="0073248C">
        <w:rPr>
          <w:rFonts w:ascii="Calibri" w:hAnsi="Calibri" w:cs="Calibri"/>
          <w:b/>
          <w:sz w:val="22"/>
          <w:szCs w:val="22"/>
        </w:rPr>
        <w:t xml:space="preserve">3.1. Ogólne wymagania dotyczące sprzętu </w:t>
      </w:r>
    </w:p>
    <w:p w14:paraId="1B93C5FF" w14:textId="77777777" w:rsidR="0073248C" w:rsidRDefault="0073248C" w:rsidP="00F3201D">
      <w:pPr>
        <w:overflowPunct/>
        <w:autoSpaceDE/>
        <w:autoSpaceDN/>
        <w:adjustRightInd/>
        <w:textAlignment w:val="auto"/>
        <w:rPr>
          <w:rFonts w:asciiTheme="minorHAnsi" w:hAnsiTheme="minorHAnsi" w:cstheme="minorHAnsi"/>
        </w:rPr>
      </w:pPr>
      <w:r w:rsidRPr="0073248C">
        <w:rPr>
          <w:rFonts w:asciiTheme="minorHAnsi" w:hAnsiTheme="minorHAnsi" w:cstheme="minorHAnsi"/>
        </w:rPr>
        <w:t xml:space="preserve">Ogólne wymagania dotyczące sprzętu podano w DMU.00.00.00 „Wymagania ogólne” [1] pkt 3. </w:t>
      </w:r>
    </w:p>
    <w:p w14:paraId="1C7E8A67" w14:textId="77777777" w:rsidR="0073248C" w:rsidRPr="0073248C" w:rsidRDefault="0073248C" w:rsidP="00F3201D">
      <w:pPr>
        <w:overflowPunct/>
        <w:autoSpaceDE/>
        <w:autoSpaceDN/>
        <w:adjustRightInd/>
        <w:textAlignment w:val="auto"/>
        <w:rPr>
          <w:rFonts w:asciiTheme="minorHAnsi" w:hAnsiTheme="minorHAnsi" w:cstheme="minorHAnsi"/>
        </w:rPr>
      </w:pPr>
    </w:p>
    <w:p w14:paraId="0F1F98B6" w14:textId="77777777" w:rsidR="0073248C" w:rsidRPr="0073248C" w:rsidRDefault="0073248C" w:rsidP="00F3201D">
      <w:pPr>
        <w:overflowPunct/>
        <w:textAlignment w:val="auto"/>
        <w:rPr>
          <w:rFonts w:ascii="Calibri" w:hAnsi="Calibri" w:cs="Calibri"/>
          <w:b/>
          <w:sz w:val="22"/>
          <w:szCs w:val="22"/>
        </w:rPr>
      </w:pPr>
      <w:r w:rsidRPr="0073248C">
        <w:rPr>
          <w:rFonts w:ascii="Calibri" w:hAnsi="Calibri" w:cs="Calibri"/>
          <w:b/>
          <w:sz w:val="22"/>
          <w:szCs w:val="22"/>
        </w:rPr>
        <w:t xml:space="preserve">3.2. Sprzęt stosowany do wykonania robót </w:t>
      </w:r>
    </w:p>
    <w:p w14:paraId="4A32461F" w14:textId="77777777" w:rsidR="0073248C" w:rsidRPr="0073248C" w:rsidRDefault="0073248C" w:rsidP="00F3201D">
      <w:pPr>
        <w:overflowPunct/>
        <w:autoSpaceDE/>
        <w:autoSpaceDN/>
        <w:adjustRightInd/>
        <w:textAlignment w:val="auto"/>
        <w:rPr>
          <w:rFonts w:asciiTheme="minorHAnsi" w:hAnsiTheme="minorHAnsi" w:cstheme="minorHAnsi"/>
        </w:rPr>
      </w:pPr>
      <w:r w:rsidRPr="0073248C">
        <w:rPr>
          <w:rFonts w:asciiTheme="minorHAnsi" w:hAnsiTheme="minorHAnsi" w:cstheme="minorHAnsi"/>
        </w:rPr>
        <w:t xml:space="preserve">Przy wykonywaniu robót Wykonawca w zależności od potrzeb, powinien wykazać się możliwością korzystania ze sprzętu dostosowanego do przyjętej metody robót, jak: </w:t>
      </w:r>
    </w:p>
    <w:p w14:paraId="05B90276" w14:textId="77777777" w:rsidR="0073248C" w:rsidRPr="0073248C" w:rsidRDefault="0073248C" w:rsidP="00F3201D">
      <w:pPr>
        <w:overflowPunct/>
        <w:autoSpaceDE/>
        <w:autoSpaceDN/>
        <w:adjustRightInd/>
        <w:textAlignment w:val="auto"/>
        <w:rPr>
          <w:rFonts w:asciiTheme="minorHAnsi" w:hAnsiTheme="minorHAnsi" w:cstheme="minorHAnsi"/>
        </w:rPr>
      </w:pPr>
      <w:r w:rsidRPr="0073248C">
        <w:rPr>
          <w:rFonts w:asciiTheme="minorHAnsi" w:hAnsiTheme="minorHAnsi" w:cstheme="minorHAnsi"/>
        </w:rPr>
        <w:t xml:space="preserve">– wytwórnia (otaczarka) o mieszaniu cyklicznym lub ciągłym, z automatycznym komputerowym sterowaniem produkcji, do wytwarzania mieszanek mineralno-asfaltowych, z możliwością dozowania stabilizatora mastyksu, </w:t>
      </w:r>
    </w:p>
    <w:p w14:paraId="25A00B43" w14:textId="77777777" w:rsidR="0073248C" w:rsidRPr="0073248C" w:rsidRDefault="0073248C" w:rsidP="00F3201D">
      <w:pPr>
        <w:overflowPunct/>
        <w:autoSpaceDE/>
        <w:autoSpaceDN/>
        <w:adjustRightInd/>
        <w:textAlignment w:val="auto"/>
        <w:rPr>
          <w:rFonts w:asciiTheme="minorHAnsi" w:hAnsiTheme="minorHAnsi" w:cstheme="minorHAnsi"/>
        </w:rPr>
      </w:pPr>
      <w:r w:rsidRPr="0073248C">
        <w:rPr>
          <w:rFonts w:asciiTheme="minorHAnsi" w:hAnsiTheme="minorHAnsi" w:cstheme="minorHAnsi"/>
        </w:rPr>
        <w:t xml:space="preserve">– układarka gąsienicowa, z elektronicznym sterowaniem równości układanej warstwy, </w:t>
      </w:r>
    </w:p>
    <w:p w14:paraId="07DCCB21" w14:textId="77777777" w:rsidR="0073248C" w:rsidRPr="0073248C" w:rsidRDefault="0073248C" w:rsidP="00F3201D">
      <w:pPr>
        <w:overflowPunct/>
        <w:autoSpaceDE/>
        <w:autoSpaceDN/>
        <w:adjustRightInd/>
        <w:textAlignment w:val="auto"/>
        <w:rPr>
          <w:rFonts w:asciiTheme="minorHAnsi" w:hAnsiTheme="minorHAnsi" w:cstheme="minorHAnsi"/>
        </w:rPr>
      </w:pPr>
      <w:r w:rsidRPr="0073248C">
        <w:rPr>
          <w:rFonts w:asciiTheme="minorHAnsi" w:hAnsiTheme="minorHAnsi" w:cstheme="minorHAnsi"/>
        </w:rPr>
        <w:t xml:space="preserve">– skrapiarka, </w:t>
      </w:r>
    </w:p>
    <w:p w14:paraId="3C6976E6" w14:textId="77777777" w:rsidR="0073248C" w:rsidRPr="0073248C" w:rsidRDefault="0073248C" w:rsidP="00F3201D">
      <w:pPr>
        <w:overflowPunct/>
        <w:autoSpaceDE/>
        <w:autoSpaceDN/>
        <w:adjustRightInd/>
        <w:textAlignment w:val="auto"/>
        <w:rPr>
          <w:rFonts w:asciiTheme="minorHAnsi" w:hAnsiTheme="minorHAnsi" w:cstheme="minorHAnsi"/>
        </w:rPr>
      </w:pPr>
      <w:r w:rsidRPr="0073248C">
        <w:rPr>
          <w:rFonts w:asciiTheme="minorHAnsi" w:hAnsiTheme="minorHAnsi" w:cstheme="minorHAnsi"/>
        </w:rPr>
        <w:t xml:space="preserve">– walce stalowe gładkie, </w:t>
      </w:r>
    </w:p>
    <w:p w14:paraId="35031B17" w14:textId="77777777" w:rsidR="0073248C" w:rsidRPr="0073248C" w:rsidRDefault="0073248C" w:rsidP="00F3201D">
      <w:pPr>
        <w:overflowPunct/>
        <w:autoSpaceDE/>
        <w:autoSpaceDN/>
        <w:adjustRightInd/>
        <w:textAlignment w:val="auto"/>
        <w:rPr>
          <w:rFonts w:asciiTheme="minorHAnsi" w:hAnsiTheme="minorHAnsi" w:cstheme="minorHAnsi"/>
        </w:rPr>
      </w:pPr>
      <w:r w:rsidRPr="0073248C">
        <w:rPr>
          <w:rFonts w:asciiTheme="minorHAnsi" w:hAnsiTheme="minorHAnsi" w:cstheme="minorHAnsi"/>
        </w:rPr>
        <w:t xml:space="preserve">– lekka rozsypywarka kruszywa, </w:t>
      </w:r>
    </w:p>
    <w:p w14:paraId="53330A69" w14:textId="77777777" w:rsidR="0073248C" w:rsidRPr="0073248C" w:rsidRDefault="0073248C" w:rsidP="00F3201D">
      <w:pPr>
        <w:overflowPunct/>
        <w:autoSpaceDE/>
        <w:autoSpaceDN/>
        <w:adjustRightInd/>
        <w:textAlignment w:val="auto"/>
        <w:rPr>
          <w:rFonts w:asciiTheme="minorHAnsi" w:hAnsiTheme="minorHAnsi" w:cstheme="minorHAnsi"/>
        </w:rPr>
      </w:pPr>
      <w:r w:rsidRPr="0073248C">
        <w:rPr>
          <w:rFonts w:asciiTheme="minorHAnsi" w:hAnsiTheme="minorHAnsi" w:cstheme="minorHAnsi"/>
        </w:rPr>
        <w:t xml:space="preserve">– szczotki mechaniczne i/lub inne urządzenia czyszczące, </w:t>
      </w:r>
    </w:p>
    <w:p w14:paraId="68233BCE" w14:textId="77777777" w:rsidR="0073248C" w:rsidRPr="0073248C" w:rsidRDefault="0073248C" w:rsidP="00F3201D">
      <w:pPr>
        <w:overflowPunct/>
        <w:autoSpaceDE/>
        <w:autoSpaceDN/>
        <w:adjustRightInd/>
        <w:textAlignment w:val="auto"/>
        <w:rPr>
          <w:rFonts w:asciiTheme="minorHAnsi" w:hAnsiTheme="minorHAnsi" w:cstheme="minorHAnsi"/>
        </w:rPr>
      </w:pPr>
      <w:r w:rsidRPr="0073248C">
        <w:rPr>
          <w:rFonts w:asciiTheme="minorHAnsi" w:hAnsiTheme="minorHAnsi" w:cstheme="minorHAnsi"/>
        </w:rPr>
        <w:t xml:space="preserve">– samochody samowyładowcze z przykryciem brezentowym lub termosami, </w:t>
      </w:r>
    </w:p>
    <w:p w14:paraId="2ABA29A0" w14:textId="77777777" w:rsidR="0073248C" w:rsidRPr="0073248C" w:rsidRDefault="0073248C" w:rsidP="00F3201D">
      <w:pPr>
        <w:overflowPunct/>
        <w:autoSpaceDE/>
        <w:autoSpaceDN/>
        <w:adjustRightInd/>
        <w:textAlignment w:val="auto"/>
        <w:rPr>
          <w:rFonts w:asciiTheme="minorHAnsi" w:hAnsiTheme="minorHAnsi" w:cstheme="minorHAnsi"/>
        </w:rPr>
      </w:pPr>
      <w:r w:rsidRPr="0073248C">
        <w:rPr>
          <w:rFonts w:asciiTheme="minorHAnsi" w:hAnsiTheme="minorHAnsi" w:cstheme="minorHAnsi"/>
        </w:rPr>
        <w:t xml:space="preserve">– sprzęt drobny. </w:t>
      </w:r>
    </w:p>
    <w:p w14:paraId="42DBA628" w14:textId="77777777" w:rsidR="0073248C" w:rsidRPr="0073248C" w:rsidRDefault="0073248C" w:rsidP="00F3201D">
      <w:pPr>
        <w:overflowPunct/>
        <w:textAlignment w:val="auto"/>
        <w:rPr>
          <w:rFonts w:eastAsia="Calibri"/>
          <w:color w:val="000000"/>
        </w:rPr>
      </w:pPr>
    </w:p>
    <w:p w14:paraId="7F822DDC" w14:textId="77777777" w:rsidR="0073248C" w:rsidRDefault="0073248C" w:rsidP="00F3201D">
      <w:pPr>
        <w:pStyle w:val="Akapitzlist"/>
        <w:ind w:left="283"/>
        <w:rPr>
          <w:rFonts w:ascii="Calibri" w:hAnsi="Calibri" w:cs="Calibri"/>
          <w:b/>
        </w:rPr>
      </w:pPr>
      <w:r w:rsidRPr="0073248C">
        <w:rPr>
          <w:rFonts w:ascii="Calibri" w:hAnsi="Calibri" w:cs="Calibri"/>
          <w:b/>
        </w:rPr>
        <w:t xml:space="preserve">4. TRANSPORT </w:t>
      </w:r>
    </w:p>
    <w:p w14:paraId="032B593A" w14:textId="77777777" w:rsidR="0073248C" w:rsidRPr="0073248C" w:rsidRDefault="0073248C" w:rsidP="00F3201D">
      <w:pPr>
        <w:pStyle w:val="Akapitzlist"/>
        <w:ind w:left="283"/>
        <w:rPr>
          <w:rFonts w:ascii="Calibri" w:hAnsi="Calibri" w:cs="Calibri"/>
          <w:b/>
        </w:rPr>
      </w:pPr>
    </w:p>
    <w:p w14:paraId="40264F40" w14:textId="77777777" w:rsidR="0073248C" w:rsidRPr="0073248C" w:rsidRDefault="0073248C" w:rsidP="00F3201D">
      <w:pPr>
        <w:overflowPunct/>
        <w:textAlignment w:val="auto"/>
        <w:rPr>
          <w:rFonts w:ascii="Calibri" w:hAnsi="Calibri" w:cs="Calibri"/>
          <w:b/>
          <w:sz w:val="22"/>
          <w:szCs w:val="22"/>
        </w:rPr>
      </w:pPr>
      <w:r w:rsidRPr="0073248C">
        <w:rPr>
          <w:rFonts w:ascii="Calibri" w:hAnsi="Calibri" w:cs="Calibri"/>
          <w:b/>
          <w:sz w:val="22"/>
          <w:szCs w:val="22"/>
        </w:rPr>
        <w:t xml:space="preserve">4.1. Ogólne wymagania dotyczące transportu </w:t>
      </w:r>
    </w:p>
    <w:p w14:paraId="18BB2DAF" w14:textId="77777777" w:rsidR="0073248C" w:rsidRDefault="0073248C" w:rsidP="00F3201D">
      <w:pPr>
        <w:overflowPunct/>
        <w:autoSpaceDE/>
        <w:autoSpaceDN/>
        <w:adjustRightInd/>
        <w:textAlignment w:val="auto"/>
        <w:rPr>
          <w:rFonts w:asciiTheme="minorHAnsi" w:hAnsiTheme="minorHAnsi" w:cstheme="minorHAnsi"/>
        </w:rPr>
      </w:pPr>
      <w:r w:rsidRPr="0073248C">
        <w:rPr>
          <w:rFonts w:asciiTheme="minorHAnsi" w:hAnsiTheme="minorHAnsi" w:cstheme="minorHAnsi"/>
        </w:rPr>
        <w:t xml:space="preserve">Ogólne wymagania dotyczące transportu podano w DMU.00.00.00 „Wymagania ogólne” [1] pkt 4. </w:t>
      </w:r>
    </w:p>
    <w:p w14:paraId="643F64E3" w14:textId="77777777" w:rsidR="0073248C" w:rsidRPr="0073248C" w:rsidRDefault="0073248C" w:rsidP="00F3201D">
      <w:pPr>
        <w:overflowPunct/>
        <w:autoSpaceDE/>
        <w:autoSpaceDN/>
        <w:adjustRightInd/>
        <w:textAlignment w:val="auto"/>
        <w:rPr>
          <w:rFonts w:asciiTheme="minorHAnsi" w:hAnsiTheme="minorHAnsi" w:cstheme="minorHAnsi"/>
        </w:rPr>
      </w:pPr>
    </w:p>
    <w:p w14:paraId="5FD44779" w14:textId="77777777" w:rsidR="0073248C" w:rsidRPr="0073248C" w:rsidRDefault="0073248C" w:rsidP="00F3201D">
      <w:pPr>
        <w:overflowPunct/>
        <w:textAlignment w:val="auto"/>
        <w:rPr>
          <w:rFonts w:ascii="Calibri" w:hAnsi="Calibri" w:cs="Calibri"/>
          <w:b/>
          <w:sz w:val="22"/>
          <w:szCs w:val="22"/>
        </w:rPr>
      </w:pPr>
      <w:r w:rsidRPr="0073248C">
        <w:rPr>
          <w:rFonts w:ascii="Calibri" w:hAnsi="Calibri" w:cs="Calibri"/>
          <w:b/>
          <w:sz w:val="22"/>
          <w:szCs w:val="22"/>
        </w:rPr>
        <w:t xml:space="preserve">4.2. Transport materiałów </w:t>
      </w:r>
    </w:p>
    <w:p w14:paraId="6DC6CFEF" w14:textId="77777777" w:rsidR="0073248C" w:rsidRPr="0073248C" w:rsidRDefault="0073248C" w:rsidP="00F3201D">
      <w:pPr>
        <w:overflowPunct/>
        <w:autoSpaceDE/>
        <w:autoSpaceDN/>
        <w:adjustRightInd/>
        <w:textAlignment w:val="auto"/>
        <w:rPr>
          <w:rFonts w:asciiTheme="minorHAnsi" w:hAnsiTheme="minorHAnsi" w:cstheme="minorHAnsi"/>
        </w:rPr>
      </w:pPr>
      <w:r w:rsidRPr="0073248C">
        <w:rPr>
          <w:rFonts w:asciiTheme="minorHAnsi" w:hAnsiTheme="minorHAnsi" w:cstheme="minorHAnsi"/>
        </w:rPr>
        <w:t xml:space="preserve">Asfalt i polimeroasfalt należy przewozić w cysternach kolejowych lub samochodach izolowanych i zaopatrzonych w urządzenia umożliwiające pośrednie ogrzewanie oraz w zawory spustowe. </w:t>
      </w:r>
    </w:p>
    <w:p w14:paraId="7F240200" w14:textId="77777777" w:rsidR="0073248C" w:rsidRPr="0073248C" w:rsidRDefault="0073248C" w:rsidP="00F3201D">
      <w:pPr>
        <w:overflowPunct/>
        <w:autoSpaceDE/>
        <w:autoSpaceDN/>
        <w:adjustRightInd/>
        <w:textAlignment w:val="auto"/>
        <w:rPr>
          <w:rFonts w:asciiTheme="minorHAnsi" w:hAnsiTheme="minorHAnsi" w:cstheme="minorHAnsi"/>
        </w:rPr>
      </w:pPr>
      <w:r w:rsidRPr="0073248C">
        <w:rPr>
          <w:rFonts w:asciiTheme="minorHAnsi" w:hAnsiTheme="minorHAnsi" w:cstheme="minorHAnsi"/>
        </w:rPr>
        <w:t xml:space="preserve">Kruszywa można przewozić dowolnymi środkami transportu, w warunkach zabezpieczających je przed zanieczyszczeniem, zmieszaniem z innymi materiałami i nadmiernym zawilgoceniem. </w:t>
      </w:r>
    </w:p>
    <w:p w14:paraId="236DB5B5" w14:textId="77777777" w:rsidR="0073248C" w:rsidRPr="0073248C" w:rsidRDefault="0073248C" w:rsidP="00F3201D">
      <w:pPr>
        <w:overflowPunct/>
        <w:autoSpaceDE/>
        <w:autoSpaceDN/>
        <w:adjustRightInd/>
        <w:textAlignment w:val="auto"/>
        <w:rPr>
          <w:rFonts w:asciiTheme="minorHAnsi" w:hAnsiTheme="minorHAnsi" w:cstheme="minorHAnsi"/>
        </w:rPr>
      </w:pPr>
      <w:r w:rsidRPr="0073248C">
        <w:rPr>
          <w:rFonts w:asciiTheme="minorHAnsi" w:hAnsiTheme="minorHAnsi" w:cstheme="minorHAnsi"/>
        </w:rPr>
        <w:t xml:space="preserve">Wypełniacz należy przewozić w sposób chroniący go przed zawilgoceniem, zbryleniem i zanieczyszczeniem. Wypełniacz luzem powinien być przewożony w odpowiednich cysternach przystosowanych do przewozu materiałów sypkich, umożliwiających rozładunek pneumatyczny. </w:t>
      </w:r>
    </w:p>
    <w:p w14:paraId="42E0B666" w14:textId="77777777" w:rsidR="0073248C" w:rsidRPr="0073248C" w:rsidRDefault="0073248C" w:rsidP="00F3201D">
      <w:pPr>
        <w:overflowPunct/>
        <w:autoSpaceDE/>
        <w:autoSpaceDN/>
        <w:adjustRightInd/>
        <w:textAlignment w:val="auto"/>
        <w:rPr>
          <w:rFonts w:asciiTheme="minorHAnsi" w:hAnsiTheme="minorHAnsi" w:cstheme="minorHAnsi"/>
        </w:rPr>
      </w:pPr>
      <w:r w:rsidRPr="0073248C">
        <w:rPr>
          <w:rFonts w:asciiTheme="minorHAnsi" w:hAnsiTheme="minorHAnsi" w:cstheme="minorHAnsi"/>
        </w:rPr>
        <w:t xml:space="preserve">Emulsja asfaltowa może być transportowana w zamkniętych cysternach, autocysternach, beczkach i innych opakowaniach pod warunkiem, że nie będą korodowały pod wpływem emulsji i nie będą powodowały jej rozpadu. Cysterny powinny być wyposażone w przegrody. Nie należy używać do transportu opakowań z metali lekkich (może zachodzić wydzielanie wodoru i groźba wybuchu przy emulsjach o pH ≤ 4). </w:t>
      </w:r>
    </w:p>
    <w:p w14:paraId="41C23222" w14:textId="77777777" w:rsidR="0073248C" w:rsidRPr="0073248C" w:rsidRDefault="0073248C" w:rsidP="00F3201D">
      <w:pPr>
        <w:overflowPunct/>
        <w:autoSpaceDE/>
        <w:autoSpaceDN/>
        <w:adjustRightInd/>
        <w:textAlignment w:val="auto"/>
        <w:rPr>
          <w:rFonts w:asciiTheme="minorHAnsi" w:hAnsiTheme="minorHAnsi" w:cstheme="minorHAnsi"/>
        </w:rPr>
      </w:pPr>
      <w:r w:rsidRPr="0073248C">
        <w:rPr>
          <w:rFonts w:asciiTheme="minorHAnsi" w:hAnsiTheme="minorHAnsi" w:cstheme="minorHAnsi"/>
        </w:rPr>
        <w:t xml:space="preserve">Mieszankę SMA należy dowozić na budowę pojazdami samowyładowczymi w zależności od postępu robót. Podczas transportu i postoju przed wbudowaniem mieszanka powinna być zabezpieczona przed ostygnięciem i dopływem powietrza (przez przykrycie, pojemniki termoizolacyjne lub ogrzewane itp.). Warunki i czas transportu mieszanki, od produkcji do wbudowania, powinna zapewniać utrzymanie temperatury w wymaganym przedziale. </w:t>
      </w:r>
    </w:p>
    <w:p w14:paraId="520A1C57" w14:textId="77777777" w:rsidR="0073248C" w:rsidRDefault="0073248C" w:rsidP="00F3201D">
      <w:pPr>
        <w:overflowPunct/>
        <w:autoSpaceDE/>
        <w:autoSpaceDN/>
        <w:adjustRightInd/>
        <w:textAlignment w:val="auto"/>
        <w:rPr>
          <w:rFonts w:asciiTheme="minorHAnsi" w:hAnsiTheme="minorHAnsi" w:cstheme="minorHAnsi"/>
        </w:rPr>
      </w:pPr>
      <w:r w:rsidRPr="0073248C">
        <w:rPr>
          <w:rFonts w:asciiTheme="minorHAnsi" w:hAnsiTheme="minorHAnsi" w:cstheme="minorHAnsi"/>
        </w:rPr>
        <w:t xml:space="preserve">Powierzchnie pojemników używanych do transportu mieszanki powinny być czyste, a do zwilżania tych powierzchni można używać tylko środki antyadhezyjne niewpływające szkodliwie na mieszankę. </w:t>
      </w:r>
    </w:p>
    <w:p w14:paraId="0F000843" w14:textId="77777777" w:rsidR="0073248C" w:rsidRPr="0073248C" w:rsidRDefault="0073248C" w:rsidP="00F3201D">
      <w:pPr>
        <w:overflowPunct/>
        <w:autoSpaceDE/>
        <w:autoSpaceDN/>
        <w:adjustRightInd/>
        <w:textAlignment w:val="auto"/>
        <w:rPr>
          <w:rFonts w:asciiTheme="minorHAnsi" w:hAnsiTheme="minorHAnsi" w:cstheme="minorHAnsi"/>
        </w:rPr>
      </w:pPr>
    </w:p>
    <w:p w14:paraId="68EE1536" w14:textId="77777777" w:rsidR="0073248C" w:rsidRDefault="0073248C" w:rsidP="00F3201D">
      <w:pPr>
        <w:pStyle w:val="Akapitzlist"/>
        <w:ind w:left="283"/>
        <w:rPr>
          <w:rFonts w:ascii="Calibri" w:hAnsi="Calibri" w:cs="Calibri"/>
          <w:b/>
        </w:rPr>
      </w:pPr>
      <w:r w:rsidRPr="0073248C">
        <w:rPr>
          <w:rFonts w:ascii="Calibri" w:hAnsi="Calibri" w:cs="Calibri"/>
          <w:b/>
        </w:rPr>
        <w:t xml:space="preserve">5. WYKONANIE ROBÓT </w:t>
      </w:r>
    </w:p>
    <w:p w14:paraId="16B31CE1" w14:textId="77777777" w:rsidR="0073248C" w:rsidRPr="0073248C" w:rsidRDefault="0073248C" w:rsidP="00F3201D">
      <w:pPr>
        <w:pStyle w:val="Akapitzlist"/>
        <w:ind w:left="283"/>
        <w:rPr>
          <w:rFonts w:ascii="Calibri" w:hAnsi="Calibri" w:cs="Calibri"/>
          <w:b/>
        </w:rPr>
      </w:pPr>
    </w:p>
    <w:p w14:paraId="10B0B022" w14:textId="77777777" w:rsidR="0073248C" w:rsidRPr="0073248C" w:rsidRDefault="0073248C" w:rsidP="00F3201D">
      <w:pPr>
        <w:overflowPunct/>
        <w:textAlignment w:val="auto"/>
        <w:rPr>
          <w:rFonts w:ascii="Calibri" w:hAnsi="Calibri" w:cs="Calibri"/>
          <w:b/>
          <w:sz w:val="22"/>
          <w:szCs w:val="22"/>
        </w:rPr>
      </w:pPr>
      <w:r w:rsidRPr="0073248C">
        <w:rPr>
          <w:rFonts w:ascii="Calibri" w:hAnsi="Calibri" w:cs="Calibri"/>
          <w:b/>
          <w:sz w:val="22"/>
          <w:szCs w:val="22"/>
        </w:rPr>
        <w:t xml:space="preserve">5.1. Ogólne zasady wykonania robót </w:t>
      </w:r>
    </w:p>
    <w:p w14:paraId="6561B0F6" w14:textId="77777777" w:rsidR="0073248C" w:rsidRDefault="0073248C" w:rsidP="00F3201D">
      <w:pPr>
        <w:overflowPunct/>
        <w:autoSpaceDE/>
        <w:autoSpaceDN/>
        <w:adjustRightInd/>
        <w:textAlignment w:val="auto"/>
        <w:rPr>
          <w:rFonts w:asciiTheme="minorHAnsi" w:hAnsiTheme="minorHAnsi" w:cstheme="minorHAnsi"/>
        </w:rPr>
      </w:pPr>
      <w:r w:rsidRPr="0073248C">
        <w:rPr>
          <w:rFonts w:asciiTheme="minorHAnsi" w:hAnsiTheme="minorHAnsi" w:cstheme="minorHAnsi"/>
        </w:rPr>
        <w:t xml:space="preserve">Ogólne zasady wykonania robót podano w DMU.00.00.00 „Wymagania ogólne” [1] pkt 5. </w:t>
      </w:r>
    </w:p>
    <w:p w14:paraId="435A489C" w14:textId="77777777" w:rsidR="008831F9" w:rsidRDefault="008831F9" w:rsidP="008831F9">
      <w:pPr>
        <w:pStyle w:val="Nagwek4"/>
        <w:spacing w:before="0" w:after="0"/>
        <w:rPr>
          <w:rFonts w:ascii="Calibri" w:hAnsi="Calibri" w:cs="Calibri"/>
        </w:rPr>
      </w:pPr>
    </w:p>
    <w:p w14:paraId="4FBB2E5A" w14:textId="29086D6A" w:rsidR="008831F9" w:rsidRPr="008831F9" w:rsidRDefault="008831F9" w:rsidP="008831F9">
      <w:pPr>
        <w:pStyle w:val="Nagwek4"/>
        <w:spacing w:before="0" w:after="0"/>
        <w:rPr>
          <w:rFonts w:ascii="Calibri" w:hAnsi="Calibri" w:cs="Calibri"/>
        </w:rPr>
      </w:pPr>
      <w:r w:rsidRPr="008831F9">
        <w:rPr>
          <w:rFonts w:ascii="Calibri" w:hAnsi="Calibri" w:cs="Calibri"/>
        </w:rPr>
        <w:t>5.2 Projektowanie mieszanki SMA</w:t>
      </w:r>
    </w:p>
    <w:p w14:paraId="5AEE221D" w14:textId="77777777" w:rsidR="008831F9" w:rsidRPr="008831F9" w:rsidRDefault="008831F9" w:rsidP="008831F9">
      <w:pPr>
        <w:pStyle w:val="Tekstpodstawowy"/>
        <w:spacing w:line="240" w:lineRule="auto"/>
        <w:jc w:val="both"/>
        <w:rPr>
          <w:rFonts w:ascii="Calibri" w:hAnsi="Calibri" w:cs="Calibri"/>
          <w:sz w:val="20"/>
          <w:szCs w:val="20"/>
        </w:rPr>
      </w:pPr>
    </w:p>
    <w:p w14:paraId="7C9F9031" w14:textId="77777777" w:rsidR="008831F9" w:rsidRPr="008831F9" w:rsidRDefault="008831F9" w:rsidP="008831F9">
      <w:pPr>
        <w:pStyle w:val="Tekstpodstawowy"/>
        <w:spacing w:line="240" w:lineRule="auto"/>
        <w:jc w:val="both"/>
        <w:rPr>
          <w:rFonts w:ascii="Calibri" w:hAnsi="Calibri" w:cs="Calibri"/>
          <w:sz w:val="20"/>
          <w:szCs w:val="20"/>
        </w:rPr>
      </w:pPr>
      <w:r w:rsidRPr="008831F9">
        <w:rPr>
          <w:rFonts w:ascii="Calibri" w:hAnsi="Calibri" w:cs="Calibri"/>
          <w:sz w:val="20"/>
          <w:szCs w:val="20"/>
        </w:rPr>
        <w:t>W terminie 7 dni przed rozpoczęciem robót Wykonawca przedstawi Inżynierowi do zatwierdzenia projekt mieszanki SMA (Badanie Typu) oraz wszystkie dokumenty potwierdzające jakość materiałów składowych mieszanki SMA i reprezentatywne próbki materiałów. Mieszanka SMA powinna być tak zaprojektowana, aby spełniać wymagania podane w pkt. 8.2.5. WT-2 Nawierzchnie Asfaltowe 2014 w zależności od kategorii ruchu.</w:t>
      </w:r>
    </w:p>
    <w:p w14:paraId="1868F358" w14:textId="77777777" w:rsidR="008831F9" w:rsidRDefault="008831F9" w:rsidP="008831F9">
      <w:pPr>
        <w:pStyle w:val="Nagwek4"/>
        <w:spacing w:before="0" w:after="0"/>
        <w:rPr>
          <w:rFonts w:ascii="Calibri" w:hAnsi="Calibri" w:cs="Calibri"/>
        </w:rPr>
      </w:pPr>
    </w:p>
    <w:p w14:paraId="106BA9F4" w14:textId="79A05EFC" w:rsidR="008831F9" w:rsidRPr="008831F9" w:rsidRDefault="008831F9" w:rsidP="008831F9">
      <w:pPr>
        <w:pStyle w:val="Nagwek4"/>
        <w:spacing w:before="0" w:after="0"/>
        <w:rPr>
          <w:rFonts w:ascii="Calibri" w:hAnsi="Calibri" w:cs="Calibri"/>
        </w:rPr>
      </w:pPr>
      <w:r w:rsidRPr="008831F9">
        <w:rPr>
          <w:rFonts w:ascii="Calibri" w:hAnsi="Calibri" w:cs="Calibri"/>
        </w:rPr>
        <w:t>5.3 Wytwarzanie mieszanki</w:t>
      </w:r>
      <w:r w:rsidRPr="008831F9">
        <w:rPr>
          <w:rFonts w:ascii="Calibri" w:hAnsi="Calibri" w:cs="Calibri"/>
          <w:spacing w:val="-4"/>
        </w:rPr>
        <w:t xml:space="preserve"> </w:t>
      </w:r>
      <w:r w:rsidRPr="008831F9">
        <w:rPr>
          <w:rFonts w:ascii="Calibri" w:hAnsi="Calibri" w:cs="Calibri"/>
        </w:rPr>
        <w:t>SMA</w:t>
      </w:r>
    </w:p>
    <w:p w14:paraId="0D63BCC0" w14:textId="77777777" w:rsidR="008831F9" w:rsidRPr="008831F9" w:rsidRDefault="008831F9" w:rsidP="008831F9">
      <w:pPr>
        <w:pStyle w:val="Tekstpodstawowy"/>
        <w:spacing w:line="240" w:lineRule="auto"/>
        <w:jc w:val="both"/>
        <w:rPr>
          <w:rFonts w:ascii="Calibri" w:hAnsi="Calibri" w:cs="Calibri"/>
          <w:sz w:val="20"/>
          <w:szCs w:val="20"/>
        </w:rPr>
      </w:pPr>
    </w:p>
    <w:p w14:paraId="464CD3B0" w14:textId="77777777" w:rsidR="008831F9" w:rsidRPr="008831F9" w:rsidRDefault="008831F9" w:rsidP="008831F9">
      <w:pPr>
        <w:pStyle w:val="Tekstpodstawowy"/>
        <w:spacing w:line="240" w:lineRule="auto"/>
        <w:jc w:val="both"/>
        <w:rPr>
          <w:rFonts w:ascii="Calibri" w:hAnsi="Calibri" w:cs="Calibri"/>
          <w:sz w:val="20"/>
          <w:szCs w:val="20"/>
        </w:rPr>
      </w:pPr>
      <w:r w:rsidRPr="008831F9">
        <w:rPr>
          <w:rFonts w:ascii="Calibri" w:hAnsi="Calibri" w:cs="Calibri"/>
          <w:sz w:val="20"/>
          <w:szCs w:val="20"/>
        </w:rPr>
        <w:t>Produkcja mieszanki SMA powinna odbywać się na WMA o cyklicznym systemie produkcji mieszanki, zgodnie z wymaganiami opisanymi w p. 3.1. Dozowanie wszystkich składników (w tym środek adhezyjny i stabilizator mastyksu) powinno odbywać się wagowo. Temperatury technologiczne wytwarzania mieszanki SMA powinny być zgodne z wymaganiami podanymi w p. 8.3 WT-2 2014 (tablica 42) Nawierzchnie Asfaltowe oraz zgodnie z zaleceniami producenta. Mieszankę SMA zaleca się wbudowywać bezpośrednio po wyprodukowaniu bez magazynowania na zapas. Przechowywanie wyprodukowanej mieszanki SMA w silosie może mieć miejsce tylko w sytuacjach awaryjnych.</w:t>
      </w:r>
    </w:p>
    <w:p w14:paraId="3E3EA680" w14:textId="77777777" w:rsidR="008831F9" w:rsidRDefault="008831F9" w:rsidP="008831F9">
      <w:pPr>
        <w:pStyle w:val="Nagwek4"/>
        <w:spacing w:before="0" w:after="0"/>
        <w:rPr>
          <w:rFonts w:ascii="Calibri" w:hAnsi="Calibri" w:cs="Calibri"/>
        </w:rPr>
      </w:pPr>
    </w:p>
    <w:p w14:paraId="0C61DAC9" w14:textId="0D4C2BF2" w:rsidR="008831F9" w:rsidRPr="008831F9" w:rsidRDefault="008831F9" w:rsidP="008831F9">
      <w:pPr>
        <w:pStyle w:val="Nagwek4"/>
        <w:spacing w:before="0" w:after="0"/>
        <w:rPr>
          <w:rFonts w:ascii="Calibri" w:hAnsi="Calibri" w:cs="Calibri"/>
        </w:rPr>
      </w:pPr>
      <w:r w:rsidRPr="008831F9">
        <w:rPr>
          <w:rFonts w:ascii="Calibri" w:hAnsi="Calibri" w:cs="Calibri"/>
        </w:rPr>
        <w:t>5.4 Przygotowanie podłoża</w:t>
      </w:r>
    </w:p>
    <w:p w14:paraId="21130E50" w14:textId="77777777" w:rsidR="008831F9" w:rsidRPr="008831F9" w:rsidRDefault="008831F9" w:rsidP="008831F9">
      <w:pPr>
        <w:pStyle w:val="Tekstpodstawowy"/>
        <w:spacing w:line="240" w:lineRule="auto"/>
        <w:jc w:val="both"/>
        <w:rPr>
          <w:rFonts w:ascii="Calibri" w:hAnsi="Calibri" w:cs="Calibri"/>
          <w:sz w:val="20"/>
          <w:szCs w:val="20"/>
        </w:rPr>
      </w:pPr>
    </w:p>
    <w:p w14:paraId="7318DCDD" w14:textId="77777777" w:rsidR="008831F9" w:rsidRPr="008831F9" w:rsidRDefault="008831F9" w:rsidP="008831F9">
      <w:pPr>
        <w:pStyle w:val="Tekstpodstawowy"/>
        <w:spacing w:line="240" w:lineRule="auto"/>
        <w:jc w:val="both"/>
        <w:rPr>
          <w:rFonts w:ascii="Calibri" w:hAnsi="Calibri" w:cs="Calibri"/>
          <w:sz w:val="20"/>
          <w:szCs w:val="20"/>
        </w:rPr>
      </w:pPr>
      <w:r w:rsidRPr="008831F9">
        <w:rPr>
          <w:rFonts w:ascii="Calibri" w:hAnsi="Calibri" w:cs="Calibri"/>
          <w:sz w:val="20"/>
          <w:szCs w:val="20"/>
        </w:rPr>
        <w:t>Podłoże pod warstwę ścieralną z mieszanki SMA powinno spełniać wymagania pkt. 7.2 oraz zostać przygotowane zgodnie z pkt. 7.3 WT-2 Nawierzchnie Asfaltowe Na Drogach Krajowych 2016 – część II. Warstwę podłoża pod warstwę ścieralną z mieszanki SMA należy skropić emulsją asfaltową zgodnie z STWiORB D.04.03.01.</w:t>
      </w:r>
    </w:p>
    <w:p w14:paraId="1BDE0745" w14:textId="77777777" w:rsidR="008831F9" w:rsidRPr="008831F9" w:rsidRDefault="008831F9" w:rsidP="008831F9">
      <w:pPr>
        <w:pStyle w:val="Tekstpodstawowy"/>
        <w:spacing w:line="240" w:lineRule="auto"/>
        <w:jc w:val="both"/>
        <w:rPr>
          <w:rFonts w:ascii="Calibri" w:hAnsi="Calibri" w:cs="Calibri"/>
          <w:sz w:val="20"/>
          <w:szCs w:val="20"/>
        </w:rPr>
      </w:pPr>
      <w:r w:rsidRPr="008831F9">
        <w:rPr>
          <w:rFonts w:ascii="Calibri" w:hAnsi="Calibri" w:cs="Calibri"/>
          <w:sz w:val="20"/>
          <w:szCs w:val="20"/>
        </w:rPr>
        <w:t>Brzegi krawężników i innych urządzeń przylegających do nawierzchni powinny być posmarowane gorącym asfaltem lub asfaltem modyfikowanym (w zależności od rodzaju asfaltu użytego w mieszance SMA) lub oklejone taśma</w:t>
      </w:r>
      <w:r w:rsidRPr="008831F9">
        <w:rPr>
          <w:rFonts w:ascii="Calibri" w:hAnsi="Calibri" w:cs="Calibri"/>
          <w:spacing w:val="-4"/>
          <w:sz w:val="20"/>
          <w:szCs w:val="20"/>
        </w:rPr>
        <w:t xml:space="preserve"> </w:t>
      </w:r>
      <w:r w:rsidRPr="008831F9">
        <w:rPr>
          <w:rFonts w:ascii="Calibri" w:hAnsi="Calibri" w:cs="Calibri"/>
          <w:sz w:val="20"/>
          <w:szCs w:val="20"/>
        </w:rPr>
        <w:t>bitumiczną.</w:t>
      </w:r>
    </w:p>
    <w:p w14:paraId="2FC994A5" w14:textId="77777777" w:rsidR="008831F9" w:rsidRPr="008831F9" w:rsidRDefault="008831F9" w:rsidP="008831F9">
      <w:pPr>
        <w:pStyle w:val="Nagwek4"/>
        <w:spacing w:before="0" w:after="0"/>
        <w:rPr>
          <w:rFonts w:ascii="Calibri" w:hAnsi="Calibri" w:cs="Calibri"/>
        </w:rPr>
      </w:pPr>
      <w:r w:rsidRPr="008831F9">
        <w:rPr>
          <w:rFonts w:ascii="Calibri" w:hAnsi="Calibri" w:cs="Calibri"/>
        </w:rPr>
        <w:t>5.5 Próba</w:t>
      </w:r>
      <w:r w:rsidRPr="008831F9">
        <w:rPr>
          <w:rFonts w:ascii="Calibri" w:hAnsi="Calibri" w:cs="Calibri"/>
          <w:spacing w:val="-3"/>
        </w:rPr>
        <w:t xml:space="preserve"> </w:t>
      </w:r>
      <w:r w:rsidRPr="008831F9">
        <w:rPr>
          <w:rFonts w:ascii="Calibri" w:hAnsi="Calibri" w:cs="Calibri"/>
        </w:rPr>
        <w:t>technologiczna</w:t>
      </w:r>
    </w:p>
    <w:p w14:paraId="635848B8" w14:textId="77777777" w:rsidR="008831F9" w:rsidRPr="008831F9" w:rsidRDefault="008831F9" w:rsidP="008831F9">
      <w:pPr>
        <w:pStyle w:val="Tekstpodstawowy"/>
        <w:spacing w:line="240" w:lineRule="auto"/>
        <w:jc w:val="both"/>
        <w:rPr>
          <w:rFonts w:ascii="Calibri" w:hAnsi="Calibri" w:cs="Calibri"/>
          <w:sz w:val="20"/>
          <w:szCs w:val="20"/>
        </w:rPr>
      </w:pPr>
    </w:p>
    <w:p w14:paraId="4CEA9F52" w14:textId="77777777" w:rsidR="008831F9" w:rsidRPr="008831F9" w:rsidRDefault="008831F9" w:rsidP="008831F9">
      <w:pPr>
        <w:pStyle w:val="Tekstpodstawowy"/>
        <w:spacing w:line="240" w:lineRule="auto"/>
        <w:jc w:val="both"/>
        <w:rPr>
          <w:rFonts w:ascii="Calibri" w:hAnsi="Calibri" w:cs="Calibri"/>
          <w:sz w:val="20"/>
          <w:szCs w:val="20"/>
        </w:rPr>
      </w:pPr>
      <w:r w:rsidRPr="008831F9">
        <w:rPr>
          <w:rFonts w:ascii="Calibri" w:hAnsi="Calibri" w:cs="Calibri"/>
          <w:sz w:val="20"/>
          <w:szCs w:val="20"/>
        </w:rPr>
        <w:t>Wykonawca przed przystąpieniem do produkcji mieszanki SMA na żądanie Inżyniera jest zobowiązany do przeprowadzenia próby technologicznej.</w:t>
      </w:r>
    </w:p>
    <w:p w14:paraId="5FEEFCE1" w14:textId="77777777" w:rsidR="008831F9" w:rsidRPr="008831F9" w:rsidRDefault="008831F9" w:rsidP="008831F9">
      <w:pPr>
        <w:pStyle w:val="Tekstpodstawowy"/>
        <w:spacing w:line="240" w:lineRule="auto"/>
        <w:jc w:val="both"/>
        <w:rPr>
          <w:rFonts w:ascii="Calibri" w:hAnsi="Calibri" w:cs="Calibri"/>
          <w:sz w:val="20"/>
          <w:szCs w:val="20"/>
        </w:rPr>
      </w:pPr>
      <w:r w:rsidRPr="008831F9">
        <w:rPr>
          <w:rFonts w:ascii="Calibri" w:hAnsi="Calibri" w:cs="Calibri"/>
          <w:sz w:val="20"/>
          <w:szCs w:val="20"/>
        </w:rPr>
        <w:t>Nie dopuszcza się oceniania dokładności pracy otaczarki oraz prawidłowości składu mieszanki mineralnej na podstawie tzw. suchego zarobu, z uwagi na segregację kruszywa. Na podstawie uzyskanych wyników Inżynier podejmuje decyzję o wykonaniu odcinka próbnego. Tolerancje zawartości składników mieszanki SMA względem składu zaprojektowanego powinny być zgodne z wymaganiami podanymi w pkt. 6.2 niniejszego</w:t>
      </w:r>
      <w:r w:rsidRPr="008831F9">
        <w:rPr>
          <w:rFonts w:ascii="Calibri" w:hAnsi="Calibri" w:cs="Calibri"/>
          <w:spacing w:val="-6"/>
          <w:sz w:val="20"/>
          <w:szCs w:val="20"/>
        </w:rPr>
        <w:t xml:space="preserve"> </w:t>
      </w:r>
      <w:r w:rsidRPr="008831F9">
        <w:rPr>
          <w:rFonts w:ascii="Calibri" w:hAnsi="Calibri" w:cs="Calibri"/>
          <w:sz w:val="20"/>
          <w:szCs w:val="20"/>
        </w:rPr>
        <w:t>STWiORB.</w:t>
      </w:r>
    </w:p>
    <w:p w14:paraId="2FBF63E2" w14:textId="77777777" w:rsidR="008831F9" w:rsidRDefault="008831F9" w:rsidP="008831F9">
      <w:pPr>
        <w:pStyle w:val="Nagwek4"/>
        <w:spacing w:before="0" w:after="0"/>
        <w:rPr>
          <w:rFonts w:ascii="Calibri" w:hAnsi="Calibri" w:cs="Calibri"/>
        </w:rPr>
      </w:pPr>
    </w:p>
    <w:p w14:paraId="6E6839BF" w14:textId="04865033" w:rsidR="008831F9" w:rsidRPr="008831F9" w:rsidRDefault="008831F9" w:rsidP="008831F9">
      <w:pPr>
        <w:pStyle w:val="Nagwek4"/>
        <w:spacing w:before="0" w:after="0"/>
        <w:rPr>
          <w:rFonts w:ascii="Calibri" w:hAnsi="Calibri" w:cs="Calibri"/>
        </w:rPr>
      </w:pPr>
      <w:r w:rsidRPr="008831F9">
        <w:rPr>
          <w:rFonts w:ascii="Calibri" w:hAnsi="Calibri" w:cs="Calibri"/>
        </w:rPr>
        <w:t>5.6 Odcinek</w:t>
      </w:r>
      <w:r w:rsidRPr="008831F9">
        <w:rPr>
          <w:rFonts w:ascii="Calibri" w:hAnsi="Calibri" w:cs="Calibri"/>
          <w:spacing w:val="-1"/>
        </w:rPr>
        <w:t xml:space="preserve"> </w:t>
      </w:r>
      <w:r w:rsidRPr="008831F9">
        <w:rPr>
          <w:rFonts w:ascii="Calibri" w:hAnsi="Calibri" w:cs="Calibri"/>
        </w:rPr>
        <w:t>próbny</w:t>
      </w:r>
    </w:p>
    <w:p w14:paraId="2F7C57D0" w14:textId="77777777" w:rsidR="008831F9" w:rsidRPr="008831F9" w:rsidRDefault="008831F9" w:rsidP="008831F9">
      <w:pPr>
        <w:pStyle w:val="Tekstpodstawowy"/>
        <w:spacing w:line="240" w:lineRule="auto"/>
        <w:jc w:val="both"/>
        <w:rPr>
          <w:rFonts w:ascii="Calibri" w:hAnsi="Calibri" w:cs="Calibri"/>
          <w:sz w:val="20"/>
          <w:szCs w:val="20"/>
        </w:rPr>
      </w:pPr>
    </w:p>
    <w:p w14:paraId="5041911E" w14:textId="77777777" w:rsidR="008831F9" w:rsidRPr="008831F9" w:rsidRDefault="008831F9" w:rsidP="008831F9">
      <w:pPr>
        <w:pStyle w:val="Tekstpodstawowy"/>
        <w:spacing w:line="240" w:lineRule="auto"/>
        <w:jc w:val="both"/>
        <w:rPr>
          <w:rFonts w:ascii="Calibri" w:hAnsi="Calibri" w:cs="Calibri"/>
          <w:sz w:val="20"/>
          <w:szCs w:val="20"/>
        </w:rPr>
      </w:pPr>
      <w:r w:rsidRPr="008831F9">
        <w:rPr>
          <w:rFonts w:ascii="Calibri" w:hAnsi="Calibri" w:cs="Calibri"/>
          <w:sz w:val="20"/>
          <w:szCs w:val="20"/>
        </w:rPr>
        <w:t>Na żądanie Inżyniera, Wykonawca powinien wykonać odcinek próbny o długości przynajmniej 100m na całej szerokości jednej jezdni. Wykonawca powinien wykonać odcinek próbny w celu:</w:t>
      </w:r>
    </w:p>
    <w:p w14:paraId="7E68FB78" w14:textId="77777777" w:rsidR="008831F9" w:rsidRPr="008831F9" w:rsidRDefault="008831F9" w:rsidP="00262498">
      <w:pPr>
        <w:pStyle w:val="Tekstpodstawowy"/>
        <w:widowControl w:val="0"/>
        <w:numPr>
          <w:ilvl w:val="0"/>
          <w:numId w:val="247"/>
        </w:numPr>
        <w:overflowPunct/>
        <w:adjustRightInd/>
        <w:spacing w:line="240" w:lineRule="auto"/>
        <w:jc w:val="both"/>
        <w:textAlignment w:val="auto"/>
        <w:rPr>
          <w:rFonts w:ascii="Calibri" w:hAnsi="Calibri" w:cs="Calibri"/>
          <w:sz w:val="20"/>
          <w:szCs w:val="20"/>
        </w:rPr>
      </w:pPr>
      <w:r w:rsidRPr="008831F9">
        <w:rPr>
          <w:rFonts w:ascii="Calibri" w:hAnsi="Calibri" w:cs="Calibri"/>
          <w:sz w:val="20"/>
          <w:szCs w:val="20"/>
        </w:rPr>
        <w:t>zdefiniowania parametrów produkcyjnych mieszanki</w:t>
      </w:r>
      <w:r w:rsidRPr="008831F9">
        <w:rPr>
          <w:rFonts w:ascii="Calibri" w:hAnsi="Calibri" w:cs="Calibri"/>
          <w:spacing w:val="-2"/>
          <w:sz w:val="20"/>
          <w:szCs w:val="20"/>
        </w:rPr>
        <w:t xml:space="preserve"> </w:t>
      </w:r>
      <w:r w:rsidRPr="008831F9">
        <w:rPr>
          <w:rFonts w:ascii="Calibri" w:hAnsi="Calibri" w:cs="Calibri"/>
          <w:sz w:val="20"/>
          <w:szCs w:val="20"/>
        </w:rPr>
        <w:t>SMA</w:t>
      </w:r>
    </w:p>
    <w:p w14:paraId="1C84270D" w14:textId="77777777" w:rsidR="008831F9" w:rsidRPr="008831F9" w:rsidRDefault="008831F9" w:rsidP="00262498">
      <w:pPr>
        <w:pStyle w:val="Tekstpodstawowy"/>
        <w:widowControl w:val="0"/>
        <w:numPr>
          <w:ilvl w:val="0"/>
          <w:numId w:val="247"/>
        </w:numPr>
        <w:overflowPunct/>
        <w:adjustRightInd/>
        <w:spacing w:line="240" w:lineRule="auto"/>
        <w:jc w:val="both"/>
        <w:textAlignment w:val="auto"/>
        <w:rPr>
          <w:rFonts w:ascii="Calibri" w:hAnsi="Calibri" w:cs="Calibri"/>
          <w:sz w:val="20"/>
          <w:szCs w:val="20"/>
        </w:rPr>
      </w:pPr>
      <w:r w:rsidRPr="008831F9">
        <w:rPr>
          <w:rFonts w:ascii="Calibri" w:hAnsi="Calibri" w:cs="Calibri"/>
          <w:sz w:val="20"/>
          <w:szCs w:val="20"/>
        </w:rPr>
        <w:t>sprawdzenia czy sprzęt użyty do rozkładania i zagęszczania mieszanki jest</w:t>
      </w:r>
      <w:r w:rsidRPr="008831F9">
        <w:rPr>
          <w:rFonts w:ascii="Calibri" w:hAnsi="Calibri" w:cs="Calibri"/>
          <w:spacing w:val="-17"/>
          <w:sz w:val="20"/>
          <w:szCs w:val="20"/>
        </w:rPr>
        <w:t xml:space="preserve"> </w:t>
      </w:r>
      <w:r w:rsidRPr="008831F9">
        <w:rPr>
          <w:rFonts w:ascii="Calibri" w:hAnsi="Calibri" w:cs="Calibri"/>
          <w:sz w:val="20"/>
          <w:szCs w:val="20"/>
        </w:rPr>
        <w:t>właściwy</w:t>
      </w:r>
    </w:p>
    <w:p w14:paraId="14DAEC53" w14:textId="77777777" w:rsidR="008831F9" w:rsidRPr="008831F9" w:rsidRDefault="008831F9" w:rsidP="00262498">
      <w:pPr>
        <w:pStyle w:val="Tekstpodstawowy"/>
        <w:widowControl w:val="0"/>
        <w:numPr>
          <w:ilvl w:val="0"/>
          <w:numId w:val="247"/>
        </w:numPr>
        <w:overflowPunct/>
        <w:adjustRightInd/>
        <w:spacing w:line="240" w:lineRule="auto"/>
        <w:jc w:val="both"/>
        <w:textAlignment w:val="auto"/>
        <w:rPr>
          <w:rFonts w:ascii="Calibri" w:hAnsi="Calibri" w:cs="Calibri"/>
          <w:sz w:val="20"/>
          <w:szCs w:val="20"/>
        </w:rPr>
      </w:pPr>
      <w:r w:rsidRPr="008831F9">
        <w:rPr>
          <w:rFonts w:ascii="Calibri" w:hAnsi="Calibri" w:cs="Calibri"/>
          <w:sz w:val="20"/>
          <w:szCs w:val="20"/>
        </w:rPr>
        <w:t>określenia grubości warstwy mieszanki mineralno-asfaltowej przed zagęszczeniem, koniecznej do uzyskania wymaganej ostatecznej grubości</w:t>
      </w:r>
      <w:r w:rsidRPr="008831F9">
        <w:rPr>
          <w:rFonts w:ascii="Calibri" w:hAnsi="Calibri" w:cs="Calibri"/>
          <w:spacing w:val="2"/>
          <w:sz w:val="20"/>
          <w:szCs w:val="20"/>
        </w:rPr>
        <w:t xml:space="preserve"> </w:t>
      </w:r>
      <w:r w:rsidRPr="008831F9">
        <w:rPr>
          <w:rFonts w:ascii="Calibri" w:hAnsi="Calibri" w:cs="Calibri"/>
          <w:sz w:val="20"/>
          <w:szCs w:val="20"/>
        </w:rPr>
        <w:t>warstwy</w:t>
      </w:r>
    </w:p>
    <w:p w14:paraId="2DA8F462" w14:textId="77777777" w:rsidR="008831F9" w:rsidRPr="008831F9" w:rsidRDefault="008831F9" w:rsidP="00262498">
      <w:pPr>
        <w:pStyle w:val="Tekstpodstawowy"/>
        <w:widowControl w:val="0"/>
        <w:numPr>
          <w:ilvl w:val="0"/>
          <w:numId w:val="247"/>
        </w:numPr>
        <w:overflowPunct/>
        <w:adjustRightInd/>
        <w:spacing w:line="240" w:lineRule="auto"/>
        <w:jc w:val="both"/>
        <w:textAlignment w:val="auto"/>
        <w:rPr>
          <w:rFonts w:ascii="Calibri" w:hAnsi="Calibri" w:cs="Calibri"/>
          <w:sz w:val="20"/>
          <w:szCs w:val="20"/>
        </w:rPr>
      </w:pPr>
      <w:r w:rsidRPr="008831F9">
        <w:rPr>
          <w:rFonts w:ascii="Calibri" w:hAnsi="Calibri" w:cs="Calibri"/>
          <w:sz w:val="20"/>
          <w:szCs w:val="20"/>
        </w:rPr>
        <w:t>określenia potrzebnej liczby przejść walców dla uzyskania prawidłowego zagęszczenia warstwy.</w:t>
      </w:r>
    </w:p>
    <w:p w14:paraId="45B43156" w14:textId="77777777" w:rsidR="008831F9" w:rsidRPr="008831F9" w:rsidRDefault="008831F9" w:rsidP="00262498">
      <w:pPr>
        <w:pStyle w:val="Tekstpodstawowy"/>
        <w:widowControl w:val="0"/>
        <w:numPr>
          <w:ilvl w:val="0"/>
          <w:numId w:val="247"/>
        </w:numPr>
        <w:overflowPunct/>
        <w:adjustRightInd/>
        <w:spacing w:line="240" w:lineRule="auto"/>
        <w:jc w:val="both"/>
        <w:textAlignment w:val="auto"/>
        <w:rPr>
          <w:rFonts w:ascii="Calibri" w:hAnsi="Calibri" w:cs="Calibri"/>
          <w:sz w:val="20"/>
          <w:szCs w:val="20"/>
        </w:rPr>
      </w:pPr>
      <w:r w:rsidRPr="008831F9">
        <w:rPr>
          <w:rFonts w:ascii="Calibri" w:hAnsi="Calibri" w:cs="Calibri"/>
          <w:sz w:val="20"/>
          <w:szCs w:val="20"/>
        </w:rPr>
        <w:t>Potwierdzenia wszystkich parametrów dla mieszanki mineralno-asfaltowej i ułożonej warstwy zgodnie z tablicą 1 i pkt</w:t>
      </w:r>
      <w:r w:rsidRPr="008831F9">
        <w:rPr>
          <w:rFonts w:ascii="Calibri" w:hAnsi="Calibri" w:cs="Calibri"/>
          <w:spacing w:val="-5"/>
          <w:sz w:val="20"/>
          <w:szCs w:val="20"/>
        </w:rPr>
        <w:t xml:space="preserve"> </w:t>
      </w:r>
      <w:r w:rsidRPr="008831F9">
        <w:rPr>
          <w:rFonts w:ascii="Calibri" w:hAnsi="Calibri" w:cs="Calibri"/>
          <w:sz w:val="20"/>
          <w:szCs w:val="20"/>
        </w:rPr>
        <w:t>6.</w:t>
      </w:r>
    </w:p>
    <w:p w14:paraId="2CD59300" w14:textId="77777777" w:rsidR="008831F9" w:rsidRPr="008831F9" w:rsidRDefault="008831F9" w:rsidP="008831F9">
      <w:pPr>
        <w:pStyle w:val="Tekstpodstawowy"/>
        <w:spacing w:line="240" w:lineRule="auto"/>
        <w:jc w:val="both"/>
        <w:rPr>
          <w:rFonts w:ascii="Calibri" w:hAnsi="Calibri" w:cs="Calibri"/>
          <w:sz w:val="20"/>
          <w:szCs w:val="20"/>
        </w:rPr>
      </w:pPr>
      <w:r w:rsidRPr="008831F9">
        <w:rPr>
          <w:rFonts w:ascii="Calibri" w:hAnsi="Calibri" w:cs="Calibri"/>
          <w:sz w:val="20"/>
          <w:szCs w:val="20"/>
        </w:rPr>
        <w:t>Do wykonania odcinka próbnego, Wykonawca powinien zastosować takie same materiały oraz sprzęt jakie będą stosowane do wykonania warstwy SMA podczas robót. Lokalizacja odcinka próbnego zostanie zaakceptowana przez Inżyniera. Wykonawca rozpocznie wykonywanie nawierzchni SMA dopiero po otrzymaniu akceptacji Inżyniera, wydanej na podstawie testów oraz pomiarów dokonanych na odcinku próbnym. W przypadku nieprawidłowych parametrów warstwy ścieralnej i nie zatwierdzeniu przez Inżyniera odcinka próbnego, Wykonawca</w:t>
      </w:r>
      <w:r w:rsidRPr="008831F9">
        <w:rPr>
          <w:rFonts w:ascii="Calibri" w:hAnsi="Calibri" w:cs="Calibri"/>
          <w:spacing w:val="-18"/>
          <w:sz w:val="20"/>
          <w:szCs w:val="20"/>
        </w:rPr>
        <w:t xml:space="preserve"> </w:t>
      </w:r>
      <w:r w:rsidRPr="008831F9">
        <w:rPr>
          <w:rFonts w:ascii="Calibri" w:hAnsi="Calibri" w:cs="Calibri"/>
          <w:sz w:val="20"/>
          <w:szCs w:val="20"/>
        </w:rPr>
        <w:t>ma obowiązek usunąć odcinek próbny warstwy ścieralnej (jeżeli był wykonywany w obrębie Kontraktu) na własny koszt.</w:t>
      </w:r>
    </w:p>
    <w:p w14:paraId="0F8432AD" w14:textId="77777777" w:rsidR="008831F9" w:rsidRDefault="008831F9" w:rsidP="008831F9">
      <w:pPr>
        <w:pStyle w:val="Nagwek4"/>
        <w:spacing w:before="0" w:after="0"/>
        <w:rPr>
          <w:rFonts w:ascii="Calibri" w:hAnsi="Calibri" w:cs="Calibri"/>
        </w:rPr>
      </w:pPr>
    </w:p>
    <w:p w14:paraId="187529EA" w14:textId="5C67A726" w:rsidR="008831F9" w:rsidRPr="008831F9" w:rsidRDefault="008831F9" w:rsidP="008831F9">
      <w:pPr>
        <w:pStyle w:val="Nagwek4"/>
        <w:spacing w:before="0" w:after="0"/>
        <w:rPr>
          <w:rFonts w:ascii="Calibri" w:hAnsi="Calibri" w:cs="Calibri"/>
        </w:rPr>
      </w:pPr>
      <w:r w:rsidRPr="008831F9">
        <w:rPr>
          <w:rFonts w:ascii="Calibri" w:hAnsi="Calibri" w:cs="Calibri"/>
        </w:rPr>
        <w:t>5.7 Wbudowywanie mieszanki</w:t>
      </w:r>
      <w:r w:rsidRPr="008831F9">
        <w:rPr>
          <w:rFonts w:ascii="Calibri" w:hAnsi="Calibri" w:cs="Calibri"/>
          <w:spacing w:val="-2"/>
        </w:rPr>
        <w:t xml:space="preserve"> </w:t>
      </w:r>
      <w:r w:rsidRPr="008831F9">
        <w:rPr>
          <w:rFonts w:ascii="Calibri" w:hAnsi="Calibri" w:cs="Calibri"/>
        </w:rPr>
        <w:t>MMA</w:t>
      </w:r>
    </w:p>
    <w:p w14:paraId="61D5B159" w14:textId="77777777" w:rsidR="008831F9" w:rsidRPr="008831F9" w:rsidRDefault="008831F9" w:rsidP="008831F9">
      <w:pPr>
        <w:pStyle w:val="Tekstpodstawowy"/>
        <w:spacing w:line="240" w:lineRule="auto"/>
        <w:jc w:val="both"/>
        <w:rPr>
          <w:rFonts w:ascii="Calibri" w:hAnsi="Calibri" w:cs="Calibri"/>
          <w:sz w:val="20"/>
          <w:szCs w:val="20"/>
        </w:rPr>
      </w:pPr>
    </w:p>
    <w:p w14:paraId="5E019E23" w14:textId="77777777" w:rsidR="008831F9" w:rsidRPr="008831F9" w:rsidRDefault="008831F9" w:rsidP="008831F9">
      <w:pPr>
        <w:pStyle w:val="Tekstpodstawowy"/>
        <w:spacing w:line="240" w:lineRule="auto"/>
        <w:jc w:val="both"/>
        <w:rPr>
          <w:rFonts w:ascii="Calibri" w:hAnsi="Calibri" w:cs="Calibri"/>
          <w:sz w:val="20"/>
          <w:szCs w:val="20"/>
        </w:rPr>
      </w:pPr>
      <w:r w:rsidRPr="008831F9">
        <w:rPr>
          <w:rFonts w:ascii="Calibri" w:hAnsi="Calibri" w:cs="Calibri"/>
          <w:sz w:val="20"/>
          <w:szCs w:val="20"/>
        </w:rPr>
        <w:t>Układanie MMA może odbywać się tylko przy użyciu mechanicznej układarki całą szerokością. Dopuszcza się układanie warstwy pasami o mniejszej szerokości niż szerokość jezdni, lecz przy użyciu 2 układarek przy niewielkich odległościach pomiędzy nimi (metoda „gorąco na gorąco”). Układanie mieszanki musi odbywać się w sposób ciągły, bez przestoju, z jednostajną prędkością. Układarka powinna być stale zasilana w mieszankę tak, ażeby w zasobniku zawsze znajdowała się odpowiednia jej ilość, a kosz, transporter i stół były zawsze gorące i nie stygły. Mieszanka mineralno-asfaltowa powinna być zagęszczana walcami stalowymi</w:t>
      </w:r>
      <w:r w:rsidRPr="008831F9">
        <w:rPr>
          <w:rFonts w:ascii="Calibri" w:hAnsi="Calibri" w:cs="Calibri"/>
          <w:spacing w:val="-1"/>
          <w:sz w:val="20"/>
          <w:szCs w:val="20"/>
        </w:rPr>
        <w:t xml:space="preserve"> </w:t>
      </w:r>
      <w:r w:rsidRPr="008831F9">
        <w:rPr>
          <w:rFonts w:ascii="Calibri" w:hAnsi="Calibri" w:cs="Calibri"/>
          <w:sz w:val="20"/>
          <w:szCs w:val="20"/>
        </w:rPr>
        <w:t>gładkimi.</w:t>
      </w:r>
    </w:p>
    <w:p w14:paraId="4A825938" w14:textId="77777777" w:rsidR="008831F9" w:rsidRDefault="008831F9" w:rsidP="008831F9">
      <w:pPr>
        <w:pStyle w:val="Nagwek4"/>
        <w:spacing w:before="0" w:after="0"/>
        <w:rPr>
          <w:rFonts w:ascii="Calibri" w:hAnsi="Calibri" w:cs="Calibri"/>
        </w:rPr>
      </w:pPr>
    </w:p>
    <w:p w14:paraId="7F1C99C0" w14:textId="5D98D077" w:rsidR="008831F9" w:rsidRPr="008831F9" w:rsidRDefault="008831F9" w:rsidP="008831F9">
      <w:pPr>
        <w:pStyle w:val="Nagwek4"/>
        <w:spacing w:before="0" w:after="0"/>
        <w:rPr>
          <w:rFonts w:ascii="Calibri" w:hAnsi="Calibri" w:cs="Calibri"/>
        </w:rPr>
      </w:pPr>
      <w:r w:rsidRPr="008831F9">
        <w:rPr>
          <w:rFonts w:ascii="Calibri" w:hAnsi="Calibri" w:cs="Calibri"/>
        </w:rPr>
        <w:t>5.8 Uszorstnienie warstwy</w:t>
      </w:r>
    </w:p>
    <w:p w14:paraId="07435051" w14:textId="77777777" w:rsidR="008831F9" w:rsidRPr="008831F9" w:rsidRDefault="008831F9" w:rsidP="008831F9">
      <w:pPr>
        <w:rPr>
          <w:rFonts w:ascii="Calibri" w:hAnsi="Calibri" w:cs="Calibri"/>
        </w:rPr>
      </w:pPr>
    </w:p>
    <w:p w14:paraId="3C6CE6C1" w14:textId="77777777" w:rsidR="008831F9" w:rsidRPr="008831F9" w:rsidRDefault="008831F9" w:rsidP="008831F9">
      <w:pPr>
        <w:rPr>
          <w:rFonts w:ascii="Calibri" w:hAnsi="Calibri" w:cs="Calibri"/>
        </w:rPr>
      </w:pPr>
      <w:r w:rsidRPr="008831F9">
        <w:rPr>
          <w:rFonts w:ascii="Calibri" w:hAnsi="Calibri" w:cs="Calibri"/>
        </w:rPr>
        <w:t>Warstwa ścieralna z SMA powinna mieć jednorodną teksturę i strukturę, dostosowaną do przeznaczenia, np. ze względu na właściwości przeciwpoślizgowe, hałas toczenia kół lub względy estetyczne.</w:t>
      </w:r>
    </w:p>
    <w:p w14:paraId="38DD3DD9" w14:textId="77777777" w:rsidR="008831F9" w:rsidRPr="008831F9" w:rsidRDefault="008831F9" w:rsidP="008831F9">
      <w:pPr>
        <w:rPr>
          <w:rFonts w:ascii="Calibri" w:hAnsi="Calibri" w:cs="Calibri"/>
        </w:rPr>
      </w:pPr>
      <w:r w:rsidRPr="008831F9">
        <w:rPr>
          <w:rFonts w:ascii="Calibri" w:hAnsi="Calibri" w:cs="Calibri"/>
        </w:rPr>
        <w:tab/>
        <w:t>Do zwiększenia szorstkości warstwy ścieralnej konieczne może być jej uszorstnienie. Do warstw z mieszanki SMA o D &lt; 11 mm zaleca się stosowanie posypki o wymiarze 2/4 mm. Do warstw z mieszanki SMA o D ≥ 11 mm można stosować posypkę o wymiarze 2/4 lub 2/5 mm.</w:t>
      </w:r>
    </w:p>
    <w:p w14:paraId="1A9A8F77" w14:textId="77777777" w:rsidR="008831F9" w:rsidRPr="008831F9" w:rsidRDefault="008831F9" w:rsidP="008831F9">
      <w:pPr>
        <w:rPr>
          <w:rFonts w:ascii="Calibri" w:hAnsi="Calibri" w:cs="Calibri"/>
        </w:rPr>
      </w:pPr>
      <w:r w:rsidRPr="008831F9">
        <w:rPr>
          <w:rFonts w:ascii="Calibri" w:hAnsi="Calibri" w:cs="Calibri"/>
        </w:rPr>
        <w:tab/>
        <w:t>Na powierzchnię gorącej warstwy należy równomiernie nanieść posypkę odpowiednio wcześnie tak, aby została wgnieciona w warstwę przez walce. Nanoszenie posypki powinno odbywać się maszynowo, a jedynie w miejscach trudno dostępnych dopuszcza się wykonanie ręczne.</w:t>
      </w:r>
      <w:r w:rsidRPr="008831F9">
        <w:rPr>
          <w:rFonts w:ascii="Calibri" w:hAnsi="Calibri" w:cs="Calibri"/>
        </w:rPr>
        <w:tab/>
        <w:t>Przy wyborze uziarnienia posypki należy wziąć pod uwagę wymagania ochrony przed hałasem. Jeżeli wymaga się zmniejszenia hałasu od kół pojazdów, należy stosować posypkę o drobniejszym uziarnieniu.</w:t>
      </w:r>
    </w:p>
    <w:p w14:paraId="367E95B5" w14:textId="77777777" w:rsidR="008831F9" w:rsidRPr="008831F9" w:rsidRDefault="008831F9" w:rsidP="008831F9">
      <w:pPr>
        <w:rPr>
          <w:rFonts w:ascii="Calibri" w:hAnsi="Calibri" w:cs="Calibri"/>
        </w:rPr>
      </w:pPr>
      <w:r w:rsidRPr="008831F9">
        <w:rPr>
          <w:rFonts w:ascii="Calibri" w:hAnsi="Calibri" w:cs="Calibri"/>
        </w:rPr>
        <w:tab/>
        <w:t>Zalecana ilość posypki do warstwy z mieszanki SMA:</w:t>
      </w:r>
    </w:p>
    <w:p w14:paraId="3142138D" w14:textId="77777777" w:rsidR="008831F9" w:rsidRPr="008831F9" w:rsidRDefault="008831F9" w:rsidP="00262498">
      <w:pPr>
        <w:numPr>
          <w:ilvl w:val="0"/>
          <w:numId w:val="248"/>
        </w:numPr>
        <w:rPr>
          <w:rFonts w:ascii="Calibri" w:hAnsi="Calibri" w:cs="Calibri"/>
        </w:rPr>
      </w:pPr>
      <w:r w:rsidRPr="008831F9">
        <w:rPr>
          <w:rFonts w:ascii="Calibri" w:hAnsi="Calibri" w:cs="Calibri"/>
        </w:rPr>
        <w:t>kruszywo o wymiarze 2/4 mm: od 0,5 do 1,5 kg/m</w:t>
      </w:r>
      <w:r w:rsidRPr="008831F9">
        <w:rPr>
          <w:rFonts w:ascii="Calibri" w:hAnsi="Calibri" w:cs="Calibri"/>
          <w:vertAlign w:val="superscript"/>
        </w:rPr>
        <w:t>2</w:t>
      </w:r>
      <w:r w:rsidRPr="008831F9">
        <w:rPr>
          <w:rFonts w:ascii="Calibri" w:hAnsi="Calibri" w:cs="Calibri"/>
        </w:rPr>
        <w:t>,</w:t>
      </w:r>
    </w:p>
    <w:p w14:paraId="4EF4D70C" w14:textId="77777777" w:rsidR="008831F9" w:rsidRPr="008831F9" w:rsidRDefault="008831F9" w:rsidP="00262498">
      <w:pPr>
        <w:numPr>
          <w:ilvl w:val="0"/>
          <w:numId w:val="248"/>
        </w:numPr>
        <w:rPr>
          <w:rFonts w:ascii="Calibri" w:hAnsi="Calibri" w:cs="Calibri"/>
        </w:rPr>
      </w:pPr>
      <w:r w:rsidRPr="008831F9">
        <w:rPr>
          <w:rFonts w:ascii="Calibri" w:hAnsi="Calibri" w:cs="Calibri"/>
        </w:rPr>
        <w:t>kruszywo o wymiarze 2/5 mm: od 1,0 do 2,0 kg/m</w:t>
      </w:r>
      <w:r w:rsidRPr="008831F9">
        <w:rPr>
          <w:rFonts w:ascii="Calibri" w:hAnsi="Calibri" w:cs="Calibri"/>
          <w:vertAlign w:val="superscript"/>
        </w:rPr>
        <w:t>2</w:t>
      </w:r>
      <w:r w:rsidRPr="008831F9">
        <w:rPr>
          <w:rFonts w:ascii="Calibri" w:hAnsi="Calibri" w:cs="Calibri"/>
        </w:rPr>
        <w:t>.</w:t>
      </w:r>
    </w:p>
    <w:p w14:paraId="21EAC47F" w14:textId="77777777" w:rsidR="008831F9" w:rsidRPr="008831F9" w:rsidRDefault="008831F9" w:rsidP="008831F9">
      <w:pPr>
        <w:pStyle w:val="Nagwek4"/>
        <w:spacing w:before="0" w:after="0"/>
        <w:rPr>
          <w:rFonts w:ascii="Calibri" w:hAnsi="Calibri" w:cs="Calibri"/>
        </w:rPr>
      </w:pPr>
      <w:r w:rsidRPr="008831F9">
        <w:rPr>
          <w:rFonts w:ascii="Calibri" w:hAnsi="Calibri" w:cs="Calibri"/>
        </w:rPr>
        <w:t>W uzasadnionych wypadkach można nie stosować uszorstnienia, na przykład w celu zmniejszenia hałaśliwości jezdni z mieszanek drobnoziarnistych na odcinkach obszarów zurbanizowanych.</w:t>
      </w:r>
    </w:p>
    <w:p w14:paraId="3D14B7D9" w14:textId="77777777" w:rsidR="008831F9" w:rsidRDefault="008831F9" w:rsidP="008831F9">
      <w:pPr>
        <w:pStyle w:val="Nagwek4"/>
        <w:spacing w:before="0" w:after="0"/>
        <w:rPr>
          <w:rFonts w:ascii="Calibri" w:hAnsi="Calibri" w:cs="Calibri"/>
        </w:rPr>
      </w:pPr>
    </w:p>
    <w:p w14:paraId="008FA62D" w14:textId="77777777" w:rsidR="008831F9" w:rsidRDefault="008831F9" w:rsidP="008831F9">
      <w:pPr>
        <w:pStyle w:val="Nagwek4"/>
        <w:spacing w:before="0" w:after="0"/>
        <w:rPr>
          <w:rFonts w:ascii="Calibri" w:hAnsi="Calibri" w:cs="Calibri"/>
        </w:rPr>
      </w:pPr>
    </w:p>
    <w:p w14:paraId="46810D82" w14:textId="5EDDDDB7" w:rsidR="008831F9" w:rsidRPr="008831F9" w:rsidRDefault="008831F9" w:rsidP="008831F9">
      <w:pPr>
        <w:pStyle w:val="Nagwek4"/>
        <w:spacing w:before="0" w:after="0"/>
        <w:rPr>
          <w:rFonts w:ascii="Calibri" w:hAnsi="Calibri" w:cs="Calibri"/>
        </w:rPr>
      </w:pPr>
      <w:r w:rsidRPr="008831F9">
        <w:rPr>
          <w:rFonts w:ascii="Calibri" w:hAnsi="Calibri" w:cs="Calibri"/>
        </w:rPr>
        <w:t>5.9 Połączenia</w:t>
      </w:r>
      <w:r w:rsidRPr="008831F9">
        <w:rPr>
          <w:rFonts w:ascii="Calibri" w:hAnsi="Calibri" w:cs="Calibri"/>
          <w:spacing w:val="-1"/>
        </w:rPr>
        <w:t xml:space="preserve"> </w:t>
      </w:r>
      <w:r w:rsidRPr="008831F9">
        <w:rPr>
          <w:rFonts w:ascii="Calibri" w:hAnsi="Calibri" w:cs="Calibri"/>
        </w:rPr>
        <w:t>technologiczne</w:t>
      </w:r>
    </w:p>
    <w:p w14:paraId="5FF0181B" w14:textId="77777777" w:rsidR="008831F9" w:rsidRPr="008831F9" w:rsidRDefault="008831F9" w:rsidP="008831F9">
      <w:pPr>
        <w:pStyle w:val="Tekstpodstawowy"/>
        <w:spacing w:line="240" w:lineRule="auto"/>
        <w:jc w:val="both"/>
        <w:rPr>
          <w:rFonts w:ascii="Calibri" w:hAnsi="Calibri" w:cs="Calibri"/>
          <w:sz w:val="20"/>
          <w:szCs w:val="20"/>
        </w:rPr>
      </w:pPr>
    </w:p>
    <w:p w14:paraId="18D9A285" w14:textId="77777777" w:rsidR="008831F9" w:rsidRPr="008831F9" w:rsidRDefault="008831F9" w:rsidP="008831F9">
      <w:pPr>
        <w:pStyle w:val="Tekstpodstawowy"/>
        <w:spacing w:line="240" w:lineRule="auto"/>
        <w:jc w:val="both"/>
        <w:rPr>
          <w:rFonts w:ascii="Calibri" w:hAnsi="Calibri" w:cs="Calibri"/>
          <w:sz w:val="20"/>
          <w:szCs w:val="20"/>
        </w:rPr>
      </w:pPr>
      <w:r w:rsidRPr="008831F9">
        <w:rPr>
          <w:rFonts w:ascii="Calibri" w:hAnsi="Calibri" w:cs="Calibri"/>
          <w:sz w:val="20"/>
          <w:szCs w:val="20"/>
        </w:rPr>
        <w:t>Połączenia technologiczne powinny być wykonane zgodnie z pkt. 7.6 WT-2 Nawierzchnie Asfaltowe Na Drogach Krajowych 2016 – część II. Odcinanie krawędzi dziennych działek roboczych powinno odbywać się na gorąco. Długość odciętego końcowego powinna wynosić do 3m.</w:t>
      </w:r>
    </w:p>
    <w:p w14:paraId="2341EA6F" w14:textId="77777777" w:rsidR="0073248C" w:rsidRPr="008831F9" w:rsidRDefault="0073248C" w:rsidP="008831F9">
      <w:pPr>
        <w:overflowPunct/>
        <w:autoSpaceDE/>
        <w:autoSpaceDN/>
        <w:adjustRightInd/>
        <w:jc w:val="left"/>
        <w:textAlignment w:val="auto"/>
        <w:rPr>
          <w:rFonts w:ascii="Calibri" w:hAnsi="Calibri" w:cs="Calibri"/>
        </w:rPr>
      </w:pPr>
    </w:p>
    <w:p w14:paraId="6703A193" w14:textId="3C6C9843" w:rsidR="0063381D" w:rsidRPr="008831F9" w:rsidRDefault="0063381D" w:rsidP="008831F9">
      <w:pPr>
        <w:overflowPunct/>
        <w:textAlignment w:val="auto"/>
        <w:rPr>
          <w:rFonts w:ascii="Calibri" w:hAnsi="Calibri" w:cs="Calibri"/>
        </w:rPr>
      </w:pPr>
      <w:r w:rsidRPr="008831F9">
        <w:rPr>
          <w:rFonts w:ascii="Calibri" w:hAnsi="Calibri" w:cs="Calibri"/>
        </w:rPr>
        <w:t xml:space="preserve">. </w:t>
      </w:r>
    </w:p>
    <w:p w14:paraId="5F6D17E0" w14:textId="2474FF6D" w:rsidR="00800BD9" w:rsidRPr="00A85D08" w:rsidRDefault="0063381D" w:rsidP="00262498">
      <w:pPr>
        <w:pStyle w:val="Akapitzlist"/>
        <w:numPr>
          <w:ilvl w:val="0"/>
          <w:numId w:val="246"/>
        </w:numPr>
        <w:overflowPunct/>
        <w:autoSpaceDE/>
        <w:autoSpaceDN/>
        <w:adjustRightInd/>
        <w:textAlignment w:val="auto"/>
        <w:rPr>
          <w:rFonts w:asciiTheme="minorHAnsi" w:hAnsiTheme="minorHAnsi" w:cstheme="minorHAnsi"/>
          <w:b/>
          <w:bCs/>
          <w:sz w:val="22"/>
          <w:szCs w:val="22"/>
        </w:rPr>
      </w:pPr>
      <w:r w:rsidRPr="00A85D08">
        <w:rPr>
          <w:rFonts w:asciiTheme="minorHAnsi" w:hAnsiTheme="minorHAnsi" w:cstheme="minorHAnsi"/>
          <w:b/>
          <w:bCs/>
          <w:sz w:val="22"/>
          <w:szCs w:val="22"/>
        </w:rPr>
        <w:t>KONTROLA JAKOŚCI ROBÓT</w:t>
      </w:r>
    </w:p>
    <w:p w14:paraId="689110B5" w14:textId="77777777" w:rsidR="00800BD9" w:rsidRPr="00800BD9" w:rsidRDefault="00800BD9" w:rsidP="00193128">
      <w:pPr>
        <w:pStyle w:val="Akapitzlist"/>
        <w:overflowPunct/>
        <w:autoSpaceDE/>
        <w:autoSpaceDN/>
        <w:adjustRightInd/>
        <w:ind w:left="360"/>
        <w:textAlignment w:val="auto"/>
        <w:rPr>
          <w:rFonts w:asciiTheme="minorHAnsi" w:hAnsiTheme="minorHAnsi" w:cstheme="minorHAnsi"/>
          <w:b/>
          <w:bCs/>
          <w:sz w:val="22"/>
          <w:szCs w:val="22"/>
        </w:rPr>
      </w:pPr>
    </w:p>
    <w:p w14:paraId="582DE506" w14:textId="77777777" w:rsidR="0063381D" w:rsidRPr="0063381D" w:rsidRDefault="0063381D" w:rsidP="00193128">
      <w:pPr>
        <w:overflowPunct/>
        <w:textAlignment w:val="auto"/>
        <w:rPr>
          <w:rFonts w:ascii="Calibri" w:hAnsi="Calibri" w:cs="Calibri"/>
          <w:b/>
          <w:sz w:val="22"/>
          <w:szCs w:val="22"/>
        </w:rPr>
      </w:pPr>
      <w:r w:rsidRPr="0063381D">
        <w:rPr>
          <w:rFonts w:ascii="Calibri" w:hAnsi="Calibri" w:cs="Calibri"/>
          <w:b/>
          <w:sz w:val="22"/>
          <w:szCs w:val="22"/>
        </w:rPr>
        <w:t xml:space="preserve">6.1. Ogólne zasady kontroli jakości robót </w:t>
      </w:r>
    </w:p>
    <w:p w14:paraId="32D74D38" w14:textId="77777777" w:rsidR="00800BD9" w:rsidRDefault="0063381D" w:rsidP="00193128">
      <w:pPr>
        <w:overflowPunct/>
        <w:textAlignment w:val="auto"/>
        <w:rPr>
          <w:rFonts w:asciiTheme="minorHAnsi" w:hAnsiTheme="minorHAnsi" w:cstheme="minorHAnsi"/>
        </w:rPr>
      </w:pPr>
      <w:r w:rsidRPr="0063381D">
        <w:rPr>
          <w:rFonts w:asciiTheme="minorHAnsi" w:hAnsiTheme="minorHAnsi" w:cstheme="minorHAnsi"/>
        </w:rPr>
        <w:t>Ogólne zasady kontroli jakości robót podano w DMU.00.00.00 „Wymagania ogólne” [1] pkt 6.</w:t>
      </w:r>
    </w:p>
    <w:p w14:paraId="73B7F7D6" w14:textId="1F8E581F" w:rsidR="0063381D" w:rsidRPr="0063381D" w:rsidRDefault="0063381D" w:rsidP="00193128">
      <w:pPr>
        <w:overflowPunct/>
        <w:textAlignment w:val="auto"/>
        <w:rPr>
          <w:rFonts w:asciiTheme="minorHAnsi" w:hAnsiTheme="minorHAnsi" w:cstheme="minorHAnsi"/>
        </w:rPr>
      </w:pPr>
      <w:r w:rsidRPr="0063381D">
        <w:rPr>
          <w:rFonts w:asciiTheme="minorHAnsi" w:hAnsiTheme="minorHAnsi" w:cstheme="minorHAnsi"/>
        </w:rPr>
        <w:t xml:space="preserve"> </w:t>
      </w:r>
    </w:p>
    <w:p w14:paraId="3AAE24E5" w14:textId="77777777" w:rsidR="008831F9" w:rsidRPr="008831F9" w:rsidRDefault="008831F9" w:rsidP="008831F9">
      <w:pPr>
        <w:pStyle w:val="Nagwek4"/>
        <w:spacing w:before="0" w:after="0"/>
        <w:rPr>
          <w:rFonts w:asciiTheme="minorHAnsi" w:hAnsiTheme="minorHAnsi" w:cstheme="minorHAnsi"/>
        </w:rPr>
      </w:pPr>
      <w:r w:rsidRPr="008831F9">
        <w:rPr>
          <w:rFonts w:asciiTheme="minorHAnsi" w:hAnsiTheme="minorHAnsi" w:cstheme="minorHAnsi"/>
        </w:rPr>
        <w:t>6.2 Badania i pomiary przed przystąpieniem do</w:t>
      </w:r>
      <w:r w:rsidRPr="008831F9">
        <w:rPr>
          <w:rFonts w:asciiTheme="minorHAnsi" w:hAnsiTheme="minorHAnsi" w:cstheme="minorHAnsi"/>
          <w:spacing w:val="-4"/>
        </w:rPr>
        <w:t xml:space="preserve"> </w:t>
      </w:r>
      <w:r w:rsidRPr="008831F9">
        <w:rPr>
          <w:rFonts w:asciiTheme="minorHAnsi" w:hAnsiTheme="minorHAnsi" w:cstheme="minorHAnsi"/>
        </w:rPr>
        <w:t>robót</w:t>
      </w:r>
    </w:p>
    <w:p w14:paraId="45CA4553" w14:textId="77777777" w:rsidR="008831F9" w:rsidRPr="008831F9" w:rsidRDefault="008831F9" w:rsidP="008831F9">
      <w:pPr>
        <w:pStyle w:val="Tekstpodstawowy"/>
        <w:spacing w:line="240" w:lineRule="auto"/>
        <w:jc w:val="both"/>
        <w:rPr>
          <w:rFonts w:asciiTheme="minorHAnsi" w:hAnsiTheme="minorHAnsi" w:cstheme="minorHAnsi"/>
          <w:sz w:val="20"/>
          <w:szCs w:val="20"/>
        </w:rPr>
      </w:pPr>
      <w:r w:rsidRPr="008831F9">
        <w:rPr>
          <w:rFonts w:asciiTheme="minorHAnsi" w:hAnsiTheme="minorHAnsi" w:cstheme="minorHAnsi"/>
          <w:sz w:val="20"/>
          <w:szCs w:val="20"/>
        </w:rPr>
        <w:t>Przed przystąpieniem do robót Wykonawca powinien przedstawić Inżynierowi do akceptacji źródła poboru kruszyw oraz wszystkich dodatkowych materiałów, dołączając wszystkie dokumenty potwierdzające jakość materiałów składowych.</w:t>
      </w:r>
    </w:p>
    <w:p w14:paraId="7BD25CB6" w14:textId="77777777" w:rsidR="008831F9" w:rsidRPr="008831F9" w:rsidRDefault="008831F9" w:rsidP="008831F9">
      <w:pPr>
        <w:pStyle w:val="Tekstpodstawowy"/>
        <w:spacing w:line="240" w:lineRule="auto"/>
        <w:jc w:val="both"/>
        <w:rPr>
          <w:rFonts w:asciiTheme="minorHAnsi" w:hAnsiTheme="minorHAnsi" w:cstheme="minorHAnsi"/>
          <w:sz w:val="20"/>
          <w:szCs w:val="20"/>
        </w:rPr>
      </w:pPr>
      <w:r w:rsidRPr="008831F9">
        <w:rPr>
          <w:rFonts w:asciiTheme="minorHAnsi" w:hAnsiTheme="minorHAnsi" w:cstheme="minorHAnsi"/>
          <w:sz w:val="20"/>
          <w:szCs w:val="20"/>
        </w:rPr>
        <w:t>Wykonawca przedstawi do akceptacji, na co najmniej 2 tygodnie przed planowanym terminem realizacji do laboratorium Zamawiającego recepty, Deklaracje Właściwości Użytkowych (włącznie z własnymi badaniami) i</w:t>
      </w:r>
      <w:r w:rsidRPr="008831F9">
        <w:rPr>
          <w:rFonts w:asciiTheme="minorHAnsi" w:hAnsiTheme="minorHAnsi" w:cstheme="minorHAnsi"/>
          <w:spacing w:val="-1"/>
          <w:sz w:val="20"/>
          <w:szCs w:val="20"/>
        </w:rPr>
        <w:t xml:space="preserve"> </w:t>
      </w:r>
      <w:r w:rsidRPr="008831F9">
        <w:rPr>
          <w:rFonts w:asciiTheme="minorHAnsi" w:hAnsiTheme="minorHAnsi" w:cstheme="minorHAnsi"/>
          <w:sz w:val="20"/>
          <w:szCs w:val="20"/>
        </w:rPr>
        <w:t>materiały.</w:t>
      </w:r>
    </w:p>
    <w:p w14:paraId="503BB0F8" w14:textId="77777777" w:rsidR="008831F9" w:rsidRPr="008831F9" w:rsidRDefault="008831F9" w:rsidP="008831F9">
      <w:pPr>
        <w:pStyle w:val="Nagwek4"/>
        <w:spacing w:before="0" w:after="0"/>
        <w:rPr>
          <w:rFonts w:asciiTheme="minorHAnsi" w:hAnsiTheme="minorHAnsi" w:cstheme="minorHAnsi"/>
        </w:rPr>
      </w:pPr>
      <w:r w:rsidRPr="008831F9">
        <w:rPr>
          <w:rFonts w:asciiTheme="minorHAnsi" w:hAnsiTheme="minorHAnsi" w:cstheme="minorHAnsi"/>
        </w:rPr>
        <w:t>6.3 Badania w czasie</w:t>
      </w:r>
      <w:r w:rsidRPr="008831F9">
        <w:rPr>
          <w:rFonts w:asciiTheme="minorHAnsi" w:hAnsiTheme="minorHAnsi" w:cstheme="minorHAnsi"/>
          <w:spacing w:val="-3"/>
        </w:rPr>
        <w:t xml:space="preserve"> </w:t>
      </w:r>
      <w:r w:rsidRPr="008831F9">
        <w:rPr>
          <w:rFonts w:asciiTheme="minorHAnsi" w:hAnsiTheme="minorHAnsi" w:cstheme="minorHAnsi"/>
        </w:rPr>
        <w:t>robót</w:t>
      </w:r>
    </w:p>
    <w:p w14:paraId="1D0107DE" w14:textId="77777777" w:rsidR="008831F9" w:rsidRPr="008831F9" w:rsidRDefault="008831F9" w:rsidP="008831F9">
      <w:pPr>
        <w:pStyle w:val="Tekstpodstawowy"/>
        <w:spacing w:line="240" w:lineRule="auto"/>
        <w:jc w:val="both"/>
        <w:rPr>
          <w:rFonts w:asciiTheme="minorHAnsi" w:hAnsiTheme="minorHAnsi" w:cstheme="minorHAnsi"/>
          <w:sz w:val="20"/>
          <w:szCs w:val="20"/>
        </w:rPr>
      </w:pPr>
    </w:p>
    <w:p w14:paraId="4B978718" w14:textId="77777777" w:rsidR="008831F9" w:rsidRPr="008831F9" w:rsidRDefault="008831F9" w:rsidP="008831F9">
      <w:pPr>
        <w:pStyle w:val="Tekstpodstawowy"/>
        <w:spacing w:line="240" w:lineRule="auto"/>
        <w:jc w:val="both"/>
        <w:rPr>
          <w:rFonts w:asciiTheme="minorHAnsi" w:hAnsiTheme="minorHAnsi" w:cstheme="minorHAnsi"/>
          <w:sz w:val="20"/>
          <w:szCs w:val="20"/>
        </w:rPr>
      </w:pPr>
      <w:r w:rsidRPr="008831F9">
        <w:rPr>
          <w:rFonts w:asciiTheme="minorHAnsi" w:hAnsiTheme="minorHAnsi" w:cstheme="minorHAnsi"/>
          <w:sz w:val="20"/>
          <w:szCs w:val="20"/>
        </w:rPr>
        <w:t>Zakres badań i częstotliwość w trakcie produkcji i układania mieszanki mineralno-asfaltowej została podana w tablicy 3.</w:t>
      </w:r>
    </w:p>
    <w:p w14:paraId="0F268D72" w14:textId="77777777" w:rsidR="008831F9" w:rsidRPr="008831F9" w:rsidRDefault="008831F9" w:rsidP="008831F9">
      <w:pPr>
        <w:pStyle w:val="Tekstpodstawowy"/>
        <w:spacing w:line="240" w:lineRule="auto"/>
        <w:jc w:val="both"/>
        <w:rPr>
          <w:rFonts w:asciiTheme="minorHAnsi" w:hAnsiTheme="minorHAnsi" w:cstheme="minorHAnsi"/>
          <w:sz w:val="20"/>
          <w:szCs w:val="20"/>
        </w:rPr>
      </w:pPr>
      <w:r w:rsidRPr="008831F9">
        <w:rPr>
          <w:rFonts w:asciiTheme="minorHAnsi" w:hAnsiTheme="minorHAnsi" w:cstheme="minorHAnsi"/>
          <w:sz w:val="20"/>
          <w:szCs w:val="20"/>
        </w:rPr>
        <w:t>Tablica 3 - Zakres oraz częstość badań i pomiarów w czasie wytwarzania i wbudowywania mieszanki</w:t>
      </w:r>
    </w:p>
    <w:tbl>
      <w:tblPr>
        <w:tblStyle w:val="TableNormal"/>
        <w:tblW w:w="0" w:type="auto"/>
        <w:tblInd w:w="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23"/>
        <w:gridCol w:w="4262"/>
        <w:gridCol w:w="4029"/>
      </w:tblGrid>
      <w:tr w:rsidR="008831F9" w:rsidRPr="008831F9" w14:paraId="59D7B3AB" w14:textId="77777777" w:rsidTr="008831F9">
        <w:trPr>
          <w:trHeight w:val="302"/>
        </w:trPr>
        <w:tc>
          <w:tcPr>
            <w:tcW w:w="523" w:type="dxa"/>
            <w:tcBorders>
              <w:top w:val="single" w:sz="4" w:space="0" w:color="000000"/>
              <w:left w:val="single" w:sz="4" w:space="0" w:color="000000"/>
              <w:bottom w:val="single" w:sz="4" w:space="0" w:color="000000"/>
              <w:right w:val="single" w:sz="4" w:space="0" w:color="000000"/>
            </w:tcBorders>
            <w:hideMark/>
          </w:tcPr>
          <w:p w14:paraId="550D0D34" w14:textId="77777777" w:rsidR="008831F9" w:rsidRPr="008831F9" w:rsidRDefault="008831F9" w:rsidP="008831F9">
            <w:pPr>
              <w:pStyle w:val="Tekstpodstawowy"/>
              <w:spacing w:line="240" w:lineRule="auto"/>
              <w:jc w:val="both"/>
              <w:rPr>
                <w:rFonts w:asciiTheme="minorHAnsi" w:hAnsiTheme="minorHAnsi" w:cstheme="minorHAnsi"/>
                <w:sz w:val="20"/>
                <w:szCs w:val="20"/>
              </w:rPr>
            </w:pPr>
            <w:r w:rsidRPr="008831F9">
              <w:rPr>
                <w:rFonts w:asciiTheme="minorHAnsi" w:hAnsiTheme="minorHAnsi" w:cstheme="minorHAnsi"/>
                <w:sz w:val="20"/>
                <w:szCs w:val="20"/>
              </w:rPr>
              <w:t>Lp.</w:t>
            </w:r>
          </w:p>
        </w:tc>
        <w:tc>
          <w:tcPr>
            <w:tcW w:w="4262" w:type="dxa"/>
            <w:tcBorders>
              <w:top w:val="single" w:sz="4" w:space="0" w:color="000000"/>
              <w:left w:val="single" w:sz="4" w:space="0" w:color="000000"/>
              <w:bottom w:val="single" w:sz="4" w:space="0" w:color="000000"/>
              <w:right w:val="single" w:sz="4" w:space="0" w:color="000000"/>
            </w:tcBorders>
            <w:hideMark/>
          </w:tcPr>
          <w:p w14:paraId="70C065F8" w14:textId="77777777" w:rsidR="008831F9" w:rsidRPr="008831F9" w:rsidRDefault="008831F9" w:rsidP="008831F9">
            <w:pPr>
              <w:pStyle w:val="Tekstpodstawowy"/>
              <w:spacing w:line="240" w:lineRule="auto"/>
              <w:jc w:val="both"/>
              <w:rPr>
                <w:rFonts w:asciiTheme="minorHAnsi" w:hAnsiTheme="minorHAnsi" w:cstheme="minorHAnsi"/>
                <w:sz w:val="20"/>
                <w:szCs w:val="20"/>
              </w:rPr>
            </w:pPr>
            <w:r w:rsidRPr="008831F9">
              <w:rPr>
                <w:rFonts w:asciiTheme="minorHAnsi" w:hAnsiTheme="minorHAnsi" w:cstheme="minorHAnsi"/>
                <w:sz w:val="20"/>
                <w:szCs w:val="20"/>
              </w:rPr>
              <w:t>Właściwość</w:t>
            </w:r>
          </w:p>
        </w:tc>
        <w:tc>
          <w:tcPr>
            <w:tcW w:w="4029" w:type="dxa"/>
            <w:tcBorders>
              <w:top w:val="single" w:sz="4" w:space="0" w:color="000000"/>
              <w:left w:val="single" w:sz="4" w:space="0" w:color="000000"/>
              <w:bottom w:val="single" w:sz="4" w:space="0" w:color="000000"/>
              <w:right w:val="single" w:sz="4" w:space="0" w:color="000000"/>
            </w:tcBorders>
            <w:hideMark/>
          </w:tcPr>
          <w:p w14:paraId="2014D262" w14:textId="77777777" w:rsidR="008831F9" w:rsidRPr="008831F9" w:rsidRDefault="008831F9" w:rsidP="008831F9">
            <w:pPr>
              <w:pStyle w:val="Tekstpodstawowy"/>
              <w:spacing w:line="240" w:lineRule="auto"/>
              <w:jc w:val="both"/>
              <w:rPr>
                <w:rFonts w:asciiTheme="minorHAnsi" w:hAnsiTheme="minorHAnsi" w:cstheme="minorHAnsi"/>
                <w:sz w:val="20"/>
                <w:szCs w:val="20"/>
              </w:rPr>
            </w:pPr>
            <w:r w:rsidRPr="008831F9">
              <w:rPr>
                <w:rFonts w:asciiTheme="minorHAnsi" w:hAnsiTheme="minorHAnsi" w:cstheme="minorHAnsi"/>
                <w:sz w:val="20"/>
                <w:szCs w:val="20"/>
              </w:rPr>
              <w:t>Częstość badań</w:t>
            </w:r>
          </w:p>
        </w:tc>
      </w:tr>
      <w:tr w:rsidR="008831F9" w:rsidRPr="008831F9" w14:paraId="09139BF6" w14:textId="77777777" w:rsidTr="008831F9">
        <w:trPr>
          <w:trHeight w:val="304"/>
        </w:trPr>
        <w:tc>
          <w:tcPr>
            <w:tcW w:w="8814" w:type="dxa"/>
            <w:gridSpan w:val="3"/>
            <w:tcBorders>
              <w:top w:val="single" w:sz="4" w:space="0" w:color="000000"/>
              <w:left w:val="single" w:sz="4" w:space="0" w:color="000000"/>
              <w:bottom w:val="single" w:sz="4" w:space="0" w:color="000000"/>
              <w:right w:val="single" w:sz="4" w:space="0" w:color="000000"/>
            </w:tcBorders>
            <w:hideMark/>
          </w:tcPr>
          <w:p w14:paraId="43149E8F" w14:textId="77777777" w:rsidR="008831F9" w:rsidRPr="008831F9" w:rsidRDefault="008831F9" w:rsidP="008831F9">
            <w:pPr>
              <w:pStyle w:val="Tekstpodstawowy"/>
              <w:spacing w:line="240" w:lineRule="auto"/>
              <w:jc w:val="both"/>
              <w:rPr>
                <w:rFonts w:asciiTheme="minorHAnsi" w:hAnsiTheme="minorHAnsi" w:cstheme="minorHAnsi"/>
                <w:sz w:val="20"/>
                <w:szCs w:val="20"/>
              </w:rPr>
            </w:pPr>
            <w:r w:rsidRPr="008831F9">
              <w:rPr>
                <w:rFonts w:asciiTheme="minorHAnsi" w:hAnsiTheme="minorHAnsi" w:cstheme="minorHAnsi"/>
                <w:sz w:val="20"/>
                <w:szCs w:val="20"/>
              </w:rPr>
              <w:t>Badania materiałów</w:t>
            </w:r>
          </w:p>
        </w:tc>
      </w:tr>
      <w:tr w:rsidR="008831F9" w:rsidRPr="008831F9" w14:paraId="59093CCA" w14:textId="77777777" w:rsidTr="008831F9">
        <w:trPr>
          <w:trHeight w:val="302"/>
        </w:trPr>
        <w:tc>
          <w:tcPr>
            <w:tcW w:w="523" w:type="dxa"/>
            <w:tcBorders>
              <w:top w:val="single" w:sz="4" w:space="0" w:color="000000"/>
              <w:left w:val="single" w:sz="4" w:space="0" w:color="000000"/>
              <w:bottom w:val="single" w:sz="4" w:space="0" w:color="000000"/>
              <w:right w:val="single" w:sz="4" w:space="0" w:color="000000"/>
            </w:tcBorders>
            <w:hideMark/>
          </w:tcPr>
          <w:p w14:paraId="5052CED5" w14:textId="77777777" w:rsidR="008831F9" w:rsidRPr="008831F9" w:rsidRDefault="008831F9" w:rsidP="008831F9">
            <w:pPr>
              <w:pStyle w:val="Tekstpodstawowy"/>
              <w:spacing w:line="240" w:lineRule="auto"/>
              <w:jc w:val="both"/>
              <w:rPr>
                <w:rFonts w:asciiTheme="minorHAnsi" w:hAnsiTheme="minorHAnsi" w:cstheme="minorHAnsi"/>
                <w:sz w:val="20"/>
                <w:szCs w:val="20"/>
              </w:rPr>
            </w:pPr>
            <w:r w:rsidRPr="008831F9">
              <w:rPr>
                <w:rFonts w:asciiTheme="minorHAnsi" w:hAnsiTheme="minorHAnsi" w:cstheme="minorHAnsi"/>
                <w:sz w:val="20"/>
                <w:szCs w:val="20"/>
              </w:rPr>
              <w:t>1.</w:t>
            </w:r>
          </w:p>
        </w:tc>
        <w:tc>
          <w:tcPr>
            <w:tcW w:w="4262" w:type="dxa"/>
            <w:tcBorders>
              <w:top w:val="single" w:sz="4" w:space="0" w:color="000000"/>
              <w:left w:val="single" w:sz="4" w:space="0" w:color="000000"/>
              <w:bottom w:val="single" w:sz="4" w:space="0" w:color="000000"/>
              <w:right w:val="single" w:sz="4" w:space="0" w:color="000000"/>
            </w:tcBorders>
            <w:hideMark/>
          </w:tcPr>
          <w:p w14:paraId="13D5B080" w14:textId="77777777" w:rsidR="008831F9" w:rsidRPr="008831F9" w:rsidRDefault="008831F9" w:rsidP="008831F9">
            <w:pPr>
              <w:pStyle w:val="Tekstpodstawowy"/>
              <w:spacing w:line="240" w:lineRule="auto"/>
              <w:jc w:val="both"/>
              <w:rPr>
                <w:rFonts w:asciiTheme="minorHAnsi" w:hAnsiTheme="minorHAnsi" w:cstheme="minorHAnsi"/>
                <w:sz w:val="20"/>
                <w:szCs w:val="20"/>
              </w:rPr>
            </w:pPr>
            <w:r w:rsidRPr="008831F9">
              <w:rPr>
                <w:rFonts w:asciiTheme="minorHAnsi" w:hAnsiTheme="minorHAnsi" w:cstheme="minorHAnsi"/>
                <w:sz w:val="20"/>
                <w:szCs w:val="20"/>
              </w:rPr>
              <w:t>Uziarnienie kruszywa</w:t>
            </w:r>
          </w:p>
        </w:tc>
        <w:tc>
          <w:tcPr>
            <w:tcW w:w="4029" w:type="dxa"/>
            <w:tcBorders>
              <w:top w:val="single" w:sz="4" w:space="0" w:color="000000"/>
              <w:left w:val="single" w:sz="4" w:space="0" w:color="000000"/>
              <w:bottom w:val="single" w:sz="4" w:space="0" w:color="000000"/>
              <w:right w:val="single" w:sz="4" w:space="0" w:color="000000"/>
            </w:tcBorders>
            <w:hideMark/>
          </w:tcPr>
          <w:p w14:paraId="07E0E04A" w14:textId="77777777" w:rsidR="008831F9" w:rsidRPr="008831F9" w:rsidRDefault="008831F9" w:rsidP="008831F9">
            <w:pPr>
              <w:pStyle w:val="Tekstpodstawowy"/>
              <w:spacing w:line="240" w:lineRule="auto"/>
              <w:jc w:val="both"/>
              <w:rPr>
                <w:rFonts w:asciiTheme="minorHAnsi" w:hAnsiTheme="minorHAnsi" w:cstheme="minorHAnsi"/>
                <w:sz w:val="20"/>
                <w:szCs w:val="20"/>
                <w:lang w:val="pl-PL"/>
              </w:rPr>
            </w:pPr>
            <w:r w:rsidRPr="008831F9">
              <w:rPr>
                <w:rFonts w:asciiTheme="minorHAnsi" w:hAnsiTheme="minorHAnsi" w:cstheme="minorHAnsi"/>
                <w:sz w:val="20"/>
                <w:szCs w:val="20"/>
                <w:lang w:val="pl-PL"/>
              </w:rPr>
              <w:t>1 raz na 2000 ton dla każdej frakcji</w:t>
            </w:r>
          </w:p>
        </w:tc>
      </w:tr>
      <w:tr w:rsidR="008831F9" w:rsidRPr="008831F9" w14:paraId="78E9DC94" w14:textId="77777777" w:rsidTr="008831F9">
        <w:trPr>
          <w:trHeight w:val="302"/>
        </w:trPr>
        <w:tc>
          <w:tcPr>
            <w:tcW w:w="523" w:type="dxa"/>
            <w:tcBorders>
              <w:top w:val="single" w:sz="4" w:space="0" w:color="000000"/>
              <w:left w:val="single" w:sz="4" w:space="0" w:color="000000"/>
              <w:bottom w:val="single" w:sz="4" w:space="0" w:color="000000"/>
              <w:right w:val="single" w:sz="4" w:space="0" w:color="000000"/>
            </w:tcBorders>
            <w:hideMark/>
          </w:tcPr>
          <w:p w14:paraId="526DFD47" w14:textId="77777777" w:rsidR="008831F9" w:rsidRPr="008831F9" w:rsidRDefault="008831F9" w:rsidP="008831F9">
            <w:pPr>
              <w:pStyle w:val="Tekstpodstawowy"/>
              <w:spacing w:line="240" w:lineRule="auto"/>
              <w:jc w:val="both"/>
              <w:rPr>
                <w:rFonts w:asciiTheme="minorHAnsi" w:hAnsiTheme="minorHAnsi" w:cstheme="minorHAnsi"/>
                <w:sz w:val="20"/>
                <w:szCs w:val="20"/>
              </w:rPr>
            </w:pPr>
            <w:r w:rsidRPr="008831F9">
              <w:rPr>
                <w:rFonts w:asciiTheme="minorHAnsi" w:hAnsiTheme="minorHAnsi" w:cstheme="minorHAnsi"/>
                <w:sz w:val="20"/>
                <w:szCs w:val="20"/>
              </w:rPr>
              <w:t>2.</w:t>
            </w:r>
          </w:p>
        </w:tc>
        <w:tc>
          <w:tcPr>
            <w:tcW w:w="4262" w:type="dxa"/>
            <w:tcBorders>
              <w:top w:val="single" w:sz="4" w:space="0" w:color="000000"/>
              <w:left w:val="single" w:sz="4" w:space="0" w:color="000000"/>
              <w:bottom w:val="single" w:sz="4" w:space="0" w:color="000000"/>
              <w:right w:val="single" w:sz="4" w:space="0" w:color="000000"/>
            </w:tcBorders>
            <w:hideMark/>
          </w:tcPr>
          <w:p w14:paraId="609A7C36" w14:textId="77777777" w:rsidR="008831F9" w:rsidRPr="008831F9" w:rsidRDefault="008831F9" w:rsidP="008831F9">
            <w:pPr>
              <w:pStyle w:val="Tekstpodstawowy"/>
              <w:spacing w:line="240" w:lineRule="auto"/>
              <w:jc w:val="both"/>
              <w:rPr>
                <w:rFonts w:asciiTheme="minorHAnsi" w:hAnsiTheme="minorHAnsi" w:cstheme="minorHAnsi"/>
                <w:sz w:val="20"/>
                <w:szCs w:val="20"/>
              </w:rPr>
            </w:pPr>
            <w:r w:rsidRPr="008831F9">
              <w:rPr>
                <w:rFonts w:asciiTheme="minorHAnsi" w:hAnsiTheme="minorHAnsi" w:cstheme="minorHAnsi"/>
                <w:sz w:val="20"/>
                <w:szCs w:val="20"/>
              </w:rPr>
              <w:t>Uziarnienie wypełniacza</w:t>
            </w:r>
          </w:p>
        </w:tc>
        <w:tc>
          <w:tcPr>
            <w:tcW w:w="4029" w:type="dxa"/>
            <w:tcBorders>
              <w:top w:val="single" w:sz="4" w:space="0" w:color="000000"/>
              <w:left w:val="single" w:sz="4" w:space="0" w:color="000000"/>
              <w:bottom w:val="single" w:sz="4" w:space="0" w:color="000000"/>
              <w:right w:val="single" w:sz="4" w:space="0" w:color="000000"/>
            </w:tcBorders>
            <w:hideMark/>
          </w:tcPr>
          <w:p w14:paraId="219C0148" w14:textId="77777777" w:rsidR="008831F9" w:rsidRPr="008831F9" w:rsidRDefault="008831F9" w:rsidP="008831F9">
            <w:pPr>
              <w:pStyle w:val="Tekstpodstawowy"/>
              <w:spacing w:line="240" w:lineRule="auto"/>
              <w:jc w:val="both"/>
              <w:rPr>
                <w:rFonts w:asciiTheme="minorHAnsi" w:hAnsiTheme="minorHAnsi" w:cstheme="minorHAnsi"/>
                <w:sz w:val="20"/>
                <w:szCs w:val="20"/>
              </w:rPr>
            </w:pPr>
            <w:r w:rsidRPr="008831F9">
              <w:rPr>
                <w:rFonts w:asciiTheme="minorHAnsi" w:hAnsiTheme="minorHAnsi" w:cstheme="minorHAnsi"/>
                <w:sz w:val="20"/>
                <w:szCs w:val="20"/>
              </w:rPr>
              <w:t>1 raz na 200 ton</w:t>
            </w:r>
          </w:p>
        </w:tc>
      </w:tr>
      <w:tr w:rsidR="008831F9" w:rsidRPr="008831F9" w14:paraId="63574B0C" w14:textId="77777777" w:rsidTr="008831F9">
        <w:trPr>
          <w:trHeight w:val="1301"/>
        </w:trPr>
        <w:tc>
          <w:tcPr>
            <w:tcW w:w="523" w:type="dxa"/>
            <w:tcBorders>
              <w:top w:val="single" w:sz="4" w:space="0" w:color="000000"/>
              <w:left w:val="single" w:sz="4" w:space="0" w:color="000000"/>
              <w:bottom w:val="single" w:sz="4" w:space="0" w:color="000000"/>
              <w:right w:val="single" w:sz="4" w:space="0" w:color="000000"/>
            </w:tcBorders>
            <w:hideMark/>
          </w:tcPr>
          <w:p w14:paraId="3EC00729" w14:textId="77777777" w:rsidR="008831F9" w:rsidRPr="008831F9" w:rsidRDefault="008831F9" w:rsidP="008831F9">
            <w:pPr>
              <w:pStyle w:val="Tekstpodstawowy"/>
              <w:spacing w:line="240" w:lineRule="auto"/>
              <w:jc w:val="both"/>
              <w:rPr>
                <w:rFonts w:asciiTheme="minorHAnsi" w:hAnsiTheme="minorHAnsi" w:cstheme="minorHAnsi"/>
                <w:sz w:val="20"/>
                <w:szCs w:val="20"/>
              </w:rPr>
            </w:pPr>
            <w:r w:rsidRPr="008831F9">
              <w:rPr>
                <w:rFonts w:asciiTheme="minorHAnsi" w:hAnsiTheme="minorHAnsi" w:cstheme="minorHAnsi"/>
                <w:sz w:val="20"/>
                <w:szCs w:val="20"/>
              </w:rPr>
              <w:t>3.</w:t>
            </w:r>
          </w:p>
        </w:tc>
        <w:tc>
          <w:tcPr>
            <w:tcW w:w="4262" w:type="dxa"/>
            <w:tcBorders>
              <w:top w:val="single" w:sz="4" w:space="0" w:color="000000"/>
              <w:left w:val="single" w:sz="4" w:space="0" w:color="000000"/>
              <w:bottom w:val="single" w:sz="4" w:space="0" w:color="000000"/>
              <w:right w:val="single" w:sz="4" w:space="0" w:color="000000"/>
            </w:tcBorders>
            <w:hideMark/>
          </w:tcPr>
          <w:p w14:paraId="67DF9139" w14:textId="77777777" w:rsidR="008831F9" w:rsidRPr="008831F9" w:rsidRDefault="008831F9" w:rsidP="008831F9">
            <w:pPr>
              <w:pStyle w:val="Tekstpodstawowy"/>
              <w:spacing w:line="240" w:lineRule="auto"/>
              <w:jc w:val="both"/>
              <w:rPr>
                <w:rFonts w:asciiTheme="minorHAnsi" w:hAnsiTheme="minorHAnsi" w:cstheme="minorHAnsi"/>
                <w:sz w:val="20"/>
                <w:szCs w:val="20"/>
                <w:lang w:val="pl-PL"/>
              </w:rPr>
            </w:pPr>
            <w:r w:rsidRPr="008831F9">
              <w:rPr>
                <w:rFonts w:asciiTheme="minorHAnsi" w:hAnsiTheme="minorHAnsi" w:cstheme="minorHAnsi"/>
                <w:sz w:val="20"/>
                <w:szCs w:val="20"/>
                <w:lang w:val="pl-PL"/>
              </w:rPr>
              <w:t>Właściwości asfaltu</w:t>
            </w:r>
          </w:p>
          <w:p w14:paraId="06D3360A" w14:textId="77777777" w:rsidR="008831F9" w:rsidRPr="008831F9" w:rsidRDefault="008831F9" w:rsidP="008831F9">
            <w:pPr>
              <w:pStyle w:val="Tekstpodstawowy"/>
              <w:spacing w:line="240" w:lineRule="auto"/>
              <w:jc w:val="both"/>
              <w:rPr>
                <w:rFonts w:asciiTheme="minorHAnsi" w:hAnsiTheme="minorHAnsi" w:cstheme="minorHAnsi"/>
                <w:sz w:val="20"/>
                <w:szCs w:val="20"/>
                <w:lang w:val="pl-PL"/>
              </w:rPr>
            </w:pPr>
            <w:r w:rsidRPr="008831F9">
              <w:rPr>
                <w:rFonts w:asciiTheme="minorHAnsi" w:hAnsiTheme="minorHAnsi" w:cstheme="minorHAnsi"/>
                <w:sz w:val="20"/>
                <w:szCs w:val="20"/>
                <w:lang w:val="pl-PL"/>
              </w:rPr>
              <w:t xml:space="preserve">Penetracja w 25°C lub </w:t>
            </w:r>
            <w:r w:rsidRPr="008831F9">
              <w:rPr>
                <w:rFonts w:asciiTheme="minorHAnsi" w:hAnsiTheme="minorHAnsi" w:cstheme="minorHAnsi"/>
                <w:spacing w:val="2"/>
                <w:sz w:val="20"/>
                <w:szCs w:val="20"/>
                <w:lang w:val="pl-PL"/>
              </w:rPr>
              <w:t xml:space="preserve">temperatura </w:t>
            </w:r>
            <w:r w:rsidRPr="008831F9">
              <w:rPr>
                <w:rFonts w:asciiTheme="minorHAnsi" w:hAnsiTheme="minorHAnsi" w:cstheme="minorHAnsi"/>
                <w:sz w:val="20"/>
                <w:szCs w:val="20"/>
                <w:lang w:val="pl-PL"/>
              </w:rPr>
              <w:t>mięknienia wg</w:t>
            </w:r>
            <w:r w:rsidRPr="008831F9">
              <w:rPr>
                <w:rFonts w:asciiTheme="minorHAnsi" w:hAnsiTheme="minorHAnsi" w:cstheme="minorHAnsi"/>
                <w:spacing w:val="-6"/>
                <w:sz w:val="20"/>
                <w:szCs w:val="20"/>
                <w:lang w:val="pl-PL"/>
              </w:rPr>
              <w:t xml:space="preserve"> </w:t>
            </w:r>
            <w:r w:rsidRPr="008831F9">
              <w:rPr>
                <w:rFonts w:asciiTheme="minorHAnsi" w:hAnsiTheme="minorHAnsi" w:cstheme="minorHAnsi"/>
                <w:sz w:val="20"/>
                <w:szCs w:val="20"/>
                <w:lang w:val="pl-PL"/>
              </w:rPr>
              <w:t>PIK</w:t>
            </w:r>
          </w:p>
          <w:p w14:paraId="6FCCDA8C" w14:textId="77777777" w:rsidR="008831F9" w:rsidRPr="008831F9" w:rsidRDefault="008831F9" w:rsidP="008831F9">
            <w:pPr>
              <w:pStyle w:val="Tekstpodstawowy"/>
              <w:spacing w:line="240" w:lineRule="auto"/>
              <w:jc w:val="both"/>
              <w:rPr>
                <w:rFonts w:asciiTheme="minorHAnsi" w:hAnsiTheme="minorHAnsi" w:cstheme="minorHAnsi"/>
                <w:sz w:val="20"/>
                <w:szCs w:val="20"/>
                <w:lang w:val="pl-PL"/>
              </w:rPr>
            </w:pPr>
            <w:r w:rsidRPr="008831F9">
              <w:rPr>
                <w:rFonts w:asciiTheme="minorHAnsi" w:hAnsiTheme="minorHAnsi" w:cstheme="minorHAnsi"/>
                <w:spacing w:val="2"/>
                <w:sz w:val="20"/>
                <w:szCs w:val="20"/>
                <w:lang w:val="pl-PL"/>
              </w:rPr>
              <w:t xml:space="preserve">Nawrót </w:t>
            </w:r>
            <w:r w:rsidRPr="008831F9">
              <w:rPr>
                <w:rFonts w:asciiTheme="minorHAnsi" w:hAnsiTheme="minorHAnsi" w:cstheme="minorHAnsi"/>
                <w:sz w:val="20"/>
                <w:szCs w:val="20"/>
                <w:lang w:val="pl-PL"/>
              </w:rPr>
              <w:t xml:space="preserve">sprężysty w 25°C (dla asfaltów </w:t>
            </w:r>
            <w:r w:rsidRPr="008831F9">
              <w:rPr>
                <w:rFonts w:asciiTheme="minorHAnsi" w:hAnsiTheme="minorHAnsi" w:cstheme="minorHAnsi"/>
                <w:spacing w:val="2"/>
                <w:sz w:val="20"/>
                <w:szCs w:val="20"/>
                <w:lang w:val="pl-PL"/>
              </w:rPr>
              <w:t>modyfikowanych)</w:t>
            </w:r>
          </w:p>
        </w:tc>
        <w:tc>
          <w:tcPr>
            <w:tcW w:w="4029" w:type="dxa"/>
            <w:tcBorders>
              <w:top w:val="single" w:sz="4" w:space="0" w:color="000000"/>
              <w:left w:val="single" w:sz="4" w:space="0" w:color="000000"/>
              <w:bottom w:val="single" w:sz="4" w:space="0" w:color="000000"/>
              <w:right w:val="single" w:sz="4" w:space="0" w:color="000000"/>
            </w:tcBorders>
          </w:tcPr>
          <w:p w14:paraId="20E9208D" w14:textId="77777777" w:rsidR="008831F9" w:rsidRPr="008831F9" w:rsidRDefault="008831F9" w:rsidP="008831F9">
            <w:pPr>
              <w:pStyle w:val="Tekstpodstawowy"/>
              <w:spacing w:line="240" w:lineRule="auto"/>
              <w:jc w:val="both"/>
              <w:rPr>
                <w:rFonts w:asciiTheme="minorHAnsi" w:hAnsiTheme="minorHAnsi" w:cstheme="minorHAnsi"/>
                <w:sz w:val="20"/>
                <w:szCs w:val="20"/>
                <w:lang w:val="pl-PL"/>
              </w:rPr>
            </w:pPr>
          </w:p>
          <w:p w14:paraId="2A928615" w14:textId="77777777" w:rsidR="008831F9" w:rsidRPr="008831F9" w:rsidRDefault="008831F9" w:rsidP="008831F9">
            <w:pPr>
              <w:pStyle w:val="Tekstpodstawowy"/>
              <w:spacing w:line="240" w:lineRule="auto"/>
              <w:jc w:val="both"/>
              <w:rPr>
                <w:rFonts w:asciiTheme="minorHAnsi" w:hAnsiTheme="minorHAnsi" w:cstheme="minorHAnsi"/>
                <w:sz w:val="20"/>
                <w:szCs w:val="20"/>
                <w:lang w:val="pl-PL"/>
              </w:rPr>
            </w:pPr>
          </w:p>
          <w:p w14:paraId="522EAAB2" w14:textId="77777777" w:rsidR="008831F9" w:rsidRPr="008831F9" w:rsidRDefault="008831F9" w:rsidP="008831F9">
            <w:pPr>
              <w:pStyle w:val="Tekstpodstawowy"/>
              <w:spacing w:line="240" w:lineRule="auto"/>
              <w:jc w:val="both"/>
              <w:rPr>
                <w:rFonts w:asciiTheme="minorHAnsi" w:hAnsiTheme="minorHAnsi" w:cstheme="minorHAnsi"/>
                <w:sz w:val="20"/>
                <w:szCs w:val="20"/>
              </w:rPr>
            </w:pPr>
            <w:r w:rsidRPr="008831F9">
              <w:rPr>
                <w:rFonts w:asciiTheme="minorHAnsi" w:hAnsiTheme="minorHAnsi" w:cstheme="minorHAnsi"/>
                <w:sz w:val="20"/>
                <w:szCs w:val="20"/>
              </w:rPr>
              <w:t>1 raz na 300 ton</w:t>
            </w:r>
          </w:p>
        </w:tc>
      </w:tr>
      <w:tr w:rsidR="008831F9" w:rsidRPr="008831F9" w14:paraId="087CC772" w14:textId="77777777" w:rsidTr="008831F9">
        <w:trPr>
          <w:trHeight w:val="302"/>
        </w:trPr>
        <w:tc>
          <w:tcPr>
            <w:tcW w:w="8814" w:type="dxa"/>
            <w:gridSpan w:val="3"/>
            <w:tcBorders>
              <w:top w:val="single" w:sz="4" w:space="0" w:color="000000"/>
              <w:left w:val="single" w:sz="4" w:space="0" w:color="000000"/>
              <w:bottom w:val="single" w:sz="4" w:space="0" w:color="000000"/>
              <w:right w:val="single" w:sz="4" w:space="0" w:color="000000"/>
            </w:tcBorders>
            <w:hideMark/>
          </w:tcPr>
          <w:p w14:paraId="26E70A24" w14:textId="77777777" w:rsidR="008831F9" w:rsidRPr="008831F9" w:rsidRDefault="008831F9" w:rsidP="008831F9">
            <w:pPr>
              <w:pStyle w:val="Tekstpodstawowy"/>
              <w:spacing w:line="240" w:lineRule="auto"/>
              <w:jc w:val="both"/>
              <w:rPr>
                <w:rFonts w:asciiTheme="minorHAnsi" w:hAnsiTheme="minorHAnsi" w:cstheme="minorHAnsi"/>
                <w:sz w:val="20"/>
                <w:szCs w:val="20"/>
              </w:rPr>
            </w:pPr>
            <w:r w:rsidRPr="008831F9">
              <w:rPr>
                <w:rFonts w:asciiTheme="minorHAnsi" w:hAnsiTheme="minorHAnsi" w:cstheme="minorHAnsi"/>
                <w:sz w:val="20"/>
                <w:szCs w:val="20"/>
              </w:rPr>
              <w:t>Badania mieszanki mineralno-asfaltowej</w:t>
            </w:r>
          </w:p>
        </w:tc>
      </w:tr>
      <w:tr w:rsidR="008831F9" w:rsidRPr="008831F9" w14:paraId="1A087219" w14:textId="77777777" w:rsidTr="008831F9">
        <w:trPr>
          <w:trHeight w:val="304"/>
        </w:trPr>
        <w:tc>
          <w:tcPr>
            <w:tcW w:w="523" w:type="dxa"/>
            <w:tcBorders>
              <w:top w:val="single" w:sz="4" w:space="0" w:color="000000"/>
              <w:left w:val="single" w:sz="4" w:space="0" w:color="000000"/>
              <w:bottom w:val="single" w:sz="4" w:space="0" w:color="000000"/>
              <w:right w:val="single" w:sz="4" w:space="0" w:color="000000"/>
            </w:tcBorders>
            <w:hideMark/>
          </w:tcPr>
          <w:p w14:paraId="35FC1504" w14:textId="77777777" w:rsidR="008831F9" w:rsidRPr="008831F9" w:rsidRDefault="008831F9" w:rsidP="008831F9">
            <w:pPr>
              <w:pStyle w:val="Tekstpodstawowy"/>
              <w:spacing w:line="240" w:lineRule="auto"/>
              <w:jc w:val="both"/>
              <w:rPr>
                <w:rFonts w:asciiTheme="minorHAnsi" w:hAnsiTheme="minorHAnsi" w:cstheme="minorHAnsi"/>
                <w:sz w:val="20"/>
                <w:szCs w:val="20"/>
              </w:rPr>
            </w:pPr>
            <w:r w:rsidRPr="008831F9">
              <w:rPr>
                <w:rFonts w:asciiTheme="minorHAnsi" w:hAnsiTheme="minorHAnsi" w:cstheme="minorHAnsi"/>
                <w:sz w:val="20"/>
                <w:szCs w:val="20"/>
              </w:rPr>
              <w:t>4.</w:t>
            </w:r>
          </w:p>
        </w:tc>
        <w:tc>
          <w:tcPr>
            <w:tcW w:w="4262" w:type="dxa"/>
            <w:tcBorders>
              <w:top w:val="single" w:sz="4" w:space="0" w:color="000000"/>
              <w:left w:val="single" w:sz="4" w:space="0" w:color="000000"/>
              <w:bottom w:val="single" w:sz="4" w:space="0" w:color="000000"/>
              <w:right w:val="single" w:sz="4" w:space="0" w:color="000000"/>
            </w:tcBorders>
            <w:hideMark/>
          </w:tcPr>
          <w:p w14:paraId="22BF0190" w14:textId="77777777" w:rsidR="008831F9" w:rsidRPr="008831F9" w:rsidRDefault="008831F9" w:rsidP="008831F9">
            <w:pPr>
              <w:pStyle w:val="Tekstpodstawowy"/>
              <w:spacing w:line="240" w:lineRule="auto"/>
              <w:jc w:val="both"/>
              <w:rPr>
                <w:rFonts w:asciiTheme="minorHAnsi" w:hAnsiTheme="minorHAnsi" w:cstheme="minorHAnsi"/>
                <w:sz w:val="20"/>
                <w:szCs w:val="20"/>
              </w:rPr>
            </w:pPr>
            <w:r w:rsidRPr="008831F9">
              <w:rPr>
                <w:rFonts w:asciiTheme="minorHAnsi" w:hAnsiTheme="minorHAnsi" w:cstheme="minorHAnsi"/>
                <w:sz w:val="20"/>
                <w:szCs w:val="20"/>
              </w:rPr>
              <w:t>Temperatura składników</w:t>
            </w:r>
          </w:p>
        </w:tc>
        <w:tc>
          <w:tcPr>
            <w:tcW w:w="4029" w:type="dxa"/>
            <w:tcBorders>
              <w:top w:val="single" w:sz="4" w:space="0" w:color="000000"/>
              <w:left w:val="single" w:sz="4" w:space="0" w:color="000000"/>
              <w:bottom w:val="single" w:sz="4" w:space="0" w:color="000000"/>
              <w:right w:val="single" w:sz="4" w:space="0" w:color="000000"/>
            </w:tcBorders>
            <w:hideMark/>
          </w:tcPr>
          <w:p w14:paraId="14ABB341" w14:textId="77777777" w:rsidR="008831F9" w:rsidRPr="008831F9" w:rsidRDefault="008831F9" w:rsidP="008831F9">
            <w:pPr>
              <w:pStyle w:val="Tekstpodstawowy"/>
              <w:spacing w:line="240" w:lineRule="auto"/>
              <w:jc w:val="both"/>
              <w:rPr>
                <w:rFonts w:asciiTheme="minorHAnsi" w:hAnsiTheme="minorHAnsi" w:cstheme="minorHAnsi"/>
                <w:sz w:val="20"/>
                <w:szCs w:val="20"/>
              </w:rPr>
            </w:pPr>
            <w:r w:rsidRPr="008831F9">
              <w:rPr>
                <w:rFonts w:asciiTheme="minorHAnsi" w:hAnsiTheme="minorHAnsi" w:cstheme="minorHAnsi"/>
                <w:sz w:val="20"/>
                <w:szCs w:val="20"/>
              </w:rPr>
              <w:t>Nadzór ciągły</w:t>
            </w:r>
          </w:p>
        </w:tc>
      </w:tr>
      <w:tr w:rsidR="008831F9" w:rsidRPr="008831F9" w14:paraId="6DAC4CF4" w14:textId="77777777" w:rsidTr="008831F9">
        <w:trPr>
          <w:trHeight w:val="546"/>
        </w:trPr>
        <w:tc>
          <w:tcPr>
            <w:tcW w:w="523" w:type="dxa"/>
            <w:tcBorders>
              <w:top w:val="single" w:sz="4" w:space="0" w:color="000000"/>
              <w:left w:val="single" w:sz="4" w:space="0" w:color="000000"/>
              <w:bottom w:val="single" w:sz="4" w:space="0" w:color="000000"/>
              <w:right w:val="single" w:sz="4" w:space="0" w:color="000000"/>
            </w:tcBorders>
            <w:hideMark/>
          </w:tcPr>
          <w:p w14:paraId="510DE65F" w14:textId="77777777" w:rsidR="008831F9" w:rsidRPr="008831F9" w:rsidRDefault="008831F9" w:rsidP="008831F9">
            <w:pPr>
              <w:pStyle w:val="Tekstpodstawowy"/>
              <w:spacing w:line="240" w:lineRule="auto"/>
              <w:jc w:val="both"/>
              <w:rPr>
                <w:rFonts w:asciiTheme="minorHAnsi" w:hAnsiTheme="minorHAnsi" w:cstheme="minorHAnsi"/>
                <w:sz w:val="20"/>
                <w:szCs w:val="20"/>
              </w:rPr>
            </w:pPr>
            <w:r w:rsidRPr="008831F9">
              <w:rPr>
                <w:rFonts w:asciiTheme="minorHAnsi" w:hAnsiTheme="minorHAnsi" w:cstheme="minorHAnsi"/>
                <w:sz w:val="20"/>
                <w:szCs w:val="20"/>
              </w:rPr>
              <w:t>5.</w:t>
            </w:r>
          </w:p>
        </w:tc>
        <w:tc>
          <w:tcPr>
            <w:tcW w:w="4262" w:type="dxa"/>
            <w:tcBorders>
              <w:top w:val="single" w:sz="4" w:space="0" w:color="000000"/>
              <w:left w:val="single" w:sz="4" w:space="0" w:color="000000"/>
              <w:bottom w:val="single" w:sz="4" w:space="0" w:color="000000"/>
              <w:right w:val="single" w:sz="4" w:space="0" w:color="000000"/>
            </w:tcBorders>
            <w:hideMark/>
          </w:tcPr>
          <w:p w14:paraId="1D4BBAAF" w14:textId="77777777" w:rsidR="008831F9" w:rsidRPr="008831F9" w:rsidRDefault="008831F9" w:rsidP="008831F9">
            <w:pPr>
              <w:pStyle w:val="Tekstpodstawowy"/>
              <w:spacing w:line="240" w:lineRule="auto"/>
              <w:jc w:val="both"/>
              <w:rPr>
                <w:rFonts w:asciiTheme="minorHAnsi" w:hAnsiTheme="minorHAnsi" w:cstheme="minorHAnsi"/>
                <w:sz w:val="20"/>
                <w:szCs w:val="20"/>
              </w:rPr>
            </w:pPr>
            <w:r w:rsidRPr="008831F9">
              <w:rPr>
                <w:rFonts w:asciiTheme="minorHAnsi" w:hAnsiTheme="minorHAnsi" w:cstheme="minorHAnsi"/>
                <w:sz w:val="20"/>
                <w:szCs w:val="20"/>
              </w:rPr>
              <w:t>Temperatura mieszanki</w:t>
            </w:r>
          </w:p>
        </w:tc>
        <w:tc>
          <w:tcPr>
            <w:tcW w:w="4029" w:type="dxa"/>
            <w:tcBorders>
              <w:top w:val="single" w:sz="4" w:space="0" w:color="000000"/>
              <w:left w:val="single" w:sz="4" w:space="0" w:color="000000"/>
              <w:bottom w:val="single" w:sz="4" w:space="0" w:color="000000"/>
              <w:right w:val="single" w:sz="4" w:space="0" w:color="000000"/>
            </w:tcBorders>
            <w:hideMark/>
          </w:tcPr>
          <w:p w14:paraId="7D457BD3" w14:textId="77777777" w:rsidR="008831F9" w:rsidRPr="008831F9" w:rsidRDefault="008831F9" w:rsidP="008831F9">
            <w:pPr>
              <w:pStyle w:val="Tekstpodstawowy"/>
              <w:spacing w:line="240" w:lineRule="auto"/>
              <w:jc w:val="both"/>
              <w:rPr>
                <w:rFonts w:asciiTheme="minorHAnsi" w:hAnsiTheme="minorHAnsi" w:cstheme="minorHAnsi"/>
                <w:sz w:val="20"/>
                <w:szCs w:val="20"/>
                <w:lang w:val="pl-PL"/>
              </w:rPr>
            </w:pPr>
            <w:r w:rsidRPr="008831F9">
              <w:rPr>
                <w:rFonts w:asciiTheme="minorHAnsi" w:hAnsiTheme="minorHAnsi" w:cstheme="minorHAnsi"/>
                <w:sz w:val="20"/>
                <w:szCs w:val="20"/>
                <w:lang w:val="pl-PL"/>
              </w:rPr>
              <w:t>Każdy samochód przy załadunku i w czasie wbudowania</w:t>
            </w:r>
          </w:p>
        </w:tc>
      </w:tr>
      <w:tr w:rsidR="008831F9" w:rsidRPr="008831F9" w14:paraId="503B9D28" w14:textId="77777777" w:rsidTr="008831F9">
        <w:trPr>
          <w:trHeight w:val="501"/>
        </w:trPr>
        <w:tc>
          <w:tcPr>
            <w:tcW w:w="523" w:type="dxa"/>
            <w:tcBorders>
              <w:top w:val="single" w:sz="4" w:space="0" w:color="000000"/>
              <w:left w:val="single" w:sz="4" w:space="0" w:color="000000"/>
              <w:bottom w:val="single" w:sz="4" w:space="0" w:color="000000"/>
              <w:right w:val="single" w:sz="4" w:space="0" w:color="000000"/>
            </w:tcBorders>
            <w:hideMark/>
          </w:tcPr>
          <w:p w14:paraId="06111DDC" w14:textId="77777777" w:rsidR="008831F9" w:rsidRPr="008831F9" w:rsidRDefault="008831F9" w:rsidP="008831F9">
            <w:pPr>
              <w:pStyle w:val="Tekstpodstawowy"/>
              <w:spacing w:line="240" w:lineRule="auto"/>
              <w:jc w:val="both"/>
              <w:rPr>
                <w:rFonts w:asciiTheme="minorHAnsi" w:hAnsiTheme="minorHAnsi" w:cstheme="minorHAnsi"/>
                <w:sz w:val="20"/>
                <w:szCs w:val="20"/>
              </w:rPr>
            </w:pPr>
            <w:r w:rsidRPr="008831F9">
              <w:rPr>
                <w:rFonts w:asciiTheme="minorHAnsi" w:hAnsiTheme="minorHAnsi" w:cstheme="minorHAnsi"/>
                <w:sz w:val="20"/>
                <w:szCs w:val="20"/>
              </w:rPr>
              <w:t>6.</w:t>
            </w:r>
          </w:p>
        </w:tc>
        <w:tc>
          <w:tcPr>
            <w:tcW w:w="4262" w:type="dxa"/>
            <w:tcBorders>
              <w:top w:val="single" w:sz="4" w:space="0" w:color="000000"/>
              <w:left w:val="single" w:sz="4" w:space="0" w:color="000000"/>
              <w:bottom w:val="single" w:sz="4" w:space="0" w:color="000000"/>
              <w:right w:val="single" w:sz="4" w:space="0" w:color="000000"/>
            </w:tcBorders>
            <w:hideMark/>
          </w:tcPr>
          <w:p w14:paraId="59B34614" w14:textId="77777777" w:rsidR="008831F9" w:rsidRPr="008831F9" w:rsidRDefault="008831F9" w:rsidP="008831F9">
            <w:pPr>
              <w:pStyle w:val="Tekstpodstawowy"/>
              <w:spacing w:line="240" w:lineRule="auto"/>
              <w:jc w:val="both"/>
              <w:rPr>
                <w:rFonts w:asciiTheme="minorHAnsi" w:hAnsiTheme="minorHAnsi" w:cstheme="minorHAnsi"/>
                <w:sz w:val="20"/>
                <w:szCs w:val="20"/>
                <w:lang w:val="pl-PL"/>
              </w:rPr>
            </w:pPr>
            <w:r w:rsidRPr="008831F9">
              <w:rPr>
                <w:rFonts w:asciiTheme="minorHAnsi" w:hAnsiTheme="minorHAnsi" w:cstheme="minorHAnsi"/>
                <w:spacing w:val="2"/>
                <w:sz w:val="20"/>
                <w:szCs w:val="20"/>
                <w:lang w:val="pl-PL"/>
              </w:rPr>
              <w:t>Zawartość</w:t>
            </w:r>
            <w:r w:rsidRPr="008831F9">
              <w:rPr>
                <w:rFonts w:asciiTheme="minorHAnsi" w:hAnsiTheme="minorHAnsi" w:cstheme="minorHAnsi"/>
                <w:spacing w:val="2"/>
                <w:sz w:val="20"/>
                <w:szCs w:val="20"/>
                <w:lang w:val="pl-PL"/>
              </w:rPr>
              <w:tab/>
            </w:r>
            <w:r w:rsidRPr="008831F9">
              <w:rPr>
                <w:rFonts w:asciiTheme="minorHAnsi" w:hAnsiTheme="minorHAnsi" w:cstheme="minorHAnsi"/>
                <w:sz w:val="20"/>
                <w:szCs w:val="20"/>
                <w:lang w:val="pl-PL"/>
              </w:rPr>
              <w:t>asfaltu</w:t>
            </w:r>
            <w:r w:rsidRPr="008831F9">
              <w:rPr>
                <w:rFonts w:asciiTheme="minorHAnsi" w:hAnsiTheme="minorHAnsi" w:cstheme="minorHAnsi"/>
                <w:sz w:val="20"/>
                <w:szCs w:val="20"/>
                <w:lang w:val="pl-PL"/>
              </w:rPr>
              <w:tab/>
              <w:t>rozpuszczalnego</w:t>
            </w:r>
            <w:r w:rsidRPr="008831F9">
              <w:rPr>
                <w:rFonts w:asciiTheme="minorHAnsi" w:hAnsiTheme="minorHAnsi" w:cstheme="minorHAnsi"/>
                <w:sz w:val="20"/>
                <w:szCs w:val="20"/>
                <w:lang w:val="pl-PL"/>
              </w:rPr>
              <w:tab/>
              <w:t xml:space="preserve">w </w:t>
            </w:r>
            <w:r w:rsidRPr="008831F9">
              <w:rPr>
                <w:rFonts w:asciiTheme="minorHAnsi" w:hAnsiTheme="minorHAnsi" w:cstheme="minorHAnsi"/>
                <w:spacing w:val="2"/>
                <w:sz w:val="20"/>
                <w:szCs w:val="20"/>
                <w:lang w:val="pl-PL"/>
              </w:rPr>
              <w:t>mieszance</w:t>
            </w:r>
            <w:r w:rsidRPr="008831F9">
              <w:rPr>
                <w:rFonts w:asciiTheme="minorHAnsi" w:hAnsiTheme="minorHAnsi" w:cstheme="minorHAnsi"/>
                <w:spacing w:val="-14"/>
                <w:sz w:val="20"/>
                <w:szCs w:val="20"/>
                <w:lang w:val="pl-PL"/>
              </w:rPr>
              <w:t xml:space="preserve"> </w:t>
            </w:r>
            <w:r w:rsidRPr="008831F9">
              <w:rPr>
                <w:rFonts w:asciiTheme="minorHAnsi" w:hAnsiTheme="minorHAnsi" w:cstheme="minorHAnsi"/>
                <w:spacing w:val="2"/>
                <w:sz w:val="20"/>
                <w:szCs w:val="20"/>
                <w:lang w:val="pl-PL"/>
              </w:rPr>
              <w:t>mineralno-asfaltowej</w:t>
            </w:r>
          </w:p>
        </w:tc>
        <w:tc>
          <w:tcPr>
            <w:tcW w:w="4029" w:type="dxa"/>
            <w:tcBorders>
              <w:top w:val="single" w:sz="4" w:space="0" w:color="000000"/>
              <w:left w:val="single" w:sz="4" w:space="0" w:color="000000"/>
              <w:bottom w:val="single" w:sz="4" w:space="0" w:color="000000"/>
              <w:right w:val="single" w:sz="4" w:space="0" w:color="000000"/>
            </w:tcBorders>
            <w:hideMark/>
          </w:tcPr>
          <w:p w14:paraId="4D946035" w14:textId="77777777" w:rsidR="008831F9" w:rsidRPr="008831F9" w:rsidRDefault="008831F9" w:rsidP="008831F9">
            <w:pPr>
              <w:pStyle w:val="Tekstpodstawowy"/>
              <w:spacing w:line="240" w:lineRule="auto"/>
              <w:jc w:val="both"/>
              <w:rPr>
                <w:rFonts w:asciiTheme="minorHAnsi" w:hAnsiTheme="minorHAnsi" w:cstheme="minorHAnsi"/>
                <w:sz w:val="20"/>
                <w:szCs w:val="20"/>
                <w:lang w:val="pl-PL"/>
              </w:rPr>
            </w:pPr>
            <w:r w:rsidRPr="008831F9">
              <w:rPr>
                <w:rFonts w:asciiTheme="minorHAnsi" w:hAnsiTheme="minorHAnsi" w:cstheme="minorHAnsi"/>
                <w:sz w:val="20"/>
                <w:szCs w:val="20"/>
                <w:lang w:val="pl-PL"/>
              </w:rPr>
              <w:t xml:space="preserve">1 raz na 1000 ton </w:t>
            </w:r>
            <w:r w:rsidRPr="008831F9">
              <w:rPr>
                <w:rFonts w:asciiTheme="minorHAnsi" w:hAnsiTheme="minorHAnsi" w:cstheme="minorHAnsi"/>
                <w:spacing w:val="2"/>
                <w:sz w:val="20"/>
                <w:szCs w:val="20"/>
                <w:lang w:val="pl-PL"/>
              </w:rPr>
              <w:t>wyprodukowanej mma, przynajmniej</w:t>
            </w:r>
            <w:r w:rsidRPr="008831F9">
              <w:rPr>
                <w:rFonts w:asciiTheme="minorHAnsi" w:hAnsiTheme="minorHAnsi" w:cstheme="minorHAnsi"/>
                <w:spacing w:val="-20"/>
                <w:sz w:val="20"/>
                <w:szCs w:val="20"/>
                <w:lang w:val="pl-PL"/>
              </w:rPr>
              <w:t xml:space="preserve"> </w:t>
            </w:r>
            <w:r w:rsidRPr="008831F9">
              <w:rPr>
                <w:rFonts w:asciiTheme="minorHAnsi" w:hAnsiTheme="minorHAnsi" w:cstheme="minorHAnsi"/>
                <w:sz w:val="20"/>
                <w:szCs w:val="20"/>
                <w:lang w:val="pl-PL"/>
              </w:rPr>
              <w:t>raz</w:t>
            </w:r>
            <w:r w:rsidRPr="008831F9">
              <w:rPr>
                <w:rFonts w:asciiTheme="minorHAnsi" w:hAnsiTheme="minorHAnsi" w:cstheme="minorHAnsi"/>
                <w:spacing w:val="-19"/>
                <w:sz w:val="20"/>
                <w:szCs w:val="20"/>
                <w:lang w:val="pl-PL"/>
              </w:rPr>
              <w:t xml:space="preserve"> </w:t>
            </w:r>
            <w:r w:rsidRPr="008831F9">
              <w:rPr>
                <w:rFonts w:asciiTheme="minorHAnsi" w:hAnsiTheme="minorHAnsi" w:cstheme="minorHAnsi"/>
                <w:sz w:val="20"/>
                <w:szCs w:val="20"/>
                <w:lang w:val="pl-PL"/>
              </w:rPr>
              <w:t>dziennie</w:t>
            </w:r>
            <w:r w:rsidRPr="008831F9">
              <w:rPr>
                <w:rFonts w:asciiTheme="minorHAnsi" w:hAnsiTheme="minorHAnsi" w:cstheme="minorHAnsi"/>
                <w:spacing w:val="-19"/>
                <w:sz w:val="20"/>
                <w:szCs w:val="20"/>
                <w:lang w:val="pl-PL"/>
              </w:rPr>
              <w:t xml:space="preserve"> </w:t>
            </w:r>
            <w:r w:rsidRPr="008831F9">
              <w:rPr>
                <w:rFonts w:asciiTheme="minorHAnsi" w:hAnsiTheme="minorHAnsi" w:cstheme="minorHAnsi"/>
                <w:sz w:val="20"/>
                <w:szCs w:val="20"/>
                <w:lang w:val="pl-PL"/>
              </w:rPr>
              <w:t>w</w:t>
            </w:r>
            <w:r w:rsidRPr="008831F9">
              <w:rPr>
                <w:rFonts w:asciiTheme="minorHAnsi" w:hAnsiTheme="minorHAnsi" w:cstheme="minorHAnsi"/>
                <w:spacing w:val="-20"/>
                <w:sz w:val="20"/>
                <w:szCs w:val="20"/>
                <w:lang w:val="pl-PL"/>
              </w:rPr>
              <w:t xml:space="preserve"> </w:t>
            </w:r>
            <w:r w:rsidRPr="008831F9">
              <w:rPr>
                <w:rFonts w:asciiTheme="minorHAnsi" w:hAnsiTheme="minorHAnsi" w:cstheme="minorHAnsi"/>
                <w:sz w:val="20"/>
                <w:szCs w:val="20"/>
                <w:lang w:val="pl-PL"/>
              </w:rPr>
              <w:t>trakcie</w:t>
            </w:r>
            <w:r w:rsidRPr="008831F9">
              <w:rPr>
                <w:rFonts w:asciiTheme="minorHAnsi" w:hAnsiTheme="minorHAnsi" w:cstheme="minorHAnsi"/>
                <w:spacing w:val="-19"/>
                <w:sz w:val="20"/>
                <w:szCs w:val="20"/>
                <w:lang w:val="pl-PL"/>
              </w:rPr>
              <w:t xml:space="preserve"> </w:t>
            </w:r>
            <w:r w:rsidRPr="008831F9">
              <w:rPr>
                <w:rFonts w:asciiTheme="minorHAnsi" w:hAnsiTheme="minorHAnsi" w:cstheme="minorHAnsi"/>
                <w:sz w:val="20"/>
                <w:szCs w:val="20"/>
                <w:lang w:val="pl-PL"/>
              </w:rPr>
              <w:t xml:space="preserve">produkcji </w:t>
            </w:r>
            <w:r w:rsidRPr="008831F9">
              <w:rPr>
                <w:rFonts w:asciiTheme="minorHAnsi" w:hAnsiTheme="minorHAnsi" w:cstheme="minorHAnsi"/>
                <w:spacing w:val="2"/>
                <w:sz w:val="20"/>
                <w:szCs w:val="20"/>
                <w:lang w:val="pl-PL"/>
              </w:rPr>
              <w:t>mma</w:t>
            </w:r>
          </w:p>
        </w:tc>
      </w:tr>
      <w:tr w:rsidR="008831F9" w:rsidRPr="008831F9" w14:paraId="01052AAA" w14:textId="77777777" w:rsidTr="008831F9">
        <w:trPr>
          <w:trHeight w:val="565"/>
        </w:trPr>
        <w:tc>
          <w:tcPr>
            <w:tcW w:w="523" w:type="dxa"/>
            <w:tcBorders>
              <w:top w:val="single" w:sz="4" w:space="0" w:color="000000"/>
              <w:left w:val="single" w:sz="4" w:space="0" w:color="000000"/>
              <w:bottom w:val="single" w:sz="4" w:space="0" w:color="000000"/>
              <w:right w:val="single" w:sz="4" w:space="0" w:color="000000"/>
            </w:tcBorders>
            <w:hideMark/>
          </w:tcPr>
          <w:p w14:paraId="1A08E173" w14:textId="77777777" w:rsidR="008831F9" w:rsidRPr="008831F9" w:rsidRDefault="008831F9" w:rsidP="008831F9">
            <w:pPr>
              <w:pStyle w:val="Tekstpodstawowy"/>
              <w:spacing w:line="240" w:lineRule="auto"/>
              <w:jc w:val="both"/>
              <w:rPr>
                <w:rFonts w:asciiTheme="minorHAnsi" w:hAnsiTheme="minorHAnsi" w:cstheme="minorHAnsi"/>
                <w:sz w:val="20"/>
                <w:szCs w:val="20"/>
              </w:rPr>
            </w:pPr>
            <w:r w:rsidRPr="008831F9">
              <w:rPr>
                <w:rFonts w:asciiTheme="minorHAnsi" w:hAnsiTheme="minorHAnsi" w:cstheme="minorHAnsi"/>
                <w:sz w:val="20"/>
                <w:szCs w:val="20"/>
              </w:rPr>
              <w:t>7.</w:t>
            </w:r>
          </w:p>
        </w:tc>
        <w:tc>
          <w:tcPr>
            <w:tcW w:w="4262" w:type="dxa"/>
            <w:tcBorders>
              <w:top w:val="single" w:sz="4" w:space="0" w:color="000000"/>
              <w:left w:val="single" w:sz="4" w:space="0" w:color="000000"/>
              <w:bottom w:val="single" w:sz="4" w:space="0" w:color="000000"/>
              <w:right w:val="single" w:sz="4" w:space="0" w:color="000000"/>
            </w:tcBorders>
            <w:hideMark/>
          </w:tcPr>
          <w:p w14:paraId="61BDAB0D" w14:textId="77777777" w:rsidR="008831F9" w:rsidRPr="008831F9" w:rsidRDefault="008831F9" w:rsidP="008831F9">
            <w:pPr>
              <w:pStyle w:val="Tekstpodstawowy"/>
              <w:spacing w:line="240" w:lineRule="auto"/>
              <w:jc w:val="both"/>
              <w:rPr>
                <w:rFonts w:asciiTheme="minorHAnsi" w:hAnsiTheme="minorHAnsi" w:cstheme="minorHAnsi"/>
                <w:sz w:val="20"/>
                <w:szCs w:val="20"/>
              </w:rPr>
            </w:pPr>
            <w:r w:rsidRPr="008831F9">
              <w:rPr>
                <w:rFonts w:asciiTheme="minorHAnsi" w:hAnsiTheme="minorHAnsi" w:cstheme="minorHAnsi"/>
                <w:sz w:val="20"/>
                <w:szCs w:val="20"/>
              </w:rPr>
              <w:t>Uziarnienie mieszanki mineralno-asfaltowej</w:t>
            </w:r>
          </w:p>
        </w:tc>
        <w:tc>
          <w:tcPr>
            <w:tcW w:w="4029" w:type="dxa"/>
            <w:tcBorders>
              <w:top w:val="single" w:sz="4" w:space="0" w:color="000000"/>
              <w:left w:val="single" w:sz="4" w:space="0" w:color="000000"/>
              <w:bottom w:val="single" w:sz="4" w:space="0" w:color="000000"/>
              <w:right w:val="single" w:sz="4" w:space="0" w:color="000000"/>
            </w:tcBorders>
            <w:hideMark/>
          </w:tcPr>
          <w:p w14:paraId="44580D5B" w14:textId="77777777" w:rsidR="008831F9" w:rsidRPr="008831F9" w:rsidRDefault="008831F9" w:rsidP="008831F9">
            <w:pPr>
              <w:pStyle w:val="Tekstpodstawowy"/>
              <w:spacing w:line="240" w:lineRule="auto"/>
              <w:jc w:val="both"/>
              <w:rPr>
                <w:rFonts w:asciiTheme="minorHAnsi" w:hAnsiTheme="minorHAnsi" w:cstheme="minorHAnsi"/>
                <w:sz w:val="20"/>
                <w:szCs w:val="20"/>
                <w:lang w:val="pl-PL"/>
              </w:rPr>
            </w:pPr>
            <w:r w:rsidRPr="008831F9">
              <w:rPr>
                <w:rFonts w:asciiTheme="minorHAnsi" w:hAnsiTheme="minorHAnsi" w:cstheme="minorHAnsi"/>
                <w:sz w:val="20"/>
                <w:szCs w:val="20"/>
                <w:lang w:val="pl-PL"/>
              </w:rPr>
              <w:t xml:space="preserve">1 raz na 1000 ton </w:t>
            </w:r>
            <w:r w:rsidRPr="008831F9">
              <w:rPr>
                <w:rFonts w:asciiTheme="minorHAnsi" w:hAnsiTheme="minorHAnsi" w:cstheme="minorHAnsi"/>
                <w:spacing w:val="2"/>
                <w:sz w:val="20"/>
                <w:szCs w:val="20"/>
                <w:lang w:val="pl-PL"/>
              </w:rPr>
              <w:t>wyprodukowanej mma, przynajmniej</w:t>
            </w:r>
            <w:r w:rsidRPr="008831F9">
              <w:rPr>
                <w:rFonts w:asciiTheme="minorHAnsi" w:hAnsiTheme="minorHAnsi" w:cstheme="minorHAnsi"/>
                <w:spacing w:val="-20"/>
                <w:sz w:val="20"/>
                <w:szCs w:val="20"/>
                <w:lang w:val="pl-PL"/>
              </w:rPr>
              <w:t xml:space="preserve"> </w:t>
            </w:r>
            <w:r w:rsidRPr="008831F9">
              <w:rPr>
                <w:rFonts w:asciiTheme="minorHAnsi" w:hAnsiTheme="minorHAnsi" w:cstheme="minorHAnsi"/>
                <w:sz w:val="20"/>
                <w:szCs w:val="20"/>
                <w:lang w:val="pl-PL"/>
              </w:rPr>
              <w:t>raz</w:t>
            </w:r>
            <w:r w:rsidRPr="008831F9">
              <w:rPr>
                <w:rFonts w:asciiTheme="minorHAnsi" w:hAnsiTheme="minorHAnsi" w:cstheme="minorHAnsi"/>
                <w:spacing w:val="-19"/>
                <w:sz w:val="20"/>
                <w:szCs w:val="20"/>
                <w:lang w:val="pl-PL"/>
              </w:rPr>
              <w:t xml:space="preserve"> </w:t>
            </w:r>
            <w:r w:rsidRPr="008831F9">
              <w:rPr>
                <w:rFonts w:asciiTheme="minorHAnsi" w:hAnsiTheme="minorHAnsi" w:cstheme="minorHAnsi"/>
                <w:sz w:val="20"/>
                <w:szCs w:val="20"/>
                <w:lang w:val="pl-PL"/>
              </w:rPr>
              <w:t>dziennie</w:t>
            </w:r>
            <w:r w:rsidRPr="008831F9">
              <w:rPr>
                <w:rFonts w:asciiTheme="minorHAnsi" w:hAnsiTheme="minorHAnsi" w:cstheme="minorHAnsi"/>
                <w:spacing w:val="-19"/>
                <w:sz w:val="20"/>
                <w:szCs w:val="20"/>
                <w:lang w:val="pl-PL"/>
              </w:rPr>
              <w:t xml:space="preserve"> </w:t>
            </w:r>
            <w:r w:rsidRPr="008831F9">
              <w:rPr>
                <w:rFonts w:asciiTheme="minorHAnsi" w:hAnsiTheme="minorHAnsi" w:cstheme="minorHAnsi"/>
                <w:sz w:val="20"/>
                <w:szCs w:val="20"/>
                <w:lang w:val="pl-PL"/>
              </w:rPr>
              <w:t>w</w:t>
            </w:r>
            <w:r w:rsidRPr="008831F9">
              <w:rPr>
                <w:rFonts w:asciiTheme="minorHAnsi" w:hAnsiTheme="minorHAnsi" w:cstheme="minorHAnsi"/>
                <w:spacing w:val="-20"/>
                <w:sz w:val="20"/>
                <w:szCs w:val="20"/>
                <w:lang w:val="pl-PL"/>
              </w:rPr>
              <w:t xml:space="preserve"> </w:t>
            </w:r>
            <w:r w:rsidRPr="008831F9">
              <w:rPr>
                <w:rFonts w:asciiTheme="minorHAnsi" w:hAnsiTheme="minorHAnsi" w:cstheme="minorHAnsi"/>
                <w:sz w:val="20"/>
                <w:szCs w:val="20"/>
                <w:lang w:val="pl-PL"/>
              </w:rPr>
              <w:t>trakcie</w:t>
            </w:r>
            <w:r w:rsidRPr="008831F9">
              <w:rPr>
                <w:rFonts w:asciiTheme="minorHAnsi" w:hAnsiTheme="minorHAnsi" w:cstheme="minorHAnsi"/>
                <w:spacing w:val="-19"/>
                <w:sz w:val="20"/>
                <w:szCs w:val="20"/>
                <w:lang w:val="pl-PL"/>
              </w:rPr>
              <w:t xml:space="preserve"> </w:t>
            </w:r>
            <w:r w:rsidRPr="008831F9">
              <w:rPr>
                <w:rFonts w:asciiTheme="minorHAnsi" w:hAnsiTheme="minorHAnsi" w:cstheme="minorHAnsi"/>
                <w:sz w:val="20"/>
                <w:szCs w:val="20"/>
                <w:lang w:val="pl-PL"/>
              </w:rPr>
              <w:t xml:space="preserve">produkcji </w:t>
            </w:r>
            <w:r w:rsidRPr="008831F9">
              <w:rPr>
                <w:rFonts w:asciiTheme="minorHAnsi" w:hAnsiTheme="minorHAnsi" w:cstheme="minorHAnsi"/>
                <w:spacing w:val="2"/>
                <w:sz w:val="20"/>
                <w:szCs w:val="20"/>
                <w:lang w:val="pl-PL"/>
              </w:rPr>
              <w:t>mma</w:t>
            </w:r>
          </w:p>
        </w:tc>
      </w:tr>
      <w:tr w:rsidR="008831F9" w:rsidRPr="008831F9" w14:paraId="6D7E7455" w14:textId="77777777" w:rsidTr="008831F9">
        <w:trPr>
          <w:trHeight w:val="545"/>
        </w:trPr>
        <w:tc>
          <w:tcPr>
            <w:tcW w:w="523" w:type="dxa"/>
            <w:tcBorders>
              <w:top w:val="single" w:sz="4" w:space="0" w:color="000000"/>
              <w:left w:val="single" w:sz="4" w:space="0" w:color="000000"/>
              <w:bottom w:val="single" w:sz="4" w:space="0" w:color="000000"/>
              <w:right w:val="single" w:sz="4" w:space="0" w:color="000000"/>
            </w:tcBorders>
            <w:hideMark/>
          </w:tcPr>
          <w:p w14:paraId="3E425DA0" w14:textId="77777777" w:rsidR="008831F9" w:rsidRPr="008831F9" w:rsidRDefault="008831F9" w:rsidP="008831F9">
            <w:pPr>
              <w:pStyle w:val="Tekstpodstawowy"/>
              <w:spacing w:line="240" w:lineRule="auto"/>
              <w:jc w:val="both"/>
              <w:rPr>
                <w:rFonts w:asciiTheme="minorHAnsi" w:hAnsiTheme="minorHAnsi" w:cstheme="minorHAnsi"/>
                <w:sz w:val="20"/>
                <w:szCs w:val="20"/>
              </w:rPr>
            </w:pPr>
            <w:r w:rsidRPr="008831F9">
              <w:rPr>
                <w:rFonts w:asciiTheme="minorHAnsi" w:hAnsiTheme="minorHAnsi" w:cstheme="minorHAnsi"/>
                <w:sz w:val="20"/>
                <w:szCs w:val="20"/>
              </w:rPr>
              <w:t>8.</w:t>
            </w:r>
          </w:p>
        </w:tc>
        <w:tc>
          <w:tcPr>
            <w:tcW w:w="4262" w:type="dxa"/>
            <w:tcBorders>
              <w:top w:val="single" w:sz="4" w:space="0" w:color="000000"/>
              <w:left w:val="single" w:sz="4" w:space="0" w:color="000000"/>
              <w:bottom w:val="single" w:sz="4" w:space="0" w:color="000000"/>
              <w:right w:val="single" w:sz="4" w:space="0" w:color="000000"/>
            </w:tcBorders>
            <w:hideMark/>
          </w:tcPr>
          <w:p w14:paraId="130EA0DD" w14:textId="77777777" w:rsidR="008831F9" w:rsidRPr="008831F9" w:rsidRDefault="008831F9" w:rsidP="008831F9">
            <w:pPr>
              <w:pStyle w:val="Tekstpodstawowy"/>
              <w:spacing w:line="240" w:lineRule="auto"/>
              <w:jc w:val="both"/>
              <w:rPr>
                <w:rFonts w:asciiTheme="minorHAnsi" w:hAnsiTheme="minorHAnsi" w:cstheme="minorHAnsi"/>
                <w:sz w:val="20"/>
                <w:szCs w:val="20"/>
                <w:lang w:val="pl-PL"/>
              </w:rPr>
            </w:pPr>
            <w:r w:rsidRPr="008831F9">
              <w:rPr>
                <w:rFonts w:asciiTheme="minorHAnsi" w:hAnsiTheme="minorHAnsi" w:cstheme="minorHAnsi"/>
                <w:sz w:val="20"/>
                <w:szCs w:val="20"/>
                <w:lang w:val="pl-PL"/>
              </w:rPr>
              <w:t>Zawartość wolnych przestrzeni w próbkach Marshalla</w:t>
            </w:r>
          </w:p>
        </w:tc>
        <w:tc>
          <w:tcPr>
            <w:tcW w:w="4029" w:type="dxa"/>
            <w:tcBorders>
              <w:top w:val="single" w:sz="4" w:space="0" w:color="000000"/>
              <w:left w:val="single" w:sz="4" w:space="0" w:color="000000"/>
              <w:bottom w:val="single" w:sz="4" w:space="0" w:color="000000"/>
              <w:right w:val="single" w:sz="4" w:space="0" w:color="000000"/>
            </w:tcBorders>
            <w:hideMark/>
          </w:tcPr>
          <w:p w14:paraId="333E0624" w14:textId="77777777" w:rsidR="008831F9" w:rsidRPr="008831F9" w:rsidRDefault="008831F9" w:rsidP="008831F9">
            <w:pPr>
              <w:pStyle w:val="Tekstpodstawowy"/>
              <w:spacing w:line="240" w:lineRule="auto"/>
              <w:jc w:val="both"/>
              <w:rPr>
                <w:rFonts w:asciiTheme="minorHAnsi" w:hAnsiTheme="minorHAnsi" w:cstheme="minorHAnsi"/>
                <w:sz w:val="20"/>
                <w:szCs w:val="20"/>
                <w:lang w:val="pl-PL"/>
              </w:rPr>
            </w:pPr>
            <w:r w:rsidRPr="008831F9">
              <w:rPr>
                <w:rFonts w:asciiTheme="minorHAnsi" w:hAnsiTheme="minorHAnsi" w:cstheme="minorHAnsi"/>
                <w:sz w:val="20"/>
                <w:szCs w:val="20"/>
                <w:lang w:val="pl-PL"/>
              </w:rPr>
              <w:t xml:space="preserve">1 raz na 1000 ton </w:t>
            </w:r>
            <w:r w:rsidRPr="008831F9">
              <w:rPr>
                <w:rFonts w:asciiTheme="minorHAnsi" w:hAnsiTheme="minorHAnsi" w:cstheme="minorHAnsi"/>
                <w:spacing w:val="2"/>
                <w:sz w:val="20"/>
                <w:szCs w:val="20"/>
                <w:lang w:val="pl-PL"/>
              </w:rPr>
              <w:t>wyprodukowanej mma, przynajmniej</w:t>
            </w:r>
            <w:r w:rsidRPr="008831F9">
              <w:rPr>
                <w:rFonts w:asciiTheme="minorHAnsi" w:hAnsiTheme="minorHAnsi" w:cstheme="minorHAnsi"/>
                <w:spacing w:val="-20"/>
                <w:sz w:val="20"/>
                <w:szCs w:val="20"/>
                <w:lang w:val="pl-PL"/>
              </w:rPr>
              <w:t xml:space="preserve"> </w:t>
            </w:r>
            <w:r w:rsidRPr="008831F9">
              <w:rPr>
                <w:rFonts w:asciiTheme="minorHAnsi" w:hAnsiTheme="minorHAnsi" w:cstheme="minorHAnsi"/>
                <w:sz w:val="20"/>
                <w:szCs w:val="20"/>
                <w:lang w:val="pl-PL"/>
              </w:rPr>
              <w:t>raz</w:t>
            </w:r>
            <w:r w:rsidRPr="008831F9">
              <w:rPr>
                <w:rFonts w:asciiTheme="minorHAnsi" w:hAnsiTheme="minorHAnsi" w:cstheme="minorHAnsi"/>
                <w:spacing w:val="-19"/>
                <w:sz w:val="20"/>
                <w:szCs w:val="20"/>
                <w:lang w:val="pl-PL"/>
              </w:rPr>
              <w:t xml:space="preserve"> </w:t>
            </w:r>
            <w:r w:rsidRPr="008831F9">
              <w:rPr>
                <w:rFonts w:asciiTheme="minorHAnsi" w:hAnsiTheme="minorHAnsi" w:cstheme="minorHAnsi"/>
                <w:sz w:val="20"/>
                <w:szCs w:val="20"/>
                <w:lang w:val="pl-PL"/>
              </w:rPr>
              <w:t>dziennie</w:t>
            </w:r>
            <w:r w:rsidRPr="008831F9">
              <w:rPr>
                <w:rFonts w:asciiTheme="minorHAnsi" w:hAnsiTheme="minorHAnsi" w:cstheme="minorHAnsi"/>
                <w:spacing w:val="-19"/>
                <w:sz w:val="20"/>
                <w:szCs w:val="20"/>
                <w:lang w:val="pl-PL"/>
              </w:rPr>
              <w:t xml:space="preserve"> </w:t>
            </w:r>
            <w:r w:rsidRPr="008831F9">
              <w:rPr>
                <w:rFonts w:asciiTheme="minorHAnsi" w:hAnsiTheme="minorHAnsi" w:cstheme="minorHAnsi"/>
                <w:sz w:val="20"/>
                <w:szCs w:val="20"/>
                <w:lang w:val="pl-PL"/>
              </w:rPr>
              <w:t>w</w:t>
            </w:r>
            <w:r w:rsidRPr="008831F9">
              <w:rPr>
                <w:rFonts w:asciiTheme="minorHAnsi" w:hAnsiTheme="minorHAnsi" w:cstheme="minorHAnsi"/>
                <w:spacing w:val="-20"/>
                <w:sz w:val="20"/>
                <w:szCs w:val="20"/>
                <w:lang w:val="pl-PL"/>
              </w:rPr>
              <w:t xml:space="preserve"> </w:t>
            </w:r>
            <w:r w:rsidRPr="008831F9">
              <w:rPr>
                <w:rFonts w:asciiTheme="minorHAnsi" w:hAnsiTheme="minorHAnsi" w:cstheme="minorHAnsi"/>
                <w:sz w:val="20"/>
                <w:szCs w:val="20"/>
                <w:lang w:val="pl-PL"/>
              </w:rPr>
              <w:t>trakcie</w:t>
            </w:r>
            <w:r w:rsidRPr="008831F9">
              <w:rPr>
                <w:rFonts w:asciiTheme="minorHAnsi" w:hAnsiTheme="minorHAnsi" w:cstheme="minorHAnsi"/>
                <w:spacing w:val="-19"/>
                <w:sz w:val="20"/>
                <w:szCs w:val="20"/>
                <w:lang w:val="pl-PL"/>
              </w:rPr>
              <w:t xml:space="preserve"> </w:t>
            </w:r>
            <w:r w:rsidRPr="008831F9">
              <w:rPr>
                <w:rFonts w:asciiTheme="minorHAnsi" w:hAnsiTheme="minorHAnsi" w:cstheme="minorHAnsi"/>
                <w:sz w:val="20"/>
                <w:szCs w:val="20"/>
                <w:lang w:val="pl-PL"/>
              </w:rPr>
              <w:t xml:space="preserve">produkcji </w:t>
            </w:r>
            <w:r w:rsidRPr="008831F9">
              <w:rPr>
                <w:rFonts w:asciiTheme="minorHAnsi" w:hAnsiTheme="minorHAnsi" w:cstheme="minorHAnsi"/>
                <w:spacing w:val="2"/>
                <w:sz w:val="20"/>
                <w:szCs w:val="20"/>
                <w:lang w:val="pl-PL"/>
              </w:rPr>
              <w:t>mma</w:t>
            </w:r>
          </w:p>
        </w:tc>
      </w:tr>
      <w:tr w:rsidR="008831F9" w:rsidRPr="008831F9" w14:paraId="7BB77AF9" w14:textId="77777777" w:rsidTr="008831F9">
        <w:trPr>
          <w:trHeight w:val="290"/>
        </w:trPr>
        <w:tc>
          <w:tcPr>
            <w:tcW w:w="523" w:type="dxa"/>
            <w:tcBorders>
              <w:top w:val="single" w:sz="4" w:space="0" w:color="000000"/>
              <w:left w:val="single" w:sz="4" w:space="0" w:color="000000"/>
              <w:bottom w:val="single" w:sz="4" w:space="0" w:color="000000"/>
              <w:right w:val="single" w:sz="4" w:space="0" w:color="000000"/>
            </w:tcBorders>
            <w:hideMark/>
          </w:tcPr>
          <w:p w14:paraId="2741D83E" w14:textId="77777777" w:rsidR="008831F9" w:rsidRPr="008831F9" w:rsidRDefault="008831F9" w:rsidP="008831F9">
            <w:pPr>
              <w:pStyle w:val="Tekstpodstawowy"/>
              <w:spacing w:line="240" w:lineRule="auto"/>
              <w:jc w:val="both"/>
              <w:rPr>
                <w:rFonts w:asciiTheme="minorHAnsi" w:hAnsiTheme="minorHAnsi" w:cstheme="minorHAnsi"/>
                <w:sz w:val="20"/>
                <w:szCs w:val="20"/>
              </w:rPr>
            </w:pPr>
            <w:r w:rsidRPr="008831F9">
              <w:rPr>
                <w:rFonts w:asciiTheme="minorHAnsi" w:hAnsiTheme="minorHAnsi" w:cstheme="minorHAnsi"/>
                <w:sz w:val="20"/>
                <w:szCs w:val="20"/>
              </w:rPr>
              <w:t>9.</w:t>
            </w:r>
          </w:p>
        </w:tc>
        <w:tc>
          <w:tcPr>
            <w:tcW w:w="4262" w:type="dxa"/>
            <w:tcBorders>
              <w:top w:val="single" w:sz="4" w:space="0" w:color="000000"/>
              <w:left w:val="single" w:sz="4" w:space="0" w:color="000000"/>
              <w:bottom w:val="single" w:sz="4" w:space="0" w:color="000000"/>
              <w:right w:val="single" w:sz="4" w:space="0" w:color="000000"/>
            </w:tcBorders>
            <w:hideMark/>
          </w:tcPr>
          <w:p w14:paraId="241183A3" w14:textId="77777777" w:rsidR="008831F9" w:rsidRPr="008831F9" w:rsidRDefault="008831F9" w:rsidP="008831F9">
            <w:pPr>
              <w:pStyle w:val="Tekstpodstawowy"/>
              <w:spacing w:line="240" w:lineRule="auto"/>
              <w:jc w:val="both"/>
              <w:rPr>
                <w:rFonts w:asciiTheme="minorHAnsi" w:hAnsiTheme="minorHAnsi" w:cstheme="minorHAnsi"/>
                <w:sz w:val="20"/>
                <w:szCs w:val="20"/>
              </w:rPr>
            </w:pPr>
            <w:r w:rsidRPr="008831F9">
              <w:rPr>
                <w:rFonts w:asciiTheme="minorHAnsi" w:hAnsiTheme="minorHAnsi" w:cstheme="minorHAnsi"/>
                <w:sz w:val="20"/>
                <w:szCs w:val="20"/>
              </w:rPr>
              <w:t>Temperatura mięknienia lepiszcza odzyskanego</w:t>
            </w:r>
          </w:p>
        </w:tc>
        <w:tc>
          <w:tcPr>
            <w:tcW w:w="4029" w:type="dxa"/>
            <w:tcBorders>
              <w:top w:val="single" w:sz="4" w:space="0" w:color="000000"/>
              <w:left w:val="single" w:sz="4" w:space="0" w:color="000000"/>
              <w:bottom w:val="single" w:sz="4" w:space="0" w:color="000000"/>
              <w:right w:val="single" w:sz="4" w:space="0" w:color="000000"/>
            </w:tcBorders>
            <w:hideMark/>
          </w:tcPr>
          <w:p w14:paraId="4EF3D822" w14:textId="77777777" w:rsidR="008831F9" w:rsidRPr="008831F9" w:rsidRDefault="008831F9" w:rsidP="008831F9">
            <w:pPr>
              <w:pStyle w:val="Tekstpodstawowy"/>
              <w:spacing w:line="240" w:lineRule="auto"/>
              <w:jc w:val="both"/>
              <w:rPr>
                <w:rFonts w:asciiTheme="minorHAnsi" w:hAnsiTheme="minorHAnsi" w:cstheme="minorHAnsi"/>
                <w:sz w:val="20"/>
                <w:szCs w:val="20"/>
                <w:lang w:val="pl-PL"/>
              </w:rPr>
            </w:pPr>
            <w:r w:rsidRPr="008831F9">
              <w:rPr>
                <w:rFonts w:asciiTheme="minorHAnsi" w:hAnsiTheme="minorHAnsi" w:cstheme="minorHAnsi"/>
                <w:sz w:val="20"/>
                <w:szCs w:val="20"/>
                <w:lang w:val="pl-PL"/>
              </w:rPr>
              <w:t>1 raz na 10 000 ton wyprodukowanej mma</w:t>
            </w:r>
          </w:p>
        </w:tc>
      </w:tr>
      <w:tr w:rsidR="008831F9" w:rsidRPr="008831F9" w14:paraId="0F68C202" w14:textId="77777777" w:rsidTr="008831F9">
        <w:trPr>
          <w:trHeight w:val="302"/>
        </w:trPr>
        <w:tc>
          <w:tcPr>
            <w:tcW w:w="8814" w:type="dxa"/>
            <w:gridSpan w:val="3"/>
            <w:tcBorders>
              <w:top w:val="single" w:sz="4" w:space="0" w:color="000000"/>
              <w:left w:val="single" w:sz="4" w:space="0" w:color="000000"/>
              <w:bottom w:val="single" w:sz="4" w:space="0" w:color="000000"/>
              <w:right w:val="single" w:sz="4" w:space="0" w:color="000000"/>
            </w:tcBorders>
            <w:hideMark/>
          </w:tcPr>
          <w:p w14:paraId="48F58E81" w14:textId="77777777" w:rsidR="008831F9" w:rsidRPr="008831F9" w:rsidRDefault="008831F9" w:rsidP="008831F9">
            <w:pPr>
              <w:pStyle w:val="Tekstpodstawowy"/>
              <w:spacing w:line="240" w:lineRule="auto"/>
              <w:jc w:val="both"/>
              <w:rPr>
                <w:rFonts w:asciiTheme="minorHAnsi" w:hAnsiTheme="minorHAnsi" w:cstheme="minorHAnsi"/>
                <w:sz w:val="20"/>
                <w:szCs w:val="20"/>
                <w:lang w:val="pl-PL"/>
              </w:rPr>
            </w:pPr>
            <w:r w:rsidRPr="008831F9">
              <w:rPr>
                <w:rFonts w:asciiTheme="minorHAnsi" w:hAnsiTheme="minorHAnsi" w:cstheme="minorHAnsi"/>
                <w:sz w:val="20"/>
                <w:szCs w:val="20"/>
                <w:lang w:val="pl-PL"/>
              </w:rPr>
              <w:t>Badania po wykonaniu warstwy ścieralnej SMA</w:t>
            </w:r>
          </w:p>
        </w:tc>
      </w:tr>
      <w:tr w:rsidR="008831F9" w:rsidRPr="008831F9" w14:paraId="3DE3085E" w14:textId="77777777" w:rsidTr="008831F9">
        <w:trPr>
          <w:trHeight w:val="546"/>
        </w:trPr>
        <w:tc>
          <w:tcPr>
            <w:tcW w:w="523" w:type="dxa"/>
            <w:tcBorders>
              <w:top w:val="single" w:sz="4" w:space="0" w:color="000000"/>
              <w:left w:val="single" w:sz="4" w:space="0" w:color="000000"/>
              <w:bottom w:val="single" w:sz="4" w:space="0" w:color="000000"/>
              <w:right w:val="single" w:sz="4" w:space="0" w:color="000000"/>
            </w:tcBorders>
            <w:hideMark/>
          </w:tcPr>
          <w:p w14:paraId="40E783B8" w14:textId="77777777" w:rsidR="008831F9" w:rsidRPr="008831F9" w:rsidRDefault="008831F9" w:rsidP="008831F9">
            <w:pPr>
              <w:pStyle w:val="Tekstpodstawowy"/>
              <w:spacing w:line="240" w:lineRule="auto"/>
              <w:jc w:val="both"/>
              <w:rPr>
                <w:rFonts w:asciiTheme="minorHAnsi" w:hAnsiTheme="minorHAnsi" w:cstheme="minorHAnsi"/>
                <w:sz w:val="20"/>
                <w:szCs w:val="20"/>
              </w:rPr>
            </w:pPr>
            <w:r w:rsidRPr="008831F9">
              <w:rPr>
                <w:rFonts w:asciiTheme="minorHAnsi" w:hAnsiTheme="minorHAnsi" w:cstheme="minorHAnsi"/>
                <w:sz w:val="20"/>
                <w:szCs w:val="20"/>
              </w:rPr>
              <w:t>10.</w:t>
            </w:r>
          </w:p>
        </w:tc>
        <w:tc>
          <w:tcPr>
            <w:tcW w:w="4262" w:type="dxa"/>
            <w:tcBorders>
              <w:top w:val="single" w:sz="4" w:space="0" w:color="000000"/>
              <w:left w:val="single" w:sz="4" w:space="0" w:color="000000"/>
              <w:bottom w:val="single" w:sz="4" w:space="0" w:color="000000"/>
              <w:right w:val="single" w:sz="4" w:space="0" w:color="000000"/>
            </w:tcBorders>
            <w:hideMark/>
          </w:tcPr>
          <w:p w14:paraId="0CB4FE24" w14:textId="77777777" w:rsidR="008831F9" w:rsidRPr="008831F9" w:rsidRDefault="008831F9" w:rsidP="008831F9">
            <w:pPr>
              <w:pStyle w:val="Tekstpodstawowy"/>
              <w:spacing w:line="240" w:lineRule="auto"/>
              <w:jc w:val="both"/>
              <w:rPr>
                <w:rFonts w:asciiTheme="minorHAnsi" w:hAnsiTheme="minorHAnsi" w:cstheme="minorHAnsi"/>
                <w:sz w:val="20"/>
                <w:szCs w:val="20"/>
                <w:lang w:val="pl-PL"/>
              </w:rPr>
            </w:pPr>
            <w:r w:rsidRPr="008831F9">
              <w:rPr>
                <w:rFonts w:asciiTheme="minorHAnsi" w:hAnsiTheme="minorHAnsi" w:cstheme="minorHAnsi"/>
                <w:sz w:val="20"/>
                <w:szCs w:val="20"/>
                <w:lang w:val="pl-PL"/>
              </w:rPr>
              <w:t>Grubość warstwy, wskaźnik zagęszczenia warstwy, wolna przestrzeń w warstwie</w:t>
            </w:r>
          </w:p>
        </w:tc>
        <w:tc>
          <w:tcPr>
            <w:tcW w:w="4029" w:type="dxa"/>
            <w:tcBorders>
              <w:top w:val="single" w:sz="4" w:space="0" w:color="000000"/>
              <w:left w:val="single" w:sz="4" w:space="0" w:color="000000"/>
              <w:bottom w:val="single" w:sz="4" w:space="0" w:color="000000"/>
              <w:right w:val="single" w:sz="4" w:space="0" w:color="000000"/>
            </w:tcBorders>
            <w:hideMark/>
          </w:tcPr>
          <w:p w14:paraId="16866BD2" w14:textId="77777777" w:rsidR="008831F9" w:rsidRPr="008831F9" w:rsidRDefault="008831F9" w:rsidP="008831F9">
            <w:pPr>
              <w:pStyle w:val="Tekstpodstawowy"/>
              <w:spacing w:line="240" w:lineRule="auto"/>
              <w:jc w:val="both"/>
              <w:rPr>
                <w:rFonts w:asciiTheme="minorHAnsi" w:hAnsiTheme="minorHAnsi" w:cstheme="minorHAnsi"/>
                <w:sz w:val="20"/>
                <w:szCs w:val="20"/>
              </w:rPr>
            </w:pPr>
            <w:r w:rsidRPr="008831F9">
              <w:rPr>
                <w:rFonts w:asciiTheme="minorHAnsi" w:hAnsiTheme="minorHAnsi" w:cstheme="minorHAnsi"/>
                <w:sz w:val="20"/>
                <w:szCs w:val="20"/>
              </w:rPr>
              <w:t>2 próbki na 1 km jezdni</w:t>
            </w:r>
          </w:p>
        </w:tc>
      </w:tr>
      <w:tr w:rsidR="008831F9" w:rsidRPr="008831F9" w14:paraId="466A08E8" w14:textId="77777777" w:rsidTr="008831F9">
        <w:trPr>
          <w:trHeight w:val="546"/>
        </w:trPr>
        <w:tc>
          <w:tcPr>
            <w:tcW w:w="523" w:type="dxa"/>
            <w:tcBorders>
              <w:top w:val="single" w:sz="4" w:space="0" w:color="000000"/>
              <w:left w:val="single" w:sz="4" w:space="0" w:color="000000"/>
              <w:bottom w:val="single" w:sz="4" w:space="0" w:color="000000"/>
              <w:right w:val="single" w:sz="4" w:space="0" w:color="000000"/>
            </w:tcBorders>
            <w:hideMark/>
          </w:tcPr>
          <w:p w14:paraId="49C4D703" w14:textId="77777777" w:rsidR="008831F9" w:rsidRPr="008831F9" w:rsidRDefault="008831F9" w:rsidP="008831F9">
            <w:pPr>
              <w:pStyle w:val="Tekstpodstawowy"/>
              <w:spacing w:line="240" w:lineRule="auto"/>
              <w:jc w:val="both"/>
              <w:rPr>
                <w:rFonts w:asciiTheme="minorHAnsi" w:hAnsiTheme="minorHAnsi" w:cstheme="minorHAnsi"/>
                <w:sz w:val="20"/>
                <w:szCs w:val="20"/>
              </w:rPr>
            </w:pPr>
            <w:r w:rsidRPr="008831F9">
              <w:rPr>
                <w:rFonts w:asciiTheme="minorHAnsi" w:hAnsiTheme="minorHAnsi" w:cstheme="minorHAnsi"/>
                <w:sz w:val="20"/>
                <w:szCs w:val="20"/>
              </w:rPr>
              <w:t>11.</w:t>
            </w:r>
          </w:p>
        </w:tc>
        <w:tc>
          <w:tcPr>
            <w:tcW w:w="4262" w:type="dxa"/>
            <w:tcBorders>
              <w:top w:val="single" w:sz="4" w:space="0" w:color="000000"/>
              <w:left w:val="single" w:sz="4" w:space="0" w:color="000000"/>
              <w:bottom w:val="single" w:sz="4" w:space="0" w:color="000000"/>
              <w:right w:val="single" w:sz="4" w:space="0" w:color="000000"/>
            </w:tcBorders>
            <w:hideMark/>
          </w:tcPr>
          <w:p w14:paraId="1F797844" w14:textId="77777777" w:rsidR="008831F9" w:rsidRPr="008831F9" w:rsidRDefault="008831F9" w:rsidP="008831F9">
            <w:pPr>
              <w:pStyle w:val="Tekstpodstawowy"/>
              <w:spacing w:line="240" w:lineRule="auto"/>
              <w:jc w:val="both"/>
              <w:rPr>
                <w:rFonts w:asciiTheme="minorHAnsi" w:hAnsiTheme="minorHAnsi" w:cstheme="minorHAnsi"/>
                <w:sz w:val="20"/>
                <w:szCs w:val="20"/>
                <w:lang w:val="pl-PL"/>
              </w:rPr>
            </w:pPr>
            <w:r w:rsidRPr="008831F9">
              <w:rPr>
                <w:rFonts w:asciiTheme="minorHAnsi" w:hAnsiTheme="minorHAnsi" w:cstheme="minorHAnsi"/>
                <w:sz w:val="20"/>
                <w:szCs w:val="20"/>
                <w:lang w:val="pl-PL"/>
              </w:rPr>
              <w:t>Wytrzymałość na ścinanie połączeń między warstwami (ścieralna/wiążąca)</w:t>
            </w:r>
          </w:p>
        </w:tc>
        <w:tc>
          <w:tcPr>
            <w:tcW w:w="4029" w:type="dxa"/>
            <w:tcBorders>
              <w:top w:val="single" w:sz="4" w:space="0" w:color="000000"/>
              <w:left w:val="single" w:sz="4" w:space="0" w:color="000000"/>
              <w:bottom w:val="single" w:sz="4" w:space="0" w:color="000000"/>
              <w:right w:val="single" w:sz="4" w:space="0" w:color="000000"/>
            </w:tcBorders>
            <w:hideMark/>
          </w:tcPr>
          <w:p w14:paraId="12078AF1" w14:textId="77777777" w:rsidR="008831F9" w:rsidRPr="008831F9" w:rsidRDefault="008831F9" w:rsidP="008831F9">
            <w:pPr>
              <w:pStyle w:val="Tekstpodstawowy"/>
              <w:spacing w:line="240" w:lineRule="auto"/>
              <w:jc w:val="both"/>
              <w:rPr>
                <w:rFonts w:asciiTheme="minorHAnsi" w:hAnsiTheme="minorHAnsi" w:cstheme="minorHAnsi"/>
                <w:sz w:val="20"/>
                <w:szCs w:val="20"/>
              </w:rPr>
            </w:pPr>
            <w:r w:rsidRPr="008831F9">
              <w:rPr>
                <w:rFonts w:asciiTheme="minorHAnsi" w:hAnsiTheme="minorHAnsi" w:cstheme="minorHAnsi"/>
                <w:sz w:val="20"/>
                <w:szCs w:val="20"/>
              </w:rPr>
              <w:t>2 próbki na 1 km jezdni</w:t>
            </w:r>
          </w:p>
        </w:tc>
      </w:tr>
    </w:tbl>
    <w:p w14:paraId="6CE47F73" w14:textId="77777777" w:rsidR="008831F9" w:rsidRPr="008831F9" w:rsidRDefault="008831F9" w:rsidP="008831F9">
      <w:pPr>
        <w:pStyle w:val="Tekstpodstawowy"/>
        <w:spacing w:line="240" w:lineRule="auto"/>
        <w:jc w:val="both"/>
        <w:rPr>
          <w:rFonts w:asciiTheme="minorHAnsi" w:hAnsiTheme="minorHAnsi" w:cstheme="minorHAnsi"/>
          <w:sz w:val="20"/>
          <w:szCs w:val="20"/>
        </w:rPr>
      </w:pPr>
    </w:p>
    <w:p w14:paraId="14FA5072" w14:textId="77777777" w:rsidR="008831F9" w:rsidRPr="008831F9" w:rsidRDefault="008831F9" w:rsidP="008831F9">
      <w:pPr>
        <w:pStyle w:val="Tekstpodstawowy"/>
        <w:spacing w:line="240" w:lineRule="auto"/>
        <w:jc w:val="both"/>
        <w:rPr>
          <w:rFonts w:asciiTheme="minorHAnsi" w:hAnsiTheme="minorHAnsi" w:cstheme="minorHAnsi"/>
          <w:b/>
          <w:sz w:val="20"/>
          <w:szCs w:val="20"/>
        </w:rPr>
      </w:pPr>
      <w:r w:rsidRPr="008831F9">
        <w:rPr>
          <w:rFonts w:asciiTheme="minorHAnsi" w:hAnsiTheme="minorHAnsi" w:cstheme="minorHAnsi"/>
          <w:b/>
          <w:sz w:val="20"/>
          <w:szCs w:val="20"/>
        </w:rPr>
        <w:t>6.3.1 Zawartość lepiszcza</w:t>
      </w:r>
      <w:r w:rsidRPr="008831F9">
        <w:rPr>
          <w:rFonts w:asciiTheme="minorHAnsi" w:hAnsiTheme="minorHAnsi" w:cstheme="minorHAnsi"/>
          <w:b/>
          <w:spacing w:val="-2"/>
          <w:sz w:val="20"/>
          <w:szCs w:val="20"/>
        </w:rPr>
        <w:t xml:space="preserve"> </w:t>
      </w:r>
      <w:r w:rsidRPr="008831F9">
        <w:rPr>
          <w:rFonts w:asciiTheme="minorHAnsi" w:hAnsiTheme="minorHAnsi" w:cstheme="minorHAnsi"/>
          <w:b/>
          <w:sz w:val="20"/>
          <w:szCs w:val="20"/>
        </w:rPr>
        <w:t>rozpuszczalnego</w:t>
      </w:r>
    </w:p>
    <w:p w14:paraId="61ECEE05" w14:textId="77777777" w:rsidR="008831F9" w:rsidRPr="008831F9" w:rsidRDefault="008831F9" w:rsidP="008831F9">
      <w:pPr>
        <w:pStyle w:val="Tekstpodstawowy"/>
        <w:spacing w:line="240" w:lineRule="auto"/>
        <w:jc w:val="both"/>
        <w:rPr>
          <w:rFonts w:asciiTheme="minorHAnsi" w:hAnsiTheme="minorHAnsi" w:cstheme="minorHAnsi"/>
          <w:sz w:val="20"/>
          <w:szCs w:val="20"/>
        </w:rPr>
      </w:pPr>
      <w:r w:rsidRPr="008831F9">
        <w:rPr>
          <w:rFonts w:asciiTheme="minorHAnsi" w:hAnsiTheme="minorHAnsi" w:cstheme="minorHAnsi"/>
          <w:sz w:val="20"/>
          <w:szCs w:val="20"/>
        </w:rPr>
        <w:t>Badanie polega na wykonaniu ekstrakcji polimeroasfaltu, zgodnie PN-EN 12697-1, z próbki pobranej z mieszanki mineralno-asfaltowej. Zawartość rozpuszczalnego lepiszcza z każdej pobranej próbki nie może odbiegać od wartości projektowanej, z uwzględnieniem dopuszczalnej odchyłki wg Instrukcji DP-T-14</w:t>
      </w:r>
    </w:p>
    <w:p w14:paraId="59741007" w14:textId="77777777" w:rsidR="008831F9" w:rsidRPr="008831F9" w:rsidRDefault="008831F9" w:rsidP="008831F9">
      <w:pPr>
        <w:pStyle w:val="Tekstpodstawowy"/>
        <w:spacing w:line="240" w:lineRule="auto"/>
        <w:jc w:val="both"/>
        <w:rPr>
          <w:rFonts w:asciiTheme="minorHAnsi" w:hAnsiTheme="minorHAnsi" w:cstheme="minorHAnsi"/>
          <w:b/>
          <w:sz w:val="20"/>
          <w:szCs w:val="20"/>
        </w:rPr>
      </w:pPr>
      <w:r w:rsidRPr="008831F9">
        <w:rPr>
          <w:rFonts w:asciiTheme="minorHAnsi" w:hAnsiTheme="minorHAnsi" w:cstheme="minorHAnsi"/>
          <w:b/>
          <w:sz w:val="20"/>
          <w:szCs w:val="20"/>
        </w:rPr>
        <w:t>6.3.2 Uziarnienie mieszanki</w:t>
      </w:r>
      <w:r w:rsidRPr="008831F9">
        <w:rPr>
          <w:rFonts w:asciiTheme="minorHAnsi" w:hAnsiTheme="minorHAnsi" w:cstheme="minorHAnsi"/>
          <w:b/>
          <w:spacing w:val="-3"/>
          <w:sz w:val="20"/>
          <w:szCs w:val="20"/>
        </w:rPr>
        <w:t xml:space="preserve"> </w:t>
      </w:r>
      <w:r w:rsidRPr="008831F9">
        <w:rPr>
          <w:rFonts w:asciiTheme="minorHAnsi" w:hAnsiTheme="minorHAnsi" w:cstheme="minorHAnsi"/>
          <w:b/>
          <w:sz w:val="20"/>
          <w:szCs w:val="20"/>
        </w:rPr>
        <w:t>mineralnej</w:t>
      </w:r>
    </w:p>
    <w:p w14:paraId="5497D10E" w14:textId="77777777" w:rsidR="008831F9" w:rsidRPr="008831F9" w:rsidRDefault="008831F9" w:rsidP="008831F9">
      <w:pPr>
        <w:pStyle w:val="Tekstpodstawowy"/>
        <w:spacing w:line="240" w:lineRule="auto"/>
        <w:jc w:val="both"/>
        <w:rPr>
          <w:rFonts w:asciiTheme="minorHAnsi" w:hAnsiTheme="minorHAnsi" w:cstheme="minorHAnsi"/>
          <w:sz w:val="20"/>
          <w:szCs w:val="20"/>
        </w:rPr>
      </w:pPr>
      <w:r w:rsidRPr="008831F9">
        <w:rPr>
          <w:rFonts w:asciiTheme="minorHAnsi" w:hAnsiTheme="minorHAnsi" w:cstheme="minorHAnsi"/>
          <w:sz w:val="20"/>
          <w:szCs w:val="20"/>
        </w:rPr>
        <w:t>Po wykonaniu ekstrakcji lepiszcza należy przeprowadzić kontrolę uziarnienia mieszanki kruszywa mineralnego wg 12697-2. Uziarnienie każdej próbki pobranej z luźnej mieszanki mineralno-asfaltowej nie może odbiegać od wartości projektowanych z uwzględnieniem dopuszczalnych odchyłek wg Instrukcji DP-T-14</w:t>
      </w:r>
    </w:p>
    <w:p w14:paraId="5F3BF13B" w14:textId="77777777" w:rsidR="008831F9" w:rsidRPr="008831F9" w:rsidRDefault="008831F9" w:rsidP="008831F9">
      <w:pPr>
        <w:pStyle w:val="Tekstpodstawowy"/>
        <w:spacing w:line="240" w:lineRule="auto"/>
        <w:jc w:val="both"/>
        <w:rPr>
          <w:rFonts w:asciiTheme="minorHAnsi" w:hAnsiTheme="minorHAnsi" w:cstheme="minorHAnsi"/>
          <w:b/>
          <w:sz w:val="20"/>
          <w:szCs w:val="20"/>
        </w:rPr>
      </w:pPr>
      <w:r w:rsidRPr="008831F9">
        <w:rPr>
          <w:rFonts w:asciiTheme="minorHAnsi" w:hAnsiTheme="minorHAnsi" w:cstheme="minorHAnsi"/>
          <w:b/>
          <w:sz w:val="20"/>
          <w:szCs w:val="20"/>
        </w:rPr>
        <w:t>6.3.3 Zawartość wolnych przestrzeni w mieszance MMA</w:t>
      </w:r>
    </w:p>
    <w:p w14:paraId="19A25AE6" w14:textId="77777777" w:rsidR="008831F9" w:rsidRPr="008831F9" w:rsidRDefault="008831F9" w:rsidP="008831F9">
      <w:pPr>
        <w:pStyle w:val="Tekstpodstawowy"/>
        <w:spacing w:line="240" w:lineRule="auto"/>
        <w:jc w:val="both"/>
        <w:rPr>
          <w:rFonts w:asciiTheme="minorHAnsi" w:hAnsiTheme="minorHAnsi" w:cstheme="minorHAnsi"/>
          <w:sz w:val="20"/>
          <w:szCs w:val="20"/>
        </w:rPr>
      </w:pPr>
      <w:r w:rsidRPr="008831F9">
        <w:rPr>
          <w:rFonts w:asciiTheme="minorHAnsi" w:hAnsiTheme="minorHAnsi" w:cstheme="minorHAnsi"/>
          <w:sz w:val="20"/>
          <w:szCs w:val="20"/>
        </w:rPr>
        <w:t>Zawartość wolnych przestrzeni w próbkach Marshalla oblicza się zgodnie z PN-EN 12697-8. Zawartość wolnych przestrzeni nie może przekroczyć wartości podanych w WT 2 2014 Tablica 27,28 i 29 w zależności od kategorii ruchu.</w:t>
      </w:r>
    </w:p>
    <w:p w14:paraId="0485E3B4" w14:textId="77777777" w:rsidR="008831F9" w:rsidRPr="008831F9" w:rsidRDefault="008831F9" w:rsidP="008831F9">
      <w:pPr>
        <w:pStyle w:val="Tekstpodstawowy"/>
        <w:spacing w:line="240" w:lineRule="auto"/>
        <w:jc w:val="both"/>
        <w:rPr>
          <w:rFonts w:asciiTheme="minorHAnsi" w:hAnsiTheme="minorHAnsi" w:cstheme="minorHAnsi"/>
          <w:b/>
          <w:sz w:val="20"/>
          <w:szCs w:val="20"/>
        </w:rPr>
      </w:pPr>
      <w:r w:rsidRPr="008831F9">
        <w:rPr>
          <w:rFonts w:asciiTheme="minorHAnsi" w:hAnsiTheme="minorHAnsi" w:cstheme="minorHAnsi"/>
          <w:b/>
          <w:sz w:val="20"/>
          <w:szCs w:val="20"/>
        </w:rPr>
        <w:t>6.3.4 Pomiar grubości warstwy wg PN-EN</w:t>
      </w:r>
      <w:r w:rsidRPr="008831F9">
        <w:rPr>
          <w:rFonts w:asciiTheme="minorHAnsi" w:hAnsiTheme="minorHAnsi" w:cstheme="minorHAnsi"/>
          <w:b/>
          <w:spacing w:val="-3"/>
          <w:sz w:val="20"/>
          <w:szCs w:val="20"/>
        </w:rPr>
        <w:t xml:space="preserve"> </w:t>
      </w:r>
      <w:r w:rsidRPr="008831F9">
        <w:rPr>
          <w:rFonts w:asciiTheme="minorHAnsi" w:hAnsiTheme="minorHAnsi" w:cstheme="minorHAnsi"/>
          <w:b/>
          <w:sz w:val="20"/>
          <w:szCs w:val="20"/>
        </w:rPr>
        <w:t>12697-36</w:t>
      </w:r>
    </w:p>
    <w:p w14:paraId="1F7D2212" w14:textId="77777777" w:rsidR="008831F9" w:rsidRPr="008831F9" w:rsidRDefault="008831F9" w:rsidP="008831F9">
      <w:pPr>
        <w:pStyle w:val="Tekstpodstawowy"/>
        <w:spacing w:line="240" w:lineRule="auto"/>
        <w:jc w:val="both"/>
        <w:rPr>
          <w:rFonts w:asciiTheme="minorHAnsi" w:hAnsiTheme="minorHAnsi" w:cstheme="minorHAnsi"/>
          <w:sz w:val="20"/>
          <w:szCs w:val="20"/>
        </w:rPr>
      </w:pPr>
      <w:r w:rsidRPr="008831F9">
        <w:rPr>
          <w:rFonts w:asciiTheme="minorHAnsi" w:hAnsiTheme="minorHAnsi" w:cstheme="minorHAnsi"/>
          <w:sz w:val="20"/>
          <w:szCs w:val="20"/>
        </w:rPr>
        <w:t>Grubości wykonanej warstwy należy określać na wyciętych próbkach (nie wycinać próbek na obiektach mostowych wiertnicą mechaniczną) z częstością 2 próbki na 1 km. Tolerancja dla grubości warstwy określona jest w DP-T-14.</w:t>
      </w:r>
    </w:p>
    <w:p w14:paraId="1E90D06D" w14:textId="77777777" w:rsidR="008831F9" w:rsidRPr="008831F9" w:rsidRDefault="008831F9" w:rsidP="008831F9">
      <w:pPr>
        <w:pStyle w:val="Tekstpodstawowy"/>
        <w:spacing w:line="240" w:lineRule="auto"/>
        <w:jc w:val="both"/>
        <w:rPr>
          <w:rFonts w:asciiTheme="minorHAnsi" w:hAnsiTheme="minorHAnsi" w:cstheme="minorHAnsi"/>
          <w:b/>
          <w:sz w:val="20"/>
          <w:szCs w:val="20"/>
        </w:rPr>
      </w:pPr>
      <w:r w:rsidRPr="008831F9">
        <w:rPr>
          <w:rFonts w:asciiTheme="minorHAnsi" w:hAnsiTheme="minorHAnsi" w:cstheme="minorHAnsi"/>
          <w:b/>
          <w:sz w:val="20"/>
          <w:szCs w:val="20"/>
        </w:rPr>
        <w:t>6.3.5 Wskaźnik zagęszczenia warstwy wg PN-EN 13108-20 załącznik</w:t>
      </w:r>
      <w:r w:rsidRPr="008831F9">
        <w:rPr>
          <w:rFonts w:asciiTheme="minorHAnsi" w:hAnsiTheme="minorHAnsi" w:cstheme="minorHAnsi"/>
          <w:b/>
          <w:spacing w:val="-4"/>
          <w:sz w:val="20"/>
          <w:szCs w:val="20"/>
        </w:rPr>
        <w:t xml:space="preserve"> </w:t>
      </w:r>
      <w:r w:rsidRPr="008831F9">
        <w:rPr>
          <w:rFonts w:asciiTheme="minorHAnsi" w:hAnsiTheme="minorHAnsi" w:cstheme="minorHAnsi"/>
          <w:b/>
          <w:sz w:val="20"/>
          <w:szCs w:val="20"/>
        </w:rPr>
        <w:t>C4.</w:t>
      </w:r>
    </w:p>
    <w:p w14:paraId="3498AECE" w14:textId="77777777" w:rsidR="008831F9" w:rsidRPr="008831F9" w:rsidRDefault="008831F9" w:rsidP="008831F9">
      <w:pPr>
        <w:pStyle w:val="Tekstpodstawowy"/>
        <w:spacing w:line="240" w:lineRule="auto"/>
        <w:jc w:val="both"/>
        <w:rPr>
          <w:rFonts w:asciiTheme="minorHAnsi" w:hAnsiTheme="minorHAnsi" w:cstheme="minorHAnsi"/>
          <w:sz w:val="20"/>
          <w:szCs w:val="20"/>
        </w:rPr>
      </w:pPr>
      <w:r w:rsidRPr="008831F9">
        <w:rPr>
          <w:rFonts w:asciiTheme="minorHAnsi" w:hAnsiTheme="minorHAnsi" w:cstheme="minorHAnsi"/>
          <w:sz w:val="20"/>
          <w:szCs w:val="20"/>
        </w:rPr>
        <w:t>Wskaźnik zagęszczenia warstwy należy sprawdzać na próbkach wyciętych z zagęszczonej warstwy z częstością podaną w tablicy 2. Wskaźnik zagęszczenia nie może być niższy niż 98,0%.</w:t>
      </w:r>
    </w:p>
    <w:p w14:paraId="6076DA11" w14:textId="77777777" w:rsidR="008831F9" w:rsidRPr="008831F9" w:rsidRDefault="008831F9" w:rsidP="008831F9">
      <w:pPr>
        <w:pStyle w:val="Tekstpodstawowy"/>
        <w:spacing w:line="240" w:lineRule="auto"/>
        <w:jc w:val="both"/>
        <w:rPr>
          <w:rFonts w:asciiTheme="minorHAnsi" w:hAnsiTheme="minorHAnsi" w:cstheme="minorHAnsi"/>
          <w:sz w:val="20"/>
          <w:szCs w:val="20"/>
        </w:rPr>
      </w:pPr>
      <w:r w:rsidRPr="008831F9">
        <w:rPr>
          <w:rFonts w:asciiTheme="minorHAnsi" w:hAnsiTheme="minorHAnsi" w:cstheme="minorHAnsi"/>
          <w:sz w:val="20"/>
          <w:szCs w:val="20"/>
        </w:rPr>
        <w:t>Wykonawca wytnie próbki na każde życzenie Inżyniera w miejscach wątpliwych przez niego wskazanych. Badaniem referencyjnym jest badanie na odwierconych próbkach.</w:t>
      </w:r>
    </w:p>
    <w:p w14:paraId="4A98B815" w14:textId="77777777" w:rsidR="008831F9" w:rsidRPr="008831F9" w:rsidRDefault="008831F9" w:rsidP="008831F9">
      <w:pPr>
        <w:pStyle w:val="Tekstpodstawowy"/>
        <w:spacing w:line="240" w:lineRule="auto"/>
        <w:jc w:val="both"/>
        <w:rPr>
          <w:rFonts w:asciiTheme="minorHAnsi" w:hAnsiTheme="minorHAnsi" w:cstheme="minorHAnsi"/>
          <w:b/>
          <w:sz w:val="20"/>
          <w:szCs w:val="20"/>
        </w:rPr>
      </w:pPr>
      <w:r w:rsidRPr="008831F9">
        <w:rPr>
          <w:rFonts w:asciiTheme="minorHAnsi" w:hAnsiTheme="minorHAnsi" w:cstheme="minorHAnsi"/>
          <w:b/>
          <w:sz w:val="20"/>
          <w:szCs w:val="20"/>
        </w:rPr>
        <w:t>6.3.6 Wolna przestrzeń w zagęszczonej warstwie wg PN-EN</w:t>
      </w:r>
      <w:r w:rsidRPr="008831F9">
        <w:rPr>
          <w:rFonts w:asciiTheme="minorHAnsi" w:hAnsiTheme="minorHAnsi" w:cstheme="minorHAnsi"/>
          <w:b/>
          <w:spacing w:val="-5"/>
          <w:sz w:val="20"/>
          <w:szCs w:val="20"/>
        </w:rPr>
        <w:t xml:space="preserve"> </w:t>
      </w:r>
      <w:r w:rsidRPr="008831F9">
        <w:rPr>
          <w:rFonts w:asciiTheme="minorHAnsi" w:hAnsiTheme="minorHAnsi" w:cstheme="minorHAnsi"/>
          <w:b/>
          <w:sz w:val="20"/>
          <w:szCs w:val="20"/>
        </w:rPr>
        <w:t>12697-8.</w:t>
      </w:r>
    </w:p>
    <w:p w14:paraId="5FDAEBC6" w14:textId="77777777" w:rsidR="008831F9" w:rsidRPr="008831F9" w:rsidRDefault="008831F9" w:rsidP="008831F9">
      <w:pPr>
        <w:pStyle w:val="Tekstpodstawowy"/>
        <w:spacing w:line="240" w:lineRule="auto"/>
        <w:jc w:val="both"/>
        <w:rPr>
          <w:rFonts w:asciiTheme="minorHAnsi" w:hAnsiTheme="minorHAnsi" w:cstheme="minorHAnsi"/>
          <w:sz w:val="20"/>
          <w:szCs w:val="20"/>
        </w:rPr>
      </w:pPr>
      <w:r w:rsidRPr="008831F9">
        <w:rPr>
          <w:rFonts w:asciiTheme="minorHAnsi" w:hAnsiTheme="minorHAnsi" w:cstheme="minorHAnsi"/>
          <w:sz w:val="20"/>
          <w:szCs w:val="20"/>
        </w:rPr>
        <w:t>Do obliczenia wolnej przestrzeni w warstwie należy przyjmować gęstość mieszanki mineralno- asfaltowej oznaczonej w dniu wykonywania kontrolowanej działki roboczej. Zawartość wolnej przestrzeni w warstwie powinna mieścić się w granicach określonych w WT-2 2016 część II Zawartość wolnej przestrzeni w warstwie należy sprawdzać z częstością podaną w pkt. 6.2.</w:t>
      </w:r>
    </w:p>
    <w:p w14:paraId="6C93E537" w14:textId="77777777" w:rsidR="008831F9" w:rsidRPr="008831F9" w:rsidRDefault="008831F9" w:rsidP="008831F9">
      <w:pPr>
        <w:pStyle w:val="Tekstpodstawowy"/>
        <w:spacing w:line="240" w:lineRule="auto"/>
        <w:jc w:val="both"/>
        <w:rPr>
          <w:rFonts w:asciiTheme="minorHAnsi" w:hAnsiTheme="minorHAnsi" w:cstheme="minorHAnsi"/>
          <w:b/>
          <w:sz w:val="20"/>
          <w:szCs w:val="20"/>
        </w:rPr>
      </w:pPr>
      <w:r w:rsidRPr="008831F9">
        <w:rPr>
          <w:rFonts w:asciiTheme="minorHAnsi" w:hAnsiTheme="minorHAnsi" w:cstheme="minorHAnsi"/>
          <w:b/>
          <w:sz w:val="20"/>
          <w:szCs w:val="20"/>
        </w:rPr>
        <w:t>6.3.7 Wytrzymałość na ścinanie połączeń</w:t>
      </w:r>
      <w:r w:rsidRPr="008831F9">
        <w:rPr>
          <w:rFonts w:asciiTheme="minorHAnsi" w:hAnsiTheme="minorHAnsi" w:cstheme="minorHAnsi"/>
          <w:b/>
          <w:spacing w:val="2"/>
          <w:sz w:val="20"/>
          <w:szCs w:val="20"/>
        </w:rPr>
        <w:t xml:space="preserve"> </w:t>
      </w:r>
      <w:r w:rsidRPr="008831F9">
        <w:rPr>
          <w:rFonts w:asciiTheme="minorHAnsi" w:hAnsiTheme="minorHAnsi" w:cstheme="minorHAnsi"/>
          <w:b/>
          <w:sz w:val="20"/>
          <w:szCs w:val="20"/>
        </w:rPr>
        <w:t>międzywarstwowych.</w:t>
      </w:r>
    </w:p>
    <w:p w14:paraId="00CD6A77" w14:textId="77777777" w:rsidR="008831F9" w:rsidRPr="008831F9" w:rsidRDefault="008831F9" w:rsidP="008831F9">
      <w:pPr>
        <w:pStyle w:val="Tekstpodstawowy"/>
        <w:spacing w:line="240" w:lineRule="auto"/>
        <w:jc w:val="both"/>
        <w:rPr>
          <w:rFonts w:asciiTheme="minorHAnsi" w:hAnsiTheme="minorHAnsi" w:cstheme="minorHAnsi"/>
          <w:sz w:val="20"/>
          <w:szCs w:val="20"/>
        </w:rPr>
      </w:pPr>
      <w:r w:rsidRPr="008831F9">
        <w:rPr>
          <w:rFonts w:asciiTheme="minorHAnsi" w:hAnsiTheme="minorHAnsi" w:cstheme="minorHAnsi"/>
          <w:sz w:val="20"/>
          <w:szCs w:val="20"/>
        </w:rPr>
        <w:t>Badanie sczepności międzywarstwowej należy wykonać wg metody Leutnera na próbkach Ø 150±2mm lub Ø 100±2mm zgodnie z „Instrukcją laboratoryjnego badania sczepności międzywarstwowej warstw asfaltowych wg metody Leutnera i wymagania techniczne sczepności. 2014”. Wymagana wartość dla połączenia międzywarstwowego określono w WT-2 2016 część II.</w:t>
      </w:r>
    </w:p>
    <w:p w14:paraId="637A17E4" w14:textId="77777777" w:rsidR="008831F9" w:rsidRPr="008831F9" w:rsidRDefault="008831F9" w:rsidP="008831F9">
      <w:pPr>
        <w:pStyle w:val="Tekstpodstawowy"/>
        <w:spacing w:line="240" w:lineRule="auto"/>
        <w:jc w:val="both"/>
        <w:rPr>
          <w:rFonts w:asciiTheme="minorHAnsi" w:hAnsiTheme="minorHAnsi" w:cstheme="minorHAnsi"/>
          <w:b/>
          <w:sz w:val="20"/>
          <w:szCs w:val="20"/>
        </w:rPr>
      </w:pPr>
      <w:r w:rsidRPr="008831F9">
        <w:rPr>
          <w:rFonts w:asciiTheme="minorHAnsi" w:hAnsiTheme="minorHAnsi" w:cstheme="minorHAnsi"/>
          <w:b/>
          <w:sz w:val="20"/>
          <w:szCs w:val="20"/>
        </w:rPr>
        <w:t>6.3.8 Temperatura mięknienia lepiszcza</w:t>
      </w:r>
      <w:r w:rsidRPr="008831F9">
        <w:rPr>
          <w:rFonts w:asciiTheme="minorHAnsi" w:hAnsiTheme="minorHAnsi" w:cstheme="minorHAnsi"/>
          <w:b/>
          <w:spacing w:val="-3"/>
          <w:sz w:val="20"/>
          <w:szCs w:val="20"/>
        </w:rPr>
        <w:t xml:space="preserve"> </w:t>
      </w:r>
      <w:r w:rsidRPr="008831F9">
        <w:rPr>
          <w:rFonts w:asciiTheme="minorHAnsi" w:hAnsiTheme="minorHAnsi" w:cstheme="minorHAnsi"/>
          <w:b/>
          <w:sz w:val="20"/>
          <w:szCs w:val="20"/>
        </w:rPr>
        <w:t>odzyskanego.</w:t>
      </w:r>
    </w:p>
    <w:p w14:paraId="5DF37CAA" w14:textId="77777777" w:rsidR="008831F9" w:rsidRPr="008831F9" w:rsidRDefault="008831F9" w:rsidP="008831F9">
      <w:pPr>
        <w:pStyle w:val="Tekstpodstawowy"/>
        <w:spacing w:line="240" w:lineRule="auto"/>
        <w:jc w:val="both"/>
        <w:rPr>
          <w:rFonts w:asciiTheme="minorHAnsi" w:hAnsiTheme="minorHAnsi" w:cstheme="minorHAnsi"/>
          <w:sz w:val="20"/>
          <w:szCs w:val="20"/>
        </w:rPr>
      </w:pPr>
      <w:r w:rsidRPr="008831F9">
        <w:rPr>
          <w:rFonts w:asciiTheme="minorHAnsi" w:hAnsiTheme="minorHAnsi" w:cstheme="minorHAnsi"/>
          <w:sz w:val="20"/>
          <w:szCs w:val="20"/>
        </w:rPr>
        <w:t>Wymagania dla</w:t>
      </w:r>
      <w:r w:rsidRPr="008831F9">
        <w:rPr>
          <w:rFonts w:asciiTheme="minorHAnsi" w:hAnsiTheme="minorHAnsi" w:cstheme="minorHAnsi"/>
          <w:sz w:val="20"/>
          <w:szCs w:val="20"/>
        </w:rPr>
        <w:tab/>
        <w:t>temperatury mięknienia lepiszcza odzyskanego zgodnie z pkt.8.1.1. Nawierzchnie Asfaltowe Na Drogach Krajowych 2016 – część</w:t>
      </w:r>
      <w:r w:rsidRPr="008831F9">
        <w:rPr>
          <w:rFonts w:asciiTheme="minorHAnsi" w:hAnsiTheme="minorHAnsi" w:cstheme="minorHAnsi"/>
          <w:spacing w:val="-4"/>
          <w:sz w:val="20"/>
          <w:szCs w:val="20"/>
        </w:rPr>
        <w:t xml:space="preserve"> </w:t>
      </w:r>
      <w:r w:rsidRPr="008831F9">
        <w:rPr>
          <w:rFonts w:asciiTheme="minorHAnsi" w:hAnsiTheme="minorHAnsi" w:cstheme="minorHAnsi"/>
          <w:sz w:val="20"/>
          <w:szCs w:val="20"/>
        </w:rPr>
        <w:t>II.</w:t>
      </w:r>
    </w:p>
    <w:p w14:paraId="61026E35" w14:textId="77777777" w:rsidR="008831F9" w:rsidRPr="008831F9" w:rsidRDefault="008831F9" w:rsidP="008831F9">
      <w:pPr>
        <w:pStyle w:val="Nagwek4"/>
        <w:spacing w:before="0" w:after="0"/>
        <w:rPr>
          <w:rFonts w:asciiTheme="minorHAnsi" w:hAnsiTheme="minorHAnsi" w:cstheme="minorHAnsi"/>
        </w:rPr>
      </w:pPr>
      <w:r w:rsidRPr="008831F9">
        <w:rPr>
          <w:rFonts w:asciiTheme="minorHAnsi" w:hAnsiTheme="minorHAnsi" w:cstheme="minorHAnsi"/>
        </w:rPr>
        <w:t>6.4 Badania cech geometrycznych warstwy z mieszanki</w:t>
      </w:r>
      <w:r w:rsidRPr="008831F9">
        <w:rPr>
          <w:rFonts w:asciiTheme="minorHAnsi" w:hAnsiTheme="minorHAnsi" w:cstheme="minorHAnsi"/>
          <w:spacing w:val="-3"/>
        </w:rPr>
        <w:t xml:space="preserve"> </w:t>
      </w:r>
      <w:r w:rsidRPr="008831F9">
        <w:rPr>
          <w:rFonts w:asciiTheme="minorHAnsi" w:hAnsiTheme="minorHAnsi" w:cstheme="minorHAnsi"/>
        </w:rPr>
        <w:t>SMA</w:t>
      </w:r>
    </w:p>
    <w:p w14:paraId="354AC909" w14:textId="77777777" w:rsidR="008831F9" w:rsidRPr="008831F9" w:rsidRDefault="008831F9" w:rsidP="008831F9">
      <w:pPr>
        <w:pStyle w:val="Tekstpodstawowy"/>
        <w:spacing w:line="240" w:lineRule="auto"/>
        <w:jc w:val="both"/>
        <w:rPr>
          <w:rFonts w:asciiTheme="minorHAnsi" w:hAnsiTheme="minorHAnsi" w:cstheme="minorHAnsi"/>
          <w:b/>
          <w:sz w:val="20"/>
          <w:szCs w:val="20"/>
        </w:rPr>
      </w:pPr>
    </w:p>
    <w:p w14:paraId="110F39AF" w14:textId="77777777" w:rsidR="008831F9" w:rsidRPr="008831F9" w:rsidRDefault="008831F9" w:rsidP="008831F9">
      <w:pPr>
        <w:pStyle w:val="Tekstpodstawowy"/>
        <w:spacing w:line="240" w:lineRule="auto"/>
        <w:jc w:val="both"/>
        <w:rPr>
          <w:rFonts w:asciiTheme="minorHAnsi" w:hAnsiTheme="minorHAnsi" w:cstheme="minorHAnsi"/>
          <w:b/>
          <w:sz w:val="20"/>
          <w:szCs w:val="20"/>
        </w:rPr>
      </w:pPr>
      <w:r w:rsidRPr="008831F9">
        <w:rPr>
          <w:rFonts w:asciiTheme="minorHAnsi" w:hAnsiTheme="minorHAnsi" w:cstheme="minorHAnsi"/>
          <w:b/>
          <w:sz w:val="20"/>
          <w:szCs w:val="20"/>
        </w:rPr>
        <w:t>6.3.1 Częstość oraz zakres badań i</w:t>
      </w:r>
      <w:r w:rsidRPr="008831F9">
        <w:rPr>
          <w:rFonts w:asciiTheme="minorHAnsi" w:hAnsiTheme="minorHAnsi" w:cstheme="minorHAnsi"/>
          <w:b/>
          <w:spacing w:val="-1"/>
          <w:sz w:val="20"/>
          <w:szCs w:val="20"/>
        </w:rPr>
        <w:t xml:space="preserve"> </w:t>
      </w:r>
      <w:r w:rsidRPr="008831F9">
        <w:rPr>
          <w:rFonts w:asciiTheme="minorHAnsi" w:hAnsiTheme="minorHAnsi" w:cstheme="minorHAnsi"/>
          <w:b/>
          <w:sz w:val="20"/>
          <w:szCs w:val="20"/>
        </w:rPr>
        <w:t>pomiarów</w:t>
      </w:r>
    </w:p>
    <w:p w14:paraId="1024B922" w14:textId="77777777" w:rsidR="008831F9" w:rsidRPr="008831F9" w:rsidRDefault="008831F9" w:rsidP="008831F9">
      <w:pPr>
        <w:pStyle w:val="Tekstpodstawowy"/>
        <w:spacing w:line="240" w:lineRule="auto"/>
        <w:jc w:val="both"/>
        <w:rPr>
          <w:rFonts w:asciiTheme="minorHAnsi" w:hAnsiTheme="minorHAnsi" w:cstheme="minorHAnsi"/>
          <w:sz w:val="20"/>
          <w:szCs w:val="20"/>
        </w:rPr>
      </w:pPr>
    </w:p>
    <w:p w14:paraId="6BDEF68F" w14:textId="77777777" w:rsidR="008831F9" w:rsidRPr="008831F9" w:rsidRDefault="008831F9" w:rsidP="008831F9">
      <w:pPr>
        <w:pStyle w:val="Tekstpodstawowy"/>
        <w:spacing w:line="240" w:lineRule="auto"/>
        <w:jc w:val="both"/>
        <w:rPr>
          <w:rFonts w:asciiTheme="minorHAnsi" w:hAnsiTheme="minorHAnsi" w:cstheme="minorHAnsi"/>
          <w:sz w:val="20"/>
          <w:szCs w:val="20"/>
        </w:rPr>
      </w:pPr>
      <w:r w:rsidRPr="008831F9">
        <w:rPr>
          <w:rFonts w:asciiTheme="minorHAnsi" w:hAnsiTheme="minorHAnsi" w:cstheme="minorHAnsi"/>
          <w:sz w:val="20"/>
          <w:szCs w:val="20"/>
        </w:rPr>
        <w:t>Częstość oraz zakres badań i pomiarów podano w tablicy 4</w:t>
      </w:r>
    </w:p>
    <w:p w14:paraId="63A5C867" w14:textId="77777777" w:rsidR="008831F9" w:rsidRPr="008831F9" w:rsidRDefault="008831F9" w:rsidP="008831F9">
      <w:pPr>
        <w:pStyle w:val="Tekstpodstawowy"/>
        <w:spacing w:line="240" w:lineRule="auto"/>
        <w:jc w:val="both"/>
        <w:rPr>
          <w:rFonts w:asciiTheme="minorHAnsi" w:hAnsiTheme="minorHAnsi" w:cstheme="minorHAnsi"/>
          <w:sz w:val="20"/>
          <w:szCs w:val="20"/>
        </w:rPr>
      </w:pPr>
    </w:p>
    <w:p w14:paraId="6A060C61" w14:textId="77777777" w:rsidR="008831F9" w:rsidRPr="008831F9" w:rsidRDefault="008831F9" w:rsidP="008831F9">
      <w:pPr>
        <w:pStyle w:val="Tekstpodstawowy"/>
        <w:spacing w:line="240" w:lineRule="auto"/>
        <w:rPr>
          <w:rFonts w:asciiTheme="minorHAnsi" w:hAnsiTheme="minorHAnsi" w:cstheme="minorHAnsi"/>
          <w:sz w:val="20"/>
          <w:szCs w:val="20"/>
        </w:rPr>
      </w:pPr>
      <w:r w:rsidRPr="008831F9">
        <w:rPr>
          <w:rFonts w:asciiTheme="minorHAnsi" w:hAnsiTheme="minorHAnsi" w:cstheme="minorHAnsi"/>
          <w:sz w:val="20"/>
          <w:szCs w:val="20"/>
        </w:rPr>
        <w:t>Tablica 4</w:t>
      </w:r>
    </w:p>
    <w:tbl>
      <w:tblPr>
        <w:tblStyle w:val="TableNormal"/>
        <w:tblW w:w="8706" w:type="dxa"/>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94"/>
        <w:gridCol w:w="2750"/>
        <w:gridCol w:w="4962"/>
      </w:tblGrid>
      <w:tr w:rsidR="008831F9" w:rsidRPr="008831F9" w14:paraId="6BF05F28" w14:textId="77777777" w:rsidTr="008831F9">
        <w:trPr>
          <w:trHeight w:val="445"/>
        </w:trPr>
        <w:tc>
          <w:tcPr>
            <w:tcW w:w="994" w:type="dxa"/>
            <w:tcBorders>
              <w:top w:val="single" w:sz="4" w:space="0" w:color="000000"/>
              <w:left w:val="single" w:sz="4" w:space="0" w:color="000000"/>
              <w:bottom w:val="single" w:sz="4" w:space="0" w:color="000000"/>
              <w:right w:val="single" w:sz="4" w:space="0" w:color="000000"/>
            </w:tcBorders>
            <w:hideMark/>
          </w:tcPr>
          <w:p w14:paraId="0515D3D6" w14:textId="77777777" w:rsidR="008831F9" w:rsidRPr="008831F9" w:rsidRDefault="008831F9" w:rsidP="008831F9">
            <w:pPr>
              <w:pStyle w:val="Tekstpodstawowy"/>
              <w:spacing w:line="240" w:lineRule="auto"/>
              <w:jc w:val="center"/>
              <w:rPr>
                <w:rFonts w:asciiTheme="minorHAnsi" w:hAnsiTheme="minorHAnsi" w:cstheme="minorHAnsi"/>
                <w:sz w:val="20"/>
                <w:szCs w:val="20"/>
              </w:rPr>
            </w:pPr>
            <w:r w:rsidRPr="008831F9">
              <w:rPr>
                <w:rFonts w:asciiTheme="minorHAnsi" w:hAnsiTheme="minorHAnsi" w:cstheme="minorHAnsi"/>
                <w:sz w:val="20"/>
                <w:szCs w:val="20"/>
              </w:rPr>
              <w:t>Lp.</w:t>
            </w:r>
          </w:p>
        </w:tc>
        <w:tc>
          <w:tcPr>
            <w:tcW w:w="2750" w:type="dxa"/>
            <w:tcBorders>
              <w:top w:val="single" w:sz="4" w:space="0" w:color="000000"/>
              <w:left w:val="single" w:sz="4" w:space="0" w:color="000000"/>
              <w:bottom w:val="single" w:sz="4" w:space="0" w:color="000000"/>
              <w:right w:val="single" w:sz="4" w:space="0" w:color="000000"/>
            </w:tcBorders>
            <w:hideMark/>
          </w:tcPr>
          <w:p w14:paraId="316C701E" w14:textId="77777777" w:rsidR="008831F9" w:rsidRPr="008831F9" w:rsidRDefault="008831F9" w:rsidP="008831F9">
            <w:pPr>
              <w:pStyle w:val="Tekstpodstawowy"/>
              <w:spacing w:line="240" w:lineRule="auto"/>
              <w:jc w:val="center"/>
              <w:rPr>
                <w:rFonts w:asciiTheme="minorHAnsi" w:hAnsiTheme="minorHAnsi" w:cstheme="minorHAnsi"/>
                <w:sz w:val="20"/>
                <w:szCs w:val="20"/>
              </w:rPr>
            </w:pPr>
            <w:r w:rsidRPr="008831F9">
              <w:rPr>
                <w:rFonts w:asciiTheme="minorHAnsi" w:hAnsiTheme="minorHAnsi" w:cstheme="minorHAnsi"/>
                <w:sz w:val="20"/>
                <w:szCs w:val="20"/>
              </w:rPr>
              <w:t>Badana cecha</w:t>
            </w:r>
          </w:p>
        </w:tc>
        <w:tc>
          <w:tcPr>
            <w:tcW w:w="4962" w:type="dxa"/>
            <w:tcBorders>
              <w:top w:val="single" w:sz="4" w:space="0" w:color="000000"/>
              <w:left w:val="single" w:sz="4" w:space="0" w:color="000000"/>
              <w:bottom w:val="single" w:sz="4" w:space="0" w:color="000000"/>
              <w:right w:val="single" w:sz="4" w:space="0" w:color="000000"/>
            </w:tcBorders>
            <w:hideMark/>
          </w:tcPr>
          <w:p w14:paraId="2815EB4B" w14:textId="77777777" w:rsidR="008831F9" w:rsidRPr="008831F9" w:rsidRDefault="008831F9" w:rsidP="008831F9">
            <w:pPr>
              <w:pStyle w:val="Tekstpodstawowy"/>
              <w:spacing w:line="240" w:lineRule="auto"/>
              <w:jc w:val="center"/>
              <w:rPr>
                <w:rFonts w:asciiTheme="minorHAnsi" w:hAnsiTheme="minorHAnsi" w:cstheme="minorHAnsi"/>
                <w:sz w:val="20"/>
                <w:szCs w:val="20"/>
                <w:lang w:val="pl-PL"/>
              </w:rPr>
            </w:pPr>
            <w:r w:rsidRPr="008831F9">
              <w:rPr>
                <w:rFonts w:asciiTheme="minorHAnsi" w:hAnsiTheme="minorHAnsi" w:cstheme="minorHAnsi"/>
                <w:sz w:val="20"/>
                <w:szCs w:val="20"/>
                <w:lang w:val="pl-PL"/>
              </w:rPr>
              <w:t>Minimalna częstość badań i pomiarów</w:t>
            </w:r>
          </w:p>
        </w:tc>
      </w:tr>
      <w:tr w:rsidR="008831F9" w:rsidRPr="008831F9" w14:paraId="70A9019D" w14:textId="77777777" w:rsidTr="008831F9">
        <w:trPr>
          <w:trHeight w:val="268"/>
        </w:trPr>
        <w:tc>
          <w:tcPr>
            <w:tcW w:w="994" w:type="dxa"/>
            <w:tcBorders>
              <w:top w:val="single" w:sz="4" w:space="0" w:color="000000"/>
              <w:left w:val="single" w:sz="4" w:space="0" w:color="000000"/>
              <w:bottom w:val="single" w:sz="4" w:space="0" w:color="000000"/>
              <w:right w:val="single" w:sz="4" w:space="0" w:color="000000"/>
            </w:tcBorders>
            <w:hideMark/>
          </w:tcPr>
          <w:p w14:paraId="7F7F633C" w14:textId="77777777" w:rsidR="008831F9" w:rsidRPr="008831F9" w:rsidRDefault="008831F9" w:rsidP="008831F9">
            <w:pPr>
              <w:pStyle w:val="Tekstpodstawowy"/>
              <w:spacing w:line="240" w:lineRule="auto"/>
              <w:jc w:val="both"/>
              <w:rPr>
                <w:rFonts w:asciiTheme="minorHAnsi" w:hAnsiTheme="minorHAnsi" w:cstheme="minorHAnsi"/>
                <w:sz w:val="20"/>
                <w:szCs w:val="20"/>
              </w:rPr>
            </w:pPr>
            <w:r w:rsidRPr="008831F9">
              <w:rPr>
                <w:rFonts w:asciiTheme="minorHAnsi" w:hAnsiTheme="minorHAnsi" w:cstheme="minorHAnsi"/>
                <w:sz w:val="20"/>
                <w:szCs w:val="20"/>
              </w:rPr>
              <w:t>1</w:t>
            </w:r>
          </w:p>
        </w:tc>
        <w:tc>
          <w:tcPr>
            <w:tcW w:w="2750" w:type="dxa"/>
            <w:tcBorders>
              <w:top w:val="single" w:sz="4" w:space="0" w:color="000000"/>
              <w:left w:val="single" w:sz="4" w:space="0" w:color="000000"/>
              <w:bottom w:val="single" w:sz="4" w:space="0" w:color="000000"/>
              <w:right w:val="single" w:sz="4" w:space="0" w:color="000000"/>
            </w:tcBorders>
            <w:hideMark/>
          </w:tcPr>
          <w:p w14:paraId="550EEF9A" w14:textId="77777777" w:rsidR="008831F9" w:rsidRPr="008831F9" w:rsidRDefault="008831F9" w:rsidP="008831F9">
            <w:pPr>
              <w:pStyle w:val="Tekstpodstawowy"/>
              <w:spacing w:line="240" w:lineRule="auto"/>
              <w:rPr>
                <w:rFonts w:asciiTheme="minorHAnsi" w:hAnsiTheme="minorHAnsi" w:cstheme="minorHAnsi"/>
                <w:sz w:val="20"/>
                <w:szCs w:val="20"/>
              </w:rPr>
            </w:pPr>
            <w:r w:rsidRPr="008831F9">
              <w:rPr>
                <w:rFonts w:asciiTheme="minorHAnsi" w:hAnsiTheme="minorHAnsi" w:cstheme="minorHAnsi"/>
                <w:sz w:val="20"/>
                <w:szCs w:val="20"/>
              </w:rPr>
              <w:t>Szerokość warstwy</w:t>
            </w:r>
          </w:p>
        </w:tc>
        <w:tc>
          <w:tcPr>
            <w:tcW w:w="4962" w:type="dxa"/>
            <w:tcBorders>
              <w:top w:val="single" w:sz="4" w:space="0" w:color="000000"/>
              <w:left w:val="single" w:sz="4" w:space="0" w:color="000000"/>
              <w:bottom w:val="single" w:sz="4" w:space="0" w:color="000000"/>
              <w:right w:val="single" w:sz="4" w:space="0" w:color="000000"/>
            </w:tcBorders>
            <w:hideMark/>
          </w:tcPr>
          <w:p w14:paraId="390ADC0F" w14:textId="77777777" w:rsidR="008831F9" w:rsidRPr="008831F9" w:rsidRDefault="008831F9" w:rsidP="008831F9">
            <w:pPr>
              <w:pStyle w:val="Tekstpodstawowy"/>
              <w:spacing w:line="240" w:lineRule="auto"/>
              <w:rPr>
                <w:rFonts w:asciiTheme="minorHAnsi" w:hAnsiTheme="minorHAnsi" w:cstheme="minorHAnsi"/>
                <w:sz w:val="20"/>
                <w:szCs w:val="20"/>
              </w:rPr>
            </w:pPr>
            <w:r w:rsidRPr="008831F9">
              <w:rPr>
                <w:rFonts w:asciiTheme="minorHAnsi" w:hAnsiTheme="minorHAnsi" w:cstheme="minorHAnsi"/>
                <w:sz w:val="20"/>
                <w:szCs w:val="20"/>
              </w:rPr>
              <w:t>10 razy na 1 km jezdni</w:t>
            </w:r>
          </w:p>
        </w:tc>
      </w:tr>
      <w:tr w:rsidR="008831F9" w:rsidRPr="008831F9" w14:paraId="032F96ED" w14:textId="77777777" w:rsidTr="008831F9">
        <w:trPr>
          <w:trHeight w:val="1278"/>
        </w:trPr>
        <w:tc>
          <w:tcPr>
            <w:tcW w:w="994" w:type="dxa"/>
            <w:tcBorders>
              <w:top w:val="single" w:sz="4" w:space="0" w:color="000000"/>
              <w:left w:val="single" w:sz="4" w:space="0" w:color="000000"/>
              <w:bottom w:val="single" w:sz="4" w:space="0" w:color="000000"/>
              <w:right w:val="single" w:sz="4" w:space="0" w:color="000000"/>
            </w:tcBorders>
            <w:hideMark/>
          </w:tcPr>
          <w:p w14:paraId="1EAFDFE5" w14:textId="77777777" w:rsidR="008831F9" w:rsidRPr="008831F9" w:rsidRDefault="008831F9" w:rsidP="008831F9">
            <w:pPr>
              <w:pStyle w:val="Tekstpodstawowy"/>
              <w:spacing w:line="240" w:lineRule="auto"/>
              <w:jc w:val="both"/>
              <w:rPr>
                <w:rFonts w:asciiTheme="minorHAnsi" w:hAnsiTheme="minorHAnsi" w:cstheme="minorHAnsi"/>
                <w:sz w:val="20"/>
                <w:szCs w:val="20"/>
              </w:rPr>
            </w:pPr>
            <w:r w:rsidRPr="008831F9">
              <w:rPr>
                <w:rFonts w:asciiTheme="minorHAnsi" w:hAnsiTheme="minorHAnsi" w:cstheme="minorHAnsi"/>
                <w:sz w:val="20"/>
                <w:szCs w:val="20"/>
              </w:rPr>
              <w:t>2</w:t>
            </w:r>
          </w:p>
        </w:tc>
        <w:tc>
          <w:tcPr>
            <w:tcW w:w="2750" w:type="dxa"/>
            <w:tcBorders>
              <w:top w:val="single" w:sz="4" w:space="0" w:color="000000"/>
              <w:left w:val="single" w:sz="4" w:space="0" w:color="000000"/>
              <w:bottom w:val="single" w:sz="4" w:space="0" w:color="000000"/>
              <w:right w:val="single" w:sz="4" w:space="0" w:color="000000"/>
            </w:tcBorders>
            <w:hideMark/>
          </w:tcPr>
          <w:p w14:paraId="5C2D1168" w14:textId="77777777" w:rsidR="008831F9" w:rsidRPr="008831F9" w:rsidRDefault="008831F9" w:rsidP="008831F9">
            <w:pPr>
              <w:pStyle w:val="Tekstpodstawowy"/>
              <w:spacing w:line="240" w:lineRule="auto"/>
              <w:rPr>
                <w:rFonts w:asciiTheme="minorHAnsi" w:hAnsiTheme="minorHAnsi" w:cstheme="minorHAnsi"/>
                <w:sz w:val="20"/>
                <w:szCs w:val="20"/>
              </w:rPr>
            </w:pPr>
            <w:r w:rsidRPr="008831F9">
              <w:rPr>
                <w:rFonts w:asciiTheme="minorHAnsi" w:hAnsiTheme="minorHAnsi" w:cstheme="minorHAnsi"/>
                <w:sz w:val="20"/>
                <w:szCs w:val="20"/>
              </w:rPr>
              <w:t>Równość podłużna</w:t>
            </w:r>
          </w:p>
        </w:tc>
        <w:tc>
          <w:tcPr>
            <w:tcW w:w="4962" w:type="dxa"/>
            <w:tcBorders>
              <w:top w:val="single" w:sz="4" w:space="0" w:color="000000"/>
              <w:left w:val="single" w:sz="4" w:space="0" w:color="000000"/>
              <w:bottom w:val="single" w:sz="4" w:space="0" w:color="000000"/>
              <w:right w:val="single" w:sz="4" w:space="0" w:color="000000"/>
            </w:tcBorders>
            <w:hideMark/>
          </w:tcPr>
          <w:p w14:paraId="4801ABFB" w14:textId="77777777" w:rsidR="008831F9" w:rsidRPr="008831F9" w:rsidRDefault="008831F9" w:rsidP="008831F9">
            <w:pPr>
              <w:pStyle w:val="Tekstpodstawowy"/>
              <w:spacing w:line="240" w:lineRule="auto"/>
              <w:rPr>
                <w:rFonts w:asciiTheme="minorHAnsi" w:hAnsiTheme="minorHAnsi" w:cstheme="minorHAnsi"/>
                <w:sz w:val="20"/>
                <w:szCs w:val="20"/>
                <w:lang w:val="pl-PL"/>
              </w:rPr>
            </w:pPr>
            <w:r w:rsidRPr="008831F9">
              <w:rPr>
                <w:rFonts w:asciiTheme="minorHAnsi" w:hAnsiTheme="minorHAnsi" w:cstheme="minorHAnsi"/>
                <w:sz w:val="20"/>
                <w:szCs w:val="20"/>
                <w:lang w:val="pl-PL"/>
              </w:rPr>
              <w:t>Należy</w:t>
            </w:r>
            <w:r w:rsidRPr="008831F9">
              <w:rPr>
                <w:rFonts w:asciiTheme="minorHAnsi" w:hAnsiTheme="minorHAnsi" w:cstheme="minorHAnsi"/>
                <w:sz w:val="20"/>
                <w:szCs w:val="20"/>
                <w:lang w:val="pl-PL"/>
              </w:rPr>
              <w:tab/>
              <w:t>stosować</w:t>
            </w:r>
            <w:r w:rsidRPr="008831F9">
              <w:rPr>
                <w:rFonts w:asciiTheme="minorHAnsi" w:hAnsiTheme="minorHAnsi" w:cstheme="minorHAnsi"/>
                <w:sz w:val="20"/>
                <w:szCs w:val="20"/>
                <w:lang w:val="pl-PL"/>
              </w:rPr>
              <w:tab/>
              <w:t>metodę profilometryczną lub metodę z wykorzystaniem planografu. Pomiar należy wykonywać dla każdej jezdni i dla każdego pasa ruchu. W miejscach niedostępnych pomiar można wykonać z użyciem łaty (o długości 4 m) i klina w sposób</w:t>
            </w:r>
            <w:r w:rsidRPr="008831F9">
              <w:rPr>
                <w:rFonts w:asciiTheme="minorHAnsi" w:hAnsiTheme="minorHAnsi" w:cstheme="minorHAnsi"/>
                <w:spacing w:val="-1"/>
                <w:sz w:val="20"/>
                <w:szCs w:val="20"/>
                <w:lang w:val="pl-PL"/>
              </w:rPr>
              <w:t xml:space="preserve"> </w:t>
            </w:r>
            <w:r w:rsidRPr="008831F9">
              <w:rPr>
                <w:rFonts w:asciiTheme="minorHAnsi" w:hAnsiTheme="minorHAnsi" w:cstheme="minorHAnsi"/>
                <w:sz w:val="20"/>
                <w:szCs w:val="20"/>
                <w:lang w:val="pl-PL"/>
              </w:rPr>
              <w:t>ciągły.</w:t>
            </w:r>
          </w:p>
        </w:tc>
      </w:tr>
      <w:tr w:rsidR="008831F9" w:rsidRPr="008831F9" w14:paraId="0646C453" w14:textId="77777777" w:rsidTr="008831F9">
        <w:trPr>
          <w:trHeight w:val="1253"/>
        </w:trPr>
        <w:tc>
          <w:tcPr>
            <w:tcW w:w="994" w:type="dxa"/>
            <w:tcBorders>
              <w:top w:val="single" w:sz="4" w:space="0" w:color="000000"/>
              <w:left w:val="single" w:sz="4" w:space="0" w:color="000000"/>
              <w:bottom w:val="single" w:sz="4" w:space="0" w:color="000000"/>
              <w:right w:val="single" w:sz="4" w:space="0" w:color="000000"/>
            </w:tcBorders>
            <w:hideMark/>
          </w:tcPr>
          <w:p w14:paraId="53BDB44C" w14:textId="77777777" w:rsidR="008831F9" w:rsidRPr="008831F9" w:rsidRDefault="008831F9" w:rsidP="008831F9">
            <w:pPr>
              <w:pStyle w:val="Tekstpodstawowy"/>
              <w:spacing w:line="240" w:lineRule="auto"/>
              <w:jc w:val="both"/>
              <w:rPr>
                <w:rFonts w:asciiTheme="minorHAnsi" w:hAnsiTheme="minorHAnsi" w:cstheme="minorHAnsi"/>
                <w:sz w:val="20"/>
                <w:szCs w:val="20"/>
              </w:rPr>
            </w:pPr>
            <w:r w:rsidRPr="008831F9">
              <w:rPr>
                <w:rFonts w:asciiTheme="minorHAnsi" w:hAnsiTheme="minorHAnsi" w:cstheme="minorHAnsi"/>
                <w:sz w:val="20"/>
                <w:szCs w:val="20"/>
              </w:rPr>
              <w:t>3</w:t>
            </w:r>
          </w:p>
        </w:tc>
        <w:tc>
          <w:tcPr>
            <w:tcW w:w="2750" w:type="dxa"/>
            <w:tcBorders>
              <w:top w:val="single" w:sz="4" w:space="0" w:color="000000"/>
              <w:left w:val="single" w:sz="4" w:space="0" w:color="000000"/>
              <w:bottom w:val="single" w:sz="4" w:space="0" w:color="000000"/>
              <w:right w:val="single" w:sz="4" w:space="0" w:color="000000"/>
            </w:tcBorders>
            <w:hideMark/>
          </w:tcPr>
          <w:p w14:paraId="2FBABC47" w14:textId="77777777" w:rsidR="008831F9" w:rsidRPr="008831F9" w:rsidRDefault="008831F9" w:rsidP="008831F9">
            <w:pPr>
              <w:pStyle w:val="Tekstpodstawowy"/>
              <w:spacing w:line="240" w:lineRule="auto"/>
              <w:rPr>
                <w:rFonts w:asciiTheme="minorHAnsi" w:hAnsiTheme="minorHAnsi" w:cstheme="minorHAnsi"/>
                <w:sz w:val="20"/>
                <w:szCs w:val="20"/>
              </w:rPr>
            </w:pPr>
            <w:r w:rsidRPr="008831F9">
              <w:rPr>
                <w:rFonts w:asciiTheme="minorHAnsi" w:hAnsiTheme="minorHAnsi" w:cstheme="minorHAnsi"/>
                <w:sz w:val="20"/>
                <w:szCs w:val="20"/>
              </w:rPr>
              <w:t>Równość poprzeczna</w:t>
            </w:r>
          </w:p>
        </w:tc>
        <w:tc>
          <w:tcPr>
            <w:tcW w:w="4962" w:type="dxa"/>
            <w:tcBorders>
              <w:top w:val="single" w:sz="4" w:space="0" w:color="000000"/>
              <w:left w:val="single" w:sz="4" w:space="0" w:color="000000"/>
              <w:bottom w:val="single" w:sz="4" w:space="0" w:color="000000"/>
              <w:right w:val="single" w:sz="4" w:space="0" w:color="000000"/>
            </w:tcBorders>
            <w:hideMark/>
          </w:tcPr>
          <w:p w14:paraId="29D5B328" w14:textId="77777777" w:rsidR="008831F9" w:rsidRPr="008831F9" w:rsidRDefault="008831F9" w:rsidP="008831F9">
            <w:pPr>
              <w:pStyle w:val="Tekstpodstawowy"/>
              <w:spacing w:line="240" w:lineRule="auto"/>
              <w:rPr>
                <w:rFonts w:asciiTheme="minorHAnsi" w:hAnsiTheme="minorHAnsi" w:cstheme="minorHAnsi"/>
                <w:sz w:val="20"/>
                <w:szCs w:val="20"/>
                <w:lang w:val="pl-PL"/>
              </w:rPr>
            </w:pPr>
            <w:r w:rsidRPr="008831F9">
              <w:rPr>
                <w:rFonts w:asciiTheme="minorHAnsi" w:hAnsiTheme="minorHAnsi" w:cstheme="minorHAnsi"/>
                <w:sz w:val="20"/>
                <w:szCs w:val="20"/>
                <w:lang w:val="pl-PL"/>
              </w:rPr>
              <w:t>Należy stosować metodę pomiaru profilometrycznego,oznaczenie wyznaczać z krokiem co 1 m. W miejscach</w:t>
            </w:r>
            <w:r w:rsidRPr="008831F9">
              <w:rPr>
                <w:rFonts w:asciiTheme="minorHAnsi" w:hAnsiTheme="minorHAnsi" w:cstheme="minorHAnsi"/>
                <w:sz w:val="20"/>
                <w:szCs w:val="20"/>
                <w:lang w:val="pl-PL"/>
              </w:rPr>
              <w:tab/>
              <w:t>niedostępnych</w:t>
            </w:r>
            <w:r w:rsidRPr="008831F9">
              <w:rPr>
                <w:rFonts w:asciiTheme="minorHAnsi" w:hAnsiTheme="minorHAnsi" w:cstheme="minorHAnsi"/>
                <w:sz w:val="20"/>
                <w:szCs w:val="20"/>
                <w:lang w:val="pl-PL"/>
              </w:rPr>
              <w:tab/>
              <w:t>dla profilografu pomiar należy wykonać metodą z wykorzystaniem łaty (o długości 2 m) i klina nie rzadziej niż co 5</w:t>
            </w:r>
            <w:r w:rsidRPr="008831F9">
              <w:rPr>
                <w:rFonts w:asciiTheme="minorHAnsi" w:hAnsiTheme="minorHAnsi" w:cstheme="minorHAnsi"/>
                <w:spacing w:val="-1"/>
                <w:sz w:val="20"/>
                <w:szCs w:val="20"/>
                <w:lang w:val="pl-PL"/>
              </w:rPr>
              <w:t xml:space="preserve"> </w:t>
            </w:r>
            <w:r w:rsidRPr="008831F9">
              <w:rPr>
                <w:rFonts w:asciiTheme="minorHAnsi" w:hAnsiTheme="minorHAnsi" w:cstheme="minorHAnsi"/>
                <w:sz w:val="20"/>
                <w:szCs w:val="20"/>
                <w:lang w:val="pl-PL"/>
              </w:rPr>
              <w:t>m.</w:t>
            </w:r>
          </w:p>
        </w:tc>
      </w:tr>
      <w:tr w:rsidR="008831F9" w:rsidRPr="008831F9" w14:paraId="6EA0300C" w14:textId="77777777" w:rsidTr="008831F9">
        <w:trPr>
          <w:trHeight w:val="422"/>
        </w:trPr>
        <w:tc>
          <w:tcPr>
            <w:tcW w:w="994" w:type="dxa"/>
            <w:tcBorders>
              <w:top w:val="single" w:sz="4" w:space="0" w:color="000000"/>
              <w:left w:val="single" w:sz="4" w:space="0" w:color="000000"/>
              <w:bottom w:val="single" w:sz="4" w:space="0" w:color="000000"/>
              <w:right w:val="single" w:sz="4" w:space="0" w:color="000000"/>
            </w:tcBorders>
            <w:hideMark/>
          </w:tcPr>
          <w:p w14:paraId="63E65FDE" w14:textId="77777777" w:rsidR="008831F9" w:rsidRPr="008831F9" w:rsidRDefault="008831F9" w:rsidP="008831F9">
            <w:pPr>
              <w:pStyle w:val="Tekstpodstawowy"/>
              <w:spacing w:line="240" w:lineRule="auto"/>
              <w:jc w:val="both"/>
              <w:rPr>
                <w:rFonts w:asciiTheme="minorHAnsi" w:hAnsiTheme="minorHAnsi" w:cstheme="minorHAnsi"/>
                <w:sz w:val="20"/>
                <w:szCs w:val="20"/>
              </w:rPr>
            </w:pPr>
            <w:r w:rsidRPr="008831F9">
              <w:rPr>
                <w:rFonts w:asciiTheme="minorHAnsi" w:hAnsiTheme="minorHAnsi" w:cstheme="minorHAnsi"/>
                <w:sz w:val="20"/>
                <w:szCs w:val="20"/>
              </w:rPr>
              <w:t>4</w:t>
            </w:r>
          </w:p>
        </w:tc>
        <w:tc>
          <w:tcPr>
            <w:tcW w:w="2750" w:type="dxa"/>
            <w:tcBorders>
              <w:top w:val="single" w:sz="4" w:space="0" w:color="000000"/>
              <w:left w:val="single" w:sz="4" w:space="0" w:color="000000"/>
              <w:bottom w:val="single" w:sz="4" w:space="0" w:color="000000"/>
              <w:right w:val="single" w:sz="4" w:space="0" w:color="000000"/>
            </w:tcBorders>
            <w:hideMark/>
          </w:tcPr>
          <w:p w14:paraId="17F8BEF0" w14:textId="77777777" w:rsidR="008831F9" w:rsidRPr="008831F9" w:rsidRDefault="008831F9" w:rsidP="008831F9">
            <w:pPr>
              <w:pStyle w:val="Tekstpodstawowy"/>
              <w:spacing w:line="240" w:lineRule="auto"/>
              <w:rPr>
                <w:rFonts w:asciiTheme="minorHAnsi" w:hAnsiTheme="minorHAnsi" w:cstheme="minorHAnsi"/>
                <w:sz w:val="20"/>
                <w:szCs w:val="20"/>
              </w:rPr>
            </w:pPr>
            <w:r w:rsidRPr="008831F9">
              <w:rPr>
                <w:rFonts w:asciiTheme="minorHAnsi" w:hAnsiTheme="minorHAnsi" w:cstheme="minorHAnsi"/>
                <w:sz w:val="20"/>
                <w:szCs w:val="20"/>
              </w:rPr>
              <w:t>Spadki poprzeczne*)</w:t>
            </w:r>
          </w:p>
        </w:tc>
        <w:tc>
          <w:tcPr>
            <w:tcW w:w="4962" w:type="dxa"/>
            <w:tcBorders>
              <w:top w:val="single" w:sz="4" w:space="0" w:color="000000"/>
              <w:left w:val="single" w:sz="4" w:space="0" w:color="000000"/>
              <w:bottom w:val="single" w:sz="4" w:space="0" w:color="000000"/>
              <w:right w:val="single" w:sz="4" w:space="0" w:color="000000"/>
            </w:tcBorders>
            <w:hideMark/>
          </w:tcPr>
          <w:p w14:paraId="3CC1B742" w14:textId="77777777" w:rsidR="008831F9" w:rsidRPr="008831F9" w:rsidRDefault="008831F9" w:rsidP="008831F9">
            <w:pPr>
              <w:pStyle w:val="Tekstpodstawowy"/>
              <w:spacing w:line="240" w:lineRule="auto"/>
              <w:rPr>
                <w:rFonts w:asciiTheme="minorHAnsi" w:hAnsiTheme="minorHAnsi" w:cstheme="minorHAnsi"/>
                <w:sz w:val="20"/>
                <w:szCs w:val="20"/>
                <w:lang w:val="pl-PL"/>
              </w:rPr>
            </w:pPr>
            <w:r w:rsidRPr="008831F9">
              <w:rPr>
                <w:rFonts w:asciiTheme="minorHAnsi" w:hAnsiTheme="minorHAnsi" w:cstheme="minorHAnsi"/>
                <w:sz w:val="20"/>
                <w:szCs w:val="20"/>
                <w:lang w:val="pl-PL"/>
              </w:rPr>
              <w:t>Nie rzadziej niż co 20 m jezdni</w:t>
            </w:r>
          </w:p>
        </w:tc>
      </w:tr>
      <w:tr w:rsidR="008831F9" w:rsidRPr="008831F9" w14:paraId="6962C40B" w14:textId="77777777" w:rsidTr="008831F9">
        <w:trPr>
          <w:trHeight w:val="555"/>
        </w:trPr>
        <w:tc>
          <w:tcPr>
            <w:tcW w:w="994" w:type="dxa"/>
            <w:tcBorders>
              <w:top w:val="single" w:sz="4" w:space="0" w:color="000000"/>
              <w:left w:val="single" w:sz="4" w:space="0" w:color="000000"/>
              <w:bottom w:val="single" w:sz="4" w:space="0" w:color="000000"/>
              <w:right w:val="single" w:sz="4" w:space="0" w:color="000000"/>
            </w:tcBorders>
            <w:hideMark/>
          </w:tcPr>
          <w:p w14:paraId="12602ABB" w14:textId="77777777" w:rsidR="008831F9" w:rsidRPr="008831F9" w:rsidRDefault="008831F9" w:rsidP="008831F9">
            <w:pPr>
              <w:pStyle w:val="Tekstpodstawowy"/>
              <w:spacing w:line="240" w:lineRule="auto"/>
              <w:jc w:val="both"/>
              <w:rPr>
                <w:rFonts w:asciiTheme="minorHAnsi" w:hAnsiTheme="minorHAnsi" w:cstheme="minorHAnsi"/>
                <w:sz w:val="20"/>
                <w:szCs w:val="20"/>
              </w:rPr>
            </w:pPr>
            <w:r w:rsidRPr="008831F9">
              <w:rPr>
                <w:rFonts w:asciiTheme="minorHAnsi" w:hAnsiTheme="minorHAnsi" w:cstheme="minorHAnsi"/>
                <w:sz w:val="20"/>
                <w:szCs w:val="20"/>
              </w:rPr>
              <w:t>5</w:t>
            </w:r>
          </w:p>
        </w:tc>
        <w:tc>
          <w:tcPr>
            <w:tcW w:w="2750" w:type="dxa"/>
            <w:tcBorders>
              <w:top w:val="single" w:sz="4" w:space="0" w:color="000000"/>
              <w:left w:val="single" w:sz="4" w:space="0" w:color="000000"/>
              <w:bottom w:val="single" w:sz="4" w:space="0" w:color="000000"/>
              <w:right w:val="single" w:sz="4" w:space="0" w:color="000000"/>
            </w:tcBorders>
            <w:hideMark/>
          </w:tcPr>
          <w:p w14:paraId="0E5410D8" w14:textId="77777777" w:rsidR="008831F9" w:rsidRPr="008831F9" w:rsidRDefault="008831F9" w:rsidP="008831F9">
            <w:pPr>
              <w:pStyle w:val="Tekstpodstawowy"/>
              <w:spacing w:line="240" w:lineRule="auto"/>
              <w:rPr>
                <w:rFonts w:asciiTheme="minorHAnsi" w:hAnsiTheme="minorHAnsi" w:cstheme="minorHAnsi"/>
                <w:sz w:val="20"/>
                <w:szCs w:val="20"/>
                <w:lang w:val="pl-PL"/>
              </w:rPr>
            </w:pPr>
            <w:r w:rsidRPr="008831F9">
              <w:rPr>
                <w:rFonts w:asciiTheme="minorHAnsi" w:hAnsiTheme="minorHAnsi" w:cstheme="minorHAnsi"/>
                <w:sz w:val="20"/>
                <w:szCs w:val="20"/>
                <w:lang w:val="pl-PL"/>
              </w:rPr>
              <w:t>Rzędne wysokościowe (oś podłużna i krawędzie)</w:t>
            </w:r>
          </w:p>
        </w:tc>
        <w:tc>
          <w:tcPr>
            <w:tcW w:w="4962" w:type="dxa"/>
            <w:tcBorders>
              <w:top w:val="single" w:sz="4" w:space="0" w:color="000000"/>
              <w:left w:val="single" w:sz="4" w:space="0" w:color="000000"/>
              <w:bottom w:val="single" w:sz="4" w:space="0" w:color="000000"/>
              <w:right w:val="single" w:sz="4" w:space="0" w:color="000000"/>
            </w:tcBorders>
            <w:hideMark/>
          </w:tcPr>
          <w:p w14:paraId="4A16D7D4" w14:textId="77777777" w:rsidR="008831F9" w:rsidRPr="008831F9" w:rsidRDefault="008831F9" w:rsidP="008831F9">
            <w:pPr>
              <w:pStyle w:val="Tekstpodstawowy"/>
              <w:spacing w:line="240" w:lineRule="auto"/>
              <w:rPr>
                <w:rFonts w:asciiTheme="minorHAnsi" w:hAnsiTheme="minorHAnsi" w:cstheme="minorHAnsi"/>
                <w:sz w:val="20"/>
                <w:szCs w:val="20"/>
              </w:rPr>
            </w:pPr>
            <w:r w:rsidRPr="008831F9">
              <w:rPr>
                <w:rFonts w:asciiTheme="minorHAnsi" w:hAnsiTheme="minorHAnsi" w:cstheme="minorHAnsi"/>
                <w:sz w:val="20"/>
                <w:szCs w:val="20"/>
              </w:rPr>
              <w:t>±1 cm</w:t>
            </w:r>
          </w:p>
        </w:tc>
      </w:tr>
      <w:tr w:rsidR="008831F9" w:rsidRPr="008831F9" w14:paraId="190791AD" w14:textId="77777777" w:rsidTr="008831F9">
        <w:trPr>
          <w:trHeight w:val="422"/>
        </w:trPr>
        <w:tc>
          <w:tcPr>
            <w:tcW w:w="994" w:type="dxa"/>
            <w:tcBorders>
              <w:top w:val="single" w:sz="4" w:space="0" w:color="000000"/>
              <w:left w:val="single" w:sz="4" w:space="0" w:color="000000"/>
              <w:bottom w:val="single" w:sz="4" w:space="0" w:color="000000"/>
              <w:right w:val="single" w:sz="4" w:space="0" w:color="000000"/>
            </w:tcBorders>
            <w:hideMark/>
          </w:tcPr>
          <w:p w14:paraId="0D07C6A5" w14:textId="77777777" w:rsidR="008831F9" w:rsidRPr="008831F9" w:rsidRDefault="008831F9" w:rsidP="008831F9">
            <w:pPr>
              <w:pStyle w:val="Tekstpodstawowy"/>
              <w:spacing w:line="240" w:lineRule="auto"/>
              <w:jc w:val="both"/>
              <w:rPr>
                <w:rFonts w:asciiTheme="minorHAnsi" w:hAnsiTheme="minorHAnsi" w:cstheme="minorHAnsi"/>
                <w:sz w:val="20"/>
                <w:szCs w:val="20"/>
              </w:rPr>
            </w:pPr>
            <w:r w:rsidRPr="008831F9">
              <w:rPr>
                <w:rFonts w:asciiTheme="minorHAnsi" w:hAnsiTheme="minorHAnsi" w:cstheme="minorHAnsi"/>
                <w:sz w:val="20"/>
                <w:szCs w:val="20"/>
              </w:rPr>
              <w:t>6</w:t>
            </w:r>
          </w:p>
        </w:tc>
        <w:tc>
          <w:tcPr>
            <w:tcW w:w="2750" w:type="dxa"/>
            <w:tcBorders>
              <w:top w:val="single" w:sz="4" w:space="0" w:color="000000"/>
              <w:left w:val="single" w:sz="4" w:space="0" w:color="000000"/>
              <w:bottom w:val="single" w:sz="4" w:space="0" w:color="000000"/>
              <w:right w:val="single" w:sz="4" w:space="0" w:color="000000"/>
            </w:tcBorders>
            <w:hideMark/>
          </w:tcPr>
          <w:p w14:paraId="7E5C69F3" w14:textId="77777777" w:rsidR="008831F9" w:rsidRPr="008831F9" w:rsidRDefault="008831F9" w:rsidP="008831F9">
            <w:pPr>
              <w:pStyle w:val="Tekstpodstawowy"/>
              <w:spacing w:line="240" w:lineRule="auto"/>
              <w:rPr>
                <w:rFonts w:asciiTheme="minorHAnsi" w:hAnsiTheme="minorHAnsi" w:cstheme="minorHAnsi"/>
                <w:sz w:val="20"/>
                <w:szCs w:val="20"/>
              </w:rPr>
            </w:pPr>
            <w:r w:rsidRPr="008831F9">
              <w:rPr>
                <w:rFonts w:asciiTheme="minorHAnsi" w:hAnsiTheme="minorHAnsi" w:cstheme="minorHAnsi"/>
                <w:sz w:val="20"/>
                <w:szCs w:val="20"/>
              </w:rPr>
              <w:t>Złącza podłużne i poprzeczne</w:t>
            </w:r>
          </w:p>
        </w:tc>
        <w:tc>
          <w:tcPr>
            <w:tcW w:w="4962" w:type="dxa"/>
            <w:tcBorders>
              <w:top w:val="single" w:sz="4" w:space="0" w:color="000000"/>
              <w:left w:val="single" w:sz="4" w:space="0" w:color="000000"/>
              <w:bottom w:val="single" w:sz="4" w:space="0" w:color="000000"/>
              <w:right w:val="single" w:sz="4" w:space="0" w:color="000000"/>
            </w:tcBorders>
            <w:hideMark/>
          </w:tcPr>
          <w:p w14:paraId="3A599074" w14:textId="77777777" w:rsidR="008831F9" w:rsidRPr="008831F9" w:rsidRDefault="008831F9" w:rsidP="008831F9">
            <w:pPr>
              <w:pStyle w:val="Tekstpodstawowy"/>
              <w:spacing w:line="240" w:lineRule="auto"/>
              <w:rPr>
                <w:rFonts w:asciiTheme="minorHAnsi" w:hAnsiTheme="minorHAnsi" w:cstheme="minorHAnsi"/>
                <w:sz w:val="20"/>
                <w:szCs w:val="20"/>
              </w:rPr>
            </w:pPr>
            <w:r w:rsidRPr="008831F9">
              <w:rPr>
                <w:rFonts w:asciiTheme="minorHAnsi" w:hAnsiTheme="minorHAnsi" w:cstheme="minorHAnsi"/>
                <w:sz w:val="20"/>
                <w:szCs w:val="20"/>
              </w:rPr>
              <w:t>każde złącze (ocena wizualna)</w:t>
            </w:r>
          </w:p>
        </w:tc>
      </w:tr>
      <w:tr w:rsidR="008831F9" w:rsidRPr="008831F9" w14:paraId="156F83AA" w14:textId="77777777" w:rsidTr="008831F9">
        <w:trPr>
          <w:trHeight w:val="422"/>
        </w:trPr>
        <w:tc>
          <w:tcPr>
            <w:tcW w:w="994" w:type="dxa"/>
            <w:tcBorders>
              <w:top w:val="single" w:sz="4" w:space="0" w:color="000000"/>
              <w:left w:val="single" w:sz="4" w:space="0" w:color="000000"/>
              <w:bottom w:val="single" w:sz="4" w:space="0" w:color="000000"/>
              <w:right w:val="single" w:sz="4" w:space="0" w:color="000000"/>
            </w:tcBorders>
            <w:hideMark/>
          </w:tcPr>
          <w:p w14:paraId="526C6407" w14:textId="77777777" w:rsidR="008831F9" w:rsidRPr="008831F9" w:rsidRDefault="008831F9" w:rsidP="008831F9">
            <w:pPr>
              <w:pStyle w:val="Tekstpodstawowy"/>
              <w:spacing w:line="240" w:lineRule="auto"/>
              <w:jc w:val="both"/>
              <w:rPr>
                <w:rFonts w:asciiTheme="minorHAnsi" w:hAnsiTheme="minorHAnsi" w:cstheme="minorHAnsi"/>
                <w:sz w:val="20"/>
                <w:szCs w:val="20"/>
              </w:rPr>
            </w:pPr>
            <w:r w:rsidRPr="008831F9">
              <w:rPr>
                <w:rFonts w:asciiTheme="minorHAnsi" w:hAnsiTheme="minorHAnsi" w:cstheme="minorHAnsi"/>
                <w:sz w:val="20"/>
                <w:szCs w:val="20"/>
              </w:rPr>
              <w:t>7</w:t>
            </w:r>
          </w:p>
        </w:tc>
        <w:tc>
          <w:tcPr>
            <w:tcW w:w="2750" w:type="dxa"/>
            <w:tcBorders>
              <w:top w:val="single" w:sz="4" w:space="0" w:color="000000"/>
              <w:left w:val="single" w:sz="4" w:space="0" w:color="000000"/>
              <w:bottom w:val="single" w:sz="4" w:space="0" w:color="000000"/>
              <w:right w:val="single" w:sz="4" w:space="0" w:color="000000"/>
            </w:tcBorders>
            <w:hideMark/>
          </w:tcPr>
          <w:p w14:paraId="234633A4" w14:textId="77777777" w:rsidR="008831F9" w:rsidRPr="008831F9" w:rsidRDefault="008831F9" w:rsidP="008831F9">
            <w:pPr>
              <w:pStyle w:val="Tekstpodstawowy"/>
              <w:spacing w:line="240" w:lineRule="auto"/>
              <w:rPr>
                <w:rFonts w:asciiTheme="minorHAnsi" w:hAnsiTheme="minorHAnsi" w:cstheme="minorHAnsi"/>
                <w:sz w:val="20"/>
                <w:szCs w:val="20"/>
              </w:rPr>
            </w:pPr>
            <w:r w:rsidRPr="008831F9">
              <w:rPr>
                <w:rFonts w:asciiTheme="minorHAnsi" w:hAnsiTheme="minorHAnsi" w:cstheme="minorHAnsi"/>
                <w:sz w:val="20"/>
                <w:szCs w:val="20"/>
              </w:rPr>
              <w:t>Właściwości przeciwpoślizgowe</w:t>
            </w:r>
          </w:p>
        </w:tc>
        <w:tc>
          <w:tcPr>
            <w:tcW w:w="4962" w:type="dxa"/>
            <w:tcBorders>
              <w:top w:val="single" w:sz="4" w:space="0" w:color="000000"/>
              <w:left w:val="single" w:sz="4" w:space="0" w:color="000000"/>
              <w:bottom w:val="single" w:sz="4" w:space="0" w:color="000000"/>
              <w:right w:val="single" w:sz="4" w:space="0" w:color="000000"/>
            </w:tcBorders>
            <w:hideMark/>
          </w:tcPr>
          <w:p w14:paraId="5737DEE9" w14:textId="77777777" w:rsidR="008831F9" w:rsidRPr="008831F9" w:rsidRDefault="008831F9" w:rsidP="008831F9">
            <w:pPr>
              <w:pStyle w:val="Tekstpodstawowy"/>
              <w:spacing w:line="240" w:lineRule="auto"/>
              <w:rPr>
                <w:rFonts w:asciiTheme="minorHAnsi" w:hAnsiTheme="minorHAnsi" w:cstheme="minorHAnsi"/>
                <w:sz w:val="20"/>
                <w:szCs w:val="20"/>
                <w:lang w:val="pl-PL"/>
              </w:rPr>
            </w:pPr>
            <w:r w:rsidRPr="008831F9">
              <w:rPr>
                <w:rFonts w:asciiTheme="minorHAnsi" w:hAnsiTheme="minorHAnsi" w:cstheme="minorHAnsi"/>
                <w:sz w:val="20"/>
                <w:szCs w:val="20"/>
                <w:lang w:val="pl-PL"/>
              </w:rPr>
              <w:t>Dla każdej jezdni i każdego pasa ruchu</w:t>
            </w:r>
          </w:p>
        </w:tc>
      </w:tr>
      <w:tr w:rsidR="008831F9" w:rsidRPr="008831F9" w14:paraId="54BFADC9" w14:textId="77777777" w:rsidTr="008831F9">
        <w:trPr>
          <w:trHeight w:val="424"/>
        </w:trPr>
        <w:tc>
          <w:tcPr>
            <w:tcW w:w="994" w:type="dxa"/>
            <w:tcBorders>
              <w:top w:val="single" w:sz="4" w:space="0" w:color="000000"/>
              <w:left w:val="single" w:sz="4" w:space="0" w:color="000000"/>
              <w:bottom w:val="single" w:sz="4" w:space="0" w:color="000000"/>
              <w:right w:val="single" w:sz="4" w:space="0" w:color="000000"/>
            </w:tcBorders>
            <w:hideMark/>
          </w:tcPr>
          <w:p w14:paraId="721ABD43" w14:textId="77777777" w:rsidR="008831F9" w:rsidRPr="008831F9" w:rsidRDefault="008831F9" w:rsidP="008831F9">
            <w:pPr>
              <w:pStyle w:val="Tekstpodstawowy"/>
              <w:spacing w:line="240" w:lineRule="auto"/>
              <w:jc w:val="both"/>
              <w:rPr>
                <w:rFonts w:asciiTheme="minorHAnsi" w:hAnsiTheme="minorHAnsi" w:cstheme="minorHAnsi"/>
                <w:sz w:val="20"/>
                <w:szCs w:val="20"/>
              </w:rPr>
            </w:pPr>
            <w:r w:rsidRPr="008831F9">
              <w:rPr>
                <w:rFonts w:asciiTheme="minorHAnsi" w:hAnsiTheme="minorHAnsi" w:cstheme="minorHAnsi"/>
                <w:sz w:val="20"/>
                <w:szCs w:val="20"/>
              </w:rPr>
              <w:t>8</w:t>
            </w:r>
          </w:p>
        </w:tc>
        <w:tc>
          <w:tcPr>
            <w:tcW w:w="2750" w:type="dxa"/>
            <w:tcBorders>
              <w:top w:val="single" w:sz="4" w:space="0" w:color="000000"/>
              <w:left w:val="single" w:sz="4" w:space="0" w:color="000000"/>
              <w:bottom w:val="single" w:sz="4" w:space="0" w:color="000000"/>
              <w:right w:val="single" w:sz="4" w:space="0" w:color="000000"/>
            </w:tcBorders>
            <w:hideMark/>
          </w:tcPr>
          <w:p w14:paraId="06DBAF80" w14:textId="77777777" w:rsidR="008831F9" w:rsidRPr="008831F9" w:rsidRDefault="008831F9" w:rsidP="008831F9">
            <w:pPr>
              <w:pStyle w:val="Tekstpodstawowy"/>
              <w:spacing w:line="240" w:lineRule="auto"/>
              <w:rPr>
                <w:rFonts w:asciiTheme="minorHAnsi" w:hAnsiTheme="minorHAnsi" w:cstheme="minorHAnsi"/>
                <w:sz w:val="20"/>
                <w:szCs w:val="20"/>
              </w:rPr>
            </w:pPr>
            <w:r w:rsidRPr="008831F9">
              <w:rPr>
                <w:rFonts w:asciiTheme="minorHAnsi" w:hAnsiTheme="minorHAnsi" w:cstheme="minorHAnsi"/>
                <w:sz w:val="20"/>
                <w:szCs w:val="20"/>
              </w:rPr>
              <w:t>Ukształtowanie osi w planie*)</w:t>
            </w:r>
          </w:p>
        </w:tc>
        <w:tc>
          <w:tcPr>
            <w:tcW w:w="4962" w:type="dxa"/>
            <w:tcBorders>
              <w:top w:val="single" w:sz="4" w:space="0" w:color="000000"/>
              <w:left w:val="single" w:sz="4" w:space="0" w:color="000000"/>
              <w:bottom w:val="single" w:sz="4" w:space="0" w:color="000000"/>
              <w:right w:val="single" w:sz="4" w:space="0" w:color="000000"/>
            </w:tcBorders>
            <w:hideMark/>
          </w:tcPr>
          <w:p w14:paraId="34E8743A" w14:textId="77777777" w:rsidR="008831F9" w:rsidRPr="008831F9" w:rsidRDefault="008831F9" w:rsidP="008831F9">
            <w:pPr>
              <w:pStyle w:val="Tekstpodstawowy"/>
              <w:spacing w:line="240" w:lineRule="auto"/>
              <w:rPr>
                <w:rFonts w:asciiTheme="minorHAnsi" w:hAnsiTheme="minorHAnsi" w:cstheme="minorHAnsi"/>
                <w:sz w:val="20"/>
                <w:szCs w:val="20"/>
              </w:rPr>
            </w:pPr>
            <w:r w:rsidRPr="008831F9">
              <w:rPr>
                <w:rFonts w:asciiTheme="minorHAnsi" w:hAnsiTheme="minorHAnsi" w:cstheme="minorHAnsi"/>
                <w:sz w:val="20"/>
                <w:szCs w:val="20"/>
              </w:rPr>
              <w:t>co 100 m jezdni</w:t>
            </w:r>
          </w:p>
        </w:tc>
      </w:tr>
      <w:tr w:rsidR="008831F9" w:rsidRPr="008831F9" w14:paraId="7B2DB274" w14:textId="77777777" w:rsidTr="008831F9">
        <w:trPr>
          <w:trHeight w:val="606"/>
        </w:trPr>
        <w:tc>
          <w:tcPr>
            <w:tcW w:w="8706" w:type="dxa"/>
            <w:gridSpan w:val="3"/>
            <w:tcBorders>
              <w:top w:val="single" w:sz="4" w:space="0" w:color="000000"/>
              <w:left w:val="single" w:sz="4" w:space="0" w:color="000000"/>
              <w:bottom w:val="single" w:sz="4" w:space="0" w:color="000000"/>
              <w:right w:val="single" w:sz="4" w:space="0" w:color="000000"/>
            </w:tcBorders>
            <w:hideMark/>
          </w:tcPr>
          <w:p w14:paraId="587AD441" w14:textId="77777777" w:rsidR="008831F9" w:rsidRPr="008831F9" w:rsidRDefault="008831F9" w:rsidP="008831F9">
            <w:pPr>
              <w:pStyle w:val="Tekstpodstawowy"/>
              <w:spacing w:line="240" w:lineRule="auto"/>
              <w:jc w:val="both"/>
              <w:rPr>
                <w:rFonts w:asciiTheme="minorHAnsi" w:hAnsiTheme="minorHAnsi" w:cstheme="minorHAnsi"/>
                <w:sz w:val="20"/>
                <w:szCs w:val="20"/>
                <w:lang w:val="pl-PL"/>
              </w:rPr>
            </w:pPr>
            <w:r w:rsidRPr="008831F9">
              <w:rPr>
                <w:rFonts w:asciiTheme="minorHAnsi" w:hAnsiTheme="minorHAnsi" w:cstheme="minorHAnsi"/>
                <w:sz w:val="20"/>
                <w:szCs w:val="20"/>
                <w:lang w:val="pl-PL"/>
              </w:rPr>
              <w:t>*)Dodatkowe pomiary spadków poprzecznych i ukształtowania osi w planie należy wykonać w punktach głównych łuków poziomych.</w:t>
            </w:r>
          </w:p>
        </w:tc>
      </w:tr>
    </w:tbl>
    <w:p w14:paraId="2323FB1D" w14:textId="77777777" w:rsidR="008831F9" w:rsidRPr="008831F9" w:rsidRDefault="008831F9" w:rsidP="008831F9">
      <w:pPr>
        <w:pStyle w:val="Tekstpodstawowy"/>
        <w:spacing w:line="240" w:lineRule="auto"/>
        <w:jc w:val="both"/>
        <w:rPr>
          <w:rFonts w:asciiTheme="minorHAnsi" w:hAnsiTheme="minorHAnsi" w:cstheme="minorHAnsi"/>
          <w:sz w:val="20"/>
          <w:szCs w:val="20"/>
        </w:rPr>
      </w:pPr>
    </w:p>
    <w:p w14:paraId="36653B76" w14:textId="77777777" w:rsidR="008831F9" w:rsidRPr="008831F9" w:rsidRDefault="008831F9" w:rsidP="008831F9">
      <w:pPr>
        <w:pStyle w:val="Tekstpodstawowy"/>
        <w:spacing w:line="240" w:lineRule="auto"/>
        <w:jc w:val="both"/>
        <w:rPr>
          <w:rFonts w:asciiTheme="minorHAnsi" w:hAnsiTheme="minorHAnsi" w:cstheme="minorHAnsi"/>
          <w:b/>
          <w:sz w:val="20"/>
          <w:szCs w:val="20"/>
        </w:rPr>
      </w:pPr>
      <w:r w:rsidRPr="008831F9">
        <w:rPr>
          <w:rFonts w:asciiTheme="minorHAnsi" w:hAnsiTheme="minorHAnsi" w:cstheme="minorHAnsi"/>
          <w:b/>
          <w:sz w:val="20"/>
          <w:szCs w:val="20"/>
        </w:rPr>
        <w:t>6.4.2 Szerokość</w:t>
      </w:r>
      <w:r w:rsidRPr="008831F9">
        <w:rPr>
          <w:rFonts w:asciiTheme="minorHAnsi" w:hAnsiTheme="minorHAnsi" w:cstheme="minorHAnsi"/>
          <w:b/>
          <w:spacing w:val="1"/>
          <w:sz w:val="20"/>
          <w:szCs w:val="20"/>
        </w:rPr>
        <w:t xml:space="preserve"> </w:t>
      </w:r>
      <w:r w:rsidRPr="008831F9">
        <w:rPr>
          <w:rFonts w:asciiTheme="minorHAnsi" w:hAnsiTheme="minorHAnsi" w:cstheme="minorHAnsi"/>
          <w:b/>
          <w:sz w:val="20"/>
          <w:szCs w:val="20"/>
        </w:rPr>
        <w:t>warstwy</w:t>
      </w:r>
    </w:p>
    <w:p w14:paraId="64A6F2FC" w14:textId="77777777" w:rsidR="008831F9" w:rsidRPr="008831F9" w:rsidRDefault="008831F9" w:rsidP="008831F9">
      <w:pPr>
        <w:pStyle w:val="Tekstpodstawowy"/>
        <w:spacing w:line="240" w:lineRule="auto"/>
        <w:jc w:val="both"/>
        <w:rPr>
          <w:rFonts w:asciiTheme="minorHAnsi" w:hAnsiTheme="minorHAnsi" w:cstheme="minorHAnsi"/>
          <w:sz w:val="20"/>
          <w:szCs w:val="20"/>
        </w:rPr>
      </w:pPr>
      <w:r w:rsidRPr="008831F9">
        <w:rPr>
          <w:rFonts w:asciiTheme="minorHAnsi" w:hAnsiTheme="minorHAnsi" w:cstheme="minorHAnsi"/>
          <w:sz w:val="20"/>
          <w:szCs w:val="20"/>
        </w:rPr>
        <w:t>Szerokość wykonanej warstwy powinna być zgodna z szerokością projektowaną z tolerancją + 5 cm. Wymaga się, aby co najmniej 95% wykonanych pomiarów nie przekraczało dopuszczalnego odchylenia.</w:t>
      </w:r>
    </w:p>
    <w:p w14:paraId="73C49492" w14:textId="77777777" w:rsidR="008831F9" w:rsidRPr="008831F9" w:rsidRDefault="008831F9" w:rsidP="008831F9">
      <w:pPr>
        <w:pStyle w:val="Tekstpodstawowy"/>
        <w:spacing w:line="240" w:lineRule="auto"/>
        <w:jc w:val="both"/>
        <w:rPr>
          <w:rFonts w:asciiTheme="minorHAnsi" w:hAnsiTheme="minorHAnsi" w:cstheme="minorHAnsi"/>
          <w:b/>
          <w:sz w:val="20"/>
          <w:szCs w:val="20"/>
        </w:rPr>
      </w:pPr>
      <w:r w:rsidRPr="008831F9">
        <w:rPr>
          <w:rFonts w:asciiTheme="minorHAnsi" w:hAnsiTheme="minorHAnsi" w:cstheme="minorHAnsi"/>
          <w:b/>
          <w:sz w:val="20"/>
          <w:szCs w:val="20"/>
        </w:rPr>
        <w:t>6.4.3 Równość podłużna i poprzeczna</w:t>
      </w:r>
      <w:r w:rsidRPr="008831F9">
        <w:rPr>
          <w:rFonts w:asciiTheme="minorHAnsi" w:hAnsiTheme="minorHAnsi" w:cstheme="minorHAnsi"/>
          <w:b/>
          <w:spacing w:val="-6"/>
          <w:sz w:val="20"/>
          <w:szCs w:val="20"/>
        </w:rPr>
        <w:t xml:space="preserve"> </w:t>
      </w:r>
      <w:r w:rsidRPr="008831F9">
        <w:rPr>
          <w:rFonts w:asciiTheme="minorHAnsi" w:hAnsiTheme="minorHAnsi" w:cstheme="minorHAnsi"/>
          <w:b/>
          <w:sz w:val="20"/>
          <w:szCs w:val="20"/>
        </w:rPr>
        <w:t>warstwy</w:t>
      </w:r>
    </w:p>
    <w:p w14:paraId="57849BE0" w14:textId="77777777" w:rsidR="008831F9" w:rsidRPr="008831F9" w:rsidRDefault="008831F9" w:rsidP="008831F9">
      <w:pPr>
        <w:pStyle w:val="Tekstpodstawowy"/>
        <w:spacing w:line="240" w:lineRule="auto"/>
        <w:jc w:val="both"/>
        <w:rPr>
          <w:rFonts w:asciiTheme="minorHAnsi" w:hAnsiTheme="minorHAnsi" w:cstheme="minorHAnsi"/>
          <w:b/>
          <w:i/>
          <w:sz w:val="20"/>
          <w:szCs w:val="20"/>
        </w:rPr>
      </w:pPr>
      <w:r w:rsidRPr="008831F9">
        <w:rPr>
          <w:rFonts w:asciiTheme="minorHAnsi" w:hAnsiTheme="minorHAnsi" w:cstheme="minorHAnsi"/>
          <w:b/>
          <w:i/>
          <w:sz w:val="20"/>
          <w:szCs w:val="20"/>
        </w:rPr>
        <w:t>6.4.3.1 Ocena równości</w:t>
      </w:r>
      <w:r w:rsidRPr="008831F9">
        <w:rPr>
          <w:rFonts w:asciiTheme="minorHAnsi" w:hAnsiTheme="minorHAnsi" w:cstheme="minorHAnsi"/>
          <w:b/>
          <w:i/>
          <w:spacing w:val="3"/>
          <w:sz w:val="20"/>
          <w:szCs w:val="20"/>
        </w:rPr>
        <w:t xml:space="preserve"> </w:t>
      </w:r>
      <w:r w:rsidRPr="008831F9">
        <w:rPr>
          <w:rFonts w:asciiTheme="minorHAnsi" w:hAnsiTheme="minorHAnsi" w:cstheme="minorHAnsi"/>
          <w:b/>
          <w:i/>
          <w:sz w:val="20"/>
          <w:szCs w:val="20"/>
        </w:rPr>
        <w:t>podłużnej</w:t>
      </w:r>
    </w:p>
    <w:p w14:paraId="155CBD84" w14:textId="77777777" w:rsidR="008831F9" w:rsidRPr="008831F9" w:rsidRDefault="008831F9" w:rsidP="008831F9">
      <w:pPr>
        <w:pStyle w:val="Tekstpodstawowy"/>
        <w:spacing w:line="240" w:lineRule="auto"/>
        <w:jc w:val="both"/>
        <w:rPr>
          <w:rFonts w:asciiTheme="minorHAnsi" w:hAnsiTheme="minorHAnsi" w:cstheme="minorHAnsi"/>
          <w:sz w:val="20"/>
          <w:szCs w:val="20"/>
        </w:rPr>
      </w:pPr>
      <w:r w:rsidRPr="008831F9">
        <w:rPr>
          <w:rFonts w:asciiTheme="minorHAnsi" w:hAnsiTheme="minorHAnsi" w:cstheme="minorHAnsi"/>
          <w:sz w:val="20"/>
          <w:szCs w:val="20"/>
        </w:rPr>
        <w:t>W pomiarach równości nawierzchni należy stosować metody:</w:t>
      </w:r>
    </w:p>
    <w:p w14:paraId="21DF1BF7" w14:textId="77777777" w:rsidR="008831F9" w:rsidRPr="008831F9" w:rsidRDefault="008831F9" w:rsidP="00262498">
      <w:pPr>
        <w:pStyle w:val="Tekstpodstawowy"/>
        <w:widowControl w:val="0"/>
        <w:numPr>
          <w:ilvl w:val="0"/>
          <w:numId w:val="249"/>
        </w:numPr>
        <w:overflowPunct/>
        <w:adjustRightInd/>
        <w:spacing w:line="240" w:lineRule="auto"/>
        <w:jc w:val="both"/>
        <w:textAlignment w:val="auto"/>
        <w:rPr>
          <w:rFonts w:asciiTheme="minorHAnsi" w:hAnsiTheme="minorHAnsi" w:cstheme="minorHAnsi"/>
          <w:sz w:val="20"/>
          <w:szCs w:val="20"/>
        </w:rPr>
      </w:pPr>
      <w:r w:rsidRPr="008831F9">
        <w:rPr>
          <w:rFonts w:asciiTheme="minorHAnsi" w:hAnsiTheme="minorHAnsi" w:cstheme="minorHAnsi"/>
          <w:sz w:val="20"/>
          <w:szCs w:val="20"/>
        </w:rPr>
        <w:t>profilometryczną bazującą na wskaźnikach równości</w:t>
      </w:r>
      <w:r w:rsidRPr="008831F9">
        <w:rPr>
          <w:rFonts w:asciiTheme="minorHAnsi" w:hAnsiTheme="minorHAnsi" w:cstheme="minorHAnsi"/>
          <w:spacing w:val="-2"/>
          <w:sz w:val="20"/>
          <w:szCs w:val="20"/>
        </w:rPr>
        <w:t xml:space="preserve"> </w:t>
      </w:r>
      <w:r w:rsidRPr="008831F9">
        <w:rPr>
          <w:rFonts w:asciiTheme="minorHAnsi" w:hAnsiTheme="minorHAnsi" w:cstheme="minorHAnsi"/>
          <w:i/>
          <w:sz w:val="20"/>
          <w:szCs w:val="20"/>
        </w:rPr>
        <w:t>IRI</w:t>
      </w:r>
      <w:r w:rsidRPr="008831F9">
        <w:rPr>
          <w:rFonts w:asciiTheme="minorHAnsi" w:hAnsiTheme="minorHAnsi" w:cstheme="minorHAnsi"/>
          <w:sz w:val="20"/>
          <w:szCs w:val="20"/>
        </w:rPr>
        <w:t>;</w:t>
      </w:r>
    </w:p>
    <w:p w14:paraId="07409040" w14:textId="77777777" w:rsidR="008831F9" w:rsidRPr="008831F9" w:rsidRDefault="008831F9" w:rsidP="00262498">
      <w:pPr>
        <w:pStyle w:val="Tekstpodstawowy"/>
        <w:widowControl w:val="0"/>
        <w:numPr>
          <w:ilvl w:val="0"/>
          <w:numId w:val="249"/>
        </w:numPr>
        <w:overflowPunct/>
        <w:adjustRightInd/>
        <w:spacing w:line="240" w:lineRule="auto"/>
        <w:jc w:val="both"/>
        <w:textAlignment w:val="auto"/>
        <w:rPr>
          <w:rFonts w:asciiTheme="minorHAnsi" w:hAnsiTheme="minorHAnsi" w:cstheme="minorHAnsi"/>
          <w:sz w:val="20"/>
          <w:szCs w:val="20"/>
        </w:rPr>
      </w:pPr>
      <w:r w:rsidRPr="008831F9">
        <w:rPr>
          <w:rFonts w:asciiTheme="minorHAnsi" w:hAnsiTheme="minorHAnsi" w:cstheme="minorHAnsi"/>
          <w:sz w:val="20"/>
          <w:szCs w:val="20"/>
        </w:rPr>
        <w:t>pomiaru ciągłego równoważną użyciu łaty i klina z wykorzystaniem</w:t>
      </w:r>
      <w:r w:rsidRPr="008831F9">
        <w:rPr>
          <w:rFonts w:asciiTheme="minorHAnsi" w:hAnsiTheme="minorHAnsi" w:cstheme="minorHAnsi"/>
          <w:spacing w:val="-16"/>
          <w:sz w:val="20"/>
          <w:szCs w:val="20"/>
        </w:rPr>
        <w:t xml:space="preserve"> </w:t>
      </w:r>
      <w:r w:rsidRPr="008831F9">
        <w:rPr>
          <w:rFonts w:asciiTheme="minorHAnsi" w:hAnsiTheme="minorHAnsi" w:cstheme="minorHAnsi"/>
          <w:sz w:val="20"/>
          <w:szCs w:val="20"/>
        </w:rPr>
        <w:t>planografu</w:t>
      </w:r>
    </w:p>
    <w:p w14:paraId="52EA9F98" w14:textId="77777777" w:rsidR="008831F9" w:rsidRPr="008831F9" w:rsidRDefault="008831F9" w:rsidP="008831F9">
      <w:pPr>
        <w:pStyle w:val="Tekstpodstawowy"/>
        <w:spacing w:line="240" w:lineRule="auto"/>
        <w:jc w:val="both"/>
        <w:rPr>
          <w:rFonts w:asciiTheme="minorHAnsi" w:hAnsiTheme="minorHAnsi" w:cstheme="minorHAnsi"/>
          <w:sz w:val="20"/>
          <w:szCs w:val="20"/>
        </w:rPr>
      </w:pPr>
      <w:r w:rsidRPr="008831F9">
        <w:rPr>
          <w:rFonts w:asciiTheme="minorHAnsi" w:hAnsiTheme="minorHAnsi" w:cstheme="minorHAnsi"/>
          <w:sz w:val="20"/>
          <w:szCs w:val="20"/>
        </w:rPr>
        <w:t xml:space="preserve">Do oceny równości podłużnej warstwy ścieralnej nawierzchni dróg klasy A, S, GP oraz G należy stosować metodę profilometryczną bazującą na wskaźnikach równości </w:t>
      </w:r>
      <w:r w:rsidRPr="008831F9">
        <w:rPr>
          <w:rFonts w:asciiTheme="minorHAnsi" w:hAnsiTheme="minorHAnsi" w:cstheme="minorHAnsi"/>
          <w:i/>
          <w:sz w:val="20"/>
          <w:szCs w:val="20"/>
        </w:rPr>
        <w:t xml:space="preserve">IRI </w:t>
      </w:r>
      <w:r w:rsidRPr="008831F9">
        <w:rPr>
          <w:rFonts w:asciiTheme="minorHAnsi" w:hAnsiTheme="minorHAnsi" w:cstheme="minorHAnsi"/>
          <w:sz w:val="20"/>
          <w:szCs w:val="20"/>
        </w:rPr>
        <w:t xml:space="preserve">[mm/m]. Kierunek pomiaru powinien być zgodny z projektowanym kierunkiem jazdy. Profil nierówności warstwy nawierzchni należy rejestrować z krokiem co 10 cm. Wartość </w:t>
      </w:r>
      <w:r w:rsidRPr="008831F9">
        <w:rPr>
          <w:rFonts w:asciiTheme="minorHAnsi" w:hAnsiTheme="minorHAnsi" w:cstheme="minorHAnsi"/>
          <w:i/>
          <w:sz w:val="20"/>
          <w:szCs w:val="20"/>
        </w:rPr>
        <w:t xml:space="preserve">IRI </w:t>
      </w:r>
      <w:r w:rsidRPr="008831F9">
        <w:rPr>
          <w:rFonts w:asciiTheme="minorHAnsi" w:hAnsiTheme="minorHAnsi" w:cstheme="minorHAnsi"/>
          <w:sz w:val="20"/>
          <w:szCs w:val="20"/>
        </w:rPr>
        <w:t xml:space="preserve">należy wyznaczać z krokiem  co 50 m. Długość ocenianego odcinka nawierzchni nie powinna być większa niż 1 000 m. Odcinek końcowy o długości mniejszej niż 500 m należy oceniać łącznie z odcinkiem poprzedzającym. Do oceny równości odcinka nawierzchni ustala się minimalną liczbę wskaźników </w:t>
      </w:r>
      <w:r w:rsidRPr="008831F9">
        <w:rPr>
          <w:rFonts w:asciiTheme="minorHAnsi" w:hAnsiTheme="minorHAnsi" w:cstheme="minorHAnsi"/>
          <w:i/>
          <w:sz w:val="20"/>
          <w:szCs w:val="20"/>
        </w:rPr>
        <w:t xml:space="preserve">IRI </w:t>
      </w:r>
      <w:r w:rsidRPr="008831F9">
        <w:rPr>
          <w:rFonts w:asciiTheme="minorHAnsi" w:hAnsiTheme="minorHAnsi" w:cstheme="minorHAnsi"/>
          <w:sz w:val="20"/>
          <w:szCs w:val="20"/>
        </w:rPr>
        <w:t xml:space="preserve">równą 5. W przypadku odbioru robót na krótkich odcinkach nawierzchni, których całkowita długość jest mniejsza niż 250 m dopuszcza się wyznaczanie wskaźników </w:t>
      </w:r>
      <w:r w:rsidRPr="008831F9">
        <w:rPr>
          <w:rFonts w:asciiTheme="minorHAnsi" w:hAnsiTheme="minorHAnsi" w:cstheme="minorHAnsi"/>
          <w:i/>
          <w:sz w:val="20"/>
          <w:szCs w:val="20"/>
        </w:rPr>
        <w:t xml:space="preserve">IRI   </w:t>
      </w:r>
      <w:r w:rsidRPr="008831F9">
        <w:rPr>
          <w:rFonts w:asciiTheme="minorHAnsi" w:hAnsiTheme="minorHAnsi" w:cstheme="minorHAnsi"/>
          <w:sz w:val="20"/>
          <w:szCs w:val="20"/>
        </w:rPr>
        <w:t xml:space="preserve">z krokiem mniejszym niż 50 m, przy czym należy ustalać maksymalną możliwą długość kroku pomiarowego, z uwzględnieniem minimalnej wymaganej liczby wskaźników </w:t>
      </w:r>
      <w:r w:rsidRPr="008831F9">
        <w:rPr>
          <w:rFonts w:asciiTheme="minorHAnsi" w:hAnsiTheme="minorHAnsi" w:cstheme="minorHAnsi"/>
          <w:i/>
          <w:sz w:val="20"/>
          <w:szCs w:val="20"/>
        </w:rPr>
        <w:t xml:space="preserve">IRI </w:t>
      </w:r>
      <w:r w:rsidRPr="008831F9">
        <w:rPr>
          <w:rFonts w:asciiTheme="minorHAnsi" w:hAnsiTheme="minorHAnsi" w:cstheme="minorHAnsi"/>
          <w:sz w:val="20"/>
          <w:szCs w:val="20"/>
        </w:rPr>
        <w:t>równej</w:t>
      </w:r>
      <w:r w:rsidRPr="008831F9">
        <w:rPr>
          <w:rFonts w:asciiTheme="minorHAnsi" w:hAnsiTheme="minorHAnsi" w:cstheme="minorHAnsi"/>
          <w:spacing w:val="-20"/>
          <w:sz w:val="20"/>
          <w:szCs w:val="20"/>
        </w:rPr>
        <w:t xml:space="preserve"> </w:t>
      </w:r>
      <w:r w:rsidRPr="008831F9">
        <w:rPr>
          <w:rFonts w:asciiTheme="minorHAnsi" w:hAnsiTheme="minorHAnsi" w:cstheme="minorHAnsi"/>
          <w:sz w:val="20"/>
          <w:szCs w:val="20"/>
        </w:rPr>
        <w:t>5.</w:t>
      </w:r>
    </w:p>
    <w:p w14:paraId="0DF97AD7" w14:textId="77777777" w:rsidR="008831F9" w:rsidRPr="008831F9" w:rsidRDefault="008831F9" w:rsidP="008831F9">
      <w:pPr>
        <w:pStyle w:val="Tekstpodstawowy"/>
        <w:spacing w:line="240" w:lineRule="auto"/>
        <w:jc w:val="both"/>
        <w:rPr>
          <w:rFonts w:asciiTheme="minorHAnsi" w:hAnsiTheme="minorHAnsi" w:cstheme="minorHAnsi"/>
          <w:sz w:val="20"/>
          <w:szCs w:val="20"/>
        </w:rPr>
      </w:pPr>
      <w:r w:rsidRPr="008831F9">
        <w:rPr>
          <w:rFonts w:asciiTheme="minorHAnsi" w:hAnsiTheme="minorHAnsi" w:cstheme="minorHAnsi"/>
          <w:sz w:val="20"/>
          <w:szCs w:val="20"/>
        </w:rPr>
        <w:t xml:space="preserve">Wymagana równość podłużna jest określona przez dopuszczalną wartość średnią wyników pomiaru </w:t>
      </w:r>
      <w:r w:rsidRPr="008831F9">
        <w:rPr>
          <w:rFonts w:asciiTheme="minorHAnsi" w:hAnsiTheme="minorHAnsi" w:cstheme="minorHAnsi"/>
          <w:i/>
          <w:sz w:val="20"/>
          <w:szCs w:val="20"/>
        </w:rPr>
        <w:t>IRI</w:t>
      </w:r>
      <w:r w:rsidRPr="008831F9">
        <w:rPr>
          <w:rFonts w:asciiTheme="minorHAnsi" w:hAnsiTheme="minorHAnsi" w:cstheme="minorHAnsi"/>
          <w:i/>
          <w:sz w:val="20"/>
          <w:szCs w:val="20"/>
          <w:vertAlign w:val="subscript"/>
        </w:rPr>
        <w:t>śr</w:t>
      </w:r>
      <w:r w:rsidRPr="008831F9">
        <w:rPr>
          <w:rFonts w:asciiTheme="minorHAnsi" w:hAnsiTheme="minorHAnsi" w:cstheme="minorHAnsi"/>
          <w:i/>
          <w:sz w:val="20"/>
          <w:szCs w:val="20"/>
        </w:rPr>
        <w:t xml:space="preserve"> </w:t>
      </w:r>
      <w:r w:rsidRPr="008831F9">
        <w:rPr>
          <w:rFonts w:asciiTheme="minorHAnsi" w:hAnsiTheme="minorHAnsi" w:cstheme="minorHAnsi"/>
          <w:sz w:val="20"/>
          <w:szCs w:val="20"/>
        </w:rPr>
        <w:t xml:space="preserve">oraz dopuszczalną wartość maksymalną pojedynczego pomiaru </w:t>
      </w:r>
      <w:r w:rsidRPr="008831F9">
        <w:rPr>
          <w:rFonts w:asciiTheme="minorHAnsi" w:hAnsiTheme="minorHAnsi" w:cstheme="minorHAnsi"/>
          <w:i/>
          <w:sz w:val="20"/>
          <w:szCs w:val="20"/>
        </w:rPr>
        <w:t>IRI</w:t>
      </w:r>
      <w:r w:rsidRPr="008831F9">
        <w:rPr>
          <w:rFonts w:asciiTheme="minorHAnsi" w:hAnsiTheme="minorHAnsi" w:cstheme="minorHAnsi"/>
          <w:i/>
          <w:sz w:val="20"/>
          <w:szCs w:val="20"/>
          <w:vertAlign w:val="subscript"/>
        </w:rPr>
        <w:t>max</w:t>
      </w:r>
      <w:r w:rsidRPr="008831F9">
        <w:rPr>
          <w:rFonts w:asciiTheme="minorHAnsi" w:hAnsiTheme="minorHAnsi" w:cstheme="minorHAnsi"/>
          <w:sz w:val="20"/>
          <w:szCs w:val="20"/>
        </w:rPr>
        <w:t>, których nie można przekroczyć na długości ocenianego odcinka nawierzchni. Wartości dopuszczalne przy odbiorze warstwy ścieralnej metodą profilometryczną określa tablica 5:</w:t>
      </w:r>
    </w:p>
    <w:p w14:paraId="36EA3DCF" w14:textId="77777777" w:rsidR="008831F9" w:rsidRPr="008831F9" w:rsidRDefault="008831F9" w:rsidP="008831F9">
      <w:pPr>
        <w:pStyle w:val="Tekstpodstawowy"/>
        <w:spacing w:line="240" w:lineRule="auto"/>
        <w:jc w:val="both"/>
        <w:rPr>
          <w:rFonts w:asciiTheme="minorHAnsi" w:hAnsiTheme="minorHAnsi" w:cstheme="minorHAnsi"/>
          <w:sz w:val="20"/>
          <w:szCs w:val="20"/>
        </w:rPr>
      </w:pPr>
    </w:p>
    <w:p w14:paraId="5351EE69" w14:textId="77777777" w:rsidR="008831F9" w:rsidRPr="008831F9" w:rsidRDefault="008831F9" w:rsidP="008831F9">
      <w:pPr>
        <w:pStyle w:val="Tekstpodstawowy"/>
        <w:spacing w:line="240" w:lineRule="auto"/>
        <w:jc w:val="both"/>
        <w:rPr>
          <w:rFonts w:asciiTheme="minorHAnsi" w:hAnsiTheme="minorHAnsi" w:cstheme="minorHAnsi"/>
          <w:sz w:val="20"/>
          <w:szCs w:val="20"/>
        </w:rPr>
      </w:pPr>
      <w:r w:rsidRPr="008831F9">
        <w:rPr>
          <w:rFonts w:asciiTheme="minorHAnsi" w:hAnsiTheme="minorHAnsi" w:cstheme="minorHAnsi"/>
          <w:sz w:val="20"/>
          <w:szCs w:val="20"/>
        </w:rPr>
        <w:t>Tablica 5 Dopuszczalne wartości przy odbiorze warstwy ścieralnej metodą profilometryczną</w:t>
      </w:r>
    </w:p>
    <w:tbl>
      <w:tblPr>
        <w:tblStyle w:val="TableNormal"/>
        <w:tblW w:w="8931"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34"/>
        <w:gridCol w:w="3969"/>
        <w:gridCol w:w="1985"/>
        <w:gridCol w:w="1843"/>
      </w:tblGrid>
      <w:tr w:rsidR="008831F9" w:rsidRPr="008831F9" w14:paraId="5834E886" w14:textId="77777777" w:rsidTr="008831F9">
        <w:trPr>
          <w:trHeight w:val="971"/>
        </w:trPr>
        <w:tc>
          <w:tcPr>
            <w:tcW w:w="1134" w:type="dxa"/>
            <w:vMerge w:val="restart"/>
            <w:tcBorders>
              <w:top w:val="single" w:sz="4" w:space="0" w:color="000000"/>
              <w:left w:val="single" w:sz="4" w:space="0" w:color="000000"/>
              <w:bottom w:val="single" w:sz="4" w:space="0" w:color="000000"/>
              <w:right w:val="single" w:sz="4" w:space="0" w:color="000000"/>
            </w:tcBorders>
          </w:tcPr>
          <w:p w14:paraId="0934258A" w14:textId="77777777" w:rsidR="008831F9" w:rsidRPr="008831F9" w:rsidRDefault="008831F9" w:rsidP="008831F9">
            <w:pPr>
              <w:pStyle w:val="Tekstpodstawowy"/>
              <w:spacing w:line="240" w:lineRule="auto"/>
              <w:jc w:val="center"/>
              <w:rPr>
                <w:rFonts w:asciiTheme="minorHAnsi" w:hAnsiTheme="minorHAnsi" w:cstheme="minorHAnsi"/>
                <w:sz w:val="20"/>
                <w:szCs w:val="20"/>
                <w:lang w:val="pl-PL"/>
              </w:rPr>
            </w:pPr>
          </w:p>
          <w:p w14:paraId="3090C81F" w14:textId="77777777" w:rsidR="008831F9" w:rsidRPr="008831F9" w:rsidRDefault="008831F9" w:rsidP="008831F9">
            <w:pPr>
              <w:pStyle w:val="Tekstpodstawowy"/>
              <w:spacing w:line="240" w:lineRule="auto"/>
              <w:jc w:val="center"/>
              <w:rPr>
                <w:rFonts w:asciiTheme="minorHAnsi" w:hAnsiTheme="minorHAnsi" w:cstheme="minorHAnsi"/>
                <w:sz w:val="20"/>
                <w:szCs w:val="20"/>
              </w:rPr>
            </w:pPr>
            <w:r w:rsidRPr="008831F9">
              <w:rPr>
                <w:rFonts w:asciiTheme="minorHAnsi" w:hAnsiTheme="minorHAnsi" w:cstheme="minorHAnsi"/>
                <w:sz w:val="20"/>
                <w:szCs w:val="20"/>
              </w:rPr>
              <w:t>Klasa drogi</w:t>
            </w:r>
          </w:p>
        </w:tc>
        <w:tc>
          <w:tcPr>
            <w:tcW w:w="3969" w:type="dxa"/>
            <w:vMerge w:val="restart"/>
            <w:tcBorders>
              <w:top w:val="single" w:sz="4" w:space="0" w:color="000000"/>
              <w:left w:val="single" w:sz="4" w:space="0" w:color="000000"/>
              <w:bottom w:val="single" w:sz="4" w:space="0" w:color="000000"/>
              <w:right w:val="single" w:sz="4" w:space="0" w:color="000000"/>
            </w:tcBorders>
          </w:tcPr>
          <w:p w14:paraId="3D5A0E73" w14:textId="77777777" w:rsidR="008831F9" w:rsidRPr="008831F9" w:rsidRDefault="008831F9" w:rsidP="008831F9">
            <w:pPr>
              <w:pStyle w:val="Tekstpodstawowy"/>
              <w:spacing w:line="240" w:lineRule="auto"/>
              <w:jc w:val="center"/>
              <w:rPr>
                <w:rFonts w:asciiTheme="minorHAnsi" w:hAnsiTheme="minorHAnsi" w:cstheme="minorHAnsi"/>
                <w:sz w:val="20"/>
                <w:szCs w:val="20"/>
              </w:rPr>
            </w:pPr>
          </w:p>
          <w:p w14:paraId="42E92CAA" w14:textId="77777777" w:rsidR="008831F9" w:rsidRPr="008831F9" w:rsidRDefault="008831F9" w:rsidP="008831F9">
            <w:pPr>
              <w:pStyle w:val="Tekstpodstawowy"/>
              <w:spacing w:line="240" w:lineRule="auto"/>
              <w:jc w:val="center"/>
              <w:rPr>
                <w:rFonts w:asciiTheme="minorHAnsi" w:hAnsiTheme="minorHAnsi" w:cstheme="minorHAnsi"/>
                <w:sz w:val="20"/>
                <w:szCs w:val="20"/>
              </w:rPr>
            </w:pPr>
            <w:r w:rsidRPr="008831F9">
              <w:rPr>
                <w:rFonts w:asciiTheme="minorHAnsi" w:hAnsiTheme="minorHAnsi" w:cstheme="minorHAnsi"/>
                <w:sz w:val="20"/>
                <w:szCs w:val="20"/>
              </w:rPr>
              <w:t>Element nawierzchni</w:t>
            </w:r>
          </w:p>
        </w:tc>
        <w:tc>
          <w:tcPr>
            <w:tcW w:w="3828" w:type="dxa"/>
            <w:gridSpan w:val="2"/>
            <w:tcBorders>
              <w:top w:val="single" w:sz="4" w:space="0" w:color="000000"/>
              <w:left w:val="single" w:sz="4" w:space="0" w:color="000000"/>
              <w:bottom w:val="single" w:sz="4" w:space="0" w:color="000000"/>
              <w:right w:val="single" w:sz="4" w:space="0" w:color="000000"/>
            </w:tcBorders>
            <w:hideMark/>
          </w:tcPr>
          <w:p w14:paraId="06635C43" w14:textId="77777777" w:rsidR="008831F9" w:rsidRPr="008831F9" w:rsidRDefault="008831F9" w:rsidP="008831F9">
            <w:pPr>
              <w:pStyle w:val="Tekstpodstawowy"/>
              <w:spacing w:line="240" w:lineRule="auto"/>
              <w:jc w:val="center"/>
              <w:rPr>
                <w:rFonts w:asciiTheme="minorHAnsi" w:hAnsiTheme="minorHAnsi" w:cstheme="minorHAnsi"/>
                <w:sz w:val="20"/>
                <w:szCs w:val="20"/>
                <w:lang w:val="pl-PL"/>
              </w:rPr>
            </w:pPr>
            <w:r w:rsidRPr="008831F9">
              <w:rPr>
                <w:rFonts w:asciiTheme="minorHAnsi" w:hAnsiTheme="minorHAnsi" w:cstheme="minorHAnsi"/>
                <w:sz w:val="20"/>
                <w:szCs w:val="20"/>
                <w:lang w:val="pl-PL"/>
              </w:rPr>
              <w:t>Dopuszczalne odbiorcze wartości wskaźników dla zadanego zakresu długości</w:t>
            </w:r>
          </w:p>
          <w:p w14:paraId="2CD73C66" w14:textId="77777777" w:rsidR="008831F9" w:rsidRPr="008831F9" w:rsidRDefault="008831F9" w:rsidP="008831F9">
            <w:pPr>
              <w:pStyle w:val="Tekstpodstawowy"/>
              <w:spacing w:line="240" w:lineRule="auto"/>
              <w:jc w:val="center"/>
              <w:rPr>
                <w:rFonts w:asciiTheme="minorHAnsi" w:hAnsiTheme="minorHAnsi" w:cstheme="minorHAnsi"/>
                <w:sz w:val="20"/>
                <w:szCs w:val="20"/>
              </w:rPr>
            </w:pPr>
            <w:r w:rsidRPr="008831F9">
              <w:rPr>
                <w:rFonts w:asciiTheme="minorHAnsi" w:hAnsiTheme="minorHAnsi" w:cstheme="minorHAnsi"/>
                <w:sz w:val="20"/>
                <w:szCs w:val="20"/>
              </w:rPr>
              <w:t>odcinka drogi [mm/m]</w:t>
            </w:r>
          </w:p>
        </w:tc>
      </w:tr>
      <w:tr w:rsidR="008831F9" w:rsidRPr="008831F9" w14:paraId="6236E03F" w14:textId="77777777" w:rsidTr="008831F9">
        <w:trPr>
          <w:trHeight w:val="258"/>
        </w:trPr>
        <w:tc>
          <w:tcPr>
            <w:tcW w:w="1134" w:type="dxa"/>
            <w:vMerge/>
            <w:tcBorders>
              <w:top w:val="single" w:sz="4" w:space="0" w:color="000000"/>
              <w:left w:val="single" w:sz="4" w:space="0" w:color="000000"/>
              <w:bottom w:val="single" w:sz="4" w:space="0" w:color="000000"/>
              <w:right w:val="single" w:sz="4" w:space="0" w:color="000000"/>
            </w:tcBorders>
            <w:vAlign w:val="center"/>
            <w:hideMark/>
          </w:tcPr>
          <w:p w14:paraId="00C943DC" w14:textId="77777777" w:rsidR="008831F9" w:rsidRPr="008831F9" w:rsidRDefault="008831F9" w:rsidP="008831F9">
            <w:pPr>
              <w:pStyle w:val="Tekstpodstawowy"/>
              <w:spacing w:line="240" w:lineRule="auto"/>
              <w:jc w:val="center"/>
              <w:rPr>
                <w:rFonts w:asciiTheme="minorHAnsi" w:hAnsiTheme="minorHAnsi" w:cstheme="minorHAnsi"/>
                <w:sz w:val="20"/>
                <w:szCs w:val="20"/>
              </w:rPr>
            </w:pPr>
          </w:p>
        </w:tc>
        <w:tc>
          <w:tcPr>
            <w:tcW w:w="3969" w:type="dxa"/>
            <w:vMerge/>
            <w:tcBorders>
              <w:top w:val="single" w:sz="4" w:space="0" w:color="000000"/>
              <w:left w:val="single" w:sz="4" w:space="0" w:color="000000"/>
              <w:bottom w:val="single" w:sz="4" w:space="0" w:color="000000"/>
              <w:right w:val="single" w:sz="4" w:space="0" w:color="000000"/>
            </w:tcBorders>
            <w:vAlign w:val="center"/>
            <w:hideMark/>
          </w:tcPr>
          <w:p w14:paraId="443D06F8" w14:textId="77777777" w:rsidR="008831F9" w:rsidRPr="008831F9" w:rsidRDefault="008831F9" w:rsidP="008831F9">
            <w:pPr>
              <w:pStyle w:val="Tekstpodstawowy"/>
              <w:spacing w:line="240" w:lineRule="auto"/>
              <w:jc w:val="center"/>
              <w:rPr>
                <w:rFonts w:asciiTheme="minorHAnsi" w:hAnsiTheme="minorHAnsi" w:cstheme="minorHAnsi"/>
                <w:sz w:val="20"/>
                <w:szCs w:val="20"/>
              </w:rPr>
            </w:pPr>
          </w:p>
        </w:tc>
        <w:tc>
          <w:tcPr>
            <w:tcW w:w="1985" w:type="dxa"/>
            <w:tcBorders>
              <w:top w:val="single" w:sz="4" w:space="0" w:color="000000"/>
              <w:left w:val="single" w:sz="4" w:space="0" w:color="000000"/>
              <w:bottom w:val="single" w:sz="4" w:space="0" w:color="000000"/>
              <w:right w:val="single" w:sz="4" w:space="0" w:color="000000"/>
            </w:tcBorders>
            <w:hideMark/>
          </w:tcPr>
          <w:p w14:paraId="74412CD6" w14:textId="77777777" w:rsidR="008831F9" w:rsidRPr="008831F9" w:rsidRDefault="008831F9" w:rsidP="008831F9">
            <w:pPr>
              <w:pStyle w:val="Tekstpodstawowy"/>
              <w:spacing w:line="240" w:lineRule="auto"/>
              <w:jc w:val="center"/>
              <w:rPr>
                <w:rFonts w:asciiTheme="minorHAnsi" w:hAnsiTheme="minorHAnsi" w:cstheme="minorHAnsi"/>
                <w:sz w:val="20"/>
                <w:szCs w:val="20"/>
              </w:rPr>
            </w:pPr>
            <w:r w:rsidRPr="008831F9">
              <w:rPr>
                <w:rFonts w:asciiTheme="minorHAnsi" w:hAnsiTheme="minorHAnsi" w:cstheme="minorHAnsi"/>
                <w:i/>
                <w:sz w:val="20"/>
                <w:szCs w:val="20"/>
              </w:rPr>
              <w:t>IRI</w:t>
            </w:r>
            <w:r w:rsidRPr="008831F9">
              <w:rPr>
                <w:rFonts w:asciiTheme="minorHAnsi" w:hAnsiTheme="minorHAnsi" w:cstheme="minorHAnsi"/>
                <w:i/>
                <w:sz w:val="20"/>
                <w:szCs w:val="20"/>
                <w:vertAlign w:val="subscript"/>
              </w:rPr>
              <w:t>śr</w:t>
            </w:r>
            <w:r w:rsidRPr="008831F9">
              <w:rPr>
                <w:rFonts w:asciiTheme="minorHAnsi" w:hAnsiTheme="minorHAnsi" w:cstheme="minorHAnsi"/>
                <w:sz w:val="20"/>
                <w:szCs w:val="20"/>
              </w:rPr>
              <w:t>*</w:t>
            </w:r>
          </w:p>
        </w:tc>
        <w:tc>
          <w:tcPr>
            <w:tcW w:w="1843" w:type="dxa"/>
            <w:tcBorders>
              <w:top w:val="single" w:sz="4" w:space="0" w:color="000000"/>
              <w:left w:val="single" w:sz="4" w:space="0" w:color="000000"/>
              <w:bottom w:val="single" w:sz="4" w:space="0" w:color="000000"/>
              <w:right w:val="single" w:sz="4" w:space="0" w:color="000000"/>
            </w:tcBorders>
            <w:hideMark/>
          </w:tcPr>
          <w:p w14:paraId="036203C2" w14:textId="77777777" w:rsidR="008831F9" w:rsidRPr="008831F9" w:rsidRDefault="008831F9" w:rsidP="008831F9">
            <w:pPr>
              <w:pStyle w:val="Tekstpodstawowy"/>
              <w:spacing w:line="240" w:lineRule="auto"/>
              <w:jc w:val="center"/>
              <w:rPr>
                <w:rFonts w:asciiTheme="minorHAnsi" w:hAnsiTheme="minorHAnsi" w:cstheme="minorHAnsi"/>
                <w:i/>
                <w:sz w:val="20"/>
                <w:szCs w:val="20"/>
              </w:rPr>
            </w:pPr>
            <w:r w:rsidRPr="008831F9">
              <w:rPr>
                <w:rFonts w:asciiTheme="minorHAnsi" w:hAnsiTheme="minorHAnsi" w:cstheme="minorHAnsi"/>
                <w:i/>
                <w:sz w:val="20"/>
                <w:szCs w:val="20"/>
              </w:rPr>
              <w:t>IRI</w:t>
            </w:r>
            <w:r w:rsidRPr="008831F9">
              <w:rPr>
                <w:rFonts w:asciiTheme="minorHAnsi" w:hAnsiTheme="minorHAnsi" w:cstheme="minorHAnsi"/>
                <w:i/>
                <w:sz w:val="20"/>
                <w:szCs w:val="20"/>
                <w:vertAlign w:val="subscript"/>
              </w:rPr>
              <w:t>max</w:t>
            </w:r>
          </w:p>
        </w:tc>
      </w:tr>
      <w:tr w:rsidR="008831F9" w:rsidRPr="008831F9" w14:paraId="161B9CAC" w14:textId="77777777" w:rsidTr="008831F9">
        <w:trPr>
          <w:trHeight w:val="242"/>
        </w:trPr>
        <w:tc>
          <w:tcPr>
            <w:tcW w:w="1134" w:type="dxa"/>
            <w:tcBorders>
              <w:top w:val="single" w:sz="4" w:space="0" w:color="000000"/>
              <w:left w:val="single" w:sz="4" w:space="0" w:color="000000"/>
              <w:bottom w:val="single" w:sz="4" w:space="0" w:color="000000"/>
              <w:right w:val="single" w:sz="4" w:space="0" w:color="000000"/>
            </w:tcBorders>
            <w:hideMark/>
          </w:tcPr>
          <w:p w14:paraId="6E45C89F" w14:textId="77777777" w:rsidR="008831F9" w:rsidRPr="008831F9" w:rsidRDefault="008831F9" w:rsidP="008831F9">
            <w:pPr>
              <w:pStyle w:val="Tekstpodstawowy"/>
              <w:spacing w:line="240" w:lineRule="auto"/>
              <w:jc w:val="center"/>
              <w:rPr>
                <w:rFonts w:asciiTheme="minorHAnsi" w:hAnsiTheme="minorHAnsi" w:cstheme="minorHAnsi"/>
                <w:sz w:val="20"/>
                <w:szCs w:val="20"/>
              </w:rPr>
            </w:pPr>
            <w:r w:rsidRPr="008831F9">
              <w:rPr>
                <w:rFonts w:asciiTheme="minorHAnsi" w:hAnsiTheme="minorHAnsi" w:cstheme="minorHAnsi"/>
                <w:sz w:val="20"/>
                <w:szCs w:val="20"/>
              </w:rPr>
              <w:t>1</w:t>
            </w:r>
          </w:p>
        </w:tc>
        <w:tc>
          <w:tcPr>
            <w:tcW w:w="3969" w:type="dxa"/>
            <w:tcBorders>
              <w:top w:val="single" w:sz="4" w:space="0" w:color="000000"/>
              <w:left w:val="single" w:sz="4" w:space="0" w:color="000000"/>
              <w:bottom w:val="single" w:sz="4" w:space="0" w:color="000000"/>
              <w:right w:val="single" w:sz="4" w:space="0" w:color="000000"/>
            </w:tcBorders>
            <w:hideMark/>
          </w:tcPr>
          <w:p w14:paraId="062E5FA5" w14:textId="77777777" w:rsidR="008831F9" w:rsidRPr="008831F9" w:rsidRDefault="008831F9" w:rsidP="008831F9">
            <w:pPr>
              <w:pStyle w:val="Tekstpodstawowy"/>
              <w:spacing w:line="240" w:lineRule="auto"/>
              <w:jc w:val="center"/>
              <w:rPr>
                <w:rFonts w:asciiTheme="minorHAnsi" w:hAnsiTheme="minorHAnsi" w:cstheme="minorHAnsi"/>
                <w:sz w:val="20"/>
                <w:szCs w:val="20"/>
              </w:rPr>
            </w:pPr>
            <w:r w:rsidRPr="008831F9">
              <w:rPr>
                <w:rFonts w:asciiTheme="minorHAnsi" w:hAnsiTheme="minorHAnsi" w:cstheme="minorHAnsi"/>
                <w:sz w:val="20"/>
                <w:szCs w:val="20"/>
              </w:rPr>
              <w:t>2</w:t>
            </w:r>
          </w:p>
        </w:tc>
        <w:tc>
          <w:tcPr>
            <w:tcW w:w="1985" w:type="dxa"/>
            <w:tcBorders>
              <w:top w:val="single" w:sz="4" w:space="0" w:color="000000"/>
              <w:left w:val="single" w:sz="4" w:space="0" w:color="000000"/>
              <w:bottom w:val="single" w:sz="4" w:space="0" w:color="000000"/>
              <w:right w:val="single" w:sz="4" w:space="0" w:color="000000"/>
            </w:tcBorders>
            <w:hideMark/>
          </w:tcPr>
          <w:p w14:paraId="3C17F55D" w14:textId="77777777" w:rsidR="008831F9" w:rsidRPr="008831F9" w:rsidRDefault="008831F9" w:rsidP="008831F9">
            <w:pPr>
              <w:pStyle w:val="Tekstpodstawowy"/>
              <w:spacing w:line="240" w:lineRule="auto"/>
              <w:jc w:val="center"/>
              <w:rPr>
                <w:rFonts w:asciiTheme="minorHAnsi" w:hAnsiTheme="minorHAnsi" w:cstheme="minorHAnsi"/>
                <w:sz w:val="20"/>
                <w:szCs w:val="20"/>
              </w:rPr>
            </w:pPr>
            <w:r w:rsidRPr="008831F9">
              <w:rPr>
                <w:rFonts w:asciiTheme="minorHAnsi" w:hAnsiTheme="minorHAnsi" w:cstheme="minorHAnsi"/>
                <w:sz w:val="20"/>
                <w:szCs w:val="20"/>
              </w:rPr>
              <w:t>3</w:t>
            </w:r>
          </w:p>
        </w:tc>
        <w:tc>
          <w:tcPr>
            <w:tcW w:w="1843" w:type="dxa"/>
            <w:tcBorders>
              <w:top w:val="single" w:sz="4" w:space="0" w:color="000000"/>
              <w:left w:val="single" w:sz="4" w:space="0" w:color="000000"/>
              <w:bottom w:val="single" w:sz="4" w:space="0" w:color="000000"/>
              <w:right w:val="single" w:sz="4" w:space="0" w:color="000000"/>
            </w:tcBorders>
            <w:hideMark/>
          </w:tcPr>
          <w:p w14:paraId="7E2CC201" w14:textId="77777777" w:rsidR="008831F9" w:rsidRPr="008831F9" w:rsidRDefault="008831F9" w:rsidP="008831F9">
            <w:pPr>
              <w:pStyle w:val="Tekstpodstawowy"/>
              <w:spacing w:line="240" w:lineRule="auto"/>
              <w:jc w:val="center"/>
              <w:rPr>
                <w:rFonts w:asciiTheme="minorHAnsi" w:hAnsiTheme="minorHAnsi" w:cstheme="minorHAnsi"/>
                <w:sz w:val="20"/>
                <w:szCs w:val="20"/>
              </w:rPr>
            </w:pPr>
            <w:r w:rsidRPr="008831F9">
              <w:rPr>
                <w:rFonts w:asciiTheme="minorHAnsi" w:hAnsiTheme="minorHAnsi" w:cstheme="minorHAnsi"/>
                <w:sz w:val="20"/>
                <w:szCs w:val="20"/>
              </w:rPr>
              <w:t>4</w:t>
            </w:r>
          </w:p>
        </w:tc>
      </w:tr>
      <w:tr w:rsidR="008831F9" w:rsidRPr="008831F9" w14:paraId="4CA4308D" w14:textId="77777777" w:rsidTr="008831F9">
        <w:trPr>
          <w:trHeight w:val="729"/>
        </w:trPr>
        <w:tc>
          <w:tcPr>
            <w:tcW w:w="1134" w:type="dxa"/>
            <w:vMerge w:val="restart"/>
            <w:tcBorders>
              <w:top w:val="single" w:sz="4" w:space="0" w:color="000000"/>
              <w:left w:val="single" w:sz="4" w:space="0" w:color="000000"/>
              <w:bottom w:val="single" w:sz="4" w:space="0" w:color="000000"/>
              <w:right w:val="single" w:sz="4" w:space="0" w:color="000000"/>
            </w:tcBorders>
          </w:tcPr>
          <w:p w14:paraId="3C563326" w14:textId="77777777" w:rsidR="008831F9" w:rsidRPr="008831F9" w:rsidRDefault="008831F9" w:rsidP="008831F9">
            <w:pPr>
              <w:pStyle w:val="Tekstpodstawowy"/>
              <w:spacing w:line="240" w:lineRule="auto"/>
              <w:jc w:val="both"/>
              <w:rPr>
                <w:rFonts w:asciiTheme="minorHAnsi" w:hAnsiTheme="minorHAnsi" w:cstheme="minorHAnsi"/>
                <w:sz w:val="20"/>
                <w:szCs w:val="20"/>
              </w:rPr>
            </w:pPr>
          </w:p>
          <w:p w14:paraId="51F50947" w14:textId="77777777" w:rsidR="008831F9" w:rsidRPr="008831F9" w:rsidRDefault="008831F9" w:rsidP="008831F9">
            <w:pPr>
              <w:pStyle w:val="Tekstpodstawowy"/>
              <w:spacing w:line="240" w:lineRule="auto"/>
              <w:jc w:val="both"/>
              <w:rPr>
                <w:rFonts w:asciiTheme="minorHAnsi" w:hAnsiTheme="minorHAnsi" w:cstheme="minorHAnsi"/>
                <w:sz w:val="20"/>
                <w:szCs w:val="20"/>
              </w:rPr>
            </w:pPr>
            <w:r w:rsidRPr="008831F9">
              <w:rPr>
                <w:rFonts w:asciiTheme="minorHAnsi" w:hAnsiTheme="minorHAnsi" w:cstheme="minorHAnsi"/>
                <w:sz w:val="20"/>
                <w:szCs w:val="20"/>
              </w:rPr>
              <w:t>GP</w:t>
            </w:r>
          </w:p>
        </w:tc>
        <w:tc>
          <w:tcPr>
            <w:tcW w:w="3969" w:type="dxa"/>
            <w:tcBorders>
              <w:top w:val="single" w:sz="4" w:space="0" w:color="000000"/>
              <w:left w:val="single" w:sz="4" w:space="0" w:color="000000"/>
              <w:bottom w:val="single" w:sz="4" w:space="0" w:color="000000"/>
              <w:right w:val="single" w:sz="4" w:space="0" w:color="000000"/>
            </w:tcBorders>
            <w:hideMark/>
          </w:tcPr>
          <w:p w14:paraId="4071C5C7" w14:textId="77777777" w:rsidR="008831F9" w:rsidRPr="008831F9" w:rsidRDefault="008831F9" w:rsidP="008831F9">
            <w:pPr>
              <w:pStyle w:val="Tekstpodstawowy"/>
              <w:spacing w:line="240" w:lineRule="auto"/>
              <w:rPr>
                <w:rFonts w:asciiTheme="minorHAnsi" w:hAnsiTheme="minorHAnsi" w:cstheme="minorHAnsi"/>
                <w:sz w:val="20"/>
                <w:szCs w:val="20"/>
                <w:lang w:val="pl-PL"/>
              </w:rPr>
            </w:pPr>
            <w:r w:rsidRPr="008831F9">
              <w:rPr>
                <w:rFonts w:asciiTheme="minorHAnsi" w:hAnsiTheme="minorHAnsi" w:cstheme="minorHAnsi"/>
                <w:sz w:val="20"/>
                <w:szCs w:val="20"/>
                <w:lang w:val="pl-PL"/>
              </w:rPr>
              <w:t>Pasy ruchu zasadnicze,</w:t>
            </w:r>
          </w:p>
          <w:p w14:paraId="67BD4D17" w14:textId="77777777" w:rsidR="008831F9" w:rsidRPr="008831F9" w:rsidRDefault="008831F9" w:rsidP="008831F9">
            <w:pPr>
              <w:pStyle w:val="Tekstpodstawowy"/>
              <w:spacing w:line="240" w:lineRule="auto"/>
              <w:rPr>
                <w:rFonts w:asciiTheme="minorHAnsi" w:hAnsiTheme="minorHAnsi" w:cstheme="minorHAnsi"/>
                <w:sz w:val="20"/>
                <w:szCs w:val="20"/>
                <w:lang w:val="pl-PL"/>
              </w:rPr>
            </w:pPr>
            <w:r w:rsidRPr="008831F9">
              <w:rPr>
                <w:rFonts w:asciiTheme="minorHAnsi" w:hAnsiTheme="minorHAnsi" w:cstheme="minorHAnsi"/>
                <w:sz w:val="20"/>
                <w:szCs w:val="20"/>
                <w:lang w:val="pl-PL"/>
              </w:rPr>
              <w:t>awaryjne, dodatkowe, włączenia i wyłączenia, jezdnie łącznic</w:t>
            </w:r>
          </w:p>
        </w:tc>
        <w:tc>
          <w:tcPr>
            <w:tcW w:w="1985" w:type="dxa"/>
            <w:tcBorders>
              <w:top w:val="single" w:sz="4" w:space="0" w:color="000000"/>
              <w:left w:val="single" w:sz="4" w:space="0" w:color="000000"/>
              <w:bottom w:val="single" w:sz="4" w:space="0" w:color="000000"/>
              <w:right w:val="single" w:sz="4" w:space="0" w:color="000000"/>
            </w:tcBorders>
          </w:tcPr>
          <w:p w14:paraId="6443577A" w14:textId="77777777" w:rsidR="008831F9" w:rsidRPr="008831F9" w:rsidRDefault="008831F9" w:rsidP="008831F9">
            <w:pPr>
              <w:pStyle w:val="Tekstpodstawowy"/>
              <w:spacing w:line="240" w:lineRule="auto"/>
              <w:jc w:val="center"/>
              <w:rPr>
                <w:rFonts w:asciiTheme="minorHAnsi" w:hAnsiTheme="minorHAnsi" w:cstheme="minorHAnsi"/>
                <w:sz w:val="20"/>
                <w:szCs w:val="20"/>
                <w:lang w:val="pl-PL"/>
              </w:rPr>
            </w:pPr>
          </w:p>
          <w:p w14:paraId="067FC149" w14:textId="77777777" w:rsidR="008831F9" w:rsidRPr="008831F9" w:rsidRDefault="008831F9" w:rsidP="008831F9">
            <w:pPr>
              <w:pStyle w:val="Tekstpodstawowy"/>
              <w:spacing w:line="240" w:lineRule="auto"/>
              <w:jc w:val="center"/>
              <w:rPr>
                <w:rFonts w:asciiTheme="minorHAnsi" w:hAnsiTheme="minorHAnsi" w:cstheme="minorHAnsi"/>
                <w:sz w:val="20"/>
                <w:szCs w:val="20"/>
              </w:rPr>
            </w:pPr>
            <w:r w:rsidRPr="008831F9">
              <w:rPr>
                <w:rFonts w:asciiTheme="minorHAnsi" w:hAnsiTheme="minorHAnsi" w:cstheme="minorHAnsi"/>
                <w:sz w:val="20"/>
                <w:szCs w:val="20"/>
              </w:rPr>
              <w:t>1,3</w:t>
            </w:r>
          </w:p>
        </w:tc>
        <w:tc>
          <w:tcPr>
            <w:tcW w:w="1843" w:type="dxa"/>
            <w:tcBorders>
              <w:top w:val="single" w:sz="4" w:space="0" w:color="000000"/>
              <w:left w:val="single" w:sz="4" w:space="0" w:color="000000"/>
              <w:bottom w:val="single" w:sz="4" w:space="0" w:color="000000"/>
              <w:right w:val="single" w:sz="4" w:space="0" w:color="000000"/>
            </w:tcBorders>
          </w:tcPr>
          <w:p w14:paraId="6E26B873" w14:textId="77777777" w:rsidR="008831F9" w:rsidRPr="008831F9" w:rsidRDefault="008831F9" w:rsidP="008831F9">
            <w:pPr>
              <w:pStyle w:val="Tekstpodstawowy"/>
              <w:spacing w:line="240" w:lineRule="auto"/>
              <w:jc w:val="center"/>
              <w:rPr>
                <w:rFonts w:asciiTheme="minorHAnsi" w:hAnsiTheme="minorHAnsi" w:cstheme="minorHAnsi"/>
                <w:sz w:val="20"/>
                <w:szCs w:val="20"/>
              </w:rPr>
            </w:pPr>
          </w:p>
          <w:p w14:paraId="5E7F170D" w14:textId="77777777" w:rsidR="008831F9" w:rsidRPr="008831F9" w:rsidRDefault="008831F9" w:rsidP="008831F9">
            <w:pPr>
              <w:pStyle w:val="Tekstpodstawowy"/>
              <w:spacing w:line="240" w:lineRule="auto"/>
              <w:jc w:val="center"/>
              <w:rPr>
                <w:rFonts w:asciiTheme="minorHAnsi" w:hAnsiTheme="minorHAnsi" w:cstheme="minorHAnsi"/>
                <w:sz w:val="20"/>
                <w:szCs w:val="20"/>
              </w:rPr>
            </w:pPr>
            <w:r w:rsidRPr="008831F9">
              <w:rPr>
                <w:rFonts w:asciiTheme="minorHAnsi" w:hAnsiTheme="minorHAnsi" w:cstheme="minorHAnsi"/>
                <w:sz w:val="20"/>
                <w:szCs w:val="20"/>
              </w:rPr>
              <w:t>2,4</w:t>
            </w:r>
          </w:p>
        </w:tc>
      </w:tr>
      <w:tr w:rsidR="008831F9" w:rsidRPr="008831F9" w14:paraId="078CD7B8" w14:textId="77777777" w:rsidTr="008831F9">
        <w:trPr>
          <w:trHeight w:val="479"/>
        </w:trPr>
        <w:tc>
          <w:tcPr>
            <w:tcW w:w="1134" w:type="dxa"/>
            <w:vMerge/>
            <w:tcBorders>
              <w:top w:val="single" w:sz="4" w:space="0" w:color="000000"/>
              <w:left w:val="single" w:sz="4" w:space="0" w:color="000000"/>
              <w:bottom w:val="single" w:sz="4" w:space="0" w:color="000000"/>
              <w:right w:val="single" w:sz="4" w:space="0" w:color="000000"/>
            </w:tcBorders>
            <w:vAlign w:val="center"/>
            <w:hideMark/>
          </w:tcPr>
          <w:p w14:paraId="51E78177" w14:textId="77777777" w:rsidR="008831F9" w:rsidRPr="008831F9" w:rsidRDefault="008831F9" w:rsidP="008831F9">
            <w:pPr>
              <w:pStyle w:val="Tekstpodstawowy"/>
              <w:spacing w:line="240" w:lineRule="auto"/>
              <w:jc w:val="both"/>
              <w:rPr>
                <w:rFonts w:asciiTheme="minorHAnsi" w:hAnsiTheme="minorHAnsi" w:cstheme="minorHAnsi"/>
                <w:sz w:val="20"/>
                <w:szCs w:val="20"/>
              </w:rPr>
            </w:pPr>
          </w:p>
        </w:tc>
        <w:tc>
          <w:tcPr>
            <w:tcW w:w="3969" w:type="dxa"/>
            <w:tcBorders>
              <w:top w:val="single" w:sz="4" w:space="0" w:color="000000"/>
              <w:left w:val="single" w:sz="4" w:space="0" w:color="000000"/>
              <w:bottom w:val="single" w:sz="4" w:space="0" w:color="000000"/>
              <w:right w:val="single" w:sz="4" w:space="0" w:color="000000"/>
            </w:tcBorders>
            <w:hideMark/>
          </w:tcPr>
          <w:p w14:paraId="395E8FD1" w14:textId="77777777" w:rsidR="008831F9" w:rsidRPr="008831F9" w:rsidRDefault="008831F9" w:rsidP="008831F9">
            <w:pPr>
              <w:pStyle w:val="Tekstpodstawowy"/>
              <w:spacing w:line="240" w:lineRule="auto"/>
              <w:rPr>
                <w:rFonts w:asciiTheme="minorHAnsi" w:hAnsiTheme="minorHAnsi" w:cstheme="minorHAnsi"/>
                <w:sz w:val="20"/>
                <w:szCs w:val="20"/>
              </w:rPr>
            </w:pPr>
            <w:r w:rsidRPr="008831F9">
              <w:rPr>
                <w:rFonts w:asciiTheme="minorHAnsi" w:hAnsiTheme="minorHAnsi" w:cstheme="minorHAnsi"/>
                <w:sz w:val="20"/>
                <w:szCs w:val="20"/>
              </w:rPr>
              <w:t>Jezdnie MOP,</w:t>
            </w:r>
          </w:p>
          <w:p w14:paraId="7BC019BE" w14:textId="77777777" w:rsidR="008831F9" w:rsidRPr="008831F9" w:rsidRDefault="008831F9" w:rsidP="008831F9">
            <w:pPr>
              <w:pStyle w:val="Tekstpodstawowy"/>
              <w:spacing w:line="240" w:lineRule="auto"/>
              <w:rPr>
                <w:rFonts w:asciiTheme="minorHAnsi" w:hAnsiTheme="minorHAnsi" w:cstheme="minorHAnsi"/>
                <w:sz w:val="20"/>
                <w:szCs w:val="20"/>
              </w:rPr>
            </w:pPr>
            <w:r w:rsidRPr="008831F9">
              <w:rPr>
                <w:rFonts w:asciiTheme="minorHAnsi" w:hAnsiTheme="minorHAnsi" w:cstheme="minorHAnsi"/>
                <w:sz w:val="20"/>
                <w:szCs w:val="20"/>
              </w:rPr>
              <w:t>utwardzone pobocza</w:t>
            </w:r>
          </w:p>
        </w:tc>
        <w:tc>
          <w:tcPr>
            <w:tcW w:w="1985" w:type="dxa"/>
            <w:tcBorders>
              <w:top w:val="single" w:sz="4" w:space="0" w:color="000000"/>
              <w:left w:val="single" w:sz="4" w:space="0" w:color="000000"/>
              <w:bottom w:val="single" w:sz="4" w:space="0" w:color="000000"/>
              <w:right w:val="single" w:sz="4" w:space="0" w:color="000000"/>
            </w:tcBorders>
            <w:hideMark/>
          </w:tcPr>
          <w:p w14:paraId="13A87F8B" w14:textId="77777777" w:rsidR="008831F9" w:rsidRPr="008831F9" w:rsidRDefault="008831F9" w:rsidP="008831F9">
            <w:pPr>
              <w:pStyle w:val="Tekstpodstawowy"/>
              <w:spacing w:line="240" w:lineRule="auto"/>
              <w:jc w:val="center"/>
              <w:rPr>
                <w:rFonts w:asciiTheme="minorHAnsi" w:hAnsiTheme="minorHAnsi" w:cstheme="minorHAnsi"/>
                <w:sz w:val="20"/>
                <w:szCs w:val="20"/>
              </w:rPr>
            </w:pPr>
            <w:r w:rsidRPr="008831F9">
              <w:rPr>
                <w:rFonts w:asciiTheme="minorHAnsi" w:hAnsiTheme="minorHAnsi" w:cstheme="minorHAnsi"/>
                <w:sz w:val="20"/>
                <w:szCs w:val="20"/>
              </w:rPr>
              <w:t>1,5</w:t>
            </w:r>
          </w:p>
        </w:tc>
        <w:tc>
          <w:tcPr>
            <w:tcW w:w="1843" w:type="dxa"/>
            <w:tcBorders>
              <w:top w:val="single" w:sz="4" w:space="0" w:color="000000"/>
              <w:left w:val="single" w:sz="4" w:space="0" w:color="000000"/>
              <w:bottom w:val="single" w:sz="4" w:space="0" w:color="000000"/>
              <w:right w:val="single" w:sz="4" w:space="0" w:color="000000"/>
            </w:tcBorders>
            <w:hideMark/>
          </w:tcPr>
          <w:p w14:paraId="4231B22A" w14:textId="77777777" w:rsidR="008831F9" w:rsidRPr="008831F9" w:rsidRDefault="008831F9" w:rsidP="008831F9">
            <w:pPr>
              <w:pStyle w:val="Tekstpodstawowy"/>
              <w:spacing w:line="240" w:lineRule="auto"/>
              <w:jc w:val="center"/>
              <w:rPr>
                <w:rFonts w:asciiTheme="minorHAnsi" w:hAnsiTheme="minorHAnsi" w:cstheme="minorHAnsi"/>
                <w:sz w:val="20"/>
                <w:szCs w:val="20"/>
              </w:rPr>
            </w:pPr>
            <w:r w:rsidRPr="008831F9">
              <w:rPr>
                <w:rFonts w:asciiTheme="minorHAnsi" w:hAnsiTheme="minorHAnsi" w:cstheme="minorHAnsi"/>
                <w:sz w:val="20"/>
                <w:szCs w:val="20"/>
              </w:rPr>
              <w:t>2,7</w:t>
            </w:r>
          </w:p>
        </w:tc>
      </w:tr>
      <w:tr w:rsidR="008831F9" w:rsidRPr="008831F9" w14:paraId="5E66268E" w14:textId="77777777" w:rsidTr="008831F9">
        <w:trPr>
          <w:trHeight w:val="729"/>
        </w:trPr>
        <w:tc>
          <w:tcPr>
            <w:tcW w:w="1134" w:type="dxa"/>
            <w:vMerge w:val="restart"/>
            <w:tcBorders>
              <w:top w:val="single" w:sz="4" w:space="0" w:color="000000"/>
              <w:left w:val="single" w:sz="4" w:space="0" w:color="000000"/>
              <w:bottom w:val="single" w:sz="4" w:space="0" w:color="000000"/>
              <w:right w:val="single" w:sz="4" w:space="0" w:color="000000"/>
            </w:tcBorders>
          </w:tcPr>
          <w:p w14:paraId="413C54E2" w14:textId="77777777" w:rsidR="008831F9" w:rsidRPr="008831F9" w:rsidRDefault="008831F9" w:rsidP="008831F9">
            <w:pPr>
              <w:pStyle w:val="Tekstpodstawowy"/>
              <w:spacing w:line="240" w:lineRule="auto"/>
              <w:jc w:val="both"/>
              <w:rPr>
                <w:rFonts w:asciiTheme="minorHAnsi" w:hAnsiTheme="minorHAnsi" w:cstheme="minorHAnsi"/>
                <w:sz w:val="20"/>
                <w:szCs w:val="20"/>
              </w:rPr>
            </w:pPr>
          </w:p>
          <w:p w14:paraId="42912DEE" w14:textId="77777777" w:rsidR="008831F9" w:rsidRPr="008831F9" w:rsidRDefault="008831F9" w:rsidP="008831F9">
            <w:pPr>
              <w:pStyle w:val="Tekstpodstawowy"/>
              <w:spacing w:line="240" w:lineRule="auto"/>
              <w:jc w:val="both"/>
              <w:rPr>
                <w:rFonts w:asciiTheme="minorHAnsi" w:hAnsiTheme="minorHAnsi" w:cstheme="minorHAnsi"/>
                <w:sz w:val="20"/>
                <w:szCs w:val="20"/>
              </w:rPr>
            </w:pPr>
            <w:r w:rsidRPr="008831F9">
              <w:rPr>
                <w:rFonts w:asciiTheme="minorHAnsi" w:hAnsiTheme="minorHAnsi" w:cstheme="minorHAnsi"/>
                <w:sz w:val="20"/>
                <w:szCs w:val="20"/>
              </w:rPr>
              <w:t>G</w:t>
            </w:r>
          </w:p>
        </w:tc>
        <w:tc>
          <w:tcPr>
            <w:tcW w:w="3969" w:type="dxa"/>
            <w:tcBorders>
              <w:top w:val="single" w:sz="4" w:space="0" w:color="000000"/>
              <w:left w:val="single" w:sz="4" w:space="0" w:color="000000"/>
              <w:bottom w:val="single" w:sz="4" w:space="0" w:color="000000"/>
              <w:right w:val="single" w:sz="4" w:space="0" w:color="000000"/>
            </w:tcBorders>
            <w:hideMark/>
          </w:tcPr>
          <w:p w14:paraId="569BD668" w14:textId="77777777" w:rsidR="008831F9" w:rsidRPr="008831F9" w:rsidRDefault="008831F9" w:rsidP="008831F9">
            <w:pPr>
              <w:pStyle w:val="Tekstpodstawowy"/>
              <w:spacing w:line="240" w:lineRule="auto"/>
              <w:rPr>
                <w:rFonts w:asciiTheme="minorHAnsi" w:hAnsiTheme="minorHAnsi" w:cstheme="minorHAnsi"/>
                <w:sz w:val="20"/>
                <w:szCs w:val="20"/>
                <w:lang w:val="pl-PL"/>
              </w:rPr>
            </w:pPr>
            <w:r w:rsidRPr="008831F9">
              <w:rPr>
                <w:rFonts w:asciiTheme="minorHAnsi" w:hAnsiTheme="minorHAnsi" w:cstheme="minorHAnsi"/>
                <w:sz w:val="20"/>
                <w:szCs w:val="20"/>
                <w:lang w:val="pl-PL"/>
              </w:rPr>
              <w:t>Pasy ruchu zasadnicze, dodatkowe, włączenia</w:t>
            </w:r>
          </w:p>
          <w:p w14:paraId="337D308B" w14:textId="77777777" w:rsidR="008831F9" w:rsidRPr="008831F9" w:rsidRDefault="008831F9" w:rsidP="008831F9">
            <w:pPr>
              <w:pStyle w:val="Tekstpodstawowy"/>
              <w:spacing w:line="240" w:lineRule="auto"/>
              <w:rPr>
                <w:rFonts w:asciiTheme="minorHAnsi" w:hAnsiTheme="minorHAnsi" w:cstheme="minorHAnsi"/>
                <w:sz w:val="20"/>
                <w:szCs w:val="20"/>
                <w:lang w:val="pl-PL"/>
              </w:rPr>
            </w:pPr>
            <w:r w:rsidRPr="008831F9">
              <w:rPr>
                <w:rFonts w:asciiTheme="minorHAnsi" w:hAnsiTheme="minorHAnsi" w:cstheme="minorHAnsi"/>
                <w:sz w:val="20"/>
                <w:szCs w:val="20"/>
                <w:lang w:val="pl-PL"/>
              </w:rPr>
              <w:t>i wyłączenia, postojowe</w:t>
            </w:r>
          </w:p>
        </w:tc>
        <w:tc>
          <w:tcPr>
            <w:tcW w:w="1985" w:type="dxa"/>
            <w:tcBorders>
              <w:top w:val="single" w:sz="4" w:space="0" w:color="000000"/>
              <w:left w:val="single" w:sz="4" w:space="0" w:color="000000"/>
              <w:bottom w:val="single" w:sz="4" w:space="0" w:color="000000"/>
              <w:right w:val="single" w:sz="4" w:space="0" w:color="000000"/>
            </w:tcBorders>
          </w:tcPr>
          <w:p w14:paraId="64BC1963" w14:textId="77777777" w:rsidR="008831F9" w:rsidRPr="008831F9" w:rsidRDefault="008831F9" w:rsidP="008831F9">
            <w:pPr>
              <w:pStyle w:val="Tekstpodstawowy"/>
              <w:spacing w:line="240" w:lineRule="auto"/>
              <w:jc w:val="center"/>
              <w:rPr>
                <w:rFonts w:asciiTheme="minorHAnsi" w:hAnsiTheme="minorHAnsi" w:cstheme="minorHAnsi"/>
                <w:sz w:val="20"/>
                <w:szCs w:val="20"/>
                <w:lang w:val="pl-PL"/>
              </w:rPr>
            </w:pPr>
          </w:p>
          <w:p w14:paraId="1F26E374" w14:textId="77777777" w:rsidR="008831F9" w:rsidRPr="008831F9" w:rsidRDefault="008831F9" w:rsidP="008831F9">
            <w:pPr>
              <w:pStyle w:val="Tekstpodstawowy"/>
              <w:spacing w:line="240" w:lineRule="auto"/>
              <w:jc w:val="center"/>
              <w:rPr>
                <w:rFonts w:asciiTheme="minorHAnsi" w:hAnsiTheme="minorHAnsi" w:cstheme="minorHAnsi"/>
                <w:sz w:val="20"/>
                <w:szCs w:val="20"/>
              </w:rPr>
            </w:pPr>
            <w:r w:rsidRPr="008831F9">
              <w:rPr>
                <w:rFonts w:asciiTheme="minorHAnsi" w:hAnsiTheme="minorHAnsi" w:cstheme="minorHAnsi"/>
                <w:sz w:val="20"/>
                <w:szCs w:val="20"/>
              </w:rPr>
              <w:t>1,7</w:t>
            </w:r>
          </w:p>
        </w:tc>
        <w:tc>
          <w:tcPr>
            <w:tcW w:w="1843" w:type="dxa"/>
            <w:tcBorders>
              <w:top w:val="single" w:sz="4" w:space="0" w:color="000000"/>
              <w:left w:val="single" w:sz="4" w:space="0" w:color="000000"/>
              <w:bottom w:val="single" w:sz="4" w:space="0" w:color="000000"/>
              <w:right w:val="single" w:sz="4" w:space="0" w:color="000000"/>
            </w:tcBorders>
          </w:tcPr>
          <w:p w14:paraId="31F08F9D" w14:textId="77777777" w:rsidR="008831F9" w:rsidRPr="008831F9" w:rsidRDefault="008831F9" w:rsidP="008831F9">
            <w:pPr>
              <w:pStyle w:val="Tekstpodstawowy"/>
              <w:spacing w:line="240" w:lineRule="auto"/>
              <w:jc w:val="center"/>
              <w:rPr>
                <w:rFonts w:asciiTheme="minorHAnsi" w:hAnsiTheme="minorHAnsi" w:cstheme="minorHAnsi"/>
                <w:sz w:val="20"/>
                <w:szCs w:val="20"/>
              </w:rPr>
            </w:pPr>
          </w:p>
          <w:p w14:paraId="74C255E5" w14:textId="77777777" w:rsidR="008831F9" w:rsidRPr="008831F9" w:rsidRDefault="008831F9" w:rsidP="008831F9">
            <w:pPr>
              <w:pStyle w:val="Tekstpodstawowy"/>
              <w:spacing w:line="240" w:lineRule="auto"/>
              <w:jc w:val="center"/>
              <w:rPr>
                <w:rFonts w:asciiTheme="minorHAnsi" w:hAnsiTheme="minorHAnsi" w:cstheme="minorHAnsi"/>
                <w:sz w:val="20"/>
                <w:szCs w:val="20"/>
              </w:rPr>
            </w:pPr>
            <w:r w:rsidRPr="008831F9">
              <w:rPr>
                <w:rFonts w:asciiTheme="minorHAnsi" w:hAnsiTheme="minorHAnsi" w:cstheme="minorHAnsi"/>
                <w:sz w:val="20"/>
                <w:szCs w:val="20"/>
              </w:rPr>
              <w:t>3,4</w:t>
            </w:r>
          </w:p>
        </w:tc>
      </w:tr>
      <w:tr w:rsidR="008831F9" w:rsidRPr="008831F9" w14:paraId="0C2454AA" w14:textId="77777777" w:rsidTr="008831F9">
        <w:trPr>
          <w:trHeight w:val="354"/>
        </w:trPr>
        <w:tc>
          <w:tcPr>
            <w:tcW w:w="1134" w:type="dxa"/>
            <w:vMerge/>
            <w:tcBorders>
              <w:top w:val="single" w:sz="4" w:space="0" w:color="000000"/>
              <w:left w:val="single" w:sz="4" w:space="0" w:color="000000"/>
              <w:bottom w:val="single" w:sz="4" w:space="0" w:color="000000"/>
              <w:right w:val="single" w:sz="4" w:space="0" w:color="000000"/>
            </w:tcBorders>
            <w:vAlign w:val="center"/>
            <w:hideMark/>
          </w:tcPr>
          <w:p w14:paraId="0FE1F2E0" w14:textId="77777777" w:rsidR="008831F9" w:rsidRPr="008831F9" w:rsidRDefault="008831F9" w:rsidP="008831F9">
            <w:pPr>
              <w:pStyle w:val="Tekstpodstawowy"/>
              <w:spacing w:line="240" w:lineRule="auto"/>
              <w:jc w:val="both"/>
              <w:rPr>
                <w:rFonts w:asciiTheme="minorHAnsi" w:hAnsiTheme="minorHAnsi" w:cstheme="minorHAnsi"/>
                <w:sz w:val="20"/>
                <w:szCs w:val="20"/>
              </w:rPr>
            </w:pPr>
          </w:p>
        </w:tc>
        <w:tc>
          <w:tcPr>
            <w:tcW w:w="3969" w:type="dxa"/>
            <w:tcBorders>
              <w:top w:val="single" w:sz="4" w:space="0" w:color="000000"/>
              <w:left w:val="single" w:sz="4" w:space="0" w:color="000000"/>
              <w:bottom w:val="single" w:sz="4" w:space="0" w:color="000000"/>
              <w:right w:val="single" w:sz="4" w:space="0" w:color="000000"/>
            </w:tcBorders>
            <w:hideMark/>
          </w:tcPr>
          <w:p w14:paraId="6A2F3451" w14:textId="77777777" w:rsidR="008831F9" w:rsidRPr="008831F9" w:rsidRDefault="008831F9" w:rsidP="008831F9">
            <w:pPr>
              <w:pStyle w:val="Tekstpodstawowy"/>
              <w:spacing w:line="240" w:lineRule="auto"/>
              <w:rPr>
                <w:rFonts w:asciiTheme="minorHAnsi" w:hAnsiTheme="minorHAnsi" w:cstheme="minorHAnsi"/>
                <w:sz w:val="20"/>
                <w:szCs w:val="20"/>
              </w:rPr>
            </w:pPr>
            <w:r w:rsidRPr="008831F9">
              <w:rPr>
                <w:rFonts w:asciiTheme="minorHAnsi" w:hAnsiTheme="minorHAnsi" w:cstheme="minorHAnsi"/>
                <w:sz w:val="20"/>
                <w:szCs w:val="20"/>
              </w:rPr>
              <w:t>Utwardzone pobocza</w:t>
            </w:r>
          </w:p>
        </w:tc>
        <w:tc>
          <w:tcPr>
            <w:tcW w:w="1985" w:type="dxa"/>
            <w:tcBorders>
              <w:top w:val="single" w:sz="4" w:space="0" w:color="000000"/>
              <w:left w:val="single" w:sz="4" w:space="0" w:color="000000"/>
              <w:bottom w:val="single" w:sz="4" w:space="0" w:color="000000"/>
              <w:right w:val="single" w:sz="4" w:space="0" w:color="000000"/>
            </w:tcBorders>
            <w:hideMark/>
          </w:tcPr>
          <w:p w14:paraId="2FF7096D" w14:textId="77777777" w:rsidR="008831F9" w:rsidRPr="008831F9" w:rsidRDefault="008831F9" w:rsidP="008831F9">
            <w:pPr>
              <w:pStyle w:val="Tekstpodstawowy"/>
              <w:spacing w:line="240" w:lineRule="auto"/>
              <w:jc w:val="center"/>
              <w:rPr>
                <w:rFonts w:asciiTheme="minorHAnsi" w:hAnsiTheme="minorHAnsi" w:cstheme="minorHAnsi"/>
                <w:sz w:val="20"/>
                <w:szCs w:val="20"/>
              </w:rPr>
            </w:pPr>
            <w:r w:rsidRPr="008831F9">
              <w:rPr>
                <w:rFonts w:asciiTheme="minorHAnsi" w:hAnsiTheme="minorHAnsi" w:cstheme="minorHAnsi"/>
                <w:sz w:val="20"/>
                <w:szCs w:val="20"/>
              </w:rPr>
              <w:t>2,0</w:t>
            </w:r>
          </w:p>
        </w:tc>
        <w:tc>
          <w:tcPr>
            <w:tcW w:w="1843" w:type="dxa"/>
            <w:tcBorders>
              <w:top w:val="single" w:sz="4" w:space="0" w:color="000000"/>
              <w:left w:val="single" w:sz="4" w:space="0" w:color="000000"/>
              <w:bottom w:val="single" w:sz="4" w:space="0" w:color="000000"/>
              <w:right w:val="single" w:sz="4" w:space="0" w:color="000000"/>
            </w:tcBorders>
            <w:hideMark/>
          </w:tcPr>
          <w:p w14:paraId="33317A0F" w14:textId="77777777" w:rsidR="008831F9" w:rsidRPr="008831F9" w:rsidRDefault="008831F9" w:rsidP="008831F9">
            <w:pPr>
              <w:pStyle w:val="Tekstpodstawowy"/>
              <w:spacing w:line="240" w:lineRule="auto"/>
              <w:jc w:val="center"/>
              <w:rPr>
                <w:rFonts w:asciiTheme="minorHAnsi" w:hAnsiTheme="minorHAnsi" w:cstheme="minorHAnsi"/>
                <w:sz w:val="20"/>
                <w:szCs w:val="20"/>
              </w:rPr>
            </w:pPr>
            <w:r w:rsidRPr="008831F9">
              <w:rPr>
                <w:rFonts w:asciiTheme="minorHAnsi" w:hAnsiTheme="minorHAnsi" w:cstheme="minorHAnsi"/>
                <w:sz w:val="20"/>
                <w:szCs w:val="20"/>
              </w:rPr>
              <w:t>3,8</w:t>
            </w:r>
          </w:p>
        </w:tc>
      </w:tr>
    </w:tbl>
    <w:p w14:paraId="68D0AE9C" w14:textId="77777777" w:rsidR="008831F9" w:rsidRPr="008831F9" w:rsidRDefault="008831F9" w:rsidP="008831F9">
      <w:pPr>
        <w:pStyle w:val="Tekstpodstawowy"/>
        <w:spacing w:line="240" w:lineRule="auto"/>
        <w:jc w:val="both"/>
        <w:rPr>
          <w:rFonts w:asciiTheme="minorHAnsi" w:hAnsiTheme="minorHAnsi" w:cstheme="minorHAnsi"/>
          <w:sz w:val="20"/>
          <w:szCs w:val="20"/>
        </w:rPr>
      </w:pPr>
    </w:p>
    <w:p w14:paraId="28C780FF" w14:textId="77777777" w:rsidR="008831F9" w:rsidRPr="008831F9" w:rsidRDefault="008831F9" w:rsidP="008831F9">
      <w:pPr>
        <w:pStyle w:val="Tekstpodstawowy"/>
        <w:spacing w:line="240" w:lineRule="auto"/>
        <w:jc w:val="both"/>
        <w:rPr>
          <w:rFonts w:asciiTheme="minorHAnsi" w:hAnsiTheme="minorHAnsi" w:cstheme="minorHAnsi"/>
          <w:sz w:val="20"/>
          <w:szCs w:val="20"/>
        </w:rPr>
      </w:pPr>
      <w:r w:rsidRPr="008831F9">
        <w:rPr>
          <w:rFonts w:asciiTheme="minorHAnsi" w:hAnsiTheme="minorHAnsi" w:cstheme="minorHAnsi"/>
          <w:sz w:val="20"/>
          <w:szCs w:val="20"/>
        </w:rPr>
        <w:t>* w przypadku odbioru odcinków warstwy nawierzchni o całkowitej długości mniejszej niż 500</w:t>
      </w:r>
      <w:r w:rsidRPr="008831F9">
        <w:rPr>
          <w:rFonts w:asciiTheme="minorHAnsi" w:hAnsiTheme="minorHAnsi" w:cstheme="minorHAnsi"/>
          <w:spacing w:val="-12"/>
          <w:sz w:val="20"/>
          <w:szCs w:val="20"/>
        </w:rPr>
        <w:t xml:space="preserve"> </w:t>
      </w:r>
      <w:r w:rsidRPr="008831F9">
        <w:rPr>
          <w:rFonts w:asciiTheme="minorHAnsi" w:hAnsiTheme="minorHAnsi" w:cstheme="minorHAnsi"/>
          <w:sz w:val="20"/>
          <w:szCs w:val="20"/>
        </w:rPr>
        <w:t xml:space="preserve">m, odbioru robót polegających na ułożeniu na istniejącej nawierzchni jedynie warstwy ścieralnej (niezależnie od długości odcinka robót), dopuszczalną wartość </w:t>
      </w:r>
      <w:r w:rsidRPr="008831F9">
        <w:rPr>
          <w:rFonts w:asciiTheme="minorHAnsi" w:hAnsiTheme="minorHAnsi" w:cstheme="minorHAnsi"/>
          <w:i/>
          <w:sz w:val="20"/>
          <w:szCs w:val="20"/>
        </w:rPr>
        <w:t>IRI</w:t>
      </w:r>
      <w:r w:rsidRPr="008831F9">
        <w:rPr>
          <w:rFonts w:asciiTheme="minorHAnsi" w:hAnsiTheme="minorHAnsi" w:cstheme="minorHAnsi"/>
          <w:i/>
          <w:sz w:val="20"/>
          <w:szCs w:val="20"/>
          <w:vertAlign w:val="subscript"/>
        </w:rPr>
        <w:t>śr</w:t>
      </w:r>
      <w:r w:rsidRPr="008831F9">
        <w:rPr>
          <w:rFonts w:asciiTheme="minorHAnsi" w:hAnsiTheme="minorHAnsi" w:cstheme="minorHAnsi"/>
          <w:i/>
          <w:sz w:val="20"/>
          <w:szCs w:val="20"/>
        </w:rPr>
        <w:t xml:space="preserve"> </w:t>
      </w:r>
      <w:r w:rsidRPr="008831F9">
        <w:rPr>
          <w:rFonts w:asciiTheme="minorHAnsi" w:hAnsiTheme="minorHAnsi" w:cstheme="minorHAnsi"/>
          <w:sz w:val="20"/>
          <w:szCs w:val="20"/>
        </w:rPr>
        <w:t>wg tabeli należy zwiększyć o 0,2</w:t>
      </w:r>
      <w:r w:rsidRPr="008831F9">
        <w:rPr>
          <w:rFonts w:asciiTheme="minorHAnsi" w:hAnsiTheme="minorHAnsi" w:cstheme="minorHAnsi"/>
          <w:spacing w:val="-1"/>
          <w:sz w:val="20"/>
          <w:szCs w:val="20"/>
        </w:rPr>
        <w:t xml:space="preserve"> </w:t>
      </w:r>
      <w:r w:rsidRPr="008831F9">
        <w:rPr>
          <w:rFonts w:asciiTheme="minorHAnsi" w:hAnsiTheme="minorHAnsi" w:cstheme="minorHAnsi"/>
          <w:sz w:val="20"/>
          <w:szCs w:val="20"/>
        </w:rPr>
        <w:t>mm/m.</w:t>
      </w:r>
    </w:p>
    <w:p w14:paraId="08AC86D0" w14:textId="77777777" w:rsidR="008831F9" w:rsidRPr="008831F9" w:rsidRDefault="008831F9" w:rsidP="008831F9">
      <w:pPr>
        <w:pStyle w:val="Tekstpodstawowy"/>
        <w:spacing w:line="240" w:lineRule="auto"/>
        <w:jc w:val="both"/>
        <w:rPr>
          <w:rFonts w:asciiTheme="minorHAnsi" w:hAnsiTheme="minorHAnsi" w:cstheme="minorHAnsi"/>
          <w:sz w:val="20"/>
          <w:szCs w:val="20"/>
        </w:rPr>
      </w:pPr>
      <w:r w:rsidRPr="008831F9">
        <w:rPr>
          <w:rFonts w:asciiTheme="minorHAnsi" w:hAnsiTheme="minorHAnsi" w:cstheme="minorHAnsi"/>
          <w:sz w:val="20"/>
          <w:szCs w:val="20"/>
        </w:rPr>
        <w:t>Do oceny równości podłużnej warstwy ścieralnej nawierzchni dróg klasy Z, L, D oraz placów i parkingów  należy  stosować  metodę  pomiaru   ciągłego  równoważną   użyciu  łaty  i   klina    z wykorzystaniem planografu, umożliwiającego wyznaczanie odchyleń równości podłużnej jako największej odległości (prześwitu) pomiędzy teoretyczną linią łączącą spody kółek jezdnych urządzenia, a mierzoną powierzchnią warstwy [mm]. W miejscach niedostępnych dla planografu pomiar równości podłużnej warstw nawierzchni należy wykonać w sposób ciągły z użyciem łaty i klina.</w:t>
      </w:r>
    </w:p>
    <w:p w14:paraId="5DBC9AAC" w14:textId="77777777" w:rsidR="008831F9" w:rsidRPr="008831F9" w:rsidRDefault="008831F9" w:rsidP="008831F9">
      <w:pPr>
        <w:pStyle w:val="Tekstpodstawowy"/>
        <w:spacing w:line="240" w:lineRule="auto"/>
        <w:jc w:val="both"/>
        <w:rPr>
          <w:rFonts w:asciiTheme="minorHAnsi" w:hAnsiTheme="minorHAnsi" w:cstheme="minorHAnsi"/>
          <w:sz w:val="20"/>
          <w:szCs w:val="20"/>
        </w:rPr>
      </w:pPr>
      <w:r w:rsidRPr="008831F9">
        <w:rPr>
          <w:rFonts w:asciiTheme="minorHAnsi" w:hAnsiTheme="minorHAnsi" w:cstheme="minorHAnsi"/>
          <w:sz w:val="20"/>
          <w:szCs w:val="20"/>
        </w:rPr>
        <w:t>Wartości dopuszczalne odchyleń równości podłużnej przy odbiorze warstwy planografem (łatą i klinem) określa Tablica 6.</w:t>
      </w:r>
    </w:p>
    <w:p w14:paraId="2786B2C5" w14:textId="77777777" w:rsidR="008831F9" w:rsidRPr="008831F9" w:rsidRDefault="008831F9" w:rsidP="008831F9">
      <w:pPr>
        <w:pStyle w:val="Tekstpodstawowy"/>
        <w:spacing w:line="240" w:lineRule="auto"/>
        <w:jc w:val="both"/>
        <w:rPr>
          <w:rFonts w:asciiTheme="minorHAnsi" w:hAnsiTheme="minorHAnsi" w:cstheme="minorHAnsi"/>
          <w:sz w:val="20"/>
          <w:szCs w:val="20"/>
        </w:rPr>
      </w:pPr>
    </w:p>
    <w:p w14:paraId="7584F3D3" w14:textId="77777777" w:rsidR="008831F9" w:rsidRPr="008831F9" w:rsidRDefault="008831F9" w:rsidP="008831F9">
      <w:pPr>
        <w:pStyle w:val="Tekstpodstawowy"/>
        <w:spacing w:line="240" w:lineRule="auto"/>
        <w:jc w:val="both"/>
        <w:rPr>
          <w:rFonts w:asciiTheme="minorHAnsi" w:hAnsiTheme="minorHAnsi" w:cstheme="minorHAnsi"/>
          <w:sz w:val="20"/>
          <w:szCs w:val="20"/>
        </w:rPr>
      </w:pPr>
      <w:r w:rsidRPr="008831F9">
        <w:rPr>
          <w:rFonts w:asciiTheme="minorHAnsi" w:hAnsiTheme="minorHAnsi" w:cstheme="minorHAnsi"/>
          <w:sz w:val="20"/>
          <w:szCs w:val="20"/>
        </w:rPr>
        <w:t>Tablica 6. Dopuszczalne wartości odchyleń równości podłużnej przy odbiorze warstwy planografem (łatą i klinem).</w:t>
      </w:r>
    </w:p>
    <w:tbl>
      <w:tblPr>
        <w:tblStyle w:val="TableNormal"/>
        <w:tblW w:w="8789"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418"/>
        <w:gridCol w:w="4110"/>
        <w:gridCol w:w="3261"/>
      </w:tblGrid>
      <w:tr w:rsidR="008831F9" w:rsidRPr="008831F9" w14:paraId="04C0B992" w14:textId="77777777" w:rsidTr="008831F9">
        <w:trPr>
          <w:trHeight w:val="1396"/>
        </w:trPr>
        <w:tc>
          <w:tcPr>
            <w:tcW w:w="1418" w:type="dxa"/>
            <w:tcBorders>
              <w:top w:val="single" w:sz="4" w:space="0" w:color="000000"/>
              <w:left w:val="single" w:sz="4" w:space="0" w:color="000000"/>
              <w:bottom w:val="single" w:sz="4" w:space="0" w:color="000000"/>
              <w:right w:val="single" w:sz="4" w:space="0" w:color="000000"/>
            </w:tcBorders>
          </w:tcPr>
          <w:p w14:paraId="088AD1B4" w14:textId="77777777" w:rsidR="008831F9" w:rsidRPr="008831F9" w:rsidRDefault="008831F9" w:rsidP="008831F9">
            <w:pPr>
              <w:pStyle w:val="Tekstpodstawowy"/>
              <w:spacing w:line="240" w:lineRule="auto"/>
              <w:jc w:val="center"/>
              <w:rPr>
                <w:rFonts w:asciiTheme="minorHAnsi" w:hAnsiTheme="minorHAnsi" w:cstheme="minorHAnsi"/>
                <w:sz w:val="20"/>
                <w:szCs w:val="20"/>
                <w:lang w:val="pl-PL"/>
              </w:rPr>
            </w:pPr>
          </w:p>
          <w:p w14:paraId="509B972B" w14:textId="77777777" w:rsidR="008831F9" w:rsidRPr="008831F9" w:rsidRDefault="008831F9" w:rsidP="008831F9">
            <w:pPr>
              <w:pStyle w:val="Tekstpodstawowy"/>
              <w:spacing w:line="240" w:lineRule="auto"/>
              <w:jc w:val="center"/>
              <w:rPr>
                <w:rFonts w:asciiTheme="minorHAnsi" w:hAnsiTheme="minorHAnsi" w:cstheme="minorHAnsi"/>
                <w:sz w:val="20"/>
                <w:szCs w:val="20"/>
                <w:lang w:val="pl-PL"/>
              </w:rPr>
            </w:pPr>
          </w:p>
          <w:p w14:paraId="7C032FF9" w14:textId="77777777" w:rsidR="008831F9" w:rsidRPr="008831F9" w:rsidRDefault="008831F9" w:rsidP="008831F9">
            <w:pPr>
              <w:pStyle w:val="Tekstpodstawowy"/>
              <w:spacing w:line="240" w:lineRule="auto"/>
              <w:jc w:val="center"/>
              <w:rPr>
                <w:rFonts w:asciiTheme="minorHAnsi" w:hAnsiTheme="minorHAnsi" w:cstheme="minorHAnsi"/>
                <w:sz w:val="20"/>
                <w:szCs w:val="20"/>
              </w:rPr>
            </w:pPr>
            <w:r w:rsidRPr="008831F9">
              <w:rPr>
                <w:rFonts w:asciiTheme="minorHAnsi" w:hAnsiTheme="minorHAnsi" w:cstheme="minorHAnsi"/>
                <w:sz w:val="20"/>
                <w:szCs w:val="20"/>
              </w:rPr>
              <w:t>Klasa drogi</w:t>
            </w:r>
          </w:p>
        </w:tc>
        <w:tc>
          <w:tcPr>
            <w:tcW w:w="4110" w:type="dxa"/>
            <w:tcBorders>
              <w:top w:val="single" w:sz="4" w:space="0" w:color="000000"/>
              <w:left w:val="single" w:sz="4" w:space="0" w:color="000000"/>
              <w:bottom w:val="single" w:sz="4" w:space="0" w:color="000000"/>
              <w:right w:val="single" w:sz="4" w:space="0" w:color="000000"/>
            </w:tcBorders>
          </w:tcPr>
          <w:p w14:paraId="21545E1E" w14:textId="77777777" w:rsidR="008831F9" w:rsidRPr="008831F9" w:rsidRDefault="008831F9" w:rsidP="008831F9">
            <w:pPr>
              <w:pStyle w:val="Tekstpodstawowy"/>
              <w:spacing w:line="240" w:lineRule="auto"/>
              <w:jc w:val="center"/>
              <w:rPr>
                <w:rFonts w:asciiTheme="minorHAnsi" w:hAnsiTheme="minorHAnsi" w:cstheme="minorHAnsi"/>
                <w:sz w:val="20"/>
                <w:szCs w:val="20"/>
              </w:rPr>
            </w:pPr>
          </w:p>
          <w:p w14:paraId="3CAB65B6" w14:textId="77777777" w:rsidR="008831F9" w:rsidRPr="008831F9" w:rsidRDefault="008831F9" w:rsidP="008831F9">
            <w:pPr>
              <w:pStyle w:val="Tekstpodstawowy"/>
              <w:spacing w:line="240" w:lineRule="auto"/>
              <w:jc w:val="center"/>
              <w:rPr>
                <w:rFonts w:asciiTheme="minorHAnsi" w:hAnsiTheme="minorHAnsi" w:cstheme="minorHAnsi"/>
                <w:sz w:val="20"/>
                <w:szCs w:val="20"/>
              </w:rPr>
            </w:pPr>
          </w:p>
          <w:p w14:paraId="1669D588" w14:textId="77777777" w:rsidR="008831F9" w:rsidRPr="008831F9" w:rsidRDefault="008831F9" w:rsidP="008831F9">
            <w:pPr>
              <w:pStyle w:val="Tekstpodstawowy"/>
              <w:spacing w:line="240" w:lineRule="auto"/>
              <w:jc w:val="center"/>
              <w:rPr>
                <w:rFonts w:asciiTheme="minorHAnsi" w:hAnsiTheme="minorHAnsi" w:cstheme="minorHAnsi"/>
                <w:sz w:val="20"/>
                <w:szCs w:val="20"/>
              </w:rPr>
            </w:pPr>
            <w:r w:rsidRPr="008831F9">
              <w:rPr>
                <w:rFonts w:asciiTheme="minorHAnsi" w:hAnsiTheme="minorHAnsi" w:cstheme="minorHAnsi"/>
                <w:sz w:val="20"/>
                <w:szCs w:val="20"/>
              </w:rPr>
              <w:t>Element nawierzchni</w:t>
            </w:r>
          </w:p>
        </w:tc>
        <w:tc>
          <w:tcPr>
            <w:tcW w:w="3261" w:type="dxa"/>
            <w:tcBorders>
              <w:top w:val="single" w:sz="4" w:space="0" w:color="000000"/>
              <w:left w:val="single" w:sz="4" w:space="0" w:color="000000"/>
              <w:bottom w:val="single" w:sz="4" w:space="0" w:color="000000"/>
              <w:right w:val="single" w:sz="4" w:space="0" w:color="000000"/>
            </w:tcBorders>
            <w:hideMark/>
          </w:tcPr>
          <w:p w14:paraId="753170C9" w14:textId="77777777" w:rsidR="008831F9" w:rsidRPr="008831F9" w:rsidRDefault="008831F9" w:rsidP="008831F9">
            <w:pPr>
              <w:pStyle w:val="Tekstpodstawowy"/>
              <w:spacing w:line="240" w:lineRule="auto"/>
              <w:jc w:val="center"/>
              <w:rPr>
                <w:rFonts w:asciiTheme="minorHAnsi" w:hAnsiTheme="minorHAnsi" w:cstheme="minorHAnsi"/>
                <w:sz w:val="20"/>
                <w:szCs w:val="20"/>
                <w:lang w:val="pl-PL"/>
              </w:rPr>
            </w:pPr>
            <w:r w:rsidRPr="008831F9">
              <w:rPr>
                <w:rFonts w:asciiTheme="minorHAnsi" w:hAnsiTheme="minorHAnsi" w:cstheme="minorHAnsi"/>
                <w:sz w:val="20"/>
                <w:szCs w:val="20"/>
                <w:lang w:val="pl-PL"/>
              </w:rPr>
              <w:t>Dopuszczalne odbiorcze wartości odchyleń równości podłużnej warstwy ścieralnej [mm]</w:t>
            </w:r>
          </w:p>
        </w:tc>
      </w:tr>
      <w:tr w:rsidR="008831F9" w:rsidRPr="008831F9" w14:paraId="049ACE79" w14:textId="77777777" w:rsidTr="008831F9">
        <w:trPr>
          <w:trHeight w:val="555"/>
        </w:trPr>
        <w:tc>
          <w:tcPr>
            <w:tcW w:w="1418" w:type="dxa"/>
            <w:vMerge w:val="restart"/>
            <w:tcBorders>
              <w:top w:val="single" w:sz="4" w:space="0" w:color="000000"/>
              <w:left w:val="single" w:sz="4" w:space="0" w:color="000000"/>
              <w:bottom w:val="single" w:sz="4" w:space="0" w:color="000000"/>
              <w:right w:val="single" w:sz="4" w:space="0" w:color="000000"/>
            </w:tcBorders>
          </w:tcPr>
          <w:p w14:paraId="709BD4E7" w14:textId="77777777" w:rsidR="008831F9" w:rsidRPr="008831F9" w:rsidRDefault="008831F9" w:rsidP="008831F9">
            <w:pPr>
              <w:pStyle w:val="Tekstpodstawowy"/>
              <w:spacing w:line="240" w:lineRule="auto"/>
              <w:jc w:val="both"/>
              <w:rPr>
                <w:rFonts w:asciiTheme="minorHAnsi" w:hAnsiTheme="minorHAnsi" w:cstheme="minorHAnsi"/>
                <w:sz w:val="20"/>
                <w:szCs w:val="20"/>
                <w:lang w:val="pl-PL"/>
              </w:rPr>
            </w:pPr>
          </w:p>
          <w:p w14:paraId="25438AF8" w14:textId="77777777" w:rsidR="008831F9" w:rsidRPr="008831F9" w:rsidRDefault="008831F9" w:rsidP="008831F9">
            <w:pPr>
              <w:pStyle w:val="Tekstpodstawowy"/>
              <w:spacing w:line="240" w:lineRule="auto"/>
              <w:jc w:val="both"/>
              <w:rPr>
                <w:rFonts w:asciiTheme="minorHAnsi" w:hAnsiTheme="minorHAnsi" w:cstheme="minorHAnsi"/>
                <w:sz w:val="20"/>
                <w:szCs w:val="20"/>
              </w:rPr>
            </w:pPr>
            <w:r w:rsidRPr="008831F9">
              <w:rPr>
                <w:rFonts w:asciiTheme="minorHAnsi" w:hAnsiTheme="minorHAnsi" w:cstheme="minorHAnsi"/>
                <w:sz w:val="20"/>
                <w:szCs w:val="20"/>
              </w:rPr>
              <w:t>Z</w:t>
            </w:r>
          </w:p>
        </w:tc>
        <w:tc>
          <w:tcPr>
            <w:tcW w:w="4110" w:type="dxa"/>
            <w:tcBorders>
              <w:top w:val="single" w:sz="4" w:space="0" w:color="000000"/>
              <w:left w:val="single" w:sz="4" w:space="0" w:color="000000"/>
              <w:bottom w:val="single" w:sz="4" w:space="0" w:color="000000"/>
              <w:right w:val="single" w:sz="4" w:space="0" w:color="000000"/>
            </w:tcBorders>
            <w:hideMark/>
          </w:tcPr>
          <w:p w14:paraId="2B37190C" w14:textId="77777777" w:rsidR="008831F9" w:rsidRPr="008831F9" w:rsidRDefault="008831F9" w:rsidP="008831F9">
            <w:pPr>
              <w:pStyle w:val="Tekstpodstawowy"/>
              <w:spacing w:line="240" w:lineRule="auto"/>
              <w:rPr>
                <w:rFonts w:asciiTheme="minorHAnsi" w:hAnsiTheme="minorHAnsi" w:cstheme="minorHAnsi"/>
                <w:sz w:val="20"/>
                <w:szCs w:val="20"/>
                <w:lang w:val="pl-PL"/>
              </w:rPr>
            </w:pPr>
            <w:r w:rsidRPr="008831F9">
              <w:rPr>
                <w:rFonts w:asciiTheme="minorHAnsi" w:hAnsiTheme="minorHAnsi" w:cstheme="minorHAnsi"/>
                <w:sz w:val="20"/>
                <w:szCs w:val="20"/>
                <w:lang w:val="pl-PL"/>
              </w:rPr>
              <w:t>Pasy ruchu zasadnicze, dodatkowe, włączenia i wyłączenia, postojowe</w:t>
            </w:r>
          </w:p>
        </w:tc>
        <w:tc>
          <w:tcPr>
            <w:tcW w:w="3261" w:type="dxa"/>
            <w:tcBorders>
              <w:top w:val="single" w:sz="4" w:space="0" w:color="000000"/>
              <w:left w:val="single" w:sz="4" w:space="0" w:color="000000"/>
              <w:bottom w:val="single" w:sz="4" w:space="0" w:color="000000"/>
              <w:right w:val="single" w:sz="4" w:space="0" w:color="000000"/>
            </w:tcBorders>
          </w:tcPr>
          <w:p w14:paraId="7BC8A9BD" w14:textId="77777777" w:rsidR="008831F9" w:rsidRPr="008831F9" w:rsidRDefault="008831F9" w:rsidP="008831F9">
            <w:pPr>
              <w:pStyle w:val="Tekstpodstawowy"/>
              <w:spacing w:line="240" w:lineRule="auto"/>
              <w:jc w:val="center"/>
              <w:rPr>
                <w:rFonts w:asciiTheme="minorHAnsi" w:hAnsiTheme="minorHAnsi" w:cstheme="minorHAnsi"/>
                <w:sz w:val="20"/>
                <w:szCs w:val="20"/>
                <w:lang w:val="pl-PL"/>
              </w:rPr>
            </w:pPr>
          </w:p>
          <w:p w14:paraId="5C24A355" w14:textId="77777777" w:rsidR="008831F9" w:rsidRPr="008831F9" w:rsidRDefault="008831F9" w:rsidP="008831F9">
            <w:pPr>
              <w:pStyle w:val="Tekstpodstawowy"/>
              <w:spacing w:line="240" w:lineRule="auto"/>
              <w:jc w:val="center"/>
              <w:rPr>
                <w:rFonts w:asciiTheme="minorHAnsi" w:hAnsiTheme="minorHAnsi" w:cstheme="minorHAnsi"/>
                <w:sz w:val="20"/>
                <w:szCs w:val="20"/>
              </w:rPr>
            </w:pPr>
            <w:r w:rsidRPr="008831F9">
              <w:rPr>
                <w:rFonts w:asciiTheme="minorHAnsi" w:hAnsiTheme="minorHAnsi" w:cstheme="minorHAnsi"/>
                <w:sz w:val="20"/>
                <w:szCs w:val="20"/>
              </w:rPr>
              <w:t>6</w:t>
            </w:r>
          </w:p>
        </w:tc>
      </w:tr>
      <w:tr w:rsidR="008831F9" w:rsidRPr="008831F9" w14:paraId="40C3B39B" w14:textId="77777777" w:rsidTr="008831F9">
        <w:trPr>
          <w:trHeight w:val="407"/>
        </w:trPr>
        <w:tc>
          <w:tcPr>
            <w:tcW w:w="1418" w:type="dxa"/>
            <w:vMerge/>
            <w:tcBorders>
              <w:top w:val="single" w:sz="4" w:space="0" w:color="000000"/>
              <w:left w:val="single" w:sz="4" w:space="0" w:color="000000"/>
              <w:bottom w:val="single" w:sz="4" w:space="0" w:color="000000"/>
              <w:right w:val="single" w:sz="4" w:space="0" w:color="000000"/>
            </w:tcBorders>
            <w:vAlign w:val="center"/>
            <w:hideMark/>
          </w:tcPr>
          <w:p w14:paraId="41EF9C39" w14:textId="77777777" w:rsidR="008831F9" w:rsidRPr="008831F9" w:rsidRDefault="008831F9" w:rsidP="008831F9">
            <w:pPr>
              <w:pStyle w:val="Tekstpodstawowy"/>
              <w:spacing w:line="240" w:lineRule="auto"/>
              <w:jc w:val="both"/>
              <w:rPr>
                <w:rFonts w:asciiTheme="minorHAnsi" w:hAnsiTheme="minorHAnsi" w:cstheme="minorHAnsi"/>
                <w:sz w:val="20"/>
                <w:szCs w:val="20"/>
              </w:rPr>
            </w:pPr>
          </w:p>
        </w:tc>
        <w:tc>
          <w:tcPr>
            <w:tcW w:w="4110" w:type="dxa"/>
            <w:tcBorders>
              <w:top w:val="single" w:sz="4" w:space="0" w:color="000000"/>
              <w:left w:val="single" w:sz="4" w:space="0" w:color="000000"/>
              <w:bottom w:val="single" w:sz="4" w:space="0" w:color="000000"/>
              <w:right w:val="single" w:sz="4" w:space="0" w:color="000000"/>
            </w:tcBorders>
            <w:hideMark/>
          </w:tcPr>
          <w:p w14:paraId="20490D40" w14:textId="77777777" w:rsidR="008831F9" w:rsidRPr="008831F9" w:rsidRDefault="008831F9" w:rsidP="008831F9">
            <w:pPr>
              <w:pStyle w:val="Tekstpodstawowy"/>
              <w:spacing w:line="240" w:lineRule="auto"/>
              <w:rPr>
                <w:rFonts w:asciiTheme="minorHAnsi" w:hAnsiTheme="minorHAnsi" w:cstheme="minorHAnsi"/>
                <w:sz w:val="20"/>
                <w:szCs w:val="20"/>
              </w:rPr>
            </w:pPr>
            <w:r w:rsidRPr="008831F9">
              <w:rPr>
                <w:rFonts w:asciiTheme="minorHAnsi" w:hAnsiTheme="minorHAnsi" w:cstheme="minorHAnsi"/>
                <w:sz w:val="20"/>
                <w:szCs w:val="20"/>
              </w:rPr>
              <w:t>Utwardzone pobocza</w:t>
            </w:r>
          </w:p>
        </w:tc>
        <w:tc>
          <w:tcPr>
            <w:tcW w:w="3261" w:type="dxa"/>
            <w:tcBorders>
              <w:top w:val="single" w:sz="4" w:space="0" w:color="000000"/>
              <w:left w:val="single" w:sz="4" w:space="0" w:color="000000"/>
              <w:bottom w:val="single" w:sz="4" w:space="0" w:color="000000"/>
              <w:right w:val="single" w:sz="4" w:space="0" w:color="000000"/>
            </w:tcBorders>
            <w:hideMark/>
          </w:tcPr>
          <w:p w14:paraId="2D8E2239" w14:textId="77777777" w:rsidR="008831F9" w:rsidRPr="008831F9" w:rsidRDefault="008831F9" w:rsidP="008831F9">
            <w:pPr>
              <w:pStyle w:val="Tekstpodstawowy"/>
              <w:spacing w:line="240" w:lineRule="auto"/>
              <w:jc w:val="center"/>
              <w:rPr>
                <w:rFonts w:asciiTheme="minorHAnsi" w:hAnsiTheme="minorHAnsi" w:cstheme="minorHAnsi"/>
                <w:sz w:val="20"/>
                <w:szCs w:val="20"/>
              </w:rPr>
            </w:pPr>
            <w:r w:rsidRPr="008831F9">
              <w:rPr>
                <w:rFonts w:asciiTheme="minorHAnsi" w:hAnsiTheme="minorHAnsi" w:cstheme="minorHAnsi"/>
                <w:sz w:val="20"/>
                <w:szCs w:val="20"/>
              </w:rPr>
              <w:t>9</w:t>
            </w:r>
          </w:p>
        </w:tc>
      </w:tr>
      <w:tr w:rsidR="008831F9" w:rsidRPr="008831F9" w14:paraId="66A8CD5D" w14:textId="77777777" w:rsidTr="008831F9">
        <w:trPr>
          <w:trHeight w:val="555"/>
        </w:trPr>
        <w:tc>
          <w:tcPr>
            <w:tcW w:w="1418" w:type="dxa"/>
            <w:tcBorders>
              <w:top w:val="single" w:sz="4" w:space="0" w:color="000000"/>
              <w:left w:val="single" w:sz="4" w:space="0" w:color="000000"/>
              <w:bottom w:val="single" w:sz="4" w:space="0" w:color="000000"/>
              <w:right w:val="single" w:sz="4" w:space="0" w:color="000000"/>
            </w:tcBorders>
            <w:hideMark/>
          </w:tcPr>
          <w:p w14:paraId="2ECE256A" w14:textId="77777777" w:rsidR="008831F9" w:rsidRPr="008831F9" w:rsidRDefault="008831F9" w:rsidP="008831F9">
            <w:pPr>
              <w:pStyle w:val="Tekstpodstawowy"/>
              <w:spacing w:line="240" w:lineRule="auto"/>
              <w:jc w:val="both"/>
              <w:rPr>
                <w:rFonts w:asciiTheme="minorHAnsi" w:hAnsiTheme="minorHAnsi" w:cstheme="minorHAnsi"/>
                <w:sz w:val="20"/>
                <w:szCs w:val="20"/>
              </w:rPr>
            </w:pPr>
            <w:r w:rsidRPr="008831F9">
              <w:rPr>
                <w:rFonts w:asciiTheme="minorHAnsi" w:hAnsiTheme="minorHAnsi" w:cstheme="minorHAnsi"/>
                <w:sz w:val="20"/>
                <w:szCs w:val="20"/>
              </w:rPr>
              <w:t>L,</w:t>
            </w:r>
            <w:r w:rsidRPr="008831F9">
              <w:rPr>
                <w:rFonts w:asciiTheme="minorHAnsi" w:hAnsiTheme="minorHAnsi" w:cstheme="minorHAnsi"/>
                <w:spacing w:val="-3"/>
                <w:sz w:val="20"/>
                <w:szCs w:val="20"/>
              </w:rPr>
              <w:t xml:space="preserve"> </w:t>
            </w:r>
            <w:r w:rsidRPr="008831F9">
              <w:rPr>
                <w:rFonts w:asciiTheme="minorHAnsi" w:hAnsiTheme="minorHAnsi" w:cstheme="minorHAnsi"/>
                <w:sz w:val="20"/>
                <w:szCs w:val="20"/>
              </w:rPr>
              <w:t>D,</w:t>
            </w:r>
          </w:p>
          <w:p w14:paraId="357E20C3" w14:textId="77777777" w:rsidR="008831F9" w:rsidRPr="008831F9" w:rsidRDefault="008831F9" w:rsidP="008831F9">
            <w:pPr>
              <w:pStyle w:val="Tekstpodstawowy"/>
              <w:spacing w:line="240" w:lineRule="auto"/>
              <w:jc w:val="both"/>
              <w:rPr>
                <w:rFonts w:asciiTheme="minorHAnsi" w:hAnsiTheme="minorHAnsi" w:cstheme="minorHAnsi"/>
                <w:sz w:val="20"/>
                <w:szCs w:val="20"/>
              </w:rPr>
            </w:pPr>
            <w:r w:rsidRPr="008831F9">
              <w:rPr>
                <w:rFonts w:asciiTheme="minorHAnsi" w:hAnsiTheme="minorHAnsi" w:cstheme="minorHAnsi"/>
                <w:sz w:val="20"/>
                <w:szCs w:val="20"/>
              </w:rPr>
              <w:t>place, parkingi</w:t>
            </w:r>
          </w:p>
        </w:tc>
        <w:tc>
          <w:tcPr>
            <w:tcW w:w="4110" w:type="dxa"/>
            <w:tcBorders>
              <w:top w:val="single" w:sz="4" w:space="0" w:color="000000"/>
              <w:left w:val="single" w:sz="4" w:space="0" w:color="000000"/>
              <w:bottom w:val="single" w:sz="4" w:space="0" w:color="000000"/>
              <w:right w:val="single" w:sz="4" w:space="0" w:color="000000"/>
            </w:tcBorders>
            <w:hideMark/>
          </w:tcPr>
          <w:p w14:paraId="42BB96BB" w14:textId="77777777" w:rsidR="008831F9" w:rsidRPr="008831F9" w:rsidRDefault="008831F9" w:rsidP="008831F9">
            <w:pPr>
              <w:pStyle w:val="Tekstpodstawowy"/>
              <w:spacing w:line="240" w:lineRule="auto"/>
              <w:rPr>
                <w:rFonts w:asciiTheme="minorHAnsi" w:hAnsiTheme="minorHAnsi" w:cstheme="minorHAnsi"/>
                <w:sz w:val="20"/>
                <w:szCs w:val="20"/>
                <w:lang w:val="pl-PL"/>
              </w:rPr>
            </w:pPr>
            <w:r w:rsidRPr="008831F9">
              <w:rPr>
                <w:rFonts w:asciiTheme="minorHAnsi" w:hAnsiTheme="minorHAnsi" w:cstheme="minorHAnsi"/>
                <w:sz w:val="20"/>
                <w:szCs w:val="20"/>
                <w:lang w:val="pl-PL"/>
              </w:rPr>
              <w:t>Wszystkie pasy ruchu i powierzchnie przeznaczone do ruchu i postoju pojazdów</w:t>
            </w:r>
          </w:p>
        </w:tc>
        <w:tc>
          <w:tcPr>
            <w:tcW w:w="3261" w:type="dxa"/>
            <w:tcBorders>
              <w:top w:val="single" w:sz="4" w:space="0" w:color="000000"/>
              <w:left w:val="single" w:sz="4" w:space="0" w:color="000000"/>
              <w:bottom w:val="single" w:sz="4" w:space="0" w:color="000000"/>
              <w:right w:val="single" w:sz="4" w:space="0" w:color="000000"/>
            </w:tcBorders>
          </w:tcPr>
          <w:p w14:paraId="31925F1F" w14:textId="77777777" w:rsidR="008831F9" w:rsidRPr="008831F9" w:rsidRDefault="008831F9" w:rsidP="008831F9">
            <w:pPr>
              <w:pStyle w:val="Tekstpodstawowy"/>
              <w:spacing w:line="240" w:lineRule="auto"/>
              <w:jc w:val="center"/>
              <w:rPr>
                <w:rFonts w:asciiTheme="minorHAnsi" w:hAnsiTheme="minorHAnsi" w:cstheme="minorHAnsi"/>
                <w:sz w:val="20"/>
                <w:szCs w:val="20"/>
                <w:lang w:val="pl-PL"/>
              </w:rPr>
            </w:pPr>
          </w:p>
          <w:p w14:paraId="57580446" w14:textId="77777777" w:rsidR="008831F9" w:rsidRPr="008831F9" w:rsidRDefault="008831F9" w:rsidP="008831F9">
            <w:pPr>
              <w:pStyle w:val="Tekstpodstawowy"/>
              <w:spacing w:line="240" w:lineRule="auto"/>
              <w:jc w:val="center"/>
              <w:rPr>
                <w:rFonts w:asciiTheme="minorHAnsi" w:hAnsiTheme="minorHAnsi" w:cstheme="minorHAnsi"/>
                <w:sz w:val="20"/>
                <w:szCs w:val="20"/>
              </w:rPr>
            </w:pPr>
            <w:r w:rsidRPr="008831F9">
              <w:rPr>
                <w:rFonts w:asciiTheme="minorHAnsi" w:hAnsiTheme="minorHAnsi" w:cstheme="minorHAnsi"/>
                <w:sz w:val="20"/>
                <w:szCs w:val="20"/>
              </w:rPr>
              <w:t>9</w:t>
            </w:r>
          </w:p>
        </w:tc>
      </w:tr>
    </w:tbl>
    <w:p w14:paraId="74DB641D" w14:textId="77777777" w:rsidR="008831F9" w:rsidRPr="008831F9" w:rsidRDefault="008831F9" w:rsidP="008831F9">
      <w:pPr>
        <w:pStyle w:val="Tekstpodstawowy"/>
        <w:spacing w:line="240" w:lineRule="auto"/>
        <w:jc w:val="both"/>
        <w:rPr>
          <w:rFonts w:asciiTheme="minorHAnsi" w:hAnsiTheme="minorHAnsi" w:cstheme="minorHAnsi"/>
          <w:sz w:val="20"/>
          <w:szCs w:val="20"/>
        </w:rPr>
      </w:pPr>
    </w:p>
    <w:p w14:paraId="1F9CABFE" w14:textId="77777777" w:rsidR="008831F9" w:rsidRPr="008831F9" w:rsidRDefault="008831F9" w:rsidP="008831F9">
      <w:pPr>
        <w:pStyle w:val="Tekstpodstawowy"/>
        <w:spacing w:line="240" w:lineRule="auto"/>
        <w:jc w:val="both"/>
        <w:rPr>
          <w:rFonts w:asciiTheme="minorHAnsi" w:hAnsiTheme="minorHAnsi" w:cstheme="minorHAnsi"/>
          <w:b/>
          <w:i/>
          <w:sz w:val="20"/>
          <w:szCs w:val="20"/>
        </w:rPr>
      </w:pPr>
      <w:r w:rsidRPr="008831F9">
        <w:rPr>
          <w:rFonts w:asciiTheme="minorHAnsi" w:hAnsiTheme="minorHAnsi" w:cstheme="minorHAnsi"/>
          <w:b/>
          <w:i/>
          <w:sz w:val="20"/>
          <w:szCs w:val="20"/>
        </w:rPr>
        <w:t>6.4.3.2  Ocena równości</w:t>
      </w:r>
      <w:r w:rsidRPr="008831F9">
        <w:rPr>
          <w:rFonts w:asciiTheme="minorHAnsi" w:hAnsiTheme="minorHAnsi" w:cstheme="minorHAnsi"/>
          <w:b/>
          <w:i/>
          <w:spacing w:val="3"/>
          <w:sz w:val="20"/>
          <w:szCs w:val="20"/>
        </w:rPr>
        <w:t xml:space="preserve"> </w:t>
      </w:r>
      <w:r w:rsidRPr="008831F9">
        <w:rPr>
          <w:rFonts w:asciiTheme="minorHAnsi" w:hAnsiTheme="minorHAnsi" w:cstheme="minorHAnsi"/>
          <w:b/>
          <w:i/>
          <w:sz w:val="20"/>
          <w:szCs w:val="20"/>
        </w:rPr>
        <w:t>poprzecznej</w:t>
      </w:r>
    </w:p>
    <w:p w14:paraId="587EE1B3" w14:textId="77777777" w:rsidR="008831F9" w:rsidRPr="008831F9" w:rsidRDefault="008831F9" w:rsidP="008831F9">
      <w:pPr>
        <w:pStyle w:val="Tekstpodstawowy"/>
        <w:spacing w:line="240" w:lineRule="auto"/>
        <w:jc w:val="both"/>
        <w:rPr>
          <w:rFonts w:asciiTheme="minorHAnsi" w:hAnsiTheme="minorHAnsi" w:cstheme="minorHAnsi"/>
          <w:sz w:val="20"/>
          <w:szCs w:val="20"/>
        </w:rPr>
      </w:pPr>
      <w:r w:rsidRPr="008831F9">
        <w:rPr>
          <w:rFonts w:asciiTheme="minorHAnsi" w:hAnsiTheme="minorHAnsi" w:cstheme="minorHAnsi"/>
          <w:sz w:val="20"/>
          <w:szCs w:val="20"/>
        </w:rPr>
        <w:t>Do oceny równości poprzecznej warstw nawierzchni dróg wszystkich klas technicznych oraz placów i parkingów należy stosować metodę pomiaru profilometrycznego równoważną użyciu łaty i klina, umożliwiającą wyznaczenie odchylenia równości w przekroju poprzecznym pasa ruchu/elementu drogi. Odchylenie to jest obliczane jako największa odległość (prześwit) pomiędzy teoretyczną łatą (o długości 2 m), a zarejestrowanym profilem poprzecznym warstwy. Efektywna szerokość pomiarowa jest równa szerokości mierzonego pasa ruchu (elementu nawierzchni) z tolerancją ±15%. Wartość odchylenia równości poprzecznej należy wyznaczać z krokiem co 1 m. W miejscach niedostępnych dla profilografu pomiar równości poprzecznej warstw nawierzchni należy wykonać z użyciem łaty i klina. Długość łaty w pomiarze równości poprzecznej powinna wynosić 2 m. Pomiar powinien być wykonywany nie rzadziej niż co 5 m. Wartości dopuszczalne odchyleń równości poprzecznej przy odbiorze warstwy określa tablica 7.</w:t>
      </w:r>
    </w:p>
    <w:p w14:paraId="16A5733C" w14:textId="77777777" w:rsidR="008831F9" w:rsidRPr="008831F9" w:rsidRDefault="008831F9" w:rsidP="008831F9">
      <w:pPr>
        <w:pStyle w:val="Tekstpodstawowy"/>
        <w:spacing w:line="240" w:lineRule="auto"/>
        <w:jc w:val="both"/>
        <w:rPr>
          <w:rFonts w:asciiTheme="minorHAnsi" w:hAnsiTheme="minorHAnsi" w:cstheme="minorHAnsi"/>
          <w:sz w:val="20"/>
          <w:szCs w:val="20"/>
        </w:rPr>
      </w:pPr>
    </w:p>
    <w:p w14:paraId="64428B27" w14:textId="77777777" w:rsidR="008831F9" w:rsidRPr="008831F9" w:rsidRDefault="008831F9" w:rsidP="008831F9">
      <w:pPr>
        <w:pStyle w:val="Tekstpodstawowy"/>
        <w:spacing w:line="240" w:lineRule="auto"/>
        <w:jc w:val="both"/>
        <w:rPr>
          <w:rFonts w:asciiTheme="minorHAnsi" w:hAnsiTheme="minorHAnsi" w:cstheme="minorHAnsi"/>
          <w:sz w:val="20"/>
          <w:szCs w:val="20"/>
        </w:rPr>
      </w:pPr>
      <w:r w:rsidRPr="008831F9">
        <w:rPr>
          <w:rFonts w:asciiTheme="minorHAnsi" w:hAnsiTheme="minorHAnsi" w:cstheme="minorHAnsi"/>
          <w:sz w:val="20"/>
          <w:szCs w:val="20"/>
        </w:rPr>
        <w:t>Tablica 7. Wartości dopuszczalne odchyleń równości poprzecznej przy odbiorze warstwy</w:t>
      </w:r>
    </w:p>
    <w:tbl>
      <w:tblPr>
        <w:tblStyle w:val="TableNormal"/>
        <w:tblW w:w="8931"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01"/>
        <w:gridCol w:w="4395"/>
        <w:gridCol w:w="2835"/>
      </w:tblGrid>
      <w:tr w:rsidR="008831F9" w:rsidRPr="008831F9" w14:paraId="33A88148" w14:textId="77777777" w:rsidTr="008831F9">
        <w:trPr>
          <w:trHeight w:val="1396"/>
        </w:trPr>
        <w:tc>
          <w:tcPr>
            <w:tcW w:w="1701" w:type="dxa"/>
            <w:tcBorders>
              <w:top w:val="single" w:sz="4" w:space="0" w:color="000000"/>
              <w:left w:val="single" w:sz="4" w:space="0" w:color="000000"/>
              <w:bottom w:val="single" w:sz="4" w:space="0" w:color="000000"/>
              <w:right w:val="single" w:sz="4" w:space="0" w:color="000000"/>
            </w:tcBorders>
          </w:tcPr>
          <w:p w14:paraId="67E14682" w14:textId="77777777" w:rsidR="008831F9" w:rsidRPr="008831F9" w:rsidRDefault="008831F9" w:rsidP="008831F9">
            <w:pPr>
              <w:pStyle w:val="Tekstpodstawowy"/>
              <w:spacing w:line="240" w:lineRule="auto"/>
              <w:jc w:val="center"/>
              <w:rPr>
                <w:rFonts w:asciiTheme="minorHAnsi" w:hAnsiTheme="minorHAnsi" w:cstheme="minorHAnsi"/>
                <w:sz w:val="20"/>
                <w:szCs w:val="20"/>
                <w:lang w:val="pl-PL"/>
              </w:rPr>
            </w:pPr>
          </w:p>
          <w:p w14:paraId="485AE648" w14:textId="77777777" w:rsidR="008831F9" w:rsidRPr="008831F9" w:rsidRDefault="008831F9" w:rsidP="008831F9">
            <w:pPr>
              <w:pStyle w:val="Tekstpodstawowy"/>
              <w:spacing w:line="240" w:lineRule="auto"/>
              <w:jc w:val="center"/>
              <w:rPr>
                <w:rFonts w:asciiTheme="minorHAnsi" w:hAnsiTheme="minorHAnsi" w:cstheme="minorHAnsi"/>
                <w:sz w:val="20"/>
                <w:szCs w:val="20"/>
                <w:lang w:val="pl-PL"/>
              </w:rPr>
            </w:pPr>
          </w:p>
          <w:p w14:paraId="62413810" w14:textId="77777777" w:rsidR="008831F9" w:rsidRPr="008831F9" w:rsidRDefault="008831F9" w:rsidP="008831F9">
            <w:pPr>
              <w:pStyle w:val="Tekstpodstawowy"/>
              <w:spacing w:line="240" w:lineRule="auto"/>
              <w:jc w:val="center"/>
              <w:rPr>
                <w:rFonts w:asciiTheme="minorHAnsi" w:hAnsiTheme="minorHAnsi" w:cstheme="minorHAnsi"/>
                <w:sz w:val="20"/>
                <w:szCs w:val="20"/>
              </w:rPr>
            </w:pPr>
            <w:r w:rsidRPr="008831F9">
              <w:rPr>
                <w:rFonts w:asciiTheme="minorHAnsi" w:hAnsiTheme="minorHAnsi" w:cstheme="minorHAnsi"/>
                <w:sz w:val="20"/>
                <w:szCs w:val="20"/>
              </w:rPr>
              <w:t>Klasa drogi</w:t>
            </w:r>
          </w:p>
        </w:tc>
        <w:tc>
          <w:tcPr>
            <w:tcW w:w="4395" w:type="dxa"/>
            <w:tcBorders>
              <w:top w:val="single" w:sz="4" w:space="0" w:color="000000"/>
              <w:left w:val="single" w:sz="4" w:space="0" w:color="000000"/>
              <w:bottom w:val="single" w:sz="4" w:space="0" w:color="000000"/>
              <w:right w:val="single" w:sz="4" w:space="0" w:color="000000"/>
            </w:tcBorders>
          </w:tcPr>
          <w:p w14:paraId="7B10AAD4" w14:textId="77777777" w:rsidR="008831F9" w:rsidRPr="008831F9" w:rsidRDefault="008831F9" w:rsidP="008831F9">
            <w:pPr>
              <w:pStyle w:val="Tekstpodstawowy"/>
              <w:spacing w:line="240" w:lineRule="auto"/>
              <w:jc w:val="center"/>
              <w:rPr>
                <w:rFonts w:asciiTheme="minorHAnsi" w:hAnsiTheme="minorHAnsi" w:cstheme="minorHAnsi"/>
                <w:sz w:val="20"/>
                <w:szCs w:val="20"/>
              </w:rPr>
            </w:pPr>
          </w:p>
          <w:p w14:paraId="4976923B" w14:textId="77777777" w:rsidR="008831F9" w:rsidRPr="008831F9" w:rsidRDefault="008831F9" w:rsidP="008831F9">
            <w:pPr>
              <w:pStyle w:val="Tekstpodstawowy"/>
              <w:spacing w:line="240" w:lineRule="auto"/>
              <w:jc w:val="center"/>
              <w:rPr>
                <w:rFonts w:asciiTheme="minorHAnsi" w:hAnsiTheme="minorHAnsi" w:cstheme="minorHAnsi"/>
                <w:sz w:val="20"/>
                <w:szCs w:val="20"/>
              </w:rPr>
            </w:pPr>
          </w:p>
          <w:p w14:paraId="64D4CE27" w14:textId="77777777" w:rsidR="008831F9" w:rsidRPr="008831F9" w:rsidRDefault="008831F9" w:rsidP="008831F9">
            <w:pPr>
              <w:pStyle w:val="Tekstpodstawowy"/>
              <w:spacing w:line="240" w:lineRule="auto"/>
              <w:jc w:val="center"/>
              <w:rPr>
                <w:rFonts w:asciiTheme="minorHAnsi" w:hAnsiTheme="minorHAnsi" w:cstheme="minorHAnsi"/>
                <w:sz w:val="20"/>
                <w:szCs w:val="20"/>
              </w:rPr>
            </w:pPr>
            <w:r w:rsidRPr="008831F9">
              <w:rPr>
                <w:rFonts w:asciiTheme="minorHAnsi" w:hAnsiTheme="minorHAnsi" w:cstheme="minorHAnsi"/>
                <w:sz w:val="20"/>
                <w:szCs w:val="20"/>
              </w:rPr>
              <w:t>Element nawierzchni</w:t>
            </w:r>
          </w:p>
        </w:tc>
        <w:tc>
          <w:tcPr>
            <w:tcW w:w="2835" w:type="dxa"/>
            <w:tcBorders>
              <w:top w:val="single" w:sz="4" w:space="0" w:color="000000"/>
              <w:left w:val="single" w:sz="4" w:space="0" w:color="000000"/>
              <w:bottom w:val="single" w:sz="4" w:space="0" w:color="000000"/>
              <w:right w:val="single" w:sz="4" w:space="0" w:color="000000"/>
            </w:tcBorders>
            <w:hideMark/>
          </w:tcPr>
          <w:p w14:paraId="52F59D83" w14:textId="77777777" w:rsidR="008831F9" w:rsidRPr="008831F9" w:rsidRDefault="008831F9" w:rsidP="008831F9">
            <w:pPr>
              <w:pStyle w:val="Tekstpodstawowy"/>
              <w:spacing w:line="240" w:lineRule="auto"/>
              <w:jc w:val="center"/>
              <w:rPr>
                <w:rFonts w:asciiTheme="minorHAnsi" w:hAnsiTheme="minorHAnsi" w:cstheme="minorHAnsi"/>
                <w:sz w:val="20"/>
                <w:szCs w:val="20"/>
                <w:lang w:val="pl-PL"/>
              </w:rPr>
            </w:pPr>
            <w:r w:rsidRPr="008831F9">
              <w:rPr>
                <w:rFonts w:asciiTheme="minorHAnsi" w:hAnsiTheme="minorHAnsi" w:cstheme="minorHAnsi"/>
                <w:sz w:val="20"/>
                <w:szCs w:val="20"/>
                <w:lang w:val="pl-PL"/>
              </w:rPr>
              <w:t>Dopuszczalne odbiorcze wartości odchyleń równości podłużnej warstwy ścieralnej [mm]</w:t>
            </w:r>
          </w:p>
        </w:tc>
      </w:tr>
      <w:tr w:rsidR="008831F9" w:rsidRPr="008831F9" w14:paraId="019C5CC6" w14:textId="77777777" w:rsidTr="008831F9">
        <w:trPr>
          <w:trHeight w:val="451"/>
        </w:trPr>
        <w:tc>
          <w:tcPr>
            <w:tcW w:w="1701" w:type="dxa"/>
            <w:vMerge w:val="restart"/>
            <w:tcBorders>
              <w:top w:val="single" w:sz="4" w:space="0" w:color="000000"/>
              <w:left w:val="single" w:sz="4" w:space="0" w:color="000000"/>
              <w:bottom w:val="single" w:sz="4" w:space="0" w:color="000000"/>
              <w:right w:val="single" w:sz="4" w:space="0" w:color="000000"/>
            </w:tcBorders>
            <w:hideMark/>
          </w:tcPr>
          <w:p w14:paraId="62748710" w14:textId="77777777" w:rsidR="008831F9" w:rsidRPr="008831F9" w:rsidRDefault="008831F9" w:rsidP="008831F9">
            <w:pPr>
              <w:pStyle w:val="Tekstpodstawowy"/>
              <w:spacing w:line="240" w:lineRule="auto"/>
              <w:jc w:val="both"/>
              <w:rPr>
                <w:rFonts w:asciiTheme="minorHAnsi" w:hAnsiTheme="minorHAnsi" w:cstheme="minorHAnsi"/>
                <w:sz w:val="20"/>
                <w:szCs w:val="20"/>
              </w:rPr>
            </w:pPr>
            <w:r w:rsidRPr="008831F9">
              <w:rPr>
                <w:rFonts w:asciiTheme="minorHAnsi" w:hAnsiTheme="minorHAnsi" w:cstheme="minorHAnsi"/>
                <w:sz w:val="20"/>
                <w:szCs w:val="20"/>
              </w:rPr>
              <w:t>GP</w:t>
            </w:r>
          </w:p>
        </w:tc>
        <w:tc>
          <w:tcPr>
            <w:tcW w:w="4395" w:type="dxa"/>
            <w:tcBorders>
              <w:top w:val="single" w:sz="4" w:space="0" w:color="000000"/>
              <w:left w:val="single" w:sz="4" w:space="0" w:color="000000"/>
              <w:bottom w:val="single" w:sz="4" w:space="0" w:color="000000"/>
              <w:right w:val="single" w:sz="4" w:space="0" w:color="000000"/>
            </w:tcBorders>
            <w:hideMark/>
          </w:tcPr>
          <w:p w14:paraId="2B6E5DD6" w14:textId="77777777" w:rsidR="008831F9" w:rsidRPr="008831F9" w:rsidRDefault="008831F9" w:rsidP="008831F9">
            <w:pPr>
              <w:pStyle w:val="Tekstpodstawowy"/>
              <w:spacing w:line="240" w:lineRule="auto"/>
              <w:rPr>
                <w:rFonts w:asciiTheme="minorHAnsi" w:hAnsiTheme="minorHAnsi" w:cstheme="minorHAnsi"/>
                <w:sz w:val="20"/>
                <w:szCs w:val="20"/>
                <w:lang w:val="pl-PL"/>
              </w:rPr>
            </w:pPr>
            <w:r w:rsidRPr="008831F9">
              <w:rPr>
                <w:rFonts w:asciiTheme="minorHAnsi" w:hAnsiTheme="minorHAnsi" w:cstheme="minorHAnsi"/>
                <w:sz w:val="20"/>
                <w:szCs w:val="20"/>
                <w:lang w:val="pl-PL"/>
              </w:rPr>
              <w:t>Pasy ruchu zasadnicze, awaryjne, dodatkowe,</w:t>
            </w:r>
          </w:p>
          <w:p w14:paraId="4412993C" w14:textId="77777777" w:rsidR="008831F9" w:rsidRPr="008831F9" w:rsidRDefault="008831F9" w:rsidP="008831F9">
            <w:pPr>
              <w:pStyle w:val="Tekstpodstawowy"/>
              <w:spacing w:line="240" w:lineRule="auto"/>
              <w:rPr>
                <w:rFonts w:asciiTheme="minorHAnsi" w:hAnsiTheme="minorHAnsi" w:cstheme="minorHAnsi"/>
                <w:sz w:val="20"/>
                <w:szCs w:val="20"/>
                <w:lang w:val="pl-PL"/>
              </w:rPr>
            </w:pPr>
            <w:r w:rsidRPr="008831F9">
              <w:rPr>
                <w:rFonts w:asciiTheme="minorHAnsi" w:hAnsiTheme="minorHAnsi" w:cstheme="minorHAnsi"/>
                <w:sz w:val="20"/>
                <w:szCs w:val="20"/>
                <w:lang w:val="pl-PL"/>
              </w:rPr>
              <w:t>włączenia i wyłączenia, jezdnie łącznic</w:t>
            </w:r>
          </w:p>
        </w:tc>
        <w:tc>
          <w:tcPr>
            <w:tcW w:w="2835" w:type="dxa"/>
            <w:tcBorders>
              <w:top w:val="single" w:sz="4" w:space="0" w:color="000000"/>
              <w:left w:val="single" w:sz="4" w:space="0" w:color="000000"/>
              <w:bottom w:val="single" w:sz="4" w:space="0" w:color="000000"/>
              <w:right w:val="single" w:sz="4" w:space="0" w:color="000000"/>
            </w:tcBorders>
            <w:hideMark/>
          </w:tcPr>
          <w:p w14:paraId="188D5902" w14:textId="77777777" w:rsidR="008831F9" w:rsidRPr="008831F9" w:rsidRDefault="008831F9" w:rsidP="008831F9">
            <w:pPr>
              <w:pStyle w:val="Tekstpodstawowy"/>
              <w:spacing w:line="240" w:lineRule="auto"/>
              <w:jc w:val="center"/>
              <w:rPr>
                <w:rFonts w:asciiTheme="minorHAnsi" w:hAnsiTheme="minorHAnsi" w:cstheme="minorHAnsi"/>
                <w:sz w:val="20"/>
                <w:szCs w:val="20"/>
              </w:rPr>
            </w:pPr>
            <w:r w:rsidRPr="008831F9">
              <w:rPr>
                <w:rFonts w:asciiTheme="minorHAnsi" w:hAnsiTheme="minorHAnsi" w:cstheme="minorHAnsi"/>
                <w:sz w:val="20"/>
                <w:szCs w:val="20"/>
              </w:rPr>
              <w:t>4</w:t>
            </w:r>
          </w:p>
        </w:tc>
      </w:tr>
      <w:tr w:rsidR="008831F9" w:rsidRPr="008831F9" w14:paraId="3F6EB50B" w14:textId="77777777" w:rsidTr="008831F9">
        <w:trPr>
          <w:trHeight w:val="245"/>
        </w:trPr>
        <w:tc>
          <w:tcPr>
            <w:tcW w:w="1701" w:type="dxa"/>
            <w:vMerge/>
            <w:tcBorders>
              <w:left w:val="single" w:sz="4" w:space="0" w:color="000000"/>
              <w:bottom w:val="single" w:sz="4" w:space="0" w:color="000000"/>
              <w:right w:val="single" w:sz="4" w:space="0" w:color="000000"/>
            </w:tcBorders>
            <w:vAlign w:val="center"/>
            <w:hideMark/>
          </w:tcPr>
          <w:p w14:paraId="669FD080" w14:textId="77777777" w:rsidR="008831F9" w:rsidRPr="008831F9" w:rsidRDefault="008831F9" w:rsidP="008831F9">
            <w:pPr>
              <w:pStyle w:val="Tekstpodstawowy"/>
              <w:spacing w:line="240" w:lineRule="auto"/>
              <w:jc w:val="both"/>
              <w:rPr>
                <w:rFonts w:asciiTheme="minorHAnsi" w:hAnsiTheme="minorHAnsi" w:cstheme="minorHAnsi"/>
                <w:sz w:val="20"/>
                <w:szCs w:val="20"/>
              </w:rPr>
            </w:pPr>
          </w:p>
        </w:tc>
        <w:tc>
          <w:tcPr>
            <w:tcW w:w="4395" w:type="dxa"/>
            <w:tcBorders>
              <w:top w:val="single" w:sz="4" w:space="0" w:color="000000"/>
              <w:left w:val="single" w:sz="4" w:space="0" w:color="000000"/>
              <w:bottom w:val="single" w:sz="4" w:space="0" w:color="000000"/>
              <w:right w:val="single" w:sz="4" w:space="0" w:color="000000"/>
            </w:tcBorders>
            <w:hideMark/>
          </w:tcPr>
          <w:p w14:paraId="1C0E9DAA" w14:textId="77777777" w:rsidR="008831F9" w:rsidRPr="008831F9" w:rsidRDefault="008831F9" w:rsidP="008831F9">
            <w:pPr>
              <w:pStyle w:val="Tekstpodstawowy"/>
              <w:spacing w:line="240" w:lineRule="auto"/>
              <w:rPr>
                <w:rFonts w:asciiTheme="minorHAnsi" w:hAnsiTheme="minorHAnsi" w:cstheme="minorHAnsi"/>
                <w:sz w:val="20"/>
                <w:szCs w:val="20"/>
              </w:rPr>
            </w:pPr>
            <w:r w:rsidRPr="008831F9">
              <w:rPr>
                <w:rFonts w:asciiTheme="minorHAnsi" w:hAnsiTheme="minorHAnsi" w:cstheme="minorHAnsi"/>
                <w:sz w:val="20"/>
                <w:szCs w:val="20"/>
              </w:rPr>
              <w:t>Jezdnie MOP, utwardzone pobocza</w:t>
            </w:r>
          </w:p>
        </w:tc>
        <w:tc>
          <w:tcPr>
            <w:tcW w:w="2835" w:type="dxa"/>
            <w:tcBorders>
              <w:top w:val="single" w:sz="4" w:space="0" w:color="000000"/>
              <w:left w:val="single" w:sz="4" w:space="0" w:color="000000"/>
              <w:bottom w:val="single" w:sz="4" w:space="0" w:color="000000"/>
              <w:right w:val="single" w:sz="4" w:space="0" w:color="000000"/>
            </w:tcBorders>
          </w:tcPr>
          <w:p w14:paraId="77C3358E" w14:textId="77777777" w:rsidR="008831F9" w:rsidRPr="008831F9" w:rsidRDefault="008831F9" w:rsidP="008831F9">
            <w:pPr>
              <w:pStyle w:val="Tekstpodstawowy"/>
              <w:spacing w:line="240" w:lineRule="auto"/>
              <w:jc w:val="center"/>
              <w:rPr>
                <w:rFonts w:asciiTheme="minorHAnsi" w:hAnsiTheme="minorHAnsi" w:cstheme="minorHAnsi"/>
                <w:sz w:val="20"/>
                <w:szCs w:val="20"/>
              </w:rPr>
            </w:pPr>
          </w:p>
          <w:p w14:paraId="16EA8EA3" w14:textId="77777777" w:rsidR="008831F9" w:rsidRPr="008831F9" w:rsidRDefault="008831F9" w:rsidP="008831F9">
            <w:pPr>
              <w:pStyle w:val="Tekstpodstawowy"/>
              <w:spacing w:line="240" w:lineRule="auto"/>
              <w:jc w:val="center"/>
              <w:rPr>
                <w:rFonts w:asciiTheme="minorHAnsi" w:hAnsiTheme="minorHAnsi" w:cstheme="minorHAnsi"/>
                <w:sz w:val="20"/>
                <w:szCs w:val="20"/>
              </w:rPr>
            </w:pPr>
            <w:r w:rsidRPr="008831F9">
              <w:rPr>
                <w:rFonts w:asciiTheme="minorHAnsi" w:hAnsiTheme="minorHAnsi" w:cstheme="minorHAnsi"/>
                <w:sz w:val="20"/>
                <w:szCs w:val="20"/>
              </w:rPr>
              <w:t>6</w:t>
            </w:r>
          </w:p>
        </w:tc>
      </w:tr>
      <w:tr w:rsidR="008831F9" w:rsidRPr="008831F9" w14:paraId="768CEC9D" w14:textId="77777777" w:rsidTr="008831F9">
        <w:trPr>
          <w:trHeight w:val="451"/>
        </w:trPr>
        <w:tc>
          <w:tcPr>
            <w:tcW w:w="1701" w:type="dxa"/>
            <w:vMerge w:val="restart"/>
            <w:tcBorders>
              <w:top w:val="single" w:sz="4" w:space="0" w:color="000000"/>
              <w:left w:val="single" w:sz="4" w:space="0" w:color="000000"/>
              <w:bottom w:val="single" w:sz="4" w:space="0" w:color="000000"/>
              <w:right w:val="single" w:sz="4" w:space="0" w:color="000000"/>
            </w:tcBorders>
          </w:tcPr>
          <w:p w14:paraId="152438D2" w14:textId="77777777" w:rsidR="008831F9" w:rsidRPr="008831F9" w:rsidRDefault="008831F9" w:rsidP="008831F9">
            <w:pPr>
              <w:pStyle w:val="Tekstpodstawowy"/>
              <w:spacing w:line="240" w:lineRule="auto"/>
              <w:jc w:val="both"/>
              <w:rPr>
                <w:rFonts w:asciiTheme="minorHAnsi" w:hAnsiTheme="minorHAnsi" w:cstheme="minorHAnsi"/>
                <w:sz w:val="20"/>
                <w:szCs w:val="20"/>
              </w:rPr>
            </w:pPr>
          </w:p>
          <w:p w14:paraId="29A49141" w14:textId="77777777" w:rsidR="008831F9" w:rsidRPr="008831F9" w:rsidRDefault="008831F9" w:rsidP="008831F9">
            <w:pPr>
              <w:pStyle w:val="Tekstpodstawowy"/>
              <w:spacing w:line="240" w:lineRule="auto"/>
              <w:jc w:val="both"/>
              <w:rPr>
                <w:rFonts w:asciiTheme="minorHAnsi" w:hAnsiTheme="minorHAnsi" w:cstheme="minorHAnsi"/>
                <w:sz w:val="20"/>
                <w:szCs w:val="20"/>
              </w:rPr>
            </w:pPr>
          </w:p>
          <w:p w14:paraId="29653099" w14:textId="77777777" w:rsidR="008831F9" w:rsidRPr="008831F9" w:rsidRDefault="008831F9" w:rsidP="008831F9">
            <w:pPr>
              <w:pStyle w:val="Tekstpodstawowy"/>
              <w:spacing w:line="240" w:lineRule="auto"/>
              <w:jc w:val="both"/>
              <w:rPr>
                <w:rFonts w:asciiTheme="minorHAnsi" w:hAnsiTheme="minorHAnsi" w:cstheme="minorHAnsi"/>
                <w:sz w:val="20"/>
                <w:szCs w:val="20"/>
              </w:rPr>
            </w:pPr>
            <w:r w:rsidRPr="008831F9">
              <w:rPr>
                <w:rFonts w:asciiTheme="minorHAnsi" w:hAnsiTheme="minorHAnsi" w:cstheme="minorHAnsi"/>
                <w:sz w:val="20"/>
                <w:szCs w:val="20"/>
              </w:rPr>
              <w:t>G, Z</w:t>
            </w:r>
          </w:p>
        </w:tc>
        <w:tc>
          <w:tcPr>
            <w:tcW w:w="4395" w:type="dxa"/>
            <w:tcBorders>
              <w:top w:val="single" w:sz="4" w:space="0" w:color="000000"/>
              <w:left w:val="single" w:sz="4" w:space="0" w:color="000000"/>
              <w:bottom w:val="single" w:sz="4" w:space="0" w:color="000000"/>
              <w:right w:val="single" w:sz="4" w:space="0" w:color="000000"/>
            </w:tcBorders>
            <w:hideMark/>
          </w:tcPr>
          <w:p w14:paraId="2A062A16" w14:textId="77777777" w:rsidR="008831F9" w:rsidRPr="008831F9" w:rsidRDefault="008831F9" w:rsidP="008831F9">
            <w:pPr>
              <w:pStyle w:val="Tekstpodstawowy"/>
              <w:spacing w:line="240" w:lineRule="auto"/>
              <w:rPr>
                <w:rFonts w:asciiTheme="minorHAnsi" w:hAnsiTheme="minorHAnsi" w:cstheme="minorHAnsi"/>
                <w:sz w:val="20"/>
                <w:szCs w:val="20"/>
                <w:lang w:val="pl-PL"/>
              </w:rPr>
            </w:pPr>
            <w:r w:rsidRPr="008831F9">
              <w:rPr>
                <w:rFonts w:asciiTheme="minorHAnsi" w:hAnsiTheme="minorHAnsi" w:cstheme="minorHAnsi"/>
                <w:sz w:val="20"/>
                <w:szCs w:val="20"/>
                <w:lang w:val="pl-PL"/>
              </w:rPr>
              <w:t>Pasy ruchu zasadnicze, dodatkowe, włączenia i wyłączenia, postojowe</w:t>
            </w:r>
          </w:p>
        </w:tc>
        <w:tc>
          <w:tcPr>
            <w:tcW w:w="2835" w:type="dxa"/>
            <w:tcBorders>
              <w:top w:val="single" w:sz="4" w:space="0" w:color="000000"/>
              <w:left w:val="single" w:sz="4" w:space="0" w:color="000000"/>
              <w:bottom w:val="single" w:sz="4" w:space="0" w:color="000000"/>
              <w:right w:val="single" w:sz="4" w:space="0" w:color="000000"/>
            </w:tcBorders>
          </w:tcPr>
          <w:p w14:paraId="498952ED" w14:textId="77777777" w:rsidR="008831F9" w:rsidRPr="008831F9" w:rsidRDefault="008831F9" w:rsidP="008831F9">
            <w:pPr>
              <w:pStyle w:val="Tekstpodstawowy"/>
              <w:spacing w:line="240" w:lineRule="auto"/>
              <w:jc w:val="center"/>
              <w:rPr>
                <w:rFonts w:asciiTheme="minorHAnsi" w:hAnsiTheme="minorHAnsi" w:cstheme="minorHAnsi"/>
                <w:sz w:val="20"/>
                <w:szCs w:val="20"/>
                <w:lang w:val="pl-PL"/>
              </w:rPr>
            </w:pPr>
          </w:p>
          <w:p w14:paraId="343F2C22" w14:textId="77777777" w:rsidR="008831F9" w:rsidRPr="008831F9" w:rsidRDefault="008831F9" w:rsidP="008831F9">
            <w:pPr>
              <w:pStyle w:val="Tekstpodstawowy"/>
              <w:spacing w:line="240" w:lineRule="auto"/>
              <w:jc w:val="center"/>
              <w:rPr>
                <w:rFonts w:asciiTheme="minorHAnsi" w:hAnsiTheme="minorHAnsi" w:cstheme="minorHAnsi"/>
                <w:sz w:val="20"/>
                <w:szCs w:val="20"/>
              </w:rPr>
            </w:pPr>
            <w:r w:rsidRPr="008831F9">
              <w:rPr>
                <w:rFonts w:asciiTheme="minorHAnsi" w:hAnsiTheme="minorHAnsi" w:cstheme="minorHAnsi"/>
                <w:sz w:val="20"/>
                <w:szCs w:val="20"/>
              </w:rPr>
              <w:t>6</w:t>
            </w:r>
          </w:p>
        </w:tc>
      </w:tr>
      <w:tr w:rsidR="008831F9" w:rsidRPr="008831F9" w14:paraId="76ED3AD7" w14:textId="77777777" w:rsidTr="008831F9">
        <w:trPr>
          <w:trHeight w:val="246"/>
        </w:trPr>
        <w:tc>
          <w:tcPr>
            <w:tcW w:w="1701" w:type="dxa"/>
            <w:vMerge/>
            <w:tcBorders>
              <w:top w:val="single" w:sz="4" w:space="0" w:color="000000"/>
              <w:left w:val="single" w:sz="4" w:space="0" w:color="000000"/>
              <w:bottom w:val="single" w:sz="4" w:space="0" w:color="000000"/>
              <w:right w:val="single" w:sz="4" w:space="0" w:color="000000"/>
            </w:tcBorders>
            <w:vAlign w:val="center"/>
            <w:hideMark/>
          </w:tcPr>
          <w:p w14:paraId="175E4231" w14:textId="77777777" w:rsidR="008831F9" w:rsidRPr="008831F9" w:rsidRDefault="008831F9" w:rsidP="008831F9">
            <w:pPr>
              <w:pStyle w:val="Tekstpodstawowy"/>
              <w:spacing w:line="240" w:lineRule="auto"/>
              <w:jc w:val="both"/>
              <w:rPr>
                <w:rFonts w:asciiTheme="minorHAnsi" w:hAnsiTheme="minorHAnsi" w:cstheme="minorHAnsi"/>
                <w:sz w:val="20"/>
                <w:szCs w:val="20"/>
              </w:rPr>
            </w:pPr>
          </w:p>
        </w:tc>
        <w:tc>
          <w:tcPr>
            <w:tcW w:w="4395" w:type="dxa"/>
            <w:tcBorders>
              <w:top w:val="single" w:sz="4" w:space="0" w:color="000000"/>
              <w:left w:val="single" w:sz="4" w:space="0" w:color="000000"/>
              <w:bottom w:val="single" w:sz="4" w:space="0" w:color="000000"/>
              <w:right w:val="single" w:sz="4" w:space="0" w:color="000000"/>
            </w:tcBorders>
            <w:hideMark/>
          </w:tcPr>
          <w:p w14:paraId="161E0EB8" w14:textId="77777777" w:rsidR="008831F9" w:rsidRPr="008831F9" w:rsidRDefault="008831F9" w:rsidP="008831F9">
            <w:pPr>
              <w:pStyle w:val="Tekstpodstawowy"/>
              <w:spacing w:line="240" w:lineRule="auto"/>
              <w:rPr>
                <w:rFonts w:asciiTheme="minorHAnsi" w:hAnsiTheme="minorHAnsi" w:cstheme="minorHAnsi"/>
                <w:sz w:val="20"/>
                <w:szCs w:val="20"/>
              </w:rPr>
            </w:pPr>
            <w:r w:rsidRPr="008831F9">
              <w:rPr>
                <w:rFonts w:asciiTheme="minorHAnsi" w:hAnsiTheme="minorHAnsi" w:cstheme="minorHAnsi"/>
                <w:sz w:val="20"/>
                <w:szCs w:val="20"/>
              </w:rPr>
              <w:t>Utwardzone pobocza</w:t>
            </w:r>
          </w:p>
        </w:tc>
        <w:tc>
          <w:tcPr>
            <w:tcW w:w="2835" w:type="dxa"/>
            <w:tcBorders>
              <w:top w:val="single" w:sz="4" w:space="0" w:color="000000"/>
              <w:left w:val="single" w:sz="4" w:space="0" w:color="000000"/>
              <w:bottom w:val="single" w:sz="4" w:space="0" w:color="000000"/>
              <w:right w:val="single" w:sz="4" w:space="0" w:color="000000"/>
            </w:tcBorders>
            <w:hideMark/>
          </w:tcPr>
          <w:p w14:paraId="1A27762C" w14:textId="77777777" w:rsidR="008831F9" w:rsidRPr="008831F9" w:rsidRDefault="008831F9" w:rsidP="008831F9">
            <w:pPr>
              <w:pStyle w:val="Tekstpodstawowy"/>
              <w:spacing w:line="240" w:lineRule="auto"/>
              <w:jc w:val="center"/>
              <w:rPr>
                <w:rFonts w:asciiTheme="minorHAnsi" w:hAnsiTheme="minorHAnsi" w:cstheme="minorHAnsi"/>
                <w:sz w:val="20"/>
                <w:szCs w:val="20"/>
              </w:rPr>
            </w:pPr>
            <w:r w:rsidRPr="008831F9">
              <w:rPr>
                <w:rFonts w:asciiTheme="minorHAnsi" w:hAnsiTheme="minorHAnsi" w:cstheme="minorHAnsi"/>
                <w:sz w:val="20"/>
                <w:szCs w:val="20"/>
              </w:rPr>
              <w:t>9</w:t>
            </w:r>
          </w:p>
        </w:tc>
      </w:tr>
      <w:tr w:rsidR="008831F9" w:rsidRPr="008831F9" w14:paraId="01969B47" w14:textId="77777777" w:rsidTr="008831F9">
        <w:trPr>
          <w:trHeight w:val="547"/>
        </w:trPr>
        <w:tc>
          <w:tcPr>
            <w:tcW w:w="1701" w:type="dxa"/>
            <w:tcBorders>
              <w:top w:val="single" w:sz="4" w:space="0" w:color="000000"/>
              <w:left w:val="single" w:sz="4" w:space="0" w:color="000000"/>
              <w:bottom w:val="single" w:sz="4" w:space="0" w:color="000000"/>
              <w:right w:val="single" w:sz="4" w:space="0" w:color="000000"/>
            </w:tcBorders>
          </w:tcPr>
          <w:p w14:paraId="05F7478A" w14:textId="77777777" w:rsidR="008831F9" w:rsidRPr="008831F9" w:rsidRDefault="008831F9" w:rsidP="008831F9">
            <w:pPr>
              <w:pStyle w:val="Tekstpodstawowy"/>
              <w:spacing w:line="240" w:lineRule="auto"/>
              <w:jc w:val="both"/>
              <w:rPr>
                <w:rFonts w:asciiTheme="minorHAnsi" w:hAnsiTheme="minorHAnsi" w:cstheme="minorHAnsi"/>
                <w:sz w:val="20"/>
                <w:szCs w:val="20"/>
              </w:rPr>
            </w:pPr>
          </w:p>
          <w:p w14:paraId="7A802F4D" w14:textId="77777777" w:rsidR="008831F9" w:rsidRPr="008831F9" w:rsidRDefault="008831F9" w:rsidP="008831F9">
            <w:pPr>
              <w:pStyle w:val="Tekstpodstawowy"/>
              <w:spacing w:line="240" w:lineRule="auto"/>
              <w:jc w:val="both"/>
              <w:rPr>
                <w:rFonts w:asciiTheme="minorHAnsi" w:hAnsiTheme="minorHAnsi" w:cstheme="minorHAnsi"/>
                <w:sz w:val="20"/>
                <w:szCs w:val="20"/>
              </w:rPr>
            </w:pPr>
            <w:r w:rsidRPr="008831F9">
              <w:rPr>
                <w:rFonts w:asciiTheme="minorHAnsi" w:hAnsiTheme="minorHAnsi" w:cstheme="minorHAnsi"/>
                <w:sz w:val="20"/>
                <w:szCs w:val="20"/>
              </w:rPr>
              <w:t>L, D, place, parkingi</w:t>
            </w:r>
          </w:p>
        </w:tc>
        <w:tc>
          <w:tcPr>
            <w:tcW w:w="4395" w:type="dxa"/>
            <w:tcBorders>
              <w:top w:val="single" w:sz="4" w:space="0" w:color="000000"/>
              <w:left w:val="single" w:sz="4" w:space="0" w:color="000000"/>
              <w:bottom w:val="single" w:sz="4" w:space="0" w:color="000000"/>
              <w:right w:val="single" w:sz="4" w:space="0" w:color="000000"/>
            </w:tcBorders>
            <w:hideMark/>
          </w:tcPr>
          <w:p w14:paraId="22A3A9B1" w14:textId="77777777" w:rsidR="008831F9" w:rsidRPr="008831F9" w:rsidRDefault="008831F9" w:rsidP="008831F9">
            <w:pPr>
              <w:pStyle w:val="Tekstpodstawowy"/>
              <w:spacing w:line="240" w:lineRule="auto"/>
              <w:rPr>
                <w:rFonts w:asciiTheme="minorHAnsi" w:hAnsiTheme="minorHAnsi" w:cstheme="minorHAnsi"/>
                <w:sz w:val="20"/>
                <w:szCs w:val="20"/>
                <w:lang w:val="pl-PL"/>
              </w:rPr>
            </w:pPr>
            <w:r w:rsidRPr="008831F9">
              <w:rPr>
                <w:rFonts w:asciiTheme="minorHAnsi" w:hAnsiTheme="minorHAnsi" w:cstheme="minorHAnsi"/>
                <w:sz w:val="20"/>
                <w:szCs w:val="20"/>
                <w:lang w:val="pl-PL"/>
              </w:rPr>
              <w:t>Wszystkie pasy ruchu i powierzchnie przeznaczone do ruchu i postoju pojazdów</w:t>
            </w:r>
          </w:p>
        </w:tc>
        <w:tc>
          <w:tcPr>
            <w:tcW w:w="2835" w:type="dxa"/>
            <w:tcBorders>
              <w:top w:val="single" w:sz="4" w:space="0" w:color="000000"/>
              <w:left w:val="single" w:sz="4" w:space="0" w:color="000000"/>
              <w:bottom w:val="single" w:sz="4" w:space="0" w:color="000000"/>
              <w:right w:val="single" w:sz="4" w:space="0" w:color="000000"/>
            </w:tcBorders>
          </w:tcPr>
          <w:p w14:paraId="7BB1A392" w14:textId="77777777" w:rsidR="008831F9" w:rsidRPr="008831F9" w:rsidRDefault="008831F9" w:rsidP="008831F9">
            <w:pPr>
              <w:pStyle w:val="Tekstpodstawowy"/>
              <w:spacing w:line="240" w:lineRule="auto"/>
              <w:jc w:val="center"/>
              <w:rPr>
                <w:rFonts w:asciiTheme="minorHAnsi" w:hAnsiTheme="minorHAnsi" w:cstheme="minorHAnsi"/>
                <w:sz w:val="20"/>
                <w:szCs w:val="20"/>
                <w:lang w:val="pl-PL"/>
              </w:rPr>
            </w:pPr>
          </w:p>
          <w:p w14:paraId="68DD01B0" w14:textId="77777777" w:rsidR="008831F9" w:rsidRPr="008831F9" w:rsidRDefault="008831F9" w:rsidP="008831F9">
            <w:pPr>
              <w:pStyle w:val="Tekstpodstawowy"/>
              <w:spacing w:line="240" w:lineRule="auto"/>
              <w:jc w:val="center"/>
              <w:rPr>
                <w:rFonts w:asciiTheme="minorHAnsi" w:hAnsiTheme="minorHAnsi" w:cstheme="minorHAnsi"/>
                <w:sz w:val="20"/>
                <w:szCs w:val="20"/>
              </w:rPr>
            </w:pPr>
            <w:r w:rsidRPr="008831F9">
              <w:rPr>
                <w:rFonts w:asciiTheme="minorHAnsi" w:hAnsiTheme="minorHAnsi" w:cstheme="minorHAnsi"/>
                <w:sz w:val="20"/>
                <w:szCs w:val="20"/>
              </w:rPr>
              <w:t>9</w:t>
            </w:r>
          </w:p>
        </w:tc>
      </w:tr>
    </w:tbl>
    <w:p w14:paraId="09CF9A35" w14:textId="77777777" w:rsidR="008831F9" w:rsidRPr="008831F9" w:rsidRDefault="008831F9" w:rsidP="008831F9">
      <w:pPr>
        <w:pStyle w:val="Tekstpodstawowy"/>
        <w:spacing w:line="240" w:lineRule="auto"/>
        <w:jc w:val="both"/>
        <w:rPr>
          <w:rFonts w:asciiTheme="minorHAnsi" w:hAnsiTheme="minorHAnsi" w:cstheme="minorHAnsi"/>
          <w:sz w:val="20"/>
          <w:szCs w:val="20"/>
        </w:rPr>
      </w:pPr>
    </w:p>
    <w:p w14:paraId="7C5BAB8F" w14:textId="77777777" w:rsidR="008831F9" w:rsidRPr="008831F9" w:rsidRDefault="008831F9" w:rsidP="008831F9">
      <w:pPr>
        <w:pStyle w:val="Tekstpodstawowy"/>
        <w:spacing w:line="240" w:lineRule="auto"/>
        <w:jc w:val="both"/>
        <w:rPr>
          <w:rFonts w:asciiTheme="minorHAnsi" w:hAnsiTheme="minorHAnsi" w:cstheme="minorHAnsi"/>
          <w:b/>
          <w:sz w:val="20"/>
          <w:szCs w:val="20"/>
        </w:rPr>
      </w:pPr>
      <w:r w:rsidRPr="008831F9">
        <w:rPr>
          <w:rFonts w:asciiTheme="minorHAnsi" w:hAnsiTheme="minorHAnsi" w:cstheme="minorHAnsi"/>
          <w:b/>
          <w:sz w:val="20"/>
          <w:szCs w:val="20"/>
        </w:rPr>
        <w:t>6.4.4 Spadki</w:t>
      </w:r>
      <w:r w:rsidRPr="008831F9">
        <w:rPr>
          <w:rFonts w:asciiTheme="minorHAnsi" w:hAnsiTheme="minorHAnsi" w:cstheme="minorHAnsi"/>
          <w:b/>
          <w:spacing w:val="-1"/>
          <w:sz w:val="20"/>
          <w:szCs w:val="20"/>
        </w:rPr>
        <w:t xml:space="preserve"> </w:t>
      </w:r>
      <w:r w:rsidRPr="008831F9">
        <w:rPr>
          <w:rFonts w:asciiTheme="minorHAnsi" w:hAnsiTheme="minorHAnsi" w:cstheme="minorHAnsi"/>
          <w:b/>
          <w:sz w:val="20"/>
          <w:szCs w:val="20"/>
        </w:rPr>
        <w:t>poprzeczne</w:t>
      </w:r>
    </w:p>
    <w:p w14:paraId="63D17D27" w14:textId="77777777" w:rsidR="008831F9" w:rsidRPr="008831F9" w:rsidRDefault="008831F9" w:rsidP="008831F9">
      <w:pPr>
        <w:pStyle w:val="Tekstpodstawowy"/>
        <w:spacing w:line="240" w:lineRule="auto"/>
        <w:jc w:val="both"/>
        <w:rPr>
          <w:rFonts w:asciiTheme="minorHAnsi" w:hAnsiTheme="minorHAnsi" w:cstheme="minorHAnsi"/>
          <w:sz w:val="20"/>
          <w:szCs w:val="20"/>
        </w:rPr>
      </w:pPr>
      <w:r w:rsidRPr="008831F9">
        <w:rPr>
          <w:rFonts w:asciiTheme="minorHAnsi" w:hAnsiTheme="minorHAnsi" w:cstheme="minorHAnsi"/>
          <w:sz w:val="20"/>
          <w:szCs w:val="20"/>
        </w:rPr>
        <w:t>Sprawdzenie polega na przyłożeniu łaty i pomiar prześwitu klinem lub pomiar profilografem laserowym. Spadki poprzeczne warstwy ścieralnej na odcinkach prostych i na łukach powinny być zgodne z spadkami poprzecznymi z tolerancją ± 0,5%. Wymaga się, aby co najmniej 95% wykonanych pomiarów nie przekraczało przedziału dopuszczalnych odchyleń.</w:t>
      </w:r>
    </w:p>
    <w:p w14:paraId="76BB2E7C" w14:textId="77777777" w:rsidR="008831F9" w:rsidRPr="008831F9" w:rsidRDefault="008831F9" w:rsidP="008831F9">
      <w:pPr>
        <w:pStyle w:val="Tekstpodstawowy"/>
        <w:spacing w:line="240" w:lineRule="auto"/>
        <w:jc w:val="both"/>
        <w:rPr>
          <w:rFonts w:asciiTheme="minorHAnsi" w:hAnsiTheme="minorHAnsi" w:cstheme="minorHAnsi"/>
          <w:b/>
          <w:sz w:val="20"/>
          <w:szCs w:val="20"/>
        </w:rPr>
      </w:pPr>
      <w:r w:rsidRPr="008831F9">
        <w:rPr>
          <w:rFonts w:asciiTheme="minorHAnsi" w:hAnsiTheme="minorHAnsi" w:cstheme="minorHAnsi"/>
          <w:b/>
          <w:sz w:val="20"/>
          <w:szCs w:val="20"/>
        </w:rPr>
        <w:t>6.4.5 Ukształtowanie osi w</w:t>
      </w:r>
      <w:r w:rsidRPr="008831F9">
        <w:rPr>
          <w:rFonts w:asciiTheme="minorHAnsi" w:hAnsiTheme="minorHAnsi" w:cstheme="minorHAnsi"/>
          <w:b/>
          <w:spacing w:val="-1"/>
          <w:sz w:val="20"/>
          <w:szCs w:val="20"/>
        </w:rPr>
        <w:t xml:space="preserve"> </w:t>
      </w:r>
      <w:r w:rsidRPr="008831F9">
        <w:rPr>
          <w:rFonts w:asciiTheme="minorHAnsi" w:hAnsiTheme="minorHAnsi" w:cstheme="minorHAnsi"/>
          <w:b/>
          <w:sz w:val="20"/>
          <w:szCs w:val="20"/>
        </w:rPr>
        <w:t>planie</w:t>
      </w:r>
    </w:p>
    <w:p w14:paraId="05F34BC7" w14:textId="77777777" w:rsidR="008831F9" w:rsidRPr="008831F9" w:rsidRDefault="008831F9" w:rsidP="008831F9">
      <w:pPr>
        <w:pStyle w:val="Tekstpodstawowy"/>
        <w:spacing w:line="240" w:lineRule="auto"/>
        <w:jc w:val="both"/>
        <w:rPr>
          <w:rFonts w:asciiTheme="minorHAnsi" w:hAnsiTheme="minorHAnsi" w:cstheme="minorHAnsi"/>
          <w:sz w:val="20"/>
          <w:szCs w:val="20"/>
        </w:rPr>
      </w:pPr>
      <w:r w:rsidRPr="008831F9">
        <w:rPr>
          <w:rFonts w:asciiTheme="minorHAnsi" w:hAnsiTheme="minorHAnsi" w:cstheme="minorHAnsi"/>
          <w:sz w:val="20"/>
          <w:szCs w:val="20"/>
        </w:rPr>
        <w:t>Oś warstwy w planie powinna być usytuowana zgodnie z osią projektowaną z tolerancją ± 5 cm. Wymaga się, aby co najmniej 95% wykonanych pomiarów nie przekraczało przedziału dopuszczalnych odchyleń.</w:t>
      </w:r>
    </w:p>
    <w:p w14:paraId="61AEC72A" w14:textId="77777777" w:rsidR="008831F9" w:rsidRPr="008831F9" w:rsidRDefault="008831F9" w:rsidP="008831F9">
      <w:pPr>
        <w:pStyle w:val="Tekstpodstawowy"/>
        <w:spacing w:line="240" w:lineRule="auto"/>
        <w:jc w:val="both"/>
        <w:rPr>
          <w:rFonts w:asciiTheme="minorHAnsi" w:hAnsiTheme="minorHAnsi" w:cstheme="minorHAnsi"/>
          <w:b/>
          <w:sz w:val="20"/>
          <w:szCs w:val="20"/>
        </w:rPr>
      </w:pPr>
      <w:r w:rsidRPr="008831F9">
        <w:rPr>
          <w:rFonts w:asciiTheme="minorHAnsi" w:hAnsiTheme="minorHAnsi" w:cstheme="minorHAnsi"/>
          <w:b/>
          <w:sz w:val="20"/>
          <w:szCs w:val="20"/>
        </w:rPr>
        <w:t>6.4.6 Rzędne wysokościowe</w:t>
      </w:r>
      <w:r w:rsidRPr="008831F9">
        <w:rPr>
          <w:rFonts w:asciiTheme="minorHAnsi" w:hAnsiTheme="minorHAnsi" w:cstheme="minorHAnsi"/>
          <w:b/>
          <w:spacing w:val="1"/>
          <w:sz w:val="20"/>
          <w:szCs w:val="20"/>
        </w:rPr>
        <w:t xml:space="preserve"> </w:t>
      </w:r>
      <w:r w:rsidRPr="008831F9">
        <w:rPr>
          <w:rFonts w:asciiTheme="minorHAnsi" w:hAnsiTheme="minorHAnsi" w:cstheme="minorHAnsi"/>
          <w:b/>
          <w:sz w:val="20"/>
          <w:szCs w:val="20"/>
        </w:rPr>
        <w:t>nawierzchni</w:t>
      </w:r>
    </w:p>
    <w:p w14:paraId="091B871A" w14:textId="77777777" w:rsidR="008831F9" w:rsidRPr="008831F9" w:rsidRDefault="008831F9" w:rsidP="008831F9">
      <w:pPr>
        <w:pStyle w:val="Tekstpodstawowy"/>
        <w:spacing w:line="240" w:lineRule="auto"/>
        <w:jc w:val="both"/>
        <w:rPr>
          <w:rFonts w:asciiTheme="minorHAnsi" w:hAnsiTheme="minorHAnsi" w:cstheme="minorHAnsi"/>
          <w:sz w:val="20"/>
          <w:szCs w:val="20"/>
        </w:rPr>
      </w:pPr>
      <w:r w:rsidRPr="008831F9">
        <w:rPr>
          <w:rFonts w:asciiTheme="minorHAnsi" w:hAnsiTheme="minorHAnsi" w:cstheme="minorHAnsi"/>
          <w:sz w:val="20"/>
          <w:szCs w:val="20"/>
        </w:rPr>
        <w:t>Rzędne wysokościowe warstwy ścieralnej powinny być mierzone w przekrojach co 10m w osi i na krawędziach każdej jezdni. Przed przystąpieniem do robót Wykonawca przedstawi schemat punktów pomiarowych do akceptacji. Różnice pomiędzy rzędnymi wysokościowymi warstwy a rzędnymi projektowanymi nie powinny przekraczać ± 1 cm. Wymaga się, aby co najmniej 95% wykonanych pomiarów nie przekraczało przedziału dopuszczalnych</w:t>
      </w:r>
      <w:r w:rsidRPr="008831F9">
        <w:rPr>
          <w:rFonts w:asciiTheme="minorHAnsi" w:hAnsiTheme="minorHAnsi" w:cstheme="minorHAnsi"/>
          <w:spacing w:val="-9"/>
          <w:sz w:val="20"/>
          <w:szCs w:val="20"/>
        </w:rPr>
        <w:t xml:space="preserve"> </w:t>
      </w:r>
      <w:r w:rsidRPr="008831F9">
        <w:rPr>
          <w:rFonts w:asciiTheme="minorHAnsi" w:hAnsiTheme="minorHAnsi" w:cstheme="minorHAnsi"/>
          <w:sz w:val="20"/>
          <w:szCs w:val="20"/>
        </w:rPr>
        <w:t>odchyleń.</w:t>
      </w:r>
    </w:p>
    <w:p w14:paraId="001AB90E" w14:textId="77777777" w:rsidR="008831F9" w:rsidRPr="008831F9" w:rsidRDefault="008831F9" w:rsidP="008831F9">
      <w:pPr>
        <w:pStyle w:val="Tekstpodstawowy"/>
        <w:spacing w:line="240" w:lineRule="auto"/>
        <w:jc w:val="both"/>
        <w:rPr>
          <w:rFonts w:asciiTheme="minorHAnsi" w:hAnsiTheme="minorHAnsi" w:cstheme="minorHAnsi"/>
          <w:b/>
          <w:sz w:val="20"/>
          <w:szCs w:val="20"/>
        </w:rPr>
      </w:pPr>
      <w:r w:rsidRPr="008831F9">
        <w:rPr>
          <w:rFonts w:asciiTheme="minorHAnsi" w:hAnsiTheme="minorHAnsi" w:cstheme="minorHAnsi"/>
          <w:b/>
          <w:sz w:val="20"/>
          <w:szCs w:val="20"/>
        </w:rPr>
        <w:t>6.4.7 Złącza</w:t>
      </w:r>
      <w:r w:rsidRPr="008831F9">
        <w:rPr>
          <w:rFonts w:asciiTheme="minorHAnsi" w:hAnsiTheme="minorHAnsi" w:cstheme="minorHAnsi"/>
          <w:b/>
          <w:spacing w:val="-3"/>
          <w:sz w:val="20"/>
          <w:szCs w:val="20"/>
        </w:rPr>
        <w:t xml:space="preserve"> </w:t>
      </w:r>
      <w:r w:rsidRPr="008831F9">
        <w:rPr>
          <w:rFonts w:asciiTheme="minorHAnsi" w:hAnsiTheme="minorHAnsi" w:cstheme="minorHAnsi"/>
          <w:b/>
          <w:sz w:val="20"/>
          <w:szCs w:val="20"/>
        </w:rPr>
        <w:t>podłużne</w:t>
      </w:r>
    </w:p>
    <w:p w14:paraId="1C3A01F0" w14:textId="77777777" w:rsidR="008831F9" w:rsidRPr="008831F9" w:rsidRDefault="008831F9" w:rsidP="008831F9">
      <w:pPr>
        <w:pStyle w:val="Tekstpodstawowy"/>
        <w:spacing w:line="240" w:lineRule="auto"/>
        <w:jc w:val="both"/>
        <w:rPr>
          <w:rFonts w:asciiTheme="minorHAnsi" w:hAnsiTheme="minorHAnsi" w:cstheme="minorHAnsi"/>
          <w:sz w:val="20"/>
          <w:szCs w:val="20"/>
        </w:rPr>
      </w:pPr>
      <w:r w:rsidRPr="008831F9">
        <w:rPr>
          <w:rFonts w:asciiTheme="minorHAnsi" w:hAnsiTheme="minorHAnsi" w:cstheme="minorHAnsi"/>
          <w:sz w:val="20"/>
          <w:szCs w:val="20"/>
        </w:rPr>
        <w:t>Złącza w nawierzchni powinny być wykonane w linii prostej, prostopadle do osi drogi. Złącza w konstrukcji wielowarstwowej powinny być przesunięte względem siebie co najmniej o 15 cm. Złącza powinny być całkowicie związane, a przylegające warstwy powinny być w jednym poziomie.</w:t>
      </w:r>
    </w:p>
    <w:p w14:paraId="78692256" w14:textId="77777777" w:rsidR="008831F9" w:rsidRPr="008831F9" w:rsidRDefault="008831F9" w:rsidP="008831F9">
      <w:pPr>
        <w:pStyle w:val="Tekstpodstawowy"/>
        <w:spacing w:line="240" w:lineRule="auto"/>
        <w:jc w:val="both"/>
        <w:rPr>
          <w:rFonts w:asciiTheme="minorHAnsi" w:hAnsiTheme="minorHAnsi" w:cstheme="minorHAnsi"/>
          <w:b/>
          <w:sz w:val="20"/>
          <w:szCs w:val="20"/>
        </w:rPr>
      </w:pPr>
      <w:r w:rsidRPr="008831F9">
        <w:rPr>
          <w:rFonts w:asciiTheme="minorHAnsi" w:hAnsiTheme="minorHAnsi" w:cstheme="minorHAnsi"/>
          <w:b/>
          <w:sz w:val="20"/>
          <w:szCs w:val="20"/>
        </w:rPr>
        <w:t>6.4.8 Właściwości</w:t>
      </w:r>
      <w:r w:rsidRPr="008831F9">
        <w:rPr>
          <w:rFonts w:asciiTheme="minorHAnsi" w:hAnsiTheme="minorHAnsi" w:cstheme="minorHAnsi"/>
          <w:b/>
          <w:spacing w:val="-1"/>
          <w:sz w:val="20"/>
          <w:szCs w:val="20"/>
        </w:rPr>
        <w:t xml:space="preserve"> </w:t>
      </w:r>
      <w:r w:rsidRPr="008831F9">
        <w:rPr>
          <w:rFonts w:asciiTheme="minorHAnsi" w:hAnsiTheme="minorHAnsi" w:cstheme="minorHAnsi"/>
          <w:b/>
          <w:sz w:val="20"/>
          <w:szCs w:val="20"/>
        </w:rPr>
        <w:t>przeciwpoślizgowe</w:t>
      </w:r>
    </w:p>
    <w:p w14:paraId="745736C6" w14:textId="77777777" w:rsidR="008831F9" w:rsidRPr="008831F9" w:rsidRDefault="008831F9" w:rsidP="008831F9">
      <w:pPr>
        <w:rPr>
          <w:rFonts w:asciiTheme="minorHAnsi" w:eastAsia="TimesNewRoman" w:hAnsiTheme="minorHAnsi" w:cstheme="minorHAnsi"/>
        </w:rPr>
      </w:pPr>
      <w:r w:rsidRPr="008831F9">
        <w:rPr>
          <w:rFonts w:asciiTheme="minorHAnsi" w:eastAsia="TimesNewRoman" w:hAnsiTheme="minorHAnsi" w:cstheme="minorHAnsi"/>
        </w:rPr>
        <w:t>Przy ocenie właściwości przeciwpoślizgowych nawierzchni drogi klasy G i drog wyższych klas powinien być określony wspołczynnik tarcia na mokrej nawierzchni przy całkowitym poślizgu opony testowej. Pomiar wykonuje się urządzeniem o pełnej blokadzie koła nie rzadziej niż co 50 m na nawierzchni zwilżanej wodą w ilości 0,5 l/m2, przy 100% poślizgu opony testowej rowkowanej (</w:t>
      </w:r>
      <w:r w:rsidRPr="008831F9">
        <w:rPr>
          <w:rFonts w:asciiTheme="minorHAnsi" w:eastAsia="TimesNewRoman,Bold" w:hAnsiTheme="minorHAnsi" w:cstheme="minorHAnsi"/>
          <w:i/>
          <w:iCs/>
        </w:rPr>
        <w:t>ribbed tyre</w:t>
      </w:r>
      <w:r w:rsidRPr="008831F9">
        <w:rPr>
          <w:rFonts w:asciiTheme="minorHAnsi" w:eastAsia="TimesNewRoman" w:hAnsiTheme="minorHAnsi" w:cstheme="minorHAnsi"/>
        </w:rPr>
        <w:t xml:space="preserve">) rozmiaru 165 R 15 – zalecanej przez Światową Organizację Drogową (PIARC). Dopuszcza się inną wiarygodną metodę rownoważną, jeśli dysponuje się sprawdzoną zależnością korelacyjną umożliwiającą przeliczenie wynikow pomiarow na wartości uzyskiwane zestawem o pełnej blokadzie koła. Pomiary powinny być wykonywane w temperaturze otoczenia od 5oC do 30oC, na czystej nawierzchni. Badanie należy wykonać przed dopuszczeniem nawierzchni do ruchu drogowego oraz powtornie w okresie od 4 do 8 tygodni od oddania nawierzchni do eksploatacji. Badanie powtorne należy wykonać w śladzie koła. Jeżeli warunki atmosferyczne uniemożliwiają wykonanie pomiaru w wymienionym terminie, powinien być on zrealizowany z najmniejszym możliwym opoźnieniem. Uzyskane wartości współczynnika tarcia należy rejestrować z dokładnością do trzech miejsc po przecinku. Miarą właściwości przeciwpoślizgowych jest miarodajny wspołczynnik tarcia. Za miarodajny wspołczynnik tarcia przyjmuje się rożnicę wartości średniej </w:t>
      </w:r>
      <w:r w:rsidRPr="008831F9">
        <w:rPr>
          <w:rFonts w:asciiTheme="minorHAnsi" w:eastAsia="TimesNewRoman,Bold" w:hAnsiTheme="minorHAnsi" w:cstheme="minorHAnsi"/>
          <w:i/>
          <w:iCs/>
        </w:rPr>
        <w:t>E</w:t>
      </w:r>
      <w:r w:rsidRPr="008831F9">
        <w:rPr>
          <w:rFonts w:asciiTheme="minorHAnsi" w:eastAsia="TimesNewRoman" w:hAnsiTheme="minorHAnsi" w:cstheme="minorHAnsi"/>
        </w:rPr>
        <w:t>(</w:t>
      </w:r>
      <w:r w:rsidRPr="008831F9">
        <w:rPr>
          <w:rFonts w:asciiTheme="minorHAnsi" w:eastAsia="TimesNewRoman,Bold" w:hAnsiTheme="minorHAnsi" w:cstheme="minorHAnsi"/>
          <w:i/>
          <w:iCs/>
        </w:rPr>
        <w:t>m</w:t>
      </w:r>
      <w:r w:rsidRPr="008831F9">
        <w:rPr>
          <w:rFonts w:asciiTheme="minorHAnsi" w:eastAsia="TimesNewRoman" w:hAnsiTheme="minorHAnsi" w:cstheme="minorHAnsi"/>
        </w:rPr>
        <w:t xml:space="preserve">) i odchylenia standardowego </w:t>
      </w:r>
      <w:r w:rsidRPr="008831F9">
        <w:rPr>
          <w:rFonts w:asciiTheme="minorHAnsi" w:eastAsia="TimesNewRoman,Bold" w:hAnsiTheme="minorHAnsi" w:cstheme="minorHAnsi"/>
          <w:i/>
          <w:iCs/>
        </w:rPr>
        <w:t xml:space="preserve">D </w:t>
      </w:r>
      <w:r w:rsidRPr="008831F9">
        <w:rPr>
          <w:rFonts w:asciiTheme="minorHAnsi" w:eastAsia="TimesNewRoman" w:hAnsiTheme="minorHAnsi" w:cstheme="minorHAnsi"/>
        </w:rPr>
        <w:t xml:space="preserve">: </w:t>
      </w:r>
      <w:r w:rsidRPr="008831F9">
        <w:rPr>
          <w:rFonts w:asciiTheme="minorHAnsi" w:eastAsia="TimesNewRoman,Bold" w:hAnsiTheme="minorHAnsi" w:cstheme="minorHAnsi"/>
          <w:i/>
          <w:iCs/>
        </w:rPr>
        <w:t>E</w:t>
      </w:r>
      <w:r w:rsidRPr="008831F9">
        <w:rPr>
          <w:rFonts w:asciiTheme="minorHAnsi" w:eastAsia="TimesNewRoman" w:hAnsiTheme="minorHAnsi" w:cstheme="minorHAnsi"/>
        </w:rPr>
        <w:t>(</w:t>
      </w:r>
      <w:r w:rsidRPr="008831F9">
        <w:rPr>
          <w:rFonts w:asciiTheme="minorHAnsi" w:eastAsia="TimesNewRoman,Bold" w:hAnsiTheme="minorHAnsi" w:cstheme="minorHAnsi"/>
          <w:i/>
          <w:iCs/>
        </w:rPr>
        <w:t>m</w:t>
      </w:r>
      <w:r w:rsidRPr="008831F9">
        <w:rPr>
          <w:rFonts w:asciiTheme="minorHAnsi" w:eastAsia="TimesNewRoman" w:hAnsiTheme="minorHAnsi" w:cstheme="minorHAnsi"/>
        </w:rPr>
        <w:t xml:space="preserve">) – </w:t>
      </w:r>
      <w:r w:rsidRPr="008831F9">
        <w:rPr>
          <w:rFonts w:asciiTheme="minorHAnsi" w:eastAsia="TimesNewRoman,Bold" w:hAnsiTheme="minorHAnsi" w:cstheme="minorHAnsi"/>
          <w:i/>
          <w:iCs/>
        </w:rPr>
        <w:t>D</w:t>
      </w:r>
      <w:r w:rsidRPr="008831F9">
        <w:rPr>
          <w:rFonts w:asciiTheme="minorHAnsi" w:eastAsia="TimesNewRoman" w:hAnsiTheme="minorHAnsi" w:cstheme="minorHAnsi"/>
        </w:rPr>
        <w:t>. Wyniki podaje się z dokładnością do dwoch miejsc po przecinku. Długość ocenianego odcinka nawierzchni nie powinna być większa niż 1000 m, a liczba pomiarow nie mniejsza niż 10. Odcinek końcowy o długości mniejszej niż 500 m należy oceniać łącznie z odcinkiem poprzedzającym.</w:t>
      </w:r>
    </w:p>
    <w:p w14:paraId="50DD3BBF" w14:textId="77777777" w:rsidR="008831F9" w:rsidRPr="008831F9" w:rsidRDefault="008831F9" w:rsidP="008831F9">
      <w:pPr>
        <w:rPr>
          <w:rFonts w:asciiTheme="minorHAnsi" w:eastAsia="TimesNewRoman" w:hAnsiTheme="minorHAnsi" w:cstheme="minorHAnsi"/>
        </w:rPr>
      </w:pPr>
      <w:r w:rsidRPr="008831F9">
        <w:rPr>
          <w:rFonts w:asciiTheme="minorHAnsi" w:eastAsia="TimesNewRoman" w:hAnsiTheme="minorHAnsi" w:cstheme="minorHAnsi"/>
        </w:rPr>
        <w:t>Minimalne wartości miarodajnego wspołczynnika tarcia nawierzchni dla konkretnej prędkości zablokowanej opony względem nawierzchni określone zostały w tabeli 8</w:t>
      </w:r>
    </w:p>
    <w:p w14:paraId="5249E4EE" w14:textId="77777777" w:rsidR="008831F9" w:rsidRPr="008831F9" w:rsidRDefault="008831F9" w:rsidP="008831F9">
      <w:pPr>
        <w:rPr>
          <w:rFonts w:asciiTheme="minorHAnsi" w:eastAsia="TimesNewRoman" w:hAnsiTheme="minorHAnsi" w:cstheme="minorHAnsi"/>
        </w:rPr>
      </w:pPr>
    </w:p>
    <w:p w14:paraId="77E0506E" w14:textId="77777777" w:rsidR="008831F9" w:rsidRPr="008831F9" w:rsidRDefault="008831F9" w:rsidP="008831F9">
      <w:pPr>
        <w:rPr>
          <w:rFonts w:asciiTheme="minorHAnsi" w:eastAsia="TimesNewRoman" w:hAnsiTheme="minorHAnsi" w:cstheme="minorHAnsi"/>
        </w:rPr>
      </w:pPr>
      <w:r w:rsidRPr="008831F9">
        <w:rPr>
          <w:rFonts w:asciiTheme="minorHAnsi" w:eastAsia="TimesNewRoman" w:hAnsiTheme="minorHAnsi" w:cstheme="minorHAnsi"/>
        </w:rPr>
        <w:t>Tabela 8 Minimalne wartości miarodajnego wspołczynnika tarcia nawierzchni</w:t>
      </w:r>
    </w:p>
    <w:p w14:paraId="737A8139" w14:textId="77777777" w:rsidR="008831F9" w:rsidRPr="008831F9" w:rsidRDefault="008831F9" w:rsidP="008831F9">
      <w:pPr>
        <w:rPr>
          <w:rFonts w:asciiTheme="minorHAnsi" w:eastAsia="TimesNewRoman" w:hAnsiTheme="minorHAnsi" w:cstheme="minorHAnsi"/>
        </w:rPr>
      </w:pPr>
    </w:p>
    <w:tbl>
      <w:tblPr>
        <w:tblStyle w:val="Tabela-Siatka"/>
        <w:tblW w:w="0" w:type="auto"/>
        <w:tblLook w:val="04A0" w:firstRow="1" w:lastRow="0" w:firstColumn="1" w:lastColumn="0" w:noHBand="0" w:noVBand="1"/>
      </w:tblPr>
      <w:tblGrid>
        <w:gridCol w:w="2242"/>
        <w:gridCol w:w="2314"/>
        <w:gridCol w:w="2252"/>
        <w:gridCol w:w="2247"/>
      </w:tblGrid>
      <w:tr w:rsidR="008831F9" w:rsidRPr="008831F9" w14:paraId="72E58F1E" w14:textId="77777777" w:rsidTr="00EA573C">
        <w:tc>
          <w:tcPr>
            <w:tcW w:w="2480" w:type="dxa"/>
            <w:vMerge w:val="restart"/>
          </w:tcPr>
          <w:p w14:paraId="3DBC4BE3" w14:textId="77777777" w:rsidR="008831F9" w:rsidRPr="008831F9" w:rsidRDefault="008831F9" w:rsidP="008831F9">
            <w:pPr>
              <w:jc w:val="center"/>
              <w:rPr>
                <w:rFonts w:asciiTheme="minorHAnsi" w:eastAsia="TimesNewRoman" w:hAnsiTheme="minorHAnsi" w:cstheme="minorHAnsi"/>
              </w:rPr>
            </w:pPr>
            <w:r w:rsidRPr="008831F9">
              <w:rPr>
                <w:rFonts w:asciiTheme="minorHAnsi" w:eastAsia="TimesNewRoman" w:hAnsiTheme="minorHAnsi" w:cstheme="minorHAnsi"/>
              </w:rPr>
              <w:t>Klasa</w:t>
            </w:r>
          </w:p>
          <w:p w14:paraId="7BB817C1" w14:textId="77777777" w:rsidR="008831F9" w:rsidRPr="008831F9" w:rsidRDefault="008831F9" w:rsidP="008831F9">
            <w:pPr>
              <w:jc w:val="center"/>
              <w:rPr>
                <w:rFonts w:asciiTheme="minorHAnsi" w:eastAsia="TimesNewRoman" w:hAnsiTheme="minorHAnsi" w:cstheme="minorHAnsi"/>
              </w:rPr>
            </w:pPr>
            <w:r w:rsidRPr="008831F9">
              <w:rPr>
                <w:rFonts w:asciiTheme="minorHAnsi" w:eastAsia="TimesNewRoman" w:hAnsiTheme="minorHAnsi" w:cstheme="minorHAnsi"/>
              </w:rPr>
              <w:t>drogi</w:t>
            </w:r>
          </w:p>
        </w:tc>
        <w:tc>
          <w:tcPr>
            <w:tcW w:w="2480" w:type="dxa"/>
            <w:vMerge w:val="restart"/>
          </w:tcPr>
          <w:p w14:paraId="60745494" w14:textId="77777777" w:rsidR="008831F9" w:rsidRPr="008831F9" w:rsidRDefault="008831F9" w:rsidP="008831F9">
            <w:pPr>
              <w:jc w:val="center"/>
              <w:rPr>
                <w:rFonts w:asciiTheme="minorHAnsi" w:eastAsia="TimesNewRoman" w:hAnsiTheme="minorHAnsi" w:cstheme="minorHAnsi"/>
              </w:rPr>
            </w:pPr>
            <w:r w:rsidRPr="008831F9">
              <w:rPr>
                <w:rFonts w:asciiTheme="minorHAnsi" w:eastAsia="TimesNewRoman" w:hAnsiTheme="minorHAnsi" w:cstheme="minorHAnsi"/>
              </w:rPr>
              <w:t>Element nawierzchni</w:t>
            </w:r>
          </w:p>
        </w:tc>
        <w:tc>
          <w:tcPr>
            <w:tcW w:w="4960" w:type="dxa"/>
            <w:gridSpan w:val="2"/>
          </w:tcPr>
          <w:p w14:paraId="69DD8934" w14:textId="77777777" w:rsidR="008831F9" w:rsidRPr="008831F9" w:rsidRDefault="008831F9" w:rsidP="008831F9">
            <w:pPr>
              <w:jc w:val="center"/>
              <w:rPr>
                <w:rFonts w:asciiTheme="minorHAnsi" w:eastAsia="TimesNewRoman" w:hAnsiTheme="minorHAnsi" w:cstheme="minorHAnsi"/>
              </w:rPr>
            </w:pPr>
            <w:r w:rsidRPr="008831F9">
              <w:rPr>
                <w:rFonts w:asciiTheme="minorHAnsi" w:eastAsia="TimesNewRoman" w:hAnsiTheme="minorHAnsi" w:cstheme="minorHAnsi"/>
              </w:rPr>
              <w:t>Minimalna wartość miarodajnego wspołczynnika tarcia przy prędkości zablokowanej opony względem nawierzchni</w:t>
            </w:r>
          </w:p>
        </w:tc>
      </w:tr>
      <w:tr w:rsidR="008831F9" w:rsidRPr="008831F9" w14:paraId="1E654F89" w14:textId="77777777" w:rsidTr="00EA573C">
        <w:tc>
          <w:tcPr>
            <w:tcW w:w="2480" w:type="dxa"/>
            <w:vMerge/>
          </w:tcPr>
          <w:p w14:paraId="6BB05C12" w14:textId="77777777" w:rsidR="008831F9" w:rsidRPr="008831F9" w:rsidRDefault="008831F9" w:rsidP="008831F9">
            <w:pPr>
              <w:jc w:val="center"/>
              <w:rPr>
                <w:rFonts w:asciiTheme="minorHAnsi" w:eastAsia="TimesNewRoman" w:hAnsiTheme="minorHAnsi" w:cstheme="minorHAnsi"/>
              </w:rPr>
            </w:pPr>
          </w:p>
        </w:tc>
        <w:tc>
          <w:tcPr>
            <w:tcW w:w="2480" w:type="dxa"/>
            <w:vMerge/>
          </w:tcPr>
          <w:p w14:paraId="67C90736" w14:textId="77777777" w:rsidR="008831F9" w:rsidRPr="008831F9" w:rsidRDefault="008831F9" w:rsidP="008831F9">
            <w:pPr>
              <w:jc w:val="center"/>
              <w:rPr>
                <w:rFonts w:asciiTheme="minorHAnsi" w:eastAsia="TimesNewRoman" w:hAnsiTheme="minorHAnsi" w:cstheme="minorHAnsi"/>
              </w:rPr>
            </w:pPr>
          </w:p>
        </w:tc>
        <w:tc>
          <w:tcPr>
            <w:tcW w:w="2480" w:type="dxa"/>
          </w:tcPr>
          <w:p w14:paraId="26269961" w14:textId="77777777" w:rsidR="008831F9" w:rsidRPr="008831F9" w:rsidRDefault="008831F9" w:rsidP="008831F9">
            <w:pPr>
              <w:jc w:val="center"/>
              <w:rPr>
                <w:rFonts w:asciiTheme="minorHAnsi" w:eastAsia="TimesNewRoman" w:hAnsiTheme="minorHAnsi" w:cstheme="minorHAnsi"/>
              </w:rPr>
            </w:pPr>
            <w:r w:rsidRPr="008831F9">
              <w:rPr>
                <w:rFonts w:asciiTheme="minorHAnsi" w:eastAsia="TimesNewRoman" w:hAnsiTheme="minorHAnsi" w:cstheme="minorHAnsi"/>
              </w:rPr>
              <w:t>30 km/h</w:t>
            </w:r>
          </w:p>
        </w:tc>
        <w:tc>
          <w:tcPr>
            <w:tcW w:w="2480" w:type="dxa"/>
          </w:tcPr>
          <w:p w14:paraId="31D6F442" w14:textId="77777777" w:rsidR="008831F9" w:rsidRPr="008831F9" w:rsidRDefault="008831F9" w:rsidP="008831F9">
            <w:pPr>
              <w:jc w:val="center"/>
              <w:rPr>
                <w:rFonts w:asciiTheme="minorHAnsi" w:eastAsia="TimesNewRoman" w:hAnsiTheme="minorHAnsi" w:cstheme="minorHAnsi"/>
              </w:rPr>
            </w:pPr>
            <w:r w:rsidRPr="008831F9">
              <w:rPr>
                <w:rFonts w:asciiTheme="minorHAnsi" w:eastAsia="TimesNewRoman" w:hAnsiTheme="minorHAnsi" w:cstheme="minorHAnsi"/>
              </w:rPr>
              <w:t>60 km/h</w:t>
            </w:r>
          </w:p>
        </w:tc>
      </w:tr>
      <w:tr w:rsidR="008831F9" w:rsidRPr="008831F9" w14:paraId="60152A96" w14:textId="77777777" w:rsidTr="00EA573C">
        <w:tc>
          <w:tcPr>
            <w:tcW w:w="2480" w:type="dxa"/>
          </w:tcPr>
          <w:p w14:paraId="2FA90028" w14:textId="77777777" w:rsidR="008831F9" w:rsidRPr="008831F9" w:rsidRDefault="008831F9" w:rsidP="008831F9">
            <w:pPr>
              <w:rPr>
                <w:rFonts w:asciiTheme="minorHAnsi" w:eastAsia="TimesNewRoman" w:hAnsiTheme="minorHAnsi" w:cstheme="minorHAnsi"/>
              </w:rPr>
            </w:pPr>
            <w:r w:rsidRPr="008831F9">
              <w:rPr>
                <w:rFonts w:asciiTheme="minorHAnsi" w:eastAsia="TimesNewRoman" w:hAnsiTheme="minorHAnsi" w:cstheme="minorHAnsi"/>
              </w:rPr>
              <w:t>GP, G</w:t>
            </w:r>
          </w:p>
        </w:tc>
        <w:tc>
          <w:tcPr>
            <w:tcW w:w="2480" w:type="dxa"/>
          </w:tcPr>
          <w:p w14:paraId="0177B9A7" w14:textId="77777777" w:rsidR="008831F9" w:rsidRPr="008831F9" w:rsidRDefault="008831F9" w:rsidP="008831F9">
            <w:pPr>
              <w:rPr>
                <w:rFonts w:asciiTheme="minorHAnsi" w:eastAsia="TimesNewRoman" w:hAnsiTheme="minorHAnsi" w:cstheme="minorHAnsi"/>
              </w:rPr>
            </w:pPr>
            <w:r w:rsidRPr="008831F9">
              <w:rPr>
                <w:rFonts w:asciiTheme="minorHAnsi" w:eastAsia="TimesNewRoman" w:hAnsiTheme="minorHAnsi" w:cstheme="minorHAnsi"/>
              </w:rPr>
              <w:t>Pasy ruchu zasadnicze, dodatkowe, jezdnie</w:t>
            </w:r>
          </w:p>
          <w:p w14:paraId="6919FB34" w14:textId="77777777" w:rsidR="008831F9" w:rsidRPr="008831F9" w:rsidRDefault="008831F9" w:rsidP="008831F9">
            <w:pPr>
              <w:rPr>
                <w:rFonts w:asciiTheme="minorHAnsi" w:eastAsia="TimesNewRoman" w:hAnsiTheme="minorHAnsi" w:cstheme="minorHAnsi"/>
              </w:rPr>
            </w:pPr>
            <w:r w:rsidRPr="008831F9">
              <w:rPr>
                <w:rFonts w:asciiTheme="minorHAnsi" w:eastAsia="TimesNewRoman" w:hAnsiTheme="minorHAnsi" w:cstheme="minorHAnsi"/>
              </w:rPr>
              <w:t>łącznic, utwardzone pobocza*)</w:t>
            </w:r>
          </w:p>
          <w:p w14:paraId="24C6FB4C" w14:textId="77777777" w:rsidR="008831F9" w:rsidRPr="008831F9" w:rsidRDefault="008831F9" w:rsidP="008831F9">
            <w:pPr>
              <w:rPr>
                <w:rFonts w:asciiTheme="minorHAnsi" w:eastAsia="TimesNewRoman" w:hAnsiTheme="minorHAnsi" w:cstheme="minorHAnsi"/>
              </w:rPr>
            </w:pPr>
          </w:p>
        </w:tc>
        <w:tc>
          <w:tcPr>
            <w:tcW w:w="2480" w:type="dxa"/>
          </w:tcPr>
          <w:p w14:paraId="00A345CA" w14:textId="77777777" w:rsidR="008831F9" w:rsidRPr="008831F9" w:rsidRDefault="008831F9" w:rsidP="008831F9">
            <w:pPr>
              <w:jc w:val="center"/>
              <w:rPr>
                <w:rFonts w:asciiTheme="minorHAnsi" w:eastAsia="TimesNewRoman" w:hAnsiTheme="minorHAnsi" w:cstheme="minorHAnsi"/>
              </w:rPr>
            </w:pPr>
            <w:r w:rsidRPr="008831F9">
              <w:rPr>
                <w:rFonts w:asciiTheme="minorHAnsi" w:eastAsia="TimesNewRoman" w:hAnsiTheme="minorHAnsi" w:cstheme="minorHAnsi"/>
              </w:rPr>
              <w:t>0,46*</w:t>
            </w:r>
          </w:p>
        </w:tc>
        <w:tc>
          <w:tcPr>
            <w:tcW w:w="2480" w:type="dxa"/>
          </w:tcPr>
          <w:p w14:paraId="12B90C2F" w14:textId="77777777" w:rsidR="008831F9" w:rsidRPr="008831F9" w:rsidRDefault="008831F9" w:rsidP="008831F9">
            <w:pPr>
              <w:jc w:val="center"/>
              <w:rPr>
                <w:rFonts w:asciiTheme="minorHAnsi" w:eastAsia="TimesNewRoman" w:hAnsiTheme="minorHAnsi" w:cstheme="minorHAnsi"/>
              </w:rPr>
            </w:pPr>
            <w:r w:rsidRPr="008831F9">
              <w:rPr>
                <w:rFonts w:asciiTheme="minorHAnsi" w:eastAsia="TimesNewRoman" w:hAnsiTheme="minorHAnsi" w:cstheme="minorHAnsi"/>
              </w:rPr>
              <w:t>0,37</w:t>
            </w:r>
          </w:p>
        </w:tc>
      </w:tr>
      <w:tr w:rsidR="008831F9" w:rsidRPr="008831F9" w14:paraId="1BC93F4C" w14:textId="77777777" w:rsidTr="00EA573C">
        <w:tc>
          <w:tcPr>
            <w:tcW w:w="9920" w:type="dxa"/>
            <w:gridSpan w:val="4"/>
          </w:tcPr>
          <w:p w14:paraId="270F94B9" w14:textId="77777777" w:rsidR="008831F9" w:rsidRPr="008831F9" w:rsidRDefault="008831F9" w:rsidP="008831F9">
            <w:pPr>
              <w:pStyle w:val="Nagwek4"/>
              <w:spacing w:before="0" w:after="0"/>
              <w:outlineLvl w:val="3"/>
              <w:rPr>
                <w:rFonts w:asciiTheme="minorHAnsi" w:hAnsiTheme="minorHAnsi" w:cstheme="minorHAnsi"/>
                <w:b w:val="0"/>
              </w:rPr>
            </w:pPr>
            <w:r w:rsidRPr="008831F9">
              <w:rPr>
                <w:rFonts w:asciiTheme="minorHAnsi" w:eastAsia="TimesNewRoman" w:hAnsiTheme="minorHAnsi" w:cstheme="minorHAnsi"/>
                <w:b w:val="0"/>
              </w:rPr>
              <w:t>* Wartości wymagań dla odcinkow nawierzchni, na ktorych nie można wykonać pomiarow z prędkością 60 km/h.</w:t>
            </w:r>
          </w:p>
        </w:tc>
      </w:tr>
    </w:tbl>
    <w:p w14:paraId="128E0208" w14:textId="77777777" w:rsidR="008831F9" w:rsidRPr="008831F9" w:rsidRDefault="008831F9" w:rsidP="008831F9">
      <w:pPr>
        <w:pStyle w:val="Nagwek4"/>
        <w:spacing w:before="0" w:after="0"/>
        <w:rPr>
          <w:rFonts w:asciiTheme="minorHAnsi" w:hAnsiTheme="minorHAnsi" w:cstheme="minorHAnsi"/>
        </w:rPr>
      </w:pPr>
      <w:r w:rsidRPr="008831F9">
        <w:rPr>
          <w:rFonts w:asciiTheme="minorHAnsi" w:hAnsiTheme="minorHAnsi" w:cstheme="minorHAnsi"/>
        </w:rPr>
        <w:t>6.5. Badania arbitrażowe</w:t>
      </w:r>
    </w:p>
    <w:p w14:paraId="6CF0A1F4" w14:textId="77777777" w:rsidR="008831F9" w:rsidRPr="008831F9" w:rsidRDefault="008831F9" w:rsidP="008831F9">
      <w:pPr>
        <w:pStyle w:val="Tekstpodstawowy"/>
        <w:spacing w:line="240" w:lineRule="auto"/>
        <w:jc w:val="both"/>
        <w:rPr>
          <w:rFonts w:asciiTheme="minorHAnsi" w:hAnsiTheme="minorHAnsi" w:cstheme="minorHAnsi"/>
          <w:sz w:val="20"/>
          <w:szCs w:val="20"/>
        </w:rPr>
      </w:pPr>
    </w:p>
    <w:p w14:paraId="6681FE8E" w14:textId="77777777" w:rsidR="008831F9" w:rsidRPr="004E54A4" w:rsidRDefault="008831F9" w:rsidP="008831F9">
      <w:pPr>
        <w:pStyle w:val="Tekstpodstawowy"/>
        <w:spacing w:line="240" w:lineRule="auto"/>
        <w:jc w:val="both"/>
        <w:rPr>
          <w:rFonts w:cstheme="minorHAnsi"/>
        </w:rPr>
      </w:pPr>
      <w:r w:rsidRPr="008831F9">
        <w:rPr>
          <w:rFonts w:asciiTheme="minorHAnsi" w:hAnsiTheme="minorHAnsi" w:cstheme="minorHAnsi"/>
          <w:sz w:val="20"/>
          <w:szCs w:val="20"/>
        </w:rPr>
        <w:t>Zgodnie z p. 6.7 DM.00.00.00</w:t>
      </w:r>
      <w:r w:rsidRPr="004E54A4">
        <w:rPr>
          <w:rFonts w:cstheme="minorHAnsi"/>
        </w:rPr>
        <w:t>.</w:t>
      </w:r>
    </w:p>
    <w:p w14:paraId="02F967C3" w14:textId="21E6C705" w:rsidR="008F79AE" w:rsidRDefault="008F79AE" w:rsidP="00193128">
      <w:pPr>
        <w:overflowPunct/>
        <w:textAlignment w:val="auto"/>
        <w:rPr>
          <w:rFonts w:asciiTheme="minorHAnsi" w:hAnsiTheme="minorHAnsi" w:cstheme="minorHAnsi"/>
        </w:rPr>
      </w:pPr>
      <w:r w:rsidRPr="008F79AE">
        <w:rPr>
          <w:rFonts w:asciiTheme="minorHAnsi" w:hAnsiTheme="minorHAnsi" w:cstheme="minorHAnsi"/>
        </w:rPr>
        <w:t xml:space="preserve"> </w:t>
      </w:r>
    </w:p>
    <w:p w14:paraId="752F86C6" w14:textId="77777777" w:rsidR="008F79AE" w:rsidRPr="008F79AE" w:rsidRDefault="008F79AE" w:rsidP="00193128">
      <w:pPr>
        <w:overflowPunct/>
        <w:textAlignment w:val="auto"/>
        <w:rPr>
          <w:rFonts w:asciiTheme="minorHAnsi" w:hAnsiTheme="minorHAnsi" w:cstheme="minorHAnsi"/>
          <w:sz w:val="22"/>
          <w:szCs w:val="22"/>
        </w:rPr>
      </w:pPr>
    </w:p>
    <w:p w14:paraId="350E481B" w14:textId="6C2139A2" w:rsidR="008F79AE" w:rsidRPr="008F79AE" w:rsidRDefault="008F79AE" w:rsidP="00262498">
      <w:pPr>
        <w:pStyle w:val="Akapitzlist"/>
        <w:numPr>
          <w:ilvl w:val="0"/>
          <w:numId w:val="246"/>
        </w:numPr>
        <w:overflowPunct/>
        <w:textAlignment w:val="auto"/>
        <w:rPr>
          <w:rFonts w:asciiTheme="minorHAnsi" w:eastAsia="Calibri" w:hAnsiTheme="minorHAnsi" w:cstheme="minorHAnsi"/>
          <w:b/>
          <w:bCs/>
          <w:color w:val="000000"/>
          <w:sz w:val="22"/>
          <w:szCs w:val="22"/>
        </w:rPr>
      </w:pPr>
      <w:r w:rsidRPr="008F79AE">
        <w:rPr>
          <w:rFonts w:asciiTheme="minorHAnsi" w:eastAsia="Calibri" w:hAnsiTheme="minorHAnsi" w:cstheme="minorHAnsi"/>
          <w:b/>
          <w:bCs/>
          <w:color w:val="000000"/>
          <w:sz w:val="22"/>
          <w:szCs w:val="22"/>
        </w:rPr>
        <w:t xml:space="preserve">OBMIAR ROBÓT </w:t>
      </w:r>
    </w:p>
    <w:p w14:paraId="2D172633" w14:textId="77777777" w:rsidR="008F79AE" w:rsidRPr="008F79AE" w:rsidRDefault="008F79AE" w:rsidP="00193128">
      <w:pPr>
        <w:overflowPunct/>
        <w:textAlignment w:val="auto"/>
        <w:rPr>
          <w:rFonts w:asciiTheme="minorHAnsi" w:eastAsia="Calibri" w:hAnsiTheme="minorHAnsi" w:cstheme="minorHAnsi"/>
          <w:color w:val="000000"/>
          <w:sz w:val="22"/>
          <w:szCs w:val="22"/>
        </w:rPr>
      </w:pPr>
    </w:p>
    <w:p w14:paraId="4B4ACE41" w14:textId="77777777" w:rsidR="008831F9" w:rsidRDefault="008831F9" w:rsidP="00193128">
      <w:pPr>
        <w:overflowPunct/>
        <w:textAlignment w:val="auto"/>
        <w:rPr>
          <w:rFonts w:asciiTheme="minorHAnsi" w:eastAsia="Calibri" w:hAnsiTheme="minorHAnsi" w:cstheme="minorHAnsi"/>
          <w:color w:val="000000"/>
        </w:rPr>
      </w:pPr>
      <w:r>
        <w:rPr>
          <w:rFonts w:asciiTheme="minorHAnsi" w:eastAsia="Calibri" w:hAnsiTheme="minorHAnsi" w:cstheme="minorHAnsi"/>
          <w:color w:val="000000"/>
        </w:rPr>
        <w:t>Kontrakt ryczałtowy</w:t>
      </w:r>
    </w:p>
    <w:p w14:paraId="5D2707AB" w14:textId="3B6C782B" w:rsidR="008F79AE" w:rsidRPr="008F79AE" w:rsidRDefault="008F79AE" w:rsidP="00193128">
      <w:pPr>
        <w:overflowPunct/>
        <w:textAlignment w:val="auto"/>
        <w:rPr>
          <w:rFonts w:asciiTheme="minorHAnsi" w:eastAsia="Calibri" w:hAnsiTheme="minorHAnsi" w:cstheme="minorHAnsi"/>
          <w:color w:val="000000"/>
        </w:rPr>
      </w:pPr>
      <w:r w:rsidRPr="008F79AE">
        <w:rPr>
          <w:rFonts w:asciiTheme="minorHAnsi" w:eastAsia="Calibri" w:hAnsiTheme="minorHAnsi" w:cstheme="minorHAnsi"/>
          <w:color w:val="000000"/>
        </w:rPr>
        <w:t xml:space="preserve">Ogólne zasady obmiaru robót podano w DMU.00.00.00 „Wymagania ogólne” [1] pkt 7. </w:t>
      </w:r>
    </w:p>
    <w:p w14:paraId="38E245D0" w14:textId="77777777" w:rsidR="008F79AE" w:rsidRPr="008F79AE" w:rsidRDefault="008F79AE" w:rsidP="00193128">
      <w:pPr>
        <w:overflowPunct/>
        <w:textAlignment w:val="auto"/>
        <w:rPr>
          <w:rFonts w:asciiTheme="minorHAnsi" w:eastAsia="Calibri" w:hAnsiTheme="minorHAnsi" w:cstheme="minorHAnsi"/>
          <w:color w:val="000000"/>
        </w:rPr>
      </w:pPr>
    </w:p>
    <w:p w14:paraId="6783D120" w14:textId="77777777" w:rsidR="008F79AE" w:rsidRPr="008F79AE" w:rsidRDefault="008F79AE" w:rsidP="00193128">
      <w:pPr>
        <w:overflowPunct/>
        <w:textAlignment w:val="auto"/>
        <w:rPr>
          <w:rFonts w:asciiTheme="minorHAnsi" w:eastAsia="Calibri" w:hAnsiTheme="minorHAnsi" w:cstheme="minorHAnsi"/>
          <w:color w:val="000000"/>
        </w:rPr>
      </w:pPr>
      <w:r w:rsidRPr="008F79AE">
        <w:rPr>
          <w:rFonts w:asciiTheme="minorHAnsi" w:eastAsia="Calibri" w:hAnsiTheme="minorHAnsi" w:cstheme="minorHAnsi"/>
          <w:b/>
          <w:bCs/>
          <w:color w:val="000000"/>
        </w:rPr>
        <w:t xml:space="preserve">8. ODBIÓR ROBÓT </w:t>
      </w:r>
    </w:p>
    <w:p w14:paraId="46FA9649" w14:textId="77777777" w:rsidR="008F79AE" w:rsidRPr="008F79AE" w:rsidRDefault="008F79AE" w:rsidP="00193128">
      <w:pPr>
        <w:overflowPunct/>
        <w:textAlignment w:val="auto"/>
        <w:rPr>
          <w:rFonts w:asciiTheme="minorHAnsi" w:eastAsia="Calibri" w:hAnsiTheme="minorHAnsi" w:cstheme="minorHAnsi"/>
          <w:color w:val="000000"/>
        </w:rPr>
      </w:pPr>
      <w:r w:rsidRPr="008F79AE">
        <w:rPr>
          <w:rFonts w:asciiTheme="minorHAnsi" w:eastAsia="Calibri" w:hAnsiTheme="minorHAnsi" w:cstheme="minorHAnsi"/>
          <w:color w:val="000000"/>
        </w:rPr>
        <w:t xml:space="preserve">Ogólne zasady odbioru robót podano w DMU.00.00.00„Wymagania ogólne” [1] pkt 8. </w:t>
      </w:r>
    </w:p>
    <w:p w14:paraId="16644A4F" w14:textId="77777777" w:rsidR="008F79AE" w:rsidRDefault="008F79AE" w:rsidP="00193128">
      <w:pPr>
        <w:overflowPunct/>
        <w:textAlignment w:val="auto"/>
        <w:rPr>
          <w:rFonts w:asciiTheme="minorHAnsi" w:eastAsia="Calibri" w:hAnsiTheme="minorHAnsi" w:cstheme="minorHAnsi"/>
          <w:color w:val="000000"/>
        </w:rPr>
      </w:pPr>
      <w:r w:rsidRPr="008F79AE">
        <w:rPr>
          <w:rFonts w:asciiTheme="minorHAnsi" w:eastAsia="Calibri" w:hAnsiTheme="minorHAnsi" w:cstheme="minorHAnsi"/>
          <w:color w:val="000000"/>
        </w:rPr>
        <w:t xml:space="preserve">Roboty uznaje się za wykonane zgodnie z dokumentacją projektową, ST i wymaganiami Inżyniera, jeżeli wszystkie pomiary i badania z zachowaniem tolerancji według pktu 6 dały wyniki pozytywne. </w:t>
      </w:r>
    </w:p>
    <w:p w14:paraId="4F3193F4" w14:textId="77777777" w:rsidR="008F79AE" w:rsidRPr="008F79AE" w:rsidRDefault="008F79AE" w:rsidP="00193128">
      <w:pPr>
        <w:overflowPunct/>
        <w:textAlignment w:val="auto"/>
        <w:rPr>
          <w:rFonts w:asciiTheme="minorHAnsi" w:eastAsia="Calibri" w:hAnsiTheme="minorHAnsi" w:cstheme="minorHAnsi"/>
          <w:color w:val="000000"/>
        </w:rPr>
      </w:pPr>
    </w:p>
    <w:p w14:paraId="20837FBC" w14:textId="77777777" w:rsidR="008F79AE" w:rsidRDefault="008F79AE" w:rsidP="00193128">
      <w:pPr>
        <w:overflowPunct/>
        <w:textAlignment w:val="auto"/>
        <w:rPr>
          <w:rFonts w:asciiTheme="minorHAnsi" w:eastAsia="Calibri" w:hAnsiTheme="minorHAnsi" w:cstheme="minorHAnsi"/>
          <w:b/>
          <w:bCs/>
          <w:color w:val="000000"/>
        </w:rPr>
      </w:pPr>
      <w:r w:rsidRPr="008F79AE">
        <w:rPr>
          <w:rFonts w:asciiTheme="minorHAnsi" w:eastAsia="Calibri" w:hAnsiTheme="minorHAnsi" w:cstheme="minorHAnsi"/>
          <w:b/>
          <w:bCs/>
          <w:color w:val="000000"/>
        </w:rPr>
        <w:t xml:space="preserve">9. PODSTAWA PŁATNOŚCI </w:t>
      </w:r>
    </w:p>
    <w:p w14:paraId="49AC060A" w14:textId="77777777" w:rsidR="008F79AE" w:rsidRPr="008F79AE" w:rsidRDefault="008F79AE" w:rsidP="00193128">
      <w:pPr>
        <w:overflowPunct/>
        <w:textAlignment w:val="auto"/>
        <w:rPr>
          <w:rFonts w:asciiTheme="minorHAnsi" w:eastAsia="Calibri" w:hAnsiTheme="minorHAnsi" w:cstheme="minorHAnsi"/>
          <w:color w:val="000000"/>
        </w:rPr>
      </w:pPr>
    </w:p>
    <w:p w14:paraId="51C33E8D" w14:textId="77777777" w:rsidR="008831F9" w:rsidRDefault="008831F9" w:rsidP="00193128">
      <w:pPr>
        <w:overflowPunct/>
        <w:textAlignment w:val="auto"/>
        <w:rPr>
          <w:rFonts w:asciiTheme="minorHAnsi" w:eastAsia="Calibri" w:hAnsiTheme="minorHAnsi" w:cstheme="minorHAnsi"/>
          <w:color w:val="000000"/>
        </w:rPr>
      </w:pPr>
      <w:r>
        <w:rPr>
          <w:rFonts w:asciiTheme="minorHAnsi" w:eastAsia="Calibri" w:hAnsiTheme="minorHAnsi" w:cstheme="minorHAnsi"/>
          <w:color w:val="000000"/>
        </w:rPr>
        <w:t xml:space="preserve">Kontrakt ryczałtowy </w:t>
      </w:r>
    </w:p>
    <w:p w14:paraId="683EAAAB" w14:textId="66690494" w:rsidR="008F79AE" w:rsidRDefault="008F79AE" w:rsidP="00193128">
      <w:pPr>
        <w:overflowPunct/>
        <w:textAlignment w:val="auto"/>
        <w:rPr>
          <w:rFonts w:asciiTheme="minorHAnsi" w:eastAsia="Calibri" w:hAnsiTheme="minorHAnsi" w:cstheme="minorHAnsi"/>
          <w:color w:val="000000"/>
        </w:rPr>
      </w:pPr>
      <w:r w:rsidRPr="008F79AE">
        <w:rPr>
          <w:rFonts w:asciiTheme="minorHAnsi" w:eastAsia="Calibri" w:hAnsiTheme="minorHAnsi" w:cstheme="minorHAnsi"/>
          <w:color w:val="000000"/>
        </w:rPr>
        <w:t xml:space="preserve">Ogólne ustalenia dotyczące podstawy płatności podano w DM.00.00.00„Wymagania ogólne” pkt 9. </w:t>
      </w:r>
    </w:p>
    <w:p w14:paraId="4E010855" w14:textId="77777777" w:rsidR="008F79AE" w:rsidRPr="008F79AE" w:rsidRDefault="008F79AE" w:rsidP="00193128">
      <w:pPr>
        <w:overflowPunct/>
        <w:textAlignment w:val="auto"/>
        <w:rPr>
          <w:rFonts w:asciiTheme="minorHAnsi" w:eastAsia="Calibri" w:hAnsiTheme="minorHAnsi" w:cstheme="minorHAnsi"/>
          <w:color w:val="000000"/>
        </w:rPr>
      </w:pPr>
    </w:p>
    <w:p w14:paraId="082CFBA5" w14:textId="77777777" w:rsidR="008F79AE" w:rsidRPr="008F79AE" w:rsidRDefault="008F79AE" w:rsidP="008F79AE">
      <w:pPr>
        <w:overflowPunct/>
        <w:jc w:val="left"/>
        <w:textAlignment w:val="auto"/>
        <w:rPr>
          <w:rFonts w:asciiTheme="minorHAnsi" w:eastAsia="Calibri" w:hAnsiTheme="minorHAnsi" w:cstheme="minorHAnsi"/>
          <w:color w:val="000000"/>
          <w:sz w:val="22"/>
          <w:szCs w:val="22"/>
        </w:rPr>
      </w:pPr>
    </w:p>
    <w:p w14:paraId="40BEADE0" w14:textId="77777777" w:rsidR="008F79AE" w:rsidRPr="00193128" w:rsidRDefault="008F79AE" w:rsidP="00193128">
      <w:pPr>
        <w:overflowPunct/>
        <w:textAlignment w:val="auto"/>
        <w:rPr>
          <w:rFonts w:asciiTheme="minorHAnsi" w:eastAsia="Calibri" w:hAnsiTheme="minorHAnsi" w:cstheme="minorHAnsi"/>
          <w:b/>
          <w:bCs/>
          <w:color w:val="000000"/>
          <w:sz w:val="22"/>
          <w:szCs w:val="22"/>
        </w:rPr>
      </w:pPr>
      <w:r w:rsidRPr="008F79AE">
        <w:rPr>
          <w:rFonts w:asciiTheme="minorHAnsi" w:eastAsia="Calibri" w:hAnsiTheme="minorHAnsi" w:cstheme="minorHAnsi"/>
          <w:b/>
          <w:bCs/>
          <w:color w:val="000000"/>
          <w:sz w:val="22"/>
          <w:szCs w:val="22"/>
        </w:rPr>
        <w:t xml:space="preserve">10. PRZEPISY ZWIĄZANE </w:t>
      </w:r>
    </w:p>
    <w:p w14:paraId="75D3F0FB" w14:textId="77777777" w:rsidR="008F79AE" w:rsidRPr="008F79AE" w:rsidRDefault="008F79AE" w:rsidP="00193128">
      <w:pPr>
        <w:overflowPunct/>
        <w:textAlignment w:val="auto"/>
        <w:rPr>
          <w:rFonts w:asciiTheme="minorHAnsi" w:eastAsia="Calibri" w:hAnsiTheme="minorHAnsi" w:cstheme="minorHAnsi"/>
          <w:color w:val="000000"/>
        </w:rPr>
      </w:pPr>
    </w:p>
    <w:p w14:paraId="59ADAF98" w14:textId="77777777" w:rsidR="008F79AE" w:rsidRPr="008F79AE" w:rsidRDefault="008F79AE" w:rsidP="00193128">
      <w:pPr>
        <w:overflowPunct/>
        <w:autoSpaceDE/>
        <w:autoSpaceDN/>
        <w:adjustRightInd/>
        <w:textAlignment w:val="auto"/>
        <w:rPr>
          <w:rFonts w:asciiTheme="minorHAnsi" w:hAnsiTheme="minorHAnsi" w:cstheme="minorHAnsi"/>
          <w:b/>
          <w:sz w:val="22"/>
          <w:szCs w:val="22"/>
        </w:rPr>
      </w:pPr>
      <w:r w:rsidRPr="008F79AE">
        <w:rPr>
          <w:rFonts w:asciiTheme="minorHAnsi" w:hAnsiTheme="minorHAnsi" w:cstheme="minorHAnsi"/>
          <w:b/>
          <w:sz w:val="22"/>
          <w:szCs w:val="22"/>
        </w:rPr>
        <w:t>10.1. Warunki Wykonania</w:t>
      </w:r>
    </w:p>
    <w:p w14:paraId="2CE4950A" w14:textId="710CE18C" w:rsidR="008F79AE" w:rsidRPr="00193128" w:rsidRDefault="008F79AE" w:rsidP="00193128">
      <w:pPr>
        <w:overflowPunct/>
        <w:autoSpaceDE/>
        <w:autoSpaceDN/>
        <w:adjustRightInd/>
        <w:textAlignment w:val="auto"/>
        <w:rPr>
          <w:rFonts w:asciiTheme="minorHAnsi" w:hAnsiTheme="minorHAnsi" w:cstheme="minorHAnsi"/>
          <w:bCs/>
        </w:rPr>
      </w:pPr>
      <w:r w:rsidRPr="00193128">
        <w:rPr>
          <w:rFonts w:asciiTheme="minorHAnsi" w:hAnsiTheme="minorHAnsi" w:cstheme="minorHAnsi"/>
          <w:bCs/>
        </w:rPr>
        <w:t>1. DMU.00.00.00Wymagania ogólne</w:t>
      </w:r>
    </w:p>
    <w:p w14:paraId="4354EF32" w14:textId="77777777" w:rsidR="00193128" w:rsidRDefault="00193128" w:rsidP="00193128">
      <w:pPr>
        <w:overflowPunct/>
        <w:autoSpaceDE/>
        <w:autoSpaceDN/>
        <w:adjustRightInd/>
        <w:textAlignment w:val="auto"/>
        <w:rPr>
          <w:rFonts w:asciiTheme="minorHAnsi" w:hAnsiTheme="minorHAnsi" w:cstheme="minorHAnsi"/>
          <w:bCs/>
          <w:sz w:val="22"/>
          <w:szCs w:val="22"/>
        </w:rPr>
      </w:pPr>
    </w:p>
    <w:p w14:paraId="36C9612F" w14:textId="66A21BD8" w:rsidR="00193128" w:rsidRPr="00193128" w:rsidRDefault="00193128" w:rsidP="00193128">
      <w:pPr>
        <w:overflowPunct/>
        <w:autoSpaceDE/>
        <w:autoSpaceDN/>
        <w:adjustRightInd/>
        <w:textAlignment w:val="auto"/>
        <w:rPr>
          <w:rFonts w:asciiTheme="minorHAnsi" w:hAnsiTheme="minorHAnsi" w:cstheme="minorHAnsi"/>
          <w:b/>
          <w:sz w:val="22"/>
          <w:szCs w:val="22"/>
        </w:rPr>
      </w:pPr>
      <w:r w:rsidRPr="00193128">
        <w:rPr>
          <w:rFonts w:asciiTheme="minorHAnsi" w:hAnsiTheme="minorHAnsi" w:cstheme="minorHAnsi"/>
          <w:b/>
          <w:sz w:val="22"/>
          <w:szCs w:val="22"/>
        </w:rPr>
        <w:t>10.2. Normy</w:t>
      </w:r>
    </w:p>
    <w:p w14:paraId="45ABC308" w14:textId="1A7E6F5C" w:rsidR="00193128" w:rsidRPr="00193128" w:rsidRDefault="00193128" w:rsidP="00193128">
      <w:pPr>
        <w:overflowPunct/>
        <w:autoSpaceDE/>
        <w:autoSpaceDN/>
        <w:adjustRightInd/>
        <w:textAlignment w:val="auto"/>
        <w:rPr>
          <w:rFonts w:ascii="Calibri" w:hAnsi="Calibri" w:cs="Calibri"/>
          <w:bCs/>
          <w:sz w:val="18"/>
          <w:szCs w:val="18"/>
        </w:rPr>
      </w:pPr>
      <w:r w:rsidRPr="00193128">
        <w:rPr>
          <w:rFonts w:ascii="Calibri" w:hAnsi="Calibri" w:cs="Calibri"/>
          <w:bCs/>
          <w:sz w:val="18"/>
          <w:szCs w:val="18"/>
        </w:rPr>
        <w:t xml:space="preserve">(Zestawienie zawiera dodatkowo normy PN-EN związane z badaniami materiałów występujących w niniejszych </w:t>
      </w:r>
      <w:r w:rsidR="000907B8">
        <w:rPr>
          <w:rFonts w:ascii="Calibri" w:hAnsi="Calibri" w:cs="Calibri"/>
          <w:bCs/>
          <w:sz w:val="18"/>
          <w:szCs w:val="18"/>
        </w:rPr>
        <w:t>ST</w:t>
      </w:r>
      <w:r w:rsidRPr="00193128">
        <w:rPr>
          <w:rFonts w:ascii="Calibri" w:hAnsi="Calibri" w:cs="Calibri"/>
          <w:bCs/>
          <w:sz w:val="18"/>
          <w:szCs w:val="18"/>
        </w:rPr>
        <w:t>WiORB)</w:t>
      </w:r>
    </w:p>
    <w:p w14:paraId="23AD3B98" w14:textId="613E53C4" w:rsidR="00193128" w:rsidRPr="00193128" w:rsidRDefault="00193128" w:rsidP="00193128">
      <w:pPr>
        <w:overflowPunct/>
        <w:autoSpaceDE/>
        <w:autoSpaceDN/>
        <w:adjustRightInd/>
        <w:textAlignment w:val="auto"/>
        <w:rPr>
          <w:rFonts w:ascii="Calibri" w:hAnsi="Calibri" w:cs="Calibri"/>
          <w:bCs/>
          <w:sz w:val="18"/>
          <w:szCs w:val="18"/>
        </w:rPr>
      </w:pPr>
      <w:r w:rsidRPr="00193128">
        <w:rPr>
          <w:rFonts w:ascii="Calibri" w:hAnsi="Calibri" w:cs="Calibri"/>
          <w:bCs/>
          <w:sz w:val="18"/>
          <w:szCs w:val="18"/>
        </w:rPr>
        <w:t>2.</w:t>
      </w:r>
      <w:r>
        <w:rPr>
          <w:rFonts w:ascii="Calibri" w:hAnsi="Calibri" w:cs="Calibri"/>
          <w:bCs/>
          <w:sz w:val="18"/>
          <w:szCs w:val="18"/>
        </w:rPr>
        <w:t xml:space="preserve"> </w:t>
      </w:r>
      <w:r w:rsidRPr="00193128">
        <w:rPr>
          <w:rFonts w:ascii="Calibri" w:hAnsi="Calibri" w:cs="Calibri"/>
          <w:bCs/>
          <w:sz w:val="18"/>
          <w:szCs w:val="18"/>
        </w:rPr>
        <w:t>PN-EN 196-21</w:t>
      </w:r>
      <w:r>
        <w:rPr>
          <w:rFonts w:ascii="Calibri" w:hAnsi="Calibri" w:cs="Calibri"/>
          <w:bCs/>
          <w:sz w:val="18"/>
          <w:szCs w:val="18"/>
        </w:rPr>
        <w:t xml:space="preserve"> </w:t>
      </w:r>
      <w:r w:rsidRPr="00193128">
        <w:rPr>
          <w:rFonts w:ascii="Calibri" w:hAnsi="Calibri" w:cs="Calibri"/>
          <w:bCs/>
          <w:sz w:val="18"/>
          <w:szCs w:val="18"/>
        </w:rPr>
        <w:t>Metody badania cementu – Oznaczanie zawartości chlorków, dwutlenku węgla i alkaliów w cemencie</w:t>
      </w:r>
    </w:p>
    <w:p w14:paraId="21EE9C57" w14:textId="7EDCCEB2" w:rsidR="00193128" w:rsidRPr="00193128" w:rsidRDefault="00193128" w:rsidP="00193128">
      <w:pPr>
        <w:overflowPunct/>
        <w:autoSpaceDE/>
        <w:autoSpaceDN/>
        <w:adjustRightInd/>
        <w:textAlignment w:val="auto"/>
        <w:rPr>
          <w:rFonts w:ascii="Calibri" w:hAnsi="Calibri" w:cs="Calibri"/>
          <w:bCs/>
          <w:sz w:val="18"/>
          <w:szCs w:val="18"/>
        </w:rPr>
      </w:pPr>
      <w:r w:rsidRPr="00193128">
        <w:rPr>
          <w:rFonts w:ascii="Calibri" w:hAnsi="Calibri" w:cs="Calibri"/>
          <w:bCs/>
          <w:sz w:val="18"/>
          <w:szCs w:val="18"/>
        </w:rPr>
        <w:t>3.</w:t>
      </w:r>
      <w:r>
        <w:rPr>
          <w:rFonts w:ascii="Calibri" w:hAnsi="Calibri" w:cs="Calibri"/>
          <w:bCs/>
          <w:sz w:val="18"/>
          <w:szCs w:val="18"/>
        </w:rPr>
        <w:t xml:space="preserve"> </w:t>
      </w:r>
      <w:r w:rsidRPr="00193128">
        <w:rPr>
          <w:rFonts w:ascii="Calibri" w:hAnsi="Calibri" w:cs="Calibri"/>
          <w:bCs/>
          <w:sz w:val="18"/>
          <w:szCs w:val="18"/>
        </w:rPr>
        <w:t>PN-EN 459-2</w:t>
      </w:r>
      <w:r>
        <w:rPr>
          <w:rFonts w:ascii="Calibri" w:hAnsi="Calibri" w:cs="Calibri"/>
          <w:bCs/>
          <w:sz w:val="18"/>
          <w:szCs w:val="18"/>
        </w:rPr>
        <w:t xml:space="preserve"> </w:t>
      </w:r>
      <w:r w:rsidRPr="00193128">
        <w:rPr>
          <w:rFonts w:ascii="Calibri" w:hAnsi="Calibri" w:cs="Calibri"/>
          <w:bCs/>
          <w:sz w:val="18"/>
          <w:szCs w:val="18"/>
        </w:rPr>
        <w:t>Wapno budowlane – Część 2: Metody badań</w:t>
      </w:r>
    </w:p>
    <w:p w14:paraId="0F1A3DD8" w14:textId="2020361B" w:rsidR="00193128" w:rsidRPr="00193128" w:rsidRDefault="00193128" w:rsidP="00193128">
      <w:pPr>
        <w:overflowPunct/>
        <w:autoSpaceDE/>
        <w:autoSpaceDN/>
        <w:adjustRightInd/>
        <w:textAlignment w:val="auto"/>
        <w:rPr>
          <w:rFonts w:ascii="Calibri" w:hAnsi="Calibri" w:cs="Calibri"/>
          <w:bCs/>
          <w:sz w:val="18"/>
          <w:szCs w:val="18"/>
        </w:rPr>
      </w:pPr>
      <w:r w:rsidRPr="00193128">
        <w:rPr>
          <w:rFonts w:ascii="Calibri" w:hAnsi="Calibri" w:cs="Calibri"/>
          <w:bCs/>
          <w:sz w:val="18"/>
          <w:szCs w:val="18"/>
        </w:rPr>
        <w:t>4.</w:t>
      </w:r>
      <w:r>
        <w:rPr>
          <w:rFonts w:ascii="Calibri" w:hAnsi="Calibri" w:cs="Calibri"/>
          <w:bCs/>
          <w:sz w:val="18"/>
          <w:szCs w:val="18"/>
        </w:rPr>
        <w:t xml:space="preserve"> </w:t>
      </w:r>
      <w:r w:rsidRPr="00193128">
        <w:rPr>
          <w:rFonts w:ascii="Calibri" w:hAnsi="Calibri" w:cs="Calibri"/>
          <w:bCs/>
          <w:sz w:val="18"/>
          <w:szCs w:val="18"/>
        </w:rPr>
        <w:t>PN-EN 932-3</w:t>
      </w:r>
      <w:r>
        <w:rPr>
          <w:rFonts w:ascii="Calibri" w:hAnsi="Calibri" w:cs="Calibri"/>
          <w:bCs/>
          <w:sz w:val="18"/>
          <w:szCs w:val="18"/>
        </w:rPr>
        <w:t xml:space="preserve"> </w:t>
      </w:r>
      <w:r w:rsidRPr="00193128">
        <w:rPr>
          <w:rFonts w:ascii="Calibri" w:hAnsi="Calibri" w:cs="Calibri"/>
          <w:bCs/>
          <w:sz w:val="18"/>
          <w:szCs w:val="18"/>
        </w:rPr>
        <w:t>Badania podstawowych właściwości kruszyw – Procedura i terminologia uproszczonego opisu petrograficznego</w:t>
      </w:r>
    </w:p>
    <w:p w14:paraId="397FA43A" w14:textId="08006F23" w:rsidR="00193128" w:rsidRPr="00193128" w:rsidRDefault="00193128" w:rsidP="00193128">
      <w:pPr>
        <w:overflowPunct/>
        <w:autoSpaceDE/>
        <w:autoSpaceDN/>
        <w:adjustRightInd/>
        <w:textAlignment w:val="auto"/>
        <w:rPr>
          <w:rFonts w:ascii="Calibri" w:hAnsi="Calibri" w:cs="Calibri"/>
          <w:bCs/>
          <w:sz w:val="18"/>
          <w:szCs w:val="18"/>
        </w:rPr>
      </w:pPr>
      <w:r w:rsidRPr="00193128">
        <w:rPr>
          <w:rFonts w:ascii="Calibri" w:hAnsi="Calibri" w:cs="Calibri"/>
          <w:bCs/>
          <w:sz w:val="18"/>
          <w:szCs w:val="18"/>
        </w:rPr>
        <w:t>5.</w:t>
      </w:r>
      <w:r>
        <w:rPr>
          <w:rFonts w:ascii="Calibri" w:hAnsi="Calibri" w:cs="Calibri"/>
          <w:bCs/>
          <w:sz w:val="18"/>
          <w:szCs w:val="18"/>
        </w:rPr>
        <w:t xml:space="preserve"> </w:t>
      </w:r>
      <w:r w:rsidRPr="00193128">
        <w:rPr>
          <w:rFonts w:ascii="Calibri" w:hAnsi="Calibri" w:cs="Calibri"/>
          <w:bCs/>
          <w:sz w:val="18"/>
          <w:szCs w:val="18"/>
        </w:rPr>
        <w:t>PN-EN 933-1</w:t>
      </w:r>
      <w:r>
        <w:rPr>
          <w:rFonts w:ascii="Calibri" w:hAnsi="Calibri" w:cs="Calibri"/>
          <w:bCs/>
          <w:sz w:val="18"/>
          <w:szCs w:val="18"/>
        </w:rPr>
        <w:t xml:space="preserve"> </w:t>
      </w:r>
      <w:r w:rsidRPr="00193128">
        <w:rPr>
          <w:rFonts w:ascii="Calibri" w:hAnsi="Calibri" w:cs="Calibri"/>
          <w:bCs/>
          <w:sz w:val="18"/>
          <w:szCs w:val="18"/>
        </w:rPr>
        <w:t>Badania geometrycznych właściwości kruszyw – Oznaczanie składu ziarnowego – Metoda przesiewania</w:t>
      </w:r>
    </w:p>
    <w:p w14:paraId="6B2CD36E" w14:textId="42946402" w:rsidR="00193128" w:rsidRPr="00193128" w:rsidRDefault="00193128" w:rsidP="00193128">
      <w:pPr>
        <w:overflowPunct/>
        <w:autoSpaceDE/>
        <w:autoSpaceDN/>
        <w:adjustRightInd/>
        <w:textAlignment w:val="auto"/>
        <w:rPr>
          <w:rFonts w:ascii="Calibri" w:hAnsi="Calibri" w:cs="Calibri"/>
          <w:bCs/>
          <w:sz w:val="18"/>
          <w:szCs w:val="18"/>
        </w:rPr>
      </w:pPr>
      <w:r w:rsidRPr="00193128">
        <w:rPr>
          <w:rFonts w:ascii="Calibri" w:hAnsi="Calibri" w:cs="Calibri"/>
          <w:bCs/>
          <w:sz w:val="18"/>
          <w:szCs w:val="18"/>
        </w:rPr>
        <w:t>6.</w:t>
      </w:r>
      <w:r>
        <w:rPr>
          <w:rFonts w:ascii="Calibri" w:hAnsi="Calibri" w:cs="Calibri"/>
          <w:bCs/>
          <w:sz w:val="18"/>
          <w:szCs w:val="18"/>
        </w:rPr>
        <w:t xml:space="preserve"> </w:t>
      </w:r>
      <w:r w:rsidRPr="00193128">
        <w:rPr>
          <w:rFonts w:ascii="Calibri" w:hAnsi="Calibri" w:cs="Calibri"/>
          <w:bCs/>
          <w:sz w:val="18"/>
          <w:szCs w:val="18"/>
        </w:rPr>
        <w:t>PN-EN 933-3</w:t>
      </w:r>
      <w:r>
        <w:rPr>
          <w:rFonts w:ascii="Calibri" w:hAnsi="Calibri" w:cs="Calibri"/>
          <w:bCs/>
          <w:sz w:val="18"/>
          <w:szCs w:val="18"/>
        </w:rPr>
        <w:t xml:space="preserve"> </w:t>
      </w:r>
      <w:r w:rsidRPr="00193128">
        <w:rPr>
          <w:rFonts w:ascii="Calibri" w:hAnsi="Calibri" w:cs="Calibri"/>
          <w:bCs/>
          <w:sz w:val="18"/>
          <w:szCs w:val="18"/>
        </w:rPr>
        <w:t>Badania geometrycznych właściwości kruszyw – Oznaczanie kształtu ziaren za pomocą wskaźnika płaskości</w:t>
      </w:r>
    </w:p>
    <w:p w14:paraId="42913C5C" w14:textId="18DCDD1E" w:rsidR="00193128" w:rsidRPr="00193128" w:rsidRDefault="00193128" w:rsidP="00193128">
      <w:pPr>
        <w:overflowPunct/>
        <w:autoSpaceDE/>
        <w:autoSpaceDN/>
        <w:adjustRightInd/>
        <w:textAlignment w:val="auto"/>
        <w:rPr>
          <w:rFonts w:ascii="Calibri" w:hAnsi="Calibri" w:cs="Calibri"/>
          <w:bCs/>
          <w:sz w:val="18"/>
          <w:szCs w:val="18"/>
        </w:rPr>
      </w:pPr>
      <w:r w:rsidRPr="00193128">
        <w:rPr>
          <w:rFonts w:ascii="Calibri" w:hAnsi="Calibri" w:cs="Calibri"/>
          <w:bCs/>
          <w:sz w:val="18"/>
          <w:szCs w:val="18"/>
        </w:rPr>
        <w:t>7.</w:t>
      </w:r>
      <w:r>
        <w:rPr>
          <w:rFonts w:ascii="Calibri" w:hAnsi="Calibri" w:cs="Calibri"/>
          <w:bCs/>
          <w:sz w:val="18"/>
          <w:szCs w:val="18"/>
        </w:rPr>
        <w:t xml:space="preserve"> </w:t>
      </w:r>
      <w:r w:rsidRPr="00193128">
        <w:rPr>
          <w:rFonts w:ascii="Calibri" w:hAnsi="Calibri" w:cs="Calibri"/>
          <w:bCs/>
          <w:sz w:val="18"/>
          <w:szCs w:val="18"/>
        </w:rPr>
        <w:t>PN-EN 933-4</w:t>
      </w:r>
      <w:r>
        <w:rPr>
          <w:rFonts w:ascii="Calibri" w:hAnsi="Calibri" w:cs="Calibri"/>
          <w:bCs/>
          <w:sz w:val="18"/>
          <w:szCs w:val="18"/>
        </w:rPr>
        <w:t xml:space="preserve"> </w:t>
      </w:r>
      <w:r w:rsidRPr="00193128">
        <w:rPr>
          <w:rFonts w:ascii="Calibri" w:hAnsi="Calibri" w:cs="Calibri"/>
          <w:bCs/>
          <w:sz w:val="18"/>
          <w:szCs w:val="18"/>
        </w:rPr>
        <w:t>Badania geometrycznych właściwości kruszyw – Część 4: Oznaczanie kształtu ziaren – Wskaźnik kształtu</w:t>
      </w:r>
    </w:p>
    <w:p w14:paraId="3DDDFDC9" w14:textId="68FB40AD" w:rsidR="00193128" w:rsidRPr="00193128" w:rsidRDefault="00193128" w:rsidP="00193128">
      <w:pPr>
        <w:overflowPunct/>
        <w:autoSpaceDE/>
        <w:autoSpaceDN/>
        <w:adjustRightInd/>
        <w:textAlignment w:val="auto"/>
        <w:rPr>
          <w:rFonts w:ascii="Calibri" w:hAnsi="Calibri" w:cs="Calibri"/>
          <w:bCs/>
          <w:sz w:val="18"/>
          <w:szCs w:val="18"/>
        </w:rPr>
      </w:pPr>
      <w:r w:rsidRPr="00193128">
        <w:rPr>
          <w:rFonts w:ascii="Calibri" w:hAnsi="Calibri" w:cs="Calibri"/>
          <w:bCs/>
          <w:sz w:val="18"/>
          <w:szCs w:val="18"/>
        </w:rPr>
        <w:t>8.</w:t>
      </w:r>
      <w:r>
        <w:rPr>
          <w:rFonts w:ascii="Calibri" w:hAnsi="Calibri" w:cs="Calibri"/>
          <w:bCs/>
          <w:sz w:val="18"/>
          <w:szCs w:val="18"/>
        </w:rPr>
        <w:t xml:space="preserve"> </w:t>
      </w:r>
      <w:r w:rsidRPr="00193128">
        <w:rPr>
          <w:rFonts w:ascii="Calibri" w:hAnsi="Calibri" w:cs="Calibri"/>
          <w:bCs/>
          <w:sz w:val="18"/>
          <w:szCs w:val="18"/>
        </w:rPr>
        <w:t>PN-EN 933-5</w:t>
      </w:r>
      <w:r>
        <w:rPr>
          <w:rFonts w:ascii="Calibri" w:hAnsi="Calibri" w:cs="Calibri"/>
          <w:bCs/>
          <w:sz w:val="18"/>
          <w:szCs w:val="18"/>
        </w:rPr>
        <w:t xml:space="preserve"> </w:t>
      </w:r>
      <w:r w:rsidRPr="00193128">
        <w:rPr>
          <w:rFonts w:ascii="Calibri" w:hAnsi="Calibri" w:cs="Calibri"/>
          <w:bCs/>
          <w:sz w:val="18"/>
          <w:szCs w:val="18"/>
        </w:rPr>
        <w:t>Badania geometrycznych właściwości kruszyw – Oznaczanie procentowej zawartości ziaren o powierzchniach powstałych w wyniku przekruszenia lub łamania kruszyw grubych</w:t>
      </w:r>
    </w:p>
    <w:p w14:paraId="7AE5D91D" w14:textId="6743DAB2" w:rsidR="00193128" w:rsidRPr="00193128" w:rsidRDefault="00193128" w:rsidP="00193128">
      <w:pPr>
        <w:overflowPunct/>
        <w:autoSpaceDE/>
        <w:autoSpaceDN/>
        <w:adjustRightInd/>
        <w:textAlignment w:val="auto"/>
        <w:rPr>
          <w:rFonts w:ascii="Calibri" w:hAnsi="Calibri" w:cs="Calibri"/>
          <w:bCs/>
          <w:sz w:val="18"/>
          <w:szCs w:val="18"/>
        </w:rPr>
      </w:pPr>
      <w:r w:rsidRPr="00193128">
        <w:rPr>
          <w:rFonts w:ascii="Calibri" w:hAnsi="Calibri" w:cs="Calibri"/>
          <w:bCs/>
          <w:sz w:val="18"/>
          <w:szCs w:val="18"/>
        </w:rPr>
        <w:t>9.</w:t>
      </w:r>
      <w:r>
        <w:rPr>
          <w:rFonts w:ascii="Calibri" w:hAnsi="Calibri" w:cs="Calibri"/>
          <w:bCs/>
          <w:sz w:val="18"/>
          <w:szCs w:val="18"/>
        </w:rPr>
        <w:t xml:space="preserve"> </w:t>
      </w:r>
      <w:r w:rsidRPr="00193128">
        <w:rPr>
          <w:rFonts w:ascii="Calibri" w:hAnsi="Calibri" w:cs="Calibri"/>
          <w:bCs/>
          <w:sz w:val="18"/>
          <w:szCs w:val="18"/>
        </w:rPr>
        <w:t>PN-EN 933-6</w:t>
      </w:r>
      <w:r>
        <w:rPr>
          <w:rFonts w:ascii="Calibri" w:hAnsi="Calibri" w:cs="Calibri"/>
          <w:bCs/>
          <w:sz w:val="18"/>
          <w:szCs w:val="18"/>
        </w:rPr>
        <w:t xml:space="preserve"> </w:t>
      </w:r>
      <w:r w:rsidRPr="00193128">
        <w:rPr>
          <w:rFonts w:ascii="Calibri" w:hAnsi="Calibri" w:cs="Calibri"/>
          <w:bCs/>
          <w:sz w:val="18"/>
          <w:szCs w:val="18"/>
        </w:rPr>
        <w:t>Badania geometrycznych właściwości kruszyw – Część 6: Ocena właściwości powierzchni – Wskaźnik przepływu kruszywa</w:t>
      </w:r>
    </w:p>
    <w:p w14:paraId="395D06AD" w14:textId="23E5BF65" w:rsidR="00193128" w:rsidRPr="00193128" w:rsidRDefault="00193128" w:rsidP="00193128">
      <w:pPr>
        <w:overflowPunct/>
        <w:autoSpaceDE/>
        <w:autoSpaceDN/>
        <w:adjustRightInd/>
        <w:textAlignment w:val="auto"/>
        <w:rPr>
          <w:rFonts w:ascii="Calibri" w:hAnsi="Calibri" w:cs="Calibri"/>
          <w:bCs/>
          <w:sz w:val="18"/>
          <w:szCs w:val="18"/>
        </w:rPr>
      </w:pPr>
      <w:r w:rsidRPr="00193128">
        <w:rPr>
          <w:rFonts w:ascii="Calibri" w:hAnsi="Calibri" w:cs="Calibri"/>
          <w:bCs/>
          <w:sz w:val="18"/>
          <w:szCs w:val="18"/>
        </w:rPr>
        <w:t>10.</w:t>
      </w:r>
      <w:r>
        <w:rPr>
          <w:rFonts w:ascii="Calibri" w:hAnsi="Calibri" w:cs="Calibri"/>
          <w:bCs/>
          <w:sz w:val="18"/>
          <w:szCs w:val="18"/>
        </w:rPr>
        <w:t xml:space="preserve"> </w:t>
      </w:r>
      <w:r w:rsidRPr="00193128">
        <w:rPr>
          <w:rFonts w:ascii="Calibri" w:hAnsi="Calibri" w:cs="Calibri"/>
          <w:bCs/>
          <w:sz w:val="18"/>
          <w:szCs w:val="18"/>
        </w:rPr>
        <w:t>PN-EN 933-9</w:t>
      </w:r>
      <w:r>
        <w:rPr>
          <w:rFonts w:ascii="Calibri" w:hAnsi="Calibri" w:cs="Calibri"/>
          <w:bCs/>
          <w:sz w:val="18"/>
          <w:szCs w:val="18"/>
        </w:rPr>
        <w:t xml:space="preserve"> </w:t>
      </w:r>
      <w:r w:rsidRPr="00193128">
        <w:rPr>
          <w:rFonts w:ascii="Calibri" w:hAnsi="Calibri" w:cs="Calibri"/>
          <w:bCs/>
          <w:sz w:val="18"/>
          <w:szCs w:val="18"/>
        </w:rPr>
        <w:t>Badania geometrycznych właściwości kruszyw – Ocena zawartości drobnych cząstek – Badania błękitem metylenowym</w:t>
      </w:r>
    </w:p>
    <w:p w14:paraId="38F8BBAE" w14:textId="6BAD434D" w:rsidR="00193128" w:rsidRPr="00193128" w:rsidRDefault="00193128" w:rsidP="00193128">
      <w:pPr>
        <w:overflowPunct/>
        <w:autoSpaceDE/>
        <w:autoSpaceDN/>
        <w:adjustRightInd/>
        <w:textAlignment w:val="auto"/>
        <w:rPr>
          <w:rFonts w:ascii="Calibri" w:hAnsi="Calibri" w:cs="Calibri"/>
          <w:bCs/>
          <w:sz w:val="18"/>
          <w:szCs w:val="18"/>
        </w:rPr>
      </w:pPr>
      <w:r w:rsidRPr="00193128">
        <w:rPr>
          <w:rFonts w:ascii="Calibri" w:hAnsi="Calibri" w:cs="Calibri"/>
          <w:bCs/>
          <w:sz w:val="18"/>
          <w:szCs w:val="18"/>
        </w:rPr>
        <w:t>11.</w:t>
      </w:r>
      <w:r>
        <w:rPr>
          <w:rFonts w:ascii="Calibri" w:hAnsi="Calibri" w:cs="Calibri"/>
          <w:bCs/>
          <w:sz w:val="18"/>
          <w:szCs w:val="18"/>
        </w:rPr>
        <w:t xml:space="preserve"> </w:t>
      </w:r>
      <w:r w:rsidRPr="00193128">
        <w:rPr>
          <w:rFonts w:ascii="Calibri" w:hAnsi="Calibri" w:cs="Calibri"/>
          <w:bCs/>
          <w:sz w:val="18"/>
          <w:szCs w:val="18"/>
        </w:rPr>
        <w:t>PN-EN 933-10</w:t>
      </w:r>
      <w:r>
        <w:rPr>
          <w:rFonts w:ascii="Calibri" w:hAnsi="Calibri" w:cs="Calibri"/>
          <w:bCs/>
          <w:sz w:val="18"/>
          <w:szCs w:val="18"/>
        </w:rPr>
        <w:t xml:space="preserve"> </w:t>
      </w:r>
      <w:r w:rsidRPr="00193128">
        <w:rPr>
          <w:rFonts w:ascii="Calibri" w:hAnsi="Calibri" w:cs="Calibri"/>
          <w:bCs/>
          <w:sz w:val="18"/>
          <w:szCs w:val="18"/>
        </w:rPr>
        <w:t>Badania geometrycznych właściwości kruszyw – Część 10: Ocena zawartości drobnych cząstek – Uziarnienie wypełniaczy (przesiewanie w strumieniu powietrza)</w:t>
      </w:r>
    </w:p>
    <w:p w14:paraId="0609022B" w14:textId="4A3EA4BE" w:rsidR="00193128" w:rsidRPr="00193128" w:rsidRDefault="00193128" w:rsidP="00193128">
      <w:pPr>
        <w:overflowPunct/>
        <w:autoSpaceDE/>
        <w:autoSpaceDN/>
        <w:adjustRightInd/>
        <w:textAlignment w:val="auto"/>
        <w:rPr>
          <w:rFonts w:ascii="Calibri" w:hAnsi="Calibri" w:cs="Calibri"/>
          <w:bCs/>
          <w:sz w:val="18"/>
          <w:szCs w:val="18"/>
        </w:rPr>
      </w:pPr>
      <w:r w:rsidRPr="00193128">
        <w:rPr>
          <w:rFonts w:ascii="Calibri" w:hAnsi="Calibri" w:cs="Calibri"/>
          <w:bCs/>
          <w:sz w:val="18"/>
          <w:szCs w:val="18"/>
        </w:rPr>
        <w:t>12.</w:t>
      </w:r>
      <w:r>
        <w:rPr>
          <w:rFonts w:ascii="Calibri" w:hAnsi="Calibri" w:cs="Calibri"/>
          <w:bCs/>
          <w:sz w:val="18"/>
          <w:szCs w:val="18"/>
        </w:rPr>
        <w:t xml:space="preserve"> </w:t>
      </w:r>
      <w:r w:rsidRPr="00193128">
        <w:rPr>
          <w:rFonts w:ascii="Calibri" w:hAnsi="Calibri" w:cs="Calibri"/>
          <w:bCs/>
          <w:sz w:val="18"/>
          <w:szCs w:val="18"/>
        </w:rPr>
        <w:t>PN-EN 1097-2</w:t>
      </w:r>
      <w:r>
        <w:rPr>
          <w:rFonts w:ascii="Calibri" w:hAnsi="Calibri" w:cs="Calibri"/>
          <w:bCs/>
          <w:sz w:val="18"/>
          <w:szCs w:val="18"/>
        </w:rPr>
        <w:t xml:space="preserve"> </w:t>
      </w:r>
      <w:r w:rsidRPr="00193128">
        <w:rPr>
          <w:rFonts w:ascii="Calibri" w:hAnsi="Calibri" w:cs="Calibri"/>
          <w:bCs/>
          <w:sz w:val="18"/>
          <w:szCs w:val="18"/>
        </w:rPr>
        <w:t>Badania mechanicznych i fizycznych właściwości kruszyw – Metody oznaczania odporności na rozdrabnianie</w:t>
      </w:r>
    </w:p>
    <w:p w14:paraId="2515B5D8" w14:textId="364A26C4" w:rsidR="00193128" w:rsidRPr="00193128" w:rsidRDefault="00193128" w:rsidP="00193128">
      <w:pPr>
        <w:overflowPunct/>
        <w:autoSpaceDE/>
        <w:autoSpaceDN/>
        <w:adjustRightInd/>
        <w:textAlignment w:val="auto"/>
        <w:rPr>
          <w:rFonts w:ascii="Calibri" w:hAnsi="Calibri" w:cs="Calibri"/>
          <w:bCs/>
          <w:sz w:val="18"/>
          <w:szCs w:val="18"/>
        </w:rPr>
      </w:pPr>
      <w:r w:rsidRPr="00193128">
        <w:rPr>
          <w:rFonts w:ascii="Calibri" w:hAnsi="Calibri" w:cs="Calibri"/>
          <w:bCs/>
          <w:sz w:val="18"/>
          <w:szCs w:val="18"/>
        </w:rPr>
        <w:t>13.</w:t>
      </w:r>
      <w:r>
        <w:rPr>
          <w:rFonts w:ascii="Calibri" w:hAnsi="Calibri" w:cs="Calibri"/>
          <w:bCs/>
          <w:sz w:val="18"/>
          <w:szCs w:val="18"/>
        </w:rPr>
        <w:t xml:space="preserve"> </w:t>
      </w:r>
      <w:r w:rsidRPr="00193128">
        <w:rPr>
          <w:rFonts w:ascii="Calibri" w:hAnsi="Calibri" w:cs="Calibri"/>
          <w:bCs/>
          <w:sz w:val="18"/>
          <w:szCs w:val="18"/>
        </w:rPr>
        <w:t>PN-EN 1097-3</w:t>
      </w:r>
      <w:r>
        <w:rPr>
          <w:rFonts w:ascii="Calibri" w:hAnsi="Calibri" w:cs="Calibri"/>
          <w:bCs/>
          <w:sz w:val="18"/>
          <w:szCs w:val="18"/>
        </w:rPr>
        <w:t xml:space="preserve"> </w:t>
      </w:r>
      <w:r w:rsidRPr="00193128">
        <w:rPr>
          <w:rFonts w:ascii="Calibri" w:hAnsi="Calibri" w:cs="Calibri"/>
          <w:bCs/>
          <w:sz w:val="18"/>
          <w:szCs w:val="18"/>
        </w:rPr>
        <w:t>Badania mechanicznych i fizycznych właściwości kruszyw – Oznaczanie gęstości nasypowej i jamistości</w:t>
      </w:r>
    </w:p>
    <w:p w14:paraId="7F16F88F" w14:textId="3816BE27" w:rsidR="00193128" w:rsidRPr="00193128" w:rsidRDefault="00193128" w:rsidP="00193128">
      <w:pPr>
        <w:overflowPunct/>
        <w:autoSpaceDE/>
        <w:autoSpaceDN/>
        <w:adjustRightInd/>
        <w:textAlignment w:val="auto"/>
        <w:rPr>
          <w:rFonts w:ascii="Calibri" w:hAnsi="Calibri" w:cs="Calibri"/>
          <w:bCs/>
          <w:sz w:val="18"/>
          <w:szCs w:val="18"/>
        </w:rPr>
      </w:pPr>
      <w:r w:rsidRPr="00193128">
        <w:rPr>
          <w:rFonts w:ascii="Calibri" w:hAnsi="Calibri" w:cs="Calibri"/>
          <w:bCs/>
          <w:sz w:val="18"/>
          <w:szCs w:val="18"/>
        </w:rPr>
        <w:t>14.</w:t>
      </w:r>
      <w:r>
        <w:rPr>
          <w:rFonts w:ascii="Calibri" w:hAnsi="Calibri" w:cs="Calibri"/>
          <w:bCs/>
          <w:sz w:val="18"/>
          <w:szCs w:val="18"/>
        </w:rPr>
        <w:t xml:space="preserve"> </w:t>
      </w:r>
      <w:r w:rsidRPr="00193128">
        <w:rPr>
          <w:rFonts w:ascii="Calibri" w:hAnsi="Calibri" w:cs="Calibri"/>
          <w:bCs/>
          <w:sz w:val="18"/>
          <w:szCs w:val="18"/>
        </w:rPr>
        <w:t>PN-EN 1097-4</w:t>
      </w:r>
      <w:r>
        <w:rPr>
          <w:rFonts w:ascii="Calibri" w:hAnsi="Calibri" w:cs="Calibri"/>
          <w:bCs/>
          <w:sz w:val="18"/>
          <w:szCs w:val="18"/>
        </w:rPr>
        <w:t xml:space="preserve"> </w:t>
      </w:r>
      <w:r w:rsidRPr="00193128">
        <w:rPr>
          <w:rFonts w:ascii="Calibri" w:hAnsi="Calibri" w:cs="Calibri"/>
          <w:bCs/>
          <w:sz w:val="18"/>
          <w:szCs w:val="18"/>
        </w:rPr>
        <w:t>Badania mechanicznych i fizycznych właściwości kruszyw – Część 4: Oznaczanie pustych przestrzeni suchego, zagęszczonego wypełniacza</w:t>
      </w:r>
    </w:p>
    <w:p w14:paraId="4E6687AF" w14:textId="105B9510" w:rsidR="00193128" w:rsidRPr="00193128" w:rsidRDefault="00193128" w:rsidP="00193128">
      <w:pPr>
        <w:overflowPunct/>
        <w:autoSpaceDE/>
        <w:autoSpaceDN/>
        <w:adjustRightInd/>
        <w:textAlignment w:val="auto"/>
        <w:rPr>
          <w:rFonts w:ascii="Calibri" w:hAnsi="Calibri" w:cs="Calibri"/>
          <w:bCs/>
          <w:sz w:val="18"/>
          <w:szCs w:val="18"/>
        </w:rPr>
      </w:pPr>
      <w:r w:rsidRPr="00193128">
        <w:rPr>
          <w:rFonts w:ascii="Calibri" w:hAnsi="Calibri" w:cs="Calibri"/>
          <w:bCs/>
          <w:sz w:val="18"/>
          <w:szCs w:val="18"/>
        </w:rPr>
        <w:t>15.</w:t>
      </w:r>
      <w:r>
        <w:rPr>
          <w:rFonts w:ascii="Calibri" w:hAnsi="Calibri" w:cs="Calibri"/>
          <w:bCs/>
          <w:sz w:val="18"/>
          <w:szCs w:val="18"/>
        </w:rPr>
        <w:t xml:space="preserve"> </w:t>
      </w:r>
      <w:r w:rsidRPr="00193128">
        <w:rPr>
          <w:rFonts w:ascii="Calibri" w:hAnsi="Calibri" w:cs="Calibri"/>
          <w:bCs/>
          <w:sz w:val="18"/>
          <w:szCs w:val="18"/>
        </w:rPr>
        <w:t>PN-EN 1097-5</w:t>
      </w:r>
      <w:r>
        <w:rPr>
          <w:rFonts w:ascii="Calibri" w:hAnsi="Calibri" w:cs="Calibri"/>
          <w:bCs/>
          <w:sz w:val="18"/>
          <w:szCs w:val="18"/>
        </w:rPr>
        <w:t xml:space="preserve"> </w:t>
      </w:r>
      <w:r w:rsidRPr="00193128">
        <w:rPr>
          <w:rFonts w:ascii="Calibri" w:hAnsi="Calibri" w:cs="Calibri"/>
          <w:bCs/>
          <w:sz w:val="18"/>
          <w:szCs w:val="18"/>
        </w:rPr>
        <w:t>Badania mechanicznych i fizycznych właściwości kruszyw – Część 5: Oznaczanie zawartości wody przez suszenie w suszarce z wentylacją</w:t>
      </w:r>
    </w:p>
    <w:p w14:paraId="4A57F3A0" w14:textId="3C729E08" w:rsidR="00193128" w:rsidRPr="00193128" w:rsidRDefault="00193128" w:rsidP="00193128">
      <w:pPr>
        <w:overflowPunct/>
        <w:autoSpaceDE/>
        <w:autoSpaceDN/>
        <w:adjustRightInd/>
        <w:textAlignment w:val="auto"/>
        <w:rPr>
          <w:rFonts w:ascii="Calibri" w:hAnsi="Calibri" w:cs="Calibri"/>
          <w:bCs/>
          <w:sz w:val="18"/>
          <w:szCs w:val="18"/>
        </w:rPr>
      </w:pPr>
      <w:r w:rsidRPr="00193128">
        <w:rPr>
          <w:rFonts w:ascii="Calibri" w:hAnsi="Calibri" w:cs="Calibri"/>
          <w:bCs/>
          <w:sz w:val="18"/>
          <w:szCs w:val="18"/>
        </w:rPr>
        <w:t>16.</w:t>
      </w:r>
      <w:r>
        <w:rPr>
          <w:rFonts w:ascii="Calibri" w:hAnsi="Calibri" w:cs="Calibri"/>
          <w:bCs/>
          <w:sz w:val="18"/>
          <w:szCs w:val="18"/>
        </w:rPr>
        <w:t xml:space="preserve"> </w:t>
      </w:r>
      <w:r w:rsidRPr="00193128">
        <w:rPr>
          <w:rFonts w:ascii="Calibri" w:hAnsi="Calibri" w:cs="Calibri"/>
          <w:bCs/>
          <w:sz w:val="18"/>
          <w:szCs w:val="18"/>
        </w:rPr>
        <w:t>PN-EN 1097-6</w:t>
      </w:r>
      <w:r>
        <w:rPr>
          <w:rFonts w:ascii="Calibri" w:hAnsi="Calibri" w:cs="Calibri"/>
          <w:bCs/>
          <w:sz w:val="18"/>
          <w:szCs w:val="18"/>
        </w:rPr>
        <w:t xml:space="preserve"> </w:t>
      </w:r>
      <w:r w:rsidRPr="00193128">
        <w:rPr>
          <w:rFonts w:ascii="Calibri" w:hAnsi="Calibri" w:cs="Calibri"/>
          <w:bCs/>
          <w:sz w:val="18"/>
          <w:szCs w:val="18"/>
        </w:rPr>
        <w:t>Badania mechanicznych i fizycznych właściwości kruszyw –Część 6: Oznaczanie gęstości ziaren i nasiąkliwości</w:t>
      </w:r>
    </w:p>
    <w:p w14:paraId="38CC7642" w14:textId="1EFD6ADD" w:rsidR="008F79AE" w:rsidRPr="00193128" w:rsidRDefault="00193128" w:rsidP="00193128">
      <w:pPr>
        <w:overflowPunct/>
        <w:autoSpaceDE/>
        <w:autoSpaceDN/>
        <w:adjustRightInd/>
        <w:textAlignment w:val="auto"/>
        <w:rPr>
          <w:rFonts w:ascii="Calibri" w:hAnsi="Calibri" w:cs="Calibri"/>
          <w:bCs/>
          <w:sz w:val="18"/>
          <w:szCs w:val="18"/>
        </w:rPr>
      </w:pPr>
      <w:r w:rsidRPr="00193128">
        <w:rPr>
          <w:rFonts w:ascii="Calibri" w:hAnsi="Calibri" w:cs="Calibri"/>
          <w:bCs/>
          <w:sz w:val="18"/>
          <w:szCs w:val="18"/>
        </w:rPr>
        <w:t>17.</w:t>
      </w:r>
      <w:r>
        <w:rPr>
          <w:rFonts w:ascii="Calibri" w:hAnsi="Calibri" w:cs="Calibri"/>
          <w:bCs/>
          <w:sz w:val="18"/>
          <w:szCs w:val="18"/>
        </w:rPr>
        <w:t xml:space="preserve"> </w:t>
      </w:r>
      <w:r w:rsidRPr="00193128">
        <w:rPr>
          <w:rFonts w:ascii="Calibri" w:hAnsi="Calibri" w:cs="Calibri"/>
          <w:bCs/>
          <w:sz w:val="18"/>
          <w:szCs w:val="18"/>
        </w:rPr>
        <w:t>PN-EN 1097-7</w:t>
      </w:r>
      <w:r>
        <w:rPr>
          <w:rFonts w:ascii="Calibri" w:hAnsi="Calibri" w:cs="Calibri"/>
          <w:bCs/>
          <w:sz w:val="18"/>
          <w:szCs w:val="18"/>
        </w:rPr>
        <w:t xml:space="preserve"> </w:t>
      </w:r>
      <w:r w:rsidRPr="00193128">
        <w:rPr>
          <w:rFonts w:ascii="Calibri" w:hAnsi="Calibri" w:cs="Calibri"/>
          <w:bCs/>
          <w:sz w:val="18"/>
          <w:szCs w:val="18"/>
        </w:rPr>
        <w:t>Badania mechanicznych i fizycznych właściwości kruszyw – Część 7: Oznaczanie gęstości wypełniacza – Metoda piknometryczna</w:t>
      </w:r>
    </w:p>
    <w:p w14:paraId="7A0DC91E" w14:textId="411901EE" w:rsidR="00193128" w:rsidRPr="00193128" w:rsidRDefault="00193128" w:rsidP="00193128">
      <w:pPr>
        <w:overflowPunct/>
        <w:autoSpaceDE/>
        <w:autoSpaceDN/>
        <w:adjustRightInd/>
        <w:textAlignment w:val="auto"/>
        <w:rPr>
          <w:rFonts w:ascii="Calibri" w:hAnsi="Calibri" w:cs="Calibri"/>
          <w:bCs/>
          <w:sz w:val="18"/>
          <w:szCs w:val="18"/>
        </w:rPr>
      </w:pPr>
      <w:r w:rsidRPr="00193128">
        <w:rPr>
          <w:rFonts w:ascii="Calibri" w:hAnsi="Calibri" w:cs="Calibri"/>
          <w:bCs/>
          <w:sz w:val="18"/>
          <w:szCs w:val="18"/>
        </w:rPr>
        <w:t>18.</w:t>
      </w:r>
      <w:r>
        <w:rPr>
          <w:rFonts w:ascii="Calibri" w:hAnsi="Calibri" w:cs="Calibri"/>
          <w:bCs/>
          <w:sz w:val="18"/>
          <w:szCs w:val="18"/>
        </w:rPr>
        <w:t xml:space="preserve"> </w:t>
      </w:r>
      <w:r w:rsidRPr="00193128">
        <w:rPr>
          <w:rFonts w:ascii="Calibri" w:hAnsi="Calibri" w:cs="Calibri"/>
          <w:bCs/>
          <w:sz w:val="18"/>
          <w:szCs w:val="18"/>
        </w:rPr>
        <w:t>PN-EN 1097-8</w:t>
      </w:r>
      <w:r>
        <w:rPr>
          <w:rFonts w:ascii="Calibri" w:hAnsi="Calibri" w:cs="Calibri"/>
          <w:bCs/>
          <w:sz w:val="18"/>
          <w:szCs w:val="18"/>
        </w:rPr>
        <w:t xml:space="preserve"> </w:t>
      </w:r>
      <w:r w:rsidRPr="00193128">
        <w:rPr>
          <w:rFonts w:ascii="Calibri" w:hAnsi="Calibri" w:cs="Calibri"/>
          <w:bCs/>
          <w:sz w:val="18"/>
          <w:szCs w:val="18"/>
        </w:rPr>
        <w:t>Badania mechanicznych i fizycznych właściwości kruszyw – Część 8: Oznaczanie polerowalności kamienia</w:t>
      </w:r>
    </w:p>
    <w:p w14:paraId="3BB7D03D" w14:textId="688EFBD6" w:rsidR="00193128" w:rsidRPr="00193128" w:rsidRDefault="00193128" w:rsidP="00193128">
      <w:pPr>
        <w:overflowPunct/>
        <w:autoSpaceDE/>
        <w:autoSpaceDN/>
        <w:adjustRightInd/>
        <w:textAlignment w:val="auto"/>
        <w:rPr>
          <w:rFonts w:ascii="Calibri" w:hAnsi="Calibri" w:cs="Calibri"/>
          <w:bCs/>
          <w:sz w:val="18"/>
          <w:szCs w:val="18"/>
        </w:rPr>
      </w:pPr>
      <w:r w:rsidRPr="00193128">
        <w:rPr>
          <w:rFonts w:ascii="Calibri" w:hAnsi="Calibri" w:cs="Calibri"/>
          <w:bCs/>
          <w:sz w:val="18"/>
          <w:szCs w:val="18"/>
        </w:rPr>
        <w:t>19.</w:t>
      </w:r>
      <w:r>
        <w:rPr>
          <w:rFonts w:ascii="Calibri" w:hAnsi="Calibri" w:cs="Calibri"/>
          <w:bCs/>
          <w:sz w:val="18"/>
          <w:szCs w:val="18"/>
        </w:rPr>
        <w:t xml:space="preserve"> </w:t>
      </w:r>
      <w:r w:rsidRPr="00193128">
        <w:rPr>
          <w:rFonts w:ascii="Calibri" w:hAnsi="Calibri" w:cs="Calibri"/>
          <w:bCs/>
          <w:sz w:val="18"/>
          <w:szCs w:val="18"/>
        </w:rPr>
        <w:t>PN-EN 1367-1</w:t>
      </w:r>
      <w:r>
        <w:rPr>
          <w:rFonts w:ascii="Calibri" w:hAnsi="Calibri" w:cs="Calibri"/>
          <w:bCs/>
          <w:sz w:val="18"/>
          <w:szCs w:val="18"/>
        </w:rPr>
        <w:t xml:space="preserve"> </w:t>
      </w:r>
      <w:r w:rsidRPr="00193128">
        <w:rPr>
          <w:rFonts w:ascii="Calibri" w:hAnsi="Calibri" w:cs="Calibri"/>
          <w:bCs/>
          <w:sz w:val="18"/>
          <w:szCs w:val="18"/>
        </w:rPr>
        <w:t>Badania właściwości cieplnych i odporności kruszyw na działanie czynników atmosferycznych – Część 1: Oznaczanie mrozoodporności</w:t>
      </w:r>
    </w:p>
    <w:p w14:paraId="762AB2F4" w14:textId="1FF4AB0A" w:rsidR="00193128" w:rsidRPr="00193128" w:rsidRDefault="00193128" w:rsidP="00193128">
      <w:pPr>
        <w:overflowPunct/>
        <w:autoSpaceDE/>
        <w:autoSpaceDN/>
        <w:adjustRightInd/>
        <w:textAlignment w:val="auto"/>
        <w:rPr>
          <w:rFonts w:ascii="Calibri" w:hAnsi="Calibri" w:cs="Calibri"/>
          <w:bCs/>
          <w:sz w:val="18"/>
          <w:szCs w:val="18"/>
        </w:rPr>
      </w:pPr>
      <w:r w:rsidRPr="00193128">
        <w:rPr>
          <w:rFonts w:ascii="Calibri" w:hAnsi="Calibri" w:cs="Calibri"/>
          <w:bCs/>
          <w:sz w:val="18"/>
          <w:szCs w:val="18"/>
        </w:rPr>
        <w:t>20.</w:t>
      </w:r>
      <w:r>
        <w:rPr>
          <w:rFonts w:ascii="Calibri" w:hAnsi="Calibri" w:cs="Calibri"/>
          <w:bCs/>
          <w:sz w:val="18"/>
          <w:szCs w:val="18"/>
        </w:rPr>
        <w:t xml:space="preserve"> </w:t>
      </w:r>
      <w:r w:rsidRPr="00193128">
        <w:rPr>
          <w:rFonts w:ascii="Calibri" w:hAnsi="Calibri" w:cs="Calibri"/>
          <w:bCs/>
          <w:sz w:val="18"/>
          <w:szCs w:val="18"/>
        </w:rPr>
        <w:t>PN-EN 1367-3</w:t>
      </w:r>
      <w:r>
        <w:rPr>
          <w:rFonts w:ascii="Calibri" w:hAnsi="Calibri" w:cs="Calibri"/>
          <w:bCs/>
          <w:sz w:val="18"/>
          <w:szCs w:val="18"/>
        </w:rPr>
        <w:t xml:space="preserve"> </w:t>
      </w:r>
      <w:r w:rsidRPr="00193128">
        <w:rPr>
          <w:rFonts w:ascii="Calibri" w:hAnsi="Calibri" w:cs="Calibri"/>
          <w:bCs/>
          <w:sz w:val="18"/>
          <w:szCs w:val="18"/>
        </w:rPr>
        <w:t>Badania właściwości cieplnych i odporności kruszyw na działanie czynników atmosferycznych – Część 3: Badanie bazaltowej zgorzeli słonecznej metodą gotowania</w:t>
      </w:r>
    </w:p>
    <w:p w14:paraId="76F038F4" w14:textId="1ABE9289" w:rsidR="00193128" w:rsidRPr="00193128" w:rsidRDefault="00193128" w:rsidP="00193128">
      <w:pPr>
        <w:overflowPunct/>
        <w:autoSpaceDE/>
        <w:autoSpaceDN/>
        <w:adjustRightInd/>
        <w:textAlignment w:val="auto"/>
        <w:rPr>
          <w:rFonts w:ascii="Calibri" w:hAnsi="Calibri" w:cs="Calibri"/>
          <w:bCs/>
          <w:sz w:val="18"/>
          <w:szCs w:val="18"/>
        </w:rPr>
      </w:pPr>
      <w:r w:rsidRPr="00193128">
        <w:rPr>
          <w:rFonts w:ascii="Calibri" w:hAnsi="Calibri" w:cs="Calibri"/>
          <w:bCs/>
          <w:sz w:val="18"/>
          <w:szCs w:val="18"/>
        </w:rPr>
        <w:t>21.</w:t>
      </w:r>
      <w:r>
        <w:rPr>
          <w:rFonts w:ascii="Calibri" w:hAnsi="Calibri" w:cs="Calibri"/>
          <w:bCs/>
          <w:sz w:val="18"/>
          <w:szCs w:val="18"/>
        </w:rPr>
        <w:t xml:space="preserve"> </w:t>
      </w:r>
      <w:r w:rsidRPr="00193128">
        <w:rPr>
          <w:rFonts w:ascii="Calibri" w:hAnsi="Calibri" w:cs="Calibri"/>
          <w:bCs/>
          <w:sz w:val="18"/>
          <w:szCs w:val="18"/>
        </w:rPr>
        <w:t>PN-EN 1426</w:t>
      </w:r>
      <w:r>
        <w:rPr>
          <w:rFonts w:ascii="Calibri" w:hAnsi="Calibri" w:cs="Calibri"/>
          <w:bCs/>
          <w:sz w:val="18"/>
          <w:szCs w:val="18"/>
        </w:rPr>
        <w:t xml:space="preserve"> </w:t>
      </w:r>
      <w:r w:rsidRPr="00193128">
        <w:rPr>
          <w:rFonts w:ascii="Calibri" w:hAnsi="Calibri" w:cs="Calibri"/>
          <w:bCs/>
          <w:sz w:val="18"/>
          <w:szCs w:val="18"/>
        </w:rPr>
        <w:t>Asfalty i produkty asfaltowe – Oznaczanie penetracji igłą</w:t>
      </w:r>
    </w:p>
    <w:p w14:paraId="56B1E04A" w14:textId="069A1EF1" w:rsidR="00193128" w:rsidRPr="00193128" w:rsidRDefault="00193128" w:rsidP="00193128">
      <w:pPr>
        <w:overflowPunct/>
        <w:autoSpaceDE/>
        <w:autoSpaceDN/>
        <w:adjustRightInd/>
        <w:textAlignment w:val="auto"/>
        <w:rPr>
          <w:rFonts w:ascii="Calibri" w:hAnsi="Calibri" w:cs="Calibri"/>
          <w:bCs/>
          <w:sz w:val="18"/>
          <w:szCs w:val="18"/>
        </w:rPr>
      </w:pPr>
      <w:r w:rsidRPr="00193128">
        <w:rPr>
          <w:rFonts w:ascii="Calibri" w:hAnsi="Calibri" w:cs="Calibri"/>
          <w:bCs/>
          <w:sz w:val="18"/>
          <w:szCs w:val="18"/>
        </w:rPr>
        <w:t>22.</w:t>
      </w:r>
      <w:r>
        <w:rPr>
          <w:rFonts w:ascii="Calibri" w:hAnsi="Calibri" w:cs="Calibri"/>
          <w:bCs/>
          <w:sz w:val="18"/>
          <w:szCs w:val="18"/>
        </w:rPr>
        <w:t xml:space="preserve"> </w:t>
      </w:r>
      <w:r w:rsidRPr="00193128">
        <w:rPr>
          <w:rFonts w:ascii="Calibri" w:hAnsi="Calibri" w:cs="Calibri"/>
          <w:bCs/>
          <w:sz w:val="18"/>
          <w:szCs w:val="18"/>
        </w:rPr>
        <w:t>PN-EN 1427</w:t>
      </w:r>
      <w:r>
        <w:rPr>
          <w:rFonts w:ascii="Calibri" w:hAnsi="Calibri" w:cs="Calibri"/>
          <w:bCs/>
          <w:sz w:val="18"/>
          <w:szCs w:val="18"/>
        </w:rPr>
        <w:t xml:space="preserve"> </w:t>
      </w:r>
      <w:r w:rsidRPr="00193128">
        <w:rPr>
          <w:rFonts w:ascii="Calibri" w:hAnsi="Calibri" w:cs="Calibri"/>
          <w:bCs/>
          <w:sz w:val="18"/>
          <w:szCs w:val="18"/>
        </w:rPr>
        <w:t>Asfalty i produkty asfaltowe – Oznaczanie temperatury mięknienia – Metoda Pierścień i Kula</w:t>
      </w:r>
    </w:p>
    <w:p w14:paraId="7EAEEF4E" w14:textId="3EAA0A9A" w:rsidR="00193128" w:rsidRPr="00193128" w:rsidRDefault="00193128" w:rsidP="00193128">
      <w:pPr>
        <w:overflowPunct/>
        <w:autoSpaceDE/>
        <w:autoSpaceDN/>
        <w:adjustRightInd/>
        <w:textAlignment w:val="auto"/>
        <w:rPr>
          <w:rFonts w:ascii="Calibri" w:hAnsi="Calibri" w:cs="Calibri"/>
          <w:bCs/>
          <w:sz w:val="18"/>
          <w:szCs w:val="18"/>
        </w:rPr>
      </w:pPr>
      <w:r w:rsidRPr="00193128">
        <w:rPr>
          <w:rFonts w:ascii="Calibri" w:hAnsi="Calibri" w:cs="Calibri"/>
          <w:bCs/>
          <w:sz w:val="18"/>
          <w:szCs w:val="18"/>
        </w:rPr>
        <w:t>23.</w:t>
      </w:r>
      <w:r>
        <w:rPr>
          <w:rFonts w:ascii="Calibri" w:hAnsi="Calibri" w:cs="Calibri"/>
          <w:bCs/>
          <w:sz w:val="18"/>
          <w:szCs w:val="18"/>
        </w:rPr>
        <w:t xml:space="preserve"> </w:t>
      </w:r>
      <w:r w:rsidRPr="00193128">
        <w:rPr>
          <w:rFonts w:ascii="Calibri" w:hAnsi="Calibri" w:cs="Calibri"/>
          <w:bCs/>
          <w:sz w:val="18"/>
          <w:szCs w:val="18"/>
        </w:rPr>
        <w:t>PN-EN 1428</w:t>
      </w:r>
      <w:r>
        <w:rPr>
          <w:rFonts w:ascii="Calibri" w:hAnsi="Calibri" w:cs="Calibri"/>
          <w:bCs/>
          <w:sz w:val="18"/>
          <w:szCs w:val="18"/>
        </w:rPr>
        <w:t xml:space="preserve"> </w:t>
      </w:r>
      <w:r w:rsidRPr="00193128">
        <w:rPr>
          <w:rFonts w:ascii="Calibri" w:hAnsi="Calibri" w:cs="Calibri"/>
          <w:bCs/>
          <w:sz w:val="18"/>
          <w:szCs w:val="18"/>
        </w:rPr>
        <w:t>Asfalty i lepiszcza asfaltowe – Oznaczanie zawartości wody w emulsjach asfaltowych – Metoda destylacji azeotropowej</w:t>
      </w:r>
    </w:p>
    <w:p w14:paraId="2CDF0374" w14:textId="6686B640" w:rsidR="00193128" w:rsidRPr="00193128" w:rsidRDefault="00193128" w:rsidP="00193128">
      <w:pPr>
        <w:overflowPunct/>
        <w:autoSpaceDE/>
        <w:autoSpaceDN/>
        <w:adjustRightInd/>
        <w:textAlignment w:val="auto"/>
        <w:rPr>
          <w:rFonts w:ascii="Calibri" w:hAnsi="Calibri" w:cs="Calibri"/>
          <w:bCs/>
          <w:sz w:val="18"/>
          <w:szCs w:val="18"/>
        </w:rPr>
      </w:pPr>
      <w:r w:rsidRPr="00193128">
        <w:rPr>
          <w:rFonts w:ascii="Calibri" w:hAnsi="Calibri" w:cs="Calibri"/>
          <w:bCs/>
          <w:sz w:val="18"/>
          <w:szCs w:val="18"/>
        </w:rPr>
        <w:t>24.</w:t>
      </w:r>
      <w:r>
        <w:rPr>
          <w:rFonts w:ascii="Calibri" w:hAnsi="Calibri" w:cs="Calibri"/>
          <w:bCs/>
          <w:sz w:val="18"/>
          <w:szCs w:val="18"/>
        </w:rPr>
        <w:t xml:space="preserve"> </w:t>
      </w:r>
      <w:r w:rsidRPr="00193128">
        <w:rPr>
          <w:rFonts w:ascii="Calibri" w:hAnsi="Calibri" w:cs="Calibri"/>
          <w:bCs/>
          <w:sz w:val="18"/>
          <w:szCs w:val="18"/>
        </w:rPr>
        <w:t>PN-EN 1429</w:t>
      </w:r>
      <w:r>
        <w:rPr>
          <w:rFonts w:ascii="Calibri" w:hAnsi="Calibri" w:cs="Calibri"/>
          <w:bCs/>
          <w:sz w:val="18"/>
          <w:szCs w:val="18"/>
        </w:rPr>
        <w:t xml:space="preserve"> </w:t>
      </w:r>
      <w:r w:rsidRPr="00193128">
        <w:rPr>
          <w:rFonts w:ascii="Calibri" w:hAnsi="Calibri" w:cs="Calibri"/>
          <w:bCs/>
          <w:sz w:val="18"/>
          <w:szCs w:val="18"/>
        </w:rPr>
        <w:t>Asfalty i lepiszcza asfaltowe – Oznaczanie pozostałości na sicie emulsji asfaltowych oraz trwałości podczas magazynowania metodą pozostałości na sicie</w:t>
      </w:r>
    </w:p>
    <w:p w14:paraId="6504C672" w14:textId="68DEFFE0" w:rsidR="00193128" w:rsidRPr="00193128" w:rsidRDefault="00193128" w:rsidP="00193128">
      <w:pPr>
        <w:overflowPunct/>
        <w:autoSpaceDE/>
        <w:autoSpaceDN/>
        <w:adjustRightInd/>
        <w:textAlignment w:val="auto"/>
        <w:rPr>
          <w:rFonts w:ascii="Calibri" w:hAnsi="Calibri" w:cs="Calibri"/>
          <w:bCs/>
          <w:sz w:val="18"/>
          <w:szCs w:val="18"/>
        </w:rPr>
      </w:pPr>
      <w:r w:rsidRPr="00193128">
        <w:rPr>
          <w:rFonts w:ascii="Calibri" w:hAnsi="Calibri" w:cs="Calibri"/>
          <w:bCs/>
          <w:sz w:val="18"/>
          <w:szCs w:val="18"/>
        </w:rPr>
        <w:t>25.</w:t>
      </w:r>
      <w:r>
        <w:rPr>
          <w:rFonts w:ascii="Calibri" w:hAnsi="Calibri" w:cs="Calibri"/>
          <w:bCs/>
          <w:sz w:val="18"/>
          <w:szCs w:val="18"/>
        </w:rPr>
        <w:t xml:space="preserve"> </w:t>
      </w:r>
      <w:r w:rsidRPr="00193128">
        <w:rPr>
          <w:rFonts w:ascii="Calibri" w:hAnsi="Calibri" w:cs="Calibri"/>
          <w:bCs/>
          <w:sz w:val="18"/>
          <w:szCs w:val="18"/>
        </w:rPr>
        <w:t>PN-EN 1744-1</w:t>
      </w:r>
      <w:r>
        <w:rPr>
          <w:rFonts w:ascii="Calibri" w:hAnsi="Calibri" w:cs="Calibri"/>
          <w:bCs/>
          <w:sz w:val="18"/>
          <w:szCs w:val="18"/>
        </w:rPr>
        <w:t xml:space="preserve"> </w:t>
      </w:r>
      <w:r w:rsidRPr="00193128">
        <w:rPr>
          <w:rFonts w:ascii="Calibri" w:hAnsi="Calibri" w:cs="Calibri"/>
          <w:bCs/>
          <w:sz w:val="18"/>
          <w:szCs w:val="18"/>
        </w:rPr>
        <w:t>Badania chemicznych właściwości kruszyw – Analiza chemiczna</w:t>
      </w:r>
    </w:p>
    <w:p w14:paraId="00DFBACF" w14:textId="62A05D2E" w:rsidR="00193128" w:rsidRPr="00193128" w:rsidRDefault="00193128" w:rsidP="00193128">
      <w:pPr>
        <w:overflowPunct/>
        <w:autoSpaceDE/>
        <w:autoSpaceDN/>
        <w:adjustRightInd/>
        <w:textAlignment w:val="auto"/>
        <w:rPr>
          <w:rFonts w:ascii="Calibri" w:hAnsi="Calibri" w:cs="Calibri"/>
          <w:bCs/>
          <w:sz w:val="18"/>
          <w:szCs w:val="18"/>
        </w:rPr>
      </w:pPr>
      <w:r w:rsidRPr="00193128">
        <w:rPr>
          <w:rFonts w:ascii="Calibri" w:hAnsi="Calibri" w:cs="Calibri"/>
          <w:bCs/>
          <w:sz w:val="18"/>
          <w:szCs w:val="18"/>
        </w:rPr>
        <w:t>26.</w:t>
      </w:r>
      <w:r>
        <w:rPr>
          <w:rFonts w:ascii="Calibri" w:hAnsi="Calibri" w:cs="Calibri"/>
          <w:bCs/>
          <w:sz w:val="18"/>
          <w:szCs w:val="18"/>
        </w:rPr>
        <w:t xml:space="preserve"> </w:t>
      </w:r>
      <w:r w:rsidRPr="00193128">
        <w:rPr>
          <w:rFonts w:ascii="Calibri" w:hAnsi="Calibri" w:cs="Calibri"/>
          <w:bCs/>
          <w:sz w:val="18"/>
          <w:szCs w:val="18"/>
        </w:rPr>
        <w:t>PN-EN 1744-4</w:t>
      </w:r>
      <w:r>
        <w:rPr>
          <w:rFonts w:ascii="Calibri" w:hAnsi="Calibri" w:cs="Calibri"/>
          <w:bCs/>
          <w:sz w:val="18"/>
          <w:szCs w:val="18"/>
        </w:rPr>
        <w:t xml:space="preserve"> </w:t>
      </w:r>
      <w:r w:rsidRPr="00193128">
        <w:rPr>
          <w:rFonts w:ascii="Calibri" w:hAnsi="Calibri" w:cs="Calibri"/>
          <w:bCs/>
          <w:sz w:val="18"/>
          <w:szCs w:val="18"/>
        </w:rPr>
        <w:t>Badania chemicznych właściwości kruszyw – Część 4: Oznaczanie podatności wypełniaczy do mieszanek mineralno-asfaltowych na działanie wody</w:t>
      </w:r>
    </w:p>
    <w:p w14:paraId="771046F5" w14:textId="50E9BBA4" w:rsidR="00193128" w:rsidRPr="00193128" w:rsidRDefault="00193128" w:rsidP="00193128">
      <w:pPr>
        <w:overflowPunct/>
        <w:autoSpaceDE/>
        <w:autoSpaceDN/>
        <w:adjustRightInd/>
        <w:textAlignment w:val="auto"/>
        <w:rPr>
          <w:rFonts w:ascii="Calibri" w:hAnsi="Calibri" w:cs="Calibri"/>
          <w:bCs/>
          <w:sz w:val="18"/>
          <w:szCs w:val="18"/>
        </w:rPr>
      </w:pPr>
      <w:r w:rsidRPr="00193128">
        <w:rPr>
          <w:rFonts w:ascii="Calibri" w:hAnsi="Calibri" w:cs="Calibri"/>
          <w:bCs/>
          <w:sz w:val="18"/>
          <w:szCs w:val="18"/>
        </w:rPr>
        <w:t>27.</w:t>
      </w:r>
      <w:r>
        <w:rPr>
          <w:rFonts w:ascii="Calibri" w:hAnsi="Calibri" w:cs="Calibri"/>
          <w:bCs/>
          <w:sz w:val="18"/>
          <w:szCs w:val="18"/>
        </w:rPr>
        <w:t xml:space="preserve"> </w:t>
      </w:r>
      <w:r w:rsidRPr="00193128">
        <w:rPr>
          <w:rFonts w:ascii="Calibri" w:hAnsi="Calibri" w:cs="Calibri"/>
          <w:bCs/>
          <w:sz w:val="18"/>
          <w:szCs w:val="18"/>
        </w:rPr>
        <w:t>PN-EN 12591</w:t>
      </w:r>
      <w:r>
        <w:rPr>
          <w:rFonts w:ascii="Calibri" w:hAnsi="Calibri" w:cs="Calibri"/>
          <w:bCs/>
          <w:sz w:val="18"/>
          <w:szCs w:val="18"/>
        </w:rPr>
        <w:t xml:space="preserve"> </w:t>
      </w:r>
      <w:r w:rsidRPr="00193128">
        <w:rPr>
          <w:rFonts w:ascii="Calibri" w:hAnsi="Calibri" w:cs="Calibri"/>
          <w:bCs/>
          <w:sz w:val="18"/>
          <w:szCs w:val="18"/>
        </w:rPr>
        <w:t>Asfalty i produkty asfaltowe – Wymagania dla asfaltów drogowych</w:t>
      </w:r>
    </w:p>
    <w:p w14:paraId="7904EFBE" w14:textId="675E53E6" w:rsidR="00193128" w:rsidRPr="00193128" w:rsidRDefault="00193128" w:rsidP="00193128">
      <w:pPr>
        <w:overflowPunct/>
        <w:autoSpaceDE/>
        <w:autoSpaceDN/>
        <w:adjustRightInd/>
        <w:textAlignment w:val="auto"/>
        <w:rPr>
          <w:rFonts w:ascii="Calibri" w:hAnsi="Calibri" w:cs="Calibri"/>
          <w:bCs/>
          <w:sz w:val="18"/>
          <w:szCs w:val="18"/>
        </w:rPr>
      </w:pPr>
      <w:r w:rsidRPr="00193128">
        <w:rPr>
          <w:rFonts w:ascii="Calibri" w:hAnsi="Calibri" w:cs="Calibri"/>
          <w:bCs/>
          <w:sz w:val="18"/>
          <w:szCs w:val="18"/>
        </w:rPr>
        <w:t>28.</w:t>
      </w:r>
      <w:r>
        <w:rPr>
          <w:rFonts w:ascii="Calibri" w:hAnsi="Calibri" w:cs="Calibri"/>
          <w:bCs/>
          <w:sz w:val="18"/>
          <w:szCs w:val="18"/>
        </w:rPr>
        <w:t xml:space="preserve"> </w:t>
      </w:r>
      <w:r w:rsidRPr="00193128">
        <w:rPr>
          <w:rFonts w:ascii="Calibri" w:hAnsi="Calibri" w:cs="Calibri"/>
          <w:bCs/>
          <w:sz w:val="18"/>
          <w:szCs w:val="18"/>
        </w:rPr>
        <w:t>PN-EN 12592</w:t>
      </w:r>
      <w:r>
        <w:rPr>
          <w:rFonts w:ascii="Calibri" w:hAnsi="Calibri" w:cs="Calibri"/>
          <w:bCs/>
          <w:sz w:val="18"/>
          <w:szCs w:val="18"/>
        </w:rPr>
        <w:t xml:space="preserve"> </w:t>
      </w:r>
      <w:r w:rsidRPr="00193128">
        <w:rPr>
          <w:rFonts w:ascii="Calibri" w:hAnsi="Calibri" w:cs="Calibri"/>
          <w:bCs/>
          <w:sz w:val="18"/>
          <w:szCs w:val="18"/>
        </w:rPr>
        <w:t>Asfalty i produkty asfaltowe – Oznaczanie rozpuszczalności</w:t>
      </w:r>
    </w:p>
    <w:p w14:paraId="4A17BFD9" w14:textId="24E2D86A" w:rsidR="00193128" w:rsidRPr="00193128" w:rsidRDefault="00193128" w:rsidP="00193128">
      <w:pPr>
        <w:overflowPunct/>
        <w:autoSpaceDE/>
        <w:autoSpaceDN/>
        <w:adjustRightInd/>
        <w:textAlignment w:val="auto"/>
        <w:rPr>
          <w:rFonts w:ascii="Calibri" w:hAnsi="Calibri" w:cs="Calibri"/>
          <w:bCs/>
          <w:sz w:val="18"/>
          <w:szCs w:val="18"/>
        </w:rPr>
      </w:pPr>
      <w:r w:rsidRPr="00193128">
        <w:rPr>
          <w:rFonts w:ascii="Calibri" w:hAnsi="Calibri" w:cs="Calibri"/>
          <w:bCs/>
          <w:sz w:val="18"/>
          <w:szCs w:val="18"/>
        </w:rPr>
        <w:t>29.</w:t>
      </w:r>
      <w:r>
        <w:rPr>
          <w:rFonts w:ascii="Calibri" w:hAnsi="Calibri" w:cs="Calibri"/>
          <w:bCs/>
          <w:sz w:val="18"/>
          <w:szCs w:val="18"/>
        </w:rPr>
        <w:t xml:space="preserve"> </w:t>
      </w:r>
      <w:r w:rsidRPr="00193128">
        <w:rPr>
          <w:rFonts w:ascii="Calibri" w:hAnsi="Calibri" w:cs="Calibri"/>
          <w:bCs/>
          <w:sz w:val="18"/>
          <w:szCs w:val="18"/>
        </w:rPr>
        <w:t>PN-EN 12593</w:t>
      </w:r>
      <w:r>
        <w:rPr>
          <w:rFonts w:ascii="Calibri" w:hAnsi="Calibri" w:cs="Calibri"/>
          <w:bCs/>
          <w:sz w:val="18"/>
          <w:szCs w:val="18"/>
        </w:rPr>
        <w:t xml:space="preserve"> </w:t>
      </w:r>
      <w:r w:rsidRPr="00193128">
        <w:rPr>
          <w:rFonts w:ascii="Calibri" w:hAnsi="Calibri" w:cs="Calibri"/>
          <w:bCs/>
          <w:sz w:val="18"/>
          <w:szCs w:val="18"/>
        </w:rPr>
        <w:t>Asfalty i produkty asfaltowe – Oznaczanie temperatury łamliwości Fraassa</w:t>
      </w:r>
    </w:p>
    <w:p w14:paraId="3E1901B2" w14:textId="5D38D63D" w:rsidR="00193128" w:rsidRPr="00193128" w:rsidRDefault="00193128" w:rsidP="00193128">
      <w:pPr>
        <w:overflowPunct/>
        <w:autoSpaceDE/>
        <w:autoSpaceDN/>
        <w:adjustRightInd/>
        <w:textAlignment w:val="auto"/>
        <w:rPr>
          <w:rFonts w:ascii="Calibri" w:hAnsi="Calibri" w:cs="Calibri"/>
          <w:bCs/>
          <w:sz w:val="18"/>
          <w:szCs w:val="18"/>
        </w:rPr>
      </w:pPr>
      <w:r w:rsidRPr="00193128">
        <w:rPr>
          <w:rFonts w:ascii="Calibri" w:hAnsi="Calibri" w:cs="Calibri"/>
          <w:bCs/>
          <w:sz w:val="18"/>
          <w:szCs w:val="18"/>
        </w:rPr>
        <w:t>30.</w:t>
      </w:r>
      <w:r>
        <w:rPr>
          <w:rFonts w:ascii="Calibri" w:hAnsi="Calibri" w:cs="Calibri"/>
          <w:bCs/>
          <w:sz w:val="18"/>
          <w:szCs w:val="18"/>
        </w:rPr>
        <w:t xml:space="preserve"> </w:t>
      </w:r>
      <w:r w:rsidRPr="00193128">
        <w:rPr>
          <w:rFonts w:ascii="Calibri" w:hAnsi="Calibri" w:cs="Calibri"/>
          <w:bCs/>
          <w:sz w:val="18"/>
          <w:szCs w:val="18"/>
        </w:rPr>
        <w:t>PN-EN 12606-1</w:t>
      </w:r>
      <w:r>
        <w:rPr>
          <w:rFonts w:ascii="Calibri" w:hAnsi="Calibri" w:cs="Calibri"/>
          <w:bCs/>
          <w:sz w:val="18"/>
          <w:szCs w:val="18"/>
        </w:rPr>
        <w:t xml:space="preserve"> </w:t>
      </w:r>
      <w:r w:rsidRPr="00193128">
        <w:rPr>
          <w:rFonts w:ascii="Calibri" w:hAnsi="Calibri" w:cs="Calibri"/>
          <w:bCs/>
          <w:sz w:val="18"/>
          <w:szCs w:val="18"/>
        </w:rPr>
        <w:t>Asfalty i produkty asfaltowe – Oznaczanie zawartości parafiny – Część 1: Metoda destylacyjna</w:t>
      </w:r>
    </w:p>
    <w:p w14:paraId="324E2429" w14:textId="0F46DB72" w:rsidR="00193128" w:rsidRPr="00193128" w:rsidRDefault="00193128" w:rsidP="00193128">
      <w:pPr>
        <w:overflowPunct/>
        <w:autoSpaceDE/>
        <w:autoSpaceDN/>
        <w:adjustRightInd/>
        <w:textAlignment w:val="auto"/>
        <w:rPr>
          <w:rFonts w:ascii="Calibri" w:hAnsi="Calibri" w:cs="Calibri"/>
          <w:bCs/>
          <w:sz w:val="18"/>
          <w:szCs w:val="18"/>
        </w:rPr>
      </w:pPr>
      <w:r w:rsidRPr="00193128">
        <w:rPr>
          <w:rFonts w:ascii="Calibri" w:hAnsi="Calibri" w:cs="Calibri"/>
          <w:bCs/>
          <w:sz w:val="18"/>
          <w:szCs w:val="18"/>
        </w:rPr>
        <w:t>31.</w:t>
      </w:r>
      <w:r>
        <w:rPr>
          <w:rFonts w:ascii="Calibri" w:hAnsi="Calibri" w:cs="Calibri"/>
          <w:bCs/>
          <w:sz w:val="18"/>
          <w:szCs w:val="18"/>
        </w:rPr>
        <w:t xml:space="preserve"> </w:t>
      </w:r>
      <w:r w:rsidRPr="00193128">
        <w:rPr>
          <w:rFonts w:ascii="Calibri" w:hAnsi="Calibri" w:cs="Calibri"/>
          <w:bCs/>
          <w:sz w:val="18"/>
          <w:szCs w:val="18"/>
        </w:rPr>
        <w:t>PN-EN 12607-1</w:t>
      </w:r>
      <w:r>
        <w:rPr>
          <w:rFonts w:ascii="Calibri" w:hAnsi="Calibri" w:cs="Calibri"/>
          <w:bCs/>
          <w:sz w:val="18"/>
          <w:szCs w:val="18"/>
        </w:rPr>
        <w:t xml:space="preserve"> </w:t>
      </w:r>
      <w:r w:rsidRPr="00193128">
        <w:rPr>
          <w:rFonts w:ascii="Calibri" w:hAnsi="Calibri" w:cs="Calibri"/>
          <w:bCs/>
          <w:sz w:val="18"/>
          <w:szCs w:val="18"/>
        </w:rPr>
        <w:t>i</w:t>
      </w:r>
      <w:r>
        <w:rPr>
          <w:rFonts w:ascii="Calibri" w:hAnsi="Calibri" w:cs="Calibri"/>
          <w:bCs/>
          <w:sz w:val="18"/>
          <w:szCs w:val="18"/>
        </w:rPr>
        <w:t xml:space="preserve"> </w:t>
      </w:r>
      <w:r w:rsidRPr="00193128">
        <w:rPr>
          <w:rFonts w:ascii="Calibri" w:hAnsi="Calibri" w:cs="Calibri"/>
          <w:bCs/>
          <w:sz w:val="18"/>
          <w:szCs w:val="18"/>
        </w:rPr>
        <w:t>PN-EN 12607-3</w:t>
      </w:r>
      <w:r>
        <w:rPr>
          <w:rFonts w:ascii="Calibri" w:hAnsi="Calibri" w:cs="Calibri"/>
          <w:bCs/>
          <w:sz w:val="18"/>
          <w:szCs w:val="18"/>
        </w:rPr>
        <w:t xml:space="preserve"> </w:t>
      </w:r>
      <w:r w:rsidRPr="00193128">
        <w:rPr>
          <w:rFonts w:ascii="Calibri" w:hAnsi="Calibri" w:cs="Calibri"/>
          <w:bCs/>
          <w:sz w:val="18"/>
          <w:szCs w:val="18"/>
        </w:rPr>
        <w:t>Asfalty i produkty asfaltowe – Oznaczanie odporności na twardnienie pod wpływem ciepła i powietrza – Część 1: Metoda RTFOT</w:t>
      </w:r>
      <w:r>
        <w:rPr>
          <w:rFonts w:ascii="Calibri" w:hAnsi="Calibri" w:cs="Calibri"/>
          <w:bCs/>
          <w:sz w:val="18"/>
          <w:szCs w:val="18"/>
        </w:rPr>
        <w:t xml:space="preserve"> </w:t>
      </w:r>
      <w:r w:rsidRPr="00193128">
        <w:rPr>
          <w:rFonts w:ascii="Calibri" w:hAnsi="Calibri" w:cs="Calibri"/>
          <w:bCs/>
          <w:sz w:val="18"/>
          <w:szCs w:val="18"/>
        </w:rPr>
        <w:t>Jw. Część 3: Metoda RFT</w:t>
      </w:r>
    </w:p>
    <w:p w14:paraId="6C54BE4E" w14:textId="77777777" w:rsidR="00193128" w:rsidRDefault="00193128" w:rsidP="00193128">
      <w:pPr>
        <w:overflowPunct/>
        <w:autoSpaceDE/>
        <w:autoSpaceDN/>
        <w:adjustRightInd/>
        <w:textAlignment w:val="auto"/>
        <w:rPr>
          <w:rFonts w:ascii="Calibri" w:hAnsi="Calibri" w:cs="Calibri"/>
          <w:bCs/>
          <w:sz w:val="18"/>
          <w:szCs w:val="18"/>
        </w:rPr>
      </w:pPr>
      <w:r w:rsidRPr="00193128">
        <w:rPr>
          <w:rFonts w:ascii="Calibri" w:hAnsi="Calibri" w:cs="Calibri"/>
          <w:bCs/>
          <w:sz w:val="18"/>
          <w:szCs w:val="18"/>
        </w:rPr>
        <w:t>32.</w:t>
      </w:r>
      <w:r>
        <w:rPr>
          <w:rFonts w:ascii="Calibri" w:hAnsi="Calibri" w:cs="Calibri"/>
          <w:bCs/>
          <w:sz w:val="18"/>
          <w:szCs w:val="18"/>
        </w:rPr>
        <w:t xml:space="preserve"> </w:t>
      </w:r>
      <w:r w:rsidRPr="00193128">
        <w:rPr>
          <w:rFonts w:ascii="Calibri" w:hAnsi="Calibri" w:cs="Calibri"/>
          <w:bCs/>
          <w:sz w:val="18"/>
          <w:szCs w:val="18"/>
        </w:rPr>
        <w:t>PN-EN 12697-6</w:t>
      </w:r>
      <w:r>
        <w:rPr>
          <w:rFonts w:ascii="Calibri" w:hAnsi="Calibri" w:cs="Calibri"/>
          <w:bCs/>
          <w:sz w:val="18"/>
          <w:szCs w:val="18"/>
        </w:rPr>
        <w:t xml:space="preserve"> </w:t>
      </w:r>
      <w:r w:rsidRPr="00193128">
        <w:rPr>
          <w:rFonts w:ascii="Calibri" w:hAnsi="Calibri" w:cs="Calibri"/>
          <w:bCs/>
          <w:sz w:val="18"/>
          <w:szCs w:val="18"/>
        </w:rPr>
        <w:t>Mieszanki mineralno-asfaltowe – Metody badań mieszanek mineralno-asfaltowych na gorąco – Część 6: Oznaczanie gęstości objętościowej metodą hydrostatyczną</w:t>
      </w:r>
      <w:r>
        <w:rPr>
          <w:rFonts w:ascii="Calibri" w:hAnsi="Calibri" w:cs="Calibri"/>
          <w:bCs/>
          <w:sz w:val="18"/>
          <w:szCs w:val="18"/>
        </w:rPr>
        <w:t xml:space="preserve"> </w:t>
      </w:r>
    </w:p>
    <w:p w14:paraId="437D0DCF" w14:textId="41DC438C" w:rsidR="00193128" w:rsidRPr="00193128" w:rsidRDefault="00193128" w:rsidP="00193128">
      <w:pPr>
        <w:overflowPunct/>
        <w:autoSpaceDE/>
        <w:autoSpaceDN/>
        <w:adjustRightInd/>
        <w:textAlignment w:val="auto"/>
        <w:rPr>
          <w:rFonts w:ascii="Calibri" w:hAnsi="Calibri" w:cs="Calibri"/>
          <w:bCs/>
          <w:sz w:val="18"/>
          <w:szCs w:val="18"/>
        </w:rPr>
      </w:pPr>
      <w:r w:rsidRPr="00193128">
        <w:rPr>
          <w:rFonts w:ascii="Calibri" w:hAnsi="Calibri" w:cs="Calibri"/>
          <w:bCs/>
          <w:sz w:val="18"/>
          <w:szCs w:val="18"/>
        </w:rPr>
        <w:t>33.</w:t>
      </w:r>
      <w:r>
        <w:rPr>
          <w:rFonts w:ascii="Calibri" w:hAnsi="Calibri" w:cs="Calibri"/>
          <w:bCs/>
          <w:sz w:val="18"/>
          <w:szCs w:val="18"/>
        </w:rPr>
        <w:t xml:space="preserve"> </w:t>
      </w:r>
      <w:r w:rsidRPr="00193128">
        <w:rPr>
          <w:rFonts w:ascii="Calibri" w:hAnsi="Calibri" w:cs="Calibri"/>
          <w:bCs/>
          <w:sz w:val="18"/>
          <w:szCs w:val="18"/>
        </w:rPr>
        <w:t>PN-EN 12697-8</w:t>
      </w:r>
      <w:r>
        <w:rPr>
          <w:rFonts w:ascii="Calibri" w:hAnsi="Calibri" w:cs="Calibri"/>
          <w:bCs/>
          <w:sz w:val="18"/>
          <w:szCs w:val="18"/>
        </w:rPr>
        <w:t xml:space="preserve"> </w:t>
      </w:r>
      <w:r w:rsidRPr="00193128">
        <w:rPr>
          <w:rFonts w:ascii="Calibri" w:hAnsi="Calibri" w:cs="Calibri"/>
          <w:bCs/>
          <w:sz w:val="18"/>
          <w:szCs w:val="18"/>
        </w:rPr>
        <w:t>Mieszanki mineralno-asfaltowe – Metody badań mieszanek mineralno-asfaltowych na gorąco – Część 8: Oznaczanie zawartości wolnej przestrzeni</w:t>
      </w:r>
    </w:p>
    <w:p w14:paraId="680C5111" w14:textId="23233CA4" w:rsidR="00193128" w:rsidRPr="00193128" w:rsidRDefault="00193128" w:rsidP="00193128">
      <w:pPr>
        <w:overflowPunct/>
        <w:autoSpaceDE/>
        <w:autoSpaceDN/>
        <w:adjustRightInd/>
        <w:textAlignment w:val="auto"/>
        <w:rPr>
          <w:rFonts w:ascii="Calibri" w:hAnsi="Calibri" w:cs="Calibri"/>
          <w:bCs/>
          <w:sz w:val="18"/>
          <w:szCs w:val="18"/>
        </w:rPr>
      </w:pPr>
      <w:r w:rsidRPr="00193128">
        <w:rPr>
          <w:rFonts w:ascii="Calibri" w:hAnsi="Calibri" w:cs="Calibri"/>
          <w:bCs/>
          <w:sz w:val="18"/>
          <w:szCs w:val="18"/>
        </w:rPr>
        <w:t>34.</w:t>
      </w:r>
      <w:r>
        <w:rPr>
          <w:rFonts w:ascii="Calibri" w:hAnsi="Calibri" w:cs="Calibri"/>
          <w:bCs/>
          <w:sz w:val="18"/>
          <w:szCs w:val="18"/>
        </w:rPr>
        <w:t xml:space="preserve"> </w:t>
      </w:r>
      <w:r w:rsidRPr="00193128">
        <w:rPr>
          <w:rFonts w:ascii="Calibri" w:hAnsi="Calibri" w:cs="Calibri"/>
          <w:bCs/>
          <w:sz w:val="18"/>
          <w:szCs w:val="18"/>
        </w:rPr>
        <w:t>PN-EN 12697-11</w:t>
      </w:r>
      <w:r>
        <w:rPr>
          <w:rFonts w:ascii="Calibri" w:hAnsi="Calibri" w:cs="Calibri"/>
          <w:bCs/>
          <w:sz w:val="18"/>
          <w:szCs w:val="18"/>
        </w:rPr>
        <w:t xml:space="preserve"> </w:t>
      </w:r>
      <w:r w:rsidRPr="00193128">
        <w:rPr>
          <w:rFonts w:ascii="Calibri" w:hAnsi="Calibri" w:cs="Calibri"/>
          <w:bCs/>
          <w:sz w:val="18"/>
          <w:szCs w:val="18"/>
        </w:rPr>
        <w:t>Mieszanki mineralno-asfaltowe – Metody badań mieszanek mineralno-asfaltowych na gorąco – Część 11: Określenie powiązania pomiędzy kruszywem i asfaltem</w:t>
      </w:r>
    </w:p>
    <w:p w14:paraId="59724F94" w14:textId="36CD8BC7" w:rsidR="00193128" w:rsidRPr="00193128" w:rsidRDefault="00193128" w:rsidP="00193128">
      <w:pPr>
        <w:overflowPunct/>
        <w:autoSpaceDE/>
        <w:autoSpaceDN/>
        <w:adjustRightInd/>
        <w:textAlignment w:val="auto"/>
        <w:rPr>
          <w:rFonts w:ascii="Calibri" w:hAnsi="Calibri" w:cs="Calibri"/>
          <w:bCs/>
          <w:sz w:val="18"/>
          <w:szCs w:val="18"/>
        </w:rPr>
      </w:pPr>
      <w:r w:rsidRPr="00193128">
        <w:rPr>
          <w:rFonts w:ascii="Calibri" w:hAnsi="Calibri" w:cs="Calibri"/>
          <w:bCs/>
          <w:sz w:val="18"/>
          <w:szCs w:val="18"/>
        </w:rPr>
        <w:t>35.</w:t>
      </w:r>
      <w:r>
        <w:rPr>
          <w:rFonts w:ascii="Calibri" w:hAnsi="Calibri" w:cs="Calibri"/>
          <w:bCs/>
          <w:sz w:val="18"/>
          <w:szCs w:val="18"/>
        </w:rPr>
        <w:t xml:space="preserve"> </w:t>
      </w:r>
      <w:r w:rsidRPr="00193128">
        <w:rPr>
          <w:rFonts w:ascii="Calibri" w:hAnsi="Calibri" w:cs="Calibri"/>
          <w:bCs/>
          <w:sz w:val="18"/>
          <w:szCs w:val="18"/>
        </w:rPr>
        <w:t>PN-EN 12697-12</w:t>
      </w:r>
      <w:r>
        <w:rPr>
          <w:rFonts w:ascii="Calibri" w:hAnsi="Calibri" w:cs="Calibri"/>
          <w:bCs/>
          <w:sz w:val="18"/>
          <w:szCs w:val="18"/>
        </w:rPr>
        <w:t xml:space="preserve"> </w:t>
      </w:r>
      <w:r w:rsidRPr="00193128">
        <w:rPr>
          <w:rFonts w:ascii="Calibri" w:hAnsi="Calibri" w:cs="Calibri"/>
          <w:bCs/>
          <w:sz w:val="18"/>
          <w:szCs w:val="18"/>
        </w:rPr>
        <w:t>Mieszanki mineralno-asfaltowe – Metody badań mieszanek mineralno-asfaltowych na gorąco – Część 12: Określanie wrażliwości na wodę</w:t>
      </w:r>
    </w:p>
    <w:p w14:paraId="7DB46F3C" w14:textId="0A6FE414" w:rsidR="00193128" w:rsidRPr="00193128" w:rsidRDefault="00193128" w:rsidP="00193128">
      <w:pPr>
        <w:overflowPunct/>
        <w:autoSpaceDE/>
        <w:autoSpaceDN/>
        <w:adjustRightInd/>
        <w:textAlignment w:val="auto"/>
        <w:rPr>
          <w:rFonts w:ascii="Calibri" w:hAnsi="Calibri" w:cs="Calibri"/>
          <w:bCs/>
          <w:sz w:val="18"/>
          <w:szCs w:val="18"/>
        </w:rPr>
      </w:pPr>
      <w:r w:rsidRPr="00193128">
        <w:rPr>
          <w:rFonts w:ascii="Calibri" w:hAnsi="Calibri" w:cs="Calibri"/>
          <w:bCs/>
          <w:sz w:val="18"/>
          <w:szCs w:val="18"/>
        </w:rPr>
        <w:t>36.</w:t>
      </w:r>
      <w:r>
        <w:rPr>
          <w:rFonts w:ascii="Calibri" w:hAnsi="Calibri" w:cs="Calibri"/>
          <w:bCs/>
          <w:sz w:val="18"/>
          <w:szCs w:val="18"/>
        </w:rPr>
        <w:t xml:space="preserve"> </w:t>
      </w:r>
      <w:r w:rsidRPr="00193128">
        <w:rPr>
          <w:rFonts w:ascii="Calibri" w:hAnsi="Calibri" w:cs="Calibri"/>
          <w:bCs/>
          <w:sz w:val="18"/>
          <w:szCs w:val="18"/>
        </w:rPr>
        <w:t>PN-EN 12697-13</w:t>
      </w:r>
      <w:r>
        <w:rPr>
          <w:rFonts w:ascii="Calibri" w:hAnsi="Calibri" w:cs="Calibri"/>
          <w:bCs/>
          <w:sz w:val="18"/>
          <w:szCs w:val="18"/>
        </w:rPr>
        <w:t xml:space="preserve"> </w:t>
      </w:r>
      <w:r w:rsidRPr="00193128">
        <w:rPr>
          <w:rFonts w:ascii="Calibri" w:hAnsi="Calibri" w:cs="Calibri"/>
          <w:bCs/>
          <w:sz w:val="18"/>
          <w:szCs w:val="18"/>
        </w:rPr>
        <w:t>Mieszanki mineralno-asfaltowe – Metody badań mieszanek mineralno-asfaltowych na gorąco – Część 13: Pomiar temperatury</w:t>
      </w:r>
    </w:p>
    <w:p w14:paraId="7E65E6D6" w14:textId="2659F464" w:rsidR="00193128" w:rsidRPr="00193128" w:rsidRDefault="00193128" w:rsidP="00193128">
      <w:pPr>
        <w:overflowPunct/>
        <w:autoSpaceDE/>
        <w:autoSpaceDN/>
        <w:adjustRightInd/>
        <w:textAlignment w:val="auto"/>
        <w:rPr>
          <w:rFonts w:ascii="Calibri" w:hAnsi="Calibri" w:cs="Calibri"/>
          <w:bCs/>
          <w:sz w:val="18"/>
          <w:szCs w:val="18"/>
        </w:rPr>
      </w:pPr>
      <w:r w:rsidRPr="00193128">
        <w:rPr>
          <w:rFonts w:ascii="Calibri" w:hAnsi="Calibri" w:cs="Calibri"/>
          <w:bCs/>
          <w:sz w:val="18"/>
          <w:szCs w:val="18"/>
        </w:rPr>
        <w:t>37.</w:t>
      </w:r>
      <w:r>
        <w:rPr>
          <w:rFonts w:ascii="Calibri" w:hAnsi="Calibri" w:cs="Calibri"/>
          <w:bCs/>
          <w:sz w:val="18"/>
          <w:szCs w:val="18"/>
        </w:rPr>
        <w:t xml:space="preserve"> </w:t>
      </w:r>
      <w:r w:rsidRPr="00193128">
        <w:rPr>
          <w:rFonts w:ascii="Calibri" w:hAnsi="Calibri" w:cs="Calibri"/>
          <w:bCs/>
          <w:sz w:val="18"/>
          <w:szCs w:val="18"/>
        </w:rPr>
        <w:t>PN-EN 12697-18</w:t>
      </w:r>
      <w:r>
        <w:rPr>
          <w:rFonts w:ascii="Calibri" w:hAnsi="Calibri" w:cs="Calibri"/>
          <w:bCs/>
          <w:sz w:val="18"/>
          <w:szCs w:val="18"/>
        </w:rPr>
        <w:t xml:space="preserve"> </w:t>
      </w:r>
      <w:r w:rsidRPr="00193128">
        <w:rPr>
          <w:rFonts w:ascii="Calibri" w:hAnsi="Calibri" w:cs="Calibri"/>
          <w:bCs/>
          <w:sz w:val="18"/>
          <w:szCs w:val="18"/>
        </w:rPr>
        <w:t>Mieszanki mineralno-asfaltowe – Metody badań mieszanek mineralno-asfaltowych na gorąco – Część 18: Spływanie lepiszcza</w:t>
      </w:r>
    </w:p>
    <w:p w14:paraId="456940B1" w14:textId="5466A65C" w:rsidR="00193128" w:rsidRPr="00193128" w:rsidRDefault="00193128" w:rsidP="00193128">
      <w:pPr>
        <w:overflowPunct/>
        <w:autoSpaceDE/>
        <w:autoSpaceDN/>
        <w:adjustRightInd/>
        <w:textAlignment w:val="auto"/>
        <w:rPr>
          <w:rFonts w:ascii="Calibri" w:hAnsi="Calibri" w:cs="Calibri"/>
          <w:bCs/>
          <w:sz w:val="18"/>
          <w:szCs w:val="18"/>
        </w:rPr>
      </w:pPr>
      <w:r w:rsidRPr="00193128">
        <w:rPr>
          <w:rFonts w:ascii="Calibri" w:hAnsi="Calibri" w:cs="Calibri"/>
          <w:bCs/>
          <w:sz w:val="18"/>
          <w:szCs w:val="18"/>
        </w:rPr>
        <w:t>38.</w:t>
      </w:r>
      <w:r>
        <w:rPr>
          <w:rFonts w:ascii="Calibri" w:hAnsi="Calibri" w:cs="Calibri"/>
          <w:bCs/>
          <w:sz w:val="18"/>
          <w:szCs w:val="18"/>
        </w:rPr>
        <w:t xml:space="preserve"> </w:t>
      </w:r>
      <w:r w:rsidRPr="00193128">
        <w:rPr>
          <w:rFonts w:ascii="Calibri" w:hAnsi="Calibri" w:cs="Calibri"/>
          <w:bCs/>
          <w:sz w:val="18"/>
          <w:szCs w:val="18"/>
        </w:rPr>
        <w:t>PN-EN 12697-22</w:t>
      </w:r>
      <w:r>
        <w:rPr>
          <w:rFonts w:ascii="Calibri" w:hAnsi="Calibri" w:cs="Calibri"/>
          <w:bCs/>
          <w:sz w:val="18"/>
          <w:szCs w:val="18"/>
        </w:rPr>
        <w:t xml:space="preserve"> </w:t>
      </w:r>
      <w:r w:rsidRPr="00193128">
        <w:rPr>
          <w:rFonts w:ascii="Calibri" w:hAnsi="Calibri" w:cs="Calibri"/>
          <w:bCs/>
          <w:sz w:val="18"/>
          <w:szCs w:val="18"/>
        </w:rPr>
        <w:t>Mieszanki mineralno-asfaltowe – Metody badań mieszanek mineralno-asfaltowych na gorąco – Część 22: Koleinowanie</w:t>
      </w:r>
    </w:p>
    <w:p w14:paraId="2B898E1C" w14:textId="12ADAC8D" w:rsidR="00193128" w:rsidRPr="00193128" w:rsidRDefault="00193128" w:rsidP="00193128">
      <w:pPr>
        <w:overflowPunct/>
        <w:autoSpaceDE/>
        <w:autoSpaceDN/>
        <w:adjustRightInd/>
        <w:textAlignment w:val="auto"/>
        <w:rPr>
          <w:rFonts w:ascii="Calibri" w:hAnsi="Calibri" w:cs="Calibri"/>
          <w:bCs/>
          <w:sz w:val="18"/>
          <w:szCs w:val="18"/>
        </w:rPr>
      </w:pPr>
      <w:r w:rsidRPr="00193128">
        <w:rPr>
          <w:rFonts w:ascii="Calibri" w:hAnsi="Calibri" w:cs="Calibri"/>
          <w:bCs/>
          <w:sz w:val="18"/>
          <w:szCs w:val="18"/>
        </w:rPr>
        <w:t>39.</w:t>
      </w:r>
      <w:r>
        <w:rPr>
          <w:rFonts w:ascii="Calibri" w:hAnsi="Calibri" w:cs="Calibri"/>
          <w:bCs/>
          <w:sz w:val="18"/>
          <w:szCs w:val="18"/>
        </w:rPr>
        <w:t xml:space="preserve"> </w:t>
      </w:r>
      <w:r w:rsidRPr="00193128">
        <w:rPr>
          <w:rFonts w:ascii="Calibri" w:hAnsi="Calibri" w:cs="Calibri"/>
          <w:bCs/>
          <w:sz w:val="18"/>
          <w:szCs w:val="18"/>
        </w:rPr>
        <w:t>PN-EN 12697-27</w:t>
      </w:r>
      <w:r>
        <w:rPr>
          <w:rFonts w:ascii="Calibri" w:hAnsi="Calibri" w:cs="Calibri"/>
          <w:bCs/>
          <w:sz w:val="18"/>
          <w:szCs w:val="18"/>
        </w:rPr>
        <w:t xml:space="preserve"> </w:t>
      </w:r>
      <w:r w:rsidRPr="00193128">
        <w:rPr>
          <w:rFonts w:ascii="Calibri" w:hAnsi="Calibri" w:cs="Calibri"/>
          <w:bCs/>
          <w:sz w:val="18"/>
          <w:szCs w:val="18"/>
        </w:rPr>
        <w:t>Mieszanki mineralno-asfaltowe – Metody badań mieszanek mineralno-asfaltowych na gorąco – Część 27: Pobieranie</w:t>
      </w:r>
      <w:r>
        <w:rPr>
          <w:rFonts w:ascii="Calibri" w:hAnsi="Calibri" w:cs="Calibri"/>
          <w:bCs/>
          <w:sz w:val="18"/>
          <w:szCs w:val="18"/>
        </w:rPr>
        <w:t xml:space="preserve"> </w:t>
      </w:r>
      <w:r w:rsidRPr="00193128">
        <w:rPr>
          <w:rFonts w:ascii="Calibri" w:hAnsi="Calibri" w:cs="Calibri"/>
          <w:bCs/>
          <w:sz w:val="18"/>
          <w:szCs w:val="18"/>
        </w:rPr>
        <w:t>próbek</w:t>
      </w:r>
    </w:p>
    <w:p w14:paraId="783260F2" w14:textId="331C2ADF" w:rsidR="00193128" w:rsidRPr="00193128" w:rsidRDefault="00193128" w:rsidP="00193128">
      <w:pPr>
        <w:overflowPunct/>
        <w:autoSpaceDE/>
        <w:autoSpaceDN/>
        <w:adjustRightInd/>
        <w:textAlignment w:val="auto"/>
        <w:rPr>
          <w:rFonts w:ascii="Calibri" w:hAnsi="Calibri" w:cs="Calibri"/>
          <w:bCs/>
          <w:sz w:val="18"/>
          <w:szCs w:val="18"/>
        </w:rPr>
      </w:pPr>
      <w:r w:rsidRPr="00193128">
        <w:rPr>
          <w:rFonts w:ascii="Calibri" w:hAnsi="Calibri" w:cs="Calibri"/>
          <w:bCs/>
          <w:sz w:val="18"/>
          <w:szCs w:val="18"/>
        </w:rPr>
        <w:t>40.</w:t>
      </w:r>
      <w:r>
        <w:rPr>
          <w:rFonts w:ascii="Calibri" w:hAnsi="Calibri" w:cs="Calibri"/>
          <w:bCs/>
          <w:sz w:val="18"/>
          <w:szCs w:val="18"/>
        </w:rPr>
        <w:t xml:space="preserve"> </w:t>
      </w:r>
      <w:r w:rsidRPr="00193128">
        <w:rPr>
          <w:rFonts w:ascii="Calibri" w:hAnsi="Calibri" w:cs="Calibri"/>
          <w:bCs/>
          <w:sz w:val="18"/>
          <w:szCs w:val="18"/>
        </w:rPr>
        <w:t>PN-EN 12697-36</w:t>
      </w:r>
      <w:r>
        <w:rPr>
          <w:rFonts w:ascii="Calibri" w:hAnsi="Calibri" w:cs="Calibri"/>
          <w:bCs/>
          <w:sz w:val="18"/>
          <w:szCs w:val="18"/>
        </w:rPr>
        <w:t xml:space="preserve"> </w:t>
      </w:r>
      <w:r w:rsidRPr="00193128">
        <w:rPr>
          <w:rFonts w:ascii="Calibri" w:hAnsi="Calibri" w:cs="Calibri"/>
          <w:bCs/>
          <w:sz w:val="18"/>
          <w:szCs w:val="18"/>
        </w:rPr>
        <w:t>Mieszanki mineralno-asfaltowe – Metody badań mieszanek mineralno-asfaltowych na gorąco – Część 36: Oznaczanie grubości nawierzchni asfaltowych</w:t>
      </w:r>
    </w:p>
    <w:p w14:paraId="23D0BCB8" w14:textId="219CFB9C" w:rsidR="00193128" w:rsidRPr="00193128" w:rsidRDefault="00193128" w:rsidP="00193128">
      <w:pPr>
        <w:overflowPunct/>
        <w:autoSpaceDE/>
        <w:autoSpaceDN/>
        <w:adjustRightInd/>
        <w:textAlignment w:val="auto"/>
        <w:rPr>
          <w:rFonts w:ascii="Calibri" w:hAnsi="Calibri" w:cs="Calibri"/>
          <w:bCs/>
          <w:sz w:val="18"/>
          <w:szCs w:val="18"/>
        </w:rPr>
      </w:pPr>
      <w:r w:rsidRPr="00193128">
        <w:rPr>
          <w:rFonts w:ascii="Calibri" w:hAnsi="Calibri" w:cs="Calibri"/>
          <w:bCs/>
          <w:sz w:val="18"/>
          <w:szCs w:val="18"/>
        </w:rPr>
        <w:t>41.</w:t>
      </w:r>
      <w:r>
        <w:rPr>
          <w:rFonts w:ascii="Calibri" w:hAnsi="Calibri" w:cs="Calibri"/>
          <w:bCs/>
          <w:sz w:val="18"/>
          <w:szCs w:val="18"/>
        </w:rPr>
        <w:t xml:space="preserve"> </w:t>
      </w:r>
      <w:r w:rsidRPr="00193128">
        <w:rPr>
          <w:rFonts w:ascii="Calibri" w:hAnsi="Calibri" w:cs="Calibri"/>
          <w:bCs/>
          <w:sz w:val="18"/>
          <w:szCs w:val="18"/>
        </w:rPr>
        <w:t>PN-EN 12846</w:t>
      </w:r>
      <w:r>
        <w:rPr>
          <w:rFonts w:ascii="Calibri" w:hAnsi="Calibri" w:cs="Calibri"/>
          <w:bCs/>
          <w:sz w:val="18"/>
          <w:szCs w:val="18"/>
        </w:rPr>
        <w:t xml:space="preserve"> </w:t>
      </w:r>
      <w:r w:rsidRPr="00193128">
        <w:rPr>
          <w:rFonts w:ascii="Calibri" w:hAnsi="Calibri" w:cs="Calibri"/>
          <w:bCs/>
          <w:sz w:val="18"/>
          <w:szCs w:val="18"/>
        </w:rPr>
        <w:t>Asfalty i lepiszcza asfaltowe – Oznaczanie czasu wypływu emulsji asfaltowych lepkościomierzem wypływowym</w:t>
      </w:r>
    </w:p>
    <w:p w14:paraId="2D1CA0C4" w14:textId="519EB835" w:rsidR="00193128" w:rsidRPr="00193128" w:rsidRDefault="00193128" w:rsidP="00193128">
      <w:pPr>
        <w:overflowPunct/>
        <w:autoSpaceDE/>
        <w:autoSpaceDN/>
        <w:adjustRightInd/>
        <w:textAlignment w:val="auto"/>
        <w:rPr>
          <w:rFonts w:ascii="Calibri" w:hAnsi="Calibri" w:cs="Calibri"/>
          <w:bCs/>
          <w:sz w:val="18"/>
          <w:szCs w:val="18"/>
        </w:rPr>
      </w:pPr>
      <w:r w:rsidRPr="00193128">
        <w:rPr>
          <w:rFonts w:ascii="Calibri" w:hAnsi="Calibri" w:cs="Calibri"/>
          <w:bCs/>
          <w:sz w:val="18"/>
          <w:szCs w:val="18"/>
        </w:rPr>
        <w:t>42.</w:t>
      </w:r>
      <w:r>
        <w:rPr>
          <w:rFonts w:ascii="Calibri" w:hAnsi="Calibri" w:cs="Calibri"/>
          <w:bCs/>
          <w:sz w:val="18"/>
          <w:szCs w:val="18"/>
        </w:rPr>
        <w:t xml:space="preserve"> </w:t>
      </w:r>
      <w:r w:rsidRPr="00193128">
        <w:rPr>
          <w:rFonts w:ascii="Calibri" w:hAnsi="Calibri" w:cs="Calibri"/>
          <w:bCs/>
          <w:sz w:val="18"/>
          <w:szCs w:val="18"/>
        </w:rPr>
        <w:t>PN-EN 12847</w:t>
      </w:r>
      <w:r>
        <w:rPr>
          <w:rFonts w:ascii="Calibri" w:hAnsi="Calibri" w:cs="Calibri"/>
          <w:bCs/>
          <w:sz w:val="18"/>
          <w:szCs w:val="18"/>
        </w:rPr>
        <w:t xml:space="preserve"> </w:t>
      </w:r>
      <w:r w:rsidRPr="00193128">
        <w:rPr>
          <w:rFonts w:ascii="Calibri" w:hAnsi="Calibri" w:cs="Calibri"/>
          <w:bCs/>
          <w:sz w:val="18"/>
          <w:szCs w:val="18"/>
        </w:rPr>
        <w:t>Asfalty i lepiszcza asfaltowe – Oznaczanie sedymentacji emulsji asfaltowych</w:t>
      </w:r>
    </w:p>
    <w:p w14:paraId="3EE897DA" w14:textId="03AAC84F" w:rsidR="00193128" w:rsidRPr="00193128" w:rsidRDefault="00193128" w:rsidP="00193128">
      <w:pPr>
        <w:overflowPunct/>
        <w:autoSpaceDE/>
        <w:autoSpaceDN/>
        <w:adjustRightInd/>
        <w:textAlignment w:val="auto"/>
        <w:rPr>
          <w:rFonts w:ascii="Calibri" w:hAnsi="Calibri" w:cs="Calibri"/>
          <w:bCs/>
          <w:sz w:val="18"/>
          <w:szCs w:val="18"/>
        </w:rPr>
      </w:pPr>
      <w:r w:rsidRPr="00193128">
        <w:rPr>
          <w:rFonts w:ascii="Calibri" w:hAnsi="Calibri" w:cs="Calibri"/>
          <w:bCs/>
          <w:sz w:val="18"/>
          <w:szCs w:val="18"/>
        </w:rPr>
        <w:t>43.</w:t>
      </w:r>
      <w:r>
        <w:rPr>
          <w:rFonts w:ascii="Calibri" w:hAnsi="Calibri" w:cs="Calibri"/>
          <w:bCs/>
          <w:sz w:val="18"/>
          <w:szCs w:val="18"/>
        </w:rPr>
        <w:t xml:space="preserve"> </w:t>
      </w:r>
      <w:r w:rsidRPr="00193128">
        <w:rPr>
          <w:rFonts w:ascii="Calibri" w:hAnsi="Calibri" w:cs="Calibri"/>
          <w:bCs/>
          <w:sz w:val="18"/>
          <w:szCs w:val="18"/>
        </w:rPr>
        <w:t>PN-EN 12850</w:t>
      </w:r>
      <w:r>
        <w:rPr>
          <w:rFonts w:ascii="Calibri" w:hAnsi="Calibri" w:cs="Calibri"/>
          <w:bCs/>
          <w:sz w:val="18"/>
          <w:szCs w:val="18"/>
        </w:rPr>
        <w:t xml:space="preserve"> </w:t>
      </w:r>
      <w:r w:rsidRPr="00193128">
        <w:rPr>
          <w:rFonts w:ascii="Calibri" w:hAnsi="Calibri" w:cs="Calibri"/>
          <w:bCs/>
          <w:sz w:val="18"/>
          <w:szCs w:val="18"/>
        </w:rPr>
        <w:t>Asfalty i lepiszcza asfaltowe – Oznaczanie wartości pH emulsji asfaltowych</w:t>
      </w:r>
    </w:p>
    <w:p w14:paraId="78714FB0" w14:textId="25E0F527" w:rsidR="00193128" w:rsidRPr="00193128" w:rsidRDefault="00193128" w:rsidP="00193128">
      <w:pPr>
        <w:overflowPunct/>
        <w:autoSpaceDE/>
        <w:autoSpaceDN/>
        <w:adjustRightInd/>
        <w:textAlignment w:val="auto"/>
        <w:rPr>
          <w:rFonts w:ascii="Calibri" w:hAnsi="Calibri" w:cs="Calibri"/>
          <w:bCs/>
          <w:sz w:val="18"/>
          <w:szCs w:val="18"/>
        </w:rPr>
      </w:pPr>
      <w:r w:rsidRPr="00193128">
        <w:rPr>
          <w:rFonts w:ascii="Calibri" w:hAnsi="Calibri" w:cs="Calibri"/>
          <w:bCs/>
          <w:sz w:val="18"/>
          <w:szCs w:val="18"/>
        </w:rPr>
        <w:t>44.</w:t>
      </w:r>
      <w:r>
        <w:rPr>
          <w:rFonts w:ascii="Calibri" w:hAnsi="Calibri" w:cs="Calibri"/>
          <w:bCs/>
          <w:sz w:val="18"/>
          <w:szCs w:val="18"/>
        </w:rPr>
        <w:t xml:space="preserve"> </w:t>
      </w:r>
      <w:r w:rsidRPr="00193128">
        <w:rPr>
          <w:rFonts w:ascii="Calibri" w:hAnsi="Calibri" w:cs="Calibri"/>
          <w:bCs/>
          <w:sz w:val="18"/>
          <w:szCs w:val="18"/>
        </w:rPr>
        <w:t>PN-EN 13043</w:t>
      </w:r>
      <w:r>
        <w:rPr>
          <w:rFonts w:ascii="Calibri" w:hAnsi="Calibri" w:cs="Calibri"/>
          <w:bCs/>
          <w:sz w:val="18"/>
          <w:szCs w:val="18"/>
        </w:rPr>
        <w:t xml:space="preserve"> </w:t>
      </w:r>
      <w:r w:rsidRPr="00193128">
        <w:rPr>
          <w:rFonts w:ascii="Calibri" w:hAnsi="Calibri" w:cs="Calibri"/>
          <w:bCs/>
          <w:sz w:val="18"/>
          <w:szCs w:val="18"/>
        </w:rPr>
        <w:t>Kruszywa do mieszanek bitumicznych i powierzchniowych utrwaleń stosowanych na drogach, lotniskach i innych powierzchniach przeznaczonych do ruchu</w:t>
      </w:r>
    </w:p>
    <w:p w14:paraId="353CA471" w14:textId="636E1BA2" w:rsidR="00193128" w:rsidRPr="00193128" w:rsidRDefault="00193128" w:rsidP="00193128">
      <w:pPr>
        <w:overflowPunct/>
        <w:autoSpaceDE/>
        <w:autoSpaceDN/>
        <w:adjustRightInd/>
        <w:textAlignment w:val="auto"/>
        <w:rPr>
          <w:rFonts w:ascii="Calibri" w:hAnsi="Calibri" w:cs="Calibri"/>
          <w:bCs/>
          <w:sz w:val="18"/>
          <w:szCs w:val="18"/>
        </w:rPr>
      </w:pPr>
      <w:r w:rsidRPr="00193128">
        <w:rPr>
          <w:rFonts w:ascii="Calibri" w:hAnsi="Calibri" w:cs="Calibri"/>
          <w:bCs/>
          <w:sz w:val="18"/>
          <w:szCs w:val="18"/>
        </w:rPr>
        <w:t>45.</w:t>
      </w:r>
      <w:r>
        <w:rPr>
          <w:rFonts w:ascii="Calibri" w:hAnsi="Calibri" w:cs="Calibri"/>
          <w:bCs/>
          <w:sz w:val="18"/>
          <w:szCs w:val="18"/>
        </w:rPr>
        <w:t xml:space="preserve"> </w:t>
      </w:r>
      <w:r w:rsidRPr="00193128">
        <w:rPr>
          <w:rFonts w:ascii="Calibri" w:hAnsi="Calibri" w:cs="Calibri"/>
          <w:bCs/>
          <w:sz w:val="18"/>
          <w:szCs w:val="18"/>
        </w:rPr>
        <w:t>PN-EN 13074</w:t>
      </w:r>
      <w:r>
        <w:rPr>
          <w:rFonts w:ascii="Calibri" w:hAnsi="Calibri" w:cs="Calibri"/>
          <w:bCs/>
          <w:sz w:val="18"/>
          <w:szCs w:val="18"/>
        </w:rPr>
        <w:t xml:space="preserve"> </w:t>
      </w:r>
      <w:r w:rsidRPr="00193128">
        <w:rPr>
          <w:rFonts w:ascii="Calibri" w:hAnsi="Calibri" w:cs="Calibri"/>
          <w:bCs/>
          <w:sz w:val="18"/>
          <w:szCs w:val="18"/>
        </w:rPr>
        <w:t>Asfalty i lepiszcza asfaltowe – Oznaczanie lepiszczy z emulsji asfaltowych przez odparowanie</w:t>
      </w:r>
    </w:p>
    <w:p w14:paraId="04BA9847" w14:textId="46117E56" w:rsidR="00193128" w:rsidRPr="00193128" w:rsidRDefault="00193128" w:rsidP="00193128">
      <w:pPr>
        <w:overflowPunct/>
        <w:autoSpaceDE/>
        <w:autoSpaceDN/>
        <w:adjustRightInd/>
        <w:textAlignment w:val="auto"/>
        <w:rPr>
          <w:rFonts w:ascii="Calibri" w:hAnsi="Calibri" w:cs="Calibri"/>
          <w:bCs/>
          <w:sz w:val="18"/>
          <w:szCs w:val="18"/>
        </w:rPr>
      </w:pPr>
      <w:r w:rsidRPr="00193128">
        <w:rPr>
          <w:rFonts w:ascii="Calibri" w:hAnsi="Calibri" w:cs="Calibri"/>
          <w:bCs/>
          <w:sz w:val="18"/>
          <w:szCs w:val="18"/>
        </w:rPr>
        <w:t>46.</w:t>
      </w:r>
      <w:r>
        <w:rPr>
          <w:rFonts w:ascii="Calibri" w:hAnsi="Calibri" w:cs="Calibri"/>
          <w:bCs/>
          <w:sz w:val="18"/>
          <w:szCs w:val="18"/>
        </w:rPr>
        <w:t xml:space="preserve"> </w:t>
      </w:r>
      <w:r w:rsidRPr="00193128">
        <w:rPr>
          <w:rFonts w:ascii="Calibri" w:hAnsi="Calibri" w:cs="Calibri"/>
          <w:bCs/>
          <w:sz w:val="18"/>
          <w:szCs w:val="18"/>
        </w:rPr>
        <w:t>PN-EN 13075-1</w:t>
      </w:r>
      <w:r>
        <w:rPr>
          <w:rFonts w:ascii="Calibri" w:hAnsi="Calibri" w:cs="Calibri"/>
          <w:bCs/>
          <w:sz w:val="18"/>
          <w:szCs w:val="18"/>
        </w:rPr>
        <w:t xml:space="preserve"> </w:t>
      </w:r>
      <w:r w:rsidRPr="00193128">
        <w:rPr>
          <w:rFonts w:ascii="Calibri" w:hAnsi="Calibri" w:cs="Calibri"/>
          <w:bCs/>
          <w:sz w:val="18"/>
          <w:szCs w:val="18"/>
        </w:rPr>
        <w:t>Asfalty i lepiszcza asfaltowe – Badanie rozpadu – Część 1: Oznaczanie indeksu rozpadu kationowych emulsji asfaltowych, metoda z wypełniaczem mineralnym</w:t>
      </w:r>
    </w:p>
    <w:p w14:paraId="6632D6EB" w14:textId="7E938E87" w:rsidR="00193128" w:rsidRPr="00193128" w:rsidRDefault="00193128" w:rsidP="00193128">
      <w:pPr>
        <w:overflowPunct/>
        <w:autoSpaceDE/>
        <w:autoSpaceDN/>
        <w:adjustRightInd/>
        <w:textAlignment w:val="auto"/>
        <w:rPr>
          <w:rFonts w:ascii="Calibri" w:hAnsi="Calibri" w:cs="Calibri"/>
          <w:bCs/>
          <w:sz w:val="18"/>
          <w:szCs w:val="18"/>
        </w:rPr>
      </w:pPr>
      <w:r w:rsidRPr="00193128">
        <w:rPr>
          <w:rFonts w:ascii="Calibri" w:hAnsi="Calibri" w:cs="Calibri"/>
          <w:bCs/>
          <w:sz w:val="18"/>
          <w:szCs w:val="18"/>
        </w:rPr>
        <w:t>47.</w:t>
      </w:r>
      <w:r>
        <w:rPr>
          <w:rFonts w:ascii="Calibri" w:hAnsi="Calibri" w:cs="Calibri"/>
          <w:bCs/>
          <w:sz w:val="18"/>
          <w:szCs w:val="18"/>
        </w:rPr>
        <w:t xml:space="preserve"> </w:t>
      </w:r>
      <w:r w:rsidRPr="00193128">
        <w:rPr>
          <w:rFonts w:ascii="Calibri" w:hAnsi="Calibri" w:cs="Calibri"/>
          <w:bCs/>
          <w:sz w:val="18"/>
          <w:szCs w:val="18"/>
        </w:rPr>
        <w:t>PN-EN 13108-5</w:t>
      </w:r>
      <w:r>
        <w:rPr>
          <w:rFonts w:ascii="Calibri" w:hAnsi="Calibri" w:cs="Calibri"/>
          <w:bCs/>
          <w:sz w:val="18"/>
          <w:szCs w:val="18"/>
        </w:rPr>
        <w:t xml:space="preserve"> </w:t>
      </w:r>
      <w:r w:rsidRPr="00193128">
        <w:rPr>
          <w:rFonts w:ascii="Calibri" w:hAnsi="Calibri" w:cs="Calibri"/>
          <w:bCs/>
          <w:sz w:val="18"/>
          <w:szCs w:val="18"/>
        </w:rPr>
        <w:t>Mieszanki mineralno-asfaltowe – Wymagania – Część 5: Mieszanka SMA</w:t>
      </w:r>
    </w:p>
    <w:p w14:paraId="0D25BA87" w14:textId="619CC9DC" w:rsidR="00193128" w:rsidRPr="00193128" w:rsidRDefault="00193128" w:rsidP="00193128">
      <w:pPr>
        <w:overflowPunct/>
        <w:autoSpaceDE/>
        <w:autoSpaceDN/>
        <w:adjustRightInd/>
        <w:textAlignment w:val="auto"/>
        <w:rPr>
          <w:rFonts w:ascii="Calibri" w:hAnsi="Calibri" w:cs="Calibri"/>
          <w:bCs/>
          <w:sz w:val="18"/>
          <w:szCs w:val="18"/>
        </w:rPr>
      </w:pPr>
      <w:r w:rsidRPr="00193128">
        <w:rPr>
          <w:rFonts w:ascii="Calibri" w:hAnsi="Calibri" w:cs="Calibri"/>
          <w:bCs/>
          <w:sz w:val="18"/>
          <w:szCs w:val="18"/>
        </w:rPr>
        <w:t>48.</w:t>
      </w:r>
      <w:r>
        <w:rPr>
          <w:rFonts w:ascii="Calibri" w:hAnsi="Calibri" w:cs="Calibri"/>
          <w:bCs/>
          <w:sz w:val="18"/>
          <w:szCs w:val="18"/>
        </w:rPr>
        <w:t xml:space="preserve"> </w:t>
      </w:r>
      <w:r w:rsidRPr="00193128">
        <w:rPr>
          <w:rFonts w:ascii="Calibri" w:hAnsi="Calibri" w:cs="Calibri"/>
          <w:bCs/>
          <w:sz w:val="18"/>
          <w:szCs w:val="18"/>
        </w:rPr>
        <w:t>PN-EN 13108-20</w:t>
      </w:r>
      <w:r>
        <w:rPr>
          <w:rFonts w:ascii="Calibri" w:hAnsi="Calibri" w:cs="Calibri"/>
          <w:bCs/>
          <w:sz w:val="18"/>
          <w:szCs w:val="18"/>
        </w:rPr>
        <w:t xml:space="preserve"> </w:t>
      </w:r>
      <w:r w:rsidRPr="00193128">
        <w:rPr>
          <w:rFonts w:ascii="Calibri" w:hAnsi="Calibri" w:cs="Calibri"/>
          <w:bCs/>
          <w:sz w:val="18"/>
          <w:szCs w:val="18"/>
        </w:rPr>
        <w:t>Mieszanki mineralno-asfaltowe – Wymagania – Część 20: Badanie typu</w:t>
      </w:r>
    </w:p>
    <w:p w14:paraId="3B6EA093" w14:textId="73FFBA42" w:rsidR="00193128" w:rsidRPr="00193128" w:rsidRDefault="00193128" w:rsidP="00193128">
      <w:pPr>
        <w:overflowPunct/>
        <w:autoSpaceDE/>
        <w:autoSpaceDN/>
        <w:adjustRightInd/>
        <w:textAlignment w:val="auto"/>
        <w:rPr>
          <w:rFonts w:ascii="Calibri" w:hAnsi="Calibri" w:cs="Calibri"/>
          <w:bCs/>
          <w:sz w:val="18"/>
          <w:szCs w:val="18"/>
        </w:rPr>
      </w:pPr>
      <w:r w:rsidRPr="00193128">
        <w:rPr>
          <w:rFonts w:ascii="Calibri" w:hAnsi="Calibri" w:cs="Calibri"/>
          <w:bCs/>
          <w:sz w:val="18"/>
          <w:szCs w:val="18"/>
        </w:rPr>
        <w:t>49.</w:t>
      </w:r>
      <w:r>
        <w:rPr>
          <w:rFonts w:ascii="Calibri" w:hAnsi="Calibri" w:cs="Calibri"/>
          <w:bCs/>
          <w:sz w:val="18"/>
          <w:szCs w:val="18"/>
        </w:rPr>
        <w:t xml:space="preserve"> </w:t>
      </w:r>
      <w:r w:rsidRPr="00193128">
        <w:rPr>
          <w:rFonts w:ascii="Calibri" w:hAnsi="Calibri" w:cs="Calibri"/>
          <w:bCs/>
          <w:sz w:val="18"/>
          <w:szCs w:val="18"/>
        </w:rPr>
        <w:t>PN-EN 13179-1Badania kruszyw wypełniających stosowanych do mieszanek bitumicznych – Część 1: Badanie metodą Pierścienia i Kuli</w:t>
      </w:r>
    </w:p>
    <w:p w14:paraId="6C8E525A" w14:textId="6B74F1A5" w:rsidR="00193128" w:rsidRPr="00193128" w:rsidRDefault="00193128" w:rsidP="00193128">
      <w:pPr>
        <w:overflowPunct/>
        <w:autoSpaceDE/>
        <w:autoSpaceDN/>
        <w:adjustRightInd/>
        <w:textAlignment w:val="auto"/>
        <w:rPr>
          <w:rFonts w:ascii="Calibri" w:hAnsi="Calibri" w:cs="Calibri"/>
          <w:bCs/>
          <w:sz w:val="18"/>
          <w:szCs w:val="18"/>
        </w:rPr>
      </w:pPr>
      <w:r w:rsidRPr="00193128">
        <w:rPr>
          <w:rFonts w:ascii="Calibri" w:hAnsi="Calibri" w:cs="Calibri"/>
          <w:bCs/>
          <w:sz w:val="18"/>
          <w:szCs w:val="18"/>
        </w:rPr>
        <w:t>50.</w:t>
      </w:r>
      <w:r>
        <w:rPr>
          <w:rFonts w:ascii="Calibri" w:hAnsi="Calibri" w:cs="Calibri"/>
          <w:bCs/>
          <w:sz w:val="18"/>
          <w:szCs w:val="18"/>
        </w:rPr>
        <w:t xml:space="preserve"> </w:t>
      </w:r>
      <w:r w:rsidRPr="00193128">
        <w:rPr>
          <w:rFonts w:ascii="Calibri" w:hAnsi="Calibri" w:cs="Calibri"/>
          <w:bCs/>
          <w:sz w:val="18"/>
          <w:szCs w:val="18"/>
        </w:rPr>
        <w:t>PN-EN 13179-2</w:t>
      </w:r>
      <w:r>
        <w:rPr>
          <w:rFonts w:ascii="Calibri" w:hAnsi="Calibri" w:cs="Calibri"/>
          <w:bCs/>
          <w:sz w:val="18"/>
          <w:szCs w:val="18"/>
        </w:rPr>
        <w:t xml:space="preserve"> </w:t>
      </w:r>
      <w:r w:rsidRPr="00193128">
        <w:rPr>
          <w:rFonts w:ascii="Calibri" w:hAnsi="Calibri" w:cs="Calibri"/>
          <w:bCs/>
          <w:sz w:val="18"/>
          <w:szCs w:val="18"/>
        </w:rPr>
        <w:t>Badania kruszyw wypełniających stosowanych do mieszanek bitumicznych – Część 2: Liczba bitumiczna</w:t>
      </w:r>
    </w:p>
    <w:p w14:paraId="75FA1D41" w14:textId="5DB71668" w:rsidR="00193128" w:rsidRPr="00193128" w:rsidRDefault="00193128" w:rsidP="00193128">
      <w:pPr>
        <w:overflowPunct/>
        <w:autoSpaceDE/>
        <w:autoSpaceDN/>
        <w:adjustRightInd/>
        <w:textAlignment w:val="auto"/>
        <w:rPr>
          <w:rFonts w:ascii="Calibri" w:hAnsi="Calibri" w:cs="Calibri"/>
          <w:bCs/>
          <w:sz w:val="18"/>
          <w:szCs w:val="18"/>
        </w:rPr>
      </w:pPr>
      <w:r w:rsidRPr="00193128">
        <w:rPr>
          <w:rFonts w:ascii="Calibri" w:hAnsi="Calibri" w:cs="Calibri"/>
          <w:bCs/>
          <w:sz w:val="18"/>
          <w:szCs w:val="18"/>
        </w:rPr>
        <w:t>51.</w:t>
      </w:r>
      <w:r>
        <w:rPr>
          <w:rFonts w:ascii="Calibri" w:hAnsi="Calibri" w:cs="Calibri"/>
          <w:bCs/>
          <w:sz w:val="18"/>
          <w:szCs w:val="18"/>
        </w:rPr>
        <w:t xml:space="preserve"> </w:t>
      </w:r>
      <w:r w:rsidRPr="00193128">
        <w:rPr>
          <w:rFonts w:ascii="Calibri" w:hAnsi="Calibri" w:cs="Calibri"/>
          <w:bCs/>
          <w:sz w:val="18"/>
          <w:szCs w:val="18"/>
        </w:rPr>
        <w:t>PN-EN 13398</w:t>
      </w:r>
      <w:r>
        <w:rPr>
          <w:rFonts w:ascii="Calibri" w:hAnsi="Calibri" w:cs="Calibri"/>
          <w:bCs/>
          <w:sz w:val="18"/>
          <w:szCs w:val="18"/>
        </w:rPr>
        <w:t xml:space="preserve"> </w:t>
      </w:r>
      <w:r w:rsidRPr="00193128">
        <w:rPr>
          <w:rFonts w:ascii="Calibri" w:hAnsi="Calibri" w:cs="Calibri"/>
          <w:bCs/>
          <w:sz w:val="18"/>
          <w:szCs w:val="18"/>
        </w:rPr>
        <w:t>Asfalty i lepiszcza asfaltowe – Oznaczanie nawrotu sprężystego asfaltów modyfikowanych</w:t>
      </w:r>
    </w:p>
    <w:p w14:paraId="7B73E67D" w14:textId="09393BD3" w:rsidR="00193128" w:rsidRPr="00193128" w:rsidRDefault="00193128" w:rsidP="00193128">
      <w:pPr>
        <w:overflowPunct/>
        <w:autoSpaceDE/>
        <w:autoSpaceDN/>
        <w:adjustRightInd/>
        <w:textAlignment w:val="auto"/>
        <w:rPr>
          <w:rFonts w:ascii="Calibri" w:hAnsi="Calibri" w:cs="Calibri"/>
          <w:bCs/>
          <w:sz w:val="18"/>
          <w:szCs w:val="18"/>
        </w:rPr>
      </w:pPr>
      <w:r w:rsidRPr="00193128">
        <w:rPr>
          <w:rFonts w:ascii="Calibri" w:hAnsi="Calibri" w:cs="Calibri"/>
          <w:bCs/>
          <w:sz w:val="18"/>
          <w:szCs w:val="18"/>
        </w:rPr>
        <w:t>52.</w:t>
      </w:r>
      <w:r>
        <w:rPr>
          <w:rFonts w:ascii="Calibri" w:hAnsi="Calibri" w:cs="Calibri"/>
          <w:bCs/>
          <w:sz w:val="18"/>
          <w:szCs w:val="18"/>
        </w:rPr>
        <w:t xml:space="preserve"> </w:t>
      </w:r>
      <w:r w:rsidRPr="00193128">
        <w:rPr>
          <w:rFonts w:ascii="Calibri" w:hAnsi="Calibri" w:cs="Calibri"/>
          <w:bCs/>
          <w:sz w:val="18"/>
          <w:szCs w:val="18"/>
        </w:rPr>
        <w:t>PN-EN 13399Asfalty i lepiszcza asfaltowe – Oznaczanie odporności na magazynowanie modyfikowanych asfaltów</w:t>
      </w:r>
    </w:p>
    <w:p w14:paraId="28F6B245" w14:textId="58D87C86" w:rsidR="00193128" w:rsidRPr="00193128" w:rsidRDefault="00193128" w:rsidP="00193128">
      <w:pPr>
        <w:overflowPunct/>
        <w:autoSpaceDE/>
        <w:autoSpaceDN/>
        <w:adjustRightInd/>
        <w:textAlignment w:val="auto"/>
        <w:rPr>
          <w:rFonts w:ascii="Calibri" w:hAnsi="Calibri" w:cs="Calibri"/>
          <w:bCs/>
          <w:sz w:val="18"/>
          <w:szCs w:val="18"/>
        </w:rPr>
      </w:pPr>
      <w:r w:rsidRPr="00193128">
        <w:rPr>
          <w:rFonts w:ascii="Calibri" w:hAnsi="Calibri" w:cs="Calibri"/>
          <w:bCs/>
          <w:sz w:val="18"/>
          <w:szCs w:val="18"/>
        </w:rPr>
        <w:t>53.</w:t>
      </w:r>
      <w:r>
        <w:rPr>
          <w:rFonts w:ascii="Calibri" w:hAnsi="Calibri" w:cs="Calibri"/>
          <w:bCs/>
          <w:sz w:val="18"/>
          <w:szCs w:val="18"/>
        </w:rPr>
        <w:t xml:space="preserve"> </w:t>
      </w:r>
      <w:r w:rsidRPr="00193128">
        <w:rPr>
          <w:rFonts w:ascii="Calibri" w:hAnsi="Calibri" w:cs="Calibri"/>
          <w:bCs/>
          <w:sz w:val="18"/>
          <w:szCs w:val="18"/>
        </w:rPr>
        <w:t>PN-EN 13587</w:t>
      </w:r>
      <w:r>
        <w:rPr>
          <w:rFonts w:ascii="Calibri" w:hAnsi="Calibri" w:cs="Calibri"/>
          <w:bCs/>
          <w:sz w:val="18"/>
          <w:szCs w:val="18"/>
        </w:rPr>
        <w:t xml:space="preserve"> </w:t>
      </w:r>
      <w:r w:rsidRPr="00193128">
        <w:rPr>
          <w:rFonts w:ascii="Calibri" w:hAnsi="Calibri" w:cs="Calibri"/>
          <w:bCs/>
          <w:sz w:val="18"/>
          <w:szCs w:val="18"/>
        </w:rPr>
        <w:t>Asfalty i lepiszcza asfaltowe – Oznaczanie ciągliwości lepiszczy asfaltowych metodą pomiaru ciągliwości</w:t>
      </w:r>
    </w:p>
    <w:p w14:paraId="2091E140" w14:textId="25F538F0" w:rsidR="00193128" w:rsidRPr="00193128" w:rsidRDefault="00193128" w:rsidP="00193128">
      <w:pPr>
        <w:overflowPunct/>
        <w:autoSpaceDE/>
        <w:autoSpaceDN/>
        <w:adjustRightInd/>
        <w:textAlignment w:val="auto"/>
        <w:rPr>
          <w:rFonts w:ascii="Calibri" w:hAnsi="Calibri" w:cs="Calibri"/>
          <w:bCs/>
          <w:sz w:val="18"/>
          <w:szCs w:val="18"/>
        </w:rPr>
      </w:pPr>
      <w:r w:rsidRPr="00193128">
        <w:rPr>
          <w:rFonts w:ascii="Calibri" w:hAnsi="Calibri" w:cs="Calibri"/>
          <w:bCs/>
          <w:sz w:val="18"/>
          <w:szCs w:val="18"/>
        </w:rPr>
        <w:t>54.</w:t>
      </w:r>
      <w:r>
        <w:rPr>
          <w:rFonts w:ascii="Calibri" w:hAnsi="Calibri" w:cs="Calibri"/>
          <w:bCs/>
          <w:sz w:val="18"/>
          <w:szCs w:val="18"/>
        </w:rPr>
        <w:t xml:space="preserve"> </w:t>
      </w:r>
      <w:r w:rsidRPr="00193128">
        <w:rPr>
          <w:rFonts w:ascii="Calibri" w:hAnsi="Calibri" w:cs="Calibri"/>
          <w:bCs/>
          <w:sz w:val="18"/>
          <w:szCs w:val="18"/>
        </w:rPr>
        <w:t>PN-EN 13588</w:t>
      </w:r>
      <w:r>
        <w:rPr>
          <w:rFonts w:ascii="Calibri" w:hAnsi="Calibri" w:cs="Calibri"/>
          <w:bCs/>
          <w:sz w:val="18"/>
          <w:szCs w:val="18"/>
        </w:rPr>
        <w:t xml:space="preserve"> </w:t>
      </w:r>
      <w:r w:rsidRPr="00193128">
        <w:rPr>
          <w:rFonts w:ascii="Calibri" w:hAnsi="Calibri" w:cs="Calibri"/>
          <w:bCs/>
          <w:sz w:val="18"/>
          <w:szCs w:val="18"/>
        </w:rPr>
        <w:t>Asfalty i lepiszcza asfaltowe – Oznaczanie kohezji lepiszczy asfaltowych metodą testu wahadłowego</w:t>
      </w:r>
    </w:p>
    <w:p w14:paraId="679FE1DD" w14:textId="5A240A6E" w:rsidR="00193128" w:rsidRPr="00193128" w:rsidRDefault="00193128" w:rsidP="00193128">
      <w:pPr>
        <w:overflowPunct/>
        <w:autoSpaceDE/>
        <w:autoSpaceDN/>
        <w:adjustRightInd/>
        <w:textAlignment w:val="auto"/>
        <w:rPr>
          <w:rFonts w:ascii="Calibri" w:hAnsi="Calibri" w:cs="Calibri"/>
          <w:bCs/>
          <w:sz w:val="18"/>
          <w:szCs w:val="18"/>
        </w:rPr>
      </w:pPr>
      <w:r w:rsidRPr="00193128">
        <w:rPr>
          <w:rFonts w:ascii="Calibri" w:hAnsi="Calibri" w:cs="Calibri"/>
          <w:bCs/>
          <w:sz w:val="18"/>
          <w:szCs w:val="18"/>
        </w:rPr>
        <w:t>55.</w:t>
      </w:r>
      <w:r>
        <w:rPr>
          <w:rFonts w:ascii="Calibri" w:hAnsi="Calibri" w:cs="Calibri"/>
          <w:bCs/>
          <w:sz w:val="18"/>
          <w:szCs w:val="18"/>
        </w:rPr>
        <w:t xml:space="preserve"> </w:t>
      </w:r>
      <w:r w:rsidRPr="00193128">
        <w:rPr>
          <w:rFonts w:ascii="Calibri" w:hAnsi="Calibri" w:cs="Calibri"/>
          <w:bCs/>
          <w:sz w:val="18"/>
          <w:szCs w:val="18"/>
        </w:rPr>
        <w:t>PN-EN 13589</w:t>
      </w:r>
      <w:r>
        <w:rPr>
          <w:rFonts w:ascii="Calibri" w:hAnsi="Calibri" w:cs="Calibri"/>
          <w:bCs/>
          <w:sz w:val="18"/>
          <w:szCs w:val="18"/>
        </w:rPr>
        <w:t xml:space="preserve"> </w:t>
      </w:r>
      <w:r w:rsidRPr="00193128">
        <w:rPr>
          <w:rFonts w:ascii="Calibri" w:hAnsi="Calibri" w:cs="Calibri"/>
          <w:bCs/>
          <w:sz w:val="18"/>
          <w:szCs w:val="18"/>
        </w:rPr>
        <w:t>Asfalty i lepiszcza asfaltowe – Oznaczanie ciągliwości modyfikowanych asfaltów – Metoda z duktylometrem</w:t>
      </w:r>
    </w:p>
    <w:p w14:paraId="595DA7B7" w14:textId="45AE6670" w:rsidR="00193128" w:rsidRPr="00193128" w:rsidRDefault="00193128" w:rsidP="00193128">
      <w:pPr>
        <w:overflowPunct/>
        <w:autoSpaceDE/>
        <w:autoSpaceDN/>
        <w:adjustRightInd/>
        <w:textAlignment w:val="auto"/>
        <w:rPr>
          <w:rFonts w:ascii="Calibri" w:hAnsi="Calibri" w:cs="Calibri"/>
          <w:bCs/>
          <w:sz w:val="18"/>
          <w:szCs w:val="18"/>
        </w:rPr>
      </w:pPr>
      <w:r w:rsidRPr="00193128">
        <w:rPr>
          <w:rFonts w:ascii="Calibri" w:hAnsi="Calibri" w:cs="Calibri"/>
          <w:bCs/>
          <w:sz w:val="18"/>
          <w:szCs w:val="18"/>
        </w:rPr>
        <w:t>56.</w:t>
      </w:r>
      <w:r>
        <w:rPr>
          <w:rFonts w:ascii="Calibri" w:hAnsi="Calibri" w:cs="Calibri"/>
          <w:bCs/>
          <w:sz w:val="18"/>
          <w:szCs w:val="18"/>
        </w:rPr>
        <w:t xml:space="preserve"> </w:t>
      </w:r>
      <w:r w:rsidRPr="00193128">
        <w:rPr>
          <w:rFonts w:ascii="Calibri" w:hAnsi="Calibri" w:cs="Calibri"/>
          <w:bCs/>
          <w:sz w:val="18"/>
          <w:szCs w:val="18"/>
        </w:rPr>
        <w:t>PN-EN 13614</w:t>
      </w:r>
      <w:r>
        <w:rPr>
          <w:rFonts w:ascii="Calibri" w:hAnsi="Calibri" w:cs="Calibri"/>
          <w:bCs/>
          <w:sz w:val="18"/>
          <w:szCs w:val="18"/>
        </w:rPr>
        <w:t xml:space="preserve"> </w:t>
      </w:r>
      <w:r w:rsidRPr="00193128">
        <w:rPr>
          <w:rFonts w:ascii="Calibri" w:hAnsi="Calibri" w:cs="Calibri"/>
          <w:bCs/>
          <w:sz w:val="18"/>
          <w:szCs w:val="18"/>
        </w:rPr>
        <w:t>Asfalty i lepiszcza asfaltowe – Oznaczanie przyczepności emulsji bitumicznych przez zanurzenie w wodzie – Metoda z kruszywem</w:t>
      </w:r>
    </w:p>
    <w:p w14:paraId="582E4252" w14:textId="1853658A" w:rsidR="00193128" w:rsidRPr="00193128" w:rsidRDefault="00193128" w:rsidP="00193128">
      <w:pPr>
        <w:overflowPunct/>
        <w:autoSpaceDE/>
        <w:autoSpaceDN/>
        <w:adjustRightInd/>
        <w:textAlignment w:val="auto"/>
        <w:rPr>
          <w:rFonts w:ascii="Calibri" w:hAnsi="Calibri" w:cs="Calibri"/>
          <w:bCs/>
          <w:sz w:val="18"/>
          <w:szCs w:val="18"/>
        </w:rPr>
      </w:pPr>
      <w:r w:rsidRPr="00193128">
        <w:rPr>
          <w:rFonts w:ascii="Calibri" w:hAnsi="Calibri" w:cs="Calibri"/>
          <w:bCs/>
          <w:sz w:val="18"/>
          <w:szCs w:val="18"/>
        </w:rPr>
        <w:t>57.</w:t>
      </w:r>
      <w:r>
        <w:rPr>
          <w:rFonts w:ascii="Calibri" w:hAnsi="Calibri" w:cs="Calibri"/>
          <w:bCs/>
          <w:sz w:val="18"/>
          <w:szCs w:val="18"/>
        </w:rPr>
        <w:t xml:space="preserve"> </w:t>
      </w:r>
      <w:r w:rsidRPr="00193128">
        <w:rPr>
          <w:rFonts w:ascii="Calibri" w:hAnsi="Calibri" w:cs="Calibri"/>
          <w:bCs/>
          <w:sz w:val="18"/>
          <w:szCs w:val="18"/>
        </w:rPr>
        <w:t>PN-EN 13703</w:t>
      </w:r>
      <w:r>
        <w:rPr>
          <w:rFonts w:ascii="Calibri" w:hAnsi="Calibri" w:cs="Calibri"/>
          <w:bCs/>
          <w:sz w:val="18"/>
          <w:szCs w:val="18"/>
        </w:rPr>
        <w:t xml:space="preserve"> </w:t>
      </w:r>
      <w:r w:rsidRPr="00193128">
        <w:rPr>
          <w:rFonts w:ascii="Calibri" w:hAnsi="Calibri" w:cs="Calibri"/>
          <w:bCs/>
          <w:sz w:val="18"/>
          <w:szCs w:val="18"/>
        </w:rPr>
        <w:t>Asfalty i lepiszcza asfaltowe – Oznaczanie energii deformacji</w:t>
      </w:r>
    </w:p>
    <w:p w14:paraId="0C40BA02" w14:textId="3B1F7F49" w:rsidR="00193128" w:rsidRPr="00193128" w:rsidRDefault="00193128" w:rsidP="00193128">
      <w:pPr>
        <w:overflowPunct/>
        <w:autoSpaceDE/>
        <w:autoSpaceDN/>
        <w:adjustRightInd/>
        <w:textAlignment w:val="auto"/>
        <w:rPr>
          <w:rFonts w:ascii="Calibri" w:hAnsi="Calibri" w:cs="Calibri"/>
          <w:bCs/>
          <w:sz w:val="18"/>
          <w:szCs w:val="18"/>
        </w:rPr>
      </w:pPr>
      <w:r w:rsidRPr="00193128">
        <w:rPr>
          <w:rFonts w:ascii="Calibri" w:hAnsi="Calibri" w:cs="Calibri"/>
          <w:bCs/>
          <w:sz w:val="18"/>
          <w:szCs w:val="18"/>
        </w:rPr>
        <w:t>58.</w:t>
      </w:r>
      <w:r>
        <w:rPr>
          <w:rFonts w:ascii="Calibri" w:hAnsi="Calibri" w:cs="Calibri"/>
          <w:bCs/>
          <w:sz w:val="18"/>
          <w:szCs w:val="18"/>
        </w:rPr>
        <w:t xml:space="preserve"> </w:t>
      </w:r>
      <w:r w:rsidRPr="00193128">
        <w:rPr>
          <w:rFonts w:ascii="Calibri" w:hAnsi="Calibri" w:cs="Calibri"/>
          <w:bCs/>
          <w:sz w:val="18"/>
          <w:szCs w:val="18"/>
        </w:rPr>
        <w:t>PN-EN 13808</w:t>
      </w:r>
      <w:r>
        <w:rPr>
          <w:rFonts w:ascii="Calibri" w:hAnsi="Calibri" w:cs="Calibri"/>
          <w:bCs/>
          <w:sz w:val="18"/>
          <w:szCs w:val="18"/>
        </w:rPr>
        <w:t xml:space="preserve"> </w:t>
      </w:r>
      <w:r w:rsidRPr="00193128">
        <w:rPr>
          <w:rFonts w:ascii="Calibri" w:hAnsi="Calibri" w:cs="Calibri"/>
          <w:bCs/>
          <w:sz w:val="18"/>
          <w:szCs w:val="18"/>
        </w:rPr>
        <w:t>Asfalty i lepiszcza asfaltowe – Zasady specyfikacji kationowych emulsji asfaltowych</w:t>
      </w:r>
    </w:p>
    <w:p w14:paraId="2D06BA96" w14:textId="04B31105" w:rsidR="00193128" w:rsidRPr="00193128" w:rsidRDefault="00193128" w:rsidP="00193128">
      <w:pPr>
        <w:overflowPunct/>
        <w:autoSpaceDE/>
        <w:autoSpaceDN/>
        <w:adjustRightInd/>
        <w:textAlignment w:val="auto"/>
        <w:rPr>
          <w:rFonts w:ascii="Calibri" w:hAnsi="Calibri" w:cs="Calibri"/>
          <w:bCs/>
          <w:sz w:val="18"/>
          <w:szCs w:val="18"/>
        </w:rPr>
      </w:pPr>
      <w:r w:rsidRPr="00193128">
        <w:rPr>
          <w:rFonts w:ascii="Calibri" w:hAnsi="Calibri" w:cs="Calibri"/>
          <w:bCs/>
          <w:sz w:val="18"/>
          <w:szCs w:val="18"/>
        </w:rPr>
        <w:t>59.</w:t>
      </w:r>
      <w:r>
        <w:rPr>
          <w:rFonts w:ascii="Calibri" w:hAnsi="Calibri" w:cs="Calibri"/>
          <w:bCs/>
          <w:sz w:val="18"/>
          <w:szCs w:val="18"/>
        </w:rPr>
        <w:t xml:space="preserve"> </w:t>
      </w:r>
      <w:r w:rsidRPr="00193128">
        <w:rPr>
          <w:rFonts w:ascii="Calibri" w:hAnsi="Calibri" w:cs="Calibri"/>
          <w:bCs/>
          <w:sz w:val="18"/>
          <w:szCs w:val="18"/>
        </w:rPr>
        <w:t>PN-EN 14023</w:t>
      </w:r>
      <w:r>
        <w:rPr>
          <w:rFonts w:ascii="Calibri" w:hAnsi="Calibri" w:cs="Calibri"/>
          <w:bCs/>
          <w:sz w:val="18"/>
          <w:szCs w:val="18"/>
        </w:rPr>
        <w:t xml:space="preserve"> </w:t>
      </w:r>
      <w:r w:rsidRPr="00193128">
        <w:rPr>
          <w:rFonts w:ascii="Calibri" w:hAnsi="Calibri" w:cs="Calibri"/>
          <w:bCs/>
          <w:sz w:val="18"/>
          <w:szCs w:val="18"/>
        </w:rPr>
        <w:t>Asfalty i lepiszcza asfaltowe – Zasady specyfikacji asfaltów modyfikowanych polimerami</w:t>
      </w:r>
    </w:p>
    <w:p w14:paraId="33099404" w14:textId="69DB1582" w:rsidR="00193128" w:rsidRPr="00193128" w:rsidRDefault="00193128" w:rsidP="00193128">
      <w:pPr>
        <w:overflowPunct/>
        <w:autoSpaceDE/>
        <w:autoSpaceDN/>
        <w:adjustRightInd/>
        <w:textAlignment w:val="auto"/>
        <w:rPr>
          <w:rFonts w:ascii="Calibri" w:hAnsi="Calibri" w:cs="Calibri"/>
          <w:bCs/>
          <w:sz w:val="18"/>
          <w:szCs w:val="18"/>
        </w:rPr>
      </w:pPr>
      <w:r w:rsidRPr="00193128">
        <w:rPr>
          <w:rFonts w:ascii="Calibri" w:hAnsi="Calibri" w:cs="Calibri"/>
          <w:bCs/>
          <w:sz w:val="18"/>
          <w:szCs w:val="18"/>
        </w:rPr>
        <w:t>60.</w:t>
      </w:r>
      <w:r>
        <w:rPr>
          <w:rFonts w:ascii="Calibri" w:hAnsi="Calibri" w:cs="Calibri"/>
          <w:bCs/>
          <w:sz w:val="18"/>
          <w:szCs w:val="18"/>
        </w:rPr>
        <w:t xml:space="preserve"> </w:t>
      </w:r>
      <w:r w:rsidRPr="00193128">
        <w:rPr>
          <w:rFonts w:ascii="Calibri" w:hAnsi="Calibri" w:cs="Calibri"/>
          <w:bCs/>
          <w:sz w:val="18"/>
          <w:szCs w:val="18"/>
        </w:rPr>
        <w:t>PN-EN 14188-1</w:t>
      </w:r>
      <w:r>
        <w:rPr>
          <w:rFonts w:ascii="Calibri" w:hAnsi="Calibri" w:cs="Calibri"/>
          <w:bCs/>
          <w:sz w:val="18"/>
          <w:szCs w:val="18"/>
        </w:rPr>
        <w:t xml:space="preserve"> </w:t>
      </w:r>
      <w:r w:rsidRPr="00193128">
        <w:rPr>
          <w:rFonts w:ascii="Calibri" w:hAnsi="Calibri" w:cs="Calibri"/>
          <w:bCs/>
          <w:sz w:val="18"/>
          <w:szCs w:val="18"/>
        </w:rPr>
        <w:t>Wypełniacze złączy i zalewy – Część 1: Specyfikacja zalew na gorąco</w:t>
      </w:r>
    </w:p>
    <w:p w14:paraId="023323BF" w14:textId="1E27EFED" w:rsidR="00193128" w:rsidRPr="00193128" w:rsidRDefault="00193128" w:rsidP="00193128">
      <w:pPr>
        <w:overflowPunct/>
        <w:autoSpaceDE/>
        <w:autoSpaceDN/>
        <w:adjustRightInd/>
        <w:textAlignment w:val="auto"/>
        <w:rPr>
          <w:rFonts w:ascii="Calibri" w:hAnsi="Calibri" w:cs="Calibri"/>
          <w:bCs/>
          <w:sz w:val="18"/>
          <w:szCs w:val="18"/>
        </w:rPr>
      </w:pPr>
      <w:r w:rsidRPr="00193128">
        <w:rPr>
          <w:rFonts w:ascii="Calibri" w:hAnsi="Calibri" w:cs="Calibri"/>
          <w:bCs/>
          <w:sz w:val="18"/>
          <w:szCs w:val="18"/>
        </w:rPr>
        <w:t>61.</w:t>
      </w:r>
      <w:r>
        <w:rPr>
          <w:rFonts w:ascii="Calibri" w:hAnsi="Calibri" w:cs="Calibri"/>
          <w:bCs/>
          <w:sz w:val="18"/>
          <w:szCs w:val="18"/>
        </w:rPr>
        <w:t xml:space="preserve"> </w:t>
      </w:r>
      <w:r w:rsidRPr="00193128">
        <w:rPr>
          <w:rFonts w:ascii="Calibri" w:hAnsi="Calibri" w:cs="Calibri"/>
          <w:bCs/>
          <w:sz w:val="18"/>
          <w:szCs w:val="18"/>
        </w:rPr>
        <w:t>PN-EN 14188-2</w:t>
      </w:r>
      <w:r>
        <w:rPr>
          <w:rFonts w:ascii="Calibri" w:hAnsi="Calibri" w:cs="Calibri"/>
          <w:bCs/>
          <w:sz w:val="18"/>
          <w:szCs w:val="18"/>
        </w:rPr>
        <w:t xml:space="preserve"> </w:t>
      </w:r>
      <w:r w:rsidRPr="00193128">
        <w:rPr>
          <w:rFonts w:ascii="Calibri" w:hAnsi="Calibri" w:cs="Calibri"/>
          <w:bCs/>
          <w:sz w:val="18"/>
          <w:szCs w:val="18"/>
        </w:rPr>
        <w:t>Wypełniacze złączy i zalewy – Część 2: Specyfikacja zalew na zimno</w:t>
      </w:r>
    </w:p>
    <w:p w14:paraId="347B3C59" w14:textId="4414175E" w:rsidR="00193128" w:rsidRPr="00193128" w:rsidRDefault="00193128" w:rsidP="00193128">
      <w:pPr>
        <w:overflowPunct/>
        <w:autoSpaceDE/>
        <w:autoSpaceDN/>
        <w:adjustRightInd/>
        <w:textAlignment w:val="auto"/>
        <w:rPr>
          <w:rFonts w:ascii="Calibri" w:hAnsi="Calibri" w:cs="Calibri"/>
          <w:bCs/>
          <w:sz w:val="18"/>
          <w:szCs w:val="18"/>
        </w:rPr>
      </w:pPr>
      <w:r w:rsidRPr="00193128">
        <w:rPr>
          <w:rFonts w:ascii="Calibri" w:hAnsi="Calibri" w:cs="Calibri"/>
          <w:bCs/>
          <w:sz w:val="18"/>
          <w:szCs w:val="18"/>
        </w:rPr>
        <w:t>62.</w:t>
      </w:r>
      <w:r>
        <w:rPr>
          <w:rFonts w:ascii="Calibri" w:hAnsi="Calibri" w:cs="Calibri"/>
          <w:bCs/>
          <w:sz w:val="18"/>
          <w:szCs w:val="18"/>
        </w:rPr>
        <w:t xml:space="preserve"> </w:t>
      </w:r>
      <w:r w:rsidRPr="00193128">
        <w:rPr>
          <w:rFonts w:ascii="Calibri" w:hAnsi="Calibri" w:cs="Calibri"/>
          <w:bCs/>
          <w:sz w:val="18"/>
          <w:szCs w:val="18"/>
        </w:rPr>
        <w:t>PN-EN 22592</w:t>
      </w:r>
      <w:r>
        <w:rPr>
          <w:rFonts w:ascii="Calibri" w:hAnsi="Calibri" w:cs="Calibri"/>
          <w:bCs/>
          <w:sz w:val="18"/>
          <w:szCs w:val="18"/>
        </w:rPr>
        <w:t xml:space="preserve"> </w:t>
      </w:r>
      <w:r w:rsidRPr="00193128">
        <w:rPr>
          <w:rFonts w:ascii="Calibri" w:hAnsi="Calibri" w:cs="Calibri"/>
          <w:bCs/>
          <w:sz w:val="18"/>
          <w:szCs w:val="18"/>
        </w:rPr>
        <w:t>Przetwory naftowe – Oznaczanie temperatury zapłonu i palenia – Pomiar metodą otwartego tygla Clevelanda</w:t>
      </w:r>
    </w:p>
    <w:p w14:paraId="64915BB9" w14:textId="2F15049B" w:rsidR="008F79AE" w:rsidRDefault="00193128" w:rsidP="00193128">
      <w:pPr>
        <w:overflowPunct/>
        <w:autoSpaceDE/>
        <w:autoSpaceDN/>
        <w:adjustRightInd/>
        <w:textAlignment w:val="auto"/>
        <w:rPr>
          <w:rFonts w:ascii="Calibri" w:hAnsi="Calibri" w:cs="Calibri"/>
          <w:bCs/>
          <w:sz w:val="18"/>
          <w:szCs w:val="18"/>
        </w:rPr>
      </w:pPr>
      <w:r w:rsidRPr="00193128">
        <w:rPr>
          <w:rFonts w:ascii="Calibri" w:hAnsi="Calibri" w:cs="Calibri"/>
          <w:bCs/>
          <w:sz w:val="18"/>
          <w:szCs w:val="18"/>
        </w:rPr>
        <w:t>63.</w:t>
      </w:r>
      <w:r>
        <w:rPr>
          <w:rFonts w:ascii="Calibri" w:hAnsi="Calibri" w:cs="Calibri"/>
          <w:bCs/>
          <w:sz w:val="18"/>
          <w:szCs w:val="18"/>
        </w:rPr>
        <w:t xml:space="preserve"> </w:t>
      </w:r>
      <w:r w:rsidRPr="00193128">
        <w:rPr>
          <w:rFonts w:ascii="Calibri" w:hAnsi="Calibri" w:cs="Calibri"/>
          <w:bCs/>
          <w:sz w:val="18"/>
          <w:szCs w:val="18"/>
        </w:rPr>
        <w:t>PN-EN ISO 2592</w:t>
      </w:r>
      <w:r>
        <w:rPr>
          <w:rFonts w:ascii="Calibri" w:hAnsi="Calibri" w:cs="Calibri"/>
          <w:bCs/>
          <w:sz w:val="18"/>
          <w:szCs w:val="18"/>
        </w:rPr>
        <w:t xml:space="preserve"> </w:t>
      </w:r>
      <w:r w:rsidRPr="00193128">
        <w:rPr>
          <w:rFonts w:ascii="Calibri" w:hAnsi="Calibri" w:cs="Calibri"/>
          <w:bCs/>
          <w:sz w:val="18"/>
          <w:szCs w:val="18"/>
        </w:rPr>
        <w:t>Oznaczanie temperatury zapłonu i palenia – Metoda otwartego tygla Clevelanda</w:t>
      </w:r>
    </w:p>
    <w:p w14:paraId="56804A80" w14:textId="77777777" w:rsidR="00193128" w:rsidRDefault="00193128" w:rsidP="00193128">
      <w:pPr>
        <w:overflowPunct/>
        <w:autoSpaceDE/>
        <w:autoSpaceDN/>
        <w:adjustRightInd/>
        <w:textAlignment w:val="auto"/>
        <w:rPr>
          <w:rFonts w:ascii="Calibri" w:hAnsi="Calibri" w:cs="Calibri"/>
          <w:bCs/>
          <w:sz w:val="18"/>
          <w:szCs w:val="18"/>
        </w:rPr>
      </w:pPr>
    </w:p>
    <w:p w14:paraId="3A4CA299" w14:textId="77777777" w:rsidR="00193128" w:rsidRPr="00193128" w:rsidRDefault="00193128" w:rsidP="00193128">
      <w:pPr>
        <w:overflowPunct/>
        <w:autoSpaceDE/>
        <w:autoSpaceDN/>
        <w:adjustRightInd/>
        <w:textAlignment w:val="auto"/>
        <w:rPr>
          <w:rFonts w:ascii="Calibri" w:hAnsi="Calibri" w:cs="Calibri"/>
          <w:b/>
          <w:sz w:val="18"/>
          <w:szCs w:val="18"/>
        </w:rPr>
      </w:pPr>
      <w:r w:rsidRPr="00193128">
        <w:rPr>
          <w:rFonts w:ascii="Calibri" w:hAnsi="Calibri" w:cs="Calibri"/>
          <w:b/>
          <w:sz w:val="18"/>
          <w:szCs w:val="18"/>
        </w:rPr>
        <w:t xml:space="preserve">10.3. Wymagania techniczne (rekomendowane przez Ministra Infrastruktury) </w:t>
      </w:r>
    </w:p>
    <w:p w14:paraId="2906AAF0" w14:textId="77777777" w:rsidR="00193128" w:rsidRPr="00193128" w:rsidRDefault="00193128" w:rsidP="00193128">
      <w:pPr>
        <w:overflowPunct/>
        <w:autoSpaceDE/>
        <w:autoSpaceDN/>
        <w:adjustRightInd/>
        <w:textAlignment w:val="auto"/>
        <w:rPr>
          <w:rFonts w:ascii="Calibri" w:hAnsi="Calibri" w:cs="Calibri"/>
          <w:bCs/>
          <w:sz w:val="18"/>
          <w:szCs w:val="18"/>
        </w:rPr>
      </w:pPr>
      <w:r w:rsidRPr="00193128">
        <w:rPr>
          <w:rFonts w:ascii="Calibri" w:hAnsi="Calibri" w:cs="Calibri"/>
          <w:bCs/>
          <w:sz w:val="18"/>
          <w:szCs w:val="18"/>
        </w:rPr>
        <w:t xml:space="preserve">64. WT-1 Kruszywa 2008. Kruszywa do mieszanek mineralno-asfaltowych i powierzchniowych utrwaleń na drogach publicznych, Warszawa 2008 </w:t>
      </w:r>
    </w:p>
    <w:p w14:paraId="7FD88D7A" w14:textId="77777777" w:rsidR="00193128" w:rsidRPr="00193128" w:rsidRDefault="00193128" w:rsidP="00193128">
      <w:pPr>
        <w:overflowPunct/>
        <w:autoSpaceDE/>
        <w:autoSpaceDN/>
        <w:adjustRightInd/>
        <w:textAlignment w:val="auto"/>
        <w:rPr>
          <w:rFonts w:ascii="Calibri" w:hAnsi="Calibri" w:cs="Calibri"/>
          <w:bCs/>
          <w:sz w:val="18"/>
          <w:szCs w:val="18"/>
        </w:rPr>
      </w:pPr>
      <w:r w:rsidRPr="00193128">
        <w:rPr>
          <w:rFonts w:ascii="Calibri" w:hAnsi="Calibri" w:cs="Calibri"/>
          <w:bCs/>
          <w:sz w:val="18"/>
          <w:szCs w:val="18"/>
        </w:rPr>
        <w:t xml:space="preserve">65. WT-3 Emulsje asfaltowe 2009. Kationowe emulsje asfaltowe na drogach publicznych </w:t>
      </w:r>
    </w:p>
    <w:p w14:paraId="49E4A81D" w14:textId="77777777" w:rsidR="00193128" w:rsidRPr="00193128" w:rsidRDefault="00193128" w:rsidP="00193128">
      <w:pPr>
        <w:overflowPunct/>
        <w:autoSpaceDE/>
        <w:autoSpaceDN/>
        <w:adjustRightInd/>
        <w:textAlignment w:val="auto"/>
        <w:rPr>
          <w:rFonts w:ascii="Calibri" w:hAnsi="Calibri" w:cs="Calibri"/>
          <w:bCs/>
          <w:sz w:val="18"/>
          <w:szCs w:val="18"/>
        </w:rPr>
      </w:pPr>
    </w:p>
    <w:p w14:paraId="6A4720B9" w14:textId="77777777" w:rsidR="00193128" w:rsidRPr="00193128" w:rsidRDefault="00193128" w:rsidP="00193128">
      <w:pPr>
        <w:overflowPunct/>
        <w:autoSpaceDE/>
        <w:autoSpaceDN/>
        <w:adjustRightInd/>
        <w:textAlignment w:val="auto"/>
        <w:rPr>
          <w:rFonts w:ascii="Calibri" w:hAnsi="Calibri" w:cs="Calibri"/>
          <w:b/>
          <w:sz w:val="18"/>
          <w:szCs w:val="18"/>
        </w:rPr>
      </w:pPr>
      <w:r w:rsidRPr="00193128">
        <w:rPr>
          <w:rFonts w:ascii="Calibri" w:hAnsi="Calibri" w:cs="Calibri"/>
          <w:b/>
          <w:sz w:val="18"/>
          <w:szCs w:val="18"/>
        </w:rPr>
        <w:t xml:space="preserve">10.4. Inne dokumenty </w:t>
      </w:r>
    </w:p>
    <w:p w14:paraId="45BF58BC" w14:textId="77777777" w:rsidR="00193128" w:rsidRPr="00193128" w:rsidRDefault="00193128" w:rsidP="00193128">
      <w:pPr>
        <w:overflowPunct/>
        <w:autoSpaceDE/>
        <w:autoSpaceDN/>
        <w:adjustRightInd/>
        <w:textAlignment w:val="auto"/>
        <w:rPr>
          <w:rFonts w:ascii="Calibri" w:hAnsi="Calibri" w:cs="Calibri"/>
          <w:bCs/>
          <w:sz w:val="18"/>
          <w:szCs w:val="18"/>
        </w:rPr>
      </w:pPr>
      <w:r w:rsidRPr="00193128">
        <w:rPr>
          <w:rFonts w:ascii="Calibri" w:hAnsi="Calibri" w:cs="Calibri"/>
          <w:bCs/>
          <w:sz w:val="18"/>
          <w:szCs w:val="18"/>
        </w:rPr>
        <w:t xml:space="preserve">67. Rozporządzenie Ministra Transportu i Gospodarki Morskiej z dnia 2 marca 1999 r. w sprawie warunków technicznych, jakim powinny odpowiadać drogi publiczne i ich usytuowanie (Dz.U. nr 43, poz. 430) </w:t>
      </w:r>
    </w:p>
    <w:p w14:paraId="3FF18C4D" w14:textId="16577DEB" w:rsidR="00193128" w:rsidRPr="00193128" w:rsidRDefault="00193128" w:rsidP="00193128">
      <w:pPr>
        <w:overflowPunct/>
        <w:autoSpaceDE/>
        <w:autoSpaceDN/>
        <w:adjustRightInd/>
        <w:textAlignment w:val="auto"/>
        <w:rPr>
          <w:rFonts w:ascii="Calibri" w:hAnsi="Calibri" w:cs="Calibri"/>
          <w:bCs/>
          <w:sz w:val="18"/>
          <w:szCs w:val="18"/>
        </w:rPr>
      </w:pPr>
      <w:r w:rsidRPr="00193128">
        <w:rPr>
          <w:rFonts w:ascii="Calibri" w:hAnsi="Calibri" w:cs="Calibri"/>
          <w:bCs/>
          <w:sz w:val="18"/>
          <w:szCs w:val="18"/>
        </w:rPr>
        <w:t xml:space="preserve">68. Katalog typowych konstrukcji nawierzchni podatnych i półsztywnych. Generalna Dyrekcja Dróg Publicznych – Instytut Badawczy Dróg i Mostów, Warszawa 1997 </w:t>
      </w:r>
    </w:p>
    <w:p w14:paraId="2AC7EE34" w14:textId="30A030D4" w:rsidR="008F79AE" w:rsidRPr="00193128" w:rsidRDefault="00193128" w:rsidP="00193128">
      <w:pPr>
        <w:overflowPunct/>
        <w:autoSpaceDE/>
        <w:autoSpaceDN/>
        <w:adjustRightInd/>
        <w:textAlignment w:val="auto"/>
        <w:rPr>
          <w:rFonts w:ascii="Calibri" w:hAnsi="Calibri" w:cs="Calibri"/>
          <w:bCs/>
          <w:sz w:val="18"/>
          <w:szCs w:val="18"/>
        </w:rPr>
      </w:pPr>
      <w:r w:rsidRPr="00193128">
        <w:rPr>
          <w:rFonts w:ascii="Calibri" w:hAnsi="Calibri" w:cs="Calibri"/>
          <w:bCs/>
          <w:sz w:val="18"/>
          <w:szCs w:val="18"/>
        </w:rPr>
        <w:t>69. Odpowiednie dokumenty wymienione w rozdziale II - części informacyjnej Programu Funkcjonalno Użytkowego</w:t>
      </w:r>
    </w:p>
    <w:p w14:paraId="44AD953F" w14:textId="77777777" w:rsidR="008F79AE" w:rsidRDefault="008F79AE" w:rsidP="00193128">
      <w:pPr>
        <w:overflowPunct/>
        <w:autoSpaceDE/>
        <w:autoSpaceDN/>
        <w:adjustRightInd/>
        <w:textAlignment w:val="auto"/>
        <w:rPr>
          <w:rFonts w:ascii="Calibri" w:hAnsi="Calibri" w:cs="Calibri"/>
          <w:b/>
          <w:sz w:val="22"/>
          <w:szCs w:val="22"/>
        </w:rPr>
      </w:pPr>
    </w:p>
    <w:p w14:paraId="3057981D" w14:textId="77777777" w:rsidR="0063381D" w:rsidRDefault="0063381D" w:rsidP="002146B0">
      <w:pPr>
        <w:overflowPunct/>
        <w:autoSpaceDE/>
        <w:autoSpaceDN/>
        <w:adjustRightInd/>
        <w:jc w:val="left"/>
        <w:textAlignment w:val="auto"/>
        <w:rPr>
          <w:rFonts w:ascii="Calibri" w:hAnsi="Calibri" w:cs="Calibri"/>
          <w:b/>
          <w:sz w:val="22"/>
          <w:szCs w:val="22"/>
        </w:rPr>
      </w:pPr>
    </w:p>
    <w:p w14:paraId="06A4EC77" w14:textId="77777777" w:rsidR="0063381D" w:rsidRDefault="0063381D" w:rsidP="002146B0">
      <w:pPr>
        <w:overflowPunct/>
        <w:autoSpaceDE/>
        <w:autoSpaceDN/>
        <w:adjustRightInd/>
        <w:jc w:val="left"/>
        <w:textAlignment w:val="auto"/>
        <w:rPr>
          <w:rFonts w:ascii="Calibri" w:hAnsi="Calibri" w:cs="Calibri"/>
          <w:b/>
          <w:sz w:val="22"/>
          <w:szCs w:val="22"/>
        </w:rPr>
      </w:pPr>
    </w:p>
    <w:p w14:paraId="08E9BF4B" w14:textId="77777777" w:rsidR="0063381D" w:rsidRDefault="0063381D" w:rsidP="002146B0">
      <w:pPr>
        <w:overflowPunct/>
        <w:autoSpaceDE/>
        <w:autoSpaceDN/>
        <w:adjustRightInd/>
        <w:jc w:val="left"/>
        <w:textAlignment w:val="auto"/>
        <w:rPr>
          <w:rFonts w:ascii="Calibri" w:hAnsi="Calibri" w:cs="Calibri"/>
          <w:b/>
          <w:sz w:val="22"/>
          <w:szCs w:val="22"/>
        </w:rPr>
      </w:pPr>
    </w:p>
    <w:p w14:paraId="15BC603E" w14:textId="77777777" w:rsidR="0063381D" w:rsidRDefault="0063381D" w:rsidP="002146B0">
      <w:pPr>
        <w:overflowPunct/>
        <w:autoSpaceDE/>
        <w:autoSpaceDN/>
        <w:adjustRightInd/>
        <w:jc w:val="left"/>
        <w:textAlignment w:val="auto"/>
        <w:rPr>
          <w:rFonts w:ascii="Calibri" w:hAnsi="Calibri" w:cs="Calibri"/>
          <w:b/>
          <w:sz w:val="22"/>
          <w:szCs w:val="22"/>
        </w:rPr>
      </w:pPr>
    </w:p>
    <w:p w14:paraId="78A319DA" w14:textId="77777777" w:rsidR="0063381D" w:rsidRDefault="0063381D" w:rsidP="002146B0">
      <w:pPr>
        <w:overflowPunct/>
        <w:autoSpaceDE/>
        <w:autoSpaceDN/>
        <w:adjustRightInd/>
        <w:jc w:val="left"/>
        <w:textAlignment w:val="auto"/>
        <w:rPr>
          <w:rFonts w:ascii="Calibri" w:hAnsi="Calibri" w:cs="Calibri"/>
          <w:b/>
          <w:sz w:val="22"/>
          <w:szCs w:val="22"/>
        </w:rPr>
      </w:pPr>
    </w:p>
    <w:p w14:paraId="0BBE0D9D" w14:textId="77777777" w:rsidR="0063381D" w:rsidRPr="00B525BF" w:rsidRDefault="0063381D" w:rsidP="002146B0">
      <w:pPr>
        <w:overflowPunct/>
        <w:autoSpaceDE/>
        <w:autoSpaceDN/>
        <w:adjustRightInd/>
        <w:jc w:val="left"/>
        <w:textAlignment w:val="auto"/>
        <w:rPr>
          <w:rFonts w:ascii="Calibri" w:hAnsi="Calibri" w:cs="Calibri"/>
          <w:b/>
          <w:sz w:val="22"/>
          <w:szCs w:val="22"/>
        </w:rPr>
      </w:pPr>
    </w:p>
    <w:p w14:paraId="7A84E9A6" w14:textId="77777777" w:rsidR="00786904" w:rsidRPr="00B525BF" w:rsidRDefault="00786904" w:rsidP="002146B0">
      <w:pPr>
        <w:overflowPunct/>
        <w:autoSpaceDE/>
        <w:autoSpaceDN/>
        <w:adjustRightInd/>
        <w:jc w:val="left"/>
        <w:textAlignment w:val="auto"/>
        <w:rPr>
          <w:rFonts w:ascii="Calibri" w:hAnsi="Calibri" w:cs="Calibri"/>
          <w:b/>
          <w:sz w:val="22"/>
          <w:szCs w:val="22"/>
        </w:rPr>
      </w:pPr>
    </w:p>
    <w:p w14:paraId="401562E3" w14:textId="77777777" w:rsidR="00786904" w:rsidRPr="00B525BF" w:rsidRDefault="00786904" w:rsidP="002146B0">
      <w:pPr>
        <w:overflowPunct/>
        <w:autoSpaceDE/>
        <w:autoSpaceDN/>
        <w:adjustRightInd/>
        <w:jc w:val="left"/>
        <w:textAlignment w:val="auto"/>
        <w:rPr>
          <w:rFonts w:ascii="Calibri" w:hAnsi="Calibri" w:cs="Calibri"/>
          <w:b/>
          <w:sz w:val="22"/>
          <w:szCs w:val="22"/>
        </w:rPr>
      </w:pPr>
    </w:p>
    <w:p w14:paraId="29A9E954" w14:textId="77777777" w:rsidR="00786904" w:rsidRPr="00B525BF" w:rsidRDefault="00786904" w:rsidP="002146B0">
      <w:pPr>
        <w:overflowPunct/>
        <w:autoSpaceDE/>
        <w:autoSpaceDN/>
        <w:adjustRightInd/>
        <w:jc w:val="left"/>
        <w:textAlignment w:val="auto"/>
        <w:rPr>
          <w:rFonts w:ascii="Calibri" w:hAnsi="Calibri" w:cs="Calibri"/>
          <w:b/>
          <w:sz w:val="22"/>
          <w:szCs w:val="22"/>
        </w:rPr>
      </w:pPr>
    </w:p>
    <w:p w14:paraId="3365EF48" w14:textId="77777777" w:rsidR="00786904" w:rsidRPr="00B525BF" w:rsidRDefault="00786904" w:rsidP="002146B0">
      <w:pPr>
        <w:overflowPunct/>
        <w:autoSpaceDE/>
        <w:autoSpaceDN/>
        <w:adjustRightInd/>
        <w:jc w:val="left"/>
        <w:textAlignment w:val="auto"/>
        <w:rPr>
          <w:rFonts w:ascii="Calibri" w:hAnsi="Calibri" w:cs="Calibri"/>
          <w:b/>
          <w:sz w:val="22"/>
          <w:szCs w:val="22"/>
        </w:rPr>
      </w:pPr>
    </w:p>
    <w:p w14:paraId="5019A388" w14:textId="77777777" w:rsidR="00786904" w:rsidRPr="00B525BF" w:rsidRDefault="00786904" w:rsidP="002146B0">
      <w:pPr>
        <w:overflowPunct/>
        <w:autoSpaceDE/>
        <w:autoSpaceDN/>
        <w:adjustRightInd/>
        <w:jc w:val="left"/>
        <w:textAlignment w:val="auto"/>
        <w:rPr>
          <w:rFonts w:ascii="Calibri" w:hAnsi="Calibri" w:cs="Calibri"/>
          <w:b/>
          <w:sz w:val="22"/>
          <w:szCs w:val="22"/>
        </w:rPr>
      </w:pPr>
    </w:p>
    <w:p w14:paraId="53938A5C" w14:textId="77777777" w:rsidR="00786904" w:rsidRDefault="00786904" w:rsidP="002146B0">
      <w:pPr>
        <w:overflowPunct/>
        <w:autoSpaceDE/>
        <w:autoSpaceDN/>
        <w:adjustRightInd/>
        <w:jc w:val="left"/>
        <w:textAlignment w:val="auto"/>
        <w:rPr>
          <w:rFonts w:ascii="Calibri" w:hAnsi="Calibri" w:cs="Calibri"/>
          <w:b/>
          <w:sz w:val="22"/>
          <w:szCs w:val="22"/>
        </w:rPr>
      </w:pPr>
    </w:p>
    <w:p w14:paraId="74B47193" w14:textId="77777777" w:rsidR="00333449" w:rsidRDefault="00333449" w:rsidP="002146B0">
      <w:pPr>
        <w:overflowPunct/>
        <w:autoSpaceDE/>
        <w:autoSpaceDN/>
        <w:adjustRightInd/>
        <w:jc w:val="left"/>
        <w:textAlignment w:val="auto"/>
        <w:rPr>
          <w:rFonts w:ascii="Calibri" w:hAnsi="Calibri" w:cs="Calibri"/>
          <w:b/>
          <w:sz w:val="22"/>
          <w:szCs w:val="22"/>
        </w:rPr>
      </w:pPr>
    </w:p>
    <w:p w14:paraId="706570A5" w14:textId="77777777" w:rsidR="00333449" w:rsidRDefault="00333449" w:rsidP="002146B0">
      <w:pPr>
        <w:overflowPunct/>
        <w:autoSpaceDE/>
        <w:autoSpaceDN/>
        <w:adjustRightInd/>
        <w:jc w:val="left"/>
        <w:textAlignment w:val="auto"/>
        <w:rPr>
          <w:rFonts w:ascii="Calibri" w:hAnsi="Calibri" w:cs="Calibri"/>
          <w:b/>
          <w:sz w:val="22"/>
          <w:szCs w:val="22"/>
        </w:rPr>
      </w:pPr>
    </w:p>
    <w:p w14:paraId="42A41730" w14:textId="77777777" w:rsidR="00333449" w:rsidRDefault="00333449" w:rsidP="002146B0">
      <w:pPr>
        <w:overflowPunct/>
        <w:autoSpaceDE/>
        <w:autoSpaceDN/>
        <w:adjustRightInd/>
        <w:jc w:val="left"/>
        <w:textAlignment w:val="auto"/>
        <w:rPr>
          <w:rFonts w:ascii="Calibri" w:hAnsi="Calibri" w:cs="Calibri"/>
          <w:b/>
          <w:sz w:val="22"/>
          <w:szCs w:val="22"/>
        </w:rPr>
      </w:pPr>
    </w:p>
    <w:p w14:paraId="0D1FF477" w14:textId="77777777" w:rsidR="00333449" w:rsidRDefault="00333449" w:rsidP="002146B0">
      <w:pPr>
        <w:overflowPunct/>
        <w:autoSpaceDE/>
        <w:autoSpaceDN/>
        <w:adjustRightInd/>
        <w:jc w:val="left"/>
        <w:textAlignment w:val="auto"/>
        <w:rPr>
          <w:rFonts w:ascii="Calibri" w:hAnsi="Calibri" w:cs="Calibri"/>
          <w:b/>
          <w:sz w:val="22"/>
          <w:szCs w:val="22"/>
        </w:rPr>
      </w:pPr>
    </w:p>
    <w:p w14:paraId="71B20A81" w14:textId="77777777" w:rsidR="00333449" w:rsidRDefault="00333449" w:rsidP="002146B0">
      <w:pPr>
        <w:overflowPunct/>
        <w:autoSpaceDE/>
        <w:autoSpaceDN/>
        <w:adjustRightInd/>
        <w:jc w:val="left"/>
        <w:textAlignment w:val="auto"/>
        <w:rPr>
          <w:rFonts w:ascii="Calibri" w:hAnsi="Calibri" w:cs="Calibri"/>
          <w:b/>
          <w:sz w:val="22"/>
          <w:szCs w:val="22"/>
        </w:rPr>
      </w:pPr>
    </w:p>
    <w:p w14:paraId="6E8119F4" w14:textId="77777777" w:rsidR="00333449" w:rsidRDefault="00333449" w:rsidP="002146B0">
      <w:pPr>
        <w:overflowPunct/>
        <w:autoSpaceDE/>
        <w:autoSpaceDN/>
        <w:adjustRightInd/>
        <w:jc w:val="left"/>
        <w:textAlignment w:val="auto"/>
        <w:rPr>
          <w:rFonts w:ascii="Calibri" w:hAnsi="Calibri" w:cs="Calibri"/>
          <w:b/>
          <w:sz w:val="22"/>
          <w:szCs w:val="22"/>
        </w:rPr>
      </w:pPr>
    </w:p>
    <w:p w14:paraId="118B3F5B" w14:textId="77777777" w:rsidR="00333449" w:rsidRDefault="00333449" w:rsidP="002146B0">
      <w:pPr>
        <w:overflowPunct/>
        <w:autoSpaceDE/>
        <w:autoSpaceDN/>
        <w:adjustRightInd/>
        <w:jc w:val="left"/>
        <w:textAlignment w:val="auto"/>
        <w:rPr>
          <w:rFonts w:ascii="Calibri" w:hAnsi="Calibri" w:cs="Calibri"/>
          <w:b/>
          <w:sz w:val="22"/>
          <w:szCs w:val="22"/>
        </w:rPr>
      </w:pPr>
    </w:p>
    <w:p w14:paraId="6FCFBFA4" w14:textId="77777777" w:rsidR="00333449" w:rsidRDefault="00333449" w:rsidP="002146B0">
      <w:pPr>
        <w:overflowPunct/>
        <w:autoSpaceDE/>
        <w:autoSpaceDN/>
        <w:adjustRightInd/>
        <w:jc w:val="left"/>
        <w:textAlignment w:val="auto"/>
        <w:rPr>
          <w:rFonts w:ascii="Calibri" w:hAnsi="Calibri" w:cs="Calibri"/>
          <w:b/>
          <w:sz w:val="22"/>
          <w:szCs w:val="22"/>
        </w:rPr>
      </w:pPr>
    </w:p>
    <w:p w14:paraId="3298B84F" w14:textId="77777777" w:rsidR="00333449" w:rsidRDefault="00333449" w:rsidP="002146B0">
      <w:pPr>
        <w:overflowPunct/>
        <w:autoSpaceDE/>
        <w:autoSpaceDN/>
        <w:adjustRightInd/>
        <w:jc w:val="left"/>
        <w:textAlignment w:val="auto"/>
        <w:rPr>
          <w:rFonts w:ascii="Calibri" w:hAnsi="Calibri" w:cs="Calibri"/>
          <w:b/>
          <w:sz w:val="22"/>
          <w:szCs w:val="22"/>
        </w:rPr>
      </w:pPr>
    </w:p>
    <w:p w14:paraId="5E111247" w14:textId="77777777" w:rsidR="00333449" w:rsidRDefault="00333449" w:rsidP="002146B0">
      <w:pPr>
        <w:overflowPunct/>
        <w:autoSpaceDE/>
        <w:autoSpaceDN/>
        <w:adjustRightInd/>
        <w:jc w:val="left"/>
        <w:textAlignment w:val="auto"/>
        <w:rPr>
          <w:rFonts w:ascii="Calibri" w:hAnsi="Calibri" w:cs="Calibri"/>
          <w:b/>
          <w:sz w:val="22"/>
          <w:szCs w:val="22"/>
        </w:rPr>
      </w:pPr>
    </w:p>
    <w:p w14:paraId="56E355DF" w14:textId="77777777" w:rsidR="00333449" w:rsidRDefault="00333449" w:rsidP="002146B0">
      <w:pPr>
        <w:overflowPunct/>
        <w:autoSpaceDE/>
        <w:autoSpaceDN/>
        <w:adjustRightInd/>
        <w:jc w:val="left"/>
        <w:textAlignment w:val="auto"/>
        <w:rPr>
          <w:rFonts w:ascii="Calibri" w:hAnsi="Calibri" w:cs="Calibri"/>
          <w:b/>
          <w:sz w:val="22"/>
          <w:szCs w:val="22"/>
        </w:rPr>
      </w:pPr>
    </w:p>
    <w:p w14:paraId="52B78957" w14:textId="77777777" w:rsidR="00333449" w:rsidRDefault="00333449" w:rsidP="002146B0">
      <w:pPr>
        <w:overflowPunct/>
        <w:autoSpaceDE/>
        <w:autoSpaceDN/>
        <w:adjustRightInd/>
        <w:jc w:val="left"/>
        <w:textAlignment w:val="auto"/>
        <w:rPr>
          <w:rFonts w:ascii="Calibri" w:hAnsi="Calibri" w:cs="Calibri"/>
          <w:b/>
          <w:sz w:val="22"/>
          <w:szCs w:val="22"/>
        </w:rPr>
      </w:pPr>
    </w:p>
    <w:p w14:paraId="75C73FF4" w14:textId="77777777" w:rsidR="00333449" w:rsidRDefault="00333449" w:rsidP="002146B0">
      <w:pPr>
        <w:overflowPunct/>
        <w:autoSpaceDE/>
        <w:autoSpaceDN/>
        <w:adjustRightInd/>
        <w:jc w:val="left"/>
        <w:textAlignment w:val="auto"/>
        <w:rPr>
          <w:rFonts w:ascii="Calibri" w:hAnsi="Calibri" w:cs="Calibri"/>
          <w:b/>
          <w:sz w:val="22"/>
          <w:szCs w:val="22"/>
        </w:rPr>
      </w:pPr>
    </w:p>
    <w:p w14:paraId="682C3DB3" w14:textId="77777777" w:rsidR="00333449" w:rsidRDefault="00333449" w:rsidP="002146B0">
      <w:pPr>
        <w:overflowPunct/>
        <w:autoSpaceDE/>
        <w:autoSpaceDN/>
        <w:adjustRightInd/>
        <w:jc w:val="left"/>
        <w:textAlignment w:val="auto"/>
        <w:rPr>
          <w:rFonts w:ascii="Calibri" w:hAnsi="Calibri" w:cs="Calibri"/>
          <w:b/>
          <w:sz w:val="22"/>
          <w:szCs w:val="22"/>
        </w:rPr>
      </w:pPr>
    </w:p>
    <w:p w14:paraId="545FE640" w14:textId="77777777" w:rsidR="00333449" w:rsidRDefault="00333449" w:rsidP="002146B0">
      <w:pPr>
        <w:overflowPunct/>
        <w:autoSpaceDE/>
        <w:autoSpaceDN/>
        <w:adjustRightInd/>
        <w:jc w:val="left"/>
        <w:textAlignment w:val="auto"/>
        <w:rPr>
          <w:rFonts w:ascii="Calibri" w:hAnsi="Calibri" w:cs="Calibri"/>
          <w:b/>
          <w:sz w:val="22"/>
          <w:szCs w:val="22"/>
        </w:rPr>
      </w:pPr>
    </w:p>
    <w:p w14:paraId="6BFD33B3" w14:textId="77777777" w:rsidR="00333449" w:rsidRDefault="00333449" w:rsidP="002146B0">
      <w:pPr>
        <w:overflowPunct/>
        <w:autoSpaceDE/>
        <w:autoSpaceDN/>
        <w:adjustRightInd/>
        <w:jc w:val="left"/>
        <w:textAlignment w:val="auto"/>
        <w:rPr>
          <w:rFonts w:ascii="Calibri" w:hAnsi="Calibri" w:cs="Calibri"/>
          <w:b/>
          <w:sz w:val="22"/>
          <w:szCs w:val="22"/>
        </w:rPr>
      </w:pPr>
    </w:p>
    <w:p w14:paraId="248A7B41" w14:textId="77777777" w:rsidR="00333449" w:rsidRDefault="00333449" w:rsidP="002146B0">
      <w:pPr>
        <w:overflowPunct/>
        <w:autoSpaceDE/>
        <w:autoSpaceDN/>
        <w:adjustRightInd/>
        <w:jc w:val="left"/>
        <w:textAlignment w:val="auto"/>
        <w:rPr>
          <w:rFonts w:ascii="Calibri" w:hAnsi="Calibri" w:cs="Calibri"/>
          <w:b/>
          <w:sz w:val="22"/>
          <w:szCs w:val="22"/>
        </w:rPr>
      </w:pPr>
    </w:p>
    <w:p w14:paraId="7E32AE39" w14:textId="77777777" w:rsidR="00333449" w:rsidRDefault="00333449" w:rsidP="002146B0">
      <w:pPr>
        <w:overflowPunct/>
        <w:autoSpaceDE/>
        <w:autoSpaceDN/>
        <w:adjustRightInd/>
        <w:jc w:val="left"/>
        <w:textAlignment w:val="auto"/>
        <w:rPr>
          <w:rFonts w:ascii="Calibri" w:hAnsi="Calibri" w:cs="Calibri"/>
          <w:b/>
          <w:sz w:val="22"/>
          <w:szCs w:val="22"/>
        </w:rPr>
      </w:pPr>
    </w:p>
    <w:p w14:paraId="787FE837" w14:textId="77777777" w:rsidR="00333449" w:rsidRDefault="00333449" w:rsidP="002146B0">
      <w:pPr>
        <w:overflowPunct/>
        <w:autoSpaceDE/>
        <w:autoSpaceDN/>
        <w:adjustRightInd/>
        <w:jc w:val="left"/>
        <w:textAlignment w:val="auto"/>
        <w:rPr>
          <w:rFonts w:ascii="Calibri" w:hAnsi="Calibri" w:cs="Calibri"/>
          <w:b/>
          <w:sz w:val="22"/>
          <w:szCs w:val="22"/>
        </w:rPr>
      </w:pPr>
    </w:p>
    <w:p w14:paraId="3856319F" w14:textId="77777777" w:rsidR="00333449" w:rsidRDefault="00333449" w:rsidP="002146B0">
      <w:pPr>
        <w:overflowPunct/>
        <w:autoSpaceDE/>
        <w:autoSpaceDN/>
        <w:adjustRightInd/>
        <w:jc w:val="left"/>
        <w:textAlignment w:val="auto"/>
        <w:rPr>
          <w:rFonts w:ascii="Calibri" w:hAnsi="Calibri" w:cs="Calibri"/>
          <w:b/>
          <w:sz w:val="22"/>
          <w:szCs w:val="22"/>
        </w:rPr>
      </w:pPr>
    </w:p>
    <w:p w14:paraId="5285FF94" w14:textId="77777777" w:rsidR="00333449" w:rsidRDefault="00333449" w:rsidP="002146B0">
      <w:pPr>
        <w:overflowPunct/>
        <w:autoSpaceDE/>
        <w:autoSpaceDN/>
        <w:adjustRightInd/>
        <w:jc w:val="left"/>
        <w:textAlignment w:val="auto"/>
        <w:rPr>
          <w:rFonts w:ascii="Calibri" w:hAnsi="Calibri" w:cs="Calibri"/>
          <w:b/>
          <w:sz w:val="22"/>
          <w:szCs w:val="22"/>
        </w:rPr>
      </w:pPr>
    </w:p>
    <w:p w14:paraId="246B21F5" w14:textId="77777777" w:rsidR="00333449" w:rsidRDefault="00333449" w:rsidP="002146B0">
      <w:pPr>
        <w:overflowPunct/>
        <w:autoSpaceDE/>
        <w:autoSpaceDN/>
        <w:adjustRightInd/>
        <w:jc w:val="left"/>
        <w:textAlignment w:val="auto"/>
        <w:rPr>
          <w:rFonts w:ascii="Calibri" w:hAnsi="Calibri" w:cs="Calibri"/>
          <w:b/>
          <w:sz w:val="22"/>
          <w:szCs w:val="22"/>
        </w:rPr>
      </w:pPr>
    </w:p>
    <w:p w14:paraId="2048AB5C" w14:textId="77777777" w:rsidR="00333449" w:rsidRDefault="00333449" w:rsidP="002146B0">
      <w:pPr>
        <w:overflowPunct/>
        <w:autoSpaceDE/>
        <w:autoSpaceDN/>
        <w:adjustRightInd/>
        <w:jc w:val="left"/>
        <w:textAlignment w:val="auto"/>
        <w:rPr>
          <w:rFonts w:ascii="Calibri" w:hAnsi="Calibri" w:cs="Calibri"/>
          <w:b/>
          <w:sz w:val="22"/>
          <w:szCs w:val="22"/>
        </w:rPr>
      </w:pPr>
    </w:p>
    <w:p w14:paraId="76725900" w14:textId="77777777" w:rsidR="00333449" w:rsidRDefault="00333449" w:rsidP="002146B0">
      <w:pPr>
        <w:overflowPunct/>
        <w:autoSpaceDE/>
        <w:autoSpaceDN/>
        <w:adjustRightInd/>
        <w:jc w:val="left"/>
        <w:textAlignment w:val="auto"/>
        <w:rPr>
          <w:rFonts w:ascii="Calibri" w:hAnsi="Calibri" w:cs="Calibri"/>
          <w:b/>
          <w:sz w:val="22"/>
          <w:szCs w:val="22"/>
        </w:rPr>
      </w:pPr>
    </w:p>
    <w:p w14:paraId="2D2E15F4" w14:textId="77777777" w:rsidR="00333449" w:rsidRDefault="00333449" w:rsidP="002146B0">
      <w:pPr>
        <w:overflowPunct/>
        <w:autoSpaceDE/>
        <w:autoSpaceDN/>
        <w:adjustRightInd/>
        <w:jc w:val="left"/>
        <w:textAlignment w:val="auto"/>
        <w:rPr>
          <w:rFonts w:ascii="Calibri" w:hAnsi="Calibri" w:cs="Calibri"/>
          <w:b/>
          <w:sz w:val="22"/>
          <w:szCs w:val="22"/>
        </w:rPr>
      </w:pPr>
    </w:p>
    <w:p w14:paraId="77D80962" w14:textId="77777777" w:rsidR="00333449" w:rsidRDefault="00333449" w:rsidP="002146B0">
      <w:pPr>
        <w:overflowPunct/>
        <w:autoSpaceDE/>
        <w:autoSpaceDN/>
        <w:adjustRightInd/>
        <w:jc w:val="left"/>
        <w:textAlignment w:val="auto"/>
        <w:rPr>
          <w:rFonts w:ascii="Calibri" w:hAnsi="Calibri" w:cs="Calibri"/>
          <w:b/>
          <w:sz w:val="22"/>
          <w:szCs w:val="22"/>
        </w:rPr>
      </w:pPr>
    </w:p>
    <w:p w14:paraId="5DE5BB1A" w14:textId="77777777" w:rsidR="00333449" w:rsidRDefault="00333449" w:rsidP="002146B0">
      <w:pPr>
        <w:overflowPunct/>
        <w:autoSpaceDE/>
        <w:autoSpaceDN/>
        <w:adjustRightInd/>
        <w:jc w:val="left"/>
        <w:textAlignment w:val="auto"/>
        <w:rPr>
          <w:rFonts w:ascii="Calibri" w:hAnsi="Calibri" w:cs="Calibri"/>
          <w:b/>
          <w:sz w:val="22"/>
          <w:szCs w:val="22"/>
        </w:rPr>
      </w:pPr>
    </w:p>
    <w:p w14:paraId="48A4F948" w14:textId="77777777" w:rsidR="00333449" w:rsidRDefault="00333449" w:rsidP="002146B0">
      <w:pPr>
        <w:overflowPunct/>
        <w:autoSpaceDE/>
        <w:autoSpaceDN/>
        <w:adjustRightInd/>
        <w:jc w:val="left"/>
        <w:textAlignment w:val="auto"/>
        <w:rPr>
          <w:rFonts w:ascii="Calibri" w:hAnsi="Calibri" w:cs="Calibri"/>
          <w:b/>
          <w:sz w:val="22"/>
          <w:szCs w:val="22"/>
        </w:rPr>
      </w:pPr>
    </w:p>
    <w:p w14:paraId="13268B7D" w14:textId="77777777" w:rsidR="00333449" w:rsidRDefault="00333449" w:rsidP="002146B0">
      <w:pPr>
        <w:overflowPunct/>
        <w:autoSpaceDE/>
        <w:autoSpaceDN/>
        <w:adjustRightInd/>
        <w:jc w:val="left"/>
        <w:textAlignment w:val="auto"/>
        <w:rPr>
          <w:rFonts w:ascii="Calibri" w:hAnsi="Calibri" w:cs="Calibri"/>
          <w:b/>
          <w:sz w:val="22"/>
          <w:szCs w:val="22"/>
        </w:rPr>
      </w:pPr>
    </w:p>
    <w:p w14:paraId="56CF4118" w14:textId="77777777" w:rsidR="00333449" w:rsidRDefault="00333449" w:rsidP="002146B0">
      <w:pPr>
        <w:overflowPunct/>
        <w:autoSpaceDE/>
        <w:autoSpaceDN/>
        <w:adjustRightInd/>
        <w:jc w:val="left"/>
        <w:textAlignment w:val="auto"/>
        <w:rPr>
          <w:rFonts w:ascii="Calibri" w:hAnsi="Calibri" w:cs="Calibri"/>
          <w:b/>
          <w:sz w:val="22"/>
          <w:szCs w:val="22"/>
        </w:rPr>
      </w:pPr>
    </w:p>
    <w:p w14:paraId="1008C139" w14:textId="77777777" w:rsidR="00333449" w:rsidRDefault="00333449" w:rsidP="002146B0">
      <w:pPr>
        <w:overflowPunct/>
        <w:autoSpaceDE/>
        <w:autoSpaceDN/>
        <w:adjustRightInd/>
        <w:jc w:val="left"/>
        <w:textAlignment w:val="auto"/>
        <w:rPr>
          <w:rFonts w:ascii="Calibri" w:hAnsi="Calibri" w:cs="Calibri"/>
          <w:b/>
          <w:sz w:val="22"/>
          <w:szCs w:val="22"/>
        </w:rPr>
      </w:pPr>
    </w:p>
    <w:p w14:paraId="2516EEDA" w14:textId="77777777" w:rsidR="00333449" w:rsidRDefault="00333449" w:rsidP="002146B0">
      <w:pPr>
        <w:overflowPunct/>
        <w:autoSpaceDE/>
        <w:autoSpaceDN/>
        <w:adjustRightInd/>
        <w:jc w:val="left"/>
        <w:textAlignment w:val="auto"/>
        <w:rPr>
          <w:rFonts w:ascii="Calibri" w:hAnsi="Calibri" w:cs="Calibri"/>
          <w:b/>
          <w:sz w:val="22"/>
          <w:szCs w:val="22"/>
        </w:rPr>
      </w:pPr>
    </w:p>
    <w:p w14:paraId="588E36A7" w14:textId="77777777" w:rsidR="00333449" w:rsidRPr="00B525BF" w:rsidRDefault="00333449" w:rsidP="002146B0">
      <w:pPr>
        <w:overflowPunct/>
        <w:autoSpaceDE/>
        <w:autoSpaceDN/>
        <w:adjustRightInd/>
        <w:jc w:val="left"/>
        <w:textAlignment w:val="auto"/>
        <w:rPr>
          <w:rFonts w:ascii="Calibri" w:hAnsi="Calibri" w:cs="Calibri"/>
          <w:b/>
          <w:sz w:val="22"/>
          <w:szCs w:val="22"/>
        </w:rPr>
      </w:pPr>
    </w:p>
    <w:p w14:paraId="4F56F2E4" w14:textId="77777777" w:rsidR="002146B0" w:rsidRPr="00B525BF" w:rsidRDefault="002146B0">
      <w:pPr>
        <w:overflowPunct/>
        <w:autoSpaceDE/>
        <w:autoSpaceDN/>
        <w:adjustRightInd/>
        <w:jc w:val="left"/>
        <w:textAlignment w:val="auto"/>
        <w:rPr>
          <w:rFonts w:ascii="Calibri" w:hAnsi="Calibri" w:cs="Calibri"/>
          <w:b/>
          <w:sz w:val="22"/>
          <w:szCs w:val="22"/>
        </w:rPr>
      </w:pPr>
    </w:p>
    <w:p w14:paraId="42C102EC" w14:textId="77777777" w:rsidR="005810C8" w:rsidRPr="00B525BF" w:rsidRDefault="005810C8">
      <w:pPr>
        <w:overflowPunct/>
        <w:autoSpaceDE/>
        <w:autoSpaceDN/>
        <w:adjustRightInd/>
        <w:jc w:val="left"/>
        <w:textAlignment w:val="auto"/>
        <w:rPr>
          <w:rFonts w:ascii="Calibri" w:hAnsi="Calibri" w:cs="Calibri"/>
          <w:b/>
          <w:sz w:val="22"/>
          <w:szCs w:val="22"/>
        </w:rPr>
      </w:pPr>
    </w:p>
    <w:p w14:paraId="0D2A29FA" w14:textId="77777777" w:rsidR="008831F9" w:rsidRPr="00372507" w:rsidRDefault="008831F9" w:rsidP="008831F9">
      <w:pPr>
        <w:pStyle w:val="Nagwek2"/>
        <w:rPr>
          <w:rFonts w:asciiTheme="minorHAnsi" w:hAnsiTheme="minorHAnsi" w:cstheme="minorHAnsi"/>
        </w:rPr>
      </w:pPr>
      <w:r w:rsidRPr="00372507">
        <w:rPr>
          <w:rFonts w:asciiTheme="minorHAnsi" w:hAnsiTheme="minorHAnsi" w:cstheme="minorHAnsi"/>
        </w:rPr>
        <w:t>SPECYFIKACJE TECHNICZNE WYKONANIA I ODBIORU ROBÓT BUDOWLANYCH</w:t>
      </w:r>
    </w:p>
    <w:p w14:paraId="25990D5A" w14:textId="77777777" w:rsidR="008831F9" w:rsidRPr="004E54A4" w:rsidRDefault="008831F9" w:rsidP="00372507">
      <w:pPr>
        <w:pStyle w:val="Nagowek1"/>
      </w:pPr>
      <w:bookmarkStart w:id="673" w:name="_Toc296923107"/>
      <w:bookmarkStart w:id="674" w:name="_Toc333441673"/>
      <w:bookmarkStart w:id="675" w:name="_Toc333657250"/>
      <w:bookmarkStart w:id="676" w:name="_Toc334095435"/>
      <w:bookmarkStart w:id="677" w:name="_Toc352837493"/>
      <w:bookmarkStart w:id="678" w:name="_Toc449687475"/>
      <w:bookmarkStart w:id="679" w:name="_Toc36548368"/>
      <w:bookmarkStart w:id="680" w:name="_Toc37147522"/>
      <w:bookmarkStart w:id="681" w:name="_Toc47335128"/>
      <w:bookmarkStart w:id="682" w:name="_Toc206275489"/>
      <w:r w:rsidRPr="004E54A4">
        <w:t>D-05.03.13a NAWIERZCHNIA  Z  BETONU ASFALTOWEGO.WARSTWA ŚCIERALNA WG  PN-EN</w:t>
      </w:r>
      <w:bookmarkEnd w:id="673"/>
      <w:bookmarkEnd w:id="674"/>
      <w:bookmarkEnd w:id="675"/>
      <w:bookmarkEnd w:id="676"/>
      <w:bookmarkEnd w:id="677"/>
      <w:bookmarkEnd w:id="678"/>
      <w:bookmarkEnd w:id="679"/>
      <w:bookmarkEnd w:id="680"/>
      <w:bookmarkEnd w:id="681"/>
      <w:bookmarkEnd w:id="682"/>
    </w:p>
    <w:p w14:paraId="7BA1EBA4" w14:textId="77777777" w:rsidR="008831F9" w:rsidRPr="004E54A4" w:rsidRDefault="008831F9" w:rsidP="008831F9">
      <w:pPr>
        <w:tabs>
          <w:tab w:val="left" w:pos="9914"/>
        </w:tabs>
        <w:jc w:val="center"/>
        <w:rPr>
          <w:rFonts w:ascii="Calibri" w:hAnsi="Calibri" w:cs="Calibri"/>
          <w:b/>
          <w:bCs/>
        </w:rPr>
      </w:pPr>
    </w:p>
    <w:p w14:paraId="0DD9EA64" w14:textId="77777777" w:rsidR="008831F9" w:rsidRPr="004E54A4" w:rsidRDefault="008831F9" w:rsidP="008831F9">
      <w:pPr>
        <w:pStyle w:val="Nagwek3"/>
      </w:pPr>
      <w:r w:rsidRPr="004E54A4">
        <w:t>1. WSTĘP</w:t>
      </w:r>
      <w:r w:rsidRPr="004E54A4">
        <w:tab/>
      </w:r>
    </w:p>
    <w:p w14:paraId="7C01C2E2" w14:textId="77777777" w:rsidR="008831F9" w:rsidRPr="004E54A4" w:rsidRDefault="008831F9" w:rsidP="008831F9">
      <w:pPr>
        <w:pStyle w:val="Nagwek4"/>
      </w:pPr>
      <w:r w:rsidRPr="004E54A4">
        <w:t xml:space="preserve">1.1. Przedmiot STWiORB </w:t>
      </w:r>
    </w:p>
    <w:p w14:paraId="6A9E6005" w14:textId="77777777" w:rsidR="008831F9" w:rsidRPr="004E54A4" w:rsidRDefault="008831F9" w:rsidP="008831F9"/>
    <w:p w14:paraId="58D68CD6" w14:textId="759BF6C8" w:rsidR="008831F9" w:rsidRPr="00203191" w:rsidRDefault="008831F9" w:rsidP="008831F9">
      <w:pPr>
        <w:pStyle w:val="Standardowytekst"/>
        <w:tabs>
          <w:tab w:val="left" w:pos="9914"/>
        </w:tabs>
        <w:rPr>
          <w:rFonts w:ascii="Calibri" w:hAnsi="Calibri" w:cs="Calibri"/>
        </w:rPr>
      </w:pPr>
      <w:r w:rsidRPr="00203191">
        <w:rPr>
          <w:rFonts w:ascii="Calibri" w:hAnsi="Calibri" w:cs="Calibri"/>
        </w:rPr>
        <w:t xml:space="preserve">Przedmiotem </w:t>
      </w:r>
      <w:r>
        <w:rPr>
          <w:rFonts w:ascii="Calibri" w:hAnsi="Calibri" w:cs="Calibri"/>
        </w:rPr>
        <w:t xml:space="preserve">niniejszej specyfikacji </w:t>
      </w:r>
      <w:r w:rsidRPr="00203191">
        <w:rPr>
          <w:rFonts w:ascii="Calibri" w:hAnsi="Calibri" w:cs="Calibri"/>
        </w:rPr>
        <w:t xml:space="preserve"> są wymagania dotyczące wykonania i odbioru robót związanych z wykonaniem warstwy ścieralnej z betonu asfaltowego</w:t>
      </w:r>
      <w:r>
        <w:rPr>
          <w:rFonts w:ascii="Calibri" w:hAnsi="Calibri" w:cs="Calibri"/>
        </w:rPr>
        <w:t xml:space="preserve"> AC 11S dla dróg KR1-4 </w:t>
      </w:r>
    </w:p>
    <w:p w14:paraId="39E5D299" w14:textId="77777777" w:rsidR="008831F9" w:rsidRPr="004E54A4" w:rsidRDefault="008831F9" w:rsidP="008831F9">
      <w:pPr>
        <w:pStyle w:val="Nagwek4"/>
      </w:pPr>
      <w:r w:rsidRPr="004E54A4">
        <w:t>1.2. Zakres stosowania STWiORB</w:t>
      </w:r>
    </w:p>
    <w:p w14:paraId="60D725CD" w14:textId="77777777" w:rsidR="008831F9" w:rsidRPr="00B525BF" w:rsidRDefault="008831F9" w:rsidP="008831F9">
      <w:pPr>
        <w:rPr>
          <w:rFonts w:asciiTheme="minorHAnsi" w:hAnsiTheme="minorHAnsi" w:cstheme="minorHAnsi"/>
        </w:rPr>
      </w:pPr>
      <w:r>
        <w:rPr>
          <w:rFonts w:ascii="Calibri" w:hAnsi="Calibri" w:cs="Calibri"/>
        </w:rPr>
        <w:t>Specyfikacja</w:t>
      </w:r>
      <w:r w:rsidRPr="006736A8">
        <w:rPr>
          <w:rFonts w:ascii="Calibri" w:hAnsi="Calibri" w:cs="Calibri"/>
        </w:rPr>
        <w:t xml:space="preserve"> stanowi dokument kontraktowy przy realizacji  zadania „</w:t>
      </w:r>
      <w:r w:rsidRPr="003D1D4D">
        <w:rPr>
          <w:rFonts w:ascii="Calibri" w:hAnsi="Calibri" w:cs="Calibri"/>
        </w:rPr>
        <w:t>Rozbudowa ul. Wrocławskiej w ciągu drogi powiatowej w Tyńcu Małym wraz z rozbudową istniejącego skrzyżowania typu rondo na połączeniu dróg krajowych nr 35 i 35a oraz łącznika węzła Kobierzyce drogi S8e oraz infrastrukturą towarzyszącą w ramach zadania „Rozbudowa skrzyżowania typu rondo w ciągu DK35 koło m. Tyniec Mały usprawniająca skomunikowanie obszarów Podstrefy Wrocław – Kobierzyce TSSE EURO PARK WISŁOSAN”</w:t>
      </w:r>
      <w:r w:rsidRPr="00786904">
        <w:rPr>
          <w:rFonts w:asciiTheme="minorHAnsi" w:hAnsiTheme="minorHAnsi" w:cstheme="minorHAnsi"/>
        </w:rPr>
        <w:t xml:space="preserve"> </w:t>
      </w:r>
    </w:p>
    <w:p w14:paraId="40CCFDCA" w14:textId="77777777" w:rsidR="008831F9" w:rsidRPr="004E54A4" w:rsidRDefault="008831F9" w:rsidP="008831F9">
      <w:pPr>
        <w:rPr>
          <w:rFonts w:ascii="Calibri" w:hAnsi="Calibri" w:cs="Calibri"/>
        </w:rPr>
      </w:pPr>
    </w:p>
    <w:p w14:paraId="5C379751" w14:textId="77777777" w:rsidR="008831F9" w:rsidRPr="004E54A4" w:rsidRDefault="008831F9" w:rsidP="008831F9">
      <w:pPr>
        <w:pStyle w:val="Nagwek4"/>
      </w:pPr>
      <w:r w:rsidRPr="004E54A4">
        <w:t>1.3. Zakres robót objętych STWiORB</w:t>
      </w:r>
    </w:p>
    <w:p w14:paraId="5BB4DD95" w14:textId="77777777" w:rsidR="008831F9" w:rsidRPr="004E54A4" w:rsidRDefault="008831F9" w:rsidP="008831F9">
      <w:pPr>
        <w:tabs>
          <w:tab w:val="left" w:pos="9914"/>
        </w:tabs>
        <w:rPr>
          <w:rFonts w:ascii="Calibri" w:hAnsi="Calibri" w:cs="Calibri"/>
        </w:rPr>
      </w:pPr>
    </w:p>
    <w:p w14:paraId="44A59131" w14:textId="77777777" w:rsidR="008831F9" w:rsidRPr="004E54A4" w:rsidRDefault="008831F9" w:rsidP="008831F9">
      <w:pPr>
        <w:tabs>
          <w:tab w:val="left" w:pos="9914"/>
        </w:tabs>
        <w:rPr>
          <w:rFonts w:ascii="Calibri" w:hAnsi="Calibri" w:cs="Calibri"/>
        </w:rPr>
      </w:pPr>
      <w:r w:rsidRPr="004E54A4">
        <w:rPr>
          <w:rFonts w:ascii="Calibri" w:hAnsi="Calibri" w:cs="Calibri"/>
        </w:rPr>
        <w:t>Ustalenia zawarte w niniejszej specyfikacji dotyczą zasad prowadzenia robót związanych z wykonaniem i odbiorem warstwy ścieralnej z betonu asfaltowego AC 11S i AC 8S</w:t>
      </w:r>
      <w:r w:rsidRPr="004E54A4">
        <w:rPr>
          <w:rFonts w:ascii="Calibri" w:hAnsi="Calibri" w:cs="Calibri"/>
          <w:color w:val="FF0000"/>
        </w:rPr>
        <w:t xml:space="preserve"> </w:t>
      </w:r>
      <w:r w:rsidRPr="004E54A4">
        <w:rPr>
          <w:rFonts w:ascii="Calibri" w:hAnsi="Calibri" w:cs="Calibri"/>
        </w:rPr>
        <w:t>wg PN-EN 13108-1 i WT-2 Nawierzchnie asfaltowe 2014 z mieszanki mineralno-asfaltowej dostarczonej od producenta. W przypadku produkcji mieszanki mineralno-asfaltowej przez Wykonawcę dla potrzeb budowy, Wykonawca zobowiązany jest prowadzić Zakładową kontrolę produkcji (ZKP).</w:t>
      </w:r>
    </w:p>
    <w:p w14:paraId="1EBFEC81" w14:textId="77777777" w:rsidR="008831F9" w:rsidRPr="004E54A4" w:rsidRDefault="008831F9" w:rsidP="008831F9">
      <w:pPr>
        <w:pStyle w:val="Nagwek4"/>
      </w:pPr>
      <w:r w:rsidRPr="004E54A4">
        <w:t>1.4. Określenia podstawowe</w:t>
      </w:r>
    </w:p>
    <w:p w14:paraId="43E0D353" w14:textId="77777777" w:rsidR="008831F9" w:rsidRPr="00203191" w:rsidRDefault="008831F9" w:rsidP="008831F9">
      <w:pPr>
        <w:pStyle w:val="StylIwony"/>
        <w:tabs>
          <w:tab w:val="left" w:pos="9914"/>
        </w:tabs>
        <w:spacing w:before="0" w:after="0"/>
        <w:rPr>
          <w:rFonts w:ascii="Calibri" w:hAnsi="Calibri" w:cs="Calibri"/>
          <w:sz w:val="20"/>
          <w:szCs w:val="20"/>
        </w:rPr>
      </w:pPr>
      <w:r w:rsidRPr="00BB72E9">
        <w:rPr>
          <w:rFonts w:ascii="Calibri" w:hAnsi="Calibri" w:cs="Calibri"/>
          <w:b/>
          <w:bCs/>
          <w:iCs/>
          <w:sz w:val="20"/>
          <w:szCs w:val="20"/>
        </w:rPr>
        <w:t>1.4.1.</w:t>
      </w:r>
      <w:r w:rsidRPr="00BB72E9">
        <w:rPr>
          <w:rFonts w:ascii="Calibri" w:hAnsi="Calibri" w:cs="Calibri"/>
          <w:b/>
          <w:bCs/>
          <w:sz w:val="20"/>
          <w:szCs w:val="20"/>
        </w:rPr>
        <w:t xml:space="preserve"> </w:t>
      </w:r>
      <w:r w:rsidRPr="00BB72E9">
        <w:rPr>
          <w:rFonts w:ascii="Calibri" w:hAnsi="Calibri" w:cs="Calibri"/>
          <w:b/>
          <w:sz w:val="20"/>
          <w:szCs w:val="20"/>
        </w:rPr>
        <w:t>Nawierzchnia</w:t>
      </w:r>
      <w:r w:rsidRPr="00203191">
        <w:rPr>
          <w:rFonts w:ascii="Calibri" w:hAnsi="Calibri" w:cs="Calibri"/>
          <w:sz w:val="20"/>
          <w:szCs w:val="20"/>
        </w:rPr>
        <w:t xml:space="preserve"> – konstrukcja składająca się z jednej lub kilku warstw służących do przejmowania i rozkładania obciążeń od ruchu pojazdów na podłoże.</w:t>
      </w:r>
    </w:p>
    <w:p w14:paraId="2317F56A" w14:textId="77777777" w:rsidR="008831F9" w:rsidRPr="00203191" w:rsidRDefault="008831F9" w:rsidP="008831F9">
      <w:pPr>
        <w:pStyle w:val="StylIwony"/>
        <w:tabs>
          <w:tab w:val="left" w:pos="9914"/>
        </w:tabs>
        <w:spacing w:before="0" w:after="0"/>
        <w:rPr>
          <w:rFonts w:ascii="Calibri" w:hAnsi="Calibri" w:cs="Calibri"/>
          <w:sz w:val="20"/>
          <w:szCs w:val="20"/>
        </w:rPr>
      </w:pPr>
      <w:r w:rsidRPr="00BB72E9">
        <w:rPr>
          <w:rFonts w:ascii="Calibri" w:hAnsi="Calibri" w:cs="Calibri"/>
          <w:b/>
          <w:bCs/>
          <w:iCs/>
          <w:sz w:val="20"/>
          <w:szCs w:val="20"/>
        </w:rPr>
        <w:t>1.4.2.</w:t>
      </w:r>
      <w:r w:rsidRPr="00BB72E9">
        <w:rPr>
          <w:rFonts w:ascii="Calibri" w:hAnsi="Calibri" w:cs="Calibri"/>
          <w:b/>
          <w:bCs/>
          <w:sz w:val="20"/>
          <w:szCs w:val="20"/>
        </w:rPr>
        <w:t xml:space="preserve"> </w:t>
      </w:r>
      <w:r w:rsidRPr="00BB72E9">
        <w:rPr>
          <w:rFonts w:ascii="Calibri" w:hAnsi="Calibri" w:cs="Calibri"/>
          <w:b/>
          <w:sz w:val="20"/>
          <w:szCs w:val="20"/>
        </w:rPr>
        <w:t>Warstwa ścieralna</w:t>
      </w:r>
      <w:r w:rsidRPr="00203191">
        <w:rPr>
          <w:rFonts w:ascii="Calibri" w:hAnsi="Calibri" w:cs="Calibri"/>
          <w:sz w:val="20"/>
          <w:szCs w:val="20"/>
        </w:rPr>
        <w:t xml:space="preserve"> – górna warstwa nawierzchni będąca w bezpośrednim kontakcie z kołami pojazdów.</w:t>
      </w:r>
    </w:p>
    <w:p w14:paraId="692EAA50" w14:textId="77777777" w:rsidR="008831F9" w:rsidRPr="00203191" w:rsidRDefault="008831F9" w:rsidP="008831F9">
      <w:pPr>
        <w:pStyle w:val="StylIwony"/>
        <w:tabs>
          <w:tab w:val="left" w:pos="9914"/>
        </w:tabs>
        <w:spacing w:before="0" w:after="0"/>
        <w:rPr>
          <w:rFonts w:ascii="Calibri" w:hAnsi="Calibri" w:cs="Calibri"/>
          <w:sz w:val="20"/>
          <w:szCs w:val="20"/>
        </w:rPr>
      </w:pPr>
      <w:r w:rsidRPr="00BB72E9">
        <w:rPr>
          <w:rFonts w:ascii="Calibri" w:hAnsi="Calibri" w:cs="Calibri"/>
          <w:b/>
          <w:bCs/>
          <w:iCs/>
          <w:sz w:val="20"/>
          <w:szCs w:val="20"/>
        </w:rPr>
        <w:t>1.4.3.</w:t>
      </w:r>
      <w:r w:rsidRPr="00BB72E9">
        <w:rPr>
          <w:rFonts w:ascii="Calibri" w:hAnsi="Calibri" w:cs="Calibri"/>
          <w:b/>
          <w:bCs/>
          <w:sz w:val="20"/>
          <w:szCs w:val="20"/>
        </w:rPr>
        <w:t xml:space="preserve"> </w:t>
      </w:r>
      <w:r w:rsidRPr="00BB72E9">
        <w:rPr>
          <w:rFonts w:ascii="Calibri" w:hAnsi="Calibri" w:cs="Calibri"/>
          <w:b/>
          <w:sz w:val="20"/>
          <w:szCs w:val="20"/>
        </w:rPr>
        <w:t>Mieszanka mineralno-asfaltowa</w:t>
      </w:r>
      <w:r w:rsidRPr="00203191">
        <w:rPr>
          <w:rFonts w:ascii="Calibri" w:hAnsi="Calibri" w:cs="Calibri"/>
          <w:sz w:val="20"/>
          <w:szCs w:val="20"/>
        </w:rPr>
        <w:t xml:space="preserve"> – mieszanka kruszyw i lepiszcza asfaltowego.</w:t>
      </w:r>
    </w:p>
    <w:p w14:paraId="3E48B1DA" w14:textId="77777777" w:rsidR="008831F9" w:rsidRPr="00203191" w:rsidRDefault="008831F9" w:rsidP="008831F9">
      <w:pPr>
        <w:pStyle w:val="StylIwony"/>
        <w:tabs>
          <w:tab w:val="left" w:pos="9914"/>
        </w:tabs>
        <w:spacing w:before="0" w:after="0"/>
        <w:rPr>
          <w:rFonts w:ascii="Calibri" w:hAnsi="Calibri" w:cs="Calibri"/>
          <w:sz w:val="20"/>
          <w:szCs w:val="20"/>
        </w:rPr>
      </w:pPr>
      <w:r w:rsidRPr="00BB72E9">
        <w:rPr>
          <w:rFonts w:ascii="Calibri" w:hAnsi="Calibri" w:cs="Calibri"/>
          <w:b/>
          <w:bCs/>
          <w:iCs/>
          <w:sz w:val="20"/>
          <w:szCs w:val="20"/>
        </w:rPr>
        <w:t>1.4.4.</w:t>
      </w:r>
      <w:r w:rsidRPr="00BB72E9">
        <w:rPr>
          <w:rFonts w:ascii="Calibri" w:hAnsi="Calibri" w:cs="Calibri"/>
          <w:b/>
          <w:bCs/>
          <w:sz w:val="20"/>
          <w:szCs w:val="20"/>
        </w:rPr>
        <w:t xml:space="preserve"> </w:t>
      </w:r>
      <w:r w:rsidRPr="00BB72E9">
        <w:rPr>
          <w:rFonts w:ascii="Calibri" w:hAnsi="Calibri" w:cs="Calibri"/>
          <w:b/>
          <w:sz w:val="20"/>
          <w:szCs w:val="20"/>
        </w:rPr>
        <w:t>Wymiar mieszanki mineralno-asfaltowej</w:t>
      </w:r>
      <w:r w:rsidRPr="00203191">
        <w:rPr>
          <w:rFonts w:ascii="Calibri" w:hAnsi="Calibri" w:cs="Calibri"/>
          <w:sz w:val="20"/>
          <w:szCs w:val="20"/>
        </w:rPr>
        <w:t xml:space="preserve"> – określenie mieszanki mineralno-asfaltowej, wyróżniające tę mieszankę ze zbioru mieszanek tego samego typu ze względu na największy wymiar kruszywa, np. wymiar 8 lub 11.</w:t>
      </w:r>
    </w:p>
    <w:p w14:paraId="05DBDC87" w14:textId="77777777" w:rsidR="008831F9" w:rsidRPr="00203191" w:rsidRDefault="008831F9" w:rsidP="008831F9">
      <w:pPr>
        <w:pStyle w:val="StylIwony"/>
        <w:tabs>
          <w:tab w:val="left" w:pos="9914"/>
        </w:tabs>
        <w:spacing w:before="0" w:after="0"/>
        <w:rPr>
          <w:rFonts w:ascii="Calibri" w:hAnsi="Calibri" w:cs="Calibri"/>
          <w:sz w:val="20"/>
          <w:szCs w:val="20"/>
        </w:rPr>
      </w:pPr>
      <w:r w:rsidRPr="00BB72E9">
        <w:rPr>
          <w:rFonts w:ascii="Calibri" w:hAnsi="Calibri" w:cs="Calibri"/>
          <w:b/>
          <w:bCs/>
          <w:iCs/>
          <w:sz w:val="20"/>
          <w:szCs w:val="20"/>
        </w:rPr>
        <w:t>1.4.5.</w:t>
      </w:r>
      <w:r w:rsidRPr="00BB72E9">
        <w:rPr>
          <w:rFonts w:ascii="Calibri" w:hAnsi="Calibri" w:cs="Calibri"/>
          <w:b/>
          <w:bCs/>
          <w:sz w:val="20"/>
          <w:szCs w:val="20"/>
        </w:rPr>
        <w:t xml:space="preserve"> </w:t>
      </w:r>
      <w:r w:rsidRPr="00BB72E9">
        <w:rPr>
          <w:rFonts w:ascii="Calibri" w:hAnsi="Calibri" w:cs="Calibri"/>
          <w:b/>
          <w:sz w:val="20"/>
          <w:szCs w:val="20"/>
        </w:rPr>
        <w:t>Beton asfaltowy</w:t>
      </w:r>
      <w:r w:rsidRPr="00203191">
        <w:rPr>
          <w:rFonts w:ascii="Calibri" w:hAnsi="Calibri" w:cs="Calibri"/>
          <w:sz w:val="20"/>
          <w:szCs w:val="20"/>
        </w:rPr>
        <w:t xml:space="preserve"> – mieszanka mineralno-asfaltowa, w której kruszywo o uziarnieniu ciągłym lub nieciągłym tworzy strukturę wzajemnie klinującą się.</w:t>
      </w:r>
    </w:p>
    <w:p w14:paraId="5EA7E2D6" w14:textId="77777777" w:rsidR="008831F9" w:rsidRPr="00203191" w:rsidRDefault="008831F9" w:rsidP="008831F9">
      <w:pPr>
        <w:pStyle w:val="StylIwony"/>
        <w:tabs>
          <w:tab w:val="left" w:pos="9914"/>
        </w:tabs>
        <w:spacing w:before="0" w:after="0"/>
        <w:rPr>
          <w:rFonts w:ascii="Calibri" w:hAnsi="Calibri" w:cs="Calibri"/>
          <w:sz w:val="20"/>
          <w:szCs w:val="20"/>
        </w:rPr>
      </w:pPr>
      <w:r w:rsidRPr="00BB72E9">
        <w:rPr>
          <w:rFonts w:ascii="Calibri" w:hAnsi="Calibri" w:cs="Calibri"/>
          <w:b/>
          <w:bCs/>
          <w:iCs/>
          <w:sz w:val="20"/>
          <w:szCs w:val="20"/>
        </w:rPr>
        <w:t>1.4.6.</w:t>
      </w:r>
      <w:r w:rsidRPr="00BB72E9">
        <w:rPr>
          <w:rFonts w:ascii="Calibri" w:hAnsi="Calibri" w:cs="Calibri"/>
          <w:b/>
          <w:bCs/>
          <w:sz w:val="20"/>
          <w:szCs w:val="20"/>
        </w:rPr>
        <w:t xml:space="preserve"> </w:t>
      </w:r>
      <w:r w:rsidRPr="00BB72E9">
        <w:rPr>
          <w:rFonts w:ascii="Calibri" w:hAnsi="Calibri" w:cs="Calibri"/>
          <w:b/>
          <w:sz w:val="20"/>
          <w:szCs w:val="20"/>
        </w:rPr>
        <w:t>Uziarnienie</w:t>
      </w:r>
      <w:r w:rsidRPr="00203191">
        <w:rPr>
          <w:rFonts w:ascii="Calibri" w:hAnsi="Calibri" w:cs="Calibri"/>
          <w:sz w:val="20"/>
          <w:szCs w:val="20"/>
        </w:rPr>
        <w:t xml:space="preserve"> – skład ziarnowy kruszywa, wyrażony w procentach masy ziaren przechodzących przez określony zestaw sit.</w:t>
      </w:r>
    </w:p>
    <w:p w14:paraId="69B603A1" w14:textId="77777777" w:rsidR="008831F9" w:rsidRPr="00203191" w:rsidRDefault="008831F9" w:rsidP="008831F9">
      <w:pPr>
        <w:pStyle w:val="StylIwony"/>
        <w:tabs>
          <w:tab w:val="left" w:pos="9914"/>
        </w:tabs>
        <w:spacing w:before="0" w:after="0"/>
        <w:rPr>
          <w:rFonts w:ascii="Calibri" w:hAnsi="Calibri" w:cs="Calibri"/>
          <w:sz w:val="20"/>
          <w:szCs w:val="20"/>
        </w:rPr>
      </w:pPr>
      <w:r w:rsidRPr="00BB72E9">
        <w:rPr>
          <w:rFonts w:ascii="Calibri" w:hAnsi="Calibri" w:cs="Calibri"/>
          <w:b/>
          <w:bCs/>
          <w:iCs/>
          <w:sz w:val="20"/>
          <w:szCs w:val="20"/>
        </w:rPr>
        <w:t>1.4.7.</w:t>
      </w:r>
      <w:r w:rsidRPr="00BB72E9">
        <w:rPr>
          <w:rFonts w:ascii="Calibri" w:hAnsi="Calibri" w:cs="Calibri"/>
          <w:b/>
          <w:bCs/>
          <w:sz w:val="20"/>
          <w:szCs w:val="20"/>
        </w:rPr>
        <w:t xml:space="preserve"> </w:t>
      </w:r>
      <w:r w:rsidRPr="00BB72E9">
        <w:rPr>
          <w:rFonts w:ascii="Calibri" w:hAnsi="Calibri" w:cs="Calibri"/>
          <w:b/>
          <w:sz w:val="20"/>
          <w:szCs w:val="20"/>
        </w:rPr>
        <w:t>Kategoria ruchu</w:t>
      </w:r>
      <w:r w:rsidRPr="00203191">
        <w:rPr>
          <w:rFonts w:ascii="Calibri" w:hAnsi="Calibri" w:cs="Calibri"/>
          <w:sz w:val="20"/>
          <w:szCs w:val="20"/>
        </w:rPr>
        <w:t xml:space="preserve"> – obciążenie drogi ruchem samochodowym, wyrażone w osiach obliczeniowych (100 kN) wg „Katalogu typowych konstrukcji nawierzchni podatnych i półsztywnych” GDDP-IBDiM.</w:t>
      </w:r>
    </w:p>
    <w:p w14:paraId="06B63A2B" w14:textId="77777777" w:rsidR="008831F9" w:rsidRPr="00203191" w:rsidRDefault="008831F9" w:rsidP="008831F9">
      <w:pPr>
        <w:pStyle w:val="StylIwony"/>
        <w:tabs>
          <w:tab w:val="left" w:pos="9914"/>
        </w:tabs>
        <w:spacing w:before="0" w:after="0"/>
        <w:rPr>
          <w:rFonts w:ascii="Calibri" w:hAnsi="Calibri" w:cs="Calibri"/>
          <w:sz w:val="20"/>
          <w:szCs w:val="20"/>
        </w:rPr>
      </w:pPr>
      <w:r w:rsidRPr="00BB72E9">
        <w:rPr>
          <w:rFonts w:ascii="Calibri" w:hAnsi="Calibri" w:cs="Calibri"/>
          <w:b/>
          <w:bCs/>
          <w:iCs/>
          <w:sz w:val="20"/>
          <w:szCs w:val="20"/>
        </w:rPr>
        <w:t>1.4.8.</w:t>
      </w:r>
      <w:r w:rsidRPr="00BB72E9">
        <w:rPr>
          <w:rFonts w:ascii="Calibri" w:hAnsi="Calibri" w:cs="Calibri"/>
          <w:b/>
          <w:bCs/>
          <w:sz w:val="20"/>
          <w:szCs w:val="20"/>
        </w:rPr>
        <w:t xml:space="preserve"> </w:t>
      </w:r>
      <w:r w:rsidRPr="00BB72E9">
        <w:rPr>
          <w:rFonts w:ascii="Calibri" w:hAnsi="Calibri" w:cs="Calibri"/>
          <w:b/>
          <w:sz w:val="20"/>
          <w:szCs w:val="20"/>
        </w:rPr>
        <w:t>Wymiar kruszywa</w:t>
      </w:r>
      <w:r w:rsidRPr="00203191">
        <w:rPr>
          <w:rFonts w:ascii="Calibri" w:hAnsi="Calibri" w:cs="Calibri"/>
          <w:sz w:val="20"/>
          <w:szCs w:val="20"/>
        </w:rPr>
        <w:t xml:space="preserve"> – wielkość ziaren kruszywa, określona przez dolny (d) i górny (D) wymiar sita.</w:t>
      </w:r>
    </w:p>
    <w:p w14:paraId="17E22EB5" w14:textId="77777777" w:rsidR="008831F9" w:rsidRPr="00203191" w:rsidRDefault="008831F9" w:rsidP="008831F9">
      <w:pPr>
        <w:pStyle w:val="StylIwony"/>
        <w:tabs>
          <w:tab w:val="left" w:pos="9914"/>
        </w:tabs>
        <w:spacing w:before="0" w:after="0"/>
        <w:rPr>
          <w:rFonts w:ascii="Calibri" w:hAnsi="Calibri" w:cs="Calibri"/>
          <w:sz w:val="20"/>
          <w:szCs w:val="20"/>
        </w:rPr>
      </w:pPr>
      <w:r w:rsidRPr="00BB72E9">
        <w:rPr>
          <w:rFonts w:ascii="Calibri" w:hAnsi="Calibri" w:cs="Calibri"/>
          <w:b/>
          <w:bCs/>
          <w:iCs/>
          <w:sz w:val="20"/>
          <w:szCs w:val="20"/>
        </w:rPr>
        <w:t xml:space="preserve">1.4.9. </w:t>
      </w:r>
      <w:r w:rsidRPr="00BB72E9">
        <w:rPr>
          <w:rFonts w:ascii="Calibri" w:hAnsi="Calibri" w:cs="Calibri"/>
          <w:b/>
          <w:sz w:val="20"/>
          <w:szCs w:val="20"/>
        </w:rPr>
        <w:t>Kruszywo grube</w:t>
      </w:r>
      <w:r w:rsidRPr="00203191">
        <w:rPr>
          <w:rFonts w:ascii="Calibri" w:hAnsi="Calibri" w:cs="Calibri"/>
          <w:sz w:val="20"/>
          <w:szCs w:val="20"/>
        </w:rPr>
        <w:t xml:space="preserve"> – kruszywo z ziaren o wymiarze: D ≤ 45 mm oraz d &gt; 2 mm.</w:t>
      </w:r>
    </w:p>
    <w:p w14:paraId="5B269A3D" w14:textId="77777777" w:rsidR="008831F9" w:rsidRPr="00203191" w:rsidRDefault="008831F9" w:rsidP="008831F9">
      <w:pPr>
        <w:pStyle w:val="StylIwony"/>
        <w:tabs>
          <w:tab w:val="left" w:pos="9914"/>
        </w:tabs>
        <w:spacing w:before="0" w:after="0"/>
        <w:rPr>
          <w:rFonts w:ascii="Calibri" w:hAnsi="Calibri" w:cs="Calibri"/>
          <w:sz w:val="20"/>
          <w:szCs w:val="20"/>
        </w:rPr>
      </w:pPr>
      <w:r w:rsidRPr="00BB72E9">
        <w:rPr>
          <w:rFonts w:ascii="Calibri" w:hAnsi="Calibri" w:cs="Calibri"/>
          <w:b/>
          <w:bCs/>
          <w:iCs/>
          <w:sz w:val="20"/>
          <w:szCs w:val="20"/>
        </w:rPr>
        <w:t>1.4.10.</w:t>
      </w:r>
      <w:r w:rsidRPr="00BB72E9">
        <w:rPr>
          <w:rFonts w:ascii="Calibri" w:hAnsi="Calibri" w:cs="Calibri"/>
          <w:b/>
          <w:bCs/>
          <w:sz w:val="20"/>
          <w:szCs w:val="20"/>
        </w:rPr>
        <w:t xml:space="preserve"> </w:t>
      </w:r>
      <w:r w:rsidRPr="00BB72E9">
        <w:rPr>
          <w:rFonts w:ascii="Calibri" w:hAnsi="Calibri" w:cs="Calibri"/>
          <w:b/>
          <w:sz w:val="20"/>
          <w:szCs w:val="20"/>
        </w:rPr>
        <w:t>Kruszywo drobne</w:t>
      </w:r>
      <w:r w:rsidRPr="00203191">
        <w:rPr>
          <w:rFonts w:ascii="Calibri" w:hAnsi="Calibri" w:cs="Calibri"/>
          <w:sz w:val="20"/>
          <w:szCs w:val="20"/>
        </w:rPr>
        <w:t xml:space="preserve"> – kruszywo z ziaren o wymiarze: D ≤ 2 mm, którego większa część pozostaje na sicie 0,063 mm.</w:t>
      </w:r>
    </w:p>
    <w:p w14:paraId="72F7F0BF" w14:textId="77777777" w:rsidR="008831F9" w:rsidRPr="00203191" w:rsidRDefault="008831F9" w:rsidP="008831F9">
      <w:pPr>
        <w:pStyle w:val="StylIwony"/>
        <w:tabs>
          <w:tab w:val="left" w:pos="9914"/>
        </w:tabs>
        <w:spacing w:before="0" w:after="0"/>
        <w:rPr>
          <w:rFonts w:ascii="Calibri" w:hAnsi="Calibri" w:cs="Calibri"/>
          <w:sz w:val="20"/>
          <w:szCs w:val="20"/>
        </w:rPr>
      </w:pPr>
      <w:r w:rsidRPr="00BB72E9">
        <w:rPr>
          <w:rFonts w:ascii="Calibri" w:hAnsi="Calibri" w:cs="Calibri"/>
          <w:b/>
          <w:bCs/>
          <w:iCs/>
          <w:sz w:val="20"/>
          <w:szCs w:val="20"/>
        </w:rPr>
        <w:t>1.4.11.</w:t>
      </w:r>
      <w:r w:rsidRPr="00BB72E9">
        <w:rPr>
          <w:rFonts w:ascii="Calibri" w:hAnsi="Calibri" w:cs="Calibri"/>
          <w:b/>
          <w:bCs/>
          <w:sz w:val="20"/>
          <w:szCs w:val="20"/>
        </w:rPr>
        <w:t xml:space="preserve"> </w:t>
      </w:r>
      <w:r w:rsidRPr="00BB72E9">
        <w:rPr>
          <w:rFonts w:ascii="Calibri" w:hAnsi="Calibri" w:cs="Calibri"/>
          <w:b/>
          <w:sz w:val="20"/>
          <w:szCs w:val="20"/>
        </w:rPr>
        <w:t>Pył</w:t>
      </w:r>
      <w:r w:rsidRPr="00203191">
        <w:rPr>
          <w:rFonts w:ascii="Calibri" w:hAnsi="Calibri" w:cs="Calibri"/>
          <w:sz w:val="20"/>
          <w:szCs w:val="20"/>
        </w:rPr>
        <w:t xml:space="preserve"> – kruszywo z ziaren przechodzących przez sito 0,063 mm.</w:t>
      </w:r>
    </w:p>
    <w:p w14:paraId="2CDBC061" w14:textId="77777777" w:rsidR="008831F9" w:rsidRPr="00203191" w:rsidRDefault="008831F9" w:rsidP="008831F9">
      <w:pPr>
        <w:pStyle w:val="StylIwony"/>
        <w:tabs>
          <w:tab w:val="left" w:pos="9914"/>
        </w:tabs>
        <w:spacing w:before="0" w:after="0"/>
        <w:rPr>
          <w:rFonts w:ascii="Calibri" w:hAnsi="Calibri" w:cs="Calibri"/>
          <w:sz w:val="20"/>
          <w:szCs w:val="20"/>
        </w:rPr>
      </w:pPr>
      <w:r w:rsidRPr="00BB72E9">
        <w:rPr>
          <w:rFonts w:ascii="Calibri" w:hAnsi="Calibri" w:cs="Calibri"/>
          <w:b/>
          <w:bCs/>
          <w:iCs/>
          <w:sz w:val="20"/>
          <w:szCs w:val="20"/>
        </w:rPr>
        <w:t>1.4.12.</w:t>
      </w:r>
      <w:r w:rsidRPr="00BB72E9">
        <w:rPr>
          <w:rFonts w:ascii="Calibri" w:hAnsi="Calibri" w:cs="Calibri"/>
          <w:b/>
          <w:bCs/>
          <w:sz w:val="20"/>
          <w:szCs w:val="20"/>
        </w:rPr>
        <w:t xml:space="preserve"> </w:t>
      </w:r>
      <w:r w:rsidRPr="00BB72E9">
        <w:rPr>
          <w:rFonts w:ascii="Calibri" w:hAnsi="Calibri" w:cs="Calibri"/>
          <w:b/>
          <w:sz w:val="20"/>
          <w:szCs w:val="20"/>
        </w:rPr>
        <w:t>Wypełniacz</w:t>
      </w:r>
      <w:r w:rsidRPr="00203191">
        <w:rPr>
          <w:rFonts w:ascii="Calibri" w:hAnsi="Calibri" w:cs="Calibri"/>
          <w:sz w:val="20"/>
          <w:szCs w:val="20"/>
        </w:rPr>
        <w:t xml:space="preserve"> – kruszywo, którego większa część przechodzi przez sito 0,063 mm. (Wypełniacz mieszany – kruszywo, które składa się z wypełniacza pochodzenia mineralnego i wodorotlenku wapnia. Wypełniacz dodany – wypełniacz pochodzenia mineralnego, wyprodukowany oddzielnie).</w:t>
      </w:r>
    </w:p>
    <w:p w14:paraId="05701FC9" w14:textId="77777777" w:rsidR="008831F9" w:rsidRPr="00203191" w:rsidRDefault="008831F9" w:rsidP="008831F9">
      <w:pPr>
        <w:pStyle w:val="StylIwony"/>
        <w:tabs>
          <w:tab w:val="left" w:pos="9914"/>
        </w:tabs>
        <w:spacing w:before="0" w:after="0"/>
        <w:rPr>
          <w:rFonts w:ascii="Calibri" w:hAnsi="Calibri" w:cs="Calibri"/>
          <w:sz w:val="20"/>
          <w:szCs w:val="20"/>
        </w:rPr>
      </w:pPr>
      <w:r w:rsidRPr="00BB72E9">
        <w:rPr>
          <w:rFonts w:ascii="Calibri" w:hAnsi="Calibri" w:cs="Calibri"/>
          <w:b/>
          <w:bCs/>
          <w:iCs/>
          <w:sz w:val="20"/>
          <w:szCs w:val="20"/>
        </w:rPr>
        <w:t>1.4.13.</w:t>
      </w:r>
      <w:r w:rsidRPr="00BB72E9">
        <w:rPr>
          <w:rFonts w:ascii="Calibri" w:hAnsi="Calibri" w:cs="Calibri"/>
          <w:b/>
          <w:bCs/>
          <w:sz w:val="20"/>
          <w:szCs w:val="20"/>
        </w:rPr>
        <w:t xml:space="preserve"> </w:t>
      </w:r>
      <w:r w:rsidRPr="00BB72E9">
        <w:rPr>
          <w:rFonts w:ascii="Calibri" w:hAnsi="Calibri" w:cs="Calibri"/>
          <w:b/>
          <w:sz w:val="20"/>
          <w:szCs w:val="20"/>
        </w:rPr>
        <w:t>Kationowa emulsja asfaltowa</w:t>
      </w:r>
      <w:r w:rsidRPr="00203191">
        <w:rPr>
          <w:rFonts w:ascii="Calibri" w:hAnsi="Calibri" w:cs="Calibri"/>
          <w:sz w:val="20"/>
          <w:szCs w:val="20"/>
        </w:rPr>
        <w:t xml:space="preserve"> – emulsja, w której emulgator nadaje dodatnie ładunki cząstkom zdyspergowanego asfaltu.</w:t>
      </w:r>
    </w:p>
    <w:p w14:paraId="39800DA1" w14:textId="77777777" w:rsidR="008831F9" w:rsidRPr="00203191" w:rsidRDefault="008831F9" w:rsidP="008831F9">
      <w:pPr>
        <w:pStyle w:val="StylIwony"/>
        <w:tabs>
          <w:tab w:val="left" w:pos="9914"/>
        </w:tabs>
        <w:spacing w:before="0" w:after="0"/>
        <w:rPr>
          <w:rFonts w:ascii="Calibri" w:hAnsi="Calibri" w:cs="Calibri"/>
          <w:sz w:val="20"/>
          <w:szCs w:val="20"/>
        </w:rPr>
      </w:pPr>
      <w:r w:rsidRPr="00BB72E9">
        <w:rPr>
          <w:rFonts w:ascii="Calibri" w:hAnsi="Calibri" w:cs="Calibri"/>
          <w:b/>
          <w:bCs/>
          <w:iCs/>
          <w:sz w:val="20"/>
          <w:szCs w:val="20"/>
        </w:rPr>
        <w:t>1.4.14.</w:t>
      </w:r>
      <w:r w:rsidRPr="00BB72E9">
        <w:rPr>
          <w:rFonts w:ascii="Calibri" w:hAnsi="Calibri" w:cs="Calibri"/>
          <w:b/>
          <w:bCs/>
          <w:sz w:val="20"/>
          <w:szCs w:val="20"/>
        </w:rPr>
        <w:t xml:space="preserve"> </w:t>
      </w:r>
      <w:r w:rsidRPr="00BB72E9">
        <w:rPr>
          <w:rFonts w:ascii="Calibri" w:hAnsi="Calibri" w:cs="Calibri"/>
          <w:b/>
          <w:sz w:val="20"/>
          <w:szCs w:val="20"/>
        </w:rPr>
        <w:t>Pozostałe określenia podstawowe</w:t>
      </w:r>
      <w:r w:rsidRPr="00203191">
        <w:rPr>
          <w:rFonts w:ascii="Calibri" w:hAnsi="Calibri" w:cs="Calibri"/>
          <w:sz w:val="20"/>
          <w:szCs w:val="20"/>
        </w:rPr>
        <w:t xml:space="preserve"> są zgodne z obowiązującymi, odpowiednimi polskimi normami i z definicjami podanymi w </w:t>
      </w:r>
      <w:r>
        <w:rPr>
          <w:rFonts w:ascii="Calibri" w:hAnsi="Calibri" w:cs="Calibri"/>
          <w:sz w:val="20"/>
          <w:szCs w:val="20"/>
        </w:rPr>
        <w:t>STWiORB</w:t>
      </w:r>
      <w:r w:rsidRPr="00203191">
        <w:rPr>
          <w:rFonts w:ascii="Calibri" w:hAnsi="Calibri" w:cs="Calibri"/>
          <w:sz w:val="20"/>
          <w:szCs w:val="20"/>
        </w:rPr>
        <w:t xml:space="preserve"> D-M-00.00.00 „Wymagania ogólne” pkt 1.4.</w:t>
      </w:r>
    </w:p>
    <w:p w14:paraId="0097A864" w14:textId="77777777" w:rsidR="008831F9" w:rsidRPr="00BB72E9" w:rsidRDefault="008831F9" w:rsidP="008831F9">
      <w:pPr>
        <w:pStyle w:val="StylIwony"/>
        <w:tabs>
          <w:tab w:val="left" w:pos="9914"/>
        </w:tabs>
        <w:spacing w:before="0" w:after="0"/>
        <w:rPr>
          <w:rFonts w:ascii="Calibri" w:hAnsi="Calibri" w:cs="Calibri"/>
          <w:b/>
          <w:sz w:val="20"/>
          <w:szCs w:val="20"/>
        </w:rPr>
      </w:pPr>
      <w:r w:rsidRPr="00BB72E9">
        <w:rPr>
          <w:rFonts w:ascii="Calibri" w:hAnsi="Calibri" w:cs="Calibri"/>
          <w:b/>
          <w:bCs/>
          <w:iCs/>
          <w:sz w:val="20"/>
          <w:szCs w:val="20"/>
        </w:rPr>
        <w:t>1.4.15.</w:t>
      </w:r>
      <w:r w:rsidRPr="00BB72E9">
        <w:rPr>
          <w:rFonts w:ascii="Calibri" w:hAnsi="Calibri" w:cs="Calibri"/>
          <w:b/>
          <w:bCs/>
          <w:sz w:val="20"/>
          <w:szCs w:val="20"/>
        </w:rPr>
        <w:t xml:space="preserve"> </w:t>
      </w:r>
      <w:r w:rsidRPr="00BB72E9">
        <w:rPr>
          <w:rFonts w:ascii="Calibri" w:hAnsi="Calibri" w:cs="Calibri"/>
          <w:b/>
          <w:sz w:val="20"/>
          <w:szCs w:val="20"/>
        </w:rPr>
        <w:t>Symbole i skróty dodatkowe</w:t>
      </w:r>
    </w:p>
    <w:tbl>
      <w:tblPr>
        <w:tblW w:w="0" w:type="auto"/>
        <w:tblInd w:w="2" w:type="dxa"/>
        <w:tblLook w:val="00A0" w:firstRow="1" w:lastRow="0" w:firstColumn="1" w:lastColumn="0" w:noHBand="0" w:noVBand="0"/>
      </w:tblPr>
      <w:tblGrid>
        <w:gridCol w:w="1292"/>
        <w:gridCol w:w="7771"/>
      </w:tblGrid>
      <w:tr w:rsidR="008831F9" w:rsidRPr="00E96860" w14:paraId="39F3AA1A" w14:textId="77777777" w:rsidTr="00EA573C">
        <w:tc>
          <w:tcPr>
            <w:tcW w:w="675" w:type="dxa"/>
          </w:tcPr>
          <w:p w14:paraId="5523C211" w14:textId="77777777" w:rsidR="008831F9" w:rsidRPr="00203191" w:rsidRDefault="008831F9" w:rsidP="00262498">
            <w:pPr>
              <w:pStyle w:val="StylIwony"/>
              <w:numPr>
                <w:ilvl w:val="0"/>
                <w:numId w:val="259"/>
              </w:numPr>
              <w:tabs>
                <w:tab w:val="left" w:pos="9914"/>
              </w:tabs>
              <w:spacing w:before="0" w:after="0"/>
              <w:rPr>
                <w:rFonts w:ascii="Calibri" w:hAnsi="Calibri" w:cs="Calibri"/>
                <w:sz w:val="20"/>
                <w:szCs w:val="20"/>
              </w:rPr>
            </w:pPr>
            <w:r w:rsidRPr="00203191">
              <w:rPr>
                <w:rFonts w:ascii="Calibri" w:hAnsi="Calibri" w:cs="Calibri"/>
                <w:sz w:val="20"/>
                <w:szCs w:val="20"/>
              </w:rPr>
              <w:t>ACS</w:t>
            </w:r>
          </w:p>
        </w:tc>
        <w:tc>
          <w:tcPr>
            <w:tcW w:w="9072" w:type="dxa"/>
          </w:tcPr>
          <w:p w14:paraId="57D8F9CA" w14:textId="77777777" w:rsidR="008831F9" w:rsidRPr="00203191" w:rsidRDefault="008831F9" w:rsidP="00EA573C">
            <w:pPr>
              <w:pStyle w:val="StylIwony"/>
              <w:tabs>
                <w:tab w:val="left" w:pos="9914"/>
              </w:tabs>
              <w:spacing w:before="0" w:after="0"/>
              <w:ind w:left="99"/>
              <w:rPr>
                <w:rFonts w:ascii="Calibri" w:hAnsi="Calibri" w:cs="Calibri"/>
                <w:sz w:val="20"/>
                <w:szCs w:val="20"/>
              </w:rPr>
            </w:pPr>
            <w:r w:rsidRPr="00203191">
              <w:rPr>
                <w:rFonts w:ascii="Calibri" w:hAnsi="Calibri" w:cs="Calibri"/>
                <w:sz w:val="20"/>
                <w:szCs w:val="20"/>
              </w:rPr>
              <w:t>beton asfaltowy do warstwy ścieralnej</w:t>
            </w:r>
          </w:p>
        </w:tc>
      </w:tr>
      <w:tr w:rsidR="008831F9" w:rsidRPr="00E96860" w14:paraId="5DC223EB" w14:textId="77777777" w:rsidTr="00EA573C">
        <w:tc>
          <w:tcPr>
            <w:tcW w:w="675" w:type="dxa"/>
          </w:tcPr>
          <w:p w14:paraId="53D17A9D" w14:textId="77777777" w:rsidR="008831F9" w:rsidRPr="00203191" w:rsidRDefault="008831F9" w:rsidP="00262498">
            <w:pPr>
              <w:pStyle w:val="StylIwony"/>
              <w:numPr>
                <w:ilvl w:val="0"/>
                <w:numId w:val="259"/>
              </w:numPr>
              <w:tabs>
                <w:tab w:val="left" w:pos="9914"/>
              </w:tabs>
              <w:spacing w:before="0" w:after="0"/>
              <w:rPr>
                <w:rFonts w:ascii="Calibri" w:hAnsi="Calibri" w:cs="Calibri"/>
                <w:sz w:val="20"/>
                <w:szCs w:val="20"/>
              </w:rPr>
            </w:pPr>
            <w:r w:rsidRPr="00203191">
              <w:rPr>
                <w:rFonts w:ascii="Calibri" w:hAnsi="Calibri" w:cs="Calibri"/>
                <w:sz w:val="20"/>
                <w:szCs w:val="20"/>
              </w:rPr>
              <w:t>D</w:t>
            </w:r>
          </w:p>
        </w:tc>
        <w:tc>
          <w:tcPr>
            <w:tcW w:w="9072" w:type="dxa"/>
          </w:tcPr>
          <w:p w14:paraId="2659CAB4" w14:textId="77777777" w:rsidR="008831F9" w:rsidRPr="00203191" w:rsidRDefault="008831F9" w:rsidP="00EA573C">
            <w:pPr>
              <w:pStyle w:val="StylIwony"/>
              <w:tabs>
                <w:tab w:val="left" w:pos="9914"/>
              </w:tabs>
              <w:spacing w:before="0" w:after="0"/>
              <w:ind w:left="99"/>
              <w:rPr>
                <w:rFonts w:ascii="Calibri" w:hAnsi="Calibri" w:cs="Calibri"/>
                <w:sz w:val="20"/>
                <w:szCs w:val="20"/>
              </w:rPr>
            </w:pPr>
            <w:r w:rsidRPr="00203191">
              <w:rPr>
                <w:rFonts w:ascii="Calibri" w:hAnsi="Calibri" w:cs="Calibri"/>
                <w:sz w:val="20"/>
                <w:szCs w:val="20"/>
              </w:rPr>
              <w:t>górny wymiar sita (przy określaniu wielkości ziaren kruszywa),</w:t>
            </w:r>
          </w:p>
        </w:tc>
      </w:tr>
      <w:tr w:rsidR="008831F9" w:rsidRPr="00E96860" w14:paraId="0E52FF11" w14:textId="77777777" w:rsidTr="00EA573C">
        <w:tc>
          <w:tcPr>
            <w:tcW w:w="675" w:type="dxa"/>
          </w:tcPr>
          <w:p w14:paraId="7BE8E7FA" w14:textId="77777777" w:rsidR="008831F9" w:rsidRPr="00203191" w:rsidRDefault="008831F9" w:rsidP="00262498">
            <w:pPr>
              <w:pStyle w:val="StylIwony"/>
              <w:numPr>
                <w:ilvl w:val="0"/>
                <w:numId w:val="259"/>
              </w:numPr>
              <w:tabs>
                <w:tab w:val="left" w:pos="9914"/>
              </w:tabs>
              <w:spacing w:before="0" w:after="0"/>
              <w:rPr>
                <w:rFonts w:ascii="Calibri" w:hAnsi="Calibri" w:cs="Calibri"/>
                <w:sz w:val="20"/>
                <w:szCs w:val="20"/>
              </w:rPr>
            </w:pPr>
            <w:r w:rsidRPr="00203191">
              <w:rPr>
                <w:rFonts w:ascii="Calibri" w:hAnsi="Calibri" w:cs="Calibri"/>
                <w:sz w:val="20"/>
                <w:szCs w:val="20"/>
              </w:rPr>
              <w:t>d</w:t>
            </w:r>
          </w:p>
        </w:tc>
        <w:tc>
          <w:tcPr>
            <w:tcW w:w="9072" w:type="dxa"/>
          </w:tcPr>
          <w:p w14:paraId="31185A75" w14:textId="77777777" w:rsidR="008831F9" w:rsidRPr="00203191" w:rsidRDefault="008831F9" w:rsidP="00EA573C">
            <w:pPr>
              <w:pStyle w:val="StylIwony"/>
              <w:tabs>
                <w:tab w:val="left" w:pos="9914"/>
              </w:tabs>
              <w:spacing w:before="0" w:after="0"/>
              <w:ind w:left="99"/>
              <w:rPr>
                <w:rFonts w:ascii="Calibri" w:hAnsi="Calibri" w:cs="Calibri"/>
                <w:sz w:val="20"/>
                <w:szCs w:val="20"/>
              </w:rPr>
            </w:pPr>
            <w:r w:rsidRPr="00203191">
              <w:rPr>
                <w:rFonts w:ascii="Calibri" w:hAnsi="Calibri" w:cs="Calibri"/>
                <w:sz w:val="20"/>
                <w:szCs w:val="20"/>
              </w:rPr>
              <w:t>dolny wymiar sita (przy określaniu wielkości ziaren kruszywa),</w:t>
            </w:r>
          </w:p>
        </w:tc>
      </w:tr>
      <w:tr w:rsidR="008831F9" w:rsidRPr="00203191" w14:paraId="419067BC" w14:textId="77777777" w:rsidTr="00EA573C">
        <w:tc>
          <w:tcPr>
            <w:tcW w:w="675" w:type="dxa"/>
          </w:tcPr>
          <w:p w14:paraId="210FEA5F" w14:textId="77777777" w:rsidR="008831F9" w:rsidRPr="00203191" w:rsidRDefault="008831F9" w:rsidP="00262498">
            <w:pPr>
              <w:pStyle w:val="StylIwony"/>
              <w:numPr>
                <w:ilvl w:val="0"/>
                <w:numId w:val="259"/>
              </w:numPr>
              <w:tabs>
                <w:tab w:val="left" w:pos="9914"/>
              </w:tabs>
              <w:spacing w:before="0" w:after="0"/>
              <w:rPr>
                <w:rFonts w:ascii="Calibri" w:hAnsi="Calibri" w:cs="Calibri"/>
                <w:sz w:val="20"/>
                <w:szCs w:val="20"/>
              </w:rPr>
            </w:pPr>
            <w:r w:rsidRPr="00203191">
              <w:rPr>
                <w:rFonts w:ascii="Calibri" w:hAnsi="Calibri" w:cs="Calibri"/>
                <w:sz w:val="20"/>
                <w:szCs w:val="20"/>
              </w:rPr>
              <w:t>C</w:t>
            </w:r>
          </w:p>
        </w:tc>
        <w:tc>
          <w:tcPr>
            <w:tcW w:w="9072" w:type="dxa"/>
          </w:tcPr>
          <w:p w14:paraId="7A9F0504" w14:textId="77777777" w:rsidR="008831F9" w:rsidRPr="00203191" w:rsidRDefault="008831F9" w:rsidP="00EA573C">
            <w:pPr>
              <w:pStyle w:val="StylIwony"/>
              <w:tabs>
                <w:tab w:val="left" w:pos="9914"/>
              </w:tabs>
              <w:spacing w:before="0" w:after="0"/>
              <w:ind w:left="99"/>
              <w:rPr>
                <w:rFonts w:ascii="Calibri" w:hAnsi="Calibri" w:cs="Calibri"/>
                <w:sz w:val="20"/>
                <w:szCs w:val="20"/>
              </w:rPr>
            </w:pPr>
            <w:r w:rsidRPr="00203191">
              <w:rPr>
                <w:rFonts w:ascii="Calibri" w:hAnsi="Calibri" w:cs="Calibri"/>
                <w:sz w:val="20"/>
                <w:szCs w:val="20"/>
              </w:rPr>
              <w:t>kationowa emulsja asfaltowa,</w:t>
            </w:r>
          </w:p>
        </w:tc>
      </w:tr>
      <w:tr w:rsidR="008831F9" w:rsidRPr="00E96860" w14:paraId="392A58F9" w14:textId="77777777" w:rsidTr="00EA573C">
        <w:tc>
          <w:tcPr>
            <w:tcW w:w="675" w:type="dxa"/>
          </w:tcPr>
          <w:p w14:paraId="5BE865BF" w14:textId="77777777" w:rsidR="008831F9" w:rsidRPr="00203191" w:rsidRDefault="008831F9" w:rsidP="00262498">
            <w:pPr>
              <w:pStyle w:val="StylIwony"/>
              <w:numPr>
                <w:ilvl w:val="0"/>
                <w:numId w:val="259"/>
              </w:numPr>
              <w:tabs>
                <w:tab w:val="left" w:pos="9914"/>
              </w:tabs>
              <w:spacing w:before="0" w:after="0"/>
              <w:rPr>
                <w:rFonts w:ascii="Calibri" w:hAnsi="Calibri" w:cs="Calibri"/>
                <w:sz w:val="20"/>
                <w:szCs w:val="20"/>
              </w:rPr>
            </w:pPr>
            <w:r w:rsidRPr="00203191">
              <w:rPr>
                <w:rFonts w:ascii="Calibri" w:hAnsi="Calibri" w:cs="Calibri"/>
                <w:sz w:val="20"/>
                <w:szCs w:val="20"/>
              </w:rPr>
              <w:t>NPD</w:t>
            </w:r>
          </w:p>
        </w:tc>
        <w:tc>
          <w:tcPr>
            <w:tcW w:w="9072" w:type="dxa"/>
          </w:tcPr>
          <w:p w14:paraId="7D94310A" w14:textId="77777777" w:rsidR="008831F9" w:rsidRPr="00203191" w:rsidRDefault="008831F9" w:rsidP="00EA573C">
            <w:pPr>
              <w:pStyle w:val="StylIwony"/>
              <w:tabs>
                <w:tab w:val="left" w:pos="9914"/>
              </w:tabs>
              <w:spacing w:before="0" w:after="0"/>
              <w:ind w:left="99"/>
              <w:rPr>
                <w:rFonts w:ascii="Calibri" w:hAnsi="Calibri" w:cs="Calibri"/>
                <w:sz w:val="20"/>
                <w:szCs w:val="20"/>
              </w:rPr>
            </w:pPr>
            <w:r w:rsidRPr="00203191">
              <w:rPr>
                <w:rFonts w:ascii="Calibri" w:hAnsi="Calibri" w:cs="Calibri"/>
                <w:sz w:val="20"/>
                <w:szCs w:val="20"/>
              </w:rPr>
              <w:t>właściwość użytkowa nie określana (ang. No Performance Determined; producent może jej nie określać),</w:t>
            </w:r>
          </w:p>
        </w:tc>
      </w:tr>
      <w:tr w:rsidR="008831F9" w:rsidRPr="00E96860" w14:paraId="60FB1684" w14:textId="77777777" w:rsidTr="00EA573C">
        <w:tc>
          <w:tcPr>
            <w:tcW w:w="675" w:type="dxa"/>
          </w:tcPr>
          <w:p w14:paraId="28A42A8A" w14:textId="77777777" w:rsidR="008831F9" w:rsidRPr="00203191" w:rsidRDefault="008831F9" w:rsidP="00262498">
            <w:pPr>
              <w:pStyle w:val="StylIwony"/>
              <w:numPr>
                <w:ilvl w:val="0"/>
                <w:numId w:val="259"/>
              </w:numPr>
              <w:tabs>
                <w:tab w:val="left" w:pos="9914"/>
              </w:tabs>
              <w:spacing w:before="0" w:after="0"/>
              <w:rPr>
                <w:rFonts w:ascii="Calibri" w:hAnsi="Calibri" w:cs="Calibri"/>
                <w:sz w:val="20"/>
                <w:szCs w:val="20"/>
              </w:rPr>
            </w:pPr>
            <w:r w:rsidRPr="00203191">
              <w:rPr>
                <w:rFonts w:ascii="Calibri" w:hAnsi="Calibri" w:cs="Calibri"/>
                <w:sz w:val="20"/>
                <w:szCs w:val="20"/>
              </w:rPr>
              <w:t>TBR</w:t>
            </w:r>
          </w:p>
        </w:tc>
        <w:tc>
          <w:tcPr>
            <w:tcW w:w="9072" w:type="dxa"/>
          </w:tcPr>
          <w:p w14:paraId="3D00C10E" w14:textId="77777777" w:rsidR="008831F9" w:rsidRPr="00203191" w:rsidRDefault="008831F9" w:rsidP="00EA573C">
            <w:pPr>
              <w:pStyle w:val="StylIwony"/>
              <w:tabs>
                <w:tab w:val="left" w:pos="9914"/>
              </w:tabs>
              <w:spacing w:before="0" w:after="0"/>
              <w:ind w:left="99"/>
              <w:rPr>
                <w:rFonts w:ascii="Calibri" w:hAnsi="Calibri" w:cs="Calibri"/>
                <w:sz w:val="20"/>
                <w:szCs w:val="20"/>
              </w:rPr>
            </w:pPr>
            <w:r w:rsidRPr="00203191">
              <w:rPr>
                <w:rFonts w:ascii="Calibri" w:hAnsi="Calibri" w:cs="Calibri"/>
                <w:sz w:val="20"/>
                <w:szCs w:val="20"/>
              </w:rPr>
              <w:t>do zadeklarowania (ang. To Be Reported; producent może dostarczyć odpowiednie informacje, jednak nie jest do tego zobowiązany),</w:t>
            </w:r>
          </w:p>
        </w:tc>
      </w:tr>
      <w:tr w:rsidR="008831F9" w:rsidRPr="00E96860" w14:paraId="3E184513" w14:textId="77777777" w:rsidTr="00EA573C">
        <w:tc>
          <w:tcPr>
            <w:tcW w:w="675" w:type="dxa"/>
          </w:tcPr>
          <w:p w14:paraId="1B9BBD64" w14:textId="77777777" w:rsidR="008831F9" w:rsidRPr="00203191" w:rsidRDefault="008831F9" w:rsidP="00262498">
            <w:pPr>
              <w:pStyle w:val="StylIwony"/>
              <w:numPr>
                <w:ilvl w:val="0"/>
                <w:numId w:val="259"/>
              </w:numPr>
              <w:tabs>
                <w:tab w:val="left" w:pos="9914"/>
              </w:tabs>
              <w:spacing w:before="0" w:after="0"/>
              <w:rPr>
                <w:rFonts w:ascii="Calibri" w:hAnsi="Calibri" w:cs="Calibri"/>
                <w:sz w:val="20"/>
                <w:szCs w:val="20"/>
              </w:rPr>
            </w:pPr>
            <w:r w:rsidRPr="00203191">
              <w:rPr>
                <w:rFonts w:ascii="Calibri" w:hAnsi="Calibri" w:cs="Calibri"/>
                <w:sz w:val="20"/>
                <w:szCs w:val="20"/>
              </w:rPr>
              <w:t>IRI</w:t>
            </w:r>
          </w:p>
        </w:tc>
        <w:tc>
          <w:tcPr>
            <w:tcW w:w="9072" w:type="dxa"/>
          </w:tcPr>
          <w:p w14:paraId="40BD6D56" w14:textId="77777777" w:rsidR="008831F9" w:rsidRPr="00203191" w:rsidRDefault="008831F9" w:rsidP="00EA573C">
            <w:pPr>
              <w:pStyle w:val="StylIwony"/>
              <w:tabs>
                <w:tab w:val="left" w:pos="9914"/>
              </w:tabs>
              <w:spacing w:before="0" w:after="0"/>
              <w:ind w:left="99"/>
              <w:rPr>
                <w:rFonts w:ascii="Calibri" w:hAnsi="Calibri" w:cs="Calibri"/>
                <w:sz w:val="20"/>
                <w:szCs w:val="20"/>
              </w:rPr>
            </w:pPr>
            <w:r w:rsidRPr="00203191">
              <w:rPr>
                <w:rFonts w:ascii="Calibri" w:hAnsi="Calibri" w:cs="Calibri"/>
                <w:sz w:val="20"/>
                <w:szCs w:val="20"/>
              </w:rPr>
              <w:t>(International Roughness Index) międzynarodowy wskaźnik równości,</w:t>
            </w:r>
          </w:p>
        </w:tc>
      </w:tr>
    </w:tbl>
    <w:p w14:paraId="441EB2A8" w14:textId="77777777" w:rsidR="008831F9" w:rsidRPr="004E54A4" w:rsidRDefault="008831F9" w:rsidP="008831F9">
      <w:pPr>
        <w:pStyle w:val="Nagwek4"/>
      </w:pPr>
      <w:r w:rsidRPr="004E54A4">
        <w:t>1.5. Ogólne wymagania dotyczące robót</w:t>
      </w:r>
    </w:p>
    <w:p w14:paraId="68B8BF2E" w14:textId="77777777" w:rsidR="008831F9" w:rsidRDefault="008831F9" w:rsidP="008831F9">
      <w:pPr>
        <w:pStyle w:val="StylIwony"/>
        <w:tabs>
          <w:tab w:val="left" w:pos="9914"/>
        </w:tabs>
        <w:spacing w:before="0" w:after="0"/>
        <w:rPr>
          <w:rFonts w:ascii="Calibri" w:hAnsi="Calibri" w:cs="Calibri"/>
          <w:sz w:val="20"/>
          <w:szCs w:val="20"/>
        </w:rPr>
      </w:pPr>
    </w:p>
    <w:p w14:paraId="128B33FC" w14:textId="77777777" w:rsidR="008831F9" w:rsidRPr="00203191" w:rsidRDefault="008831F9" w:rsidP="008831F9">
      <w:pPr>
        <w:pStyle w:val="StylIwony"/>
        <w:tabs>
          <w:tab w:val="left" w:pos="9914"/>
        </w:tabs>
        <w:spacing w:before="0" w:after="0"/>
        <w:rPr>
          <w:rFonts w:ascii="Calibri" w:hAnsi="Calibri" w:cs="Calibri"/>
          <w:sz w:val="20"/>
          <w:szCs w:val="20"/>
        </w:rPr>
      </w:pPr>
      <w:r w:rsidRPr="00203191">
        <w:rPr>
          <w:rFonts w:ascii="Calibri" w:hAnsi="Calibri" w:cs="Calibri"/>
          <w:sz w:val="20"/>
          <w:szCs w:val="20"/>
        </w:rPr>
        <w:t xml:space="preserve">Ogólne wymagania dotyczące robót podano w </w:t>
      </w:r>
      <w:r>
        <w:rPr>
          <w:rFonts w:ascii="Calibri" w:hAnsi="Calibri" w:cs="Calibri"/>
          <w:sz w:val="20"/>
          <w:szCs w:val="20"/>
        </w:rPr>
        <w:t>STWiORB</w:t>
      </w:r>
      <w:r w:rsidRPr="00203191">
        <w:rPr>
          <w:rFonts w:ascii="Calibri" w:hAnsi="Calibri" w:cs="Calibri"/>
          <w:sz w:val="20"/>
          <w:szCs w:val="20"/>
        </w:rPr>
        <w:t xml:space="preserve"> D-M-00.00.00 „Wymagania ogólne” pkt 1.5.</w:t>
      </w:r>
    </w:p>
    <w:p w14:paraId="01561016" w14:textId="77777777" w:rsidR="008831F9" w:rsidRPr="004E54A4" w:rsidRDefault="008831F9" w:rsidP="008831F9">
      <w:pPr>
        <w:pStyle w:val="Nagwek3"/>
      </w:pPr>
      <w:r w:rsidRPr="004E54A4">
        <w:t>2. WYROBY BUDOWLANE</w:t>
      </w:r>
    </w:p>
    <w:p w14:paraId="5DB3BEAF" w14:textId="77777777" w:rsidR="008831F9" w:rsidRPr="004E54A4" w:rsidRDefault="008831F9" w:rsidP="008831F9">
      <w:pPr>
        <w:pStyle w:val="Nagwek4"/>
      </w:pPr>
      <w:r w:rsidRPr="004E54A4">
        <w:t>2.1. Ogólne wymagania dotyczące materiałów</w:t>
      </w:r>
    </w:p>
    <w:p w14:paraId="53A71D3C" w14:textId="77777777" w:rsidR="008831F9" w:rsidRDefault="008831F9" w:rsidP="008831F9">
      <w:pPr>
        <w:pStyle w:val="StylIwony"/>
        <w:tabs>
          <w:tab w:val="left" w:pos="9914"/>
        </w:tabs>
        <w:spacing w:before="0" w:after="0"/>
        <w:rPr>
          <w:rFonts w:ascii="Calibri" w:hAnsi="Calibri" w:cs="Calibri"/>
          <w:sz w:val="20"/>
          <w:szCs w:val="20"/>
        </w:rPr>
      </w:pPr>
    </w:p>
    <w:p w14:paraId="4D196E0C" w14:textId="77777777" w:rsidR="008831F9" w:rsidRPr="00203191" w:rsidRDefault="008831F9" w:rsidP="008831F9">
      <w:pPr>
        <w:pStyle w:val="StylIwony"/>
        <w:tabs>
          <w:tab w:val="left" w:pos="9914"/>
        </w:tabs>
        <w:spacing w:before="0" w:after="0"/>
        <w:rPr>
          <w:rFonts w:ascii="Calibri" w:hAnsi="Calibri" w:cs="Calibri"/>
          <w:sz w:val="20"/>
          <w:szCs w:val="20"/>
        </w:rPr>
      </w:pPr>
      <w:r w:rsidRPr="00203191">
        <w:rPr>
          <w:rFonts w:ascii="Calibri" w:hAnsi="Calibri" w:cs="Calibri"/>
          <w:sz w:val="20"/>
          <w:szCs w:val="20"/>
        </w:rPr>
        <w:t xml:space="preserve">Ogólne wymagania dotyczące materiałów, ich pozyskiwania i składowania, podano w </w:t>
      </w:r>
      <w:r>
        <w:rPr>
          <w:rFonts w:ascii="Calibri" w:hAnsi="Calibri" w:cs="Calibri"/>
          <w:sz w:val="20"/>
          <w:szCs w:val="20"/>
        </w:rPr>
        <w:t>STWiORB</w:t>
      </w:r>
      <w:r w:rsidRPr="00203191">
        <w:rPr>
          <w:rFonts w:ascii="Calibri" w:hAnsi="Calibri" w:cs="Calibri"/>
          <w:sz w:val="20"/>
          <w:szCs w:val="20"/>
        </w:rPr>
        <w:t xml:space="preserve"> D-M-00.00.00 „Wymagania ogólne” pkt 2.</w:t>
      </w:r>
    </w:p>
    <w:p w14:paraId="639FA7BC" w14:textId="77777777" w:rsidR="008831F9" w:rsidRPr="004E54A4" w:rsidRDefault="008831F9" w:rsidP="008831F9">
      <w:pPr>
        <w:pStyle w:val="Nagwek4"/>
      </w:pPr>
      <w:r w:rsidRPr="004E54A4">
        <w:t xml:space="preserve">2.2 .Wyroby budowlane do warstwy ścieralnej z  betonu asfaltowego </w:t>
      </w:r>
    </w:p>
    <w:p w14:paraId="7EF2CE48" w14:textId="77777777" w:rsidR="008831F9" w:rsidRPr="004E54A4" w:rsidRDefault="008831F9" w:rsidP="008831F9">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rPr>
          <w:rFonts w:ascii="Calibri" w:hAnsi="Calibri" w:cs="Calibri"/>
          <w:b/>
          <w:bCs/>
        </w:rPr>
      </w:pPr>
    </w:p>
    <w:p w14:paraId="43E08B14" w14:textId="77777777" w:rsidR="008831F9" w:rsidRPr="00BB72E9" w:rsidRDefault="008831F9" w:rsidP="008831F9">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rPr>
          <w:rFonts w:ascii="Calibri" w:hAnsi="Calibri" w:cs="Calibri"/>
          <w:bCs/>
        </w:rPr>
      </w:pPr>
      <w:r w:rsidRPr="00BB72E9">
        <w:rPr>
          <w:rFonts w:ascii="Calibri" w:hAnsi="Calibri" w:cs="Calibri"/>
          <w:bCs/>
        </w:rPr>
        <w:t>Tablica 1</w:t>
      </w:r>
    </w:p>
    <w:tbl>
      <w:tblPr>
        <w:tblW w:w="747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75"/>
        <w:gridCol w:w="1701"/>
        <w:gridCol w:w="1701"/>
      </w:tblGrid>
      <w:tr w:rsidR="008831F9" w:rsidRPr="00770202" w14:paraId="6D99A136" w14:textId="77777777" w:rsidTr="008831F9">
        <w:trPr>
          <w:cantSplit/>
        </w:trPr>
        <w:tc>
          <w:tcPr>
            <w:tcW w:w="4075" w:type="dxa"/>
            <w:vMerge w:val="restart"/>
          </w:tcPr>
          <w:p w14:paraId="18445FE6" w14:textId="77777777" w:rsidR="008831F9" w:rsidRPr="00770202" w:rsidRDefault="008831F9" w:rsidP="00EA573C">
            <w:pPr>
              <w:jc w:val="center"/>
              <w:rPr>
                <w:rFonts w:ascii="Calibri" w:hAnsi="Calibri" w:cs="Calibri"/>
              </w:rPr>
            </w:pPr>
            <w:r w:rsidRPr="00770202">
              <w:rPr>
                <w:rFonts w:ascii="Calibri" w:hAnsi="Calibri" w:cs="Calibri"/>
              </w:rPr>
              <w:t>Materiał</w:t>
            </w:r>
          </w:p>
        </w:tc>
        <w:tc>
          <w:tcPr>
            <w:tcW w:w="3402" w:type="dxa"/>
            <w:gridSpan w:val="2"/>
          </w:tcPr>
          <w:p w14:paraId="6849ADB3" w14:textId="77777777" w:rsidR="008831F9" w:rsidRDefault="008831F9" w:rsidP="00EA573C">
            <w:pPr>
              <w:jc w:val="center"/>
              <w:rPr>
                <w:rFonts w:ascii="Calibri" w:hAnsi="Calibri" w:cs="Calibri"/>
              </w:rPr>
            </w:pPr>
            <w:r>
              <w:rPr>
                <w:rFonts w:ascii="Calibri" w:hAnsi="Calibri" w:cs="Calibri"/>
              </w:rPr>
              <w:t>Jezdnie</w:t>
            </w:r>
          </w:p>
        </w:tc>
      </w:tr>
      <w:tr w:rsidR="008831F9" w:rsidRPr="00770202" w14:paraId="2AC9A095" w14:textId="77777777" w:rsidTr="008831F9">
        <w:trPr>
          <w:cantSplit/>
          <w:trHeight w:val="497"/>
        </w:trPr>
        <w:tc>
          <w:tcPr>
            <w:tcW w:w="4075" w:type="dxa"/>
            <w:vMerge/>
          </w:tcPr>
          <w:p w14:paraId="39CA981E" w14:textId="77777777" w:rsidR="008831F9" w:rsidRPr="00770202" w:rsidRDefault="008831F9" w:rsidP="00EA573C">
            <w:pPr>
              <w:jc w:val="center"/>
              <w:rPr>
                <w:rFonts w:ascii="Calibri" w:hAnsi="Calibri" w:cs="Calibri"/>
              </w:rPr>
            </w:pPr>
          </w:p>
        </w:tc>
        <w:tc>
          <w:tcPr>
            <w:tcW w:w="1701" w:type="dxa"/>
          </w:tcPr>
          <w:p w14:paraId="5C8D82D1" w14:textId="77777777" w:rsidR="008831F9" w:rsidRPr="00770202" w:rsidRDefault="008831F9" w:rsidP="00EA573C">
            <w:pPr>
              <w:jc w:val="center"/>
              <w:rPr>
                <w:rFonts w:ascii="Calibri" w:hAnsi="Calibri" w:cs="Calibri"/>
                <w:lang w:val="de-DE"/>
              </w:rPr>
            </w:pPr>
            <w:r>
              <w:rPr>
                <w:rFonts w:ascii="Calibri" w:hAnsi="Calibri" w:cs="Calibri"/>
                <w:lang w:val="de-DE"/>
              </w:rPr>
              <w:t>KR1-2</w:t>
            </w:r>
          </w:p>
        </w:tc>
        <w:tc>
          <w:tcPr>
            <w:tcW w:w="1701" w:type="dxa"/>
          </w:tcPr>
          <w:p w14:paraId="3BE06684" w14:textId="77777777" w:rsidR="008831F9" w:rsidRDefault="008831F9" w:rsidP="00EA573C">
            <w:pPr>
              <w:jc w:val="center"/>
              <w:rPr>
                <w:rFonts w:ascii="Calibri" w:hAnsi="Calibri" w:cs="Calibri"/>
                <w:lang w:val="de-DE"/>
              </w:rPr>
            </w:pPr>
            <w:r>
              <w:rPr>
                <w:rFonts w:ascii="Calibri" w:hAnsi="Calibri" w:cs="Calibri"/>
                <w:lang w:val="de-DE"/>
              </w:rPr>
              <w:t>KR3-4</w:t>
            </w:r>
          </w:p>
        </w:tc>
      </w:tr>
      <w:tr w:rsidR="008831F9" w:rsidRPr="00770202" w14:paraId="350FD0ED" w14:textId="77777777" w:rsidTr="008831F9">
        <w:trPr>
          <w:cantSplit/>
        </w:trPr>
        <w:tc>
          <w:tcPr>
            <w:tcW w:w="4075" w:type="dxa"/>
          </w:tcPr>
          <w:p w14:paraId="14224AAD" w14:textId="77777777" w:rsidR="008831F9" w:rsidRPr="004E54A4" w:rsidRDefault="008831F9" w:rsidP="00EA573C">
            <w:pPr>
              <w:rPr>
                <w:rFonts w:ascii="Calibri" w:hAnsi="Calibri" w:cs="Calibri"/>
              </w:rPr>
            </w:pPr>
            <w:r w:rsidRPr="004E54A4">
              <w:rPr>
                <w:rFonts w:ascii="Calibri" w:hAnsi="Calibri" w:cs="Calibri"/>
              </w:rPr>
              <w:t>Mieszanki mineralno-asfaltowa o wymiarze D,[mm]</w:t>
            </w:r>
          </w:p>
        </w:tc>
        <w:tc>
          <w:tcPr>
            <w:tcW w:w="1701" w:type="dxa"/>
          </w:tcPr>
          <w:p w14:paraId="0841A968" w14:textId="77777777" w:rsidR="008831F9" w:rsidRDefault="008831F9" w:rsidP="00EA573C">
            <w:pPr>
              <w:jc w:val="center"/>
              <w:rPr>
                <w:rFonts w:ascii="Calibri" w:hAnsi="Calibri" w:cs="Calibri"/>
              </w:rPr>
            </w:pPr>
            <w:r>
              <w:rPr>
                <w:rFonts w:ascii="Calibri" w:hAnsi="Calibri" w:cs="Calibri"/>
              </w:rPr>
              <w:t>11</w:t>
            </w:r>
          </w:p>
        </w:tc>
        <w:tc>
          <w:tcPr>
            <w:tcW w:w="1701" w:type="dxa"/>
          </w:tcPr>
          <w:p w14:paraId="5A0CB886" w14:textId="77777777" w:rsidR="008831F9" w:rsidRDefault="008831F9" w:rsidP="00EA573C">
            <w:pPr>
              <w:jc w:val="center"/>
              <w:rPr>
                <w:rFonts w:ascii="Calibri" w:hAnsi="Calibri" w:cs="Calibri"/>
              </w:rPr>
            </w:pPr>
            <w:r>
              <w:rPr>
                <w:rFonts w:ascii="Calibri" w:hAnsi="Calibri" w:cs="Calibri"/>
              </w:rPr>
              <w:t>11</w:t>
            </w:r>
          </w:p>
        </w:tc>
      </w:tr>
      <w:tr w:rsidR="008831F9" w:rsidRPr="00770202" w14:paraId="4A23A500" w14:textId="77777777" w:rsidTr="008831F9">
        <w:trPr>
          <w:cantSplit/>
        </w:trPr>
        <w:tc>
          <w:tcPr>
            <w:tcW w:w="4075" w:type="dxa"/>
          </w:tcPr>
          <w:p w14:paraId="3ACEE000" w14:textId="77777777" w:rsidR="008831F9" w:rsidRPr="00770202" w:rsidRDefault="008831F9" w:rsidP="00EA573C">
            <w:pPr>
              <w:pStyle w:val="Stopka"/>
              <w:tabs>
                <w:tab w:val="clear" w:pos="9072"/>
              </w:tabs>
              <w:rPr>
                <w:rFonts w:ascii="Calibri" w:hAnsi="Calibri" w:cs="Calibri"/>
              </w:rPr>
            </w:pPr>
            <w:r w:rsidRPr="00770202">
              <w:rPr>
                <w:rFonts w:ascii="Calibri" w:hAnsi="Calibri" w:cs="Calibri"/>
              </w:rPr>
              <w:t>Lepiszcze asfaltowe</w:t>
            </w:r>
          </w:p>
        </w:tc>
        <w:tc>
          <w:tcPr>
            <w:tcW w:w="1701" w:type="dxa"/>
          </w:tcPr>
          <w:p w14:paraId="5EDE9EA5" w14:textId="77777777" w:rsidR="008831F9" w:rsidRPr="00C52734" w:rsidRDefault="008831F9" w:rsidP="00EA573C">
            <w:pPr>
              <w:jc w:val="center"/>
              <w:rPr>
                <w:rFonts w:ascii="Calibri" w:hAnsi="Calibri" w:cs="Calibri"/>
                <w:strike/>
              </w:rPr>
            </w:pPr>
            <w:r w:rsidRPr="00092C52">
              <w:rPr>
                <w:rFonts w:ascii="Calibri" w:hAnsi="Calibri" w:cs="Calibri"/>
              </w:rPr>
              <w:t xml:space="preserve">50/70 lub 35/50 </w:t>
            </w:r>
          </w:p>
        </w:tc>
        <w:tc>
          <w:tcPr>
            <w:tcW w:w="1701" w:type="dxa"/>
          </w:tcPr>
          <w:p w14:paraId="1D791B93" w14:textId="77777777" w:rsidR="008831F9" w:rsidRPr="00092C52" w:rsidRDefault="008831F9" w:rsidP="00EA573C">
            <w:pPr>
              <w:jc w:val="center"/>
              <w:rPr>
                <w:rFonts w:ascii="Calibri" w:hAnsi="Calibri" w:cs="Calibri"/>
              </w:rPr>
            </w:pPr>
            <w:r w:rsidRPr="00D83FD2">
              <w:rPr>
                <w:rFonts w:ascii="Calibri" w:hAnsi="Calibri" w:cs="Calibri"/>
              </w:rPr>
              <w:t>50/70 lub 35/50</w:t>
            </w:r>
          </w:p>
        </w:tc>
      </w:tr>
      <w:tr w:rsidR="008831F9" w:rsidRPr="00770202" w14:paraId="5212322D" w14:textId="77777777" w:rsidTr="008831F9">
        <w:trPr>
          <w:cantSplit/>
        </w:trPr>
        <w:tc>
          <w:tcPr>
            <w:tcW w:w="4075" w:type="dxa"/>
          </w:tcPr>
          <w:p w14:paraId="547DDF98" w14:textId="77777777" w:rsidR="008831F9" w:rsidRPr="00770202" w:rsidRDefault="008831F9" w:rsidP="00EA573C">
            <w:pPr>
              <w:rPr>
                <w:rFonts w:ascii="Calibri" w:hAnsi="Calibri" w:cs="Calibri"/>
              </w:rPr>
            </w:pPr>
            <w:r w:rsidRPr="00770202">
              <w:rPr>
                <w:rFonts w:ascii="Calibri" w:hAnsi="Calibri" w:cs="Calibri"/>
              </w:rPr>
              <w:t>Kruszywa mineralne</w:t>
            </w:r>
          </w:p>
        </w:tc>
        <w:tc>
          <w:tcPr>
            <w:tcW w:w="1701" w:type="dxa"/>
          </w:tcPr>
          <w:p w14:paraId="66F31E65" w14:textId="77777777" w:rsidR="008831F9" w:rsidRDefault="008831F9" w:rsidP="00EA573C">
            <w:r w:rsidRPr="00EF552D">
              <w:rPr>
                <w:rFonts w:ascii="Calibri" w:hAnsi="Calibri" w:cs="Calibri"/>
              </w:rPr>
              <w:t>tablica 2; 3; 4 niniejszej ST</w:t>
            </w:r>
          </w:p>
        </w:tc>
        <w:tc>
          <w:tcPr>
            <w:tcW w:w="1701" w:type="dxa"/>
          </w:tcPr>
          <w:p w14:paraId="17E1F21E" w14:textId="77777777" w:rsidR="008831F9" w:rsidRPr="00EF552D" w:rsidRDefault="008831F9" w:rsidP="00EA573C">
            <w:pPr>
              <w:rPr>
                <w:rFonts w:ascii="Calibri" w:hAnsi="Calibri" w:cs="Calibri"/>
              </w:rPr>
            </w:pPr>
            <w:r w:rsidRPr="00EF552D">
              <w:rPr>
                <w:rFonts w:ascii="Calibri" w:hAnsi="Calibri" w:cs="Calibri"/>
              </w:rPr>
              <w:t>tablica 2; 3; 4 niniejszej ST</w:t>
            </w:r>
          </w:p>
        </w:tc>
      </w:tr>
    </w:tbl>
    <w:p w14:paraId="1F1BDAEA" w14:textId="77777777" w:rsidR="008831F9" w:rsidRPr="00C52734" w:rsidRDefault="008831F9" w:rsidP="008831F9">
      <w:pPr>
        <w:pStyle w:val="Nagwek4"/>
        <w:rPr>
          <w:color w:val="FF0000"/>
          <w:sz w:val="28"/>
        </w:rPr>
      </w:pPr>
      <w:r w:rsidRPr="00770202">
        <w:t>2.</w:t>
      </w:r>
      <w:r>
        <w:t>3</w:t>
      </w:r>
      <w:r w:rsidRPr="00770202">
        <w:t>.Kruszywo</w:t>
      </w:r>
      <w:r>
        <w:t xml:space="preserve"> </w:t>
      </w:r>
    </w:p>
    <w:p w14:paraId="0AAA126F" w14:textId="77777777" w:rsidR="008831F9" w:rsidRPr="00C52734" w:rsidRDefault="008831F9" w:rsidP="008831F9">
      <w:pPr>
        <w:pStyle w:val="Tekstpodstawowywcity2"/>
        <w:spacing w:after="0" w:line="240" w:lineRule="auto"/>
        <w:ind w:left="0"/>
        <w:rPr>
          <w:rFonts w:ascii="Calibri" w:hAnsi="Calibri" w:cs="Calibri"/>
          <w:sz w:val="20"/>
          <w:szCs w:val="20"/>
          <w:lang w:val="pl-PL"/>
        </w:rPr>
      </w:pPr>
    </w:p>
    <w:p w14:paraId="3991F47B" w14:textId="77777777" w:rsidR="008831F9" w:rsidRPr="004E54A4" w:rsidRDefault="008831F9" w:rsidP="008831F9">
      <w:pPr>
        <w:ind w:left="1080" w:hanging="1080"/>
        <w:rPr>
          <w:rFonts w:ascii="Calibri" w:hAnsi="Calibri" w:cs="Calibri"/>
        </w:rPr>
      </w:pPr>
      <w:r w:rsidRPr="004E54A4">
        <w:rPr>
          <w:rFonts w:ascii="Calibri" w:hAnsi="Calibri" w:cs="Calibri"/>
        </w:rPr>
        <w:t>Tablica 2.</w:t>
      </w:r>
      <w:r w:rsidRPr="004E54A4">
        <w:rPr>
          <w:rFonts w:ascii="Calibri" w:hAnsi="Calibri" w:cs="Calibri"/>
        </w:rPr>
        <w:tab/>
        <w:t>Wymagane właściwości kruszywa grubego do</w:t>
      </w:r>
      <w:r w:rsidRPr="004E54A4">
        <w:rPr>
          <w:rFonts w:ascii="Calibri" w:hAnsi="Calibri" w:cs="Calibri"/>
          <w:b/>
          <w:bCs/>
        </w:rPr>
        <w:t xml:space="preserve"> </w:t>
      </w:r>
      <w:r w:rsidRPr="004E54A4">
        <w:rPr>
          <w:rFonts w:ascii="Calibri" w:hAnsi="Calibri" w:cs="Calibri"/>
        </w:rPr>
        <w:t>warstwy ścieralnej z betonu asfaltowego</w:t>
      </w:r>
    </w:p>
    <w:p w14:paraId="2F5CE974" w14:textId="77777777" w:rsidR="008831F9" w:rsidRPr="00BB72E9" w:rsidRDefault="008831F9" w:rsidP="008831F9">
      <w:pPr>
        <w:ind w:left="1080" w:hanging="1080"/>
        <w:rPr>
          <w:rFonts w:ascii="Calibri" w:hAnsi="Calibri" w:cs="Calibri"/>
        </w:rPr>
      </w:pPr>
      <w:r w:rsidRPr="00BB72E9">
        <w:rPr>
          <w:rFonts w:ascii="Calibri" w:hAnsi="Calibri" w:cs="Calibri"/>
        </w:rPr>
        <w:t>Wg WT-1 2014 pkt. 5.3 tabela 12</w:t>
      </w:r>
    </w:p>
    <w:tbl>
      <w:tblPr>
        <w:tblW w:w="402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81"/>
        <w:gridCol w:w="1550"/>
        <w:gridCol w:w="1551"/>
      </w:tblGrid>
      <w:tr w:rsidR="008831F9" w:rsidRPr="00770202" w14:paraId="0258D3F9" w14:textId="77777777" w:rsidTr="008831F9">
        <w:trPr>
          <w:cantSplit/>
        </w:trPr>
        <w:tc>
          <w:tcPr>
            <w:tcW w:w="2871" w:type="pct"/>
            <w:vMerge w:val="restart"/>
          </w:tcPr>
          <w:p w14:paraId="1A74C7A8" w14:textId="77777777" w:rsidR="008831F9" w:rsidRPr="00BB72E9" w:rsidRDefault="008831F9" w:rsidP="00EA573C">
            <w:pPr>
              <w:jc w:val="center"/>
              <w:rPr>
                <w:rFonts w:ascii="Calibri" w:hAnsi="Calibri" w:cs="Calibri"/>
              </w:rPr>
            </w:pPr>
            <w:r w:rsidRPr="00BB72E9">
              <w:rPr>
                <w:rFonts w:ascii="Calibri" w:hAnsi="Calibri" w:cs="Calibri"/>
              </w:rPr>
              <w:t>Właściwości kruszywa</w:t>
            </w:r>
          </w:p>
        </w:tc>
        <w:tc>
          <w:tcPr>
            <w:tcW w:w="2129" w:type="pct"/>
            <w:gridSpan w:val="2"/>
          </w:tcPr>
          <w:p w14:paraId="0EFFB1E8" w14:textId="77777777" w:rsidR="008831F9" w:rsidRPr="00BB72E9" w:rsidRDefault="008831F9" w:rsidP="00EA573C">
            <w:pPr>
              <w:jc w:val="center"/>
              <w:rPr>
                <w:rFonts w:ascii="Calibri" w:hAnsi="Calibri" w:cs="Calibri"/>
              </w:rPr>
            </w:pPr>
            <w:r w:rsidRPr="00BB72E9">
              <w:rPr>
                <w:rFonts w:ascii="Calibri" w:hAnsi="Calibri" w:cs="Calibri"/>
              </w:rPr>
              <w:t>Jezdnie</w:t>
            </w:r>
          </w:p>
        </w:tc>
      </w:tr>
      <w:tr w:rsidR="008831F9" w:rsidRPr="00770202" w14:paraId="5F6C9F0C" w14:textId="77777777" w:rsidTr="008831F9">
        <w:trPr>
          <w:cantSplit/>
          <w:trHeight w:val="355"/>
        </w:trPr>
        <w:tc>
          <w:tcPr>
            <w:tcW w:w="2871" w:type="pct"/>
            <w:vMerge/>
          </w:tcPr>
          <w:p w14:paraId="24C89DE6" w14:textId="77777777" w:rsidR="008831F9" w:rsidRPr="00BB72E9" w:rsidRDefault="008831F9" w:rsidP="00EA573C">
            <w:pPr>
              <w:jc w:val="center"/>
              <w:rPr>
                <w:rFonts w:ascii="Calibri" w:hAnsi="Calibri" w:cs="Calibri"/>
              </w:rPr>
            </w:pPr>
          </w:p>
        </w:tc>
        <w:tc>
          <w:tcPr>
            <w:tcW w:w="1064" w:type="pct"/>
          </w:tcPr>
          <w:p w14:paraId="1D0A538E" w14:textId="77777777" w:rsidR="008831F9" w:rsidRPr="00BB72E9" w:rsidRDefault="008831F9" w:rsidP="00EA573C">
            <w:pPr>
              <w:jc w:val="center"/>
              <w:rPr>
                <w:rFonts w:ascii="Calibri" w:hAnsi="Calibri" w:cs="Calibri"/>
              </w:rPr>
            </w:pPr>
            <w:r w:rsidRPr="00BB72E9">
              <w:rPr>
                <w:rFonts w:ascii="Calibri" w:hAnsi="Calibri" w:cs="Calibri"/>
              </w:rPr>
              <w:t>KR1-2</w:t>
            </w:r>
          </w:p>
        </w:tc>
        <w:tc>
          <w:tcPr>
            <w:tcW w:w="1064" w:type="pct"/>
          </w:tcPr>
          <w:p w14:paraId="30343F49" w14:textId="77777777" w:rsidR="008831F9" w:rsidRPr="00BB72E9" w:rsidRDefault="008831F9" w:rsidP="00EA573C">
            <w:pPr>
              <w:jc w:val="center"/>
              <w:rPr>
                <w:rFonts w:ascii="Calibri" w:hAnsi="Calibri" w:cs="Calibri"/>
              </w:rPr>
            </w:pPr>
            <w:r>
              <w:rPr>
                <w:rFonts w:ascii="Calibri" w:hAnsi="Calibri" w:cs="Calibri"/>
                <w:lang w:val="de-DE"/>
              </w:rPr>
              <w:t>KR3-4</w:t>
            </w:r>
          </w:p>
        </w:tc>
      </w:tr>
      <w:tr w:rsidR="008831F9" w:rsidRPr="00770202" w14:paraId="3084180C" w14:textId="77777777" w:rsidTr="008831F9">
        <w:tc>
          <w:tcPr>
            <w:tcW w:w="2871" w:type="pct"/>
          </w:tcPr>
          <w:p w14:paraId="651E6CCB" w14:textId="77777777" w:rsidR="008831F9" w:rsidRPr="004E54A4" w:rsidRDefault="008831F9" w:rsidP="00EA573C">
            <w:pPr>
              <w:rPr>
                <w:rFonts w:ascii="Calibri" w:hAnsi="Calibri" w:cs="Calibri"/>
              </w:rPr>
            </w:pPr>
            <w:r w:rsidRPr="004E54A4">
              <w:rPr>
                <w:rFonts w:ascii="Calibri" w:hAnsi="Calibri" w:cs="Calibri"/>
              </w:rPr>
              <w:t>Uziarnienie według PN-EN 933-1; kategoria nie niższa niż:</w:t>
            </w:r>
          </w:p>
        </w:tc>
        <w:tc>
          <w:tcPr>
            <w:tcW w:w="1064" w:type="pct"/>
          </w:tcPr>
          <w:p w14:paraId="57A0A7AB" w14:textId="77777777" w:rsidR="008831F9" w:rsidRPr="00BB72E9" w:rsidRDefault="008831F9" w:rsidP="00EA573C">
            <w:pPr>
              <w:jc w:val="center"/>
              <w:rPr>
                <w:rFonts w:ascii="Calibri" w:hAnsi="Calibri" w:cs="Calibri"/>
              </w:rPr>
            </w:pPr>
            <w:r w:rsidRPr="00BB72E9">
              <w:rPr>
                <w:rFonts w:ascii="Calibri" w:hAnsi="Calibri" w:cs="Calibri"/>
                <w:i/>
                <w:iCs/>
              </w:rPr>
              <w:t>G</w:t>
            </w:r>
            <w:r w:rsidRPr="00BB72E9">
              <w:rPr>
                <w:rFonts w:ascii="Calibri" w:hAnsi="Calibri" w:cs="Calibri"/>
                <w:vertAlign w:val="subscript"/>
              </w:rPr>
              <w:t>C85/20</w:t>
            </w:r>
          </w:p>
        </w:tc>
        <w:tc>
          <w:tcPr>
            <w:tcW w:w="1064" w:type="pct"/>
          </w:tcPr>
          <w:p w14:paraId="494D2B54" w14:textId="77777777" w:rsidR="008831F9" w:rsidRPr="00BB72E9" w:rsidRDefault="008831F9" w:rsidP="00EA573C">
            <w:pPr>
              <w:jc w:val="center"/>
              <w:rPr>
                <w:rFonts w:ascii="Calibri" w:hAnsi="Calibri" w:cs="Calibri"/>
                <w:i/>
                <w:iCs/>
              </w:rPr>
            </w:pPr>
            <w:r w:rsidRPr="00BB72E9">
              <w:rPr>
                <w:rFonts w:ascii="Calibri" w:hAnsi="Calibri" w:cs="Calibri"/>
                <w:i/>
                <w:iCs/>
              </w:rPr>
              <w:t>G</w:t>
            </w:r>
            <w:r w:rsidRPr="00BB72E9">
              <w:rPr>
                <w:rFonts w:ascii="Calibri" w:hAnsi="Calibri" w:cs="Calibri"/>
                <w:vertAlign w:val="subscript"/>
              </w:rPr>
              <w:t>C</w:t>
            </w:r>
            <w:r>
              <w:rPr>
                <w:rFonts w:ascii="Calibri" w:hAnsi="Calibri" w:cs="Calibri"/>
                <w:vertAlign w:val="subscript"/>
              </w:rPr>
              <w:t>90</w:t>
            </w:r>
            <w:r w:rsidRPr="00BB72E9">
              <w:rPr>
                <w:rFonts w:ascii="Calibri" w:hAnsi="Calibri" w:cs="Calibri"/>
                <w:vertAlign w:val="subscript"/>
              </w:rPr>
              <w:t>/20</w:t>
            </w:r>
          </w:p>
        </w:tc>
      </w:tr>
      <w:tr w:rsidR="008831F9" w:rsidRPr="00770202" w14:paraId="4F5CB2DE" w14:textId="77777777" w:rsidTr="008831F9">
        <w:trPr>
          <w:trHeight w:val="451"/>
        </w:trPr>
        <w:tc>
          <w:tcPr>
            <w:tcW w:w="2871" w:type="pct"/>
          </w:tcPr>
          <w:p w14:paraId="569B58BA" w14:textId="77777777" w:rsidR="008831F9" w:rsidRPr="004E54A4" w:rsidRDefault="008831F9" w:rsidP="00EA573C">
            <w:pPr>
              <w:rPr>
                <w:rFonts w:ascii="Calibri" w:hAnsi="Calibri" w:cs="Calibri"/>
              </w:rPr>
            </w:pPr>
            <w:r w:rsidRPr="004E54A4">
              <w:rPr>
                <w:rFonts w:ascii="Calibri" w:hAnsi="Calibri" w:cs="Calibri"/>
              </w:rPr>
              <w:t>Tolerancja uziarnienia, odchylenia nie większe niż według kategorii:</w:t>
            </w:r>
          </w:p>
        </w:tc>
        <w:tc>
          <w:tcPr>
            <w:tcW w:w="1064" w:type="pct"/>
          </w:tcPr>
          <w:p w14:paraId="1C155166" w14:textId="77777777" w:rsidR="008831F9" w:rsidRPr="00BB72E9" w:rsidRDefault="008831F9" w:rsidP="00EA573C">
            <w:pPr>
              <w:jc w:val="center"/>
              <w:rPr>
                <w:rFonts w:ascii="Calibri" w:hAnsi="Calibri" w:cs="Calibri"/>
                <w:vertAlign w:val="subscript"/>
              </w:rPr>
            </w:pPr>
            <w:r w:rsidRPr="00BB72E9">
              <w:rPr>
                <w:rFonts w:ascii="Calibri" w:hAnsi="Calibri" w:cs="Calibri"/>
                <w:i/>
                <w:iCs/>
              </w:rPr>
              <w:t>G</w:t>
            </w:r>
            <w:r w:rsidRPr="00BB72E9">
              <w:rPr>
                <w:rFonts w:ascii="Calibri" w:hAnsi="Calibri" w:cs="Calibri"/>
                <w:vertAlign w:val="subscript"/>
              </w:rPr>
              <w:t>20/15</w:t>
            </w:r>
          </w:p>
          <w:p w14:paraId="78E08A0C" w14:textId="77777777" w:rsidR="008831F9" w:rsidRPr="00BB72E9" w:rsidRDefault="008831F9" w:rsidP="00EA573C">
            <w:pPr>
              <w:jc w:val="center"/>
              <w:rPr>
                <w:rFonts w:ascii="Calibri" w:hAnsi="Calibri" w:cs="Calibri"/>
                <w:vertAlign w:val="subscript"/>
              </w:rPr>
            </w:pPr>
            <w:r w:rsidRPr="00BB72E9">
              <w:rPr>
                <w:rFonts w:ascii="Calibri" w:hAnsi="Calibri" w:cs="Calibri"/>
                <w:i/>
                <w:iCs/>
              </w:rPr>
              <w:t>G</w:t>
            </w:r>
            <w:r w:rsidRPr="00BB72E9">
              <w:rPr>
                <w:rFonts w:ascii="Calibri" w:hAnsi="Calibri" w:cs="Calibri"/>
                <w:vertAlign w:val="subscript"/>
              </w:rPr>
              <w:t>25/15</w:t>
            </w:r>
          </w:p>
          <w:p w14:paraId="591CED96" w14:textId="77777777" w:rsidR="008831F9" w:rsidRPr="00BB72E9" w:rsidRDefault="008831F9" w:rsidP="00EA573C">
            <w:pPr>
              <w:jc w:val="center"/>
              <w:rPr>
                <w:rFonts w:ascii="Calibri" w:hAnsi="Calibri" w:cs="Calibri"/>
              </w:rPr>
            </w:pPr>
            <w:r w:rsidRPr="00BB72E9">
              <w:rPr>
                <w:rFonts w:ascii="Calibri" w:hAnsi="Calibri" w:cs="Calibri"/>
                <w:i/>
                <w:iCs/>
              </w:rPr>
              <w:t>G</w:t>
            </w:r>
            <w:r w:rsidRPr="00BB72E9">
              <w:rPr>
                <w:rFonts w:ascii="Calibri" w:hAnsi="Calibri" w:cs="Calibri"/>
                <w:vertAlign w:val="subscript"/>
              </w:rPr>
              <w:t>20/17,5</w:t>
            </w:r>
          </w:p>
        </w:tc>
        <w:tc>
          <w:tcPr>
            <w:tcW w:w="1064" w:type="pct"/>
          </w:tcPr>
          <w:p w14:paraId="45D37DD1" w14:textId="77777777" w:rsidR="008831F9" w:rsidRPr="00BB72E9" w:rsidRDefault="008831F9" w:rsidP="00EA573C">
            <w:pPr>
              <w:jc w:val="center"/>
              <w:rPr>
                <w:rFonts w:ascii="Calibri" w:hAnsi="Calibri" w:cs="Calibri"/>
                <w:vertAlign w:val="subscript"/>
              </w:rPr>
            </w:pPr>
            <w:r w:rsidRPr="00BB72E9">
              <w:rPr>
                <w:rFonts w:ascii="Calibri" w:hAnsi="Calibri" w:cs="Calibri"/>
                <w:i/>
                <w:iCs/>
              </w:rPr>
              <w:t>G</w:t>
            </w:r>
            <w:r w:rsidRPr="00BB72E9">
              <w:rPr>
                <w:rFonts w:ascii="Calibri" w:hAnsi="Calibri" w:cs="Calibri"/>
                <w:vertAlign w:val="subscript"/>
              </w:rPr>
              <w:t>2</w:t>
            </w:r>
            <w:r>
              <w:rPr>
                <w:rFonts w:ascii="Calibri" w:hAnsi="Calibri" w:cs="Calibri"/>
                <w:vertAlign w:val="subscript"/>
              </w:rPr>
              <w:t>5</w:t>
            </w:r>
            <w:r w:rsidRPr="00BB72E9">
              <w:rPr>
                <w:rFonts w:ascii="Calibri" w:hAnsi="Calibri" w:cs="Calibri"/>
                <w:vertAlign w:val="subscript"/>
              </w:rPr>
              <w:t>/15</w:t>
            </w:r>
          </w:p>
          <w:p w14:paraId="5D8E8B19" w14:textId="77777777" w:rsidR="008831F9" w:rsidRPr="00BB72E9" w:rsidRDefault="008831F9" w:rsidP="00EA573C">
            <w:pPr>
              <w:jc w:val="center"/>
              <w:rPr>
                <w:rFonts w:ascii="Calibri" w:hAnsi="Calibri" w:cs="Calibri"/>
                <w:vertAlign w:val="subscript"/>
              </w:rPr>
            </w:pPr>
            <w:r w:rsidRPr="00BB72E9">
              <w:rPr>
                <w:rFonts w:ascii="Calibri" w:hAnsi="Calibri" w:cs="Calibri"/>
                <w:i/>
                <w:iCs/>
              </w:rPr>
              <w:t>G</w:t>
            </w:r>
            <w:r w:rsidRPr="00BB72E9">
              <w:rPr>
                <w:rFonts w:ascii="Calibri" w:hAnsi="Calibri" w:cs="Calibri"/>
                <w:vertAlign w:val="subscript"/>
              </w:rPr>
              <w:t>2</w:t>
            </w:r>
            <w:r>
              <w:rPr>
                <w:rFonts w:ascii="Calibri" w:hAnsi="Calibri" w:cs="Calibri"/>
                <w:vertAlign w:val="subscript"/>
              </w:rPr>
              <w:t>0</w:t>
            </w:r>
            <w:r w:rsidRPr="00BB72E9">
              <w:rPr>
                <w:rFonts w:ascii="Calibri" w:hAnsi="Calibri" w:cs="Calibri"/>
                <w:vertAlign w:val="subscript"/>
              </w:rPr>
              <w:t>/15</w:t>
            </w:r>
          </w:p>
          <w:p w14:paraId="407B258F" w14:textId="77777777" w:rsidR="008831F9" w:rsidRPr="00BB72E9" w:rsidRDefault="008831F9" w:rsidP="00EA573C">
            <w:pPr>
              <w:jc w:val="center"/>
              <w:rPr>
                <w:rFonts w:ascii="Calibri" w:hAnsi="Calibri" w:cs="Calibri"/>
                <w:i/>
                <w:iCs/>
              </w:rPr>
            </w:pPr>
          </w:p>
        </w:tc>
      </w:tr>
      <w:tr w:rsidR="008831F9" w:rsidRPr="00770202" w14:paraId="79A4BA67" w14:textId="77777777" w:rsidTr="008831F9">
        <w:tc>
          <w:tcPr>
            <w:tcW w:w="2871" w:type="pct"/>
          </w:tcPr>
          <w:p w14:paraId="3246D946" w14:textId="77777777" w:rsidR="008831F9" w:rsidRPr="004E54A4" w:rsidRDefault="008831F9" w:rsidP="00EA573C">
            <w:pPr>
              <w:rPr>
                <w:rFonts w:ascii="Calibri" w:hAnsi="Calibri" w:cs="Calibri"/>
              </w:rPr>
            </w:pPr>
            <w:r w:rsidRPr="004E54A4">
              <w:rPr>
                <w:rFonts w:ascii="Calibri" w:hAnsi="Calibri" w:cs="Calibri"/>
              </w:rPr>
              <w:t xml:space="preserve">Zawartość pyłu według PN-EN 933-1; kategoria nie wyższa niż </w:t>
            </w:r>
          </w:p>
        </w:tc>
        <w:tc>
          <w:tcPr>
            <w:tcW w:w="1064" w:type="pct"/>
          </w:tcPr>
          <w:p w14:paraId="154BE788" w14:textId="77777777" w:rsidR="008831F9" w:rsidRPr="00BB72E9" w:rsidRDefault="008831F9" w:rsidP="00EA573C">
            <w:pPr>
              <w:jc w:val="center"/>
              <w:rPr>
                <w:rFonts w:ascii="Calibri" w:hAnsi="Calibri" w:cs="Calibri"/>
                <w:vertAlign w:val="subscript"/>
              </w:rPr>
            </w:pPr>
            <w:r w:rsidRPr="00BB72E9">
              <w:rPr>
                <w:rFonts w:ascii="Calibri" w:hAnsi="Calibri" w:cs="Calibri"/>
              </w:rPr>
              <w:t>ƒ</w:t>
            </w:r>
            <w:r w:rsidRPr="00BB72E9">
              <w:rPr>
                <w:rFonts w:ascii="Calibri" w:hAnsi="Calibri" w:cs="Calibri"/>
                <w:vertAlign w:val="subscript"/>
              </w:rPr>
              <w:t>2</w:t>
            </w:r>
          </w:p>
        </w:tc>
        <w:tc>
          <w:tcPr>
            <w:tcW w:w="1064" w:type="pct"/>
          </w:tcPr>
          <w:p w14:paraId="1BFDFB77" w14:textId="77777777" w:rsidR="008831F9" w:rsidRPr="00BB72E9" w:rsidRDefault="008831F9" w:rsidP="00EA573C">
            <w:pPr>
              <w:jc w:val="center"/>
              <w:rPr>
                <w:rFonts w:ascii="Calibri" w:hAnsi="Calibri" w:cs="Calibri"/>
              </w:rPr>
            </w:pPr>
            <w:r w:rsidRPr="00BB72E9">
              <w:rPr>
                <w:rFonts w:ascii="Calibri" w:hAnsi="Calibri" w:cs="Calibri"/>
              </w:rPr>
              <w:t>ƒ</w:t>
            </w:r>
            <w:r w:rsidRPr="00BB72E9">
              <w:rPr>
                <w:rFonts w:ascii="Calibri" w:hAnsi="Calibri" w:cs="Calibri"/>
                <w:vertAlign w:val="subscript"/>
              </w:rPr>
              <w:t>2</w:t>
            </w:r>
          </w:p>
        </w:tc>
      </w:tr>
      <w:tr w:rsidR="008831F9" w:rsidRPr="00770202" w14:paraId="15CCB63C" w14:textId="77777777" w:rsidTr="008831F9">
        <w:tc>
          <w:tcPr>
            <w:tcW w:w="2871" w:type="pct"/>
          </w:tcPr>
          <w:p w14:paraId="3F8FE7C5" w14:textId="77777777" w:rsidR="008831F9" w:rsidRPr="004E54A4" w:rsidRDefault="008831F9" w:rsidP="00EA573C">
            <w:pPr>
              <w:rPr>
                <w:rFonts w:ascii="Calibri" w:hAnsi="Calibri" w:cs="Calibri"/>
              </w:rPr>
            </w:pPr>
            <w:r w:rsidRPr="004E54A4">
              <w:rPr>
                <w:rFonts w:ascii="Calibri" w:hAnsi="Calibri" w:cs="Calibri"/>
              </w:rPr>
              <w:t>Kształt kruszywa według PN-EN 933-3 lub według PN-EN 933-4; kategoria nie wyższa niż:</w:t>
            </w:r>
          </w:p>
        </w:tc>
        <w:tc>
          <w:tcPr>
            <w:tcW w:w="1064" w:type="pct"/>
          </w:tcPr>
          <w:p w14:paraId="4A033988" w14:textId="77777777" w:rsidR="008831F9" w:rsidRPr="00BB72E9" w:rsidRDefault="008831F9" w:rsidP="00EA573C">
            <w:pPr>
              <w:jc w:val="center"/>
              <w:rPr>
                <w:rFonts w:ascii="Calibri" w:hAnsi="Calibri" w:cs="Calibri"/>
                <w:vertAlign w:val="subscript"/>
              </w:rPr>
            </w:pPr>
            <w:r w:rsidRPr="00BB72E9">
              <w:rPr>
                <w:rFonts w:ascii="Calibri" w:hAnsi="Calibri" w:cs="Calibri"/>
                <w:i/>
                <w:iCs/>
              </w:rPr>
              <w:t>FI</w:t>
            </w:r>
            <w:r w:rsidRPr="00BB72E9">
              <w:rPr>
                <w:rFonts w:ascii="Calibri" w:hAnsi="Calibri" w:cs="Calibri"/>
                <w:vertAlign w:val="subscript"/>
              </w:rPr>
              <w:t>25</w:t>
            </w:r>
          </w:p>
          <w:p w14:paraId="78C2FC9B" w14:textId="77777777" w:rsidR="008831F9" w:rsidRPr="00BB72E9" w:rsidRDefault="008831F9" w:rsidP="00EA573C">
            <w:pPr>
              <w:jc w:val="center"/>
              <w:rPr>
                <w:rFonts w:ascii="Calibri" w:hAnsi="Calibri" w:cs="Calibri"/>
              </w:rPr>
            </w:pPr>
            <w:r w:rsidRPr="00BB72E9">
              <w:rPr>
                <w:rFonts w:ascii="Calibri" w:hAnsi="Calibri" w:cs="Calibri"/>
              </w:rPr>
              <w:t xml:space="preserve">lub </w:t>
            </w:r>
            <w:r w:rsidRPr="00BB72E9">
              <w:rPr>
                <w:rFonts w:ascii="Calibri" w:hAnsi="Calibri" w:cs="Calibri"/>
                <w:i/>
                <w:iCs/>
              </w:rPr>
              <w:t>SI</w:t>
            </w:r>
            <w:r w:rsidRPr="00BB72E9">
              <w:rPr>
                <w:rFonts w:ascii="Calibri" w:hAnsi="Calibri" w:cs="Calibri"/>
                <w:vertAlign w:val="subscript"/>
              </w:rPr>
              <w:t>25</w:t>
            </w:r>
          </w:p>
        </w:tc>
        <w:tc>
          <w:tcPr>
            <w:tcW w:w="1064" w:type="pct"/>
          </w:tcPr>
          <w:p w14:paraId="6B61BD38" w14:textId="77777777" w:rsidR="008831F9" w:rsidRPr="00BB72E9" w:rsidRDefault="008831F9" w:rsidP="00EA573C">
            <w:pPr>
              <w:jc w:val="center"/>
              <w:rPr>
                <w:rFonts w:ascii="Calibri" w:hAnsi="Calibri" w:cs="Calibri"/>
                <w:vertAlign w:val="subscript"/>
              </w:rPr>
            </w:pPr>
            <w:r w:rsidRPr="00BB72E9">
              <w:rPr>
                <w:rFonts w:ascii="Calibri" w:hAnsi="Calibri" w:cs="Calibri"/>
                <w:i/>
                <w:iCs/>
              </w:rPr>
              <w:t>FI</w:t>
            </w:r>
            <w:r>
              <w:rPr>
                <w:rFonts w:ascii="Calibri" w:hAnsi="Calibri" w:cs="Calibri"/>
                <w:vertAlign w:val="subscript"/>
              </w:rPr>
              <w:t>20</w:t>
            </w:r>
          </w:p>
          <w:p w14:paraId="1FA4F160" w14:textId="77777777" w:rsidR="008831F9" w:rsidRPr="00BB72E9" w:rsidRDefault="008831F9" w:rsidP="00EA573C">
            <w:pPr>
              <w:jc w:val="center"/>
              <w:rPr>
                <w:rFonts w:ascii="Calibri" w:hAnsi="Calibri" w:cs="Calibri"/>
                <w:i/>
                <w:iCs/>
              </w:rPr>
            </w:pPr>
            <w:r w:rsidRPr="00BB72E9">
              <w:rPr>
                <w:rFonts w:ascii="Calibri" w:hAnsi="Calibri" w:cs="Calibri"/>
              </w:rPr>
              <w:t xml:space="preserve">lub </w:t>
            </w:r>
            <w:r w:rsidRPr="00BB72E9">
              <w:rPr>
                <w:rFonts w:ascii="Calibri" w:hAnsi="Calibri" w:cs="Calibri"/>
                <w:i/>
                <w:iCs/>
              </w:rPr>
              <w:t>SI</w:t>
            </w:r>
            <w:r>
              <w:rPr>
                <w:rFonts w:ascii="Calibri" w:hAnsi="Calibri" w:cs="Calibri"/>
                <w:vertAlign w:val="subscript"/>
              </w:rPr>
              <w:t>20</w:t>
            </w:r>
          </w:p>
        </w:tc>
      </w:tr>
      <w:tr w:rsidR="008831F9" w:rsidRPr="00770202" w14:paraId="799B23BF" w14:textId="77777777" w:rsidTr="008831F9">
        <w:tc>
          <w:tcPr>
            <w:tcW w:w="2871" w:type="pct"/>
          </w:tcPr>
          <w:p w14:paraId="6977E4C6" w14:textId="77777777" w:rsidR="008831F9" w:rsidRPr="004E54A4" w:rsidRDefault="008831F9" w:rsidP="00EA573C">
            <w:pPr>
              <w:rPr>
                <w:rFonts w:ascii="Calibri" w:hAnsi="Calibri" w:cs="Calibri"/>
              </w:rPr>
            </w:pPr>
            <w:r w:rsidRPr="004E54A4">
              <w:rPr>
                <w:rFonts w:ascii="Calibri" w:hAnsi="Calibri" w:cs="Calibri"/>
              </w:rPr>
              <w:t>Procentowa zawartość ziaren o powierzchni przekruszonej i łamanej w kruszywie grubym według PN-EN 933-5; kategoria nie niższa niż:</w:t>
            </w:r>
          </w:p>
        </w:tc>
        <w:tc>
          <w:tcPr>
            <w:tcW w:w="1064" w:type="pct"/>
          </w:tcPr>
          <w:p w14:paraId="3D17AF75" w14:textId="77777777" w:rsidR="008831F9" w:rsidRPr="00BB72E9" w:rsidRDefault="008831F9" w:rsidP="00EA573C">
            <w:pPr>
              <w:jc w:val="center"/>
              <w:rPr>
                <w:rFonts w:ascii="Calibri" w:hAnsi="Calibri" w:cs="Calibri"/>
              </w:rPr>
            </w:pPr>
            <w:r w:rsidRPr="00BB72E9">
              <w:rPr>
                <w:rFonts w:ascii="Calibri" w:hAnsi="Calibri" w:cs="Calibri"/>
                <w:i/>
                <w:iCs/>
              </w:rPr>
              <w:t>C</w:t>
            </w:r>
            <w:r w:rsidRPr="00BB72E9">
              <w:rPr>
                <w:rFonts w:ascii="Calibri" w:hAnsi="Calibri" w:cs="Calibri"/>
                <w:vertAlign w:val="subscript"/>
              </w:rPr>
              <w:t>Deklarowana</w:t>
            </w:r>
          </w:p>
        </w:tc>
        <w:tc>
          <w:tcPr>
            <w:tcW w:w="1064" w:type="pct"/>
          </w:tcPr>
          <w:p w14:paraId="50B2E229" w14:textId="77777777" w:rsidR="008831F9" w:rsidRPr="00BB72E9" w:rsidRDefault="008831F9" w:rsidP="00EA573C">
            <w:pPr>
              <w:jc w:val="center"/>
              <w:rPr>
                <w:rFonts w:ascii="Calibri" w:hAnsi="Calibri" w:cs="Calibri"/>
                <w:i/>
                <w:iCs/>
              </w:rPr>
            </w:pPr>
            <w:r w:rsidRPr="00BB72E9">
              <w:rPr>
                <w:rFonts w:ascii="Calibri" w:hAnsi="Calibri" w:cs="Calibri"/>
                <w:i/>
                <w:iCs/>
              </w:rPr>
              <w:t>C</w:t>
            </w:r>
            <w:r>
              <w:rPr>
                <w:rFonts w:ascii="Calibri" w:hAnsi="Calibri" w:cs="Calibri"/>
                <w:vertAlign w:val="subscript"/>
              </w:rPr>
              <w:t>95/1</w:t>
            </w:r>
          </w:p>
        </w:tc>
      </w:tr>
      <w:tr w:rsidR="008831F9" w:rsidRPr="00770202" w14:paraId="79E8A693" w14:textId="77777777" w:rsidTr="008831F9">
        <w:tc>
          <w:tcPr>
            <w:tcW w:w="2871" w:type="pct"/>
          </w:tcPr>
          <w:p w14:paraId="4FB742F5" w14:textId="77777777" w:rsidR="008831F9" w:rsidRPr="004E54A4" w:rsidRDefault="008831F9" w:rsidP="00EA573C">
            <w:pPr>
              <w:rPr>
                <w:rFonts w:ascii="Calibri" w:hAnsi="Calibri" w:cs="Calibri"/>
              </w:rPr>
            </w:pPr>
            <w:r w:rsidRPr="004E54A4">
              <w:rPr>
                <w:rFonts w:ascii="Calibri" w:hAnsi="Calibri" w:cs="Calibri"/>
              </w:rPr>
              <w:t>Odporność kruszywa na rozdrabnianie według normy PN-EN 1097-2, rozdział 5; kategoria nie wyższa niż:</w:t>
            </w:r>
          </w:p>
        </w:tc>
        <w:tc>
          <w:tcPr>
            <w:tcW w:w="1064" w:type="pct"/>
          </w:tcPr>
          <w:p w14:paraId="795084F2" w14:textId="77777777" w:rsidR="008831F9" w:rsidRPr="00BB72E9" w:rsidRDefault="008831F9" w:rsidP="00EA573C">
            <w:pPr>
              <w:jc w:val="center"/>
              <w:rPr>
                <w:rFonts w:ascii="Calibri" w:hAnsi="Calibri" w:cs="Calibri"/>
                <w:vertAlign w:val="subscript"/>
              </w:rPr>
            </w:pPr>
            <w:r w:rsidRPr="00BB72E9">
              <w:rPr>
                <w:rFonts w:ascii="Calibri" w:hAnsi="Calibri" w:cs="Calibri"/>
                <w:i/>
                <w:iCs/>
              </w:rPr>
              <w:t>LA</w:t>
            </w:r>
            <w:r w:rsidRPr="00BB72E9">
              <w:rPr>
                <w:rFonts w:ascii="Calibri" w:hAnsi="Calibri" w:cs="Calibri"/>
                <w:vertAlign w:val="subscript"/>
              </w:rPr>
              <w:t>30</w:t>
            </w:r>
          </w:p>
        </w:tc>
        <w:tc>
          <w:tcPr>
            <w:tcW w:w="1064" w:type="pct"/>
          </w:tcPr>
          <w:p w14:paraId="21093951" w14:textId="77777777" w:rsidR="008831F9" w:rsidRPr="00BB72E9" w:rsidRDefault="008831F9" w:rsidP="00EA573C">
            <w:pPr>
              <w:jc w:val="center"/>
              <w:rPr>
                <w:rFonts w:ascii="Calibri" w:hAnsi="Calibri" w:cs="Calibri"/>
                <w:i/>
                <w:iCs/>
              </w:rPr>
            </w:pPr>
            <w:r w:rsidRPr="00BB72E9">
              <w:rPr>
                <w:rFonts w:ascii="Calibri" w:hAnsi="Calibri" w:cs="Calibri"/>
                <w:i/>
                <w:iCs/>
              </w:rPr>
              <w:t>LA</w:t>
            </w:r>
            <w:r>
              <w:rPr>
                <w:rFonts w:ascii="Calibri" w:hAnsi="Calibri" w:cs="Calibri"/>
                <w:vertAlign w:val="subscript"/>
              </w:rPr>
              <w:t>3</w:t>
            </w:r>
            <w:r w:rsidRPr="00BB72E9">
              <w:rPr>
                <w:rFonts w:ascii="Calibri" w:hAnsi="Calibri" w:cs="Calibri"/>
                <w:vertAlign w:val="subscript"/>
              </w:rPr>
              <w:t>0</w:t>
            </w:r>
          </w:p>
        </w:tc>
      </w:tr>
      <w:tr w:rsidR="008831F9" w:rsidRPr="00770202" w14:paraId="0C36165E" w14:textId="77777777" w:rsidTr="008831F9">
        <w:tc>
          <w:tcPr>
            <w:tcW w:w="2871" w:type="pct"/>
          </w:tcPr>
          <w:p w14:paraId="6D4B408C" w14:textId="77777777" w:rsidR="008831F9" w:rsidRPr="004E54A4" w:rsidRDefault="008831F9" w:rsidP="00EA573C">
            <w:pPr>
              <w:rPr>
                <w:rFonts w:ascii="Calibri" w:hAnsi="Calibri" w:cs="Calibri"/>
              </w:rPr>
            </w:pPr>
            <w:r w:rsidRPr="004E54A4">
              <w:rPr>
                <w:rFonts w:ascii="Calibri" w:hAnsi="Calibri" w:cs="Calibri"/>
              </w:rPr>
              <w:t>Odporność na polerowanie kruszywa według PN-EN 1097-8, kategoria nie niższa niż:</w:t>
            </w:r>
          </w:p>
        </w:tc>
        <w:tc>
          <w:tcPr>
            <w:tcW w:w="1064" w:type="pct"/>
          </w:tcPr>
          <w:p w14:paraId="6413AA60" w14:textId="77777777" w:rsidR="008831F9" w:rsidRPr="00BB72E9" w:rsidRDefault="008831F9" w:rsidP="00EA573C">
            <w:pPr>
              <w:jc w:val="center"/>
              <w:rPr>
                <w:rFonts w:ascii="Calibri" w:hAnsi="Calibri" w:cs="Calibri"/>
                <w:i/>
                <w:iCs/>
              </w:rPr>
            </w:pPr>
          </w:p>
          <w:p w14:paraId="617C12B8" w14:textId="77777777" w:rsidR="008831F9" w:rsidRPr="00BB72E9" w:rsidRDefault="008831F9" w:rsidP="00EA573C">
            <w:pPr>
              <w:jc w:val="center"/>
              <w:rPr>
                <w:rFonts w:ascii="Calibri" w:hAnsi="Calibri" w:cs="Calibri"/>
                <w:i/>
                <w:iCs/>
              </w:rPr>
            </w:pPr>
            <w:r w:rsidRPr="00BB72E9">
              <w:rPr>
                <w:rFonts w:ascii="Calibri" w:hAnsi="Calibri" w:cs="Calibri"/>
                <w:i/>
                <w:iCs/>
              </w:rPr>
              <w:t>PSV</w:t>
            </w:r>
            <w:r w:rsidRPr="00BB72E9">
              <w:rPr>
                <w:rFonts w:ascii="Calibri" w:hAnsi="Calibri" w:cs="Calibri"/>
                <w:vertAlign w:val="subscript"/>
              </w:rPr>
              <w:t>44</w:t>
            </w:r>
          </w:p>
        </w:tc>
        <w:tc>
          <w:tcPr>
            <w:tcW w:w="1064" w:type="pct"/>
          </w:tcPr>
          <w:p w14:paraId="6FE7019F" w14:textId="77777777" w:rsidR="008831F9" w:rsidRPr="00BB72E9" w:rsidRDefault="008831F9" w:rsidP="00EA573C">
            <w:pPr>
              <w:jc w:val="center"/>
              <w:rPr>
                <w:rFonts w:ascii="Calibri" w:hAnsi="Calibri" w:cs="Calibri"/>
                <w:i/>
                <w:iCs/>
              </w:rPr>
            </w:pPr>
            <w:r w:rsidRPr="00BB72E9">
              <w:rPr>
                <w:rFonts w:ascii="Calibri" w:hAnsi="Calibri" w:cs="Calibri"/>
                <w:i/>
                <w:iCs/>
              </w:rPr>
              <w:t>PSV</w:t>
            </w:r>
            <w:r>
              <w:rPr>
                <w:rFonts w:ascii="Calibri" w:hAnsi="Calibri" w:cs="Calibri"/>
                <w:vertAlign w:val="subscript"/>
              </w:rPr>
              <w:t xml:space="preserve">Deklarowana </w:t>
            </w:r>
            <w:r>
              <w:rPr>
                <w:rFonts w:ascii="Calibri" w:hAnsi="Calibri" w:cs="Calibri"/>
                <w:i/>
                <w:iCs/>
              </w:rPr>
              <w:t>min.48*</w:t>
            </w:r>
          </w:p>
        </w:tc>
      </w:tr>
      <w:tr w:rsidR="008831F9" w:rsidRPr="00770202" w14:paraId="7B73099B" w14:textId="77777777" w:rsidTr="008831F9">
        <w:tc>
          <w:tcPr>
            <w:tcW w:w="2871" w:type="pct"/>
          </w:tcPr>
          <w:p w14:paraId="1204D351" w14:textId="77777777" w:rsidR="008831F9" w:rsidRPr="00BB72E9" w:rsidRDefault="008831F9" w:rsidP="00EA573C">
            <w:pPr>
              <w:rPr>
                <w:rFonts w:ascii="Calibri" w:hAnsi="Calibri" w:cs="Calibri"/>
              </w:rPr>
            </w:pPr>
            <w:r w:rsidRPr="004E54A4">
              <w:rPr>
                <w:rFonts w:ascii="Calibri" w:hAnsi="Calibri" w:cs="Calibri"/>
              </w:rPr>
              <w:t xml:space="preserve">Gęstość ziaren według PN-EN 1097-6, rozdz. </w:t>
            </w:r>
            <w:r w:rsidRPr="00BB72E9">
              <w:rPr>
                <w:rFonts w:ascii="Calibri" w:hAnsi="Calibri" w:cs="Calibri"/>
              </w:rPr>
              <w:t>7, 8 lub 9:</w:t>
            </w:r>
          </w:p>
        </w:tc>
        <w:tc>
          <w:tcPr>
            <w:tcW w:w="1064" w:type="pct"/>
          </w:tcPr>
          <w:p w14:paraId="463EF071" w14:textId="77777777" w:rsidR="008831F9" w:rsidRPr="00BB72E9" w:rsidRDefault="008831F9" w:rsidP="00EA573C">
            <w:pPr>
              <w:jc w:val="center"/>
              <w:rPr>
                <w:rFonts w:ascii="Calibri" w:hAnsi="Calibri" w:cs="Calibri"/>
              </w:rPr>
            </w:pPr>
            <w:r w:rsidRPr="00BB72E9">
              <w:rPr>
                <w:rFonts w:ascii="Calibri" w:hAnsi="Calibri" w:cs="Calibri"/>
              </w:rPr>
              <w:t>deklarowana przez producenta</w:t>
            </w:r>
          </w:p>
        </w:tc>
        <w:tc>
          <w:tcPr>
            <w:tcW w:w="1064" w:type="pct"/>
          </w:tcPr>
          <w:p w14:paraId="779B015B" w14:textId="77777777" w:rsidR="008831F9" w:rsidRPr="000E471E" w:rsidRDefault="008831F9" w:rsidP="00EA573C">
            <w:pPr>
              <w:jc w:val="center"/>
              <w:rPr>
                <w:rFonts w:ascii="Calibri" w:hAnsi="Calibri" w:cs="Calibri"/>
              </w:rPr>
            </w:pPr>
            <w:r w:rsidRPr="000E471E">
              <w:rPr>
                <w:rFonts w:ascii="Calibri" w:hAnsi="Calibri" w:cs="Calibri"/>
              </w:rPr>
              <w:t>deklarowana przez producenta</w:t>
            </w:r>
          </w:p>
          <w:p w14:paraId="108FE5E4" w14:textId="77777777" w:rsidR="008831F9" w:rsidRPr="00BB72E9" w:rsidRDefault="008831F9" w:rsidP="00EA573C">
            <w:pPr>
              <w:jc w:val="center"/>
              <w:rPr>
                <w:rFonts w:ascii="Calibri" w:hAnsi="Calibri" w:cs="Calibri"/>
              </w:rPr>
            </w:pPr>
          </w:p>
        </w:tc>
      </w:tr>
      <w:tr w:rsidR="008831F9" w:rsidRPr="00770202" w14:paraId="635F2BCE" w14:textId="77777777" w:rsidTr="008831F9">
        <w:tc>
          <w:tcPr>
            <w:tcW w:w="2871" w:type="pct"/>
          </w:tcPr>
          <w:p w14:paraId="07447ED7" w14:textId="77777777" w:rsidR="008831F9" w:rsidRPr="004E54A4" w:rsidRDefault="008831F9" w:rsidP="00EA573C">
            <w:pPr>
              <w:rPr>
                <w:rFonts w:ascii="Calibri" w:hAnsi="Calibri" w:cs="Calibri"/>
              </w:rPr>
            </w:pPr>
            <w:r w:rsidRPr="004E54A4">
              <w:rPr>
                <w:rFonts w:ascii="Calibri" w:hAnsi="Calibri" w:cs="Calibri"/>
              </w:rPr>
              <w:t>Nasiąkliwość według PN-EN 1097-6, rozdział 7, 8 lub 9 nie wyższa niż:</w:t>
            </w:r>
          </w:p>
        </w:tc>
        <w:tc>
          <w:tcPr>
            <w:tcW w:w="1064" w:type="pct"/>
          </w:tcPr>
          <w:p w14:paraId="6E096874" w14:textId="77777777" w:rsidR="008831F9" w:rsidRPr="00BB72E9" w:rsidRDefault="008831F9" w:rsidP="00EA573C">
            <w:pPr>
              <w:jc w:val="center"/>
              <w:rPr>
                <w:rFonts w:ascii="Calibri" w:hAnsi="Calibri" w:cs="Calibri"/>
              </w:rPr>
            </w:pPr>
            <w:r w:rsidRPr="00BB72E9">
              <w:rPr>
                <w:rFonts w:ascii="Calibri" w:hAnsi="Calibri" w:cs="Calibri"/>
              </w:rPr>
              <w:t>deklarowana przez producenta</w:t>
            </w:r>
          </w:p>
        </w:tc>
        <w:tc>
          <w:tcPr>
            <w:tcW w:w="1064" w:type="pct"/>
          </w:tcPr>
          <w:p w14:paraId="79F9131D" w14:textId="77777777" w:rsidR="008831F9" w:rsidRPr="00BB72E9" w:rsidRDefault="008831F9" w:rsidP="00EA573C">
            <w:pPr>
              <w:jc w:val="center"/>
              <w:rPr>
                <w:rFonts w:ascii="Calibri" w:hAnsi="Calibri" w:cs="Calibri"/>
              </w:rPr>
            </w:pPr>
            <w:r w:rsidRPr="000E471E">
              <w:rPr>
                <w:rFonts w:ascii="Calibri" w:hAnsi="Calibri" w:cs="Calibri"/>
              </w:rPr>
              <w:t>deklarowana przez producenta</w:t>
            </w:r>
          </w:p>
        </w:tc>
      </w:tr>
      <w:tr w:rsidR="008831F9" w:rsidRPr="00770202" w14:paraId="6B2E153B" w14:textId="77777777" w:rsidTr="008831F9">
        <w:tc>
          <w:tcPr>
            <w:tcW w:w="2871" w:type="pct"/>
          </w:tcPr>
          <w:p w14:paraId="552069CE" w14:textId="77777777" w:rsidR="008831F9" w:rsidRPr="004E54A4" w:rsidRDefault="008831F9" w:rsidP="00EA573C">
            <w:pPr>
              <w:rPr>
                <w:rFonts w:ascii="Calibri" w:hAnsi="Calibri" w:cs="Calibri"/>
              </w:rPr>
            </w:pPr>
            <w:r w:rsidRPr="004E54A4">
              <w:rPr>
                <w:rFonts w:ascii="Calibri" w:hAnsi="Calibri" w:cs="Calibri"/>
              </w:rPr>
              <w:t>Mrozoodporność według PN-EN 1367-6,  w 1% NaCl,kategoria nie wyższa niż:</w:t>
            </w:r>
          </w:p>
        </w:tc>
        <w:tc>
          <w:tcPr>
            <w:tcW w:w="1064" w:type="pct"/>
          </w:tcPr>
          <w:p w14:paraId="16973640" w14:textId="77777777" w:rsidR="008831F9" w:rsidRPr="00BB72E9" w:rsidRDefault="008831F9" w:rsidP="00EA573C">
            <w:pPr>
              <w:jc w:val="center"/>
              <w:rPr>
                <w:rFonts w:ascii="Calibri" w:hAnsi="Calibri" w:cs="Calibri"/>
              </w:rPr>
            </w:pPr>
            <w:r w:rsidRPr="00BB72E9">
              <w:rPr>
                <w:rFonts w:ascii="Calibri" w:hAnsi="Calibri" w:cs="Calibri"/>
                <w:i/>
                <w:iCs/>
              </w:rPr>
              <w:t>F</w:t>
            </w:r>
            <w:r w:rsidRPr="00BB72E9">
              <w:rPr>
                <w:rFonts w:ascii="Calibri" w:hAnsi="Calibri" w:cs="Calibri"/>
                <w:vertAlign w:val="subscript"/>
              </w:rPr>
              <w:t xml:space="preserve">NaCl </w:t>
            </w:r>
            <w:r w:rsidRPr="00BB72E9">
              <w:rPr>
                <w:rFonts w:ascii="Calibri" w:hAnsi="Calibri" w:cs="Calibri"/>
              </w:rPr>
              <w:t>10</w:t>
            </w:r>
          </w:p>
        </w:tc>
        <w:tc>
          <w:tcPr>
            <w:tcW w:w="1064" w:type="pct"/>
          </w:tcPr>
          <w:p w14:paraId="4208EB0C" w14:textId="77777777" w:rsidR="008831F9" w:rsidRPr="00BB72E9" w:rsidRDefault="008831F9" w:rsidP="00EA573C">
            <w:pPr>
              <w:jc w:val="center"/>
              <w:rPr>
                <w:rFonts w:ascii="Calibri" w:hAnsi="Calibri" w:cs="Calibri"/>
                <w:i/>
                <w:iCs/>
              </w:rPr>
            </w:pPr>
            <w:r w:rsidRPr="00BB72E9">
              <w:rPr>
                <w:rFonts w:ascii="Calibri" w:hAnsi="Calibri" w:cs="Calibri"/>
                <w:i/>
                <w:iCs/>
              </w:rPr>
              <w:t>F</w:t>
            </w:r>
            <w:r w:rsidRPr="00BB72E9">
              <w:rPr>
                <w:rFonts w:ascii="Calibri" w:hAnsi="Calibri" w:cs="Calibri"/>
                <w:vertAlign w:val="subscript"/>
              </w:rPr>
              <w:t xml:space="preserve">NaCl </w:t>
            </w:r>
            <w:r>
              <w:rPr>
                <w:rFonts w:ascii="Calibri" w:hAnsi="Calibri" w:cs="Calibri"/>
              </w:rPr>
              <w:t>7</w:t>
            </w:r>
          </w:p>
        </w:tc>
      </w:tr>
      <w:tr w:rsidR="008831F9" w:rsidRPr="00770202" w14:paraId="63EE2732" w14:textId="77777777" w:rsidTr="008831F9">
        <w:tc>
          <w:tcPr>
            <w:tcW w:w="2871" w:type="pct"/>
          </w:tcPr>
          <w:p w14:paraId="61F16B86" w14:textId="77777777" w:rsidR="008831F9" w:rsidRPr="004E54A4" w:rsidRDefault="008831F9" w:rsidP="00EA573C">
            <w:pPr>
              <w:rPr>
                <w:rFonts w:ascii="Calibri" w:hAnsi="Calibri" w:cs="Calibri"/>
              </w:rPr>
            </w:pPr>
            <w:r w:rsidRPr="004E54A4">
              <w:rPr>
                <w:rFonts w:ascii="Calibri" w:hAnsi="Calibri" w:cs="Calibri"/>
              </w:rPr>
              <w:t>„Zgorzel słoneczna” bazaltu według PN-EN 1367-3, wymagana kategoria:</w:t>
            </w:r>
          </w:p>
        </w:tc>
        <w:tc>
          <w:tcPr>
            <w:tcW w:w="1064" w:type="pct"/>
          </w:tcPr>
          <w:p w14:paraId="50F738FD" w14:textId="77777777" w:rsidR="008831F9" w:rsidRPr="00BB72E9" w:rsidRDefault="008831F9" w:rsidP="00EA573C">
            <w:pPr>
              <w:jc w:val="center"/>
              <w:rPr>
                <w:rFonts w:ascii="Calibri" w:hAnsi="Calibri" w:cs="Calibri"/>
              </w:rPr>
            </w:pPr>
            <w:r w:rsidRPr="00BB72E9">
              <w:rPr>
                <w:rFonts w:ascii="Calibri" w:hAnsi="Calibri" w:cs="Calibri"/>
                <w:i/>
                <w:iCs/>
              </w:rPr>
              <w:t>SB</w:t>
            </w:r>
            <w:r w:rsidRPr="00BB72E9">
              <w:rPr>
                <w:rFonts w:ascii="Calibri" w:hAnsi="Calibri" w:cs="Calibri"/>
                <w:vertAlign w:val="subscript"/>
              </w:rPr>
              <w:t>LA</w:t>
            </w:r>
          </w:p>
        </w:tc>
        <w:tc>
          <w:tcPr>
            <w:tcW w:w="1064" w:type="pct"/>
          </w:tcPr>
          <w:p w14:paraId="37521B4D" w14:textId="77777777" w:rsidR="008831F9" w:rsidRPr="00BB72E9" w:rsidRDefault="008831F9" w:rsidP="00EA573C">
            <w:pPr>
              <w:jc w:val="center"/>
              <w:rPr>
                <w:rFonts w:ascii="Calibri" w:hAnsi="Calibri" w:cs="Calibri"/>
                <w:i/>
                <w:iCs/>
              </w:rPr>
            </w:pPr>
            <w:r w:rsidRPr="00BB72E9">
              <w:rPr>
                <w:rFonts w:ascii="Calibri" w:hAnsi="Calibri" w:cs="Calibri"/>
                <w:i/>
                <w:iCs/>
              </w:rPr>
              <w:t>SB</w:t>
            </w:r>
            <w:r w:rsidRPr="00BB72E9">
              <w:rPr>
                <w:rFonts w:ascii="Calibri" w:hAnsi="Calibri" w:cs="Calibri"/>
                <w:vertAlign w:val="subscript"/>
              </w:rPr>
              <w:t>LA</w:t>
            </w:r>
          </w:p>
        </w:tc>
      </w:tr>
      <w:tr w:rsidR="008831F9" w:rsidRPr="00770202" w14:paraId="51A73D11" w14:textId="77777777" w:rsidTr="008831F9">
        <w:tc>
          <w:tcPr>
            <w:tcW w:w="2871" w:type="pct"/>
          </w:tcPr>
          <w:p w14:paraId="42629B48" w14:textId="77777777" w:rsidR="008831F9" w:rsidRPr="004E54A4" w:rsidRDefault="008831F9" w:rsidP="00EA573C">
            <w:pPr>
              <w:rPr>
                <w:rFonts w:ascii="Calibri" w:hAnsi="Calibri" w:cs="Calibri"/>
              </w:rPr>
            </w:pPr>
            <w:r w:rsidRPr="004E54A4">
              <w:rPr>
                <w:rFonts w:ascii="Calibri" w:hAnsi="Calibri" w:cs="Calibri"/>
              </w:rPr>
              <w:t>Skład chemiczny – uproszczony opis petrograficzny według PN-EN 932-3:</w:t>
            </w:r>
          </w:p>
        </w:tc>
        <w:tc>
          <w:tcPr>
            <w:tcW w:w="1064" w:type="pct"/>
          </w:tcPr>
          <w:p w14:paraId="03C22A3D" w14:textId="77777777" w:rsidR="008831F9" w:rsidRPr="00BB72E9" w:rsidRDefault="008831F9" w:rsidP="00EA573C">
            <w:pPr>
              <w:jc w:val="center"/>
              <w:rPr>
                <w:rFonts w:ascii="Calibri" w:hAnsi="Calibri" w:cs="Calibri"/>
              </w:rPr>
            </w:pPr>
            <w:r w:rsidRPr="00BB72E9">
              <w:rPr>
                <w:rFonts w:ascii="Calibri" w:hAnsi="Calibri" w:cs="Calibri"/>
              </w:rPr>
              <w:t>deklarowany przez producenta</w:t>
            </w:r>
          </w:p>
        </w:tc>
        <w:tc>
          <w:tcPr>
            <w:tcW w:w="1064" w:type="pct"/>
          </w:tcPr>
          <w:p w14:paraId="4ADB1451" w14:textId="77777777" w:rsidR="008831F9" w:rsidRPr="00BB72E9" w:rsidRDefault="008831F9" w:rsidP="00EA573C">
            <w:pPr>
              <w:jc w:val="center"/>
              <w:rPr>
                <w:rFonts w:ascii="Calibri" w:hAnsi="Calibri" w:cs="Calibri"/>
              </w:rPr>
            </w:pPr>
            <w:r w:rsidRPr="00BB72E9">
              <w:rPr>
                <w:rFonts w:ascii="Calibri" w:hAnsi="Calibri" w:cs="Calibri"/>
              </w:rPr>
              <w:t>deklarowany przez producenta</w:t>
            </w:r>
          </w:p>
        </w:tc>
      </w:tr>
      <w:tr w:rsidR="008831F9" w:rsidRPr="00770202" w14:paraId="12FAAE33" w14:textId="77777777" w:rsidTr="008831F9">
        <w:tc>
          <w:tcPr>
            <w:tcW w:w="2871" w:type="pct"/>
          </w:tcPr>
          <w:p w14:paraId="17DEA69F" w14:textId="77777777" w:rsidR="008831F9" w:rsidRPr="004E54A4" w:rsidRDefault="008831F9" w:rsidP="00EA573C">
            <w:pPr>
              <w:rPr>
                <w:rFonts w:ascii="Calibri" w:hAnsi="Calibri" w:cs="Calibri"/>
              </w:rPr>
            </w:pPr>
            <w:r w:rsidRPr="004E54A4">
              <w:rPr>
                <w:rFonts w:ascii="Calibri" w:hAnsi="Calibri" w:cs="Calibri"/>
              </w:rPr>
              <w:t>Grube zanieczyszczenia lekkie, według PN-EN 1744-1 p.14.2; kategoria nie wyższa niż:</w:t>
            </w:r>
          </w:p>
        </w:tc>
        <w:tc>
          <w:tcPr>
            <w:tcW w:w="1064" w:type="pct"/>
          </w:tcPr>
          <w:p w14:paraId="5BC91692" w14:textId="77777777" w:rsidR="008831F9" w:rsidRPr="00BB72E9" w:rsidRDefault="008831F9" w:rsidP="00EA573C">
            <w:pPr>
              <w:jc w:val="center"/>
              <w:rPr>
                <w:rFonts w:ascii="Calibri" w:hAnsi="Calibri" w:cs="Calibri"/>
              </w:rPr>
            </w:pPr>
            <w:r w:rsidRPr="00BB72E9">
              <w:rPr>
                <w:rFonts w:ascii="Calibri" w:hAnsi="Calibri" w:cs="Calibri"/>
                <w:i/>
                <w:iCs/>
              </w:rPr>
              <w:t>m</w:t>
            </w:r>
            <w:r w:rsidRPr="00BB72E9">
              <w:rPr>
                <w:rFonts w:ascii="Calibri" w:hAnsi="Calibri" w:cs="Calibri"/>
                <w:vertAlign w:val="subscript"/>
              </w:rPr>
              <w:t>LPC</w:t>
            </w:r>
            <w:r w:rsidRPr="00BB72E9">
              <w:rPr>
                <w:rFonts w:ascii="Calibri" w:hAnsi="Calibri" w:cs="Calibri"/>
              </w:rPr>
              <w:t>0,1</w:t>
            </w:r>
          </w:p>
        </w:tc>
        <w:tc>
          <w:tcPr>
            <w:tcW w:w="1064" w:type="pct"/>
          </w:tcPr>
          <w:p w14:paraId="4C73D68D" w14:textId="77777777" w:rsidR="008831F9" w:rsidRPr="00BB72E9" w:rsidRDefault="008831F9" w:rsidP="00EA573C">
            <w:pPr>
              <w:jc w:val="center"/>
              <w:rPr>
                <w:rFonts w:ascii="Calibri" w:hAnsi="Calibri" w:cs="Calibri"/>
                <w:i/>
                <w:iCs/>
              </w:rPr>
            </w:pPr>
            <w:r w:rsidRPr="00BB72E9">
              <w:rPr>
                <w:rFonts w:ascii="Calibri" w:hAnsi="Calibri" w:cs="Calibri"/>
                <w:i/>
                <w:iCs/>
              </w:rPr>
              <w:t>m</w:t>
            </w:r>
            <w:r w:rsidRPr="00BB72E9">
              <w:rPr>
                <w:rFonts w:ascii="Calibri" w:hAnsi="Calibri" w:cs="Calibri"/>
                <w:vertAlign w:val="subscript"/>
              </w:rPr>
              <w:t>LPC</w:t>
            </w:r>
            <w:r w:rsidRPr="00BB72E9">
              <w:rPr>
                <w:rFonts w:ascii="Calibri" w:hAnsi="Calibri" w:cs="Calibri"/>
              </w:rPr>
              <w:t>0,1</w:t>
            </w:r>
          </w:p>
        </w:tc>
      </w:tr>
      <w:tr w:rsidR="008831F9" w:rsidRPr="00770202" w14:paraId="66552388" w14:textId="77777777" w:rsidTr="008831F9">
        <w:tc>
          <w:tcPr>
            <w:tcW w:w="2871" w:type="pct"/>
          </w:tcPr>
          <w:p w14:paraId="35F99F3D" w14:textId="77777777" w:rsidR="008831F9" w:rsidRPr="004E54A4" w:rsidRDefault="008831F9" w:rsidP="00EA573C">
            <w:pPr>
              <w:rPr>
                <w:rFonts w:ascii="Calibri" w:hAnsi="Calibri" w:cs="Calibri"/>
              </w:rPr>
            </w:pPr>
            <w:r w:rsidRPr="004E54A4">
              <w:rPr>
                <w:rFonts w:ascii="Calibri" w:hAnsi="Calibri" w:cs="Calibri"/>
              </w:rPr>
              <w:t>Rozpad krzemianowy żużla wielkopiecowego chłodzonego powietrzem według PN-EN 1744-1 p.19.1:</w:t>
            </w:r>
          </w:p>
        </w:tc>
        <w:tc>
          <w:tcPr>
            <w:tcW w:w="1064" w:type="pct"/>
          </w:tcPr>
          <w:p w14:paraId="7F9DEB82" w14:textId="77777777" w:rsidR="008831F9" w:rsidRPr="00BB72E9" w:rsidRDefault="008831F9" w:rsidP="00EA573C">
            <w:pPr>
              <w:jc w:val="center"/>
              <w:rPr>
                <w:rFonts w:ascii="Calibri" w:hAnsi="Calibri" w:cs="Calibri"/>
              </w:rPr>
            </w:pPr>
            <w:r w:rsidRPr="00BB72E9">
              <w:rPr>
                <w:rFonts w:ascii="Calibri" w:hAnsi="Calibri" w:cs="Calibri"/>
              </w:rPr>
              <w:t>wymagana odporność</w:t>
            </w:r>
          </w:p>
        </w:tc>
        <w:tc>
          <w:tcPr>
            <w:tcW w:w="1064" w:type="pct"/>
          </w:tcPr>
          <w:p w14:paraId="6860D841" w14:textId="77777777" w:rsidR="008831F9" w:rsidRPr="00BB72E9" w:rsidRDefault="008831F9" w:rsidP="00EA573C">
            <w:pPr>
              <w:jc w:val="center"/>
              <w:rPr>
                <w:rFonts w:ascii="Calibri" w:hAnsi="Calibri" w:cs="Calibri"/>
              </w:rPr>
            </w:pPr>
            <w:r w:rsidRPr="00BB72E9">
              <w:rPr>
                <w:rFonts w:ascii="Calibri" w:hAnsi="Calibri" w:cs="Calibri"/>
              </w:rPr>
              <w:t>wymagana odporność</w:t>
            </w:r>
          </w:p>
        </w:tc>
      </w:tr>
      <w:tr w:rsidR="008831F9" w:rsidRPr="00770202" w14:paraId="3FA0E836" w14:textId="77777777" w:rsidTr="008831F9">
        <w:tc>
          <w:tcPr>
            <w:tcW w:w="2871" w:type="pct"/>
          </w:tcPr>
          <w:p w14:paraId="6B410427" w14:textId="77777777" w:rsidR="008831F9" w:rsidRPr="004E54A4" w:rsidRDefault="008831F9" w:rsidP="00EA573C">
            <w:pPr>
              <w:rPr>
                <w:rFonts w:ascii="Calibri" w:hAnsi="Calibri" w:cs="Calibri"/>
              </w:rPr>
            </w:pPr>
            <w:r w:rsidRPr="004E54A4">
              <w:rPr>
                <w:rFonts w:ascii="Calibri" w:hAnsi="Calibri" w:cs="Calibri"/>
              </w:rPr>
              <w:t>Rozpad żelazowy żużla wielkopiecowego chłodzonego powietrzem według PN-EN 1744-1 p.19.2</w:t>
            </w:r>
          </w:p>
        </w:tc>
        <w:tc>
          <w:tcPr>
            <w:tcW w:w="1064" w:type="pct"/>
          </w:tcPr>
          <w:p w14:paraId="6A691F48" w14:textId="77777777" w:rsidR="008831F9" w:rsidRPr="00BB72E9" w:rsidRDefault="008831F9" w:rsidP="00EA573C">
            <w:pPr>
              <w:jc w:val="center"/>
              <w:rPr>
                <w:rFonts w:ascii="Calibri" w:hAnsi="Calibri" w:cs="Calibri"/>
              </w:rPr>
            </w:pPr>
            <w:r w:rsidRPr="00BB72E9">
              <w:rPr>
                <w:rFonts w:ascii="Calibri" w:hAnsi="Calibri" w:cs="Calibri"/>
              </w:rPr>
              <w:t>wymagana odporność</w:t>
            </w:r>
          </w:p>
        </w:tc>
        <w:tc>
          <w:tcPr>
            <w:tcW w:w="1064" w:type="pct"/>
          </w:tcPr>
          <w:p w14:paraId="5DE1EF29" w14:textId="77777777" w:rsidR="008831F9" w:rsidRPr="00BB72E9" w:rsidRDefault="008831F9" w:rsidP="00EA573C">
            <w:pPr>
              <w:jc w:val="center"/>
              <w:rPr>
                <w:rFonts w:ascii="Calibri" w:hAnsi="Calibri" w:cs="Calibri"/>
              </w:rPr>
            </w:pPr>
            <w:r w:rsidRPr="00BB72E9">
              <w:rPr>
                <w:rFonts w:ascii="Calibri" w:hAnsi="Calibri" w:cs="Calibri"/>
              </w:rPr>
              <w:t>wymagana odporność</w:t>
            </w:r>
          </w:p>
        </w:tc>
      </w:tr>
      <w:tr w:rsidR="008831F9" w:rsidRPr="00770202" w14:paraId="00E297FD" w14:textId="77777777" w:rsidTr="008831F9">
        <w:tc>
          <w:tcPr>
            <w:tcW w:w="2871" w:type="pct"/>
          </w:tcPr>
          <w:p w14:paraId="1AF9442C" w14:textId="77777777" w:rsidR="008831F9" w:rsidRPr="004E54A4" w:rsidRDefault="008831F9" w:rsidP="00EA573C">
            <w:pPr>
              <w:rPr>
                <w:rFonts w:ascii="Calibri" w:hAnsi="Calibri" w:cs="Calibri"/>
              </w:rPr>
            </w:pPr>
            <w:r w:rsidRPr="004E54A4">
              <w:rPr>
                <w:rFonts w:ascii="Calibri" w:hAnsi="Calibri" w:cs="Calibri"/>
              </w:rPr>
              <w:t>Stałość objętości kruszywa z żużla stalowniczego według PN-EN 1744-1, p. 19.3; kategoria nie wyższa niż:</w:t>
            </w:r>
          </w:p>
        </w:tc>
        <w:tc>
          <w:tcPr>
            <w:tcW w:w="1064" w:type="pct"/>
          </w:tcPr>
          <w:p w14:paraId="438E311A" w14:textId="77777777" w:rsidR="008831F9" w:rsidRPr="00BB72E9" w:rsidRDefault="008831F9" w:rsidP="00EA573C">
            <w:pPr>
              <w:jc w:val="center"/>
              <w:rPr>
                <w:rFonts w:ascii="Calibri" w:hAnsi="Calibri" w:cs="Calibri"/>
              </w:rPr>
            </w:pPr>
            <w:r w:rsidRPr="00BB72E9">
              <w:rPr>
                <w:rFonts w:ascii="Calibri" w:hAnsi="Calibri" w:cs="Calibri"/>
                <w:i/>
                <w:iCs/>
              </w:rPr>
              <w:t>V</w:t>
            </w:r>
            <w:r w:rsidRPr="00BB72E9">
              <w:rPr>
                <w:rFonts w:ascii="Calibri" w:hAnsi="Calibri" w:cs="Calibri"/>
                <w:vertAlign w:val="subscript"/>
              </w:rPr>
              <w:t>3,5</w:t>
            </w:r>
          </w:p>
        </w:tc>
        <w:tc>
          <w:tcPr>
            <w:tcW w:w="1064" w:type="pct"/>
          </w:tcPr>
          <w:p w14:paraId="40FE8FE2" w14:textId="77777777" w:rsidR="008831F9" w:rsidRPr="00BB72E9" w:rsidRDefault="008831F9" w:rsidP="00EA573C">
            <w:pPr>
              <w:jc w:val="center"/>
              <w:rPr>
                <w:rFonts w:ascii="Calibri" w:hAnsi="Calibri" w:cs="Calibri"/>
                <w:i/>
                <w:iCs/>
              </w:rPr>
            </w:pPr>
            <w:r w:rsidRPr="00BB72E9">
              <w:rPr>
                <w:rFonts w:ascii="Calibri" w:hAnsi="Calibri" w:cs="Calibri"/>
                <w:i/>
                <w:iCs/>
              </w:rPr>
              <w:t>V</w:t>
            </w:r>
            <w:r w:rsidRPr="00BB72E9">
              <w:rPr>
                <w:rFonts w:ascii="Calibri" w:hAnsi="Calibri" w:cs="Calibri"/>
                <w:vertAlign w:val="subscript"/>
              </w:rPr>
              <w:t>3,5</w:t>
            </w:r>
          </w:p>
        </w:tc>
      </w:tr>
    </w:tbl>
    <w:p w14:paraId="0FED71F2" w14:textId="77777777" w:rsidR="008831F9" w:rsidRDefault="008831F9" w:rsidP="008831F9">
      <w:pPr>
        <w:rPr>
          <w:rFonts w:ascii="Calibri" w:hAnsi="Calibri" w:cs="Calibri"/>
        </w:rPr>
      </w:pPr>
      <w:r>
        <w:rPr>
          <w:rFonts w:ascii="Calibri" w:hAnsi="Calibri" w:cs="Calibri"/>
        </w:rPr>
        <w:t>*Kruszywa grube, które nie spełniają wymaganej kategorii wobec odporności na polerowanie (PZSV) mogą być stosowane, jeśli są używane w mieeszance kruszyw (grubych), która obliczeniowo osiąga podana wartośćmymaganej kategorii…</w:t>
      </w:r>
    </w:p>
    <w:p w14:paraId="23390AC3" w14:textId="77777777" w:rsidR="008831F9" w:rsidRPr="000E471E" w:rsidRDefault="008831F9" w:rsidP="008831F9">
      <w:pPr>
        <w:rPr>
          <w:rFonts w:ascii="Calibri" w:hAnsi="Calibri" w:cs="Calibri"/>
        </w:rPr>
      </w:pPr>
    </w:p>
    <w:p w14:paraId="5E5EA282" w14:textId="77777777" w:rsidR="008831F9" w:rsidRPr="004E54A4" w:rsidRDefault="008831F9" w:rsidP="008831F9">
      <w:pPr>
        <w:ind w:left="1080" w:hanging="1080"/>
        <w:rPr>
          <w:rFonts w:asciiTheme="minorHAnsi" w:hAnsiTheme="minorHAnsi" w:cstheme="minorHAnsi"/>
        </w:rPr>
      </w:pPr>
      <w:r w:rsidRPr="004E54A4">
        <w:rPr>
          <w:rFonts w:asciiTheme="minorHAnsi" w:hAnsiTheme="minorHAnsi" w:cstheme="minorHAnsi"/>
        </w:rPr>
        <w:t>Tablica 3.</w:t>
      </w:r>
      <w:r w:rsidRPr="004E54A4">
        <w:rPr>
          <w:rFonts w:asciiTheme="minorHAnsi" w:hAnsiTheme="minorHAnsi" w:cstheme="minorHAnsi"/>
        </w:rPr>
        <w:tab/>
        <w:t>Wymagane właściwości kruszywa niełamanego drobnego lub o ciągłym uziarnieniu do D≤8mm do warstwy ścieralnej z betonu asfaltowego Wg WT-1 2014 pkt. 5.3 tabela 13</w:t>
      </w:r>
    </w:p>
    <w:p w14:paraId="6F8D383E" w14:textId="77777777" w:rsidR="008831F9" w:rsidRPr="004E54A4" w:rsidRDefault="008831F9" w:rsidP="008831F9">
      <w:pPr>
        <w:ind w:left="1080" w:hanging="1080"/>
        <w:rPr>
          <w:rFonts w:asciiTheme="minorHAnsi" w:hAnsiTheme="minorHAnsi" w:cstheme="minorHAnsi"/>
        </w:rPr>
      </w:pPr>
    </w:p>
    <w:tbl>
      <w:tblPr>
        <w:tblW w:w="7336" w:type="dxa"/>
        <w:tblInd w:w="2" w:type="dxa"/>
        <w:tblLayout w:type="fixed"/>
        <w:tblLook w:val="01E0" w:firstRow="1" w:lastRow="1" w:firstColumn="1" w:lastColumn="1" w:noHBand="0" w:noVBand="0"/>
      </w:tblPr>
      <w:tblGrid>
        <w:gridCol w:w="5351"/>
        <w:gridCol w:w="1985"/>
      </w:tblGrid>
      <w:tr w:rsidR="007E56C9" w:rsidRPr="00A662DD" w14:paraId="4A054CF5" w14:textId="77777777" w:rsidTr="007E56C9">
        <w:trPr>
          <w:cantSplit/>
        </w:trPr>
        <w:tc>
          <w:tcPr>
            <w:tcW w:w="5351" w:type="dxa"/>
            <w:vMerge w:val="restart"/>
            <w:tcBorders>
              <w:top w:val="single" w:sz="4" w:space="0" w:color="auto"/>
              <w:left w:val="single" w:sz="4" w:space="0" w:color="auto"/>
              <w:bottom w:val="single" w:sz="4" w:space="0" w:color="auto"/>
              <w:right w:val="single" w:sz="4" w:space="0" w:color="auto"/>
            </w:tcBorders>
          </w:tcPr>
          <w:p w14:paraId="17B390F8" w14:textId="77777777" w:rsidR="007E56C9" w:rsidRPr="00A662DD" w:rsidRDefault="007E56C9" w:rsidP="00EA573C">
            <w:pPr>
              <w:jc w:val="center"/>
              <w:rPr>
                <w:rFonts w:asciiTheme="minorHAnsi" w:hAnsiTheme="minorHAnsi" w:cstheme="minorHAnsi"/>
              </w:rPr>
            </w:pPr>
            <w:r w:rsidRPr="00A662DD">
              <w:rPr>
                <w:rFonts w:asciiTheme="minorHAnsi" w:hAnsiTheme="minorHAnsi" w:cstheme="minorHAnsi"/>
              </w:rPr>
              <w:t>Właściwości kruszywa</w:t>
            </w:r>
          </w:p>
        </w:tc>
        <w:tc>
          <w:tcPr>
            <w:tcW w:w="1985" w:type="dxa"/>
            <w:tcBorders>
              <w:top w:val="single" w:sz="4" w:space="0" w:color="auto"/>
              <w:left w:val="single" w:sz="4" w:space="0" w:color="auto"/>
              <w:bottom w:val="single" w:sz="4" w:space="0" w:color="auto"/>
              <w:right w:val="single" w:sz="4" w:space="0" w:color="auto"/>
            </w:tcBorders>
          </w:tcPr>
          <w:p w14:paraId="049E5A92" w14:textId="77777777" w:rsidR="007E56C9" w:rsidRPr="00A662DD" w:rsidRDefault="007E56C9" w:rsidP="00EA573C">
            <w:pPr>
              <w:jc w:val="center"/>
              <w:rPr>
                <w:rFonts w:asciiTheme="minorHAnsi" w:hAnsiTheme="minorHAnsi" w:cstheme="minorHAnsi"/>
              </w:rPr>
            </w:pPr>
            <w:r w:rsidRPr="00A662DD">
              <w:rPr>
                <w:rFonts w:asciiTheme="minorHAnsi" w:hAnsiTheme="minorHAnsi" w:cstheme="minorHAnsi"/>
              </w:rPr>
              <w:t>Jezdnie</w:t>
            </w:r>
          </w:p>
        </w:tc>
      </w:tr>
      <w:tr w:rsidR="007E56C9" w:rsidRPr="00A662DD" w14:paraId="5A8A5632" w14:textId="77777777" w:rsidTr="007E56C9">
        <w:trPr>
          <w:cantSplit/>
        </w:trPr>
        <w:tc>
          <w:tcPr>
            <w:tcW w:w="5351" w:type="dxa"/>
            <w:vMerge/>
            <w:tcBorders>
              <w:top w:val="single" w:sz="4" w:space="0" w:color="auto"/>
              <w:left w:val="single" w:sz="4" w:space="0" w:color="auto"/>
              <w:bottom w:val="single" w:sz="4" w:space="0" w:color="auto"/>
              <w:right w:val="single" w:sz="4" w:space="0" w:color="auto"/>
            </w:tcBorders>
          </w:tcPr>
          <w:p w14:paraId="48663C81" w14:textId="77777777" w:rsidR="007E56C9" w:rsidRPr="00A662DD" w:rsidRDefault="007E56C9" w:rsidP="00EA573C">
            <w:pPr>
              <w:jc w:val="center"/>
              <w:rPr>
                <w:rFonts w:asciiTheme="minorHAnsi" w:hAnsiTheme="minorHAnsi" w:cstheme="minorHAnsi"/>
              </w:rPr>
            </w:pPr>
          </w:p>
        </w:tc>
        <w:tc>
          <w:tcPr>
            <w:tcW w:w="1985" w:type="dxa"/>
            <w:tcBorders>
              <w:top w:val="single" w:sz="4" w:space="0" w:color="auto"/>
              <w:left w:val="single" w:sz="4" w:space="0" w:color="auto"/>
              <w:bottom w:val="single" w:sz="4" w:space="0" w:color="auto"/>
              <w:right w:val="single" w:sz="4" w:space="0" w:color="auto"/>
            </w:tcBorders>
          </w:tcPr>
          <w:p w14:paraId="51CDAD9E" w14:textId="77777777" w:rsidR="007E56C9" w:rsidRPr="00A662DD" w:rsidRDefault="007E56C9" w:rsidP="00EA573C">
            <w:pPr>
              <w:jc w:val="center"/>
              <w:rPr>
                <w:rFonts w:asciiTheme="minorHAnsi" w:hAnsiTheme="minorHAnsi" w:cstheme="minorHAnsi"/>
              </w:rPr>
            </w:pPr>
            <w:r w:rsidRPr="00A662DD">
              <w:rPr>
                <w:rFonts w:asciiTheme="minorHAnsi" w:hAnsiTheme="minorHAnsi" w:cstheme="minorHAnsi"/>
              </w:rPr>
              <w:t>KR1</w:t>
            </w:r>
            <w:r>
              <w:rPr>
                <w:rFonts w:asciiTheme="minorHAnsi" w:hAnsiTheme="minorHAnsi" w:cstheme="minorHAnsi"/>
              </w:rPr>
              <w:t>-2</w:t>
            </w:r>
          </w:p>
        </w:tc>
      </w:tr>
      <w:tr w:rsidR="007E56C9" w:rsidRPr="00A662DD" w14:paraId="1DF4B00E" w14:textId="77777777" w:rsidTr="007E56C9">
        <w:tc>
          <w:tcPr>
            <w:tcW w:w="5351" w:type="dxa"/>
            <w:tcBorders>
              <w:top w:val="single" w:sz="4" w:space="0" w:color="auto"/>
              <w:left w:val="single" w:sz="4" w:space="0" w:color="auto"/>
              <w:bottom w:val="single" w:sz="4" w:space="0" w:color="auto"/>
              <w:right w:val="single" w:sz="4" w:space="0" w:color="auto"/>
            </w:tcBorders>
          </w:tcPr>
          <w:p w14:paraId="0819A72A" w14:textId="77777777" w:rsidR="007E56C9" w:rsidRPr="004E54A4" w:rsidRDefault="007E56C9" w:rsidP="00EA573C">
            <w:pPr>
              <w:rPr>
                <w:rFonts w:asciiTheme="minorHAnsi" w:hAnsiTheme="minorHAnsi" w:cstheme="minorHAnsi"/>
              </w:rPr>
            </w:pPr>
            <w:r w:rsidRPr="004E54A4">
              <w:rPr>
                <w:rFonts w:asciiTheme="minorHAnsi" w:hAnsiTheme="minorHAnsi" w:cstheme="minorHAnsi"/>
              </w:rPr>
              <w:t>Uziarnienie według PN-EN 933-1, wymagana kategoria:</w:t>
            </w:r>
          </w:p>
        </w:tc>
        <w:tc>
          <w:tcPr>
            <w:tcW w:w="1985" w:type="dxa"/>
            <w:tcBorders>
              <w:top w:val="single" w:sz="4" w:space="0" w:color="auto"/>
              <w:left w:val="single" w:sz="4" w:space="0" w:color="auto"/>
              <w:bottom w:val="single" w:sz="4" w:space="0" w:color="auto"/>
              <w:right w:val="single" w:sz="4" w:space="0" w:color="auto"/>
            </w:tcBorders>
          </w:tcPr>
          <w:p w14:paraId="2A65C99F" w14:textId="77777777" w:rsidR="007E56C9" w:rsidRPr="00A662DD" w:rsidRDefault="007E56C9" w:rsidP="00EA573C">
            <w:pPr>
              <w:jc w:val="center"/>
              <w:rPr>
                <w:rFonts w:asciiTheme="minorHAnsi" w:hAnsiTheme="minorHAnsi" w:cstheme="minorHAnsi"/>
              </w:rPr>
            </w:pPr>
            <w:r w:rsidRPr="00A662DD">
              <w:rPr>
                <w:rFonts w:asciiTheme="minorHAnsi" w:hAnsiTheme="minorHAnsi" w:cstheme="minorHAnsi"/>
                <w:i/>
                <w:iCs/>
              </w:rPr>
              <w:t>G</w:t>
            </w:r>
            <w:r w:rsidRPr="00A662DD">
              <w:rPr>
                <w:rFonts w:asciiTheme="minorHAnsi" w:hAnsiTheme="minorHAnsi" w:cstheme="minorHAnsi"/>
                <w:vertAlign w:val="subscript"/>
              </w:rPr>
              <w:t>F</w:t>
            </w:r>
            <w:r w:rsidRPr="00A662DD">
              <w:rPr>
                <w:rFonts w:asciiTheme="minorHAnsi" w:hAnsiTheme="minorHAnsi" w:cstheme="minorHAnsi"/>
              </w:rPr>
              <w:t xml:space="preserve">85 lub </w:t>
            </w:r>
            <w:r w:rsidRPr="00A662DD">
              <w:rPr>
                <w:rFonts w:asciiTheme="minorHAnsi" w:hAnsiTheme="minorHAnsi" w:cstheme="minorHAnsi"/>
                <w:i/>
                <w:iCs/>
              </w:rPr>
              <w:t>G</w:t>
            </w:r>
            <w:r w:rsidRPr="00A662DD">
              <w:rPr>
                <w:rFonts w:asciiTheme="minorHAnsi" w:hAnsiTheme="minorHAnsi" w:cstheme="minorHAnsi"/>
                <w:vertAlign w:val="subscript"/>
              </w:rPr>
              <w:t>A</w:t>
            </w:r>
            <w:r w:rsidRPr="00A662DD">
              <w:rPr>
                <w:rFonts w:asciiTheme="minorHAnsi" w:hAnsiTheme="minorHAnsi" w:cstheme="minorHAnsi"/>
              </w:rPr>
              <w:t xml:space="preserve">85 </w:t>
            </w:r>
          </w:p>
        </w:tc>
      </w:tr>
      <w:tr w:rsidR="007E56C9" w:rsidRPr="00A662DD" w14:paraId="37D979E1" w14:textId="77777777" w:rsidTr="007E56C9">
        <w:tc>
          <w:tcPr>
            <w:tcW w:w="5351" w:type="dxa"/>
            <w:tcBorders>
              <w:top w:val="single" w:sz="4" w:space="0" w:color="auto"/>
              <w:left w:val="single" w:sz="4" w:space="0" w:color="auto"/>
              <w:bottom w:val="single" w:sz="4" w:space="0" w:color="auto"/>
              <w:right w:val="single" w:sz="4" w:space="0" w:color="auto"/>
            </w:tcBorders>
          </w:tcPr>
          <w:p w14:paraId="4F12D403" w14:textId="77777777" w:rsidR="007E56C9" w:rsidRPr="004E54A4" w:rsidRDefault="007E56C9" w:rsidP="00EA573C">
            <w:pPr>
              <w:rPr>
                <w:rFonts w:asciiTheme="minorHAnsi" w:hAnsiTheme="minorHAnsi" w:cstheme="minorHAnsi"/>
              </w:rPr>
            </w:pPr>
            <w:r w:rsidRPr="004E54A4">
              <w:rPr>
                <w:rFonts w:asciiTheme="minorHAnsi" w:hAnsiTheme="minorHAnsi" w:cstheme="minorHAnsi"/>
              </w:rPr>
              <w:t>Tolerancja uziarnienia; odchylenie nie większe niż według kategorii:</w:t>
            </w:r>
          </w:p>
        </w:tc>
        <w:tc>
          <w:tcPr>
            <w:tcW w:w="1985" w:type="dxa"/>
            <w:tcBorders>
              <w:top w:val="single" w:sz="4" w:space="0" w:color="auto"/>
              <w:left w:val="single" w:sz="4" w:space="0" w:color="auto"/>
              <w:bottom w:val="single" w:sz="4" w:space="0" w:color="auto"/>
              <w:right w:val="single" w:sz="4" w:space="0" w:color="auto"/>
            </w:tcBorders>
          </w:tcPr>
          <w:p w14:paraId="144861B8" w14:textId="77777777" w:rsidR="007E56C9" w:rsidRPr="00A662DD" w:rsidRDefault="007E56C9" w:rsidP="00EA573C">
            <w:pPr>
              <w:jc w:val="center"/>
              <w:rPr>
                <w:rFonts w:asciiTheme="minorHAnsi" w:hAnsiTheme="minorHAnsi" w:cstheme="minorHAnsi"/>
              </w:rPr>
            </w:pPr>
            <w:r w:rsidRPr="00A662DD">
              <w:rPr>
                <w:rFonts w:asciiTheme="minorHAnsi" w:hAnsiTheme="minorHAnsi" w:cstheme="minorHAnsi"/>
                <w:i/>
                <w:iCs/>
              </w:rPr>
              <w:t>G</w:t>
            </w:r>
            <w:r w:rsidRPr="00A662DD">
              <w:rPr>
                <w:rFonts w:asciiTheme="minorHAnsi" w:hAnsiTheme="minorHAnsi" w:cstheme="minorHAnsi"/>
                <w:vertAlign w:val="subscript"/>
              </w:rPr>
              <w:t>TC</w:t>
            </w:r>
            <w:r w:rsidRPr="00A662DD">
              <w:rPr>
                <w:rFonts w:asciiTheme="minorHAnsi" w:hAnsiTheme="minorHAnsi" w:cstheme="minorHAnsi"/>
              </w:rPr>
              <w:t>NR</w:t>
            </w:r>
          </w:p>
        </w:tc>
      </w:tr>
      <w:tr w:rsidR="007E56C9" w:rsidRPr="00A662DD" w14:paraId="3CD48226" w14:textId="77777777" w:rsidTr="007E56C9">
        <w:tc>
          <w:tcPr>
            <w:tcW w:w="5351" w:type="dxa"/>
            <w:tcBorders>
              <w:top w:val="single" w:sz="4" w:space="0" w:color="auto"/>
              <w:left w:val="single" w:sz="4" w:space="0" w:color="auto"/>
              <w:bottom w:val="single" w:sz="4" w:space="0" w:color="auto"/>
              <w:right w:val="single" w:sz="4" w:space="0" w:color="auto"/>
            </w:tcBorders>
          </w:tcPr>
          <w:p w14:paraId="2D2582C2" w14:textId="77777777" w:rsidR="007E56C9" w:rsidRPr="004E54A4" w:rsidRDefault="007E56C9" w:rsidP="00EA573C">
            <w:pPr>
              <w:rPr>
                <w:rFonts w:asciiTheme="minorHAnsi" w:hAnsiTheme="minorHAnsi" w:cstheme="minorHAnsi"/>
              </w:rPr>
            </w:pPr>
            <w:r w:rsidRPr="004E54A4">
              <w:rPr>
                <w:rFonts w:asciiTheme="minorHAnsi" w:hAnsiTheme="minorHAnsi" w:cstheme="minorHAnsi"/>
              </w:rPr>
              <w:t>Zawartość pyłu według PN-EN 933-1; kategoria nie wyższa niż:</w:t>
            </w:r>
          </w:p>
        </w:tc>
        <w:tc>
          <w:tcPr>
            <w:tcW w:w="1985" w:type="dxa"/>
            <w:tcBorders>
              <w:top w:val="single" w:sz="4" w:space="0" w:color="auto"/>
              <w:left w:val="single" w:sz="4" w:space="0" w:color="auto"/>
              <w:bottom w:val="single" w:sz="4" w:space="0" w:color="auto"/>
              <w:right w:val="single" w:sz="4" w:space="0" w:color="auto"/>
            </w:tcBorders>
          </w:tcPr>
          <w:p w14:paraId="510B62A7" w14:textId="77777777" w:rsidR="007E56C9" w:rsidRPr="00A662DD" w:rsidRDefault="007E56C9" w:rsidP="00EA573C">
            <w:pPr>
              <w:jc w:val="center"/>
              <w:rPr>
                <w:rFonts w:asciiTheme="minorHAnsi" w:hAnsiTheme="minorHAnsi" w:cstheme="minorHAnsi"/>
              </w:rPr>
            </w:pPr>
            <w:r w:rsidRPr="00A662DD">
              <w:rPr>
                <w:rFonts w:asciiTheme="minorHAnsi" w:hAnsiTheme="minorHAnsi" w:cstheme="minorHAnsi"/>
              </w:rPr>
              <w:t>ƒ</w:t>
            </w:r>
            <w:r w:rsidRPr="00A662DD">
              <w:rPr>
                <w:rFonts w:asciiTheme="minorHAnsi" w:hAnsiTheme="minorHAnsi" w:cstheme="minorHAnsi"/>
                <w:vertAlign w:val="subscript"/>
              </w:rPr>
              <w:t>3</w:t>
            </w:r>
          </w:p>
        </w:tc>
      </w:tr>
      <w:tr w:rsidR="007E56C9" w:rsidRPr="00A662DD" w14:paraId="2C6C7078" w14:textId="77777777" w:rsidTr="007E56C9">
        <w:tc>
          <w:tcPr>
            <w:tcW w:w="5351" w:type="dxa"/>
            <w:tcBorders>
              <w:top w:val="single" w:sz="4" w:space="0" w:color="auto"/>
              <w:left w:val="single" w:sz="4" w:space="0" w:color="auto"/>
              <w:bottom w:val="single" w:sz="4" w:space="0" w:color="auto"/>
              <w:right w:val="single" w:sz="4" w:space="0" w:color="auto"/>
            </w:tcBorders>
          </w:tcPr>
          <w:p w14:paraId="3F91D1B5" w14:textId="77777777" w:rsidR="007E56C9" w:rsidRPr="004E54A4" w:rsidRDefault="007E56C9" w:rsidP="00EA573C">
            <w:pPr>
              <w:rPr>
                <w:rFonts w:asciiTheme="minorHAnsi" w:hAnsiTheme="minorHAnsi" w:cstheme="minorHAnsi"/>
              </w:rPr>
            </w:pPr>
            <w:r w:rsidRPr="004E54A4">
              <w:rPr>
                <w:rFonts w:asciiTheme="minorHAnsi" w:hAnsiTheme="minorHAnsi" w:cstheme="minorHAnsi"/>
              </w:rPr>
              <w:t>Jakość pyłu według PN-EN 933-9, kategoria nie wyższa niż:</w:t>
            </w:r>
          </w:p>
        </w:tc>
        <w:tc>
          <w:tcPr>
            <w:tcW w:w="1985" w:type="dxa"/>
            <w:tcBorders>
              <w:top w:val="single" w:sz="4" w:space="0" w:color="auto"/>
              <w:left w:val="single" w:sz="4" w:space="0" w:color="auto"/>
              <w:bottom w:val="single" w:sz="4" w:space="0" w:color="auto"/>
              <w:right w:val="single" w:sz="4" w:space="0" w:color="auto"/>
            </w:tcBorders>
          </w:tcPr>
          <w:p w14:paraId="679724D2" w14:textId="77777777" w:rsidR="007E56C9" w:rsidRPr="00A662DD" w:rsidRDefault="007E56C9" w:rsidP="00EA573C">
            <w:pPr>
              <w:jc w:val="center"/>
              <w:rPr>
                <w:rFonts w:asciiTheme="minorHAnsi" w:hAnsiTheme="minorHAnsi" w:cstheme="minorHAnsi"/>
              </w:rPr>
            </w:pPr>
            <w:r w:rsidRPr="00A662DD">
              <w:rPr>
                <w:rFonts w:asciiTheme="minorHAnsi" w:hAnsiTheme="minorHAnsi" w:cstheme="minorHAnsi"/>
                <w:i/>
                <w:iCs/>
              </w:rPr>
              <w:t>MB</w:t>
            </w:r>
            <w:r w:rsidRPr="00A662DD">
              <w:rPr>
                <w:rFonts w:asciiTheme="minorHAnsi" w:hAnsiTheme="minorHAnsi" w:cstheme="minorHAnsi"/>
                <w:vertAlign w:val="subscript"/>
              </w:rPr>
              <w:t>F</w:t>
            </w:r>
            <w:r w:rsidRPr="00A662DD">
              <w:rPr>
                <w:rFonts w:asciiTheme="minorHAnsi" w:hAnsiTheme="minorHAnsi" w:cstheme="minorHAnsi"/>
              </w:rPr>
              <w:t>10</w:t>
            </w:r>
          </w:p>
        </w:tc>
      </w:tr>
      <w:tr w:rsidR="007E56C9" w:rsidRPr="00A662DD" w14:paraId="013F0F91" w14:textId="77777777" w:rsidTr="007E56C9">
        <w:tc>
          <w:tcPr>
            <w:tcW w:w="5351" w:type="dxa"/>
            <w:tcBorders>
              <w:top w:val="single" w:sz="4" w:space="0" w:color="auto"/>
              <w:left w:val="single" w:sz="4" w:space="0" w:color="auto"/>
              <w:bottom w:val="single" w:sz="4" w:space="0" w:color="auto"/>
              <w:right w:val="single" w:sz="4" w:space="0" w:color="auto"/>
            </w:tcBorders>
          </w:tcPr>
          <w:p w14:paraId="57237FD0" w14:textId="77777777" w:rsidR="007E56C9" w:rsidRPr="00A662DD" w:rsidRDefault="007E56C9" w:rsidP="00EA573C">
            <w:pPr>
              <w:rPr>
                <w:rFonts w:asciiTheme="minorHAnsi" w:hAnsiTheme="minorHAnsi" w:cstheme="minorHAnsi"/>
              </w:rPr>
            </w:pPr>
            <w:r w:rsidRPr="004E54A4">
              <w:rPr>
                <w:rFonts w:asciiTheme="minorHAnsi" w:hAnsiTheme="minorHAnsi" w:cstheme="minorHAnsi"/>
              </w:rPr>
              <w:t xml:space="preserve">Kanciastość kruszywa drobnego według PN-EN 933-6, rozdz. </w:t>
            </w:r>
            <w:r w:rsidRPr="00A662DD">
              <w:rPr>
                <w:rFonts w:asciiTheme="minorHAnsi" w:hAnsiTheme="minorHAnsi" w:cstheme="minorHAnsi"/>
              </w:rPr>
              <w:t>8, kategoria nie niższa niż:</w:t>
            </w:r>
          </w:p>
        </w:tc>
        <w:tc>
          <w:tcPr>
            <w:tcW w:w="1985" w:type="dxa"/>
            <w:tcBorders>
              <w:top w:val="single" w:sz="4" w:space="0" w:color="auto"/>
              <w:left w:val="single" w:sz="4" w:space="0" w:color="auto"/>
              <w:bottom w:val="single" w:sz="4" w:space="0" w:color="auto"/>
              <w:right w:val="single" w:sz="4" w:space="0" w:color="auto"/>
            </w:tcBorders>
          </w:tcPr>
          <w:p w14:paraId="646B3E39" w14:textId="77777777" w:rsidR="007E56C9" w:rsidRPr="00A662DD" w:rsidRDefault="007E56C9" w:rsidP="00EA573C">
            <w:pPr>
              <w:jc w:val="center"/>
              <w:rPr>
                <w:rFonts w:asciiTheme="minorHAnsi" w:hAnsiTheme="minorHAnsi" w:cstheme="minorHAnsi"/>
              </w:rPr>
            </w:pPr>
            <w:r w:rsidRPr="00A662DD">
              <w:rPr>
                <w:rFonts w:asciiTheme="minorHAnsi" w:hAnsiTheme="minorHAnsi" w:cstheme="minorHAnsi"/>
                <w:i/>
                <w:iCs/>
              </w:rPr>
              <w:t>E</w:t>
            </w:r>
            <w:r w:rsidRPr="00A662DD">
              <w:rPr>
                <w:rFonts w:asciiTheme="minorHAnsi" w:hAnsiTheme="minorHAnsi" w:cstheme="minorHAnsi"/>
                <w:vertAlign w:val="subscript"/>
              </w:rPr>
              <w:t>csDeklarowana</w:t>
            </w:r>
          </w:p>
        </w:tc>
      </w:tr>
      <w:tr w:rsidR="007E56C9" w:rsidRPr="00A662DD" w14:paraId="78AD433B" w14:textId="77777777" w:rsidTr="007E56C9">
        <w:tc>
          <w:tcPr>
            <w:tcW w:w="5351" w:type="dxa"/>
            <w:tcBorders>
              <w:top w:val="single" w:sz="4" w:space="0" w:color="auto"/>
              <w:left w:val="single" w:sz="4" w:space="0" w:color="auto"/>
              <w:bottom w:val="single" w:sz="4" w:space="0" w:color="auto"/>
              <w:right w:val="single" w:sz="4" w:space="0" w:color="auto"/>
            </w:tcBorders>
          </w:tcPr>
          <w:p w14:paraId="6B44CEA4" w14:textId="77777777" w:rsidR="007E56C9" w:rsidRPr="00A662DD" w:rsidRDefault="007E56C9" w:rsidP="00EA573C">
            <w:pPr>
              <w:rPr>
                <w:rFonts w:asciiTheme="minorHAnsi" w:hAnsiTheme="minorHAnsi" w:cstheme="minorHAnsi"/>
              </w:rPr>
            </w:pPr>
            <w:r w:rsidRPr="004E54A4">
              <w:rPr>
                <w:rFonts w:asciiTheme="minorHAnsi" w:hAnsiTheme="minorHAnsi" w:cstheme="minorHAnsi"/>
              </w:rPr>
              <w:t xml:space="preserve">Gęstość ziaren według PN-EN 1097-6, rozdz. </w:t>
            </w:r>
            <w:r w:rsidRPr="00A662DD">
              <w:rPr>
                <w:rFonts w:asciiTheme="minorHAnsi" w:hAnsiTheme="minorHAnsi" w:cstheme="minorHAnsi"/>
              </w:rPr>
              <w:t>7, 8 lub 9</w:t>
            </w:r>
          </w:p>
        </w:tc>
        <w:tc>
          <w:tcPr>
            <w:tcW w:w="1985" w:type="dxa"/>
            <w:tcBorders>
              <w:top w:val="single" w:sz="4" w:space="0" w:color="auto"/>
              <w:left w:val="single" w:sz="4" w:space="0" w:color="auto"/>
              <w:bottom w:val="single" w:sz="4" w:space="0" w:color="auto"/>
              <w:right w:val="single" w:sz="4" w:space="0" w:color="auto"/>
            </w:tcBorders>
          </w:tcPr>
          <w:p w14:paraId="424C001D" w14:textId="77777777" w:rsidR="007E56C9" w:rsidRPr="00A662DD" w:rsidRDefault="007E56C9" w:rsidP="00EA573C">
            <w:pPr>
              <w:jc w:val="center"/>
              <w:rPr>
                <w:rFonts w:asciiTheme="minorHAnsi" w:hAnsiTheme="minorHAnsi" w:cstheme="minorHAnsi"/>
              </w:rPr>
            </w:pPr>
            <w:r w:rsidRPr="00A662DD">
              <w:rPr>
                <w:rFonts w:asciiTheme="minorHAnsi" w:hAnsiTheme="minorHAnsi" w:cstheme="minorHAnsi"/>
              </w:rPr>
              <w:t>deklarowana przez producenta</w:t>
            </w:r>
          </w:p>
        </w:tc>
      </w:tr>
      <w:tr w:rsidR="007E56C9" w:rsidRPr="00A662DD" w14:paraId="12A2C2FE" w14:textId="77777777" w:rsidTr="007E56C9">
        <w:tc>
          <w:tcPr>
            <w:tcW w:w="5351" w:type="dxa"/>
            <w:tcBorders>
              <w:top w:val="single" w:sz="4" w:space="0" w:color="auto"/>
              <w:left w:val="single" w:sz="4" w:space="0" w:color="auto"/>
              <w:bottom w:val="single" w:sz="4" w:space="0" w:color="auto"/>
              <w:right w:val="single" w:sz="4" w:space="0" w:color="auto"/>
            </w:tcBorders>
          </w:tcPr>
          <w:p w14:paraId="29F92173" w14:textId="77777777" w:rsidR="007E56C9" w:rsidRPr="004E54A4" w:rsidRDefault="007E56C9" w:rsidP="00EA573C">
            <w:pPr>
              <w:rPr>
                <w:rFonts w:asciiTheme="minorHAnsi" w:hAnsiTheme="minorHAnsi" w:cstheme="minorHAnsi"/>
              </w:rPr>
            </w:pPr>
            <w:r w:rsidRPr="004E54A4">
              <w:rPr>
                <w:rFonts w:asciiTheme="minorHAnsi" w:hAnsiTheme="minorHAnsi" w:cstheme="minorHAnsi"/>
              </w:rPr>
              <w:t>Grube zanieczyszczenia lekkie, według PN-EN 1744-1 p. 14.2, kategoria nie wyższa niż:</w:t>
            </w:r>
          </w:p>
        </w:tc>
        <w:tc>
          <w:tcPr>
            <w:tcW w:w="1985" w:type="dxa"/>
            <w:tcBorders>
              <w:top w:val="single" w:sz="4" w:space="0" w:color="auto"/>
              <w:left w:val="single" w:sz="4" w:space="0" w:color="auto"/>
              <w:bottom w:val="single" w:sz="4" w:space="0" w:color="auto"/>
              <w:right w:val="single" w:sz="4" w:space="0" w:color="auto"/>
            </w:tcBorders>
          </w:tcPr>
          <w:p w14:paraId="6C1F94F7" w14:textId="77777777" w:rsidR="007E56C9" w:rsidRPr="00A662DD" w:rsidRDefault="007E56C9" w:rsidP="00EA573C">
            <w:pPr>
              <w:jc w:val="center"/>
              <w:rPr>
                <w:rFonts w:asciiTheme="minorHAnsi" w:hAnsiTheme="minorHAnsi" w:cstheme="minorHAnsi"/>
              </w:rPr>
            </w:pPr>
            <w:r w:rsidRPr="00A662DD">
              <w:rPr>
                <w:rFonts w:asciiTheme="minorHAnsi" w:hAnsiTheme="minorHAnsi" w:cstheme="minorHAnsi"/>
                <w:i/>
                <w:iCs/>
              </w:rPr>
              <w:t>m</w:t>
            </w:r>
            <w:r w:rsidRPr="00A662DD">
              <w:rPr>
                <w:rFonts w:asciiTheme="minorHAnsi" w:hAnsiTheme="minorHAnsi" w:cstheme="minorHAnsi"/>
                <w:vertAlign w:val="subscript"/>
              </w:rPr>
              <w:t>LPC</w:t>
            </w:r>
            <w:r w:rsidRPr="00A662DD">
              <w:rPr>
                <w:rFonts w:asciiTheme="minorHAnsi" w:hAnsiTheme="minorHAnsi" w:cstheme="minorHAnsi"/>
              </w:rPr>
              <w:t>0,1</w:t>
            </w:r>
          </w:p>
        </w:tc>
      </w:tr>
    </w:tbl>
    <w:p w14:paraId="091F361C" w14:textId="77777777" w:rsidR="008831F9" w:rsidRPr="00A662DD" w:rsidRDefault="008831F9" w:rsidP="008831F9">
      <w:pPr>
        <w:rPr>
          <w:rFonts w:asciiTheme="minorHAnsi" w:hAnsiTheme="minorHAnsi" w:cstheme="minorHAnsi"/>
        </w:rPr>
      </w:pPr>
    </w:p>
    <w:p w14:paraId="0D6B8D9E" w14:textId="77777777" w:rsidR="008831F9" w:rsidRPr="004E54A4" w:rsidRDefault="008831F9" w:rsidP="008831F9">
      <w:pPr>
        <w:ind w:left="1080" w:hanging="1080"/>
        <w:rPr>
          <w:rFonts w:asciiTheme="minorHAnsi" w:hAnsiTheme="minorHAnsi" w:cstheme="minorHAnsi"/>
        </w:rPr>
      </w:pPr>
      <w:r w:rsidRPr="004E54A4">
        <w:rPr>
          <w:rFonts w:asciiTheme="minorHAnsi" w:hAnsiTheme="minorHAnsi" w:cstheme="minorHAnsi"/>
        </w:rPr>
        <w:t>Tablica 4.</w:t>
      </w:r>
      <w:r w:rsidRPr="004E54A4">
        <w:rPr>
          <w:rFonts w:asciiTheme="minorHAnsi" w:hAnsiTheme="minorHAnsi" w:cstheme="minorHAnsi"/>
        </w:rPr>
        <w:tab/>
        <w:t>Wymagane właściwości kruszywa drobnego do warstwy ścieralnej z betonu asfaltowego Wg WT-1 2014 pkt. 5.3 tabela 14</w:t>
      </w:r>
    </w:p>
    <w:p w14:paraId="722497C6" w14:textId="77777777" w:rsidR="008831F9" w:rsidRPr="004E54A4" w:rsidRDefault="008831F9" w:rsidP="008831F9">
      <w:pPr>
        <w:ind w:left="1080" w:hanging="1080"/>
        <w:rPr>
          <w:rFonts w:asciiTheme="minorHAnsi" w:hAnsiTheme="minorHAnsi" w:cstheme="minorHAnsi"/>
        </w:rPr>
      </w:pPr>
    </w:p>
    <w:tbl>
      <w:tblPr>
        <w:tblW w:w="3962" w:type="pct"/>
        <w:tblLook w:val="01E0" w:firstRow="1" w:lastRow="1" w:firstColumn="1" w:lastColumn="1" w:noHBand="0" w:noVBand="0"/>
      </w:tblPr>
      <w:tblGrid>
        <w:gridCol w:w="4610"/>
        <w:gridCol w:w="1296"/>
        <w:gridCol w:w="1269"/>
      </w:tblGrid>
      <w:tr w:rsidR="007E56C9" w:rsidRPr="00A662DD" w14:paraId="59145F86" w14:textId="77777777" w:rsidTr="007E56C9">
        <w:trPr>
          <w:cantSplit/>
        </w:trPr>
        <w:tc>
          <w:tcPr>
            <w:tcW w:w="3213" w:type="pct"/>
            <w:vMerge w:val="restart"/>
            <w:tcBorders>
              <w:top w:val="single" w:sz="4" w:space="0" w:color="auto"/>
              <w:left w:val="single" w:sz="4" w:space="0" w:color="auto"/>
              <w:bottom w:val="single" w:sz="4" w:space="0" w:color="auto"/>
              <w:right w:val="single" w:sz="4" w:space="0" w:color="auto"/>
            </w:tcBorders>
          </w:tcPr>
          <w:p w14:paraId="00DF7BAC" w14:textId="77777777" w:rsidR="007E56C9" w:rsidRPr="00A662DD" w:rsidRDefault="007E56C9" w:rsidP="00EA573C">
            <w:pPr>
              <w:jc w:val="center"/>
              <w:rPr>
                <w:rFonts w:asciiTheme="minorHAnsi" w:hAnsiTheme="minorHAnsi" w:cstheme="minorHAnsi"/>
              </w:rPr>
            </w:pPr>
            <w:r w:rsidRPr="00A662DD">
              <w:rPr>
                <w:rFonts w:asciiTheme="minorHAnsi" w:hAnsiTheme="minorHAnsi" w:cstheme="minorHAnsi"/>
              </w:rPr>
              <w:t>Właściwości kruszywa</w:t>
            </w:r>
          </w:p>
        </w:tc>
        <w:tc>
          <w:tcPr>
            <w:tcW w:w="1787" w:type="pct"/>
            <w:gridSpan w:val="2"/>
            <w:tcBorders>
              <w:top w:val="single" w:sz="4" w:space="0" w:color="auto"/>
              <w:left w:val="single" w:sz="4" w:space="0" w:color="auto"/>
              <w:bottom w:val="single" w:sz="4" w:space="0" w:color="auto"/>
              <w:right w:val="single" w:sz="4" w:space="0" w:color="auto"/>
            </w:tcBorders>
          </w:tcPr>
          <w:p w14:paraId="2068370B" w14:textId="77777777" w:rsidR="007E56C9" w:rsidRPr="00A662DD" w:rsidRDefault="007E56C9" w:rsidP="00EA573C">
            <w:pPr>
              <w:jc w:val="center"/>
              <w:rPr>
                <w:rFonts w:asciiTheme="minorHAnsi" w:hAnsiTheme="minorHAnsi" w:cstheme="minorHAnsi"/>
              </w:rPr>
            </w:pPr>
            <w:r w:rsidRPr="00A662DD">
              <w:rPr>
                <w:rFonts w:asciiTheme="minorHAnsi" w:hAnsiTheme="minorHAnsi" w:cstheme="minorHAnsi"/>
              </w:rPr>
              <w:t>Jezdnie</w:t>
            </w:r>
          </w:p>
        </w:tc>
      </w:tr>
      <w:tr w:rsidR="007E56C9" w:rsidRPr="00A662DD" w14:paraId="5BBA699F" w14:textId="77777777" w:rsidTr="007E56C9">
        <w:trPr>
          <w:cantSplit/>
        </w:trPr>
        <w:tc>
          <w:tcPr>
            <w:tcW w:w="3213" w:type="pct"/>
            <w:vMerge/>
            <w:tcBorders>
              <w:top w:val="single" w:sz="4" w:space="0" w:color="auto"/>
              <w:left w:val="single" w:sz="4" w:space="0" w:color="auto"/>
              <w:bottom w:val="single" w:sz="4" w:space="0" w:color="auto"/>
              <w:right w:val="single" w:sz="4" w:space="0" w:color="auto"/>
            </w:tcBorders>
          </w:tcPr>
          <w:p w14:paraId="7DA1748D" w14:textId="77777777" w:rsidR="007E56C9" w:rsidRPr="00A662DD" w:rsidRDefault="007E56C9" w:rsidP="00EA573C">
            <w:pPr>
              <w:jc w:val="center"/>
              <w:rPr>
                <w:rFonts w:asciiTheme="minorHAnsi" w:hAnsiTheme="minorHAnsi" w:cstheme="minorHAnsi"/>
              </w:rPr>
            </w:pPr>
          </w:p>
        </w:tc>
        <w:tc>
          <w:tcPr>
            <w:tcW w:w="903" w:type="pct"/>
            <w:tcBorders>
              <w:top w:val="single" w:sz="4" w:space="0" w:color="auto"/>
              <w:left w:val="single" w:sz="4" w:space="0" w:color="auto"/>
              <w:bottom w:val="single" w:sz="4" w:space="0" w:color="auto"/>
              <w:right w:val="single" w:sz="4" w:space="0" w:color="auto"/>
            </w:tcBorders>
          </w:tcPr>
          <w:p w14:paraId="67C32FEF" w14:textId="77777777" w:rsidR="007E56C9" w:rsidRPr="00A662DD" w:rsidRDefault="007E56C9" w:rsidP="00EA573C">
            <w:pPr>
              <w:jc w:val="center"/>
              <w:rPr>
                <w:rFonts w:asciiTheme="minorHAnsi" w:hAnsiTheme="minorHAnsi" w:cstheme="minorHAnsi"/>
              </w:rPr>
            </w:pPr>
            <w:r w:rsidRPr="00A662DD">
              <w:rPr>
                <w:rFonts w:asciiTheme="minorHAnsi" w:hAnsiTheme="minorHAnsi" w:cstheme="minorHAnsi"/>
              </w:rPr>
              <w:t>KR1</w:t>
            </w:r>
            <w:r>
              <w:rPr>
                <w:rFonts w:asciiTheme="minorHAnsi" w:hAnsiTheme="minorHAnsi" w:cstheme="minorHAnsi"/>
              </w:rPr>
              <w:t>-2</w:t>
            </w:r>
          </w:p>
        </w:tc>
        <w:tc>
          <w:tcPr>
            <w:tcW w:w="884" w:type="pct"/>
            <w:tcBorders>
              <w:top w:val="single" w:sz="4" w:space="0" w:color="auto"/>
              <w:left w:val="single" w:sz="4" w:space="0" w:color="auto"/>
              <w:bottom w:val="single" w:sz="4" w:space="0" w:color="auto"/>
              <w:right w:val="single" w:sz="4" w:space="0" w:color="auto"/>
            </w:tcBorders>
          </w:tcPr>
          <w:p w14:paraId="4612D677" w14:textId="77777777" w:rsidR="007E56C9" w:rsidRPr="00A662DD" w:rsidRDefault="007E56C9" w:rsidP="00EA573C">
            <w:pPr>
              <w:jc w:val="center"/>
              <w:rPr>
                <w:rFonts w:asciiTheme="minorHAnsi" w:hAnsiTheme="minorHAnsi" w:cstheme="minorHAnsi"/>
              </w:rPr>
            </w:pPr>
            <w:r w:rsidRPr="00A662DD">
              <w:rPr>
                <w:rFonts w:asciiTheme="minorHAnsi" w:hAnsiTheme="minorHAnsi" w:cstheme="minorHAnsi"/>
              </w:rPr>
              <w:t>KR</w:t>
            </w:r>
            <w:r>
              <w:rPr>
                <w:rFonts w:asciiTheme="minorHAnsi" w:hAnsiTheme="minorHAnsi" w:cstheme="minorHAnsi"/>
              </w:rPr>
              <w:t>3-4</w:t>
            </w:r>
          </w:p>
        </w:tc>
      </w:tr>
      <w:tr w:rsidR="007E56C9" w:rsidRPr="00A662DD" w14:paraId="62E8210C" w14:textId="77777777" w:rsidTr="007E56C9">
        <w:tc>
          <w:tcPr>
            <w:tcW w:w="3213" w:type="pct"/>
            <w:tcBorders>
              <w:top w:val="single" w:sz="4" w:space="0" w:color="auto"/>
              <w:left w:val="single" w:sz="4" w:space="0" w:color="auto"/>
              <w:bottom w:val="single" w:sz="4" w:space="0" w:color="auto"/>
              <w:right w:val="single" w:sz="4" w:space="0" w:color="auto"/>
            </w:tcBorders>
          </w:tcPr>
          <w:p w14:paraId="1972E32A" w14:textId="77777777" w:rsidR="007E56C9" w:rsidRPr="004E54A4" w:rsidRDefault="007E56C9" w:rsidP="00EA573C">
            <w:pPr>
              <w:rPr>
                <w:rFonts w:asciiTheme="minorHAnsi" w:hAnsiTheme="minorHAnsi" w:cstheme="minorHAnsi"/>
              </w:rPr>
            </w:pPr>
            <w:r w:rsidRPr="004E54A4">
              <w:rPr>
                <w:rFonts w:asciiTheme="minorHAnsi" w:hAnsiTheme="minorHAnsi" w:cstheme="minorHAnsi"/>
              </w:rPr>
              <w:t>Uziarnienie według PN-EN 933-1, wymagana kategoria:</w:t>
            </w:r>
          </w:p>
        </w:tc>
        <w:tc>
          <w:tcPr>
            <w:tcW w:w="903" w:type="pct"/>
            <w:tcBorders>
              <w:top w:val="single" w:sz="4" w:space="0" w:color="auto"/>
              <w:left w:val="single" w:sz="4" w:space="0" w:color="auto"/>
              <w:bottom w:val="single" w:sz="4" w:space="0" w:color="auto"/>
              <w:right w:val="single" w:sz="4" w:space="0" w:color="auto"/>
            </w:tcBorders>
          </w:tcPr>
          <w:p w14:paraId="6C27039F" w14:textId="77777777" w:rsidR="007E56C9" w:rsidRPr="00A662DD" w:rsidRDefault="007E56C9" w:rsidP="00EA573C">
            <w:pPr>
              <w:jc w:val="center"/>
              <w:rPr>
                <w:rFonts w:asciiTheme="minorHAnsi" w:hAnsiTheme="minorHAnsi" w:cstheme="minorHAnsi"/>
              </w:rPr>
            </w:pPr>
            <w:r w:rsidRPr="00A662DD">
              <w:rPr>
                <w:rFonts w:asciiTheme="minorHAnsi" w:hAnsiTheme="minorHAnsi" w:cstheme="minorHAnsi"/>
                <w:i/>
                <w:iCs/>
              </w:rPr>
              <w:t>G</w:t>
            </w:r>
            <w:r w:rsidRPr="00A662DD">
              <w:rPr>
                <w:rFonts w:asciiTheme="minorHAnsi" w:hAnsiTheme="minorHAnsi" w:cstheme="minorHAnsi"/>
                <w:vertAlign w:val="subscript"/>
              </w:rPr>
              <w:t>F</w:t>
            </w:r>
            <w:r w:rsidRPr="00A662DD">
              <w:rPr>
                <w:rFonts w:asciiTheme="minorHAnsi" w:hAnsiTheme="minorHAnsi" w:cstheme="minorHAnsi"/>
              </w:rPr>
              <w:t xml:space="preserve">85 lub </w:t>
            </w:r>
            <w:r w:rsidRPr="00A662DD">
              <w:rPr>
                <w:rFonts w:asciiTheme="minorHAnsi" w:hAnsiTheme="minorHAnsi" w:cstheme="minorHAnsi"/>
                <w:i/>
                <w:iCs/>
              </w:rPr>
              <w:t>G</w:t>
            </w:r>
            <w:r w:rsidRPr="00A662DD">
              <w:rPr>
                <w:rFonts w:asciiTheme="minorHAnsi" w:hAnsiTheme="minorHAnsi" w:cstheme="minorHAnsi"/>
                <w:vertAlign w:val="subscript"/>
              </w:rPr>
              <w:t>A</w:t>
            </w:r>
            <w:r w:rsidRPr="00A662DD">
              <w:rPr>
                <w:rFonts w:asciiTheme="minorHAnsi" w:hAnsiTheme="minorHAnsi" w:cstheme="minorHAnsi"/>
              </w:rPr>
              <w:t xml:space="preserve">85 </w:t>
            </w:r>
          </w:p>
        </w:tc>
        <w:tc>
          <w:tcPr>
            <w:tcW w:w="884" w:type="pct"/>
            <w:tcBorders>
              <w:top w:val="single" w:sz="4" w:space="0" w:color="auto"/>
              <w:left w:val="single" w:sz="4" w:space="0" w:color="auto"/>
              <w:bottom w:val="single" w:sz="4" w:space="0" w:color="auto"/>
              <w:right w:val="single" w:sz="4" w:space="0" w:color="auto"/>
            </w:tcBorders>
          </w:tcPr>
          <w:p w14:paraId="2FC2E56C" w14:textId="77777777" w:rsidR="007E56C9" w:rsidRPr="00A662DD" w:rsidRDefault="007E56C9" w:rsidP="00EA573C">
            <w:pPr>
              <w:jc w:val="center"/>
              <w:rPr>
                <w:rFonts w:asciiTheme="minorHAnsi" w:hAnsiTheme="minorHAnsi" w:cstheme="minorHAnsi"/>
                <w:i/>
                <w:iCs/>
              </w:rPr>
            </w:pPr>
            <w:r w:rsidRPr="00A662DD">
              <w:rPr>
                <w:rFonts w:asciiTheme="minorHAnsi" w:hAnsiTheme="minorHAnsi" w:cstheme="minorHAnsi"/>
                <w:i/>
                <w:iCs/>
              </w:rPr>
              <w:t>G</w:t>
            </w:r>
            <w:r w:rsidRPr="00A662DD">
              <w:rPr>
                <w:rFonts w:asciiTheme="minorHAnsi" w:hAnsiTheme="minorHAnsi" w:cstheme="minorHAnsi"/>
                <w:vertAlign w:val="subscript"/>
              </w:rPr>
              <w:t>F</w:t>
            </w:r>
            <w:r w:rsidRPr="00A662DD">
              <w:rPr>
                <w:rFonts w:asciiTheme="minorHAnsi" w:hAnsiTheme="minorHAnsi" w:cstheme="minorHAnsi"/>
              </w:rPr>
              <w:t xml:space="preserve">85 lub </w:t>
            </w:r>
            <w:r w:rsidRPr="00A662DD">
              <w:rPr>
                <w:rFonts w:asciiTheme="minorHAnsi" w:hAnsiTheme="minorHAnsi" w:cstheme="minorHAnsi"/>
                <w:i/>
                <w:iCs/>
              </w:rPr>
              <w:t>G</w:t>
            </w:r>
            <w:r w:rsidRPr="00A662DD">
              <w:rPr>
                <w:rFonts w:asciiTheme="minorHAnsi" w:hAnsiTheme="minorHAnsi" w:cstheme="minorHAnsi"/>
                <w:vertAlign w:val="subscript"/>
              </w:rPr>
              <w:t>A</w:t>
            </w:r>
            <w:r w:rsidRPr="00A662DD">
              <w:rPr>
                <w:rFonts w:asciiTheme="minorHAnsi" w:hAnsiTheme="minorHAnsi" w:cstheme="minorHAnsi"/>
              </w:rPr>
              <w:t xml:space="preserve">85 </w:t>
            </w:r>
          </w:p>
        </w:tc>
      </w:tr>
      <w:tr w:rsidR="007E56C9" w:rsidRPr="00A662DD" w14:paraId="3DC4CBBC" w14:textId="77777777" w:rsidTr="007E56C9">
        <w:tc>
          <w:tcPr>
            <w:tcW w:w="3213" w:type="pct"/>
            <w:tcBorders>
              <w:top w:val="single" w:sz="4" w:space="0" w:color="auto"/>
              <w:left w:val="single" w:sz="4" w:space="0" w:color="auto"/>
              <w:bottom w:val="single" w:sz="4" w:space="0" w:color="auto"/>
              <w:right w:val="single" w:sz="4" w:space="0" w:color="auto"/>
            </w:tcBorders>
          </w:tcPr>
          <w:p w14:paraId="7E48A7C4" w14:textId="77777777" w:rsidR="007E56C9" w:rsidRPr="004E54A4" w:rsidRDefault="007E56C9" w:rsidP="00EA573C">
            <w:pPr>
              <w:rPr>
                <w:rFonts w:asciiTheme="minorHAnsi" w:hAnsiTheme="minorHAnsi" w:cstheme="minorHAnsi"/>
              </w:rPr>
            </w:pPr>
            <w:r w:rsidRPr="004E54A4">
              <w:rPr>
                <w:rFonts w:asciiTheme="minorHAnsi" w:hAnsiTheme="minorHAnsi" w:cstheme="minorHAnsi"/>
              </w:rPr>
              <w:t>Tolerancja uziarnienia; odchylenie nie większe niż według kategorii:</w:t>
            </w:r>
          </w:p>
        </w:tc>
        <w:tc>
          <w:tcPr>
            <w:tcW w:w="903" w:type="pct"/>
            <w:tcBorders>
              <w:top w:val="single" w:sz="4" w:space="0" w:color="auto"/>
              <w:left w:val="single" w:sz="4" w:space="0" w:color="auto"/>
              <w:bottom w:val="single" w:sz="4" w:space="0" w:color="auto"/>
              <w:right w:val="single" w:sz="4" w:space="0" w:color="auto"/>
            </w:tcBorders>
          </w:tcPr>
          <w:p w14:paraId="262D9253" w14:textId="77777777" w:rsidR="007E56C9" w:rsidRPr="00A662DD" w:rsidRDefault="007E56C9" w:rsidP="00EA573C">
            <w:pPr>
              <w:jc w:val="center"/>
              <w:rPr>
                <w:rFonts w:asciiTheme="minorHAnsi" w:hAnsiTheme="minorHAnsi" w:cstheme="minorHAnsi"/>
              </w:rPr>
            </w:pPr>
            <w:r w:rsidRPr="00A662DD">
              <w:rPr>
                <w:rFonts w:asciiTheme="minorHAnsi" w:hAnsiTheme="minorHAnsi" w:cstheme="minorHAnsi"/>
                <w:i/>
                <w:iCs/>
              </w:rPr>
              <w:t>G</w:t>
            </w:r>
            <w:r w:rsidRPr="00A662DD">
              <w:rPr>
                <w:rFonts w:asciiTheme="minorHAnsi" w:hAnsiTheme="minorHAnsi" w:cstheme="minorHAnsi"/>
                <w:vertAlign w:val="subscript"/>
              </w:rPr>
              <w:t>TC</w:t>
            </w:r>
            <w:r w:rsidRPr="00A662DD">
              <w:rPr>
                <w:rFonts w:asciiTheme="minorHAnsi" w:hAnsiTheme="minorHAnsi" w:cstheme="minorHAnsi"/>
              </w:rPr>
              <w:t>NR</w:t>
            </w:r>
          </w:p>
        </w:tc>
        <w:tc>
          <w:tcPr>
            <w:tcW w:w="884" w:type="pct"/>
            <w:tcBorders>
              <w:top w:val="single" w:sz="4" w:space="0" w:color="auto"/>
              <w:left w:val="single" w:sz="4" w:space="0" w:color="auto"/>
              <w:bottom w:val="single" w:sz="4" w:space="0" w:color="auto"/>
              <w:right w:val="single" w:sz="4" w:space="0" w:color="auto"/>
            </w:tcBorders>
          </w:tcPr>
          <w:p w14:paraId="3D533FD6" w14:textId="77777777" w:rsidR="007E56C9" w:rsidRPr="00A662DD" w:rsidRDefault="007E56C9" w:rsidP="00EA573C">
            <w:pPr>
              <w:jc w:val="center"/>
              <w:rPr>
                <w:rFonts w:asciiTheme="minorHAnsi" w:hAnsiTheme="minorHAnsi" w:cstheme="minorHAnsi"/>
                <w:i/>
                <w:iCs/>
              </w:rPr>
            </w:pPr>
            <w:r w:rsidRPr="00A662DD">
              <w:rPr>
                <w:rFonts w:asciiTheme="minorHAnsi" w:hAnsiTheme="minorHAnsi" w:cstheme="minorHAnsi"/>
                <w:i/>
                <w:iCs/>
              </w:rPr>
              <w:t>G</w:t>
            </w:r>
            <w:r w:rsidRPr="00A662DD">
              <w:rPr>
                <w:rFonts w:asciiTheme="minorHAnsi" w:hAnsiTheme="minorHAnsi" w:cstheme="minorHAnsi"/>
                <w:vertAlign w:val="subscript"/>
              </w:rPr>
              <w:t>TC</w:t>
            </w:r>
            <w:r>
              <w:rPr>
                <w:rFonts w:asciiTheme="minorHAnsi" w:hAnsiTheme="minorHAnsi" w:cstheme="minorHAnsi"/>
              </w:rPr>
              <w:t>20</w:t>
            </w:r>
          </w:p>
        </w:tc>
      </w:tr>
      <w:tr w:rsidR="007E56C9" w:rsidRPr="00A662DD" w14:paraId="135CB281" w14:textId="77777777" w:rsidTr="007E56C9">
        <w:tc>
          <w:tcPr>
            <w:tcW w:w="3213" w:type="pct"/>
            <w:tcBorders>
              <w:top w:val="single" w:sz="4" w:space="0" w:color="auto"/>
              <w:left w:val="single" w:sz="4" w:space="0" w:color="auto"/>
              <w:bottom w:val="single" w:sz="4" w:space="0" w:color="auto"/>
              <w:right w:val="single" w:sz="4" w:space="0" w:color="auto"/>
            </w:tcBorders>
          </w:tcPr>
          <w:p w14:paraId="41C8C0B7" w14:textId="77777777" w:rsidR="007E56C9" w:rsidRPr="004E54A4" w:rsidRDefault="007E56C9" w:rsidP="00EA573C">
            <w:pPr>
              <w:rPr>
                <w:rFonts w:asciiTheme="minorHAnsi" w:hAnsiTheme="minorHAnsi" w:cstheme="minorHAnsi"/>
              </w:rPr>
            </w:pPr>
            <w:r w:rsidRPr="004E54A4">
              <w:rPr>
                <w:rFonts w:asciiTheme="minorHAnsi" w:hAnsiTheme="minorHAnsi" w:cstheme="minorHAnsi"/>
              </w:rPr>
              <w:t>Zawartość pyłu według PN-EN 933-1; kategoria nie wyższa niż:</w:t>
            </w:r>
          </w:p>
        </w:tc>
        <w:tc>
          <w:tcPr>
            <w:tcW w:w="903" w:type="pct"/>
            <w:tcBorders>
              <w:top w:val="single" w:sz="4" w:space="0" w:color="auto"/>
              <w:left w:val="single" w:sz="4" w:space="0" w:color="auto"/>
              <w:bottom w:val="single" w:sz="4" w:space="0" w:color="auto"/>
              <w:right w:val="single" w:sz="4" w:space="0" w:color="auto"/>
            </w:tcBorders>
          </w:tcPr>
          <w:p w14:paraId="0FE4C4CF" w14:textId="77777777" w:rsidR="007E56C9" w:rsidRPr="00A662DD" w:rsidRDefault="007E56C9" w:rsidP="00EA573C">
            <w:pPr>
              <w:jc w:val="center"/>
              <w:rPr>
                <w:rFonts w:asciiTheme="minorHAnsi" w:hAnsiTheme="minorHAnsi" w:cstheme="minorHAnsi"/>
              </w:rPr>
            </w:pPr>
            <w:r w:rsidRPr="00A662DD">
              <w:rPr>
                <w:rFonts w:asciiTheme="minorHAnsi" w:hAnsiTheme="minorHAnsi" w:cstheme="minorHAnsi"/>
              </w:rPr>
              <w:t>ƒ</w:t>
            </w:r>
            <w:r w:rsidRPr="00A662DD">
              <w:rPr>
                <w:rFonts w:asciiTheme="minorHAnsi" w:hAnsiTheme="minorHAnsi" w:cstheme="minorHAnsi"/>
                <w:vertAlign w:val="subscript"/>
              </w:rPr>
              <w:t>16</w:t>
            </w:r>
          </w:p>
        </w:tc>
        <w:tc>
          <w:tcPr>
            <w:tcW w:w="884" w:type="pct"/>
            <w:tcBorders>
              <w:top w:val="single" w:sz="4" w:space="0" w:color="auto"/>
              <w:left w:val="single" w:sz="4" w:space="0" w:color="auto"/>
              <w:bottom w:val="single" w:sz="4" w:space="0" w:color="auto"/>
              <w:right w:val="single" w:sz="4" w:space="0" w:color="auto"/>
            </w:tcBorders>
          </w:tcPr>
          <w:p w14:paraId="565EF152" w14:textId="77777777" w:rsidR="007E56C9" w:rsidRPr="00A662DD" w:rsidRDefault="007E56C9" w:rsidP="00EA573C">
            <w:pPr>
              <w:jc w:val="center"/>
              <w:rPr>
                <w:rFonts w:asciiTheme="minorHAnsi" w:hAnsiTheme="minorHAnsi" w:cstheme="minorHAnsi"/>
              </w:rPr>
            </w:pPr>
            <w:r w:rsidRPr="00A662DD">
              <w:rPr>
                <w:rFonts w:asciiTheme="minorHAnsi" w:hAnsiTheme="minorHAnsi" w:cstheme="minorHAnsi"/>
              </w:rPr>
              <w:t>ƒ</w:t>
            </w:r>
            <w:r w:rsidRPr="00A662DD">
              <w:rPr>
                <w:rFonts w:asciiTheme="minorHAnsi" w:hAnsiTheme="minorHAnsi" w:cstheme="minorHAnsi"/>
                <w:vertAlign w:val="subscript"/>
              </w:rPr>
              <w:t>16</w:t>
            </w:r>
          </w:p>
        </w:tc>
      </w:tr>
      <w:tr w:rsidR="007E56C9" w:rsidRPr="00A662DD" w14:paraId="5C4C3EB7" w14:textId="77777777" w:rsidTr="007E56C9">
        <w:tc>
          <w:tcPr>
            <w:tcW w:w="3213" w:type="pct"/>
            <w:tcBorders>
              <w:top w:val="single" w:sz="4" w:space="0" w:color="auto"/>
              <w:left w:val="single" w:sz="4" w:space="0" w:color="auto"/>
              <w:bottom w:val="single" w:sz="4" w:space="0" w:color="auto"/>
              <w:right w:val="single" w:sz="4" w:space="0" w:color="auto"/>
            </w:tcBorders>
          </w:tcPr>
          <w:p w14:paraId="6638BEED" w14:textId="77777777" w:rsidR="007E56C9" w:rsidRPr="004E54A4" w:rsidRDefault="007E56C9" w:rsidP="00EA573C">
            <w:pPr>
              <w:rPr>
                <w:rFonts w:asciiTheme="minorHAnsi" w:hAnsiTheme="minorHAnsi" w:cstheme="minorHAnsi"/>
              </w:rPr>
            </w:pPr>
            <w:r w:rsidRPr="004E54A4">
              <w:rPr>
                <w:rFonts w:asciiTheme="minorHAnsi" w:hAnsiTheme="minorHAnsi" w:cstheme="minorHAnsi"/>
              </w:rPr>
              <w:t>Jakość pyłu według PN-EN 933-9, kategoria nie wyższa niż:</w:t>
            </w:r>
          </w:p>
        </w:tc>
        <w:tc>
          <w:tcPr>
            <w:tcW w:w="903" w:type="pct"/>
            <w:tcBorders>
              <w:top w:val="single" w:sz="4" w:space="0" w:color="auto"/>
              <w:left w:val="single" w:sz="4" w:space="0" w:color="auto"/>
              <w:bottom w:val="single" w:sz="4" w:space="0" w:color="auto"/>
              <w:right w:val="single" w:sz="4" w:space="0" w:color="auto"/>
            </w:tcBorders>
          </w:tcPr>
          <w:p w14:paraId="14214BD1" w14:textId="77777777" w:rsidR="007E56C9" w:rsidRPr="00A662DD" w:rsidRDefault="007E56C9" w:rsidP="00EA573C">
            <w:pPr>
              <w:jc w:val="center"/>
              <w:rPr>
                <w:rFonts w:asciiTheme="minorHAnsi" w:hAnsiTheme="minorHAnsi" w:cstheme="minorHAnsi"/>
              </w:rPr>
            </w:pPr>
            <w:r w:rsidRPr="00A662DD">
              <w:rPr>
                <w:rFonts w:asciiTheme="minorHAnsi" w:hAnsiTheme="minorHAnsi" w:cstheme="minorHAnsi"/>
                <w:i/>
                <w:iCs/>
              </w:rPr>
              <w:t>MB</w:t>
            </w:r>
            <w:r w:rsidRPr="00A662DD">
              <w:rPr>
                <w:rFonts w:asciiTheme="minorHAnsi" w:hAnsiTheme="minorHAnsi" w:cstheme="minorHAnsi"/>
                <w:vertAlign w:val="subscript"/>
              </w:rPr>
              <w:t>F</w:t>
            </w:r>
            <w:r w:rsidRPr="00A662DD">
              <w:rPr>
                <w:rFonts w:asciiTheme="minorHAnsi" w:hAnsiTheme="minorHAnsi" w:cstheme="minorHAnsi"/>
              </w:rPr>
              <w:t>10</w:t>
            </w:r>
          </w:p>
        </w:tc>
        <w:tc>
          <w:tcPr>
            <w:tcW w:w="884" w:type="pct"/>
            <w:tcBorders>
              <w:top w:val="single" w:sz="4" w:space="0" w:color="auto"/>
              <w:left w:val="single" w:sz="4" w:space="0" w:color="auto"/>
              <w:bottom w:val="single" w:sz="4" w:space="0" w:color="auto"/>
              <w:right w:val="single" w:sz="4" w:space="0" w:color="auto"/>
            </w:tcBorders>
          </w:tcPr>
          <w:p w14:paraId="5C66515D" w14:textId="77777777" w:rsidR="007E56C9" w:rsidRPr="00A662DD" w:rsidRDefault="007E56C9" w:rsidP="00EA573C">
            <w:pPr>
              <w:jc w:val="center"/>
              <w:rPr>
                <w:rFonts w:asciiTheme="minorHAnsi" w:hAnsiTheme="minorHAnsi" w:cstheme="minorHAnsi"/>
                <w:i/>
                <w:iCs/>
              </w:rPr>
            </w:pPr>
            <w:r w:rsidRPr="00A662DD">
              <w:rPr>
                <w:rFonts w:asciiTheme="minorHAnsi" w:hAnsiTheme="minorHAnsi" w:cstheme="minorHAnsi"/>
                <w:i/>
                <w:iCs/>
              </w:rPr>
              <w:t>MB</w:t>
            </w:r>
            <w:r w:rsidRPr="00A662DD">
              <w:rPr>
                <w:rFonts w:asciiTheme="minorHAnsi" w:hAnsiTheme="minorHAnsi" w:cstheme="minorHAnsi"/>
                <w:vertAlign w:val="subscript"/>
              </w:rPr>
              <w:t>F</w:t>
            </w:r>
            <w:r w:rsidRPr="00A662DD">
              <w:rPr>
                <w:rFonts w:asciiTheme="minorHAnsi" w:hAnsiTheme="minorHAnsi" w:cstheme="minorHAnsi"/>
              </w:rPr>
              <w:t>10</w:t>
            </w:r>
          </w:p>
        </w:tc>
      </w:tr>
      <w:tr w:rsidR="007E56C9" w:rsidRPr="00A662DD" w14:paraId="02358ACA" w14:textId="77777777" w:rsidTr="007E56C9">
        <w:tc>
          <w:tcPr>
            <w:tcW w:w="3213" w:type="pct"/>
            <w:tcBorders>
              <w:top w:val="single" w:sz="4" w:space="0" w:color="auto"/>
              <w:left w:val="single" w:sz="4" w:space="0" w:color="auto"/>
              <w:bottom w:val="single" w:sz="4" w:space="0" w:color="auto"/>
              <w:right w:val="single" w:sz="4" w:space="0" w:color="auto"/>
            </w:tcBorders>
          </w:tcPr>
          <w:p w14:paraId="740EDBD4" w14:textId="77777777" w:rsidR="007E56C9" w:rsidRPr="00A662DD" w:rsidRDefault="007E56C9" w:rsidP="00EA573C">
            <w:pPr>
              <w:rPr>
                <w:rFonts w:asciiTheme="minorHAnsi" w:hAnsiTheme="minorHAnsi" w:cstheme="minorHAnsi"/>
              </w:rPr>
            </w:pPr>
            <w:r w:rsidRPr="004E54A4">
              <w:rPr>
                <w:rFonts w:asciiTheme="minorHAnsi" w:hAnsiTheme="minorHAnsi" w:cstheme="minorHAnsi"/>
              </w:rPr>
              <w:t xml:space="preserve">Kanciastość kruszywa drobnego według PN-EN 933-6, rozdz. </w:t>
            </w:r>
            <w:r w:rsidRPr="00A662DD">
              <w:rPr>
                <w:rFonts w:asciiTheme="minorHAnsi" w:hAnsiTheme="minorHAnsi" w:cstheme="minorHAnsi"/>
              </w:rPr>
              <w:t>8, kategoria nie niższa niż:</w:t>
            </w:r>
          </w:p>
        </w:tc>
        <w:tc>
          <w:tcPr>
            <w:tcW w:w="903" w:type="pct"/>
            <w:tcBorders>
              <w:top w:val="single" w:sz="4" w:space="0" w:color="auto"/>
              <w:left w:val="single" w:sz="4" w:space="0" w:color="auto"/>
              <w:bottom w:val="single" w:sz="4" w:space="0" w:color="auto"/>
              <w:right w:val="single" w:sz="4" w:space="0" w:color="auto"/>
            </w:tcBorders>
          </w:tcPr>
          <w:p w14:paraId="186922B4" w14:textId="77777777" w:rsidR="007E56C9" w:rsidRPr="00A662DD" w:rsidRDefault="007E56C9" w:rsidP="00EA573C">
            <w:pPr>
              <w:jc w:val="center"/>
              <w:rPr>
                <w:rFonts w:asciiTheme="minorHAnsi" w:hAnsiTheme="minorHAnsi" w:cstheme="minorHAnsi"/>
              </w:rPr>
            </w:pPr>
            <w:r w:rsidRPr="00A662DD">
              <w:rPr>
                <w:rFonts w:asciiTheme="minorHAnsi" w:hAnsiTheme="minorHAnsi" w:cstheme="minorHAnsi"/>
                <w:i/>
                <w:iCs/>
              </w:rPr>
              <w:t>E</w:t>
            </w:r>
            <w:r w:rsidRPr="00A662DD">
              <w:rPr>
                <w:rFonts w:asciiTheme="minorHAnsi" w:hAnsiTheme="minorHAnsi" w:cstheme="minorHAnsi"/>
                <w:vertAlign w:val="subscript"/>
              </w:rPr>
              <w:t>csDeklarowana</w:t>
            </w:r>
          </w:p>
        </w:tc>
        <w:tc>
          <w:tcPr>
            <w:tcW w:w="884" w:type="pct"/>
            <w:tcBorders>
              <w:top w:val="single" w:sz="4" w:space="0" w:color="auto"/>
              <w:left w:val="single" w:sz="4" w:space="0" w:color="auto"/>
              <w:bottom w:val="single" w:sz="4" w:space="0" w:color="auto"/>
              <w:right w:val="single" w:sz="4" w:space="0" w:color="auto"/>
            </w:tcBorders>
          </w:tcPr>
          <w:p w14:paraId="1465031F" w14:textId="77777777" w:rsidR="007E56C9" w:rsidRPr="00A662DD" w:rsidRDefault="007E56C9" w:rsidP="00EA573C">
            <w:pPr>
              <w:jc w:val="center"/>
              <w:rPr>
                <w:rFonts w:asciiTheme="minorHAnsi" w:hAnsiTheme="minorHAnsi" w:cstheme="minorHAnsi"/>
                <w:i/>
                <w:iCs/>
              </w:rPr>
            </w:pPr>
            <w:r w:rsidRPr="00A662DD">
              <w:rPr>
                <w:rFonts w:asciiTheme="minorHAnsi" w:hAnsiTheme="minorHAnsi" w:cstheme="minorHAnsi"/>
                <w:i/>
                <w:iCs/>
              </w:rPr>
              <w:t>E</w:t>
            </w:r>
            <w:r w:rsidRPr="00A662DD">
              <w:rPr>
                <w:rFonts w:asciiTheme="minorHAnsi" w:hAnsiTheme="minorHAnsi" w:cstheme="minorHAnsi"/>
                <w:vertAlign w:val="subscript"/>
              </w:rPr>
              <w:t>cs</w:t>
            </w:r>
            <w:r w:rsidRPr="0029325E">
              <w:rPr>
                <w:rFonts w:asciiTheme="minorHAnsi" w:hAnsiTheme="minorHAnsi" w:cstheme="minorHAnsi"/>
              </w:rPr>
              <w:t>30</w:t>
            </w:r>
          </w:p>
        </w:tc>
      </w:tr>
      <w:tr w:rsidR="007E56C9" w:rsidRPr="00A662DD" w14:paraId="6CFE88A2" w14:textId="77777777" w:rsidTr="007E56C9">
        <w:tc>
          <w:tcPr>
            <w:tcW w:w="3213" w:type="pct"/>
            <w:tcBorders>
              <w:top w:val="single" w:sz="4" w:space="0" w:color="auto"/>
              <w:left w:val="single" w:sz="4" w:space="0" w:color="auto"/>
              <w:bottom w:val="single" w:sz="4" w:space="0" w:color="auto"/>
              <w:right w:val="single" w:sz="4" w:space="0" w:color="auto"/>
            </w:tcBorders>
          </w:tcPr>
          <w:p w14:paraId="5B1A28A5" w14:textId="77777777" w:rsidR="007E56C9" w:rsidRPr="00A662DD" w:rsidRDefault="007E56C9" w:rsidP="00EA573C">
            <w:pPr>
              <w:rPr>
                <w:rFonts w:asciiTheme="minorHAnsi" w:hAnsiTheme="minorHAnsi" w:cstheme="minorHAnsi"/>
              </w:rPr>
            </w:pPr>
            <w:r w:rsidRPr="004E54A4">
              <w:rPr>
                <w:rFonts w:asciiTheme="minorHAnsi" w:hAnsiTheme="minorHAnsi" w:cstheme="minorHAnsi"/>
              </w:rPr>
              <w:t xml:space="preserve">Gęstość ziaren według PN-EN 1097-6, rozdz. </w:t>
            </w:r>
            <w:r w:rsidRPr="00A662DD">
              <w:rPr>
                <w:rFonts w:asciiTheme="minorHAnsi" w:hAnsiTheme="minorHAnsi" w:cstheme="minorHAnsi"/>
              </w:rPr>
              <w:t>7, 8 lub 9</w:t>
            </w:r>
          </w:p>
        </w:tc>
        <w:tc>
          <w:tcPr>
            <w:tcW w:w="903" w:type="pct"/>
            <w:tcBorders>
              <w:top w:val="single" w:sz="4" w:space="0" w:color="auto"/>
              <w:left w:val="single" w:sz="4" w:space="0" w:color="auto"/>
              <w:bottom w:val="single" w:sz="4" w:space="0" w:color="auto"/>
              <w:right w:val="single" w:sz="4" w:space="0" w:color="auto"/>
            </w:tcBorders>
          </w:tcPr>
          <w:p w14:paraId="3BE8427E" w14:textId="77777777" w:rsidR="007E56C9" w:rsidRPr="00A662DD" w:rsidRDefault="007E56C9" w:rsidP="00EA573C">
            <w:pPr>
              <w:jc w:val="center"/>
              <w:rPr>
                <w:rFonts w:asciiTheme="minorHAnsi" w:hAnsiTheme="minorHAnsi" w:cstheme="minorHAnsi"/>
              </w:rPr>
            </w:pPr>
            <w:r w:rsidRPr="00A662DD">
              <w:rPr>
                <w:rFonts w:asciiTheme="minorHAnsi" w:hAnsiTheme="minorHAnsi" w:cstheme="minorHAnsi"/>
              </w:rPr>
              <w:t>deklarowana przez producenta</w:t>
            </w:r>
          </w:p>
        </w:tc>
        <w:tc>
          <w:tcPr>
            <w:tcW w:w="884" w:type="pct"/>
            <w:tcBorders>
              <w:top w:val="single" w:sz="4" w:space="0" w:color="auto"/>
              <w:left w:val="single" w:sz="4" w:space="0" w:color="auto"/>
              <w:bottom w:val="single" w:sz="4" w:space="0" w:color="auto"/>
              <w:right w:val="single" w:sz="4" w:space="0" w:color="auto"/>
            </w:tcBorders>
          </w:tcPr>
          <w:p w14:paraId="584BBF80" w14:textId="77777777" w:rsidR="007E56C9" w:rsidRPr="00A662DD" w:rsidRDefault="007E56C9" w:rsidP="00EA573C">
            <w:pPr>
              <w:jc w:val="center"/>
              <w:rPr>
                <w:rFonts w:asciiTheme="minorHAnsi" w:hAnsiTheme="minorHAnsi" w:cstheme="minorHAnsi"/>
              </w:rPr>
            </w:pPr>
            <w:r w:rsidRPr="00A662DD">
              <w:rPr>
                <w:rFonts w:asciiTheme="minorHAnsi" w:hAnsiTheme="minorHAnsi" w:cstheme="minorHAnsi"/>
              </w:rPr>
              <w:t>deklarowana przez producenta</w:t>
            </w:r>
          </w:p>
        </w:tc>
      </w:tr>
      <w:tr w:rsidR="007E56C9" w:rsidRPr="00A662DD" w14:paraId="2DA102EE" w14:textId="77777777" w:rsidTr="007E56C9">
        <w:tc>
          <w:tcPr>
            <w:tcW w:w="3213" w:type="pct"/>
            <w:tcBorders>
              <w:top w:val="single" w:sz="4" w:space="0" w:color="auto"/>
              <w:left w:val="single" w:sz="4" w:space="0" w:color="auto"/>
              <w:bottom w:val="single" w:sz="4" w:space="0" w:color="auto"/>
              <w:right w:val="single" w:sz="4" w:space="0" w:color="auto"/>
            </w:tcBorders>
          </w:tcPr>
          <w:p w14:paraId="7BCCA7B5" w14:textId="77777777" w:rsidR="007E56C9" w:rsidRPr="00A662DD" w:rsidRDefault="007E56C9" w:rsidP="00EA573C">
            <w:pPr>
              <w:rPr>
                <w:rFonts w:asciiTheme="minorHAnsi" w:hAnsiTheme="minorHAnsi" w:cstheme="minorHAnsi"/>
              </w:rPr>
            </w:pPr>
            <w:r w:rsidRPr="004E54A4">
              <w:rPr>
                <w:rFonts w:asciiTheme="minorHAnsi" w:hAnsiTheme="minorHAnsi" w:cstheme="minorHAnsi"/>
              </w:rPr>
              <w:t xml:space="preserve">Nasiąkliwość według PN-EN 1097-6, rozdz. </w:t>
            </w:r>
            <w:r w:rsidRPr="00A662DD">
              <w:rPr>
                <w:rFonts w:asciiTheme="minorHAnsi" w:hAnsiTheme="minorHAnsi" w:cstheme="minorHAnsi"/>
              </w:rPr>
              <w:t>7, 8 lub 9</w:t>
            </w:r>
          </w:p>
        </w:tc>
        <w:tc>
          <w:tcPr>
            <w:tcW w:w="903" w:type="pct"/>
            <w:tcBorders>
              <w:top w:val="single" w:sz="4" w:space="0" w:color="auto"/>
              <w:left w:val="single" w:sz="4" w:space="0" w:color="auto"/>
              <w:bottom w:val="single" w:sz="4" w:space="0" w:color="auto"/>
              <w:right w:val="single" w:sz="4" w:space="0" w:color="auto"/>
            </w:tcBorders>
          </w:tcPr>
          <w:p w14:paraId="5147AB87" w14:textId="77777777" w:rsidR="007E56C9" w:rsidRPr="00A662DD" w:rsidRDefault="007E56C9" w:rsidP="00EA573C">
            <w:pPr>
              <w:jc w:val="center"/>
              <w:rPr>
                <w:rFonts w:asciiTheme="minorHAnsi" w:hAnsiTheme="minorHAnsi" w:cstheme="minorHAnsi"/>
              </w:rPr>
            </w:pPr>
            <w:r w:rsidRPr="00A662DD">
              <w:rPr>
                <w:rFonts w:asciiTheme="minorHAnsi" w:hAnsiTheme="minorHAnsi" w:cstheme="minorHAnsi"/>
              </w:rPr>
              <w:t>deklarowana przez producenta</w:t>
            </w:r>
          </w:p>
        </w:tc>
        <w:tc>
          <w:tcPr>
            <w:tcW w:w="884" w:type="pct"/>
            <w:tcBorders>
              <w:top w:val="single" w:sz="4" w:space="0" w:color="auto"/>
              <w:left w:val="single" w:sz="4" w:space="0" w:color="auto"/>
              <w:bottom w:val="single" w:sz="4" w:space="0" w:color="auto"/>
              <w:right w:val="single" w:sz="4" w:space="0" w:color="auto"/>
            </w:tcBorders>
          </w:tcPr>
          <w:p w14:paraId="458C2CD7" w14:textId="77777777" w:rsidR="007E56C9" w:rsidRPr="00A662DD" w:rsidRDefault="007E56C9" w:rsidP="00EA573C">
            <w:pPr>
              <w:jc w:val="center"/>
              <w:rPr>
                <w:rFonts w:asciiTheme="minorHAnsi" w:hAnsiTheme="minorHAnsi" w:cstheme="minorHAnsi"/>
              </w:rPr>
            </w:pPr>
            <w:r w:rsidRPr="00A662DD">
              <w:rPr>
                <w:rFonts w:asciiTheme="minorHAnsi" w:hAnsiTheme="minorHAnsi" w:cstheme="minorHAnsi"/>
              </w:rPr>
              <w:t>deklarowana przez producenta</w:t>
            </w:r>
          </w:p>
        </w:tc>
      </w:tr>
      <w:tr w:rsidR="007E56C9" w:rsidRPr="00A662DD" w14:paraId="3B772ACC" w14:textId="77777777" w:rsidTr="007E56C9">
        <w:tc>
          <w:tcPr>
            <w:tcW w:w="3213" w:type="pct"/>
            <w:tcBorders>
              <w:top w:val="single" w:sz="4" w:space="0" w:color="auto"/>
              <w:left w:val="single" w:sz="4" w:space="0" w:color="auto"/>
              <w:bottom w:val="single" w:sz="4" w:space="0" w:color="auto"/>
              <w:right w:val="single" w:sz="4" w:space="0" w:color="auto"/>
            </w:tcBorders>
          </w:tcPr>
          <w:p w14:paraId="14FA419A" w14:textId="77777777" w:rsidR="007E56C9" w:rsidRPr="004E54A4" w:rsidRDefault="007E56C9" w:rsidP="00EA573C">
            <w:pPr>
              <w:rPr>
                <w:rFonts w:asciiTheme="minorHAnsi" w:hAnsiTheme="minorHAnsi" w:cstheme="minorHAnsi"/>
              </w:rPr>
            </w:pPr>
            <w:r w:rsidRPr="004E54A4">
              <w:rPr>
                <w:rFonts w:asciiTheme="minorHAnsi" w:hAnsiTheme="minorHAnsi" w:cstheme="minorHAnsi"/>
              </w:rPr>
              <w:t>Grube zanieczyszczenia lekkie, według PN-EN 1744-1 p. 14.2, kategoria nie wyższa niż:</w:t>
            </w:r>
          </w:p>
        </w:tc>
        <w:tc>
          <w:tcPr>
            <w:tcW w:w="903" w:type="pct"/>
            <w:tcBorders>
              <w:top w:val="single" w:sz="4" w:space="0" w:color="auto"/>
              <w:left w:val="single" w:sz="4" w:space="0" w:color="auto"/>
              <w:bottom w:val="single" w:sz="4" w:space="0" w:color="auto"/>
              <w:right w:val="single" w:sz="4" w:space="0" w:color="auto"/>
            </w:tcBorders>
          </w:tcPr>
          <w:p w14:paraId="7EDB8384" w14:textId="77777777" w:rsidR="007E56C9" w:rsidRPr="00A662DD" w:rsidRDefault="007E56C9" w:rsidP="00EA573C">
            <w:pPr>
              <w:jc w:val="center"/>
              <w:rPr>
                <w:rFonts w:asciiTheme="minorHAnsi" w:hAnsiTheme="minorHAnsi" w:cstheme="minorHAnsi"/>
              </w:rPr>
            </w:pPr>
            <w:r w:rsidRPr="00A662DD">
              <w:rPr>
                <w:rFonts w:asciiTheme="minorHAnsi" w:hAnsiTheme="minorHAnsi" w:cstheme="minorHAnsi"/>
                <w:i/>
                <w:iCs/>
              </w:rPr>
              <w:t>m</w:t>
            </w:r>
            <w:r w:rsidRPr="00A662DD">
              <w:rPr>
                <w:rFonts w:asciiTheme="minorHAnsi" w:hAnsiTheme="minorHAnsi" w:cstheme="minorHAnsi"/>
                <w:vertAlign w:val="subscript"/>
              </w:rPr>
              <w:t>LPC</w:t>
            </w:r>
            <w:r w:rsidRPr="00A662DD">
              <w:rPr>
                <w:rFonts w:asciiTheme="minorHAnsi" w:hAnsiTheme="minorHAnsi" w:cstheme="minorHAnsi"/>
              </w:rPr>
              <w:t>0,1</w:t>
            </w:r>
          </w:p>
        </w:tc>
        <w:tc>
          <w:tcPr>
            <w:tcW w:w="884" w:type="pct"/>
            <w:tcBorders>
              <w:top w:val="single" w:sz="4" w:space="0" w:color="auto"/>
              <w:left w:val="single" w:sz="4" w:space="0" w:color="auto"/>
              <w:bottom w:val="single" w:sz="4" w:space="0" w:color="auto"/>
              <w:right w:val="single" w:sz="4" w:space="0" w:color="auto"/>
            </w:tcBorders>
          </w:tcPr>
          <w:p w14:paraId="46516407" w14:textId="77777777" w:rsidR="007E56C9" w:rsidRPr="00A662DD" w:rsidRDefault="007E56C9" w:rsidP="00EA573C">
            <w:pPr>
              <w:jc w:val="center"/>
              <w:rPr>
                <w:rFonts w:asciiTheme="minorHAnsi" w:hAnsiTheme="minorHAnsi" w:cstheme="minorHAnsi"/>
                <w:i/>
                <w:iCs/>
              </w:rPr>
            </w:pPr>
            <w:r w:rsidRPr="00A662DD">
              <w:rPr>
                <w:rFonts w:asciiTheme="minorHAnsi" w:hAnsiTheme="minorHAnsi" w:cstheme="minorHAnsi"/>
                <w:i/>
                <w:iCs/>
              </w:rPr>
              <w:t>m</w:t>
            </w:r>
            <w:r w:rsidRPr="00A662DD">
              <w:rPr>
                <w:rFonts w:asciiTheme="minorHAnsi" w:hAnsiTheme="minorHAnsi" w:cstheme="minorHAnsi"/>
                <w:vertAlign w:val="subscript"/>
              </w:rPr>
              <w:t>LPC</w:t>
            </w:r>
            <w:r w:rsidRPr="00A662DD">
              <w:rPr>
                <w:rFonts w:asciiTheme="minorHAnsi" w:hAnsiTheme="minorHAnsi" w:cstheme="minorHAnsi"/>
              </w:rPr>
              <w:t>0,1</w:t>
            </w:r>
          </w:p>
        </w:tc>
      </w:tr>
    </w:tbl>
    <w:p w14:paraId="65B1AE2C" w14:textId="77777777" w:rsidR="008831F9" w:rsidRDefault="008831F9" w:rsidP="008831F9">
      <w:pPr>
        <w:rPr>
          <w:rFonts w:ascii="Calibri" w:hAnsi="Calibri" w:cs="Calibri"/>
        </w:rPr>
      </w:pPr>
    </w:p>
    <w:p w14:paraId="6C73B48F" w14:textId="77777777" w:rsidR="008831F9" w:rsidRPr="00770202" w:rsidRDefault="008831F9" w:rsidP="008831F9">
      <w:pPr>
        <w:pStyle w:val="Nagwek4"/>
      </w:pPr>
      <w:r w:rsidRPr="00770202">
        <w:t>2.</w:t>
      </w:r>
      <w:r>
        <w:t>4</w:t>
      </w:r>
      <w:r w:rsidRPr="00770202">
        <w:t>.Wypełniacz</w:t>
      </w:r>
    </w:p>
    <w:p w14:paraId="2DE2C557" w14:textId="77777777" w:rsidR="008831F9" w:rsidRPr="00770202" w:rsidRDefault="008831F9" w:rsidP="008831F9">
      <w:pPr>
        <w:ind w:left="1080" w:hanging="1080"/>
        <w:rPr>
          <w:rFonts w:ascii="Calibri" w:hAnsi="Calibri" w:cs="Calibri"/>
        </w:rPr>
      </w:pPr>
    </w:p>
    <w:p w14:paraId="6FB969F4" w14:textId="77777777" w:rsidR="008831F9" w:rsidRPr="004E54A4" w:rsidRDefault="008831F9" w:rsidP="008831F9">
      <w:pPr>
        <w:ind w:left="1080" w:hanging="1080"/>
        <w:rPr>
          <w:rFonts w:asciiTheme="minorHAnsi" w:hAnsiTheme="minorHAnsi" w:cstheme="minorHAnsi"/>
        </w:rPr>
      </w:pPr>
      <w:r w:rsidRPr="004E54A4">
        <w:rPr>
          <w:rFonts w:asciiTheme="minorHAnsi" w:hAnsiTheme="minorHAnsi" w:cstheme="minorHAnsi"/>
        </w:rPr>
        <w:t>Tablica 5.Wymagane właściwości wypełniacza do warstwy ścieralnej z betonu asfaltowego</w:t>
      </w:r>
    </w:p>
    <w:p w14:paraId="37229D31" w14:textId="77777777" w:rsidR="008831F9" w:rsidRPr="00A662DD" w:rsidRDefault="008831F9" w:rsidP="008831F9">
      <w:pPr>
        <w:ind w:left="1080" w:hanging="1080"/>
        <w:rPr>
          <w:rFonts w:asciiTheme="minorHAnsi" w:hAnsiTheme="minorHAnsi" w:cstheme="minorHAnsi"/>
        </w:rPr>
      </w:pPr>
      <w:r w:rsidRPr="00A662DD">
        <w:rPr>
          <w:rFonts w:asciiTheme="minorHAnsi" w:hAnsiTheme="minorHAnsi" w:cstheme="minorHAnsi"/>
        </w:rPr>
        <w:t>Wg WT-1 2014 pkt. 5.3 tabela 15</w:t>
      </w:r>
    </w:p>
    <w:p w14:paraId="45F53BD7" w14:textId="77777777" w:rsidR="008831F9" w:rsidRPr="00A662DD" w:rsidRDefault="008831F9" w:rsidP="008831F9">
      <w:pPr>
        <w:ind w:left="1080" w:hanging="1080"/>
        <w:rPr>
          <w:rFonts w:asciiTheme="minorHAnsi" w:hAnsiTheme="minorHAnsi" w:cstheme="minorHAnsi"/>
        </w:rPr>
      </w:pPr>
    </w:p>
    <w:p w14:paraId="6C05752E" w14:textId="77777777" w:rsidR="008831F9" w:rsidRPr="00A662DD" w:rsidRDefault="008831F9" w:rsidP="008831F9">
      <w:pPr>
        <w:ind w:left="1080" w:hanging="1080"/>
        <w:rPr>
          <w:rFonts w:asciiTheme="minorHAnsi" w:hAnsiTheme="minorHAnsi" w:cstheme="minorHAnsi"/>
        </w:rPr>
      </w:pPr>
    </w:p>
    <w:tbl>
      <w:tblPr>
        <w:tblW w:w="9360" w:type="dxa"/>
        <w:tblInd w:w="2" w:type="dxa"/>
        <w:tblLayout w:type="fixed"/>
        <w:tblLook w:val="01E0" w:firstRow="1" w:lastRow="1" w:firstColumn="1" w:lastColumn="1" w:noHBand="0" w:noVBand="0"/>
      </w:tblPr>
      <w:tblGrid>
        <w:gridCol w:w="1260"/>
        <w:gridCol w:w="5083"/>
        <w:gridCol w:w="3017"/>
      </w:tblGrid>
      <w:tr w:rsidR="008831F9" w:rsidRPr="00E96860" w14:paraId="2E8ADE84" w14:textId="77777777" w:rsidTr="00EA573C">
        <w:trPr>
          <w:cantSplit/>
        </w:trPr>
        <w:tc>
          <w:tcPr>
            <w:tcW w:w="1260" w:type="dxa"/>
            <w:vMerge w:val="restart"/>
            <w:tcBorders>
              <w:top w:val="single" w:sz="4" w:space="0" w:color="auto"/>
              <w:left w:val="single" w:sz="4" w:space="0" w:color="auto"/>
              <w:bottom w:val="single" w:sz="4" w:space="0" w:color="auto"/>
              <w:right w:val="single" w:sz="4" w:space="0" w:color="auto"/>
            </w:tcBorders>
          </w:tcPr>
          <w:p w14:paraId="286D49E4" w14:textId="77777777" w:rsidR="008831F9" w:rsidRPr="00A662DD" w:rsidRDefault="008831F9" w:rsidP="00EA573C">
            <w:pPr>
              <w:jc w:val="center"/>
              <w:rPr>
                <w:rFonts w:asciiTheme="minorHAnsi" w:hAnsiTheme="minorHAnsi" w:cstheme="minorHAnsi"/>
              </w:rPr>
            </w:pPr>
            <w:r w:rsidRPr="00A662DD">
              <w:rPr>
                <w:rFonts w:asciiTheme="minorHAnsi" w:hAnsiTheme="minorHAnsi" w:cstheme="minorHAnsi"/>
              </w:rPr>
              <w:t>Punkt</w:t>
            </w:r>
          </w:p>
          <w:p w14:paraId="03B88420" w14:textId="77777777" w:rsidR="008831F9" w:rsidRPr="00A662DD" w:rsidRDefault="008831F9" w:rsidP="00EA573C">
            <w:pPr>
              <w:jc w:val="center"/>
              <w:rPr>
                <w:rFonts w:asciiTheme="minorHAnsi" w:hAnsiTheme="minorHAnsi" w:cstheme="minorHAnsi"/>
              </w:rPr>
            </w:pPr>
            <w:r w:rsidRPr="00A662DD">
              <w:rPr>
                <w:rFonts w:asciiTheme="minorHAnsi" w:hAnsiTheme="minorHAnsi" w:cstheme="minorHAnsi"/>
              </w:rPr>
              <w:t>WT-1</w:t>
            </w:r>
          </w:p>
          <w:p w14:paraId="58B1805D" w14:textId="77777777" w:rsidR="008831F9" w:rsidRPr="00A662DD" w:rsidRDefault="008831F9" w:rsidP="00EA573C">
            <w:pPr>
              <w:jc w:val="center"/>
              <w:rPr>
                <w:rFonts w:asciiTheme="minorHAnsi" w:hAnsiTheme="minorHAnsi" w:cstheme="minorHAnsi"/>
              </w:rPr>
            </w:pPr>
            <w:r w:rsidRPr="00A662DD">
              <w:rPr>
                <w:rFonts w:asciiTheme="minorHAnsi" w:hAnsiTheme="minorHAnsi" w:cstheme="minorHAnsi"/>
              </w:rPr>
              <w:t>Kruszywa</w:t>
            </w:r>
          </w:p>
          <w:p w14:paraId="2C96473A" w14:textId="77777777" w:rsidR="008831F9" w:rsidRPr="00A662DD" w:rsidRDefault="008831F9" w:rsidP="00EA573C">
            <w:pPr>
              <w:jc w:val="center"/>
              <w:rPr>
                <w:rFonts w:asciiTheme="minorHAnsi" w:hAnsiTheme="minorHAnsi" w:cstheme="minorHAnsi"/>
              </w:rPr>
            </w:pPr>
            <w:r w:rsidRPr="00A662DD">
              <w:rPr>
                <w:rFonts w:asciiTheme="minorHAnsi" w:hAnsiTheme="minorHAnsi" w:cstheme="minorHAnsi"/>
              </w:rPr>
              <w:t>2008</w:t>
            </w:r>
          </w:p>
        </w:tc>
        <w:tc>
          <w:tcPr>
            <w:tcW w:w="5083" w:type="dxa"/>
            <w:vMerge w:val="restart"/>
            <w:tcBorders>
              <w:top w:val="single" w:sz="4" w:space="0" w:color="auto"/>
              <w:left w:val="single" w:sz="4" w:space="0" w:color="auto"/>
              <w:bottom w:val="single" w:sz="4" w:space="0" w:color="auto"/>
              <w:right w:val="single" w:sz="4" w:space="0" w:color="auto"/>
            </w:tcBorders>
          </w:tcPr>
          <w:p w14:paraId="1C3754F0" w14:textId="77777777" w:rsidR="008831F9" w:rsidRPr="00A662DD" w:rsidRDefault="008831F9" w:rsidP="00EA573C">
            <w:pPr>
              <w:jc w:val="center"/>
              <w:rPr>
                <w:rFonts w:asciiTheme="minorHAnsi" w:hAnsiTheme="minorHAnsi" w:cstheme="minorHAnsi"/>
              </w:rPr>
            </w:pPr>
            <w:r w:rsidRPr="00A662DD">
              <w:rPr>
                <w:rFonts w:asciiTheme="minorHAnsi" w:hAnsiTheme="minorHAnsi" w:cstheme="minorHAnsi"/>
              </w:rPr>
              <w:t>Właściwości wypełniacza</w:t>
            </w:r>
          </w:p>
        </w:tc>
        <w:tc>
          <w:tcPr>
            <w:tcW w:w="3017" w:type="dxa"/>
            <w:tcBorders>
              <w:top w:val="single" w:sz="4" w:space="0" w:color="auto"/>
              <w:left w:val="single" w:sz="4" w:space="0" w:color="auto"/>
              <w:bottom w:val="single" w:sz="4" w:space="0" w:color="auto"/>
              <w:right w:val="single" w:sz="4" w:space="0" w:color="auto"/>
            </w:tcBorders>
          </w:tcPr>
          <w:p w14:paraId="11C23F00" w14:textId="77777777" w:rsidR="008831F9" w:rsidRPr="004E54A4" w:rsidRDefault="008831F9" w:rsidP="00EA573C">
            <w:pPr>
              <w:jc w:val="center"/>
              <w:rPr>
                <w:rFonts w:asciiTheme="minorHAnsi" w:hAnsiTheme="minorHAnsi" w:cstheme="minorHAnsi"/>
              </w:rPr>
            </w:pPr>
            <w:r w:rsidRPr="004E54A4">
              <w:rPr>
                <w:rFonts w:asciiTheme="minorHAnsi" w:hAnsiTheme="minorHAnsi" w:cstheme="minorHAnsi"/>
              </w:rPr>
              <w:t xml:space="preserve">Wymagania w zależności od </w:t>
            </w:r>
          </w:p>
          <w:p w14:paraId="63F7A53C" w14:textId="77777777" w:rsidR="008831F9" w:rsidRPr="004E54A4" w:rsidRDefault="008831F9" w:rsidP="00EA573C">
            <w:pPr>
              <w:jc w:val="center"/>
              <w:rPr>
                <w:rFonts w:asciiTheme="minorHAnsi" w:hAnsiTheme="minorHAnsi" w:cstheme="minorHAnsi"/>
              </w:rPr>
            </w:pPr>
            <w:r w:rsidRPr="004E54A4">
              <w:rPr>
                <w:rFonts w:asciiTheme="minorHAnsi" w:hAnsiTheme="minorHAnsi" w:cstheme="minorHAnsi"/>
              </w:rPr>
              <w:t>kategorii ruchu</w:t>
            </w:r>
          </w:p>
        </w:tc>
      </w:tr>
      <w:tr w:rsidR="008831F9" w:rsidRPr="00A662DD" w14:paraId="33B15885" w14:textId="77777777" w:rsidTr="00EA573C">
        <w:trPr>
          <w:cantSplit/>
        </w:trPr>
        <w:tc>
          <w:tcPr>
            <w:tcW w:w="1260" w:type="dxa"/>
            <w:vMerge/>
            <w:tcBorders>
              <w:top w:val="single" w:sz="4" w:space="0" w:color="auto"/>
              <w:left w:val="single" w:sz="4" w:space="0" w:color="auto"/>
              <w:bottom w:val="single" w:sz="4" w:space="0" w:color="auto"/>
              <w:right w:val="single" w:sz="4" w:space="0" w:color="auto"/>
            </w:tcBorders>
          </w:tcPr>
          <w:p w14:paraId="20874120" w14:textId="77777777" w:rsidR="008831F9" w:rsidRPr="004E54A4" w:rsidRDefault="008831F9" w:rsidP="00EA573C">
            <w:pPr>
              <w:jc w:val="center"/>
              <w:rPr>
                <w:rFonts w:asciiTheme="minorHAnsi" w:hAnsiTheme="minorHAnsi" w:cstheme="minorHAnsi"/>
              </w:rPr>
            </w:pPr>
          </w:p>
        </w:tc>
        <w:tc>
          <w:tcPr>
            <w:tcW w:w="5083" w:type="dxa"/>
            <w:vMerge/>
            <w:tcBorders>
              <w:top w:val="single" w:sz="4" w:space="0" w:color="auto"/>
              <w:left w:val="single" w:sz="4" w:space="0" w:color="auto"/>
              <w:bottom w:val="single" w:sz="4" w:space="0" w:color="auto"/>
              <w:right w:val="single" w:sz="4" w:space="0" w:color="auto"/>
            </w:tcBorders>
          </w:tcPr>
          <w:p w14:paraId="7FDA33ED" w14:textId="77777777" w:rsidR="008831F9" w:rsidRPr="004E54A4" w:rsidRDefault="008831F9" w:rsidP="00EA573C">
            <w:pPr>
              <w:jc w:val="center"/>
              <w:rPr>
                <w:rFonts w:asciiTheme="minorHAnsi" w:hAnsiTheme="minorHAnsi" w:cstheme="minorHAnsi"/>
              </w:rPr>
            </w:pPr>
          </w:p>
        </w:tc>
        <w:tc>
          <w:tcPr>
            <w:tcW w:w="3017" w:type="dxa"/>
            <w:tcBorders>
              <w:top w:val="single" w:sz="4" w:space="0" w:color="auto"/>
              <w:left w:val="single" w:sz="4" w:space="0" w:color="auto"/>
              <w:bottom w:val="single" w:sz="4" w:space="0" w:color="auto"/>
              <w:right w:val="single" w:sz="4" w:space="0" w:color="auto"/>
            </w:tcBorders>
          </w:tcPr>
          <w:p w14:paraId="7106F9FD" w14:textId="77777777" w:rsidR="008831F9" w:rsidRPr="00A662DD" w:rsidRDefault="008831F9" w:rsidP="00EA573C">
            <w:pPr>
              <w:jc w:val="center"/>
              <w:rPr>
                <w:rFonts w:asciiTheme="minorHAnsi" w:hAnsiTheme="minorHAnsi" w:cstheme="minorHAnsi"/>
              </w:rPr>
            </w:pPr>
            <w:r w:rsidRPr="00A662DD">
              <w:rPr>
                <w:rFonts w:asciiTheme="minorHAnsi" w:hAnsiTheme="minorHAnsi" w:cstheme="minorHAnsi"/>
              </w:rPr>
              <w:t>KR1</w:t>
            </w:r>
            <w:r>
              <w:rPr>
                <w:rFonts w:asciiTheme="minorHAnsi" w:hAnsiTheme="minorHAnsi" w:cstheme="minorHAnsi"/>
              </w:rPr>
              <w:t>-4</w:t>
            </w:r>
          </w:p>
        </w:tc>
      </w:tr>
      <w:tr w:rsidR="008831F9" w:rsidRPr="00E96860" w14:paraId="1789E82F" w14:textId="77777777" w:rsidTr="00EA573C">
        <w:tc>
          <w:tcPr>
            <w:tcW w:w="1260" w:type="dxa"/>
            <w:tcBorders>
              <w:top w:val="single" w:sz="4" w:space="0" w:color="auto"/>
              <w:left w:val="single" w:sz="4" w:space="0" w:color="auto"/>
              <w:bottom w:val="single" w:sz="4" w:space="0" w:color="auto"/>
              <w:right w:val="single" w:sz="4" w:space="0" w:color="auto"/>
            </w:tcBorders>
          </w:tcPr>
          <w:p w14:paraId="359DB8AA" w14:textId="77777777" w:rsidR="008831F9" w:rsidRPr="00A662DD" w:rsidRDefault="008831F9" w:rsidP="00EA573C">
            <w:pPr>
              <w:jc w:val="center"/>
              <w:rPr>
                <w:rFonts w:asciiTheme="minorHAnsi" w:hAnsiTheme="minorHAnsi" w:cstheme="minorHAnsi"/>
              </w:rPr>
            </w:pPr>
            <w:r w:rsidRPr="00A662DD">
              <w:rPr>
                <w:rFonts w:asciiTheme="minorHAnsi" w:hAnsiTheme="minorHAnsi" w:cstheme="minorHAnsi"/>
              </w:rPr>
              <w:t>5.2.1.</w:t>
            </w:r>
          </w:p>
        </w:tc>
        <w:tc>
          <w:tcPr>
            <w:tcW w:w="5083" w:type="dxa"/>
            <w:tcBorders>
              <w:top w:val="single" w:sz="4" w:space="0" w:color="auto"/>
              <w:left w:val="single" w:sz="4" w:space="0" w:color="auto"/>
              <w:bottom w:val="single" w:sz="4" w:space="0" w:color="auto"/>
              <w:right w:val="single" w:sz="4" w:space="0" w:color="auto"/>
            </w:tcBorders>
          </w:tcPr>
          <w:p w14:paraId="7EC21D22" w14:textId="77777777" w:rsidR="008831F9" w:rsidRPr="00A662DD" w:rsidRDefault="008831F9" w:rsidP="00EA573C">
            <w:pPr>
              <w:rPr>
                <w:rFonts w:asciiTheme="minorHAnsi" w:hAnsiTheme="minorHAnsi" w:cstheme="minorHAnsi"/>
              </w:rPr>
            </w:pPr>
            <w:r w:rsidRPr="00A662DD">
              <w:rPr>
                <w:rFonts w:asciiTheme="minorHAnsi" w:hAnsiTheme="minorHAnsi" w:cstheme="minorHAnsi"/>
              </w:rPr>
              <w:t>Uziarnienie według PN-EN 933-10;</w:t>
            </w:r>
          </w:p>
        </w:tc>
        <w:tc>
          <w:tcPr>
            <w:tcW w:w="3017" w:type="dxa"/>
            <w:tcBorders>
              <w:top w:val="single" w:sz="4" w:space="0" w:color="auto"/>
              <w:left w:val="single" w:sz="4" w:space="0" w:color="auto"/>
              <w:bottom w:val="single" w:sz="4" w:space="0" w:color="auto"/>
              <w:right w:val="single" w:sz="4" w:space="0" w:color="auto"/>
            </w:tcBorders>
          </w:tcPr>
          <w:p w14:paraId="77E49736" w14:textId="77777777" w:rsidR="008831F9" w:rsidRPr="004E54A4" w:rsidRDefault="008831F9" w:rsidP="00EA573C">
            <w:pPr>
              <w:jc w:val="center"/>
              <w:rPr>
                <w:rFonts w:asciiTheme="minorHAnsi" w:hAnsiTheme="minorHAnsi" w:cstheme="minorHAnsi"/>
              </w:rPr>
            </w:pPr>
            <w:r w:rsidRPr="004E54A4">
              <w:rPr>
                <w:rFonts w:asciiTheme="minorHAnsi" w:hAnsiTheme="minorHAnsi" w:cstheme="minorHAnsi"/>
              </w:rPr>
              <w:t>zgodne z tablicą 24 PN-EN 13043</w:t>
            </w:r>
          </w:p>
        </w:tc>
      </w:tr>
      <w:tr w:rsidR="008831F9" w:rsidRPr="00A662DD" w14:paraId="21FAE3F3" w14:textId="77777777" w:rsidTr="00EA573C">
        <w:tc>
          <w:tcPr>
            <w:tcW w:w="1260" w:type="dxa"/>
            <w:tcBorders>
              <w:top w:val="single" w:sz="4" w:space="0" w:color="auto"/>
              <w:left w:val="single" w:sz="4" w:space="0" w:color="auto"/>
              <w:bottom w:val="single" w:sz="4" w:space="0" w:color="auto"/>
              <w:right w:val="single" w:sz="4" w:space="0" w:color="auto"/>
            </w:tcBorders>
          </w:tcPr>
          <w:p w14:paraId="209D0667" w14:textId="77777777" w:rsidR="008831F9" w:rsidRPr="00A662DD" w:rsidRDefault="008831F9" w:rsidP="00EA573C">
            <w:pPr>
              <w:jc w:val="center"/>
              <w:rPr>
                <w:rFonts w:asciiTheme="minorHAnsi" w:hAnsiTheme="minorHAnsi" w:cstheme="minorHAnsi"/>
              </w:rPr>
            </w:pPr>
            <w:r w:rsidRPr="00A662DD">
              <w:rPr>
                <w:rFonts w:asciiTheme="minorHAnsi" w:hAnsiTheme="minorHAnsi" w:cstheme="minorHAnsi"/>
              </w:rPr>
              <w:t>5.2.2.</w:t>
            </w:r>
          </w:p>
        </w:tc>
        <w:tc>
          <w:tcPr>
            <w:tcW w:w="5083" w:type="dxa"/>
            <w:tcBorders>
              <w:top w:val="single" w:sz="4" w:space="0" w:color="auto"/>
              <w:left w:val="single" w:sz="4" w:space="0" w:color="auto"/>
              <w:bottom w:val="single" w:sz="4" w:space="0" w:color="auto"/>
              <w:right w:val="single" w:sz="4" w:space="0" w:color="auto"/>
            </w:tcBorders>
          </w:tcPr>
          <w:p w14:paraId="430B6127" w14:textId="77777777" w:rsidR="008831F9" w:rsidRPr="004E54A4" w:rsidRDefault="008831F9" w:rsidP="00EA573C">
            <w:pPr>
              <w:rPr>
                <w:rFonts w:asciiTheme="minorHAnsi" w:hAnsiTheme="minorHAnsi" w:cstheme="minorHAnsi"/>
              </w:rPr>
            </w:pPr>
            <w:r w:rsidRPr="004E54A4">
              <w:rPr>
                <w:rFonts w:asciiTheme="minorHAnsi" w:hAnsiTheme="minorHAnsi" w:cstheme="minorHAnsi"/>
              </w:rPr>
              <w:t>Jakość pyłu według PN-EN 933-9, kategoria nie wyższa niż:</w:t>
            </w:r>
          </w:p>
        </w:tc>
        <w:tc>
          <w:tcPr>
            <w:tcW w:w="3017" w:type="dxa"/>
            <w:tcBorders>
              <w:top w:val="single" w:sz="4" w:space="0" w:color="auto"/>
              <w:left w:val="single" w:sz="4" w:space="0" w:color="auto"/>
              <w:bottom w:val="single" w:sz="4" w:space="0" w:color="auto"/>
              <w:right w:val="single" w:sz="4" w:space="0" w:color="auto"/>
            </w:tcBorders>
          </w:tcPr>
          <w:p w14:paraId="269AF6CD" w14:textId="77777777" w:rsidR="008831F9" w:rsidRPr="00A662DD" w:rsidRDefault="008831F9" w:rsidP="00EA573C">
            <w:pPr>
              <w:jc w:val="center"/>
              <w:rPr>
                <w:rFonts w:asciiTheme="minorHAnsi" w:hAnsiTheme="minorHAnsi" w:cstheme="minorHAnsi"/>
                <w:vertAlign w:val="subscript"/>
              </w:rPr>
            </w:pPr>
            <w:r w:rsidRPr="00A662DD">
              <w:rPr>
                <w:rFonts w:asciiTheme="minorHAnsi" w:hAnsiTheme="minorHAnsi" w:cstheme="minorHAnsi"/>
                <w:i/>
                <w:iCs/>
              </w:rPr>
              <w:t>MB</w:t>
            </w:r>
            <w:r w:rsidRPr="00A662DD">
              <w:rPr>
                <w:rFonts w:asciiTheme="minorHAnsi" w:hAnsiTheme="minorHAnsi" w:cstheme="minorHAnsi"/>
                <w:vertAlign w:val="subscript"/>
              </w:rPr>
              <w:t>F</w:t>
            </w:r>
            <w:r w:rsidRPr="00A662DD">
              <w:rPr>
                <w:rFonts w:asciiTheme="minorHAnsi" w:hAnsiTheme="minorHAnsi" w:cstheme="minorHAnsi"/>
              </w:rPr>
              <w:t>10</w:t>
            </w:r>
          </w:p>
        </w:tc>
      </w:tr>
      <w:tr w:rsidR="008831F9" w:rsidRPr="00A662DD" w14:paraId="4137E020" w14:textId="77777777" w:rsidTr="00EA573C">
        <w:tc>
          <w:tcPr>
            <w:tcW w:w="1260" w:type="dxa"/>
            <w:tcBorders>
              <w:top w:val="single" w:sz="4" w:space="0" w:color="auto"/>
              <w:left w:val="single" w:sz="4" w:space="0" w:color="auto"/>
              <w:bottom w:val="single" w:sz="4" w:space="0" w:color="auto"/>
              <w:right w:val="single" w:sz="4" w:space="0" w:color="auto"/>
            </w:tcBorders>
          </w:tcPr>
          <w:p w14:paraId="3107B413" w14:textId="77777777" w:rsidR="008831F9" w:rsidRPr="00A662DD" w:rsidRDefault="008831F9" w:rsidP="00EA573C">
            <w:pPr>
              <w:jc w:val="center"/>
              <w:rPr>
                <w:rFonts w:asciiTheme="minorHAnsi" w:hAnsiTheme="minorHAnsi" w:cstheme="minorHAnsi"/>
              </w:rPr>
            </w:pPr>
            <w:r w:rsidRPr="00A662DD">
              <w:rPr>
                <w:rFonts w:asciiTheme="minorHAnsi" w:hAnsiTheme="minorHAnsi" w:cstheme="minorHAnsi"/>
              </w:rPr>
              <w:t>5.3.1.</w:t>
            </w:r>
          </w:p>
        </w:tc>
        <w:tc>
          <w:tcPr>
            <w:tcW w:w="5083" w:type="dxa"/>
            <w:tcBorders>
              <w:top w:val="single" w:sz="4" w:space="0" w:color="auto"/>
              <w:left w:val="single" w:sz="4" w:space="0" w:color="auto"/>
              <w:bottom w:val="single" w:sz="4" w:space="0" w:color="auto"/>
              <w:right w:val="single" w:sz="4" w:space="0" w:color="auto"/>
            </w:tcBorders>
          </w:tcPr>
          <w:p w14:paraId="0F940BBB" w14:textId="77777777" w:rsidR="008831F9" w:rsidRPr="004E54A4" w:rsidRDefault="008831F9" w:rsidP="00EA573C">
            <w:pPr>
              <w:rPr>
                <w:rFonts w:asciiTheme="minorHAnsi" w:hAnsiTheme="minorHAnsi" w:cstheme="minorHAnsi"/>
              </w:rPr>
            </w:pPr>
            <w:r w:rsidRPr="004E54A4">
              <w:rPr>
                <w:rFonts w:asciiTheme="minorHAnsi" w:hAnsiTheme="minorHAnsi" w:cstheme="minorHAnsi"/>
              </w:rPr>
              <w:t>Zawartość wody według PN-EN 1097-5, nie wyższa niż:</w:t>
            </w:r>
          </w:p>
        </w:tc>
        <w:tc>
          <w:tcPr>
            <w:tcW w:w="3017" w:type="dxa"/>
            <w:tcBorders>
              <w:top w:val="single" w:sz="4" w:space="0" w:color="auto"/>
              <w:left w:val="single" w:sz="4" w:space="0" w:color="auto"/>
              <w:bottom w:val="single" w:sz="4" w:space="0" w:color="auto"/>
              <w:right w:val="single" w:sz="4" w:space="0" w:color="auto"/>
            </w:tcBorders>
          </w:tcPr>
          <w:p w14:paraId="3D92BBB5" w14:textId="77777777" w:rsidR="008831F9" w:rsidRPr="00A662DD" w:rsidRDefault="008831F9" w:rsidP="00EA573C">
            <w:pPr>
              <w:jc w:val="center"/>
              <w:rPr>
                <w:rFonts w:asciiTheme="minorHAnsi" w:hAnsiTheme="minorHAnsi" w:cstheme="minorHAnsi"/>
              </w:rPr>
            </w:pPr>
            <w:r w:rsidRPr="00A662DD">
              <w:rPr>
                <w:rFonts w:asciiTheme="minorHAnsi" w:hAnsiTheme="minorHAnsi" w:cstheme="minorHAnsi"/>
              </w:rPr>
              <w:t>1 %(m/m)</w:t>
            </w:r>
          </w:p>
        </w:tc>
      </w:tr>
      <w:tr w:rsidR="008831F9" w:rsidRPr="00A662DD" w14:paraId="0F8F4A19" w14:textId="77777777" w:rsidTr="00EA573C">
        <w:tc>
          <w:tcPr>
            <w:tcW w:w="1260" w:type="dxa"/>
            <w:tcBorders>
              <w:top w:val="single" w:sz="4" w:space="0" w:color="auto"/>
              <w:left w:val="single" w:sz="4" w:space="0" w:color="auto"/>
              <w:bottom w:val="single" w:sz="4" w:space="0" w:color="auto"/>
              <w:right w:val="single" w:sz="4" w:space="0" w:color="auto"/>
            </w:tcBorders>
          </w:tcPr>
          <w:p w14:paraId="179E0F82" w14:textId="77777777" w:rsidR="008831F9" w:rsidRPr="00A662DD" w:rsidRDefault="008831F9" w:rsidP="00EA573C">
            <w:pPr>
              <w:jc w:val="center"/>
              <w:rPr>
                <w:rFonts w:asciiTheme="minorHAnsi" w:hAnsiTheme="minorHAnsi" w:cstheme="minorHAnsi"/>
              </w:rPr>
            </w:pPr>
            <w:r w:rsidRPr="00A662DD">
              <w:rPr>
                <w:rFonts w:asciiTheme="minorHAnsi" w:hAnsiTheme="minorHAnsi" w:cstheme="minorHAnsi"/>
              </w:rPr>
              <w:t>5.3.2</w:t>
            </w:r>
          </w:p>
        </w:tc>
        <w:tc>
          <w:tcPr>
            <w:tcW w:w="5083" w:type="dxa"/>
            <w:tcBorders>
              <w:top w:val="single" w:sz="4" w:space="0" w:color="auto"/>
              <w:left w:val="single" w:sz="4" w:space="0" w:color="auto"/>
              <w:bottom w:val="single" w:sz="4" w:space="0" w:color="auto"/>
              <w:right w:val="single" w:sz="4" w:space="0" w:color="auto"/>
            </w:tcBorders>
          </w:tcPr>
          <w:p w14:paraId="25C5A693" w14:textId="77777777" w:rsidR="008831F9" w:rsidRPr="004E54A4" w:rsidRDefault="008831F9" w:rsidP="00EA573C">
            <w:pPr>
              <w:rPr>
                <w:rFonts w:asciiTheme="minorHAnsi" w:hAnsiTheme="minorHAnsi" w:cstheme="minorHAnsi"/>
              </w:rPr>
            </w:pPr>
            <w:r w:rsidRPr="004E54A4">
              <w:rPr>
                <w:rFonts w:asciiTheme="minorHAnsi" w:hAnsiTheme="minorHAnsi" w:cstheme="minorHAnsi"/>
              </w:rPr>
              <w:t>Gęstość ziaren według PN-EN 1097-7:</w:t>
            </w:r>
          </w:p>
        </w:tc>
        <w:tc>
          <w:tcPr>
            <w:tcW w:w="3017" w:type="dxa"/>
            <w:tcBorders>
              <w:top w:val="single" w:sz="4" w:space="0" w:color="auto"/>
              <w:left w:val="single" w:sz="4" w:space="0" w:color="auto"/>
              <w:bottom w:val="single" w:sz="4" w:space="0" w:color="auto"/>
              <w:right w:val="single" w:sz="4" w:space="0" w:color="auto"/>
            </w:tcBorders>
          </w:tcPr>
          <w:p w14:paraId="2A941FA8" w14:textId="77777777" w:rsidR="008831F9" w:rsidRPr="00A662DD" w:rsidRDefault="008831F9" w:rsidP="00EA573C">
            <w:pPr>
              <w:jc w:val="center"/>
              <w:rPr>
                <w:rFonts w:asciiTheme="minorHAnsi" w:hAnsiTheme="minorHAnsi" w:cstheme="minorHAnsi"/>
              </w:rPr>
            </w:pPr>
            <w:r w:rsidRPr="00A662DD">
              <w:rPr>
                <w:rFonts w:asciiTheme="minorHAnsi" w:hAnsiTheme="minorHAnsi" w:cstheme="minorHAnsi"/>
              </w:rPr>
              <w:t>deklarowana przez producenta</w:t>
            </w:r>
          </w:p>
        </w:tc>
      </w:tr>
      <w:tr w:rsidR="008831F9" w:rsidRPr="00A662DD" w14:paraId="224ADCDE" w14:textId="77777777" w:rsidTr="00EA573C">
        <w:tc>
          <w:tcPr>
            <w:tcW w:w="1260" w:type="dxa"/>
            <w:tcBorders>
              <w:top w:val="single" w:sz="4" w:space="0" w:color="auto"/>
              <w:left w:val="single" w:sz="4" w:space="0" w:color="auto"/>
              <w:bottom w:val="single" w:sz="4" w:space="0" w:color="auto"/>
              <w:right w:val="single" w:sz="4" w:space="0" w:color="auto"/>
            </w:tcBorders>
          </w:tcPr>
          <w:p w14:paraId="071A614D" w14:textId="77777777" w:rsidR="008831F9" w:rsidRPr="00A662DD" w:rsidRDefault="008831F9" w:rsidP="00EA573C">
            <w:pPr>
              <w:jc w:val="center"/>
              <w:rPr>
                <w:rFonts w:asciiTheme="minorHAnsi" w:hAnsiTheme="minorHAnsi" w:cstheme="minorHAnsi"/>
              </w:rPr>
            </w:pPr>
            <w:r w:rsidRPr="00A662DD">
              <w:rPr>
                <w:rFonts w:asciiTheme="minorHAnsi" w:hAnsiTheme="minorHAnsi" w:cstheme="minorHAnsi"/>
              </w:rPr>
              <w:t>5.4.1.</w:t>
            </w:r>
          </w:p>
        </w:tc>
        <w:tc>
          <w:tcPr>
            <w:tcW w:w="5083" w:type="dxa"/>
            <w:tcBorders>
              <w:top w:val="single" w:sz="4" w:space="0" w:color="auto"/>
              <w:left w:val="single" w:sz="4" w:space="0" w:color="auto"/>
              <w:bottom w:val="single" w:sz="4" w:space="0" w:color="auto"/>
              <w:right w:val="single" w:sz="4" w:space="0" w:color="auto"/>
            </w:tcBorders>
          </w:tcPr>
          <w:p w14:paraId="1A136DA3" w14:textId="77777777" w:rsidR="008831F9" w:rsidRPr="004E54A4" w:rsidRDefault="008831F9" w:rsidP="00EA573C">
            <w:pPr>
              <w:rPr>
                <w:rFonts w:asciiTheme="minorHAnsi" w:hAnsiTheme="minorHAnsi" w:cstheme="minorHAnsi"/>
              </w:rPr>
            </w:pPr>
            <w:r w:rsidRPr="004E54A4">
              <w:rPr>
                <w:rFonts w:asciiTheme="minorHAnsi" w:hAnsiTheme="minorHAnsi" w:cstheme="minorHAnsi"/>
              </w:rPr>
              <w:t>Wolne przestrzenie w suchym zagęszczonym wypełniaczu według PN-EN 1097-4, wymagana kategoria:</w:t>
            </w:r>
          </w:p>
        </w:tc>
        <w:tc>
          <w:tcPr>
            <w:tcW w:w="3017" w:type="dxa"/>
            <w:tcBorders>
              <w:top w:val="single" w:sz="4" w:space="0" w:color="auto"/>
              <w:left w:val="single" w:sz="4" w:space="0" w:color="auto"/>
              <w:bottom w:val="single" w:sz="4" w:space="0" w:color="auto"/>
              <w:right w:val="single" w:sz="4" w:space="0" w:color="auto"/>
            </w:tcBorders>
          </w:tcPr>
          <w:p w14:paraId="7661D590" w14:textId="77777777" w:rsidR="008831F9" w:rsidRPr="00A662DD" w:rsidRDefault="008831F9" w:rsidP="00EA573C">
            <w:pPr>
              <w:jc w:val="center"/>
              <w:rPr>
                <w:rFonts w:asciiTheme="minorHAnsi" w:hAnsiTheme="minorHAnsi" w:cstheme="minorHAnsi"/>
              </w:rPr>
            </w:pPr>
            <w:r w:rsidRPr="00A662DD">
              <w:rPr>
                <w:rFonts w:asciiTheme="minorHAnsi" w:hAnsiTheme="minorHAnsi" w:cstheme="minorHAnsi"/>
                <w:i/>
                <w:iCs/>
              </w:rPr>
              <w:t>V</w:t>
            </w:r>
            <w:r w:rsidRPr="00A662DD">
              <w:rPr>
                <w:rFonts w:asciiTheme="minorHAnsi" w:hAnsiTheme="minorHAnsi" w:cstheme="minorHAnsi"/>
                <w:vertAlign w:val="subscript"/>
              </w:rPr>
              <w:t>28/45</w:t>
            </w:r>
          </w:p>
        </w:tc>
      </w:tr>
      <w:tr w:rsidR="008831F9" w:rsidRPr="00A662DD" w14:paraId="1CB2B379" w14:textId="77777777" w:rsidTr="00EA573C">
        <w:tc>
          <w:tcPr>
            <w:tcW w:w="1260" w:type="dxa"/>
            <w:tcBorders>
              <w:top w:val="single" w:sz="4" w:space="0" w:color="auto"/>
              <w:left w:val="single" w:sz="4" w:space="0" w:color="auto"/>
              <w:bottom w:val="single" w:sz="4" w:space="0" w:color="auto"/>
              <w:right w:val="single" w:sz="4" w:space="0" w:color="auto"/>
            </w:tcBorders>
          </w:tcPr>
          <w:p w14:paraId="2D07E553" w14:textId="77777777" w:rsidR="008831F9" w:rsidRPr="00A662DD" w:rsidRDefault="008831F9" w:rsidP="00EA573C">
            <w:pPr>
              <w:jc w:val="center"/>
              <w:rPr>
                <w:rFonts w:asciiTheme="minorHAnsi" w:hAnsiTheme="minorHAnsi" w:cstheme="minorHAnsi"/>
              </w:rPr>
            </w:pPr>
            <w:r w:rsidRPr="00A662DD">
              <w:rPr>
                <w:rFonts w:asciiTheme="minorHAnsi" w:hAnsiTheme="minorHAnsi" w:cstheme="minorHAnsi"/>
              </w:rPr>
              <w:t>5.4.2.</w:t>
            </w:r>
          </w:p>
        </w:tc>
        <w:tc>
          <w:tcPr>
            <w:tcW w:w="5083" w:type="dxa"/>
            <w:tcBorders>
              <w:top w:val="single" w:sz="4" w:space="0" w:color="auto"/>
              <w:left w:val="single" w:sz="4" w:space="0" w:color="auto"/>
              <w:bottom w:val="single" w:sz="4" w:space="0" w:color="auto"/>
              <w:right w:val="single" w:sz="4" w:space="0" w:color="auto"/>
            </w:tcBorders>
          </w:tcPr>
          <w:p w14:paraId="22F56F3B" w14:textId="77777777" w:rsidR="008831F9" w:rsidRPr="004E54A4" w:rsidRDefault="008831F9" w:rsidP="00EA573C">
            <w:pPr>
              <w:rPr>
                <w:rFonts w:asciiTheme="minorHAnsi" w:hAnsiTheme="minorHAnsi" w:cstheme="minorHAnsi"/>
              </w:rPr>
            </w:pPr>
            <w:r w:rsidRPr="004E54A4">
              <w:rPr>
                <w:rFonts w:asciiTheme="minorHAnsi" w:hAnsiTheme="minorHAnsi" w:cstheme="minorHAnsi"/>
              </w:rPr>
              <w:t>Przyrost temperatury mięknienia według PN-EN 13179-1, wymagana kategoria:</w:t>
            </w:r>
          </w:p>
        </w:tc>
        <w:tc>
          <w:tcPr>
            <w:tcW w:w="3017" w:type="dxa"/>
            <w:tcBorders>
              <w:top w:val="single" w:sz="4" w:space="0" w:color="auto"/>
              <w:left w:val="single" w:sz="4" w:space="0" w:color="auto"/>
              <w:bottom w:val="single" w:sz="4" w:space="0" w:color="auto"/>
              <w:right w:val="single" w:sz="4" w:space="0" w:color="auto"/>
            </w:tcBorders>
          </w:tcPr>
          <w:p w14:paraId="3CB8E840" w14:textId="77777777" w:rsidR="008831F9" w:rsidRPr="00A662DD" w:rsidRDefault="008831F9" w:rsidP="00EA573C">
            <w:pPr>
              <w:jc w:val="center"/>
              <w:rPr>
                <w:rFonts w:asciiTheme="minorHAnsi" w:hAnsiTheme="minorHAnsi" w:cstheme="minorHAnsi"/>
              </w:rPr>
            </w:pPr>
            <w:r w:rsidRPr="00A662DD">
              <w:rPr>
                <w:rFonts w:asciiTheme="minorHAnsi" w:hAnsiTheme="minorHAnsi" w:cstheme="minorHAnsi"/>
              </w:rPr>
              <w:t>∆</w:t>
            </w:r>
            <w:r w:rsidRPr="00A662DD">
              <w:rPr>
                <w:rFonts w:asciiTheme="minorHAnsi" w:hAnsiTheme="minorHAnsi" w:cstheme="minorHAnsi"/>
                <w:vertAlign w:val="subscript"/>
              </w:rPr>
              <w:t>R&amp;B</w:t>
            </w:r>
            <w:r w:rsidRPr="00A662DD">
              <w:rPr>
                <w:rFonts w:asciiTheme="minorHAnsi" w:hAnsiTheme="minorHAnsi" w:cstheme="minorHAnsi"/>
              </w:rPr>
              <w:t>8/25</w:t>
            </w:r>
          </w:p>
        </w:tc>
      </w:tr>
      <w:tr w:rsidR="008831F9" w:rsidRPr="00A662DD" w14:paraId="5BF692CD" w14:textId="77777777" w:rsidTr="00EA573C">
        <w:tc>
          <w:tcPr>
            <w:tcW w:w="1260" w:type="dxa"/>
            <w:tcBorders>
              <w:top w:val="single" w:sz="4" w:space="0" w:color="auto"/>
              <w:left w:val="single" w:sz="4" w:space="0" w:color="auto"/>
              <w:bottom w:val="single" w:sz="4" w:space="0" w:color="auto"/>
              <w:right w:val="single" w:sz="4" w:space="0" w:color="auto"/>
            </w:tcBorders>
          </w:tcPr>
          <w:p w14:paraId="0E9BE2BB" w14:textId="77777777" w:rsidR="008831F9" w:rsidRPr="00A662DD" w:rsidRDefault="008831F9" w:rsidP="00EA573C">
            <w:pPr>
              <w:jc w:val="center"/>
              <w:rPr>
                <w:rFonts w:asciiTheme="minorHAnsi" w:hAnsiTheme="minorHAnsi" w:cstheme="minorHAnsi"/>
              </w:rPr>
            </w:pPr>
            <w:r w:rsidRPr="00A662DD">
              <w:rPr>
                <w:rFonts w:asciiTheme="minorHAnsi" w:hAnsiTheme="minorHAnsi" w:cstheme="minorHAnsi"/>
              </w:rPr>
              <w:t>5.5.1.</w:t>
            </w:r>
          </w:p>
        </w:tc>
        <w:tc>
          <w:tcPr>
            <w:tcW w:w="5083" w:type="dxa"/>
            <w:tcBorders>
              <w:top w:val="single" w:sz="4" w:space="0" w:color="auto"/>
              <w:left w:val="single" w:sz="4" w:space="0" w:color="auto"/>
              <w:bottom w:val="single" w:sz="4" w:space="0" w:color="auto"/>
              <w:right w:val="single" w:sz="4" w:space="0" w:color="auto"/>
            </w:tcBorders>
          </w:tcPr>
          <w:p w14:paraId="0D55D523" w14:textId="77777777" w:rsidR="008831F9" w:rsidRPr="004E54A4" w:rsidRDefault="008831F9" w:rsidP="00EA573C">
            <w:pPr>
              <w:rPr>
                <w:rFonts w:asciiTheme="minorHAnsi" w:hAnsiTheme="minorHAnsi" w:cstheme="minorHAnsi"/>
              </w:rPr>
            </w:pPr>
            <w:r w:rsidRPr="004E54A4">
              <w:rPr>
                <w:rFonts w:asciiTheme="minorHAnsi" w:hAnsiTheme="minorHAnsi" w:cstheme="minorHAnsi"/>
              </w:rPr>
              <w:t>Rozpuszczalność w wodzie według PN-EN 1744-1, kategoria nie wyższa niż:</w:t>
            </w:r>
          </w:p>
        </w:tc>
        <w:tc>
          <w:tcPr>
            <w:tcW w:w="3017" w:type="dxa"/>
            <w:tcBorders>
              <w:top w:val="single" w:sz="4" w:space="0" w:color="auto"/>
              <w:left w:val="single" w:sz="4" w:space="0" w:color="auto"/>
              <w:bottom w:val="single" w:sz="4" w:space="0" w:color="auto"/>
              <w:right w:val="single" w:sz="4" w:space="0" w:color="auto"/>
            </w:tcBorders>
          </w:tcPr>
          <w:p w14:paraId="30DE51D8" w14:textId="77777777" w:rsidR="008831F9" w:rsidRPr="00A662DD" w:rsidRDefault="008831F9" w:rsidP="00EA573C">
            <w:pPr>
              <w:jc w:val="center"/>
              <w:rPr>
                <w:rFonts w:asciiTheme="minorHAnsi" w:hAnsiTheme="minorHAnsi" w:cstheme="minorHAnsi"/>
              </w:rPr>
            </w:pPr>
            <w:r w:rsidRPr="00A662DD">
              <w:rPr>
                <w:rFonts w:asciiTheme="minorHAnsi" w:hAnsiTheme="minorHAnsi" w:cstheme="minorHAnsi"/>
                <w:i/>
                <w:iCs/>
              </w:rPr>
              <w:t>WS</w:t>
            </w:r>
            <w:r w:rsidRPr="00A662DD">
              <w:rPr>
                <w:rFonts w:asciiTheme="minorHAnsi" w:hAnsiTheme="minorHAnsi" w:cstheme="minorHAnsi"/>
                <w:vertAlign w:val="subscript"/>
              </w:rPr>
              <w:t>10</w:t>
            </w:r>
          </w:p>
        </w:tc>
      </w:tr>
      <w:tr w:rsidR="008831F9" w:rsidRPr="00A662DD" w14:paraId="4564410D" w14:textId="77777777" w:rsidTr="00EA573C">
        <w:tc>
          <w:tcPr>
            <w:tcW w:w="1260" w:type="dxa"/>
            <w:tcBorders>
              <w:top w:val="single" w:sz="4" w:space="0" w:color="auto"/>
              <w:left w:val="single" w:sz="4" w:space="0" w:color="auto"/>
              <w:bottom w:val="single" w:sz="4" w:space="0" w:color="auto"/>
              <w:right w:val="single" w:sz="4" w:space="0" w:color="auto"/>
            </w:tcBorders>
          </w:tcPr>
          <w:p w14:paraId="1D6A9951" w14:textId="77777777" w:rsidR="008831F9" w:rsidRPr="00A662DD" w:rsidRDefault="008831F9" w:rsidP="00EA573C">
            <w:pPr>
              <w:jc w:val="center"/>
              <w:rPr>
                <w:rFonts w:asciiTheme="minorHAnsi" w:hAnsiTheme="minorHAnsi" w:cstheme="minorHAnsi"/>
              </w:rPr>
            </w:pPr>
            <w:r w:rsidRPr="00A662DD">
              <w:rPr>
                <w:rFonts w:asciiTheme="minorHAnsi" w:hAnsiTheme="minorHAnsi" w:cstheme="minorHAnsi"/>
              </w:rPr>
              <w:t>5.5.3.*</w:t>
            </w:r>
          </w:p>
        </w:tc>
        <w:tc>
          <w:tcPr>
            <w:tcW w:w="5083" w:type="dxa"/>
            <w:tcBorders>
              <w:top w:val="single" w:sz="4" w:space="0" w:color="auto"/>
              <w:left w:val="single" w:sz="4" w:space="0" w:color="auto"/>
              <w:bottom w:val="single" w:sz="4" w:space="0" w:color="auto"/>
              <w:right w:val="single" w:sz="4" w:space="0" w:color="auto"/>
            </w:tcBorders>
          </w:tcPr>
          <w:p w14:paraId="1D887FE9" w14:textId="77777777" w:rsidR="008831F9" w:rsidRPr="004E54A4" w:rsidRDefault="008831F9" w:rsidP="00EA573C">
            <w:pPr>
              <w:rPr>
                <w:rFonts w:asciiTheme="minorHAnsi" w:hAnsiTheme="minorHAnsi" w:cstheme="minorHAnsi"/>
              </w:rPr>
            </w:pPr>
            <w:r w:rsidRPr="004E54A4">
              <w:rPr>
                <w:rFonts w:asciiTheme="minorHAnsi" w:hAnsiTheme="minorHAnsi" w:cstheme="minorHAnsi"/>
              </w:rPr>
              <w:t>Zawartość CaCO</w:t>
            </w:r>
            <w:r w:rsidRPr="004E54A4">
              <w:rPr>
                <w:rFonts w:asciiTheme="minorHAnsi" w:hAnsiTheme="minorHAnsi" w:cstheme="minorHAnsi"/>
                <w:vertAlign w:val="subscript"/>
              </w:rPr>
              <w:t>3</w:t>
            </w:r>
            <w:r w:rsidRPr="004E54A4">
              <w:rPr>
                <w:rFonts w:asciiTheme="minorHAnsi" w:hAnsiTheme="minorHAnsi" w:cstheme="minorHAnsi"/>
              </w:rPr>
              <w:t xml:space="preserve"> w wypełniaczu wapiennym według PN-EN 196-21, kategoria nie niższa niż:</w:t>
            </w:r>
          </w:p>
        </w:tc>
        <w:tc>
          <w:tcPr>
            <w:tcW w:w="3017" w:type="dxa"/>
            <w:tcBorders>
              <w:top w:val="single" w:sz="4" w:space="0" w:color="auto"/>
              <w:left w:val="single" w:sz="4" w:space="0" w:color="auto"/>
              <w:bottom w:val="single" w:sz="4" w:space="0" w:color="auto"/>
              <w:right w:val="single" w:sz="4" w:space="0" w:color="auto"/>
            </w:tcBorders>
          </w:tcPr>
          <w:p w14:paraId="189FCC10" w14:textId="77777777" w:rsidR="008831F9" w:rsidRPr="00A662DD" w:rsidRDefault="008831F9" w:rsidP="00EA573C">
            <w:pPr>
              <w:jc w:val="center"/>
              <w:rPr>
                <w:rFonts w:asciiTheme="minorHAnsi" w:hAnsiTheme="minorHAnsi" w:cstheme="minorHAnsi"/>
              </w:rPr>
            </w:pPr>
            <w:r w:rsidRPr="00A662DD">
              <w:rPr>
                <w:rFonts w:asciiTheme="minorHAnsi" w:hAnsiTheme="minorHAnsi" w:cstheme="minorHAnsi"/>
                <w:i/>
                <w:iCs/>
              </w:rPr>
              <w:t>CC</w:t>
            </w:r>
            <w:r w:rsidRPr="00A662DD">
              <w:rPr>
                <w:rFonts w:asciiTheme="minorHAnsi" w:hAnsiTheme="minorHAnsi" w:cstheme="minorHAnsi"/>
                <w:vertAlign w:val="subscript"/>
              </w:rPr>
              <w:t>70</w:t>
            </w:r>
          </w:p>
        </w:tc>
      </w:tr>
      <w:tr w:rsidR="008831F9" w:rsidRPr="00A662DD" w14:paraId="6778AB0B" w14:textId="77777777" w:rsidTr="00EA573C">
        <w:tc>
          <w:tcPr>
            <w:tcW w:w="1260" w:type="dxa"/>
            <w:tcBorders>
              <w:top w:val="single" w:sz="4" w:space="0" w:color="auto"/>
              <w:left w:val="single" w:sz="4" w:space="0" w:color="auto"/>
              <w:bottom w:val="single" w:sz="4" w:space="0" w:color="auto"/>
              <w:right w:val="single" w:sz="4" w:space="0" w:color="auto"/>
            </w:tcBorders>
          </w:tcPr>
          <w:p w14:paraId="32207540" w14:textId="77777777" w:rsidR="008831F9" w:rsidRPr="00A662DD" w:rsidRDefault="008831F9" w:rsidP="00EA573C">
            <w:pPr>
              <w:jc w:val="center"/>
              <w:rPr>
                <w:rFonts w:asciiTheme="minorHAnsi" w:hAnsiTheme="minorHAnsi" w:cstheme="minorHAnsi"/>
              </w:rPr>
            </w:pPr>
            <w:r w:rsidRPr="00A662DD">
              <w:rPr>
                <w:rFonts w:asciiTheme="minorHAnsi" w:hAnsiTheme="minorHAnsi" w:cstheme="minorHAnsi"/>
              </w:rPr>
              <w:t>5.5.4.</w:t>
            </w:r>
          </w:p>
        </w:tc>
        <w:tc>
          <w:tcPr>
            <w:tcW w:w="5083" w:type="dxa"/>
            <w:tcBorders>
              <w:top w:val="single" w:sz="4" w:space="0" w:color="auto"/>
              <w:left w:val="single" w:sz="4" w:space="0" w:color="auto"/>
              <w:bottom w:val="single" w:sz="4" w:space="0" w:color="auto"/>
              <w:right w:val="single" w:sz="4" w:space="0" w:color="auto"/>
            </w:tcBorders>
          </w:tcPr>
          <w:p w14:paraId="223EF6D0" w14:textId="77777777" w:rsidR="008831F9" w:rsidRPr="004E54A4" w:rsidRDefault="008831F9" w:rsidP="00EA573C">
            <w:pPr>
              <w:rPr>
                <w:rFonts w:asciiTheme="minorHAnsi" w:hAnsiTheme="minorHAnsi" w:cstheme="minorHAnsi"/>
              </w:rPr>
            </w:pPr>
            <w:r w:rsidRPr="004E54A4">
              <w:rPr>
                <w:rFonts w:asciiTheme="minorHAnsi" w:hAnsiTheme="minorHAnsi" w:cstheme="minorHAnsi"/>
              </w:rPr>
              <w:t>Zawartość wodorotlenku wapnia w wypełniaczu mieszanym, wymagana kategoria:</w:t>
            </w:r>
          </w:p>
        </w:tc>
        <w:tc>
          <w:tcPr>
            <w:tcW w:w="3017" w:type="dxa"/>
            <w:tcBorders>
              <w:top w:val="single" w:sz="4" w:space="0" w:color="auto"/>
              <w:left w:val="single" w:sz="4" w:space="0" w:color="auto"/>
              <w:bottom w:val="single" w:sz="4" w:space="0" w:color="auto"/>
              <w:right w:val="single" w:sz="4" w:space="0" w:color="auto"/>
            </w:tcBorders>
          </w:tcPr>
          <w:p w14:paraId="648F45E1" w14:textId="77777777" w:rsidR="008831F9" w:rsidRPr="00A662DD" w:rsidRDefault="008831F9" w:rsidP="00EA573C">
            <w:pPr>
              <w:jc w:val="center"/>
              <w:rPr>
                <w:rFonts w:asciiTheme="minorHAnsi" w:hAnsiTheme="minorHAnsi" w:cstheme="minorHAnsi"/>
                <w:i/>
                <w:iCs/>
              </w:rPr>
            </w:pPr>
            <w:r w:rsidRPr="00A662DD">
              <w:rPr>
                <w:rFonts w:asciiTheme="minorHAnsi" w:hAnsiTheme="minorHAnsi" w:cstheme="minorHAnsi"/>
                <w:i/>
                <w:iCs/>
              </w:rPr>
              <w:t>K</w:t>
            </w:r>
            <w:r w:rsidRPr="00A662DD">
              <w:rPr>
                <w:rFonts w:asciiTheme="minorHAnsi" w:hAnsiTheme="minorHAnsi" w:cstheme="minorHAnsi"/>
                <w:vertAlign w:val="subscript"/>
              </w:rPr>
              <w:t xml:space="preserve">a </w:t>
            </w:r>
            <w:r w:rsidRPr="00A662DD">
              <w:rPr>
                <w:rFonts w:asciiTheme="minorHAnsi" w:hAnsiTheme="minorHAnsi" w:cstheme="minorHAnsi"/>
              </w:rPr>
              <w:t>20</w:t>
            </w:r>
          </w:p>
        </w:tc>
      </w:tr>
      <w:tr w:rsidR="008831F9" w:rsidRPr="00A662DD" w14:paraId="0CB9A63A" w14:textId="77777777" w:rsidTr="00EA573C">
        <w:tc>
          <w:tcPr>
            <w:tcW w:w="1260" w:type="dxa"/>
            <w:tcBorders>
              <w:top w:val="single" w:sz="4" w:space="0" w:color="auto"/>
              <w:left w:val="single" w:sz="4" w:space="0" w:color="auto"/>
              <w:bottom w:val="single" w:sz="4" w:space="0" w:color="auto"/>
              <w:right w:val="single" w:sz="4" w:space="0" w:color="auto"/>
            </w:tcBorders>
          </w:tcPr>
          <w:p w14:paraId="1B46AAD4" w14:textId="77777777" w:rsidR="008831F9" w:rsidRPr="00A662DD" w:rsidRDefault="008831F9" w:rsidP="00EA573C">
            <w:pPr>
              <w:jc w:val="center"/>
              <w:rPr>
                <w:rFonts w:asciiTheme="minorHAnsi" w:hAnsiTheme="minorHAnsi" w:cstheme="minorHAnsi"/>
              </w:rPr>
            </w:pPr>
            <w:r w:rsidRPr="00A662DD">
              <w:rPr>
                <w:rFonts w:asciiTheme="minorHAnsi" w:hAnsiTheme="minorHAnsi" w:cstheme="minorHAnsi"/>
              </w:rPr>
              <w:t>5.6.2.</w:t>
            </w:r>
          </w:p>
        </w:tc>
        <w:tc>
          <w:tcPr>
            <w:tcW w:w="5083" w:type="dxa"/>
            <w:tcBorders>
              <w:top w:val="single" w:sz="4" w:space="0" w:color="auto"/>
              <w:left w:val="single" w:sz="4" w:space="0" w:color="auto"/>
              <w:bottom w:val="single" w:sz="4" w:space="0" w:color="auto"/>
              <w:right w:val="single" w:sz="4" w:space="0" w:color="auto"/>
            </w:tcBorders>
          </w:tcPr>
          <w:p w14:paraId="011434BA" w14:textId="77777777" w:rsidR="008831F9" w:rsidRPr="004E54A4" w:rsidRDefault="008831F9" w:rsidP="00EA573C">
            <w:pPr>
              <w:rPr>
                <w:rFonts w:asciiTheme="minorHAnsi" w:hAnsiTheme="minorHAnsi" w:cstheme="minorHAnsi"/>
              </w:rPr>
            </w:pPr>
            <w:r w:rsidRPr="004E54A4">
              <w:rPr>
                <w:rFonts w:asciiTheme="minorHAnsi" w:hAnsiTheme="minorHAnsi" w:cstheme="minorHAnsi"/>
              </w:rPr>
              <w:t>„Liczba asfaltowa” według PN-EN 13179-2, wymagana kategoria:</w:t>
            </w:r>
          </w:p>
        </w:tc>
        <w:tc>
          <w:tcPr>
            <w:tcW w:w="3017" w:type="dxa"/>
            <w:tcBorders>
              <w:top w:val="single" w:sz="4" w:space="0" w:color="auto"/>
              <w:left w:val="single" w:sz="4" w:space="0" w:color="auto"/>
              <w:bottom w:val="single" w:sz="4" w:space="0" w:color="auto"/>
              <w:right w:val="single" w:sz="4" w:space="0" w:color="auto"/>
            </w:tcBorders>
          </w:tcPr>
          <w:p w14:paraId="7F376F66" w14:textId="77777777" w:rsidR="008831F9" w:rsidRPr="00A662DD" w:rsidRDefault="008831F9" w:rsidP="00EA573C">
            <w:pPr>
              <w:jc w:val="center"/>
              <w:rPr>
                <w:rFonts w:asciiTheme="minorHAnsi" w:hAnsiTheme="minorHAnsi" w:cstheme="minorHAnsi"/>
                <w:i/>
                <w:iCs/>
              </w:rPr>
            </w:pPr>
            <w:r w:rsidRPr="00A662DD">
              <w:rPr>
                <w:rFonts w:asciiTheme="minorHAnsi" w:hAnsiTheme="minorHAnsi" w:cstheme="minorHAnsi"/>
                <w:i/>
                <w:iCs/>
              </w:rPr>
              <w:t>BN</w:t>
            </w:r>
            <w:r w:rsidRPr="00A662DD">
              <w:rPr>
                <w:rFonts w:asciiTheme="minorHAnsi" w:hAnsiTheme="minorHAnsi" w:cstheme="minorHAnsi"/>
                <w:vertAlign w:val="subscript"/>
              </w:rPr>
              <w:t>Deklarowana</w:t>
            </w:r>
          </w:p>
        </w:tc>
      </w:tr>
    </w:tbl>
    <w:p w14:paraId="492ABBFD" w14:textId="77777777" w:rsidR="008831F9" w:rsidRPr="00A662DD" w:rsidRDefault="008831F9" w:rsidP="008831F9">
      <w:pPr>
        <w:pStyle w:val="Standardowytekst"/>
        <w:rPr>
          <w:rFonts w:asciiTheme="minorHAnsi" w:hAnsiTheme="minorHAnsi" w:cstheme="minorHAnsi"/>
          <w:i/>
          <w:iCs/>
        </w:rPr>
      </w:pPr>
    </w:p>
    <w:p w14:paraId="077AA63D" w14:textId="77777777" w:rsidR="008831F9" w:rsidRPr="00A662DD" w:rsidRDefault="008831F9" w:rsidP="008831F9">
      <w:pPr>
        <w:pStyle w:val="Standardowytekst"/>
        <w:rPr>
          <w:rFonts w:asciiTheme="minorHAnsi" w:hAnsiTheme="minorHAnsi" w:cstheme="minorHAnsi"/>
          <w:i/>
          <w:iCs/>
          <w:vertAlign w:val="subscript"/>
        </w:rPr>
      </w:pPr>
      <w:r w:rsidRPr="00A662DD">
        <w:rPr>
          <w:rFonts w:asciiTheme="minorHAnsi" w:hAnsiTheme="minorHAnsi" w:cstheme="minorHAnsi"/>
          <w:i/>
          <w:iCs/>
        </w:rPr>
        <w:t>*) Można stosować pyły z odpylania pod warunkiem spełnienia wymagań jak dla wypełniacza. Proporcja pyłów i wypełniacza wapiennego powinna być tak dobrana, aby kategoria zawartości CaCO</w:t>
      </w:r>
      <w:r w:rsidRPr="00A662DD">
        <w:rPr>
          <w:rFonts w:asciiTheme="minorHAnsi" w:hAnsiTheme="minorHAnsi" w:cstheme="minorHAnsi"/>
          <w:i/>
          <w:iCs/>
          <w:vertAlign w:val="subscript"/>
        </w:rPr>
        <w:t>3</w:t>
      </w:r>
      <w:r w:rsidRPr="00A662DD">
        <w:rPr>
          <w:rFonts w:asciiTheme="minorHAnsi" w:hAnsiTheme="minorHAnsi" w:cstheme="minorHAnsi"/>
          <w:i/>
          <w:iCs/>
        </w:rPr>
        <w:t xml:space="preserve"> w mieszance pyłów i wypełniacza wapiennego była nie niższa niż CC</w:t>
      </w:r>
      <w:r w:rsidRPr="00A662DD">
        <w:rPr>
          <w:rFonts w:asciiTheme="minorHAnsi" w:hAnsiTheme="minorHAnsi" w:cstheme="minorHAnsi"/>
          <w:i/>
          <w:iCs/>
          <w:vertAlign w:val="subscript"/>
        </w:rPr>
        <w:t>70</w:t>
      </w:r>
    </w:p>
    <w:p w14:paraId="07483706" w14:textId="77777777" w:rsidR="008831F9" w:rsidRPr="004E54A4" w:rsidRDefault="008831F9" w:rsidP="008831F9">
      <w:pPr>
        <w:pStyle w:val="Nagwek4"/>
        <w:rPr>
          <w:color w:val="FF0000"/>
          <w:sz w:val="28"/>
        </w:rPr>
      </w:pPr>
      <w:r w:rsidRPr="004E54A4">
        <w:t xml:space="preserve">2.5.Asfalt </w:t>
      </w:r>
    </w:p>
    <w:p w14:paraId="787391E1" w14:textId="77777777" w:rsidR="008831F9" w:rsidRPr="004E54A4" w:rsidRDefault="008831F9" w:rsidP="008831F9">
      <w:pPr>
        <w:suppressAutoHyphens/>
        <w:rPr>
          <w:rFonts w:asciiTheme="minorHAnsi" w:hAnsiTheme="minorHAnsi" w:cstheme="minorHAnsi"/>
          <w:spacing w:val="-3"/>
        </w:rPr>
      </w:pPr>
    </w:p>
    <w:p w14:paraId="04B0677E" w14:textId="77777777" w:rsidR="008831F9" w:rsidRPr="004E54A4" w:rsidRDefault="008831F9" w:rsidP="008831F9">
      <w:pPr>
        <w:suppressAutoHyphens/>
        <w:rPr>
          <w:rFonts w:asciiTheme="minorHAnsi" w:hAnsiTheme="minorHAnsi" w:cstheme="minorHAnsi"/>
          <w:spacing w:val="-3"/>
        </w:rPr>
      </w:pPr>
      <w:r w:rsidRPr="004E54A4">
        <w:rPr>
          <w:rFonts w:asciiTheme="minorHAnsi" w:hAnsiTheme="minorHAnsi" w:cstheme="minorHAnsi"/>
        </w:rPr>
        <w:t xml:space="preserve">Tablica 5 Wymagania dla </w:t>
      </w:r>
      <w:r w:rsidRPr="004E54A4">
        <w:rPr>
          <w:rFonts w:asciiTheme="minorHAnsi" w:hAnsiTheme="minorHAnsi" w:cstheme="minorHAnsi"/>
          <w:spacing w:val="-3"/>
        </w:rPr>
        <w:t xml:space="preserve">asfaltu drogowego </w:t>
      </w:r>
    </w:p>
    <w:tbl>
      <w:tblPr>
        <w:tblW w:w="0" w:type="auto"/>
        <w:tblInd w:w="2" w:type="dxa"/>
        <w:tblLook w:val="01E0" w:firstRow="1" w:lastRow="1" w:firstColumn="1" w:lastColumn="1" w:noHBand="0" w:noVBand="0"/>
      </w:tblPr>
      <w:tblGrid>
        <w:gridCol w:w="518"/>
        <w:gridCol w:w="3180"/>
        <w:gridCol w:w="1786"/>
        <w:gridCol w:w="1674"/>
        <w:gridCol w:w="1895"/>
      </w:tblGrid>
      <w:tr w:rsidR="008831F9" w:rsidRPr="00A662DD" w14:paraId="067CB137" w14:textId="77777777" w:rsidTr="00EA573C">
        <w:tc>
          <w:tcPr>
            <w:tcW w:w="531" w:type="dxa"/>
            <w:tcBorders>
              <w:top w:val="single" w:sz="4" w:space="0" w:color="auto"/>
              <w:left w:val="single" w:sz="4" w:space="0" w:color="auto"/>
              <w:bottom w:val="single" w:sz="4" w:space="0" w:color="auto"/>
              <w:right w:val="single" w:sz="4" w:space="0" w:color="auto"/>
            </w:tcBorders>
          </w:tcPr>
          <w:p w14:paraId="7E7EFEE6" w14:textId="77777777" w:rsidR="008831F9" w:rsidRPr="00A662DD" w:rsidRDefault="008831F9" w:rsidP="00EA573C">
            <w:pPr>
              <w:suppressAutoHyphens/>
              <w:jc w:val="center"/>
              <w:rPr>
                <w:rFonts w:asciiTheme="minorHAnsi" w:hAnsiTheme="minorHAnsi" w:cstheme="minorHAnsi"/>
                <w:spacing w:val="-3"/>
              </w:rPr>
            </w:pPr>
            <w:r w:rsidRPr="00A662DD">
              <w:rPr>
                <w:rFonts w:asciiTheme="minorHAnsi" w:hAnsiTheme="minorHAnsi" w:cstheme="minorHAnsi"/>
                <w:spacing w:val="-3"/>
              </w:rPr>
              <w:t>Lp</w:t>
            </w:r>
          </w:p>
        </w:tc>
        <w:tc>
          <w:tcPr>
            <w:tcW w:w="3394" w:type="dxa"/>
            <w:tcBorders>
              <w:top w:val="single" w:sz="4" w:space="0" w:color="auto"/>
              <w:left w:val="single" w:sz="4" w:space="0" w:color="auto"/>
              <w:bottom w:val="single" w:sz="4" w:space="0" w:color="auto"/>
              <w:right w:val="single" w:sz="4" w:space="0" w:color="auto"/>
            </w:tcBorders>
          </w:tcPr>
          <w:p w14:paraId="6905AB3F" w14:textId="77777777" w:rsidR="008831F9" w:rsidRPr="00A662DD" w:rsidRDefault="008831F9" w:rsidP="00EA573C">
            <w:pPr>
              <w:suppressAutoHyphens/>
              <w:jc w:val="center"/>
              <w:rPr>
                <w:rFonts w:asciiTheme="minorHAnsi" w:hAnsiTheme="minorHAnsi" w:cstheme="minorHAnsi"/>
                <w:spacing w:val="-3"/>
              </w:rPr>
            </w:pPr>
            <w:r w:rsidRPr="00A662DD">
              <w:rPr>
                <w:rFonts w:asciiTheme="minorHAnsi" w:hAnsiTheme="minorHAnsi" w:cstheme="minorHAnsi"/>
                <w:spacing w:val="-3"/>
              </w:rPr>
              <w:t>Parametr</w:t>
            </w:r>
          </w:p>
        </w:tc>
        <w:tc>
          <w:tcPr>
            <w:tcW w:w="1910" w:type="dxa"/>
            <w:tcBorders>
              <w:top w:val="single" w:sz="4" w:space="0" w:color="auto"/>
              <w:left w:val="single" w:sz="4" w:space="0" w:color="auto"/>
              <w:bottom w:val="single" w:sz="4" w:space="0" w:color="auto"/>
              <w:right w:val="single" w:sz="4" w:space="0" w:color="auto"/>
            </w:tcBorders>
          </w:tcPr>
          <w:p w14:paraId="19878D18" w14:textId="77777777" w:rsidR="008831F9" w:rsidRPr="00A662DD" w:rsidRDefault="008831F9" w:rsidP="00EA573C">
            <w:pPr>
              <w:suppressAutoHyphens/>
              <w:jc w:val="center"/>
              <w:rPr>
                <w:rFonts w:asciiTheme="minorHAnsi" w:hAnsiTheme="minorHAnsi" w:cstheme="minorHAnsi"/>
                <w:spacing w:val="-3"/>
              </w:rPr>
            </w:pPr>
            <w:r w:rsidRPr="00A662DD">
              <w:rPr>
                <w:rFonts w:asciiTheme="minorHAnsi" w:hAnsiTheme="minorHAnsi" w:cstheme="minorHAnsi"/>
                <w:spacing w:val="-3"/>
              </w:rPr>
              <w:t>Metoda badania</w:t>
            </w:r>
          </w:p>
        </w:tc>
        <w:tc>
          <w:tcPr>
            <w:tcW w:w="1742" w:type="dxa"/>
            <w:tcBorders>
              <w:top w:val="single" w:sz="4" w:space="0" w:color="auto"/>
              <w:left w:val="single" w:sz="4" w:space="0" w:color="auto"/>
              <w:bottom w:val="single" w:sz="4" w:space="0" w:color="auto"/>
              <w:right w:val="single" w:sz="4" w:space="0" w:color="auto"/>
            </w:tcBorders>
          </w:tcPr>
          <w:p w14:paraId="003C9934" w14:textId="77777777" w:rsidR="008831F9" w:rsidRPr="00A662DD" w:rsidRDefault="008831F9" w:rsidP="00EA573C">
            <w:pPr>
              <w:suppressAutoHyphens/>
              <w:jc w:val="center"/>
              <w:rPr>
                <w:rFonts w:asciiTheme="minorHAnsi" w:hAnsiTheme="minorHAnsi" w:cstheme="minorHAnsi"/>
                <w:spacing w:val="-3"/>
              </w:rPr>
            </w:pPr>
            <w:r w:rsidRPr="00A662DD">
              <w:rPr>
                <w:rFonts w:asciiTheme="minorHAnsi" w:hAnsiTheme="minorHAnsi" w:cstheme="minorHAnsi"/>
                <w:spacing w:val="-3"/>
              </w:rPr>
              <w:t>Wymaganie</w:t>
            </w:r>
          </w:p>
          <w:p w14:paraId="2FCE1E4F" w14:textId="77777777" w:rsidR="008831F9" w:rsidRPr="00A662DD" w:rsidRDefault="008831F9" w:rsidP="00EA573C">
            <w:pPr>
              <w:suppressAutoHyphens/>
              <w:jc w:val="center"/>
              <w:rPr>
                <w:rFonts w:asciiTheme="minorHAnsi" w:hAnsiTheme="minorHAnsi" w:cstheme="minorHAnsi"/>
                <w:spacing w:val="-3"/>
              </w:rPr>
            </w:pPr>
            <w:r w:rsidRPr="00A662DD">
              <w:rPr>
                <w:rFonts w:asciiTheme="minorHAnsi" w:hAnsiTheme="minorHAnsi" w:cstheme="minorHAnsi"/>
                <w:spacing w:val="-3"/>
              </w:rPr>
              <w:t>35/50</w:t>
            </w:r>
          </w:p>
        </w:tc>
        <w:tc>
          <w:tcPr>
            <w:tcW w:w="1993" w:type="dxa"/>
            <w:tcBorders>
              <w:top w:val="single" w:sz="4" w:space="0" w:color="auto"/>
              <w:left w:val="single" w:sz="4" w:space="0" w:color="auto"/>
              <w:bottom w:val="single" w:sz="4" w:space="0" w:color="auto"/>
              <w:right w:val="single" w:sz="4" w:space="0" w:color="auto"/>
            </w:tcBorders>
          </w:tcPr>
          <w:p w14:paraId="116D7BF1" w14:textId="77777777" w:rsidR="008831F9" w:rsidRPr="00A662DD" w:rsidRDefault="008831F9" w:rsidP="00EA573C">
            <w:pPr>
              <w:suppressAutoHyphens/>
              <w:jc w:val="center"/>
              <w:rPr>
                <w:rFonts w:asciiTheme="minorHAnsi" w:hAnsiTheme="minorHAnsi" w:cstheme="minorHAnsi"/>
                <w:spacing w:val="-3"/>
              </w:rPr>
            </w:pPr>
            <w:r w:rsidRPr="00A662DD">
              <w:rPr>
                <w:rFonts w:asciiTheme="minorHAnsi" w:hAnsiTheme="minorHAnsi" w:cstheme="minorHAnsi"/>
                <w:spacing w:val="-3"/>
              </w:rPr>
              <w:t>Wymaganie</w:t>
            </w:r>
          </w:p>
          <w:p w14:paraId="30389A1A" w14:textId="77777777" w:rsidR="008831F9" w:rsidRPr="00A662DD" w:rsidRDefault="008831F9" w:rsidP="00EA573C">
            <w:pPr>
              <w:suppressAutoHyphens/>
              <w:jc w:val="center"/>
              <w:rPr>
                <w:rFonts w:asciiTheme="minorHAnsi" w:hAnsiTheme="minorHAnsi" w:cstheme="minorHAnsi"/>
                <w:spacing w:val="-3"/>
              </w:rPr>
            </w:pPr>
            <w:r w:rsidRPr="00A662DD">
              <w:rPr>
                <w:rFonts w:asciiTheme="minorHAnsi" w:hAnsiTheme="minorHAnsi" w:cstheme="minorHAnsi"/>
                <w:spacing w:val="-3"/>
              </w:rPr>
              <w:t>50/70</w:t>
            </w:r>
          </w:p>
        </w:tc>
      </w:tr>
      <w:tr w:rsidR="008831F9" w:rsidRPr="00A662DD" w14:paraId="69E3E838" w14:textId="77777777" w:rsidTr="00EA573C">
        <w:tc>
          <w:tcPr>
            <w:tcW w:w="531" w:type="dxa"/>
            <w:tcBorders>
              <w:top w:val="single" w:sz="4" w:space="0" w:color="auto"/>
              <w:left w:val="single" w:sz="4" w:space="0" w:color="auto"/>
              <w:bottom w:val="single" w:sz="4" w:space="0" w:color="auto"/>
              <w:right w:val="single" w:sz="4" w:space="0" w:color="auto"/>
            </w:tcBorders>
          </w:tcPr>
          <w:p w14:paraId="78A72F51" w14:textId="77777777" w:rsidR="008831F9" w:rsidRPr="00A662DD" w:rsidRDefault="008831F9" w:rsidP="00EA573C">
            <w:pPr>
              <w:suppressAutoHyphens/>
              <w:jc w:val="center"/>
              <w:rPr>
                <w:rFonts w:asciiTheme="minorHAnsi" w:hAnsiTheme="minorHAnsi" w:cstheme="minorHAnsi"/>
                <w:spacing w:val="-3"/>
              </w:rPr>
            </w:pPr>
            <w:r w:rsidRPr="00A662DD">
              <w:rPr>
                <w:rFonts w:asciiTheme="minorHAnsi" w:hAnsiTheme="minorHAnsi" w:cstheme="minorHAnsi"/>
                <w:spacing w:val="-3"/>
              </w:rPr>
              <w:t>1</w:t>
            </w:r>
          </w:p>
        </w:tc>
        <w:tc>
          <w:tcPr>
            <w:tcW w:w="3394" w:type="dxa"/>
            <w:tcBorders>
              <w:top w:val="single" w:sz="4" w:space="0" w:color="auto"/>
              <w:left w:val="single" w:sz="4" w:space="0" w:color="auto"/>
              <w:bottom w:val="single" w:sz="4" w:space="0" w:color="auto"/>
              <w:right w:val="single" w:sz="4" w:space="0" w:color="auto"/>
            </w:tcBorders>
          </w:tcPr>
          <w:p w14:paraId="40CF3A4D" w14:textId="77777777" w:rsidR="008831F9" w:rsidRPr="004E54A4" w:rsidRDefault="008831F9" w:rsidP="00EA573C">
            <w:pPr>
              <w:suppressAutoHyphens/>
              <w:rPr>
                <w:rFonts w:asciiTheme="minorHAnsi" w:hAnsiTheme="minorHAnsi" w:cstheme="minorHAnsi"/>
                <w:spacing w:val="-3"/>
              </w:rPr>
            </w:pPr>
            <w:r w:rsidRPr="004E54A4">
              <w:rPr>
                <w:rFonts w:asciiTheme="minorHAnsi" w:hAnsiTheme="minorHAnsi" w:cstheme="minorHAnsi"/>
                <w:spacing w:val="-3"/>
              </w:rPr>
              <w:t>Penetracja w temperaturze 25</w:t>
            </w:r>
            <w:r w:rsidRPr="004E54A4">
              <w:rPr>
                <w:rFonts w:asciiTheme="minorHAnsi" w:hAnsiTheme="minorHAnsi" w:cstheme="minorHAnsi"/>
                <w:spacing w:val="-3"/>
                <w:vertAlign w:val="superscript"/>
              </w:rPr>
              <w:t>0</w:t>
            </w:r>
            <w:r w:rsidRPr="004E54A4">
              <w:rPr>
                <w:rFonts w:asciiTheme="minorHAnsi" w:hAnsiTheme="minorHAnsi" w:cstheme="minorHAnsi"/>
                <w:spacing w:val="-3"/>
              </w:rPr>
              <w:t>C, x 0,1mm</w:t>
            </w:r>
          </w:p>
        </w:tc>
        <w:tc>
          <w:tcPr>
            <w:tcW w:w="1910" w:type="dxa"/>
            <w:tcBorders>
              <w:top w:val="single" w:sz="4" w:space="0" w:color="auto"/>
              <w:left w:val="single" w:sz="4" w:space="0" w:color="auto"/>
              <w:bottom w:val="single" w:sz="4" w:space="0" w:color="auto"/>
              <w:right w:val="single" w:sz="4" w:space="0" w:color="auto"/>
            </w:tcBorders>
          </w:tcPr>
          <w:p w14:paraId="68FC69D2" w14:textId="77777777" w:rsidR="008831F9" w:rsidRPr="00A662DD" w:rsidRDefault="008831F9" w:rsidP="00EA573C">
            <w:pPr>
              <w:suppressAutoHyphens/>
              <w:jc w:val="center"/>
              <w:rPr>
                <w:rFonts w:asciiTheme="minorHAnsi" w:hAnsiTheme="minorHAnsi" w:cstheme="minorHAnsi"/>
                <w:spacing w:val="-3"/>
              </w:rPr>
            </w:pPr>
            <w:r w:rsidRPr="00A662DD">
              <w:rPr>
                <w:rFonts w:asciiTheme="minorHAnsi" w:hAnsiTheme="minorHAnsi" w:cstheme="minorHAnsi"/>
                <w:spacing w:val="-3"/>
              </w:rPr>
              <w:t>PN-EN 1426</w:t>
            </w:r>
          </w:p>
        </w:tc>
        <w:tc>
          <w:tcPr>
            <w:tcW w:w="1742" w:type="dxa"/>
            <w:tcBorders>
              <w:top w:val="single" w:sz="4" w:space="0" w:color="auto"/>
              <w:left w:val="single" w:sz="4" w:space="0" w:color="auto"/>
              <w:bottom w:val="single" w:sz="4" w:space="0" w:color="auto"/>
              <w:right w:val="single" w:sz="4" w:space="0" w:color="auto"/>
            </w:tcBorders>
          </w:tcPr>
          <w:p w14:paraId="367492ED" w14:textId="77777777" w:rsidR="008831F9" w:rsidRPr="00A662DD" w:rsidRDefault="008831F9" w:rsidP="00EA573C">
            <w:pPr>
              <w:suppressAutoHyphens/>
              <w:jc w:val="center"/>
              <w:rPr>
                <w:rFonts w:asciiTheme="minorHAnsi" w:hAnsiTheme="minorHAnsi" w:cstheme="minorHAnsi"/>
                <w:spacing w:val="-3"/>
              </w:rPr>
            </w:pPr>
            <w:r w:rsidRPr="00A662DD">
              <w:rPr>
                <w:rFonts w:asciiTheme="minorHAnsi" w:hAnsiTheme="minorHAnsi" w:cstheme="minorHAnsi"/>
                <w:spacing w:val="-3"/>
              </w:rPr>
              <w:t>35 – 50</w:t>
            </w:r>
          </w:p>
        </w:tc>
        <w:tc>
          <w:tcPr>
            <w:tcW w:w="1993" w:type="dxa"/>
            <w:tcBorders>
              <w:top w:val="single" w:sz="4" w:space="0" w:color="auto"/>
              <w:left w:val="single" w:sz="4" w:space="0" w:color="auto"/>
              <w:bottom w:val="single" w:sz="4" w:space="0" w:color="auto"/>
              <w:right w:val="single" w:sz="4" w:space="0" w:color="auto"/>
            </w:tcBorders>
          </w:tcPr>
          <w:p w14:paraId="31356EAE" w14:textId="77777777" w:rsidR="008831F9" w:rsidRPr="00A662DD" w:rsidRDefault="008831F9" w:rsidP="00EA573C">
            <w:pPr>
              <w:suppressAutoHyphens/>
              <w:jc w:val="center"/>
              <w:rPr>
                <w:rFonts w:asciiTheme="minorHAnsi" w:hAnsiTheme="minorHAnsi" w:cstheme="minorHAnsi"/>
                <w:spacing w:val="-3"/>
              </w:rPr>
            </w:pPr>
            <w:r w:rsidRPr="00A662DD">
              <w:rPr>
                <w:rFonts w:asciiTheme="minorHAnsi" w:hAnsiTheme="minorHAnsi" w:cstheme="minorHAnsi"/>
                <w:spacing w:val="-3"/>
              </w:rPr>
              <w:t>50 – 70</w:t>
            </w:r>
          </w:p>
        </w:tc>
      </w:tr>
      <w:tr w:rsidR="008831F9" w:rsidRPr="00A662DD" w14:paraId="29E78F2D" w14:textId="77777777" w:rsidTr="00EA573C">
        <w:tc>
          <w:tcPr>
            <w:tcW w:w="531" w:type="dxa"/>
            <w:tcBorders>
              <w:top w:val="single" w:sz="4" w:space="0" w:color="auto"/>
              <w:left w:val="single" w:sz="4" w:space="0" w:color="auto"/>
              <w:bottom w:val="single" w:sz="4" w:space="0" w:color="auto"/>
              <w:right w:val="single" w:sz="4" w:space="0" w:color="auto"/>
            </w:tcBorders>
          </w:tcPr>
          <w:p w14:paraId="67509278" w14:textId="77777777" w:rsidR="008831F9" w:rsidRPr="00A662DD" w:rsidRDefault="008831F9" w:rsidP="00EA573C">
            <w:pPr>
              <w:suppressAutoHyphens/>
              <w:jc w:val="center"/>
              <w:rPr>
                <w:rFonts w:asciiTheme="minorHAnsi" w:hAnsiTheme="minorHAnsi" w:cstheme="minorHAnsi"/>
                <w:spacing w:val="-3"/>
              </w:rPr>
            </w:pPr>
            <w:r w:rsidRPr="00A662DD">
              <w:rPr>
                <w:rFonts w:asciiTheme="minorHAnsi" w:hAnsiTheme="minorHAnsi" w:cstheme="minorHAnsi"/>
                <w:spacing w:val="-3"/>
              </w:rPr>
              <w:t>2</w:t>
            </w:r>
          </w:p>
        </w:tc>
        <w:tc>
          <w:tcPr>
            <w:tcW w:w="3394" w:type="dxa"/>
            <w:tcBorders>
              <w:top w:val="single" w:sz="4" w:space="0" w:color="auto"/>
              <w:left w:val="single" w:sz="4" w:space="0" w:color="auto"/>
              <w:bottom w:val="single" w:sz="4" w:space="0" w:color="auto"/>
              <w:right w:val="single" w:sz="4" w:space="0" w:color="auto"/>
            </w:tcBorders>
          </w:tcPr>
          <w:p w14:paraId="190FF58A" w14:textId="77777777" w:rsidR="008831F9" w:rsidRPr="00A662DD" w:rsidRDefault="008831F9" w:rsidP="00EA573C">
            <w:pPr>
              <w:suppressAutoHyphens/>
              <w:rPr>
                <w:rFonts w:asciiTheme="minorHAnsi" w:hAnsiTheme="minorHAnsi" w:cstheme="minorHAnsi"/>
                <w:spacing w:val="-3"/>
              </w:rPr>
            </w:pPr>
            <w:r w:rsidRPr="00A662DD">
              <w:rPr>
                <w:rFonts w:asciiTheme="minorHAnsi" w:hAnsiTheme="minorHAnsi" w:cstheme="minorHAnsi"/>
                <w:spacing w:val="-3"/>
              </w:rPr>
              <w:t xml:space="preserve">Temperatura mięknienia, </w:t>
            </w:r>
            <w:r w:rsidRPr="00A662DD">
              <w:rPr>
                <w:rFonts w:asciiTheme="minorHAnsi" w:hAnsiTheme="minorHAnsi" w:cstheme="minorHAnsi"/>
                <w:spacing w:val="-3"/>
                <w:vertAlign w:val="superscript"/>
              </w:rPr>
              <w:t>0</w:t>
            </w:r>
            <w:r w:rsidRPr="00A662DD">
              <w:rPr>
                <w:rFonts w:asciiTheme="minorHAnsi" w:hAnsiTheme="minorHAnsi" w:cstheme="minorHAnsi"/>
                <w:spacing w:val="-3"/>
              </w:rPr>
              <w:t>C</w:t>
            </w:r>
          </w:p>
        </w:tc>
        <w:tc>
          <w:tcPr>
            <w:tcW w:w="1910" w:type="dxa"/>
            <w:tcBorders>
              <w:top w:val="single" w:sz="4" w:space="0" w:color="auto"/>
              <w:left w:val="single" w:sz="4" w:space="0" w:color="auto"/>
              <w:bottom w:val="single" w:sz="4" w:space="0" w:color="auto"/>
              <w:right w:val="single" w:sz="4" w:space="0" w:color="auto"/>
            </w:tcBorders>
          </w:tcPr>
          <w:p w14:paraId="144B70D9" w14:textId="77777777" w:rsidR="008831F9" w:rsidRPr="00A662DD" w:rsidRDefault="008831F9" w:rsidP="00EA573C">
            <w:pPr>
              <w:suppressAutoHyphens/>
              <w:jc w:val="center"/>
              <w:rPr>
                <w:rFonts w:asciiTheme="minorHAnsi" w:hAnsiTheme="minorHAnsi" w:cstheme="minorHAnsi"/>
                <w:spacing w:val="-3"/>
              </w:rPr>
            </w:pPr>
            <w:r w:rsidRPr="00A662DD">
              <w:rPr>
                <w:rFonts w:asciiTheme="minorHAnsi" w:hAnsiTheme="minorHAnsi" w:cstheme="minorHAnsi"/>
                <w:spacing w:val="-3"/>
              </w:rPr>
              <w:t>PN-EN 1427</w:t>
            </w:r>
          </w:p>
        </w:tc>
        <w:tc>
          <w:tcPr>
            <w:tcW w:w="1742" w:type="dxa"/>
            <w:tcBorders>
              <w:top w:val="single" w:sz="4" w:space="0" w:color="auto"/>
              <w:left w:val="single" w:sz="4" w:space="0" w:color="auto"/>
              <w:bottom w:val="single" w:sz="4" w:space="0" w:color="auto"/>
              <w:right w:val="single" w:sz="4" w:space="0" w:color="auto"/>
            </w:tcBorders>
          </w:tcPr>
          <w:p w14:paraId="2D34F3C6" w14:textId="77777777" w:rsidR="008831F9" w:rsidRPr="00A662DD" w:rsidRDefault="008831F9" w:rsidP="00EA573C">
            <w:pPr>
              <w:suppressAutoHyphens/>
              <w:jc w:val="center"/>
              <w:rPr>
                <w:rFonts w:asciiTheme="minorHAnsi" w:hAnsiTheme="minorHAnsi" w:cstheme="minorHAnsi"/>
                <w:spacing w:val="-3"/>
              </w:rPr>
            </w:pPr>
            <w:r w:rsidRPr="00A662DD">
              <w:rPr>
                <w:rFonts w:asciiTheme="minorHAnsi" w:hAnsiTheme="minorHAnsi" w:cstheme="minorHAnsi"/>
                <w:spacing w:val="-3"/>
              </w:rPr>
              <w:t>50 - 58</w:t>
            </w:r>
          </w:p>
        </w:tc>
        <w:tc>
          <w:tcPr>
            <w:tcW w:w="1993" w:type="dxa"/>
            <w:tcBorders>
              <w:top w:val="single" w:sz="4" w:space="0" w:color="auto"/>
              <w:left w:val="single" w:sz="4" w:space="0" w:color="auto"/>
              <w:bottom w:val="single" w:sz="4" w:space="0" w:color="auto"/>
              <w:right w:val="single" w:sz="4" w:space="0" w:color="auto"/>
            </w:tcBorders>
          </w:tcPr>
          <w:p w14:paraId="6378BC95" w14:textId="77777777" w:rsidR="008831F9" w:rsidRPr="00A662DD" w:rsidRDefault="008831F9" w:rsidP="00EA573C">
            <w:pPr>
              <w:suppressAutoHyphens/>
              <w:jc w:val="center"/>
              <w:rPr>
                <w:rFonts w:asciiTheme="minorHAnsi" w:hAnsiTheme="minorHAnsi" w:cstheme="minorHAnsi"/>
                <w:spacing w:val="-3"/>
              </w:rPr>
            </w:pPr>
            <w:r w:rsidRPr="00A662DD">
              <w:rPr>
                <w:rFonts w:asciiTheme="minorHAnsi" w:hAnsiTheme="minorHAnsi" w:cstheme="minorHAnsi"/>
                <w:spacing w:val="-3"/>
              </w:rPr>
              <w:t>46 – 54</w:t>
            </w:r>
          </w:p>
        </w:tc>
      </w:tr>
      <w:tr w:rsidR="008831F9" w:rsidRPr="00A662DD" w14:paraId="644FDD2C" w14:textId="77777777" w:rsidTr="00EA573C">
        <w:tc>
          <w:tcPr>
            <w:tcW w:w="531" w:type="dxa"/>
            <w:tcBorders>
              <w:top w:val="single" w:sz="4" w:space="0" w:color="auto"/>
              <w:left w:val="single" w:sz="4" w:space="0" w:color="auto"/>
              <w:bottom w:val="single" w:sz="4" w:space="0" w:color="auto"/>
              <w:right w:val="single" w:sz="4" w:space="0" w:color="auto"/>
            </w:tcBorders>
          </w:tcPr>
          <w:p w14:paraId="336C6C2B" w14:textId="77777777" w:rsidR="008831F9" w:rsidRPr="00A662DD" w:rsidRDefault="008831F9" w:rsidP="00EA573C">
            <w:pPr>
              <w:suppressAutoHyphens/>
              <w:jc w:val="center"/>
              <w:rPr>
                <w:rFonts w:asciiTheme="minorHAnsi" w:hAnsiTheme="minorHAnsi" w:cstheme="minorHAnsi"/>
                <w:spacing w:val="-3"/>
              </w:rPr>
            </w:pPr>
            <w:r w:rsidRPr="00A662DD">
              <w:rPr>
                <w:rFonts w:asciiTheme="minorHAnsi" w:hAnsiTheme="minorHAnsi" w:cstheme="minorHAnsi"/>
                <w:spacing w:val="-3"/>
              </w:rPr>
              <w:t>3</w:t>
            </w:r>
          </w:p>
        </w:tc>
        <w:tc>
          <w:tcPr>
            <w:tcW w:w="3394" w:type="dxa"/>
            <w:tcBorders>
              <w:top w:val="single" w:sz="4" w:space="0" w:color="auto"/>
              <w:left w:val="single" w:sz="4" w:space="0" w:color="auto"/>
              <w:bottom w:val="single" w:sz="4" w:space="0" w:color="auto"/>
              <w:right w:val="single" w:sz="4" w:space="0" w:color="auto"/>
            </w:tcBorders>
          </w:tcPr>
          <w:p w14:paraId="617E77A6" w14:textId="77777777" w:rsidR="008831F9" w:rsidRPr="004E54A4" w:rsidRDefault="008831F9" w:rsidP="00EA573C">
            <w:pPr>
              <w:suppressAutoHyphens/>
              <w:rPr>
                <w:rFonts w:asciiTheme="minorHAnsi" w:hAnsiTheme="minorHAnsi" w:cstheme="minorHAnsi"/>
                <w:spacing w:val="-3"/>
              </w:rPr>
            </w:pPr>
            <w:r w:rsidRPr="004E54A4">
              <w:rPr>
                <w:rFonts w:asciiTheme="minorHAnsi" w:hAnsiTheme="minorHAnsi" w:cstheme="minorHAnsi"/>
                <w:spacing w:val="-3"/>
              </w:rPr>
              <w:t xml:space="preserve">Temperatura zapłonu wg Clevelenda, min </w:t>
            </w:r>
            <w:r w:rsidRPr="004E54A4">
              <w:rPr>
                <w:rFonts w:asciiTheme="minorHAnsi" w:hAnsiTheme="minorHAnsi" w:cstheme="minorHAnsi"/>
                <w:spacing w:val="-3"/>
                <w:vertAlign w:val="superscript"/>
              </w:rPr>
              <w:t>0</w:t>
            </w:r>
            <w:r w:rsidRPr="004E54A4">
              <w:rPr>
                <w:rFonts w:asciiTheme="minorHAnsi" w:hAnsiTheme="minorHAnsi" w:cstheme="minorHAnsi"/>
                <w:spacing w:val="-3"/>
              </w:rPr>
              <w:t>C</w:t>
            </w:r>
          </w:p>
        </w:tc>
        <w:tc>
          <w:tcPr>
            <w:tcW w:w="1910" w:type="dxa"/>
            <w:tcBorders>
              <w:top w:val="single" w:sz="4" w:space="0" w:color="auto"/>
              <w:left w:val="single" w:sz="4" w:space="0" w:color="auto"/>
              <w:bottom w:val="single" w:sz="4" w:space="0" w:color="auto"/>
              <w:right w:val="single" w:sz="4" w:space="0" w:color="auto"/>
            </w:tcBorders>
          </w:tcPr>
          <w:p w14:paraId="4BC106D4" w14:textId="77777777" w:rsidR="008831F9" w:rsidRPr="00A662DD" w:rsidRDefault="008831F9" w:rsidP="00EA573C">
            <w:pPr>
              <w:suppressAutoHyphens/>
              <w:jc w:val="center"/>
              <w:rPr>
                <w:rFonts w:asciiTheme="minorHAnsi" w:hAnsiTheme="minorHAnsi" w:cstheme="minorHAnsi"/>
                <w:spacing w:val="-3"/>
              </w:rPr>
            </w:pPr>
            <w:r w:rsidRPr="00A662DD">
              <w:rPr>
                <w:rFonts w:asciiTheme="minorHAnsi" w:hAnsiTheme="minorHAnsi" w:cstheme="minorHAnsi"/>
                <w:spacing w:val="-3"/>
              </w:rPr>
              <w:t>PN-EN 22592</w:t>
            </w:r>
          </w:p>
        </w:tc>
        <w:tc>
          <w:tcPr>
            <w:tcW w:w="1742" w:type="dxa"/>
            <w:tcBorders>
              <w:top w:val="single" w:sz="4" w:space="0" w:color="auto"/>
              <w:left w:val="single" w:sz="4" w:space="0" w:color="auto"/>
              <w:bottom w:val="single" w:sz="4" w:space="0" w:color="auto"/>
              <w:right w:val="single" w:sz="4" w:space="0" w:color="auto"/>
            </w:tcBorders>
          </w:tcPr>
          <w:p w14:paraId="472FBF98" w14:textId="77777777" w:rsidR="008831F9" w:rsidRPr="00A662DD" w:rsidRDefault="008831F9" w:rsidP="00EA573C">
            <w:pPr>
              <w:suppressAutoHyphens/>
              <w:jc w:val="center"/>
              <w:rPr>
                <w:rFonts w:asciiTheme="minorHAnsi" w:hAnsiTheme="minorHAnsi" w:cstheme="minorHAnsi"/>
                <w:spacing w:val="-3"/>
              </w:rPr>
            </w:pPr>
            <w:r w:rsidRPr="00A662DD">
              <w:rPr>
                <w:rFonts w:asciiTheme="minorHAnsi" w:hAnsiTheme="minorHAnsi" w:cstheme="minorHAnsi"/>
                <w:spacing w:val="-3"/>
              </w:rPr>
              <w:t>240</w:t>
            </w:r>
          </w:p>
        </w:tc>
        <w:tc>
          <w:tcPr>
            <w:tcW w:w="1993" w:type="dxa"/>
            <w:tcBorders>
              <w:top w:val="single" w:sz="4" w:space="0" w:color="auto"/>
              <w:left w:val="single" w:sz="4" w:space="0" w:color="auto"/>
              <w:bottom w:val="single" w:sz="4" w:space="0" w:color="auto"/>
              <w:right w:val="single" w:sz="4" w:space="0" w:color="auto"/>
            </w:tcBorders>
          </w:tcPr>
          <w:p w14:paraId="0DD5F620" w14:textId="77777777" w:rsidR="008831F9" w:rsidRPr="00A662DD" w:rsidRDefault="008831F9" w:rsidP="00EA573C">
            <w:pPr>
              <w:suppressAutoHyphens/>
              <w:jc w:val="center"/>
              <w:rPr>
                <w:rFonts w:asciiTheme="minorHAnsi" w:hAnsiTheme="minorHAnsi" w:cstheme="minorHAnsi"/>
                <w:spacing w:val="-3"/>
              </w:rPr>
            </w:pPr>
            <w:r w:rsidRPr="00A662DD">
              <w:rPr>
                <w:rFonts w:asciiTheme="minorHAnsi" w:hAnsiTheme="minorHAnsi" w:cstheme="minorHAnsi"/>
                <w:spacing w:val="-3"/>
              </w:rPr>
              <w:t>230</w:t>
            </w:r>
          </w:p>
        </w:tc>
      </w:tr>
      <w:tr w:rsidR="008831F9" w:rsidRPr="00A662DD" w14:paraId="5B21E9D4" w14:textId="77777777" w:rsidTr="00EA573C">
        <w:tc>
          <w:tcPr>
            <w:tcW w:w="531" w:type="dxa"/>
            <w:tcBorders>
              <w:top w:val="single" w:sz="4" w:space="0" w:color="auto"/>
              <w:left w:val="single" w:sz="4" w:space="0" w:color="auto"/>
              <w:bottom w:val="single" w:sz="4" w:space="0" w:color="auto"/>
              <w:right w:val="single" w:sz="4" w:space="0" w:color="auto"/>
            </w:tcBorders>
          </w:tcPr>
          <w:p w14:paraId="66E4DFFC" w14:textId="77777777" w:rsidR="008831F9" w:rsidRPr="00A662DD" w:rsidRDefault="008831F9" w:rsidP="00EA573C">
            <w:pPr>
              <w:suppressAutoHyphens/>
              <w:jc w:val="center"/>
              <w:rPr>
                <w:rFonts w:asciiTheme="minorHAnsi" w:hAnsiTheme="minorHAnsi" w:cstheme="minorHAnsi"/>
                <w:spacing w:val="-3"/>
              </w:rPr>
            </w:pPr>
            <w:r w:rsidRPr="00A662DD">
              <w:rPr>
                <w:rFonts w:asciiTheme="minorHAnsi" w:hAnsiTheme="minorHAnsi" w:cstheme="minorHAnsi"/>
                <w:spacing w:val="-3"/>
              </w:rPr>
              <w:t>4</w:t>
            </w:r>
          </w:p>
        </w:tc>
        <w:tc>
          <w:tcPr>
            <w:tcW w:w="3394" w:type="dxa"/>
            <w:tcBorders>
              <w:top w:val="single" w:sz="4" w:space="0" w:color="auto"/>
              <w:left w:val="single" w:sz="4" w:space="0" w:color="auto"/>
              <w:bottom w:val="single" w:sz="4" w:space="0" w:color="auto"/>
              <w:right w:val="single" w:sz="4" w:space="0" w:color="auto"/>
            </w:tcBorders>
          </w:tcPr>
          <w:p w14:paraId="7571C22D" w14:textId="77777777" w:rsidR="008831F9" w:rsidRPr="00A662DD" w:rsidRDefault="008831F9" w:rsidP="00EA573C">
            <w:pPr>
              <w:suppressAutoHyphens/>
              <w:rPr>
                <w:rFonts w:asciiTheme="minorHAnsi" w:hAnsiTheme="minorHAnsi" w:cstheme="minorHAnsi"/>
                <w:spacing w:val="-3"/>
              </w:rPr>
            </w:pPr>
            <w:r w:rsidRPr="00A662DD">
              <w:rPr>
                <w:rFonts w:asciiTheme="minorHAnsi" w:hAnsiTheme="minorHAnsi" w:cstheme="minorHAnsi"/>
                <w:spacing w:val="-3"/>
              </w:rPr>
              <w:t>Rozpuszczalność, min % (mm)</w:t>
            </w:r>
          </w:p>
        </w:tc>
        <w:tc>
          <w:tcPr>
            <w:tcW w:w="1910" w:type="dxa"/>
            <w:tcBorders>
              <w:top w:val="single" w:sz="4" w:space="0" w:color="auto"/>
              <w:left w:val="single" w:sz="4" w:space="0" w:color="auto"/>
              <w:bottom w:val="single" w:sz="4" w:space="0" w:color="auto"/>
              <w:right w:val="single" w:sz="4" w:space="0" w:color="auto"/>
            </w:tcBorders>
          </w:tcPr>
          <w:p w14:paraId="28332D50" w14:textId="77777777" w:rsidR="008831F9" w:rsidRPr="00A662DD" w:rsidRDefault="008831F9" w:rsidP="00EA573C">
            <w:pPr>
              <w:suppressAutoHyphens/>
              <w:jc w:val="center"/>
              <w:rPr>
                <w:rFonts w:asciiTheme="minorHAnsi" w:hAnsiTheme="minorHAnsi" w:cstheme="minorHAnsi"/>
                <w:spacing w:val="-3"/>
              </w:rPr>
            </w:pPr>
            <w:r w:rsidRPr="00A662DD">
              <w:rPr>
                <w:rFonts w:asciiTheme="minorHAnsi" w:hAnsiTheme="minorHAnsi" w:cstheme="minorHAnsi"/>
                <w:spacing w:val="-3"/>
              </w:rPr>
              <w:t>PN-EN 12592</w:t>
            </w:r>
          </w:p>
        </w:tc>
        <w:tc>
          <w:tcPr>
            <w:tcW w:w="1742" w:type="dxa"/>
            <w:tcBorders>
              <w:top w:val="single" w:sz="4" w:space="0" w:color="auto"/>
              <w:left w:val="single" w:sz="4" w:space="0" w:color="auto"/>
              <w:bottom w:val="single" w:sz="4" w:space="0" w:color="auto"/>
              <w:right w:val="single" w:sz="4" w:space="0" w:color="auto"/>
            </w:tcBorders>
          </w:tcPr>
          <w:p w14:paraId="4E5E1E5E" w14:textId="77777777" w:rsidR="008831F9" w:rsidRPr="00A662DD" w:rsidRDefault="008831F9" w:rsidP="00EA573C">
            <w:pPr>
              <w:suppressAutoHyphens/>
              <w:jc w:val="center"/>
              <w:rPr>
                <w:rFonts w:asciiTheme="minorHAnsi" w:hAnsiTheme="minorHAnsi" w:cstheme="minorHAnsi"/>
                <w:spacing w:val="-3"/>
              </w:rPr>
            </w:pPr>
            <w:r w:rsidRPr="00A662DD">
              <w:rPr>
                <w:rFonts w:asciiTheme="minorHAnsi" w:hAnsiTheme="minorHAnsi" w:cstheme="minorHAnsi"/>
                <w:spacing w:val="-3"/>
              </w:rPr>
              <w:t>99</w:t>
            </w:r>
          </w:p>
        </w:tc>
        <w:tc>
          <w:tcPr>
            <w:tcW w:w="1993" w:type="dxa"/>
            <w:tcBorders>
              <w:top w:val="single" w:sz="4" w:space="0" w:color="auto"/>
              <w:left w:val="single" w:sz="4" w:space="0" w:color="auto"/>
              <w:bottom w:val="single" w:sz="4" w:space="0" w:color="auto"/>
              <w:right w:val="single" w:sz="4" w:space="0" w:color="auto"/>
            </w:tcBorders>
          </w:tcPr>
          <w:p w14:paraId="0BBFE0DB" w14:textId="77777777" w:rsidR="008831F9" w:rsidRPr="00A662DD" w:rsidRDefault="008831F9" w:rsidP="00EA573C">
            <w:pPr>
              <w:suppressAutoHyphens/>
              <w:jc w:val="center"/>
              <w:rPr>
                <w:rFonts w:asciiTheme="minorHAnsi" w:hAnsiTheme="minorHAnsi" w:cstheme="minorHAnsi"/>
                <w:spacing w:val="-3"/>
              </w:rPr>
            </w:pPr>
            <w:r w:rsidRPr="00A662DD">
              <w:rPr>
                <w:rFonts w:asciiTheme="minorHAnsi" w:hAnsiTheme="minorHAnsi" w:cstheme="minorHAnsi"/>
                <w:spacing w:val="-3"/>
              </w:rPr>
              <w:t>99</w:t>
            </w:r>
          </w:p>
        </w:tc>
      </w:tr>
      <w:tr w:rsidR="008831F9" w:rsidRPr="00A662DD" w14:paraId="0B16C003" w14:textId="77777777" w:rsidTr="00EA573C">
        <w:tc>
          <w:tcPr>
            <w:tcW w:w="531" w:type="dxa"/>
            <w:tcBorders>
              <w:top w:val="single" w:sz="4" w:space="0" w:color="auto"/>
              <w:left w:val="single" w:sz="4" w:space="0" w:color="auto"/>
              <w:bottom w:val="single" w:sz="4" w:space="0" w:color="auto"/>
              <w:right w:val="single" w:sz="4" w:space="0" w:color="auto"/>
            </w:tcBorders>
          </w:tcPr>
          <w:p w14:paraId="3F1453AA" w14:textId="77777777" w:rsidR="008831F9" w:rsidRPr="00A662DD" w:rsidRDefault="008831F9" w:rsidP="00EA573C">
            <w:pPr>
              <w:suppressAutoHyphens/>
              <w:jc w:val="center"/>
              <w:rPr>
                <w:rFonts w:asciiTheme="minorHAnsi" w:hAnsiTheme="minorHAnsi" w:cstheme="minorHAnsi"/>
                <w:spacing w:val="-3"/>
              </w:rPr>
            </w:pPr>
            <w:r w:rsidRPr="00A662DD">
              <w:rPr>
                <w:rFonts w:asciiTheme="minorHAnsi" w:hAnsiTheme="minorHAnsi" w:cstheme="minorHAnsi"/>
                <w:spacing w:val="-3"/>
              </w:rPr>
              <w:t>5</w:t>
            </w:r>
          </w:p>
        </w:tc>
        <w:tc>
          <w:tcPr>
            <w:tcW w:w="3394" w:type="dxa"/>
            <w:tcBorders>
              <w:top w:val="single" w:sz="4" w:space="0" w:color="auto"/>
              <w:left w:val="single" w:sz="4" w:space="0" w:color="auto"/>
              <w:bottom w:val="single" w:sz="4" w:space="0" w:color="auto"/>
              <w:right w:val="single" w:sz="4" w:space="0" w:color="auto"/>
            </w:tcBorders>
          </w:tcPr>
          <w:p w14:paraId="09DA7EF2" w14:textId="77777777" w:rsidR="008831F9" w:rsidRPr="00A662DD" w:rsidRDefault="008831F9" w:rsidP="00EA573C">
            <w:pPr>
              <w:suppressAutoHyphens/>
              <w:rPr>
                <w:rFonts w:asciiTheme="minorHAnsi" w:hAnsiTheme="minorHAnsi" w:cstheme="minorHAnsi"/>
                <w:spacing w:val="-3"/>
              </w:rPr>
            </w:pPr>
            <w:r w:rsidRPr="00A662DD">
              <w:rPr>
                <w:rFonts w:asciiTheme="minorHAnsi" w:hAnsiTheme="minorHAnsi" w:cstheme="minorHAnsi"/>
                <w:spacing w:val="-3"/>
              </w:rPr>
              <w:t>Zawartość parafiny, max % (mm)</w:t>
            </w:r>
          </w:p>
        </w:tc>
        <w:tc>
          <w:tcPr>
            <w:tcW w:w="1910" w:type="dxa"/>
            <w:tcBorders>
              <w:top w:val="single" w:sz="4" w:space="0" w:color="auto"/>
              <w:left w:val="single" w:sz="4" w:space="0" w:color="auto"/>
              <w:bottom w:val="single" w:sz="4" w:space="0" w:color="auto"/>
              <w:right w:val="single" w:sz="4" w:space="0" w:color="auto"/>
            </w:tcBorders>
          </w:tcPr>
          <w:p w14:paraId="1E44C9C1" w14:textId="77777777" w:rsidR="008831F9" w:rsidRPr="00A662DD" w:rsidRDefault="008831F9" w:rsidP="00EA573C">
            <w:pPr>
              <w:suppressAutoHyphens/>
              <w:jc w:val="center"/>
              <w:rPr>
                <w:rFonts w:asciiTheme="minorHAnsi" w:hAnsiTheme="minorHAnsi" w:cstheme="minorHAnsi"/>
                <w:spacing w:val="-3"/>
              </w:rPr>
            </w:pPr>
            <w:r w:rsidRPr="00A662DD">
              <w:rPr>
                <w:rFonts w:asciiTheme="minorHAnsi" w:hAnsiTheme="minorHAnsi" w:cstheme="minorHAnsi"/>
                <w:spacing w:val="-3"/>
              </w:rPr>
              <w:t>PN-EN 12606-1</w:t>
            </w:r>
          </w:p>
        </w:tc>
        <w:tc>
          <w:tcPr>
            <w:tcW w:w="1742" w:type="dxa"/>
            <w:tcBorders>
              <w:top w:val="single" w:sz="4" w:space="0" w:color="auto"/>
              <w:left w:val="single" w:sz="4" w:space="0" w:color="auto"/>
              <w:bottom w:val="single" w:sz="4" w:space="0" w:color="auto"/>
              <w:right w:val="single" w:sz="4" w:space="0" w:color="auto"/>
            </w:tcBorders>
          </w:tcPr>
          <w:p w14:paraId="4FFCC1A9" w14:textId="77777777" w:rsidR="008831F9" w:rsidRPr="00A662DD" w:rsidRDefault="008831F9" w:rsidP="00EA573C">
            <w:pPr>
              <w:suppressAutoHyphens/>
              <w:jc w:val="center"/>
              <w:rPr>
                <w:rFonts w:asciiTheme="minorHAnsi" w:hAnsiTheme="minorHAnsi" w:cstheme="minorHAnsi"/>
                <w:spacing w:val="-3"/>
              </w:rPr>
            </w:pPr>
            <w:r w:rsidRPr="00A662DD">
              <w:rPr>
                <w:rFonts w:asciiTheme="minorHAnsi" w:hAnsiTheme="minorHAnsi" w:cstheme="minorHAnsi"/>
                <w:spacing w:val="-3"/>
              </w:rPr>
              <w:t>2,2</w:t>
            </w:r>
          </w:p>
        </w:tc>
        <w:tc>
          <w:tcPr>
            <w:tcW w:w="1993" w:type="dxa"/>
            <w:tcBorders>
              <w:top w:val="single" w:sz="4" w:space="0" w:color="auto"/>
              <w:left w:val="single" w:sz="4" w:space="0" w:color="auto"/>
              <w:bottom w:val="single" w:sz="4" w:space="0" w:color="auto"/>
              <w:right w:val="single" w:sz="4" w:space="0" w:color="auto"/>
            </w:tcBorders>
          </w:tcPr>
          <w:p w14:paraId="2E9E545A" w14:textId="77777777" w:rsidR="008831F9" w:rsidRPr="00A662DD" w:rsidRDefault="008831F9" w:rsidP="00EA573C">
            <w:pPr>
              <w:suppressAutoHyphens/>
              <w:jc w:val="center"/>
              <w:rPr>
                <w:rFonts w:asciiTheme="minorHAnsi" w:hAnsiTheme="minorHAnsi" w:cstheme="minorHAnsi"/>
                <w:spacing w:val="-3"/>
              </w:rPr>
            </w:pPr>
            <w:r w:rsidRPr="00A662DD">
              <w:rPr>
                <w:rFonts w:asciiTheme="minorHAnsi" w:hAnsiTheme="minorHAnsi" w:cstheme="minorHAnsi"/>
                <w:spacing w:val="-3"/>
              </w:rPr>
              <w:t>2,2</w:t>
            </w:r>
          </w:p>
        </w:tc>
      </w:tr>
      <w:tr w:rsidR="008831F9" w:rsidRPr="00A662DD" w14:paraId="1389F562" w14:textId="77777777" w:rsidTr="00EA573C">
        <w:tc>
          <w:tcPr>
            <w:tcW w:w="531" w:type="dxa"/>
            <w:tcBorders>
              <w:top w:val="single" w:sz="4" w:space="0" w:color="auto"/>
              <w:left w:val="single" w:sz="4" w:space="0" w:color="auto"/>
              <w:bottom w:val="single" w:sz="4" w:space="0" w:color="auto"/>
              <w:right w:val="single" w:sz="4" w:space="0" w:color="auto"/>
            </w:tcBorders>
          </w:tcPr>
          <w:p w14:paraId="02D0F93A" w14:textId="77777777" w:rsidR="008831F9" w:rsidRPr="00A662DD" w:rsidRDefault="008831F9" w:rsidP="00EA573C">
            <w:pPr>
              <w:suppressAutoHyphens/>
              <w:jc w:val="center"/>
              <w:rPr>
                <w:rFonts w:asciiTheme="minorHAnsi" w:hAnsiTheme="minorHAnsi" w:cstheme="minorHAnsi"/>
                <w:spacing w:val="-3"/>
              </w:rPr>
            </w:pPr>
            <w:r w:rsidRPr="00A662DD">
              <w:rPr>
                <w:rFonts w:asciiTheme="minorHAnsi" w:hAnsiTheme="minorHAnsi" w:cstheme="minorHAnsi"/>
                <w:spacing w:val="-3"/>
              </w:rPr>
              <w:t>6</w:t>
            </w:r>
          </w:p>
        </w:tc>
        <w:tc>
          <w:tcPr>
            <w:tcW w:w="3394" w:type="dxa"/>
            <w:tcBorders>
              <w:top w:val="single" w:sz="4" w:space="0" w:color="auto"/>
              <w:left w:val="single" w:sz="4" w:space="0" w:color="auto"/>
              <w:bottom w:val="single" w:sz="4" w:space="0" w:color="auto"/>
              <w:right w:val="single" w:sz="4" w:space="0" w:color="auto"/>
            </w:tcBorders>
          </w:tcPr>
          <w:p w14:paraId="25F5DA26" w14:textId="77777777" w:rsidR="008831F9" w:rsidRPr="004E54A4" w:rsidRDefault="008831F9" w:rsidP="00EA573C">
            <w:pPr>
              <w:suppressAutoHyphens/>
              <w:rPr>
                <w:rFonts w:asciiTheme="minorHAnsi" w:hAnsiTheme="minorHAnsi" w:cstheme="minorHAnsi"/>
                <w:spacing w:val="-3"/>
              </w:rPr>
            </w:pPr>
            <w:r w:rsidRPr="004E54A4">
              <w:rPr>
                <w:rFonts w:asciiTheme="minorHAnsi" w:hAnsiTheme="minorHAnsi" w:cstheme="minorHAnsi"/>
                <w:spacing w:val="-3"/>
              </w:rPr>
              <w:t xml:space="preserve">Temperatura łamliwości Fraassa, max </w:t>
            </w:r>
            <w:r w:rsidRPr="004E54A4">
              <w:rPr>
                <w:rFonts w:asciiTheme="minorHAnsi" w:hAnsiTheme="minorHAnsi" w:cstheme="minorHAnsi"/>
                <w:spacing w:val="-3"/>
                <w:vertAlign w:val="superscript"/>
              </w:rPr>
              <w:t>0</w:t>
            </w:r>
            <w:r w:rsidRPr="004E54A4">
              <w:rPr>
                <w:rFonts w:asciiTheme="minorHAnsi" w:hAnsiTheme="minorHAnsi" w:cstheme="minorHAnsi"/>
                <w:spacing w:val="-3"/>
              </w:rPr>
              <w:t>C</w:t>
            </w:r>
          </w:p>
        </w:tc>
        <w:tc>
          <w:tcPr>
            <w:tcW w:w="1910" w:type="dxa"/>
            <w:tcBorders>
              <w:top w:val="single" w:sz="4" w:space="0" w:color="auto"/>
              <w:left w:val="single" w:sz="4" w:space="0" w:color="auto"/>
              <w:bottom w:val="single" w:sz="4" w:space="0" w:color="auto"/>
              <w:right w:val="single" w:sz="4" w:space="0" w:color="auto"/>
            </w:tcBorders>
          </w:tcPr>
          <w:p w14:paraId="63BEA07F" w14:textId="77777777" w:rsidR="008831F9" w:rsidRPr="00A662DD" w:rsidRDefault="008831F9" w:rsidP="00EA573C">
            <w:pPr>
              <w:suppressAutoHyphens/>
              <w:jc w:val="center"/>
              <w:rPr>
                <w:rFonts w:asciiTheme="minorHAnsi" w:hAnsiTheme="minorHAnsi" w:cstheme="minorHAnsi"/>
                <w:spacing w:val="-3"/>
              </w:rPr>
            </w:pPr>
            <w:r w:rsidRPr="00A662DD">
              <w:rPr>
                <w:rFonts w:asciiTheme="minorHAnsi" w:hAnsiTheme="minorHAnsi" w:cstheme="minorHAnsi"/>
                <w:spacing w:val="-3"/>
              </w:rPr>
              <w:t>PN-EN 12593</w:t>
            </w:r>
          </w:p>
        </w:tc>
        <w:tc>
          <w:tcPr>
            <w:tcW w:w="1742" w:type="dxa"/>
            <w:tcBorders>
              <w:top w:val="single" w:sz="4" w:space="0" w:color="auto"/>
              <w:left w:val="single" w:sz="4" w:space="0" w:color="auto"/>
              <w:bottom w:val="single" w:sz="4" w:space="0" w:color="auto"/>
              <w:right w:val="single" w:sz="4" w:space="0" w:color="auto"/>
            </w:tcBorders>
          </w:tcPr>
          <w:p w14:paraId="23201DED" w14:textId="77777777" w:rsidR="008831F9" w:rsidRPr="00A662DD" w:rsidRDefault="008831F9" w:rsidP="00EA573C">
            <w:pPr>
              <w:suppressAutoHyphens/>
              <w:jc w:val="center"/>
              <w:rPr>
                <w:rFonts w:asciiTheme="minorHAnsi" w:hAnsiTheme="minorHAnsi" w:cstheme="minorHAnsi"/>
                <w:spacing w:val="-3"/>
              </w:rPr>
            </w:pPr>
            <w:r w:rsidRPr="00A662DD">
              <w:rPr>
                <w:rFonts w:asciiTheme="minorHAnsi" w:hAnsiTheme="minorHAnsi" w:cstheme="minorHAnsi"/>
                <w:spacing w:val="-3"/>
              </w:rPr>
              <w:t>-5</w:t>
            </w:r>
          </w:p>
        </w:tc>
        <w:tc>
          <w:tcPr>
            <w:tcW w:w="1993" w:type="dxa"/>
            <w:tcBorders>
              <w:top w:val="single" w:sz="4" w:space="0" w:color="auto"/>
              <w:left w:val="single" w:sz="4" w:space="0" w:color="auto"/>
              <w:bottom w:val="single" w:sz="4" w:space="0" w:color="auto"/>
              <w:right w:val="single" w:sz="4" w:space="0" w:color="auto"/>
            </w:tcBorders>
          </w:tcPr>
          <w:p w14:paraId="2228D541" w14:textId="77777777" w:rsidR="008831F9" w:rsidRPr="00A662DD" w:rsidRDefault="008831F9" w:rsidP="00EA573C">
            <w:pPr>
              <w:suppressAutoHyphens/>
              <w:jc w:val="center"/>
              <w:rPr>
                <w:rFonts w:asciiTheme="minorHAnsi" w:hAnsiTheme="minorHAnsi" w:cstheme="minorHAnsi"/>
                <w:spacing w:val="-3"/>
              </w:rPr>
            </w:pPr>
            <w:r w:rsidRPr="00A662DD">
              <w:rPr>
                <w:rFonts w:asciiTheme="minorHAnsi" w:hAnsiTheme="minorHAnsi" w:cstheme="minorHAnsi"/>
                <w:spacing w:val="-3"/>
              </w:rPr>
              <w:t>-8</w:t>
            </w:r>
          </w:p>
        </w:tc>
      </w:tr>
      <w:tr w:rsidR="008831F9" w:rsidRPr="00E96860" w14:paraId="02DB4E70" w14:textId="77777777" w:rsidTr="00EA573C">
        <w:tc>
          <w:tcPr>
            <w:tcW w:w="9570" w:type="dxa"/>
            <w:gridSpan w:val="5"/>
            <w:tcBorders>
              <w:top w:val="single" w:sz="4" w:space="0" w:color="auto"/>
              <w:left w:val="single" w:sz="4" w:space="0" w:color="auto"/>
              <w:bottom w:val="single" w:sz="4" w:space="0" w:color="auto"/>
              <w:right w:val="single" w:sz="4" w:space="0" w:color="auto"/>
            </w:tcBorders>
          </w:tcPr>
          <w:p w14:paraId="2E97711E" w14:textId="77777777" w:rsidR="008831F9" w:rsidRPr="004E54A4" w:rsidRDefault="008831F9" w:rsidP="00EA573C">
            <w:pPr>
              <w:suppressAutoHyphens/>
              <w:rPr>
                <w:rFonts w:asciiTheme="minorHAnsi" w:hAnsiTheme="minorHAnsi" w:cstheme="minorHAnsi"/>
                <w:spacing w:val="-3"/>
              </w:rPr>
            </w:pPr>
            <w:r w:rsidRPr="004E54A4">
              <w:rPr>
                <w:rFonts w:asciiTheme="minorHAnsi" w:hAnsiTheme="minorHAnsi" w:cstheme="minorHAnsi"/>
                <w:spacing w:val="-3"/>
              </w:rPr>
              <w:t>Odporność na starzenie w temperaturze 163</w:t>
            </w:r>
            <w:r w:rsidRPr="004E54A4">
              <w:rPr>
                <w:rFonts w:asciiTheme="minorHAnsi" w:hAnsiTheme="minorHAnsi" w:cstheme="minorHAnsi"/>
                <w:spacing w:val="-3"/>
                <w:vertAlign w:val="superscript"/>
              </w:rPr>
              <w:t>0</w:t>
            </w:r>
            <w:r w:rsidRPr="004E54A4">
              <w:rPr>
                <w:rFonts w:asciiTheme="minorHAnsi" w:hAnsiTheme="minorHAnsi" w:cstheme="minorHAnsi"/>
                <w:spacing w:val="-3"/>
              </w:rPr>
              <w:t>C wg PN-EN 12607-1</w:t>
            </w:r>
          </w:p>
        </w:tc>
      </w:tr>
      <w:tr w:rsidR="008831F9" w:rsidRPr="00A662DD" w14:paraId="1B695175" w14:textId="77777777" w:rsidTr="00EA573C">
        <w:tc>
          <w:tcPr>
            <w:tcW w:w="531" w:type="dxa"/>
            <w:tcBorders>
              <w:top w:val="single" w:sz="4" w:space="0" w:color="auto"/>
              <w:left w:val="single" w:sz="4" w:space="0" w:color="auto"/>
              <w:bottom w:val="single" w:sz="4" w:space="0" w:color="auto"/>
              <w:right w:val="single" w:sz="4" w:space="0" w:color="auto"/>
            </w:tcBorders>
          </w:tcPr>
          <w:p w14:paraId="325CDD8E" w14:textId="77777777" w:rsidR="008831F9" w:rsidRPr="00A662DD" w:rsidRDefault="008831F9" w:rsidP="00EA573C">
            <w:pPr>
              <w:suppressAutoHyphens/>
              <w:jc w:val="center"/>
              <w:rPr>
                <w:rFonts w:asciiTheme="minorHAnsi" w:hAnsiTheme="minorHAnsi" w:cstheme="minorHAnsi"/>
                <w:spacing w:val="-3"/>
              </w:rPr>
            </w:pPr>
            <w:r w:rsidRPr="00A662DD">
              <w:rPr>
                <w:rFonts w:asciiTheme="minorHAnsi" w:hAnsiTheme="minorHAnsi" w:cstheme="minorHAnsi"/>
                <w:spacing w:val="-3"/>
              </w:rPr>
              <w:t>7</w:t>
            </w:r>
          </w:p>
        </w:tc>
        <w:tc>
          <w:tcPr>
            <w:tcW w:w="3394" w:type="dxa"/>
            <w:tcBorders>
              <w:top w:val="single" w:sz="4" w:space="0" w:color="auto"/>
              <w:left w:val="single" w:sz="4" w:space="0" w:color="auto"/>
              <w:bottom w:val="single" w:sz="4" w:space="0" w:color="auto"/>
              <w:right w:val="single" w:sz="4" w:space="0" w:color="auto"/>
            </w:tcBorders>
          </w:tcPr>
          <w:p w14:paraId="2FAC5347" w14:textId="77777777" w:rsidR="008831F9" w:rsidRPr="00A662DD" w:rsidRDefault="008831F9" w:rsidP="00EA573C">
            <w:pPr>
              <w:suppressAutoHyphens/>
              <w:rPr>
                <w:rFonts w:asciiTheme="minorHAnsi" w:hAnsiTheme="minorHAnsi" w:cstheme="minorHAnsi"/>
                <w:spacing w:val="-3"/>
              </w:rPr>
            </w:pPr>
            <w:r w:rsidRPr="00A662DD">
              <w:rPr>
                <w:rFonts w:asciiTheme="minorHAnsi" w:hAnsiTheme="minorHAnsi" w:cstheme="minorHAnsi"/>
                <w:spacing w:val="-3"/>
              </w:rPr>
              <w:t xml:space="preserve">- zmiana masy, max </w:t>
            </w:r>
            <w:r w:rsidRPr="00A662DD">
              <w:rPr>
                <w:rFonts w:asciiTheme="minorHAnsi" w:hAnsiTheme="minorHAnsi" w:cstheme="minorHAnsi"/>
                <w:spacing w:val="-3"/>
                <w:u w:val="single"/>
              </w:rPr>
              <w:t>± %</w:t>
            </w:r>
          </w:p>
        </w:tc>
        <w:tc>
          <w:tcPr>
            <w:tcW w:w="1910" w:type="dxa"/>
            <w:tcBorders>
              <w:top w:val="single" w:sz="4" w:space="0" w:color="auto"/>
              <w:left w:val="single" w:sz="4" w:space="0" w:color="auto"/>
              <w:bottom w:val="single" w:sz="4" w:space="0" w:color="auto"/>
              <w:right w:val="single" w:sz="4" w:space="0" w:color="auto"/>
            </w:tcBorders>
          </w:tcPr>
          <w:p w14:paraId="0103883D" w14:textId="77777777" w:rsidR="008831F9" w:rsidRPr="00A662DD" w:rsidRDefault="008831F9" w:rsidP="00EA573C">
            <w:pPr>
              <w:suppressAutoHyphens/>
              <w:jc w:val="center"/>
              <w:rPr>
                <w:rFonts w:asciiTheme="minorHAnsi" w:hAnsiTheme="minorHAnsi" w:cstheme="minorHAnsi"/>
                <w:spacing w:val="-3"/>
              </w:rPr>
            </w:pPr>
            <w:r w:rsidRPr="00A662DD">
              <w:rPr>
                <w:rFonts w:asciiTheme="minorHAnsi" w:hAnsiTheme="minorHAnsi" w:cstheme="minorHAnsi"/>
                <w:spacing w:val="-3"/>
              </w:rPr>
              <w:t>PN-EN 12607-1</w:t>
            </w:r>
          </w:p>
        </w:tc>
        <w:tc>
          <w:tcPr>
            <w:tcW w:w="1742" w:type="dxa"/>
            <w:tcBorders>
              <w:top w:val="single" w:sz="4" w:space="0" w:color="auto"/>
              <w:left w:val="single" w:sz="4" w:space="0" w:color="auto"/>
              <w:bottom w:val="single" w:sz="4" w:space="0" w:color="auto"/>
              <w:right w:val="single" w:sz="4" w:space="0" w:color="auto"/>
            </w:tcBorders>
          </w:tcPr>
          <w:p w14:paraId="7F8E3D89" w14:textId="77777777" w:rsidR="008831F9" w:rsidRPr="00A662DD" w:rsidRDefault="008831F9" w:rsidP="00EA573C">
            <w:pPr>
              <w:suppressAutoHyphens/>
              <w:jc w:val="center"/>
              <w:rPr>
                <w:rFonts w:asciiTheme="minorHAnsi" w:hAnsiTheme="minorHAnsi" w:cstheme="minorHAnsi"/>
                <w:spacing w:val="-3"/>
              </w:rPr>
            </w:pPr>
            <w:r w:rsidRPr="00A662DD">
              <w:rPr>
                <w:rFonts w:asciiTheme="minorHAnsi" w:hAnsiTheme="minorHAnsi" w:cstheme="minorHAnsi"/>
                <w:spacing w:val="-3"/>
              </w:rPr>
              <w:t>0,5</w:t>
            </w:r>
          </w:p>
        </w:tc>
        <w:tc>
          <w:tcPr>
            <w:tcW w:w="1993" w:type="dxa"/>
            <w:tcBorders>
              <w:top w:val="single" w:sz="4" w:space="0" w:color="auto"/>
              <w:left w:val="single" w:sz="4" w:space="0" w:color="auto"/>
              <w:bottom w:val="single" w:sz="4" w:space="0" w:color="auto"/>
              <w:right w:val="single" w:sz="4" w:space="0" w:color="auto"/>
            </w:tcBorders>
          </w:tcPr>
          <w:p w14:paraId="0EDBA583" w14:textId="77777777" w:rsidR="008831F9" w:rsidRPr="00A662DD" w:rsidRDefault="008831F9" w:rsidP="00EA573C">
            <w:pPr>
              <w:suppressAutoHyphens/>
              <w:jc w:val="center"/>
              <w:rPr>
                <w:rFonts w:asciiTheme="minorHAnsi" w:hAnsiTheme="minorHAnsi" w:cstheme="minorHAnsi"/>
                <w:spacing w:val="-3"/>
              </w:rPr>
            </w:pPr>
            <w:r w:rsidRPr="00A662DD">
              <w:rPr>
                <w:rFonts w:asciiTheme="minorHAnsi" w:hAnsiTheme="minorHAnsi" w:cstheme="minorHAnsi"/>
                <w:spacing w:val="-3"/>
              </w:rPr>
              <w:t>0,5</w:t>
            </w:r>
          </w:p>
        </w:tc>
      </w:tr>
      <w:tr w:rsidR="008831F9" w:rsidRPr="00A662DD" w14:paraId="692FC762" w14:textId="77777777" w:rsidTr="00EA573C">
        <w:tc>
          <w:tcPr>
            <w:tcW w:w="531" w:type="dxa"/>
            <w:tcBorders>
              <w:top w:val="single" w:sz="4" w:space="0" w:color="auto"/>
              <w:left w:val="single" w:sz="4" w:space="0" w:color="auto"/>
              <w:bottom w:val="single" w:sz="4" w:space="0" w:color="auto"/>
              <w:right w:val="single" w:sz="4" w:space="0" w:color="auto"/>
            </w:tcBorders>
          </w:tcPr>
          <w:p w14:paraId="3266B831" w14:textId="77777777" w:rsidR="008831F9" w:rsidRPr="00A662DD" w:rsidRDefault="008831F9" w:rsidP="00EA573C">
            <w:pPr>
              <w:suppressAutoHyphens/>
              <w:jc w:val="center"/>
              <w:rPr>
                <w:rFonts w:asciiTheme="minorHAnsi" w:hAnsiTheme="minorHAnsi" w:cstheme="minorHAnsi"/>
                <w:spacing w:val="-3"/>
              </w:rPr>
            </w:pPr>
            <w:r w:rsidRPr="00A662DD">
              <w:rPr>
                <w:rFonts w:asciiTheme="minorHAnsi" w:hAnsiTheme="minorHAnsi" w:cstheme="minorHAnsi"/>
                <w:spacing w:val="-3"/>
              </w:rPr>
              <w:t>8</w:t>
            </w:r>
          </w:p>
        </w:tc>
        <w:tc>
          <w:tcPr>
            <w:tcW w:w="3394" w:type="dxa"/>
            <w:tcBorders>
              <w:top w:val="single" w:sz="4" w:space="0" w:color="auto"/>
              <w:left w:val="single" w:sz="4" w:space="0" w:color="auto"/>
              <w:bottom w:val="single" w:sz="4" w:space="0" w:color="auto"/>
              <w:right w:val="single" w:sz="4" w:space="0" w:color="auto"/>
            </w:tcBorders>
          </w:tcPr>
          <w:p w14:paraId="29B4FC9B" w14:textId="77777777" w:rsidR="008831F9" w:rsidRPr="00A662DD" w:rsidRDefault="008831F9" w:rsidP="00EA573C">
            <w:pPr>
              <w:suppressAutoHyphens/>
              <w:rPr>
                <w:rFonts w:asciiTheme="minorHAnsi" w:hAnsiTheme="minorHAnsi" w:cstheme="minorHAnsi"/>
                <w:spacing w:val="-3"/>
              </w:rPr>
            </w:pPr>
            <w:r w:rsidRPr="00A662DD">
              <w:rPr>
                <w:rFonts w:asciiTheme="minorHAnsi" w:hAnsiTheme="minorHAnsi" w:cstheme="minorHAnsi"/>
                <w:spacing w:val="-3"/>
              </w:rPr>
              <w:t>- pozostała penetracja, min %</w:t>
            </w:r>
          </w:p>
        </w:tc>
        <w:tc>
          <w:tcPr>
            <w:tcW w:w="1910" w:type="dxa"/>
            <w:tcBorders>
              <w:top w:val="single" w:sz="4" w:space="0" w:color="auto"/>
              <w:left w:val="single" w:sz="4" w:space="0" w:color="auto"/>
              <w:bottom w:val="single" w:sz="4" w:space="0" w:color="auto"/>
              <w:right w:val="single" w:sz="4" w:space="0" w:color="auto"/>
            </w:tcBorders>
          </w:tcPr>
          <w:p w14:paraId="1F4B80C1" w14:textId="77777777" w:rsidR="008831F9" w:rsidRPr="00A662DD" w:rsidRDefault="008831F9" w:rsidP="00EA573C">
            <w:pPr>
              <w:suppressAutoHyphens/>
              <w:jc w:val="center"/>
              <w:rPr>
                <w:rFonts w:asciiTheme="minorHAnsi" w:hAnsiTheme="minorHAnsi" w:cstheme="minorHAnsi"/>
                <w:spacing w:val="-3"/>
              </w:rPr>
            </w:pPr>
            <w:r w:rsidRPr="00A662DD">
              <w:rPr>
                <w:rFonts w:asciiTheme="minorHAnsi" w:hAnsiTheme="minorHAnsi" w:cstheme="minorHAnsi"/>
                <w:spacing w:val="-3"/>
              </w:rPr>
              <w:t>PN-EN 1426</w:t>
            </w:r>
          </w:p>
        </w:tc>
        <w:tc>
          <w:tcPr>
            <w:tcW w:w="1742" w:type="dxa"/>
            <w:tcBorders>
              <w:top w:val="single" w:sz="4" w:space="0" w:color="auto"/>
              <w:left w:val="single" w:sz="4" w:space="0" w:color="auto"/>
              <w:bottom w:val="single" w:sz="4" w:space="0" w:color="auto"/>
              <w:right w:val="single" w:sz="4" w:space="0" w:color="auto"/>
            </w:tcBorders>
          </w:tcPr>
          <w:p w14:paraId="2E9739AA" w14:textId="77777777" w:rsidR="008831F9" w:rsidRPr="00A662DD" w:rsidRDefault="008831F9" w:rsidP="00EA573C">
            <w:pPr>
              <w:suppressAutoHyphens/>
              <w:jc w:val="center"/>
              <w:rPr>
                <w:rFonts w:asciiTheme="minorHAnsi" w:hAnsiTheme="minorHAnsi" w:cstheme="minorHAnsi"/>
                <w:spacing w:val="-3"/>
              </w:rPr>
            </w:pPr>
            <w:r w:rsidRPr="00A662DD">
              <w:rPr>
                <w:rFonts w:asciiTheme="minorHAnsi" w:hAnsiTheme="minorHAnsi" w:cstheme="minorHAnsi"/>
                <w:spacing w:val="-3"/>
              </w:rPr>
              <w:t>53</w:t>
            </w:r>
          </w:p>
        </w:tc>
        <w:tc>
          <w:tcPr>
            <w:tcW w:w="1993" w:type="dxa"/>
            <w:tcBorders>
              <w:top w:val="single" w:sz="4" w:space="0" w:color="auto"/>
              <w:left w:val="single" w:sz="4" w:space="0" w:color="auto"/>
              <w:bottom w:val="single" w:sz="4" w:space="0" w:color="auto"/>
              <w:right w:val="single" w:sz="4" w:space="0" w:color="auto"/>
            </w:tcBorders>
          </w:tcPr>
          <w:p w14:paraId="7A8C0885" w14:textId="77777777" w:rsidR="008831F9" w:rsidRPr="00A662DD" w:rsidRDefault="008831F9" w:rsidP="00EA573C">
            <w:pPr>
              <w:suppressAutoHyphens/>
              <w:jc w:val="center"/>
              <w:rPr>
                <w:rFonts w:asciiTheme="minorHAnsi" w:hAnsiTheme="minorHAnsi" w:cstheme="minorHAnsi"/>
                <w:spacing w:val="-3"/>
              </w:rPr>
            </w:pPr>
            <w:r w:rsidRPr="00A662DD">
              <w:rPr>
                <w:rFonts w:asciiTheme="minorHAnsi" w:hAnsiTheme="minorHAnsi" w:cstheme="minorHAnsi"/>
                <w:spacing w:val="-3"/>
              </w:rPr>
              <w:t>50</w:t>
            </w:r>
          </w:p>
        </w:tc>
      </w:tr>
      <w:tr w:rsidR="008831F9" w:rsidRPr="00A662DD" w14:paraId="68EAAEF0" w14:textId="77777777" w:rsidTr="00EA573C">
        <w:tc>
          <w:tcPr>
            <w:tcW w:w="531" w:type="dxa"/>
            <w:tcBorders>
              <w:top w:val="single" w:sz="4" w:space="0" w:color="auto"/>
              <w:left w:val="single" w:sz="4" w:space="0" w:color="auto"/>
              <w:bottom w:val="single" w:sz="4" w:space="0" w:color="auto"/>
              <w:right w:val="single" w:sz="4" w:space="0" w:color="auto"/>
            </w:tcBorders>
          </w:tcPr>
          <w:p w14:paraId="6900D82F" w14:textId="77777777" w:rsidR="008831F9" w:rsidRPr="00A662DD" w:rsidRDefault="008831F9" w:rsidP="00EA573C">
            <w:pPr>
              <w:suppressAutoHyphens/>
              <w:jc w:val="center"/>
              <w:rPr>
                <w:rFonts w:asciiTheme="minorHAnsi" w:hAnsiTheme="minorHAnsi" w:cstheme="minorHAnsi"/>
                <w:spacing w:val="-3"/>
              </w:rPr>
            </w:pPr>
            <w:r w:rsidRPr="00A662DD">
              <w:rPr>
                <w:rFonts w:asciiTheme="minorHAnsi" w:hAnsiTheme="minorHAnsi" w:cstheme="minorHAnsi"/>
                <w:spacing w:val="-3"/>
              </w:rPr>
              <w:t>9</w:t>
            </w:r>
          </w:p>
        </w:tc>
        <w:tc>
          <w:tcPr>
            <w:tcW w:w="3394" w:type="dxa"/>
            <w:tcBorders>
              <w:top w:val="single" w:sz="4" w:space="0" w:color="auto"/>
              <w:left w:val="single" w:sz="4" w:space="0" w:color="auto"/>
              <w:bottom w:val="single" w:sz="4" w:space="0" w:color="auto"/>
              <w:right w:val="single" w:sz="4" w:space="0" w:color="auto"/>
            </w:tcBorders>
          </w:tcPr>
          <w:p w14:paraId="60727E41" w14:textId="77777777" w:rsidR="008831F9" w:rsidRPr="004E54A4" w:rsidRDefault="008831F9" w:rsidP="00EA573C">
            <w:pPr>
              <w:suppressAutoHyphens/>
              <w:rPr>
                <w:rFonts w:asciiTheme="minorHAnsi" w:hAnsiTheme="minorHAnsi" w:cstheme="minorHAnsi"/>
                <w:spacing w:val="-3"/>
              </w:rPr>
            </w:pPr>
            <w:r w:rsidRPr="004E54A4">
              <w:rPr>
                <w:rFonts w:asciiTheme="minorHAnsi" w:hAnsiTheme="minorHAnsi" w:cstheme="minorHAnsi"/>
                <w:spacing w:val="-3"/>
              </w:rPr>
              <w:t xml:space="preserve">- temperatura mięknienia po starzeniu, min </w:t>
            </w:r>
            <w:r w:rsidRPr="004E54A4">
              <w:rPr>
                <w:rFonts w:asciiTheme="minorHAnsi" w:hAnsiTheme="minorHAnsi" w:cstheme="minorHAnsi"/>
                <w:spacing w:val="-3"/>
                <w:vertAlign w:val="superscript"/>
              </w:rPr>
              <w:t>0</w:t>
            </w:r>
            <w:r w:rsidRPr="004E54A4">
              <w:rPr>
                <w:rFonts w:asciiTheme="minorHAnsi" w:hAnsiTheme="minorHAnsi" w:cstheme="minorHAnsi"/>
                <w:spacing w:val="-3"/>
              </w:rPr>
              <w:t xml:space="preserve">C </w:t>
            </w:r>
          </w:p>
        </w:tc>
        <w:tc>
          <w:tcPr>
            <w:tcW w:w="1910" w:type="dxa"/>
            <w:tcBorders>
              <w:top w:val="single" w:sz="4" w:space="0" w:color="auto"/>
              <w:left w:val="single" w:sz="4" w:space="0" w:color="auto"/>
              <w:bottom w:val="single" w:sz="4" w:space="0" w:color="auto"/>
              <w:right w:val="single" w:sz="4" w:space="0" w:color="auto"/>
            </w:tcBorders>
          </w:tcPr>
          <w:p w14:paraId="23627522" w14:textId="77777777" w:rsidR="008831F9" w:rsidRPr="00A662DD" w:rsidRDefault="008831F9" w:rsidP="00EA573C">
            <w:pPr>
              <w:suppressAutoHyphens/>
              <w:jc w:val="center"/>
              <w:rPr>
                <w:rFonts w:asciiTheme="minorHAnsi" w:hAnsiTheme="minorHAnsi" w:cstheme="minorHAnsi"/>
                <w:spacing w:val="-3"/>
              </w:rPr>
            </w:pPr>
            <w:r w:rsidRPr="00A662DD">
              <w:rPr>
                <w:rFonts w:asciiTheme="minorHAnsi" w:hAnsiTheme="minorHAnsi" w:cstheme="minorHAnsi"/>
                <w:spacing w:val="-3"/>
              </w:rPr>
              <w:t>PN-EN 1427</w:t>
            </w:r>
          </w:p>
        </w:tc>
        <w:tc>
          <w:tcPr>
            <w:tcW w:w="1742" w:type="dxa"/>
            <w:tcBorders>
              <w:top w:val="single" w:sz="4" w:space="0" w:color="auto"/>
              <w:left w:val="single" w:sz="4" w:space="0" w:color="auto"/>
              <w:bottom w:val="single" w:sz="4" w:space="0" w:color="auto"/>
              <w:right w:val="single" w:sz="4" w:space="0" w:color="auto"/>
            </w:tcBorders>
          </w:tcPr>
          <w:p w14:paraId="133453F3" w14:textId="77777777" w:rsidR="008831F9" w:rsidRPr="00A662DD" w:rsidRDefault="008831F9" w:rsidP="00EA573C">
            <w:pPr>
              <w:suppressAutoHyphens/>
              <w:jc w:val="center"/>
              <w:rPr>
                <w:rFonts w:asciiTheme="minorHAnsi" w:hAnsiTheme="minorHAnsi" w:cstheme="minorHAnsi"/>
                <w:spacing w:val="-3"/>
              </w:rPr>
            </w:pPr>
            <w:r w:rsidRPr="00A662DD">
              <w:rPr>
                <w:rFonts w:asciiTheme="minorHAnsi" w:hAnsiTheme="minorHAnsi" w:cstheme="minorHAnsi"/>
                <w:spacing w:val="-3"/>
              </w:rPr>
              <w:t>52</w:t>
            </w:r>
          </w:p>
        </w:tc>
        <w:tc>
          <w:tcPr>
            <w:tcW w:w="1993" w:type="dxa"/>
            <w:tcBorders>
              <w:top w:val="single" w:sz="4" w:space="0" w:color="auto"/>
              <w:left w:val="single" w:sz="4" w:space="0" w:color="auto"/>
              <w:bottom w:val="single" w:sz="4" w:space="0" w:color="auto"/>
              <w:right w:val="single" w:sz="4" w:space="0" w:color="auto"/>
            </w:tcBorders>
          </w:tcPr>
          <w:p w14:paraId="59854666" w14:textId="77777777" w:rsidR="008831F9" w:rsidRPr="00A662DD" w:rsidRDefault="008831F9" w:rsidP="00EA573C">
            <w:pPr>
              <w:suppressAutoHyphens/>
              <w:jc w:val="center"/>
              <w:rPr>
                <w:rFonts w:asciiTheme="minorHAnsi" w:hAnsiTheme="minorHAnsi" w:cstheme="minorHAnsi"/>
                <w:spacing w:val="-3"/>
              </w:rPr>
            </w:pPr>
            <w:r w:rsidRPr="00A662DD">
              <w:rPr>
                <w:rFonts w:asciiTheme="minorHAnsi" w:hAnsiTheme="minorHAnsi" w:cstheme="minorHAnsi"/>
                <w:spacing w:val="-3"/>
              </w:rPr>
              <w:t>48</w:t>
            </w:r>
          </w:p>
        </w:tc>
      </w:tr>
      <w:tr w:rsidR="008831F9" w:rsidRPr="00A662DD" w14:paraId="0EEF3C8D" w14:textId="77777777" w:rsidTr="00EA573C">
        <w:tc>
          <w:tcPr>
            <w:tcW w:w="531" w:type="dxa"/>
            <w:tcBorders>
              <w:top w:val="single" w:sz="4" w:space="0" w:color="auto"/>
              <w:left w:val="single" w:sz="4" w:space="0" w:color="auto"/>
              <w:bottom w:val="single" w:sz="4" w:space="0" w:color="auto"/>
              <w:right w:val="single" w:sz="4" w:space="0" w:color="auto"/>
            </w:tcBorders>
          </w:tcPr>
          <w:p w14:paraId="0E461F02" w14:textId="77777777" w:rsidR="008831F9" w:rsidRPr="00A662DD" w:rsidRDefault="008831F9" w:rsidP="00EA573C">
            <w:pPr>
              <w:suppressAutoHyphens/>
              <w:jc w:val="center"/>
              <w:rPr>
                <w:rFonts w:asciiTheme="minorHAnsi" w:hAnsiTheme="minorHAnsi" w:cstheme="minorHAnsi"/>
                <w:spacing w:val="-3"/>
              </w:rPr>
            </w:pPr>
            <w:r w:rsidRPr="00A662DD">
              <w:rPr>
                <w:rFonts w:asciiTheme="minorHAnsi" w:hAnsiTheme="minorHAnsi" w:cstheme="minorHAnsi"/>
                <w:spacing w:val="-3"/>
              </w:rPr>
              <w:t>10</w:t>
            </w:r>
          </w:p>
        </w:tc>
        <w:tc>
          <w:tcPr>
            <w:tcW w:w="3394" w:type="dxa"/>
            <w:tcBorders>
              <w:top w:val="single" w:sz="4" w:space="0" w:color="auto"/>
              <w:left w:val="single" w:sz="4" w:space="0" w:color="auto"/>
              <w:bottom w:val="single" w:sz="4" w:space="0" w:color="auto"/>
              <w:right w:val="single" w:sz="4" w:space="0" w:color="auto"/>
            </w:tcBorders>
          </w:tcPr>
          <w:p w14:paraId="33203FD5" w14:textId="77777777" w:rsidR="008831F9" w:rsidRPr="004E54A4" w:rsidRDefault="008831F9" w:rsidP="00EA573C">
            <w:pPr>
              <w:suppressAutoHyphens/>
              <w:rPr>
                <w:rFonts w:asciiTheme="minorHAnsi" w:hAnsiTheme="minorHAnsi" w:cstheme="minorHAnsi"/>
                <w:spacing w:val="-3"/>
              </w:rPr>
            </w:pPr>
            <w:r w:rsidRPr="004E54A4">
              <w:rPr>
                <w:rFonts w:asciiTheme="minorHAnsi" w:hAnsiTheme="minorHAnsi" w:cstheme="minorHAnsi"/>
                <w:spacing w:val="-3"/>
              </w:rPr>
              <w:t xml:space="preserve">- wzrost temperatury mięknienia, max </w:t>
            </w:r>
            <w:r w:rsidRPr="004E54A4">
              <w:rPr>
                <w:rFonts w:asciiTheme="minorHAnsi" w:hAnsiTheme="minorHAnsi" w:cstheme="minorHAnsi"/>
                <w:spacing w:val="-3"/>
                <w:vertAlign w:val="superscript"/>
              </w:rPr>
              <w:t>0</w:t>
            </w:r>
            <w:r w:rsidRPr="004E54A4">
              <w:rPr>
                <w:rFonts w:asciiTheme="minorHAnsi" w:hAnsiTheme="minorHAnsi" w:cstheme="minorHAnsi"/>
                <w:spacing w:val="-3"/>
              </w:rPr>
              <w:t>C</w:t>
            </w:r>
          </w:p>
        </w:tc>
        <w:tc>
          <w:tcPr>
            <w:tcW w:w="1910" w:type="dxa"/>
            <w:tcBorders>
              <w:top w:val="single" w:sz="4" w:space="0" w:color="auto"/>
              <w:left w:val="single" w:sz="4" w:space="0" w:color="auto"/>
              <w:bottom w:val="single" w:sz="4" w:space="0" w:color="auto"/>
              <w:right w:val="single" w:sz="4" w:space="0" w:color="auto"/>
            </w:tcBorders>
          </w:tcPr>
          <w:p w14:paraId="773D9961" w14:textId="77777777" w:rsidR="008831F9" w:rsidRPr="00A662DD" w:rsidRDefault="008831F9" w:rsidP="00EA573C">
            <w:pPr>
              <w:suppressAutoHyphens/>
              <w:jc w:val="center"/>
              <w:rPr>
                <w:rFonts w:asciiTheme="minorHAnsi" w:hAnsiTheme="minorHAnsi" w:cstheme="minorHAnsi"/>
                <w:spacing w:val="-3"/>
                <w:lang w:val="de-DE"/>
              </w:rPr>
            </w:pPr>
            <w:r w:rsidRPr="00A662DD">
              <w:rPr>
                <w:rFonts w:asciiTheme="minorHAnsi" w:hAnsiTheme="minorHAnsi" w:cstheme="minorHAnsi"/>
                <w:spacing w:val="-3"/>
                <w:lang w:val="de-DE"/>
              </w:rPr>
              <w:t>PN-EN 1427</w:t>
            </w:r>
          </w:p>
        </w:tc>
        <w:tc>
          <w:tcPr>
            <w:tcW w:w="1742" w:type="dxa"/>
            <w:tcBorders>
              <w:top w:val="single" w:sz="4" w:space="0" w:color="auto"/>
              <w:left w:val="single" w:sz="4" w:space="0" w:color="auto"/>
              <w:bottom w:val="single" w:sz="4" w:space="0" w:color="auto"/>
              <w:right w:val="single" w:sz="4" w:space="0" w:color="auto"/>
            </w:tcBorders>
          </w:tcPr>
          <w:p w14:paraId="113217A0" w14:textId="77777777" w:rsidR="008831F9" w:rsidRPr="00A662DD" w:rsidRDefault="008831F9" w:rsidP="00EA573C">
            <w:pPr>
              <w:suppressAutoHyphens/>
              <w:jc w:val="center"/>
              <w:rPr>
                <w:rFonts w:asciiTheme="minorHAnsi" w:hAnsiTheme="minorHAnsi" w:cstheme="minorHAnsi"/>
                <w:spacing w:val="-3"/>
                <w:lang w:val="de-DE"/>
              </w:rPr>
            </w:pPr>
            <w:r w:rsidRPr="00A662DD">
              <w:rPr>
                <w:rFonts w:asciiTheme="minorHAnsi" w:hAnsiTheme="minorHAnsi" w:cstheme="minorHAnsi"/>
                <w:spacing w:val="-3"/>
                <w:lang w:val="de-DE"/>
              </w:rPr>
              <w:t>8</w:t>
            </w:r>
          </w:p>
        </w:tc>
        <w:tc>
          <w:tcPr>
            <w:tcW w:w="1993" w:type="dxa"/>
            <w:tcBorders>
              <w:top w:val="single" w:sz="4" w:space="0" w:color="auto"/>
              <w:left w:val="single" w:sz="4" w:space="0" w:color="auto"/>
              <w:bottom w:val="single" w:sz="4" w:space="0" w:color="auto"/>
              <w:right w:val="single" w:sz="4" w:space="0" w:color="auto"/>
            </w:tcBorders>
          </w:tcPr>
          <w:p w14:paraId="49C1127E" w14:textId="77777777" w:rsidR="008831F9" w:rsidRPr="00A662DD" w:rsidRDefault="008831F9" w:rsidP="00EA573C">
            <w:pPr>
              <w:suppressAutoHyphens/>
              <w:jc w:val="center"/>
              <w:rPr>
                <w:rFonts w:asciiTheme="minorHAnsi" w:hAnsiTheme="minorHAnsi" w:cstheme="minorHAnsi"/>
                <w:spacing w:val="-3"/>
                <w:lang w:val="de-DE"/>
              </w:rPr>
            </w:pPr>
            <w:r w:rsidRPr="00A662DD">
              <w:rPr>
                <w:rFonts w:asciiTheme="minorHAnsi" w:hAnsiTheme="minorHAnsi" w:cstheme="minorHAnsi"/>
                <w:spacing w:val="-3"/>
                <w:lang w:val="de-DE"/>
              </w:rPr>
              <w:t>9</w:t>
            </w:r>
          </w:p>
        </w:tc>
      </w:tr>
    </w:tbl>
    <w:p w14:paraId="0AF2995C" w14:textId="77777777" w:rsidR="008831F9" w:rsidRPr="00770202" w:rsidRDefault="008831F9" w:rsidP="008831F9">
      <w:pPr>
        <w:suppressAutoHyphens/>
        <w:rPr>
          <w:rFonts w:ascii="Calibri" w:hAnsi="Calibri" w:cs="Calibri"/>
          <w:spacing w:val="-3"/>
          <w:lang w:val="de-DE"/>
        </w:rPr>
      </w:pPr>
    </w:p>
    <w:p w14:paraId="17F21160" w14:textId="77777777" w:rsidR="008831F9" w:rsidRPr="00770202" w:rsidRDefault="008831F9" w:rsidP="008831F9">
      <w:pPr>
        <w:pStyle w:val="Nagwek4"/>
      </w:pPr>
      <w:r w:rsidRPr="00770202">
        <w:t>2.</w:t>
      </w:r>
      <w:r>
        <w:t>6</w:t>
      </w:r>
      <w:r w:rsidRPr="00770202">
        <w:t xml:space="preserve"> Środek adhezyjny</w:t>
      </w:r>
    </w:p>
    <w:p w14:paraId="3C915722" w14:textId="77777777" w:rsidR="008831F9" w:rsidRPr="00770202" w:rsidRDefault="008831F9" w:rsidP="008831F9">
      <w:pPr>
        <w:ind w:left="567" w:hanging="567"/>
        <w:rPr>
          <w:rFonts w:ascii="Calibri" w:hAnsi="Calibri" w:cs="Calibri"/>
        </w:rPr>
      </w:pPr>
    </w:p>
    <w:p w14:paraId="2EC8833A" w14:textId="77777777" w:rsidR="008831F9" w:rsidRPr="004E54A4" w:rsidRDefault="008831F9" w:rsidP="008831F9">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rPr>
          <w:rFonts w:ascii="Calibri" w:hAnsi="Calibri" w:cs="Calibri"/>
        </w:rPr>
      </w:pPr>
      <w:r w:rsidRPr="004E54A4">
        <w:rPr>
          <w:rFonts w:ascii="Calibri" w:hAnsi="Calibri" w:cs="Calibri"/>
        </w:rPr>
        <w:tab/>
        <w:t>W przypadku gdy przyczepność lepiszcza do kruszywa wynosi mniej niż 80% należy stosować środek adhezyjny, którego przydatność została potwierdzona podczas wcześniejszych zastosowań. Jeżeli nie jest możliwe udokumentowanie wcześniejszych, pozytywnych zastosowań, należy na ten środek przedstawić Aprobatę Techniczną lub dokument potwierdzający zgodność z wymaganiami PN-EN 13108-1 (pkt. 4.1)</w:t>
      </w:r>
    </w:p>
    <w:p w14:paraId="5D5F13AC" w14:textId="77777777" w:rsidR="008831F9" w:rsidRPr="004E54A4" w:rsidRDefault="008831F9" w:rsidP="008831F9">
      <w:pPr>
        <w:pStyle w:val="Nagwek4"/>
      </w:pPr>
      <w:r w:rsidRPr="004E54A4">
        <w:t>2.7.Samoprzylepna taśma asfaltowa</w:t>
      </w:r>
    </w:p>
    <w:p w14:paraId="238291E4" w14:textId="77777777" w:rsidR="008831F9" w:rsidRPr="004E54A4" w:rsidRDefault="008831F9" w:rsidP="008831F9">
      <w:pPr>
        <w:suppressAutoHyphens/>
        <w:rPr>
          <w:rFonts w:ascii="Calibri" w:hAnsi="Calibri" w:cs="Calibri"/>
        </w:rPr>
      </w:pPr>
    </w:p>
    <w:p w14:paraId="63239A96" w14:textId="77777777" w:rsidR="008831F9" w:rsidRPr="004E54A4" w:rsidRDefault="008831F9" w:rsidP="008831F9">
      <w:pPr>
        <w:tabs>
          <w:tab w:val="left" w:pos="336"/>
          <w:tab w:val="left" w:pos="426"/>
          <w:tab w:val="left" w:pos="732"/>
          <w:tab w:val="left" w:pos="1020"/>
          <w:tab w:val="left" w:pos="1356"/>
          <w:tab w:val="left" w:pos="1698"/>
          <w:tab w:val="left" w:pos="2040"/>
          <w:tab w:val="left" w:pos="2376"/>
          <w:tab w:val="left" w:pos="2718"/>
          <w:tab w:val="left" w:pos="3060"/>
          <w:tab w:val="left" w:pos="3402"/>
          <w:tab w:val="left" w:pos="5664"/>
        </w:tabs>
        <w:rPr>
          <w:rFonts w:ascii="Calibri" w:hAnsi="Calibri" w:cs="Calibri"/>
        </w:rPr>
      </w:pPr>
      <w:r w:rsidRPr="004E54A4">
        <w:rPr>
          <w:rFonts w:ascii="Calibri" w:hAnsi="Calibri" w:cs="Calibri"/>
        </w:rPr>
        <w:t xml:space="preserve"> Przy stosowaniu samoprzylepnej taśmy asfaltowej należy potwierdzić jej przydatność w oparciu o wcześniejsze zastosowania. Jeżeli nie jest możliwe udokumentowanie wcześniejszych, pozytywnych zastosowań, należy na tą taśmę przedstawić Aprobatę Techniczną lub dokument potwierdzający zgodność z wymaganiami PN-EN 13108-1 (pkt. 4.1).</w:t>
      </w:r>
    </w:p>
    <w:p w14:paraId="67EE66A0" w14:textId="77777777" w:rsidR="008831F9" w:rsidRPr="004E54A4" w:rsidRDefault="008831F9" w:rsidP="008831F9">
      <w:pPr>
        <w:pStyle w:val="Nagwek4"/>
      </w:pPr>
      <w:r w:rsidRPr="004E54A4">
        <w:t>2.8 Połączenia technologiczne</w:t>
      </w:r>
    </w:p>
    <w:p w14:paraId="34E2DDF4" w14:textId="7E69AC23" w:rsidR="00B402A9" w:rsidRPr="00A85D08" w:rsidRDefault="00B402A9" w:rsidP="00B402A9">
      <w:pPr>
        <w:pStyle w:val="Tekstpodstawowy"/>
        <w:spacing w:line="240" w:lineRule="auto"/>
        <w:jc w:val="both"/>
        <w:rPr>
          <w:rFonts w:ascii="Calibri" w:hAnsi="Calibri" w:cs="Calibri"/>
          <w:sz w:val="20"/>
          <w:szCs w:val="20"/>
        </w:rPr>
      </w:pPr>
      <w:r w:rsidRPr="00A85D08">
        <w:rPr>
          <w:rFonts w:ascii="Calibri" w:hAnsi="Calibri" w:cs="Calibri"/>
          <w:sz w:val="20"/>
          <w:szCs w:val="20"/>
        </w:rPr>
        <w:t xml:space="preserve">Do uszczelniania połączeń technologicznych (spoin podłużnych i poprzecznych) oraz połączeń nawierzchni z elementami z innych materiałów takich jak kratki, wpusty, studzienki, krawężniki, ścieki prefabrykowane i inne elementy występujące w nawierzchni należy stosować pasty </w:t>
      </w:r>
      <w:r>
        <w:rPr>
          <w:rFonts w:ascii="Calibri" w:hAnsi="Calibri" w:cs="Calibri"/>
          <w:sz w:val="20"/>
          <w:szCs w:val="20"/>
        </w:rPr>
        <w:t>asfaltowe,</w:t>
      </w:r>
      <w:r w:rsidRPr="00A85D08">
        <w:rPr>
          <w:rFonts w:ascii="Calibri" w:hAnsi="Calibri" w:cs="Calibri"/>
          <w:sz w:val="20"/>
          <w:szCs w:val="20"/>
        </w:rPr>
        <w:t xml:space="preserve"> taśmy </w:t>
      </w:r>
      <w:r>
        <w:rPr>
          <w:rFonts w:ascii="Calibri" w:hAnsi="Calibri" w:cs="Calibri"/>
          <w:sz w:val="20"/>
          <w:szCs w:val="20"/>
        </w:rPr>
        <w:t>bitumiczne lub asfalt drogowy</w:t>
      </w:r>
      <w:r w:rsidRPr="00A85D08">
        <w:rPr>
          <w:rFonts w:ascii="Calibri" w:hAnsi="Calibri" w:cs="Calibri"/>
          <w:sz w:val="20"/>
          <w:szCs w:val="20"/>
        </w:rPr>
        <w:t xml:space="preserve">. Należy stosować </w:t>
      </w:r>
      <w:r>
        <w:rPr>
          <w:rFonts w:ascii="Calibri" w:hAnsi="Calibri" w:cs="Calibri"/>
          <w:sz w:val="20"/>
          <w:szCs w:val="20"/>
        </w:rPr>
        <w:t xml:space="preserve">materiały </w:t>
      </w:r>
      <w:r w:rsidRPr="00A85D08">
        <w:rPr>
          <w:rFonts w:ascii="Calibri" w:hAnsi="Calibri" w:cs="Calibri"/>
          <w:sz w:val="20"/>
          <w:szCs w:val="20"/>
        </w:rPr>
        <w:t>z posiadając</w:t>
      </w:r>
      <w:r>
        <w:rPr>
          <w:rFonts w:ascii="Calibri" w:hAnsi="Calibri" w:cs="Calibri"/>
          <w:sz w:val="20"/>
          <w:szCs w:val="20"/>
        </w:rPr>
        <w:t>e</w:t>
      </w:r>
      <w:r w:rsidRPr="00A85D08">
        <w:rPr>
          <w:rFonts w:ascii="Calibri" w:hAnsi="Calibri" w:cs="Calibri"/>
          <w:sz w:val="20"/>
          <w:szCs w:val="20"/>
        </w:rPr>
        <w:t xml:space="preserve"> Aprobatę Techniczną.</w:t>
      </w:r>
    </w:p>
    <w:p w14:paraId="24CDCD7D" w14:textId="77777777" w:rsidR="008831F9" w:rsidRPr="007E56C9" w:rsidRDefault="008831F9" w:rsidP="007E56C9">
      <w:pPr>
        <w:pStyle w:val="Tekstpodstawowy"/>
        <w:spacing w:line="240" w:lineRule="auto"/>
        <w:jc w:val="both"/>
        <w:rPr>
          <w:rFonts w:ascii="Calibri" w:hAnsi="Calibri" w:cs="Calibri"/>
          <w:sz w:val="20"/>
          <w:szCs w:val="20"/>
        </w:rPr>
      </w:pPr>
      <w:r w:rsidRPr="007E56C9">
        <w:rPr>
          <w:rFonts w:ascii="Calibri" w:hAnsi="Calibri" w:cs="Calibri"/>
          <w:sz w:val="20"/>
          <w:szCs w:val="20"/>
        </w:rPr>
        <w:t>Do uszczelnienia krawędzi należy stosować asfalt drogowy wg PN-EN 12591, asfalt modyfikowany polimerami wg PN-EN 14023, asfalty wielorodzajowe wg PN-EN 13924-2 „metodą na gorąco”. Dopuszcza się inne rodzaje lepiszcza wg norm lub aprobat technicznych. Składowanie materiałów termoplastycznych dozwolone jest tylko w oryginalnych opakowaniach producenta, w warunkach określonych w aprobacie technicznej.</w:t>
      </w:r>
    </w:p>
    <w:p w14:paraId="06510AA8" w14:textId="77777777" w:rsidR="008831F9" w:rsidRPr="007E56C9" w:rsidRDefault="008831F9" w:rsidP="007E56C9">
      <w:pPr>
        <w:pStyle w:val="Tekstpodstawowy"/>
        <w:spacing w:line="240" w:lineRule="auto"/>
        <w:jc w:val="both"/>
        <w:rPr>
          <w:rFonts w:ascii="Calibri" w:hAnsi="Calibri" w:cs="Calibri"/>
          <w:sz w:val="20"/>
          <w:szCs w:val="20"/>
        </w:rPr>
      </w:pPr>
      <w:r w:rsidRPr="007E56C9">
        <w:rPr>
          <w:rFonts w:ascii="Calibri" w:hAnsi="Calibri" w:cs="Calibri"/>
          <w:sz w:val="20"/>
          <w:szCs w:val="20"/>
        </w:rPr>
        <w:t>Dopuszczone jest zastosowanie materiałów do uszczelnień połączeń i krawędzi w postaci taśm bitumicznych na podstawie rekomendacji z badań laboratoryjnych pod warunkiem zachowania wymaganej grubości i wyskości spoimy. Dopuszczone jest zastosowanie polimerowych, tiksotropowych, bezrozpuszczalnikowych emulsji asfaltowych o wysokiej lepkości w postaci pasty do uszczelnień krawędzi pod warunkiem zachowania wymaganej grubości i wysokości spoiny. W celu dokładnej i jednorodnej aplikacji wymaga się zastosowania specjalistycznych układarek.</w:t>
      </w:r>
    </w:p>
    <w:p w14:paraId="6E128521" w14:textId="77777777" w:rsidR="008831F9" w:rsidRPr="004E54A4" w:rsidRDefault="008831F9" w:rsidP="008831F9">
      <w:pPr>
        <w:tabs>
          <w:tab w:val="left" w:pos="336"/>
          <w:tab w:val="left" w:pos="426"/>
          <w:tab w:val="left" w:pos="732"/>
          <w:tab w:val="left" w:pos="1020"/>
          <w:tab w:val="left" w:pos="1356"/>
          <w:tab w:val="left" w:pos="1698"/>
          <w:tab w:val="left" w:pos="2040"/>
          <w:tab w:val="left" w:pos="2376"/>
          <w:tab w:val="left" w:pos="2718"/>
          <w:tab w:val="left" w:pos="3060"/>
          <w:tab w:val="left" w:pos="3402"/>
          <w:tab w:val="left" w:pos="5664"/>
        </w:tabs>
        <w:rPr>
          <w:rFonts w:ascii="Calibri" w:hAnsi="Calibri" w:cs="Calibri"/>
        </w:rPr>
      </w:pPr>
    </w:p>
    <w:p w14:paraId="578A225F" w14:textId="77777777" w:rsidR="008831F9" w:rsidRPr="004E54A4" w:rsidRDefault="008831F9" w:rsidP="008831F9">
      <w:pPr>
        <w:pStyle w:val="Nagwek3"/>
      </w:pPr>
      <w:r w:rsidRPr="004E54A4">
        <w:t>3. SPRZĘT</w:t>
      </w:r>
    </w:p>
    <w:p w14:paraId="69557931" w14:textId="77777777" w:rsidR="008831F9" w:rsidRPr="004E54A4" w:rsidRDefault="008831F9" w:rsidP="008831F9">
      <w:pPr>
        <w:pStyle w:val="Nagwek4"/>
      </w:pPr>
      <w:r w:rsidRPr="004E54A4">
        <w:t>3.1. Ogólne wymagania dotyczące sprzętu</w:t>
      </w:r>
    </w:p>
    <w:p w14:paraId="0F172F1C" w14:textId="77777777" w:rsidR="008831F9" w:rsidRPr="004E54A4" w:rsidRDefault="008831F9" w:rsidP="008831F9">
      <w:pPr>
        <w:numPr>
          <w:ilvl w:val="12"/>
          <w:numId w:val="0"/>
        </w:numPr>
        <w:tabs>
          <w:tab w:val="left" w:pos="9914"/>
        </w:tabs>
        <w:rPr>
          <w:rFonts w:ascii="Calibri" w:hAnsi="Calibri" w:cs="Calibri"/>
        </w:rPr>
      </w:pPr>
    </w:p>
    <w:p w14:paraId="077704A4" w14:textId="77777777" w:rsidR="008831F9" w:rsidRPr="004E54A4" w:rsidRDefault="008831F9" w:rsidP="008831F9">
      <w:pPr>
        <w:numPr>
          <w:ilvl w:val="12"/>
          <w:numId w:val="0"/>
        </w:numPr>
        <w:tabs>
          <w:tab w:val="left" w:pos="9914"/>
        </w:tabs>
        <w:rPr>
          <w:rFonts w:ascii="Calibri" w:hAnsi="Calibri" w:cs="Calibri"/>
        </w:rPr>
      </w:pPr>
      <w:r w:rsidRPr="004E54A4">
        <w:rPr>
          <w:rFonts w:ascii="Calibri" w:hAnsi="Calibri" w:cs="Calibri"/>
        </w:rPr>
        <w:t>Ogólne wymagania dotyczące sprzętu podano w STWiORB  D-M-00.00.00 „Wymagania ogólne” pkt 3.</w:t>
      </w:r>
    </w:p>
    <w:p w14:paraId="7BF9B548" w14:textId="77777777" w:rsidR="008831F9" w:rsidRPr="004E54A4" w:rsidRDefault="008831F9" w:rsidP="008831F9">
      <w:pPr>
        <w:pStyle w:val="Nagwek4"/>
      </w:pPr>
      <w:r w:rsidRPr="004E54A4">
        <w:t>3.2. Sprzęt stosowany do wykonania robót</w:t>
      </w:r>
    </w:p>
    <w:p w14:paraId="35AC83B8" w14:textId="77777777" w:rsidR="008831F9" w:rsidRPr="004E54A4" w:rsidRDefault="008831F9" w:rsidP="008831F9">
      <w:pPr>
        <w:tabs>
          <w:tab w:val="left" w:pos="9914"/>
        </w:tabs>
        <w:rPr>
          <w:rFonts w:ascii="Calibri" w:hAnsi="Calibri" w:cs="Calibri"/>
        </w:rPr>
      </w:pPr>
    </w:p>
    <w:p w14:paraId="3645E75C" w14:textId="77777777" w:rsidR="008831F9" w:rsidRPr="005643E6" w:rsidRDefault="008831F9" w:rsidP="008831F9">
      <w:pPr>
        <w:rPr>
          <w:rFonts w:asciiTheme="minorHAnsi" w:hAnsiTheme="minorHAnsi"/>
        </w:rPr>
      </w:pPr>
      <w:r w:rsidRPr="005643E6">
        <w:rPr>
          <w:rFonts w:asciiTheme="minorHAnsi" w:hAnsiTheme="minorHAnsi"/>
        </w:rPr>
        <w:t>Przy wykonywaniu robót Wykonawca w zależności od potrzeb, powinien wykazać się możliwością korzystania ze sprzętu dostosowanego do przyjętej metody robót, jak:</w:t>
      </w:r>
    </w:p>
    <w:p w14:paraId="32C99322" w14:textId="77777777" w:rsidR="008831F9" w:rsidRPr="005643E6" w:rsidRDefault="008831F9" w:rsidP="00262498">
      <w:pPr>
        <w:numPr>
          <w:ilvl w:val="0"/>
          <w:numId w:val="266"/>
        </w:numPr>
        <w:rPr>
          <w:rFonts w:asciiTheme="minorHAnsi" w:hAnsiTheme="minorHAnsi"/>
        </w:rPr>
      </w:pPr>
      <w:r w:rsidRPr="005643E6">
        <w:rPr>
          <w:rFonts w:asciiTheme="minorHAnsi" w:hAnsiTheme="minorHAnsi"/>
        </w:rPr>
        <w:t xml:space="preserve">wytwórnia (otaczarka) o mieszaniu cyklicznym lub ciągłym, z automatycznym komputerowym sterowaniem produkcji, do wytwarzania mieszanek mineralno-asfaltowych, </w:t>
      </w:r>
    </w:p>
    <w:p w14:paraId="7A1E499A" w14:textId="77777777" w:rsidR="008831F9" w:rsidRPr="005643E6" w:rsidRDefault="008831F9" w:rsidP="00262498">
      <w:pPr>
        <w:numPr>
          <w:ilvl w:val="0"/>
          <w:numId w:val="266"/>
        </w:numPr>
        <w:rPr>
          <w:rFonts w:asciiTheme="minorHAnsi" w:hAnsiTheme="minorHAnsi"/>
        </w:rPr>
      </w:pPr>
      <w:r w:rsidRPr="005643E6">
        <w:rPr>
          <w:rFonts w:asciiTheme="minorHAnsi" w:hAnsiTheme="minorHAnsi"/>
        </w:rPr>
        <w:t>układarka gąsienicowa, z elektronicznym sterowaniem równości układanej warstwy,</w:t>
      </w:r>
    </w:p>
    <w:p w14:paraId="76FA995F" w14:textId="77777777" w:rsidR="008831F9" w:rsidRPr="005540CC" w:rsidRDefault="008831F9" w:rsidP="00262498">
      <w:pPr>
        <w:numPr>
          <w:ilvl w:val="0"/>
          <w:numId w:val="266"/>
        </w:numPr>
        <w:rPr>
          <w:rFonts w:asciiTheme="minorHAnsi" w:hAnsiTheme="minorHAnsi" w:cstheme="minorHAnsi"/>
        </w:rPr>
      </w:pPr>
      <w:r w:rsidRPr="005540CC">
        <w:rPr>
          <w:rFonts w:asciiTheme="minorHAnsi" w:hAnsiTheme="minorHAnsi" w:cstheme="minorHAnsi"/>
        </w:rPr>
        <w:t>skrapiarka,</w:t>
      </w:r>
    </w:p>
    <w:p w14:paraId="06DAB83E" w14:textId="77777777" w:rsidR="008831F9" w:rsidRPr="005540CC" w:rsidRDefault="008831F9" w:rsidP="00262498">
      <w:pPr>
        <w:numPr>
          <w:ilvl w:val="0"/>
          <w:numId w:val="266"/>
        </w:numPr>
        <w:rPr>
          <w:rFonts w:asciiTheme="minorHAnsi" w:hAnsiTheme="minorHAnsi" w:cstheme="minorHAnsi"/>
        </w:rPr>
      </w:pPr>
      <w:r w:rsidRPr="005540CC">
        <w:rPr>
          <w:rFonts w:asciiTheme="minorHAnsi" w:hAnsiTheme="minorHAnsi" w:cstheme="minorHAnsi"/>
        </w:rPr>
        <w:t xml:space="preserve">walce stalowe gładkie, </w:t>
      </w:r>
    </w:p>
    <w:p w14:paraId="0FDAD734" w14:textId="77777777" w:rsidR="008831F9" w:rsidRPr="005540CC" w:rsidRDefault="008831F9" w:rsidP="00262498">
      <w:pPr>
        <w:numPr>
          <w:ilvl w:val="0"/>
          <w:numId w:val="266"/>
        </w:numPr>
        <w:rPr>
          <w:rFonts w:asciiTheme="minorHAnsi" w:hAnsiTheme="minorHAnsi" w:cstheme="minorHAnsi"/>
        </w:rPr>
      </w:pPr>
      <w:r w:rsidRPr="005540CC">
        <w:rPr>
          <w:rFonts w:asciiTheme="minorHAnsi" w:hAnsiTheme="minorHAnsi" w:cstheme="minorHAnsi"/>
        </w:rPr>
        <w:t>lekka rozsypywarka kruszywa,</w:t>
      </w:r>
    </w:p>
    <w:p w14:paraId="597E8D9A" w14:textId="77777777" w:rsidR="008831F9" w:rsidRPr="005643E6" w:rsidRDefault="008831F9" w:rsidP="00262498">
      <w:pPr>
        <w:numPr>
          <w:ilvl w:val="0"/>
          <w:numId w:val="266"/>
        </w:numPr>
        <w:rPr>
          <w:rFonts w:asciiTheme="minorHAnsi" w:hAnsiTheme="minorHAnsi"/>
        </w:rPr>
      </w:pPr>
      <w:r w:rsidRPr="005643E6">
        <w:rPr>
          <w:rFonts w:asciiTheme="minorHAnsi" w:hAnsiTheme="minorHAnsi"/>
        </w:rPr>
        <w:t>szczotki mechaniczne i/lub inne urządzenia czyszczące,</w:t>
      </w:r>
    </w:p>
    <w:p w14:paraId="670B311F" w14:textId="77777777" w:rsidR="008831F9" w:rsidRPr="005643E6" w:rsidRDefault="008831F9" w:rsidP="00262498">
      <w:pPr>
        <w:numPr>
          <w:ilvl w:val="0"/>
          <w:numId w:val="266"/>
        </w:numPr>
        <w:rPr>
          <w:rFonts w:asciiTheme="minorHAnsi" w:hAnsiTheme="minorHAnsi"/>
        </w:rPr>
      </w:pPr>
      <w:r w:rsidRPr="005643E6">
        <w:rPr>
          <w:rFonts w:asciiTheme="minorHAnsi" w:hAnsiTheme="minorHAnsi"/>
        </w:rPr>
        <w:t>samochody samowyładowcze z przykryciem brezentowym lub termosami,</w:t>
      </w:r>
    </w:p>
    <w:p w14:paraId="33686CD8" w14:textId="77777777" w:rsidR="008831F9" w:rsidRPr="005540CC" w:rsidRDefault="008831F9" w:rsidP="00262498">
      <w:pPr>
        <w:numPr>
          <w:ilvl w:val="0"/>
          <w:numId w:val="266"/>
        </w:numPr>
        <w:rPr>
          <w:rFonts w:asciiTheme="minorHAnsi" w:hAnsiTheme="minorHAnsi" w:cstheme="minorHAnsi"/>
        </w:rPr>
      </w:pPr>
      <w:r w:rsidRPr="005540CC">
        <w:rPr>
          <w:rFonts w:asciiTheme="minorHAnsi" w:hAnsiTheme="minorHAnsi" w:cstheme="minorHAnsi"/>
        </w:rPr>
        <w:t>sprzęt drobny.</w:t>
      </w:r>
    </w:p>
    <w:p w14:paraId="48247A9A" w14:textId="77777777" w:rsidR="008831F9" w:rsidRPr="004E54A4" w:rsidRDefault="008831F9" w:rsidP="008831F9">
      <w:pPr>
        <w:pStyle w:val="Nagwek3"/>
      </w:pPr>
      <w:r w:rsidRPr="004E54A4">
        <w:t>4. TRANSPORT</w:t>
      </w:r>
    </w:p>
    <w:p w14:paraId="3A804182" w14:textId="77777777" w:rsidR="008831F9" w:rsidRPr="004E54A4" w:rsidRDefault="008831F9" w:rsidP="008831F9">
      <w:pPr>
        <w:pStyle w:val="Nagwek4"/>
      </w:pPr>
      <w:r w:rsidRPr="004E54A4">
        <w:t>4.1. Ogólne wymagania dotyczące transportu</w:t>
      </w:r>
    </w:p>
    <w:p w14:paraId="655DF0B7" w14:textId="77777777" w:rsidR="008831F9" w:rsidRPr="004E54A4" w:rsidRDefault="008831F9" w:rsidP="008831F9">
      <w:pPr>
        <w:numPr>
          <w:ilvl w:val="12"/>
          <w:numId w:val="0"/>
        </w:numPr>
        <w:tabs>
          <w:tab w:val="left" w:pos="9914"/>
        </w:tabs>
        <w:rPr>
          <w:rFonts w:ascii="Calibri" w:hAnsi="Calibri" w:cs="Calibri"/>
        </w:rPr>
      </w:pPr>
    </w:p>
    <w:p w14:paraId="5FE88A2D" w14:textId="77777777" w:rsidR="008831F9" w:rsidRPr="004E54A4" w:rsidRDefault="008831F9" w:rsidP="008831F9">
      <w:pPr>
        <w:numPr>
          <w:ilvl w:val="12"/>
          <w:numId w:val="0"/>
        </w:numPr>
        <w:tabs>
          <w:tab w:val="left" w:pos="9914"/>
        </w:tabs>
        <w:rPr>
          <w:rFonts w:ascii="Calibri" w:hAnsi="Calibri" w:cs="Calibri"/>
        </w:rPr>
      </w:pPr>
      <w:r w:rsidRPr="004E54A4">
        <w:rPr>
          <w:rFonts w:ascii="Calibri" w:hAnsi="Calibri" w:cs="Calibri"/>
        </w:rPr>
        <w:t>Ogólne wymagania dotyczące transportu podano w STWiORB D-M-00.00.00 „Wymagania ogólne” pkt 4.</w:t>
      </w:r>
      <w:r w:rsidRPr="004E54A4">
        <w:rPr>
          <w:rFonts w:ascii="Calibri" w:hAnsi="Calibri" w:cs="Calibri"/>
        </w:rPr>
        <w:tab/>
      </w:r>
    </w:p>
    <w:p w14:paraId="7709B730" w14:textId="77777777" w:rsidR="008831F9" w:rsidRPr="004E54A4" w:rsidRDefault="008831F9" w:rsidP="008831F9">
      <w:pPr>
        <w:pStyle w:val="Nagwek4"/>
      </w:pPr>
      <w:r w:rsidRPr="004E54A4">
        <w:t xml:space="preserve">4.2. Transport materiałów </w:t>
      </w:r>
    </w:p>
    <w:p w14:paraId="4AC59A48" w14:textId="77777777" w:rsidR="008831F9" w:rsidRPr="004E54A4" w:rsidRDefault="008831F9" w:rsidP="008831F9">
      <w:pPr>
        <w:tabs>
          <w:tab w:val="left" w:pos="9914"/>
        </w:tabs>
        <w:rPr>
          <w:rFonts w:ascii="Calibri" w:hAnsi="Calibri" w:cs="Calibri"/>
        </w:rPr>
      </w:pPr>
    </w:p>
    <w:p w14:paraId="19BCA116" w14:textId="77777777" w:rsidR="008831F9" w:rsidRPr="004E54A4" w:rsidRDefault="008831F9" w:rsidP="008831F9">
      <w:pPr>
        <w:tabs>
          <w:tab w:val="left" w:pos="9914"/>
        </w:tabs>
        <w:rPr>
          <w:rFonts w:ascii="Calibri" w:hAnsi="Calibri" w:cs="Calibri"/>
        </w:rPr>
      </w:pPr>
      <w:r w:rsidRPr="004E54A4">
        <w:rPr>
          <w:rFonts w:ascii="Calibri" w:hAnsi="Calibri" w:cs="Calibri"/>
        </w:rPr>
        <w:t>Asfalt należy przewozić w cysternach kolejowych lub samochodach izolowanych i zaopatrzonych w urządzenia umożliwiające pośrednie ogrzewanie oraz w zawory spustowe.</w:t>
      </w:r>
    </w:p>
    <w:p w14:paraId="747C962A" w14:textId="77777777" w:rsidR="008831F9" w:rsidRPr="004E54A4" w:rsidRDefault="008831F9" w:rsidP="008831F9">
      <w:pPr>
        <w:tabs>
          <w:tab w:val="left" w:pos="9914"/>
        </w:tabs>
        <w:rPr>
          <w:rFonts w:ascii="Calibri" w:hAnsi="Calibri" w:cs="Calibri"/>
        </w:rPr>
      </w:pPr>
      <w:r w:rsidRPr="004E54A4">
        <w:rPr>
          <w:rFonts w:ascii="Calibri" w:hAnsi="Calibri" w:cs="Calibri"/>
        </w:rPr>
        <w:t>Kruszywa można przewozić dowolnymi środkami transportu, w warunkach zabezpieczających je przed zanieczyszczeniem, zmieszaniem z innymi materiałami i nadmiernym zawilgoceniem.</w:t>
      </w:r>
    </w:p>
    <w:p w14:paraId="6A99CCE8" w14:textId="77777777" w:rsidR="008831F9" w:rsidRPr="004E54A4" w:rsidRDefault="008831F9" w:rsidP="008831F9">
      <w:pPr>
        <w:tabs>
          <w:tab w:val="left" w:pos="9914"/>
        </w:tabs>
        <w:rPr>
          <w:rFonts w:ascii="Calibri" w:hAnsi="Calibri" w:cs="Calibri"/>
        </w:rPr>
      </w:pPr>
      <w:r w:rsidRPr="004E54A4">
        <w:rPr>
          <w:rFonts w:ascii="Calibri" w:hAnsi="Calibri" w:cs="Calibri"/>
        </w:rPr>
        <w:t>Wypełniacz należy przewozić w sposób chroniący go przed zawilgoceniem, zbryleniem i zanieczyszczeniem. Wypełniacz luzem powinien być przewożony w odpowiednich cysternach przystosowanych do przewozu materiałów sypkich, umożliwiających rozładunek pneumatyczny.</w:t>
      </w:r>
    </w:p>
    <w:p w14:paraId="2956BFAB" w14:textId="77777777" w:rsidR="008831F9" w:rsidRPr="004E54A4" w:rsidRDefault="008831F9" w:rsidP="008831F9">
      <w:pPr>
        <w:tabs>
          <w:tab w:val="left" w:pos="9914"/>
        </w:tabs>
        <w:rPr>
          <w:rFonts w:ascii="Calibri" w:hAnsi="Calibri" w:cs="Calibri"/>
        </w:rPr>
      </w:pPr>
      <w:r w:rsidRPr="004E54A4">
        <w:rPr>
          <w:rFonts w:ascii="Calibri" w:hAnsi="Calibri" w:cs="Calibri"/>
        </w:rPr>
        <w:t>Emulsja asfaltowa może być transportowana w zamkniętych cysternach, autocysternach, beczkach i innych opakowaniach pod warunkiem, że nie będą korodowały pod wpływem emulsji i nie będą powodowały jej rozpadu. Cysterny powinny być wyposażone w przegrody. Nie należy używać do transportu opakowań z metali lekkich (może zachodzić wydzielanie wodoru i groźba wybuchu przy emulsjach o pH ≤ 4).</w:t>
      </w:r>
    </w:p>
    <w:p w14:paraId="0003BF5E" w14:textId="77777777" w:rsidR="008831F9" w:rsidRPr="004E54A4" w:rsidRDefault="008831F9" w:rsidP="008831F9">
      <w:pPr>
        <w:tabs>
          <w:tab w:val="left" w:pos="9914"/>
        </w:tabs>
        <w:rPr>
          <w:rFonts w:ascii="Calibri" w:hAnsi="Calibri" w:cs="Calibri"/>
        </w:rPr>
      </w:pPr>
      <w:r w:rsidRPr="004E54A4">
        <w:rPr>
          <w:rFonts w:ascii="Calibri" w:hAnsi="Calibri" w:cs="Calibri"/>
        </w:rPr>
        <w:t>Mieszankę mineralno-asfaltową należy  dowozić na budowę pojazdami samowyładowczymi w zależności od postępu robót. Podczas transportu i postoju przed wbudowaniem mieszanka powinna być zabezpieczona przed ostygnięciem i dopływem powietrza (przez przykrycie, pojemniki termoizolacyjne lub ogrzewane itp.). Warunki i czas transportu mieszanki, od produkcji do wbudowania, powinna zapewniać utrzymanie temperatury w wymaganym przedziale. Powierzchnie pojemników używanych do transportu mieszanki powinny być czyste, a do zwilżania tych powierzchni można używać tylko środki antyadhezyjne niewpływające szkodliwie na mieszankę.</w:t>
      </w:r>
    </w:p>
    <w:p w14:paraId="2AD12E20" w14:textId="77777777" w:rsidR="008831F9" w:rsidRPr="004E54A4" w:rsidRDefault="008831F9" w:rsidP="008831F9">
      <w:pPr>
        <w:pStyle w:val="Nagwek3"/>
      </w:pPr>
      <w:r w:rsidRPr="004E54A4">
        <w:t>5. WYKONANIE ROBÓT</w:t>
      </w:r>
    </w:p>
    <w:p w14:paraId="35E34536" w14:textId="77777777" w:rsidR="008831F9" w:rsidRPr="004E54A4" w:rsidRDefault="008831F9" w:rsidP="008831F9">
      <w:pPr>
        <w:pStyle w:val="Nagwek4"/>
      </w:pPr>
      <w:r w:rsidRPr="004E54A4">
        <w:t>5.1. Ogólne zasady wykonania robót</w:t>
      </w:r>
    </w:p>
    <w:p w14:paraId="6AE30A22" w14:textId="77777777" w:rsidR="008831F9" w:rsidRPr="004E54A4" w:rsidRDefault="008831F9" w:rsidP="008831F9">
      <w:pPr>
        <w:numPr>
          <w:ilvl w:val="12"/>
          <w:numId w:val="0"/>
        </w:numPr>
        <w:tabs>
          <w:tab w:val="left" w:pos="9914"/>
        </w:tabs>
        <w:rPr>
          <w:rFonts w:ascii="Calibri" w:hAnsi="Calibri" w:cs="Calibri"/>
        </w:rPr>
      </w:pPr>
    </w:p>
    <w:p w14:paraId="2308B6E2" w14:textId="77777777" w:rsidR="008831F9" w:rsidRPr="004E54A4" w:rsidRDefault="008831F9" w:rsidP="008831F9">
      <w:pPr>
        <w:numPr>
          <w:ilvl w:val="12"/>
          <w:numId w:val="0"/>
        </w:numPr>
        <w:tabs>
          <w:tab w:val="left" w:pos="9914"/>
        </w:tabs>
        <w:rPr>
          <w:rFonts w:ascii="Calibri" w:hAnsi="Calibri" w:cs="Calibri"/>
        </w:rPr>
      </w:pPr>
      <w:r w:rsidRPr="004E54A4">
        <w:rPr>
          <w:rFonts w:ascii="Calibri" w:hAnsi="Calibri" w:cs="Calibri"/>
        </w:rPr>
        <w:t>Ogólne zasady wykonania robót podano w STWiORB D-M-00.00.00 „Wymagania ogólne” pkt 5.</w:t>
      </w:r>
    </w:p>
    <w:p w14:paraId="205CD1BF" w14:textId="77777777" w:rsidR="008831F9" w:rsidRPr="004E54A4" w:rsidRDefault="008831F9" w:rsidP="008831F9">
      <w:pPr>
        <w:pStyle w:val="Nagwek4"/>
      </w:pPr>
      <w:r w:rsidRPr="004E54A4">
        <w:t>5.2. Projektowanie mieszanki mineralno-asfaltowej do warstwy ścieralnej</w:t>
      </w:r>
    </w:p>
    <w:p w14:paraId="23E75778" w14:textId="77777777" w:rsidR="008831F9" w:rsidRPr="00A662DD" w:rsidRDefault="008831F9" w:rsidP="008831F9">
      <w:pPr>
        <w:pStyle w:val="Standardowytekst"/>
        <w:tabs>
          <w:tab w:val="left" w:pos="284"/>
        </w:tabs>
        <w:rPr>
          <w:rFonts w:ascii="Calibri" w:hAnsi="Calibri" w:cs="Calibri"/>
        </w:rPr>
      </w:pPr>
      <w:r w:rsidRPr="00A662DD">
        <w:rPr>
          <w:rFonts w:ascii="Calibri" w:hAnsi="Calibri" w:cs="Calibri"/>
        </w:rPr>
        <w:t xml:space="preserve">Wykonawca nie później niż </w:t>
      </w:r>
      <w:r>
        <w:rPr>
          <w:rFonts w:ascii="Calibri" w:hAnsi="Calibri" w:cs="Calibri"/>
        </w:rPr>
        <w:t xml:space="preserve">7 dni </w:t>
      </w:r>
      <w:r w:rsidRPr="00A662DD">
        <w:rPr>
          <w:rFonts w:ascii="Calibri" w:hAnsi="Calibri" w:cs="Calibri"/>
        </w:rPr>
        <w:t xml:space="preserve">przed przystąpieniem do produkcji mieszanki, dostarczy Inżynierowi do akceptacji projekt składu mieszanki mineralno - asfaltowej oraz dokumenty potwierdzające wymaganą jakość stosowanych materiałów. </w:t>
      </w:r>
    </w:p>
    <w:p w14:paraId="7D134A37" w14:textId="77777777" w:rsidR="008831F9" w:rsidRPr="004E54A4" w:rsidRDefault="008831F9" w:rsidP="008831F9">
      <w:pPr>
        <w:rPr>
          <w:rFonts w:ascii="Calibri" w:hAnsi="Calibri" w:cs="Calibri"/>
        </w:rPr>
      </w:pPr>
      <w:r w:rsidRPr="004E54A4">
        <w:rPr>
          <w:rFonts w:ascii="Calibri" w:hAnsi="Calibri" w:cs="Calibri"/>
        </w:rPr>
        <w:t>Projektowanie mieszanki mineralno-asfaltowej polega na:</w:t>
      </w:r>
    </w:p>
    <w:p w14:paraId="681325F3" w14:textId="77777777" w:rsidR="008831F9" w:rsidRPr="00A662DD" w:rsidRDefault="008831F9" w:rsidP="00262498">
      <w:pPr>
        <w:numPr>
          <w:ilvl w:val="0"/>
          <w:numId w:val="257"/>
        </w:numPr>
        <w:overflowPunct/>
        <w:autoSpaceDE/>
        <w:autoSpaceDN/>
        <w:adjustRightInd/>
        <w:textAlignment w:val="auto"/>
        <w:rPr>
          <w:rFonts w:ascii="Calibri" w:hAnsi="Calibri" w:cs="Calibri"/>
        </w:rPr>
      </w:pPr>
      <w:r w:rsidRPr="00A662DD">
        <w:rPr>
          <w:rFonts w:ascii="Calibri" w:hAnsi="Calibri" w:cs="Calibri"/>
        </w:rPr>
        <w:t>doborze składników mieszanki,</w:t>
      </w:r>
    </w:p>
    <w:p w14:paraId="41A3D2CA" w14:textId="77777777" w:rsidR="008831F9" w:rsidRPr="00A662DD" w:rsidRDefault="008831F9" w:rsidP="00262498">
      <w:pPr>
        <w:numPr>
          <w:ilvl w:val="0"/>
          <w:numId w:val="257"/>
        </w:numPr>
        <w:overflowPunct/>
        <w:autoSpaceDE/>
        <w:autoSpaceDN/>
        <w:adjustRightInd/>
        <w:textAlignment w:val="auto"/>
        <w:rPr>
          <w:rFonts w:ascii="Calibri" w:hAnsi="Calibri" w:cs="Calibri"/>
        </w:rPr>
      </w:pPr>
      <w:r w:rsidRPr="00A662DD">
        <w:rPr>
          <w:rFonts w:ascii="Calibri" w:hAnsi="Calibri" w:cs="Calibri"/>
        </w:rPr>
        <w:t>doborze optymalnej ilości asfaltu,</w:t>
      </w:r>
    </w:p>
    <w:p w14:paraId="44DA5E5B" w14:textId="77777777" w:rsidR="008831F9" w:rsidRPr="004E54A4" w:rsidRDefault="008831F9" w:rsidP="00262498">
      <w:pPr>
        <w:numPr>
          <w:ilvl w:val="0"/>
          <w:numId w:val="257"/>
        </w:numPr>
        <w:overflowPunct/>
        <w:autoSpaceDE/>
        <w:autoSpaceDN/>
        <w:adjustRightInd/>
        <w:textAlignment w:val="auto"/>
        <w:rPr>
          <w:rFonts w:ascii="Calibri" w:hAnsi="Calibri" w:cs="Calibri"/>
        </w:rPr>
      </w:pPr>
      <w:r w:rsidRPr="004E54A4">
        <w:rPr>
          <w:rFonts w:ascii="Calibri" w:hAnsi="Calibri" w:cs="Calibri"/>
        </w:rPr>
        <w:t>określeniu jej właściwości i porównaniu wyników z założeniami projektowymi.</w:t>
      </w:r>
    </w:p>
    <w:p w14:paraId="0862B423" w14:textId="77777777" w:rsidR="008831F9" w:rsidRPr="004E54A4" w:rsidRDefault="008831F9" w:rsidP="008831F9">
      <w:pPr>
        <w:rPr>
          <w:rFonts w:ascii="Calibri" w:hAnsi="Calibri" w:cs="Calibri"/>
        </w:rPr>
      </w:pPr>
    </w:p>
    <w:p w14:paraId="4DA5457B" w14:textId="77777777" w:rsidR="008831F9" w:rsidRPr="004E54A4" w:rsidRDefault="008831F9" w:rsidP="008831F9">
      <w:pPr>
        <w:pStyle w:val="Nagwek4"/>
      </w:pPr>
      <w:r w:rsidRPr="004E54A4">
        <w:t>5.3.Parametry mieszanki mineralno asfaltowej AC</w:t>
      </w:r>
    </w:p>
    <w:p w14:paraId="118028BB" w14:textId="77777777" w:rsidR="008831F9" w:rsidRPr="004E54A4" w:rsidRDefault="008831F9" w:rsidP="008831F9">
      <w:pPr>
        <w:tabs>
          <w:tab w:val="left" w:pos="284"/>
        </w:tabs>
        <w:rPr>
          <w:rFonts w:asciiTheme="minorHAnsi" w:hAnsiTheme="minorHAnsi" w:cstheme="minorHAnsi"/>
        </w:rPr>
      </w:pPr>
      <w:r w:rsidRPr="004E54A4">
        <w:rPr>
          <w:rFonts w:asciiTheme="minorHAnsi" w:hAnsiTheme="minorHAnsi" w:cstheme="minorHAnsi"/>
        </w:rPr>
        <w:t>Uziarnienie mieszanki mineralnej powinna mieścić się w polu dobrego uziarnienia wyznaczonego przez punkty graniczne. Rzędne punktów granicznych uziarnienia mieszanki mineralnej betonu asfaltowego do warstwy ścieralnej oraz minimalne zawartości asfaltu podano w tablicy 6.</w:t>
      </w:r>
    </w:p>
    <w:p w14:paraId="7CA75556" w14:textId="77777777" w:rsidR="008831F9" w:rsidRPr="004E54A4" w:rsidRDefault="008831F9" w:rsidP="008831F9">
      <w:pPr>
        <w:rPr>
          <w:rFonts w:asciiTheme="minorHAnsi" w:hAnsiTheme="minorHAnsi" w:cstheme="minorHAnsi"/>
          <w:b/>
          <w:bCs/>
        </w:rPr>
      </w:pPr>
      <w:r w:rsidRPr="004E54A4">
        <w:rPr>
          <w:rFonts w:asciiTheme="minorHAnsi" w:hAnsiTheme="minorHAnsi" w:cstheme="minorHAnsi"/>
          <w:b/>
          <w:bCs/>
        </w:rPr>
        <w:t>UWAGA: podane minimalne zawartości asfaltu dotyczą AC o referencyjnej gęstości mieszanki mineralnej równej 2,65 Mg/m</w:t>
      </w:r>
      <w:r w:rsidRPr="004E54A4">
        <w:rPr>
          <w:rFonts w:asciiTheme="minorHAnsi" w:hAnsiTheme="minorHAnsi" w:cstheme="minorHAnsi"/>
          <w:b/>
          <w:bCs/>
          <w:vertAlign w:val="superscript"/>
        </w:rPr>
        <w:t>3</w:t>
      </w:r>
      <w:r w:rsidRPr="004E54A4">
        <w:rPr>
          <w:rFonts w:asciiTheme="minorHAnsi" w:hAnsiTheme="minorHAnsi" w:cstheme="minorHAnsi"/>
          <w:b/>
          <w:bCs/>
        </w:rPr>
        <w:t>. W przypadku uzyskania innej gęstości mieszanki mineralnej należy dla B</w:t>
      </w:r>
      <w:r w:rsidRPr="004E54A4">
        <w:rPr>
          <w:rFonts w:asciiTheme="minorHAnsi" w:hAnsiTheme="minorHAnsi" w:cstheme="minorHAnsi"/>
          <w:b/>
          <w:bCs/>
          <w:vertAlign w:val="subscript"/>
        </w:rPr>
        <w:t>min</w:t>
      </w:r>
      <w:r w:rsidRPr="004E54A4">
        <w:rPr>
          <w:rFonts w:asciiTheme="minorHAnsi" w:hAnsiTheme="minorHAnsi" w:cstheme="minorHAnsi"/>
          <w:b/>
          <w:bCs/>
        </w:rPr>
        <w:t xml:space="preserve"> zastosować współczynnik korygujący </w:t>
      </w:r>
      <w:r w:rsidRPr="00A662DD">
        <w:rPr>
          <w:rFonts w:asciiTheme="minorHAnsi" w:hAnsiTheme="minorHAnsi" w:cstheme="minorHAnsi"/>
          <w:b/>
          <w:bCs/>
        </w:rPr>
        <w:t>α</w:t>
      </w:r>
      <w:r w:rsidRPr="004E54A4">
        <w:rPr>
          <w:rFonts w:asciiTheme="minorHAnsi" w:hAnsiTheme="minorHAnsi" w:cstheme="minorHAnsi"/>
          <w:b/>
          <w:bCs/>
        </w:rPr>
        <w:t xml:space="preserve"> wg wzoru:</w:t>
      </w:r>
    </w:p>
    <w:p w14:paraId="3A81C86B" w14:textId="77777777" w:rsidR="008831F9" w:rsidRPr="00A662DD" w:rsidRDefault="008831F9" w:rsidP="008831F9">
      <w:pPr>
        <w:pStyle w:val="Standardowytekst"/>
        <w:jc w:val="center"/>
        <w:rPr>
          <w:rFonts w:asciiTheme="minorHAnsi" w:hAnsiTheme="minorHAnsi" w:cstheme="minorHAnsi"/>
        </w:rPr>
      </w:pPr>
      <w:r w:rsidRPr="00A662DD">
        <w:rPr>
          <w:rFonts w:asciiTheme="minorHAnsi" w:hAnsiTheme="minorHAnsi" w:cstheme="minorHAnsi"/>
        </w:rPr>
        <w:t>α = 2,65/</w:t>
      </w:r>
      <w:r w:rsidRPr="00A662DD">
        <w:rPr>
          <w:rFonts w:asciiTheme="minorHAnsi" w:hAnsiTheme="minorHAnsi" w:cstheme="minorHAnsi"/>
        </w:rPr>
        <w:sym w:font="Symbol" w:char="F072"/>
      </w:r>
      <w:r w:rsidRPr="00A662DD">
        <w:rPr>
          <w:rFonts w:asciiTheme="minorHAnsi" w:hAnsiTheme="minorHAnsi" w:cstheme="minorHAnsi"/>
        </w:rPr>
        <w:t>a</w:t>
      </w:r>
    </w:p>
    <w:p w14:paraId="1FF2743C" w14:textId="77777777" w:rsidR="008831F9" w:rsidRPr="00A662DD" w:rsidRDefault="008831F9" w:rsidP="008831F9">
      <w:pPr>
        <w:pStyle w:val="Standardowytekst"/>
        <w:rPr>
          <w:rFonts w:asciiTheme="minorHAnsi" w:hAnsiTheme="minorHAnsi" w:cstheme="minorHAnsi"/>
        </w:rPr>
      </w:pPr>
      <w:r w:rsidRPr="00A662DD">
        <w:rPr>
          <w:rFonts w:asciiTheme="minorHAnsi" w:hAnsiTheme="minorHAnsi" w:cstheme="minorHAnsi"/>
        </w:rPr>
        <w:sym w:font="Symbol" w:char="F072"/>
      </w:r>
      <w:r w:rsidRPr="00A662DD">
        <w:rPr>
          <w:rFonts w:asciiTheme="minorHAnsi" w:hAnsiTheme="minorHAnsi" w:cstheme="minorHAnsi"/>
        </w:rPr>
        <w:t>a - gęstość objętościowa ziarn kruszywa mieszanki mineralnej, w megagramach na metr sześcienny (Mg/m3), określona zgodnie z normą EN 1097-6.</w:t>
      </w:r>
    </w:p>
    <w:p w14:paraId="3361E096" w14:textId="77777777" w:rsidR="008831F9" w:rsidRPr="004E54A4" w:rsidRDefault="008831F9" w:rsidP="008831F9">
      <w:pPr>
        <w:keepNext/>
        <w:ind w:left="964" w:hanging="964"/>
        <w:rPr>
          <w:rFonts w:asciiTheme="minorHAnsi" w:hAnsiTheme="minorHAnsi" w:cstheme="minorHAnsi"/>
          <w:bCs/>
        </w:rPr>
      </w:pPr>
    </w:p>
    <w:p w14:paraId="4CF1BC93" w14:textId="77777777" w:rsidR="008831F9" w:rsidRPr="004E54A4" w:rsidRDefault="008831F9" w:rsidP="008831F9">
      <w:pPr>
        <w:keepNext/>
        <w:ind w:left="964" w:hanging="964"/>
        <w:rPr>
          <w:rFonts w:asciiTheme="minorHAnsi" w:hAnsiTheme="minorHAnsi" w:cstheme="minorHAnsi"/>
        </w:rPr>
      </w:pPr>
      <w:r w:rsidRPr="004E54A4">
        <w:rPr>
          <w:rFonts w:asciiTheme="minorHAnsi" w:hAnsiTheme="minorHAnsi" w:cstheme="minorHAnsi"/>
          <w:bCs/>
        </w:rPr>
        <w:t>Tablica 6</w:t>
      </w:r>
      <w:r w:rsidRPr="004E54A4">
        <w:rPr>
          <w:rFonts w:asciiTheme="minorHAnsi" w:hAnsiTheme="minorHAnsi" w:cstheme="minorHAnsi"/>
        </w:rPr>
        <w:t>. Rzędne punktów granicznych uziarnienia mieszanki mineralnej betonu asfaltowego do warstwy ścieralnej oraz kategoria zawartości asfaltu.</w:t>
      </w:r>
    </w:p>
    <w:p w14:paraId="70DC2452" w14:textId="77777777" w:rsidR="008831F9" w:rsidRPr="004E54A4" w:rsidRDefault="008831F9" w:rsidP="008831F9">
      <w:pPr>
        <w:keepNext/>
        <w:ind w:left="964" w:hanging="964"/>
        <w:rPr>
          <w:rFonts w:asciiTheme="minorHAnsi" w:hAnsiTheme="minorHAnsi" w:cstheme="minorHAnsi"/>
        </w:rPr>
      </w:pPr>
    </w:p>
    <w:tbl>
      <w:tblPr>
        <w:tblpPr w:leftFromText="141" w:rightFromText="141"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842"/>
        <w:gridCol w:w="850"/>
        <w:gridCol w:w="850"/>
        <w:gridCol w:w="850"/>
        <w:gridCol w:w="850"/>
      </w:tblGrid>
      <w:tr w:rsidR="008831F9" w:rsidRPr="00A662DD" w14:paraId="3776258E" w14:textId="77777777" w:rsidTr="007E56C9">
        <w:trPr>
          <w:cantSplit/>
        </w:trPr>
        <w:tc>
          <w:tcPr>
            <w:tcW w:w="1842" w:type="dxa"/>
            <w:vMerge w:val="restart"/>
          </w:tcPr>
          <w:p w14:paraId="486A6496" w14:textId="77777777" w:rsidR="008831F9" w:rsidRPr="00A662DD" w:rsidRDefault="008831F9" w:rsidP="00EA573C">
            <w:pPr>
              <w:keepNext/>
              <w:jc w:val="center"/>
              <w:rPr>
                <w:rFonts w:asciiTheme="minorHAnsi" w:hAnsiTheme="minorHAnsi" w:cstheme="minorHAnsi"/>
              </w:rPr>
            </w:pPr>
            <w:r w:rsidRPr="00A662DD">
              <w:rPr>
                <w:rFonts w:asciiTheme="minorHAnsi" w:hAnsiTheme="minorHAnsi" w:cstheme="minorHAnsi"/>
              </w:rPr>
              <w:t>Właściwość</w:t>
            </w:r>
          </w:p>
        </w:tc>
        <w:tc>
          <w:tcPr>
            <w:tcW w:w="3398" w:type="dxa"/>
            <w:gridSpan w:val="4"/>
          </w:tcPr>
          <w:p w14:paraId="34A19FA4" w14:textId="77777777" w:rsidR="008831F9" w:rsidRPr="00A662DD" w:rsidRDefault="008831F9" w:rsidP="00EA573C">
            <w:pPr>
              <w:keepNext/>
              <w:jc w:val="center"/>
              <w:rPr>
                <w:rFonts w:asciiTheme="minorHAnsi" w:hAnsiTheme="minorHAnsi" w:cstheme="minorHAnsi"/>
              </w:rPr>
            </w:pPr>
            <w:r w:rsidRPr="00A662DD">
              <w:rPr>
                <w:rFonts w:asciiTheme="minorHAnsi" w:hAnsiTheme="minorHAnsi" w:cstheme="minorHAnsi"/>
              </w:rPr>
              <w:t>Przesiew [%(m/m)]</w:t>
            </w:r>
          </w:p>
        </w:tc>
      </w:tr>
      <w:tr w:rsidR="007E56C9" w:rsidRPr="00A662DD" w14:paraId="132376A2" w14:textId="77777777" w:rsidTr="00EA573C">
        <w:trPr>
          <w:cantSplit/>
        </w:trPr>
        <w:tc>
          <w:tcPr>
            <w:tcW w:w="1842" w:type="dxa"/>
            <w:vMerge/>
          </w:tcPr>
          <w:p w14:paraId="4A8B7D4B" w14:textId="77777777" w:rsidR="007E56C9" w:rsidRPr="00A662DD" w:rsidRDefault="007E56C9" w:rsidP="00EA573C">
            <w:pPr>
              <w:keepNext/>
              <w:jc w:val="center"/>
              <w:rPr>
                <w:rFonts w:asciiTheme="minorHAnsi" w:hAnsiTheme="minorHAnsi" w:cstheme="minorHAnsi"/>
              </w:rPr>
            </w:pPr>
          </w:p>
        </w:tc>
        <w:tc>
          <w:tcPr>
            <w:tcW w:w="1700" w:type="dxa"/>
            <w:gridSpan w:val="2"/>
          </w:tcPr>
          <w:p w14:paraId="4F47584A" w14:textId="77777777" w:rsidR="007E56C9" w:rsidRPr="00A662DD" w:rsidRDefault="007E56C9" w:rsidP="00EA573C">
            <w:pPr>
              <w:keepNext/>
              <w:jc w:val="center"/>
              <w:rPr>
                <w:rFonts w:asciiTheme="minorHAnsi" w:hAnsiTheme="minorHAnsi" w:cstheme="minorHAnsi"/>
              </w:rPr>
            </w:pPr>
            <w:r w:rsidRPr="00A662DD">
              <w:rPr>
                <w:rFonts w:asciiTheme="minorHAnsi" w:hAnsiTheme="minorHAnsi" w:cstheme="minorHAnsi"/>
              </w:rPr>
              <w:t>AC 11S KR1</w:t>
            </w:r>
            <w:r>
              <w:rPr>
                <w:rFonts w:asciiTheme="minorHAnsi" w:hAnsiTheme="minorHAnsi" w:cstheme="minorHAnsi"/>
              </w:rPr>
              <w:t>-2</w:t>
            </w:r>
          </w:p>
        </w:tc>
        <w:tc>
          <w:tcPr>
            <w:tcW w:w="1700" w:type="dxa"/>
            <w:gridSpan w:val="2"/>
          </w:tcPr>
          <w:p w14:paraId="7F12E68C" w14:textId="77777777" w:rsidR="007E56C9" w:rsidRPr="00A662DD" w:rsidRDefault="007E56C9" w:rsidP="00EA573C">
            <w:pPr>
              <w:keepNext/>
              <w:jc w:val="center"/>
              <w:rPr>
                <w:rFonts w:asciiTheme="minorHAnsi" w:hAnsiTheme="minorHAnsi" w:cstheme="minorHAnsi"/>
              </w:rPr>
            </w:pPr>
            <w:r w:rsidRPr="00A662DD">
              <w:rPr>
                <w:rFonts w:asciiTheme="minorHAnsi" w:hAnsiTheme="minorHAnsi" w:cstheme="minorHAnsi"/>
              </w:rPr>
              <w:t>AC 11S KR</w:t>
            </w:r>
            <w:r>
              <w:rPr>
                <w:rFonts w:asciiTheme="minorHAnsi" w:hAnsiTheme="minorHAnsi" w:cstheme="minorHAnsi"/>
              </w:rPr>
              <w:t>3-4</w:t>
            </w:r>
          </w:p>
        </w:tc>
      </w:tr>
      <w:tr w:rsidR="007E56C9" w:rsidRPr="00A662DD" w14:paraId="71FCF28C" w14:textId="77777777" w:rsidTr="00EA573C">
        <w:trPr>
          <w:cantSplit/>
        </w:trPr>
        <w:tc>
          <w:tcPr>
            <w:tcW w:w="1842" w:type="dxa"/>
          </w:tcPr>
          <w:p w14:paraId="528ADC5F" w14:textId="77777777" w:rsidR="007E56C9" w:rsidRPr="00A662DD" w:rsidRDefault="007E56C9" w:rsidP="00EA573C">
            <w:pPr>
              <w:keepNext/>
              <w:jc w:val="center"/>
              <w:rPr>
                <w:rFonts w:asciiTheme="minorHAnsi" w:hAnsiTheme="minorHAnsi" w:cstheme="minorHAnsi"/>
              </w:rPr>
            </w:pPr>
            <w:r w:rsidRPr="00A662DD">
              <w:rPr>
                <w:rFonts w:asciiTheme="minorHAnsi" w:hAnsiTheme="minorHAnsi" w:cstheme="minorHAnsi"/>
              </w:rPr>
              <w:t>Wymiar sita #, (mm)</w:t>
            </w:r>
          </w:p>
        </w:tc>
        <w:tc>
          <w:tcPr>
            <w:tcW w:w="850" w:type="dxa"/>
          </w:tcPr>
          <w:p w14:paraId="5B3A0030" w14:textId="77777777" w:rsidR="007E56C9" w:rsidRPr="00A662DD" w:rsidRDefault="007E56C9" w:rsidP="00EA573C">
            <w:pPr>
              <w:keepNext/>
              <w:jc w:val="center"/>
              <w:rPr>
                <w:rFonts w:asciiTheme="minorHAnsi" w:hAnsiTheme="minorHAnsi" w:cstheme="minorHAnsi"/>
              </w:rPr>
            </w:pPr>
            <w:r w:rsidRPr="00A662DD">
              <w:rPr>
                <w:rFonts w:asciiTheme="minorHAnsi" w:hAnsiTheme="minorHAnsi" w:cstheme="minorHAnsi"/>
              </w:rPr>
              <w:t>od</w:t>
            </w:r>
          </w:p>
        </w:tc>
        <w:tc>
          <w:tcPr>
            <w:tcW w:w="850" w:type="dxa"/>
          </w:tcPr>
          <w:p w14:paraId="5B26255A" w14:textId="77777777" w:rsidR="007E56C9" w:rsidRPr="00A662DD" w:rsidRDefault="007E56C9" w:rsidP="00EA573C">
            <w:pPr>
              <w:keepNext/>
              <w:jc w:val="center"/>
              <w:rPr>
                <w:rFonts w:asciiTheme="minorHAnsi" w:hAnsiTheme="minorHAnsi" w:cstheme="minorHAnsi"/>
              </w:rPr>
            </w:pPr>
            <w:r w:rsidRPr="00A662DD">
              <w:rPr>
                <w:rFonts w:asciiTheme="minorHAnsi" w:hAnsiTheme="minorHAnsi" w:cstheme="minorHAnsi"/>
              </w:rPr>
              <w:t>do</w:t>
            </w:r>
          </w:p>
        </w:tc>
        <w:tc>
          <w:tcPr>
            <w:tcW w:w="850" w:type="dxa"/>
          </w:tcPr>
          <w:p w14:paraId="6173C775" w14:textId="77777777" w:rsidR="007E56C9" w:rsidRPr="00A662DD" w:rsidRDefault="007E56C9" w:rsidP="00EA573C">
            <w:pPr>
              <w:keepNext/>
              <w:jc w:val="center"/>
              <w:rPr>
                <w:rFonts w:asciiTheme="minorHAnsi" w:hAnsiTheme="minorHAnsi" w:cstheme="minorHAnsi"/>
              </w:rPr>
            </w:pPr>
            <w:r w:rsidRPr="00A662DD">
              <w:rPr>
                <w:rFonts w:asciiTheme="minorHAnsi" w:hAnsiTheme="minorHAnsi" w:cstheme="minorHAnsi"/>
              </w:rPr>
              <w:t>od</w:t>
            </w:r>
          </w:p>
        </w:tc>
        <w:tc>
          <w:tcPr>
            <w:tcW w:w="850" w:type="dxa"/>
          </w:tcPr>
          <w:p w14:paraId="31B7C492" w14:textId="77777777" w:rsidR="007E56C9" w:rsidRPr="00A662DD" w:rsidRDefault="007E56C9" w:rsidP="00EA573C">
            <w:pPr>
              <w:keepNext/>
              <w:jc w:val="center"/>
              <w:rPr>
                <w:rFonts w:asciiTheme="minorHAnsi" w:hAnsiTheme="minorHAnsi" w:cstheme="minorHAnsi"/>
              </w:rPr>
            </w:pPr>
            <w:r w:rsidRPr="00A662DD">
              <w:rPr>
                <w:rFonts w:asciiTheme="minorHAnsi" w:hAnsiTheme="minorHAnsi" w:cstheme="minorHAnsi"/>
              </w:rPr>
              <w:t>do</w:t>
            </w:r>
          </w:p>
        </w:tc>
      </w:tr>
      <w:tr w:rsidR="007E56C9" w:rsidRPr="00A662DD" w14:paraId="77C09FA3" w14:textId="77777777" w:rsidTr="00EA573C">
        <w:tc>
          <w:tcPr>
            <w:tcW w:w="1842" w:type="dxa"/>
          </w:tcPr>
          <w:p w14:paraId="0FF1D914" w14:textId="77777777" w:rsidR="007E56C9" w:rsidRPr="00A662DD" w:rsidRDefault="007E56C9" w:rsidP="00EA573C">
            <w:pPr>
              <w:keepNext/>
              <w:jc w:val="center"/>
              <w:rPr>
                <w:rFonts w:asciiTheme="minorHAnsi" w:hAnsiTheme="minorHAnsi" w:cstheme="minorHAnsi"/>
              </w:rPr>
            </w:pPr>
            <w:r w:rsidRPr="00A662DD">
              <w:rPr>
                <w:rFonts w:asciiTheme="minorHAnsi" w:hAnsiTheme="minorHAnsi" w:cstheme="minorHAnsi"/>
              </w:rPr>
              <w:t>16</w:t>
            </w:r>
          </w:p>
        </w:tc>
        <w:tc>
          <w:tcPr>
            <w:tcW w:w="850" w:type="dxa"/>
          </w:tcPr>
          <w:p w14:paraId="0B9F7E5D" w14:textId="77777777" w:rsidR="007E56C9" w:rsidRPr="00A662DD" w:rsidRDefault="007E56C9" w:rsidP="00EA573C">
            <w:pPr>
              <w:keepNext/>
              <w:jc w:val="center"/>
              <w:rPr>
                <w:rFonts w:asciiTheme="minorHAnsi" w:hAnsiTheme="minorHAnsi" w:cstheme="minorHAnsi"/>
              </w:rPr>
            </w:pPr>
            <w:r w:rsidRPr="00A662DD">
              <w:rPr>
                <w:rFonts w:asciiTheme="minorHAnsi" w:hAnsiTheme="minorHAnsi" w:cstheme="minorHAnsi"/>
              </w:rPr>
              <w:t>100</w:t>
            </w:r>
          </w:p>
        </w:tc>
        <w:tc>
          <w:tcPr>
            <w:tcW w:w="850" w:type="dxa"/>
          </w:tcPr>
          <w:p w14:paraId="00BF75EE" w14:textId="77777777" w:rsidR="007E56C9" w:rsidRPr="00A662DD" w:rsidRDefault="007E56C9" w:rsidP="00EA573C">
            <w:pPr>
              <w:keepNext/>
              <w:jc w:val="center"/>
              <w:rPr>
                <w:rFonts w:asciiTheme="minorHAnsi" w:hAnsiTheme="minorHAnsi" w:cstheme="minorHAnsi"/>
              </w:rPr>
            </w:pPr>
            <w:r w:rsidRPr="00A662DD">
              <w:rPr>
                <w:rFonts w:asciiTheme="minorHAnsi" w:hAnsiTheme="minorHAnsi" w:cstheme="minorHAnsi"/>
              </w:rPr>
              <w:t>-</w:t>
            </w:r>
          </w:p>
        </w:tc>
        <w:tc>
          <w:tcPr>
            <w:tcW w:w="850" w:type="dxa"/>
          </w:tcPr>
          <w:p w14:paraId="4C1BCB28" w14:textId="77777777" w:rsidR="007E56C9" w:rsidRPr="00A662DD" w:rsidRDefault="007E56C9" w:rsidP="00EA573C">
            <w:pPr>
              <w:keepNext/>
              <w:jc w:val="center"/>
              <w:rPr>
                <w:rFonts w:asciiTheme="minorHAnsi" w:hAnsiTheme="minorHAnsi" w:cstheme="minorHAnsi"/>
              </w:rPr>
            </w:pPr>
            <w:r w:rsidRPr="00A662DD">
              <w:rPr>
                <w:rFonts w:asciiTheme="minorHAnsi" w:hAnsiTheme="minorHAnsi" w:cstheme="minorHAnsi"/>
              </w:rPr>
              <w:t>100</w:t>
            </w:r>
          </w:p>
        </w:tc>
        <w:tc>
          <w:tcPr>
            <w:tcW w:w="850" w:type="dxa"/>
          </w:tcPr>
          <w:p w14:paraId="614D9100" w14:textId="77777777" w:rsidR="007E56C9" w:rsidRPr="00A662DD" w:rsidRDefault="007E56C9" w:rsidP="00EA573C">
            <w:pPr>
              <w:keepNext/>
              <w:jc w:val="center"/>
              <w:rPr>
                <w:rFonts w:asciiTheme="minorHAnsi" w:hAnsiTheme="minorHAnsi" w:cstheme="minorHAnsi"/>
              </w:rPr>
            </w:pPr>
            <w:r w:rsidRPr="00A662DD">
              <w:rPr>
                <w:rFonts w:asciiTheme="minorHAnsi" w:hAnsiTheme="minorHAnsi" w:cstheme="minorHAnsi"/>
              </w:rPr>
              <w:t>-</w:t>
            </w:r>
          </w:p>
        </w:tc>
      </w:tr>
      <w:tr w:rsidR="007E56C9" w:rsidRPr="00A662DD" w14:paraId="14D8B8C0" w14:textId="77777777" w:rsidTr="00EA573C">
        <w:tc>
          <w:tcPr>
            <w:tcW w:w="1842" w:type="dxa"/>
          </w:tcPr>
          <w:p w14:paraId="33B92CF9" w14:textId="77777777" w:rsidR="007E56C9" w:rsidRPr="00A662DD" w:rsidRDefault="007E56C9" w:rsidP="00EA573C">
            <w:pPr>
              <w:keepNext/>
              <w:jc w:val="center"/>
              <w:rPr>
                <w:rFonts w:asciiTheme="minorHAnsi" w:hAnsiTheme="minorHAnsi" w:cstheme="minorHAnsi"/>
              </w:rPr>
            </w:pPr>
            <w:r w:rsidRPr="00A662DD">
              <w:rPr>
                <w:rFonts w:asciiTheme="minorHAnsi" w:hAnsiTheme="minorHAnsi" w:cstheme="minorHAnsi"/>
              </w:rPr>
              <w:t>11,2</w:t>
            </w:r>
          </w:p>
        </w:tc>
        <w:tc>
          <w:tcPr>
            <w:tcW w:w="850" w:type="dxa"/>
          </w:tcPr>
          <w:p w14:paraId="495FC641" w14:textId="77777777" w:rsidR="007E56C9" w:rsidRPr="00A662DD" w:rsidRDefault="007E56C9" w:rsidP="00EA573C">
            <w:pPr>
              <w:keepNext/>
              <w:jc w:val="center"/>
              <w:rPr>
                <w:rFonts w:asciiTheme="minorHAnsi" w:hAnsiTheme="minorHAnsi" w:cstheme="minorHAnsi"/>
              </w:rPr>
            </w:pPr>
            <w:r w:rsidRPr="00A662DD">
              <w:rPr>
                <w:rFonts w:asciiTheme="minorHAnsi" w:hAnsiTheme="minorHAnsi" w:cstheme="minorHAnsi"/>
              </w:rPr>
              <w:t>90</w:t>
            </w:r>
          </w:p>
        </w:tc>
        <w:tc>
          <w:tcPr>
            <w:tcW w:w="850" w:type="dxa"/>
          </w:tcPr>
          <w:p w14:paraId="7A458047" w14:textId="77777777" w:rsidR="007E56C9" w:rsidRPr="00A662DD" w:rsidRDefault="007E56C9" w:rsidP="00EA573C">
            <w:pPr>
              <w:keepNext/>
              <w:jc w:val="center"/>
              <w:rPr>
                <w:rFonts w:asciiTheme="minorHAnsi" w:hAnsiTheme="minorHAnsi" w:cstheme="minorHAnsi"/>
              </w:rPr>
            </w:pPr>
            <w:r w:rsidRPr="00A662DD">
              <w:rPr>
                <w:rFonts w:asciiTheme="minorHAnsi" w:hAnsiTheme="minorHAnsi" w:cstheme="minorHAnsi"/>
              </w:rPr>
              <w:t>100</w:t>
            </w:r>
          </w:p>
        </w:tc>
        <w:tc>
          <w:tcPr>
            <w:tcW w:w="850" w:type="dxa"/>
          </w:tcPr>
          <w:p w14:paraId="57572DBC" w14:textId="77777777" w:rsidR="007E56C9" w:rsidRPr="00A662DD" w:rsidRDefault="007E56C9" w:rsidP="00EA573C">
            <w:pPr>
              <w:keepNext/>
              <w:jc w:val="center"/>
              <w:rPr>
                <w:rFonts w:asciiTheme="minorHAnsi" w:hAnsiTheme="minorHAnsi" w:cstheme="minorHAnsi"/>
              </w:rPr>
            </w:pPr>
            <w:r w:rsidRPr="00A662DD">
              <w:rPr>
                <w:rFonts w:asciiTheme="minorHAnsi" w:hAnsiTheme="minorHAnsi" w:cstheme="minorHAnsi"/>
              </w:rPr>
              <w:t>90</w:t>
            </w:r>
          </w:p>
        </w:tc>
        <w:tc>
          <w:tcPr>
            <w:tcW w:w="850" w:type="dxa"/>
          </w:tcPr>
          <w:p w14:paraId="46826E92" w14:textId="77777777" w:rsidR="007E56C9" w:rsidRPr="00A662DD" w:rsidRDefault="007E56C9" w:rsidP="00EA573C">
            <w:pPr>
              <w:keepNext/>
              <w:jc w:val="center"/>
              <w:rPr>
                <w:rFonts w:asciiTheme="minorHAnsi" w:hAnsiTheme="minorHAnsi" w:cstheme="minorHAnsi"/>
              </w:rPr>
            </w:pPr>
            <w:r w:rsidRPr="00A662DD">
              <w:rPr>
                <w:rFonts w:asciiTheme="minorHAnsi" w:hAnsiTheme="minorHAnsi" w:cstheme="minorHAnsi"/>
              </w:rPr>
              <w:t>100</w:t>
            </w:r>
          </w:p>
        </w:tc>
      </w:tr>
      <w:tr w:rsidR="007E56C9" w:rsidRPr="00A662DD" w14:paraId="1AE31AC7" w14:textId="77777777" w:rsidTr="00EA573C">
        <w:tc>
          <w:tcPr>
            <w:tcW w:w="1842" w:type="dxa"/>
          </w:tcPr>
          <w:p w14:paraId="59344BD4" w14:textId="77777777" w:rsidR="007E56C9" w:rsidRPr="00A662DD" w:rsidRDefault="007E56C9" w:rsidP="00EA573C">
            <w:pPr>
              <w:keepNext/>
              <w:jc w:val="center"/>
              <w:rPr>
                <w:rFonts w:asciiTheme="minorHAnsi" w:hAnsiTheme="minorHAnsi" w:cstheme="minorHAnsi"/>
              </w:rPr>
            </w:pPr>
            <w:r w:rsidRPr="00A662DD">
              <w:rPr>
                <w:rFonts w:asciiTheme="minorHAnsi" w:hAnsiTheme="minorHAnsi" w:cstheme="minorHAnsi"/>
              </w:rPr>
              <w:t>8</w:t>
            </w:r>
          </w:p>
        </w:tc>
        <w:tc>
          <w:tcPr>
            <w:tcW w:w="850" w:type="dxa"/>
          </w:tcPr>
          <w:p w14:paraId="30FF9323" w14:textId="77777777" w:rsidR="007E56C9" w:rsidRPr="00A662DD" w:rsidRDefault="007E56C9" w:rsidP="00EA573C">
            <w:pPr>
              <w:keepNext/>
              <w:jc w:val="center"/>
              <w:rPr>
                <w:rFonts w:asciiTheme="minorHAnsi" w:hAnsiTheme="minorHAnsi" w:cstheme="minorHAnsi"/>
              </w:rPr>
            </w:pPr>
            <w:r w:rsidRPr="00A662DD">
              <w:rPr>
                <w:rFonts w:asciiTheme="minorHAnsi" w:hAnsiTheme="minorHAnsi" w:cstheme="minorHAnsi"/>
              </w:rPr>
              <w:t>70</w:t>
            </w:r>
          </w:p>
        </w:tc>
        <w:tc>
          <w:tcPr>
            <w:tcW w:w="850" w:type="dxa"/>
          </w:tcPr>
          <w:p w14:paraId="57BC627B" w14:textId="77777777" w:rsidR="007E56C9" w:rsidRPr="00A662DD" w:rsidRDefault="007E56C9" w:rsidP="00EA573C">
            <w:pPr>
              <w:keepNext/>
              <w:jc w:val="center"/>
              <w:rPr>
                <w:rFonts w:asciiTheme="minorHAnsi" w:hAnsiTheme="minorHAnsi" w:cstheme="minorHAnsi"/>
              </w:rPr>
            </w:pPr>
            <w:r w:rsidRPr="00A662DD">
              <w:rPr>
                <w:rFonts w:asciiTheme="minorHAnsi" w:hAnsiTheme="minorHAnsi" w:cstheme="minorHAnsi"/>
              </w:rPr>
              <w:t>90</w:t>
            </w:r>
          </w:p>
        </w:tc>
        <w:tc>
          <w:tcPr>
            <w:tcW w:w="850" w:type="dxa"/>
          </w:tcPr>
          <w:p w14:paraId="711AEE6F" w14:textId="77777777" w:rsidR="007E56C9" w:rsidRPr="00A662DD" w:rsidRDefault="007E56C9" w:rsidP="00EA573C">
            <w:pPr>
              <w:keepNext/>
              <w:jc w:val="center"/>
              <w:rPr>
                <w:rFonts w:asciiTheme="minorHAnsi" w:hAnsiTheme="minorHAnsi" w:cstheme="minorHAnsi"/>
              </w:rPr>
            </w:pPr>
            <w:r>
              <w:rPr>
                <w:rFonts w:asciiTheme="minorHAnsi" w:hAnsiTheme="minorHAnsi" w:cstheme="minorHAnsi"/>
              </w:rPr>
              <w:t>6</w:t>
            </w:r>
            <w:r w:rsidRPr="00A662DD">
              <w:rPr>
                <w:rFonts w:asciiTheme="minorHAnsi" w:hAnsiTheme="minorHAnsi" w:cstheme="minorHAnsi"/>
              </w:rPr>
              <w:t>0</w:t>
            </w:r>
          </w:p>
        </w:tc>
        <w:tc>
          <w:tcPr>
            <w:tcW w:w="850" w:type="dxa"/>
          </w:tcPr>
          <w:p w14:paraId="313A0BCA" w14:textId="77777777" w:rsidR="007E56C9" w:rsidRPr="00A662DD" w:rsidRDefault="007E56C9" w:rsidP="00EA573C">
            <w:pPr>
              <w:keepNext/>
              <w:jc w:val="center"/>
              <w:rPr>
                <w:rFonts w:asciiTheme="minorHAnsi" w:hAnsiTheme="minorHAnsi" w:cstheme="minorHAnsi"/>
              </w:rPr>
            </w:pPr>
            <w:r w:rsidRPr="00A662DD">
              <w:rPr>
                <w:rFonts w:asciiTheme="minorHAnsi" w:hAnsiTheme="minorHAnsi" w:cstheme="minorHAnsi"/>
              </w:rPr>
              <w:t>90</w:t>
            </w:r>
          </w:p>
        </w:tc>
      </w:tr>
      <w:tr w:rsidR="007E56C9" w:rsidRPr="00A662DD" w14:paraId="6A4F1617" w14:textId="77777777" w:rsidTr="00EA573C">
        <w:tc>
          <w:tcPr>
            <w:tcW w:w="1842" w:type="dxa"/>
          </w:tcPr>
          <w:p w14:paraId="15870855" w14:textId="77777777" w:rsidR="007E56C9" w:rsidRPr="00A662DD" w:rsidRDefault="007E56C9" w:rsidP="00EA573C">
            <w:pPr>
              <w:keepNext/>
              <w:jc w:val="center"/>
              <w:rPr>
                <w:rFonts w:asciiTheme="minorHAnsi" w:hAnsiTheme="minorHAnsi" w:cstheme="minorHAnsi"/>
              </w:rPr>
            </w:pPr>
            <w:r w:rsidRPr="00A662DD">
              <w:rPr>
                <w:rFonts w:asciiTheme="minorHAnsi" w:hAnsiTheme="minorHAnsi" w:cstheme="minorHAnsi"/>
              </w:rPr>
              <w:t>5,6</w:t>
            </w:r>
          </w:p>
        </w:tc>
        <w:tc>
          <w:tcPr>
            <w:tcW w:w="850" w:type="dxa"/>
          </w:tcPr>
          <w:p w14:paraId="7FA23768" w14:textId="77777777" w:rsidR="007E56C9" w:rsidRPr="00A662DD" w:rsidRDefault="007E56C9" w:rsidP="00EA573C">
            <w:pPr>
              <w:keepNext/>
              <w:jc w:val="center"/>
              <w:rPr>
                <w:rFonts w:asciiTheme="minorHAnsi" w:hAnsiTheme="minorHAnsi" w:cstheme="minorHAnsi"/>
              </w:rPr>
            </w:pPr>
            <w:r w:rsidRPr="00A662DD">
              <w:rPr>
                <w:rFonts w:asciiTheme="minorHAnsi" w:hAnsiTheme="minorHAnsi" w:cstheme="minorHAnsi"/>
              </w:rPr>
              <w:t>-</w:t>
            </w:r>
          </w:p>
        </w:tc>
        <w:tc>
          <w:tcPr>
            <w:tcW w:w="850" w:type="dxa"/>
          </w:tcPr>
          <w:p w14:paraId="0D3485D3" w14:textId="77777777" w:rsidR="007E56C9" w:rsidRPr="00A662DD" w:rsidRDefault="007E56C9" w:rsidP="00EA573C">
            <w:pPr>
              <w:keepNext/>
              <w:jc w:val="center"/>
              <w:rPr>
                <w:rFonts w:asciiTheme="minorHAnsi" w:hAnsiTheme="minorHAnsi" w:cstheme="minorHAnsi"/>
              </w:rPr>
            </w:pPr>
            <w:r w:rsidRPr="00A662DD">
              <w:rPr>
                <w:rFonts w:asciiTheme="minorHAnsi" w:hAnsiTheme="minorHAnsi" w:cstheme="minorHAnsi"/>
              </w:rPr>
              <w:t>-</w:t>
            </w:r>
          </w:p>
        </w:tc>
        <w:tc>
          <w:tcPr>
            <w:tcW w:w="850" w:type="dxa"/>
          </w:tcPr>
          <w:p w14:paraId="32FE98A4" w14:textId="77777777" w:rsidR="007E56C9" w:rsidRPr="00A662DD" w:rsidRDefault="007E56C9" w:rsidP="00EA573C">
            <w:pPr>
              <w:keepNext/>
              <w:jc w:val="center"/>
              <w:rPr>
                <w:rFonts w:asciiTheme="minorHAnsi" w:hAnsiTheme="minorHAnsi" w:cstheme="minorHAnsi"/>
              </w:rPr>
            </w:pPr>
            <w:r>
              <w:rPr>
                <w:rFonts w:asciiTheme="minorHAnsi" w:hAnsiTheme="minorHAnsi" w:cstheme="minorHAnsi"/>
              </w:rPr>
              <w:t>48</w:t>
            </w:r>
          </w:p>
        </w:tc>
        <w:tc>
          <w:tcPr>
            <w:tcW w:w="850" w:type="dxa"/>
          </w:tcPr>
          <w:p w14:paraId="6C328CC3" w14:textId="77777777" w:rsidR="007E56C9" w:rsidRPr="00A662DD" w:rsidRDefault="007E56C9" w:rsidP="00EA573C">
            <w:pPr>
              <w:keepNext/>
              <w:jc w:val="center"/>
              <w:rPr>
                <w:rFonts w:asciiTheme="minorHAnsi" w:hAnsiTheme="minorHAnsi" w:cstheme="minorHAnsi"/>
              </w:rPr>
            </w:pPr>
            <w:r>
              <w:rPr>
                <w:rFonts w:asciiTheme="minorHAnsi" w:hAnsiTheme="minorHAnsi" w:cstheme="minorHAnsi"/>
              </w:rPr>
              <w:t>75</w:t>
            </w:r>
          </w:p>
        </w:tc>
      </w:tr>
      <w:tr w:rsidR="007E56C9" w:rsidRPr="00A662DD" w14:paraId="497F866F" w14:textId="77777777" w:rsidTr="00EA573C">
        <w:tc>
          <w:tcPr>
            <w:tcW w:w="1842" w:type="dxa"/>
          </w:tcPr>
          <w:p w14:paraId="770F56EE" w14:textId="77777777" w:rsidR="007E56C9" w:rsidRPr="00A662DD" w:rsidRDefault="007E56C9" w:rsidP="00EA573C">
            <w:pPr>
              <w:keepNext/>
              <w:jc w:val="center"/>
              <w:rPr>
                <w:rFonts w:asciiTheme="minorHAnsi" w:hAnsiTheme="minorHAnsi" w:cstheme="minorHAnsi"/>
              </w:rPr>
            </w:pPr>
            <w:r w:rsidRPr="00A662DD">
              <w:rPr>
                <w:rFonts w:asciiTheme="minorHAnsi" w:hAnsiTheme="minorHAnsi" w:cstheme="minorHAnsi"/>
              </w:rPr>
              <w:t>4.0</w:t>
            </w:r>
          </w:p>
        </w:tc>
        <w:tc>
          <w:tcPr>
            <w:tcW w:w="850" w:type="dxa"/>
          </w:tcPr>
          <w:p w14:paraId="4B54010C" w14:textId="77777777" w:rsidR="007E56C9" w:rsidRPr="00A662DD" w:rsidRDefault="007E56C9" w:rsidP="00EA573C">
            <w:pPr>
              <w:keepNext/>
              <w:jc w:val="center"/>
              <w:rPr>
                <w:rFonts w:asciiTheme="minorHAnsi" w:hAnsiTheme="minorHAnsi" w:cstheme="minorHAnsi"/>
              </w:rPr>
            </w:pPr>
            <w:r w:rsidRPr="00A662DD">
              <w:rPr>
                <w:rFonts w:asciiTheme="minorHAnsi" w:hAnsiTheme="minorHAnsi" w:cstheme="minorHAnsi"/>
              </w:rPr>
              <w:t>-</w:t>
            </w:r>
          </w:p>
        </w:tc>
        <w:tc>
          <w:tcPr>
            <w:tcW w:w="850" w:type="dxa"/>
          </w:tcPr>
          <w:p w14:paraId="70B9043F" w14:textId="77777777" w:rsidR="007E56C9" w:rsidRPr="00A662DD" w:rsidRDefault="007E56C9" w:rsidP="00EA573C">
            <w:pPr>
              <w:keepNext/>
              <w:jc w:val="center"/>
              <w:rPr>
                <w:rFonts w:asciiTheme="minorHAnsi" w:hAnsiTheme="minorHAnsi" w:cstheme="minorHAnsi"/>
              </w:rPr>
            </w:pPr>
            <w:r w:rsidRPr="00A662DD">
              <w:rPr>
                <w:rFonts w:asciiTheme="minorHAnsi" w:hAnsiTheme="minorHAnsi" w:cstheme="minorHAnsi"/>
              </w:rPr>
              <w:t>-</w:t>
            </w:r>
          </w:p>
        </w:tc>
        <w:tc>
          <w:tcPr>
            <w:tcW w:w="850" w:type="dxa"/>
          </w:tcPr>
          <w:p w14:paraId="04E4CB64" w14:textId="77777777" w:rsidR="007E56C9" w:rsidRPr="00A662DD" w:rsidRDefault="007E56C9" w:rsidP="00EA573C">
            <w:pPr>
              <w:keepNext/>
              <w:jc w:val="center"/>
              <w:rPr>
                <w:rFonts w:asciiTheme="minorHAnsi" w:hAnsiTheme="minorHAnsi" w:cstheme="minorHAnsi"/>
              </w:rPr>
            </w:pPr>
            <w:r>
              <w:rPr>
                <w:rFonts w:asciiTheme="minorHAnsi" w:hAnsiTheme="minorHAnsi" w:cstheme="minorHAnsi"/>
              </w:rPr>
              <w:t>42</w:t>
            </w:r>
          </w:p>
        </w:tc>
        <w:tc>
          <w:tcPr>
            <w:tcW w:w="850" w:type="dxa"/>
          </w:tcPr>
          <w:p w14:paraId="585B8163" w14:textId="77777777" w:rsidR="007E56C9" w:rsidRPr="00A662DD" w:rsidRDefault="007E56C9" w:rsidP="00EA573C">
            <w:pPr>
              <w:keepNext/>
              <w:jc w:val="center"/>
              <w:rPr>
                <w:rFonts w:asciiTheme="minorHAnsi" w:hAnsiTheme="minorHAnsi" w:cstheme="minorHAnsi"/>
              </w:rPr>
            </w:pPr>
            <w:r>
              <w:rPr>
                <w:rFonts w:asciiTheme="minorHAnsi" w:hAnsiTheme="minorHAnsi" w:cstheme="minorHAnsi"/>
              </w:rPr>
              <w:t>60</w:t>
            </w:r>
          </w:p>
        </w:tc>
      </w:tr>
      <w:tr w:rsidR="007E56C9" w:rsidRPr="00A662DD" w14:paraId="14D5D53E" w14:textId="77777777" w:rsidTr="00EA573C">
        <w:tc>
          <w:tcPr>
            <w:tcW w:w="1842" w:type="dxa"/>
          </w:tcPr>
          <w:p w14:paraId="3C553780" w14:textId="77777777" w:rsidR="007E56C9" w:rsidRPr="00A662DD" w:rsidRDefault="007E56C9" w:rsidP="00EA573C">
            <w:pPr>
              <w:keepNext/>
              <w:jc w:val="center"/>
              <w:rPr>
                <w:rFonts w:asciiTheme="minorHAnsi" w:hAnsiTheme="minorHAnsi" w:cstheme="minorHAnsi"/>
              </w:rPr>
            </w:pPr>
            <w:r w:rsidRPr="00A662DD">
              <w:rPr>
                <w:rFonts w:asciiTheme="minorHAnsi" w:hAnsiTheme="minorHAnsi" w:cstheme="minorHAnsi"/>
              </w:rPr>
              <w:t>2</w:t>
            </w:r>
          </w:p>
        </w:tc>
        <w:tc>
          <w:tcPr>
            <w:tcW w:w="850" w:type="dxa"/>
          </w:tcPr>
          <w:p w14:paraId="1075A284" w14:textId="77777777" w:rsidR="007E56C9" w:rsidRPr="00A662DD" w:rsidRDefault="007E56C9" w:rsidP="00EA573C">
            <w:pPr>
              <w:keepNext/>
              <w:jc w:val="center"/>
              <w:rPr>
                <w:rFonts w:asciiTheme="minorHAnsi" w:hAnsiTheme="minorHAnsi" w:cstheme="minorHAnsi"/>
              </w:rPr>
            </w:pPr>
            <w:r w:rsidRPr="00A662DD">
              <w:rPr>
                <w:rFonts w:asciiTheme="minorHAnsi" w:hAnsiTheme="minorHAnsi" w:cstheme="minorHAnsi"/>
              </w:rPr>
              <w:t>30</w:t>
            </w:r>
          </w:p>
        </w:tc>
        <w:tc>
          <w:tcPr>
            <w:tcW w:w="850" w:type="dxa"/>
          </w:tcPr>
          <w:p w14:paraId="0BE860AC" w14:textId="77777777" w:rsidR="007E56C9" w:rsidRPr="00A662DD" w:rsidRDefault="007E56C9" w:rsidP="00EA573C">
            <w:pPr>
              <w:keepNext/>
              <w:jc w:val="center"/>
              <w:rPr>
                <w:rFonts w:asciiTheme="minorHAnsi" w:hAnsiTheme="minorHAnsi" w:cstheme="minorHAnsi"/>
              </w:rPr>
            </w:pPr>
            <w:r w:rsidRPr="00A662DD">
              <w:rPr>
                <w:rFonts w:asciiTheme="minorHAnsi" w:hAnsiTheme="minorHAnsi" w:cstheme="minorHAnsi"/>
              </w:rPr>
              <w:t>55</w:t>
            </w:r>
          </w:p>
        </w:tc>
        <w:tc>
          <w:tcPr>
            <w:tcW w:w="850" w:type="dxa"/>
          </w:tcPr>
          <w:p w14:paraId="6CD15B3B" w14:textId="77777777" w:rsidR="007E56C9" w:rsidRPr="00A662DD" w:rsidRDefault="007E56C9" w:rsidP="00EA573C">
            <w:pPr>
              <w:keepNext/>
              <w:jc w:val="center"/>
              <w:rPr>
                <w:rFonts w:asciiTheme="minorHAnsi" w:hAnsiTheme="minorHAnsi" w:cstheme="minorHAnsi"/>
              </w:rPr>
            </w:pPr>
            <w:r>
              <w:rPr>
                <w:rFonts w:asciiTheme="minorHAnsi" w:hAnsiTheme="minorHAnsi" w:cstheme="minorHAnsi"/>
              </w:rPr>
              <w:t>35</w:t>
            </w:r>
          </w:p>
        </w:tc>
        <w:tc>
          <w:tcPr>
            <w:tcW w:w="850" w:type="dxa"/>
          </w:tcPr>
          <w:p w14:paraId="36A5E1D7" w14:textId="77777777" w:rsidR="007E56C9" w:rsidRPr="00A662DD" w:rsidRDefault="007E56C9" w:rsidP="00EA573C">
            <w:pPr>
              <w:keepNext/>
              <w:jc w:val="center"/>
              <w:rPr>
                <w:rFonts w:asciiTheme="minorHAnsi" w:hAnsiTheme="minorHAnsi" w:cstheme="minorHAnsi"/>
              </w:rPr>
            </w:pPr>
            <w:r>
              <w:rPr>
                <w:rFonts w:asciiTheme="minorHAnsi" w:hAnsiTheme="minorHAnsi" w:cstheme="minorHAnsi"/>
              </w:rPr>
              <w:t>50</w:t>
            </w:r>
          </w:p>
        </w:tc>
      </w:tr>
      <w:tr w:rsidR="007E56C9" w:rsidRPr="00A662DD" w14:paraId="2DBB81A3" w14:textId="77777777" w:rsidTr="00EA573C">
        <w:tc>
          <w:tcPr>
            <w:tcW w:w="1842" w:type="dxa"/>
          </w:tcPr>
          <w:p w14:paraId="6A6260B8" w14:textId="77777777" w:rsidR="007E56C9" w:rsidRPr="00A662DD" w:rsidRDefault="007E56C9" w:rsidP="00EA573C">
            <w:pPr>
              <w:keepNext/>
              <w:jc w:val="center"/>
              <w:rPr>
                <w:rFonts w:asciiTheme="minorHAnsi" w:hAnsiTheme="minorHAnsi" w:cstheme="minorHAnsi"/>
              </w:rPr>
            </w:pPr>
            <w:r w:rsidRPr="00A662DD">
              <w:rPr>
                <w:rFonts w:asciiTheme="minorHAnsi" w:hAnsiTheme="minorHAnsi" w:cstheme="minorHAnsi"/>
              </w:rPr>
              <w:t>0,125</w:t>
            </w:r>
          </w:p>
        </w:tc>
        <w:tc>
          <w:tcPr>
            <w:tcW w:w="850" w:type="dxa"/>
          </w:tcPr>
          <w:p w14:paraId="5D2C4B43" w14:textId="77777777" w:rsidR="007E56C9" w:rsidRPr="00A662DD" w:rsidRDefault="007E56C9" w:rsidP="00EA573C">
            <w:pPr>
              <w:keepNext/>
              <w:jc w:val="center"/>
              <w:rPr>
                <w:rFonts w:asciiTheme="minorHAnsi" w:hAnsiTheme="minorHAnsi" w:cstheme="minorHAnsi"/>
              </w:rPr>
            </w:pPr>
            <w:r w:rsidRPr="00A662DD">
              <w:rPr>
                <w:rFonts w:asciiTheme="minorHAnsi" w:hAnsiTheme="minorHAnsi" w:cstheme="minorHAnsi"/>
              </w:rPr>
              <w:t>8</w:t>
            </w:r>
          </w:p>
        </w:tc>
        <w:tc>
          <w:tcPr>
            <w:tcW w:w="850" w:type="dxa"/>
          </w:tcPr>
          <w:p w14:paraId="07503730" w14:textId="77777777" w:rsidR="007E56C9" w:rsidRPr="00A662DD" w:rsidRDefault="007E56C9" w:rsidP="00EA573C">
            <w:pPr>
              <w:keepNext/>
              <w:jc w:val="center"/>
              <w:rPr>
                <w:rFonts w:asciiTheme="minorHAnsi" w:hAnsiTheme="minorHAnsi" w:cstheme="minorHAnsi"/>
              </w:rPr>
            </w:pPr>
            <w:r w:rsidRPr="00A662DD">
              <w:rPr>
                <w:rFonts w:asciiTheme="minorHAnsi" w:hAnsiTheme="minorHAnsi" w:cstheme="minorHAnsi"/>
              </w:rPr>
              <w:t>20</w:t>
            </w:r>
          </w:p>
        </w:tc>
        <w:tc>
          <w:tcPr>
            <w:tcW w:w="850" w:type="dxa"/>
          </w:tcPr>
          <w:p w14:paraId="2B61EADB" w14:textId="77777777" w:rsidR="007E56C9" w:rsidRPr="00A662DD" w:rsidRDefault="007E56C9" w:rsidP="00EA573C">
            <w:pPr>
              <w:keepNext/>
              <w:jc w:val="center"/>
              <w:rPr>
                <w:rFonts w:asciiTheme="minorHAnsi" w:hAnsiTheme="minorHAnsi" w:cstheme="minorHAnsi"/>
              </w:rPr>
            </w:pPr>
            <w:r>
              <w:rPr>
                <w:rFonts w:asciiTheme="minorHAnsi" w:hAnsiTheme="minorHAnsi" w:cstheme="minorHAnsi"/>
              </w:rPr>
              <w:t>8</w:t>
            </w:r>
          </w:p>
        </w:tc>
        <w:tc>
          <w:tcPr>
            <w:tcW w:w="850" w:type="dxa"/>
          </w:tcPr>
          <w:p w14:paraId="667B92CC" w14:textId="77777777" w:rsidR="007E56C9" w:rsidRPr="00A662DD" w:rsidRDefault="007E56C9" w:rsidP="00EA573C">
            <w:pPr>
              <w:keepNext/>
              <w:jc w:val="center"/>
              <w:rPr>
                <w:rFonts w:asciiTheme="minorHAnsi" w:hAnsiTheme="minorHAnsi" w:cstheme="minorHAnsi"/>
              </w:rPr>
            </w:pPr>
            <w:r w:rsidRPr="00A662DD">
              <w:rPr>
                <w:rFonts w:asciiTheme="minorHAnsi" w:hAnsiTheme="minorHAnsi" w:cstheme="minorHAnsi"/>
              </w:rPr>
              <w:t>20</w:t>
            </w:r>
          </w:p>
        </w:tc>
      </w:tr>
      <w:tr w:rsidR="007E56C9" w:rsidRPr="00A662DD" w14:paraId="0018D67F" w14:textId="77777777" w:rsidTr="00EA573C">
        <w:tc>
          <w:tcPr>
            <w:tcW w:w="1842" w:type="dxa"/>
          </w:tcPr>
          <w:p w14:paraId="0D6928C7" w14:textId="77777777" w:rsidR="007E56C9" w:rsidRPr="00A662DD" w:rsidRDefault="007E56C9" w:rsidP="00EA573C">
            <w:pPr>
              <w:pStyle w:val="Stopka"/>
              <w:keepNext/>
              <w:tabs>
                <w:tab w:val="clear" w:pos="9072"/>
              </w:tabs>
              <w:jc w:val="center"/>
              <w:rPr>
                <w:rFonts w:asciiTheme="minorHAnsi" w:hAnsiTheme="minorHAnsi" w:cstheme="minorHAnsi"/>
              </w:rPr>
            </w:pPr>
            <w:r w:rsidRPr="00A662DD">
              <w:rPr>
                <w:rFonts w:asciiTheme="minorHAnsi" w:hAnsiTheme="minorHAnsi" w:cstheme="minorHAnsi"/>
              </w:rPr>
              <w:t>0,063</w:t>
            </w:r>
          </w:p>
        </w:tc>
        <w:tc>
          <w:tcPr>
            <w:tcW w:w="850" w:type="dxa"/>
          </w:tcPr>
          <w:p w14:paraId="6CB79CA5" w14:textId="77777777" w:rsidR="007E56C9" w:rsidRPr="00A662DD" w:rsidRDefault="007E56C9" w:rsidP="00EA573C">
            <w:pPr>
              <w:keepNext/>
              <w:jc w:val="center"/>
              <w:rPr>
                <w:rFonts w:asciiTheme="minorHAnsi" w:hAnsiTheme="minorHAnsi" w:cstheme="minorHAnsi"/>
              </w:rPr>
            </w:pPr>
            <w:r w:rsidRPr="00A662DD">
              <w:rPr>
                <w:rFonts w:asciiTheme="minorHAnsi" w:hAnsiTheme="minorHAnsi" w:cstheme="minorHAnsi"/>
              </w:rPr>
              <w:t>5</w:t>
            </w:r>
          </w:p>
        </w:tc>
        <w:tc>
          <w:tcPr>
            <w:tcW w:w="850" w:type="dxa"/>
          </w:tcPr>
          <w:p w14:paraId="5B01605F" w14:textId="77777777" w:rsidR="007E56C9" w:rsidRPr="00A662DD" w:rsidRDefault="007E56C9" w:rsidP="00EA573C">
            <w:pPr>
              <w:keepNext/>
              <w:jc w:val="center"/>
              <w:rPr>
                <w:rFonts w:asciiTheme="minorHAnsi" w:hAnsiTheme="minorHAnsi" w:cstheme="minorHAnsi"/>
              </w:rPr>
            </w:pPr>
            <w:r w:rsidRPr="00A662DD">
              <w:rPr>
                <w:rFonts w:asciiTheme="minorHAnsi" w:hAnsiTheme="minorHAnsi" w:cstheme="minorHAnsi"/>
              </w:rPr>
              <w:t>12</w:t>
            </w:r>
          </w:p>
        </w:tc>
        <w:tc>
          <w:tcPr>
            <w:tcW w:w="850" w:type="dxa"/>
          </w:tcPr>
          <w:p w14:paraId="5EDB1538" w14:textId="77777777" w:rsidR="007E56C9" w:rsidRPr="00A662DD" w:rsidRDefault="007E56C9" w:rsidP="00EA573C">
            <w:pPr>
              <w:keepNext/>
              <w:jc w:val="center"/>
              <w:rPr>
                <w:rFonts w:asciiTheme="minorHAnsi" w:hAnsiTheme="minorHAnsi" w:cstheme="minorHAnsi"/>
              </w:rPr>
            </w:pPr>
            <w:r w:rsidRPr="00A662DD">
              <w:rPr>
                <w:rFonts w:asciiTheme="minorHAnsi" w:hAnsiTheme="minorHAnsi" w:cstheme="minorHAnsi"/>
              </w:rPr>
              <w:t>5</w:t>
            </w:r>
          </w:p>
        </w:tc>
        <w:tc>
          <w:tcPr>
            <w:tcW w:w="850" w:type="dxa"/>
          </w:tcPr>
          <w:p w14:paraId="15C9F716" w14:textId="77777777" w:rsidR="007E56C9" w:rsidRPr="00A662DD" w:rsidRDefault="007E56C9" w:rsidP="00EA573C">
            <w:pPr>
              <w:keepNext/>
              <w:jc w:val="center"/>
              <w:rPr>
                <w:rFonts w:asciiTheme="minorHAnsi" w:hAnsiTheme="minorHAnsi" w:cstheme="minorHAnsi"/>
              </w:rPr>
            </w:pPr>
            <w:r w:rsidRPr="00A662DD">
              <w:rPr>
                <w:rFonts w:asciiTheme="minorHAnsi" w:hAnsiTheme="minorHAnsi" w:cstheme="minorHAnsi"/>
              </w:rPr>
              <w:t>1</w:t>
            </w:r>
            <w:r>
              <w:rPr>
                <w:rFonts w:asciiTheme="minorHAnsi" w:hAnsiTheme="minorHAnsi" w:cstheme="minorHAnsi"/>
              </w:rPr>
              <w:t>1</w:t>
            </w:r>
          </w:p>
        </w:tc>
      </w:tr>
      <w:tr w:rsidR="007E56C9" w:rsidRPr="00A662DD" w14:paraId="7E35BD34" w14:textId="77777777" w:rsidTr="00EA573C">
        <w:trPr>
          <w:cantSplit/>
        </w:trPr>
        <w:tc>
          <w:tcPr>
            <w:tcW w:w="1842" w:type="dxa"/>
          </w:tcPr>
          <w:p w14:paraId="53E96EE6" w14:textId="77777777" w:rsidR="007E56C9" w:rsidRPr="00A662DD" w:rsidRDefault="007E56C9" w:rsidP="00EA573C">
            <w:pPr>
              <w:keepNext/>
              <w:jc w:val="center"/>
              <w:rPr>
                <w:rFonts w:asciiTheme="minorHAnsi" w:hAnsiTheme="minorHAnsi" w:cstheme="minorHAnsi"/>
              </w:rPr>
            </w:pPr>
            <w:r w:rsidRPr="00A662DD">
              <w:rPr>
                <w:rFonts w:asciiTheme="minorHAnsi" w:hAnsiTheme="minorHAnsi" w:cstheme="minorHAnsi"/>
              </w:rPr>
              <w:t>Zawartość lepiszcza</w:t>
            </w:r>
          </w:p>
        </w:tc>
        <w:tc>
          <w:tcPr>
            <w:tcW w:w="1700" w:type="dxa"/>
            <w:gridSpan w:val="2"/>
          </w:tcPr>
          <w:p w14:paraId="4ABBD96A" w14:textId="77777777" w:rsidR="007E56C9" w:rsidRPr="00A662DD" w:rsidRDefault="007E56C9" w:rsidP="00EA573C">
            <w:pPr>
              <w:keepNext/>
              <w:jc w:val="center"/>
              <w:rPr>
                <w:rFonts w:asciiTheme="minorHAnsi" w:hAnsiTheme="minorHAnsi" w:cstheme="minorHAnsi"/>
              </w:rPr>
            </w:pPr>
            <w:r w:rsidRPr="00A662DD">
              <w:rPr>
                <w:rFonts w:asciiTheme="minorHAnsi" w:hAnsiTheme="minorHAnsi" w:cstheme="minorHAnsi"/>
              </w:rPr>
              <w:t>B</w:t>
            </w:r>
            <w:r w:rsidRPr="00A662DD">
              <w:rPr>
                <w:rFonts w:asciiTheme="minorHAnsi" w:hAnsiTheme="minorHAnsi" w:cstheme="minorHAnsi"/>
                <w:vertAlign w:val="subscript"/>
              </w:rPr>
              <w:t>min 5.8</w:t>
            </w:r>
          </w:p>
        </w:tc>
        <w:tc>
          <w:tcPr>
            <w:tcW w:w="1700" w:type="dxa"/>
            <w:gridSpan w:val="2"/>
          </w:tcPr>
          <w:p w14:paraId="23909F23" w14:textId="77777777" w:rsidR="007E56C9" w:rsidRPr="00A662DD" w:rsidRDefault="007E56C9" w:rsidP="00EA573C">
            <w:pPr>
              <w:keepNext/>
              <w:jc w:val="center"/>
              <w:rPr>
                <w:rFonts w:asciiTheme="minorHAnsi" w:hAnsiTheme="minorHAnsi" w:cstheme="minorHAnsi"/>
              </w:rPr>
            </w:pPr>
            <w:r w:rsidRPr="00A662DD">
              <w:rPr>
                <w:rFonts w:asciiTheme="minorHAnsi" w:hAnsiTheme="minorHAnsi" w:cstheme="minorHAnsi"/>
              </w:rPr>
              <w:t>B</w:t>
            </w:r>
            <w:r w:rsidRPr="00A662DD">
              <w:rPr>
                <w:rFonts w:asciiTheme="minorHAnsi" w:hAnsiTheme="minorHAnsi" w:cstheme="minorHAnsi"/>
                <w:vertAlign w:val="subscript"/>
              </w:rPr>
              <w:t>min 5.8</w:t>
            </w:r>
          </w:p>
        </w:tc>
      </w:tr>
    </w:tbl>
    <w:p w14:paraId="6EA87CA2" w14:textId="77777777" w:rsidR="008831F9" w:rsidRPr="00A662DD" w:rsidRDefault="008831F9" w:rsidP="008831F9">
      <w:pPr>
        <w:keepNext/>
        <w:rPr>
          <w:rFonts w:asciiTheme="minorHAnsi" w:hAnsiTheme="minorHAnsi" w:cstheme="minorHAnsi"/>
        </w:rPr>
      </w:pPr>
      <w:r w:rsidRPr="00A662DD">
        <w:rPr>
          <w:rFonts w:asciiTheme="minorHAnsi" w:hAnsiTheme="minorHAnsi" w:cstheme="minorHAnsi"/>
        </w:rPr>
        <w:br w:type="textWrapping" w:clear="all"/>
      </w:r>
    </w:p>
    <w:p w14:paraId="50C23FB9" w14:textId="77777777" w:rsidR="008831F9" w:rsidRPr="004E54A4" w:rsidRDefault="008831F9" w:rsidP="008831F9">
      <w:pPr>
        <w:tabs>
          <w:tab w:val="left" w:pos="284"/>
        </w:tabs>
        <w:rPr>
          <w:rFonts w:asciiTheme="minorHAnsi" w:hAnsiTheme="minorHAnsi" w:cstheme="minorHAnsi"/>
        </w:rPr>
      </w:pPr>
      <w:r w:rsidRPr="004E54A4">
        <w:rPr>
          <w:rFonts w:asciiTheme="minorHAnsi" w:hAnsiTheme="minorHAnsi" w:cstheme="minorHAnsi"/>
        </w:rPr>
        <w:t>Skład mieszanki mineralno-asfaltowej powinien być ustalony na podstawie badań próbek wykonanych wg metody Marshalla.</w:t>
      </w:r>
    </w:p>
    <w:p w14:paraId="7E10DF68" w14:textId="77777777" w:rsidR="008831F9" w:rsidRPr="004E54A4" w:rsidRDefault="008831F9" w:rsidP="008831F9">
      <w:pPr>
        <w:tabs>
          <w:tab w:val="left" w:pos="284"/>
        </w:tabs>
        <w:rPr>
          <w:rFonts w:asciiTheme="minorHAnsi" w:hAnsiTheme="minorHAnsi" w:cstheme="minorHAnsi"/>
        </w:rPr>
      </w:pPr>
    </w:p>
    <w:p w14:paraId="68579D54" w14:textId="77777777" w:rsidR="008831F9" w:rsidRPr="004E54A4" w:rsidRDefault="008831F9" w:rsidP="008831F9">
      <w:pPr>
        <w:rPr>
          <w:rFonts w:asciiTheme="minorHAnsi" w:hAnsiTheme="minorHAnsi" w:cstheme="minorHAnsi"/>
          <w:color w:val="FF0000"/>
        </w:rPr>
      </w:pPr>
      <w:r w:rsidRPr="004E54A4">
        <w:rPr>
          <w:rFonts w:asciiTheme="minorHAnsi" w:hAnsiTheme="minorHAnsi" w:cstheme="minorHAnsi"/>
          <w:b/>
          <w:bCs/>
        </w:rPr>
        <w:t>Tablica 7.</w:t>
      </w:r>
      <w:r w:rsidRPr="004E54A4">
        <w:rPr>
          <w:rFonts w:asciiTheme="minorHAnsi" w:hAnsiTheme="minorHAnsi" w:cstheme="minorHAnsi"/>
        </w:rPr>
        <w:t xml:space="preserve"> Wymagania dla mieszanki mineralno- asfaltowej dla KR 1-2  </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5"/>
        <w:gridCol w:w="1741"/>
        <w:gridCol w:w="1637"/>
        <w:gridCol w:w="2546"/>
        <w:gridCol w:w="1361"/>
        <w:gridCol w:w="1233"/>
      </w:tblGrid>
      <w:tr w:rsidR="008831F9" w:rsidRPr="00A662DD" w14:paraId="101D2401" w14:textId="77777777" w:rsidTr="00EA573C">
        <w:tc>
          <w:tcPr>
            <w:tcW w:w="551" w:type="dxa"/>
          </w:tcPr>
          <w:p w14:paraId="043B85CC" w14:textId="77777777" w:rsidR="008831F9" w:rsidRPr="00A662DD" w:rsidRDefault="008831F9" w:rsidP="00EA573C">
            <w:pPr>
              <w:pStyle w:val="Tekstpodstawowy"/>
              <w:jc w:val="center"/>
              <w:rPr>
                <w:rFonts w:cstheme="minorHAnsi"/>
              </w:rPr>
            </w:pPr>
            <w:r w:rsidRPr="00A662DD">
              <w:rPr>
                <w:rFonts w:cstheme="minorHAnsi"/>
              </w:rPr>
              <w:t>Lp</w:t>
            </w:r>
          </w:p>
        </w:tc>
        <w:tc>
          <w:tcPr>
            <w:tcW w:w="1823" w:type="dxa"/>
          </w:tcPr>
          <w:p w14:paraId="7A889442" w14:textId="77777777" w:rsidR="008831F9" w:rsidRPr="00A662DD" w:rsidRDefault="008831F9" w:rsidP="00EA573C">
            <w:pPr>
              <w:pStyle w:val="Tekstpodstawowy"/>
              <w:jc w:val="center"/>
              <w:rPr>
                <w:rFonts w:cstheme="minorHAnsi"/>
              </w:rPr>
            </w:pPr>
            <w:r w:rsidRPr="00A662DD">
              <w:rPr>
                <w:rFonts w:cstheme="minorHAnsi"/>
              </w:rPr>
              <w:t>Właściwość</w:t>
            </w:r>
          </w:p>
        </w:tc>
        <w:tc>
          <w:tcPr>
            <w:tcW w:w="1701" w:type="dxa"/>
          </w:tcPr>
          <w:p w14:paraId="64ACAE2C" w14:textId="77777777" w:rsidR="008831F9" w:rsidRPr="004E54A4" w:rsidRDefault="008831F9" w:rsidP="00EA573C">
            <w:pPr>
              <w:pStyle w:val="Tekstpodstawowy"/>
              <w:jc w:val="center"/>
              <w:rPr>
                <w:rFonts w:cstheme="minorHAnsi"/>
              </w:rPr>
            </w:pPr>
            <w:r w:rsidRPr="004E54A4">
              <w:rPr>
                <w:rFonts w:cstheme="minorHAnsi"/>
              </w:rPr>
              <w:t>Warunki zagęszczania wg PN-EN 13108-20</w:t>
            </w:r>
          </w:p>
        </w:tc>
        <w:tc>
          <w:tcPr>
            <w:tcW w:w="2694" w:type="dxa"/>
          </w:tcPr>
          <w:p w14:paraId="4FA2B41C" w14:textId="77777777" w:rsidR="008831F9" w:rsidRPr="00A662DD" w:rsidRDefault="008831F9" w:rsidP="00EA573C">
            <w:pPr>
              <w:pStyle w:val="Tekstpodstawowy"/>
              <w:jc w:val="center"/>
              <w:rPr>
                <w:rFonts w:cstheme="minorHAnsi"/>
              </w:rPr>
            </w:pPr>
            <w:r w:rsidRPr="00A662DD">
              <w:rPr>
                <w:rFonts w:cstheme="minorHAnsi"/>
              </w:rPr>
              <w:t>Metoda i warunki badania</w:t>
            </w:r>
          </w:p>
        </w:tc>
        <w:tc>
          <w:tcPr>
            <w:tcW w:w="1417" w:type="dxa"/>
          </w:tcPr>
          <w:p w14:paraId="2FE4861E" w14:textId="77777777" w:rsidR="008831F9" w:rsidRPr="00A662DD" w:rsidRDefault="008831F9" w:rsidP="00EA573C">
            <w:pPr>
              <w:pStyle w:val="Tekstpodstawowy"/>
              <w:jc w:val="center"/>
              <w:rPr>
                <w:rFonts w:cstheme="minorHAnsi"/>
                <w:lang w:val="en-GB"/>
              </w:rPr>
            </w:pPr>
            <w:r w:rsidRPr="00A662DD">
              <w:rPr>
                <w:rFonts w:cstheme="minorHAnsi"/>
                <w:lang w:val="en-GB"/>
              </w:rPr>
              <w:t>AC 8 S</w:t>
            </w:r>
          </w:p>
          <w:p w14:paraId="6CF9EE9C" w14:textId="77777777" w:rsidR="008831F9" w:rsidRPr="00A662DD" w:rsidRDefault="008831F9" w:rsidP="00EA573C">
            <w:pPr>
              <w:pStyle w:val="Tekstpodstawowy"/>
              <w:jc w:val="center"/>
              <w:rPr>
                <w:rFonts w:cstheme="minorHAnsi"/>
                <w:lang w:val="en-GB"/>
              </w:rPr>
            </w:pPr>
            <w:r w:rsidRPr="00A662DD">
              <w:rPr>
                <w:rFonts w:cstheme="minorHAnsi"/>
                <w:lang w:val="en-GB"/>
              </w:rPr>
              <w:t>KR 1</w:t>
            </w:r>
          </w:p>
        </w:tc>
        <w:tc>
          <w:tcPr>
            <w:tcW w:w="1276" w:type="dxa"/>
          </w:tcPr>
          <w:p w14:paraId="4B43BBF9" w14:textId="77777777" w:rsidR="008831F9" w:rsidRPr="00A662DD" w:rsidRDefault="008831F9" w:rsidP="00EA573C">
            <w:pPr>
              <w:pStyle w:val="Tekstpodstawowy"/>
              <w:jc w:val="center"/>
              <w:rPr>
                <w:rFonts w:cstheme="minorHAnsi"/>
                <w:lang w:val="en-GB"/>
              </w:rPr>
            </w:pPr>
            <w:r w:rsidRPr="00A662DD">
              <w:rPr>
                <w:rFonts w:cstheme="minorHAnsi"/>
                <w:lang w:val="en-GB"/>
              </w:rPr>
              <w:t xml:space="preserve">AC 11S </w:t>
            </w:r>
          </w:p>
          <w:p w14:paraId="008F2F7B" w14:textId="77777777" w:rsidR="008831F9" w:rsidRPr="00A662DD" w:rsidRDefault="008831F9" w:rsidP="00EA573C">
            <w:pPr>
              <w:pStyle w:val="Tekstpodstawowy"/>
              <w:jc w:val="center"/>
              <w:rPr>
                <w:rFonts w:cstheme="minorHAnsi"/>
                <w:lang w:val="en-GB"/>
              </w:rPr>
            </w:pPr>
            <w:r w:rsidRPr="00A662DD">
              <w:rPr>
                <w:rFonts w:cstheme="minorHAnsi"/>
                <w:lang w:val="en-GB"/>
              </w:rPr>
              <w:t>KR1</w:t>
            </w:r>
            <w:r>
              <w:rPr>
                <w:rFonts w:cstheme="minorHAnsi"/>
                <w:lang w:val="en-GB"/>
              </w:rPr>
              <w:t>-2</w:t>
            </w:r>
          </w:p>
        </w:tc>
      </w:tr>
      <w:tr w:rsidR="008831F9" w:rsidRPr="00A662DD" w14:paraId="1D328873" w14:textId="77777777" w:rsidTr="00EA573C">
        <w:tc>
          <w:tcPr>
            <w:tcW w:w="551" w:type="dxa"/>
          </w:tcPr>
          <w:p w14:paraId="48FAF52F" w14:textId="77777777" w:rsidR="008831F9" w:rsidRPr="00A662DD" w:rsidRDefault="008831F9" w:rsidP="00EA573C">
            <w:pPr>
              <w:pStyle w:val="Tekstpodstawowy"/>
              <w:jc w:val="center"/>
              <w:rPr>
                <w:rFonts w:cstheme="minorHAnsi"/>
              </w:rPr>
            </w:pPr>
            <w:r w:rsidRPr="00A662DD">
              <w:rPr>
                <w:rFonts w:cstheme="minorHAnsi"/>
              </w:rPr>
              <w:t>1</w:t>
            </w:r>
          </w:p>
        </w:tc>
        <w:tc>
          <w:tcPr>
            <w:tcW w:w="1823" w:type="dxa"/>
          </w:tcPr>
          <w:p w14:paraId="5E9CE19A" w14:textId="77777777" w:rsidR="008831F9" w:rsidRPr="00A662DD" w:rsidRDefault="008831F9" w:rsidP="00EA573C">
            <w:pPr>
              <w:pStyle w:val="Tekstpodstawowy"/>
              <w:rPr>
                <w:rFonts w:cstheme="minorHAnsi"/>
              </w:rPr>
            </w:pPr>
            <w:r w:rsidRPr="00A662DD">
              <w:rPr>
                <w:rFonts w:cstheme="minorHAnsi"/>
              </w:rPr>
              <w:t>Zawartość wolnej przestrzeni</w:t>
            </w:r>
          </w:p>
        </w:tc>
        <w:tc>
          <w:tcPr>
            <w:tcW w:w="1701" w:type="dxa"/>
          </w:tcPr>
          <w:p w14:paraId="4387CB14" w14:textId="77777777" w:rsidR="008831F9" w:rsidRPr="00A662DD" w:rsidRDefault="008831F9" w:rsidP="00EA573C">
            <w:pPr>
              <w:pStyle w:val="Tekstpodstawowy"/>
              <w:rPr>
                <w:rFonts w:cstheme="minorHAnsi"/>
              </w:rPr>
            </w:pPr>
            <w:r w:rsidRPr="00A662DD">
              <w:rPr>
                <w:rFonts w:cstheme="minorHAnsi"/>
              </w:rPr>
              <w:t xml:space="preserve">C.1.2, ubijanie 2x50 </w:t>
            </w:r>
          </w:p>
        </w:tc>
        <w:tc>
          <w:tcPr>
            <w:tcW w:w="2694" w:type="dxa"/>
          </w:tcPr>
          <w:p w14:paraId="4B869AF4" w14:textId="77777777" w:rsidR="008831F9" w:rsidRPr="00A662DD" w:rsidRDefault="008831F9" w:rsidP="00EA573C">
            <w:pPr>
              <w:pStyle w:val="Tekstpodstawowy"/>
              <w:ind w:left="-108" w:right="-108" w:firstLine="224"/>
              <w:jc w:val="center"/>
              <w:rPr>
                <w:rFonts w:cstheme="minorHAnsi"/>
                <w:lang w:val="de-DE"/>
              </w:rPr>
            </w:pPr>
            <w:r w:rsidRPr="00A662DD">
              <w:rPr>
                <w:rFonts w:cstheme="minorHAnsi"/>
                <w:lang w:val="de-DE"/>
              </w:rPr>
              <w:t>PN-EN 12697-8, p.4</w:t>
            </w:r>
          </w:p>
        </w:tc>
        <w:tc>
          <w:tcPr>
            <w:tcW w:w="1417" w:type="dxa"/>
          </w:tcPr>
          <w:p w14:paraId="05F35092" w14:textId="77777777" w:rsidR="008831F9" w:rsidRPr="00A662DD" w:rsidRDefault="008831F9" w:rsidP="00EA573C">
            <w:pPr>
              <w:pStyle w:val="Tekstpodstawowy"/>
              <w:jc w:val="center"/>
              <w:rPr>
                <w:rFonts w:cstheme="minorHAnsi"/>
                <w:vertAlign w:val="subscript"/>
                <w:lang w:val="de-DE"/>
              </w:rPr>
            </w:pPr>
            <w:r w:rsidRPr="00A662DD">
              <w:rPr>
                <w:rFonts w:cstheme="minorHAnsi"/>
                <w:lang w:val="de-DE"/>
              </w:rPr>
              <w:t>V</w:t>
            </w:r>
            <w:r w:rsidRPr="00A662DD">
              <w:rPr>
                <w:rFonts w:cstheme="minorHAnsi"/>
                <w:vertAlign w:val="subscript"/>
                <w:lang w:val="de-DE"/>
              </w:rPr>
              <w:t>min1,0</w:t>
            </w:r>
          </w:p>
          <w:p w14:paraId="6266A0EB" w14:textId="77777777" w:rsidR="008831F9" w:rsidRPr="00A662DD" w:rsidRDefault="008831F9" w:rsidP="00EA573C">
            <w:pPr>
              <w:pStyle w:val="Tekstpodstawowy"/>
              <w:jc w:val="center"/>
              <w:rPr>
                <w:rFonts w:cstheme="minorHAnsi"/>
              </w:rPr>
            </w:pPr>
            <w:r w:rsidRPr="00A662DD">
              <w:rPr>
                <w:rFonts w:cstheme="minorHAnsi"/>
              </w:rPr>
              <w:t>V</w:t>
            </w:r>
            <w:r w:rsidRPr="00A662DD">
              <w:rPr>
                <w:rFonts w:cstheme="minorHAnsi"/>
                <w:vertAlign w:val="subscript"/>
              </w:rPr>
              <w:t>max3,0</w:t>
            </w:r>
          </w:p>
        </w:tc>
        <w:tc>
          <w:tcPr>
            <w:tcW w:w="1276" w:type="dxa"/>
          </w:tcPr>
          <w:p w14:paraId="163833D6" w14:textId="77777777" w:rsidR="008831F9" w:rsidRPr="00A662DD" w:rsidRDefault="008831F9" w:rsidP="00EA573C">
            <w:pPr>
              <w:pStyle w:val="Tekstpodstawowy"/>
              <w:jc w:val="center"/>
              <w:rPr>
                <w:rFonts w:cstheme="minorHAnsi"/>
                <w:vertAlign w:val="subscript"/>
                <w:lang w:val="de-DE"/>
              </w:rPr>
            </w:pPr>
            <w:r w:rsidRPr="00A662DD">
              <w:rPr>
                <w:rFonts w:cstheme="minorHAnsi"/>
                <w:lang w:val="de-DE"/>
              </w:rPr>
              <w:t>V</w:t>
            </w:r>
            <w:r w:rsidRPr="00A662DD">
              <w:rPr>
                <w:rFonts w:cstheme="minorHAnsi"/>
                <w:vertAlign w:val="subscript"/>
                <w:lang w:val="de-DE"/>
              </w:rPr>
              <w:t>min1,0</w:t>
            </w:r>
          </w:p>
          <w:p w14:paraId="052951C4" w14:textId="77777777" w:rsidR="008831F9" w:rsidRPr="00A662DD" w:rsidRDefault="008831F9" w:rsidP="00EA573C">
            <w:pPr>
              <w:pStyle w:val="Tekstpodstawowy"/>
              <w:jc w:val="center"/>
              <w:rPr>
                <w:rFonts w:cstheme="minorHAnsi"/>
              </w:rPr>
            </w:pPr>
            <w:r w:rsidRPr="00A662DD">
              <w:rPr>
                <w:rFonts w:cstheme="minorHAnsi"/>
              </w:rPr>
              <w:t>V</w:t>
            </w:r>
            <w:r w:rsidRPr="00A662DD">
              <w:rPr>
                <w:rFonts w:cstheme="minorHAnsi"/>
                <w:vertAlign w:val="subscript"/>
              </w:rPr>
              <w:t>max3,0</w:t>
            </w:r>
          </w:p>
        </w:tc>
      </w:tr>
      <w:tr w:rsidR="008831F9" w:rsidRPr="00A662DD" w14:paraId="57A8408D" w14:textId="77777777" w:rsidTr="00EA573C">
        <w:tc>
          <w:tcPr>
            <w:tcW w:w="551" w:type="dxa"/>
          </w:tcPr>
          <w:p w14:paraId="36A958C1" w14:textId="77777777" w:rsidR="008831F9" w:rsidRPr="00A662DD" w:rsidRDefault="008831F9" w:rsidP="00EA573C">
            <w:pPr>
              <w:pStyle w:val="Tekstpodstawowy"/>
              <w:jc w:val="center"/>
              <w:rPr>
                <w:rFonts w:cstheme="minorHAnsi"/>
              </w:rPr>
            </w:pPr>
            <w:r w:rsidRPr="00A662DD">
              <w:rPr>
                <w:rFonts w:cstheme="minorHAnsi"/>
              </w:rPr>
              <w:t>2</w:t>
            </w:r>
          </w:p>
        </w:tc>
        <w:tc>
          <w:tcPr>
            <w:tcW w:w="1823" w:type="dxa"/>
          </w:tcPr>
          <w:p w14:paraId="19BEA7B4" w14:textId="77777777" w:rsidR="008831F9" w:rsidRPr="00A662DD" w:rsidRDefault="008831F9" w:rsidP="00EA573C">
            <w:pPr>
              <w:pStyle w:val="Tekstpodstawowy"/>
              <w:rPr>
                <w:rFonts w:cstheme="minorHAnsi"/>
              </w:rPr>
            </w:pPr>
            <w:r w:rsidRPr="00A662DD">
              <w:rPr>
                <w:rFonts w:cstheme="minorHAnsi"/>
              </w:rPr>
              <w:t>Odporność na działanie wody</w:t>
            </w:r>
          </w:p>
        </w:tc>
        <w:tc>
          <w:tcPr>
            <w:tcW w:w="1701" w:type="dxa"/>
          </w:tcPr>
          <w:p w14:paraId="423451B9" w14:textId="77777777" w:rsidR="008831F9" w:rsidRPr="00A662DD" w:rsidRDefault="008831F9" w:rsidP="00EA573C">
            <w:pPr>
              <w:pStyle w:val="Tekstpodstawowy"/>
              <w:rPr>
                <w:rFonts w:cstheme="minorHAnsi"/>
              </w:rPr>
            </w:pPr>
            <w:r w:rsidRPr="00A662DD">
              <w:rPr>
                <w:rFonts w:cstheme="minorHAnsi"/>
              </w:rPr>
              <w:t xml:space="preserve">C.1.1. ubijanie 2x35 uderzeń, </w:t>
            </w:r>
          </w:p>
        </w:tc>
        <w:tc>
          <w:tcPr>
            <w:tcW w:w="2694" w:type="dxa"/>
          </w:tcPr>
          <w:p w14:paraId="6C2FFBEC" w14:textId="77777777" w:rsidR="008831F9" w:rsidRPr="004E54A4" w:rsidRDefault="008831F9" w:rsidP="00EA573C">
            <w:pPr>
              <w:pStyle w:val="Tekstpodstawowy"/>
              <w:ind w:left="-108" w:right="-108"/>
              <w:jc w:val="center"/>
              <w:rPr>
                <w:rFonts w:cstheme="minorHAnsi"/>
              </w:rPr>
            </w:pPr>
            <w:r w:rsidRPr="004E54A4">
              <w:rPr>
                <w:rFonts w:cstheme="minorHAnsi"/>
              </w:rPr>
              <w:t>PN-EN 12697-12, przechowywanie w 40</w:t>
            </w:r>
            <w:r w:rsidRPr="004E54A4">
              <w:rPr>
                <w:rFonts w:cstheme="minorHAnsi"/>
                <w:vertAlign w:val="superscript"/>
              </w:rPr>
              <w:t>0</w:t>
            </w:r>
            <w:r w:rsidRPr="004E54A4">
              <w:rPr>
                <w:rFonts w:cstheme="minorHAnsi"/>
              </w:rPr>
              <w:t>C z jednym cyklem zamrażania, badanie w temperaturze 25</w:t>
            </w:r>
            <w:r w:rsidRPr="004E54A4">
              <w:rPr>
                <w:rFonts w:cstheme="minorHAnsi"/>
                <w:vertAlign w:val="superscript"/>
              </w:rPr>
              <w:t>0</w:t>
            </w:r>
            <w:r w:rsidRPr="004E54A4">
              <w:rPr>
                <w:rFonts w:cstheme="minorHAnsi"/>
              </w:rPr>
              <w:t>C</w:t>
            </w:r>
          </w:p>
        </w:tc>
        <w:tc>
          <w:tcPr>
            <w:tcW w:w="1417" w:type="dxa"/>
            <w:vAlign w:val="center"/>
          </w:tcPr>
          <w:p w14:paraId="07E08526" w14:textId="77777777" w:rsidR="008831F9" w:rsidRPr="00A662DD" w:rsidRDefault="008831F9" w:rsidP="00EA573C">
            <w:pPr>
              <w:pStyle w:val="Tekstpodstawowy"/>
              <w:jc w:val="center"/>
              <w:rPr>
                <w:rFonts w:cstheme="minorHAnsi"/>
              </w:rPr>
            </w:pPr>
            <w:r w:rsidRPr="00A662DD">
              <w:rPr>
                <w:rFonts w:cstheme="minorHAnsi"/>
              </w:rPr>
              <w:t>ITSR</w:t>
            </w:r>
            <w:r w:rsidRPr="00A662DD">
              <w:rPr>
                <w:rFonts w:cstheme="minorHAnsi"/>
                <w:vertAlign w:val="subscript"/>
              </w:rPr>
              <w:t>90</w:t>
            </w:r>
          </w:p>
        </w:tc>
        <w:tc>
          <w:tcPr>
            <w:tcW w:w="1276" w:type="dxa"/>
            <w:vAlign w:val="center"/>
          </w:tcPr>
          <w:p w14:paraId="4B60B262" w14:textId="77777777" w:rsidR="008831F9" w:rsidRPr="00A662DD" w:rsidRDefault="008831F9" w:rsidP="00EA573C">
            <w:pPr>
              <w:pStyle w:val="Tekstpodstawowy"/>
              <w:jc w:val="center"/>
              <w:rPr>
                <w:rFonts w:cstheme="minorHAnsi"/>
              </w:rPr>
            </w:pPr>
            <w:r w:rsidRPr="00A662DD">
              <w:rPr>
                <w:rFonts w:cstheme="minorHAnsi"/>
              </w:rPr>
              <w:t>ITSR</w:t>
            </w:r>
            <w:r w:rsidRPr="00A662DD">
              <w:rPr>
                <w:rFonts w:cstheme="minorHAnsi"/>
                <w:vertAlign w:val="subscript"/>
              </w:rPr>
              <w:t>90</w:t>
            </w:r>
          </w:p>
        </w:tc>
      </w:tr>
      <w:tr w:rsidR="008831F9" w:rsidRPr="00A662DD" w14:paraId="50A6520C" w14:textId="77777777" w:rsidTr="00EA573C">
        <w:tc>
          <w:tcPr>
            <w:tcW w:w="551" w:type="dxa"/>
          </w:tcPr>
          <w:p w14:paraId="6CC15117" w14:textId="77777777" w:rsidR="008831F9" w:rsidRPr="00A662DD" w:rsidRDefault="008831F9" w:rsidP="00EA573C">
            <w:pPr>
              <w:pStyle w:val="Tekstpodstawowy"/>
              <w:jc w:val="center"/>
              <w:rPr>
                <w:rFonts w:cstheme="minorHAnsi"/>
              </w:rPr>
            </w:pPr>
            <w:r w:rsidRPr="00A662DD">
              <w:rPr>
                <w:rFonts w:cstheme="minorHAnsi"/>
              </w:rPr>
              <w:t>3</w:t>
            </w:r>
          </w:p>
        </w:tc>
        <w:tc>
          <w:tcPr>
            <w:tcW w:w="1823" w:type="dxa"/>
          </w:tcPr>
          <w:p w14:paraId="4F50C076" w14:textId="77777777" w:rsidR="008831F9" w:rsidRPr="00A662DD" w:rsidRDefault="008831F9" w:rsidP="00EA573C">
            <w:pPr>
              <w:pStyle w:val="Tekstpodstawowy"/>
              <w:rPr>
                <w:rFonts w:cstheme="minorHAnsi"/>
              </w:rPr>
            </w:pPr>
            <w:r w:rsidRPr="00A662DD">
              <w:rPr>
                <w:rFonts w:cstheme="minorHAnsi"/>
              </w:rPr>
              <w:t xml:space="preserve">Wolne </w:t>
            </w:r>
            <w:r>
              <w:rPr>
                <w:rFonts w:cstheme="minorHAnsi"/>
              </w:rPr>
              <w:t>p</w:t>
            </w:r>
            <w:r w:rsidRPr="00A662DD">
              <w:rPr>
                <w:rFonts w:cstheme="minorHAnsi"/>
              </w:rPr>
              <w:t>rzestrzenie wypełnione lepiszczem</w:t>
            </w:r>
          </w:p>
        </w:tc>
        <w:tc>
          <w:tcPr>
            <w:tcW w:w="1701" w:type="dxa"/>
          </w:tcPr>
          <w:p w14:paraId="67F4584A" w14:textId="77777777" w:rsidR="008831F9" w:rsidRPr="00A662DD" w:rsidRDefault="008831F9" w:rsidP="00EA573C">
            <w:pPr>
              <w:pStyle w:val="Tekstpodstawowy"/>
              <w:rPr>
                <w:rFonts w:cstheme="minorHAnsi"/>
              </w:rPr>
            </w:pPr>
            <w:r w:rsidRPr="00A662DD">
              <w:rPr>
                <w:rFonts w:cstheme="minorHAnsi"/>
              </w:rPr>
              <w:t xml:space="preserve">C.1.2, ubijanie 2x50 uderzeń, </w:t>
            </w:r>
          </w:p>
        </w:tc>
        <w:tc>
          <w:tcPr>
            <w:tcW w:w="2694" w:type="dxa"/>
            <w:vAlign w:val="center"/>
          </w:tcPr>
          <w:p w14:paraId="23EBFE87" w14:textId="77777777" w:rsidR="008831F9" w:rsidRPr="00A662DD" w:rsidRDefault="008831F9" w:rsidP="00EA573C">
            <w:pPr>
              <w:pStyle w:val="Tekstpodstawowy"/>
              <w:jc w:val="center"/>
              <w:rPr>
                <w:rFonts w:cstheme="minorHAnsi"/>
              </w:rPr>
            </w:pPr>
            <w:r w:rsidRPr="00A662DD">
              <w:rPr>
                <w:rFonts w:cstheme="minorHAnsi"/>
              </w:rPr>
              <w:t>PN-EN 12697-8, p.5</w:t>
            </w:r>
          </w:p>
        </w:tc>
        <w:tc>
          <w:tcPr>
            <w:tcW w:w="1417" w:type="dxa"/>
            <w:vAlign w:val="center"/>
          </w:tcPr>
          <w:p w14:paraId="2F904D3F" w14:textId="77777777" w:rsidR="008831F9" w:rsidRPr="00A662DD" w:rsidRDefault="008831F9" w:rsidP="00EA573C">
            <w:pPr>
              <w:pStyle w:val="Tekstpodstawowy"/>
              <w:jc w:val="center"/>
              <w:rPr>
                <w:rFonts w:cstheme="minorHAnsi"/>
                <w:vertAlign w:val="subscript"/>
                <w:lang w:val="de-DE"/>
              </w:rPr>
            </w:pPr>
            <w:r w:rsidRPr="00A662DD">
              <w:rPr>
                <w:rFonts w:cstheme="minorHAnsi"/>
                <w:lang w:val="de-DE"/>
              </w:rPr>
              <w:t>VFB</w:t>
            </w:r>
            <w:r w:rsidRPr="00A662DD">
              <w:rPr>
                <w:rFonts w:cstheme="minorHAnsi"/>
                <w:vertAlign w:val="subscript"/>
                <w:lang w:val="de-DE"/>
              </w:rPr>
              <w:t>min75</w:t>
            </w:r>
          </w:p>
          <w:p w14:paraId="4DF0394F" w14:textId="77777777" w:rsidR="008831F9" w:rsidRPr="00A662DD" w:rsidRDefault="008831F9" w:rsidP="00EA573C">
            <w:pPr>
              <w:pStyle w:val="Tekstpodstawowy"/>
              <w:jc w:val="center"/>
              <w:rPr>
                <w:rFonts w:cstheme="minorHAnsi"/>
                <w:lang w:val="de-DE"/>
              </w:rPr>
            </w:pPr>
            <w:r w:rsidRPr="00A662DD">
              <w:rPr>
                <w:rFonts w:cstheme="minorHAnsi"/>
                <w:lang w:val="de-DE"/>
              </w:rPr>
              <w:t>VFB</w:t>
            </w:r>
            <w:r w:rsidRPr="00A662DD">
              <w:rPr>
                <w:rFonts w:cstheme="minorHAnsi"/>
                <w:vertAlign w:val="subscript"/>
                <w:lang w:val="de-DE"/>
              </w:rPr>
              <w:t>max93</w:t>
            </w:r>
          </w:p>
        </w:tc>
        <w:tc>
          <w:tcPr>
            <w:tcW w:w="1276" w:type="dxa"/>
            <w:vAlign w:val="center"/>
          </w:tcPr>
          <w:p w14:paraId="13D37A39" w14:textId="77777777" w:rsidR="008831F9" w:rsidRPr="00A662DD" w:rsidRDefault="008831F9" w:rsidP="00EA573C">
            <w:pPr>
              <w:pStyle w:val="Tekstpodstawowy"/>
              <w:jc w:val="center"/>
              <w:rPr>
                <w:rFonts w:cstheme="minorHAnsi"/>
                <w:vertAlign w:val="subscript"/>
                <w:lang w:val="de-DE"/>
              </w:rPr>
            </w:pPr>
            <w:r w:rsidRPr="00A662DD">
              <w:rPr>
                <w:rFonts w:cstheme="minorHAnsi"/>
                <w:lang w:val="de-DE"/>
              </w:rPr>
              <w:t>VFB</w:t>
            </w:r>
            <w:r w:rsidRPr="00A662DD">
              <w:rPr>
                <w:rFonts w:cstheme="minorHAnsi"/>
                <w:vertAlign w:val="subscript"/>
                <w:lang w:val="de-DE"/>
              </w:rPr>
              <w:t>min75</w:t>
            </w:r>
          </w:p>
          <w:p w14:paraId="33048D1D" w14:textId="77777777" w:rsidR="008831F9" w:rsidRPr="00A662DD" w:rsidRDefault="008831F9" w:rsidP="00EA573C">
            <w:pPr>
              <w:pStyle w:val="Tekstpodstawowy"/>
              <w:jc w:val="center"/>
              <w:rPr>
                <w:rFonts w:cstheme="minorHAnsi"/>
                <w:lang w:val="de-DE"/>
              </w:rPr>
            </w:pPr>
            <w:r w:rsidRPr="00A662DD">
              <w:rPr>
                <w:rFonts w:cstheme="minorHAnsi"/>
                <w:lang w:val="de-DE"/>
              </w:rPr>
              <w:t>VFB</w:t>
            </w:r>
            <w:r w:rsidRPr="00A662DD">
              <w:rPr>
                <w:rFonts w:cstheme="minorHAnsi"/>
                <w:vertAlign w:val="subscript"/>
                <w:lang w:val="de-DE"/>
              </w:rPr>
              <w:t>max93</w:t>
            </w:r>
          </w:p>
        </w:tc>
      </w:tr>
      <w:tr w:rsidR="008831F9" w:rsidRPr="00A662DD" w14:paraId="61C0D781" w14:textId="77777777" w:rsidTr="00EA573C">
        <w:tc>
          <w:tcPr>
            <w:tcW w:w="551" w:type="dxa"/>
          </w:tcPr>
          <w:p w14:paraId="17A67F43" w14:textId="77777777" w:rsidR="008831F9" w:rsidRPr="00A662DD" w:rsidRDefault="008831F9" w:rsidP="00EA573C">
            <w:pPr>
              <w:pStyle w:val="Tekstpodstawowy"/>
              <w:jc w:val="center"/>
              <w:rPr>
                <w:rFonts w:cstheme="minorHAnsi"/>
              </w:rPr>
            </w:pPr>
            <w:r w:rsidRPr="00A662DD">
              <w:rPr>
                <w:rFonts w:cstheme="minorHAnsi"/>
              </w:rPr>
              <w:t>4</w:t>
            </w:r>
          </w:p>
        </w:tc>
        <w:tc>
          <w:tcPr>
            <w:tcW w:w="1823" w:type="dxa"/>
          </w:tcPr>
          <w:p w14:paraId="696CEC34" w14:textId="77777777" w:rsidR="008831F9" w:rsidRPr="004E54A4" w:rsidRDefault="008831F9" w:rsidP="00EA573C">
            <w:pPr>
              <w:pStyle w:val="Tekstpodstawowy"/>
              <w:rPr>
                <w:rFonts w:cstheme="minorHAnsi"/>
              </w:rPr>
            </w:pPr>
            <w:r w:rsidRPr="004E54A4">
              <w:rPr>
                <w:rFonts w:cstheme="minorHAnsi"/>
              </w:rPr>
              <w:t>Zawartość wolnej przestrzeni w mieszance mineralnej</w:t>
            </w:r>
          </w:p>
        </w:tc>
        <w:tc>
          <w:tcPr>
            <w:tcW w:w="1701" w:type="dxa"/>
          </w:tcPr>
          <w:p w14:paraId="12AE6FF1" w14:textId="77777777" w:rsidR="008831F9" w:rsidRPr="00A662DD" w:rsidRDefault="008831F9" w:rsidP="00EA573C">
            <w:pPr>
              <w:pStyle w:val="Tekstpodstawowy"/>
              <w:rPr>
                <w:rFonts w:cstheme="minorHAnsi"/>
              </w:rPr>
            </w:pPr>
            <w:r w:rsidRPr="00A662DD">
              <w:rPr>
                <w:rFonts w:cstheme="minorHAnsi"/>
              </w:rPr>
              <w:t xml:space="preserve">C.1.2,  ubijanie 2x50 uderzeń, </w:t>
            </w:r>
          </w:p>
        </w:tc>
        <w:tc>
          <w:tcPr>
            <w:tcW w:w="2694" w:type="dxa"/>
          </w:tcPr>
          <w:p w14:paraId="49093D5A" w14:textId="77777777" w:rsidR="008831F9" w:rsidRPr="00A662DD" w:rsidRDefault="008831F9" w:rsidP="00EA573C">
            <w:pPr>
              <w:pStyle w:val="Tekstpodstawowy"/>
              <w:jc w:val="center"/>
              <w:rPr>
                <w:rFonts w:cstheme="minorHAnsi"/>
                <w:lang w:val="de-DE"/>
              </w:rPr>
            </w:pPr>
            <w:r w:rsidRPr="00A662DD">
              <w:rPr>
                <w:rFonts w:cstheme="minorHAnsi"/>
                <w:lang w:val="de-DE"/>
              </w:rPr>
              <w:t>PN-EN 12697-8</w:t>
            </w:r>
          </w:p>
        </w:tc>
        <w:tc>
          <w:tcPr>
            <w:tcW w:w="1417" w:type="dxa"/>
          </w:tcPr>
          <w:p w14:paraId="02838682" w14:textId="77777777" w:rsidR="008831F9" w:rsidRPr="00A662DD" w:rsidRDefault="008831F9" w:rsidP="00EA573C">
            <w:pPr>
              <w:pStyle w:val="Tekstpodstawowy"/>
              <w:jc w:val="center"/>
              <w:rPr>
                <w:rFonts w:cstheme="minorHAnsi"/>
                <w:lang w:val="de-DE"/>
              </w:rPr>
            </w:pPr>
          </w:p>
          <w:p w14:paraId="0ACBD06B" w14:textId="77777777" w:rsidR="008831F9" w:rsidRPr="00A662DD" w:rsidRDefault="008831F9" w:rsidP="00EA573C">
            <w:pPr>
              <w:pStyle w:val="Tekstpodstawowy"/>
              <w:jc w:val="center"/>
              <w:rPr>
                <w:rFonts w:cstheme="minorHAnsi"/>
                <w:vertAlign w:val="subscript"/>
                <w:lang w:val="de-DE"/>
              </w:rPr>
            </w:pPr>
            <w:r w:rsidRPr="00A662DD">
              <w:rPr>
                <w:rFonts w:cstheme="minorHAnsi"/>
                <w:lang w:val="de-DE"/>
              </w:rPr>
              <w:t>VMA</w:t>
            </w:r>
            <w:r w:rsidRPr="00A662DD">
              <w:rPr>
                <w:rFonts w:cstheme="minorHAnsi"/>
                <w:vertAlign w:val="subscript"/>
                <w:lang w:val="de-DE"/>
              </w:rPr>
              <w:t>min14</w:t>
            </w:r>
          </w:p>
          <w:p w14:paraId="48074C46" w14:textId="77777777" w:rsidR="008831F9" w:rsidRPr="00A662DD" w:rsidRDefault="008831F9" w:rsidP="00EA573C">
            <w:pPr>
              <w:pStyle w:val="Tekstpodstawowy"/>
              <w:jc w:val="center"/>
              <w:rPr>
                <w:rFonts w:cstheme="minorHAnsi"/>
                <w:lang w:val="de-DE"/>
              </w:rPr>
            </w:pPr>
          </w:p>
        </w:tc>
        <w:tc>
          <w:tcPr>
            <w:tcW w:w="1276" w:type="dxa"/>
          </w:tcPr>
          <w:p w14:paraId="5B05FB20" w14:textId="77777777" w:rsidR="008831F9" w:rsidRPr="00A662DD" w:rsidRDefault="008831F9" w:rsidP="00EA573C">
            <w:pPr>
              <w:pStyle w:val="Tekstpodstawowy"/>
              <w:jc w:val="center"/>
              <w:rPr>
                <w:rFonts w:cstheme="minorHAnsi"/>
                <w:lang w:val="de-DE"/>
              </w:rPr>
            </w:pPr>
          </w:p>
          <w:p w14:paraId="0F7FE626" w14:textId="77777777" w:rsidR="008831F9" w:rsidRPr="00A662DD" w:rsidRDefault="008831F9" w:rsidP="00EA573C">
            <w:pPr>
              <w:pStyle w:val="Tekstpodstawowy"/>
              <w:jc w:val="center"/>
              <w:rPr>
                <w:rFonts w:cstheme="minorHAnsi"/>
                <w:vertAlign w:val="subscript"/>
                <w:lang w:val="de-DE"/>
              </w:rPr>
            </w:pPr>
            <w:r w:rsidRPr="00A662DD">
              <w:rPr>
                <w:rFonts w:cstheme="minorHAnsi"/>
                <w:lang w:val="de-DE"/>
              </w:rPr>
              <w:t>VMA</w:t>
            </w:r>
            <w:r w:rsidRPr="00A662DD">
              <w:rPr>
                <w:rFonts w:cstheme="minorHAnsi"/>
                <w:vertAlign w:val="subscript"/>
                <w:lang w:val="de-DE"/>
              </w:rPr>
              <w:t>min14</w:t>
            </w:r>
          </w:p>
          <w:p w14:paraId="38AD0C62" w14:textId="77777777" w:rsidR="008831F9" w:rsidRPr="00A662DD" w:rsidRDefault="008831F9" w:rsidP="00EA573C">
            <w:pPr>
              <w:pStyle w:val="Tekstpodstawowy"/>
              <w:jc w:val="center"/>
              <w:rPr>
                <w:rFonts w:cstheme="minorHAnsi"/>
                <w:lang w:val="de-DE"/>
              </w:rPr>
            </w:pPr>
          </w:p>
        </w:tc>
      </w:tr>
    </w:tbl>
    <w:p w14:paraId="3E1849C7" w14:textId="77777777" w:rsidR="008831F9" w:rsidRDefault="008831F9" w:rsidP="008831F9">
      <w:pPr>
        <w:rPr>
          <w:rFonts w:asciiTheme="minorHAnsi" w:hAnsiTheme="minorHAnsi" w:cstheme="minorHAnsi"/>
          <w:b/>
          <w:bCs/>
        </w:rPr>
      </w:pPr>
    </w:p>
    <w:p w14:paraId="44D32FEF" w14:textId="77777777" w:rsidR="008831F9" w:rsidRPr="004E54A4" w:rsidRDefault="008831F9" w:rsidP="008831F9">
      <w:pPr>
        <w:rPr>
          <w:rFonts w:asciiTheme="minorHAnsi" w:hAnsiTheme="minorHAnsi" w:cstheme="minorHAnsi"/>
          <w:color w:val="FF0000"/>
        </w:rPr>
      </w:pPr>
      <w:r w:rsidRPr="004E54A4">
        <w:rPr>
          <w:rFonts w:asciiTheme="minorHAnsi" w:hAnsiTheme="minorHAnsi" w:cstheme="minorHAnsi"/>
          <w:b/>
          <w:bCs/>
        </w:rPr>
        <w:t>Tablica 7</w:t>
      </w:r>
      <w:r>
        <w:rPr>
          <w:rFonts w:asciiTheme="minorHAnsi" w:hAnsiTheme="minorHAnsi" w:cstheme="minorHAnsi"/>
          <w:b/>
          <w:bCs/>
        </w:rPr>
        <w:t>a</w:t>
      </w:r>
      <w:r w:rsidRPr="004E54A4">
        <w:rPr>
          <w:rFonts w:asciiTheme="minorHAnsi" w:hAnsiTheme="minorHAnsi" w:cstheme="minorHAnsi"/>
          <w:b/>
          <w:bCs/>
        </w:rPr>
        <w:t>.</w:t>
      </w:r>
      <w:r w:rsidRPr="004E54A4">
        <w:rPr>
          <w:rFonts w:asciiTheme="minorHAnsi" w:hAnsiTheme="minorHAnsi" w:cstheme="minorHAnsi"/>
        </w:rPr>
        <w:t xml:space="preserve"> Wymagania dla mieszanki mineralno- asfaltowej dla KR </w:t>
      </w:r>
      <w:r>
        <w:rPr>
          <w:rFonts w:asciiTheme="minorHAnsi" w:hAnsiTheme="minorHAnsi" w:cstheme="minorHAnsi"/>
        </w:rPr>
        <w:t>3</w:t>
      </w:r>
      <w:r w:rsidRPr="004E54A4">
        <w:rPr>
          <w:rFonts w:asciiTheme="minorHAnsi" w:hAnsiTheme="minorHAnsi" w:cstheme="minorHAnsi"/>
        </w:rPr>
        <w:t>-</w:t>
      </w:r>
      <w:r>
        <w:rPr>
          <w:rFonts w:asciiTheme="minorHAnsi" w:hAnsiTheme="minorHAnsi" w:cstheme="minorHAnsi"/>
        </w:rPr>
        <w:t>4</w:t>
      </w:r>
      <w:r w:rsidRPr="004E54A4">
        <w:rPr>
          <w:rFonts w:asciiTheme="minorHAnsi" w:hAnsiTheme="minorHAnsi" w:cstheme="minorHAns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1"/>
        <w:gridCol w:w="1823"/>
        <w:gridCol w:w="1701"/>
        <w:gridCol w:w="2694"/>
        <w:gridCol w:w="1276"/>
      </w:tblGrid>
      <w:tr w:rsidR="008831F9" w:rsidRPr="00A662DD" w14:paraId="0412BBCC" w14:textId="77777777" w:rsidTr="00EA573C">
        <w:trPr>
          <w:jc w:val="center"/>
        </w:trPr>
        <w:tc>
          <w:tcPr>
            <w:tcW w:w="551" w:type="dxa"/>
          </w:tcPr>
          <w:p w14:paraId="74E2B917" w14:textId="77777777" w:rsidR="008831F9" w:rsidRPr="00A662DD" w:rsidRDefault="008831F9" w:rsidP="00EA573C">
            <w:pPr>
              <w:pStyle w:val="Tekstpodstawowy"/>
              <w:jc w:val="center"/>
              <w:rPr>
                <w:rFonts w:cstheme="minorHAnsi"/>
              </w:rPr>
            </w:pPr>
            <w:r w:rsidRPr="00A662DD">
              <w:rPr>
                <w:rFonts w:cstheme="minorHAnsi"/>
              </w:rPr>
              <w:t>Lp</w:t>
            </w:r>
          </w:p>
        </w:tc>
        <w:tc>
          <w:tcPr>
            <w:tcW w:w="1823" w:type="dxa"/>
          </w:tcPr>
          <w:p w14:paraId="38E39C52" w14:textId="77777777" w:rsidR="008831F9" w:rsidRPr="00A662DD" w:rsidRDefault="008831F9" w:rsidP="00EA573C">
            <w:pPr>
              <w:pStyle w:val="Tekstpodstawowy"/>
              <w:jc w:val="center"/>
              <w:rPr>
                <w:rFonts w:cstheme="minorHAnsi"/>
              </w:rPr>
            </w:pPr>
            <w:r w:rsidRPr="00A662DD">
              <w:rPr>
                <w:rFonts w:cstheme="minorHAnsi"/>
              </w:rPr>
              <w:t>Właściwość</w:t>
            </w:r>
          </w:p>
        </w:tc>
        <w:tc>
          <w:tcPr>
            <w:tcW w:w="1701" w:type="dxa"/>
          </w:tcPr>
          <w:p w14:paraId="0EF0BE19" w14:textId="77777777" w:rsidR="008831F9" w:rsidRPr="004E54A4" w:rsidRDefault="008831F9" w:rsidP="00EA573C">
            <w:pPr>
              <w:pStyle w:val="Tekstpodstawowy"/>
              <w:jc w:val="center"/>
              <w:rPr>
                <w:rFonts w:cstheme="minorHAnsi"/>
              </w:rPr>
            </w:pPr>
            <w:r w:rsidRPr="004E54A4">
              <w:rPr>
                <w:rFonts w:cstheme="minorHAnsi"/>
              </w:rPr>
              <w:t>Warunki zagęszczania wg PN-EN 13108-20</w:t>
            </w:r>
          </w:p>
        </w:tc>
        <w:tc>
          <w:tcPr>
            <w:tcW w:w="2694" w:type="dxa"/>
          </w:tcPr>
          <w:p w14:paraId="44B9836C" w14:textId="77777777" w:rsidR="008831F9" w:rsidRPr="00A662DD" w:rsidRDefault="008831F9" w:rsidP="00EA573C">
            <w:pPr>
              <w:pStyle w:val="Tekstpodstawowy"/>
              <w:jc w:val="center"/>
              <w:rPr>
                <w:rFonts w:cstheme="minorHAnsi"/>
              </w:rPr>
            </w:pPr>
            <w:r w:rsidRPr="00A662DD">
              <w:rPr>
                <w:rFonts w:cstheme="minorHAnsi"/>
              </w:rPr>
              <w:t>Metoda i warunki badania</w:t>
            </w:r>
          </w:p>
        </w:tc>
        <w:tc>
          <w:tcPr>
            <w:tcW w:w="1276" w:type="dxa"/>
          </w:tcPr>
          <w:p w14:paraId="1BF3A4DF" w14:textId="77777777" w:rsidR="008831F9" w:rsidRPr="00A662DD" w:rsidRDefault="008831F9" w:rsidP="00EA573C">
            <w:pPr>
              <w:pStyle w:val="Tekstpodstawowy"/>
              <w:jc w:val="center"/>
              <w:rPr>
                <w:rFonts w:cstheme="minorHAnsi"/>
                <w:lang w:val="en-GB"/>
              </w:rPr>
            </w:pPr>
            <w:r w:rsidRPr="00A662DD">
              <w:rPr>
                <w:rFonts w:cstheme="minorHAnsi"/>
                <w:lang w:val="en-GB"/>
              </w:rPr>
              <w:t xml:space="preserve">AC 11S </w:t>
            </w:r>
          </w:p>
          <w:p w14:paraId="6D08C24B" w14:textId="77777777" w:rsidR="008831F9" w:rsidRPr="00A662DD" w:rsidRDefault="008831F9" w:rsidP="00EA573C">
            <w:pPr>
              <w:pStyle w:val="Tekstpodstawowy"/>
              <w:jc w:val="center"/>
              <w:rPr>
                <w:rFonts w:cstheme="minorHAnsi"/>
                <w:lang w:val="en-GB"/>
              </w:rPr>
            </w:pPr>
            <w:r w:rsidRPr="00A662DD">
              <w:rPr>
                <w:rFonts w:cstheme="minorHAnsi"/>
                <w:lang w:val="en-GB"/>
              </w:rPr>
              <w:t>KR</w:t>
            </w:r>
            <w:r>
              <w:rPr>
                <w:rFonts w:cstheme="minorHAnsi"/>
                <w:lang w:val="en-GB"/>
              </w:rPr>
              <w:t>3-4</w:t>
            </w:r>
          </w:p>
        </w:tc>
      </w:tr>
      <w:tr w:rsidR="008831F9" w:rsidRPr="00A662DD" w14:paraId="1A89B47B" w14:textId="77777777" w:rsidTr="00EA573C">
        <w:trPr>
          <w:jc w:val="center"/>
        </w:trPr>
        <w:tc>
          <w:tcPr>
            <w:tcW w:w="551" w:type="dxa"/>
          </w:tcPr>
          <w:p w14:paraId="5DBB4106" w14:textId="77777777" w:rsidR="008831F9" w:rsidRPr="00A662DD" w:rsidRDefault="008831F9" w:rsidP="00EA573C">
            <w:pPr>
              <w:pStyle w:val="Tekstpodstawowy"/>
              <w:jc w:val="center"/>
              <w:rPr>
                <w:rFonts w:cstheme="minorHAnsi"/>
              </w:rPr>
            </w:pPr>
            <w:r w:rsidRPr="00A662DD">
              <w:rPr>
                <w:rFonts w:cstheme="minorHAnsi"/>
              </w:rPr>
              <w:t>1</w:t>
            </w:r>
          </w:p>
        </w:tc>
        <w:tc>
          <w:tcPr>
            <w:tcW w:w="1823" w:type="dxa"/>
          </w:tcPr>
          <w:p w14:paraId="73BA5AB1" w14:textId="77777777" w:rsidR="008831F9" w:rsidRPr="00A662DD" w:rsidRDefault="008831F9" w:rsidP="00EA573C">
            <w:pPr>
              <w:pStyle w:val="Tekstpodstawowy"/>
              <w:rPr>
                <w:rFonts w:cstheme="minorHAnsi"/>
              </w:rPr>
            </w:pPr>
            <w:r w:rsidRPr="00A662DD">
              <w:rPr>
                <w:rFonts w:cstheme="minorHAnsi"/>
              </w:rPr>
              <w:t>Zawartość wolnej przestrzeni</w:t>
            </w:r>
          </w:p>
        </w:tc>
        <w:tc>
          <w:tcPr>
            <w:tcW w:w="1701" w:type="dxa"/>
          </w:tcPr>
          <w:p w14:paraId="4F363E7F" w14:textId="77777777" w:rsidR="008831F9" w:rsidRPr="00A662DD" w:rsidRDefault="008831F9" w:rsidP="00EA573C">
            <w:pPr>
              <w:pStyle w:val="Tekstpodstawowy"/>
              <w:rPr>
                <w:rFonts w:cstheme="minorHAnsi"/>
              </w:rPr>
            </w:pPr>
            <w:r w:rsidRPr="00A662DD">
              <w:rPr>
                <w:rFonts w:cstheme="minorHAnsi"/>
              </w:rPr>
              <w:t>C.1.</w:t>
            </w:r>
            <w:r>
              <w:rPr>
                <w:rFonts w:cstheme="minorHAnsi"/>
              </w:rPr>
              <w:t>3</w:t>
            </w:r>
            <w:r w:rsidRPr="00A662DD">
              <w:rPr>
                <w:rFonts w:cstheme="minorHAnsi"/>
              </w:rPr>
              <w:t>, ubijanie 2x</w:t>
            </w:r>
            <w:r>
              <w:rPr>
                <w:rFonts w:cstheme="minorHAnsi"/>
              </w:rPr>
              <w:t>75</w:t>
            </w:r>
            <w:r w:rsidRPr="00A662DD">
              <w:rPr>
                <w:rFonts w:cstheme="minorHAnsi"/>
              </w:rPr>
              <w:t xml:space="preserve"> </w:t>
            </w:r>
          </w:p>
        </w:tc>
        <w:tc>
          <w:tcPr>
            <w:tcW w:w="2694" w:type="dxa"/>
          </w:tcPr>
          <w:p w14:paraId="6F087443" w14:textId="77777777" w:rsidR="008831F9" w:rsidRPr="00A662DD" w:rsidRDefault="008831F9" w:rsidP="00EA573C">
            <w:pPr>
              <w:pStyle w:val="Tekstpodstawowy"/>
              <w:ind w:left="-108" w:right="-108" w:firstLine="224"/>
              <w:jc w:val="center"/>
              <w:rPr>
                <w:rFonts w:cstheme="minorHAnsi"/>
                <w:lang w:val="de-DE"/>
              </w:rPr>
            </w:pPr>
            <w:r w:rsidRPr="00A662DD">
              <w:rPr>
                <w:rFonts w:cstheme="minorHAnsi"/>
                <w:lang w:val="de-DE"/>
              </w:rPr>
              <w:t>PN-EN 12697-8, p.4</w:t>
            </w:r>
          </w:p>
        </w:tc>
        <w:tc>
          <w:tcPr>
            <w:tcW w:w="1276" w:type="dxa"/>
          </w:tcPr>
          <w:p w14:paraId="32611E49" w14:textId="77777777" w:rsidR="008831F9" w:rsidRPr="00A662DD" w:rsidRDefault="008831F9" w:rsidP="00EA573C">
            <w:pPr>
              <w:pStyle w:val="Tekstpodstawowy"/>
              <w:jc w:val="center"/>
              <w:rPr>
                <w:rFonts w:cstheme="minorHAnsi"/>
                <w:vertAlign w:val="subscript"/>
                <w:lang w:val="de-DE"/>
              </w:rPr>
            </w:pPr>
            <w:r w:rsidRPr="00A662DD">
              <w:rPr>
                <w:rFonts w:cstheme="minorHAnsi"/>
                <w:lang w:val="de-DE"/>
              </w:rPr>
              <w:t>V</w:t>
            </w:r>
            <w:r w:rsidRPr="00A662DD">
              <w:rPr>
                <w:rFonts w:cstheme="minorHAnsi"/>
                <w:vertAlign w:val="subscript"/>
                <w:lang w:val="de-DE"/>
              </w:rPr>
              <w:t>min</w:t>
            </w:r>
            <w:r>
              <w:rPr>
                <w:rFonts w:cstheme="minorHAnsi"/>
                <w:vertAlign w:val="subscript"/>
                <w:lang w:val="de-DE"/>
              </w:rPr>
              <w:t>2</w:t>
            </w:r>
            <w:r w:rsidRPr="00A662DD">
              <w:rPr>
                <w:rFonts w:cstheme="minorHAnsi"/>
                <w:vertAlign w:val="subscript"/>
                <w:lang w:val="de-DE"/>
              </w:rPr>
              <w:t>,0</w:t>
            </w:r>
          </w:p>
          <w:p w14:paraId="52D39861" w14:textId="77777777" w:rsidR="008831F9" w:rsidRPr="00A662DD" w:rsidRDefault="008831F9" w:rsidP="00EA573C">
            <w:pPr>
              <w:pStyle w:val="Tekstpodstawowy"/>
              <w:jc w:val="center"/>
              <w:rPr>
                <w:rFonts w:cstheme="minorHAnsi"/>
              </w:rPr>
            </w:pPr>
            <w:r w:rsidRPr="00A662DD">
              <w:rPr>
                <w:rFonts w:cstheme="minorHAnsi"/>
              </w:rPr>
              <w:t>V</w:t>
            </w:r>
            <w:r w:rsidRPr="00A662DD">
              <w:rPr>
                <w:rFonts w:cstheme="minorHAnsi"/>
                <w:vertAlign w:val="subscript"/>
              </w:rPr>
              <w:t>max</w:t>
            </w:r>
            <w:r>
              <w:rPr>
                <w:rFonts w:cstheme="minorHAnsi"/>
                <w:vertAlign w:val="subscript"/>
              </w:rPr>
              <w:t>4</w:t>
            </w:r>
            <w:r w:rsidRPr="00A662DD">
              <w:rPr>
                <w:rFonts w:cstheme="minorHAnsi"/>
                <w:vertAlign w:val="subscript"/>
              </w:rPr>
              <w:t>,0</w:t>
            </w:r>
          </w:p>
        </w:tc>
      </w:tr>
      <w:tr w:rsidR="008831F9" w:rsidRPr="00A662DD" w14:paraId="58FF19DF" w14:textId="77777777" w:rsidTr="00EA573C">
        <w:trPr>
          <w:jc w:val="center"/>
        </w:trPr>
        <w:tc>
          <w:tcPr>
            <w:tcW w:w="551" w:type="dxa"/>
          </w:tcPr>
          <w:p w14:paraId="2FDD9419" w14:textId="77777777" w:rsidR="008831F9" w:rsidRPr="00A662DD" w:rsidRDefault="008831F9" w:rsidP="00EA573C">
            <w:pPr>
              <w:pStyle w:val="Tekstpodstawowy"/>
              <w:jc w:val="center"/>
              <w:rPr>
                <w:rFonts w:cstheme="minorHAnsi"/>
              </w:rPr>
            </w:pPr>
            <w:r w:rsidRPr="00A662DD">
              <w:rPr>
                <w:rFonts w:cstheme="minorHAnsi"/>
              </w:rPr>
              <w:t>2</w:t>
            </w:r>
          </w:p>
        </w:tc>
        <w:tc>
          <w:tcPr>
            <w:tcW w:w="1823" w:type="dxa"/>
          </w:tcPr>
          <w:p w14:paraId="62874C83" w14:textId="77777777" w:rsidR="008831F9" w:rsidRPr="00A662DD" w:rsidRDefault="008831F9" w:rsidP="00EA573C">
            <w:pPr>
              <w:pStyle w:val="Tekstpodstawowy"/>
              <w:rPr>
                <w:rFonts w:cstheme="minorHAnsi"/>
              </w:rPr>
            </w:pPr>
            <w:r>
              <w:rPr>
                <w:rFonts w:cstheme="minorHAnsi"/>
              </w:rPr>
              <w:t xml:space="preserve">Odporność na deformacje trwałe </w:t>
            </w:r>
            <w:r w:rsidRPr="00183747">
              <w:rPr>
                <w:rFonts w:cstheme="minorHAnsi"/>
                <w:vertAlign w:val="superscript"/>
              </w:rPr>
              <w:t>a,c)</w:t>
            </w:r>
          </w:p>
        </w:tc>
        <w:tc>
          <w:tcPr>
            <w:tcW w:w="1701" w:type="dxa"/>
          </w:tcPr>
          <w:p w14:paraId="7B8F17BA" w14:textId="77777777" w:rsidR="008831F9" w:rsidRPr="00A662DD" w:rsidRDefault="008831F9" w:rsidP="00EA573C">
            <w:pPr>
              <w:pStyle w:val="Tekstpodstawowy"/>
              <w:rPr>
                <w:rFonts w:cstheme="minorHAnsi"/>
              </w:rPr>
            </w:pPr>
            <w:r>
              <w:rPr>
                <w:rFonts w:cstheme="minorHAnsi"/>
              </w:rPr>
              <w:t>C.1.20, wałowanie, P98-P100</w:t>
            </w:r>
          </w:p>
        </w:tc>
        <w:tc>
          <w:tcPr>
            <w:tcW w:w="2694" w:type="dxa"/>
          </w:tcPr>
          <w:p w14:paraId="3B8E281E" w14:textId="77777777" w:rsidR="008831F9" w:rsidRPr="00183747" w:rsidRDefault="008831F9" w:rsidP="00EA573C">
            <w:pPr>
              <w:pStyle w:val="Tekstpodstawowy"/>
              <w:ind w:left="-108" w:right="-108" w:firstLine="224"/>
              <w:jc w:val="center"/>
              <w:rPr>
                <w:rFonts w:cstheme="minorHAnsi"/>
                <w:lang w:val="de-DE"/>
              </w:rPr>
            </w:pPr>
            <w:r w:rsidRPr="00A662DD">
              <w:rPr>
                <w:rFonts w:cstheme="minorHAnsi"/>
                <w:lang w:val="de-DE"/>
              </w:rPr>
              <w:t>PN-EN 12697-</w:t>
            </w:r>
            <w:r>
              <w:rPr>
                <w:rFonts w:cstheme="minorHAnsi"/>
                <w:lang w:val="de-DE"/>
              </w:rPr>
              <w:t>22</w:t>
            </w:r>
            <w:r w:rsidRPr="00A662DD">
              <w:rPr>
                <w:rFonts w:cstheme="minorHAnsi"/>
                <w:lang w:val="de-DE"/>
              </w:rPr>
              <w:t xml:space="preserve">, </w:t>
            </w:r>
            <w:r w:rsidRPr="00183747">
              <w:rPr>
                <w:rFonts w:cstheme="minorHAnsi"/>
                <w:lang w:val="de-DE"/>
              </w:rPr>
              <w:t>metoda B</w:t>
            </w:r>
          </w:p>
          <w:p w14:paraId="57A5CFF4" w14:textId="77777777" w:rsidR="008831F9" w:rsidRPr="00183747" w:rsidRDefault="008831F9" w:rsidP="00EA573C">
            <w:pPr>
              <w:pStyle w:val="Tekstpodstawowy"/>
              <w:ind w:left="-108" w:right="-108" w:firstLine="224"/>
              <w:jc w:val="center"/>
              <w:rPr>
                <w:rFonts w:cstheme="minorHAnsi"/>
                <w:lang w:val="de-DE"/>
              </w:rPr>
            </w:pPr>
            <w:r w:rsidRPr="00183747">
              <w:rPr>
                <w:rFonts w:cstheme="minorHAnsi"/>
                <w:lang w:val="de-DE"/>
              </w:rPr>
              <w:t>w powietrzu, PN-EN 13108-20,</w:t>
            </w:r>
            <w:r>
              <w:rPr>
                <w:rFonts w:cstheme="minorHAnsi"/>
                <w:lang w:val="de-DE"/>
              </w:rPr>
              <w:t xml:space="preserve"> </w:t>
            </w:r>
            <w:r w:rsidRPr="00183747">
              <w:rPr>
                <w:rFonts w:cstheme="minorHAnsi"/>
                <w:lang w:val="de-DE"/>
              </w:rPr>
              <w:t>D.1.6, 60°C, 10 000 cykli</w:t>
            </w:r>
          </w:p>
        </w:tc>
        <w:tc>
          <w:tcPr>
            <w:tcW w:w="1276" w:type="dxa"/>
            <w:vAlign w:val="center"/>
          </w:tcPr>
          <w:p w14:paraId="0F27A14E" w14:textId="77777777" w:rsidR="008831F9" w:rsidRDefault="008831F9" w:rsidP="00EA573C">
            <w:pPr>
              <w:jc w:val="center"/>
              <w:rPr>
                <w:rFonts w:eastAsiaTheme="minorHAnsi"/>
                <w:sz w:val="10"/>
                <w:szCs w:val="10"/>
              </w:rPr>
            </w:pPr>
            <w:r>
              <w:rPr>
                <w:rFonts w:ascii="Verdana,Italic" w:eastAsiaTheme="minorHAnsi" w:hAnsi="Verdana,Italic" w:cs="Verdana,Italic"/>
                <w:i/>
                <w:iCs/>
                <w:sz w:val="16"/>
                <w:szCs w:val="16"/>
              </w:rPr>
              <w:t>WTS</w:t>
            </w:r>
            <w:r>
              <w:rPr>
                <w:rFonts w:eastAsiaTheme="minorHAnsi"/>
                <w:sz w:val="10"/>
                <w:szCs w:val="10"/>
              </w:rPr>
              <w:t>AIR 0,15</w:t>
            </w:r>
          </w:p>
          <w:p w14:paraId="7E63E2C2" w14:textId="77777777" w:rsidR="008831F9" w:rsidRPr="00A662DD" w:rsidRDefault="008831F9" w:rsidP="00EA573C">
            <w:pPr>
              <w:pStyle w:val="Tekstpodstawowy"/>
              <w:jc w:val="center"/>
              <w:rPr>
                <w:rFonts w:cstheme="minorHAnsi"/>
              </w:rPr>
            </w:pPr>
            <w:r>
              <w:rPr>
                <w:rFonts w:ascii="Verdana,Italic" w:eastAsiaTheme="minorHAnsi" w:hAnsi="Verdana,Italic" w:cs="Verdana,Italic"/>
                <w:i/>
                <w:iCs/>
              </w:rPr>
              <w:t>PRD</w:t>
            </w:r>
            <w:r>
              <w:rPr>
                <w:rFonts w:eastAsiaTheme="minorHAnsi"/>
                <w:sz w:val="10"/>
                <w:szCs w:val="10"/>
              </w:rPr>
              <w:t>AIR 9,0</w:t>
            </w:r>
          </w:p>
        </w:tc>
      </w:tr>
      <w:tr w:rsidR="008831F9" w:rsidRPr="00A662DD" w14:paraId="28B6FA50" w14:textId="77777777" w:rsidTr="00EA573C">
        <w:trPr>
          <w:jc w:val="center"/>
        </w:trPr>
        <w:tc>
          <w:tcPr>
            <w:tcW w:w="551" w:type="dxa"/>
          </w:tcPr>
          <w:p w14:paraId="4D906158" w14:textId="77777777" w:rsidR="008831F9" w:rsidRPr="00A662DD" w:rsidRDefault="008831F9" w:rsidP="00EA573C">
            <w:pPr>
              <w:pStyle w:val="Tekstpodstawowy"/>
              <w:jc w:val="center"/>
              <w:rPr>
                <w:rFonts w:cstheme="minorHAnsi"/>
              </w:rPr>
            </w:pPr>
            <w:r w:rsidRPr="00A662DD">
              <w:rPr>
                <w:rFonts w:cstheme="minorHAnsi"/>
              </w:rPr>
              <w:t>3</w:t>
            </w:r>
          </w:p>
        </w:tc>
        <w:tc>
          <w:tcPr>
            <w:tcW w:w="1823" w:type="dxa"/>
          </w:tcPr>
          <w:p w14:paraId="36F344EF" w14:textId="77777777" w:rsidR="008831F9" w:rsidRDefault="008831F9" w:rsidP="00EA573C">
            <w:pPr>
              <w:rPr>
                <w:rFonts w:eastAsiaTheme="minorHAnsi"/>
                <w:sz w:val="16"/>
                <w:szCs w:val="16"/>
              </w:rPr>
            </w:pPr>
            <w:r>
              <w:rPr>
                <w:rFonts w:eastAsiaTheme="minorHAnsi"/>
                <w:sz w:val="16"/>
                <w:szCs w:val="16"/>
              </w:rPr>
              <w:t>Wrażliwość na</w:t>
            </w:r>
          </w:p>
          <w:p w14:paraId="2DA8681B" w14:textId="77777777" w:rsidR="008831F9" w:rsidRPr="00A662DD" w:rsidRDefault="008831F9" w:rsidP="00EA573C">
            <w:pPr>
              <w:pStyle w:val="Tekstpodstawowy"/>
              <w:rPr>
                <w:rFonts w:cstheme="minorHAnsi"/>
              </w:rPr>
            </w:pPr>
            <w:r>
              <w:rPr>
                <w:rFonts w:eastAsiaTheme="minorHAnsi"/>
              </w:rPr>
              <w:t>działanie wody</w:t>
            </w:r>
          </w:p>
        </w:tc>
        <w:tc>
          <w:tcPr>
            <w:tcW w:w="1701" w:type="dxa"/>
          </w:tcPr>
          <w:p w14:paraId="30AEA123" w14:textId="77777777" w:rsidR="008831F9" w:rsidRPr="00A662DD" w:rsidRDefault="008831F9" w:rsidP="00EA573C">
            <w:pPr>
              <w:pStyle w:val="Tekstpodstawowy"/>
              <w:rPr>
                <w:rFonts w:cstheme="minorHAnsi"/>
              </w:rPr>
            </w:pPr>
            <w:r w:rsidRPr="00A662DD">
              <w:rPr>
                <w:rFonts w:cstheme="minorHAnsi"/>
              </w:rPr>
              <w:t xml:space="preserve">C.1.1. ubijanie 2x35 uderzeń, </w:t>
            </w:r>
          </w:p>
        </w:tc>
        <w:tc>
          <w:tcPr>
            <w:tcW w:w="2694" w:type="dxa"/>
          </w:tcPr>
          <w:p w14:paraId="36688093" w14:textId="77777777" w:rsidR="008831F9" w:rsidRPr="00183747" w:rsidRDefault="008831F9" w:rsidP="00EA573C">
            <w:pPr>
              <w:jc w:val="center"/>
              <w:rPr>
                <w:rFonts w:eastAsiaTheme="minorHAnsi"/>
                <w:sz w:val="24"/>
                <w:szCs w:val="24"/>
                <w:vertAlign w:val="subscript"/>
              </w:rPr>
            </w:pPr>
            <w:r w:rsidRPr="00183747">
              <w:rPr>
                <w:rFonts w:eastAsiaTheme="minorHAnsi"/>
                <w:sz w:val="24"/>
                <w:szCs w:val="24"/>
                <w:vertAlign w:val="subscript"/>
              </w:rPr>
              <w:t>PN-EN 12697-12, przechowywanie</w:t>
            </w:r>
          </w:p>
          <w:p w14:paraId="62195E78" w14:textId="77777777" w:rsidR="008831F9" w:rsidRPr="00183747" w:rsidRDefault="008831F9" w:rsidP="00EA573C">
            <w:pPr>
              <w:rPr>
                <w:rFonts w:eastAsiaTheme="minorHAnsi"/>
                <w:sz w:val="24"/>
                <w:szCs w:val="24"/>
                <w:vertAlign w:val="subscript"/>
              </w:rPr>
            </w:pPr>
            <w:r w:rsidRPr="00183747">
              <w:rPr>
                <w:rFonts w:eastAsiaTheme="minorHAnsi"/>
                <w:sz w:val="24"/>
                <w:szCs w:val="24"/>
                <w:vertAlign w:val="subscript"/>
              </w:rPr>
              <w:t>w 40°C z jednym cyklem</w:t>
            </w:r>
          </w:p>
          <w:p w14:paraId="0249FDFC" w14:textId="77777777" w:rsidR="008831F9" w:rsidRPr="00A662DD" w:rsidRDefault="008831F9" w:rsidP="00EA573C">
            <w:pPr>
              <w:pStyle w:val="Tekstpodstawowy"/>
              <w:jc w:val="center"/>
              <w:rPr>
                <w:rFonts w:cstheme="minorHAnsi"/>
              </w:rPr>
            </w:pPr>
            <w:r w:rsidRPr="00183747">
              <w:rPr>
                <w:rFonts w:ascii="Verdana" w:eastAsiaTheme="minorHAnsi" w:hAnsi="Verdana"/>
                <w:sz w:val="24"/>
                <w:szCs w:val="24"/>
                <w:vertAlign w:val="subscript"/>
              </w:rPr>
              <w:t xml:space="preserve">zamrażania </w:t>
            </w:r>
            <w:r w:rsidRPr="00183747">
              <w:rPr>
                <w:rFonts w:ascii="Verdana" w:eastAsiaTheme="minorHAnsi" w:hAnsi="Verdana"/>
                <w:vertAlign w:val="superscript"/>
              </w:rPr>
              <w:t>b)</w:t>
            </w:r>
            <w:r w:rsidRPr="00183747">
              <w:rPr>
                <w:rFonts w:ascii="Verdana" w:eastAsiaTheme="minorHAnsi" w:hAnsi="Verdana"/>
                <w:sz w:val="24"/>
                <w:szCs w:val="24"/>
                <w:vertAlign w:val="subscript"/>
              </w:rPr>
              <w:t>, badanie w 25°C</w:t>
            </w:r>
          </w:p>
        </w:tc>
        <w:tc>
          <w:tcPr>
            <w:tcW w:w="1276" w:type="dxa"/>
            <w:vAlign w:val="center"/>
          </w:tcPr>
          <w:p w14:paraId="6BA15E99" w14:textId="77777777" w:rsidR="008831F9" w:rsidRPr="00A662DD" w:rsidRDefault="008831F9" w:rsidP="00EA573C">
            <w:pPr>
              <w:pStyle w:val="Tekstpodstawowy"/>
              <w:jc w:val="center"/>
              <w:rPr>
                <w:rFonts w:cstheme="minorHAnsi"/>
                <w:lang w:val="de-DE"/>
              </w:rPr>
            </w:pPr>
            <w:r w:rsidRPr="00A662DD">
              <w:rPr>
                <w:rFonts w:cstheme="minorHAnsi"/>
              </w:rPr>
              <w:t>ITSR</w:t>
            </w:r>
            <w:r w:rsidRPr="00A662DD">
              <w:rPr>
                <w:rFonts w:cstheme="minorHAnsi"/>
                <w:vertAlign w:val="subscript"/>
              </w:rPr>
              <w:t>90</w:t>
            </w:r>
          </w:p>
        </w:tc>
      </w:tr>
      <w:tr w:rsidR="008831F9" w:rsidRPr="00A662DD" w14:paraId="48104C2E" w14:textId="77777777" w:rsidTr="00EA573C">
        <w:trPr>
          <w:jc w:val="center"/>
        </w:trPr>
        <w:tc>
          <w:tcPr>
            <w:tcW w:w="8045" w:type="dxa"/>
            <w:gridSpan w:val="5"/>
          </w:tcPr>
          <w:p w14:paraId="0EAD9AAB" w14:textId="77777777" w:rsidR="008831F9" w:rsidRDefault="008831F9" w:rsidP="00EA573C">
            <w:pPr>
              <w:rPr>
                <w:rFonts w:eastAsiaTheme="minorHAnsi"/>
                <w:sz w:val="16"/>
                <w:szCs w:val="16"/>
              </w:rPr>
            </w:pPr>
            <w:r>
              <w:rPr>
                <w:rFonts w:eastAsiaTheme="minorHAnsi"/>
                <w:sz w:val="10"/>
                <w:szCs w:val="10"/>
              </w:rPr>
              <w:t xml:space="preserve">a) </w:t>
            </w:r>
            <w:r>
              <w:rPr>
                <w:rFonts w:eastAsiaTheme="minorHAnsi"/>
                <w:sz w:val="16"/>
                <w:szCs w:val="16"/>
              </w:rPr>
              <w:t>grubość płyty: AC 8 - 40 mm, AC 11 - 40 mm</w:t>
            </w:r>
          </w:p>
          <w:p w14:paraId="3513502A" w14:textId="77777777" w:rsidR="008831F9" w:rsidRDefault="008831F9" w:rsidP="00EA573C">
            <w:pPr>
              <w:rPr>
                <w:rFonts w:eastAsiaTheme="minorHAnsi"/>
                <w:sz w:val="16"/>
                <w:szCs w:val="16"/>
              </w:rPr>
            </w:pPr>
            <w:r>
              <w:rPr>
                <w:rFonts w:eastAsiaTheme="minorHAnsi"/>
                <w:sz w:val="10"/>
                <w:szCs w:val="10"/>
              </w:rPr>
              <w:t xml:space="preserve">b) </w:t>
            </w:r>
            <w:r>
              <w:rPr>
                <w:rFonts w:eastAsiaTheme="minorHAnsi"/>
                <w:sz w:val="16"/>
                <w:szCs w:val="16"/>
              </w:rPr>
              <w:t>ujednoliconą procedurę badania wrażliwości na działanie wody z jednym cyklem zamrażania podano</w:t>
            </w:r>
          </w:p>
          <w:p w14:paraId="40F71E05" w14:textId="77777777" w:rsidR="008831F9" w:rsidRDefault="008831F9" w:rsidP="00EA573C">
            <w:pPr>
              <w:rPr>
                <w:rFonts w:eastAsiaTheme="minorHAnsi"/>
                <w:sz w:val="16"/>
                <w:szCs w:val="16"/>
              </w:rPr>
            </w:pPr>
            <w:r>
              <w:rPr>
                <w:rFonts w:eastAsiaTheme="minorHAnsi"/>
                <w:sz w:val="16"/>
                <w:szCs w:val="16"/>
              </w:rPr>
              <w:t>w załączniku 1</w:t>
            </w:r>
          </w:p>
          <w:p w14:paraId="63477996" w14:textId="77777777" w:rsidR="008831F9" w:rsidRPr="00A662DD" w:rsidRDefault="008831F9" w:rsidP="00EA573C">
            <w:pPr>
              <w:rPr>
                <w:rFonts w:cstheme="minorHAnsi"/>
              </w:rPr>
            </w:pPr>
            <w:r>
              <w:rPr>
                <w:rFonts w:eastAsiaTheme="minorHAnsi"/>
                <w:sz w:val="10"/>
                <w:szCs w:val="10"/>
              </w:rPr>
              <w:t xml:space="preserve">c) </w:t>
            </w:r>
            <w:r>
              <w:rPr>
                <w:rFonts w:eastAsiaTheme="minorHAnsi"/>
                <w:sz w:val="16"/>
                <w:szCs w:val="16"/>
              </w:rPr>
              <w:t>procedurę kondycjonowania krotkoterminowego mma przed zagęszczeniem probek do badań podano w załączniku 2</w:t>
            </w:r>
          </w:p>
        </w:tc>
      </w:tr>
    </w:tbl>
    <w:p w14:paraId="34474EA3" w14:textId="77777777" w:rsidR="008831F9" w:rsidRPr="00770202" w:rsidRDefault="008831F9" w:rsidP="008831F9">
      <w:pPr>
        <w:pStyle w:val="Tekstpodstawowy"/>
        <w:rPr>
          <w:rFonts w:ascii="Calibri" w:hAnsi="Calibri" w:cs="Calibri"/>
          <w:i/>
          <w:iCs/>
        </w:rPr>
      </w:pPr>
    </w:p>
    <w:p w14:paraId="2EA09975" w14:textId="77777777" w:rsidR="008831F9" w:rsidRDefault="008831F9" w:rsidP="008831F9">
      <w:pPr>
        <w:pStyle w:val="Nagwek4"/>
      </w:pPr>
      <w:r w:rsidRPr="00770202">
        <w:t>5.4. Wytwarzanie mieszanki mineralno-asfaltowej</w:t>
      </w:r>
    </w:p>
    <w:p w14:paraId="622BF9F7" w14:textId="77777777" w:rsidR="008831F9" w:rsidRPr="00A662DD" w:rsidRDefault="008831F9" w:rsidP="008831F9"/>
    <w:p w14:paraId="4C21581D" w14:textId="77777777" w:rsidR="008831F9" w:rsidRPr="004E54A4" w:rsidRDefault="008831F9" w:rsidP="008831F9">
      <w:pPr>
        <w:tabs>
          <w:tab w:val="left" w:pos="284"/>
        </w:tabs>
        <w:rPr>
          <w:rFonts w:ascii="Calibri" w:hAnsi="Calibri" w:cs="Calibri"/>
        </w:rPr>
      </w:pPr>
      <w:r w:rsidRPr="004E54A4">
        <w:rPr>
          <w:rFonts w:ascii="Calibri" w:hAnsi="Calibri" w:cs="Calibri"/>
        </w:rPr>
        <w:t>Mieszankę mineralno-asfaltową należy produkować w otaczarce o mieszaniu cyklicznym zapewniającej prawidłowe dozowanie składników, ich wysuszenie i wymieszanie oraz zachowanie temperatury składników i gotowej mieszanki mineralno-asfaltowej.</w:t>
      </w:r>
    </w:p>
    <w:p w14:paraId="363E3324" w14:textId="77777777" w:rsidR="008831F9" w:rsidRPr="004E54A4" w:rsidRDefault="008831F9" w:rsidP="008831F9">
      <w:pPr>
        <w:rPr>
          <w:rFonts w:ascii="Calibri" w:hAnsi="Calibri" w:cs="Calibri"/>
        </w:rPr>
      </w:pPr>
      <w:r w:rsidRPr="004E54A4">
        <w:rPr>
          <w:rFonts w:ascii="Calibri" w:hAnsi="Calibri" w:cs="Calibri"/>
        </w:rPr>
        <w:t>Dozowanie składników, w tym także wstępne, powinno być wagowe i zautomatyzowane. Asfalt w zbiorniku powinien być ogrzewany w sposób pośredni, z układem termostatowania, zapewniającym utrzymanie stałej temperatury z tolerancją ± 5</w:t>
      </w:r>
      <w:r w:rsidRPr="004E54A4">
        <w:rPr>
          <w:rFonts w:ascii="Calibri" w:hAnsi="Calibri" w:cs="Calibri"/>
          <w:vertAlign w:val="superscript"/>
        </w:rPr>
        <w:t xml:space="preserve"> o</w:t>
      </w:r>
      <w:r w:rsidRPr="004E54A4">
        <w:rPr>
          <w:rFonts w:ascii="Calibri" w:hAnsi="Calibri" w:cs="Calibri"/>
        </w:rPr>
        <w:t>C.</w:t>
      </w:r>
    </w:p>
    <w:p w14:paraId="0B3CC76B" w14:textId="77777777" w:rsidR="008831F9" w:rsidRPr="004E54A4" w:rsidRDefault="008831F9" w:rsidP="008831F9">
      <w:pPr>
        <w:pStyle w:val="Tekstpodstawowy"/>
        <w:rPr>
          <w:rFonts w:ascii="Calibri" w:hAnsi="Calibri" w:cs="Calibri"/>
        </w:rPr>
      </w:pPr>
      <w:r w:rsidRPr="004E54A4">
        <w:rPr>
          <w:rFonts w:ascii="Calibri" w:hAnsi="Calibri" w:cs="Calibri"/>
        </w:rPr>
        <w:t>Kruszywo powinno być wysuszone i tak podgrzane, aby mieszanka mineralna po dodaniu wypełniacza uzyskała właściwą temperaturę. Maksymalna temperatura gorącego kruszywa nie powinna być wyższa o więcej niż 30</w:t>
      </w:r>
      <w:r w:rsidRPr="004E54A4">
        <w:rPr>
          <w:rFonts w:ascii="Calibri" w:hAnsi="Calibri" w:cs="Calibri"/>
          <w:vertAlign w:val="superscript"/>
        </w:rPr>
        <w:t>o</w:t>
      </w:r>
      <w:r w:rsidRPr="004E54A4">
        <w:rPr>
          <w:rFonts w:ascii="Calibri" w:hAnsi="Calibri" w:cs="Calibri"/>
        </w:rPr>
        <w:t>C od maksymalnej temperatury mieszanki mineralno-asfaltowej.</w:t>
      </w:r>
    </w:p>
    <w:p w14:paraId="35BB1775" w14:textId="77777777" w:rsidR="008831F9" w:rsidRPr="004E54A4" w:rsidRDefault="008831F9" w:rsidP="008831F9">
      <w:pPr>
        <w:numPr>
          <w:ilvl w:val="12"/>
          <w:numId w:val="0"/>
        </w:numPr>
        <w:rPr>
          <w:rFonts w:ascii="Calibri" w:hAnsi="Calibri" w:cs="Calibri"/>
        </w:rPr>
      </w:pPr>
      <w:r w:rsidRPr="004E54A4">
        <w:rPr>
          <w:rFonts w:ascii="Calibri" w:hAnsi="Calibri" w:cs="Calibri"/>
        </w:rPr>
        <w:t>Temperatura asfaltu w zbiorniku nie powinna przekraczać:</w:t>
      </w:r>
    </w:p>
    <w:p w14:paraId="657FB732" w14:textId="77777777" w:rsidR="008831F9" w:rsidRPr="00A662DD" w:rsidRDefault="008831F9" w:rsidP="00262498">
      <w:pPr>
        <w:numPr>
          <w:ilvl w:val="0"/>
          <w:numId w:val="256"/>
        </w:numPr>
        <w:overflowPunct/>
        <w:autoSpaceDE/>
        <w:autoSpaceDN/>
        <w:adjustRightInd/>
        <w:textAlignment w:val="auto"/>
        <w:rPr>
          <w:rFonts w:ascii="Calibri" w:hAnsi="Calibri" w:cs="Calibri"/>
        </w:rPr>
      </w:pPr>
      <w:r w:rsidRPr="00A662DD">
        <w:rPr>
          <w:rFonts w:ascii="Calibri" w:hAnsi="Calibri" w:cs="Calibri"/>
        </w:rPr>
        <w:t>35/50                                             190</w:t>
      </w:r>
      <w:r w:rsidRPr="00A662DD">
        <w:rPr>
          <w:rFonts w:ascii="Calibri" w:hAnsi="Calibri" w:cs="Calibri"/>
          <w:vertAlign w:val="superscript"/>
        </w:rPr>
        <w:t>o</w:t>
      </w:r>
      <w:r w:rsidRPr="00A662DD">
        <w:rPr>
          <w:rFonts w:ascii="Calibri" w:hAnsi="Calibri" w:cs="Calibri"/>
        </w:rPr>
        <w:t>C</w:t>
      </w:r>
    </w:p>
    <w:p w14:paraId="6FA3F53E" w14:textId="77777777" w:rsidR="008831F9" w:rsidRPr="00A662DD" w:rsidRDefault="008831F9" w:rsidP="00262498">
      <w:pPr>
        <w:numPr>
          <w:ilvl w:val="0"/>
          <w:numId w:val="256"/>
        </w:numPr>
        <w:overflowPunct/>
        <w:autoSpaceDE/>
        <w:autoSpaceDN/>
        <w:adjustRightInd/>
        <w:textAlignment w:val="auto"/>
        <w:rPr>
          <w:rFonts w:ascii="Calibri" w:hAnsi="Calibri" w:cs="Calibri"/>
        </w:rPr>
      </w:pPr>
      <w:r w:rsidRPr="00A662DD">
        <w:rPr>
          <w:rFonts w:ascii="Calibri" w:hAnsi="Calibri" w:cs="Calibri"/>
        </w:rPr>
        <w:t>50/70</w:t>
      </w:r>
      <w:r w:rsidRPr="00A662DD">
        <w:rPr>
          <w:rFonts w:ascii="Calibri" w:hAnsi="Calibri" w:cs="Calibri"/>
        </w:rPr>
        <w:tab/>
      </w:r>
      <w:r w:rsidRPr="00A662DD">
        <w:rPr>
          <w:rFonts w:ascii="Calibri" w:hAnsi="Calibri" w:cs="Calibri"/>
        </w:rPr>
        <w:tab/>
      </w:r>
      <w:r w:rsidRPr="00A662DD">
        <w:rPr>
          <w:rFonts w:ascii="Calibri" w:hAnsi="Calibri" w:cs="Calibri"/>
        </w:rPr>
        <w:tab/>
        <w:t xml:space="preserve"> 180</w:t>
      </w:r>
      <w:r w:rsidRPr="00A662DD">
        <w:rPr>
          <w:rFonts w:ascii="Calibri" w:hAnsi="Calibri" w:cs="Calibri"/>
          <w:vertAlign w:val="superscript"/>
        </w:rPr>
        <w:t>o</w:t>
      </w:r>
      <w:r w:rsidRPr="00A662DD">
        <w:rPr>
          <w:rFonts w:ascii="Calibri" w:hAnsi="Calibri" w:cs="Calibri"/>
        </w:rPr>
        <w:t>C.</w:t>
      </w:r>
    </w:p>
    <w:p w14:paraId="000443F0" w14:textId="77777777" w:rsidR="008831F9" w:rsidRPr="00A662DD" w:rsidRDefault="008831F9" w:rsidP="008831F9">
      <w:pPr>
        <w:pStyle w:val="Standardowytekst"/>
        <w:rPr>
          <w:rFonts w:ascii="Calibri" w:hAnsi="Calibri" w:cs="Calibri"/>
        </w:rPr>
      </w:pPr>
      <w:r w:rsidRPr="00A662DD">
        <w:rPr>
          <w:rFonts w:ascii="Calibri" w:hAnsi="Calibri" w:cs="Calibri"/>
        </w:rPr>
        <w:t xml:space="preserve">Temperatura produkcji i wbudowywania mieszanki mineralno-asfaltowej  powinna mieścić się w granicach: </w:t>
      </w:r>
    </w:p>
    <w:p w14:paraId="3EAEFDC4" w14:textId="77777777" w:rsidR="008831F9" w:rsidRPr="00A662DD" w:rsidRDefault="008831F9" w:rsidP="00262498">
      <w:pPr>
        <w:numPr>
          <w:ilvl w:val="0"/>
          <w:numId w:val="256"/>
        </w:numPr>
        <w:overflowPunct/>
        <w:autoSpaceDE/>
        <w:autoSpaceDN/>
        <w:adjustRightInd/>
        <w:textAlignment w:val="auto"/>
        <w:rPr>
          <w:rFonts w:ascii="Calibri" w:hAnsi="Calibri" w:cs="Calibri"/>
        </w:rPr>
      </w:pPr>
      <w:r w:rsidRPr="00A662DD">
        <w:rPr>
          <w:rFonts w:ascii="Calibri" w:hAnsi="Calibri" w:cs="Calibri"/>
        </w:rPr>
        <w:t>35/50</w:t>
      </w:r>
      <w:r w:rsidRPr="00A662DD">
        <w:rPr>
          <w:rFonts w:ascii="Calibri" w:hAnsi="Calibri" w:cs="Calibri"/>
        </w:rPr>
        <w:tab/>
      </w:r>
      <w:r w:rsidRPr="00A662DD">
        <w:rPr>
          <w:rFonts w:ascii="Calibri" w:hAnsi="Calibri" w:cs="Calibri"/>
        </w:rPr>
        <w:tab/>
      </w:r>
      <w:r w:rsidRPr="00A662DD">
        <w:rPr>
          <w:rFonts w:ascii="Calibri" w:hAnsi="Calibri" w:cs="Calibri"/>
        </w:rPr>
        <w:tab/>
        <w:t>od 155</w:t>
      </w:r>
      <w:r w:rsidRPr="00A662DD">
        <w:rPr>
          <w:rFonts w:ascii="Calibri" w:hAnsi="Calibri" w:cs="Calibri"/>
          <w:vertAlign w:val="superscript"/>
        </w:rPr>
        <w:t>o</w:t>
      </w:r>
      <w:r w:rsidRPr="00A662DD">
        <w:rPr>
          <w:rFonts w:ascii="Calibri" w:hAnsi="Calibri" w:cs="Calibri"/>
        </w:rPr>
        <w:t>C do 195</w:t>
      </w:r>
      <w:r w:rsidRPr="00A662DD">
        <w:rPr>
          <w:rFonts w:ascii="Calibri" w:hAnsi="Calibri" w:cs="Calibri"/>
          <w:vertAlign w:val="superscript"/>
        </w:rPr>
        <w:t>o</w:t>
      </w:r>
      <w:r w:rsidRPr="00A662DD">
        <w:rPr>
          <w:rFonts w:ascii="Calibri" w:hAnsi="Calibri" w:cs="Calibri"/>
        </w:rPr>
        <w:t>C</w:t>
      </w:r>
    </w:p>
    <w:p w14:paraId="5A4A2F28" w14:textId="77777777" w:rsidR="008831F9" w:rsidRPr="00A662DD" w:rsidRDefault="008831F9" w:rsidP="00262498">
      <w:pPr>
        <w:numPr>
          <w:ilvl w:val="0"/>
          <w:numId w:val="256"/>
        </w:numPr>
        <w:overflowPunct/>
        <w:autoSpaceDE/>
        <w:autoSpaceDN/>
        <w:adjustRightInd/>
        <w:textAlignment w:val="auto"/>
        <w:rPr>
          <w:rFonts w:ascii="Calibri" w:hAnsi="Calibri" w:cs="Calibri"/>
        </w:rPr>
      </w:pPr>
      <w:r w:rsidRPr="00A662DD">
        <w:rPr>
          <w:rFonts w:ascii="Calibri" w:hAnsi="Calibri" w:cs="Calibri"/>
        </w:rPr>
        <w:t>50/70</w:t>
      </w:r>
      <w:r w:rsidRPr="00A662DD">
        <w:rPr>
          <w:rFonts w:ascii="Calibri" w:hAnsi="Calibri" w:cs="Calibri"/>
        </w:rPr>
        <w:tab/>
      </w:r>
      <w:r w:rsidRPr="00A662DD">
        <w:rPr>
          <w:rFonts w:ascii="Calibri" w:hAnsi="Calibri" w:cs="Calibri"/>
        </w:rPr>
        <w:tab/>
      </w:r>
      <w:r w:rsidRPr="00A662DD">
        <w:rPr>
          <w:rFonts w:ascii="Calibri" w:hAnsi="Calibri" w:cs="Calibri"/>
        </w:rPr>
        <w:tab/>
        <w:t>od 140</w:t>
      </w:r>
      <w:r w:rsidRPr="00A662DD">
        <w:rPr>
          <w:rFonts w:ascii="Calibri" w:hAnsi="Calibri" w:cs="Calibri"/>
          <w:vertAlign w:val="superscript"/>
        </w:rPr>
        <w:t>o</w:t>
      </w:r>
      <w:r w:rsidRPr="00A662DD">
        <w:rPr>
          <w:rFonts w:ascii="Calibri" w:hAnsi="Calibri" w:cs="Calibri"/>
        </w:rPr>
        <w:t>C do 180</w:t>
      </w:r>
      <w:r w:rsidRPr="00A662DD">
        <w:rPr>
          <w:rFonts w:ascii="Calibri" w:hAnsi="Calibri" w:cs="Calibri"/>
          <w:vertAlign w:val="superscript"/>
        </w:rPr>
        <w:t>o</w:t>
      </w:r>
      <w:r w:rsidRPr="00A662DD">
        <w:rPr>
          <w:rFonts w:ascii="Calibri" w:hAnsi="Calibri" w:cs="Calibri"/>
        </w:rPr>
        <w:t>C</w:t>
      </w:r>
    </w:p>
    <w:p w14:paraId="6AFFE8E5" w14:textId="77777777" w:rsidR="008831F9" w:rsidRPr="00A662DD" w:rsidRDefault="008831F9" w:rsidP="008831F9">
      <w:pPr>
        <w:pStyle w:val="Tekstpodstawowy"/>
        <w:rPr>
          <w:rFonts w:ascii="Calibri" w:hAnsi="Calibri" w:cs="Calibri"/>
        </w:rPr>
      </w:pPr>
      <w:r w:rsidRPr="004E54A4">
        <w:rPr>
          <w:rFonts w:ascii="Calibri" w:hAnsi="Calibri" w:cs="Calibri"/>
        </w:rPr>
        <w:t xml:space="preserve">Dla wyprodukowanej mieszanki mineralno-asfaltowej producent powinien wystawić deklarację zgodności. </w:t>
      </w:r>
      <w:r w:rsidRPr="00A662DD">
        <w:rPr>
          <w:rFonts w:ascii="Calibri" w:hAnsi="Calibri" w:cs="Calibri"/>
        </w:rPr>
        <w:t>Deklaracja powinna zawierać:</w:t>
      </w:r>
    </w:p>
    <w:p w14:paraId="76969173" w14:textId="77777777" w:rsidR="008831F9" w:rsidRPr="004E54A4" w:rsidRDefault="008831F9" w:rsidP="00262498">
      <w:pPr>
        <w:pStyle w:val="Tekstpodstawowy"/>
        <w:numPr>
          <w:ilvl w:val="0"/>
          <w:numId w:val="258"/>
        </w:numPr>
        <w:tabs>
          <w:tab w:val="clear" w:pos="720"/>
        </w:tabs>
        <w:overflowPunct/>
        <w:autoSpaceDE/>
        <w:autoSpaceDN/>
        <w:adjustRightInd/>
        <w:spacing w:line="240" w:lineRule="auto"/>
        <w:ind w:left="284" w:hanging="284"/>
        <w:jc w:val="both"/>
        <w:textAlignment w:val="auto"/>
        <w:rPr>
          <w:rFonts w:ascii="Calibri" w:hAnsi="Calibri" w:cs="Calibri"/>
        </w:rPr>
      </w:pPr>
      <w:r w:rsidRPr="004E54A4">
        <w:rPr>
          <w:rFonts w:ascii="Calibri" w:hAnsi="Calibri" w:cs="Calibri"/>
        </w:rPr>
        <w:t>nazwę i adres producenta oraz miejsce produkcji,</w:t>
      </w:r>
    </w:p>
    <w:p w14:paraId="0956D726" w14:textId="77777777" w:rsidR="008831F9" w:rsidRPr="004E54A4" w:rsidRDefault="008831F9" w:rsidP="00262498">
      <w:pPr>
        <w:pStyle w:val="Tekstpodstawowy"/>
        <w:numPr>
          <w:ilvl w:val="0"/>
          <w:numId w:val="258"/>
        </w:numPr>
        <w:tabs>
          <w:tab w:val="clear" w:pos="720"/>
        </w:tabs>
        <w:overflowPunct/>
        <w:autoSpaceDE/>
        <w:autoSpaceDN/>
        <w:adjustRightInd/>
        <w:spacing w:line="240" w:lineRule="auto"/>
        <w:ind w:left="284" w:hanging="284"/>
        <w:jc w:val="both"/>
        <w:textAlignment w:val="auto"/>
        <w:rPr>
          <w:rFonts w:ascii="Calibri" w:hAnsi="Calibri" w:cs="Calibri"/>
        </w:rPr>
      </w:pPr>
      <w:r w:rsidRPr="004E54A4">
        <w:rPr>
          <w:rFonts w:ascii="Calibri" w:hAnsi="Calibri" w:cs="Calibri"/>
        </w:rPr>
        <w:t>opis wyrobu (typ, oznaczenie, zastosowanie, itp.)</w:t>
      </w:r>
    </w:p>
    <w:p w14:paraId="638895B5" w14:textId="77777777" w:rsidR="008831F9" w:rsidRPr="004E54A4" w:rsidRDefault="008831F9" w:rsidP="00262498">
      <w:pPr>
        <w:pStyle w:val="Tekstpodstawowy"/>
        <w:numPr>
          <w:ilvl w:val="0"/>
          <w:numId w:val="258"/>
        </w:numPr>
        <w:tabs>
          <w:tab w:val="clear" w:pos="720"/>
        </w:tabs>
        <w:overflowPunct/>
        <w:autoSpaceDE/>
        <w:autoSpaceDN/>
        <w:adjustRightInd/>
        <w:spacing w:line="240" w:lineRule="auto"/>
        <w:ind w:left="284" w:hanging="284"/>
        <w:jc w:val="both"/>
        <w:textAlignment w:val="auto"/>
        <w:rPr>
          <w:rFonts w:ascii="Calibri" w:hAnsi="Calibri" w:cs="Calibri"/>
        </w:rPr>
      </w:pPr>
      <w:r w:rsidRPr="004E54A4">
        <w:rPr>
          <w:rFonts w:ascii="Calibri" w:hAnsi="Calibri" w:cs="Calibri"/>
        </w:rPr>
        <w:t>warunki, którym odpowiada wyrób tj. odniesienie do niniejszej wymagań oraz obowiązujących norm,</w:t>
      </w:r>
    </w:p>
    <w:p w14:paraId="09E436D8" w14:textId="77777777" w:rsidR="008831F9" w:rsidRPr="00A662DD" w:rsidRDefault="008831F9" w:rsidP="00262498">
      <w:pPr>
        <w:pStyle w:val="Tekstpodstawowy"/>
        <w:numPr>
          <w:ilvl w:val="0"/>
          <w:numId w:val="258"/>
        </w:numPr>
        <w:tabs>
          <w:tab w:val="clear" w:pos="720"/>
        </w:tabs>
        <w:overflowPunct/>
        <w:autoSpaceDE/>
        <w:autoSpaceDN/>
        <w:adjustRightInd/>
        <w:spacing w:line="240" w:lineRule="auto"/>
        <w:ind w:left="284" w:hanging="284"/>
        <w:jc w:val="both"/>
        <w:textAlignment w:val="auto"/>
        <w:rPr>
          <w:rFonts w:ascii="Calibri" w:hAnsi="Calibri" w:cs="Calibri"/>
        </w:rPr>
      </w:pPr>
      <w:r w:rsidRPr="00A662DD">
        <w:rPr>
          <w:rFonts w:ascii="Calibri" w:hAnsi="Calibri" w:cs="Calibri"/>
        </w:rPr>
        <w:t>szczególne warunki stosowania,</w:t>
      </w:r>
    </w:p>
    <w:p w14:paraId="1318BA23" w14:textId="77777777" w:rsidR="008831F9" w:rsidRPr="004E54A4" w:rsidRDefault="008831F9" w:rsidP="00262498">
      <w:pPr>
        <w:pStyle w:val="Tekstpodstawowy"/>
        <w:numPr>
          <w:ilvl w:val="0"/>
          <w:numId w:val="258"/>
        </w:numPr>
        <w:tabs>
          <w:tab w:val="clear" w:pos="720"/>
        </w:tabs>
        <w:overflowPunct/>
        <w:autoSpaceDE/>
        <w:autoSpaceDN/>
        <w:adjustRightInd/>
        <w:spacing w:line="240" w:lineRule="auto"/>
        <w:ind w:left="284" w:hanging="284"/>
        <w:jc w:val="both"/>
        <w:textAlignment w:val="auto"/>
        <w:rPr>
          <w:rFonts w:ascii="Calibri" w:hAnsi="Calibri" w:cs="Calibri"/>
        </w:rPr>
      </w:pPr>
      <w:r w:rsidRPr="004E54A4">
        <w:rPr>
          <w:rFonts w:ascii="Calibri" w:hAnsi="Calibri" w:cs="Calibri"/>
        </w:rPr>
        <w:t>numer dołączonego certyfikatu Zakładowej Kontroli Produkcji</w:t>
      </w:r>
    </w:p>
    <w:p w14:paraId="36A99700" w14:textId="77777777" w:rsidR="008831F9" w:rsidRPr="004E54A4" w:rsidRDefault="008831F9" w:rsidP="00262498">
      <w:pPr>
        <w:pStyle w:val="Tekstpodstawowy"/>
        <w:numPr>
          <w:ilvl w:val="0"/>
          <w:numId w:val="258"/>
        </w:numPr>
        <w:tabs>
          <w:tab w:val="clear" w:pos="720"/>
        </w:tabs>
        <w:overflowPunct/>
        <w:autoSpaceDE/>
        <w:autoSpaceDN/>
        <w:adjustRightInd/>
        <w:spacing w:line="240" w:lineRule="auto"/>
        <w:ind w:left="284" w:hanging="284"/>
        <w:jc w:val="both"/>
        <w:textAlignment w:val="auto"/>
        <w:rPr>
          <w:rFonts w:ascii="Calibri" w:hAnsi="Calibri" w:cs="Calibri"/>
        </w:rPr>
      </w:pPr>
      <w:r w:rsidRPr="004E54A4">
        <w:rPr>
          <w:rFonts w:ascii="Calibri" w:hAnsi="Calibri" w:cs="Calibri"/>
        </w:rPr>
        <w:t>nazwisko, stanowisko osoby upoważnionej do podpisania deklaracji w imieniu producenta.</w:t>
      </w:r>
    </w:p>
    <w:p w14:paraId="23129D04" w14:textId="77777777" w:rsidR="008831F9" w:rsidRPr="004E54A4" w:rsidRDefault="008831F9" w:rsidP="008831F9">
      <w:pPr>
        <w:pStyle w:val="Tekstpodstawowy"/>
        <w:jc w:val="both"/>
        <w:rPr>
          <w:rFonts w:ascii="Calibri" w:hAnsi="Calibri" w:cs="Calibri"/>
        </w:rPr>
      </w:pPr>
      <w:r w:rsidRPr="004E54A4">
        <w:rPr>
          <w:rFonts w:ascii="Calibri" w:hAnsi="Calibri" w:cs="Calibri"/>
        </w:rPr>
        <w:t>Wykonawca ma obowiązek informować Nadzór o aktualnym PPZ (Produkcyjny Poziom Zgodności) osiąganym przez WMA w danym tygodniu.</w:t>
      </w:r>
    </w:p>
    <w:p w14:paraId="1C1E56E8" w14:textId="77777777" w:rsidR="008831F9" w:rsidRPr="004E54A4" w:rsidRDefault="008831F9" w:rsidP="008831F9">
      <w:pPr>
        <w:pStyle w:val="Nagwek4"/>
      </w:pPr>
      <w:r w:rsidRPr="004E54A4">
        <w:t>5.5. Przygotowanie podłoża</w:t>
      </w:r>
    </w:p>
    <w:p w14:paraId="52F8BB73" w14:textId="77777777" w:rsidR="008831F9" w:rsidRPr="004E54A4" w:rsidRDefault="008831F9" w:rsidP="008831F9">
      <w:pPr>
        <w:tabs>
          <w:tab w:val="left" w:pos="284"/>
        </w:tabs>
        <w:rPr>
          <w:rFonts w:ascii="Calibri" w:hAnsi="Calibri" w:cs="Calibri"/>
        </w:rPr>
      </w:pPr>
    </w:p>
    <w:p w14:paraId="2B3C1B52" w14:textId="77777777" w:rsidR="008831F9" w:rsidRPr="004E54A4" w:rsidRDefault="008831F9" w:rsidP="008831F9">
      <w:pPr>
        <w:tabs>
          <w:tab w:val="left" w:pos="284"/>
        </w:tabs>
        <w:rPr>
          <w:rFonts w:ascii="Calibri" w:hAnsi="Calibri" w:cs="Calibri"/>
        </w:rPr>
      </w:pPr>
      <w:r w:rsidRPr="004E54A4">
        <w:rPr>
          <w:rFonts w:ascii="Calibri" w:hAnsi="Calibri" w:cs="Calibri"/>
        </w:rPr>
        <w:t>Podłożem dla układanej warstwy ścieralnej z betonu asfaltowego jest podbudowa z kruszywa łamanego stabilizowanego mechanicznie lub podbudowa z AC lub warstwa wiążąca z AC. Powierzchnia podłoża przed ułożeniem powinno być: wyprofilowana, sucha, oczyszczona.</w:t>
      </w:r>
    </w:p>
    <w:p w14:paraId="3BF0EBE3" w14:textId="77777777" w:rsidR="008831F9" w:rsidRPr="004E54A4" w:rsidRDefault="008831F9" w:rsidP="008831F9">
      <w:pPr>
        <w:pStyle w:val="Nagwek4"/>
      </w:pPr>
      <w:r w:rsidRPr="004E54A4">
        <w:t>5.6. Połączenie międzywarstwowe</w:t>
      </w:r>
    </w:p>
    <w:p w14:paraId="249627CD" w14:textId="77777777" w:rsidR="008831F9" w:rsidRPr="004E54A4" w:rsidRDefault="008831F9" w:rsidP="008831F9">
      <w:pPr>
        <w:tabs>
          <w:tab w:val="left" w:pos="284"/>
        </w:tabs>
        <w:rPr>
          <w:rFonts w:ascii="Calibri" w:hAnsi="Calibri" w:cs="Calibri"/>
        </w:rPr>
      </w:pPr>
      <w:r w:rsidRPr="004E54A4">
        <w:rPr>
          <w:rFonts w:ascii="Calibri" w:hAnsi="Calibri" w:cs="Calibri"/>
        </w:rPr>
        <w:t xml:space="preserve">Przed ułożeniem warstwy ścieralnej, warstwy niżej leżące będą oczyszczone i skropione emulsją asfaltową zgodnie z ST D.04.03.01  </w:t>
      </w:r>
    </w:p>
    <w:p w14:paraId="2F81B020" w14:textId="77777777" w:rsidR="008831F9" w:rsidRPr="004E54A4" w:rsidRDefault="008831F9" w:rsidP="008831F9">
      <w:pPr>
        <w:pStyle w:val="Nagwek4"/>
      </w:pPr>
      <w:r w:rsidRPr="004E54A4">
        <w:t>5.7. Warunki przystąpienia do robót</w:t>
      </w:r>
    </w:p>
    <w:p w14:paraId="1D4E8E80" w14:textId="77777777" w:rsidR="008831F9" w:rsidRPr="004E54A4" w:rsidRDefault="008831F9" w:rsidP="008831F9">
      <w:pPr>
        <w:tabs>
          <w:tab w:val="left" w:pos="284"/>
        </w:tabs>
        <w:rPr>
          <w:rFonts w:ascii="Calibri" w:hAnsi="Calibri" w:cs="Calibri"/>
        </w:rPr>
      </w:pPr>
      <w:r w:rsidRPr="004E54A4">
        <w:rPr>
          <w:rFonts w:ascii="Calibri" w:hAnsi="Calibri" w:cs="Calibri"/>
        </w:rPr>
        <w:t xml:space="preserve">Warunki przystąpienia do robót winny być zgodne z wymaganiami WT. Warstwa ścieralna z betonu asfaltowego może być układana, gdy minimalna temperatura otoczenia przed przystąpieniem do robót wynosi 0°C, a w czasie wykonywania robót +5°C. </w:t>
      </w:r>
    </w:p>
    <w:p w14:paraId="69BD73ED" w14:textId="77777777" w:rsidR="008831F9" w:rsidRPr="004E54A4" w:rsidRDefault="008831F9" w:rsidP="008831F9">
      <w:pPr>
        <w:rPr>
          <w:rFonts w:ascii="Calibri" w:hAnsi="Calibri" w:cs="Calibri"/>
        </w:rPr>
      </w:pPr>
      <w:r w:rsidRPr="004E54A4">
        <w:rPr>
          <w:rFonts w:ascii="Calibri" w:hAnsi="Calibri" w:cs="Calibri"/>
        </w:rPr>
        <w:t xml:space="preserve">Nie dopuszcza się układania mieszanki mineralno-asfaltowej na mokrym podłożu, podczas opadów atmosferycznych oraz silnego wiatru (v&gt;16 m/s) </w:t>
      </w:r>
    </w:p>
    <w:p w14:paraId="24154A7A" w14:textId="77777777" w:rsidR="008831F9" w:rsidRPr="004E54A4" w:rsidRDefault="008831F9" w:rsidP="008831F9">
      <w:pPr>
        <w:pStyle w:val="Nagwek4"/>
      </w:pPr>
      <w:r w:rsidRPr="004E54A4">
        <w:t xml:space="preserve">5.8. Wbudowywanie i zagęszczanie warstwy z betonu asfaltowego </w:t>
      </w:r>
    </w:p>
    <w:p w14:paraId="5FD6FC11" w14:textId="77777777" w:rsidR="008831F9" w:rsidRPr="004E54A4" w:rsidRDefault="008831F9" w:rsidP="008831F9">
      <w:pPr>
        <w:tabs>
          <w:tab w:val="left" w:pos="284"/>
        </w:tabs>
        <w:rPr>
          <w:rFonts w:ascii="Calibri" w:hAnsi="Calibri" w:cs="Calibri"/>
        </w:rPr>
      </w:pPr>
    </w:p>
    <w:p w14:paraId="5590F888" w14:textId="77777777" w:rsidR="008831F9" w:rsidRPr="004E54A4" w:rsidRDefault="008831F9" w:rsidP="008831F9">
      <w:pPr>
        <w:tabs>
          <w:tab w:val="left" w:pos="284"/>
        </w:tabs>
        <w:rPr>
          <w:rFonts w:ascii="Calibri" w:hAnsi="Calibri" w:cs="Calibri"/>
        </w:rPr>
      </w:pPr>
      <w:r w:rsidRPr="004E54A4">
        <w:rPr>
          <w:rFonts w:ascii="Calibri" w:hAnsi="Calibri" w:cs="Calibri"/>
        </w:rPr>
        <w:t>Mieszanka mineralno-asfaltowa powinna być wbudowywana układarką wyposażoną w układ z automatycznym sterowaniem grubości warstwy i utrzymywaniem niwelety zgodnie z Dokumentacją Projektową.</w:t>
      </w:r>
    </w:p>
    <w:p w14:paraId="359B69E0" w14:textId="77777777" w:rsidR="008831F9" w:rsidRPr="004E54A4" w:rsidRDefault="008831F9" w:rsidP="008831F9">
      <w:pPr>
        <w:tabs>
          <w:tab w:val="left" w:pos="284"/>
        </w:tabs>
        <w:rPr>
          <w:rFonts w:ascii="Calibri" w:hAnsi="Calibri" w:cs="Calibri"/>
        </w:rPr>
      </w:pPr>
      <w:r w:rsidRPr="004E54A4">
        <w:rPr>
          <w:rFonts w:ascii="Calibri" w:hAnsi="Calibri" w:cs="Calibri"/>
        </w:rPr>
        <w:t>Zagęszczanie mieszanki powinno odbywać się zgodnie ze schematem przejść walca gwarantującym uzyskanie prawidłowego zagęszczenia.</w:t>
      </w:r>
    </w:p>
    <w:p w14:paraId="26398281" w14:textId="2A9697E8" w:rsidR="008831F9" w:rsidRPr="004E54A4" w:rsidRDefault="008831F9" w:rsidP="008831F9">
      <w:pPr>
        <w:pStyle w:val="Tekstpodstawowy2"/>
        <w:spacing w:after="0" w:line="240" w:lineRule="auto"/>
        <w:rPr>
          <w:rFonts w:ascii="Calibri" w:hAnsi="Calibri" w:cs="Calibri"/>
          <w:sz w:val="20"/>
          <w:szCs w:val="20"/>
        </w:rPr>
      </w:pPr>
      <w:r w:rsidRPr="004E54A4">
        <w:rPr>
          <w:rFonts w:ascii="Calibri" w:hAnsi="Calibri" w:cs="Calibri"/>
          <w:sz w:val="20"/>
          <w:szCs w:val="20"/>
        </w:rPr>
        <w:t>Początkowa temperatura mieszanki w czasie zagęszczania powinna mieścić się w granicach podanych w p. 5.3. Zagęszczanie mieszanki należy rozpocząć od krawędzi nawierzchni ku środkowi. Złącza w warstwie powinny być wykonane w linii prostej, równolegle lub prostopadle do osi drogi. Złącza poprzeczne, wynikające z dziennej działki roboczej, powinny być równo obcięte i zabezpieczone listwą przed uszkodzeniem. Krawędź poprzeczna, przed rozpoczęciem układania następnego odcinka powinna być oklejona taśmą asfaltową</w:t>
      </w:r>
      <w:r w:rsidR="00B402A9">
        <w:rPr>
          <w:rFonts w:ascii="Calibri" w:hAnsi="Calibri" w:cs="Calibri"/>
          <w:sz w:val="20"/>
          <w:szCs w:val="20"/>
        </w:rPr>
        <w:t xml:space="preserve"> lub pokryta asfaltem drogowym</w:t>
      </w:r>
      <w:r w:rsidRPr="004E54A4">
        <w:rPr>
          <w:rFonts w:ascii="Calibri" w:hAnsi="Calibri" w:cs="Calibri"/>
          <w:sz w:val="20"/>
          <w:szCs w:val="20"/>
        </w:rPr>
        <w:t xml:space="preserve">. W przekrojach ulicznych należy także okleić taśmą asfaltową </w:t>
      </w:r>
      <w:r w:rsidR="00B402A9">
        <w:rPr>
          <w:rFonts w:ascii="Calibri" w:hAnsi="Calibri" w:cs="Calibri"/>
          <w:sz w:val="20"/>
          <w:szCs w:val="20"/>
        </w:rPr>
        <w:t xml:space="preserve"> lub zalać asfaltem drogowym </w:t>
      </w:r>
      <w:r w:rsidRPr="004E54A4">
        <w:rPr>
          <w:rFonts w:ascii="Calibri" w:hAnsi="Calibri" w:cs="Calibri"/>
          <w:sz w:val="20"/>
          <w:szCs w:val="20"/>
        </w:rPr>
        <w:t>styki  krawężników, wpustów itp. z wbudowywaną warstwą. Złącza w konstrukcji wielowarstwowej powinny być przesunięte względem siebie co najmniej o 15 cm. Złącza powinny być całkowicie związane, a przylegające warstwy powinny być w jednym poziomie.</w:t>
      </w:r>
    </w:p>
    <w:p w14:paraId="07505753" w14:textId="77777777" w:rsidR="008831F9" w:rsidRPr="004E54A4" w:rsidRDefault="008831F9" w:rsidP="008831F9">
      <w:pPr>
        <w:pStyle w:val="Nagwek3"/>
      </w:pPr>
      <w:r w:rsidRPr="004E54A4">
        <w:t>6. KONTROLA JAKOŚCI ROBÓT</w:t>
      </w:r>
    </w:p>
    <w:p w14:paraId="3032B111" w14:textId="77777777" w:rsidR="008831F9" w:rsidRPr="004E54A4" w:rsidRDefault="008831F9" w:rsidP="008831F9">
      <w:pPr>
        <w:pStyle w:val="Nagwek4"/>
      </w:pPr>
      <w:r w:rsidRPr="004E54A4">
        <w:t>6.1. Ogólne zasady kontroli jakości robót</w:t>
      </w:r>
    </w:p>
    <w:p w14:paraId="23BFAF92" w14:textId="77777777" w:rsidR="008831F9" w:rsidRPr="004E54A4" w:rsidRDefault="008831F9" w:rsidP="008831F9">
      <w:pPr>
        <w:numPr>
          <w:ilvl w:val="12"/>
          <w:numId w:val="0"/>
        </w:numPr>
        <w:tabs>
          <w:tab w:val="left" w:pos="9914"/>
        </w:tabs>
        <w:rPr>
          <w:rFonts w:ascii="Calibri" w:hAnsi="Calibri" w:cs="Calibri"/>
        </w:rPr>
      </w:pPr>
    </w:p>
    <w:p w14:paraId="0BBF3814" w14:textId="77777777" w:rsidR="008831F9" w:rsidRPr="004E54A4" w:rsidRDefault="008831F9" w:rsidP="008831F9">
      <w:pPr>
        <w:numPr>
          <w:ilvl w:val="12"/>
          <w:numId w:val="0"/>
        </w:numPr>
        <w:tabs>
          <w:tab w:val="left" w:pos="9914"/>
        </w:tabs>
        <w:rPr>
          <w:rFonts w:ascii="Calibri" w:hAnsi="Calibri" w:cs="Calibri"/>
        </w:rPr>
      </w:pPr>
      <w:r w:rsidRPr="004E54A4">
        <w:rPr>
          <w:rFonts w:ascii="Calibri" w:hAnsi="Calibri" w:cs="Calibri"/>
        </w:rPr>
        <w:t>Ogólne zasady kontroli jakości robót podano w STWiORB   D-M-00.00.00 „Wymagania ogólne” pkt 6.</w:t>
      </w:r>
    </w:p>
    <w:p w14:paraId="41D7080B" w14:textId="77777777" w:rsidR="008831F9" w:rsidRPr="004E54A4" w:rsidRDefault="008831F9" w:rsidP="008831F9">
      <w:pPr>
        <w:pStyle w:val="Nagwek4"/>
      </w:pPr>
      <w:r w:rsidRPr="004E54A4">
        <w:t>6.2. Badania przed przystąpieniem do robót</w:t>
      </w:r>
    </w:p>
    <w:p w14:paraId="715C7159" w14:textId="77777777" w:rsidR="008831F9" w:rsidRPr="004E54A4" w:rsidRDefault="008831F9" w:rsidP="008831F9">
      <w:pPr>
        <w:numPr>
          <w:ilvl w:val="12"/>
          <w:numId w:val="0"/>
        </w:numPr>
        <w:rPr>
          <w:rFonts w:ascii="Calibri" w:hAnsi="Calibri" w:cs="Calibri"/>
        </w:rPr>
      </w:pPr>
    </w:p>
    <w:p w14:paraId="02755DFE" w14:textId="77777777" w:rsidR="008831F9" w:rsidRPr="004E54A4" w:rsidRDefault="008831F9" w:rsidP="008831F9">
      <w:pPr>
        <w:numPr>
          <w:ilvl w:val="12"/>
          <w:numId w:val="0"/>
        </w:numPr>
        <w:rPr>
          <w:rFonts w:ascii="Calibri" w:hAnsi="Calibri" w:cs="Calibri"/>
        </w:rPr>
      </w:pPr>
      <w:r w:rsidRPr="004E54A4">
        <w:rPr>
          <w:rFonts w:ascii="Calibri" w:hAnsi="Calibri" w:cs="Calibri"/>
        </w:rPr>
        <w:t>Przed przystąpieniem do robót Wykonawca powinien:</w:t>
      </w:r>
    </w:p>
    <w:p w14:paraId="6BA39A16" w14:textId="77777777" w:rsidR="008831F9" w:rsidRPr="004E54A4" w:rsidRDefault="008831F9" w:rsidP="00262498">
      <w:pPr>
        <w:numPr>
          <w:ilvl w:val="0"/>
          <w:numId w:val="252"/>
        </w:numPr>
        <w:rPr>
          <w:rFonts w:ascii="Calibri" w:hAnsi="Calibri" w:cs="Calibri"/>
        </w:rPr>
      </w:pPr>
      <w:r w:rsidRPr="004E54A4">
        <w:rPr>
          <w:rFonts w:ascii="Calibri" w:hAnsi="Calibri" w:cs="Calibri"/>
        </w:rPr>
        <w:t>uzyskać wymagane dokumenty, dopuszczające wyroby budowlane do obrotu i powszechnego stosowania (np. stwierdzenie o oznakowaniu materiału znakiem CE lub znakiem budowlanym B, certyfikat zgodności, deklarację zgodności, aprobatę techniczną, ew. badania materiałów wykonane przez dostawców itp.),</w:t>
      </w:r>
    </w:p>
    <w:p w14:paraId="7E5B1C67" w14:textId="77777777" w:rsidR="008831F9" w:rsidRPr="004E54A4" w:rsidRDefault="008831F9" w:rsidP="00262498">
      <w:pPr>
        <w:numPr>
          <w:ilvl w:val="0"/>
          <w:numId w:val="252"/>
        </w:numPr>
        <w:rPr>
          <w:rFonts w:ascii="Calibri" w:hAnsi="Calibri" w:cs="Calibri"/>
        </w:rPr>
      </w:pPr>
      <w:r w:rsidRPr="004E54A4">
        <w:rPr>
          <w:rFonts w:ascii="Calibri" w:hAnsi="Calibri" w:cs="Calibri"/>
        </w:rPr>
        <w:t>ew. wykonać własne badania właściwości materiałów przeznaczonych do wykonania robót, określone przez Inżyniera. Wszystkie dokumenty oraz wyniki badań Wykonawca przedstawia Inżynierowi do akceptacji.</w:t>
      </w:r>
    </w:p>
    <w:p w14:paraId="085D873E" w14:textId="77777777" w:rsidR="008831F9" w:rsidRPr="004E54A4" w:rsidRDefault="008831F9" w:rsidP="008831F9">
      <w:pPr>
        <w:pStyle w:val="Nagwek4"/>
      </w:pPr>
      <w:r w:rsidRPr="004E54A4">
        <w:t>6.3. Badania w czasie robót</w:t>
      </w:r>
    </w:p>
    <w:p w14:paraId="071A17B0" w14:textId="77777777" w:rsidR="008831F9" w:rsidRPr="004E54A4" w:rsidRDefault="008831F9" w:rsidP="008831F9">
      <w:pPr>
        <w:rPr>
          <w:rFonts w:asciiTheme="minorHAnsi" w:hAnsiTheme="minorHAnsi" w:cstheme="minorHAnsi"/>
          <w:b/>
        </w:rPr>
      </w:pPr>
      <w:r w:rsidRPr="004E54A4">
        <w:rPr>
          <w:rFonts w:asciiTheme="minorHAnsi" w:hAnsiTheme="minorHAnsi" w:cstheme="minorHAnsi"/>
          <w:b/>
        </w:rPr>
        <w:t>6.3.1. Uwagi ogólne</w:t>
      </w:r>
    </w:p>
    <w:p w14:paraId="0F0B7D54" w14:textId="77777777" w:rsidR="008831F9" w:rsidRPr="00B05E5E" w:rsidRDefault="008831F9" w:rsidP="008831F9">
      <w:pPr>
        <w:rPr>
          <w:rFonts w:asciiTheme="minorHAnsi" w:hAnsiTheme="minorHAnsi" w:cstheme="minorHAnsi"/>
        </w:rPr>
      </w:pPr>
      <w:r w:rsidRPr="00B05E5E">
        <w:rPr>
          <w:rFonts w:asciiTheme="minorHAnsi" w:hAnsiTheme="minorHAnsi" w:cstheme="minorHAnsi"/>
        </w:rPr>
        <w:t>Badania dzielą się na:</w:t>
      </w:r>
    </w:p>
    <w:p w14:paraId="46D3B072" w14:textId="77777777" w:rsidR="008831F9" w:rsidRPr="004E54A4" w:rsidRDefault="008831F9" w:rsidP="00262498">
      <w:pPr>
        <w:numPr>
          <w:ilvl w:val="0"/>
          <w:numId w:val="21"/>
        </w:numPr>
        <w:rPr>
          <w:rFonts w:asciiTheme="minorHAnsi" w:hAnsiTheme="minorHAnsi" w:cstheme="minorHAnsi"/>
        </w:rPr>
      </w:pPr>
      <w:r w:rsidRPr="004E54A4">
        <w:rPr>
          <w:rFonts w:asciiTheme="minorHAnsi" w:hAnsiTheme="minorHAnsi" w:cstheme="minorHAnsi"/>
        </w:rPr>
        <w:t>badania wykonawcy (w ramach własnego nadzoru),</w:t>
      </w:r>
    </w:p>
    <w:p w14:paraId="4224D058" w14:textId="77777777" w:rsidR="008831F9" w:rsidRPr="004E54A4" w:rsidRDefault="008831F9" w:rsidP="00262498">
      <w:pPr>
        <w:numPr>
          <w:ilvl w:val="0"/>
          <w:numId w:val="21"/>
        </w:numPr>
        <w:rPr>
          <w:rFonts w:asciiTheme="minorHAnsi" w:hAnsiTheme="minorHAnsi" w:cstheme="minorHAnsi"/>
        </w:rPr>
      </w:pPr>
      <w:r w:rsidRPr="004E54A4">
        <w:rPr>
          <w:rFonts w:asciiTheme="minorHAnsi" w:hAnsiTheme="minorHAnsi" w:cstheme="minorHAnsi"/>
        </w:rPr>
        <w:t>badania kontrolne (w ramach nadzoru zleceniodawcy – Inżyniera).</w:t>
      </w:r>
    </w:p>
    <w:p w14:paraId="19598C06" w14:textId="77777777" w:rsidR="008831F9" w:rsidRPr="004E54A4" w:rsidRDefault="008831F9" w:rsidP="008831F9">
      <w:pPr>
        <w:rPr>
          <w:rFonts w:asciiTheme="minorHAnsi" w:hAnsiTheme="minorHAnsi" w:cstheme="minorHAnsi"/>
          <w:b/>
        </w:rPr>
      </w:pPr>
      <w:r w:rsidRPr="004E54A4">
        <w:rPr>
          <w:rFonts w:asciiTheme="minorHAnsi" w:hAnsiTheme="minorHAnsi" w:cstheme="minorHAnsi"/>
          <w:b/>
        </w:rPr>
        <w:t>6.3.2. Badania Wykonawcy</w:t>
      </w:r>
    </w:p>
    <w:p w14:paraId="1B5D83AB" w14:textId="77777777" w:rsidR="008831F9" w:rsidRPr="004E54A4" w:rsidRDefault="008831F9" w:rsidP="008831F9">
      <w:pPr>
        <w:rPr>
          <w:rFonts w:asciiTheme="minorHAnsi" w:hAnsiTheme="minorHAnsi" w:cstheme="minorHAnsi"/>
        </w:rPr>
      </w:pPr>
      <w:r w:rsidRPr="004E54A4">
        <w:rPr>
          <w:rFonts w:asciiTheme="minorHAnsi" w:hAnsiTheme="minorHAnsi" w:cstheme="minorHAnsi"/>
        </w:rPr>
        <w:t>Badania Wykonawcy są wykonywane przez Wykonawcę lub jego zleceniobiorców celem sprawdzenia, czy jakość materiałów budowlanych (mieszanek mineralno-asfaltowych i ich składników, lepiszczy i materiałów do uszczelnień itp.) oraz gotowej warstwy (wbudowane warstwy asfaltowe, połączenia itp.) spełniają wymagania określone w kontrakcie.</w:t>
      </w:r>
    </w:p>
    <w:p w14:paraId="6D910784" w14:textId="77777777" w:rsidR="008831F9" w:rsidRPr="004E54A4" w:rsidRDefault="008831F9" w:rsidP="008831F9">
      <w:pPr>
        <w:rPr>
          <w:rFonts w:asciiTheme="minorHAnsi" w:hAnsiTheme="minorHAnsi" w:cstheme="minorHAnsi"/>
        </w:rPr>
      </w:pPr>
      <w:r w:rsidRPr="004E54A4">
        <w:rPr>
          <w:rFonts w:asciiTheme="minorHAnsi" w:hAnsiTheme="minorHAnsi" w:cstheme="minorHAnsi"/>
        </w:rPr>
        <w:t>Wykonawca powinien wykonywać te badania podczas realizacji kontraktu, z niezbędną starannością i w wymaganym zakresie. Wyniki należy zapisywać w protokołach. W razie stwierdzenia uchybień w stosunku do wymagań kontraktu, ich przyczyny należy niezwłocznie usunąć.</w:t>
      </w:r>
    </w:p>
    <w:p w14:paraId="6FDA4F55" w14:textId="77777777" w:rsidR="008831F9" w:rsidRPr="004E54A4" w:rsidRDefault="008831F9" w:rsidP="008831F9">
      <w:pPr>
        <w:rPr>
          <w:rFonts w:asciiTheme="minorHAnsi" w:hAnsiTheme="minorHAnsi" w:cstheme="minorHAnsi"/>
        </w:rPr>
      </w:pPr>
      <w:r w:rsidRPr="004E54A4">
        <w:rPr>
          <w:rFonts w:asciiTheme="minorHAnsi" w:hAnsiTheme="minorHAnsi" w:cstheme="minorHAnsi"/>
        </w:rPr>
        <w:t>Wyniki badań Wykonawcy należy przekazywać Inżynierowi na jego żądanie. Inżynier może zdecydować o dokonaniu odbioru na podstawie badań Wykonawcy. W razie zastrzeżeń Inżynier może przeprowadzić badania kontrolne według pktu 6.3.3.</w:t>
      </w:r>
    </w:p>
    <w:p w14:paraId="25225DCD" w14:textId="77777777" w:rsidR="008831F9" w:rsidRPr="004E54A4" w:rsidRDefault="008831F9" w:rsidP="008831F9">
      <w:pPr>
        <w:rPr>
          <w:rFonts w:asciiTheme="minorHAnsi" w:hAnsiTheme="minorHAnsi" w:cstheme="minorHAnsi"/>
        </w:rPr>
      </w:pPr>
      <w:r w:rsidRPr="004E54A4">
        <w:rPr>
          <w:rFonts w:asciiTheme="minorHAnsi" w:hAnsiTheme="minorHAnsi" w:cstheme="minorHAnsi"/>
        </w:rPr>
        <w:t xml:space="preserve">6.3.3 Częstotliwość oraz zakres badań i pomiarów podczas wykonywania nawierzchni z mieszanki AC </w:t>
      </w:r>
    </w:p>
    <w:p w14:paraId="327546EF" w14:textId="77777777" w:rsidR="008831F9" w:rsidRPr="00B05E5E" w:rsidRDefault="008831F9" w:rsidP="008831F9">
      <w:pPr>
        <w:rPr>
          <w:rFonts w:asciiTheme="minorHAnsi" w:hAnsiTheme="minorHAnsi" w:cstheme="minorHAnsi"/>
          <w:b/>
          <w:bCs/>
        </w:rPr>
      </w:pPr>
      <w:r w:rsidRPr="00B05E5E">
        <w:rPr>
          <w:rFonts w:asciiTheme="minorHAnsi" w:hAnsiTheme="minorHAnsi" w:cstheme="minorHAnsi"/>
          <w:b/>
          <w:bCs/>
        </w:rPr>
        <w:t>Tablica 8</w:t>
      </w:r>
    </w:p>
    <w:p w14:paraId="582F00E9" w14:textId="77777777" w:rsidR="008831F9" w:rsidRPr="00B05E5E" w:rsidRDefault="008831F9" w:rsidP="008831F9">
      <w:pPr>
        <w:pStyle w:val="tekstost"/>
        <w:numPr>
          <w:ilvl w:val="12"/>
          <w:numId w:val="0"/>
        </w:numPr>
        <w:ind w:firstLine="425"/>
        <w:rPr>
          <w:rFonts w:asciiTheme="minorHAnsi" w:hAnsiTheme="minorHAnsi" w:cstheme="minorHAnsi"/>
        </w:rPr>
      </w:pPr>
    </w:p>
    <w:tbl>
      <w:tblPr>
        <w:tblW w:w="0" w:type="auto"/>
        <w:tblInd w:w="2" w:type="dxa"/>
        <w:tblCellMar>
          <w:left w:w="0" w:type="dxa"/>
          <w:right w:w="0" w:type="dxa"/>
        </w:tblCellMar>
        <w:tblLook w:val="00A0" w:firstRow="1" w:lastRow="0" w:firstColumn="1" w:lastColumn="0" w:noHBand="0" w:noVBand="0"/>
      </w:tblPr>
      <w:tblGrid>
        <w:gridCol w:w="904"/>
        <w:gridCol w:w="3505"/>
        <w:gridCol w:w="4634"/>
      </w:tblGrid>
      <w:tr w:rsidR="008831F9" w:rsidRPr="00E96860" w14:paraId="3B0088BA" w14:textId="77777777" w:rsidTr="00EA573C">
        <w:tc>
          <w:tcPr>
            <w:tcW w:w="955" w:type="dxa"/>
            <w:tcBorders>
              <w:top w:val="single" w:sz="8" w:space="0" w:color="auto"/>
              <w:left w:val="single" w:sz="8" w:space="0" w:color="auto"/>
              <w:bottom w:val="double" w:sz="6" w:space="0" w:color="auto"/>
              <w:right w:val="single" w:sz="8" w:space="0" w:color="auto"/>
            </w:tcBorders>
            <w:noWrap/>
            <w:tcMar>
              <w:top w:w="0" w:type="dxa"/>
              <w:left w:w="70" w:type="dxa"/>
              <w:bottom w:w="0" w:type="dxa"/>
              <w:right w:w="70" w:type="dxa"/>
            </w:tcMar>
          </w:tcPr>
          <w:p w14:paraId="1E42CC6E" w14:textId="77777777" w:rsidR="008831F9" w:rsidRPr="00B05E5E" w:rsidRDefault="008831F9" w:rsidP="00EA573C">
            <w:pPr>
              <w:numPr>
                <w:ilvl w:val="12"/>
                <w:numId w:val="0"/>
              </w:numPr>
              <w:jc w:val="center"/>
              <w:rPr>
                <w:rFonts w:asciiTheme="minorHAnsi" w:hAnsiTheme="minorHAnsi" w:cstheme="minorHAnsi"/>
              </w:rPr>
            </w:pPr>
            <w:r w:rsidRPr="00B05E5E">
              <w:rPr>
                <w:rFonts w:asciiTheme="minorHAnsi" w:hAnsiTheme="minorHAnsi" w:cstheme="minorHAnsi"/>
              </w:rPr>
              <w:t> </w:t>
            </w:r>
          </w:p>
          <w:p w14:paraId="03A94D04" w14:textId="77777777" w:rsidR="008831F9" w:rsidRPr="00B05E5E" w:rsidRDefault="008831F9" w:rsidP="00EA573C">
            <w:pPr>
              <w:numPr>
                <w:ilvl w:val="12"/>
                <w:numId w:val="0"/>
              </w:numPr>
              <w:jc w:val="center"/>
              <w:rPr>
                <w:rFonts w:asciiTheme="minorHAnsi" w:hAnsiTheme="minorHAnsi" w:cstheme="minorHAnsi"/>
              </w:rPr>
            </w:pPr>
            <w:r w:rsidRPr="00B05E5E">
              <w:rPr>
                <w:rFonts w:asciiTheme="minorHAnsi" w:hAnsiTheme="minorHAnsi" w:cstheme="minorHAnsi"/>
              </w:rPr>
              <w:t>Lp.</w:t>
            </w:r>
          </w:p>
        </w:tc>
        <w:tc>
          <w:tcPr>
            <w:tcW w:w="3726" w:type="dxa"/>
            <w:tcBorders>
              <w:top w:val="single" w:sz="8" w:space="0" w:color="auto"/>
              <w:left w:val="nil"/>
              <w:bottom w:val="double" w:sz="6" w:space="0" w:color="auto"/>
              <w:right w:val="single" w:sz="8" w:space="0" w:color="auto"/>
            </w:tcBorders>
            <w:noWrap/>
            <w:tcMar>
              <w:top w:w="0" w:type="dxa"/>
              <w:left w:w="70" w:type="dxa"/>
              <w:bottom w:w="0" w:type="dxa"/>
              <w:right w:w="70" w:type="dxa"/>
            </w:tcMar>
          </w:tcPr>
          <w:p w14:paraId="10FC36A6" w14:textId="77777777" w:rsidR="008831F9" w:rsidRPr="00B05E5E" w:rsidRDefault="008831F9" w:rsidP="00EA573C">
            <w:pPr>
              <w:numPr>
                <w:ilvl w:val="12"/>
                <w:numId w:val="0"/>
              </w:numPr>
              <w:jc w:val="center"/>
              <w:rPr>
                <w:rFonts w:asciiTheme="minorHAnsi" w:hAnsiTheme="minorHAnsi" w:cstheme="minorHAnsi"/>
              </w:rPr>
            </w:pPr>
            <w:r w:rsidRPr="00B05E5E">
              <w:rPr>
                <w:rFonts w:asciiTheme="minorHAnsi" w:hAnsiTheme="minorHAnsi" w:cstheme="minorHAnsi"/>
              </w:rPr>
              <w:t> </w:t>
            </w:r>
          </w:p>
          <w:p w14:paraId="36C92784" w14:textId="77777777" w:rsidR="008831F9" w:rsidRPr="00B05E5E" w:rsidRDefault="008831F9" w:rsidP="00EA573C">
            <w:pPr>
              <w:numPr>
                <w:ilvl w:val="12"/>
                <w:numId w:val="0"/>
              </w:numPr>
              <w:jc w:val="center"/>
              <w:rPr>
                <w:rFonts w:asciiTheme="minorHAnsi" w:hAnsiTheme="minorHAnsi" w:cstheme="minorHAnsi"/>
              </w:rPr>
            </w:pPr>
            <w:r w:rsidRPr="00B05E5E">
              <w:rPr>
                <w:rFonts w:asciiTheme="minorHAnsi" w:hAnsiTheme="minorHAnsi" w:cstheme="minorHAnsi"/>
              </w:rPr>
              <w:t>Wyszczególnienie badań</w:t>
            </w:r>
          </w:p>
        </w:tc>
        <w:tc>
          <w:tcPr>
            <w:tcW w:w="4929" w:type="dxa"/>
            <w:tcBorders>
              <w:top w:val="single" w:sz="8" w:space="0" w:color="auto"/>
              <w:left w:val="nil"/>
              <w:bottom w:val="double" w:sz="6" w:space="0" w:color="auto"/>
              <w:right w:val="single" w:sz="8" w:space="0" w:color="auto"/>
            </w:tcBorders>
            <w:noWrap/>
            <w:tcMar>
              <w:top w:w="0" w:type="dxa"/>
              <w:left w:w="70" w:type="dxa"/>
              <w:bottom w:w="0" w:type="dxa"/>
              <w:right w:w="70" w:type="dxa"/>
            </w:tcMar>
          </w:tcPr>
          <w:p w14:paraId="5DFDC90B" w14:textId="77777777" w:rsidR="008831F9" w:rsidRPr="004E54A4" w:rsidRDefault="008831F9" w:rsidP="00EA573C">
            <w:pPr>
              <w:numPr>
                <w:ilvl w:val="12"/>
                <w:numId w:val="0"/>
              </w:numPr>
              <w:jc w:val="center"/>
              <w:rPr>
                <w:rFonts w:asciiTheme="minorHAnsi" w:hAnsiTheme="minorHAnsi" w:cstheme="minorHAnsi"/>
              </w:rPr>
            </w:pPr>
            <w:r w:rsidRPr="004E54A4">
              <w:rPr>
                <w:rFonts w:asciiTheme="minorHAnsi" w:hAnsiTheme="minorHAnsi" w:cstheme="minorHAnsi"/>
              </w:rPr>
              <w:t>Częstotliwość badań</w:t>
            </w:r>
          </w:p>
          <w:p w14:paraId="6C169FE2" w14:textId="77777777" w:rsidR="008831F9" w:rsidRPr="004E54A4" w:rsidRDefault="008831F9" w:rsidP="00EA573C">
            <w:pPr>
              <w:numPr>
                <w:ilvl w:val="12"/>
                <w:numId w:val="0"/>
              </w:numPr>
              <w:jc w:val="center"/>
              <w:rPr>
                <w:rFonts w:asciiTheme="minorHAnsi" w:hAnsiTheme="minorHAnsi" w:cstheme="minorHAnsi"/>
              </w:rPr>
            </w:pPr>
            <w:r w:rsidRPr="004E54A4">
              <w:rPr>
                <w:rFonts w:asciiTheme="minorHAnsi" w:hAnsiTheme="minorHAnsi" w:cstheme="minorHAnsi"/>
              </w:rPr>
              <w:t>Minimalna liczba badań na dziennej działce roboczej</w:t>
            </w:r>
          </w:p>
        </w:tc>
      </w:tr>
      <w:tr w:rsidR="008831F9" w:rsidRPr="00E96860" w14:paraId="32B6C08D" w14:textId="77777777" w:rsidTr="00EA573C">
        <w:tc>
          <w:tcPr>
            <w:tcW w:w="955" w:type="dxa"/>
            <w:tcBorders>
              <w:top w:val="nil"/>
              <w:left w:val="single" w:sz="8" w:space="0" w:color="auto"/>
              <w:bottom w:val="single" w:sz="8" w:space="0" w:color="auto"/>
              <w:right w:val="single" w:sz="8" w:space="0" w:color="auto"/>
            </w:tcBorders>
            <w:noWrap/>
            <w:tcMar>
              <w:top w:w="0" w:type="dxa"/>
              <w:left w:w="70" w:type="dxa"/>
              <w:bottom w:w="0" w:type="dxa"/>
              <w:right w:w="70" w:type="dxa"/>
            </w:tcMar>
          </w:tcPr>
          <w:p w14:paraId="1E8A2981" w14:textId="77777777" w:rsidR="008831F9" w:rsidRPr="00B05E5E" w:rsidRDefault="008831F9" w:rsidP="00EA573C">
            <w:pPr>
              <w:numPr>
                <w:ilvl w:val="12"/>
                <w:numId w:val="0"/>
              </w:numPr>
              <w:jc w:val="center"/>
              <w:rPr>
                <w:rFonts w:asciiTheme="minorHAnsi" w:hAnsiTheme="minorHAnsi" w:cstheme="minorHAnsi"/>
              </w:rPr>
            </w:pPr>
            <w:r w:rsidRPr="00B05E5E">
              <w:rPr>
                <w:rFonts w:asciiTheme="minorHAnsi" w:hAnsiTheme="minorHAnsi" w:cstheme="minorHAnsi"/>
              </w:rPr>
              <w:t>1</w:t>
            </w:r>
          </w:p>
        </w:tc>
        <w:tc>
          <w:tcPr>
            <w:tcW w:w="3726" w:type="dxa"/>
            <w:tcBorders>
              <w:top w:val="nil"/>
              <w:left w:val="nil"/>
              <w:bottom w:val="single" w:sz="8" w:space="0" w:color="auto"/>
              <w:right w:val="single" w:sz="8" w:space="0" w:color="auto"/>
            </w:tcBorders>
            <w:noWrap/>
            <w:tcMar>
              <w:top w:w="0" w:type="dxa"/>
              <w:left w:w="70" w:type="dxa"/>
              <w:bottom w:w="0" w:type="dxa"/>
              <w:right w:w="70" w:type="dxa"/>
            </w:tcMar>
          </w:tcPr>
          <w:p w14:paraId="3566FCDA" w14:textId="77777777" w:rsidR="008831F9" w:rsidRPr="004E54A4" w:rsidRDefault="008831F9" w:rsidP="00EA573C">
            <w:pPr>
              <w:numPr>
                <w:ilvl w:val="12"/>
                <w:numId w:val="0"/>
              </w:numPr>
              <w:rPr>
                <w:rFonts w:asciiTheme="minorHAnsi" w:hAnsiTheme="minorHAnsi" w:cstheme="minorHAnsi"/>
              </w:rPr>
            </w:pPr>
            <w:r w:rsidRPr="004E54A4">
              <w:rPr>
                <w:rFonts w:asciiTheme="minorHAnsi" w:hAnsiTheme="minorHAnsi" w:cstheme="minorHAnsi"/>
              </w:rPr>
              <w:t xml:space="preserve">Zawartość asfaltu oraz uziarnienie mieszanki mineralno-asfaltowej pobranej w wytwórni </w:t>
            </w:r>
          </w:p>
        </w:tc>
        <w:tc>
          <w:tcPr>
            <w:tcW w:w="4929" w:type="dxa"/>
            <w:tcBorders>
              <w:top w:val="nil"/>
              <w:left w:val="nil"/>
              <w:bottom w:val="single" w:sz="8" w:space="0" w:color="auto"/>
              <w:right w:val="single" w:sz="8" w:space="0" w:color="auto"/>
            </w:tcBorders>
            <w:noWrap/>
            <w:tcMar>
              <w:top w:w="0" w:type="dxa"/>
              <w:left w:w="70" w:type="dxa"/>
              <w:bottom w:w="0" w:type="dxa"/>
              <w:right w:w="70" w:type="dxa"/>
            </w:tcMar>
          </w:tcPr>
          <w:p w14:paraId="4AFEF982" w14:textId="77777777" w:rsidR="008831F9" w:rsidRPr="004E54A4" w:rsidRDefault="008831F9" w:rsidP="00EA573C">
            <w:pPr>
              <w:numPr>
                <w:ilvl w:val="12"/>
                <w:numId w:val="0"/>
              </w:numPr>
              <w:jc w:val="center"/>
              <w:rPr>
                <w:rFonts w:asciiTheme="minorHAnsi" w:hAnsiTheme="minorHAnsi" w:cstheme="minorHAnsi"/>
              </w:rPr>
            </w:pPr>
            <w:r w:rsidRPr="004E54A4">
              <w:rPr>
                <w:rFonts w:asciiTheme="minorHAnsi" w:hAnsiTheme="minorHAnsi" w:cstheme="minorHAnsi"/>
              </w:rPr>
              <w:t>Nie rzadziej niż min. częstotliwość badań wynikająca z PPZ wg normy PN-EN 13108-21 tablica A.3, kategoria Y</w:t>
            </w:r>
          </w:p>
        </w:tc>
      </w:tr>
      <w:tr w:rsidR="008831F9" w:rsidRPr="00B05E5E" w14:paraId="2BB145CA" w14:textId="77777777" w:rsidTr="00EA573C">
        <w:tc>
          <w:tcPr>
            <w:tcW w:w="955" w:type="dxa"/>
            <w:tcBorders>
              <w:top w:val="nil"/>
              <w:left w:val="single" w:sz="8" w:space="0" w:color="auto"/>
              <w:bottom w:val="single" w:sz="8" w:space="0" w:color="auto"/>
              <w:right w:val="single" w:sz="8" w:space="0" w:color="auto"/>
            </w:tcBorders>
            <w:noWrap/>
            <w:tcMar>
              <w:top w:w="0" w:type="dxa"/>
              <w:left w:w="70" w:type="dxa"/>
              <w:bottom w:w="0" w:type="dxa"/>
              <w:right w:w="70" w:type="dxa"/>
            </w:tcMar>
          </w:tcPr>
          <w:p w14:paraId="2805B046" w14:textId="77777777" w:rsidR="008831F9" w:rsidRPr="00B05E5E" w:rsidRDefault="008831F9" w:rsidP="00EA573C">
            <w:pPr>
              <w:numPr>
                <w:ilvl w:val="12"/>
                <w:numId w:val="0"/>
              </w:numPr>
              <w:jc w:val="center"/>
              <w:rPr>
                <w:rFonts w:asciiTheme="minorHAnsi" w:hAnsiTheme="minorHAnsi" w:cstheme="minorHAnsi"/>
              </w:rPr>
            </w:pPr>
            <w:r w:rsidRPr="00B05E5E">
              <w:rPr>
                <w:rFonts w:asciiTheme="minorHAnsi" w:hAnsiTheme="minorHAnsi" w:cstheme="minorHAnsi"/>
              </w:rPr>
              <w:t>2</w:t>
            </w:r>
          </w:p>
        </w:tc>
        <w:tc>
          <w:tcPr>
            <w:tcW w:w="3726" w:type="dxa"/>
            <w:tcBorders>
              <w:top w:val="nil"/>
              <w:left w:val="nil"/>
              <w:bottom w:val="single" w:sz="8" w:space="0" w:color="auto"/>
              <w:right w:val="single" w:sz="8" w:space="0" w:color="auto"/>
            </w:tcBorders>
            <w:noWrap/>
            <w:tcMar>
              <w:top w:w="0" w:type="dxa"/>
              <w:left w:w="70" w:type="dxa"/>
              <w:bottom w:w="0" w:type="dxa"/>
              <w:right w:w="70" w:type="dxa"/>
            </w:tcMar>
          </w:tcPr>
          <w:p w14:paraId="7D48391B" w14:textId="77777777" w:rsidR="008831F9" w:rsidRPr="004E54A4" w:rsidRDefault="008831F9" w:rsidP="00EA573C">
            <w:pPr>
              <w:numPr>
                <w:ilvl w:val="12"/>
                <w:numId w:val="0"/>
              </w:numPr>
              <w:rPr>
                <w:rFonts w:asciiTheme="minorHAnsi" w:hAnsiTheme="minorHAnsi" w:cstheme="minorHAnsi"/>
              </w:rPr>
            </w:pPr>
            <w:r w:rsidRPr="004E54A4">
              <w:rPr>
                <w:rFonts w:asciiTheme="minorHAnsi" w:hAnsiTheme="minorHAnsi" w:cstheme="minorHAnsi"/>
              </w:rPr>
              <w:t>Właściwości lepiszcza (penetracja lub temperatura mięknienia</w:t>
            </w:r>
          </w:p>
        </w:tc>
        <w:tc>
          <w:tcPr>
            <w:tcW w:w="4929" w:type="dxa"/>
            <w:tcBorders>
              <w:top w:val="nil"/>
              <w:left w:val="nil"/>
              <w:bottom w:val="single" w:sz="8" w:space="0" w:color="auto"/>
              <w:right w:val="single" w:sz="8" w:space="0" w:color="auto"/>
            </w:tcBorders>
            <w:noWrap/>
            <w:tcMar>
              <w:top w:w="0" w:type="dxa"/>
              <w:left w:w="70" w:type="dxa"/>
              <w:bottom w:w="0" w:type="dxa"/>
              <w:right w:w="70" w:type="dxa"/>
            </w:tcMar>
          </w:tcPr>
          <w:p w14:paraId="56C3AC2E" w14:textId="77777777" w:rsidR="008831F9" w:rsidRPr="00B05E5E" w:rsidRDefault="008831F9" w:rsidP="00EA573C">
            <w:pPr>
              <w:numPr>
                <w:ilvl w:val="12"/>
                <w:numId w:val="0"/>
              </w:numPr>
              <w:jc w:val="center"/>
              <w:rPr>
                <w:rFonts w:asciiTheme="minorHAnsi" w:hAnsiTheme="minorHAnsi" w:cstheme="minorHAnsi"/>
              </w:rPr>
            </w:pPr>
            <w:r w:rsidRPr="00B05E5E">
              <w:rPr>
                <w:rFonts w:asciiTheme="minorHAnsi" w:hAnsiTheme="minorHAnsi" w:cstheme="minorHAnsi"/>
              </w:rPr>
              <w:t>1raz na 300 Mg</w:t>
            </w:r>
          </w:p>
        </w:tc>
      </w:tr>
      <w:tr w:rsidR="008831F9" w:rsidRPr="00E96860" w14:paraId="4CF20829" w14:textId="77777777" w:rsidTr="00EA573C">
        <w:tc>
          <w:tcPr>
            <w:tcW w:w="955" w:type="dxa"/>
            <w:tcBorders>
              <w:top w:val="nil"/>
              <w:left w:val="single" w:sz="8" w:space="0" w:color="auto"/>
              <w:bottom w:val="single" w:sz="4" w:space="0" w:color="auto"/>
              <w:right w:val="single" w:sz="8" w:space="0" w:color="auto"/>
            </w:tcBorders>
            <w:noWrap/>
            <w:tcMar>
              <w:top w:w="0" w:type="dxa"/>
              <w:left w:w="70" w:type="dxa"/>
              <w:bottom w:w="0" w:type="dxa"/>
              <w:right w:w="70" w:type="dxa"/>
            </w:tcMar>
          </w:tcPr>
          <w:p w14:paraId="4ACF317F" w14:textId="77777777" w:rsidR="008831F9" w:rsidRPr="00B05E5E" w:rsidRDefault="008831F9" w:rsidP="00EA573C">
            <w:pPr>
              <w:numPr>
                <w:ilvl w:val="12"/>
                <w:numId w:val="0"/>
              </w:numPr>
              <w:jc w:val="center"/>
              <w:rPr>
                <w:rFonts w:asciiTheme="minorHAnsi" w:hAnsiTheme="minorHAnsi" w:cstheme="minorHAnsi"/>
              </w:rPr>
            </w:pPr>
            <w:r w:rsidRPr="00B05E5E">
              <w:rPr>
                <w:rFonts w:asciiTheme="minorHAnsi" w:hAnsiTheme="minorHAnsi" w:cstheme="minorHAnsi"/>
              </w:rPr>
              <w:t>3</w:t>
            </w:r>
          </w:p>
        </w:tc>
        <w:tc>
          <w:tcPr>
            <w:tcW w:w="3726" w:type="dxa"/>
            <w:tcBorders>
              <w:top w:val="nil"/>
              <w:left w:val="nil"/>
              <w:bottom w:val="single" w:sz="4" w:space="0" w:color="auto"/>
              <w:right w:val="single" w:sz="8" w:space="0" w:color="auto"/>
            </w:tcBorders>
            <w:noWrap/>
            <w:tcMar>
              <w:top w:w="0" w:type="dxa"/>
              <w:left w:w="70" w:type="dxa"/>
              <w:bottom w:w="0" w:type="dxa"/>
              <w:right w:w="70" w:type="dxa"/>
            </w:tcMar>
          </w:tcPr>
          <w:p w14:paraId="09AAAA2F" w14:textId="77777777" w:rsidR="008831F9" w:rsidRPr="00B05E5E" w:rsidRDefault="008831F9" w:rsidP="00EA573C">
            <w:pPr>
              <w:numPr>
                <w:ilvl w:val="12"/>
                <w:numId w:val="0"/>
              </w:numPr>
              <w:rPr>
                <w:rFonts w:asciiTheme="minorHAnsi" w:hAnsiTheme="minorHAnsi" w:cstheme="minorHAnsi"/>
              </w:rPr>
            </w:pPr>
            <w:r w:rsidRPr="00B05E5E">
              <w:rPr>
                <w:rFonts w:asciiTheme="minorHAnsi" w:hAnsiTheme="minorHAnsi" w:cstheme="minorHAnsi"/>
              </w:rPr>
              <w:t>Uziarnienie wypełniacza</w:t>
            </w:r>
          </w:p>
        </w:tc>
        <w:tc>
          <w:tcPr>
            <w:tcW w:w="4929" w:type="dxa"/>
            <w:tcBorders>
              <w:top w:val="nil"/>
              <w:left w:val="nil"/>
              <w:bottom w:val="single" w:sz="4" w:space="0" w:color="auto"/>
              <w:right w:val="single" w:sz="8" w:space="0" w:color="auto"/>
            </w:tcBorders>
            <w:noWrap/>
            <w:tcMar>
              <w:top w:w="0" w:type="dxa"/>
              <w:left w:w="70" w:type="dxa"/>
              <w:bottom w:w="0" w:type="dxa"/>
              <w:right w:w="70" w:type="dxa"/>
            </w:tcMar>
          </w:tcPr>
          <w:p w14:paraId="734F86C4" w14:textId="77777777" w:rsidR="008831F9" w:rsidRPr="004E54A4" w:rsidRDefault="008831F9" w:rsidP="00EA573C">
            <w:pPr>
              <w:numPr>
                <w:ilvl w:val="12"/>
                <w:numId w:val="0"/>
              </w:numPr>
              <w:jc w:val="center"/>
              <w:rPr>
                <w:rFonts w:asciiTheme="minorHAnsi" w:hAnsiTheme="minorHAnsi" w:cstheme="minorHAnsi"/>
              </w:rPr>
            </w:pPr>
            <w:r w:rsidRPr="004E54A4">
              <w:rPr>
                <w:rFonts w:asciiTheme="minorHAnsi" w:hAnsiTheme="minorHAnsi" w:cstheme="minorHAnsi"/>
              </w:rPr>
              <w:t>Według wskazań planu jakości producenta</w:t>
            </w:r>
          </w:p>
        </w:tc>
      </w:tr>
      <w:tr w:rsidR="008831F9" w:rsidRPr="00B05E5E" w14:paraId="29A784FB" w14:textId="77777777" w:rsidTr="00EA573C">
        <w:tc>
          <w:tcPr>
            <w:tcW w:w="955" w:type="dxa"/>
            <w:tcBorders>
              <w:top w:val="single" w:sz="4" w:space="0" w:color="auto"/>
              <w:left w:val="single" w:sz="8" w:space="0" w:color="auto"/>
              <w:bottom w:val="single" w:sz="8" w:space="0" w:color="auto"/>
              <w:right w:val="single" w:sz="8" w:space="0" w:color="auto"/>
            </w:tcBorders>
            <w:noWrap/>
            <w:tcMar>
              <w:top w:w="0" w:type="dxa"/>
              <w:left w:w="70" w:type="dxa"/>
              <w:bottom w:w="0" w:type="dxa"/>
              <w:right w:w="70" w:type="dxa"/>
            </w:tcMar>
          </w:tcPr>
          <w:p w14:paraId="7C2FE994" w14:textId="77777777" w:rsidR="008831F9" w:rsidRPr="00B05E5E" w:rsidRDefault="008831F9" w:rsidP="00EA573C">
            <w:pPr>
              <w:numPr>
                <w:ilvl w:val="12"/>
                <w:numId w:val="0"/>
              </w:numPr>
              <w:jc w:val="center"/>
              <w:rPr>
                <w:rFonts w:asciiTheme="minorHAnsi" w:hAnsiTheme="minorHAnsi" w:cstheme="minorHAnsi"/>
              </w:rPr>
            </w:pPr>
            <w:r w:rsidRPr="00B05E5E">
              <w:rPr>
                <w:rFonts w:asciiTheme="minorHAnsi" w:hAnsiTheme="minorHAnsi" w:cstheme="minorHAnsi"/>
              </w:rPr>
              <w:t>4</w:t>
            </w:r>
          </w:p>
        </w:tc>
        <w:tc>
          <w:tcPr>
            <w:tcW w:w="3726" w:type="dxa"/>
            <w:tcBorders>
              <w:top w:val="single" w:sz="4" w:space="0" w:color="auto"/>
              <w:left w:val="nil"/>
              <w:bottom w:val="single" w:sz="8" w:space="0" w:color="auto"/>
              <w:right w:val="single" w:sz="8" w:space="0" w:color="auto"/>
            </w:tcBorders>
            <w:noWrap/>
            <w:tcMar>
              <w:top w:w="0" w:type="dxa"/>
              <w:left w:w="70" w:type="dxa"/>
              <w:bottom w:w="0" w:type="dxa"/>
              <w:right w:w="70" w:type="dxa"/>
            </w:tcMar>
          </w:tcPr>
          <w:p w14:paraId="5520C70E" w14:textId="77777777" w:rsidR="008831F9" w:rsidRPr="00B05E5E" w:rsidRDefault="008831F9" w:rsidP="00EA573C">
            <w:pPr>
              <w:numPr>
                <w:ilvl w:val="12"/>
                <w:numId w:val="0"/>
              </w:numPr>
              <w:rPr>
                <w:rFonts w:asciiTheme="minorHAnsi" w:hAnsiTheme="minorHAnsi" w:cstheme="minorHAnsi"/>
              </w:rPr>
            </w:pPr>
            <w:r w:rsidRPr="00B05E5E">
              <w:rPr>
                <w:rFonts w:asciiTheme="minorHAnsi" w:hAnsiTheme="minorHAnsi" w:cstheme="minorHAnsi"/>
              </w:rPr>
              <w:t>Uziarnienie kruszywa</w:t>
            </w:r>
          </w:p>
        </w:tc>
        <w:tc>
          <w:tcPr>
            <w:tcW w:w="4929" w:type="dxa"/>
            <w:tcBorders>
              <w:top w:val="single" w:sz="4" w:space="0" w:color="auto"/>
              <w:left w:val="nil"/>
              <w:bottom w:val="single" w:sz="8" w:space="0" w:color="auto"/>
              <w:right w:val="single" w:sz="8" w:space="0" w:color="auto"/>
            </w:tcBorders>
            <w:noWrap/>
            <w:tcMar>
              <w:top w:w="0" w:type="dxa"/>
              <w:left w:w="70" w:type="dxa"/>
              <w:bottom w:w="0" w:type="dxa"/>
              <w:right w:w="70" w:type="dxa"/>
            </w:tcMar>
          </w:tcPr>
          <w:p w14:paraId="65813A54" w14:textId="77777777" w:rsidR="008831F9" w:rsidRPr="00B05E5E" w:rsidRDefault="008831F9" w:rsidP="00EA573C">
            <w:pPr>
              <w:numPr>
                <w:ilvl w:val="12"/>
                <w:numId w:val="0"/>
              </w:numPr>
              <w:jc w:val="center"/>
              <w:rPr>
                <w:rFonts w:asciiTheme="minorHAnsi" w:hAnsiTheme="minorHAnsi" w:cstheme="minorHAnsi"/>
              </w:rPr>
            </w:pPr>
            <w:r w:rsidRPr="00B05E5E">
              <w:rPr>
                <w:rFonts w:asciiTheme="minorHAnsi" w:hAnsiTheme="minorHAnsi" w:cstheme="minorHAnsi"/>
              </w:rPr>
              <w:t>1 raz na 2000 Mg</w:t>
            </w:r>
          </w:p>
        </w:tc>
      </w:tr>
      <w:tr w:rsidR="008831F9" w:rsidRPr="00B05E5E" w14:paraId="7065C9E7" w14:textId="77777777" w:rsidTr="00EA573C">
        <w:tc>
          <w:tcPr>
            <w:tcW w:w="955" w:type="dxa"/>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tcPr>
          <w:p w14:paraId="1AA54A35" w14:textId="77777777" w:rsidR="008831F9" w:rsidRPr="00B05E5E" w:rsidRDefault="008831F9" w:rsidP="00EA573C">
            <w:pPr>
              <w:numPr>
                <w:ilvl w:val="12"/>
                <w:numId w:val="0"/>
              </w:numPr>
              <w:jc w:val="center"/>
              <w:rPr>
                <w:rFonts w:asciiTheme="minorHAnsi" w:hAnsiTheme="minorHAnsi" w:cstheme="minorHAnsi"/>
              </w:rPr>
            </w:pPr>
            <w:r w:rsidRPr="00B05E5E">
              <w:rPr>
                <w:rFonts w:asciiTheme="minorHAnsi" w:hAnsiTheme="minorHAnsi" w:cstheme="minorHAnsi"/>
              </w:rPr>
              <w:t>5</w:t>
            </w:r>
          </w:p>
        </w:tc>
        <w:tc>
          <w:tcPr>
            <w:tcW w:w="3726" w:type="dxa"/>
            <w:tcBorders>
              <w:top w:val="single" w:sz="8" w:space="0" w:color="auto"/>
              <w:left w:val="nil"/>
              <w:bottom w:val="single" w:sz="8" w:space="0" w:color="auto"/>
              <w:right w:val="single" w:sz="8" w:space="0" w:color="auto"/>
            </w:tcBorders>
            <w:noWrap/>
            <w:tcMar>
              <w:top w:w="0" w:type="dxa"/>
              <w:left w:w="70" w:type="dxa"/>
              <w:bottom w:w="0" w:type="dxa"/>
              <w:right w:w="70" w:type="dxa"/>
            </w:tcMar>
          </w:tcPr>
          <w:p w14:paraId="521C8F7F" w14:textId="77777777" w:rsidR="008831F9" w:rsidRPr="004E54A4" w:rsidRDefault="008831F9" w:rsidP="00EA573C">
            <w:pPr>
              <w:numPr>
                <w:ilvl w:val="12"/>
                <w:numId w:val="0"/>
              </w:numPr>
              <w:rPr>
                <w:rFonts w:asciiTheme="minorHAnsi" w:hAnsiTheme="minorHAnsi" w:cstheme="minorHAnsi"/>
              </w:rPr>
            </w:pPr>
            <w:r w:rsidRPr="004E54A4">
              <w:rPr>
                <w:rFonts w:asciiTheme="minorHAnsi" w:hAnsiTheme="minorHAnsi" w:cstheme="minorHAnsi"/>
              </w:rPr>
              <w:t>Temperatura składników mieszanki mineralno-asfaltowej</w:t>
            </w:r>
          </w:p>
        </w:tc>
        <w:tc>
          <w:tcPr>
            <w:tcW w:w="4929" w:type="dxa"/>
            <w:tcBorders>
              <w:top w:val="single" w:sz="8" w:space="0" w:color="auto"/>
              <w:left w:val="nil"/>
              <w:bottom w:val="single" w:sz="8" w:space="0" w:color="auto"/>
              <w:right w:val="single" w:sz="8" w:space="0" w:color="auto"/>
            </w:tcBorders>
            <w:noWrap/>
            <w:tcMar>
              <w:top w:w="0" w:type="dxa"/>
              <w:left w:w="70" w:type="dxa"/>
              <w:bottom w:w="0" w:type="dxa"/>
              <w:right w:w="70" w:type="dxa"/>
            </w:tcMar>
          </w:tcPr>
          <w:p w14:paraId="2CB9D67A" w14:textId="77777777" w:rsidR="008831F9" w:rsidRPr="00B05E5E" w:rsidRDefault="008831F9" w:rsidP="00EA573C">
            <w:pPr>
              <w:numPr>
                <w:ilvl w:val="12"/>
                <w:numId w:val="0"/>
              </w:numPr>
              <w:jc w:val="center"/>
              <w:rPr>
                <w:rFonts w:asciiTheme="minorHAnsi" w:hAnsiTheme="minorHAnsi" w:cstheme="minorHAnsi"/>
              </w:rPr>
            </w:pPr>
            <w:r w:rsidRPr="00B05E5E">
              <w:rPr>
                <w:rFonts w:asciiTheme="minorHAnsi" w:hAnsiTheme="minorHAnsi" w:cstheme="minorHAnsi"/>
              </w:rPr>
              <w:t>dozór ciągły</w:t>
            </w:r>
          </w:p>
        </w:tc>
      </w:tr>
      <w:tr w:rsidR="008831F9" w:rsidRPr="00E96860" w14:paraId="0FFD5C79" w14:textId="77777777" w:rsidTr="00EA573C">
        <w:tc>
          <w:tcPr>
            <w:tcW w:w="955" w:type="dxa"/>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tcPr>
          <w:p w14:paraId="0BFF9CFB" w14:textId="77777777" w:rsidR="008831F9" w:rsidRPr="00B05E5E" w:rsidRDefault="008831F9" w:rsidP="00EA573C">
            <w:pPr>
              <w:numPr>
                <w:ilvl w:val="12"/>
                <w:numId w:val="0"/>
              </w:numPr>
              <w:jc w:val="center"/>
              <w:rPr>
                <w:rFonts w:asciiTheme="minorHAnsi" w:hAnsiTheme="minorHAnsi" w:cstheme="minorHAnsi"/>
              </w:rPr>
            </w:pPr>
            <w:r w:rsidRPr="00B05E5E">
              <w:rPr>
                <w:rFonts w:asciiTheme="minorHAnsi" w:hAnsiTheme="minorHAnsi" w:cstheme="minorHAnsi"/>
              </w:rPr>
              <w:t>6</w:t>
            </w:r>
          </w:p>
        </w:tc>
        <w:tc>
          <w:tcPr>
            <w:tcW w:w="3726" w:type="dxa"/>
            <w:tcBorders>
              <w:top w:val="single" w:sz="8" w:space="0" w:color="auto"/>
              <w:left w:val="nil"/>
              <w:bottom w:val="single" w:sz="8" w:space="0" w:color="auto"/>
              <w:right w:val="single" w:sz="8" w:space="0" w:color="auto"/>
            </w:tcBorders>
            <w:noWrap/>
            <w:tcMar>
              <w:top w:w="0" w:type="dxa"/>
              <w:left w:w="70" w:type="dxa"/>
              <w:bottom w:w="0" w:type="dxa"/>
              <w:right w:w="70" w:type="dxa"/>
            </w:tcMar>
          </w:tcPr>
          <w:p w14:paraId="6835F89C" w14:textId="77777777" w:rsidR="008831F9" w:rsidRPr="00B05E5E" w:rsidRDefault="008831F9" w:rsidP="00EA573C">
            <w:pPr>
              <w:numPr>
                <w:ilvl w:val="12"/>
                <w:numId w:val="0"/>
              </w:numPr>
              <w:rPr>
                <w:rFonts w:asciiTheme="minorHAnsi" w:hAnsiTheme="minorHAnsi" w:cstheme="minorHAnsi"/>
              </w:rPr>
            </w:pPr>
            <w:r w:rsidRPr="00B05E5E">
              <w:rPr>
                <w:rFonts w:asciiTheme="minorHAnsi" w:hAnsiTheme="minorHAnsi" w:cstheme="minorHAnsi"/>
              </w:rPr>
              <w:t>Temperatura mieszanki mineralno-asfaltowej</w:t>
            </w:r>
          </w:p>
        </w:tc>
        <w:tc>
          <w:tcPr>
            <w:tcW w:w="4929" w:type="dxa"/>
            <w:tcBorders>
              <w:top w:val="single" w:sz="8" w:space="0" w:color="auto"/>
              <w:left w:val="nil"/>
              <w:bottom w:val="single" w:sz="8" w:space="0" w:color="auto"/>
              <w:right w:val="single" w:sz="8" w:space="0" w:color="auto"/>
            </w:tcBorders>
            <w:noWrap/>
            <w:tcMar>
              <w:top w:w="0" w:type="dxa"/>
              <w:left w:w="70" w:type="dxa"/>
              <w:bottom w:w="0" w:type="dxa"/>
              <w:right w:w="70" w:type="dxa"/>
            </w:tcMar>
          </w:tcPr>
          <w:p w14:paraId="798F780C" w14:textId="77777777" w:rsidR="008831F9" w:rsidRPr="004E54A4" w:rsidRDefault="008831F9" w:rsidP="00EA573C">
            <w:pPr>
              <w:numPr>
                <w:ilvl w:val="12"/>
                <w:numId w:val="0"/>
              </w:numPr>
              <w:jc w:val="center"/>
              <w:rPr>
                <w:rFonts w:asciiTheme="minorHAnsi" w:hAnsiTheme="minorHAnsi" w:cstheme="minorHAnsi"/>
              </w:rPr>
            </w:pPr>
            <w:r w:rsidRPr="004E54A4">
              <w:rPr>
                <w:rFonts w:asciiTheme="minorHAnsi" w:hAnsiTheme="minorHAnsi" w:cstheme="minorHAnsi"/>
              </w:rPr>
              <w:t>każdy pojazd przy załadunku i w czasie wbudowywania</w:t>
            </w:r>
          </w:p>
        </w:tc>
      </w:tr>
      <w:tr w:rsidR="008831F9" w:rsidRPr="00E96860" w14:paraId="331ACC9D" w14:textId="77777777" w:rsidTr="00EA573C">
        <w:tc>
          <w:tcPr>
            <w:tcW w:w="955" w:type="dxa"/>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tcPr>
          <w:p w14:paraId="05D14808" w14:textId="77777777" w:rsidR="008831F9" w:rsidRPr="00B05E5E" w:rsidRDefault="008831F9" w:rsidP="00EA573C">
            <w:pPr>
              <w:numPr>
                <w:ilvl w:val="12"/>
                <w:numId w:val="0"/>
              </w:numPr>
              <w:jc w:val="center"/>
              <w:rPr>
                <w:rFonts w:asciiTheme="minorHAnsi" w:hAnsiTheme="minorHAnsi" w:cstheme="minorHAnsi"/>
              </w:rPr>
            </w:pPr>
            <w:r>
              <w:rPr>
                <w:rFonts w:asciiTheme="minorHAnsi" w:hAnsiTheme="minorHAnsi" w:cstheme="minorHAnsi"/>
              </w:rPr>
              <w:t>7</w:t>
            </w:r>
          </w:p>
        </w:tc>
        <w:tc>
          <w:tcPr>
            <w:tcW w:w="3726" w:type="dxa"/>
            <w:tcBorders>
              <w:top w:val="single" w:sz="8" w:space="0" w:color="auto"/>
              <w:left w:val="nil"/>
              <w:bottom w:val="single" w:sz="8" w:space="0" w:color="auto"/>
              <w:right w:val="single" w:sz="8" w:space="0" w:color="auto"/>
            </w:tcBorders>
            <w:noWrap/>
            <w:tcMar>
              <w:top w:w="0" w:type="dxa"/>
              <w:left w:w="70" w:type="dxa"/>
              <w:bottom w:w="0" w:type="dxa"/>
              <w:right w:w="70" w:type="dxa"/>
            </w:tcMar>
          </w:tcPr>
          <w:p w14:paraId="48C5059D" w14:textId="77777777" w:rsidR="008831F9" w:rsidRPr="00B05E5E" w:rsidRDefault="008831F9" w:rsidP="00EA573C">
            <w:pPr>
              <w:rPr>
                <w:rFonts w:asciiTheme="minorHAnsi" w:hAnsiTheme="minorHAnsi" w:cstheme="minorHAnsi"/>
              </w:rPr>
            </w:pPr>
            <w:r w:rsidRPr="00B05E5E">
              <w:rPr>
                <w:rFonts w:asciiTheme="minorHAnsi" w:hAnsiTheme="minorHAnsi" w:cstheme="minorHAnsi"/>
              </w:rPr>
              <w:t>Zawartość wolnych przestrzeni</w:t>
            </w:r>
          </w:p>
        </w:tc>
        <w:tc>
          <w:tcPr>
            <w:tcW w:w="4929" w:type="dxa"/>
            <w:tcBorders>
              <w:top w:val="single" w:sz="8" w:space="0" w:color="auto"/>
              <w:left w:val="nil"/>
              <w:bottom w:val="single" w:sz="8" w:space="0" w:color="auto"/>
              <w:right w:val="single" w:sz="8" w:space="0" w:color="auto"/>
            </w:tcBorders>
            <w:noWrap/>
            <w:tcMar>
              <w:top w:w="0" w:type="dxa"/>
              <w:left w:w="70" w:type="dxa"/>
              <w:bottom w:w="0" w:type="dxa"/>
              <w:right w:w="70" w:type="dxa"/>
            </w:tcMar>
          </w:tcPr>
          <w:p w14:paraId="49754667" w14:textId="77777777" w:rsidR="008831F9" w:rsidRPr="004E54A4" w:rsidRDefault="008831F9" w:rsidP="00EA573C">
            <w:pPr>
              <w:rPr>
                <w:rFonts w:asciiTheme="minorHAnsi" w:hAnsiTheme="minorHAnsi" w:cstheme="minorHAnsi"/>
                <w:vertAlign w:val="superscript"/>
              </w:rPr>
            </w:pPr>
            <w:r w:rsidRPr="004E54A4">
              <w:rPr>
                <w:rFonts w:asciiTheme="minorHAnsi" w:hAnsiTheme="minorHAnsi" w:cstheme="minorHAnsi"/>
              </w:rPr>
              <w:t>Nie rzadziej niż raz na 3000Mg</w:t>
            </w:r>
          </w:p>
        </w:tc>
      </w:tr>
      <w:tr w:rsidR="008831F9" w:rsidRPr="00B05E5E" w14:paraId="332F3DD2" w14:textId="77777777" w:rsidTr="00EA573C">
        <w:tc>
          <w:tcPr>
            <w:tcW w:w="955" w:type="dxa"/>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tcPr>
          <w:p w14:paraId="26286BCB" w14:textId="77777777" w:rsidR="008831F9" w:rsidRPr="00B05E5E" w:rsidRDefault="008831F9" w:rsidP="00EA573C">
            <w:pPr>
              <w:numPr>
                <w:ilvl w:val="12"/>
                <w:numId w:val="0"/>
              </w:numPr>
              <w:jc w:val="center"/>
              <w:rPr>
                <w:rFonts w:asciiTheme="minorHAnsi" w:hAnsiTheme="minorHAnsi" w:cstheme="minorHAnsi"/>
              </w:rPr>
            </w:pPr>
            <w:r>
              <w:rPr>
                <w:rFonts w:asciiTheme="minorHAnsi" w:hAnsiTheme="minorHAnsi" w:cstheme="minorHAnsi"/>
              </w:rPr>
              <w:t>8</w:t>
            </w:r>
          </w:p>
        </w:tc>
        <w:tc>
          <w:tcPr>
            <w:tcW w:w="3726" w:type="dxa"/>
            <w:tcBorders>
              <w:top w:val="single" w:sz="8" w:space="0" w:color="auto"/>
              <w:left w:val="nil"/>
              <w:bottom w:val="single" w:sz="8" w:space="0" w:color="auto"/>
              <w:right w:val="single" w:sz="8" w:space="0" w:color="auto"/>
            </w:tcBorders>
            <w:noWrap/>
            <w:tcMar>
              <w:top w:w="0" w:type="dxa"/>
              <w:left w:w="70" w:type="dxa"/>
              <w:bottom w:w="0" w:type="dxa"/>
              <w:right w:w="70" w:type="dxa"/>
            </w:tcMar>
          </w:tcPr>
          <w:p w14:paraId="77BC0C88" w14:textId="77777777" w:rsidR="008831F9" w:rsidRPr="004E54A4" w:rsidRDefault="008831F9" w:rsidP="00EA573C">
            <w:pPr>
              <w:rPr>
                <w:rFonts w:asciiTheme="minorHAnsi" w:hAnsiTheme="minorHAnsi" w:cstheme="minorHAnsi"/>
              </w:rPr>
            </w:pPr>
            <w:r w:rsidRPr="004E54A4">
              <w:rPr>
                <w:rFonts w:asciiTheme="minorHAnsi" w:hAnsiTheme="minorHAnsi" w:cstheme="minorHAnsi"/>
              </w:rPr>
              <w:t>Grubość i wskaźnik zagęszczenia warstwy, wolna przestrzeń w warstwie</w:t>
            </w:r>
          </w:p>
        </w:tc>
        <w:tc>
          <w:tcPr>
            <w:tcW w:w="4929" w:type="dxa"/>
            <w:tcBorders>
              <w:top w:val="single" w:sz="8" w:space="0" w:color="auto"/>
              <w:left w:val="nil"/>
              <w:bottom w:val="single" w:sz="8" w:space="0" w:color="auto"/>
              <w:right w:val="single" w:sz="8" w:space="0" w:color="auto"/>
            </w:tcBorders>
            <w:noWrap/>
            <w:tcMar>
              <w:top w:w="0" w:type="dxa"/>
              <w:left w:w="70" w:type="dxa"/>
              <w:bottom w:w="0" w:type="dxa"/>
              <w:right w:w="70" w:type="dxa"/>
            </w:tcMar>
          </w:tcPr>
          <w:p w14:paraId="0439A9AE" w14:textId="77777777" w:rsidR="008831F9" w:rsidRPr="00B05E5E" w:rsidRDefault="008831F9" w:rsidP="00EA573C">
            <w:pPr>
              <w:rPr>
                <w:rFonts w:asciiTheme="minorHAnsi" w:hAnsiTheme="minorHAnsi" w:cstheme="minorHAnsi"/>
              </w:rPr>
            </w:pPr>
            <w:r w:rsidRPr="00B05E5E">
              <w:rPr>
                <w:rFonts w:asciiTheme="minorHAnsi" w:hAnsiTheme="minorHAnsi" w:cstheme="minorHAnsi"/>
              </w:rPr>
              <w:t>2 próbki na 1 km jezdni</w:t>
            </w:r>
          </w:p>
        </w:tc>
      </w:tr>
    </w:tbl>
    <w:p w14:paraId="36637150" w14:textId="77777777" w:rsidR="008831F9" w:rsidRPr="00B05E5E" w:rsidRDefault="008831F9" w:rsidP="008831F9">
      <w:pPr>
        <w:pStyle w:val="tekstost"/>
        <w:rPr>
          <w:rFonts w:asciiTheme="minorHAnsi" w:hAnsiTheme="minorHAnsi" w:cstheme="minorHAnsi"/>
          <w:b/>
        </w:rPr>
      </w:pPr>
      <w:r w:rsidRPr="00B05E5E">
        <w:rPr>
          <w:rFonts w:asciiTheme="minorHAnsi" w:hAnsiTheme="minorHAnsi" w:cstheme="minorHAnsi"/>
          <w:b/>
        </w:rPr>
        <w:t>6.3.4 Skład i uziarnienie mieszanek</w:t>
      </w:r>
    </w:p>
    <w:p w14:paraId="1FFEE39B" w14:textId="77777777" w:rsidR="008831F9" w:rsidRPr="00B05E5E" w:rsidRDefault="008831F9" w:rsidP="008831F9">
      <w:pPr>
        <w:pStyle w:val="tekstost"/>
        <w:numPr>
          <w:ilvl w:val="12"/>
          <w:numId w:val="0"/>
        </w:numPr>
        <w:rPr>
          <w:rFonts w:asciiTheme="minorHAnsi" w:hAnsiTheme="minorHAnsi" w:cstheme="minorHAnsi"/>
        </w:rPr>
      </w:pPr>
      <w:r w:rsidRPr="00B05E5E">
        <w:rPr>
          <w:rFonts w:asciiTheme="minorHAnsi" w:hAnsiTheme="minorHAnsi" w:cstheme="minorHAnsi"/>
        </w:rPr>
        <w:t>Uziarnienie próbki pobranej  w wytwórni  nie może odbiegać od wartości projektowanej z uwzględnieniem dopuszczalnych odchyleń zawartych wg PN-EN 13108-21</w:t>
      </w:r>
    </w:p>
    <w:p w14:paraId="106E671C" w14:textId="77777777" w:rsidR="008831F9" w:rsidRPr="00B05E5E" w:rsidRDefault="008831F9" w:rsidP="008831F9">
      <w:pPr>
        <w:pStyle w:val="tekstost"/>
        <w:numPr>
          <w:ilvl w:val="12"/>
          <w:numId w:val="0"/>
        </w:numPr>
        <w:rPr>
          <w:rFonts w:asciiTheme="minorHAnsi" w:hAnsiTheme="minorHAnsi" w:cstheme="minorHAnsi"/>
          <w:b/>
        </w:rPr>
      </w:pPr>
      <w:r w:rsidRPr="00B05E5E">
        <w:rPr>
          <w:rFonts w:asciiTheme="minorHAnsi" w:hAnsiTheme="minorHAnsi" w:cstheme="minorHAnsi"/>
          <w:b/>
        </w:rPr>
        <w:t>6.3.5 Badanie właściwości asfaltu</w:t>
      </w:r>
    </w:p>
    <w:p w14:paraId="767660AE" w14:textId="77777777" w:rsidR="008831F9" w:rsidRPr="00B05E5E" w:rsidRDefault="008831F9" w:rsidP="008831F9">
      <w:pPr>
        <w:pStyle w:val="tekstost"/>
        <w:numPr>
          <w:ilvl w:val="12"/>
          <w:numId w:val="0"/>
        </w:numPr>
        <w:rPr>
          <w:rFonts w:asciiTheme="minorHAnsi" w:hAnsiTheme="minorHAnsi" w:cstheme="minorHAnsi"/>
        </w:rPr>
      </w:pPr>
      <w:r w:rsidRPr="00B05E5E">
        <w:rPr>
          <w:rFonts w:asciiTheme="minorHAnsi" w:hAnsiTheme="minorHAnsi" w:cstheme="minorHAnsi"/>
        </w:rPr>
        <w:t xml:space="preserve">Zawartość lepiszcza w próbce wg WT2 :2014 </w:t>
      </w:r>
    </w:p>
    <w:p w14:paraId="3667E64D" w14:textId="77777777" w:rsidR="008831F9" w:rsidRPr="00B05E5E" w:rsidRDefault="008831F9" w:rsidP="008831F9">
      <w:pPr>
        <w:pStyle w:val="tekstost"/>
        <w:rPr>
          <w:rFonts w:asciiTheme="minorHAnsi" w:hAnsiTheme="minorHAnsi" w:cstheme="minorHAnsi"/>
          <w:b/>
          <w:i/>
          <w:iCs/>
        </w:rPr>
      </w:pPr>
      <w:r w:rsidRPr="00B05E5E">
        <w:rPr>
          <w:rFonts w:asciiTheme="minorHAnsi" w:hAnsiTheme="minorHAnsi" w:cstheme="minorHAnsi"/>
          <w:b/>
        </w:rPr>
        <w:t>6.3.6 Pomiar temperatury mieszanki</w:t>
      </w:r>
      <w:r w:rsidRPr="00B05E5E">
        <w:rPr>
          <w:rFonts w:asciiTheme="minorHAnsi" w:hAnsiTheme="minorHAnsi" w:cstheme="minorHAnsi"/>
          <w:b/>
          <w:i/>
          <w:iCs/>
        </w:rPr>
        <w:t xml:space="preserve"> </w:t>
      </w:r>
    </w:p>
    <w:p w14:paraId="4AFAF1D0" w14:textId="77777777" w:rsidR="008831F9" w:rsidRPr="00B05E5E" w:rsidRDefault="008831F9" w:rsidP="008831F9">
      <w:pPr>
        <w:pStyle w:val="tekstost"/>
        <w:numPr>
          <w:ilvl w:val="12"/>
          <w:numId w:val="0"/>
        </w:numPr>
        <w:rPr>
          <w:rFonts w:asciiTheme="minorHAnsi" w:hAnsiTheme="minorHAnsi" w:cstheme="minorHAnsi"/>
        </w:rPr>
      </w:pPr>
      <w:r w:rsidRPr="00B05E5E">
        <w:rPr>
          <w:rFonts w:asciiTheme="minorHAnsi" w:hAnsiTheme="minorHAnsi" w:cstheme="minorHAnsi"/>
        </w:rPr>
        <w:t xml:space="preserve">Pomiar temperatury mieszanek powinien być dokonany przy załadunku i w czasie wbudowywania w nawierzchnię. Pomiar należy wykonać przy użyciu termometru  z dokładnością  </w:t>
      </w:r>
      <w:r w:rsidRPr="00B05E5E">
        <w:rPr>
          <w:rFonts w:asciiTheme="minorHAnsi" w:hAnsiTheme="minorHAnsi" w:cstheme="minorHAnsi"/>
        </w:rPr>
        <w:sym w:font="Symbol" w:char="F0B1"/>
      </w:r>
      <w:r w:rsidRPr="00B05E5E">
        <w:rPr>
          <w:rFonts w:asciiTheme="minorHAnsi" w:hAnsiTheme="minorHAnsi" w:cstheme="minorHAnsi"/>
        </w:rPr>
        <w:t xml:space="preserve"> 2</w:t>
      </w:r>
      <w:r w:rsidRPr="00B05E5E">
        <w:rPr>
          <w:rFonts w:asciiTheme="minorHAnsi" w:hAnsiTheme="minorHAnsi" w:cstheme="minorHAnsi"/>
          <w:vertAlign w:val="superscript"/>
        </w:rPr>
        <w:t>o</w:t>
      </w:r>
      <w:r w:rsidRPr="00B05E5E">
        <w:rPr>
          <w:rFonts w:asciiTheme="minorHAnsi" w:hAnsiTheme="minorHAnsi" w:cstheme="minorHAnsi"/>
        </w:rPr>
        <w:t>C.</w:t>
      </w:r>
    </w:p>
    <w:p w14:paraId="181B8A3D" w14:textId="77777777" w:rsidR="008831F9" w:rsidRPr="00B05E5E" w:rsidRDefault="008831F9" w:rsidP="008831F9">
      <w:pPr>
        <w:pStyle w:val="tekstost"/>
        <w:rPr>
          <w:rFonts w:asciiTheme="minorHAnsi" w:hAnsiTheme="minorHAnsi" w:cstheme="minorHAnsi"/>
          <w:b/>
        </w:rPr>
      </w:pPr>
      <w:r w:rsidRPr="00B05E5E">
        <w:rPr>
          <w:rFonts w:asciiTheme="minorHAnsi" w:hAnsiTheme="minorHAnsi" w:cstheme="minorHAnsi"/>
          <w:b/>
        </w:rPr>
        <w:t>6.3.</w:t>
      </w:r>
      <w:r>
        <w:rPr>
          <w:rFonts w:asciiTheme="minorHAnsi" w:hAnsiTheme="minorHAnsi" w:cstheme="minorHAnsi"/>
          <w:b/>
        </w:rPr>
        <w:t>7</w:t>
      </w:r>
      <w:r w:rsidRPr="00B05E5E">
        <w:rPr>
          <w:rFonts w:asciiTheme="minorHAnsi" w:hAnsiTheme="minorHAnsi" w:cstheme="minorHAnsi"/>
          <w:b/>
        </w:rPr>
        <w:t xml:space="preserve">.Właściwości mieszanki </w:t>
      </w:r>
    </w:p>
    <w:p w14:paraId="7392F92F" w14:textId="77777777" w:rsidR="008831F9" w:rsidRPr="00B05E5E" w:rsidRDefault="008831F9" w:rsidP="008831F9">
      <w:pPr>
        <w:pStyle w:val="tekstost"/>
        <w:tabs>
          <w:tab w:val="left" w:pos="6770"/>
        </w:tabs>
        <w:rPr>
          <w:rFonts w:asciiTheme="minorHAnsi" w:hAnsiTheme="minorHAnsi" w:cstheme="minorHAnsi"/>
        </w:rPr>
      </w:pPr>
      <w:r w:rsidRPr="00B05E5E">
        <w:rPr>
          <w:rFonts w:asciiTheme="minorHAnsi" w:hAnsiTheme="minorHAnsi" w:cstheme="minorHAnsi"/>
        </w:rPr>
        <w:t>Należy określać wolną przestrzeń na próbkach zagęszczonych metodą Marshalla. Wyniki powinny być zgodne z wymogami zawartymi WT2:201</w:t>
      </w:r>
      <w:r>
        <w:rPr>
          <w:rFonts w:asciiTheme="minorHAnsi" w:hAnsiTheme="minorHAnsi" w:cstheme="minorHAnsi"/>
        </w:rPr>
        <w:t>6</w:t>
      </w:r>
      <w:r w:rsidRPr="003C29E3">
        <w:rPr>
          <w:rFonts w:asciiTheme="minorHAnsi" w:hAnsiTheme="minorHAnsi" w:cstheme="minorHAnsi"/>
        </w:rPr>
        <w:t>-część II</w:t>
      </w:r>
      <w:r>
        <w:rPr>
          <w:rFonts w:asciiTheme="minorHAnsi" w:hAnsiTheme="minorHAnsi" w:cstheme="minorHAnsi"/>
        </w:rPr>
        <w:t>.</w:t>
      </w:r>
    </w:p>
    <w:p w14:paraId="686E74A9" w14:textId="77777777" w:rsidR="008831F9" w:rsidRPr="004E54A4" w:rsidRDefault="008831F9" w:rsidP="008831F9">
      <w:pPr>
        <w:pStyle w:val="Nagwek4"/>
      </w:pPr>
      <w:r w:rsidRPr="004E54A4">
        <w:t xml:space="preserve">6.4.Badania dotyczące cech geometrycznych i właściwości nawierzchni z mieszanki </w:t>
      </w:r>
    </w:p>
    <w:p w14:paraId="707E6982" w14:textId="77777777" w:rsidR="008831F9" w:rsidRDefault="008831F9" w:rsidP="008831F9">
      <w:pPr>
        <w:pStyle w:val="tekstost"/>
        <w:rPr>
          <w:rFonts w:asciiTheme="minorHAnsi" w:hAnsiTheme="minorHAnsi" w:cstheme="minorHAnsi"/>
        </w:rPr>
      </w:pPr>
    </w:p>
    <w:p w14:paraId="3CA29291" w14:textId="77777777" w:rsidR="008831F9" w:rsidRPr="00B05E5E" w:rsidRDefault="008831F9" w:rsidP="008831F9">
      <w:pPr>
        <w:pStyle w:val="tekstost"/>
        <w:rPr>
          <w:rFonts w:asciiTheme="minorHAnsi" w:hAnsiTheme="minorHAnsi" w:cstheme="minorHAnsi"/>
          <w:b/>
        </w:rPr>
      </w:pPr>
      <w:r w:rsidRPr="00B05E5E">
        <w:rPr>
          <w:rFonts w:asciiTheme="minorHAnsi" w:hAnsiTheme="minorHAnsi" w:cstheme="minorHAnsi"/>
          <w:b/>
        </w:rPr>
        <w:t xml:space="preserve">6.4.1  Częstotliwość oraz zakres badań i pomiarów mieszanki AC </w:t>
      </w:r>
    </w:p>
    <w:p w14:paraId="43DDA5B5" w14:textId="77777777" w:rsidR="008831F9" w:rsidRPr="00B05E5E" w:rsidRDefault="008831F9" w:rsidP="008831F9">
      <w:pPr>
        <w:pStyle w:val="tekstost"/>
        <w:rPr>
          <w:rFonts w:asciiTheme="minorHAnsi" w:hAnsiTheme="minorHAnsi" w:cstheme="minorHAnsi"/>
        </w:rPr>
      </w:pPr>
      <w:r w:rsidRPr="00B05E5E">
        <w:rPr>
          <w:rFonts w:asciiTheme="minorHAnsi" w:hAnsiTheme="minorHAnsi" w:cstheme="minorHAnsi"/>
        </w:rPr>
        <w:t>Tablica 9</w:t>
      </w:r>
    </w:p>
    <w:tbl>
      <w:tblPr>
        <w:tblW w:w="9214" w:type="dxa"/>
        <w:tblInd w:w="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88"/>
        <w:gridCol w:w="2768"/>
        <w:gridCol w:w="3726"/>
        <w:gridCol w:w="2232"/>
      </w:tblGrid>
      <w:tr w:rsidR="008831F9" w:rsidRPr="00E96860" w14:paraId="5A01BC3A" w14:textId="77777777" w:rsidTr="00EA573C">
        <w:tc>
          <w:tcPr>
            <w:tcW w:w="488" w:type="dxa"/>
            <w:tcBorders>
              <w:bottom w:val="double" w:sz="6" w:space="0" w:color="auto"/>
            </w:tcBorders>
          </w:tcPr>
          <w:p w14:paraId="292AF336" w14:textId="77777777" w:rsidR="008831F9" w:rsidRPr="00B05E5E" w:rsidRDefault="008831F9" w:rsidP="00EA573C">
            <w:pPr>
              <w:pStyle w:val="tekstost"/>
              <w:numPr>
                <w:ilvl w:val="12"/>
                <w:numId w:val="0"/>
              </w:numPr>
              <w:jc w:val="center"/>
              <w:rPr>
                <w:rFonts w:asciiTheme="minorHAnsi" w:hAnsiTheme="minorHAnsi" w:cstheme="minorHAnsi"/>
              </w:rPr>
            </w:pPr>
            <w:r w:rsidRPr="00B05E5E">
              <w:rPr>
                <w:rFonts w:asciiTheme="minorHAnsi" w:hAnsiTheme="minorHAnsi" w:cstheme="minorHAnsi"/>
              </w:rPr>
              <w:t>Lp.</w:t>
            </w:r>
          </w:p>
        </w:tc>
        <w:tc>
          <w:tcPr>
            <w:tcW w:w="2768" w:type="dxa"/>
            <w:tcBorders>
              <w:bottom w:val="double" w:sz="6" w:space="0" w:color="auto"/>
            </w:tcBorders>
          </w:tcPr>
          <w:p w14:paraId="6FC12C04" w14:textId="77777777" w:rsidR="008831F9" w:rsidRPr="00B05E5E" w:rsidRDefault="008831F9" w:rsidP="00EA573C">
            <w:pPr>
              <w:pStyle w:val="tekstost"/>
              <w:numPr>
                <w:ilvl w:val="12"/>
                <w:numId w:val="0"/>
              </w:numPr>
              <w:jc w:val="center"/>
              <w:rPr>
                <w:rFonts w:asciiTheme="minorHAnsi" w:hAnsiTheme="minorHAnsi" w:cstheme="minorHAnsi"/>
              </w:rPr>
            </w:pPr>
            <w:r w:rsidRPr="00B05E5E">
              <w:rPr>
                <w:rFonts w:asciiTheme="minorHAnsi" w:hAnsiTheme="minorHAnsi" w:cstheme="minorHAnsi"/>
              </w:rPr>
              <w:t>Wyszczególnienie badań</w:t>
            </w:r>
          </w:p>
        </w:tc>
        <w:tc>
          <w:tcPr>
            <w:tcW w:w="3726" w:type="dxa"/>
            <w:tcBorders>
              <w:bottom w:val="double" w:sz="6" w:space="0" w:color="auto"/>
            </w:tcBorders>
          </w:tcPr>
          <w:p w14:paraId="60C287A4" w14:textId="77777777" w:rsidR="008831F9" w:rsidRPr="00B05E5E" w:rsidRDefault="008831F9" w:rsidP="00EA573C">
            <w:pPr>
              <w:pStyle w:val="tekstost"/>
              <w:numPr>
                <w:ilvl w:val="12"/>
                <w:numId w:val="0"/>
              </w:numPr>
              <w:jc w:val="center"/>
              <w:rPr>
                <w:rFonts w:asciiTheme="minorHAnsi" w:hAnsiTheme="minorHAnsi" w:cstheme="minorHAnsi"/>
              </w:rPr>
            </w:pPr>
            <w:r w:rsidRPr="00B05E5E">
              <w:rPr>
                <w:rFonts w:asciiTheme="minorHAnsi" w:hAnsiTheme="minorHAnsi" w:cstheme="minorHAnsi"/>
              </w:rPr>
              <w:t>Minimalna częstotliwość badań i pomiarów</w:t>
            </w:r>
          </w:p>
        </w:tc>
        <w:tc>
          <w:tcPr>
            <w:tcW w:w="2232" w:type="dxa"/>
            <w:tcBorders>
              <w:bottom w:val="double" w:sz="6" w:space="0" w:color="auto"/>
            </w:tcBorders>
          </w:tcPr>
          <w:p w14:paraId="21DA97E4" w14:textId="77777777" w:rsidR="008831F9" w:rsidRPr="00B05E5E" w:rsidRDefault="008831F9" w:rsidP="00EA573C">
            <w:pPr>
              <w:pStyle w:val="tekstost"/>
              <w:numPr>
                <w:ilvl w:val="12"/>
                <w:numId w:val="0"/>
              </w:numPr>
              <w:jc w:val="center"/>
              <w:rPr>
                <w:rFonts w:asciiTheme="minorHAnsi" w:hAnsiTheme="minorHAnsi" w:cstheme="minorHAnsi"/>
              </w:rPr>
            </w:pPr>
          </w:p>
        </w:tc>
      </w:tr>
      <w:tr w:rsidR="008831F9" w:rsidRPr="00E96860" w14:paraId="6F9E9681" w14:textId="77777777" w:rsidTr="00EA573C">
        <w:tc>
          <w:tcPr>
            <w:tcW w:w="488" w:type="dxa"/>
            <w:tcBorders>
              <w:top w:val="nil"/>
            </w:tcBorders>
          </w:tcPr>
          <w:p w14:paraId="0F9ED1F8" w14:textId="77777777" w:rsidR="008831F9" w:rsidRPr="00B05E5E" w:rsidRDefault="008831F9" w:rsidP="00EA573C">
            <w:pPr>
              <w:pStyle w:val="tekstost"/>
              <w:numPr>
                <w:ilvl w:val="12"/>
                <w:numId w:val="0"/>
              </w:numPr>
              <w:jc w:val="center"/>
              <w:rPr>
                <w:rFonts w:asciiTheme="minorHAnsi" w:hAnsiTheme="minorHAnsi" w:cstheme="minorHAnsi"/>
              </w:rPr>
            </w:pPr>
            <w:r w:rsidRPr="00B05E5E">
              <w:rPr>
                <w:rFonts w:asciiTheme="minorHAnsi" w:hAnsiTheme="minorHAnsi" w:cstheme="minorHAnsi"/>
              </w:rPr>
              <w:t>1</w:t>
            </w:r>
          </w:p>
        </w:tc>
        <w:tc>
          <w:tcPr>
            <w:tcW w:w="2768" w:type="dxa"/>
            <w:tcBorders>
              <w:top w:val="nil"/>
            </w:tcBorders>
          </w:tcPr>
          <w:p w14:paraId="5AE9C2DA" w14:textId="77777777" w:rsidR="008831F9" w:rsidRPr="00B05E5E" w:rsidRDefault="008831F9" w:rsidP="00EA573C">
            <w:pPr>
              <w:pStyle w:val="tekstost"/>
              <w:numPr>
                <w:ilvl w:val="12"/>
                <w:numId w:val="0"/>
              </w:numPr>
              <w:rPr>
                <w:rFonts w:asciiTheme="minorHAnsi" w:hAnsiTheme="minorHAnsi" w:cstheme="minorHAnsi"/>
              </w:rPr>
            </w:pPr>
            <w:r w:rsidRPr="00B05E5E">
              <w:rPr>
                <w:rFonts w:asciiTheme="minorHAnsi" w:hAnsiTheme="minorHAnsi" w:cstheme="minorHAnsi"/>
              </w:rPr>
              <w:t>Szerokość warstwy</w:t>
            </w:r>
          </w:p>
          <w:p w14:paraId="54E50208" w14:textId="77777777" w:rsidR="008831F9" w:rsidRPr="00B05E5E" w:rsidRDefault="008831F9" w:rsidP="00EA573C">
            <w:pPr>
              <w:pStyle w:val="tekstost"/>
              <w:numPr>
                <w:ilvl w:val="12"/>
                <w:numId w:val="0"/>
              </w:numPr>
              <w:rPr>
                <w:rFonts w:asciiTheme="minorHAnsi" w:hAnsiTheme="minorHAnsi" w:cstheme="minorHAnsi"/>
              </w:rPr>
            </w:pPr>
          </w:p>
          <w:p w14:paraId="708BC8C4" w14:textId="77777777" w:rsidR="008831F9" w:rsidRPr="00B05E5E" w:rsidRDefault="008831F9" w:rsidP="00EA573C">
            <w:pPr>
              <w:pStyle w:val="tekstost"/>
              <w:numPr>
                <w:ilvl w:val="12"/>
                <w:numId w:val="0"/>
              </w:numPr>
              <w:rPr>
                <w:rFonts w:asciiTheme="minorHAnsi" w:hAnsiTheme="minorHAnsi" w:cstheme="minorHAnsi"/>
              </w:rPr>
            </w:pPr>
          </w:p>
          <w:p w14:paraId="3DA1FB91" w14:textId="77777777" w:rsidR="008831F9" w:rsidRPr="00B05E5E" w:rsidRDefault="008831F9" w:rsidP="00EA573C">
            <w:pPr>
              <w:pStyle w:val="tekstost"/>
              <w:numPr>
                <w:ilvl w:val="12"/>
                <w:numId w:val="0"/>
              </w:numPr>
              <w:rPr>
                <w:rFonts w:asciiTheme="minorHAnsi" w:hAnsiTheme="minorHAnsi" w:cstheme="minorHAnsi"/>
              </w:rPr>
            </w:pPr>
          </w:p>
          <w:p w14:paraId="0A3CC6F7" w14:textId="77777777" w:rsidR="008831F9" w:rsidRPr="00B05E5E" w:rsidRDefault="008831F9" w:rsidP="00EA573C">
            <w:pPr>
              <w:pStyle w:val="tekstost"/>
              <w:numPr>
                <w:ilvl w:val="12"/>
                <w:numId w:val="0"/>
              </w:numPr>
              <w:rPr>
                <w:rFonts w:asciiTheme="minorHAnsi" w:hAnsiTheme="minorHAnsi" w:cstheme="minorHAnsi"/>
              </w:rPr>
            </w:pPr>
          </w:p>
        </w:tc>
        <w:tc>
          <w:tcPr>
            <w:tcW w:w="3726" w:type="dxa"/>
            <w:tcBorders>
              <w:top w:val="nil"/>
            </w:tcBorders>
          </w:tcPr>
          <w:p w14:paraId="58A9AAAD" w14:textId="77777777" w:rsidR="008831F9" w:rsidRPr="00B05E5E" w:rsidRDefault="008831F9" w:rsidP="00EA573C">
            <w:pPr>
              <w:pStyle w:val="tekstost"/>
              <w:numPr>
                <w:ilvl w:val="12"/>
                <w:numId w:val="0"/>
              </w:numPr>
              <w:jc w:val="left"/>
              <w:rPr>
                <w:rFonts w:asciiTheme="minorHAnsi" w:hAnsiTheme="minorHAnsi" w:cstheme="minorHAnsi"/>
              </w:rPr>
            </w:pPr>
            <w:r w:rsidRPr="00B05E5E">
              <w:rPr>
                <w:rFonts w:asciiTheme="minorHAnsi" w:hAnsiTheme="minorHAnsi" w:cstheme="minorHAnsi"/>
                <w:spacing w:val="4"/>
              </w:rPr>
              <w:t>10 razy na 1 km na każdej jezdni</w:t>
            </w:r>
          </w:p>
        </w:tc>
        <w:tc>
          <w:tcPr>
            <w:tcW w:w="2232" w:type="dxa"/>
            <w:tcBorders>
              <w:top w:val="nil"/>
            </w:tcBorders>
          </w:tcPr>
          <w:p w14:paraId="00058A7D" w14:textId="77777777" w:rsidR="008831F9" w:rsidRPr="00B05E5E" w:rsidRDefault="008831F9" w:rsidP="00EA573C">
            <w:pPr>
              <w:pStyle w:val="tekstost"/>
              <w:numPr>
                <w:ilvl w:val="12"/>
                <w:numId w:val="0"/>
              </w:numPr>
              <w:jc w:val="left"/>
              <w:rPr>
                <w:rFonts w:asciiTheme="minorHAnsi" w:hAnsiTheme="minorHAnsi" w:cstheme="minorHAnsi"/>
              </w:rPr>
            </w:pPr>
            <w:r w:rsidRPr="00B05E5E">
              <w:rPr>
                <w:rFonts w:asciiTheme="minorHAnsi" w:hAnsiTheme="minorHAnsi" w:cstheme="minorHAnsi"/>
              </w:rPr>
              <w:t>Zgodność z dokumentacją projektową, z tolerancją + 5 cm.</w:t>
            </w:r>
          </w:p>
        </w:tc>
      </w:tr>
      <w:tr w:rsidR="008831F9" w:rsidRPr="00E96860" w14:paraId="5AF45ABA" w14:textId="77777777" w:rsidTr="00EA573C">
        <w:tc>
          <w:tcPr>
            <w:tcW w:w="488" w:type="dxa"/>
          </w:tcPr>
          <w:p w14:paraId="3200BC71" w14:textId="77777777" w:rsidR="008831F9" w:rsidRPr="00B05E5E" w:rsidRDefault="008831F9" w:rsidP="00EA573C">
            <w:pPr>
              <w:pStyle w:val="tekstost"/>
              <w:numPr>
                <w:ilvl w:val="12"/>
                <w:numId w:val="0"/>
              </w:numPr>
              <w:jc w:val="center"/>
              <w:rPr>
                <w:rFonts w:asciiTheme="minorHAnsi" w:hAnsiTheme="minorHAnsi" w:cstheme="minorHAnsi"/>
              </w:rPr>
            </w:pPr>
            <w:r w:rsidRPr="00B05E5E">
              <w:rPr>
                <w:rFonts w:asciiTheme="minorHAnsi" w:hAnsiTheme="minorHAnsi" w:cstheme="minorHAnsi"/>
              </w:rPr>
              <w:t>2</w:t>
            </w:r>
          </w:p>
        </w:tc>
        <w:tc>
          <w:tcPr>
            <w:tcW w:w="2768" w:type="dxa"/>
          </w:tcPr>
          <w:p w14:paraId="6149F9C4" w14:textId="77777777" w:rsidR="008831F9" w:rsidRPr="00B05E5E" w:rsidRDefault="008831F9" w:rsidP="00EA573C">
            <w:pPr>
              <w:pStyle w:val="tekstost"/>
              <w:numPr>
                <w:ilvl w:val="12"/>
                <w:numId w:val="0"/>
              </w:numPr>
              <w:rPr>
                <w:rFonts w:asciiTheme="minorHAnsi" w:hAnsiTheme="minorHAnsi" w:cstheme="minorHAnsi"/>
              </w:rPr>
            </w:pPr>
            <w:r w:rsidRPr="00B05E5E">
              <w:rPr>
                <w:rFonts w:asciiTheme="minorHAnsi" w:hAnsiTheme="minorHAnsi" w:cstheme="minorHAnsi"/>
              </w:rPr>
              <w:t>Równość podłużna warstwy</w:t>
            </w:r>
          </w:p>
        </w:tc>
        <w:tc>
          <w:tcPr>
            <w:tcW w:w="3726" w:type="dxa"/>
          </w:tcPr>
          <w:p w14:paraId="6DFFAF50" w14:textId="77777777" w:rsidR="008831F9" w:rsidRPr="00B05E5E" w:rsidRDefault="008831F9" w:rsidP="00EA573C">
            <w:pPr>
              <w:pStyle w:val="tekstost"/>
              <w:numPr>
                <w:ilvl w:val="12"/>
                <w:numId w:val="0"/>
              </w:numPr>
              <w:jc w:val="left"/>
              <w:rPr>
                <w:rFonts w:asciiTheme="minorHAnsi" w:hAnsiTheme="minorHAnsi" w:cstheme="minorHAnsi"/>
              </w:rPr>
            </w:pPr>
            <w:r w:rsidRPr="00B05E5E">
              <w:rPr>
                <w:rFonts w:asciiTheme="minorHAnsi" w:hAnsiTheme="minorHAnsi" w:cstheme="minorHAnsi"/>
                <w:spacing w:val="4"/>
              </w:rPr>
              <w:t>w sposób ciągły metodą profilometryczną, dla każdej jezdni i każdego pasa ruchu</w:t>
            </w:r>
          </w:p>
        </w:tc>
        <w:tc>
          <w:tcPr>
            <w:tcW w:w="2232" w:type="dxa"/>
          </w:tcPr>
          <w:p w14:paraId="04F58B79" w14:textId="77777777" w:rsidR="008831F9" w:rsidRPr="00B05E5E" w:rsidRDefault="008831F9" w:rsidP="00EA573C">
            <w:pPr>
              <w:pStyle w:val="tekstost"/>
              <w:numPr>
                <w:ilvl w:val="12"/>
                <w:numId w:val="0"/>
              </w:numPr>
              <w:jc w:val="left"/>
              <w:rPr>
                <w:rFonts w:asciiTheme="minorHAnsi" w:hAnsiTheme="minorHAnsi" w:cstheme="minorHAnsi"/>
              </w:rPr>
            </w:pPr>
            <w:r w:rsidRPr="00B05E5E">
              <w:rPr>
                <w:rFonts w:asciiTheme="minorHAnsi" w:hAnsiTheme="minorHAnsi" w:cstheme="minorHAnsi"/>
              </w:rPr>
              <w:t>Graniczne wartości podano w tabelach niżej</w:t>
            </w:r>
          </w:p>
        </w:tc>
      </w:tr>
      <w:tr w:rsidR="008831F9" w:rsidRPr="00B05E5E" w14:paraId="41D8E1AB" w14:textId="77777777" w:rsidTr="00EA573C">
        <w:tc>
          <w:tcPr>
            <w:tcW w:w="488" w:type="dxa"/>
          </w:tcPr>
          <w:p w14:paraId="6B496D21" w14:textId="77777777" w:rsidR="008831F9" w:rsidRPr="00B05E5E" w:rsidRDefault="008831F9" w:rsidP="00EA573C">
            <w:pPr>
              <w:pStyle w:val="tekstost"/>
              <w:numPr>
                <w:ilvl w:val="12"/>
                <w:numId w:val="0"/>
              </w:numPr>
              <w:jc w:val="center"/>
              <w:rPr>
                <w:rFonts w:asciiTheme="minorHAnsi" w:hAnsiTheme="minorHAnsi" w:cstheme="minorHAnsi"/>
              </w:rPr>
            </w:pPr>
            <w:r w:rsidRPr="00B05E5E">
              <w:rPr>
                <w:rFonts w:asciiTheme="minorHAnsi" w:hAnsiTheme="minorHAnsi" w:cstheme="minorHAnsi"/>
              </w:rPr>
              <w:t>3</w:t>
            </w:r>
          </w:p>
        </w:tc>
        <w:tc>
          <w:tcPr>
            <w:tcW w:w="2768" w:type="dxa"/>
          </w:tcPr>
          <w:p w14:paraId="7AEC89D7" w14:textId="77777777" w:rsidR="008831F9" w:rsidRPr="00B05E5E" w:rsidRDefault="008831F9" w:rsidP="00EA573C">
            <w:pPr>
              <w:pStyle w:val="tekstost"/>
              <w:numPr>
                <w:ilvl w:val="12"/>
                <w:numId w:val="0"/>
              </w:numPr>
              <w:rPr>
                <w:rFonts w:asciiTheme="minorHAnsi" w:hAnsiTheme="minorHAnsi" w:cstheme="minorHAnsi"/>
              </w:rPr>
            </w:pPr>
            <w:r w:rsidRPr="00B05E5E">
              <w:rPr>
                <w:rFonts w:asciiTheme="minorHAnsi" w:hAnsiTheme="minorHAnsi" w:cstheme="minorHAnsi"/>
              </w:rPr>
              <w:t>Równość poprzeczna warstwy</w:t>
            </w:r>
          </w:p>
        </w:tc>
        <w:tc>
          <w:tcPr>
            <w:tcW w:w="3726" w:type="dxa"/>
          </w:tcPr>
          <w:p w14:paraId="5F70EAE0" w14:textId="77777777" w:rsidR="008831F9" w:rsidRPr="00B05E5E" w:rsidRDefault="008831F9" w:rsidP="00EA573C">
            <w:pPr>
              <w:pStyle w:val="tekstost"/>
              <w:numPr>
                <w:ilvl w:val="12"/>
                <w:numId w:val="0"/>
              </w:numPr>
              <w:jc w:val="left"/>
              <w:rPr>
                <w:rFonts w:asciiTheme="minorHAnsi" w:hAnsiTheme="minorHAnsi" w:cstheme="minorHAnsi"/>
              </w:rPr>
            </w:pPr>
            <w:r w:rsidRPr="00B05E5E">
              <w:rPr>
                <w:rFonts w:asciiTheme="minorHAnsi" w:hAnsiTheme="minorHAnsi" w:cstheme="minorHAnsi"/>
              </w:rPr>
              <w:t xml:space="preserve">10 razy na 1 km drogi </w:t>
            </w:r>
          </w:p>
        </w:tc>
        <w:tc>
          <w:tcPr>
            <w:tcW w:w="2232" w:type="dxa"/>
          </w:tcPr>
          <w:p w14:paraId="09EF7144" w14:textId="77777777" w:rsidR="008831F9" w:rsidRPr="00B05E5E" w:rsidRDefault="008831F9" w:rsidP="00EA573C">
            <w:pPr>
              <w:pStyle w:val="tekstost"/>
              <w:numPr>
                <w:ilvl w:val="12"/>
                <w:numId w:val="0"/>
              </w:numPr>
              <w:jc w:val="left"/>
              <w:rPr>
                <w:rFonts w:asciiTheme="minorHAnsi" w:hAnsiTheme="minorHAnsi" w:cstheme="minorHAnsi"/>
              </w:rPr>
            </w:pPr>
            <w:r w:rsidRPr="00B05E5E">
              <w:rPr>
                <w:rFonts w:asciiTheme="minorHAnsi" w:hAnsiTheme="minorHAnsi" w:cstheme="minorHAnsi"/>
              </w:rPr>
              <w:t>jw</w:t>
            </w:r>
          </w:p>
        </w:tc>
      </w:tr>
      <w:tr w:rsidR="008831F9" w:rsidRPr="00E96860" w14:paraId="34E4EAF5" w14:textId="77777777" w:rsidTr="00EA573C">
        <w:trPr>
          <w:trHeight w:val="318"/>
        </w:trPr>
        <w:tc>
          <w:tcPr>
            <w:tcW w:w="488" w:type="dxa"/>
            <w:tcBorders>
              <w:bottom w:val="single" w:sz="4" w:space="0" w:color="auto"/>
            </w:tcBorders>
          </w:tcPr>
          <w:p w14:paraId="38563E27" w14:textId="77777777" w:rsidR="008831F9" w:rsidRPr="00B05E5E" w:rsidRDefault="008831F9" w:rsidP="00EA573C">
            <w:pPr>
              <w:pStyle w:val="tekstost"/>
              <w:numPr>
                <w:ilvl w:val="12"/>
                <w:numId w:val="0"/>
              </w:numPr>
              <w:jc w:val="center"/>
              <w:rPr>
                <w:rFonts w:asciiTheme="minorHAnsi" w:hAnsiTheme="minorHAnsi" w:cstheme="minorHAnsi"/>
              </w:rPr>
            </w:pPr>
            <w:r w:rsidRPr="00B05E5E">
              <w:rPr>
                <w:rFonts w:asciiTheme="minorHAnsi" w:hAnsiTheme="minorHAnsi" w:cstheme="minorHAnsi"/>
              </w:rPr>
              <w:t>4</w:t>
            </w:r>
          </w:p>
        </w:tc>
        <w:tc>
          <w:tcPr>
            <w:tcW w:w="2768" w:type="dxa"/>
            <w:tcBorders>
              <w:bottom w:val="single" w:sz="4" w:space="0" w:color="auto"/>
            </w:tcBorders>
          </w:tcPr>
          <w:p w14:paraId="5F9B409F" w14:textId="77777777" w:rsidR="008831F9" w:rsidRPr="00B05E5E" w:rsidRDefault="008831F9" w:rsidP="00EA573C">
            <w:pPr>
              <w:pStyle w:val="tekstost"/>
              <w:numPr>
                <w:ilvl w:val="12"/>
                <w:numId w:val="0"/>
              </w:numPr>
              <w:rPr>
                <w:rFonts w:asciiTheme="minorHAnsi" w:hAnsiTheme="minorHAnsi" w:cstheme="minorHAnsi"/>
              </w:rPr>
            </w:pPr>
            <w:r w:rsidRPr="00B05E5E">
              <w:rPr>
                <w:rFonts w:asciiTheme="minorHAnsi" w:hAnsiTheme="minorHAnsi" w:cstheme="minorHAnsi"/>
              </w:rPr>
              <w:t>Spadki poprzeczne warstwy</w:t>
            </w:r>
          </w:p>
        </w:tc>
        <w:tc>
          <w:tcPr>
            <w:tcW w:w="3726" w:type="dxa"/>
            <w:tcBorders>
              <w:bottom w:val="single" w:sz="4" w:space="0" w:color="auto"/>
            </w:tcBorders>
          </w:tcPr>
          <w:p w14:paraId="620B0786" w14:textId="77777777" w:rsidR="008831F9" w:rsidRPr="00B05E5E" w:rsidRDefault="008831F9" w:rsidP="00EA573C">
            <w:pPr>
              <w:pStyle w:val="tekstost"/>
              <w:numPr>
                <w:ilvl w:val="12"/>
                <w:numId w:val="0"/>
              </w:numPr>
              <w:jc w:val="left"/>
              <w:rPr>
                <w:rFonts w:asciiTheme="minorHAnsi" w:hAnsiTheme="minorHAnsi" w:cstheme="minorHAnsi"/>
              </w:rPr>
            </w:pPr>
            <w:r w:rsidRPr="00B05E5E">
              <w:rPr>
                <w:rFonts w:asciiTheme="minorHAnsi" w:hAnsiTheme="minorHAnsi" w:cstheme="minorHAnsi"/>
                <w:spacing w:val="4"/>
              </w:rPr>
              <w:t>nie rzadziej niż co 10 m na każdej jezdni</w:t>
            </w:r>
          </w:p>
        </w:tc>
        <w:tc>
          <w:tcPr>
            <w:tcW w:w="2232" w:type="dxa"/>
            <w:tcBorders>
              <w:bottom w:val="single" w:sz="4" w:space="0" w:color="auto"/>
            </w:tcBorders>
          </w:tcPr>
          <w:p w14:paraId="5C2C91DE" w14:textId="77777777" w:rsidR="008831F9" w:rsidRPr="00B05E5E" w:rsidRDefault="008831F9" w:rsidP="00EA573C">
            <w:pPr>
              <w:pStyle w:val="tekstost"/>
              <w:numPr>
                <w:ilvl w:val="12"/>
                <w:numId w:val="0"/>
              </w:numPr>
              <w:jc w:val="left"/>
              <w:rPr>
                <w:rFonts w:asciiTheme="minorHAnsi" w:hAnsiTheme="minorHAnsi" w:cstheme="minorHAnsi"/>
              </w:rPr>
            </w:pPr>
            <w:r w:rsidRPr="00B05E5E">
              <w:rPr>
                <w:rFonts w:asciiTheme="minorHAnsi" w:hAnsiTheme="minorHAnsi" w:cstheme="minorHAnsi"/>
              </w:rPr>
              <w:t xml:space="preserve">zgodne z dokumentacją projektową z tolerancją </w:t>
            </w:r>
            <w:r w:rsidRPr="00B05E5E">
              <w:rPr>
                <w:rFonts w:asciiTheme="minorHAnsi" w:hAnsiTheme="minorHAnsi" w:cstheme="minorHAnsi"/>
              </w:rPr>
              <w:sym w:font="Symbol" w:char="F0B1"/>
            </w:r>
            <w:r w:rsidRPr="00B05E5E">
              <w:rPr>
                <w:rFonts w:asciiTheme="minorHAnsi" w:hAnsiTheme="minorHAnsi" w:cstheme="minorHAnsi"/>
              </w:rPr>
              <w:t xml:space="preserve"> 0,5% pod warunkiem zachowania spadku podłużnego</w:t>
            </w:r>
          </w:p>
        </w:tc>
      </w:tr>
      <w:tr w:rsidR="008831F9" w:rsidRPr="00E96860" w14:paraId="2E57E86F" w14:textId="77777777" w:rsidTr="00EA57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13"/>
        </w:trPr>
        <w:tc>
          <w:tcPr>
            <w:tcW w:w="488" w:type="dxa"/>
            <w:tcBorders>
              <w:top w:val="single" w:sz="4" w:space="0" w:color="auto"/>
              <w:left w:val="single" w:sz="6" w:space="0" w:color="auto"/>
              <w:bottom w:val="single" w:sz="6" w:space="0" w:color="auto"/>
              <w:right w:val="single" w:sz="6" w:space="0" w:color="auto"/>
            </w:tcBorders>
          </w:tcPr>
          <w:p w14:paraId="4D1695C4" w14:textId="77777777" w:rsidR="008831F9" w:rsidRPr="00B05E5E" w:rsidRDefault="008831F9" w:rsidP="00EA573C">
            <w:pPr>
              <w:pStyle w:val="tekstost"/>
              <w:numPr>
                <w:ilvl w:val="12"/>
                <w:numId w:val="0"/>
              </w:numPr>
              <w:jc w:val="center"/>
              <w:rPr>
                <w:rFonts w:asciiTheme="minorHAnsi" w:hAnsiTheme="minorHAnsi" w:cstheme="minorHAnsi"/>
              </w:rPr>
            </w:pPr>
            <w:r w:rsidRPr="00B05E5E">
              <w:rPr>
                <w:rFonts w:asciiTheme="minorHAnsi" w:hAnsiTheme="minorHAnsi" w:cstheme="minorHAnsi"/>
              </w:rPr>
              <w:t>5</w:t>
            </w:r>
          </w:p>
        </w:tc>
        <w:tc>
          <w:tcPr>
            <w:tcW w:w="2768" w:type="dxa"/>
            <w:tcBorders>
              <w:top w:val="single" w:sz="4" w:space="0" w:color="auto"/>
              <w:left w:val="single" w:sz="6" w:space="0" w:color="auto"/>
              <w:bottom w:val="single" w:sz="6" w:space="0" w:color="auto"/>
              <w:right w:val="single" w:sz="4" w:space="0" w:color="auto"/>
            </w:tcBorders>
          </w:tcPr>
          <w:p w14:paraId="767C5518" w14:textId="77777777" w:rsidR="008831F9" w:rsidRPr="00B05E5E" w:rsidRDefault="008831F9" w:rsidP="00EA573C">
            <w:pPr>
              <w:pStyle w:val="tekstost"/>
              <w:numPr>
                <w:ilvl w:val="12"/>
                <w:numId w:val="0"/>
              </w:numPr>
              <w:rPr>
                <w:rFonts w:asciiTheme="minorHAnsi" w:hAnsiTheme="minorHAnsi" w:cstheme="minorHAnsi"/>
              </w:rPr>
            </w:pPr>
            <w:r w:rsidRPr="00B05E5E">
              <w:rPr>
                <w:rFonts w:asciiTheme="minorHAnsi" w:hAnsiTheme="minorHAnsi" w:cstheme="minorHAnsi"/>
              </w:rPr>
              <w:t>Rzędne wysokościowe warstwy</w:t>
            </w:r>
          </w:p>
        </w:tc>
        <w:tc>
          <w:tcPr>
            <w:tcW w:w="3726" w:type="dxa"/>
            <w:tcBorders>
              <w:top w:val="single" w:sz="4" w:space="0" w:color="auto"/>
              <w:left w:val="single" w:sz="4" w:space="0" w:color="auto"/>
              <w:bottom w:val="single" w:sz="4" w:space="0" w:color="auto"/>
              <w:right w:val="single" w:sz="4" w:space="0" w:color="auto"/>
            </w:tcBorders>
          </w:tcPr>
          <w:p w14:paraId="1AD97235" w14:textId="77777777" w:rsidR="008831F9" w:rsidRPr="004E54A4" w:rsidRDefault="008831F9" w:rsidP="00EA573C">
            <w:pPr>
              <w:ind w:left="79"/>
              <w:rPr>
                <w:rFonts w:asciiTheme="minorHAnsi" w:hAnsiTheme="minorHAnsi" w:cstheme="minorHAnsi"/>
                <w:spacing w:val="4"/>
              </w:rPr>
            </w:pPr>
            <w:r w:rsidRPr="004E54A4">
              <w:rPr>
                <w:rFonts w:asciiTheme="minorHAnsi" w:hAnsiTheme="minorHAnsi" w:cstheme="minorHAnsi"/>
                <w:spacing w:val="4"/>
              </w:rPr>
              <w:t>co 10 m na prostych i co 10 m na osi podłużnej i krawędziach</w:t>
            </w:r>
          </w:p>
        </w:tc>
        <w:tc>
          <w:tcPr>
            <w:tcW w:w="2232" w:type="dxa"/>
            <w:tcBorders>
              <w:top w:val="single" w:sz="4" w:space="0" w:color="auto"/>
              <w:left w:val="single" w:sz="4" w:space="0" w:color="auto"/>
              <w:bottom w:val="single" w:sz="4" w:space="0" w:color="auto"/>
              <w:right w:val="single" w:sz="4" w:space="0" w:color="auto"/>
            </w:tcBorders>
          </w:tcPr>
          <w:p w14:paraId="22FF11BB" w14:textId="77777777" w:rsidR="008831F9" w:rsidRPr="004E54A4" w:rsidRDefault="008831F9" w:rsidP="00EA573C">
            <w:pPr>
              <w:numPr>
                <w:ilvl w:val="12"/>
                <w:numId w:val="0"/>
              </w:numPr>
              <w:rPr>
                <w:rFonts w:asciiTheme="minorHAnsi" w:hAnsiTheme="minorHAnsi" w:cstheme="minorHAnsi"/>
              </w:rPr>
            </w:pPr>
            <w:r w:rsidRPr="004E54A4">
              <w:rPr>
                <w:rFonts w:asciiTheme="minorHAnsi" w:hAnsiTheme="minorHAnsi" w:cstheme="minorHAnsi"/>
              </w:rPr>
              <w:t xml:space="preserve">zgodne z dokumentacją projektową z tolerancją </w:t>
            </w:r>
            <w:r w:rsidRPr="00B05E5E">
              <w:rPr>
                <w:rFonts w:asciiTheme="minorHAnsi" w:hAnsiTheme="minorHAnsi" w:cstheme="minorHAnsi"/>
              </w:rPr>
              <w:sym w:font="Symbol" w:char="F0B1"/>
            </w:r>
            <w:r w:rsidRPr="004E54A4">
              <w:rPr>
                <w:rFonts w:asciiTheme="minorHAnsi" w:hAnsiTheme="minorHAnsi" w:cstheme="minorHAnsi"/>
              </w:rPr>
              <w:t xml:space="preserve"> 1 cm.</w:t>
            </w:r>
          </w:p>
        </w:tc>
      </w:tr>
      <w:tr w:rsidR="008831F9" w:rsidRPr="00E96860" w14:paraId="39186EB0" w14:textId="77777777" w:rsidTr="00EA573C">
        <w:trPr>
          <w:trHeight w:val="143"/>
        </w:trPr>
        <w:tc>
          <w:tcPr>
            <w:tcW w:w="488" w:type="dxa"/>
            <w:tcBorders>
              <w:top w:val="single" w:sz="6" w:space="0" w:color="auto"/>
              <w:left w:val="single" w:sz="6" w:space="0" w:color="auto"/>
              <w:bottom w:val="single" w:sz="6" w:space="0" w:color="auto"/>
              <w:right w:val="single" w:sz="6" w:space="0" w:color="auto"/>
            </w:tcBorders>
          </w:tcPr>
          <w:p w14:paraId="7D7CB852" w14:textId="77777777" w:rsidR="008831F9" w:rsidRPr="00B05E5E" w:rsidRDefault="008831F9" w:rsidP="00EA573C">
            <w:pPr>
              <w:pStyle w:val="tekstost"/>
              <w:numPr>
                <w:ilvl w:val="12"/>
                <w:numId w:val="0"/>
              </w:numPr>
              <w:jc w:val="center"/>
              <w:rPr>
                <w:rFonts w:asciiTheme="minorHAnsi" w:hAnsiTheme="minorHAnsi" w:cstheme="minorHAnsi"/>
              </w:rPr>
            </w:pPr>
            <w:r w:rsidRPr="00B05E5E">
              <w:rPr>
                <w:rFonts w:asciiTheme="minorHAnsi" w:hAnsiTheme="minorHAnsi" w:cstheme="minorHAnsi"/>
              </w:rPr>
              <w:t>6</w:t>
            </w:r>
          </w:p>
        </w:tc>
        <w:tc>
          <w:tcPr>
            <w:tcW w:w="2768" w:type="dxa"/>
            <w:tcBorders>
              <w:top w:val="single" w:sz="6" w:space="0" w:color="auto"/>
              <w:left w:val="single" w:sz="6" w:space="0" w:color="auto"/>
              <w:bottom w:val="single" w:sz="6" w:space="0" w:color="auto"/>
              <w:right w:val="single" w:sz="4" w:space="0" w:color="auto"/>
            </w:tcBorders>
          </w:tcPr>
          <w:p w14:paraId="34B8255D" w14:textId="77777777" w:rsidR="008831F9" w:rsidRPr="00B05E5E" w:rsidRDefault="008831F9" w:rsidP="00EA573C">
            <w:pPr>
              <w:pStyle w:val="tekstost"/>
              <w:numPr>
                <w:ilvl w:val="12"/>
                <w:numId w:val="0"/>
              </w:numPr>
              <w:rPr>
                <w:rFonts w:asciiTheme="minorHAnsi" w:hAnsiTheme="minorHAnsi" w:cstheme="minorHAnsi"/>
              </w:rPr>
            </w:pPr>
            <w:r w:rsidRPr="00B05E5E">
              <w:rPr>
                <w:rFonts w:asciiTheme="minorHAnsi" w:hAnsiTheme="minorHAnsi" w:cstheme="minorHAnsi"/>
              </w:rPr>
              <w:t xml:space="preserve">Ukształtowanie osi w planie </w:t>
            </w:r>
          </w:p>
        </w:tc>
        <w:tc>
          <w:tcPr>
            <w:tcW w:w="3726" w:type="dxa"/>
            <w:tcBorders>
              <w:top w:val="single" w:sz="4" w:space="0" w:color="auto"/>
              <w:left w:val="single" w:sz="4" w:space="0" w:color="auto"/>
              <w:bottom w:val="single" w:sz="4" w:space="0" w:color="auto"/>
              <w:right w:val="single" w:sz="4" w:space="0" w:color="auto"/>
            </w:tcBorders>
          </w:tcPr>
          <w:p w14:paraId="177E3921" w14:textId="77777777" w:rsidR="008831F9" w:rsidRPr="00B05E5E" w:rsidRDefault="008831F9" w:rsidP="00EA573C">
            <w:pPr>
              <w:ind w:left="79"/>
              <w:rPr>
                <w:rFonts w:asciiTheme="minorHAnsi" w:hAnsiTheme="minorHAnsi" w:cstheme="minorHAnsi"/>
                <w:spacing w:val="4"/>
                <w:vertAlign w:val="superscript"/>
              </w:rPr>
            </w:pPr>
            <w:r w:rsidRPr="00B05E5E">
              <w:rPr>
                <w:rFonts w:asciiTheme="minorHAnsi" w:hAnsiTheme="minorHAnsi" w:cstheme="minorHAnsi"/>
                <w:spacing w:val="4"/>
              </w:rPr>
              <w:t xml:space="preserve">co 100 m </w:t>
            </w:r>
          </w:p>
        </w:tc>
        <w:tc>
          <w:tcPr>
            <w:tcW w:w="2232" w:type="dxa"/>
            <w:tcBorders>
              <w:top w:val="single" w:sz="4" w:space="0" w:color="auto"/>
              <w:left w:val="single" w:sz="4" w:space="0" w:color="auto"/>
              <w:bottom w:val="single" w:sz="4" w:space="0" w:color="auto"/>
              <w:right w:val="single" w:sz="4" w:space="0" w:color="auto"/>
            </w:tcBorders>
          </w:tcPr>
          <w:p w14:paraId="60626062" w14:textId="77777777" w:rsidR="008831F9" w:rsidRPr="004E54A4" w:rsidRDefault="008831F9" w:rsidP="00EA573C">
            <w:pPr>
              <w:numPr>
                <w:ilvl w:val="12"/>
                <w:numId w:val="0"/>
              </w:numPr>
              <w:rPr>
                <w:rFonts w:asciiTheme="minorHAnsi" w:hAnsiTheme="minorHAnsi" w:cstheme="minorHAnsi"/>
              </w:rPr>
            </w:pPr>
            <w:r w:rsidRPr="004E54A4">
              <w:rPr>
                <w:rFonts w:asciiTheme="minorHAnsi" w:hAnsiTheme="minorHAnsi" w:cstheme="minorHAnsi"/>
              </w:rPr>
              <w:t xml:space="preserve">zgodne z dokumentacją projektową z tolerancją </w:t>
            </w:r>
            <w:r w:rsidRPr="00B05E5E">
              <w:rPr>
                <w:rFonts w:asciiTheme="minorHAnsi" w:hAnsiTheme="minorHAnsi" w:cstheme="minorHAnsi"/>
              </w:rPr>
              <w:sym w:font="Symbol" w:char="F0B1"/>
            </w:r>
            <w:r w:rsidRPr="004E54A4">
              <w:rPr>
                <w:rFonts w:asciiTheme="minorHAnsi" w:hAnsiTheme="minorHAnsi" w:cstheme="minorHAnsi"/>
              </w:rPr>
              <w:t xml:space="preserve"> 5 cm.</w:t>
            </w:r>
          </w:p>
        </w:tc>
      </w:tr>
      <w:tr w:rsidR="008831F9" w:rsidRPr="00B05E5E" w14:paraId="138EFF4C" w14:textId="77777777" w:rsidTr="00EA573C">
        <w:tc>
          <w:tcPr>
            <w:tcW w:w="488" w:type="dxa"/>
          </w:tcPr>
          <w:p w14:paraId="795B1CAB" w14:textId="77777777" w:rsidR="008831F9" w:rsidRPr="00B05E5E" w:rsidRDefault="008831F9" w:rsidP="00EA573C">
            <w:pPr>
              <w:pStyle w:val="tekstost"/>
              <w:numPr>
                <w:ilvl w:val="12"/>
                <w:numId w:val="0"/>
              </w:numPr>
              <w:jc w:val="center"/>
              <w:rPr>
                <w:rFonts w:asciiTheme="minorHAnsi" w:hAnsiTheme="minorHAnsi" w:cstheme="minorHAnsi"/>
              </w:rPr>
            </w:pPr>
            <w:r w:rsidRPr="00B05E5E">
              <w:rPr>
                <w:rFonts w:asciiTheme="minorHAnsi" w:hAnsiTheme="minorHAnsi" w:cstheme="minorHAnsi"/>
              </w:rPr>
              <w:t>7</w:t>
            </w:r>
          </w:p>
        </w:tc>
        <w:tc>
          <w:tcPr>
            <w:tcW w:w="2768" w:type="dxa"/>
          </w:tcPr>
          <w:p w14:paraId="3767B7F2" w14:textId="77777777" w:rsidR="008831F9" w:rsidRPr="00B05E5E" w:rsidRDefault="008831F9" w:rsidP="00EA573C">
            <w:pPr>
              <w:pStyle w:val="tekstost"/>
              <w:numPr>
                <w:ilvl w:val="12"/>
                <w:numId w:val="0"/>
              </w:numPr>
              <w:rPr>
                <w:rFonts w:asciiTheme="minorHAnsi" w:hAnsiTheme="minorHAnsi" w:cstheme="minorHAnsi"/>
              </w:rPr>
            </w:pPr>
            <w:r w:rsidRPr="00B05E5E">
              <w:rPr>
                <w:rFonts w:asciiTheme="minorHAnsi" w:hAnsiTheme="minorHAnsi" w:cstheme="minorHAnsi"/>
              </w:rPr>
              <w:t>Grubość warstwy</w:t>
            </w:r>
          </w:p>
        </w:tc>
        <w:tc>
          <w:tcPr>
            <w:tcW w:w="3726" w:type="dxa"/>
            <w:tcBorders>
              <w:top w:val="single" w:sz="4" w:space="0" w:color="auto"/>
            </w:tcBorders>
          </w:tcPr>
          <w:p w14:paraId="21088114" w14:textId="77777777" w:rsidR="008831F9" w:rsidRPr="00B05E5E" w:rsidRDefault="008831F9" w:rsidP="00EA573C">
            <w:pPr>
              <w:pStyle w:val="tekstost"/>
              <w:numPr>
                <w:ilvl w:val="12"/>
                <w:numId w:val="0"/>
              </w:numPr>
              <w:jc w:val="left"/>
              <w:rPr>
                <w:rFonts w:asciiTheme="minorHAnsi" w:hAnsiTheme="minorHAnsi" w:cstheme="minorHAnsi"/>
              </w:rPr>
            </w:pPr>
            <w:r w:rsidRPr="00B05E5E">
              <w:rPr>
                <w:rFonts w:asciiTheme="minorHAnsi" w:hAnsiTheme="minorHAnsi" w:cstheme="minorHAnsi"/>
              </w:rPr>
              <w:t xml:space="preserve"> 2 próbki na 1 km jezdni</w:t>
            </w:r>
          </w:p>
        </w:tc>
        <w:tc>
          <w:tcPr>
            <w:tcW w:w="2232" w:type="dxa"/>
            <w:tcBorders>
              <w:top w:val="single" w:sz="4" w:space="0" w:color="auto"/>
            </w:tcBorders>
          </w:tcPr>
          <w:p w14:paraId="5E4C9EA7" w14:textId="77777777" w:rsidR="008831F9" w:rsidRPr="00B05E5E" w:rsidRDefault="008831F9" w:rsidP="00EA573C">
            <w:pPr>
              <w:pStyle w:val="tekstost"/>
              <w:numPr>
                <w:ilvl w:val="12"/>
                <w:numId w:val="0"/>
              </w:numPr>
              <w:jc w:val="left"/>
              <w:rPr>
                <w:rFonts w:asciiTheme="minorHAnsi" w:hAnsiTheme="minorHAnsi" w:cstheme="minorHAnsi"/>
              </w:rPr>
            </w:pPr>
            <w:r w:rsidRPr="00B05E5E">
              <w:rPr>
                <w:rFonts w:asciiTheme="minorHAnsi" w:hAnsiTheme="minorHAnsi" w:cstheme="minorHAnsi"/>
              </w:rPr>
              <w:t xml:space="preserve">nie może być mniejsza od projektowanej o więcej niż </w:t>
            </w:r>
          </w:p>
          <w:p w14:paraId="3C6F43F6" w14:textId="77777777" w:rsidR="008831F9" w:rsidRPr="00B05E5E" w:rsidRDefault="008831F9" w:rsidP="00EA573C">
            <w:pPr>
              <w:pStyle w:val="tekstost"/>
              <w:numPr>
                <w:ilvl w:val="12"/>
                <w:numId w:val="0"/>
              </w:numPr>
              <w:jc w:val="left"/>
              <w:rPr>
                <w:rFonts w:asciiTheme="minorHAnsi" w:hAnsiTheme="minorHAnsi" w:cstheme="minorHAnsi"/>
              </w:rPr>
            </w:pPr>
            <w:r w:rsidRPr="00B05E5E">
              <w:rPr>
                <w:rFonts w:asciiTheme="minorHAnsi" w:hAnsiTheme="minorHAnsi" w:cstheme="minorHAnsi"/>
              </w:rPr>
              <w:t xml:space="preserve">+-10% </w:t>
            </w:r>
          </w:p>
        </w:tc>
      </w:tr>
      <w:tr w:rsidR="008831F9" w:rsidRPr="00B05E5E" w14:paraId="394FD979" w14:textId="77777777" w:rsidTr="00EA573C">
        <w:tc>
          <w:tcPr>
            <w:tcW w:w="488" w:type="dxa"/>
          </w:tcPr>
          <w:p w14:paraId="6FE4D2A9" w14:textId="77777777" w:rsidR="008831F9" w:rsidRPr="00B05E5E" w:rsidRDefault="008831F9" w:rsidP="00EA573C">
            <w:pPr>
              <w:pStyle w:val="tekstost"/>
              <w:numPr>
                <w:ilvl w:val="12"/>
                <w:numId w:val="0"/>
              </w:numPr>
              <w:jc w:val="center"/>
              <w:rPr>
                <w:rFonts w:asciiTheme="minorHAnsi" w:hAnsiTheme="minorHAnsi" w:cstheme="minorHAnsi"/>
              </w:rPr>
            </w:pPr>
            <w:r w:rsidRPr="00B05E5E">
              <w:rPr>
                <w:rFonts w:asciiTheme="minorHAnsi" w:hAnsiTheme="minorHAnsi" w:cstheme="minorHAnsi"/>
              </w:rPr>
              <w:t>8</w:t>
            </w:r>
          </w:p>
        </w:tc>
        <w:tc>
          <w:tcPr>
            <w:tcW w:w="2768" w:type="dxa"/>
          </w:tcPr>
          <w:p w14:paraId="3872853F" w14:textId="77777777" w:rsidR="008831F9" w:rsidRPr="00B05E5E" w:rsidRDefault="008831F9" w:rsidP="00EA573C">
            <w:pPr>
              <w:pStyle w:val="tekstost"/>
              <w:numPr>
                <w:ilvl w:val="12"/>
                <w:numId w:val="0"/>
              </w:numPr>
              <w:rPr>
                <w:rFonts w:asciiTheme="minorHAnsi" w:hAnsiTheme="minorHAnsi" w:cstheme="minorHAnsi"/>
              </w:rPr>
            </w:pPr>
            <w:r w:rsidRPr="00B05E5E">
              <w:rPr>
                <w:rFonts w:asciiTheme="minorHAnsi" w:hAnsiTheme="minorHAnsi" w:cstheme="minorHAnsi"/>
              </w:rPr>
              <w:t>Złącza podłużne i poprzeczne</w:t>
            </w:r>
          </w:p>
        </w:tc>
        <w:tc>
          <w:tcPr>
            <w:tcW w:w="3726" w:type="dxa"/>
          </w:tcPr>
          <w:p w14:paraId="1C6E9270" w14:textId="77777777" w:rsidR="008831F9" w:rsidRPr="00B05E5E" w:rsidRDefault="008831F9" w:rsidP="00EA573C">
            <w:pPr>
              <w:pStyle w:val="tekstost"/>
              <w:numPr>
                <w:ilvl w:val="12"/>
                <w:numId w:val="0"/>
              </w:numPr>
              <w:jc w:val="left"/>
              <w:rPr>
                <w:rFonts w:asciiTheme="minorHAnsi" w:hAnsiTheme="minorHAnsi" w:cstheme="minorHAnsi"/>
              </w:rPr>
            </w:pPr>
            <w:r w:rsidRPr="00B05E5E">
              <w:rPr>
                <w:rFonts w:asciiTheme="minorHAnsi" w:hAnsiTheme="minorHAnsi" w:cstheme="minorHAnsi"/>
              </w:rPr>
              <w:t>cała długość złącza</w:t>
            </w:r>
          </w:p>
        </w:tc>
        <w:tc>
          <w:tcPr>
            <w:tcW w:w="2232" w:type="dxa"/>
          </w:tcPr>
          <w:p w14:paraId="58F49047" w14:textId="77777777" w:rsidR="008831F9" w:rsidRPr="00B05E5E" w:rsidRDefault="008831F9" w:rsidP="00EA573C">
            <w:pPr>
              <w:pStyle w:val="tekstost"/>
              <w:numPr>
                <w:ilvl w:val="12"/>
                <w:numId w:val="0"/>
              </w:numPr>
              <w:rPr>
                <w:rFonts w:asciiTheme="minorHAnsi" w:hAnsiTheme="minorHAnsi" w:cstheme="minorHAnsi"/>
              </w:rPr>
            </w:pPr>
          </w:p>
        </w:tc>
      </w:tr>
      <w:tr w:rsidR="008831F9" w:rsidRPr="00B05E5E" w14:paraId="1C799747" w14:textId="77777777" w:rsidTr="00EA573C">
        <w:tc>
          <w:tcPr>
            <w:tcW w:w="488" w:type="dxa"/>
          </w:tcPr>
          <w:p w14:paraId="4756BD17" w14:textId="77777777" w:rsidR="008831F9" w:rsidRPr="00B05E5E" w:rsidRDefault="008831F9" w:rsidP="00EA573C">
            <w:pPr>
              <w:pStyle w:val="tekstost"/>
              <w:numPr>
                <w:ilvl w:val="12"/>
                <w:numId w:val="0"/>
              </w:numPr>
              <w:jc w:val="center"/>
              <w:rPr>
                <w:rFonts w:asciiTheme="minorHAnsi" w:hAnsiTheme="minorHAnsi" w:cstheme="minorHAnsi"/>
              </w:rPr>
            </w:pPr>
            <w:r w:rsidRPr="00B05E5E">
              <w:rPr>
                <w:rFonts w:asciiTheme="minorHAnsi" w:hAnsiTheme="minorHAnsi" w:cstheme="minorHAnsi"/>
              </w:rPr>
              <w:t>9</w:t>
            </w:r>
          </w:p>
        </w:tc>
        <w:tc>
          <w:tcPr>
            <w:tcW w:w="2768" w:type="dxa"/>
          </w:tcPr>
          <w:p w14:paraId="65A0F5CB" w14:textId="77777777" w:rsidR="008831F9" w:rsidRPr="00B05E5E" w:rsidRDefault="008831F9" w:rsidP="00EA573C">
            <w:pPr>
              <w:pStyle w:val="tekstost"/>
              <w:numPr>
                <w:ilvl w:val="12"/>
                <w:numId w:val="0"/>
              </w:numPr>
              <w:jc w:val="left"/>
              <w:rPr>
                <w:rFonts w:asciiTheme="minorHAnsi" w:hAnsiTheme="minorHAnsi" w:cstheme="minorHAnsi"/>
              </w:rPr>
            </w:pPr>
            <w:r w:rsidRPr="00B05E5E">
              <w:rPr>
                <w:rFonts w:asciiTheme="minorHAnsi" w:hAnsiTheme="minorHAnsi" w:cstheme="minorHAnsi"/>
              </w:rPr>
              <w:t>Krawędź, obramowanie warstwy</w:t>
            </w:r>
          </w:p>
        </w:tc>
        <w:tc>
          <w:tcPr>
            <w:tcW w:w="3726" w:type="dxa"/>
          </w:tcPr>
          <w:p w14:paraId="6B024FCD" w14:textId="77777777" w:rsidR="008831F9" w:rsidRPr="00B05E5E" w:rsidRDefault="008831F9" w:rsidP="00EA573C">
            <w:pPr>
              <w:pStyle w:val="tekstost"/>
              <w:numPr>
                <w:ilvl w:val="12"/>
                <w:numId w:val="0"/>
              </w:numPr>
              <w:jc w:val="left"/>
              <w:rPr>
                <w:rFonts w:asciiTheme="minorHAnsi" w:hAnsiTheme="minorHAnsi" w:cstheme="minorHAnsi"/>
              </w:rPr>
            </w:pPr>
            <w:r w:rsidRPr="00B05E5E">
              <w:rPr>
                <w:rFonts w:asciiTheme="minorHAnsi" w:hAnsiTheme="minorHAnsi" w:cstheme="minorHAnsi"/>
              </w:rPr>
              <w:t>cała długość</w:t>
            </w:r>
          </w:p>
        </w:tc>
        <w:tc>
          <w:tcPr>
            <w:tcW w:w="2232" w:type="dxa"/>
          </w:tcPr>
          <w:p w14:paraId="52BC4A42" w14:textId="77777777" w:rsidR="008831F9" w:rsidRPr="00B05E5E" w:rsidRDefault="008831F9" w:rsidP="00EA573C">
            <w:pPr>
              <w:pStyle w:val="tekstost"/>
              <w:numPr>
                <w:ilvl w:val="12"/>
                <w:numId w:val="0"/>
              </w:numPr>
              <w:rPr>
                <w:rFonts w:asciiTheme="minorHAnsi" w:hAnsiTheme="minorHAnsi" w:cstheme="minorHAnsi"/>
              </w:rPr>
            </w:pPr>
          </w:p>
        </w:tc>
      </w:tr>
      <w:tr w:rsidR="008831F9" w:rsidRPr="00B05E5E" w14:paraId="6D1D0432" w14:textId="77777777" w:rsidTr="00EA573C">
        <w:tc>
          <w:tcPr>
            <w:tcW w:w="488" w:type="dxa"/>
          </w:tcPr>
          <w:p w14:paraId="7FAD3556" w14:textId="77777777" w:rsidR="008831F9" w:rsidRPr="00B05E5E" w:rsidRDefault="008831F9" w:rsidP="00EA573C">
            <w:pPr>
              <w:pStyle w:val="tekstost"/>
              <w:numPr>
                <w:ilvl w:val="12"/>
                <w:numId w:val="0"/>
              </w:numPr>
              <w:jc w:val="center"/>
              <w:rPr>
                <w:rFonts w:asciiTheme="minorHAnsi" w:hAnsiTheme="minorHAnsi" w:cstheme="minorHAnsi"/>
              </w:rPr>
            </w:pPr>
            <w:r>
              <w:rPr>
                <w:rFonts w:asciiTheme="minorHAnsi" w:hAnsiTheme="minorHAnsi" w:cstheme="minorHAnsi"/>
              </w:rPr>
              <w:t>10</w:t>
            </w:r>
          </w:p>
        </w:tc>
        <w:tc>
          <w:tcPr>
            <w:tcW w:w="2768" w:type="dxa"/>
          </w:tcPr>
          <w:p w14:paraId="32E42D70" w14:textId="77777777" w:rsidR="008831F9" w:rsidRPr="00B05E5E" w:rsidRDefault="008831F9" w:rsidP="00EA573C">
            <w:pPr>
              <w:pStyle w:val="tekstost"/>
              <w:numPr>
                <w:ilvl w:val="12"/>
                <w:numId w:val="0"/>
              </w:numPr>
              <w:rPr>
                <w:rFonts w:asciiTheme="minorHAnsi" w:hAnsiTheme="minorHAnsi" w:cstheme="minorHAnsi"/>
              </w:rPr>
            </w:pPr>
            <w:r w:rsidRPr="00B05E5E">
              <w:rPr>
                <w:rFonts w:asciiTheme="minorHAnsi" w:hAnsiTheme="minorHAnsi" w:cstheme="minorHAnsi"/>
              </w:rPr>
              <w:t>Zagęszczenie warstwy</w:t>
            </w:r>
          </w:p>
        </w:tc>
        <w:tc>
          <w:tcPr>
            <w:tcW w:w="3726" w:type="dxa"/>
          </w:tcPr>
          <w:p w14:paraId="76AFEBA4" w14:textId="77777777" w:rsidR="008831F9" w:rsidRPr="00B05E5E" w:rsidRDefault="008831F9" w:rsidP="00EA573C">
            <w:pPr>
              <w:pStyle w:val="tekstost"/>
              <w:numPr>
                <w:ilvl w:val="12"/>
                <w:numId w:val="0"/>
              </w:numPr>
              <w:jc w:val="left"/>
              <w:rPr>
                <w:rFonts w:asciiTheme="minorHAnsi" w:hAnsiTheme="minorHAnsi" w:cstheme="minorHAnsi"/>
              </w:rPr>
            </w:pPr>
            <w:r w:rsidRPr="00B05E5E">
              <w:rPr>
                <w:rFonts w:asciiTheme="minorHAnsi" w:hAnsiTheme="minorHAnsi" w:cstheme="minorHAnsi"/>
              </w:rPr>
              <w:t>2 próbki na 1 km jezdni</w:t>
            </w:r>
          </w:p>
        </w:tc>
        <w:tc>
          <w:tcPr>
            <w:tcW w:w="2232" w:type="dxa"/>
          </w:tcPr>
          <w:p w14:paraId="55EFD722" w14:textId="77777777" w:rsidR="008831F9" w:rsidRPr="00B05E5E" w:rsidRDefault="008831F9" w:rsidP="00EA573C">
            <w:pPr>
              <w:pStyle w:val="tekstost"/>
              <w:numPr>
                <w:ilvl w:val="12"/>
                <w:numId w:val="0"/>
              </w:numPr>
              <w:rPr>
                <w:rFonts w:asciiTheme="minorHAnsi" w:hAnsiTheme="minorHAnsi" w:cstheme="minorHAnsi"/>
              </w:rPr>
            </w:pPr>
          </w:p>
        </w:tc>
      </w:tr>
    </w:tbl>
    <w:p w14:paraId="0D36F1FF" w14:textId="77777777" w:rsidR="008831F9" w:rsidRDefault="008831F9" w:rsidP="008831F9">
      <w:pPr>
        <w:pStyle w:val="tekstost"/>
        <w:rPr>
          <w:rFonts w:asciiTheme="minorHAnsi" w:hAnsiTheme="minorHAnsi" w:cstheme="minorHAnsi"/>
          <w:b/>
        </w:rPr>
      </w:pPr>
    </w:p>
    <w:p w14:paraId="0FEE729F" w14:textId="77777777" w:rsidR="008831F9" w:rsidRDefault="008831F9" w:rsidP="008831F9">
      <w:pPr>
        <w:pStyle w:val="tekstost"/>
        <w:rPr>
          <w:rFonts w:asciiTheme="minorHAnsi" w:hAnsiTheme="minorHAnsi" w:cstheme="minorHAnsi"/>
          <w:b/>
        </w:rPr>
      </w:pPr>
    </w:p>
    <w:p w14:paraId="49AFECF7" w14:textId="77777777" w:rsidR="008831F9" w:rsidRPr="00B05E5E" w:rsidRDefault="008831F9" w:rsidP="008831F9">
      <w:pPr>
        <w:pStyle w:val="tekstost"/>
        <w:rPr>
          <w:rFonts w:asciiTheme="minorHAnsi" w:hAnsiTheme="minorHAnsi" w:cstheme="minorHAnsi"/>
          <w:b/>
        </w:rPr>
      </w:pPr>
      <w:r w:rsidRPr="00B05E5E">
        <w:rPr>
          <w:rFonts w:asciiTheme="minorHAnsi" w:hAnsiTheme="minorHAnsi" w:cstheme="minorHAnsi"/>
          <w:b/>
        </w:rPr>
        <w:t>6.4.2.Równość warstwy</w:t>
      </w:r>
    </w:p>
    <w:p w14:paraId="7D22AA33" w14:textId="77777777" w:rsidR="008831F9" w:rsidRPr="00B05E5E" w:rsidRDefault="008831F9" w:rsidP="008831F9">
      <w:pPr>
        <w:tabs>
          <w:tab w:val="left" w:pos="284"/>
        </w:tabs>
        <w:rPr>
          <w:rFonts w:asciiTheme="minorHAnsi" w:hAnsiTheme="minorHAnsi" w:cstheme="minorHAnsi"/>
          <w:b/>
          <w:bCs/>
        </w:rPr>
      </w:pPr>
      <w:r w:rsidRPr="00B05E5E">
        <w:rPr>
          <w:rFonts w:asciiTheme="minorHAnsi" w:hAnsiTheme="minorHAnsi" w:cstheme="minorHAnsi"/>
          <w:b/>
          <w:bCs/>
        </w:rPr>
        <w:t>Równość podłużna warstwy</w:t>
      </w:r>
    </w:p>
    <w:p w14:paraId="35E86B00" w14:textId="77777777" w:rsidR="008831F9" w:rsidRPr="004E54A4" w:rsidRDefault="008831F9" w:rsidP="008831F9">
      <w:pPr>
        <w:tabs>
          <w:tab w:val="left" w:pos="284"/>
        </w:tabs>
        <w:rPr>
          <w:rFonts w:asciiTheme="minorHAnsi" w:hAnsiTheme="minorHAnsi" w:cstheme="minorHAnsi"/>
        </w:rPr>
      </w:pPr>
      <w:r w:rsidRPr="004E54A4">
        <w:rPr>
          <w:rFonts w:asciiTheme="minorHAnsi" w:hAnsiTheme="minorHAnsi" w:cstheme="minorHAnsi"/>
        </w:rPr>
        <w:t>Dla dróg o kategorii ruchu KR1</w:t>
      </w:r>
      <w:r>
        <w:rPr>
          <w:rFonts w:asciiTheme="minorHAnsi" w:hAnsiTheme="minorHAnsi" w:cstheme="minorHAnsi"/>
        </w:rPr>
        <w:t>-3</w:t>
      </w:r>
      <w:r w:rsidRPr="004E54A4">
        <w:rPr>
          <w:rFonts w:asciiTheme="minorHAnsi" w:hAnsiTheme="minorHAnsi" w:cstheme="minorHAnsi"/>
        </w:rPr>
        <w:t xml:space="preserve"> </w:t>
      </w:r>
      <w:r>
        <w:rPr>
          <w:rFonts w:asciiTheme="minorHAnsi" w:hAnsiTheme="minorHAnsi" w:cstheme="minorHAnsi"/>
        </w:rPr>
        <w:t xml:space="preserve">(klasy Z-D) </w:t>
      </w:r>
      <w:r w:rsidRPr="004E54A4">
        <w:rPr>
          <w:rFonts w:asciiTheme="minorHAnsi" w:hAnsiTheme="minorHAnsi" w:cstheme="minorHAnsi"/>
        </w:rPr>
        <w:t>do oceny równości podłużnej należy zastosować metodą pomiaru przy użyciu planografu, w sposób zgodny z Rozporządzeniem Ministra Transportu i Gospodarki Morskiej w sprawie warunków technicznych jakim powinny odpowiadać drogi publiczne i ich usytuowanie (Dziennik Ustaw nr 43 poz 430, Załącznik nr 6, punkt 2.3). Parametry powinny być zgodne z wymaganiami tablicy 10.</w:t>
      </w:r>
    </w:p>
    <w:p w14:paraId="305DBE3C" w14:textId="77777777" w:rsidR="008831F9" w:rsidRDefault="008831F9" w:rsidP="008831F9">
      <w:pPr>
        <w:rPr>
          <w:rFonts w:asciiTheme="minorHAnsi" w:hAnsiTheme="minorHAnsi" w:cstheme="minorHAnsi"/>
        </w:rPr>
      </w:pPr>
    </w:p>
    <w:p w14:paraId="1757D878" w14:textId="77777777" w:rsidR="008831F9" w:rsidRPr="004E54A4" w:rsidRDefault="008831F9" w:rsidP="008831F9">
      <w:pPr>
        <w:rPr>
          <w:rFonts w:asciiTheme="minorHAnsi" w:hAnsiTheme="minorHAnsi" w:cstheme="minorHAnsi"/>
        </w:rPr>
      </w:pPr>
      <w:r w:rsidRPr="004E54A4">
        <w:rPr>
          <w:rFonts w:asciiTheme="minorHAnsi" w:hAnsiTheme="minorHAnsi" w:cstheme="minorHAnsi"/>
        </w:rPr>
        <w:t xml:space="preserve">Tablica 10 Wymagania dla równości podłużnej dróg </w:t>
      </w:r>
    </w:p>
    <w:p w14:paraId="201830D0" w14:textId="77777777" w:rsidR="008831F9" w:rsidRPr="004E54A4" w:rsidRDefault="008831F9" w:rsidP="008831F9">
      <w:pPr>
        <w:rPr>
          <w:rFonts w:asciiTheme="minorHAnsi" w:hAnsiTheme="minorHAnsi" w:cstheme="minorHAnsi"/>
        </w:rPr>
      </w:pPr>
    </w:p>
    <w:tbl>
      <w:tblPr>
        <w:tblW w:w="921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5"/>
        <w:gridCol w:w="2268"/>
        <w:gridCol w:w="1365"/>
        <w:gridCol w:w="1186"/>
      </w:tblGrid>
      <w:tr w:rsidR="008831F9" w:rsidRPr="00B05E5E" w14:paraId="04B1D05E" w14:textId="77777777" w:rsidTr="00EA573C">
        <w:trPr>
          <w:cantSplit/>
        </w:trPr>
        <w:tc>
          <w:tcPr>
            <w:tcW w:w="4395" w:type="dxa"/>
            <w:vMerge w:val="restart"/>
          </w:tcPr>
          <w:p w14:paraId="5B155E66" w14:textId="77777777" w:rsidR="008831F9" w:rsidRPr="00B05E5E" w:rsidRDefault="008831F9" w:rsidP="00EA573C">
            <w:pPr>
              <w:jc w:val="center"/>
              <w:rPr>
                <w:rFonts w:asciiTheme="minorHAnsi" w:hAnsiTheme="minorHAnsi" w:cstheme="minorHAnsi"/>
              </w:rPr>
            </w:pPr>
            <w:r w:rsidRPr="00B05E5E">
              <w:rPr>
                <w:rFonts w:asciiTheme="minorHAnsi" w:hAnsiTheme="minorHAnsi" w:cstheme="minorHAnsi"/>
              </w:rPr>
              <w:t>Element nawierzchni</w:t>
            </w:r>
          </w:p>
        </w:tc>
        <w:tc>
          <w:tcPr>
            <w:tcW w:w="2268" w:type="dxa"/>
            <w:vMerge w:val="restart"/>
          </w:tcPr>
          <w:p w14:paraId="5DD349CB" w14:textId="77777777" w:rsidR="008831F9" w:rsidRPr="00B05E5E" w:rsidRDefault="008831F9" w:rsidP="00EA573C">
            <w:pPr>
              <w:jc w:val="center"/>
              <w:rPr>
                <w:rFonts w:asciiTheme="minorHAnsi" w:hAnsiTheme="minorHAnsi" w:cstheme="minorHAnsi"/>
              </w:rPr>
            </w:pPr>
            <w:r w:rsidRPr="00B05E5E">
              <w:rPr>
                <w:rFonts w:asciiTheme="minorHAnsi" w:hAnsiTheme="minorHAnsi" w:cstheme="minorHAnsi"/>
              </w:rPr>
              <w:t>Rodzaj warstwy konstrukcyjnej</w:t>
            </w:r>
          </w:p>
        </w:tc>
        <w:tc>
          <w:tcPr>
            <w:tcW w:w="2551" w:type="dxa"/>
            <w:gridSpan w:val="2"/>
          </w:tcPr>
          <w:p w14:paraId="0DC2C951" w14:textId="77777777" w:rsidR="008831F9" w:rsidRPr="00B05E5E" w:rsidRDefault="008831F9" w:rsidP="00EA573C">
            <w:pPr>
              <w:jc w:val="center"/>
              <w:rPr>
                <w:rFonts w:asciiTheme="minorHAnsi" w:hAnsiTheme="minorHAnsi" w:cstheme="minorHAnsi"/>
              </w:rPr>
            </w:pPr>
            <w:r w:rsidRPr="00B05E5E">
              <w:rPr>
                <w:rFonts w:asciiTheme="minorHAnsi" w:hAnsiTheme="minorHAnsi" w:cstheme="minorHAnsi"/>
              </w:rPr>
              <w:t>Procent liczby pomiarów</w:t>
            </w:r>
          </w:p>
        </w:tc>
      </w:tr>
      <w:tr w:rsidR="008831F9" w:rsidRPr="00B05E5E" w14:paraId="63FFEE57" w14:textId="77777777" w:rsidTr="00EA573C">
        <w:trPr>
          <w:cantSplit/>
        </w:trPr>
        <w:tc>
          <w:tcPr>
            <w:tcW w:w="4395" w:type="dxa"/>
            <w:vMerge/>
          </w:tcPr>
          <w:p w14:paraId="34935282" w14:textId="77777777" w:rsidR="008831F9" w:rsidRPr="00B05E5E" w:rsidRDefault="008831F9" w:rsidP="00EA573C">
            <w:pPr>
              <w:rPr>
                <w:rFonts w:asciiTheme="minorHAnsi" w:hAnsiTheme="minorHAnsi" w:cstheme="minorHAnsi"/>
              </w:rPr>
            </w:pPr>
          </w:p>
        </w:tc>
        <w:tc>
          <w:tcPr>
            <w:tcW w:w="2268" w:type="dxa"/>
            <w:vMerge/>
          </w:tcPr>
          <w:p w14:paraId="12D10D16" w14:textId="77777777" w:rsidR="008831F9" w:rsidRPr="00B05E5E" w:rsidRDefault="008831F9" w:rsidP="00EA573C">
            <w:pPr>
              <w:jc w:val="center"/>
              <w:rPr>
                <w:rFonts w:asciiTheme="minorHAnsi" w:hAnsiTheme="minorHAnsi" w:cstheme="minorHAnsi"/>
              </w:rPr>
            </w:pPr>
          </w:p>
        </w:tc>
        <w:tc>
          <w:tcPr>
            <w:tcW w:w="1365" w:type="dxa"/>
          </w:tcPr>
          <w:p w14:paraId="78EFBFE2" w14:textId="77777777" w:rsidR="008831F9" w:rsidRPr="00B05E5E" w:rsidRDefault="008831F9" w:rsidP="00EA573C">
            <w:pPr>
              <w:jc w:val="center"/>
              <w:rPr>
                <w:rFonts w:asciiTheme="minorHAnsi" w:hAnsiTheme="minorHAnsi" w:cstheme="minorHAnsi"/>
              </w:rPr>
            </w:pPr>
            <w:r w:rsidRPr="00B05E5E">
              <w:rPr>
                <w:rFonts w:asciiTheme="minorHAnsi" w:hAnsiTheme="minorHAnsi" w:cstheme="minorHAnsi"/>
              </w:rPr>
              <w:t>95%</w:t>
            </w:r>
          </w:p>
        </w:tc>
        <w:tc>
          <w:tcPr>
            <w:tcW w:w="1186" w:type="dxa"/>
          </w:tcPr>
          <w:p w14:paraId="20A13877" w14:textId="77777777" w:rsidR="008831F9" w:rsidRPr="00B05E5E" w:rsidRDefault="008831F9" w:rsidP="00EA573C">
            <w:pPr>
              <w:jc w:val="center"/>
              <w:rPr>
                <w:rFonts w:asciiTheme="minorHAnsi" w:hAnsiTheme="minorHAnsi" w:cstheme="minorHAnsi"/>
              </w:rPr>
            </w:pPr>
            <w:r w:rsidRPr="00B05E5E">
              <w:rPr>
                <w:rFonts w:asciiTheme="minorHAnsi" w:hAnsiTheme="minorHAnsi" w:cstheme="minorHAnsi"/>
              </w:rPr>
              <w:t>100%</w:t>
            </w:r>
          </w:p>
        </w:tc>
      </w:tr>
      <w:tr w:rsidR="008831F9" w:rsidRPr="00B05E5E" w14:paraId="5BEE705E" w14:textId="77777777" w:rsidTr="00EA573C">
        <w:tc>
          <w:tcPr>
            <w:tcW w:w="4395" w:type="dxa"/>
          </w:tcPr>
          <w:p w14:paraId="6C6779E3" w14:textId="77777777" w:rsidR="008831F9" w:rsidRDefault="008831F9" w:rsidP="00EA573C">
            <w:pPr>
              <w:rPr>
                <w:rFonts w:asciiTheme="minorHAnsi" w:hAnsiTheme="minorHAnsi" w:cstheme="minorHAnsi"/>
              </w:rPr>
            </w:pPr>
            <w:r w:rsidRPr="00B05E5E">
              <w:rPr>
                <w:rFonts w:asciiTheme="minorHAnsi" w:hAnsiTheme="minorHAnsi" w:cstheme="minorHAnsi"/>
              </w:rPr>
              <w:t>Nawierzchnia</w:t>
            </w:r>
            <w:r>
              <w:rPr>
                <w:rFonts w:asciiTheme="minorHAnsi" w:hAnsiTheme="minorHAnsi" w:cstheme="minorHAnsi"/>
              </w:rPr>
              <w:t xml:space="preserve">  - klasa Z</w:t>
            </w:r>
          </w:p>
          <w:p w14:paraId="58BBE416" w14:textId="77777777" w:rsidR="008831F9" w:rsidRPr="00B05E5E" w:rsidRDefault="008831F9" w:rsidP="00EA573C">
            <w:pPr>
              <w:rPr>
                <w:rFonts w:asciiTheme="minorHAnsi" w:hAnsiTheme="minorHAnsi" w:cstheme="minorHAnsi"/>
              </w:rPr>
            </w:pPr>
            <w:r>
              <w:rPr>
                <w:rFonts w:asciiTheme="minorHAnsi" w:hAnsiTheme="minorHAnsi" w:cstheme="minorHAnsi"/>
              </w:rPr>
              <w:t xml:space="preserve">                           - klasa L,D</w:t>
            </w:r>
          </w:p>
        </w:tc>
        <w:tc>
          <w:tcPr>
            <w:tcW w:w="2268" w:type="dxa"/>
          </w:tcPr>
          <w:p w14:paraId="3B2A0C1D" w14:textId="77777777" w:rsidR="008831F9" w:rsidRPr="00B05E5E" w:rsidRDefault="008831F9" w:rsidP="00EA573C">
            <w:pPr>
              <w:jc w:val="center"/>
              <w:rPr>
                <w:rFonts w:asciiTheme="minorHAnsi" w:hAnsiTheme="minorHAnsi" w:cstheme="minorHAnsi"/>
              </w:rPr>
            </w:pPr>
            <w:r w:rsidRPr="00B05E5E">
              <w:rPr>
                <w:rFonts w:asciiTheme="minorHAnsi" w:hAnsiTheme="minorHAnsi" w:cstheme="minorHAnsi"/>
              </w:rPr>
              <w:t>ścieralna</w:t>
            </w:r>
          </w:p>
        </w:tc>
        <w:tc>
          <w:tcPr>
            <w:tcW w:w="1365" w:type="dxa"/>
          </w:tcPr>
          <w:p w14:paraId="571F927F" w14:textId="77777777" w:rsidR="008831F9" w:rsidRDefault="008831F9" w:rsidP="00EA573C">
            <w:pPr>
              <w:jc w:val="center"/>
              <w:rPr>
                <w:rFonts w:asciiTheme="minorHAnsi" w:hAnsiTheme="minorHAnsi" w:cstheme="minorHAnsi"/>
              </w:rPr>
            </w:pPr>
            <w:r w:rsidRPr="00B05E5E">
              <w:rPr>
                <w:rFonts w:asciiTheme="minorHAnsi" w:hAnsiTheme="minorHAnsi" w:cstheme="minorHAnsi"/>
              </w:rPr>
              <w:t>≤6</w:t>
            </w:r>
            <w:r>
              <w:rPr>
                <w:rFonts w:asciiTheme="minorHAnsi" w:hAnsiTheme="minorHAnsi" w:cstheme="minorHAnsi"/>
              </w:rPr>
              <w:t xml:space="preserve"> </w:t>
            </w:r>
          </w:p>
          <w:p w14:paraId="7143E36E" w14:textId="77777777" w:rsidR="008831F9" w:rsidRPr="00B05E5E" w:rsidRDefault="008831F9" w:rsidP="00EA573C">
            <w:pPr>
              <w:jc w:val="center"/>
              <w:rPr>
                <w:rFonts w:asciiTheme="minorHAnsi" w:hAnsiTheme="minorHAnsi" w:cstheme="minorHAnsi"/>
              </w:rPr>
            </w:pPr>
            <w:r w:rsidRPr="00B05E5E">
              <w:rPr>
                <w:rFonts w:asciiTheme="minorHAnsi" w:hAnsiTheme="minorHAnsi" w:cstheme="minorHAnsi"/>
              </w:rPr>
              <w:t>≤</w:t>
            </w:r>
            <w:r>
              <w:rPr>
                <w:rFonts w:asciiTheme="minorHAnsi" w:hAnsiTheme="minorHAnsi" w:cstheme="minorHAnsi"/>
              </w:rPr>
              <w:t>9</w:t>
            </w:r>
          </w:p>
        </w:tc>
        <w:tc>
          <w:tcPr>
            <w:tcW w:w="1186" w:type="dxa"/>
          </w:tcPr>
          <w:p w14:paraId="5478F63C" w14:textId="77777777" w:rsidR="008831F9" w:rsidRDefault="008831F9" w:rsidP="00EA573C">
            <w:pPr>
              <w:jc w:val="center"/>
              <w:rPr>
                <w:rFonts w:asciiTheme="minorHAnsi" w:hAnsiTheme="minorHAnsi" w:cstheme="minorHAnsi"/>
              </w:rPr>
            </w:pPr>
            <w:r w:rsidRPr="00B05E5E">
              <w:rPr>
                <w:rFonts w:asciiTheme="minorHAnsi" w:hAnsiTheme="minorHAnsi" w:cstheme="minorHAnsi"/>
              </w:rPr>
              <w:t>≤7</w:t>
            </w:r>
          </w:p>
          <w:p w14:paraId="3F8B3EA1" w14:textId="77777777" w:rsidR="008831F9" w:rsidRPr="00B05E5E" w:rsidRDefault="008831F9" w:rsidP="00EA573C">
            <w:pPr>
              <w:jc w:val="center"/>
              <w:rPr>
                <w:rFonts w:asciiTheme="minorHAnsi" w:hAnsiTheme="minorHAnsi" w:cstheme="minorHAnsi"/>
              </w:rPr>
            </w:pPr>
            <w:r w:rsidRPr="00B05E5E">
              <w:rPr>
                <w:rFonts w:asciiTheme="minorHAnsi" w:hAnsiTheme="minorHAnsi" w:cstheme="minorHAnsi"/>
              </w:rPr>
              <w:t>≤</w:t>
            </w:r>
            <w:r>
              <w:rPr>
                <w:rFonts w:asciiTheme="minorHAnsi" w:hAnsiTheme="minorHAnsi" w:cstheme="minorHAnsi"/>
              </w:rPr>
              <w:t>11</w:t>
            </w:r>
          </w:p>
        </w:tc>
      </w:tr>
    </w:tbl>
    <w:p w14:paraId="6559A3BB" w14:textId="77777777" w:rsidR="008831F9" w:rsidRPr="00B05E5E" w:rsidRDefault="008831F9" w:rsidP="008831F9">
      <w:pPr>
        <w:tabs>
          <w:tab w:val="left" w:pos="284"/>
        </w:tabs>
        <w:rPr>
          <w:rFonts w:asciiTheme="minorHAnsi" w:hAnsiTheme="minorHAnsi" w:cstheme="minorHAnsi"/>
        </w:rPr>
      </w:pPr>
    </w:p>
    <w:p w14:paraId="3AEB381E" w14:textId="77777777" w:rsidR="008831F9" w:rsidRPr="004E54A4" w:rsidRDefault="008831F9" w:rsidP="008831F9">
      <w:pPr>
        <w:rPr>
          <w:rFonts w:asciiTheme="minorHAnsi" w:hAnsiTheme="minorHAnsi" w:cstheme="minorHAnsi"/>
        </w:rPr>
      </w:pPr>
      <w:r w:rsidRPr="004E54A4">
        <w:rPr>
          <w:rFonts w:asciiTheme="minorHAnsi" w:hAnsiTheme="minorHAnsi" w:cstheme="minorHAnsi"/>
        </w:rPr>
        <w:t xml:space="preserve">Pomiary równości podłużnej należy wykonywać w środku każdego ocenianego pasa ruchu. </w:t>
      </w:r>
    </w:p>
    <w:p w14:paraId="6CD4A20D" w14:textId="77777777" w:rsidR="008831F9" w:rsidRDefault="008831F9" w:rsidP="008831F9">
      <w:pPr>
        <w:rPr>
          <w:rFonts w:asciiTheme="minorHAnsi" w:hAnsiTheme="minorHAnsi" w:cstheme="minorHAnsi"/>
        </w:rPr>
      </w:pPr>
      <w:r w:rsidRPr="004E54A4">
        <w:rPr>
          <w:rFonts w:asciiTheme="minorHAnsi" w:hAnsiTheme="minorHAnsi" w:cstheme="minorHAnsi"/>
        </w:rPr>
        <w:t>Równość poprzeczna warstwy</w:t>
      </w:r>
    </w:p>
    <w:p w14:paraId="3459ADAE" w14:textId="77777777" w:rsidR="008831F9" w:rsidRPr="004E54A4" w:rsidRDefault="008831F9" w:rsidP="008831F9">
      <w:pPr>
        <w:rPr>
          <w:rFonts w:asciiTheme="minorHAnsi" w:hAnsiTheme="minorHAnsi" w:cstheme="minorHAnsi"/>
        </w:rPr>
      </w:pPr>
      <w:r w:rsidRPr="004E54A4">
        <w:rPr>
          <w:rFonts w:asciiTheme="minorHAnsi" w:hAnsiTheme="minorHAnsi" w:cstheme="minorHAnsi"/>
        </w:rPr>
        <w:t xml:space="preserve">Do oceny równości poprzecznej należy stosować metodę z wykorzystaniem łaty </w:t>
      </w:r>
      <w:r w:rsidRPr="004E54A4">
        <w:rPr>
          <w:rFonts w:asciiTheme="minorHAnsi" w:hAnsiTheme="minorHAnsi" w:cstheme="minorHAnsi"/>
        </w:rPr>
        <w:br/>
        <w:t>4-metrowej i klina. Pomiar wykonuje się nie rzadziej niż co 10 m. Wartość odchyleń równości poprzecznej warstwy ścieralnej nie powinna być większa niż podane w tablicy 11.</w:t>
      </w:r>
    </w:p>
    <w:p w14:paraId="6F68C7D8" w14:textId="77777777" w:rsidR="008831F9" w:rsidRPr="004E54A4" w:rsidRDefault="008831F9" w:rsidP="008831F9">
      <w:pPr>
        <w:rPr>
          <w:rFonts w:asciiTheme="minorHAnsi" w:hAnsiTheme="minorHAnsi" w:cstheme="minorHAnsi"/>
        </w:rPr>
      </w:pPr>
    </w:p>
    <w:p w14:paraId="21C7AF4B" w14:textId="77777777" w:rsidR="008831F9" w:rsidRPr="00B05E5E" w:rsidRDefault="008831F9" w:rsidP="008831F9">
      <w:pPr>
        <w:rPr>
          <w:rFonts w:asciiTheme="minorHAnsi" w:hAnsiTheme="minorHAnsi" w:cstheme="minorHAnsi"/>
        </w:rPr>
      </w:pPr>
      <w:r w:rsidRPr="00B05E5E">
        <w:rPr>
          <w:rFonts w:asciiTheme="minorHAnsi" w:hAnsiTheme="minorHAnsi" w:cstheme="minorHAnsi"/>
        </w:rPr>
        <w:t xml:space="preserve">Tablica 11 Wymagania dla równości poprzecznej </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02"/>
        <w:gridCol w:w="3457"/>
        <w:gridCol w:w="1536"/>
        <w:gridCol w:w="848"/>
        <w:gridCol w:w="848"/>
        <w:gridCol w:w="962"/>
      </w:tblGrid>
      <w:tr w:rsidR="008831F9" w:rsidRPr="00B05E5E" w14:paraId="126E560F" w14:textId="77777777" w:rsidTr="00EA573C">
        <w:tc>
          <w:tcPr>
            <w:tcW w:w="1414" w:type="dxa"/>
          </w:tcPr>
          <w:p w14:paraId="049C939C" w14:textId="77777777" w:rsidR="008831F9" w:rsidRPr="00B05E5E" w:rsidRDefault="008831F9" w:rsidP="00EA573C">
            <w:pPr>
              <w:jc w:val="center"/>
              <w:rPr>
                <w:rFonts w:asciiTheme="minorHAnsi" w:hAnsiTheme="minorHAnsi" w:cstheme="minorHAnsi"/>
              </w:rPr>
            </w:pPr>
            <w:r w:rsidRPr="00B05E5E">
              <w:rPr>
                <w:rFonts w:asciiTheme="minorHAnsi" w:hAnsiTheme="minorHAnsi" w:cstheme="minorHAnsi"/>
              </w:rPr>
              <w:t>Kategoria ruchu</w:t>
            </w:r>
          </w:p>
        </w:tc>
        <w:tc>
          <w:tcPr>
            <w:tcW w:w="3523" w:type="dxa"/>
          </w:tcPr>
          <w:p w14:paraId="05D78677" w14:textId="77777777" w:rsidR="008831F9" w:rsidRPr="00B05E5E" w:rsidRDefault="008831F9" w:rsidP="00EA573C">
            <w:pPr>
              <w:jc w:val="center"/>
              <w:rPr>
                <w:rFonts w:asciiTheme="minorHAnsi" w:hAnsiTheme="minorHAnsi" w:cstheme="minorHAnsi"/>
              </w:rPr>
            </w:pPr>
            <w:r w:rsidRPr="00B05E5E">
              <w:rPr>
                <w:rFonts w:asciiTheme="minorHAnsi" w:hAnsiTheme="minorHAnsi" w:cstheme="minorHAnsi"/>
              </w:rPr>
              <w:t>Element nawierzchni</w:t>
            </w:r>
          </w:p>
        </w:tc>
        <w:tc>
          <w:tcPr>
            <w:tcW w:w="1554" w:type="dxa"/>
          </w:tcPr>
          <w:p w14:paraId="384E3EF3" w14:textId="77777777" w:rsidR="008831F9" w:rsidRPr="00B05E5E" w:rsidRDefault="008831F9" w:rsidP="00EA573C">
            <w:pPr>
              <w:jc w:val="center"/>
              <w:rPr>
                <w:rFonts w:asciiTheme="minorHAnsi" w:hAnsiTheme="minorHAnsi" w:cstheme="minorHAnsi"/>
              </w:rPr>
            </w:pPr>
            <w:r w:rsidRPr="00B05E5E">
              <w:rPr>
                <w:rFonts w:asciiTheme="minorHAnsi" w:hAnsiTheme="minorHAnsi" w:cstheme="minorHAnsi"/>
              </w:rPr>
              <w:t>Rodzaj warstwy</w:t>
            </w:r>
          </w:p>
        </w:tc>
        <w:tc>
          <w:tcPr>
            <w:tcW w:w="857" w:type="dxa"/>
          </w:tcPr>
          <w:p w14:paraId="2CD1C134" w14:textId="77777777" w:rsidR="008831F9" w:rsidRPr="00B05E5E" w:rsidRDefault="008831F9" w:rsidP="00EA573C">
            <w:pPr>
              <w:jc w:val="center"/>
              <w:rPr>
                <w:rFonts w:asciiTheme="minorHAnsi" w:hAnsiTheme="minorHAnsi" w:cstheme="minorHAnsi"/>
              </w:rPr>
            </w:pPr>
            <w:r w:rsidRPr="00B05E5E">
              <w:rPr>
                <w:rFonts w:asciiTheme="minorHAnsi" w:hAnsiTheme="minorHAnsi" w:cstheme="minorHAnsi"/>
              </w:rPr>
              <w:t>90%</w:t>
            </w:r>
          </w:p>
        </w:tc>
        <w:tc>
          <w:tcPr>
            <w:tcW w:w="857" w:type="dxa"/>
          </w:tcPr>
          <w:p w14:paraId="05EDA1F7" w14:textId="77777777" w:rsidR="008831F9" w:rsidRPr="00B05E5E" w:rsidRDefault="008831F9" w:rsidP="00EA573C">
            <w:pPr>
              <w:jc w:val="center"/>
              <w:rPr>
                <w:rFonts w:asciiTheme="minorHAnsi" w:hAnsiTheme="minorHAnsi" w:cstheme="minorHAnsi"/>
              </w:rPr>
            </w:pPr>
            <w:r w:rsidRPr="00B05E5E">
              <w:rPr>
                <w:rFonts w:asciiTheme="minorHAnsi" w:hAnsiTheme="minorHAnsi" w:cstheme="minorHAnsi"/>
              </w:rPr>
              <w:t>95%</w:t>
            </w:r>
          </w:p>
        </w:tc>
        <w:tc>
          <w:tcPr>
            <w:tcW w:w="971" w:type="dxa"/>
          </w:tcPr>
          <w:p w14:paraId="086B2B71" w14:textId="77777777" w:rsidR="008831F9" w:rsidRPr="00B05E5E" w:rsidRDefault="008831F9" w:rsidP="00EA573C">
            <w:pPr>
              <w:jc w:val="center"/>
              <w:rPr>
                <w:rFonts w:asciiTheme="minorHAnsi" w:hAnsiTheme="minorHAnsi" w:cstheme="minorHAnsi"/>
              </w:rPr>
            </w:pPr>
            <w:r w:rsidRPr="00B05E5E">
              <w:rPr>
                <w:rFonts w:asciiTheme="minorHAnsi" w:hAnsiTheme="minorHAnsi" w:cstheme="minorHAnsi"/>
              </w:rPr>
              <w:t>100%</w:t>
            </w:r>
          </w:p>
        </w:tc>
      </w:tr>
      <w:tr w:rsidR="008831F9" w:rsidRPr="00B05E5E" w14:paraId="333269CC" w14:textId="77777777" w:rsidTr="00EA573C">
        <w:tc>
          <w:tcPr>
            <w:tcW w:w="1414" w:type="dxa"/>
          </w:tcPr>
          <w:p w14:paraId="2DE84648" w14:textId="47D8D803" w:rsidR="008831F9" w:rsidRPr="00B05E5E" w:rsidRDefault="008831F9" w:rsidP="00EA573C">
            <w:pPr>
              <w:jc w:val="center"/>
              <w:rPr>
                <w:rFonts w:asciiTheme="minorHAnsi" w:hAnsiTheme="minorHAnsi" w:cstheme="minorHAnsi"/>
              </w:rPr>
            </w:pPr>
            <w:r w:rsidRPr="00B05E5E">
              <w:rPr>
                <w:rFonts w:asciiTheme="minorHAnsi" w:hAnsiTheme="minorHAnsi" w:cstheme="minorHAnsi"/>
              </w:rPr>
              <w:t xml:space="preserve">KR-1 </w:t>
            </w:r>
            <w:r>
              <w:rPr>
                <w:rFonts w:asciiTheme="minorHAnsi" w:hAnsiTheme="minorHAnsi" w:cstheme="minorHAnsi"/>
              </w:rPr>
              <w:t>-</w:t>
            </w:r>
            <w:r w:rsidR="007E56C9">
              <w:rPr>
                <w:rFonts w:asciiTheme="minorHAnsi" w:hAnsiTheme="minorHAnsi" w:cstheme="minorHAnsi"/>
              </w:rPr>
              <w:t>4</w:t>
            </w:r>
          </w:p>
        </w:tc>
        <w:tc>
          <w:tcPr>
            <w:tcW w:w="3523" w:type="dxa"/>
          </w:tcPr>
          <w:p w14:paraId="42DD00E9" w14:textId="77777777" w:rsidR="008831F9" w:rsidRDefault="008831F9" w:rsidP="00EA573C">
            <w:pPr>
              <w:rPr>
                <w:rFonts w:asciiTheme="minorHAnsi" w:hAnsiTheme="minorHAnsi" w:cstheme="minorHAnsi"/>
              </w:rPr>
            </w:pPr>
            <w:r w:rsidRPr="00B05E5E">
              <w:rPr>
                <w:rFonts w:asciiTheme="minorHAnsi" w:hAnsiTheme="minorHAnsi" w:cstheme="minorHAnsi"/>
              </w:rPr>
              <w:t>Nawierzchnia</w:t>
            </w:r>
            <w:r>
              <w:rPr>
                <w:rFonts w:asciiTheme="minorHAnsi" w:hAnsiTheme="minorHAnsi" w:cstheme="minorHAnsi"/>
              </w:rPr>
              <w:t xml:space="preserve"> - klasa Z</w:t>
            </w:r>
          </w:p>
          <w:p w14:paraId="3378D2CC" w14:textId="77777777" w:rsidR="008831F9" w:rsidRPr="00B05E5E" w:rsidRDefault="008831F9" w:rsidP="00EA573C">
            <w:pPr>
              <w:rPr>
                <w:rFonts w:asciiTheme="minorHAnsi" w:hAnsiTheme="minorHAnsi" w:cstheme="minorHAnsi"/>
              </w:rPr>
            </w:pPr>
            <w:r>
              <w:rPr>
                <w:rFonts w:asciiTheme="minorHAnsi" w:hAnsiTheme="minorHAnsi" w:cstheme="minorHAnsi"/>
              </w:rPr>
              <w:t xml:space="preserve">                          - klasa L,D</w:t>
            </w:r>
          </w:p>
        </w:tc>
        <w:tc>
          <w:tcPr>
            <w:tcW w:w="1554" w:type="dxa"/>
          </w:tcPr>
          <w:p w14:paraId="3D3BA205" w14:textId="77777777" w:rsidR="008831F9" w:rsidRPr="00B05E5E" w:rsidRDefault="008831F9" w:rsidP="00EA573C">
            <w:pPr>
              <w:jc w:val="center"/>
              <w:rPr>
                <w:rFonts w:asciiTheme="minorHAnsi" w:hAnsiTheme="minorHAnsi" w:cstheme="minorHAnsi"/>
              </w:rPr>
            </w:pPr>
            <w:r w:rsidRPr="00B05E5E">
              <w:rPr>
                <w:rFonts w:asciiTheme="minorHAnsi" w:hAnsiTheme="minorHAnsi" w:cstheme="minorHAnsi"/>
              </w:rPr>
              <w:t>ścieralna</w:t>
            </w:r>
          </w:p>
        </w:tc>
        <w:tc>
          <w:tcPr>
            <w:tcW w:w="857" w:type="dxa"/>
          </w:tcPr>
          <w:p w14:paraId="33C35F5A" w14:textId="77777777" w:rsidR="008831F9" w:rsidRDefault="008831F9" w:rsidP="00EA573C">
            <w:pPr>
              <w:jc w:val="center"/>
              <w:rPr>
                <w:rFonts w:asciiTheme="minorHAnsi" w:hAnsiTheme="minorHAnsi" w:cstheme="minorHAnsi"/>
              </w:rPr>
            </w:pPr>
            <w:r w:rsidRPr="00B05E5E">
              <w:rPr>
                <w:rFonts w:asciiTheme="minorHAnsi" w:hAnsiTheme="minorHAnsi" w:cstheme="minorHAnsi"/>
              </w:rPr>
              <w:t>≤6</w:t>
            </w:r>
          </w:p>
          <w:p w14:paraId="692DC8C0" w14:textId="77777777" w:rsidR="008831F9" w:rsidRPr="00B05E5E" w:rsidRDefault="008831F9" w:rsidP="00EA573C">
            <w:pPr>
              <w:jc w:val="center"/>
              <w:rPr>
                <w:rFonts w:asciiTheme="minorHAnsi" w:hAnsiTheme="minorHAnsi" w:cstheme="minorHAnsi"/>
              </w:rPr>
            </w:pPr>
            <w:r w:rsidRPr="00B05E5E">
              <w:rPr>
                <w:rFonts w:asciiTheme="minorHAnsi" w:hAnsiTheme="minorHAnsi" w:cstheme="minorHAnsi"/>
              </w:rPr>
              <w:t>≤</w:t>
            </w:r>
            <w:r>
              <w:rPr>
                <w:rFonts w:asciiTheme="minorHAnsi" w:hAnsiTheme="minorHAnsi" w:cstheme="minorHAnsi"/>
              </w:rPr>
              <w:t>9</w:t>
            </w:r>
          </w:p>
        </w:tc>
        <w:tc>
          <w:tcPr>
            <w:tcW w:w="857" w:type="dxa"/>
          </w:tcPr>
          <w:p w14:paraId="1C7B4B6A" w14:textId="77777777" w:rsidR="008831F9" w:rsidRDefault="008831F9" w:rsidP="00EA573C">
            <w:pPr>
              <w:jc w:val="center"/>
              <w:rPr>
                <w:rFonts w:asciiTheme="minorHAnsi" w:hAnsiTheme="minorHAnsi" w:cstheme="minorHAnsi"/>
              </w:rPr>
            </w:pPr>
            <w:r w:rsidRPr="00B05E5E">
              <w:rPr>
                <w:rFonts w:asciiTheme="minorHAnsi" w:hAnsiTheme="minorHAnsi" w:cstheme="minorHAnsi"/>
              </w:rPr>
              <w:t>-</w:t>
            </w:r>
          </w:p>
          <w:p w14:paraId="4108D6EF" w14:textId="77777777" w:rsidR="008831F9" w:rsidRPr="00B05E5E" w:rsidRDefault="008831F9" w:rsidP="00EA573C">
            <w:pPr>
              <w:jc w:val="center"/>
              <w:rPr>
                <w:rFonts w:asciiTheme="minorHAnsi" w:hAnsiTheme="minorHAnsi" w:cstheme="minorHAnsi"/>
              </w:rPr>
            </w:pPr>
            <w:r>
              <w:rPr>
                <w:rFonts w:asciiTheme="minorHAnsi" w:hAnsiTheme="minorHAnsi" w:cstheme="minorHAnsi"/>
              </w:rPr>
              <w:t>-</w:t>
            </w:r>
          </w:p>
        </w:tc>
        <w:tc>
          <w:tcPr>
            <w:tcW w:w="971" w:type="dxa"/>
          </w:tcPr>
          <w:p w14:paraId="0B2A55DC" w14:textId="77777777" w:rsidR="008831F9" w:rsidRDefault="008831F9" w:rsidP="00EA573C">
            <w:pPr>
              <w:jc w:val="center"/>
              <w:rPr>
                <w:rFonts w:asciiTheme="minorHAnsi" w:hAnsiTheme="minorHAnsi" w:cstheme="minorHAnsi"/>
              </w:rPr>
            </w:pPr>
            <w:r w:rsidRPr="00B05E5E">
              <w:rPr>
                <w:rFonts w:asciiTheme="minorHAnsi" w:hAnsiTheme="minorHAnsi" w:cstheme="minorHAnsi"/>
              </w:rPr>
              <w:t>≤9</w:t>
            </w:r>
          </w:p>
          <w:p w14:paraId="722C93E3" w14:textId="77777777" w:rsidR="008831F9" w:rsidRPr="00B05E5E" w:rsidRDefault="008831F9" w:rsidP="00EA573C">
            <w:pPr>
              <w:jc w:val="center"/>
              <w:rPr>
                <w:rFonts w:asciiTheme="minorHAnsi" w:hAnsiTheme="minorHAnsi" w:cstheme="minorHAnsi"/>
              </w:rPr>
            </w:pPr>
            <w:r w:rsidRPr="00B05E5E">
              <w:rPr>
                <w:rFonts w:asciiTheme="minorHAnsi" w:hAnsiTheme="minorHAnsi" w:cstheme="minorHAnsi"/>
              </w:rPr>
              <w:t>≤</w:t>
            </w:r>
            <w:r>
              <w:rPr>
                <w:rFonts w:asciiTheme="minorHAnsi" w:hAnsiTheme="minorHAnsi" w:cstheme="minorHAnsi"/>
              </w:rPr>
              <w:t>11</w:t>
            </w:r>
          </w:p>
        </w:tc>
      </w:tr>
    </w:tbl>
    <w:p w14:paraId="3011742D" w14:textId="77777777" w:rsidR="008831F9" w:rsidRPr="00B05E5E" w:rsidRDefault="008831F9" w:rsidP="008831F9">
      <w:pPr>
        <w:pStyle w:val="tekstost"/>
        <w:rPr>
          <w:rFonts w:asciiTheme="minorHAnsi" w:hAnsiTheme="minorHAnsi" w:cstheme="minorHAnsi"/>
          <w:b/>
        </w:rPr>
      </w:pPr>
      <w:r w:rsidRPr="00B05E5E">
        <w:rPr>
          <w:rFonts w:asciiTheme="minorHAnsi" w:hAnsiTheme="minorHAnsi" w:cstheme="minorHAnsi"/>
          <w:b/>
        </w:rPr>
        <w:t>6.4.3 Złącza podłużne i poprzeczne</w:t>
      </w:r>
    </w:p>
    <w:p w14:paraId="28A2BD9D" w14:textId="77777777" w:rsidR="008831F9" w:rsidRPr="00B05E5E" w:rsidRDefault="008831F9" w:rsidP="008831F9">
      <w:pPr>
        <w:pStyle w:val="tekstost"/>
        <w:rPr>
          <w:rFonts w:asciiTheme="minorHAnsi" w:hAnsiTheme="minorHAnsi" w:cstheme="minorHAnsi"/>
        </w:rPr>
      </w:pPr>
      <w:r w:rsidRPr="00B05E5E">
        <w:rPr>
          <w:rFonts w:asciiTheme="minorHAnsi" w:hAnsiTheme="minorHAnsi" w:cstheme="minorHAnsi"/>
        </w:rPr>
        <w:t>Sprawdzenie prawidłowości wykonania złącza podłużnego i poprzecznego polega na oględzinach. Złącza powinny być równe i związane. Złącza podłużne  w konstrukcjach wielowarstwowych powinny być przesunięte względem siebie o 15 cm w kierunku poprzecznym do osi jezdni . Złącza porzeczne przesunąć względem siebie o co najmniej 2m w kierunku podłużnym do osi jezdni .</w:t>
      </w:r>
    </w:p>
    <w:p w14:paraId="0650ECA8" w14:textId="77777777" w:rsidR="008831F9" w:rsidRPr="00B05E5E" w:rsidRDefault="008831F9" w:rsidP="008831F9">
      <w:pPr>
        <w:pStyle w:val="tekstost"/>
        <w:rPr>
          <w:rFonts w:asciiTheme="minorHAnsi" w:hAnsiTheme="minorHAnsi" w:cstheme="minorHAnsi"/>
          <w:b/>
        </w:rPr>
      </w:pPr>
      <w:r w:rsidRPr="00B05E5E">
        <w:rPr>
          <w:rFonts w:asciiTheme="minorHAnsi" w:hAnsiTheme="minorHAnsi" w:cstheme="minorHAnsi"/>
          <w:b/>
        </w:rPr>
        <w:t>6.4.4  Krawędź, obramowanie warstwy</w:t>
      </w:r>
    </w:p>
    <w:p w14:paraId="69939A7B" w14:textId="77777777" w:rsidR="008831F9" w:rsidRPr="00B05E5E" w:rsidRDefault="008831F9" w:rsidP="008831F9">
      <w:pPr>
        <w:pStyle w:val="tekstost"/>
        <w:rPr>
          <w:rFonts w:asciiTheme="minorHAnsi" w:hAnsiTheme="minorHAnsi" w:cstheme="minorHAnsi"/>
        </w:rPr>
      </w:pPr>
      <w:r w:rsidRPr="00B05E5E">
        <w:rPr>
          <w:rFonts w:asciiTheme="minorHAnsi" w:hAnsiTheme="minorHAnsi" w:cstheme="minorHAnsi"/>
        </w:rPr>
        <w:t>Warstwa bitumiczna przy ściekach drogowych, opornikach i urządzeniach w jezdni powinna wystawać od 5mm do 10 mm ponad ich powierzchnię. Warstwa nieobramowana powinna być wyprofilowana a w miejscach gdzie zaszła konieczność obcięcia, pokryta asfaltem.</w:t>
      </w:r>
    </w:p>
    <w:p w14:paraId="5E9A5C63" w14:textId="77777777" w:rsidR="008831F9" w:rsidRPr="00B05E5E" w:rsidRDefault="008831F9" w:rsidP="008831F9">
      <w:pPr>
        <w:pStyle w:val="tekstost"/>
        <w:rPr>
          <w:rFonts w:asciiTheme="minorHAnsi" w:hAnsiTheme="minorHAnsi" w:cstheme="minorHAnsi"/>
          <w:b/>
        </w:rPr>
      </w:pPr>
      <w:r w:rsidRPr="00B05E5E">
        <w:rPr>
          <w:rFonts w:asciiTheme="minorHAnsi" w:hAnsiTheme="minorHAnsi" w:cstheme="minorHAnsi"/>
          <w:b/>
        </w:rPr>
        <w:t>6.4.</w:t>
      </w:r>
      <w:r>
        <w:rPr>
          <w:rFonts w:asciiTheme="minorHAnsi" w:hAnsiTheme="minorHAnsi" w:cstheme="minorHAnsi"/>
          <w:b/>
        </w:rPr>
        <w:t>5</w:t>
      </w:r>
      <w:r w:rsidRPr="00B05E5E">
        <w:rPr>
          <w:rFonts w:asciiTheme="minorHAnsi" w:hAnsiTheme="minorHAnsi" w:cstheme="minorHAnsi"/>
          <w:b/>
        </w:rPr>
        <w:t xml:space="preserve"> Zagęszczenie warstwy i wolna przestrzeń w warstwie</w:t>
      </w:r>
    </w:p>
    <w:p w14:paraId="62D73DE5" w14:textId="77777777" w:rsidR="008831F9" w:rsidRPr="004E54A4" w:rsidRDefault="008831F9" w:rsidP="008831F9">
      <w:pPr>
        <w:rPr>
          <w:rFonts w:asciiTheme="minorHAnsi" w:hAnsiTheme="minorHAnsi" w:cstheme="minorHAnsi"/>
        </w:rPr>
      </w:pPr>
      <w:r w:rsidRPr="004E54A4">
        <w:rPr>
          <w:rFonts w:asciiTheme="minorHAnsi" w:hAnsiTheme="minorHAnsi" w:cstheme="minorHAnsi"/>
        </w:rPr>
        <w:t xml:space="preserve">Wskaźnik zagęszczenia warstwy należy sprawdzać na próbkach wyciętych z zagęszczonej warstwy poprzez porównanie gęstości objętościowej wyciętych próbek z gęstością objętościową  z opracowanej i zaakceptowanej przez Inżyniera recepty. Określanie gęstości objętościowej należy wykonywać metodą B według normy PN-EN 12697-6. </w:t>
      </w:r>
    </w:p>
    <w:p w14:paraId="766E64A9" w14:textId="77777777" w:rsidR="008831F9" w:rsidRPr="004E54A4" w:rsidRDefault="008831F9" w:rsidP="008831F9">
      <w:pPr>
        <w:rPr>
          <w:rFonts w:asciiTheme="minorHAnsi" w:hAnsiTheme="minorHAnsi" w:cstheme="minorHAnsi"/>
        </w:rPr>
      </w:pPr>
      <w:r w:rsidRPr="004E54A4">
        <w:rPr>
          <w:rFonts w:asciiTheme="minorHAnsi" w:hAnsiTheme="minorHAnsi" w:cstheme="minorHAnsi"/>
        </w:rPr>
        <w:t>Wskaźnik zagęszczenia ułożonej warstwy powinien być nie mniejszy niż 98%</w:t>
      </w:r>
    </w:p>
    <w:p w14:paraId="0418ABDF" w14:textId="77777777" w:rsidR="008831F9" w:rsidRPr="004E54A4" w:rsidRDefault="008831F9" w:rsidP="008831F9">
      <w:pPr>
        <w:pStyle w:val="Nagwek4"/>
      </w:pPr>
      <w:r w:rsidRPr="004E54A4">
        <w:t xml:space="preserve">6.5. Badania kontrolne </w:t>
      </w:r>
    </w:p>
    <w:p w14:paraId="418642E2" w14:textId="77777777" w:rsidR="008831F9" w:rsidRPr="004E54A4" w:rsidRDefault="008831F9" w:rsidP="008831F9">
      <w:pPr>
        <w:rPr>
          <w:rFonts w:ascii="Calibri" w:hAnsi="Calibri" w:cs="Calibri"/>
        </w:rPr>
      </w:pPr>
      <w:r w:rsidRPr="004E54A4">
        <w:rPr>
          <w:rFonts w:ascii="Calibri" w:hAnsi="Calibri" w:cs="Calibri"/>
        </w:rPr>
        <w:t>Badania kontrolne są badaniami Inżyniera, których celem jest sprawdzenie, czy jakość materiałów budowlanych (mieszanek mineralno-asfaltowych i ich składników, lepiszczy i materiałów do uszczelnień itp.) oraz gotowej warstwy (wbudowane warstwy asfaltowe, połączenia itp.) spełniają wymagania określone w kontrakcie. Pobieraniem próbek i wykonaniem badań na miejscu budowy zajmuje się Inżynier w obecności Wykonawcy. Badania odbywają się również wtedy, gdy Wykonawca zostanie w porę powiadomiony o ich terminie, jednak nie będzie przy nich obecny.</w:t>
      </w:r>
    </w:p>
    <w:p w14:paraId="56C0ACC5" w14:textId="77777777" w:rsidR="008831F9" w:rsidRPr="004E54A4" w:rsidRDefault="008831F9" w:rsidP="008831F9">
      <w:pPr>
        <w:rPr>
          <w:rFonts w:ascii="Calibri" w:hAnsi="Calibri" w:cs="Calibri"/>
          <w:b/>
        </w:rPr>
      </w:pPr>
      <w:r w:rsidRPr="004E54A4">
        <w:rPr>
          <w:rFonts w:ascii="Calibri" w:hAnsi="Calibri" w:cs="Calibri"/>
          <w:b/>
        </w:rPr>
        <w:t>6.5.1 Badania kontrolne dodatkowe</w:t>
      </w:r>
    </w:p>
    <w:p w14:paraId="38B0E526" w14:textId="77777777" w:rsidR="008831F9" w:rsidRPr="004E54A4" w:rsidRDefault="008831F9" w:rsidP="008831F9">
      <w:pPr>
        <w:rPr>
          <w:rFonts w:ascii="Calibri" w:hAnsi="Calibri" w:cs="Calibri"/>
        </w:rPr>
      </w:pPr>
      <w:r w:rsidRPr="004E54A4">
        <w:rPr>
          <w:rFonts w:ascii="Calibri" w:hAnsi="Calibri" w:cs="Calibri"/>
        </w:rPr>
        <w:t>W wypadku uznania, że jeden z wyników badań kontrolnych nie jest reprezentatywny dla ocenianego odcinka budowy, Wykonawca ma prawo żądać przeprowadzenia badań kontrolnych dodatkowych.</w:t>
      </w:r>
    </w:p>
    <w:p w14:paraId="7553A5A3" w14:textId="77777777" w:rsidR="008831F9" w:rsidRPr="004E54A4" w:rsidRDefault="008831F9" w:rsidP="008831F9">
      <w:pPr>
        <w:rPr>
          <w:rFonts w:ascii="Calibri" w:hAnsi="Calibri" w:cs="Calibri"/>
        </w:rPr>
      </w:pPr>
      <w:r w:rsidRPr="004E54A4">
        <w:rPr>
          <w:rFonts w:ascii="Calibri" w:hAnsi="Calibri" w:cs="Calibri"/>
        </w:rPr>
        <w:t>Inżynier i Wykonawca decydują wspólnie o miejscach pobierania próbek i wyznaczeniu odcinków częściowych ocenianego odcinka budowy. Jeżeli odcinek częściowy przyporządkowany do badań kontrolnych nie może być jednoznacznie i zgodnie wyznaczony, to odcinek ten nie powinien być mniejszy niż 20% ocenianego odcinka budowy.</w:t>
      </w:r>
    </w:p>
    <w:p w14:paraId="25065F51" w14:textId="77777777" w:rsidR="008831F9" w:rsidRPr="004E54A4" w:rsidRDefault="008831F9" w:rsidP="008831F9">
      <w:pPr>
        <w:rPr>
          <w:rFonts w:ascii="Calibri" w:hAnsi="Calibri" w:cs="Calibri"/>
        </w:rPr>
      </w:pPr>
      <w:r w:rsidRPr="004E54A4">
        <w:rPr>
          <w:rFonts w:ascii="Calibri" w:hAnsi="Calibri" w:cs="Calibri"/>
        </w:rPr>
        <w:t>Do odbioru uwzględniane są wyniki badań kontrolnych i badań kontrolnych dodatkowych do wyznaczonych odcinków częściowych.</w:t>
      </w:r>
    </w:p>
    <w:p w14:paraId="00837F12" w14:textId="77777777" w:rsidR="008831F9" w:rsidRPr="004E54A4" w:rsidRDefault="008831F9" w:rsidP="008831F9">
      <w:pPr>
        <w:rPr>
          <w:rFonts w:ascii="Calibri" w:hAnsi="Calibri" w:cs="Calibri"/>
        </w:rPr>
      </w:pPr>
      <w:r w:rsidRPr="004E54A4">
        <w:rPr>
          <w:rFonts w:ascii="Calibri" w:hAnsi="Calibri" w:cs="Calibri"/>
        </w:rPr>
        <w:t>Koszty badań kontrolnych dodatkowych zażądanych przez Wykonawcę ponosi Wykonawca.</w:t>
      </w:r>
    </w:p>
    <w:p w14:paraId="4FAE8472" w14:textId="77777777" w:rsidR="008831F9" w:rsidRPr="004E54A4" w:rsidRDefault="008831F9" w:rsidP="008831F9">
      <w:pPr>
        <w:rPr>
          <w:rFonts w:ascii="Calibri" w:hAnsi="Calibri" w:cs="Calibri"/>
          <w:b/>
        </w:rPr>
      </w:pPr>
      <w:r w:rsidRPr="004E54A4">
        <w:rPr>
          <w:rFonts w:ascii="Calibri" w:hAnsi="Calibri" w:cs="Calibri"/>
          <w:b/>
        </w:rPr>
        <w:t>6.5.2. Badania arbitrażowe</w:t>
      </w:r>
    </w:p>
    <w:p w14:paraId="751BD803" w14:textId="77777777" w:rsidR="008831F9" w:rsidRPr="004E54A4" w:rsidRDefault="008831F9" w:rsidP="008831F9">
      <w:pPr>
        <w:rPr>
          <w:rFonts w:ascii="Calibri" w:hAnsi="Calibri" w:cs="Calibri"/>
        </w:rPr>
      </w:pPr>
      <w:r w:rsidRPr="004E54A4">
        <w:rPr>
          <w:rFonts w:ascii="Calibri" w:hAnsi="Calibri" w:cs="Calibri"/>
        </w:rPr>
        <w:t>Badania arbitrażowe są powtórzeniem badań kontrolnych, co do których istnieją uzasadnione wątpliwości ze strony Inżyniera lub Wykonawcy (np. na podstawie własnych badań).</w:t>
      </w:r>
    </w:p>
    <w:p w14:paraId="483AE526" w14:textId="77777777" w:rsidR="008831F9" w:rsidRPr="004E54A4" w:rsidRDefault="008831F9" w:rsidP="008831F9">
      <w:pPr>
        <w:rPr>
          <w:rFonts w:ascii="Calibri" w:hAnsi="Calibri" w:cs="Calibri"/>
        </w:rPr>
      </w:pPr>
      <w:r w:rsidRPr="004E54A4">
        <w:rPr>
          <w:rFonts w:ascii="Calibri" w:hAnsi="Calibri" w:cs="Calibri"/>
        </w:rPr>
        <w:t>Badania arbitrażowe wykonuje na wniosek strony kontraktu niezależne laboratorium, które nie wykonywało badań kontrolnych.</w:t>
      </w:r>
    </w:p>
    <w:p w14:paraId="1675B89A" w14:textId="77777777" w:rsidR="008831F9" w:rsidRPr="004E54A4" w:rsidRDefault="008831F9" w:rsidP="008831F9">
      <w:pPr>
        <w:rPr>
          <w:rFonts w:ascii="Calibri" w:hAnsi="Calibri" w:cs="Calibri"/>
        </w:rPr>
      </w:pPr>
      <w:r w:rsidRPr="004E54A4">
        <w:rPr>
          <w:rFonts w:ascii="Calibri" w:hAnsi="Calibri" w:cs="Calibri"/>
        </w:rPr>
        <w:t>Koszty badań arbitrażowych wraz ze wszystkimi kosztami ubocznymi ponosi strona, na której niekorzyść przemawia wynik badania.</w:t>
      </w:r>
    </w:p>
    <w:p w14:paraId="3D379E99" w14:textId="77777777" w:rsidR="008831F9" w:rsidRPr="004E54A4" w:rsidRDefault="008831F9" w:rsidP="008831F9">
      <w:pPr>
        <w:rPr>
          <w:rFonts w:ascii="Calibri" w:hAnsi="Calibri" w:cs="Calibri"/>
        </w:rPr>
      </w:pPr>
      <w:r w:rsidRPr="004E54A4">
        <w:rPr>
          <w:rFonts w:ascii="Calibri" w:hAnsi="Calibri" w:cs="Calibri"/>
        </w:rPr>
        <w:t>Wniosek o przeprowadzenie badań arbitrażowych dotyczących zawartości wolnych przestrzeni lub wskaźnika zagęszczenia należy złożyć w ciągu 2 miesięcy od wpływu reklamacji ze strony Zamawiającego.</w:t>
      </w:r>
    </w:p>
    <w:p w14:paraId="12D29B72" w14:textId="77777777" w:rsidR="007E56C9" w:rsidRDefault="007E56C9" w:rsidP="008831F9">
      <w:pPr>
        <w:pStyle w:val="Nagwek3"/>
      </w:pPr>
    </w:p>
    <w:p w14:paraId="19CC2555" w14:textId="64E3D0EA" w:rsidR="008831F9" w:rsidRPr="00B05E5E" w:rsidRDefault="008831F9" w:rsidP="008831F9">
      <w:pPr>
        <w:pStyle w:val="Nagwek3"/>
      </w:pPr>
      <w:r w:rsidRPr="00B05E5E">
        <w:t>7. OBMIAR ROBÓT</w:t>
      </w:r>
    </w:p>
    <w:p w14:paraId="47C0E7E0" w14:textId="77777777" w:rsidR="008831F9" w:rsidRDefault="008831F9" w:rsidP="008831F9">
      <w:pPr>
        <w:numPr>
          <w:ilvl w:val="12"/>
          <w:numId w:val="0"/>
        </w:numPr>
        <w:tabs>
          <w:tab w:val="left" w:pos="9914"/>
        </w:tabs>
        <w:rPr>
          <w:rFonts w:cstheme="minorHAnsi"/>
        </w:rPr>
      </w:pPr>
    </w:p>
    <w:p w14:paraId="4E8C467B" w14:textId="48C93740" w:rsidR="008831F9" w:rsidRDefault="007E56C9" w:rsidP="008831F9">
      <w:pPr>
        <w:numPr>
          <w:ilvl w:val="12"/>
          <w:numId w:val="0"/>
        </w:numPr>
        <w:tabs>
          <w:tab w:val="left" w:pos="9914"/>
        </w:tabs>
        <w:rPr>
          <w:rFonts w:asciiTheme="minorHAnsi" w:hAnsiTheme="minorHAnsi" w:cstheme="minorHAnsi"/>
        </w:rPr>
      </w:pPr>
      <w:r>
        <w:rPr>
          <w:rFonts w:asciiTheme="minorHAnsi" w:hAnsiTheme="minorHAnsi" w:cstheme="minorHAnsi"/>
        </w:rPr>
        <w:t>Kontrakt ryczałtowy</w:t>
      </w:r>
    </w:p>
    <w:p w14:paraId="04FEAFBC" w14:textId="43F72F93" w:rsidR="007E56C9" w:rsidRPr="00B05E5E" w:rsidRDefault="007E56C9" w:rsidP="008831F9">
      <w:pPr>
        <w:numPr>
          <w:ilvl w:val="12"/>
          <w:numId w:val="0"/>
        </w:numPr>
        <w:tabs>
          <w:tab w:val="left" w:pos="9914"/>
        </w:tabs>
        <w:rPr>
          <w:rFonts w:asciiTheme="minorHAnsi" w:hAnsiTheme="minorHAnsi" w:cstheme="minorHAnsi"/>
        </w:rPr>
      </w:pPr>
      <w:r>
        <w:rPr>
          <w:rFonts w:asciiTheme="minorHAnsi" w:hAnsiTheme="minorHAnsi" w:cstheme="minorHAnsi"/>
        </w:rPr>
        <w:t>Szczegółowe zasady obmiaru robót podano s STWiORB D-M 00.00.00 pkt 7</w:t>
      </w:r>
    </w:p>
    <w:p w14:paraId="7678A8CF" w14:textId="77777777" w:rsidR="008831F9" w:rsidRDefault="008831F9" w:rsidP="00262498">
      <w:pPr>
        <w:pStyle w:val="Nagwek3"/>
        <w:numPr>
          <w:ilvl w:val="0"/>
          <w:numId w:val="260"/>
        </w:numPr>
        <w:ind w:left="284" w:hanging="283"/>
      </w:pPr>
      <w:r w:rsidRPr="00B05E5E">
        <w:t>ODBIÓR ROBÓT</w:t>
      </w:r>
    </w:p>
    <w:p w14:paraId="0DF0FC06" w14:textId="77777777" w:rsidR="008831F9" w:rsidRPr="00B05E5E" w:rsidRDefault="008831F9" w:rsidP="008831F9">
      <w:pPr>
        <w:pStyle w:val="Akapitzlist"/>
      </w:pPr>
    </w:p>
    <w:p w14:paraId="7101182A" w14:textId="77777777" w:rsidR="008831F9" w:rsidRPr="004E54A4" w:rsidRDefault="008831F9" w:rsidP="008831F9">
      <w:pPr>
        <w:numPr>
          <w:ilvl w:val="12"/>
          <w:numId w:val="0"/>
        </w:numPr>
        <w:tabs>
          <w:tab w:val="left" w:pos="9914"/>
        </w:tabs>
        <w:rPr>
          <w:rFonts w:ascii="Calibri" w:hAnsi="Calibri" w:cs="Calibri"/>
        </w:rPr>
      </w:pPr>
      <w:r w:rsidRPr="004E54A4">
        <w:rPr>
          <w:rFonts w:ascii="Calibri" w:hAnsi="Calibri" w:cs="Calibri"/>
        </w:rPr>
        <w:t>Ogólne zasady odbioru robót podano w STWiORB  D-M-00.00.00 „Wymagania ogólne” pkt 8.</w:t>
      </w:r>
    </w:p>
    <w:p w14:paraId="520906FB" w14:textId="77777777" w:rsidR="008831F9" w:rsidRPr="004E54A4" w:rsidRDefault="008831F9" w:rsidP="008831F9">
      <w:pPr>
        <w:numPr>
          <w:ilvl w:val="12"/>
          <w:numId w:val="0"/>
        </w:numPr>
        <w:tabs>
          <w:tab w:val="left" w:pos="9914"/>
        </w:tabs>
        <w:rPr>
          <w:rFonts w:ascii="Calibri" w:hAnsi="Calibri" w:cs="Calibri"/>
        </w:rPr>
      </w:pPr>
      <w:r w:rsidRPr="004E54A4">
        <w:rPr>
          <w:rFonts w:ascii="Calibri" w:hAnsi="Calibri" w:cs="Calibri"/>
        </w:rPr>
        <w:t>Roboty uznaje się za wykonane zgodnie z dokumentacją projektową, STWiORB i wymaganiami Inżyniera, jeżeli wszystkie pomiary i badania z zachowaniem tolerancji według pktu 6 dały wyniki pozytywne.</w:t>
      </w:r>
    </w:p>
    <w:p w14:paraId="3F5DB19C" w14:textId="77777777" w:rsidR="008831F9" w:rsidRPr="004E54A4" w:rsidRDefault="008831F9" w:rsidP="008831F9">
      <w:pPr>
        <w:numPr>
          <w:ilvl w:val="12"/>
          <w:numId w:val="0"/>
        </w:numPr>
        <w:tabs>
          <w:tab w:val="left" w:pos="9914"/>
        </w:tabs>
        <w:rPr>
          <w:rFonts w:ascii="Calibri" w:hAnsi="Calibri" w:cs="Calibri"/>
        </w:rPr>
      </w:pPr>
      <w:r w:rsidRPr="004E54A4">
        <w:rPr>
          <w:rFonts w:ascii="Calibri" w:hAnsi="Calibri" w:cs="Calibri"/>
        </w:rPr>
        <w:t>Jeśli warunki umowy przewidują dokonywanie potrąceń, to Zamawiający może w razie niedotrzymania wartości dopuszczalnych dokonać potrąceń według zasad określonych w WT-2.</w:t>
      </w:r>
    </w:p>
    <w:p w14:paraId="08739321" w14:textId="77777777" w:rsidR="008831F9" w:rsidRPr="004E54A4" w:rsidRDefault="008831F9" w:rsidP="008831F9">
      <w:pPr>
        <w:pStyle w:val="Nagwek3"/>
      </w:pPr>
      <w:r w:rsidRPr="004E54A4">
        <w:t>9. PODSTAWA PŁATNOŚCI</w:t>
      </w:r>
    </w:p>
    <w:p w14:paraId="0F708BA4" w14:textId="77777777" w:rsidR="007E56C9" w:rsidRDefault="008831F9" w:rsidP="008831F9">
      <w:pPr>
        <w:numPr>
          <w:ilvl w:val="12"/>
          <w:numId w:val="0"/>
        </w:numPr>
        <w:tabs>
          <w:tab w:val="left" w:pos="9914"/>
        </w:tabs>
        <w:rPr>
          <w:rFonts w:ascii="Calibri" w:hAnsi="Calibri" w:cs="Calibri"/>
        </w:rPr>
      </w:pPr>
      <w:r w:rsidRPr="004E54A4">
        <w:rPr>
          <w:rFonts w:ascii="Calibri" w:hAnsi="Calibri" w:cs="Calibri"/>
        </w:rPr>
        <w:t>Wynagrodzenia ryczałtowe</w:t>
      </w:r>
    </w:p>
    <w:p w14:paraId="54E00A37" w14:textId="2DE7E457" w:rsidR="008831F9" w:rsidRPr="004E54A4" w:rsidRDefault="007E56C9" w:rsidP="008831F9">
      <w:pPr>
        <w:numPr>
          <w:ilvl w:val="12"/>
          <w:numId w:val="0"/>
        </w:numPr>
        <w:tabs>
          <w:tab w:val="left" w:pos="9914"/>
        </w:tabs>
        <w:rPr>
          <w:rFonts w:asciiTheme="minorHAnsi" w:hAnsiTheme="minorHAnsi" w:cstheme="minorHAnsi"/>
        </w:rPr>
      </w:pPr>
      <w:r>
        <w:rPr>
          <w:rFonts w:ascii="Calibri" w:hAnsi="Calibri" w:cs="Calibri"/>
        </w:rPr>
        <w:t>Szczegółowe zasady płatności podano w STWiORB D-M 00.00.00 pkt 9</w:t>
      </w:r>
      <w:r w:rsidR="008831F9" w:rsidRPr="004E54A4">
        <w:rPr>
          <w:rFonts w:ascii="Calibri" w:hAnsi="Calibri" w:cs="Calibri"/>
        </w:rPr>
        <w:t>.</w:t>
      </w:r>
    </w:p>
    <w:p w14:paraId="31F4C6C9" w14:textId="77777777" w:rsidR="008831F9" w:rsidRPr="00B05E5E" w:rsidRDefault="008831F9" w:rsidP="008831F9">
      <w:pPr>
        <w:pStyle w:val="Nagwek3"/>
      </w:pPr>
      <w:r w:rsidRPr="00B05E5E">
        <w:t>10. PRZEPISY ZWIĄZANE</w:t>
      </w:r>
    </w:p>
    <w:p w14:paraId="167AC897" w14:textId="77777777" w:rsidR="008831F9" w:rsidRPr="00B05E5E" w:rsidRDefault="008831F9" w:rsidP="008831F9">
      <w:pPr>
        <w:pStyle w:val="Nagwek4"/>
      </w:pPr>
      <w:r w:rsidRPr="00B05E5E">
        <w:t>10.1. Przepisy techniczno budowlane</w:t>
      </w:r>
    </w:p>
    <w:p w14:paraId="7F6E0BD6" w14:textId="77777777" w:rsidR="008831F9" w:rsidRPr="004E54A4" w:rsidRDefault="008831F9" w:rsidP="00262498">
      <w:pPr>
        <w:numPr>
          <w:ilvl w:val="0"/>
          <w:numId w:val="255"/>
        </w:numPr>
        <w:tabs>
          <w:tab w:val="left" w:pos="9914"/>
        </w:tabs>
        <w:rPr>
          <w:rFonts w:asciiTheme="minorHAnsi" w:hAnsiTheme="minorHAnsi" w:cstheme="minorHAnsi"/>
        </w:rPr>
      </w:pPr>
      <w:r w:rsidRPr="004E54A4">
        <w:rPr>
          <w:rFonts w:asciiTheme="minorHAnsi" w:hAnsiTheme="minorHAnsi" w:cstheme="minorHAnsi"/>
        </w:rPr>
        <w:t>Rozporządzenie Ministra Transportu i Gospodarki Morskiej z dnia 2 marca 1999 r. w sprawie warunków technicznych, jakim powinny odpowiadać drogi publiczne i ich usytuowanie (Dz.U. nr 43, poz. 430)</w:t>
      </w:r>
    </w:p>
    <w:p w14:paraId="3BC91FC8" w14:textId="77777777" w:rsidR="008831F9" w:rsidRPr="004E54A4" w:rsidRDefault="008831F9" w:rsidP="008831F9">
      <w:pPr>
        <w:tabs>
          <w:tab w:val="left" w:pos="9914"/>
        </w:tabs>
        <w:rPr>
          <w:rFonts w:asciiTheme="minorHAnsi" w:hAnsiTheme="minorHAnsi" w:cstheme="minorHAnsi"/>
        </w:rPr>
      </w:pPr>
    </w:p>
    <w:p w14:paraId="2DD50C0E" w14:textId="77777777" w:rsidR="008831F9" w:rsidRPr="00B05E5E" w:rsidRDefault="008831F9" w:rsidP="008831F9">
      <w:pPr>
        <w:pStyle w:val="Nagwek4"/>
        <w:tabs>
          <w:tab w:val="left" w:pos="9914"/>
        </w:tabs>
        <w:rPr>
          <w:rFonts w:asciiTheme="minorHAnsi" w:hAnsiTheme="minorHAnsi" w:cstheme="minorHAnsi"/>
        </w:rPr>
      </w:pPr>
      <w:r w:rsidRPr="00B05E5E">
        <w:rPr>
          <w:rFonts w:asciiTheme="minorHAnsi" w:hAnsiTheme="minorHAnsi" w:cstheme="minorHAnsi"/>
        </w:rPr>
        <w:t>10.2. Normy</w:t>
      </w:r>
    </w:p>
    <w:tbl>
      <w:tblPr>
        <w:tblW w:w="9747" w:type="dxa"/>
        <w:tblInd w:w="2" w:type="dxa"/>
        <w:tblLook w:val="01E0" w:firstRow="1" w:lastRow="1" w:firstColumn="1" w:lastColumn="1" w:noHBand="0" w:noVBand="0"/>
      </w:tblPr>
      <w:tblGrid>
        <w:gridCol w:w="534"/>
        <w:gridCol w:w="1842"/>
        <w:gridCol w:w="7371"/>
      </w:tblGrid>
      <w:tr w:rsidR="008831F9" w:rsidRPr="00E96860" w14:paraId="5B26F3E3" w14:textId="77777777" w:rsidTr="00EA573C">
        <w:tc>
          <w:tcPr>
            <w:tcW w:w="534" w:type="dxa"/>
          </w:tcPr>
          <w:p w14:paraId="613C4B1A" w14:textId="77777777" w:rsidR="008831F9" w:rsidRPr="00B05E5E" w:rsidRDefault="008831F9" w:rsidP="00EA573C">
            <w:pPr>
              <w:tabs>
                <w:tab w:val="left" w:pos="9914"/>
              </w:tabs>
              <w:rPr>
                <w:rFonts w:asciiTheme="minorHAnsi" w:hAnsiTheme="minorHAnsi" w:cstheme="minorHAnsi"/>
              </w:rPr>
            </w:pPr>
            <w:r w:rsidRPr="00B05E5E">
              <w:rPr>
                <w:rFonts w:asciiTheme="minorHAnsi" w:hAnsiTheme="minorHAnsi" w:cstheme="minorHAnsi"/>
              </w:rPr>
              <w:t>2.</w:t>
            </w:r>
          </w:p>
        </w:tc>
        <w:tc>
          <w:tcPr>
            <w:tcW w:w="1842" w:type="dxa"/>
          </w:tcPr>
          <w:p w14:paraId="611A125D" w14:textId="77777777" w:rsidR="008831F9" w:rsidRPr="00B05E5E" w:rsidRDefault="008831F9" w:rsidP="00EA573C">
            <w:pPr>
              <w:tabs>
                <w:tab w:val="left" w:pos="9914"/>
              </w:tabs>
              <w:rPr>
                <w:rFonts w:asciiTheme="minorHAnsi" w:hAnsiTheme="minorHAnsi" w:cstheme="minorHAnsi"/>
              </w:rPr>
            </w:pPr>
            <w:r w:rsidRPr="00B05E5E">
              <w:rPr>
                <w:rFonts w:asciiTheme="minorHAnsi" w:hAnsiTheme="minorHAnsi" w:cstheme="minorHAnsi"/>
              </w:rPr>
              <w:t>PN-EN 196-21</w:t>
            </w:r>
          </w:p>
        </w:tc>
        <w:tc>
          <w:tcPr>
            <w:tcW w:w="7371" w:type="dxa"/>
          </w:tcPr>
          <w:p w14:paraId="403F6588" w14:textId="77777777" w:rsidR="008831F9" w:rsidRPr="004E54A4" w:rsidRDefault="008831F9" w:rsidP="00EA573C">
            <w:pPr>
              <w:tabs>
                <w:tab w:val="left" w:pos="9914"/>
              </w:tabs>
              <w:rPr>
                <w:rFonts w:asciiTheme="minorHAnsi" w:hAnsiTheme="minorHAnsi" w:cstheme="minorHAnsi"/>
              </w:rPr>
            </w:pPr>
            <w:r w:rsidRPr="004E54A4">
              <w:rPr>
                <w:rFonts w:asciiTheme="minorHAnsi" w:hAnsiTheme="minorHAnsi" w:cstheme="minorHAnsi"/>
              </w:rPr>
              <w:t>Metody badania cementu – Oznaczanie zawartości chlorków, dwutlenku węgla i alkaliów w cemencie</w:t>
            </w:r>
          </w:p>
        </w:tc>
      </w:tr>
      <w:tr w:rsidR="008831F9" w:rsidRPr="00E96860" w14:paraId="679E6522" w14:textId="77777777" w:rsidTr="00EA573C">
        <w:tc>
          <w:tcPr>
            <w:tcW w:w="534" w:type="dxa"/>
          </w:tcPr>
          <w:p w14:paraId="0067315F" w14:textId="77777777" w:rsidR="008831F9" w:rsidRPr="00B05E5E" w:rsidRDefault="008831F9" w:rsidP="00EA573C">
            <w:pPr>
              <w:tabs>
                <w:tab w:val="left" w:pos="9914"/>
              </w:tabs>
              <w:rPr>
                <w:rFonts w:asciiTheme="minorHAnsi" w:hAnsiTheme="minorHAnsi" w:cstheme="minorHAnsi"/>
              </w:rPr>
            </w:pPr>
            <w:r w:rsidRPr="00B05E5E">
              <w:rPr>
                <w:rFonts w:asciiTheme="minorHAnsi" w:hAnsiTheme="minorHAnsi" w:cstheme="minorHAnsi"/>
              </w:rPr>
              <w:t>3.</w:t>
            </w:r>
          </w:p>
        </w:tc>
        <w:tc>
          <w:tcPr>
            <w:tcW w:w="1842" w:type="dxa"/>
          </w:tcPr>
          <w:p w14:paraId="11DDBE31" w14:textId="77777777" w:rsidR="008831F9" w:rsidRPr="00B05E5E" w:rsidRDefault="008831F9" w:rsidP="00EA573C">
            <w:pPr>
              <w:tabs>
                <w:tab w:val="left" w:pos="9914"/>
              </w:tabs>
              <w:rPr>
                <w:rFonts w:asciiTheme="minorHAnsi" w:hAnsiTheme="minorHAnsi" w:cstheme="minorHAnsi"/>
              </w:rPr>
            </w:pPr>
            <w:r w:rsidRPr="00B05E5E">
              <w:rPr>
                <w:rFonts w:asciiTheme="minorHAnsi" w:hAnsiTheme="minorHAnsi" w:cstheme="minorHAnsi"/>
              </w:rPr>
              <w:t>PN-EN 459-2</w:t>
            </w:r>
          </w:p>
        </w:tc>
        <w:tc>
          <w:tcPr>
            <w:tcW w:w="7371" w:type="dxa"/>
          </w:tcPr>
          <w:p w14:paraId="02D60585" w14:textId="77777777" w:rsidR="008831F9" w:rsidRPr="004E54A4" w:rsidRDefault="008831F9" w:rsidP="00EA573C">
            <w:pPr>
              <w:tabs>
                <w:tab w:val="left" w:pos="9914"/>
              </w:tabs>
              <w:rPr>
                <w:rFonts w:asciiTheme="minorHAnsi" w:hAnsiTheme="minorHAnsi" w:cstheme="minorHAnsi"/>
              </w:rPr>
            </w:pPr>
            <w:r w:rsidRPr="004E54A4">
              <w:rPr>
                <w:rFonts w:asciiTheme="minorHAnsi" w:hAnsiTheme="minorHAnsi" w:cstheme="minorHAnsi"/>
              </w:rPr>
              <w:t>Wapno budowlane – Część 2: Metody badań</w:t>
            </w:r>
          </w:p>
        </w:tc>
      </w:tr>
      <w:tr w:rsidR="008831F9" w:rsidRPr="00E96860" w14:paraId="21C0F756" w14:textId="77777777" w:rsidTr="00EA573C">
        <w:tc>
          <w:tcPr>
            <w:tcW w:w="534" w:type="dxa"/>
          </w:tcPr>
          <w:p w14:paraId="429AC6FD" w14:textId="77777777" w:rsidR="008831F9" w:rsidRPr="00B05E5E" w:rsidRDefault="008831F9" w:rsidP="00EA573C">
            <w:pPr>
              <w:tabs>
                <w:tab w:val="left" w:pos="9914"/>
              </w:tabs>
              <w:rPr>
                <w:rFonts w:asciiTheme="minorHAnsi" w:hAnsiTheme="minorHAnsi" w:cstheme="minorHAnsi"/>
              </w:rPr>
            </w:pPr>
            <w:r w:rsidRPr="00B05E5E">
              <w:rPr>
                <w:rFonts w:asciiTheme="minorHAnsi" w:hAnsiTheme="minorHAnsi" w:cstheme="minorHAnsi"/>
              </w:rPr>
              <w:t>4.</w:t>
            </w:r>
          </w:p>
        </w:tc>
        <w:tc>
          <w:tcPr>
            <w:tcW w:w="1842" w:type="dxa"/>
          </w:tcPr>
          <w:p w14:paraId="46D0C1B5" w14:textId="77777777" w:rsidR="008831F9" w:rsidRPr="00B05E5E" w:rsidRDefault="008831F9" w:rsidP="00EA573C">
            <w:pPr>
              <w:tabs>
                <w:tab w:val="left" w:pos="9914"/>
              </w:tabs>
              <w:rPr>
                <w:rFonts w:asciiTheme="minorHAnsi" w:hAnsiTheme="minorHAnsi" w:cstheme="minorHAnsi"/>
              </w:rPr>
            </w:pPr>
            <w:r w:rsidRPr="00B05E5E">
              <w:rPr>
                <w:rFonts w:asciiTheme="minorHAnsi" w:hAnsiTheme="minorHAnsi" w:cstheme="minorHAnsi"/>
              </w:rPr>
              <w:t>PN-EN 932-3</w:t>
            </w:r>
          </w:p>
        </w:tc>
        <w:tc>
          <w:tcPr>
            <w:tcW w:w="7371" w:type="dxa"/>
          </w:tcPr>
          <w:p w14:paraId="51A428E0" w14:textId="77777777" w:rsidR="008831F9" w:rsidRPr="004E54A4" w:rsidRDefault="008831F9" w:rsidP="00EA573C">
            <w:pPr>
              <w:tabs>
                <w:tab w:val="left" w:pos="9914"/>
              </w:tabs>
              <w:rPr>
                <w:rFonts w:asciiTheme="minorHAnsi" w:hAnsiTheme="minorHAnsi" w:cstheme="minorHAnsi"/>
              </w:rPr>
            </w:pPr>
            <w:r w:rsidRPr="004E54A4">
              <w:rPr>
                <w:rFonts w:asciiTheme="minorHAnsi" w:hAnsiTheme="minorHAnsi" w:cstheme="minorHAnsi"/>
              </w:rPr>
              <w:t>Badania podstawowych właściwości kruszyw – Procedura i terminologia uproszczonego opisu petrograficznego</w:t>
            </w:r>
          </w:p>
        </w:tc>
      </w:tr>
      <w:tr w:rsidR="008831F9" w:rsidRPr="00E96860" w14:paraId="67A45BE3" w14:textId="77777777" w:rsidTr="00EA573C">
        <w:tc>
          <w:tcPr>
            <w:tcW w:w="534" w:type="dxa"/>
          </w:tcPr>
          <w:p w14:paraId="02DD6F8B" w14:textId="77777777" w:rsidR="008831F9" w:rsidRPr="00B05E5E" w:rsidRDefault="008831F9" w:rsidP="00EA573C">
            <w:pPr>
              <w:tabs>
                <w:tab w:val="left" w:pos="9914"/>
              </w:tabs>
              <w:rPr>
                <w:rFonts w:asciiTheme="minorHAnsi" w:hAnsiTheme="minorHAnsi" w:cstheme="minorHAnsi"/>
              </w:rPr>
            </w:pPr>
            <w:r w:rsidRPr="00B05E5E">
              <w:rPr>
                <w:rFonts w:asciiTheme="minorHAnsi" w:hAnsiTheme="minorHAnsi" w:cstheme="minorHAnsi"/>
              </w:rPr>
              <w:t>5.</w:t>
            </w:r>
          </w:p>
        </w:tc>
        <w:tc>
          <w:tcPr>
            <w:tcW w:w="1842" w:type="dxa"/>
          </w:tcPr>
          <w:p w14:paraId="040CDE0C" w14:textId="77777777" w:rsidR="008831F9" w:rsidRPr="00B05E5E" w:rsidRDefault="008831F9" w:rsidP="00EA573C">
            <w:pPr>
              <w:tabs>
                <w:tab w:val="left" w:pos="9914"/>
              </w:tabs>
              <w:rPr>
                <w:rFonts w:asciiTheme="minorHAnsi" w:hAnsiTheme="minorHAnsi" w:cstheme="minorHAnsi"/>
              </w:rPr>
            </w:pPr>
            <w:r w:rsidRPr="00B05E5E">
              <w:rPr>
                <w:rFonts w:asciiTheme="minorHAnsi" w:hAnsiTheme="minorHAnsi" w:cstheme="minorHAnsi"/>
              </w:rPr>
              <w:t>PN-EN 933-1</w:t>
            </w:r>
          </w:p>
        </w:tc>
        <w:tc>
          <w:tcPr>
            <w:tcW w:w="7371" w:type="dxa"/>
          </w:tcPr>
          <w:p w14:paraId="7CAF2ED3" w14:textId="77777777" w:rsidR="008831F9" w:rsidRPr="004E54A4" w:rsidRDefault="008831F9" w:rsidP="00EA573C">
            <w:pPr>
              <w:tabs>
                <w:tab w:val="left" w:pos="9914"/>
              </w:tabs>
              <w:rPr>
                <w:rFonts w:asciiTheme="minorHAnsi" w:hAnsiTheme="minorHAnsi" w:cstheme="minorHAnsi"/>
              </w:rPr>
            </w:pPr>
            <w:r w:rsidRPr="004E54A4">
              <w:rPr>
                <w:rFonts w:asciiTheme="minorHAnsi" w:hAnsiTheme="minorHAnsi" w:cstheme="minorHAnsi"/>
              </w:rPr>
              <w:t>Badania geometrycznych właściwości kruszyw – Oznaczanie składu ziarnowego – Metoda przesiewania</w:t>
            </w:r>
          </w:p>
        </w:tc>
      </w:tr>
      <w:tr w:rsidR="008831F9" w:rsidRPr="00E96860" w14:paraId="0CCC5E63" w14:textId="77777777" w:rsidTr="00EA573C">
        <w:tc>
          <w:tcPr>
            <w:tcW w:w="534" w:type="dxa"/>
          </w:tcPr>
          <w:p w14:paraId="2765FF23" w14:textId="77777777" w:rsidR="008831F9" w:rsidRPr="00B05E5E" w:rsidRDefault="008831F9" w:rsidP="00EA573C">
            <w:pPr>
              <w:tabs>
                <w:tab w:val="left" w:pos="9914"/>
              </w:tabs>
              <w:rPr>
                <w:rFonts w:asciiTheme="minorHAnsi" w:hAnsiTheme="minorHAnsi" w:cstheme="minorHAnsi"/>
              </w:rPr>
            </w:pPr>
            <w:r w:rsidRPr="00B05E5E">
              <w:rPr>
                <w:rFonts w:asciiTheme="minorHAnsi" w:hAnsiTheme="minorHAnsi" w:cstheme="minorHAnsi"/>
              </w:rPr>
              <w:t>6.</w:t>
            </w:r>
          </w:p>
        </w:tc>
        <w:tc>
          <w:tcPr>
            <w:tcW w:w="1842" w:type="dxa"/>
          </w:tcPr>
          <w:p w14:paraId="0EF9BC3B" w14:textId="77777777" w:rsidR="008831F9" w:rsidRPr="00B05E5E" w:rsidRDefault="008831F9" w:rsidP="00EA573C">
            <w:pPr>
              <w:tabs>
                <w:tab w:val="left" w:pos="9914"/>
              </w:tabs>
              <w:rPr>
                <w:rFonts w:asciiTheme="minorHAnsi" w:hAnsiTheme="minorHAnsi" w:cstheme="minorHAnsi"/>
              </w:rPr>
            </w:pPr>
            <w:r w:rsidRPr="00B05E5E">
              <w:rPr>
                <w:rFonts w:asciiTheme="minorHAnsi" w:hAnsiTheme="minorHAnsi" w:cstheme="minorHAnsi"/>
              </w:rPr>
              <w:t>PN-EN 933-3</w:t>
            </w:r>
          </w:p>
        </w:tc>
        <w:tc>
          <w:tcPr>
            <w:tcW w:w="7371" w:type="dxa"/>
          </w:tcPr>
          <w:p w14:paraId="1DB6E719" w14:textId="77777777" w:rsidR="008831F9" w:rsidRPr="004E54A4" w:rsidRDefault="008831F9" w:rsidP="00EA573C">
            <w:pPr>
              <w:tabs>
                <w:tab w:val="left" w:pos="9914"/>
              </w:tabs>
              <w:rPr>
                <w:rFonts w:asciiTheme="minorHAnsi" w:hAnsiTheme="minorHAnsi" w:cstheme="minorHAnsi"/>
              </w:rPr>
            </w:pPr>
            <w:r w:rsidRPr="004E54A4">
              <w:rPr>
                <w:rFonts w:asciiTheme="minorHAnsi" w:hAnsiTheme="minorHAnsi" w:cstheme="minorHAnsi"/>
              </w:rPr>
              <w:t>Badania geometrycznych właściwości kruszyw – Oznaczanie kształtu ziaren za pomocą wskaźnika płaskości</w:t>
            </w:r>
          </w:p>
        </w:tc>
      </w:tr>
      <w:tr w:rsidR="008831F9" w:rsidRPr="00E96860" w14:paraId="771A7A80" w14:textId="77777777" w:rsidTr="00EA573C">
        <w:tc>
          <w:tcPr>
            <w:tcW w:w="534" w:type="dxa"/>
          </w:tcPr>
          <w:p w14:paraId="174DA734" w14:textId="77777777" w:rsidR="008831F9" w:rsidRPr="00B05E5E" w:rsidRDefault="008831F9" w:rsidP="00EA573C">
            <w:pPr>
              <w:tabs>
                <w:tab w:val="left" w:pos="9914"/>
              </w:tabs>
              <w:rPr>
                <w:rFonts w:asciiTheme="minorHAnsi" w:hAnsiTheme="minorHAnsi" w:cstheme="minorHAnsi"/>
              </w:rPr>
            </w:pPr>
            <w:r w:rsidRPr="00B05E5E">
              <w:rPr>
                <w:rFonts w:asciiTheme="minorHAnsi" w:hAnsiTheme="minorHAnsi" w:cstheme="minorHAnsi"/>
              </w:rPr>
              <w:t>7.</w:t>
            </w:r>
          </w:p>
        </w:tc>
        <w:tc>
          <w:tcPr>
            <w:tcW w:w="1842" w:type="dxa"/>
          </w:tcPr>
          <w:p w14:paraId="191421F3" w14:textId="77777777" w:rsidR="008831F9" w:rsidRPr="00B05E5E" w:rsidRDefault="008831F9" w:rsidP="00EA573C">
            <w:pPr>
              <w:tabs>
                <w:tab w:val="left" w:pos="9914"/>
              </w:tabs>
              <w:rPr>
                <w:rFonts w:asciiTheme="minorHAnsi" w:hAnsiTheme="minorHAnsi" w:cstheme="minorHAnsi"/>
              </w:rPr>
            </w:pPr>
            <w:r w:rsidRPr="00B05E5E">
              <w:rPr>
                <w:rFonts w:asciiTheme="minorHAnsi" w:hAnsiTheme="minorHAnsi" w:cstheme="minorHAnsi"/>
              </w:rPr>
              <w:t>PN-EN 933-4</w:t>
            </w:r>
          </w:p>
        </w:tc>
        <w:tc>
          <w:tcPr>
            <w:tcW w:w="7371" w:type="dxa"/>
          </w:tcPr>
          <w:p w14:paraId="346739A0" w14:textId="77777777" w:rsidR="008831F9" w:rsidRPr="004E54A4" w:rsidRDefault="008831F9" w:rsidP="00EA573C">
            <w:pPr>
              <w:tabs>
                <w:tab w:val="left" w:pos="9914"/>
              </w:tabs>
              <w:rPr>
                <w:rFonts w:asciiTheme="minorHAnsi" w:hAnsiTheme="minorHAnsi" w:cstheme="minorHAnsi"/>
              </w:rPr>
            </w:pPr>
            <w:r w:rsidRPr="004E54A4">
              <w:rPr>
                <w:rFonts w:asciiTheme="minorHAnsi" w:hAnsiTheme="minorHAnsi" w:cstheme="minorHAnsi"/>
              </w:rPr>
              <w:t>Badania geometrycznych właściwości kruszyw – Część 4: Oznaczanie kształtu ziaren – Wskaźnik kształtu</w:t>
            </w:r>
          </w:p>
        </w:tc>
      </w:tr>
      <w:tr w:rsidR="008831F9" w:rsidRPr="00E96860" w14:paraId="3B7D8D06" w14:textId="77777777" w:rsidTr="00EA573C">
        <w:tc>
          <w:tcPr>
            <w:tcW w:w="534" w:type="dxa"/>
          </w:tcPr>
          <w:p w14:paraId="4DDA765D" w14:textId="77777777" w:rsidR="008831F9" w:rsidRPr="00B05E5E" w:rsidRDefault="008831F9" w:rsidP="00EA573C">
            <w:pPr>
              <w:tabs>
                <w:tab w:val="left" w:pos="9914"/>
              </w:tabs>
              <w:rPr>
                <w:rFonts w:asciiTheme="minorHAnsi" w:hAnsiTheme="minorHAnsi" w:cstheme="minorHAnsi"/>
              </w:rPr>
            </w:pPr>
            <w:r w:rsidRPr="00B05E5E">
              <w:rPr>
                <w:rFonts w:asciiTheme="minorHAnsi" w:hAnsiTheme="minorHAnsi" w:cstheme="minorHAnsi"/>
              </w:rPr>
              <w:t>8.</w:t>
            </w:r>
          </w:p>
        </w:tc>
        <w:tc>
          <w:tcPr>
            <w:tcW w:w="1842" w:type="dxa"/>
          </w:tcPr>
          <w:p w14:paraId="50FB9CFC" w14:textId="77777777" w:rsidR="008831F9" w:rsidRPr="00B05E5E" w:rsidRDefault="008831F9" w:rsidP="00EA573C">
            <w:pPr>
              <w:tabs>
                <w:tab w:val="left" w:pos="9914"/>
              </w:tabs>
              <w:rPr>
                <w:rFonts w:asciiTheme="minorHAnsi" w:hAnsiTheme="minorHAnsi" w:cstheme="minorHAnsi"/>
              </w:rPr>
            </w:pPr>
            <w:r w:rsidRPr="00B05E5E">
              <w:rPr>
                <w:rFonts w:asciiTheme="minorHAnsi" w:hAnsiTheme="minorHAnsi" w:cstheme="minorHAnsi"/>
              </w:rPr>
              <w:t>PN-EN 933-5</w:t>
            </w:r>
          </w:p>
        </w:tc>
        <w:tc>
          <w:tcPr>
            <w:tcW w:w="7371" w:type="dxa"/>
          </w:tcPr>
          <w:p w14:paraId="5FC24929" w14:textId="77777777" w:rsidR="008831F9" w:rsidRPr="004E54A4" w:rsidRDefault="008831F9" w:rsidP="00EA573C">
            <w:pPr>
              <w:tabs>
                <w:tab w:val="left" w:pos="9914"/>
              </w:tabs>
              <w:rPr>
                <w:rFonts w:asciiTheme="minorHAnsi" w:hAnsiTheme="minorHAnsi" w:cstheme="minorHAnsi"/>
              </w:rPr>
            </w:pPr>
            <w:r w:rsidRPr="004E54A4">
              <w:rPr>
                <w:rFonts w:asciiTheme="minorHAnsi" w:hAnsiTheme="minorHAnsi" w:cstheme="minorHAnsi"/>
              </w:rPr>
              <w:t>Badania geometrycznych właściwości kruszyw – Oznaczanie procentowej zawartości ziaren o powierzchniach powstałych w wyniku przekruszenia lub łamania kruszyw grubych</w:t>
            </w:r>
          </w:p>
        </w:tc>
      </w:tr>
      <w:tr w:rsidR="008831F9" w:rsidRPr="00E96860" w14:paraId="5D35D0F0" w14:textId="77777777" w:rsidTr="00EA573C">
        <w:tc>
          <w:tcPr>
            <w:tcW w:w="534" w:type="dxa"/>
          </w:tcPr>
          <w:p w14:paraId="5A9804EE" w14:textId="77777777" w:rsidR="008831F9" w:rsidRPr="00B05E5E" w:rsidRDefault="008831F9" w:rsidP="00EA573C">
            <w:pPr>
              <w:tabs>
                <w:tab w:val="left" w:pos="9914"/>
              </w:tabs>
              <w:rPr>
                <w:rFonts w:asciiTheme="minorHAnsi" w:hAnsiTheme="minorHAnsi" w:cstheme="minorHAnsi"/>
              </w:rPr>
            </w:pPr>
            <w:r w:rsidRPr="00B05E5E">
              <w:rPr>
                <w:rFonts w:asciiTheme="minorHAnsi" w:hAnsiTheme="minorHAnsi" w:cstheme="minorHAnsi"/>
              </w:rPr>
              <w:t>9.</w:t>
            </w:r>
          </w:p>
        </w:tc>
        <w:tc>
          <w:tcPr>
            <w:tcW w:w="1842" w:type="dxa"/>
          </w:tcPr>
          <w:p w14:paraId="150211EE" w14:textId="77777777" w:rsidR="008831F9" w:rsidRPr="00B05E5E" w:rsidRDefault="008831F9" w:rsidP="00EA573C">
            <w:pPr>
              <w:tabs>
                <w:tab w:val="left" w:pos="9914"/>
              </w:tabs>
              <w:rPr>
                <w:rFonts w:asciiTheme="minorHAnsi" w:hAnsiTheme="minorHAnsi" w:cstheme="minorHAnsi"/>
              </w:rPr>
            </w:pPr>
            <w:r w:rsidRPr="00B05E5E">
              <w:rPr>
                <w:rFonts w:asciiTheme="minorHAnsi" w:hAnsiTheme="minorHAnsi" w:cstheme="minorHAnsi"/>
              </w:rPr>
              <w:t>PN-EN 933-6</w:t>
            </w:r>
          </w:p>
        </w:tc>
        <w:tc>
          <w:tcPr>
            <w:tcW w:w="7371" w:type="dxa"/>
          </w:tcPr>
          <w:p w14:paraId="0B76876B" w14:textId="77777777" w:rsidR="008831F9" w:rsidRPr="004E54A4" w:rsidRDefault="008831F9" w:rsidP="00EA573C">
            <w:pPr>
              <w:tabs>
                <w:tab w:val="left" w:pos="9914"/>
              </w:tabs>
              <w:rPr>
                <w:rFonts w:asciiTheme="minorHAnsi" w:hAnsiTheme="minorHAnsi" w:cstheme="minorHAnsi"/>
              </w:rPr>
            </w:pPr>
            <w:r w:rsidRPr="004E54A4">
              <w:rPr>
                <w:rFonts w:asciiTheme="minorHAnsi" w:hAnsiTheme="minorHAnsi" w:cstheme="minorHAnsi"/>
              </w:rPr>
              <w:t>Badania geometrycznych właściwości kruszyw – Część 6: Ocena właściwości powierzchni – Wskaźnik przepływu kruszywa</w:t>
            </w:r>
          </w:p>
        </w:tc>
      </w:tr>
      <w:tr w:rsidR="008831F9" w:rsidRPr="00E96860" w14:paraId="1C7F6C76" w14:textId="77777777" w:rsidTr="00EA573C">
        <w:tc>
          <w:tcPr>
            <w:tcW w:w="534" w:type="dxa"/>
          </w:tcPr>
          <w:p w14:paraId="749D6273" w14:textId="77777777" w:rsidR="008831F9" w:rsidRPr="00B05E5E" w:rsidRDefault="008831F9" w:rsidP="00EA573C">
            <w:pPr>
              <w:tabs>
                <w:tab w:val="left" w:pos="9914"/>
              </w:tabs>
              <w:rPr>
                <w:rFonts w:asciiTheme="minorHAnsi" w:hAnsiTheme="minorHAnsi" w:cstheme="minorHAnsi"/>
              </w:rPr>
            </w:pPr>
            <w:r w:rsidRPr="00B05E5E">
              <w:rPr>
                <w:rFonts w:asciiTheme="minorHAnsi" w:hAnsiTheme="minorHAnsi" w:cstheme="minorHAnsi"/>
              </w:rPr>
              <w:t>10.</w:t>
            </w:r>
          </w:p>
        </w:tc>
        <w:tc>
          <w:tcPr>
            <w:tcW w:w="1842" w:type="dxa"/>
          </w:tcPr>
          <w:p w14:paraId="54D6B8C2" w14:textId="77777777" w:rsidR="008831F9" w:rsidRPr="00B05E5E" w:rsidRDefault="008831F9" w:rsidP="00EA573C">
            <w:pPr>
              <w:tabs>
                <w:tab w:val="left" w:pos="9914"/>
              </w:tabs>
              <w:rPr>
                <w:rFonts w:asciiTheme="minorHAnsi" w:hAnsiTheme="minorHAnsi" w:cstheme="minorHAnsi"/>
              </w:rPr>
            </w:pPr>
            <w:r w:rsidRPr="00B05E5E">
              <w:rPr>
                <w:rFonts w:asciiTheme="minorHAnsi" w:hAnsiTheme="minorHAnsi" w:cstheme="minorHAnsi"/>
              </w:rPr>
              <w:t>PN-EN 933-9</w:t>
            </w:r>
          </w:p>
        </w:tc>
        <w:tc>
          <w:tcPr>
            <w:tcW w:w="7371" w:type="dxa"/>
          </w:tcPr>
          <w:p w14:paraId="4C7AC25E" w14:textId="77777777" w:rsidR="008831F9" w:rsidRPr="004E54A4" w:rsidRDefault="008831F9" w:rsidP="00EA573C">
            <w:pPr>
              <w:tabs>
                <w:tab w:val="left" w:pos="9914"/>
              </w:tabs>
              <w:rPr>
                <w:rFonts w:asciiTheme="minorHAnsi" w:hAnsiTheme="minorHAnsi" w:cstheme="minorHAnsi"/>
              </w:rPr>
            </w:pPr>
            <w:r w:rsidRPr="004E54A4">
              <w:rPr>
                <w:rFonts w:asciiTheme="minorHAnsi" w:hAnsiTheme="minorHAnsi" w:cstheme="minorHAnsi"/>
              </w:rPr>
              <w:t>Badania geometrycznych właściwości kruszyw – Ocena zawartości drobnych cząstek – Badania błękitem metylenowym</w:t>
            </w:r>
          </w:p>
        </w:tc>
      </w:tr>
      <w:tr w:rsidR="008831F9" w:rsidRPr="00E96860" w14:paraId="78DA646D" w14:textId="77777777" w:rsidTr="00EA573C">
        <w:tc>
          <w:tcPr>
            <w:tcW w:w="534" w:type="dxa"/>
          </w:tcPr>
          <w:p w14:paraId="5F70BC50" w14:textId="77777777" w:rsidR="008831F9" w:rsidRPr="00B05E5E" w:rsidRDefault="008831F9" w:rsidP="00EA573C">
            <w:pPr>
              <w:tabs>
                <w:tab w:val="left" w:pos="9914"/>
              </w:tabs>
              <w:rPr>
                <w:rFonts w:asciiTheme="minorHAnsi" w:hAnsiTheme="minorHAnsi" w:cstheme="minorHAnsi"/>
              </w:rPr>
            </w:pPr>
            <w:r w:rsidRPr="00B05E5E">
              <w:rPr>
                <w:rFonts w:asciiTheme="minorHAnsi" w:hAnsiTheme="minorHAnsi" w:cstheme="minorHAnsi"/>
              </w:rPr>
              <w:t>11.</w:t>
            </w:r>
          </w:p>
        </w:tc>
        <w:tc>
          <w:tcPr>
            <w:tcW w:w="1842" w:type="dxa"/>
          </w:tcPr>
          <w:p w14:paraId="02F533EA" w14:textId="77777777" w:rsidR="008831F9" w:rsidRPr="00B05E5E" w:rsidRDefault="008831F9" w:rsidP="00EA573C">
            <w:pPr>
              <w:tabs>
                <w:tab w:val="left" w:pos="9914"/>
              </w:tabs>
              <w:rPr>
                <w:rFonts w:asciiTheme="minorHAnsi" w:hAnsiTheme="minorHAnsi" w:cstheme="minorHAnsi"/>
              </w:rPr>
            </w:pPr>
            <w:r w:rsidRPr="00B05E5E">
              <w:rPr>
                <w:rFonts w:asciiTheme="minorHAnsi" w:hAnsiTheme="minorHAnsi" w:cstheme="minorHAnsi"/>
              </w:rPr>
              <w:t>PN-EN 933-10</w:t>
            </w:r>
          </w:p>
        </w:tc>
        <w:tc>
          <w:tcPr>
            <w:tcW w:w="7371" w:type="dxa"/>
          </w:tcPr>
          <w:p w14:paraId="13D54C3C" w14:textId="77777777" w:rsidR="008831F9" w:rsidRPr="004E54A4" w:rsidRDefault="008831F9" w:rsidP="00EA573C">
            <w:pPr>
              <w:tabs>
                <w:tab w:val="left" w:pos="9914"/>
              </w:tabs>
              <w:rPr>
                <w:rFonts w:asciiTheme="minorHAnsi" w:hAnsiTheme="minorHAnsi" w:cstheme="minorHAnsi"/>
              </w:rPr>
            </w:pPr>
            <w:r w:rsidRPr="004E54A4">
              <w:rPr>
                <w:rFonts w:asciiTheme="minorHAnsi" w:hAnsiTheme="minorHAnsi" w:cstheme="minorHAnsi"/>
              </w:rPr>
              <w:t>Badania geometrycznych właściwości kruszyw – Część 10: Ocena zawartości drobnych cząstek – Uziarnienie wypełniaczy (przesiewanie w strumieniu powietrza)</w:t>
            </w:r>
          </w:p>
        </w:tc>
      </w:tr>
      <w:tr w:rsidR="008831F9" w:rsidRPr="00E96860" w14:paraId="4C9C65C4" w14:textId="77777777" w:rsidTr="00EA573C">
        <w:tc>
          <w:tcPr>
            <w:tcW w:w="534" w:type="dxa"/>
          </w:tcPr>
          <w:p w14:paraId="6D4B9724" w14:textId="77777777" w:rsidR="008831F9" w:rsidRPr="00B05E5E" w:rsidRDefault="008831F9" w:rsidP="00EA573C">
            <w:pPr>
              <w:tabs>
                <w:tab w:val="left" w:pos="9914"/>
              </w:tabs>
              <w:rPr>
                <w:rFonts w:asciiTheme="minorHAnsi" w:hAnsiTheme="minorHAnsi" w:cstheme="minorHAnsi"/>
              </w:rPr>
            </w:pPr>
            <w:r w:rsidRPr="00B05E5E">
              <w:rPr>
                <w:rFonts w:asciiTheme="minorHAnsi" w:hAnsiTheme="minorHAnsi" w:cstheme="minorHAnsi"/>
              </w:rPr>
              <w:t>12.</w:t>
            </w:r>
          </w:p>
        </w:tc>
        <w:tc>
          <w:tcPr>
            <w:tcW w:w="1842" w:type="dxa"/>
          </w:tcPr>
          <w:p w14:paraId="07F22F80" w14:textId="77777777" w:rsidR="008831F9" w:rsidRPr="00B05E5E" w:rsidRDefault="008831F9" w:rsidP="00EA573C">
            <w:pPr>
              <w:tabs>
                <w:tab w:val="left" w:pos="9914"/>
              </w:tabs>
              <w:rPr>
                <w:rFonts w:asciiTheme="minorHAnsi" w:hAnsiTheme="minorHAnsi" w:cstheme="minorHAnsi"/>
              </w:rPr>
            </w:pPr>
            <w:r w:rsidRPr="00B05E5E">
              <w:rPr>
                <w:rFonts w:asciiTheme="minorHAnsi" w:hAnsiTheme="minorHAnsi" w:cstheme="minorHAnsi"/>
              </w:rPr>
              <w:t>PN-EN 1097-2</w:t>
            </w:r>
          </w:p>
        </w:tc>
        <w:tc>
          <w:tcPr>
            <w:tcW w:w="7371" w:type="dxa"/>
          </w:tcPr>
          <w:p w14:paraId="7114F8DF" w14:textId="77777777" w:rsidR="008831F9" w:rsidRPr="004E54A4" w:rsidRDefault="008831F9" w:rsidP="00EA573C">
            <w:pPr>
              <w:tabs>
                <w:tab w:val="left" w:pos="9914"/>
              </w:tabs>
              <w:rPr>
                <w:rFonts w:asciiTheme="minorHAnsi" w:hAnsiTheme="minorHAnsi" w:cstheme="minorHAnsi"/>
              </w:rPr>
            </w:pPr>
            <w:r w:rsidRPr="004E54A4">
              <w:rPr>
                <w:rFonts w:asciiTheme="minorHAnsi" w:hAnsiTheme="minorHAnsi" w:cstheme="minorHAnsi"/>
              </w:rPr>
              <w:t>Badania mechanicznych i fizycznych właściwości kruszyw – Metody oznaczania odporności na rozdrabnianie</w:t>
            </w:r>
          </w:p>
        </w:tc>
      </w:tr>
      <w:tr w:rsidR="008831F9" w:rsidRPr="00E96860" w14:paraId="28F48FFE" w14:textId="77777777" w:rsidTr="00EA573C">
        <w:tc>
          <w:tcPr>
            <w:tcW w:w="534" w:type="dxa"/>
          </w:tcPr>
          <w:p w14:paraId="26F8F9A1" w14:textId="77777777" w:rsidR="008831F9" w:rsidRPr="00B05E5E" w:rsidRDefault="008831F9" w:rsidP="00EA573C">
            <w:pPr>
              <w:tabs>
                <w:tab w:val="left" w:pos="9914"/>
              </w:tabs>
              <w:rPr>
                <w:rFonts w:asciiTheme="minorHAnsi" w:hAnsiTheme="minorHAnsi" w:cstheme="minorHAnsi"/>
              </w:rPr>
            </w:pPr>
            <w:r w:rsidRPr="00B05E5E">
              <w:rPr>
                <w:rFonts w:asciiTheme="minorHAnsi" w:hAnsiTheme="minorHAnsi" w:cstheme="minorHAnsi"/>
              </w:rPr>
              <w:t>13.</w:t>
            </w:r>
          </w:p>
        </w:tc>
        <w:tc>
          <w:tcPr>
            <w:tcW w:w="1842" w:type="dxa"/>
          </w:tcPr>
          <w:p w14:paraId="388D5EC5" w14:textId="77777777" w:rsidR="008831F9" w:rsidRPr="00B05E5E" w:rsidRDefault="008831F9" w:rsidP="00EA573C">
            <w:pPr>
              <w:tabs>
                <w:tab w:val="left" w:pos="9914"/>
              </w:tabs>
              <w:rPr>
                <w:rFonts w:asciiTheme="minorHAnsi" w:hAnsiTheme="minorHAnsi" w:cstheme="minorHAnsi"/>
              </w:rPr>
            </w:pPr>
            <w:r w:rsidRPr="00B05E5E">
              <w:rPr>
                <w:rFonts w:asciiTheme="minorHAnsi" w:hAnsiTheme="minorHAnsi" w:cstheme="minorHAnsi"/>
              </w:rPr>
              <w:t>PN-EN 1097-3</w:t>
            </w:r>
          </w:p>
        </w:tc>
        <w:tc>
          <w:tcPr>
            <w:tcW w:w="7371" w:type="dxa"/>
          </w:tcPr>
          <w:p w14:paraId="227977C5" w14:textId="77777777" w:rsidR="008831F9" w:rsidRPr="004E54A4" w:rsidRDefault="008831F9" w:rsidP="00EA573C">
            <w:pPr>
              <w:tabs>
                <w:tab w:val="left" w:pos="9914"/>
              </w:tabs>
              <w:rPr>
                <w:rFonts w:asciiTheme="minorHAnsi" w:hAnsiTheme="minorHAnsi" w:cstheme="minorHAnsi"/>
              </w:rPr>
            </w:pPr>
            <w:r w:rsidRPr="004E54A4">
              <w:rPr>
                <w:rFonts w:asciiTheme="minorHAnsi" w:hAnsiTheme="minorHAnsi" w:cstheme="minorHAnsi"/>
              </w:rPr>
              <w:t>Badania mechanicznych i fizycznych właściwości kruszyw – Oznaczanie gęstości nasypowej i jamistości</w:t>
            </w:r>
          </w:p>
        </w:tc>
      </w:tr>
      <w:tr w:rsidR="008831F9" w:rsidRPr="00E96860" w14:paraId="21D14564" w14:textId="77777777" w:rsidTr="00EA573C">
        <w:tc>
          <w:tcPr>
            <w:tcW w:w="534" w:type="dxa"/>
          </w:tcPr>
          <w:p w14:paraId="4944CB6E" w14:textId="77777777" w:rsidR="008831F9" w:rsidRPr="00B05E5E" w:rsidRDefault="008831F9" w:rsidP="00EA573C">
            <w:pPr>
              <w:tabs>
                <w:tab w:val="left" w:pos="9914"/>
              </w:tabs>
              <w:rPr>
                <w:rFonts w:asciiTheme="minorHAnsi" w:hAnsiTheme="minorHAnsi" w:cstheme="minorHAnsi"/>
              </w:rPr>
            </w:pPr>
            <w:r w:rsidRPr="00B05E5E">
              <w:rPr>
                <w:rFonts w:asciiTheme="minorHAnsi" w:hAnsiTheme="minorHAnsi" w:cstheme="minorHAnsi"/>
              </w:rPr>
              <w:t>14.</w:t>
            </w:r>
          </w:p>
        </w:tc>
        <w:tc>
          <w:tcPr>
            <w:tcW w:w="1842" w:type="dxa"/>
          </w:tcPr>
          <w:p w14:paraId="6F3D11BA" w14:textId="77777777" w:rsidR="008831F9" w:rsidRPr="00B05E5E" w:rsidRDefault="008831F9" w:rsidP="00EA573C">
            <w:pPr>
              <w:tabs>
                <w:tab w:val="left" w:pos="9914"/>
              </w:tabs>
              <w:rPr>
                <w:rFonts w:asciiTheme="minorHAnsi" w:hAnsiTheme="minorHAnsi" w:cstheme="minorHAnsi"/>
              </w:rPr>
            </w:pPr>
            <w:r w:rsidRPr="00B05E5E">
              <w:rPr>
                <w:rFonts w:asciiTheme="minorHAnsi" w:hAnsiTheme="minorHAnsi" w:cstheme="minorHAnsi"/>
              </w:rPr>
              <w:t>PN-EN 1097-4</w:t>
            </w:r>
          </w:p>
        </w:tc>
        <w:tc>
          <w:tcPr>
            <w:tcW w:w="7371" w:type="dxa"/>
          </w:tcPr>
          <w:p w14:paraId="14DDF373" w14:textId="77777777" w:rsidR="008831F9" w:rsidRPr="004E54A4" w:rsidRDefault="008831F9" w:rsidP="00EA573C">
            <w:pPr>
              <w:tabs>
                <w:tab w:val="left" w:pos="9914"/>
              </w:tabs>
              <w:rPr>
                <w:rFonts w:asciiTheme="minorHAnsi" w:hAnsiTheme="minorHAnsi" w:cstheme="minorHAnsi"/>
              </w:rPr>
            </w:pPr>
            <w:r w:rsidRPr="004E54A4">
              <w:rPr>
                <w:rFonts w:asciiTheme="minorHAnsi" w:hAnsiTheme="minorHAnsi" w:cstheme="minorHAnsi"/>
              </w:rPr>
              <w:t>Badania mechanicznych i fizycznych właściwości kruszyw – Część 4: Oznaczanie pustych przestrzeni suchego, zagęszczonego wypełniacza</w:t>
            </w:r>
          </w:p>
        </w:tc>
      </w:tr>
      <w:tr w:rsidR="008831F9" w:rsidRPr="00E96860" w14:paraId="2482912D" w14:textId="77777777" w:rsidTr="00EA573C">
        <w:tc>
          <w:tcPr>
            <w:tcW w:w="534" w:type="dxa"/>
          </w:tcPr>
          <w:p w14:paraId="745FD329" w14:textId="77777777" w:rsidR="008831F9" w:rsidRPr="00B05E5E" w:rsidRDefault="008831F9" w:rsidP="00EA573C">
            <w:pPr>
              <w:tabs>
                <w:tab w:val="left" w:pos="9914"/>
              </w:tabs>
              <w:rPr>
                <w:rFonts w:asciiTheme="minorHAnsi" w:hAnsiTheme="minorHAnsi" w:cstheme="minorHAnsi"/>
              </w:rPr>
            </w:pPr>
            <w:r w:rsidRPr="00B05E5E">
              <w:rPr>
                <w:rFonts w:asciiTheme="minorHAnsi" w:hAnsiTheme="minorHAnsi" w:cstheme="minorHAnsi"/>
              </w:rPr>
              <w:t>15.</w:t>
            </w:r>
          </w:p>
        </w:tc>
        <w:tc>
          <w:tcPr>
            <w:tcW w:w="1842" w:type="dxa"/>
          </w:tcPr>
          <w:p w14:paraId="1B34B0D3" w14:textId="77777777" w:rsidR="008831F9" w:rsidRPr="00B05E5E" w:rsidRDefault="008831F9" w:rsidP="00EA573C">
            <w:pPr>
              <w:tabs>
                <w:tab w:val="left" w:pos="9914"/>
              </w:tabs>
              <w:rPr>
                <w:rFonts w:asciiTheme="minorHAnsi" w:hAnsiTheme="minorHAnsi" w:cstheme="minorHAnsi"/>
              </w:rPr>
            </w:pPr>
            <w:r w:rsidRPr="00B05E5E">
              <w:rPr>
                <w:rFonts w:asciiTheme="minorHAnsi" w:hAnsiTheme="minorHAnsi" w:cstheme="minorHAnsi"/>
              </w:rPr>
              <w:t>PN-EN 1097-5</w:t>
            </w:r>
          </w:p>
        </w:tc>
        <w:tc>
          <w:tcPr>
            <w:tcW w:w="7371" w:type="dxa"/>
          </w:tcPr>
          <w:p w14:paraId="4F705BE7" w14:textId="77777777" w:rsidR="008831F9" w:rsidRPr="004E54A4" w:rsidRDefault="008831F9" w:rsidP="00EA573C">
            <w:pPr>
              <w:tabs>
                <w:tab w:val="left" w:pos="9914"/>
              </w:tabs>
              <w:rPr>
                <w:rFonts w:asciiTheme="minorHAnsi" w:hAnsiTheme="minorHAnsi" w:cstheme="minorHAnsi"/>
              </w:rPr>
            </w:pPr>
            <w:r w:rsidRPr="004E54A4">
              <w:rPr>
                <w:rFonts w:asciiTheme="minorHAnsi" w:hAnsiTheme="minorHAnsi" w:cstheme="minorHAnsi"/>
              </w:rPr>
              <w:t>Badania mechanicznych i fizycznych właściwości kruszyw – Część 5: Oznaczanie zawartości wody przez suszenie w suszarce z wentylacją</w:t>
            </w:r>
          </w:p>
        </w:tc>
      </w:tr>
      <w:tr w:rsidR="008831F9" w:rsidRPr="00E96860" w14:paraId="75B1515E" w14:textId="77777777" w:rsidTr="00EA573C">
        <w:tc>
          <w:tcPr>
            <w:tcW w:w="534" w:type="dxa"/>
          </w:tcPr>
          <w:p w14:paraId="4008202C" w14:textId="77777777" w:rsidR="008831F9" w:rsidRPr="00B05E5E" w:rsidRDefault="008831F9" w:rsidP="00EA573C">
            <w:pPr>
              <w:tabs>
                <w:tab w:val="left" w:pos="9914"/>
              </w:tabs>
              <w:rPr>
                <w:rFonts w:asciiTheme="minorHAnsi" w:hAnsiTheme="minorHAnsi" w:cstheme="minorHAnsi"/>
              </w:rPr>
            </w:pPr>
            <w:r w:rsidRPr="00B05E5E">
              <w:rPr>
                <w:rFonts w:asciiTheme="minorHAnsi" w:hAnsiTheme="minorHAnsi" w:cstheme="minorHAnsi"/>
              </w:rPr>
              <w:t>16.</w:t>
            </w:r>
          </w:p>
        </w:tc>
        <w:tc>
          <w:tcPr>
            <w:tcW w:w="1842" w:type="dxa"/>
          </w:tcPr>
          <w:p w14:paraId="12C71400" w14:textId="77777777" w:rsidR="008831F9" w:rsidRPr="00B05E5E" w:rsidRDefault="008831F9" w:rsidP="00EA573C">
            <w:pPr>
              <w:tabs>
                <w:tab w:val="left" w:pos="9914"/>
              </w:tabs>
              <w:rPr>
                <w:rFonts w:asciiTheme="minorHAnsi" w:hAnsiTheme="minorHAnsi" w:cstheme="minorHAnsi"/>
              </w:rPr>
            </w:pPr>
            <w:r w:rsidRPr="00B05E5E">
              <w:rPr>
                <w:rFonts w:asciiTheme="minorHAnsi" w:hAnsiTheme="minorHAnsi" w:cstheme="minorHAnsi"/>
              </w:rPr>
              <w:t>PN-EN 1097-6</w:t>
            </w:r>
          </w:p>
        </w:tc>
        <w:tc>
          <w:tcPr>
            <w:tcW w:w="7371" w:type="dxa"/>
          </w:tcPr>
          <w:p w14:paraId="7A56F992" w14:textId="77777777" w:rsidR="008831F9" w:rsidRPr="004E54A4" w:rsidRDefault="008831F9" w:rsidP="00EA573C">
            <w:pPr>
              <w:tabs>
                <w:tab w:val="left" w:pos="9914"/>
              </w:tabs>
              <w:rPr>
                <w:rFonts w:asciiTheme="minorHAnsi" w:hAnsiTheme="minorHAnsi" w:cstheme="minorHAnsi"/>
              </w:rPr>
            </w:pPr>
            <w:r w:rsidRPr="004E54A4">
              <w:rPr>
                <w:rFonts w:asciiTheme="minorHAnsi" w:hAnsiTheme="minorHAnsi" w:cstheme="minorHAnsi"/>
              </w:rPr>
              <w:t>Badania mechanicznych i fizycznych właściwości kruszyw –Część 6: Oznaczanie gęstości ziaren i nasiąkliwości</w:t>
            </w:r>
          </w:p>
        </w:tc>
      </w:tr>
      <w:tr w:rsidR="008831F9" w:rsidRPr="00E96860" w14:paraId="0C9704A1" w14:textId="77777777" w:rsidTr="00EA573C">
        <w:tc>
          <w:tcPr>
            <w:tcW w:w="534" w:type="dxa"/>
          </w:tcPr>
          <w:p w14:paraId="2E8B82C1" w14:textId="77777777" w:rsidR="008831F9" w:rsidRPr="00B05E5E" w:rsidRDefault="008831F9" w:rsidP="00EA573C">
            <w:pPr>
              <w:tabs>
                <w:tab w:val="left" w:pos="9914"/>
              </w:tabs>
              <w:rPr>
                <w:rFonts w:asciiTheme="minorHAnsi" w:hAnsiTheme="minorHAnsi" w:cstheme="minorHAnsi"/>
              </w:rPr>
            </w:pPr>
            <w:r w:rsidRPr="00B05E5E">
              <w:rPr>
                <w:rFonts w:asciiTheme="minorHAnsi" w:hAnsiTheme="minorHAnsi" w:cstheme="minorHAnsi"/>
              </w:rPr>
              <w:t>17.</w:t>
            </w:r>
          </w:p>
        </w:tc>
        <w:tc>
          <w:tcPr>
            <w:tcW w:w="1842" w:type="dxa"/>
          </w:tcPr>
          <w:p w14:paraId="3923E67A" w14:textId="77777777" w:rsidR="008831F9" w:rsidRPr="00B05E5E" w:rsidRDefault="008831F9" w:rsidP="00EA573C">
            <w:pPr>
              <w:tabs>
                <w:tab w:val="left" w:pos="9914"/>
              </w:tabs>
              <w:rPr>
                <w:rFonts w:asciiTheme="minorHAnsi" w:hAnsiTheme="minorHAnsi" w:cstheme="minorHAnsi"/>
              </w:rPr>
            </w:pPr>
            <w:r w:rsidRPr="00B05E5E">
              <w:rPr>
                <w:rFonts w:asciiTheme="minorHAnsi" w:hAnsiTheme="minorHAnsi" w:cstheme="minorHAnsi"/>
              </w:rPr>
              <w:t>PN-EN 1097-7</w:t>
            </w:r>
          </w:p>
        </w:tc>
        <w:tc>
          <w:tcPr>
            <w:tcW w:w="7371" w:type="dxa"/>
          </w:tcPr>
          <w:p w14:paraId="314DB149" w14:textId="77777777" w:rsidR="008831F9" w:rsidRPr="004E54A4" w:rsidRDefault="008831F9" w:rsidP="00EA573C">
            <w:pPr>
              <w:tabs>
                <w:tab w:val="left" w:pos="9914"/>
              </w:tabs>
              <w:rPr>
                <w:rFonts w:asciiTheme="minorHAnsi" w:hAnsiTheme="minorHAnsi" w:cstheme="minorHAnsi"/>
              </w:rPr>
            </w:pPr>
            <w:r w:rsidRPr="004E54A4">
              <w:rPr>
                <w:rFonts w:asciiTheme="minorHAnsi" w:hAnsiTheme="minorHAnsi" w:cstheme="minorHAnsi"/>
              </w:rPr>
              <w:t>Badania mechanicznych i fizycznych właściwości kruszyw – Część 7: Oznaczanie gęstości wypełniacza – Metoda piknometryczna</w:t>
            </w:r>
          </w:p>
        </w:tc>
      </w:tr>
      <w:tr w:rsidR="008831F9" w:rsidRPr="00E96860" w14:paraId="7282128E" w14:textId="77777777" w:rsidTr="00EA573C">
        <w:tc>
          <w:tcPr>
            <w:tcW w:w="534" w:type="dxa"/>
          </w:tcPr>
          <w:p w14:paraId="1899566E" w14:textId="77777777" w:rsidR="008831F9" w:rsidRPr="00B05E5E" w:rsidRDefault="008831F9" w:rsidP="00EA573C">
            <w:pPr>
              <w:tabs>
                <w:tab w:val="left" w:pos="9914"/>
              </w:tabs>
              <w:rPr>
                <w:rFonts w:asciiTheme="minorHAnsi" w:hAnsiTheme="minorHAnsi" w:cstheme="minorHAnsi"/>
              </w:rPr>
            </w:pPr>
            <w:r w:rsidRPr="00B05E5E">
              <w:rPr>
                <w:rFonts w:asciiTheme="minorHAnsi" w:hAnsiTheme="minorHAnsi" w:cstheme="minorHAnsi"/>
              </w:rPr>
              <w:t>18.</w:t>
            </w:r>
          </w:p>
        </w:tc>
        <w:tc>
          <w:tcPr>
            <w:tcW w:w="1842" w:type="dxa"/>
          </w:tcPr>
          <w:p w14:paraId="4D956771" w14:textId="77777777" w:rsidR="008831F9" w:rsidRPr="00B05E5E" w:rsidRDefault="008831F9" w:rsidP="00EA573C">
            <w:pPr>
              <w:tabs>
                <w:tab w:val="left" w:pos="9914"/>
              </w:tabs>
              <w:rPr>
                <w:rFonts w:asciiTheme="minorHAnsi" w:hAnsiTheme="minorHAnsi" w:cstheme="minorHAnsi"/>
              </w:rPr>
            </w:pPr>
            <w:r w:rsidRPr="00B05E5E">
              <w:rPr>
                <w:rFonts w:asciiTheme="minorHAnsi" w:hAnsiTheme="minorHAnsi" w:cstheme="minorHAnsi"/>
              </w:rPr>
              <w:t>PN-EN 1097-8</w:t>
            </w:r>
          </w:p>
        </w:tc>
        <w:tc>
          <w:tcPr>
            <w:tcW w:w="7371" w:type="dxa"/>
          </w:tcPr>
          <w:p w14:paraId="77AE3DB4" w14:textId="77777777" w:rsidR="008831F9" w:rsidRPr="004E54A4" w:rsidRDefault="008831F9" w:rsidP="00EA573C">
            <w:pPr>
              <w:tabs>
                <w:tab w:val="left" w:pos="9914"/>
              </w:tabs>
              <w:rPr>
                <w:rFonts w:asciiTheme="minorHAnsi" w:hAnsiTheme="minorHAnsi" w:cstheme="minorHAnsi"/>
              </w:rPr>
            </w:pPr>
            <w:r w:rsidRPr="004E54A4">
              <w:rPr>
                <w:rFonts w:asciiTheme="minorHAnsi" w:hAnsiTheme="minorHAnsi" w:cstheme="minorHAnsi"/>
              </w:rPr>
              <w:t>Badania mechanicznych i fizycznych właściwości kruszyw – Część 8: Oznaczanie polerowalności kamienia</w:t>
            </w:r>
          </w:p>
        </w:tc>
      </w:tr>
      <w:tr w:rsidR="008831F9" w:rsidRPr="00E96860" w14:paraId="3E9C7CEC" w14:textId="77777777" w:rsidTr="00EA573C">
        <w:tc>
          <w:tcPr>
            <w:tcW w:w="534" w:type="dxa"/>
          </w:tcPr>
          <w:p w14:paraId="030ECEA5" w14:textId="77777777" w:rsidR="008831F9" w:rsidRPr="00B05E5E" w:rsidRDefault="008831F9" w:rsidP="00EA573C">
            <w:pPr>
              <w:tabs>
                <w:tab w:val="left" w:pos="9914"/>
              </w:tabs>
              <w:rPr>
                <w:rFonts w:asciiTheme="minorHAnsi" w:hAnsiTheme="minorHAnsi" w:cstheme="minorHAnsi"/>
              </w:rPr>
            </w:pPr>
            <w:r w:rsidRPr="00B05E5E">
              <w:rPr>
                <w:rFonts w:asciiTheme="minorHAnsi" w:hAnsiTheme="minorHAnsi" w:cstheme="minorHAnsi"/>
              </w:rPr>
              <w:t>19.</w:t>
            </w:r>
          </w:p>
        </w:tc>
        <w:tc>
          <w:tcPr>
            <w:tcW w:w="1842" w:type="dxa"/>
          </w:tcPr>
          <w:p w14:paraId="6A1A498F" w14:textId="77777777" w:rsidR="008831F9" w:rsidRPr="00B05E5E" w:rsidRDefault="008831F9" w:rsidP="00EA573C">
            <w:pPr>
              <w:tabs>
                <w:tab w:val="left" w:pos="9914"/>
              </w:tabs>
              <w:rPr>
                <w:rFonts w:asciiTheme="minorHAnsi" w:hAnsiTheme="minorHAnsi" w:cstheme="minorHAnsi"/>
              </w:rPr>
            </w:pPr>
            <w:r w:rsidRPr="00B05E5E">
              <w:rPr>
                <w:rFonts w:asciiTheme="minorHAnsi" w:hAnsiTheme="minorHAnsi" w:cstheme="minorHAnsi"/>
              </w:rPr>
              <w:t>PN-EN 1367-1</w:t>
            </w:r>
          </w:p>
        </w:tc>
        <w:tc>
          <w:tcPr>
            <w:tcW w:w="7371" w:type="dxa"/>
          </w:tcPr>
          <w:p w14:paraId="0D84E6F2" w14:textId="77777777" w:rsidR="008831F9" w:rsidRPr="004E54A4" w:rsidRDefault="008831F9" w:rsidP="00EA573C">
            <w:pPr>
              <w:tabs>
                <w:tab w:val="left" w:pos="9914"/>
              </w:tabs>
              <w:rPr>
                <w:rFonts w:asciiTheme="minorHAnsi" w:hAnsiTheme="minorHAnsi" w:cstheme="minorHAnsi"/>
              </w:rPr>
            </w:pPr>
            <w:r w:rsidRPr="004E54A4">
              <w:rPr>
                <w:rFonts w:asciiTheme="minorHAnsi" w:hAnsiTheme="minorHAnsi" w:cstheme="minorHAnsi"/>
              </w:rPr>
              <w:t>Badania właściwości cieplnych i odporności kruszyw na działanie czynników atmosferycznych – Część 1: Oznaczanie mrozoodporności</w:t>
            </w:r>
          </w:p>
        </w:tc>
      </w:tr>
      <w:tr w:rsidR="008831F9" w:rsidRPr="00E96860" w14:paraId="094960A5" w14:textId="77777777" w:rsidTr="00EA573C">
        <w:tc>
          <w:tcPr>
            <w:tcW w:w="534" w:type="dxa"/>
          </w:tcPr>
          <w:p w14:paraId="14714D9E" w14:textId="77777777" w:rsidR="008831F9" w:rsidRPr="00B05E5E" w:rsidRDefault="008831F9" w:rsidP="00EA573C">
            <w:pPr>
              <w:tabs>
                <w:tab w:val="left" w:pos="9914"/>
              </w:tabs>
              <w:rPr>
                <w:rFonts w:asciiTheme="minorHAnsi" w:hAnsiTheme="minorHAnsi" w:cstheme="minorHAnsi"/>
              </w:rPr>
            </w:pPr>
            <w:r w:rsidRPr="00B05E5E">
              <w:rPr>
                <w:rFonts w:asciiTheme="minorHAnsi" w:hAnsiTheme="minorHAnsi" w:cstheme="minorHAnsi"/>
              </w:rPr>
              <w:t>20.</w:t>
            </w:r>
          </w:p>
        </w:tc>
        <w:tc>
          <w:tcPr>
            <w:tcW w:w="1842" w:type="dxa"/>
          </w:tcPr>
          <w:p w14:paraId="59BB5EBE" w14:textId="77777777" w:rsidR="008831F9" w:rsidRPr="00B05E5E" w:rsidRDefault="008831F9" w:rsidP="00EA573C">
            <w:pPr>
              <w:tabs>
                <w:tab w:val="left" w:pos="9914"/>
              </w:tabs>
              <w:rPr>
                <w:rFonts w:asciiTheme="minorHAnsi" w:hAnsiTheme="minorHAnsi" w:cstheme="minorHAnsi"/>
              </w:rPr>
            </w:pPr>
            <w:r w:rsidRPr="00B05E5E">
              <w:rPr>
                <w:rFonts w:asciiTheme="minorHAnsi" w:hAnsiTheme="minorHAnsi" w:cstheme="minorHAnsi"/>
              </w:rPr>
              <w:t>PN-EN 1367-3</w:t>
            </w:r>
          </w:p>
        </w:tc>
        <w:tc>
          <w:tcPr>
            <w:tcW w:w="7371" w:type="dxa"/>
          </w:tcPr>
          <w:p w14:paraId="042E8FA5" w14:textId="77777777" w:rsidR="008831F9" w:rsidRPr="004E54A4" w:rsidRDefault="008831F9" w:rsidP="00EA573C">
            <w:pPr>
              <w:tabs>
                <w:tab w:val="left" w:pos="9914"/>
              </w:tabs>
              <w:rPr>
                <w:rFonts w:asciiTheme="minorHAnsi" w:hAnsiTheme="minorHAnsi" w:cstheme="minorHAnsi"/>
              </w:rPr>
            </w:pPr>
            <w:r w:rsidRPr="004E54A4">
              <w:rPr>
                <w:rFonts w:asciiTheme="minorHAnsi" w:hAnsiTheme="minorHAnsi" w:cstheme="minorHAnsi"/>
              </w:rPr>
              <w:t>Badania właściwości cieplnych i odporności kruszyw na działanie czynników atmosferycznych – Część 3: Badanie bazaltowej zgorzeli słonecznej metodą gotowania</w:t>
            </w:r>
          </w:p>
        </w:tc>
      </w:tr>
      <w:tr w:rsidR="008831F9" w:rsidRPr="00E96860" w14:paraId="19C9992A" w14:textId="77777777" w:rsidTr="00EA573C">
        <w:tc>
          <w:tcPr>
            <w:tcW w:w="534" w:type="dxa"/>
          </w:tcPr>
          <w:p w14:paraId="5F0D5A27" w14:textId="77777777" w:rsidR="008831F9" w:rsidRPr="00B05E5E" w:rsidRDefault="008831F9" w:rsidP="00EA573C">
            <w:pPr>
              <w:tabs>
                <w:tab w:val="left" w:pos="9914"/>
              </w:tabs>
              <w:rPr>
                <w:rFonts w:asciiTheme="minorHAnsi" w:hAnsiTheme="minorHAnsi" w:cstheme="minorHAnsi"/>
              </w:rPr>
            </w:pPr>
            <w:r w:rsidRPr="00B05E5E">
              <w:rPr>
                <w:rFonts w:asciiTheme="minorHAnsi" w:hAnsiTheme="minorHAnsi" w:cstheme="minorHAnsi"/>
              </w:rPr>
              <w:t>21.</w:t>
            </w:r>
          </w:p>
        </w:tc>
        <w:tc>
          <w:tcPr>
            <w:tcW w:w="1842" w:type="dxa"/>
          </w:tcPr>
          <w:p w14:paraId="1E487D8F" w14:textId="77777777" w:rsidR="008831F9" w:rsidRPr="00B05E5E" w:rsidRDefault="008831F9" w:rsidP="00EA573C">
            <w:pPr>
              <w:tabs>
                <w:tab w:val="left" w:pos="9914"/>
              </w:tabs>
              <w:rPr>
                <w:rFonts w:asciiTheme="minorHAnsi" w:hAnsiTheme="minorHAnsi" w:cstheme="minorHAnsi"/>
              </w:rPr>
            </w:pPr>
            <w:r w:rsidRPr="00B05E5E">
              <w:rPr>
                <w:rFonts w:asciiTheme="minorHAnsi" w:hAnsiTheme="minorHAnsi" w:cstheme="minorHAnsi"/>
              </w:rPr>
              <w:t>PN-EN 1426</w:t>
            </w:r>
          </w:p>
        </w:tc>
        <w:tc>
          <w:tcPr>
            <w:tcW w:w="7371" w:type="dxa"/>
          </w:tcPr>
          <w:p w14:paraId="5E05A64C" w14:textId="77777777" w:rsidR="008831F9" w:rsidRPr="004E54A4" w:rsidRDefault="008831F9" w:rsidP="00EA573C">
            <w:pPr>
              <w:tabs>
                <w:tab w:val="left" w:pos="9914"/>
              </w:tabs>
              <w:rPr>
                <w:rFonts w:asciiTheme="minorHAnsi" w:hAnsiTheme="minorHAnsi" w:cstheme="minorHAnsi"/>
              </w:rPr>
            </w:pPr>
            <w:r w:rsidRPr="004E54A4">
              <w:rPr>
                <w:rFonts w:asciiTheme="minorHAnsi" w:hAnsiTheme="minorHAnsi" w:cstheme="minorHAnsi"/>
              </w:rPr>
              <w:t>Asfalty i produkty asfaltowe – Oznaczanie penetracji igłą</w:t>
            </w:r>
          </w:p>
        </w:tc>
      </w:tr>
      <w:tr w:rsidR="008831F9" w:rsidRPr="00E96860" w14:paraId="71D4612F" w14:textId="77777777" w:rsidTr="00EA573C">
        <w:tc>
          <w:tcPr>
            <w:tcW w:w="534" w:type="dxa"/>
          </w:tcPr>
          <w:p w14:paraId="660594C8" w14:textId="77777777" w:rsidR="008831F9" w:rsidRPr="00B05E5E" w:rsidRDefault="008831F9" w:rsidP="00EA573C">
            <w:pPr>
              <w:tabs>
                <w:tab w:val="left" w:pos="9914"/>
              </w:tabs>
              <w:rPr>
                <w:rFonts w:asciiTheme="minorHAnsi" w:hAnsiTheme="minorHAnsi" w:cstheme="minorHAnsi"/>
              </w:rPr>
            </w:pPr>
            <w:r w:rsidRPr="00B05E5E">
              <w:rPr>
                <w:rFonts w:asciiTheme="minorHAnsi" w:hAnsiTheme="minorHAnsi" w:cstheme="minorHAnsi"/>
              </w:rPr>
              <w:t xml:space="preserve">22. </w:t>
            </w:r>
          </w:p>
        </w:tc>
        <w:tc>
          <w:tcPr>
            <w:tcW w:w="1842" w:type="dxa"/>
          </w:tcPr>
          <w:p w14:paraId="7F29A328" w14:textId="77777777" w:rsidR="008831F9" w:rsidRPr="00B05E5E" w:rsidRDefault="008831F9" w:rsidP="00EA573C">
            <w:pPr>
              <w:tabs>
                <w:tab w:val="left" w:pos="9914"/>
              </w:tabs>
              <w:rPr>
                <w:rFonts w:asciiTheme="minorHAnsi" w:hAnsiTheme="minorHAnsi" w:cstheme="minorHAnsi"/>
              </w:rPr>
            </w:pPr>
            <w:r w:rsidRPr="00B05E5E">
              <w:rPr>
                <w:rFonts w:asciiTheme="minorHAnsi" w:hAnsiTheme="minorHAnsi" w:cstheme="minorHAnsi"/>
              </w:rPr>
              <w:t>PN-EN 1427</w:t>
            </w:r>
          </w:p>
        </w:tc>
        <w:tc>
          <w:tcPr>
            <w:tcW w:w="7371" w:type="dxa"/>
          </w:tcPr>
          <w:p w14:paraId="7B6521F3" w14:textId="77777777" w:rsidR="008831F9" w:rsidRPr="004E54A4" w:rsidRDefault="008831F9" w:rsidP="00EA573C">
            <w:pPr>
              <w:tabs>
                <w:tab w:val="left" w:pos="9914"/>
              </w:tabs>
              <w:rPr>
                <w:rFonts w:asciiTheme="minorHAnsi" w:hAnsiTheme="minorHAnsi" w:cstheme="minorHAnsi"/>
              </w:rPr>
            </w:pPr>
            <w:r w:rsidRPr="004E54A4">
              <w:rPr>
                <w:rFonts w:asciiTheme="minorHAnsi" w:hAnsiTheme="minorHAnsi" w:cstheme="minorHAnsi"/>
              </w:rPr>
              <w:t>Asfalty i produkty asfaltowe – Oznaczanie temperatury mięknienia – Metoda Pierścień i Kula</w:t>
            </w:r>
          </w:p>
        </w:tc>
      </w:tr>
      <w:tr w:rsidR="008831F9" w:rsidRPr="00E96860" w14:paraId="7E0E3628" w14:textId="77777777" w:rsidTr="00EA573C">
        <w:tc>
          <w:tcPr>
            <w:tcW w:w="534" w:type="dxa"/>
          </w:tcPr>
          <w:p w14:paraId="7BA1364A" w14:textId="77777777" w:rsidR="008831F9" w:rsidRPr="00B05E5E" w:rsidRDefault="008831F9" w:rsidP="00EA573C">
            <w:pPr>
              <w:tabs>
                <w:tab w:val="left" w:pos="9914"/>
              </w:tabs>
              <w:rPr>
                <w:rFonts w:asciiTheme="minorHAnsi" w:hAnsiTheme="minorHAnsi" w:cstheme="minorHAnsi"/>
              </w:rPr>
            </w:pPr>
            <w:r w:rsidRPr="00B05E5E">
              <w:rPr>
                <w:rFonts w:asciiTheme="minorHAnsi" w:hAnsiTheme="minorHAnsi" w:cstheme="minorHAnsi"/>
              </w:rPr>
              <w:t xml:space="preserve">23. </w:t>
            </w:r>
          </w:p>
        </w:tc>
        <w:tc>
          <w:tcPr>
            <w:tcW w:w="1842" w:type="dxa"/>
          </w:tcPr>
          <w:p w14:paraId="72ACBC93" w14:textId="77777777" w:rsidR="008831F9" w:rsidRPr="00B05E5E" w:rsidRDefault="008831F9" w:rsidP="00EA573C">
            <w:pPr>
              <w:tabs>
                <w:tab w:val="left" w:pos="9914"/>
              </w:tabs>
              <w:rPr>
                <w:rFonts w:asciiTheme="minorHAnsi" w:hAnsiTheme="minorHAnsi" w:cstheme="minorHAnsi"/>
              </w:rPr>
            </w:pPr>
            <w:r w:rsidRPr="00B05E5E">
              <w:rPr>
                <w:rFonts w:asciiTheme="minorHAnsi" w:hAnsiTheme="minorHAnsi" w:cstheme="minorHAnsi"/>
              </w:rPr>
              <w:t>PN-EN 1428</w:t>
            </w:r>
          </w:p>
        </w:tc>
        <w:tc>
          <w:tcPr>
            <w:tcW w:w="7371" w:type="dxa"/>
          </w:tcPr>
          <w:p w14:paraId="67CB51CE" w14:textId="77777777" w:rsidR="008831F9" w:rsidRPr="004E54A4" w:rsidRDefault="008831F9" w:rsidP="00EA573C">
            <w:pPr>
              <w:tabs>
                <w:tab w:val="left" w:pos="9914"/>
              </w:tabs>
              <w:rPr>
                <w:rFonts w:asciiTheme="minorHAnsi" w:hAnsiTheme="minorHAnsi" w:cstheme="minorHAnsi"/>
              </w:rPr>
            </w:pPr>
            <w:r w:rsidRPr="004E54A4">
              <w:rPr>
                <w:rFonts w:asciiTheme="minorHAnsi" w:hAnsiTheme="minorHAnsi" w:cstheme="minorHAnsi"/>
              </w:rPr>
              <w:t>Asfalty i lepiszcza asfaltowe – Oznaczanie zawartości wody w emulsjach asfaltowych – Metoda destylacji azeotropowej</w:t>
            </w:r>
          </w:p>
        </w:tc>
      </w:tr>
      <w:tr w:rsidR="008831F9" w:rsidRPr="00E96860" w14:paraId="0DEFABE6" w14:textId="77777777" w:rsidTr="00EA573C">
        <w:tc>
          <w:tcPr>
            <w:tcW w:w="534" w:type="dxa"/>
          </w:tcPr>
          <w:p w14:paraId="02409312" w14:textId="77777777" w:rsidR="008831F9" w:rsidRPr="00B05E5E" w:rsidRDefault="008831F9" w:rsidP="00EA573C">
            <w:pPr>
              <w:tabs>
                <w:tab w:val="left" w:pos="9914"/>
              </w:tabs>
              <w:rPr>
                <w:rFonts w:asciiTheme="minorHAnsi" w:hAnsiTheme="minorHAnsi" w:cstheme="minorHAnsi"/>
              </w:rPr>
            </w:pPr>
            <w:r w:rsidRPr="00B05E5E">
              <w:rPr>
                <w:rFonts w:asciiTheme="minorHAnsi" w:hAnsiTheme="minorHAnsi" w:cstheme="minorHAnsi"/>
              </w:rPr>
              <w:t>24.</w:t>
            </w:r>
          </w:p>
        </w:tc>
        <w:tc>
          <w:tcPr>
            <w:tcW w:w="1842" w:type="dxa"/>
          </w:tcPr>
          <w:p w14:paraId="0256DACE" w14:textId="77777777" w:rsidR="008831F9" w:rsidRPr="00B05E5E" w:rsidRDefault="008831F9" w:rsidP="00EA573C">
            <w:pPr>
              <w:tabs>
                <w:tab w:val="left" w:pos="9914"/>
              </w:tabs>
              <w:rPr>
                <w:rFonts w:asciiTheme="minorHAnsi" w:hAnsiTheme="minorHAnsi" w:cstheme="minorHAnsi"/>
              </w:rPr>
            </w:pPr>
            <w:r w:rsidRPr="00B05E5E">
              <w:rPr>
                <w:rFonts w:asciiTheme="minorHAnsi" w:hAnsiTheme="minorHAnsi" w:cstheme="minorHAnsi"/>
              </w:rPr>
              <w:t>PN-EN 1429</w:t>
            </w:r>
          </w:p>
        </w:tc>
        <w:tc>
          <w:tcPr>
            <w:tcW w:w="7371" w:type="dxa"/>
          </w:tcPr>
          <w:p w14:paraId="5914CC55" w14:textId="77777777" w:rsidR="008831F9" w:rsidRPr="004E54A4" w:rsidRDefault="008831F9" w:rsidP="00EA573C">
            <w:pPr>
              <w:tabs>
                <w:tab w:val="left" w:pos="9914"/>
              </w:tabs>
              <w:rPr>
                <w:rFonts w:asciiTheme="minorHAnsi" w:hAnsiTheme="minorHAnsi" w:cstheme="minorHAnsi"/>
              </w:rPr>
            </w:pPr>
            <w:r w:rsidRPr="004E54A4">
              <w:rPr>
                <w:rFonts w:asciiTheme="minorHAnsi" w:hAnsiTheme="minorHAnsi" w:cstheme="minorHAnsi"/>
              </w:rPr>
              <w:t>Asfalty i lepiszcza asfaltowe – Oznaczanie pozostałości na sicie emulsji asfaltowych oraz trwałości podczas magazynowania metodą pozostałości na sicie</w:t>
            </w:r>
          </w:p>
        </w:tc>
      </w:tr>
      <w:tr w:rsidR="008831F9" w:rsidRPr="00E96860" w14:paraId="20B853EB" w14:textId="77777777" w:rsidTr="00EA573C">
        <w:tc>
          <w:tcPr>
            <w:tcW w:w="534" w:type="dxa"/>
          </w:tcPr>
          <w:p w14:paraId="3EA24C47" w14:textId="77777777" w:rsidR="008831F9" w:rsidRPr="00B05E5E" w:rsidRDefault="008831F9" w:rsidP="00EA573C">
            <w:pPr>
              <w:tabs>
                <w:tab w:val="left" w:pos="9914"/>
              </w:tabs>
              <w:rPr>
                <w:rFonts w:asciiTheme="minorHAnsi" w:hAnsiTheme="minorHAnsi" w:cstheme="minorHAnsi"/>
              </w:rPr>
            </w:pPr>
            <w:r w:rsidRPr="00B05E5E">
              <w:rPr>
                <w:rFonts w:asciiTheme="minorHAnsi" w:hAnsiTheme="minorHAnsi" w:cstheme="minorHAnsi"/>
              </w:rPr>
              <w:t>25.</w:t>
            </w:r>
          </w:p>
        </w:tc>
        <w:tc>
          <w:tcPr>
            <w:tcW w:w="1842" w:type="dxa"/>
          </w:tcPr>
          <w:p w14:paraId="735522B2" w14:textId="77777777" w:rsidR="008831F9" w:rsidRPr="00B05E5E" w:rsidRDefault="008831F9" w:rsidP="00EA573C">
            <w:pPr>
              <w:tabs>
                <w:tab w:val="left" w:pos="9914"/>
              </w:tabs>
              <w:rPr>
                <w:rFonts w:asciiTheme="minorHAnsi" w:hAnsiTheme="minorHAnsi" w:cstheme="minorHAnsi"/>
              </w:rPr>
            </w:pPr>
            <w:r w:rsidRPr="00B05E5E">
              <w:rPr>
                <w:rFonts w:asciiTheme="minorHAnsi" w:hAnsiTheme="minorHAnsi" w:cstheme="minorHAnsi"/>
              </w:rPr>
              <w:t>PN-EN 1744-1</w:t>
            </w:r>
          </w:p>
        </w:tc>
        <w:tc>
          <w:tcPr>
            <w:tcW w:w="7371" w:type="dxa"/>
          </w:tcPr>
          <w:p w14:paraId="2420FDE1" w14:textId="77777777" w:rsidR="008831F9" w:rsidRPr="004E54A4" w:rsidRDefault="008831F9" w:rsidP="00EA573C">
            <w:pPr>
              <w:tabs>
                <w:tab w:val="left" w:pos="9914"/>
              </w:tabs>
              <w:rPr>
                <w:rFonts w:asciiTheme="minorHAnsi" w:hAnsiTheme="minorHAnsi" w:cstheme="minorHAnsi"/>
              </w:rPr>
            </w:pPr>
            <w:r w:rsidRPr="004E54A4">
              <w:rPr>
                <w:rFonts w:asciiTheme="minorHAnsi" w:hAnsiTheme="minorHAnsi" w:cstheme="minorHAnsi"/>
              </w:rPr>
              <w:t>Badania chemicznych właściwości kruszyw – Analiza chemiczna</w:t>
            </w:r>
          </w:p>
        </w:tc>
      </w:tr>
      <w:tr w:rsidR="008831F9" w:rsidRPr="00E96860" w14:paraId="308FD320" w14:textId="77777777" w:rsidTr="00EA573C">
        <w:tc>
          <w:tcPr>
            <w:tcW w:w="534" w:type="dxa"/>
          </w:tcPr>
          <w:p w14:paraId="5A78142B" w14:textId="77777777" w:rsidR="008831F9" w:rsidRPr="00B05E5E" w:rsidRDefault="008831F9" w:rsidP="00EA573C">
            <w:pPr>
              <w:tabs>
                <w:tab w:val="left" w:pos="9914"/>
              </w:tabs>
              <w:rPr>
                <w:rFonts w:asciiTheme="minorHAnsi" w:hAnsiTheme="minorHAnsi" w:cstheme="minorHAnsi"/>
              </w:rPr>
            </w:pPr>
            <w:r w:rsidRPr="00B05E5E">
              <w:rPr>
                <w:rFonts w:asciiTheme="minorHAnsi" w:hAnsiTheme="minorHAnsi" w:cstheme="minorHAnsi"/>
              </w:rPr>
              <w:t>26.</w:t>
            </w:r>
          </w:p>
        </w:tc>
        <w:tc>
          <w:tcPr>
            <w:tcW w:w="1842" w:type="dxa"/>
          </w:tcPr>
          <w:p w14:paraId="4BAA9F7F" w14:textId="77777777" w:rsidR="008831F9" w:rsidRPr="00B05E5E" w:rsidRDefault="008831F9" w:rsidP="00EA573C">
            <w:pPr>
              <w:tabs>
                <w:tab w:val="left" w:pos="9914"/>
              </w:tabs>
              <w:rPr>
                <w:rFonts w:asciiTheme="minorHAnsi" w:hAnsiTheme="minorHAnsi" w:cstheme="minorHAnsi"/>
              </w:rPr>
            </w:pPr>
            <w:r w:rsidRPr="00B05E5E">
              <w:rPr>
                <w:rFonts w:asciiTheme="minorHAnsi" w:hAnsiTheme="minorHAnsi" w:cstheme="minorHAnsi"/>
              </w:rPr>
              <w:t>PN-EN 1744-4</w:t>
            </w:r>
          </w:p>
        </w:tc>
        <w:tc>
          <w:tcPr>
            <w:tcW w:w="7371" w:type="dxa"/>
          </w:tcPr>
          <w:p w14:paraId="6BB597DC" w14:textId="77777777" w:rsidR="008831F9" w:rsidRPr="004E54A4" w:rsidRDefault="008831F9" w:rsidP="00EA573C">
            <w:pPr>
              <w:tabs>
                <w:tab w:val="left" w:pos="9914"/>
              </w:tabs>
              <w:rPr>
                <w:rFonts w:asciiTheme="minorHAnsi" w:hAnsiTheme="minorHAnsi" w:cstheme="minorHAnsi"/>
              </w:rPr>
            </w:pPr>
            <w:r w:rsidRPr="004E54A4">
              <w:rPr>
                <w:rFonts w:asciiTheme="minorHAnsi" w:hAnsiTheme="minorHAnsi" w:cstheme="minorHAnsi"/>
              </w:rPr>
              <w:t>Badania chemicznych właściwości kruszyw – Część 4: Oznaczanie podatności wypełniaczy do mieszanek mineralno-asfaltowych na działanie wody</w:t>
            </w:r>
          </w:p>
        </w:tc>
      </w:tr>
      <w:tr w:rsidR="008831F9" w:rsidRPr="00E96860" w14:paraId="1AFDDC07" w14:textId="77777777" w:rsidTr="00EA573C">
        <w:tc>
          <w:tcPr>
            <w:tcW w:w="534" w:type="dxa"/>
          </w:tcPr>
          <w:p w14:paraId="18A34460" w14:textId="77777777" w:rsidR="008831F9" w:rsidRPr="00B05E5E" w:rsidRDefault="008831F9" w:rsidP="00EA573C">
            <w:pPr>
              <w:tabs>
                <w:tab w:val="left" w:pos="9914"/>
              </w:tabs>
              <w:rPr>
                <w:rFonts w:asciiTheme="minorHAnsi" w:hAnsiTheme="minorHAnsi" w:cstheme="minorHAnsi"/>
              </w:rPr>
            </w:pPr>
            <w:r w:rsidRPr="00B05E5E">
              <w:rPr>
                <w:rFonts w:asciiTheme="minorHAnsi" w:hAnsiTheme="minorHAnsi" w:cstheme="minorHAnsi"/>
              </w:rPr>
              <w:t>27.</w:t>
            </w:r>
          </w:p>
        </w:tc>
        <w:tc>
          <w:tcPr>
            <w:tcW w:w="1842" w:type="dxa"/>
          </w:tcPr>
          <w:p w14:paraId="4A82D0DF" w14:textId="77777777" w:rsidR="008831F9" w:rsidRPr="00B05E5E" w:rsidRDefault="008831F9" w:rsidP="00EA573C">
            <w:pPr>
              <w:tabs>
                <w:tab w:val="left" w:pos="9914"/>
              </w:tabs>
              <w:rPr>
                <w:rFonts w:asciiTheme="minorHAnsi" w:hAnsiTheme="minorHAnsi" w:cstheme="minorHAnsi"/>
              </w:rPr>
            </w:pPr>
            <w:r w:rsidRPr="00B05E5E">
              <w:rPr>
                <w:rFonts w:asciiTheme="minorHAnsi" w:hAnsiTheme="minorHAnsi" w:cstheme="minorHAnsi"/>
              </w:rPr>
              <w:t>PN-EN 12591</w:t>
            </w:r>
          </w:p>
        </w:tc>
        <w:tc>
          <w:tcPr>
            <w:tcW w:w="7371" w:type="dxa"/>
          </w:tcPr>
          <w:p w14:paraId="1793C51E" w14:textId="77777777" w:rsidR="008831F9" w:rsidRPr="004E54A4" w:rsidRDefault="008831F9" w:rsidP="00EA573C">
            <w:pPr>
              <w:tabs>
                <w:tab w:val="left" w:pos="9914"/>
              </w:tabs>
              <w:rPr>
                <w:rFonts w:asciiTheme="minorHAnsi" w:hAnsiTheme="minorHAnsi" w:cstheme="minorHAnsi"/>
              </w:rPr>
            </w:pPr>
            <w:r w:rsidRPr="004E54A4">
              <w:rPr>
                <w:rFonts w:asciiTheme="minorHAnsi" w:hAnsiTheme="minorHAnsi" w:cstheme="minorHAnsi"/>
              </w:rPr>
              <w:t>Asfalty i produkty asfaltowe – Wymagania dla asfaltów drogowych</w:t>
            </w:r>
          </w:p>
        </w:tc>
      </w:tr>
      <w:tr w:rsidR="008831F9" w:rsidRPr="00E96860" w14:paraId="63D13878" w14:textId="77777777" w:rsidTr="00EA573C">
        <w:tc>
          <w:tcPr>
            <w:tcW w:w="534" w:type="dxa"/>
          </w:tcPr>
          <w:p w14:paraId="17EEC100" w14:textId="77777777" w:rsidR="008831F9" w:rsidRPr="00B05E5E" w:rsidRDefault="008831F9" w:rsidP="00EA573C">
            <w:pPr>
              <w:tabs>
                <w:tab w:val="left" w:pos="9914"/>
              </w:tabs>
              <w:rPr>
                <w:rFonts w:asciiTheme="minorHAnsi" w:hAnsiTheme="minorHAnsi" w:cstheme="minorHAnsi"/>
              </w:rPr>
            </w:pPr>
            <w:r w:rsidRPr="00B05E5E">
              <w:rPr>
                <w:rFonts w:asciiTheme="minorHAnsi" w:hAnsiTheme="minorHAnsi" w:cstheme="minorHAnsi"/>
              </w:rPr>
              <w:t>28.</w:t>
            </w:r>
          </w:p>
        </w:tc>
        <w:tc>
          <w:tcPr>
            <w:tcW w:w="1842" w:type="dxa"/>
          </w:tcPr>
          <w:p w14:paraId="3D6EE947" w14:textId="77777777" w:rsidR="008831F9" w:rsidRPr="00B05E5E" w:rsidRDefault="008831F9" w:rsidP="00EA573C">
            <w:pPr>
              <w:tabs>
                <w:tab w:val="left" w:pos="9914"/>
              </w:tabs>
              <w:rPr>
                <w:rFonts w:asciiTheme="minorHAnsi" w:hAnsiTheme="minorHAnsi" w:cstheme="minorHAnsi"/>
              </w:rPr>
            </w:pPr>
            <w:r w:rsidRPr="00B05E5E">
              <w:rPr>
                <w:rFonts w:asciiTheme="minorHAnsi" w:hAnsiTheme="minorHAnsi" w:cstheme="minorHAnsi"/>
              </w:rPr>
              <w:t>PN-EN 12592</w:t>
            </w:r>
          </w:p>
        </w:tc>
        <w:tc>
          <w:tcPr>
            <w:tcW w:w="7371" w:type="dxa"/>
          </w:tcPr>
          <w:p w14:paraId="62F81F2F" w14:textId="77777777" w:rsidR="008831F9" w:rsidRPr="004E54A4" w:rsidRDefault="008831F9" w:rsidP="00EA573C">
            <w:pPr>
              <w:tabs>
                <w:tab w:val="left" w:pos="9914"/>
              </w:tabs>
              <w:rPr>
                <w:rFonts w:asciiTheme="minorHAnsi" w:hAnsiTheme="minorHAnsi" w:cstheme="minorHAnsi"/>
              </w:rPr>
            </w:pPr>
            <w:r w:rsidRPr="004E54A4">
              <w:rPr>
                <w:rFonts w:asciiTheme="minorHAnsi" w:hAnsiTheme="minorHAnsi" w:cstheme="minorHAnsi"/>
              </w:rPr>
              <w:t>Asfalty i produkty asfaltowe – Oznaczanie rozpuszczalności</w:t>
            </w:r>
          </w:p>
        </w:tc>
      </w:tr>
      <w:tr w:rsidR="008831F9" w:rsidRPr="00E96860" w14:paraId="6044B706" w14:textId="77777777" w:rsidTr="00EA573C">
        <w:tc>
          <w:tcPr>
            <w:tcW w:w="534" w:type="dxa"/>
          </w:tcPr>
          <w:p w14:paraId="6C705119" w14:textId="77777777" w:rsidR="008831F9" w:rsidRPr="00B05E5E" w:rsidRDefault="008831F9" w:rsidP="00EA573C">
            <w:pPr>
              <w:tabs>
                <w:tab w:val="left" w:pos="9914"/>
              </w:tabs>
              <w:rPr>
                <w:rFonts w:asciiTheme="minorHAnsi" w:hAnsiTheme="minorHAnsi" w:cstheme="minorHAnsi"/>
              </w:rPr>
            </w:pPr>
            <w:r w:rsidRPr="00B05E5E">
              <w:rPr>
                <w:rFonts w:asciiTheme="minorHAnsi" w:hAnsiTheme="minorHAnsi" w:cstheme="minorHAnsi"/>
              </w:rPr>
              <w:t>29.</w:t>
            </w:r>
          </w:p>
        </w:tc>
        <w:tc>
          <w:tcPr>
            <w:tcW w:w="1842" w:type="dxa"/>
          </w:tcPr>
          <w:p w14:paraId="2BE40F70" w14:textId="77777777" w:rsidR="008831F9" w:rsidRPr="00B05E5E" w:rsidRDefault="008831F9" w:rsidP="00EA573C">
            <w:pPr>
              <w:tabs>
                <w:tab w:val="left" w:pos="9914"/>
              </w:tabs>
              <w:rPr>
                <w:rFonts w:asciiTheme="minorHAnsi" w:hAnsiTheme="minorHAnsi" w:cstheme="minorHAnsi"/>
              </w:rPr>
            </w:pPr>
            <w:r w:rsidRPr="00B05E5E">
              <w:rPr>
                <w:rFonts w:asciiTheme="minorHAnsi" w:hAnsiTheme="minorHAnsi" w:cstheme="minorHAnsi"/>
              </w:rPr>
              <w:t>PN-EN 12593</w:t>
            </w:r>
          </w:p>
        </w:tc>
        <w:tc>
          <w:tcPr>
            <w:tcW w:w="7371" w:type="dxa"/>
          </w:tcPr>
          <w:p w14:paraId="67311021" w14:textId="77777777" w:rsidR="008831F9" w:rsidRPr="004E54A4" w:rsidRDefault="008831F9" w:rsidP="00EA573C">
            <w:pPr>
              <w:tabs>
                <w:tab w:val="left" w:pos="9914"/>
              </w:tabs>
              <w:rPr>
                <w:rFonts w:asciiTheme="minorHAnsi" w:hAnsiTheme="minorHAnsi" w:cstheme="minorHAnsi"/>
              </w:rPr>
            </w:pPr>
            <w:r w:rsidRPr="004E54A4">
              <w:rPr>
                <w:rFonts w:asciiTheme="minorHAnsi" w:hAnsiTheme="minorHAnsi" w:cstheme="minorHAnsi"/>
              </w:rPr>
              <w:t>Asfalty i produkty asfaltowe – Oznaczanie temperatury łamliwości Fraassa</w:t>
            </w:r>
          </w:p>
        </w:tc>
      </w:tr>
      <w:tr w:rsidR="008831F9" w:rsidRPr="00E96860" w14:paraId="7D9B35B8" w14:textId="77777777" w:rsidTr="00EA573C">
        <w:tc>
          <w:tcPr>
            <w:tcW w:w="534" w:type="dxa"/>
          </w:tcPr>
          <w:p w14:paraId="472E56BE" w14:textId="77777777" w:rsidR="008831F9" w:rsidRPr="00B05E5E" w:rsidRDefault="008831F9" w:rsidP="00EA573C">
            <w:pPr>
              <w:tabs>
                <w:tab w:val="left" w:pos="9914"/>
              </w:tabs>
              <w:rPr>
                <w:rFonts w:asciiTheme="minorHAnsi" w:hAnsiTheme="minorHAnsi" w:cstheme="minorHAnsi"/>
              </w:rPr>
            </w:pPr>
            <w:r w:rsidRPr="00B05E5E">
              <w:rPr>
                <w:rFonts w:asciiTheme="minorHAnsi" w:hAnsiTheme="minorHAnsi" w:cstheme="minorHAnsi"/>
              </w:rPr>
              <w:t>30.</w:t>
            </w:r>
          </w:p>
        </w:tc>
        <w:tc>
          <w:tcPr>
            <w:tcW w:w="1842" w:type="dxa"/>
          </w:tcPr>
          <w:p w14:paraId="57C290A3" w14:textId="77777777" w:rsidR="008831F9" w:rsidRPr="00B05E5E" w:rsidRDefault="008831F9" w:rsidP="00EA573C">
            <w:pPr>
              <w:tabs>
                <w:tab w:val="left" w:pos="9914"/>
              </w:tabs>
              <w:rPr>
                <w:rFonts w:asciiTheme="minorHAnsi" w:hAnsiTheme="minorHAnsi" w:cstheme="minorHAnsi"/>
              </w:rPr>
            </w:pPr>
            <w:r w:rsidRPr="00B05E5E">
              <w:rPr>
                <w:rFonts w:asciiTheme="minorHAnsi" w:hAnsiTheme="minorHAnsi" w:cstheme="minorHAnsi"/>
              </w:rPr>
              <w:t>PN-EN 12606-1</w:t>
            </w:r>
          </w:p>
        </w:tc>
        <w:tc>
          <w:tcPr>
            <w:tcW w:w="7371" w:type="dxa"/>
          </w:tcPr>
          <w:p w14:paraId="5E33A058" w14:textId="77777777" w:rsidR="008831F9" w:rsidRPr="004E54A4" w:rsidRDefault="008831F9" w:rsidP="00EA573C">
            <w:pPr>
              <w:tabs>
                <w:tab w:val="left" w:pos="9914"/>
              </w:tabs>
              <w:rPr>
                <w:rFonts w:asciiTheme="minorHAnsi" w:hAnsiTheme="minorHAnsi" w:cstheme="minorHAnsi"/>
              </w:rPr>
            </w:pPr>
            <w:r w:rsidRPr="004E54A4">
              <w:rPr>
                <w:rFonts w:asciiTheme="minorHAnsi" w:hAnsiTheme="minorHAnsi" w:cstheme="minorHAnsi"/>
              </w:rPr>
              <w:t>Asfalty i produkty asfaltowe – Oznaczanie zawartości parafiny – Część 1: Metoda destylacyjna</w:t>
            </w:r>
          </w:p>
        </w:tc>
      </w:tr>
      <w:tr w:rsidR="008831F9" w:rsidRPr="00B05E5E" w14:paraId="0EA5319F" w14:textId="77777777" w:rsidTr="00EA573C">
        <w:tc>
          <w:tcPr>
            <w:tcW w:w="534" w:type="dxa"/>
          </w:tcPr>
          <w:p w14:paraId="4668C74F" w14:textId="77777777" w:rsidR="008831F9" w:rsidRPr="00B05E5E" w:rsidRDefault="008831F9" w:rsidP="00EA573C">
            <w:pPr>
              <w:tabs>
                <w:tab w:val="left" w:pos="9914"/>
              </w:tabs>
              <w:rPr>
                <w:rFonts w:asciiTheme="minorHAnsi" w:hAnsiTheme="minorHAnsi" w:cstheme="minorHAnsi"/>
              </w:rPr>
            </w:pPr>
            <w:r w:rsidRPr="00B05E5E">
              <w:rPr>
                <w:rFonts w:asciiTheme="minorHAnsi" w:hAnsiTheme="minorHAnsi" w:cstheme="minorHAnsi"/>
              </w:rPr>
              <w:t>31.</w:t>
            </w:r>
          </w:p>
        </w:tc>
        <w:tc>
          <w:tcPr>
            <w:tcW w:w="1842" w:type="dxa"/>
          </w:tcPr>
          <w:p w14:paraId="3CB2F818" w14:textId="77777777" w:rsidR="008831F9" w:rsidRPr="00B05E5E" w:rsidRDefault="008831F9" w:rsidP="00EA573C">
            <w:pPr>
              <w:tabs>
                <w:tab w:val="left" w:pos="9914"/>
              </w:tabs>
              <w:rPr>
                <w:rFonts w:asciiTheme="minorHAnsi" w:hAnsiTheme="minorHAnsi" w:cstheme="minorHAnsi"/>
              </w:rPr>
            </w:pPr>
            <w:r w:rsidRPr="00B05E5E">
              <w:rPr>
                <w:rFonts w:asciiTheme="minorHAnsi" w:hAnsiTheme="minorHAnsi" w:cstheme="minorHAnsi"/>
              </w:rPr>
              <w:t>PN-EN 12607-1</w:t>
            </w:r>
          </w:p>
          <w:p w14:paraId="38E474C1" w14:textId="77777777" w:rsidR="008831F9" w:rsidRPr="00B05E5E" w:rsidRDefault="008831F9" w:rsidP="00EA573C">
            <w:pPr>
              <w:tabs>
                <w:tab w:val="left" w:pos="9914"/>
              </w:tabs>
              <w:rPr>
                <w:rFonts w:asciiTheme="minorHAnsi" w:hAnsiTheme="minorHAnsi" w:cstheme="minorHAnsi"/>
              </w:rPr>
            </w:pPr>
          </w:p>
          <w:p w14:paraId="2F5FE742" w14:textId="77777777" w:rsidR="008831F9" w:rsidRPr="00B05E5E" w:rsidRDefault="008831F9" w:rsidP="00EA573C">
            <w:pPr>
              <w:tabs>
                <w:tab w:val="left" w:pos="9914"/>
              </w:tabs>
              <w:rPr>
                <w:rFonts w:asciiTheme="minorHAnsi" w:hAnsiTheme="minorHAnsi" w:cstheme="minorHAnsi"/>
              </w:rPr>
            </w:pPr>
            <w:r w:rsidRPr="00B05E5E">
              <w:rPr>
                <w:rFonts w:asciiTheme="minorHAnsi" w:hAnsiTheme="minorHAnsi" w:cstheme="minorHAnsi"/>
              </w:rPr>
              <w:t>i</w:t>
            </w:r>
          </w:p>
          <w:p w14:paraId="0D378BF9" w14:textId="77777777" w:rsidR="008831F9" w:rsidRPr="00B05E5E" w:rsidRDefault="008831F9" w:rsidP="00EA573C">
            <w:pPr>
              <w:tabs>
                <w:tab w:val="left" w:pos="9914"/>
              </w:tabs>
              <w:rPr>
                <w:rFonts w:asciiTheme="minorHAnsi" w:hAnsiTheme="minorHAnsi" w:cstheme="minorHAnsi"/>
              </w:rPr>
            </w:pPr>
            <w:r w:rsidRPr="00B05E5E">
              <w:rPr>
                <w:rFonts w:asciiTheme="minorHAnsi" w:hAnsiTheme="minorHAnsi" w:cstheme="minorHAnsi"/>
              </w:rPr>
              <w:t>PN-EN 12607-3</w:t>
            </w:r>
          </w:p>
        </w:tc>
        <w:tc>
          <w:tcPr>
            <w:tcW w:w="7371" w:type="dxa"/>
          </w:tcPr>
          <w:p w14:paraId="27017D64" w14:textId="77777777" w:rsidR="008831F9" w:rsidRPr="004E54A4" w:rsidRDefault="008831F9" w:rsidP="00EA573C">
            <w:pPr>
              <w:tabs>
                <w:tab w:val="left" w:pos="9914"/>
              </w:tabs>
              <w:rPr>
                <w:rFonts w:asciiTheme="minorHAnsi" w:hAnsiTheme="minorHAnsi" w:cstheme="minorHAnsi"/>
              </w:rPr>
            </w:pPr>
            <w:r w:rsidRPr="004E54A4">
              <w:rPr>
                <w:rFonts w:asciiTheme="minorHAnsi" w:hAnsiTheme="minorHAnsi" w:cstheme="minorHAnsi"/>
              </w:rPr>
              <w:t>Asfalty i produkty asfaltowe – Oznaczanie odporności na twardnienie pod wpływem ciepła i powietrza – Część 1: Metoda RTFOT</w:t>
            </w:r>
          </w:p>
          <w:p w14:paraId="7F342610" w14:textId="77777777" w:rsidR="008831F9" w:rsidRPr="00B05E5E" w:rsidRDefault="008831F9" w:rsidP="00EA573C">
            <w:pPr>
              <w:tabs>
                <w:tab w:val="left" w:pos="9914"/>
              </w:tabs>
              <w:rPr>
                <w:rFonts w:asciiTheme="minorHAnsi" w:hAnsiTheme="minorHAnsi" w:cstheme="minorHAnsi"/>
              </w:rPr>
            </w:pPr>
            <w:r w:rsidRPr="00B05E5E">
              <w:rPr>
                <w:rFonts w:asciiTheme="minorHAnsi" w:hAnsiTheme="minorHAnsi" w:cstheme="minorHAnsi"/>
              </w:rPr>
              <w:t>Jw. Część 3: Metoda RFT</w:t>
            </w:r>
          </w:p>
        </w:tc>
      </w:tr>
      <w:tr w:rsidR="008831F9" w:rsidRPr="00E96860" w14:paraId="1ED8861A" w14:textId="77777777" w:rsidTr="00EA573C">
        <w:tc>
          <w:tcPr>
            <w:tcW w:w="534" w:type="dxa"/>
          </w:tcPr>
          <w:p w14:paraId="726D5356" w14:textId="77777777" w:rsidR="008831F9" w:rsidRPr="00B05E5E" w:rsidRDefault="008831F9" w:rsidP="00EA573C">
            <w:pPr>
              <w:tabs>
                <w:tab w:val="left" w:pos="9914"/>
              </w:tabs>
              <w:rPr>
                <w:rFonts w:asciiTheme="minorHAnsi" w:hAnsiTheme="minorHAnsi" w:cstheme="minorHAnsi"/>
              </w:rPr>
            </w:pPr>
            <w:r w:rsidRPr="00B05E5E">
              <w:rPr>
                <w:rFonts w:asciiTheme="minorHAnsi" w:hAnsiTheme="minorHAnsi" w:cstheme="minorHAnsi"/>
              </w:rPr>
              <w:t>32.</w:t>
            </w:r>
          </w:p>
        </w:tc>
        <w:tc>
          <w:tcPr>
            <w:tcW w:w="1842" w:type="dxa"/>
          </w:tcPr>
          <w:p w14:paraId="6722FB62" w14:textId="77777777" w:rsidR="008831F9" w:rsidRPr="00B05E5E" w:rsidRDefault="008831F9" w:rsidP="00EA573C">
            <w:pPr>
              <w:tabs>
                <w:tab w:val="left" w:pos="9914"/>
              </w:tabs>
              <w:rPr>
                <w:rFonts w:asciiTheme="minorHAnsi" w:hAnsiTheme="minorHAnsi" w:cstheme="minorHAnsi"/>
              </w:rPr>
            </w:pPr>
            <w:r w:rsidRPr="00B05E5E">
              <w:rPr>
                <w:rFonts w:asciiTheme="minorHAnsi" w:hAnsiTheme="minorHAnsi" w:cstheme="minorHAnsi"/>
              </w:rPr>
              <w:t>PN-EN 12697-6</w:t>
            </w:r>
          </w:p>
        </w:tc>
        <w:tc>
          <w:tcPr>
            <w:tcW w:w="7371" w:type="dxa"/>
          </w:tcPr>
          <w:p w14:paraId="4412C33B" w14:textId="77777777" w:rsidR="008831F9" w:rsidRPr="004E54A4" w:rsidRDefault="008831F9" w:rsidP="00EA573C">
            <w:pPr>
              <w:tabs>
                <w:tab w:val="left" w:pos="9914"/>
              </w:tabs>
              <w:rPr>
                <w:rFonts w:asciiTheme="minorHAnsi" w:hAnsiTheme="minorHAnsi" w:cstheme="minorHAnsi"/>
              </w:rPr>
            </w:pPr>
            <w:r w:rsidRPr="004E54A4">
              <w:rPr>
                <w:rFonts w:asciiTheme="minorHAnsi" w:hAnsiTheme="minorHAnsi" w:cstheme="minorHAnsi"/>
              </w:rPr>
              <w:t>Mieszanki mineralno-asfaltowe – Metody badań mieszanek mineralno-asfaltowych na gorąco – Część 6: Oznaczanie gęstości objętościowej metodą hydrostatyczną</w:t>
            </w:r>
          </w:p>
        </w:tc>
      </w:tr>
      <w:tr w:rsidR="008831F9" w:rsidRPr="00E96860" w14:paraId="69775438" w14:textId="77777777" w:rsidTr="00EA573C">
        <w:tc>
          <w:tcPr>
            <w:tcW w:w="534" w:type="dxa"/>
          </w:tcPr>
          <w:p w14:paraId="739D5AD9" w14:textId="77777777" w:rsidR="008831F9" w:rsidRPr="00B05E5E" w:rsidRDefault="008831F9" w:rsidP="00EA573C">
            <w:pPr>
              <w:tabs>
                <w:tab w:val="left" w:pos="9914"/>
              </w:tabs>
              <w:rPr>
                <w:rFonts w:asciiTheme="minorHAnsi" w:hAnsiTheme="minorHAnsi" w:cstheme="minorHAnsi"/>
              </w:rPr>
            </w:pPr>
            <w:r w:rsidRPr="00B05E5E">
              <w:rPr>
                <w:rFonts w:asciiTheme="minorHAnsi" w:hAnsiTheme="minorHAnsi" w:cstheme="minorHAnsi"/>
              </w:rPr>
              <w:t>33.</w:t>
            </w:r>
          </w:p>
        </w:tc>
        <w:tc>
          <w:tcPr>
            <w:tcW w:w="1842" w:type="dxa"/>
          </w:tcPr>
          <w:p w14:paraId="76B33B01" w14:textId="77777777" w:rsidR="008831F9" w:rsidRPr="00B05E5E" w:rsidRDefault="008831F9" w:rsidP="00EA573C">
            <w:pPr>
              <w:tabs>
                <w:tab w:val="left" w:pos="9914"/>
              </w:tabs>
              <w:rPr>
                <w:rFonts w:asciiTheme="minorHAnsi" w:hAnsiTheme="minorHAnsi" w:cstheme="minorHAnsi"/>
              </w:rPr>
            </w:pPr>
            <w:r w:rsidRPr="00B05E5E">
              <w:rPr>
                <w:rFonts w:asciiTheme="minorHAnsi" w:hAnsiTheme="minorHAnsi" w:cstheme="minorHAnsi"/>
              </w:rPr>
              <w:t>PN-EN 12697-8</w:t>
            </w:r>
          </w:p>
        </w:tc>
        <w:tc>
          <w:tcPr>
            <w:tcW w:w="7371" w:type="dxa"/>
          </w:tcPr>
          <w:p w14:paraId="54EB7F16" w14:textId="77777777" w:rsidR="008831F9" w:rsidRPr="004E54A4" w:rsidRDefault="008831F9" w:rsidP="00EA573C">
            <w:pPr>
              <w:tabs>
                <w:tab w:val="left" w:pos="9914"/>
              </w:tabs>
              <w:rPr>
                <w:rFonts w:asciiTheme="minorHAnsi" w:hAnsiTheme="minorHAnsi" w:cstheme="minorHAnsi"/>
              </w:rPr>
            </w:pPr>
            <w:r w:rsidRPr="004E54A4">
              <w:rPr>
                <w:rFonts w:asciiTheme="minorHAnsi" w:hAnsiTheme="minorHAnsi" w:cstheme="minorHAnsi"/>
              </w:rPr>
              <w:t>Mieszanki mineralno-asfaltowe – Metody badań mieszanek mineralno-asfaltowych na gorąco – Część 8: Oznaczanie zawartości wolnej przestrzeni</w:t>
            </w:r>
          </w:p>
        </w:tc>
      </w:tr>
      <w:tr w:rsidR="008831F9" w:rsidRPr="00E96860" w14:paraId="25A457AE" w14:textId="77777777" w:rsidTr="00EA573C">
        <w:tc>
          <w:tcPr>
            <w:tcW w:w="534" w:type="dxa"/>
          </w:tcPr>
          <w:p w14:paraId="21E6D165" w14:textId="77777777" w:rsidR="008831F9" w:rsidRPr="00B05E5E" w:rsidRDefault="008831F9" w:rsidP="00EA573C">
            <w:pPr>
              <w:tabs>
                <w:tab w:val="left" w:pos="9914"/>
              </w:tabs>
              <w:rPr>
                <w:rFonts w:asciiTheme="minorHAnsi" w:hAnsiTheme="minorHAnsi" w:cstheme="minorHAnsi"/>
              </w:rPr>
            </w:pPr>
            <w:r w:rsidRPr="00B05E5E">
              <w:rPr>
                <w:rFonts w:asciiTheme="minorHAnsi" w:hAnsiTheme="minorHAnsi" w:cstheme="minorHAnsi"/>
              </w:rPr>
              <w:t>34.</w:t>
            </w:r>
          </w:p>
        </w:tc>
        <w:tc>
          <w:tcPr>
            <w:tcW w:w="1842" w:type="dxa"/>
          </w:tcPr>
          <w:p w14:paraId="2EFBDC7F" w14:textId="77777777" w:rsidR="008831F9" w:rsidRPr="00B05E5E" w:rsidRDefault="008831F9" w:rsidP="00EA573C">
            <w:pPr>
              <w:tabs>
                <w:tab w:val="left" w:pos="9914"/>
              </w:tabs>
              <w:rPr>
                <w:rFonts w:asciiTheme="minorHAnsi" w:hAnsiTheme="minorHAnsi" w:cstheme="minorHAnsi"/>
              </w:rPr>
            </w:pPr>
            <w:r w:rsidRPr="00B05E5E">
              <w:rPr>
                <w:rFonts w:asciiTheme="minorHAnsi" w:hAnsiTheme="minorHAnsi" w:cstheme="minorHAnsi"/>
              </w:rPr>
              <w:t>PN-EN 12697-11</w:t>
            </w:r>
          </w:p>
        </w:tc>
        <w:tc>
          <w:tcPr>
            <w:tcW w:w="7371" w:type="dxa"/>
          </w:tcPr>
          <w:p w14:paraId="0F46AE96" w14:textId="77777777" w:rsidR="008831F9" w:rsidRPr="004E54A4" w:rsidRDefault="008831F9" w:rsidP="00EA573C">
            <w:pPr>
              <w:tabs>
                <w:tab w:val="left" w:pos="9914"/>
              </w:tabs>
              <w:rPr>
                <w:rFonts w:asciiTheme="minorHAnsi" w:hAnsiTheme="minorHAnsi" w:cstheme="minorHAnsi"/>
              </w:rPr>
            </w:pPr>
            <w:r w:rsidRPr="004E54A4">
              <w:rPr>
                <w:rFonts w:asciiTheme="minorHAnsi" w:hAnsiTheme="minorHAnsi" w:cstheme="minorHAnsi"/>
              </w:rPr>
              <w:t>Mieszanki mineralno-asfaltowe – Metody badań mieszanek mineralno-asfaltowych na gorąco – Część 11: Określenie powiązania pomiędzy kruszywem i asfaltem</w:t>
            </w:r>
          </w:p>
        </w:tc>
      </w:tr>
      <w:tr w:rsidR="008831F9" w:rsidRPr="00E96860" w14:paraId="7BB8BBA6" w14:textId="77777777" w:rsidTr="00EA573C">
        <w:tc>
          <w:tcPr>
            <w:tcW w:w="534" w:type="dxa"/>
          </w:tcPr>
          <w:p w14:paraId="2CC487FA" w14:textId="77777777" w:rsidR="008831F9" w:rsidRPr="00B05E5E" w:rsidRDefault="008831F9" w:rsidP="00EA573C">
            <w:pPr>
              <w:tabs>
                <w:tab w:val="left" w:pos="9914"/>
              </w:tabs>
              <w:rPr>
                <w:rFonts w:asciiTheme="minorHAnsi" w:hAnsiTheme="minorHAnsi" w:cstheme="minorHAnsi"/>
              </w:rPr>
            </w:pPr>
            <w:r w:rsidRPr="00B05E5E">
              <w:rPr>
                <w:rFonts w:asciiTheme="minorHAnsi" w:hAnsiTheme="minorHAnsi" w:cstheme="minorHAnsi"/>
              </w:rPr>
              <w:t>35.</w:t>
            </w:r>
          </w:p>
        </w:tc>
        <w:tc>
          <w:tcPr>
            <w:tcW w:w="1842" w:type="dxa"/>
          </w:tcPr>
          <w:p w14:paraId="0AA14C87" w14:textId="77777777" w:rsidR="008831F9" w:rsidRPr="00B05E5E" w:rsidRDefault="008831F9" w:rsidP="00EA573C">
            <w:pPr>
              <w:tabs>
                <w:tab w:val="left" w:pos="9914"/>
              </w:tabs>
              <w:rPr>
                <w:rFonts w:asciiTheme="minorHAnsi" w:hAnsiTheme="minorHAnsi" w:cstheme="minorHAnsi"/>
              </w:rPr>
            </w:pPr>
            <w:r w:rsidRPr="00B05E5E">
              <w:rPr>
                <w:rFonts w:asciiTheme="minorHAnsi" w:hAnsiTheme="minorHAnsi" w:cstheme="minorHAnsi"/>
              </w:rPr>
              <w:t>PN-EN 12697-12</w:t>
            </w:r>
          </w:p>
        </w:tc>
        <w:tc>
          <w:tcPr>
            <w:tcW w:w="7371" w:type="dxa"/>
          </w:tcPr>
          <w:p w14:paraId="69018E30" w14:textId="77777777" w:rsidR="008831F9" w:rsidRPr="004E54A4" w:rsidRDefault="008831F9" w:rsidP="00EA573C">
            <w:pPr>
              <w:tabs>
                <w:tab w:val="left" w:pos="9914"/>
              </w:tabs>
              <w:rPr>
                <w:rFonts w:asciiTheme="minorHAnsi" w:hAnsiTheme="minorHAnsi" w:cstheme="minorHAnsi"/>
              </w:rPr>
            </w:pPr>
            <w:r w:rsidRPr="004E54A4">
              <w:rPr>
                <w:rFonts w:asciiTheme="minorHAnsi" w:hAnsiTheme="minorHAnsi" w:cstheme="minorHAnsi"/>
              </w:rPr>
              <w:t>Mieszanki mineralno-asfaltowe – Metody badań mieszanek mineralno-asfaltowych na gorąco – Część 12: Określanie wrażliwości na wodę</w:t>
            </w:r>
          </w:p>
        </w:tc>
      </w:tr>
      <w:tr w:rsidR="008831F9" w:rsidRPr="00E96860" w14:paraId="590B6033" w14:textId="77777777" w:rsidTr="00EA573C">
        <w:tc>
          <w:tcPr>
            <w:tcW w:w="534" w:type="dxa"/>
          </w:tcPr>
          <w:p w14:paraId="7903C4F0" w14:textId="77777777" w:rsidR="008831F9" w:rsidRPr="00B05E5E" w:rsidRDefault="008831F9" w:rsidP="00EA573C">
            <w:pPr>
              <w:tabs>
                <w:tab w:val="left" w:pos="9914"/>
              </w:tabs>
              <w:rPr>
                <w:rFonts w:asciiTheme="minorHAnsi" w:hAnsiTheme="minorHAnsi" w:cstheme="minorHAnsi"/>
              </w:rPr>
            </w:pPr>
            <w:r w:rsidRPr="00B05E5E">
              <w:rPr>
                <w:rFonts w:asciiTheme="minorHAnsi" w:hAnsiTheme="minorHAnsi" w:cstheme="minorHAnsi"/>
              </w:rPr>
              <w:t>36.</w:t>
            </w:r>
          </w:p>
        </w:tc>
        <w:tc>
          <w:tcPr>
            <w:tcW w:w="1842" w:type="dxa"/>
          </w:tcPr>
          <w:p w14:paraId="20A73249" w14:textId="77777777" w:rsidR="008831F9" w:rsidRPr="00B05E5E" w:rsidRDefault="008831F9" w:rsidP="00EA573C">
            <w:pPr>
              <w:tabs>
                <w:tab w:val="left" w:pos="9914"/>
              </w:tabs>
              <w:rPr>
                <w:rFonts w:asciiTheme="minorHAnsi" w:hAnsiTheme="minorHAnsi" w:cstheme="minorHAnsi"/>
              </w:rPr>
            </w:pPr>
            <w:r w:rsidRPr="00B05E5E">
              <w:rPr>
                <w:rFonts w:asciiTheme="minorHAnsi" w:hAnsiTheme="minorHAnsi" w:cstheme="minorHAnsi"/>
              </w:rPr>
              <w:t>PN-EN 12697-13</w:t>
            </w:r>
          </w:p>
        </w:tc>
        <w:tc>
          <w:tcPr>
            <w:tcW w:w="7371" w:type="dxa"/>
          </w:tcPr>
          <w:p w14:paraId="4940E12D" w14:textId="77777777" w:rsidR="008831F9" w:rsidRPr="004E54A4" w:rsidRDefault="008831F9" w:rsidP="00EA573C">
            <w:pPr>
              <w:tabs>
                <w:tab w:val="left" w:pos="9914"/>
              </w:tabs>
              <w:rPr>
                <w:rFonts w:asciiTheme="minorHAnsi" w:hAnsiTheme="minorHAnsi" w:cstheme="minorHAnsi"/>
              </w:rPr>
            </w:pPr>
            <w:r w:rsidRPr="004E54A4">
              <w:rPr>
                <w:rFonts w:asciiTheme="minorHAnsi" w:hAnsiTheme="minorHAnsi" w:cstheme="minorHAnsi"/>
              </w:rPr>
              <w:t>Mieszanki mineralno-asfaltowe – Metody badań mieszanek mineralno-asfaltowych na gorąco – Część 13: Pomiar temperatury</w:t>
            </w:r>
          </w:p>
        </w:tc>
      </w:tr>
      <w:tr w:rsidR="008831F9" w:rsidRPr="00E96860" w14:paraId="6E36D633" w14:textId="77777777" w:rsidTr="00EA573C">
        <w:tc>
          <w:tcPr>
            <w:tcW w:w="534" w:type="dxa"/>
          </w:tcPr>
          <w:p w14:paraId="2476711A" w14:textId="77777777" w:rsidR="008831F9" w:rsidRPr="00B05E5E" w:rsidRDefault="008831F9" w:rsidP="00EA573C">
            <w:pPr>
              <w:tabs>
                <w:tab w:val="left" w:pos="9914"/>
              </w:tabs>
              <w:rPr>
                <w:rFonts w:asciiTheme="minorHAnsi" w:hAnsiTheme="minorHAnsi" w:cstheme="minorHAnsi"/>
              </w:rPr>
            </w:pPr>
            <w:r w:rsidRPr="00B05E5E">
              <w:rPr>
                <w:rFonts w:asciiTheme="minorHAnsi" w:hAnsiTheme="minorHAnsi" w:cstheme="minorHAnsi"/>
              </w:rPr>
              <w:t>37.</w:t>
            </w:r>
          </w:p>
        </w:tc>
        <w:tc>
          <w:tcPr>
            <w:tcW w:w="1842" w:type="dxa"/>
          </w:tcPr>
          <w:p w14:paraId="6EDDAD7C" w14:textId="77777777" w:rsidR="008831F9" w:rsidRPr="00B05E5E" w:rsidRDefault="008831F9" w:rsidP="00EA573C">
            <w:pPr>
              <w:tabs>
                <w:tab w:val="left" w:pos="9914"/>
              </w:tabs>
              <w:rPr>
                <w:rFonts w:asciiTheme="minorHAnsi" w:hAnsiTheme="minorHAnsi" w:cstheme="minorHAnsi"/>
              </w:rPr>
            </w:pPr>
            <w:r w:rsidRPr="00B05E5E">
              <w:rPr>
                <w:rFonts w:asciiTheme="minorHAnsi" w:hAnsiTheme="minorHAnsi" w:cstheme="minorHAnsi"/>
              </w:rPr>
              <w:t>PN-EN 12697-18</w:t>
            </w:r>
          </w:p>
        </w:tc>
        <w:tc>
          <w:tcPr>
            <w:tcW w:w="7371" w:type="dxa"/>
          </w:tcPr>
          <w:p w14:paraId="49557358" w14:textId="77777777" w:rsidR="008831F9" w:rsidRPr="004E54A4" w:rsidRDefault="008831F9" w:rsidP="00EA573C">
            <w:pPr>
              <w:tabs>
                <w:tab w:val="left" w:pos="9914"/>
              </w:tabs>
              <w:rPr>
                <w:rFonts w:asciiTheme="minorHAnsi" w:hAnsiTheme="minorHAnsi" w:cstheme="minorHAnsi"/>
              </w:rPr>
            </w:pPr>
            <w:r w:rsidRPr="004E54A4">
              <w:rPr>
                <w:rFonts w:asciiTheme="minorHAnsi" w:hAnsiTheme="minorHAnsi" w:cstheme="minorHAnsi"/>
              </w:rPr>
              <w:t>Mieszanki mineralno-asfaltowe – Metody badań mieszanek mineralno-asfaltowych na gorąco – Część 18: Spływanie lepiszcza</w:t>
            </w:r>
          </w:p>
        </w:tc>
      </w:tr>
      <w:tr w:rsidR="008831F9" w:rsidRPr="00E96860" w14:paraId="4C41770B" w14:textId="77777777" w:rsidTr="00EA573C">
        <w:tc>
          <w:tcPr>
            <w:tcW w:w="534" w:type="dxa"/>
          </w:tcPr>
          <w:p w14:paraId="48C45D8F" w14:textId="77777777" w:rsidR="008831F9" w:rsidRPr="00B05E5E" w:rsidRDefault="008831F9" w:rsidP="00EA573C">
            <w:pPr>
              <w:tabs>
                <w:tab w:val="left" w:pos="9914"/>
              </w:tabs>
              <w:rPr>
                <w:rFonts w:asciiTheme="minorHAnsi" w:hAnsiTheme="minorHAnsi" w:cstheme="minorHAnsi"/>
              </w:rPr>
            </w:pPr>
            <w:r w:rsidRPr="00B05E5E">
              <w:rPr>
                <w:rFonts w:asciiTheme="minorHAnsi" w:hAnsiTheme="minorHAnsi" w:cstheme="minorHAnsi"/>
              </w:rPr>
              <w:t>38.</w:t>
            </w:r>
          </w:p>
        </w:tc>
        <w:tc>
          <w:tcPr>
            <w:tcW w:w="1842" w:type="dxa"/>
          </w:tcPr>
          <w:p w14:paraId="30461AAE" w14:textId="77777777" w:rsidR="008831F9" w:rsidRPr="00B05E5E" w:rsidRDefault="008831F9" w:rsidP="00EA573C">
            <w:pPr>
              <w:tabs>
                <w:tab w:val="left" w:pos="9914"/>
              </w:tabs>
              <w:rPr>
                <w:rFonts w:asciiTheme="minorHAnsi" w:hAnsiTheme="minorHAnsi" w:cstheme="minorHAnsi"/>
              </w:rPr>
            </w:pPr>
            <w:r w:rsidRPr="00B05E5E">
              <w:rPr>
                <w:rFonts w:asciiTheme="minorHAnsi" w:hAnsiTheme="minorHAnsi" w:cstheme="minorHAnsi"/>
              </w:rPr>
              <w:t>PN-EN 12697-22</w:t>
            </w:r>
          </w:p>
        </w:tc>
        <w:tc>
          <w:tcPr>
            <w:tcW w:w="7371" w:type="dxa"/>
          </w:tcPr>
          <w:p w14:paraId="0C7A55FD" w14:textId="77777777" w:rsidR="008831F9" w:rsidRPr="004E54A4" w:rsidRDefault="008831F9" w:rsidP="00EA573C">
            <w:pPr>
              <w:tabs>
                <w:tab w:val="left" w:pos="9914"/>
              </w:tabs>
              <w:rPr>
                <w:rFonts w:asciiTheme="minorHAnsi" w:hAnsiTheme="minorHAnsi" w:cstheme="minorHAnsi"/>
              </w:rPr>
            </w:pPr>
            <w:r w:rsidRPr="004E54A4">
              <w:rPr>
                <w:rFonts w:asciiTheme="minorHAnsi" w:hAnsiTheme="minorHAnsi" w:cstheme="minorHAnsi"/>
              </w:rPr>
              <w:t>Mieszanki mineralno-asfaltowe – Metody badań mieszanek mineralno-asfaltowych na gorąco – Część 22: Koleinowanie</w:t>
            </w:r>
          </w:p>
        </w:tc>
      </w:tr>
      <w:tr w:rsidR="008831F9" w:rsidRPr="00E96860" w14:paraId="77F3E05B" w14:textId="77777777" w:rsidTr="00EA573C">
        <w:tc>
          <w:tcPr>
            <w:tcW w:w="534" w:type="dxa"/>
          </w:tcPr>
          <w:p w14:paraId="0680BA50" w14:textId="77777777" w:rsidR="008831F9" w:rsidRPr="00B05E5E" w:rsidRDefault="008831F9" w:rsidP="00EA573C">
            <w:pPr>
              <w:tabs>
                <w:tab w:val="left" w:pos="9914"/>
              </w:tabs>
              <w:rPr>
                <w:rFonts w:asciiTheme="minorHAnsi" w:hAnsiTheme="minorHAnsi" w:cstheme="minorHAnsi"/>
              </w:rPr>
            </w:pPr>
            <w:r w:rsidRPr="00B05E5E">
              <w:rPr>
                <w:rFonts w:asciiTheme="minorHAnsi" w:hAnsiTheme="minorHAnsi" w:cstheme="minorHAnsi"/>
              </w:rPr>
              <w:t>39.</w:t>
            </w:r>
          </w:p>
        </w:tc>
        <w:tc>
          <w:tcPr>
            <w:tcW w:w="1842" w:type="dxa"/>
          </w:tcPr>
          <w:p w14:paraId="13785653" w14:textId="77777777" w:rsidR="008831F9" w:rsidRPr="00B05E5E" w:rsidRDefault="008831F9" w:rsidP="00EA573C">
            <w:pPr>
              <w:tabs>
                <w:tab w:val="left" w:pos="9914"/>
              </w:tabs>
              <w:rPr>
                <w:rFonts w:asciiTheme="minorHAnsi" w:hAnsiTheme="minorHAnsi" w:cstheme="minorHAnsi"/>
              </w:rPr>
            </w:pPr>
            <w:r w:rsidRPr="00B05E5E">
              <w:rPr>
                <w:rFonts w:asciiTheme="minorHAnsi" w:hAnsiTheme="minorHAnsi" w:cstheme="minorHAnsi"/>
              </w:rPr>
              <w:t>PN-EN 12697-27</w:t>
            </w:r>
          </w:p>
        </w:tc>
        <w:tc>
          <w:tcPr>
            <w:tcW w:w="7371" w:type="dxa"/>
          </w:tcPr>
          <w:p w14:paraId="0A9457AB" w14:textId="77777777" w:rsidR="008831F9" w:rsidRPr="004E54A4" w:rsidRDefault="008831F9" w:rsidP="00EA573C">
            <w:pPr>
              <w:tabs>
                <w:tab w:val="left" w:pos="9914"/>
              </w:tabs>
              <w:rPr>
                <w:rFonts w:asciiTheme="minorHAnsi" w:hAnsiTheme="minorHAnsi" w:cstheme="minorHAnsi"/>
              </w:rPr>
            </w:pPr>
            <w:r w:rsidRPr="004E54A4">
              <w:rPr>
                <w:rFonts w:asciiTheme="minorHAnsi" w:hAnsiTheme="minorHAnsi" w:cstheme="minorHAnsi"/>
              </w:rPr>
              <w:t>Mieszanki mineralno-asfaltowe – Metody badań mieszanek mineralno-asfaltowych na gorąco – Część 27: Pobieranie próbek</w:t>
            </w:r>
          </w:p>
        </w:tc>
      </w:tr>
      <w:tr w:rsidR="008831F9" w:rsidRPr="00E96860" w14:paraId="3FB9D080" w14:textId="77777777" w:rsidTr="00EA573C">
        <w:tc>
          <w:tcPr>
            <w:tcW w:w="534" w:type="dxa"/>
          </w:tcPr>
          <w:p w14:paraId="61F30DD3" w14:textId="77777777" w:rsidR="008831F9" w:rsidRPr="00B05E5E" w:rsidRDefault="008831F9" w:rsidP="00EA573C">
            <w:pPr>
              <w:tabs>
                <w:tab w:val="left" w:pos="9914"/>
              </w:tabs>
              <w:rPr>
                <w:rFonts w:asciiTheme="minorHAnsi" w:hAnsiTheme="minorHAnsi" w:cstheme="minorHAnsi"/>
              </w:rPr>
            </w:pPr>
            <w:r w:rsidRPr="00B05E5E">
              <w:rPr>
                <w:rFonts w:asciiTheme="minorHAnsi" w:hAnsiTheme="minorHAnsi" w:cstheme="minorHAnsi"/>
              </w:rPr>
              <w:t>40.</w:t>
            </w:r>
          </w:p>
        </w:tc>
        <w:tc>
          <w:tcPr>
            <w:tcW w:w="1842" w:type="dxa"/>
          </w:tcPr>
          <w:p w14:paraId="446640C7" w14:textId="77777777" w:rsidR="008831F9" w:rsidRPr="00B05E5E" w:rsidRDefault="008831F9" w:rsidP="00EA573C">
            <w:pPr>
              <w:tabs>
                <w:tab w:val="left" w:pos="9914"/>
              </w:tabs>
              <w:rPr>
                <w:rFonts w:asciiTheme="minorHAnsi" w:hAnsiTheme="minorHAnsi" w:cstheme="minorHAnsi"/>
              </w:rPr>
            </w:pPr>
            <w:r w:rsidRPr="00B05E5E">
              <w:rPr>
                <w:rFonts w:asciiTheme="minorHAnsi" w:hAnsiTheme="minorHAnsi" w:cstheme="minorHAnsi"/>
              </w:rPr>
              <w:t>PN-EN 12697-36</w:t>
            </w:r>
          </w:p>
        </w:tc>
        <w:tc>
          <w:tcPr>
            <w:tcW w:w="7371" w:type="dxa"/>
          </w:tcPr>
          <w:p w14:paraId="21CFE611" w14:textId="77777777" w:rsidR="008831F9" w:rsidRPr="004E54A4" w:rsidRDefault="008831F9" w:rsidP="00EA573C">
            <w:pPr>
              <w:tabs>
                <w:tab w:val="left" w:pos="9914"/>
              </w:tabs>
              <w:rPr>
                <w:rFonts w:asciiTheme="minorHAnsi" w:hAnsiTheme="minorHAnsi" w:cstheme="minorHAnsi"/>
              </w:rPr>
            </w:pPr>
            <w:r w:rsidRPr="004E54A4">
              <w:rPr>
                <w:rFonts w:asciiTheme="minorHAnsi" w:hAnsiTheme="minorHAnsi" w:cstheme="minorHAnsi"/>
              </w:rPr>
              <w:t>Mieszanki mineralno-asfaltowe – Metody badań mieszanek mineralno-asfaltowych na gorąco – Część 36: Oznaczanie grubości nawierzchni asfaltowych</w:t>
            </w:r>
          </w:p>
        </w:tc>
      </w:tr>
      <w:tr w:rsidR="008831F9" w:rsidRPr="00E96860" w14:paraId="15035D10" w14:textId="77777777" w:rsidTr="00EA573C">
        <w:tc>
          <w:tcPr>
            <w:tcW w:w="534" w:type="dxa"/>
          </w:tcPr>
          <w:p w14:paraId="56808C6D" w14:textId="77777777" w:rsidR="008831F9" w:rsidRPr="00B05E5E" w:rsidRDefault="008831F9" w:rsidP="00EA573C">
            <w:pPr>
              <w:tabs>
                <w:tab w:val="left" w:pos="9914"/>
              </w:tabs>
              <w:rPr>
                <w:rFonts w:asciiTheme="minorHAnsi" w:hAnsiTheme="minorHAnsi" w:cstheme="minorHAnsi"/>
              </w:rPr>
            </w:pPr>
            <w:r w:rsidRPr="00B05E5E">
              <w:rPr>
                <w:rFonts w:asciiTheme="minorHAnsi" w:hAnsiTheme="minorHAnsi" w:cstheme="minorHAnsi"/>
              </w:rPr>
              <w:t>41.</w:t>
            </w:r>
          </w:p>
        </w:tc>
        <w:tc>
          <w:tcPr>
            <w:tcW w:w="1842" w:type="dxa"/>
          </w:tcPr>
          <w:p w14:paraId="1C9807D8" w14:textId="77777777" w:rsidR="008831F9" w:rsidRPr="00B05E5E" w:rsidRDefault="008831F9" w:rsidP="00EA573C">
            <w:pPr>
              <w:tabs>
                <w:tab w:val="left" w:pos="9914"/>
              </w:tabs>
              <w:rPr>
                <w:rFonts w:asciiTheme="minorHAnsi" w:hAnsiTheme="minorHAnsi" w:cstheme="minorHAnsi"/>
              </w:rPr>
            </w:pPr>
            <w:r w:rsidRPr="00B05E5E">
              <w:rPr>
                <w:rFonts w:asciiTheme="minorHAnsi" w:hAnsiTheme="minorHAnsi" w:cstheme="minorHAnsi"/>
              </w:rPr>
              <w:t>PN-EN 12846</w:t>
            </w:r>
          </w:p>
        </w:tc>
        <w:tc>
          <w:tcPr>
            <w:tcW w:w="7371" w:type="dxa"/>
          </w:tcPr>
          <w:p w14:paraId="0F719F92" w14:textId="77777777" w:rsidR="008831F9" w:rsidRPr="004E54A4" w:rsidRDefault="008831F9" w:rsidP="00EA573C">
            <w:pPr>
              <w:tabs>
                <w:tab w:val="left" w:pos="9914"/>
              </w:tabs>
              <w:rPr>
                <w:rFonts w:asciiTheme="minorHAnsi" w:hAnsiTheme="minorHAnsi" w:cstheme="minorHAnsi"/>
              </w:rPr>
            </w:pPr>
            <w:r w:rsidRPr="004E54A4">
              <w:rPr>
                <w:rFonts w:asciiTheme="minorHAnsi" w:hAnsiTheme="minorHAnsi" w:cstheme="minorHAnsi"/>
              </w:rPr>
              <w:t>Asfalty i lepiszcza asfaltowe – Oznaczanie czasu wypływu emulsji asfaltowych lepkościomierzem wypływowym</w:t>
            </w:r>
          </w:p>
        </w:tc>
      </w:tr>
      <w:tr w:rsidR="008831F9" w:rsidRPr="00E96860" w14:paraId="1D431EC6" w14:textId="77777777" w:rsidTr="00EA573C">
        <w:tc>
          <w:tcPr>
            <w:tcW w:w="534" w:type="dxa"/>
          </w:tcPr>
          <w:p w14:paraId="3D15EB0E" w14:textId="77777777" w:rsidR="008831F9" w:rsidRPr="00B05E5E" w:rsidRDefault="008831F9" w:rsidP="00EA573C">
            <w:pPr>
              <w:tabs>
                <w:tab w:val="left" w:pos="9914"/>
              </w:tabs>
              <w:rPr>
                <w:rFonts w:asciiTheme="minorHAnsi" w:hAnsiTheme="minorHAnsi" w:cstheme="minorHAnsi"/>
              </w:rPr>
            </w:pPr>
            <w:r w:rsidRPr="00B05E5E">
              <w:rPr>
                <w:rFonts w:asciiTheme="minorHAnsi" w:hAnsiTheme="minorHAnsi" w:cstheme="minorHAnsi"/>
              </w:rPr>
              <w:t>42.</w:t>
            </w:r>
          </w:p>
        </w:tc>
        <w:tc>
          <w:tcPr>
            <w:tcW w:w="1842" w:type="dxa"/>
          </w:tcPr>
          <w:p w14:paraId="0CE7536D" w14:textId="77777777" w:rsidR="008831F9" w:rsidRPr="00B05E5E" w:rsidRDefault="008831F9" w:rsidP="00EA573C">
            <w:pPr>
              <w:tabs>
                <w:tab w:val="left" w:pos="9914"/>
              </w:tabs>
              <w:rPr>
                <w:rFonts w:asciiTheme="minorHAnsi" w:hAnsiTheme="minorHAnsi" w:cstheme="minorHAnsi"/>
              </w:rPr>
            </w:pPr>
            <w:r w:rsidRPr="00B05E5E">
              <w:rPr>
                <w:rFonts w:asciiTheme="minorHAnsi" w:hAnsiTheme="minorHAnsi" w:cstheme="minorHAnsi"/>
              </w:rPr>
              <w:t>PN-EN 12847</w:t>
            </w:r>
          </w:p>
        </w:tc>
        <w:tc>
          <w:tcPr>
            <w:tcW w:w="7371" w:type="dxa"/>
          </w:tcPr>
          <w:p w14:paraId="2178402F" w14:textId="77777777" w:rsidR="008831F9" w:rsidRPr="004E54A4" w:rsidRDefault="008831F9" w:rsidP="00EA573C">
            <w:pPr>
              <w:tabs>
                <w:tab w:val="left" w:pos="9914"/>
              </w:tabs>
              <w:rPr>
                <w:rFonts w:asciiTheme="minorHAnsi" w:hAnsiTheme="minorHAnsi" w:cstheme="minorHAnsi"/>
              </w:rPr>
            </w:pPr>
            <w:r w:rsidRPr="004E54A4">
              <w:rPr>
                <w:rFonts w:asciiTheme="minorHAnsi" w:hAnsiTheme="minorHAnsi" w:cstheme="minorHAnsi"/>
              </w:rPr>
              <w:t>Asfalty i lepiszcza asfaltowe – Oznaczanie sedymentacji emulsji asfaltowych</w:t>
            </w:r>
          </w:p>
        </w:tc>
      </w:tr>
      <w:tr w:rsidR="008831F9" w:rsidRPr="00E96860" w14:paraId="6ABA9B7A" w14:textId="77777777" w:rsidTr="00EA573C">
        <w:tc>
          <w:tcPr>
            <w:tcW w:w="534" w:type="dxa"/>
          </w:tcPr>
          <w:p w14:paraId="33004149" w14:textId="77777777" w:rsidR="008831F9" w:rsidRPr="00B05E5E" w:rsidRDefault="008831F9" w:rsidP="00EA573C">
            <w:pPr>
              <w:tabs>
                <w:tab w:val="left" w:pos="9914"/>
              </w:tabs>
              <w:rPr>
                <w:rFonts w:asciiTheme="minorHAnsi" w:hAnsiTheme="minorHAnsi" w:cstheme="minorHAnsi"/>
              </w:rPr>
            </w:pPr>
            <w:r w:rsidRPr="00B05E5E">
              <w:rPr>
                <w:rFonts w:asciiTheme="minorHAnsi" w:hAnsiTheme="minorHAnsi" w:cstheme="minorHAnsi"/>
              </w:rPr>
              <w:t>43.</w:t>
            </w:r>
          </w:p>
        </w:tc>
        <w:tc>
          <w:tcPr>
            <w:tcW w:w="1842" w:type="dxa"/>
          </w:tcPr>
          <w:p w14:paraId="2BD55F91" w14:textId="77777777" w:rsidR="008831F9" w:rsidRPr="00B05E5E" w:rsidRDefault="008831F9" w:rsidP="00EA573C">
            <w:pPr>
              <w:tabs>
                <w:tab w:val="left" w:pos="9914"/>
              </w:tabs>
              <w:rPr>
                <w:rFonts w:asciiTheme="minorHAnsi" w:hAnsiTheme="minorHAnsi" w:cstheme="minorHAnsi"/>
              </w:rPr>
            </w:pPr>
            <w:r w:rsidRPr="00B05E5E">
              <w:rPr>
                <w:rFonts w:asciiTheme="minorHAnsi" w:hAnsiTheme="minorHAnsi" w:cstheme="minorHAnsi"/>
              </w:rPr>
              <w:t>PN-EN 12850</w:t>
            </w:r>
          </w:p>
        </w:tc>
        <w:tc>
          <w:tcPr>
            <w:tcW w:w="7371" w:type="dxa"/>
          </w:tcPr>
          <w:p w14:paraId="33C0138B" w14:textId="77777777" w:rsidR="008831F9" w:rsidRPr="004E54A4" w:rsidRDefault="008831F9" w:rsidP="00EA573C">
            <w:pPr>
              <w:tabs>
                <w:tab w:val="left" w:pos="9914"/>
              </w:tabs>
              <w:rPr>
                <w:rFonts w:asciiTheme="minorHAnsi" w:hAnsiTheme="minorHAnsi" w:cstheme="minorHAnsi"/>
              </w:rPr>
            </w:pPr>
            <w:r w:rsidRPr="004E54A4">
              <w:rPr>
                <w:rFonts w:asciiTheme="minorHAnsi" w:hAnsiTheme="minorHAnsi" w:cstheme="minorHAnsi"/>
              </w:rPr>
              <w:t>Asfalty i lepiszcza asfaltowe – Oznaczanie wartości pH emulsji asfaltowych</w:t>
            </w:r>
          </w:p>
        </w:tc>
      </w:tr>
      <w:tr w:rsidR="008831F9" w:rsidRPr="00E96860" w14:paraId="5A02D02A" w14:textId="77777777" w:rsidTr="00EA573C">
        <w:tc>
          <w:tcPr>
            <w:tcW w:w="534" w:type="dxa"/>
          </w:tcPr>
          <w:p w14:paraId="13EB8B50" w14:textId="77777777" w:rsidR="008831F9" w:rsidRPr="00B05E5E" w:rsidRDefault="008831F9" w:rsidP="00EA573C">
            <w:pPr>
              <w:tabs>
                <w:tab w:val="left" w:pos="9914"/>
              </w:tabs>
              <w:rPr>
                <w:rFonts w:asciiTheme="minorHAnsi" w:hAnsiTheme="minorHAnsi" w:cstheme="minorHAnsi"/>
              </w:rPr>
            </w:pPr>
            <w:r w:rsidRPr="00B05E5E">
              <w:rPr>
                <w:rFonts w:asciiTheme="minorHAnsi" w:hAnsiTheme="minorHAnsi" w:cstheme="minorHAnsi"/>
              </w:rPr>
              <w:t>44.</w:t>
            </w:r>
          </w:p>
        </w:tc>
        <w:tc>
          <w:tcPr>
            <w:tcW w:w="1842" w:type="dxa"/>
          </w:tcPr>
          <w:p w14:paraId="4E4C366E" w14:textId="77777777" w:rsidR="008831F9" w:rsidRPr="00B05E5E" w:rsidRDefault="008831F9" w:rsidP="00EA573C">
            <w:pPr>
              <w:tabs>
                <w:tab w:val="left" w:pos="9914"/>
              </w:tabs>
              <w:rPr>
                <w:rFonts w:asciiTheme="minorHAnsi" w:hAnsiTheme="minorHAnsi" w:cstheme="minorHAnsi"/>
              </w:rPr>
            </w:pPr>
            <w:r w:rsidRPr="00B05E5E">
              <w:rPr>
                <w:rFonts w:asciiTheme="minorHAnsi" w:hAnsiTheme="minorHAnsi" w:cstheme="minorHAnsi"/>
              </w:rPr>
              <w:t>PN-EN 13043</w:t>
            </w:r>
          </w:p>
        </w:tc>
        <w:tc>
          <w:tcPr>
            <w:tcW w:w="7371" w:type="dxa"/>
          </w:tcPr>
          <w:p w14:paraId="5CD106E8" w14:textId="77777777" w:rsidR="008831F9" w:rsidRPr="004E54A4" w:rsidRDefault="008831F9" w:rsidP="00EA573C">
            <w:pPr>
              <w:tabs>
                <w:tab w:val="left" w:pos="9914"/>
              </w:tabs>
              <w:rPr>
                <w:rFonts w:asciiTheme="minorHAnsi" w:hAnsiTheme="minorHAnsi" w:cstheme="minorHAnsi"/>
              </w:rPr>
            </w:pPr>
            <w:r w:rsidRPr="004E54A4">
              <w:rPr>
                <w:rFonts w:asciiTheme="minorHAnsi" w:hAnsiTheme="minorHAnsi" w:cstheme="minorHAnsi"/>
              </w:rPr>
              <w:t>Kruszywa do mieszanek bitumicznych i powierzchniowych utrwaleń stosowanych na drogach, lotniskach i innych powierzchniach przeznaczonych do ruchu</w:t>
            </w:r>
          </w:p>
        </w:tc>
      </w:tr>
      <w:tr w:rsidR="008831F9" w:rsidRPr="00E96860" w14:paraId="1E0ADAEF" w14:textId="77777777" w:rsidTr="00EA573C">
        <w:tc>
          <w:tcPr>
            <w:tcW w:w="534" w:type="dxa"/>
          </w:tcPr>
          <w:p w14:paraId="38F8CBF3" w14:textId="77777777" w:rsidR="008831F9" w:rsidRPr="00B05E5E" w:rsidRDefault="008831F9" w:rsidP="00EA573C">
            <w:pPr>
              <w:tabs>
                <w:tab w:val="left" w:pos="9914"/>
              </w:tabs>
              <w:rPr>
                <w:rFonts w:asciiTheme="minorHAnsi" w:hAnsiTheme="minorHAnsi" w:cstheme="minorHAnsi"/>
              </w:rPr>
            </w:pPr>
            <w:r w:rsidRPr="00B05E5E">
              <w:rPr>
                <w:rFonts w:asciiTheme="minorHAnsi" w:hAnsiTheme="minorHAnsi" w:cstheme="minorHAnsi"/>
              </w:rPr>
              <w:t>45.</w:t>
            </w:r>
          </w:p>
        </w:tc>
        <w:tc>
          <w:tcPr>
            <w:tcW w:w="1842" w:type="dxa"/>
          </w:tcPr>
          <w:p w14:paraId="3BB50A4F" w14:textId="77777777" w:rsidR="008831F9" w:rsidRPr="00B05E5E" w:rsidRDefault="008831F9" w:rsidP="00EA573C">
            <w:pPr>
              <w:tabs>
                <w:tab w:val="left" w:pos="9914"/>
              </w:tabs>
              <w:rPr>
                <w:rFonts w:asciiTheme="minorHAnsi" w:hAnsiTheme="minorHAnsi" w:cstheme="minorHAnsi"/>
              </w:rPr>
            </w:pPr>
            <w:r w:rsidRPr="00B05E5E">
              <w:rPr>
                <w:rFonts w:asciiTheme="minorHAnsi" w:hAnsiTheme="minorHAnsi" w:cstheme="minorHAnsi"/>
              </w:rPr>
              <w:t>PN-EN 13074</w:t>
            </w:r>
          </w:p>
        </w:tc>
        <w:tc>
          <w:tcPr>
            <w:tcW w:w="7371" w:type="dxa"/>
          </w:tcPr>
          <w:p w14:paraId="2B595B28" w14:textId="77777777" w:rsidR="008831F9" w:rsidRPr="004E54A4" w:rsidRDefault="008831F9" w:rsidP="00EA573C">
            <w:pPr>
              <w:tabs>
                <w:tab w:val="left" w:pos="9914"/>
              </w:tabs>
              <w:rPr>
                <w:rFonts w:asciiTheme="minorHAnsi" w:hAnsiTheme="minorHAnsi" w:cstheme="minorHAnsi"/>
              </w:rPr>
            </w:pPr>
            <w:r w:rsidRPr="004E54A4">
              <w:rPr>
                <w:rFonts w:asciiTheme="minorHAnsi" w:hAnsiTheme="minorHAnsi" w:cstheme="minorHAnsi"/>
              </w:rPr>
              <w:t>Asfalty i lepiszcza asfaltowe – Oznaczanie lepiszczy z emulsji asfaltowych przez odparowanie</w:t>
            </w:r>
          </w:p>
        </w:tc>
      </w:tr>
      <w:tr w:rsidR="008831F9" w:rsidRPr="00E96860" w14:paraId="4166C527" w14:textId="77777777" w:rsidTr="00EA573C">
        <w:tc>
          <w:tcPr>
            <w:tcW w:w="534" w:type="dxa"/>
          </w:tcPr>
          <w:p w14:paraId="217DCEA7" w14:textId="77777777" w:rsidR="008831F9" w:rsidRPr="00B05E5E" w:rsidRDefault="008831F9" w:rsidP="00EA573C">
            <w:pPr>
              <w:tabs>
                <w:tab w:val="left" w:pos="9914"/>
              </w:tabs>
              <w:rPr>
                <w:rFonts w:asciiTheme="minorHAnsi" w:hAnsiTheme="minorHAnsi" w:cstheme="minorHAnsi"/>
              </w:rPr>
            </w:pPr>
            <w:r w:rsidRPr="00B05E5E">
              <w:rPr>
                <w:rFonts w:asciiTheme="minorHAnsi" w:hAnsiTheme="minorHAnsi" w:cstheme="minorHAnsi"/>
              </w:rPr>
              <w:t>46.</w:t>
            </w:r>
          </w:p>
        </w:tc>
        <w:tc>
          <w:tcPr>
            <w:tcW w:w="1842" w:type="dxa"/>
          </w:tcPr>
          <w:p w14:paraId="726DAF9C" w14:textId="77777777" w:rsidR="008831F9" w:rsidRPr="00B05E5E" w:rsidRDefault="008831F9" w:rsidP="00EA573C">
            <w:pPr>
              <w:tabs>
                <w:tab w:val="left" w:pos="9914"/>
              </w:tabs>
              <w:rPr>
                <w:rFonts w:asciiTheme="minorHAnsi" w:hAnsiTheme="minorHAnsi" w:cstheme="minorHAnsi"/>
              </w:rPr>
            </w:pPr>
            <w:r w:rsidRPr="00B05E5E">
              <w:rPr>
                <w:rFonts w:asciiTheme="minorHAnsi" w:hAnsiTheme="minorHAnsi" w:cstheme="minorHAnsi"/>
              </w:rPr>
              <w:t>PN-EN 13075-1</w:t>
            </w:r>
          </w:p>
        </w:tc>
        <w:tc>
          <w:tcPr>
            <w:tcW w:w="7371" w:type="dxa"/>
          </w:tcPr>
          <w:p w14:paraId="74F6F6CB" w14:textId="77777777" w:rsidR="008831F9" w:rsidRPr="004E54A4" w:rsidRDefault="008831F9" w:rsidP="00EA573C">
            <w:pPr>
              <w:tabs>
                <w:tab w:val="left" w:pos="9914"/>
              </w:tabs>
              <w:rPr>
                <w:rFonts w:asciiTheme="minorHAnsi" w:hAnsiTheme="minorHAnsi" w:cstheme="minorHAnsi"/>
              </w:rPr>
            </w:pPr>
            <w:r w:rsidRPr="004E54A4">
              <w:rPr>
                <w:rFonts w:asciiTheme="minorHAnsi" w:hAnsiTheme="minorHAnsi" w:cstheme="minorHAnsi"/>
              </w:rPr>
              <w:t>Asfalty i lepiszcza asfaltowe – Badanie rozpadu – Część 1: Oznaczanie indeksu rozpadu kationowych emulsji asfaltowych, metoda z wypełniaczem mineralnym</w:t>
            </w:r>
          </w:p>
        </w:tc>
      </w:tr>
      <w:tr w:rsidR="008831F9" w:rsidRPr="00E96860" w14:paraId="3B766BBF" w14:textId="77777777" w:rsidTr="00EA573C">
        <w:tc>
          <w:tcPr>
            <w:tcW w:w="534" w:type="dxa"/>
          </w:tcPr>
          <w:p w14:paraId="1EA6494E" w14:textId="77777777" w:rsidR="008831F9" w:rsidRPr="00B05E5E" w:rsidRDefault="008831F9" w:rsidP="00EA573C">
            <w:pPr>
              <w:tabs>
                <w:tab w:val="left" w:pos="9914"/>
              </w:tabs>
              <w:rPr>
                <w:rFonts w:asciiTheme="minorHAnsi" w:hAnsiTheme="minorHAnsi" w:cstheme="minorHAnsi"/>
              </w:rPr>
            </w:pPr>
            <w:r w:rsidRPr="00B05E5E">
              <w:rPr>
                <w:rFonts w:asciiTheme="minorHAnsi" w:hAnsiTheme="minorHAnsi" w:cstheme="minorHAnsi"/>
              </w:rPr>
              <w:t>47.</w:t>
            </w:r>
          </w:p>
        </w:tc>
        <w:tc>
          <w:tcPr>
            <w:tcW w:w="1842" w:type="dxa"/>
          </w:tcPr>
          <w:p w14:paraId="6C56EA88" w14:textId="77777777" w:rsidR="008831F9" w:rsidRPr="00B05E5E" w:rsidRDefault="008831F9" w:rsidP="00EA573C">
            <w:pPr>
              <w:tabs>
                <w:tab w:val="left" w:pos="9914"/>
              </w:tabs>
              <w:rPr>
                <w:rFonts w:asciiTheme="minorHAnsi" w:hAnsiTheme="minorHAnsi" w:cstheme="minorHAnsi"/>
              </w:rPr>
            </w:pPr>
            <w:r w:rsidRPr="00B05E5E">
              <w:rPr>
                <w:rFonts w:asciiTheme="minorHAnsi" w:hAnsiTheme="minorHAnsi" w:cstheme="minorHAnsi"/>
              </w:rPr>
              <w:t>PN-EN 13108-1</w:t>
            </w:r>
          </w:p>
        </w:tc>
        <w:tc>
          <w:tcPr>
            <w:tcW w:w="7371" w:type="dxa"/>
          </w:tcPr>
          <w:p w14:paraId="5D706242" w14:textId="77777777" w:rsidR="008831F9" w:rsidRPr="004E54A4" w:rsidRDefault="008831F9" w:rsidP="00EA573C">
            <w:pPr>
              <w:tabs>
                <w:tab w:val="left" w:pos="9914"/>
              </w:tabs>
              <w:rPr>
                <w:rFonts w:asciiTheme="minorHAnsi" w:hAnsiTheme="minorHAnsi" w:cstheme="minorHAnsi"/>
              </w:rPr>
            </w:pPr>
            <w:r w:rsidRPr="004E54A4">
              <w:rPr>
                <w:rFonts w:asciiTheme="minorHAnsi" w:hAnsiTheme="minorHAnsi" w:cstheme="minorHAnsi"/>
              </w:rPr>
              <w:t>Mieszanki mineralno-asfaltowe – Wymagania – Część 1: Beton Asfaltowy</w:t>
            </w:r>
          </w:p>
        </w:tc>
      </w:tr>
      <w:tr w:rsidR="008831F9" w:rsidRPr="00E96860" w14:paraId="2706DF7B" w14:textId="77777777" w:rsidTr="00EA573C">
        <w:tc>
          <w:tcPr>
            <w:tcW w:w="534" w:type="dxa"/>
          </w:tcPr>
          <w:p w14:paraId="49105C32" w14:textId="77777777" w:rsidR="008831F9" w:rsidRPr="00B05E5E" w:rsidRDefault="008831F9" w:rsidP="00EA573C">
            <w:pPr>
              <w:tabs>
                <w:tab w:val="left" w:pos="9914"/>
              </w:tabs>
              <w:rPr>
                <w:rFonts w:asciiTheme="minorHAnsi" w:hAnsiTheme="minorHAnsi" w:cstheme="minorHAnsi"/>
              </w:rPr>
            </w:pPr>
            <w:r w:rsidRPr="00B05E5E">
              <w:rPr>
                <w:rFonts w:asciiTheme="minorHAnsi" w:hAnsiTheme="minorHAnsi" w:cstheme="minorHAnsi"/>
              </w:rPr>
              <w:t>48.</w:t>
            </w:r>
          </w:p>
        </w:tc>
        <w:tc>
          <w:tcPr>
            <w:tcW w:w="1842" w:type="dxa"/>
          </w:tcPr>
          <w:p w14:paraId="13ADD3E4" w14:textId="77777777" w:rsidR="008831F9" w:rsidRPr="00B05E5E" w:rsidRDefault="008831F9" w:rsidP="00EA573C">
            <w:pPr>
              <w:tabs>
                <w:tab w:val="left" w:pos="9914"/>
              </w:tabs>
              <w:rPr>
                <w:rFonts w:asciiTheme="minorHAnsi" w:hAnsiTheme="minorHAnsi" w:cstheme="minorHAnsi"/>
              </w:rPr>
            </w:pPr>
            <w:r w:rsidRPr="00B05E5E">
              <w:rPr>
                <w:rFonts w:asciiTheme="minorHAnsi" w:hAnsiTheme="minorHAnsi" w:cstheme="minorHAnsi"/>
              </w:rPr>
              <w:t>PN-EN 13108-20</w:t>
            </w:r>
          </w:p>
        </w:tc>
        <w:tc>
          <w:tcPr>
            <w:tcW w:w="7371" w:type="dxa"/>
          </w:tcPr>
          <w:p w14:paraId="0EA6909F" w14:textId="77777777" w:rsidR="008831F9" w:rsidRPr="004E54A4" w:rsidRDefault="008831F9" w:rsidP="00EA573C">
            <w:pPr>
              <w:tabs>
                <w:tab w:val="left" w:pos="9914"/>
              </w:tabs>
              <w:rPr>
                <w:rFonts w:asciiTheme="minorHAnsi" w:hAnsiTheme="minorHAnsi" w:cstheme="minorHAnsi"/>
              </w:rPr>
            </w:pPr>
            <w:r w:rsidRPr="004E54A4">
              <w:rPr>
                <w:rFonts w:asciiTheme="minorHAnsi" w:hAnsiTheme="minorHAnsi" w:cstheme="minorHAnsi"/>
              </w:rPr>
              <w:t>Mieszanki mineralno-asfaltowe – Wymagania – Część 20: Badanie typu</w:t>
            </w:r>
          </w:p>
        </w:tc>
      </w:tr>
      <w:tr w:rsidR="008831F9" w:rsidRPr="00E96860" w14:paraId="54C01D16" w14:textId="77777777" w:rsidTr="00EA573C">
        <w:tc>
          <w:tcPr>
            <w:tcW w:w="534" w:type="dxa"/>
          </w:tcPr>
          <w:p w14:paraId="4DB8429B" w14:textId="77777777" w:rsidR="008831F9" w:rsidRPr="00B05E5E" w:rsidRDefault="008831F9" w:rsidP="00EA573C">
            <w:pPr>
              <w:tabs>
                <w:tab w:val="left" w:pos="9914"/>
              </w:tabs>
              <w:rPr>
                <w:rFonts w:asciiTheme="minorHAnsi" w:hAnsiTheme="minorHAnsi" w:cstheme="minorHAnsi"/>
              </w:rPr>
            </w:pPr>
            <w:r w:rsidRPr="00B05E5E">
              <w:rPr>
                <w:rFonts w:asciiTheme="minorHAnsi" w:hAnsiTheme="minorHAnsi" w:cstheme="minorHAnsi"/>
              </w:rPr>
              <w:t>49.</w:t>
            </w:r>
          </w:p>
        </w:tc>
        <w:tc>
          <w:tcPr>
            <w:tcW w:w="1842" w:type="dxa"/>
          </w:tcPr>
          <w:p w14:paraId="30E014BE" w14:textId="77777777" w:rsidR="008831F9" w:rsidRPr="00B05E5E" w:rsidRDefault="008831F9" w:rsidP="00EA573C">
            <w:pPr>
              <w:tabs>
                <w:tab w:val="left" w:pos="9914"/>
              </w:tabs>
              <w:rPr>
                <w:rFonts w:asciiTheme="minorHAnsi" w:hAnsiTheme="minorHAnsi" w:cstheme="minorHAnsi"/>
              </w:rPr>
            </w:pPr>
            <w:r w:rsidRPr="00B05E5E">
              <w:rPr>
                <w:rFonts w:asciiTheme="minorHAnsi" w:hAnsiTheme="minorHAnsi" w:cstheme="minorHAnsi"/>
              </w:rPr>
              <w:t>PN-EN 13179-1</w:t>
            </w:r>
          </w:p>
        </w:tc>
        <w:tc>
          <w:tcPr>
            <w:tcW w:w="7371" w:type="dxa"/>
          </w:tcPr>
          <w:p w14:paraId="1F888E19" w14:textId="77777777" w:rsidR="008831F9" w:rsidRPr="004E54A4" w:rsidRDefault="008831F9" w:rsidP="00EA573C">
            <w:pPr>
              <w:tabs>
                <w:tab w:val="left" w:pos="9914"/>
              </w:tabs>
              <w:rPr>
                <w:rFonts w:asciiTheme="minorHAnsi" w:hAnsiTheme="minorHAnsi" w:cstheme="minorHAnsi"/>
              </w:rPr>
            </w:pPr>
            <w:r w:rsidRPr="004E54A4">
              <w:rPr>
                <w:rFonts w:asciiTheme="minorHAnsi" w:hAnsiTheme="minorHAnsi" w:cstheme="minorHAnsi"/>
              </w:rPr>
              <w:t>Badania kruszyw wypełniających stosowanych do mieszanek bitumicznych – Część 1: Badanie metodą Pierścienia i Kuli</w:t>
            </w:r>
          </w:p>
        </w:tc>
      </w:tr>
      <w:tr w:rsidR="008831F9" w:rsidRPr="00E96860" w14:paraId="6E13578C" w14:textId="77777777" w:rsidTr="00EA573C">
        <w:tc>
          <w:tcPr>
            <w:tcW w:w="534" w:type="dxa"/>
          </w:tcPr>
          <w:p w14:paraId="6928C42F" w14:textId="77777777" w:rsidR="008831F9" w:rsidRPr="00B05E5E" w:rsidRDefault="008831F9" w:rsidP="00EA573C">
            <w:pPr>
              <w:tabs>
                <w:tab w:val="left" w:pos="9914"/>
              </w:tabs>
              <w:rPr>
                <w:rFonts w:asciiTheme="minorHAnsi" w:hAnsiTheme="minorHAnsi" w:cstheme="minorHAnsi"/>
              </w:rPr>
            </w:pPr>
            <w:r w:rsidRPr="00B05E5E">
              <w:rPr>
                <w:rFonts w:asciiTheme="minorHAnsi" w:hAnsiTheme="minorHAnsi" w:cstheme="minorHAnsi"/>
              </w:rPr>
              <w:t>50.</w:t>
            </w:r>
          </w:p>
        </w:tc>
        <w:tc>
          <w:tcPr>
            <w:tcW w:w="1842" w:type="dxa"/>
          </w:tcPr>
          <w:p w14:paraId="5BFB2E31" w14:textId="77777777" w:rsidR="008831F9" w:rsidRPr="00B05E5E" w:rsidRDefault="008831F9" w:rsidP="00EA573C">
            <w:pPr>
              <w:tabs>
                <w:tab w:val="left" w:pos="9914"/>
              </w:tabs>
              <w:rPr>
                <w:rFonts w:asciiTheme="minorHAnsi" w:hAnsiTheme="minorHAnsi" w:cstheme="minorHAnsi"/>
              </w:rPr>
            </w:pPr>
            <w:r w:rsidRPr="00B05E5E">
              <w:rPr>
                <w:rFonts w:asciiTheme="minorHAnsi" w:hAnsiTheme="minorHAnsi" w:cstheme="minorHAnsi"/>
              </w:rPr>
              <w:t>PN-EN 13179-2</w:t>
            </w:r>
          </w:p>
        </w:tc>
        <w:tc>
          <w:tcPr>
            <w:tcW w:w="7371" w:type="dxa"/>
          </w:tcPr>
          <w:p w14:paraId="4E27F5F3" w14:textId="77777777" w:rsidR="008831F9" w:rsidRPr="004E54A4" w:rsidRDefault="008831F9" w:rsidP="00EA573C">
            <w:pPr>
              <w:tabs>
                <w:tab w:val="left" w:pos="9914"/>
              </w:tabs>
              <w:rPr>
                <w:rFonts w:asciiTheme="minorHAnsi" w:hAnsiTheme="minorHAnsi" w:cstheme="minorHAnsi"/>
              </w:rPr>
            </w:pPr>
            <w:r w:rsidRPr="004E54A4">
              <w:rPr>
                <w:rFonts w:asciiTheme="minorHAnsi" w:hAnsiTheme="minorHAnsi" w:cstheme="minorHAnsi"/>
              </w:rPr>
              <w:t>Badania kruszyw wypełniających stosowanych do mieszanek bitumicznych – Część 2: Liczba bitumiczna</w:t>
            </w:r>
          </w:p>
        </w:tc>
      </w:tr>
      <w:tr w:rsidR="008831F9" w:rsidRPr="00E96860" w14:paraId="2030A2D6" w14:textId="77777777" w:rsidTr="00EA573C">
        <w:tc>
          <w:tcPr>
            <w:tcW w:w="534" w:type="dxa"/>
          </w:tcPr>
          <w:p w14:paraId="771281C1" w14:textId="77777777" w:rsidR="008831F9" w:rsidRPr="00B05E5E" w:rsidRDefault="008831F9" w:rsidP="00EA573C">
            <w:pPr>
              <w:tabs>
                <w:tab w:val="left" w:pos="9914"/>
              </w:tabs>
              <w:rPr>
                <w:rFonts w:asciiTheme="minorHAnsi" w:hAnsiTheme="minorHAnsi" w:cstheme="minorHAnsi"/>
              </w:rPr>
            </w:pPr>
            <w:r w:rsidRPr="00B05E5E">
              <w:rPr>
                <w:rFonts w:asciiTheme="minorHAnsi" w:hAnsiTheme="minorHAnsi" w:cstheme="minorHAnsi"/>
              </w:rPr>
              <w:t>51.</w:t>
            </w:r>
          </w:p>
        </w:tc>
        <w:tc>
          <w:tcPr>
            <w:tcW w:w="1842" w:type="dxa"/>
          </w:tcPr>
          <w:p w14:paraId="1C08B889" w14:textId="77777777" w:rsidR="008831F9" w:rsidRPr="00B05E5E" w:rsidRDefault="008831F9" w:rsidP="00EA573C">
            <w:pPr>
              <w:tabs>
                <w:tab w:val="left" w:pos="9914"/>
              </w:tabs>
              <w:rPr>
                <w:rFonts w:asciiTheme="minorHAnsi" w:hAnsiTheme="minorHAnsi" w:cstheme="minorHAnsi"/>
              </w:rPr>
            </w:pPr>
            <w:r w:rsidRPr="00B05E5E">
              <w:rPr>
                <w:rFonts w:asciiTheme="minorHAnsi" w:hAnsiTheme="minorHAnsi" w:cstheme="minorHAnsi"/>
              </w:rPr>
              <w:t>PN-EN 13398</w:t>
            </w:r>
          </w:p>
        </w:tc>
        <w:tc>
          <w:tcPr>
            <w:tcW w:w="7371" w:type="dxa"/>
          </w:tcPr>
          <w:p w14:paraId="159C1725" w14:textId="77777777" w:rsidR="008831F9" w:rsidRPr="004E54A4" w:rsidRDefault="008831F9" w:rsidP="00EA573C">
            <w:pPr>
              <w:tabs>
                <w:tab w:val="left" w:pos="9914"/>
              </w:tabs>
              <w:rPr>
                <w:rFonts w:asciiTheme="minorHAnsi" w:hAnsiTheme="minorHAnsi" w:cstheme="minorHAnsi"/>
              </w:rPr>
            </w:pPr>
            <w:r w:rsidRPr="004E54A4">
              <w:rPr>
                <w:rFonts w:asciiTheme="minorHAnsi" w:hAnsiTheme="minorHAnsi" w:cstheme="minorHAnsi"/>
              </w:rPr>
              <w:t>Asfalty i lepiszcza asfaltowe – Oznaczanie nawrotu sprężystego asfaltów modyfikowanych</w:t>
            </w:r>
          </w:p>
        </w:tc>
      </w:tr>
      <w:tr w:rsidR="008831F9" w:rsidRPr="00E96860" w14:paraId="4593A177" w14:textId="77777777" w:rsidTr="00EA573C">
        <w:tc>
          <w:tcPr>
            <w:tcW w:w="534" w:type="dxa"/>
          </w:tcPr>
          <w:p w14:paraId="04E3AEA8" w14:textId="77777777" w:rsidR="008831F9" w:rsidRPr="00B05E5E" w:rsidRDefault="008831F9" w:rsidP="00EA573C">
            <w:pPr>
              <w:tabs>
                <w:tab w:val="left" w:pos="9914"/>
              </w:tabs>
              <w:rPr>
                <w:rFonts w:asciiTheme="minorHAnsi" w:hAnsiTheme="minorHAnsi" w:cstheme="minorHAnsi"/>
              </w:rPr>
            </w:pPr>
            <w:r w:rsidRPr="00B05E5E">
              <w:rPr>
                <w:rFonts w:asciiTheme="minorHAnsi" w:hAnsiTheme="minorHAnsi" w:cstheme="minorHAnsi"/>
              </w:rPr>
              <w:t>52.</w:t>
            </w:r>
          </w:p>
        </w:tc>
        <w:tc>
          <w:tcPr>
            <w:tcW w:w="1842" w:type="dxa"/>
          </w:tcPr>
          <w:p w14:paraId="2DB01E60" w14:textId="77777777" w:rsidR="008831F9" w:rsidRPr="00B05E5E" w:rsidRDefault="008831F9" w:rsidP="00EA573C">
            <w:pPr>
              <w:tabs>
                <w:tab w:val="left" w:pos="9914"/>
              </w:tabs>
              <w:rPr>
                <w:rFonts w:asciiTheme="minorHAnsi" w:hAnsiTheme="minorHAnsi" w:cstheme="minorHAnsi"/>
              </w:rPr>
            </w:pPr>
            <w:r w:rsidRPr="00B05E5E">
              <w:rPr>
                <w:rFonts w:asciiTheme="minorHAnsi" w:hAnsiTheme="minorHAnsi" w:cstheme="minorHAnsi"/>
              </w:rPr>
              <w:t>PN-EN 13399</w:t>
            </w:r>
          </w:p>
        </w:tc>
        <w:tc>
          <w:tcPr>
            <w:tcW w:w="7371" w:type="dxa"/>
          </w:tcPr>
          <w:p w14:paraId="588A1D51" w14:textId="77777777" w:rsidR="008831F9" w:rsidRPr="004E54A4" w:rsidRDefault="008831F9" w:rsidP="00EA573C">
            <w:pPr>
              <w:tabs>
                <w:tab w:val="left" w:pos="9914"/>
              </w:tabs>
              <w:rPr>
                <w:rFonts w:asciiTheme="minorHAnsi" w:hAnsiTheme="minorHAnsi" w:cstheme="minorHAnsi"/>
              </w:rPr>
            </w:pPr>
            <w:r w:rsidRPr="004E54A4">
              <w:rPr>
                <w:rFonts w:asciiTheme="minorHAnsi" w:hAnsiTheme="minorHAnsi" w:cstheme="minorHAnsi"/>
              </w:rPr>
              <w:t>Asfalty i lepiszcza asfaltowe – Oznaczanie odporności na magazynowanie modyfikowanych asfaltów</w:t>
            </w:r>
          </w:p>
        </w:tc>
      </w:tr>
      <w:tr w:rsidR="008831F9" w:rsidRPr="00E96860" w14:paraId="795BAB28" w14:textId="77777777" w:rsidTr="00EA573C">
        <w:tc>
          <w:tcPr>
            <w:tcW w:w="534" w:type="dxa"/>
          </w:tcPr>
          <w:p w14:paraId="4BA6216E" w14:textId="77777777" w:rsidR="008831F9" w:rsidRPr="00B05E5E" w:rsidRDefault="008831F9" w:rsidP="00EA573C">
            <w:pPr>
              <w:tabs>
                <w:tab w:val="left" w:pos="9914"/>
              </w:tabs>
              <w:rPr>
                <w:rFonts w:asciiTheme="minorHAnsi" w:hAnsiTheme="minorHAnsi" w:cstheme="minorHAnsi"/>
              </w:rPr>
            </w:pPr>
            <w:r w:rsidRPr="00B05E5E">
              <w:rPr>
                <w:rFonts w:asciiTheme="minorHAnsi" w:hAnsiTheme="minorHAnsi" w:cstheme="minorHAnsi"/>
              </w:rPr>
              <w:t>53.</w:t>
            </w:r>
          </w:p>
        </w:tc>
        <w:tc>
          <w:tcPr>
            <w:tcW w:w="1842" w:type="dxa"/>
          </w:tcPr>
          <w:p w14:paraId="3F5D5293" w14:textId="77777777" w:rsidR="008831F9" w:rsidRPr="00B05E5E" w:rsidRDefault="008831F9" w:rsidP="00EA573C">
            <w:pPr>
              <w:tabs>
                <w:tab w:val="left" w:pos="9914"/>
              </w:tabs>
              <w:rPr>
                <w:rFonts w:asciiTheme="minorHAnsi" w:hAnsiTheme="minorHAnsi" w:cstheme="minorHAnsi"/>
              </w:rPr>
            </w:pPr>
            <w:r w:rsidRPr="00B05E5E">
              <w:rPr>
                <w:rFonts w:asciiTheme="minorHAnsi" w:hAnsiTheme="minorHAnsi" w:cstheme="minorHAnsi"/>
              </w:rPr>
              <w:t>PN-EN 13587</w:t>
            </w:r>
          </w:p>
        </w:tc>
        <w:tc>
          <w:tcPr>
            <w:tcW w:w="7371" w:type="dxa"/>
          </w:tcPr>
          <w:p w14:paraId="7A35B487" w14:textId="77777777" w:rsidR="008831F9" w:rsidRPr="004E54A4" w:rsidRDefault="008831F9" w:rsidP="00EA573C">
            <w:pPr>
              <w:tabs>
                <w:tab w:val="left" w:pos="9914"/>
              </w:tabs>
              <w:rPr>
                <w:rFonts w:asciiTheme="minorHAnsi" w:hAnsiTheme="minorHAnsi" w:cstheme="minorHAnsi"/>
              </w:rPr>
            </w:pPr>
            <w:r w:rsidRPr="004E54A4">
              <w:rPr>
                <w:rFonts w:asciiTheme="minorHAnsi" w:hAnsiTheme="minorHAnsi" w:cstheme="minorHAnsi"/>
              </w:rPr>
              <w:t>Asfalty i lepiszcza asfaltowe – Oznaczanie ciągliwości lepiszczy asfaltowych metodą pomiaru ciągliwości</w:t>
            </w:r>
          </w:p>
        </w:tc>
      </w:tr>
      <w:tr w:rsidR="008831F9" w:rsidRPr="00E96860" w14:paraId="1358781A" w14:textId="77777777" w:rsidTr="00EA573C">
        <w:tc>
          <w:tcPr>
            <w:tcW w:w="534" w:type="dxa"/>
          </w:tcPr>
          <w:p w14:paraId="4CC21125" w14:textId="77777777" w:rsidR="008831F9" w:rsidRPr="00B05E5E" w:rsidRDefault="008831F9" w:rsidP="00EA573C">
            <w:pPr>
              <w:tabs>
                <w:tab w:val="left" w:pos="9914"/>
              </w:tabs>
              <w:rPr>
                <w:rFonts w:asciiTheme="minorHAnsi" w:hAnsiTheme="minorHAnsi" w:cstheme="minorHAnsi"/>
              </w:rPr>
            </w:pPr>
            <w:r w:rsidRPr="00B05E5E">
              <w:rPr>
                <w:rFonts w:asciiTheme="minorHAnsi" w:hAnsiTheme="minorHAnsi" w:cstheme="minorHAnsi"/>
              </w:rPr>
              <w:t>54.</w:t>
            </w:r>
          </w:p>
        </w:tc>
        <w:tc>
          <w:tcPr>
            <w:tcW w:w="1842" w:type="dxa"/>
          </w:tcPr>
          <w:p w14:paraId="4C189CC5" w14:textId="77777777" w:rsidR="008831F9" w:rsidRPr="00B05E5E" w:rsidRDefault="008831F9" w:rsidP="00EA573C">
            <w:pPr>
              <w:tabs>
                <w:tab w:val="left" w:pos="9914"/>
              </w:tabs>
              <w:rPr>
                <w:rFonts w:asciiTheme="minorHAnsi" w:hAnsiTheme="minorHAnsi" w:cstheme="minorHAnsi"/>
              </w:rPr>
            </w:pPr>
            <w:r w:rsidRPr="00B05E5E">
              <w:rPr>
                <w:rFonts w:asciiTheme="minorHAnsi" w:hAnsiTheme="minorHAnsi" w:cstheme="minorHAnsi"/>
              </w:rPr>
              <w:t>PN-EN 13588</w:t>
            </w:r>
          </w:p>
        </w:tc>
        <w:tc>
          <w:tcPr>
            <w:tcW w:w="7371" w:type="dxa"/>
          </w:tcPr>
          <w:p w14:paraId="674313B8" w14:textId="77777777" w:rsidR="008831F9" w:rsidRPr="004E54A4" w:rsidRDefault="008831F9" w:rsidP="00EA573C">
            <w:pPr>
              <w:tabs>
                <w:tab w:val="left" w:pos="9914"/>
              </w:tabs>
              <w:rPr>
                <w:rFonts w:asciiTheme="minorHAnsi" w:hAnsiTheme="minorHAnsi" w:cstheme="minorHAnsi"/>
              </w:rPr>
            </w:pPr>
            <w:r w:rsidRPr="004E54A4">
              <w:rPr>
                <w:rFonts w:asciiTheme="minorHAnsi" w:hAnsiTheme="minorHAnsi" w:cstheme="minorHAnsi"/>
              </w:rPr>
              <w:t>Asfalty i lepiszcza asfaltowe – Oznaczanie kohezji lepiszczy asfaltowych metodą testu wahadłowego</w:t>
            </w:r>
          </w:p>
        </w:tc>
      </w:tr>
      <w:tr w:rsidR="008831F9" w:rsidRPr="00E96860" w14:paraId="3FD4E70D" w14:textId="77777777" w:rsidTr="00EA573C">
        <w:tc>
          <w:tcPr>
            <w:tcW w:w="534" w:type="dxa"/>
          </w:tcPr>
          <w:p w14:paraId="44043365" w14:textId="77777777" w:rsidR="008831F9" w:rsidRPr="00B05E5E" w:rsidRDefault="008831F9" w:rsidP="00EA573C">
            <w:pPr>
              <w:tabs>
                <w:tab w:val="left" w:pos="9914"/>
              </w:tabs>
              <w:rPr>
                <w:rFonts w:asciiTheme="minorHAnsi" w:hAnsiTheme="minorHAnsi" w:cstheme="minorHAnsi"/>
              </w:rPr>
            </w:pPr>
            <w:r w:rsidRPr="00B05E5E">
              <w:rPr>
                <w:rFonts w:asciiTheme="minorHAnsi" w:hAnsiTheme="minorHAnsi" w:cstheme="minorHAnsi"/>
              </w:rPr>
              <w:t>55.</w:t>
            </w:r>
          </w:p>
        </w:tc>
        <w:tc>
          <w:tcPr>
            <w:tcW w:w="1842" w:type="dxa"/>
          </w:tcPr>
          <w:p w14:paraId="70347B23" w14:textId="77777777" w:rsidR="008831F9" w:rsidRPr="00B05E5E" w:rsidRDefault="008831F9" w:rsidP="00EA573C">
            <w:pPr>
              <w:tabs>
                <w:tab w:val="left" w:pos="9914"/>
              </w:tabs>
              <w:rPr>
                <w:rFonts w:asciiTheme="minorHAnsi" w:hAnsiTheme="minorHAnsi" w:cstheme="minorHAnsi"/>
              </w:rPr>
            </w:pPr>
            <w:r w:rsidRPr="00B05E5E">
              <w:rPr>
                <w:rFonts w:asciiTheme="minorHAnsi" w:hAnsiTheme="minorHAnsi" w:cstheme="minorHAnsi"/>
              </w:rPr>
              <w:t>PN-EN 13589</w:t>
            </w:r>
          </w:p>
        </w:tc>
        <w:tc>
          <w:tcPr>
            <w:tcW w:w="7371" w:type="dxa"/>
          </w:tcPr>
          <w:p w14:paraId="2864D890" w14:textId="77777777" w:rsidR="008831F9" w:rsidRPr="004E54A4" w:rsidRDefault="008831F9" w:rsidP="00EA573C">
            <w:pPr>
              <w:tabs>
                <w:tab w:val="left" w:pos="9914"/>
              </w:tabs>
              <w:rPr>
                <w:rFonts w:asciiTheme="minorHAnsi" w:hAnsiTheme="minorHAnsi" w:cstheme="minorHAnsi"/>
              </w:rPr>
            </w:pPr>
            <w:r w:rsidRPr="004E54A4">
              <w:rPr>
                <w:rFonts w:asciiTheme="minorHAnsi" w:hAnsiTheme="minorHAnsi" w:cstheme="minorHAnsi"/>
              </w:rPr>
              <w:t>Asfalty i lepiszcza asfaltowe – Oznaczanie ciągliwości modyfikowanych asfaltów – Metoda z duktylometrem</w:t>
            </w:r>
          </w:p>
        </w:tc>
      </w:tr>
      <w:tr w:rsidR="008831F9" w:rsidRPr="00E96860" w14:paraId="35A7FDF7" w14:textId="77777777" w:rsidTr="00EA573C">
        <w:tc>
          <w:tcPr>
            <w:tcW w:w="534" w:type="dxa"/>
          </w:tcPr>
          <w:p w14:paraId="65B0B649" w14:textId="77777777" w:rsidR="008831F9" w:rsidRPr="00B05E5E" w:rsidRDefault="008831F9" w:rsidP="00EA573C">
            <w:pPr>
              <w:tabs>
                <w:tab w:val="left" w:pos="9914"/>
              </w:tabs>
              <w:rPr>
                <w:rFonts w:asciiTheme="minorHAnsi" w:hAnsiTheme="minorHAnsi" w:cstheme="minorHAnsi"/>
              </w:rPr>
            </w:pPr>
            <w:r w:rsidRPr="00B05E5E">
              <w:rPr>
                <w:rFonts w:asciiTheme="minorHAnsi" w:hAnsiTheme="minorHAnsi" w:cstheme="minorHAnsi"/>
              </w:rPr>
              <w:t>56.</w:t>
            </w:r>
          </w:p>
        </w:tc>
        <w:tc>
          <w:tcPr>
            <w:tcW w:w="1842" w:type="dxa"/>
          </w:tcPr>
          <w:p w14:paraId="474E032F" w14:textId="77777777" w:rsidR="008831F9" w:rsidRPr="00B05E5E" w:rsidRDefault="008831F9" w:rsidP="00EA573C">
            <w:pPr>
              <w:tabs>
                <w:tab w:val="left" w:pos="9914"/>
              </w:tabs>
              <w:rPr>
                <w:rFonts w:asciiTheme="minorHAnsi" w:hAnsiTheme="minorHAnsi" w:cstheme="minorHAnsi"/>
              </w:rPr>
            </w:pPr>
            <w:r w:rsidRPr="00B05E5E">
              <w:rPr>
                <w:rFonts w:asciiTheme="minorHAnsi" w:hAnsiTheme="minorHAnsi" w:cstheme="minorHAnsi"/>
              </w:rPr>
              <w:t>PN-EN 13614</w:t>
            </w:r>
          </w:p>
        </w:tc>
        <w:tc>
          <w:tcPr>
            <w:tcW w:w="7371" w:type="dxa"/>
          </w:tcPr>
          <w:p w14:paraId="16DCF4CC" w14:textId="77777777" w:rsidR="008831F9" w:rsidRPr="004E54A4" w:rsidRDefault="008831F9" w:rsidP="00EA573C">
            <w:pPr>
              <w:tabs>
                <w:tab w:val="left" w:pos="9914"/>
              </w:tabs>
              <w:rPr>
                <w:rFonts w:asciiTheme="minorHAnsi" w:hAnsiTheme="minorHAnsi" w:cstheme="minorHAnsi"/>
              </w:rPr>
            </w:pPr>
            <w:r w:rsidRPr="004E54A4">
              <w:rPr>
                <w:rFonts w:asciiTheme="minorHAnsi" w:hAnsiTheme="minorHAnsi" w:cstheme="minorHAnsi"/>
              </w:rPr>
              <w:t>Asfalty i lepiszcza asfaltowe – Oznaczanie przyczepności emulsji bitumicznych przez zanurzenie w wodzie – Metoda z kruszywem</w:t>
            </w:r>
          </w:p>
        </w:tc>
      </w:tr>
      <w:tr w:rsidR="008831F9" w:rsidRPr="00E96860" w14:paraId="160A3087" w14:textId="77777777" w:rsidTr="00EA573C">
        <w:tc>
          <w:tcPr>
            <w:tcW w:w="534" w:type="dxa"/>
          </w:tcPr>
          <w:p w14:paraId="08C6CDFE" w14:textId="77777777" w:rsidR="008831F9" w:rsidRPr="00B05E5E" w:rsidRDefault="008831F9" w:rsidP="00EA573C">
            <w:pPr>
              <w:tabs>
                <w:tab w:val="left" w:pos="9914"/>
              </w:tabs>
              <w:rPr>
                <w:rFonts w:asciiTheme="minorHAnsi" w:hAnsiTheme="minorHAnsi" w:cstheme="minorHAnsi"/>
              </w:rPr>
            </w:pPr>
            <w:r w:rsidRPr="00B05E5E">
              <w:rPr>
                <w:rFonts w:asciiTheme="minorHAnsi" w:hAnsiTheme="minorHAnsi" w:cstheme="minorHAnsi"/>
              </w:rPr>
              <w:t>57.</w:t>
            </w:r>
          </w:p>
        </w:tc>
        <w:tc>
          <w:tcPr>
            <w:tcW w:w="1842" w:type="dxa"/>
          </w:tcPr>
          <w:p w14:paraId="4DD933E8" w14:textId="77777777" w:rsidR="008831F9" w:rsidRPr="00B05E5E" w:rsidRDefault="008831F9" w:rsidP="00EA573C">
            <w:pPr>
              <w:tabs>
                <w:tab w:val="left" w:pos="9914"/>
              </w:tabs>
              <w:rPr>
                <w:rFonts w:asciiTheme="minorHAnsi" w:hAnsiTheme="minorHAnsi" w:cstheme="minorHAnsi"/>
              </w:rPr>
            </w:pPr>
            <w:r w:rsidRPr="00B05E5E">
              <w:rPr>
                <w:rFonts w:asciiTheme="minorHAnsi" w:hAnsiTheme="minorHAnsi" w:cstheme="minorHAnsi"/>
              </w:rPr>
              <w:t>PN-EN 13703</w:t>
            </w:r>
          </w:p>
        </w:tc>
        <w:tc>
          <w:tcPr>
            <w:tcW w:w="7371" w:type="dxa"/>
          </w:tcPr>
          <w:p w14:paraId="20A932AF" w14:textId="77777777" w:rsidR="008831F9" w:rsidRPr="004E54A4" w:rsidRDefault="008831F9" w:rsidP="00EA573C">
            <w:pPr>
              <w:tabs>
                <w:tab w:val="left" w:pos="9914"/>
              </w:tabs>
              <w:rPr>
                <w:rFonts w:asciiTheme="minorHAnsi" w:hAnsiTheme="minorHAnsi" w:cstheme="minorHAnsi"/>
              </w:rPr>
            </w:pPr>
            <w:r w:rsidRPr="004E54A4">
              <w:rPr>
                <w:rFonts w:asciiTheme="minorHAnsi" w:hAnsiTheme="minorHAnsi" w:cstheme="minorHAnsi"/>
              </w:rPr>
              <w:t>Asfalty i lepiszcza asfaltowe – Oznaczanie energii deformacji</w:t>
            </w:r>
          </w:p>
        </w:tc>
      </w:tr>
      <w:tr w:rsidR="008831F9" w:rsidRPr="00E96860" w14:paraId="1B9564C6" w14:textId="77777777" w:rsidTr="00EA573C">
        <w:tc>
          <w:tcPr>
            <w:tcW w:w="534" w:type="dxa"/>
          </w:tcPr>
          <w:p w14:paraId="1FF4736D" w14:textId="77777777" w:rsidR="008831F9" w:rsidRPr="00B05E5E" w:rsidRDefault="008831F9" w:rsidP="00EA573C">
            <w:pPr>
              <w:tabs>
                <w:tab w:val="left" w:pos="9914"/>
              </w:tabs>
              <w:rPr>
                <w:rFonts w:asciiTheme="minorHAnsi" w:hAnsiTheme="minorHAnsi" w:cstheme="minorHAnsi"/>
              </w:rPr>
            </w:pPr>
            <w:r w:rsidRPr="00B05E5E">
              <w:rPr>
                <w:rFonts w:asciiTheme="minorHAnsi" w:hAnsiTheme="minorHAnsi" w:cstheme="minorHAnsi"/>
              </w:rPr>
              <w:t>58.</w:t>
            </w:r>
          </w:p>
        </w:tc>
        <w:tc>
          <w:tcPr>
            <w:tcW w:w="1842" w:type="dxa"/>
          </w:tcPr>
          <w:p w14:paraId="7FFCE1E7" w14:textId="77777777" w:rsidR="008831F9" w:rsidRPr="00B05E5E" w:rsidRDefault="008831F9" w:rsidP="00EA573C">
            <w:pPr>
              <w:tabs>
                <w:tab w:val="left" w:pos="9914"/>
              </w:tabs>
              <w:rPr>
                <w:rFonts w:asciiTheme="minorHAnsi" w:hAnsiTheme="minorHAnsi" w:cstheme="minorHAnsi"/>
              </w:rPr>
            </w:pPr>
            <w:r w:rsidRPr="00B05E5E">
              <w:rPr>
                <w:rFonts w:asciiTheme="minorHAnsi" w:hAnsiTheme="minorHAnsi" w:cstheme="minorHAnsi"/>
              </w:rPr>
              <w:t>PN-EN 13808</w:t>
            </w:r>
          </w:p>
        </w:tc>
        <w:tc>
          <w:tcPr>
            <w:tcW w:w="7371" w:type="dxa"/>
          </w:tcPr>
          <w:p w14:paraId="23735BCC" w14:textId="77777777" w:rsidR="008831F9" w:rsidRPr="004E54A4" w:rsidRDefault="008831F9" w:rsidP="00EA573C">
            <w:pPr>
              <w:tabs>
                <w:tab w:val="left" w:pos="9914"/>
              </w:tabs>
              <w:rPr>
                <w:rFonts w:asciiTheme="minorHAnsi" w:hAnsiTheme="minorHAnsi" w:cstheme="minorHAnsi"/>
              </w:rPr>
            </w:pPr>
            <w:r w:rsidRPr="004E54A4">
              <w:rPr>
                <w:rFonts w:asciiTheme="minorHAnsi" w:hAnsiTheme="minorHAnsi" w:cstheme="minorHAnsi"/>
              </w:rPr>
              <w:t>Asfalty i lepiszcza asfaltowe – Zasady specyfikacji kationowych emulsji asfaltowych</w:t>
            </w:r>
          </w:p>
        </w:tc>
      </w:tr>
      <w:tr w:rsidR="008831F9" w:rsidRPr="00E96860" w14:paraId="3FBC6EDD" w14:textId="77777777" w:rsidTr="00EA573C">
        <w:tc>
          <w:tcPr>
            <w:tcW w:w="534" w:type="dxa"/>
          </w:tcPr>
          <w:p w14:paraId="4D47B43B" w14:textId="77777777" w:rsidR="008831F9" w:rsidRPr="00B05E5E" w:rsidRDefault="008831F9" w:rsidP="00EA573C">
            <w:pPr>
              <w:tabs>
                <w:tab w:val="left" w:pos="9914"/>
              </w:tabs>
              <w:rPr>
                <w:rFonts w:asciiTheme="minorHAnsi" w:hAnsiTheme="minorHAnsi" w:cstheme="minorHAnsi"/>
              </w:rPr>
            </w:pPr>
            <w:r w:rsidRPr="00B05E5E">
              <w:rPr>
                <w:rFonts w:asciiTheme="minorHAnsi" w:hAnsiTheme="minorHAnsi" w:cstheme="minorHAnsi"/>
              </w:rPr>
              <w:t>59.</w:t>
            </w:r>
          </w:p>
        </w:tc>
        <w:tc>
          <w:tcPr>
            <w:tcW w:w="1842" w:type="dxa"/>
          </w:tcPr>
          <w:p w14:paraId="52DA0D08" w14:textId="77777777" w:rsidR="008831F9" w:rsidRPr="00B05E5E" w:rsidRDefault="008831F9" w:rsidP="00EA573C">
            <w:pPr>
              <w:tabs>
                <w:tab w:val="left" w:pos="9914"/>
              </w:tabs>
              <w:rPr>
                <w:rFonts w:asciiTheme="minorHAnsi" w:hAnsiTheme="minorHAnsi" w:cstheme="minorHAnsi"/>
              </w:rPr>
            </w:pPr>
            <w:r w:rsidRPr="00B05E5E">
              <w:rPr>
                <w:rFonts w:asciiTheme="minorHAnsi" w:hAnsiTheme="minorHAnsi" w:cstheme="minorHAnsi"/>
              </w:rPr>
              <w:t>PN-EN 14023</w:t>
            </w:r>
          </w:p>
        </w:tc>
        <w:tc>
          <w:tcPr>
            <w:tcW w:w="7371" w:type="dxa"/>
          </w:tcPr>
          <w:p w14:paraId="1232BE55" w14:textId="77777777" w:rsidR="008831F9" w:rsidRPr="004E54A4" w:rsidRDefault="008831F9" w:rsidP="00EA573C">
            <w:pPr>
              <w:tabs>
                <w:tab w:val="left" w:pos="9914"/>
              </w:tabs>
              <w:rPr>
                <w:rFonts w:asciiTheme="minorHAnsi" w:hAnsiTheme="minorHAnsi" w:cstheme="minorHAnsi"/>
              </w:rPr>
            </w:pPr>
            <w:r w:rsidRPr="004E54A4">
              <w:rPr>
                <w:rFonts w:asciiTheme="minorHAnsi" w:hAnsiTheme="minorHAnsi" w:cstheme="minorHAnsi"/>
              </w:rPr>
              <w:t>Asfalty i lepiszcza asfaltowe – Zasady specyfikacji asfaltów modyfikowanych polimerami</w:t>
            </w:r>
          </w:p>
        </w:tc>
      </w:tr>
      <w:tr w:rsidR="008831F9" w:rsidRPr="00E96860" w14:paraId="66DB6B17" w14:textId="77777777" w:rsidTr="00EA573C">
        <w:tc>
          <w:tcPr>
            <w:tcW w:w="534" w:type="dxa"/>
          </w:tcPr>
          <w:p w14:paraId="3AF5DFAA" w14:textId="77777777" w:rsidR="008831F9" w:rsidRPr="00B05E5E" w:rsidRDefault="008831F9" w:rsidP="00EA573C">
            <w:pPr>
              <w:tabs>
                <w:tab w:val="left" w:pos="9914"/>
              </w:tabs>
              <w:rPr>
                <w:rFonts w:asciiTheme="minorHAnsi" w:hAnsiTheme="minorHAnsi" w:cstheme="minorHAnsi"/>
              </w:rPr>
            </w:pPr>
            <w:r w:rsidRPr="00B05E5E">
              <w:rPr>
                <w:rFonts w:asciiTheme="minorHAnsi" w:hAnsiTheme="minorHAnsi" w:cstheme="minorHAnsi"/>
              </w:rPr>
              <w:t>60.</w:t>
            </w:r>
          </w:p>
        </w:tc>
        <w:tc>
          <w:tcPr>
            <w:tcW w:w="1842" w:type="dxa"/>
          </w:tcPr>
          <w:p w14:paraId="05924C43" w14:textId="77777777" w:rsidR="008831F9" w:rsidRPr="00B05E5E" w:rsidRDefault="008831F9" w:rsidP="00EA573C">
            <w:pPr>
              <w:tabs>
                <w:tab w:val="left" w:pos="9914"/>
              </w:tabs>
              <w:rPr>
                <w:rFonts w:asciiTheme="minorHAnsi" w:hAnsiTheme="minorHAnsi" w:cstheme="minorHAnsi"/>
              </w:rPr>
            </w:pPr>
            <w:r w:rsidRPr="00B05E5E">
              <w:rPr>
                <w:rFonts w:asciiTheme="minorHAnsi" w:hAnsiTheme="minorHAnsi" w:cstheme="minorHAnsi"/>
              </w:rPr>
              <w:t>PN-EN 14188-1</w:t>
            </w:r>
          </w:p>
        </w:tc>
        <w:tc>
          <w:tcPr>
            <w:tcW w:w="7371" w:type="dxa"/>
          </w:tcPr>
          <w:p w14:paraId="58844F1A" w14:textId="77777777" w:rsidR="008831F9" w:rsidRPr="004E54A4" w:rsidRDefault="008831F9" w:rsidP="00EA573C">
            <w:pPr>
              <w:tabs>
                <w:tab w:val="left" w:pos="9914"/>
              </w:tabs>
              <w:rPr>
                <w:rFonts w:asciiTheme="minorHAnsi" w:hAnsiTheme="minorHAnsi" w:cstheme="minorHAnsi"/>
              </w:rPr>
            </w:pPr>
            <w:r w:rsidRPr="004E54A4">
              <w:rPr>
                <w:rFonts w:asciiTheme="minorHAnsi" w:hAnsiTheme="minorHAnsi" w:cstheme="minorHAnsi"/>
              </w:rPr>
              <w:t>Wypełniacze złączy i zalewy – Część 1: Specyfikacja zalew na gorąco</w:t>
            </w:r>
          </w:p>
        </w:tc>
      </w:tr>
      <w:tr w:rsidR="008831F9" w:rsidRPr="00E96860" w14:paraId="2DC737E0" w14:textId="77777777" w:rsidTr="00EA573C">
        <w:tc>
          <w:tcPr>
            <w:tcW w:w="534" w:type="dxa"/>
          </w:tcPr>
          <w:p w14:paraId="0AA8389C" w14:textId="77777777" w:rsidR="008831F9" w:rsidRPr="00B05E5E" w:rsidRDefault="008831F9" w:rsidP="00EA573C">
            <w:pPr>
              <w:tabs>
                <w:tab w:val="left" w:pos="9914"/>
              </w:tabs>
              <w:rPr>
                <w:rFonts w:asciiTheme="minorHAnsi" w:hAnsiTheme="minorHAnsi" w:cstheme="minorHAnsi"/>
              </w:rPr>
            </w:pPr>
            <w:r w:rsidRPr="00B05E5E">
              <w:rPr>
                <w:rFonts w:asciiTheme="minorHAnsi" w:hAnsiTheme="minorHAnsi" w:cstheme="minorHAnsi"/>
              </w:rPr>
              <w:t>61.</w:t>
            </w:r>
          </w:p>
        </w:tc>
        <w:tc>
          <w:tcPr>
            <w:tcW w:w="1842" w:type="dxa"/>
          </w:tcPr>
          <w:p w14:paraId="729077AF" w14:textId="77777777" w:rsidR="008831F9" w:rsidRPr="00B05E5E" w:rsidRDefault="008831F9" w:rsidP="00EA573C">
            <w:pPr>
              <w:tabs>
                <w:tab w:val="left" w:pos="9914"/>
              </w:tabs>
              <w:rPr>
                <w:rFonts w:asciiTheme="minorHAnsi" w:hAnsiTheme="minorHAnsi" w:cstheme="minorHAnsi"/>
              </w:rPr>
            </w:pPr>
            <w:r w:rsidRPr="00B05E5E">
              <w:rPr>
                <w:rFonts w:asciiTheme="minorHAnsi" w:hAnsiTheme="minorHAnsi" w:cstheme="minorHAnsi"/>
              </w:rPr>
              <w:t>PN-EN 14188-2</w:t>
            </w:r>
          </w:p>
        </w:tc>
        <w:tc>
          <w:tcPr>
            <w:tcW w:w="7371" w:type="dxa"/>
          </w:tcPr>
          <w:p w14:paraId="2B4C6B90" w14:textId="77777777" w:rsidR="008831F9" w:rsidRPr="004E54A4" w:rsidRDefault="008831F9" w:rsidP="00EA573C">
            <w:pPr>
              <w:tabs>
                <w:tab w:val="left" w:pos="9914"/>
              </w:tabs>
              <w:rPr>
                <w:rFonts w:asciiTheme="minorHAnsi" w:hAnsiTheme="minorHAnsi" w:cstheme="minorHAnsi"/>
              </w:rPr>
            </w:pPr>
            <w:r w:rsidRPr="004E54A4">
              <w:rPr>
                <w:rFonts w:asciiTheme="minorHAnsi" w:hAnsiTheme="minorHAnsi" w:cstheme="minorHAnsi"/>
              </w:rPr>
              <w:t>Wypełniacze złączy i zalewy – Część 2: Specyfikacja zalew na zimno</w:t>
            </w:r>
          </w:p>
        </w:tc>
      </w:tr>
      <w:tr w:rsidR="008831F9" w:rsidRPr="00E96860" w14:paraId="36060FBE" w14:textId="77777777" w:rsidTr="00EA573C">
        <w:tc>
          <w:tcPr>
            <w:tcW w:w="534" w:type="dxa"/>
          </w:tcPr>
          <w:p w14:paraId="4EB74791" w14:textId="77777777" w:rsidR="008831F9" w:rsidRPr="00B05E5E" w:rsidRDefault="008831F9" w:rsidP="00EA573C">
            <w:pPr>
              <w:tabs>
                <w:tab w:val="left" w:pos="9914"/>
              </w:tabs>
              <w:rPr>
                <w:rFonts w:asciiTheme="minorHAnsi" w:hAnsiTheme="minorHAnsi" w:cstheme="minorHAnsi"/>
              </w:rPr>
            </w:pPr>
            <w:r w:rsidRPr="00B05E5E">
              <w:rPr>
                <w:rFonts w:asciiTheme="minorHAnsi" w:hAnsiTheme="minorHAnsi" w:cstheme="minorHAnsi"/>
              </w:rPr>
              <w:t>62.</w:t>
            </w:r>
          </w:p>
        </w:tc>
        <w:tc>
          <w:tcPr>
            <w:tcW w:w="1842" w:type="dxa"/>
          </w:tcPr>
          <w:p w14:paraId="6841728B" w14:textId="77777777" w:rsidR="008831F9" w:rsidRPr="00B05E5E" w:rsidRDefault="008831F9" w:rsidP="00EA573C">
            <w:pPr>
              <w:tabs>
                <w:tab w:val="left" w:pos="9914"/>
              </w:tabs>
              <w:rPr>
                <w:rFonts w:asciiTheme="minorHAnsi" w:hAnsiTheme="minorHAnsi" w:cstheme="minorHAnsi"/>
              </w:rPr>
            </w:pPr>
            <w:r w:rsidRPr="00B05E5E">
              <w:rPr>
                <w:rFonts w:asciiTheme="minorHAnsi" w:hAnsiTheme="minorHAnsi" w:cstheme="minorHAnsi"/>
              </w:rPr>
              <w:t>PN-EN 22592</w:t>
            </w:r>
          </w:p>
        </w:tc>
        <w:tc>
          <w:tcPr>
            <w:tcW w:w="7371" w:type="dxa"/>
          </w:tcPr>
          <w:p w14:paraId="31D43BC7" w14:textId="77777777" w:rsidR="008831F9" w:rsidRPr="004E54A4" w:rsidRDefault="008831F9" w:rsidP="00EA573C">
            <w:pPr>
              <w:tabs>
                <w:tab w:val="left" w:pos="9914"/>
              </w:tabs>
              <w:rPr>
                <w:rFonts w:asciiTheme="minorHAnsi" w:hAnsiTheme="minorHAnsi" w:cstheme="minorHAnsi"/>
              </w:rPr>
            </w:pPr>
            <w:r w:rsidRPr="004E54A4">
              <w:rPr>
                <w:rFonts w:asciiTheme="minorHAnsi" w:hAnsiTheme="minorHAnsi" w:cstheme="minorHAnsi"/>
              </w:rPr>
              <w:t>Przetwory naftowe – Oznaczanie temperatury zapłonu i palenia – Pomiar metodą otwartego tygla Clevelanda</w:t>
            </w:r>
          </w:p>
        </w:tc>
      </w:tr>
      <w:tr w:rsidR="008831F9" w:rsidRPr="00E96860" w14:paraId="65FB435E" w14:textId="77777777" w:rsidTr="00EA573C">
        <w:tc>
          <w:tcPr>
            <w:tcW w:w="534" w:type="dxa"/>
          </w:tcPr>
          <w:p w14:paraId="2196CCAF" w14:textId="77777777" w:rsidR="008831F9" w:rsidRPr="00B05E5E" w:rsidRDefault="008831F9" w:rsidP="00EA573C">
            <w:pPr>
              <w:tabs>
                <w:tab w:val="left" w:pos="9914"/>
              </w:tabs>
              <w:rPr>
                <w:rFonts w:asciiTheme="minorHAnsi" w:hAnsiTheme="minorHAnsi" w:cstheme="minorHAnsi"/>
              </w:rPr>
            </w:pPr>
            <w:r w:rsidRPr="00B05E5E">
              <w:rPr>
                <w:rFonts w:asciiTheme="minorHAnsi" w:hAnsiTheme="minorHAnsi" w:cstheme="minorHAnsi"/>
              </w:rPr>
              <w:t>63.</w:t>
            </w:r>
          </w:p>
        </w:tc>
        <w:tc>
          <w:tcPr>
            <w:tcW w:w="1842" w:type="dxa"/>
          </w:tcPr>
          <w:p w14:paraId="31371531" w14:textId="77777777" w:rsidR="008831F9" w:rsidRPr="00B05E5E" w:rsidRDefault="008831F9" w:rsidP="00EA573C">
            <w:pPr>
              <w:tabs>
                <w:tab w:val="left" w:pos="9914"/>
              </w:tabs>
              <w:rPr>
                <w:rFonts w:asciiTheme="minorHAnsi" w:hAnsiTheme="minorHAnsi" w:cstheme="minorHAnsi"/>
              </w:rPr>
            </w:pPr>
            <w:r w:rsidRPr="00B05E5E">
              <w:rPr>
                <w:rFonts w:asciiTheme="minorHAnsi" w:hAnsiTheme="minorHAnsi" w:cstheme="minorHAnsi"/>
              </w:rPr>
              <w:t>PN-EN ISO 2592</w:t>
            </w:r>
          </w:p>
        </w:tc>
        <w:tc>
          <w:tcPr>
            <w:tcW w:w="7371" w:type="dxa"/>
          </w:tcPr>
          <w:p w14:paraId="2934B472" w14:textId="77777777" w:rsidR="008831F9" w:rsidRPr="004E54A4" w:rsidRDefault="008831F9" w:rsidP="00EA573C">
            <w:pPr>
              <w:tabs>
                <w:tab w:val="left" w:pos="9914"/>
              </w:tabs>
              <w:rPr>
                <w:rFonts w:asciiTheme="minorHAnsi" w:hAnsiTheme="minorHAnsi" w:cstheme="minorHAnsi"/>
              </w:rPr>
            </w:pPr>
            <w:r w:rsidRPr="004E54A4">
              <w:rPr>
                <w:rFonts w:asciiTheme="minorHAnsi" w:hAnsiTheme="minorHAnsi" w:cstheme="minorHAnsi"/>
              </w:rPr>
              <w:t>Oznaczanie temperatury zapłonu i palenia – Metoda otwartego tygla Clevelanda</w:t>
            </w:r>
          </w:p>
        </w:tc>
      </w:tr>
    </w:tbl>
    <w:p w14:paraId="735451B3" w14:textId="77777777" w:rsidR="008831F9" w:rsidRPr="004E54A4" w:rsidRDefault="008831F9" w:rsidP="008831F9">
      <w:pPr>
        <w:pStyle w:val="Nagwek4"/>
        <w:tabs>
          <w:tab w:val="left" w:pos="9914"/>
        </w:tabs>
        <w:rPr>
          <w:rFonts w:asciiTheme="minorHAnsi" w:hAnsiTheme="minorHAnsi" w:cstheme="minorHAnsi"/>
        </w:rPr>
      </w:pPr>
      <w:r w:rsidRPr="004E54A4">
        <w:rPr>
          <w:rFonts w:asciiTheme="minorHAnsi" w:hAnsiTheme="minorHAnsi" w:cstheme="minorHAnsi"/>
        </w:rPr>
        <w:t>10.3. Wymagania techniczne (rekomendowane przez Ministra Infrastruktury)</w:t>
      </w:r>
    </w:p>
    <w:p w14:paraId="04CF3718" w14:textId="77777777" w:rsidR="008831F9" w:rsidRPr="004E54A4" w:rsidRDefault="008831F9" w:rsidP="00262498">
      <w:pPr>
        <w:numPr>
          <w:ilvl w:val="0"/>
          <w:numId w:val="26"/>
        </w:numPr>
        <w:tabs>
          <w:tab w:val="clear" w:pos="397"/>
          <w:tab w:val="num" w:pos="426"/>
          <w:tab w:val="left" w:pos="9914"/>
        </w:tabs>
        <w:ind w:left="426" w:hanging="369"/>
        <w:rPr>
          <w:rFonts w:asciiTheme="minorHAnsi" w:hAnsiTheme="minorHAnsi" w:cstheme="minorHAnsi"/>
        </w:rPr>
      </w:pPr>
      <w:r w:rsidRPr="004E54A4">
        <w:rPr>
          <w:rFonts w:asciiTheme="minorHAnsi" w:hAnsiTheme="minorHAnsi" w:cstheme="minorHAnsi"/>
        </w:rPr>
        <w:t>WT-1 Kruszywa do mieszanek mineralno-asfaltowych i powierzchniowych utrwaleń na drogach krajowych WT-1 Wymagania techniczne, Warszawa 2014</w:t>
      </w:r>
    </w:p>
    <w:p w14:paraId="1C8138F6" w14:textId="77777777" w:rsidR="008831F9" w:rsidRPr="004E54A4" w:rsidRDefault="008831F9" w:rsidP="00262498">
      <w:pPr>
        <w:numPr>
          <w:ilvl w:val="0"/>
          <w:numId w:val="26"/>
        </w:numPr>
        <w:tabs>
          <w:tab w:val="clear" w:pos="397"/>
          <w:tab w:val="num" w:pos="426"/>
          <w:tab w:val="left" w:pos="9914"/>
        </w:tabs>
        <w:ind w:left="426" w:hanging="369"/>
        <w:rPr>
          <w:rFonts w:asciiTheme="minorHAnsi" w:hAnsiTheme="minorHAnsi" w:cstheme="minorHAnsi"/>
        </w:rPr>
      </w:pPr>
      <w:r w:rsidRPr="004E54A4">
        <w:rPr>
          <w:rFonts w:asciiTheme="minorHAnsi" w:hAnsiTheme="minorHAnsi" w:cstheme="minorHAnsi"/>
        </w:rPr>
        <w:t>WT-2 Nawierzchnie asfaltowe na drogach krajowych. WT-2 2014 Mieszanki mineralno asfaltowe Wymagania Warszawa 2014</w:t>
      </w:r>
    </w:p>
    <w:p w14:paraId="2472F369" w14:textId="77777777" w:rsidR="008831F9" w:rsidRPr="004E54A4" w:rsidRDefault="008831F9" w:rsidP="00262498">
      <w:pPr>
        <w:numPr>
          <w:ilvl w:val="0"/>
          <w:numId w:val="26"/>
        </w:numPr>
        <w:tabs>
          <w:tab w:val="clear" w:pos="397"/>
          <w:tab w:val="num" w:pos="426"/>
          <w:tab w:val="left" w:pos="9914"/>
        </w:tabs>
        <w:ind w:left="426" w:hanging="369"/>
        <w:rPr>
          <w:rFonts w:asciiTheme="minorHAnsi" w:hAnsiTheme="minorHAnsi" w:cstheme="minorHAnsi"/>
        </w:rPr>
      </w:pPr>
      <w:r w:rsidRPr="004E54A4">
        <w:rPr>
          <w:rFonts w:asciiTheme="minorHAnsi" w:hAnsiTheme="minorHAnsi" w:cstheme="minorHAnsi"/>
        </w:rPr>
        <w:t>WT-3 Emulsje asfaltowe 2009. Kationowe emulsje asfaltowe na drogach publicznych</w:t>
      </w:r>
    </w:p>
    <w:p w14:paraId="68F0C5E7" w14:textId="77777777" w:rsidR="008831F9" w:rsidRPr="00B05E5E" w:rsidRDefault="008831F9" w:rsidP="008831F9">
      <w:pPr>
        <w:pStyle w:val="Nagwek4"/>
        <w:rPr>
          <w:rFonts w:asciiTheme="minorHAnsi" w:hAnsiTheme="minorHAnsi" w:cstheme="minorHAnsi"/>
        </w:rPr>
      </w:pPr>
      <w:r w:rsidRPr="00B05E5E">
        <w:rPr>
          <w:rFonts w:asciiTheme="minorHAnsi" w:hAnsiTheme="minorHAnsi" w:cstheme="minorHAnsi"/>
        </w:rPr>
        <w:t>10.4. Inne dokumenty</w:t>
      </w:r>
    </w:p>
    <w:p w14:paraId="77E5290C" w14:textId="77777777" w:rsidR="008831F9" w:rsidRPr="004E54A4" w:rsidRDefault="008831F9" w:rsidP="00262498">
      <w:pPr>
        <w:numPr>
          <w:ilvl w:val="0"/>
          <w:numId w:val="254"/>
        </w:numPr>
        <w:tabs>
          <w:tab w:val="clear" w:pos="397"/>
          <w:tab w:val="num" w:pos="426"/>
          <w:tab w:val="left" w:pos="9914"/>
        </w:tabs>
        <w:ind w:left="426" w:hanging="369"/>
        <w:rPr>
          <w:rFonts w:asciiTheme="minorHAnsi" w:hAnsiTheme="minorHAnsi" w:cstheme="minorHAnsi"/>
        </w:rPr>
      </w:pPr>
      <w:r w:rsidRPr="004E54A4">
        <w:rPr>
          <w:rFonts w:asciiTheme="minorHAnsi" w:hAnsiTheme="minorHAnsi" w:cstheme="minorHAnsi"/>
        </w:rPr>
        <w:t>Rozporządzenie Ministra Transportu i Gospodarki Morskiej z dnia 2 marca 1999 r. w sprawie warunków technicznych, jakim powinny odpowiadać drogi publiczne i ich usytuowanie (Dz.U. nr 43, poz. 430)</w:t>
      </w:r>
    </w:p>
    <w:p w14:paraId="2D64B469" w14:textId="77777777" w:rsidR="008831F9" w:rsidRPr="004E54A4" w:rsidRDefault="008831F9" w:rsidP="00262498">
      <w:pPr>
        <w:numPr>
          <w:ilvl w:val="0"/>
          <w:numId w:val="254"/>
        </w:numPr>
        <w:tabs>
          <w:tab w:val="clear" w:pos="397"/>
          <w:tab w:val="num" w:pos="426"/>
          <w:tab w:val="left" w:pos="9914"/>
        </w:tabs>
        <w:ind w:left="426" w:hanging="369"/>
        <w:rPr>
          <w:rFonts w:asciiTheme="minorHAnsi" w:hAnsiTheme="minorHAnsi" w:cstheme="minorHAnsi"/>
        </w:rPr>
      </w:pPr>
      <w:r w:rsidRPr="004E54A4">
        <w:rPr>
          <w:rFonts w:asciiTheme="minorHAnsi" w:hAnsiTheme="minorHAnsi" w:cstheme="minorHAnsi"/>
        </w:rPr>
        <w:t>Katalog typowych konstrukcji nawierzchni podatnych i półsztywnych. Generalna Dyrekcja Dróg Publicznych – Instytut Badawczy Dróg i Mostów, Warszawa 1997</w:t>
      </w:r>
    </w:p>
    <w:p w14:paraId="17B9EAB0" w14:textId="77777777" w:rsidR="008831F9" w:rsidRDefault="008831F9" w:rsidP="0022369F">
      <w:pPr>
        <w:spacing w:line="360" w:lineRule="auto"/>
        <w:jc w:val="center"/>
        <w:rPr>
          <w:rFonts w:ascii="Calibri" w:hAnsi="Calibri" w:cs="Calibri"/>
          <w:b/>
          <w:sz w:val="22"/>
          <w:szCs w:val="22"/>
        </w:rPr>
      </w:pPr>
    </w:p>
    <w:p w14:paraId="4076372D" w14:textId="77777777" w:rsidR="008831F9" w:rsidRDefault="008831F9" w:rsidP="0022369F">
      <w:pPr>
        <w:spacing w:line="360" w:lineRule="auto"/>
        <w:jc w:val="center"/>
        <w:rPr>
          <w:rFonts w:ascii="Calibri" w:hAnsi="Calibri" w:cs="Calibri"/>
          <w:b/>
          <w:sz w:val="22"/>
          <w:szCs w:val="22"/>
        </w:rPr>
      </w:pPr>
    </w:p>
    <w:p w14:paraId="259D6216" w14:textId="77777777" w:rsidR="007E56C9" w:rsidRDefault="007E56C9">
      <w:pPr>
        <w:overflowPunct/>
        <w:autoSpaceDE/>
        <w:autoSpaceDN/>
        <w:adjustRightInd/>
        <w:jc w:val="left"/>
        <w:textAlignment w:val="auto"/>
        <w:rPr>
          <w:rFonts w:ascii="Calibri" w:hAnsi="Calibri" w:cs="Calibri"/>
          <w:b/>
          <w:sz w:val="22"/>
          <w:szCs w:val="22"/>
        </w:rPr>
      </w:pPr>
      <w:r>
        <w:rPr>
          <w:rFonts w:ascii="Calibri" w:hAnsi="Calibri" w:cs="Calibri"/>
          <w:b/>
          <w:sz w:val="22"/>
          <w:szCs w:val="22"/>
        </w:rPr>
        <w:br w:type="page"/>
      </w:r>
    </w:p>
    <w:p w14:paraId="6C179B8C" w14:textId="342FB772" w:rsidR="008C66DB" w:rsidRPr="00A23FB4" w:rsidRDefault="00575C66" w:rsidP="0022369F">
      <w:pPr>
        <w:spacing w:line="360" w:lineRule="auto"/>
        <w:jc w:val="center"/>
        <w:rPr>
          <w:rFonts w:ascii="Calibri" w:hAnsi="Calibri" w:cs="Calibri"/>
          <w:b/>
          <w:sz w:val="22"/>
          <w:szCs w:val="22"/>
        </w:rPr>
      </w:pPr>
      <w:r>
        <w:rPr>
          <w:rFonts w:ascii="Calibri" w:hAnsi="Calibri" w:cs="Calibri"/>
          <w:b/>
          <w:sz w:val="22"/>
          <w:szCs w:val="22"/>
        </w:rPr>
        <w:t>SZCZEGÓŁOWE SPECYFIKACJE TECHNICZNE</w:t>
      </w:r>
      <w:r w:rsidR="008C66DB" w:rsidRPr="00A23FB4">
        <w:rPr>
          <w:rFonts w:ascii="Calibri" w:hAnsi="Calibri" w:cs="Calibri"/>
          <w:b/>
          <w:sz w:val="22"/>
          <w:szCs w:val="22"/>
        </w:rPr>
        <w:t xml:space="preserve"> WYKONYWANIA I ODBIORU ROBÓT BUDOWLANYCH</w:t>
      </w:r>
    </w:p>
    <w:p w14:paraId="60B7415E" w14:textId="77777777" w:rsidR="008C66DB" w:rsidRPr="00A23FB4" w:rsidRDefault="003739A4" w:rsidP="0022369F">
      <w:pPr>
        <w:pStyle w:val="Nagowek1"/>
        <w:spacing w:before="0"/>
      </w:pPr>
      <w:bookmarkStart w:id="683" w:name="_Toc285044238"/>
      <w:bookmarkStart w:id="684" w:name="_Toc296923110"/>
      <w:bookmarkStart w:id="685" w:name="_Toc460177623"/>
      <w:bookmarkStart w:id="686" w:name="_Toc206275490"/>
      <w:r>
        <w:t>D</w:t>
      </w:r>
      <w:r w:rsidR="008C66DB" w:rsidRPr="00A23FB4">
        <w:t>-05.03.23 NAWIERZCHNIA Z KOSTKI BRUKOWEJ BETONOWEJ</w:t>
      </w:r>
      <w:bookmarkEnd w:id="683"/>
      <w:bookmarkEnd w:id="684"/>
      <w:bookmarkEnd w:id="685"/>
      <w:bookmarkEnd w:id="686"/>
    </w:p>
    <w:p w14:paraId="7153A88F" w14:textId="77777777" w:rsidR="008C66DB" w:rsidRPr="00A23FB4" w:rsidRDefault="008C66DB" w:rsidP="008C66DB">
      <w:pPr>
        <w:rPr>
          <w:rFonts w:asciiTheme="minorHAnsi" w:hAnsiTheme="minorHAnsi"/>
          <w:b/>
        </w:rPr>
      </w:pPr>
      <w:bookmarkStart w:id="687" w:name="_Toc107903215"/>
    </w:p>
    <w:p w14:paraId="317667FE" w14:textId="77777777" w:rsidR="008C66DB" w:rsidRPr="00A23FB4" w:rsidRDefault="008C66DB" w:rsidP="008C66DB">
      <w:pPr>
        <w:rPr>
          <w:rFonts w:asciiTheme="minorHAnsi" w:hAnsiTheme="minorHAnsi"/>
          <w:b/>
        </w:rPr>
      </w:pPr>
      <w:r w:rsidRPr="00A23FB4">
        <w:rPr>
          <w:rFonts w:asciiTheme="minorHAnsi" w:hAnsiTheme="minorHAnsi"/>
          <w:b/>
        </w:rPr>
        <w:t>1. WSTĘP</w:t>
      </w:r>
      <w:bookmarkEnd w:id="687"/>
    </w:p>
    <w:p w14:paraId="2680406F" w14:textId="592FC693" w:rsidR="008C66DB" w:rsidRPr="00A23FB4" w:rsidRDefault="008C66DB" w:rsidP="008C66DB">
      <w:pPr>
        <w:pStyle w:val="Nagwek4"/>
        <w:rPr>
          <w:rFonts w:asciiTheme="minorHAnsi" w:hAnsiTheme="minorHAnsi"/>
        </w:rPr>
      </w:pPr>
      <w:r w:rsidRPr="00A23FB4">
        <w:rPr>
          <w:rFonts w:asciiTheme="minorHAnsi" w:hAnsiTheme="minorHAnsi"/>
        </w:rPr>
        <w:t xml:space="preserve">1.1. Przedmiot </w:t>
      </w:r>
      <w:r w:rsidR="00C006BE">
        <w:rPr>
          <w:rFonts w:asciiTheme="minorHAnsi" w:hAnsiTheme="minorHAnsi"/>
        </w:rPr>
        <w:t>ST</w:t>
      </w:r>
      <w:r w:rsidRPr="00A23FB4">
        <w:rPr>
          <w:rFonts w:asciiTheme="minorHAnsi" w:hAnsiTheme="minorHAnsi"/>
        </w:rPr>
        <w:t>WiORB</w:t>
      </w:r>
    </w:p>
    <w:p w14:paraId="2134AEE7" w14:textId="12CAACD5" w:rsidR="008C66DB" w:rsidRPr="00A23FB4" w:rsidRDefault="008C66DB" w:rsidP="008C66DB">
      <w:pPr>
        <w:pStyle w:val="Standardowytekst"/>
        <w:rPr>
          <w:rFonts w:asciiTheme="minorHAnsi" w:hAnsiTheme="minorHAnsi"/>
        </w:rPr>
      </w:pPr>
      <w:r w:rsidRPr="00A23FB4">
        <w:rPr>
          <w:rFonts w:asciiTheme="minorHAnsi" w:hAnsiTheme="minorHAnsi"/>
        </w:rPr>
        <w:t>Przedmiotem niniejsz</w:t>
      </w:r>
      <w:r w:rsidR="007E56C9">
        <w:rPr>
          <w:rFonts w:asciiTheme="minorHAnsi" w:hAnsiTheme="minorHAnsi"/>
        </w:rPr>
        <w:t>ej</w:t>
      </w:r>
      <w:r w:rsidRPr="00A23FB4">
        <w:rPr>
          <w:rFonts w:asciiTheme="minorHAnsi" w:hAnsiTheme="minorHAnsi"/>
        </w:rPr>
        <w:t xml:space="preserve"> </w:t>
      </w:r>
      <w:r w:rsidR="00575C66">
        <w:rPr>
          <w:rFonts w:asciiTheme="minorHAnsi" w:hAnsiTheme="minorHAnsi"/>
        </w:rPr>
        <w:t>szczegółow</w:t>
      </w:r>
      <w:r w:rsidR="007E56C9">
        <w:rPr>
          <w:rFonts w:asciiTheme="minorHAnsi" w:hAnsiTheme="minorHAnsi"/>
        </w:rPr>
        <w:t>ej</w:t>
      </w:r>
      <w:r w:rsidR="00575C66">
        <w:rPr>
          <w:rFonts w:asciiTheme="minorHAnsi" w:hAnsiTheme="minorHAnsi"/>
        </w:rPr>
        <w:t xml:space="preserve"> specyfikacji</w:t>
      </w:r>
      <w:r w:rsidRPr="00A23FB4">
        <w:rPr>
          <w:rFonts w:asciiTheme="minorHAnsi" w:hAnsiTheme="minorHAnsi"/>
        </w:rPr>
        <w:t xml:space="preserve"> technicznej wykonania i odbioru robót budowlanych (</w:t>
      </w:r>
      <w:r w:rsidR="000907B8">
        <w:rPr>
          <w:rFonts w:asciiTheme="minorHAnsi" w:hAnsiTheme="minorHAnsi"/>
        </w:rPr>
        <w:t>ST</w:t>
      </w:r>
      <w:r w:rsidRPr="00A23FB4">
        <w:rPr>
          <w:rFonts w:asciiTheme="minorHAnsi" w:hAnsiTheme="minorHAnsi"/>
        </w:rPr>
        <w:t>WiORB) są wymagania dotyczące wykonania i odbioru robót związanych z wykonywaniem nawierzchni z kostki brukowej betonowej.</w:t>
      </w:r>
    </w:p>
    <w:p w14:paraId="7D269FD1" w14:textId="28B4E9E2" w:rsidR="008C66DB" w:rsidRPr="00A23FB4" w:rsidRDefault="008C66DB" w:rsidP="008C66DB">
      <w:pPr>
        <w:pStyle w:val="Nagwek4"/>
        <w:rPr>
          <w:rFonts w:asciiTheme="minorHAnsi" w:hAnsiTheme="minorHAnsi"/>
        </w:rPr>
      </w:pPr>
      <w:r w:rsidRPr="00A23FB4">
        <w:rPr>
          <w:rFonts w:asciiTheme="minorHAnsi" w:hAnsiTheme="minorHAnsi"/>
        </w:rPr>
        <w:t xml:space="preserve">1.2. Zakres stosowania </w:t>
      </w:r>
      <w:r w:rsidR="00C006BE">
        <w:rPr>
          <w:rFonts w:asciiTheme="minorHAnsi" w:hAnsiTheme="minorHAnsi"/>
        </w:rPr>
        <w:t>ST</w:t>
      </w:r>
      <w:r w:rsidRPr="00A23FB4">
        <w:rPr>
          <w:rFonts w:asciiTheme="minorHAnsi" w:hAnsiTheme="minorHAnsi"/>
        </w:rPr>
        <w:t>WiORB</w:t>
      </w:r>
    </w:p>
    <w:p w14:paraId="4DCE1534" w14:textId="379BC1B0" w:rsidR="008C66DB" w:rsidRPr="00A23FB4" w:rsidRDefault="00575C66" w:rsidP="008C66DB">
      <w:pPr>
        <w:rPr>
          <w:rFonts w:asciiTheme="minorHAnsi" w:hAnsiTheme="minorHAnsi" w:cs="Calibri"/>
        </w:rPr>
      </w:pPr>
      <w:r>
        <w:rPr>
          <w:rFonts w:asciiTheme="minorHAnsi" w:hAnsiTheme="minorHAnsi" w:cs="Calibri"/>
        </w:rPr>
        <w:t>Specyfikacj</w:t>
      </w:r>
      <w:r w:rsidR="007E56C9">
        <w:rPr>
          <w:rFonts w:asciiTheme="minorHAnsi" w:hAnsiTheme="minorHAnsi" w:cs="Calibri"/>
        </w:rPr>
        <w:t>a</w:t>
      </w:r>
      <w:r w:rsidR="008C66DB" w:rsidRPr="00A23FB4">
        <w:rPr>
          <w:rFonts w:asciiTheme="minorHAnsi" w:hAnsiTheme="minorHAnsi" w:cs="Calibri"/>
        </w:rPr>
        <w:t xml:space="preserve"> stanowi dokument kontraktowy przy realizacji  zadania</w:t>
      </w:r>
      <w:r w:rsidR="004D5430" w:rsidRPr="00A23FB4">
        <w:rPr>
          <w:rFonts w:asciiTheme="minorHAnsi" w:hAnsiTheme="minorHAnsi" w:cstheme="minorHAnsi"/>
          <w:bCs/>
        </w:rPr>
        <w:t xml:space="preserve"> </w:t>
      </w:r>
      <w:r w:rsidR="00506838">
        <w:rPr>
          <w:rFonts w:asciiTheme="minorHAnsi" w:hAnsiTheme="minorHAnsi" w:cstheme="minorHAnsi"/>
          <w:bCs/>
        </w:rPr>
        <w:t>„</w:t>
      </w:r>
      <w:r w:rsidR="00C006BE" w:rsidRPr="00C006BE">
        <w:rPr>
          <w:rFonts w:asciiTheme="minorHAnsi" w:hAnsiTheme="minorHAnsi" w:cstheme="minorHAnsi"/>
          <w:bCs/>
        </w:rPr>
        <w:t>Rozbudowa ul. Wrocławskiej w ciągu drogi powiatowej w Tyńcu Małym wraz z rozbudową istniejącego skrzyżowania typu rondo na połączeniu dróg krajowych nr 35 i 35a oraz łącznika węzła Kobierzyce drogi S8e oraz infrastrukturą towarzyszącą w ramach zadania „Rozbudowa skrzyżowania typu rondo w ciągu DK35 koło m. Tyniec Mały usprawniająca skomunikowanie obszarów Podstrefy Wrocław – Kobierzyce TSSE EURO PARK WISŁOSAN”</w:t>
      </w:r>
      <w:r w:rsidR="00C006BE">
        <w:rPr>
          <w:rFonts w:asciiTheme="minorHAnsi" w:hAnsiTheme="minorHAnsi" w:cstheme="minorHAnsi"/>
          <w:bCs/>
        </w:rPr>
        <w:t>.</w:t>
      </w:r>
    </w:p>
    <w:p w14:paraId="76104487" w14:textId="1F5A8C38" w:rsidR="008C66DB" w:rsidRPr="00A23FB4" w:rsidRDefault="008C66DB" w:rsidP="008C66DB">
      <w:pPr>
        <w:pStyle w:val="Nagwek4"/>
        <w:rPr>
          <w:rFonts w:asciiTheme="minorHAnsi" w:hAnsiTheme="minorHAnsi"/>
        </w:rPr>
      </w:pPr>
      <w:r w:rsidRPr="00A23FB4">
        <w:rPr>
          <w:rFonts w:asciiTheme="minorHAnsi" w:hAnsiTheme="minorHAnsi"/>
        </w:rPr>
        <w:t xml:space="preserve">1.3. Zakres robót objętych </w:t>
      </w:r>
      <w:r w:rsidR="00C006BE">
        <w:rPr>
          <w:rFonts w:asciiTheme="minorHAnsi" w:hAnsiTheme="minorHAnsi"/>
        </w:rPr>
        <w:t>ST</w:t>
      </w:r>
      <w:r w:rsidRPr="00A23FB4">
        <w:rPr>
          <w:rFonts w:asciiTheme="minorHAnsi" w:hAnsiTheme="minorHAnsi"/>
        </w:rPr>
        <w:t>WiORB</w:t>
      </w:r>
    </w:p>
    <w:p w14:paraId="6921EAAC" w14:textId="7EFCD4F6" w:rsidR="008C66DB" w:rsidRPr="00A23FB4" w:rsidRDefault="008C66DB" w:rsidP="008C66DB">
      <w:pPr>
        <w:rPr>
          <w:rFonts w:asciiTheme="minorHAnsi" w:hAnsiTheme="minorHAnsi"/>
        </w:rPr>
      </w:pPr>
      <w:r w:rsidRPr="00A23FB4">
        <w:rPr>
          <w:rFonts w:asciiTheme="minorHAnsi" w:hAnsiTheme="minorHAnsi"/>
        </w:rPr>
        <w:t xml:space="preserve">Ustalenia zawarte w niniejszych </w:t>
      </w:r>
      <w:r w:rsidR="00575C66">
        <w:rPr>
          <w:rFonts w:asciiTheme="minorHAnsi" w:hAnsiTheme="minorHAnsi"/>
        </w:rPr>
        <w:t>specyfikacjach</w:t>
      </w:r>
      <w:r w:rsidRPr="00A23FB4">
        <w:rPr>
          <w:rFonts w:asciiTheme="minorHAnsi" w:hAnsiTheme="minorHAnsi"/>
        </w:rPr>
        <w:t xml:space="preserve"> dotyczą zasad prowadzenia robót związanych z wykonywaniem nawierzc</w:t>
      </w:r>
      <w:r w:rsidR="007837DA" w:rsidRPr="00A23FB4">
        <w:rPr>
          <w:rFonts w:asciiTheme="minorHAnsi" w:hAnsiTheme="minorHAnsi"/>
        </w:rPr>
        <w:t>hni z kostki brukowej betonowej tj.:</w:t>
      </w:r>
    </w:p>
    <w:p w14:paraId="5534BD99" w14:textId="77777777" w:rsidR="007837DA" w:rsidRPr="00A23FB4" w:rsidRDefault="007837DA" w:rsidP="00262498">
      <w:pPr>
        <w:pStyle w:val="Akapitzlist"/>
        <w:numPr>
          <w:ilvl w:val="0"/>
          <w:numId w:val="185"/>
        </w:numPr>
        <w:rPr>
          <w:rFonts w:asciiTheme="minorHAnsi" w:hAnsiTheme="minorHAnsi"/>
        </w:rPr>
      </w:pPr>
      <w:r w:rsidRPr="00A23FB4">
        <w:rPr>
          <w:rFonts w:asciiTheme="minorHAnsi" w:hAnsiTheme="minorHAnsi"/>
        </w:rPr>
        <w:t>chodniki,</w:t>
      </w:r>
    </w:p>
    <w:p w14:paraId="635A6CBF" w14:textId="77777777" w:rsidR="007837DA" w:rsidRPr="00A23FB4" w:rsidRDefault="007837DA" w:rsidP="00262498">
      <w:pPr>
        <w:pStyle w:val="Akapitzlist"/>
        <w:numPr>
          <w:ilvl w:val="0"/>
          <w:numId w:val="185"/>
        </w:numPr>
        <w:rPr>
          <w:rFonts w:asciiTheme="minorHAnsi" w:hAnsiTheme="minorHAnsi"/>
        </w:rPr>
      </w:pPr>
      <w:r w:rsidRPr="00A23FB4">
        <w:rPr>
          <w:rFonts w:asciiTheme="minorHAnsi" w:hAnsiTheme="minorHAnsi"/>
        </w:rPr>
        <w:t>wyspy dzielące,</w:t>
      </w:r>
    </w:p>
    <w:p w14:paraId="1F0AD73F" w14:textId="77777777" w:rsidR="007837DA" w:rsidRPr="00A23FB4" w:rsidRDefault="007837DA" w:rsidP="00262498">
      <w:pPr>
        <w:pStyle w:val="Akapitzlist"/>
        <w:numPr>
          <w:ilvl w:val="0"/>
          <w:numId w:val="185"/>
        </w:numPr>
        <w:rPr>
          <w:rFonts w:asciiTheme="minorHAnsi" w:hAnsiTheme="minorHAnsi"/>
        </w:rPr>
      </w:pPr>
      <w:r w:rsidRPr="00A23FB4">
        <w:rPr>
          <w:rFonts w:asciiTheme="minorHAnsi" w:hAnsiTheme="minorHAnsi"/>
        </w:rPr>
        <w:t>miejsce postojowe,</w:t>
      </w:r>
    </w:p>
    <w:p w14:paraId="7DF04906" w14:textId="77777777" w:rsidR="007837DA" w:rsidRPr="00A23FB4" w:rsidRDefault="007837DA" w:rsidP="00262498">
      <w:pPr>
        <w:pStyle w:val="Akapitzlist"/>
        <w:numPr>
          <w:ilvl w:val="0"/>
          <w:numId w:val="185"/>
        </w:numPr>
        <w:rPr>
          <w:rFonts w:asciiTheme="minorHAnsi" w:hAnsiTheme="minorHAnsi"/>
        </w:rPr>
      </w:pPr>
      <w:r w:rsidRPr="00A23FB4">
        <w:rPr>
          <w:rFonts w:asciiTheme="minorHAnsi" w:hAnsiTheme="minorHAnsi"/>
        </w:rPr>
        <w:t>zjazdy.</w:t>
      </w:r>
    </w:p>
    <w:p w14:paraId="062E73C7" w14:textId="77777777" w:rsidR="008C66DB" w:rsidRPr="00A23FB4" w:rsidRDefault="008C66DB" w:rsidP="008C66DB">
      <w:pPr>
        <w:pStyle w:val="Nagwek4"/>
        <w:rPr>
          <w:rFonts w:asciiTheme="minorHAnsi" w:hAnsiTheme="minorHAnsi"/>
        </w:rPr>
      </w:pPr>
      <w:r w:rsidRPr="00A23FB4">
        <w:rPr>
          <w:rFonts w:asciiTheme="minorHAnsi" w:hAnsiTheme="minorHAnsi"/>
        </w:rPr>
        <w:t>1.4. Określenia podstawowe</w:t>
      </w:r>
    </w:p>
    <w:p w14:paraId="3F1C51DD" w14:textId="77777777" w:rsidR="008C66DB" w:rsidRPr="00A23FB4" w:rsidRDefault="008C66DB" w:rsidP="008C66DB">
      <w:pPr>
        <w:numPr>
          <w:ilvl w:val="12"/>
          <w:numId w:val="0"/>
        </w:numPr>
        <w:rPr>
          <w:rFonts w:asciiTheme="minorHAnsi" w:hAnsiTheme="minorHAnsi"/>
        </w:rPr>
      </w:pPr>
      <w:r w:rsidRPr="00A23FB4">
        <w:rPr>
          <w:rFonts w:asciiTheme="minorHAnsi" w:hAnsiTheme="minorHAnsi"/>
          <w:b/>
        </w:rPr>
        <w:t xml:space="preserve">1.4.1. </w:t>
      </w:r>
      <w:r w:rsidRPr="00A23FB4">
        <w:rPr>
          <w:rFonts w:asciiTheme="minorHAnsi" w:hAnsiTheme="minorHAnsi"/>
        </w:rPr>
        <w:t>Betonowa kostka brukowa - kształtka wytwarzana z betonu metodą wibroprasowania. Produkowana jest jako kształtka jednowarstwowa lub w dwóch warstwach połączonych ze sobą trwale w fazie produkcji.</w:t>
      </w:r>
    </w:p>
    <w:p w14:paraId="3C7D6A72" w14:textId="42C21AA5" w:rsidR="008C66DB" w:rsidRPr="00A23FB4" w:rsidRDefault="008C66DB" w:rsidP="008C66DB">
      <w:pPr>
        <w:numPr>
          <w:ilvl w:val="12"/>
          <w:numId w:val="0"/>
        </w:numPr>
        <w:rPr>
          <w:rFonts w:asciiTheme="minorHAnsi" w:hAnsiTheme="minorHAnsi"/>
        </w:rPr>
      </w:pPr>
      <w:r w:rsidRPr="00A23FB4">
        <w:rPr>
          <w:rFonts w:asciiTheme="minorHAnsi" w:hAnsiTheme="minorHAnsi"/>
          <w:b/>
        </w:rPr>
        <w:t xml:space="preserve">1.4.2. </w:t>
      </w:r>
      <w:r w:rsidRPr="00A23FB4">
        <w:rPr>
          <w:rFonts w:asciiTheme="minorHAnsi" w:hAnsiTheme="minorHAnsi"/>
        </w:rPr>
        <w:t xml:space="preserve">Pozostałe określenia podstawowe są zgodne z obowiązującymi, odpowiednimi polskimi normami i z definicjami podanymi w </w:t>
      </w:r>
      <w:r w:rsidR="00C006BE">
        <w:rPr>
          <w:rFonts w:asciiTheme="minorHAnsi" w:hAnsiTheme="minorHAnsi"/>
        </w:rPr>
        <w:t>ST</w:t>
      </w:r>
      <w:r w:rsidRPr="00A23FB4">
        <w:rPr>
          <w:rFonts w:asciiTheme="minorHAnsi" w:hAnsiTheme="minorHAnsi"/>
        </w:rPr>
        <w:t>WiORB D-M-00.00.00 „Wymagania ogólne” pkt 1.4.</w:t>
      </w:r>
    </w:p>
    <w:p w14:paraId="3269651E" w14:textId="77777777" w:rsidR="008C66DB" w:rsidRPr="00A23FB4" w:rsidRDefault="008C66DB" w:rsidP="008C66DB">
      <w:pPr>
        <w:pStyle w:val="Nagwek4"/>
        <w:rPr>
          <w:rFonts w:asciiTheme="minorHAnsi" w:hAnsiTheme="minorHAnsi"/>
        </w:rPr>
      </w:pPr>
      <w:r w:rsidRPr="00A23FB4">
        <w:rPr>
          <w:rFonts w:asciiTheme="minorHAnsi" w:hAnsiTheme="minorHAnsi"/>
        </w:rPr>
        <w:t xml:space="preserve">1.5. Ogólne wymagania dotyczące robót </w:t>
      </w:r>
    </w:p>
    <w:p w14:paraId="1058F13D" w14:textId="6098B6B5" w:rsidR="008C66DB" w:rsidRPr="00A23FB4" w:rsidRDefault="008C66DB" w:rsidP="008C66DB">
      <w:pPr>
        <w:numPr>
          <w:ilvl w:val="12"/>
          <w:numId w:val="0"/>
        </w:numPr>
        <w:rPr>
          <w:rFonts w:asciiTheme="minorHAnsi" w:hAnsiTheme="minorHAnsi"/>
        </w:rPr>
      </w:pPr>
      <w:r w:rsidRPr="00A23FB4">
        <w:rPr>
          <w:rFonts w:asciiTheme="minorHAnsi" w:hAnsiTheme="minorHAnsi"/>
        </w:rPr>
        <w:t xml:space="preserve">Ogólne wymagania dotyczące robót podano w </w:t>
      </w:r>
      <w:r w:rsidR="00C006BE">
        <w:rPr>
          <w:rFonts w:asciiTheme="minorHAnsi" w:hAnsiTheme="minorHAnsi"/>
        </w:rPr>
        <w:t>ST</w:t>
      </w:r>
      <w:r w:rsidRPr="00A23FB4">
        <w:rPr>
          <w:rFonts w:asciiTheme="minorHAnsi" w:hAnsiTheme="minorHAnsi"/>
        </w:rPr>
        <w:t>WiORB D-M-00.00.00 „Wymagania ogólne” pkt 1.5.</w:t>
      </w:r>
    </w:p>
    <w:p w14:paraId="3F2B739F" w14:textId="77777777" w:rsidR="008C66DB" w:rsidRPr="00A23FB4" w:rsidRDefault="008C66DB" w:rsidP="008C66DB">
      <w:pPr>
        <w:rPr>
          <w:rFonts w:asciiTheme="minorHAnsi" w:hAnsiTheme="minorHAnsi"/>
          <w:b/>
        </w:rPr>
      </w:pPr>
      <w:bookmarkStart w:id="688" w:name="_Toc107903216"/>
    </w:p>
    <w:p w14:paraId="00FF7907" w14:textId="77777777" w:rsidR="008C66DB" w:rsidRPr="00A23FB4" w:rsidRDefault="008C66DB" w:rsidP="008C66DB">
      <w:pPr>
        <w:rPr>
          <w:rFonts w:asciiTheme="minorHAnsi" w:hAnsiTheme="minorHAnsi"/>
          <w:b/>
        </w:rPr>
      </w:pPr>
      <w:r w:rsidRPr="00A23FB4">
        <w:rPr>
          <w:rFonts w:asciiTheme="minorHAnsi" w:hAnsiTheme="minorHAnsi"/>
          <w:b/>
        </w:rPr>
        <w:t>2. MATERIAŁY</w:t>
      </w:r>
      <w:bookmarkEnd w:id="688"/>
    </w:p>
    <w:p w14:paraId="63D2A1FC" w14:textId="77777777" w:rsidR="008C66DB" w:rsidRPr="00A23FB4" w:rsidRDefault="008C66DB" w:rsidP="008C66DB">
      <w:pPr>
        <w:pStyle w:val="Nagwek4"/>
        <w:rPr>
          <w:rFonts w:asciiTheme="minorHAnsi" w:hAnsiTheme="minorHAnsi"/>
        </w:rPr>
      </w:pPr>
      <w:r w:rsidRPr="00A23FB4">
        <w:rPr>
          <w:rFonts w:asciiTheme="minorHAnsi" w:hAnsiTheme="minorHAnsi"/>
        </w:rPr>
        <w:t>2.1. Ogólne wymagania dotyczące materiałów</w:t>
      </w:r>
    </w:p>
    <w:p w14:paraId="229D3357" w14:textId="7666EBB5" w:rsidR="008C66DB" w:rsidRPr="00A23FB4" w:rsidRDefault="008C66DB" w:rsidP="008C66DB">
      <w:pPr>
        <w:numPr>
          <w:ilvl w:val="12"/>
          <w:numId w:val="0"/>
        </w:numPr>
        <w:rPr>
          <w:rFonts w:asciiTheme="minorHAnsi" w:hAnsiTheme="minorHAnsi"/>
        </w:rPr>
      </w:pPr>
      <w:r w:rsidRPr="00A23FB4">
        <w:rPr>
          <w:rFonts w:asciiTheme="minorHAnsi" w:hAnsiTheme="minorHAnsi"/>
        </w:rPr>
        <w:t xml:space="preserve">Ogólne wymagania dotyczące materiałów, ich pozyskiwania i składowania, podano w </w:t>
      </w:r>
      <w:r w:rsidR="00C006BE">
        <w:rPr>
          <w:rFonts w:asciiTheme="minorHAnsi" w:hAnsiTheme="minorHAnsi"/>
        </w:rPr>
        <w:t>ST</w:t>
      </w:r>
      <w:r w:rsidRPr="00A23FB4">
        <w:rPr>
          <w:rFonts w:asciiTheme="minorHAnsi" w:hAnsiTheme="minorHAnsi"/>
        </w:rPr>
        <w:t>WiORB D-M-00.00.00 „Wymagania ogólne” pkt 2.</w:t>
      </w:r>
    </w:p>
    <w:p w14:paraId="03C75A0A" w14:textId="77777777" w:rsidR="008C66DB" w:rsidRPr="00A23FB4" w:rsidRDefault="008C66DB" w:rsidP="008C66DB">
      <w:pPr>
        <w:pStyle w:val="Nagwek4"/>
        <w:rPr>
          <w:rFonts w:asciiTheme="minorHAnsi" w:hAnsiTheme="minorHAnsi"/>
        </w:rPr>
      </w:pPr>
      <w:r w:rsidRPr="00A23FB4">
        <w:rPr>
          <w:rFonts w:asciiTheme="minorHAnsi" w:hAnsiTheme="minorHAnsi"/>
        </w:rPr>
        <w:t>2.2. Betonowa kostka brukowa - wymagania</w:t>
      </w:r>
    </w:p>
    <w:p w14:paraId="11D5E569" w14:textId="77777777" w:rsidR="008C66DB" w:rsidRPr="00A23FB4" w:rsidRDefault="008C66DB" w:rsidP="008C66DB">
      <w:pPr>
        <w:numPr>
          <w:ilvl w:val="12"/>
          <w:numId w:val="0"/>
        </w:numPr>
        <w:rPr>
          <w:rFonts w:asciiTheme="minorHAnsi" w:hAnsiTheme="minorHAnsi"/>
        </w:rPr>
      </w:pPr>
      <w:r w:rsidRPr="00A23FB4">
        <w:rPr>
          <w:rFonts w:asciiTheme="minorHAnsi" w:hAnsiTheme="minorHAnsi"/>
        </w:rPr>
        <w:t xml:space="preserve">Kostka winna odpowiadać wymaganiom normy PN-EN 1338:2005  </w:t>
      </w:r>
    </w:p>
    <w:p w14:paraId="55CEB453" w14:textId="77777777" w:rsidR="008C66DB" w:rsidRPr="00A23FB4" w:rsidRDefault="008C66DB" w:rsidP="008C66DB">
      <w:pPr>
        <w:rPr>
          <w:rFonts w:asciiTheme="minorHAnsi" w:hAnsiTheme="minorHAnsi"/>
        </w:rPr>
      </w:pPr>
      <w:r w:rsidRPr="00A23FB4">
        <w:rPr>
          <w:rFonts w:asciiTheme="minorHAnsi" w:hAnsiTheme="minorHAnsi"/>
        </w:rPr>
        <w:t>3.1. Dopuszczalne odchyłki wymiarów nominalnych deklarowanych  przez producenta</w:t>
      </w:r>
    </w:p>
    <w:p w14:paraId="75E8C36B" w14:textId="77777777" w:rsidR="008C66DB" w:rsidRPr="00A23FB4" w:rsidRDefault="008C66DB" w:rsidP="008C66DB">
      <w:pPr>
        <w:rPr>
          <w:rFonts w:asciiTheme="minorHAnsi" w:hAnsiTheme="minorHAnsi"/>
        </w:rPr>
      </w:pPr>
      <w:r w:rsidRPr="00A23FB4">
        <w:rPr>
          <w:rFonts w:asciiTheme="minorHAnsi" w:hAnsiTheme="minorHAnsi"/>
          <w:b/>
        </w:rPr>
        <w:t>Dopuszczalne odchyłki</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913"/>
        <w:gridCol w:w="1985"/>
        <w:gridCol w:w="1701"/>
        <w:gridCol w:w="1842"/>
      </w:tblGrid>
      <w:tr w:rsidR="008C66DB" w:rsidRPr="00A23FB4" w14:paraId="1C8D686C" w14:textId="77777777" w:rsidTr="008C66DB">
        <w:tc>
          <w:tcPr>
            <w:tcW w:w="1913" w:type="dxa"/>
          </w:tcPr>
          <w:p w14:paraId="7D9DD5F4" w14:textId="77777777" w:rsidR="008C66DB" w:rsidRPr="00A23FB4" w:rsidRDefault="008C66DB" w:rsidP="008C66DB">
            <w:pPr>
              <w:rPr>
                <w:rFonts w:asciiTheme="minorHAnsi" w:hAnsiTheme="minorHAnsi"/>
              </w:rPr>
            </w:pPr>
          </w:p>
        </w:tc>
        <w:tc>
          <w:tcPr>
            <w:tcW w:w="1985" w:type="dxa"/>
          </w:tcPr>
          <w:p w14:paraId="2B25FC09" w14:textId="77777777" w:rsidR="008C66DB" w:rsidRPr="00A23FB4" w:rsidRDefault="008C66DB" w:rsidP="008C66DB">
            <w:pPr>
              <w:rPr>
                <w:rFonts w:asciiTheme="minorHAnsi" w:hAnsiTheme="minorHAnsi"/>
              </w:rPr>
            </w:pPr>
            <w:r w:rsidRPr="00A23FB4">
              <w:rPr>
                <w:rFonts w:asciiTheme="minorHAnsi" w:hAnsiTheme="minorHAnsi"/>
              </w:rPr>
              <w:t>Długość</w:t>
            </w:r>
          </w:p>
          <w:p w14:paraId="6B42ABA0" w14:textId="77777777" w:rsidR="008C66DB" w:rsidRPr="00A23FB4" w:rsidRDefault="008C66DB" w:rsidP="008C66DB">
            <w:pPr>
              <w:rPr>
                <w:rFonts w:asciiTheme="minorHAnsi" w:hAnsiTheme="minorHAnsi"/>
              </w:rPr>
            </w:pPr>
            <w:r w:rsidRPr="00A23FB4">
              <w:rPr>
                <w:rFonts w:asciiTheme="minorHAnsi" w:hAnsiTheme="minorHAnsi"/>
              </w:rPr>
              <w:t>mm</w:t>
            </w:r>
          </w:p>
        </w:tc>
        <w:tc>
          <w:tcPr>
            <w:tcW w:w="1701" w:type="dxa"/>
          </w:tcPr>
          <w:p w14:paraId="77BF0877" w14:textId="77777777" w:rsidR="008C66DB" w:rsidRPr="00A23FB4" w:rsidRDefault="008C66DB" w:rsidP="008C66DB">
            <w:pPr>
              <w:rPr>
                <w:rFonts w:asciiTheme="minorHAnsi" w:hAnsiTheme="minorHAnsi"/>
              </w:rPr>
            </w:pPr>
            <w:r w:rsidRPr="00A23FB4">
              <w:rPr>
                <w:rFonts w:asciiTheme="minorHAnsi" w:hAnsiTheme="minorHAnsi"/>
              </w:rPr>
              <w:t>Szerokość</w:t>
            </w:r>
          </w:p>
          <w:p w14:paraId="76B4BA6F" w14:textId="77777777" w:rsidR="008C66DB" w:rsidRPr="00A23FB4" w:rsidRDefault="008C66DB" w:rsidP="008C66DB">
            <w:pPr>
              <w:rPr>
                <w:rFonts w:asciiTheme="minorHAnsi" w:hAnsiTheme="minorHAnsi"/>
              </w:rPr>
            </w:pPr>
            <w:r w:rsidRPr="00A23FB4">
              <w:rPr>
                <w:rFonts w:asciiTheme="minorHAnsi" w:hAnsiTheme="minorHAnsi"/>
              </w:rPr>
              <w:t>mm</w:t>
            </w:r>
          </w:p>
        </w:tc>
        <w:tc>
          <w:tcPr>
            <w:tcW w:w="1842" w:type="dxa"/>
          </w:tcPr>
          <w:p w14:paraId="0E61223F" w14:textId="77777777" w:rsidR="008C66DB" w:rsidRPr="00A23FB4" w:rsidRDefault="008C66DB" w:rsidP="008C66DB">
            <w:pPr>
              <w:rPr>
                <w:rFonts w:asciiTheme="minorHAnsi" w:hAnsiTheme="minorHAnsi"/>
              </w:rPr>
            </w:pPr>
            <w:r w:rsidRPr="00A23FB4">
              <w:rPr>
                <w:rFonts w:asciiTheme="minorHAnsi" w:hAnsiTheme="minorHAnsi"/>
              </w:rPr>
              <w:t>Grubość</w:t>
            </w:r>
          </w:p>
          <w:p w14:paraId="3F6B9058" w14:textId="77777777" w:rsidR="008C66DB" w:rsidRPr="00A23FB4" w:rsidRDefault="008C66DB" w:rsidP="008C66DB">
            <w:pPr>
              <w:rPr>
                <w:rFonts w:asciiTheme="minorHAnsi" w:hAnsiTheme="minorHAnsi"/>
              </w:rPr>
            </w:pPr>
            <w:r w:rsidRPr="00A23FB4">
              <w:rPr>
                <w:rFonts w:asciiTheme="minorHAnsi" w:hAnsiTheme="minorHAnsi"/>
              </w:rPr>
              <w:t>mm</w:t>
            </w:r>
          </w:p>
        </w:tc>
      </w:tr>
      <w:tr w:rsidR="008C66DB" w:rsidRPr="00A23FB4" w14:paraId="59C31465" w14:textId="77777777" w:rsidTr="008C66DB">
        <w:tc>
          <w:tcPr>
            <w:tcW w:w="1913" w:type="dxa"/>
          </w:tcPr>
          <w:p w14:paraId="77EBB2A6" w14:textId="77777777" w:rsidR="008C66DB" w:rsidRPr="00A23FB4" w:rsidRDefault="008C66DB" w:rsidP="008C66DB">
            <w:pPr>
              <w:rPr>
                <w:rFonts w:asciiTheme="minorHAnsi" w:hAnsiTheme="minorHAnsi"/>
              </w:rPr>
            </w:pPr>
            <w:r w:rsidRPr="00A23FB4">
              <w:rPr>
                <w:rFonts w:asciiTheme="minorHAnsi" w:hAnsiTheme="minorHAnsi"/>
              </w:rPr>
              <w:t>Dopuszczalne odchyłki</w:t>
            </w:r>
          </w:p>
        </w:tc>
        <w:tc>
          <w:tcPr>
            <w:tcW w:w="1985" w:type="dxa"/>
          </w:tcPr>
          <w:p w14:paraId="28318C15" w14:textId="77777777" w:rsidR="008C66DB" w:rsidRPr="00A23FB4" w:rsidRDefault="008C66DB" w:rsidP="008C66DB">
            <w:pPr>
              <w:rPr>
                <w:rFonts w:asciiTheme="minorHAnsi" w:hAnsiTheme="minorHAnsi"/>
              </w:rPr>
            </w:pPr>
            <w:r w:rsidRPr="00A23FB4">
              <w:rPr>
                <w:rFonts w:asciiTheme="minorHAnsi" w:hAnsiTheme="minorHAnsi"/>
              </w:rPr>
              <w:sym w:font="Symbol" w:char="F0B1"/>
            </w:r>
            <w:r w:rsidRPr="00A23FB4">
              <w:rPr>
                <w:rFonts w:asciiTheme="minorHAnsi" w:hAnsiTheme="minorHAnsi"/>
              </w:rPr>
              <w:t xml:space="preserve"> 2</w:t>
            </w:r>
          </w:p>
        </w:tc>
        <w:tc>
          <w:tcPr>
            <w:tcW w:w="1701" w:type="dxa"/>
          </w:tcPr>
          <w:p w14:paraId="0FD7CC30" w14:textId="77777777" w:rsidR="008C66DB" w:rsidRPr="00A23FB4" w:rsidRDefault="008C66DB" w:rsidP="008C66DB">
            <w:pPr>
              <w:rPr>
                <w:rFonts w:asciiTheme="minorHAnsi" w:hAnsiTheme="minorHAnsi"/>
              </w:rPr>
            </w:pPr>
            <w:r w:rsidRPr="00A23FB4">
              <w:rPr>
                <w:rFonts w:asciiTheme="minorHAnsi" w:hAnsiTheme="minorHAnsi"/>
              </w:rPr>
              <w:sym w:font="Symbol" w:char="F0B1"/>
            </w:r>
            <w:r w:rsidRPr="00A23FB4">
              <w:rPr>
                <w:rFonts w:asciiTheme="minorHAnsi" w:hAnsiTheme="minorHAnsi"/>
              </w:rPr>
              <w:t xml:space="preserve"> 2</w:t>
            </w:r>
          </w:p>
        </w:tc>
        <w:tc>
          <w:tcPr>
            <w:tcW w:w="1842" w:type="dxa"/>
          </w:tcPr>
          <w:p w14:paraId="64C0F6A5" w14:textId="77777777" w:rsidR="008C66DB" w:rsidRPr="00A23FB4" w:rsidRDefault="008C66DB" w:rsidP="008C66DB">
            <w:pPr>
              <w:rPr>
                <w:rFonts w:asciiTheme="minorHAnsi" w:hAnsiTheme="minorHAnsi"/>
              </w:rPr>
            </w:pPr>
            <w:r w:rsidRPr="00A23FB4">
              <w:rPr>
                <w:rFonts w:asciiTheme="minorHAnsi" w:hAnsiTheme="minorHAnsi"/>
              </w:rPr>
              <w:sym w:font="Symbol" w:char="F0B1"/>
            </w:r>
            <w:r w:rsidRPr="00A23FB4">
              <w:rPr>
                <w:rFonts w:asciiTheme="minorHAnsi" w:hAnsiTheme="minorHAnsi"/>
              </w:rPr>
              <w:t xml:space="preserve"> 3</w:t>
            </w:r>
          </w:p>
        </w:tc>
      </w:tr>
      <w:tr w:rsidR="008C66DB" w:rsidRPr="00A23FB4" w14:paraId="0BB02465" w14:textId="77777777" w:rsidTr="008C66DB">
        <w:tc>
          <w:tcPr>
            <w:tcW w:w="7441" w:type="dxa"/>
            <w:gridSpan w:val="4"/>
          </w:tcPr>
          <w:p w14:paraId="2BF25B95" w14:textId="77777777" w:rsidR="008C66DB" w:rsidRPr="00A23FB4" w:rsidRDefault="008C66DB" w:rsidP="008C66DB">
            <w:pPr>
              <w:rPr>
                <w:rFonts w:asciiTheme="minorHAnsi" w:hAnsiTheme="minorHAnsi"/>
              </w:rPr>
            </w:pPr>
            <w:r w:rsidRPr="00A23FB4">
              <w:rPr>
                <w:rFonts w:asciiTheme="minorHAnsi" w:hAnsiTheme="minorHAnsi"/>
              </w:rPr>
              <w:t xml:space="preserve">Różnica pomiędzy dwoma pomiarami grubości tej samej kostki powinna być </w:t>
            </w:r>
            <w:r w:rsidRPr="00A23FB4">
              <w:rPr>
                <w:rFonts w:asciiTheme="minorHAnsi" w:hAnsiTheme="minorHAnsi"/>
              </w:rPr>
              <w:sym w:font="Symbol" w:char="F0A3"/>
            </w:r>
            <w:r w:rsidRPr="00A23FB4">
              <w:rPr>
                <w:rFonts w:asciiTheme="minorHAnsi" w:hAnsiTheme="minorHAnsi"/>
              </w:rPr>
              <w:t>3 mm.</w:t>
            </w:r>
          </w:p>
        </w:tc>
      </w:tr>
    </w:tbl>
    <w:p w14:paraId="7F70F22E" w14:textId="77777777" w:rsidR="008C66DB" w:rsidRPr="00A23FB4" w:rsidRDefault="008C66DB" w:rsidP="008C66DB">
      <w:pPr>
        <w:rPr>
          <w:rFonts w:asciiTheme="minorHAnsi" w:hAnsiTheme="minorHAnsi"/>
          <w:b/>
        </w:rPr>
      </w:pPr>
    </w:p>
    <w:p w14:paraId="2B07D775" w14:textId="77777777" w:rsidR="008C66DB" w:rsidRPr="00A23FB4" w:rsidRDefault="008C66DB" w:rsidP="008C66DB">
      <w:pPr>
        <w:rPr>
          <w:rFonts w:asciiTheme="minorHAnsi" w:hAnsiTheme="minorHAnsi"/>
          <w:b/>
        </w:rPr>
      </w:pPr>
      <w:r w:rsidRPr="00A23FB4">
        <w:rPr>
          <w:rFonts w:asciiTheme="minorHAnsi" w:hAnsiTheme="minorHAnsi"/>
          <w:b/>
        </w:rPr>
        <w:t>Odporność na zamrażanie/odmrażanie z udziałem soli odladzających</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921"/>
        <w:gridCol w:w="1276"/>
        <w:gridCol w:w="5244"/>
      </w:tblGrid>
      <w:tr w:rsidR="008C66DB" w:rsidRPr="00A23FB4" w14:paraId="1F209A15" w14:textId="77777777" w:rsidTr="008C66DB">
        <w:tc>
          <w:tcPr>
            <w:tcW w:w="921" w:type="dxa"/>
          </w:tcPr>
          <w:p w14:paraId="66E16A02" w14:textId="77777777" w:rsidR="008C66DB" w:rsidRPr="00A23FB4" w:rsidRDefault="008C66DB" w:rsidP="008C66DB">
            <w:pPr>
              <w:rPr>
                <w:rFonts w:asciiTheme="minorHAnsi" w:hAnsiTheme="minorHAnsi"/>
              </w:rPr>
            </w:pPr>
            <w:r w:rsidRPr="00A23FB4">
              <w:rPr>
                <w:rFonts w:asciiTheme="minorHAnsi" w:hAnsiTheme="minorHAnsi"/>
              </w:rPr>
              <w:t>Klasa</w:t>
            </w:r>
          </w:p>
        </w:tc>
        <w:tc>
          <w:tcPr>
            <w:tcW w:w="1276" w:type="dxa"/>
          </w:tcPr>
          <w:p w14:paraId="70ACCC01" w14:textId="77777777" w:rsidR="008C66DB" w:rsidRPr="00A23FB4" w:rsidRDefault="008C66DB" w:rsidP="008C66DB">
            <w:pPr>
              <w:rPr>
                <w:rFonts w:asciiTheme="minorHAnsi" w:hAnsiTheme="minorHAnsi"/>
              </w:rPr>
            </w:pPr>
            <w:r w:rsidRPr="00A23FB4">
              <w:rPr>
                <w:rFonts w:asciiTheme="minorHAnsi" w:hAnsiTheme="minorHAnsi"/>
              </w:rPr>
              <w:t>Znakowanie</w:t>
            </w:r>
          </w:p>
        </w:tc>
        <w:tc>
          <w:tcPr>
            <w:tcW w:w="5244" w:type="dxa"/>
          </w:tcPr>
          <w:p w14:paraId="301B372E" w14:textId="77777777" w:rsidR="008C66DB" w:rsidRPr="00A23FB4" w:rsidRDefault="008C66DB" w:rsidP="008C66DB">
            <w:pPr>
              <w:rPr>
                <w:rFonts w:asciiTheme="minorHAnsi" w:hAnsiTheme="minorHAnsi"/>
              </w:rPr>
            </w:pPr>
            <w:r w:rsidRPr="00A23FB4">
              <w:rPr>
                <w:rFonts w:asciiTheme="minorHAnsi" w:hAnsiTheme="minorHAnsi"/>
              </w:rPr>
              <w:t>Ubytek masy po badaniu zamrażania/rozmrażania  kg/m</w:t>
            </w:r>
            <w:r w:rsidRPr="00A23FB4">
              <w:rPr>
                <w:rFonts w:asciiTheme="minorHAnsi" w:hAnsiTheme="minorHAnsi"/>
                <w:vertAlign w:val="superscript"/>
              </w:rPr>
              <w:t>2</w:t>
            </w:r>
          </w:p>
        </w:tc>
      </w:tr>
      <w:tr w:rsidR="008C66DB" w:rsidRPr="00A23FB4" w14:paraId="59FB83D5" w14:textId="77777777" w:rsidTr="008C66DB">
        <w:tc>
          <w:tcPr>
            <w:tcW w:w="921" w:type="dxa"/>
          </w:tcPr>
          <w:p w14:paraId="40C3DE36" w14:textId="77777777" w:rsidR="008C66DB" w:rsidRPr="00A23FB4" w:rsidRDefault="008C66DB" w:rsidP="008C66DB">
            <w:pPr>
              <w:rPr>
                <w:rFonts w:asciiTheme="minorHAnsi" w:hAnsiTheme="minorHAnsi"/>
              </w:rPr>
            </w:pPr>
            <w:r w:rsidRPr="00A23FB4">
              <w:rPr>
                <w:rFonts w:asciiTheme="minorHAnsi" w:hAnsiTheme="minorHAnsi"/>
              </w:rPr>
              <w:t>3</w:t>
            </w:r>
          </w:p>
        </w:tc>
        <w:tc>
          <w:tcPr>
            <w:tcW w:w="1276" w:type="dxa"/>
          </w:tcPr>
          <w:p w14:paraId="35309B81" w14:textId="77777777" w:rsidR="008C66DB" w:rsidRPr="00A23FB4" w:rsidRDefault="008C66DB" w:rsidP="008C66DB">
            <w:pPr>
              <w:rPr>
                <w:rFonts w:asciiTheme="minorHAnsi" w:hAnsiTheme="minorHAnsi"/>
              </w:rPr>
            </w:pPr>
            <w:r w:rsidRPr="00A23FB4">
              <w:rPr>
                <w:rFonts w:asciiTheme="minorHAnsi" w:hAnsiTheme="minorHAnsi"/>
              </w:rPr>
              <w:t>D</w:t>
            </w:r>
          </w:p>
        </w:tc>
        <w:tc>
          <w:tcPr>
            <w:tcW w:w="5244" w:type="dxa"/>
          </w:tcPr>
          <w:p w14:paraId="24CA6E32" w14:textId="77777777" w:rsidR="008C66DB" w:rsidRPr="00A23FB4" w:rsidRDefault="008C66DB" w:rsidP="008C66DB">
            <w:pPr>
              <w:rPr>
                <w:rFonts w:asciiTheme="minorHAnsi" w:hAnsiTheme="minorHAnsi"/>
              </w:rPr>
            </w:pPr>
            <w:r w:rsidRPr="00A23FB4">
              <w:rPr>
                <w:rFonts w:asciiTheme="minorHAnsi" w:hAnsiTheme="minorHAnsi"/>
              </w:rPr>
              <w:t xml:space="preserve">Wartość średnia </w:t>
            </w:r>
            <w:r w:rsidRPr="00A23FB4">
              <w:rPr>
                <w:rFonts w:asciiTheme="minorHAnsi" w:hAnsiTheme="minorHAnsi"/>
              </w:rPr>
              <w:sym w:font="Symbol" w:char="F0A3"/>
            </w:r>
            <w:r w:rsidRPr="00A23FB4">
              <w:rPr>
                <w:rFonts w:asciiTheme="minorHAnsi" w:hAnsiTheme="minorHAnsi"/>
              </w:rPr>
              <w:t xml:space="preserve"> 1,0</w:t>
            </w:r>
          </w:p>
          <w:p w14:paraId="04F22ED6" w14:textId="77777777" w:rsidR="008C66DB" w:rsidRPr="00A23FB4" w:rsidRDefault="008C66DB" w:rsidP="008C66DB">
            <w:pPr>
              <w:rPr>
                <w:rFonts w:asciiTheme="minorHAnsi" w:hAnsiTheme="minorHAnsi"/>
              </w:rPr>
            </w:pPr>
            <w:r w:rsidRPr="00A23FB4">
              <w:rPr>
                <w:rFonts w:asciiTheme="minorHAnsi" w:hAnsiTheme="minorHAnsi"/>
              </w:rPr>
              <w:t>przy czym żaden pojedynczy wynik &gt; 1,5</w:t>
            </w:r>
          </w:p>
        </w:tc>
      </w:tr>
    </w:tbl>
    <w:p w14:paraId="20FD7625" w14:textId="77777777" w:rsidR="008C66DB" w:rsidRPr="00A23FB4" w:rsidRDefault="008C66DB" w:rsidP="008C66DB">
      <w:pPr>
        <w:rPr>
          <w:rFonts w:asciiTheme="minorHAnsi" w:hAnsiTheme="minorHAnsi"/>
        </w:rPr>
      </w:pPr>
    </w:p>
    <w:p w14:paraId="36AA3545" w14:textId="77777777" w:rsidR="008C66DB" w:rsidRPr="00A23FB4" w:rsidRDefault="008C66DB" w:rsidP="008C66DB">
      <w:pPr>
        <w:rPr>
          <w:rFonts w:asciiTheme="minorHAnsi" w:hAnsiTheme="minorHAnsi"/>
          <w:b/>
        </w:rPr>
      </w:pPr>
      <w:r w:rsidRPr="00A23FB4">
        <w:rPr>
          <w:rFonts w:asciiTheme="minorHAnsi" w:hAnsiTheme="minorHAnsi"/>
          <w:b/>
        </w:rPr>
        <w:t>Wytrzymałość na rozciąganie przy rozłupywaniu</w:t>
      </w:r>
    </w:p>
    <w:p w14:paraId="3ACA6B03" w14:textId="77777777" w:rsidR="008C66DB" w:rsidRPr="00A23FB4" w:rsidRDefault="008C66DB" w:rsidP="008C66DB">
      <w:pPr>
        <w:rPr>
          <w:rFonts w:asciiTheme="minorHAnsi" w:hAnsiTheme="minorHAnsi"/>
        </w:rPr>
      </w:pPr>
      <w:r w:rsidRPr="00A23FB4">
        <w:rPr>
          <w:rFonts w:asciiTheme="minorHAnsi" w:hAnsiTheme="minorHAnsi"/>
        </w:rPr>
        <w:t xml:space="preserve">Wytrzymałość charakterystyczna na rozciąganie przy rozłupywaniu </w:t>
      </w:r>
      <w:r w:rsidRPr="00A23FB4">
        <w:rPr>
          <w:rFonts w:asciiTheme="minorHAnsi" w:hAnsiTheme="minorHAnsi"/>
          <w:i/>
        </w:rPr>
        <w:t xml:space="preserve">T </w:t>
      </w:r>
      <w:r w:rsidRPr="00A23FB4">
        <w:rPr>
          <w:rFonts w:asciiTheme="minorHAnsi" w:hAnsiTheme="minorHAnsi"/>
        </w:rPr>
        <w:t xml:space="preserve"> nie powinna być mniejsza niż 3,6 MPa.</w:t>
      </w:r>
    </w:p>
    <w:p w14:paraId="02782EDB" w14:textId="77777777" w:rsidR="008C66DB" w:rsidRPr="00A23FB4" w:rsidRDefault="008C66DB" w:rsidP="008C66DB">
      <w:pPr>
        <w:rPr>
          <w:rFonts w:asciiTheme="minorHAnsi" w:hAnsiTheme="minorHAnsi"/>
        </w:rPr>
      </w:pPr>
      <w:r w:rsidRPr="00A23FB4">
        <w:rPr>
          <w:rFonts w:asciiTheme="minorHAnsi" w:hAnsiTheme="minorHAnsi"/>
        </w:rPr>
        <w:t>Żaden pojedynczy wynik nie powinien być mniejszy niż 2,9 MPa i nie powinien wykazywać obciążenia niszczącego mniejszego niż 250 N/mm długości rozłupania.</w:t>
      </w:r>
    </w:p>
    <w:p w14:paraId="57AA3617" w14:textId="77777777" w:rsidR="008C66DB" w:rsidRPr="00A23FB4" w:rsidRDefault="008C66DB" w:rsidP="008C66DB">
      <w:pPr>
        <w:rPr>
          <w:rFonts w:asciiTheme="minorHAnsi" w:hAnsiTheme="minorHAnsi"/>
          <w:b/>
        </w:rPr>
      </w:pPr>
      <w:r w:rsidRPr="00A23FB4">
        <w:rPr>
          <w:rFonts w:asciiTheme="minorHAnsi" w:hAnsiTheme="minorHAnsi"/>
          <w:b/>
        </w:rPr>
        <w:t xml:space="preserve"> Trwałość (ze względu na wytrzymałość)</w:t>
      </w:r>
    </w:p>
    <w:p w14:paraId="37E9E27B" w14:textId="77777777" w:rsidR="008C66DB" w:rsidRPr="00A23FB4" w:rsidRDefault="008C66DB" w:rsidP="008C66DB">
      <w:pPr>
        <w:rPr>
          <w:rFonts w:asciiTheme="minorHAnsi" w:hAnsiTheme="minorHAnsi"/>
        </w:rPr>
      </w:pPr>
      <w:r w:rsidRPr="00A23FB4">
        <w:rPr>
          <w:rFonts w:asciiTheme="minorHAnsi" w:hAnsiTheme="minorHAnsi"/>
        </w:rPr>
        <w:t>Prefabrykowane betonowe kostki brukowe poddawane działaniu normalnych warunków zewnętrznych zachowują zadowalającą trwałość (wytrzymałość) pod warunkiem spełnienia wymagań wytrzymałości na rozciąganie przy rozłupywaniu (pkt 3.2.2) i poddawaniu normalnej konserwacji.</w:t>
      </w:r>
    </w:p>
    <w:p w14:paraId="22A25629" w14:textId="77777777" w:rsidR="008C66DB" w:rsidRPr="00A23FB4" w:rsidRDefault="008C66DB" w:rsidP="008C66DB">
      <w:pPr>
        <w:rPr>
          <w:rFonts w:asciiTheme="minorHAnsi" w:hAnsiTheme="minorHAnsi"/>
          <w:b/>
        </w:rPr>
      </w:pPr>
    </w:p>
    <w:p w14:paraId="48D035B1" w14:textId="77777777" w:rsidR="008C66DB" w:rsidRPr="00A23FB4" w:rsidRDefault="008C66DB" w:rsidP="008C66DB">
      <w:pPr>
        <w:rPr>
          <w:rFonts w:asciiTheme="minorHAnsi" w:hAnsiTheme="minorHAnsi"/>
          <w:b/>
        </w:rPr>
      </w:pPr>
      <w:r w:rsidRPr="00A23FB4">
        <w:rPr>
          <w:rFonts w:asciiTheme="minorHAnsi" w:hAnsiTheme="minorHAnsi"/>
          <w:b/>
        </w:rPr>
        <w:t>Odporność na ścieranie</w:t>
      </w:r>
    </w:p>
    <w:tbl>
      <w:tblPr>
        <w:tblW w:w="0" w:type="auto"/>
        <w:tblLayout w:type="fixed"/>
        <w:tblCellMar>
          <w:left w:w="70" w:type="dxa"/>
          <w:right w:w="70" w:type="dxa"/>
        </w:tblCellMar>
        <w:tblLook w:val="0000" w:firstRow="0" w:lastRow="0" w:firstColumn="0" w:lastColumn="0" w:noHBand="0" w:noVBand="0"/>
      </w:tblPr>
      <w:tblGrid>
        <w:gridCol w:w="921"/>
        <w:gridCol w:w="1276"/>
        <w:gridCol w:w="2693"/>
        <w:gridCol w:w="2551"/>
      </w:tblGrid>
      <w:tr w:rsidR="008C66DB" w:rsidRPr="00A23FB4" w14:paraId="0139535F" w14:textId="77777777" w:rsidTr="008C66DB">
        <w:tc>
          <w:tcPr>
            <w:tcW w:w="921" w:type="dxa"/>
            <w:tcBorders>
              <w:top w:val="single" w:sz="6" w:space="0" w:color="auto"/>
              <w:left w:val="single" w:sz="6" w:space="0" w:color="auto"/>
            </w:tcBorders>
          </w:tcPr>
          <w:p w14:paraId="76A8961F" w14:textId="77777777" w:rsidR="008C66DB" w:rsidRPr="00A23FB4" w:rsidRDefault="008C66DB" w:rsidP="008C66DB">
            <w:pPr>
              <w:rPr>
                <w:rFonts w:asciiTheme="minorHAnsi" w:hAnsiTheme="minorHAnsi"/>
              </w:rPr>
            </w:pPr>
          </w:p>
        </w:tc>
        <w:tc>
          <w:tcPr>
            <w:tcW w:w="1276" w:type="dxa"/>
            <w:tcBorders>
              <w:top w:val="single" w:sz="6" w:space="0" w:color="auto"/>
              <w:left w:val="single" w:sz="6" w:space="0" w:color="auto"/>
            </w:tcBorders>
          </w:tcPr>
          <w:p w14:paraId="3C9426C3" w14:textId="77777777" w:rsidR="008C66DB" w:rsidRPr="00A23FB4" w:rsidRDefault="008C66DB" w:rsidP="008C66DB">
            <w:pPr>
              <w:rPr>
                <w:rFonts w:asciiTheme="minorHAnsi" w:hAnsiTheme="minorHAnsi"/>
              </w:rPr>
            </w:pPr>
          </w:p>
        </w:tc>
        <w:tc>
          <w:tcPr>
            <w:tcW w:w="5244" w:type="dxa"/>
            <w:gridSpan w:val="2"/>
            <w:tcBorders>
              <w:top w:val="single" w:sz="6" w:space="0" w:color="auto"/>
              <w:left w:val="single" w:sz="6" w:space="0" w:color="auto"/>
              <w:bottom w:val="single" w:sz="6" w:space="0" w:color="auto"/>
              <w:right w:val="single" w:sz="6" w:space="0" w:color="auto"/>
            </w:tcBorders>
          </w:tcPr>
          <w:p w14:paraId="1A9FD84A" w14:textId="77777777" w:rsidR="008C66DB" w:rsidRPr="00A23FB4" w:rsidRDefault="008C66DB" w:rsidP="008C66DB">
            <w:pPr>
              <w:rPr>
                <w:rFonts w:asciiTheme="minorHAnsi" w:hAnsiTheme="minorHAnsi"/>
              </w:rPr>
            </w:pPr>
            <w:r w:rsidRPr="00A23FB4">
              <w:rPr>
                <w:rFonts w:asciiTheme="minorHAnsi" w:hAnsiTheme="minorHAnsi"/>
              </w:rPr>
              <w:t>Wymaganie</w:t>
            </w:r>
          </w:p>
        </w:tc>
      </w:tr>
      <w:tr w:rsidR="008C66DB" w:rsidRPr="00A23FB4" w14:paraId="5487C628" w14:textId="77777777" w:rsidTr="008C66DB">
        <w:tc>
          <w:tcPr>
            <w:tcW w:w="921" w:type="dxa"/>
            <w:tcBorders>
              <w:left w:val="single" w:sz="6" w:space="0" w:color="auto"/>
            </w:tcBorders>
          </w:tcPr>
          <w:p w14:paraId="0F4017BD" w14:textId="77777777" w:rsidR="008C66DB" w:rsidRPr="00A23FB4" w:rsidRDefault="008C66DB" w:rsidP="008C66DB">
            <w:pPr>
              <w:rPr>
                <w:rFonts w:asciiTheme="minorHAnsi" w:hAnsiTheme="minorHAnsi"/>
              </w:rPr>
            </w:pPr>
            <w:r w:rsidRPr="00A23FB4">
              <w:rPr>
                <w:rFonts w:asciiTheme="minorHAnsi" w:hAnsiTheme="minorHAnsi"/>
              </w:rPr>
              <w:t>Klasa</w:t>
            </w:r>
          </w:p>
        </w:tc>
        <w:tc>
          <w:tcPr>
            <w:tcW w:w="1276" w:type="dxa"/>
            <w:tcBorders>
              <w:left w:val="single" w:sz="6" w:space="0" w:color="auto"/>
            </w:tcBorders>
          </w:tcPr>
          <w:p w14:paraId="28DB784B" w14:textId="77777777" w:rsidR="008C66DB" w:rsidRPr="00A23FB4" w:rsidRDefault="008C66DB" w:rsidP="008C66DB">
            <w:pPr>
              <w:rPr>
                <w:rFonts w:asciiTheme="minorHAnsi" w:hAnsiTheme="minorHAnsi"/>
              </w:rPr>
            </w:pPr>
            <w:r w:rsidRPr="00A23FB4">
              <w:rPr>
                <w:rFonts w:asciiTheme="minorHAnsi" w:hAnsiTheme="minorHAnsi"/>
              </w:rPr>
              <w:t>Oznaczenie</w:t>
            </w:r>
          </w:p>
        </w:tc>
        <w:tc>
          <w:tcPr>
            <w:tcW w:w="2693" w:type="dxa"/>
            <w:tcBorders>
              <w:top w:val="single" w:sz="6" w:space="0" w:color="auto"/>
              <w:left w:val="single" w:sz="6" w:space="0" w:color="auto"/>
              <w:bottom w:val="single" w:sz="6" w:space="0" w:color="auto"/>
              <w:right w:val="single" w:sz="6" w:space="0" w:color="auto"/>
            </w:tcBorders>
          </w:tcPr>
          <w:p w14:paraId="06A290EE" w14:textId="77777777" w:rsidR="008C66DB" w:rsidRPr="00A23FB4" w:rsidRDefault="008C66DB" w:rsidP="008C66DB">
            <w:pPr>
              <w:rPr>
                <w:rFonts w:asciiTheme="minorHAnsi" w:hAnsiTheme="minorHAnsi"/>
              </w:rPr>
            </w:pPr>
            <w:r w:rsidRPr="00A23FB4">
              <w:rPr>
                <w:rFonts w:asciiTheme="minorHAnsi" w:hAnsiTheme="minorHAnsi"/>
              </w:rPr>
              <w:t>Pomiar wykonany wg zał. G normy (na szerokiej tarczy ściernej)</w:t>
            </w:r>
          </w:p>
        </w:tc>
        <w:tc>
          <w:tcPr>
            <w:tcW w:w="2551" w:type="dxa"/>
            <w:tcBorders>
              <w:top w:val="single" w:sz="6" w:space="0" w:color="auto"/>
              <w:left w:val="single" w:sz="6" w:space="0" w:color="auto"/>
              <w:bottom w:val="single" w:sz="6" w:space="0" w:color="auto"/>
              <w:right w:val="single" w:sz="6" w:space="0" w:color="auto"/>
            </w:tcBorders>
          </w:tcPr>
          <w:p w14:paraId="259EB4B8" w14:textId="77777777" w:rsidR="008C66DB" w:rsidRPr="00A23FB4" w:rsidRDefault="008C66DB" w:rsidP="008C66DB">
            <w:pPr>
              <w:rPr>
                <w:rFonts w:asciiTheme="minorHAnsi" w:hAnsiTheme="minorHAnsi"/>
              </w:rPr>
            </w:pPr>
            <w:r w:rsidRPr="00A23FB4">
              <w:rPr>
                <w:rFonts w:asciiTheme="minorHAnsi" w:hAnsiTheme="minorHAnsi"/>
              </w:rPr>
              <w:t>Pomiar wykonany wg zał. H normy (na tarczy B</w:t>
            </w:r>
            <w:r w:rsidRPr="00A23FB4">
              <w:rPr>
                <w:rFonts w:asciiTheme="minorHAnsi" w:hAnsiTheme="minorHAnsi"/>
              </w:rPr>
              <w:sym w:font="Times New Roman" w:char="00F6"/>
            </w:r>
            <w:r w:rsidRPr="00A23FB4">
              <w:rPr>
                <w:rFonts w:asciiTheme="minorHAnsi" w:hAnsiTheme="minorHAnsi"/>
              </w:rPr>
              <w:t>hmego)</w:t>
            </w:r>
          </w:p>
        </w:tc>
      </w:tr>
      <w:tr w:rsidR="008C66DB" w:rsidRPr="00A23FB4" w14:paraId="2484CA90" w14:textId="77777777" w:rsidTr="008C66DB">
        <w:tc>
          <w:tcPr>
            <w:tcW w:w="921" w:type="dxa"/>
            <w:tcBorders>
              <w:top w:val="single" w:sz="6" w:space="0" w:color="auto"/>
              <w:left w:val="single" w:sz="6" w:space="0" w:color="auto"/>
              <w:bottom w:val="single" w:sz="6" w:space="0" w:color="auto"/>
              <w:right w:val="single" w:sz="6" w:space="0" w:color="auto"/>
            </w:tcBorders>
          </w:tcPr>
          <w:p w14:paraId="77C9BD6A" w14:textId="77777777" w:rsidR="008C66DB" w:rsidRPr="00A23FB4" w:rsidRDefault="008C66DB" w:rsidP="008C66DB">
            <w:pPr>
              <w:rPr>
                <w:rFonts w:asciiTheme="minorHAnsi" w:hAnsiTheme="minorHAnsi"/>
              </w:rPr>
            </w:pPr>
            <w:r w:rsidRPr="00A23FB4">
              <w:rPr>
                <w:rFonts w:asciiTheme="minorHAnsi" w:hAnsiTheme="minorHAnsi"/>
              </w:rPr>
              <w:t>3</w:t>
            </w:r>
          </w:p>
        </w:tc>
        <w:tc>
          <w:tcPr>
            <w:tcW w:w="1276" w:type="dxa"/>
            <w:tcBorders>
              <w:top w:val="single" w:sz="6" w:space="0" w:color="auto"/>
              <w:left w:val="single" w:sz="6" w:space="0" w:color="auto"/>
              <w:bottom w:val="single" w:sz="6" w:space="0" w:color="auto"/>
            </w:tcBorders>
          </w:tcPr>
          <w:p w14:paraId="11747B9B" w14:textId="77777777" w:rsidR="008C66DB" w:rsidRPr="00A23FB4" w:rsidRDefault="008C66DB" w:rsidP="008C66DB">
            <w:pPr>
              <w:rPr>
                <w:rFonts w:asciiTheme="minorHAnsi" w:hAnsiTheme="minorHAnsi"/>
              </w:rPr>
            </w:pPr>
            <w:r w:rsidRPr="00A23FB4">
              <w:rPr>
                <w:rFonts w:asciiTheme="minorHAnsi" w:hAnsiTheme="minorHAnsi"/>
              </w:rPr>
              <w:t>H</w:t>
            </w:r>
          </w:p>
        </w:tc>
        <w:tc>
          <w:tcPr>
            <w:tcW w:w="2693" w:type="dxa"/>
            <w:tcBorders>
              <w:top w:val="single" w:sz="6" w:space="0" w:color="auto"/>
              <w:left w:val="single" w:sz="6" w:space="0" w:color="auto"/>
              <w:bottom w:val="single" w:sz="6" w:space="0" w:color="auto"/>
              <w:right w:val="single" w:sz="6" w:space="0" w:color="auto"/>
            </w:tcBorders>
          </w:tcPr>
          <w:p w14:paraId="3CB69298" w14:textId="77777777" w:rsidR="008C66DB" w:rsidRPr="00A23FB4" w:rsidRDefault="008C66DB" w:rsidP="008C66DB">
            <w:pPr>
              <w:rPr>
                <w:rFonts w:asciiTheme="minorHAnsi" w:hAnsiTheme="minorHAnsi"/>
              </w:rPr>
            </w:pPr>
            <w:r w:rsidRPr="00A23FB4">
              <w:rPr>
                <w:rFonts w:asciiTheme="minorHAnsi" w:hAnsiTheme="minorHAnsi"/>
              </w:rPr>
              <w:sym w:font="Symbol" w:char="F0A3"/>
            </w:r>
            <w:r w:rsidRPr="00A23FB4">
              <w:rPr>
                <w:rFonts w:asciiTheme="minorHAnsi" w:hAnsiTheme="minorHAnsi"/>
              </w:rPr>
              <w:t>23 mm</w:t>
            </w:r>
          </w:p>
        </w:tc>
        <w:tc>
          <w:tcPr>
            <w:tcW w:w="2551" w:type="dxa"/>
            <w:tcBorders>
              <w:top w:val="single" w:sz="6" w:space="0" w:color="auto"/>
              <w:left w:val="single" w:sz="6" w:space="0" w:color="auto"/>
              <w:bottom w:val="single" w:sz="6" w:space="0" w:color="auto"/>
              <w:right w:val="single" w:sz="6" w:space="0" w:color="auto"/>
            </w:tcBorders>
          </w:tcPr>
          <w:p w14:paraId="4322AE48" w14:textId="77777777" w:rsidR="008C66DB" w:rsidRPr="00A23FB4" w:rsidRDefault="008C66DB" w:rsidP="008C66DB">
            <w:pPr>
              <w:rPr>
                <w:rFonts w:asciiTheme="minorHAnsi" w:hAnsiTheme="minorHAnsi"/>
              </w:rPr>
            </w:pPr>
            <w:r w:rsidRPr="00A23FB4">
              <w:rPr>
                <w:rFonts w:asciiTheme="minorHAnsi" w:hAnsiTheme="minorHAnsi"/>
              </w:rPr>
              <w:sym w:font="Symbol" w:char="F0A3"/>
            </w:r>
            <w:r w:rsidRPr="00A23FB4">
              <w:rPr>
                <w:rFonts w:asciiTheme="minorHAnsi" w:hAnsiTheme="minorHAnsi"/>
              </w:rPr>
              <w:t xml:space="preserve"> 20000 mm</w:t>
            </w:r>
            <w:r w:rsidRPr="00A23FB4">
              <w:rPr>
                <w:rFonts w:asciiTheme="minorHAnsi" w:hAnsiTheme="minorHAnsi"/>
                <w:vertAlign w:val="superscript"/>
              </w:rPr>
              <w:t>3</w:t>
            </w:r>
            <w:r w:rsidRPr="00A23FB4">
              <w:rPr>
                <w:rFonts w:asciiTheme="minorHAnsi" w:hAnsiTheme="minorHAnsi"/>
              </w:rPr>
              <w:t>/5000 mm</w:t>
            </w:r>
            <w:r w:rsidRPr="00A23FB4">
              <w:rPr>
                <w:rFonts w:asciiTheme="minorHAnsi" w:hAnsiTheme="minorHAnsi"/>
                <w:vertAlign w:val="superscript"/>
              </w:rPr>
              <w:t>2</w:t>
            </w:r>
          </w:p>
        </w:tc>
      </w:tr>
    </w:tbl>
    <w:p w14:paraId="155BB7F4" w14:textId="77777777" w:rsidR="008C66DB" w:rsidRPr="00A23FB4" w:rsidRDefault="008C66DB" w:rsidP="008C66DB">
      <w:pPr>
        <w:ind w:hanging="1418"/>
        <w:rPr>
          <w:rFonts w:asciiTheme="minorHAnsi" w:hAnsiTheme="minorHAnsi"/>
        </w:rPr>
      </w:pPr>
    </w:p>
    <w:p w14:paraId="7AACC39C" w14:textId="77777777" w:rsidR="008C66DB" w:rsidRPr="00A23FB4" w:rsidRDefault="008C66DB" w:rsidP="008C66DB">
      <w:pPr>
        <w:rPr>
          <w:rFonts w:asciiTheme="minorHAnsi" w:hAnsiTheme="minorHAnsi"/>
          <w:b/>
        </w:rPr>
      </w:pPr>
      <w:r w:rsidRPr="00A23FB4">
        <w:rPr>
          <w:rFonts w:asciiTheme="minorHAnsi" w:hAnsiTheme="minorHAnsi"/>
          <w:b/>
        </w:rPr>
        <w:t>Odporność na poślizg/poślizgnięcie</w:t>
      </w:r>
    </w:p>
    <w:p w14:paraId="50D92BCF" w14:textId="77777777" w:rsidR="008C66DB" w:rsidRPr="00A23FB4" w:rsidRDefault="008C66DB" w:rsidP="008C66DB">
      <w:pPr>
        <w:rPr>
          <w:rFonts w:asciiTheme="minorHAnsi" w:hAnsiTheme="minorHAnsi"/>
        </w:rPr>
      </w:pPr>
      <w:r w:rsidRPr="00A23FB4">
        <w:rPr>
          <w:rFonts w:asciiTheme="minorHAnsi" w:hAnsiTheme="minorHAnsi"/>
        </w:rPr>
        <w:t>Betonowe kostki brukowe wykazują zadowalającą odporność na poślizg/poślizgnięcie pod warunkiem, że ich górna powierzchnia nie była szlifowana i/lub polerowana w celu uzyskania bardzo gładkiej powierzchni.</w:t>
      </w:r>
    </w:p>
    <w:p w14:paraId="36729305" w14:textId="77777777" w:rsidR="008C66DB" w:rsidRPr="00A23FB4" w:rsidRDefault="008C66DB" w:rsidP="008C66DB">
      <w:pPr>
        <w:rPr>
          <w:rFonts w:asciiTheme="minorHAnsi" w:hAnsiTheme="minorHAnsi"/>
        </w:rPr>
      </w:pPr>
      <w:r w:rsidRPr="00A23FB4">
        <w:rPr>
          <w:rFonts w:asciiTheme="minorHAnsi" w:hAnsiTheme="minorHAnsi"/>
        </w:rPr>
        <w:t>Jeżeli wyjątkowo wymagane jest podanie wartości odporności na poślizg/poślizgnięcie, to należy zastosować metodę badania opisaną w załączniku I normy i zadeklarować wartość minimalną odporności na poślizg/poślizgnięcie.</w:t>
      </w:r>
    </w:p>
    <w:p w14:paraId="647EF317" w14:textId="77777777" w:rsidR="008C66DB" w:rsidRPr="00A23FB4" w:rsidRDefault="008C66DB" w:rsidP="008C66DB">
      <w:pPr>
        <w:rPr>
          <w:rFonts w:asciiTheme="minorHAnsi" w:hAnsiTheme="minorHAnsi"/>
          <w:b/>
        </w:rPr>
      </w:pPr>
      <w:r w:rsidRPr="00A23FB4">
        <w:rPr>
          <w:rFonts w:asciiTheme="minorHAnsi" w:hAnsiTheme="minorHAnsi"/>
          <w:b/>
        </w:rPr>
        <w:t>Wygląd</w:t>
      </w:r>
    </w:p>
    <w:p w14:paraId="7540B61C" w14:textId="77777777" w:rsidR="008C66DB" w:rsidRPr="00A23FB4" w:rsidRDefault="008C66DB" w:rsidP="008C66DB">
      <w:pPr>
        <w:rPr>
          <w:rFonts w:asciiTheme="minorHAnsi" w:hAnsiTheme="minorHAnsi"/>
        </w:rPr>
      </w:pPr>
      <w:r w:rsidRPr="00A23FB4">
        <w:rPr>
          <w:rFonts w:asciiTheme="minorHAnsi" w:hAnsiTheme="minorHAnsi"/>
        </w:rPr>
        <w:t>Górna powierzchnia betonowych kostek brukowych oceniana zgodnie z załącznikiem J normy, nie powinna wykazywać wad, takich jak rysy lub odpryski.</w:t>
      </w:r>
    </w:p>
    <w:p w14:paraId="4E973A92" w14:textId="77777777" w:rsidR="008C66DB" w:rsidRPr="00A23FB4" w:rsidRDefault="008C66DB" w:rsidP="008C66DB">
      <w:pPr>
        <w:rPr>
          <w:rFonts w:asciiTheme="minorHAnsi" w:hAnsiTheme="minorHAnsi"/>
        </w:rPr>
      </w:pPr>
      <w:r w:rsidRPr="00A23FB4">
        <w:rPr>
          <w:rFonts w:asciiTheme="minorHAnsi" w:hAnsiTheme="minorHAnsi"/>
        </w:rPr>
        <w:t>W przypadku dwuwarstwowych kostek brukowych, ocenianych zgodnie z załącznikiem J normy, nie dopuszcza się występowania rozwarstwienia (rozdzielenia) między warstwami.</w:t>
      </w:r>
    </w:p>
    <w:p w14:paraId="1AAECA2F" w14:textId="77777777" w:rsidR="008C66DB" w:rsidRPr="00A23FB4" w:rsidRDefault="008C66DB" w:rsidP="008C66DB">
      <w:pPr>
        <w:rPr>
          <w:rFonts w:asciiTheme="minorHAnsi" w:hAnsiTheme="minorHAnsi"/>
          <w:b/>
        </w:rPr>
      </w:pPr>
      <w:r w:rsidRPr="00A23FB4">
        <w:rPr>
          <w:rFonts w:asciiTheme="minorHAnsi" w:hAnsiTheme="minorHAnsi"/>
          <w:b/>
        </w:rPr>
        <w:t>Tekstura</w:t>
      </w:r>
    </w:p>
    <w:p w14:paraId="3E8F2A11" w14:textId="77777777" w:rsidR="008C66DB" w:rsidRPr="00A23FB4" w:rsidRDefault="008C66DB" w:rsidP="008C66DB">
      <w:pPr>
        <w:rPr>
          <w:rFonts w:asciiTheme="minorHAnsi" w:hAnsiTheme="minorHAnsi"/>
        </w:rPr>
      </w:pPr>
      <w:r w:rsidRPr="00A23FB4">
        <w:rPr>
          <w:rFonts w:asciiTheme="minorHAnsi" w:hAnsiTheme="minorHAnsi"/>
        </w:rPr>
        <w:t>Jeżeli kostki brukowe produkowane są z powierzchnią o specjalnej teksturze, to taka tekstura powinna być opisana przez producenta.</w:t>
      </w:r>
    </w:p>
    <w:p w14:paraId="154DA279" w14:textId="77777777" w:rsidR="008C66DB" w:rsidRPr="00A23FB4" w:rsidRDefault="008C66DB" w:rsidP="008C66DB">
      <w:pPr>
        <w:rPr>
          <w:rFonts w:asciiTheme="minorHAnsi" w:hAnsiTheme="minorHAnsi"/>
        </w:rPr>
      </w:pPr>
      <w:r w:rsidRPr="00A23FB4">
        <w:rPr>
          <w:rFonts w:asciiTheme="minorHAnsi" w:hAnsiTheme="minorHAnsi"/>
        </w:rPr>
        <w:t>Jeśli nie ma znaczących różnic w teksturze, zgodność elementów ocenianych zgodnie z załącznikiem J normy, powinna być ustalona przez porównanie z próbkami dostarczonymi przez producenta i zatwierdzonymi przez odbiorcę.</w:t>
      </w:r>
    </w:p>
    <w:p w14:paraId="5E5EBCB2" w14:textId="77777777" w:rsidR="008C66DB" w:rsidRPr="00A23FB4" w:rsidRDefault="008C66DB" w:rsidP="008C66DB">
      <w:pPr>
        <w:rPr>
          <w:rFonts w:asciiTheme="minorHAnsi" w:hAnsiTheme="minorHAnsi"/>
          <w:b/>
        </w:rPr>
      </w:pPr>
      <w:r w:rsidRPr="00A23FB4">
        <w:rPr>
          <w:rFonts w:asciiTheme="minorHAnsi" w:hAnsiTheme="minorHAnsi"/>
          <w:b/>
        </w:rPr>
        <w:t>Zabarwienie</w:t>
      </w:r>
    </w:p>
    <w:p w14:paraId="7379D01A" w14:textId="77777777" w:rsidR="008C66DB" w:rsidRPr="00A23FB4" w:rsidRDefault="008C66DB" w:rsidP="008C66DB">
      <w:pPr>
        <w:rPr>
          <w:rFonts w:asciiTheme="minorHAnsi" w:hAnsiTheme="minorHAnsi"/>
        </w:rPr>
      </w:pPr>
      <w:r w:rsidRPr="00A23FB4">
        <w:rPr>
          <w:rFonts w:asciiTheme="minorHAnsi" w:hAnsiTheme="minorHAnsi"/>
        </w:rPr>
        <w:t>W zależności od decyzji producenta, barwiona może być warstwa ścieralna lub cały element.</w:t>
      </w:r>
    </w:p>
    <w:p w14:paraId="233174AD" w14:textId="77777777" w:rsidR="008C66DB" w:rsidRPr="00A23FB4" w:rsidRDefault="008C66DB" w:rsidP="008C66DB">
      <w:pPr>
        <w:rPr>
          <w:rFonts w:asciiTheme="minorHAnsi" w:hAnsiTheme="minorHAnsi"/>
        </w:rPr>
      </w:pPr>
      <w:r w:rsidRPr="00A23FB4">
        <w:rPr>
          <w:rFonts w:asciiTheme="minorHAnsi" w:hAnsiTheme="minorHAnsi"/>
        </w:rPr>
        <w:t>Jeśli nie ma znaczących różnic w zabarwieniu, zgodność elementów ocenianych zgodnie z załącznikiem J normy, powinna być ustalona przez porównanie z próbkami dostarczonymi przez producenta i zatwierdzonymi przez odbiorcę.</w:t>
      </w:r>
    </w:p>
    <w:p w14:paraId="3B55D4CF" w14:textId="77777777" w:rsidR="008C66DB" w:rsidRPr="00A23FB4" w:rsidRDefault="008C66DB" w:rsidP="008C66DB">
      <w:pPr>
        <w:rPr>
          <w:rFonts w:asciiTheme="minorHAnsi" w:hAnsiTheme="minorHAnsi"/>
          <w:b/>
        </w:rPr>
      </w:pPr>
      <w:bookmarkStart w:id="689" w:name="_Toc107903217"/>
    </w:p>
    <w:p w14:paraId="66D1D95F" w14:textId="77777777" w:rsidR="008C66DB" w:rsidRPr="00A23FB4" w:rsidRDefault="008C66DB" w:rsidP="008C66DB">
      <w:pPr>
        <w:rPr>
          <w:rFonts w:asciiTheme="minorHAnsi" w:hAnsiTheme="minorHAnsi"/>
          <w:b/>
        </w:rPr>
      </w:pPr>
      <w:r w:rsidRPr="00A23FB4">
        <w:rPr>
          <w:rFonts w:asciiTheme="minorHAnsi" w:hAnsiTheme="minorHAnsi"/>
          <w:b/>
        </w:rPr>
        <w:t>3. SPRZĘT</w:t>
      </w:r>
      <w:bookmarkEnd w:id="689"/>
    </w:p>
    <w:p w14:paraId="1B8CF8FE" w14:textId="77777777" w:rsidR="008C66DB" w:rsidRPr="00A23FB4" w:rsidRDefault="008C66DB" w:rsidP="008C66DB">
      <w:pPr>
        <w:pStyle w:val="Nagwek4"/>
        <w:rPr>
          <w:rFonts w:asciiTheme="minorHAnsi" w:hAnsiTheme="minorHAnsi"/>
        </w:rPr>
      </w:pPr>
      <w:r w:rsidRPr="00A23FB4">
        <w:rPr>
          <w:rFonts w:asciiTheme="minorHAnsi" w:hAnsiTheme="minorHAnsi"/>
        </w:rPr>
        <w:t>3.1. Ogólne wymagania dotyczące sprzętu</w:t>
      </w:r>
    </w:p>
    <w:p w14:paraId="0A38D5D5" w14:textId="11DF949F" w:rsidR="008C66DB" w:rsidRPr="00A23FB4" w:rsidRDefault="008C66DB" w:rsidP="008C66DB">
      <w:pPr>
        <w:numPr>
          <w:ilvl w:val="12"/>
          <w:numId w:val="0"/>
        </w:numPr>
        <w:rPr>
          <w:rFonts w:asciiTheme="minorHAnsi" w:hAnsiTheme="minorHAnsi"/>
        </w:rPr>
      </w:pPr>
      <w:r w:rsidRPr="00A23FB4">
        <w:rPr>
          <w:rFonts w:asciiTheme="minorHAnsi" w:hAnsiTheme="minorHAnsi"/>
        </w:rPr>
        <w:t xml:space="preserve">Ogólne wymagania dotyczące sprzętu podano w </w:t>
      </w:r>
      <w:r w:rsidR="00C006BE">
        <w:rPr>
          <w:rFonts w:asciiTheme="minorHAnsi" w:hAnsiTheme="minorHAnsi"/>
        </w:rPr>
        <w:t>ST</w:t>
      </w:r>
      <w:r w:rsidRPr="00A23FB4">
        <w:rPr>
          <w:rFonts w:asciiTheme="minorHAnsi" w:hAnsiTheme="minorHAnsi"/>
        </w:rPr>
        <w:t>WiORB D-M-00.00.00 „Wymagania ogólne” pkt 3.</w:t>
      </w:r>
    </w:p>
    <w:p w14:paraId="417010A4" w14:textId="77777777" w:rsidR="008C66DB" w:rsidRPr="00A23FB4" w:rsidRDefault="008C66DB" w:rsidP="008C66DB">
      <w:pPr>
        <w:pStyle w:val="Nagwek4"/>
        <w:rPr>
          <w:rFonts w:asciiTheme="minorHAnsi" w:hAnsiTheme="minorHAnsi"/>
        </w:rPr>
      </w:pPr>
      <w:r w:rsidRPr="00A23FB4">
        <w:rPr>
          <w:rFonts w:asciiTheme="minorHAnsi" w:hAnsiTheme="minorHAnsi"/>
        </w:rPr>
        <w:t>3.2. Sprzęt do wykonania nawierzchni z kostki brukowej</w:t>
      </w:r>
    </w:p>
    <w:p w14:paraId="033B2944" w14:textId="77777777" w:rsidR="008C66DB" w:rsidRPr="00A23FB4" w:rsidRDefault="008C66DB" w:rsidP="008C66DB">
      <w:pPr>
        <w:numPr>
          <w:ilvl w:val="12"/>
          <w:numId w:val="0"/>
        </w:numPr>
        <w:rPr>
          <w:rFonts w:asciiTheme="minorHAnsi" w:hAnsiTheme="minorHAnsi"/>
        </w:rPr>
      </w:pPr>
      <w:r w:rsidRPr="00A23FB4">
        <w:rPr>
          <w:rFonts w:asciiTheme="minorHAnsi" w:hAnsiTheme="minorHAnsi"/>
        </w:rPr>
        <w:t>Małe powierzchnie nawierzchni z kostki brukowej wykonuje się ręcznie.</w:t>
      </w:r>
    </w:p>
    <w:p w14:paraId="0FAAC656" w14:textId="77777777" w:rsidR="008C66DB" w:rsidRPr="00A23FB4" w:rsidRDefault="008C66DB" w:rsidP="008C66DB">
      <w:pPr>
        <w:numPr>
          <w:ilvl w:val="12"/>
          <w:numId w:val="0"/>
        </w:numPr>
        <w:rPr>
          <w:rFonts w:asciiTheme="minorHAnsi" w:hAnsiTheme="minorHAnsi"/>
        </w:rPr>
      </w:pPr>
      <w:r w:rsidRPr="00A23FB4">
        <w:rPr>
          <w:rFonts w:asciiTheme="minorHAnsi" w:hAnsiTheme="minorHAnsi"/>
        </w:rPr>
        <w:t>Jeśli powierzchnie są duże, a kostki brukowe mają jednolity kształt i kolor, można stosować mechaniczne urządzenia układające. Urządzenie składa się z wózka i chwytaka sterowanego hydraulicznie, służącego do przenoszenia z palety warstwy kostek na miejsce ich ułożenia. Urządzenie to, po skończonym układaniu kostek, można wykorzystać do wymiatania piasku w szczeliny zamocowanymi do chwytaka szczotkami.</w:t>
      </w:r>
    </w:p>
    <w:p w14:paraId="2587804D" w14:textId="77777777" w:rsidR="008C66DB" w:rsidRPr="00A23FB4" w:rsidRDefault="008C66DB" w:rsidP="008C66DB">
      <w:pPr>
        <w:numPr>
          <w:ilvl w:val="12"/>
          <w:numId w:val="0"/>
        </w:numPr>
        <w:rPr>
          <w:rFonts w:asciiTheme="minorHAnsi" w:hAnsiTheme="minorHAnsi"/>
        </w:rPr>
      </w:pPr>
      <w:r w:rsidRPr="00A23FB4">
        <w:rPr>
          <w:rFonts w:asciiTheme="minorHAnsi" w:hAnsiTheme="minorHAnsi"/>
        </w:rPr>
        <w:t>Do zagęszczenia nawierzchni stosuje się wibratory płytowe z osłoną z tworzywa sztucznego.</w:t>
      </w:r>
    </w:p>
    <w:p w14:paraId="5A51D726" w14:textId="77777777" w:rsidR="008C66DB" w:rsidRPr="00A23FB4" w:rsidRDefault="008C66DB" w:rsidP="008C66DB">
      <w:pPr>
        <w:numPr>
          <w:ilvl w:val="12"/>
          <w:numId w:val="0"/>
        </w:numPr>
        <w:rPr>
          <w:rFonts w:asciiTheme="minorHAnsi" w:hAnsiTheme="minorHAnsi"/>
        </w:rPr>
      </w:pPr>
      <w:r w:rsidRPr="00A23FB4">
        <w:rPr>
          <w:rFonts w:asciiTheme="minorHAnsi" w:hAnsiTheme="minorHAnsi"/>
        </w:rPr>
        <w:t>Do wyrównania podsypki z piasku można stosować mechaniczne urządzenie na rolkach, prowadzone liniami na szynie lub krawężnikach.</w:t>
      </w:r>
    </w:p>
    <w:p w14:paraId="10B7AA18" w14:textId="77777777" w:rsidR="008C66DB" w:rsidRPr="00A23FB4" w:rsidRDefault="008C66DB" w:rsidP="008C66DB">
      <w:pPr>
        <w:rPr>
          <w:rFonts w:asciiTheme="minorHAnsi" w:hAnsiTheme="minorHAnsi"/>
          <w:b/>
        </w:rPr>
      </w:pPr>
      <w:bookmarkStart w:id="690" w:name="_Toc107903218"/>
    </w:p>
    <w:p w14:paraId="710513A9" w14:textId="77777777" w:rsidR="00CF21DF" w:rsidRDefault="00CF21DF" w:rsidP="008C66DB">
      <w:pPr>
        <w:rPr>
          <w:rFonts w:asciiTheme="minorHAnsi" w:hAnsiTheme="minorHAnsi"/>
          <w:b/>
        </w:rPr>
      </w:pPr>
    </w:p>
    <w:p w14:paraId="6AD03C65" w14:textId="77777777" w:rsidR="003739A4" w:rsidRPr="00A23FB4" w:rsidRDefault="003739A4" w:rsidP="008C66DB">
      <w:pPr>
        <w:rPr>
          <w:rFonts w:asciiTheme="minorHAnsi" w:hAnsiTheme="minorHAnsi"/>
          <w:b/>
        </w:rPr>
      </w:pPr>
    </w:p>
    <w:p w14:paraId="51A9CE39" w14:textId="77777777" w:rsidR="00CF21DF" w:rsidRPr="00A23FB4" w:rsidRDefault="00CF21DF" w:rsidP="008C66DB">
      <w:pPr>
        <w:rPr>
          <w:rFonts w:asciiTheme="minorHAnsi" w:hAnsiTheme="minorHAnsi"/>
          <w:b/>
        </w:rPr>
      </w:pPr>
    </w:p>
    <w:p w14:paraId="7A595152" w14:textId="77777777" w:rsidR="008C66DB" w:rsidRPr="00A23FB4" w:rsidRDefault="008C66DB" w:rsidP="008C66DB">
      <w:pPr>
        <w:rPr>
          <w:rFonts w:asciiTheme="minorHAnsi" w:hAnsiTheme="minorHAnsi"/>
          <w:b/>
        </w:rPr>
      </w:pPr>
      <w:r w:rsidRPr="00A23FB4">
        <w:rPr>
          <w:rFonts w:asciiTheme="minorHAnsi" w:hAnsiTheme="minorHAnsi"/>
          <w:b/>
        </w:rPr>
        <w:t>4. TRANSPORT</w:t>
      </w:r>
      <w:bookmarkEnd w:id="690"/>
    </w:p>
    <w:p w14:paraId="4F91B737" w14:textId="77777777" w:rsidR="008C66DB" w:rsidRPr="00A23FB4" w:rsidRDefault="008C66DB" w:rsidP="008C66DB">
      <w:pPr>
        <w:pStyle w:val="Nagwek4"/>
        <w:rPr>
          <w:rFonts w:asciiTheme="minorHAnsi" w:hAnsiTheme="minorHAnsi"/>
        </w:rPr>
      </w:pPr>
      <w:r w:rsidRPr="00A23FB4">
        <w:rPr>
          <w:rFonts w:asciiTheme="minorHAnsi" w:hAnsiTheme="minorHAnsi"/>
        </w:rPr>
        <w:t>4.1. Ogólne wymagania dotyczące transportu</w:t>
      </w:r>
    </w:p>
    <w:p w14:paraId="242E9FB6" w14:textId="264730F0" w:rsidR="008C66DB" w:rsidRPr="00A23FB4" w:rsidRDefault="008C66DB" w:rsidP="008C66DB">
      <w:pPr>
        <w:numPr>
          <w:ilvl w:val="12"/>
          <w:numId w:val="0"/>
        </w:numPr>
        <w:rPr>
          <w:rFonts w:asciiTheme="minorHAnsi" w:hAnsiTheme="minorHAnsi"/>
        </w:rPr>
      </w:pPr>
      <w:r w:rsidRPr="00A23FB4">
        <w:rPr>
          <w:rFonts w:asciiTheme="minorHAnsi" w:hAnsiTheme="minorHAnsi"/>
        </w:rPr>
        <w:t xml:space="preserve">Ogólne wymagania dotyczące transportu podano w </w:t>
      </w:r>
      <w:r w:rsidR="00C006BE">
        <w:rPr>
          <w:rFonts w:asciiTheme="minorHAnsi" w:hAnsiTheme="minorHAnsi"/>
        </w:rPr>
        <w:t>ST</w:t>
      </w:r>
      <w:r w:rsidRPr="00A23FB4">
        <w:rPr>
          <w:rFonts w:asciiTheme="minorHAnsi" w:hAnsiTheme="minorHAnsi"/>
        </w:rPr>
        <w:t>WiORB D-M-00.00.00 „Wymagania ogólne” pkt 4.</w:t>
      </w:r>
    </w:p>
    <w:p w14:paraId="2BB1BDB8" w14:textId="77777777" w:rsidR="008C66DB" w:rsidRPr="00A23FB4" w:rsidRDefault="008C66DB" w:rsidP="008C66DB">
      <w:pPr>
        <w:pStyle w:val="Nagwek4"/>
        <w:rPr>
          <w:rFonts w:asciiTheme="minorHAnsi" w:hAnsiTheme="minorHAnsi"/>
        </w:rPr>
      </w:pPr>
      <w:r w:rsidRPr="00A23FB4">
        <w:rPr>
          <w:rFonts w:asciiTheme="minorHAnsi" w:hAnsiTheme="minorHAnsi"/>
        </w:rPr>
        <w:t>4.2. Transport betonowych kostek brukowych</w:t>
      </w:r>
    </w:p>
    <w:p w14:paraId="5CC802F3" w14:textId="77777777" w:rsidR="008C66DB" w:rsidRPr="00A23FB4" w:rsidRDefault="008C66DB" w:rsidP="008C66DB">
      <w:pPr>
        <w:numPr>
          <w:ilvl w:val="12"/>
          <w:numId w:val="0"/>
        </w:numPr>
        <w:rPr>
          <w:rFonts w:asciiTheme="minorHAnsi" w:hAnsiTheme="minorHAnsi"/>
        </w:rPr>
      </w:pPr>
      <w:r w:rsidRPr="00A23FB4">
        <w:rPr>
          <w:rFonts w:asciiTheme="minorHAnsi" w:hAnsiTheme="minorHAnsi"/>
        </w:rPr>
        <w:t>Uformowane w czasie produkcji kostki betonowe układane są warstwowo na palecie. Po uzyskaniu wytrzymałości betonu min. 0,7 R, kostki przewożone są na stanowisko, gdzie specjalne urządzenie pakuje je w folię i spina taśmą stalową, co gwarantuje transport samochodami w nienaruszonym stanie.</w:t>
      </w:r>
    </w:p>
    <w:p w14:paraId="00260C95" w14:textId="77777777" w:rsidR="008C66DB" w:rsidRPr="00A23FB4" w:rsidRDefault="008C66DB" w:rsidP="008C66DB">
      <w:pPr>
        <w:numPr>
          <w:ilvl w:val="12"/>
          <w:numId w:val="0"/>
        </w:numPr>
        <w:rPr>
          <w:rFonts w:asciiTheme="minorHAnsi" w:hAnsiTheme="minorHAnsi"/>
        </w:rPr>
      </w:pPr>
      <w:r w:rsidRPr="00A23FB4">
        <w:rPr>
          <w:rFonts w:asciiTheme="minorHAnsi" w:hAnsiTheme="minorHAnsi"/>
        </w:rPr>
        <w:t>Kostki betonowe można również przewozić samochodami na paletach transportowych producenta.</w:t>
      </w:r>
    </w:p>
    <w:p w14:paraId="4EBD5D9C" w14:textId="77777777" w:rsidR="008C66DB" w:rsidRPr="00A23FB4" w:rsidRDefault="008C66DB" w:rsidP="008C66DB">
      <w:pPr>
        <w:rPr>
          <w:rFonts w:asciiTheme="minorHAnsi" w:hAnsiTheme="minorHAnsi"/>
          <w:b/>
        </w:rPr>
      </w:pPr>
      <w:bookmarkStart w:id="691" w:name="_Toc107903219"/>
    </w:p>
    <w:p w14:paraId="51BD0D54" w14:textId="77777777" w:rsidR="008C66DB" w:rsidRPr="00A23FB4" w:rsidRDefault="008C66DB" w:rsidP="008C66DB">
      <w:pPr>
        <w:rPr>
          <w:rFonts w:asciiTheme="minorHAnsi" w:hAnsiTheme="minorHAnsi"/>
          <w:b/>
        </w:rPr>
      </w:pPr>
    </w:p>
    <w:p w14:paraId="5CB527B4" w14:textId="77777777" w:rsidR="008C66DB" w:rsidRPr="00A23FB4" w:rsidRDefault="008C66DB" w:rsidP="008C66DB">
      <w:pPr>
        <w:rPr>
          <w:rFonts w:asciiTheme="minorHAnsi" w:hAnsiTheme="minorHAnsi"/>
          <w:b/>
        </w:rPr>
      </w:pPr>
      <w:r w:rsidRPr="00A23FB4">
        <w:rPr>
          <w:rFonts w:asciiTheme="minorHAnsi" w:hAnsiTheme="minorHAnsi"/>
          <w:b/>
        </w:rPr>
        <w:t>5. WYKONANIE ROBÓT</w:t>
      </w:r>
      <w:bookmarkEnd w:id="691"/>
    </w:p>
    <w:p w14:paraId="2CC11C94" w14:textId="77777777" w:rsidR="008C66DB" w:rsidRPr="00A23FB4" w:rsidRDefault="008C66DB" w:rsidP="008C66DB">
      <w:pPr>
        <w:pStyle w:val="Nagwek4"/>
        <w:rPr>
          <w:rFonts w:asciiTheme="minorHAnsi" w:hAnsiTheme="minorHAnsi"/>
        </w:rPr>
      </w:pPr>
      <w:r w:rsidRPr="00A23FB4">
        <w:rPr>
          <w:rFonts w:asciiTheme="minorHAnsi" w:hAnsiTheme="minorHAnsi"/>
        </w:rPr>
        <w:t>5.1. Ogólne zasady wykonania robót</w:t>
      </w:r>
    </w:p>
    <w:p w14:paraId="07721ABB" w14:textId="37E31A2E" w:rsidR="008C66DB" w:rsidRPr="00A23FB4" w:rsidRDefault="008C66DB" w:rsidP="008C66DB">
      <w:pPr>
        <w:numPr>
          <w:ilvl w:val="12"/>
          <w:numId w:val="0"/>
        </w:numPr>
        <w:rPr>
          <w:rFonts w:asciiTheme="minorHAnsi" w:hAnsiTheme="minorHAnsi"/>
        </w:rPr>
      </w:pPr>
      <w:r w:rsidRPr="00A23FB4">
        <w:rPr>
          <w:rFonts w:asciiTheme="minorHAnsi" w:hAnsiTheme="minorHAnsi"/>
        </w:rPr>
        <w:t xml:space="preserve">Ogólne zasady wykonania robót podano w </w:t>
      </w:r>
      <w:r w:rsidR="00C006BE">
        <w:rPr>
          <w:rFonts w:asciiTheme="minorHAnsi" w:hAnsiTheme="minorHAnsi"/>
        </w:rPr>
        <w:t>ST</w:t>
      </w:r>
      <w:r w:rsidRPr="00A23FB4">
        <w:rPr>
          <w:rFonts w:asciiTheme="minorHAnsi" w:hAnsiTheme="minorHAnsi"/>
        </w:rPr>
        <w:t>WiORB D-M-00.00.00 „Wymagania ogólne” pkt 5.</w:t>
      </w:r>
    </w:p>
    <w:p w14:paraId="3F783DEB" w14:textId="77777777" w:rsidR="008C66DB" w:rsidRPr="00A23FB4" w:rsidRDefault="008C66DB" w:rsidP="008C66DB">
      <w:pPr>
        <w:pStyle w:val="Nagwek4"/>
        <w:rPr>
          <w:rFonts w:asciiTheme="minorHAnsi" w:hAnsiTheme="minorHAnsi"/>
        </w:rPr>
      </w:pPr>
      <w:r w:rsidRPr="00A23FB4">
        <w:rPr>
          <w:rFonts w:asciiTheme="minorHAnsi" w:hAnsiTheme="minorHAnsi"/>
        </w:rPr>
        <w:t>5.2. Podłoże</w:t>
      </w:r>
    </w:p>
    <w:p w14:paraId="02EC2CE0" w14:textId="35A01297" w:rsidR="008C66DB" w:rsidRPr="00A23FB4" w:rsidRDefault="008C66DB" w:rsidP="008C66DB">
      <w:pPr>
        <w:numPr>
          <w:ilvl w:val="12"/>
          <w:numId w:val="0"/>
        </w:numPr>
        <w:rPr>
          <w:rFonts w:asciiTheme="minorHAnsi" w:hAnsiTheme="minorHAnsi"/>
        </w:rPr>
      </w:pPr>
      <w:r w:rsidRPr="00A23FB4">
        <w:rPr>
          <w:rFonts w:asciiTheme="minorHAnsi" w:hAnsiTheme="minorHAnsi"/>
        </w:rPr>
        <w:t xml:space="preserve">Podłoże pod nawierzchnię stanowi podbudowa z kruszywa wykonana wg </w:t>
      </w:r>
      <w:r w:rsidR="00C006BE">
        <w:rPr>
          <w:rFonts w:asciiTheme="minorHAnsi" w:hAnsiTheme="minorHAnsi"/>
        </w:rPr>
        <w:t>ST</w:t>
      </w:r>
      <w:r w:rsidRPr="00A23FB4">
        <w:rPr>
          <w:rFonts w:asciiTheme="minorHAnsi" w:hAnsiTheme="minorHAnsi"/>
        </w:rPr>
        <w:t>WiORB D-04.04.02</w:t>
      </w:r>
    </w:p>
    <w:p w14:paraId="3982524F" w14:textId="77777777" w:rsidR="008C66DB" w:rsidRPr="00A23FB4" w:rsidRDefault="008C66DB" w:rsidP="008C66DB">
      <w:pPr>
        <w:pStyle w:val="Nagwek4"/>
        <w:rPr>
          <w:rFonts w:asciiTheme="minorHAnsi" w:hAnsiTheme="minorHAnsi"/>
        </w:rPr>
      </w:pPr>
      <w:r w:rsidRPr="00A23FB4">
        <w:rPr>
          <w:rFonts w:asciiTheme="minorHAnsi" w:hAnsiTheme="minorHAnsi"/>
        </w:rPr>
        <w:t>5.3. Obramowanie nawierzchni</w:t>
      </w:r>
    </w:p>
    <w:p w14:paraId="579C7EBC" w14:textId="77777777" w:rsidR="008C66DB" w:rsidRPr="00A23FB4" w:rsidRDefault="008C66DB" w:rsidP="008C66DB">
      <w:pPr>
        <w:numPr>
          <w:ilvl w:val="12"/>
          <w:numId w:val="0"/>
        </w:numPr>
        <w:rPr>
          <w:rFonts w:asciiTheme="minorHAnsi" w:hAnsiTheme="minorHAnsi"/>
        </w:rPr>
      </w:pPr>
      <w:r w:rsidRPr="00A23FB4">
        <w:rPr>
          <w:rFonts w:asciiTheme="minorHAnsi" w:hAnsiTheme="minorHAnsi"/>
        </w:rPr>
        <w:t>Obramowania nawierzchni z betonowych kostek brukowych stanowią krawężniki betonowe oraz obrzeża betonowe.</w:t>
      </w:r>
    </w:p>
    <w:p w14:paraId="29B6E191" w14:textId="77777777" w:rsidR="008C66DB" w:rsidRPr="00A23FB4" w:rsidRDefault="008C66DB" w:rsidP="008C66DB">
      <w:pPr>
        <w:pStyle w:val="Nagwek4"/>
        <w:rPr>
          <w:rFonts w:asciiTheme="minorHAnsi" w:hAnsiTheme="minorHAnsi"/>
        </w:rPr>
      </w:pPr>
      <w:r w:rsidRPr="00A23FB4">
        <w:rPr>
          <w:rFonts w:asciiTheme="minorHAnsi" w:hAnsiTheme="minorHAnsi"/>
        </w:rPr>
        <w:t>5.5. Podsypka</w:t>
      </w:r>
    </w:p>
    <w:p w14:paraId="67F84766" w14:textId="77777777" w:rsidR="008C66DB" w:rsidRPr="00A23FB4" w:rsidRDefault="008C66DB" w:rsidP="008C66DB">
      <w:pPr>
        <w:numPr>
          <w:ilvl w:val="12"/>
          <w:numId w:val="0"/>
        </w:numPr>
        <w:rPr>
          <w:rFonts w:asciiTheme="minorHAnsi" w:hAnsiTheme="minorHAnsi"/>
        </w:rPr>
      </w:pPr>
      <w:r w:rsidRPr="00A23FB4">
        <w:rPr>
          <w:rFonts w:asciiTheme="minorHAnsi" w:hAnsiTheme="minorHAnsi"/>
        </w:rPr>
        <w:t>Na podsypkę należy stosować piasek gruby, odpowiadający wymaganiom PN-EN 12620:2004.</w:t>
      </w:r>
    </w:p>
    <w:p w14:paraId="3AD7F816" w14:textId="77777777" w:rsidR="008C66DB" w:rsidRPr="00A23FB4" w:rsidRDefault="008C66DB" w:rsidP="008C66DB">
      <w:pPr>
        <w:numPr>
          <w:ilvl w:val="12"/>
          <w:numId w:val="0"/>
        </w:numPr>
        <w:rPr>
          <w:rFonts w:asciiTheme="minorHAnsi" w:hAnsiTheme="minorHAnsi"/>
        </w:rPr>
      </w:pPr>
      <w:r w:rsidRPr="00A23FB4">
        <w:rPr>
          <w:rFonts w:asciiTheme="minorHAnsi" w:hAnsiTheme="minorHAnsi"/>
        </w:rPr>
        <w:t>Grubość podsypki po zagęszczeniu powinna zawierać się w granicach od 3 do 5 cm. Podsypka powinna być zwilżona wodą, zagęszczona i wyprofilowana.</w:t>
      </w:r>
    </w:p>
    <w:p w14:paraId="0A552A47" w14:textId="77777777" w:rsidR="008C66DB" w:rsidRPr="00A23FB4" w:rsidRDefault="008C66DB" w:rsidP="008C66DB">
      <w:pPr>
        <w:pStyle w:val="Nagwek4"/>
        <w:rPr>
          <w:rFonts w:asciiTheme="minorHAnsi" w:hAnsiTheme="minorHAnsi"/>
        </w:rPr>
      </w:pPr>
      <w:r w:rsidRPr="00A23FB4">
        <w:rPr>
          <w:rFonts w:asciiTheme="minorHAnsi" w:hAnsiTheme="minorHAnsi"/>
        </w:rPr>
        <w:t>5.6. Układanie nawierzchni z betonowych kostek brukowych</w:t>
      </w:r>
    </w:p>
    <w:p w14:paraId="0043A7CF" w14:textId="77777777" w:rsidR="008C66DB" w:rsidRPr="00A23FB4" w:rsidRDefault="008C66DB" w:rsidP="008C66DB">
      <w:pPr>
        <w:numPr>
          <w:ilvl w:val="12"/>
          <w:numId w:val="0"/>
        </w:numPr>
        <w:rPr>
          <w:rFonts w:asciiTheme="minorHAnsi" w:hAnsiTheme="minorHAnsi"/>
        </w:rPr>
      </w:pPr>
      <w:r w:rsidRPr="00A23FB4">
        <w:rPr>
          <w:rFonts w:asciiTheme="minorHAnsi" w:hAnsiTheme="minorHAnsi"/>
        </w:rPr>
        <w:t>Z uwagi na różnorodność kształtów i kolorów produkowanych kostek, możliwe jest ułożenie dowolnego wzoru - wcześniej ustalonego w dokumentacji projektowej i zaakceptowanego przez Inżyniera/Kierownika projektu.</w:t>
      </w:r>
    </w:p>
    <w:p w14:paraId="3E8964A6" w14:textId="77777777" w:rsidR="008C66DB" w:rsidRPr="00A23FB4" w:rsidRDefault="008C66DB" w:rsidP="008C66DB">
      <w:pPr>
        <w:numPr>
          <w:ilvl w:val="12"/>
          <w:numId w:val="0"/>
        </w:numPr>
        <w:rPr>
          <w:rFonts w:asciiTheme="minorHAnsi" w:hAnsiTheme="minorHAnsi"/>
        </w:rPr>
      </w:pPr>
      <w:r w:rsidRPr="00A23FB4">
        <w:rPr>
          <w:rFonts w:asciiTheme="minorHAnsi" w:hAnsiTheme="minorHAnsi"/>
        </w:rPr>
        <w:t>Kostkę układa się na podsypce lub podłożu piaszczystym w taki sposób, aby szczeliny między kostkami wynosiły o</w:t>
      </w:r>
      <w:r w:rsidR="003F1BE3" w:rsidRPr="00A23FB4">
        <w:rPr>
          <w:rFonts w:asciiTheme="minorHAnsi" w:hAnsiTheme="minorHAnsi"/>
        </w:rPr>
        <w:t xml:space="preserve">d 2 do 3 </w:t>
      </w:r>
      <w:r w:rsidRPr="00A23FB4">
        <w:rPr>
          <w:rFonts w:asciiTheme="minorHAnsi" w:hAnsiTheme="minorHAnsi"/>
        </w:rPr>
        <w:t>mm. Kostkę należy układać ok. 1,5 cm wyżej od projektowanej niwelety nawierzchni, gdyż w czasie wibrowania (ubijania) podsypka ulega zagęszczeniu.</w:t>
      </w:r>
    </w:p>
    <w:p w14:paraId="37E713D7" w14:textId="77777777" w:rsidR="008C66DB" w:rsidRPr="00A23FB4" w:rsidRDefault="008C66DB" w:rsidP="008C66DB">
      <w:pPr>
        <w:numPr>
          <w:ilvl w:val="12"/>
          <w:numId w:val="0"/>
        </w:numPr>
        <w:rPr>
          <w:rFonts w:asciiTheme="minorHAnsi" w:hAnsiTheme="minorHAnsi"/>
        </w:rPr>
      </w:pPr>
      <w:r w:rsidRPr="00A23FB4">
        <w:rPr>
          <w:rFonts w:asciiTheme="minorHAnsi" w:hAnsiTheme="minorHAnsi"/>
        </w:rPr>
        <w:t>Po ułożeniu kostki, szczeliny należy wypełnić piaskiem, a następnie zamieść powierzchnię ułożonych kostek przy użyciu szczotek ręcznych lub mechanicznych i przystąpić do ubijania nawierzchni.</w:t>
      </w:r>
    </w:p>
    <w:p w14:paraId="36F0F7AC" w14:textId="77777777" w:rsidR="008C66DB" w:rsidRPr="00A23FB4" w:rsidRDefault="008C66DB" w:rsidP="008C66DB">
      <w:pPr>
        <w:numPr>
          <w:ilvl w:val="12"/>
          <w:numId w:val="0"/>
        </w:numPr>
        <w:rPr>
          <w:rFonts w:asciiTheme="minorHAnsi" w:hAnsiTheme="minorHAnsi"/>
        </w:rPr>
      </w:pPr>
      <w:r w:rsidRPr="00A23FB4">
        <w:rPr>
          <w:rFonts w:asciiTheme="minorHAnsi" w:hAnsiTheme="minorHAnsi"/>
        </w:rPr>
        <w:t>Do ubijania ułożonej nawierzchni z kostek brukowych stosuje się wibratory płytowe z osłoną z tworzywa sztucznego dla ochrony kostek przed uszkodzeniem i zabrudzeniem. Wibrowanie należy prowadzić od krawędzi powierzchni ubijanej w kierunku środka i jednocześnie w kierunku poprzecznym kształtek.</w:t>
      </w:r>
    </w:p>
    <w:p w14:paraId="555A4FC9" w14:textId="77777777" w:rsidR="008C66DB" w:rsidRPr="00A23FB4" w:rsidRDefault="008C66DB" w:rsidP="008C66DB">
      <w:pPr>
        <w:numPr>
          <w:ilvl w:val="12"/>
          <w:numId w:val="0"/>
        </w:numPr>
        <w:rPr>
          <w:rFonts w:asciiTheme="minorHAnsi" w:hAnsiTheme="minorHAnsi"/>
        </w:rPr>
      </w:pPr>
      <w:r w:rsidRPr="00A23FB4">
        <w:rPr>
          <w:rFonts w:asciiTheme="minorHAnsi" w:hAnsiTheme="minorHAnsi"/>
        </w:rPr>
        <w:t>Do zagęszczania nawierzchni z betonowych kostek brukowych nie wolno używać walca.</w:t>
      </w:r>
    </w:p>
    <w:p w14:paraId="04B3A4BF" w14:textId="77777777" w:rsidR="008C66DB" w:rsidRPr="00A23FB4" w:rsidRDefault="008C66DB" w:rsidP="008C66DB">
      <w:pPr>
        <w:numPr>
          <w:ilvl w:val="12"/>
          <w:numId w:val="0"/>
        </w:numPr>
        <w:rPr>
          <w:rFonts w:asciiTheme="minorHAnsi" w:hAnsiTheme="minorHAnsi"/>
        </w:rPr>
      </w:pPr>
      <w:r w:rsidRPr="00A23FB4">
        <w:rPr>
          <w:rFonts w:asciiTheme="minorHAnsi" w:hAnsiTheme="minorHAnsi"/>
        </w:rPr>
        <w:t>Po ubiciu nawierzchni należy uzupełnić szczeliny piaskiem i zamie</w:t>
      </w:r>
      <w:r w:rsidR="003F1BE3" w:rsidRPr="00A23FB4">
        <w:rPr>
          <w:rFonts w:asciiTheme="minorHAnsi" w:hAnsiTheme="minorHAnsi"/>
        </w:rPr>
        <w:t>ść nawierzchnię. Nawierzchnia z </w:t>
      </w:r>
      <w:r w:rsidRPr="00A23FB4">
        <w:rPr>
          <w:rFonts w:asciiTheme="minorHAnsi" w:hAnsiTheme="minorHAnsi"/>
        </w:rPr>
        <w:t>wypełnieniem spoin piaskiem nie wymaga pielęgnacji - może być zaraz oddana do ruchu.</w:t>
      </w:r>
    </w:p>
    <w:p w14:paraId="7AC3D4E0" w14:textId="77777777" w:rsidR="008C66DB" w:rsidRPr="00A23FB4" w:rsidRDefault="008C66DB" w:rsidP="008C66DB">
      <w:pPr>
        <w:rPr>
          <w:rFonts w:asciiTheme="minorHAnsi" w:hAnsiTheme="minorHAnsi"/>
          <w:b/>
        </w:rPr>
      </w:pPr>
      <w:bookmarkStart w:id="692" w:name="_Toc107903220"/>
    </w:p>
    <w:p w14:paraId="45CA9CFF" w14:textId="77777777" w:rsidR="008C66DB" w:rsidRPr="00A23FB4" w:rsidRDefault="008C66DB" w:rsidP="008C66DB">
      <w:pPr>
        <w:rPr>
          <w:rFonts w:asciiTheme="minorHAnsi" w:hAnsiTheme="minorHAnsi"/>
          <w:b/>
        </w:rPr>
      </w:pPr>
      <w:r w:rsidRPr="00A23FB4">
        <w:rPr>
          <w:rFonts w:asciiTheme="minorHAnsi" w:hAnsiTheme="minorHAnsi"/>
          <w:b/>
        </w:rPr>
        <w:t>6. KONTROLA JAKOŚCI ROBÓT</w:t>
      </w:r>
      <w:bookmarkEnd w:id="692"/>
    </w:p>
    <w:p w14:paraId="08F5B3CA" w14:textId="77777777" w:rsidR="008C66DB" w:rsidRPr="00A23FB4" w:rsidRDefault="008C66DB" w:rsidP="008C66DB">
      <w:pPr>
        <w:pStyle w:val="Nagwek4"/>
        <w:rPr>
          <w:rFonts w:asciiTheme="minorHAnsi" w:hAnsiTheme="minorHAnsi"/>
        </w:rPr>
      </w:pPr>
      <w:r w:rsidRPr="00A23FB4">
        <w:rPr>
          <w:rFonts w:asciiTheme="minorHAnsi" w:hAnsiTheme="minorHAnsi"/>
        </w:rPr>
        <w:t>6.1. Ogólne zasady kontroli jakości robót</w:t>
      </w:r>
    </w:p>
    <w:p w14:paraId="54FEF4FE" w14:textId="7A9C9FA8" w:rsidR="008C66DB" w:rsidRPr="00A23FB4" w:rsidRDefault="008C66DB" w:rsidP="008C66DB">
      <w:pPr>
        <w:numPr>
          <w:ilvl w:val="12"/>
          <w:numId w:val="0"/>
        </w:numPr>
        <w:rPr>
          <w:rFonts w:asciiTheme="minorHAnsi" w:hAnsiTheme="minorHAnsi"/>
        </w:rPr>
      </w:pPr>
      <w:r w:rsidRPr="00A23FB4">
        <w:rPr>
          <w:rFonts w:asciiTheme="minorHAnsi" w:hAnsiTheme="minorHAnsi"/>
        </w:rPr>
        <w:t xml:space="preserve">Ogólne zasady kontroli jakości robót podano w </w:t>
      </w:r>
      <w:r w:rsidR="00C006BE">
        <w:rPr>
          <w:rFonts w:asciiTheme="minorHAnsi" w:hAnsiTheme="minorHAnsi"/>
        </w:rPr>
        <w:t>ST</w:t>
      </w:r>
      <w:r w:rsidRPr="00A23FB4">
        <w:rPr>
          <w:rFonts w:asciiTheme="minorHAnsi" w:hAnsiTheme="minorHAnsi"/>
        </w:rPr>
        <w:t>WiORB D-M-00.00.00 „Wymagania ogólne” pkt 6.</w:t>
      </w:r>
    </w:p>
    <w:p w14:paraId="54099F58" w14:textId="77777777" w:rsidR="008C66DB" w:rsidRPr="00A23FB4" w:rsidRDefault="008C66DB" w:rsidP="008C66DB">
      <w:pPr>
        <w:pStyle w:val="Nagwek4"/>
        <w:rPr>
          <w:rFonts w:asciiTheme="minorHAnsi" w:hAnsiTheme="minorHAnsi"/>
        </w:rPr>
      </w:pPr>
      <w:r w:rsidRPr="00A23FB4">
        <w:rPr>
          <w:rFonts w:asciiTheme="minorHAnsi" w:hAnsiTheme="minorHAnsi"/>
        </w:rPr>
        <w:t>6.2. Badania przed przystąpieniem do robót</w:t>
      </w:r>
    </w:p>
    <w:p w14:paraId="1032E277" w14:textId="337649DC" w:rsidR="008C66DB" w:rsidRPr="00A23FB4" w:rsidRDefault="008C66DB" w:rsidP="008C66DB">
      <w:pPr>
        <w:numPr>
          <w:ilvl w:val="12"/>
          <w:numId w:val="0"/>
        </w:numPr>
        <w:rPr>
          <w:rFonts w:asciiTheme="minorHAnsi" w:hAnsiTheme="minorHAnsi"/>
        </w:rPr>
      </w:pPr>
      <w:r w:rsidRPr="00A23FB4">
        <w:rPr>
          <w:rFonts w:asciiTheme="minorHAnsi" w:hAnsiTheme="minorHAnsi"/>
        </w:rPr>
        <w:t xml:space="preserve">Przed przystąpieniem do robót, Wykonawca powinien sprawdzić, czy producent kostek brukowych posiada atest wyrobu wg pkt 2.niniejszej </w:t>
      </w:r>
      <w:r w:rsidR="00C006BE">
        <w:rPr>
          <w:rFonts w:asciiTheme="minorHAnsi" w:hAnsiTheme="minorHAnsi"/>
        </w:rPr>
        <w:t>ST</w:t>
      </w:r>
      <w:r w:rsidRPr="00A23FB4">
        <w:rPr>
          <w:rFonts w:asciiTheme="minorHAnsi" w:hAnsiTheme="minorHAnsi"/>
        </w:rPr>
        <w:t>WiORB.</w:t>
      </w:r>
    </w:p>
    <w:p w14:paraId="0B26AD80" w14:textId="77777777" w:rsidR="008C66DB" w:rsidRPr="00A23FB4" w:rsidRDefault="008C66DB" w:rsidP="008C66DB">
      <w:pPr>
        <w:numPr>
          <w:ilvl w:val="12"/>
          <w:numId w:val="0"/>
        </w:numPr>
        <w:rPr>
          <w:rFonts w:asciiTheme="minorHAnsi" w:hAnsiTheme="minorHAnsi"/>
        </w:rPr>
      </w:pPr>
      <w:r w:rsidRPr="00A23FB4">
        <w:rPr>
          <w:rFonts w:asciiTheme="minorHAnsi" w:hAnsiTheme="minorHAnsi"/>
        </w:rPr>
        <w:t>Niezależnie od posiadanego atestu, Wykonawca powinien żądać od producenta wyników bieżących badań wyrobu na ściskanie. Zaleca się, aby do badania wytrzymałości na ściskanie pobierać 6 próbek (kostek) dziennie (przy produkcji dziennej ok. 600 m</w:t>
      </w:r>
      <w:r w:rsidRPr="00A23FB4">
        <w:rPr>
          <w:rFonts w:asciiTheme="minorHAnsi" w:hAnsiTheme="minorHAnsi"/>
          <w:vertAlign w:val="superscript"/>
        </w:rPr>
        <w:t>2</w:t>
      </w:r>
      <w:r w:rsidRPr="00A23FB4">
        <w:rPr>
          <w:rFonts w:asciiTheme="minorHAnsi" w:hAnsiTheme="minorHAnsi"/>
        </w:rPr>
        <w:t xml:space="preserve"> powierzchni kostek ułożonych w nawierzchni).</w:t>
      </w:r>
    </w:p>
    <w:p w14:paraId="65DAB8CD" w14:textId="77777777" w:rsidR="008C66DB" w:rsidRPr="00A23FB4" w:rsidRDefault="008C66DB" w:rsidP="008C66DB">
      <w:pPr>
        <w:numPr>
          <w:ilvl w:val="12"/>
          <w:numId w:val="0"/>
        </w:numPr>
        <w:rPr>
          <w:rFonts w:asciiTheme="minorHAnsi" w:hAnsiTheme="minorHAnsi"/>
        </w:rPr>
      </w:pPr>
      <w:r w:rsidRPr="00A23FB4">
        <w:rPr>
          <w:rFonts w:asciiTheme="minorHAnsi" w:hAnsiTheme="minorHAnsi"/>
        </w:rPr>
        <w:t>Poza tym, przed przystąpieniem do robót Wykonawca sprawdza wyrób w zakr</w:t>
      </w:r>
      <w:r w:rsidR="003F1BE3" w:rsidRPr="00A23FB4">
        <w:rPr>
          <w:rFonts w:asciiTheme="minorHAnsi" w:hAnsiTheme="minorHAnsi"/>
        </w:rPr>
        <w:t>esie wymagań podanych w pkt 2 i </w:t>
      </w:r>
      <w:r w:rsidRPr="00A23FB4">
        <w:rPr>
          <w:rFonts w:asciiTheme="minorHAnsi" w:hAnsiTheme="minorHAnsi"/>
        </w:rPr>
        <w:t>wyniki badań przedstawia Inżynierowi/Kierownikowi projektu do akceptacji.</w:t>
      </w:r>
    </w:p>
    <w:p w14:paraId="12F07E3F" w14:textId="77777777" w:rsidR="008C66DB" w:rsidRPr="00A23FB4" w:rsidRDefault="008C66DB" w:rsidP="008C66DB">
      <w:pPr>
        <w:pStyle w:val="Nagwek4"/>
        <w:rPr>
          <w:rFonts w:asciiTheme="minorHAnsi" w:hAnsiTheme="minorHAnsi"/>
        </w:rPr>
      </w:pPr>
      <w:r w:rsidRPr="00A23FB4">
        <w:rPr>
          <w:rFonts w:asciiTheme="minorHAnsi" w:hAnsiTheme="minorHAnsi"/>
        </w:rPr>
        <w:t>6.3. Badania w czasie robót</w:t>
      </w:r>
    </w:p>
    <w:p w14:paraId="2F27EE56" w14:textId="77777777" w:rsidR="008C66DB" w:rsidRPr="00A23FB4" w:rsidRDefault="008C66DB" w:rsidP="008C66DB">
      <w:pPr>
        <w:numPr>
          <w:ilvl w:val="12"/>
          <w:numId w:val="0"/>
        </w:numPr>
        <w:rPr>
          <w:rFonts w:asciiTheme="minorHAnsi" w:hAnsiTheme="minorHAnsi"/>
        </w:rPr>
      </w:pPr>
      <w:r w:rsidRPr="00A23FB4">
        <w:rPr>
          <w:rFonts w:asciiTheme="minorHAnsi" w:hAnsiTheme="minorHAnsi"/>
          <w:b/>
        </w:rPr>
        <w:t xml:space="preserve">6.3.1. </w:t>
      </w:r>
      <w:r w:rsidRPr="00A23FB4">
        <w:rPr>
          <w:rFonts w:asciiTheme="minorHAnsi" w:hAnsiTheme="minorHAnsi"/>
        </w:rPr>
        <w:t>Sprawdzenie podłoża i podbudowy</w:t>
      </w:r>
    </w:p>
    <w:p w14:paraId="29EF1C9B" w14:textId="12F1B7F3" w:rsidR="008C66DB" w:rsidRPr="00A23FB4" w:rsidRDefault="008C66DB" w:rsidP="008C66DB">
      <w:pPr>
        <w:numPr>
          <w:ilvl w:val="12"/>
          <w:numId w:val="0"/>
        </w:numPr>
        <w:rPr>
          <w:rFonts w:asciiTheme="minorHAnsi" w:hAnsiTheme="minorHAnsi"/>
        </w:rPr>
      </w:pPr>
      <w:r w:rsidRPr="00A23FB4">
        <w:rPr>
          <w:rFonts w:asciiTheme="minorHAnsi" w:hAnsiTheme="minorHAnsi"/>
        </w:rPr>
        <w:t>Sprawdzenie podłoża i podbudowy polega na stwierdzeniu ich zgodno</w:t>
      </w:r>
      <w:r w:rsidR="003F1BE3" w:rsidRPr="00A23FB4">
        <w:rPr>
          <w:rFonts w:asciiTheme="minorHAnsi" w:hAnsiTheme="minorHAnsi"/>
        </w:rPr>
        <w:t>ści z dokumentacją projektową i </w:t>
      </w:r>
      <w:r w:rsidRPr="00A23FB4">
        <w:rPr>
          <w:rFonts w:asciiTheme="minorHAnsi" w:hAnsiTheme="minorHAnsi"/>
        </w:rPr>
        <w:t xml:space="preserve">odpowiednimi </w:t>
      </w:r>
      <w:r w:rsidR="00C006BE">
        <w:rPr>
          <w:rFonts w:asciiTheme="minorHAnsi" w:hAnsiTheme="minorHAnsi"/>
        </w:rPr>
        <w:t>ST</w:t>
      </w:r>
      <w:r w:rsidRPr="00A23FB4">
        <w:rPr>
          <w:rFonts w:asciiTheme="minorHAnsi" w:hAnsiTheme="minorHAnsi"/>
        </w:rPr>
        <w:t>WiORB.</w:t>
      </w:r>
    </w:p>
    <w:p w14:paraId="55292519" w14:textId="77777777" w:rsidR="008C66DB" w:rsidRPr="00A23FB4" w:rsidRDefault="008C66DB" w:rsidP="008C66DB">
      <w:pPr>
        <w:numPr>
          <w:ilvl w:val="12"/>
          <w:numId w:val="0"/>
        </w:numPr>
        <w:rPr>
          <w:rFonts w:asciiTheme="minorHAnsi" w:hAnsiTheme="minorHAnsi"/>
        </w:rPr>
      </w:pPr>
      <w:r w:rsidRPr="00A23FB4">
        <w:rPr>
          <w:rFonts w:asciiTheme="minorHAnsi" w:hAnsiTheme="minorHAnsi"/>
          <w:b/>
        </w:rPr>
        <w:t xml:space="preserve">6.3.2. </w:t>
      </w:r>
      <w:r w:rsidRPr="00A23FB4">
        <w:rPr>
          <w:rFonts w:asciiTheme="minorHAnsi" w:hAnsiTheme="minorHAnsi"/>
        </w:rPr>
        <w:t>Sprawdzenie podsypki</w:t>
      </w:r>
    </w:p>
    <w:p w14:paraId="2681122A" w14:textId="0EBE7719" w:rsidR="008C66DB" w:rsidRPr="00A23FB4" w:rsidRDefault="008C66DB" w:rsidP="008C66DB">
      <w:pPr>
        <w:numPr>
          <w:ilvl w:val="12"/>
          <w:numId w:val="0"/>
        </w:numPr>
        <w:rPr>
          <w:rFonts w:asciiTheme="minorHAnsi" w:hAnsiTheme="minorHAnsi"/>
        </w:rPr>
      </w:pPr>
      <w:r w:rsidRPr="00A23FB4">
        <w:rPr>
          <w:rFonts w:asciiTheme="minorHAnsi" w:hAnsiTheme="minorHAnsi"/>
        </w:rPr>
        <w:t xml:space="preserve">Sprawdzenie podsypki w zakresie grubości i wymaganych spadków poprzecznych i podłużnych polega na stwierdzeniu zgodności z dokumentacją projektową oraz pkt 5.5 niniejszej </w:t>
      </w:r>
      <w:r w:rsidR="00C006BE">
        <w:rPr>
          <w:rFonts w:asciiTheme="minorHAnsi" w:hAnsiTheme="minorHAnsi"/>
        </w:rPr>
        <w:t>ST</w:t>
      </w:r>
      <w:r w:rsidRPr="00A23FB4">
        <w:rPr>
          <w:rFonts w:asciiTheme="minorHAnsi" w:hAnsiTheme="minorHAnsi"/>
        </w:rPr>
        <w:t>WiORB.</w:t>
      </w:r>
    </w:p>
    <w:p w14:paraId="40A2A62E" w14:textId="77777777" w:rsidR="008C66DB" w:rsidRPr="00A23FB4" w:rsidRDefault="008C66DB" w:rsidP="008C66DB">
      <w:pPr>
        <w:numPr>
          <w:ilvl w:val="12"/>
          <w:numId w:val="0"/>
        </w:numPr>
        <w:rPr>
          <w:rFonts w:asciiTheme="minorHAnsi" w:hAnsiTheme="minorHAnsi"/>
        </w:rPr>
      </w:pPr>
      <w:r w:rsidRPr="00A23FB4">
        <w:rPr>
          <w:rFonts w:asciiTheme="minorHAnsi" w:hAnsiTheme="minorHAnsi"/>
          <w:b/>
        </w:rPr>
        <w:t xml:space="preserve">6.3.3. </w:t>
      </w:r>
      <w:r w:rsidRPr="00A23FB4">
        <w:rPr>
          <w:rFonts w:asciiTheme="minorHAnsi" w:hAnsiTheme="minorHAnsi"/>
        </w:rPr>
        <w:t>Sprawdzenie wykonania nawierzchni</w:t>
      </w:r>
    </w:p>
    <w:p w14:paraId="3ACE1325" w14:textId="7261848B" w:rsidR="008C66DB" w:rsidRPr="00A23FB4" w:rsidRDefault="008C66DB" w:rsidP="008C66DB">
      <w:pPr>
        <w:numPr>
          <w:ilvl w:val="12"/>
          <w:numId w:val="0"/>
        </w:numPr>
        <w:rPr>
          <w:rFonts w:asciiTheme="minorHAnsi" w:hAnsiTheme="minorHAnsi"/>
        </w:rPr>
      </w:pPr>
      <w:r w:rsidRPr="00A23FB4">
        <w:rPr>
          <w:rFonts w:asciiTheme="minorHAnsi" w:hAnsiTheme="minorHAnsi"/>
        </w:rPr>
        <w:t xml:space="preserve">Sprawdzenie prawidłowości wykonania nawierzchni z betonowych kostek brukowych polega na stwierdzeniu zgodności wykonania z dokumentacją projektową oraz wymaganiami wg pkt 5.6 niniejszej </w:t>
      </w:r>
      <w:r w:rsidR="00C006BE">
        <w:rPr>
          <w:rFonts w:asciiTheme="minorHAnsi" w:hAnsiTheme="minorHAnsi"/>
        </w:rPr>
        <w:t>ST</w:t>
      </w:r>
      <w:r w:rsidRPr="00A23FB4">
        <w:rPr>
          <w:rFonts w:asciiTheme="minorHAnsi" w:hAnsiTheme="minorHAnsi"/>
        </w:rPr>
        <w:t>WiORB:</w:t>
      </w:r>
    </w:p>
    <w:p w14:paraId="0EC14384" w14:textId="77777777" w:rsidR="008C66DB" w:rsidRPr="00A23FB4" w:rsidRDefault="008C66DB" w:rsidP="00262498">
      <w:pPr>
        <w:numPr>
          <w:ilvl w:val="0"/>
          <w:numId w:val="26"/>
        </w:numPr>
        <w:rPr>
          <w:rFonts w:asciiTheme="minorHAnsi" w:hAnsiTheme="minorHAnsi"/>
        </w:rPr>
      </w:pPr>
      <w:r w:rsidRPr="00A23FB4">
        <w:rPr>
          <w:rFonts w:asciiTheme="minorHAnsi" w:hAnsiTheme="minorHAnsi"/>
        </w:rPr>
        <w:t>pomierzenie szerokości spoin,</w:t>
      </w:r>
    </w:p>
    <w:p w14:paraId="2747E6F6" w14:textId="77777777" w:rsidR="008C66DB" w:rsidRPr="00A23FB4" w:rsidRDefault="008C66DB" w:rsidP="00262498">
      <w:pPr>
        <w:numPr>
          <w:ilvl w:val="0"/>
          <w:numId w:val="26"/>
        </w:numPr>
        <w:rPr>
          <w:rFonts w:asciiTheme="minorHAnsi" w:hAnsiTheme="minorHAnsi"/>
        </w:rPr>
      </w:pPr>
      <w:r w:rsidRPr="00A23FB4">
        <w:rPr>
          <w:rFonts w:asciiTheme="minorHAnsi" w:hAnsiTheme="minorHAnsi"/>
        </w:rPr>
        <w:t>sprawdzenie prawidłowości ubijania (wibrowania),</w:t>
      </w:r>
    </w:p>
    <w:p w14:paraId="0C743433" w14:textId="77777777" w:rsidR="008C66DB" w:rsidRPr="00A23FB4" w:rsidRDefault="008C66DB" w:rsidP="00262498">
      <w:pPr>
        <w:numPr>
          <w:ilvl w:val="0"/>
          <w:numId w:val="26"/>
        </w:numPr>
        <w:rPr>
          <w:rFonts w:asciiTheme="minorHAnsi" w:hAnsiTheme="minorHAnsi"/>
        </w:rPr>
      </w:pPr>
      <w:r w:rsidRPr="00A23FB4">
        <w:rPr>
          <w:rFonts w:asciiTheme="minorHAnsi" w:hAnsiTheme="minorHAnsi"/>
        </w:rPr>
        <w:t>sprawdzenie prawidłowości wypełnienia spoin,</w:t>
      </w:r>
    </w:p>
    <w:p w14:paraId="61035148" w14:textId="77777777" w:rsidR="008C66DB" w:rsidRPr="00A23FB4" w:rsidRDefault="008C66DB" w:rsidP="00262498">
      <w:pPr>
        <w:numPr>
          <w:ilvl w:val="0"/>
          <w:numId w:val="26"/>
        </w:numPr>
        <w:rPr>
          <w:rFonts w:asciiTheme="minorHAnsi" w:hAnsiTheme="minorHAnsi"/>
        </w:rPr>
      </w:pPr>
      <w:r w:rsidRPr="00A23FB4">
        <w:rPr>
          <w:rFonts w:asciiTheme="minorHAnsi" w:hAnsiTheme="minorHAnsi"/>
        </w:rPr>
        <w:t>sprawdzenie, czy przyjęty deseń (wzór) i kolor nawierzchni jest zachowany.</w:t>
      </w:r>
    </w:p>
    <w:p w14:paraId="57521F4E" w14:textId="77777777" w:rsidR="008C66DB" w:rsidRPr="00A23FB4" w:rsidRDefault="008C66DB" w:rsidP="008C66DB">
      <w:pPr>
        <w:pStyle w:val="Nagwek4"/>
        <w:rPr>
          <w:rFonts w:asciiTheme="minorHAnsi" w:hAnsiTheme="minorHAnsi"/>
        </w:rPr>
      </w:pPr>
      <w:r w:rsidRPr="00A23FB4">
        <w:rPr>
          <w:rFonts w:asciiTheme="minorHAnsi" w:hAnsiTheme="minorHAnsi"/>
        </w:rPr>
        <w:t>6.4. Sprawdzenie cech geometrycznych nawierzchni</w:t>
      </w:r>
    </w:p>
    <w:p w14:paraId="0487DF9C" w14:textId="77777777" w:rsidR="008C66DB" w:rsidRPr="00A23FB4" w:rsidRDefault="008C66DB" w:rsidP="008C66DB">
      <w:pPr>
        <w:numPr>
          <w:ilvl w:val="12"/>
          <w:numId w:val="0"/>
        </w:numPr>
        <w:rPr>
          <w:rFonts w:asciiTheme="minorHAnsi" w:hAnsiTheme="minorHAnsi"/>
        </w:rPr>
      </w:pPr>
      <w:r w:rsidRPr="00A23FB4">
        <w:rPr>
          <w:rFonts w:asciiTheme="minorHAnsi" w:hAnsiTheme="minorHAnsi"/>
          <w:b/>
        </w:rPr>
        <w:t xml:space="preserve">6.4.1. </w:t>
      </w:r>
      <w:r w:rsidRPr="00A23FB4">
        <w:rPr>
          <w:rFonts w:asciiTheme="minorHAnsi" w:hAnsiTheme="minorHAnsi"/>
        </w:rPr>
        <w:t>Nierówności podłużne</w:t>
      </w:r>
    </w:p>
    <w:p w14:paraId="6B9A2934" w14:textId="77777777" w:rsidR="008C66DB" w:rsidRPr="00A23FB4" w:rsidRDefault="008C66DB" w:rsidP="008C66DB">
      <w:pPr>
        <w:numPr>
          <w:ilvl w:val="12"/>
          <w:numId w:val="0"/>
        </w:numPr>
        <w:rPr>
          <w:rFonts w:asciiTheme="minorHAnsi" w:hAnsiTheme="minorHAnsi"/>
        </w:rPr>
      </w:pPr>
      <w:r w:rsidRPr="00A23FB4">
        <w:rPr>
          <w:rFonts w:asciiTheme="minorHAnsi" w:hAnsiTheme="minorHAnsi"/>
        </w:rPr>
        <w:t>Nierówności podłużne nawierzchni mierzone łatą zgodnie z normą BN-68/8931-04 nie powinny przekraczać 0,8 cm.</w:t>
      </w:r>
    </w:p>
    <w:p w14:paraId="142B9F50" w14:textId="77777777" w:rsidR="008C66DB" w:rsidRPr="00A23FB4" w:rsidRDefault="008C66DB" w:rsidP="008C66DB">
      <w:pPr>
        <w:numPr>
          <w:ilvl w:val="12"/>
          <w:numId w:val="0"/>
        </w:numPr>
        <w:rPr>
          <w:rFonts w:asciiTheme="minorHAnsi" w:hAnsiTheme="minorHAnsi"/>
        </w:rPr>
      </w:pPr>
      <w:r w:rsidRPr="00A23FB4">
        <w:rPr>
          <w:rFonts w:asciiTheme="minorHAnsi" w:hAnsiTheme="minorHAnsi"/>
          <w:b/>
        </w:rPr>
        <w:t xml:space="preserve">6.4.2. </w:t>
      </w:r>
      <w:r w:rsidRPr="00A23FB4">
        <w:rPr>
          <w:rFonts w:asciiTheme="minorHAnsi" w:hAnsiTheme="minorHAnsi"/>
        </w:rPr>
        <w:t>Spadki poprzeczne</w:t>
      </w:r>
    </w:p>
    <w:p w14:paraId="688B776F" w14:textId="77777777" w:rsidR="008C66DB" w:rsidRPr="00A23FB4" w:rsidRDefault="008C66DB" w:rsidP="008C66DB">
      <w:pPr>
        <w:numPr>
          <w:ilvl w:val="12"/>
          <w:numId w:val="0"/>
        </w:numPr>
        <w:rPr>
          <w:rFonts w:asciiTheme="minorHAnsi" w:hAnsiTheme="minorHAnsi"/>
        </w:rPr>
      </w:pPr>
      <w:r w:rsidRPr="00A23FB4">
        <w:rPr>
          <w:rFonts w:asciiTheme="minorHAnsi" w:hAnsiTheme="minorHAnsi"/>
        </w:rPr>
        <w:t xml:space="preserve">Spadki poprzeczne nawierzchni powinny być zgodne z dokumentacją projektową z tolerancją </w:t>
      </w:r>
      <w:r w:rsidRPr="00A23FB4">
        <w:rPr>
          <w:rFonts w:asciiTheme="minorHAnsi" w:hAnsiTheme="minorHAnsi"/>
        </w:rPr>
        <w:sym w:font="Symbol" w:char="F0B1"/>
      </w:r>
      <w:r w:rsidRPr="00A23FB4">
        <w:rPr>
          <w:rFonts w:asciiTheme="minorHAnsi" w:hAnsiTheme="minorHAnsi"/>
        </w:rPr>
        <w:t xml:space="preserve"> 0,5%.</w:t>
      </w:r>
    </w:p>
    <w:p w14:paraId="4971C014" w14:textId="77777777" w:rsidR="008C66DB" w:rsidRPr="00A23FB4" w:rsidRDefault="008C66DB" w:rsidP="008C66DB">
      <w:pPr>
        <w:numPr>
          <w:ilvl w:val="12"/>
          <w:numId w:val="0"/>
        </w:numPr>
        <w:rPr>
          <w:rFonts w:asciiTheme="minorHAnsi" w:hAnsiTheme="minorHAnsi"/>
        </w:rPr>
      </w:pPr>
      <w:r w:rsidRPr="00A23FB4">
        <w:rPr>
          <w:rFonts w:asciiTheme="minorHAnsi" w:hAnsiTheme="minorHAnsi"/>
          <w:b/>
        </w:rPr>
        <w:t xml:space="preserve">6.4.3. </w:t>
      </w:r>
      <w:r w:rsidRPr="00A23FB4">
        <w:rPr>
          <w:rFonts w:asciiTheme="minorHAnsi" w:hAnsiTheme="minorHAnsi"/>
        </w:rPr>
        <w:t>Niweleta nawierzchni</w:t>
      </w:r>
    </w:p>
    <w:p w14:paraId="2BE2A88B" w14:textId="77777777" w:rsidR="008C66DB" w:rsidRPr="00A23FB4" w:rsidRDefault="008C66DB" w:rsidP="008C66DB">
      <w:pPr>
        <w:numPr>
          <w:ilvl w:val="12"/>
          <w:numId w:val="0"/>
        </w:numPr>
        <w:rPr>
          <w:rFonts w:asciiTheme="minorHAnsi" w:hAnsiTheme="minorHAnsi"/>
        </w:rPr>
      </w:pPr>
      <w:r w:rsidRPr="00A23FB4">
        <w:rPr>
          <w:rFonts w:asciiTheme="minorHAnsi" w:hAnsiTheme="minorHAnsi"/>
        </w:rPr>
        <w:t xml:space="preserve">Różnice pomiędzy rzędnymi wykonanej nawierzchni i rzędnymi projektowanymi nie powinny przekraczać </w:t>
      </w:r>
      <w:r w:rsidRPr="00A23FB4">
        <w:rPr>
          <w:rFonts w:asciiTheme="minorHAnsi" w:hAnsiTheme="minorHAnsi"/>
        </w:rPr>
        <w:sym w:font="Symbol" w:char="F0B1"/>
      </w:r>
      <w:r w:rsidRPr="00A23FB4">
        <w:rPr>
          <w:rFonts w:asciiTheme="minorHAnsi" w:hAnsiTheme="minorHAnsi"/>
        </w:rPr>
        <w:t>1 cm.</w:t>
      </w:r>
    </w:p>
    <w:p w14:paraId="316897D7" w14:textId="77777777" w:rsidR="008C66DB" w:rsidRPr="00A23FB4" w:rsidRDefault="008C66DB" w:rsidP="008C66DB">
      <w:pPr>
        <w:numPr>
          <w:ilvl w:val="12"/>
          <w:numId w:val="0"/>
        </w:numPr>
        <w:rPr>
          <w:rFonts w:asciiTheme="minorHAnsi" w:hAnsiTheme="minorHAnsi"/>
        </w:rPr>
      </w:pPr>
      <w:r w:rsidRPr="00A23FB4">
        <w:rPr>
          <w:rFonts w:asciiTheme="minorHAnsi" w:hAnsiTheme="minorHAnsi"/>
          <w:b/>
        </w:rPr>
        <w:t xml:space="preserve">6.4.4. </w:t>
      </w:r>
      <w:r w:rsidRPr="00A23FB4">
        <w:rPr>
          <w:rFonts w:asciiTheme="minorHAnsi" w:hAnsiTheme="minorHAnsi"/>
        </w:rPr>
        <w:t>Szerokość nawierzchni</w:t>
      </w:r>
    </w:p>
    <w:p w14:paraId="1495E78D" w14:textId="77777777" w:rsidR="008C66DB" w:rsidRPr="00A23FB4" w:rsidRDefault="008C66DB" w:rsidP="008C66DB">
      <w:pPr>
        <w:numPr>
          <w:ilvl w:val="12"/>
          <w:numId w:val="0"/>
        </w:numPr>
        <w:rPr>
          <w:rFonts w:asciiTheme="minorHAnsi" w:hAnsiTheme="minorHAnsi"/>
        </w:rPr>
      </w:pPr>
      <w:r w:rsidRPr="00A23FB4">
        <w:rPr>
          <w:rFonts w:asciiTheme="minorHAnsi" w:hAnsiTheme="minorHAnsi"/>
        </w:rPr>
        <w:t xml:space="preserve">Szerokość nawierzchni nie może różnić się od szerokości projektowanej o więcej niż </w:t>
      </w:r>
      <w:r w:rsidRPr="00A23FB4">
        <w:rPr>
          <w:rFonts w:asciiTheme="minorHAnsi" w:hAnsiTheme="minorHAnsi"/>
        </w:rPr>
        <w:sym w:font="Symbol" w:char="F0B1"/>
      </w:r>
      <w:r w:rsidRPr="00A23FB4">
        <w:rPr>
          <w:rFonts w:asciiTheme="minorHAnsi" w:hAnsiTheme="minorHAnsi"/>
        </w:rPr>
        <w:t>5 cm.</w:t>
      </w:r>
    </w:p>
    <w:p w14:paraId="55E0DAE5" w14:textId="77777777" w:rsidR="008C66DB" w:rsidRPr="00A23FB4" w:rsidRDefault="008C66DB" w:rsidP="008C66DB">
      <w:pPr>
        <w:numPr>
          <w:ilvl w:val="12"/>
          <w:numId w:val="0"/>
        </w:numPr>
        <w:rPr>
          <w:rFonts w:asciiTheme="minorHAnsi" w:hAnsiTheme="minorHAnsi"/>
        </w:rPr>
      </w:pPr>
      <w:r w:rsidRPr="00A23FB4">
        <w:rPr>
          <w:rFonts w:asciiTheme="minorHAnsi" w:hAnsiTheme="minorHAnsi"/>
          <w:b/>
        </w:rPr>
        <w:t xml:space="preserve">6.4.5. </w:t>
      </w:r>
      <w:r w:rsidRPr="00A23FB4">
        <w:rPr>
          <w:rFonts w:asciiTheme="minorHAnsi" w:hAnsiTheme="minorHAnsi"/>
        </w:rPr>
        <w:t>Grubość podsypki</w:t>
      </w:r>
    </w:p>
    <w:p w14:paraId="2E3A78C1" w14:textId="77777777" w:rsidR="008C66DB" w:rsidRPr="00A23FB4" w:rsidRDefault="008C66DB" w:rsidP="008C66DB">
      <w:pPr>
        <w:numPr>
          <w:ilvl w:val="12"/>
          <w:numId w:val="0"/>
        </w:numPr>
        <w:rPr>
          <w:rFonts w:asciiTheme="minorHAnsi" w:hAnsiTheme="minorHAnsi"/>
        </w:rPr>
      </w:pPr>
      <w:r w:rsidRPr="00A23FB4">
        <w:rPr>
          <w:rFonts w:asciiTheme="minorHAnsi" w:hAnsiTheme="minorHAnsi"/>
        </w:rPr>
        <w:t xml:space="preserve">Dopuszczalne odchyłki od projektowanej grubości podsypki nie powinny przekraczać </w:t>
      </w:r>
      <w:r w:rsidRPr="00A23FB4">
        <w:rPr>
          <w:rFonts w:asciiTheme="minorHAnsi" w:hAnsiTheme="minorHAnsi"/>
        </w:rPr>
        <w:sym w:font="Symbol" w:char="F0B1"/>
      </w:r>
      <w:r w:rsidRPr="00A23FB4">
        <w:rPr>
          <w:rFonts w:asciiTheme="minorHAnsi" w:hAnsiTheme="minorHAnsi"/>
        </w:rPr>
        <w:t>1,0 cm.</w:t>
      </w:r>
    </w:p>
    <w:p w14:paraId="14375DBB" w14:textId="77777777" w:rsidR="008C66DB" w:rsidRPr="00A23FB4" w:rsidRDefault="008C66DB" w:rsidP="008C66DB">
      <w:pPr>
        <w:pStyle w:val="Nagwek4"/>
        <w:rPr>
          <w:rFonts w:asciiTheme="minorHAnsi" w:hAnsiTheme="minorHAnsi"/>
        </w:rPr>
      </w:pPr>
      <w:r w:rsidRPr="00A23FB4">
        <w:rPr>
          <w:rFonts w:asciiTheme="minorHAnsi" w:hAnsiTheme="minorHAnsi"/>
        </w:rPr>
        <w:t>6.5. Częstotliwość pomiarów</w:t>
      </w:r>
    </w:p>
    <w:p w14:paraId="2B138BB4" w14:textId="77777777" w:rsidR="008C66DB" w:rsidRPr="00A23FB4" w:rsidRDefault="008C66DB" w:rsidP="008C66DB">
      <w:pPr>
        <w:numPr>
          <w:ilvl w:val="12"/>
          <w:numId w:val="0"/>
        </w:numPr>
        <w:rPr>
          <w:rFonts w:asciiTheme="minorHAnsi" w:hAnsiTheme="minorHAnsi"/>
        </w:rPr>
      </w:pPr>
      <w:r w:rsidRPr="00A23FB4">
        <w:rPr>
          <w:rFonts w:asciiTheme="minorHAnsi" w:hAnsiTheme="minorHAnsi"/>
        </w:rPr>
        <w:t>Częstotliwość pomiarów dla cech geometrycznych nawierzchni z kostki brukowej, wymienionych w pkt 6.4 powinna być dostosowana do powierzchni wykonanych robót.</w:t>
      </w:r>
    </w:p>
    <w:p w14:paraId="27E337C8" w14:textId="77777777" w:rsidR="008C66DB" w:rsidRPr="00A23FB4" w:rsidRDefault="008C66DB" w:rsidP="008C66DB">
      <w:pPr>
        <w:numPr>
          <w:ilvl w:val="12"/>
          <w:numId w:val="0"/>
        </w:numPr>
        <w:rPr>
          <w:rFonts w:asciiTheme="minorHAnsi" w:hAnsiTheme="minorHAnsi"/>
        </w:rPr>
      </w:pPr>
      <w:r w:rsidRPr="00A23FB4">
        <w:rPr>
          <w:rFonts w:asciiTheme="minorHAnsi" w:hAnsiTheme="minorHAnsi"/>
        </w:rPr>
        <w:t>Zaleca się, aby pomiary cech geometrycznych wymienionych w pkt 6.4 były przeprowadzone nie rzadziej niż 2 razy na 100 m</w:t>
      </w:r>
      <w:r w:rsidRPr="00A23FB4">
        <w:rPr>
          <w:rFonts w:asciiTheme="minorHAnsi" w:hAnsiTheme="minorHAnsi"/>
          <w:vertAlign w:val="superscript"/>
        </w:rPr>
        <w:t>2</w:t>
      </w:r>
      <w:r w:rsidRPr="00A23FB4">
        <w:rPr>
          <w:rFonts w:asciiTheme="minorHAnsi" w:hAnsiTheme="minorHAnsi"/>
        </w:rPr>
        <w:t xml:space="preserve"> nawierzchni i w punktach charakterystycznych dla niwelety lub przekroju poprzecznego oraz wszędzie tam, gdzie poleci Inżynier/Kierownik projektu.</w:t>
      </w:r>
    </w:p>
    <w:p w14:paraId="52DFC0C2" w14:textId="77777777" w:rsidR="008C66DB" w:rsidRPr="00A23FB4" w:rsidRDefault="008C66DB" w:rsidP="008C66DB">
      <w:pPr>
        <w:rPr>
          <w:rFonts w:asciiTheme="minorHAnsi" w:hAnsiTheme="minorHAnsi"/>
          <w:b/>
        </w:rPr>
      </w:pPr>
      <w:bookmarkStart w:id="693" w:name="_Toc107903221"/>
    </w:p>
    <w:p w14:paraId="6CF2A8CB" w14:textId="77777777" w:rsidR="008C66DB" w:rsidRPr="00A23FB4" w:rsidRDefault="008C66DB" w:rsidP="008C66DB">
      <w:pPr>
        <w:rPr>
          <w:rFonts w:asciiTheme="minorHAnsi" w:hAnsiTheme="minorHAnsi"/>
          <w:b/>
        </w:rPr>
      </w:pPr>
      <w:r w:rsidRPr="00A23FB4">
        <w:rPr>
          <w:rFonts w:asciiTheme="minorHAnsi" w:hAnsiTheme="minorHAnsi"/>
          <w:b/>
        </w:rPr>
        <w:t>7. OBMIAR ROBÓT</w:t>
      </w:r>
      <w:bookmarkEnd w:id="693"/>
    </w:p>
    <w:p w14:paraId="437E3C09" w14:textId="77777777" w:rsidR="007E56C9" w:rsidRDefault="007E56C9" w:rsidP="008C66DB">
      <w:pPr>
        <w:numPr>
          <w:ilvl w:val="12"/>
          <w:numId w:val="0"/>
        </w:numPr>
        <w:rPr>
          <w:rFonts w:asciiTheme="minorHAnsi" w:hAnsiTheme="minorHAnsi"/>
        </w:rPr>
      </w:pPr>
    </w:p>
    <w:p w14:paraId="705485B6" w14:textId="2F49F665" w:rsidR="007E56C9" w:rsidRDefault="007E56C9" w:rsidP="008C66DB">
      <w:pPr>
        <w:numPr>
          <w:ilvl w:val="12"/>
          <w:numId w:val="0"/>
        </w:numPr>
        <w:rPr>
          <w:rFonts w:asciiTheme="minorHAnsi" w:hAnsiTheme="minorHAnsi"/>
        </w:rPr>
      </w:pPr>
      <w:r>
        <w:rPr>
          <w:rFonts w:asciiTheme="minorHAnsi" w:hAnsiTheme="minorHAnsi"/>
        </w:rPr>
        <w:t>Kontrakt ryczałtowy</w:t>
      </w:r>
    </w:p>
    <w:p w14:paraId="701734AF" w14:textId="6D62549A" w:rsidR="008C66DB" w:rsidRPr="00A23FB4" w:rsidRDefault="008C66DB" w:rsidP="008C66DB">
      <w:pPr>
        <w:numPr>
          <w:ilvl w:val="12"/>
          <w:numId w:val="0"/>
        </w:numPr>
        <w:rPr>
          <w:rFonts w:asciiTheme="minorHAnsi" w:hAnsiTheme="minorHAnsi"/>
        </w:rPr>
      </w:pPr>
      <w:r w:rsidRPr="00A23FB4">
        <w:rPr>
          <w:rFonts w:asciiTheme="minorHAnsi" w:hAnsiTheme="minorHAnsi"/>
        </w:rPr>
        <w:t xml:space="preserve">Ogólne zasady obmiaru robót podano w </w:t>
      </w:r>
      <w:r w:rsidR="00C006BE">
        <w:rPr>
          <w:rFonts w:asciiTheme="minorHAnsi" w:hAnsiTheme="minorHAnsi"/>
        </w:rPr>
        <w:t>ST</w:t>
      </w:r>
      <w:r w:rsidRPr="00A23FB4">
        <w:rPr>
          <w:rFonts w:asciiTheme="minorHAnsi" w:hAnsiTheme="minorHAnsi"/>
        </w:rPr>
        <w:t>WiORB D-M-00.00.00 „Wymagania ogólne” pkt 7.</w:t>
      </w:r>
    </w:p>
    <w:p w14:paraId="592ABF55" w14:textId="77777777" w:rsidR="008C66DB" w:rsidRPr="00A23FB4" w:rsidRDefault="008C66DB" w:rsidP="008C66DB">
      <w:pPr>
        <w:rPr>
          <w:rFonts w:asciiTheme="minorHAnsi" w:hAnsiTheme="minorHAnsi"/>
          <w:b/>
        </w:rPr>
      </w:pPr>
      <w:bookmarkStart w:id="694" w:name="_Toc107903222"/>
    </w:p>
    <w:p w14:paraId="57FB100C" w14:textId="77777777" w:rsidR="008C66DB" w:rsidRPr="00A23FB4" w:rsidRDefault="008C66DB" w:rsidP="008C66DB">
      <w:pPr>
        <w:rPr>
          <w:rFonts w:asciiTheme="minorHAnsi" w:hAnsiTheme="minorHAnsi"/>
          <w:b/>
        </w:rPr>
      </w:pPr>
      <w:r w:rsidRPr="00A23FB4">
        <w:rPr>
          <w:rFonts w:asciiTheme="minorHAnsi" w:hAnsiTheme="minorHAnsi"/>
          <w:b/>
        </w:rPr>
        <w:t>8. ODBIÓR ROBÓT</w:t>
      </w:r>
      <w:bookmarkEnd w:id="694"/>
    </w:p>
    <w:p w14:paraId="55A372FA" w14:textId="77777777" w:rsidR="008C66DB" w:rsidRPr="00A23FB4" w:rsidRDefault="008C66DB" w:rsidP="008C66DB">
      <w:pPr>
        <w:pStyle w:val="Nagwek4"/>
        <w:rPr>
          <w:rFonts w:asciiTheme="minorHAnsi" w:hAnsiTheme="minorHAnsi"/>
        </w:rPr>
      </w:pPr>
      <w:r w:rsidRPr="00A23FB4">
        <w:rPr>
          <w:rFonts w:asciiTheme="minorHAnsi" w:hAnsiTheme="minorHAnsi"/>
        </w:rPr>
        <w:t>8.1. Ogólne zasady odbioru robót</w:t>
      </w:r>
    </w:p>
    <w:p w14:paraId="7A7EB9C2" w14:textId="613E7D1D" w:rsidR="008C66DB" w:rsidRPr="00A23FB4" w:rsidRDefault="008C66DB" w:rsidP="008C66DB">
      <w:pPr>
        <w:numPr>
          <w:ilvl w:val="12"/>
          <w:numId w:val="0"/>
        </w:numPr>
        <w:rPr>
          <w:rFonts w:asciiTheme="minorHAnsi" w:hAnsiTheme="minorHAnsi"/>
        </w:rPr>
      </w:pPr>
      <w:r w:rsidRPr="00A23FB4">
        <w:rPr>
          <w:rFonts w:asciiTheme="minorHAnsi" w:hAnsiTheme="minorHAnsi"/>
        </w:rPr>
        <w:t xml:space="preserve">Ogólne zasady odbioru robót podano w </w:t>
      </w:r>
      <w:r w:rsidR="00C006BE">
        <w:rPr>
          <w:rFonts w:asciiTheme="minorHAnsi" w:hAnsiTheme="minorHAnsi"/>
        </w:rPr>
        <w:t>ST</w:t>
      </w:r>
      <w:r w:rsidRPr="00A23FB4">
        <w:rPr>
          <w:rFonts w:asciiTheme="minorHAnsi" w:hAnsiTheme="minorHAnsi"/>
        </w:rPr>
        <w:t>WiORB D-M-00.00.00 „Wymagania ogólne” pkt 8.</w:t>
      </w:r>
    </w:p>
    <w:p w14:paraId="6AA9389E" w14:textId="0E0552B8" w:rsidR="008C66DB" w:rsidRPr="00A23FB4" w:rsidRDefault="008C66DB" w:rsidP="008C66DB">
      <w:pPr>
        <w:numPr>
          <w:ilvl w:val="12"/>
          <w:numId w:val="0"/>
        </w:numPr>
        <w:rPr>
          <w:rFonts w:asciiTheme="minorHAnsi" w:hAnsiTheme="minorHAnsi"/>
        </w:rPr>
      </w:pPr>
      <w:r w:rsidRPr="00A23FB4">
        <w:rPr>
          <w:rFonts w:asciiTheme="minorHAnsi" w:hAnsiTheme="minorHAnsi"/>
        </w:rPr>
        <w:t xml:space="preserve">Roboty uznaje się za wykonane zgodnie z dokumentacją projektową, </w:t>
      </w:r>
      <w:r w:rsidR="00C006BE">
        <w:rPr>
          <w:rFonts w:asciiTheme="minorHAnsi" w:hAnsiTheme="minorHAnsi"/>
        </w:rPr>
        <w:t>ST</w:t>
      </w:r>
      <w:r w:rsidRPr="00A23FB4">
        <w:rPr>
          <w:rFonts w:asciiTheme="minorHAnsi" w:hAnsiTheme="minorHAnsi"/>
        </w:rPr>
        <w:t>WiORB i wymaganiami Inżyniera/Kierownika projektu, jeżeli wszystkie pomiary i badania z zachowaniem tolerancji według pkt 6 dały wyniki pozytywne.</w:t>
      </w:r>
    </w:p>
    <w:p w14:paraId="78EDEA06" w14:textId="77777777" w:rsidR="008C66DB" w:rsidRPr="00A23FB4" w:rsidRDefault="008C66DB" w:rsidP="008C66DB">
      <w:pPr>
        <w:pStyle w:val="Nagwek4"/>
        <w:rPr>
          <w:rFonts w:asciiTheme="minorHAnsi" w:hAnsiTheme="minorHAnsi"/>
        </w:rPr>
      </w:pPr>
      <w:r w:rsidRPr="00A23FB4">
        <w:rPr>
          <w:rFonts w:asciiTheme="minorHAnsi" w:hAnsiTheme="minorHAnsi"/>
        </w:rPr>
        <w:t>8.2. Odbiór robót zanikających i ulegających  zakryciu</w:t>
      </w:r>
    </w:p>
    <w:p w14:paraId="5A37E635" w14:textId="77777777" w:rsidR="008C66DB" w:rsidRPr="00A23FB4" w:rsidRDefault="008C66DB" w:rsidP="008C66DB">
      <w:pPr>
        <w:numPr>
          <w:ilvl w:val="12"/>
          <w:numId w:val="0"/>
        </w:numPr>
        <w:rPr>
          <w:rFonts w:asciiTheme="minorHAnsi" w:hAnsiTheme="minorHAnsi"/>
        </w:rPr>
      </w:pPr>
      <w:r w:rsidRPr="00A23FB4">
        <w:rPr>
          <w:rFonts w:asciiTheme="minorHAnsi" w:hAnsiTheme="minorHAnsi"/>
        </w:rPr>
        <w:t>Odbiorowi robót zanikających i ulegających zakryciu podlegają:</w:t>
      </w:r>
    </w:p>
    <w:p w14:paraId="3942C0C8" w14:textId="77777777" w:rsidR="007E56C9" w:rsidRDefault="008C66DB" w:rsidP="00262498">
      <w:pPr>
        <w:pStyle w:val="Akapitzlist"/>
        <w:numPr>
          <w:ilvl w:val="0"/>
          <w:numId w:val="267"/>
        </w:numPr>
        <w:rPr>
          <w:rFonts w:asciiTheme="minorHAnsi" w:hAnsiTheme="minorHAnsi"/>
        </w:rPr>
      </w:pPr>
      <w:r w:rsidRPr="007E56C9">
        <w:rPr>
          <w:rFonts w:asciiTheme="minorHAnsi" w:hAnsiTheme="minorHAnsi"/>
        </w:rPr>
        <w:t>przygotowanie podłoża,</w:t>
      </w:r>
    </w:p>
    <w:p w14:paraId="5FF7382D" w14:textId="77777777" w:rsidR="007E56C9" w:rsidRDefault="008C66DB" w:rsidP="00262498">
      <w:pPr>
        <w:pStyle w:val="Akapitzlist"/>
        <w:numPr>
          <w:ilvl w:val="0"/>
          <w:numId w:val="267"/>
        </w:numPr>
        <w:rPr>
          <w:rFonts w:asciiTheme="minorHAnsi" w:hAnsiTheme="minorHAnsi"/>
        </w:rPr>
      </w:pPr>
      <w:r w:rsidRPr="007E56C9">
        <w:rPr>
          <w:rFonts w:asciiTheme="minorHAnsi" w:hAnsiTheme="minorHAnsi"/>
        </w:rPr>
        <w:t>ewentualnie wykonanie podbudowy,</w:t>
      </w:r>
    </w:p>
    <w:p w14:paraId="51419EFE" w14:textId="77777777" w:rsidR="007E56C9" w:rsidRDefault="008C66DB" w:rsidP="00262498">
      <w:pPr>
        <w:pStyle w:val="Akapitzlist"/>
        <w:numPr>
          <w:ilvl w:val="0"/>
          <w:numId w:val="267"/>
        </w:numPr>
        <w:rPr>
          <w:rFonts w:asciiTheme="minorHAnsi" w:hAnsiTheme="minorHAnsi"/>
        </w:rPr>
      </w:pPr>
      <w:r w:rsidRPr="007E56C9">
        <w:rPr>
          <w:rFonts w:asciiTheme="minorHAnsi" w:hAnsiTheme="minorHAnsi"/>
        </w:rPr>
        <w:t>wykonanie podsypki,</w:t>
      </w:r>
    </w:p>
    <w:p w14:paraId="7A18AF68" w14:textId="54C63EF2" w:rsidR="008C66DB" w:rsidRPr="007E56C9" w:rsidRDefault="008C66DB" w:rsidP="007E56C9">
      <w:pPr>
        <w:rPr>
          <w:rFonts w:asciiTheme="minorHAnsi" w:hAnsiTheme="minorHAnsi"/>
        </w:rPr>
      </w:pPr>
      <w:r w:rsidRPr="007E56C9">
        <w:rPr>
          <w:rFonts w:asciiTheme="minorHAnsi" w:hAnsiTheme="minorHAnsi"/>
        </w:rPr>
        <w:t>.</w:t>
      </w:r>
    </w:p>
    <w:p w14:paraId="200E2A2F" w14:textId="77777777" w:rsidR="008C66DB" w:rsidRPr="00A23FB4" w:rsidRDefault="008C66DB" w:rsidP="008C66DB">
      <w:pPr>
        <w:numPr>
          <w:ilvl w:val="12"/>
          <w:numId w:val="0"/>
        </w:numPr>
        <w:rPr>
          <w:rFonts w:asciiTheme="minorHAnsi" w:hAnsiTheme="minorHAnsi"/>
        </w:rPr>
      </w:pPr>
      <w:r w:rsidRPr="00A23FB4">
        <w:rPr>
          <w:rFonts w:asciiTheme="minorHAnsi" w:hAnsiTheme="minorHAnsi"/>
        </w:rPr>
        <w:t>Zasady ich odbioru są określone w D-M-00.00.00 „Wymagania ogólne”.</w:t>
      </w:r>
    </w:p>
    <w:p w14:paraId="5A751B39" w14:textId="77777777" w:rsidR="008C66DB" w:rsidRPr="00A23FB4" w:rsidRDefault="008C66DB" w:rsidP="008C66DB">
      <w:pPr>
        <w:rPr>
          <w:rFonts w:asciiTheme="minorHAnsi" w:hAnsiTheme="minorHAnsi"/>
          <w:b/>
        </w:rPr>
      </w:pPr>
      <w:bookmarkStart w:id="695" w:name="_Toc107903223"/>
    </w:p>
    <w:p w14:paraId="59A244DA" w14:textId="77777777" w:rsidR="008C66DB" w:rsidRPr="00A23FB4" w:rsidRDefault="008C66DB" w:rsidP="008C66DB">
      <w:pPr>
        <w:rPr>
          <w:rFonts w:asciiTheme="minorHAnsi" w:hAnsiTheme="minorHAnsi"/>
          <w:b/>
        </w:rPr>
      </w:pPr>
      <w:r w:rsidRPr="00A23FB4">
        <w:rPr>
          <w:rFonts w:asciiTheme="minorHAnsi" w:hAnsiTheme="minorHAnsi"/>
          <w:b/>
        </w:rPr>
        <w:t>9. PODSTAWA PŁATNOŚCI</w:t>
      </w:r>
      <w:bookmarkEnd w:id="695"/>
    </w:p>
    <w:p w14:paraId="34056A54" w14:textId="77777777" w:rsidR="007E56C9" w:rsidRDefault="007E56C9" w:rsidP="008C66DB">
      <w:pPr>
        <w:numPr>
          <w:ilvl w:val="12"/>
          <w:numId w:val="0"/>
        </w:numPr>
        <w:rPr>
          <w:rFonts w:asciiTheme="minorHAnsi" w:hAnsiTheme="minorHAnsi"/>
        </w:rPr>
      </w:pPr>
    </w:p>
    <w:p w14:paraId="29CDCD59" w14:textId="1E4E1196" w:rsidR="007E56C9" w:rsidRDefault="007E56C9" w:rsidP="008C66DB">
      <w:pPr>
        <w:numPr>
          <w:ilvl w:val="12"/>
          <w:numId w:val="0"/>
        </w:numPr>
        <w:rPr>
          <w:rFonts w:asciiTheme="minorHAnsi" w:hAnsiTheme="minorHAnsi"/>
        </w:rPr>
      </w:pPr>
      <w:r>
        <w:rPr>
          <w:rFonts w:asciiTheme="minorHAnsi" w:hAnsiTheme="minorHAnsi"/>
        </w:rPr>
        <w:t>Kontrakt ryczałtowy</w:t>
      </w:r>
    </w:p>
    <w:p w14:paraId="293AEE8A" w14:textId="5D7D4506" w:rsidR="008C66DB" w:rsidRPr="00A23FB4" w:rsidRDefault="008C66DB" w:rsidP="008C66DB">
      <w:pPr>
        <w:numPr>
          <w:ilvl w:val="12"/>
          <w:numId w:val="0"/>
        </w:numPr>
        <w:rPr>
          <w:rFonts w:asciiTheme="minorHAnsi" w:hAnsiTheme="minorHAnsi"/>
        </w:rPr>
      </w:pPr>
      <w:r w:rsidRPr="00A23FB4">
        <w:rPr>
          <w:rFonts w:asciiTheme="minorHAnsi" w:hAnsiTheme="minorHAnsi"/>
        </w:rPr>
        <w:t xml:space="preserve">Ogólne ustalenia dotyczące podstawy płatności podano w </w:t>
      </w:r>
      <w:r w:rsidR="00C006BE">
        <w:rPr>
          <w:rFonts w:asciiTheme="minorHAnsi" w:hAnsiTheme="minorHAnsi"/>
        </w:rPr>
        <w:t>ST</w:t>
      </w:r>
      <w:r w:rsidRPr="00A23FB4">
        <w:rPr>
          <w:rFonts w:asciiTheme="minorHAnsi" w:hAnsiTheme="minorHAnsi"/>
        </w:rPr>
        <w:t>WiORB D-M-00.00.00 „Wymagania ogólne” pkt 9.</w:t>
      </w:r>
    </w:p>
    <w:p w14:paraId="01CB78D2" w14:textId="77777777" w:rsidR="008C66DB" w:rsidRPr="00A23FB4" w:rsidRDefault="008C66DB" w:rsidP="008C66DB">
      <w:pPr>
        <w:rPr>
          <w:rFonts w:asciiTheme="minorHAnsi" w:hAnsiTheme="minorHAnsi"/>
          <w:b/>
        </w:rPr>
      </w:pPr>
      <w:bookmarkStart w:id="696" w:name="_Toc107903224"/>
    </w:p>
    <w:p w14:paraId="75E6D3B9" w14:textId="77777777" w:rsidR="008C66DB" w:rsidRPr="00A23FB4" w:rsidRDefault="008C66DB" w:rsidP="008C66DB">
      <w:pPr>
        <w:rPr>
          <w:rFonts w:asciiTheme="minorHAnsi" w:hAnsiTheme="minorHAnsi"/>
          <w:b/>
        </w:rPr>
      </w:pPr>
      <w:r w:rsidRPr="00A23FB4">
        <w:rPr>
          <w:rFonts w:asciiTheme="minorHAnsi" w:hAnsiTheme="minorHAnsi"/>
          <w:b/>
        </w:rPr>
        <w:t>10. PRZEPISY ZWIĄZANE</w:t>
      </w:r>
      <w:bookmarkEnd w:id="696"/>
    </w:p>
    <w:p w14:paraId="33554C55" w14:textId="77777777" w:rsidR="008C66DB" w:rsidRPr="00A23FB4" w:rsidRDefault="008C66DB" w:rsidP="008C66DB">
      <w:pPr>
        <w:rPr>
          <w:rFonts w:asciiTheme="minorHAnsi" w:hAnsiTheme="minorHAnsi"/>
          <w:b/>
        </w:rPr>
      </w:pPr>
      <w:r w:rsidRPr="00A23FB4">
        <w:rPr>
          <w:rFonts w:asciiTheme="minorHAnsi" w:hAnsiTheme="minorHAnsi"/>
          <w:b/>
        </w:rPr>
        <w:t>Normy</w:t>
      </w:r>
    </w:p>
    <w:tbl>
      <w:tblPr>
        <w:tblW w:w="0" w:type="auto"/>
        <w:tblLayout w:type="fixed"/>
        <w:tblCellMar>
          <w:left w:w="70" w:type="dxa"/>
          <w:right w:w="70" w:type="dxa"/>
        </w:tblCellMar>
        <w:tblLook w:val="0000" w:firstRow="0" w:lastRow="0" w:firstColumn="0" w:lastColumn="0" w:noHBand="0" w:noVBand="0"/>
      </w:tblPr>
      <w:tblGrid>
        <w:gridCol w:w="496"/>
        <w:gridCol w:w="1701"/>
        <w:gridCol w:w="7582"/>
      </w:tblGrid>
      <w:tr w:rsidR="008C66DB" w:rsidRPr="00A23FB4" w14:paraId="0094FAC8" w14:textId="77777777" w:rsidTr="008C66DB">
        <w:tc>
          <w:tcPr>
            <w:tcW w:w="496" w:type="dxa"/>
          </w:tcPr>
          <w:p w14:paraId="6A5E277A" w14:textId="77777777" w:rsidR="008C66DB" w:rsidRPr="00B93A39" w:rsidRDefault="008C66DB" w:rsidP="008C66DB">
            <w:pPr>
              <w:rPr>
                <w:rFonts w:asciiTheme="minorHAnsi" w:hAnsiTheme="minorHAnsi"/>
                <w:sz w:val="18"/>
                <w:szCs w:val="18"/>
              </w:rPr>
            </w:pPr>
            <w:r w:rsidRPr="00B93A39">
              <w:rPr>
                <w:rFonts w:asciiTheme="minorHAnsi" w:hAnsiTheme="minorHAnsi"/>
                <w:sz w:val="18"/>
                <w:szCs w:val="18"/>
              </w:rPr>
              <w:t>1.</w:t>
            </w:r>
          </w:p>
        </w:tc>
        <w:tc>
          <w:tcPr>
            <w:tcW w:w="1701" w:type="dxa"/>
          </w:tcPr>
          <w:p w14:paraId="391D61EA" w14:textId="77777777" w:rsidR="008C66DB" w:rsidRPr="00B93A39" w:rsidRDefault="008C66DB" w:rsidP="008C66DB">
            <w:pPr>
              <w:rPr>
                <w:rFonts w:asciiTheme="minorHAnsi" w:hAnsiTheme="minorHAnsi"/>
                <w:sz w:val="18"/>
                <w:szCs w:val="18"/>
              </w:rPr>
            </w:pPr>
            <w:r w:rsidRPr="00B93A39">
              <w:rPr>
                <w:rFonts w:asciiTheme="minorHAnsi" w:hAnsiTheme="minorHAnsi"/>
                <w:sz w:val="18"/>
                <w:szCs w:val="18"/>
              </w:rPr>
              <w:t>PN-B-04111:1984</w:t>
            </w:r>
          </w:p>
        </w:tc>
        <w:tc>
          <w:tcPr>
            <w:tcW w:w="7582" w:type="dxa"/>
          </w:tcPr>
          <w:p w14:paraId="37422BBE" w14:textId="77777777" w:rsidR="008C66DB" w:rsidRPr="00B93A39" w:rsidRDefault="008C66DB" w:rsidP="008C66DB">
            <w:pPr>
              <w:rPr>
                <w:rFonts w:asciiTheme="minorHAnsi" w:hAnsiTheme="minorHAnsi"/>
                <w:sz w:val="18"/>
                <w:szCs w:val="18"/>
              </w:rPr>
            </w:pPr>
            <w:r w:rsidRPr="00B93A39">
              <w:rPr>
                <w:rFonts w:asciiTheme="minorHAnsi" w:hAnsiTheme="minorHAnsi"/>
                <w:sz w:val="18"/>
                <w:szCs w:val="18"/>
              </w:rPr>
              <w:t>Materiały kamienne. Oznaczenie ścieralności na tarczy Boehmego</w:t>
            </w:r>
          </w:p>
        </w:tc>
      </w:tr>
      <w:tr w:rsidR="008C66DB" w:rsidRPr="00A23FB4" w14:paraId="7FDC781D" w14:textId="77777777" w:rsidTr="008C66DB">
        <w:tc>
          <w:tcPr>
            <w:tcW w:w="496" w:type="dxa"/>
          </w:tcPr>
          <w:p w14:paraId="6E658D91" w14:textId="77777777" w:rsidR="008C66DB" w:rsidRPr="00B93A39" w:rsidRDefault="008C66DB" w:rsidP="008C66DB">
            <w:pPr>
              <w:rPr>
                <w:rFonts w:asciiTheme="minorHAnsi" w:hAnsiTheme="minorHAnsi"/>
                <w:sz w:val="18"/>
                <w:szCs w:val="18"/>
              </w:rPr>
            </w:pPr>
            <w:r w:rsidRPr="00B93A39">
              <w:rPr>
                <w:rFonts w:asciiTheme="minorHAnsi" w:hAnsiTheme="minorHAnsi"/>
                <w:sz w:val="18"/>
                <w:szCs w:val="18"/>
              </w:rPr>
              <w:t>2.</w:t>
            </w:r>
          </w:p>
        </w:tc>
        <w:tc>
          <w:tcPr>
            <w:tcW w:w="1701" w:type="dxa"/>
          </w:tcPr>
          <w:p w14:paraId="48F4D562" w14:textId="77777777" w:rsidR="008C66DB" w:rsidRPr="00B93A39" w:rsidRDefault="008C66DB" w:rsidP="008C66DB">
            <w:pPr>
              <w:rPr>
                <w:rFonts w:asciiTheme="minorHAnsi" w:hAnsiTheme="minorHAnsi"/>
                <w:sz w:val="18"/>
                <w:szCs w:val="18"/>
              </w:rPr>
            </w:pPr>
            <w:r w:rsidRPr="00B93A39">
              <w:rPr>
                <w:rFonts w:asciiTheme="minorHAnsi" w:hAnsiTheme="minorHAnsi"/>
                <w:sz w:val="18"/>
                <w:szCs w:val="18"/>
              </w:rPr>
              <w:t>PN-B-06250:1988</w:t>
            </w:r>
          </w:p>
        </w:tc>
        <w:tc>
          <w:tcPr>
            <w:tcW w:w="7582" w:type="dxa"/>
          </w:tcPr>
          <w:p w14:paraId="73AAF095" w14:textId="77777777" w:rsidR="008C66DB" w:rsidRPr="00B93A39" w:rsidRDefault="008C66DB" w:rsidP="008C66DB">
            <w:pPr>
              <w:rPr>
                <w:rFonts w:asciiTheme="minorHAnsi" w:hAnsiTheme="minorHAnsi"/>
                <w:sz w:val="18"/>
                <w:szCs w:val="18"/>
              </w:rPr>
            </w:pPr>
            <w:r w:rsidRPr="00B93A39">
              <w:rPr>
                <w:rFonts w:asciiTheme="minorHAnsi" w:hAnsiTheme="minorHAnsi"/>
                <w:sz w:val="18"/>
                <w:szCs w:val="18"/>
              </w:rPr>
              <w:t>Beton zwykły</w:t>
            </w:r>
          </w:p>
        </w:tc>
      </w:tr>
      <w:tr w:rsidR="008C66DB" w:rsidRPr="00A23FB4" w14:paraId="1F97D3D7" w14:textId="77777777" w:rsidTr="008C66DB">
        <w:tc>
          <w:tcPr>
            <w:tcW w:w="496" w:type="dxa"/>
          </w:tcPr>
          <w:p w14:paraId="47F8F7A1" w14:textId="77777777" w:rsidR="008C66DB" w:rsidRPr="00B93A39" w:rsidRDefault="008C66DB" w:rsidP="008C66DB">
            <w:pPr>
              <w:rPr>
                <w:rFonts w:asciiTheme="minorHAnsi" w:hAnsiTheme="minorHAnsi"/>
                <w:sz w:val="18"/>
                <w:szCs w:val="18"/>
              </w:rPr>
            </w:pPr>
            <w:r w:rsidRPr="00B93A39">
              <w:rPr>
                <w:rFonts w:asciiTheme="minorHAnsi" w:hAnsiTheme="minorHAnsi"/>
                <w:sz w:val="18"/>
                <w:szCs w:val="18"/>
              </w:rPr>
              <w:t>3.</w:t>
            </w:r>
          </w:p>
        </w:tc>
        <w:tc>
          <w:tcPr>
            <w:tcW w:w="1701" w:type="dxa"/>
          </w:tcPr>
          <w:p w14:paraId="3540C883" w14:textId="77777777" w:rsidR="008C66DB" w:rsidRPr="00B93A39" w:rsidRDefault="008C66DB" w:rsidP="008C66DB">
            <w:pPr>
              <w:rPr>
                <w:rFonts w:asciiTheme="minorHAnsi" w:hAnsiTheme="minorHAnsi"/>
                <w:sz w:val="18"/>
                <w:szCs w:val="18"/>
              </w:rPr>
            </w:pPr>
            <w:r w:rsidRPr="00B93A39">
              <w:rPr>
                <w:rFonts w:asciiTheme="minorHAnsi" w:hAnsiTheme="minorHAnsi"/>
                <w:sz w:val="18"/>
                <w:szCs w:val="18"/>
              </w:rPr>
              <w:t>PN-B-06712:1986</w:t>
            </w:r>
          </w:p>
        </w:tc>
        <w:tc>
          <w:tcPr>
            <w:tcW w:w="7582" w:type="dxa"/>
          </w:tcPr>
          <w:p w14:paraId="11590815" w14:textId="77777777" w:rsidR="008C66DB" w:rsidRPr="00B93A39" w:rsidRDefault="008C66DB" w:rsidP="008C66DB">
            <w:pPr>
              <w:rPr>
                <w:rFonts w:asciiTheme="minorHAnsi" w:hAnsiTheme="minorHAnsi"/>
                <w:sz w:val="18"/>
                <w:szCs w:val="18"/>
              </w:rPr>
            </w:pPr>
            <w:r w:rsidRPr="00B93A39">
              <w:rPr>
                <w:rFonts w:asciiTheme="minorHAnsi" w:hAnsiTheme="minorHAnsi"/>
                <w:sz w:val="18"/>
                <w:szCs w:val="18"/>
              </w:rPr>
              <w:t>Kruszywa mineralne do betonu zwykłego</w:t>
            </w:r>
          </w:p>
        </w:tc>
      </w:tr>
      <w:tr w:rsidR="008C66DB" w:rsidRPr="00A23FB4" w14:paraId="2BDD2524" w14:textId="77777777" w:rsidTr="008C66DB">
        <w:tc>
          <w:tcPr>
            <w:tcW w:w="496" w:type="dxa"/>
          </w:tcPr>
          <w:p w14:paraId="1EA69A27" w14:textId="77777777" w:rsidR="008C66DB" w:rsidRPr="00B93A39" w:rsidRDefault="008C66DB" w:rsidP="008C66DB">
            <w:pPr>
              <w:rPr>
                <w:rFonts w:asciiTheme="minorHAnsi" w:hAnsiTheme="minorHAnsi"/>
                <w:sz w:val="18"/>
                <w:szCs w:val="18"/>
                <w:lang w:val="en-US"/>
              </w:rPr>
            </w:pPr>
            <w:r w:rsidRPr="00B93A39">
              <w:rPr>
                <w:rFonts w:asciiTheme="minorHAnsi" w:hAnsiTheme="minorHAnsi"/>
                <w:sz w:val="18"/>
                <w:szCs w:val="18"/>
                <w:lang w:val="en-US"/>
              </w:rPr>
              <w:t>4.</w:t>
            </w:r>
          </w:p>
        </w:tc>
        <w:tc>
          <w:tcPr>
            <w:tcW w:w="1701" w:type="dxa"/>
          </w:tcPr>
          <w:p w14:paraId="787482BC" w14:textId="77777777" w:rsidR="008C66DB" w:rsidRPr="00B93A39" w:rsidRDefault="008C66DB" w:rsidP="008C66DB">
            <w:pPr>
              <w:rPr>
                <w:rFonts w:asciiTheme="minorHAnsi" w:hAnsiTheme="minorHAnsi"/>
                <w:sz w:val="18"/>
                <w:szCs w:val="18"/>
                <w:lang w:val="en-US"/>
              </w:rPr>
            </w:pPr>
            <w:r w:rsidRPr="00B93A39">
              <w:rPr>
                <w:rFonts w:asciiTheme="minorHAnsi" w:hAnsiTheme="minorHAnsi"/>
                <w:sz w:val="18"/>
                <w:szCs w:val="18"/>
                <w:lang w:val="en-US"/>
              </w:rPr>
              <w:t>PN-B-197-1:2002</w:t>
            </w:r>
          </w:p>
        </w:tc>
        <w:tc>
          <w:tcPr>
            <w:tcW w:w="7582" w:type="dxa"/>
          </w:tcPr>
          <w:p w14:paraId="28C86BD2" w14:textId="77777777" w:rsidR="008C66DB" w:rsidRPr="00B93A39" w:rsidRDefault="008C66DB" w:rsidP="008C66DB">
            <w:pPr>
              <w:rPr>
                <w:rFonts w:asciiTheme="minorHAnsi" w:hAnsiTheme="minorHAnsi"/>
                <w:sz w:val="18"/>
                <w:szCs w:val="18"/>
              </w:rPr>
            </w:pPr>
            <w:r w:rsidRPr="00B93A39">
              <w:rPr>
                <w:rFonts w:asciiTheme="minorHAnsi" w:hAnsiTheme="minorHAnsi"/>
                <w:sz w:val="18"/>
                <w:szCs w:val="18"/>
              </w:rPr>
              <w:t>Cement. Część I. Skład, wymagania i kryteria zgodności dotyczące cementów powszechnego użytku</w:t>
            </w:r>
          </w:p>
        </w:tc>
      </w:tr>
      <w:tr w:rsidR="008C66DB" w:rsidRPr="00A23FB4" w14:paraId="16C7169A" w14:textId="77777777" w:rsidTr="008C66DB">
        <w:tc>
          <w:tcPr>
            <w:tcW w:w="496" w:type="dxa"/>
          </w:tcPr>
          <w:p w14:paraId="5DE6A55A" w14:textId="77777777" w:rsidR="008C66DB" w:rsidRPr="00B93A39" w:rsidRDefault="008C66DB" w:rsidP="008C66DB">
            <w:pPr>
              <w:rPr>
                <w:rFonts w:asciiTheme="minorHAnsi" w:hAnsiTheme="minorHAnsi"/>
                <w:sz w:val="18"/>
                <w:szCs w:val="18"/>
              </w:rPr>
            </w:pPr>
            <w:r w:rsidRPr="00B93A39">
              <w:rPr>
                <w:rFonts w:asciiTheme="minorHAnsi" w:hAnsiTheme="minorHAnsi"/>
                <w:sz w:val="18"/>
                <w:szCs w:val="18"/>
              </w:rPr>
              <w:t>5.</w:t>
            </w:r>
          </w:p>
        </w:tc>
        <w:tc>
          <w:tcPr>
            <w:tcW w:w="1701" w:type="dxa"/>
          </w:tcPr>
          <w:p w14:paraId="74624E46" w14:textId="77777777" w:rsidR="008C66DB" w:rsidRPr="00B93A39" w:rsidRDefault="008C66DB" w:rsidP="008C66DB">
            <w:pPr>
              <w:rPr>
                <w:rFonts w:asciiTheme="minorHAnsi" w:hAnsiTheme="minorHAnsi"/>
                <w:sz w:val="18"/>
                <w:szCs w:val="18"/>
              </w:rPr>
            </w:pPr>
            <w:r w:rsidRPr="00B93A39">
              <w:rPr>
                <w:rFonts w:asciiTheme="minorHAnsi" w:hAnsiTheme="minorHAnsi"/>
                <w:sz w:val="18"/>
                <w:szCs w:val="18"/>
              </w:rPr>
              <w:t>PN-B-32250:1988</w:t>
            </w:r>
          </w:p>
        </w:tc>
        <w:tc>
          <w:tcPr>
            <w:tcW w:w="7582" w:type="dxa"/>
          </w:tcPr>
          <w:p w14:paraId="7A61D8CC" w14:textId="77777777" w:rsidR="008C66DB" w:rsidRPr="00B93A39" w:rsidRDefault="008C66DB" w:rsidP="008C66DB">
            <w:pPr>
              <w:rPr>
                <w:rFonts w:asciiTheme="minorHAnsi" w:hAnsiTheme="minorHAnsi"/>
                <w:sz w:val="18"/>
                <w:szCs w:val="18"/>
              </w:rPr>
            </w:pPr>
            <w:r w:rsidRPr="00B93A39">
              <w:rPr>
                <w:rFonts w:asciiTheme="minorHAnsi" w:hAnsiTheme="minorHAnsi"/>
                <w:sz w:val="18"/>
                <w:szCs w:val="18"/>
              </w:rPr>
              <w:t>Materiały budowlane. Woda do betonów i zapraw</w:t>
            </w:r>
          </w:p>
        </w:tc>
      </w:tr>
      <w:tr w:rsidR="008C66DB" w:rsidRPr="00A23FB4" w14:paraId="0255F279" w14:textId="77777777" w:rsidTr="008C66DB">
        <w:tc>
          <w:tcPr>
            <w:tcW w:w="496" w:type="dxa"/>
          </w:tcPr>
          <w:p w14:paraId="6EBADB99" w14:textId="77777777" w:rsidR="008C66DB" w:rsidRPr="00B93A39" w:rsidRDefault="008C66DB" w:rsidP="008C66DB">
            <w:pPr>
              <w:rPr>
                <w:rFonts w:asciiTheme="minorHAnsi" w:hAnsiTheme="minorHAnsi"/>
                <w:sz w:val="18"/>
                <w:szCs w:val="18"/>
              </w:rPr>
            </w:pPr>
            <w:r w:rsidRPr="00B93A39">
              <w:rPr>
                <w:rFonts w:asciiTheme="minorHAnsi" w:hAnsiTheme="minorHAnsi"/>
                <w:sz w:val="18"/>
                <w:szCs w:val="18"/>
              </w:rPr>
              <w:t>6.</w:t>
            </w:r>
          </w:p>
        </w:tc>
        <w:tc>
          <w:tcPr>
            <w:tcW w:w="1701" w:type="dxa"/>
          </w:tcPr>
          <w:p w14:paraId="11876BA1" w14:textId="77777777" w:rsidR="008C66DB" w:rsidRPr="00B93A39" w:rsidRDefault="008C66DB" w:rsidP="008C66DB">
            <w:pPr>
              <w:rPr>
                <w:rFonts w:asciiTheme="minorHAnsi" w:hAnsiTheme="minorHAnsi"/>
                <w:sz w:val="18"/>
                <w:szCs w:val="18"/>
              </w:rPr>
            </w:pPr>
            <w:r w:rsidRPr="00B93A39">
              <w:rPr>
                <w:rFonts w:asciiTheme="minorHAnsi" w:hAnsiTheme="minorHAnsi"/>
                <w:sz w:val="18"/>
                <w:szCs w:val="18"/>
              </w:rPr>
              <w:t>BN-80/6775-03/04</w:t>
            </w:r>
          </w:p>
        </w:tc>
        <w:tc>
          <w:tcPr>
            <w:tcW w:w="7582" w:type="dxa"/>
          </w:tcPr>
          <w:p w14:paraId="1338BA76" w14:textId="77777777" w:rsidR="008C66DB" w:rsidRPr="00B93A39" w:rsidRDefault="008C66DB" w:rsidP="008C66DB">
            <w:pPr>
              <w:rPr>
                <w:rFonts w:asciiTheme="minorHAnsi" w:hAnsiTheme="minorHAnsi"/>
                <w:sz w:val="18"/>
                <w:szCs w:val="18"/>
              </w:rPr>
            </w:pPr>
            <w:r w:rsidRPr="00B93A39">
              <w:rPr>
                <w:rFonts w:asciiTheme="minorHAnsi" w:hAnsiTheme="minorHAnsi"/>
                <w:sz w:val="18"/>
                <w:szCs w:val="18"/>
              </w:rPr>
              <w:t>Prefabrykaty budowlane z betonu. Elementy nawierzchni dróg, ulic, parkingów i torowisk tramwajowych. Krawężniki i obrzeża</w:t>
            </w:r>
          </w:p>
        </w:tc>
      </w:tr>
      <w:tr w:rsidR="008C66DB" w:rsidRPr="00A23FB4" w14:paraId="728DA29C" w14:textId="77777777" w:rsidTr="008C66DB">
        <w:tc>
          <w:tcPr>
            <w:tcW w:w="496" w:type="dxa"/>
          </w:tcPr>
          <w:p w14:paraId="3643C8E0" w14:textId="77777777" w:rsidR="008C66DB" w:rsidRPr="00B93A39" w:rsidRDefault="008C66DB" w:rsidP="008C66DB">
            <w:pPr>
              <w:rPr>
                <w:rFonts w:asciiTheme="minorHAnsi" w:hAnsiTheme="minorHAnsi"/>
                <w:sz w:val="18"/>
                <w:szCs w:val="18"/>
              </w:rPr>
            </w:pPr>
            <w:r w:rsidRPr="00B93A39">
              <w:rPr>
                <w:rFonts w:asciiTheme="minorHAnsi" w:hAnsiTheme="minorHAnsi"/>
                <w:sz w:val="18"/>
                <w:szCs w:val="18"/>
              </w:rPr>
              <w:t>7.</w:t>
            </w:r>
          </w:p>
        </w:tc>
        <w:tc>
          <w:tcPr>
            <w:tcW w:w="1701" w:type="dxa"/>
          </w:tcPr>
          <w:p w14:paraId="617E06B4" w14:textId="77777777" w:rsidR="008C66DB" w:rsidRPr="00B93A39" w:rsidRDefault="008C66DB" w:rsidP="008C66DB">
            <w:pPr>
              <w:rPr>
                <w:rFonts w:asciiTheme="minorHAnsi" w:hAnsiTheme="minorHAnsi"/>
                <w:sz w:val="18"/>
                <w:szCs w:val="18"/>
              </w:rPr>
            </w:pPr>
            <w:r w:rsidRPr="00B93A39">
              <w:rPr>
                <w:rFonts w:asciiTheme="minorHAnsi" w:hAnsiTheme="minorHAnsi"/>
                <w:sz w:val="18"/>
                <w:szCs w:val="18"/>
              </w:rPr>
              <w:t>BN-68/8931-01</w:t>
            </w:r>
          </w:p>
        </w:tc>
        <w:tc>
          <w:tcPr>
            <w:tcW w:w="7582" w:type="dxa"/>
          </w:tcPr>
          <w:p w14:paraId="3AD40341" w14:textId="77777777" w:rsidR="008C66DB" w:rsidRPr="00B93A39" w:rsidRDefault="008C66DB" w:rsidP="008C66DB">
            <w:pPr>
              <w:rPr>
                <w:rFonts w:asciiTheme="minorHAnsi" w:hAnsiTheme="minorHAnsi"/>
                <w:sz w:val="18"/>
                <w:szCs w:val="18"/>
              </w:rPr>
            </w:pPr>
            <w:r w:rsidRPr="00B93A39">
              <w:rPr>
                <w:rFonts w:asciiTheme="minorHAnsi" w:hAnsiTheme="minorHAnsi"/>
                <w:sz w:val="18"/>
                <w:szCs w:val="18"/>
              </w:rPr>
              <w:t>Drogi samochodowe. Oznaczenie wskaźnika piaskowego</w:t>
            </w:r>
          </w:p>
        </w:tc>
      </w:tr>
      <w:tr w:rsidR="008C66DB" w:rsidRPr="00A23FB4" w14:paraId="786B7B19" w14:textId="77777777" w:rsidTr="008C66DB">
        <w:tc>
          <w:tcPr>
            <w:tcW w:w="496" w:type="dxa"/>
          </w:tcPr>
          <w:p w14:paraId="3EA43E3F" w14:textId="77777777" w:rsidR="008C66DB" w:rsidRPr="00B93A39" w:rsidRDefault="008C66DB" w:rsidP="008C66DB">
            <w:pPr>
              <w:rPr>
                <w:rFonts w:asciiTheme="minorHAnsi" w:hAnsiTheme="minorHAnsi"/>
                <w:sz w:val="18"/>
                <w:szCs w:val="18"/>
              </w:rPr>
            </w:pPr>
            <w:r w:rsidRPr="00B93A39">
              <w:rPr>
                <w:rFonts w:asciiTheme="minorHAnsi" w:hAnsiTheme="minorHAnsi"/>
                <w:sz w:val="18"/>
                <w:szCs w:val="18"/>
              </w:rPr>
              <w:t>8.</w:t>
            </w:r>
          </w:p>
        </w:tc>
        <w:tc>
          <w:tcPr>
            <w:tcW w:w="1701" w:type="dxa"/>
          </w:tcPr>
          <w:p w14:paraId="3DF4CF3A" w14:textId="77777777" w:rsidR="008C66DB" w:rsidRPr="00B93A39" w:rsidRDefault="008C66DB" w:rsidP="008C66DB">
            <w:pPr>
              <w:rPr>
                <w:rFonts w:asciiTheme="minorHAnsi" w:hAnsiTheme="minorHAnsi"/>
                <w:sz w:val="18"/>
                <w:szCs w:val="18"/>
              </w:rPr>
            </w:pPr>
            <w:r w:rsidRPr="00B93A39">
              <w:rPr>
                <w:rFonts w:asciiTheme="minorHAnsi" w:hAnsiTheme="minorHAnsi"/>
                <w:sz w:val="18"/>
                <w:szCs w:val="18"/>
              </w:rPr>
              <w:t>BN-68/8931-04</w:t>
            </w:r>
          </w:p>
        </w:tc>
        <w:tc>
          <w:tcPr>
            <w:tcW w:w="7582" w:type="dxa"/>
          </w:tcPr>
          <w:p w14:paraId="73BEC3D3" w14:textId="77777777" w:rsidR="008C66DB" w:rsidRPr="00B93A39" w:rsidRDefault="008C66DB" w:rsidP="008C66DB">
            <w:pPr>
              <w:rPr>
                <w:rFonts w:asciiTheme="minorHAnsi" w:hAnsiTheme="minorHAnsi"/>
                <w:sz w:val="18"/>
                <w:szCs w:val="18"/>
              </w:rPr>
            </w:pPr>
            <w:r w:rsidRPr="00B93A39">
              <w:rPr>
                <w:rFonts w:asciiTheme="minorHAnsi" w:hAnsiTheme="minorHAnsi"/>
                <w:sz w:val="18"/>
                <w:szCs w:val="18"/>
              </w:rPr>
              <w:t>Drogi samochodowe. Pomiar równości nawierzchni planografem i łatą.</w:t>
            </w:r>
          </w:p>
        </w:tc>
      </w:tr>
      <w:tr w:rsidR="008C66DB" w:rsidRPr="00A23FB4" w14:paraId="1EE8416B" w14:textId="77777777" w:rsidTr="00B93A39">
        <w:trPr>
          <w:trHeight w:val="66"/>
        </w:trPr>
        <w:tc>
          <w:tcPr>
            <w:tcW w:w="496" w:type="dxa"/>
          </w:tcPr>
          <w:p w14:paraId="4E5E5B41" w14:textId="77777777" w:rsidR="008C66DB" w:rsidRPr="00B93A39" w:rsidRDefault="008C66DB" w:rsidP="008C66DB">
            <w:pPr>
              <w:rPr>
                <w:rFonts w:asciiTheme="minorHAnsi" w:hAnsiTheme="minorHAnsi"/>
                <w:sz w:val="18"/>
                <w:szCs w:val="18"/>
              </w:rPr>
            </w:pPr>
            <w:r w:rsidRPr="00B93A39">
              <w:rPr>
                <w:rFonts w:asciiTheme="minorHAnsi" w:hAnsiTheme="minorHAnsi"/>
                <w:sz w:val="18"/>
                <w:szCs w:val="18"/>
              </w:rPr>
              <w:t>9.</w:t>
            </w:r>
          </w:p>
        </w:tc>
        <w:tc>
          <w:tcPr>
            <w:tcW w:w="1701" w:type="dxa"/>
          </w:tcPr>
          <w:p w14:paraId="14DF991E" w14:textId="77777777" w:rsidR="008C66DB" w:rsidRPr="00B93A39" w:rsidRDefault="008C66DB" w:rsidP="008C66DB">
            <w:pPr>
              <w:rPr>
                <w:rFonts w:asciiTheme="minorHAnsi" w:hAnsiTheme="minorHAnsi"/>
                <w:sz w:val="18"/>
                <w:szCs w:val="18"/>
              </w:rPr>
            </w:pPr>
            <w:r w:rsidRPr="00B93A39">
              <w:rPr>
                <w:rFonts w:asciiTheme="minorHAnsi" w:hAnsiTheme="minorHAnsi"/>
                <w:sz w:val="18"/>
                <w:szCs w:val="18"/>
              </w:rPr>
              <w:t xml:space="preserve">PN-EN 1338:2005  </w:t>
            </w:r>
          </w:p>
        </w:tc>
        <w:tc>
          <w:tcPr>
            <w:tcW w:w="7582" w:type="dxa"/>
          </w:tcPr>
          <w:p w14:paraId="6101D8D5" w14:textId="77777777" w:rsidR="008C66DB" w:rsidRPr="00B93A39" w:rsidRDefault="008C66DB" w:rsidP="008C66DB">
            <w:pPr>
              <w:rPr>
                <w:rFonts w:asciiTheme="minorHAnsi" w:hAnsiTheme="minorHAnsi"/>
                <w:sz w:val="18"/>
                <w:szCs w:val="18"/>
              </w:rPr>
            </w:pPr>
            <w:r w:rsidRPr="00B93A39">
              <w:rPr>
                <w:rFonts w:asciiTheme="minorHAnsi" w:hAnsiTheme="minorHAnsi"/>
                <w:sz w:val="18"/>
                <w:szCs w:val="18"/>
              </w:rPr>
              <w:t>Betonowa kostka brukowa</w:t>
            </w:r>
          </w:p>
        </w:tc>
      </w:tr>
    </w:tbl>
    <w:p w14:paraId="4F2257C6" w14:textId="77777777" w:rsidR="008C66DB" w:rsidRPr="00A23FB4" w:rsidRDefault="008C66DB" w:rsidP="008C66DB">
      <w:pPr>
        <w:overflowPunct/>
        <w:autoSpaceDE/>
        <w:autoSpaceDN/>
        <w:adjustRightInd/>
        <w:jc w:val="left"/>
        <w:textAlignment w:val="auto"/>
        <w:rPr>
          <w:rFonts w:asciiTheme="minorHAnsi" w:hAnsiTheme="minorHAnsi" w:cs="Calibri"/>
        </w:rPr>
      </w:pPr>
    </w:p>
    <w:p w14:paraId="31C0649C" w14:textId="343507C3" w:rsidR="004B718C" w:rsidRPr="00B93A39" w:rsidRDefault="008C66DB" w:rsidP="00B93A39">
      <w:pPr>
        <w:overflowPunct/>
        <w:autoSpaceDE/>
        <w:autoSpaceDN/>
        <w:adjustRightInd/>
        <w:jc w:val="left"/>
        <w:textAlignment w:val="auto"/>
        <w:rPr>
          <w:rFonts w:asciiTheme="minorHAnsi" w:hAnsiTheme="minorHAnsi" w:cs="Calibri"/>
        </w:rPr>
      </w:pPr>
      <w:r w:rsidRPr="00A23FB4">
        <w:rPr>
          <w:rFonts w:asciiTheme="minorHAnsi" w:hAnsiTheme="minorHAnsi" w:cs="Calibri"/>
        </w:rPr>
        <w:br w:type="page"/>
      </w:r>
      <w:bookmarkEnd w:id="556"/>
    </w:p>
    <w:p w14:paraId="4EF04881" w14:textId="4F45C7FE" w:rsidR="00C36810" w:rsidRPr="00C36810" w:rsidRDefault="00C36810" w:rsidP="00C36810">
      <w:pPr>
        <w:pStyle w:val="Nagowek1"/>
        <w:spacing w:before="0"/>
        <w:rPr>
          <w:sz w:val="18"/>
          <w:szCs w:val="18"/>
        </w:rPr>
      </w:pPr>
      <w:bookmarkStart w:id="697" w:name="_Hlk94615755"/>
      <w:bookmarkStart w:id="698" w:name="_Toc36548371"/>
      <w:bookmarkStart w:id="699" w:name="_Toc37147525"/>
      <w:bookmarkStart w:id="700" w:name="_Toc118465632"/>
      <w:bookmarkStart w:id="701" w:name="_Toc206275491"/>
      <w:r w:rsidRPr="00C36810">
        <w:rPr>
          <w:sz w:val="18"/>
          <w:szCs w:val="18"/>
        </w:rPr>
        <w:t xml:space="preserve">D.06.01.01 </w:t>
      </w:r>
      <w:bookmarkEnd w:id="697"/>
      <w:r w:rsidRPr="00C36810">
        <w:rPr>
          <w:sz w:val="18"/>
          <w:szCs w:val="18"/>
        </w:rPr>
        <w:t>UMOCNIENIE  POWIERZCHNIOWE  SKARP,  ROWÓW  I  ŚCIEKÓW</w:t>
      </w:r>
      <w:bookmarkEnd w:id="698"/>
      <w:bookmarkEnd w:id="699"/>
      <w:bookmarkEnd w:id="700"/>
      <w:bookmarkEnd w:id="701"/>
    </w:p>
    <w:p w14:paraId="731A66CF" w14:textId="77777777" w:rsidR="00C36810" w:rsidRPr="00C36810" w:rsidRDefault="00C36810" w:rsidP="00C36810">
      <w:pPr>
        <w:pStyle w:val="Nagwek3"/>
        <w:rPr>
          <w:rFonts w:asciiTheme="minorHAnsi" w:hAnsiTheme="minorHAnsi" w:cstheme="minorHAnsi"/>
          <w:sz w:val="18"/>
          <w:szCs w:val="18"/>
        </w:rPr>
      </w:pPr>
      <w:r w:rsidRPr="00C36810">
        <w:rPr>
          <w:rFonts w:asciiTheme="minorHAnsi" w:hAnsiTheme="minorHAnsi" w:cstheme="minorHAnsi"/>
          <w:sz w:val="18"/>
          <w:szCs w:val="18"/>
        </w:rPr>
        <w:t>1. WSTĘP</w:t>
      </w:r>
    </w:p>
    <w:p w14:paraId="56E70D42" w14:textId="55D2E77C" w:rsidR="00C36810" w:rsidRPr="00C36810" w:rsidRDefault="00C36810" w:rsidP="00C36810">
      <w:pPr>
        <w:pStyle w:val="Nagwek4"/>
        <w:rPr>
          <w:rFonts w:asciiTheme="minorHAnsi" w:hAnsiTheme="minorHAnsi" w:cstheme="minorHAnsi"/>
          <w:b w:val="0"/>
          <w:sz w:val="18"/>
          <w:szCs w:val="18"/>
        </w:rPr>
      </w:pPr>
      <w:r w:rsidRPr="00C36810">
        <w:rPr>
          <w:rStyle w:val="Nagwek4Znak"/>
          <w:rFonts w:asciiTheme="minorHAnsi" w:hAnsiTheme="minorHAnsi" w:cstheme="minorHAnsi"/>
          <w:iCs/>
          <w:sz w:val="18"/>
          <w:szCs w:val="18"/>
        </w:rPr>
        <w:t>1.</w:t>
      </w:r>
      <w:r w:rsidRPr="00C006BE">
        <w:rPr>
          <w:rFonts w:asciiTheme="minorHAnsi" w:hAnsiTheme="minorHAnsi" w:cstheme="minorHAnsi"/>
          <w:bCs w:val="0"/>
          <w:sz w:val="18"/>
          <w:szCs w:val="18"/>
        </w:rPr>
        <w:t>1 Przedmiot</w:t>
      </w:r>
      <w:r w:rsidR="00C006BE" w:rsidRPr="00C006BE">
        <w:rPr>
          <w:rFonts w:asciiTheme="minorHAnsi" w:hAnsiTheme="minorHAnsi" w:cstheme="minorHAnsi"/>
          <w:bCs w:val="0"/>
          <w:sz w:val="18"/>
          <w:szCs w:val="18"/>
        </w:rPr>
        <w:t xml:space="preserve"> ST</w:t>
      </w:r>
      <w:r w:rsidR="00307E20" w:rsidRPr="00C006BE">
        <w:rPr>
          <w:rFonts w:asciiTheme="minorHAnsi" w:hAnsiTheme="minorHAnsi" w:cstheme="minorHAnsi"/>
          <w:bCs w:val="0"/>
          <w:sz w:val="18"/>
          <w:szCs w:val="18"/>
        </w:rPr>
        <w:t>WIORB</w:t>
      </w:r>
      <w:r w:rsidRPr="00C36810">
        <w:rPr>
          <w:rFonts w:asciiTheme="minorHAnsi" w:hAnsiTheme="minorHAnsi" w:cstheme="minorHAnsi"/>
          <w:b w:val="0"/>
          <w:sz w:val="18"/>
          <w:szCs w:val="18"/>
        </w:rPr>
        <w:t xml:space="preserve"> </w:t>
      </w:r>
    </w:p>
    <w:p w14:paraId="47DDFC03" w14:textId="77777777" w:rsidR="007E56C9" w:rsidRDefault="00C36810" w:rsidP="00C36810">
      <w:pPr>
        <w:rPr>
          <w:rFonts w:asciiTheme="minorHAnsi" w:hAnsiTheme="minorHAnsi" w:cstheme="minorHAnsi"/>
          <w:bCs/>
          <w:sz w:val="18"/>
          <w:szCs w:val="18"/>
        </w:rPr>
      </w:pPr>
      <w:r w:rsidRPr="00C36810">
        <w:rPr>
          <w:rFonts w:asciiTheme="minorHAnsi" w:hAnsiTheme="minorHAnsi" w:cstheme="minorHAnsi"/>
          <w:bCs/>
          <w:sz w:val="18"/>
          <w:szCs w:val="18"/>
        </w:rPr>
        <w:t>Przedmiotem niniejszej Specyfikacji Technicznej Wykonania i Odbioru Robót Budowlanych są wymagania dotyczące wykonania i odbioru związanych z wykonywaniem związanych z przeciwerozyjnym umocnieniem powierzchniowym skarp, rowów i ścieków,</w:t>
      </w:r>
    </w:p>
    <w:p w14:paraId="6E21E3E1" w14:textId="05AC32A0" w:rsidR="007E56C9" w:rsidRPr="00A23FB4" w:rsidRDefault="00C36810" w:rsidP="007E56C9">
      <w:pPr>
        <w:pStyle w:val="Nagwek4"/>
        <w:rPr>
          <w:rFonts w:asciiTheme="minorHAnsi" w:hAnsiTheme="minorHAnsi"/>
        </w:rPr>
      </w:pPr>
      <w:r w:rsidRPr="00C36810">
        <w:rPr>
          <w:rFonts w:asciiTheme="minorHAnsi" w:hAnsiTheme="minorHAnsi" w:cstheme="minorHAnsi"/>
          <w:sz w:val="18"/>
          <w:szCs w:val="18"/>
        </w:rPr>
        <w:t>.</w:t>
      </w:r>
      <w:r w:rsidR="007E56C9" w:rsidRPr="007E56C9">
        <w:rPr>
          <w:rFonts w:asciiTheme="minorHAnsi" w:hAnsiTheme="minorHAnsi"/>
        </w:rPr>
        <w:t xml:space="preserve"> </w:t>
      </w:r>
      <w:r w:rsidR="007E56C9" w:rsidRPr="00A23FB4">
        <w:rPr>
          <w:rFonts w:asciiTheme="minorHAnsi" w:hAnsiTheme="minorHAnsi"/>
        </w:rPr>
        <w:t xml:space="preserve">1.2. Zakres stosowania </w:t>
      </w:r>
      <w:r w:rsidR="007E56C9">
        <w:rPr>
          <w:rFonts w:asciiTheme="minorHAnsi" w:hAnsiTheme="minorHAnsi"/>
        </w:rPr>
        <w:t>ST</w:t>
      </w:r>
      <w:r w:rsidR="007E56C9" w:rsidRPr="00A23FB4">
        <w:rPr>
          <w:rFonts w:asciiTheme="minorHAnsi" w:hAnsiTheme="minorHAnsi"/>
        </w:rPr>
        <w:t>WiORB</w:t>
      </w:r>
    </w:p>
    <w:p w14:paraId="2530177D" w14:textId="77777777" w:rsidR="007E56C9" w:rsidRPr="00A23FB4" w:rsidRDefault="007E56C9" w:rsidP="007E56C9">
      <w:pPr>
        <w:rPr>
          <w:rFonts w:asciiTheme="minorHAnsi" w:hAnsiTheme="minorHAnsi" w:cs="Calibri"/>
        </w:rPr>
      </w:pPr>
      <w:r>
        <w:rPr>
          <w:rFonts w:asciiTheme="minorHAnsi" w:hAnsiTheme="minorHAnsi" w:cs="Calibri"/>
        </w:rPr>
        <w:t>Specyfikacja</w:t>
      </w:r>
      <w:r w:rsidRPr="00A23FB4">
        <w:rPr>
          <w:rFonts w:asciiTheme="minorHAnsi" w:hAnsiTheme="minorHAnsi" w:cs="Calibri"/>
        </w:rPr>
        <w:t xml:space="preserve"> stanowi dokument kontraktowy przy realizacji  zadania</w:t>
      </w:r>
      <w:r w:rsidRPr="00A23FB4">
        <w:rPr>
          <w:rFonts w:asciiTheme="minorHAnsi" w:hAnsiTheme="minorHAnsi" w:cstheme="minorHAnsi"/>
          <w:bCs/>
        </w:rPr>
        <w:t xml:space="preserve"> </w:t>
      </w:r>
      <w:r>
        <w:rPr>
          <w:rFonts w:asciiTheme="minorHAnsi" w:hAnsiTheme="minorHAnsi" w:cstheme="minorHAnsi"/>
          <w:bCs/>
        </w:rPr>
        <w:t>„</w:t>
      </w:r>
      <w:r w:rsidRPr="00C006BE">
        <w:rPr>
          <w:rFonts w:asciiTheme="minorHAnsi" w:hAnsiTheme="minorHAnsi" w:cstheme="minorHAnsi"/>
          <w:bCs/>
        </w:rPr>
        <w:t>Rozbudowa ul. Wrocławskiej w ciągu drogi powiatowej w Tyńcu Małym wraz z rozbudową istniejącego skrzyżowania typu rondo na połączeniu dróg krajowych nr 35 i 35a oraz łącznika węzła Kobierzyce drogi S8e oraz infrastrukturą towarzyszącą w ramach zadania „Rozbudowa skrzyżowania typu rondo w ciągu DK35 koło m. Tyniec Mały usprawniająca skomunikowanie obszarów Podstrefy Wrocław – Kobierzyce TSSE EURO PARK WISŁOSAN”</w:t>
      </w:r>
      <w:r>
        <w:rPr>
          <w:rFonts w:asciiTheme="minorHAnsi" w:hAnsiTheme="minorHAnsi" w:cstheme="minorHAnsi"/>
          <w:bCs/>
        </w:rPr>
        <w:t>.</w:t>
      </w:r>
    </w:p>
    <w:p w14:paraId="3069F867" w14:textId="191323E5" w:rsidR="00C36810" w:rsidRPr="00C36810" w:rsidRDefault="00C36810" w:rsidP="00C36810">
      <w:pPr>
        <w:pStyle w:val="Nagwek4"/>
        <w:rPr>
          <w:rStyle w:val="Nagwek4Znak"/>
          <w:rFonts w:asciiTheme="minorHAnsi" w:hAnsiTheme="minorHAnsi" w:cstheme="minorHAnsi"/>
          <w:b/>
          <w:bCs/>
          <w:iCs/>
          <w:sz w:val="18"/>
          <w:szCs w:val="18"/>
        </w:rPr>
      </w:pPr>
      <w:r w:rsidRPr="00C36810">
        <w:rPr>
          <w:rStyle w:val="Nagwek4Znak"/>
          <w:rFonts w:asciiTheme="minorHAnsi" w:hAnsiTheme="minorHAnsi" w:cstheme="minorHAnsi"/>
          <w:b/>
          <w:bCs/>
          <w:iCs/>
          <w:sz w:val="18"/>
          <w:szCs w:val="18"/>
        </w:rPr>
        <w:t>1.3. Zakres robót objętych</w:t>
      </w:r>
      <w:r w:rsidR="00C006BE">
        <w:rPr>
          <w:rStyle w:val="Nagwek4Znak"/>
          <w:rFonts w:asciiTheme="minorHAnsi" w:hAnsiTheme="minorHAnsi" w:cstheme="minorHAnsi"/>
          <w:b/>
          <w:bCs/>
          <w:iCs/>
          <w:sz w:val="18"/>
          <w:szCs w:val="18"/>
        </w:rPr>
        <w:t xml:space="preserve"> ST</w:t>
      </w:r>
      <w:r w:rsidR="00307E20">
        <w:rPr>
          <w:rStyle w:val="Nagwek4Znak"/>
          <w:rFonts w:asciiTheme="minorHAnsi" w:hAnsiTheme="minorHAnsi" w:cstheme="minorHAnsi"/>
          <w:b/>
          <w:bCs/>
          <w:iCs/>
          <w:sz w:val="18"/>
          <w:szCs w:val="18"/>
        </w:rPr>
        <w:t>WIORB</w:t>
      </w:r>
    </w:p>
    <w:p w14:paraId="6C6B538B" w14:textId="77777777" w:rsidR="00C36810" w:rsidRPr="00C36810" w:rsidRDefault="00C36810" w:rsidP="00C36810">
      <w:pPr>
        <w:rPr>
          <w:rFonts w:asciiTheme="minorHAnsi" w:hAnsiTheme="minorHAnsi" w:cstheme="minorHAnsi"/>
          <w:sz w:val="18"/>
          <w:szCs w:val="18"/>
        </w:rPr>
      </w:pPr>
      <w:r w:rsidRPr="00C36810">
        <w:rPr>
          <w:rFonts w:asciiTheme="minorHAnsi" w:hAnsiTheme="minorHAnsi" w:cstheme="minorHAnsi"/>
          <w:sz w:val="18"/>
          <w:szCs w:val="18"/>
        </w:rPr>
        <w:t>Ustalenia zawarte w niniejszej specyfikacji dotyczą zasad prowadzenia robót związanych z trwałym powierzchniowym umocnieniem skarp, rowów i ścieków następującymi sposobami:</w:t>
      </w:r>
    </w:p>
    <w:p w14:paraId="6C70EA50" w14:textId="77777777" w:rsidR="00C36810" w:rsidRPr="00C36810" w:rsidRDefault="00C36810" w:rsidP="00262498">
      <w:pPr>
        <w:numPr>
          <w:ilvl w:val="0"/>
          <w:numId w:val="229"/>
        </w:numPr>
        <w:rPr>
          <w:rFonts w:asciiTheme="minorHAnsi" w:hAnsiTheme="minorHAnsi" w:cstheme="minorHAnsi"/>
          <w:b/>
          <w:sz w:val="18"/>
          <w:szCs w:val="18"/>
        </w:rPr>
      </w:pPr>
      <w:r w:rsidRPr="00C36810">
        <w:rPr>
          <w:rFonts w:asciiTheme="minorHAnsi" w:hAnsiTheme="minorHAnsi" w:cstheme="minorHAnsi"/>
          <w:sz w:val="18"/>
          <w:szCs w:val="18"/>
        </w:rPr>
        <w:t xml:space="preserve">humusowaniem, obsianiem; </w:t>
      </w:r>
    </w:p>
    <w:p w14:paraId="42D9F1C7" w14:textId="77777777" w:rsidR="00C36810" w:rsidRPr="00C36810" w:rsidRDefault="00C36810" w:rsidP="00262498">
      <w:pPr>
        <w:numPr>
          <w:ilvl w:val="0"/>
          <w:numId w:val="229"/>
        </w:numPr>
        <w:rPr>
          <w:rFonts w:asciiTheme="minorHAnsi" w:hAnsiTheme="minorHAnsi" w:cstheme="minorHAnsi"/>
          <w:b/>
          <w:sz w:val="18"/>
          <w:szCs w:val="18"/>
        </w:rPr>
      </w:pPr>
      <w:r w:rsidRPr="00C36810">
        <w:rPr>
          <w:rFonts w:asciiTheme="minorHAnsi" w:hAnsiTheme="minorHAnsi" w:cstheme="minorHAnsi"/>
          <w:sz w:val="18"/>
          <w:szCs w:val="18"/>
        </w:rPr>
        <w:t>brukowaniem;</w:t>
      </w:r>
    </w:p>
    <w:p w14:paraId="3E1D3CBB" w14:textId="77777777" w:rsidR="00C36810" w:rsidRPr="00C36810" w:rsidRDefault="00C36810" w:rsidP="00262498">
      <w:pPr>
        <w:numPr>
          <w:ilvl w:val="0"/>
          <w:numId w:val="229"/>
        </w:numPr>
        <w:rPr>
          <w:rFonts w:asciiTheme="minorHAnsi" w:hAnsiTheme="minorHAnsi" w:cstheme="minorHAnsi"/>
          <w:sz w:val="18"/>
          <w:szCs w:val="18"/>
        </w:rPr>
      </w:pPr>
      <w:r w:rsidRPr="00C36810">
        <w:rPr>
          <w:rFonts w:asciiTheme="minorHAnsi" w:hAnsiTheme="minorHAnsi" w:cstheme="minorHAnsi"/>
          <w:sz w:val="18"/>
          <w:szCs w:val="18"/>
        </w:rPr>
        <w:t>wykonaniem narzutu kamiennego</w:t>
      </w:r>
    </w:p>
    <w:p w14:paraId="02AF98D2" w14:textId="77777777" w:rsidR="00C36810" w:rsidRPr="00C36810" w:rsidRDefault="00C36810" w:rsidP="00262498">
      <w:pPr>
        <w:numPr>
          <w:ilvl w:val="0"/>
          <w:numId w:val="229"/>
        </w:numPr>
        <w:rPr>
          <w:rFonts w:asciiTheme="minorHAnsi" w:hAnsiTheme="minorHAnsi" w:cstheme="minorHAnsi"/>
          <w:b/>
          <w:sz w:val="18"/>
          <w:szCs w:val="18"/>
        </w:rPr>
      </w:pPr>
      <w:r w:rsidRPr="00C36810">
        <w:rPr>
          <w:rFonts w:asciiTheme="minorHAnsi" w:hAnsiTheme="minorHAnsi" w:cstheme="minorHAnsi"/>
          <w:sz w:val="18"/>
          <w:szCs w:val="18"/>
        </w:rPr>
        <w:t>zastosowaniem elementów prefabrykowanych (płyt ażurowych, korytek ściekowych, płyt betonowych);</w:t>
      </w:r>
    </w:p>
    <w:p w14:paraId="25865D53" w14:textId="77777777" w:rsidR="00C36810" w:rsidRPr="00C36810" w:rsidRDefault="00C36810" w:rsidP="00262498">
      <w:pPr>
        <w:numPr>
          <w:ilvl w:val="0"/>
          <w:numId w:val="229"/>
        </w:numPr>
        <w:rPr>
          <w:rFonts w:asciiTheme="minorHAnsi" w:hAnsiTheme="minorHAnsi" w:cstheme="minorHAnsi"/>
          <w:b/>
          <w:sz w:val="18"/>
          <w:szCs w:val="18"/>
        </w:rPr>
      </w:pPr>
      <w:r w:rsidRPr="00C36810">
        <w:rPr>
          <w:rFonts w:asciiTheme="minorHAnsi" w:hAnsiTheme="minorHAnsi" w:cstheme="minorHAnsi"/>
          <w:sz w:val="18"/>
          <w:szCs w:val="18"/>
        </w:rPr>
        <w:t>wykonaniem hydroobsiewu.</w:t>
      </w:r>
    </w:p>
    <w:p w14:paraId="2EB6F300" w14:textId="77777777" w:rsidR="00C36810" w:rsidRPr="00C36810" w:rsidRDefault="00C36810" w:rsidP="00C36810">
      <w:pPr>
        <w:pStyle w:val="Nagwek4"/>
        <w:rPr>
          <w:rFonts w:asciiTheme="minorHAnsi" w:hAnsiTheme="minorHAnsi" w:cstheme="minorHAnsi"/>
          <w:sz w:val="18"/>
          <w:szCs w:val="18"/>
        </w:rPr>
      </w:pPr>
      <w:r w:rsidRPr="00C36810">
        <w:rPr>
          <w:rFonts w:asciiTheme="minorHAnsi" w:hAnsiTheme="minorHAnsi" w:cstheme="minorHAnsi"/>
          <w:sz w:val="18"/>
          <w:szCs w:val="18"/>
        </w:rPr>
        <w:t>1.4. Określenia podstawowe</w:t>
      </w:r>
    </w:p>
    <w:p w14:paraId="3B951A2C" w14:textId="77777777" w:rsidR="00C36810" w:rsidRPr="00C36810" w:rsidRDefault="00C36810" w:rsidP="00C36810">
      <w:pPr>
        <w:rPr>
          <w:rFonts w:asciiTheme="minorHAnsi" w:hAnsiTheme="minorHAnsi" w:cstheme="minorHAnsi"/>
          <w:sz w:val="18"/>
          <w:szCs w:val="18"/>
        </w:rPr>
      </w:pPr>
      <w:r w:rsidRPr="00C36810">
        <w:rPr>
          <w:rFonts w:asciiTheme="minorHAnsi" w:hAnsiTheme="minorHAnsi" w:cstheme="minorHAnsi"/>
          <w:b/>
          <w:sz w:val="18"/>
          <w:szCs w:val="18"/>
        </w:rPr>
        <w:t xml:space="preserve">1.4.1. </w:t>
      </w:r>
      <w:r w:rsidRPr="00C36810">
        <w:rPr>
          <w:rFonts w:asciiTheme="minorHAnsi" w:hAnsiTheme="minorHAnsi" w:cstheme="minorHAnsi"/>
          <w:sz w:val="18"/>
          <w:szCs w:val="18"/>
        </w:rPr>
        <w:t>Rów - otwarty wykop, który zbiera i odprowadza wodę.</w:t>
      </w:r>
    </w:p>
    <w:p w14:paraId="6219D549" w14:textId="77777777" w:rsidR="00C36810" w:rsidRPr="00C36810" w:rsidRDefault="00C36810" w:rsidP="00C36810">
      <w:pPr>
        <w:spacing w:before="120"/>
        <w:rPr>
          <w:rFonts w:asciiTheme="minorHAnsi" w:hAnsiTheme="minorHAnsi" w:cstheme="minorHAnsi"/>
          <w:sz w:val="18"/>
          <w:szCs w:val="18"/>
        </w:rPr>
      </w:pPr>
      <w:r w:rsidRPr="00C36810">
        <w:rPr>
          <w:rFonts w:asciiTheme="minorHAnsi" w:hAnsiTheme="minorHAnsi" w:cstheme="minorHAnsi"/>
          <w:b/>
          <w:sz w:val="18"/>
          <w:szCs w:val="18"/>
        </w:rPr>
        <w:t xml:space="preserve">1.4.2. </w:t>
      </w:r>
      <w:r w:rsidRPr="00C36810">
        <w:rPr>
          <w:rFonts w:asciiTheme="minorHAnsi" w:hAnsiTheme="minorHAnsi" w:cstheme="minorHAnsi"/>
          <w:sz w:val="18"/>
          <w:szCs w:val="18"/>
        </w:rPr>
        <w:t>Ziemia urodzajna (humus) - ziemia roślinna zawierająca co najmniej 2% części organicznych.</w:t>
      </w:r>
    </w:p>
    <w:p w14:paraId="1418406B" w14:textId="77777777" w:rsidR="00C36810" w:rsidRPr="00C36810" w:rsidRDefault="00C36810" w:rsidP="00262498">
      <w:pPr>
        <w:pStyle w:val="Akapitzlist"/>
        <w:numPr>
          <w:ilvl w:val="2"/>
          <w:numId w:val="228"/>
        </w:numPr>
        <w:spacing w:before="120"/>
        <w:ind w:left="567" w:hanging="567"/>
        <w:rPr>
          <w:rFonts w:asciiTheme="minorHAnsi" w:hAnsiTheme="minorHAnsi" w:cstheme="minorHAnsi"/>
          <w:sz w:val="18"/>
          <w:szCs w:val="18"/>
        </w:rPr>
      </w:pPr>
      <w:r w:rsidRPr="00C36810">
        <w:rPr>
          <w:rFonts w:asciiTheme="minorHAnsi" w:hAnsiTheme="minorHAnsi" w:cstheme="minorHAnsi"/>
          <w:sz w:val="18"/>
          <w:szCs w:val="18"/>
        </w:rPr>
        <w:t>Humusowanie - zespół czynności przygotowujących powierzchnię gruntu do obudowy roślinnej, obejmujący dogęszczenie gruntu, rowkowanie, naniesienie ziemi urodzajnej z jej grabieniem (bronowaniem) i dogęszczeniem.</w:t>
      </w:r>
    </w:p>
    <w:p w14:paraId="016BF5C2" w14:textId="77777777" w:rsidR="00C36810" w:rsidRPr="00C36810" w:rsidRDefault="00C36810" w:rsidP="00262498">
      <w:pPr>
        <w:pStyle w:val="Akapitzlist"/>
        <w:numPr>
          <w:ilvl w:val="2"/>
          <w:numId w:val="228"/>
        </w:numPr>
        <w:spacing w:before="120"/>
        <w:ind w:left="567" w:hanging="567"/>
        <w:rPr>
          <w:rFonts w:asciiTheme="minorHAnsi" w:hAnsiTheme="minorHAnsi" w:cstheme="minorHAnsi"/>
          <w:sz w:val="18"/>
          <w:szCs w:val="18"/>
        </w:rPr>
      </w:pPr>
      <w:r w:rsidRPr="00C36810">
        <w:rPr>
          <w:rFonts w:asciiTheme="minorHAnsi" w:hAnsiTheme="minorHAnsi" w:cstheme="minorHAnsi"/>
          <w:sz w:val="18"/>
          <w:szCs w:val="18"/>
        </w:rPr>
        <w:t>Hydroobsiew - proces obejmujący nanoszenie hydromechaniczne mieszanek siewnych, środków użyźniających i emulsji przeciwerozyjnych w celu umocnienia biologicznego powierzchni gruntu.</w:t>
      </w:r>
    </w:p>
    <w:p w14:paraId="25BFBF63" w14:textId="77777777" w:rsidR="00C36810" w:rsidRPr="00C36810" w:rsidRDefault="00C36810" w:rsidP="00C36810">
      <w:pPr>
        <w:spacing w:before="120"/>
        <w:rPr>
          <w:rFonts w:asciiTheme="minorHAnsi" w:hAnsiTheme="minorHAnsi" w:cstheme="minorHAnsi"/>
          <w:sz w:val="18"/>
          <w:szCs w:val="18"/>
        </w:rPr>
      </w:pPr>
      <w:r w:rsidRPr="00C36810">
        <w:rPr>
          <w:rFonts w:asciiTheme="minorHAnsi" w:hAnsiTheme="minorHAnsi" w:cstheme="minorHAnsi"/>
          <w:b/>
          <w:sz w:val="18"/>
          <w:szCs w:val="18"/>
        </w:rPr>
        <w:t xml:space="preserve">1.4.5. </w:t>
      </w:r>
      <w:r w:rsidRPr="00C36810">
        <w:rPr>
          <w:rFonts w:asciiTheme="minorHAnsi" w:hAnsiTheme="minorHAnsi" w:cstheme="minorHAnsi"/>
          <w:sz w:val="18"/>
          <w:szCs w:val="18"/>
        </w:rPr>
        <w:t>Prefabrykat - element wykonany w zakładzie przemysłowym, który po zmontowaniu na budowie stanowi umocnienie rowu lub ścieku.</w:t>
      </w:r>
    </w:p>
    <w:p w14:paraId="481DFD60" w14:textId="77777777" w:rsidR="00C36810" w:rsidRPr="00C36810" w:rsidRDefault="00C36810" w:rsidP="00C36810">
      <w:pPr>
        <w:spacing w:before="120"/>
        <w:rPr>
          <w:rFonts w:asciiTheme="minorHAnsi" w:hAnsiTheme="minorHAnsi" w:cstheme="minorHAnsi"/>
          <w:sz w:val="18"/>
          <w:szCs w:val="18"/>
        </w:rPr>
      </w:pPr>
      <w:r w:rsidRPr="00C36810">
        <w:rPr>
          <w:rFonts w:asciiTheme="minorHAnsi" w:hAnsiTheme="minorHAnsi" w:cstheme="minorHAnsi"/>
          <w:b/>
          <w:sz w:val="18"/>
          <w:szCs w:val="18"/>
        </w:rPr>
        <w:t xml:space="preserve">1.4.6. </w:t>
      </w:r>
      <w:r w:rsidRPr="00C36810">
        <w:rPr>
          <w:rFonts w:asciiTheme="minorHAnsi" w:hAnsiTheme="minorHAnsi" w:cstheme="minorHAnsi"/>
          <w:sz w:val="18"/>
          <w:szCs w:val="18"/>
        </w:rPr>
        <w:t>Tymczasowa warstwa przeciwerozyjna - warstwa na powierzchni skarp, wykonana z płynnych osadów ściekowych, emulsji bitumicznych lub lateksowych, biowłókniny i geosyntetyków, doraźnie zabezpieczająca przed erozją powierzchniową do czasu przejęcia tej funkcji przez okrywę roślinną.</w:t>
      </w:r>
    </w:p>
    <w:p w14:paraId="418E2AFF" w14:textId="68A13439" w:rsidR="00C36810" w:rsidRPr="00C36810" w:rsidRDefault="00C36810" w:rsidP="00C36810">
      <w:pPr>
        <w:spacing w:before="120"/>
        <w:rPr>
          <w:rFonts w:asciiTheme="minorHAnsi" w:hAnsiTheme="minorHAnsi" w:cstheme="minorHAnsi"/>
          <w:sz w:val="18"/>
          <w:szCs w:val="18"/>
        </w:rPr>
      </w:pPr>
      <w:r w:rsidRPr="00C36810">
        <w:rPr>
          <w:rFonts w:asciiTheme="minorHAnsi" w:hAnsiTheme="minorHAnsi" w:cstheme="minorHAnsi"/>
          <w:b/>
          <w:sz w:val="18"/>
          <w:szCs w:val="18"/>
        </w:rPr>
        <w:t xml:space="preserve">1.4.7. </w:t>
      </w:r>
      <w:r w:rsidRPr="00C36810">
        <w:rPr>
          <w:rFonts w:asciiTheme="minorHAnsi" w:hAnsiTheme="minorHAnsi" w:cstheme="minorHAnsi"/>
          <w:sz w:val="18"/>
          <w:szCs w:val="18"/>
        </w:rPr>
        <w:t>Pozostałe określenia podstawowe są zgodne z odpowiednimi polskimi normami i z definicjami podanymi w</w:t>
      </w:r>
      <w:r w:rsidR="00C006BE">
        <w:rPr>
          <w:rFonts w:asciiTheme="minorHAnsi" w:hAnsiTheme="minorHAnsi" w:cstheme="minorHAnsi"/>
          <w:sz w:val="18"/>
          <w:szCs w:val="18"/>
        </w:rPr>
        <w:t xml:space="preserve"> ST</w:t>
      </w:r>
      <w:r w:rsidR="00307E20">
        <w:rPr>
          <w:rFonts w:asciiTheme="minorHAnsi" w:hAnsiTheme="minorHAnsi" w:cstheme="minorHAnsi"/>
          <w:sz w:val="18"/>
          <w:szCs w:val="18"/>
        </w:rPr>
        <w:t>WIORB</w:t>
      </w:r>
      <w:r w:rsidRPr="00C36810">
        <w:rPr>
          <w:rFonts w:asciiTheme="minorHAnsi" w:hAnsiTheme="minorHAnsi" w:cstheme="minorHAnsi"/>
          <w:sz w:val="18"/>
          <w:szCs w:val="18"/>
        </w:rPr>
        <w:t xml:space="preserve"> D-M-00.00.00 „Wymagania ogólne” pkt 1.4.</w:t>
      </w:r>
    </w:p>
    <w:p w14:paraId="06145600" w14:textId="77777777" w:rsidR="00C36810" w:rsidRPr="00C36810" w:rsidRDefault="00C36810" w:rsidP="00C36810">
      <w:pPr>
        <w:pStyle w:val="Nagwek4"/>
        <w:rPr>
          <w:rFonts w:asciiTheme="minorHAnsi" w:hAnsiTheme="minorHAnsi" w:cstheme="minorHAnsi"/>
          <w:sz w:val="18"/>
          <w:szCs w:val="18"/>
        </w:rPr>
      </w:pPr>
      <w:r w:rsidRPr="00C36810">
        <w:rPr>
          <w:rFonts w:asciiTheme="minorHAnsi" w:hAnsiTheme="minorHAnsi" w:cstheme="minorHAnsi"/>
          <w:sz w:val="18"/>
          <w:szCs w:val="18"/>
        </w:rPr>
        <w:t>1.5. Ogólne wymagania dotyczące robót</w:t>
      </w:r>
    </w:p>
    <w:p w14:paraId="5533FDEA" w14:textId="7C33480C" w:rsidR="00C36810" w:rsidRPr="00C36810" w:rsidRDefault="00C36810" w:rsidP="00C36810">
      <w:pPr>
        <w:rPr>
          <w:rFonts w:asciiTheme="minorHAnsi" w:hAnsiTheme="minorHAnsi" w:cstheme="minorHAnsi"/>
          <w:sz w:val="18"/>
          <w:szCs w:val="18"/>
        </w:rPr>
      </w:pPr>
      <w:r w:rsidRPr="00C36810">
        <w:rPr>
          <w:rFonts w:asciiTheme="minorHAnsi" w:hAnsiTheme="minorHAnsi" w:cstheme="minorHAnsi"/>
          <w:sz w:val="18"/>
          <w:szCs w:val="18"/>
        </w:rPr>
        <w:t>Ogólne wymagania dotyczące robót podano w</w:t>
      </w:r>
      <w:r w:rsidR="00C006BE">
        <w:rPr>
          <w:rFonts w:asciiTheme="minorHAnsi" w:hAnsiTheme="minorHAnsi" w:cstheme="minorHAnsi"/>
          <w:sz w:val="18"/>
          <w:szCs w:val="18"/>
        </w:rPr>
        <w:t xml:space="preserve"> ST</w:t>
      </w:r>
      <w:r w:rsidR="00307E20">
        <w:rPr>
          <w:rFonts w:asciiTheme="minorHAnsi" w:hAnsiTheme="minorHAnsi" w:cstheme="minorHAnsi"/>
          <w:sz w:val="18"/>
          <w:szCs w:val="18"/>
        </w:rPr>
        <w:t>WIORB</w:t>
      </w:r>
      <w:r w:rsidRPr="00C36810">
        <w:rPr>
          <w:rFonts w:asciiTheme="minorHAnsi" w:hAnsiTheme="minorHAnsi" w:cstheme="minorHAnsi"/>
          <w:sz w:val="18"/>
          <w:szCs w:val="18"/>
        </w:rPr>
        <w:t xml:space="preserve"> D-M-00.00.00 „Wymagania ogólne” pkt 1.5.</w:t>
      </w:r>
    </w:p>
    <w:p w14:paraId="46A0D186" w14:textId="77777777" w:rsidR="00C36810" w:rsidRPr="00C36810" w:rsidRDefault="00C36810" w:rsidP="00C36810">
      <w:pPr>
        <w:pStyle w:val="Nagwek3"/>
        <w:rPr>
          <w:rFonts w:asciiTheme="minorHAnsi" w:hAnsiTheme="minorHAnsi" w:cstheme="minorHAnsi"/>
          <w:sz w:val="18"/>
          <w:szCs w:val="18"/>
        </w:rPr>
      </w:pPr>
      <w:bookmarkStart w:id="702" w:name="_Toc497107499"/>
      <w:r w:rsidRPr="00C36810">
        <w:rPr>
          <w:rFonts w:asciiTheme="minorHAnsi" w:hAnsiTheme="minorHAnsi" w:cstheme="minorHAnsi"/>
          <w:sz w:val="18"/>
          <w:szCs w:val="18"/>
        </w:rPr>
        <w:t>2. MATERIAŁY</w:t>
      </w:r>
      <w:bookmarkEnd w:id="702"/>
    </w:p>
    <w:p w14:paraId="2292E184" w14:textId="77777777" w:rsidR="00C36810" w:rsidRPr="00C36810" w:rsidRDefault="00C36810" w:rsidP="00C36810">
      <w:pPr>
        <w:pStyle w:val="Nagwek4"/>
        <w:rPr>
          <w:rFonts w:asciiTheme="minorHAnsi" w:hAnsiTheme="minorHAnsi" w:cstheme="minorHAnsi"/>
          <w:sz w:val="18"/>
          <w:szCs w:val="18"/>
        </w:rPr>
      </w:pPr>
      <w:r w:rsidRPr="00C36810">
        <w:rPr>
          <w:rFonts w:asciiTheme="minorHAnsi" w:hAnsiTheme="minorHAnsi" w:cstheme="minorHAnsi"/>
          <w:sz w:val="18"/>
          <w:szCs w:val="18"/>
        </w:rPr>
        <w:t>2.1. Ogólne wymagania dotyczące materiałów</w:t>
      </w:r>
    </w:p>
    <w:p w14:paraId="77E244A4" w14:textId="154D1BE8" w:rsidR="00C36810" w:rsidRPr="00C36810" w:rsidRDefault="00C36810" w:rsidP="00C36810">
      <w:pPr>
        <w:rPr>
          <w:rFonts w:asciiTheme="minorHAnsi" w:hAnsiTheme="minorHAnsi" w:cstheme="minorHAnsi"/>
          <w:sz w:val="18"/>
          <w:szCs w:val="18"/>
        </w:rPr>
      </w:pPr>
      <w:r w:rsidRPr="00C36810">
        <w:rPr>
          <w:rFonts w:asciiTheme="minorHAnsi" w:hAnsiTheme="minorHAnsi" w:cstheme="minorHAnsi"/>
          <w:sz w:val="18"/>
          <w:szCs w:val="18"/>
        </w:rPr>
        <w:t xml:space="preserve">Ogólne wymagania dotyczące materiałów, ich pozyskiwania i składowania, podano w </w:t>
      </w:r>
      <w:r w:rsidR="00C006BE">
        <w:rPr>
          <w:rFonts w:asciiTheme="minorHAnsi" w:hAnsiTheme="minorHAnsi" w:cstheme="minorHAnsi"/>
          <w:sz w:val="18"/>
          <w:szCs w:val="18"/>
        </w:rPr>
        <w:t>ST</w:t>
      </w:r>
      <w:r w:rsidR="00307E20">
        <w:rPr>
          <w:rFonts w:asciiTheme="minorHAnsi" w:hAnsiTheme="minorHAnsi" w:cstheme="minorHAnsi"/>
          <w:sz w:val="18"/>
          <w:szCs w:val="18"/>
        </w:rPr>
        <w:t>WIORB</w:t>
      </w:r>
      <w:r w:rsidRPr="00C36810">
        <w:rPr>
          <w:rFonts w:asciiTheme="minorHAnsi" w:hAnsiTheme="minorHAnsi" w:cstheme="minorHAnsi"/>
          <w:sz w:val="18"/>
          <w:szCs w:val="18"/>
        </w:rPr>
        <w:t xml:space="preserve"> D-M-00.00.00 „Wymagania ogólne” pkt 2.</w:t>
      </w:r>
    </w:p>
    <w:p w14:paraId="3E70308E" w14:textId="77777777" w:rsidR="00C36810" w:rsidRPr="00C36810" w:rsidRDefault="00C36810" w:rsidP="00C36810">
      <w:pPr>
        <w:pStyle w:val="Nagwek4"/>
        <w:rPr>
          <w:rFonts w:asciiTheme="minorHAnsi" w:hAnsiTheme="minorHAnsi" w:cstheme="minorHAnsi"/>
          <w:sz w:val="18"/>
          <w:szCs w:val="18"/>
        </w:rPr>
      </w:pPr>
      <w:r w:rsidRPr="00C36810">
        <w:rPr>
          <w:rFonts w:asciiTheme="minorHAnsi" w:hAnsiTheme="minorHAnsi" w:cstheme="minorHAnsi"/>
          <w:sz w:val="18"/>
          <w:szCs w:val="18"/>
        </w:rPr>
        <w:t>2.2. Rodzaje materiałów</w:t>
      </w:r>
    </w:p>
    <w:p w14:paraId="71037D7E" w14:textId="7F84938B" w:rsidR="00C36810" w:rsidRPr="00C36810" w:rsidRDefault="00C36810" w:rsidP="00C36810">
      <w:pPr>
        <w:rPr>
          <w:rFonts w:asciiTheme="minorHAnsi" w:hAnsiTheme="minorHAnsi" w:cstheme="minorHAnsi"/>
          <w:sz w:val="18"/>
          <w:szCs w:val="18"/>
        </w:rPr>
      </w:pPr>
      <w:r w:rsidRPr="00C36810">
        <w:rPr>
          <w:rFonts w:asciiTheme="minorHAnsi" w:hAnsiTheme="minorHAnsi" w:cstheme="minorHAnsi"/>
          <w:sz w:val="18"/>
          <w:szCs w:val="18"/>
        </w:rPr>
        <w:t>Materiałami stosowanymi przy umacnianiu skarp, rowów i ścieków objętymi niniejszą</w:t>
      </w:r>
      <w:r w:rsidR="00C006BE">
        <w:rPr>
          <w:rFonts w:asciiTheme="minorHAnsi" w:hAnsiTheme="minorHAnsi" w:cstheme="minorHAnsi"/>
          <w:sz w:val="18"/>
          <w:szCs w:val="18"/>
        </w:rPr>
        <w:t xml:space="preserve"> ST</w:t>
      </w:r>
      <w:r w:rsidR="00307E20">
        <w:rPr>
          <w:rFonts w:asciiTheme="minorHAnsi" w:hAnsiTheme="minorHAnsi" w:cstheme="minorHAnsi"/>
          <w:sz w:val="18"/>
          <w:szCs w:val="18"/>
        </w:rPr>
        <w:t>WIORB</w:t>
      </w:r>
      <w:r w:rsidRPr="00C36810">
        <w:rPr>
          <w:rFonts w:asciiTheme="minorHAnsi" w:hAnsiTheme="minorHAnsi" w:cstheme="minorHAnsi"/>
          <w:sz w:val="18"/>
          <w:szCs w:val="18"/>
        </w:rPr>
        <w:t xml:space="preserve"> są:</w:t>
      </w:r>
    </w:p>
    <w:p w14:paraId="2DF236AC" w14:textId="77777777" w:rsidR="00C36810" w:rsidRPr="00C36810" w:rsidRDefault="00C36810" w:rsidP="00262498">
      <w:pPr>
        <w:numPr>
          <w:ilvl w:val="0"/>
          <w:numId w:val="229"/>
        </w:numPr>
        <w:rPr>
          <w:rFonts w:asciiTheme="minorHAnsi" w:hAnsiTheme="minorHAnsi" w:cstheme="minorHAnsi"/>
          <w:sz w:val="18"/>
          <w:szCs w:val="18"/>
        </w:rPr>
      </w:pPr>
      <w:r w:rsidRPr="00C36810">
        <w:rPr>
          <w:rFonts w:asciiTheme="minorHAnsi" w:hAnsiTheme="minorHAnsi" w:cstheme="minorHAnsi"/>
          <w:sz w:val="18"/>
          <w:szCs w:val="18"/>
        </w:rPr>
        <w:t>ziemia urodzajna,</w:t>
      </w:r>
    </w:p>
    <w:p w14:paraId="40282D8A" w14:textId="77777777" w:rsidR="00C36810" w:rsidRPr="00C36810" w:rsidRDefault="00C36810" w:rsidP="00262498">
      <w:pPr>
        <w:numPr>
          <w:ilvl w:val="0"/>
          <w:numId w:val="229"/>
        </w:numPr>
        <w:rPr>
          <w:rFonts w:asciiTheme="minorHAnsi" w:hAnsiTheme="minorHAnsi" w:cstheme="minorHAnsi"/>
          <w:sz w:val="18"/>
          <w:szCs w:val="18"/>
        </w:rPr>
      </w:pPr>
      <w:r w:rsidRPr="00C36810">
        <w:rPr>
          <w:rFonts w:asciiTheme="minorHAnsi" w:hAnsiTheme="minorHAnsi" w:cstheme="minorHAnsi"/>
          <w:sz w:val="18"/>
          <w:szCs w:val="18"/>
        </w:rPr>
        <w:t>nasiona traw oraz roślin motylkowatych,</w:t>
      </w:r>
    </w:p>
    <w:p w14:paraId="6067E4CB" w14:textId="77777777" w:rsidR="00C36810" w:rsidRPr="00C36810" w:rsidRDefault="00C36810" w:rsidP="00262498">
      <w:pPr>
        <w:numPr>
          <w:ilvl w:val="0"/>
          <w:numId w:val="229"/>
        </w:numPr>
        <w:rPr>
          <w:rFonts w:asciiTheme="minorHAnsi" w:hAnsiTheme="minorHAnsi" w:cstheme="minorHAnsi"/>
          <w:sz w:val="18"/>
          <w:szCs w:val="18"/>
        </w:rPr>
      </w:pPr>
      <w:r w:rsidRPr="00C36810">
        <w:rPr>
          <w:rFonts w:asciiTheme="minorHAnsi" w:hAnsiTheme="minorHAnsi" w:cstheme="minorHAnsi"/>
          <w:sz w:val="18"/>
          <w:szCs w:val="18"/>
        </w:rPr>
        <w:t>brukowiec,</w:t>
      </w:r>
    </w:p>
    <w:p w14:paraId="0CC11B89" w14:textId="77777777" w:rsidR="00C36810" w:rsidRPr="00C36810" w:rsidRDefault="00C36810" w:rsidP="00262498">
      <w:pPr>
        <w:numPr>
          <w:ilvl w:val="0"/>
          <w:numId w:val="229"/>
        </w:numPr>
        <w:rPr>
          <w:rFonts w:asciiTheme="minorHAnsi" w:hAnsiTheme="minorHAnsi" w:cstheme="minorHAnsi"/>
          <w:sz w:val="18"/>
          <w:szCs w:val="18"/>
        </w:rPr>
      </w:pPr>
      <w:r w:rsidRPr="00C36810">
        <w:rPr>
          <w:rFonts w:asciiTheme="minorHAnsi" w:hAnsiTheme="minorHAnsi" w:cstheme="minorHAnsi"/>
          <w:sz w:val="18"/>
          <w:szCs w:val="18"/>
        </w:rPr>
        <w:t>kruszywo,</w:t>
      </w:r>
    </w:p>
    <w:p w14:paraId="674A1DCD" w14:textId="77777777" w:rsidR="00C36810" w:rsidRPr="00C36810" w:rsidRDefault="00C36810" w:rsidP="00262498">
      <w:pPr>
        <w:numPr>
          <w:ilvl w:val="0"/>
          <w:numId w:val="229"/>
        </w:numPr>
        <w:rPr>
          <w:rFonts w:asciiTheme="minorHAnsi" w:hAnsiTheme="minorHAnsi" w:cstheme="minorHAnsi"/>
          <w:sz w:val="18"/>
          <w:szCs w:val="18"/>
        </w:rPr>
      </w:pPr>
      <w:r w:rsidRPr="00C36810">
        <w:rPr>
          <w:rFonts w:asciiTheme="minorHAnsi" w:hAnsiTheme="minorHAnsi" w:cstheme="minorHAnsi"/>
          <w:sz w:val="18"/>
          <w:szCs w:val="18"/>
        </w:rPr>
        <w:t>cement,</w:t>
      </w:r>
    </w:p>
    <w:p w14:paraId="216622CF" w14:textId="77777777" w:rsidR="00C36810" w:rsidRPr="00C36810" w:rsidRDefault="00C36810" w:rsidP="00262498">
      <w:pPr>
        <w:numPr>
          <w:ilvl w:val="0"/>
          <w:numId w:val="229"/>
        </w:numPr>
        <w:rPr>
          <w:rFonts w:asciiTheme="minorHAnsi" w:hAnsiTheme="minorHAnsi" w:cstheme="minorHAnsi"/>
          <w:sz w:val="18"/>
          <w:szCs w:val="18"/>
        </w:rPr>
      </w:pPr>
      <w:r w:rsidRPr="00C36810">
        <w:rPr>
          <w:rFonts w:asciiTheme="minorHAnsi" w:hAnsiTheme="minorHAnsi" w:cstheme="minorHAnsi"/>
          <w:sz w:val="18"/>
          <w:szCs w:val="18"/>
        </w:rPr>
        <w:t>zaprawa cementowa,</w:t>
      </w:r>
    </w:p>
    <w:p w14:paraId="665210CD" w14:textId="77777777" w:rsidR="00C36810" w:rsidRPr="00C36810" w:rsidRDefault="00C36810" w:rsidP="00262498">
      <w:pPr>
        <w:numPr>
          <w:ilvl w:val="0"/>
          <w:numId w:val="229"/>
        </w:numPr>
        <w:rPr>
          <w:rFonts w:asciiTheme="minorHAnsi" w:hAnsiTheme="minorHAnsi" w:cstheme="minorHAnsi"/>
          <w:sz w:val="18"/>
          <w:szCs w:val="18"/>
        </w:rPr>
      </w:pPr>
      <w:r w:rsidRPr="00C36810">
        <w:rPr>
          <w:rFonts w:asciiTheme="minorHAnsi" w:hAnsiTheme="minorHAnsi" w:cstheme="minorHAnsi"/>
          <w:sz w:val="18"/>
          <w:szCs w:val="18"/>
        </w:rPr>
        <w:t>elementy prefabrykowane,</w:t>
      </w:r>
    </w:p>
    <w:p w14:paraId="755B6BC0" w14:textId="77777777" w:rsidR="00C36810" w:rsidRPr="00C36810" w:rsidRDefault="00C36810" w:rsidP="00262498">
      <w:pPr>
        <w:numPr>
          <w:ilvl w:val="0"/>
          <w:numId w:val="229"/>
        </w:numPr>
        <w:rPr>
          <w:rFonts w:asciiTheme="minorHAnsi" w:hAnsiTheme="minorHAnsi" w:cstheme="minorHAnsi"/>
          <w:sz w:val="18"/>
          <w:szCs w:val="18"/>
        </w:rPr>
      </w:pPr>
      <w:r w:rsidRPr="00C36810">
        <w:rPr>
          <w:rFonts w:asciiTheme="minorHAnsi" w:hAnsiTheme="minorHAnsi" w:cstheme="minorHAnsi"/>
          <w:sz w:val="18"/>
          <w:szCs w:val="18"/>
        </w:rPr>
        <w:t>mieszaniny hydroobsiewu oraz do zabiegów konserwacyjnych,</w:t>
      </w:r>
    </w:p>
    <w:p w14:paraId="4F419870" w14:textId="77777777" w:rsidR="00C36810" w:rsidRPr="00C36810" w:rsidRDefault="00C36810" w:rsidP="00C36810">
      <w:pPr>
        <w:pStyle w:val="Nagwek4"/>
        <w:rPr>
          <w:rFonts w:asciiTheme="minorHAnsi" w:hAnsiTheme="minorHAnsi" w:cstheme="minorHAnsi"/>
          <w:sz w:val="18"/>
          <w:szCs w:val="18"/>
        </w:rPr>
      </w:pPr>
      <w:r w:rsidRPr="00C36810">
        <w:rPr>
          <w:rFonts w:asciiTheme="minorHAnsi" w:hAnsiTheme="minorHAnsi" w:cstheme="minorHAnsi"/>
          <w:sz w:val="18"/>
          <w:szCs w:val="18"/>
        </w:rPr>
        <w:t>2.3. Ziemia urodzajna (humus)</w:t>
      </w:r>
    </w:p>
    <w:p w14:paraId="022C6156" w14:textId="77777777" w:rsidR="00517324" w:rsidRDefault="00C36810" w:rsidP="00517324">
      <w:pPr>
        <w:rPr>
          <w:rFonts w:asciiTheme="minorHAnsi" w:hAnsiTheme="minorHAnsi" w:cstheme="minorHAnsi"/>
          <w:sz w:val="18"/>
          <w:szCs w:val="18"/>
        </w:rPr>
      </w:pPr>
      <w:r w:rsidRPr="00C36810">
        <w:rPr>
          <w:rFonts w:asciiTheme="minorHAnsi" w:hAnsiTheme="minorHAnsi" w:cstheme="minorHAnsi"/>
          <w:sz w:val="18"/>
          <w:szCs w:val="18"/>
        </w:rPr>
        <w:t>Ziemia urodzajna pozyskana z odhumusowania terenu pod inwestycję</w:t>
      </w:r>
    </w:p>
    <w:p w14:paraId="6D4420B5" w14:textId="2A831794" w:rsidR="00C36810" w:rsidRPr="00517324" w:rsidRDefault="00C36810" w:rsidP="00517324">
      <w:pPr>
        <w:rPr>
          <w:rFonts w:asciiTheme="minorHAnsi" w:hAnsiTheme="minorHAnsi" w:cstheme="minorHAnsi"/>
          <w:b/>
          <w:bCs/>
          <w:sz w:val="18"/>
          <w:szCs w:val="18"/>
        </w:rPr>
      </w:pPr>
      <w:r w:rsidRPr="00517324">
        <w:rPr>
          <w:rFonts w:asciiTheme="minorHAnsi" w:hAnsiTheme="minorHAnsi" w:cstheme="minorHAnsi"/>
          <w:b/>
          <w:bCs/>
          <w:sz w:val="18"/>
          <w:szCs w:val="18"/>
        </w:rPr>
        <w:t>2.4. Nasiona traw</w:t>
      </w:r>
    </w:p>
    <w:p w14:paraId="69A7C280" w14:textId="77777777" w:rsidR="00C36810" w:rsidRPr="00C36810" w:rsidRDefault="00C36810" w:rsidP="00C36810">
      <w:pPr>
        <w:rPr>
          <w:rFonts w:asciiTheme="minorHAnsi" w:hAnsiTheme="minorHAnsi" w:cstheme="minorHAnsi"/>
          <w:sz w:val="18"/>
          <w:szCs w:val="18"/>
        </w:rPr>
      </w:pPr>
      <w:r w:rsidRPr="00C36810">
        <w:rPr>
          <w:rFonts w:asciiTheme="minorHAnsi" w:hAnsiTheme="minorHAnsi" w:cstheme="minorHAnsi"/>
          <w:sz w:val="18"/>
          <w:szCs w:val="18"/>
        </w:rPr>
        <w:t>Wybór gatunków traw należy dostosować do rodzaju gleby i stopnia jej zawilgocenia. Zaleca się stosować mieszanki traw o drobnym, gęstym ukorzenieniu, spełniające wymagania PN-R-65023:1999 i PN-B-12074:1998.</w:t>
      </w:r>
    </w:p>
    <w:p w14:paraId="63DDA75A" w14:textId="77777777" w:rsidR="00C36810" w:rsidRPr="00C36810" w:rsidRDefault="00C36810" w:rsidP="00C36810">
      <w:pPr>
        <w:pStyle w:val="Nagwek4"/>
        <w:rPr>
          <w:rFonts w:asciiTheme="minorHAnsi" w:hAnsiTheme="minorHAnsi" w:cstheme="minorHAnsi"/>
          <w:sz w:val="18"/>
          <w:szCs w:val="18"/>
        </w:rPr>
      </w:pPr>
      <w:r w:rsidRPr="00C36810">
        <w:rPr>
          <w:rFonts w:asciiTheme="minorHAnsi" w:hAnsiTheme="minorHAnsi" w:cstheme="minorHAnsi"/>
          <w:sz w:val="18"/>
          <w:szCs w:val="18"/>
        </w:rPr>
        <w:t>2.5. Brukowiec</w:t>
      </w:r>
    </w:p>
    <w:p w14:paraId="496A1564" w14:textId="77777777" w:rsidR="00C36810" w:rsidRPr="00C36810" w:rsidRDefault="00C36810" w:rsidP="00C36810">
      <w:pPr>
        <w:rPr>
          <w:rFonts w:asciiTheme="minorHAnsi" w:hAnsiTheme="minorHAnsi" w:cstheme="minorHAnsi"/>
          <w:sz w:val="18"/>
          <w:szCs w:val="18"/>
        </w:rPr>
      </w:pPr>
      <w:r w:rsidRPr="00C36810">
        <w:rPr>
          <w:rFonts w:asciiTheme="minorHAnsi" w:hAnsiTheme="minorHAnsi" w:cstheme="minorHAnsi"/>
          <w:sz w:val="18"/>
          <w:szCs w:val="18"/>
        </w:rPr>
        <w:t>Brukowiec powinien odpowiadać wymaganiom PN-B-11104:1960</w:t>
      </w:r>
    </w:p>
    <w:p w14:paraId="05C3742D" w14:textId="77777777" w:rsidR="00C36810" w:rsidRPr="00C36810" w:rsidRDefault="00C36810" w:rsidP="00C36810">
      <w:pPr>
        <w:pStyle w:val="Nagwek4"/>
        <w:rPr>
          <w:rFonts w:asciiTheme="minorHAnsi" w:hAnsiTheme="minorHAnsi" w:cstheme="minorHAnsi"/>
          <w:sz w:val="18"/>
          <w:szCs w:val="18"/>
        </w:rPr>
      </w:pPr>
      <w:r w:rsidRPr="00C36810">
        <w:rPr>
          <w:rFonts w:asciiTheme="minorHAnsi" w:hAnsiTheme="minorHAnsi" w:cstheme="minorHAnsi"/>
          <w:sz w:val="18"/>
          <w:szCs w:val="18"/>
        </w:rPr>
        <w:t>2.6. Kruszywo</w:t>
      </w:r>
    </w:p>
    <w:p w14:paraId="364C8378" w14:textId="77777777" w:rsidR="00C36810" w:rsidRPr="00C36810" w:rsidRDefault="00C36810" w:rsidP="00C36810">
      <w:pPr>
        <w:rPr>
          <w:rFonts w:asciiTheme="minorHAnsi" w:hAnsiTheme="minorHAnsi" w:cstheme="minorHAnsi"/>
          <w:sz w:val="18"/>
          <w:szCs w:val="18"/>
        </w:rPr>
      </w:pPr>
      <w:r w:rsidRPr="00C36810">
        <w:rPr>
          <w:rFonts w:asciiTheme="minorHAnsi" w:hAnsiTheme="minorHAnsi" w:cstheme="minorHAnsi"/>
          <w:sz w:val="18"/>
          <w:szCs w:val="18"/>
        </w:rPr>
        <w:t>Żwir i mieszanka powinny odpowiadać wymaganiom PN-B-11111:1996.</w:t>
      </w:r>
    </w:p>
    <w:p w14:paraId="305C5103" w14:textId="77777777" w:rsidR="00C36810" w:rsidRPr="00C36810" w:rsidRDefault="00C36810" w:rsidP="00C36810">
      <w:pPr>
        <w:rPr>
          <w:rFonts w:asciiTheme="minorHAnsi" w:hAnsiTheme="minorHAnsi" w:cstheme="minorHAnsi"/>
          <w:sz w:val="18"/>
          <w:szCs w:val="18"/>
        </w:rPr>
      </w:pPr>
      <w:r w:rsidRPr="00C36810">
        <w:rPr>
          <w:rFonts w:asciiTheme="minorHAnsi" w:hAnsiTheme="minorHAnsi" w:cstheme="minorHAnsi"/>
          <w:sz w:val="18"/>
          <w:szCs w:val="18"/>
        </w:rPr>
        <w:t>Piasek powinien odpowiadać wymaganiom PN-B-11113:1996.</w:t>
      </w:r>
    </w:p>
    <w:p w14:paraId="609C9F54" w14:textId="77777777" w:rsidR="00C36810" w:rsidRPr="00C36810" w:rsidRDefault="00C36810" w:rsidP="00C36810">
      <w:pPr>
        <w:pStyle w:val="Nagwek4"/>
        <w:rPr>
          <w:rFonts w:asciiTheme="minorHAnsi" w:hAnsiTheme="minorHAnsi" w:cstheme="minorHAnsi"/>
          <w:sz w:val="18"/>
          <w:szCs w:val="18"/>
        </w:rPr>
      </w:pPr>
      <w:r w:rsidRPr="00C36810">
        <w:rPr>
          <w:rFonts w:asciiTheme="minorHAnsi" w:hAnsiTheme="minorHAnsi" w:cstheme="minorHAnsi"/>
          <w:sz w:val="18"/>
          <w:szCs w:val="18"/>
        </w:rPr>
        <w:t>2.7. Cement</w:t>
      </w:r>
    </w:p>
    <w:p w14:paraId="73993F0A" w14:textId="77777777" w:rsidR="00C36810" w:rsidRPr="00C36810" w:rsidRDefault="00C36810" w:rsidP="00C36810">
      <w:pPr>
        <w:rPr>
          <w:rFonts w:asciiTheme="minorHAnsi" w:hAnsiTheme="minorHAnsi" w:cstheme="minorHAnsi"/>
          <w:sz w:val="18"/>
          <w:szCs w:val="18"/>
        </w:rPr>
      </w:pPr>
      <w:r w:rsidRPr="00C36810">
        <w:rPr>
          <w:rFonts w:asciiTheme="minorHAnsi" w:hAnsiTheme="minorHAnsi" w:cstheme="minorHAnsi"/>
          <w:sz w:val="18"/>
          <w:szCs w:val="18"/>
        </w:rPr>
        <w:t>Cement portlandzki powinien odpowiadać wymaganiom PN-EN-197.</w:t>
      </w:r>
    </w:p>
    <w:p w14:paraId="5914678E" w14:textId="77777777" w:rsidR="00C36810" w:rsidRPr="00C36810" w:rsidRDefault="00C36810" w:rsidP="00C36810">
      <w:pPr>
        <w:rPr>
          <w:rFonts w:asciiTheme="minorHAnsi" w:hAnsiTheme="minorHAnsi" w:cstheme="minorHAnsi"/>
          <w:sz w:val="18"/>
          <w:szCs w:val="18"/>
        </w:rPr>
      </w:pPr>
      <w:r w:rsidRPr="00C36810">
        <w:rPr>
          <w:rFonts w:asciiTheme="minorHAnsi" w:hAnsiTheme="minorHAnsi" w:cstheme="minorHAnsi"/>
          <w:sz w:val="18"/>
          <w:szCs w:val="18"/>
        </w:rPr>
        <w:t>Cement hutniczy powinien odpowiadać wymaganiom PN-EN-197.</w:t>
      </w:r>
    </w:p>
    <w:p w14:paraId="7ED5956A" w14:textId="77777777" w:rsidR="00C36810" w:rsidRPr="00C36810" w:rsidRDefault="00C36810" w:rsidP="00C36810">
      <w:pPr>
        <w:rPr>
          <w:rFonts w:asciiTheme="minorHAnsi" w:hAnsiTheme="minorHAnsi" w:cstheme="minorHAnsi"/>
          <w:sz w:val="18"/>
          <w:szCs w:val="18"/>
        </w:rPr>
      </w:pPr>
      <w:r w:rsidRPr="00C36810">
        <w:rPr>
          <w:rFonts w:asciiTheme="minorHAnsi" w:hAnsiTheme="minorHAnsi" w:cstheme="minorHAnsi"/>
          <w:sz w:val="18"/>
          <w:szCs w:val="18"/>
        </w:rPr>
        <w:t>Składowanie cementu powinno być zgodne z BN-88/6731-08.</w:t>
      </w:r>
    </w:p>
    <w:p w14:paraId="62D1F3C0" w14:textId="77777777" w:rsidR="00C36810" w:rsidRPr="00C36810" w:rsidRDefault="00C36810" w:rsidP="00C36810">
      <w:pPr>
        <w:pStyle w:val="Nagwek4"/>
        <w:rPr>
          <w:rFonts w:asciiTheme="minorHAnsi" w:hAnsiTheme="minorHAnsi" w:cstheme="minorHAnsi"/>
          <w:sz w:val="18"/>
          <w:szCs w:val="18"/>
        </w:rPr>
      </w:pPr>
      <w:r w:rsidRPr="00C36810">
        <w:rPr>
          <w:rFonts w:asciiTheme="minorHAnsi" w:hAnsiTheme="minorHAnsi" w:cstheme="minorHAnsi"/>
          <w:sz w:val="18"/>
          <w:szCs w:val="18"/>
        </w:rPr>
        <w:t>2.8. Zaprawa cementowa</w:t>
      </w:r>
    </w:p>
    <w:p w14:paraId="2B80EA7D" w14:textId="77777777" w:rsidR="00C36810" w:rsidRPr="00C36810" w:rsidRDefault="00C36810" w:rsidP="00C36810">
      <w:pPr>
        <w:rPr>
          <w:rFonts w:asciiTheme="minorHAnsi" w:hAnsiTheme="minorHAnsi" w:cstheme="minorHAnsi"/>
          <w:sz w:val="18"/>
          <w:szCs w:val="18"/>
        </w:rPr>
      </w:pPr>
      <w:r w:rsidRPr="00C36810">
        <w:rPr>
          <w:rFonts w:asciiTheme="minorHAnsi" w:hAnsiTheme="minorHAnsi" w:cstheme="minorHAnsi"/>
          <w:sz w:val="18"/>
          <w:szCs w:val="18"/>
        </w:rPr>
        <w:t>Przy wykonywaniu umocnień rowów i ścieków należy stosować zaprawy cementowe zgodne z wymaganiami PN-B-14501:1990.</w:t>
      </w:r>
    </w:p>
    <w:p w14:paraId="0BB079CE" w14:textId="77777777" w:rsidR="00C36810" w:rsidRPr="00C36810" w:rsidRDefault="00C36810" w:rsidP="00C36810">
      <w:pPr>
        <w:pStyle w:val="Nagwek4"/>
        <w:rPr>
          <w:rFonts w:asciiTheme="minorHAnsi" w:hAnsiTheme="minorHAnsi" w:cstheme="minorHAnsi"/>
          <w:sz w:val="18"/>
          <w:szCs w:val="18"/>
        </w:rPr>
      </w:pPr>
      <w:r w:rsidRPr="00C36810">
        <w:rPr>
          <w:rFonts w:asciiTheme="minorHAnsi" w:hAnsiTheme="minorHAnsi" w:cstheme="minorHAnsi"/>
          <w:sz w:val="18"/>
          <w:szCs w:val="18"/>
        </w:rPr>
        <w:t>2.9. Elementy prefabrykowane</w:t>
      </w:r>
    </w:p>
    <w:p w14:paraId="0C3D96C0" w14:textId="77777777" w:rsidR="00C36810" w:rsidRPr="00C36810" w:rsidRDefault="00C36810" w:rsidP="00C36810">
      <w:pPr>
        <w:rPr>
          <w:rFonts w:asciiTheme="minorHAnsi" w:hAnsiTheme="minorHAnsi" w:cstheme="minorHAnsi"/>
          <w:sz w:val="18"/>
          <w:szCs w:val="18"/>
        </w:rPr>
      </w:pPr>
      <w:r w:rsidRPr="00C36810">
        <w:rPr>
          <w:rFonts w:asciiTheme="minorHAnsi" w:hAnsiTheme="minorHAnsi" w:cstheme="minorHAnsi"/>
          <w:sz w:val="18"/>
          <w:szCs w:val="18"/>
        </w:rPr>
        <w:t>Wytrzymałość, kształt i wymiary elementów powinny być zgodne z dokumentacją projektową .</w:t>
      </w:r>
    </w:p>
    <w:p w14:paraId="31CCFF18" w14:textId="6685FA9A" w:rsidR="00C36810" w:rsidRPr="00C36810" w:rsidRDefault="00C36810" w:rsidP="00C36810">
      <w:pPr>
        <w:rPr>
          <w:rFonts w:asciiTheme="minorHAnsi" w:hAnsiTheme="minorHAnsi" w:cstheme="minorHAnsi"/>
          <w:sz w:val="18"/>
          <w:szCs w:val="18"/>
        </w:rPr>
      </w:pPr>
      <w:r w:rsidRPr="00C36810">
        <w:rPr>
          <w:rFonts w:asciiTheme="minorHAnsi" w:hAnsiTheme="minorHAnsi" w:cstheme="minorHAnsi"/>
          <w:sz w:val="18"/>
          <w:szCs w:val="18"/>
        </w:rPr>
        <w:t>Krawężniki betonowe powinny odpowiadać wymaganiom</w:t>
      </w:r>
      <w:r w:rsidR="00C006BE">
        <w:rPr>
          <w:rFonts w:asciiTheme="minorHAnsi" w:hAnsiTheme="minorHAnsi" w:cstheme="minorHAnsi"/>
          <w:sz w:val="18"/>
          <w:szCs w:val="18"/>
        </w:rPr>
        <w:t xml:space="preserve"> ST</w:t>
      </w:r>
      <w:r w:rsidR="00307E20">
        <w:rPr>
          <w:rFonts w:asciiTheme="minorHAnsi" w:hAnsiTheme="minorHAnsi" w:cstheme="minorHAnsi"/>
          <w:sz w:val="18"/>
          <w:szCs w:val="18"/>
        </w:rPr>
        <w:t>WIORB</w:t>
      </w:r>
      <w:r w:rsidRPr="00C36810">
        <w:rPr>
          <w:rFonts w:asciiTheme="minorHAnsi" w:hAnsiTheme="minorHAnsi" w:cstheme="minorHAnsi"/>
          <w:sz w:val="18"/>
          <w:szCs w:val="18"/>
        </w:rPr>
        <w:t xml:space="preserve"> D-08.01.01 Krawężniki betonowe pkt 2.</w:t>
      </w:r>
    </w:p>
    <w:p w14:paraId="2063102A" w14:textId="77777777" w:rsidR="00C36810" w:rsidRPr="00C36810" w:rsidRDefault="00C36810" w:rsidP="00C36810">
      <w:pPr>
        <w:rPr>
          <w:rFonts w:asciiTheme="minorHAnsi" w:eastAsiaTheme="minorHAnsi" w:hAnsiTheme="minorHAnsi" w:cstheme="minorHAnsi"/>
          <w:b/>
          <w:bCs/>
          <w:sz w:val="18"/>
          <w:szCs w:val="18"/>
        </w:rPr>
      </w:pPr>
      <w:r w:rsidRPr="00C36810">
        <w:rPr>
          <w:rFonts w:asciiTheme="minorHAnsi" w:eastAsiaTheme="minorHAnsi" w:hAnsiTheme="minorHAnsi" w:cstheme="minorHAnsi"/>
          <w:b/>
          <w:bCs/>
          <w:sz w:val="18"/>
          <w:szCs w:val="18"/>
        </w:rPr>
        <w:t>- betonowe płyty ażurowe</w:t>
      </w:r>
    </w:p>
    <w:p w14:paraId="136FE9F0" w14:textId="77777777" w:rsidR="00C36810" w:rsidRPr="00C36810" w:rsidRDefault="00C36810" w:rsidP="00C36810">
      <w:pPr>
        <w:pStyle w:val="Default"/>
        <w:rPr>
          <w:rFonts w:asciiTheme="minorHAnsi" w:hAnsiTheme="minorHAnsi" w:cstheme="minorHAnsi"/>
          <w:sz w:val="18"/>
          <w:szCs w:val="18"/>
        </w:rPr>
      </w:pPr>
      <w:r w:rsidRPr="00C36810">
        <w:rPr>
          <w:rFonts w:asciiTheme="minorHAnsi" w:hAnsiTheme="minorHAnsi" w:cstheme="minorHAnsi"/>
          <w:sz w:val="18"/>
          <w:szCs w:val="18"/>
        </w:rPr>
        <w:t>Należy zastosować betonowe płyty o wymiarach 60x40x</w:t>
      </w:r>
      <w:r w:rsidRPr="00C36810">
        <w:rPr>
          <w:rFonts w:asciiTheme="minorHAnsi" w:hAnsiTheme="minorHAnsi" w:cstheme="minorHAnsi"/>
          <w:color w:val="FF0000"/>
          <w:sz w:val="18"/>
          <w:szCs w:val="18"/>
        </w:rPr>
        <w:t>8</w:t>
      </w:r>
      <w:r w:rsidRPr="00C36810">
        <w:rPr>
          <w:rFonts w:asciiTheme="minorHAnsi" w:hAnsiTheme="minorHAnsi" w:cstheme="minorHAnsi"/>
          <w:sz w:val="18"/>
          <w:szCs w:val="18"/>
        </w:rPr>
        <w:t xml:space="preserve"> cm– w miejscach zgodnie z dokumentacją projektową, dla których Wykonawca przedstawi stosowne dokumenty dopuszczające Wyrób do robót budowlanych. </w:t>
      </w:r>
    </w:p>
    <w:p w14:paraId="476E4506" w14:textId="77777777" w:rsidR="00C36810" w:rsidRPr="00C36810" w:rsidRDefault="00C36810" w:rsidP="00C36810">
      <w:pPr>
        <w:pStyle w:val="Default"/>
        <w:rPr>
          <w:rFonts w:asciiTheme="minorHAnsi" w:hAnsiTheme="minorHAnsi" w:cstheme="minorHAnsi"/>
          <w:sz w:val="18"/>
          <w:szCs w:val="18"/>
        </w:rPr>
      </w:pPr>
      <w:r w:rsidRPr="00C36810">
        <w:rPr>
          <w:rFonts w:asciiTheme="minorHAnsi" w:hAnsiTheme="minorHAnsi" w:cstheme="minorHAnsi"/>
          <w:sz w:val="18"/>
          <w:szCs w:val="18"/>
        </w:rPr>
        <w:t>Wymagania techniczne stawiane płytom brukowym zgodnie z normą PN-EN 1339.</w:t>
      </w:r>
    </w:p>
    <w:p w14:paraId="6C5AD0CB" w14:textId="77777777" w:rsidR="00C36810" w:rsidRPr="00C36810" w:rsidRDefault="00C36810" w:rsidP="00C36810">
      <w:pPr>
        <w:spacing w:before="120" w:after="60"/>
        <w:jc w:val="center"/>
        <w:rPr>
          <w:rFonts w:asciiTheme="minorHAnsi" w:hAnsiTheme="minorHAnsi" w:cstheme="minorHAnsi"/>
          <w:sz w:val="18"/>
          <w:szCs w:val="18"/>
        </w:rPr>
      </w:pPr>
      <w:r w:rsidRPr="00C36810">
        <w:rPr>
          <w:rFonts w:asciiTheme="minorHAnsi" w:hAnsiTheme="minorHAnsi" w:cstheme="minorHAnsi"/>
          <w:sz w:val="18"/>
          <w:szCs w:val="18"/>
        </w:rPr>
        <w:t xml:space="preserve">Tab. 1   Właściwości fizyczne i mechaniczne dla płyt </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2650"/>
        <w:gridCol w:w="772"/>
        <w:gridCol w:w="973"/>
        <w:gridCol w:w="2664"/>
        <w:gridCol w:w="1559"/>
      </w:tblGrid>
      <w:tr w:rsidR="00C36810" w:rsidRPr="00C36810" w14:paraId="365B1D34" w14:textId="77777777" w:rsidTr="00AE247E">
        <w:trPr>
          <w:cantSplit/>
          <w:trHeight w:val="284"/>
          <w:jc w:val="center"/>
        </w:trPr>
        <w:tc>
          <w:tcPr>
            <w:tcW w:w="9180" w:type="dxa"/>
            <w:gridSpan w:val="6"/>
            <w:vAlign w:val="center"/>
          </w:tcPr>
          <w:p w14:paraId="7308DEE0" w14:textId="77777777" w:rsidR="00C36810" w:rsidRPr="00C36810" w:rsidRDefault="00C36810" w:rsidP="00AE247E">
            <w:pPr>
              <w:pStyle w:val="Tabela"/>
              <w:rPr>
                <w:rFonts w:asciiTheme="minorHAnsi" w:hAnsiTheme="minorHAnsi" w:cstheme="minorHAnsi"/>
                <w:b/>
                <w:sz w:val="16"/>
                <w:szCs w:val="16"/>
              </w:rPr>
            </w:pPr>
            <w:r w:rsidRPr="00C36810">
              <w:rPr>
                <w:rFonts w:asciiTheme="minorHAnsi" w:hAnsiTheme="minorHAnsi" w:cstheme="minorHAnsi"/>
                <w:b/>
                <w:sz w:val="16"/>
                <w:szCs w:val="16"/>
              </w:rPr>
              <w:t>Właściwości fizyczne i mechaniczne</w:t>
            </w:r>
          </w:p>
        </w:tc>
      </w:tr>
      <w:tr w:rsidR="00C36810" w:rsidRPr="00C36810" w14:paraId="73A5C23C" w14:textId="77777777" w:rsidTr="00AE247E">
        <w:trPr>
          <w:cantSplit/>
          <w:trHeight w:val="284"/>
          <w:jc w:val="center"/>
        </w:trPr>
        <w:tc>
          <w:tcPr>
            <w:tcW w:w="562" w:type="dxa"/>
            <w:vAlign w:val="center"/>
          </w:tcPr>
          <w:p w14:paraId="607C2809" w14:textId="77777777" w:rsidR="00C36810" w:rsidRPr="00C36810" w:rsidRDefault="00C36810" w:rsidP="00AE247E">
            <w:pPr>
              <w:pStyle w:val="Tabela"/>
              <w:rPr>
                <w:rFonts w:asciiTheme="minorHAnsi" w:hAnsiTheme="minorHAnsi" w:cstheme="minorHAnsi"/>
                <w:b/>
                <w:sz w:val="16"/>
                <w:szCs w:val="16"/>
              </w:rPr>
            </w:pPr>
            <w:r w:rsidRPr="00C36810">
              <w:rPr>
                <w:rFonts w:asciiTheme="minorHAnsi" w:hAnsiTheme="minorHAnsi" w:cstheme="minorHAnsi"/>
                <w:b/>
                <w:sz w:val="16"/>
                <w:szCs w:val="16"/>
              </w:rPr>
              <w:t>Lp.</w:t>
            </w:r>
          </w:p>
        </w:tc>
        <w:tc>
          <w:tcPr>
            <w:tcW w:w="2650" w:type="dxa"/>
            <w:vAlign w:val="center"/>
          </w:tcPr>
          <w:p w14:paraId="1618BA70" w14:textId="77777777" w:rsidR="00C36810" w:rsidRPr="00C36810" w:rsidRDefault="00C36810" w:rsidP="00AE247E">
            <w:pPr>
              <w:pStyle w:val="Tabela"/>
              <w:rPr>
                <w:rFonts w:asciiTheme="minorHAnsi" w:hAnsiTheme="minorHAnsi" w:cstheme="minorHAnsi"/>
                <w:b/>
                <w:sz w:val="16"/>
                <w:szCs w:val="16"/>
              </w:rPr>
            </w:pPr>
            <w:r w:rsidRPr="00C36810">
              <w:rPr>
                <w:rFonts w:asciiTheme="minorHAnsi" w:hAnsiTheme="minorHAnsi" w:cstheme="minorHAnsi"/>
                <w:b/>
                <w:sz w:val="16"/>
                <w:szCs w:val="16"/>
              </w:rPr>
              <w:t>Cecha dla</w:t>
            </w:r>
          </w:p>
        </w:tc>
        <w:tc>
          <w:tcPr>
            <w:tcW w:w="772" w:type="dxa"/>
            <w:vAlign w:val="center"/>
          </w:tcPr>
          <w:p w14:paraId="4DB51402" w14:textId="77777777" w:rsidR="00C36810" w:rsidRPr="00C36810" w:rsidRDefault="00C36810" w:rsidP="00AE247E">
            <w:pPr>
              <w:pStyle w:val="Tabela"/>
              <w:rPr>
                <w:rFonts w:asciiTheme="minorHAnsi" w:hAnsiTheme="minorHAnsi" w:cstheme="minorHAnsi"/>
                <w:b/>
                <w:sz w:val="16"/>
                <w:szCs w:val="16"/>
              </w:rPr>
            </w:pPr>
            <w:r w:rsidRPr="00C36810">
              <w:rPr>
                <w:rFonts w:asciiTheme="minorHAnsi" w:hAnsiTheme="minorHAnsi" w:cstheme="minorHAnsi"/>
                <w:b/>
                <w:sz w:val="16"/>
                <w:szCs w:val="16"/>
              </w:rPr>
              <w:t>Klasa</w:t>
            </w:r>
          </w:p>
        </w:tc>
        <w:tc>
          <w:tcPr>
            <w:tcW w:w="973" w:type="dxa"/>
            <w:vAlign w:val="center"/>
          </w:tcPr>
          <w:p w14:paraId="36CD68D8" w14:textId="77777777" w:rsidR="00C36810" w:rsidRPr="00C36810" w:rsidRDefault="00C36810" w:rsidP="00AE247E">
            <w:pPr>
              <w:pStyle w:val="Tabela"/>
              <w:rPr>
                <w:rFonts w:asciiTheme="minorHAnsi" w:hAnsiTheme="minorHAnsi" w:cstheme="minorHAnsi"/>
                <w:b/>
                <w:sz w:val="16"/>
                <w:szCs w:val="16"/>
              </w:rPr>
            </w:pPr>
            <w:r w:rsidRPr="00C36810">
              <w:rPr>
                <w:rFonts w:asciiTheme="minorHAnsi" w:hAnsiTheme="minorHAnsi" w:cstheme="minorHAnsi"/>
                <w:b/>
                <w:sz w:val="16"/>
                <w:szCs w:val="16"/>
              </w:rPr>
              <w:t>Oznacz.</w:t>
            </w:r>
          </w:p>
        </w:tc>
        <w:tc>
          <w:tcPr>
            <w:tcW w:w="4223" w:type="dxa"/>
            <w:gridSpan w:val="2"/>
            <w:vAlign w:val="center"/>
          </w:tcPr>
          <w:p w14:paraId="013BF154" w14:textId="77777777" w:rsidR="00C36810" w:rsidRPr="00C36810" w:rsidRDefault="00C36810" w:rsidP="00AE247E">
            <w:pPr>
              <w:pStyle w:val="Tabela"/>
              <w:rPr>
                <w:rFonts w:asciiTheme="minorHAnsi" w:hAnsiTheme="minorHAnsi" w:cstheme="minorHAnsi"/>
                <w:b/>
                <w:sz w:val="16"/>
                <w:szCs w:val="16"/>
              </w:rPr>
            </w:pPr>
            <w:r w:rsidRPr="00C36810">
              <w:rPr>
                <w:rFonts w:asciiTheme="minorHAnsi" w:hAnsiTheme="minorHAnsi" w:cstheme="minorHAnsi"/>
                <w:b/>
                <w:sz w:val="16"/>
                <w:szCs w:val="16"/>
              </w:rPr>
              <w:t>Wymagania</w:t>
            </w:r>
          </w:p>
        </w:tc>
      </w:tr>
      <w:tr w:rsidR="00C36810" w:rsidRPr="00C36810" w14:paraId="3B18FBFC" w14:textId="77777777" w:rsidTr="00AE247E">
        <w:trPr>
          <w:cantSplit/>
          <w:trHeight w:val="284"/>
          <w:jc w:val="center"/>
        </w:trPr>
        <w:tc>
          <w:tcPr>
            <w:tcW w:w="562" w:type="dxa"/>
            <w:vAlign w:val="center"/>
          </w:tcPr>
          <w:p w14:paraId="391963C5" w14:textId="77777777" w:rsidR="00C36810" w:rsidRPr="00C36810" w:rsidRDefault="00C36810" w:rsidP="00AE247E">
            <w:pPr>
              <w:pStyle w:val="Tabela"/>
              <w:rPr>
                <w:rFonts w:asciiTheme="minorHAnsi" w:hAnsiTheme="minorHAnsi" w:cstheme="minorHAnsi"/>
                <w:sz w:val="16"/>
                <w:szCs w:val="16"/>
              </w:rPr>
            </w:pPr>
            <w:r w:rsidRPr="00C36810">
              <w:rPr>
                <w:rFonts w:asciiTheme="minorHAnsi" w:hAnsiTheme="minorHAnsi" w:cstheme="minorHAnsi"/>
                <w:sz w:val="16"/>
                <w:szCs w:val="16"/>
              </w:rPr>
              <w:t>1</w:t>
            </w:r>
          </w:p>
        </w:tc>
        <w:tc>
          <w:tcPr>
            <w:tcW w:w="2650" w:type="dxa"/>
            <w:vAlign w:val="center"/>
          </w:tcPr>
          <w:p w14:paraId="1E155835" w14:textId="77777777" w:rsidR="00C36810" w:rsidRPr="00C36810" w:rsidRDefault="00C36810" w:rsidP="00AE247E">
            <w:pPr>
              <w:pStyle w:val="Tabela"/>
              <w:rPr>
                <w:rFonts w:asciiTheme="minorHAnsi" w:hAnsiTheme="minorHAnsi" w:cstheme="minorHAnsi"/>
                <w:sz w:val="16"/>
                <w:szCs w:val="16"/>
              </w:rPr>
            </w:pPr>
            <w:r w:rsidRPr="00C36810">
              <w:rPr>
                <w:rFonts w:asciiTheme="minorHAnsi" w:hAnsiTheme="minorHAnsi" w:cstheme="minorHAnsi"/>
                <w:sz w:val="16"/>
                <w:szCs w:val="16"/>
              </w:rPr>
              <w:t>Odporność na zamrażanie /</w:t>
            </w:r>
          </w:p>
          <w:p w14:paraId="33E5A25A" w14:textId="77777777" w:rsidR="00C36810" w:rsidRPr="00C36810" w:rsidRDefault="00C36810" w:rsidP="00AE247E">
            <w:pPr>
              <w:pStyle w:val="Tabela"/>
              <w:rPr>
                <w:rFonts w:asciiTheme="minorHAnsi" w:hAnsiTheme="minorHAnsi" w:cstheme="minorHAnsi"/>
                <w:sz w:val="16"/>
                <w:szCs w:val="16"/>
              </w:rPr>
            </w:pPr>
            <w:r w:rsidRPr="00C36810">
              <w:rPr>
                <w:rFonts w:asciiTheme="minorHAnsi" w:hAnsiTheme="minorHAnsi" w:cstheme="minorHAnsi"/>
                <w:sz w:val="16"/>
                <w:szCs w:val="16"/>
              </w:rPr>
              <w:t>rozmrażanie z udziałem soli odladzających</w:t>
            </w:r>
          </w:p>
        </w:tc>
        <w:tc>
          <w:tcPr>
            <w:tcW w:w="772" w:type="dxa"/>
            <w:vAlign w:val="center"/>
          </w:tcPr>
          <w:p w14:paraId="0B9219E9" w14:textId="77777777" w:rsidR="00C36810" w:rsidRPr="00C36810" w:rsidRDefault="00C36810" w:rsidP="00AE247E">
            <w:pPr>
              <w:pStyle w:val="Tabela"/>
              <w:rPr>
                <w:rFonts w:asciiTheme="minorHAnsi" w:hAnsiTheme="minorHAnsi" w:cstheme="minorHAnsi"/>
                <w:sz w:val="16"/>
                <w:szCs w:val="16"/>
              </w:rPr>
            </w:pPr>
            <w:r w:rsidRPr="00C36810">
              <w:rPr>
                <w:rFonts w:asciiTheme="minorHAnsi" w:hAnsiTheme="minorHAnsi" w:cstheme="minorHAnsi"/>
                <w:sz w:val="16"/>
                <w:szCs w:val="16"/>
              </w:rPr>
              <w:t>3</w:t>
            </w:r>
          </w:p>
        </w:tc>
        <w:tc>
          <w:tcPr>
            <w:tcW w:w="973" w:type="dxa"/>
            <w:vAlign w:val="center"/>
          </w:tcPr>
          <w:p w14:paraId="7EF8B07F" w14:textId="77777777" w:rsidR="00C36810" w:rsidRPr="00C36810" w:rsidRDefault="00C36810" w:rsidP="00AE247E">
            <w:pPr>
              <w:pStyle w:val="Tabela"/>
              <w:rPr>
                <w:rFonts w:asciiTheme="minorHAnsi" w:hAnsiTheme="minorHAnsi" w:cstheme="minorHAnsi"/>
                <w:sz w:val="16"/>
                <w:szCs w:val="16"/>
              </w:rPr>
            </w:pPr>
            <w:r w:rsidRPr="00C36810">
              <w:rPr>
                <w:rFonts w:asciiTheme="minorHAnsi" w:hAnsiTheme="minorHAnsi" w:cstheme="minorHAnsi"/>
                <w:sz w:val="16"/>
                <w:szCs w:val="16"/>
              </w:rPr>
              <w:t>D</w:t>
            </w:r>
          </w:p>
        </w:tc>
        <w:tc>
          <w:tcPr>
            <w:tcW w:w="4223" w:type="dxa"/>
            <w:gridSpan w:val="2"/>
            <w:vAlign w:val="center"/>
          </w:tcPr>
          <w:p w14:paraId="2597E276" w14:textId="77777777" w:rsidR="00C36810" w:rsidRPr="00C36810" w:rsidRDefault="00C36810" w:rsidP="00AE247E">
            <w:pPr>
              <w:pStyle w:val="Tabela"/>
              <w:rPr>
                <w:rFonts w:asciiTheme="minorHAnsi" w:hAnsiTheme="minorHAnsi" w:cstheme="minorHAnsi"/>
                <w:sz w:val="16"/>
                <w:szCs w:val="16"/>
              </w:rPr>
            </w:pPr>
            <w:r w:rsidRPr="00C36810">
              <w:rPr>
                <w:rFonts w:asciiTheme="minorHAnsi" w:hAnsiTheme="minorHAnsi" w:cstheme="minorHAnsi"/>
                <w:sz w:val="16"/>
                <w:szCs w:val="16"/>
              </w:rPr>
              <w:t xml:space="preserve">Ubytek masy po badaniu: </w:t>
            </w:r>
          </w:p>
          <w:p w14:paraId="4ED7991D" w14:textId="77777777" w:rsidR="00C36810" w:rsidRPr="00C36810" w:rsidRDefault="00C36810" w:rsidP="00AE247E">
            <w:pPr>
              <w:pStyle w:val="Tabela"/>
              <w:rPr>
                <w:rFonts w:asciiTheme="minorHAnsi" w:hAnsiTheme="minorHAnsi" w:cstheme="minorHAnsi"/>
                <w:sz w:val="16"/>
                <w:szCs w:val="16"/>
              </w:rPr>
            </w:pPr>
            <w:r w:rsidRPr="00C36810">
              <w:rPr>
                <w:rFonts w:asciiTheme="minorHAnsi" w:hAnsiTheme="minorHAnsi" w:cstheme="minorHAnsi"/>
                <w:sz w:val="16"/>
                <w:szCs w:val="16"/>
              </w:rPr>
              <w:t>wartość średnia ≤ 1,0 kg/m</w:t>
            </w:r>
            <w:r w:rsidRPr="00C36810">
              <w:rPr>
                <w:rFonts w:asciiTheme="minorHAnsi" w:hAnsiTheme="minorHAnsi" w:cstheme="minorHAnsi"/>
                <w:sz w:val="16"/>
                <w:szCs w:val="16"/>
                <w:vertAlign w:val="superscript"/>
              </w:rPr>
              <w:t>2</w:t>
            </w:r>
            <w:r w:rsidRPr="00C36810">
              <w:rPr>
                <w:rFonts w:asciiTheme="minorHAnsi" w:hAnsiTheme="minorHAnsi" w:cstheme="minorHAnsi"/>
                <w:sz w:val="16"/>
                <w:szCs w:val="16"/>
              </w:rPr>
              <w:t xml:space="preserve">, przy czym </w:t>
            </w:r>
          </w:p>
          <w:p w14:paraId="4019DBFB" w14:textId="77777777" w:rsidR="00C36810" w:rsidRPr="00C36810" w:rsidRDefault="00C36810" w:rsidP="00AE247E">
            <w:pPr>
              <w:pStyle w:val="Tabela"/>
              <w:rPr>
                <w:rFonts w:asciiTheme="minorHAnsi" w:hAnsiTheme="minorHAnsi" w:cstheme="minorHAnsi"/>
                <w:sz w:val="16"/>
                <w:szCs w:val="16"/>
              </w:rPr>
            </w:pPr>
            <w:r w:rsidRPr="00C36810">
              <w:rPr>
                <w:rFonts w:asciiTheme="minorHAnsi" w:hAnsiTheme="minorHAnsi" w:cstheme="minorHAnsi"/>
                <w:sz w:val="16"/>
                <w:szCs w:val="16"/>
              </w:rPr>
              <w:t>każdy pojedynczy wynik &lt; 1,5 kg/m</w:t>
            </w:r>
            <w:r w:rsidRPr="00C36810">
              <w:rPr>
                <w:rFonts w:asciiTheme="minorHAnsi" w:hAnsiTheme="minorHAnsi" w:cstheme="minorHAnsi"/>
                <w:sz w:val="16"/>
                <w:szCs w:val="16"/>
                <w:vertAlign w:val="superscript"/>
              </w:rPr>
              <w:t>2</w:t>
            </w:r>
          </w:p>
        </w:tc>
      </w:tr>
      <w:tr w:rsidR="00C36810" w:rsidRPr="00C36810" w14:paraId="1AA50234" w14:textId="77777777" w:rsidTr="00AE247E">
        <w:trPr>
          <w:cantSplit/>
          <w:trHeight w:val="284"/>
          <w:jc w:val="center"/>
        </w:trPr>
        <w:tc>
          <w:tcPr>
            <w:tcW w:w="562" w:type="dxa"/>
            <w:vMerge w:val="restart"/>
            <w:vAlign w:val="center"/>
          </w:tcPr>
          <w:p w14:paraId="4887B72E" w14:textId="77777777" w:rsidR="00C36810" w:rsidRPr="00C36810" w:rsidRDefault="00C36810" w:rsidP="00AE247E">
            <w:pPr>
              <w:pStyle w:val="Tabela"/>
              <w:rPr>
                <w:rFonts w:asciiTheme="minorHAnsi" w:hAnsiTheme="minorHAnsi" w:cstheme="minorHAnsi"/>
                <w:sz w:val="16"/>
                <w:szCs w:val="16"/>
              </w:rPr>
            </w:pPr>
            <w:r w:rsidRPr="00C36810">
              <w:rPr>
                <w:rFonts w:asciiTheme="minorHAnsi" w:hAnsiTheme="minorHAnsi" w:cstheme="minorHAnsi"/>
                <w:sz w:val="16"/>
                <w:szCs w:val="16"/>
              </w:rPr>
              <w:t>2</w:t>
            </w:r>
          </w:p>
        </w:tc>
        <w:tc>
          <w:tcPr>
            <w:tcW w:w="2650" w:type="dxa"/>
            <w:vMerge w:val="restart"/>
            <w:vAlign w:val="center"/>
          </w:tcPr>
          <w:p w14:paraId="198B483D" w14:textId="77777777" w:rsidR="00C36810" w:rsidRPr="00C36810" w:rsidRDefault="00C36810" w:rsidP="00AE247E">
            <w:pPr>
              <w:pStyle w:val="Tabela"/>
              <w:rPr>
                <w:rFonts w:asciiTheme="minorHAnsi" w:hAnsiTheme="minorHAnsi" w:cstheme="minorHAnsi"/>
                <w:sz w:val="16"/>
                <w:szCs w:val="16"/>
              </w:rPr>
            </w:pPr>
            <w:r w:rsidRPr="00C36810">
              <w:rPr>
                <w:rFonts w:asciiTheme="minorHAnsi" w:hAnsiTheme="minorHAnsi" w:cstheme="minorHAnsi"/>
                <w:sz w:val="16"/>
                <w:szCs w:val="16"/>
              </w:rPr>
              <w:t>Wytrzymałość na zginanie</w:t>
            </w:r>
          </w:p>
        </w:tc>
        <w:tc>
          <w:tcPr>
            <w:tcW w:w="772" w:type="dxa"/>
            <w:vMerge w:val="restart"/>
            <w:vAlign w:val="center"/>
          </w:tcPr>
          <w:p w14:paraId="0F5F0E8D" w14:textId="77777777" w:rsidR="00C36810" w:rsidRPr="00C36810" w:rsidRDefault="00C36810" w:rsidP="00AE247E">
            <w:pPr>
              <w:pStyle w:val="Tabela"/>
              <w:rPr>
                <w:rFonts w:asciiTheme="minorHAnsi" w:hAnsiTheme="minorHAnsi" w:cstheme="minorHAnsi"/>
                <w:sz w:val="16"/>
                <w:szCs w:val="16"/>
              </w:rPr>
            </w:pPr>
            <w:r w:rsidRPr="00C36810">
              <w:rPr>
                <w:rFonts w:asciiTheme="minorHAnsi" w:hAnsiTheme="minorHAnsi" w:cstheme="minorHAnsi"/>
                <w:sz w:val="16"/>
                <w:szCs w:val="16"/>
              </w:rPr>
              <w:t>2</w:t>
            </w:r>
          </w:p>
        </w:tc>
        <w:tc>
          <w:tcPr>
            <w:tcW w:w="973" w:type="dxa"/>
            <w:vMerge w:val="restart"/>
            <w:vAlign w:val="center"/>
          </w:tcPr>
          <w:p w14:paraId="4CBDE826" w14:textId="77777777" w:rsidR="00C36810" w:rsidRPr="00C36810" w:rsidRDefault="00C36810" w:rsidP="00AE247E">
            <w:pPr>
              <w:pStyle w:val="Tabela"/>
              <w:rPr>
                <w:rFonts w:asciiTheme="minorHAnsi" w:hAnsiTheme="minorHAnsi" w:cstheme="minorHAnsi"/>
                <w:sz w:val="16"/>
                <w:szCs w:val="16"/>
              </w:rPr>
            </w:pPr>
            <w:r w:rsidRPr="00C36810">
              <w:rPr>
                <w:rFonts w:asciiTheme="minorHAnsi" w:hAnsiTheme="minorHAnsi" w:cstheme="minorHAnsi"/>
                <w:sz w:val="16"/>
                <w:szCs w:val="16"/>
              </w:rPr>
              <w:t>T</w:t>
            </w:r>
          </w:p>
        </w:tc>
        <w:tc>
          <w:tcPr>
            <w:tcW w:w="2664" w:type="dxa"/>
            <w:vAlign w:val="center"/>
          </w:tcPr>
          <w:p w14:paraId="2C7FEB19" w14:textId="77777777" w:rsidR="00C36810" w:rsidRPr="00C36810" w:rsidRDefault="00C36810" w:rsidP="00AE247E">
            <w:pPr>
              <w:pStyle w:val="Tabela"/>
              <w:rPr>
                <w:rFonts w:asciiTheme="minorHAnsi" w:hAnsiTheme="minorHAnsi" w:cstheme="minorHAnsi"/>
                <w:sz w:val="16"/>
                <w:szCs w:val="16"/>
              </w:rPr>
            </w:pPr>
            <w:r w:rsidRPr="00C36810">
              <w:rPr>
                <w:rFonts w:asciiTheme="minorHAnsi" w:hAnsiTheme="minorHAnsi" w:cstheme="minorHAnsi"/>
                <w:sz w:val="16"/>
                <w:szCs w:val="16"/>
              </w:rPr>
              <w:t>Charakterystyczna wytrzymałość, MPa</w:t>
            </w:r>
          </w:p>
        </w:tc>
        <w:tc>
          <w:tcPr>
            <w:tcW w:w="1559" w:type="dxa"/>
            <w:vAlign w:val="center"/>
          </w:tcPr>
          <w:p w14:paraId="426AEA22" w14:textId="77777777" w:rsidR="00C36810" w:rsidRPr="00C36810" w:rsidRDefault="00C36810" w:rsidP="00AE247E">
            <w:pPr>
              <w:pStyle w:val="Tabela"/>
              <w:rPr>
                <w:rFonts w:asciiTheme="minorHAnsi" w:hAnsiTheme="minorHAnsi" w:cstheme="minorHAnsi"/>
                <w:sz w:val="16"/>
                <w:szCs w:val="16"/>
              </w:rPr>
            </w:pPr>
            <w:r w:rsidRPr="00C36810">
              <w:rPr>
                <w:rFonts w:asciiTheme="minorHAnsi" w:hAnsiTheme="minorHAnsi" w:cstheme="minorHAnsi"/>
                <w:sz w:val="16"/>
                <w:szCs w:val="16"/>
              </w:rPr>
              <w:t xml:space="preserve">≥ 4,0 </w:t>
            </w:r>
          </w:p>
        </w:tc>
      </w:tr>
      <w:tr w:rsidR="00C36810" w:rsidRPr="00C36810" w14:paraId="36C6A50C" w14:textId="77777777" w:rsidTr="00AE247E">
        <w:trPr>
          <w:cantSplit/>
          <w:trHeight w:val="284"/>
          <w:jc w:val="center"/>
        </w:trPr>
        <w:tc>
          <w:tcPr>
            <w:tcW w:w="562" w:type="dxa"/>
            <w:vMerge/>
            <w:vAlign w:val="center"/>
          </w:tcPr>
          <w:p w14:paraId="4752554A" w14:textId="77777777" w:rsidR="00C36810" w:rsidRPr="00C36810" w:rsidRDefault="00C36810" w:rsidP="00AE247E">
            <w:pPr>
              <w:pStyle w:val="Tabela"/>
              <w:rPr>
                <w:rFonts w:asciiTheme="minorHAnsi" w:hAnsiTheme="minorHAnsi" w:cstheme="minorHAnsi"/>
                <w:sz w:val="16"/>
                <w:szCs w:val="16"/>
              </w:rPr>
            </w:pPr>
          </w:p>
        </w:tc>
        <w:tc>
          <w:tcPr>
            <w:tcW w:w="2650" w:type="dxa"/>
            <w:vMerge/>
            <w:vAlign w:val="center"/>
          </w:tcPr>
          <w:p w14:paraId="3C9ECDE7" w14:textId="77777777" w:rsidR="00C36810" w:rsidRPr="00C36810" w:rsidRDefault="00C36810" w:rsidP="00AE247E">
            <w:pPr>
              <w:pStyle w:val="Tabela"/>
              <w:rPr>
                <w:rFonts w:asciiTheme="minorHAnsi" w:hAnsiTheme="minorHAnsi" w:cstheme="minorHAnsi"/>
                <w:sz w:val="16"/>
                <w:szCs w:val="16"/>
              </w:rPr>
            </w:pPr>
          </w:p>
        </w:tc>
        <w:tc>
          <w:tcPr>
            <w:tcW w:w="772" w:type="dxa"/>
            <w:vMerge/>
            <w:vAlign w:val="center"/>
          </w:tcPr>
          <w:p w14:paraId="334DDE7A" w14:textId="77777777" w:rsidR="00C36810" w:rsidRPr="00C36810" w:rsidRDefault="00C36810" w:rsidP="00AE247E">
            <w:pPr>
              <w:pStyle w:val="Tabela"/>
              <w:rPr>
                <w:rFonts w:asciiTheme="minorHAnsi" w:hAnsiTheme="minorHAnsi" w:cstheme="minorHAnsi"/>
                <w:sz w:val="16"/>
                <w:szCs w:val="16"/>
              </w:rPr>
            </w:pPr>
          </w:p>
        </w:tc>
        <w:tc>
          <w:tcPr>
            <w:tcW w:w="973" w:type="dxa"/>
            <w:vMerge/>
            <w:vAlign w:val="center"/>
          </w:tcPr>
          <w:p w14:paraId="4D5CB3B4" w14:textId="77777777" w:rsidR="00C36810" w:rsidRPr="00C36810" w:rsidRDefault="00C36810" w:rsidP="00AE247E">
            <w:pPr>
              <w:pStyle w:val="Tabela"/>
              <w:rPr>
                <w:rFonts w:asciiTheme="minorHAnsi" w:hAnsiTheme="minorHAnsi" w:cstheme="minorHAnsi"/>
                <w:sz w:val="16"/>
                <w:szCs w:val="16"/>
              </w:rPr>
            </w:pPr>
          </w:p>
        </w:tc>
        <w:tc>
          <w:tcPr>
            <w:tcW w:w="2664" w:type="dxa"/>
            <w:vAlign w:val="center"/>
          </w:tcPr>
          <w:p w14:paraId="7866E1DF" w14:textId="77777777" w:rsidR="00C36810" w:rsidRPr="00C36810" w:rsidRDefault="00C36810" w:rsidP="00AE247E">
            <w:pPr>
              <w:pStyle w:val="Tabela"/>
              <w:rPr>
                <w:rFonts w:asciiTheme="minorHAnsi" w:hAnsiTheme="minorHAnsi" w:cstheme="minorHAnsi"/>
                <w:sz w:val="16"/>
                <w:szCs w:val="16"/>
              </w:rPr>
            </w:pPr>
            <w:r w:rsidRPr="00C36810">
              <w:rPr>
                <w:rFonts w:asciiTheme="minorHAnsi" w:hAnsiTheme="minorHAnsi" w:cstheme="minorHAnsi"/>
                <w:sz w:val="16"/>
                <w:szCs w:val="16"/>
              </w:rPr>
              <w:t>Każdy pojedynczy wynik, MPa</w:t>
            </w:r>
          </w:p>
        </w:tc>
        <w:tc>
          <w:tcPr>
            <w:tcW w:w="1559" w:type="dxa"/>
            <w:vAlign w:val="center"/>
          </w:tcPr>
          <w:p w14:paraId="1DF40DEB" w14:textId="77777777" w:rsidR="00C36810" w:rsidRPr="00C36810" w:rsidRDefault="00C36810" w:rsidP="00AE247E">
            <w:pPr>
              <w:pStyle w:val="Tabela"/>
              <w:rPr>
                <w:rFonts w:asciiTheme="minorHAnsi" w:hAnsiTheme="minorHAnsi" w:cstheme="minorHAnsi"/>
                <w:sz w:val="16"/>
                <w:szCs w:val="16"/>
              </w:rPr>
            </w:pPr>
            <w:r w:rsidRPr="00C36810">
              <w:rPr>
                <w:rFonts w:asciiTheme="minorHAnsi" w:hAnsiTheme="minorHAnsi" w:cstheme="minorHAnsi"/>
                <w:sz w:val="16"/>
                <w:szCs w:val="16"/>
              </w:rPr>
              <w:t>&gt; 3,2</w:t>
            </w:r>
          </w:p>
        </w:tc>
      </w:tr>
      <w:tr w:rsidR="00C36810" w:rsidRPr="00C36810" w14:paraId="09EA1B38" w14:textId="77777777" w:rsidTr="00AE247E">
        <w:trPr>
          <w:cantSplit/>
          <w:trHeight w:val="284"/>
          <w:jc w:val="center"/>
        </w:trPr>
        <w:tc>
          <w:tcPr>
            <w:tcW w:w="562" w:type="dxa"/>
            <w:vAlign w:val="center"/>
          </w:tcPr>
          <w:p w14:paraId="7DB68B6E" w14:textId="77777777" w:rsidR="00C36810" w:rsidRPr="00C36810" w:rsidRDefault="00C36810" w:rsidP="00AE247E">
            <w:pPr>
              <w:pStyle w:val="Tabela"/>
              <w:rPr>
                <w:rFonts w:asciiTheme="minorHAnsi" w:hAnsiTheme="minorHAnsi" w:cstheme="minorHAnsi"/>
                <w:sz w:val="16"/>
                <w:szCs w:val="16"/>
              </w:rPr>
            </w:pPr>
            <w:r w:rsidRPr="00C36810">
              <w:rPr>
                <w:rFonts w:asciiTheme="minorHAnsi" w:hAnsiTheme="minorHAnsi" w:cstheme="minorHAnsi"/>
                <w:sz w:val="16"/>
                <w:szCs w:val="16"/>
              </w:rPr>
              <w:t>3</w:t>
            </w:r>
          </w:p>
        </w:tc>
        <w:tc>
          <w:tcPr>
            <w:tcW w:w="2650" w:type="dxa"/>
            <w:vAlign w:val="center"/>
          </w:tcPr>
          <w:p w14:paraId="5F100580" w14:textId="77777777" w:rsidR="00C36810" w:rsidRPr="00C36810" w:rsidRDefault="00C36810" w:rsidP="00AE247E">
            <w:pPr>
              <w:pStyle w:val="Tabela"/>
              <w:rPr>
                <w:rFonts w:asciiTheme="minorHAnsi" w:hAnsiTheme="minorHAnsi" w:cstheme="minorHAnsi"/>
                <w:sz w:val="16"/>
                <w:szCs w:val="16"/>
              </w:rPr>
            </w:pPr>
            <w:r w:rsidRPr="00C36810">
              <w:rPr>
                <w:rFonts w:asciiTheme="minorHAnsi" w:hAnsiTheme="minorHAnsi" w:cstheme="minorHAnsi"/>
                <w:sz w:val="16"/>
                <w:szCs w:val="16"/>
              </w:rPr>
              <w:t>Nasiąkliwość</w:t>
            </w:r>
          </w:p>
        </w:tc>
        <w:tc>
          <w:tcPr>
            <w:tcW w:w="772" w:type="dxa"/>
            <w:vAlign w:val="center"/>
          </w:tcPr>
          <w:p w14:paraId="04AFFA29" w14:textId="77777777" w:rsidR="00C36810" w:rsidRPr="00C36810" w:rsidRDefault="00C36810" w:rsidP="00AE247E">
            <w:pPr>
              <w:pStyle w:val="Tabela"/>
              <w:rPr>
                <w:rFonts w:asciiTheme="minorHAnsi" w:hAnsiTheme="minorHAnsi" w:cstheme="minorHAnsi"/>
                <w:sz w:val="16"/>
                <w:szCs w:val="16"/>
              </w:rPr>
            </w:pPr>
            <w:r w:rsidRPr="00C36810">
              <w:rPr>
                <w:rFonts w:asciiTheme="minorHAnsi" w:hAnsiTheme="minorHAnsi" w:cstheme="minorHAnsi"/>
                <w:sz w:val="16"/>
                <w:szCs w:val="16"/>
              </w:rPr>
              <w:t>2</w:t>
            </w:r>
          </w:p>
        </w:tc>
        <w:tc>
          <w:tcPr>
            <w:tcW w:w="973" w:type="dxa"/>
            <w:vAlign w:val="center"/>
          </w:tcPr>
          <w:p w14:paraId="6E1CB7A1" w14:textId="77777777" w:rsidR="00C36810" w:rsidRPr="00C36810" w:rsidRDefault="00C36810" w:rsidP="00AE247E">
            <w:pPr>
              <w:pStyle w:val="Tabela"/>
              <w:rPr>
                <w:rFonts w:asciiTheme="minorHAnsi" w:hAnsiTheme="minorHAnsi" w:cstheme="minorHAnsi"/>
                <w:sz w:val="16"/>
                <w:szCs w:val="16"/>
              </w:rPr>
            </w:pPr>
            <w:r w:rsidRPr="00C36810">
              <w:rPr>
                <w:rFonts w:asciiTheme="minorHAnsi" w:hAnsiTheme="minorHAnsi" w:cstheme="minorHAnsi"/>
                <w:sz w:val="16"/>
                <w:szCs w:val="16"/>
              </w:rPr>
              <w:t>B</w:t>
            </w:r>
          </w:p>
        </w:tc>
        <w:tc>
          <w:tcPr>
            <w:tcW w:w="2664" w:type="dxa"/>
            <w:vAlign w:val="center"/>
          </w:tcPr>
          <w:p w14:paraId="5EBD994B" w14:textId="77777777" w:rsidR="00C36810" w:rsidRPr="00C36810" w:rsidRDefault="00C36810" w:rsidP="00AE247E">
            <w:pPr>
              <w:pStyle w:val="Tabela"/>
              <w:rPr>
                <w:rFonts w:asciiTheme="minorHAnsi" w:hAnsiTheme="minorHAnsi" w:cstheme="minorHAnsi"/>
                <w:sz w:val="16"/>
                <w:szCs w:val="16"/>
              </w:rPr>
            </w:pPr>
            <w:r w:rsidRPr="00C36810">
              <w:rPr>
                <w:rFonts w:asciiTheme="minorHAnsi" w:hAnsiTheme="minorHAnsi" w:cstheme="minorHAnsi"/>
                <w:sz w:val="16"/>
                <w:szCs w:val="16"/>
              </w:rPr>
              <w:t xml:space="preserve">Wartość średnia      </w:t>
            </w:r>
          </w:p>
        </w:tc>
        <w:tc>
          <w:tcPr>
            <w:tcW w:w="1559" w:type="dxa"/>
            <w:vAlign w:val="center"/>
          </w:tcPr>
          <w:p w14:paraId="2AAEAB30" w14:textId="77777777" w:rsidR="00C36810" w:rsidRPr="00C36810" w:rsidRDefault="00C36810" w:rsidP="00AE247E">
            <w:pPr>
              <w:pStyle w:val="Tabela"/>
              <w:rPr>
                <w:rFonts w:asciiTheme="minorHAnsi" w:hAnsiTheme="minorHAnsi" w:cstheme="minorHAnsi"/>
                <w:sz w:val="16"/>
                <w:szCs w:val="16"/>
              </w:rPr>
            </w:pPr>
            <w:r w:rsidRPr="00C36810">
              <w:rPr>
                <w:rFonts w:asciiTheme="minorHAnsi" w:hAnsiTheme="minorHAnsi" w:cstheme="minorHAnsi"/>
                <w:sz w:val="16"/>
                <w:szCs w:val="16"/>
              </w:rPr>
              <w:t>≤ 6,0 %</w:t>
            </w:r>
          </w:p>
        </w:tc>
      </w:tr>
    </w:tbl>
    <w:p w14:paraId="7522F175" w14:textId="77777777" w:rsidR="00C36810" w:rsidRPr="00C36810" w:rsidRDefault="00C36810" w:rsidP="00C36810">
      <w:pPr>
        <w:rPr>
          <w:rFonts w:asciiTheme="minorHAnsi" w:hAnsiTheme="minorHAnsi" w:cstheme="minorHAnsi"/>
          <w:sz w:val="18"/>
          <w:szCs w:val="18"/>
        </w:rPr>
      </w:pPr>
    </w:p>
    <w:p w14:paraId="58960598" w14:textId="77777777" w:rsidR="00C36810" w:rsidRPr="00C36810" w:rsidRDefault="00C36810" w:rsidP="00C36810">
      <w:pPr>
        <w:spacing w:before="5" w:line="240" w:lineRule="exact"/>
        <w:rPr>
          <w:rFonts w:asciiTheme="minorHAnsi" w:eastAsia="Calibri" w:hAnsiTheme="minorHAnsi" w:cstheme="minorHAnsi"/>
          <w:b/>
          <w:bCs/>
          <w:sz w:val="18"/>
          <w:szCs w:val="18"/>
        </w:rPr>
      </w:pPr>
      <w:r w:rsidRPr="00C36810">
        <w:rPr>
          <w:rFonts w:asciiTheme="minorHAnsi" w:eastAsia="Calibri" w:hAnsiTheme="minorHAnsi" w:cstheme="minorHAnsi"/>
          <w:b/>
          <w:bCs/>
          <w:sz w:val="18"/>
          <w:szCs w:val="18"/>
        </w:rPr>
        <w:t xml:space="preserve">- płyty betonowe </w:t>
      </w:r>
    </w:p>
    <w:p w14:paraId="0E618E3C" w14:textId="77777777" w:rsidR="00C36810" w:rsidRPr="00C36810" w:rsidRDefault="00C36810" w:rsidP="00C36810">
      <w:pPr>
        <w:spacing w:before="5" w:line="240" w:lineRule="exact"/>
        <w:rPr>
          <w:rFonts w:asciiTheme="minorHAnsi" w:eastAsia="Calibri" w:hAnsiTheme="minorHAnsi" w:cstheme="minorHAnsi"/>
          <w:sz w:val="18"/>
          <w:szCs w:val="18"/>
        </w:rPr>
      </w:pPr>
      <w:r w:rsidRPr="00C36810">
        <w:rPr>
          <w:rFonts w:asciiTheme="minorHAnsi" w:eastAsia="Calibri" w:hAnsiTheme="minorHAnsi" w:cstheme="minorHAnsi"/>
          <w:sz w:val="18"/>
          <w:szCs w:val="18"/>
        </w:rPr>
        <w:t>Płytki powinny spełniać wymagania normy PN-EN 1339.</w:t>
      </w:r>
    </w:p>
    <w:p w14:paraId="4F9A4A7E" w14:textId="77777777" w:rsidR="00C36810" w:rsidRPr="00C36810" w:rsidRDefault="00C36810" w:rsidP="00C36810">
      <w:pPr>
        <w:spacing w:before="5" w:line="245" w:lineRule="exact"/>
        <w:rPr>
          <w:rFonts w:asciiTheme="minorHAnsi" w:eastAsia="Calibri" w:hAnsiTheme="minorHAnsi" w:cstheme="minorHAnsi"/>
          <w:sz w:val="18"/>
          <w:szCs w:val="18"/>
        </w:rPr>
      </w:pPr>
      <w:r w:rsidRPr="00C36810">
        <w:rPr>
          <w:rFonts w:asciiTheme="minorHAnsi" w:eastAsia="Calibri" w:hAnsiTheme="minorHAnsi" w:cstheme="minorHAnsi"/>
          <w:sz w:val="18"/>
          <w:szCs w:val="18"/>
        </w:rPr>
        <w:t>Krawędzie powierzchni prostopadłych mogą być ścięte skośnie lub zaokrąglone, przy czym wymiary zaokrąglenia w pionie i poziomie nie mogą być większe niż 2mm. Przy skosach większych producent winien opisać je jako fazowane.</w:t>
      </w:r>
    </w:p>
    <w:p w14:paraId="6D28B48A" w14:textId="77777777" w:rsidR="00C36810" w:rsidRPr="00C36810" w:rsidRDefault="00C36810" w:rsidP="00C36810">
      <w:pPr>
        <w:spacing w:line="240" w:lineRule="exact"/>
        <w:rPr>
          <w:rFonts w:asciiTheme="minorHAnsi" w:eastAsia="Calibri" w:hAnsiTheme="minorHAnsi" w:cstheme="minorHAnsi"/>
          <w:sz w:val="18"/>
          <w:szCs w:val="18"/>
        </w:rPr>
      </w:pPr>
      <w:r w:rsidRPr="00C36810">
        <w:rPr>
          <w:rFonts w:asciiTheme="minorHAnsi" w:eastAsia="Calibri" w:hAnsiTheme="minorHAnsi" w:cstheme="minorHAnsi"/>
          <w:sz w:val="18"/>
          <w:szCs w:val="18"/>
        </w:rPr>
        <w:t>Dopuszczalne odchyłki wymiarów płyt chodnikowych betonowych dla płyt o wymiarach nominalnych mniejszych od 60cm wg Tablicy 1 normy PN-EN 1339 wynoszą: dla długości i szerokości: - ± 2 mm; dla grubości :- ± 3 mm -klasa 2-P</w:t>
      </w:r>
    </w:p>
    <w:p w14:paraId="4DA2FA22" w14:textId="77777777" w:rsidR="00C36810" w:rsidRPr="00C36810" w:rsidRDefault="00C36810" w:rsidP="00C36810">
      <w:pPr>
        <w:spacing w:line="245" w:lineRule="exact"/>
        <w:rPr>
          <w:rFonts w:asciiTheme="minorHAnsi" w:eastAsia="Calibri" w:hAnsiTheme="minorHAnsi" w:cstheme="minorHAnsi"/>
          <w:sz w:val="18"/>
          <w:szCs w:val="18"/>
        </w:rPr>
      </w:pPr>
      <w:r w:rsidRPr="00C36810">
        <w:rPr>
          <w:rFonts w:asciiTheme="minorHAnsi" w:eastAsia="Calibri" w:hAnsiTheme="minorHAnsi" w:cstheme="minorHAnsi"/>
          <w:sz w:val="18"/>
          <w:szCs w:val="18"/>
        </w:rPr>
        <w:t>Maksymalne różnice między przekątnymi płyty o długości mniejszej niż 850 mm powinny wynosić mniej niż 3 mm (klasa 2-K) Maksymalna wypukłość dla płyty o dł. 35 0mm -2mm natomiast maksymalna wklęsłość- 1,5 mm.</w:t>
      </w:r>
    </w:p>
    <w:p w14:paraId="0062C8B1" w14:textId="77777777" w:rsidR="00C36810" w:rsidRPr="00C36810" w:rsidRDefault="00C36810" w:rsidP="00C36810">
      <w:pPr>
        <w:spacing w:before="240" w:line="245" w:lineRule="exact"/>
        <w:rPr>
          <w:rFonts w:asciiTheme="minorHAnsi" w:eastAsia="Calibri" w:hAnsiTheme="minorHAnsi" w:cstheme="minorHAnsi"/>
          <w:sz w:val="18"/>
          <w:szCs w:val="18"/>
        </w:rPr>
      </w:pPr>
      <w:r w:rsidRPr="00C36810">
        <w:rPr>
          <w:rFonts w:asciiTheme="minorHAnsi" w:eastAsia="Calibri" w:hAnsiTheme="minorHAnsi" w:cstheme="minorHAnsi"/>
          <w:sz w:val="18"/>
          <w:szCs w:val="18"/>
        </w:rPr>
        <w:t>Cechy fizykomechaniczne płytek powinny być określone zgodnie z poszczególnymi załącznikami normy PNEN 1339:2005. Należy określić:</w:t>
      </w:r>
    </w:p>
    <w:p w14:paraId="68B9D5B6" w14:textId="77777777" w:rsidR="00C36810" w:rsidRPr="00C36810" w:rsidRDefault="00C36810" w:rsidP="00262498">
      <w:pPr>
        <w:numPr>
          <w:ilvl w:val="0"/>
          <w:numId w:val="236"/>
        </w:numPr>
        <w:tabs>
          <w:tab w:val="left" w:pos="725"/>
        </w:tabs>
        <w:overflowPunct/>
        <w:autoSpaceDE/>
        <w:autoSpaceDN/>
        <w:adjustRightInd/>
        <w:spacing w:line="250" w:lineRule="exact"/>
        <w:ind w:left="283" w:hanging="283"/>
        <w:textAlignment w:val="auto"/>
        <w:rPr>
          <w:rFonts w:asciiTheme="minorHAnsi" w:eastAsia="Calibri" w:hAnsiTheme="minorHAnsi" w:cstheme="minorHAnsi"/>
          <w:sz w:val="18"/>
          <w:szCs w:val="18"/>
        </w:rPr>
      </w:pPr>
      <w:r w:rsidRPr="00C36810">
        <w:rPr>
          <w:rFonts w:asciiTheme="minorHAnsi" w:eastAsia="Calibri" w:hAnsiTheme="minorHAnsi" w:cstheme="minorHAnsi"/>
          <w:sz w:val="18"/>
          <w:szCs w:val="18"/>
        </w:rPr>
        <w:t>1. odporność na warunki atmosferyczne (odporność na zamrażanie i rozmrażanie z udziałem soli odladzających-klasa 3 -D)</w:t>
      </w:r>
    </w:p>
    <w:p w14:paraId="3C4895CA" w14:textId="77777777" w:rsidR="00C36810" w:rsidRPr="00C36810" w:rsidRDefault="00C36810" w:rsidP="00262498">
      <w:pPr>
        <w:numPr>
          <w:ilvl w:val="0"/>
          <w:numId w:val="236"/>
        </w:numPr>
        <w:tabs>
          <w:tab w:val="left" w:pos="725"/>
        </w:tabs>
        <w:overflowPunct/>
        <w:autoSpaceDE/>
        <w:autoSpaceDN/>
        <w:adjustRightInd/>
        <w:spacing w:line="250" w:lineRule="exact"/>
        <w:ind w:left="283" w:hanging="283"/>
        <w:textAlignment w:val="auto"/>
        <w:rPr>
          <w:rFonts w:asciiTheme="minorHAnsi" w:eastAsia="Calibri" w:hAnsiTheme="minorHAnsi" w:cstheme="minorHAnsi"/>
          <w:sz w:val="18"/>
          <w:szCs w:val="18"/>
        </w:rPr>
      </w:pPr>
      <w:r w:rsidRPr="00C36810">
        <w:rPr>
          <w:rFonts w:asciiTheme="minorHAnsi" w:eastAsia="Calibri" w:hAnsiTheme="minorHAnsi" w:cstheme="minorHAnsi"/>
          <w:sz w:val="18"/>
          <w:szCs w:val="18"/>
        </w:rPr>
        <w:t>2. wytrzymałość na zginanie (min. wytrzymałość charakterystyczna na zginanie - 5 Mpa, minimalna 4 Mpa dla klasy 3-U)</w:t>
      </w:r>
    </w:p>
    <w:p w14:paraId="47A7331C" w14:textId="77777777" w:rsidR="00C36810" w:rsidRPr="00C36810" w:rsidRDefault="00C36810" w:rsidP="00262498">
      <w:pPr>
        <w:numPr>
          <w:ilvl w:val="0"/>
          <w:numId w:val="236"/>
        </w:numPr>
        <w:tabs>
          <w:tab w:val="left" w:pos="725"/>
        </w:tabs>
        <w:overflowPunct/>
        <w:autoSpaceDE/>
        <w:autoSpaceDN/>
        <w:adjustRightInd/>
        <w:spacing w:line="250" w:lineRule="exact"/>
        <w:ind w:left="283" w:hanging="283"/>
        <w:textAlignment w:val="auto"/>
        <w:rPr>
          <w:rFonts w:asciiTheme="minorHAnsi" w:eastAsia="Calibri" w:hAnsiTheme="minorHAnsi" w:cstheme="minorHAnsi"/>
          <w:sz w:val="18"/>
          <w:szCs w:val="18"/>
        </w:rPr>
      </w:pPr>
      <w:r w:rsidRPr="00C36810">
        <w:rPr>
          <w:rFonts w:asciiTheme="minorHAnsi" w:eastAsia="Calibri" w:hAnsiTheme="minorHAnsi" w:cstheme="minorHAnsi"/>
          <w:sz w:val="18"/>
          <w:szCs w:val="18"/>
        </w:rPr>
        <w:t>3. odporność na ścieranie, klasa 4-I: w zależności od metody badania: poniżej 18000mm3/5000m2 lub poniżej 20mm</w:t>
      </w:r>
    </w:p>
    <w:p w14:paraId="74609302" w14:textId="77777777" w:rsidR="00C36810" w:rsidRPr="00C36810" w:rsidRDefault="00C36810" w:rsidP="00262498">
      <w:pPr>
        <w:numPr>
          <w:ilvl w:val="0"/>
          <w:numId w:val="236"/>
        </w:numPr>
        <w:tabs>
          <w:tab w:val="left" w:pos="725"/>
        </w:tabs>
        <w:overflowPunct/>
        <w:autoSpaceDE/>
        <w:autoSpaceDN/>
        <w:adjustRightInd/>
        <w:spacing w:line="250" w:lineRule="exact"/>
        <w:ind w:left="283" w:hanging="283"/>
        <w:textAlignment w:val="auto"/>
        <w:rPr>
          <w:rFonts w:asciiTheme="minorHAnsi" w:eastAsia="Calibri" w:hAnsiTheme="minorHAnsi" w:cstheme="minorHAnsi"/>
          <w:sz w:val="18"/>
          <w:szCs w:val="18"/>
        </w:rPr>
      </w:pPr>
      <w:r w:rsidRPr="00C36810">
        <w:rPr>
          <w:rFonts w:asciiTheme="minorHAnsi" w:eastAsia="Calibri" w:hAnsiTheme="minorHAnsi" w:cstheme="minorHAnsi"/>
          <w:sz w:val="18"/>
          <w:szCs w:val="18"/>
        </w:rPr>
        <w:t>4. odporność na poślizg, - zadawalająca</w:t>
      </w:r>
    </w:p>
    <w:p w14:paraId="37F4ABC3" w14:textId="77777777" w:rsidR="00C36810" w:rsidRPr="00C36810" w:rsidRDefault="00C36810" w:rsidP="00262498">
      <w:pPr>
        <w:numPr>
          <w:ilvl w:val="0"/>
          <w:numId w:val="236"/>
        </w:numPr>
        <w:tabs>
          <w:tab w:val="left" w:pos="725"/>
        </w:tabs>
        <w:overflowPunct/>
        <w:autoSpaceDE/>
        <w:autoSpaceDN/>
        <w:adjustRightInd/>
        <w:spacing w:line="250" w:lineRule="exact"/>
        <w:ind w:left="283" w:hanging="283"/>
        <w:textAlignment w:val="auto"/>
        <w:rPr>
          <w:rFonts w:asciiTheme="minorHAnsi" w:eastAsia="Calibri" w:hAnsiTheme="minorHAnsi" w:cstheme="minorHAnsi"/>
          <w:sz w:val="18"/>
          <w:szCs w:val="18"/>
        </w:rPr>
      </w:pPr>
      <w:r w:rsidRPr="00C36810">
        <w:rPr>
          <w:rFonts w:asciiTheme="minorHAnsi" w:eastAsia="Calibri" w:hAnsiTheme="minorHAnsi" w:cstheme="minorHAnsi"/>
          <w:sz w:val="18"/>
          <w:szCs w:val="18"/>
        </w:rPr>
        <w:t>5. nasiąkliwość -klasa 2-B (poniże 6%)</w:t>
      </w:r>
    </w:p>
    <w:p w14:paraId="406E3161" w14:textId="77777777" w:rsidR="00C36810" w:rsidRPr="00C36810" w:rsidRDefault="00C36810" w:rsidP="00C36810">
      <w:pPr>
        <w:rPr>
          <w:rFonts w:asciiTheme="minorHAnsi" w:hAnsiTheme="minorHAnsi" w:cstheme="minorHAnsi"/>
          <w:b/>
          <w:bCs/>
          <w:sz w:val="18"/>
          <w:szCs w:val="18"/>
        </w:rPr>
      </w:pPr>
      <w:r w:rsidRPr="00C36810">
        <w:rPr>
          <w:rFonts w:asciiTheme="minorHAnsi" w:hAnsiTheme="minorHAnsi" w:cstheme="minorHAnsi"/>
          <w:b/>
          <w:bCs/>
          <w:sz w:val="18"/>
          <w:szCs w:val="18"/>
        </w:rPr>
        <w:t>- korytka ściekowe</w:t>
      </w:r>
    </w:p>
    <w:p w14:paraId="5E693266" w14:textId="77777777" w:rsidR="00C36810" w:rsidRPr="00C36810" w:rsidRDefault="00C36810" w:rsidP="00C36810">
      <w:pPr>
        <w:rPr>
          <w:rFonts w:asciiTheme="minorHAnsi" w:hAnsiTheme="minorHAnsi" w:cstheme="minorHAnsi"/>
          <w:sz w:val="18"/>
          <w:szCs w:val="18"/>
        </w:rPr>
      </w:pPr>
      <w:r w:rsidRPr="00C36810">
        <w:rPr>
          <w:rFonts w:asciiTheme="minorHAnsi" w:hAnsiTheme="minorHAnsi" w:cstheme="minorHAnsi"/>
          <w:sz w:val="18"/>
          <w:szCs w:val="18"/>
        </w:rPr>
        <w:t>Zgodnie z  D.08.05.01</w:t>
      </w:r>
    </w:p>
    <w:p w14:paraId="04BF5CEF" w14:textId="77777777" w:rsidR="00C36810" w:rsidRPr="00C36810" w:rsidRDefault="00C36810" w:rsidP="00C36810">
      <w:pPr>
        <w:pStyle w:val="Nagwek4"/>
        <w:rPr>
          <w:rFonts w:asciiTheme="minorHAnsi" w:hAnsiTheme="minorHAnsi" w:cstheme="minorHAnsi"/>
          <w:sz w:val="18"/>
          <w:szCs w:val="18"/>
        </w:rPr>
      </w:pPr>
      <w:r w:rsidRPr="00C36810">
        <w:rPr>
          <w:rFonts w:asciiTheme="minorHAnsi" w:hAnsiTheme="minorHAnsi" w:cstheme="minorHAnsi"/>
          <w:sz w:val="18"/>
          <w:szCs w:val="18"/>
        </w:rPr>
        <w:t>2.10. Mieszanina do hydroobsiewu</w:t>
      </w:r>
    </w:p>
    <w:p w14:paraId="3C5CE330" w14:textId="77777777" w:rsidR="00C36810" w:rsidRPr="00C36810" w:rsidRDefault="00C36810" w:rsidP="00C36810">
      <w:pPr>
        <w:numPr>
          <w:ilvl w:val="12"/>
          <w:numId w:val="0"/>
        </w:numPr>
        <w:rPr>
          <w:rFonts w:asciiTheme="minorHAnsi" w:hAnsiTheme="minorHAnsi" w:cstheme="minorHAnsi"/>
          <w:sz w:val="18"/>
          <w:szCs w:val="18"/>
        </w:rPr>
      </w:pPr>
      <w:r w:rsidRPr="00C36810">
        <w:rPr>
          <w:rFonts w:asciiTheme="minorHAnsi" w:hAnsiTheme="minorHAnsi" w:cstheme="minorHAnsi"/>
          <w:sz w:val="18"/>
          <w:szCs w:val="18"/>
        </w:rPr>
        <w:t>Mieszanina do hydroobsiewu powinna składać się z:</w:t>
      </w:r>
    </w:p>
    <w:p w14:paraId="52848247" w14:textId="77777777" w:rsidR="00C36810" w:rsidRPr="00C36810" w:rsidRDefault="00C36810" w:rsidP="00262498">
      <w:pPr>
        <w:numPr>
          <w:ilvl w:val="0"/>
          <w:numId w:val="230"/>
        </w:numPr>
        <w:ind w:left="283" w:hanging="283"/>
        <w:rPr>
          <w:rFonts w:asciiTheme="minorHAnsi" w:hAnsiTheme="minorHAnsi" w:cstheme="minorHAnsi"/>
          <w:sz w:val="18"/>
          <w:szCs w:val="18"/>
        </w:rPr>
      </w:pPr>
      <w:r w:rsidRPr="00C36810">
        <w:rPr>
          <w:rFonts w:asciiTheme="minorHAnsi" w:hAnsiTheme="minorHAnsi" w:cstheme="minorHAnsi"/>
          <w:sz w:val="18"/>
          <w:szCs w:val="18"/>
        </w:rPr>
        <w:t>przefermentowanych osadów ściekowych,</w:t>
      </w:r>
    </w:p>
    <w:p w14:paraId="4086AF77" w14:textId="77777777" w:rsidR="00C36810" w:rsidRPr="00C36810" w:rsidRDefault="00C36810" w:rsidP="00262498">
      <w:pPr>
        <w:numPr>
          <w:ilvl w:val="0"/>
          <w:numId w:val="230"/>
        </w:numPr>
        <w:ind w:left="284" w:hanging="284"/>
        <w:rPr>
          <w:rFonts w:asciiTheme="minorHAnsi" w:hAnsiTheme="minorHAnsi" w:cstheme="minorHAnsi"/>
          <w:sz w:val="18"/>
          <w:szCs w:val="18"/>
        </w:rPr>
      </w:pPr>
      <w:r w:rsidRPr="00C36810">
        <w:rPr>
          <w:rFonts w:asciiTheme="minorHAnsi" w:hAnsiTheme="minorHAnsi" w:cstheme="minorHAnsi"/>
          <w:sz w:val="18"/>
          <w:szCs w:val="18"/>
        </w:rPr>
        <w:t>kompozycji nasion traw i roślin motylkowatych,</w:t>
      </w:r>
    </w:p>
    <w:p w14:paraId="0A0641A0" w14:textId="77777777" w:rsidR="00C36810" w:rsidRPr="00C36810" w:rsidRDefault="00C36810" w:rsidP="00262498">
      <w:pPr>
        <w:numPr>
          <w:ilvl w:val="0"/>
          <w:numId w:val="230"/>
        </w:numPr>
        <w:ind w:left="284" w:hanging="284"/>
        <w:rPr>
          <w:rFonts w:asciiTheme="minorHAnsi" w:hAnsiTheme="minorHAnsi" w:cstheme="minorHAnsi"/>
          <w:sz w:val="18"/>
          <w:szCs w:val="18"/>
        </w:rPr>
      </w:pPr>
      <w:r w:rsidRPr="00C36810">
        <w:rPr>
          <w:rFonts w:asciiTheme="minorHAnsi" w:hAnsiTheme="minorHAnsi" w:cstheme="minorHAnsi"/>
          <w:sz w:val="18"/>
          <w:szCs w:val="18"/>
        </w:rPr>
        <w:t>ściółki, tj. substancji poprawiających strukturę podłoża i osłaniających kiełkujące nasiona oraz siewki (np. sieczki, trocin, strużyn, konfetti),</w:t>
      </w:r>
    </w:p>
    <w:p w14:paraId="2D103EFD" w14:textId="77777777" w:rsidR="00C36810" w:rsidRPr="00C36810" w:rsidRDefault="00C36810" w:rsidP="00262498">
      <w:pPr>
        <w:numPr>
          <w:ilvl w:val="0"/>
          <w:numId w:val="230"/>
        </w:numPr>
        <w:ind w:left="284" w:hanging="284"/>
        <w:rPr>
          <w:rFonts w:asciiTheme="minorHAnsi" w:hAnsiTheme="minorHAnsi" w:cstheme="minorHAnsi"/>
          <w:sz w:val="18"/>
          <w:szCs w:val="18"/>
        </w:rPr>
      </w:pPr>
      <w:r w:rsidRPr="00C36810">
        <w:rPr>
          <w:rFonts w:asciiTheme="minorHAnsi" w:hAnsiTheme="minorHAnsi" w:cstheme="minorHAnsi"/>
          <w:sz w:val="18"/>
          <w:szCs w:val="18"/>
        </w:rPr>
        <w:t>popiołów lotnych, spełniających rolę nawozów o wydłużonym działaniu oraz odkwaszania,</w:t>
      </w:r>
    </w:p>
    <w:p w14:paraId="634D3BA9" w14:textId="77777777" w:rsidR="00C36810" w:rsidRPr="00C36810" w:rsidRDefault="00C36810" w:rsidP="00262498">
      <w:pPr>
        <w:numPr>
          <w:ilvl w:val="0"/>
          <w:numId w:val="230"/>
        </w:numPr>
        <w:ind w:left="284" w:hanging="284"/>
        <w:rPr>
          <w:rFonts w:asciiTheme="minorHAnsi" w:hAnsiTheme="minorHAnsi" w:cstheme="minorHAnsi"/>
          <w:sz w:val="18"/>
          <w:szCs w:val="18"/>
        </w:rPr>
      </w:pPr>
      <w:r w:rsidRPr="00C36810">
        <w:rPr>
          <w:rFonts w:asciiTheme="minorHAnsi" w:hAnsiTheme="minorHAnsi" w:cstheme="minorHAnsi"/>
          <w:sz w:val="18"/>
          <w:szCs w:val="18"/>
        </w:rPr>
        <w:t>nawozów mineralnych, np. gdy osady ściekowe mają małą wartość nawozową.</w:t>
      </w:r>
    </w:p>
    <w:p w14:paraId="24F6B4BD" w14:textId="77777777" w:rsidR="00C36810" w:rsidRPr="00C36810" w:rsidRDefault="00C36810" w:rsidP="00C36810">
      <w:pPr>
        <w:numPr>
          <w:ilvl w:val="12"/>
          <w:numId w:val="0"/>
        </w:numPr>
        <w:rPr>
          <w:rFonts w:asciiTheme="minorHAnsi" w:hAnsiTheme="minorHAnsi" w:cstheme="minorHAnsi"/>
          <w:sz w:val="18"/>
          <w:szCs w:val="18"/>
        </w:rPr>
      </w:pPr>
      <w:r w:rsidRPr="00C36810">
        <w:rPr>
          <w:rFonts w:asciiTheme="minorHAnsi" w:hAnsiTheme="minorHAnsi" w:cstheme="minorHAnsi"/>
          <w:sz w:val="18"/>
          <w:szCs w:val="18"/>
        </w:rPr>
        <w:t>Dopuszcza się, po zaakceptowaniu przez Inżyniera, stosowanie mieszaniny, w której zamiast osadów ściekowych i popiołów lotnych znajduje się woda i substancje zabezpieczające podłoże przed wysychaniem i erozją (np. emulsja asfaltowa i lateksowa).</w:t>
      </w:r>
    </w:p>
    <w:p w14:paraId="2780712E" w14:textId="77777777" w:rsidR="00C36810" w:rsidRPr="00C36810" w:rsidRDefault="00C36810" w:rsidP="00C36810">
      <w:pPr>
        <w:numPr>
          <w:ilvl w:val="12"/>
          <w:numId w:val="0"/>
        </w:numPr>
        <w:rPr>
          <w:rFonts w:asciiTheme="minorHAnsi" w:hAnsiTheme="minorHAnsi" w:cstheme="minorHAnsi"/>
          <w:sz w:val="18"/>
          <w:szCs w:val="18"/>
        </w:rPr>
      </w:pPr>
      <w:r w:rsidRPr="00C36810">
        <w:rPr>
          <w:rFonts w:asciiTheme="minorHAnsi" w:hAnsiTheme="minorHAnsi" w:cstheme="minorHAnsi"/>
          <w:sz w:val="18"/>
          <w:szCs w:val="18"/>
        </w:rPr>
        <w:t>Osady ściekowe powinny pochodzić z oczyszczalni komunalnych i powinny być przefermentowane lub kompostowane, a zawartość metali ciężkich nie może przekroczyć na 1 kg suchej masy: 1500 mg ołowiu, 50 mg kadmu, 25 mg rtęci, 500 mg niklu oraz 2500 mg chromu.</w:t>
      </w:r>
    </w:p>
    <w:p w14:paraId="0582C63C" w14:textId="77777777" w:rsidR="00C36810" w:rsidRPr="00C36810" w:rsidRDefault="00C36810" w:rsidP="00C36810">
      <w:pPr>
        <w:numPr>
          <w:ilvl w:val="12"/>
          <w:numId w:val="0"/>
        </w:numPr>
        <w:rPr>
          <w:rFonts w:asciiTheme="minorHAnsi" w:hAnsiTheme="minorHAnsi" w:cstheme="minorHAnsi"/>
          <w:sz w:val="18"/>
          <w:szCs w:val="18"/>
        </w:rPr>
      </w:pPr>
      <w:r w:rsidRPr="00C36810">
        <w:rPr>
          <w:rFonts w:asciiTheme="minorHAnsi" w:hAnsiTheme="minorHAnsi" w:cstheme="minorHAnsi"/>
          <w:sz w:val="18"/>
          <w:szCs w:val="18"/>
        </w:rPr>
        <w:t>Skład  mieszanek traw, uzależniony od rodzaju gruntu, może być przyjmowany według PN-B-12074:1998. Nasiona roślin powinny spełniać wymagania PN-R-65023:1999.</w:t>
      </w:r>
    </w:p>
    <w:p w14:paraId="04FB9B15" w14:textId="77777777" w:rsidR="00C36810" w:rsidRPr="00C36810" w:rsidRDefault="00C36810" w:rsidP="00C36810">
      <w:pPr>
        <w:numPr>
          <w:ilvl w:val="12"/>
          <w:numId w:val="0"/>
        </w:numPr>
        <w:rPr>
          <w:rFonts w:asciiTheme="minorHAnsi" w:hAnsiTheme="minorHAnsi" w:cstheme="minorHAnsi"/>
          <w:sz w:val="18"/>
          <w:szCs w:val="18"/>
        </w:rPr>
      </w:pPr>
      <w:r w:rsidRPr="00C36810">
        <w:rPr>
          <w:rFonts w:asciiTheme="minorHAnsi" w:hAnsiTheme="minorHAnsi" w:cstheme="minorHAnsi"/>
          <w:sz w:val="18"/>
          <w:szCs w:val="18"/>
        </w:rPr>
        <w:t>Ramowy skład mieszaniny na 1 m</w:t>
      </w:r>
      <w:r w:rsidRPr="00C36810">
        <w:rPr>
          <w:rFonts w:asciiTheme="minorHAnsi" w:hAnsiTheme="minorHAnsi" w:cstheme="minorHAnsi"/>
          <w:sz w:val="18"/>
          <w:szCs w:val="18"/>
          <w:vertAlign w:val="superscript"/>
        </w:rPr>
        <w:t>2</w:t>
      </w:r>
      <w:r w:rsidRPr="00C36810">
        <w:rPr>
          <w:rFonts w:asciiTheme="minorHAnsi" w:hAnsiTheme="minorHAnsi" w:cstheme="minorHAnsi"/>
          <w:sz w:val="18"/>
          <w:szCs w:val="18"/>
        </w:rPr>
        <w:t xml:space="preserve"> hydroobsiewu powinien być następujący:</w:t>
      </w:r>
    </w:p>
    <w:p w14:paraId="43791958" w14:textId="77777777" w:rsidR="00C36810" w:rsidRPr="00C36810" w:rsidRDefault="00C36810" w:rsidP="00262498">
      <w:pPr>
        <w:numPr>
          <w:ilvl w:val="0"/>
          <w:numId w:val="230"/>
        </w:numPr>
        <w:ind w:left="283" w:hanging="283"/>
        <w:rPr>
          <w:rFonts w:asciiTheme="minorHAnsi" w:hAnsiTheme="minorHAnsi" w:cstheme="minorHAnsi"/>
          <w:sz w:val="18"/>
          <w:szCs w:val="18"/>
        </w:rPr>
      </w:pPr>
      <w:r w:rsidRPr="00C36810">
        <w:rPr>
          <w:rFonts w:asciiTheme="minorHAnsi" w:hAnsiTheme="minorHAnsi" w:cstheme="minorHAnsi"/>
          <w:sz w:val="18"/>
          <w:szCs w:val="18"/>
        </w:rPr>
        <w:t xml:space="preserve">przefermentowane osady ściekowe </w:t>
      </w:r>
      <w:r w:rsidRPr="00C36810">
        <w:rPr>
          <w:rFonts w:asciiTheme="minorHAnsi" w:hAnsiTheme="minorHAnsi" w:cstheme="minorHAnsi"/>
          <w:sz w:val="18"/>
          <w:szCs w:val="18"/>
        </w:rPr>
        <w:tab/>
        <w:t xml:space="preserve">           od 12 do 30 dm</w:t>
      </w:r>
      <w:r w:rsidRPr="00C36810">
        <w:rPr>
          <w:rFonts w:asciiTheme="minorHAnsi" w:hAnsiTheme="minorHAnsi" w:cstheme="minorHAnsi"/>
          <w:sz w:val="18"/>
          <w:szCs w:val="18"/>
          <w:vertAlign w:val="superscript"/>
        </w:rPr>
        <w:t>3</w:t>
      </w:r>
      <w:r w:rsidRPr="00C36810">
        <w:rPr>
          <w:rFonts w:asciiTheme="minorHAnsi" w:hAnsiTheme="minorHAnsi" w:cstheme="minorHAnsi"/>
          <w:sz w:val="18"/>
          <w:szCs w:val="18"/>
        </w:rPr>
        <w:t xml:space="preserve"> (o 4-10% suchej masy),</w:t>
      </w:r>
    </w:p>
    <w:p w14:paraId="17CE1EF6" w14:textId="77777777" w:rsidR="00C36810" w:rsidRPr="00C36810" w:rsidRDefault="00C36810" w:rsidP="00262498">
      <w:pPr>
        <w:numPr>
          <w:ilvl w:val="0"/>
          <w:numId w:val="230"/>
        </w:numPr>
        <w:ind w:left="283" w:hanging="283"/>
        <w:rPr>
          <w:rFonts w:asciiTheme="minorHAnsi" w:hAnsiTheme="minorHAnsi" w:cstheme="minorHAnsi"/>
          <w:sz w:val="18"/>
          <w:szCs w:val="18"/>
        </w:rPr>
      </w:pPr>
      <w:r w:rsidRPr="00C36810">
        <w:rPr>
          <w:rFonts w:asciiTheme="minorHAnsi" w:hAnsiTheme="minorHAnsi" w:cstheme="minorHAnsi"/>
          <w:sz w:val="18"/>
          <w:szCs w:val="18"/>
        </w:rPr>
        <w:t xml:space="preserve">kompozycje (mieszanki) nasion traw </w:t>
      </w:r>
    </w:p>
    <w:p w14:paraId="59867C9C" w14:textId="77777777" w:rsidR="00C36810" w:rsidRPr="00C36810" w:rsidRDefault="00C36810" w:rsidP="00C36810">
      <w:pPr>
        <w:numPr>
          <w:ilvl w:val="12"/>
          <w:numId w:val="0"/>
        </w:numPr>
        <w:ind w:left="283" w:hanging="283"/>
        <w:rPr>
          <w:rFonts w:asciiTheme="minorHAnsi" w:hAnsiTheme="minorHAnsi" w:cstheme="minorHAnsi"/>
          <w:sz w:val="18"/>
          <w:szCs w:val="18"/>
        </w:rPr>
      </w:pPr>
      <w:r w:rsidRPr="00C36810">
        <w:rPr>
          <w:rFonts w:asciiTheme="minorHAnsi" w:hAnsiTheme="minorHAnsi" w:cstheme="minorHAnsi"/>
          <w:sz w:val="18"/>
          <w:szCs w:val="18"/>
        </w:rPr>
        <w:t xml:space="preserve">i roślin motylkowatych </w:t>
      </w:r>
      <w:r w:rsidRPr="00C36810">
        <w:rPr>
          <w:rFonts w:asciiTheme="minorHAnsi" w:hAnsiTheme="minorHAnsi" w:cstheme="minorHAnsi"/>
          <w:sz w:val="18"/>
          <w:szCs w:val="18"/>
        </w:rPr>
        <w:tab/>
      </w:r>
      <w:r w:rsidRPr="00C36810">
        <w:rPr>
          <w:rFonts w:asciiTheme="minorHAnsi" w:hAnsiTheme="minorHAnsi" w:cstheme="minorHAnsi"/>
          <w:sz w:val="18"/>
          <w:szCs w:val="18"/>
        </w:rPr>
        <w:tab/>
        <w:t xml:space="preserve">                          od 0,018 do 0,03 kg,</w:t>
      </w:r>
    </w:p>
    <w:p w14:paraId="1767642F" w14:textId="77777777" w:rsidR="00C36810" w:rsidRPr="00C36810" w:rsidRDefault="00C36810" w:rsidP="00262498">
      <w:pPr>
        <w:numPr>
          <w:ilvl w:val="0"/>
          <w:numId w:val="230"/>
        </w:numPr>
        <w:ind w:left="283" w:hanging="283"/>
        <w:rPr>
          <w:rFonts w:asciiTheme="minorHAnsi" w:hAnsiTheme="minorHAnsi" w:cstheme="minorHAnsi"/>
          <w:sz w:val="18"/>
          <w:szCs w:val="18"/>
        </w:rPr>
      </w:pPr>
      <w:r w:rsidRPr="00C36810">
        <w:rPr>
          <w:rFonts w:asciiTheme="minorHAnsi" w:hAnsiTheme="minorHAnsi" w:cstheme="minorHAnsi"/>
          <w:sz w:val="18"/>
          <w:szCs w:val="18"/>
        </w:rPr>
        <w:t>ściółka (sieczka, strużyny, substrat torfowy)       od 0,06   do 0,10 kg,</w:t>
      </w:r>
    </w:p>
    <w:p w14:paraId="747B2E0C" w14:textId="77777777" w:rsidR="00C36810" w:rsidRPr="00C36810" w:rsidRDefault="00C36810" w:rsidP="00262498">
      <w:pPr>
        <w:numPr>
          <w:ilvl w:val="0"/>
          <w:numId w:val="230"/>
        </w:numPr>
        <w:ind w:left="283" w:hanging="283"/>
        <w:rPr>
          <w:rFonts w:asciiTheme="minorHAnsi" w:hAnsiTheme="minorHAnsi" w:cstheme="minorHAnsi"/>
          <w:sz w:val="18"/>
          <w:szCs w:val="18"/>
        </w:rPr>
      </w:pPr>
      <w:r w:rsidRPr="00C36810">
        <w:rPr>
          <w:rFonts w:asciiTheme="minorHAnsi" w:hAnsiTheme="minorHAnsi" w:cstheme="minorHAnsi"/>
          <w:sz w:val="18"/>
          <w:szCs w:val="18"/>
        </w:rPr>
        <w:t>popioły lotne</w:t>
      </w:r>
      <w:r w:rsidRPr="00C36810">
        <w:rPr>
          <w:rFonts w:asciiTheme="minorHAnsi" w:hAnsiTheme="minorHAnsi" w:cstheme="minorHAnsi"/>
          <w:sz w:val="18"/>
          <w:szCs w:val="18"/>
        </w:rPr>
        <w:tab/>
      </w:r>
      <w:r w:rsidRPr="00C36810">
        <w:rPr>
          <w:rFonts w:asciiTheme="minorHAnsi" w:hAnsiTheme="minorHAnsi" w:cstheme="minorHAnsi"/>
          <w:sz w:val="18"/>
          <w:szCs w:val="18"/>
        </w:rPr>
        <w:tab/>
      </w:r>
      <w:r w:rsidRPr="00C36810">
        <w:rPr>
          <w:rFonts w:asciiTheme="minorHAnsi" w:hAnsiTheme="minorHAnsi" w:cstheme="minorHAnsi"/>
          <w:sz w:val="18"/>
          <w:szCs w:val="18"/>
        </w:rPr>
        <w:tab/>
      </w:r>
      <w:r w:rsidRPr="00C36810">
        <w:rPr>
          <w:rFonts w:asciiTheme="minorHAnsi" w:hAnsiTheme="minorHAnsi" w:cstheme="minorHAnsi"/>
          <w:sz w:val="18"/>
          <w:szCs w:val="18"/>
        </w:rPr>
        <w:tab/>
        <w:t xml:space="preserve">            od 0,08   do 0,14 kg,</w:t>
      </w:r>
    </w:p>
    <w:p w14:paraId="34A26D6F" w14:textId="77777777" w:rsidR="00C36810" w:rsidRPr="00C36810" w:rsidRDefault="00C36810" w:rsidP="00262498">
      <w:pPr>
        <w:numPr>
          <w:ilvl w:val="0"/>
          <w:numId w:val="230"/>
        </w:numPr>
        <w:ind w:left="283" w:hanging="283"/>
        <w:rPr>
          <w:rFonts w:asciiTheme="minorHAnsi" w:hAnsiTheme="minorHAnsi" w:cstheme="minorHAnsi"/>
          <w:sz w:val="18"/>
          <w:szCs w:val="18"/>
        </w:rPr>
      </w:pPr>
      <w:r w:rsidRPr="00C36810">
        <w:rPr>
          <w:rFonts w:asciiTheme="minorHAnsi" w:hAnsiTheme="minorHAnsi" w:cstheme="minorHAnsi"/>
          <w:sz w:val="18"/>
          <w:szCs w:val="18"/>
        </w:rPr>
        <w:t>nawozy mineralne (NPK)</w:t>
      </w:r>
      <w:r w:rsidRPr="00C36810">
        <w:rPr>
          <w:rFonts w:asciiTheme="minorHAnsi" w:hAnsiTheme="minorHAnsi" w:cstheme="minorHAnsi"/>
          <w:sz w:val="18"/>
          <w:szCs w:val="18"/>
        </w:rPr>
        <w:tab/>
      </w:r>
      <w:r w:rsidRPr="00C36810">
        <w:rPr>
          <w:rFonts w:asciiTheme="minorHAnsi" w:hAnsiTheme="minorHAnsi" w:cstheme="minorHAnsi"/>
          <w:sz w:val="18"/>
          <w:szCs w:val="18"/>
        </w:rPr>
        <w:tab/>
        <w:t xml:space="preserve">            od 0,02   do 0,05 kg.</w:t>
      </w:r>
    </w:p>
    <w:p w14:paraId="564D0487" w14:textId="77777777" w:rsidR="00C36810" w:rsidRPr="00C36810" w:rsidRDefault="00C36810" w:rsidP="00C36810">
      <w:pPr>
        <w:numPr>
          <w:ilvl w:val="12"/>
          <w:numId w:val="0"/>
        </w:numPr>
        <w:rPr>
          <w:rFonts w:asciiTheme="minorHAnsi" w:hAnsiTheme="minorHAnsi" w:cstheme="minorHAnsi"/>
          <w:sz w:val="18"/>
          <w:szCs w:val="18"/>
        </w:rPr>
      </w:pPr>
      <w:r w:rsidRPr="00C36810">
        <w:rPr>
          <w:rFonts w:asciiTheme="minorHAnsi" w:hAnsiTheme="minorHAnsi" w:cstheme="minorHAnsi"/>
          <w:sz w:val="18"/>
          <w:szCs w:val="18"/>
        </w:rPr>
        <w:t>Wykonawca przedstawi Inżynierowi do akceptacji szczegółowy skład mieszaniny na podstawie:</w:t>
      </w:r>
    </w:p>
    <w:p w14:paraId="63B39AA3" w14:textId="77777777" w:rsidR="00C36810" w:rsidRPr="00C36810" w:rsidRDefault="00C36810" w:rsidP="00262498">
      <w:pPr>
        <w:numPr>
          <w:ilvl w:val="0"/>
          <w:numId w:val="230"/>
        </w:numPr>
        <w:ind w:left="283" w:hanging="283"/>
        <w:rPr>
          <w:rFonts w:asciiTheme="minorHAnsi" w:hAnsiTheme="minorHAnsi" w:cstheme="minorHAnsi"/>
          <w:sz w:val="18"/>
          <w:szCs w:val="18"/>
        </w:rPr>
      </w:pPr>
      <w:r w:rsidRPr="00C36810">
        <w:rPr>
          <w:rFonts w:asciiTheme="minorHAnsi" w:hAnsiTheme="minorHAnsi" w:cstheme="minorHAnsi"/>
          <w:sz w:val="18"/>
          <w:szCs w:val="18"/>
        </w:rPr>
        <w:t>orzeczenia wydanego po badaniach składników mieszaniny z gruntem w specjalistycznym instytucie naukowo-badawczym, stacji rolniczo-chemicznej lub innej uprawnionej jednostce, względnie,</w:t>
      </w:r>
    </w:p>
    <w:p w14:paraId="7C40591F" w14:textId="77777777" w:rsidR="00C36810" w:rsidRPr="00C36810" w:rsidRDefault="00C36810" w:rsidP="00262498">
      <w:pPr>
        <w:numPr>
          <w:ilvl w:val="0"/>
          <w:numId w:val="230"/>
        </w:numPr>
        <w:ind w:left="283" w:hanging="283"/>
        <w:rPr>
          <w:rFonts w:asciiTheme="minorHAnsi" w:hAnsiTheme="minorHAnsi" w:cstheme="minorHAnsi"/>
          <w:sz w:val="18"/>
          <w:szCs w:val="18"/>
        </w:rPr>
      </w:pPr>
      <w:r w:rsidRPr="00C36810">
        <w:rPr>
          <w:rFonts w:asciiTheme="minorHAnsi" w:hAnsiTheme="minorHAnsi" w:cstheme="minorHAnsi"/>
          <w:sz w:val="18"/>
          <w:szCs w:val="18"/>
        </w:rPr>
        <w:t>wyników prób dokonanych na odcinku próbnym (poletku doświadczalnym) utworzonym na umacnianej powierzchni.</w:t>
      </w:r>
    </w:p>
    <w:p w14:paraId="4BA7E868" w14:textId="77777777" w:rsidR="00C36810" w:rsidRPr="00C36810" w:rsidRDefault="00C36810" w:rsidP="00C36810">
      <w:pPr>
        <w:pStyle w:val="Nagwek4"/>
        <w:rPr>
          <w:rFonts w:asciiTheme="minorHAnsi" w:hAnsiTheme="minorHAnsi" w:cstheme="minorHAnsi"/>
          <w:sz w:val="18"/>
          <w:szCs w:val="18"/>
        </w:rPr>
      </w:pPr>
      <w:r w:rsidRPr="00C36810">
        <w:rPr>
          <w:rFonts w:asciiTheme="minorHAnsi" w:hAnsiTheme="minorHAnsi" w:cstheme="minorHAnsi"/>
          <w:sz w:val="18"/>
          <w:szCs w:val="18"/>
        </w:rPr>
        <w:t>2.11 Narzut kamienny</w:t>
      </w:r>
    </w:p>
    <w:p w14:paraId="038BB839" w14:textId="77777777" w:rsidR="00C36810" w:rsidRPr="00C36810" w:rsidRDefault="00C36810" w:rsidP="00C36810">
      <w:pPr>
        <w:pStyle w:val="Default"/>
        <w:rPr>
          <w:rFonts w:asciiTheme="minorHAnsi" w:hAnsiTheme="minorHAnsi" w:cstheme="minorHAnsi"/>
          <w:sz w:val="18"/>
          <w:szCs w:val="18"/>
        </w:rPr>
      </w:pPr>
      <w:r w:rsidRPr="00C36810">
        <w:rPr>
          <w:rFonts w:asciiTheme="minorHAnsi" w:hAnsiTheme="minorHAnsi" w:cstheme="minorHAnsi"/>
          <w:sz w:val="18"/>
          <w:szCs w:val="18"/>
        </w:rPr>
        <w:t xml:space="preserve">Kamień do wykonania narzutu winien być niezwietrzały i odporny na działanie wody i mrozu oraz odporny na działanie związków chemicznych znajdujących się w wodzie. Mogą to być: granit porfir, andezyt i piaskowiec twardy i średniotwardy. Ciężar objętościowy skały gw&gt;1.4 t/m3. </w:t>
      </w:r>
    </w:p>
    <w:p w14:paraId="51EC6AD7" w14:textId="1C832D08" w:rsidR="00C36810" w:rsidRPr="00C36810" w:rsidRDefault="00C36810" w:rsidP="00C36810">
      <w:pPr>
        <w:rPr>
          <w:rFonts w:asciiTheme="minorHAnsi" w:hAnsiTheme="minorHAnsi" w:cstheme="minorHAnsi"/>
          <w:sz w:val="18"/>
          <w:szCs w:val="18"/>
        </w:rPr>
      </w:pPr>
      <w:r w:rsidRPr="00C36810">
        <w:rPr>
          <w:rFonts w:asciiTheme="minorHAnsi" w:hAnsiTheme="minorHAnsi" w:cstheme="minorHAnsi"/>
          <w:sz w:val="18"/>
          <w:szCs w:val="18"/>
        </w:rPr>
        <w:t>Właściwości fizyczne i mechaniczne kamienia: wytrzymałość na ściskanie w stanie suchopowietrznym co najmniej 20÷80 MPa, mrozoodporność w cyklach co najmniej 21÷25, ścieralność na tarczy Boehemego 0,25÷0,5 ciężar objętościowy: dla skał magmowych i przeobrażonych g=2,4÷3,0kN/m3, dla skał osadowych g=1,9÷3,0kN/m3, nasiąkliwość wodą 0,5%÷12%.</w:t>
      </w:r>
    </w:p>
    <w:p w14:paraId="75CB8B53" w14:textId="1C832D08" w:rsidR="00C36810" w:rsidRPr="00C36810" w:rsidRDefault="00C36810" w:rsidP="00C36810">
      <w:pPr>
        <w:pStyle w:val="Nagwek3"/>
        <w:rPr>
          <w:rFonts w:asciiTheme="minorHAnsi" w:hAnsiTheme="minorHAnsi" w:cstheme="minorHAnsi"/>
          <w:sz w:val="18"/>
          <w:szCs w:val="18"/>
        </w:rPr>
      </w:pPr>
      <w:bookmarkStart w:id="703" w:name="_Toc428243644"/>
      <w:bookmarkStart w:id="704" w:name="_Toc497107500"/>
      <w:r w:rsidRPr="00C36810">
        <w:rPr>
          <w:rFonts w:asciiTheme="minorHAnsi" w:hAnsiTheme="minorHAnsi" w:cstheme="minorHAnsi"/>
          <w:sz w:val="18"/>
          <w:szCs w:val="18"/>
        </w:rPr>
        <w:t>3. SPRZĘT</w:t>
      </w:r>
      <w:bookmarkEnd w:id="703"/>
      <w:bookmarkEnd w:id="704"/>
    </w:p>
    <w:p w14:paraId="1CACEB76" w14:textId="77777777" w:rsidR="00C36810" w:rsidRPr="00C36810" w:rsidRDefault="00C36810" w:rsidP="00C36810">
      <w:pPr>
        <w:pStyle w:val="Nagwek4"/>
        <w:rPr>
          <w:rFonts w:asciiTheme="minorHAnsi" w:hAnsiTheme="minorHAnsi" w:cstheme="minorHAnsi"/>
          <w:sz w:val="18"/>
          <w:szCs w:val="18"/>
        </w:rPr>
      </w:pPr>
      <w:r w:rsidRPr="00C36810">
        <w:rPr>
          <w:rFonts w:asciiTheme="minorHAnsi" w:hAnsiTheme="minorHAnsi" w:cstheme="minorHAnsi"/>
          <w:sz w:val="18"/>
          <w:szCs w:val="18"/>
        </w:rPr>
        <w:t>3.1. Ogólne wymagania dotyczące sprzętu</w:t>
      </w:r>
    </w:p>
    <w:p w14:paraId="30D1CE88" w14:textId="534C7B51" w:rsidR="00C36810" w:rsidRPr="00C36810" w:rsidRDefault="00C36810" w:rsidP="00C36810">
      <w:pPr>
        <w:numPr>
          <w:ilvl w:val="12"/>
          <w:numId w:val="0"/>
        </w:numPr>
        <w:rPr>
          <w:rFonts w:asciiTheme="minorHAnsi" w:hAnsiTheme="minorHAnsi" w:cstheme="minorHAnsi"/>
          <w:sz w:val="18"/>
          <w:szCs w:val="18"/>
        </w:rPr>
      </w:pPr>
      <w:r w:rsidRPr="00C36810">
        <w:rPr>
          <w:rFonts w:asciiTheme="minorHAnsi" w:hAnsiTheme="minorHAnsi" w:cstheme="minorHAnsi"/>
          <w:sz w:val="18"/>
          <w:szCs w:val="18"/>
        </w:rPr>
        <w:t>Ogólne wymagania dotyczące sprzętu podano w</w:t>
      </w:r>
      <w:r w:rsidR="00C006BE">
        <w:rPr>
          <w:rFonts w:asciiTheme="minorHAnsi" w:hAnsiTheme="minorHAnsi" w:cstheme="minorHAnsi"/>
          <w:sz w:val="18"/>
          <w:szCs w:val="18"/>
        </w:rPr>
        <w:t xml:space="preserve"> ST</w:t>
      </w:r>
      <w:r w:rsidR="00307E20">
        <w:rPr>
          <w:rFonts w:asciiTheme="minorHAnsi" w:hAnsiTheme="minorHAnsi" w:cstheme="minorHAnsi"/>
          <w:sz w:val="18"/>
          <w:szCs w:val="18"/>
        </w:rPr>
        <w:t>WIORB</w:t>
      </w:r>
      <w:r w:rsidRPr="00C36810">
        <w:rPr>
          <w:rFonts w:asciiTheme="minorHAnsi" w:hAnsiTheme="minorHAnsi" w:cstheme="minorHAnsi"/>
          <w:sz w:val="18"/>
          <w:szCs w:val="18"/>
        </w:rPr>
        <w:t xml:space="preserve"> D-M-00.00.00 „Wymagania ogólne” pkt 3.</w:t>
      </w:r>
    </w:p>
    <w:p w14:paraId="7BED07E0" w14:textId="77777777" w:rsidR="00C36810" w:rsidRPr="00C36810" w:rsidRDefault="00C36810" w:rsidP="00C36810">
      <w:pPr>
        <w:pStyle w:val="Nagwek4"/>
        <w:rPr>
          <w:rFonts w:asciiTheme="minorHAnsi" w:hAnsiTheme="minorHAnsi" w:cstheme="minorHAnsi"/>
          <w:sz w:val="18"/>
          <w:szCs w:val="18"/>
        </w:rPr>
      </w:pPr>
      <w:r w:rsidRPr="00C36810">
        <w:rPr>
          <w:rFonts w:asciiTheme="minorHAnsi" w:hAnsiTheme="minorHAnsi" w:cstheme="minorHAnsi"/>
          <w:sz w:val="18"/>
          <w:szCs w:val="18"/>
        </w:rPr>
        <w:t>3.2. Sprzęt do wykonania robót</w:t>
      </w:r>
    </w:p>
    <w:p w14:paraId="4F541FB9" w14:textId="77777777" w:rsidR="00C36810" w:rsidRPr="00C36810" w:rsidRDefault="00C36810" w:rsidP="00C36810">
      <w:pPr>
        <w:numPr>
          <w:ilvl w:val="12"/>
          <w:numId w:val="0"/>
        </w:numPr>
        <w:rPr>
          <w:rFonts w:asciiTheme="minorHAnsi" w:hAnsiTheme="minorHAnsi" w:cstheme="minorHAnsi"/>
          <w:sz w:val="18"/>
          <w:szCs w:val="18"/>
        </w:rPr>
      </w:pPr>
      <w:r w:rsidRPr="00C36810">
        <w:rPr>
          <w:rFonts w:asciiTheme="minorHAnsi" w:hAnsiTheme="minorHAnsi" w:cstheme="minorHAnsi"/>
          <w:sz w:val="18"/>
          <w:szCs w:val="18"/>
        </w:rPr>
        <w:t>Wykonawca przystępujący do wykonania umocnienia techniczno-biologicznego powinien wykazać się możliwością korzystania z następującego sprzętu:</w:t>
      </w:r>
    </w:p>
    <w:p w14:paraId="6951E614" w14:textId="77777777" w:rsidR="00C36810" w:rsidRPr="00C36810" w:rsidRDefault="00C36810" w:rsidP="00262498">
      <w:pPr>
        <w:numPr>
          <w:ilvl w:val="0"/>
          <w:numId w:val="229"/>
        </w:numPr>
        <w:rPr>
          <w:rFonts w:asciiTheme="minorHAnsi" w:hAnsiTheme="minorHAnsi" w:cstheme="minorHAnsi"/>
          <w:sz w:val="18"/>
          <w:szCs w:val="18"/>
        </w:rPr>
      </w:pPr>
      <w:r w:rsidRPr="00C36810">
        <w:rPr>
          <w:rFonts w:asciiTheme="minorHAnsi" w:hAnsiTheme="minorHAnsi" w:cstheme="minorHAnsi"/>
          <w:sz w:val="18"/>
          <w:szCs w:val="18"/>
        </w:rPr>
        <w:t>równiarek,</w:t>
      </w:r>
    </w:p>
    <w:p w14:paraId="05F4805C" w14:textId="77777777" w:rsidR="00C36810" w:rsidRPr="00C36810" w:rsidRDefault="00C36810" w:rsidP="00262498">
      <w:pPr>
        <w:numPr>
          <w:ilvl w:val="0"/>
          <w:numId w:val="229"/>
        </w:numPr>
        <w:rPr>
          <w:rFonts w:asciiTheme="minorHAnsi" w:hAnsiTheme="minorHAnsi" w:cstheme="minorHAnsi"/>
          <w:sz w:val="18"/>
          <w:szCs w:val="18"/>
        </w:rPr>
      </w:pPr>
      <w:r w:rsidRPr="00C36810">
        <w:rPr>
          <w:rFonts w:asciiTheme="minorHAnsi" w:hAnsiTheme="minorHAnsi" w:cstheme="minorHAnsi"/>
          <w:sz w:val="18"/>
          <w:szCs w:val="18"/>
        </w:rPr>
        <w:t>koparek</w:t>
      </w:r>
    </w:p>
    <w:p w14:paraId="0FECFCE7" w14:textId="77777777" w:rsidR="00C36810" w:rsidRPr="00C36810" w:rsidRDefault="00C36810" w:rsidP="00262498">
      <w:pPr>
        <w:numPr>
          <w:ilvl w:val="0"/>
          <w:numId w:val="229"/>
        </w:numPr>
        <w:rPr>
          <w:rFonts w:asciiTheme="minorHAnsi" w:hAnsiTheme="minorHAnsi" w:cstheme="minorHAnsi"/>
          <w:sz w:val="18"/>
          <w:szCs w:val="18"/>
        </w:rPr>
      </w:pPr>
      <w:r w:rsidRPr="00C36810">
        <w:rPr>
          <w:rFonts w:asciiTheme="minorHAnsi" w:hAnsiTheme="minorHAnsi" w:cstheme="minorHAnsi"/>
          <w:sz w:val="18"/>
          <w:szCs w:val="18"/>
        </w:rPr>
        <w:t>ubijaków o ręcznym prowadzeniu,</w:t>
      </w:r>
    </w:p>
    <w:p w14:paraId="11AED53B" w14:textId="77777777" w:rsidR="00C36810" w:rsidRPr="00C36810" w:rsidRDefault="00C36810" w:rsidP="00262498">
      <w:pPr>
        <w:numPr>
          <w:ilvl w:val="0"/>
          <w:numId w:val="229"/>
        </w:numPr>
        <w:rPr>
          <w:rFonts w:asciiTheme="minorHAnsi" w:hAnsiTheme="minorHAnsi" w:cstheme="minorHAnsi"/>
          <w:sz w:val="18"/>
          <w:szCs w:val="18"/>
        </w:rPr>
      </w:pPr>
      <w:r w:rsidRPr="00C36810">
        <w:rPr>
          <w:rFonts w:asciiTheme="minorHAnsi" w:hAnsiTheme="minorHAnsi" w:cstheme="minorHAnsi"/>
          <w:sz w:val="18"/>
          <w:szCs w:val="18"/>
        </w:rPr>
        <w:t>wibratorów samobieżnych,</w:t>
      </w:r>
    </w:p>
    <w:p w14:paraId="7B36EB75" w14:textId="77777777" w:rsidR="00C36810" w:rsidRPr="00C36810" w:rsidRDefault="00C36810" w:rsidP="00262498">
      <w:pPr>
        <w:numPr>
          <w:ilvl w:val="0"/>
          <w:numId w:val="229"/>
        </w:numPr>
        <w:rPr>
          <w:rFonts w:asciiTheme="minorHAnsi" w:hAnsiTheme="minorHAnsi" w:cstheme="minorHAnsi"/>
          <w:sz w:val="18"/>
          <w:szCs w:val="18"/>
        </w:rPr>
      </w:pPr>
      <w:r w:rsidRPr="00C36810">
        <w:rPr>
          <w:rFonts w:asciiTheme="minorHAnsi" w:hAnsiTheme="minorHAnsi" w:cstheme="minorHAnsi"/>
          <w:sz w:val="18"/>
          <w:szCs w:val="18"/>
        </w:rPr>
        <w:t>płyt ubijających,</w:t>
      </w:r>
    </w:p>
    <w:p w14:paraId="04F3DC19" w14:textId="77777777" w:rsidR="00C36810" w:rsidRPr="00C36810" w:rsidRDefault="00C36810" w:rsidP="00262498">
      <w:pPr>
        <w:numPr>
          <w:ilvl w:val="0"/>
          <w:numId w:val="229"/>
        </w:numPr>
        <w:rPr>
          <w:rFonts w:asciiTheme="minorHAnsi" w:hAnsiTheme="minorHAnsi" w:cstheme="minorHAnsi"/>
          <w:sz w:val="18"/>
          <w:szCs w:val="18"/>
        </w:rPr>
      </w:pPr>
      <w:r w:rsidRPr="00C36810">
        <w:rPr>
          <w:rFonts w:asciiTheme="minorHAnsi" w:hAnsiTheme="minorHAnsi" w:cstheme="minorHAnsi"/>
          <w:sz w:val="18"/>
          <w:szCs w:val="18"/>
        </w:rPr>
        <w:t>ew. sprzętu do podwieszania i podciągania,</w:t>
      </w:r>
    </w:p>
    <w:p w14:paraId="1A4F5079" w14:textId="77777777" w:rsidR="00C36810" w:rsidRPr="00C36810" w:rsidRDefault="00C36810" w:rsidP="00262498">
      <w:pPr>
        <w:numPr>
          <w:ilvl w:val="0"/>
          <w:numId w:val="229"/>
        </w:numPr>
        <w:rPr>
          <w:rFonts w:asciiTheme="minorHAnsi" w:hAnsiTheme="minorHAnsi" w:cstheme="minorHAnsi"/>
          <w:sz w:val="18"/>
          <w:szCs w:val="18"/>
        </w:rPr>
      </w:pPr>
      <w:r w:rsidRPr="00C36810">
        <w:rPr>
          <w:rFonts w:asciiTheme="minorHAnsi" w:hAnsiTheme="minorHAnsi" w:cstheme="minorHAnsi"/>
          <w:sz w:val="18"/>
          <w:szCs w:val="18"/>
        </w:rPr>
        <w:t>hydrosiewnika z ciągnikiem oraz osprzętu do agrouprawy (np. włóki obręczowo-pierścieniowej, brony chwastownika - zgrzebła, wałowłóki),</w:t>
      </w:r>
    </w:p>
    <w:p w14:paraId="6FCEFDEF" w14:textId="77777777" w:rsidR="00C36810" w:rsidRPr="00C36810" w:rsidRDefault="00C36810" w:rsidP="00262498">
      <w:pPr>
        <w:numPr>
          <w:ilvl w:val="0"/>
          <w:numId w:val="229"/>
        </w:numPr>
        <w:rPr>
          <w:rFonts w:asciiTheme="minorHAnsi" w:hAnsiTheme="minorHAnsi" w:cstheme="minorHAnsi"/>
          <w:sz w:val="18"/>
          <w:szCs w:val="18"/>
        </w:rPr>
      </w:pPr>
      <w:r w:rsidRPr="00C36810">
        <w:rPr>
          <w:rFonts w:asciiTheme="minorHAnsi" w:hAnsiTheme="minorHAnsi" w:cstheme="minorHAnsi"/>
          <w:sz w:val="18"/>
          <w:szCs w:val="18"/>
        </w:rPr>
        <w:t>cysterny z wodą pod ciśnieniem (do zraszania) oraz węży do podlewania (miejsc niedostępnych).</w:t>
      </w:r>
    </w:p>
    <w:p w14:paraId="72F09AB4" w14:textId="77777777" w:rsidR="00C36810" w:rsidRPr="00C36810" w:rsidRDefault="00C36810" w:rsidP="00C36810">
      <w:pPr>
        <w:pStyle w:val="Nagwek3"/>
        <w:rPr>
          <w:rFonts w:asciiTheme="minorHAnsi" w:hAnsiTheme="minorHAnsi" w:cstheme="minorHAnsi"/>
          <w:sz w:val="18"/>
          <w:szCs w:val="18"/>
        </w:rPr>
      </w:pPr>
      <w:bookmarkStart w:id="705" w:name="_Toc428243645"/>
      <w:bookmarkStart w:id="706" w:name="_Toc497107501"/>
      <w:r w:rsidRPr="00C36810">
        <w:rPr>
          <w:rFonts w:asciiTheme="minorHAnsi" w:hAnsiTheme="minorHAnsi" w:cstheme="minorHAnsi"/>
          <w:sz w:val="18"/>
          <w:szCs w:val="18"/>
        </w:rPr>
        <w:t>4. TRANSPORT</w:t>
      </w:r>
      <w:bookmarkEnd w:id="705"/>
      <w:bookmarkEnd w:id="706"/>
    </w:p>
    <w:p w14:paraId="136BE65A" w14:textId="77777777" w:rsidR="00C36810" w:rsidRPr="00C36810" w:rsidRDefault="00C36810" w:rsidP="00C36810">
      <w:pPr>
        <w:pStyle w:val="Nagwek4"/>
        <w:rPr>
          <w:rFonts w:asciiTheme="minorHAnsi" w:hAnsiTheme="minorHAnsi" w:cstheme="minorHAnsi"/>
          <w:sz w:val="18"/>
          <w:szCs w:val="18"/>
        </w:rPr>
      </w:pPr>
      <w:r w:rsidRPr="00C36810">
        <w:rPr>
          <w:rFonts w:asciiTheme="minorHAnsi" w:hAnsiTheme="minorHAnsi" w:cstheme="minorHAnsi"/>
          <w:sz w:val="18"/>
          <w:szCs w:val="18"/>
        </w:rPr>
        <w:t>4.1. Ogólne wymagania dotyczące transportu</w:t>
      </w:r>
    </w:p>
    <w:p w14:paraId="2D70C105" w14:textId="71F16F49" w:rsidR="00C36810" w:rsidRPr="00C36810" w:rsidRDefault="00C36810" w:rsidP="00C36810">
      <w:pPr>
        <w:rPr>
          <w:rFonts w:asciiTheme="minorHAnsi" w:hAnsiTheme="minorHAnsi" w:cstheme="minorHAnsi"/>
          <w:sz w:val="18"/>
          <w:szCs w:val="18"/>
        </w:rPr>
      </w:pPr>
      <w:r w:rsidRPr="00C36810">
        <w:rPr>
          <w:rFonts w:asciiTheme="minorHAnsi" w:hAnsiTheme="minorHAnsi" w:cstheme="minorHAnsi"/>
          <w:sz w:val="18"/>
          <w:szCs w:val="18"/>
        </w:rPr>
        <w:t>Ogólne wymagania dotyczące transportu podano w</w:t>
      </w:r>
      <w:r w:rsidR="00C006BE">
        <w:rPr>
          <w:rFonts w:asciiTheme="minorHAnsi" w:hAnsiTheme="minorHAnsi" w:cstheme="minorHAnsi"/>
          <w:sz w:val="18"/>
          <w:szCs w:val="18"/>
        </w:rPr>
        <w:t xml:space="preserve"> ST</w:t>
      </w:r>
      <w:r w:rsidR="00307E20">
        <w:rPr>
          <w:rFonts w:asciiTheme="minorHAnsi" w:hAnsiTheme="minorHAnsi" w:cstheme="minorHAnsi"/>
          <w:sz w:val="18"/>
          <w:szCs w:val="18"/>
        </w:rPr>
        <w:t>WIORB</w:t>
      </w:r>
      <w:r w:rsidRPr="00C36810">
        <w:rPr>
          <w:rFonts w:asciiTheme="minorHAnsi" w:hAnsiTheme="minorHAnsi" w:cstheme="minorHAnsi"/>
          <w:sz w:val="18"/>
          <w:szCs w:val="18"/>
        </w:rPr>
        <w:t xml:space="preserve"> D-M-00.00.00 „Wymagania ogólne” pkt 4.</w:t>
      </w:r>
    </w:p>
    <w:p w14:paraId="59A9AABE" w14:textId="77777777" w:rsidR="00C36810" w:rsidRPr="00C36810" w:rsidRDefault="00C36810" w:rsidP="00C36810">
      <w:pPr>
        <w:pStyle w:val="Nagwek4"/>
        <w:rPr>
          <w:rFonts w:asciiTheme="minorHAnsi" w:hAnsiTheme="minorHAnsi" w:cstheme="minorHAnsi"/>
          <w:sz w:val="18"/>
          <w:szCs w:val="18"/>
        </w:rPr>
      </w:pPr>
      <w:r w:rsidRPr="00C36810">
        <w:rPr>
          <w:rFonts w:asciiTheme="minorHAnsi" w:hAnsiTheme="minorHAnsi" w:cstheme="minorHAnsi"/>
          <w:sz w:val="18"/>
          <w:szCs w:val="18"/>
        </w:rPr>
        <w:t>4.2. Transport materiałów</w:t>
      </w:r>
    </w:p>
    <w:p w14:paraId="5D081144" w14:textId="77777777" w:rsidR="00C36810" w:rsidRPr="00C36810" w:rsidRDefault="00C36810" w:rsidP="00C36810">
      <w:pPr>
        <w:spacing w:before="120"/>
        <w:rPr>
          <w:rFonts w:asciiTheme="minorHAnsi" w:hAnsiTheme="minorHAnsi" w:cstheme="minorHAnsi"/>
          <w:b/>
          <w:sz w:val="18"/>
          <w:szCs w:val="18"/>
        </w:rPr>
      </w:pPr>
      <w:r w:rsidRPr="00C36810">
        <w:rPr>
          <w:rFonts w:asciiTheme="minorHAnsi" w:hAnsiTheme="minorHAnsi" w:cstheme="minorHAnsi"/>
          <w:b/>
          <w:sz w:val="18"/>
          <w:szCs w:val="18"/>
        </w:rPr>
        <w:t>4.2.1. Transport nasion traw</w:t>
      </w:r>
    </w:p>
    <w:p w14:paraId="198B3A2B" w14:textId="77777777" w:rsidR="00C36810" w:rsidRPr="00C36810" w:rsidRDefault="00C36810" w:rsidP="00C36810">
      <w:pPr>
        <w:spacing w:before="120"/>
        <w:rPr>
          <w:rFonts w:asciiTheme="minorHAnsi" w:hAnsiTheme="minorHAnsi" w:cstheme="minorHAnsi"/>
          <w:sz w:val="18"/>
          <w:szCs w:val="18"/>
        </w:rPr>
      </w:pPr>
      <w:r w:rsidRPr="00C36810">
        <w:rPr>
          <w:rFonts w:asciiTheme="minorHAnsi" w:hAnsiTheme="minorHAnsi" w:cstheme="minorHAnsi"/>
          <w:sz w:val="18"/>
          <w:szCs w:val="18"/>
        </w:rPr>
        <w:t>Nasiona traw można przewozić dowolnymi środkami transportu w warunkach zabezpieczających je przed zawilgoceniem.</w:t>
      </w:r>
    </w:p>
    <w:p w14:paraId="0D433CA5" w14:textId="77777777" w:rsidR="00C36810" w:rsidRPr="00C36810" w:rsidRDefault="00C36810" w:rsidP="00C36810">
      <w:pPr>
        <w:spacing w:before="120"/>
        <w:rPr>
          <w:rFonts w:asciiTheme="minorHAnsi" w:hAnsiTheme="minorHAnsi" w:cstheme="minorHAnsi"/>
          <w:b/>
          <w:sz w:val="18"/>
          <w:szCs w:val="18"/>
        </w:rPr>
      </w:pPr>
      <w:r w:rsidRPr="00C36810">
        <w:rPr>
          <w:rFonts w:asciiTheme="minorHAnsi" w:hAnsiTheme="minorHAnsi" w:cstheme="minorHAnsi"/>
          <w:b/>
          <w:sz w:val="18"/>
          <w:szCs w:val="18"/>
        </w:rPr>
        <w:t>4.2.2. Transport brukowca</w:t>
      </w:r>
    </w:p>
    <w:p w14:paraId="677A422F" w14:textId="77777777" w:rsidR="00C36810" w:rsidRPr="00C36810" w:rsidRDefault="00C36810" w:rsidP="00C36810">
      <w:pPr>
        <w:spacing w:before="120"/>
        <w:rPr>
          <w:rFonts w:asciiTheme="minorHAnsi" w:hAnsiTheme="minorHAnsi" w:cstheme="minorHAnsi"/>
          <w:sz w:val="18"/>
          <w:szCs w:val="18"/>
        </w:rPr>
      </w:pPr>
      <w:r w:rsidRPr="00C36810">
        <w:rPr>
          <w:rFonts w:asciiTheme="minorHAnsi" w:hAnsiTheme="minorHAnsi" w:cstheme="minorHAnsi"/>
          <w:sz w:val="18"/>
          <w:szCs w:val="18"/>
        </w:rPr>
        <w:t>Brukowiec można przewozić dowolnymi środkami transportu.</w:t>
      </w:r>
    </w:p>
    <w:p w14:paraId="5849E069" w14:textId="77777777" w:rsidR="00C36810" w:rsidRPr="00C36810" w:rsidRDefault="00C36810" w:rsidP="00C36810">
      <w:pPr>
        <w:spacing w:before="120"/>
        <w:rPr>
          <w:rFonts w:asciiTheme="minorHAnsi" w:hAnsiTheme="minorHAnsi" w:cstheme="minorHAnsi"/>
          <w:sz w:val="18"/>
          <w:szCs w:val="18"/>
        </w:rPr>
      </w:pPr>
      <w:r w:rsidRPr="00C36810">
        <w:rPr>
          <w:rFonts w:asciiTheme="minorHAnsi" w:hAnsiTheme="minorHAnsi" w:cstheme="minorHAnsi"/>
          <w:b/>
          <w:sz w:val="18"/>
          <w:szCs w:val="18"/>
        </w:rPr>
        <w:t>4.2.3. Transport kruszywa I narzutu kamiennego</w:t>
      </w:r>
    </w:p>
    <w:p w14:paraId="25330618" w14:textId="77777777" w:rsidR="00C36810" w:rsidRPr="00C36810" w:rsidRDefault="00C36810" w:rsidP="00C36810">
      <w:pPr>
        <w:spacing w:before="120"/>
        <w:rPr>
          <w:rFonts w:asciiTheme="minorHAnsi" w:hAnsiTheme="minorHAnsi" w:cstheme="minorHAnsi"/>
          <w:sz w:val="18"/>
          <w:szCs w:val="18"/>
        </w:rPr>
      </w:pPr>
      <w:r w:rsidRPr="00C36810">
        <w:rPr>
          <w:rFonts w:asciiTheme="minorHAnsi" w:hAnsiTheme="minorHAnsi" w:cstheme="minorHAnsi"/>
          <w:sz w:val="18"/>
          <w:szCs w:val="18"/>
        </w:rPr>
        <w:t>Kruszywo I narzut kamienny można przewozić dowolnymi środkami transportu w warunkach zabezpieczających je przed zanieczyszczeniem, zmieszaniem z innymi kruszywami i nadmiernym zawilgoceniem.</w:t>
      </w:r>
    </w:p>
    <w:p w14:paraId="317D9A6A" w14:textId="77777777" w:rsidR="00C36810" w:rsidRPr="00C36810" w:rsidRDefault="00C36810" w:rsidP="00C36810">
      <w:pPr>
        <w:spacing w:before="120"/>
        <w:rPr>
          <w:rFonts w:asciiTheme="minorHAnsi" w:hAnsiTheme="minorHAnsi" w:cstheme="minorHAnsi"/>
          <w:sz w:val="18"/>
          <w:szCs w:val="18"/>
        </w:rPr>
      </w:pPr>
      <w:r w:rsidRPr="00C36810">
        <w:rPr>
          <w:rFonts w:asciiTheme="minorHAnsi" w:hAnsiTheme="minorHAnsi" w:cstheme="minorHAnsi"/>
          <w:b/>
          <w:sz w:val="18"/>
          <w:szCs w:val="18"/>
        </w:rPr>
        <w:t>4.2.4. Transport cementu</w:t>
      </w:r>
    </w:p>
    <w:p w14:paraId="3A99AA3A" w14:textId="77777777" w:rsidR="00C36810" w:rsidRPr="00C36810" w:rsidRDefault="00C36810" w:rsidP="00C36810">
      <w:pPr>
        <w:spacing w:before="120"/>
        <w:rPr>
          <w:rFonts w:asciiTheme="minorHAnsi" w:hAnsiTheme="minorHAnsi" w:cstheme="minorHAnsi"/>
          <w:sz w:val="18"/>
          <w:szCs w:val="18"/>
        </w:rPr>
      </w:pPr>
      <w:r w:rsidRPr="00C36810">
        <w:rPr>
          <w:rFonts w:asciiTheme="minorHAnsi" w:hAnsiTheme="minorHAnsi" w:cstheme="minorHAnsi"/>
          <w:sz w:val="18"/>
          <w:szCs w:val="18"/>
        </w:rPr>
        <w:t>Cement należy przewozić zgodnie z wymaganiami BN-88/6731-08.</w:t>
      </w:r>
    </w:p>
    <w:p w14:paraId="3424451E" w14:textId="77777777" w:rsidR="00C36810" w:rsidRPr="00C36810" w:rsidRDefault="00C36810" w:rsidP="00262498">
      <w:pPr>
        <w:pStyle w:val="Akapitzlist"/>
        <w:numPr>
          <w:ilvl w:val="2"/>
          <w:numId w:val="234"/>
        </w:numPr>
        <w:spacing w:before="120"/>
        <w:ind w:left="567" w:hanging="567"/>
        <w:rPr>
          <w:rFonts w:asciiTheme="minorHAnsi" w:hAnsiTheme="minorHAnsi" w:cstheme="minorHAnsi"/>
          <w:b/>
          <w:sz w:val="18"/>
          <w:szCs w:val="18"/>
        </w:rPr>
      </w:pPr>
      <w:r w:rsidRPr="00C36810">
        <w:rPr>
          <w:rFonts w:asciiTheme="minorHAnsi" w:hAnsiTheme="minorHAnsi" w:cstheme="minorHAnsi"/>
          <w:b/>
          <w:sz w:val="18"/>
          <w:szCs w:val="18"/>
        </w:rPr>
        <w:t>Transport bentomaty</w:t>
      </w:r>
    </w:p>
    <w:p w14:paraId="6E7C65C4" w14:textId="77777777" w:rsidR="00C36810" w:rsidRPr="00C36810" w:rsidRDefault="00C36810" w:rsidP="00C36810">
      <w:pPr>
        <w:spacing w:before="120"/>
        <w:rPr>
          <w:rFonts w:asciiTheme="minorHAnsi" w:hAnsiTheme="minorHAnsi" w:cstheme="minorHAnsi"/>
          <w:sz w:val="18"/>
          <w:szCs w:val="18"/>
        </w:rPr>
      </w:pPr>
      <w:r w:rsidRPr="00C36810">
        <w:rPr>
          <w:rFonts w:asciiTheme="minorHAnsi" w:hAnsiTheme="minorHAnsi" w:cstheme="minorHAnsi"/>
          <w:sz w:val="18"/>
          <w:szCs w:val="18"/>
        </w:rPr>
        <w:t>Bentomaty można przewozić dowolnymi środkami transportowymi w warunkach zabezpieczających przed  zawilgoceniem, ogrzaniem i naświetleniem, uszkodzeniami podczas przemieszczania się w środku transportowym, chemikaliami lub tłuszczami oraz przedmiotami mogącymi przebić, rozciąć lub je zanieczyścić, z uwzględnieniem zaleceń producenta.</w:t>
      </w:r>
    </w:p>
    <w:p w14:paraId="3558F030" w14:textId="77777777" w:rsidR="00C36810" w:rsidRPr="00C36810" w:rsidRDefault="00C36810" w:rsidP="00C36810">
      <w:pPr>
        <w:spacing w:before="120"/>
        <w:rPr>
          <w:rFonts w:asciiTheme="minorHAnsi" w:hAnsiTheme="minorHAnsi" w:cstheme="minorHAnsi"/>
          <w:sz w:val="18"/>
          <w:szCs w:val="18"/>
        </w:rPr>
      </w:pPr>
      <w:r w:rsidRPr="00C36810">
        <w:rPr>
          <w:rFonts w:asciiTheme="minorHAnsi" w:hAnsiTheme="minorHAnsi" w:cstheme="minorHAnsi"/>
          <w:b/>
          <w:sz w:val="18"/>
          <w:szCs w:val="18"/>
        </w:rPr>
        <w:t>4.2.6. Transport elementów prefabrykowanych</w:t>
      </w:r>
    </w:p>
    <w:p w14:paraId="30032F24" w14:textId="77777777" w:rsidR="00C36810" w:rsidRPr="00C36810" w:rsidRDefault="00C36810" w:rsidP="00C36810">
      <w:pPr>
        <w:spacing w:before="120"/>
        <w:rPr>
          <w:rFonts w:asciiTheme="minorHAnsi" w:hAnsiTheme="minorHAnsi" w:cstheme="minorHAnsi"/>
          <w:sz w:val="18"/>
          <w:szCs w:val="18"/>
        </w:rPr>
      </w:pPr>
      <w:r w:rsidRPr="00C36810">
        <w:rPr>
          <w:rFonts w:asciiTheme="minorHAnsi" w:hAnsiTheme="minorHAnsi" w:cstheme="minorHAnsi"/>
          <w:sz w:val="18"/>
          <w:szCs w:val="18"/>
        </w:rPr>
        <w:t>Elementy prefabrykowane można przewozić dowolnymi środkami transportu w warunkach zabezpieczających je przed uszkodzeniami.</w:t>
      </w:r>
    </w:p>
    <w:p w14:paraId="0534396B" w14:textId="77777777" w:rsidR="00C36810" w:rsidRPr="00C36810" w:rsidRDefault="00C36810" w:rsidP="00C36810">
      <w:pPr>
        <w:rPr>
          <w:rFonts w:asciiTheme="minorHAnsi" w:hAnsiTheme="minorHAnsi" w:cstheme="minorHAnsi"/>
          <w:sz w:val="18"/>
          <w:szCs w:val="18"/>
        </w:rPr>
      </w:pPr>
      <w:r w:rsidRPr="00C36810">
        <w:rPr>
          <w:rFonts w:asciiTheme="minorHAnsi" w:hAnsiTheme="minorHAnsi" w:cstheme="minorHAnsi"/>
          <w:sz w:val="18"/>
          <w:szCs w:val="18"/>
        </w:rPr>
        <w:t>Do transportu można przekazać elementy, w których beton osiągnął wytrzymałość co najmniej 0,75 R</w:t>
      </w:r>
      <w:r w:rsidRPr="00C36810">
        <w:rPr>
          <w:rFonts w:asciiTheme="minorHAnsi" w:hAnsiTheme="minorHAnsi" w:cstheme="minorHAnsi"/>
          <w:sz w:val="18"/>
          <w:szCs w:val="18"/>
          <w:vertAlign w:val="subscript"/>
        </w:rPr>
        <w:t>G</w:t>
      </w:r>
      <w:r w:rsidRPr="00C36810">
        <w:rPr>
          <w:rFonts w:asciiTheme="minorHAnsi" w:hAnsiTheme="minorHAnsi" w:cstheme="minorHAnsi"/>
          <w:sz w:val="18"/>
          <w:szCs w:val="18"/>
        </w:rPr>
        <w:t>.</w:t>
      </w:r>
    </w:p>
    <w:p w14:paraId="3F8B8055" w14:textId="77777777" w:rsidR="00C36810" w:rsidRPr="00C36810" w:rsidRDefault="00C36810" w:rsidP="00C36810">
      <w:pPr>
        <w:spacing w:before="120" w:after="120"/>
        <w:rPr>
          <w:rFonts w:asciiTheme="minorHAnsi" w:hAnsiTheme="minorHAnsi" w:cstheme="minorHAnsi"/>
          <w:sz w:val="18"/>
          <w:szCs w:val="18"/>
        </w:rPr>
      </w:pPr>
      <w:r w:rsidRPr="00C36810">
        <w:rPr>
          <w:rFonts w:asciiTheme="minorHAnsi" w:hAnsiTheme="minorHAnsi" w:cstheme="minorHAnsi"/>
          <w:b/>
          <w:sz w:val="18"/>
          <w:szCs w:val="18"/>
        </w:rPr>
        <w:t xml:space="preserve">4.2.7. Transport mieszanki do hydroobsiewu </w:t>
      </w:r>
    </w:p>
    <w:p w14:paraId="65C71B23" w14:textId="77777777" w:rsidR="00C36810" w:rsidRPr="00C36810" w:rsidRDefault="00C36810" w:rsidP="00C36810">
      <w:pPr>
        <w:rPr>
          <w:rFonts w:asciiTheme="minorHAnsi" w:hAnsiTheme="minorHAnsi" w:cstheme="minorHAnsi"/>
          <w:sz w:val="18"/>
          <w:szCs w:val="18"/>
        </w:rPr>
      </w:pPr>
      <w:r w:rsidRPr="00C36810">
        <w:rPr>
          <w:rFonts w:asciiTheme="minorHAnsi" w:hAnsiTheme="minorHAnsi" w:cstheme="minorHAnsi"/>
          <w:sz w:val="18"/>
          <w:szCs w:val="18"/>
        </w:rPr>
        <w:t>Osady pobierane z oczyszczalni ścieków można transportować do miejsca obsiewu:</w:t>
      </w:r>
    </w:p>
    <w:p w14:paraId="2268FAE3" w14:textId="77777777" w:rsidR="00C36810" w:rsidRPr="00C36810" w:rsidRDefault="00C36810" w:rsidP="00262498">
      <w:pPr>
        <w:numPr>
          <w:ilvl w:val="0"/>
          <w:numId w:val="230"/>
        </w:numPr>
        <w:ind w:left="283" w:hanging="283"/>
        <w:rPr>
          <w:rFonts w:asciiTheme="minorHAnsi" w:hAnsiTheme="minorHAnsi" w:cstheme="minorHAnsi"/>
          <w:sz w:val="18"/>
          <w:szCs w:val="18"/>
        </w:rPr>
      </w:pPr>
      <w:r w:rsidRPr="00C36810">
        <w:rPr>
          <w:rFonts w:asciiTheme="minorHAnsi" w:hAnsiTheme="minorHAnsi" w:cstheme="minorHAnsi"/>
          <w:sz w:val="18"/>
          <w:szCs w:val="18"/>
        </w:rPr>
        <w:t>komunalnymi wozami asenizacyjnymi, o pojemności do 10,0 m</w:t>
      </w:r>
      <w:r w:rsidRPr="00C36810">
        <w:rPr>
          <w:rFonts w:asciiTheme="minorHAnsi" w:hAnsiTheme="minorHAnsi" w:cstheme="minorHAnsi"/>
          <w:sz w:val="18"/>
          <w:szCs w:val="18"/>
          <w:vertAlign w:val="superscript"/>
        </w:rPr>
        <w:t>3</w:t>
      </w:r>
      <w:r w:rsidRPr="00C36810">
        <w:rPr>
          <w:rFonts w:asciiTheme="minorHAnsi" w:hAnsiTheme="minorHAnsi" w:cstheme="minorHAnsi"/>
          <w:sz w:val="18"/>
          <w:szCs w:val="18"/>
        </w:rPr>
        <w:t>,</w:t>
      </w:r>
    </w:p>
    <w:p w14:paraId="306DA2E5" w14:textId="77777777" w:rsidR="00C36810" w:rsidRPr="00C36810" w:rsidRDefault="00C36810" w:rsidP="00262498">
      <w:pPr>
        <w:numPr>
          <w:ilvl w:val="0"/>
          <w:numId w:val="230"/>
        </w:numPr>
        <w:ind w:left="283" w:hanging="283"/>
        <w:rPr>
          <w:rFonts w:asciiTheme="minorHAnsi" w:hAnsiTheme="minorHAnsi" w:cstheme="minorHAnsi"/>
          <w:sz w:val="18"/>
          <w:szCs w:val="18"/>
        </w:rPr>
      </w:pPr>
      <w:r w:rsidRPr="00C36810">
        <w:rPr>
          <w:rFonts w:asciiTheme="minorHAnsi" w:hAnsiTheme="minorHAnsi" w:cstheme="minorHAnsi"/>
          <w:sz w:val="18"/>
          <w:szCs w:val="18"/>
        </w:rPr>
        <w:t>rolniczymi wozami asenizacyjnymi, wyposażonymi w pompy próżniowe (na odległości do około 5 km),</w:t>
      </w:r>
    </w:p>
    <w:p w14:paraId="790EE927" w14:textId="77777777" w:rsidR="00C36810" w:rsidRPr="00C36810" w:rsidRDefault="00C36810" w:rsidP="00262498">
      <w:pPr>
        <w:numPr>
          <w:ilvl w:val="0"/>
          <w:numId w:val="230"/>
        </w:numPr>
        <w:ind w:left="283" w:hanging="283"/>
        <w:rPr>
          <w:rFonts w:asciiTheme="minorHAnsi" w:hAnsiTheme="minorHAnsi" w:cstheme="minorHAnsi"/>
          <w:sz w:val="18"/>
          <w:szCs w:val="18"/>
        </w:rPr>
      </w:pPr>
      <w:r w:rsidRPr="00C36810">
        <w:rPr>
          <w:rFonts w:asciiTheme="minorHAnsi" w:hAnsiTheme="minorHAnsi" w:cstheme="minorHAnsi"/>
          <w:sz w:val="18"/>
          <w:szCs w:val="18"/>
        </w:rPr>
        <w:t>w specjalnych zbiornikach.</w:t>
      </w:r>
    </w:p>
    <w:p w14:paraId="4C1385B0" w14:textId="77777777" w:rsidR="00C36810" w:rsidRPr="00C36810" w:rsidRDefault="00C36810" w:rsidP="00C36810">
      <w:pPr>
        <w:pStyle w:val="Nagwek3"/>
        <w:rPr>
          <w:rFonts w:asciiTheme="minorHAnsi" w:hAnsiTheme="minorHAnsi" w:cstheme="minorHAnsi"/>
          <w:sz w:val="18"/>
          <w:szCs w:val="18"/>
        </w:rPr>
      </w:pPr>
      <w:bookmarkStart w:id="707" w:name="_Toc428243646"/>
      <w:bookmarkStart w:id="708" w:name="_Toc497107502"/>
      <w:r w:rsidRPr="00C36810">
        <w:rPr>
          <w:rFonts w:asciiTheme="minorHAnsi" w:hAnsiTheme="minorHAnsi" w:cstheme="minorHAnsi"/>
          <w:sz w:val="18"/>
          <w:szCs w:val="18"/>
        </w:rPr>
        <w:t>5. WYKONANIE ROBÓT</w:t>
      </w:r>
      <w:bookmarkEnd w:id="707"/>
      <w:bookmarkEnd w:id="708"/>
    </w:p>
    <w:p w14:paraId="23FC88FB" w14:textId="77777777" w:rsidR="00C36810" w:rsidRPr="00C36810" w:rsidRDefault="00C36810" w:rsidP="00C36810">
      <w:pPr>
        <w:pStyle w:val="Nagwek4"/>
        <w:rPr>
          <w:rFonts w:asciiTheme="minorHAnsi" w:hAnsiTheme="minorHAnsi" w:cstheme="minorHAnsi"/>
          <w:sz w:val="18"/>
          <w:szCs w:val="18"/>
        </w:rPr>
      </w:pPr>
      <w:r w:rsidRPr="00C36810">
        <w:rPr>
          <w:rFonts w:asciiTheme="minorHAnsi" w:hAnsiTheme="minorHAnsi" w:cstheme="minorHAnsi"/>
          <w:sz w:val="18"/>
          <w:szCs w:val="18"/>
        </w:rPr>
        <w:t>5.1. Ogólne zasady wykonania robót</w:t>
      </w:r>
    </w:p>
    <w:p w14:paraId="2A1FC912" w14:textId="17D28316" w:rsidR="00C36810" w:rsidRPr="00C36810" w:rsidRDefault="00C36810" w:rsidP="00C36810">
      <w:pPr>
        <w:rPr>
          <w:rFonts w:asciiTheme="minorHAnsi" w:hAnsiTheme="minorHAnsi" w:cstheme="minorHAnsi"/>
          <w:sz w:val="18"/>
          <w:szCs w:val="18"/>
        </w:rPr>
      </w:pPr>
      <w:r w:rsidRPr="00C36810">
        <w:rPr>
          <w:rFonts w:asciiTheme="minorHAnsi" w:hAnsiTheme="minorHAnsi" w:cstheme="minorHAnsi"/>
          <w:sz w:val="18"/>
          <w:szCs w:val="18"/>
        </w:rPr>
        <w:t>Ogólne zasady wykonania robót podano w</w:t>
      </w:r>
      <w:r w:rsidR="00C006BE">
        <w:rPr>
          <w:rFonts w:asciiTheme="minorHAnsi" w:hAnsiTheme="minorHAnsi" w:cstheme="minorHAnsi"/>
          <w:sz w:val="18"/>
          <w:szCs w:val="18"/>
        </w:rPr>
        <w:t xml:space="preserve"> ST</w:t>
      </w:r>
      <w:r w:rsidR="00307E20">
        <w:rPr>
          <w:rFonts w:asciiTheme="minorHAnsi" w:hAnsiTheme="minorHAnsi" w:cstheme="minorHAnsi"/>
          <w:sz w:val="18"/>
          <w:szCs w:val="18"/>
        </w:rPr>
        <w:t>WIORB</w:t>
      </w:r>
      <w:r w:rsidRPr="00C36810">
        <w:rPr>
          <w:rFonts w:asciiTheme="minorHAnsi" w:hAnsiTheme="minorHAnsi" w:cstheme="minorHAnsi"/>
          <w:sz w:val="18"/>
          <w:szCs w:val="18"/>
        </w:rPr>
        <w:t xml:space="preserve"> D-M-00.00.00 „Wymagania ogólne” pkt 5.</w:t>
      </w:r>
    </w:p>
    <w:p w14:paraId="207180BF" w14:textId="77777777" w:rsidR="00C36810" w:rsidRPr="00C36810" w:rsidRDefault="00C36810" w:rsidP="00C36810">
      <w:pPr>
        <w:pStyle w:val="Nagwek4"/>
        <w:rPr>
          <w:rFonts w:asciiTheme="minorHAnsi" w:hAnsiTheme="minorHAnsi" w:cstheme="minorHAnsi"/>
          <w:sz w:val="18"/>
          <w:szCs w:val="18"/>
        </w:rPr>
      </w:pPr>
      <w:r w:rsidRPr="00C36810">
        <w:rPr>
          <w:rFonts w:asciiTheme="minorHAnsi" w:hAnsiTheme="minorHAnsi" w:cstheme="minorHAnsi"/>
          <w:sz w:val="18"/>
          <w:szCs w:val="18"/>
        </w:rPr>
        <w:t>5.2. Humusowanie</w:t>
      </w:r>
    </w:p>
    <w:p w14:paraId="3D64E49F" w14:textId="77777777" w:rsidR="00C36810" w:rsidRPr="00C36810" w:rsidRDefault="00C36810" w:rsidP="00C36810">
      <w:pPr>
        <w:rPr>
          <w:rFonts w:asciiTheme="minorHAnsi" w:hAnsiTheme="minorHAnsi" w:cstheme="minorHAnsi"/>
          <w:sz w:val="18"/>
          <w:szCs w:val="18"/>
        </w:rPr>
      </w:pPr>
      <w:r w:rsidRPr="00C36810">
        <w:rPr>
          <w:rFonts w:asciiTheme="minorHAnsi" w:hAnsiTheme="minorHAnsi" w:cstheme="minorHAnsi"/>
          <w:sz w:val="18"/>
          <w:szCs w:val="18"/>
        </w:rPr>
        <w:t>Humusowanie powinno być wykonywane od górnej krawędzi skarpy do jej dolnej krawędzi. Warstwa ziemi urodzajnej powinna sięgać poza górną krawędź skarpy i poza podnóże skarpy nasypu od 15 do 25 cm.</w:t>
      </w:r>
    </w:p>
    <w:p w14:paraId="62A37B4E" w14:textId="77777777" w:rsidR="00C36810" w:rsidRPr="00C36810" w:rsidRDefault="00C36810" w:rsidP="00C36810">
      <w:pPr>
        <w:rPr>
          <w:rFonts w:asciiTheme="minorHAnsi" w:hAnsiTheme="minorHAnsi" w:cstheme="minorHAnsi"/>
          <w:sz w:val="18"/>
          <w:szCs w:val="18"/>
        </w:rPr>
      </w:pPr>
      <w:r w:rsidRPr="00C36810">
        <w:rPr>
          <w:rFonts w:asciiTheme="minorHAnsi" w:hAnsiTheme="minorHAnsi" w:cstheme="minorHAnsi"/>
          <w:sz w:val="18"/>
          <w:szCs w:val="18"/>
        </w:rPr>
        <w:t>Grubość pokrycia ziemią urodzajną powinna wynosić od 10 do 15 cm po moletowaniu i zagęszczeniu,  w zależności od gruntu występującego na powierzchni skarpy.</w:t>
      </w:r>
    </w:p>
    <w:p w14:paraId="34BE4D7B" w14:textId="77777777" w:rsidR="00C36810" w:rsidRPr="00C36810" w:rsidRDefault="00C36810" w:rsidP="00C36810">
      <w:pPr>
        <w:rPr>
          <w:rFonts w:asciiTheme="minorHAnsi" w:hAnsiTheme="minorHAnsi" w:cstheme="minorHAnsi"/>
          <w:sz w:val="18"/>
          <w:szCs w:val="18"/>
        </w:rPr>
      </w:pPr>
      <w:r w:rsidRPr="00C36810">
        <w:rPr>
          <w:rFonts w:asciiTheme="minorHAnsi" w:hAnsiTheme="minorHAnsi" w:cstheme="minorHAnsi"/>
          <w:sz w:val="18"/>
          <w:szCs w:val="18"/>
        </w:rPr>
        <w:t>W celu lepszego powiązania warstwy ziemi urodzajnej z gruntem, na powierzchni skarpy należy wykonywać rowki poziome lub pod kątem 30</w:t>
      </w:r>
      <w:r w:rsidRPr="00C36810">
        <w:rPr>
          <w:rFonts w:asciiTheme="minorHAnsi" w:hAnsiTheme="minorHAnsi" w:cstheme="minorHAnsi"/>
          <w:sz w:val="18"/>
          <w:szCs w:val="18"/>
          <w:vertAlign w:val="superscript"/>
        </w:rPr>
        <w:t>o</w:t>
      </w:r>
      <w:r w:rsidRPr="00C36810">
        <w:rPr>
          <w:rFonts w:asciiTheme="minorHAnsi" w:hAnsiTheme="minorHAnsi" w:cstheme="minorHAnsi"/>
          <w:sz w:val="18"/>
          <w:szCs w:val="18"/>
        </w:rPr>
        <w:t xml:space="preserve"> do 45</w:t>
      </w:r>
      <w:r w:rsidRPr="00C36810">
        <w:rPr>
          <w:rFonts w:asciiTheme="minorHAnsi" w:hAnsiTheme="minorHAnsi" w:cstheme="minorHAnsi"/>
          <w:sz w:val="18"/>
          <w:szCs w:val="18"/>
          <w:vertAlign w:val="superscript"/>
        </w:rPr>
        <w:t>o</w:t>
      </w:r>
      <w:r w:rsidRPr="00C36810">
        <w:rPr>
          <w:rFonts w:asciiTheme="minorHAnsi" w:hAnsiTheme="minorHAnsi" w:cstheme="minorHAnsi"/>
          <w:sz w:val="18"/>
          <w:szCs w:val="18"/>
        </w:rPr>
        <w:t xml:space="preserve"> o głębokości od 3 do 5 cm, w odstępach co 0,5</w:t>
      </w:r>
      <w:r w:rsidRPr="00C36810">
        <w:rPr>
          <w:rFonts w:asciiTheme="minorHAnsi" w:hAnsiTheme="minorHAnsi" w:cstheme="minorHAnsi"/>
          <w:b/>
          <w:sz w:val="18"/>
          <w:szCs w:val="18"/>
        </w:rPr>
        <w:t xml:space="preserve"> </w:t>
      </w:r>
      <w:r w:rsidRPr="00C36810">
        <w:rPr>
          <w:rFonts w:asciiTheme="minorHAnsi" w:hAnsiTheme="minorHAnsi" w:cstheme="minorHAnsi"/>
          <w:sz w:val="18"/>
          <w:szCs w:val="18"/>
        </w:rPr>
        <w:t>do</w:t>
      </w:r>
      <w:r w:rsidRPr="00C36810">
        <w:rPr>
          <w:rFonts w:asciiTheme="minorHAnsi" w:hAnsiTheme="minorHAnsi" w:cstheme="minorHAnsi"/>
          <w:b/>
          <w:sz w:val="18"/>
          <w:szCs w:val="18"/>
        </w:rPr>
        <w:t xml:space="preserve"> </w:t>
      </w:r>
      <w:r w:rsidRPr="00C36810">
        <w:rPr>
          <w:rFonts w:asciiTheme="minorHAnsi" w:hAnsiTheme="minorHAnsi" w:cstheme="minorHAnsi"/>
          <w:sz w:val="18"/>
          <w:szCs w:val="18"/>
        </w:rPr>
        <w:t>1,0 m. Ułożoną warstwę ziemi urodzajnej należy zagrabić (pobronować) i lekko zagęścić przez ubicie ręczne lub mechaniczne.</w:t>
      </w:r>
    </w:p>
    <w:p w14:paraId="03AF41FA" w14:textId="77777777" w:rsidR="00C36810" w:rsidRPr="00C36810" w:rsidRDefault="00C36810" w:rsidP="00C36810">
      <w:pPr>
        <w:pStyle w:val="Nagwek4"/>
        <w:rPr>
          <w:rFonts w:asciiTheme="minorHAnsi" w:hAnsiTheme="minorHAnsi" w:cstheme="minorHAnsi"/>
          <w:sz w:val="18"/>
          <w:szCs w:val="18"/>
        </w:rPr>
      </w:pPr>
      <w:r w:rsidRPr="00C36810">
        <w:rPr>
          <w:rFonts w:asciiTheme="minorHAnsi" w:hAnsiTheme="minorHAnsi" w:cstheme="minorHAnsi"/>
          <w:sz w:val="18"/>
          <w:szCs w:val="18"/>
        </w:rPr>
        <w:t>5.3. Umocnienie skarp przez obsianie trawą i roślinami motylkowatymi</w:t>
      </w:r>
    </w:p>
    <w:p w14:paraId="7582C293" w14:textId="77777777" w:rsidR="00C36810" w:rsidRPr="00C36810" w:rsidRDefault="00C36810" w:rsidP="00C36810">
      <w:pPr>
        <w:rPr>
          <w:rFonts w:asciiTheme="minorHAnsi" w:hAnsiTheme="minorHAnsi" w:cstheme="minorHAnsi"/>
          <w:sz w:val="18"/>
          <w:szCs w:val="18"/>
        </w:rPr>
      </w:pPr>
      <w:r w:rsidRPr="00C36810">
        <w:rPr>
          <w:rFonts w:asciiTheme="minorHAnsi" w:hAnsiTheme="minorHAnsi" w:cstheme="minorHAnsi"/>
          <w:sz w:val="18"/>
          <w:szCs w:val="18"/>
        </w:rPr>
        <w:t>Proces umocnienia powierzchni skarp i rowów poprzez obsianie nasionami traw i roślin motylkowatych polega na:</w:t>
      </w:r>
    </w:p>
    <w:p w14:paraId="346F686E" w14:textId="77777777" w:rsidR="00C36810" w:rsidRPr="00C36810" w:rsidRDefault="00C36810" w:rsidP="00262498">
      <w:pPr>
        <w:numPr>
          <w:ilvl w:val="0"/>
          <w:numId w:val="231"/>
        </w:numPr>
        <w:rPr>
          <w:rFonts w:asciiTheme="minorHAnsi" w:hAnsiTheme="minorHAnsi" w:cstheme="minorHAnsi"/>
          <w:sz w:val="18"/>
          <w:szCs w:val="18"/>
        </w:rPr>
      </w:pPr>
      <w:r w:rsidRPr="00C36810">
        <w:rPr>
          <w:rFonts w:asciiTheme="minorHAnsi" w:hAnsiTheme="minorHAnsi" w:cstheme="minorHAnsi"/>
          <w:sz w:val="18"/>
          <w:szCs w:val="18"/>
        </w:rPr>
        <w:t>wytworzeniu na skarpie warstwy ziemi urodzajnej przez:</w:t>
      </w:r>
    </w:p>
    <w:p w14:paraId="31061483" w14:textId="77777777" w:rsidR="00C36810" w:rsidRPr="00C36810" w:rsidRDefault="00C36810" w:rsidP="00262498">
      <w:pPr>
        <w:numPr>
          <w:ilvl w:val="0"/>
          <w:numId w:val="230"/>
        </w:numPr>
        <w:ind w:left="567" w:hanging="283"/>
        <w:rPr>
          <w:rFonts w:asciiTheme="minorHAnsi" w:hAnsiTheme="minorHAnsi" w:cstheme="minorHAnsi"/>
          <w:sz w:val="18"/>
          <w:szCs w:val="18"/>
        </w:rPr>
      </w:pPr>
      <w:r w:rsidRPr="00C36810">
        <w:rPr>
          <w:rFonts w:asciiTheme="minorHAnsi" w:hAnsiTheme="minorHAnsi" w:cstheme="minorHAnsi"/>
          <w:sz w:val="18"/>
          <w:szCs w:val="18"/>
        </w:rPr>
        <w:t>humusowanie (patrz pkt 5.2), lub,</w:t>
      </w:r>
    </w:p>
    <w:p w14:paraId="514DA32E" w14:textId="77777777" w:rsidR="00C36810" w:rsidRPr="00C36810" w:rsidRDefault="00C36810" w:rsidP="00262498">
      <w:pPr>
        <w:numPr>
          <w:ilvl w:val="0"/>
          <w:numId w:val="230"/>
        </w:numPr>
        <w:ind w:left="567" w:hanging="283"/>
        <w:rPr>
          <w:rFonts w:asciiTheme="minorHAnsi" w:hAnsiTheme="minorHAnsi" w:cstheme="minorHAnsi"/>
          <w:sz w:val="18"/>
          <w:szCs w:val="18"/>
        </w:rPr>
      </w:pPr>
      <w:r w:rsidRPr="00C36810">
        <w:rPr>
          <w:rFonts w:asciiTheme="minorHAnsi" w:hAnsiTheme="minorHAnsi" w:cstheme="minorHAnsi"/>
          <w:sz w:val="18"/>
          <w:szCs w:val="18"/>
        </w:rPr>
        <w:t>wymieszanie gruntu skarpy z naniesionymi osadami ściekowymi za pomocą osprzętu agrouprawowego, aby uzyskać zawartość części organicznych warstwy co najmniej 1%,</w:t>
      </w:r>
    </w:p>
    <w:p w14:paraId="2A7A0164" w14:textId="77777777" w:rsidR="00C36810" w:rsidRPr="00C36810" w:rsidRDefault="00C36810" w:rsidP="00262498">
      <w:pPr>
        <w:numPr>
          <w:ilvl w:val="0"/>
          <w:numId w:val="231"/>
        </w:numPr>
        <w:rPr>
          <w:rFonts w:asciiTheme="minorHAnsi" w:hAnsiTheme="minorHAnsi" w:cstheme="minorHAnsi"/>
          <w:sz w:val="18"/>
          <w:szCs w:val="18"/>
        </w:rPr>
      </w:pPr>
      <w:r w:rsidRPr="00C36810">
        <w:rPr>
          <w:rFonts w:asciiTheme="minorHAnsi" w:hAnsiTheme="minorHAnsi" w:cstheme="minorHAnsi"/>
          <w:sz w:val="18"/>
          <w:szCs w:val="18"/>
        </w:rPr>
        <w:t>obsianiu warstwy ziemi urodzajnej kompozycjami nasion traw, roślin motylkowatych i bylin w ilości od 18 g/m</w:t>
      </w:r>
      <w:r w:rsidRPr="00C36810">
        <w:rPr>
          <w:rFonts w:asciiTheme="minorHAnsi" w:hAnsiTheme="minorHAnsi" w:cstheme="minorHAnsi"/>
          <w:sz w:val="18"/>
          <w:szCs w:val="18"/>
          <w:vertAlign w:val="superscript"/>
        </w:rPr>
        <w:t>2</w:t>
      </w:r>
      <w:r w:rsidRPr="00C36810">
        <w:rPr>
          <w:rFonts w:asciiTheme="minorHAnsi" w:hAnsiTheme="minorHAnsi" w:cstheme="minorHAnsi"/>
          <w:sz w:val="18"/>
          <w:szCs w:val="18"/>
        </w:rPr>
        <w:t xml:space="preserve"> do 30 g/m</w:t>
      </w:r>
      <w:r w:rsidRPr="00C36810">
        <w:rPr>
          <w:rFonts w:asciiTheme="minorHAnsi" w:hAnsiTheme="minorHAnsi" w:cstheme="minorHAnsi"/>
          <w:sz w:val="18"/>
          <w:szCs w:val="18"/>
          <w:vertAlign w:val="superscript"/>
        </w:rPr>
        <w:t>2</w:t>
      </w:r>
      <w:r w:rsidRPr="00C36810">
        <w:rPr>
          <w:rFonts w:asciiTheme="minorHAnsi" w:hAnsiTheme="minorHAnsi" w:cstheme="minorHAnsi"/>
          <w:sz w:val="18"/>
          <w:szCs w:val="18"/>
        </w:rPr>
        <w:t>, dobranych odpowiednio do warunków siedliskowych (rodzaju podłoża, wystawy oraz pochylenia skarp),</w:t>
      </w:r>
    </w:p>
    <w:p w14:paraId="25941F77" w14:textId="77777777" w:rsidR="00C36810" w:rsidRPr="00C36810" w:rsidRDefault="00C36810" w:rsidP="00262498">
      <w:pPr>
        <w:numPr>
          <w:ilvl w:val="0"/>
          <w:numId w:val="231"/>
        </w:numPr>
        <w:rPr>
          <w:rFonts w:asciiTheme="minorHAnsi" w:hAnsiTheme="minorHAnsi" w:cstheme="minorHAnsi"/>
          <w:sz w:val="18"/>
          <w:szCs w:val="18"/>
        </w:rPr>
      </w:pPr>
      <w:r w:rsidRPr="00C36810">
        <w:rPr>
          <w:rFonts w:asciiTheme="minorHAnsi" w:hAnsiTheme="minorHAnsi" w:cstheme="minorHAnsi"/>
          <w:sz w:val="18"/>
          <w:szCs w:val="18"/>
        </w:rPr>
        <w:t>naniesieniu na obsianą powierzchnię tymczasowej warstwy przeciwerozyjnej (patrz pkt 5.4) metodą mulczowania lub hydromulczowania.</w:t>
      </w:r>
    </w:p>
    <w:p w14:paraId="3E87CC4E" w14:textId="77777777" w:rsidR="00C36810" w:rsidRPr="00C36810" w:rsidRDefault="00C36810" w:rsidP="00C36810">
      <w:pPr>
        <w:rPr>
          <w:rFonts w:asciiTheme="minorHAnsi" w:hAnsiTheme="minorHAnsi" w:cstheme="minorHAnsi"/>
          <w:sz w:val="18"/>
          <w:szCs w:val="18"/>
        </w:rPr>
      </w:pPr>
      <w:r w:rsidRPr="00C36810">
        <w:rPr>
          <w:rFonts w:asciiTheme="minorHAnsi" w:hAnsiTheme="minorHAnsi" w:cstheme="minorHAnsi"/>
          <w:sz w:val="18"/>
          <w:szCs w:val="18"/>
        </w:rPr>
        <w:t>W okresach posusznych należy systematycznie zraszać wodą obsiane powierzchnie.</w:t>
      </w:r>
    </w:p>
    <w:p w14:paraId="7AB5AF63" w14:textId="77777777" w:rsidR="00C36810" w:rsidRPr="00C36810" w:rsidRDefault="00C36810" w:rsidP="00C36810">
      <w:pPr>
        <w:pStyle w:val="Nagwek4"/>
        <w:rPr>
          <w:rFonts w:asciiTheme="minorHAnsi" w:hAnsiTheme="minorHAnsi" w:cstheme="minorHAnsi"/>
          <w:sz w:val="18"/>
          <w:szCs w:val="18"/>
        </w:rPr>
      </w:pPr>
      <w:r w:rsidRPr="00C36810">
        <w:rPr>
          <w:rFonts w:asciiTheme="minorHAnsi" w:hAnsiTheme="minorHAnsi" w:cstheme="minorHAnsi"/>
          <w:sz w:val="18"/>
          <w:szCs w:val="18"/>
        </w:rPr>
        <w:t>5.5. Układanie elementów prefabrykowanych</w:t>
      </w:r>
    </w:p>
    <w:p w14:paraId="27166E1D" w14:textId="77777777" w:rsidR="00C36810" w:rsidRPr="00C36810" w:rsidRDefault="00C36810" w:rsidP="00C36810">
      <w:pPr>
        <w:rPr>
          <w:rFonts w:asciiTheme="minorHAnsi" w:hAnsiTheme="minorHAnsi" w:cstheme="minorHAnsi"/>
          <w:sz w:val="18"/>
          <w:szCs w:val="18"/>
        </w:rPr>
      </w:pPr>
      <w:r w:rsidRPr="00C36810">
        <w:rPr>
          <w:rFonts w:asciiTheme="minorHAnsi" w:hAnsiTheme="minorHAnsi" w:cstheme="minorHAnsi"/>
          <w:sz w:val="18"/>
          <w:szCs w:val="18"/>
        </w:rPr>
        <w:t>Typowymi elementami prefabrykowanymi stosowanymi dla umocnienia skarp i rowów są:</w:t>
      </w:r>
    </w:p>
    <w:p w14:paraId="228B1FD6" w14:textId="77777777" w:rsidR="00C36810" w:rsidRPr="00C36810" w:rsidRDefault="00C36810" w:rsidP="00262498">
      <w:pPr>
        <w:numPr>
          <w:ilvl w:val="0"/>
          <w:numId w:val="229"/>
        </w:numPr>
        <w:rPr>
          <w:rFonts w:asciiTheme="minorHAnsi" w:hAnsiTheme="minorHAnsi" w:cstheme="minorHAnsi"/>
          <w:sz w:val="18"/>
          <w:szCs w:val="18"/>
        </w:rPr>
      </w:pPr>
      <w:r w:rsidRPr="00C36810">
        <w:rPr>
          <w:rFonts w:asciiTheme="minorHAnsi" w:hAnsiTheme="minorHAnsi" w:cstheme="minorHAnsi"/>
          <w:sz w:val="18"/>
          <w:szCs w:val="18"/>
        </w:rPr>
        <w:t>płyty ściekowe betonowe - typ korytkowy wg KPED-01.03</w:t>
      </w:r>
    </w:p>
    <w:p w14:paraId="4E510B4A" w14:textId="77777777" w:rsidR="00C36810" w:rsidRPr="00C36810" w:rsidRDefault="00C36810" w:rsidP="00262498">
      <w:pPr>
        <w:numPr>
          <w:ilvl w:val="0"/>
          <w:numId w:val="229"/>
        </w:numPr>
        <w:rPr>
          <w:rFonts w:asciiTheme="minorHAnsi" w:hAnsiTheme="minorHAnsi" w:cstheme="minorHAnsi"/>
          <w:sz w:val="18"/>
          <w:szCs w:val="18"/>
        </w:rPr>
      </w:pPr>
      <w:r w:rsidRPr="00C36810">
        <w:rPr>
          <w:rFonts w:asciiTheme="minorHAnsi" w:hAnsiTheme="minorHAnsi" w:cstheme="minorHAnsi"/>
          <w:sz w:val="18"/>
          <w:szCs w:val="18"/>
        </w:rPr>
        <w:t>płyty ściekowe betonowe - typ trójkątny wg KPED-01.05,</w:t>
      </w:r>
    </w:p>
    <w:p w14:paraId="162AF8B7" w14:textId="77777777" w:rsidR="00C36810" w:rsidRPr="00C36810" w:rsidRDefault="00C36810" w:rsidP="00262498">
      <w:pPr>
        <w:numPr>
          <w:ilvl w:val="0"/>
          <w:numId w:val="229"/>
        </w:numPr>
        <w:rPr>
          <w:rFonts w:asciiTheme="minorHAnsi" w:hAnsiTheme="minorHAnsi" w:cstheme="minorHAnsi"/>
          <w:sz w:val="18"/>
          <w:szCs w:val="18"/>
        </w:rPr>
      </w:pPr>
      <w:r w:rsidRPr="00C36810">
        <w:rPr>
          <w:rFonts w:asciiTheme="minorHAnsi" w:hAnsiTheme="minorHAnsi" w:cstheme="minorHAnsi"/>
          <w:sz w:val="18"/>
          <w:szCs w:val="18"/>
        </w:rPr>
        <w:t>prefabrykaty ścieku skarpowego - typ trapezowy wg KPED-01.25.</w:t>
      </w:r>
    </w:p>
    <w:p w14:paraId="09944E5D" w14:textId="77777777" w:rsidR="00C36810" w:rsidRPr="00C36810" w:rsidRDefault="00C36810" w:rsidP="00262498">
      <w:pPr>
        <w:numPr>
          <w:ilvl w:val="0"/>
          <w:numId w:val="235"/>
        </w:numPr>
        <w:ind w:left="284" w:hanging="284"/>
        <w:rPr>
          <w:rFonts w:asciiTheme="minorHAnsi" w:hAnsiTheme="minorHAnsi" w:cstheme="minorHAnsi"/>
          <w:sz w:val="18"/>
          <w:szCs w:val="18"/>
        </w:rPr>
      </w:pPr>
      <w:r w:rsidRPr="00C36810">
        <w:rPr>
          <w:rFonts w:asciiTheme="minorHAnsi" w:hAnsiTheme="minorHAnsi" w:cstheme="minorHAnsi"/>
          <w:sz w:val="18"/>
          <w:szCs w:val="18"/>
        </w:rPr>
        <w:t>płyty ażurowe</w:t>
      </w:r>
    </w:p>
    <w:p w14:paraId="198EFD03" w14:textId="77777777" w:rsidR="00C36810" w:rsidRPr="00C36810" w:rsidRDefault="00C36810" w:rsidP="00C36810">
      <w:pPr>
        <w:rPr>
          <w:rFonts w:asciiTheme="minorHAnsi" w:hAnsiTheme="minorHAnsi" w:cstheme="minorHAnsi"/>
          <w:sz w:val="18"/>
          <w:szCs w:val="18"/>
        </w:rPr>
      </w:pPr>
      <w:r w:rsidRPr="00C36810">
        <w:rPr>
          <w:rFonts w:asciiTheme="minorHAnsi" w:hAnsiTheme="minorHAnsi" w:cstheme="minorHAnsi"/>
          <w:sz w:val="18"/>
          <w:szCs w:val="18"/>
        </w:rPr>
        <w:t>Podłoże, na którym układane będą elementy prefabrykowane, powinno być zagęszczone Na przygotowanym podłożu należy ułożyć podsypkę cementowo-piaskową o stosunku 1:4. Elementy prefabrykowane należy układać z zachowaniem spadku podłużnego i rzędnych ścieku zgodnie z dokumentacją projektową.</w:t>
      </w:r>
    </w:p>
    <w:p w14:paraId="1D8D0A8C" w14:textId="77777777" w:rsidR="00C36810" w:rsidRPr="00C36810" w:rsidRDefault="00C36810" w:rsidP="00C36810">
      <w:pPr>
        <w:pStyle w:val="Nagwek4"/>
        <w:rPr>
          <w:rFonts w:asciiTheme="minorHAnsi" w:hAnsiTheme="minorHAnsi" w:cstheme="minorHAnsi"/>
          <w:sz w:val="18"/>
          <w:szCs w:val="18"/>
        </w:rPr>
      </w:pPr>
      <w:r w:rsidRPr="00C36810">
        <w:rPr>
          <w:rFonts w:asciiTheme="minorHAnsi" w:hAnsiTheme="minorHAnsi" w:cstheme="minorHAnsi"/>
          <w:sz w:val="18"/>
          <w:szCs w:val="18"/>
        </w:rPr>
        <w:t>5.7. Wykonanie hydroobsiewu</w:t>
      </w:r>
    </w:p>
    <w:p w14:paraId="46DA6803" w14:textId="77777777" w:rsidR="00C36810" w:rsidRPr="00C36810" w:rsidRDefault="00C36810" w:rsidP="00C36810">
      <w:pPr>
        <w:rPr>
          <w:rFonts w:asciiTheme="minorHAnsi" w:hAnsiTheme="minorHAnsi" w:cstheme="minorHAnsi"/>
          <w:sz w:val="18"/>
          <w:szCs w:val="18"/>
        </w:rPr>
      </w:pPr>
      <w:r w:rsidRPr="00C36810">
        <w:rPr>
          <w:rFonts w:asciiTheme="minorHAnsi" w:hAnsiTheme="minorHAnsi" w:cstheme="minorHAnsi"/>
          <w:sz w:val="18"/>
          <w:szCs w:val="18"/>
        </w:rPr>
        <w:t>Hydroobsiew może być wykonywany wyłącznie przez przedsiębiorstwa posiadające doświadczenie w tej technologii umacniania skarp i rowów.</w:t>
      </w:r>
    </w:p>
    <w:p w14:paraId="43D51C0C" w14:textId="77777777" w:rsidR="00C36810" w:rsidRPr="00C36810" w:rsidRDefault="00C36810" w:rsidP="00C36810">
      <w:pPr>
        <w:rPr>
          <w:rFonts w:asciiTheme="minorHAnsi" w:hAnsiTheme="minorHAnsi" w:cstheme="minorHAnsi"/>
          <w:sz w:val="18"/>
          <w:szCs w:val="18"/>
        </w:rPr>
      </w:pPr>
      <w:r w:rsidRPr="00C36810">
        <w:rPr>
          <w:rFonts w:asciiTheme="minorHAnsi" w:hAnsiTheme="minorHAnsi" w:cstheme="minorHAnsi"/>
          <w:sz w:val="18"/>
          <w:szCs w:val="18"/>
        </w:rPr>
        <w:t>Materiały używane do hydroobsiewu powinny odpowiadać wymaganiom pktu 2, a sprzęt - pktu 3.</w:t>
      </w:r>
    </w:p>
    <w:p w14:paraId="61A1D3D8" w14:textId="77777777" w:rsidR="00C36810" w:rsidRPr="00C36810" w:rsidRDefault="00C36810" w:rsidP="00C36810">
      <w:pPr>
        <w:rPr>
          <w:rFonts w:asciiTheme="minorHAnsi" w:hAnsiTheme="minorHAnsi" w:cstheme="minorHAnsi"/>
          <w:sz w:val="18"/>
          <w:szCs w:val="18"/>
        </w:rPr>
      </w:pPr>
      <w:r w:rsidRPr="00C36810">
        <w:rPr>
          <w:rFonts w:asciiTheme="minorHAnsi" w:hAnsiTheme="minorHAnsi" w:cstheme="minorHAnsi"/>
          <w:sz w:val="18"/>
          <w:szCs w:val="18"/>
        </w:rPr>
        <w:t>Jeśli zaistnieje potrzeba wykonania odcinka próbnego (poletka doświadczalnego) to co najmniej na 40-60 dni przed rozpoczęciem robót (w zależności od rodzaju gruntu, siedliska, temperatury powietrza, możliwości polewania) Wykonawca wykona taki odcinek w celu stwierdzenia prawidłowości przyjętego składu mieszaniny do hydroobsiewu  i równomierności pokrycia umacnianej powierzchni trawą. Do próby Wykonawca powinien użyć materiałów i sprzętu takich, jakie będą stosowane w czasie robót umacniających. Odcinek próbny powinien składać się co najmniej z dwóch poletek o powierzchniach min. 100 m</w:t>
      </w:r>
      <w:r w:rsidRPr="00C36810">
        <w:rPr>
          <w:rFonts w:asciiTheme="minorHAnsi" w:hAnsiTheme="minorHAnsi" w:cstheme="minorHAnsi"/>
          <w:sz w:val="18"/>
          <w:szCs w:val="18"/>
          <w:vertAlign w:val="superscript"/>
        </w:rPr>
        <w:t>2</w:t>
      </w:r>
      <w:r w:rsidRPr="00C36810">
        <w:rPr>
          <w:rFonts w:asciiTheme="minorHAnsi" w:hAnsiTheme="minorHAnsi" w:cstheme="minorHAnsi"/>
          <w:sz w:val="18"/>
          <w:szCs w:val="18"/>
        </w:rPr>
        <w:t>, zlokalizowanych na zacienionej (np. północnej) i niezacienionej (np. południowej) skarpie.</w:t>
      </w:r>
    </w:p>
    <w:p w14:paraId="1848FD5B" w14:textId="77777777" w:rsidR="00C36810" w:rsidRPr="00C36810" w:rsidRDefault="00C36810" w:rsidP="00C36810">
      <w:pPr>
        <w:rPr>
          <w:rFonts w:asciiTheme="minorHAnsi" w:hAnsiTheme="minorHAnsi" w:cstheme="minorHAnsi"/>
          <w:sz w:val="18"/>
          <w:szCs w:val="18"/>
        </w:rPr>
      </w:pPr>
      <w:r w:rsidRPr="00C36810">
        <w:rPr>
          <w:rFonts w:asciiTheme="minorHAnsi" w:hAnsiTheme="minorHAnsi" w:cstheme="minorHAnsi"/>
          <w:sz w:val="18"/>
          <w:szCs w:val="18"/>
        </w:rPr>
        <w:t>Hydroobsiewu przy użyciu osadów ściekowych nie można wykonywać w strefach ujęć wody oraz w odległości mniejszej niż 20 m od budynków i kąpielisk.</w:t>
      </w:r>
    </w:p>
    <w:p w14:paraId="432C5783" w14:textId="77777777" w:rsidR="00C36810" w:rsidRPr="00C36810" w:rsidRDefault="00C36810" w:rsidP="00C36810">
      <w:pPr>
        <w:rPr>
          <w:rFonts w:asciiTheme="minorHAnsi" w:hAnsiTheme="minorHAnsi" w:cstheme="minorHAnsi"/>
          <w:sz w:val="18"/>
          <w:szCs w:val="18"/>
        </w:rPr>
      </w:pPr>
      <w:r w:rsidRPr="00C36810">
        <w:rPr>
          <w:rFonts w:asciiTheme="minorHAnsi" w:hAnsiTheme="minorHAnsi" w:cstheme="minorHAnsi"/>
          <w:sz w:val="18"/>
          <w:szCs w:val="18"/>
        </w:rPr>
        <w:t>Hydroobsiew powinien być wykonany możliwie w najkrótszym czasie po zakończeniu robót ziemnych, w okresie od 1 kwietnia do 15 października oraz, w razie potrzeby,  tuż po pierwszych jesiennych przymrozkach.</w:t>
      </w:r>
    </w:p>
    <w:p w14:paraId="1726130F" w14:textId="77777777" w:rsidR="00C36810" w:rsidRPr="00C36810" w:rsidRDefault="00C36810" w:rsidP="00C36810">
      <w:pPr>
        <w:rPr>
          <w:rFonts w:asciiTheme="minorHAnsi" w:hAnsiTheme="minorHAnsi" w:cstheme="minorHAnsi"/>
          <w:sz w:val="18"/>
          <w:szCs w:val="18"/>
        </w:rPr>
      </w:pPr>
      <w:r w:rsidRPr="00C36810">
        <w:rPr>
          <w:rFonts w:asciiTheme="minorHAnsi" w:hAnsiTheme="minorHAnsi" w:cstheme="minorHAnsi"/>
          <w:sz w:val="18"/>
          <w:szCs w:val="18"/>
        </w:rPr>
        <w:t>Hydroobsiew należy wykonywać przy obsiewie:</w:t>
      </w:r>
    </w:p>
    <w:p w14:paraId="2AB5F174" w14:textId="77777777" w:rsidR="00C36810" w:rsidRPr="00C36810" w:rsidRDefault="00C36810" w:rsidP="00262498">
      <w:pPr>
        <w:numPr>
          <w:ilvl w:val="0"/>
          <w:numId w:val="232"/>
        </w:numPr>
        <w:rPr>
          <w:rFonts w:asciiTheme="minorHAnsi" w:hAnsiTheme="minorHAnsi" w:cstheme="minorHAnsi"/>
          <w:sz w:val="18"/>
          <w:szCs w:val="18"/>
        </w:rPr>
      </w:pPr>
      <w:r w:rsidRPr="00C36810">
        <w:rPr>
          <w:rFonts w:asciiTheme="minorHAnsi" w:hAnsiTheme="minorHAnsi" w:cstheme="minorHAnsi"/>
          <w:sz w:val="18"/>
          <w:szCs w:val="18"/>
        </w:rPr>
        <w:t>gruntów humusowanych i żyznych - z zastosowaniem uwodnionej dawki osadów ściekowych (min. 12 l/m</w:t>
      </w:r>
      <w:r w:rsidRPr="00C36810">
        <w:rPr>
          <w:rFonts w:asciiTheme="minorHAnsi" w:hAnsiTheme="minorHAnsi" w:cstheme="minorHAnsi"/>
          <w:sz w:val="18"/>
          <w:szCs w:val="18"/>
          <w:vertAlign w:val="superscript"/>
        </w:rPr>
        <w:t>2</w:t>
      </w:r>
      <w:r w:rsidRPr="00C36810">
        <w:rPr>
          <w:rFonts w:asciiTheme="minorHAnsi" w:hAnsiTheme="minorHAnsi" w:cstheme="minorHAnsi"/>
          <w:sz w:val="18"/>
          <w:szCs w:val="18"/>
        </w:rPr>
        <w:t>) o zawartości  4-6% suchej masy, z dodatkiem ściółki i nasion (min. 0,03 kg/m</w:t>
      </w:r>
      <w:r w:rsidRPr="00C36810">
        <w:rPr>
          <w:rFonts w:asciiTheme="minorHAnsi" w:hAnsiTheme="minorHAnsi" w:cstheme="minorHAnsi"/>
          <w:sz w:val="18"/>
          <w:szCs w:val="18"/>
          <w:vertAlign w:val="superscript"/>
        </w:rPr>
        <w:t>2</w:t>
      </w:r>
      <w:r w:rsidRPr="00C36810">
        <w:rPr>
          <w:rFonts w:asciiTheme="minorHAnsi" w:hAnsiTheme="minorHAnsi" w:cstheme="minorHAnsi"/>
          <w:sz w:val="18"/>
          <w:szCs w:val="18"/>
        </w:rPr>
        <w:t xml:space="preserve"> suchej masy),</w:t>
      </w:r>
    </w:p>
    <w:p w14:paraId="20FCC22A" w14:textId="77777777" w:rsidR="00C36810" w:rsidRPr="00C36810" w:rsidRDefault="00C36810" w:rsidP="00262498">
      <w:pPr>
        <w:numPr>
          <w:ilvl w:val="0"/>
          <w:numId w:val="232"/>
        </w:numPr>
        <w:rPr>
          <w:rFonts w:asciiTheme="minorHAnsi" w:hAnsiTheme="minorHAnsi" w:cstheme="minorHAnsi"/>
          <w:sz w:val="18"/>
          <w:szCs w:val="18"/>
        </w:rPr>
      </w:pPr>
      <w:r w:rsidRPr="00C36810">
        <w:rPr>
          <w:rFonts w:asciiTheme="minorHAnsi" w:hAnsiTheme="minorHAnsi" w:cstheme="minorHAnsi"/>
          <w:sz w:val="18"/>
          <w:szCs w:val="18"/>
        </w:rPr>
        <w:t>gruntów ubogich i bezglebowych, z dawką odwodnionych osadów ściekowych zwiększoną do 30 l/m</w:t>
      </w:r>
      <w:r w:rsidRPr="00C36810">
        <w:rPr>
          <w:rFonts w:asciiTheme="minorHAnsi" w:hAnsiTheme="minorHAnsi" w:cstheme="minorHAnsi"/>
          <w:sz w:val="18"/>
          <w:szCs w:val="18"/>
          <w:vertAlign w:val="superscript"/>
        </w:rPr>
        <w:t>2</w:t>
      </w:r>
      <w:r w:rsidRPr="00C36810">
        <w:rPr>
          <w:rFonts w:asciiTheme="minorHAnsi" w:hAnsiTheme="minorHAnsi" w:cstheme="minorHAnsi"/>
          <w:sz w:val="18"/>
          <w:szCs w:val="18"/>
        </w:rPr>
        <w:t xml:space="preserve"> przy zawartości 5-10% suchej masy.</w:t>
      </w:r>
    </w:p>
    <w:p w14:paraId="1BB182A0" w14:textId="77777777" w:rsidR="00C36810" w:rsidRPr="00C36810" w:rsidRDefault="00C36810" w:rsidP="00C36810">
      <w:pPr>
        <w:rPr>
          <w:rFonts w:asciiTheme="minorHAnsi" w:hAnsiTheme="minorHAnsi" w:cstheme="minorHAnsi"/>
          <w:sz w:val="18"/>
          <w:szCs w:val="18"/>
        </w:rPr>
      </w:pPr>
      <w:r w:rsidRPr="00C36810">
        <w:rPr>
          <w:rFonts w:asciiTheme="minorHAnsi" w:hAnsiTheme="minorHAnsi" w:cstheme="minorHAnsi"/>
          <w:sz w:val="18"/>
          <w:szCs w:val="18"/>
        </w:rPr>
        <w:t>Hydroobsiew w zasadzie nie wymaga podlewania w czasie kiełkowania nasion i w okresie początkowego rozwoju roślin. Podlewanie może być potrzebne podczas długotrwałej suszy oraz ewentualnie, gdy wymagany jest szybki efekt porostu traw.</w:t>
      </w:r>
    </w:p>
    <w:p w14:paraId="03ED04E7" w14:textId="77777777" w:rsidR="00C36810" w:rsidRPr="00C36810" w:rsidRDefault="00C36810" w:rsidP="00C36810">
      <w:pPr>
        <w:pStyle w:val="Nagwek4"/>
        <w:rPr>
          <w:rFonts w:asciiTheme="minorHAnsi" w:hAnsiTheme="minorHAnsi" w:cstheme="minorHAnsi"/>
          <w:sz w:val="18"/>
          <w:szCs w:val="18"/>
        </w:rPr>
      </w:pPr>
      <w:r w:rsidRPr="00C36810">
        <w:rPr>
          <w:rFonts w:asciiTheme="minorHAnsi" w:hAnsiTheme="minorHAnsi" w:cstheme="minorHAnsi"/>
          <w:sz w:val="18"/>
          <w:szCs w:val="18"/>
        </w:rPr>
        <w:t>5.8. Wykonanie umocnienie narzutem kamiennym</w:t>
      </w:r>
    </w:p>
    <w:p w14:paraId="36E1BE0D" w14:textId="77777777" w:rsidR="00C36810" w:rsidRPr="00C36810" w:rsidRDefault="00C36810" w:rsidP="00C36810">
      <w:pPr>
        <w:rPr>
          <w:rFonts w:asciiTheme="minorHAnsi" w:hAnsiTheme="minorHAnsi" w:cstheme="minorHAnsi"/>
          <w:sz w:val="18"/>
          <w:szCs w:val="18"/>
        </w:rPr>
      </w:pPr>
      <w:r w:rsidRPr="00C36810">
        <w:rPr>
          <w:rFonts w:asciiTheme="minorHAnsi" w:hAnsiTheme="minorHAnsi" w:cstheme="minorHAnsi"/>
          <w:sz w:val="18"/>
          <w:szCs w:val="18"/>
        </w:rPr>
        <w:t>Narzuty kamienne wykonuje się dowożąc kamień na dół skarpy. Narzut kamienny należy układać ręcznie metodą brukarską w nachyleniu 1:1,5.</w:t>
      </w:r>
    </w:p>
    <w:p w14:paraId="0D44D20A" w14:textId="77777777" w:rsidR="00C36810" w:rsidRPr="00C36810" w:rsidRDefault="00C36810" w:rsidP="00C36810">
      <w:pPr>
        <w:pStyle w:val="Default"/>
        <w:rPr>
          <w:rFonts w:asciiTheme="minorHAnsi" w:hAnsiTheme="minorHAnsi" w:cstheme="minorHAnsi"/>
          <w:sz w:val="18"/>
          <w:szCs w:val="18"/>
        </w:rPr>
      </w:pPr>
      <w:r w:rsidRPr="00C36810">
        <w:rPr>
          <w:rFonts w:asciiTheme="minorHAnsi" w:hAnsiTheme="minorHAnsi" w:cstheme="minorHAnsi"/>
          <w:sz w:val="18"/>
          <w:szCs w:val="18"/>
        </w:rPr>
        <w:t xml:space="preserve">Narzut kamienny należy sypać cienkimi warstwami na uprzednio przygotowane podłoże, tak aby kamienie układały się według stoku naturalnego. Kamienie leżą na sobie luźno nasypane i nie są związane żadnym spoiwem. Powierzchnię narzutu należy możliwie wyrównać i uporządkować. Ponieważ sypiąc narzut, nie można uzyskać dokładnie tych wymiarów, które były zaprojektowane, przeto ilość kamienia użytego na narzut jest zawsze nieco większa od tej jaka wynikałaby z zaprojektowanych wymiarów budowli. </w:t>
      </w:r>
    </w:p>
    <w:p w14:paraId="243A90E4" w14:textId="77777777" w:rsidR="00C36810" w:rsidRPr="00C36810" w:rsidRDefault="00C36810" w:rsidP="00C36810">
      <w:pPr>
        <w:pStyle w:val="Default"/>
        <w:rPr>
          <w:rFonts w:asciiTheme="minorHAnsi" w:hAnsiTheme="minorHAnsi" w:cstheme="minorHAnsi"/>
          <w:sz w:val="18"/>
          <w:szCs w:val="18"/>
        </w:rPr>
      </w:pPr>
      <w:r w:rsidRPr="00C36810">
        <w:rPr>
          <w:rFonts w:asciiTheme="minorHAnsi" w:hAnsiTheme="minorHAnsi" w:cstheme="minorHAnsi"/>
          <w:sz w:val="18"/>
          <w:szCs w:val="18"/>
        </w:rPr>
        <w:t xml:space="preserve">Nie dopuszcza się zrzucania kamieni z wysokości większej niż 1 m od poziomu ułożonej warstwy. </w:t>
      </w:r>
    </w:p>
    <w:p w14:paraId="75D54AB3" w14:textId="77777777" w:rsidR="00C36810" w:rsidRPr="00C36810" w:rsidRDefault="00C36810" w:rsidP="00C36810">
      <w:pPr>
        <w:pStyle w:val="Default"/>
        <w:rPr>
          <w:rFonts w:asciiTheme="minorHAnsi" w:hAnsiTheme="minorHAnsi" w:cstheme="minorHAnsi"/>
          <w:sz w:val="18"/>
          <w:szCs w:val="18"/>
        </w:rPr>
      </w:pPr>
      <w:r w:rsidRPr="00C36810">
        <w:rPr>
          <w:rFonts w:asciiTheme="minorHAnsi" w:hAnsiTheme="minorHAnsi" w:cstheme="minorHAnsi"/>
          <w:sz w:val="18"/>
          <w:szCs w:val="18"/>
        </w:rPr>
        <w:t xml:space="preserve">Narzut kamienny powinien być układany warstwami, których grubość nie może być większa od wymiaru zasadniczego największego kamienia użytego do wykonania narzutu. </w:t>
      </w:r>
    </w:p>
    <w:p w14:paraId="129FA6FF" w14:textId="77777777" w:rsidR="00C36810" w:rsidRPr="00C36810" w:rsidRDefault="00C36810" w:rsidP="00C36810">
      <w:pPr>
        <w:pStyle w:val="Nagwek3"/>
        <w:rPr>
          <w:rFonts w:asciiTheme="minorHAnsi" w:hAnsiTheme="minorHAnsi" w:cstheme="minorHAnsi"/>
          <w:sz w:val="18"/>
          <w:szCs w:val="18"/>
        </w:rPr>
      </w:pPr>
      <w:bookmarkStart w:id="709" w:name="_Toc428243647"/>
      <w:bookmarkStart w:id="710" w:name="_Toc497107503"/>
      <w:r w:rsidRPr="00C36810">
        <w:rPr>
          <w:rFonts w:asciiTheme="minorHAnsi" w:hAnsiTheme="minorHAnsi" w:cstheme="minorHAnsi"/>
          <w:sz w:val="18"/>
          <w:szCs w:val="18"/>
        </w:rPr>
        <w:t>6. KONTROLA JAKOŚCI ROBÓT</w:t>
      </w:r>
      <w:bookmarkEnd w:id="709"/>
      <w:bookmarkEnd w:id="710"/>
    </w:p>
    <w:p w14:paraId="11D642C1" w14:textId="77777777" w:rsidR="00C36810" w:rsidRPr="00C36810" w:rsidRDefault="00C36810" w:rsidP="00C36810">
      <w:pPr>
        <w:pStyle w:val="Nagwek4"/>
        <w:rPr>
          <w:rFonts w:asciiTheme="minorHAnsi" w:hAnsiTheme="minorHAnsi" w:cstheme="minorHAnsi"/>
          <w:sz w:val="18"/>
          <w:szCs w:val="18"/>
        </w:rPr>
      </w:pPr>
      <w:r w:rsidRPr="00C36810">
        <w:rPr>
          <w:rFonts w:asciiTheme="minorHAnsi" w:hAnsiTheme="minorHAnsi" w:cstheme="minorHAnsi"/>
          <w:sz w:val="18"/>
          <w:szCs w:val="18"/>
        </w:rPr>
        <w:t>6.1. Ogólne zasady kontroli jakości robót</w:t>
      </w:r>
    </w:p>
    <w:p w14:paraId="63CBAFD7" w14:textId="3D6D1595" w:rsidR="00C36810" w:rsidRPr="00C36810" w:rsidRDefault="00C36810" w:rsidP="00C36810">
      <w:pPr>
        <w:rPr>
          <w:rFonts w:asciiTheme="minorHAnsi" w:hAnsiTheme="minorHAnsi" w:cstheme="minorHAnsi"/>
          <w:sz w:val="18"/>
          <w:szCs w:val="18"/>
        </w:rPr>
      </w:pPr>
      <w:r w:rsidRPr="00C36810">
        <w:rPr>
          <w:rFonts w:asciiTheme="minorHAnsi" w:hAnsiTheme="minorHAnsi" w:cstheme="minorHAnsi"/>
          <w:sz w:val="18"/>
          <w:szCs w:val="18"/>
        </w:rPr>
        <w:t>Ogólne zasady kontroli jakości robót podano w</w:t>
      </w:r>
      <w:r w:rsidR="00C006BE">
        <w:rPr>
          <w:rFonts w:asciiTheme="minorHAnsi" w:hAnsiTheme="minorHAnsi" w:cstheme="minorHAnsi"/>
          <w:sz w:val="18"/>
          <w:szCs w:val="18"/>
        </w:rPr>
        <w:t xml:space="preserve"> ST</w:t>
      </w:r>
      <w:r w:rsidR="00307E20">
        <w:rPr>
          <w:rFonts w:asciiTheme="minorHAnsi" w:hAnsiTheme="minorHAnsi" w:cstheme="minorHAnsi"/>
          <w:sz w:val="18"/>
          <w:szCs w:val="18"/>
        </w:rPr>
        <w:t>WIORB</w:t>
      </w:r>
      <w:r w:rsidRPr="00C36810">
        <w:rPr>
          <w:rFonts w:asciiTheme="minorHAnsi" w:hAnsiTheme="minorHAnsi" w:cstheme="minorHAnsi"/>
          <w:sz w:val="18"/>
          <w:szCs w:val="18"/>
        </w:rPr>
        <w:t xml:space="preserve"> D-M-00.00.00 „Wymagania ogólne” pkt 6.</w:t>
      </w:r>
    </w:p>
    <w:p w14:paraId="1825C11F" w14:textId="77777777" w:rsidR="00C36810" w:rsidRPr="00C36810" w:rsidRDefault="00C36810" w:rsidP="00C36810">
      <w:pPr>
        <w:pStyle w:val="Nagwek4"/>
        <w:rPr>
          <w:rFonts w:asciiTheme="minorHAnsi" w:hAnsiTheme="minorHAnsi" w:cstheme="minorHAnsi"/>
          <w:sz w:val="18"/>
          <w:szCs w:val="18"/>
        </w:rPr>
      </w:pPr>
      <w:r w:rsidRPr="00C36810">
        <w:rPr>
          <w:rFonts w:asciiTheme="minorHAnsi" w:hAnsiTheme="minorHAnsi" w:cstheme="minorHAnsi"/>
          <w:sz w:val="18"/>
          <w:szCs w:val="18"/>
        </w:rPr>
        <w:t>6.2. Kontrola jakości humusowania i obsiania</w:t>
      </w:r>
    </w:p>
    <w:p w14:paraId="7B6E78F5" w14:textId="5DB09B88" w:rsidR="00C36810" w:rsidRPr="00C36810" w:rsidRDefault="00C36810" w:rsidP="00C36810">
      <w:pPr>
        <w:rPr>
          <w:rFonts w:asciiTheme="minorHAnsi" w:hAnsiTheme="minorHAnsi" w:cstheme="minorHAnsi"/>
          <w:sz w:val="18"/>
          <w:szCs w:val="18"/>
        </w:rPr>
      </w:pPr>
      <w:r w:rsidRPr="00C36810">
        <w:rPr>
          <w:rFonts w:asciiTheme="minorHAnsi" w:hAnsiTheme="minorHAnsi" w:cstheme="minorHAnsi"/>
          <w:sz w:val="18"/>
          <w:szCs w:val="18"/>
        </w:rPr>
        <w:t>Kontrola polega na ocenie wizualnej jakości wykonanych robót i ich zgodności z</w:t>
      </w:r>
      <w:r w:rsidR="00C006BE">
        <w:rPr>
          <w:rFonts w:asciiTheme="minorHAnsi" w:hAnsiTheme="minorHAnsi" w:cstheme="minorHAnsi"/>
          <w:sz w:val="18"/>
          <w:szCs w:val="18"/>
        </w:rPr>
        <w:t xml:space="preserve"> ST</w:t>
      </w:r>
      <w:r w:rsidR="00307E20">
        <w:rPr>
          <w:rFonts w:asciiTheme="minorHAnsi" w:hAnsiTheme="minorHAnsi" w:cstheme="minorHAnsi"/>
          <w:sz w:val="18"/>
          <w:szCs w:val="18"/>
        </w:rPr>
        <w:t>WIORB</w:t>
      </w:r>
      <w:r w:rsidRPr="00C36810">
        <w:rPr>
          <w:rFonts w:asciiTheme="minorHAnsi" w:hAnsiTheme="minorHAnsi" w:cstheme="minorHAnsi"/>
          <w:sz w:val="18"/>
          <w:szCs w:val="18"/>
        </w:rPr>
        <w:t>, oraz na sprawdzeniu daty ważności świadectwa wartości siewnej wysianej mieszanki nasion traw.</w:t>
      </w:r>
    </w:p>
    <w:p w14:paraId="58233FC5" w14:textId="77777777" w:rsidR="00C36810" w:rsidRPr="00C36810" w:rsidRDefault="00C36810" w:rsidP="00C36810">
      <w:pPr>
        <w:rPr>
          <w:rFonts w:asciiTheme="minorHAnsi" w:hAnsiTheme="minorHAnsi" w:cstheme="minorHAnsi"/>
          <w:sz w:val="18"/>
          <w:szCs w:val="18"/>
        </w:rPr>
      </w:pPr>
      <w:r w:rsidRPr="00C36810">
        <w:rPr>
          <w:rFonts w:asciiTheme="minorHAnsi" w:hAnsiTheme="minorHAnsi" w:cstheme="minorHAnsi"/>
          <w:sz w:val="18"/>
          <w:szCs w:val="18"/>
        </w:rPr>
        <w:t>Po wzejściu roślin, łączna powierzchnia nie porośniętych miejsc nie powinna być większa niż 2% powierzchni obsianej skarpy, a maksymalny wymiar pojedynczych nie zatrawionych miejsc nie powinien przekraczać 0,2 m</w:t>
      </w:r>
      <w:r w:rsidRPr="00C36810">
        <w:rPr>
          <w:rFonts w:asciiTheme="minorHAnsi" w:hAnsiTheme="minorHAnsi" w:cstheme="minorHAnsi"/>
          <w:sz w:val="18"/>
          <w:szCs w:val="18"/>
          <w:vertAlign w:val="superscript"/>
        </w:rPr>
        <w:t>2</w:t>
      </w:r>
      <w:r w:rsidRPr="00C36810">
        <w:rPr>
          <w:rFonts w:asciiTheme="minorHAnsi" w:hAnsiTheme="minorHAnsi" w:cstheme="minorHAnsi"/>
          <w:sz w:val="18"/>
          <w:szCs w:val="18"/>
        </w:rPr>
        <w:t>. Na zarośniętej powierzchni nie mogą występować wyżłobienia erozyjne ani lokalne zsuwy.</w:t>
      </w:r>
    </w:p>
    <w:p w14:paraId="5B5250A4" w14:textId="77777777" w:rsidR="00C36810" w:rsidRPr="00C36810" w:rsidRDefault="00C36810" w:rsidP="00C36810">
      <w:pPr>
        <w:pStyle w:val="Nagwek4"/>
        <w:rPr>
          <w:rFonts w:asciiTheme="minorHAnsi" w:hAnsiTheme="minorHAnsi" w:cstheme="minorHAnsi"/>
          <w:sz w:val="18"/>
          <w:szCs w:val="18"/>
        </w:rPr>
      </w:pPr>
      <w:r w:rsidRPr="00C36810">
        <w:rPr>
          <w:rFonts w:asciiTheme="minorHAnsi" w:hAnsiTheme="minorHAnsi" w:cstheme="minorHAnsi"/>
          <w:sz w:val="18"/>
          <w:szCs w:val="18"/>
        </w:rPr>
        <w:t>6.3 Kontrola jakości umocnień elementami prefabrykowanymi</w:t>
      </w:r>
    </w:p>
    <w:p w14:paraId="7FEC88E1" w14:textId="77777777" w:rsidR="00C36810" w:rsidRPr="00C36810" w:rsidRDefault="00C36810" w:rsidP="00C36810">
      <w:pPr>
        <w:rPr>
          <w:rFonts w:asciiTheme="minorHAnsi" w:hAnsiTheme="minorHAnsi" w:cstheme="minorHAnsi"/>
          <w:sz w:val="18"/>
          <w:szCs w:val="18"/>
        </w:rPr>
      </w:pPr>
      <w:r w:rsidRPr="00C36810">
        <w:rPr>
          <w:rFonts w:asciiTheme="minorHAnsi" w:hAnsiTheme="minorHAnsi" w:cstheme="minorHAnsi"/>
          <w:sz w:val="18"/>
          <w:szCs w:val="18"/>
        </w:rPr>
        <w:t>Kontrola polega na sprawdzeniu:</w:t>
      </w:r>
    </w:p>
    <w:p w14:paraId="304C0FC2" w14:textId="77777777" w:rsidR="00C36810" w:rsidRPr="00C36810" w:rsidRDefault="00C36810" w:rsidP="00262498">
      <w:pPr>
        <w:numPr>
          <w:ilvl w:val="0"/>
          <w:numId w:val="229"/>
        </w:numPr>
        <w:rPr>
          <w:rFonts w:asciiTheme="minorHAnsi" w:hAnsiTheme="minorHAnsi" w:cstheme="minorHAnsi"/>
          <w:sz w:val="18"/>
          <w:szCs w:val="18"/>
        </w:rPr>
      </w:pPr>
      <w:r w:rsidRPr="00C36810">
        <w:rPr>
          <w:rFonts w:asciiTheme="minorHAnsi" w:hAnsiTheme="minorHAnsi" w:cstheme="minorHAnsi"/>
          <w:sz w:val="18"/>
          <w:szCs w:val="18"/>
        </w:rPr>
        <w:t xml:space="preserve">szerokości dna koryta - dopuszczalna odchyłka </w:t>
      </w:r>
      <w:r w:rsidRPr="00C36810">
        <w:rPr>
          <w:rFonts w:asciiTheme="minorHAnsi" w:hAnsiTheme="minorHAnsi" w:cstheme="minorHAnsi"/>
          <w:sz w:val="18"/>
          <w:szCs w:val="18"/>
        </w:rPr>
        <w:sym w:font="Symbol" w:char="F0B1"/>
      </w:r>
      <w:r w:rsidRPr="00C36810">
        <w:rPr>
          <w:rFonts w:asciiTheme="minorHAnsi" w:hAnsiTheme="minorHAnsi" w:cstheme="minorHAnsi"/>
          <w:sz w:val="18"/>
          <w:szCs w:val="18"/>
        </w:rPr>
        <w:t xml:space="preserve"> 2 cm,</w:t>
      </w:r>
    </w:p>
    <w:p w14:paraId="71054E3B" w14:textId="77777777" w:rsidR="00C36810" w:rsidRPr="00C36810" w:rsidRDefault="00C36810" w:rsidP="00262498">
      <w:pPr>
        <w:numPr>
          <w:ilvl w:val="0"/>
          <w:numId w:val="229"/>
        </w:numPr>
        <w:rPr>
          <w:rFonts w:asciiTheme="minorHAnsi" w:hAnsiTheme="minorHAnsi" w:cstheme="minorHAnsi"/>
          <w:sz w:val="18"/>
          <w:szCs w:val="18"/>
        </w:rPr>
      </w:pPr>
      <w:r w:rsidRPr="00C36810">
        <w:rPr>
          <w:rFonts w:asciiTheme="minorHAnsi" w:hAnsiTheme="minorHAnsi" w:cstheme="minorHAnsi"/>
          <w:sz w:val="18"/>
          <w:szCs w:val="18"/>
        </w:rPr>
        <w:t xml:space="preserve">odchylenia linii ścieku w planie od linii projektowanej - na 100 m dopuszczalne </w:t>
      </w:r>
      <w:r w:rsidRPr="00C36810">
        <w:rPr>
          <w:rFonts w:asciiTheme="minorHAnsi" w:hAnsiTheme="minorHAnsi" w:cstheme="minorHAnsi"/>
          <w:sz w:val="18"/>
          <w:szCs w:val="18"/>
        </w:rPr>
        <w:sym w:font="Symbol" w:char="F0B1"/>
      </w:r>
      <w:r w:rsidRPr="00C36810">
        <w:rPr>
          <w:rFonts w:asciiTheme="minorHAnsi" w:hAnsiTheme="minorHAnsi" w:cstheme="minorHAnsi"/>
          <w:sz w:val="18"/>
          <w:szCs w:val="18"/>
        </w:rPr>
        <w:t xml:space="preserve"> 1 cm,</w:t>
      </w:r>
    </w:p>
    <w:p w14:paraId="73971595" w14:textId="77777777" w:rsidR="00C36810" w:rsidRPr="00C36810" w:rsidRDefault="00C36810" w:rsidP="00262498">
      <w:pPr>
        <w:numPr>
          <w:ilvl w:val="0"/>
          <w:numId w:val="229"/>
        </w:numPr>
        <w:rPr>
          <w:rFonts w:asciiTheme="minorHAnsi" w:hAnsiTheme="minorHAnsi" w:cstheme="minorHAnsi"/>
          <w:sz w:val="18"/>
          <w:szCs w:val="18"/>
        </w:rPr>
      </w:pPr>
      <w:r w:rsidRPr="00C36810">
        <w:rPr>
          <w:rFonts w:asciiTheme="minorHAnsi" w:hAnsiTheme="minorHAnsi" w:cstheme="minorHAnsi"/>
          <w:sz w:val="18"/>
          <w:szCs w:val="18"/>
        </w:rPr>
        <w:t>równości górnej powierzchni ścieku - na 100 m dopuszczalny prześwit mierzony łatą 2 m - 1 cm,</w:t>
      </w:r>
    </w:p>
    <w:p w14:paraId="0623E18E" w14:textId="77777777" w:rsidR="00C36810" w:rsidRPr="00C36810" w:rsidRDefault="00C36810" w:rsidP="00262498">
      <w:pPr>
        <w:numPr>
          <w:ilvl w:val="0"/>
          <w:numId w:val="229"/>
        </w:numPr>
        <w:rPr>
          <w:rFonts w:asciiTheme="minorHAnsi" w:hAnsiTheme="minorHAnsi" w:cstheme="minorHAnsi"/>
          <w:sz w:val="18"/>
          <w:szCs w:val="18"/>
        </w:rPr>
      </w:pPr>
      <w:r w:rsidRPr="00C36810">
        <w:rPr>
          <w:rFonts w:asciiTheme="minorHAnsi" w:hAnsiTheme="minorHAnsi" w:cstheme="minorHAnsi"/>
          <w:sz w:val="18"/>
          <w:szCs w:val="18"/>
        </w:rPr>
        <w:t>dokładności wypełnienia szczelin między prefabrykatami - pełna głębokość.</w:t>
      </w:r>
    </w:p>
    <w:p w14:paraId="2990B1C5" w14:textId="77777777" w:rsidR="00C36810" w:rsidRPr="00C36810" w:rsidRDefault="00C36810" w:rsidP="00C36810">
      <w:pPr>
        <w:pStyle w:val="Nagwek4"/>
        <w:rPr>
          <w:rFonts w:asciiTheme="minorHAnsi" w:hAnsiTheme="minorHAnsi" w:cstheme="minorHAnsi"/>
          <w:sz w:val="18"/>
          <w:szCs w:val="18"/>
        </w:rPr>
      </w:pPr>
      <w:r w:rsidRPr="00C36810">
        <w:rPr>
          <w:rFonts w:asciiTheme="minorHAnsi" w:hAnsiTheme="minorHAnsi" w:cstheme="minorHAnsi"/>
          <w:sz w:val="18"/>
          <w:szCs w:val="18"/>
        </w:rPr>
        <w:t>6.5. Kontrola jakości wykonania hydroobsiewu</w:t>
      </w:r>
    </w:p>
    <w:p w14:paraId="2F009A59" w14:textId="77777777" w:rsidR="00C36810" w:rsidRPr="00C36810" w:rsidRDefault="00C36810" w:rsidP="00C36810">
      <w:pPr>
        <w:numPr>
          <w:ilvl w:val="12"/>
          <w:numId w:val="0"/>
        </w:numPr>
        <w:rPr>
          <w:rFonts w:asciiTheme="minorHAnsi" w:hAnsiTheme="minorHAnsi" w:cstheme="minorHAnsi"/>
          <w:sz w:val="18"/>
          <w:szCs w:val="18"/>
        </w:rPr>
      </w:pPr>
      <w:r w:rsidRPr="00C36810">
        <w:rPr>
          <w:rFonts w:asciiTheme="minorHAnsi" w:hAnsiTheme="minorHAnsi" w:cstheme="minorHAnsi"/>
          <w:sz w:val="18"/>
          <w:szCs w:val="18"/>
        </w:rPr>
        <w:t>Przed wykonaniem robót Wykonawca powinien przedstawić Inżynierowi wyniki badań składników mieszaniny do hydroobsiewu z gruntem lub wyniki z wykonanego odcinka próbnego.</w:t>
      </w:r>
    </w:p>
    <w:p w14:paraId="452E229F" w14:textId="77777777" w:rsidR="00C36810" w:rsidRPr="00C36810" w:rsidRDefault="00C36810" w:rsidP="00C36810">
      <w:pPr>
        <w:numPr>
          <w:ilvl w:val="12"/>
          <w:numId w:val="0"/>
        </w:numPr>
        <w:rPr>
          <w:rFonts w:asciiTheme="minorHAnsi" w:hAnsiTheme="minorHAnsi" w:cstheme="minorHAnsi"/>
          <w:sz w:val="18"/>
          <w:szCs w:val="18"/>
        </w:rPr>
      </w:pPr>
      <w:r w:rsidRPr="00C36810">
        <w:rPr>
          <w:rFonts w:asciiTheme="minorHAnsi" w:hAnsiTheme="minorHAnsi" w:cstheme="minorHAnsi"/>
          <w:sz w:val="18"/>
          <w:szCs w:val="18"/>
        </w:rPr>
        <w:t>Kontrola wykonanego hydroobsiewu powinna odpowiadać wymaganiom określonym w PN-B-12099:1997 [5], z tym że ocenę udania się zasiewu należy przeprowadzić, gdy trawy są w fazie co najmniej trzech lub czterech listków. Wówczas zasiana roślinność powinna być rozmieszczona równomiernie na powierzchni gruntu, pokrywając go nie mniej niż 60% na skarpach o pochyleniu 1:2 oraz 80% na skarpach o pochyleniu 1:1,5 i bardziej stromych.</w:t>
      </w:r>
    </w:p>
    <w:p w14:paraId="15F302E2" w14:textId="77777777" w:rsidR="00C36810" w:rsidRPr="00C36810" w:rsidRDefault="00C36810" w:rsidP="00C36810">
      <w:pPr>
        <w:numPr>
          <w:ilvl w:val="12"/>
          <w:numId w:val="0"/>
        </w:numPr>
        <w:rPr>
          <w:rFonts w:asciiTheme="minorHAnsi" w:hAnsiTheme="minorHAnsi" w:cstheme="minorHAnsi"/>
          <w:sz w:val="18"/>
          <w:szCs w:val="18"/>
        </w:rPr>
      </w:pPr>
      <w:r w:rsidRPr="00C36810">
        <w:rPr>
          <w:rFonts w:asciiTheme="minorHAnsi" w:hAnsiTheme="minorHAnsi" w:cstheme="minorHAnsi"/>
          <w:sz w:val="18"/>
          <w:szCs w:val="18"/>
        </w:rPr>
        <w:t>W przypadku trudności z określeniem gęstości porostu przez oględziny, należy  przeprowadzać badania z zastosowaniem ramki Webera w dziesięciu losowo wybranych miejscach.</w:t>
      </w:r>
    </w:p>
    <w:p w14:paraId="26C258C4" w14:textId="77777777" w:rsidR="00C36810" w:rsidRPr="00C36810" w:rsidRDefault="00C36810" w:rsidP="00C36810">
      <w:pPr>
        <w:pStyle w:val="Nagwek4"/>
        <w:rPr>
          <w:rFonts w:asciiTheme="minorHAnsi" w:hAnsiTheme="minorHAnsi" w:cstheme="minorHAnsi"/>
          <w:sz w:val="18"/>
          <w:szCs w:val="18"/>
        </w:rPr>
      </w:pPr>
      <w:r w:rsidRPr="00C36810">
        <w:rPr>
          <w:rFonts w:asciiTheme="minorHAnsi" w:hAnsiTheme="minorHAnsi" w:cstheme="minorHAnsi"/>
          <w:sz w:val="18"/>
          <w:szCs w:val="18"/>
        </w:rPr>
        <w:t>6.6 Kontrola wykonania narzutu kamiennego</w:t>
      </w:r>
    </w:p>
    <w:p w14:paraId="08D427AE" w14:textId="77777777" w:rsidR="00C36810" w:rsidRPr="00C36810" w:rsidRDefault="00C36810" w:rsidP="00C36810">
      <w:pPr>
        <w:pStyle w:val="Default"/>
        <w:rPr>
          <w:rFonts w:asciiTheme="minorHAnsi" w:hAnsiTheme="minorHAnsi" w:cstheme="minorHAnsi"/>
          <w:sz w:val="18"/>
          <w:szCs w:val="18"/>
        </w:rPr>
      </w:pPr>
      <w:r w:rsidRPr="00C36810">
        <w:rPr>
          <w:rFonts w:asciiTheme="minorHAnsi" w:hAnsiTheme="minorHAnsi" w:cstheme="minorHAnsi"/>
          <w:sz w:val="18"/>
          <w:szCs w:val="18"/>
        </w:rPr>
        <w:t xml:space="preserve">Przedmiotem kontroli jest jakość i wymiary kamienia. </w:t>
      </w:r>
    </w:p>
    <w:p w14:paraId="4E02F4D5" w14:textId="77777777" w:rsidR="00C36810" w:rsidRPr="00C36810" w:rsidRDefault="00C36810" w:rsidP="00C36810">
      <w:pPr>
        <w:pStyle w:val="Default"/>
        <w:rPr>
          <w:rFonts w:asciiTheme="minorHAnsi" w:hAnsiTheme="minorHAnsi" w:cstheme="minorHAnsi"/>
          <w:sz w:val="18"/>
          <w:szCs w:val="18"/>
        </w:rPr>
      </w:pPr>
      <w:r w:rsidRPr="00C36810">
        <w:rPr>
          <w:rFonts w:asciiTheme="minorHAnsi" w:hAnsiTheme="minorHAnsi" w:cstheme="minorHAnsi"/>
          <w:sz w:val="18"/>
          <w:szCs w:val="18"/>
        </w:rPr>
        <w:t xml:space="preserve">Kontrola jakości wg PN-66/B-04100. </w:t>
      </w:r>
    </w:p>
    <w:p w14:paraId="6277792D" w14:textId="77777777" w:rsidR="00C36810" w:rsidRPr="00C36810" w:rsidRDefault="00C36810" w:rsidP="00C36810">
      <w:pPr>
        <w:pStyle w:val="Default"/>
        <w:rPr>
          <w:rFonts w:asciiTheme="minorHAnsi" w:hAnsiTheme="minorHAnsi" w:cstheme="minorHAnsi"/>
          <w:sz w:val="18"/>
          <w:szCs w:val="18"/>
        </w:rPr>
      </w:pPr>
      <w:r w:rsidRPr="00C36810">
        <w:rPr>
          <w:rFonts w:asciiTheme="minorHAnsi" w:hAnsiTheme="minorHAnsi" w:cstheme="minorHAnsi"/>
          <w:sz w:val="18"/>
          <w:szCs w:val="18"/>
        </w:rPr>
        <w:t xml:space="preserve">Kontrola wymiarów wg PN-84/B-01080 i PN-60/B-11104. </w:t>
      </w:r>
    </w:p>
    <w:p w14:paraId="1C709F79" w14:textId="77777777" w:rsidR="00C36810" w:rsidRPr="00C36810" w:rsidRDefault="00C36810" w:rsidP="00C36810">
      <w:pPr>
        <w:pStyle w:val="Default"/>
        <w:rPr>
          <w:rFonts w:asciiTheme="minorHAnsi" w:hAnsiTheme="minorHAnsi" w:cstheme="minorHAnsi"/>
          <w:sz w:val="18"/>
          <w:szCs w:val="18"/>
        </w:rPr>
      </w:pPr>
      <w:r w:rsidRPr="00C36810">
        <w:rPr>
          <w:rFonts w:asciiTheme="minorHAnsi" w:hAnsiTheme="minorHAnsi" w:cstheme="minorHAnsi"/>
          <w:sz w:val="18"/>
          <w:szCs w:val="18"/>
        </w:rPr>
        <w:t xml:space="preserve">Oceny wyników kontroli dokonuje się przez porównanie ich z wymaganiami podanymi w normach związanych i projekcie. </w:t>
      </w:r>
    </w:p>
    <w:p w14:paraId="27A29C8E" w14:textId="77777777" w:rsidR="00C36810" w:rsidRPr="00C36810" w:rsidRDefault="00C36810" w:rsidP="00C36810">
      <w:pPr>
        <w:pStyle w:val="Default"/>
        <w:rPr>
          <w:rFonts w:asciiTheme="minorHAnsi" w:hAnsiTheme="minorHAnsi" w:cstheme="minorHAnsi"/>
          <w:sz w:val="18"/>
          <w:szCs w:val="18"/>
        </w:rPr>
      </w:pPr>
      <w:r w:rsidRPr="00C36810">
        <w:rPr>
          <w:rFonts w:asciiTheme="minorHAnsi" w:hAnsiTheme="minorHAnsi" w:cstheme="minorHAnsi"/>
          <w:sz w:val="18"/>
          <w:szCs w:val="18"/>
        </w:rPr>
        <w:t xml:space="preserve">Materiały należy uznać za zgodne z wymaganiami technicznymi, jeżeli przeprowadzona kontrola da wynik dodatni, a stwierdzone odchyłki mieszczą się w granicach dopuszczalnych. </w:t>
      </w:r>
    </w:p>
    <w:p w14:paraId="245CC4E3" w14:textId="77777777" w:rsidR="00C36810" w:rsidRPr="00C36810" w:rsidRDefault="00C36810" w:rsidP="00C36810">
      <w:pPr>
        <w:rPr>
          <w:rFonts w:asciiTheme="minorHAnsi" w:hAnsiTheme="minorHAnsi" w:cstheme="minorHAnsi"/>
          <w:sz w:val="18"/>
          <w:szCs w:val="18"/>
        </w:rPr>
      </w:pPr>
      <w:r w:rsidRPr="00C36810">
        <w:rPr>
          <w:rFonts w:asciiTheme="minorHAnsi" w:hAnsiTheme="minorHAnsi" w:cstheme="minorHAnsi"/>
          <w:sz w:val="18"/>
          <w:szCs w:val="18"/>
        </w:rPr>
        <w:t>Ocenę z przeprowadzonej kontroli jakości materiałów należy wpisać do dziennika budowy.</w:t>
      </w:r>
    </w:p>
    <w:p w14:paraId="15F9EF04" w14:textId="77777777" w:rsidR="00C36810" w:rsidRPr="00C36810" w:rsidRDefault="00C36810" w:rsidP="00C36810">
      <w:pPr>
        <w:pStyle w:val="Default"/>
        <w:rPr>
          <w:rFonts w:asciiTheme="minorHAnsi" w:hAnsiTheme="minorHAnsi" w:cstheme="minorHAnsi"/>
          <w:sz w:val="18"/>
          <w:szCs w:val="18"/>
        </w:rPr>
      </w:pPr>
      <w:r w:rsidRPr="00C36810">
        <w:rPr>
          <w:rFonts w:asciiTheme="minorHAnsi" w:hAnsiTheme="minorHAnsi" w:cstheme="minorHAnsi"/>
          <w:sz w:val="18"/>
          <w:szCs w:val="18"/>
        </w:rPr>
        <w:t>Do oceny wyników kontroli należy dołączyć ewentualne wyniki badań laboratoryjnych</w:t>
      </w:r>
    </w:p>
    <w:p w14:paraId="305328EC" w14:textId="77777777" w:rsidR="00C36810" w:rsidRPr="00C36810" w:rsidRDefault="00C36810" w:rsidP="00C36810">
      <w:pPr>
        <w:pStyle w:val="Default"/>
        <w:rPr>
          <w:rFonts w:asciiTheme="minorHAnsi" w:hAnsiTheme="minorHAnsi" w:cstheme="minorHAnsi"/>
          <w:sz w:val="18"/>
          <w:szCs w:val="18"/>
        </w:rPr>
      </w:pPr>
      <w:r w:rsidRPr="00C36810">
        <w:rPr>
          <w:rFonts w:asciiTheme="minorHAnsi" w:hAnsiTheme="minorHAnsi" w:cstheme="minorHAnsi"/>
          <w:sz w:val="18"/>
          <w:szCs w:val="18"/>
        </w:rPr>
        <w:t xml:space="preserve">Należy przeprowadzić następujące kontrole: </w:t>
      </w:r>
    </w:p>
    <w:p w14:paraId="0155AF9E" w14:textId="77777777" w:rsidR="00C36810" w:rsidRPr="00C36810" w:rsidRDefault="00C36810" w:rsidP="00C36810">
      <w:pPr>
        <w:pStyle w:val="Default"/>
        <w:rPr>
          <w:rFonts w:asciiTheme="minorHAnsi" w:hAnsiTheme="minorHAnsi" w:cstheme="minorHAnsi"/>
          <w:sz w:val="18"/>
          <w:szCs w:val="18"/>
        </w:rPr>
      </w:pPr>
      <w:r w:rsidRPr="00C36810">
        <w:rPr>
          <w:rFonts w:asciiTheme="minorHAnsi" w:hAnsiTheme="minorHAnsi" w:cstheme="minorHAnsi"/>
          <w:sz w:val="18"/>
          <w:szCs w:val="18"/>
        </w:rPr>
        <w:t xml:space="preserve">· oględziny zewnętrzne, </w:t>
      </w:r>
    </w:p>
    <w:p w14:paraId="4F3EF79F" w14:textId="77777777" w:rsidR="00C36810" w:rsidRPr="00C36810" w:rsidRDefault="00C36810" w:rsidP="00C36810">
      <w:pPr>
        <w:pStyle w:val="Default"/>
        <w:rPr>
          <w:rFonts w:asciiTheme="minorHAnsi" w:hAnsiTheme="minorHAnsi" w:cstheme="minorHAnsi"/>
          <w:sz w:val="18"/>
          <w:szCs w:val="18"/>
        </w:rPr>
      </w:pPr>
      <w:r w:rsidRPr="00C36810">
        <w:rPr>
          <w:rFonts w:asciiTheme="minorHAnsi" w:hAnsiTheme="minorHAnsi" w:cstheme="minorHAnsi"/>
          <w:sz w:val="18"/>
          <w:szCs w:val="18"/>
        </w:rPr>
        <w:t xml:space="preserve">· kontrolę wymiarów, </w:t>
      </w:r>
    </w:p>
    <w:p w14:paraId="3DAE6395" w14:textId="77777777" w:rsidR="00C36810" w:rsidRPr="00C36810" w:rsidRDefault="00C36810" w:rsidP="00C36810">
      <w:pPr>
        <w:pStyle w:val="Default"/>
        <w:rPr>
          <w:rFonts w:asciiTheme="minorHAnsi" w:hAnsiTheme="minorHAnsi" w:cstheme="minorHAnsi"/>
          <w:sz w:val="18"/>
          <w:szCs w:val="18"/>
        </w:rPr>
      </w:pPr>
      <w:r w:rsidRPr="00C36810">
        <w:rPr>
          <w:rFonts w:asciiTheme="minorHAnsi" w:hAnsiTheme="minorHAnsi" w:cstheme="minorHAnsi"/>
          <w:sz w:val="18"/>
          <w:szCs w:val="18"/>
        </w:rPr>
        <w:t xml:space="preserve">· kontrolę jakości. </w:t>
      </w:r>
    </w:p>
    <w:p w14:paraId="662F21BE" w14:textId="77777777" w:rsidR="00C36810" w:rsidRPr="00C36810" w:rsidRDefault="00C36810" w:rsidP="00C36810">
      <w:pPr>
        <w:pStyle w:val="Default"/>
        <w:rPr>
          <w:rFonts w:asciiTheme="minorHAnsi" w:hAnsiTheme="minorHAnsi" w:cstheme="minorHAnsi"/>
          <w:sz w:val="18"/>
          <w:szCs w:val="18"/>
        </w:rPr>
      </w:pPr>
      <w:r w:rsidRPr="00C36810">
        <w:rPr>
          <w:rFonts w:asciiTheme="minorHAnsi" w:hAnsiTheme="minorHAnsi" w:cstheme="minorHAnsi"/>
          <w:sz w:val="18"/>
          <w:szCs w:val="18"/>
        </w:rPr>
        <w:t xml:space="preserve">Kontrolę wymiarów i jakości należy przeprowadzać na wybranym losowo 1 m2 z każdej skarpy umocowanej narzutem kamiennym. </w:t>
      </w:r>
    </w:p>
    <w:p w14:paraId="392E7554" w14:textId="77777777" w:rsidR="00C36810" w:rsidRPr="00C36810" w:rsidRDefault="00C36810" w:rsidP="00C36810">
      <w:pPr>
        <w:pStyle w:val="Default"/>
        <w:rPr>
          <w:rFonts w:asciiTheme="minorHAnsi" w:hAnsiTheme="minorHAnsi" w:cstheme="minorHAnsi"/>
          <w:sz w:val="18"/>
          <w:szCs w:val="18"/>
        </w:rPr>
      </w:pPr>
      <w:r w:rsidRPr="00C36810">
        <w:rPr>
          <w:rFonts w:asciiTheme="minorHAnsi" w:hAnsiTheme="minorHAnsi" w:cstheme="minorHAnsi"/>
          <w:sz w:val="18"/>
          <w:szCs w:val="18"/>
        </w:rPr>
        <w:t xml:space="preserve">Oględziny zewnętrzne obejmują całość robót. Polegają one na sprawdzeniu cech zewnętrznych: </w:t>
      </w:r>
    </w:p>
    <w:p w14:paraId="4657E24B" w14:textId="77777777" w:rsidR="00C36810" w:rsidRPr="00C36810" w:rsidRDefault="00C36810" w:rsidP="00C36810">
      <w:pPr>
        <w:pStyle w:val="Default"/>
        <w:rPr>
          <w:rFonts w:asciiTheme="minorHAnsi" w:hAnsiTheme="minorHAnsi" w:cstheme="minorHAnsi"/>
          <w:sz w:val="18"/>
          <w:szCs w:val="18"/>
        </w:rPr>
      </w:pPr>
      <w:r w:rsidRPr="00C36810">
        <w:rPr>
          <w:rFonts w:asciiTheme="minorHAnsi" w:hAnsiTheme="minorHAnsi" w:cstheme="minorHAnsi"/>
          <w:sz w:val="18"/>
          <w:szCs w:val="18"/>
        </w:rPr>
        <w:t xml:space="preserve">- kontroli wymiarów, jak na przykład grubości narzutów lub bruku, należy dokonywać przy pomocy linii z podziałką centymetrową. </w:t>
      </w:r>
    </w:p>
    <w:p w14:paraId="34913BBA" w14:textId="77777777" w:rsidR="00C36810" w:rsidRPr="00C36810" w:rsidRDefault="00C36810" w:rsidP="00C36810">
      <w:pPr>
        <w:pStyle w:val="Default"/>
        <w:rPr>
          <w:rFonts w:asciiTheme="minorHAnsi" w:hAnsiTheme="minorHAnsi" w:cstheme="minorHAnsi"/>
          <w:sz w:val="18"/>
          <w:szCs w:val="18"/>
        </w:rPr>
      </w:pPr>
      <w:r w:rsidRPr="00C36810">
        <w:rPr>
          <w:rFonts w:asciiTheme="minorHAnsi" w:hAnsiTheme="minorHAnsi" w:cstheme="minorHAnsi"/>
          <w:sz w:val="18"/>
          <w:szCs w:val="18"/>
        </w:rPr>
        <w:t xml:space="preserve">Dopuszczalne odchyłki: </w:t>
      </w:r>
    </w:p>
    <w:p w14:paraId="42AD184D" w14:textId="77777777" w:rsidR="00C36810" w:rsidRPr="00C36810" w:rsidRDefault="00C36810" w:rsidP="00C36810">
      <w:pPr>
        <w:pStyle w:val="Default"/>
        <w:rPr>
          <w:rFonts w:asciiTheme="minorHAnsi" w:hAnsiTheme="minorHAnsi" w:cstheme="minorHAnsi"/>
          <w:sz w:val="18"/>
          <w:szCs w:val="18"/>
        </w:rPr>
      </w:pPr>
      <w:r w:rsidRPr="00C36810">
        <w:rPr>
          <w:rFonts w:asciiTheme="minorHAnsi" w:hAnsiTheme="minorHAnsi" w:cstheme="minorHAnsi"/>
          <w:sz w:val="18"/>
          <w:szCs w:val="18"/>
        </w:rPr>
        <w:t xml:space="preserve">- grubość narzutu ±5 cm </w:t>
      </w:r>
    </w:p>
    <w:p w14:paraId="1CD2DDD3" w14:textId="31ED1381" w:rsidR="00C36810" w:rsidRPr="00C36810" w:rsidRDefault="00C36810" w:rsidP="00C36810">
      <w:pPr>
        <w:pStyle w:val="Default"/>
        <w:rPr>
          <w:rFonts w:asciiTheme="minorHAnsi" w:hAnsiTheme="minorHAnsi" w:cstheme="minorHAnsi"/>
          <w:sz w:val="18"/>
          <w:szCs w:val="18"/>
        </w:rPr>
      </w:pPr>
      <w:r w:rsidRPr="00C36810">
        <w:rPr>
          <w:rFonts w:asciiTheme="minorHAnsi" w:hAnsiTheme="minorHAnsi" w:cstheme="minorHAnsi"/>
          <w:sz w:val="18"/>
          <w:szCs w:val="18"/>
        </w:rPr>
        <w:t xml:space="preserve">- nierówności powierzchni ±5 cm </w:t>
      </w:r>
    </w:p>
    <w:p w14:paraId="6094B20E" w14:textId="77777777" w:rsidR="00C36810" w:rsidRPr="00C36810" w:rsidRDefault="00C36810" w:rsidP="00C36810">
      <w:pPr>
        <w:pStyle w:val="Nagwek3"/>
        <w:rPr>
          <w:rFonts w:asciiTheme="minorHAnsi" w:hAnsiTheme="minorHAnsi" w:cstheme="minorHAnsi"/>
          <w:sz w:val="18"/>
          <w:szCs w:val="18"/>
        </w:rPr>
      </w:pPr>
      <w:bookmarkStart w:id="711" w:name="_Toc428243648"/>
      <w:bookmarkStart w:id="712" w:name="_Toc497107504"/>
      <w:r w:rsidRPr="00C36810">
        <w:rPr>
          <w:rFonts w:asciiTheme="minorHAnsi" w:hAnsiTheme="minorHAnsi" w:cstheme="minorHAnsi"/>
          <w:sz w:val="18"/>
          <w:szCs w:val="18"/>
        </w:rPr>
        <w:t>7. OBMIAR ROBÓT</w:t>
      </w:r>
      <w:bookmarkEnd w:id="711"/>
      <w:bookmarkEnd w:id="712"/>
    </w:p>
    <w:p w14:paraId="7F869620" w14:textId="77777777" w:rsidR="007E56C9" w:rsidRDefault="007E56C9" w:rsidP="00C36810">
      <w:pPr>
        <w:numPr>
          <w:ilvl w:val="12"/>
          <w:numId w:val="0"/>
        </w:numPr>
        <w:rPr>
          <w:rFonts w:asciiTheme="minorHAnsi" w:hAnsiTheme="minorHAnsi" w:cstheme="minorHAnsi"/>
          <w:sz w:val="18"/>
          <w:szCs w:val="18"/>
        </w:rPr>
      </w:pPr>
    </w:p>
    <w:p w14:paraId="437FAB16" w14:textId="018251BE" w:rsidR="00C36810" w:rsidRDefault="007E56C9" w:rsidP="00C36810">
      <w:pPr>
        <w:numPr>
          <w:ilvl w:val="12"/>
          <w:numId w:val="0"/>
        </w:numPr>
        <w:rPr>
          <w:rFonts w:asciiTheme="minorHAnsi" w:hAnsiTheme="minorHAnsi" w:cstheme="minorHAnsi"/>
          <w:sz w:val="18"/>
          <w:szCs w:val="18"/>
        </w:rPr>
      </w:pPr>
      <w:r>
        <w:rPr>
          <w:rFonts w:asciiTheme="minorHAnsi" w:hAnsiTheme="minorHAnsi" w:cstheme="minorHAnsi"/>
          <w:sz w:val="18"/>
          <w:szCs w:val="18"/>
        </w:rPr>
        <w:t>Kontrakt ryczałtowy</w:t>
      </w:r>
    </w:p>
    <w:p w14:paraId="348F88DD" w14:textId="2E3DE79D" w:rsidR="007E56C9" w:rsidRPr="00C36810" w:rsidRDefault="007E56C9" w:rsidP="00C36810">
      <w:pPr>
        <w:numPr>
          <w:ilvl w:val="12"/>
          <w:numId w:val="0"/>
        </w:numPr>
        <w:rPr>
          <w:rFonts w:asciiTheme="minorHAnsi" w:hAnsiTheme="minorHAnsi" w:cstheme="minorHAnsi"/>
          <w:sz w:val="18"/>
          <w:szCs w:val="18"/>
        </w:rPr>
      </w:pPr>
      <w:r>
        <w:rPr>
          <w:rFonts w:asciiTheme="minorHAnsi" w:hAnsiTheme="minorHAnsi" w:cstheme="minorHAnsi"/>
          <w:sz w:val="18"/>
          <w:szCs w:val="18"/>
        </w:rPr>
        <w:t>Szczczegółowe zasady obmiaru robót podano w STWiORB D-M 00.00.00 pkt 7</w:t>
      </w:r>
    </w:p>
    <w:p w14:paraId="13D34954" w14:textId="77777777" w:rsidR="00C36810" w:rsidRPr="00C36810" w:rsidRDefault="00C36810" w:rsidP="00C36810">
      <w:pPr>
        <w:pStyle w:val="Nagwek3"/>
        <w:rPr>
          <w:rFonts w:asciiTheme="minorHAnsi" w:hAnsiTheme="minorHAnsi" w:cstheme="minorHAnsi"/>
          <w:sz w:val="18"/>
          <w:szCs w:val="18"/>
        </w:rPr>
      </w:pPr>
      <w:bookmarkStart w:id="713" w:name="_Toc428243649"/>
      <w:bookmarkStart w:id="714" w:name="_Toc497107505"/>
      <w:r w:rsidRPr="00C36810">
        <w:rPr>
          <w:rFonts w:asciiTheme="minorHAnsi" w:hAnsiTheme="minorHAnsi" w:cstheme="minorHAnsi"/>
          <w:sz w:val="18"/>
          <w:szCs w:val="18"/>
        </w:rPr>
        <w:t>8. ODBIÓR ROBÓT</w:t>
      </w:r>
      <w:bookmarkEnd w:id="713"/>
      <w:bookmarkEnd w:id="714"/>
    </w:p>
    <w:p w14:paraId="2BB0E94B" w14:textId="19B2EFD4" w:rsidR="00C36810" w:rsidRPr="00C36810" w:rsidRDefault="00C36810" w:rsidP="00C36810">
      <w:pPr>
        <w:numPr>
          <w:ilvl w:val="12"/>
          <w:numId w:val="0"/>
        </w:numPr>
        <w:rPr>
          <w:rFonts w:asciiTheme="minorHAnsi" w:hAnsiTheme="minorHAnsi" w:cstheme="minorHAnsi"/>
          <w:sz w:val="18"/>
          <w:szCs w:val="18"/>
        </w:rPr>
      </w:pPr>
      <w:r w:rsidRPr="00C36810">
        <w:rPr>
          <w:rFonts w:asciiTheme="minorHAnsi" w:hAnsiTheme="minorHAnsi" w:cstheme="minorHAnsi"/>
          <w:sz w:val="18"/>
          <w:szCs w:val="18"/>
        </w:rPr>
        <w:t>Ogólne zasady odbioru robót podano w</w:t>
      </w:r>
      <w:r w:rsidR="00C006BE">
        <w:rPr>
          <w:rFonts w:asciiTheme="minorHAnsi" w:hAnsiTheme="minorHAnsi" w:cstheme="minorHAnsi"/>
          <w:sz w:val="18"/>
          <w:szCs w:val="18"/>
        </w:rPr>
        <w:t xml:space="preserve"> ST</w:t>
      </w:r>
      <w:r w:rsidR="00307E20">
        <w:rPr>
          <w:rFonts w:asciiTheme="minorHAnsi" w:hAnsiTheme="minorHAnsi" w:cstheme="minorHAnsi"/>
          <w:sz w:val="18"/>
          <w:szCs w:val="18"/>
        </w:rPr>
        <w:t>WIORB</w:t>
      </w:r>
      <w:r w:rsidRPr="00C36810">
        <w:rPr>
          <w:rFonts w:asciiTheme="minorHAnsi" w:hAnsiTheme="minorHAnsi" w:cstheme="minorHAnsi"/>
          <w:sz w:val="18"/>
          <w:szCs w:val="18"/>
        </w:rPr>
        <w:t xml:space="preserve"> D-M-00.00.00 „Wymagania ogólne” pkt 8.</w:t>
      </w:r>
    </w:p>
    <w:p w14:paraId="3CF2AA8D" w14:textId="4A9E910F" w:rsidR="00C36810" w:rsidRPr="00C36810" w:rsidRDefault="00C36810" w:rsidP="00C36810">
      <w:pPr>
        <w:numPr>
          <w:ilvl w:val="12"/>
          <w:numId w:val="0"/>
        </w:numPr>
        <w:rPr>
          <w:rFonts w:asciiTheme="minorHAnsi" w:hAnsiTheme="minorHAnsi" w:cstheme="minorHAnsi"/>
          <w:sz w:val="18"/>
          <w:szCs w:val="18"/>
        </w:rPr>
      </w:pPr>
      <w:r w:rsidRPr="00C36810">
        <w:rPr>
          <w:rFonts w:asciiTheme="minorHAnsi" w:hAnsiTheme="minorHAnsi" w:cstheme="minorHAnsi"/>
          <w:sz w:val="18"/>
          <w:szCs w:val="18"/>
        </w:rPr>
        <w:t>Roboty uznaje się za wykonane zgodnie z dokumentacją projektową,</w:t>
      </w:r>
      <w:r w:rsidR="00C006BE">
        <w:rPr>
          <w:rFonts w:asciiTheme="minorHAnsi" w:hAnsiTheme="minorHAnsi" w:cstheme="minorHAnsi"/>
          <w:sz w:val="18"/>
          <w:szCs w:val="18"/>
        </w:rPr>
        <w:t xml:space="preserve"> ST</w:t>
      </w:r>
      <w:r w:rsidR="00307E20">
        <w:rPr>
          <w:rFonts w:asciiTheme="minorHAnsi" w:hAnsiTheme="minorHAnsi" w:cstheme="minorHAnsi"/>
          <w:sz w:val="18"/>
          <w:szCs w:val="18"/>
        </w:rPr>
        <w:t>WIORB</w:t>
      </w:r>
      <w:r w:rsidRPr="00C36810">
        <w:rPr>
          <w:rFonts w:asciiTheme="minorHAnsi" w:hAnsiTheme="minorHAnsi" w:cstheme="minorHAnsi"/>
          <w:sz w:val="18"/>
          <w:szCs w:val="18"/>
        </w:rPr>
        <w:t xml:space="preserve"> i wymaganiami Inżyniera, jeżeli wszystkie pomiary i badania z zachowaniem tolerancji wg pktu 6 dały wyniki pozytywne.</w:t>
      </w:r>
    </w:p>
    <w:p w14:paraId="4485C7ED" w14:textId="77777777" w:rsidR="00C36810" w:rsidRPr="00C36810" w:rsidRDefault="00C36810" w:rsidP="00C36810">
      <w:pPr>
        <w:pStyle w:val="Nagwek3"/>
        <w:rPr>
          <w:rFonts w:asciiTheme="minorHAnsi" w:hAnsiTheme="minorHAnsi" w:cstheme="minorHAnsi"/>
          <w:sz w:val="18"/>
          <w:szCs w:val="18"/>
        </w:rPr>
      </w:pPr>
      <w:bookmarkStart w:id="715" w:name="_Toc428243650"/>
      <w:bookmarkStart w:id="716" w:name="_Toc497107506"/>
      <w:r w:rsidRPr="00C36810">
        <w:rPr>
          <w:rFonts w:asciiTheme="minorHAnsi" w:hAnsiTheme="minorHAnsi" w:cstheme="minorHAnsi"/>
          <w:sz w:val="18"/>
          <w:szCs w:val="18"/>
        </w:rPr>
        <w:t>9. PODSTAWA PŁATNOŚCI</w:t>
      </w:r>
      <w:bookmarkEnd w:id="715"/>
      <w:bookmarkEnd w:id="716"/>
    </w:p>
    <w:p w14:paraId="353ADC5D" w14:textId="77777777" w:rsidR="007E56C9" w:rsidRDefault="00C36810" w:rsidP="00C36810">
      <w:pPr>
        <w:numPr>
          <w:ilvl w:val="12"/>
          <w:numId w:val="0"/>
        </w:numPr>
        <w:rPr>
          <w:rFonts w:asciiTheme="minorHAnsi" w:hAnsiTheme="minorHAnsi" w:cstheme="minorHAnsi"/>
          <w:sz w:val="18"/>
          <w:szCs w:val="18"/>
        </w:rPr>
      </w:pPr>
      <w:r w:rsidRPr="00C36810">
        <w:rPr>
          <w:rFonts w:asciiTheme="minorHAnsi" w:hAnsiTheme="minorHAnsi" w:cstheme="minorHAnsi"/>
          <w:sz w:val="18"/>
          <w:szCs w:val="18"/>
        </w:rPr>
        <w:t>Wynagrodzenia ryczałtowe</w:t>
      </w:r>
    </w:p>
    <w:p w14:paraId="5B53ADBB" w14:textId="444324F1" w:rsidR="00C36810" w:rsidRPr="00C36810" w:rsidRDefault="007E56C9" w:rsidP="00C36810">
      <w:pPr>
        <w:numPr>
          <w:ilvl w:val="12"/>
          <w:numId w:val="0"/>
        </w:numPr>
        <w:rPr>
          <w:rFonts w:asciiTheme="minorHAnsi" w:hAnsiTheme="minorHAnsi" w:cstheme="minorHAnsi"/>
          <w:sz w:val="18"/>
          <w:szCs w:val="18"/>
        </w:rPr>
      </w:pPr>
      <w:r>
        <w:rPr>
          <w:rFonts w:asciiTheme="minorHAnsi" w:hAnsiTheme="minorHAnsi" w:cstheme="minorHAnsi"/>
          <w:sz w:val="18"/>
          <w:szCs w:val="18"/>
        </w:rPr>
        <w:t>Szczegółowe zasady płatności podanio w STWiORB D-M 00.00.00 pkt 9</w:t>
      </w:r>
      <w:r w:rsidR="00C36810" w:rsidRPr="00C36810">
        <w:rPr>
          <w:rFonts w:asciiTheme="minorHAnsi" w:hAnsiTheme="minorHAnsi" w:cstheme="minorHAnsi"/>
          <w:sz w:val="18"/>
          <w:szCs w:val="18"/>
        </w:rPr>
        <w:t>.</w:t>
      </w:r>
    </w:p>
    <w:p w14:paraId="343CC895" w14:textId="77777777" w:rsidR="00C36810" w:rsidRPr="00C36810" w:rsidRDefault="00C36810" w:rsidP="00C36810">
      <w:pPr>
        <w:pStyle w:val="Nagwek3"/>
        <w:rPr>
          <w:rFonts w:asciiTheme="minorHAnsi" w:hAnsiTheme="minorHAnsi" w:cstheme="minorHAnsi"/>
          <w:sz w:val="18"/>
          <w:szCs w:val="18"/>
        </w:rPr>
      </w:pPr>
      <w:bookmarkStart w:id="717" w:name="_Toc428243651"/>
      <w:bookmarkStart w:id="718" w:name="_Toc497107507"/>
      <w:r w:rsidRPr="00C36810">
        <w:rPr>
          <w:rFonts w:asciiTheme="minorHAnsi" w:hAnsiTheme="minorHAnsi" w:cstheme="minorHAnsi"/>
          <w:sz w:val="18"/>
          <w:szCs w:val="18"/>
        </w:rPr>
        <w:t>10. PRZEPISY ZWIĄZANE</w:t>
      </w:r>
      <w:bookmarkEnd w:id="717"/>
      <w:bookmarkEnd w:id="718"/>
    </w:p>
    <w:p w14:paraId="1AE7DA51" w14:textId="77777777" w:rsidR="00C36810" w:rsidRPr="00C36810" w:rsidRDefault="00C36810" w:rsidP="00C36810">
      <w:pPr>
        <w:pStyle w:val="Nagwek4"/>
        <w:rPr>
          <w:rFonts w:asciiTheme="minorHAnsi" w:hAnsiTheme="minorHAnsi" w:cstheme="minorHAnsi"/>
          <w:sz w:val="18"/>
          <w:szCs w:val="18"/>
        </w:rPr>
      </w:pPr>
      <w:r w:rsidRPr="00C36810">
        <w:rPr>
          <w:rFonts w:asciiTheme="minorHAnsi" w:hAnsiTheme="minorHAnsi" w:cstheme="minorHAnsi"/>
          <w:sz w:val="18"/>
          <w:szCs w:val="18"/>
        </w:rPr>
        <w:t>10.1. Normy</w:t>
      </w:r>
    </w:p>
    <w:tbl>
      <w:tblPr>
        <w:tblW w:w="0" w:type="auto"/>
        <w:tblLayout w:type="fixed"/>
        <w:tblCellMar>
          <w:left w:w="70" w:type="dxa"/>
          <w:right w:w="70" w:type="dxa"/>
        </w:tblCellMar>
        <w:tblLook w:val="0000" w:firstRow="0" w:lastRow="0" w:firstColumn="0" w:lastColumn="0" w:noHBand="0" w:noVBand="0"/>
      </w:tblPr>
      <w:tblGrid>
        <w:gridCol w:w="2197"/>
        <w:gridCol w:w="7654"/>
      </w:tblGrid>
      <w:tr w:rsidR="00C36810" w:rsidRPr="00C36810" w14:paraId="36905535" w14:textId="77777777" w:rsidTr="00AE247E">
        <w:tc>
          <w:tcPr>
            <w:tcW w:w="2197" w:type="dxa"/>
          </w:tcPr>
          <w:p w14:paraId="4BAF1544" w14:textId="77777777" w:rsidR="00C36810" w:rsidRPr="00C36810" w:rsidRDefault="00C36810" w:rsidP="00AE247E">
            <w:pPr>
              <w:rPr>
                <w:rFonts w:asciiTheme="minorHAnsi" w:hAnsiTheme="minorHAnsi" w:cstheme="minorHAnsi"/>
                <w:sz w:val="16"/>
                <w:szCs w:val="16"/>
              </w:rPr>
            </w:pPr>
            <w:r w:rsidRPr="00C36810">
              <w:rPr>
                <w:rFonts w:asciiTheme="minorHAnsi" w:hAnsiTheme="minorHAnsi" w:cstheme="minorHAnsi"/>
                <w:sz w:val="16"/>
                <w:szCs w:val="16"/>
              </w:rPr>
              <w:t xml:space="preserve">  1.   PN-B-11104:1960</w:t>
            </w:r>
          </w:p>
        </w:tc>
        <w:tc>
          <w:tcPr>
            <w:tcW w:w="7654" w:type="dxa"/>
          </w:tcPr>
          <w:p w14:paraId="16CFA241" w14:textId="77777777" w:rsidR="00C36810" w:rsidRPr="00C36810" w:rsidRDefault="00C36810" w:rsidP="00AE247E">
            <w:pPr>
              <w:rPr>
                <w:rFonts w:asciiTheme="minorHAnsi" w:hAnsiTheme="minorHAnsi" w:cstheme="minorHAnsi"/>
                <w:sz w:val="16"/>
                <w:szCs w:val="16"/>
              </w:rPr>
            </w:pPr>
            <w:r w:rsidRPr="00C36810">
              <w:rPr>
                <w:rFonts w:asciiTheme="minorHAnsi" w:hAnsiTheme="minorHAnsi" w:cstheme="minorHAnsi"/>
                <w:sz w:val="16"/>
                <w:szCs w:val="16"/>
              </w:rPr>
              <w:t>Materiały kamienne. Brukowiec</w:t>
            </w:r>
          </w:p>
        </w:tc>
      </w:tr>
      <w:tr w:rsidR="00C36810" w:rsidRPr="00C36810" w14:paraId="56DBF66C" w14:textId="77777777" w:rsidTr="00AE247E">
        <w:tc>
          <w:tcPr>
            <w:tcW w:w="2197" w:type="dxa"/>
          </w:tcPr>
          <w:p w14:paraId="5A219191" w14:textId="77777777" w:rsidR="00C36810" w:rsidRPr="00C36810" w:rsidRDefault="00C36810" w:rsidP="00AE247E">
            <w:pPr>
              <w:rPr>
                <w:rFonts w:asciiTheme="minorHAnsi" w:hAnsiTheme="minorHAnsi" w:cstheme="minorHAnsi"/>
                <w:sz w:val="16"/>
                <w:szCs w:val="16"/>
              </w:rPr>
            </w:pPr>
            <w:r w:rsidRPr="00C36810">
              <w:rPr>
                <w:rFonts w:asciiTheme="minorHAnsi" w:hAnsiTheme="minorHAnsi" w:cstheme="minorHAnsi"/>
                <w:sz w:val="16"/>
                <w:szCs w:val="16"/>
              </w:rPr>
              <w:t xml:space="preserve">  2.   PN-B-11111:1996</w:t>
            </w:r>
          </w:p>
        </w:tc>
        <w:tc>
          <w:tcPr>
            <w:tcW w:w="7654" w:type="dxa"/>
          </w:tcPr>
          <w:p w14:paraId="54DA542C" w14:textId="77777777" w:rsidR="00C36810" w:rsidRPr="00C36810" w:rsidRDefault="00C36810" w:rsidP="00AE247E">
            <w:pPr>
              <w:rPr>
                <w:rFonts w:asciiTheme="minorHAnsi" w:hAnsiTheme="minorHAnsi" w:cstheme="minorHAnsi"/>
                <w:sz w:val="16"/>
                <w:szCs w:val="16"/>
              </w:rPr>
            </w:pPr>
            <w:r w:rsidRPr="00C36810">
              <w:rPr>
                <w:rFonts w:asciiTheme="minorHAnsi" w:hAnsiTheme="minorHAnsi" w:cstheme="minorHAnsi"/>
                <w:sz w:val="16"/>
                <w:szCs w:val="16"/>
              </w:rPr>
              <w:t>Kruszywa mineralne. Kruszywo naturalne do nawierzchni drogowych. Żwir i mieszanka</w:t>
            </w:r>
          </w:p>
        </w:tc>
      </w:tr>
      <w:tr w:rsidR="00C36810" w:rsidRPr="00C36810" w14:paraId="7BD16257" w14:textId="77777777" w:rsidTr="00AE247E">
        <w:tc>
          <w:tcPr>
            <w:tcW w:w="2197" w:type="dxa"/>
          </w:tcPr>
          <w:p w14:paraId="4F89704A" w14:textId="77777777" w:rsidR="00C36810" w:rsidRPr="00C36810" w:rsidRDefault="00C36810" w:rsidP="00AE247E">
            <w:pPr>
              <w:rPr>
                <w:rFonts w:asciiTheme="minorHAnsi" w:hAnsiTheme="minorHAnsi" w:cstheme="minorHAnsi"/>
                <w:sz w:val="16"/>
                <w:szCs w:val="16"/>
              </w:rPr>
            </w:pPr>
            <w:r w:rsidRPr="00C36810">
              <w:rPr>
                <w:rFonts w:asciiTheme="minorHAnsi" w:hAnsiTheme="minorHAnsi" w:cstheme="minorHAnsi"/>
                <w:sz w:val="16"/>
                <w:szCs w:val="16"/>
              </w:rPr>
              <w:t xml:space="preserve">  3.   PN-B-11113:1996</w:t>
            </w:r>
          </w:p>
        </w:tc>
        <w:tc>
          <w:tcPr>
            <w:tcW w:w="7654" w:type="dxa"/>
          </w:tcPr>
          <w:p w14:paraId="66A5A5AA" w14:textId="77777777" w:rsidR="00C36810" w:rsidRPr="00C36810" w:rsidRDefault="00C36810" w:rsidP="00AE247E">
            <w:pPr>
              <w:rPr>
                <w:rFonts w:asciiTheme="minorHAnsi" w:hAnsiTheme="minorHAnsi" w:cstheme="minorHAnsi"/>
                <w:sz w:val="16"/>
                <w:szCs w:val="16"/>
              </w:rPr>
            </w:pPr>
            <w:r w:rsidRPr="00C36810">
              <w:rPr>
                <w:rFonts w:asciiTheme="minorHAnsi" w:hAnsiTheme="minorHAnsi" w:cstheme="minorHAnsi"/>
                <w:sz w:val="16"/>
                <w:szCs w:val="16"/>
              </w:rPr>
              <w:t>Kruszywa mineralne. Kruszywa naturalne do nawierzchni drogowych. Piasek</w:t>
            </w:r>
          </w:p>
        </w:tc>
      </w:tr>
      <w:tr w:rsidR="00C36810" w:rsidRPr="00C36810" w14:paraId="12515AF6" w14:textId="77777777" w:rsidTr="00AE247E">
        <w:tc>
          <w:tcPr>
            <w:tcW w:w="2197" w:type="dxa"/>
          </w:tcPr>
          <w:p w14:paraId="2AB69FEA" w14:textId="77777777" w:rsidR="00C36810" w:rsidRPr="00C36810" w:rsidRDefault="00C36810" w:rsidP="00AE247E">
            <w:pPr>
              <w:rPr>
                <w:rFonts w:asciiTheme="minorHAnsi" w:hAnsiTheme="minorHAnsi" w:cstheme="minorHAnsi"/>
                <w:sz w:val="16"/>
                <w:szCs w:val="16"/>
              </w:rPr>
            </w:pPr>
            <w:r w:rsidRPr="00C36810">
              <w:rPr>
                <w:rFonts w:asciiTheme="minorHAnsi" w:hAnsiTheme="minorHAnsi" w:cstheme="minorHAnsi"/>
                <w:sz w:val="16"/>
                <w:szCs w:val="16"/>
              </w:rPr>
              <w:t xml:space="preserve">  4.   PN-B-12074:1998</w:t>
            </w:r>
          </w:p>
        </w:tc>
        <w:tc>
          <w:tcPr>
            <w:tcW w:w="7654" w:type="dxa"/>
          </w:tcPr>
          <w:p w14:paraId="3B2194AC" w14:textId="77777777" w:rsidR="00C36810" w:rsidRPr="00C36810" w:rsidRDefault="00C36810" w:rsidP="00AE247E">
            <w:pPr>
              <w:rPr>
                <w:rFonts w:asciiTheme="minorHAnsi" w:hAnsiTheme="minorHAnsi" w:cstheme="minorHAnsi"/>
                <w:sz w:val="16"/>
                <w:szCs w:val="16"/>
              </w:rPr>
            </w:pPr>
            <w:r w:rsidRPr="00C36810">
              <w:rPr>
                <w:rFonts w:asciiTheme="minorHAnsi" w:hAnsiTheme="minorHAnsi" w:cstheme="minorHAnsi"/>
                <w:sz w:val="16"/>
                <w:szCs w:val="16"/>
              </w:rPr>
              <w:t>Urządzenia wodno-melioracyjne. Umacnianie i zadarnianie powierzchni biowłókniną. Wymagania i badania przy odbiorze</w:t>
            </w:r>
          </w:p>
        </w:tc>
      </w:tr>
      <w:tr w:rsidR="00C36810" w:rsidRPr="00C36810" w14:paraId="404ADFE0" w14:textId="77777777" w:rsidTr="00AE247E">
        <w:tc>
          <w:tcPr>
            <w:tcW w:w="2197" w:type="dxa"/>
          </w:tcPr>
          <w:p w14:paraId="561B45FD" w14:textId="77777777" w:rsidR="00C36810" w:rsidRPr="00C36810" w:rsidRDefault="00C36810" w:rsidP="00AE247E">
            <w:pPr>
              <w:rPr>
                <w:rFonts w:asciiTheme="minorHAnsi" w:hAnsiTheme="minorHAnsi" w:cstheme="minorHAnsi"/>
                <w:sz w:val="16"/>
                <w:szCs w:val="16"/>
              </w:rPr>
            </w:pPr>
            <w:r w:rsidRPr="00C36810">
              <w:rPr>
                <w:rFonts w:asciiTheme="minorHAnsi" w:hAnsiTheme="minorHAnsi" w:cstheme="minorHAnsi"/>
                <w:sz w:val="16"/>
                <w:szCs w:val="16"/>
              </w:rPr>
              <w:t xml:space="preserve">  5.   PN-B-12099:1997</w:t>
            </w:r>
          </w:p>
        </w:tc>
        <w:tc>
          <w:tcPr>
            <w:tcW w:w="7654" w:type="dxa"/>
          </w:tcPr>
          <w:p w14:paraId="6F58E4B5" w14:textId="77777777" w:rsidR="00C36810" w:rsidRPr="00C36810" w:rsidRDefault="00C36810" w:rsidP="00AE247E">
            <w:pPr>
              <w:rPr>
                <w:rFonts w:asciiTheme="minorHAnsi" w:hAnsiTheme="minorHAnsi" w:cstheme="minorHAnsi"/>
                <w:sz w:val="16"/>
                <w:szCs w:val="16"/>
              </w:rPr>
            </w:pPr>
            <w:r w:rsidRPr="00C36810">
              <w:rPr>
                <w:rFonts w:asciiTheme="minorHAnsi" w:hAnsiTheme="minorHAnsi" w:cstheme="minorHAnsi"/>
                <w:sz w:val="16"/>
                <w:szCs w:val="16"/>
              </w:rPr>
              <w:t>Zagospodarowanie pomelioracyjne. Wymagania i metody badań</w:t>
            </w:r>
          </w:p>
        </w:tc>
      </w:tr>
      <w:tr w:rsidR="00C36810" w:rsidRPr="00C36810" w14:paraId="2F8CDAF0" w14:textId="77777777" w:rsidTr="00AE247E">
        <w:tc>
          <w:tcPr>
            <w:tcW w:w="2197" w:type="dxa"/>
          </w:tcPr>
          <w:p w14:paraId="137B726A" w14:textId="77777777" w:rsidR="00C36810" w:rsidRPr="00C36810" w:rsidRDefault="00C36810" w:rsidP="00AE247E">
            <w:pPr>
              <w:rPr>
                <w:rFonts w:asciiTheme="minorHAnsi" w:hAnsiTheme="minorHAnsi" w:cstheme="minorHAnsi"/>
                <w:sz w:val="16"/>
                <w:szCs w:val="16"/>
              </w:rPr>
            </w:pPr>
            <w:r w:rsidRPr="00C36810">
              <w:rPr>
                <w:rFonts w:asciiTheme="minorHAnsi" w:hAnsiTheme="minorHAnsi" w:cstheme="minorHAnsi"/>
                <w:sz w:val="16"/>
                <w:szCs w:val="16"/>
              </w:rPr>
              <w:t xml:space="preserve">  6.   PN-B-14501:1990</w:t>
            </w:r>
          </w:p>
        </w:tc>
        <w:tc>
          <w:tcPr>
            <w:tcW w:w="7654" w:type="dxa"/>
          </w:tcPr>
          <w:p w14:paraId="01E0FE6A" w14:textId="77777777" w:rsidR="00C36810" w:rsidRPr="00C36810" w:rsidRDefault="00C36810" w:rsidP="00AE247E">
            <w:pPr>
              <w:rPr>
                <w:rFonts w:asciiTheme="minorHAnsi" w:hAnsiTheme="minorHAnsi" w:cstheme="minorHAnsi"/>
                <w:sz w:val="16"/>
                <w:szCs w:val="16"/>
              </w:rPr>
            </w:pPr>
            <w:r w:rsidRPr="00C36810">
              <w:rPr>
                <w:rFonts w:asciiTheme="minorHAnsi" w:hAnsiTheme="minorHAnsi" w:cstheme="minorHAnsi"/>
                <w:sz w:val="16"/>
                <w:szCs w:val="16"/>
              </w:rPr>
              <w:t>Zaprawy budowlane zwykłe</w:t>
            </w:r>
          </w:p>
        </w:tc>
      </w:tr>
      <w:tr w:rsidR="00C36810" w:rsidRPr="00C36810" w14:paraId="45C47CFB" w14:textId="77777777" w:rsidTr="00AE247E">
        <w:tc>
          <w:tcPr>
            <w:tcW w:w="2197" w:type="dxa"/>
          </w:tcPr>
          <w:p w14:paraId="49B7E608" w14:textId="77777777" w:rsidR="00C36810" w:rsidRPr="00C36810" w:rsidRDefault="00C36810" w:rsidP="00AE247E">
            <w:pPr>
              <w:rPr>
                <w:rFonts w:asciiTheme="minorHAnsi" w:hAnsiTheme="minorHAnsi" w:cstheme="minorHAnsi"/>
                <w:sz w:val="16"/>
                <w:szCs w:val="16"/>
              </w:rPr>
            </w:pPr>
            <w:r w:rsidRPr="00C36810">
              <w:rPr>
                <w:rFonts w:asciiTheme="minorHAnsi" w:hAnsiTheme="minorHAnsi" w:cstheme="minorHAnsi"/>
                <w:sz w:val="16"/>
                <w:szCs w:val="16"/>
              </w:rPr>
              <w:t xml:space="preserve">  7.   PN-B-19701:1997</w:t>
            </w:r>
          </w:p>
        </w:tc>
        <w:tc>
          <w:tcPr>
            <w:tcW w:w="7654" w:type="dxa"/>
          </w:tcPr>
          <w:p w14:paraId="2F009E45" w14:textId="77777777" w:rsidR="00C36810" w:rsidRPr="00C36810" w:rsidRDefault="00C36810" w:rsidP="00AE247E">
            <w:pPr>
              <w:rPr>
                <w:rFonts w:asciiTheme="minorHAnsi" w:hAnsiTheme="minorHAnsi" w:cstheme="minorHAnsi"/>
                <w:sz w:val="16"/>
                <w:szCs w:val="16"/>
              </w:rPr>
            </w:pPr>
            <w:r w:rsidRPr="00C36810">
              <w:rPr>
                <w:rFonts w:asciiTheme="minorHAnsi" w:hAnsiTheme="minorHAnsi" w:cstheme="minorHAnsi"/>
                <w:sz w:val="16"/>
                <w:szCs w:val="16"/>
              </w:rPr>
              <w:t>Cement. Cement powszechnego użytku. Skład, wymagania                i ocena zgodności</w:t>
            </w:r>
          </w:p>
        </w:tc>
      </w:tr>
      <w:tr w:rsidR="00C36810" w:rsidRPr="00C36810" w14:paraId="14FD07FA" w14:textId="77777777" w:rsidTr="00AE247E">
        <w:tc>
          <w:tcPr>
            <w:tcW w:w="2197" w:type="dxa"/>
          </w:tcPr>
          <w:p w14:paraId="1DFB80B4" w14:textId="77777777" w:rsidR="00C36810" w:rsidRPr="00C36810" w:rsidRDefault="00C36810" w:rsidP="00AE247E">
            <w:pPr>
              <w:rPr>
                <w:rFonts w:asciiTheme="minorHAnsi" w:hAnsiTheme="minorHAnsi" w:cstheme="minorHAnsi"/>
                <w:sz w:val="16"/>
                <w:szCs w:val="16"/>
              </w:rPr>
            </w:pPr>
            <w:r w:rsidRPr="00C36810">
              <w:rPr>
                <w:rFonts w:asciiTheme="minorHAnsi" w:hAnsiTheme="minorHAnsi" w:cstheme="minorHAnsi"/>
                <w:sz w:val="16"/>
                <w:szCs w:val="16"/>
              </w:rPr>
              <w:t xml:space="preserve">  8.   PN-P-85012:1992</w:t>
            </w:r>
          </w:p>
        </w:tc>
        <w:tc>
          <w:tcPr>
            <w:tcW w:w="7654" w:type="dxa"/>
          </w:tcPr>
          <w:p w14:paraId="548532DC" w14:textId="77777777" w:rsidR="00C36810" w:rsidRPr="00C36810" w:rsidRDefault="00C36810" w:rsidP="00AE247E">
            <w:pPr>
              <w:rPr>
                <w:rFonts w:asciiTheme="minorHAnsi" w:hAnsiTheme="minorHAnsi" w:cstheme="minorHAnsi"/>
                <w:sz w:val="16"/>
                <w:szCs w:val="16"/>
              </w:rPr>
            </w:pPr>
            <w:r w:rsidRPr="00C36810">
              <w:rPr>
                <w:rFonts w:asciiTheme="minorHAnsi" w:hAnsiTheme="minorHAnsi" w:cstheme="minorHAnsi"/>
                <w:sz w:val="16"/>
                <w:szCs w:val="16"/>
              </w:rPr>
              <w:t>Wyroby powroźnicze. Sznurek polipropylenowy do maszyn rolniczych</w:t>
            </w:r>
          </w:p>
        </w:tc>
      </w:tr>
      <w:tr w:rsidR="00C36810" w:rsidRPr="00C36810" w14:paraId="231E8F76" w14:textId="77777777" w:rsidTr="00AE247E">
        <w:tc>
          <w:tcPr>
            <w:tcW w:w="2197" w:type="dxa"/>
          </w:tcPr>
          <w:p w14:paraId="4A27C46E" w14:textId="77777777" w:rsidR="00C36810" w:rsidRPr="00C36810" w:rsidRDefault="00C36810" w:rsidP="00AE247E">
            <w:pPr>
              <w:rPr>
                <w:rFonts w:asciiTheme="minorHAnsi" w:hAnsiTheme="minorHAnsi" w:cstheme="minorHAnsi"/>
                <w:sz w:val="16"/>
                <w:szCs w:val="16"/>
              </w:rPr>
            </w:pPr>
            <w:r w:rsidRPr="00C36810">
              <w:rPr>
                <w:rFonts w:asciiTheme="minorHAnsi" w:hAnsiTheme="minorHAnsi" w:cstheme="minorHAnsi"/>
                <w:sz w:val="16"/>
                <w:szCs w:val="16"/>
              </w:rPr>
              <w:t xml:space="preserve">  9.   PN-R-65023:1999</w:t>
            </w:r>
          </w:p>
        </w:tc>
        <w:tc>
          <w:tcPr>
            <w:tcW w:w="7654" w:type="dxa"/>
          </w:tcPr>
          <w:p w14:paraId="72A79C28" w14:textId="77777777" w:rsidR="00C36810" w:rsidRPr="00C36810" w:rsidRDefault="00C36810" w:rsidP="00AE247E">
            <w:pPr>
              <w:rPr>
                <w:rFonts w:asciiTheme="minorHAnsi" w:hAnsiTheme="minorHAnsi" w:cstheme="minorHAnsi"/>
                <w:sz w:val="16"/>
                <w:szCs w:val="16"/>
              </w:rPr>
            </w:pPr>
            <w:r w:rsidRPr="00C36810">
              <w:rPr>
                <w:rFonts w:asciiTheme="minorHAnsi" w:hAnsiTheme="minorHAnsi" w:cstheme="minorHAnsi"/>
                <w:sz w:val="16"/>
                <w:szCs w:val="16"/>
              </w:rPr>
              <w:t>Materiał siewny. Nasiona roślin rolniczych</w:t>
            </w:r>
          </w:p>
        </w:tc>
      </w:tr>
      <w:tr w:rsidR="00C36810" w:rsidRPr="00C36810" w14:paraId="41E1D15B" w14:textId="77777777" w:rsidTr="00AE247E">
        <w:tc>
          <w:tcPr>
            <w:tcW w:w="2197" w:type="dxa"/>
          </w:tcPr>
          <w:p w14:paraId="66726F1E" w14:textId="77777777" w:rsidR="00C36810" w:rsidRPr="00C36810" w:rsidRDefault="00C36810" w:rsidP="00AE247E">
            <w:pPr>
              <w:rPr>
                <w:rFonts w:asciiTheme="minorHAnsi" w:hAnsiTheme="minorHAnsi" w:cstheme="minorHAnsi"/>
                <w:sz w:val="16"/>
                <w:szCs w:val="16"/>
              </w:rPr>
            </w:pPr>
            <w:r w:rsidRPr="00C36810">
              <w:rPr>
                <w:rFonts w:asciiTheme="minorHAnsi" w:hAnsiTheme="minorHAnsi" w:cstheme="minorHAnsi"/>
                <w:sz w:val="16"/>
                <w:szCs w:val="16"/>
              </w:rPr>
              <w:t>10.   PN-S-02205:1998</w:t>
            </w:r>
          </w:p>
        </w:tc>
        <w:tc>
          <w:tcPr>
            <w:tcW w:w="7654" w:type="dxa"/>
          </w:tcPr>
          <w:p w14:paraId="4F1DB627" w14:textId="77777777" w:rsidR="00C36810" w:rsidRPr="00C36810" w:rsidRDefault="00C36810" w:rsidP="00AE247E">
            <w:pPr>
              <w:rPr>
                <w:rFonts w:asciiTheme="minorHAnsi" w:hAnsiTheme="minorHAnsi" w:cstheme="minorHAnsi"/>
                <w:sz w:val="16"/>
                <w:szCs w:val="16"/>
              </w:rPr>
            </w:pPr>
            <w:r w:rsidRPr="00C36810">
              <w:rPr>
                <w:rFonts w:asciiTheme="minorHAnsi" w:hAnsiTheme="minorHAnsi" w:cstheme="minorHAnsi"/>
                <w:sz w:val="16"/>
                <w:szCs w:val="16"/>
              </w:rPr>
              <w:t>Drogi samochodowe. Roboty ziemne. Wymagania i badania</w:t>
            </w:r>
          </w:p>
        </w:tc>
      </w:tr>
      <w:tr w:rsidR="00C36810" w:rsidRPr="00C36810" w14:paraId="4F1B7F4A" w14:textId="77777777" w:rsidTr="00AE247E">
        <w:tc>
          <w:tcPr>
            <w:tcW w:w="2197" w:type="dxa"/>
          </w:tcPr>
          <w:p w14:paraId="0F296C13" w14:textId="77777777" w:rsidR="00C36810" w:rsidRPr="00C36810" w:rsidRDefault="00C36810" w:rsidP="00AE247E">
            <w:pPr>
              <w:rPr>
                <w:rFonts w:asciiTheme="minorHAnsi" w:hAnsiTheme="minorHAnsi" w:cstheme="minorHAnsi"/>
                <w:sz w:val="16"/>
                <w:szCs w:val="16"/>
              </w:rPr>
            </w:pPr>
            <w:r w:rsidRPr="00C36810">
              <w:rPr>
                <w:rFonts w:asciiTheme="minorHAnsi" w:hAnsiTheme="minorHAnsi" w:cstheme="minorHAnsi"/>
                <w:sz w:val="16"/>
                <w:szCs w:val="16"/>
              </w:rPr>
              <w:t>11.   PN-S-96035:1997</w:t>
            </w:r>
          </w:p>
        </w:tc>
        <w:tc>
          <w:tcPr>
            <w:tcW w:w="7654" w:type="dxa"/>
          </w:tcPr>
          <w:p w14:paraId="4323CA7A" w14:textId="77777777" w:rsidR="00C36810" w:rsidRPr="00C36810" w:rsidRDefault="00C36810" w:rsidP="00AE247E">
            <w:pPr>
              <w:rPr>
                <w:rFonts w:asciiTheme="minorHAnsi" w:hAnsiTheme="minorHAnsi" w:cstheme="minorHAnsi"/>
                <w:sz w:val="16"/>
                <w:szCs w:val="16"/>
              </w:rPr>
            </w:pPr>
            <w:r w:rsidRPr="00C36810">
              <w:rPr>
                <w:rFonts w:asciiTheme="minorHAnsi" w:hAnsiTheme="minorHAnsi" w:cstheme="minorHAnsi"/>
                <w:sz w:val="16"/>
                <w:szCs w:val="16"/>
              </w:rPr>
              <w:t>Drogi samochodowe. Popioły lotne</w:t>
            </w:r>
          </w:p>
        </w:tc>
      </w:tr>
      <w:tr w:rsidR="00C36810" w:rsidRPr="00C36810" w14:paraId="64617B38" w14:textId="77777777" w:rsidTr="00AE247E">
        <w:tc>
          <w:tcPr>
            <w:tcW w:w="2197" w:type="dxa"/>
          </w:tcPr>
          <w:p w14:paraId="6CEF12F8" w14:textId="77777777" w:rsidR="00C36810" w:rsidRPr="00C36810" w:rsidRDefault="00C36810" w:rsidP="00AE247E">
            <w:pPr>
              <w:rPr>
                <w:rFonts w:asciiTheme="minorHAnsi" w:hAnsiTheme="minorHAnsi" w:cstheme="minorHAnsi"/>
                <w:sz w:val="16"/>
                <w:szCs w:val="16"/>
              </w:rPr>
            </w:pPr>
            <w:r w:rsidRPr="00C36810">
              <w:rPr>
                <w:rFonts w:asciiTheme="minorHAnsi" w:hAnsiTheme="minorHAnsi" w:cstheme="minorHAnsi"/>
                <w:sz w:val="16"/>
                <w:szCs w:val="16"/>
              </w:rPr>
              <w:t>12.   BN-88/6731-08</w:t>
            </w:r>
          </w:p>
        </w:tc>
        <w:tc>
          <w:tcPr>
            <w:tcW w:w="7654" w:type="dxa"/>
          </w:tcPr>
          <w:p w14:paraId="2AB7B32C" w14:textId="77777777" w:rsidR="00C36810" w:rsidRPr="00C36810" w:rsidRDefault="00C36810" w:rsidP="00AE247E">
            <w:pPr>
              <w:rPr>
                <w:rFonts w:asciiTheme="minorHAnsi" w:hAnsiTheme="minorHAnsi" w:cstheme="minorHAnsi"/>
                <w:sz w:val="16"/>
                <w:szCs w:val="16"/>
              </w:rPr>
            </w:pPr>
            <w:r w:rsidRPr="00C36810">
              <w:rPr>
                <w:rFonts w:asciiTheme="minorHAnsi" w:hAnsiTheme="minorHAnsi" w:cstheme="minorHAnsi"/>
                <w:sz w:val="16"/>
                <w:szCs w:val="16"/>
              </w:rPr>
              <w:t>Cement. Transport i przechowywanie</w:t>
            </w:r>
          </w:p>
        </w:tc>
      </w:tr>
      <w:tr w:rsidR="00C36810" w:rsidRPr="00C36810" w14:paraId="55EC7635" w14:textId="77777777" w:rsidTr="00AE247E">
        <w:tc>
          <w:tcPr>
            <w:tcW w:w="2197" w:type="dxa"/>
          </w:tcPr>
          <w:p w14:paraId="0AC10430" w14:textId="77777777" w:rsidR="00C36810" w:rsidRPr="00C36810" w:rsidRDefault="00C36810" w:rsidP="00AE247E">
            <w:pPr>
              <w:rPr>
                <w:rFonts w:asciiTheme="minorHAnsi" w:hAnsiTheme="minorHAnsi" w:cstheme="minorHAnsi"/>
                <w:sz w:val="16"/>
                <w:szCs w:val="16"/>
              </w:rPr>
            </w:pPr>
            <w:r w:rsidRPr="00C36810">
              <w:rPr>
                <w:rFonts w:asciiTheme="minorHAnsi" w:hAnsiTheme="minorHAnsi" w:cstheme="minorHAnsi"/>
                <w:sz w:val="16"/>
                <w:szCs w:val="16"/>
              </w:rPr>
              <w:t>13.   BN-80/6775-03/04</w:t>
            </w:r>
          </w:p>
        </w:tc>
        <w:tc>
          <w:tcPr>
            <w:tcW w:w="7654" w:type="dxa"/>
          </w:tcPr>
          <w:p w14:paraId="29CA6E0B" w14:textId="77777777" w:rsidR="00C36810" w:rsidRPr="00C36810" w:rsidRDefault="00C36810" w:rsidP="00AE247E">
            <w:pPr>
              <w:rPr>
                <w:rFonts w:asciiTheme="minorHAnsi" w:hAnsiTheme="minorHAnsi" w:cstheme="minorHAnsi"/>
                <w:sz w:val="16"/>
                <w:szCs w:val="16"/>
              </w:rPr>
            </w:pPr>
            <w:r w:rsidRPr="00C36810">
              <w:rPr>
                <w:rFonts w:asciiTheme="minorHAnsi" w:hAnsiTheme="minorHAnsi" w:cstheme="minorHAnsi"/>
                <w:sz w:val="16"/>
                <w:szCs w:val="16"/>
              </w:rPr>
              <w:t>Prefabrykaty budowlane z betonu. Elementy nawierzchni dróg, ulic, parkingów i torowisk tramwajowych. Krawężniki i obrzeża chodnikowe</w:t>
            </w:r>
          </w:p>
        </w:tc>
      </w:tr>
    </w:tbl>
    <w:p w14:paraId="6B7FC3C4" w14:textId="77777777" w:rsidR="00C36810" w:rsidRPr="00C36810" w:rsidRDefault="00C36810" w:rsidP="00C36810">
      <w:pPr>
        <w:pStyle w:val="Nagwek4"/>
        <w:rPr>
          <w:rFonts w:asciiTheme="minorHAnsi" w:hAnsiTheme="minorHAnsi" w:cstheme="minorHAnsi"/>
          <w:sz w:val="16"/>
          <w:szCs w:val="16"/>
        </w:rPr>
      </w:pPr>
      <w:r w:rsidRPr="00C36810">
        <w:rPr>
          <w:rFonts w:asciiTheme="minorHAnsi" w:hAnsiTheme="minorHAnsi" w:cstheme="minorHAnsi"/>
          <w:sz w:val="16"/>
          <w:szCs w:val="16"/>
        </w:rPr>
        <w:t>10.2. Inne materiały</w:t>
      </w:r>
    </w:p>
    <w:p w14:paraId="1F86215A" w14:textId="77777777" w:rsidR="00C36810" w:rsidRPr="00C36810" w:rsidRDefault="00C36810" w:rsidP="00262498">
      <w:pPr>
        <w:numPr>
          <w:ilvl w:val="0"/>
          <w:numId w:val="233"/>
        </w:numPr>
        <w:rPr>
          <w:rFonts w:asciiTheme="minorHAnsi" w:hAnsiTheme="minorHAnsi" w:cstheme="minorHAnsi"/>
          <w:sz w:val="16"/>
          <w:szCs w:val="16"/>
        </w:rPr>
      </w:pPr>
      <w:r w:rsidRPr="00C36810">
        <w:rPr>
          <w:rFonts w:asciiTheme="minorHAnsi" w:hAnsiTheme="minorHAnsi" w:cstheme="minorHAnsi"/>
          <w:sz w:val="16"/>
          <w:szCs w:val="16"/>
        </w:rPr>
        <w:t xml:space="preserve"> Katalog powtarzalnych elementów drogowych (KPED), Transprojekt-Warszawa, 1979.</w:t>
      </w:r>
    </w:p>
    <w:p w14:paraId="77BA49F1" w14:textId="77777777" w:rsidR="00C36810" w:rsidRPr="00C36810" w:rsidRDefault="00C36810" w:rsidP="00262498">
      <w:pPr>
        <w:numPr>
          <w:ilvl w:val="0"/>
          <w:numId w:val="233"/>
        </w:numPr>
        <w:rPr>
          <w:rFonts w:asciiTheme="minorHAnsi" w:hAnsiTheme="minorHAnsi" w:cstheme="minorHAnsi"/>
          <w:sz w:val="16"/>
          <w:szCs w:val="16"/>
        </w:rPr>
      </w:pPr>
      <w:r w:rsidRPr="00C36810">
        <w:rPr>
          <w:rFonts w:asciiTheme="minorHAnsi" w:hAnsiTheme="minorHAnsi" w:cstheme="minorHAnsi"/>
          <w:sz w:val="16"/>
          <w:szCs w:val="16"/>
        </w:rPr>
        <w:t>Warunki techniczne. Drogowe kationowe emulsje asfaltowe EmA-99. Informacje, instrukcje - zeszyt 60, IBDiM, Warszawa, 1999.</w:t>
      </w:r>
    </w:p>
    <w:p w14:paraId="6C2646EC" w14:textId="77777777" w:rsidR="00C36810" w:rsidRPr="00C36810" w:rsidRDefault="00C36810" w:rsidP="004B718C">
      <w:pPr>
        <w:overflowPunct/>
        <w:autoSpaceDE/>
        <w:autoSpaceDN/>
        <w:adjustRightInd/>
        <w:jc w:val="left"/>
        <w:textAlignment w:val="auto"/>
        <w:rPr>
          <w:rFonts w:asciiTheme="minorHAnsi" w:hAnsiTheme="minorHAnsi" w:cstheme="minorHAnsi"/>
          <w:sz w:val="16"/>
          <w:szCs w:val="16"/>
        </w:rPr>
      </w:pPr>
    </w:p>
    <w:p w14:paraId="7DFCAE1D" w14:textId="77777777" w:rsidR="00C36810" w:rsidRPr="00C36810" w:rsidRDefault="00C36810" w:rsidP="004B718C">
      <w:pPr>
        <w:overflowPunct/>
        <w:autoSpaceDE/>
        <w:autoSpaceDN/>
        <w:adjustRightInd/>
        <w:jc w:val="left"/>
        <w:textAlignment w:val="auto"/>
        <w:rPr>
          <w:rFonts w:asciiTheme="minorHAnsi" w:hAnsiTheme="minorHAnsi" w:cstheme="minorHAnsi"/>
          <w:sz w:val="16"/>
          <w:szCs w:val="16"/>
        </w:rPr>
      </w:pPr>
    </w:p>
    <w:p w14:paraId="68A32FCA" w14:textId="77777777" w:rsidR="00C36810" w:rsidRPr="00C36810" w:rsidRDefault="00C36810" w:rsidP="004B718C">
      <w:pPr>
        <w:overflowPunct/>
        <w:autoSpaceDE/>
        <w:autoSpaceDN/>
        <w:adjustRightInd/>
        <w:jc w:val="left"/>
        <w:textAlignment w:val="auto"/>
        <w:rPr>
          <w:rFonts w:asciiTheme="minorHAnsi" w:hAnsiTheme="minorHAnsi" w:cstheme="minorHAnsi"/>
          <w:sz w:val="16"/>
          <w:szCs w:val="16"/>
        </w:rPr>
      </w:pPr>
    </w:p>
    <w:p w14:paraId="167C803B" w14:textId="77777777" w:rsidR="00C36810" w:rsidRPr="00C36810" w:rsidRDefault="00C36810" w:rsidP="004B718C">
      <w:pPr>
        <w:overflowPunct/>
        <w:autoSpaceDE/>
        <w:autoSpaceDN/>
        <w:adjustRightInd/>
        <w:jc w:val="left"/>
        <w:textAlignment w:val="auto"/>
        <w:rPr>
          <w:rFonts w:asciiTheme="minorHAnsi" w:hAnsiTheme="minorHAnsi" w:cstheme="minorHAnsi"/>
          <w:sz w:val="16"/>
          <w:szCs w:val="16"/>
        </w:rPr>
      </w:pPr>
    </w:p>
    <w:p w14:paraId="38772A88" w14:textId="77777777" w:rsidR="00C36810" w:rsidRPr="00C36810" w:rsidRDefault="00C36810" w:rsidP="004B718C">
      <w:pPr>
        <w:overflowPunct/>
        <w:autoSpaceDE/>
        <w:autoSpaceDN/>
        <w:adjustRightInd/>
        <w:jc w:val="left"/>
        <w:textAlignment w:val="auto"/>
        <w:rPr>
          <w:rFonts w:asciiTheme="minorHAnsi" w:hAnsiTheme="minorHAnsi" w:cstheme="minorHAnsi"/>
          <w:sz w:val="16"/>
          <w:szCs w:val="16"/>
        </w:rPr>
      </w:pPr>
    </w:p>
    <w:p w14:paraId="07EA692E" w14:textId="77777777" w:rsidR="00C36810" w:rsidRPr="00C36810" w:rsidRDefault="00C36810" w:rsidP="004B718C">
      <w:pPr>
        <w:overflowPunct/>
        <w:autoSpaceDE/>
        <w:autoSpaceDN/>
        <w:adjustRightInd/>
        <w:jc w:val="left"/>
        <w:textAlignment w:val="auto"/>
        <w:rPr>
          <w:rFonts w:asciiTheme="minorHAnsi" w:hAnsiTheme="minorHAnsi" w:cstheme="minorHAnsi"/>
          <w:sz w:val="16"/>
          <w:szCs w:val="16"/>
        </w:rPr>
      </w:pPr>
    </w:p>
    <w:p w14:paraId="74F52765" w14:textId="77777777" w:rsidR="00C36810" w:rsidRPr="00C36810" w:rsidRDefault="00C36810" w:rsidP="004B718C">
      <w:pPr>
        <w:overflowPunct/>
        <w:autoSpaceDE/>
        <w:autoSpaceDN/>
        <w:adjustRightInd/>
        <w:jc w:val="left"/>
        <w:textAlignment w:val="auto"/>
        <w:rPr>
          <w:rFonts w:asciiTheme="minorHAnsi" w:hAnsiTheme="minorHAnsi" w:cstheme="minorHAnsi"/>
        </w:rPr>
      </w:pPr>
    </w:p>
    <w:p w14:paraId="0ABD52E8" w14:textId="77777777" w:rsidR="00C36810" w:rsidRPr="00C36810" w:rsidRDefault="00C36810" w:rsidP="004B718C">
      <w:pPr>
        <w:overflowPunct/>
        <w:autoSpaceDE/>
        <w:autoSpaceDN/>
        <w:adjustRightInd/>
        <w:jc w:val="left"/>
        <w:textAlignment w:val="auto"/>
        <w:rPr>
          <w:rFonts w:asciiTheme="minorHAnsi" w:hAnsiTheme="minorHAnsi" w:cstheme="minorHAnsi"/>
        </w:rPr>
      </w:pPr>
    </w:p>
    <w:p w14:paraId="6B5DE8D5" w14:textId="77777777" w:rsidR="00C36810" w:rsidRPr="00C36810" w:rsidRDefault="00C36810" w:rsidP="004B718C">
      <w:pPr>
        <w:overflowPunct/>
        <w:autoSpaceDE/>
        <w:autoSpaceDN/>
        <w:adjustRightInd/>
        <w:jc w:val="left"/>
        <w:textAlignment w:val="auto"/>
        <w:rPr>
          <w:rFonts w:asciiTheme="minorHAnsi" w:hAnsiTheme="minorHAnsi" w:cstheme="minorHAnsi"/>
        </w:rPr>
      </w:pPr>
    </w:p>
    <w:p w14:paraId="5D28FA95" w14:textId="77777777" w:rsidR="00C36810" w:rsidRPr="00C36810" w:rsidRDefault="00C36810" w:rsidP="004B718C">
      <w:pPr>
        <w:overflowPunct/>
        <w:autoSpaceDE/>
        <w:autoSpaceDN/>
        <w:adjustRightInd/>
        <w:jc w:val="left"/>
        <w:textAlignment w:val="auto"/>
        <w:rPr>
          <w:rFonts w:asciiTheme="minorHAnsi" w:hAnsiTheme="minorHAnsi" w:cstheme="minorHAnsi"/>
        </w:rPr>
      </w:pPr>
    </w:p>
    <w:p w14:paraId="1E98D9E9" w14:textId="77777777" w:rsidR="00C36810" w:rsidRPr="00C36810" w:rsidRDefault="00C36810" w:rsidP="004B718C">
      <w:pPr>
        <w:overflowPunct/>
        <w:autoSpaceDE/>
        <w:autoSpaceDN/>
        <w:adjustRightInd/>
        <w:jc w:val="left"/>
        <w:textAlignment w:val="auto"/>
        <w:rPr>
          <w:rFonts w:asciiTheme="minorHAnsi" w:hAnsiTheme="minorHAnsi" w:cstheme="minorHAnsi"/>
        </w:rPr>
      </w:pPr>
    </w:p>
    <w:p w14:paraId="542E453B" w14:textId="77777777" w:rsidR="00C36810" w:rsidRPr="00C36810" w:rsidRDefault="00C36810" w:rsidP="004B718C">
      <w:pPr>
        <w:overflowPunct/>
        <w:autoSpaceDE/>
        <w:autoSpaceDN/>
        <w:adjustRightInd/>
        <w:jc w:val="left"/>
        <w:textAlignment w:val="auto"/>
        <w:rPr>
          <w:rFonts w:asciiTheme="minorHAnsi" w:hAnsiTheme="minorHAnsi" w:cstheme="minorHAnsi"/>
        </w:rPr>
      </w:pPr>
    </w:p>
    <w:p w14:paraId="693889EF" w14:textId="77777777" w:rsidR="00C36810" w:rsidRPr="00C36810" w:rsidRDefault="00C36810" w:rsidP="004B718C">
      <w:pPr>
        <w:overflowPunct/>
        <w:autoSpaceDE/>
        <w:autoSpaceDN/>
        <w:adjustRightInd/>
        <w:jc w:val="left"/>
        <w:textAlignment w:val="auto"/>
        <w:rPr>
          <w:rFonts w:asciiTheme="minorHAnsi" w:hAnsiTheme="minorHAnsi" w:cstheme="minorHAnsi"/>
        </w:rPr>
      </w:pPr>
    </w:p>
    <w:p w14:paraId="472B37D5" w14:textId="77777777" w:rsidR="00C36810" w:rsidRPr="00C36810" w:rsidRDefault="00C36810" w:rsidP="004B718C">
      <w:pPr>
        <w:overflowPunct/>
        <w:autoSpaceDE/>
        <w:autoSpaceDN/>
        <w:adjustRightInd/>
        <w:jc w:val="left"/>
        <w:textAlignment w:val="auto"/>
        <w:rPr>
          <w:rFonts w:asciiTheme="minorHAnsi" w:hAnsiTheme="minorHAnsi" w:cstheme="minorHAnsi"/>
        </w:rPr>
      </w:pPr>
    </w:p>
    <w:p w14:paraId="740E3442" w14:textId="77777777" w:rsidR="00C36810" w:rsidRPr="00C36810" w:rsidRDefault="00C36810" w:rsidP="004B718C">
      <w:pPr>
        <w:overflowPunct/>
        <w:autoSpaceDE/>
        <w:autoSpaceDN/>
        <w:adjustRightInd/>
        <w:jc w:val="left"/>
        <w:textAlignment w:val="auto"/>
        <w:rPr>
          <w:rFonts w:asciiTheme="minorHAnsi" w:hAnsiTheme="minorHAnsi" w:cstheme="minorHAnsi"/>
        </w:rPr>
      </w:pPr>
    </w:p>
    <w:p w14:paraId="3F7F81C4" w14:textId="77777777" w:rsidR="00C36810" w:rsidRPr="00C36810" w:rsidRDefault="00C36810" w:rsidP="004B718C">
      <w:pPr>
        <w:overflowPunct/>
        <w:autoSpaceDE/>
        <w:autoSpaceDN/>
        <w:adjustRightInd/>
        <w:jc w:val="left"/>
        <w:textAlignment w:val="auto"/>
        <w:rPr>
          <w:rFonts w:asciiTheme="minorHAnsi" w:hAnsiTheme="minorHAnsi" w:cstheme="minorHAnsi"/>
        </w:rPr>
      </w:pPr>
    </w:p>
    <w:p w14:paraId="7A6B1335" w14:textId="77777777" w:rsidR="00C36810" w:rsidRPr="00C36810" w:rsidRDefault="00C36810" w:rsidP="004B718C">
      <w:pPr>
        <w:overflowPunct/>
        <w:autoSpaceDE/>
        <w:autoSpaceDN/>
        <w:adjustRightInd/>
        <w:jc w:val="left"/>
        <w:textAlignment w:val="auto"/>
        <w:rPr>
          <w:rFonts w:asciiTheme="minorHAnsi" w:hAnsiTheme="minorHAnsi" w:cstheme="minorHAnsi"/>
        </w:rPr>
      </w:pPr>
    </w:p>
    <w:p w14:paraId="654B35AA" w14:textId="77777777" w:rsidR="00C36810" w:rsidRPr="00C36810" w:rsidRDefault="00C36810" w:rsidP="004B718C">
      <w:pPr>
        <w:overflowPunct/>
        <w:autoSpaceDE/>
        <w:autoSpaceDN/>
        <w:adjustRightInd/>
        <w:jc w:val="left"/>
        <w:textAlignment w:val="auto"/>
        <w:rPr>
          <w:rFonts w:asciiTheme="minorHAnsi" w:hAnsiTheme="minorHAnsi" w:cstheme="minorHAnsi"/>
        </w:rPr>
      </w:pPr>
    </w:p>
    <w:p w14:paraId="46AE4848" w14:textId="77777777" w:rsidR="00C36810" w:rsidRPr="00C36810" w:rsidRDefault="00C36810" w:rsidP="004B718C">
      <w:pPr>
        <w:overflowPunct/>
        <w:autoSpaceDE/>
        <w:autoSpaceDN/>
        <w:adjustRightInd/>
        <w:jc w:val="left"/>
        <w:textAlignment w:val="auto"/>
        <w:rPr>
          <w:rFonts w:asciiTheme="minorHAnsi" w:hAnsiTheme="minorHAnsi" w:cstheme="minorHAnsi"/>
        </w:rPr>
      </w:pPr>
    </w:p>
    <w:p w14:paraId="56FF870D" w14:textId="77777777" w:rsidR="00C36810" w:rsidRPr="00C36810" w:rsidRDefault="00C36810" w:rsidP="004B718C">
      <w:pPr>
        <w:overflowPunct/>
        <w:autoSpaceDE/>
        <w:autoSpaceDN/>
        <w:adjustRightInd/>
        <w:jc w:val="left"/>
        <w:textAlignment w:val="auto"/>
        <w:rPr>
          <w:rFonts w:asciiTheme="minorHAnsi" w:hAnsiTheme="minorHAnsi" w:cstheme="minorHAnsi"/>
        </w:rPr>
      </w:pPr>
    </w:p>
    <w:p w14:paraId="4EC90FFC" w14:textId="77777777" w:rsidR="00C36810" w:rsidRPr="00C36810" w:rsidRDefault="00C36810" w:rsidP="004B718C">
      <w:pPr>
        <w:overflowPunct/>
        <w:autoSpaceDE/>
        <w:autoSpaceDN/>
        <w:adjustRightInd/>
        <w:jc w:val="left"/>
        <w:textAlignment w:val="auto"/>
        <w:rPr>
          <w:rFonts w:asciiTheme="minorHAnsi" w:hAnsiTheme="minorHAnsi" w:cstheme="minorHAnsi"/>
        </w:rPr>
      </w:pPr>
    </w:p>
    <w:p w14:paraId="7F5199E3" w14:textId="77777777" w:rsidR="00C36810" w:rsidRPr="00C36810" w:rsidRDefault="00C36810" w:rsidP="004B718C">
      <w:pPr>
        <w:overflowPunct/>
        <w:autoSpaceDE/>
        <w:autoSpaceDN/>
        <w:adjustRightInd/>
        <w:jc w:val="left"/>
        <w:textAlignment w:val="auto"/>
        <w:rPr>
          <w:rFonts w:asciiTheme="minorHAnsi" w:hAnsiTheme="minorHAnsi" w:cstheme="minorHAnsi"/>
        </w:rPr>
      </w:pPr>
    </w:p>
    <w:p w14:paraId="5376F43E" w14:textId="77777777" w:rsidR="00C36810" w:rsidRPr="00C36810" w:rsidRDefault="00C36810" w:rsidP="004B718C">
      <w:pPr>
        <w:overflowPunct/>
        <w:autoSpaceDE/>
        <w:autoSpaceDN/>
        <w:adjustRightInd/>
        <w:jc w:val="left"/>
        <w:textAlignment w:val="auto"/>
        <w:rPr>
          <w:rFonts w:asciiTheme="minorHAnsi" w:hAnsiTheme="minorHAnsi" w:cstheme="minorHAnsi"/>
        </w:rPr>
      </w:pPr>
    </w:p>
    <w:p w14:paraId="26123AE7" w14:textId="77777777" w:rsidR="00C36810" w:rsidRPr="00C36810" w:rsidRDefault="00C36810" w:rsidP="004B718C">
      <w:pPr>
        <w:overflowPunct/>
        <w:autoSpaceDE/>
        <w:autoSpaceDN/>
        <w:adjustRightInd/>
        <w:jc w:val="left"/>
        <w:textAlignment w:val="auto"/>
        <w:rPr>
          <w:rFonts w:asciiTheme="minorHAnsi" w:hAnsiTheme="minorHAnsi" w:cstheme="minorHAnsi"/>
        </w:rPr>
      </w:pPr>
    </w:p>
    <w:p w14:paraId="2245966A" w14:textId="77777777" w:rsidR="00C36810" w:rsidRPr="00C36810" w:rsidRDefault="00C36810" w:rsidP="004B718C">
      <w:pPr>
        <w:overflowPunct/>
        <w:autoSpaceDE/>
        <w:autoSpaceDN/>
        <w:adjustRightInd/>
        <w:jc w:val="left"/>
        <w:textAlignment w:val="auto"/>
        <w:rPr>
          <w:rFonts w:asciiTheme="minorHAnsi" w:hAnsiTheme="minorHAnsi" w:cstheme="minorHAnsi"/>
        </w:rPr>
      </w:pPr>
    </w:p>
    <w:p w14:paraId="6871D56B" w14:textId="77777777" w:rsidR="00C36810" w:rsidRPr="00C36810" w:rsidRDefault="00C36810" w:rsidP="004B718C">
      <w:pPr>
        <w:overflowPunct/>
        <w:autoSpaceDE/>
        <w:autoSpaceDN/>
        <w:adjustRightInd/>
        <w:jc w:val="left"/>
        <w:textAlignment w:val="auto"/>
        <w:rPr>
          <w:rFonts w:asciiTheme="minorHAnsi" w:hAnsiTheme="minorHAnsi" w:cstheme="minorHAnsi"/>
        </w:rPr>
      </w:pPr>
    </w:p>
    <w:p w14:paraId="39347C5A" w14:textId="77777777" w:rsidR="00C36810" w:rsidRPr="00C36810" w:rsidRDefault="00C36810" w:rsidP="004B718C">
      <w:pPr>
        <w:overflowPunct/>
        <w:autoSpaceDE/>
        <w:autoSpaceDN/>
        <w:adjustRightInd/>
        <w:jc w:val="left"/>
        <w:textAlignment w:val="auto"/>
        <w:rPr>
          <w:rFonts w:asciiTheme="minorHAnsi" w:hAnsiTheme="minorHAnsi" w:cstheme="minorHAnsi"/>
        </w:rPr>
      </w:pPr>
    </w:p>
    <w:p w14:paraId="0AC1ED3D" w14:textId="77777777" w:rsidR="00C36810" w:rsidRPr="00C36810" w:rsidRDefault="00C36810" w:rsidP="004B718C">
      <w:pPr>
        <w:overflowPunct/>
        <w:autoSpaceDE/>
        <w:autoSpaceDN/>
        <w:adjustRightInd/>
        <w:jc w:val="left"/>
        <w:textAlignment w:val="auto"/>
        <w:rPr>
          <w:rFonts w:asciiTheme="minorHAnsi" w:hAnsiTheme="minorHAnsi" w:cstheme="minorHAnsi"/>
        </w:rPr>
      </w:pPr>
    </w:p>
    <w:p w14:paraId="20433A03" w14:textId="77777777" w:rsidR="00C36810" w:rsidRPr="00C36810" w:rsidRDefault="00C36810" w:rsidP="004B718C">
      <w:pPr>
        <w:overflowPunct/>
        <w:autoSpaceDE/>
        <w:autoSpaceDN/>
        <w:adjustRightInd/>
        <w:jc w:val="left"/>
        <w:textAlignment w:val="auto"/>
        <w:rPr>
          <w:rFonts w:asciiTheme="minorHAnsi" w:hAnsiTheme="minorHAnsi" w:cstheme="minorHAnsi"/>
        </w:rPr>
      </w:pPr>
    </w:p>
    <w:p w14:paraId="20755559" w14:textId="77777777" w:rsidR="00C36810" w:rsidRPr="00C36810" w:rsidRDefault="00C36810" w:rsidP="004B718C">
      <w:pPr>
        <w:overflowPunct/>
        <w:autoSpaceDE/>
        <w:autoSpaceDN/>
        <w:adjustRightInd/>
        <w:jc w:val="left"/>
        <w:textAlignment w:val="auto"/>
        <w:rPr>
          <w:rFonts w:asciiTheme="minorHAnsi" w:hAnsiTheme="minorHAnsi" w:cstheme="minorHAnsi"/>
        </w:rPr>
      </w:pPr>
    </w:p>
    <w:p w14:paraId="5ADFF5F4" w14:textId="77777777" w:rsidR="00C36810" w:rsidRPr="00C36810" w:rsidRDefault="00C36810" w:rsidP="004B718C">
      <w:pPr>
        <w:overflowPunct/>
        <w:autoSpaceDE/>
        <w:autoSpaceDN/>
        <w:adjustRightInd/>
        <w:jc w:val="left"/>
        <w:textAlignment w:val="auto"/>
        <w:rPr>
          <w:rFonts w:asciiTheme="minorHAnsi" w:hAnsiTheme="minorHAnsi" w:cstheme="minorHAnsi"/>
        </w:rPr>
      </w:pPr>
    </w:p>
    <w:p w14:paraId="4E702064" w14:textId="77777777" w:rsidR="00C36810" w:rsidRPr="00C36810" w:rsidRDefault="00C36810" w:rsidP="004B718C">
      <w:pPr>
        <w:overflowPunct/>
        <w:autoSpaceDE/>
        <w:autoSpaceDN/>
        <w:adjustRightInd/>
        <w:jc w:val="left"/>
        <w:textAlignment w:val="auto"/>
        <w:rPr>
          <w:rFonts w:asciiTheme="minorHAnsi" w:hAnsiTheme="minorHAnsi" w:cstheme="minorHAnsi"/>
        </w:rPr>
      </w:pPr>
    </w:p>
    <w:p w14:paraId="52BCEB61" w14:textId="77777777" w:rsidR="00C36810" w:rsidRPr="00C36810" w:rsidRDefault="00C36810" w:rsidP="004B718C">
      <w:pPr>
        <w:overflowPunct/>
        <w:autoSpaceDE/>
        <w:autoSpaceDN/>
        <w:adjustRightInd/>
        <w:jc w:val="left"/>
        <w:textAlignment w:val="auto"/>
        <w:rPr>
          <w:rFonts w:asciiTheme="minorHAnsi" w:hAnsiTheme="minorHAnsi" w:cstheme="minorHAnsi"/>
        </w:rPr>
      </w:pPr>
    </w:p>
    <w:p w14:paraId="4BA4B2A0" w14:textId="77777777" w:rsidR="00C36810" w:rsidRPr="00C36810" w:rsidRDefault="00C36810" w:rsidP="004B718C">
      <w:pPr>
        <w:overflowPunct/>
        <w:autoSpaceDE/>
        <w:autoSpaceDN/>
        <w:adjustRightInd/>
        <w:jc w:val="left"/>
        <w:textAlignment w:val="auto"/>
        <w:rPr>
          <w:rFonts w:asciiTheme="minorHAnsi" w:hAnsiTheme="minorHAnsi" w:cstheme="minorHAnsi"/>
        </w:rPr>
      </w:pPr>
    </w:p>
    <w:p w14:paraId="376D8C1D" w14:textId="77777777" w:rsidR="00C36810" w:rsidRPr="00C36810" w:rsidRDefault="00C36810" w:rsidP="004B718C">
      <w:pPr>
        <w:overflowPunct/>
        <w:autoSpaceDE/>
        <w:autoSpaceDN/>
        <w:adjustRightInd/>
        <w:jc w:val="left"/>
        <w:textAlignment w:val="auto"/>
        <w:rPr>
          <w:rFonts w:asciiTheme="minorHAnsi" w:hAnsiTheme="minorHAnsi" w:cstheme="minorHAnsi"/>
        </w:rPr>
      </w:pPr>
    </w:p>
    <w:p w14:paraId="538D73EE" w14:textId="77777777" w:rsidR="00C36810" w:rsidRPr="00C36810" w:rsidRDefault="00C36810" w:rsidP="004B718C">
      <w:pPr>
        <w:overflowPunct/>
        <w:autoSpaceDE/>
        <w:autoSpaceDN/>
        <w:adjustRightInd/>
        <w:jc w:val="left"/>
        <w:textAlignment w:val="auto"/>
        <w:rPr>
          <w:rFonts w:asciiTheme="minorHAnsi" w:hAnsiTheme="minorHAnsi" w:cstheme="minorHAnsi"/>
        </w:rPr>
      </w:pPr>
    </w:p>
    <w:p w14:paraId="065D4E0F" w14:textId="77777777" w:rsidR="00C36810" w:rsidRPr="00C36810" w:rsidRDefault="00C36810" w:rsidP="004B718C">
      <w:pPr>
        <w:overflowPunct/>
        <w:autoSpaceDE/>
        <w:autoSpaceDN/>
        <w:adjustRightInd/>
        <w:jc w:val="left"/>
        <w:textAlignment w:val="auto"/>
        <w:rPr>
          <w:rFonts w:asciiTheme="minorHAnsi" w:hAnsiTheme="minorHAnsi" w:cstheme="minorHAnsi"/>
        </w:rPr>
      </w:pPr>
    </w:p>
    <w:p w14:paraId="3A3D4AF6" w14:textId="77777777" w:rsidR="00C36810" w:rsidRPr="00C36810" w:rsidRDefault="00C36810" w:rsidP="004B718C">
      <w:pPr>
        <w:overflowPunct/>
        <w:autoSpaceDE/>
        <w:autoSpaceDN/>
        <w:adjustRightInd/>
        <w:jc w:val="left"/>
        <w:textAlignment w:val="auto"/>
        <w:rPr>
          <w:rFonts w:asciiTheme="minorHAnsi" w:hAnsiTheme="minorHAnsi" w:cstheme="minorHAnsi"/>
        </w:rPr>
      </w:pPr>
    </w:p>
    <w:p w14:paraId="470EB794" w14:textId="77777777" w:rsidR="00C36810" w:rsidRDefault="00C36810" w:rsidP="004B718C">
      <w:pPr>
        <w:overflowPunct/>
        <w:autoSpaceDE/>
        <w:autoSpaceDN/>
        <w:adjustRightInd/>
        <w:jc w:val="left"/>
        <w:textAlignment w:val="auto"/>
        <w:rPr>
          <w:rFonts w:asciiTheme="minorHAnsi" w:hAnsiTheme="minorHAnsi" w:cs="Calibri"/>
        </w:rPr>
      </w:pPr>
    </w:p>
    <w:p w14:paraId="5AFA6183" w14:textId="77777777" w:rsidR="00063E13" w:rsidRDefault="00063E13" w:rsidP="004B718C">
      <w:pPr>
        <w:overflowPunct/>
        <w:autoSpaceDE/>
        <w:autoSpaceDN/>
        <w:adjustRightInd/>
        <w:jc w:val="left"/>
        <w:textAlignment w:val="auto"/>
        <w:rPr>
          <w:rFonts w:asciiTheme="minorHAnsi" w:hAnsiTheme="minorHAnsi" w:cs="Calibri"/>
        </w:rPr>
      </w:pPr>
    </w:p>
    <w:p w14:paraId="3CE08B5D" w14:textId="6E089948" w:rsidR="008C66DB" w:rsidRPr="00A23FB4" w:rsidRDefault="00575C66" w:rsidP="004D5430">
      <w:pPr>
        <w:overflowPunct/>
        <w:autoSpaceDE/>
        <w:autoSpaceDN/>
        <w:adjustRightInd/>
        <w:jc w:val="center"/>
        <w:textAlignment w:val="auto"/>
        <w:rPr>
          <w:rFonts w:ascii="Calibri" w:hAnsi="Calibri" w:cs="Calibri"/>
          <w:b/>
          <w:sz w:val="22"/>
          <w:szCs w:val="22"/>
        </w:rPr>
      </w:pPr>
      <w:r>
        <w:rPr>
          <w:rFonts w:ascii="Calibri" w:hAnsi="Calibri" w:cs="Calibri"/>
          <w:b/>
          <w:sz w:val="22"/>
          <w:szCs w:val="22"/>
        </w:rPr>
        <w:t>SZCZEGÓŁOWE SPECYFIKACJE TECHNICZNE</w:t>
      </w:r>
      <w:r w:rsidR="008C66DB" w:rsidRPr="00A23FB4">
        <w:rPr>
          <w:rFonts w:ascii="Calibri" w:hAnsi="Calibri" w:cs="Calibri"/>
          <w:b/>
          <w:sz w:val="22"/>
          <w:szCs w:val="22"/>
        </w:rPr>
        <w:t xml:space="preserve"> WYKONANIA I ODBIORU ROBÓT BUDOWLANYCH</w:t>
      </w:r>
    </w:p>
    <w:p w14:paraId="0D4F4EB2" w14:textId="77777777" w:rsidR="008C66DB" w:rsidRPr="00A23FB4" w:rsidRDefault="008C66DB" w:rsidP="0022369F">
      <w:pPr>
        <w:pStyle w:val="Nagowek1"/>
        <w:spacing w:before="0"/>
      </w:pPr>
      <w:bookmarkStart w:id="719" w:name="_Toc285044247"/>
      <w:bookmarkStart w:id="720" w:name="_Toc296923115"/>
      <w:bookmarkStart w:id="721" w:name="_Toc333441681"/>
      <w:bookmarkStart w:id="722" w:name="_Toc333657258"/>
      <w:bookmarkStart w:id="723" w:name="_Toc334095443"/>
      <w:bookmarkStart w:id="724" w:name="_Toc352837496"/>
      <w:bookmarkStart w:id="725" w:name="_Toc460177616"/>
      <w:bookmarkStart w:id="726" w:name="_Toc206275492"/>
      <w:r w:rsidRPr="00A23FB4">
        <w:t>D-07.01.01 OZNAKOWANIE POZIOME</w:t>
      </w:r>
      <w:bookmarkEnd w:id="719"/>
      <w:bookmarkEnd w:id="720"/>
      <w:bookmarkEnd w:id="721"/>
      <w:bookmarkEnd w:id="722"/>
      <w:bookmarkEnd w:id="723"/>
      <w:bookmarkEnd w:id="724"/>
      <w:bookmarkEnd w:id="725"/>
      <w:bookmarkEnd w:id="726"/>
    </w:p>
    <w:p w14:paraId="368AC953" w14:textId="77777777" w:rsidR="008C66DB" w:rsidRPr="00A23FB4" w:rsidRDefault="008C66DB" w:rsidP="008C66DB">
      <w:pPr>
        <w:rPr>
          <w:rFonts w:ascii="Calibri" w:hAnsi="Calibri" w:cs="Calibri"/>
          <w:b/>
        </w:rPr>
      </w:pPr>
      <w:bookmarkStart w:id="727" w:name="_Toc420816680"/>
      <w:bookmarkStart w:id="728" w:name="_Toc235079944"/>
    </w:p>
    <w:p w14:paraId="055A33A5" w14:textId="77777777" w:rsidR="008C66DB" w:rsidRPr="00307E20" w:rsidRDefault="008C66DB" w:rsidP="008C66DB">
      <w:pPr>
        <w:rPr>
          <w:rFonts w:ascii="Calibri" w:hAnsi="Calibri" w:cs="Calibri"/>
          <w:b/>
          <w:sz w:val="18"/>
          <w:szCs w:val="18"/>
        </w:rPr>
      </w:pPr>
      <w:r w:rsidRPr="00A23FB4">
        <w:rPr>
          <w:rFonts w:ascii="Calibri" w:hAnsi="Calibri" w:cs="Calibri"/>
          <w:b/>
        </w:rPr>
        <w:t>1</w:t>
      </w:r>
      <w:r w:rsidRPr="00307E20">
        <w:rPr>
          <w:rFonts w:ascii="Calibri" w:hAnsi="Calibri" w:cs="Calibri"/>
          <w:b/>
          <w:sz w:val="18"/>
          <w:szCs w:val="18"/>
        </w:rPr>
        <w:t>. WSTĘP</w:t>
      </w:r>
      <w:bookmarkEnd w:id="727"/>
      <w:bookmarkEnd w:id="728"/>
    </w:p>
    <w:p w14:paraId="707C0726" w14:textId="63646C0F" w:rsidR="008C66DB" w:rsidRPr="00307E20" w:rsidRDefault="008C66DB" w:rsidP="008C66DB">
      <w:pPr>
        <w:pStyle w:val="Nagwek4"/>
        <w:rPr>
          <w:rFonts w:ascii="Calibri" w:hAnsi="Calibri" w:cs="Calibri"/>
          <w:sz w:val="18"/>
          <w:szCs w:val="18"/>
        </w:rPr>
      </w:pPr>
      <w:bookmarkStart w:id="729" w:name="_Toc235079945"/>
      <w:r w:rsidRPr="00307E20">
        <w:rPr>
          <w:rFonts w:ascii="Calibri" w:hAnsi="Calibri" w:cs="Calibri"/>
          <w:sz w:val="18"/>
          <w:szCs w:val="18"/>
        </w:rPr>
        <w:t xml:space="preserve">1.1. Przedmiot </w:t>
      </w:r>
      <w:bookmarkEnd w:id="729"/>
      <w:r w:rsidR="00C006BE">
        <w:rPr>
          <w:rFonts w:ascii="Calibri" w:hAnsi="Calibri" w:cs="Calibri"/>
          <w:sz w:val="18"/>
          <w:szCs w:val="18"/>
        </w:rPr>
        <w:t>ST</w:t>
      </w:r>
      <w:r w:rsidRPr="00307E20">
        <w:rPr>
          <w:rFonts w:ascii="Calibri" w:hAnsi="Calibri" w:cs="Calibri"/>
          <w:sz w:val="18"/>
          <w:szCs w:val="18"/>
        </w:rPr>
        <w:t>WiORB</w:t>
      </w:r>
    </w:p>
    <w:p w14:paraId="612B1E36" w14:textId="1056719A" w:rsidR="008C66DB" w:rsidRPr="00307E20" w:rsidRDefault="008C66DB" w:rsidP="008C66DB">
      <w:pPr>
        <w:pStyle w:val="Standardowytekst"/>
        <w:rPr>
          <w:rFonts w:ascii="Calibri" w:hAnsi="Calibri" w:cs="Calibri"/>
          <w:sz w:val="18"/>
          <w:szCs w:val="18"/>
        </w:rPr>
      </w:pPr>
      <w:r w:rsidRPr="00307E20">
        <w:rPr>
          <w:rFonts w:ascii="Calibri" w:hAnsi="Calibri" w:cs="Calibri"/>
          <w:sz w:val="18"/>
          <w:szCs w:val="18"/>
        </w:rPr>
        <w:t>Przedmiotem niniejsz</w:t>
      </w:r>
      <w:r w:rsidR="007E56C9">
        <w:rPr>
          <w:rFonts w:ascii="Calibri" w:hAnsi="Calibri" w:cs="Calibri"/>
          <w:sz w:val="18"/>
          <w:szCs w:val="18"/>
        </w:rPr>
        <w:t>ej</w:t>
      </w:r>
      <w:r w:rsidRPr="00307E20">
        <w:rPr>
          <w:rFonts w:ascii="Calibri" w:hAnsi="Calibri" w:cs="Calibri"/>
          <w:sz w:val="18"/>
          <w:szCs w:val="18"/>
        </w:rPr>
        <w:t xml:space="preserve"> </w:t>
      </w:r>
      <w:r w:rsidR="00E13859">
        <w:rPr>
          <w:rFonts w:ascii="Calibri" w:hAnsi="Calibri" w:cs="Calibri"/>
          <w:sz w:val="18"/>
          <w:szCs w:val="18"/>
        </w:rPr>
        <w:t>szczegółow</w:t>
      </w:r>
      <w:r w:rsidR="007E56C9">
        <w:rPr>
          <w:rFonts w:ascii="Calibri" w:hAnsi="Calibri" w:cs="Calibri"/>
          <w:sz w:val="18"/>
          <w:szCs w:val="18"/>
        </w:rPr>
        <w:t>ej</w:t>
      </w:r>
      <w:r w:rsidR="00E13859">
        <w:rPr>
          <w:rFonts w:ascii="Calibri" w:hAnsi="Calibri" w:cs="Calibri"/>
          <w:sz w:val="18"/>
          <w:szCs w:val="18"/>
        </w:rPr>
        <w:t xml:space="preserve"> specyfikacji techniczn</w:t>
      </w:r>
      <w:r w:rsidR="007E56C9">
        <w:rPr>
          <w:rFonts w:ascii="Calibri" w:hAnsi="Calibri" w:cs="Calibri"/>
          <w:sz w:val="18"/>
          <w:szCs w:val="18"/>
        </w:rPr>
        <w:t>ej</w:t>
      </w:r>
      <w:r w:rsidRPr="00307E20">
        <w:rPr>
          <w:rFonts w:ascii="Calibri" w:hAnsi="Calibri" w:cs="Calibri"/>
          <w:sz w:val="18"/>
          <w:szCs w:val="18"/>
        </w:rPr>
        <w:t xml:space="preserve"> wykonania i odbioru robót budowlanych (</w:t>
      </w:r>
      <w:r w:rsidR="00C006BE">
        <w:rPr>
          <w:rFonts w:ascii="Calibri" w:hAnsi="Calibri" w:cs="Calibri"/>
          <w:sz w:val="18"/>
          <w:szCs w:val="18"/>
        </w:rPr>
        <w:t>ST</w:t>
      </w:r>
      <w:r w:rsidRPr="00307E20">
        <w:rPr>
          <w:rFonts w:ascii="Calibri" w:hAnsi="Calibri" w:cs="Calibri"/>
          <w:sz w:val="18"/>
          <w:szCs w:val="18"/>
        </w:rPr>
        <w:t>WiORB) są wymagania dotyczące wykonania i odbioru oznakowania poziomego dróg.</w:t>
      </w:r>
    </w:p>
    <w:p w14:paraId="4E32DC8D" w14:textId="71BBA25D" w:rsidR="008C66DB" w:rsidRPr="00307E20" w:rsidRDefault="008C66DB" w:rsidP="008C66DB">
      <w:pPr>
        <w:pStyle w:val="Nagwek4"/>
        <w:rPr>
          <w:rFonts w:ascii="Calibri" w:hAnsi="Calibri" w:cs="Calibri"/>
          <w:sz w:val="18"/>
          <w:szCs w:val="18"/>
        </w:rPr>
      </w:pPr>
      <w:bookmarkStart w:id="730" w:name="_Toc235079947"/>
      <w:r w:rsidRPr="00307E20">
        <w:rPr>
          <w:rFonts w:ascii="Calibri" w:hAnsi="Calibri" w:cs="Calibri"/>
          <w:sz w:val="18"/>
          <w:szCs w:val="18"/>
        </w:rPr>
        <w:t xml:space="preserve">1.2. Zakres stosowania </w:t>
      </w:r>
      <w:r w:rsidR="00C006BE">
        <w:rPr>
          <w:rFonts w:ascii="Calibri" w:hAnsi="Calibri" w:cs="Calibri"/>
          <w:sz w:val="18"/>
          <w:szCs w:val="18"/>
        </w:rPr>
        <w:t>ST</w:t>
      </w:r>
      <w:r w:rsidRPr="00307E20">
        <w:rPr>
          <w:rFonts w:ascii="Calibri" w:hAnsi="Calibri" w:cs="Calibri"/>
          <w:sz w:val="18"/>
          <w:szCs w:val="18"/>
        </w:rPr>
        <w:t>WiORB</w:t>
      </w:r>
    </w:p>
    <w:p w14:paraId="1043EC63" w14:textId="2904F247" w:rsidR="008C66DB" w:rsidRPr="00307E20" w:rsidRDefault="00E13859" w:rsidP="008C66DB">
      <w:pPr>
        <w:rPr>
          <w:rFonts w:ascii="Calibri" w:hAnsi="Calibri" w:cs="Calibri"/>
          <w:sz w:val="18"/>
          <w:szCs w:val="18"/>
        </w:rPr>
      </w:pPr>
      <w:r>
        <w:rPr>
          <w:rFonts w:ascii="Calibri" w:hAnsi="Calibri" w:cs="Calibri"/>
          <w:sz w:val="18"/>
          <w:szCs w:val="18"/>
        </w:rPr>
        <w:t>Specyfikacj</w:t>
      </w:r>
      <w:r w:rsidR="007E56C9">
        <w:rPr>
          <w:rFonts w:ascii="Calibri" w:hAnsi="Calibri" w:cs="Calibri"/>
          <w:sz w:val="18"/>
          <w:szCs w:val="18"/>
        </w:rPr>
        <w:t>a</w:t>
      </w:r>
      <w:r w:rsidR="008C66DB" w:rsidRPr="00307E20">
        <w:rPr>
          <w:rFonts w:ascii="Calibri" w:hAnsi="Calibri" w:cs="Calibri"/>
          <w:sz w:val="18"/>
          <w:szCs w:val="18"/>
        </w:rPr>
        <w:t xml:space="preserve"> stanowi dokument kontraktowy przy realizacji  zadania</w:t>
      </w:r>
      <w:r w:rsidR="004D5430" w:rsidRPr="00307E20">
        <w:rPr>
          <w:rFonts w:asciiTheme="minorHAnsi" w:hAnsiTheme="minorHAnsi" w:cstheme="minorHAnsi"/>
          <w:bCs/>
          <w:sz w:val="18"/>
          <w:szCs w:val="18"/>
        </w:rPr>
        <w:t xml:space="preserve"> </w:t>
      </w:r>
      <w:r w:rsidR="00506838" w:rsidRPr="00307E20">
        <w:rPr>
          <w:rFonts w:asciiTheme="minorHAnsi" w:hAnsiTheme="minorHAnsi" w:cstheme="minorHAnsi"/>
          <w:bCs/>
          <w:sz w:val="18"/>
          <w:szCs w:val="18"/>
        </w:rPr>
        <w:t>„</w:t>
      </w:r>
      <w:r w:rsidR="00C006BE" w:rsidRPr="00C006BE">
        <w:rPr>
          <w:rFonts w:asciiTheme="minorHAnsi" w:hAnsiTheme="minorHAnsi" w:cstheme="minorHAnsi"/>
          <w:bCs/>
          <w:sz w:val="18"/>
          <w:szCs w:val="18"/>
        </w:rPr>
        <w:t>Rozbudowa ul. Wrocławskiej w ciągu drogi powiatowej w Tyńcu Małym wraz z rozbudową istniejącego skrzyżowania typu rondo na połączeniu dróg krajowych nr 35 i 35a oraz łącznika węzła Kobierzyce drogi S8e oraz infrastrukturą towarzyszącą w ramach zadania „Rozbudowa skrzyżowania typu rondo w ciągu DK35 koło m. Tyniec Mały usprawniająca skomunikowanie obszarów Podstrefy Wrocław – Kobierzyce TSSE EURO PARK WISŁOSAN”</w:t>
      </w:r>
      <w:r w:rsidR="004D5430" w:rsidRPr="00307E20">
        <w:rPr>
          <w:rFonts w:asciiTheme="minorHAnsi" w:hAnsiTheme="minorHAnsi" w:cstheme="minorHAnsi"/>
          <w:bCs/>
          <w:sz w:val="18"/>
          <w:szCs w:val="18"/>
        </w:rPr>
        <w:t>”.</w:t>
      </w:r>
    </w:p>
    <w:p w14:paraId="18D0394E" w14:textId="78B836D7" w:rsidR="008C66DB" w:rsidRPr="00307E20" w:rsidRDefault="008C66DB" w:rsidP="008C66DB">
      <w:pPr>
        <w:pStyle w:val="Nagwek4"/>
        <w:rPr>
          <w:rFonts w:ascii="Calibri" w:hAnsi="Calibri" w:cs="Calibri"/>
          <w:sz w:val="18"/>
          <w:szCs w:val="18"/>
        </w:rPr>
      </w:pPr>
      <w:r w:rsidRPr="00307E20">
        <w:rPr>
          <w:rFonts w:ascii="Calibri" w:hAnsi="Calibri" w:cs="Calibri"/>
          <w:sz w:val="18"/>
          <w:szCs w:val="18"/>
        </w:rPr>
        <w:t xml:space="preserve">1.3. Zakres robót objętych </w:t>
      </w:r>
      <w:bookmarkEnd w:id="730"/>
      <w:r w:rsidR="00C006BE">
        <w:rPr>
          <w:rFonts w:ascii="Calibri" w:hAnsi="Calibri" w:cs="Calibri"/>
          <w:sz w:val="18"/>
          <w:szCs w:val="18"/>
        </w:rPr>
        <w:t>ST</w:t>
      </w:r>
      <w:r w:rsidRPr="00307E20">
        <w:rPr>
          <w:rFonts w:ascii="Calibri" w:hAnsi="Calibri" w:cs="Calibri"/>
          <w:sz w:val="18"/>
          <w:szCs w:val="18"/>
        </w:rPr>
        <w:t>WiORB</w:t>
      </w:r>
    </w:p>
    <w:p w14:paraId="073326AD" w14:textId="34D46422" w:rsidR="008C66DB" w:rsidRPr="00307E20" w:rsidRDefault="008C66DB" w:rsidP="008C66DB">
      <w:pPr>
        <w:rPr>
          <w:rFonts w:ascii="Calibri" w:hAnsi="Calibri" w:cs="Calibri"/>
          <w:sz w:val="18"/>
          <w:szCs w:val="18"/>
        </w:rPr>
      </w:pPr>
      <w:r w:rsidRPr="00307E20">
        <w:rPr>
          <w:rFonts w:ascii="Calibri" w:hAnsi="Calibri" w:cs="Calibri"/>
          <w:sz w:val="18"/>
          <w:szCs w:val="18"/>
        </w:rPr>
        <w:t xml:space="preserve">Ustalenia zawarte w niniejszych </w:t>
      </w:r>
      <w:r w:rsidR="00E13859">
        <w:rPr>
          <w:rFonts w:ascii="Calibri" w:hAnsi="Calibri" w:cs="Calibri"/>
          <w:sz w:val="18"/>
          <w:szCs w:val="18"/>
        </w:rPr>
        <w:t>specyfikacjach</w:t>
      </w:r>
      <w:r w:rsidRPr="00307E20">
        <w:rPr>
          <w:rFonts w:ascii="Calibri" w:hAnsi="Calibri" w:cs="Calibri"/>
          <w:sz w:val="18"/>
          <w:szCs w:val="18"/>
        </w:rPr>
        <w:t xml:space="preserve"> dotyczą zasad prowadzenia robót związanych z wykonywaniem i odbiorem oznakowania poziomego stosowanego na drogach o nawierzchni twardej.</w:t>
      </w:r>
    </w:p>
    <w:p w14:paraId="505F7D4F" w14:textId="77777777" w:rsidR="008C66DB" w:rsidRPr="00307E20" w:rsidRDefault="008C66DB" w:rsidP="008C66DB">
      <w:pPr>
        <w:pStyle w:val="Nagwek4"/>
        <w:rPr>
          <w:rFonts w:ascii="Calibri" w:hAnsi="Calibri" w:cs="Calibri"/>
          <w:sz w:val="18"/>
          <w:szCs w:val="18"/>
        </w:rPr>
      </w:pPr>
      <w:bookmarkStart w:id="731" w:name="_Toc235079948"/>
      <w:r w:rsidRPr="00307E20">
        <w:rPr>
          <w:rFonts w:ascii="Calibri" w:hAnsi="Calibri" w:cs="Calibri"/>
          <w:sz w:val="18"/>
          <w:szCs w:val="18"/>
        </w:rPr>
        <w:t>1.4. Określenia podstawowe</w:t>
      </w:r>
      <w:bookmarkEnd w:id="731"/>
    </w:p>
    <w:p w14:paraId="7A571DF5" w14:textId="77777777" w:rsidR="008C66DB" w:rsidRPr="00307E20" w:rsidRDefault="008C66DB" w:rsidP="008C66DB">
      <w:pPr>
        <w:rPr>
          <w:rFonts w:ascii="Calibri" w:hAnsi="Calibri" w:cs="Calibri"/>
          <w:sz w:val="18"/>
          <w:szCs w:val="18"/>
        </w:rPr>
      </w:pPr>
      <w:r w:rsidRPr="00307E20">
        <w:rPr>
          <w:rFonts w:ascii="Calibri" w:hAnsi="Calibri" w:cs="Calibri"/>
          <w:b/>
          <w:bCs/>
          <w:i/>
          <w:iCs/>
          <w:sz w:val="18"/>
          <w:szCs w:val="18"/>
        </w:rPr>
        <w:t>1.4.1.</w:t>
      </w:r>
      <w:r w:rsidRPr="00307E20">
        <w:rPr>
          <w:rFonts w:ascii="Calibri" w:hAnsi="Calibri" w:cs="Calibri"/>
          <w:sz w:val="18"/>
          <w:szCs w:val="18"/>
        </w:rPr>
        <w:t>Oznakowanie poziome - znaki drogowe poziome, umieszczone na nawierzchni w postaci linii ciągłych lub przerywanych, pojedynczych lub podwójnych, strzałek, napisów, symboli oraz innych linii związanych z oznaczeniem określonych miejsc na tej nawierzchni.</w:t>
      </w:r>
    </w:p>
    <w:p w14:paraId="7B252D2C" w14:textId="77777777" w:rsidR="008C66DB" w:rsidRPr="00307E20" w:rsidRDefault="008C66DB" w:rsidP="008C66DB">
      <w:pPr>
        <w:spacing w:before="120"/>
        <w:rPr>
          <w:rFonts w:ascii="Calibri" w:hAnsi="Calibri" w:cs="Calibri"/>
          <w:sz w:val="18"/>
          <w:szCs w:val="18"/>
        </w:rPr>
      </w:pPr>
      <w:r w:rsidRPr="00307E20">
        <w:rPr>
          <w:rFonts w:ascii="Calibri" w:hAnsi="Calibri" w:cs="Calibri"/>
          <w:b/>
          <w:bCs/>
          <w:i/>
          <w:iCs/>
          <w:sz w:val="18"/>
          <w:szCs w:val="18"/>
        </w:rPr>
        <w:t>1.4.2.</w:t>
      </w:r>
      <w:r w:rsidRPr="00307E20">
        <w:rPr>
          <w:rFonts w:ascii="Calibri" w:hAnsi="Calibri" w:cs="Calibri"/>
          <w:sz w:val="18"/>
          <w:szCs w:val="18"/>
        </w:rPr>
        <w:t>Znaki podłużne - linie równoległe do osi jezdni lub odchylone od niej pod niewielkim kątem, występujące jako linie segregacyjne lub krawędziowe, przerywane lub ciągłe.</w:t>
      </w:r>
    </w:p>
    <w:p w14:paraId="5C42E3D9" w14:textId="77777777" w:rsidR="008C66DB" w:rsidRPr="00307E20" w:rsidRDefault="008C66DB" w:rsidP="008C66DB">
      <w:pPr>
        <w:spacing w:before="120"/>
        <w:rPr>
          <w:rFonts w:ascii="Calibri" w:hAnsi="Calibri" w:cs="Calibri"/>
          <w:sz w:val="18"/>
          <w:szCs w:val="18"/>
        </w:rPr>
      </w:pPr>
      <w:r w:rsidRPr="00307E20">
        <w:rPr>
          <w:rFonts w:ascii="Calibri" w:hAnsi="Calibri" w:cs="Calibri"/>
          <w:b/>
          <w:bCs/>
          <w:i/>
          <w:iCs/>
          <w:sz w:val="18"/>
          <w:szCs w:val="18"/>
        </w:rPr>
        <w:t>1.4.3.</w:t>
      </w:r>
      <w:r w:rsidRPr="00307E20">
        <w:rPr>
          <w:rFonts w:ascii="Calibri" w:hAnsi="Calibri" w:cs="Calibri"/>
          <w:sz w:val="18"/>
          <w:szCs w:val="18"/>
        </w:rPr>
        <w:t>Strzałki - znaki poziome na nawierzchni, występujące jako strzałki kierunkowe służące do wskazania dozwolonego kierunku jazdy oraz strzałki naprowadzające, które uprzedzają o konieczności opuszczenia pasa, na którym się znajdują.</w:t>
      </w:r>
    </w:p>
    <w:p w14:paraId="0D2BE735" w14:textId="77777777" w:rsidR="008C66DB" w:rsidRPr="00307E20" w:rsidRDefault="008C66DB" w:rsidP="008C66DB">
      <w:pPr>
        <w:spacing w:before="120"/>
        <w:rPr>
          <w:rFonts w:ascii="Calibri" w:hAnsi="Calibri" w:cs="Calibri"/>
          <w:sz w:val="18"/>
          <w:szCs w:val="18"/>
        </w:rPr>
      </w:pPr>
      <w:r w:rsidRPr="00307E20">
        <w:rPr>
          <w:rFonts w:ascii="Calibri" w:hAnsi="Calibri" w:cs="Calibri"/>
          <w:b/>
          <w:bCs/>
          <w:i/>
          <w:iCs/>
          <w:sz w:val="18"/>
          <w:szCs w:val="18"/>
        </w:rPr>
        <w:t>1.4.4.</w:t>
      </w:r>
      <w:r w:rsidRPr="00307E20">
        <w:rPr>
          <w:rFonts w:ascii="Calibri" w:hAnsi="Calibri" w:cs="Calibri"/>
          <w:sz w:val="18"/>
          <w:szCs w:val="18"/>
        </w:rPr>
        <w:t>Znaki poprzeczne - znaki wyznaczające miejsca przeznaczone do ruchu pieszych i rowerzystów w poprzek jezdni oraz miejsca zatrzymania pojazdów.</w:t>
      </w:r>
    </w:p>
    <w:p w14:paraId="68519AE4" w14:textId="77777777" w:rsidR="008C66DB" w:rsidRPr="00307E20" w:rsidRDefault="008C66DB" w:rsidP="008C66DB">
      <w:pPr>
        <w:spacing w:before="120"/>
        <w:rPr>
          <w:rFonts w:ascii="Calibri" w:hAnsi="Calibri" w:cs="Calibri"/>
          <w:sz w:val="18"/>
          <w:szCs w:val="18"/>
        </w:rPr>
      </w:pPr>
      <w:r w:rsidRPr="00307E20">
        <w:rPr>
          <w:rFonts w:ascii="Calibri" w:hAnsi="Calibri" w:cs="Calibri"/>
          <w:b/>
          <w:bCs/>
          <w:i/>
          <w:iCs/>
          <w:sz w:val="18"/>
          <w:szCs w:val="18"/>
        </w:rPr>
        <w:t>1.4.5.</w:t>
      </w:r>
      <w:r w:rsidRPr="00307E20">
        <w:rPr>
          <w:rFonts w:ascii="Calibri" w:hAnsi="Calibri" w:cs="Calibri"/>
          <w:sz w:val="18"/>
          <w:szCs w:val="18"/>
        </w:rPr>
        <w:t>Znaki uzupełniające - znaki w postaci symboli, napisów, linii przystankowych oraz inne określające szczególne miejsca na nawierzchni.</w:t>
      </w:r>
    </w:p>
    <w:p w14:paraId="1DB01757" w14:textId="77777777" w:rsidR="008C66DB" w:rsidRPr="00307E20" w:rsidRDefault="008C66DB" w:rsidP="008C66DB">
      <w:pPr>
        <w:spacing w:before="120"/>
        <w:rPr>
          <w:rFonts w:ascii="Calibri" w:hAnsi="Calibri" w:cs="Calibri"/>
          <w:sz w:val="18"/>
          <w:szCs w:val="18"/>
        </w:rPr>
      </w:pPr>
      <w:r w:rsidRPr="00307E20">
        <w:rPr>
          <w:rFonts w:ascii="Calibri" w:hAnsi="Calibri" w:cs="Calibri"/>
          <w:b/>
          <w:bCs/>
          <w:i/>
          <w:iCs/>
          <w:sz w:val="18"/>
          <w:szCs w:val="18"/>
        </w:rPr>
        <w:t>1.4.6.</w:t>
      </w:r>
      <w:r w:rsidRPr="00307E20">
        <w:rPr>
          <w:rFonts w:ascii="Calibri" w:hAnsi="Calibri" w:cs="Calibri"/>
          <w:sz w:val="18"/>
          <w:szCs w:val="18"/>
        </w:rPr>
        <w:t>Materiały do poziomego znakowania dróg - materiały zawierające rozpuszczalniki, wolne od rozpuszczalników lub punktowe elementy odblaskowe, które mogą zostać naniesione albo wbudowane przez malowanie, natryskiwanie, odlewanie, wytłaczanie, rolowanie, klejenie itp. na nawierzchnie drogowe, stosowane w temperaturze otoczenia lub w temperaturze podwyższonej. Materiały te powinny być retrorefleksyjne.</w:t>
      </w:r>
    </w:p>
    <w:p w14:paraId="077C1769" w14:textId="77777777" w:rsidR="008C66DB" w:rsidRPr="00307E20" w:rsidRDefault="008C66DB" w:rsidP="008C66DB">
      <w:pPr>
        <w:spacing w:before="120"/>
        <w:rPr>
          <w:rFonts w:ascii="Calibri" w:hAnsi="Calibri" w:cs="Calibri"/>
          <w:sz w:val="18"/>
          <w:szCs w:val="18"/>
        </w:rPr>
      </w:pPr>
      <w:r w:rsidRPr="00307E20">
        <w:rPr>
          <w:rFonts w:ascii="Calibri" w:hAnsi="Calibri" w:cs="Calibri"/>
          <w:b/>
          <w:bCs/>
          <w:i/>
          <w:iCs/>
          <w:sz w:val="18"/>
          <w:szCs w:val="18"/>
        </w:rPr>
        <w:t>1.4.7.</w:t>
      </w:r>
      <w:r w:rsidRPr="00307E20">
        <w:rPr>
          <w:rFonts w:ascii="Calibri" w:hAnsi="Calibri" w:cs="Calibri"/>
          <w:sz w:val="18"/>
          <w:szCs w:val="18"/>
        </w:rPr>
        <w:t>Materiały do znakowania grubowarstwowego - materiały nakładane warstwą grubości od 0,9 mm do 5 mm. Należą do nich chemoutwardzalne masy stosowane na zimno oraz masy termoplastyczne.</w:t>
      </w:r>
    </w:p>
    <w:p w14:paraId="3E9AD077" w14:textId="77777777" w:rsidR="008C66DB" w:rsidRPr="00307E20" w:rsidRDefault="008C66DB" w:rsidP="008C66DB">
      <w:pPr>
        <w:spacing w:before="120"/>
        <w:rPr>
          <w:rFonts w:ascii="Calibri" w:hAnsi="Calibri" w:cs="Calibri"/>
          <w:sz w:val="18"/>
          <w:szCs w:val="18"/>
        </w:rPr>
      </w:pPr>
      <w:r w:rsidRPr="00307E20">
        <w:rPr>
          <w:rFonts w:ascii="Calibri" w:hAnsi="Calibri" w:cs="Calibri"/>
          <w:b/>
          <w:bCs/>
          <w:i/>
          <w:iCs/>
          <w:sz w:val="18"/>
          <w:szCs w:val="18"/>
        </w:rPr>
        <w:t>1.4.8.</w:t>
      </w:r>
      <w:r w:rsidRPr="00307E20">
        <w:rPr>
          <w:rFonts w:ascii="Calibri" w:hAnsi="Calibri" w:cs="Calibri"/>
          <w:sz w:val="18"/>
          <w:szCs w:val="18"/>
        </w:rPr>
        <w:t>Materiały prefabrykowane - materiały, które łączy się z powierzchnią drogi przez klejenie, wtapianie, wbudowanie lub w inny sposób. Zalicza się do nich masy termoplastyczne w arkuszach do wtapiania oraz folie do oznakowań tymczasowych (żółte) i trwałych (białe) oraz punktowe elementy odblaskowe.</w:t>
      </w:r>
    </w:p>
    <w:p w14:paraId="543C3D58" w14:textId="77777777" w:rsidR="008C66DB" w:rsidRPr="00307E20" w:rsidRDefault="008C66DB" w:rsidP="008C66DB">
      <w:pPr>
        <w:spacing w:before="120"/>
        <w:rPr>
          <w:rFonts w:ascii="Calibri" w:hAnsi="Calibri" w:cs="Calibri"/>
          <w:sz w:val="18"/>
          <w:szCs w:val="18"/>
        </w:rPr>
      </w:pPr>
      <w:r w:rsidRPr="00307E20">
        <w:rPr>
          <w:rFonts w:ascii="Calibri" w:hAnsi="Calibri" w:cs="Calibri"/>
          <w:b/>
          <w:bCs/>
          <w:i/>
          <w:iCs/>
          <w:sz w:val="18"/>
          <w:szCs w:val="18"/>
        </w:rPr>
        <w:t>1.4.9.</w:t>
      </w:r>
      <w:r w:rsidRPr="00307E20">
        <w:rPr>
          <w:rFonts w:ascii="Calibri" w:hAnsi="Calibri" w:cs="Calibri"/>
          <w:sz w:val="18"/>
          <w:szCs w:val="18"/>
        </w:rPr>
        <w:t>Punktowe elementy odblaskowe - materiały o wysokości do 15 mm, a w szczególnych wypadkach do 25 mm, które są przyklejane lub wbudowywane w nawierzchnię. Mają różny kształt, wielkość i wysokość oraz rodzaj i liczbę zastosowanych elementów odblaskowych, do których należą szklane soczewki, elementy odblaskowe z polimetekrylanu metylu i folie odblaskowe.</w:t>
      </w:r>
    </w:p>
    <w:p w14:paraId="260A4A30" w14:textId="77777777" w:rsidR="008C66DB" w:rsidRPr="00307E20" w:rsidRDefault="008C66DB" w:rsidP="008C66DB">
      <w:pPr>
        <w:spacing w:before="120"/>
        <w:rPr>
          <w:rFonts w:ascii="Calibri" w:hAnsi="Calibri" w:cs="Calibri"/>
          <w:sz w:val="18"/>
          <w:szCs w:val="18"/>
        </w:rPr>
      </w:pPr>
      <w:r w:rsidRPr="00307E20">
        <w:rPr>
          <w:rFonts w:ascii="Calibri" w:hAnsi="Calibri" w:cs="Calibri"/>
          <w:b/>
          <w:bCs/>
          <w:i/>
          <w:iCs/>
          <w:sz w:val="18"/>
          <w:szCs w:val="18"/>
        </w:rPr>
        <w:t>1.4.10.</w:t>
      </w:r>
      <w:r w:rsidRPr="00307E20">
        <w:rPr>
          <w:rFonts w:ascii="Calibri" w:hAnsi="Calibri" w:cs="Calibri"/>
          <w:sz w:val="18"/>
          <w:szCs w:val="18"/>
        </w:rPr>
        <w:t>Tymczasowe oznakowanie drogowe - oznakowanie z materiału o barwie żółtej, którego czas użytkowania wynosi do 3 miesięcy lub do czasu zakończenia robót.</w:t>
      </w:r>
    </w:p>
    <w:p w14:paraId="73CCD885" w14:textId="77777777" w:rsidR="008C66DB" w:rsidRPr="00307E20" w:rsidRDefault="008C66DB" w:rsidP="008C66DB">
      <w:pPr>
        <w:spacing w:before="120"/>
        <w:rPr>
          <w:rFonts w:ascii="Calibri" w:hAnsi="Calibri" w:cs="Calibri"/>
          <w:sz w:val="18"/>
          <w:szCs w:val="18"/>
        </w:rPr>
      </w:pPr>
      <w:r w:rsidRPr="00307E20">
        <w:rPr>
          <w:rFonts w:ascii="Calibri" w:hAnsi="Calibri" w:cs="Calibri"/>
          <w:b/>
          <w:bCs/>
          <w:i/>
          <w:iCs/>
          <w:sz w:val="18"/>
          <w:szCs w:val="18"/>
        </w:rPr>
        <w:t>1.4.11.</w:t>
      </w:r>
      <w:r w:rsidRPr="00307E20">
        <w:rPr>
          <w:rFonts w:ascii="Calibri" w:hAnsi="Calibri" w:cs="Calibri"/>
          <w:sz w:val="18"/>
          <w:szCs w:val="18"/>
        </w:rPr>
        <w:t>Okresowe oznakowanie drogowe - oznakowanie, którego czas użytkowania wynosi do 6 miesięcy.</w:t>
      </w:r>
    </w:p>
    <w:p w14:paraId="149B524B" w14:textId="77777777" w:rsidR="008C66DB" w:rsidRPr="00307E20" w:rsidRDefault="008C66DB" w:rsidP="008C66DB">
      <w:pPr>
        <w:spacing w:before="120"/>
        <w:rPr>
          <w:rFonts w:ascii="Calibri" w:hAnsi="Calibri" w:cs="Calibri"/>
          <w:sz w:val="18"/>
          <w:szCs w:val="18"/>
        </w:rPr>
      </w:pPr>
      <w:r w:rsidRPr="00307E20">
        <w:rPr>
          <w:rFonts w:ascii="Calibri" w:hAnsi="Calibri" w:cs="Calibri"/>
          <w:b/>
          <w:bCs/>
          <w:i/>
          <w:iCs/>
          <w:sz w:val="18"/>
          <w:szCs w:val="18"/>
        </w:rPr>
        <w:t>1.4.12.</w:t>
      </w:r>
      <w:r w:rsidRPr="00307E20">
        <w:rPr>
          <w:rFonts w:ascii="Calibri" w:hAnsi="Calibri" w:cs="Calibri"/>
          <w:sz w:val="18"/>
          <w:szCs w:val="18"/>
        </w:rPr>
        <w:t>Kulki szklane - materiał do posypywania lub narzucania pod ciśnieniem na oznakowanie wykonane materiałami w stanie ciekłym, w celu uzyskania widzialności oznakowania w nocy.</w:t>
      </w:r>
    </w:p>
    <w:p w14:paraId="25B0B0FC" w14:textId="77777777" w:rsidR="008C66DB" w:rsidRPr="00307E20" w:rsidRDefault="008C66DB" w:rsidP="008C66DB">
      <w:pPr>
        <w:spacing w:before="120"/>
        <w:rPr>
          <w:rFonts w:ascii="Calibri" w:hAnsi="Calibri" w:cs="Calibri"/>
          <w:sz w:val="18"/>
          <w:szCs w:val="18"/>
        </w:rPr>
      </w:pPr>
      <w:r w:rsidRPr="00307E20">
        <w:rPr>
          <w:rFonts w:ascii="Calibri" w:hAnsi="Calibri" w:cs="Calibri"/>
          <w:b/>
          <w:bCs/>
          <w:i/>
          <w:iCs/>
          <w:sz w:val="18"/>
          <w:szCs w:val="18"/>
        </w:rPr>
        <w:t>1.4.13.</w:t>
      </w:r>
      <w:r w:rsidRPr="00307E20">
        <w:rPr>
          <w:rFonts w:ascii="Calibri" w:hAnsi="Calibri" w:cs="Calibri"/>
          <w:sz w:val="18"/>
          <w:szCs w:val="18"/>
        </w:rPr>
        <w:t>Materiał uszorstniający - kruszywo zapewniające oznakowaniu poziomemu właściwości antypoślizgowe.</w:t>
      </w:r>
    </w:p>
    <w:p w14:paraId="06826DB2" w14:textId="7BB7DE29" w:rsidR="008C66DB" w:rsidRPr="00307E20" w:rsidRDefault="008C66DB" w:rsidP="008C66DB">
      <w:pPr>
        <w:spacing w:before="120"/>
        <w:rPr>
          <w:rFonts w:ascii="Calibri" w:hAnsi="Calibri" w:cs="Calibri"/>
          <w:sz w:val="18"/>
          <w:szCs w:val="18"/>
        </w:rPr>
      </w:pPr>
      <w:r w:rsidRPr="00307E20">
        <w:rPr>
          <w:rFonts w:ascii="Calibri" w:hAnsi="Calibri" w:cs="Calibri"/>
          <w:b/>
          <w:bCs/>
          <w:i/>
          <w:iCs/>
          <w:sz w:val="18"/>
          <w:szCs w:val="18"/>
        </w:rPr>
        <w:t>1.4.14.</w:t>
      </w:r>
      <w:r w:rsidRPr="00307E20">
        <w:rPr>
          <w:rFonts w:ascii="Calibri" w:hAnsi="Calibri" w:cs="Calibri"/>
          <w:sz w:val="18"/>
          <w:szCs w:val="18"/>
        </w:rPr>
        <w:t xml:space="preserve">Pozostałe określenia są zgodne z obowiązującymi, odpowiednimi polskimi normami i z definicjami podanymi w </w:t>
      </w:r>
      <w:r w:rsidR="00C006BE">
        <w:rPr>
          <w:rFonts w:ascii="Calibri" w:hAnsi="Calibri" w:cs="Calibri"/>
          <w:sz w:val="18"/>
          <w:szCs w:val="18"/>
        </w:rPr>
        <w:t>ST</w:t>
      </w:r>
      <w:r w:rsidRPr="00307E20">
        <w:rPr>
          <w:rFonts w:ascii="Calibri" w:hAnsi="Calibri" w:cs="Calibri"/>
          <w:sz w:val="18"/>
          <w:szCs w:val="18"/>
        </w:rPr>
        <w:t xml:space="preserve">WiORB D-M-00.00.00 „Wymagania ogólne” pkt 1.4. </w:t>
      </w:r>
    </w:p>
    <w:p w14:paraId="54B6F757" w14:textId="77777777" w:rsidR="008C66DB" w:rsidRPr="00307E20" w:rsidRDefault="008C66DB" w:rsidP="008C66DB">
      <w:pPr>
        <w:pStyle w:val="Nagwek4"/>
        <w:rPr>
          <w:rFonts w:ascii="Calibri" w:hAnsi="Calibri" w:cs="Calibri"/>
          <w:sz w:val="18"/>
          <w:szCs w:val="18"/>
        </w:rPr>
      </w:pPr>
      <w:bookmarkStart w:id="732" w:name="_Toc235079949"/>
      <w:r w:rsidRPr="00307E20">
        <w:rPr>
          <w:rFonts w:ascii="Calibri" w:hAnsi="Calibri" w:cs="Calibri"/>
          <w:sz w:val="18"/>
          <w:szCs w:val="18"/>
        </w:rPr>
        <w:t>1.5. Ogólne wymagania dotyczące robót</w:t>
      </w:r>
      <w:bookmarkEnd w:id="732"/>
    </w:p>
    <w:p w14:paraId="0A3BAEDB" w14:textId="1A7C8947" w:rsidR="008C66DB" w:rsidRPr="00307E20" w:rsidRDefault="008C66DB" w:rsidP="008C66DB">
      <w:pPr>
        <w:spacing w:after="120"/>
        <w:rPr>
          <w:rFonts w:ascii="Calibri" w:hAnsi="Calibri" w:cs="Calibri"/>
          <w:sz w:val="18"/>
          <w:szCs w:val="18"/>
        </w:rPr>
      </w:pPr>
      <w:r w:rsidRPr="00307E20">
        <w:rPr>
          <w:rFonts w:ascii="Calibri" w:hAnsi="Calibri" w:cs="Calibri"/>
          <w:sz w:val="18"/>
          <w:szCs w:val="18"/>
        </w:rPr>
        <w:t xml:space="preserve">Ogólne wymagania dotyczące robót podano w </w:t>
      </w:r>
      <w:r w:rsidR="00C006BE">
        <w:rPr>
          <w:rFonts w:ascii="Calibri" w:hAnsi="Calibri" w:cs="Calibri"/>
          <w:sz w:val="18"/>
          <w:szCs w:val="18"/>
        </w:rPr>
        <w:t>ST</w:t>
      </w:r>
      <w:r w:rsidRPr="00307E20">
        <w:rPr>
          <w:rFonts w:ascii="Calibri" w:hAnsi="Calibri" w:cs="Calibri"/>
          <w:sz w:val="18"/>
          <w:szCs w:val="18"/>
        </w:rPr>
        <w:t xml:space="preserve">WiORB D-M-00.00.00 „Wymagania ogólne” pkt 1.5. </w:t>
      </w:r>
    </w:p>
    <w:p w14:paraId="2EAFD0C4" w14:textId="77777777" w:rsidR="008C66DB" w:rsidRPr="00307E20" w:rsidRDefault="008C66DB" w:rsidP="008C66DB">
      <w:pPr>
        <w:rPr>
          <w:rFonts w:ascii="Calibri" w:hAnsi="Calibri" w:cs="Calibri"/>
          <w:b/>
          <w:sz w:val="18"/>
          <w:szCs w:val="18"/>
        </w:rPr>
      </w:pPr>
      <w:bookmarkStart w:id="733" w:name="_Toc420816681"/>
      <w:bookmarkStart w:id="734" w:name="_Toc235079950"/>
    </w:p>
    <w:p w14:paraId="29E8B470" w14:textId="77777777" w:rsidR="008C66DB" w:rsidRPr="00307E20" w:rsidRDefault="008C66DB" w:rsidP="008C66DB">
      <w:pPr>
        <w:rPr>
          <w:rFonts w:ascii="Calibri" w:hAnsi="Calibri" w:cs="Calibri"/>
          <w:b/>
          <w:sz w:val="18"/>
          <w:szCs w:val="18"/>
        </w:rPr>
      </w:pPr>
      <w:r w:rsidRPr="00307E20">
        <w:rPr>
          <w:rFonts w:ascii="Calibri" w:hAnsi="Calibri" w:cs="Calibri"/>
          <w:b/>
          <w:sz w:val="18"/>
          <w:szCs w:val="18"/>
        </w:rPr>
        <w:t xml:space="preserve">2. </w:t>
      </w:r>
      <w:bookmarkEnd w:id="733"/>
      <w:bookmarkEnd w:id="734"/>
      <w:r w:rsidRPr="00307E20">
        <w:rPr>
          <w:rFonts w:ascii="Calibri" w:hAnsi="Calibri" w:cs="Calibri"/>
          <w:b/>
          <w:sz w:val="18"/>
          <w:szCs w:val="18"/>
        </w:rPr>
        <w:t>MATERIAŁY</w:t>
      </w:r>
    </w:p>
    <w:p w14:paraId="5F5F003B" w14:textId="77777777" w:rsidR="008C66DB" w:rsidRPr="00307E20" w:rsidRDefault="008C66DB" w:rsidP="008C66DB">
      <w:pPr>
        <w:pStyle w:val="Nagwek4"/>
        <w:rPr>
          <w:rFonts w:ascii="Calibri" w:hAnsi="Calibri" w:cs="Calibri"/>
          <w:sz w:val="18"/>
          <w:szCs w:val="18"/>
        </w:rPr>
      </w:pPr>
      <w:bookmarkStart w:id="735" w:name="_Toc235079951"/>
      <w:r w:rsidRPr="00307E20">
        <w:rPr>
          <w:rFonts w:ascii="Calibri" w:hAnsi="Calibri" w:cs="Calibri"/>
          <w:sz w:val="18"/>
          <w:szCs w:val="18"/>
        </w:rPr>
        <w:t>2.1. Ogólne wymagania dotyczące materiałów</w:t>
      </w:r>
      <w:bookmarkEnd w:id="735"/>
    </w:p>
    <w:p w14:paraId="5A98C594" w14:textId="04245790" w:rsidR="008C66DB" w:rsidRPr="00307E20" w:rsidRDefault="008C66DB" w:rsidP="008C66DB">
      <w:pPr>
        <w:rPr>
          <w:rFonts w:ascii="Calibri" w:hAnsi="Calibri" w:cs="Calibri"/>
          <w:sz w:val="18"/>
          <w:szCs w:val="18"/>
        </w:rPr>
      </w:pPr>
      <w:r w:rsidRPr="00307E20">
        <w:rPr>
          <w:rFonts w:ascii="Calibri" w:hAnsi="Calibri" w:cs="Calibri"/>
          <w:sz w:val="18"/>
          <w:szCs w:val="18"/>
        </w:rPr>
        <w:t xml:space="preserve">Ogólne wymagania dotyczące materiałów, ich pozyskiwania i składowania podano w </w:t>
      </w:r>
      <w:r w:rsidR="00C006BE">
        <w:rPr>
          <w:rFonts w:ascii="Calibri" w:hAnsi="Calibri" w:cs="Calibri"/>
          <w:sz w:val="18"/>
          <w:szCs w:val="18"/>
        </w:rPr>
        <w:t>ST</w:t>
      </w:r>
      <w:r w:rsidRPr="00307E20">
        <w:rPr>
          <w:rFonts w:ascii="Calibri" w:hAnsi="Calibri" w:cs="Calibri"/>
          <w:sz w:val="18"/>
          <w:szCs w:val="18"/>
        </w:rPr>
        <w:t>WiORB D-M-00.00.00 „Wymagania ogólne” pkt 2.</w:t>
      </w:r>
    </w:p>
    <w:p w14:paraId="31E0990E" w14:textId="77777777" w:rsidR="008C66DB" w:rsidRPr="00307E20" w:rsidRDefault="008C66DB" w:rsidP="008C66DB">
      <w:pPr>
        <w:pStyle w:val="Nagwek4"/>
        <w:rPr>
          <w:rFonts w:ascii="Calibri" w:hAnsi="Calibri" w:cs="Calibri"/>
          <w:sz w:val="18"/>
          <w:szCs w:val="18"/>
        </w:rPr>
      </w:pPr>
      <w:bookmarkStart w:id="736" w:name="_Toc235079952"/>
      <w:r w:rsidRPr="00307E20">
        <w:rPr>
          <w:rFonts w:ascii="Calibri" w:hAnsi="Calibri" w:cs="Calibri"/>
          <w:sz w:val="18"/>
          <w:szCs w:val="18"/>
        </w:rPr>
        <w:t>2.2. Dokument dopuszczający do stosowania materiałów</w:t>
      </w:r>
      <w:bookmarkEnd w:id="736"/>
    </w:p>
    <w:p w14:paraId="105C8335" w14:textId="77777777" w:rsidR="008C66DB" w:rsidRPr="00307E20" w:rsidRDefault="008C66DB" w:rsidP="008C66DB">
      <w:pPr>
        <w:rPr>
          <w:rFonts w:ascii="Calibri" w:hAnsi="Calibri" w:cs="Calibri"/>
          <w:sz w:val="18"/>
          <w:szCs w:val="18"/>
        </w:rPr>
      </w:pPr>
      <w:r w:rsidRPr="00307E20">
        <w:rPr>
          <w:rFonts w:ascii="Calibri" w:hAnsi="Calibri" w:cs="Calibri"/>
          <w:sz w:val="18"/>
          <w:szCs w:val="18"/>
        </w:rPr>
        <w:t>Każdy materiał używany przez Wykonawcę do poziomego znakowania dróg musi posiadać aprobatę techniczną.</w:t>
      </w:r>
    </w:p>
    <w:p w14:paraId="482248EB" w14:textId="77777777" w:rsidR="008C66DB" w:rsidRPr="00307E20" w:rsidRDefault="008C66DB" w:rsidP="008C66DB">
      <w:pPr>
        <w:pStyle w:val="Nagwek4"/>
        <w:rPr>
          <w:rFonts w:ascii="Calibri" w:hAnsi="Calibri" w:cs="Calibri"/>
          <w:sz w:val="18"/>
          <w:szCs w:val="18"/>
        </w:rPr>
      </w:pPr>
      <w:bookmarkStart w:id="737" w:name="_Toc235079953"/>
      <w:r w:rsidRPr="00307E20">
        <w:rPr>
          <w:rFonts w:ascii="Calibri" w:hAnsi="Calibri" w:cs="Calibri"/>
          <w:sz w:val="18"/>
          <w:szCs w:val="18"/>
        </w:rPr>
        <w:t>2.3. Badanie materiałów, których jakość budzi wątpliwość</w:t>
      </w:r>
      <w:bookmarkEnd w:id="737"/>
    </w:p>
    <w:p w14:paraId="66542FD8" w14:textId="77777777" w:rsidR="008C66DB" w:rsidRPr="00307E20" w:rsidRDefault="008C66DB" w:rsidP="008C66DB">
      <w:pPr>
        <w:rPr>
          <w:rFonts w:ascii="Calibri" w:hAnsi="Calibri" w:cs="Calibri"/>
          <w:sz w:val="18"/>
          <w:szCs w:val="18"/>
        </w:rPr>
      </w:pPr>
      <w:r w:rsidRPr="00307E20">
        <w:rPr>
          <w:rFonts w:ascii="Calibri" w:hAnsi="Calibri" w:cs="Calibri"/>
          <w:sz w:val="18"/>
          <w:szCs w:val="18"/>
        </w:rPr>
        <w:t>Wykonawca powinien przeprowadzić dodatkowe badania tych materiałów, które budzą wątpliwości jego lub Inżyniera, co do jakości, w celu stwierdzenia czy odpowiadają one wymaganiom określonym w punkcie 2. Badania te Wykonawca zleci IBDiM lub akredytowanemu laboratorium. Badania powinny być wykonane zgodnie z „Warunkami technicznymi POD-97”.</w:t>
      </w:r>
    </w:p>
    <w:p w14:paraId="46BC4E74" w14:textId="77777777" w:rsidR="008C66DB" w:rsidRPr="00307E20" w:rsidRDefault="008C66DB" w:rsidP="008C66DB">
      <w:pPr>
        <w:pStyle w:val="Nagwek4"/>
        <w:rPr>
          <w:rFonts w:ascii="Calibri" w:hAnsi="Calibri" w:cs="Calibri"/>
          <w:sz w:val="18"/>
          <w:szCs w:val="18"/>
        </w:rPr>
      </w:pPr>
      <w:bookmarkStart w:id="738" w:name="_Toc235079954"/>
      <w:r w:rsidRPr="00307E20">
        <w:rPr>
          <w:rFonts w:ascii="Calibri" w:hAnsi="Calibri" w:cs="Calibri"/>
          <w:sz w:val="18"/>
          <w:szCs w:val="18"/>
        </w:rPr>
        <w:t>2.4. Oznakowanie opakowań</w:t>
      </w:r>
      <w:bookmarkEnd w:id="738"/>
    </w:p>
    <w:p w14:paraId="411AA1F1" w14:textId="77777777" w:rsidR="008C66DB" w:rsidRPr="00307E20" w:rsidRDefault="008C66DB" w:rsidP="008C66DB">
      <w:pPr>
        <w:rPr>
          <w:rFonts w:ascii="Calibri" w:hAnsi="Calibri" w:cs="Calibri"/>
          <w:sz w:val="18"/>
          <w:szCs w:val="18"/>
        </w:rPr>
      </w:pPr>
      <w:r w:rsidRPr="00307E20">
        <w:rPr>
          <w:rFonts w:ascii="Calibri" w:hAnsi="Calibri" w:cs="Calibri"/>
          <w:sz w:val="18"/>
          <w:szCs w:val="18"/>
        </w:rPr>
        <w:t>Wykonawca powinien żądać od producenta, aby oznakowanie opakowań materiałów do poziomego znakowania dróg było wykonane zgodnie z PN-O-79252, a ponadto aby na każdym opakowaniu był umieszczony trwały napis zawierający:</w:t>
      </w:r>
    </w:p>
    <w:p w14:paraId="35C3604F" w14:textId="77777777" w:rsidR="008C66DB" w:rsidRPr="00307E20" w:rsidRDefault="008C66DB" w:rsidP="008C66DB">
      <w:pPr>
        <w:numPr>
          <w:ilvl w:val="0"/>
          <w:numId w:val="1"/>
        </w:numPr>
        <w:rPr>
          <w:rFonts w:ascii="Calibri" w:hAnsi="Calibri" w:cs="Calibri"/>
          <w:sz w:val="18"/>
          <w:szCs w:val="18"/>
        </w:rPr>
      </w:pPr>
      <w:r w:rsidRPr="00307E20">
        <w:rPr>
          <w:rFonts w:ascii="Calibri" w:hAnsi="Calibri" w:cs="Calibri"/>
          <w:sz w:val="18"/>
          <w:szCs w:val="18"/>
        </w:rPr>
        <w:t>nazwę producenta i materiału do znakowania dróg,</w:t>
      </w:r>
    </w:p>
    <w:p w14:paraId="235294A9" w14:textId="77777777" w:rsidR="008C66DB" w:rsidRPr="00307E20" w:rsidRDefault="008C66DB" w:rsidP="008C66DB">
      <w:pPr>
        <w:numPr>
          <w:ilvl w:val="0"/>
          <w:numId w:val="1"/>
        </w:numPr>
        <w:rPr>
          <w:rFonts w:ascii="Calibri" w:hAnsi="Calibri" w:cs="Calibri"/>
          <w:sz w:val="18"/>
          <w:szCs w:val="18"/>
        </w:rPr>
      </w:pPr>
      <w:r w:rsidRPr="00307E20">
        <w:rPr>
          <w:rFonts w:ascii="Calibri" w:hAnsi="Calibri" w:cs="Calibri"/>
          <w:sz w:val="18"/>
          <w:szCs w:val="18"/>
        </w:rPr>
        <w:t>masę brutto i netto,</w:t>
      </w:r>
    </w:p>
    <w:p w14:paraId="321DE8B1" w14:textId="77777777" w:rsidR="008C66DB" w:rsidRPr="00307E20" w:rsidRDefault="008C66DB" w:rsidP="008C66DB">
      <w:pPr>
        <w:numPr>
          <w:ilvl w:val="0"/>
          <w:numId w:val="1"/>
        </w:numPr>
        <w:rPr>
          <w:rFonts w:ascii="Calibri" w:hAnsi="Calibri" w:cs="Calibri"/>
          <w:sz w:val="18"/>
          <w:szCs w:val="18"/>
        </w:rPr>
      </w:pPr>
      <w:r w:rsidRPr="00307E20">
        <w:rPr>
          <w:rFonts w:ascii="Calibri" w:hAnsi="Calibri" w:cs="Calibri"/>
          <w:sz w:val="18"/>
          <w:szCs w:val="18"/>
        </w:rPr>
        <w:t>numer partii i datę produkcji,</w:t>
      </w:r>
    </w:p>
    <w:p w14:paraId="4074AB36" w14:textId="77777777" w:rsidR="008C66DB" w:rsidRPr="00307E20" w:rsidRDefault="008C66DB" w:rsidP="008C66DB">
      <w:pPr>
        <w:numPr>
          <w:ilvl w:val="0"/>
          <w:numId w:val="1"/>
        </w:numPr>
        <w:rPr>
          <w:rFonts w:ascii="Calibri" w:hAnsi="Calibri" w:cs="Calibri"/>
          <w:sz w:val="18"/>
          <w:szCs w:val="18"/>
        </w:rPr>
      </w:pPr>
      <w:r w:rsidRPr="00307E20">
        <w:rPr>
          <w:rFonts w:ascii="Calibri" w:hAnsi="Calibri" w:cs="Calibri"/>
          <w:sz w:val="18"/>
          <w:szCs w:val="18"/>
        </w:rPr>
        <w:t>informację o szkodliwości i klasie zagrożenia pożarowego,</w:t>
      </w:r>
    </w:p>
    <w:p w14:paraId="56D91972" w14:textId="77777777" w:rsidR="008C66DB" w:rsidRPr="00307E20" w:rsidRDefault="008C66DB" w:rsidP="008C66DB">
      <w:pPr>
        <w:numPr>
          <w:ilvl w:val="0"/>
          <w:numId w:val="1"/>
        </w:numPr>
        <w:rPr>
          <w:rFonts w:ascii="Calibri" w:hAnsi="Calibri" w:cs="Calibri"/>
          <w:sz w:val="18"/>
          <w:szCs w:val="18"/>
        </w:rPr>
      </w:pPr>
      <w:r w:rsidRPr="00307E20">
        <w:rPr>
          <w:rFonts w:ascii="Calibri" w:hAnsi="Calibri" w:cs="Calibri"/>
          <w:sz w:val="18"/>
          <w:szCs w:val="18"/>
        </w:rPr>
        <w:t>ewentualne wskazówki dla użytkowników.</w:t>
      </w:r>
    </w:p>
    <w:p w14:paraId="61B21AA8" w14:textId="77777777" w:rsidR="008C66DB" w:rsidRPr="00307E20" w:rsidRDefault="008C66DB" w:rsidP="008C66DB">
      <w:pPr>
        <w:pStyle w:val="Nagwek4"/>
        <w:rPr>
          <w:rFonts w:ascii="Calibri" w:hAnsi="Calibri" w:cs="Calibri"/>
          <w:sz w:val="18"/>
          <w:szCs w:val="18"/>
        </w:rPr>
      </w:pPr>
      <w:bookmarkStart w:id="739" w:name="_Toc235079955"/>
      <w:r w:rsidRPr="00307E20">
        <w:rPr>
          <w:rFonts w:ascii="Calibri" w:hAnsi="Calibri" w:cs="Calibri"/>
          <w:sz w:val="18"/>
          <w:szCs w:val="18"/>
        </w:rPr>
        <w:t>2.5. Przepisy określające wymagania dla materiałów</w:t>
      </w:r>
      <w:bookmarkEnd w:id="739"/>
    </w:p>
    <w:p w14:paraId="08B57C9F" w14:textId="77777777" w:rsidR="008C66DB" w:rsidRPr="00307E20" w:rsidRDefault="008C66DB" w:rsidP="008C66DB">
      <w:pPr>
        <w:rPr>
          <w:rFonts w:ascii="Calibri" w:hAnsi="Calibri" w:cs="Calibri"/>
          <w:sz w:val="18"/>
          <w:szCs w:val="18"/>
        </w:rPr>
      </w:pPr>
      <w:r w:rsidRPr="00307E20">
        <w:rPr>
          <w:rFonts w:ascii="Calibri" w:hAnsi="Calibri" w:cs="Calibri"/>
          <w:sz w:val="18"/>
          <w:szCs w:val="18"/>
        </w:rPr>
        <w:t>Podstawowe wymagania dotyczące materiałów podano w punkcie 2.6, a szczegółowe wymagania określone są w „Warunkach technicznych POD-97”.</w:t>
      </w:r>
    </w:p>
    <w:p w14:paraId="357A8E38" w14:textId="77777777" w:rsidR="008C66DB" w:rsidRPr="00307E20" w:rsidRDefault="008C66DB" w:rsidP="008C66DB">
      <w:pPr>
        <w:pStyle w:val="Nagwek4"/>
        <w:rPr>
          <w:rFonts w:ascii="Calibri" w:hAnsi="Calibri" w:cs="Calibri"/>
          <w:sz w:val="18"/>
          <w:szCs w:val="18"/>
        </w:rPr>
      </w:pPr>
      <w:bookmarkStart w:id="740" w:name="_Toc235079956"/>
      <w:r w:rsidRPr="00307E20">
        <w:rPr>
          <w:rFonts w:ascii="Calibri" w:hAnsi="Calibri" w:cs="Calibri"/>
          <w:sz w:val="18"/>
          <w:szCs w:val="18"/>
        </w:rPr>
        <w:t>2.6. Wymagania wobec materiałów do poziomego znakowania dróg</w:t>
      </w:r>
      <w:bookmarkEnd w:id="740"/>
    </w:p>
    <w:p w14:paraId="39AEC57F" w14:textId="77777777" w:rsidR="008C66DB" w:rsidRPr="00307E20" w:rsidRDefault="008C66DB" w:rsidP="008C66DB">
      <w:pPr>
        <w:spacing w:after="120"/>
        <w:rPr>
          <w:rFonts w:ascii="Calibri" w:hAnsi="Calibri" w:cs="Calibri"/>
          <w:b/>
          <w:bCs/>
          <w:i/>
          <w:iCs/>
          <w:sz w:val="18"/>
          <w:szCs w:val="18"/>
        </w:rPr>
      </w:pPr>
      <w:r w:rsidRPr="00307E20">
        <w:rPr>
          <w:rFonts w:ascii="Calibri" w:hAnsi="Calibri" w:cs="Calibri"/>
          <w:b/>
          <w:bCs/>
          <w:i/>
          <w:iCs/>
          <w:sz w:val="18"/>
          <w:szCs w:val="18"/>
        </w:rPr>
        <w:t>2.6.1. Materiały do znakowania grubowarstwowego</w:t>
      </w:r>
    </w:p>
    <w:p w14:paraId="00DB7A19" w14:textId="77777777" w:rsidR="008C66DB" w:rsidRPr="00307E20" w:rsidRDefault="008C66DB" w:rsidP="008C66DB">
      <w:pPr>
        <w:rPr>
          <w:rFonts w:ascii="Calibri" w:hAnsi="Calibri" w:cs="Calibri"/>
          <w:sz w:val="18"/>
          <w:szCs w:val="18"/>
        </w:rPr>
      </w:pPr>
      <w:r w:rsidRPr="00307E20">
        <w:rPr>
          <w:rFonts w:ascii="Calibri" w:hAnsi="Calibri" w:cs="Calibri"/>
          <w:sz w:val="18"/>
          <w:szCs w:val="18"/>
        </w:rPr>
        <w:t>Materiałami do znakowania grubowarstwowego powinny być materiały umożliwiające nakładanie ich warstwą grubości od 0,9 mm do 5 mm, jak masy chemoutwardzalne stosowane na zimno.</w:t>
      </w:r>
    </w:p>
    <w:p w14:paraId="7EE7C634" w14:textId="77777777" w:rsidR="008C66DB" w:rsidRPr="00307E20" w:rsidRDefault="008C66DB" w:rsidP="008C66DB">
      <w:pPr>
        <w:rPr>
          <w:rFonts w:ascii="Calibri" w:hAnsi="Calibri" w:cs="Calibri"/>
          <w:sz w:val="18"/>
          <w:szCs w:val="18"/>
        </w:rPr>
      </w:pPr>
      <w:r w:rsidRPr="00307E20">
        <w:rPr>
          <w:rFonts w:ascii="Calibri" w:hAnsi="Calibri" w:cs="Calibri"/>
          <w:sz w:val="18"/>
          <w:szCs w:val="18"/>
        </w:rPr>
        <w:t>Masy chemoutwardzalne powinny być substancjami jedno- lub dwuskładnikowymi, mieszanymi ze sobą w proporcjach ustalonych przez producenta i nakładanymi na nawierzchnię odpowiednim aplikatorem. Masy te powinny tworzyć warstwę kohezyjną w wyniku reakcji chemicznej.</w:t>
      </w:r>
    </w:p>
    <w:p w14:paraId="1CABB0C8" w14:textId="77777777" w:rsidR="008C66DB" w:rsidRPr="00307E20" w:rsidRDefault="008C66DB" w:rsidP="008C66DB">
      <w:pPr>
        <w:spacing w:after="120"/>
        <w:rPr>
          <w:rFonts w:ascii="Calibri" w:hAnsi="Calibri" w:cs="Calibri"/>
          <w:sz w:val="18"/>
          <w:szCs w:val="18"/>
        </w:rPr>
      </w:pPr>
      <w:r w:rsidRPr="00307E20">
        <w:rPr>
          <w:rFonts w:ascii="Calibri" w:hAnsi="Calibri" w:cs="Calibri"/>
          <w:sz w:val="18"/>
          <w:szCs w:val="18"/>
        </w:rPr>
        <w:t>Właściwości fizyczne materiałów do znakowania grubowarstwowego i wykonanych z nich elementów prefabrykowanych określa aprobata techniczna, odpowiadająca wymaganiom POD-97.</w:t>
      </w:r>
    </w:p>
    <w:p w14:paraId="01A9994A" w14:textId="77777777" w:rsidR="008C66DB" w:rsidRPr="00307E20" w:rsidRDefault="008C66DB" w:rsidP="008C66DB">
      <w:pPr>
        <w:rPr>
          <w:rFonts w:ascii="Calibri" w:hAnsi="Calibri" w:cs="Calibri"/>
          <w:b/>
          <w:bCs/>
          <w:i/>
          <w:iCs/>
          <w:sz w:val="18"/>
          <w:szCs w:val="18"/>
        </w:rPr>
      </w:pPr>
      <w:r w:rsidRPr="00307E20">
        <w:rPr>
          <w:rFonts w:ascii="Calibri" w:hAnsi="Calibri" w:cs="Calibri"/>
          <w:b/>
          <w:bCs/>
          <w:i/>
          <w:iCs/>
          <w:sz w:val="18"/>
          <w:szCs w:val="18"/>
        </w:rPr>
        <w:t>2.6.2. Zawartość   składników   lotnych  w  materiałach   do  znakowania   grubowarstwowego</w:t>
      </w:r>
    </w:p>
    <w:p w14:paraId="626A5AF0" w14:textId="77777777" w:rsidR="008C66DB" w:rsidRPr="00307E20" w:rsidRDefault="008C66DB" w:rsidP="008C66DB">
      <w:pPr>
        <w:rPr>
          <w:rFonts w:ascii="Calibri" w:hAnsi="Calibri" w:cs="Calibri"/>
          <w:sz w:val="18"/>
          <w:szCs w:val="18"/>
        </w:rPr>
      </w:pPr>
      <w:r w:rsidRPr="00307E20">
        <w:rPr>
          <w:rFonts w:ascii="Calibri" w:hAnsi="Calibri" w:cs="Calibri"/>
          <w:sz w:val="18"/>
          <w:szCs w:val="18"/>
        </w:rPr>
        <w:t>Zawartość składników lotnych (rozpuszczalników organicznych) nie powinna przekraczać w materiałach do znakowania:</w:t>
      </w:r>
    </w:p>
    <w:p w14:paraId="252F85BA" w14:textId="77777777" w:rsidR="008C66DB" w:rsidRPr="00307E20" w:rsidRDefault="008C66DB" w:rsidP="008C66DB">
      <w:pPr>
        <w:numPr>
          <w:ilvl w:val="0"/>
          <w:numId w:val="1"/>
        </w:numPr>
        <w:rPr>
          <w:rFonts w:ascii="Calibri" w:hAnsi="Calibri" w:cs="Calibri"/>
          <w:sz w:val="18"/>
          <w:szCs w:val="18"/>
        </w:rPr>
      </w:pPr>
      <w:r w:rsidRPr="00307E20">
        <w:rPr>
          <w:rFonts w:ascii="Calibri" w:hAnsi="Calibri" w:cs="Calibri"/>
          <w:sz w:val="18"/>
          <w:szCs w:val="18"/>
        </w:rPr>
        <w:t>grubowarstwowego 2% (m/m).</w:t>
      </w:r>
    </w:p>
    <w:p w14:paraId="2B29FC06" w14:textId="77777777" w:rsidR="008C66DB" w:rsidRPr="00307E20" w:rsidRDefault="008C66DB" w:rsidP="008C66DB">
      <w:pPr>
        <w:rPr>
          <w:rFonts w:ascii="Calibri" w:hAnsi="Calibri" w:cs="Calibri"/>
          <w:sz w:val="18"/>
          <w:szCs w:val="18"/>
        </w:rPr>
      </w:pPr>
      <w:r w:rsidRPr="00307E20">
        <w:rPr>
          <w:rFonts w:ascii="Calibri" w:hAnsi="Calibri" w:cs="Calibri"/>
          <w:sz w:val="18"/>
          <w:szCs w:val="18"/>
        </w:rPr>
        <w:t>Nie dopuszcza się stosowania materiałów zawierających rozpuszczalnik aromatyczny (jak np. toluen, ksylen) w ilości większej niż 10%. Nie dopuszcza się stosowania materiałów zawierających benzen i rozpuszczalniki chlorowane.</w:t>
      </w:r>
    </w:p>
    <w:p w14:paraId="04B648A7" w14:textId="77777777" w:rsidR="008C66DB" w:rsidRPr="00307E20" w:rsidRDefault="008C66DB" w:rsidP="008C66DB">
      <w:pPr>
        <w:spacing w:before="120"/>
        <w:rPr>
          <w:rFonts w:ascii="Calibri" w:hAnsi="Calibri" w:cs="Calibri"/>
          <w:b/>
          <w:bCs/>
          <w:i/>
          <w:iCs/>
          <w:sz w:val="18"/>
          <w:szCs w:val="18"/>
        </w:rPr>
      </w:pPr>
    </w:p>
    <w:p w14:paraId="600DD34E" w14:textId="77777777" w:rsidR="008C66DB" w:rsidRPr="00307E20" w:rsidRDefault="008C66DB" w:rsidP="008C66DB">
      <w:pPr>
        <w:spacing w:before="120"/>
        <w:rPr>
          <w:rFonts w:ascii="Calibri" w:hAnsi="Calibri" w:cs="Calibri"/>
          <w:b/>
          <w:bCs/>
          <w:i/>
          <w:iCs/>
          <w:sz w:val="18"/>
          <w:szCs w:val="18"/>
        </w:rPr>
      </w:pPr>
      <w:r w:rsidRPr="00307E20">
        <w:rPr>
          <w:rFonts w:ascii="Calibri" w:hAnsi="Calibri" w:cs="Calibri"/>
          <w:b/>
          <w:bCs/>
          <w:i/>
          <w:iCs/>
          <w:sz w:val="18"/>
          <w:szCs w:val="18"/>
        </w:rPr>
        <w:t>2.6.3. Kulki szklane</w:t>
      </w:r>
    </w:p>
    <w:p w14:paraId="0D7050B9" w14:textId="77777777" w:rsidR="008C66DB" w:rsidRPr="00307E20" w:rsidRDefault="008C66DB" w:rsidP="008C66DB">
      <w:pPr>
        <w:spacing w:before="120"/>
        <w:rPr>
          <w:rFonts w:ascii="Calibri" w:hAnsi="Calibri" w:cs="Calibri"/>
          <w:sz w:val="18"/>
          <w:szCs w:val="18"/>
        </w:rPr>
      </w:pPr>
      <w:r w:rsidRPr="00307E20">
        <w:rPr>
          <w:rFonts w:ascii="Calibri" w:hAnsi="Calibri" w:cs="Calibri"/>
          <w:sz w:val="18"/>
          <w:szCs w:val="18"/>
        </w:rPr>
        <w:t>Materiały w postaci kulek szklanych refleksyjnych do posypywania lub narzucania pod ciśnieniem na materiały do oznakowania powinny zapewniać widzialność w nocy poprzez odbicie powrotne w kierunku pojazdu wiązki światła wysyłanej przez reflektory pojazdu.</w:t>
      </w:r>
    </w:p>
    <w:p w14:paraId="28D58693" w14:textId="77777777" w:rsidR="008C66DB" w:rsidRPr="00307E20" w:rsidRDefault="008C66DB" w:rsidP="008C66DB">
      <w:pPr>
        <w:rPr>
          <w:rFonts w:ascii="Calibri" w:hAnsi="Calibri" w:cs="Calibri"/>
          <w:sz w:val="18"/>
          <w:szCs w:val="18"/>
        </w:rPr>
      </w:pPr>
      <w:r w:rsidRPr="00307E20">
        <w:rPr>
          <w:rFonts w:ascii="Calibri" w:hAnsi="Calibri" w:cs="Calibri"/>
          <w:sz w:val="18"/>
          <w:szCs w:val="18"/>
        </w:rPr>
        <w:t>Kulki szklane powinny charakteryzować się współczynnikiem załamania powyżej 1,50, wykazywać odporność na wodę i zawierać nie więcej niż 20% kulek z defektami.</w:t>
      </w:r>
    </w:p>
    <w:p w14:paraId="2298862D" w14:textId="77777777" w:rsidR="008C66DB" w:rsidRPr="00307E20" w:rsidRDefault="008C66DB" w:rsidP="008C66DB">
      <w:pPr>
        <w:rPr>
          <w:rFonts w:ascii="Calibri" w:hAnsi="Calibri" w:cs="Calibri"/>
          <w:sz w:val="18"/>
          <w:szCs w:val="18"/>
        </w:rPr>
      </w:pPr>
      <w:r w:rsidRPr="00307E20">
        <w:rPr>
          <w:rFonts w:ascii="Calibri" w:hAnsi="Calibri" w:cs="Calibri"/>
          <w:sz w:val="18"/>
          <w:szCs w:val="18"/>
        </w:rPr>
        <w:t>Kulki szklane hydrofobizowane powinny ponadto wykazywać stopień hydrofobizacji co najmniej 80%.</w:t>
      </w:r>
    </w:p>
    <w:p w14:paraId="50603ED8" w14:textId="77777777" w:rsidR="008C66DB" w:rsidRPr="00307E20" w:rsidRDefault="008C66DB" w:rsidP="008C66DB">
      <w:pPr>
        <w:rPr>
          <w:rFonts w:ascii="Calibri" w:hAnsi="Calibri" w:cs="Calibri"/>
          <w:sz w:val="18"/>
          <w:szCs w:val="18"/>
        </w:rPr>
      </w:pPr>
      <w:r w:rsidRPr="00307E20">
        <w:rPr>
          <w:rFonts w:ascii="Calibri" w:hAnsi="Calibri" w:cs="Calibri"/>
          <w:sz w:val="18"/>
          <w:szCs w:val="18"/>
        </w:rPr>
        <w:t>Właściwości kulek szklanych określa aprobata techniczna, odpowiadająca wymaganiom POD-97.</w:t>
      </w:r>
    </w:p>
    <w:p w14:paraId="1757BDC9" w14:textId="77777777" w:rsidR="008C66DB" w:rsidRPr="00307E20" w:rsidRDefault="008C66DB" w:rsidP="008C66DB">
      <w:pPr>
        <w:spacing w:before="120"/>
        <w:rPr>
          <w:rFonts w:ascii="Calibri" w:hAnsi="Calibri" w:cs="Calibri"/>
          <w:b/>
          <w:bCs/>
          <w:i/>
          <w:iCs/>
          <w:sz w:val="18"/>
          <w:szCs w:val="18"/>
        </w:rPr>
      </w:pPr>
      <w:r w:rsidRPr="00307E20">
        <w:rPr>
          <w:rFonts w:ascii="Calibri" w:hAnsi="Calibri" w:cs="Calibri"/>
          <w:b/>
          <w:bCs/>
          <w:i/>
          <w:iCs/>
          <w:sz w:val="18"/>
          <w:szCs w:val="18"/>
        </w:rPr>
        <w:t>2.6.4. Punktowe elementy odblaskowe</w:t>
      </w:r>
    </w:p>
    <w:p w14:paraId="1C188F47" w14:textId="77777777" w:rsidR="008C66DB" w:rsidRPr="00307E20" w:rsidRDefault="008C66DB" w:rsidP="008C66DB">
      <w:pPr>
        <w:spacing w:before="120"/>
        <w:rPr>
          <w:rFonts w:ascii="Calibri" w:hAnsi="Calibri" w:cs="Calibri"/>
          <w:sz w:val="18"/>
          <w:szCs w:val="18"/>
        </w:rPr>
      </w:pPr>
      <w:r w:rsidRPr="00307E20">
        <w:rPr>
          <w:rFonts w:ascii="Calibri" w:hAnsi="Calibri" w:cs="Calibri"/>
          <w:sz w:val="18"/>
          <w:szCs w:val="18"/>
        </w:rPr>
        <w:t>Punktowym elementem odblaskowym powinna być naklejana, kotwiczona lub wbudowana w nawierzchnię płytka z materiału wytrzymującego przejazdy pojazdów samochodowych, zawierająca element odblaskowy umieszczony w ten sposób, aby zapewniał widzialność w nocy, a także w czasie opadów deszczu.</w:t>
      </w:r>
    </w:p>
    <w:p w14:paraId="753D66AA" w14:textId="77777777" w:rsidR="008C66DB" w:rsidRPr="00307E20" w:rsidRDefault="008C66DB" w:rsidP="008C66DB">
      <w:pPr>
        <w:rPr>
          <w:rFonts w:ascii="Calibri" w:hAnsi="Calibri" w:cs="Calibri"/>
          <w:sz w:val="18"/>
          <w:szCs w:val="18"/>
        </w:rPr>
      </w:pPr>
      <w:r w:rsidRPr="00307E20">
        <w:rPr>
          <w:rFonts w:ascii="Calibri" w:hAnsi="Calibri" w:cs="Calibri"/>
          <w:sz w:val="18"/>
          <w:szCs w:val="18"/>
        </w:rPr>
        <w:t>Element odblaskowy (retroreflektor), będący częścią punktowego elementu odblaskowego może być:</w:t>
      </w:r>
    </w:p>
    <w:p w14:paraId="4F9879B9" w14:textId="77777777" w:rsidR="008C66DB" w:rsidRPr="00307E20" w:rsidRDefault="008C66DB" w:rsidP="008C66DB">
      <w:pPr>
        <w:numPr>
          <w:ilvl w:val="0"/>
          <w:numId w:val="1"/>
        </w:numPr>
        <w:rPr>
          <w:rFonts w:ascii="Calibri" w:hAnsi="Calibri" w:cs="Calibri"/>
          <w:sz w:val="18"/>
          <w:szCs w:val="18"/>
        </w:rPr>
      </w:pPr>
      <w:r w:rsidRPr="00307E20">
        <w:rPr>
          <w:rFonts w:ascii="Calibri" w:hAnsi="Calibri" w:cs="Calibri"/>
          <w:sz w:val="18"/>
          <w:szCs w:val="18"/>
        </w:rPr>
        <w:t>szklany lub plastikowy w całości lub z dodatkową warstwą odbijającą znajdującą się na powierzchni nie wystawionej na zewnątrz i nie narażoną na przejeżdżanie pojazdów,</w:t>
      </w:r>
    </w:p>
    <w:p w14:paraId="278292B0" w14:textId="77777777" w:rsidR="008C66DB" w:rsidRPr="00307E20" w:rsidRDefault="008C66DB" w:rsidP="008C66DB">
      <w:pPr>
        <w:numPr>
          <w:ilvl w:val="0"/>
          <w:numId w:val="1"/>
        </w:numPr>
        <w:rPr>
          <w:rFonts w:ascii="Calibri" w:hAnsi="Calibri" w:cs="Calibri"/>
          <w:sz w:val="18"/>
          <w:szCs w:val="18"/>
        </w:rPr>
      </w:pPr>
      <w:r w:rsidRPr="00307E20">
        <w:rPr>
          <w:rFonts w:ascii="Calibri" w:hAnsi="Calibri" w:cs="Calibri"/>
          <w:sz w:val="18"/>
          <w:szCs w:val="18"/>
        </w:rPr>
        <w:t>plastikowy z warstwą zabezpieczającą przed ścieraniem, który może mieć warstwę odbijającą tylko w miejscu nie wystawionym na ruch i w którym powierzchnie wystawione na ruch są zabezpieczone warstwami odpornymi na ścieranie.</w:t>
      </w:r>
    </w:p>
    <w:p w14:paraId="574233AA" w14:textId="77777777" w:rsidR="008C66DB" w:rsidRPr="00307E20" w:rsidRDefault="008C66DB" w:rsidP="008C66DB">
      <w:pPr>
        <w:rPr>
          <w:rFonts w:ascii="Calibri" w:hAnsi="Calibri" w:cs="Calibri"/>
          <w:sz w:val="18"/>
          <w:szCs w:val="18"/>
        </w:rPr>
      </w:pPr>
      <w:r w:rsidRPr="00307E20">
        <w:rPr>
          <w:rFonts w:ascii="Calibri" w:hAnsi="Calibri" w:cs="Calibri"/>
          <w:sz w:val="18"/>
          <w:szCs w:val="18"/>
        </w:rPr>
        <w:t>Profil punktowego elementu odblaskowego nie powinien mieć żadnych ostrych krawędzi od strony najeżdżanej przez pojazdy. Jeśli punktowy element odblaskowy jest wykonany z dwu lub więcej części, każda z nich powinna być usuwalna tylko za pomocą narzędzi polecanych przez producenta. Wysokość punktowego elementu nie może być większa od 25 mm. Barwa, w przypadku oznakowania trwałego, powinna być biała lub srebrzysta, a dla oznakowania czasowego - żółta.</w:t>
      </w:r>
    </w:p>
    <w:p w14:paraId="21C4F6C6" w14:textId="77777777" w:rsidR="008C66DB" w:rsidRPr="00307E20" w:rsidRDefault="008C66DB" w:rsidP="008C66DB">
      <w:pPr>
        <w:rPr>
          <w:rFonts w:ascii="Calibri" w:hAnsi="Calibri" w:cs="Calibri"/>
          <w:sz w:val="18"/>
          <w:szCs w:val="18"/>
        </w:rPr>
      </w:pPr>
      <w:r w:rsidRPr="00307E20">
        <w:rPr>
          <w:rFonts w:ascii="Calibri" w:hAnsi="Calibri" w:cs="Calibri"/>
          <w:sz w:val="18"/>
          <w:szCs w:val="18"/>
        </w:rPr>
        <w:t>Właściwości punktowego elementu odblaskowego określa aprobata techniczna, odpowiadająca wymaganiom POD-97.</w:t>
      </w:r>
    </w:p>
    <w:p w14:paraId="1C3BC0A1" w14:textId="77777777" w:rsidR="008C66DB" w:rsidRPr="00307E20" w:rsidRDefault="008C66DB" w:rsidP="008C66DB">
      <w:pPr>
        <w:spacing w:before="120"/>
        <w:rPr>
          <w:rFonts w:ascii="Calibri" w:hAnsi="Calibri" w:cs="Calibri"/>
          <w:b/>
          <w:bCs/>
          <w:i/>
          <w:iCs/>
          <w:sz w:val="18"/>
          <w:szCs w:val="18"/>
        </w:rPr>
      </w:pPr>
      <w:r w:rsidRPr="00307E20">
        <w:rPr>
          <w:rFonts w:ascii="Calibri" w:hAnsi="Calibri" w:cs="Calibri"/>
          <w:b/>
          <w:bCs/>
          <w:i/>
          <w:iCs/>
          <w:sz w:val="18"/>
          <w:szCs w:val="18"/>
        </w:rPr>
        <w:t>2.6.5. Wymagania wobec materiałów ze względu na ochronę warunków pracy i środowiska</w:t>
      </w:r>
    </w:p>
    <w:p w14:paraId="3B59AAE5" w14:textId="77777777" w:rsidR="008C66DB" w:rsidRPr="00307E20" w:rsidRDefault="008C66DB" w:rsidP="008C66DB">
      <w:pPr>
        <w:spacing w:before="120"/>
        <w:rPr>
          <w:rFonts w:ascii="Calibri" w:hAnsi="Calibri" w:cs="Calibri"/>
          <w:sz w:val="18"/>
          <w:szCs w:val="18"/>
        </w:rPr>
      </w:pPr>
      <w:r w:rsidRPr="00307E20">
        <w:rPr>
          <w:rFonts w:ascii="Calibri" w:hAnsi="Calibri" w:cs="Calibri"/>
          <w:sz w:val="18"/>
          <w:szCs w:val="18"/>
        </w:rPr>
        <w:t>Materiały stosowane do znakowania nawierzchni nie powinny zawierać substancji zagrażających zdrowiu ludzi i powodujących skażenie środowiska.</w:t>
      </w:r>
    </w:p>
    <w:p w14:paraId="79FDD4D3" w14:textId="77777777" w:rsidR="008C66DB" w:rsidRPr="00307E20" w:rsidRDefault="008C66DB" w:rsidP="008C66DB">
      <w:pPr>
        <w:pStyle w:val="Nagwek4"/>
        <w:rPr>
          <w:rFonts w:ascii="Calibri" w:hAnsi="Calibri" w:cs="Calibri"/>
          <w:sz w:val="18"/>
          <w:szCs w:val="18"/>
        </w:rPr>
      </w:pPr>
      <w:bookmarkStart w:id="741" w:name="_Toc235079957"/>
      <w:r w:rsidRPr="00307E20">
        <w:rPr>
          <w:rFonts w:ascii="Calibri" w:hAnsi="Calibri" w:cs="Calibri"/>
          <w:sz w:val="18"/>
          <w:szCs w:val="18"/>
        </w:rPr>
        <w:t>2.7. Przechowywanie i składowanie materiałów</w:t>
      </w:r>
      <w:bookmarkEnd w:id="741"/>
    </w:p>
    <w:p w14:paraId="19DAA75A" w14:textId="77777777" w:rsidR="008C66DB" w:rsidRPr="00307E20" w:rsidRDefault="008C66DB" w:rsidP="008C66DB">
      <w:pPr>
        <w:rPr>
          <w:rFonts w:ascii="Calibri" w:hAnsi="Calibri" w:cs="Calibri"/>
          <w:sz w:val="18"/>
          <w:szCs w:val="18"/>
        </w:rPr>
      </w:pPr>
      <w:r w:rsidRPr="00307E20">
        <w:rPr>
          <w:rFonts w:ascii="Calibri" w:hAnsi="Calibri" w:cs="Calibri"/>
          <w:sz w:val="18"/>
          <w:szCs w:val="18"/>
        </w:rPr>
        <w:t>Materiały do znakowania cienko- i grubowarstwowego nawierzchni powinny zachować stałość swoich właściwości chemicznych i fizykochemicznych przez okres co najmniej 6 miesięcy składowania w warunkach określonych przez producenta.</w:t>
      </w:r>
    </w:p>
    <w:p w14:paraId="7452F58B" w14:textId="77777777" w:rsidR="008C66DB" w:rsidRPr="00307E20" w:rsidRDefault="008C66DB" w:rsidP="008C66DB">
      <w:pPr>
        <w:rPr>
          <w:rFonts w:ascii="Calibri" w:hAnsi="Calibri" w:cs="Calibri"/>
          <w:sz w:val="18"/>
          <w:szCs w:val="18"/>
        </w:rPr>
      </w:pPr>
      <w:r w:rsidRPr="00307E20">
        <w:rPr>
          <w:rFonts w:ascii="Calibri" w:hAnsi="Calibri" w:cs="Calibri"/>
          <w:sz w:val="18"/>
          <w:szCs w:val="18"/>
        </w:rPr>
        <w:t>Materiały do poziomego znakowania dróg należy przechowywać w magazynach odpowiadających zaleceniom producenta, zwłaszcza zabezpieczających je od napromieniowania słonecznego, opadów i w temperaturze, dla:</w:t>
      </w:r>
    </w:p>
    <w:p w14:paraId="2DA2CB23" w14:textId="77777777" w:rsidR="008C66DB" w:rsidRPr="00307E20" w:rsidRDefault="008C66DB" w:rsidP="00262498">
      <w:pPr>
        <w:numPr>
          <w:ilvl w:val="0"/>
          <w:numId w:val="23"/>
        </w:numPr>
        <w:rPr>
          <w:rFonts w:ascii="Calibri" w:hAnsi="Calibri" w:cs="Calibri"/>
          <w:sz w:val="18"/>
          <w:szCs w:val="18"/>
        </w:rPr>
      </w:pPr>
      <w:r w:rsidRPr="00307E20">
        <w:rPr>
          <w:rFonts w:ascii="Calibri" w:hAnsi="Calibri" w:cs="Calibri"/>
          <w:sz w:val="18"/>
          <w:szCs w:val="18"/>
        </w:rPr>
        <w:t>farb wodorozcieńczalnych od 5</w:t>
      </w:r>
      <w:r w:rsidRPr="00307E20">
        <w:rPr>
          <w:rFonts w:ascii="Calibri" w:hAnsi="Calibri" w:cs="Calibri"/>
          <w:sz w:val="18"/>
          <w:szCs w:val="18"/>
          <w:vertAlign w:val="superscript"/>
        </w:rPr>
        <w:t>o</w:t>
      </w:r>
      <w:r w:rsidRPr="00307E20">
        <w:rPr>
          <w:rFonts w:ascii="Calibri" w:hAnsi="Calibri" w:cs="Calibri"/>
          <w:sz w:val="18"/>
          <w:szCs w:val="18"/>
        </w:rPr>
        <w:t xml:space="preserve"> do 40</w:t>
      </w:r>
      <w:r w:rsidRPr="00307E20">
        <w:rPr>
          <w:rFonts w:ascii="Calibri" w:hAnsi="Calibri" w:cs="Calibri"/>
          <w:sz w:val="18"/>
          <w:szCs w:val="18"/>
          <w:vertAlign w:val="superscript"/>
        </w:rPr>
        <w:t>o</w:t>
      </w:r>
      <w:r w:rsidRPr="00307E20">
        <w:rPr>
          <w:rFonts w:ascii="Calibri" w:hAnsi="Calibri" w:cs="Calibri"/>
          <w:sz w:val="18"/>
          <w:szCs w:val="18"/>
        </w:rPr>
        <w:t>C,</w:t>
      </w:r>
    </w:p>
    <w:p w14:paraId="5957B815" w14:textId="77777777" w:rsidR="008C66DB" w:rsidRPr="00307E20" w:rsidRDefault="008C66DB" w:rsidP="00262498">
      <w:pPr>
        <w:numPr>
          <w:ilvl w:val="0"/>
          <w:numId w:val="23"/>
        </w:numPr>
        <w:rPr>
          <w:rFonts w:ascii="Calibri" w:hAnsi="Calibri" w:cs="Calibri"/>
          <w:sz w:val="18"/>
          <w:szCs w:val="18"/>
        </w:rPr>
      </w:pPr>
      <w:r w:rsidRPr="00307E20">
        <w:rPr>
          <w:rFonts w:ascii="Calibri" w:hAnsi="Calibri" w:cs="Calibri"/>
          <w:sz w:val="18"/>
          <w:szCs w:val="18"/>
        </w:rPr>
        <w:t>farb rozpuszczalnikowych od 0</w:t>
      </w:r>
      <w:r w:rsidRPr="00307E20">
        <w:rPr>
          <w:rFonts w:ascii="Calibri" w:hAnsi="Calibri" w:cs="Calibri"/>
          <w:sz w:val="18"/>
          <w:szCs w:val="18"/>
          <w:vertAlign w:val="superscript"/>
        </w:rPr>
        <w:t>o</w:t>
      </w:r>
      <w:r w:rsidRPr="00307E20">
        <w:rPr>
          <w:rFonts w:ascii="Calibri" w:hAnsi="Calibri" w:cs="Calibri"/>
          <w:sz w:val="18"/>
          <w:szCs w:val="18"/>
        </w:rPr>
        <w:t xml:space="preserve"> do 25</w:t>
      </w:r>
      <w:r w:rsidRPr="00307E20">
        <w:rPr>
          <w:rFonts w:ascii="Calibri" w:hAnsi="Calibri" w:cs="Calibri"/>
          <w:sz w:val="18"/>
          <w:szCs w:val="18"/>
          <w:vertAlign w:val="superscript"/>
        </w:rPr>
        <w:t>o</w:t>
      </w:r>
      <w:r w:rsidRPr="00307E20">
        <w:rPr>
          <w:rFonts w:ascii="Calibri" w:hAnsi="Calibri" w:cs="Calibri"/>
          <w:sz w:val="18"/>
          <w:szCs w:val="18"/>
        </w:rPr>
        <w:t>C,</w:t>
      </w:r>
    </w:p>
    <w:p w14:paraId="153DEA94" w14:textId="77777777" w:rsidR="008C66DB" w:rsidRPr="00307E20" w:rsidRDefault="008C66DB" w:rsidP="00262498">
      <w:pPr>
        <w:numPr>
          <w:ilvl w:val="0"/>
          <w:numId w:val="23"/>
        </w:numPr>
        <w:spacing w:after="120"/>
        <w:ind w:left="284" w:hanging="284"/>
        <w:rPr>
          <w:rFonts w:ascii="Calibri" w:hAnsi="Calibri" w:cs="Calibri"/>
          <w:sz w:val="18"/>
          <w:szCs w:val="18"/>
        </w:rPr>
      </w:pPr>
      <w:r w:rsidRPr="00307E20">
        <w:rPr>
          <w:rFonts w:ascii="Calibri" w:hAnsi="Calibri" w:cs="Calibri"/>
          <w:sz w:val="18"/>
          <w:szCs w:val="18"/>
        </w:rPr>
        <w:t>pozostałych materiałów - poniżej 40</w:t>
      </w:r>
      <w:r w:rsidRPr="00307E20">
        <w:rPr>
          <w:rFonts w:ascii="Calibri" w:hAnsi="Calibri" w:cs="Calibri"/>
          <w:sz w:val="18"/>
          <w:szCs w:val="18"/>
          <w:vertAlign w:val="superscript"/>
        </w:rPr>
        <w:t>o</w:t>
      </w:r>
      <w:r w:rsidRPr="00307E20">
        <w:rPr>
          <w:rFonts w:ascii="Calibri" w:hAnsi="Calibri" w:cs="Calibri"/>
          <w:sz w:val="18"/>
          <w:szCs w:val="18"/>
        </w:rPr>
        <w:t>C.</w:t>
      </w:r>
    </w:p>
    <w:p w14:paraId="035CE74B" w14:textId="77777777" w:rsidR="008C66DB" w:rsidRPr="00307E20" w:rsidRDefault="008C66DB" w:rsidP="008C66DB">
      <w:pPr>
        <w:rPr>
          <w:rFonts w:ascii="Calibri" w:hAnsi="Calibri" w:cs="Calibri"/>
          <w:b/>
          <w:sz w:val="18"/>
          <w:szCs w:val="18"/>
        </w:rPr>
      </w:pPr>
      <w:bookmarkStart w:id="742" w:name="_Toc420816682"/>
      <w:bookmarkStart w:id="743" w:name="_Toc235079958"/>
    </w:p>
    <w:p w14:paraId="1E21CC37" w14:textId="77777777" w:rsidR="008C66DB" w:rsidRPr="00307E20" w:rsidRDefault="008C66DB" w:rsidP="008C66DB">
      <w:pPr>
        <w:rPr>
          <w:rFonts w:ascii="Calibri" w:hAnsi="Calibri" w:cs="Calibri"/>
          <w:b/>
          <w:sz w:val="18"/>
          <w:szCs w:val="18"/>
        </w:rPr>
      </w:pPr>
      <w:r w:rsidRPr="00307E20">
        <w:rPr>
          <w:rFonts w:ascii="Calibri" w:hAnsi="Calibri" w:cs="Calibri"/>
          <w:b/>
          <w:sz w:val="18"/>
          <w:szCs w:val="18"/>
        </w:rPr>
        <w:t xml:space="preserve">3. </w:t>
      </w:r>
      <w:bookmarkEnd w:id="742"/>
      <w:bookmarkEnd w:id="743"/>
      <w:r w:rsidRPr="00307E20">
        <w:rPr>
          <w:rFonts w:ascii="Calibri" w:hAnsi="Calibri" w:cs="Calibri"/>
          <w:b/>
          <w:sz w:val="18"/>
          <w:szCs w:val="18"/>
        </w:rPr>
        <w:t>SPRZĘT</w:t>
      </w:r>
    </w:p>
    <w:p w14:paraId="11A414A7" w14:textId="77777777" w:rsidR="008C66DB" w:rsidRPr="00307E20" w:rsidRDefault="008C66DB" w:rsidP="008C66DB">
      <w:pPr>
        <w:pStyle w:val="Nagwek4"/>
        <w:rPr>
          <w:rFonts w:ascii="Calibri" w:hAnsi="Calibri" w:cs="Calibri"/>
          <w:sz w:val="18"/>
          <w:szCs w:val="18"/>
        </w:rPr>
      </w:pPr>
      <w:bookmarkStart w:id="744" w:name="_Toc235079959"/>
      <w:r w:rsidRPr="00307E20">
        <w:rPr>
          <w:rFonts w:ascii="Calibri" w:hAnsi="Calibri" w:cs="Calibri"/>
          <w:sz w:val="18"/>
          <w:szCs w:val="18"/>
        </w:rPr>
        <w:t>3.1. Ogólne wymagania dotyczące sprzętu</w:t>
      </w:r>
      <w:bookmarkEnd w:id="744"/>
    </w:p>
    <w:p w14:paraId="5EB906C2" w14:textId="37E857EE" w:rsidR="008C66DB" w:rsidRPr="00307E20" w:rsidRDefault="008C66DB" w:rsidP="008C66DB">
      <w:pPr>
        <w:rPr>
          <w:rFonts w:ascii="Calibri" w:hAnsi="Calibri" w:cs="Calibri"/>
          <w:sz w:val="18"/>
          <w:szCs w:val="18"/>
        </w:rPr>
      </w:pPr>
      <w:r w:rsidRPr="00307E20">
        <w:rPr>
          <w:rFonts w:ascii="Calibri" w:hAnsi="Calibri" w:cs="Calibri"/>
          <w:sz w:val="18"/>
          <w:szCs w:val="18"/>
        </w:rPr>
        <w:t xml:space="preserve">Ogólne wymagania dotyczące sprzętu podano w </w:t>
      </w:r>
      <w:r w:rsidR="00C006BE">
        <w:rPr>
          <w:rFonts w:ascii="Calibri" w:hAnsi="Calibri" w:cs="Calibri"/>
          <w:sz w:val="18"/>
          <w:szCs w:val="18"/>
        </w:rPr>
        <w:t>ST</w:t>
      </w:r>
      <w:r w:rsidRPr="00307E20">
        <w:rPr>
          <w:rFonts w:ascii="Calibri" w:hAnsi="Calibri" w:cs="Calibri"/>
          <w:sz w:val="18"/>
          <w:szCs w:val="18"/>
        </w:rPr>
        <w:t>WiORB D-M-00.00.00 „Wymagania ogólne” pkt 3.</w:t>
      </w:r>
    </w:p>
    <w:p w14:paraId="7B45343D" w14:textId="77777777" w:rsidR="008C66DB" w:rsidRPr="00307E20" w:rsidRDefault="008C66DB" w:rsidP="008C66DB">
      <w:pPr>
        <w:pStyle w:val="Nagwek4"/>
        <w:rPr>
          <w:rFonts w:ascii="Calibri" w:hAnsi="Calibri" w:cs="Calibri"/>
          <w:sz w:val="18"/>
          <w:szCs w:val="18"/>
        </w:rPr>
      </w:pPr>
      <w:bookmarkStart w:id="745" w:name="_Toc235079960"/>
      <w:r w:rsidRPr="00307E20">
        <w:rPr>
          <w:rFonts w:ascii="Calibri" w:hAnsi="Calibri" w:cs="Calibri"/>
          <w:sz w:val="18"/>
          <w:szCs w:val="18"/>
        </w:rPr>
        <w:t>3.2. Sprzęt do wykonania oznakowania poziomego</w:t>
      </w:r>
      <w:bookmarkEnd w:id="745"/>
    </w:p>
    <w:p w14:paraId="28F1FA5A" w14:textId="77777777" w:rsidR="008C66DB" w:rsidRPr="00307E20" w:rsidRDefault="008C66DB" w:rsidP="008C66DB">
      <w:pPr>
        <w:rPr>
          <w:rFonts w:ascii="Calibri" w:hAnsi="Calibri" w:cs="Calibri"/>
          <w:sz w:val="18"/>
          <w:szCs w:val="18"/>
        </w:rPr>
      </w:pPr>
      <w:r w:rsidRPr="00307E20">
        <w:rPr>
          <w:rFonts w:ascii="Calibri" w:hAnsi="Calibri" w:cs="Calibri"/>
          <w:sz w:val="18"/>
          <w:szCs w:val="18"/>
        </w:rPr>
        <w:t>Wykonawca przystępujący do wykonania oznakowania poziomego, w zależności od zakresu robót, powinien wykazać się możliwością korzystania z następującego sprzętu, zaakceptowanego przez Inżyniera:</w:t>
      </w:r>
    </w:p>
    <w:p w14:paraId="661E21A4" w14:textId="77777777" w:rsidR="008C66DB" w:rsidRPr="00307E20" w:rsidRDefault="008C66DB" w:rsidP="008C66DB">
      <w:pPr>
        <w:numPr>
          <w:ilvl w:val="0"/>
          <w:numId w:val="1"/>
        </w:numPr>
        <w:rPr>
          <w:rFonts w:ascii="Calibri" w:hAnsi="Calibri" w:cs="Calibri"/>
          <w:sz w:val="18"/>
          <w:szCs w:val="18"/>
        </w:rPr>
      </w:pPr>
      <w:r w:rsidRPr="00307E20">
        <w:rPr>
          <w:rFonts w:ascii="Calibri" w:hAnsi="Calibri" w:cs="Calibri"/>
          <w:sz w:val="18"/>
          <w:szCs w:val="18"/>
        </w:rPr>
        <w:t>szczotek mechanicznych (zaleca się stosowanie szczotek wyposażonych w urządzenia odpylające) oraz szczotek ręcznych,</w:t>
      </w:r>
    </w:p>
    <w:p w14:paraId="2CFD6D57" w14:textId="77777777" w:rsidR="008C66DB" w:rsidRPr="00307E20" w:rsidRDefault="008C66DB" w:rsidP="008C66DB">
      <w:pPr>
        <w:numPr>
          <w:ilvl w:val="0"/>
          <w:numId w:val="1"/>
        </w:numPr>
        <w:rPr>
          <w:rFonts w:ascii="Calibri" w:hAnsi="Calibri" w:cs="Calibri"/>
          <w:sz w:val="18"/>
          <w:szCs w:val="18"/>
        </w:rPr>
      </w:pPr>
      <w:r w:rsidRPr="00307E20">
        <w:rPr>
          <w:rFonts w:ascii="Calibri" w:hAnsi="Calibri" w:cs="Calibri"/>
          <w:sz w:val="18"/>
          <w:szCs w:val="18"/>
        </w:rPr>
        <w:t>frezarek,</w:t>
      </w:r>
    </w:p>
    <w:p w14:paraId="11587781" w14:textId="77777777" w:rsidR="008C66DB" w:rsidRPr="00307E20" w:rsidRDefault="008C66DB" w:rsidP="008C66DB">
      <w:pPr>
        <w:numPr>
          <w:ilvl w:val="0"/>
          <w:numId w:val="1"/>
        </w:numPr>
        <w:rPr>
          <w:rFonts w:ascii="Calibri" w:hAnsi="Calibri" w:cs="Calibri"/>
          <w:sz w:val="18"/>
          <w:szCs w:val="18"/>
        </w:rPr>
      </w:pPr>
      <w:r w:rsidRPr="00307E20">
        <w:rPr>
          <w:rFonts w:ascii="Calibri" w:hAnsi="Calibri" w:cs="Calibri"/>
          <w:sz w:val="18"/>
          <w:szCs w:val="18"/>
        </w:rPr>
        <w:t>sprężarek,</w:t>
      </w:r>
    </w:p>
    <w:p w14:paraId="09ED3BA0" w14:textId="77777777" w:rsidR="008C66DB" w:rsidRPr="00307E20" w:rsidRDefault="008C66DB" w:rsidP="008C66DB">
      <w:pPr>
        <w:numPr>
          <w:ilvl w:val="0"/>
          <w:numId w:val="1"/>
        </w:numPr>
        <w:rPr>
          <w:rFonts w:ascii="Calibri" w:hAnsi="Calibri" w:cs="Calibri"/>
          <w:sz w:val="18"/>
          <w:szCs w:val="18"/>
        </w:rPr>
      </w:pPr>
      <w:r w:rsidRPr="00307E20">
        <w:rPr>
          <w:rFonts w:ascii="Calibri" w:hAnsi="Calibri" w:cs="Calibri"/>
          <w:sz w:val="18"/>
          <w:szCs w:val="18"/>
        </w:rPr>
        <w:t>malowarek,</w:t>
      </w:r>
    </w:p>
    <w:p w14:paraId="6D151F98" w14:textId="77777777" w:rsidR="008C66DB" w:rsidRPr="00307E20" w:rsidRDefault="008C66DB" w:rsidP="008C66DB">
      <w:pPr>
        <w:numPr>
          <w:ilvl w:val="0"/>
          <w:numId w:val="1"/>
        </w:numPr>
        <w:rPr>
          <w:rFonts w:ascii="Calibri" w:hAnsi="Calibri" w:cs="Calibri"/>
          <w:sz w:val="18"/>
          <w:szCs w:val="18"/>
        </w:rPr>
      </w:pPr>
      <w:r w:rsidRPr="00307E20">
        <w:rPr>
          <w:rFonts w:ascii="Calibri" w:hAnsi="Calibri" w:cs="Calibri"/>
          <w:sz w:val="18"/>
          <w:szCs w:val="18"/>
        </w:rPr>
        <w:t>układarek mas chemoutwardzalnych,</w:t>
      </w:r>
    </w:p>
    <w:p w14:paraId="5E6A0C71" w14:textId="22EC4F51" w:rsidR="008C66DB" w:rsidRPr="00307E20" w:rsidRDefault="008C66DB" w:rsidP="008C66DB">
      <w:pPr>
        <w:numPr>
          <w:ilvl w:val="0"/>
          <w:numId w:val="1"/>
        </w:numPr>
        <w:spacing w:after="120"/>
        <w:ind w:left="284" w:hanging="284"/>
        <w:rPr>
          <w:rFonts w:ascii="Calibri" w:hAnsi="Calibri" w:cs="Calibri"/>
          <w:sz w:val="18"/>
          <w:szCs w:val="18"/>
        </w:rPr>
      </w:pPr>
      <w:r w:rsidRPr="00307E20">
        <w:rPr>
          <w:rFonts w:ascii="Calibri" w:hAnsi="Calibri" w:cs="Calibri"/>
          <w:sz w:val="18"/>
          <w:szCs w:val="18"/>
        </w:rPr>
        <w:t xml:space="preserve">sprzętu do badań, określonych w </w:t>
      </w:r>
      <w:r w:rsidR="00E0090D">
        <w:rPr>
          <w:rFonts w:ascii="Calibri" w:hAnsi="Calibri" w:cs="Calibri"/>
          <w:sz w:val="18"/>
          <w:szCs w:val="18"/>
        </w:rPr>
        <w:t>ST</w:t>
      </w:r>
      <w:r w:rsidRPr="00307E20">
        <w:rPr>
          <w:rFonts w:ascii="Calibri" w:hAnsi="Calibri" w:cs="Calibri"/>
          <w:sz w:val="18"/>
          <w:szCs w:val="18"/>
        </w:rPr>
        <w:t>WiORB.</w:t>
      </w:r>
    </w:p>
    <w:p w14:paraId="256C3F91" w14:textId="77777777" w:rsidR="008C66DB" w:rsidRPr="00307E20" w:rsidRDefault="008C66DB" w:rsidP="008C66DB">
      <w:pPr>
        <w:rPr>
          <w:rFonts w:ascii="Calibri" w:hAnsi="Calibri" w:cs="Calibri"/>
          <w:b/>
          <w:sz w:val="18"/>
          <w:szCs w:val="18"/>
        </w:rPr>
      </w:pPr>
      <w:bookmarkStart w:id="746" w:name="_Toc420816683"/>
      <w:bookmarkStart w:id="747" w:name="_Toc235079961"/>
    </w:p>
    <w:p w14:paraId="44CF6276" w14:textId="77777777" w:rsidR="008C66DB" w:rsidRPr="00307E20" w:rsidRDefault="008C66DB" w:rsidP="008C66DB">
      <w:pPr>
        <w:rPr>
          <w:rFonts w:ascii="Calibri" w:hAnsi="Calibri" w:cs="Calibri"/>
          <w:b/>
          <w:sz w:val="18"/>
          <w:szCs w:val="18"/>
        </w:rPr>
      </w:pPr>
      <w:r w:rsidRPr="00307E20">
        <w:rPr>
          <w:rFonts w:ascii="Calibri" w:hAnsi="Calibri" w:cs="Calibri"/>
          <w:b/>
          <w:sz w:val="18"/>
          <w:szCs w:val="18"/>
        </w:rPr>
        <w:t xml:space="preserve">4. </w:t>
      </w:r>
      <w:bookmarkEnd w:id="746"/>
      <w:bookmarkEnd w:id="747"/>
      <w:r w:rsidRPr="00307E20">
        <w:rPr>
          <w:rFonts w:ascii="Calibri" w:hAnsi="Calibri" w:cs="Calibri"/>
          <w:b/>
          <w:sz w:val="18"/>
          <w:szCs w:val="18"/>
        </w:rPr>
        <w:t>TRANSPORT</w:t>
      </w:r>
    </w:p>
    <w:p w14:paraId="630118F7" w14:textId="77777777" w:rsidR="008C66DB" w:rsidRPr="00307E20" w:rsidRDefault="008C66DB" w:rsidP="008C66DB">
      <w:pPr>
        <w:pStyle w:val="Nagwek4"/>
        <w:rPr>
          <w:rFonts w:ascii="Calibri" w:hAnsi="Calibri" w:cs="Calibri"/>
          <w:sz w:val="18"/>
          <w:szCs w:val="18"/>
        </w:rPr>
      </w:pPr>
      <w:bookmarkStart w:id="748" w:name="_Toc235079962"/>
      <w:r w:rsidRPr="00307E20">
        <w:rPr>
          <w:rFonts w:ascii="Calibri" w:hAnsi="Calibri" w:cs="Calibri"/>
          <w:sz w:val="18"/>
          <w:szCs w:val="18"/>
        </w:rPr>
        <w:t>4.1. Ogólne wymagania dotyczące transportu</w:t>
      </w:r>
      <w:bookmarkEnd w:id="748"/>
    </w:p>
    <w:p w14:paraId="3C279C3D" w14:textId="5458D97B" w:rsidR="008C66DB" w:rsidRPr="00307E20" w:rsidRDefault="008C66DB" w:rsidP="008C66DB">
      <w:pPr>
        <w:rPr>
          <w:rFonts w:ascii="Calibri" w:hAnsi="Calibri" w:cs="Calibri"/>
          <w:sz w:val="18"/>
          <w:szCs w:val="18"/>
        </w:rPr>
      </w:pPr>
      <w:r w:rsidRPr="00307E20">
        <w:rPr>
          <w:rFonts w:ascii="Calibri" w:hAnsi="Calibri" w:cs="Calibri"/>
          <w:sz w:val="18"/>
          <w:szCs w:val="18"/>
        </w:rPr>
        <w:t xml:space="preserve">Ogólne wymagania dotyczące transportu podano w </w:t>
      </w:r>
      <w:r w:rsidR="00E0090D">
        <w:rPr>
          <w:rFonts w:ascii="Calibri" w:hAnsi="Calibri" w:cs="Calibri"/>
          <w:sz w:val="18"/>
          <w:szCs w:val="18"/>
        </w:rPr>
        <w:t>ST</w:t>
      </w:r>
      <w:r w:rsidRPr="00307E20">
        <w:rPr>
          <w:rFonts w:ascii="Calibri" w:hAnsi="Calibri" w:cs="Calibri"/>
          <w:sz w:val="18"/>
          <w:szCs w:val="18"/>
        </w:rPr>
        <w:t>WiORB D-M-00.00.00 „Wymagania ogólne” pkt 4.</w:t>
      </w:r>
    </w:p>
    <w:p w14:paraId="56A1A833" w14:textId="77777777" w:rsidR="008C66DB" w:rsidRPr="00307E20" w:rsidRDefault="008C66DB" w:rsidP="008C66DB">
      <w:pPr>
        <w:pStyle w:val="Nagwek4"/>
        <w:rPr>
          <w:rFonts w:ascii="Calibri" w:hAnsi="Calibri" w:cs="Calibri"/>
          <w:sz w:val="18"/>
          <w:szCs w:val="18"/>
        </w:rPr>
      </w:pPr>
      <w:bookmarkStart w:id="749" w:name="_Toc235079963"/>
      <w:r w:rsidRPr="00307E20">
        <w:rPr>
          <w:rFonts w:ascii="Calibri" w:hAnsi="Calibri" w:cs="Calibri"/>
          <w:sz w:val="18"/>
          <w:szCs w:val="18"/>
        </w:rPr>
        <w:t>4.2. Przewóz materiałów do poziomego znakowania dróg</w:t>
      </w:r>
      <w:bookmarkEnd w:id="749"/>
    </w:p>
    <w:p w14:paraId="12BE96C7" w14:textId="77777777" w:rsidR="008C66DB" w:rsidRPr="00307E20" w:rsidRDefault="008C66DB" w:rsidP="008C66DB">
      <w:pPr>
        <w:rPr>
          <w:rFonts w:ascii="Calibri" w:hAnsi="Calibri" w:cs="Calibri"/>
          <w:sz w:val="18"/>
          <w:szCs w:val="18"/>
        </w:rPr>
      </w:pPr>
      <w:r w:rsidRPr="00307E20">
        <w:rPr>
          <w:rFonts w:ascii="Calibri" w:hAnsi="Calibri" w:cs="Calibri"/>
          <w:sz w:val="18"/>
          <w:szCs w:val="18"/>
        </w:rPr>
        <w:t xml:space="preserve">Materiały do poziomego znakowania dróg należy przewozić w pojemnikach zapewniających szczelność, bezpieczny transport i zachowanie wymaganych właściwości materiałów. Pojemniki powinny być oznakowane zgodnie z normą PN-O-79252. </w:t>
      </w:r>
    </w:p>
    <w:p w14:paraId="34AB1980" w14:textId="77777777" w:rsidR="008C66DB" w:rsidRPr="00307E20" w:rsidRDefault="008C66DB" w:rsidP="008C66DB">
      <w:pPr>
        <w:spacing w:after="120"/>
        <w:rPr>
          <w:rFonts w:ascii="Calibri" w:hAnsi="Calibri" w:cs="Calibri"/>
          <w:sz w:val="18"/>
          <w:szCs w:val="18"/>
        </w:rPr>
      </w:pPr>
      <w:r w:rsidRPr="00307E20">
        <w:rPr>
          <w:rFonts w:ascii="Calibri" w:hAnsi="Calibri" w:cs="Calibri"/>
          <w:sz w:val="18"/>
          <w:szCs w:val="18"/>
        </w:rPr>
        <w:t>Materiały do znakowania poziomego należy przewozić krytymi środkami transportowymi, chroniąc opakowania przed uszkodzeniem mechanicznym, zgodnie z PN-C-81400 oraz zgodnie z prawem przewozowym.</w:t>
      </w:r>
    </w:p>
    <w:p w14:paraId="22FE08BC" w14:textId="77777777" w:rsidR="008C66DB" w:rsidRPr="00307E20" w:rsidRDefault="008C66DB" w:rsidP="008C66DB">
      <w:pPr>
        <w:rPr>
          <w:rFonts w:ascii="Calibri" w:hAnsi="Calibri" w:cs="Calibri"/>
          <w:b/>
          <w:sz w:val="18"/>
          <w:szCs w:val="18"/>
        </w:rPr>
      </w:pPr>
      <w:bookmarkStart w:id="750" w:name="_Toc420816684"/>
      <w:bookmarkStart w:id="751" w:name="_Toc235079964"/>
    </w:p>
    <w:p w14:paraId="06A1E7D9" w14:textId="77777777" w:rsidR="008C66DB" w:rsidRPr="00307E20" w:rsidRDefault="008C66DB" w:rsidP="008C66DB">
      <w:pPr>
        <w:rPr>
          <w:rFonts w:ascii="Calibri" w:hAnsi="Calibri" w:cs="Calibri"/>
          <w:b/>
          <w:sz w:val="18"/>
          <w:szCs w:val="18"/>
        </w:rPr>
      </w:pPr>
      <w:r w:rsidRPr="00307E20">
        <w:rPr>
          <w:rFonts w:ascii="Calibri" w:hAnsi="Calibri" w:cs="Calibri"/>
          <w:b/>
          <w:sz w:val="18"/>
          <w:szCs w:val="18"/>
        </w:rPr>
        <w:t xml:space="preserve">5. </w:t>
      </w:r>
      <w:bookmarkEnd w:id="750"/>
      <w:bookmarkEnd w:id="751"/>
      <w:r w:rsidRPr="00307E20">
        <w:rPr>
          <w:rFonts w:ascii="Calibri" w:hAnsi="Calibri" w:cs="Calibri"/>
          <w:b/>
          <w:sz w:val="18"/>
          <w:szCs w:val="18"/>
        </w:rPr>
        <w:t>WYKONANIE ROBÓT</w:t>
      </w:r>
    </w:p>
    <w:p w14:paraId="0C481141" w14:textId="77777777" w:rsidR="008C66DB" w:rsidRPr="00307E20" w:rsidRDefault="008C66DB" w:rsidP="008C66DB">
      <w:pPr>
        <w:pStyle w:val="Nagwek4"/>
        <w:rPr>
          <w:rFonts w:ascii="Calibri" w:hAnsi="Calibri" w:cs="Calibri"/>
          <w:sz w:val="18"/>
          <w:szCs w:val="18"/>
        </w:rPr>
      </w:pPr>
      <w:bookmarkStart w:id="752" w:name="_Toc235079965"/>
      <w:r w:rsidRPr="00307E20">
        <w:rPr>
          <w:rFonts w:ascii="Calibri" w:hAnsi="Calibri" w:cs="Calibri"/>
          <w:sz w:val="18"/>
          <w:szCs w:val="18"/>
        </w:rPr>
        <w:t>5.1. Ogólne zasady wykonania robót</w:t>
      </w:r>
      <w:bookmarkEnd w:id="752"/>
    </w:p>
    <w:p w14:paraId="43CA9E8A" w14:textId="6DE13E2C" w:rsidR="008C66DB" w:rsidRPr="00307E20" w:rsidRDefault="008C66DB" w:rsidP="008C66DB">
      <w:pPr>
        <w:rPr>
          <w:rFonts w:ascii="Calibri" w:hAnsi="Calibri" w:cs="Calibri"/>
          <w:sz w:val="18"/>
          <w:szCs w:val="18"/>
        </w:rPr>
      </w:pPr>
      <w:r w:rsidRPr="00307E20">
        <w:rPr>
          <w:rFonts w:ascii="Calibri" w:hAnsi="Calibri" w:cs="Calibri"/>
          <w:sz w:val="18"/>
          <w:szCs w:val="18"/>
        </w:rPr>
        <w:t xml:space="preserve">Ogólne zasady wykonania robót podano w </w:t>
      </w:r>
      <w:r w:rsidR="00E0090D">
        <w:rPr>
          <w:rFonts w:ascii="Calibri" w:hAnsi="Calibri" w:cs="Calibri"/>
          <w:sz w:val="18"/>
          <w:szCs w:val="18"/>
        </w:rPr>
        <w:t>ST</w:t>
      </w:r>
      <w:r w:rsidRPr="00307E20">
        <w:rPr>
          <w:rFonts w:ascii="Calibri" w:hAnsi="Calibri" w:cs="Calibri"/>
          <w:sz w:val="18"/>
          <w:szCs w:val="18"/>
        </w:rPr>
        <w:t>WiORB D-M-00.00.00 „Wymagania ogólne” pkt 5.</w:t>
      </w:r>
    </w:p>
    <w:p w14:paraId="4F30E940" w14:textId="77777777" w:rsidR="008C66DB" w:rsidRPr="00307E20" w:rsidRDefault="008C66DB" w:rsidP="008C66DB">
      <w:pPr>
        <w:pStyle w:val="Nagwek4"/>
        <w:rPr>
          <w:rFonts w:ascii="Calibri" w:hAnsi="Calibri" w:cs="Calibri"/>
          <w:sz w:val="18"/>
          <w:szCs w:val="18"/>
        </w:rPr>
      </w:pPr>
      <w:bookmarkStart w:id="753" w:name="_Toc235079966"/>
      <w:r w:rsidRPr="00307E20">
        <w:rPr>
          <w:rFonts w:ascii="Calibri" w:hAnsi="Calibri" w:cs="Calibri"/>
          <w:sz w:val="18"/>
          <w:szCs w:val="18"/>
        </w:rPr>
        <w:t>5.2. Warunki atmosferyczne</w:t>
      </w:r>
      <w:bookmarkEnd w:id="753"/>
    </w:p>
    <w:p w14:paraId="22712347" w14:textId="77777777" w:rsidR="008C66DB" w:rsidRPr="00307E20" w:rsidRDefault="008C66DB" w:rsidP="008C66DB">
      <w:pPr>
        <w:rPr>
          <w:rFonts w:ascii="Calibri" w:hAnsi="Calibri" w:cs="Calibri"/>
          <w:sz w:val="18"/>
          <w:szCs w:val="18"/>
        </w:rPr>
      </w:pPr>
      <w:r w:rsidRPr="00307E20">
        <w:rPr>
          <w:rFonts w:ascii="Calibri" w:hAnsi="Calibri" w:cs="Calibri"/>
          <w:sz w:val="18"/>
          <w:szCs w:val="18"/>
        </w:rPr>
        <w:t>W czasie wykonywania oznakowania temperatura nawierzchni i powietrza powinna wynosić co najmniej 5</w:t>
      </w:r>
      <w:r w:rsidRPr="00307E20">
        <w:rPr>
          <w:rFonts w:ascii="Calibri" w:hAnsi="Calibri" w:cs="Calibri"/>
          <w:sz w:val="18"/>
          <w:szCs w:val="18"/>
          <w:vertAlign w:val="superscript"/>
        </w:rPr>
        <w:t>o</w:t>
      </w:r>
      <w:r w:rsidRPr="00307E20">
        <w:rPr>
          <w:rFonts w:ascii="Calibri" w:hAnsi="Calibri" w:cs="Calibri"/>
          <w:sz w:val="18"/>
          <w:szCs w:val="18"/>
        </w:rPr>
        <w:t>C, a wilgotność względna powietrza powinna być zgodna z zaleceniami producenta lub wynosić co najwyżej 85%.</w:t>
      </w:r>
    </w:p>
    <w:p w14:paraId="69632B44" w14:textId="77777777" w:rsidR="008C66DB" w:rsidRPr="00307E20" w:rsidRDefault="008C66DB" w:rsidP="008C66DB">
      <w:pPr>
        <w:pStyle w:val="Nagwek4"/>
        <w:rPr>
          <w:rFonts w:ascii="Calibri" w:hAnsi="Calibri" w:cs="Calibri"/>
          <w:sz w:val="18"/>
          <w:szCs w:val="18"/>
        </w:rPr>
      </w:pPr>
      <w:bookmarkStart w:id="754" w:name="_Toc235079968"/>
      <w:r w:rsidRPr="00307E20">
        <w:rPr>
          <w:rFonts w:ascii="Calibri" w:hAnsi="Calibri" w:cs="Calibri"/>
          <w:sz w:val="18"/>
          <w:szCs w:val="18"/>
        </w:rPr>
        <w:t>5.3. Przygotowanie podłoża do wykonania znakowania</w:t>
      </w:r>
      <w:bookmarkEnd w:id="754"/>
    </w:p>
    <w:p w14:paraId="1C7FACB1" w14:textId="5F7363A9" w:rsidR="008C66DB" w:rsidRPr="00307E20" w:rsidRDefault="008C66DB" w:rsidP="008C66DB">
      <w:pPr>
        <w:rPr>
          <w:rFonts w:ascii="Calibri" w:hAnsi="Calibri" w:cs="Calibri"/>
          <w:sz w:val="18"/>
          <w:szCs w:val="18"/>
        </w:rPr>
      </w:pPr>
      <w:r w:rsidRPr="00307E20">
        <w:rPr>
          <w:rFonts w:ascii="Calibri" w:hAnsi="Calibri" w:cs="Calibri"/>
          <w:sz w:val="18"/>
          <w:szCs w:val="18"/>
        </w:rPr>
        <w:t xml:space="preserve">Przed wykonaniem znakowania poziomego należy oczyścić powierzchnię nawierzchni malowanej z pyłu, kurzu, piasku, smarów, olejów i innych zanieczyszczeń, przy użyciu sprzętu wymienionego w </w:t>
      </w:r>
      <w:r w:rsidR="00E0090D">
        <w:rPr>
          <w:rFonts w:ascii="Calibri" w:hAnsi="Calibri" w:cs="Calibri"/>
          <w:sz w:val="18"/>
          <w:szCs w:val="18"/>
        </w:rPr>
        <w:t>ST</w:t>
      </w:r>
      <w:r w:rsidRPr="00307E20">
        <w:rPr>
          <w:rFonts w:ascii="Calibri" w:hAnsi="Calibri" w:cs="Calibri"/>
          <w:sz w:val="18"/>
          <w:szCs w:val="18"/>
        </w:rPr>
        <w:t>WiORB i zaakceptowanego przez Inżyniera.</w:t>
      </w:r>
    </w:p>
    <w:p w14:paraId="6910C5BC" w14:textId="77777777" w:rsidR="008C66DB" w:rsidRPr="00307E20" w:rsidRDefault="008C66DB" w:rsidP="008C66DB">
      <w:pPr>
        <w:rPr>
          <w:rFonts w:ascii="Calibri" w:hAnsi="Calibri" w:cs="Calibri"/>
          <w:sz w:val="18"/>
          <w:szCs w:val="18"/>
        </w:rPr>
      </w:pPr>
      <w:r w:rsidRPr="00307E20">
        <w:rPr>
          <w:rFonts w:ascii="Calibri" w:hAnsi="Calibri" w:cs="Calibri"/>
          <w:sz w:val="18"/>
          <w:szCs w:val="18"/>
        </w:rPr>
        <w:t>Powierzchnia nawierzchni przygotowana do wykonania oznakowania poziomego musi być czysta i sucha.</w:t>
      </w:r>
    </w:p>
    <w:p w14:paraId="437EA96B" w14:textId="77777777" w:rsidR="008C66DB" w:rsidRPr="00307E20" w:rsidRDefault="008C66DB" w:rsidP="008C66DB">
      <w:pPr>
        <w:pStyle w:val="Nagwek4"/>
        <w:rPr>
          <w:rFonts w:ascii="Calibri" w:hAnsi="Calibri" w:cs="Calibri"/>
          <w:sz w:val="18"/>
          <w:szCs w:val="18"/>
        </w:rPr>
      </w:pPr>
      <w:bookmarkStart w:id="755" w:name="_Toc235079969"/>
      <w:r w:rsidRPr="00307E20">
        <w:rPr>
          <w:rFonts w:ascii="Calibri" w:hAnsi="Calibri" w:cs="Calibri"/>
          <w:sz w:val="18"/>
          <w:szCs w:val="18"/>
        </w:rPr>
        <w:t>5.4. Przedznakowanie</w:t>
      </w:r>
      <w:bookmarkEnd w:id="755"/>
    </w:p>
    <w:p w14:paraId="6D364BD4" w14:textId="77777777" w:rsidR="008C66DB" w:rsidRPr="00307E20" w:rsidRDefault="008C66DB" w:rsidP="008C66DB">
      <w:pPr>
        <w:rPr>
          <w:rFonts w:ascii="Calibri" w:hAnsi="Calibri" w:cs="Calibri"/>
          <w:sz w:val="18"/>
          <w:szCs w:val="18"/>
        </w:rPr>
      </w:pPr>
      <w:r w:rsidRPr="00307E20">
        <w:rPr>
          <w:rFonts w:ascii="Calibri" w:hAnsi="Calibri" w:cs="Calibri"/>
          <w:sz w:val="18"/>
          <w:szCs w:val="18"/>
        </w:rPr>
        <w:t>W celu dokładnego wykonania poziomego oznakowania drogi, można wykonać przedznakowanie, stosując się do ustaleń zawartych w dokumentacji projektowej, „Instrukcji o znakach drogowych poziomych” i wskazaniach Inżyniera.</w:t>
      </w:r>
    </w:p>
    <w:p w14:paraId="5707FBAD" w14:textId="77777777" w:rsidR="008C66DB" w:rsidRPr="00307E20" w:rsidRDefault="008C66DB" w:rsidP="008C66DB">
      <w:pPr>
        <w:rPr>
          <w:rFonts w:ascii="Calibri" w:hAnsi="Calibri" w:cs="Calibri"/>
          <w:sz w:val="18"/>
          <w:szCs w:val="18"/>
        </w:rPr>
      </w:pPr>
      <w:r w:rsidRPr="00307E20">
        <w:rPr>
          <w:rFonts w:ascii="Calibri" w:hAnsi="Calibri" w:cs="Calibri"/>
          <w:sz w:val="18"/>
          <w:szCs w:val="18"/>
        </w:rPr>
        <w:t>Do wykonania przedznakowania można stosować nietrwałą farbę, np. farbę silnie rozcieńczoną rozpuszczalnikiem. Zaleca się wykonywanie przedznakowania w postaci cienkich linii lub kropek. Początek i koniec znakowania należy zaznaczyć małą kreską poprzeczną.</w:t>
      </w:r>
    </w:p>
    <w:p w14:paraId="684EF8D5" w14:textId="77777777" w:rsidR="008C66DB" w:rsidRPr="00307E20" w:rsidRDefault="008C66DB" w:rsidP="008C66DB">
      <w:pPr>
        <w:pStyle w:val="Nagwek4"/>
        <w:rPr>
          <w:rFonts w:ascii="Calibri" w:hAnsi="Calibri" w:cs="Calibri"/>
          <w:sz w:val="18"/>
          <w:szCs w:val="18"/>
        </w:rPr>
      </w:pPr>
      <w:bookmarkStart w:id="756" w:name="_Toc235079970"/>
      <w:r w:rsidRPr="00307E20">
        <w:rPr>
          <w:rFonts w:ascii="Calibri" w:hAnsi="Calibri" w:cs="Calibri"/>
          <w:sz w:val="18"/>
          <w:szCs w:val="18"/>
        </w:rPr>
        <w:t>5.5. Wykonanie znakowania drogi</w:t>
      </w:r>
      <w:bookmarkEnd w:id="756"/>
    </w:p>
    <w:p w14:paraId="38ACED2E" w14:textId="77777777" w:rsidR="008C66DB" w:rsidRPr="00307E20" w:rsidRDefault="008C66DB" w:rsidP="008C66DB">
      <w:pPr>
        <w:spacing w:before="120"/>
        <w:rPr>
          <w:rFonts w:ascii="Calibri" w:hAnsi="Calibri" w:cs="Calibri"/>
          <w:b/>
          <w:bCs/>
          <w:i/>
          <w:iCs/>
          <w:sz w:val="18"/>
          <w:szCs w:val="18"/>
        </w:rPr>
      </w:pPr>
      <w:bookmarkStart w:id="757" w:name="_Toc235079971"/>
      <w:r w:rsidRPr="00307E20">
        <w:rPr>
          <w:rFonts w:ascii="Calibri" w:hAnsi="Calibri" w:cs="Calibri"/>
          <w:b/>
          <w:bCs/>
          <w:i/>
          <w:iCs/>
          <w:sz w:val="18"/>
          <w:szCs w:val="18"/>
        </w:rPr>
        <w:t>5.5.1.  Dostarczenie materiałów i spełnienie zaleceń producenta materiałów</w:t>
      </w:r>
      <w:bookmarkEnd w:id="757"/>
    </w:p>
    <w:p w14:paraId="5D13C378" w14:textId="77777777" w:rsidR="008C66DB" w:rsidRPr="00307E20" w:rsidRDefault="008C66DB" w:rsidP="008C66DB">
      <w:pPr>
        <w:rPr>
          <w:rFonts w:ascii="Calibri" w:hAnsi="Calibri" w:cs="Calibri"/>
          <w:sz w:val="18"/>
          <w:szCs w:val="18"/>
        </w:rPr>
      </w:pPr>
      <w:r w:rsidRPr="00307E20">
        <w:rPr>
          <w:rFonts w:ascii="Calibri" w:hAnsi="Calibri" w:cs="Calibri"/>
          <w:sz w:val="18"/>
          <w:szCs w:val="18"/>
        </w:rPr>
        <w:t>Materiały do znakowania drogi, spełniające wymagania podane w punkcie 2, powinny być dostarczone w oryginalnych opakowaniach handlowych i stosowane zgodnie z zaleceniami producenta oraz wymaganiami znajdującymi się w aprobacie technicznej.</w:t>
      </w:r>
    </w:p>
    <w:p w14:paraId="5A3EB08D" w14:textId="77777777" w:rsidR="008C66DB" w:rsidRPr="00307E20" w:rsidRDefault="008C66DB" w:rsidP="008C66DB">
      <w:pPr>
        <w:spacing w:before="120"/>
        <w:rPr>
          <w:rFonts w:ascii="Calibri" w:hAnsi="Calibri" w:cs="Calibri"/>
          <w:b/>
          <w:bCs/>
          <w:i/>
          <w:iCs/>
          <w:sz w:val="18"/>
          <w:szCs w:val="18"/>
        </w:rPr>
      </w:pPr>
      <w:r w:rsidRPr="00307E20">
        <w:rPr>
          <w:rFonts w:ascii="Calibri" w:hAnsi="Calibri" w:cs="Calibri"/>
          <w:b/>
          <w:bCs/>
          <w:i/>
          <w:iCs/>
          <w:sz w:val="18"/>
          <w:szCs w:val="18"/>
        </w:rPr>
        <w:t>5.5.2. Wykonanie znakowania drogi materiałami grubowarstwowymi</w:t>
      </w:r>
    </w:p>
    <w:p w14:paraId="320808E2" w14:textId="77777777" w:rsidR="008C66DB" w:rsidRPr="00307E20" w:rsidRDefault="008C66DB" w:rsidP="008C66DB">
      <w:pPr>
        <w:spacing w:before="120"/>
        <w:rPr>
          <w:rFonts w:ascii="Calibri" w:hAnsi="Calibri" w:cs="Calibri"/>
          <w:sz w:val="18"/>
          <w:szCs w:val="18"/>
        </w:rPr>
      </w:pPr>
      <w:r w:rsidRPr="00307E20">
        <w:rPr>
          <w:rFonts w:ascii="Calibri" w:hAnsi="Calibri" w:cs="Calibri"/>
          <w:sz w:val="18"/>
          <w:szCs w:val="18"/>
        </w:rPr>
        <w:t>Wykonanie znakowania powinno być zgodne z zaleceniami producenta materiałów, a w przypadku ich braku lub niepełnych danych - zgodne z poniższymi wskazaniami.</w:t>
      </w:r>
    </w:p>
    <w:p w14:paraId="7949A302" w14:textId="77777777" w:rsidR="008C66DB" w:rsidRPr="00307E20" w:rsidRDefault="008C66DB" w:rsidP="008C66DB">
      <w:pPr>
        <w:rPr>
          <w:rFonts w:ascii="Calibri" w:hAnsi="Calibri" w:cs="Calibri"/>
          <w:sz w:val="18"/>
          <w:szCs w:val="18"/>
        </w:rPr>
      </w:pPr>
      <w:r w:rsidRPr="00307E20">
        <w:rPr>
          <w:rFonts w:ascii="Calibri" w:hAnsi="Calibri" w:cs="Calibri"/>
          <w:sz w:val="18"/>
          <w:szCs w:val="18"/>
        </w:rPr>
        <w:t>Materiał znakujący należy nakładać równomierną warstwą zachowując wymiary i ostrość krawędzi. Grubość nanoszonej warstwy zaleca się kontrolować przy pomocy grzebienia pomiarowego na płytce szklanej lub metalowej, podkładanej na drodze malowarki. Ilość materiału zużyta w czasie prac, określona przez średnie zużycie na metr kwadratowy, nie może się różnić od ilości ustalonej, więcej niż o 20%.</w:t>
      </w:r>
    </w:p>
    <w:p w14:paraId="18FF8CEC" w14:textId="77777777" w:rsidR="008C66DB" w:rsidRPr="00307E20" w:rsidRDefault="008C66DB" w:rsidP="008C66DB">
      <w:pPr>
        <w:rPr>
          <w:rFonts w:ascii="Calibri" w:hAnsi="Calibri" w:cs="Calibri"/>
          <w:sz w:val="18"/>
          <w:szCs w:val="18"/>
        </w:rPr>
      </w:pPr>
      <w:r w:rsidRPr="00307E20">
        <w:rPr>
          <w:rFonts w:ascii="Calibri" w:hAnsi="Calibri" w:cs="Calibri"/>
          <w:sz w:val="18"/>
          <w:szCs w:val="18"/>
        </w:rPr>
        <w:t>W przypadku mas termoplastycznych wszystkie większe prace powinny być wykonywane przy użyciu urządzeń samojezdnych z automatycznym podziałem linii i posypywaniem kulkami szklanymi z ew. materiałem uszorstniającym. W przypadku mniejszych prac, wielkość, wydajność i jakość sprzętu należy dostosować do ich zakresu i rozmiaru. Decyzję dotyczącą rodzaju sprzętu i sposobu wykonania znakowania podejmuje Inżynier na wniosek Wykonawcy. W przypadku znakowania nawierzchni betonowej należy zastosować podkład (primer) poprawiający przyczepność nakładanego termoplastu do nawierzchni.</w:t>
      </w:r>
    </w:p>
    <w:p w14:paraId="1ECE03B1" w14:textId="77777777" w:rsidR="008C66DB" w:rsidRPr="00307E20" w:rsidRDefault="008C66DB" w:rsidP="008C66DB">
      <w:pPr>
        <w:rPr>
          <w:rFonts w:ascii="Calibri" w:hAnsi="Calibri" w:cs="Calibri"/>
          <w:sz w:val="18"/>
          <w:szCs w:val="18"/>
        </w:rPr>
      </w:pPr>
      <w:r w:rsidRPr="00307E20">
        <w:rPr>
          <w:rFonts w:ascii="Calibri" w:hAnsi="Calibri" w:cs="Calibri"/>
          <w:sz w:val="18"/>
          <w:szCs w:val="18"/>
        </w:rPr>
        <w:t>W przypadku dwuskładnikowych mas chemoutwardzalnych prace można wykonywać ręcznie, przy użyciu prostych urządzeń, np. typu „Plastomarker” lub w inny sposób zaakceptowany przez Inżyniera.</w:t>
      </w:r>
    </w:p>
    <w:p w14:paraId="60705B7D" w14:textId="77777777" w:rsidR="008C66DB" w:rsidRPr="00307E20" w:rsidRDefault="008C66DB" w:rsidP="008C66DB">
      <w:pPr>
        <w:spacing w:before="120"/>
        <w:rPr>
          <w:rFonts w:ascii="Calibri" w:hAnsi="Calibri" w:cs="Calibri"/>
          <w:b/>
          <w:bCs/>
          <w:i/>
          <w:iCs/>
          <w:sz w:val="18"/>
          <w:szCs w:val="18"/>
        </w:rPr>
      </w:pPr>
      <w:r w:rsidRPr="00307E20">
        <w:rPr>
          <w:rFonts w:ascii="Calibri" w:hAnsi="Calibri" w:cs="Calibri"/>
          <w:b/>
          <w:bCs/>
          <w:i/>
          <w:iCs/>
          <w:sz w:val="18"/>
          <w:szCs w:val="18"/>
        </w:rPr>
        <w:t>5.5.3. Wykonanie znakowania drogi punktowymi elementami odblaskowymi</w:t>
      </w:r>
    </w:p>
    <w:p w14:paraId="5172C178" w14:textId="77777777" w:rsidR="008C66DB" w:rsidRPr="00307E20" w:rsidRDefault="008C66DB" w:rsidP="008C66DB">
      <w:pPr>
        <w:spacing w:before="120"/>
        <w:rPr>
          <w:rFonts w:ascii="Calibri" w:hAnsi="Calibri" w:cs="Calibri"/>
          <w:sz w:val="18"/>
          <w:szCs w:val="18"/>
        </w:rPr>
      </w:pPr>
      <w:r w:rsidRPr="00307E20">
        <w:rPr>
          <w:rFonts w:ascii="Calibri" w:hAnsi="Calibri" w:cs="Calibri"/>
          <w:sz w:val="18"/>
          <w:szCs w:val="18"/>
        </w:rPr>
        <w:t>Wykonanie znakowania powinno być zgodne z zaleceniami producenta materiałów, a w przypadku ich braku lub niepełnych danych - zgodne z poniższymi wskazaniami.</w:t>
      </w:r>
    </w:p>
    <w:p w14:paraId="3A750A7C" w14:textId="77777777" w:rsidR="008C66DB" w:rsidRPr="00307E20" w:rsidRDefault="008C66DB" w:rsidP="008C66DB">
      <w:pPr>
        <w:rPr>
          <w:rFonts w:ascii="Calibri" w:hAnsi="Calibri" w:cs="Calibri"/>
          <w:sz w:val="18"/>
          <w:szCs w:val="18"/>
        </w:rPr>
      </w:pPr>
      <w:r w:rsidRPr="00307E20">
        <w:rPr>
          <w:rFonts w:ascii="Calibri" w:hAnsi="Calibri" w:cs="Calibri"/>
          <w:sz w:val="18"/>
          <w:szCs w:val="18"/>
        </w:rPr>
        <w:t>Przy wykonywaniu znakowania punktowymi elementami odblaskowymi należy zwracać szczególną uwagę na staranne mocowanie elementów do podłoża, od czego zależy trwałość wykonanego oznakowania.</w:t>
      </w:r>
    </w:p>
    <w:p w14:paraId="3720147C" w14:textId="77777777" w:rsidR="008C66DB" w:rsidRPr="00307E20" w:rsidRDefault="008C66DB" w:rsidP="008C66DB">
      <w:pPr>
        <w:rPr>
          <w:rFonts w:ascii="Calibri" w:hAnsi="Calibri" w:cs="Calibri"/>
          <w:sz w:val="18"/>
          <w:szCs w:val="18"/>
        </w:rPr>
      </w:pPr>
      <w:r w:rsidRPr="00307E20">
        <w:rPr>
          <w:rFonts w:ascii="Calibri" w:hAnsi="Calibri" w:cs="Calibri"/>
          <w:sz w:val="18"/>
          <w:szCs w:val="18"/>
        </w:rPr>
        <w:t>Nie wolno zmieniać ustalonego przez producenta rodzaju kleju z uwagi na możliwość uzyskania różnej jego przyczepności do nawierzchni i do materiałów, z których wykonano punktowe elementy odblaskowe.</w:t>
      </w:r>
    </w:p>
    <w:p w14:paraId="64BE9FED" w14:textId="77777777" w:rsidR="008C66DB" w:rsidRPr="00307E20" w:rsidRDefault="008C66DB" w:rsidP="008C66DB">
      <w:pPr>
        <w:rPr>
          <w:rFonts w:ascii="Calibri" w:hAnsi="Calibri" w:cs="Calibri"/>
          <w:sz w:val="18"/>
          <w:szCs w:val="18"/>
        </w:rPr>
      </w:pPr>
      <w:r w:rsidRPr="00307E20">
        <w:rPr>
          <w:rFonts w:ascii="Calibri" w:hAnsi="Calibri" w:cs="Calibri"/>
          <w:sz w:val="18"/>
          <w:szCs w:val="18"/>
        </w:rPr>
        <w:t>W przypadku znakowania nawierzchni betonowych należy zastosować podkład (primer) poprawiający przyczepność przyklejanych punktowych elementów odblaskowych do nawierzchni.</w:t>
      </w:r>
    </w:p>
    <w:p w14:paraId="000A40DC" w14:textId="77777777" w:rsidR="008C66DB" w:rsidRPr="00307E20" w:rsidRDefault="008C66DB" w:rsidP="008C66DB">
      <w:pPr>
        <w:rPr>
          <w:rFonts w:ascii="Calibri" w:hAnsi="Calibri" w:cs="Calibri"/>
          <w:b/>
          <w:sz w:val="18"/>
          <w:szCs w:val="18"/>
        </w:rPr>
      </w:pPr>
      <w:bookmarkStart w:id="758" w:name="_Toc420816685"/>
      <w:bookmarkStart w:id="759" w:name="_Toc235079973"/>
    </w:p>
    <w:p w14:paraId="2466F1C5" w14:textId="77777777" w:rsidR="008C66DB" w:rsidRPr="00307E20" w:rsidRDefault="008C66DB" w:rsidP="008C66DB">
      <w:pPr>
        <w:rPr>
          <w:rFonts w:ascii="Calibri" w:hAnsi="Calibri" w:cs="Calibri"/>
          <w:b/>
          <w:sz w:val="18"/>
          <w:szCs w:val="18"/>
        </w:rPr>
      </w:pPr>
      <w:r w:rsidRPr="00307E20">
        <w:rPr>
          <w:rFonts w:ascii="Calibri" w:hAnsi="Calibri" w:cs="Calibri"/>
          <w:b/>
          <w:sz w:val="18"/>
          <w:szCs w:val="18"/>
        </w:rPr>
        <w:t xml:space="preserve">6. </w:t>
      </w:r>
      <w:bookmarkEnd w:id="758"/>
      <w:bookmarkEnd w:id="759"/>
      <w:r w:rsidRPr="00307E20">
        <w:rPr>
          <w:rFonts w:ascii="Calibri" w:hAnsi="Calibri" w:cs="Calibri"/>
          <w:b/>
          <w:sz w:val="18"/>
          <w:szCs w:val="18"/>
        </w:rPr>
        <w:t>KONTROLA JAKOŚCI ROBÓT</w:t>
      </w:r>
    </w:p>
    <w:p w14:paraId="1C55CEBD" w14:textId="77777777" w:rsidR="008C66DB" w:rsidRPr="00307E20" w:rsidRDefault="008C66DB" w:rsidP="008C66DB">
      <w:pPr>
        <w:pStyle w:val="Nagwek4"/>
        <w:rPr>
          <w:rFonts w:ascii="Calibri" w:hAnsi="Calibri" w:cs="Calibri"/>
          <w:sz w:val="18"/>
          <w:szCs w:val="18"/>
        </w:rPr>
      </w:pPr>
      <w:bookmarkStart w:id="760" w:name="_Toc235079974"/>
      <w:r w:rsidRPr="00307E20">
        <w:rPr>
          <w:rFonts w:ascii="Calibri" w:hAnsi="Calibri" w:cs="Calibri"/>
          <w:sz w:val="18"/>
          <w:szCs w:val="18"/>
        </w:rPr>
        <w:t>6.1. Ogólne zasady kontroli jakości robót</w:t>
      </w:r>
      <w:bookmarkEnd w:id="760"/>
    </w:p>
    <w:p w14:paraId="22E8E44E" w14:textId="0699074A" w:rsidR="008C66DB" w:rsidRPr="00307E20" w:rsidRDefault="008C66DB" w:rsidP="008C66DB">
      <w:pPr>
        <w:rPr>
          <w:rFonts w:ascii="Calibri" w:hAnsi="Calibri" w:cs="Calibri"/>
          <w:sz w:val="18"/>
          <w:szCs w:val="18"/>
        </w:rPr>
      </w:pPr>
      <w:r w:rsidRPr="00307E20">
        <w:rPr>
          <w:rFonts w:ascii="Calibri" w:hAnsi="Calibri" w:cs="Calibri"/>
          <w:sz w:val="18"/>
          <w:szCs w:val="18"/>
        </w:rPr>
        <w:t xml:space="preserve">Ogólne zasady kontroli jakości robót podano w </w:t>
      </w:r>
      <w:r w:rsidR="00E0090D">
        <w:rPr>
          <w:rFonts w:ascii="Calibri" w:hAnsi="Calibri" w:cs="Calibri"/>
          <w:sz w:val="18"/>
          <w:szCs w:val="18"/>
        </w:rPr>
        <w:t>ST</w:t>
      </w:r>
      <w:r w:rsidRPr="00307E20">
        <w:rPr>
          <w:rFonts w:ascii="Calibri" w:hAnsi="Calibri" w:cs="Calibri"/>
          <w:sz w:val="18"/>
          <w:szCs w:val="18"/>
        </w:rPr>
        <w:t>WiORB D-M-00.00.00 „Wymagania ogólne” pkt 6.</w:t>
      </w:r>
    </w:p>
    <w:p w14:paraId="5B8B4E4A" w14:textId="77777777" w:rsidR="008C66DB" w:rsidRPr="00307E20" w:rsidRDefault="008C66DB" w:rsidP="008C66DB">
      <w:pPr>
        <w:pStyle w:val="Nagwek4"/>
        <w:rPr>
          <w:rFonts w:ascii="Calibri" w:hAnsi="Calibri" w:cs="Calibri"/>
          <w:sz w:val="18"/>
          <w:szCs w:val="18"/>
        </w:rPr>
      </w:pPr>
      <w:bookmarkStart w:id="761" w:name="_Toc235079975"/>
      <w:r w:rsidRPr="00307E20">
        <w:rPr>
          <w:rFonts w:ascii="Calibri" w:hAnsi="Calibri" w:cs="Calibri"/>
          <w:sz w:val="18"/>
          <w:szCs w:val="18"/>
        </w:rPr>
        <w:t>6.2. Badanie przygotowania podłoża i przedznakowania</w:t>
      </w:r>
      <w:bookmarkEnd w:id="761"/>
    </w:p>
    <w:p w14:paraId="0A475171" w14:textId="77777777" w:rsidR="008C66DB" w:rsidRPr="00307E20" w:rsidRDefault="008C66DB" w:rsidP="008C66DB">
      <w:pPr>
        <w:rPr>
          <w:rFonts w:ascii="Calibri" w:hAnsi="Calibri" w:cs="Calibri"/>
          <w:sz w:val="18"/>
          <w:szCs w:val="18"/>
        </w:rPr>
      </w:pPr>
      <w:r w:rsidRPr="00307E20">
        <w:rPr>
          <w:rFonts w:ascii="Calibri" w:hAnsi="Calibri" w:cs="Calibri"/>
          <w:sz w:val="18"/>
          <w:szCs w:val="18"/>
        </w:rPr>
        <w:t>Powierzchnia jezdni przed wykonaniem znakowania poziomego musi być całkowicie czysta i sucha.</w:t>
      </w:r>
    </w:p>
    <w:p w14:paraId="6D0C0662" w14:textId="77777777" w:rsidR="008C66DB" w:rsidRPr="00307E20" w:rsidRDefault="008C66DB" w:rsidP="008C66DB">
      <w:pPr>
        <w:rPr>
          <w:rFonts w:ascii="Calibri" w:hAnsi="Calibri" w:cs="Calibri"/>
          <w:sz w:val="18"/>
          <w:szCs w:val="18"/>
        </w:rPr>
      </w:pPr>
      <w:r w:rsidRPr="00307E20">
        <w:rPr>
          <w:rFonts w:ascii="Calibri" w:hAnsi="Calibri" w:cs="Calibri"/>
          <w:sz w:val="18"/>
          <w:szCs w:val="18"/>
        </w:rPr>
        <w:t>Przedznakowanie powinno być wykonane zgodnie z wymaganiami punktu 5</w:t>
      </w:r>
    </w:p>
    <w:p w14:paraId="015DCF7F" w14:textId="77777777" w:rsidR="008C66DB" w:rsidRPr="00307E20" w:rsidRDefault="008C66DB" w:rsidP="008C66DB">
      <w:pPr>
        <w:pStyle w:val="Nagwek4"/>
        <w:rPr>
          <w:rFonts w:ascii="Calibri" w:hAnsi="Calibri" w:cs="Calibri"/>
          <w:sz w:val="18"/>
          <w:szCs w:val="18"/>
        </w:rPr>
      </w:pPr>
      <w:bookmarkStart w:id="762" w:name="_Toc235079976"/>
      <w:r w:rsidRPr="00307E20">
        <w:rPr>
          <w:rFonts w:ascii="Calibri" w:hAnsi="Calibri" w:cs="Calibri"/>
          <w:sz w:val="18"/>
          <w:szCs w:val="18"/>
        </w:rPr>
        <w:t>6.3. Badania wykonania oznakowania poziomego</w:t>
      </w:r>
      <w:bookmarkEnd w:id="762"/>
    </w:p>
    <w:p w14:paraId="06EDF236" w14:textId="77777777" w:rsidR="008C66DB" w:rsidRPr="00307E20" w:rsidRDefault="008C66DB" w:rsidP="008C66DB">
      <w:pPr>
        <w:rPr>
          <w:rFonts w:ascii="Calibri" w:hAnsi="Calibri" w:cs="Calibri"/>
          <w:b/>
          <w:bCs/>
          <w:i/>
          <w:iCs/>
          <w:sz w:val="18"/>
          <w:szCs w:val="18"/>
        </w:rPr>
      </w:pPr>
      <w:r w:rsidRPr="00307E20">
        <w:rPr>
          <w:rFonts w:ascii="Calibri" w:hAnsi="Calibri" w:cs="Calibri"/>
          <w:b/>
          <w:bCs/>
          <w:i/>
          <w:iCs/>
          <w:sz w:val="18"/>
          <w:szCs w:val="18"/>
        </w:rPr>
        <w:t>6.3.1. Wymagania wobec oznakowania poziomego</w:t>
      </w:r>
    </w:p>
    <w:p w14:paraId="7171C87F" w14:textId="77777777" w:rsidR="008C66DB" w:rsidRPr="00307E20" w:rsidRDefault="008C66DB" w:rsidP="008C66DB">
      <w:pPr>
        <w:spacing w:before="120"/>
        <w:rPr>
          <w:rFonts w:ascii="Calibri" w:hAnsi="Calibri" w:cs="Calibri"/>
          <w:i/>
          <w:iCs/>
          <w:sz w:val="18"/>
          <w:szCs w:val="18"/>
        </w:rPr>
      </w:pPr>
      <w:r w:rsidRPr="00307E20">
        <w:rPr>
          <w:rFonts w:ascii="Calibri" w:hAnsi="Calibri" w:cs="Calibri"/>
          <w:i/>
          <w:iCs/>
          <w:sz w:val="18"/>
          <w:szCs w:val="18"/>
        </w:rPr>
        <w:t>6.3.1.1. Widzialność w dzień</w:t>
      </w:r>
    </w:p>
    <w:p w14:paraId="3525B566" w14:textId="77777777" w:rsidR="008C66DB" w:rsidRPr="00307E20" w:rsidRDefault="008C66DB" w:rsidP="008C66DB">
      <w:pPr>
        <w:spacing w:before="120"/>
        <w:rPr>
          <w:rFonts w:ascii="Calibri" w:hAnsi="Calibri" w:cs="Calibri"/>
          <w:sz w:val="18"/>
          <w:szCs w:val="18"/>
        </w:rPr>
      </w:pPr>
      <w:r w:rsidRPr="00307E20">
        <w:rPr>
          <w:rFonts w:ascii="Calibri" w:hAnsi="Calibri" w:cs="Calibri"/>
          <w:sz w:val="18"/>
          <w:szCs w:val="18"/>
        </w:rPr>
        <w:t>Widzialność oznakowania w dzień jest określona współczynnikiem luminancji i barwą oznakowania.</w:t>
      </w:r>
    </w:p>
    <w:p w14:paraId="02ACD2AA" w14:textId="77777777" w:rsidR="008C66DB" w:rsidRPr="00307E20" w:rsidRDefault="008C66DB" w:rsidP="008C66DB">
      <w:pPr>
        <w:rPr>
          <w:rFonts w:ascii="Calibri" w:hAnsi="Calibri" w:cs="Calibri"/>
          <w:sz w:val="18"/>
          <w:szCs w:val="18"/>
        </w:rPr>
      </w:pPr>
      <w:r w:rsidRPr="00307E20">
        <w:rPr>
          <w:rFonts w:ascii="Calibri" w:hAnsi="Calibri" w:cs="Calibri"/>
          <w:sz w:val="18"/>
          <w:szCs w:val="18"/>
        </w:rPr>
        <w:t>Do określenia odbicia światła dziennego lub odbicia oświetlenia drogi od oznakowania stosuje się współczynnik luminancji w świetle rozproszonym Q = L/E, gdzie:</w:t>
      </w:r>
    </w:p>
    <w:p w14:paraId="3B1A779C" w14:textId="77777777" w:rsidR="008C66DB" w:rsidRPr="00307E20" w:rsidRDefault="008C66DB" w:rsidP="008C66DB">
      <w:pPr>
        <w:rPr>
          <w:rFonts w:ascii="Calibri" w:hAnsi="Calibri" w:cs="Calibri"/>
          <w:sz w:val="18"/>
          <w:szCs w:val="18"/>
        </w:rPr>
      </w:pPr>
      <w:r w:rsidRPr="00307E20">
        <w:rPr>
          <w:rFonts w:ascii="Calibri" w:hAnsi="Calibri" w:cs="Calibri"/>
          <w:sz w:val="18"/>
          <w:szCs w:val="18"/>
        </w:rPr>
        <w:t>Q - współczynnik luminancji w świetle rozproszonym, mcd m</w:t>
      </w:r>
      <w:r w:rsidRPr="00307E20">
        <w:rPr>
          <w:rFonts w:ascii="Calibri" w:hAnsi="Calibri" w:cs="Calibri"/>
          <w:sz w:val="18"/>
          <w:szCs w:val="18"/>
          <w:vertAlign w:val="superscript"/>
        </w:rPr>
        <w:t>-2</w:t>
      </w:r>
      <w:r w:rsidRPr="00307E20">
        <w:rPr>
          <w:rFonts w:ascii="Calibri" w:hAnsi="Calibri" w:cs="Calibri"/>
          <w:sz w:val="18"/>
          <w:szCs w:val="18"/>
        </w:rPr>
        <w:t xml:space="preserve"> lx</w:t>
      </w:r>
      <w:r w:rsidRPr="00307E20">
        <w:rPr>
          <w:rFonts w:ascii="Calibri" w:hAnsi="Calibri" w:cs="Calibri"/>
          <w:sz w:val="18"/>
          <w:szCs w:val="18"/>
          <w:vertAlign w:val="superscript"/>
        </w:rPr>
        <w:t>-1</w:t>
      </w:r>
      <w:r w:rsidRPr="00307E20">
        <w:rPr>
          <w:rFonts w:ascii="Calibri" w:hAnsi="Calibri" w:cs="Calibri"/>
          <w:sz w:val="18"/>
          <w:szCs w:val="18"/>
        </w:rPr>
        <w:t>,</w:t>
      </w:r>
    </w:p>
    <w:p w14:paraId="016B69D4" w14:textId="77777777" w:rsidR="008C66DB" w:rsidRPr="00307E20" w:rsidRDefault="008C66DB" w:rsidP="008C66DB">
      <w:pPr>
        <w:rPr>
          <w:rFonts w:ascii="Calibri" w:hAnsi="Calibri" w:cs="Calibri"/>
          <w:sz w:val="18"/>
          <w:szCs w:val="18"/>
        </w:rPr>
      </w:pPr>
      <w:r w:rsidRPr="00307E20">
        <w:rPr>
          <w:rFonts w:ascii="Calibri" w:hAnsi="Calibri" w:cs="Calibri"/>
          <w:sz w:val="18"/>
          <w:szCs w:val="18"/>
        </w:rPr>
        <w:t>L - luminancja pola w świetle rozproszonym, mcd/m</w:t>
      </w:r>
      <w:r w:rsidRPr="00307E20">
        <w:rPr>
          <w:rFonts w:ascii="Calibri" w:hAnsi="Calibri" w:cs="Calibri"/>
          <w:sz w:val="18"/>
          <w:szCs w:val="18"/>
          <w:vertAlign w:val="superscript"/>
        </w:rPr>
        <w:t>2</w:t>
      </w:r>
      <w:r w:rsidRPr="00307E20">
        <w:rPr>
          <w:rFonts w:ascii="Calibri" w:hAnsi="Calibri" w:cs="Calibri"/>
          <w:sz w:val="18"/>
          <w:szCs w:val="18"/>
        </w:rPr>
        <w:t>,</w:t>
      </w:r>
    </w:p>
    <w:p w14:paraId="10C79F71" w14:textId="77777777" w:rsidR="008C66DB" w:rsidRPr="00307E20" w:rsidRDefault="008C66DB" w:rsidP="008C66DB">
      <w:pPr>
        <w:rPr>
          <w:rFonts w:ascii="Calibri" w:hAnsi="Calibri" w:cs="Calibri"/>
          <w:sz w:val="18"/>
          <w:szCs w:val="18"/>
        </w:rPr>
      </w:pPr>
      <w:r w:rsidRPr="00307E20">
        <w:rPr>
          <w:rFonts w:ascii="Calibri" w:hAnsi="Calibri" w:cs="Calibri"/>
          <w:sz w:val="18"/>
          <w:szCs w:val="18"/>
        </w:rPr>
        <w:t>E - oświetlenie płaszczyzny pola, lx.</w:t>
      </w:r>
    </w:p>
    <w:p w14:paraId="553C7915" w14:textId="77777777" w:rsidR="008C66DB" w:rsidRPr="00307E20" w:rsidRDefault="008C66DB" w:rsidP="008C66DB">
      <w:pPr>
        <w:rPr>
          <w:rFonts w:ascii="Calibri" w:hAnsi="Calibri" w:cs="Calibri"/>
          <w:sz w:val="18"/>
          <w:szCs w:val="18"/>
        </w:rPr>
      </w:pPr>
      <w:r w:rsidRPr="00307E20">
        <w:rPr>
          <w:rFonts w:ascii="Calibri" w:hAnsi="Calibri" w:cs="Calibri"/>
          <w:sz w:val="18"/>
          <w:szCs w:val="18"/>
        </w:rPr>
        <w:t>Pomiary luminancji w świetle rozproszonym wykonuje się w praktyce miernikiem luminancji wg POD-97. Wartość współczynnika Q powinna wynosić dla oznakowania świeżego, barwy:</w:t>
      </w:r>
    </w:p>
    <w:p w14:paraId="0BFE0777" w14:textId="77777777" w:rsidR="008C66DB" w:rsidRPr="00307E20" w:rsidRDefault="008C66DB" w:rsidP="008C66DB">
      <w:pPr>
        <w:numPr>
          <w:ilvl w:val="0"/>
          <w:numId w:val="1"/>
        </w:numPr>
        <w:rPr>
          <w:rFonts w:ascii="Calibri" w:hAnsi="Calibri" w:cs="Calibri"/>
          <w:sz w:val="18"/>
          <w:szCs w:val="18"/>
        </w:rPr>
      </w:pPr>
      <w:r w:rsidRPr="00307E20">
        <w:rPr>
          <w:rFonts w:ascii="Calibri" w:hAnsi="Calibri" w:cs="Calibri"/>
          <w:sz w:val="18"/>
          <w:szCs w:val="18"/>
        </w:rPr>
        <w:t>białej, co najmniej 130 mcd m</w:t>
      </w:r>
      <w:r w:rsidRPr="00307E20">
        <w:rPr>
          <w:rFonts w:ascii="Calibri" w:hAnsi="Calibri" w:cs="Calibri"/>
          <w:sz w:val="18"/>
          <w:szCs w:val="18"/>
          <w:vertAlign w:val="superscript"/>
        </w:rPr>
        <w:t>-2</w:t>
      </w:r>
      <w:r w:rsidRPr="00307E20">
        <w:rPr>
          <w:rFonts w:ascii="Calibri" w:hAnsi="Calibri" w:cs="Calibri"/>
          <w:sz w:val="18"/>
          <w:szCs w:val="18"/>
        </w:rPr>
        <w:t xml:space="preserve"> lx</w:t>
      </w:r>
      <w:r w:rsidRPr="00307E20">
        <w:rPr>
          <w:rFonts w:ascii="Calibri" w:hAnsi="Calibri" w:cs="Calibri"/>
          <w:sz w:val="18"/>
          <w:szCs w:val="18"/>
          <w:vertAlign w:val="superscript"/>
        </w:rPr>
        <w:t>-1</w:t>
      </w:r>
      <w:r w:rsidRPr="00307E20">
        <w:rPr>
          <w:rFonts w:ascii="Calibri" w:hAnsi="Calibri" w:cs="Calibri"/>
          <w:sz w:val="18"/>
          <w:szCs w:val="18"/>
        </w:rPr>
        <w:t>,</w:t>
      </w:r>
    </w:p>
    <w:p w14:paraId="2B712085" w14:textId="77777777" w:rsidR="008C66DB" w:rsidRPr="00307E20" w:rsidRDefault="008C66DB" w:rsidP="008C66DB">
      <w:pPr>
        <w:numPr>
          <w:ilvl w:val="0"/>
          <w:numId w:val="1"/>
        </w:numPr>
        <w:rPr>
          <w:rFonts w:ascii="Calibri" w:hAnsi="Calibri" w:cs="Calibri"/>
          <w:sz w:val="18"/>
          <w:szCs w:val="18"/>
        </w:rPr>
      </w:pPr>
      <w:r w:rsidRPr="00307E20">
        <w:rPr>
          <w:rFonts w:ascii="Calibri" w:hAnsi="Calibri" w:cs="Calibri"/>
          <w:sz w:val="18"/>
          <w:szCs w:val="18"/>
        </w:rPr>
        <w:t>żółtej, co najmniej 100 mcd m</w:t>
      </w:r>
      <w:r w:rsidRPr="00307E20">
        <w:rPr>
          <w:rFonts w:ascii="Calibri" w:hAnsi="Calibri" w:cs="Calibri"/>
          <w:sz w:val="18"/>
          <w:szCs w:val="18"/>
          <w:vertAlign w:val="superscript"/>
        </w:rPr>
        <w:t>-2</w:t>
      </w:r>
      <w:r w:rsidRPr="00307E20">
        <w:rPr>
          <w:rFonts w:ascii="Calibri" w:hAnsi="Calibri" w:cs="Calibri"/>
          <w:sz w:val="18"/>
          <w:szCs w:val="18"/>
        </w:rPr>
        <w:t xml:space="preserve"> lx</w:t>
      </w:r>
      <w:r w:rsidRPr="00307E20">
        <w:rPr>
          <w:rFonts w:ascii="Calibri" w:hAnsi="Calibri" w:cs="Calibri"/>
          <w:sz w:val="18"/>
          <w:szCs w:val="18"/>
          <w:vertAlign w:val="superscript"/>
        </w:rPr>
        <w:t>-1</w:t>
      </w:r>
      <w:r w:rsidRPr="00307E20">
        <w:rPr>
          <w:rFonts w:ascii="Calibri" w:hAnsi="Calibri" w:cs="Calibri"/>
          <w:sz w:val="18"/>
          <w:szCs w:val="18"/>
        </w:rPr>
        <w:t>.</w:t>
      </w:r>
    </w:p>
    <w:p w14:paraId="2DF96250" w14:textId="77777777" w:rsidR="008C66DB" w:rsidRPr="00307E20" w:rsidRDefault="008C66DB" w:rsidP="008C66DB">
      <w:pPr>
        <w:rPr>
          <w:rFonts w:ascii="Calibri" w:hAnsi="Calibri" w:cs="Calibri"/>
          <w:sz w:val="18"/>
          <w:szCs w:val="18"/>
        </w:rPr>
      </w:pPr>
      <w:r w:rsidRPr="00307E20">
        <w:rPr>
          <w:rFonts w:ascii="Calibri" w:hAnsi="Calibri" w:cs="Calibri"/>
          <w:sz w:val="18"/>
          <w:szCs w:val="18"/>
        </w:rPr>
        <w:t xml:space="preserve">Pomiar współczynnika luminancji w świetle rozproszonym może być zastąpiony pomiarem współczynnika luminancji </w:t>
      </w:r>
      <w:r w:rsidRPr="00307E20">
        <w:rPr>
          <w:rFonts w:ascii="Calibri" w:hAnsi="Calibri" w:cs="Calibri"/>
          <w:sz w:val="18"/>
          <w:szCs w:val="18"/>
        </w:rPr>
        <w:sym w:font="Symbol" w:char="F062"/>
      </w:r>
      <w:r w:rsidRPr="00307E20">
        <w:rPr>
          <w:rFonts w:ascii="Calibri" w:hAnsi="Calibri" w:cs="Calibri"/>
          <w:sz w:val="18"/>
          <w:szCs w:val="18"/>
        </w:rPr>
        <w:t xml:space="preserve">, wg POD-97. Wartość współczynnika </w:t>
      </w:r>
      <w:r w:rsidRPr="00307E20">
        <w:rPr>
          <w:rFonts w:ascii="Calibri" w:hAnsi="Calibri" w:cs="Calibri"/>
          <w:sz w:val="18"/>
          <w:szCs w:val="18"/>
        </w:rPr>
        <w:sym w:font="Symbol" w:char="F062"/>
      </w:r>
      <w:r w:rsidRPr="00307E20">
        <w:rPr>
          <w:rFonts w:ascii="Calibri" w:hAnsi="Calibri" w:cs="Calibri"/>
          <w:sz w:val="18"/>
          <w:szCs w:val="18"/>
        </w:rPr>
        <w:t xml:space="preserve"> powinna wynosić dla oznakowania świeżego, barwy:</w:t>
      </w:r>
    </w:p>
    <w:p w14:paraId="533D624A" w14:textId="77777777" w:rsidR="008C66DB" w:rsidRPr="00307E20" w:rsidRDefault="008C66DB" w:rsidP="008C66DB">
      <w:pPr>
        <w:numPr>
          <w:ilvl w:val="0"/>
          <w:numId w:val="1"/>
        </w:numPr>
        <w:rPr>
          <w:rFonts w:ascii="Calibri" w:hAnsi="Calibri" w:cs="Calibri"/>
          <w:sz w:val="18"/>
          <w:szCs w:val="18"/>
        </w:rPr>
      </w:pPr>
      <w:r w:rsidRPr="00307E20">
        <w:rPr>
          <w:rFonts w:ascii="Calibri" w:hAnsi="Calibri" w:cs="Calibri"/>
          <w:sz w:val="18"/>
          <w:szCs w:val="18"/>
        </w:rPr>
        <w:t>białej, co najmniej 0,60,</w:t>
      </w:r>
    </w:p>
    <w:p w14:paraId="74F098CE" w14:textId="77777777" w:rsidR="008C66DB" w:rsidRPr="00307E20" w:rsidRDefault="008C66DB" w:rsidP="008C66DB">
      <w:pPr>
        <w:numPr>
          <w:ilvl w:val="0"/>
          <w:numId w:val="1"/>
        </w:numPr>
        <w:rPr>
          <w:rFonts w:ascii="Calibri" w:hAnsi="Calibri" w:cs="Calibri"/>
          <w:sz w:val="18"/>
          <w:szCs w:val="18"/>
        </w:rPr>
      </w:pPr>
      <w:r w:rsidRPr="00307E20">
        <w:rPr>
          <w:rFonts w:ascii="Calibri" w:hAnsi="Calibri" w:cs="Calibri"/>
          <w:sz w:val="18"/>
          <w:szCs w:val="18"/>
        </w:rPr>
        <w:t>żółtej, co najmniej 0,40.</w:t>
      </w:r>
    </w:p>
    <w:p w14:paraId="4D231491" w14:textId="77777777" w:rsidR="008C66DB" w:rsidRPr="00307E20" w:rsidRDefault="008C66DB" w:rsidP="008C66DB">
      <w:pPr>
        <w:rPr>
          <w:rFonts w:ascii="Calibri" w:hAnsi="Calibri" w:cs="Calibri"/>
          <w:sz w:val="18"/>
          <w:szCs w:val="18"/>
        </w:rPr>
      </w:pPr>
      <w:r w:rsidRPr="00307E20">
        <w:rPr>
          <w:rFonts w:ascii="Calibri" w:hAnsi="Calibri" w:cs="Calibri"/>
          <w:sz w:val="18"/>
          <w:szCs w:val="18"/>
        </w:rPr>
        <w:t xml:space="preserve">Wartość współczynnika </w:t>
      </w:r>
      <w:r w:rsidRPr="00307E20">
        <w:rPr>
          <w:rFonts w:ascii="Calibri" w:hAnsi="Calibri" w:cs="Calibri"/>
          <w:sz w:val="18"/>
          <w:szCs w:val="18"/>
        </w:rPr>
        <w:sym w:font="Symbol" w:char="F062"/>
      </w:r>
      <w:r w:rsidRPr="00307E20">
        <w:rPr>
          <w:rFonts w:ascii="Calibri" w:hAnsi="Calibri" w:cs="Calibri"/>
          <w:sz w:val="18"/>
          <w:szCs w:val="18"/>
        </w:rPr>
        <w:t xml:space="preserve"> powinna wynosić dla oznakowania używanego barwy:</w:t>
      </w:r>
    </w:p>
    <w:p w14:paraId="55D8D0B9" w14:textId="77777777" w:rsidR="008C66DB" w:rsidRPr="00307E20" w:rsidRDefault="008C66DB" w:rsidP="008C66DB">
      <w:pPr>
        <w:numPr>
          <w:ilvl w:val="0"/>
          <w:numId w:val="1"/>
        </w:numPr>
        <w:rPr>
          <w:rFonts w:ascii="Calibri" w:hAnsi="Calibri" w:cs="Calibri"/>
          <w:sz w:val="18"/>
          <w:szCs w:val="18"/>
        </w:rPr>
      </w:pPr>
      <w:r w:rsidRPr="00307E20">
        <w:rPr>
          <w:rFonts w:ascii="Calibri" w:hAnsi="Calibri" w:cs="Calibri"/>
          <w:sz w:val="18"/>
          <w:szCs w:val="18"/>
        </w:rPr>
        <w:t>białej, po 12 miesiącach używalności, co najmniej 0,30,</w:t>
      </w:r>
    </w:p>
    <w:p w14:paraId="79CC1F12" w14:textId="77777777" w:rsidR="008C66DB" w:rsidRPr="00307E20" w:rsidRDefault="008C66DB" w:rsidP="008C66DB">
      <w:pPr>
        <w:numPr>
          <w:ilvl w:val="0"/>
          <w:numId w:val="1"/>
        </w:numPr>
        <w:rPr>
          <w:rFonts w:ascii="Calibri" w:hAnsi="Calibri" w:cs="Calibri"/>
          <w:sz w:val="18"/>
          <w:szCs w:val="18"/>
        </w:rPr>
      </w:pPr>
      <w:r w:rsidRPr="00307E20">
        <w:rPr>
          <w:rFonts w:ascii="Calibri" w:hAnsi="Calibri" w:cs="Calibri"/>
          <w:sz w:val="18"/>
          <w:szCs w:val="18"/>
        </w:rPr>
        <w:t>żółtej, po 1 miesiącu używalności, co najmniej 0,20.</w:t>
      </w:r>
    </w:p>
    <w:p w14:paraId="26D0FBE3" w14:textId="77777777" w:rsidR="008C66DB" w:rsidRPr="00307E20" w:rsidRDefault="008C66DB" w:rsidP="008C66DB">
      <w:pPr>
        <w:rPr>
          <w:rFonts w:ascii="Calibri" w:hAnsi="Calibri" w:cs="Calibri"/>
          <w:sz w:val="18"/>
          <w:szCs w:val="18"/>
        </w:rPr>
      </w:pPr>
      <w:r w:rsidRPr="00307E20">
        <w:rPr>
          <w:rFonts w:ascii="Calibri" w:hAnsi="Calibri" w:cs="Calibri"/>
          <w:sz w:val="18"/>
          <w:szCs w:val="18"/>
        </w:rPr>
        <w:t>Barwa oznakowania powinna być określona wg POD-97 przez współrzędne chromatyczności x i y, które dla suchego oznakowania powinny leżeć w obszarze zdefiniowanym przez cztery punkty narożne:</w:t>
      </w:r>
    </w:p>
    <w:tbl>
      <w:tblPr>
        <w:tblW w:w="0" w:type="auto"/>
        <w:tblInd w:w="2" w:type="dxa"/>
        <w:tblLayout w:type="fixed"/>
        <w:tblCellMar>
          <w:left w:w="70" w:type="dxa"/>
          <w:right w:w="70" w:type="dxa"/>
        </w:tblCellMar>
        <w:tblLook w:val="0000" w:firstRow="0" w:lastRow="0" w:firstColumn="0" w:lastColumn="0" w:noHBand="0" w:noVBand="0"/>
      </w:tblPr>
      <w:tblGrid>
        <w:gridCol w:w="2197"/>
        <w:gridCol w:w="1062"/>
        <w:gridCol w:w="1062"/>
        <w:gridCol w:w="1062"/>
        <w:gridCol w:w="1062"/>
        <w:gridCol w:w="1062"/>
      </w:tblGrid>
      <w:tr w:rsidR="008C66DB" w:rsidRPr="00307E20" w14:paraId="5B562BC9" w14:textId="77777777" w:rsidTr="008C66DB">
        <w:tc>
          <w:tcPr>
            <w:tcW w:w="2197" w:type="dxa"/>
          </w:tcPr>
          <w:p w14:paraId="3A5C012B" w14:textId="77777777" w:rsidR="008C66DB" w:rsidRPr="00307E20" w:rsidRDefault="008C66DB" w:rsidP="008C66DB">
            <w:pPr>
              <w:spacing w:after="60"/>
              <w:rPr>
                <w:rFonts w:ascii="Calibri" w:hAnsi="Calibri" w:cs="Calibri"/>
                <w:sz w:val="18"/>
                <w:szCs w:val="18"/>
              </w:rPr>
            </w:pPr>
            <w:r w:rsidRPr="00307E20">
              <w:rPr>
                <w:rFonts w:ascii="Calibri" w:hAnsi="Calibri" w:cs="Calibri"/>
                <w:sz w:val="18"/>
                <w:szCs w:val="18"/>
              </w:rPr>
              <w:t>Punkt narożny</w:t>
            </w:r>
          </w:p>
        </w:tc>
        <w:tc>
          <w:tcPr>
            <w:tcW w:w="1062" w:type="dxa"/>
          </w:tcPr>
          <w:p w14:paraId="76A58FF5" w14:textId="77777777" w:rsidR="008C66DB" w:rsidRPr="00307E20" w:rsidRDefault="008C66DB" w:rsidP="008C66DB">
            <w:pPr>
              <w:spacing w:after="60"/>
              <w:rPr>
                <w:rFonts w:ascii="Calibri" w:hAnsi="Calibri" w:cs="Calibri"/>
                <w:sz w:val="18"/>
                <w:szCs w:val="18"/>
              </w:rPr>
            </w:pPr>
          </w:p>
        </w:tc>
        <w:tc>
          <w:tcPr>
            <w:tcW w:w="1062" w:type="dxa"/>
          </w:tcPr>
          <w:p w14:paraId="489092D4" w14:textId="77777777" w:rsidR="008C66DB" w:rsidRPr="00307E20" w:rsidRDefault="008C66DB" w:rsidP="008C66DB">
            <w:pPr>
              <w:spacing w:after="60"/>
              <w:rPr>
                <w:rFonts w:ascii="Calibri" w:hAnsi="Calibri" w:cs="Calibri"/>
                <w:sz w:val="18"/>
                <w:szCs w:val="18"/>
              </w:rPr>
            </w:pPr>
            <w:r w:rsidRPr="00307E20">
              <w:rPr>
                <w:rFonts w:ascii="Calibri" w:hAnsi="Calibri" w:cs="Calibri"/>
                <w:sz w:val="18"/>
                <w:szCs w:val="18"/>
              </w:rPr>
              <w:t>1</w:t>
            </w:r>
          </w:p>
        </w:tc>
        <w:tc>
          <w:tcPr>
            <w:tcW w:w="1062" w:type="dxa"/>
          </w:tcPr>
          <w:p w14:paraId="6D5DAD59" w14:textId="77777777" w:rsidR="008C66DB" w:rsidRPr="00307E20" w:rsidRDefault="008C66DB" w:rsidP="008C66DB">
            <w:pPr>
              <w:spacing w:after="60"/>
              <w:rPr>
                <w:rFonts w:ascii="Calibri" w:hAnsi="Calibri" w:cs="Calibri"/>
                <w:sz w:val="18"/>
                <w:szCs w:val="18"/>
              </w:rPr>
            </w:pPr>
            <w:r w:rsidRPr="00307E20">
              <w:rPr>
                <w:rFonts w:ascii="Calibri" w:hAnsi="Calibri" w:cs="Calibri"/>
                <w:sz w:val="18"/>
                <w:szCs w:val="18"/>
              </w:rPr>
              <w:t>2</w:t>
            </w:r>
          </w:p>
        </w:tc>
        <w:tc>
          <w:tcPr>
            <w:tcW w:w="1062" w:type="dxa"/>
          </w:tcPr>
          <w:p w14:paraId="3DD02379" w14:textId="77777777" w:rsidR="008C66DB" w:rsidRPr="00307E20" w:rsidRDefault="008C66DB" w:rsidP="008C66DB">
            <w:pPr>
              <w:spacing w:after="60"/>
              <w:rPr>
                <w:rFonts w:ascii="Calibri" w:hAnsi="Calibri" w:cs="Calibri"/>
                <w:sz w:val="18"/>
                <w:szCs w:val="18"/>
              </w:rPr>
            </w:pPr>
            <w:r w:rsidRPr="00307E20">
              <w:rPr>
                <w:rFonts w:ascii="Calibri" w:hAnsi="Calibri" w:cs="Calibri"/>
                <w:sz w:val="18"/>
                <w:szCs w:val="18"/>
              </w:rPr>
              <w:t>3</w:t>
            </w:r>
          </w:p>
        </w:tc>
        <w:tc>
          <w:tcPr>
            <w:tcW w:w="1062" w:type="dxa"/>
          </w:tcPr>
          <w:p w14:paraId="74EDA169" w14:textId="77777777" w:rsidR="008C66DB" w:rsidRPr="00307E20" w:rsidRDefault="008C66DB" w:rsidP="008C66DB">
            <w:pPr>
              <w:spacing w:after="60"/>
              <w:rPr>
                <w:rFonts w:ascii="Calibri" w:hAnsi="Calibri" w:cs="Calibri"/>
                <w:sz w:val="18"/>
                <w:szCs w:val="18"/>
              </w:rPr>
            </w:pPr>
            <w:r w:rsidRPr="00307E20">
              <w:rPr>
                <w:rFonts w:ascii="Calibri" w:hAnsi="Calibri" w:cs="Calibri"/>
                <w:sz w:val="18"/>
                <w:szCs w:val="18"/>
              </w:rPr>
              <w:t>4</w:t>
            </w:r>
          </w:p>
        </w:tc>
      </w:tr>
      <w:tr w:rsidR="008C66DB" w:rsidRPr="00307E20" w14:paraId="36BD6030" w14:textId="77777777" w:rsidTr="008C66DB">
        <w:tc>
          <w:tcPr>
            <w:tcW w:w="2197" w:type="dxa"/>
          </w:tcPr>
          <w:p w14:paraId="13DA9491" w14:textId="77777777" w:rsidR="008C66DB" w:rsidRPr="00307E20" w:rsidRDefault="008C66DB" w:rsidP="008C66DB">
            <w:pPr>
              <w:rPr>
                <w:rFonts w:ascii="Calibri" w:hAnsi="Calibri" w:cs="Calibri"/>
                <w:sz w:val="18"/>
                <w:szCs w:val="18"/>
              </w:rPr>
            </w:pPr>
            <w:r w:rsidRPr="00307E20">
              <w:rPr>
                <w:rFonts w:ascii="Calibri" w:hAnsi="Calibri" w:cs="Calibri"/>
                <w:sz w:val="18"/>
                <w:szCs w:val="18"/>
              </w:rPr>
              <w:t>Oznakowanie białe:</w:t>
            </w:r>
          </w:p>
        </w:tc>
        <w:tc>
          <w:tcPr>
            <w:tcW w:w="1062" w:type="dxa"/>
          </w:tcPr>
          <w:p w14:paraId="43822A49" w14:textId="77777777" w:rsidR="008C66DB" w:rsidRPr="00307E20" w:rsidRDefault="008C66DB" w:rsidP="008C66DB">
            <w:pPr>
              <w:rPr>
                <w:rFonts w:ascii="Calibri" w:hAnsi="Calibri" w:cs="Calibri"/>
                <w:sz w:val="18"/>
                <w:szCs w:val="18"/>
              </w:rPr>
            </w:pPr>
            <w:r w:rsidRPr="00307E20">
              <w:rPr>
                <w:rFonts w:ascii="Calibri" w:hAnsi="Calibri" w:cs="Calibri"/>
                <w:sz w:val="18"/>
                <w:szCs w:val="18"/>
              </w:rPr>
              <w:t>x</w:t>
            </w:r>
          </w:p>
          <w:p w14:paraId="739D016B" w14:textId="77777777" w:rsidR="008C66DB" w:rsidRPr="00307E20" w:rsidRDefault="008C66DB" w:rsidP="008C66DB">
            <w:pPr>
              <w:spacing w:after="60"/>
              <w:rPr>
                <w:rFonts w:ascii="Calibri" w:hAnsi="Calibri" w:cs="Calibri"/>
                <w:sz w:val="18"/>
                <w:szCs w:val="18"/>
              </w:rPr>
            </w:pPr>
            <w:r w:rsidRPr="00307E20">
              <w:rPr>
                <w:rFonts w:ascii="Calibri" w:hAnsi="Calibri" w:cs="Calibri"/>
                <w:sz w:val="18"/>
                <w:szCs w:val="18"/>
              </w:rPr>
              <w:t>y</w:t>
            </w:r>
          </w:p>
        </w:tc>
        <w:tc>
          <w:tcPr>
            <w:tcW w:w="1062" w:type="dxa"/>
          </w:tcPr>
          <w:p w14:paraId="694C49F9" w14:textId="77777777" w:rsidR="008C66DB" w:rsidRPr="00307E20" w:rsidRDefault="008C66DB" w:rsidP="008C66DB">
            <w:pPr>
              <w:rPr>
                <w:rFonts w:ascii="Calibri" w:hAnsi="Calibri" w:cs="Calibri"/>
                <w:sz w:val="18"/>
                <w:szCs w:val="18"/>
              </w:rPr>
            </w:pPr>
            <w:r w:rsidRPr="00307E20">
              <w:rPr>
                <w:rFonts w:ascii="Calibri" w:hAnsi="Calibri" w:cs="Calibri"/>
                <w:sz w:val="18"/>
                <w:szCs w:val="18"/>
              </w:rPr>
              <w:t>0,4</w:t>
            </w:r>
          </w:p>
          <w:p w14:paraId="2EBEC913" w14:textId="77777777" w:rsidR="008C66DB" w:rsidRPr="00307E20" w:rsidRDefault="008C66DB" w:rsidP="008C66DB">
            <w:pPr>
              <w:rPr>
                <w:rFonts w:ascii="Calibri" w:hAnsi="Calibri" w:cs="Calibri"/>
                <w:sz w:val="18"/>
                <w:szCs w:val="18"/>
              </w:rPr>
            </w:pPr>
            <w:r w:rsidRPr="00307E20">
              <w:rPr>
                <w:rFonts w:ascii="Calibri" w:hAnsi="Calibri" w:cs="Calibri"/>
                <w:sz w:val="18"/>
                <w:szCs w:val="18"/>
              </w:rPr>
              <w:t>0,4</w:t>
            </w:r>
          </w:p>
        </w:tc>
        <w:tc>
          <w:tcPr>
            <w:tcW w:w="1062" w:type="dxa"/>
          </w:tcPr>
          <w:p w14:paraId="68349BCA" w14:textId="77777777" w:rsidR="008C66DB" w:rsidRPr="00307E20" w:rsidRDefault="008C66DB" w:rsidP="008C66DB">
            <w:pPr>
              <w:rPr>
                <w:rFonts w:ascii="Calibri" w:hAnsi="Calibri" w:cs="Calibri"/>
                <w:sz w:val="18"/>
                <w:szCs w:val="18"/>
              </w:rPr>
            </w:pPr>
            <w:r w:rsidRPr="00307E20">
              <w:rPr>
                <w:rFonts w:ascii="Calibri" w:hAnsi="Calibri" w:cs="Calibri"/>
                <w:sz w:val="18"/>
                <w:szCs w:val="18"/>
              </w:rPr>
              <w:t>0,3</w:t>
            </w:r>
          </w:p>
          <w:p w14:paraId="454995EF" w14:textId="77777777" w:rsidR="008C66DB" w:rsidRPr="00307E20" w:rsidRDefault="008C66DB" w:rsidP="008C66DB">
            <w:pPr>
              <w:rPr>
                <w:rFonts w:ascii="Calibri" w:hAnsi="Calibri" w:cs="Calibri"/>
                <w:sz w:val="18"/>
                <w:szCs w:val="18"/>
              </w:rPr>
            </w:pPr>
            <w:r w:rsidRPr="00307E20">
              <w:rPr>
                <w:rFonts w:ascii="Calibri" w:hAnsi="Calibri" w:cs="Calibri"/>
                <w:sz w:val="18"/>
                <w:szCs w:val="18"/>
              </w:rPr>
              <w:t>0,3</w:t>
            </w:r>
          </w:p>
        </w:tc>
        <w:tc>
          <w:tcPr>
            <w:tcW w:w="1062" w:type="dxa"/>
          </w:tcPr>
          <w:p w14:paraId="3309CDD6" w14:textId="77777777" w:rsidR="008C66DB" w:rsidRPr="00307E20" w:rsidRDefault="008C66DB" w:rsidP="008C66DB">
            <w:pPr>
              <w:rPr>
                <w:rFonts w:ascii="Calibri" w:hAnsi="Calibri" w:cs="Calibri"/>
                <w:sz w:val="18"/>
                <w:szCs w:val="18"/>
              </w:rPr>
            </w:pPr>
            <w:r w:rsidRPr="00307E20">
              <w:rPr>
                <w:rFonts w:ascii="Calibri" w:hAnsi="Calibri" w:cs="Calibri"/>
                <w:sz w:val="18"/>
                <w:szCs w:val="18"/>
              </w:rPr>
              <w:t>0,3</w:t>
            </w:r>
          </w:p>
          <w:p w14:paraId="1A2A66AF" w14:textId="77777777" w:rsidR="008C66DB" w:rsidRPr="00307E20" w:rsidRDefault="008C66DB" w:rsidP="008C66DB">
            <w:pPr>
              <w:rPr>
                <w:rFonts w:ascii="Calibri" w:hAnsi="Calibri" w:cs="Calibri"/>
                <w:sz w:val="18"/>
                <w:szCs w:val="18"/>
              </w:rPr>
            </w:pPr>
            <w:r w:rsidRPr="00307E20">
              <w:rPr>
                <w:rFonts w:ascii="Calibri" w:hAnsi="Calibri" w:cs="Calibri"/>
                <w:sz w:val="18"/>
                <w:szCs w:val="18"/>
              </w:rPr>
              <w:t>0,3</w:t>
            </w:r>
          </w:p>
        </w:tc>
        <w:tc>
          <w:tcPr>
            <w:tcW w:w="1062" w:type="dxa"/>
          </w:tcPr>
          <w:p w14:paraId="67B1F62D" w14:textId="77777777" w:rsidR="008C66DB" w:rsidRPr="00307E20" w:rsidRDefault="008C66DB" w:rsidP="008C66DB">
            <w:pPr>
              <w:rPr>
                <w:rFonts w:ascii="Calibri" w:hAnsi="Calibri" w:cs="Calibri"/>
                <w:sz w:val="18"/>
                <w:szCs w:val="18"/>
              </w:rPr>
            </w:pPr>
            <w:r w:rsidRPr="00307E20">
              <w:rPr>
                <w:rFonts w:ascii="Calibri" w:hAnsi="Calibri" w:cs="Calibri"/>
                <w:sz w:val="18"/>
                <w:szCs w:val="18"/>
              </w:rPr>
              <w:t>0,34</w:t>
            </w:r>
          </w:p>
          <w:p w14:paraId="313E1BCD" w14:textId="77777777" w:rsidR="008C66DB" w:rsidRPr="00307E20" w:rsidRDefault="008C66DB" w:rsidP="008C66DB">
            <w:pPr>
              <w:rPr>
                <w:rFonts w:ascii="Calibri" w:hAnsi="Calibri" w:cs="Calibri"/>
                <w:sz w:val="18"/>
                <w:szCs w:val="18"/>
              </w:rPr>
            </w:pPr>
            <w:r w:rsidRPr="00307E20">
              <w:rPr>
                <w:rFonts w:ascii="Calibri" w:hAnsi="Calibri" w:cs="Calibri"/>
                <w:sz w:val="18"/>
                <w:szCs w:val="18"/>
              </w:rPr>
              <w:t>0,38</w:t>
            </w:r>
          </w:p>
        </w:tc>
      </w:tr>
      <w:tr w:rsidR="008C66DB" w:rsidRPr="00307E20" w14:paraId="2B4042A9" w14:textId="77777777" w:rsidTr="008C66DB">
        <w:tc>
          <w:tcPr>
            <w:tcW w:w="2197" w:type="dxa"/>
          </w:tcPr>
          <w:p w14:paraId="1A1FEDAD" w14:textId="77777777" w:rsidR="008C66DB" w:rsidRPr="00307E20" w:rsidRDefault="008C66DB" w:rsidP="008C66DB">
            <w:pPr>
              <w:rPr>
                <w:rFonts w:ascii="Calibri" w:hAnsi="Calibri" w:cs="Calibri"/>
                <w:sz w:val="18"/>
                <w:szCs w:val="18"/>
              </w:rPr>
            </w:pPr>
            <w:r w:rsidRPr="00307E20">
              <w:rPr>
                <w:rFonts w:ascii="Calibri" w:hAnsi="Calibri" w:cs="Calibri"/>
                <w:sz w:val="18"/>
                <w:szCs w:val="18"/>
              </w:rPr>
              <w:t>Oznakowanie żółte:</w:t>
            </w:r>
          </w:p>
        </w:tc>
        <w:tc>
          <w:tcPr>
            <w:tcW w:w="1062" w:type="dxa"/>
          </w:tcPr>
          <w:p w14:paraId="55EDD053" w14:textId="77777777" w:rsidR="008C66DB" w:rsidRPr="00307E20" w:rsidRDefault="008C66DB" w:rsidP="008C66DB">
            <w:pPr>
              <w:rPr>
                <w:rFonts w:ascii="Calibri" w:hAnsi="Calibri" w:cs="Calibri"/>
                <w:sz w:val="18"/>
                <w:szCs w:val="18"/>
              </w:rPr>
            </w:pPr>
            <w:r w:rsidRPr="00307E20">
              <w:rPr>
                <w:rFonts w:ascii="Calibri" w:hAnsi="Calibri" w:cs="Calibri"/>
                <w:sz w:val="18"/>
                <w:szCs w:val="18"/>
              </w:rPr>
              <w:t>x</w:t>
            </w:r>
          </w:p>
          <w:p w14:paraId="1F5DEF20" w14:textId="77777777" w:rsidR="008C66DB" w:rsidRPr="00307E20" w:rsidRDefault="008C66DB" w:rsidP="008C66DB">
            <w:pPr>
              <w:rPr>
                <w:rFonts w:ascii="Calibri" w:hAnsi="Calibri" w:cs="Calibri"/>
                <w:sz w:val="18"/>
                <w:szCs w:val="18"/>
              </w:rPr>
            </w:pPr>
            <w:r w:rsidRPr="00307E20">
              <w:rPr>
                <w:rFonts w:ascii="Calibri" w:hAnsi="Calibri" w:cs="Calibri"/>
                <w:sz w:val="18"/>
                <w:szCs w:val="18"/>
              </w:rPr>
              <w:t>y</w:t>
            </w:r>
          </w:p>
        </w:tc>
        <w:tc>
          <w:tcPr>
            <w:tcW w:w="1062" w:type="dxa"/>
          </w:tcPr>
          <w:p w14:paraId="71AB5279" w14:textId="77777777" w:rsidR="008C66DB" w:rsidRPr="00307E20" w:rsidRDefault="008C66DB" w:rsidP="008C66DB">
            <w:pPr>
              <w:rPr>
                <w:rFonts w:ascii="Calibri" w:hAnsi="Calibri" w:cs="Calibri"/>
                <w:sz w:val="18"/>
                <w:szCs w:val="18"/>
              </w:rPr>
            </w:pPr>
            <w:r w:rsidRPr="00307E20">
              <w:rPr>
                <w:rFonts w:ascii="Calibri" w:hAnsi="Calibri" w:cs="Calibri"/>
                <w:sz w:val="18"/>
                <w:szCs w:val="18"/>
              </w:rPr>
              <w:t>0,5</w:t>
            </w:r>
          </w:p>
          <w:p w14:paraId="5487E078" w14:textId="77777777" w:rsidR="008C66DB" w:rsidRPr="00307E20" w:rsidRDefault="008C66DB" w:rsidP="008C66DB">
            <w:pPr>
              <w:rPr>
                <w:rFonts w:ascii="Calibri" w:hAnsi="Calibri" w:cs="Calibri"/>
                <w:sz w:val="18"/>
                <w:szCs w:val="18"/>
              </w:rPr>
            </w:pPr>
            <w:r w:rsidRPr="00307E20">
              <w:rPr>
                <w:rFonts w:ascii="Calibri" w:hAnsi="Calibri" w:cs="Calibri"/>
                <w:sz w:val="18"/>
                <w:szCs w:val="18"/>
              </w:rPr>
              <w:t>0,4</w:t>
            </w:r>
          </w:p>
        </w:tc>
        <w:tc>
          <w:tcPr>
            <w:tcW w:w="1062" w:type="dxa"/>
          </w:tcPr>
          <w:p w14:paraId="7BBB46D0" w14:textId="77777777" w:rsidR="008C66DB" w:rsidRPr="00307E20" w:rsidRDefault="008C66DB" w:rsidP="008C66DB">
            <w:pPr>
              <w:rPr>
                <w:rFonts w:ascii="Calibri" w:hAnsi="Calibri" w:cs="Calibri"/>
                <w:sz w:val="18"/>
                <w:szCs w:val="18"/>
              </w:rPr>
            </w:pPr>
            <w:r w:rsidRPr="00307E20">
              <w:rPr>
                <w:rFonts w:ascii="Calibri" w:hAnsi="Calibri" w:cs="Calibri"/>
                <w:sz w:val="18"/>
                <w:szCs w:val="18"/>
              </w:rPr>
              <w:t>0,5</w:t>
            </w:r>
          </w:p>
          <w:p w14:paraId="5A9896FE" w14:textId="77777777" w:rsidR="008C66DB" w:rsidRPr="00307E20" w:rsidRDefault="008C66DB" w:rsidP="008C66DB">
            <w:pPr>
              <w:rPr>
                <w:rFonts w:ascii="Calibri" w:hAnsi="Calibri" w:cs="Calibri"/>
                <w:sz w:val="18"/>
                <w:szCs w:val="18"/>
              </w:rPr>
            </w:pPr>
            <w:r w:rsidRPr="00307E20">
              <w:rPr>
                <w:rFonts w:ascii="Calibri" w:hAnsi="Calibri" w:cs="Calibri"/>
                <w:sz w:val="18"/>
                <w:szCs w:val="18"/>
              </w:rPr>
              <w:t>0,5</w:t>
            </w:r>
          </w:p>
        </w:tc>
        <w:tc>
          <w:tcPr>
            <w:tcW w:w="1062" w:type="dxa"/>
          </w:tcPr>
          <w:p w14:paraId="2AE56AD0" w14:textId="77777777" w:rsidR="008C66DB" w:rsidRPr="00307E20" w:rsidRDefault="008C66DB" w:rsidP="008C66DB">
            <w:pPr>
              <w:rPr>
                <w:rFonts w:ascii="Calibri" w:hAnsi="Calibri" w:cs="Calibri"/>
                <w:sz w:val="18"/>
                <w:szCs w:val="18"/>
              </w:rPr>
            </w:pPr>
            <w:r w:rsidRPr="00307E20">
              <w:rPr>
                <w:rFonts w:ascii="Calibri" w:hAnsi="Calibri" w:cs="Calibri"/>
                <w:sz w:val="18"/>
                <w:szCs w:val="18"/>
              </w:rPr>
              <w:t>0,5</w:t>
            </w:r>
          </w:p>
          <w:p w14:paraId="3E3F6D8D" w14:textId="77777777" w:rsidR="008C66DB" w:rsidRPr="00307E20" w:rsidRDefault="008C66DB" w:rsidP="008C66DB">
            <w:pPr>
              <w:rPr>
                <w:rFonts w:ascii="Calibri" w:hAnsi="Calibri" w:cs="Calibri"/>
                <w:sz w:val="18"/>
                <w:szCs w:val="18"/>
              </w:rPr>
            </w:pPr>
            <w:r w:rsidRPr="00307E20">
              <w:rPr>
                <w:rFonts w:ascii="Calibri" w:hAnsi="Calibri" w:cs="Calibri"/>
                <w:sz w:val="18"/>
                <w:szCs w:val="18"/>
              </w:rPr>
              <w:t>0,5</w:t>
            </w:r>
          </w:p>
        </w:tc>
        <w:tc>
          <w:tcPr>
            <w:tcW w:w="1062" w:type="dxa"/>
          </w:tcPr>
          <w:p w14:paraId="225A98B6" w14:textId="77777777" w:rsidR="008C66DB" w:rsidRPr="00307E20" w:rsidRDefault="008C66DB" w:rsidP="008C66DB">
            <w:pPr>
              <w:rPr>
                <w:rFonts w:ascii="Calibri" w:hAnsi="Calibri" w:cs="Calibri"/>
                <w:sz w:val="18"/>
                <w:szCs w:val="18"/>
              </w:rPr>
            </w:pPr>
            <w:r w:rsidRPr="00307E20">
              <w:rPr>
                <w:rFonts w:ascii="Calibri" w:hAnsi="Calibri" w:cs="Calibri"/>
                <w:sz w:val="18"/>
                <w:szCs w:val="18"/>
              </w:rPr>
              <w:t>0,43</w:t>
            </w:r>
          </w:p>
          <w:p w14:paraId="08A13378" w14:textId="77777777" w:rsidR="008C66DB" w:rsidRPr="00307E20" w:rsidRDefault="008C66DB" w:rsidP="008C66DB">
            <w:pPr>
              <w:rPr>
                <w:rFonts w:ascii="Calibri" w:hAnsi="Calibri" w:cs="Calibri"/>
                <w:sz w:val="18"/>
                <w:szCs w:val="18"/>
              </w:rPr>
            </w:pPr>
            <w:r w:rsidRPr="00307E20">
              <w:rPr>
                <w:rFonts w:ascii="Calibri" w:hAnsi="Calibri" w:cs="Calibri"/>
                <w:sz w:val="18"/>
                <w:szCs w:val="18"/>
              </w:rPr>
              <w:t>0,48</w:t>
            </w:r>
          </w:p>
        </w:tc>
      </w:tr>
    </w:tbl>
    <w:p w14:paraId="5B4A0C7C" w14:textId="77777777" w:rsidR="008C66DB" w:rsidRPr="00307E20" w:rsidRDefault="008C66DB" w:rsidP="008C66DB">
      <w:pPr>
        <w:spacing w:before="120" w:after="120"/>
        <w:rPr>
          <w:rFonts w:ascii="Calibri" w:hAnsi="Calibri" w:cs="Calibri"/>
          <w:i/>
          <w:iCs/>
          <w:sz w:val="18"/>
          <w:szCs w:val="18"/>
        </w:rPr>
      </w:pPr>
      <w:r w:rsidRPr="00307E20">
        <w:rPr>
          <w:rFonts w:ascii="Calibri" w:hAnsi="Calibri" w:cs="Calibri"/>
          <w:i/>
          <w:iCs/>
          <w:sz w:val="18"/>
          <w:szCs w:val="18"/>
        </w:rPr>
        <w:t>6.3.1.2. Widzialność w nocy</w:t>
      </w:r>
    </w:p>
    <w:p w14:paraId="42CDC8A3" w14:textId="77777777" w:rsidR="008C66DB" w:rsidRPr="00307E20" w:rsidRDefault="008C66DB" w:rsidP="008C66DB">
      <w:pPr>
        <w:rPr>
          <w:rFonts w:ascii="Calibri" w:hAnsi="Calibri" w:cs="Calibri"/>
          <w:sz w:val="18"/>
          <w:szCs w:val="18"/>
        </w:rPr>
      </w:pPr>
      <w:r w:rsidRPr="00307E20">
        <w:rPr>
          <w:rFonts w:ascii="Calibri" w:hAnsi="Calibri" w:cs="Calibri"/>
          <w:sz w:val="18"/>
          <w:szCs w:val="18"/>
        </w:rPr>
        <w:t>Za miarę widzialności w nocy przyjęto powierzchniowy współczynnik odblasku R</w:t>
      </w:r>
      <w:r w:rsidRPr="00307E20">
        <w:rPr>
          <w:rFonts w:ascii="Calibri" w:hAnsi="Calibri" w:cs="Calibri"/>
          <w:sz w:val="18"/>
          <w:szCs w:val="18"/>
          <w:vertAlign w:val="subscript"/>
        </w:rPr>
        <w:t>L</w:t>
      </w:r>
      <w:r w:rsidRPr="00307E20">
        <w:rPr>
          <w:rFonts w:ascii="Calibri" w:hAnsi="Calibri" w:cs="Calibri"/>
          <w:sz w:val="18"/>
          <w:szCs w:val="18"/>
        </w:rPr>
        <w:t>, określany wg POD-97.</w:t>
      </w:r>
    </w:p>
    <w:p w14:paraId="6B96FC04" w14:textId="77777777" w:rsidR="008C66DB" w:rsidRPr="00307E20" w:rsidRDefault="008C66DB" w:rsidP="008C66DB">
      <w:pPr>
        <w:rPr>
          <w:rFonts w:ascii="Calibri" w:hAnsi="Calibri" w:cs="Calibri"/>
          <w:sz w:val="18"/>
          <w:szCs w:val="18"/>
        </w:rPr>
      </w:pPr>
      <w:r w:rsidRPr="00307E20">
        <w:rPr>
          <w:rFonts w:ascii="Calibri" w:hAnsi="Calibri" w:cs="Calibri"/>
          <w:sz w:val="18"/>
          <w:szCs w:val="18"/>
        </w:rPr>
        <w:t>Wartość współczynnika R</w:t>
      </w:r>
      <w:r w:rsidRPr="00307E20">
        <w:rPr>
          <w:rFonts w:ascii="Calibri" w:hAnsi="Calibri" w:cs="Calibri"/>
          <w:sz w:val="18"/>
          <w:szCs w:val="18"/>
          <w:vertAlign w:val="subscript"/>
        </w:rPr>
        <w:t>L</w:t>
      </w:r>
      <w:r w:rsidRPr="00307E20">
        <w:rPr>
          <w:rFonts w:ascii="Calibri" w:hAnsi="Calibri" w:cs="Calibri"/>
          <w:sz w:val="18"/>
          <w:szCs w:val="18"/>
        </w:rPr>
        <w:t xml:space="preserve"> powinna wynosić dla oznakowania świeżego w stanie suchym, barwy:</w:t>
      </w:r>
    </w:p>
    <w:p w14:paraId="1A4F0763" w14:textId="77777777" w:rsidR="008C66DB" w:rsidRPr="00307E20" w:rsidRDefault="008C66DB" w:rsidP="008C66DB">
      <w:pPr>
        <w:numPr>
          <w:ilvl w:val="0"/>
          <w:numId w:val="1"/>
        </w:numPr>
        <w:rPr>
          <w:rFonts w:ascii="Calibri" w:hAnsi="Calibri" w:cs="Calibri"/>
          <w:sz w:val="18"/>
          <w:szCs w:val="18"/>
        </w:rPr>
      </w:pPr>
      <w:r w:rsidRPr="00307E20">
        <w:rPr>
          <w:rFonts w:ascii="Calibri" w:hAnsi="Calibri" w:cs="Calibri"/>
          <w:sz w:val="18"/>
          <w:szCs w:val="18"/>
        </w:rPr>
        <w:t>białej, co najmniej 300 mcd m</w:t>
      </w:r>
      <w:r w:rsidRPr="00307E20">
        <w:rPr>
          <w:rFonts w:ascii="Calibri" w:hAnsi="Calibri" w:cs="Calibri"/>
          <w:sz w:val="18"/>
          <w:szCs w:val="18"/>
          <w:vertAlign w:val="superscript"/>
        </w:rPr>
        <w:t>-2</w:t>
      </w:r>
      <w:r w:rsidRPr="00307E20">
        <w:rPr>
          <w:rFonts w:ascii="Calibri" w:hAnsi="Calibri" w:cs="Calibri"/>
          <w:sz w:val="18"/>
          <w:szCs w:val="18"/>
        </w:rPr>
        <w:t xml:space="preserve"> lx</w:t>
      </w:r>
      <w:r w:rsidRPr="00307E20">
        <w:rPr>
          <w:rFonts w:ascii="Calibri" w:hAnsi="Calibri" w:cs="Calibri"/>
          <w:sz w:val="18"/>
          <w:szCs w:val="18"/>
          <w:vertAlign w:val="superscript"/>
        </w:rPr>
        <w:t>-1</w:t>
      </w:r>
      <w:r w:rsidRPr="00307E20">
        <w:rPr>
          <w:rFonts w:ascii="Calibri" w:hAnsi="Calibri" w:cs="Calibri"/>
          <w:sz w:val="18"/>
          <w:szCs w:val="18"/>
        </w:rPr>
        <w:t>,</w:t>
      </w:r>
    </w:p>
    <w:p w14:paraId="64DB2406" w14:textId="77777777" w:rsidR="008C66DB" w:rsidRPr="00307E20" w:rsidRDefault="008C66DB" w:rsidP="008C66DB">
      <w:pPr>
        <w:numPr>
          <w:ilvl w:val="0"/>
          <w:numId w:val="1"/>
        </w:numPr>
        <w:rPr>
          <w:rFonts w:ascii="Calibri" w:hAnsi="Calibri" w:cs="Calibri"/>
          <w:sz w:val="18"/>
          <w:szCs w:val="18"/>
        </w:rPr>
      </w:pPr>
      <w:r w:rsidRPr="00307E20">
        <w:rPr>
          <w:rFonts w:ascii="Calibri" w:hAnsi="Calibri" w:cs="Calibri"/>
          <w:sz w:val="18"/>
          <w:szCs w:val="18"/>
        </w:rPr>
        <w:t>żółtej, co najmniej 200 mcd m</w:t>
      </w:r>
      <w:r w:rsidRPr="00307E20">
        <w:rPr>
          <w:rFonts w:ascii="Calibri" w:hAnsi="Calibri" w:cs="Calibri"/>
          <w:sz w:val="18"/>
          <w:szCs w:val="18"/>
          <w:vertAlign w:val="superscript"/>
        </w:rPr>
        <w:t>-2</w:t>
      </w:r>
      <w:r w:rsidRPr="00307E20">
        <w:rPr>
          <w:rFonts w:ascii="Calibri" w:hAnsi="Calibri" w:cs="Calibri"/>
          <w:sz w:val="18"/>
          <w:szCs w:val="18"/>
        </w:rPr>
        <w:t xml:space="preserve"> lx</w:t>
      </w:r>
      <w:r w:rsidRPr="00307E20">
        <w:rPr>
          <w:rFonts w:ascii="Calibri" w:hAnsi="Calibri" w:cs="Calibri"/>
          <w:sz w:val="18"/>
          <w:szCs w:val="18"/>
          <w:vertAlign w:val="superscript"/>
        </w:rPr>
        <w:t>-1</w:t>
      </w:r>
      <w:r w:rsidRPr="00307E20">
        <w:rPr>
          <w:rFonts w:ascii="Calibri" w:hAnsi="Calibri" w:cs="Calibri"/>
          <w:sz w:val="18"/>
          <w:szCs w:val="18"/>
        </w:rPr>
        <w:t>.</w:t>
      </w:r>
    </w:p>
    <w:p w14:paraId="4601E9D3" w14:textId="77777777" w:rsidR="008C66DB" w:rsidRPr="00307E20" w:rsidRDefault="008C66DB" w:rsidP="008C66DB">
      <w:pPr>
        <w:rPr>
          <w:rFonts w:ascii="Calibri" w:hAnsi="Calibri" w:cs="Calibri"/>
          <w:sz w:val="18"/>
          <w:szCs w:val="18"/>
        </w:rPr>
      </w:pPr>
      <w:r w:rsidRPr="00307E20">
        <w:rPr>
          <w:rFonts w:ascii="Calibri" w:hAnsi="Calibri" w:cs="Calibri"/>
          <w:sz w:val="18"/>
          <w:szCs w:val="18"/>
        </w:rPr>
        <w:t>Wartość współczynnika R</w:t>
      </w:r>
      <w:r w:rsidRPr="00307E20">
        <w:rPr>
          <w:rFonts w:ascii="Calibri" w:hAnsi="Calibri" w:cs="Calibri"/>
          <w:sz w:val="18"/>
          <w:szCs w:val="18"/>
          <w:vertAlign w:val="subscript"/>
        </w:rPr>
        <w:t>L</w:t>
      </w:r>
      <w:r w:rsidRPr="00307E20">
        <w:rPr>
          <w:rFonts w:ascii="Calibri" w:hAnsi="Calibri" w:cs="Calibri"/>
          <w:sz w:val="18"/>
          <w:szCs w:val="18"/>
        </w:rPr>
        <w:t xml:space="preserve"> powinna wynosić dla oznakowania używanego:</w:t>
      </w:r>
    </w:p>
    <w:p w14:paraId="52740FDB" w14:textId="77777777" w:rsidR="008C66DB" w:rsidRPr="00307E20" w:rsidRDefault="008C66DB" w:rsidP="008C66DB">
      <w:pPr>
        <w:rPr>
          <w:rFonts w:ascii="Calibri" w:hAnsi="Calibri" w:cs="Calibri"/>
          <w:sz w:val="18"/>
          <w:szCs w:val="18"/>
        </w:rPr>
      </w:pPr>
      <w:r w:rsidRPr="00307E20">
        <w:rPr>
          <w:rFonts w:ascii="Calibri" w:hAnsi="Calibri" w:cs="Calibri"/>
          <w:sz w:val="18"/>
          <w:szCs w:val="18"/>
        </w:rPr>
        <w:t>a) grubowarstwowego barwy:</w:t>
      </w:r>
    </w:p>
    <w:p w14:paraId="499113FB" w14:textId="77777777" w:rsidR="008C66DB" w:rsidRPr="00307E20" w:rsidRDefault="008C66DB" w:rsidP="008C66DB">
      <w:pPr>
        <w:numPr>
          <w:ilvl w:val="0"/>
          <w:numId w:val="1"/>
        </w:numPr>
        <w:rPr>
          <w:rFonts w:ascii="Calibri" w:hAnsi="Calibri" w:cs="Calibri"/>
          <w:sz w:val="18"/>
          <w:szCs w:val="18"/>
        </w:rPr>
      </w:pPr>
      <w:r w:rsidRPr="00307E20">
        <w:rPr>
          <w:rFonts w:ascii="Calibri" w:hAnsi="Calibri" w:cs="Calibri"/>
          <w:sz w:val="18"/>
          <w:szCs w:val="18"/>
        </w:rPr>
        <w:t>białej, po 12 miesiącach eksploatacji, co najmniej 100 mcd m</w:t>
      </w:r>
      <w:r w:rsidRPr="00307E20">
        <w:rPr>
          <w:rFonts w:ascii="Calibri" w:hAnsi="Calibri" w:cs="Calibri"/>
          <w:sz w:val="18"/>
          <w:szCs w:val="18"/>
          <w:vertAlign w:val="superscript"/>
        </w:rPr>
        <w:t>-2</w:t>
      </w:r>
      <w:r w:rsidRPr="00307E20">
        <w:rPr>
          <w:rFonts w:ascii="Calibri" w:hAnsi="Calibri" w:cs="Calibri"/>
          <w:sz w:val="18"/>
          <w:szCs w:val="18"/>
        </w:rPr>
        <w:t xml:space="preserve"> lx</w:t>
      </w:r>
      <w:r w:rsidRPr="00307E20">
        <w:rPr>
          <w:rFonts w:ascii="Calibri" w:hAnsi="Calibri" w:cs="Calibri"/>
          <w:sz w:val="18"/>
          <w:szCs w:val="18"/>
          <w:vertAlign w:val="superscript"/>
        </w:rPr>
        <w:t>-1</w:t>
      </w:r>
      <w:r w:rsidRPr="00307E20">
        <w:rPr>
          <w:rFonts w:ascii="Calibri" w:hAnsi="Calibri" w:cs="Calibri"/>
          <w:sz w:val="18"/>
          <w:szCs w:val="18"/>
        </w:rPr>
        <w:t>,</w:t>
      </w:r>
    </w:p>
    <w:p w14:paraId="5DB872B4" w14:textId="77777777" w:rsidR="008C66DB" w:rsidRPr="00307E20" w:rsidRDefault="008C66DB" w:rsidP="008C66DB">
      <w:pPr>
        <w:numPr>
          <w:ilvl w:val="0"/>
          <w:numId w:val="1"/>
        </w:numPr>
        <w:rPr>
          <w:rFonts w:ascii="Calibri" w:hAnsi="Calibri" w:cs="Calibri"/>
          <w:sz w:val="18"/>
          <w:szCs w:val="18"/>
        </w:rPr>
      </w:pPr>
      <w:r w:rsidRPr="00307E20">
        <w:rPr>
          <w:rFonts w:ascii="Calibri" w:hAnsi="Calibri" w:cs="Calibri"/>
          <w:sz w:val="18"/>
          <w:szCs w:val="18"/>
        </w:rPr>
        <w:t>żółtej, po 1 miesiącu eksploatacji, co najmniej 150 mcd m</w:t>
      </w:r>
      <w:r w:rsidRPr="00307E20">
        <w:rPr>
          <w:rFonts w:ascii="Calibri" w:hAnsi="Calibri" w:cs="Calibri"/>
          <w:sz w:val="18"/>
          <w:szCs w:val="18"/>
          <w:vertAlign w:val="superscript"/>
        </w:rPr>
        <w:t>-2</w:t>
      </w:r>
      <w:r w:rsidRPr="00307E20">
        <w:rPr>
          <w:rFonts w:ascii="Calibri" w:hAnsi="Calibri" w:cs="Calibri"/>
          <w:sz w:val="18"/>
          <w:szCs w:val="18"/>
        </w:rPr>
        <w:t xml:space="preserve"> lx</w:t>
      </w:r>
      <w:r w:rsidRPr="00307E20">
        <w:rPr>
          <w:rFonts w:ascii="Calibri" w:hAnsi="Calibri" w:cs="Calibri"/>
          <w:sz w:val="18"/>
          <w:szCs w:val="18"/>
          <w:vertAlign w:val="superscript"/>
        </w:rPr>
        <w:t>-1</w:t>
      </w:r>
      <w:r w:rsidRPr="00307E20">
        <w:rPr>
          <w:rFonts w:ascii="Calibri" w:hAnsi="Calibri" w:cs="Calibri"/>
          <w:sz w:val="18"/>
          <w:szCs w:val="18"/>
        </w:rPr>
        <w:t>,</w:t>
      </w:r>
    </w:p>
    <w:p w14:paraId="08153A29" w14:textId="77777777" w:rsidR="008C66DB" w:rsidRPr="00307E20" w:rsidRDefault="008C66DB" w:rsidP="008C66DB">
      <w:pPr>
        <w:rPr>
          <w:rFonts w:ascii="Calibri" w:hAnsi="Calibri" w:cs="Calibri"/>
          <w:sz w:val="18"/>
          <w:szCs w:val="18"/>
        </w:rPr>
      </w:pPr>
      <w:r w:rsidRPr="00307E20">
        <w:rPr>
          <w:rFonts w:ascii="Calibri" w:hAnsi="Calibri" w:cs="Calibri"/>
          <w:sz w:val="18"/>
          <w:szCs w:val="18"/>
        </w:rPr>
        <w:t>b) folii:</w:t>
      </w:r>
    </w:p>
    <w:p w14:paraId="3164F769" w14:textId="77777777" w:rsidR="008C66DB" w:rsidRPr="00307E20" w:rsidRDefault="008C66DB" w:rsidP="008C66DB">
      <w:pPr>
        <w:numPr>
          <w:ilvl w:val="0"/>
          <w:numId w:val="1"/>
        </w:numPr>
        <w:rPr>
          <w:rFonts w:ascii="Calibri" w:hAnsi="Calibri" w:cs="Calibri"/>
          <w:sz w:val="18"/>
          <w:szCs w:val="18"/>
        </w:rPr>
      </w:pPr>
      <w:r w:rsidRPr="00307E20">
        <w:rPr>
          <w:rFonts w:ascii="Calibri" w:hAnsi="Calibri" w:cs="Calibri"/>
          <w:sz w:val="18"/>
          <w:szCs w:val="18"/>
        </w:rPr>
        <w:t>dla oznakowań trwałych i długotrwałych (białych), co najmniej 300 mcd m</w:t>
      </w:r>
      <w:r w:rsidRPr="00307E20">
        <w:rPr>
          <w:rFonts w:ascii="Calibri" w:hAnsi="Calibri" w:cs="Calibri"/>
          <w:sz w:val="18"/>
          <w:szCs w:val="18"/>
          <w:vertAlign w:val="superscript"/>
        </w:rPr>
        <w:t>-2</w:t>
      </w:r>
      <w:r w:rsidRPr="00307E20">
        <w:rPr>
          <w:rFonts w:ascii="Calibri" w:hAnsi="Calibri" w:cs="Calibri"/>
          <w:sz w:val="18"/>
          <w:szCs w:val="18"/>
        </w:rPr>
        <w:t xml:space="preserve"> lx</w:t>
      </w:r>
      <w:r w:rsidRPr="00307E20">
        <w:rPr>
          <w:rFonts w:ascii="Calibri" w:hAnsi="Calibri" w:cs="Calibri"/>
          <w:sz w:val="18"/>
          <w:szCs w:val="18"/>
          <w:vertAlign w:val="superscript"/>
        </w:rPr>
        <w:t>-1</w:t>
      </w:r>
      <w:r w:rsidRPr="00307E20">
        <w:rPr>
          <w:rFonts w:ascii="Calibri" w:hAnsi="Calibri" w:cs="Calibri"/>
          <w:sz w:val="18"/>
          <w:szCs w:val="18"/>
        </w:rPr>
        <w:t>,</w:t>
      </w:r>
    </w:p>
    <w:p w14:paraId="097439AF" w14:textId="77777777" w:rsidR="008C66DB" w:rsidRPr="00307E20" w:rsidRDefault="008C66DB" w:rsidP="008C66DB">
      <w:pPr>
        <w:numPr>
          <w:ilvl w:val="0"/>
          <w:numId w:val="1"/>
        </w:numPr>
        <w:rPr>
          <w:rFonts w:ascii="Calibri" w:hAnsi="Calibri" w:cs="Calibri"/>
          <w:sz w:val="18"/>
          <w:szCs w:val="18"/>
        </w:rPr>
      </w:pPr>
      <w:r w:rsidRPr="00307E20">
        <w:rPr>
          <w:rFonts w:ascii="Calibri" w:hAnsi="Calibri" w:cs="Calibri"/>
          <w:sz w:val="18"/>
          <w:szCs w:val="18"/>
        </w:rPr>
        <w:t>dla oznakowań tymczasowych (żółtych), co najmniej 300 mcd m</w:t>
      </w:r>
      <w:r w:rsidRPr="00307E20">
        <w:rPr>
          <w:rFonts w:ascii="Calibri" w:hAnsi="Calibri" w:cs="Calibri"/>
          <w:sz w:val="18"/>
          <w:szCs w:val="18"/>
          <w:vertAlign w:val="superscript"/>
        </w:rPr>
        <w:t>-2</w:t>
      </w:r>
      <w:r w:rsidRPr="00307E20">
        <w:rPr>
          <w:rFonts w:ascii="Calibri" w:hAnsi="Calibri" w:cs="Calibri"/>
          <w:sz w:val="18"/>
          <w:szCs w:val="18"/>
        </w:rPr>
        <w:t xml:space="preserve"> lx</w:t>
      </w:r>
      <w:r w:rsidRPr="00307E20">
        <w:rPr>
          <w:rFonts w:ascii="Calibri" w:hAnsi="Calibri" w:cs="Calibri"/>
          <w:sz w:val="18"/>
          <w:szCs w:val="18"/>
          <w:vertAlign w:val="superscript"/>
        </w:rPr>
        <w:t>-1</w:t>
      </w:r>
      <w:r w:rsidRPr="00307E20">
        <w:rPr>
          <w:rFonts w:ascii="Calibri" w:hAnsi="Calibri" w:cs="Calibri"/>
          <w:sz w:val="18"/>
          <w:szCs w:val="18"/>
        </w:rPr>
        <w:t>.</w:t>
      </w:r>
    </w:p>
    <w:p w14:paraId="4AD5AD70" w14:textId="77777777" w:rsidR="008C66DB" w:rsidRPr="00307E20" w:rsidRDefault="008C66DB" w:rsidP="008C66DB">
      <w:pPr>
        <w:spacing w:before="120"/>
        <w:rPr>
          <w:rFonts w:ascii="Calibri" w:hAnsi="Calibri" w:cs="Calibri"/>
          <w:i/>
          <w:iCs/>
          <w:sz w:val="18"/>
          <w:szCs w:val="18"/>
        </w:rPr>
      </w:pPr>
      <w:r w:rsidRPr="00307E20">
        <w:rPr>
          <w:rFonts w:ascii="Calibri" w:hAnsi="Calibri" w:cs="Calibri"/>
          <w:i/>
          <w:iCs/>
          <w:sz w:val="18"/>
          <w:szCs w:val="18"/>
        </w:rPr>
        <w:t>6.3.1.3. Szorstkość oznakowania</w:t>
      </w:r>
    </w:p>
    <w:p w14:paraId="026B8ABE" w14:textId="77777777" w:rsidR="008C66DB" w:rsidRPr="00307E20" w:rsidRDefault="008C66DB" w:rsidP="008C66DB">
      <w:pPr>
        <w:spacing w:before="120"/>
        <w:rPr>
          <w:rFonts w:ascii="Calibri" w:hAnsi="Calibri" w:cs="Calibri"/>
          <w:sz w:val="18"/>
          <w:szCs w:val="18"/>
        </w:rPr>
      </w:pPr>
      <w:r w:rsidRPr="00307E20">
        <w:rPr>
          <w:rFonts w:ascii="Calibri" w:hAnsi="Calibri" w:cs="Calibri"/>
          <w:sz w:val="18"/>
          <w:szCs w:val="18"/>
        </w:rPr>
        <w:t>Miarą szorstkości oznakowania jest wartość wskaźnika szorstkości SRT (SkidResistance Tester) mierzona wahadłem angielskim, wg POD-97. Wartość SRT symuluje warunki, w których pojazd wyposażony w typowe opony hamuje z blokadą kół przy prędkości 50 km/h na mokrej  nawierzchni.</w:t>
      </w:r>
    </w:p>
    <w:p w14:paraId="72B64175" w14:textId="77777777" w:rsidR="008C66DB" w:rsidRPr="00307E20" w:rsidRDefault="008C66DB" w:rsidP="008C66DB">
      <w:pPr>
        <w:rPr>
          <w:rFonts w:ascii="Calibri" w:hAnsi="Calibri" w:cs="Calibri"/>
          <w:sz w:val="18"/>
          <w:szCs w:val="18"/>
        </w:rPr>
      </w:pPr>
      <w:r w:rsidRPr="00307E20">
        <w:rPr>
          <w:rFonts w:ascii="Calibri" w:hAnsi="Calibri" w:cs="Calibri"/>
          <w:sz w:val="18"/>
          <w:szCs w:val="18"/>
        </w:rPr>
        <w:t>Wymaga się, aby wartość wskaźnika szorstkości SRT wynosiła na oznakowaniu:</w:t>
      </w:r>
    </w:p>
    <w:p w14:paraId="54FA2CAD" w14:textId="77777777" w:rsidR="008C66DB" w:rsidRPr="00307E20" w:rsidRDefault="008C66DB" w:rsidP="008C66DB">
      <w:pPr>
        <w:numPr>
          <w:ilvl w:val="0"/>
          <w:numId w:val="1"/>
        </w:numPr>
        <w:rPr>
          <w:rFonts w:ascii="Calibri" w:hAnsi="Calibri" w:cs="Calibri"/>
          <w:sz w:val="18"/>
          <w:szCs w:val="18"/>
        </w:rPr>
      </w:pPr>
      <w:r w:rsidRPr="00307E20">
        <w:rPr>
          <w:rFonts w:ascii="Calibri" w:hAnsi="Calibri" w:cs="Calibri"/>
          <w:sz w:val="18"/>
          <w:szCs w:val="18"/>
        </w:rPr>
        <w:t>świeżym, co najmniej 50 jednostek SRT,</w:t>
      </w:r>
    </w:p>
    <w:p w14:paraId="1C90CD7B" w14:textId="77777777" w:rsidR="008C66DB" w:rsidRPr="00307E20" w:rsidRDefault="008C66DB" w:rsidP="008C66DB">
      <w:pPr>
        <w:numPr>
          <w:ilvl w:val="0"/>
          <w:numId w:val="1"/>
        </w:numPr>
        <w:rPr>
          <w:rFonts w:ascii="Calibri" w:hAnsi="Calibri" w:cs="Calibri"/>
          <w:sz w:val="18"/>
          <w:szCs w:val="18"/>
        </w:rPr>
      </w:pPr>
      <w:r w:rsidRPr="00307E20">
        <w:rPr>
          <w:rFonts w:ascii="Calibri" w:hAnsi="Calibri" w:cs="Calibri"/>
          <w:sz w:val="18"/>
          <w:szCs w:val="18"/>
        </w:rPr>
        <w:t>używanym, w ciągu całego okresu użytkowania, co najmniej 45 jednostek SRT.</w:t>
      </w:r>
    </w:p>
    <w:p w14:paraId="7A2798FC" w14:textId="77777777" w:rsidR="008C66DB" w:rsidRPr="00307E20" w:rsidRDefault="008C66DB" w:rsidP="008C66DB">
      <w:pPr>
        <w:rPr>
          <w:rFonts w:ascii="Calibri" w:hAnsi="Calibri" w:cs="Calibri"/>
          <w:sz w:val="18"/>
          <w:szCs w:val="18"/>
        </w:rPr>
      </w:pPr>
      <w:r w:rsidRPr="00307E20">
        <w:rPr>
          <w:rFonts w:ascii="Calibri" w:hAnsi="Calibri" w:cs="Calibri"/>
          <w:sz w:val="18"/>
          <w:szCs w:val="18"/>
        </w:rPr>
        <w:t>Dla punktowych elementów odblaskowych badań szorstkości nie wykonuje się.</w:t>
      </w:r>
    </w:p>
    <w:p w14:paraId="5C24E951" w14:textId="77777777" w:rsidR="008C66DB" w:rsidRPr="00307E20" w:rsidRDefault="008C66DB" w:rsidP="008C66DB">
      <w:pPr>
        <w:spacing w:before="120"/>
        <w:rPr>
          <w:rFonts w:ascii="Calibri" w:hAnsi="Calibri" w:cs="Calibri"/>
          <w:i/>
          <w:iCs/>
          <w:sz w:val="18"/>
          <w:szCs w:val="18"/>
        </w:rPr>
      </w:pPr>
      <w:r w:rsidRPr="00307E20">
        <w:rPr>
          <w:rFonts w:ascii="Calibri" w:hAnsi="Calibri" w:cs="Calibri"/>
          <w:i/>
          <w:iCs/>
          <w:sz w:val="18"/>
          <w:szCs w:val="18"/>
        </w:rPr>
        <w:t>6.3.1.4. Trwałość oznakowania</w:t>
      </w:r>
    </w:p>
    <w:p w14:paraId="0F17A650" w14:textId="77777777" w:rsidR="008C66DB" w:rsidRPr="00307E20" w:rsidRDefault="008C66DB" w:rsidP="008C66DB">
      <w:pPr>
        <w:spacing w:before="120"/>
        <w:rPr>
          <w:rFonts w:ascii="Calibri" w:hAnsi="Calibri" w:cs="Calibri"/>
          <w:sz w:val="18"/>
          <w:szCs w:val="18"/>
        </w:rPr>
      </w:pPr>
      <w:r w:rsidRPr="00307E20">
        <w:rPr>
          <w:rFonts w:ascii="Calibri" w:hAnsi="Calibri" w:cs="Calibri"/>
          <w:sz w:val="18"/>
          <w:szCs w:val="18"/>
        </w:rPr>
        <w:t>Trwałość oznakowania oceniana jako stopień zużycia w 10-stopniowej skali na zasadzie porównania z wzorcami, wg POD-97, powinna wynosić po 12-miesięcznym okresie eksploatacji oznakowania wykonanego:</w:t>
      </w:r>
    </w:p>
    <w:p w14:paraId="19541565" w14:textId="77777777" w:rsidR="008C66DB" w:rsidRPr="00307E20" w:rsidRDefault="008C66DB" w:rsidP="008C66DB">
      <w:pPr>
        <w:numPr>
          <w:ilvl w:val="0"/>
          <w:numId w:val="1"/>
        </w:numPr>
        <w:rPr>
          <w:rFonts w:ascii="Calibri" w:hAnsi="Calibri" w:cs="Calibri"/>
          <w:sz w:val="18"/>
          <w:szCs w:val="18"/>
        </w:rPr>
      </w:pPr>
      <w:r w:rsidRPr="00307E20">
        <w:rPr>
          <w:rFonts w:ascii="Calibri" w:hAnsi="Calibri" w:cs="Calibri"/>
          <w:sz w:val="18"/>
          <w:szCs w:val="18"/>
        </w:rPr>
        <w:t>farbami wodorozcieńczalnymi, co najmniej 5,</w:t>
      </w:r>
    </w:p>
    <w:p w14:paraId="49C57E5C" w14:textId="77777777" w:rsidR="008C66DB" w:rsidRPr="00307E20" w:rsidRDefault="008C66DB" w:rsidP="008C66DB">
      <w:pPr>
        <w:numPr>
          <w:ilvl w:val="0"/>
          <w:numId w:val="1"/>
        </w:numPr>
        <w:rPr>
          <w:rFonts w:ascii="Calibri" w:hAnsi="Calibri" w:cs="Calibri"/>
          <w:sz w:val="18"/>
          <w:szCs w:val="18"/>
        </w:rPr>
      </w:pPr>
      <w:r w:rsidRPr="00307E20">
        <w:rPr>
          <w:rFonts w:ascii="Calibri" w:hAnsi="Calibri" w:cs="Calibri"/>
          <w:sz w:val="18"/>
          <w:szCs w:val="18"/>
        </w:rPr>
        <w:t>pozostałymi materiałami, co najmniej 6.</w:t>
      </w:r>
    </w:p>
    <w:p w14:paraId="388D71E1" w14:textId="77777777" w:rsidR="008C66DB" w:rsidRPr="00307E20" w:rsidRDefault="008C66DB" w:rsidP="008C66DB">
      <w:pPr>
        <w:keepNext/>
        <w:spacing w:before="120"/>
        <w:rPr>
          <w:rFonts w:ascii="Calibri" w:hAnsi="Calibri" w:cs="Calibri"/>
          <w:i/>
          <w:iCs/>
          <w:sz w:val="18"/>
          <w:szCs w:val="18"/>
        </w:rPr>
      </w:pPr>
      <w:r w:rsidRPr="00307E20">
        <w:rPr>
          <w:rFonts w:ascii="Calibri" w:hAnsi="Calibri" w:cs="Calibri"/>
          <w:i/>
          <w:iCs/>
          <w:sz w:val="18"/>
          <w:szCs w:val="18"/>
        </w:rPr>
        <w:t>6.3.1.5. Czas schnięcia oznakowania (wzgl. czas przejezdności oznakowania)</w:t>
      </w:r>
    </w:p>
    <w:p w14:paraId="25569224" w14:textId="77777777" w:rsidR="008C66DB" w:rsidRPr="00307E20" w:rsidRDefault="008C66DB" w:rsidP="008C66DB">
      <w:pPr>
        <w:spacing w:before="120"/>
        <w:rPr>
          <w:rFonts w:ascii="Calibri" w:hAnsi="Calibri" w:cs="Calibri"/>
          <w:sz w:val="18"/>
          <w:szCs w:val="18"/>
        </w:rPr>
      </w:pPr>
      <w:r w:rsidRPr="00307E20">
        <w:rPr>
          <w:rFonts w:ascii="Calibri" w:hAnsi="Calibri" w:cs="Calibri"/>
          <w:sz w:val="18"/>
          <w:szCs w:val="18"/>
        </w:rPr>
        <w:t>Za czas schnięcia oznakowania przyjmuje się czas upływający między wykonaniem oznakowania a jego oddaniem do ruchu.</w:t>
      </w:r>
    </w:p>
    <w:p w14:paraId="05313AE9" w14:textId="77777777" w:rsidR="008C66DB" w:rsidRPr="00307E20" w:rsidRDefault="008C66DB" w:rsidP="008C66DB">
      <w:pPr>
        <w:rPr>
          <w:rFonts w:ascii="Calibri" w:hAnsi="Calibri" w:cs="Calibri"/>
          <w:sz w:val="18"/>
          <w:szCs w:val="18"/>
        </w:rPr>
      </w:pPr>
      <w:r w:rsidRPr="00307E20">
        <w:rPr>
          <w:rFonts w:ascii="Calibri" w:hAnsi="Calibri" w:cs="Calibri"/>
          <w:sz w:val="18"/>
          <w:szCs w:val="18"/>
        </w:rPr>
        <w:t>Czas schnięcia oznakowania nie powinien przekraczać czasu gwarantowanego przez producenta, z tym że nie może przekraczać 2 godzin.</w:t>
      </w:r>
    </w:p>
    <w:p w14:paraId="4CADA93A" w14:textId="77777777" w:rsidR="008C66DB" w:rsidRPr="00307E20" w:rsidRDefault="008C66DB" w:rsidP="008C66DB">
      <w:pPr>
        <w:spacing w:before="120"/>
        <w:rPr>
          <w:rFonts w:ascii="Calibri" w:hAnsi="Calibri" w:cs="Calibri"/>
          <w:i/>
          <w:iCs/>
          <w:sz w:val="18"/>
          <w:szCs w:val="18"/>
        </w:rPr>
      </w:pPr>
      <w:r w:rsidRPr="00307E20">
        <w:rPr>
          <w:rFonts w:ascii="Calibri" w:hAnsi="Calibri" w:cs="Calibri"/>
          <w:i/>
          <w:iCs/>
          <w:sz w:val="18"/>
          <w:szCs w:val="18"/>
        </w:rPr>
        <w:t>6.3.1.6. Grubość oznakowania</w:t>
      </w:r>
    </w:p>
    <w:p w14:paraId="3D41F2D5" w14:textId="77777777" w:rsidR="008C66DB" w:rsidRPr="00307E20" w:rsidRDefault="008C66DB" w:rsidP="008C66DB">
      <w:pPr>
        <w:spacing w:before="120"/>
        <w:rPr>
          <w:rFonts w:ascii="Calibri" w:hAnsi="Calibri" w:cs="Calibri"/>
          <w:sz w:val="18"/>
          <w:szCs w:val="18"/>
        </w:rPr>
      </w:pPr>
      <w:r w:rsidRPr="00307E20">
        <w:rPr>
          <w:rFonts w:ascii="Calibri" w:hAnsi="Calibri" w:cs="Calibri"/>
          <w:sz w:val="18"/>
          <w:szCs w:val="18"/>
        </w:rPr>
        <w:t>Grubość oznakowania, tj. podwyższenie ponad górną powierzchnię nawierzchni, powinna wynosić dla:</w:t>
      </w:r>
    </w:p>
    <w:p w14:paraId="260DAA46" w14:textId="77777777" w:rsidR="008C66DB" w:rsidRPr="00307E20" w:rsidRDefault="008C66DB" w:rsidP="00262498">
      <w:pPr>
        <w:numPr>
          <w:ilvl w:val="0"/>
          <w:numId w:val="24"/>
        </w:numPr>
        <w:rPr>
          <w:rFonts w:ascii="Calibri" w:hAnsi="Calibri" w:cs="Calibri"/>
          <w:sz w:val="18"/>
          <w:szCs w:val="18"/>
        </w:rPr>
      </w:pPr>
      <w:r w:rsidRPr="00307E20">
        <w:rPr>
          <w:rFonts w:ascii="Calibri" w:hAnsi="Calibri" w:cs="Calibri"/>
          <w:sz w:val="18"/>
          <w:szCs w:val="18"/>
        </w:rPr>
        <w:t>oznakowania grubowarstwowego, co najwyżej 5 mm,</w:t>
      </w:r>
    </w:p>
    <w:p w14:paraId="754A118C" w14:textId="77777777" w:rsidR="008C66DB" w:rsidRPr="00307E20" w:rsidRDefault="008C66DB" w:rsidP="00262498">
      <w:pPr>
        <w:numPr>
          <w:ilvl w:val="0"/>
          <w:numId w:val="24"/>
        </w:numPr>
        <w:rPr>
          <w:rFonts w:ascii="Calibri" w:hAnsi="Calibri" w:cs="Calibri"/>
          <w:sz w:val="18"/>
          <w:szCs w:val="18"/>
        </w:rPr>
      </w:pPr>
      <w:r w:rsidRPr="00307E20">
        <w:rPr>
          <w:rFonts w:ascii="Calibri" w:hAnsi="Calibri" w:cs="Calibri"/>
          <w:sz w:val="18"/>
          <w:szCs w:val="18"/>
        </w:rPr>
        <w:t>punktowych elementów odblaskowych umieszczanych na części jezdnej drogi, co najwyżej 15 mm, a w uzasadnionych przypadkach ustalonych w dokumentacji projektowej, co najwyżej 25 mm.</w:t>
      </w:r>
    </w:p>
    <w:p w14:paraId="35902B0F" w14:textId="77777777" w:rsidR="008C66DB" w:rsidRPr="00307E20" w:rsidRDefault="008C66DB" w:rsidP="008C66DB">
      <w:pPr>
        <w:spacing w:before="120"/>
        <w:rPr>
          <w:rFonts w:ascii="Calibri" w:hAnsi="Calibri" w:cs="Calibri"/>
          <w:b/>
          <w:bCs/>
          <w:i/>
          <w:iCs/>
          <w:sz w:val="18"/>
          <w:szCs w:val="18"/>
        </w:rPr>
      </w:pPr>
      <w:r w:rsidRPr="00307E20">
        <w:rPr>
          <w:rFonts w:ascii="Calibri" w:hAnsi="Calibri" w:cs="Calibri"/>
          <w:b/>
          <w:bCs/>
          <w:i/>
          <w:iCs/>
          <w:sz w:val="18"/>
          <w:szCs w:val="18"/>
        </w:rPr>
        <w:t>6.3.2. Badania wykonania znakowania poziomego z materiału cienkowarstwowego lub grubowarstwowego</w:t>
      </w:r>
    </w:p>
    <w:p w14:paraId="76D0BA62" w14:textId="61B7418D" w:rsidR="008C66DB" w:rsidRPr="00307E20" w:rsidRDefault="008C66DB" w:rsidP="008C66DB">
      <w:pPr>
        <w:spacing w:before="120"/>
        <w:rPr>
          <w:rFonts w:ascii="Calibri" w:hAnsi="Calibri" w:cs="Calibri"/>
          <w:sz w:val="18"/>
          <w:szCs w:val="18"/>
        </w:rPr>
      </w:pPr>
      <w:r w:rsidRPr="00307E20">
        <w:rPr>
          <w:rFonts w:ascii="Calibri" w:hAnsi="Calibri" w:cs="Calibri"/>
          <w:sz w:val="18"/>
          <w:szCs w:val="18"/>
        </w:rPr>
        <w:t xml:space="preserve">Wykonawca wykonując znakowanie poziome z materiału cienko- lub grubowarstwowego przeprowadza przed rozpoczęciem każdej pracy oraz w czasie jej wykonywania, co najmniej raz dziennie, lub zgodnie z ustaleniem </w:t>
      </w:r>
      <w:r w:rsidR="00E0090D">
        <w:rPr>
          <w:rFonts w:ascii="Calibri" w:hAnsi="Calibri" w:cs="Calibri"/>
          <w:sz w:val="18"/>
          <w:szCs w:val="18"/>
        </w:rPr>
        <w:t>ST</w:t>
      </w:r>
      <w:r w:rsidRPr="00307E20">
        <w:rPr>
          <w:rFonts w:ascii="Calibri" w:hAnsi="Calibri" w:cs="Calibri"/>
          <w:sz w:val="18"/>
          <w:szCs w:val="18"/>
        </w:rPr>
        <w:t>WiORB, następujące badania:</w:t>
      </w:r>
    </w:p>
    <w:p w14:paraId="408B3CEF" w14:textId="77777777" w:rsidR="008C66DB" w:rsidRPr="00307E20" w:rsidRDefault="008C66DB" w:rsidP="008C66DB">
      <w:pPr>
        <w:rPr>
          <w:rFonts w:ascii="Calibri" w:hAnsi="Calibri" w:cs="Calibri"/>
          <w:sz w:val="18"/>
          <w:szCs w:val="18"/>
        </w:rPr>
      </w:pPr>
      <w:r w:rsidRPr="00307E20">
        <w:rPr>
          <w:rFonts w:ascii="Calibri" w:hAnsi="Calibri" w:cs="Calibri"/>
          <w:sz w:val="18"/>
          <w:szCs w:val="18"/>
        </w:rPr>
        <w:t>a) przed rozpoczęciem pracy:</w:t>
      </w:r>
    </w:p>
    <w:p w14:paraId="38AD7611" w14:textId="77777777" w:rsidR="008C66DB" w:rsidRPr="00307E20" w:rsidRDefault="008C66DB" w:rsidP="008C66DB">
      <w:pPr>
        <w:numPr>
          <w:ilvl w:val="0"/>
          <w:numId w:val="1"/>
        </w:numPr>
        <w:rPr>
          <w:rFonts w:ascii="Calibri" w:hAnsi="Calibri" w:cs="Calibri"/>
          <w:sz w:val="18"/>
          <w:szCs w:val="18"/>
        </w:rPr>
      </w:pPr>
      <w:r w:rsidRPr="00307E20">
        <w:rPr>
          <w:rFonts w:ascii="Calibri" w:hAnsi="Calibri" w:cs="Calibri"/>
          <w:sz w:val="18"/>
          <w:szCs w:val="18"/>
        </w:rPr>
        <w:t>sprawdzenie oznakowania opakowań,</w:t>
      </w:r>
    </w:p>
    <w:p w14:paraId="71972A76" w14:textId="77777777" w:rsidR="008C66DB" w:rsidRPr="00307E20" w:rsidRDefault="008C66DB" w:rsidP="008C66DB">
      <w:pPr>
        <w:numPr>
          <w:ilvl w:val="0"/>
          <w:numId w:val="1"/>
        </w:numPr>
        <w:rPr>
          <w:rFonts w:ascii="Calibri" w:hAnsi="Calibri" w:cs="Calibri"/>
          <w:sz w:val="18"/>
          <w:szCs w:val="18"/>
        </w:rPr>
      </w:pPr>
      <w:r w:rsidRPr="00307E20">
        <w:rPr>
          <w:rFonts w:ascii="Calibri" w:hAnsi="Calibri" w:cs="Calibri"/>
          <w:sz w:val="18"/>
          <w:szCs w:val="18"/>
        </w:rPr>
        <w:t>wizualną ocenę stanu  materiału, w zakresie jego jednorodności i widocznych wad,</w:t>
      </w:r>
    </w:p>
    <w:p w14:paraId="4F44EB39" w14:textId="77777777" w:rsidR="008C66DB" w:rsidRPr="00307E20" w:rsidRDefault="008C66DB" w:rsidP="008C66DB">
      <w:pPr>
        <w:numPr>
          <w:ilvl w:val="0"/>
          <w:numId w:val="1"/>
        </w:numPr>
        <w:rPr>
          <w:rFonts w:ascii="Calibri" w:hAnsi="Calibri" w:cs="Calibri"/>
          <w:sz w:val="18"/>
          <w:szCs w:val="18"/>
        </w:rPr>
      </w:pPr>
      <w:r w:rsidRPr="00307E20">
        <w:rPr>
          <w:rFonts w:ascii="Calibri" w:hAnsi="Calibri" w:cs="Calibri"/>
          <w:sz w:val="18"/>
          <w:szCs w:val="18"/>
        </w:rPr>
        <w:t>pomiar wilgotności względnej powietrza,</w:t>
      </w:r>
    </w:p>
    <w:p w14:paraId="2200DB60" w14:textId="77777777" w:rsidR="008C66DB" w:rsidRPr="00307E20" w:rsidRDefault="008C66DB" w:rsidP="008C66DB">
      <w:pPr>
        <w:numPr>
          <w:ilvl w:val="0"/>
          <w:numId w:val="1"/>
        </w:numPr>
        <w:rPr>
          <w:rFonts w:ascii="Calibri" w:hAnsi="Calibri" w:cs="Calibri"/>
          <w:sz w:val="18"/>
          <w:szCs w:val="18"/>
        </w:rPr>
      </w:pPr>
      <w:r w:rsidRPr="00307E20">
        <w:rPr>
          <w:rFonts w:ascii="Calibri" w:hAnsi="Calibri" w:cs="Calibri"/>
          <w:sz w:val="18"/>
          <w:szCs w:val="18"/>
        </w:rPr>
        <w:t>pomiar temperatury powietrza i nawierzchni,</w:t>
      </w:r>
    </w:p>
    <w:p w14:paraId="15ECBA69" w14:textId="77777777" w:rsidR="008C66DB" w:rsidRPr="00307E20" w:rsidRDefault="008C66DB" w:rsidP="008C66DB">
      <w:pPr>
        <w:numPr>
          <w:ilvl w:val="0"/>
          <w:numId w:val="1"/>
        </w:numPr>
        <w:rPr>
          <w:rFonts w:ascii="Calibri" w:hAnsi="Calibri" w:cs="Calibri"/>
          <w:sz w:val="18"/>
          <w:szCs w:val="18"/>
        </w:rPr>
      </w:pPr>
      <w:r w:rsidRPr="00307E20">
        <w:rPr>
          <w:rFonts w:ascii="Calibri" w:hAnsi="Calibri" w:cs="Calibri"/>
          <w:sz w:val="18"/>
          <w:szCs w:val="18"/>
        </w:rPr>
        <w:t>badanie lepkości farby (cienkowarstwowej), wg POD-97,</w:t>
      </w:r>
    </w:p>
    <w:p w14:paraId="35B7FB07" w14:textId="77777777" w:rsidR="008C66DB" w:rsidRPr="00307E20" w:rsidRDefault="008C66DB" w:rsidP="008C66DB">
      <w:pPr>
        <w:rPr>
          <w:rFonts w:ascii="Calibri" w:hAnsi="Calibri" w:cs="Calibri"/>
          <w:sz w:val="18"/>
          <w:szCs w:val="18"/>
        </w:rPr>
      </w:pPr>
      <w:r w:rsidRPr="00307E20">
        <w:rPr>
          <w:rFonts w:ascii="Calibri" w:hAnsi="Calibri" w:cs="Calibri"/>
          <w:sz w:val="18"/>
          <w:szCs w:val="18"/>
        </w:rPr>
        <w:t>b) w czasie wykonywania pracy:</w:t>
      </w:r>
    </w:p>
    <w:p w14:paraId="6E260DD0" w14:textId="77777777" w:rsidR="008C66DB" w:rsidRPr="00307E20" w:rsidRDefault="008C66DB" w:rsidP="008C66DB">
      <w:pPr>
        <w:numPr>
          <w:ilvl w:val="0"/>
          <w:numId w:val="1"/>
        </w:numPr>
        <w:rPr>
          <w:rFonts w:ascii="Calibri" w:hAnsi="Calibri" w:cs="Calibri"/>
          <w:sz w:val="18"/>
          <w:szCs w:val="18"/>
        </w:rPr>
      </w:pPr>
      <w:r w:rsidRPr="00307E20">
        <w:rPr>
          <w:rFonts w:ascii="Calibri" w:hAnsi="Calibri" w:cs="Calibri"/>
          <w:sz w:val="18"/>
          <w:szCs w:val="18"/>
        </w:rPr>
        <w:t>pomiar grubości warstwy oznakowania,</w:t>
      </w:r>
    </w:p>
    <w:p w14:paraId="44ECCF56" w14:textId="77777777" w:rsidR="008C66DB" w:rsidRPr="00307E20" w:rsidRDefault="008C66DB" w:rsidP="008C66DB">
      <w:pPr>
        <w:numPr>
          <w:ilvl w:val="0"/>
          <w:numId w:val="1"/>
        </w:numPr>
        <w:rPr>
          <w:rFonts w:ascii="Calibri" w:hAnsi="Calibri" w:cs="Calibri"/>
          <w:sz w:val="18"/>
          <w:szCs w:val="18"/>
        </w:rPr>
      </w:pPr>
      <w:r w:rsidRPr="00307E20">
        <w:rPr>
          <w:rFonts w:ascii="Calibri" w:hAnsi="Calibri" w:cs="Calibri"/>
          <w:sz w:val="18"/>
          <w:szCs w:val="18"/>
        </w:rPr>
        <w:t>pomiar czasu schnięcia, wg POD-97,</w:t>
      </w:r>
    </w:p>
    <w:p w14:paraId="4BDAE9F0" w14:textId="77777777" w:rsidR="008C66DB" w:rsidRPr="00307E20" w:rsidRDefault="008C66DB" w:rsidP="008C66DB">
      <w:pPr>
        <w:numPr>
          <w:ilvl w:val="0"/>
          <w:numId w:val="1"/>
        </w:numPr>
        <w:rPr>
          <w:rFonts w:ascii="Calibri" w:hAnsi="Calibri" w:cs="Calibri"/>
          <w:sz w:val="18"/>
          <w:szCs w:val="18"/>
        </w:rPr>
      </w:pPr>
      <w:r w:rsidRPr="00307E20">
        <w:rPr>
          <w:rFonts w:ascii="Calibri" w:hAnsi="Calibri" w:cs="Calibri"/>
          <w:sz w:val="18"/>
          <w:szCs w:val="18"/>
        </w:rPr>
        <w:t>wizualną ocenę równomierności rozłożenia kulek szklanych,</w:t>
      </w:r>
    </w:p>
    <w:p w14:paraId="284D71E8" w14:textId="77777777" w:rsidR="008C66DB" w:rsidRPr="00307E20" w:rsidRDefault="008C66DB" w:rsidP="008C66DB">
      <w:pPr>
        <w:numPr>
          <w:ilvl w:val="0"/>
          <w:numId w:val="1"/>
        </w:numPr>
        <w:rPr>
          <w:rFonts w:ascii="Calibri" w:hAnsi="Calibri" w:cs="Calibri"/>
          <w:sz w:val="18"/>
          <w:szCs w:val="18"/>
        </w:rPr>
      </w:pPr>
      <w:r w:rsidRPr="00307E20">
        <w:rPr>
          <w:rFonts w:ascii="Calibri" w:hAnsi="Calibri" w:cs="Calibri"/>
          <w:sz w:val="18"/>
          <w:szCs w:val="18"/>
        </w:rPr>
        <w:t>pomiar poziomych wymiarów oznakowania, na zgodność z dokumentacją projektową i „Instrukcją o znakach drogowych poziomych”,</w:t>
      </w:r>
    </w:p>
    <w:p w14:paraId="3E17A354" w14:textId="77777777" w:rsidR="008C66DB" w:rsidRPr="00307E20" w:rsidRDefault="008C66DB" w:rsidP="008C66DB">
      <w:pPr>
        <w:numPr>
          <w:ilvl w:val="0"/>
          <w:numId w:val="1"/>
        </w:numPr>
        <w:rPr>
          <w:rFonts w:ascii="Calibri" w:hAnsi="Calibri" w:cs="Calibri"/>
          <w:sz w:val="18"/>
          <w:szCs w:val="18"/>
        </w:rPr>
      </w:pPr>
      <w:r w:rsidRPr="00307E20">
        <w:rPr>
          <w:rFonts w:ascii="Calibri" w:hAnsi="Calibri" w:cs="Calibri"/>
          <w:sz w:val="18"/>
          <w:szCs w:val="18"/>
        </w:rPr>
        <w:t>wizualną ocenę równomierności skropienia (rozłożenia materiału) na całej szerokości linii,</w:t>
      </w:r>
    </w:p>
    <w:p w14:paraId="2BE1A363" w14:textId="77777777" w:rsidR="008C66DB" w:rsidRPr="00307E20" w:rsidRDefault="008C66DB" w:rsidP="008C66DB">
      <w:pPr>
        <w:numPr>
          <w:ilvl w:val="0"/>
          <w:numId w:val="1"/>
        </w:numPr>
        <w:rPr>
          <w:rFonts w:ascii="Calibri" w:hAnsi="Calibri" w:cs="Calibri"/>
          <w:sz w:val="18"/>
          <w:szCs w:val="18"/>
        </w:rPr>
      </w:pPr>
      <w:r w:rsidRPr="00307E20">
        <w:rPr>
          <w:rFonts w:ascii="Calibri" w:hAnsi="Calibri" w:cs="Calibri"/>
          <w:sz w:val="18"/>
          <w:szCs w:val="18"/>
        </w:rPr>
        <w:t>oznaczenia czasu przejezdności, wg POD-97.</w:t>
      </w:r>
    </w:p>
    <w:p w14:paraId="0A45C697" w14:textId="77777777" w:rsidR="008C66DB" w:rsidRPr="00307E20" w:rsidRDefault="008C66DB" w:rsidP="008C66DB">
      <w:pPr>
        <w:rPr>
          <w:rFonts w:ascii="Calibri" w:hAnsi="Calibri" w:cs="Calibri"/>
          <w:sz w:val="18"/>
          <w:szCs w:val="18"/>
        </w:rPr>
      </w:pPr>
      <w:r w:rsidRPr="00307E20">
        <w:rPr>
          <w:rFonts w:ascii="Calibri" w:hAnsi="Calibri" w:cs="Calibri"/>
          <w:sz w:val="18"/>
          <w:szCs w:val="18"/>
        </w:rPr>
        <w:t>Protokół z przeprowadzonych badań wraz z jedną próbką na blasze (300 x 250 x 0,8 mm) Wykonawca powinien przechować do czasu upływu okresu gwarancji.</w:t>
      </w:r>
    </w:p>
    <w:p w14:paraId="31E0361E" w14:textId="77777777" w:rsidR="008C66DB" w:rsidRPr="00307E20" w:rsidRDefault="008C66DB" w:rsidP="008C66DB">
      <w:pPr>
        <w:rPr>
          <w:rFonts w:ascii="Calibri" w:hAnsi="Calibri" w:cs="Calibri"/>
          <w:sz w:val="18"/>
          <w:szCs w:val="18"/>
        </w:rPr>
      </w:pPr>
    </w:p>
    <w:p w14:paraId="0188FDA3" w14:textId="77777777" w:rsidR="008C66DB" w:rsidRPr="00307E20" w:rsidRDefault="008C66DB" w:rsidP="008C66DB">
      <w:pPr>
        <w:rPr>
          <w:rFonts w:ascii="Calibri" w:hAnsi="Calibri" w:cs="Calibri"/>
          <w:sz w:val="18"/>
          <w:szCs w:val="18"/>
        </w:rPr>
      </w:pPr>
      <w:r w:rsidRPr="00307E20">
        <w:rPr>
          <w:rFonts w:ascii="Calibri" w:hAnsi="Calibri" w:cs="Calibri"/>
          <w:sz w:val="18"/>
          <w:szCs w:val="18"/>
        </w:rPr>
        <w:t>W przypadku wątpliwości dotyczących wykonania oznakowania poziomego, Inżynier może zlecić wykonanie badań:</w:t>
      </w:r>
    </w:p>
    <w:p w14:paraId="7F76F66E" w14:textId="77777777" w:rsidR="008C66DB" w:rsidRPr="00307E20" w:rsidRDefault="008C66DB" w:rsidP="008C66DB">
      <w:pPr>
        <w:numPr>
          <w:ilvl w:val="0"/>
          <w:numId w:val="1"/>
        </w:numPr>
        <w:rPr>
          <w:rFonts w:ascii="Calibri" w:hAnsi="Calibri" w:cs="Calibri"/>
          <w:sz w:val="18"/>
          <w:szCs w:val="18"/>
        </w:rPr>
      </w:pPr>
      <w:r w:rsidRPr="00307E20">
        <w:rPr>
          <w:rFonts w:ascii="Calibri" w:hAnsi="Calibri" w:cs="Calibri"/>
          <w:sz w:val="18"/>
          <w:szCs w:val="18"/>
        </w:rPr>
        <w:t>widzialności w dzień,</w:t>
      </w:r>
    </w:p>
    <w:p w14:paraId="11D8DE37" w14:textId="77777777" w:rsidR="008C66DB" w:rsidRPr="00307E20" w:rsidRDefault="008C66DB" w:rsidP="008C66DB">
      <w:pPr>
        <w:numPr>
          <w:ilvl w:val="0"/>
          <w:numId w:val="1"/>
        </w:numPr>
        <w:rPr>
          <w:rFonts w:ascii="Calibri" w:hAnsi="Calibri" w:cs="Calibri"/>
          <w:sz w:val="18"/>
          <w:szCs w:val="18"/>
        </w:rPr>
      </w:pPr>
      <w:r w:rsidRPr="00307E20">
        <w:rPr>
          <w:rFonts w:ascii="Calibri" w:hAnsi="Calibri" w:cs="Calibri"/>
          <w:sz w:val="18"/>
          <w:szCs w:val="18"/>
        </w:rPr>
        <w:t>widzialności w nocy,</w:t>
      </w:r>
    </w:p>
    <w:p w14:paraId="47D1938F" w14:textId="77777777" w:rsidR="008C66DB" w:rsidRPr="00307E20" w:rsidRDefault="008C66DB" w:rsidP="008C66DB">
      <w:pPr>
        <w:numPr>
          <w:ilvl w:val="0"/>
          <w:numId w:val="1"/>
        </w:numPr>
        <w:rPr>
          <w:rFonts w:ascii="Calibri" w:hAnsi="Calibri" w:cs="Calibri"/>
          <w:sz w:val="18"/>
          <w:szCs w:val="18"/>
        </w:rPr>
      </w:pPr>
      <w:r w:rsidRPr="00307E20">
        <w:rPr>
          <w:rFonts w:ascii="Calibri" w:hAnsi="Calibri" w:cs="Calibri"/>
          <w:sz w:val="18"/>
          <w:szCs w:val="18"/>
        </w:rPr>
        <w:t>szorstkości,</w:t>
      </w:r>
    </w:p>
    <w:p w14:paraId="4E16BBE6" w14:textId="77777777" w:rsidR="008C66DB" w:rsidRPr="00307E20" w:rsidRDefault="008C66DB" w:rsidP="008C66DB">
      <w:pPr>
        <w:rPr>
          <w:rFonts w:ascii="Calibri" w:hAnsi="Calibri" w:cs="Calibri"/>
          <w:sz w:val="18"/>
          <w:szCs w:val="18"/>
        </w:rPr>
      </w:pPr>
      <w:r w:rsidRPr="00307E20">
        <w:rPr>
          <w:rFonts w:ascii="Calibri" w:hAnsi="Calibri" w:cs="Calibri"/>
          <w:sz w:val="18"/>
          <w:szCs w:val="18"/>
        </w:rPr>
        <w:t>odpowiadających wymaganiom podanym w punkcie 6.3.1 i wykonanych według metod określonych w „Warunkach technicznych POD-97”. Jeżeli wyniki tych badań wykażą wadliwość wykonanego oznakowania to koszt badań ponosi Wykonawca, w przypadku przeciwnym - Zamawiający.</w:t>
      </w:r>
    </w:p>
    <w:p w14:paraId="5933566C" w14:textId="77777777" w:rsidR="008C66DB" w:rsidRPr="00307E20" w:rsidRDefault="008C66DB" w:rsidP="008C66DB">
      <w:pPr>
        <w:spacing w:before="120"/>
        <w:rPr>
          <w:rFonts w:ascii="Calibri" w:hAnsi="Calibri" w:cs="Calibri"/>
          <w:b/>
          <w:bCs/>
          <w:i/>
          <w:iCs/>
          <w:sz w:val="18"/>
          <w:szCs w:val="18"/>
        </w:rPr>
      </w:pPr>
      <w:r w:rsidRPr="00307E20">
        <w:rPr>
          <w:rFonts w:ascii="Calibri" w:hAnsi="Calibri" w:cs="Calibri"/>
          <w:b/>
          <w:bCs/>
          <w:i/>
          <w:iCs/>
          <w:sz w:val="18"/>
          <w:szCs w:val="18"/>
        </w:rPr>
        <w:t>6.3.3. Badania wykonania znakowania poziomego z punktowych elementów odblaskowych</w:t>
      </w:r>
    </w:p>
    <w:p w14:paraId="21874E58" w14:textId="77777777" w:rsidR="008C66DB" w:rsidRPr="00307E20" w:rsidRDefault="008C66DB" w:rsidP="008C66DB">
      <w:pPr>
        <w:spacing w:before="120"/>
        <w:rPr>
          <w:rFonts w:ascii="Calibri" w:hAnsi="Calibri" w:cs="Calibri"/>
          <w:sz w:val="18"/>
          <w:szCs w:val="18"/>
        </w:rPr>
      </w:pPr>
      <w:r w:rsidRPr="00307E20">
        <w:rPr>
          <w:rFonts w:ascii="Calibri" w:hAnsi="Calibri" w:cs="Calibri"/>
          <w:sz w:val="18"/>
          <w:szCs w:val="18"/>
        </w:rPr>
        <w:t>Wykonawca wykonując znakowanie z prefabrykowanych elementów odblaskowych przeprowadza, co najmniej raz dziennie , następujące badania:</w:t>
      </w:r>
    </w:p>
    <w:p w14:paraId="5ED54907" w14:textId="77777777" w:rsidR="008C66DB" w:rsidRPr="00307E20" w:rsidRDefault="008C66DB" w:rsidP="008C66DB">
      <w:pPr>
        <w:numPr>
          <w:ilvl w:val="0"/>
          <w:numId w:val="1"/>
        </w:numPr>
        <w:rPr>
          <w:rFonts w:ascii="Calibri" w:hAnsi="Calibri" w:cs="Calibri"/>
          <w:sz w:val="18"/>
          <w:szCs w:val="18"/>
        </w:rPr>
      </w:pPr>
      <w:r w:rsidRPr="00307E20">
        <w:rPr>
          <w:rFonts w:ascii="Calibri" w:hAnsi="Calibri" w:cs="Calibri"/>
          <w:sz w:val="18"/>
          <w:szCs w:val="18"/>
        </w:rPr>
        <w:t>sprawdzenie oznakowania opakowań,</w:t>
      </w:r>
    </w:p>
    <w:p w14:paraId="375F8130" w14:textId="77777777" w:rsidR="008C66DB" w:rsidRPr="00307E20" w:rsidRDefault="008C66DB" w:rsidP="008C66DB">
      <w:pPr>
        <w:numPr>
          <w:ilvl w:val="0"/>
          <w:numId w:val="1"/>
        </w:numPr>
        <w:rPr>
          <w:rFonts w:ascii="Calibri" w:hAnsi="Calibri" w:cs="Calibri"/>
          <w:sz w:val="18"/>
          <w:szCs w:val="18"/>
        </w:rPr>
      </w:pPr>
      <w:r w:rsidRPr="00307E20">
        <w:rPr>
          <w:rFonts w:ascii="Calibri" w:hAnsi="Calibri" w:cs="Calibri"/>
          <w:sz w:val="18"/>
          <w:szCs w:val="18"/>
        </w:rPr>
        <w:t xml:space="preserve">sprawdzenie rodzaju stosowanego kleju lub innych elementów mocujących, </w:t>
      </w:r>
    </w:p>
    <w:p w14:paraId="65EBDAA3" w14:textId="77777777" w:rsidR="008C66DB" w:rsidRPr="00307E20" w:rsidRDefault="008C66DB" w:rsidP="008C66DB">
      <w:pPr>
        <w:numPr>
          <w:ilvl w:val="0"/>
          <w:numId w:val="1"/>
        </w:numPr>
        <w:rPr>
          <w:rFonts w:ascii="Calibri" w:hAnsi="Calibri" w:cs="Calibri"/>
          <w:sz w:val="18"/>
          <w:szCs w:val="18"/>
        </w:rPr>
      </w:pPr>
      <w:r w:rsidRPr="00307E20">
        <w:rPr>
          <w:rFonts w:ascii="Calibri" w:hAnsi="Calibri" w:cs="Calibri"/>
          <w:sz w:val="18"/>
          <w:szCs w:val="18"/>
        </w:rPr>
        <w:t>wizualną ocenę stanu elementów, w zakresie ich kompletności i braku wad,</w:t>
      </w:r>
    </w:p>
    <w:p w14:paraId="242F9501" w14:textId="77777777" w:rsidR="008C66DB" w:rsidRPr="00307E20" w:rsidRDefault="008C66DB" w:rsidP="008C66DB">
      <w:pPr>
        <w:numPr>
          <w:ilvl w:val="0"/>
          <w:numId w:val="1"/>
        </w:numPr>
        <w:rPr>
          <w:rFonts w:ascii="Calibri" w:hAnsi="Calibri" w:cs="Calibri"/>
          <w:sz w:val="18"/>
          <w:szCs w:val="18"/>
        </w:rPr>
      </w:pPr>
      <w:r w:rsidRPr="00307E20">
        <w:rPr>
          <w:rFonts w:ascii="Calibri" w:hAnsi="Calibri" w:cs="Calibri"/>
          <w:sz w:val="18"/>
          <w:szCs w:val="18"/>
        </w:rPr>
        <w:t>wilgotności względnej powietrza,</w:t>
      </w:r>
    </w:p>
    <w:p w14:paraId="50740F85" w14:textId="77777777" w:rsidR="008C66DB" w:rsidRPr="00307E20" w:rsidRDefault="008C66DB" w:rsidP="008C66DB">
      <w:pPr>
        <w:numPr>
          <w:ilvl w:val="0"/>
          <w:numId w:val="1"/>
        </w:numPr>
        <w:rPr>
          <w:rFonts w:ascii="Calibri" w:hAnsi="Calibri" w:cs="Calibri"/>
          <w:sz w:val="18"/>
          <w:szCs w:val="18"/>
        </w:rPr>
      </w:pPr>
      <w:r w:rsidRPr="00307E20">
        <w:rPr>
          <w:rFonts w:ascii="Calibri" w:hAnsi="Calibri" w:cs="Calibri"/>
          <w:sz w:val="18"/>
          <w:szCs w:val="18"/>
        </w:rPr>
        <w:t>temperatury powietrza i nawierzchni,</w:t>
      </w:r>
    </w:p>
    <w:p w14:paraId="0F843816" w14:textId="77777777" w:rsidR="008C66DB" w:rsidRPr="00307E20" w:rsidRDefault="008C66DB" w:rsidP="008C66DB">
      <w:pPr>
        <w:numPr>
          <w:ilvl w:val="0"/>
          <w:numId w:val="1"/>
        </w:numPr>
        <w:rPr>
          <w:rFonts w:ascii="Calibri" w:hAnsi="Calibri" w:cs="Calibri"/>
          <w:sz w:val="18"/>
          <w:szCs w:val="18"/>
        </w:rPr>
      </w:pPr>
      <w:r w:rsidRPr="00307E20">
        <w:rPr>
          <w:rFonts w:ascii="Calibri" w:hAnsi="Calibri" w:cs="Calibri"/>
          <w:sz w:val="18"/>
          <w:szCs w:val="18"/>
        </w:rPr>
        <w:t>pomiaru czasu oddania do ruchu (schnięcia),</w:t>
      </w:r>
    </w:p>
    <w:p w14:paraId="5E686481" w14:textId="77777777" w:rsidR="008C66DB" w:rsidRPr="00307E20" w:rsidRDefault="008C66DB" w:rsidP="008C66DB">
      <w:pPr>
        <w:numPr>
          <w:ilvl w:val="0"/>
          <w:numId w:val="1"/>
        </w:numPr>
        <w:rPr>
          <w:rFonts w:ascii="Calibri" w:hAnsi="Calibri" w:cs="Calibri"/>
          <w:sz w:val="18"/>
          <w:szCs w:val="18"/>
        </w:rPr>
      </w:pPr>
      <w:r w:rsidRPr="00307E20">
        <w:rPr>
          <w:rFonts w:ascii="Calibri" w:hAnsi="Calibri" w:cs="Calibri"/>
          <w:sz w:val="18"/>
          <w:szCs w:val="18"/>
        </w:rPr>
        <w:t>wizualną ocenę liniowości przyklejenia elementów,</w:t>
      </w:r>
    </w:p>
    <w:p w14:paraId="65E491C3" w14:textId="77777777" w:rsidR="008C66DB" w:rsidRPr="00307E20" w:rsidRDefault="008C66DB" w:rsidP="008C66DB">
      <w:pPr>
        <w:numPr>
          <w:ilvl w:val="0"/>
          <w:numId w:val="1"/>
        </w:numPr>
        <w:rPr>
          <w:rFonts w:ascii="Calibri" w:hAnsi="Calibri" w:cs="Calibri"/>
          <w:sz w:val="18"/>
          <w:szCs w:val="18"/>
        </w:rPr>
      </w:pPr>
      <w:r w:rsidRPr="00307E20">
        <w:rPr>
          <w:rFonts w:ascii="Calibri" w:hAnsi="Calibri" w:cs="Calibri"/>
          <w:sz w:val="18"/>
          <w:szCs w:val="18"/>
        </w:rPr>
        <w:t>równomierności przyklejenia elementów na całej długości linii,</w:t>
      </w:r>
    </w:p>
    <w:p w14:paraId="0CB8CB12" w14:textId="77777777" w:rsidR="008C66DB" w:rsidRPr="00307E20" w:rsidRDefault="008C66DB" w:rsidP="008C66DB">
      <w:pPr>
        <w:numPr>
          <w:ilvl w:val="0"/>
          <w:numId w:val="1"/>
        </w:numPr>
        <w:rPr>
          <w:rFonts w:ascii="Calibri" w:hAnsi="Calibri" w:cs="Calibri"/>
          <w:sz w:val="18"/>
          <w:szCs w:val="18"/>
        </w:rPr>
      </w:pPr>
      <w:r w:rsidRPr="00307E20">
        <w:rPr>
          <w:rFonts w:ascii="Calibri" w:hAnsi="Calibri" w:cs="Calibri"/>
          <w:sz w:val="18"/>
          <w:szCs w:val="18"/>
        </w:rPr>
        <w:t>zgodności wykonania oznakowania z dokumentacja projektową i „Instrukcją o znakach drogowych poziomych”.</w:t>
      </w:r>
    </w:p>
    <w:p w14:paraId="2853343A" w14:textId="77777777" w:rsidR="008C66DB" w:rsidRPr="00307E20" w:rsidRDefault="008C66DB" w:rsidP="008C66DB">
      <w:pPr>
        <w:rPr>
          <w:rFonts w:ascii="Calibri" w:hAnsi="Calibri" w:cs="Calibri"/>
          <w:sz w:val="18"/>
          <w:szCs w:val="18"/>
        </w:rPr>
      </w:pPr>
      <w:r w:rsidRPr="00307E20">
        <w:rPr>
          <w:rFonts w:ascii="Calibri" w:hAnsi="Calibri" w:cs="Calibri"/>
          <w:sz w:val="18"/>
          <w:szCs w:val="18"/>
        </w:rPr>
        <w:t>Protokół z przeprowadzonych badań wraz z próbkami przyklejanych elementów Wykonawca przechowuje do czasu upływu okresu gwarancji.</w:t>
      </w:r>
    </w:p>
    <w:p w14:paraId="1B0761E0" w14:textId="77777777" w:rsidR="008C66DB" w:rsidRPr="00307E20" w:rsidRDefault="008C66DB" w:rsidP="008C66DB">
      <w:pPr>
        <w:rPr>
          <w:rFonts w:ascii="Calibri" w:hAnsi="Calibri" w:cs="Calibri"/>
          <w:sz w:val="18"/>
          <w:szCs w:val="18"/>
        </w:rPr>
      </w:pPr>
      <w:r w:rsidRPr="00307E20">
        <w:rPr>
          <w:rFonts w:ascii="Calibri" w:hAnsi="Calibri" w:cs="Calibri"/>
          <w:sz w:val="18"/>
          <w:szCs w:val="18"/>
        </w:rPr>
        <w:t>W przypadku wątpliwości dotyczących wykonania oznakowania poziomego Inżynier  może zlecić wykonanie badań:</w:t>
      </w:r>
    </w:p>
    <w:p w14:paraId="054288D3" w14:textId="77777777" w:rsidR="008C66DB" w:rsidRPr="00307E20" w:rsidRDefault="008C66DB" w:rsidP="008C66DB">
      <w:pPr>
        <w:numPr>
          <w:ilvl w:val="0"/>
          <w:numId w:val="1"/>
        </w:numPr>
        <w:rPr>
          <w:rFonts w:ascii="Calibri" w:hAnsi="Calibri" w:cs="Calibri"/>
          <w:sz w:val="18"/>
          <w:szCs w:val="18"/>
        </w:rPr>
      </w:pPr>
      <w:r w:rsidRPr="00307E20">
        <w:rPr>
          <w:rFonts w:ascii="Calibri" w:hAnsi="Calibri" w:cs="Calibri"/>
          <w:sz w:val="18"/>
          <w:szCs w:val="18"/>
        </w:rPr>
        <w:t>widzialności w dzień,</w:t>
      </w:r>
    </w:p>
    <w:p w14:paraId="6487ADD7" w14:textId="77777777" w:rsidR="008C66DB" w:rsidRPr="00307E20" w:rsidRDefault="008C66DB" w:rsidP="008C66DB">
      <w:pPr>
        <w:numPr>
          <w:ilvl w:val="0"/>
          <w:numId w:val="1"/>
        </w:numPr>
        <w:rPr>
          <w:rFonts w:ascii="Calibri" w:hAnsi="Calibri" w:cs="Calibri"/>
          <w:sz w:val="18"/>
          <w:szCs w:val="18"/>
        </w:rPr>
      </w:pPr>
      <w:r w:rsidRPr="00307E20">
        <w:rPr>
          <w:rFonts w:ascii="Calibri" w:hAnsi="Calibri" w:cs="Calibri"/>
          <w:sz w:val="18"/>
          <w:szCs w:val="18"/>
        </w:rPr>
        <w:t>widzialności w nocy,</w:t>
      </w:r>
    </w:p>
    <w:p w14:paraId="4424EADF" w14:textId="77777777" w:rsidR="008C66DB" w:rsidRPr="00307E20" w:rsidRDefault="008C66DB" w:rsidP="008C66DB">
      <w:pPr>
        <w:rPr>
          <w:rFonts w:ascii="Calibri" w:hAnsi="Calibri" w:cs="Calibri"/>
          <w:sz w:val="18"/>
          <w:szCs w:val="18"/>
        </w:rPr>
      </w:pPr>
      <w:r w:rsidRPr="00307E20">
        <w:rPr>
          <w:rFonts w:ascii="Calibri" w:hAnsi="Calibri" w:cs="Calibri"/>
          <w:sz w:val="18"/>
          <w:szCs w:val="18"/>
        </w:rPr>
        <w:t>odpowiadających wymaganiom podanym w punkcie 6.3.1 i wykonanych według metod określonych w „Warunkach technicznych POD-97”. Jeśli wyniki tych badań wykażą wadliwość wykonanego oznakowania to koszt badań ponosi Wykonawca, w przypadku przeciwnym - Zamawiający.</w:t>
      </w:r>
    </w:p>
    <w:p w14:paraId="575337B7" w14:textId="77777777" w:rsidR="008C66DB" w:rsidRDefault="008C66DB" w:rsidP="008C66DB">
      <w:pPr>
        <w:rPr>
          <w:rFonts w:ascii="Calibri" w:hAnsi="Calibri" w:cs="Calibri"/>
          <w:sz w:val="18"/>
          <w:szCs w:val="18"/>
        </w:rPr>
      </w:pPr>
    </w:p>
    <w:p w14:paraId="57579413" w14:textId="77777777" w:rsidR="007E56C9" w:rsidRDefault="007E56C9" w:rsidP="008C66DB">
      <w:pPr>
        <w:rPr>
          <w:rFonts w:ascii="Calibri" w:hAnsi="Calibri" w:cs="Calibri"/>
          <w:sz w:val="18"/>
          <w:szCs w:val="18"/>
        </w:rPr>
      </w:pPr>
    </w:p>
    <w:p w14:paraId="708EB7CF" w14:textId="77777777" w:rsidR="007E56C9" w:rsidRDefault="007E56C9" w:rsidP="008C66DB">
      <w:pPr>
        <w:rPr>
          <w:rFonts w:ascii="Calibri" w:hAnsi="Calibri" w:cs="Calibri"/>
          <w:sz w:val="18"/>
          <w:szCs w:val="18"/>
        </w:rPr>
      </w:pPr>
    </w:p>
    <w:p w14:paraId="45746A08" w14:textId="77777777" w:rsidR="007E56C9" w:rsidRDefault="007E56C9" w:rsidP="008C66DB">
      <w:pPr>
        <w:rPr>
          <w:rFonts w:ascii="Calibri" w:hAnsi="Calibri" w:cs="Calibri"/>
          <w:sz w:val="18"/>
          <w:szCs w:val="18"/>
        </w:rPr>
      </w:pPr>
    </w:p>
    <w:p w14:paraId="165E9F6E" w14:textId="77777777" w:rsidR="007E56C9" w:rsidRDefault="007E56C9" w:rsidP="008C66DB">
      <w:pPr>
        <w:rPr>
          <w:rFonts w:ascii="Calibri" w:hAnsi="Calibri" w:cs="Calibri"/>
          <w:sz w:val="18"/>
          <w:szCs w:val="18"/>
        </w:rPr>
      </w:pPr>
    </w:p>
    <w:p w14:paraId="5A1CB94B" w14:textId="77777777" w:rsidR="007E56C9" w:rsidRPr="00307E20" w:rsidRDefault="007E56C9" w:rsidP="008C66DB">
      <w:pPr>
        <w:rPr>
          <w:rFonts w:ascii="Calibri" w:hAnsi="Calibri" w:cs="Calibri"/>
          <w:sz w:val="18"/>
          <w:szCs w:val="18"/>
        </w:rPr>
      </w:pPr>
    </w:p>
    <w:p w14:paraId="2E8D44FE" w14:textId="77777777" w:rsidR="008C66DB" w:rsidRPr="00307E20" w:rsidRDefault="008C66DB" w:rsidP="008C66DB">
      <w:pPr>
        <w:spacing w:before="120" w:after="120"/>
        <w:rPr>
          <w:rFonts w:ascii="Calibri" w:hAnsi="Calibri" w:cs="Calibri"/>
          <w:b/>
          <w:bCs/>
          <w:i/>
          <w:iCs/>
          <w:sz w:val="18"/>
          <w:szCs w:val="18"/>
        </w:rPr>
      </w:pPr>
      <w:r w:rsidRPr="00307E20">
        <w:rPr>
          <w:rFonts w:ascii="Calibri" w:hAnsi="Calibri" w:cs="Calibri"/>
          <w:b/>
          <w:bCs/>
          <w:i/>
          <w:iCs/>
          <w:sz w:val="18"/>
          <w:szCs w:val="18"/>
        </w:rPr>
        <w:t>6.3.4. Zbiorcze zestawienie wymagań dla materiałów i wykonanego oznakowania</w:t>
      </w:r>
    </w:p>
    <w:tbl>
      <w:tblPr>
        <w:tblW w:w="0" w:type="auto"/>
        <w:tblInd w:w="2" w:type="dxa"/>
        <w:tblLayout w:type="fixed"/>
        <w:tblCellMar>
          <w:left w:w="70" w:type="dxa"/>
          <w:right w:w="70" w:type="dxa"/>
        </w:tblCellMar>
        <w:tblLook w:val="0000" w:firstRow="0" w:lastRow="0" w:firstColumn="0" w:lastColumn="0" w:noHBand="0" w:noVBand="0"/>
      </w:tblPr>
      <w:tblGrid>
        <w:gridCol w:w="496"/>
        <w:gridCol w:w="3402"/>
        <w:gridCol w:w="1275"/>
        <w:gridCol w:w="1171"/>
      </w:tblGrid>
      <w:tr w:rsidR="008C66DB" w:rsidRPr="00307E20" w14:paraId="59DC713A" w14:textId="77777777" w:rsidTr="008C66DB">
        <w:tc>
          <w:tcPr>
            <w:tcW w:w="496" w:type="dxa"/>
            <w:tcBorders>
              <w:top w:val="single" w:sz="6" w:space="0" w:color="auto"/>
              <w:left w:val="single" w:sz="6" w:space="0" w:color="auto"/>
            </w:tcBorders>
          </w:tcPr>
          <w:p w14:paraId="7C9C921F" w14:textId="77777777" w:rsidR="008C66DB" w:rsidRPr="00307E20" w:rsidRDefault="008C66DB" w:rsidP="008C66DB">
            <w:pPr>
              <w:rPr>
                <w:rFonts w:ascii="Calibri" w:hAnsi="Calibri" w:cs="Calibri"/>
                <w:sz w:val="18"/>
                <w:szCs w:val="18"/>
              </w:rPr>
            </w:pPr>
          </w:p>
        </w:tc>
        <w:tc>
          <w:tcPr>
            <w:tcW w:w="3402" w:type="dxa"/>
            <w:tcBorders>
              <w:top w:val="single" w:sz="6" w:space="0" w:color="auto"/>
              <w:left w:val="single" w:sz="6" w:space="0" w:color="auto"/>
            </w:tcBorders>
          </w:tcPr>
          <w:p w14:paraId="1D9EA4E7" w14:textId="77777777" w:rsidR="008C66DB" w:rsidRPr="00307E20" w:rsidRDefault="008C66DB" w:rsidP="008C66DB">
            <w:pPr>
              <w:rPr>
                <w:rFonts w:ascii="Calibri" w:hAnsi="Calibri" w:cs="Calibri"/>
                <w:sz w:val="18"/>
                <w:szCs w:val="18"/>
              </w:rPr>
            </w:pPr>
          </w:p>
        </w:tc>
        <w:tc>
          <w:tcPr>
            <w:tcW w:w="1275" w:type="dxa"/>
            <w:tcBorders>
              <w:top w:val="single" w:sz="6" w:space="0" w:color="auto"/>
              <w:left w:val="single" w:sz="6" w:space="0" w:color="auto"/>
              <w:right w:val="single" w:sz="4" w:space="0" w:color="auto"/>
            </w:tcBorders>
          </w:tcPr>
          <w:p w14:paraId="6A28EC49" w14:textId="77777777" w:rsidR="008C66DB" w:rsidRPr="00307E20" w:rsidRDefault="008C66DB" w:rsidP="008C66DB">
            <w:pPr>
              <w:rPr>
                <w:rFonts w:ascii="Calibri" w:hAnsi="Calibri" w:cs="Calibri"/>
                <w:sz w:val="18"/>
                <w:szCs w:val="18"/>
              </w:rPr>
            </w:pPr>
          </w:p>
        </w:tc>
        <w:tc>
          <w:tcPr>
            <w:tcW w:w="1171" w:type="dxa"/>
            <w:vMerge w:val="restart"/>
            <w:tcBorders>
              <w:top w:val="single" w:sz="4" w:space="0" w:color="auto"/>
              <w:left w:val="single" w:sz="4" w:space="0" w:color="auto"/>
              <w:right w:val="single" w:sz="4" w:space="0" w:color="auto"/>
            </w:tcBorders>
          </w:tcPr>
          <w:p w14:paraId="3EFD9977" w14:textId="77777777" w:rsidR="008C66DB" w:rsidRPr="00307E20" w:rsidRDefault="008C66DB" w:rsidP="008C66DB">
            <w:pPr>
              <w:rPr>
                <w:rFonts w:ascii="Calibri" w:hAnsi="Calibri" w:cs="Calibri"/>
                <w:sz w:val="18"/>
                <w:szCs w:val="18"/>
              </w:rPr>
            </w:pPr>
            <w:r w:rsidRPr="00307E20">
              <w:rPr>
                <w:rFonts w:ascii="Calibri" w:hAnsi="Calibri" w:cs="Calibri"/>
                <w:sz w:val="18"/>
                <w:szCs w:val="18"/>
              </w:rPr>
              <w:t>grubowars-</w:t>
            </w:r>
          </w:p>
          <w:p w14:paraId="21F5481E" w14:textId="77777777" w:rsidR="008C66DB" w:rsidRPr="00307E20" w:rsidRDefault="008C66DB" w:rsidP="008C66DB">
            <w:pPr>
              <w:rPr>
                <w:sz w:val="18"/>
                <w:szCs w:val="18"/>
              </w:rPr>
            </w:pPr>
            <w:r w:rsidRPr="00307E20">
              <w:rPr>
                <w:rFonts w:ascii="Calibri" w:hAnsi="Calibri" w:cs="Calibri"/>
                <w:sz w:val="18"/>
                <w:szCs w:val="18"/>
              </w:rPr>
              <w:t>twowego</w:t>
            </w:r>
          </w:p>
        </w:tc>
      </w:tr>
      <w:tr w:rsidR="008C66DB" w:rsidRPr="00307E20" w14:paraId="4C5CAA20" w14:textId="77777777" w:rsidTr="008C66DB">
        <w:tc>
          <w:tcPr>
            <w:tcW w:w="496" w:type="dxa"/>
            <w:tcBorders>
              <w:left w:val="single" w:sz="6" w:space="0" w:color="auto"/>
            </w:tcBorders>
          </w:tcPr>
          <w:p w14:paraId="78F09F19" w14:textId="77777777" w:rsidR="008C66DB" w:rsidRPr="00307E20" w:rsidRDefault="008C66DB" w:rsidP="008C66DB">
            <w:pPr>
              <w:rPr>
                <w:rFonts w:ascii="Calibri" w:hAnsi="Calibri" w:cs="Calibri"/>
                <w:sz w:val="18"/>
                <w:szCs w:val="18"/>
              </w:rPr>
            </w:pPr>
            <w:r w:rsidRPr="00307E20">
              <w:rPr>
                <w:rFonts w:ascii="Calibri" w:hAnsi="Calibri" w:cs="Calibri"/>
                <w:sz w:val="18"/>
                <w:szCs w:val="18"/>
              </w:rPr>
              <w:t>Lp.</w:t>
            </w:r>
          </w:p>
        </w:tc>
        <w:tc>
          <w:tcPr>
            <w:tcW w:w="3402" w:type="dxa"/>
            <w:tcBorders>
              <w:left w:val="single" w:sz="6" w:space="0" w:color="auto"/>
            </w:tcBorders>
          </w:tcPr>
          <w:p w14:paraId="42148AE7" w14:textId="77777777" w:rsidR="008C66DB" w:rsidRPr="00307E20" w:rsidRDefault="008C66DB" w:rsidP="008C66DB">
            <w:pPr>
              <w:rPr>
                <w:rFonts w:ascii="Calibri" w:hAnsi="Calibri" w:cs="Calibri"/>
                <w:sz w:val="18"/>
                <w:szCs w:val="18"/>
              </w:rPr>
            </w:pPr>
            <w:r w:rsidRPr="00307E20">
              <w:rPr>
                <w:rFonts w:ascii="Calibri" w:hAnsi="Calibri" w:cs="Calibri"/>
                <w:sz w:val="18"/>
                <w:szCs w:val="18"/>
              </w:rPr>
              <w:t>Rodzaj wymagania</w:t>
            </w:r>
          </w:p>
        </w:tc>
        <w:tc>
          <w:tcPr>
            <w:tcW w:w="1275" w:type="dxa"/>
            <w:tcBorders>
              <w:left w:val="single" w:sz="6" w:space="0" w:color="auto"/>
              <w:right w:val="single" w:sz="4" w:space="0" w:color="auto"/>
            </w:tcBorders>
          </w:tcPr>
          <w:p w14:paraId="29218D78" w14:textId="77777777" w:rsidR="008C66DB" w:rsidRPr="00307E20" w:rsidRDefault="008C66DB" w:rsidP="008C66DB">
            <w:pPr>
              <w:rPr>
                <w:rFonts w:ascii="Calibri" w:hAnsi="Calibri" w:cs="Calibri"/>
                <w:sz w:val="18"/>
                <w:szCs w:val="18"/>
              </w:rPr>
            </w:pPr>
            <w:r w:rsidRPr="00307E20">
              <w:rPr>
                <w:rFonts w:ascii="Calibri" w:hAnsi="Calibri" w:cs="Calibri"/>
                <w:sz w:val="18"/>
                <w:szCs w:val="18"/>
              </w:rPr>
              <w:t xml:space="preserve">Jednostka </w:t>
            </w:r>
          </w:p>
        </w:tc>
        <w:tc>
          <w:tcPr>
            <w:tcW w:w="1171" w:type="dxa"/>
            <w:vMerge/>
            <w:tcBorders>
              <w:left w:val="single" w:sz="4" w:space="0" w:color="auto"/>
              <w:right w:val="single" w:sz="4" w:space="0" w:color="auto"/>
            </w:tcBorders>
          </w:tcPr>
          <w:p w14:paraId="073D0E5D" w14:textId="77777777" w:rsidR="008C66DB" w:rsidRPr="00307E20" w:rsidRDefault="008C66DB" w:rsidP="008C66DB">
            <w:pPr>
              <w:rPr>
                <w:rFonts w:ascii="Calibri" w:hAnsi="Calibri" w:cs="Calibri"/>
                <w:sz w:val="18"/>
                <w:szCs w:val="18"/>
              </w:rPr>
            </w:pPr>
          </w:p>
        </w:tc>
      </w:tr>
      <w:tr w:rsidR="008C66DB" w:rsidRPr="00307E20" w14:paraId="414A05DA" w14:textId="77777777" w:rsidTr="008C66DB">
        <w:tc>
          <w:tcPr>
            <w:tcW w:w="496" w:type="dxa"/>
            <w:tcBorders>
              <w:top w:val="double" w:sz="6" w:space="0" w:color="auto"/>
              <w:left w:val="single" w:sz="6" w:space="0" w:color="auto"/>
              <w:bottom w:val="single" w:sz="6" w:space="0" w:color="auto"/>
              <w:right w:val="single" w:sz="6" w:space="0" w:color="auto"/>
            </w:tcBorders>
          </w:tcPr>
          <w:p w14:paraId="19F76B23" w14:textId="77777777" w:rsidR="008C66DB" w:rsidRPr="00307E20" w:rsidRDefault="008C66DB" w:rsidP="008C66DB">
            <w:pPr>
              <w:rPr>
                <w:rFonts w:ascii="Calibri" w:hAnsi="Calibri" w:cs="Calibri"/>
                <w:sz w:val="18"/>
                <w:szCs w:val="18"/>
              </w:rPr>
            </w:pPr>
            <w:r w:rsidRPr="00307E20">
              <w:rPr>
                <w:rFonts w:ascii="Calibri" w:hAnsi="Calibri" w:cs="Calibri"/>
                <w:sz w:val="18"/>
                <w:szCs w:val="18"/>
              </w:rPr>
              <w:t>1</w:t>
            </w:r>
          </w:p>
        </w:tc>
        <w:tc>
          <w:tcPr>
            <w:tcW w:w="3402" w:type="dxa"/>
            <w:tcBorders>
              <w:top w:val="double" w:sz="6" w:space="0" w:color="auto"/>
              <w:left w:val="single" w:sz="6" w:space="0" w:color="auto"/>
              <w:bottom w:val="single" w:sz="6" w:space="0" w:color="auto"/>
              <w:right w:val="single" w:sz="6" w:space="0" w:color="auto"/>
            </w:tcBorders>
          </w:tcPr>
          <w:p w14:paraId="43D5EB91" w14:textId="77777777" w:rsidR="008C66DB" w:rsidRPr="00307E20" w:rsidRDefault="008C66DB" w:rsidP="008C66DB">
            <w:pPr>
              <w:rPr>
                <w:rFonts w:ascii="Calibri" w:hAnsi="Calibri" w:cs="Calibri"/>
                <w:sz w:val="18"/>
                <w:szCs w:val="18"/>
              </w:rPr>
            </w:pPr>
            <w:r w:rsidRPr="00307E20">
              <w:rPr>
                <w:rFonts w:ascii="Calibri" w:hAnsi="Calibri" w:cs="Calibri"/>
                <w:sz w:val="18"/>
                <w:szCs w:val="18"/>
              </w:rPr>
              <w:t>Zawartość składników lotnych w materiałach do znakowania</w:t>
            </w:r>
          </w:p>
          <w:p w14:paraId="00BAE8F4" w14:textId="77777777" w:rsidR="008C66DB" w:rsidRPr="00307E20" w:rsidRDefault="008C66DB" w:rsidP="008C66DB">
            <w:pPr>
              <w:rPr>
                <w:rFonts w:ascii="Calibri" w:hAnsi="Calibri" w:cs="Calibri"/>
                <w:sz w:val="18"/>
                <w:szCs w:val="18"/>
              </w:rPr>
            </w:pPr>
            <w:r w:rsidRPr="00307E20">
              <w:rPr>
                <w:rFonts w:ascii="Calibri" w:hAnsi="Calibri" w:cs="Calibri"/>
                <w:sz w:val="18"/>
                <w:szCs w:val="18"/>
              </w:rPr>
              <w:t>- rozpuszczalników organicznych</w:t>
            </w:r>
          </w:p>
          <w:p w14:paraId="1D8792DD" w14:textId="77777777" w:rsidR="008C66DB" w:rsidRPr="00307E20" w:rsidRDefault="008C66DB" w:rsidP="008C66DB">
            <w:pPr>
              <w:rPr>
                <w:rFonts w:ascii="Calibri" w:hAnsi="Calibri" w:cs="Calibri"/>
                <w:sz w:val="18"/>
                <w:szCs w:val="18"/>
              </w:rPr>
            </w:pPr>
            <w:r w:rsidRPr="00307E20">
              <w:rPr>
                <w:rFonts w:ascii="Calibri" w:hAnsi="Calibri" w:cs="Calibri"/>
                <w:sz w:val="18"/>
                <w:szCs w:val="18"/>
              </w:rPr>
              <w:t>- rozpuszczalników aromatycznych</w:t>
            </w:r>
          </w:p>
          <w:p w14:paraId="7519E0EE" w14:textId="77777777" w:rsidR="008C66DB" w:rsidRPr="00307E20" w:rsidRDefault="008C66DB" w:rsidP="008C66DB">
            <w:pPr>
              <w:rPr>
                <w:rFonts w:ascii="Calibri" w:hAnsi="Calibri" w:cs="Calibri"/>
                <w:sz w:val="18"/>
                <w:szCs w:val="18"/>
              </w:rPr>
            </w:pPr>
            <w:r w:rsidRPr="00307E20">
              <w:rPr>
                <w:rFonts w:ascii="Calibri" w:hAnsi="Calibri" w:cs="Calibri"/>
                <w:sz w:val="18"/>
                <w:szCs w:val="18"/>
              </w:rPr>
              <w:t xml:space="preserve">- benzenu i rozpuszczalników   </w:t>
            </w:r>
          </w:p>
          <w:p w14:paraId="7CD6FC16" w14:textId="77777777" w:rsidR="008C66DB" w:rsidRPr="00307E20" w:rsidRDefault="008C66DB" w:rsidP="008C66DB">
            <w:pPr>
              <w:rPr>
                <w:rFonts w:ascii="Calibri" w:hAnsi="Calibri" w:cs="Calibri"/>
                <w:sz w:val="18"/>
                <w:szCs w:val="18"/>
              </w:rPr>
            </w:pPr>
            <w:r w:rsidRPr="00307E20">
              <w:rPr>
                <w:rFonts w:ascii="Calibri" w:hAnsi="Calibri" w:cs="Calibri"/>
                <w:sz w:val="18"/>
                <w:szCs w:val="18"/>
              </w:rPr>
              <w:t xml:space="preserve">   chlorowanych</w:t>
            </w:r>
          </w:p>
        </w:tc>
        <w:tc>
          <w:tcPr>
            <w:tcW w:w="1275" w:type="dxa"/>
            <w:tcBorders>
              <w:top w:val="double" w:sz="6" w:space="0" w:color="auto"/>
              <w:left w:val="single" w:sz="6" w:space="0" w:color="auto"/>
              <w:bottom w:val="single" w:sz="6" w:space="0" w:color="auto"/>
              <w:right w:val="single" w:sz="6" w:space="0" w:color="auto"/>
            </w:tcBorders>
          </w:tcPr>
          <w:p w14:paraId="5E91D6B2" w14:textId="77777777" w:rsidR="008C66DB" w:rsidRPr="00307E20" w:rsidRDefault="008C66DB" w:rsidP="008C66DB">
            <w:pPr>
              <w:rPr>
                <w:rFonts w:ascii="Calibri" w:hAnsi="Calibri" w:cs="Calibri"/>
                <w:sz w:val="18"/>
                <w:szCs w:val="18"/>
              </w:rPr>
            </w:pPr>
          </w:p>
          <w:p w14:paraId="1BE64A80" w14:textId="77777777" w:rsidR="008C66DB" w:rsidRPr="00307E20" w:rsidRDefault="008C66DB" w:rsidP="008C66DB">
            <w:pPr>
              <w:rPr>
                <w:rFonts w:ascii="Calibri" w:hAnsi="Calibri" w:cs="Calibri"/>
                <w:sz w:val="18"/>
                <w:szCs w:val="18"/>
              </w:rPr>
            </w:pPr>
          </w:p>
          <w:p w14:paraId="6CC4D030" w14:textId="77777777" w:rsidR="008C66DB" w:rsidRPr="00307E20" w:rsidRDefault="008C66DB" w:rsidP="008C66DB">
            <w:pPr>
              <w:rPr>
                <w:rFonts w:ascii="Calibri" w:hAnsi="Calibri" w:cs="Calibri"/>
                <w:sz w:val="18"/>
                <w:szCs w:val="18"/>
              </w:rPr>
            </w:pPr>
            <w:r w:rsidRPr="00307E20">
              <w:rPr>
                <w:rFonts w:ascii="Calibri" w:hAnsi="Calibri" w:cs="Calibri"/>
                <w:sz w:val="18"/>
                <w:szCs w:val="18"/>
              </w:rPr>
              <w:t>% (m/m)</w:t>
            </w:r>
          </w:p>
          <w:p w14:paraId="5573AA69" w14:textId="77777777" w:rsidR="008C66DB" w:rsidRPr="00307E20" w:rsidRDefault="008C66DB" w:rsidP="008C66DB">
            <w:pPr>
              <w:rPr>
                <w:rFonts w:ascii="Calibri" w:hAnsi="Calibri" w:cs="Calibri"/>
                <w:sz w:val="18"/>
                <w:szCs w:val="18"/>
              </w:rPr>
            </w:pPr>
            <w:r w:rsidRPr="00307E20">
              <w:rPr>
                <w:rFonts w:ascii="Calibri" w:hAnsi="Calibri" w:cs="Calibri"/>
                <w:sz w:val="18"/>
                <w:szCs w:val="18"/>
              </w:rPr>
              <w:t>% (m/m)</w:t>
            </w:r>
          </w:p>
          <w:p w14:paraId="515D6A6A" w14:textId="77777777" w:rsidR="008C66DB" w:rsidRPr="00307E20" w:rsidRDefault="008C66DB" w:rsidP="008C66DB">
            <w:pPr>
              <w:rPr>
                <w:rFonts w:ascii="Calibri" w:hAnsi="Calibri" w:cs="Calibri"/>
                <w:sz w:val="18"/>
                <w:szCs w:val="18"/>
              </w:rPr>
            </w:pPr>
            <w:r w:rsidRPr="00307E20">
              <w:rPr>
                <w:rFonts w:ascii="Calibri" w:hAnsi="Calibri" w:cs="Calibri"/>
                <w:sz w:val="18"/>
                <w:szCs w:val="18"/>
              </w:rPr>
              <w:t>% (m/m)</w:t>
            </w:r>
          </w:p>
        </w:tc>
        <w:tc>
          <w:tcPr>
            <w:tcW w:w="1171" w:type="dxa"/>
            <w:tcBorders>
              <w:top w:val="double" w:sz="6" w:space="0" w:color="auto"/>
              <w:left w:val="single" w:sz="6" w:space="0" w:color="auto"/>
              <w:bottom w:val="single" w:sz="6" w:space="0" w:color="auto"/>
              <w:right w:val="single" w:sz="6" w:space="0" w:color="auto"/>
            </w:tcBorders>
          </w:tcPr>
          <w:p w14:paraId="07C85069" w14:textId="77777777" w:rsidR="008C66DB" w:rsidRPr="00307E20" w:rsidRDefault="008C66DB" w:rsidP="008C66DB">
            <w:pPr>
              <w:rPr>
                <w:rFonts w:ascii="Calibri" w:hAnsi="Calibri" w:cs="Calibri"/>
                <w:sz w:val="18"/>
                <w:szCs w:val="18"/>
              </w:rPr>
            </w:pPr>
          </w:p>
          <w:p w14:paraId="2AC16ED7" w14:textId="77777777" w:rsidR="008C66DB" w:rsidRPr="00307E20" w:rsidRDefault="008C66DB" w:rsidP="008C66DB">
            <w:pPr>
              <w:rPr>
                <w:rFonts w:ascii="Calibri" w:hAnsi="Calibri" w:cs="Calibri"/>
                <w:sz w:val="18"/>
                <w:szCs w:val="18"/>
              </w:rPr>
            </w:pPr>
          </w:p>
          <w:p w14:paraId="59C5E567" w14:textId="77777777" w:rsidR="008C66DB" w:rsidRPr="00307E20" w:rsidRDefault="008C66DB" w:rsidP="008C66DB">
            <w:pPr>
              <w:rPr>
                <w:rFonts w:ascii="Calibri" w:hAnsi="Calibri" w:cs="Calibri"/>
                <w:sz w:val="18"/>
                <w:szCs w:val="18"/>
              </w:rPr>
            </w:pPr>
            <w:r w:rsidRPr="00307E20">
              <w:rPr>
                <w:rFonts w:ascii="Calibri" w:hAnsi="Calibri" w:cs="Calibri"/>
                <w:sz w:val="18"/>
                <w:szCs w:val="18"/>
              </w:rPr>
              <w:t>≤ 2</w:t>
            </w:r>
          </w:p>
          <w:p w14:paraId="17FE7C35" w14:textId="77777777" w:rsidR="008C66DB" w:rsidRPr="00307E20" w:rsidRDefault="008C66DB" w:rsidP="008C66DB">
            <w:pPr>
              <w:rPr>
                <w:rFonts w:ascii="Calibri" w:hAnsi="Calibri" w:cs="Calibri"/>
                <w:sz w:val="18"/>
                <w:szCs w:val="18"/>
              </w:rPr>
            </w:pPr>
            <w:r w:rsidRPr="00307E20">
              <w:rPr>
                <w:rFonts w:ascii="Calibri" w:hAnsi="Calibri" w:cs="Calibri"/>
                <w:sz w:val="18"/>
                <w:szCs w:val="18"/>
              </w:rPr>
              <w:t>-</w:t>
            </w:r>
          </w:p>
          <w:p w14:paraId="18EFC44A" w14:textId="77777777" w:rsidR="008C66DB" w:rsidRPr="00307E20" w:rsidRDefault="008C66DB" w:rsidP="008C66DB">
            <w:pPr>
              <w:rPr>
                <w:rFonts w:ascii="Calibri" w:hAnsi="Calibri" w:cs="Calibri"/>
                <w:sz w:val="18"/>
                <w:szCs w:val="18"/>
              </w:rPr>
            </w:pPr>
            <w:r w:rsidRPr="00307E20">
              <w:rPr>
                <w:rFonts w:ascii="Calibri" w:hAnsi="Calibri" w:cs="Calibri"/>
                <w:sz w:val="18"/>
                <w:szCs w:val="18"/>
              </w:rPr>
              <w:t>0</w:t>
            </w:r>
          </w:p>
        </w:tc>
      </w:tr>
      <w:tr w:rsidR="008C66DB" w:rsidRPr="00307E20" w14:paraId="2C2222D2" w14:textId="77777777" w:rsidTr="008C66DB">
        <w:tc>
          <w:tcPr>
            <w:tcW w:w="496" w:type="dxa"/>
            <w:tcBorders>
              <w:top w:val="single" w:sz="6" w:space="0" w:color="auto"/>
              <w:left w:val="single" w:sz="6" w:space="0" w:color="auto"/>
              <w:bottom w:val="single" w:sz="6" w:space="0" w:color="auto"/>
              <w:right w:val="single" w:sz="6" w:space="0" w:color="auto"/>
            </w:tcBorders>
          </w:tcPr>
          <w:p w14:paraId="4FCF5429" w14:textId="77777777" w:rsidR="008C66DB" w:rsidRPr="00307E20" w:rsidRDefault="008C66DB" w:rsidP="008C66DB">
            <w:pPr>
              <w:rPr>
                <w:rFonts w:ascii="Calibri" w:hAnsi="Calibri" w:cs="Calibri"/>
                <w:sz w:val="18"/>
                <w:szCs w:val="18"/>
              </w:rPr>
            </w:pPr>
            <w:r w:rsidRPr="00307E20">
              <w:rPr>
                <w:rFonts w:ascii="Calibri" w:hAnsi="Calibri" w:cs="Calibri"/>
                <w:sz w:val="18"/>
                <w:szCs w:val="18"/>
              </w:rPr>
              <w:t>2</w:t>
            </w:r>
          </w:p>
        </w:tc>
        <w:tc>
          <w:tcPr>
            <w:tcW w:w="3402" w:type="dxa"/>
            <w:tcBorders>
              <w:top w:val="single" w:sz="6" w:space="0" w:color="auto"/>
              <w:left w:val="single" w:sz="6" w:space="0" w:color="auto"/>
              <w:bottom w:val="single" w:sz="6" w:space="0" w:color="auto"/>
              <w:right w:val="single" w:sz="6" w:space="0" w:color="auto"/>
            </w:tcBorders>
          </w:tcPr>
          <w:p w14:paraId="5FDC8C2C" w14:textId="77777777" w:rsidR="008C66DB" w:rsidRPr="00307E20" w:rsidRDefault="008C66DB" w:rsidP="008C66DB">
            <w:pPr>
              <w:rPr>
                <w:rFonts w:ascii="Calibri" w:hAnsi="Calibri" w:cs="Calibri"/>
                <w:sz w:val="18"/>
                <w:szCs w:val="18"/>
              </w:rPr>
            </w:pPr>
            <w:r w:rsidRPr="00307E20">
              <w:rPr>
                <w:rFonts w:ascii="Calibri" w:hAnsi="Calibri" w:cs="Calibri"/>
                <w:sz w:val="18"/>
                <w:szCs w:val="18"/>
              </w:rPr>
              <w:t>Współczynnik załamania światła kulek szklanych</w:t>
            </w:r>
          </w:p>
        </w:tc>
        <w:tc>
          <w:tcPr>
            <w:tcW w:w="1275" w:type="dxa"/>
            <w:tcBorders>
              <w:top w:val="single" w:sz="6" w:space="0" w:color="auto"/>
              <w:left w:val="single" w:sz="6" w:space="0" w:color="auto"/>
              <w:bottom w:val="single" w:sz="6" w:space="0" w:color="auto"/>
              <w:right w:val="single" w:sz="6" w:space="0" w:color="auto"/>
            </w:tcBorders>
          </w:tcPr>
          <w:p w14:paraId="2AFA67AD" w14:textId="77777777" w:rsidR="008C66DB" w:rsidRPr="00307E20" w:rsidRDefault="008C66DB" w:rsidP="008C66DB">
            <w:pPr>
              <w:spacing w:before="120"/>
              <w:rPr>
                <w:rFonts w:ascii="Calibri" w:hAnsi="Calibri" w:cs="Calibri"/>
                <w:sz w:val="18"/>
                <w:szCs w:val="18"/>
              </w:rPr>
            </w:pPr>
            <w:r w:rsidRPr="00307E20">
              <w:rPr>
                <w:rFonts w:ascii="Calibri" w:hAnsi="Calibri" w:cs="Calibri"/>
                <w:sz w:val="18"/>
                <w:szCs w:val="18"/>
              </w:rPr>
              <w:t>współcz.</w:t>
            </w:r>
          </w:p>
        </w:tc>
        <w:tc>
          <w:tcPr>
            <w:tcW w:w="1171" w:type="dxa"/>
            <w:tcBorders>
              <w:top w:val="single" w:sz="6" w:space="0" w:color="auto"/>
              <w:left w:val="single" w:sz="6" w:space="0" w:color="auto"/>
              <w:bottom w:val="single" w:sz="6" w:space="0" w:color="auto"/>
              <w:right w:val="single" w:sz="6" w:space="0" w:color="auto"/>
            </w:tcBorders>
          </w:tcPr>
          <w:p w14:paraId="63681CB4" w14:textId="77777777" w:rsidR="008C66DB" w:rsidRPr="00307E20" w:rsidRDefault="008C66DB" w:rsidP="008C66DB">
            <w:pPr>
              <w:spacing w:before="120"/>
              <w:rPr>
                <w:rFonts w:ascii="Calibri" w:hAnsi="Calibri" w:cs="Calibri"/>
                <w:sz w:val="18"/>
                <w:szCs w:val="18"/>
              </w:rPr>
            </w:pPr>
            <w:r w:rsidRPr="00307E20">
              <w:rPr>
                <w:rFonts w:ascii="Calibri" w:hAnsi="Calibri" w:cs="Calibri"/>
                <w:sz w:val="18"/>
                <w:szCs w:val="18"/>
              </w:rPr>
              <w:sym w:font="Symbol" w:char="F03E"/>
            </w:r>
            <w:r w:rsidRPr="00307E20">
              <w:rPr>
                <w:rFonts w:ascii="Calibri" w:hAnsi="Calibri" w:cs="Calibri"/>
                <w:sz w:val="18"/>
                <w:szCs w:val="18"/>
              </w:rPr>
              <w:t xml:space="preserve"> 1,5</w:t>
            </w:r>
          </w:p>
        </w:tc>
      </w:tr>
      <w:tr w:rsidR="008C66DB" w:rsidRPr="00307E20" w14:paraId="6072746F" w14:textId="77777777" w:rsidTr="008C66DB">
        <w:tc>
          <w:tcPr>
            <w:tcW w:w="496" w:type="dxa"/>
            <w:tcBorders>
              <w:top w:val="single" w:sz="6" w:space="0" w:color="auto"/>
              <w:left w:val="single" w:sz="6" w:space="0" w:color="auto"/>
              <w:bottom w:val="single" w:sz="6" w:space="0" w:color="auto"/>
              <w:right w:val="single" w:sz="6" w:space="0" w:color="auto"/>
            </w:tcBorders>
          </w:tcPr>
          <w:p w14:paraId="349EAEAD" w14:textId="77777777" w:rsidR="008C66DB" w:rsidRPr="00307E20" w:rsidRDefault="008C66DB" w:rsidP="008C66DB">
            <w:pPr>
              <w:rPr>
                <w:rFonts w:ascii="Calibri" w:hAnsi="Calibri" w:cs="Calibri"/>
                <w:sz w:val="18"/>
                <w:szCs w:val="18"/>
              </w:rPr>
            </w:pPr>
            <w:r w:rsidRPr="00307E20">
              <w:rPr>
                <w:rFonts w:ascii="Calibri" w:hAnsi="Calibri" w:cs="Calibri"/>
                <w:sz w:val="18"/>
                <w:szCs w:val="18"/>
              </w:rPr>
              <w:t>3</w:t>
            </w:r>
          </w:p>
        </w:tc>
        <w:tc>
          <w:tcPr>
            <w:tcW w:w="3402" w:type="dxa"/>
            <w:tcBorders>
              <w:top w:val="single" w:sz="6" w:space="0" w:color="auto"/>
              <w:left w:val="single" w:sz="6" w:space="0" w:color="auto"/>
              <w:bottom w:val="single" w:sz="6" w:space="0" w:color="auto"/>
              <w:right w:val="single" w:sz="6" w:space="0" w:color="auto"/>
            </w:tcBorders>
          </w:tcPr>
          <w:p w14:paraId="469FFB43" w14:textId="77777777" w:rsidR="008C66DB" w:rsidRPr="00307E20" w:rsidRDefault="008C66DB" w:rsidP="008C66DB">
            <w:pPr>
              <w:rPr>
                <w:rFonts w:ascii="Calibri" w:hAnsi="Calibri" w:cs="Calibri"/>
                <w:sz w:val="18"/>
                <w:szCs w:val="18"/>
              </w:rPr>
            </w:pPr>
            <w:r w:rsidRPr="00307E20">
              <w:rPr>
                <w:rFonts w:ascii="Calibri" w:hAnsi="Calibri" w:cs="Calibri"/>
                <w:sz w:val="18"/>
                <w:szCs w:val="18"/>
              </w:rPr>
              <w:t>Współczynnik luminancji Q w świetle rozproszonym dla oznakowania świeżego barwy:</w:t>
            </w:r>
          </w:p>
          <w:p w14:paraId="02772012" w14:textId="77777777" w:rsidR="008C66DB" w:rsidRPr="00307E20" w:rsidRDefault="008C66DB" w:rsidP="008C66DB">
            <w:pPr>
              <w:rPr>
                <w:rFonts w:ascii="Calibri" w:hAnsi="Calibri" w:cs="Calibri"/>
                <w:sz w:val="18"/>
                <w:szCs w:val="18"/>
              </w:rPr>
            </w:pPr>
            <w:r w:rsidRPr="00307E20">
              <w:rPr>
                <w:rFonts w:ascii="Calibri" w:hAnsi="Calibri" w:cs="Calibri"/>
                <w:sz w:val="18"/>
                <w:szCs w:val="18"/>
              </w:rPr>
              <w:t>- białej na nawierzchni asfaltowej</w:t>
            </w:r>
          </w:p>
          <w:p w14:paraId="2F160724" w14:textId="77777777" w:rsidR="008C66DB" w:rsidRPr="00307E20" w:rsidRDefault="008C66DB" w:rsidP="008C66DB">
            <w:pPr>
              <w:rPr>
                <w:rFonts w:ascii="Calibri" w:hAnsi="Calibri" w:cs="Calibri"/>
                <w:sz w:val="18"/>
                <w:szCs w:val="18"/>
              </w:rPr>
            </w:pPr>
            <w:r w:rsidRPr="00307E20">
              <w:rPr>
                <w:rFonts w:ascii="Calibri" w:hAnsi="Calibri" w:cs="Calibri"/>
                <w:sz w:val="18"/>
                <w:szCs w:val="18"/>
              </w:rPr>
              <w:t>- żółtej</w:t>
            </w:r>
          </w:p>
        </w:tc>
        <w:tc>
          <w:tcPr>
            <w:tcW w:w="1275" w:type="dxa"/>
            <w:tcBorders>
              <w:top w:val="single" w:sz="6" w:space="0" w:color="auto"/>
              <w:left w:val="single" w:sz="6" w:space="0" w:color="auto"/>
              <w:bottom w:val="single" w:sz="6" w:space="0" w:color="auto"/>
              <w:right w:val="single" w:sz="6" w:space="0" w:color="auto"/>
            </w:tcBorders>
          </w:tcPr>
          <w:p w14:paraId="7B1CB72F" w14:textId="77777777" w:rsidR="008C66DB" w:rsidRPr="00307E20" w:rsidRDefault="008C66DB" w:rsidP="008C66DB">
            <w:pPr>
              <w:rPr>
                <w:rFonts w:ascii="Calibri" w:hAnsi="Calibri" w:cs="Calibri"/>
                <w:sz w:val="18"/>
                <w:szCs w:val="18"/>
              </w:rPr>
            </w:pPr>
          </w:p>
          <w:p w14:paraId="17AC8561" w14:textId="77777777" w:rsidR="008C66DB" w:rsidRPr="00307E20" w:rsidRDefault="008C66DB" w:rsidP="008C66DB">
            <w:pPr>
              <w:rPr>
                <w:rFonts w:ascii="Calibri" w:hAnsi="Calibri" w:cs="Calibri"/>
                <w:sz w:val="18"/>
                <w:szCs w:val="18"/>
              </w:rPr>
            </w:pPr>
          </w:p>
          <w:p w14:paraId="5085A517" w14:textId="77777777" w:rsidR="008C66DB" w:rsidRPr="00307E20" w:rsidRDefault="008C66DB" w:rsidP="008C66DB">
            <w:pPr>
              <w:rPr>
                <w:rFonts w:ascii="Calibri" w:hAnsi="Calibri" w:cs="Calibri"/>
                <w:sz w:val="18"/>
                <w:szCs w:val="18"/>
              </w:rPr>
            </w:pPr>
          </w:p>
          <w:p w14:paraId="321B4ECE" w14:textId="77777777" w:rsidR="008C66DB" w:rsidRPr="00307E20" w:rsidRDefault="008C66DB" w:rsidP="008C66DB">
            <w:pPr>
              <w:rPr>
                <w:rFonts w:ascii="Calibri" w:hAnsi="Calibri" w:cs="Calibri"/>
                <w:sz w:val="18"/>
                <w:szCs w:val="18"/>
                <w:vertAlign w:val="superscript"/>
              </w:rPr>
            </w:pPr>
            <w:r w:rsidRPr="00307E20">
              <w:rPr>
                <w:rFonts w:ascii="Calibri" w:hAnsi="Calibri" w:cs="Calibri"/>
                <w:sz w:val="18"/>
                <w:szCs w:val="18"/>
              </w:rPr>
              <w:t>mcd m</w:t>
            </w:r>
            <w:r w:rsidRPr="00307E20">
              <w:rPr>
                <w:rFonts w:ascii="Calibri" w:hAnsi="Calibri" w:cs="Calibri"/>
                <w:sz w:val="18"/>
                <w:szCs w:val="18"/>
                <w:vertAlign w:val="superscript"/>
              </w:rPr>
              <w:t>-2</w:t>
            </w:r>
            <w:r w:rsidRPr="00307E20">
              <w:rPr>
                <w:rFonts w:ascii="Calibri" w:hAnsi="Calibri" w:cs="Calibri"/>
                <w:sz w:val="18"/>
                <w:szCs w:val="18"/>
              </w:rPr>
              <w:t xml:space="preserve"> lx</w:t>
            </w:r>
            <w:r w:rsidRPr="00307E20">
              <w:rPr>
                <w:rFonts w:ascii="Calibri" w:hAnsi="Calibri" w:cs="Calibri"/>
                <w:sz w:val="18"/>
                <w:szCs w:val="18"/>
                <w:vertAlign w:val="superscript"/>
              </w:rPr>
              <w:t>-1</w:t>
            </w:r>
          </w:p>
          <w:p w14:paraId="5CAAFA71" w14:textId="77777777" w:rsidR="008C66DB" w:rsidRPr="00307E20" w:rsidRDefault="008C66DB" w:rsidP="008C66DB">
            <w:pPr>
              <w:rPr>
                <w:rFonts w:ascii="Calibri" w:hAnsi="Calibri" w:cs="Calibri"/>
                <w:sz w:val="18"/>
                <w:szCs w:val="18"/>
              </w:rPr>
            </w:pPr>
            <w:r w:rsidRPr="00307E20">
              <w:rPr>
                <w:rFonts w:ascii="Calibri" w:hAnsi="Calibri" w:cs="Calibri"/>
                <w:sz w:val="18"/>
                <w:szCs w:val="18"/>
              </w:rPr>
              <w:t>mcd m</w:t>
            </w:r>
            <w:r w:rsidRPr="00307E20">
              <w:rPr>
                <w:rFonts w:ascii="Calibri" w:hAnsi="Calibri" w:cs="Calibri"/>
                <w:sz w:val="18"/>
                <w:szCs w:val="18"/>
                <w:vertAlign w:val="superscript"/>
              </w:rPr>
              <w:t>-2</w:t>
            </w:r>
            <w:r w:rsidRPr="00307E20">
              <w:rPr>
                <w:rFonts w:ascii="Calibri" w:hAnsi="Calibri" w:cs="Calibri"/>
                <w:sz w:val="18"/>
                <w:szCs w:val="18"/>
              </w:rPr>
              <w:t xml:space="preserve"> lx</w:t>
            </w:r>
            <w:r w:rsidRPr="00307E20">
              <w:rPr>
                <w:rFonts w:ascii="Calibri" w:hAnsi="Calibri" w:cs="Calibri"/>
                <w:sz w:val="18"/>
                <w:szCs w:val="18"/>
                <w:vertAlign w:val="superscript"/>
              </w:rPr>
              <w:t>-1</w:t>
            </w:r>
          </w:p>
        </w:tc>
        <w:tc>
          <w:tcPr>
            <w:tcW w:w="1171" w:type="dxa"/>
            <w:tcBorders>
              <w:top w:val="single" w:sz="6" w:space="0" w:color="auto"/>
              <w:left w:val="single" w:sz="6" w:space="0" w:color="auto"/>
              <w:bottom w:val="single" w:sz="6" w:space="0" w:color="auto"/>
              <w:right w:val="single" w:sz="6" w:space="0" w:color="auto"/>
            </w:tcBorders>
          </w:tcPr>
          <w:p w14:paraId="2656B770" w14:textId="77777777" w:rsidR="008C66DB" w:rsidRPr="00307E20" w:rsidRDefault="008C66DB" w:rsidP="008C66DB">
            <w:pPr>
              <w:rPr>
                <w:rFonts w:ascii="Calibri" w:hAnsi="Calibri" w:cs="Calibri"/>
                <w:sz w:val="18"/>
                <w:szCs w:val="18"/>
              </w:rPr>
            </w:pPr>
          </w:p>
          <w:p w14:paraId="67C81D3A" w14:textId="77777777" w:rsidR="008C66DB" w:rsidRPr="00307E20" w:rsidRDefault="008C66DB" w:rsidP="008C66DB">
            <w:pPr>
              <w:rPr>
                <w:rFonts w:ascii="Calibri" w:hAnsi="Calibri" w:cs="Calibri"/>
                <w:sz w:val="18"/>
                <w:szCs w:val="18"/>
              </w:rPr>
            </w:pPr>
          </w:p>
          <w:p w14:paraId="0316163C" w14:textId="77777777" w:rsidR="008C66DB" w:rsidRPr="00307E20" w:rsidRDefault="008C66DB" w:rsidP="008C66DB">
            <w:pPr>
              <w:rPr>
                <w:rFonts w:ascii="Calibri" w:hAnsi="Calibri" w:cs="Calibri"/>
                <w:sz w:val="18"/>
                <w:szCs w:val="18"/>
              </w:rPr>
            </w:pPr>
          </w:p>
          <w:p w14:paraId="015FBF50" w14:textId="77777777" w:rsidR="008C66DB" w:rsidRPr="00307E20" w:rsidRDefault="008C66DB" w:rsidP="008C66DB">
            <w:pPr>
              <w:rPr>
                <w:rFonts w:ascii="Calibri" w:hAnsi="Calibri" w:cs="Calibri"/>
                <w:sz w:val="18"/>
                <w:szCs w:val="18"/>
              </w:rPr>
            </w:pPr>
            <w:r w:rsidRPr="00307E20">
              <w:rPr>
                <w:rFonts w:ascii="Calibri" w:hAnsi="Calibri" w:cs="Calibri"/>
                <w:sz w:val="18"/>
                <w:szCs w:val="18"/>
              </w:rPr>
              <w:sym w:font="Symbol" w:char="F0B3"/>
            </w:r>
            <w:r w:rsidRPr="00307E20">
              <w:rPr>
                <w:rFonts w:ascii="Calibri" w:hAnsi="Calibri" w:cs="Calibri"/>
                <w:sz w:val="18"/>
                <w:szCs w:val="18"/>
              </w:rPr>
              <w:t xml:space="preserve"> 130</w:t>
            </w:r>
          </w:p>
          <w:p w14:paraId="513B066D" w14:textId="77777777" w:rsidR="008C66DB" w:rsidRPr="00307E20" w:rsidRDefault="008C66DB" w:rsidP="008C66DB">
            <w:pPr>
              <w:rPr>
                <w:rFonts w:ascii="Calibri" w:hAnsi="Calibri" w:cs="Calibri"/>
                <w:sz w:val="18"/>
                <w:szCs w:val="18"/>
              </w:rPr>
            </w:pPr>
            <w:r w:rsidRPr="00307E20">
              <w:rPr>
                <w:rFonts w:ascii="Calibri" w:hAnsi="Calibri" w:cs="Calibri"/>
                <w:sz w:val="18"/>
                <w:szCs w:val="18"/>
              </w:rPr>
              <w:sym w:font="Symbol" w:char="F0B3"/>
            </w:r>
            <w:r w:rsidRPr="00307E20">
              <w:rPr>
                <w:rFonts w:ascii="Calibri" w:hAnsi="Calibri" w:cs="Calibri"/>
                <w:sz w:val="18"/>
                <w:szCs w:val="18"/>
              </w:rPr>
              <w:t xml:space="preserve"> 100</w:t>
            </w:r>
          </w:p>
        </w:tc>
      </w:tr>
      <w:tr w:rsidR="008C66DB" w:rsidRPr="00307E20" w14:paraId="54B2430E" w14:textId="77777777" w:rsidTr="008C66DB">
        <w:tc>
          <w:tcPr>
            <w:tcW w:w="496" w:type="dxa"/>
            <w:tcBorders>
              <w:top w:val="single" w:sz="6" w:space="0" w:color="auto"/>
              <w:left w:val="single" w:sz="6" w:space="0" w:color="auto"/>
              <w:bottom w:val="single" w:sz="6" w:space="0" w:color="auto"/>
              <w:right w:val="single" w:sz="6" w:space="0" w:color="auto"/>
            </w:tcBorders>
          </w:tcPr>
          <w:p w14:paraId="21E9A230" w14:textId="77777777" w:rsidR="008C66DB" w:rsidRPr="00307E20" w:rsidRDefault="008C66DB" w:rsidP="008C66DB">
            <w:pPr>
              <w:rPr>
                <w:rFonts w:ascii="Calibri" w:hAnsi="Calibri" w:cs="Calibri"/>
                <w:sz w:val="18"/>
                <w:szCs w:val="18"/>
              </w:rPr>
            </w:pPr>
            <w:r w:rsidRPr="00307E20">
              <w:rPr>
                <w:rFonts w:ascii="Calibri" w:hAnsi="Calibri" w:cs="Calibri"/>
                <w:sz w:val="18"/>
                <w:szCs w:val="18"/>
              </w:rPr>
              <w:t>4</w:t>
            </w:r>
          </w:p>
        </w:tc>
        <w:tc>
          <w:tcPr>
            <w:tcW w:w="3402" w:type="dxa"/>
            <w:tcBorders>
              <w:top w:val="single" w:sz="6" w:space="0" w:color="auto"/>
              <w:left w:val="single" w:sz="6" w:space="0" w:color="auto"/>
              <w:bottom w:val="single" w:sz="6" w:space="0" w:color="auto"/>
              <w:right w:val="single" w:sz="6" w:space="0" w:color="auto"/>
            </w:tcBorders>
          </w:tcPr>
          <w:p w14:paraId="1AFFD971" w14:textId="77777777" w:rsidR="008C66DB" w:rsidRPr="00307E20" w:rsidRDefault="008C66DB" w:rsidP="008C66DB">
            <w:pPr>
              <w:rPr>
                <w:rFonts w:ascii="Calibri" w:hAnsi="Calibri" w:cs="Calibri"/>
                <w:sz w:val="18"/>
                <w:szCs w:val="18"/>
              </w:rPr>
            </w:pPr>
            <w:r w:rsidRPr="00307E20">
              <w:rPr>
                <w:rFonts w:ascii="Calibri" w:hAnsi="Calibri" w:cs="Calibri"/>
                <w:sz w:val="18"/>
                <w:szCs w:val="18"/>
              </w:rPr>
              <w:t xml:space="preserve">Współczynnik luminancji </w:t>
            </w:r>
            <w:r w:rsidRPr="00307E20">
              <w:rPr>
                <w:rFonts w:ascii="Calibri" w:hAnsi="Calibri" w:cs="Calibri"/>
                <w:sz w:val="18"/>
                <w:szCs w:val="18"/>
              </w:rPr>
              <w:sym w:font="Symbol" w:char="F062"/>
            </w:r>
            <w:r w:rsidRPr="00307E20">
              <w:rPr>
                <w:rFonts w:ascii="Calibri" w:hAnsi="Calibri" w:cs="Calibri"/>
                <w:sz w:val="18"/>
                <w:szCs w:val="18"/>
              </w:rPr>
              <w:t xml:space="preserve"> dla oznakowania świeżego barwy</w:t>
            </w:r>
          </w:p>
          <w:p w14:paraId="64457AE5" w14:textId="77777777" w:rsidR="008C66DB" w:rsidRPr="00307E20" w:rsidRDefault="008C66DB" w:rsidP="008C66DB">
            <w:pPr>
              <w:rPr>
                <w:rFonts w:ascii="Calibri" w:hAnsi="Calibri" w:cs="Calibri"/>
                <w:sz w:val="18"/>
                <w:szCs w:val="18"/>
              </w:rPr>
            </w:pPr>
            <w:r w:rsidRPr="00307E20">
              <w:rPr>
                <w:rFonts w:ascii="Calibri" w:hAnsi="Calibri" w:cs="Calibri"/>
                <w:sz w:val="18"/>
                <w:szCs w:val="18"/>
              </w:rPr>
              <w:t>- białej</w:t>
            </w:r>
          </w:p>
          <w:p w14:paraId="5888A1E5" w14:textId="77777777" w:rsidR="008C66DB" w:rsidRPr="00307E20" w:rsidRDefault="008C66DB" w:rsidP="008C66DB">
            <w:pPr>
              <w:rPr>
                <w:rFonts w:ascii="Calibri" w:hAnsi="Calibri" w:cs="Calibri"/>
                <w:sz w:val="18"/>
                <w:szCs w:val="18"/>
              </w:rPr>
            </w:pPr>
            <w:r w:rsidRPr="00307E20">
              <w:rPr>
                <w:rFonts w:ascii="Calibri" w:hAnsi="Calibri" w:cs="Calibri"/>
                <w:sz w:val="18"/>
                <w:szCs w:val="18"/>
              </w:rPr>
              <w:t>- żółtej</w:t>
            </w:r>
          </w:p>
        </w:tc>
        <w:tc>
          <w:tcPr>
            <w:tcW w:w="1275" w:type="dxa"/>
            <w:tcBorders>
              <w:top w:val="single" w:sz="6" w:space="0" w:color="auto"/>
              <w:left w:val="single" w:sz="6" w:space="0" w:color="auto"/>
              <w:bottom w:val="single" w:sz="6" w:space="0" w:color="auto"/>
              <w:right w:val="single" w:sz="6" w:space="0" w:color="auto"/>
            </w:tcBorders>
          </w:tcPr>
          <w:p w14:paraId="0CB7ADF4" w14:textId="77777777" w:rsidR="008C66DB" w:rsidRPr="00307E20" w:rsidRDefault="008C66DB" w:rsidP="008C66DB">
            <w:pPr>
              <w:rPr>
                <w:rFonts w:ascii="Calibri" w:hAnsi="Calibri" w:cs="Calibri"/>
                <w:sz w:val="18"/>
                <w:szCs w:val="18"/>
              </w:rPr>
            </w:pPr>
          </w:p>
          <w:p w14:paraId="7D99225C" w14:textId="77777777" w:rsidR="008C66DB" w:rsidRPr="00307E20" w:rsidRDefault="008C66DB" w:rsidP="008C66DB">
            <w:pPr>
              <w:rPr>
                <w:rFonts w:ascii="Calibri" w:hAnsi="Calibri" w:cs="Calibri"/>
                <w:sz w:val="18"/>
                <w:szCs w:val="18"/>
              </w:rPr>
            </w:pPr>
          </w:p>
          <w:p w14:paraId="76C81084" w14:textId="77777777" w:rsidR="008C66DB" w:rsidRPr="00307E20" w:rsidRDefault="008C66DB" w:rsidP="008C66DB">
            <w:pPr>
              <w:rPr>
                <w:rFonts w:ascii="Calibri" w:hAnsi="Calibri" w:cs="Calibri"/>
                <w:sz w:val="18"/>
                <w:szCs w:val="18"/>
              </w:rPr>
            </w:pPr>
            <w:r w:rsidRPr="00307E20">
              <w:rPr>
                <w:rFonts w:ascii="Calibri" w:hAnsi="Calibri" w:cs="Calibri"/>
                <w:sz w:val="18"/>
                <w:szCs w:val="18"/>
              </w:rPr>
              <w:t xml:space="preserve">współcz. </w:t>
            </w:r>
            <w:r w:rsidRPr="00307E20">
              <w:rPr>
                <w:rFonts w:ascii="Calibri" w:hAnsi="Calibri" w:cs="Calibri"/>
                <w:sz w:val="18"/>
                <w:szCs w:val="18"/>
              </w:rPr>
              <w:sym w:font="Symbol" w:char="F062"/>
            </w:r>
          </w:p>
          <w:p w14:paraId="742E83C6" w14:textId="77777777" w:rsidR="008C66DB" w:rsidRPr="00307E20" w:rsidRDefault="008C66DB" w:rsidP="008C66DB">
            <w:pPr>
              <w:rPr>
                <w:rFonts w:ascii="Calibri" w:hAnsi="Calibri" w:cs="Calibri"/>
                <w:sz w:val="18"/>
                <w:szCs w:val="18"/>
              </w:rPr>
            </w:pPr>
            <w:r w:rsidRPr="00307E20">
              <w:rPr>
                <w:rFonts w:ascii="Calibri" w:hAnsi="Calibri" w:cs="Calibri"/>
                <w:sz w:val="18"/>
                <w:szCs w:val="18"/>
              </w:rPr>
              <w:t xml:space="preserve">współcz. </w:t>
            </w:r>
            <w:r w:rsidRPr="00307E20">
              <w:rPr>
                <w:rFonts w:ascii="Calibri" w:hAnsi="Calibri" w:cs="Calibri"/>
                <w:sz w:val="18"/>
                <w:szCs w:val="18"/>
              </w:rPr>
              <w:sym w:font="Symbol" w:char="F062"/>
            </w:r>
          </w:p>
        </w:tc>
        <w:tc>
          <w:tcPr>
            <w:tcW w:w="1171" w:type="dxa"/>
            <w:tcBorders>
              <w:top w:val="single" w:sz="6" w:space="0" w:color="auto"/>
              <w:left w:val="single" w:sz="6" w:space="0" w:color="auto"/>
              <w:bottom w:val="single" w:sz="6" w:space="0" w:color="auto"/>
              <w:right w:val="single" w:sz="6" w:space="0" w:color="auto"/>
            </w:tcBorders>
          </w:tcPr>
          <w:p w14:paraId="37822B75" w14:textId="77777777" w:rsidR="008C66DB" w:rsidRPr="00307E20" w:rsidRDefault="008C66DB" w:rsidP="008C66DB">
            <w:pPr>
              <w:rPr>
                <w:rFonts w:ascii="Calibri" w:hAnsi="Calibri" w:cs="Calibri"/>
                <w:sz w:val="18"/>
                <w:szCs w:val="18"/>
              </w:rPr>
            </w:pPr>
          </w:p>
          <w:p w14:paraId="17C9E9F8" w14:textId="77777777" w:rsidR="008C66DB" w:rsidRPr="00307E20" w:rsidRDefault="008C66DB" w:rsidP="008C66DB">
            <w:pPr>
              <w:rPr>
                <w:rFonts w:ascii="Calibri" w:hAnsi="Calibri" w:cs="Calibri"/>
                <w:sz w:val="18"/>
                <w:szCs w:val="18"/>
              </w:rPr>
            </w:pPr>
          </w:p>
          <w:p w14:paraId="382186FE" w14:textId="77777777" w:rsidR="008C66DB" w:rsidRPr="00307E20" w:rsidRDefault="008C66DB" w:rsidP="008C66DB">
            <w:pPr>
              <w:rPr>
                <w:rFonts w:ascii="Calibri" w:hAnsi="Calibri" w:cs="Calibri"/>
                <w:sz w:val="18"/>
                <w:szCs w:val="18"/>
              </w:rPr>
            </w:pPr>
            <w:r w:rsidRPr="00307E20">
              <w:rPr>
                <w:rFonts w:ascii="Calibri" w:hAnsi="Calibri" w:cs="Calibri"/>
                <w:sz w:val="18"/>
                <w:szCs w:val="18"/>
              </w:rPr>
              <w:sym w:font="Symbol" w:char="F0B3"/>
            </w:r>
            <w:r w:rsidRPr="00307E20">
              <w:rPr>
                <w:rFonts w:ascii="Calibri" w:hAnsi="Calibri" w:cs="Calibri"/>
                <w:sz w:val="18"/>
                <w:szCs w:val="18"/>
              </w:rPr>
              <w:t xml:space="preserve"> 0,60</w:t>
            </w:r>
          </w:p>
          <w:p w14:paraId="79448514" w14:textId="77777777" w:rsidR="008C66DB" w:rsidRPr="00307E20" w:rsidRDefault="008C66DB" w:rsidP="008C66DB">
            <w:pPr>
              <w:rPr>
                <w:rFonts w:ascii="Calibri" w:hAnsi="Calibri" w:cs="Calibri"/>
                <w:sz w:val="18"/>
                <w:szCs w:val="18"/>
              </w:rPr>
            </w:pPr>
            <w:r w:rsidRPr="00307E20">
              <w:rPr>
                <w:rFonts w:ascii="Calibri" w:hAnsi="Calibri" w:cs="Calibri"/>
                <w:sz w:val="18"/>
                <w:szCs w:val="18"/>
              </w:rPr>
              <w:sym w:font="Symbol" w:char="F0B3"/>
            </w:r>
            <w:r w:rsidRPr="00307E20">
              <w:rPr>
                <w:rFonts w:ascii="Calibri" w:hAnsi="Calibri" w:cs="Calibri"/>
                <w:sz w:val="18"/>
                <w:szCs w:val="18"/>
              </w:rPr>
              <w:t xml:space="preserve"> 0,40</w:t>
            </w:r>
          </w:p>
        </w:tc>
      </w:tr>
      <w:tr w:rsidR="008C66DB" w:rsidRPr="00307E20" w14:paraId="3F428489" w14:textId="77777777" w:rsidTr="008C66DB">
        <w:tc>
          <w:tcPr>
            <w:tcW w:w="496" w:type="dxa"/>
            <w:tcBorders>
              <w:top w:val="single" w:sz="6" w:space="0" w:color="auto"/>
              <w:left w:val="single" w:sz="6" w:space="0" w:color="auto"/>
              <w:bottom w:val="single" w:sz="6" w:space="0" w:color="auto"/>
              <w:right w:val="single" w:sz="6" w:space="0" w:color="auto"/>
            </w:tcBorders>
          </w:tcPr>
          <w:p w14:paraId="55C3546A" w14:textId="77777777" w:rsidR="008C66DB" w:rsidRPr="00307E20" w:rsidRDefault="008C66DB" w:rsidP="008C66DB">
            <w:pPr>
              <w:rPr>
                <w:rFonts w:ascii="Calibri" w:hAnsi="Calibri" w:cs="Calibri"/>
                <w:sz w:val="18"/>
                <w:szCs w:val="18"/>
              </w:rPr>
            </w:pPr>
            <w:r w:rsidRPr="00307E20">
              <w:rPr>
                <w:rFonts w:ascii="Calibri" w:hAnsi="Calibri" w:cs="Calibri"/>
                <w:sz w:val="18"/>
                <w:szCs w:val="18"/>
              </w:rPr>
              <w:t>5</w:t>
            </w:r>
          </w:p>
        </w:tc>
        <w:tc>
          <w:tcPr>
            <w:tcW w:w="3402" w:type="dxa"/>
            <w:tcBorders>
              <w:top w:val="single" w:sz="6" w:space="0" w:color="auto"/>
              <w:left w:val="single" w:sz="6" w:space="0" w:color="auto"/>
              <w:bottom w:val="single" w:sz="6" w:space="0" w:color="auto"/>
              <w:right w:val="single" w:sz="6" w:space="0" w:color="auto"/>
            </w:tcBorders>
          </w:tcPr>
          <w:p w14:paraId="418A48AA" w14:textId="77777777" w:rsidR="008C66DB" w:rsidRPr="00307E20" w:rsidRDefault="008C66DB" w:rsidP="008C66DB">
            <w:pPr>
              <w:rPr>
                <w:rFonts w:ascii="Calibri" w:hAnsi="Calibri" w:cs="Calibri"/>
                <w:sz w:val="18"/>
                <w:szCs w:val="18"/>
              </w:rPr>
            </w:pPr>
            <w:r w:rsidRPr="00307E20">
              <w:rPr>
                <w:rFonts w:ascii="Calibri" w:hAnsi="Calibri" w:cs="Calibri"/>
                <w:sz w:val="18"/>
                <w:szCs w:val="18"/>
              </w:rPr>
              <w:t>Powierzchniowy współczynnik odblasku dla oznakowania świeżego w stanie suchym barwy:</w:t>
            </w:r>
          </w:p>
          <w:p w14:paraId="711279A5" w14:textId="77777777" w:rsidR="008C66DB" w:rsidRPr="00307E20" w:rsidRDefault="008C66DB" w:rsidP="008C66DB">
            <w:pPr>
              <w:rPr>
                <w:rFonts w:ascii="Calibri" w:hAnsi="Calibri" w:cs="Calibri"/>
                <w:sz w:val="18"/>
                <w:szCs w:val="18"/>
              </w:rPr>
            </w:pPr>
            <w:r w:rsidRPr="00307E20">
              <w:rPr>
                <w:rFonts w:ascii="Calibri" w:hAnsi="Calibri" w:cs="Calibri"/>
                <w:sz w:val="18"/>
                <w:szCs w:val="18"/>
              </w:rPr>
              <w:t>- białej</w:t>
            </w:r>
          </w:p>
          <w:p w14:paraId="6CD1B19D" w14:textId="77777777" w:rsidR="008C66DB" w:rsidRPr="00307E20" w:rsidRDefault="008C66DB" w:rsidP="008C66DB">
            <w:pPr>
              <w:rPr>
                <w:rFonts w:ascii="Calibri" w:hAnsi="Calibri" w:cs="Calibri"/>
                <w:sz w:val="18"/>
                <w:szCs w:val="18"/>
              </w:rPr>
            </w:pPr>
            <w:r w:rsidRPr="00307E20">
              <w:rPr>
                <w:rFonts w:ascii="Calibri" w:hAnsi="Calibri" w:cs="Calibri"/>
                <w:sz w:val="18"/>
                <w:szCs w:val="18"/>
              </w:rPr>
              <w:t>- żółtej</w:t>
            </w:r>
          </w:p>
        </w:tc>
        <w:tc>
          <w:tcPr>
            <w:tcW w:w="1275" w:type="dxa"/>
            <w:tcBorders>
              <w:top w:val="single" w:sz="6" w:space="0" w:color="auto"/>
              <w:left w:val="single" w:sz="6" w:space="0" w:color="auto"/>
              <w:bottom w:val="single" w:sz="6" w:space="0" w:color="auto"/>
              <w:right w:val="single" w:sz="6" w:space="0" w:color="auto"/>
            </w:tcBorders>
          </w:tcPr>
          <w:p w14:paraId="4397CBD8" w14:textId="77777777" w:rsidR="008C66DB" w:rsidRPr="00307E20" w:rsidRDefault="008C66DB" w:rsidP="008C66DB">
            <w:pPr>
              <w:rPr>
                <w:rFonts w:ascii="Calibri" w:hAnsi="Calibri" w:cs="Calibri"/>
                <w:sz w:val="18"/>
                <w:szCs w:val="18"/>
              </w:rPr>
            </w:pPr>
          </w:p>
          <w:p w14:paraId="31740865" w14:textId="77777777" w:rsidR="008C66DB" w:rsidRPr="00307E20" w:rsidRDefault="008C66DB" w:rsidP="008C66DB">
            <w:pPr>
              <w:rPr>
                <w:rFonts w:ascii="Calibri" w:hAnsi="Calibri" w:cs="Calibri"/>
                <w:sz w:val="18"/>
                <w:szCs w:val="18"/>
              </w:rPr>
            </w:pPr>
          </w:p>
          <w:p w14:paraId="4B72C5E2" w14:textId="77777777" w:rsidR="008C66DB" w:rsidRPr="00307E20" w:rsidRDefault="008C66DB" w:rsidP="008C66DB">
            <w:pPr>
              <w:rPr>
                <w:rFonts w:ascii="Calibri" w:hAnsi="Calibri" w:cs="Calibri"/>
                <w:sz w:val="18"/>
                <w:szCs w:val="18"/>
              </w:rPr>
            </w:pPr>
          </w:p>
          <w:p w14:paraId="0D1E5BFA" w14:textId="77777777" w:rsidR="008C66DB" w:rsidRPr="00307E20" w:rsidRDefault="008C66DB" w:rsidP="008C66DB">
            <w:pPr>
              <w:rPr>
                <w:rFonts w:ascii="Calibri" w:hAnsi="Calibri" w:cs="Calibri"/>
                <w:sz w:val="18"/>
                <w:szCs w:val="18"/>
                <w:vertAlign w:val="superscript"/>
              </w:rPr>
            </w:pPr>
            <w:r w:rsidRPr="00307E20">
              <w:rPr>
                <w:rFonts w:ascii="Calibri" w:hAnsi="Calibri" w:cs="Calibri"/>
                <w:sz w:val="18"/>
                <w:szCs w:val="18"/>
              </w:rPr>
              <w:t>mcd m</w:t>
            </w:r>
            <w:r w:rsidRPr="00307E20">
              <w:rPr>
                <w:rFonts w:ascii="Calibri" w:hAnsi="Calibri" w:cs="Calibri"/>
                <w:sz w:val="18"/>
                <w:szCs w:val="18"/>
                <w:vertAlign w:val="superscript"/>
              </w:rPr>
              <w:t>-2</w:t>
            </w:r>
            <w:r w:rsidRPr="00307E20">
              <w:rPr>
                <w:rFonts w:ascii="Calibri" w:hAnsi="Calibri" w:cs="Calibri"/>
                <w:sz w:val="18"/>
                <w:szCs w:val="18"/>
              </w:rPr>
              <w:t xml:space="preserve"> lx</w:t>
            </w:r>
            <w:r w:rsidRPr="00307E20">
              <w:rPr>
                <w:rFonts w:ascii="Calibri" w:hAnsi="Calibri" w:cs="Calibri"/>
                <w:sz w:val="18"/>
                <w:szCs w:val="18"/>
                <w:vertAlign w:val="superscript"/>
              </w:rPr>
              <w:t>-1</w:t>
            </w:r>
          </w:p>
          <w:p w14:paraId="60BB365F" w14:textId="77777777" w:rsidR="008C66DB" w:rsidRPr="00307E20" w:rsidRDefault="008C66DB" w:rsidP="008C66DB">
            <w:pPr>
              <w:rPr>
                <w:rFonts w:ascii="Calibri" w:hAnsi="Calibri" w:cs="Calibri"/>
                <w:sz w:val="18"/>
                <w:szCs w:val="18"/>
              </w:rPr>
            </w:pPr>
            <w:r w:rsidRPr="00307E20">
              <w:rPr>
                <w:rFonts w:ascii="Calibri" w:hAnsi="Calibri" w:cs="Calibri"/>
                <w:sz w:val="18"/>
                <w:szCs w:val="18"/>
              </w:rPr>
              <w:t>mcd m</w:t>
            </w:r>
            <w:r w:rsidRPr="00307E20">
              <w:rPr>
                <w:rFonts w:ascii="Calibri" w:hAnsi="Calibri" w:cs="Calibri"/>
                <w:sz w:val="18"/>
                <w:szCs w:val="18"/>
                <w:vertAlign w:val="superscript"/>
              </w:rPr>
              <w:t>-2</w:t>
            </w:r>
            <w:r w:rsidRPr="00307E20">
              <w:rPr>
                <w:rFonts w:ascii="Calibri" w:hAnsi="Calibri" w:cs="Calibri"/>
                <w:sz w:val="18"/>
                <w:szCs w:val="18"/>
              </w:rPr>
              <w:t xml:space="preserve"> lx</w:t>
            </w:r>
            <w:r w:rsidRPr="00307E20">
              <w:rPr>
                <w:rFonts w:ascii="Calibri" w:hAnsi="Calibri" w:cs="Calibri"/>
                <w:sz w:val="18"/>
                <w:szCs w:val="18"/>
                <w:vertAlign w:val="superscript"/>
              </w:rPr>
              <w:t>-1</w:t>
            </w:r>
          </w:p>
        </w:tc>
        <w:tc>
          <w:tcPr>
            <w:tcW w:w="1171" w:type="dxa"/>
            <w:tcBorders>
              <w:top w:val="single" w:sz="6" w:space="0" w:color="auto"/>
              <w:left w:val="single" w:sz="6" w:space="0" w:color="auto"/>
              <w:bottom w:val="single" w:sz="6" w:space="0" w:color="auto"/>
              <w:right w:val="single" w:sz="6" w:space="0" w:color="auto"/>
            </w:tcBorders>
          </w:tcPr>
          <w:p w14:paraId="0921CF54" w14:textId="77777777" w:rsidR="008C66DB" w:rsidRPr="00307E20" w:rsidRDefault="008C66DB" w:rsidP="008C66DB">
            <w:pPr>
              <w:rPr>
                <w:rFonts w:ascii="Calibri" w:hAnsi="Calibri" w:cs="Calibri"/>
                <w:sz w:val="18"/>
                <w:szCs w:val="18"/>
              </w:rPr>
            </w:pPr>
          </w:p>
          <w:p w14:paraId="711B83CF" w14:textId="77777777" w:rsidR="008C66DB" w:rsidRPr="00307E20" w:rsidRDefault="008C66DB" w:rsidP="008C66DB">
            <w:pPr>
              <w:rPr>
                <w:rFonts w:ascii="Calibri" w:hAnsi="Calibri" w:cs="Calibri"/>
                <w:sz w:val="18"/>
                <w:szCs w:val="18"/>
              </w:rPr>
            </w:pPr>
          </w:p>
          <w:p w14:paraId="479C822D" w14:textId="77777777" w:rsidR="008C66DB" w:rsidRPr="00307E20" w:rsidRDefault="008C66DB" w:rsidP="008C66DB">
            <w:pPr>
              <w:rPr>
                <w:rFonts w:ascii="Calibri" w:hAnsi="Calibri" w:cs="Calibri"/>
                <w:sz w:val="18"/>
                <w:szCs w:val="18"/>
              </w:rPr>
            </w:pPr>
          </w:p>
          <w:p w14:paraId="5A3ADA6D" w14:textId="77777777" w:rsidR="008C66DB" w:rsidRPr="00307E20" w:rsidRDefault="008C66DB" w:rsidP="008C66DB">
            <w:pPr>
              <w:rPr>
                <w:rFonts w:ascii="Calibri" w:hAnsi="Calibri" w:cs="Calibri"/>
                <w:sz w:val="18"/>
                <w:szCs w:val="18"/>
              </w:rPr>
            </w:pPr>
            <w:r w:rsidRPr="00307E20">
              <w:rPr>
                <w:rFonts w:ascii="Calibri" w:hAnsi="Calibri" w:cs="Calibri"/>
                <w:sz w:val="18"/>
                <w:szCs w:val="18"/>
              </w:rPr>
              <w:sym w:font="Symbol" w:char="F0B3"/>
            </w:r>
            <w:r w:rsidRPr="00307E20">
              <w:rPr>
                <w:rFonts w:ascii="Calibri" w:hAnsi="Calibri" w:cs="Calibri"/>
                <w:sz w:val="18"/>
                <w:szCs w:val="18"/>
              </w:rPr>
              <w:t xml:space="preserve"> 300</w:t>
            </w:r>
          </w:p>
          <w:p w14:paraId="1EDA7EE3" w14:textId="77777777" w:rsidR="008C66DB" w:rsidRPr="00307E20" w:rsidRDefault="008C66DB" w:rsidP="008C66DB">
            <w:pPr>
              <w:rPr>
                <w:rFonts w:ascii="Calibri" w:hAnsi="Calibri" w:cs="Calibri"/>
                <w:sz w:val="18"/>
                <w:szCs w:val="18"/>
              </w:rPr>
            </w:pPr>
            <w:r w:rsidRPr="00307E20">
              <w:rPr>
                <w:rFonts w:ascii="Calibri" w:hAnsi="Calibri" w:cs="Calibri"/>
                <w:sz w:val="18"/>
                <w:szCs w:val="18"/>
              </w:rPr>
              <w:sym w:font="Symbol" w:char="F0B3"/>
            </w:r>
            <w:r w:rsidRPr="00307E20">
              <w:rPr>
                <w:rFonts w:ascii="Calibri" w:hAnsi="Calibri" w:cs="Calibri"/>
                <w:sz w:val="18"/>
                <w:szCs w:val="18"/>
              </w:rPr>
              <w:t xml:space="preserve"> 200</w:t>
            </w:r>
          </w:p>
        </w:tc>
      </w:tr>
      <w:tr w:rsidR="008C66DB" w:rsidRPr="00307E20" w14:paraId="07AC93C6" w14:textId="77777777" w:rsidTr="008C66DB">
        <w:tc>
          <w:tcPr>
            <w:tcW w:w="496" w:type="dxa"/>
            <w:tcBorders>
              <w:top w:val="single" w:sz="6" w:space="0" w:color="auto"/>
              <w:left w:val="single" w:sz="6" w:space="0" w:color="auto"/>
              <w:bottom w:val="single" w:sz="6" w:space="0" w:color="auto"/>
              <w:right w:val="single" w:sz="6" w:space="0" w:color="auto"/>
            </w:tcBorders>
          </w:tcPr>
          <w:p w14:paraId="75E34CD7" w14:textId="77777777" w:rsidR="008C66DB" w:rsidRPr="00307E20" w:rsidRDefault="008C66DB" w:rsidP="008C66DB">
            <w:pPr>
              <w:rPr>
                <w:rFonts w:ascii="Calibri" w:hAnsi="Calibri" w:cs="Calibri"/>
                <w:sz w:val="18"/>
                <w:szCs w:val="18"/>
              </w:rPr>
            </w:pPr>
            <w:r w:rsidRPr="00307E20">
              <w:rPr>
                <w:rFonts w:ascii="Calibri" w:hAnsi="Calibri" w:cs="Calibri"/>
                <w:sz w:val="18"/>
                <w:szCs w:val="18"/>
              </w:rPr>
              <w:t>6</w:t>
            </w:r>
          </w:p>
        </w:tc>
        <w:tc>
          <w:tcPr>
            <w:tcW w:w="3402" w:type="dxa"/>
            <w:tcBorders>
              <w:top w:val="single" w:sz="6" w:space="0" w:color="auto"/>
              <w:left w:val="single" w:sz="6" w:space="0" w:color="auto"/>
              <w:bottom w:val="single" w:sz="6" w:space="0" w:color="auto"/>
              <w:right w:val="single" w:sz="6" w:space="0" w:color="auto"/>
            </w:tcBorders>
          </w:tcPr>
          <w:p w14:paraId="2C07C27A" w14:textId="77777777" w:rsidR="008C66DB" w:rsidRPr="00307E20" w:rsidRDefault="008C66DB" w:rsidP="008C66DB">
            <w:pPr>
              <w:rPr>
                <w:rFonts w:ascii="Calibri" w:hAnsi="Calibri" w:cs="Calibri"/>
                <w:sz w:val="18"/>
                <w:szCs w:val="18"/>
              </w:rPr>
            </w:pPr>
            <w:r w:rsidRPr="00307E20">
              <w:rPr>
                <w:rFonts w:ascii="Calibri" w:hAnsi="Calibri" w:cs="Calibri"/>
                <w:sz w:val="18"/>
                <w:szCs w:val="18"/>
              </w:rPr>
              <w:t>Szorstkość oznakowania</w:t>
            </w:r>
          </w:p>
          <w:p w14:paraId="40BC8B3A" w14:textId="77777777" w:rsidR="008C66DB" w:rsidRPr="00307E20" w:rsidRDefault="008C66DB" w:rsidP="008C66DB">
            <w:pPr>
              <w:rPr>
                <w:rFonts w:ascii="Calibri" w:hAnsi="Calibri" w:cs="Calibri"/>
                <w:sz w:val="18"/>
                <w:szCs w:val="18"/>
              </w:rPr>
            </w:pPr>
            <w:r w:rsidRPr="00307E20">
              <w:rPr>
                <w:rFonts w:ascii="Calibri" w:hAnsi="Calibri" w:cs="Calibri"/>
                <w:sz w:val="18"/>
                <w:szCs w:val="18"/>
              </w:rPr>
              <w:t>- świeżego</w:t>
            </w:r>
          </w:p>
          <w:p w14:paraId="1C35FFCC" w14:textId="77777777" w:rsidR="008C66DB" w:rsidRPr="00307E20" w:rsidRDefault="008C66DB" w:rsidP="008C66DB">
            <w:pPr>
              <w:rPr>
                <w:rFonts w:ascii="Calibri" w:hAnsi="Calibri" w:cs="Calibri"/>
                <w:sz w:val="18"/>
                <w:szCs w:val="18"/>
              </w:rPr>
            </w:pPr>
            <w:r w:rsidRPr="00307E20">
              <w:rPr>
                <w:rFonts w:ascii="Calibri" w:hAnsi="Calibri" w:cs="Calibri"/>
                <w:sz w:val="18"/>
                <w:szCs w:val="18"/>
              </w:rPr>
              <w:t>- używanego (po 3 mies.)</w:t>
            </w:r>
          </w:p>
        </w:tc>
        <w:tc>
          <w:tcPr>
            <w:tcW w:w="1275" w:type="dxa"/>
            <w:tcBorders>
              <w:top w:val="single" w:sz="6" w:space="0" w:color="auto"/>
              <w:left w:val="single" w:sz="6" w:space="0" w:color="auto"/>
              <w:bottom w:val="single" w:sz="6" w:space="0" w:color="auto"/>
              <w:right w:val="single" w:sz="6" w:space="0" w:color="auto"/>
            </w:tcBorders>
          </w:tcPr>
          <w:p w14:paraId="5EA2F2C6" w14:textId="77777777" w:rsidR="008C66DB" w:rsidRPr="00307E20" w:rsidRDefault="008C66DB" w:rsidP="008C66DB">
            <w:pPr>
              <w:rPr>
                <w:rFonts w:ascii="Calibri" w:hAnsi="Calibri" w:cs="Calibri"/>
                <w:sz w:val="18"/>
                <w:szCs w:val="18"/>
              </w:rPr>
            </w:pPr>
            <w:r w:rsidRPr="00307E20">
              <w:rPr>
                <w:rFonts w:ascii="Calibri" w:hAnsi="Calibri" w:cs="Calibri"/>
                <w:sz w:val="18"/>
                <w:szCs w:val="18"/>
              </w:rPr>
              <w:t>wskaźnik</w:t>
            </w:r>
          </w:p>
          <w:p w14:paraId="2C488294" w14:textId="77777777" w:rsidR="008C66DB" w:rsidRPr="00307E20" w:rsidRDefault="008C66DB" w:rsidP="008C66DB">
            <w:pPr>
              <w:rPr>
                <w:rFonts w:ascii="Calibri" w:hAnsi="Calibri" w:cs="Calibri"/>
                <w:sz w:val="18"/>
                <w:szCs w:val="18"/>
              </w:rPr>
            </w:pPr>
            <w:r w:rsidRPr="00307E20">
              <w:rPr>
                <w:rFonts w:ascii="Calibri" w:hAnsi="Calibri" w:cs="Calibri"/>
                <w:sz w:val="18"/>
                <w:szCs w:val="18"/>
              </w:rPr>
              <w:t>SRT</w:t>
            </w:r>
          </w:p>
          <w:p w14:paraId="74C629C6" w14:textId="77777777" w:rsidR="008C66DB" w:rsidRPr="00307E20" w:rsidRDefault="008C66DB" w:rsidP="008C66DB">
            <w:pPr>
              <w:rPr>
                <w:rFonts w:ascii="Calibri" w:hAnsi="Calibri" w:cs="Calibri"/>
                <w:sz w:val="18"/>
                <w:szCs w:val="18"/>
              </w:rPr>
            </w:pPr>
            <w:r w:rsidRPr="00307E20">
              <w:rPr>
                <w:rFonts w:ascii="Calibri" w:hAnsi="Calibri" w:cs="Calibri"/>
                <w:sz w:val="18"/>
                <w:szCs w:val="18"/>
              </w:rPr>
              <w:t>SRT</w:t>
            </w:r>
          </w:p>
        </w:tc>
        <w:tc>
          <w:tcPr>
            <w:tcW w:w="1171" w:type="dxa"/>
            <w:tcBorders>
              <w:top w:val="single" w:sz="6" w:space="0" w:color="auto"/>
              <w:left w:val="single" w:sz="6" w:space="0" w:color="auto"/>
              <w:bottom w:val="single" w:sz="6" w:space="0" w:color="auto"/>
              <w:right w:val="single" w:sz="6" w:space="0" w:color="auto"/>
            </w:tcBorders>
          </w:tcPr>
          <w:p w14:paraId="713D921A" w14:textId="77777777" w:rsidR="008C66DB" w:rsidRPr="00307E20" w:rsidRDefault="008C66DB" w:rsidP="008C66DB">
            <w:pPr>
              <w:rPr>
                <w:rFonts w:ascii="Calibri" w:hAnsi="Calibri" w:cs="Calibri"/>
                <w:sz w:val="18"/>
                <w:szCs w:val="18"/>
              </w:rPr>
            </w:pPr>
          </w:p>
          <w:p w14:paraId="621AF557" w14:textId="77777777" w:rsidR="008C66DB" w:rsidRPr="00307E20" w:rsidRDefault="008C66DB" w:rsidP="008C66DB">
            <w:pPr>
              <w:rPr>
                <w:rFonts w:ascii="Calibri" w:hAnsi="Calibri" w:cs="Calibri"/>
                <w:sz w:val="18"/>
                <w:szCs w:val="18"/>
              </w:rPr>
            </w:pPr>
            <w:r w:rsidRPr="00307E20">
              <w:rPr>
                <w:rFonts w:ascii="Calibri" w:hAnsi="Calibri" w:cs="Calibri"/>
                <w:sz w:val="18"/>
                <w:szCs w:val="18"/>
              </w:rPr>
              <w:sym w:font="Symbol" w:char="F0B3"/>
            </w:r>
            <w:r w:rsidRPr="00307E20">
              <w:rPr>
                <w:rFonts w:ascii="Calibri" w:hAnsi="Calibri" w:cs="Calibri"/>
                <w:sz w:val="18"/>
                <w:szCs w:val="18"/>
              </w:rPr>
              <w:t xml:space="preserve"> 50</w:t>
            </w:r>
          </w:p>
          <w:p w14:paraId="3F42FB39" w14:textId="77777777" w:rsidR="008C66DB" w:rsidRPr="00307E20" w:rsidRDefault="008C66DB" w:rsidP="008C66DB">
            <w:pPr>
              <w:rPr>
                <w:rFonts w:ascii="Calibri" w:hAnsi="Calibri" w:cs="Calibri"/>
                <w:sz w:val="18"/>
                <w:szCs w:val="18"/>
              </w:rPr>
            </w:pPr>
            <w:r w:rsidRPr="00307E20">
              <w:rPr>
                <w:rFonts w:ascii="Calibri" w:hAnsi="Calibri" w:cs="Calibri"/>
                <w:sz w:val="18"/>
                <w:szCs w:val="18"/>
              </w:rPr>
              <w:sym w:font="Symbol" w:char="F0B3"/>
            </w:r>
            <w:r w:rsidRPr="00307E20">
              <w:rPr>
                <w:rFonts w:ascii="Calibri" w:hAnsi="Calibri" w:cs="Calibri"/>
                <w:sz w:val="18"/>
                <w:szCs w:val="18"/>
              </w:rPr>
              <w:t xml:space="preserve"> 45</w:t>
            </w:r>
          </w:p>
        </w:tc>
      </w:tr>
      <w:tr w:rsidR="008C66DB" w:rsidRPr="00307E20" w14:paraId="1AE3DDEF" w14:textId="77777777" w:rsidTr="008C66DB">
        <w:tc>
          <w:tcPr>
            <w:tcW w:w="496" w:type="dxa"/>
            <w:tcBorders>
              <w:top w:val="single" w:sz="6" w:space="0" w:color="auto"/>
              <w:left w:val="single" w:sz="6" w:space="0" w:color="auto"/>
              <w:bottom w:val="single" w:sz="6" w:space="0" w:color="auto"/>
              <w:right w:val="single" w:sz="6" w:space="0" w:color="auto"/>
            </w:tcBorders>
          </w:tcPr>
          <w:p w14:paraId="02ADD326" w14:textId="77777777" w:rsidR="008C66DB" w:rsidRPr="00307E20" w:rsidRDefault="008C66DB" w:rsidP="008C66DB">
            <w:pPr>
              <w:rPr>
                <w:rFonts w:ascii="Calibri" w:hAnsi="Calibri" w:cs="Calibri"/>
                <w:sz w:val="18"/>
                <w:szCs w:val="18"/>
              </w:rPr>
            </w:pPr>
            <w:r w:rsidRPr="00307E20">
              <w:rPr>
                <w:rFonts w:ascii="Calibri" w:hAnsi="Calibri" w:cs="Calibri"/>
                <w:sz w:val="18"/>
                <w:szCs w:val="18"/>
              </w:rPr>
              <w:t>7</w:t>
            </w:r>
          </w:p>
        </w:tc>
        <w:tc>
          <w:tcPr>
            <w:tcW w:w="3402" w:type="dxa"/>
            <w:tcBorders>
              <w:top w:val="single" w:sz="6" w:space="0" w:color="auto"/>
              <w:left w:val="single" w:sz="6" w:space="0" w:color="auto"/>
              <w:bottom w:val="single" w:sz="6" w:space="0" w:color="auto"/>
              <w:right w:val="single" w:sz="6" w:space="0" w:color="auto"/>
            </w:tcBorders>
          </w:tcPr>
          <w:p w14:paraId="6189FF77" w14:textId="77777777" w:rsidR="008C66DB" w:rsidRPr="00307E20" w:rsidRDefault="008C66DB" w:rsidP="008C66DB">
            <w:pPr>
              <w:rPr>
                <w:rFonts w:ascii="Calibri" w:hAnsi="Calibri" w:cs="Calibri"/>
                <w:sz w:val="18"/>
                <w:szCs w:val="18"/>
              </w:rPr>
            </w:pPr>
            <w:r w:rsidRPr="00307E20">
              <w:rPr>
                <w:rFonts w:ascii="Calibri" w:hAnsi="Calibri" w:cs="Calibri"/>
                <w:sz w:val="18"/>
                <w:szCs w:val="18"/>
              </w:rPr>
              <w:t>Trwałość oznakowania wykonanego:</w:t>
            </w:r>
          </w:p>
          <w:p w14:paraId="061A6DF3" w14:textId="77777777" w:rsidR="008C66DB" w:rsidRPr="00307E20" w:rsidRDefault="008C66DB" w:rsidP="008C66DB">
            <w:pPr>
              <w:rPr>
                <w:rFonts w:ascii="Calibri" w:hAnsi="Calibri" w:cs="Calibri"/>
                <w:sz w:val="18"/>
                <w:szCs w:val="18"/>
              </w:rPr>
            </w:pPr>
            <w:r w:rsidRPr="00307E20">
              <w:rPr>
                <w:rFonts w:ascii="Calibri" w:hAnsi="Calibri" w:cs="Calibri"/>
                <w:sz w:val="18"/>
                <w:szCs w:val="18"/>
              </w:rPr>
              <w:t>- farbami wodorozcieńczalnymi</w:t>
            </w:r>
          </w:p>
          <w:p w14:paraId="3EF8B51B" w14:textId="77777777" w:rsidR="008C66DB" w:rsidRPr="00307E20" w:rsidRDefault="008C66DB" w:rsidP="008C66DB">
            <w:pPr>
              <w:rPr>
                <w:rFonts w:ascii="Calibri" w:hAnsi="Calibri" w:cs="Calibri"/>
                <w:sz w:val="18"/>
                <w:szCs w:val="18"/>
              </w:rPr>
            </w:pPr>
            <w:r w:rsidRPr="00307E20">
              <w:rPr>
                <w:rFonts w:ascii="Calibri" w:hAnsi="Calibri" w:cs="Calibri"/>
                <w:sz w:val="18"/>
                <w:szCs w:val="18"/>
              </w:rPr>
              <w:t>- pozostałymi materiałami</w:t>
            </w:r>
          </w:p>
        </w:tc>
        <w:tc>
          <w:tcPr>
            <w:tcW w:w="1275" w:type="dxa"/>
            <w:tcBorders>
              <w:top w:val="single" w:sz="6" w:space="0" w:color="auto"/>
              <w:left w:val="single" w:sz="6" w:space="0" w:color="auto"/>
              <w:bottom w:val="single" w:sz="6" w:space="0" w:color="auto"/>
              <w:right w:val="single" w:sz="6" w:space="0" w:color="auto"/>
            </w:tcBorders>
          </w:tcPr>
          <w:p w14:paraId="66489EA1" w14:textId="77777777" w:rsidR="008C66DB" w:rsidRPr="00307E20" w:rsidRDefault="008C66DB" w:rsidP="008C66DB">
            <w:pPr>
              <w:rPr>
                <w:rFonts w:ascii="Calibri" w:hAnsi="Calibri" w:cs="Calibri"/>
                <w:sz w:val="18"/>
                <w:szCs w:val="18"/>
              </w:rPr>
            </w:pPr>
          </w:p>
          <w:p w14:paraId="0AFA6DD1" w14:textId="77777777" w:rsidR="008C66DB" w:rsidRPr="00307E20" w:rsidRDefault="008C66DB" w:rsidP="008C66DB">
            <w:pPr>
              <w:rPr>
                <w:rFonts w:ascii="Calibri" w:hAnsi="Calibri" w:cs="Calibri"/>
                <w:sz w:val="18"/>
                <w:szCs w:val="18"/>
              </w:rPr>
            </w:pPr>
            <w:r w:rsidRPr="00307E20">
              <w:rPr>
                <w:rFonts w:ascii="Calibri" w:hAnsi="Calibri" w:cs="Calibri"/>
                <w:sz w:val="18"/>
                <w:szCs w:val="18"/>
              </w:rPr>
              <w:t>wskaźnik</w:t>
            </w:r>
          </w:p>
          <w:p w14:paraId="4453B0E9" w14:textId="77777777" w:rsidR="008C66DB" w:rsidRPr="00307E20" w:rsidRDefault="008C66DB" w:rsidP="008C66DB">
            <w:pPr>
              <w:rPr>
                <w:rFonts w:ascii="Calibri" w:hAnsi="Calibri" w:cs="Calibri"/>
                <w:sz w:val="18"/>
                <w:szCs w:val="18"/>
              </w:rPr>
            </w:pPr>
            <w:r w:rsidRPr="00307E20">
              <w:rPr>
                <w:rFonts w:ascii="Calibri" w:hAnsi="Calibri" w:cs="Calibri"/>
                <w:sz w:val="18"/>
                <w:szCs w:val="18"/>
              </w:rPr>
              <w:t>wskaźnik</w:t>
            </w:r>
          </w:p>
        </w:tc>
        <w:tc>
          <w:tcPr>
            <w:tcW w:w="1171" w:type="dxa"/>
            <w:tcBorders>
              <w:top w:val="single" w:sz="6" w:space="0" w:color="auto"/>
              <w:left w:val="single" w:sz="6" w:space="0" w:color="auto"/>
              <w:bottom w:val="single" w:sz="6" w:space="0" w:color="auto"/>
              <w:right w:val="single" w:sz="6" w:space="0" w:color="auto"/>
            </w:tcBorders>
          </w:tcPr>
          <w:p w14:paraId="59B6A725" w14:textId="77777777" w:rsidR="008C66DB" w:rsidRPr="00307E20" w:rsidRDefault="008C66DB" w:rsidP="008C66DB">
            <w:pPr>
              <w:rPr>
                <w:rFonts w:ascii="Calibri" w:hAnsi="Calibri" w:cs="Calibri"/>
                <w:sz w:val="18"/>
                <w:szCs w:val="18"/>
              </w:rPr>
            </w:pPr>
          </w:p>
          <w:p w14:paraId="4F3721BD" w14:textId="77777777" w:rsidR="008C66DB" w:rsidRPr="00307E20" w:rsidRDefault="008C66DB" w:rsidP="008C66DB">
            <w:pPr>
              <w:rPr>
                <w:rFonts w:ascii="Calibri" w:hAnsi="Calibri" w:cs="Calibri"/>
                <w:sz w:val="18"/>
                <w:szCs w:val="18"/>
              </w:rPr>
            </w:pPr>
            <w:r w:rsidRPr="00307E20">
              <w:rPr>
                <w:rFonts w:ascii="Calibri" w:hAnsi="Calibri" w:cs="Calibri"/>
                <w:sz w:val="18"/>
                <w:szCs w:val="18"/>
              </w:rPr>
              <w:sym w:font="Symbol" w:char="F0B3"/>
            </w:r>
            <w:r w:rsidRPr="00307E20">
              <w:rPr>
                <w:rFonts w:ascii="Calibri" w:hAnsi="Calibri" w:cs="Calibri"/>
                <w:sz w:val="18"/>
                <w:szCs w:val="18"/>
              </w:rPr>
              <w:t xml:space="preserve"> 5</w:t>
            </w:r>
          </w:p>
          <w:p w14:paraId="11162DB3" w14:textId="77777777" w:rsidR="008C66DB" w:rsidRPr="00307E20" w:rsidRDefault="008C66DB" w:rsidP="008C66DB">
            <w:pPr>
              <w:rPr>
                <w:rFonts w:ascii="Calibri" w:hAnsi="Calibri" w:cs="Calibri"/>
                <w:sz w:val="18"/>
                <w:szCs w:val="18"/>
              </w:rPr>
            </w:pPr>
            <w:r w:rsidRPr="00307E20">
              <w:rPr>
                <w:rFonts w:ascii="Calibri" w:hAnsi="Calibri" w:cs="Calibri"/>
                <w:sz w:val="18"/>
                <w:szCs w:val="18"/>
              </w:rPr>
              <w:sym w:font="Symbol" w:char="F0B3"/>
            </w:r>
            <w:r w:rsidRPr="00307E20">
              <w:rPr>
                <w:rFonts w:ascii="Calibri" w:hAnsi="Calibri" w:cs="Calibri"/>
                <w:sz w:val="18"/>
                <w:szCs w:val="18"/>
              </w:rPr>
              <w:t xml:space="preserve"> 6</w:t>
            </w:r>
          </w:p>
        </w:tc>
      </w:tr>
      <w:tr w:rsidR="008C66DB" w:rsidRPr="00307E20" w14:paraId="54BF1E65" w14:textId="77777777" w:rsidTr="008C66DB">
        <w:tc>
          <w:tcPr>
            <w:tcW w:w="496" w:type="dxa"/>
            <w:tcBorders>
              <w:top w:val="single" w:sz="6" w:space="0" w:color="auto"/>
              <w:left w:val="single" w:sz="6" w:space="0" w:color="auto"/>
              <w:bottom w:val="single" w:sz="6" w:space="0" w:color="auto"/>
              <w:right w:val="single" w:sz="6" w:space="0" w:color="auto"/>
            </w:tcBorders>
          </w:tcPr>
          <w:p w14:paraId="32C5CC41" w14:textId="77777777" w:rsidR="008C66DB" w:rsidRPr="00307E20" w:rsidRDefault="008C66DB" w:rsidP="008C66DB">
            <w:pPr>
              <w:spacing w:before="60" w:after="60"/>
              <w:rPr>
                <w:rFonts w:ascii="Calibri" w:hAnsi="Calibri" w:cs="Calibri"/>
                <w:sz w:val="18"/>
                <w:szCs w:val="18"/>
              </w:rPr>
            </w:pPr>
            <w:r w:rsidRPr="00307E20">
              <w:rPr>
                <w:rFonts w:ascii="Calibri" w:hAnsi="Calibri" w:cs="Calibri"/>
                <w:sz w:val="18"/>
                <w:szCs w:val="18"/>
              </w:rPr>
              <w:t>8</w:t>
            </w:r>
          </w:p>
        </w:tc>
        <w:tc>
          <w:tcPr>
            <w:tcW w:w="3402" w:type="dxa"/>
            <w:tcBorders>
              <w:top w:val="single" w:sz="6" w:space="0" w:color="auto"/>
              <w:left w:val="single" w:sz="6" w:space="0" w:color="auto"/>
              <w:bottom w:val="single" w:sz="6" w:space="0" w:color="auto"/>
              <w:right w:val="single" w:sz="6" w:space="0" w:color="auto"/>
            </w:tcBorders>
          </w:tcPr>
          <w:p w14:paraId="69399674" w14:textId="77777777" w:rsidR="008C66DB" w:rsidRPr="00307E20" w:rsidRDefault="008C66DB" w:rsidP="008C66DB">
            <w:pPr>
              <w:spacing w:before="60" w:after="60"/>
              <w:rPr>
                <w:rFonts w:ascii="Calibri" w:hAnsi="Calibri" w:cs="Calibri"/>
                <w:sz w:val="18"/>
                <w:szCs w:val="18"/>
              </w:rPr>
            </w:pPr>
            <w:r w:rsidRPr="00307E20">
              <w:rPr>
                <w:rFonts w:ascii="Calibri" w:hAnsi="Calibri" w:cs="Calibri"/>
                <w:sz w:val="18"/>
                <w:szCs w:val="18"/>
              </w:rPr>
              <w:t>Czas schnięcia materiału na nawierzchni</w:t>
            </w:r>
          </w:p>
        </w:tc>
        <w:tc>
          <w:tcPr>
            <w:tcW w:w="1275" w:type="dxa"/>
            <w:tcBorders>
              <w:top w:val="single" w:sz="6" w:space="0" w:color="auto"/>
              <w:left w:val="single" w:sz="6" w:space="0" w:color="auto"/>
              <w:bottom w:val="single" w:sz="6" w:space="0" w:color="auto"/>
              <w:right w:val="single" w:sz="6" w:space="0" w:color="auto"/>
            </w:tcBorders>
          </w:tcPr>
          <w:p w14:paraId="614DCCDC" w14:textId="77777777" w:rsidR="008C66DB" w:rsidRPr="00307E20" w:rsidRDefault="008C66DB" w:rsidP="008C66DB">
            <w:pPr>
              <w:spacing w:before="60" w:after="60"/>
              <w:rPr>
                <w:rFonts w:ascii="Calibri" w:hAnsi="Calibri" w:cs="Calibri"/>
                <w:sz w:val="18"/>
                <w:szCs w:val="18"/>
              </w:rPr>
            </w:pPr>
            <w:r w:rsidRPr="00307E20">
              <w:rPr>
                <w:rFonts w:ascii="Calibri" w:hAnsi="Calibri" w:cs="Calibri"/>
                <w:sz w:val="18"/>
                <w:szCs w:val="18"/>
              </w:rPr>
              <w:t>h</w:t>
            </w:r>
          </w:p>
        </w:tc>
        <w:tc>
          <w:tcPr>
            <w:tcW w:w="1171" w:type="dxa"/>
            <w:tcBorders>
              <w:top w:val="single" w:sz="6" w:space="0" w:color="auto"/>
              <w:left w:val="single" w:sz="6" w:space="0" w:color="auto"/>
              <w:bottom w:val="single" w:sz="6" w:space="0" w:color="auto"/>
              <w:right w:val="single" w:sz="6" w:space="0" w:color="auto"/>
            </w:tcBorders>
          </w:tcPr>
          <w:p w14:paraId="00B90345" w14:textId="77777777" w:rsidR="008C66DB" w:rsidRPr="00307E20" w:rsidRDefault="008C66DB" w:rsidP="008C66DB">
            <w:pPr>
              <w:spacing w:before="60" w:after="60"/>
              <w:rPr>
                <w:rFonts w:ascii="Calibri" w:hAnsi="Calibri" w:cs="Calibri"/>
                <w:sz w:val="18"/>
                <w:szCs w:val="18"/>
              </w:rPr>
            </w:pPr>
            <w:r w:rsidRPr="00307E20">
              <w:rPr>
                <w:rFonts w:ascii="Calibri" w:hAnsi="Calibri" w:cs="Calibri"/>
                <w:sz w:val="18"/>
                <w:szCs w:val="18"/>
              </w:rPr>
              <w:t>≤ 2</w:t>
            </w:r>
          </w:p>
        </w:tc>
      </w:tr>
      <w:tr w:rsidR="008C66DB" w:rsidRPr="00307E20" w14:paraId="25AF4852" w14:textId="77777777" w:rsidTr="008C66DB">
        <w:tc>
          <w:tcPr>
            <w:tcW w:w="496" w:type="dxa"/>
            <w:tcBorders>
              <w:top w:val="single" w:sz="6" w:space="0" w:color="auto"/>
              <w:left w:val="single" w:sz="6" w:space="0" w:color="auto"/>
              <w:bottom w:val="single" w:sz="6" w:space="0" w:color="auto"/>
              <w:right w:val="single" w:sz="6" w:space="0" w:color="auto"/>
            </w:tcBorders>
          </w:tcPr>
          <w:p w14:paraId="42FDE89A" w14:textId="77777777" w:rsidR="008C66DB" w:rsidRPr="00307E20" w:rsidRDefault="008C66DB" w:rsidP="008C66DB">
            <w:pPr>
              <w:rPr>
                <w:rFonts w:ascii="Calibri" w:hAnsi="Calibri" w:cs="Calibri"/>
                <w:sz w:val="18"/>
                <w:szCs w:val="18"/>
              </w:rPr>
            </w:pPr>
            <w:r w:rsidRPr="00307E20">
              <w:rPr>
                <w:rFonts w:ascii="Calibri" w:hAnsi="Calibri" w:cs="Calibri"/>
                <w:sz w:val="18"/>
                <w:szCs w:val="18"/>
              </w:rPr>
              <w:t>9</w:t>
            </w:r>
          </w:p>
        </w:tc>
        <w:tc>
          <w:tcPr>
            <w:tcW w:w="3402" w:type="dxa"/>
            <w:tcBorders>
              <w:top w:val="single" w:sz="6" w:space="0" w:color="auto"/>
              <w:left w:val="single" w:sz="6" w:space="0" w:color="auto"/>
              <w:bottom w:val="single" w:sz="6" w:space="0" w:color="auto"/>
              <w:right w:val="single" w:sz="6" w:space="0" w:color="auto"/>
            </w:tcBorders>
          </w:tcPr>
          <w:p w14:paraId="21D12E12" w14:textId="77777777" w:rsidR="008C66DB" w:rsidRPr="00307E20" w:rsidRDefault="008C66DB" w:rsidP="008C66DB">
            <w:pPr>
              <w:rPr>
                <w:rFonts w:ascii="Calibri" w:hAnsi="Calibri" w:cs="Calibri"/>
                <w:sz w:val="18"/>
                <w:szCs w:val="18"/>
              </w:rPr>
            </w:pPr>
            <w:r w:rsidRPr="00307E20">
              <w:rPr>
                <w:rFonts w:ascii="Calibri" w:hAnsi="Calibri" w:cs="Calibri"/>
                <w:sz w:val="18"/>
                <w:szCs w:val="18"/>
              </w:rPr>
              <w:t>Grubość oznakowania nad powierzchnią nawierzchni</w:t>
            </w:r>
          </w:p>
          <w:p w14:paraId="70E11F02" w14:textId="77777777" w:rsidR="008C66DB" w:rsidRPr="00307E20" w:rsidRDefault="008C66DB" w:rsidP="008C66DB">
            <w:pPr>
              <w:rPr>
                <w:rFonts w:ascii="Calibri" w:hAnsi="Calibri" w:cs="Calibri"/>
                <w:sz w:val="18"/>
                <w:szCs w:val="18"/>
              </w:rPr>
            </w:pPr>
            <w:r w:rsidRPr="00307E20">
              <w:rPr>
                <w:rFonts w:ascii="Calibri" w:hAnsi="Calibri" w:cs="Calibri"/>
                <w:sz w:val="18"/>
                <w:szCs w:val="18"/>
              </w:rPr>
              <w:t>- bez mikrokulek szklanych</w:t>
            </w:r>
          </w:p>
          <w:p w14:paraId="076F91F5" w14:textId="77777777" w:rsidR="008C66DB" w:rsidRPr="00307E20" w:rsidRDefault="008C66DB" w:rsidP="008C66DB">
            <w:pPr>
              <w:rPr>
                <w:rFonts w:ascii="Calibri" w:hAnsi="Calibri" w:cs="Calibri"/>
                <w:sz w:val="18"/>
                <w:szCs w:val="18"/>
              </w:rPr>
            </w:pPr>
            <w:r w:rsidRPr="00307E20">
              <w:rPr>
                <w:rFonts w:ascii="Calibri" w:hAnsi="Calibri" w:cs="Calibri"/>
                <w:sz w:val="18"/>
                <w:szCs w:val="18"/>
              </w:rPr>
              <w:t>- z mikrokulkami szklanymi</w:t>
            </w:r>
          </w:p>
        </w:tc>
        <w:tc>
          <w:tcPr>
            <w:tcW w:w="1275" w:type="dxa"/>
            <w:tcBorders>
              <w:top w:val="single" w:sz="6" w:space="0" w:color="auto"/>
              <w:left w:val="single" w:sz="6" w:space="0" w:color="auto"/>
              <w:bottom w:val="single" w:sz="6" w:space="0" w:color="auto"/>
              <w:right w:val="single" w:sz="6" w:space="0" w:color="auto"/>
            </w:tcBorders>
          </w:tcPr>
          <w:p w14:paraId="5E3F0BCA" w14:textId="77777777" w:rsidR="008C66DB" w:rsidRPr="00307E20" w:rsidRDefault="008C66DB" w:rsidP="008C66DB">
            <w:pPr>
              <w:rPr>
                <w:rFonts w:ascii="Calibri" w:hAnsi="Calibri" w:cs="Calibri"/>
                <w:sz w:val="18"/>
                <w:szCs w:val="18"/>
              </w:rPr>
            </w:pPr>
          </w:p>
          <w:p w14:paraId="33B42F88" w14:textId="77777777" w:rsidR="008C66DB" w:rsidRPr="00307E20" w:rsidRDefault="008C66DB" w:rsidP="008C66DB">
            <w:pPr>
              <w:rPr>
                <w:rFonts w:ascii="Calibri" w:hAnsi="Calibri" w:cs="Calibri"/>
                <w:sz w:val="18"/>
                <w:szCs w:val="18"/>
              </w:rPr>
            </w:pPr>
          </w:p>
          <w:p w14:paraId="22904482" w14:textId="77777777" w:rsidR="008C66DB" w:rsidRPr="00307E20" w:rsidRDefault="008C66DB" w:rsidP="008C66DB">
            <w:pPr>
              <w:rPr>
                <w:rFonts w:ascii="Calibri" w:hAnsi="Calibri" w:cs="Calibri"/>
                <w:sz w:val="18"/>
                <w:szCs w:val="18"/>
              </w:rPr>
            </w:pPr>
            <w:r w:rsidRPr="00307E20">
              <w:rPr>
                <w:rFonts w:ascii="Calibri" w:hAnsi="Calibri" w:cs="Calibri"/>
                <w:sz w:val="18"/>
                <w:szCs w:val="18"/>
              </w:rPr>
              <w:sym w:font="Symbol" w:char="F06D"/>
            </w:r>
            <w:r w:rsidRPr="00307E20">
              <w:rPr>
                <w:rFonts w:ascii="Calibri" w:hAnsi="Calibri" w:cs="Calibri"/>
                <w:sz w:val="18"/>
                <w:szCs w:val="18"/>
              </w:rPr>
              <w:t>m</w:t>
            </w:r>
          </w:p>
          <w:p w14:paraId="13A0E960" w14:textId="77777777" w:rsidR="008C66DB" w:rsidRPr="00307E20" w:rsidRDefault="008C66DB" w:rsidP="008C66DB">
            <w:pPr>
              <w:rPr>
                <w:rFonts w:ascii="Calibri" w:hAnsi="Calibri" w:cs="Calibri"/>
                <w:sz w:val="18"/>
                <w:szCs w:val="18"/>
              </w:rPr>
            </w:pPr>
            <w:r w:rsidRPr="00307E20">
              <w:rPr>
                <w:rFonts w:ascii="Calibri" w:hAnsi="Calibri" w:cs="Calibri"/>
                <w:sz w:val="18"/>
                <w:szCs w:val="18"/>
              </w:rPr>
              <w:t>mm</w:t>
            </w:r>
          </w:p>
        </w:tc>
        <w:tc>
          <w:tcPr>
            <w:tcW w:w="1171" w:type="dxa"/>
            <w:tcBorders>
              <w:top w:val="single" w:sz="6" w:space="0" w:color="auto"/>
              <w:left w:val="single" w:sz="6" w:space="0" w:color="auto"/>
              <w:bottom w:val="single" w:sz="6" w:space="0" w:color="auto"/>
              <w:right w:val="single" w:sz="6" w:space="0" w:color="auto"/>
            </w:tcBorders>
          </w:tcPr>
          <w:p w14:paraId="1F25B98E" w14:textId="77777777" w:rsidR="008C66DB" w:rsidRPr="00307E20" w:rsidRDefault="008C66DB" w:rsidP="008C66DB">
            <w:pPr>
              <w:rPr>
                <w:rFonts w:ascii="Calibri" w:hAnsi="Calibri" w:cs="Calibri"/>
                <w:sz w:val="18"/>
                <w:szCs w:val="18"/>
              </w:rPr>
            </w:pPr>
          </w:p>
          <w:p w14:paraId="054C407A" w14:textId="77777777" w:rsidR="008C66DB" w:rsidRPr="00307E20" w:rsidRDefault="008C66DB" w:rsidP="008C66DB">
            <w:pPr>
              <w:rPr>
                <w:rFonts w:ascii="Calibri" w:hAnsi="Calibri" w:cs="Calibri"/>
                <w:sz w:val="18"/>
                <w:szCs w:val="18"/>
              </w:rPr>
            </w:pPr>
          </w:p>
          <w:p w14:paraId="59522B29" w14:textId="77777777" w:rsidR="008C66DB" w:rsidRPr="00307E20" w:rsidRDefault="008C66DB" w:rsidP="008C66DB">
            <w:pPr>
              <w:rPr>
                <w:rFonts w:ascii="Calibri" w:hAnsi="Calibri" w:cs="Calibri"/>
                <w:sz w:val="18"/>
                <w:szCs w:val="18"/>
              </w:rPr>
            </w:pPr>
            <w:r w:rsidRPr="00307E20">
              <w:rPr>
                <w:rFonts w:ascii="Calibri" w:hAnsi="Calibri" w:cs="Calibri"/>
                <w:sz w:val="18"/>
                <w:szCs w:val="18"/>
              </w:rPr>
              <w:t>-</w:t>
            </w:r>
          </w:p>
          <w:p w14:paraId="404EAF7E" w14:textId="77777777" w:rsidR="008C66DB" w:rsidRPr="00307E20" w:rsidRDefault="008C66DB" w:rsidP="008C66DB">
            <w:pPr>
              <w:rPr>
                <w:rFonts w:ascii="Calibri" w:hAnsi="Calibri" w:cs="Calibri"/>
                <w:sz w:val="18"/>
                <w:szCs w:val="18"/>
              </w:rPr>
            </w:pPr>
            <w:r w:rsidRPr="00307E20">
              <w:rPr>
                <w:rFonts w:ascii="Calibri" w:hAnsi="Calibri" w:cs="Calibri"/>
                <w:sz w:val="18"/>
                <w:szCs w:val="18"/>
              </w:rPr>
              <w:t>≤ 5</w:t>
            </w:r>
          </w:p>
        </w:tc>
      </w:tr>
      <w:tr w:rsidR="008C66DB" w:rsidRPr="00307E20" w14:paraId="088B1437" w14:textId="77777777" w:rsidTr="008C66DB">
        <w:tc>
          <w:tcPr>
            <w:tcW w:w="496" w:type="dxa"/>
            <w:tcBorders>
              <w:top w:val="single" w:sz="6" w:space="0" w:color="auto"/>
              <w:left w:val="single" w:sz="6" w:space="0" w:color="auto"/>
              <w:bottom w:val="single" w:sz="6" w:space="0" w:color="auto"/>
              <w:right w:val="single" w:sz="6" w:space="0" w:color="auto"/>
            </w:tcBorders>
          </w:tcPr>
          <w:p w14:paraId="50763992" w14:textId="77777777" w:rsidR="008C66DB" w:rsidRPr="00307E20" w:rsidRDefault="008C66DB" w:rsidP="008C66DB">
            <w:pPr>
              <w:rPr>
                <w:rFonts w:ascii="Calibri" w:hAnsi="Calibri" w:cs="Calibri"/>
                <w:sz w:val="18"/>
                <w:szCs w:val="18"/>
              </w:rPr>
            </w:pPr>
            <w:r w:rsidRPr="00307E20">
              <w:rPr>
                <w:rFonts w:ascii="Calibri" w:hAnsi="Calibri" w:cs="Calibri"/>
                <w:sz w:val="18"/>
                <w:szCs w:val="18"/>
              </w:rPr>
              <w:t>10</w:t>
            </w:r>
          </w:p>
        </w:tc>
        <w:tc>
          <w:tcPr>
            <w:tcW w:w="3402" w:type="dxa"/>
            <w:tcBorders>
              <w:top w:val="single" w:sz="6" w:space="0" w:color="auto"/>
              <w:left w:val="single" w:sz="6" w:space="0" w:color="auto"/>
              <w:bottom w:val="single" w:sz="6" w:space="0" w:color="auto"/>
              <w:right w:val="single" w:sz="6" w:space="0" w:color="auto"/>
            </w:tcBorders>
          </w:tcPr>
          <w:p w14:paraId="628B7053" w14:textId="77777777" w:rsidR="008C66DB" w:rsidRPr="00307E20" w:rsidRDefault="008C66DB" w:rsidP="008C66DB">
            <w:pPr>
              <w:rPr>
                <w:rFonts w:ascii="Calibri" w:hAnsi="Calibri" w:cs="Calibri"/>
                <w:sz w:val="18"/>
                <w:szCs w:val="18"/>
              </w:rPr>
            </w:pPr>
            <w:r w:rsidRPr="00307E20">
              <w:rPr>
                <w:rFonts w:ascii="Calibri" w:hAnsi="Calibri" w:cs="Calibri"/>
                <w:sz w:val="18"/>
                <w:szCs w:val="18"/>
              </w:rPr>
              <w:t>Okres stałości właściwości materiałów do znakowania przy składowaniu</w:t>
            </w:r>
          </w:p>
        </w:tc>
        <w:tc>
          <w:tcPr>
            <w:tcW w:w="1275" w:type="dxa"/>
            <w:tcBorders>
              <w:top w:val="single" w:sz="6" w:space="0" w:color="auto"/>
              <w:left w:val="single" w:sz="6" w:space="0" w:color="auto"/>
              <w:bottom w:val="single" w:sz="6" w:space="0" w:color="auto"/>
              <w:right w:val="single" w:sz="6" w:space="0" w:color="auto"/>
            </w:tcBorders>
          </w:tcPr>
          <w:p w14:paraId="1A611BA3" w14:textId="77777777" w:rsidR="008C66DB" w:rsidRPr="00307E20" w:rsidRDefault="008C66DB" w:rsidP="008C66DB">
            <w:pPr>
              <w:spacing w:before="120"/>
              <w:rPr>
                <w:rFonts w:ascii="Calibri" w:hAnsi="Calibri" w:cs="Calibri"/>
                <w:sz w:val="18"/>
                <w:szCs w:val="18"/>
              </w:rPr>
            </w:pPr>
            <w:r w:rsidRPr="00307E20">
              <w:rPr>
                <w:rFonts w:ascii="Calibri" w:hAnsi="Calibri" w:cs="Calibri"/>
                <w:sz w:val="18"/>
                <w:szCs w:val="18"/>
              </w:rPr>
              <w:t>miesięcy</w:t>
            </w:r>
          </w:p>
        </w:tc>
        <w:tc>
          <w:tcPr>
            <w:tcW w:w="1171" w:type="dxa"/>
            <w:tcBorders>
              <w:top w:val="single" w:sz="6" w:space="0" w:color="auto"/>
              <w:left w:val="single" w:sz="6" w:space="0" w:color="auto"/>
              <w:bottom w:val="single" w:sz="6" w:space="0" w:color="auto"/>
              <w:right w:val="single" w:sz="6" w:space="0" w:color="auto"/>
            </w:tcBorders>
          </w:tcPr>
          <w:p w14:paraId="1A6DFCE1" w14:textId="77777777" w:rsidR="008C66DB" w:rsidRPr="00307E20" w:rsidRDefault="008C66DB" w:rsidP="008C66DB">
            <w:pPr>
              <w:spacing w:before="120"/>
              <w:rPr>
                <w:rFonts w:ascii="Calibri" w:hAnsi="Calibri" w:cs="Calibri"/>
                <w:sz w:val="18"/>
                <w:szCs w:val="18"/>
              </w:rPr>
            </w:pPr>
            <w:r w:rsidRPr="00307E20">
              <w:rPr>
                <w:rFonts w:ascii="Calibri" w:hAnsi="Calibri" w:cs="Calibri"/>
                <w:sz w:val="18"/>
                <w:szCs w:val="18"/>
              </w:rPr>
              <w:sym w:font="Symbol" w:char="F0B3"/>
            </w:r>
            <w:r w:rsidRPr="00307E20">
              <w:rPr>
                <w:rFonts w:ascii="Calibri" w:hAnsi="Calibri" w:cs="Calibri"/>
                <w:sz w:val="18"/>
                <w:szCs w:val="18"/>
              </w:rPr>
              <w:t xml:space="preserve"> 6</w:t>
            </w:r>
          </w:p>
        </w:tc>
      </w:tr>
    </w:tbl>
    <w:p w14:paraId="5A93389A" w14:textId="77777777" w:rsidR="008C66DB" w:rsidRPr="00307E20" w:rsidRDefault="008C66DB" w:rsidP="008C66DB">
      <w:pPr>
        <w:spacing w:before="120"/>
        <w:rPr>
          <w:rFonts w:ascii="Calibri" w:hAnsi="Calibri" w:cs="Calibri"/>
          <w:sz w:val="18"/>
          <w:szCs w:val="18"/>
        </w:rPr>
      </w:pPr>
    </w:p>
    <w:p w14:paraId="5CEF55BE" w14:textId="77777777" w:rsidR="008C66DB" w:rsidRPr="00307E20" w:rsidRDefault="008C66DB" w:rsidP="008C66DB">
      <w:pPr>
        <w:pStyle w:val="Nagwek4"/>
        <w:rPr>
          <w:rFonts w:ascii="Calibri" w:hAnsi="Calibri" w:cs="Calibri"/>
          <w:sz w:val="18"/>
          <w:szCs w:val="18"/>
        </w:rPr>
      </w:pPr>
      <w:bookmarkStart w:id="763" w:name="_Toc235079977"/>
      <w:r w:rsidRPr="00307E20">
        <w:rPr>
          <w:rFonts w:ascii="Calibri" w:hAnsi="Calibri" w:cs="Calibri"/>
          <w:sz w:val="18"/>
          <w:szCs w:val="18"/>
        </w:rPr>
        <w:t>6.4. Tolerancje wymiarów oznakowania</w:t>
      </w:r>
      <w:bookmarkEnd w:id="763"/>
    </w:p>
    <w:p w14:paraId="64B94625" w14:textId="77777777" w:rsidR="008C66DB" w:rsidRPr="00307E20" w:rsidRDefault="008C66DB" w:rsidP="008C66DB">
      <w:pPr>
        <w:rPr>
          <w:rFonts w:ascii="Calibri" w:hAnsi="Calibri" w:cs="Calibri"/>
          <w:b/>
          <w:bCs/>
          <w:i/>
          <w:iCs/>
          <w:sz w:val="18"/>
          <w:szCs w:val="18"/>
        </w:rPr>
      </w:pPr>
      <w:r w:rsidRPr="00307E20">
        <w:rPr>
          <w:rFonts w:ascii="Calibri" w:hAnsi="Calibri" w:cs="Calibri"/>
          <w:b/>
          <w:bCs/>
          <w:i/>
          <w:iCs/>
          <w:sz w:val="18"/>
          <w:szCs w:val="18"/>
        </w:rPr>
        <w:t>6.4.1. Tolerancje nowo wykonanego oznakowania</w:t>
      </w:r>
    </w:p>
    <w:p w14:paraId="32C4D767" w14:textId="77777777" w:rsidR="008C66DB" w:rsidRPr="00307E20" w:rsidRDefault="008C66DB" w:rsidP="008C66DB">
      <w:pPr>
        <w:spacing w:before="120"/>
        <w:rPr>
          <w:rFonts w:ascii="Calibri" w:hAnsi="Calibri" w:cs="Calibri"/>
          <w:sz w:val="18"/>
          <w:szCs w:val="18"/>
        </w:rPr>
      </w:pPr>
      <w:r w:rsidRPr="00307E20">
        <w:rPr>
          <w:rFonts w:ascii="Calibri" w:hAnsi="Calibri" w:cs="Calibri"/>
          <w:sz w:val="18"/>
          <w:szCs w:val="18"/>
        </w:rPr>
        <w:t>Tolerancje nowo wykonanego oznakowania poziomego, zgodnego z dokumentacją projektową i „Instrukcją o znakach drogowych poziomych”, powinny odpowiadać następującym warunkom:</w:t>
      </w:r>
    </w:p>
    <w:p w14:paraId="44885BB7" w14:textId="77777777" w:rsidR="008C66DB" w:rsidRPr="00307E20" w:rsidRDefault="008C66DB" w:rsidP="008C66DB">
      <w:pPr>
        <w:numPr>
          <w:ilvl w:val="0"/>
          <w:numId w:val="1"/>
        </w:numPr>
        <w:rPr>
          <w:rFonts w:ascii="Calibri" w:hAnsi="Calibri" w:cs="Calibri"/>
          <w:sz w:val="18"/>
          <w:szCs w:val="18"/>
        </w:rPr>
      </w:pPr>
      <w:r w:rsidRPr="00307E20">
        <w:rPr>
          <w:rFonts w:ascii="Calibri" w:hAnsi="Calibri" w:cs="Calibri"/>
          <w:sz w:val="18"/>
          <w:szCs w:val="18"/>
        </w:rPr>
        <w:t>szerokość linii może różnić się od wymaganej o ± 5 mm,</w:t>
      </w:r>
    </w:p>
    <w:p w14:paraId="3E335864" w14:textId="77777777" w:rsidR="008C66DB" w:rsidRPr="00307E20" w:rsidRDefault="008C66DB" w:rsidP="008C66DB">
      <w:pPr>
        <w:numPr>
          <w:ilvl w:val="0"/>
          <w:numId w:val="1"/>
        </w:numPr>
        <w:rPr>
          <w:rFonts w:ascii="Calibri" w:hAnsi="Calibri" w:cs="Calibri"/>
          <w:sz w:val="18"/>
          <w:szCs w:val="18"/>
        </w:rPr>
      </w:pPr>
      <w:r w:rsidRPr="00307E20">
        <w:rPr>
          <w:rFonts w:ascii="Calibri" w:hAnsi="Calibri" w:cs="Calibri"/>
          <w:sz w:val="18"/>
          <w:szCs w:val="18"/>
        </w:rPr>
        <w:t>długość linii może być mniejsza od wymaganej co najwyżej o 50 mm lub większa co najwyżej o 150 mm,</w:t>
      </w:r>
    </w:p>
    <w:p w14:paraId="52D2D728" w14:textId="77777777" w:rsidR="008C66DB" w:rsidRPr="00307E20" w:rsidRDefault="008C66DB" w:rsidP="008C66DB">
      <w:pPr>
        <w:numPr>
          <w:ilvl w:val="0"/>
          <w:numId w:val="1"/>
        </w:numPr>
        <w:rPr>
          <w:rFonts w:ascii="Calibri" w:hAnsi="Calibri" w:cs="Calibri"/>
          <w:sz w:val="18"/>
          <w:szCs w:val="18"/>
        </w:rPr>
      </w:pPr>
      <w:r w:rsidRPr="00307E20">
        <w:rPr>
          <w:rFonts w:ascii="Calibri" w:hAnsi="Calibri" w:cs="Calibri"/>
          <w:sz w:val="18"/>
          <w:szCs w:val="18"/>
        </w:rPr>
        <w:t>dla linii przerywanych, długość cyklu składającego się z linii i przerwy nie może odbiegać od średniej liczonej z 10 kolejnych cykli o więcej niż ± 50 mm długości wymaganej,</w:t>
      </w:r>
    </w:p>
    <w:p w14:paraId="7D9509C5" w14:textId="77777777" w:rsidR="008C66DB" w:rsidRPr="00307E20" w:rsidRDefault="008C66DB" w:rsidP="008C66DB">
      <w:pPr>
        <w:numPr>
          <w:ilvl w:val="0"/>
          <w:numId w:val="1"/>
        </w:numPr>
        <w:rPr>
          <w:rFonts w:ascii="Calibri" w:hAnsi="Calibri" w:cs="Calibri"/>
          <w:sz w:val="18"/>
          <w:szCs w:val="18"/>
        </w:rPr>
      </w:pPr>
      <w:r w:rsidRPr="00307E20">
        <w:rPr>
          <w:rFonts w:ascii="Calibri" w:hAnsi="Calibri" w:cs="Calibri"/>
          <w:sz w:val="18"/>
          <w:szCs w:val="18"/>
        </w:rPr>
        <w:t>dla strzałek, liter i cyfr rozstaw punktów narożnikowych nie może mieć większej odchyłki od wymaganego wzoru niż ± 50 mm dla wymiaru długości i ± 20 mm dla wymiaru szerokości.</w:t>
      </w:r>
    </w:p>
    <w:p w14:paraId="59A4CE84" w14:textId="77777777" w:rsidR="008C66DB" w:rsidRPr="00307E20" w:rsidRDefault="008C66DB" w:rsidP="008C66DB">
      <w:pPr>
        <w:rPr>
          <w:rFonts w:ascii="Calibri" w:hAnsi="Calibri" w:cs="Calibri"/>
          <w:b/>
          <w:sz w:val="18"/>
          <w:szCs w:val="18"/>
        </w:rPr>
      </w:pPr>
      <w:bookmarkStart w:id="764" w:name="_Toc420816686"/>
      <w:bookmarkStart w:id="765" w:name="_Toc235079978"/>
    </w:p>
    <w:p w14:paraId="229372D9" w14:textId="77777777" w:rsidR="008C66DB" w:rsidRPr="00307E20" w:rsidRDefault="008C66DB" w:rsidP="008C66DB">
      <w:pPr>
        <w:rPr>
          <w:rFonts w:ascii="Calibri" w:hAnsi="Calibri" w:cs="Calibri"/>
          <w:b/>
          <w:sz w:val="18"/>
          <w:szCs w:val="18"/>
        </w:rPr>
      </w:pPr>
      <w:r w:rsidRPr="00307E20">
        <w:rPr>
          <w:rFonts w:ascii="Calibri" w:hAnsi="Calibri" w:cs="Calibri"/>
          <w:b/>
          <w:sz w:val="18"/>
          <w:szCs w:val="18"/>
        </w:rPr>
        <w:t xml:space="preserve">7. </w:t>
      </w:r>
      <w:bookmarkEnd w:id="764"/>
      <w:bookmarkEnd w:id="765"/>
      <w:r w:rsidRPr="00307E20">
        <w:rPr>
          <w:rFonts w:ascii="Calibri" w:hAnsi="Calibri" w:cs="Calibri"/>
          <w:b/>
          <w:sz w:val="18"/>
          <w:szCs w:val="18"/>
        </w:rPr>
        <w:t>OBMIAR ROBÓT</w:t>
      </w:r>
    </w:p>
    <w:p w14:paraId="53A77D86" w14:textId="77777777" w:rsidR="007E56C9" w:rsidRDefault="007E56C9" w:rsidP="008C66DB">
      <w:pPr>
        <w:rPr>
          <w:rFonts w:ascii="Calibri" w:hAnsi="Calibri" w:cs="Calibri"/>
          <w:sz w:val="18"/>
          <w:szCs w:val="18"/>
        </w:rPr>
      </w:pPr>
    </w:p>
    <w:p w14:paraId="1C2F21C6" w14:textId="572F7BA6" w:rsidR="007E56C9" w:rsidRDefault="007E56C9" w:rsidP="008C66DB">
      <w:pPr>
        <w:rPr>
          <w:rFonts w:ascii="Calibri" w:hAnsi="Calibri" w:cs="Calibri"/>
          <w:sz w:val="18"/>
          <w:szCs w:val="18"/>
        </w:rPr>
      </w:pPr>
      <w:r>
        <w:rPr>
          <w:rFonts w:ascii="Calibri" w:hAnsi="Calibri" w:cs="Calibri"/>
          <w:sz w:val="18"/>
          <w:szCs w:val="18"/>
        </w:rPr>
        <w:t>Kontrakt ryczałtowy</w:t>
      </w:r>
    </w:p>
    <w:p w14:paraId="445C2D7A" w14:textId="504257CD" w:rsidR="008C66DB" w:rsidRPr="00307E20" w:rsidRDefault="008C66DB" w:rsidP="008C66DB">
      <w:pPr>
        <w:rPr>
          <w:rFonts w:ascii="Calibri" w:hAnsi="Calibri" w:cs="Calibri"/>
          <w:sz w:val="18"/>
          <w:szCs w:val="18"/>
        </w:rPr>
      </w:pPr>
      <w:r w:rsidRPr="00307E20">
        <w:rPr>
          <w:rFonts w:ascii="Calibri" w:hAnsi="Calibri" w:cs="Calibri"/>
          <w:sz w:val="18"/>
          <w:szCs w:val="18"/>
        </w:rPr>
        <w:t xml:space="preserve">Ogólne zasady obmiaru robót podano w </w:t>
      </w:r>
      <w:r w:rsidR="00E0090D">
        <w:rPr>
          <w:rFonts w:ascii="Calibri" w:hAnsi="Calibri" w:cs="Calibri"/>
          <w:sz w:val="18"/>
          <w:szCs w:val="18"/>
        </w:rPr>
        <w:t>ST</w:t>
      </w:r>
      <w:r w:rsidRPr="00307E20">
        <w:rPr>
          <w:rFonts w:ascii="Calibri" w:hAnsi="Calibri" w:cs="Calibri"/>
          <w:sz w:val="18"/>
          <w:szCs w:val="18"/>
        </w:rPr>
        <w:t>WiORB D-M-00.00.00 „Wymagania ogólne” pkt 7.</w:t>
      </w:r>
    </w:p>
    <w:p w14:paraId="7877B01C" w14:textId="77777777" w:rsidR="008C66DB" w:rsidRDefault="008C66DB" w:rsidP="008C66DB">
      <w:pPr>
        <w:rPr>
          <w:rFonts w:ascii="Calibri" w:hAnsi="Calibri" w:cs="Calibri"/>
          <w:b/>
          <w:sz w:val="18"/>
          <w:szCs w:val="18"/>
        </w:rPr>
      </w:pPr>
      <w:bookmarkStart w:id="766" w:name="_Toc420816687"/>
      <w:bookmarkStart w:id="767" w:name="_Toc235079981"/>
    </w:p>
    <w:p w14:paraId="7351EE2F" w14:textId="77777777" w:rsidR="007E56C9" w:rsidRDefault="007E56C9" w:rsidP="008C66DB">
      <w:pPr>
        <w:rPr>
          <w:rFonts w:ascii="Calibri" w:hAnsi="Calibri" w:cs="Calibri"/>
          <w:b/>
          <w:sz w:val="18"/>
          <w:szCs w:val="18"/>
        </w:rPr>
      </w:pPr>
    </w:p>
    <w:p w14:paraId="1FC0FDDD" w14:textId="77777777" w:rsidR="007E56C9" w:rsidRDefault="007E56C9" w:rsidP="008C66DB">
      <w:pPr>
        <w:rPr>
          <w:rFonts w:ascii="Calibri" w:hAnsi="Calibri" w:cs="Calibri"/>
          <w:b/>
          <w:sz w:val="18"/>
          <w:szCs w:val="18"/>
        </w:rPr>
      </w:pPr>
    </w:p>
    <w:p w14:paraId="783AED6F" w14:textId="77777777" w:rsidR="007E56C9" w:rsidRPr="00307E20" w:rsidRDefault="007E56C9" w:rsidP="008C66DB">
      <w:pPr>
        <w:rPr>
          <w:rFonts w:ascii="Calibri" w:hAnsi="Calibri" w:cs="Calibri"/>
          <w:b/>
          <w:sz w:val="18"/>
          <w:szCs w:val="18"/>
        </w:rPr>
      </w:pPr>
    </w:p>
    <w:p w14:paraId="22AC20E1" w14:textId="77777777" w:rsidR="008C66DB" w:rsidRPr="00307E20" w:rsidRDefault="008C66DB" w:rsidP="008C66DB">
      <w:pPr>
        <w:rPr>
          <w:rFonts w:ascii="Calibri" w:hAnsi="Calibri" w:cs="Calibri"/>
          <w:b/>
          <w:sz w:val="18"/>
          <w:szCs w:val="18"/>
        </w:rPr>
      </w:pPr>
      <w:r w:rsidRPr="00307E20">
        <w:rPr>
          <w:rFonts w:ascii="Calibri" w:hAnsi="Calibri" w:cs="Calibri"/>
          <w:b/>
          <w:sz w:val="18"/>
          <w:szCs w:val="18"/>
        </w:rPr>
        <w:t xml:space="preserve">8. </w:t>
      </w:r>
      <w:bookmarkEnd w:id="766"/>
      <w:bookmarkEnd w:id="767"/>
      <w:r w:rsidRPr="00307E20">
        <w:rPr>
          <w:rFonts w:ascii="Calibri" w:hAnsi="Calibri" w:cs="Calibri"/>
          <w:b/>
          <w:sz w:val="18"/>
          <w:szCs w:val="18"/>
        </w:rPr>
        <w:t>ODBIÓR ROBÓT</w:t>
      </w:r>
    </w:p>
    <w:p w14:paraId="40761135" w14:textId="77777777" w:rsidR="008C66DB" w:rsidRPr="00307E20" w:rsidRDefault="008C66DB" w:rsidP="008C66DB">
      <w:pPr>
        <w:pStyle w:val="Nagwek4"/>
        <w:rPr>
          <w:rFonts w:ascii="Calibri" w:hAnsi="Calibri" w:cs="Calibri"/>
          <w:sz w:val="18"/>
          <w:szCs w:val="18"/>
        </w:rPr>
      </w:pPr>
      <w:bookmarkStart w:id="768" w:name="_Toc235079982"/>
      <w:r w:rsidRPr="00307E20">
        <w:rPr>
          <w:rFonts w:ascii="Calibri" w:hAnsi="Calibri" w:cs="Calibri"/>
          <w:sz w:val="18"/>
          <w:szCs w:val="18"/>
        </w:rPr>
        <w:t>8.1. Ogólne zasady odbioru robót</w:t>
      </w:r>
      <w:bookmarkEnd w:id="768"/>
    </w:p>
    <w:p w14:paraId="0C7F044F" w14:textId="0ED3D547" w:rsidR="008C66DB" w:rsidRPr="00307E20" w:rsidRDefault="008C66DB" w:rsidP="008C66DB">
      <w:pPr>
        <w:rPr>
          <w:rFonts w:ascii="Calibri" w:hAnsi="Calibri" w:cs="Calibri"/>
          <w:sz w:val="18"/>
          <w:szCs w:val="18"/>
        </w:rPr>
      </w:pPr>
      <w:r w:rsidRPr="00307E20">
        <w:rPr>
          <w:rFonts w:ascii="Calibri" w:hAnsi="Calibri" w:cs="Calibri"/>
          <w:sz w:val="18"/>
          <w:szCs w:val="18"/>
        </w:rPr>
        <w:t xml:space="preserve">Ogólne zasady odbioru robót podano w </w:t>
      </w:r>
      <w:r w:rsidR="00E0090D">
        <w:rPr>
          <w:rFonts w:ascii="Calibri" w:hAnsi="Calibri" w:cs="Calibri"/>
          <w:sz w:val="18"/>
          <w:szCs w:val="18"/>
        </w:rPr>
        <w:t>ST</w:t>
      </w:r>
      <w:r w:rsidRPr="00307E20">
        <w:rPr>
          <w:rFonts w:ascii="Calibri" w:hAnsi="Calibri" w:cs="Calibri"/>
          <w:sz w:val="18"/>
          <w:szCs w:val="18"/>
        </w:rPr>
        <w:t>WiORB D-M-00.00.00 „Wymagania ogólne” pkt 8.</w:t>
      </w:r>
    </w:p>
    <w:p w14:paraId="7FD50D4F" w14:textId="6DF2F55E" w:rsidR="008C66DB" w:rsidRPr="00307E20" w:rsidRDefault="008C66DB" w:rsidP="008C66DB">
      <w:pPr>
        <w:rPr>
          <w:rFonts w:ascii="Calibri" w:hAnsi="Calibri" w:cs="Calibri"/>
          <w:sz w:val="18"/>
          <w:szCs w:val="18"/>
        </w:rPr>
      </w:pPr>
      <w:r w:rsidRPr="00307E20">
        <w:rPr>
          <w:rFonts w:ascii="Calibri" w:hAnsi="Calibri" w:cs="Calibri"/>
          <w:sz w:val="18"/>
          <w:szCs w:val="18"/>
        </w:rPr>
        <w:t xml:space="preserve">Roboty uznaje się za wykonane zgodnie z dokumentacją projektową, </w:t>
      </w:r>
      <w:r w:rsidR="00E0090D">
        <w:rPr>
          <w:rFonts w:ascii="Calibri" w:hAnsi="Calibri" w:cs="Calibri"/>
          <w:sz w:val="18"/>
          <w:szCs w:val="18"/>
        </w:rPr>
        <w:t>ST</w:t>
      </w:r>
      <w:r w:rsidRPr="00307E20">
        <w:rPr>
          <w:rFonts w:ascii="Calibri" w:hAnsi="Calibri" w:cs="Calibri"/>
          <w:sz w:val="18"/>
          <w:szCs w:val="18"/>
        </w:rPr>
        <w:t>WiORB i wymaganiami Inżyniera, jeżeli wszystkie pomiary i badania, z zachowaniem tolerancji wg pkt 6, dały wyniki pozytywne.</w:t>
      </w:r>
    </w:p>
    <w:p w14:paraId="2B6C7BE6" w14:textId="77777777" w:rsidR="008C66DB" w:rsidRPr="00307E20" w:rsidRDefault="008C66DB" w:rsidP="008C66DB">
      <w:pPr>
        <w:pStyle w:val="Nagwek4"/>
        <w:rPr>
          <w:rFonts w:ascii="Calibri" w:hAnsi="Calibri" w:cs="Calibri"/>
          <w:sz w:val="18"/>
          <w:szCs w:val="18"/>
        </w:rPr>
      </w:pPr>
      <w:bookmarkStart w:id="769" w:name="_Toc235079983"/>
      <w:r w:rsidRPr="00307E20">
        <w:rPr>
          <w:rFonts w:ascii="Calibri" w:hAnsi="Calibri" w:cs="Calibri"/>
          <w:sz w:val="18"/>
          <w:szCs w:val="18"/>
        </w:rPr>
        <w:t>8.2. Odbiór robót zanikających i ulegających zakryciu</w:t>
      </w:r>
      <w:bookmarkEnd w:id="769"/>
    </w:p>
    <w:p w14:paraId="7BD9E51E" w14:textId="77777777" w:rsidR="008C66DB" w:rsidRPr="00307E20" w:rsidRDefault="008C66DB" w:rsidP="008C66DB">
      <w:pPr>
        <w:rPr>
          <w:rFonts w:ascii="Calibri" w:hAnsi="Calibri" w:cs="Calibri"/>
          <w:sz w:val="18"/>
          <w:szCs w:val="18"/>
        </w:rPr>
      </w:pPr>
      <w:r w:rsidRPr="00307E20">
        <w:rPr>
          <w:rFonts w:ascii="Calibri" w:hAnsi="Calibri" w:cs="Calibri"/>
          <w:sz w:val="18"/>
          <w:szCs w:val="18"/>
        </w:rPr>
        <w:t>Odbiór robót zanikających i ulegających zakryciu, w zależności od przyjętego sposobu wykonania robót, może być dokonany po:</w:t>
      </w:r>
    </w:p>
    <w:p w14:paraId="7137A36F" w14:textId="77777777" w:rsidR="008C66DB" w:rsidRPr="00307E20" w:rsidRDefault="008C66DB" w:rsidP="008C66DB">
      <w:pPr>
        <w:numPr>
          <w:ilvl w:val="0"/>
          <w:numId w:val="1"/>
        </w:numPr>
        <w:rPr>
          <w:rFonts w:ascii="Calibri" w:hAnsi="Calibri" w:cs="Calibri"/>
          <w:sz w:val="18"/>
          <w:szCs w:val="18"/>
        </w:rPr>
      </w:pPr>
      <w:r w:rsidRPr="00307E20">
        <w:rPr>
          <w:rFonts w:ascii="Calibri" w:hAnsi="Calibri" w:cs="Calibri"/>
          <w:sz w:val="18"/>
          <w:szCs w:val="18"/>
        </w:rPr>
        <w:t>oczyszczeniu powierzchni nawierzchni,</w:t>
      </w:r>
    </w:p>
    <w:p w14:paraId="7E85DD1F" w14:textId="77777777" w:rsidR="008C66DB" w:rsidRPr="00307E20" w:rsidRDefault="008C66DB" w:rsidP="008C66DB">
      <w:pPr>
        <w:numPr>
          <w:ilvl w:val="0"/>
          <w:numId w:val="1"/>
        </w:numPr>
        <w:rPr>
          <w:rFonts w:ascii="Calibri" w:hAnsi="Calibri" w:cs="Calibri"/>
          <w:sz w:val="18"/>
          <w:szCs w:val="18"/>
        </w:rPr>
      </w:pPr>
      <w:r w:rsidRPr="00307E20">
        <w:rPr>
          <w:rFonts w:ascii="Calibri" w:hAnsi="Calibri" w:cs="Calibri"/>
          <w:sz w:val="18"/>
          <w:szCs w:val="18"/>
        </w:rPr>
        <w:t>przedznakowaniu,</w:t>
      </w:r>
    </w:p>
    <w:p w14:paraId="7080DB94" w14:textId="77777777" w:rsidR="008C66DB" w:rsidRPr="00307E20" w:rsidRDefault="008C66DB" w:rsidP="008C66DB">
      <w:pPr>
        <w:numPr>
          <w:ilvl w:val="0"/>
          <w:numId w:val="1"/>
        </w:numPr>
        <w:rPr>
          <w:rFonts w:ascii="Calibri" w:hAnsi="Calibri" w:cs="Calibri"/>
          <w:sz w:val="18"/>
          <w:szCs w:val="18"/>
        </w:rPr>
      </w:pPr>
      <w:r w:rsidRPr="00307E20">
        <w:rPr>
          <w:rFonts w:ascii="Calibri" w:hAnsi="Calibri" w:cs="Calibri"/>
          <w:sz w:val="18"/>
          <w:szCs w:val="18"/>
        </w:rPr>
        <w:t>wykonaniu podkładu (primera) na nawierzchni betonowej.</w:t>
      </w:r>
    </w:p>
    <w:p w14:paraId="1A74BD92" w14:textId="77777777" w:rsidR="008C66DB" w:rsidRPr="00307E20" w:rsidRDefault="008C66DB" w:rsidP="008C66DB">
      <w:pPr>
        <w:pStyle w:val="Nagwek4"/>
        <w:rPr>
          <w:rFonts w:ascii="Calibri" w:hAnsi="Calibri" w:cs="Calibri"/>
          <w:sz w:val="18"/>
          <w:szCs w:val="18"/>
        </w:rPr>
      </w:pPr>
      <w:bookmarkStart w:id="770" w:name="_Toc235079984"/>
      <w:r w:rsidRPr="00307E20">
        <w:rPr>
          <w:rFonts w:ascii="Calibri" w:hAnsi="Calibri" w:cs="Calibri"/>
          <w:sz w:val="18"/>
          <w:szCs w:val="18"/>
        </w:rPr>
        <w:t>8.3. Odbiór ostateczny</w:t>
      </w:r>
      <w:bookmarkEnd w:id="770"/>
    </w:p>
    <w:p w14:paraId="0B9946CF" w14:textId="77777777" w:rsidR="008C66DB" w:rsidRPr="00307E20" w:rsidRDefault="008C66DB" w:rsidP="008C66DB">
      <w:pPr>
        <w:rPr>
          <w:rFonts w:ascii="Calibri" w:hAnsi="Calibri" w:cs="Calibri"/>
          <w:sz w:val="18"/>
          <w:szCs w:val="18"/>
        </w:rPr>
      </w:pPr>
      <w:r w:rsidRPr="00307E20">
        <w:rPr>
          <w:rFonts w:ascii="Calibri" w:hAnsi="Calibri" w:cs="Calibri"/>
          <w:sz w:val="18"/>
          <w:szCs w:val="18"/>
        </w:rPr>
        <w:t>Odbioru ostatecznego należy dokonać po całkowitym zakończeniu robót, na podstawie wyników pomiarów i badań jakościowych określonych w punktach od 2 do 6.</w:t>
      </w:r>
    </w:p>
    <w:p w14:paraId="123E3297" w14:textId="77777777" w:rsidR="008C66DB" w:rsidRPr="00307E20" w:rsidRDefault="008C66DB" w:rsidP="008C66DB">
      <w:pPr>
        <w:pStyle w:val="Nagwek4"/>
        <w:rPr>
          <w:rFonts w:ascii="Calibri" w:hAnsi="Calibri" w:cs="Calibri"/>
          <w:sz w:val="18"/>
          <w:szCs w:val="18"/>
        </w:rPr>
      </w:pPr>
      <w:bookmarkStart w:id="771" w:name="_Toc235079985"/>
      <w:r w:rsidRPr="00307E20">
        <w:rPr>
          <w:rFonts w:ascii="Calibri" w:hAnsi="Calibri" w:cs="Calibri"/>
          <w:sz w:val="18"/>
          <w:szCs w:val="18"/>
        </w:rPr>
        <w:t>8.4. Odbiór pogwarancyjny</w:t>
      </w:r>
      <w:bookmarkEnd w:id="771"/>
    </w:p>
    <w:p w14:paraId="772797F4" w14:textId="77777777" w:rsidR="008C66DB" w:rsidRPr="00307E20" w:rsidRDefault="008C66DB" w:rsidP="008C66DB">
      <w:pPr>
        <w:rPr>
          <w:rFonts w:ascii="Calibri" w:hAnsi="Calibri" w:cs="Calibri"/>
          <w:sz w:val="18"/>
          <w:szCs w:val="18"/>
        </w:rPr>
      </w:pPr>
      <w:r w:rsidRPr="00307E20">
        <w:rPr>
          <w:rFonts w:ascii="Calibri" w:hAnsi="Calibri" w:cs="Calibri"/>
          <w:sz w:val="18"/>
          <w:szCs w:val="18"/>
        </w:rPr>
        <w:t>Odbioru pogwarancyjnego należy dokonać po upływie okresu gwarancyjnego. Sprawdzeniu podlegają cechy oznakowania określone w POD-97.</w:t>
      </w:r>
    </w:p>
    <w:p w14:paraId="44FD6852" w14:textId="77777777" w:rsidR="008C66DB" w:rsidRPr="00307E20" w:rsidRDefault="008C66DB" w:rsidP="008C66DB">
      <w:pPr>
        <w:rPr>
          <w:rFonts w:ascii="Calibri" w:hAnsi="Calibri" w:cs="Calibri"/>
          <w:b/>
          <w:sz w:val="18"/>
          <w:szCs w:val="18"/>
        </w:rPr>
      </w:pPr>
      <w:bookmarkStart w:id="772" w:name="_Toc420816688"/>
      <w:bookmarkStart w:id="773" w:name="_Toc235079986"/>
    </w:p>
    <w:p w14:paraId="4897F538" w14:textId="77777777" w:rsidR="008C66DB" w:rsidRPr="00307E20" w:rsidRDefault="008C66DB" w:rsidP="008C66DB">
      <w:pPr>
        <w:rPr>
          <w:rFonts w:ascii="Calibri" w:hAnsi="Calibri" w:cs="Calibri"/>
          <w:b/>
          <w:sz w:val="18"/>
          <w:szCs w:val="18"/>
        </w:rPr>
      </w:pPr>
      <w:r w:rsidRPr="00307E20">
        <w:rPr>
          <w:rFonts w:ascii="Calibri" w:hAnsi="Calibri" w:cs="Calibri"/>
          <w:b/>
          <w:sz w:val="18"/>
          <w:szCs w:val="18"/>
        </w:rPr>
        <w:t xml:space="preserve">9. </w:t>
      </w:r>
      <w:bookmarkEnd w:id="772"/>
      <w:bookmarkEnd w:id="773"/>
      <w:r w:rsidRPr="00307E20">
        <w:rPr>
          <w:rFonts w:ascii="Calibri" w:hAnsi="Calibri" w:cs="Calibri"/>
          <w:b/>
          <w:sz w:val="18"/>
          <w:szCs w:val="18"/>
        </w:rPr>
        <w:t>PODSTAWA PŁATNOŚCI</w:t>
      </w:r>
    </w:p>
    <w:p w14:paraId="1487434B" w14:textId="77777777" w:rsidR="007E56C9" w:rsidRDefault="007E56C9" w:rsidP="008C66DB">
      <w:pPr>
        <w:rPr>
          <w:rFonts w:ascii="Calibri" w:hAnsi="Calibri" w:cs="Calibri"/>
          <w:sz w:val="18"/>
          <w:szCs w:val="18"/>
        </w:rPr>
      </w:pPr>
    </w:p>
    <w:p w14:paraId="102CBF33" w14:textId="77777777" w:rsidR="007E56C9" w:rsidRDefault="007E56C9" w:rsidP="008C66DB">
      <w:pPr>
        <w:rPr>
          <w:rFonts w:ascii="Calibri" w:hAnsi="Calibri" w:cs="Calibri"/>
          <w:sz w:val="18"/>
          <w:szCs w:val="18"/>
        </w:rPr>
      </w:pPr>
      <w:r>
        <w:rPr>
          <w:rFonts w:ascii="Calibri" w:hAnsi="Calibri" w:cs="Calibri"/>
          <w:sz w:val="18"/>
          <w:szCs w:val="18"/>
        </w:rPr>
        <w:t>Kontrakt ryczałtowy</w:t>
      </w:r>
    </w:p>
    <w:p w14:paraId="13665D4B" w14:textId="3EE91DE5" w:rsidR="008C66DB" w:rsidRPr="00307E20" w:rsidRDefault="008C66DB" w:rsidP="008C66DB">
      <w:pPr>
        <w:rPr>
          <w:rFonts w:ascii="Calibri" w:hAnsi="Calibri" w:cs="Calibri"/>
          <w:sz w:val="18"/>
          <w:szCs w:val="18"/>
        </w:rPr>
      </w:pPr>
      <w:r w:rsidRPr="00307E20">
        <w:rPr>
          <w:rFonts w:ascii="Calibri" w:hAnsi="Calibri" w:cs="Calibri"/>
          <w:sz w:val="18"/>
          <w:szCs w:val="18"/>
        </w:rPr>
        <w:t xml:space="preserve">Ogólne ustalenia dotyczące podstawy płatności podano w </w:t>
      </w:r>
      <w:r w:rsidR="00E0090D">
        <w:rPr>
          <w:rFonts w:ascii="Calibri" w:hAnsi="Calibri" w:cs="Calibri"/>
          <w:sz w:val="18"/>
          <w:szCs w:val="18"/>
        </w:rPr>
        <w:t>ST</w:t>
      </w:r>
      <w:r w:rsidRPr="00307E20">
        <w:rPr>
          <w:rFonts w:ascii="Calibri" w:hAnsi="Calibri" w:cs="Calibri"/>
          <w:sz w:val="18"/>
          <w:szCs w:val="18"/>
        </w:rPr>
        <w:t>WiORB D-M-00.00.00 „Wymagania ogólne” pkt 9.</w:t>
      </w:r>
    </w:p>
    <w:p w14:paraId="42872B1E" w14:textId="77777777" w:rsidR="008C66DB" w:rsidRPr="00307E20" w:rsidRDefault="008C66DB" w:rsidP="008C66DB">
      <w:pPr>
        <w:rPr>
          <w:rFonts w:ascii="Calibri" w:hAnsi="Calibri" w:cs="Calibri"/>
          <w:b/>
          <w:sz w:val="18"/>
          <w:szCs w:val="18"/>
        </w:rPr>
      </w:pPr>
      <w:bookmarkStart w:id="774" w:name="_Toc420816689"/>
      <w:bookmarkStart w:id="775" w:name="_Toc235079989"/>
    </w:p>
    <w:p w14:paraId="568DF94F" w14:textId="77777777" w:rsidR="008C66DB" w:rsidRPr="00307E20" w:rsidRDefault="008C66DB" w:rsidP="008C66DB">
      <w:pPr>
        <w:rPr>
          <w:rFonts w:ascii="Calibri" w:hAnsi="Calibri" w:cs="Calibri"/>
          <w:b/>
          <w:sz w:val="18"/>
          <w:szCs w:val="18"/>
        </w:rPr>
      </w:pPr>
      <w:r w:rsidRPr="00307E20">
        <w:rPr>
          <w:rFonts w:ascii="Calibri" w:hAnsi="Calibri" w:cs="Calibri"/>
          <w:b/>
          <w:sz w:val="18"/>
          <w:szCs w:val="18"/>
        </w:rPr>
        <w:t xml:space="preserve">10. </w:t>
      </w:r>
      <w:bookmarkEnd w:id="774"/>
      <w:bookmarkEnd w:id="775"/>
      <w:r w:rsidRPr="00307E20">
        <w:rPr>
          <w:rFonts w:ascii="Calibri" w:hAnsi="Calibri" w:cs="Calibri"/>
          <w:b/>
          <w:sz w:val="18"/>
          <w:szCs w:val="18"/>
        </w:rPr>
        <w:t>PRZEPISY ZWIĄZANE</w:t>
      </w:r>
    </w:p>
    <w:p w14:paraId="1FA23C9E" w14:textId="77777777" w:rsidR="008C66DB" w:rsidRPr="00307E20" w:rsidRDefault="008C66DB" w:rsidP="008C66DB">
      <w:pPr>
        <w:pStyle w:val="Nagwek4"/>
        <w:rPr>
          <w:rFonts w:ascii="Calibri" w:hAnsi="Calibri" w:cs="Calibri"/>
          <w:sz w:val="18"/>
          <w:szCs w:val="18"/>
        </w:rPr>
      </w:pPr>
      <w:bookmarkStart w:id="776" w:name="_Toc235079990"/>
      <w:r w:rsidRPr="00307E20">
        <w:rPr>
          <w:rFonts w:ascii="Calibri" w:hAnsi="Calibri" w:cs="Calibri"/>
          <w:sz w:val="18"/>
          <w:szCs w:val="18"/>
        </w:rPr>
        <w:t>10.1. Normy</w:t>
      </w:r>
      <w:bookmarkEnd w:id="776"/>
    </w:p>
    <w:tbl>
      <w:tblPr>
        <w:tblW w:w="9790" w:type="dxa"/>
        <w:tblInd w:w="2" w:type="dxa"/>
        <w:tblLayout w:type="fixed"/>
        <w:tblCellMar>
          <w:left w:w="70" w:type="dxa"/>
          <w:right w:w="70" w:type="dxa"/>
        </w:tblCellMar>
        <w:tblLook w:val="0000" w:firstRow="0" w:lastRow="0" w:firstColumn="0" w:lastColumn="0" w:noHBand="0" w:noVBand="0"/>
      </w:tblPr>
      <w:tblGrid>
        <w:gridCol w:w="496"/>
        <w:gridCol w:w="1842"/>
        <w:gridCol w:w="7452"/>
      </w:tblGrid>
      <w:tr w:rsidR="008C66DB" w:rsidRPr="00307E20" w14:paraId="10929804" w14:textId="77777777" w:rsidTr="008C66DB">
        <w:tc>
          <w:tcPr>
            <w:tcW w:w="496" w:type="dxa"/>
          </w:tcPr>
          <w:p w14:paraId="2DFC48F9" w14:textId="77777777" w:rsidR="008C66DB" w:rsidRPr="00307E20" w:rsidRDefault="008C66DB" w:rsidP="008C66DB">
            <w:pPr>
              <w:rPr>
                <w:rFonts w:ascii="Calibri" w:hAnsi="Calibri" w:cs="Calibri"/>
                <w:sz w:val="18"/>
                <w:szCs w:val="18"/>
              </w:rPr>
            </w:pPr>
            <w:r w:rsidRPr="00307E20">
              <w:rPr>
                <w:rFonts w:ascii="Calibri" w:hAnsi="Calibri" w:cs="Calibri"/>
                <w:sz w:val="18"/>
                <w:szCs w:val="18"/>
              </w:rPr>
              <w:t>1.</w:t>
            </w:r>
          </w:p>
        </w:tc>
        <w:tc>
          <w:tcPr>
            <w:tcW w:w="1842" w:type="dxa"/>
          </w:tcPr>
          <w:p w14:paraId="42884E8D" w14:textId="77777777" w:rsidR="008C66DB" w:rsidRPr="00307E20" w:rsidRDefault="008C66DB" w:rsidP="008C66DB">
            <w:pPr>
              <w:rPr>
                <w:rFonts w:ascii="Calibri" w:hAnsi="Calibri" w:cs="Calibri"/>
                <w:sz w:val="18"/>
                <w:szCs w:val="18"/>
              </w:rPr>
            </w:pPr>
            <w:r w:rsidRPr="00307E20">
              <w:rPr>
                <w:rFonts w:ascii="Calibri" w:hAnsi="Calibri" w:cs="Calibri"/>
                <w:sz w:val="18"/>
                <w:szCs w:val="18"/>
              </w:rPr>
              <w:t>PN-C-81400</w:t>
            </w:r>
          </w:p>
        </w:tc>
        <w:tc>
          <w:tcPr>
            <w:tcW w:w="7452" w:type="dxa"/>
          </w:tcPr>
          <w:p w14:paraId="023A45C0" w14:textId="77777777" w:rsidR="008C66DB" w:rsidRPr="00307E20" w:rsidRDefault="008C66DB" w:rsidP="008C66DB">
            <w:pPr>
              <w:rPr>
                <w:rFonts w:ascii="Calibri" w:hAnsi="Calibri" w:cs="Calibri"/>
                <w:sz w:val="18"/>
                <w:szCs w:val="18"/>
              </w:rPr>
            </w:pPr>
            <w:r w:rsidRPr="00307E20">
              <w:rPr>
                <w:rFonts w:ascii="Calibri" w:hAnsi="Calibri" w:cs="Calibri"/>
                <w:sz w:val="18"/>
                <w:szCs w:val="18"/>
              </w:rPr>
              <w:t>Wyroby lakierowe. Pakowanie, przechowywanie i transport</w:t>
            </w:r>
          </w:p>
        </w:tc>
      </w:tr>
      <w:tr w:rsidR="008C66DB" w:rsidRPr="00307E20" w14:paraId="73E04660" w14:textId="77777777" w:rsidTr="008C66DB">
        <w:tc>
          <w:tcPr>
            <w:tcW w:w="496" w:type="dxa"/>
          </w:tcPr>
          <w:p w14:paraId="62DE8CF2" w14:textId="77777777" w:rsidR="008C66DB" w:rsidRPr="00307E20" w:rsidRDefault="008C66DB" w:rsidP="008C66DB">
            <w:pPr>
              <w:rPr>
                <w:rFonts w:ascii="Calibri" w:hAnsi="Calibri" w:cs="Calibri"/>
                <w:sz w:val="18"/>
                <w:szCs w:val="18"/>
              </w:rPr>
            </w:pPr>
            <w:r w:rsidRPr="00307E20">
              <w:rPr>
                <w:rFonts w:ascii="Calibri" w:hAnsi="Calibri" w:cs="Calibri"/>
                <w:sz w:val="18"/>
                <w:szCs w:val="18"/>
              </w:rPr>
              <w:t>2.</w:t>
            </w:r>
          </w:p>
        </w:tc>
        <w:tc>
          <w:tcPr>
            <w:tcW w:w="1842" w:type="dxa"/>
          </w:tcPr>
          <w:p w14:paraId="0ED2194D" w14:textId="77777777" w:rsidR="008C66DB" w:rsidRPr="00307E20" w:rsidRDefault="008C66DB" w:rsidP="008C66DB">
            <w:pPr>
              <w:rPr>
                <w:rFonts w:ascii="Calibri" w:hAnsi="Calibri" w:cs="Calibri"/>
                <w:sz w:val="18"/>
                <w:szCs w:val="18"/>
              </w:rPr>
            </w:pPr>
            <w:r w:rsidRPr="00307E20">
              <w:rPr>
                <w:rFonts w:ascii="Calibri" w:hAnsi="Calibri" w:cs="Calibri"/>
                <w:sz w:val="18"/>
                <w:szCs w:val="18"/>
              </w:rPr>
              <w:t>PN-O-79252</w:t>
            </w:r>
          </w:p>
        </w:tc>
        <w:tc>
          <w:tcPr>
            <w:tcW w:w="7452" w:type="dxa"/>
          </w:tcPr>
          <w:p w14:paraId="2D215C57" w14:textId="77777777" w:rsidR="008C66DB" w:rsidRPr="00307E20" w:rsidRDefault="008C66DB" w:rsidP="008C66DB">
            <w:pPr>
              <w:rPr>
                <w:rFonts w:ascii="Calibri" w:hAnsi="Calibri" w:cs="Calibri"/>
                <w:sz w:val="18"/>
                <w:szCs w:val="18"/>
              </w:rPr>
            </w:pPr>
            <w:r w:rsidRPr="00307E20">
              <w:rPr>
                <w:rFonts w:ascii="Calibri" w:hAnsi="Calibri" w:cs="Calibri"/>
                <w:sz w:val="18"/>
                <w:szCs w:val="18"/>
              </w:rPr>
              <w:t>Opakowania transportowe z zawartością. Znaki i znakowanie. Wymagania podstawowe.</w:t>
            </w:r>
          </w:p>
        </w:tc>
      </w:tr>
    </w:tbl>
    <w:p w14:paraId="7DF8C9BB" w14:textId="77777777" w:rsidR="008C66DB" w:rsidRPr="00307E20" w:rsidRDefault="008C66DB" w:rsidP="008C66DB">
      <w:pPr>
        <w:pStyle w:val="Nagwek4"/>
        <w:rPr>
          <w:rFonts w:ascii="Calibri" w:hAnsi="Calibri" w:cs="Calibri"/>
          <w:sz w:val="18"/>
          <w:szCs w:val="18"/>
        </w:rPr>
      </w:pPr>
      <w:bookmarkStart w:id="777" w:name="_Toc235079991"/>
      <w:r w:rsidRPr="00307E20">
        <w:rPr>
          <w:rFonts w:ascii="Calibri" w:hAnsi="Calibri" w:cs="Calibri"/>
          <w:sz w:val="18"/>
          <w:szCs w:val="18"/>
        </w:rPr>
        <w:t>10.2. Inne dokumenty</w:t>
      </w:r>
      <w:bookmarkEnd w:id="777"/>
    </w:p>
    <w:p w14:paraId="4C600AB0" w14:textId="77777777" w:rsidR="008C66DB" w:rsidRPr="00307E20" w:rsidRDefault="008C66DB" w:rsidP="00262498">
      <w:pPr>
        <w:numPr>
          <w:ilvl w:val="0"/>
          <w:numId w:val="25"/>
        </w:numPr>
        <w:rPr>
          <w:rFonts w:ascii="Calibri" w:hAnsi="Calibri" w:cs="Calibri"/>
          <w:sz w:val="18"/>
          <w:szCs w:val="18"/>
        </w:rPr>
      </w:pPr>
      <w:r w:rsidRPr="00307E20">
        <w:rPr>
          <w:rFonts w:ascii="Calibri" w:hAnsi="Calibri" w:cs="Calibri"/>
          <w:sz w:val="18"/>
          <w:szCs w:val="18"/>
        </w:rPr>
        <w:t>Warunki techniczne. Poziome znakowanie dróg. POD-97. Seria „I” - Informacje, Instrukcje. Zeszyt nr 55. IBDiM, Warszawa, 1997.</w:t>
      </w:r>
    </w:p>
    <w:p w14:paraId="1B86D03D" w14:textId="77777777" w:rsidR="008C66DB" w:rsidRPr="00307E20" w:rsidRDefault="008C66DB" w:rsidP="008C66DB">
      <w:pPr>
        <w:rPr>
          <w:rFonts w:ascii="Calibri" w:hAnsi="Calibri" w:cs="Calibri"/>
          <w:b/>
          <w:sz w:val="18"/>
          <w:szCs w:val="18"/>
        </w:rPr>
      </w:pPr>
    </w:p>
    <w:p w14:paraId="1DEF86E2" w14:textId="77777777" w:rsidR="008C66DB" w:rsidRPr="00307E20" w:rsidRDefault="008C66DB" w:rsidP="00357D2A">
      <w:pPr>
        <w:jc w:val="center"/>
        <w:rPr>
          <w:rFonts w:ascii="Calibri" w:hAnsi="Calibri" w:cs="Calibri"/>
          <w:b/>
          <w:sz w:val="18"/>
          <w:szCs w:val="18"/>
        </w:rPr>
      </w:pPr>
    </w:p>
    <w:p w14:paraId="091653F6" w14:textId="77777777" w:rsidR="008C66DB" w:rsidRPr="00307E20" w:rsidRDefault="008C66DB" w:rsidP="00357D2A">
      <w:pPr>
        <w:jc w:val="center"/>
        <w:rPr>
          <w:rFonts w:ascii="Calibri" w:hAnsi="Calibri" w:cs="Calibri"/>
          <w:b/>
          <w:sz w:val="18"/>
          <w:szCs w:val="18"/>
        </w:rPr>
      </w:pPr>
    </w:p>
    <w:p w14:paraId="389FBF43" w14:textId="77777777" w:rsidR="008C66DB" w:rsidRPr="00307E20" w:rsidRDefault="008C66DB" w:rsidP="00357D2A">
      <w:pPr>
        <w:jc w:val="center"/>
        <w:rPr>
          <w:rFonts w:ascii="Calibri" w:hAnsi="Calibri" w:cs="Calibri"/>
          <w:b/>
          <w:sz w:val="18"/>
          <w:szCs w:val="18"/>
        </w:rPr>
      </w:pPr>
    </w:p>
    <w:p w14:paraId="63793E56" w14:textId="77777777" w:rsidR="008C66DB" w:rsidRPr="00307E20" w:rsidRDefault="008C66DB" w:rsidP="00357D2A">
      <w:pPr>
        <w:jc w:val="center"/>
        <w:rPr>
          <w:rFonts w:ascii="Calibri" w:hAnsi="Calibri" w:cs="Calibri"/>
          <w:b/>
          <w:sz w:val="18"/>
          <w:szCs w:val="18"/>
        </w:rPr>
      </w:pPr>
    </w:p>
    <w:p w14:paraId="3D5950A5" w14:textId="77777777" w:rsidR="008C66DB" w:rsidRPr="00307E20" w:rsidRDefault="008C66DB" w:rsidP="00357D2A">
      <w:pPr>
        <w:jc w:val="center"/>
        <w:rPr>
          <w:rFonts w:ascii="Calibri" w:hAnsi="Calibri" w:cs="Calibri"/>
          <w:b/>
          <w:sz w:val="18"/>
          <w:szCs w:val="18"/>
        </w:rPr>
      </w:pPr>
    </w:p>
    <w:p w14:paraId="267796E5" w14:textId="77777777" w:rsidR="008C66DB" w:rsidRPr="00307E20" w:rsidRDefault="008C66DB" w:rsidP="00357D2A">
      <w:pPr>
        <w:jc w:val="center"/>
        <w:rPr>
          <w:rFonts w:ascii="Calibri" w:hAnsi="Calibri" w:cs="Calibri"/>
          <w:b/>
          <w:sz w:val="18"/>
          <w:szCs w:val="18"/>
        </w:rPr>
      </w:pPr>
    </w:p>
    <w:p w14:paraId="54E49792" w14:textId="77777777" w:rsidR="008C66DB" w:rsidRPr="00A23FB4" w:rsidRDefault="008C66DB" w:rsidP="00357D2A">
      <w:pPr>
        <w:jc w:val="center"/>
        <w:rPr>
          <w:rFonts w:ascii="Calibri" w:hAnsi="Calibri" w:cs="Calibri"/>
          <w:b/>
          <w:sz w:val="22"/>
          <w:szCs w:val="22"/>
        </w:rPr>
      </w:pPr>
    </w:p>
    <w:p w14:paraId="6097A7B6" w14:textId="77777777" w:rsidR="008C66DB" w:rsidRPr="00A23FB4" w:rsidRDefault="008C66DB" w:rsidP="00357D2A">
      <w:pPr>
        <w:jc w:val="center"/>
        <w:rPr>
          <w:rFonts w:ascii="Calibri" w:hAnsi="Calibri" w:cs="Calibri"/>
          <w:b/>
          <w:sz w:val="22"/>
          <w:szCs w:val="22"/>
        </w:rPr>
      </w:pPr>
    </w:p>
    <w:p w14:paraId="3509CBA2" w14:textId="77777777" w:rsidR="008C66DB" w:rsidRPr="00A23FB4" w:rsidRDefault="008C66DB" w:rsidP="00357D2A">
      <w:pPr>
        <w:jc w:val="center"/>
        <w:rPr>
          <w:rFonts w:ascii="Calibri" w:hAnsi="Calibri" w:cs="Calibri"/>
          <w:b/>
          <w:sz w:val="22"/>
          <w:szCs w:val="22"/>
        </w:rPr>
      </w:pPr>
    </w:p>
    <w:p w14:paraId="53D5C983" w14:textId="77777777" w:rsidR="008C66DB" w:rsidRPr="00A23FB4" w:rsidRDefault="008C66DB" w:rsidP="00357D2A">
      <w:pPr>
        <w:jc w:val="center"/>
        <w:rPr>
          <w:rFonts w:ascii="Calibri" w:hAnsi="Calibri" w:cs="Calibri"/>
          <w:b/>
          <w:sz w:val="22"/>
          <w:szCs w:val="22"/>
        </w:rPr>
      </w:pPr>
    </w:p>
    <w:p w14:paraId="4BA08141" w14:textId="77777777" w:rsidR="008C66DB" w:rsidRPr="00A23FB4" w:rsidRDefault="008C66DB" w:rsidP="00357D2A">
      <w:pPr>
        <w:jc w:val="center"/>
        <w:rPr>
          <w:rFonts w:ascii="Calibri" w:hAnsi="Calibri" w:cs="Calibri"/>
          <w:b/>
          <w:sz w:val="22"/>
          <w:szCs w:val="22"/>
        </w:rPr>
      </w:pPr>
    </w:p>
    <w:p w14:paraId="678B6C35" w14:textId="77777777" w:rsidR="00C17D59" w:rsidRPr="00A23FB4" w:rsidRDefault="00C17D59">
      <w:pPr>
        <w:overflowPunct/>
        <w:autoSpaceDE/>
        <w:autoSpaceDN/>
        <w:adjustRightInd/>
        <w:jc w:val="left"/>
        <w:textAlignment w:val="auto"/>
        <w:rPr>
          <w:rFonts w:ascii="Calibri" w:hAnsi="Calibri" w:cs="Calibri"/>
          <w:b/>
          <w:sz w:val="22"/>
          <w:szCs w:val="22"/>
        </w:rPr>
      </w:pPr>
      <w:r w:rsidRPr="00A23FB4">
        <w:rPr>
          <w:rFonts w:ascii="Calibri" w:hAnsi="Calibri" w:cs="Calibri"/>
          <w:b/>
          <w:sz w:val="22"/>
          <w:szCs w:val="22"/>
        </w:rPr>
        <w:br w:type="page"/>
      </w:r>
    </w:p>
    <w:p w14:paraId="6AC32609" w14:textId="2EE830F5" w:rsidR="00C05FB6" w:rsidRPr="00A23FB4" w:rsidRDefault="00C05FB6">
      <w:pPr>
        <w:overflowPunct/>
        <w:autoSpaceDE/>
        <w:autoSpaceDN/>
        <w:adjustRightInd/>
        <w:jc w:val="left"/>
        <w:textAlignment w:val="auto"/>
        <w:rPr>
          <w:rFonts w:ascii="Calibri" w:hAnsi="Calibri" w:cs="Calibri"/>
          <w:b/>
          <w:sz w:val="22"/>
          <w:szCs w:val="22"/>
        </w:rPr>
      </w:pPr>
    </w:p>
    <w:p w14:paraId="5B971FFA" w14:textId="7E3E416D" w:rsidR="008C66DB" w:rsidRPr="00A23FB4" w:rsidRDefault="00E13859" w:rsidP="0022369F">
      <w:pPr>
        <w:spacing w:line="360" w:lineRule="auto"/>
        <w:jc w:val="center"/>
        <w:rPr>
          <w:rFonts w:ascii="Calibri" w:hAnsi="Calibri" w:cs="Calibri"/>
          <w:b/>
          <w:sz w:val="22"/>
          <w:szCs w:val="22"/>
        </w:rPr>
      </w:pPr>
      <w:r>
        <w:rPr>
          <w:rFonts w:ascii="Calibri" w:hAnsi="Calibri" w:cs="Calibri"/>
          <w:b/>
          <w:sz w:val="22"/>
          <w:szCs w:val="22"/>
        </w:rPr>
        <w:t>SZCZEGÓŁOWE SPECYFIKACJE TECHNICZNE</w:t>
      </w:r>
      <w:r w:rsidRPr="00E30D66">
        <w:rPr>
          <w:rFonts w:ascii="Calibri" w:hAnsi="Calibri" w:cs="Calibri"/>
          <w:b/>
          <w:sz w:val="22"/>
          <w:szCs w:val="22"/>
        </w:rPr>
        <w:t xml:space="preserve"> </w:t>
      </w:r>
      <w:r w:rsidR="008C66DB" w:rsidRPr="00A23FB4">
        <w:rPr>
          <w:rFonts w:ascii="Calibri" w:hAnsi="Calibri" w:cs="Calibri"/>
          <w:b/>
          <w:sz w:val="22"/>
          <w:szCs w:val="22"/>
        </w:rPr>
        <w:t>WYKONANIA I ODBIORU ROBÓT BUDOWLANYCH</w:t>
      </w:r>
    </w:p>
    <w:p w14:paraId="4FB2AB90" w14:textId="77777777" w:rsidR="008C66DB" w:rsidRPr="00A23FB4" w:rsidRDefault="008C66DB" w:rsidP="0022369F">
      <w:pPr>
        <w:pStyle w:val="Nagowek1"/>
        <w:spacing w:before="0"/>
      </w:pPr>
      <w:bookmarkStart w:id="778" w:name="_Toc285044248"/>
      <w:bookmarkStart w:id="779" w:name="_Toc296923116"/>
      <w:bookmarkStart w:id="780" w:name="_Toc333441682"/>
      <w:bookmarkStart w:id="781" w:name="_Toc333657259"/>
      <w:bookmarkStart w:id="782" w:name="_Toc334095444"/>
      <w:bookmarkStart w:id="783" w:name="_Toc352837497"/>
      <w:bookmarkStart w:id="784" w:name="_Toc460177617"/>
      <w:bookmarkStart w:id="785" w:name="_Toc206275493"/>
      <w:r w:rsidRPr="00A23FB4">
        <w:t>D-07.02.01 OZNAKOWANIE PIONOWE</w:t>
      </w:r>
      <w:bookmarkEnd w:id="778"/>
      <w:bookmarkEnd w:id="779"/>
      <w:bookmarkEnd w:id="780"/>
      <w:bookmarkEnd w:id="781"/>
      <w:bookmarkEnd w:id="782"/>
      <w:bookmarkEnd w:id="783"/>
      <w:bookmarkEnd w:id="784"/>
      <w:bookmarkEnd w:id="785"/>
    </w:p>
    <w:p w14:paraId="146C82D0" w14:textId="77777777" w:rsidR="008C66DB" w:rsidRPr="00A23FB4" w:rsidRDefault="008C66DB" w:rsidP="008C66DB">
      <w:pPr>
        <w:rPr>
          <w:rFonts w:ascii="Calibri" w:hAnsi="Calibri" w:cs="Calibri"/>
          <w:b/>
        </w:rPr>
      </w:pPr>
      <w:bookmarkStart w:id="786" w:name="_Toc425833580"/>
    </w:p>
    <w:p w14:paraId="21E334B0" w14:textId="77777777" w:rsidR="008C66DB" w:rsidRPr="00A23FB4" w:rsidRDefault="008C66DB" w:rsidP="008C66DB">
      <w:pPr>
        <w:rPr>
          <w:rFonts w:ascii="Calibri" w:hAnsi="Calibri" w:cs="Calibri"/>
          <w:b/>
        </w:rPr>
      </w:pPr>
      <w:r w:rsidRPr="00A23FB4">
        <w:rPr>
          <w:rFonts w:ascii="Calibri" w:hAnsi="Calibri" w:cs="Calibri"/>
          <w:b/>
        </w:rPr>
        <w:t>1. WSTĘP</w:t>
      </w:r>
      <w:bookmarkEnd w:id="786"/>
    </w:p>
    <w:p w14:paraId="24691696" w14:textId="25508896" w:rsidR="008C66DB" w:rsidRPr="00A23FB4" w:rsidRDefault="008C66DB" w:rsidP="008C66DB">
      <w:pPr>
        <w:pStyle w:val="Nagwek4"/>
        <w:tabs>
          <w:tab w:val="left" w:pos="9914"/>
        </w:tabs>
        <w:rPr>
          <w:rFonts w:ascii="Calibri" w:hAnsi="Calibri" w:cs="Calibri"/>
        </w:rPr>
      </w:pPr>
      <w:r w:rsidRPr="00A23FB4">
        <w:rPr>
          <w:rFonts w:ascii="Calibri" w:hAnsi="Calibri" w:cs="Calibri"/>
        </w:rPr>
        <w:t xml:space="preserve">1.1. Przedmiot </w:t>
      </w:r>
      <w:r w:rsidR="00E0090D">
        <w:rPr>
          <w:rFonts w:ascii="Calibri" w:hAnsi="Calibri" w:cs="Calibri"/>
        </w:rPr>
        <w:t>ST</w:t>
      </w:r>
      <w:r w:rsidRPr="00A23FB4">
        <w:rPr>
          <w:rFonts w:ascii="Calibri" w:hAnsi="Calibri" w:cs="Calibri"/>
        </w:rPr>
        <w:t>WiORB</w:t>
      </w:r>
    </w:p>
    <w:p w14:paraId="6E943961" w14:textId="33E97179" w:rsidR="008C66DB" w:rsidRPr="00A23FB4" w:rsidRDefault="008C66DB" w:rsidP="008C66DB">
      <w:pPr>
        <w:pStyle w:val="Standardowytekst"/>
        <w:tabs>
          <w:tab w:val="left" w:pos="9914"/>
        </w:tabs>
        <w:rPr>
          <w:rFonts w:ascii="Calibri" w:hAnsi="Calibri" w:cs="Calibri"/>
        </w:rPr>
      </w:pPr>
      <w:r w:rsidRPr="00A23FB4">
        <w:rPr>
          <w:rFonts w:ascii="Calibri" w:hAnsi="Calibri" w:cs="Calibri"/>
        </w:rPr>
        <w:t>Przedmiotem niniejsz</w:t>
      </w:r>
      <w:r w:rsidR="007E56C9">
        <w:rPr>
          <w:rFonts w:ascii="Calibri" w:hAnsi="Calibri" w:cs="Calibri"/>
        </w:rPr>
        <w:t>ej</w:t>
      </w:r>
      <w:r w:rsidRPr="00A23FB4">
        <w:rPr>
          <w:rFonts w:ascii="Calibri" w:hAnsi="Calibri" w:cs="Calibri"/>
        </w:rPr>
        <w:t xml:space="preserve"> </w:t>
      </w:r>
      <w:r w:rsidR="00E13859">
        <w:rPr>
          <w:rFonts w:ascii="Calibri" w:hAnsi="Calibri" w:cs="Calibri"/>
        </w:rPr>
        <w:t>specyfikacji</w:t>
      </w:r>
      <w:r w:rsidRPr="00A23FB4">
        <w:rPr>
          <w:rFonts w:ascii="Calibri" w:hAnsi="Calibri" w:cs="Calibri"/>
        </w:rPr>
        <w:t xml:space="preserve">  są wymagania dotyczące wykonania i odbioru oznakowania pionowego.</w:t>
      </w:r>
    </w:p>
    <w:p w14:paraId="476A239E" w14:textId="48B44AF2" w:rsidR="008C66DB" w:rsidRPr="00A23FB4" w:rsidRDefault="008C66DB" w:rsidP="008C66DB">
      <w:pPr>
        <w:pStyle w:val="Nagwek4"/>
        <w:tabs>
          <w:tab w:val="left" w:pos="9914"/>
        </w:tabs>
        <w:rPr>
          <w:rFonts w:ascii="Calibri" w:hAnsi="Calibri" w:cs="Calibri"/>
        </w:rPr>
      </w:pPr>
      <w:r w:rsidRPr="00A23FB4">
        <w:rPr>
          <w:rFonts w:ascii="Calibri" w:hAnsi="Calibri" w:cs="Calibri"/>
        </w:rPr>
        <w:t xml:space="preserve">1.2. Zakres stosowania </w:t>
      </w:r>
      <w:r w:rsidR="00E0090D">
        <w:rPr>
          <w:rFonts w:ascii="Calibri" w:hAnsi="Calibri" w:cs="Calibri"/>
        </w:rPr>
        <w:t>ST</w:t>
      </w:r>
      <w:r w:rsidRPr="00A23FB4">
        <w:rPr>
          <w:rFonts w:ascii="Calibri" w:hAnsi="Calibri" w:cs="Calibri"/>
        </w:rPr>
        <w:t>WiORB</w:t>
      </w:r>
    </w:p>
    <w:p w14:paraId="4DE53518" w14:textId="0B694FB3" w:rsidR="008C66DB" w:rsidRPr="00A23FB4" w:rsidRDefault="00E13859" w:rsidP="008C66DB">
      <w:pPr>
        <w:rPr>
          <w:rFonts w:ascii="Calibri" w:hAnsi="Calibri" w:cs="Calibri"/>
        </w:rPr>
      </w:pPr>
      <w:r>
        <w:rPr>
          <w:rFonts w:ascii="Calibri" w:hAnsi="Calibri" w:cs="Calibri"/>
        </w:rPr>
        <w:t>Specyfikacj</w:t>
      </w:r>
      <w:r w:rsidR="007E56C9">
        <w:rPr>
          <w:rFonts w:ascii="Calibri" w:hAnsi="Calibri" w:cs="Calibri"/>
        </w:rPr>
        <w:t>a</w:t>
      </w:r>
      <w:r w:rsidR="008C66DB" w:rsidRPr="00A23FB4">
        <w:rPr>
          <w:rFonts w:ascii="Calibri" w:hAnsi="Calibri" w:cs="Calibri"/>
        </w:rPr>
        <w:t xml:space="preserve"> stanowi dokument kontraktowy przy realizacji  zadania</w:t>
      </w:r>
      <w:r w:rsidR="004D5430" w:rsidRPr="00A23FB4">
        <w:rPr>
          <w:rFonts w:asciiTheme="minorHAnsi" w:hAnsiTheme="minorHAnsi" w:cstheme="minorHAnsi"/>
          <w:bCs/>
        </w:rPr>
        <w:t xml:space="preserve"> </w:t>
      </w:r>
      <w:r w:rsidR="00506838">
        <w:rPr>
          <w:rFonts w:asciiTheme="minorHAnsi" w:hAnsiTheme="minorHAnsi" w:cstheme="minorHAnsi"/>
          <w:bCs/>
        </w:rPr>
        <w:t>„</w:t>
      </w:r>
      <w:r w:rsidR="00E0090D" w:rsidRPr="00E0090D">
        <w:rPr>
          <w:rFonts w:asciiTheme="minorHAnsi" w:hAnsiTheme="minorHAnsi" w:cstheme="minorHAnsi"/>
          <w:bCs/>
        </w:rPr>
        <w:t>Rozbudowa ul. Wrocławskiej w ciągu drogi powiatowej w Tyńcu Małym wraz z rozbudową istniejącego skrzyżowania typu rondo na połączeniu dróg krajowych nr 35 i 35a oraz łącznika węzła Kobierzyce drogi S8e oraz infrastrukturą towarzyszącą w ramach zadania „Rozbudowa skrzyżowania typu rondo w ciągu DK35 koło m. Tyniec Mały usprawniająca skomunikowanie obszarów Podstrefy Wrocław – Kobierzyce TSSE EURO PARK WISŁOSAN”</w:t>
      </w:r>
      <w:r w:rsidR="004D5430" w:rsidRPr="00A23FB4">
        <w:rPr>
          <w:rFonts w:asciiTheme="minorHAnsi" w:hAnsiTheme="minorHAnsi" w:cstheme="minorHAnsi"/>
          <w:bCs/>
        </w:rPr>
        <w:t>.</w:t>
      </w:r>
    </w:p>
    <w:p w14:paraId="6D32CB9B" w14:textId="43B4AB13" w:rsidR="008C66DB" w:rsidRPr="00A23FB4" w:rsidRDefault="008C66DB" w:rsidP="008C66DB">
      <w:pPr>
        <w:pStyle w:val="Nagwek4"/>
        <w:tabs>
          <w:tab w:val="center" w:pos="4749"/>
        </w:tabs>
        <w:rPr>
          <w:rFonts w:ascii="Calibri" w:hAnsi="Calibri" w:cs="Calibri"/>
        </w:rPr>
      </w:pPr>
      <w:r w:rsidRPr="00A23FB4">
        <w:rPr>
          <w:rFonts w:ascii="Calibri" w:hAnsi="Calibri" w:cs="Calibri"/>
        </w:rPr>
        <w:t xml:space="preserve">1.3. Zakres robót objętych </w:t>
      </w:r>
      <w:r w:rsidR="00E0090D">
        <w:rPr>
          <w:rFonts w:ascii="Calibri" w:hAnsi="Calibri" w:cs="Calibri"/>
        </w:rPr>
        <w:t>ST</w:t>
      </w:r>
      <w:r w:rsidRPr="00A23FB4">
        <w:rPr>
          <w:rFonts w:ascii="Calibri" w:hAnsi="Calibri" w:cs="Calibri"/>
        </w:rPr>
        <w:t>WiORB</w:t>
      </w:r>
      <w:r w:rsidRPr="00A23FB4">
        <w:rPr>
          <w:rFonts w:ascii="Calibri" w:hAnsi="Calibri" w:cs="Calibri"/>
        </w:rPr>
        <w:tab/>
      </w:r>
    </w:p>
    <w:p w14:paraId="50B9FD1B" w14:textId="5AF7E5CC" w:rsidR="008C66DB" w:rsidRPr="00A23FB4" w:rsidRDefault="008C66DB" w:rsidP="008C66DB">
      <w:pPr>
        <w:tabs>
          <w:tab w:val="left" w:pos="9914"/>
        </w:tabs>
        <w:rPr>
          <w:rFonts w:ascii="Calibri" w:hAnsi="Calibri" w:cs="Calibri"/>
        </w:rPr>
      </w:pPr>
      <w:r w:rsidRPr="00A23FB4">
        <w:rPr>
          <w:rFonts w:ascii="Calibri" w:hAnsi="Calibri" w:cs="Calibri"/>
        </w:rPr>
        <w:t xml:space="preserve">Ustalenia zawarte w niniejszych </w:t>
      </w:r>
      <w:r w:rsidR="00E13859">
        <w:rPr>
          <w:rFonts w:ascii="Calibri" w:hAnsi="Calibri" w:cs="Calibri"/>
        </w:rPr>
        <w:t>specyfikacji</w:t>
      </w:r>
      <w:r w:rsidRPr="00A23FB4">
        <w:rPr>
          <w:rFonts w:ascii="Calibri" w:hAnsi="Calibri" w:cs="Calibri"/>
        </w:rPr>
        <w:t xml:space="preserve"> dotyczą zasad prowadzenia robót związanych z wykonywaniem i odbiorem oznakowania pionowego stosowanego na drogach, w postaci:</w:t>
      </w:r>
    </w:p>
    <w:p w14:paraId="0A2FE222" w14:textId="77777777" w:rsidR="008C66DB" w:rsidRPr="00A23FB4" w:rsidRDefault="008C66DB" w:rsidP="008C66DB">
      <w:pPr>
        <w:numPr>
          <w:ilvl w:val="0"/>
          <w:numId w:val="1"/>
        </w:numPr>
        <w:tabs>
          <w:tab w:val="left" w:pos="9914"/>
        </w:tabs>
        <w:rPr>
          <w:rFonts w:ascii="Calibri" w:hAnsi="Calibri" w:cs="Calibri"/>
        </w:rPr>
      </w:pPr>
      <w:r w:rsidRPr="00A23FB4">
        <w:rPr>
          <w:rFonts w:ascii="Calibri" w:hAnsi="Calibri" w:cs="Calibri"/>
        </w:rPr>
        <w:t>znaków ostrzegawczych,</w:t>
      </w:r>
    </w:p>
    <w:p w14:paraId="6A02E659" w14:textId="77777777" w:rsidR="008C66DB" w:rsidRPr="00A23FB4" w:rsidRDefault="008C66DB" w:rsidP="008C66DB">
      <w:pPr>
        <w:numPr>
          <w:ilvl w:val="0"/>
          <w:numId w:val="1"/>
        </w:numPr>
        <w:tabs>
          <w:tab w:val="left" w:pos="9914"/>
        </w:tabs>
        <w:rPr>
          <w:rFonts w:ascii="Calibri" w:hAnsi="Calibri" w:cs="Calibri"/>
        </w:rPr>
      </w:pPr>
      <w:r w:rsidRPr="00A23FB4">
        <w:rPr>
          <w:rFonts w:ascii="Calibri" w:hAnsi="Calibri" w:cs="Calibri"/>
        </w:rPr>
        <w:t>znaków zakazu i nakazu,</w:t>
      </w:r>
    </w:p>
    <w:p w14:paraId="0C4BE6C9" w14:textId="77777777" w:rsidR="008C66DB" w:rsidRPr="00A23FB4" w:rsidRDefault="008C66DB" w:rsidP="008C66DB">
      <w:pPr>
        <w:numPr>
          <w:ilvl w:val="0"/>
          <w:numId w:val="1"/>
        </w:numPr>
        <w:tabs>
          <w:tab w:val="left" w:pos="9914"/>
        </w:tabs>
        <w:rPr>
          <w:rFonts w:ascii="Calibri" w:hAnsi="Calibri" w:cs="Calibri"/>
        </w:rPr>
      </w:pPr>
      <w:r w:rsidRPr="00A23FB4">
        <w:rPr>
          <w:rFonts w:ascii="Calibri" w:hAnsi="Calibri" w:cs="Calibri"/>
        </w:rPr>
        <w:t>znaków informacyjnych, kierunku, miejscowości i znaków uzupełniających.</w:t>
      </w:r>
    </w:p>
    <w:p w14:paraId="56E1698F" w14:textId="77777777" w:rsidR="008C66DB" w:rsidRPr="00A23FB4" w:rsidRDefault="008C66DB" w:rsidP="008C66DB">
      <w:pPr>
        <w:pStyle w:val="Nagwek4"/>
        <w:tabs>
          <w:tab w:val="left" w:pos="9914"/>
        </w:tabs>
        <w:rPr>
          <w:rFonts w:ascii="Calibri" w:hAnsi="Calibri" w:cs="Calibri"/>
        </w:rPr>
      </w:pPr>
      <w:r w:rsidRPr="00A23FB4">
        <w:rPr>
          <w:rFonts w:ascii="Calibri" w:hAnsi="Calibri" w:cs="Calibri"/>
        </w:rPr>
        <w:t>1.4. Określenia podstawowe</w:t>
      </w:r>
    </w:p>
    <w:p w14:paraId="209B8A2A" w14:textId="77777777" w:rsidR="008C66DB" w:rsidRPr="00A23FB4" w:rsidRDefault="008C66DB" w:rsidP="008C66DB">
      <w:pPr>
        <w:numPr>
          <w:ilvl w:val="12"/>
          <w:numId w:val="0"/>
        </w:numPr>
        <w:tabs>
          <w:tab w:val="left" w:pos="9914"/>
        </w:tabs>
        <w:rPr>
          <w:rFonts w:ascii="Calibri" w:hAnsi="Calibri" w:cs="Calibri"/>
        </w:rPr>
      </w:pPr>
      <w:r w:rsidRPr="00A23FB4">
        <w:rPr>
          <w:rFonts w:ascii="Calibri" w:hAnsi="Calibri" w:cs="Calibri"/>
          <w:b/>
          <w:bCs/>
          <w:i/>
          <w:iCs/>
        </w:rPr>
        <w:t>1.4.1.</w:t>
      </w:r>
      <w:r w:rsidRPr="00A23FB4">
        <w:rPr>
          <w:rFonts w:ascii="Calibri" w:hAnsi="Calibri" w:cs="Calibri"/>
        </w:rPr>
        <w:t>Znak pionowy - znak wykonany w postaci tarczy lub tablicy z napisami albo symbolami, zwykle umieszczony na konstrukcji wsporczej.</w:t>
      </w:r>
    </w:p>
    <w:p w14:paraId="0A10205D" w14:textId="77777777" w:rsidR="008C66DB" w:rsidRPr="00A23FB4" w:rsidRDefault="008C66DB" w:rsidP="008C66DB">
      <w:pPr>
        <w:numPr>
          <w:ilvl w:val="12"/>
          <w:numId w:val="0"/>
        </w:numPr>
        <w:tabs>
          <w:tab w:val="left" w:pos="9914"/>
        </w:tabs>
        <w:rPr>
          <w:rFonts w:ascii="Calibri" w:hAnsi="Calibri" w:cs="Calibri"/>
        </w:rPr>
      </w:pPr>
      <w:r w:rsidRPr="00A23FB4">
        <w:rPr>
          <w:rFonts w:ascii="Calibri" w:hAnsi="Calibri" w:cs="Calibri"/>
          <w:b/>
          <w:bCs/>
          <w:i/>
          <w:iCs/>
        </w:rPr>
        <w:t>1.4.2.</w:t>
      </w:r>
      <w:r w:rsidRPr="00A23FB4">
        <w:rPr>
          <w:rFonts w:ascii="Calibri" w:hAnsi="Calibri" w:cs="Calibri"/>
        </w:rPr>
        <w:t>Tarcza znaku - element konstrukcyjny, na powierzchni którego umieszczana jest treść znaku. Tarcza może być wykonana z różnych materiałów (stal, aluminium, tworzywa syntetyczne itp.) - jako jednolita lub składana.</w:t>
      </w:r>
    </w:p>
    <w:p w14:paraId="27B63E9E" w14:textId="77777777" w:rsidR="008C66DB" w:rsidRPr="00A23FB4" w:rsidRDefault="008C66DB" w:rsidP="008C66DB">
      <w:pPr>
        <w:numPr>
          <w:ilvl w:val="12"/>
          <w:numId w:val="0"/>
        </w:numPr>
        <w:tabs>
          <w:tab w:val="left" w:pos="9914"/>
        </w:tabs>
        <w:rPr>
          <w:rFonts w:ascii="Calibri" w:hAnsi="Calibri" w:cs="Calibri"/>
        </w:rPr>
      </w:pPr>
      <w:r w:rsidRPr="00A23FB4">
        <w:rPr>
          <w:rFonts w:ascii="Calibri" w:hAnsi="Calibri" w:cs="Calibri"/>
          <w:b/>
          <w:bCs/>
          <w:i/>
          <w:iCs/>
        </w:rPr>
        <w:t>1.4.3.</w:t>
      </w:r>
      <w:r w:rsidRPr="00A23FB4">
        <w:rPr>
          <w:rFonts w:ascii="Calibri" w:hAnsi="Calibri" w:cs="Calibri"/>
        </w:rPr>
        <w:t>Lico znaku - przednia część znaku, służąca do podania treści znaku. Lico znaku może być wykonane jako malowane lub oklejane (folią odblaskową lub nieodblaskową). W przypadkach szczególnych (znak z przejrzystych tworzyw syntetycznych) lico znaku może być zatopione w tarczy znaku.</w:t>
      </w:r>
    </w:p>
    <w:p w14:paraId="158CFB08" w14:textId="77777777" w:rsidR="008C66DB" w:rsidRPr="00A23FB4" w:rsidRDefault="008C66DB" w:rsidP="008C66DB">
      <w:pPr>
        <w:numPr>
          <w:ilvl w:val="12"/>
          <w:numId w:val="0"/>
        </w:numPr>
        <w:tabs>
          <w:tab w:val="left" w:pos="9914"/>
        </w:tabs>
        <w:rPr>
          <w:rFonts w:ascii="Calibri" w:hAnsi="Calibri" w:cs="Calibri"/>
        </w:rPr>
      </w:pPr>
      <w:r w:rsidRPr="00A23FB4">
        <w:rPr>
          <w:rFonts w:ascii="Calibri" w:hAnsi="Calibri" w:cs="Calibri"/>
          <w:b/>
          <w:bCs/>
          <w:i/>
          <w:iCs/>
        </w:rPr>
        <w:t>1.4.4.</w:t>
      </w:r>
      <w:r w:rsidRPr="00A23FB4">
        <w:rPr>
          <w:rFonts w:ascii="Calibri" w:hAnsi="Calibri" w:cs="Calibri"/>
        </w:rPr>
        <w:t>Znak drogowy odblaskowy - znak, którego lico wykazuje właściwości odblaskowe (wykonane jest z materiału o odbiciu powrotnym - współdrożnym).</w:t>
      </w:r>
    </w:p>
    <w:p w14:paraId="5C872E42" w14:textId="77777777" w:rsidR="008C66DB" w:rsidRPr="00A23FB4" w:rsidRDefault="008C66DB" w:rsidP="008C66DB">
      <w:pPr>
        <w:numPr>
          <w:ilvl w:val="12"/>
          <w:numId w:val="0"/>
        </w:numPr>
        <w:tabs>
          <w:tab w:val="left" w:pos="9914"/>
        </w:tabs>
        <w:rPr>
          <w:rFonts w:ascii="Calibri" w:hAnsi="Calibri" w:cs="Calibri"/>
        </w:rPr>
      </w:pPr>
      <w:r w:rsidRPr="00A23FB4">
        <w:rPr>
          <w:rFonts w:ascii="Calibri" w:hAnsi="Calibri" w:cs="Calibri"/>
          <w:b/>
          <w:bCs/>
          <w:i/>
          <w:iCs/>
        </w:rPr>
        <w:t>1.4.5.</w:t>
      </w:r>
      <w:r w:rsidRPr="00A23FB4">
        <w:rPr>
          <w:rFonts w:ascii="Calibri" w:hAnsi="Calibri" w:cs="Calibri"/>
        </w:rPr>
        <w:t>Konstrukcja wsporcza znaku - słup (słupy), wysięgnik, wspornik itp., na którym zamocowana jest tarcza znaku, wraz z elementami służącymi do przymocowania tarczy (śruby, zaciski itp.).</w:t>
      </w:r>
    </w:p>
    <w:p w14:paraId="49067756" w14:textId="77777777" w:rsidR="008C66DB" w:rsidRPr="00A23FB4" w:rsidRDefault="008C66DB" w:rsidP="008C66DB">
      <w:pPr>
        <w:numPr>
          <w:ilvl w:val="12"/>
          <w:numId w:val="0"/>
        </w:numPr>
        <w:tabs>
          <w:tab w:val="left" w:pos="9914"/>
        </w:tabs>
        <w:rPr>
          <w:rFonts w:ascii="Calibri" w:hAnsi="Calibri" w:cs="Calibri"/>
        </w:rPr>
      </w:pPr>
      <w:r w:rsidRPr="00A23FB4">
        <w:rPr>
          <w:rFonts w:ascii="Calibri" w:hAnsi="Calibri" w:cs="Calibri"/>
          <w:b/>
          <w:bCs/>
          <w:i/>
          <w:iCs/>
        </w:rPr>
        <w:t>1.4.6.</w:t>
      </w:r>
      <w:r w:rsidRPr="00A23FB4">
        <w:rPr>
          <w:rFonts w:ascii="Calibri" w:hAnsi="Calibri" w:cs="Calibri"/>
        </w:rPr>
        <w:t>Znak nowy - znak użytkowany (ustawiony na drodze) lub magazynowany w okresie do 3 miesięcy od daty produkcji.</w:t>
      </w:r>
    </w:p>
    <w:p w14:paraId="181D0486" w14:textId="62F257DA" w:rsidR="008C66DB" w:rsidRPr="00A23FB4" w:rsidRDefault="008C66DB" w:rsidP="008C66DB">
      <w:pPr>
        <w:numPr>
          <w:ilvl w:val="12"/>
          <w:numId w:val="0"/>
        </w:numPr>
        <w:tabs>
          <w:tab w:val="left" w:pos="9914"/>
        </w:tabs>
        <w:rPr>
          <w:rFonts w:ascii="Calibri" w:hAnsi="Calibri" w:cs="Calibri"/>
        </w:rPr>
      </w:pPr>
      <w:r w:rsidRPr="00A23FB4">
        <w:rPr>
          <w:rFonts w:ascii="Calibri" w:hAnsi="Calibri" w:cs="Calibri"/>
          <w:b/>
          <w:bCs/>
          <w:i/>
          <w:iCs/>
        </w:rPr>
        <w:t>1.4.7.</w:t>
      </w:r>
      <w:r w:rsidRPr="00A23FB4">
        <w:rPr>
          <w:rFonts w:ascii="Calibri" w:hAnsi="Calibri" w:cs="Calibri"/>
        </w:rPr>
        <w:t xml:space="preserve">Pozostałe określenia podstawowe są zgodne z obowiązującymi, odpowiednimi polskimi normami i z definicjami podanymi w </w:t>
      </w:r>
      <w:r w:rsidR="00C62A07">
        <w:rPr>
          <w:rFonts w:ascii="Calibri" w:hAnsi="Calibri" w:cs="Calibri"/>
        </w:rPr>
        <w:t>ST</w:t>
      </w:r>
      <w:r w:rsidRPr="00A23FB4">
        <w:rPr>
          <w:rFonts w:ascii="Calibri" w:hAnsi="Calibri" w:cs="Calibri"/>
        </w:rPr>
        <w:t xml:space="preserve">WiORB D-M-00.00.00 „Wymagania ogólne” pkt 1.4. </w:t>
      </w:r>
    </w:p>
    <w:p w14:paraId="2C4339D6" w14:textId="77777777" w:rsidR="008C66DB" w:rsidRPr="00A23FB4" w:rsidRDefault="008C66DB" w:rsidP="008C66DB">
      <w:pPr>
        <w:pStyle w:val="Nagwek4"/>
        <w:tabs>
          <w:tab w:val="left" w:pos="9914"/>
        </w:tabs>
        <w:rPr>
          <w:rFonts w:ascii="Calibri" w:hAnsi="Calibri" w:cs="Calibri"/>
        </w:rPr>
      </w:pPr>
      <w:r w:rsidRPr="00A23FB4">
        <w:rPr>
          <w:rFonts w:ascii="Calibri" w:hAnsi="Calibri" w:cs="Calibri"/>
        </w:rPr>
        <w:t>1.5. Ogólne wymagania dotyczące robót</w:t>
      </w:r>
    </w:p>
    <w:p w14:paraId="2A0E8037" w14:textId="375975F1" w:rsidR="008C66DB" w:rsidRPr="00A23FB4" w:rsidRDefault="008C66DB" w:rsidP="008C66DB">
      <w:pPr>
        <w:numPr>
          <w:ilvl w:val="12"/>
          <w:numId w:val="0"/>
        </w:numPr>
        <w:tabs>
          <w:tab w:val="left" w:pos="9914"/>
        </w:tabs>
        <w:rPr>
          <w:rFonts w:ascii="Calibri" w:hAnsi="Calibri" w:cs="Calibri"/>
        </w:rPr>
      </w:pPr>
      <w:r w:rsidRPr="00A23FB4">
        <w:rPr>
          <w:rFonts w:ascii="Calibri" w:hAnsi="Calibri" w:cs="Calibri"/>
        </w:rPr>
        <w:t xml:space="preserve">Ogólne wymagania dotyczące robót podano w </w:t>
      </w:r>
      <w:r w:rsidR="00C62A07">
        <w:rPr>
          <w:rFonts w:ascii="Calibri" w:hAnsi="Calibri" w:cs="Calibri"/>
        </w:rPr>
        <w:t>ST</w:t>
      </w:r>
      <w:r w:rsidRPr="00A23FB4">
        <w:rPr>
          <w:rFonts w:ascii="Calibri" w:hAnsi="Calibri" w:cs="Calibri"/>
        </w:rPr>
        <w:t xml:space="preserve">WiORB D-M-00.00.00 „Wymagania ogólne” pkt 1.5. </w:t>
      </w:r>
    </w:p>
    <w:p w14:paraId="09597DAC" w14:textId="77777777" w:rsidR="008C66DB" w:rsidRPr="00A23FB4" w:rsidRDefault="008C66DB" w:rsidP="008C66DB">
      <w:pPr>
        <w:rPr>
          <w:rFonts w:ascii="Calibri" w:hAnsi="Calibri" w:cs="Calibri"/>
          <w:b/>
        </w:rPr>
      </w:pPr>
      <w:bookmarkStart w:id="787" w:name="_Toc425833581"/>
    </w:p>
    <w:p w14:paraId="4936F218" w14:textId="77777777" w:rsidR="008C66DB" w:rsidRPr="00A23FB4" w:rsidRDefault="008C66DB" w:rsidP="008C66DB">
      <w:pPr>
        <w:rPr>
          <w:rFonts w:ascii="Calibri" w:hAnsi="Calibri" w:cs="Calibri"/>
          <w:b/>
        </w:rPr>
      </w:pPr>
      <w:r w:rsidRPr="00A23FB4">
        <w:rPr>
          <w:rFonts w:ascii="Calibri" w:hAnsi="Calibri" w:cs="Calibri"/>
          <w:b/>
        </w:rPr>
        <w:t>2. MATERIAŁY</w:t>
      </w:r>
      <w:bookmarkEnd w:id="787"/>
    </w:p>
    <w:p w14:paraId="5BF26EEA" w14:textId="77777777" w:rsidR="008C66DB" w:rsidRPr="00A23FB4" w:rsidRDefault="008C66DB" w:rsidP="008C66DB">
      <w:pPr>
        <w:pStyle w:val="Nagwek4"/>
        <w:tabs>
          <w:tab w:val="left" w:pos="9914"/>
        </w:tabs>
        <w:rPr>
          <w:rFonts w:ascii="Calibri" w:hAnsi="Calibri" w:cs="Calibri"/>
        </w:rPr>
      </w:pPr>
      <w:r w:rsidRPr="00A23FB4">
        <w:rPr>
          <w:rFonts w:ascii="Calibri" w:hAnsi="Calibri" w:cs="Calibri"/>
        </w:rPr>
        <w:t>2.1. Ogólne wymagania dotyczące materiałów</w:t>
      </w:r>
    </w:p>
    <w:p w14:paraId="7E95EBEF" w14:textId="7A773B66" w:rsidR="008C66DB" w:rsidRPr="00A23FB4" w:rsidRDefault="008C66DB" w:rsidP="008C66DB">
      <w:pPr>
        <w:numPr>
          <w:ilvl w:val="12"/>
          <w:numId w:val="0"/>
        </w:numPr>
        <w:tabs>
          <w:tab w:val="left" w:pos="9914"/>
        </w:tabs>
        <w:rPr>
          <w:rFonts w:ascii="Calibri" w:hAnsi="Calibri" w:cs="Calibri"/>
        </w:rPr>
      </w:pPr>
      <w:r w:rsidRPr="00A23FB4">
        <w:rPr>
          <w:rFonts w:ascii="Calibri" w:hAnsi="Calibri" w:cs="Calibri"/>
        </w:rPr>
        <w:t xml:space="preserve">Ogólne wymagania dotyczące materiałów, ich pozyskiwania i składowania podano w </w:t>
      </w:r>
      <w:r w:rsidR="00C62A07">
        <w:rPr>
          <w:rFonts w:ascii="Calibri" w:hAnsi="Calibri" w:cs="Calibri"/>
        </w:rPr>
        <w:t>ST</w:t>
      </w:r>
      <w:r w:rsidRPr="00A23FB4">
        <w:rPr>
          <w:rFonts w:ascii="Calibri" w:hAnsi="Calibri" w:cs="Calibri"/>
        </w:rPr>
        <w:t>WiORB D-M-00.00.00 „Wymagania ogólne” pkt 2.</w:t>
      </w:r>
    </w:p>
    <w:p w14:paraId="5889235D" w14:textId="77777777" w:rsidR="008C66DB" w:rsidRPr="00A23FB4" w:rsidRDefault="008C66DB" w:rsidP="008C66DB">
      <w:pPr>
        <w:pStyle w:val="Nagwek4"/>
        <w:tabs>
          <w:tab w:val="left" w:pos="9914"/>
        </w:tabs>
        <w:rPr>
          <w:rFonts w:ascii="Calibri" w:hAnsi="Calibri" w:cs="Calibri"/>
        </w:rPr>
      </w:pPr>
      <w:r w:rsidRPr="00A23FB4">
        <w:rPr>
          <w:rFonts w:ascii="Calibri" w:hAnsi="Calibri" w:cs="Calibri"/>
        </w:rPr>
        <w:t>2.2. Aprobata techniczna dla materiałów</w:t>
      </w:r>
    </w:p>
    <w:p w14:paraId="201E8439" w14:textId="77777777" w:rsidR="008C66DB" w:rsidRPr="00A23FB4" w:rsidRDefault="008C66DB" w:rsidP="008C66DB">
      <w:pPr>
        <w:numPr>
          <w:ilvl w:val="12"/>
          <w:numId w:val="0"/>
        </w:numPr>
        <w:tabs>
          <w:tab w:val="left" w:pos="9914"/>
        </w:tabs>
        <w:rPr>
          <w:rFonts w:ascii="Calibri" w:hAnsi="Calibri" w:cs="Calibri"/>
        </w:rPr>
      </w:pPr>
      <w:r w:rsidRPr="00A23FB4">
        <w:rPr>
          <w:rFonts w:ascii="Calibri" w:hAnsi="Calibri" w:cs="Calibri"/>
        </w:rPr>
        <w:t>Każdy materiał do wykonania pionowego znaku drogowego, na który nie ma normy,  musi posiadać aprobatę techniczną wydaną przez uprawnioną jednostkę. Znaki drogowe powinny mieć certyfikat bezpieczeństwa (znak „B”) nadany przez uprawnioną jednostkę.</w:t>
      </w:r>
    </w:p>
    <w:p w14:paraId="4DC34597" w14:textId="77777777" w:rsidR="008C66DB" w:rsidRPr="00A23FB4" w:rsidRDefault="008C66DB" w:rsidP="008C66DB">
      <w:pPr>
        <w:pStyle w:val="Nagwek4"/>
        <w:tabs>
          <w:tab w:val="left" w:pos="9914"/>
        </w:tabs>
        <w:rPr>
          <w:rFonts w:ascii="Calibri" w:hAnsi="Calibri" w:cs="Calibri"/>
        </w:rPr>
      </w:pPr>
      <w:r w:rsidRPr="00A23FB4">
        <w:rPr>
          <w:rFonts w:ascii="Calibri" w:hAnsi="Calibri" w:cs="Calibri"/>
        </w:rPr>
        <w:t>2.3. Materiały stosowane do fundamentów znaków</w:t>
      </w:r>
    </w:p>
    <w:p w14:paraId="57518540" w14:textId="77777777" w:rsidR="008C66DB" w:rsidRPr="00A23FB4" w:rsidRDefault="008C66DB" w:rsidP="008C66DB">
      <w:pPr>
        <w:numPr>
          <w:ilvl w:val="12"/>
          <w:numId w:val="0"/>
        </w:numPr>
        <w:tabs>
          <w:tab w:val="left" w:pos="9914"/>
        </w:tabs>
        <w:rPr>
          <w:rFonts w:ascii="Calibri" w:hAnsi="Calibri" w:cs="Calibri"/>
        </w:rPr>
      </w:pPr>
      <w:r w:rsidRPr="00A23FB4">
        <w:rPr>
          <w:rFonts w:ascii="Calibri" w:hAnsi="Calibri" w:cs="Calibri"/>
        </w:rPr>
        <w:t>Fundamenty dla zamocowania konstrukcji wsporczych znaków mogą być wykonywane jako:</w:t>
      </w:r>
    </w:p>
    <w:p w14:paraId="6D71C875" w14:textId="77777777" w:rsidR="008C66DB" w:rsidRPr="00A23FB4" w:rsidRDefault="008C66DB" w:rsidP="008C66DB">
      <w:pPr>
        <w:numPr>
          <w:ilvl w:val="0"/>
          <w:numId w:val="1"/>
        </w:numPr>
        <w:tabs>
          <w:tab w:val="left" w:pos="9914"/>
        </w:tabs>
        <w:rPr>
          <w:rFonts w:ascii="Calibri" w:hAnsi="Calibri" w:cs="Calibri"/>
        </w:rPr>
      </w:pPr>
      <w:r w:rsidRPr="00A23FB4">
        <w:rPr>
          <w:rFonts w:ascii="Calibri" w:hAnsi="Calibri" w:cs="Calibri"/>
        </w:rPr>
        <w:t>prefabrykaty betonowe,</w:t>
      </w:r>
    </w:p>
    <w:p w14:paraId="41241309" w14:textId="77777777" w:rsidR="008C66DB" w:rsidRPr="00A23FB4" w:rsidRDefault="008C66DB" w:rsidP="008C66DB">
      <w:pPr>
        <w:numPr>
          <w:ilvl w:val="0"/>
          <w:numId w:val="1"/>
        </w:numPr>
        <w:tabs>
          <w:tab w:val="left" w:pos="9914"/>
        </w:tabs>
        <w:rPr>
          <w:rFonts w:ascii="Calibri" w:hAnsi="Calibri" w:cs="Calibri"/>
        </w:rPr>
      </w:pPr>
      <w:r w:rsidRPr="00A23FB4">
        <w:rPr>
          <w:rFonts w:ascii="Calibri" w:hAnsi="Calibri" w:cs="Calibri"/>
        </w:rPr>
        <w:t>z betonu wykonywanego „na mokro”,</w:t>
      </w:r>
    </w:p>
    <w:p w14:paraId="1FFB14B7" w14:textId="77777777" w:rsidR="008C66DB" w:rsidRPr="00A23FB4" w:rsidRDefault="008C66DB" w:rsidP="008C66DB">
      <w:pPr>
        <w:numPr>
          <w:ilvl w:val="0"/>
          <w:numId w:val="1"/>
        </w:numPr>
        <w:tabs>
          <w:tab w:val="left" w:pos="9914"/>
        </w:tabs>
        <w:rPr>
          <w:rFonts w:ascii="Calibri" w:hAnsi="Calibri" w:cs="Calibri"/>
        </w:rPr>
      </w:pPr>
      <w:r w:rsidRPr="00A23FB4">
        <w:rPr>
          <w:rFonts w:ascii="Calibri" w:hAnsi="Calibri" w:cs="Calibri"/>
        </w:rPr>
        <w:t>z betonu zbrojonego,</w:t>
      </w:r>
    </w:p>
    <w:p w14:paraId="7E567F27" w14:textId="77777777" w:rsidR="008C66DB" w:rsidRPr="00A23FB4" w:rsidRDefault="008C66DB" w:rsidP="008C66DB">
      <w:pPr>
        <w:numPr>
          <w:ilvl w:val="0"/>
          <w:numId w:val="1"/>
        </w:numPr>
        <w:tabs>
          <w:tab w:val="left" w:pos="9914"/>
        </w:tabs>
        <w:rPr>
          <w:rFonts w:ascii="Calibri" w:hAnsi="Calibri" w:cs="Calibri"/>
        </w:rPr>
      </w:pPr>
      <w:r w:rsidRPr="00A23FB4">
        <w:rPr>
          <w:rFonts w:ascii="Calibri" w:hAnsi="Calibri" w:cs="Calibri"/>
        </w:rPr>
        <w:t>inne rozwiązania zaakceptowane przez Inżyniera/Kierownika projektu.</w:t>
      </w:r>
    </w:p>
    <w:p w14:paraId="5758F0BB" w14:textId="77777777" w:rsidR="008C66DB" w:rsidRPr="00A23FB4" w:rsidRDefault="008C66DB" w:rsidP="008C66DB">
      <w:pPr>
        <w:numPr>
          <w:ilvl w:val="12"/>
          <w:numId w:val="0"/>
        </w:numPr>
        <w:tabs>
          <w:tab w:val="left" w:pos="9914"/>
        </w:tabs>
        <w:rPr>
          <w:rFonts w:ascii="Calibri" w:hAnsi="Calibri" w:cs="Calibri"/>
        </w:rPr>
      </w:pPr>
      <w:r w:rsidRPr="00A23FB4">
        <w:rPr>
          <w:rFonts w:ascii="Calibri" w:hAnsi="Calibri" w:cs="Calibri"/>
        </w:rPr>
        <w:t xml:space="preserve">Klasa betonu powinna być zgodna z dokumentacją projektową. Beton powinien odpowiadać wymaganiom PN-B-06250:1988 </w:t>
      </w:r>
    </w:p>
    <w:p w14:paraId="0A180FA0" w14:textId="77777777" w:rsidR="008C66DB" w:rsidRPr="00A23FB4" w:rsidRDefault="008C66DB" w:rsidP="008C66DB">
      <w:pPr>
        <w:numPr>
          <w:ilvl w:val="12"/>
          <w:numId w:val="0"/>
        </w:numPr>
        <w:tabs>
          <w:tab w:val="left" w:pos="9914"/>
        </w:tabs>
        <w:rPr>
          <w:rFonts w:ascii="Calibri" w:hAnsi="Calibri" w:cs="Calibri"/>
          <w:b/>
          <w:bCs/>
          <w:i/>
          <w:iCs/>
        </w:rPr>
      </w:pPr>
      <w:r w:rsidRPr="00A23FB4">
        <w:rPr>
          <w:rFonts w:ascii="Calibri" w:hAnsi="Calibri" w:cs="Calibri"/>
          <w:b/>
          <w:bCs/>
          <w:i/>
          <w:iCs/>
        </w:rPr>
        <w:t>2.3.1. Cement</w:t>
      </w:r>
    </w:p>
    <w:p w14:paraId="581C30DC" w14:textId="77777777" w:rsidR="008C66DB" w:rsidRPr="00A23FB4" w:rsidRDefault="008C66DB" w:rsidP="008C66DB">
      <w:pPr>
        <w:numPr>
          <w:ilvl w:val="12"/>
          <w:numId w:val="0"/>
        </w:numPr>
        <w:tabs>
          <w:tab w:val="left" w:pos="9914"/>
        </w:tabs>
        <w:rPr>
          <w:rFonts w:ascii="Calibri" w:hAnsi="Calibri" w:cs="Calibri"/>
        </w:rPr>
      </w:pPr>
      <w:r w:rsidRPr="00A23FB4">
        <w:rPr>
          <w:rFonts w:ascii="Calibri" w:hAnsi="Calibri" w:cs="Calibri"/>
        </w:rPr>
        <w:t>Cement stosowany do betonu powinien być cementem CEM Iklasy N 32,5, odpowiadający wymaganiom PN-EN-197-1.</w:t>
      </w:r>
    </w:p>
    <w:p w14:paraId="4C8B498E" w14:textId="77777777" w:rsidR="008C66DB" w:rsidRPr="00A23FB4" w:rsidRDefault="008C66DB" w:rsidP="008C66DB">
      <w:pPr>
        <w:numPr>
          <w:ilvl w:val="12"/>
          <w:numId w:val="0"/>
        </w:numPr>
        <w:tabs>
          <w:tab w:val="left" w:pos="9914"/>
        </w:tabs>
        <w:rPr>
          <w:rFonts w:ascii="Calibri" w:hAnsi="Calibri" w:cs="Calibri"/>
          <w:b/>
          <w:bCs/>
          <w:i/>
          <w:iCs/>
        </w:rPr>
      </w:pPr>
      <w:r w:rsidRPr="00A23FB4">
        <w:rPr>
          <w:rFonts w:ascii="Calibri" w:hAnsi="Calibri" w:cs="Calibri"/>
          <w:b/>
          <w:bCs/>
          <w:i/>
          <w:iCs/>
        </w:rPr>
        <w:t>2.3.2. Kruszywo</w:t>
      </w:r>
    </w:p>
    <w:p w14:paraId="16919A11" w14:textId="77777777" w:rsidR="008C66DB" w:rsidRPr="00A23FB4" w:rsidRDefault="008C66DB" w:rsidP="008C66DB">
      <w:pPr>
        <w:numPr>
          <w:ilvl w:val="12"/>
          <w:numId w:val="0"/>
        </w:numPr>
        <w:tabs>
          <w:tab w:val="left" w:pos="9914"/>
        </w:tabs>
        <w:rPr>
          <w:rFonts w:ascii="Calibri" w:hAnsi="Calibri" w:cs="Calibri"/>
        </w:rPr>
      </w:pPr>
      <w:r w:rsidRPr="00A23FB4">
        <w:rPr>
          <w:rFonts w:ascii="Calibri" w:hAnsi="Calibri" w:cs="Calibri"/>
        </w:rPr>
        <w:t>Kruszywo stosowane do betonu powinno odpowiadać wymaganiom PN-EN-12620:2004. Zaleca się stosowanie kruszywa o marce nie niższej niż klasa betonu.</w:t>
      </w:r>
    </w:p>
    <w:p w14:paraId="6AD02A9B" w14:textId="77777777" w:rsidR="008C66DB" w:rsidRPr="00A23FB4" w:rsidRDefault="008C66DB" w:rsidP="008C66DB">
      <w:pPr>
        <w:numPr>
          <w:ilvl w:val="12"/>
          <w:numId w:val="0"/>
        </w:numPr>
        <w:tabs>
          <w:tab w:val="left" w:pos="9914"/>
        </w:tabs>
        <w:rPr>
          <w:rFonts w:ascii="Calibri" w:hAnsi="Calibri" w:cs="Calibri"/>
          <w:b/>
          <w:bCs/>
          <w:i/>
          <w:iCs/>
        </w:rPr>
      </w:pPr>
      <w:r w:rsidRPr="00A23FB4">
        <w:rPr>
          <w:rFonts w:ascii="Calibri" w:hAnsi="Calibri" w:cs="Calibri"/>
          <w:b/>
          <w:bCs/>
          <w:i/>
          <w:iCs/>
        </w:rPr>
        <w:t>2.3.3. Woda</w:t>
      </w:r>
    </w:p>
    <w:p w14:paraId="4EFF717F" w14:textId="77777777" w:rsidR="008C66DB" w:rsidRPr="00A23FB4" w:rsidRDefault="008C66DB" w:rsidP="008C66DB">
      <w:pPr>
        <w:numPr>
          <w:ilvl w:val="12"/>
          <w:numId w:val="0"/>
        </w:numPr>
        <w:tabs>
          <w:tab w:val="left" w:pos="9914"/>
        </w:tabs>
        <w:rPr>
          <w:rFonts w:ascii="Calibri" w:hAnsi="Calibri" w:cs="Calibri"/>
        </w:rPr>
      </w:pPr>
      <w:r w:rsidRPr="00A23FB4">
        <w:rPr>
          <w:rFonts w:ascii="Calibri" w:hAnsi="Calibri" w:cs="Calibri"/>
        </w:rPr>
        <w:t>Woda do betonu powinna być zgodna z wymaganiami normy PN-EN-1008:2004.</w:t>
      </w:r>
    </w:p>
    <w:p w14:paraId="38B1F246" w14:textId="77777777" w:rsidR="008C66DB" w:rsidRPr="00A23FB4" w:rsidRDefault="008C66DB" w:rsidP="008C66DB">
      <w:pPr>
        <w:numPr>
          <w:ilvl w:val="12"/>
          <w:numId w:val="0"/>
        </w:numPr>
        <w:tabs>
          <w:tab w:val="left" w:pos="9914"/>
        </w:tabs>
        <w:rPr>
          <w:rFonts w:ascii="Calibri" w:hAnsi="Calibri" w:cs="Calibri"/>
          <w:b/>
          <w:bCs/>
          <w:i/>
          <w:iCs/>
        </w:rPr>
      </w:pPr>
      <w:r w:rsidRPr="00A23FB4">
        <w:rPr>
          <w:rFonts w:ascii="Calibri" w:hAnsi="Calibri" w:cs="Calibri"/>
          <w:b/>
          <w:bCs/>
          <w:i/>
          <w:iCs/>
        </w:rPr>
        <w:t>2.3.4. Domieszki chemiczne</w:t>
      </w:r>
    </w:p>
    <w:p w14:paraId="1DA838CE" w14:textId="77777777" w:rsidR="008C66DB" w:rsidRPr="00A23FB4" w:rsidRDefault="008C66DB" w:rsidP="008C66DB">
      <w:pPr>
        <w:numPr>
          <w:ilvl w:val="12"/>
          <w:numId w:val="0"/>
        </w:numPr>
        <w:tabs>
          <w:tab w:val="left" w:pos="9914"/>
        </w:tabs>
        <w:rPr>
          <w:rFonts w:ascii="Calibri" w:hAnsi="Calibri" w:cs="Calibri"/>
        </w:rPr>
      </w:pPr>
      <w:r w:rsidRPr="00A23FB4">
        <w:rPr>
          <w:rFonts w:ascii="Calibri" w:hAnsi="Calibri" w:cs="Calibri"/>
        </w:rPr>
        <w:t>Domieszki chemiczne do betonu powinny być stosowane jeśli przewiduje je dokumentacja projektowa, lub wskazania Inżyniera/Kierownika projektu. Domieszki chemiczne powinny odpowiadać wymaganiom PN-B-23010:1985.</w:t>
      </w:r>
    </w:p>
    <w:p w14:paraId="5997F45A" w14:textId="77777777" w:rsidR="008C66DB" w:rsidRPr="00A23FB4" w:rsidRDefault="008C66DB" w:rsidP="008C66DB">
      <w:pPr>
        <w:numPr>
          <w:ilvl w:val="12"/>
          <w:numId w:val="0"/>
        </w:numPr>
        <w:tabs>
          <w:tab w:val="left" w:pos="9914"/>
        </w:tabs>
        <w:rPr>
          <w:rFonts w:ascii="Calibri" w:hAnsi="Calibri" w:cs="Calibri"/>
        </w:rPr>
      </w:pPr>
      <w:r w:rsidRPr="00A23FB4">
        <w:rPr>
          <w:rFonts w:ascii="Calibri" w:hAnsi="Calibri" w:cs="Calibri"/>
        </w:rPr>
        <w:t>W betonie niezbrojonym zaleca się stosować domieszki napowietrzające, a w betonie zbrojonym dodatkowo domieszki uplastyczniające lub upłynniające.</w:t>
      </w:r>
    </w:p>
    <w:p w14:paraId="3585FF68" w14:textId="77777777" w:rsidR="008C66DB" w:rsidRPr="00A23FB4" w:rsidRDefault="008C66DB" w:rsidP="008C66DB">
      <w:pPr>
        <w:numPr>
          <w:ilvl w:val="12"/>
          <w:numId w:val="0"/>
        </w:numPr>
        <w:tabs>
          <w:tab w:val="left" w:pos="9914"/>
        </w:tabs>
        <w:rPr>
          <w:rFonts w:ascii="Calibri" w:hAnsi="Calibri" w:cs="Calibri"/>
          <w:b/>
          <w:bCs/>
          <w:i/>
          <w:iCs/>
        </w:rPr>
      </w:pPr>
      <w:r w:rsidRPr="00A23FB4">
        <w:rPr>
          <w:rFonts w:ascii="Calibri" w:hAnsi="Calibri" w:cs="Calibri"/>
          <w:b/>
          <w:bCs/>
          <w:i/>
          <w:iCs/>
        </w:rPr>
        <w:t>2.3.5. Pręty zbrojenia</w:t>
      </w:r>
    </w:p>
    <w:p w14:paraId="70A40308" w14:textId="77777777" w:rsidR="008C66DB" w:rsidRPr="00A23FB4" w:rsidRDefault="008C66DB" w:rsidP="008C66DB">
      <w:pPr>
        <w:numPr>
          <w:ilvl w:val="12"/>
          <w:numId w:val="0"/>
        </w:numPr>
        <w:tabs>
          <w:tab w:val="left" w:pos="9914"/>
        </w:tabs>
        <w:rPr>
          <w:rFonts w:ascii="Calibri" w:hAnsi="Calibri" w:cs="Calibri"/>
        </w:rPr>
      </w:pPr>
      <w:r w:rsidRPr="00A23FB4">
        <w:rPr>
          <w:rFonts w:ascii="Calibri" w:hAnsi="Calibri" w:cs="Calibri"/>
        </w:rPr>
        <w:t>Pręty zbrojenia w fundamentach z betonu zbrojonego powinny odpowiadać wymaganiom PN-B-06251:1963.</w:t>
      </w:r>
    </w:p>
    <w:p w14:paraId="5F154A55" w14:textId="77777777" w:rsidR="008C66DB" w:rsidRPr="00A23FB4" w:rsidRDefault="008C66DB" w:rsidP="008C66DB">
      <w:pPr>
        <w:pStyle w:val="Nagwek4"/>
        <w:tabs>
          <w:tab w:val="left" w:pos="9914"/>
        </w:tabs>
        <w:rPr>
          <w:rFonts w:ascii="Calibri" w:hAnsi="Calibri" w:cs="Calibri"/>
        </w:rPr>
      </w:pPr>
      <w:r w:rsidRPr="00A23FB4">
        <w:rPr>
          <w:rFonts w:ascii="Calibri" w:hAnsi="Calibri" w:cs="Calibri"/>
        </w:rPr>
        <w:t>2.4. Konstrukcje wsporcze</w:t>
      </w:r>
    </w:p>
    <w:p w14:paraId="4ED1859B" w14:textId="77777777" w:rsidR="008C66DB" w:rsidRPr="00A23FB4" w:rsidRDefault="008C66DB" w:rsidP="008C66DB">
      <w:pPr>
        <w:numPr>
          <w:ilvl w:val="12"/>
          <w:numId w:val="0"/>
        </w:numPr>
        <w:tabs>
          <w:tab w:val="left" w:pos="9914"/>
        </w:tabs>
        <w:rPr>
          <w:rFonts w:ascii="Calibri" w:hAnsi="Calibri" w:cs="Calibri"/>
          <w:b/>
          <w:bCs/>
          <w:i/>
          <w:iCs/>
        </w:rPr>
      </w:pPr>
      <w:r w:rsidRPr="00A23FB4">
        <w:rPr>
          <w:rFonts w:ascii="Calibri" w:hAnsi="Calibri" w:cs="Calibri"/>
          <w:b/>
          <w:bCs/>
          <w:i/>
          <w:iCs/>
        </w:rPr>
        <w:t>2.4.1. Ogólne charakterystyki konstrukcji</w:t>
      </w:r>
    </w:p>
    <w:p w14:paraId="56FF6645" w14:textId="77777777" w:rsidR="008C66DB" w:rsidRPr="00A23FB4" w:rsidRDefault="008C66DB" w:rsidP="008C66DB">
      <w:pPr>
        <w:numPr>
          <w:ilvl w:val="12"/>
          <w:numId w:val="0"/>
        </w:numPr>
        <w:tabs>
          <w:tab w:val="left" w:pos="9914"/>
        </w:tabs>
        <w:rPr>
          <w:rFonts w:ascii="Calibri" w:hAnsi="Calibri" w:cs="Calibri"/>
        </w:rPr>
      </w:pPr>
      <w:r w:rsidRPr="00A23FB4">
        <w:rPr>
          <w:rFonts w:ascii="Calibri" w:hAnsi="Calibri" w:cs="Calibri"/>
        </w:rPr>
        <w:t>Konstrukcje wsporcze znaków pionowych należy wykonać zgodnie z dokumentacją projektową a w przypadku braku wystarczających ustaleń, zgodnie z propozycją Wykonawcy zaakceptowaną przez Inżyniera/Kierownika projektu.</w:t>
      </w:r>
    </w:p>
    <w:p w14:paraId="1F03528A" w14:textId="77777777" w:rsidR="008C66DB" w:rsidRPr="00A23FB4" w:rsidRDefault="008C66DB" w:rsidP="008C66DB">
      <w:pPr>
        <w:numPr>
          <w:ilvl w:val="12"/>
          <w:numId w:val="0"/>
        </w:numPr>
        <w:tabs>
          <w:tab w:val="left" w:pos="9914"/>
        </w:tabs>
        <w:rPr>
          <w:rFonts w:ascii="Calibri" w:hAnsi="Calibri" w:cs="Calibri"/>
        </w:rPr>
      </w:pPr>
      <w:r w:rsidRPr="00A23FB4">
        <w:rPr>
          <w:rFonts w:ascii="Calibri" w:hAnsi="Calibri" w:cs="Calibri"/>
        </w:rPr>
        <w:t>Konstrukcje wsporcze można wykonać z ocynkowanych rur.</w:t>
      </w:r>
    </w:p>
    <w:p w14:paraId="5D823A11" w14:textId="77777777" w:rsidR="008C66DB" w:rsidRPr="00A23FB4" w:rsidRDefault="008C66DB" w:rsidP="008C66DB">
      <w:pPr>
        <w:numPr>
          <w:ilvl w:val="12"/>
          <w:numId w:val="0"/>
        </w:numPr>
        <w:tabs>
          <w:tab w:val="left" w:pos="9914"/>
        </w:tabs>
        <w:rPr>
          <w:rFonts w:ascii="Calibri" w:hAnsi="Calibri" w:cs="Calibri"/>
        </w:rPr>
      </w:pPr>
      <w:r w:rsidRPr="00A23FB4">
        <w:rPr>
          <w:rFonts w:ascii="Calibri" w:hAnsi="Calibri" w:cs="Calibri"/>
        </w:rPr>
        <w:t>Wymiary i najważniejsze charakterystyki elementów konstrukcji wsporczej z rur i kątowników podano w tablicy 1.</w:t>
      </w:r>
    </w:p>
    <w:p w14:paraId="67FA9862" w14:textId="77777777" w:rsidR="008C66DB" w:rsidRPr="00A23FB4" w:rsidRDefault="008C66DB" w:rsidP="008C66DB">
      <w:pPr>
        <w:numPr>
          <w:ilvl w:val="12"/>
          <w:numId w:val="0"/>
        </w:numPr>
        <w:tabs>
          <w:tab w:val="left" w:pos="9914"/>
        </w:tabs>
        <w:rPr>
          <w:rFonts w:ascii="Calibri" w:hAnsi="Calibri" w:cs="Calibri"/>
        </w:rPr>
      </w:pPr>
      <w:r w:rsidRPr="00A23FB4">
        <w:rPr>
          <w:rFonts w:ascii="Calibri" w:hAnsi="Calibri" w:cs="Calibri"/>
        </w:rPr>
        <w:t>Tablica 1. Rury stalowe okrągłe bez szwu walcowane na gorąco wg PN-H-74219</w:t>
      </w:r>
    </w:p>
    <w:tbl>
      <w:tblPr>
        <w:tblW w:w="0" w:type="auto"/>
        <w:tblInd w:w="2" w:type="dxa"/>
        <w:tblLayout w:type="fixed"/>
        <w:tblCellMar>
          <w:left w:w="70" w:type="dxa"/>
          <w:right w:w="70" w:type="dxa"/>
        </w:tblCellMar>
        <w:tblLook w:val="0000" w:firstRow="0" w:lastRow="0" w:firstColumn="0" w:lastColumn="0" w:noHBand="0" w:noVBand="0"/>
      </w:tblPr>
      <w:tblGrid>
        <w:gridCol w:w="1204"/>
        <w:gridCol w:w="1843"/>
        <w:gridCol w:w="1985"/>
        <w:gridCol w:w="1241"/>
        <w:gridCol w:w="1241"/>
      </w:tblGrid>
      <w:tr w:rsidR="008C66DB" w:rsidRPr="00A23FB4" w14:paraId="53A8E84A" w14:textId="77777777" w:rsidTr="008C66DB">
        <w:tc>
          <w:tcPr>
            <w:tcW w:w="1204" w:type="dxa"/>
            <w:tcBorders>
              <w:top w:val="single" w:sz="6" w:space="0" w:color="auto"/>
              <w:left w:val="single" w:sz="6" w:space="0" w:color="auto"/>
            </w:tcBorders>
          </w:tcPr>
          <w:p w14:paraId="13B4CB42" w14:textId="77777777" w:rsidR="008C66DB" w:rsidRPr="00A23FB4" w:rsidRDefault="008C66DB" w:rsidP="008C66DB">
            <w:pPr>
              <w:numPr>
                <w:ilvl w:val="12"/>
                <w:numId w:val="0"/>
              </w:numPr>
              <w:tabs>
                <w:tab w:val="left" w:pos="9914"/>
              </w:tabs>
              <w:rPr>
                <w:rFonts w:ascii="Calibri" w:hAnsi="Calibri" w:cs="Calibri"/>
              </w:rPr>
            </w:pPr>
            <w:r w:rsidRPr="00A23FB4">
              <w:rPr>
                <w:rFonts w:ascii="Calibri" w:hAnsi="Calibri" w:cs="Calibri"/>
              </w:rPr>
              <w:t>Średnica</w:t>
            </w:r>
          </w:p>
        </w:tc>
        <w:tc>
          <w:tcPr>
            <w:tcW w:w="1843" w:type="dxa"/>
            <w:tcBorders>
              <w:top w:val="single" w:sz="6" w:space="0" w:color="auto"/>
              <w:left w:val="single" w:sz="6" w:space="0" w:color="auto"/>
            </w:tcBorders>
          </w:tcPr>
          <w:p w14:paraId="19E66CC9" w14:textId="77777777" w:rsidR="008C66DB" w:rsidRPr="00A23FB4" w:rsidRDefault="008C66DB" w:rsidP="008C66DB">
            <w:pPr>
              <w:numPr>
                <w:ilvl w:val="12"/>
                <w:numId w:val="0"/>
              </w:numPr>
              <w:tabs>
                <w:tab w:val="left" w:pos="9914"/>
              </w:tabs>
              <w:rPr>
                <w:rFonts w:ascii="Calibri" w:hAnsi="Calibri" w:cs="Calibri"/>
              </w:rPr>
            </w:pPr>
            <w:r w:rsidRPr="00A23FB4">
              <w:rPr>
                <w:rFonts w:ascii="Calibri" w:hAnsi="Calibri" w:cs="Calibri"/>
              </w:rPr>
              <w:t>Grubość</w:t>
            </w:r>
          </w:p>
        </w:tc>
        <w:tc>
          <w:tcPr>
            <w:tcW w:w="1985" w:type="dxa"/>
            <w:tcBorders>
              <w:top w:val="single" w:sz="6" w:space="0" w:color="auto"/>
              <w:left w:val="single" w:sz="6" w:space="0" w:color="auto"/>
            </w:tcBorders>
          </w:tcPr>
          <w:p w14:paraId="37E80B46" w14:textId="77777777" w:rsidR="008C66DB" w:rsidRPr="00A23FB4" w:rsidRDefault="008C66DB" w:rsidP="008C66DB">
            <w:pPr>
              <w:numPr>
                <w:ilvl w:val="12"/>
                <w:numId w:val="0"/>
              </w:numPr>
              <w:tabs>
                <w:tab w:val="left" w:pos="9914"/>
              </w:tabs>
              <w:rPr>
                <w:rFonts w:ascii="Calibri" w:hAnsi="Calibri" w:cs="Calibri"/>
              </w:rPr>
            </w:pPr>
            <w:r w:rsidRPr="00A23FB4">
              <w:rPr>
                <w:rFonts w:ascii="Calibri" w:hAnsi="Calibri" w:cs="Calibri"/>
              </w:rPr>
              <w:t>Masa 1 m</w:t>
            </w:r>
          </w:p>
        </w:tc>
        <w:tc>
          <w:tcPr>
            <w:tcW w:w="2477" w:type="dxa"/>
            <w:gridSpan w:val="2"/>
            <w:tcBorders>
              <w:top w:val="single" w:sz="6" w:space="0" w:color="auto"/>
              <w:left w:val="single" w:sz="6" w:space="0" w:color="auto"/>
              <w:bottom w:val="single" w:sz="6" w:space="0" w:color="auto"/>
              <w:right w:val="single" w:sz="6" w:space="0" w:color="auto"/>
            </w:tcBorders>
          </w:tcPr>
          <w:p w14:paraId="5C05555E" w14:textId="77777777" w:rsidR="008C66DB" w:rsidRPr="00A23FB4" w:rsidRDefault="008C66DB" w:rsidP="008C66DB">
            <w:pPr>
              <w:numPr>
                <w:ilvl w:val="12"/>
                <w:numId w:val="0"/>
              </w:numPr>
              <w:tabs>
                <w:tab w:val="left" w:pos="9914"/>
              </w:tabs>
              <w:rPr>
                <w:rFonts w:ascii="Calibri" w:hAnsi="Calibri" w:cs="Calibri"/>
              </w:rPr>
            </w:pPr>
            <w:r w:rsidRPr="00A23FB4">
              <w:rPr>
                <w:rFonts w:ascii="Calibri" w:hAnsi="Calibri" w:cs="Calibri"/>
              </w:rPr>
              <w:t>Dopuszczalne odchyłki</w:t>
            </w:r>
          </w:p>
        </w:tc>
      </w:tr>
      <w:tr w:rsidR="008C66DB" w:rsidRPr="00A23FB4" w14:paraId="6948FE3B" w14:textId="77777777" w:rsidTr="008C66DB">
        <w:tc>
          <w:tcPr>
            <w:tcW w:w="1204" w:type="dxa"/>
            <w:tcBorders>
              <w:left w:val="single" w:sz="6" w:space="0" w:color="auto"/>
              <w:bottom w:val="double" w:sz="6" w:space="0" w:color="auto"/>
              <w:right w:val="single" w:sz="6" w:space="0" w:color="auto"/>
            </w:tcBorders>
          </w:tcPr>
          <w:p w14:paraId="11E4435D" w14:textId="77777777" w:rsidR="008C66DB" w:rsidRPr="00A23FB4" w:rsidRDefault="008C66DB" w:rsidP="008C66DB">
            <w:pPr>
              <w:numPr>
                <w:ilvl w:val="12"/>
                <w:numId w:val="0"/>
              </w:numPr>
              <w:tabs>
                <w:tab w:val="left" w:pos="9914"/>
              </w:tabs>
              <w:rPr>
                <w:rFonts w:ascii="Calibri" w:hAnsi="Calibri" w:cs="Calibri"/>
              </w:rPr>
            </w:pPr>
            <w:r w:rsidRPr="00A23FB4">
              <w:rPr>
                <w:rFonts w:ascii="Calibri" w:hAnsi="Calibri" w:cs="Calibri"/>
              </w:rPr>
              <w:t>zewnętrzna</w:t>
            </w:r>
          </w:p>
          <w:p w14:paraId="7CF91083" w14:textId="77777777" w:rsidR="008C66DB" w:rsidRPr="00A23FB4" w:rsidRDefault="008C66DB" w:rsidP="008C66DB">
            <w:pPr>
              <w:numPr>
                <w:ilvl w:val="12"/>
                <w:numId w:val="0"/>
              </w:numPr>
              <w:tabs>
                <w:tab w:val="left" w:pos="9914"/>
              </w:tabs>
              <w:rPr>
                <w:rFonts w:ascii="Calibri" w:hAnsi="Calibri" w:cs="Calibri"/>
              </w:rPr>
            </w:pPr>
            <w:r w:rsidRPr="00A23FB4">
              <w:rPr>
                <w:rFonts w:ascii="Calibri" w:hAnsi="Calibri" w:cs="Calibri"/>
              </w:rPr>
              <w:t>mm</w:t>
            </w:r>
          </w:p>
        </w:tc>
        <w:tc>
          <w:tcPr>
            <w:tcW w:w="1843" w:type="dxa"/>
            <w:tcBorders>
              <w:bottom w:val="double" w:sz="6" w:space="0" w:color="auto"/>
            </w:tcBorders>
          </w:tcPr>
          <w:p w14:paraId="79FB6799" w14:textId="77777777" w:rsidR="008C66DB" w:rsidRPr="00A23FB4" w:rsidRDefault="008C66DB" w:rsidP="008C66DB">
            <w:pPr>
              <w:numPr>
                <w:ilvl w:val="12"/>
                <w:numId w:val="0"/>
              </w:numPr>
              <w:tabs>
                <w:tab w:val="left" w:pos="9914"/>
              </w:tabs>
              <w:rPr>
                <w:rFonts w:ascii="Calibri" w:hAnsi="Calibri" w:cs="Calibri"/>
              </w:rPr>
            </w:pPr>
            <w:r w:rsidRPr="00A23FB4">
              <w:rPr>
                <w:rFonts w:ascii="Calibri" w:hAnsi="Calibri" w:cs="Calibri"/>
              </w:rPr>
              <w:t>ścianki</w:t>
            </w:r>
          </w:p>
          <w:p w14:paraId="3CC25C15" w14:textId="77777777" w:rsidR="008C66DB" w:rsidRPr="00A23FB4" w:rsidRDefault="008C66DB" w:rsidP="008C66DB">
            <w:pPr>
              <w:numPr>
                <w:ilvl w:val="12"/>
                <w:numId w:val="0"/>
              </w:numPr>
              <w:tabs>
                <w:tab w:val="left" w:pos="9914"/>
              </w:tabs>
              <w:rPr>
                <w:rFonts w:ascii="Calibri" w:hAnsi="Calibri" w:cs="Calibri"/>
              </w:rPr>
            </w:pPr>
            <w:r w:rsidRPr="00A23FB4">
              <w:rPr>
                <w:rFonts w:ascii="Calibri" w:hAnsi="Calibri" w:cs="Calibri"/>
              </w:rPr>
              <w:t>mm</w:t>
            </w:r>
          </w:p>
        </w:tc>
        <w:tc>
          <w:tcPr>
            <w:tcW w:w="1985" w:type="dxa"/>
            <w:tcBorders>
              <w:left w:val="single" w:sz="6" w:space="0" w:color="auto"/>
              <w:bottom w:val="double" w:sz="6" w:space="0" w:color="auto"/>
            </w:tcBorders>
          </w:tcPr>
          <w:p w14:paraId="07536314" w14:textId="77777777" w:rsidR="008C66DB" w:rsidRPr="00A23FB4" w:rsidRDefault="008C66DB" w:rsidP="008C66DB">
            <w:pPr>
              <w:numPr>
                <w:ilvl w:val="12"/>
                <w:numId w:val="0"/>
              </w:numPr>
              <w:tabs>
                <w:tab w:val="left" w:pos="9914"/>
              </w:tabs>
              <w:rPr>
                <w:rFonts w:ascii="Calibri" w:hAnsi="Calibri" w:cs="Calibri"/>
              </w:rPr>
            </w:pPr>
            <w:r w:rsidRPr="00A23FB4">
              <w:rPr>
                <w:rFonts w:ascii="Calibri" w:hAnsi="Calibri" w:cs="Calibri"/>
              </w:rPr>
              <w:t>kg/m</w:t>
            </w:r>
          </w:p>
        </w:tc>
        <w:tc>
          <w:tcPr>
            <w:tcW w:w="1241" w:type="dxa"/>
            <w:tcBorders>
              <w:top w:val="single" w:sz="6" w:space="0" w:color="auto"/>
              <w:left w:val="single" w:sz="6" w:space="0" w:color="auto"/>
              <w:bottom w:val="double" w:sz="6" w:space="0" w:color="auto"/>
              <w:right w:val="single" w:sz="6" w:space="0" w:color="auto"/>
            </w:tcBorders>
          </w:tcPr>
          <w:p w14:paraId="250CBAC1" w14:textId="77777777" w:rsidR="008C66DB" w:rsidRPr="00A23FB4" w:rsidRDefault="008C66DB" w:rsidP="008C66DB">
            <w:pPr>
              <w:numPr>
                <w:ilvl w:val="12"/>
                <w:numId w:val="0"/>
              </w:numPr>
              <w:tabs>
                <w:tab w:val="left" w:pos="9914"/>
              </w:tabs>
              <w:rPr>
                <w:rFonts w:ascii="Calibri" w:hAnsi="Calibri" w:cs="Calibri"/>
              </w:rPr>
            </w:pPr>
            <w:r w:rsidRPr="00A23FB4">
              <w:rPr>
                <w:rFonts w:ascii="Calibri" w:hAnsi="Calibri" w:cs="Calibri"/>
              </w:rPr>
              <w:t>średnicy zewnętrznej</w:t>
            </w:r>
          </w:p>
        </w:tc>
        <w:tc>
          <w:tcPr>
            <w:tcW w:w="1241" w:type="dxa"/>
            <w:tcBorders>
              <w:top w:val="single" w:sz="6" w:space="0" w:color="auto"/>
              <w:left w:val="single" w:sz="6" w:space="0" w:color="auto"/>
              <w:bottom w:val="double" w:sz="6" w:space="0" w:color="auto"/>
              <w:right w:val="single" w:sz="6" w:space="0" w:color="auto"/>
            </w:tcBorders>
          </w:tcPr>
          <w:p w14:paraId="74653256" w14:textId="77777777" w:rsidR="008C66DB" w:rsidRPr="00A23FB4" w:rsidRDefault="008C66DB" w:rsidP="008C66DB">
            <w:pPr>
              <w:numPr>
                <w:ilvl w:val="12"/>
                <w:numId w:val="0"/>
              </w:numPr>
              <w:tabs>
                <w:tab w:val="left" w:pos="9914"/>
              </w:tabs>
              <w:rPr>
                <w:rFonts w:ascii="Calibri" w:hAnsi="Calibri" w:cs="Calibri"/>
              </w:rPr>
            </w:pPr>
            <w:r w:rsidRPr="00A23FB4">
              <w:rPr>
                <w:rFonts w:ascii="Calibri" w:hAnsi="Calibri" w:cs="Calibri"/>
              </w:rPr>
              <w:t>grubości ścianki</w:t>
            </w:r>
          </w:p>
        </w:tc>
      </w:tr>
      <w:tr w:rsidR="008C66DB" w:rsidRPr="00A23FB4" w14:paraId="2097509F" w14:textId="77777777" w:rsidTr="008C66DB">
        <w:tc>
          <w:tcPr>
            <w:tcW w:w="1204" w:type="dxa"/>
            <w:tcBorders>
              <w:left w:val="single" w:sz="6" w:space="0" w:color="auto"/>
              <w:bottom w:val="single" w:sz="6" w:space="0" w:color="auto"/>
              <w:right w:val="single" w:sz="6" w:space="0" w:color="auto"/>
            </w:tcBorders>
          </w:tcPr>
          <w:p w14:paraId="304E1A57" w14:textId="77777777" w:rsidR="008C66DB" w:rsidRPr="00A23FB4" w:rsidRDefault="008C66DB" w:rsidP="008C66DB">
            <w:pPr>
              <w:numPr>
                <w:ilvl w:val="12"/>
                <w:numId w:val="0"/>
              </w:numPr>
              <w:tabs>
                <w:tab w:val="left" w:pos="9914"/>
              </w:tabs>
              <w:rPr>
                <w:rFonts w:ascii="Calibri" w:hAnsi="Calibri" w:cs="Calibri"/>
              </w:rPr>
            </w:pPr>
            <w:r w:rsidRPr="00A23FB4">
              <w:rPr>
                <w:rFonts w:ascii="Calibri" w:hAnsi="Calibri" w:cs="Calibri"/>
              </w:rPr>
              <w:t>44,5</w:t>
            </w:r>
          </w:p>
          <w:p w14:paraId="3F554D94" w14:textId="77777777" w:rsidR="008C66DB" w:rsidRPr="00A23FB4" w:rsidRDefault="008C66DB" w:rsidP="008C66DB">
            <w:pPr>
              <w:numPr>
                <w:ilvl w:val="12"/>
                <w:numId w:val="0"/>
              </w:numPr>
              <w:tabs>
                <w:tab w:val="left" w:pos="9914"/>
              </w:tabs>
              <w:rPr>
                <w:rFonts w:ascii="Calibri" w:hAnsi="Calibri" w:cs="Calibri"/>
              </w:rPr>
            </w:pPr>
            <w:r w:rsidRPr="00A23FB4">
              <w:rPr>
                <w:rFonts w:ascii="Calibri" w:hAnsi="Calibri" w:cs="Calibri"/>
              </w:rPr>
              <w:t>48,3</w:t>
            </w:r>
          </w:p>
          <w:p w14:paraId="468DF5AA" w14:textId="77777777" w:rsidR="008C66DB" w:rsidRPr="00A23FB4" w:rsidRDefault="008C66DB" w:rsidP="008C66DB">
            <w:pPr>
              <w:numPr>
                <w:ilvl w:val="12"/>
                <w:numId w:val="0"/>
              </w:numPr>
              <w:tabs>
                <w:tab w:val="left" w:pos="9914"/>
              </w:tabs>
              <w:rPr>
                <w:rFonts w:ascii="Calibri" w:hAnsi="Calibri" w:cs="Calibri"/>
              </w:rPr>
            </w:pPr>
            <w:r w:rsidRPr="00A23FB4">
              <w:rPr>
                <w:rFonts w:ascii="Calibri" w:hAnsi="Calibri" w:cs="Calibri"/>
              </w:rPr>
              <w:t>51,0</w:t>
            </w:r>
          </w:p>
          <w:p w14:paraId="4F165EDD" w14:textId="77777777" w:rsidR="008C66DB" w:rsidRPr="00A23FB4" w:rsidRDefault="008C66DB" w:rsidP="008C66DB">
            <w:pPr>
              <w:numPr>
                <w:ilvl w:val="12"/>
                <w:numId w:val="0"/>
              </w:numPr>
              <w:tabs>
                <w:tab w:val="left" w:pos="9914"/>
              </w:tabs>
              <w:rPr>
                <w:rFonts w:ascii="Calibri" w:hAnsi="Calibri" w:cs="Calibri"/>
              </w:rPr>
            </w:pPr>
            <w:r w:rsidRPr="00A23FB4">
              <w:rPr>
                <w:rFonts w:ascii="Calibri" w:hAnsi="Calibri" w:cs="Calibri"/>
              </w:rPr>
              <w:t>54,0</w:t>
            </w:r>
          </w:p>
          <w:p w14:paraId="2842118A" w14:textId="77777777" w:rsidR="008C66DB" w:rsidRPr="00A23FB4" w:rsidRDefault="008C66DB" w:rsidP="008C66DB">
            <w:pPr>
              <w:numPr>
                <w:ilvl w:val="12"/>
                <w:numId w:val="0"/>
              </w:numPr>
              <w:tabs>
                <w:tab w:val="left" w:pos="9914"/>
              </w:tabs>
              <w:rPr>
                <w:rFonts w:ascii="Calibri" w:hAnsi="Calibri" w:cs="Calibri"/>
              </w:rPr>
            </w:pPr>
            <w:r w:rsidRPr="00A23FB4">
              <w:rPr>
                <w:rFonts w:ascii="Calibri" w:hAnsi="Calibri" w:cs="Calibri"/>
              </w:rPr>
              <w:t>57,0</w:t>
            </w:r>
          </w:p>
          <w:p w14:paraId="09A79907" w14:textId="77777777" w:rsidR="008C66DB" w:rsidRPr="00A23FB4" w:rsidRDefault="008C66DB" w:rsidP="008C66DB">
            <w:pPr>
              <w:numPr>
                <w:ilvl w:val="12"/>
                <w:numId w:val="0"/>
              </w:numPr>
              <w:tabs>
                <w:tab w:val="left" w:pos="9914"/>
              </w:tabs>
              <w:rPr>
                <w:rFonts w:ascii="Calibri" w:hAnsi="Calibri" w:cs="Calibri"/>
              </w:rPr>
            </w:pPr>
            <w:r w:rsidRPr="00A23FB4">
              <w:rPr>
                <w:rFonts w:ascii="Calibri" w:hAnsi="Calibri" w:cs="Calibri"/>
              </w:rPr>
              <w:t>60,3</w:t>
            </w:r>
          </w:p>
          <w:p w14:paraId="7DA6565D" w14:textId="77777777" w:rsidR="008C66DB" w:rsidRPr="00A23FB4" w:rsidRDefault="008C66DB" w:rsidP="008C66DB">
            <w:pPr>
              <w:numPr>
                <w:ilvl w:val="12"/>
                <w:numId w:val="0"/>
              </w:numPr>
              <w:tabs>
                <w:tab w:val="left" w:pos="9914"/>
              </w:tabs>
              <w:rPr>
                <w:rFonts w:ascii="Calibri" w:hAnsi="Calibri" w:cs="Calibri"/>
              </w:rPr>
            </w:pPr>
            <w:r w:rsidRPr="00A23FB4">
              <w:rPr>
                <w:rFonts w:ascii="Calibri" w:hAnsi="Calibri" w:cs="Calibri"/>
              </w:rPr>
              <w:t>63,5</w:t>
            </w:r>
          </w:p>
          <w:p w14:paraId="714C3028" w14:textId="77777777" w:rsidR="008C66DB" w:rsidRPr="00A23FB4" w:rsidRDefault="008C66DB" w:rsidP="008C66DB">
            <w:pPr>
              <w:numPr>
                <w:ilvl w:val="12"/>
                <w:numId w:val="0"/>
              </w:numPr>
              <w:tabs>
                <w:tab w:val="left" w:pos="9914"/>
              </w:tabs>
              <w:rPr>
                <w:rFonts w:ascii="Calibri" w:hAnsi="Calibri" w:cs="Calibri"/>
              </w:rPr>
            </w:pPr>
            <w:r w:rsidRPr="00A23FB4">
              <w:rPr>
                <w:rFonts w:ascii="Calibri" w:hAnsi="Calibri" w:cs="Calibri"/>
              </w:rPr>
              <w:t>70,0</w:t>
            </w:r>
          </w:p>
          <w:p w14:paraId="12E070D6" w14:textId="77777777" w:rsidR="008C66DB" w:rsidRPr="00A23FB4" w:rsidRDefault="008C66DB" w:rsidP="008C66DB">
            <w:pPr>
              <w:numPr>
                <w:ilvl w:val="12"/>
                <w:numId w:val="0"/>
              </w:numPr>
              <w:tabs>
                <w:tab w:val="left" w:pos="9914"/>
              </w:tabs>
              <w:rPr>
                <w:rFonts w:ascii="Calibri" w:hAnsi="Calibri" w:cs="Calibri"/>
              </w:rPr>
            </w:pPr>
            <w:r w:rsidRPr="00A23FB4">
              <w:rPr>
                <w:rFonts w:ascii="Calibri" w:hAnsi="Calibri" w:cs="Calibri"/>
              </w:rPr>
              <w:t>76,1</w:t>
            </w:r>
          </w:p>
          <w:p w14:paraId="4755706C" w14:textId="77777777" w:rsidR="008C66DB" w:rsidRPr="00A23FB4" w:rsidRDefault="008C66DB" w:rsidP="008C66DB">
            <w:pPr>
              <w:numPr>
                <w:ilvl w:val="12"/>
                <w:numId w:val="0"/>
              </w:numPr>
              <w:tabs>
                <w:tab w:val="left" w:pos="9914"/>
              </w:tabs>
              <w:rPr>
                <w:rFonts w:ascii="Calibri" w:hAnsi="Calibri" w:cs="Calibri"/>
              </w:rPr>
            </w:pPr>
            <w:r w:rsidRPr="00A23FB4">
              <w:rPr>
                <w:rFonts w:ascii="Calibri" w:hAnsi="Calibri" w:cs="Calibri"/>
              </w:rPr>
              <w:t>82,5</w:t>
            </w:r>
          </w:p>
          <w:p w14:paraId="33C6BF4B" w14:textId="77777777" w:rsidR="008C66DB" w:rsidRPr="00A23FB4" w:rsidRDefault="008C66DB" w:rsidP="008C66DB">
            <w:pPr>
              <w:numPr>
                <w:ilvl w:val="12"/>
                <w:numId w:val="0"/>
              </w:numPr>
              <w:tabs>
                <w:tab w:val="left" w:pos="9914"/>
              </w:tabs>
              <w:rPr>
                <w:rFonts w:ascii="Calibri" w:hAnsi="Calibri" w:cs="Calibri"/>
              </w:rPr>
            </w:pPr>
            <w:r w:rsidRPr="00A23FB4">
              <w:rPr>
                <w:rFonts w:ascii="Calibri" w:hAnsi="Calibri" w:cs="Calibri"/>
              </w:rPr>
              <w:t>88,9</w:t>
            </w:r>
          </w:p>
          <w:p w14:paraId="6AA574D6" w14:textId="77777777" w:rsidR="008C66DB" w:rsidRPr="00A23FB4" w:rsidRDefault="008C66DB" w:rsidP="008C66DB">
            <w:pPr>
              <w:numPr>
                <w:ilvl w:val="12"/>
                <w:numId w:val="0"/>
              </w:numPr>
              <w:tabs>
                <w:tab w:val="left" w:pos="9914"/>
              </w:tabs>
              <w:rPr>
                <w:rFonts w:ascii="Calibri" w:hAnsi="Calibri" w:cs="Calibri"/>
              </w:rPr>
            </w:pPr>
            <w:r w:rsidRPr="00A23FB4">
              <w:rPr>
                <w:rFonts w:ascii="Calibri" w:hAnsi="Calibri" w:cs="Calibri"/>
              </w:rPr>
              <w:t>101,6</w:t>
            </w:r>
          </w:p>
          <w:p w14:paraId="688038B7" w14:textId="77777777" w:rsidR="008C66DB" w:rsidRPr="00A23FB4" w:rsidRDefault="008C66DB" w:rsidP="008C66DB">
            <w:pPr>
              <w:numPr>
                <w:ilvl w:val="12"/>
                <w:numId w:val="0"/>
              </w:numPr>
              <w:tabs>
                <w:tab w:val="left" w:pos="9914"/>
              </w:tabs>
              <w:rPr>
                <w:rFonts w:ascii="Calibri" w:hAnsi="Calibri" w:cs="Calibri"/>
              </w:rPr>
            </w:pPr>
            <w:r w:rsidRPr="00A23FB4">
              <w:rPr>
                <w:rFonts w:ascii="Calibri" w:hAnsi="Calibri" w:cs="Calibri"/>
              </w:rPr>
              <w:t>102,0</w:t>
            </w:r>
          </w:p>
          <w:p w14:paraId="1A0CB1CE" w14:textId="77777777" w:rsidR="008C66DB" w:rsidRPr="00A23FB4" w:rsidRDefault="008C66DB" w:rsidP="008C66DB">
            <w:pPr>
              <w:numPr>
                <w:ilvl w:val="12"/>
                <w:numId w:val="0"/>
              </w:numPr>
              <w:tabs>
                <w:tab w:val="left" w:pos="9914"/>
              </w:tabs>
              <w:rPr>
                <w:rFonts w:ascii="Calibri" w:hAnsi="Calibri" w:cs="Calibri"/>
              </w:rPr>
            </w:pPr>
            <w:r w:rsidRPr="00A23FB4">
              <w:rPr>
                <w:rFonts w:ascii="Calibri" w:hAnsi="Calibri" w:cs="Calibri"/>
              </w:rPr>
              <w:t>108,0</w:t>
            </w:r>
          </w:p>
          <w:p w14:paraId="740DDFD5" w14:textId="77777777" w:rsidR="008C66DB" w:rsidRPr="00A23FB4" w:rsidRDefault="008C66DB" w:rsidP="008C66DB">
            <w:pPr>
              <w:numPr>
                <w:ilvl w:val="12"/>
                <w:numId w:val="0"/>
              </w:numPr>
              <w:tabs>
                <w:tab w:val="left" w:pos="9914"/>
              </w:tabs>
              <w:rPr>
                <w:rFonts w:ascii="Calibri" w:hAnsi="Calibri" w:cs="Calibri"/>
              </w:rPr>
            </w:pPr>
            <w:r w:rsidRPr="00A23FB4">
              <w:rPr>
                <w:rFonts w:ascii="Calibri" w:hAnsi="Calibri" w:cs="Calibri"/>
              </w:rPr>
              <w:t>114,0</w:t>
            </w:r>
          </w:p>
          <w:p w14:paraId="5350F0D4" w14:textId="77777777" w:rsidR="008C66DB" w:rsidRPr="00A23FB4" w:rsidRDefault="008C66DB" w:rsidP="008C66DB">
            <w:pPr>
              <w:numPr>
                <w:ilvl w:val="12"/>
                <w:numId w:val="0"/>
              </w:numPr>
              <w:tabs>
                <w:tab w:val="left" w:pos="9914"/>
              </w:tabs>
              <w:rPr>
                <w:rFonts w:ascii="Calibri" w:hAnsi="Calibri" w:cs="Calibri"/>
              </w:rPr>
            </w:pPr>
            <w:r w:rsidRPr="00A23FB4">
              <w:rPr>
                <w:rFonts w:ascii="Calibri" w:hAnsi="Calibri" w:cs="Calibri"/>
              </w:rPr>
              <w:t>114,3</w:t>
            </w:r>
          </w:p>
          <w:p w14:paraId="6333D7FE" w14:textId="77777777" w:rsidR="008C66DB" w:rsidRPr="00A23FB4" w:rsidRDefault="008C66DB" w:rsidP="008C66DB">
            <w:pPr>
              <w:numPr>
                <w:ilvl w:val="12"/>
                <w:numId w:val="0"/>
              </w:numPr>
              <w:tabs>
                <w:tab w:val="left" w:pos="9914"/>
              </w:tabs>
              <w:rPr>
                <w:rFonts w:ascii="Calibri" w:hAnsi="Calibri" w:cs="Calibri"/>
              </w:rPr>
            </w:pPr>
            <w:r w:rsidRPr="00A23FB4">
              <w:rPr>
                <w:rFonts w:ascii="Calibri" w:hAnsi="Calibri" w:cs="Calibri"/>
              </w:rPr>
              <w:t>121,0</w:t>
            </w:r>
          </w:p>
        </w:tc>
        <w:tc>
          <w:tcPr>
            <w:tcW w:w="1843" w:type="dxa"/>
            <w:tcBorders>
              <w:left w:val="single" w:sz="6" w:space="0" w:color="auto"/>
              <w:bottom w:val="single" w:sz="6" w:space="0" w:color="auto"/>
              <w:right w:val="single" w:sz="6" w:space="0" w:color="auto"/>
            </w:tcBorders>
          </w:tcPr>
          <w:p w14:paraId="56F22974" w14:textId="77777777" w:rsidR="008C66DB" w:rsidRPr="00A23FB4" w:rsidRDefault="008C66DB" w:rsidP="008C66DB">
            <w:pPr>
              <w:numPr>
                <w:ilvl w:val="12"/>
                <w:numId w:val="0"/>
              </w:numPr>
              <w:tabs>
                <w:tab w:val="left" w:pos="9914"/>
              </w:tabs>
              <w:rPr>
                <w:rFonts w:ascii="Calibri" w:hAnsi="Calibri" w:cs="Calibri"/>
              </w:rPr>
            </w:pPr>
            <w:r w:rsidRPr="00A23FB4">
              <w:rPr>
                <w:rFonts w:ascii="Calibri" w:hAnsi="Calibri" w:cs="Calibri"/>
              </w:rPr>
              <w:t>od 2,6 do 11,0</w:t>
            </w:r>
          </w:p>
          <w:p w14:paraId="232D1C7C" w14:textId="77777777" w:rsidR="008C66DB" w:rsidRPr="00A23FB4" w:rsidRDefault="008C66DB" w:rsidP="008C66DB">
            <w:pPr>
              <w:numPr>
                <w:ilvl w:val="12"/>
                <w:numId w:val="0"/>
              </w:numPr>
              <w:tabs>
                <w:tab w:val="left" w:pos="9914"/>
              </w:tabs>
              <w:rPr>
                <w:rFonts w:ascii="Calibri" w:hAnsi="Calibri" w:cs="Calibri"/>
              </w:rPr>
            </w:pPr>
            <w:r w:rsidRPr="00A23FB4">
              <w:rPr>
                <w:rFonts w:ascii="Calibri" w:hAnsi="Calibri" w:cs="Calibri"/>
              </w:rPr>
              <w:t>od 2,6 do 11,0</w:t>
            </w:r>
          </w:p>
          <w:p w14:paraId="14AA969E" w14:textId="77777777" w:rsidR="008C66DB" w:rsidRPr="00A23FB4" w:rsidRDefault="008C66DB" w:rsidP="008C66DB">
            <w:pPr>
              <w:numPr>
                <w:ilvl w:val="12"/>
                <w:numId w:val="0"/>
              </w:numPr>
              <w:tabs>
                <w:tab w:val="left" w:pos="9914"/>
              </w:tabs>
              <w:rPr>
                <w:rFonts w:ascii="Calibri" w:hAnsi="Calibri" w:cs="Calibri"/>
              </w:rPr>
            </w:pPr>
            <w:r w:rsidRPr="00A23FB4">
              <w:rPr>
                <w:rFonts w:ascii="Calibri" w:hAnsi="Calibri" w:cs="Calibri"/>
              </w:rPr>
              <w:t>od 2,6 do 12,5</w:t>
            </w:r>
          </w:p>
          <w:p w14:paraId="6F60EF81" w14:textId="77777777" w:rsidR="008C66DB" w:rsidRPr="00A23FB4" w:rsidRDefault="008C66DB" w:rsidP="008C66DB">
            <w:pPr>
              <w:numPr>
                <w:ilvl w:val="12"/>
                <w:numId w:val="0"/>
              </w:numPr>
              <w:tabs>
                <w:tab w:val="left" w:pos="9914"/>
              </w:tabs>
              <w:rPr>
                <w:rFonts w:ascii="Calibri" w:hAnsi="Calibri" w:cs="Calibri"/>
              </w:rPr>
            </w:pPr>
            <w:r w:rsidRPr="00A23FB4">
              <w:rPr>
                <w:rFonts w:ascii="Calibri" w:hAnsi="Calibri" w:cs="Calibri"/>
              </w:rPr>
              <w:t>od 2,6 do 14,2</w:t>
            </w:r>
          </w:p>
          <w:p w14:paraId="74D12C55" w14:textId="77777777" w:rsidR="008C66DB" w:rsidRPr="00A23FB4" w:rsidRDefault="008C66DB" w:rsidP="008C66DB">
            <w:pPr>
              <w:numPr>
                <w:ilvl w:val="12"/>
                <w:numId w:val="0"/>
              </w:numPr>
              <w:tabs>
                <w:tab w:val="left" w:pos="9914"/>
              </w:tabs>
              <w:rPr>
                <w:rFonts w:ascii="Calibri" w:hAnsi="Calibri" w:cs="Calibri"/>
              </w:rPr>
            </w:pPr>
            <w:r w:rsidRPr="00A23FB4">
              <w:rPr>
                <w:rFonts w:ascii="Calibri" w:hAnsi="Calibri" w:cs="Calibri"/>
              </w:rPr>
              <w:t>od 2,9 do 14,2</w:t>
            </w:r>
          </w:p>
          <w:p w14:paraId="179EBE7B" w14:textId="77777777" w:rsidR="008C66DB" w:rsidRPr="00A23FB4" w:rsidRDefault="008C66DB" w:rsidP="008C66DB">
            <w:pPr>
              <w:numPr>
                <w:ilvl w:val="12"/>
                <w:numId w:val="0"/>
              </w:numPr>
              <w:tabs>
                <w:tab w:val="left" w:pos="9914"/>
              </w:tabs>
              <w:rPr>
                <w:rFonts w:ascii="Calibri" w:hAnsi="Calibri" w:cs="Calibri"/>
              </w:rPr>
            </w:pPr>
            <w:r w:rsidRPr="00A23FB4">
              <w:rPr>
                <w:rFonts w:ascii="Calibri" w:hAnsi="Calibri" w:cs="Calibri"/>
              </w:rPr>
              <w:t>od 2,9 do 14,2</w:t>
            </w:r>
          </w:p>
          <w:p w14:paraId="3FFE2311" w14:textId="77777777" w:rsidR="008C66DB" w:rsidRPr="00A23FB4" w:rsidRDefault="008C66DB" w:rsidP="008C66DB">
            <w:pPr>
              <w:numPr>
                <w:ilvl w:val="12"/>
                <w:numId w:val="0"/>
              </w:numPr>
              <w:tabs>
                <w:tab w:val="left" w:pos="9914"/>
              </w:tabs>
              <w:rPr>
                <w:rFonts w:ascii="Calibri" w:hAnsi="Calibri" w:cs="Calibri"/>
              </w:rPr>
            </w:pPr>
            <w:r w:rsidRPr="00A23FB4">
              <w:rPr>
                <w:rFonts w:ascii="Calibri" w:hAnsi="Calibri" w:cs="Calibri"/>
              </w:rPr>
              <w:t>od 2,9 do 16,0</w:t>
            </w:r>
          </w:p>
          <w:p w14:paraId="1394075D" w14:textId="77777777" w:rsidR="008C66DB" w:rsidRPr="00A23FB4" w:rsidRDefault="008C66DB" w:rsidP="008C66DB">
            <w:pPr>
              <w:numPr>
                <w:ilvl w:val="12"/>
                <w:numId w:val="0"/>
              </w:numPr>
              <w:tabs>
                <w:tab w:val="left" w:pos="9914"/>
              </w:tabs>
              <w:rPr>
                <w:rFonts w:ascii="Calibri" w:hAnsi="Calibri" w:cs="Calibri"/>
              </w:rPr>
            </w:pPr>
            <w:r w:rsidRPr="00A23FB4">
              <w:rPr>
                <w:rFonts w:ascii="Calibri" w:hAnsi="Calibri" w:cs="Calibri"/>
              </w:rPr>
              <w:t>od 2,9 do 16,0</w:t>
            </w:r>
          </w:p>
          <w:p w14:paraId="30EB3980" w14:textId="77777777" w:rsidR="008C66DB" w:rsidRPr="00A23FB4" w:rsidRDefault="008C66DB" w:rsidP="008C66DB">
            <w:pPr>
              <w:numPr>
                <w:ilvl w:val="12"/>
                <w:numId w:val="0"/>
              </w:numPr>
              <w:tabs>
                <w:tab w:val="left" w:pos="9914"/>
              </w:tabs>
              <w:rPr>
                <w:rFonts w:ascii="Calibri" w:hAnsi="Calibri" w:cs="Calibri"/>
              </w:rPr>
            </w:pPr>
            <w:r w:rsidRPr="00A23FB4">
              <w:rPr>
                <w:rFonts w:ascii="Calibri" w:hAnsi="Calibri" w:cs="Calibri"/>
              </w:rPr>
              <w:t>od 2,9 do 20,0</w:t>
            </w:r>
          </w:p>
          <w:p w14:paraId="4B09BE9D" w14:textId="77777777" w:rsidR="008C66DB" w:rsidRPr="00A23FB4" w:rsidRDefault="008C66DB" w:rsidP="008C66DB">
            <w:pPr>
              <w:numPr>
                <w:ilvl w:val="12"/>
                <w:numId w:val="0"/>
              </w:numPr>
              <w:tabs>
                <w:tab w:val="left" w:pos="9914"/>
              </w:tabs>
              <w:rPr>
                <w:rFonts w:ascii="Calibri" w:hAnsi="Calibri" w:cs="Calibri"/>
              </w:rPr>
            </w:pPr>
            <w:r w:rsidRPr="00A23FB4">
              <w:rPr>
                <w:rFonts w:ascii="Calibri" w:hAnsi="Calibri" w:cs="Calibri"/>
              </w:rPr>
              <w:t>od 3,2 do 20,0</w:t>
            </w:r>
          </w:p>
          <w:p w14:paraId="4FE26214" w14:textId="77777777" w:rsidR="008C66DB" w:rsidRPr="00A23FB4" w:rsidRDefault="008C66DB" w:rsidP="008C66DB">
            <w:pPr>
              <w:numPr>
                <w:ilvl w:val="12"/>
                <w:numId w:val="0"/>
              </w:numPr>
              <w:tabs>
                <w:tab w:val="left" w:pos="9914"/>
              </w:tabs>
              <w:rPr>
                <w:rFonts w:ascii="Calibri" w:hAnsi="Calibri" w:cs="Calibri"/>
              </w:rPr>
            </w:pPr>
            <w:r w:rsidRPr="00A23FB4">
              <w:rPr>
                <w:rFonts w:ascii="Calibri" w:hAnsi="Calibri" w:cs="Calibri"/>
              </w:rPr>
              <w:t>od 3,2 do 34,0</w:t>
            </w:r>
          </w:p>
          <w:p w14:paraId="3AD97953" w14:textId="77777777" w:rsidR="008C66DB" w:rsidRPr="00A23FB4" w:rsidRDefault="008C66DB" w:rsidP="008C66DB">
            <w:pPr>
              <w:numPr>
                <w:ilvl w:val="12"/>
                <w:numId w:val="0"/>
              </w:numPr>
              <w:tabs>
                <w:tab w:val="left" w:pos="9914"/>
              </w:tabs>
              <w:rPr>
                <w:rFonts w:ascii="Calibri" w:hAnsi="Calibri" w:cs="Calibri"/>
              </w:rPr>
            </w:pPr>
            <w:r w:rsidRPr="00A23FB4">
              <w:rPr>
                <w:rFonts w:ascii="Calibri" w:hAnsi="Calibri" w:cs="Calibri"/>
              </w:rPr>
              <w:t>od 3,6 do 20,0</w:t>
            </w:r>
          </w:p>
          <w:p w14:paraId="441039BF" w14:textId="77777777" w:rsidR="008C66DB" w:rsidRPr="00A23FB4" w:rsidRDefault="008C66DB" w:rsidP="008C66DB">
            <w:pPr>
              <w:numPr>
                <w:ilvl w:val="12"/>
                <w:numId w:val="0"/>
              </w:numPr>
              <w:tabs>
                <w:tab w:val="left" w:pos="9914"/>
              </w:tabs>
              <w:rPr>
                <w:rFonts w:ascii="Calibri" w:hAnsi="Calibri" w:cs="Calibri"/>
              </w:rPr>
            </w:pPr>
            <w:r w:rsidRPr="00A23FB4">
              <w:rPr>
                <w:rFonts w:ascii="Calibri" w:hAnsi="Calibri" w:cs="Calibri"/>
              </w:rPr>
              <w:t>od 4,0 do 12,0</w:t>
            </w:r>
          </w:p>
          <w:p w14:paraId="3D843100" w14:textId="77777777" w:rsidR="008C66DB" w:rsidRPr="00A23FB4" w:rsidRDefault="008C66DB" w:rsidP="008C66DB">
            <w:pPr>
              <w:numPr>
                <w:ilvl w:val="12"/>
                <w:numId w:val="0"/>
              </w:numPr>
              <w:tabs>
                <w:tab w:val="left" w:pos="9914"/>
              </w:tabs>
              <w:rPr>
                <w:rFonts w:ascii="Calibri" w:hAnsi="Calibri" w:cs="Calibri"/>
              </w:rPr>
            </w:pPr>
            <w:r w:rsidRPr="00A23FB4">
              <w:rPr>
                <w:rFonts w:ascii="Calibri" w:hAnsi="Calibri" w:cs="Calibri"/>
              </w:rPr>
              <w:t>od 3,6 do 20,0</w:t>
            </w:r>
          </w:p>
          <w:p w14:paraId="135893F6" w14:textId="77777777" w:rsidR="008C66DB" w:rsidRPr="00A23FB4" w:rsidRDefault="008C66DB" w:rsidP="008C66DB">
            <w:pPr>
              <w:numPr>
                <w:ilvl w:val="12"/>
                <w:numId w:val="0"/>
              </w:numPr>
              <w:tabs>
                <w:tab w:val="left" w:pos="9914"/>
              </w:tabs>
              <w:rPr>
                <w:rFonts w:ascii="Calibri" w:hAnsi="Calibri" w:cs="Calibri"/>
              </w:rPr>
            </w:pPr>
            <w:r w:rsidRPr="00A23FB4">
              <w:rPr>
                <w:rFonts w:ascii="Calibri" w:hAnsi="Calibri" w:cs="Calibri"/>
              </w:rPr>
              <w:t>od 4,0 do 14,0</w:t>
            </w:r>
          </w:p>
          <w:p w14:paraId="4830F85E" w14:textId="77777777" w:rsidR="008C66DB" w:rsidRPr="00A23FB4" w:rsidRDefault="008C66DB" w:rsidP="008C66DB">
            <w:pPr>
              <w:numPr>
                <w:ilvl w:val="12"/>
                <w:numId w:val="0"/>
              </w:numPr>
              <w:tabs>
                <w:tab w:val="left" w:pos="9914"/>
              </w:tabs>
              <w:rPr>
                <w:rFonts w:ascii="Calibri" w:hAnsi="Calibri" w:cs="Calibri"/>
              </w:rPr>
            </w:pPr>
            <w:r w:rsidRPr="00A23FB4">
              <w:rPr>
                <w:rFonts w:ascii="Calibri" w:hAnsi="Calibri" w:cs="Calibri"/>
              </w:rPr>
              <w:t>od 3,6 do 20,0</w:t>
            </w:r>
          </w:p>
          <w:p w14:paraId="19B50A3D" w14:textId="77777777" w:rsidR="008C66DB" w:rsidRPr="00A23FB4" w:rsidRDefault="008C66DB" w:rsidP="008C66DB">
            <w:pPr>
              <w:numPr>
                <w:ilvl w:val="12"/>
                <w:numId w:val="0"/>
              </w:numPr>
              <w:tabs>
                <w:tab w:val="left" w:pos="9914"/>
              </w:tabs>
              <w:rPr>
                <w:rFonts w:ascii="Calibri" w:hAnsi="Calibri" w:cs="Calibri"/>
              </w:rPr>
            </w:pPr>
            <w:r w:rsidRPr="00A23FB4">
              <w:rPr>
                <w:rFonts w:ascii="Calibri" w:hAnsi="Calibri" w:cs="Calibri"/>
              </w:rPr>
              <w:t>od 4,0 do 16,0</w:t>
            </w:r>
          </w:p>
        </w:tc>
        <w:tc>
          <w:tcPr>
            <w:tcW w:w="1985" w:type="dxa"/>
            <w:tcBorders>
              <w:left w:val="single" w:sz="6" w:space="0" w:color="auto"/>
              <w:bottom w:val="single" w:sz="6" w:space="0" w:color="auto"/>
              <w:right w:val="single" w:sz="6" w:space="0" w:color="auto"/>
            </w:tcBorders>
          </w:tcPr>
          <w:p w14:paraId="515682B4" w14:textId="77777777" w:rsidR="008C66DB" w:rsidRPr="00A23FB4" w:rsidRDefault="008C66DB" w:rsidP="008C66DB">
            <w:pPr>
              <w:numPr>
                <w:ilvl w:val="12"/>
                <w:numId w:val="0"/>
              </w:numPr>
              <w:tabs>
                <w:tab w:val="left" w:pos="9914"/>
              </w:tabs>
              <w:rPr>
                <w:rFonts w:ascii="Calibri" w:hAnsi="Calibri" w:cs="Calibri"/>
              </w:rPr>
            </w:pPr>
            <w:r w:rsidRPr="00A23FB4">
              <w:rPr>
                <w:rFonts w:ascii="Calibri" w:hAnsi="Calibri" w:cs="Calibri"/>
              </w:rPr>
              <w:t>od 2,69 do 9,09</w:t>
            </w:r>
          </w:p>
          <w:p w14:paraId="7EE1043C" w14:textId="77777777" w:rsidR="008C66DB" w:rsidRPr="00A23FB4" w:rsidRDefault="008C66DB" w:rsidP="008C66DB">
            <w:pPr>
              <w:numPr>
                <w:ilvl w:val="12"/>
                <w:numId w:val="0"/>
              </w:numPr>
              <w:tabs>
                <w:tab w:val="left" w:pos="9914"/>
              </w:tabs>
              <w:rPr>
                <w:rFonts w:ascii="Calibri" w:hAnsi="Calibri" w:cs="Calibri"/>
              </w:rPr>
            </w:pPr>
            <w:r w:rsidRPr="00A23FB4">
              <w:rPr>
                <w:rFonts w:ascii="Calibri" w:hAnsi="Calibri" w:cs="Calibri"/>
              </w:rPr>
              <w:t>od 2,93 do 10,01</w:t>
            </w:r>
          </w:p>
          <w:p w14:paraId="196C71A1" w14:textId="77777777" w:rsidR="008C66DB" w:rsidRPr="00A23FB4" w:rsidRDefault="008C66DB" w:rsidP="008C66DB">
            <w:pPr>
              <w:numPr>
                <w:ilvl w:val="12"/>
                <w:numId w:val="0"/>
              </w:numPr>
              <w:tabs>
                <w:tab w:val="left" w:pos="9914"/>
              </w:tabs>
              <w:rPr>
                <w:rFonts w:ascii="Calibri" w:hAnsi="Calibri" w:cs="Calibri"/>
              </w:rPr>
            </w:pPr>
            <w:r w:rsidRPr="00A23FB4">
              <w:rPr>
                <w:rFonts w:ascii="Calibri" w:hAnsi="Calibri" w:cs="Calibri"/>
              </w:rPr>
              <w:t>od 3,10 do 11,9</w:t>
            </w:r>
          </w:p>
          <w:p w14:paraId="704FDC77" w14:textId="77777777" w:rsidR="008C66DB" w:rsidRPr="00A23FB4" w:rsidRDefault="008C66DB" w:rsidP="008C66DB">
            <w:pPr>
              <w:numPr>
                <w:ilvl w:val="12"/>
                <w:numId w:val="0"/>
              </w:numPr>
              <w:tabs>
                <w:tab w:val="left" w:pos="9914"/>
              </w:tabs>
              <w:rPr>
                <w:rFonts w:ascii="Calibri" w:hAnsi="Calibri" w:cs="Calibri"/>
              </w:rPr>
            </w:pPr>
            <w:r w:rsidRPr="00A23FB4">
              <w:rPr>
                <w:rFonts w:ascii="Calibri" w:hAnsi="Calibri" w:cs="Calibri"/>
              </w:rPr>
              <w:t>od 3,30 do 13,9</w:t>
            </w:r>
          </w:p>
          <w:p w14:paraId="42C9BD29" w14:textId="77777777" w:rsidR="008C66DB" w:rsidRPr="00A23FB4" w:rsidRDefault="008C66DB" w:rsidP="008C66DB">
            <w:pPr>
              <w:numPr>
                <w:ilvl w:val="12"/>
                <w:numId w:val="0"/>
              </w:numPr>
              <w:tabs>
                <w:tab w:val="left" w:pos="9914"/>
              </w:tabs>
              <w:rPr>
                <w:rFonts w:ascii="Calibri" w:hAnsi="Calibri" w:cs="Calibri"/>
              </w:rPr>
            </w:pPr>
            <w:r w:rsidRPr="00A23FB4">
              <w:rPr>
                <w:rFonts w:ascii="Calibri" w:hAnsi="Calibri" w:cs="Calibri"/>
              </w:rPr>
              <w:t>od 3,87 do 15,0</w:t>
            </w:r>
          </w:p>
          <w:p w14:paraId="506AB884" w14:textId="77777777" w:rsidR="008C66DB" w:rsidRPr="00A23FB4" w:rsidRDefault="008C66DB" w:rsidP="008C66DB">
            <w:pPr>
              <w:numPr>
                <w:ilvl w:val="12"/>
                <w:numId w:val="0"/>
              </w:numPr>
              <w:tabs>
                <w:tab w:val="left" w:pos="9914"/>
              </w:tabs>
              <w:rPr>
                <w:rFonts w:ascii="Calibri" w:hAnsi="Calibri" w:cs="Calibri"/>
              </w:rPr>
            </w:pPr>
            <w:r w:rsidRPr="00A23FB4">
              <w:rPr>
                <w:rFonts w:ascii="Calibri" w:hAnsi="Calibri" w:cs="Calibri"/>
              </w:rPr>
              <w:t>od 4,11 do 16,1</w:t>
            </w:r>
          </w:p>
          <w:p w14:paraId="29358C00" w14:textId="77777777" w:rsidR="008C66DB" w:rsidRPr="00A23FB4" w:rsidRDefault="008C66DB" w:rsidP="008C66DB">
            <w:pPr>
              <w:numPr>
                <w:ilvl w:val="12"/>
                <w:numId w:val="0"/>
              </w:numPr>
              <w:tabs>
                <w:tab w:val="left" w:pos="9914"/>
              </w:tabs>
              <w:rPr>
                <w:rFonts w:ascii="Calibri" w:hAnsi="Calibri" w:cs="Calibri"/>
              </w:rPr>
            </w:pPr>
            <w:r w:rsidRPr="00A23FB4">
              <w:rPr>
                <w:rFonts w:ascii="Calibri" w:hAnsi="Calibri" w:cs="Calibri"/>
              </w:rPr>
              <w:t>od 4,33 do 18,7</w:t>
            </w:r>
          </w:p>
          <w:p w14:paraId="0648B2FF" w14:textId="77777777" w:rsidR="008C66DB" w:rsidRPr="00A23FB4" w:rsidRDefault="008C66DB" w:rsidP="008C66DB">
            <w:pPr>
              <w:numPr>
                <w:ilvl w:val="12"/>
                <w:numId w:val="0"/>
              </w:numPr>
              <w:tabs>
                <w:tab w:val="left" w:pos="9914"/>
              </w:tabs>
              <w:rPr>
                <w:rFonts w:ascii="Calibri" w:hAnsi="Calibri" w:cs="Calibri"/>
              </w:rPr>
            </w:pPr>
            <w:r w:rsidRPr="00A23FB4">
              <w:rPr>
                <w:rFonts w:ascii="Calibri" w:hAnsi="Calibri" w:cs="Calibri"/>
              </w:rPr>
              <w:t>od 4,80 do 21,3</w:t>
            </w:r>
          </w:p>
          <w:p w14:paraId="2E078FB1" w14:textId="77777777" w:rsidR="008C66DB" w:rsidRPr="00A23FB4" w:rsidRDefault="008C66DB" w:rsidP="008C66DB">
            <w:pPr>
              <w:numPr>
                <w:ilvl w:val="12"/>
                <w:numId w:val="0"/>
              </w:numPr>
              <w:tabs>
                <w:tab w:val="left" w:pos="9914"/>
              </w:tabs>
              <w:rPr>
                <w:rFonts w:ascii="Calibri" w:hAnsi="Calibri" w:cs="Calibri"/>
              </w:rPr>
            </w:pPr>
            <w:r w:rsidRPr="00A23FB4">
              <w:rPr>
                <w:rFonts w:ascii="Calibri" w:hAnsi="Calibri" w:cs="Calibri"/>
              </w:rPr>
              <w:t>od 5,24 do 27,7</w:t>
            </w:r>
          </w:p>
          <w:p w14:paraId="732055D6" w14:textId="77777777" w:rsidR="008C66DB" w:rsidRPr="00A23FB4" w:rsidRDefault="008C66DB" w:rsidP="008C66DB">
            <w:pPr>
              <w:numPr>
                <w:ilvl w:val="12"/>
                <w:numId w:val="0"/>
              </w:numPr>
              <w:tabs>
                <w:tab w:val="left" w:pos="9914"/>
              </w:tabs>
              <w:rPr>
                <w:rFonts w:ascii="Calibri" w:hAnsi="Calibri" w:cs="Calibri"/>
              </w:rPr>
            </w:pPr>
            <w:r w:rsidRPr="00A23FB4">
              <w:rPr>
                <w:rFonts w:ascii="Calibri" w:hAnsi="Calibri" w:cs="Calibri"/>
              </w:rPr>
              <w:t>od 6,26 do 30,8</w:t>
            </w:r>
          </w:p>
          <w:p w14:paraId="3A89D918" w14:textId="77777777" w:rsidR="008C66DB" w:rsidRPr="00A23FB4" w:rsidRDefault="008C66DB" w:rsidP="008C66DB">
            <w:pPr>
              <w:numPr>
                <w:ilvl w:val="12"/>
                <w:numId w:val="0"/>
              </w:numPr>
              <w:tabs>
                <w:tab w:val="left" w:pos="9914"/>
              </w:tabs>
              <w:rPr>
                <w:rFonts w:ascii="Calibri" w:hAnsi="Calibri" w:cs="Calibri"/>
              </w:rPr>
            </w:pPr>
            <w:r w:rsidRPr="00A23FB4">
              <w:rPr>
                <w:rFonts w:ascii="Calibri" w:hAnsi="Calibri" w:cs="Calibri"/>
              </w:rPr>
              <w:t>od 6,76 do 34,0</w:t>
            </w:r>
          </w:p>
          <w:p w14:paraId="555A4C5A" w14:textId="77777777" w:rsidR="008C66DB" w:rsidRPr="00A23FB4" w:rsidRDefault="008C66DB" w:rsidP="008C66DB">
            <w:pPr>
              <w:numPr>
                <w:ilvl w:val="12"/>
                <w:numId w:val="0"/>
              </w:numPr>
              <w:tabs>
                <w:tab w:val="left" w:pos="9914"/>
              </w:tabs>
              <w:rPr>
                <w:rFonts w:ascii="Calibri" w:hAnsi="Calibri" w:cs="Calibri"/>
              </w:rPr>
            </w:pPr>
            <w:r w:rsidRPr="00A23FB4">
              <w:rPr>
                <w:rFonts w:ascii="Calibri" w:hAnsi="Calibri" w:cs="Calibri"/>
              </w:rPr>
              <w:t>od 8,70 do 40,2</w:t>
            </w:r>
          </w:p>
          <w:p w14:paraId="04300259" w14:textId="77777777" w:rsidR="008C66DB" w:rsidRPr="00A23FB4" w:rsidRDefault="008C66DB" w:rsidP="008C66DB">
            <w:pPr>
              <w:numPr>
                <w:ilvl w:val="12"/>
                <w:numId w:val="0"/>
              </w:numPr>
              <w:tabs>
                <w:tab w:val="left" w:pos="9914"/>
              </w:tabs>
              <w:rPr>
                <w:rFonts w:ascii="Calibri" w:hAnsi="Calibri" w:cs="Calibri"/>
              </w:rPr>
            </w:pPr>
            <w:r w:rsidRPr="00A23FB4">
              <w:rPr>
                <w:rFonts w:ascii="Calibri" w:hAnsi="Calibri" w:cs="Calibri"/>
              </w:rPr>
              <w:t>od 9,67 do 26,6</w:t>
            </w:r>
          </w:p>
          <w:p w14:paraId="40D6C827" w14:textId="77777777" w:rsidR="008C66DB" w:rsidRPr="00A23FB4" w:rsidRDefault="008C66DB" w:rsidP="008C66DB">
            <w:pPr>
              <w:numPr>
                <w:ilvl w:val="12"/>
                <w:numId w:val="0"/>
              </w:numPr>
              <w:tabs>
                <w:tab w:val="left" w:pos="9914"/>
              </w:tabs>
              <w:rPr>
                <w:rFonts w:ascii="Calibri" w:hAnsi="Calibri" w:cs="Calibri"/>
              </w:rPr>
            </w:pPr>
            <w:r w:rsidRPr="00A23FB4">
              <w:rPr>
                <w:rFonts w:ascii="Calibri" w:hAnsi="Calibri" w:cs="Calibri"/>
              </w:rPr>
              <w:t>od 9,27 do 43,4</w:t>
            </w:r>
          </w:p>
          <w:p w14:paraId="0AC96660" w14:textId="77777777" w:rsidR="008C66DB" w:rsidRPr="00A23FB4" w:rsidRDefault="008C66DB" w:rsidP="008C66DB">
            <w:pPr>
              <w:numPr>
                <w:ilvl w:val="12"/>
                <w:numId w:val="0"/>
              </w:numPr>
              <w:tabs>
                <w:tab w:val="left" w:pos="9914"/>
              </w:tabs>
              <w:rPr>
                <w:rFonts w:ascii="Calibri" w:hAnsi="Calibri" w:cs="Calibri"/>
              </w:rPr>
            </w:pPr>
            <w:r w:rsidRPr="00A23FB4">
              <w:rPr>
                <w:rFonts w:ascii="Calibri" w:hAnsi="Calibri" w:cs="Calibri"/>
              </w:rPr>
              <w:t>od 10,9 do 34,5</w:t>
            </w:r>
          </w:p>
          <w:p w14:paraId="6B691B0F" w14:textId="77777777" w:rsidR="008C66DB" w:rsidRPr="00A23FB4" w:rsidRDefault="008C66DB" w:rsidP="008C66DB">
            <w:pPr>
              <w:numPr>
                <w:ilvl w:val="12"/>
                <w:numId w:val="0"/>
              </w:numPr>
              <w:tabs>
                <w:tab w:val="left" w:pos="9914"/>
              </w:tabs>
              <w:rPr>
                <w:rFonts w:ascii="Calibri" w:hAnsi="Calibri" w:cs="Calibri"/>
              </w:rPr>
            </w:pPr>
            <w:r w:rsidRPr="00A23FB4">
              <w:rPr>
                <w:rFonts w:ascii="Calibri" w:hAnsi="Calibri" w:cs="Calibri"/>
              </w:rPr>
              <w:t>od 9,83 do 46,5</w:t>
            </w:r>
          </w:p>
          <w:p w14:paraId="3A3FF267" w14:textId="77777777" w:rsidR="008C66DB" w:rsidRPr="00A23FB4" w:rsidRDefault="008C66DB" w:rsidP="008C66DB">
            <w:pPr>
              <w:numPr>
                <w:ilvl w:val="12"/>
                <w:numId w:val="0"/>
              </w:numPr>
              <w:tabs>
                <w:tab w:val="left" w:pos="9914"/>
              </w:tabs>
              <w:rPr>
                <w:rFonts w:ascii="Calibri" w:hAnsi="Calibri" w:cs="Calibri"/>
              </w:rPr>
            </w:pPr>
            <w:r w:rsidRPr="00A23FB4">
              <w:rPr>
                <w:rFonts w:ascii="Calibri" w:hAnsi="Calibri" w:cs="Calibri"/>
              </w:rPr>
              <w:t>od 11,5 do 41,4</w:t>
            </w:r>
          </w:p>
        </w:tc>
        <w:tc>
          <w:tcPr>
            <w:tcW w:w="1241" w:type="dxa"/>
            <w:tcBorders>
              <w:left w:val="single" w:sz="6" w:space="0" w:color="auto"/>
              <w:bottom w:val="single" w:sz="6" w:space="0" w:color="auto"/>
              <w:right w:val="single" w:sz="6" w:space="0" w:color="auto"/>
            </w:tcBorders>
          </w:tcPr>
          <w:p w14:paraId="42433F3F" w14:textId="77777777" w:rsidR="008C66DB" w:rsidRPr="00A23FB4" w:rsidRDefault="008C66DB" w:rsidP="008C66DB">
            <w:pPr>
              <w:numPr>
                <w:ilvl w:val="12"/>
                <w:numId w:val="0"/>
              </w:numPr>
              <w:tabs>
                <w:tab w:val="left" w:pos="9914"/>
              </w:tabs>
              <w:rPr>
                <w:rFonts w:ascii="Calibri" w:hAnsi="Calibri" w:cs="Calibri"/>
              </w:rPr>
            </w:pPr>
          </w:p>
          <w:p w14:paraId="28DE27F5" w14:textId="77777777" w:rsidR="008C66DB" w:rsidRPr="00A23FB4" w:rsidRDefault="008C66DB" w:rsidP="008C66DB">
            <w:pPr>
              <w:numPr>
                <w:ilvl w:val="12"/>
                <w:numId w:val="0"/>
              </w:numPr>
              <w:tabs>
                <w:tab w:val="left" w:pos="9914"/>
              </w:tabs>
              <w:rPr>
                <w:rFonts w:ascii="Calibri" w:hAnsi="Calibri" w:cs="Calibri"/>
              </w:rPr>
            </w:pPr>
            <w:r w:rsidRPr="00A23FB4">
              <w:rPr>
                <w:rFonts w:ascii="Calibri" w:hAnsi="Calibri" w:cs="Calibri"/>
              </w:rPr>
              <w:t>± 1,25 %</w:t>
            </w:r>
          </w:p>
        </w:tc>
        <w:tc>
          <w:tcPr>
            <w:tcW w:w="1241" w:type="dxa"/>
            <w:tcBorders>
              <w:left w:val="single" w:sz="6" w:space="0" w:color="auto"/>
              <w:bottom w:val="single" w:sz="6" w:space="0" w:color="auto"/>
              <w:right w:val="single" w:sz="6" w:space="0" w:color="auto"/>
            </w:tcBorders>
          </w:tcPr>
          <w:p w14:paraId="6DAFB433" w14:textId="77777777" w:rsidR="008C66DB" w:rsidRPr="00A23FB4" w:rsidRDefault="008C66DB" w:rsidP="008C66DB">
            <w:pPr>
              <w:numPr>
                <w:ilvl w:val="12"/>
                <w:numId w:val="0"/>
              </w:numPr>
              <w:tabs>
                <w:tab w:val="left" w:pos="9914"/>
              </w:tabs>
              <w:rPr>
                <w:rFonts w:ascii="Calibri" w:hAnsi="Calibri" w:cs="Calibri"/>
              </w:rPr>
            </w:pPr>
          </w:p>
          <w:p w14:paraId="08A0EC56" w14:textId="77777777" w:rsidR="008C66DB" w:rsidRPr="00A23FB4" w:rsidRDefault="008C66DB" w:rsidP="008C66DB">
            <w:pPr>
              <w:numPr>
                <w:ilvl w:val="12"/>
                <w:numId w:val="0"/>
              </w:numPr>
              <w:tabs>
                <w:tab w:val="left" w:pos="9914"/>
              </w:tabs>
              <w:rPr>
                <w:rFonts w:ascii="Calibri" w:hAnsi="Calibri" w:cs="Calibri"/>
              </w:rPr>
            </w:pPr>
            <w:r w:rsidRPr="00A23FB4">
              <w:rPr>
                <w:rFonts w:ascii="Calibri" w:hAnsi="Calibri" w:cs="Calibri"/>
              </w:rPr>
              <w:t>± 15 %</w:t>
            </w:r>
          </w:p>
        </w:tc>
      </w:tr>
    </w:tbl>
    <w:p w14:paraId="67FCB222" w14:textId="77777777" w:rsidR="008C66DB" w:rsidRPr="00A23FB4" w:rsidRDefault="008C66DB" w:rsidP="008C66DB">
      <w:pPr>
        <w:numPr>
          <w:ilvl w:val="12"/>
          <w:numId w:val="0"/>
        </w:numPr>
        <w:tabs>
          <w:tab w:val="left" w:pos="9914"/>
        </w:tabs>
        <w:rPr>
          <w:rFonts w:ascii="Calibri" w:hAnsi="Calibri" w:cs="Calibri"/>
        </w:rPr>
      </w:pPr>
    </w:p>
    <w:p w14:paraId="644AC267" w14:textId="77777777" w:rsidR="008C66DB" w:rsidRPr="00A23FB4" w:rsidRDefault="008C66DB" w:rsidP="008C66DB">
      <w:pPr>
        <w:overflowPunct/>
        <w:autoSpaceDE/>
        <w:autoSpaceDN/>
        <w:adjustRightInd/>
        <w:spacing w:after="200" w:line="276" w:lineRule="auto"/>
        <w:jc w:val="left"/>
        <w:textAlignment w:val="auto"/>
        <w:rPr>
          <w:rFonts w:ascii="Calibri" w:hAnsi="Calibri" w:cs="Calibri"/>
          <w:b/>
          <w:bCs/>
          <w:i/>
          <w:iCs/>
        </w:rPr>
      </w:pPr>
      <w:r w:rsidRPr="00A23FB4">
        <w:rPr>
          <w:rFonts w:ascii="Calibri" w:hAnsi="Calibri" w:cs="Calibri"/>
          <w:b/>
          <w:bCs/>
          <w:i/>
          <w:iCs/>
        </w:rPr>
        <w:t>2.4.2. Rury</w:t>
      </w:r>
    </w:p>
    <w:p w14:paraId="2310D385" w14:textId="77777777" w:rsidR="008C66DB" w:rsidRPr="00A23FB4" w:rsidRDefault="008C66DB" w:rsidP="008C66DB">
      <w:pPr>
        <w:numPr>
          <w:ilvl w:val="12"/>
          <w:numId w:val="0"/>
        </w:numPr>
        <w:tabs>
          <w:tab w:val="left" w:pos="9914"/>
        </w:tabs>
        <w:rPr>
          <w:rFonts w:ascii="Calibri" w:hAnsi="Calibri" w:cs="Calibri"/>
        </w:rPr>
      </w:pPr>
      <w:r w:rsidRPr="00A23FB4">
        <w:rPr>
          <w:rFonts w:ascii="Calibri" w:hAnsi="Calibri" w:cs="Calibri"/>
        </w:rPr>
        <w:t>Rury powinny odpowiadać wymaganiom PN-H-74219, PN-H-74220 lub innej normy zaakceptowanej przez Inżyniera/Kierownika projektu.</w:t>
      </w:r>
    </w:p>
    <w:p w14:paraId="578F5095" w14:textId="77777777" w:rsidR="008C66DB" w:rsidRPr="00A23FB4" w:rsidRDefault="008C66DB" w:rsidP="008C66DB">
      <w:pPr>
        <w:numPr>
          <w:ilvl w:val="12"/>
          <w:numId w:val="0"/>
        </w:numPr>
        <w:tabs>
          <w:tab w:val="left" w:pos="9914"/>
        </w:tabs>
        <w:rPr>
          <w:rFonts w:ascii="Calibri" w:hAnsi="Calibri" w:cs="Calibri"/>
        </w:rPr>
      </w:pPr>
      <w:r w:rsidRPr="00A23FB4">
        <w:rPr>
          <w:rFonts w:ascii="Calibri" w:hAnsi="Calibri" w:cs="Calibri"/>
        </w:rPr>
        <w:t>Powierzchnia zewnętrzna i wewnętrzna rur nie powinna wykazywać wad w postaci łusek, pęknięć, zwalcowań i naderwań. Dopuszczalne są nieznaczne nierówności, pojedyncze rysy wynikające z procesu wytwarzania, mieszczące się w granicach dopuszczalnych odchyłek wymiarowych.</w:t>
      </w:r>
    </w:p>
    <w:p w14:paraId="301357F8" w14:textId="77777777" w:rsidR="008C66DB" w:rsidRPr="00A23FB4" w:rsidRDefault="008C66DB" w:rsidP="008C66DB">
      <w:pPr>
        <w:numPr>
          <w:ilvl w:val="12"/>
          <w:numId w:val="0"/>
        </w:numPr>
        <w:tabs>
          <w:tab w:val="left" w:pos="9914"/>
        </w:tabs>
        <w:rPr>
          <w:rFonts w:ascii="Calibri" w:hAnsi="Calibri" w:cs="Calibri"/>
        </w:rPr>
      </w:pPr>
      <w:r w:rsidRPr="00A23FB4">
        <w:rPr>
          <w:rFonts w:ascii="Calibri" w:hAnsi="Calibri" w:cs="Calibri"/>
        </w:rPr>
        <w:t>Końce rur powinny być obcięte równo i prostopadle do osi rury.</w:t>
      </w:r>
    </w:p>
    <w:p w14:paraId="712297E3" w14:textId="77777777" w:rsidR="008C66DB" w:rsidRPr="00A23FB4" w:rsidRDefault="008C66DB" w:rsidP="008C66DB">
      <w:pPr>
        <w:numPr>
          <w:ilvl w:val="12"/>
          <w:numId w:val="0"/>
        </w:numPr>
        <w:tabs>
          <w:tab w:val="left" w:pos="9914"/>
        </w:tabs>
        <w:rPr>
          <w:rFonts w:ascii="Calibri" w:hAnsi="Calibri" w:cs="Calibri"/>
        </w:rPr>
      </w:pPr>
      <w:r w:rsidRPr="00A23FB4">
        <w:rPr>
          <w:rFonts w:ascii="Calibri" w:hAnsi="Calibri" w:cs="Calibri"/>
        </w:rPr>
        <w:t>Pożądane jest, aby rury były dostarczane o długościach:</w:t>
      </w:r>
    </w:p>
    <w:p w14:paraId="5729D4A7" w14:textId="77777777" w:rsidR="008C66DB" w:rsidRPr="00A23FB4" w:rsidRDefault="008C66DB" w:rsidP="00262498">
      <w:pPr>
        <w:numPr>
          <w:ilvl w:val="0"/>
          <w:numId w:val="17"/>
        </w:numPr>
        <w:tabs>
          <w:tab w:val="left" w:pos="9914"/>
        </w:tabs>
        <w:ind w:left="283"/>
        <w:rPr>
          <w:rFonts w:ascii="Calibri" w:hAnsi="Calibri" w:cs="Calibri"/>
        </w:rPr>
      </w:pPr>
      <w:r w:rsidRPr="00A23FB4">
        <w:rPr>
          <w:rFonts w:ascii="Calibri" w:hAnsi="Calibri" w:cs="Calibri"/>
        </w:rPr>
        <w:t>dokładnych, zgodnych z zamówieniem; z dopuszczalną odchyłką ± 10 mm,</w:t>
      </w:r>
    </w:p>
    <w:p w14:paraId="7ACFE7CD" w14:textId="77777777" w:rsidR="008C66DB" w:rsidRPr="00A23FB4" w:rsidRDefault="008C66DB" w:rsidP="00262498">
      <w:pPr>
        <w:numPr>
          <w:ilvl w:val="0"/>
          <w:numId w:val="17"/>
        </w:numPr>
        <w:tabs>
          <w:tab w:val="left" w:pos="9914"/>
        </w:tabs>
        <w:ind w:left="283"/>
        <w:rPr>
          <w:rFonts w:ascii="Calibri" w:hAnsi="Calibri" w:cs="Calibri"/>
        </w:rPr>
      </w:pPr>
      <w:r w:rsidRPr="00A23FB4">
        <w:rPr>
          <w:rFonts w:ascii="Calibri" w:hAnsi="Calibri" w:cs="Calibri"/>
        </w:rPr>
        <w:t>wielokrotnych w stosunku do zamówionych długości dokładnych poniżej 3 m z naddatkiem 5 mm na każde cięcie i z dopuszczalną odchyłką dla całej długości wielokrotnej, jak dla długości dokładnych.</w:t>
      </w:r>
    </w:p>
    <w:p w14:paraId="14FC9B36" w14:textId="77777777" w:rsidR="008C66DB" w:rsidRPr="00A23FB4" w:rsidRDefault="008C66DB" w:rsidP="008C66DB">
      <w:pPr>
        <w:tabs>
          <w:tab w:val="left" w:pos="9914"/>
        </w:tabs>
        <w:rPr>
          <w:rFonts w:ascii="Calibri" w:hAnsi="Calibri" w:cs="Calibri"/>
        </w:rPr>
      </w:pPr>
      <w:r w:rsidRPr="00A23FB4">
        <w:rPr>
          <w:rFonts w:ascii="Calibri" w:hAnsi="Calibri" w:cs="Calibri"/>
        </w:rPr>
        <w:t>Rury powinny być proste. Dopuszczalna miejscowa krzywizna nie powinna przekraczać 1,5 mm na 1 m długości rury.</w:t>
      </w:r>
    </w:p>
    <w:p w14:paraId="39DB2449" w14:textId="77777777" w:rsidR="008C66DB" w:rsidRPr="00A23FB4" w:rsidRDefault="008C66DB" w:rsidP="008C66DB">
      <w:pPr>
        <w:tabs>
          <w:tab w:val="left" w:pos="9914"/>
        </w:tabs>
        <w:rPr>
          <w:rFonts w:ascii="Calibri" w:hAnsi="Calibri" w:cs="Calibri"/>
        </w:rPr>
      </w:pPr>
      <w:r w:rsidRPr="00A23FB4">
        <w:rPr>
          <w:rFonts w:ascii="Calibri" w:hAnsi="Calibri" w:cs="Calibri"/>
        </w:rPr>
        <w:t>Rury powinny być wykonane ze stali w gatunkach dopuszczonych przez normy (np. R 55, R 65, 18G2A): PN-H-84023-07, PN-H-84018, PN-H-84019, PN-H-84030-02 lub inne normy.</w:t>
      </w:r>
    </w:p>
    <w:p w14:paraId="270BCACE" w14:textId="77777777" w:rsidR="008C66DB" w:rsidRPr="00A23FB4" w:rsidRDefault="008C66DB" w:rsidP="008C66DB">
      <w:pPr>
        <w:tabs>
          <w:tab w:val="left" w:pos="9914"/>
        </w:tabs>
        <w:rPr>
          <w:rFonts w:ascii="Calibri" w:hAnsi="Calibri" w:cs="Calibri"/>
        </w:rPr>
      </w:pPr>
      <w:r w:rsidRPr="00A23FB4">
        <w:rPr>
          <w:rFonts w:ascii="Calibri" w:hAnsi="Calibri" w:cs="Calibri"/>
        </w:rPr>
        <w:t>Do ocynkowania rur stosuje się gatunek cynku Raf według PN-H-82200.</w:t>
      </w:r>
    </w:p>
    <w:p w14:paraId="0A7002DA" w14:textId="77777777" w:rsidR="008C66DB" w:rsidRPr="00A23FB4" w:rsidRDefault="008C66DB" w:rsidP="008C66DB">
      <w:pPr>
        <w:tabs>
          <w:tab w:val="left" w:pos="9914"/>
        </w:tabs>
        <w:rPr>
          <w:rFonts w:ascii="Calibri" w:hAnsi="Calibri" w:cs="Calibri"/>
        </w:rPr>
      </w:pPr>
      <w:r w:rsidRPr="00A23FB4">
        <w:rPr>
          <w:rFonts w:ascii="Calibri" w:hAnsi="Calibri" w:cs="Calibri"/>
        </w:rPr>
        <w:t>Rury powinny być dostarczone bez opakowania w wiązkach lub luzem względnie w opakowaniu uzgodnionym z Zamawiającym. Rury powinny być cechowane indywidualnie (dotyczy średnic 31,8 mm i większych i grubości ścianek 3,2 mm i większych) lub na przywieszkach metalowych (dotyczy średnic i grubości mniejszych od wyżej wymienionych). Cechowanie na rurze lub przywieszce powinno co najmniej obejmować: znak wytwórcy, znak stali i numer wytopu.</w:t>
      </w:r>
    </w:p>
    <w:p w14:paraId="062A19A6" w14:textId="77777777" w:rsidR="008C66DB" w:rsidRPr="00A23FB4" w:rsidRDefault="008C66DB" w:rsidP="008C66DB">
      <w:pPr>
        <w:pStyle w:val="Nagwek4"/>
        <w:tabs>
          <w:tab w:val="left" w:pos="9914"/>
        </w:tabs>
        <w:rPr>
          <w:rFonts w:ascii="Calibri" w:hAnsi="Calibri" w:cs="Calibri"/>
        </w:rPr>
      </w:pPr>
      <w:r w:rsidRPr="00A23FB4">
        <w:rPr>
          <w:rFonts w:ascii="Calibri" w:hAnsi="Calibri" w:cs="Calibri"/>
        </w:rPr>
        <w:t>2.5. Tarcza znaku</w:t>
      </w:r>
    </w:p>
    <w:p w14:paraId="1826AE7A" w14:textId="77777777" w:rsidR="008C66DB" w:rsidRPr="00A23FB4" w:rsidRDefault="008C66DB" w:rsidP="008C66DB">
      <w:pPr>
        <w:numPr>
          <w:ilvl w:val="12"/>
          <w:numId w:val="0"/>
        </w:numPr>
        <w:tabs>
          <w:tab w:val="left" w:pos="9914"/>
        </w:tabs>
        <w:rPr>
          <w:rFonts w:ascii="Calibri" w:hAnsi="Calibri" w:cs="Calibri"/>
          <w:b/>
          <w:bCs/>
          <w:i/>
          <w:iCs/>
        </w:rPr>
      </w:pPr>
      <w:r w:rsidRPr="00A23FB4">
        <w:rPr>
          <w:rFonts w:ascii="Calibri" w:hAnsi="Calibri" w:cs="Calibri"/>
          <w:b/>
          <w:bCs/>
          <w:i/>
          <w:iCs/>
        </w:rPr>
        <w:t>2.5.1.  Trwałość materiałów na wpływy zewnętrzne</w:t>
      </w:r>
    </w:p>
    <w:p w14:paraId="1F004880" w14:textId="77777777" w:rsidR="008C66DB" w:rsidRPr="00A23FB4" w:rsidRDefault="008C66DB" w:rsidP="008C66DB">
      <w:pPr>
        <w:tabs>
          <w:tab w:val="left" w:pos="9914"/>
        </w:tabs>
        <w:rPr>
          <w:rFonts w:ascii="Calibri" w:hAnsi="Calibri" w:cs="Calibri"/>
        </w:rPr>
      </w:pPr>
      <w:r w:rsidRPr="00A23FB4">
        <w:rPr>
          <w:rFonts w:ascii="Calibri" w:hAnsi="Calibri" w:cs="Calibri"/>
        </w:rPr>
        <w:t>Materiały użyte na lico i tarczę znaku oraz połączenie lica znaku z tarczą znaku, a także sposób wykończenia znaku, muszą wykazywać pełną odporność na oddziaływanie światła, zmian temperatury, wpływy atmosferyczne i występujące w normalnych warunkach oddziaływania chemiczne (w tym korozję elektrochemiczną) - przez cały czas trwałości znaku, określony przez wytwórcę lub dostawcę.</w:t>
      </w:r>
    </w:p>
    <w:p w14:paraId="68EA2998" w14:textId="77777777" w:rsidR="008C66DB" w:rsidRPr="00A23FB4" w:rsidRDefault="008C66DB" w:rsidP="008C66DB">
      <w:pPr>
        <w:numPr>
          <w:ilvl w:val="12"/>
          <w:numId w:val="0"/>
        </w:numPr>
        <w:tabs>
          <w:tab w:val="left" w:pos="9914"/>
        </w:tabs>
        <w:rPr>
          <w:rFonts w:ascii="Calibri" w:hAnsi="Calibri" w:cs="Calibri"/>
          <w:b/>
          <w:bCs/>
          <w:i/>
          <w:iCs/>
        </w:rPr>
      </w:pPr>
      <w:r w:rsidRPr="00A23FB4">
        <w:rPr>
          <w:rFonts w:ascii="Calibri" w:hAnsi="Calibri" w:cs="Calibri"/>
          <w:b/>
          <w:bCs/>
          <w:i/>
          <w:iCs/>
        </w:rPr>
        <w:t>2.5.2. Warunki gwarancyjne producenta lub dostawcy znaku</w:t>
      </w:r>
    </w:p>
    <w:p w14:paraId="7A4A96EA" w14:textId="77777777" w:rsidR="008C66DB" w:rsidRPr="00A23FB4" w:rsidRDefault="008C66DB" w:rsidP="008C66DB">
      <w:pPr>
        <w:tabs>
          <w:tab w:val="left" w:pos="9914"/>
        </w:tabs>
        <w:rPr>
          <w:rFonts w:ascii="Calibri" w:hAnsi="Calibri" w:cs="Calibri"/>
        </w:rPr>
      </w:pPr>
      <w:r w:rsidRPr="00A23FB4">
        <w:rPr>
          <w:rFonts w:ascii="Calibri" w:hAnsi="Calibri" w:cs="Calibri"/>
        </w:rPr>
        <w:t>Producent lub dostawca znaku obowiązany jest przy dostawie określić, uzgodnioną z odbiorcą, trwałość znaku oraz warunki gwarancyjne dla znaku, a także udostępnić na życzenie odbiorcy:</w:t>
      </w:r>
    </w:p>
    <w:p w14:paraId="1A8C8206" w14:textId="77777777" w:rsidR="008C66DB" w:rsidRPr="00A23FB4" w:rsidRDefault="008C66DB" w:rsidP="00262498">
      <w:pPr>
        <w:numPr>
          <w:ilvl w:val="0"/>
          <w:numId w:val="18"/>
        </w:numPr>
        <w:tabs>
          <w:tab w:val="left" w:pos="9914"/>
        </w:tabs>
        <w:rPr>
          <w:rFonts w:ascii="Calibri" w:hAnsi="Calibri" w:cs="Calibri"/>
        </w:rPr>
      </w:pPr>
      <w:r w:rsidRPr="00A23FB4">
        <w:rPr>
          <w:rFonts w:ascii="Calibri" w:hAnsi="Calibri" w:cs="Calibri"/>
        </w:rPr>
        <w:t>instrukcję montażu znaku,</w:t>
      </w:r>
    </w:p>
    <w:p w14:paraId="1B64F321" w14:textId="77777777" w:rsidR="008C66DB" w:rsidRPr="00A23FB4" w:rsidRDefault="008C66DB" w:rsidP="00262498">
      <w:pPr>
        <w:numPr>
          <w:ilvl w:val="0"/>
          <w:numId w:val="18"/>
        </w:numPr>
        <w:tabs>
          <w:tab w:val="left" w:pos="9914"/>
        </w:tabs>
        <w:rPr>
          <w:rFonts w:ascii="Calibri" w:hAnsi="Calibri" w:cs="Calibri"/>
        </w:rPr>
      </w:pPr>
      <w:r w:rsidRPr="00A23FB4">
        <w:rPr>
          <w:rFonts w:ascii="Calibri" w:hAnsi="Calibri" w:cs="Calibri"/>
        </w:rPr>
        <w:t>dane szczegółowe o ewentualnych ograniczeniach w stosowaniu znaku,</w:t>
      </w:r>
    </w:p>
    <w:p w14:paraId="0ACFEF64" w14:textId="77777777" w:rsidR="008C66DB" w:rsidRPr="00A23FB4" w:rsidRDefault="008C66DB" w:rsidP="00262498">
      <w:pPr>
        <w:numPr>
          <w:ilvl w:val="0"/>
          <w:numId w:val="18"/>
        </w:numPr>
        <w:tabs>
          <w:tab w:val="left" w:pos="9914"/>
        </w:tabs>
        <w:rPr>
          <w:rFonts w:ascii="Calibri" w:hAnsi="Calibri" w:cs="Calibri"/>
        </w:rPr>
      </w:pPr>
      <w:r w:rsidRPr="00A23FB4">
        <w:rPr>
          <w:rFonts w:ascii="Calibri" w:hAnsi="Calibri" w:cs="Calibri"/>
        </w:rPr>
        <w:t>instrukcję utrzymania znaku.</w:t>
      </w:r>
    </w:p>
    <w:p w14:paraId="661F7DDB" w14:textId="77777777" w:rsidR="008C66DB" w:rsidRPr="00A23FB4" w:rsidRDefault="008C66DB" w:rsidP="008C66DB">
      <w:pPr>
        <w:numPr>
          <w:ilvl w:val="12"/>
          <w:numId w:val="0"/>
        </w:numPr>
        <w:tabs>
          <w:tab w:val="left" w:pos="9914"/>
        </w:tabs>
        <w:rPr>
          <w:rFonts w:ascii="Calibri" w:hAnsi="Calibri" w:cs="Calibri"/>
          <w:b/>
          <w:bCs/>
          <w:i/>
          <w:iCs/>
        </w:rPr>
      </w:pPr>
      <w:r w:rsidRPr="00A23FB4">
        <w:rPr>
          <w:rFonts w:ascii="Calibri" w:hAnsi="Calibri" w:cs="Calibri"/>
          <w:b/>
          <w:bCs/>
          <w:i/>
          <w:iCs/>
        </w:rPr>
        <w:t>2.5.3. Materiały do wykonania tarczy znaku</w:t>
      </w:r>
    </w:p>
    <w:p w14:paraId="612C330B" w14:textId="77777777" w:rsidR="008C66DB" w:rsidRPr="00A23FB4" w:rsidRDefault="008C66DB" w:rsidP="008C66DB">
      <w:pPr>
        <w:tabs>
          <w:tab w:val="left" w:pos="9914"/>
        </w:tabs>
        <w:rPr>
          <w:rFonts w:ascii="Calibri" w:hAnsi="Calibri" w:cs="Calibri"/>
        </w:rPr>
      </w:pPr>
      <w:r w:rsidRPr="00A23FB4">
        <w:rPr>
          <w:rFonts w:ascii="Calibri" w:hAnsi="Calibri" w:cs="Calibri"/>
        </w:rPr>
        <w:t>Materiałem stosowanymi do wykonania tarczy znaku drogowego jest blacha stalowa,</w:t>
      </w:r>
    </w:p>
    <w:p w14:paraId="77AF09D4" w14:textId="77777777" w:rsidR="008C66DB" w:rsidRPr="00A23FB4" w:rsidRDefault="008C66DB" w:rsidP="008C66DB">
      <w:pPr>
        <w:numPr>
          <w:ilvl w:val="12"/>
          <w:numId w:val="0"/>
        </w:numPr>
        <w:tabs>
          <w:tab w:val="left" w:pos="9914"/>
        </w:tabs>
        <w:rPr>
          <w:rFonts w:ascii="Calibri" w:hAnsi="Calibri" w:cs="Calibri"/>
          <w:b/>
          <w:bCs/>
          <w:i/>
          <w:iCs/>
        </w:rPr>
      </w:pPr>
      <w:r w:rsidRPr="00A23FB4">
        <w:rPr>
          <w:rFonts w:ascii="Calibri" w:hAnsi="Calibri" w:cs="Calibri"/>
          <w:b/>
          <w:bCs/>
          <w:i/>
          <w:iCs/>
        </w:rPr>
        <w:t>2.5.4. Tarcza znaku z blachy stalowej</w:t>
      </w:r>
    </w:p>
    <w:p w14:paraId="11190C3F" w14:textId="77777777" w:rsidR="008C66DB" w:rsidRPr="00A23FB4" w:rsidRDefault="008C66DB" w:rsidP="008C66DB">
      <w:pPr>
        <w:numPr>
          <w:ilvl w:val="12"/>
          <w:numId w:val="0"/>
        </w:numPr>
        <w:tabs>
          <w:tab w:val="left" w:pos="9914"/>
        </w:tabs>
        <w:rPr>
          <w:rFonts w:ascii="Calibri" w:hAnsi="Calibri" w:cs="Calibri"/>
        </w:rPr>
      </w:pPr>
      <w:r w:rsidRPr="00A23FB4">
        <w:rPr>
          <w:rFonts w:ascii="Calibri" w:hAnsi="Calibri" w:cs="Calibri"/>
        </w:rPr>
        <w:t>Tarcza znaku z blachy stalowej grubości co najmniej 1,0 mm powinna być zabezpieczona przed korozją obustronnie cynkowaniem ogniowym lub elektrolitycznym. Dopuszcza się stosowanie innych sposobów zabezpieczenia stalowych tarcz znaków przed korozją, np. przez metalizowanie lub pokrywanie tworzywami syntetycznymi pod warunkiem uzyskania aprobaty technicznej dla danej technologii.</w:t>
      </w:r>
    </w:p>
    <w:p w14:paraId="08F774AD" w14:textId="77777777" w:rsidR="008C66DB" w:rsidRPr="00A23FB4" w:rsidRDefault="008C66DB" w:rsidP="008C66DB">
      <w:pPr>
        <w:numPr>
          <w:ilvl w:val="12"/>
          <w:numId w:val="0"/>
        </w:numPr>
        <w:tabs>
          <w:tab w:val="left" w:pos="9914"/>
        </w:tabs>
        <w:rPr>
          <w:rFonts w:ascii="Calibri" w:hAnsi="Calibri" w:cs="Calibri"/>
        </w:rPr>
      </w:pPr>
      <w:r w:rsidRPr="00A23FB4">
        <w:rPr>
          <w:rFonts w:ascii="Calibri" w:hAnsi="Calibri" w:cs="Calibri"/>
        </w:rPr>
        <w:t>Nie dopuszcza się stosowania stalowych tarcz znaków, zabezpieczonych przed korozją jedynie farbami antykorozyjnymi.</w:t>
      </w:r>
    </w:p>
    <w:p w14:paraId="1843D5A2" w14:textId="77777777" w:rsidR="008C66DB" w:rsidRPr="00A23FB4" w:rsidRDefault="008C66DB" w:rsidP="008C66DB">
      <w:pPr>
        <w:numPr>
          <w:ilvl w:val="12"/>
          <w:numId w:val="0"/>
        </w:numPr>
        <w:tabs>
          <w:tab w:val="left" w:pos="9914"/>
        </w:tabs>
        <w:rPr>
          <w:rFonts w:ascii="Calibri" w:hAnsi="Calibri" w:cs="Calibri"/>
        </w:rPr>
      </w:pPr>
      <w:r w:rsidRPr="00A23FB4">
        <w:rPr>
          <w:rFonts w:ascii="Calibri" w:hAnsi="Calibri" w:cs="Calibri"/>
        </w:rPr>
        <w:t>Krawędzie tarczy powinny być zabezpieczone przed korozją farbami ochronnymi o odpowiedniej trwałości, nie mniejszej niż przewidywany okres użytkowania znaku.</w:t>
      </w:r>
    </w:p>
    <w:p w14:paraId="7D6777F2" w14:textId="77777777" w:rsidR="008C66DB" w:rsidRPr="00A23FB4" w:rsidRDefault="008C66DB" w:rsidP="008C66DB">
      <w:pPr>
        <w:numPr>
          <w:ilvl w:val="12"/>
          <w:numId w:val="0"/>
        </w:numPr>
        <w:tabs>
          <w:tab w:val="left" w:pos="9914"/>
        </w:tabs>
        <w:rPr>
          <w:rFonts w:ascii="Calibri" w:hAnsi="Calibri" w:cs="Calibri"/>
        </w:rPr>
      </w:pPr>
      <w:r w:rsidRPr="00A23FB4">
        <w:rPr>
          <w:rFonts w:ascii="Calibri" w:hAnsi="Calibri" w:cs="Calibri"/>
        </w:rPr>
        <w:t>Wytrzymałość dla tarczy znaku z blachy stalowej nie powinna być mniejsza niż 310 MPa.</w:t>
      </w:r>
    </w:p>
    <w:p w14:paraId="057185CA" w14:textId="77777777" w:rsidR="008C66DB" w:rsidRPr="00A23FB4" w:rsidRDefault="008C66DB" w:rsidP="008C66DB">
      <w:pPr>
        <w:numPr>
          <w:ilvl w:val="12"/>
          <w:numId w:val="0"/>
        </w:numPr>
        <w:tabs>
          <w:tab w:val="left" w:pos="9914"/>
        </w:tabs>
        <w:rPr>
          <w:rFonts w:ascii="Calibri" w:hAnsi="Calibri" w:cs="Calibri"/>
          <w:b/>
          <w:bCs/>
          <w:i/>
          <w:iCs/>
        </w:rPr>
      </w:pPr>
      <w:r w:rsidRPr="00A23FB4">
        <w:rPr>
          <w:rFonts w:ascii="Calibri" w:hAnsi="Calibri" w:cs="Calibri"/>
          <w:b/>
          <w:bCs/>
          <w:i/>
          <w:iCs/>
        </w:rPr>
        <w:t>2.5.6. Warunki wykonania tarczy znaku</w:t>
      </w:r>
    </w:p>
    <w:p w14:paraId="6F26480F" w14:textId="77777777" w:rsidR="008C66DB" w:rsidRPr="00A23FB4" w:rsidRDefault="008C66DB" w:rsidP="008C66DB">
      <w:pPr>
        <w:numPr>
          <w:ilvl w:val="12"/>
          <w:numId w:val="0"/>
        </w:numPr>
        <w:tabs>
          <w:tab w:val="left" w:pos="9914"/>
        </w:tabs>
        <w:rPr>
          <w:rFonts w:ascii="Calibri" w:hAnsi="Calibri" w:cs="Calibri"/>
        </w:rPr>
      </w:pPr>
      <w:r w:rsidRPr="00A23FB4">
        <w:rPr>
          <w:rFonts w:ascii="Calibri" w:hAnsi="Calibri" w:cs="Calibri"/>
        </w:rPr>
        <w:t>Tarcza znaku musi być równa i gładka - bez odkształceń płaszczyzny znaku, w tym pofałdowań, wgięć, lokalnych wgnieceń lub nierówności itp. Odchylenie płaszczyzny tarczy znaku (zwichrowanie, pofałdowanie itp.) nie może wynosić więcej niż 1,5 % największego wymiaru znaku.</w:t>
      </w:r>
    </w:p>
    <w:p w14:paraId="2AA751B3" w14:textId="77777777" w:rsidR="008C66DB" w:rsidRPr="00A23FB4" w:rsidRDefault="008C66DB" w:rsidP="008C66DB">
      <w:pPr>
        <w:numPr>
          <w:ilvl w:val="12"/>
          <w:numId w:val="0"/>
        </w:numPr>
        <w:tabs>
          <w:tab w:val="left" w:pos="9914"/>
        </w:tabs>
        <w:rPr>
          <w:rFonts w:ascii="Calibri" w:hAnsi="Calibri" w:cs="Calibri"/>
        </w:rPr>
      </w:pPr>
      <w:r w:rsidRPr="00A23FB4">
        <w:rPr>
          <w:rFonts w:ascii="Calibri" w:hAnsi="Calibri" w:cs="Calibri"/>
        </w:rPr>
        <w:t>Krawędzie tarczy znaku muszą być równe i nieostre. Zniekształcenia krawędzi tarczy znaku, pozostałe po tłoczeniu lub innych procesach technologicznych, którym tarcza ta (w znakach drogowych składanych - segmenty tarczy) była poddana, muszą być usunięte.</w:t>
      </w:r>
    </w:p>
    <w:p w14:paraId="6FF60961" w14:textId="77777777" w:rsidR="008C66DB" w:rsidRPr="00A23FB4" w:rsidRDefault="008C66DB" w:rsidP="008C66DB">
      <w:pPr>
        <w:numPr>
          <w:ilvl w:val="12"/>
          <w:numId w:val="0"/>
        </w:numPr>
        <w:tabs>
          <w:tab w:val="left" w:pos="9914"/>
        </w:tabs>
        <w:rPr>
          <w:rFonts w:ascii="Calibri" w:hAnsi="Calibri" w:cs="Calibri"/>
        </w:rPr>
      </w:pPr>
      <w:r w:rsidRPr="00A23FB4">
        <w:rPr>
          <w:rFonts w:ascii="Calibri" w:hAnsi="Calibri" w:cs="Calibri"/>
        </w:rPr>
        <w:t>Tarcze znaków drogowych składanych mogą być wykonane z modułowych kształtowników aluminiowych lub odpowiednio ukształtowanych segmentów stalowych. Dopuszcza się stosowanie modułowych kształtowników z tworzyw syntetycznych lub sklejki wodoodpornej, pod warunkiem uzyskania odpowiedniej aprobaty technicznej. Szczeliny między sąsiednimi segmentami znaku składanego nie mogą być większe od 0,8 mm.</w:t>
      </w:r>
    </w:p>
    <w:p w14:paraId="4CD2C7C6" w14:textId="77777777" w:rsidR="008C66DB" w:rsidRPr="00A23FB4" w:rsidRDefault="008C66DB" w:rsidP="008C66DB">
      <w:pPr>
        <w:pStyle w:val="Nagwek4"/>
        <w:tabs>
          <w:tab w:val="left" w:pos="9914"/>
        </w:tabs>
        <w:rPr>
          <w:rFonts w:ascii="Calibri" w:hAnsi="Calibri" w:cs="Calibri"/>
        </w:rPr>
      </w:pPr>
      <w:r w:rsidRPr="00A23FB4">
        <w:rPr>
          <w:rFonts w:ascii="Calibri" w:hAnsi="Calibri" w:cs="Calibri"/>
        </w:rPr>
        <w:t>2.6. Znaki odblaskowe</w:t>
      </w:r>
    </w:p>
    <w:p w14:paraId="4D46C262" w14:textId="77777777" w:rsidR="008C66DB" w:rsidRPr="00A23FB4" w:rsidRDefault="008C66DB" w:rsidP="008C66DB">
      <w:pPr>
        <w:numPr>
          <w:ilvl w:val="12"/>
          <w:numId w:val="0"/>
        </w:numPr>
        <w:tabs>
          <w:tab w:val="left" w:pos="9914"/>
        </w:tabs>
        <w:rPr>
          <w:rFonts w:ascii="Calibri" w:hAnsi="Calibri" w:cs="Calibri"/>
          <w:b/>
          <w:bCs/>
          <w:i/>
          <w:iCs/>
        </w:rPr>
      </w:pPr>
      <w:r w:rsidRPr="00A23FB4">
        <w:rPr>
          <w:rFonts w:ascii="Calibri" w:hAnsi="Calibri" w:cs="Calibri"/>
          <w:b/>
          <w:bCs/>
          <w:i/>
          <w:iCs/>
        </w:rPr>
        <w:t>2.6.1. Wymagania dotyczące powierzchni odblaskowej</w:t>
      </w:r>
    </w:p>
    <w:p w14:paraId="2E9C0012" w14:textId="77777777" w:rsidR="008C66DB" w:rsidRPr="00A23FB4" w:rsidRDefault="008C66DB" w:rsidP="008C66DB">
      <w:pPr>
        <w:numPr>
          <w:ilvl w:val="12"/>
          <w:numId w:val="0"/>
        </w:numPr>
        <w:tabs>
          <w:tab w:val="left" w:pos="9914"/>
        </w:tabs>
        <w:rPr>
          <w:rFonts w:ascii="Calibri" w:hAnsi="Calibri" w:cs="Calibri"/>
        </w:rPr>
      </w:pPr>
      <w:r w:rsidRPr="00A23FB4">
        <w:rPr>
          <w:rFonts w:ascii="Calibri" w:hAnsi="Calibri" w:cs="Calibri"/>
        </w:rPr>
        <w:t>Znaki drogowe odblaskowe wykonuje się z zasady przez oklejenie tarczy znaku materiałem odblaskowym.</w:t>
      </w:r>
    </w:p>
    <w:p w14:paraId="31BB7D8B" w14:textId="77777777" w:rsidR="008C66DB" w:rsidRPr="00A23FB4" w:rsidRDefault="008C66DB" w:rsidP="008C66DB">
      <w:pPr>
        <w:numPr>
          <w:ilvl w:val="12"/>
          <w:numId w:val="0"/>
        </w:numPr>
        <w:tabs>
          <w:tab w:val="left" w:pos="9914"/>
        </w:tabs>
        <w:rPr>
          <w:rFonts w:ascii="Calibri" w:hAnsi="Calibri" w:cs="Calibri"/>
        </w:rPr>
      </w:pPr>
      <w:r w:rsidRPr="00A23FB4">
        <w:rPr>
          <w:rFonts w:ascii="Calibri" w:hAnsi="Calibri" w:cs="Calibri"/>
        </w:rPr>
        <w:t>Właściwości folii odblaskowej (odbijającej powrotnie) powinny spełniać wymagania określone w aprobacie technicznej.</w:t>
      </w:r>
    </w:p>
    <w:p w14:paraId="00CC1085" w14:textId="77777777" w:rsidR="008C66DB" w:rsidRPr="00A23FB4" w:rsidRDefault="008C66DB" w:rsidP="008C66DB">
      <w:pPr>
        <w:numPr>
          <w:ilvl w:val="12"/>
          <w:numId w:val="0"/>
        </w:numPr>
        <w:tabs>
          <w:tab w:val="left" w:pos="9914"/>
        </w:tabs>
        <w:rPr>
          <w:rFonts w:ascii="Calibri" w:hAnsi="Calibri" w:cs="Calibri"/>
          <w:b/>
          <w:bCs/>
          <w:i/>
          <w:iCs/>
        </w:rPr>
      </w:pPr>
      <w:r w:rsidRPr="00A23FB4">
        <w:rPr>
          <w:rFonts w:ascii="Calibri" w:hAnsi="Calibri" w:cs="Calibri"/>
          <w:b/>
          <w:bCs/>
          <w:i/>
          <w:iCs/>
        </w:rPr>
        <w:t>2.6.2. Wymagania jakościowe znaku odblaskowego</w:t>
      </w:r>
    </w:p>
    <w:p w14:paraId="2FA27BAF" w14:textId="77777777" w:rsidR="008C66DB" w:rsidRPr="00A23FB4" w:rsidRDefault="008C66DB" w:rsidP="008C66DB">
      <w:pPr>
        <w:numPr>
          <w:ilvl w:val="12"/>
          <w:numId w:val="0"/>
        </w:numPr>
        <w:tabs>
          <w:tab w:val="left" w:pos="9914"/>
        </w:tabs>
        <w:rPr>
          <w:rFonts w:ascii="Calibri" w:hAnsi="Calibri" w:cs="Calibri"/>
        </w:rPr>
      </w:pPr>
      <w:r w:rsidRPr="00A23FB4">
        <w:rPr>
          <w:rFonts w:ascii="Calibri" w:hAnsi="Calibri" w:cs="Calibri"/>
        </w:rPr>
        <w:t>Folie odblaskowe użyte do wykonania lica znaku powinny wykazywać pełne związanie z tarczą znaku przez cały okres wymaganej trwałości znaku. Niedopuszczalne są lokalne niedoklejenia, odklejania, złuszczenia lub odstawanie folii na krawędziach tarczy znaku oraz na jego powierzchni.</w:t>
      </w:r>
    </w:p>
    <w:p w14:paraId="076FB95A" w14:textId="77777777" w:rsidR="008C66DB" w:rsidRPr="00A23FB4" w:rsidRDefault="008C66DB" w:rsidP="008C66DB">
      <w:pPr>
        <w:numPr>
          <w:ilvl w:val="12"/>
          <w:numId w:val="0"/>
        </w:numPr>
        <w:tabs>
          <w:tab w:val="left" w:pos="9914"/>
        </w:tabs>
        <w:rPr>
          <w:rFonts w:ascii="Calibri" w:hAnsi="Calibri" w:cs="Calibri"/>
        </w:rPr>
      </w:pPr>
      <w:r w:rsidRPr="00A23FB4">
        <w:rPr>
          <w:rFonts w:ascii="Calibri" w:hAnsi="Calibri" w:cs="Calibri"/>
        </w:rPr>
        <w:t>Sposób połączenia folii z powierzchnią tarczy znaku powinien uniemożliwiać jej odłączenie od tarczy bez jej zniszczenia.</w:t>
      </w:r>
    </w:p>
    <w:p w14:paraId="64266954" w14:textId="77777777" w:rsidR="008C66DB" w:rsidRPr="00A23FB4" w:rsidRDefault="008C66DB" w:rsidP="008C66DB">
      <w:pPr>
        <w:numPr>
          <w:ilvl w:val="12"/>
          <w:numId w:val="0"/>
        </w:numPr>
        <w:tabs>
          <w:tab w:val="left" w:pos="9914"/>
        </w:tabs>
        <w:rPr>
          <w:rFonts w:ascii="Calibri" w:hAnsi="Calibri" w:cs="Calibri"/>
        </w:rPr>
      </w:pPr>
      <w:r w:rsidRPr="00A23FB4">
        <w:rPr>
          <w:rFonts w:ascii="Calibri" w:hAnsi="Calibri" w:cs="Calibri"/>
        </w:rPr>
        <w:t>Przy malowaniu lub klejeniu symboli lub obrzeży znaków na folii odblaskowej, technologia malowania lub klejenia oraz stosowane w tym celu materiały powinny być uzgodnione z producentem folii.</w:t>
      </w:r>
    </w:p>
    <w:p w14:paraId="30A3A37B" w14:textId="77777777" w:rsidR="008C66DB" w:rsidRPr="00A23FB4" w:rsidRDefault="008C66DB" w:rsidP="008C66DB">
      <w:pPr>
        <w:numPr>
          <w:ilvl w:val="12"/>
          <w:numId w:val="0"/>
        </w:numPr>
        <w:tabs>
          <w:tab w:val="left" w:pos="9914"/>
        </w:tabs>
        <w:rPr>
          <w:rFonts w:ascii="Calibri" w:hAnsi="Calibri" w:cs="Calibri"/>
        </w:rPr>
      </w:pPr>
      <w:r w:rsidRPr="00A23FB4">
        <w:rPr>
          <w:rFonts w:ascii="Calibri" w:hAnsi="Calibri" w:cs="Calibri"/>
        </w:rPr>
        <w:t>Okres trwałości znaku wykonanego przy użyciu folii odblaskowych powinien wynosić od 7 do 10 lat, w zależności od rodzaju materiału.</w:t>
      </w:r>
    </w:p>
    <w:p w14:paraId="10C36D51" w14:textId="77777777" w:rsidR="008C66DB" w:rsidRPr="00A23FB4" w:rsidRDefault="008C66DB" w:rsidP="008C66DB">
      <w:pPr>
        <w:numPr>
          <w:ilvl w:val="12"/>
          <w:numId w:val="0"/>
        </w:numPr>
        <w:tabs>
          <w:tab w:val="left" w:pos="9914"/>
        </w:tabs>
        <w:rPr>
          <w:rFonts w:ascii="Calibri" w:hAnsi="Calibri" w:cs="Calibri"/>
        </w:rPr>
      </w:pPr>
      <w:r w:rsidRPr="00A23FB4">
        <w:rPr>
          <w:rFonts w:ascii="Calibri" w:hAnsi="Calibri" w:cs="Calibri"/>
        </w:rPr>
        <w:t>Powierzchnia lica znaku powinna być równa i gładka, nie mogą na niej występować lokalne nierówności i pofałdowania. Niedopuszczalne jest występowanie jakichkolwiek ognisk korozji, zarówno na powierzchni jak i na obrzeżach tarczy znaku.</w:t>
      </w:r>
    </w:p>
    <w:p w14:paraId="344588C7" w14:textId="77777777" w:rsidR="008C66DB" w:rsidRPr="00A23FB4" w:rsidRDefault="008C66DB" w:rsidP="00262498">
      <w:pPr>
        <w:numPr>
          <w:ilvl w:val="0"/>
          <w:numId w:val="17"/>
        </w:numPr>
        <w:tabs>
          <w:tab w:val="left" w:pos="9914"/>
        </w:tabs>
        <w:ind w:left="0" w:firstLine="0"/>
        <w:rPr>
          <w:rFonts w:ascii="Calibri" w:hAnsi="Calibri" w:cs="Calibri"/>
        </w:rPr>
      </w:pPr>
      <w:r w:rsidRPr="00A23FB4">
        <w:rPr>
          <w:rFonts w:ascii="Calibri" w:hAnsi="Calibri" w:cs="Calibri"/>
        </w:rPr>
        <w:t xml:space="preserve">Dokładność rysunku znaku powinna być taka, aby wady konturów znaku, które mogą powstać przy nanoszeniu farby na odblaskową powierzchnię znaku, nie były większe niż 2 mm </w:t>
      </w:r>
    </w:p>
    <w:p w14:paraId="6A9D17A7" w14:textId="77777777" w:rsidR="008C66DB" w:rsidRPr="00A23FB4" w:rsidRDefault="008C66DB" w:rsidP="008C66DB">
      <w:pPr>
        <w:numPr>
          <w:ilvl w:val="12"/>
          <w:numId w:val="0"/>
        </w:numPr>
        <w:tabs>
          <w:tab w:val="left" w:pos="9914"/>
        </w:tabs>
        <w:rPr>
          <w:rFonts w:ascii="Calibri" w:hAnsi="Calibri" w:cs="Calibri"/>
        </w:rPr>
      </w:pPr>
      <w:r w:rsidRPr="00A23FB4">
        <w:rPr>
          <w:rFonts w:ascii="Calibri" w:hAnsi="Calibri" w:cs="Calibri"/>
        </w:rPr>
        <w:t>Powstałe zacieki przy nanoszeniu farby na odblaskową część znaku nie powinny być większe w każdym kierunku niż 2 mm .</w:t>
      </w:r>
    </w:p>
    <w:p w14:paraId="27A147F2" w14:textId="77777777" w:rsidR="008C66DB" w:rsidRPr="00A23FB4" w:rsidRDefault="008C66DB" w:rsidP="008C66DB">
      <w:pPr>
        <w:numPr>
          <w:ilvl w:val="12"/>
          <w:numId w:val="0"/>
        </w:numPr>
        <w:tabs>
          <w:tab w:val="left" w:pos="9914"/>
        </w:tabs>
        <w:rPr>
          <w:rFonts w:ascii="Calibri" w:hAnsi="Calibri" w:cs="Calibri"/>
        </w:rPr>
      </w:pPr>
      <w:r w:rsidRPr="00A23FB4">
        <w:rPr>
          <w:rFonts w:ascii="Calibri" w:hAnsi="Calibri" w:cs="Calibri"/>
        </w:rPr>
        <w:t>W znakach nowych na każdym z fragmentów powierzchni znaku o wymiarach 4 x 4 cm nie może występować więcej niż 0,7 lokalnych usterek (załamania, pęcherzyki) o wymiarach nie większych niż 1 mm w każdym kierunku. Niedopuszczalne jest występowanie jakichkolwiek zarysowań powierzchni znaku.</w:t>
      </w:r>
    </w:p>
    <w:p w14:paraId="7151E66D" w14:textId="77777777" w:rsidR="008C66DB" w:rsidRPr="00A23FB4" w:rsidRDefault="008C66DB" w:rsidP="008C66DB">
      <w:pPr>
        <w:numPr>
          <w:ilvl w:val="12"/>
          <w:numId w:val="0"/>
        </w:numPr>
        <w:tabs>
          <w:tab w:val="left" w:pos="9914"/>
        </w:tabs>
        <w:rPr>
          <w:rFonts w:ascii="Calibri" w:hAnsi="Calibri" w:cs="Calibri"/>
        </w:rPr>
      </w:pPr>
      <w:r w:rsidRPr="00A23FB4">
        <w:rPr>
          <w:rFonts w:ascii="Calibri" w:hAnsi="Calibri" w:cs="Calibri"/>
        </w:rPr>
        <w:t>Uszkodzenia folii nie mogą zniekształcać treści znaku - w przypadku występowania takiego zniekształcenia znak musi być bezzwłocznie wymieniony.</w:t>
      </w:r>
    </w:p>
    <w:p w14:paraId="6E01E9CB" w14:textId="77777777" w:rsidR="008C66DB" w:rsidRPr="00A23FB4" w:rsidRDefault="008C66DB" w:rsidP="008C66DB">
      <w:pPr>
        <w:numPr>
          <w:ilvl w:val="12"/>
          <w:numId w:val="0"/>
        </w:numPr>
        <w:tabs>
          <w:tab w:val="left" w:pos="9914"/>
        </w:tabs>
        <w:rPr>
          <w:rFonts w:ascii="Calibri" w:hAnsi="Calibri" w:cs="Calibri"/>
        </w:rPr>
      </w:pPr>
      <w:r w:rsidRPr="00A23FB4">
        <w:rPr>
          <w:rFonts w:ascii="Calibri" w:hAnsi="Calibri" w:cs="Calibri"/>
        </w:rPr>
        <w:t>W znakach nowych niedopuszczalne jest występowanie jakichkolwiek rys, sięgających przez warstwę folii do powierzchni tarczy znaku. W znakach użytkowanych istnienie takich rys jest dopuszczalne pod warunkiem, że występujące w ich otoczeniu ogniska korozyjne nie przekroczą wielkości określonych poniżej.</w:t>
      </w:r>
    </w:p>
    <w:p w14:paraId="5A72F6DF" w14:textId="77777777" w:rsidR="008C66DB" w:rsidRPr="00A23FB4" w:rsidRDefault="008C66DB" w:rsidP="008C66DB">
      <w:pPr>
        <w:numPr>
          <w:ilvl w:val="12"/>
          <w:numId w:val="0"/>
        </w:numPr>
        <w:tabs>
          <w:tab w:val="left" w:pos="9914"/>
        </w:tabs>
        <w:rPr>
          <w:rFonts w:ascii="Calibri" w:hAnsi="Calibri" w:cs="Calibri"/>
        </w:rPr>
      </w:pPr>
      <w:r w:rsidRPr="00A23FB4">
        <w:rPr>
          <w:rFonts w:ascii="Calibri" w:hAnsi="Calibri" w:cs="Calibri"/>
        </w:rPr>
        <w:t>Wymagana jest taka wytrzymałość połączenia folii odblaskowej z tarczą znaku, by po zgięciu tarczy o 90</w:t>
      </w:r>
      <w:r w:rsidRPr="00A23FB4">
        <w:rPr>
          <w:rFonts w:ascii="Calibri" w:hAnsi="Calibri" w:cs="Calibri"/>
          <w:vertAlign w:val="superscript"/>
        </w:rPr>
        <w:t>o</w:t>
      </w:r>
      <w:r w:rsidRPr="00A23FB4">
        <w:rPr>
          <w:rFonts w:ascii="Calibri" w:hAnsi="Calibri" w:cs="Calibri"/>
        </w:rPr>
        <w:t xml:space="preserve"> przy promieniu łuku zgięcia do 10 mm w żadnym miejscu nie uległo ono zniszczeniu.</w:t>
      </w:r>
    </w:p>
    <w:p w14:paraId="0775B909" w14:textId="77777777" w:rsidR="008C66DB" w:rsidRPr="00A23FB4" w:rsidRDefault="008C66DB" w:rsidP="008C66DB">
      <w:pPr>
        <w:numPr>
          <w:ilvl w:val="12"/>
          <w:numId w:val="0"/>
        </w:numPr>
        <w:tabs>
          <w:tab w:val="left" w:pos="9914"/>
        </w:tabs>
        <w:rPr>
          <w:rFonts w:ascii="Calibri" w:hAnsi="Calibri" w:cs="Calibri"/>
        </w:rPr>
      </w:pPr>
      <w:r w:rsidRPr="00A23FB4">
        <w:rPr>
          <w:rFonts w:ascii="Calibri" w:hAnsi="Calibri" w:cs="Calibri"/>
        </w:rPr>
        <w:t xml:space="preserve">Tylna strona tarczy znaków odblaskowych musi być zabezpieczona matową farbą nieodblaskową barwy ciemno-szarej (szarej naturalnej) o współczynniku luminancji 0,08 do 0,10. Grubość powłoki farby nie może być mniejsza od 20 </w:t>
      </w:r>
      <w:r w:rsidRPr="00A23FB4">
        <w:rPr>
          <w:rFonts w:ascii="Calibri" w:hAnsi="Calibri" w:cs="Calibri"/>
        </w:rPr>
        <w:sym w:font="Symbol" w:char="F06D"/>
      </w:r>
      <w:r w:rsidRPr="00A23FB4">
        <w:rPr>
          <w:rFonts w:ascii="Calibri" w:hAnsi="Calibri" w:cs="Calibri"/>
        </w:rPr>
        <w:t>m. Gdy tarcza znaku jest wykonana z aluminium lub ze stali cynkowanej ogniowo i cynkowanie to jest wykonywane po ukształtowaniu tarczy - jej krawędzie mogą pozostać niezabezpieczone farbą ochronną.</w:t>
      </w:r>
    </w:p>
    <w:p w14:paraId="4A483096" w14:textId="77777777" w:rsidR="008C66DB" w:rsidRPr="00A23FB4" w:rsidRDefault="008C66DB" w:rsidP="008C66DB">
      <w:pPr>
        <w:pStyle w:val="Nagwek4"/>
        <w:tabs>
          <w:tab w:val="left" w:pos="9914"/>
        </w:tabs>
        <w:rPr>
          <w:rFonts w:ascii="Calibri" w:hAnsi="Calibri" w:cs="Calibri"/>
        </w:rPr>
      </w:pPr>
      <w:r w:rsidRPr="00A23FB4">
        <w:rPr>
          <w:rFonts w:ascii="Calibri" w:hAnsi="Calibri" w:cs="Calibri"/>
        </w:rPr>
        <w:t>2.7. Przechowywanie i składowanie materiałów</w:t>
      </w:r>
    </w:p>
    <w:p w14:paraId="4E7CCBAC" w14:textId="77777777" w:rsidR="008C66DB" w:rsidRPr="00A23FB4" w:rsidRDefault="008C66DB" w:rsidP="008C66DB">
      <w:pPr>
        <w:numPr>
          <w:ilvl w:val="12"/>
          <w:numId w:val="0"/>
        </w:numPr>
        <w:tabs>
          <w:tab w:val="left" w:pos="9914"/>
        </w:tabs>
        <w:rPr>
          <w:rFonts w:ascii="Calibri" w:hAnsi="Calibri" w:cs="Calibri"/>
        </w:rPr>
      </w:pPr>
      <w:r w:rsidRPr="00A23FB4">
        <w:rPr>
          <w:rFonts w:ascii="Calibri" w:hAnsi="Calibri" w:cs="Calibri"/>
        </w:rPr>
        <w:t>Cement stosowany do wykonania fundamentów dla pionowych znaków drogowych powinien być przechowywany zgodnie z BN-88/6731-08.</w:t>
      </w:r>
    </w:p>
    <w:p w14:paraId="249E75E1" w14:textId="77777777" w:rsidR="008C66DB" w:rsidRPr="00A23FB4" w:rsidRDefault="008C66DB" w:rsidP="008C66DB">
      <w:pPr>
        <w:numPr>
          <w:ilvl w:val="12"/>
          <w:numId w:val="0"/>
        </w:numPr>
        <w:tabs>
          <w:tab w:val="left" w:pos="9914"/>
        </w:tabs>
        <w:rPr>
          <w:rFonts w:ascii="Calibri" w:hAnsi="Calibri" w:cs="Calibri"/>
        </w:rPr>
      </w:pPr>
      <w:r w:rsidRPr="00A23FB4">
        <w:rPr>
          <w:rFonts w:ascii="Calibri" w:hAnsi="Calibri" w:cs="Calibri"/>
        </w:rPr>
        <w:t>Kruszywo do betonu należy przechowywać w warunkach zabezpieczających je przed zanieczyszczeniem oraz zmieszaniem z kruszywami innych klas.</w:t>
      </w:r>
    </w:p>
    <w:p w14:paraId="6E1CFDE5" w14:textId="77777777" w:rsidR="008C66DB" w:rsidRPr="00A23FB4" w:rsidRDefault="008C66DB" w:rsidP="008C66DB">
      <w:pPr>
        <w:numPr>
          <w:ilvl w:val="12"/>
          <w:numId w:val="0"/>
        </w:numPr>
        <w:tabs>
          <w:tab w:val="left" w:pos="9914"/>
        </w:tabs>
        <w:rPr>
          <w:rFonts w:ascii="Calibri" w:hAnsi="Calibri" w:cs="Calibri"/>
        </w:rPr>
      </w:pPr>
      <w:r w:rsidRPr="00A23FB4">
        <w:rPr>
          <w:rFonts w:ascii="Calibri" w:hAnsi="Calibri" w:cs="Calibri"/>
        </w:rPr>
        <w:t>Prefabrykaty betonowe powinny być składowane na wyrównanym, utwardzonym i odwodnionym podłożu. Prefabrykaty należy układać na podkładach z zachowaniem prześwitu minimum 10 cm między podłożem a prefabrykatem.</w:t>
      </w:r>
    </w:p>
    <w:p w14:paraId="69452D21" w14:textId="77777777" w:rsidR="008C66DB" w:rsidRPr="00A23FB4" w:rsidRDefault="008C66DB" w:rsidP="008C66DB">
      <w:pPr>
        <w:numPr>
          <w:ilvl w:val="12"/>
          <w:numId w:val="0"/>
        </w:numPr>
        <w:tabs>
          <w:tab w:val="left" w:pos="9914"/>
        </w:tabs>
        <w:rPr>
          <w:rFonts w:ascii="Calibri" w:hAnsi="Calibri" w:cs="Calibri"/>
        </w:rPr>
      </w:pPr>
      <w:r w:rsidRPr="00A23FB4">
        <w:rPr>
          <w:rFonts w:ascii="Calibri" w:hAnsi="Calibri" w:cs="Calibri"/>
        </w:rPr>
        <w:t>Znaki powinny być przechowywane w pomieszczeniach suchych, z dala od materiałów działających korodująco i w warunkach zabezpieczających przed uszkodzeniami.</w:t>
      </w:r>
    </w:p>
    <w:p w14:paraId="1DE13D68" w14:textId="77777777" w:rsidR="008C66DB" w:rsidRPr="00A23FB4" w:rsidRDefault="008C66DB" w:rsidP="008C66DB">
      <w:pPr>
        <w:rPr>
          <w:rFonts w:ascii="Calibri" w:hAnsi="Calibri" w:cs="Calibri"/>
          <w:b/>
        </w:rPr>
      </w:pPr>
      <w:bookmarkStart w:id="788" w:name="_Toc425833582"/>
    </w:p>
    <w:p w14:paraId="64FD8044" w14:textId="77777777" w:rsidR="008C66DB" w:rsidRPr="00A23FB4" w:rsidRDefault="008C66DB" w:rsidP="008C66DB">
      <w:pPr>
        <w:rPr>
          <w:rFonts w:ascii="Calibri" w:hAnsi="Calibri" w:cs="Calibri"/>
          <w:b/>
        </w:rPr>
      </w:pPr>
      <w:r w:rsidRPr="00A23FB4">
        <w:rPr>
          <w:rFonts w:ascii="Calibri" w:hAnsi="Calibri" w:cs="Calibri"/>
          <w:b/>
        </w:rPr>
        <w:t>3. SPRZĘT</w:t>
      </w:r>
      <w:bookmarkEnd w:id="788"/>
    </w:p>
    <w:p w14:paraId="6C2EA776" w14:textId="77777777" w:rsidR="008C66DB" w:rsidRPr="00A23FB4" w:rsidRDefault="008C66DB" w:rsidP="008C66DB">
      <w:pPr>
        <w:pStyle w:val="Nagwek4"/>
        <w:tabs>
          <w:tab w:val="left" w:pos="9914"/>
        </w:tabs>
        <w:rPr>
          <w:rFonts w:ascii="Calibri" w:hAnsi="Calibri" w:cs="Calibri"/>
        </w:rPr>
      </w:pPr>
      <w:r w:rsidRPr="00A23FB4">
        <w:rPr>
          <w:rFonts w:ascii="Calibri" w:hAnsi="Calibri" w:cs="Calibri"/>
        </w:rPr>
        <w:t>3.1. Ogólne wymagania dotyczące sprzętu</w:t>
      </w:r>
    </w:p>
    <w:p w14:paraId="54DB563F" w14:textId="2CBB806B" w:rsidR="008C66DB" w:rsidRPr="00A23FB4" w:rsidRDefault="008C66DB" w:rsidP="008C66DB">
      <w:pPr>
        <w:numPr>
          <w:ilvl w:val="12"/>
          <w:numId w:val="0"/>
        </w:numPr>
        <w:tabs>
          <w:tab w:val="left" w:pos="9914"/>
        </w:tabs>
        <w:rPr>
          <w:rFonts w:ascii="Calibri" w:hAnsi="Calibri" w:cs="Calibri"/>
        </w:rPr>
      </w:pPr>
      <w:r w:rsidRPr="00A23FB4">
        <w:rPr>
          <w:rFonts w:ascii="Calibri" w:hAnsi="Calibri" w:cs="Calibri"/>
        </w:rPr>
        <w:t xml:space="preserve">Ogólne wymagania dotyczące sprzętu podano w </w:t>
      </w:r>
      <w:r w:rsidR="00C62A07">
        <w:rPr>
          <w:rFonts w:ascii="Calibri" w:hAnsi="Calibri" w:cs="Calibri"/>
        </w:rPr>
        <w:t>ST</w:t>
      </w:r>
      <w:r w:rsidRPr="00A23FB4">
        <w:rPr>
          <w:rFonts w:ascii="Calibri" w:hAnsi="Calibri" w:cs="Calibri"/>
        </w:rPr>
        <w:t>WiORB D-M-00.00.00 „Wymagania ogólne” pkt 3.</w:t>
      </w:r>
    </w:p>
    <w:p w14:paraId="7D889CCE" w14:textId="77777777" w:rsidR="008C66DB" w:rsidRPr="00A23FB4" w:rsidRDefault="008C66DB" w:rsidP="008C66DB">
      <w:pPr>
        <w:pStyle w:val="Nagwek4"/>
        <w:tabs>
          <w:tab w:val="left" w:pos="9914"/>
        </w:tabs>
        <w:rPr>
          <w:rFonts w:ascii="Calibri" w:hAnsi="Calibri" w:cs="Calibri"/>
        </w:rPr>
      </w:pPr>
      <w:r w:rsidRPr="00A23FB4">
        <w:rPr>
          <w:rFonts w:ascii="Calibri" w:hAnsi="Calibri" w:cs="Calibri"/>
        </w:rPr>
        <w:t>3.2. Sprzęt do wykonania oznakowania pionowego</w:t>
      </w:r>
    </w:p>
    <w:p w14:paraId="7CF47694" w14:textId="77777777" w:rsidR="008C66DB" w:rsidRPr="00A23FB4" w:rsidRDefault="008C66DB" w:rsidP="008C66DB">
      <w:pPr>
        <w:numPr>
          <w:ilvl w:val="12"/>
          <w:numId w:val="0"/>
        </w:numPr>
        <w:tabs>
          <w:tab w:val="left" w:pos="9914"/>
        </w:tabs>
        <w:rPr>
          <w:rFonts w:ascii="Calibri" w:hAnsi="Calibri" w:cs="Calibri"/>
        </w:rPr>
      </w:pPr>
      <w:r w:rsidRPr="00A23FB4">
        <w:rPr>
          <w:rFonts w:ascii="Calibri" w:hAnsi="Calibri" w:cs="Calibri"/>
        </w:rPr>
        <w:t>Wykonawca przystępujący do wykonania oznakowania pionowego powinien wykazać się możliwością korzystania z następującego sprzętu:</w:t>
      </w:r>
    </w:p>
    <w:p w14:paraId="497613C3" w14:textId="77777777" w:rsidR="008C66DB" w:rsidRPr="00A23FB4" w:rsidRDefault="008C66DB" w:rsidP="00262498">
      <w:pPr>
        <w:numPr>
          <w:ilvl w:val="0"/>
          <w:numId w:val="17"/>
        </w:numPr>
        <w:tabs>
          <w:tab w:val="left" w:pos="9914"/>
        </w:tabs>
        <w:ind w:left="283"/>
        <w:rPr>
          <w:rFonts w:ascii="Calibri" w:hAnsi="Calibri" w:cs="Calibri"/>
        </w:rPr>
      </w:pPr>
      <w:r w:rsidRPr="00A23FB4">
        <w:rPr>
          <w:rFonts w:ascii="Calibri" w:hAnsi="Calibri" w:cs="Calibri"/>
        </w:rPr>
        <w:t>koparek kołowych, np. 0,15 m</w:t>
      </w:r>
      <w:r w:rsidRPr="00A23FB4">
        <w:rPr>
          <w:rFonts w:ascii="Calibri" w:hAnsi="Calibri" w:cs="Calibri"/>
          <w:vertAlign w:val="superscript"/>
        </w:rPr>
        <w:t>3</w:t>
      </w:r>
      <w:r w:rsidRPr="00A23FB4">
        <w:rPr>
          <w:rFonts w:ascii="Calibri" w:hAnsi="Calibri" w:cs="Calibri"/>
        </w:rPr>
        <w:t xml:space="preserve"> lub koparek gąsienicowych, np. 0,25 m</w:t>
      </w:r>
      <w:r w:rsidRPr="00A23FB4">
        <w:rPr>
          <w:rFonts w:ascii="Calibri" w:hAnsi="Calibri" w:cs="Calibri"/>
          <w:vertAlign w:val="superscript"/>
        </w:rPr>
        <w:t>3</w:t>
      </w:r>
      <w:r w:rsidRPr="00A23FB4">
        <w:rPr>
          <w:rFonts w:ascii="Calibri" w:hAnsi="Calibri" w:cs="Calibri"/>
        </w:rPr>
        <w:t>,</w:t>
      </w:r>
    </w:p>
    <w:p w14:paraId="51E0ED64" w14:textId="77777777" w:rsidR="008C66DB" w:rsidRPr="00A23FB4" w:rsidRDefault="008C66DB" w:rsidP="00262498">
      <w:pPr>
        <w:numPr>
          <w:ilvl w:val="0"/>
          <w:numId w:val="17"/>
        </w:numPr>
        <w:tabs>
          <w:tab w:val="left" w:pos="9914"/>
        </w:tabs>
        <w:ind w:left="283"/>
        <w:rPr>
          <w:rFonts w:ascii="Calibri" w:hAnsi="Calibri" w:cs="Calibri"/>
        </w:rPr>
      </w:pPr>
      <w:r w:rsidRPr="00A23FB4">
        <w:rPr>
          <w:rFonts w:ascii="Calibri" w:hAnsi="Calibri" w:cs="Calibri"/>
        </w:rPr>
        <w:t>żurawi samochodowych o udźwigu do 4 t,</w:t>
      </w:r>
    </w:p>
    <w:p w14:paraId="3CFFEF18" w14:textId="77777777" w:rsidR="008C66DB" w:rsidRPr="00A23FB4" w:rsidRDefault="008C66DB" w:rsidP="00262498">
      <w:pPr>
        <w:numPr>
          <w:ilvl w:val="0"/>
          <w:numId w:val="17"/>
        </w:numPr>
        <w:tabs>
          <w:tab w:val="left" w:pos="9914"/>
        </w:tabs>
        <w:ind w:left="283"/>
        <w:rPr>
          <w:rFonts w:ascii="Calibri" w:hAnsi="Calibri" w:cs="Calibri"/>
        </w:rPr>
      </w:pPr>
      <w:r w:rsidRPr="00A23FB4">
        <w:rPr>
          <w:rFonts w:ascii="Calibri" w:hAnsi="Calibri" w:cs="Calibri"/>
        </w:rPr>
        <w:t>ewentualnie wiertnic do wykonywania dołów pod słupki w gruncie spoistym,</w:t>
      </w:r>
    </w:p>
    <w:p w14:paraId="4184366C" w14:textId="77777777" w:rsidR="008C66DB" w:rsidRPr="00A23FB4" w:rsidRDefault="008C66DB" w:rsidP="00262498">
      <w:pPr>
        <w:numPr>
          <w:ilvl w:val="0"/>
          <w:numId w:val="17"/>
        </w:numPr>
        <w:tabs>
          <w:tab w:val="left" w:pos="9914"/>
        </w:tabs>
        <w:ind w:left="283"/>
        <w:rPr>
          <w:rFonts w:ascii="Calibri" w:hAnsi="Calibri" w:cs="Calibri"/>
        </w:rPr>
      </w:pPr>
      <w:r w:rsidRPr="00A23FB4">
        <w:rPr>
          <w:rFonts w:ascii="Calibri" w:hAnsi="Calibri" w:cs="Calibri"/>
        </w:rPr>
        <w:t>betoniarek przewoźnych do wykonywania fundamentów betonowych „na mokro”,</w:t>
      </w:r>
    </w:p>
    <w:p w14:paraId="0828AAC0" w14:textId="77777777" w:rsidR="008C66DB" w:rsidRPr="00A23FB4" w:rsidRDefault="008C66DB" w:rsidP="00262498">
      <w:pPr>
        <w:numPr>
          <w:ilvl w:val="0"/>
          <w:numId w:val="17"/>
        </w:numPr>
        <w:tabs>
          <w:tab w:val="left" w:pos="9914"/>
        </w:tabs>
        <w:ind w:left="283"/>
        <w:rPr>
          <w:rFonts w:ascii="Calibri" w:hAnsi="Calibri" w:cs="Calibri"/>
        </w:rPr>
      </w:pPr>
      <w:r w:rsidRPr="00A23FB4">
        <w:rPr>
          <w:rFonts w:ascii="Calibri" w:hAnsi="Calibri" w:cs="Calibri"/>
        </w:rPr>
        <w:t>środków transportowych do przewozu materiałów,</w:t>
      </w:r>
    </w:p>
    <w:p w14:paraId="1B2B2F3D" w14:textId="77777777" w:rsidR="008C66DB" w:rsidRPr="00A23FB4" w:rsidRDefault="008C66DB" w:rsidP="00262498">
      <w:pPr>
        <w:numPr>
          <w:ilvl w:val="0"/>
          <w:numId w:val="17"/>
        </w:numPr>
        <w:tabs>
          <w:tab w:val="left" w:pos="9914"/>
        </w:tabs>
        <w:ind w:left="283"/>
        <w:rPr>
          <w:rFonts w:ascii="Calibri" w:hAnsi="Calibri" w:cs="Calibri"/>
        </w:rPr>
      </w:pPr>
      <w:r w:rsidRPr="00A23FB4">
        <w:rPr>
          <w:rFonts w:ascii="Calibri" w:hAnsi="Calibri" w:cs="Calibri"/>
        </w:rPr>
        <w:t>przewoźnych zbiorników na wodę,</w:t>
      </w:r>
    </w:p>
    <w:p w14:paraId="62C0066F" w14:textId="77777777" w:rsidR="008C66DB" w:rsidRPr="00A23FB4" w:rsidRDefault="008C66DB" w:rsidP="00262498">
      <w:pPr>
        <w:numPr>
          <w:ilvl w:val="0"/>
          <w:numId w:val="17"/>
        </w:numPr>
        <w:tabs>
          <w:tab w:val="left" w:pos="9914"/>
        </w:tabs>
        <w:ind w:left="283"/>
        <w:rPr>
          <w:rFonts w:ascii="Calibri" w:hAnsi="Calibri" w:cs="Calibri"/>
        </w:rPr>
      </w:pPr>
      <w:r w:rsidRPr="00A23FB4">
        <w:rPr>
          <w:rFonts w:ascii="Calibri" w:hAnsi="Calibri" w:cs="Calibri"/>
        </w:rPr>
        <w:t>sprzętu spawalniczego, itp.</w:t>
      </w:r>
    </w:p>
    <w:p w14:paraId="7BC3B0E7" w14:textId="77777777" w:rsidR="00557D60" w:rsidRPr="00A23FB4" w:rsidRDefault="00557D60" w:rsidP="00557D60">
      <w:pPr>
        <w:tabs>
          <w:tab w:val="left" w:pos="9914"/>
        </w:tabs>
        <w:ind w:left="283"/>
        <w:rPr>
          <w:rFonts w:ascii="Calibri" w:hAnsi="Calibri" w:cs="Calibri"/>
        </w:rPr>
      </w:pPr>
    </w:p>
    <w:p w14:paraId="1D66934B" w14:textId="77777777" w:rsidR="008C66DB" w:rsidRPr="00A23FB4" w:rsidRDefault="008C66DB" w:rsidP="008C66DB">
      <w:pPr>
        <w:rPr>
          <w:rFonts w:ascii="Calibri" w:hAnsi="Calibri" w:cs="Calibri"/>
          <w:b/>
        </w:rPr>
      </w:pPr>
      <w:bookmarkStart w:id="789" w:name="_Toc425833583"/>
      <w:r w:rsidRPr="00A23FB4">
        <w:rPr>
          <w:rFonts w:ascii="Calibri" w:hAnsi="Calibri" w:cs="Calibri"/>
          <w:b/>
        </w:rPr>
        <w:t>4. TRANSPORT</w:t>
      </w:r>
      <w:bookmarkEnd w:id="789"/>
    </w:p>
    <w:p w14:paraId="032D6404" w14:textId="77777777" w:rsidR="008C66DB" w:rsidRPr="00A23FB4" w:rsidRDefault="008C66DB" w:rsidP="008C66DB">
      <w:pPr>
        <w:pStyle w:val="Nagwek4"/>
        <w:tabs>
          <w:tab w:val="left" w:pos="9914"/>
        </w:tabs>
        <w:rPr>
          <w:rFonts w:ascii="Calibri" w:hAnsi="Calibri" w:cs="Calibri"/>
        </w:rPr>
      </w:pPr>
      <w:r w:rsidRPr="00A23FB4">
        <w:rPr>
          <w:rFonts w:ascii="Calibri" w:hAnsi="Calibri" w:cs="Calibri"/>
        </w:rPr>
        <w:t>4.1. Ogólne wymagania dotyczące transportu</w:t>
      </w:r>
    </w:p>
    <w:p w14:paraId="7F6290AA" w14:textId="2DE19CAD" w:rsidR="008C66DB" w:rsidRPr="00A23FB4" w:rsidRDefault="008C66DB" w:rsidP="008C66DB">
      <w:pPr>
        <w:numPr>
          <w:ilvl w:val="12"/>
          <w:numId w:val="0"/>
        </w:numPr>
        <w:tabs>
          <w:tab w:val="left" w:pos="9914"/>
        </w:tabs>
        <w:rPr>
          <w:rFonts w:ascii="Calibri" w:hAnsi="Calibri" w:cs="Calibri"/>
        </w:rPr>
      </w:pPr>
      <w:r w:rsidRPr="00A23FB4">
        <w:rPr>
          <w:rFonts w:ascii="Calibri" w:hAnsi="Calibri" w:cs="Calibri"/>
        </w:rPr>
        <w:t xml:space="preserve">Ogólne wymagania dotyczące transportu podano w </w:t>
      </w:r>
      <w:r w:rsidR="00C62A07">
        <w:rPr>
          <w:rFonts w:ascii="Calibri" w:hAnsi="Calibri" w:cs="Calibri"/>
        </w:rPr>
        <w:t>ST</w:t>
      </w:r>
      <w:r w:rsidRPr="00A23FB4">
        <w:rPr>
          <w:rFonts w:ascii="Calibri" w:hAnsi="Calibri" w:cs="Calibri"/>
        </w:rPr>
        <w:t>WiORB D-M-00.00.00 „Wymagania ogólne” pkt 4.</w:t>
      </w:r>
    </w:p>
    <w:p w14:paraId="0354D834" w14:textId="77777777" w:rsidR="008C66DB" w:rsidRPr="00A23FB4" w:rsidRDefault="008C66DB" w:rsidP="008C66DB">
      <w:pPr>
        <w:pStyle w:val="Nagwek4"/>
        <w:tabs>
          <w:tab w:val="left" w:pos="9914"/>
        </w:tabs>
        <w:rPr>
          <w:rFonts w:ascii="Calibri" w:hAnsi="Calibri" w:cs="Calibri"/>
        </w:rPr>
      </w:pPr>
      <w:r w:rsidRPr="00A23FB4">
        <w:rPr>
          <w:rFonts w:ascii="Calibri" w:hAnsi="Calibri" w:cs="Calibri"/>
        </w:rPr>
        <w:t>4.2. Transport materiałów do pionowego oznakowania dróg</w:t>
      </w:r>
    </w:p>
    <w:p w14:paraId="68F6F278" w14:textId="77777777" w:rsidR="008C66DB" w:rsidRPr="00A23FB4" w:rsidRDefault="008C66DB" w:rsidP="008C66DB">
      <w:pPr>
        <w:numPr>
          <w:ilvl w:val="12"/>
          <w:numId w:val="0"/>
        </w:numPr>
        <w:tabs>
          <w:tab w:val="left" w:pos="9914"/>
        </w:tabs>
        <w:rPr>
          <w:rFonts w:ascii="Calibri" w:hAnsi="Calibri" w:cs="Calibri"/>
        </w:rPr>
      </w:pPr>
      <w:r w:rsidRPr="00A23FB4">
        <w:rPr>
          <w:rFonts w:ascii="Calibri" w:hAnsi="Calibri" w:cs="Calibri"/>
        </w:rPr>
        <w:t>Transport cementu powinien odbywać się  zgodnie z BN-88/6731-08.</w:t>
      </w:r>
    </w:p>
    <w:p w14:paraId="64C0CC8C" w14:textId="77777777" w:rsidR="008C66DB" w:rsidRPr="00A23FB4" w:rsidRDefault="008C66DB" w:rsidP="008C66DB">
      <w:pPr>
        <w:numPr>
          <w:ilvl w:val="12"/>
          <w:numId w:val="0"/>
        </w:numPr>
        <w:tabs>
          <w:tab w:val="left" w:pos="9914"/>
        </w:tabs>
        <w:rPr>
          <w:rFonts w:ascii="Calibri" w:hAnsi="Calibri" w:cs="Calibri"/>
        </w:rPr>
      </w:pPr>
      <w:r w:rsidRPr="00A23FB4">
        <w:rPr>
          <w:rFonts w:ascii="Calibri" w:hAnsi="Calibri" w:cs="Calibri"/>
        </w:rPr>
        <w:t>Transport kruszywa  powinien odbywać się  zgodnie z PN-B-06712.</w:t>
      </w:r>
    </w:p>
    <w:p w14:paraId="5373F75E" w14:textId="77777777" w:rsidR="008C66DB" w:rsidRPr="00A23FB4" w:rsidRDefault="008C66DB" w:rsidP="008C66DB">
      <w:pPr>
        <w:numPr>
          <w:ilvl w:val="12"/>
          <w:numId w:val="0"/>
        </w:numPr>
        <w:tabs>
          <w:tab w:val="left" w:pos="9914"/>
        </w:tabs>
        <w:rPr>
          <w:rFonts w:ascii="Calibri" w:hAnsi="Calibri" w:cs="Calibri"/>
        </w:rPr>
      </w:pPr>
      <w:r w:rsidRPr="00A23FB4">
        <w:rPr>
          <w:rFonts w:ascii="Calibri" w:hAnsi="Calibri" w:cs="Calibri"/>
        </w:rPr>
        <w:t>Prefabrykaty betonowe - do zamocowania konstrukcji wsporczych znaków, powinny być przewożone środkami transportowymi w warunkach zabezpieczających je przed uszkodzeniami. Rozmieszczenie prefabrykatów na środkach transportu powinno być symetryczne.</w:t>
      </w:r>
    </w:p>
    <w:p w14:paraId="22E5A931" w14:textId="77777777" w:rsidR="008C66DB" w:rsidRPr="00A23FB4" w:rsidRDefault="008C66DB" w:rsidP="008C66DB">
      <w:pPr>
        <w:numPr>
          <w:ilvl w:val="12"/>
          <w:numId w:val="0"/>
        </w:numPr>
        <w:tabs>
          <w:tab w:val="left" w:pos="9914"/>
        </w:tabs>
        <w:rPr>
          <w:rFonts w:ascii="Calibri" w:hAnsi="Calibri" w:cs="Calibri"/>
        </w:rPr>
      </w:pPr>
      <w:r w:rsidRPr="00A23FB4">
        <w:rPr>
          <w:rFonts w:ascii="Calibri" w:hAnsi="Calibri" w:cs="Calibri"/>
        </w:rPr>
        <w:t>Transport znaków, konstrukcji wsporczych i sprzętu (uchwyty, śruby, nakrętki itp.) powinien się odbywać środkami transportowymi w sposób uniemożliwiający ich przesuwanie się w czasie transportu i uszkadzanie.</w:t>
      </w:r>
    </w:p>
    <w:p w14:paraId="5F9880AF" w14:textId="77777777" w:rsidR="008C66DB" w:rsidRPr="00A23FB4" w:rsidRDefault="008C66DB" w:rsidP="008C66DB">
      <w:pPr>
        <w:rPr>
          <w:rFonts w:ascii="Calibri" w:hAnsi="Calibri" w:cs="Calibri"/>
          <w:b/>
        </w:rPr>
      </w:pPr>
      <w:bookmarkStart w:id="790" w:name="_Toc425833584"/>
    </w:p>
    <w:p w14:paraId="788DA924" w14:textId="77777777" w:rsidR="008C66DB" w:rsidRPr="00A23FB4" w:rsidRDefault="008C66DB" w:rsidP="008C66DB">
      <w:pPr>
        <w:rPr>
          <w:rFonts w:ascii="Calibri" w:hAnsi="Calibri" w:cs="Calibri"/>
          <w:b/>
        </w:rPr>
      </w:pPr>
      <w:r w:rsidRPr="00A23FB4">
        <w:rPr>
          <w:rFonts w:ascii="Calibri" w:hAnsi="Calibri" w:cs="Calibri"/>
          <w:b/>
        </w:rPr>
        <w:t>5. WYKONANIE ROBÓT</w:t>
      </w:r>
      <w:bookmarkEnd w:id="790"/>
    </w:p>
    <w:p w14:paraId="6D9EB5AC" w14:textId="77777777" w:rsidR="008C66DB" w:rsidRPr="00A23FB4" w:rsidRDefault="008C66DB" w:rsidP="008C66DB">
      <w:pPr>
        <w:pStyle w:val="Nagwek4"/>
        <w:tabs>
          <w:tab w:val="left" w:pos="9914"/>
        </w:tabs>
        <w:rPr>
          <w:rFonts w:ascii="Calibri" w:hAnsi="Calibri" w:cs="Calibri"/>
        </w:rPr>
      </w:pPr>
      <w:r w:rsidRPr="00A23FB4">
        <w:rPr>
          <w:rFonts w:ascii="Calibri" w:hAnsi="Calibri" w:cs="Calibri"/>
        </w:rPr>
        <w:t>5.1. Ogólne zasady wykonywania robót</w:t>
      </w:r>
    </w:p>
    <w:p w14:paraId="7CAC8164" w14:textId="52782889" w:rsidR="008C66DB" w:rsidRPr="00A23FB4" w:rsidRDefault="008C66DB" w:rsidP="008C66DB">
      <w:pPr>
        <w:numPr>
          <w:ilvl w:val="12"/>
          <w:numId w:val="0"/>
        </w:numPr>
        <w:tabs>
          <w:tab w:val="left" w:pos="9914"/>
        </w:tabs>
        <w:rPr>
          <w:rFonts w:ascii="Calibri" w:hAnsi="Calibri" w:cs="Calibri"/>
        </w:rPr>
      </w:pPr>
      <w:r w:rsidRPr="00A23FB4">
        <w:rPr>
          <w:rFonts w:ascii="Calibri" w:hAnsi="Calibri" w:cs="Calibri"/>
        </w:rPr>
        <w:t xml:space="preserve">Ogólne zasady wykonywania robót podano w </w:t>
      </w:r>
      <w:r w:rsidR="00C62A07">
        <w:rPr>
          <w:rFonts w:ascii="Calibri" w:hAnsi="Calibri" w:cs="Calibri"/>
        </w:rPr>
        <w:t>ST</w:t>
      </w:r>
      <w:r w:rsidRPr="00A23FB4">
        <w:rPr>
          <w:rFonts w:ascii="Calibri" w:hAnsi="Calibri" w:cs="Calibri"/>
        </w:rPr>
        <w:t>WiORB D-M-00.00.00 „Wymagania ogólne” pkt 5.</w:t>
      </w:r>
    </w:p>
    <w:p w14:paraId="00ECC78D" w14:textId="77777777" w:rsidR="008C66DB" w:rsidRPr="00A23FB4" w:rsidRDefault="008C66DB" w:rsidP="008C66DB">
      <w:pPr>
        <w:pStyle w:val="Nagwek4"/>
        <w:tabs>
          <w:tab w:val="left" w:pos="9914"/>
        </w:tabs>
        <w:rPr>
          <w:rFonts w:ascii="Calibri" w:hAnsi="Calibri" w:cs="Calibri"/>
        </w:rPr>
      </w:pPr>
      <w:r w:rsidRPr="00A23FB4">
        <w:rPr>
          <w:rFonts w:ascii="Calibri" w:hAnsi="Calibri" w:cs="Calibri"/>
        </w:rPr>
        <w:t>5.2. Roboty przygotowawcze</w:t>
      </w:r>
    </w:p>
    <w:p w14:paraId="16B02732" w14:textId="77777777" w:rsidR="008C66DB" w:rsidRPr="00A23FB4" w:rsidRDefault="008C66DB" w:rsidP="008C66DB">
      <w:pPr>
        <w:numPr>
          <w:ilvl w:val="12"/>
          <w:numId w:val="0"/>
        </w:numPr>
        <w:tabs>
          <w:tab w:val="left" w:pos="9914"/>
        </w:tabs>
        <w:rPr>
          <w:rFonts w:ascii="Calibri" w:hAnsi="Calibri" w:cs="Calibri"/>
        </w:rPr>
      </w:pPr>
      <w:r w:rsidRPr="00A23FB4">
        <w:rPr>
          <w:rFonts w:ascii="Calibri" w:hAnsi="Calibri" w:cs="Calibri"/>
        </w:rPr>
        <w:t>Przed przystąpieniem do robót należy wyznaczyć:</w:t>
      </w:r>
    </w:p>
    <w:p w14:paraId="7EDC5AC4" w14:textId="77777777" w:rsidR="008C66DB" w:rsidRPr="00A23FB4" w:rsidRDefault="008C66DB" w:rsidP="00262498">
      <w:pPr>
        <w:numPr>
          <w:ilvl w:val="0"/>
          <w:numId w:val="17"/>
        </w:numPr>
        <w:tabs>
          <w:tab w:val="left" w:pos="9914"/>
        </w:tabs>
        <w:ind w:left="283"/>
        <w:rPr>
          <w:rFonts w:ascii="Calibri" w:hAnsi="Calibri" w:cs="Calibri"/>
        </w:rPr>
      </w:pPr>
      <w:r w:rsidRPr="00A23FB4">
        <w:rPr>
          <w:rFonts w:ascii="Calibri" w:hAnsi="Calibri" w:cs="Calibri"/>
        </w:rPr>
        <w:t>lokalizację znaku, tj. jego pikietaż oraz odległość od krawędzi jezdni, krawędzi pobocza umocnionego lub pasa awaryjnego postoju,</w:t>
      </w:r>
    </w:p>
    <w:p w14:paraId="6692FFFC" w14:textId="77777777" w:rsidR="008C66DB" w:rsidRPr="00A23FB4" w:rsidRDefault="008C66DB" w:rsidP="00262498">
      <w:pPr>
        <w:numPr>
          <w:ilvl w:val="0"/>
          <w:numId w:val="17"/>
        </w:numPr>
        <w:tabs>
          <w:tab w:val="left" w:pos="9914"/>
        </w:tabs>
        <w:ind w:left="283"/>
        <w:rPr>
          <w:rFonts w:ascii="Calibri" w:hAnsi="Calibri" w:cs="Calibri"/>
        </w:rPr>
      </w:pPr>
      <w:r w:rsidRPr="00A23FB4">
        <w:rPr>
          <w:rFonts w:ascii="Calibri" w:hAnsi="Calibri" w:cs="Calibri"/>
        </w:rPr>
        <w:t>wysokość zamocowania znaku na konstrukcji wsporczej.</w:t>
      </w:r>
    </w:p>
    <w:p w14:paraId="307342A3" w14:textId="77777777" w:rsidR="008C66DB" w:rsidRPr="00A23FB4" w:rsidRDefault="008C66DB" w:rsidP="008C66DB">
      <w:pPr>
        <w:numPr>
          <w:ilvl w:val="12"/>
          <w:numId w:val="0"/>
        </w:numPr>
        <w:tabs>
          <w:tab w:val="left" w:pos="9914"/>
        </w:tabs>
        <w:rPr>
          <w:rFonts w:ascii="Calibri" w:hAnsi="Calibri" w:cs="Calibri"/>
        </w:rPr>
      </w:pPr>
      <w:r w:rsidRPr="00A23FB4">
        <w:rPr>
          <w:rFonts w:ascii="Calibri" w:hAnsi="Calibri" w:cs="Calibri"/>
        </w:rPr>
        <w:t>Punkty stabilizujące miejsca ustawienia znaków należy zabezpieczyć w taki sposób, aby w czasie trwania i odbioru robót istniała możliwość sprawdzenia lokalizacji znaków.</w:t>
      </w:r>
    </w:p>
    <w:p w14:paraId="50D023C2" w14:textId="77777777" w:rsidR="008C66DB" w:rsidRPr="00A23FB4" w:rsidRDefault="008C66DB" w:rsidP="008C66DB">
      <w:pPr>
        <w:numPr>
          <w:ilvl w:val="12"/>
          <w:numId w:val="0"/>
        </w:numPr>
        <w:tabs>
          <w:tab w:val="left" w:pos="9914"/>
        </w:tabs>
        <w:rPr>
          <w:rFonts w:ascii="Calibri" w:hAnsi="Calibri" w:cs="Calibri"/>
        </w:rPr>
      </w:pPr>
      <w:r w:rsidRPr="00A23FB4">
        <w:rPr>
          <w:rFonts w:ascii="Calibri" w:hAnsi="Calibri" w:cs="Calibri"/>
        </w:rPr>
        <w:t>Lokalizacja i wysokość zamocowania znaku powinny być zgodne z dokumentacją projektową.</w:t>
      </w:r>
    </w:p>
    <w:p w14:paraId="5BF89A53" w14:textId="77777777" w:rsidR="008C66DB" w:rsidRPr="00A23FB4" w:rsidRDefault="008C66DB" w:rsidP="008C66DB">
      <w:pPr>
        <w:pStyle w:val="Nagwek4"/>
        <w:tabs>
          <w:tab w:val="left" w:pos="9914"/>
        </w:tabs>
        <w:rPr>
          <w:rFonts w:ascii="Calibri" w:hAnsi="Calibri" w:cs="Calibri"/>
        </w:rPr>
      </w:pPr>
      <w:r w:rsidRPr="00A23FB4">
        <w:rPr>
          <w:rFonts w:ascii="Calibri" w:hAnsi="Calibri" w:cs="Calibri"/>
        </w:rPr>
        <w:t>5.3. Wykonanie wykopów i fundamentów dla konstrukcji wsporczych znaków</w:t>
      </w:r>
    </w:p>
    <w:p w14:paraId="6B453B9D" w14:textId="77777777" w:rsidR="008C66DB" w:rsidRPr="00A23FB4" w:rsidRDefault="008C66DB" w:rsidP="008C66DB">
      <w:pPr>
        <w:numPr>
          <w:ilvl w:val="12"/>
          <w:numId w:val="0"/>
        </w:numPr>
        <w:tabs>
          <w:tab w:val="left" w:pos="9914"/>
        </w:tabs>
        <w:rPr>
          <w:rFonts w:ascii="Calibri" w:hAnsi="Calibri" w:cs="Calibri"/>
        </w:rPr>
      </w:pPr>
      <w:r w:rsidRPr="00A23FB4">
        <w:rPr>
          <w:rFonts w:ascii="Calibri" w:hAnsi="Calibri" w:cs="Calibri"/>
        </w:rPr>
        <w:t>Sposób wykonania wykopu pod fundament znaku pionowego powinien być dostosowany do głębokości wykopu, rodzaju gruntu i posiadanego sprzętu. Wymiary wykopu powinny być zgodne z dokumentacją projektową lub wskazaniami Inżyniera/Kierownika projektu.</w:t>
      </w:r>
    </w:p>
    <w:p w14:paraId="5A0CF197" w14:textId="77777777" w:rsidR="008C66DB" w:rsidRPr="00A23FB4" w:rsidRDefault="008C66DB" w:rsidP="008C66DB">
      <w:pPr>
        <w:numPr>
          <w:ilvl w:val="12"/>
          <w:numId w:val="0"/>
        </w:numPr>
        <w:tabs>
          <w:tab w:val="left" w:pos="9914"/>
        </w:tabs>
        <w:rPr>
          <w:rFonts w:ascii="Calibri" w:hAnsi="Calibri" w:cs="Calibri"/>
        </w:rPr>
      </w:pPr>
      <w:r w:rsidRPr="00A23FB4">
        <w:rPr>
          <w:rFonts w:ascii="Calibri" w:hAnsi="Calibri" w:cs="Calibri"/>
        </w:rPr>
        <w:t>Wykopy fundamentowe powinny być wykonane w takim okresie, aby po ich zakończeniu można było przystąpić natychmiast do wykonania w nich robót fundamentowych.</w:t>
      </w:r>
    </w:p>
    <w:p w14:paraId="3D9D1BED" w14:textId="77777777" w:rsidR="008C66DB" w:rsidRPr="00A23FB4" w:rsidRDefault="008C66DB" w:rsidP="008C66DB">
      <w:pPr>
        <w:numPr>
          <w:ilvl w:val="12"/>
          <w:numId w:val="0"/>
        </w:numPr>
        <w:tabs>
          <w:tab w:val="left" w:pos="9914"/>
        </w:tabs>
        <w:rPr>
          <w:rFonts w:ascii="Calibri" w:hAnsi="Calibri" w:cs="Calibri"/>
          <w:b/>
          <w:bCs/>
          <w:i/>
          <w:iCs/>
        </w:rPr>
      </w:pPr>
      <w:r w:rsidRPr="00A23FB4">
        <w:rPr>
          <w:rFonts w:ascii="Calibri" w:hAnsi="Calibri" w:cs="Calibri"/>
          <w:b/>
          <w:bCs/>
          <w:i/>
          <w:iCs/>
        </w:rPr>
        <w:t>5.3.1. Prefabrykaty betonowe</w:t>
      </w:r>
    </w:p>
    <w:p w14:paraId="4F45266B" w14:textId="77777777" w:rsidR="008C66DB" w:rsidRPr="00A23FB4" w:rsidRDefault="008C66DB" w:rsidP="008C66DB">
      <w:pPr>
        <w:numPr>
          <w:ilvl w:val="12"/>
          <w:numId w:val="0"/>
        </w:numPr>
        <w:tabs>
          <w:tab w:val="left" w:pos="9914"/>
        </w:tabs>
        <w:rPr>
          <w:rFonts w:ascii="Calibri" w:hAnsi="Calibri" w:cs="Calibri"/>
        </w:rPr>
      </w:pPr>
      <w:r w:rsidRPr="00A23FB4">
        <w:rPr>
          <w:rFonts w:ascii="Calibri" w:hAnsi="Calibri" w:cs="Calibri"/>
        </w:rPr>
        <w:t>Dno wykopu przed ułożeniem prefabrykatu należy wyrównać i zagęścić. Wolne przestrzenie między ścianami gruntu i prefabrykatem należy wypełnić materiałem kamiennym, np. klińcem i dokładnie zagęścić ubijakami ręcznymi.</w:t>
      </w:r>
    </w:p>
    <w:p w14:paraId="2ADFB01D" w14:textId="77777777" w:rsidR="008C66DB" w:rsidRPr="00A23FB4" w:rsidRDefault="008C66DB" w:rsidP="008C66DB">
      <w:pPr>
        <w:numPr>
          <w:ilvl w:val="12"/>
          <w:numId w:val="0"/>
        </w:numPr>
        <w:tabs>
          <w:tab w:val="left" w:pos="9914"/>
        </w:tabs>
        <w:rPr>
          <w:rFonts w:ascii="Calibri" w:hAnsi="Calibri" w:cs="Calibri"/>
        </w:rPr>
      </w:pPr>
      <w:r w:rsidRPr="00A23FB4">
        <w:rPr>
          <w:rFonts w:ascii="Calibri" w:hAnsi="Calibri" w:cs="Calibri"/>
        </w:rPr>
        <w:t>Jeżeli znak jest zlokalizowany na poboczu drogi, to górna powierzchnia prefabrykatu powinna być równa z powierzchnią pobocza lub być wyniesiona nad tę powierzchnię nie więcej niż 0,03 m.</w:t>
      </w:r>
    </w:p>
    <w:p w14:paraId="627408D2" w14:textId="77777777" w:rsidR="008C66DB" w:rsidRPr="00A23FB4" w:rsidRDefault="008C66DB" w:rsidP="008C66DB">
      <w:pPr>
        <w:numPr>
          <w:ilvl w:val="12"/>
          <w:numId w:val="0"/>
        </w:numPr>
        <w:tabs>
          <w:tab w:val="left" w:pos="9914"/>
        </w:tabs>
        <w:rPr>
          <w:rFonts w:ascii="Calibri" w:hAnsi="Calibri" w:cs="Calibri"/>
          <w:b/>
          <w:bCs/>
          <w:i/>
          <w:iCs/>
        </w:rPr>
      </w:pPr>
      <w:r w:rsidRPr="00A23FB4">
        <w:rPr>
          <w:rFonts w:ascii="Calibri" w:hAnsi="Calibri" w:cs="Calibri"/>
          <w:b/>
          <w:bCs/>
          <w:i/>
          <w:iCs/>
        </w:rPr>
        <w:t>5.3.2. Fundamenty z betonu i betonu zbrojonego</w:t>
      </w:r>
    </w:p>
    <w:p w14:paraId="18835AA6" w14:textId="77777777" w:rsidR="008C66DB" w:rsidRPr="00A23FB4" w:rsidRDefault="008C66DB" w:rsidP="008C66DB">
      <w:pPr>
        <w:numPr>
          <w:ilvl w:val="12"/>
          <w:numId w:val="0"/>
        </w:numPr>
        <w:tabs>
          <w:tab w:val="left" w:pos="9914"/>
        </w:tabs>
        <w:rPr>
          <w:rFonts w:ascii="Calibri" w:hAnsi="Calibri" w:cs="Calibri"/>
        </w:rPr>
      </w:pPr>
      <w:r w:rsidRPr="00A23FB4">
        <w:rPr>
          <w:rFonts w:ascii="Calibri" w:hAnsi="Calibri" w:cs="Calibri"/>
        </w:rPr>
        <w:t>Wykopy pod fundamenty konstrukcji wsporczych dla zamocowania znaków wielkowymiarowych (znak kierunku i miejscowości), wykonywane z betonu „na mokro” lub z betonu zbrojonego należy wykonać zgodnie z PN-S-02205.</w:t>
      </w:r>
    </w:p>
    <w:p w14:paraId="02395D89" w14:textId="77777777" w:rsidR="008C66DB" w:rsidRPr="00A23FB4" w:rsidRDefault="008C66DB" w:rsidP="008C66DB">
      <w:pPr>
        <w:numPr>
          <w:ilvl w:val="12"/>
          <w:numId w:val="0"/>
        </w:numPr>
        <w:tabs>
          <w:tab w:val="left" w:pos="9914"/>
        </w:tabs>
        <w:rPr>
          <w:rFonts w:ascii="Calibri" w:hAnsi="Calibri" w:cs="Calibri"/>
        </w:rPr>
      </w:pPr>
      <w:r w:rsidRPr="00A23FB4">
        <w:rPr>
          <w:rFonts w:ascii="Calibri" w:hAnsi="Calibri" w:cs="Calibri"/>
        </w:rPr>
        <w:t>Posadowienie fundamentów w wykopach otwartych bądź rozpartych należy wykonywać zgodnie z dokumentacją projektową lub wskazaniami Inżyniera/Kierownika projektu. Wykopy należy zabezpieczyć przed napływem wód opadowych przez wyprofilowanie terenu ze spadkiem umożliwiającym łatwy odpływ wody poza teren przylegający do wykopu. Dno wykopu powinno być wyrównane z dokładnością ± 2 cm.</w:t>
      </w:r>
    </w:p>
    <w:p w14:paraId="6DC61254" w14:textId="77777777" w:rsidR="008C66DB" w:rsidRPr="00A23FB4" w:rsidRDefault="008C66DB" w:rsidP="008C66DB">
      <w:pPr>
        <w:numPr>
          <w:ilvl w:val="12"/>
          <w:numId w:val="0"/>
        </w:numPr>
        <w:tabs>
          <w:tab w:val="left" w:pos="9914"/>
        </w:tabs>
        <w:rPr>
          <w:rFonts w:ascii="Calibri" w:hAnsi="Calibri" w:cs="Calibri"/>
        </w:rPr>
      </w:pPr>
      <w:r w:rsidRPr="00A23FB4">
        <w:rPr>
          <w:rFonts w:ascii="Calibri" w:hAnsi="Calibri" w:cs="Calibri"/>
        </w:rPr>
        <w:t>Przy naruszonej strukturze gruntu rodzimego, grunt należy usunąć i miejsce wypełnić do spodu fundamentu betonem klasy B 15. Płaszczyzny boczne fundamentów stykające się z gruntem należy zabezpieczyć izolacją, np. emulsją kationową. Po wykonaniu fundamentu wykop należy zasypać warstwami grubości 20 cm z dokładnym zagęszczeniem gruntu.</w:t>
      </w:r>
    </w:p>
    <w:p w14:paraId="62BA1E3F" w14:textId="77777777" w:rsidR="008C66DB" w:rsidRPr="00A23FB4" w:rsidRDefault="008C66DB" w:rsidP="008C66DB">
      <w:pPr>
        <w:pStyle w:val="Nagwek4"/>
        <w:tabs>
          <w:tab w:val="left" w:pos="9914"/>
        </w:tabs>
        <w:rPr>
          <w:rFonts w:ascii="Calibri" w:hAnsi="Calibri" w:cs="Calibri"/>
        </w:rPr>
      </w:pPr>
      <w:r w:rsidRPr="00A23FB4">
        <w:rPr>
          <w:rFonts w:ascii="Calibri" w:hAnsi="Calibri" w:cs="Calibri"/>
        </w:rPr>
        <w:t>5.4. Tolerancje ustawienia znaku pionowego</w:t>
      </w:r>
    </w:p>
    <w:p w14:paraId="19273FDD" w14:textId="77777777" w:rsidR="008C66DB" w:rsidRPr="00A23FB4" w:rsidRDefault="008C66DB" w:rsidP="008C66DB">
      <w:pPr>
        <w:numPr>
          <w:ilvl w:val="12"/>
          <w:numId w:val="0"/>
        </w:numPr>
        <w:tabs>
          <w:tab w:val="left" w:pos="9914"/>
        </w:tabs>
        <w:rPr>
          <w:rFonts w:ascii="Calibri" w:hAnsi="Calibri" w:cs="Calibri"/>
        </w:rPr>
      </w:pPr>
      <w:r w:rsidRPr="00A23FB4">
        <w:rPr>
          <w:rFonts w:ascii="Calibri" w:hAnsi="Calibri" w:cs="Calibri"/>
        </w:rPr>
        <w:t>Konstrukcje wsporcze znaków - słupki, słupy, wysięgniki, powinny być wykonane zgodnie z dokumentacją.</w:t>
      </w:r>
    </w:p>
    <w:p w14:paraId="11C9C71F" w14:textId="77777777" w:rsidR="008C66DB" w:rsidRPr="00A23FB4" w:rsidRDefault="008C66DB" w:rsidP="008C66DB">
      <w:pPr>
        <w:numPr>
          <w:ilvl w:val="12"/>
          <w:numId w:val="0"/>
        </w:numPr>
        <w:tabs>
          <w:tab w:val="left" w:pos="9914"/>
        </w:tabs>
        <w:rPr>
          <w:rFonts w:ascii="Calibri" w:hAnsi="Calibri" w:cs="Calibri"/>
        </w:rPr>
      </w:pPr>
      <w:r w:rsidRPr="00A23FB4">
        <w:rPr>
          <w:rFonts w:ascii="Calibri" w:hAnsi="Calibri" w:cs="Calibri"/>
        </w:rPr>
        <w:t>Dopuszczalne tolerancje ustawienia znaku:</w:t>
      </w:r>
    </w:p>
    <w:p w14:paraId="04E8AED5" w14:textId="77777777" w:rsidR="008C66DB" w:rsidRPr="00A23FB4" w:rsidRDefault="008C66DB" w:rsidP="00262498">
      <w:pPr>
        <w:numPr>
          <w:ilvl w:val="0"/>
          <w:numId w:val="17"/>
        </w:numPr>
        <w:tabs>
          <w:tab w:val="left" w:pos="9914"/>
        </w:tabs>
        <w:ind w:left="283"/>
        <w:rPr>
          <w:rFonts w:ascii="Calibri" w:hAnsi="Calibri" w:cs="Calibri"/>
        </w:rPr>
      </w:pPr>
      <w:r w:rsidRPr="00A23FB4">
        <w:rPr>
          <w:rFonts w:ascii="Calibri" w:hAnsi="Calibri" w:cs="Calibri"/>
        </w:rPr>
        <w:t>odchyłka od pionu, nie więcej niż ± 1 %,</w:t>
      </w:r>
    </w:p>
    <w:p w14:paraId="6D87C830" w14:textId="77777777" w:rsidR="008C66DB" w:rsidRPr="00A23FB4" w:rsidRDefault="008C66DB" w:rsidP="00262498">
      <w:pPr>
        <w:numPr>
          <w:ilvl w:val="0"/>
          <w:numId w:val="17"/>
        </w:numPr>
        <w:tabs>
          <w:tab w:val="left" w:pos="9914"/>
        </w:tabs>
        <w:ind w:left="283"/>
        <w:rPr>
          <w:rFonts w:ascii="Calibri" w:hAnsi="Calibri" w:cs="Calibri"/>
        </w:rPr>
      </w:pPr>
      <w:r w:rsidRPr="00A23FB4">
        <w:rPr>
          <w:rFonts w:ascii="Calibri" w:hAnsi="Calibri" w:cs="Calibri"/>
        </w:rPr>
        <w:t>odchyłka w wysokości umieszczenia znaku, nie więcej niż ± 2 cm,</w:t>
      </w:r>
    </w:p>
    <w:p w14:paraId="0D17DD17" w14:textId="77777777" w:rsidR="008C66DB" w:rsidRPr="00A23FB4" w:rsidRDefault="008C66DB" w:rsidP="00262498">
      <w:pPr>
        <w:numPr>
          <w:ilvl w:val="0"/>
          <w:numId w:val="17"/>
        </w:numPr>
        <w:tabs>
          <w:tab w:val="left" w:pos="9914"/>
        </w:tabs>
        <w:ind w:left="283"/>
        <w:rPr>
          <w:rFonts w:ascii="Calibri" w:hAnsi="Calibri" w:cs="Calibri"/>
        </w:rPr>
      </w:pPr>
      <w:r w:rsidRPr="00A23FB4">
        <w:rPr>
          <w:rFonts w:ascii="Calibri" w:hAnsi="Calibri" w:cs="Calibri"/>
        </w:rPr>
        <w:t>odchyłka w odległości ustawienia znaku od krawędzi jezdni utwardzonego pobocza lub pasa awaryjnego postoju, nie więcej niż ± 5 cm, przy zachowaniu minimalnej odległości umieszczenia znaku.</w:t>
      </w:r>
    </w:p>
    <w:p w14:paraId="67897460" w14:textId="77777777" w:rsidR="008C66DB" w:rsidRPr="00A23FB4" w:rsidRDefault="008C66DB" w:rsidP="008C66DB">
      <w:pPr>
        <w:pStyle w:val="Nagwek4"/>
        <w:tabs>
          <w:tab w:val="left" w:pos="9914"/>
        </w:tabs>
        <w:rPr>
          <w:rFonts w:ascii="Calibri" w:hAnsi="Calibri" w:cs="Calibri"/>
        </w:rPr>
      </w:pPr>
      <w:r w:rsidRPr="00A23FB4">
        <w:rPr>
          <w:rFonts w:ascii="Calibri" w:hAnsi="Calibri" w:cs="Calibri"/>
        </w:rPr>
        <w:t>5.5. Wykonanie spawanych złącz elementów metalowych</w:t>
      </w:r>
    </w:p>
    <w:p w14:paraId="1F42697C" w14:textId="77777777" w:rsidR="008C66DB" w:rsidRPr="00A23FB4" w:rsidRDefault="008C66DB" w:rsidP="008C66DB">
      <w:pPr>
        <w:numPr>
          <w:ilvl w:val="12"/>
          <w:numId w:val="0"/>
        </w:numPr>
        <w:tabs>
          <w:tab w:val="left" w:pos="9914"/>
        </w:tabs>
        <w:rPr>
          <w:rFonts w:ascii="Calibri" w:hAnsi="Calibri" w:cs="Calibri"/>
        </w:rPr>
      </w:pPr>
      <w:r w:rsidRPr="00A23FB4">
        <w:rPr>
          <w:rFonts w:ascii="Calibri" w:hAnsi="Calibri" w:cs="Calibri"/>
        </w:rPr>
        <w:t>Złącza spawane elementów metalowych powinny odpowiadać wymaganiom PN-M-69011.</w:t>
      </w:r>
    </w:p>
    <w:p w14:paraId="51D56F05" w14:textId="77777777" w:rsidR="008C66DB" w:rsidRPr="00A23FB4" w:rsidRDefault="008C66DB" w:rsidP="008C66DB">
      <w:pPr>
        <w:numPr>
          <w:ilvl w:val="12"/>
          <w:numId w:val="0"/>
        </w:numPr>
        <w:tabs>
          <w:tab w:val="left" w:pos="9914"/>
        </w:tabs>
        <w:rPr>
          <w:rFonts w:ascii="Calibri" w:hAnsi="Calibri" w:cs="Calibri"/>
        </w:rPr>
      </w:pPr>
      <w:r w:rsidRPr="00A23FB4">
        <w:rPr>
          <w:rFonts w:ascii="Calibri" w:hAnsi="Calibri" w:cs="Calibri"/>
        </w:rPr>
        <w:t>Wytrzymałość zmęczeniowa spoin powinna wynosić od 19 do 32 MPa. Odchyłki wymiarów spoin nie powinny przekraczać ± 0,5 mm dla spoiny grubości do 6 mm i ± 1,0 mm dla spoiny o grubości powyżej 6 mm.</w:t>
      </w:r>
    </w:p>
    <w:p w14:paraId="0410FCC5" w14:textId="77777777" w:rsidR="008C66DB" w:rsidRPr="00A23FB4" w:rsidRDefault="008C66DB" w:rsidP="008C66DB">
      <w:pPr>
        <w:numPr>
          <w:ilvl w:val="12"/>
          <w:numId w:val="0"/>
        </w:numPr>
        <w:tabs>
          <w:tab w:val="left" w:pos="9914"/>
        </w:tabs>
        <w:rPr>
          <w:rFonts w:ascii="Calibri" w:hAnsi="Calibri" w:cs="Calibri"/>
        </w:rPr>
      </w:pPr>
      <w:r w:rsidRPr="00A23FB4">
        <w:rPr>
          <w:rFonts w:ascii="Calibri" w:hAnsi="Calibri" w:cs="Calibri"/>
        </w:rPr>
        <w:t>Odstęp w złączach zakładkowych i nakładkowych, pomiędzy przylegającymi do siebie płaszczyznami nie powinien być większy niż 1 mm.</w:t>
      </w:r>
    </w:p>
    <w:p w14:paraId="1ABDBEE7" w14:textId="77777777" w:rsidR="008C66DB" w:rsidRPr="00A23FB4" w:rsidRDefault="008C66DB" w:rsidP="008C66DB">
      <w:pPr>
        <w:numPr>
          <w:ilvl w:val="12"/>
          <w:numId w:val="0"/>
        </w:numPr>
        <w:tabs>
          <w:tab w:val="left" w:pos="9914"/>
        </w:tabs>
        <w:rPr>
          <w:rFonts w:ascii="Calibri" w:hAnsi="Calibri" w:cs="Calibri"/>
        </w:rPr>
      </w:pPr>
      <w:r w:rsidRPr="00A23FB4">
        <w:rPr>
          <w:rFonts w:ascii="Calibri" w:hAnsi="Calibri" w:cs="Calibri"/>
        </w:rPr>
        <w:t>Złącza spawane nie powinny mieć wad większych niż podane w tablicy 2. Inżynier/Kierownik projektu może dopuścić wady większe niż podane w tablicy jeśli uzna, że nie mają one zasadniczego wpływu na cechy eksploatacyjne znaku pionowego.</w:t>
      </w:r>
    </w:p>
    <w:p w14:paraId="7C515345" w14:textId="77777777" w:rsidR="008C66DB" w:rsidRPr="00A23FB4" w:rsidRDefault="008C66DB" w:rsidP="008C66DB">
      <w:pPr>
        <w:numPr>
          <w:ilvl w:val="12"/>
          <w:numId w:val="0"/>
        </w:numPr>
        <w:tabs>
          <w:tab w:val="left" w:pos="9914"/>
        </w:tabs>
        <w:rPr>
          <w:rFonts w:ascii="Calibri" w:hAnsi="Calibri" w:cs="Calibri"/>
        </w:rPr>
      </w:pPr>
      <w:r w:rsidRPr="00A23FB4">
        <w:rPr>
          <w:rFonts w:ascii="Calibri" w:hAnsi="Calibri" w:cs="Calibri"/>
        </w:rPr>
        <w:t xml:space="preserve">Tablica 2. Dopuszczalne wymiary wad w złączach spawanych, wg PN-M-69775 </w:t>
      </w:r>
    </w:p>
    <w:tbl>
      <w:tblPr>
        <w:tblW w:w="8717" w:type="dxa"/>
        <w:tblInd w:w="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166"/>
        <w:gridCol w:w="2551"/>
      </w:tblGrid>
      <w:tr w:rsidR="008C66DB" w:rsidRPr="00A23FB4" w14:paraId="5EE77D4A" w14:textId="77777777" w:rsidTr="008C66DB">
        <w:tc>
          <w:tcPr>
            <w:tcW w:w="6166" w:type="dxa"/>
            <w:tcBorders>
              <w:bottom w:val="double" w:sz="6" w:space="0" w:color="auto"/>
            </w:tcBorders>
          </w:tcPr>
          <w:p w14:paraId="56F4767A" w14:textId="77777777" w:rsidR="008C66DB" w:rsidRPr="00A23FB4" w:rsidRDefault="008C66DB" w:rsidP="008C66DB">
            <w:pPr>
              <w:numPr>
                <w:ilvl w:val="12"/>
                <w:numId w:val="0"/>
              </w:numPr>
              <w:tabs>
                <w:tab w:val="left" w:pos="9914"/>
              </w:tabs>
              <w:rPr>
                <w:rFonts w:ascii="Calibri" w:hAnsi="Calibri" w:cs="Calibri"/>
              </w:rPr>
            </w:pPr>
            <w:r w:rsidRPr="00A23FB4">
              <w:rPr>
                <w:rFonts w:ascii="Calibri" w:hAnsi="Calibri" w:cs="Calibri"/>
              </w:rPr>
              <w:t>Rodzaj wady</w:t>
            </w:r>
          </w:p>
        </w:tc>
        <w:tc>
          <w:tcPr>
            <w:tcW w:w="2551" w:type="dxa"/>
            <w:tcBorders>
              <w:bottom w:val="double" w:sz="6" w:space="0" w:color="auto"/>
            </w:tcBorders>
          </w:tcPr>
          <w:p w14:paraId="7B71FC42" w14:textId="77777777" w:rsidR="008C66DB" w:rsidRPr="00A23FB4" w:rsidRDefault="008C66DB" w:rsidP="008C66DB">
            <w:pPr>
              <w:numPr>
                <w:ilvl w:val="12"/>
                <w:numId w:val="0"/>
              </w:numPr>
              <w:tabs>
                <w:tab w:val="left" w:pos="9914"/>
              </w:tabs>
              <w:rPr>
                <w:rFonts w:ascii="Calibri" w:hAnsi="Calibri" w:cs="Calibri"/>
              </w:rPr>
            </w:pPr>
            <w:r w:rsidRPr="00A23FB4">
              <w:rPr>
                <w:rFonts w:ascii="Calibri" w:hAnsi="Calibri" w:cs="Calibri"/>
              </w:rPr>
              <w:t>Dopuszczalny wymiar wady,   mm</w:t>
            </w:r>
          </w:p>
        </w:tc>
      </w:tr>
      <w:tr w:rsidR="008C66DB" w:rsidRPr="00A23FB4" w14:paraId="7CC951A6" w14:textId="77777777" w:rsidTr="008C66DB">
        <w:tc>
          <w:tcPr>
            <w:tcW w:w="6166" w:type="dxa"/>
            <w:tcBorders>
              <w:top w:val="nil"/>
            </w:tcBorders>
          </w:tcPr>
          <w:p w14:paraId="71BE6FE6" w14:textId="77777777" w:rsidR="008C66DB" w:rsidRPr="00A23FB4" w:rsidRDefault="008C66DB" w:rsidP="008C66DB">
            <w:pPr>
              <w:numPr>
                <w:ilvl w:val="12"/>
                <w:numId w:val="0"/>
              </w:numPr>
              <w:tabs>
                <w:tab w:val="left" w:pos="9914"/>
              </w:tabs>
              <w:rPr>
                <w:rFonts w:ascii="Calibri" w:hAnsi="Calibri" w:cs="Calibri"/>
              </w:rPr>
            </w:pPr>
            <w:r w:rsidRPr="00A23FB4">
              <w:rPr>
                <w:rFonts w:ascii="Calibri" w:hAnsi="Calibri" w:cs="Calibri"/>
              </w:rPr>
              <w:t>Brak przetopu</w:t>
            </w:r>
          </w:p>
          <w:p w14:paraId="31D7B99A" w14:textId="77777777" w:rsidR="008C66DB" w:rsidRPr="00A23FB4" w:rsidRDefault="008C66DB" w:rsidP="008C66DB">
            <w:pPr>
              <w:numPr>
                <w:ilvl w:val="12"/>
                <w:numId w:val="0"/>
              </w:numPr>
              <w:tabs>
                <w:tab w:val="left" w:pos="9914"/>
              </w:tabs>
              <w:rPr>
                <w:rFonts w:ascii="Calibri" w:hAnsi="Calibri" w:cs="Calibri"/>
              </w:rPr>
            </w:pPr>
            <w:r w:rsidRPr="00A23FB4">
              <w:rPr>
                <w:rFonts w:ascii="Calibri" w:hAnsi="Calibri" w:cs="Calibri"/>
              </w:rPr>
              <w:t>Podtopienie lica spoiny</w:t>
            </w:r>
          </w:p>
          <w:p w14:paraId="3BF803EA" w14:textId="77777777" w:rsidR="008C66DB" w:rsidRPr="00A23FB4" w:rsidRDefault="008C66DB" w:rsidP="008C66DB">
            <w:pPr>
              <w:numPr>
                <w:ilvl w:val="12"/>
                <w:numId w:val="0"/>
              </w:numPr>
              <w:tabs>
                <w:tab w:val="left" w:pos="9914"/>
              </w:tabs>
              <w:rPr>
                <w:rFonts w:ascii="Calibri" w:hAnsi="Calibri" w:cs="Calibri"/>
              </w:rPr>
            </w:pPr>
            <w:r w:rsidRPr="00A23FB4">
              <w:rPr>
                <w:rFonts w:ascii="Calibri" w:hAnsi="Calibri" w:cs="Calibri"/>
              </w:rPr>
              <w:t>Porowatość spoiny</w:t>
            </w:r>
          </w:p>
          <w:p w14:paraId="34BAFFFA" w14:textId="77777777" w:rsidR="008C66DB" w:rsidRPr="00A23FB4" w:rsidRDefault="008C66DB" w:rsidP="008C66DB">
            <w:pPr>
              <w:numPr>
                <w:ilvl w:val="12"/>
                <w:numId w:val="0"/>
              </w:numPr>
              <w:tabs>
                <w:tab w:val="left" w:pos="9914"/>
              </w:tabs>
              <w:rPr>
                <w:rFonts w:ascii="Calibri" w:hAnsi="Calibri" w:cs="Calibri"/>
              </w:rPr>
            </w:pPr>
            <w:r w:rsidRPr="00A23FB4">
              <w:rPr>
                <w:rFonts w:ascii="Calibri" w:hAnsi="Calibri" w:cs="Calibri"/>
              </w:rPr>
              <w:t>Krater w spoinie</w:t>
            </w:r>
          </w:p>
          <w:p w14:paraId="04FAD6BE" w14:textId="77777777" w:rsidR="008C66DB" w:rsidRPr="00A23FB4" w:rsidRDefault="008C66DB" w:rsidP="008C66DB">
            <w:pPr>
              <w:numPr>
                <w:ilvl w:val="12"/>
                <w:numId w:val="0"/>
              </w:numPr>
              <w:tabs>
                <w:tab w:val="left" w:pos="9914"/>
              </w:tabs>
              <w:rPr>
                <w:rFonts w:ascii="Calibri" w:hAnsi="Calibri" w:cs="Calibri"/>
              </w:rPr>
            </w:pPr>
            <w:r w:rsidRPr="00A23FB4">
              <w:rPr>
                <w:rFonts w:ascii="Calibri" w:hAnsi="Calibri" w:cs="Calibri"/>
              </w:rPr>
              <w:t>Wklęśnięcie lica spoiny</w:t>
            </w:r>
          </w:p>
          <w:p w14:paraId="260CDDFD" w14:textId="77777777" w:rsidR="008C66DB" w:rsidRPr="00A23FB4" w:rsidRDefault="008C66DB" w:rsidP="008C66DB">
            <w:pPr>
              <w:numPr>
                <w:ilvl w:val="12"/>
                <w:numId w:val="0"/>
              </w:numPr>
              <w:tabs>
                <w:tab w:val="left" w:pos="9914"/>
              </w:tabs>
              <w:rPr>
                <w:rFonts w:ascii="Calibri" w:hAnsi="Calibri" w:cs="Calibri"/>
              </w:rPr>
            </w:pPr>
            <w:r w:rsidRPr="00A23FB4">
              <w:rPr>
                <w:rFonts w:ascii="Calibri" w:hAnsi="Calibri" w:cs="Calibri"/>
              </w:rPr>
              <w:t>Uszkodzenie mechaniczne spoiny</w:t>
            </w:r>
          </w:p>
          <w:p w14:paraId="56ACF7C5" w14:textId="77777777" w:rsidR="008C66DB" w:rsidRPr="00A23FB4" w:rsidRDefault="008C66DB" w:rsidP="008C66DB">
            <w:pPr>
              <w:numPr>
                <w:ilvl w:val="12"/>
                <w:numId w:val="0"/>
              </w:numPr>
              <w:tabs>
                <w:tab w:val="left" w:pos="9914"/>
              </w:tabs>
              <w:rPr>
                <w:rFonts w:ascii="Calibri" w:hAnsi="Calibri" w:cs="Calibri"/>
              </w:rPr>
            </w:pPr>
            <w:r w:rsidRPr="00A23FB4">
              <w:rPr>
                <w:rFonts w:ascii="Calibri" w:hAnsi="Calibri" w:cs="Calibri"/>
              </w:rPr>
              <w:t>Różnica wysokości sąsiednich wgłębień  i wypukłości lica spoiny</w:t>
            </w:r>
          </w:p>
        </w:tc>
        <w:tc>
          <w:tcPr>
            <w:tcW w:w="2551" w:type="dxa"/>
            <w:tcBorders>
              <w:top w:val="nil"/>
            </w:tcBorders>
          </w:tcPr>
          <w:p w14:paraId="44AA17A2" w14:textId="77777777" w:rsidR="008C66DB" w:rsidRPr="00A23FB4" w:rsidRDefault="008C66DB" w:rsidP="008C66DB">
            <w:pPr>
              <w:numPr>
                <w:ilvl w:val="12"/>
                <w:numId w:val="0"/>
              </w:numPr>
              <w:tabs>
                <w:tab w:val="left" w:pos="9914"/>
              </w:tabs>
              <w:rPr>
                <w:rFonts w:ascii="Calibri" w:hAnsi="Calibri" w:cs="Calibri"/>
              </w:rPr>
            </w:pPr>
            <w:r w:rsidRPr="00A23FB4">
              <w:rPr>
                <w:rFonts w:ascii="Calibri" w:hAnsi="Calibri" w:cs="Calibri"/>
              </w:rPr>
              <w:t>2,0</w:t>
            </w:r>
          </w:p>
          <w:p w14:paraId="4C597E3D" w14:textId="77777777" w:rsidR="008C66DB" w:rsidRPr="00A23FB4" w:rsidRDefault="008C66DB" w:rsidP="008C66DB">
            <w:pPr>
              <w:numPr>
                <w:ilvl w:val="12"/>
                <w:numId w:val="0"/>
              </w:numPr>
              <w:tabs>
                <w:tab w:val="left" w:pos="9914"/>
              </w:tabs>
              <w:rPr>
                <w:rFonts w:ascii="Calibri" w:hAnsi="Calibri" w:cs="Calibri"/>
              </w:rPr>
            </w:pPr>
            <w:r w:rsidRPr="00A23FB4">
              <w:rPr>
                <w:rFonts w:ascii="Calibri" w:hAnsi="Calibri" w:cs="Calibri"/>
              </w:rPr>
              <w:t>1,5</w:t>
            </w:r>
          </w:p>
          <w:p w14:paraId="204CC294" w14:textId="77777777" w:rsidR="008C66DB" w:rsidRPr="00A23FB4" w:rsidRDefault="008C66DB" w:rsidP="008C66DB">
            <w:pPr>
              <w:numPr>
                <w:ilvl w:val="12"/>
                <w:numId w:val="0"/>
              </w:numPr>
              <w:tabs>
                <w:tab w:val="left" w:pos="9914"/>
              </w:tabs>
              <w:rPr>
                <w:rFonts w:ascii="Calibri" w:hAnsi="Calibri" w:cs="Calibri"/>
              </w:rPr>
            </w:pPr>
            <w:r w:rsidRPr="00A23FB4">
              <w:rPr>
                <w:rFonts w:ascii="Calibri" w:hAnsi="Calibri" w:cs="Calibri"/>
              </w:rPr>
              <w:t>3,0</w:t>
            </w:r>
          </w:p>
          <w:p w14:paraId="3BD16821" w14:textId="77777777" w:rsidR="008C66DB" w:rsidRPr="00A23FB4" w:rsidRDefault="008C66DB" w:rsidP="008C66DB">
            <w:pPr>
              <w:numPr>
                <w:ilvl w:val="12"/>
                <w:numId w:val="0"/>
              </w:numPr>
              <w:tabs>
                <w:tab w:val="left" w:pos="9914"/>
              </w:tabs>
              <w:rPr>
                <w:rFonts w:ascii="Calibri" w:hAnsi="Calibri" w:cs="Calibri"/>
              </w:rPr>
            </w:pPr>
            <w:r w:rsidRPr="00A23FB4">
              <w:rPr>
                <w:rFonts w:ascii="Calibri" w:hAnsi="Calibri" w:cs="Calibri"/>
              </w:rPr>
              <w:t>1,5</w:t>
            </w:r>
          </w:p>
          <w:p w14:paraId="6B9494F3" w14:textId="77777777" w:rsidR="008C66DB" w:rsidRPr="00A23FB4" w:rsidRDefault="008C66DB" w:rsidP="008C66DB">
            <w:pPr>
              <w:numPr>
                <w:ilvl w:val="12"/>
                <w:numId w:val="0"/>
              </w:numPr>
              <w:tabs>
                <w:tab w:val="left" w:pos="9914"/>
              </w:tabs>
              <w:rPr>
                <w:rFonts w:ascii="Calibri" w:hAnsi="Calibri" w:cs="Calibri"/>
              </w:rPr>
            </w:pPr>
            <w:r w:rsidRPr="00A23FB4">
              <w:rPr>
                <w:rFonts w:ascii="Calibri" w:hAnsi="Calibri" w:cs="Calibri"/>
              </w:rPr>
              <w:t>1,5</w:t>
            </w:r>
          </w:p>
          <w:p w14:paraId="3E231BBF" w14:textId="77777777" w:rsidR="008C66DB" w:rsidRPr="00A23FB4" w:rsidRDefault="008C66DB" w:rsidP="008C66DB">
            <w:pPr>
              <w:numPr>
                <w:ilvl w:val="12"/>
                <w:numId w:val="0"/>
              </w:numPr>
              <w:tabs>
                <w:tab w:val="left" w:pos="9914"/>
              </w:tabs>
              <w:rPr>
                <w:rFonts w:ascii="Calibri" w:hAnsi="Calibri" w:cs="Calibri"/>
              </w:rPr>
            </w:pPr>
            <w:r w:rsidRPr="00A23FB4">
              <w:rPr>
                <w:rFonts w:ascii="Calibri" w:hAnsi="Calibri" w:cs="Calibri"/>
              </w:rPr>
              <w:t>1,0</w:t>
            </w:r>
          </w:p>
          <w:p w14:paraId="63EC56C3" w14:textId="77777777" w:rsidR="008C66DB" w:rsidRPr="00A23FB4" w:rsidRDefault="008C66DB" w:rsidP="008C66DB">
            <w:pPr>
              <w:numPr>
                <w:ilvl w:val="12"/>
                <w:numId w:val="0"/>
              </w:numPr>
              <w:tabs>
                <w:tab w:val="left" w:pos="9914"/>
              </w:tabs>
              <w:rPr>
                <w:rFonts w:ascii="Calibri" w:hAnsi="Calibri" w:cs="Calibri"/>
              </w:rPr>
            </w:pPr>
            <w:r w:rsidRPr="00A23FB4">
              <w:rPr>
                <w:rFonts w:ascii="Calibri" w:hAnsi="Calibri" w:cs="Calibri"/>
              </w:rPr>
              <w:t>3,0</w:t>
            </w:r>
          </w:p>
        </w:tc>
      </w:tr>
    </w:tbl>
    <w:p w14:paraId="524E5333" w14:textId="77777777" w:rsidR="008C66DB" w:rsidRPr="00A23FB4" w:rsidRDefault="008C66DB" w:rsidP="008C66DB">
      <w:pPr>
        <w:pStyle w:val="Nagwek4"/>
        <w:tabs>
          <w:tab w:val="left" w:pos="9914"/>
        </w:tabs>
        <w:rPr>
          <w:rFonts w:ascii="Calibri" w:hAnsi="Calibri" w:cs="Calibri"/>
        </w:rPr>
      </w:pPr>
      <w:r w:rsidRPr="00A23FB4">
        <w:rPr>
          <w:rFonts w:ascii="Calibri" w:hAnsi="Calibri" w:cs="Calibri"/>
        </w:rPr>
        <w:t>5.6. Konstrukcje wsporcze</w:t>
      </w:r>
    </w:p>
    <w:p w14:paraId="21DABC26" w14:textId="77777777" w:rsidR="008C66DB" w:rsidRPr="00A23FB4" w:rsidRDefault="008C66DB" w:rsidP="008C66DB">
      <w:pPr>
        <w:numPr>
          <w:ilvl w:val="12"/>
          <w:numId w:val="0"/>
        </w:numPr>
        <w:tabs>
          <w:tab w:val="left" w:pos="9914"/>
        </w:tabs>
        <w:rPr>
          <w:rFonts w:ascii="Calibri" w:hAnsi="Calibri" w:cs="Calibri"/>
          <w:b/>
          <w:bCs/>
          <w:i/>
          <w:iCs/>
        </w:rPr>
      </w:pPr>
      <w:r w:rsidRPr="00A23FB4">
        <w:rPr>
          <w:rFonts w:ascii="Calibri" w:hAnsi="Calibri" w:cs="Calibri"/>
          <w:b/>
          <w:bCs/>
          <w:i/>
          <w:iCs/>
        </w:rPr>
        <w:t>5.6.1. Zabezpieczenie konstrukcji wsporczej przed najechaniem</w:t>
      </w:r>
    </w:p>
    <w:p w14:paraId="5F70B181" w14:textId="77777777" w:rsidR="008C66DB" w:rsidRPr="00A23FB4" w:rsidRDefault="008C66DB" w:rsidP="008C66DB">
      <w:pPr>
        <w:numPr>
          <w:ilvl w:val="12"/>
          <w:numId w:val="0"/>
        </w:numPr>
        <w:tabs>
          <w:tab w:val="left" w:pos="9914"/>
        </w:tabs>
        <w:rPr>
          <w:rFonts w:ascii="Calibri" w:hAnsi="Calibri" w:cs="Calibri"/>
        </w:rPr>
      </w:pPr>
      <w:r w:rsidRPr="00A23FB4">
        <w:rPr>
          <w:rFonts w:ascii="Calibri" w:hAnsi="Calibri" w:cs="Calibri"/>
        </w:rPr>
        <w:t>Konstrukcje wsporcze znaków drogowych bramowych lub wysięgnikowych jedno lub dwustronnych, jak również konstrukcje wsporcze znaków tablicowych bocznych o powierzchni większej od 4,5 m</w:t>
      </w:r>
      <w:r w:rsidRPr="00A23FB4">
        <w:rPr>
          <w:rFonts w:ascii="Calibri" w:hAnsi="Calibri" w:cs="Calibri"/>
          <w:vertAlign w:val="superscript"/>
        </w:rPr>
        <w:t>2</w:t>
      </w:r>
      <w:r w:rsidRPr="00A23FB4">
        <w:rPr>
          <w:rFonts w:ascii="Calibri" w:hAnsi="Calibri" w:cs="Calibri"/>
        </w:rPr>
        <w:t>, gdy występuje możliwość bezpośredniego najechania na nie przez pojazd - muszą być zabezpieczone odpowiednio umieszczonymi barierami ochronnymi lub innego rodzaju urządzeniami ochronnymi lub przeciwdestrukcyjnymi, zgodnie z dokumentacją projektową lub wskazaniami Inżyniera/Kierownika projektu. Podobne zabezpieczenie należy stosować w przypadku innych konstrukcji wsporczych, gdy najechanie na nie w większym stopniu zagraża bezpieczeństwu użytkowników pojazdów, niż najechanie pojazdu na barierę, jeśli przewiduje to dokumentacja projektowa lub Inżynier/Kierownik projektu.</w:t>
      </w:r>
    </w:p>
    <w:p w14:paraId="01568872" w14:textId="77777777" w:rsidR="00557D60" w:rsidRPr="00A23FB4" w:rsidRDefault="00557D60" w:rsidP="008C66DB">
      <w:pPr>
        <w:numPr>
          <w:ilvl w:val="12"/>
          <w:numId w:val="0"/>
        </w:numPr>
        <w:tabs>
          <w:tab w:val="left" w:pos="9914"/>
        </w:tabs>
        <w:rPr>
          <w:rFonts w:ascii="Calibri" w:hAnsi="Calibri" w:cs="Calibri"/>
        </w:rPr>
      </w:pPr>
    </w:p>
    <w:p w14:paraId="6FBD2413" w14:textId="77777777" w:rsidR="008C66DB" w:rsidRPr="00A23FB4" w:rsidRDefault="008C66DB" w:rsidP="008C66DB">
      <w:pPr>
        <w:numPr>
          <w:ilvl w:val="12"/>
          <w:numId w:val="0"/>
        </w:numPr>
        <w:tabs>
          <w:tab w:val="left" w:pos="9914"/>
        </w:tabs>
        <w:rPr>
          <w:rFonts w:ascii="Calibri" w:hAnsi="Calibri" w:cs="Calibri"/>
        </w:rPr>
      </w:pPr>
      <w:r w:rsidRPr="00A23FB4">
        <w:rPr>
          <w:rFonts w:ascii="Calibri" w:hAnsi="Calibri" w:cs="Calibri"/>
          <w:b/>
          <w:bCs/>
          <w:i/>
          <w:iCs/>
        </w:rPr>
        <w:t>5.6.2. Łatwo zrywalne złącza konstrukcji wsporczej</w:t>
      </w:r>
    </w:p>
    <w:p w14:paraId="461DE29E" w14:textId="77777777" w:rsidR="008C66DB" w:rsidRPr="00A23FB4" w:rsidRDefault="008C66DB" w:rsidP="008C66DB">
      <w:pPr>
        <w:numPr>
          <w:ilvl w:val="12"/>
          <w:numId w:val="0"/>
        </w:numPr>
        <w:tabs>
          <w:tab w:val="left" w:pos="9914"/>
        </w:tabs>
        <w:rPr>
          <w:rFonts w:ascii="Calibri" w:hAnsi="Calibri" w:cs="Calibri"/>
        </w:rPr>
      </w:pPr>
      <w:r w:rsidRPr="00A23FB4">
        <w:rPr>
          <w:rFonts w:ascii="Calibri" w:hAnsi="Calibri" w:cs="Calibri"/>
        </w:rPr>
        <w:t>W przypadku konstrukcji wsporczych, nie osłoniętych barierami ochronnymi - zaleca się stosowanie łatwo zrywalnych lub łatwo rozłączalnych przekrojów, złączy lub przegubów o odpowiednio bezpiecznej konstrukcji, umieszczonych na wysokości od 0,15 do 0,20 m nad powierzchnią terenu.</w:t>
      </w:r>
    </w:p>
    <w:p w14:paraId="038B9434" w14:textId="77777777" w:rsidR="008C66DB" w:rsidRPr="00A23FB4" w:rsidRDefault="008C66DB" w:rsidP="008C66DB">
      <w:pPr>
        <w:numPr>
          <w:ilvl w:val="12"/>
          <w:numId w:val="0"/>
        </w:numPr>
        <w:tabs>
          <w:tab w:val="left" w:pos="9914"/>
        </w:tabs>
        <w:rPr>
          <w:rFonts w:ascii="Calibri" w:hAnsi="Calibri" w:cs="Calibri"/>
        </w:rPr>
      </w:pPr>
      <w:r w:rsidRPr="00A23FB4">
        <w:rPr>
          <w:rFonts w:ascii="Calibri" w:hAnsi="Calibri" w:cs="Calibri"/>
        </w:rPr>
        <w:t>W szczególności - zaleca się stosowanie takich przekrojów, złączy lub przegubów w konstrukcjach wsporczych nie osłoniętych barierami ochronnymi, które znajdują się na obszarach zwiększonego zagrożenia kolizyjnego (ostrza rozgałęzień dróg łącznikowych, zewnętrzna strona łuków drogi itp.).</w:t>
      </w:r>
    </w:p>
    <w:p w14:paraId="1CC14956" w14:textId="77777777" w:rsidR="008C66DB" w:rsidRPr="00A23FB4" w:rsidRDefault="008C66DB" w:rsidP="008C66DB">
      <w:pPr>
        <w:numPr>
          <w:ilvl w:val="12"/>
          <w:numId w:val="0"/>
        </w:numPr>
        <w:tabs>
          <w:tab w:val="left" w:pos="9914"/>
        </w:tabs>
        <w:rPr>
          <w:rFonts w:ascii="Calibri" w:hAnsi="Calibri" w:cs="Calibri"/>
        </w:rPr>
      </w:pPr>
      <w:r w:rsidRPr="00A23FB4">
        <w:rPr>
          <w:rFonts w:ascii="Calibri" w:hAnsi="Calibri" w:cs="Calibri"/>
        </w:rPr>
        <w:t>Łatwo zrywalne lub łatwo rozłączalne złącza, przekroje lub przeguby powinny być tak skonstruowane i umieszczone, by znak wraz z konstrukcją wsporczą po zerwaniu nie przewracał się na jezdnię. Wysokość części konstrukcji wsporczej, pozostałej po odłączeniu górnej jej części od fundamentu, nie może być większa od 0,25 m.</w:t>
      </w:r>
    </w:p>
    <w:p w14:paraId="3E2735CB" w14:textId="77777777" w:rsidR="008C66DB" w:rsidRPr="00A23FB4" w:rsidRDefault="008C66DB" w:rsidP="008C66DB">
      <w:pPr>
        <w:numPr>
          <w:ilvl w:val="12"/>
          <w:numId w:val="0"/>
        </w:numPr>
        <w:tabs>
          <w:tab w:val="left" w:pos="9914"/>
        </w:tabs>
        <w:rPr>
          <w:rFonts w:ascii="Calibri" w:hAnsi="Calibri" w:cs="Calibri"/>
          <w:b/>
          <w:bCs/>
          <w:i/>
          <w:iCs/>
        </w:rPr>
      </w:pPr>
      <w:r w:rsidRPr="00A23FB4">
        <w:rPr>
          <w:rFonts w:ascii="Calibri" w:hAnsi="Calibri" w:cs="Calibri"/>
          <w:b/>
          <w:bCs/>
          <w:i/>
          <w:iCs/>
        </w:rPr>
        <w:t>5.6.3.  Zapobieganie   zagrożeniu   użytkowników drogi i terenu przyległego - przez konstrukcję wsporczą</w:t>
      </w:r>
    </w:p>
    <w:p w14:paraId="01478684" w14:textId="77777777" w:rsidR="008C66DB" w:rsidRPr="00A23FB4" w:rsidRDefault="008C66DB" w:rsidP="008C66DB">
      <w:pPr>
        <w:numPr>
          <w:ilvl w:val="12"/>
          <w:numId w:val="0"/>
        </w:numPr>
        <w:tabs>
          <w:tab w:val="left" w:pos="9914"/>
        </w:tabs>
        <w:rPr>
          <w:rFonts w:ascii="Calibri" w:hAnsi="Calibri" w:cs="Calibri"/>
        </w:rPr>
      </w:pPr>
      <w:r w:rsidRPr="00A23FB4">
        <w:rPr>
          <w:rFonts w:ascii="Calibri" w:hAnsi="Calibri" w:cs="Calibri"/>
        </w:rPr>
        <w:t>Konstrukcja wsporcza znaku musi być wykonana w sposób ograniczający zagrożenie użytkowników pojazdów samochodowych oraz innych użytkowników drogi i terenu do niej przyległego przy najechaniu przez pojazd na znak. Konstrukcja wsporcza znaku musi zapewnić możliwość łatwej naprawy po najechaniu przez pojazdy lub innego rodzaju uszkodzenia znaku.</w:t>
      </w:r>
    </w:p>
    <w:p w14:paraId="30001A4B" w14:textId="77777777" w:rsidR="008C66DB" w:rsidRPr="00A23FB4" w:rsidRDefault="008C66DB" w:rsidP="008C66DB">
      <w:pPr>
        <w:numPr>
          <w:ilvl w:val="12"/>
          <w:numId w:val="0"/>
        </w:numPr>
        <w:tabs>
          <w:tab w:val="left" w:pos="9914"/>
        </w:tabs>
        <w:rPr>
          <w:rFonts w:ascii="Calibri" w:hAnsi="Calibri" w:cs="Calibri"/>
          <w:b/>
          <w:bCs/>
          <w:i/>
          <w:iCs/>
        </w:rPr>
      </w:pPr>
      <w:r w:rsidRPr="00A23FB4">
        <w:rPr>
          <w:rFonts w:ascii="Calibri" w:hAnsi="Calibri" w:cs="Calibri"/>
          <w:b/>
          <w:bCs/>
          <w:i/>
          <w:iCs/>
        </w:rPr>
        <w:t>5.6.4. Poziom górnej powierzchni fundamentu</w:t>
      </w:r>
    </w:p>
    <w:p w14:paraId="0EFD8CC3" w14:textId="77777777" w:rsidR="008C66DB" w:rsidRPr="00A23FB4" w:rsidRDefault="008C66DB" w:rsidP="008C66DB">
      <w:pPr>
        <w:numPr>
          <w:ilvl w:val="12"/>
          <w:numId w:val="0"/>
        </w:numPr>
        <w:tabs>
          <w:tab w:val="left" w:pos="9914"/>
        </w:tabs>
        <w:rPr>
          <w:rFonts w:ascii="Calibri" w:hAnsi="Calibri" w:cs="Calibri"/>
        </w:rPr>
      </w:pPr>
      <w:r w:rsidRPr="00A23FB4">
        <w:rPr>
          <w:rFonts w:ascii="Calibri" w:hAnsi="Calibri" w:cs="Calibri"/>
        </w:rPr>
        <w:t>Przy zamocowaniu konstrukcji wsporczej znaku w fundamencie betonowym lub innym podobnym - pożądane jest, by górna część fundamentu pokrywała się z powierzchnią pobocza, pasa dzielącego itp. lub była nad tę powierzchnię wyniesiona nie więcej niż 0,03 m. W przypadku konstrukcji wsporczych, znajdujących się poza koroną drogi, górna część fundamentu powinna być wyniesiona nad powierzchnię terenu nie więcej niż 0,15 m.</w:t>
      </w:r>
    </w:p>
    <w:p w14:paraId="300DC7D4" w14:textId="77777777" w:rsidR="008C66DB" w:rsidRPr="00A23FB4" w:rsidRDefault="008C66DB" w:rsidP="008C66DB">
      <w:pPr>
        <w:numPr>
          <w:ilvl w:val="12"/>
          <w:numId w:val="0"/>
        </w:numPr>
        <w:tabs>
          <w:tab w:val="left" w:pos="9914"/>
        </w:tabs>
        <w:rPr>
          <w:rFonts w:ascii="Calibri" w:hAnsi="Calibri" w:cs="Calibri"/>
          <w:b/>
          <w:bCs/>
          <w:i/>
          <w:iCs/>
        </w:rPr>
      </w:pPr>
      <w:r w:rsidRPr="00A23FB4">
        <w:rPr>
          <w:rFonts w:ascii="Calibri" w:hAnsi="Calibri" w:cs="Calibri"/>
          <w:b/>
          <w:bCs/>
          <w:i/>
          <w:iCs/>
        </w:rPr>
        <w:t>5.6.6. Barwa konstrukcji wsporczej</w:t>
      </w:r>
    </w:p>
    <w:p w14:paraId="1BB7EDF1" w14:textId="77777777" w:rsidR="008C66DB" w:rsidRPr="00A23FB4" w:rsidRDefault="008C66DB" w:rsidP="008C66DB">
      <w:pPr>
        <w:numPr>
          <w:ilvl w:val="12"/>
          <w:numId w:val="0"/>
        </w:numPr>
        <w:tabs>
          <w:tab w:val="left" w:pos="9914"/>
        </w:tabs>
        <w:rPr>
          <w:rFonts w:ascii="Calibri" w:hAnsi="Calibri" w:cs="Calibri"/>
        </w:rPr>
      </w:pPr>
      <w:r w:rsidRPr="00A23FB4">
        <w:rPr>
          <w:rFonts w:ascii="Calibri" w:hAnsi="Calibri" w:cs="Calibri"/>
        </w:rPr>
        <w:t>Konstrukcje wsporcze znaków drogowych pionowych muszą mieć barwę szarą neutralną z tym, że dopuszcza się barwę naturalną pokryć cynkowanych. Zabrania się stosowania pokryć konstrukcji wsporczych o jaskrawej barwie - z wyjątkiem przypadków, gdy jest to wymagane odrębnymi przepisami, wytycznymi lub warunkami technicznymi.</w:t>
      </w:r>
    </w:p>
    <w:p w14:paraId="7A2FF12E" w14:textId="77777777" w:rsidR="008C66DB" w:rsidRPr="00A23FB4" w:rsidRDefault="008C66DB" w:rsidP="008C66DB">
      <w:pPr>
        <w:pStyle w:val="Nagwek4"/>
        <w:tabs>
          <w:tab w:val="left" w:pos="9914"/>
        </w:tabs>
        <w:rPr>
          <w:rFonts w:ascii="Calibri" w:hAnsi="Calibri" w:cs="Calibri"/>
        </w:rPr>
      </w:pPr>
      <w:r w:rsidRPr="00A23FB4">
        <w:rPr>
          <w:rFonts w:ascii="Calibri" w:hAnsi="Calibri" w:cs="Calibri"/>
        </w:rPr>
        <w:t>5.7. Połączenie tarczy znaku z konstrukcją wsporczą</w:t>
      </w:r>
    </w:p>
    <w:p w14:paraId="1C4463DE" w14:textId="77777777" w:rsidR="008C66DB" w:rsidRPr="00A23FB4" w:rsidRDefault="008C66DB" w:rsidP="008C66DB">
      <w:pPr>
        <w:numPr>
          <w:ilvl w:val="12"/>
          <w:numId w:val="0"/>
        </w:numPr>
        <w:tabs>
          <w:tab w:val="left" w:pos="9914"/>
        </w:tabs>
        <w:rPr>
          <w:rFonts w:ascii="Calibri" w:hAnsi="Calibri" w:cs="Calibri"/>
        </w:rPr>
      </w:pPr>
      <w:r w:rsidRPr="00A23FB4">
        <w:rPr>
          <w:rFonts w:ascii="Calibri" w:hAnsi="Calibri" w:cs="Calibri"/>
        </w:rPr>
        <w:t>Tarcza znaku musi być zamocowana do konstrukcji wsporczej w sposób uniemożliwiający jej przesunięcie lub obrót.</w:t>
      </w:r>
    </w:p>
    <w:p w14:paraId="06B7F7F8" w14:textId="77777777" w:rsidR="008C66DB" w:rsidRPr="00A23FB4" w:rsidRDefault="008C66DB" w:rsidP="008C66DB">
      <w:pPr>
        <w:numPr>
          <w:ilvl w:val="12"/>
          <w:numId w:val="0"/>
        </w:numPr>
        <w:tabs>
          <w:tab w:val="left" w:pos="9914"/>
        </w:tabs>
        <w:rPr>
          <w:rFonts w:ascii="Calibri" w:hAnsi="Calibri" w:cs="Calibri"/>
        </w:rPr>
      </w:pPr>
      <w:r w:rsidRPr="00A23FB4">
        <w:rPr>
          <w:rFonts w:ascii="Calibri" w:hAnsi="Calibri" w:cs="Calibri"/>
        </w:rPr>
        <w:t>Materiał i sposób wykonania połączenia tarczy znaku z konstrukcją wsporczą musi umożliwiać, przy użyciu odpowiednich narzędzi, odłączenie tarczy znaku od tej konstrukcji przez cały okres użytkowania znaku.</w:t>
      </w:r>
    </w:p>
    <w:p w14:paraId="5AB0A109" w14:textId="77777777" w:rsidR="008C66DB" w:rsidRPr="00A23FB4" w:rsidRDefault="008C66DB" w:rsidP="008C66DB">
      <w:pPr>
        <w:numPr>
          <w:ilvl w:val="12"/>
          <w:numId w:val="0"/>
        </w:numPr>
        <w:tabs>
          <w:tab w:val="left" w:pos="9914"/>
        </w:tabs>
        <w:rPr>
          <w:rFonts w:ascii="Calibri" w:hAnsi="Calibri" w:cs="Calibri"/>
        </w:rPr>
      </w:pPr>
      <w:r w:rsidRPr="00A23FB4">
        <w:rPr>
          <w:rFonts w:ascii="Calibri" w:hAnsi="Calibri" w:cs="Calibri"/>
        </w:rPr>
        <w:t>Na drogach i obszarach, na których występują częste przypadki dewastacji znaków, zaleca się stosowanie elementów złącznych o konstrukcji uniemożliwiającej lub znacznie utrudniającej ich rozłączenie przez osoby niepowołane.</w:t>
      </w:r>
    </w:p>
    <w:p w14:paraId="451EBC19" w14:textId="77777777" w:rsidR="008C66DB" w:rsidRPr="00A23FB4" w:rsidRDefault="008C66DB" w:rsidP="008C66DB">
      <w:pPr>
        <w:numPr>
          <w:ilvl w:val="12"/>
          <w:numId w:val="0"/>
        </w:numPr>
        <w:tabs>
          <w:tab w:val="left" w:pos="9914"/>
        </w:tabs>
        <w:rPr>
          <w:rFonts w:ascii="Calibri" w:hAnsi="Calibri" w:cs="Calibri"/>
        </w:rPr>
      </w:pPr>
      <w:r w:rsidRPr="00A23FB4">
        <w:rPr>
          <w:rFonts w:ascii="Calibri" w:hAnsi="Calibri" w:cs="Calibri"/>
        </w:rPr>
        <w:t>Tarcza znaku składanego musi wykazywać pełną integralność podczas najechania przez pojazd w każdych warunkach kolizji. W szczególności - żaden z segmentów lub elementów tarczy nie może się od niej odłączać w sposób powodujący narażenie kogokolwiek na niebezpieczeństwo lub szkodę.</w:t>
      </w:r>
    </w:p>
    <w:p w14:paraId="4722DF27" w14:textId="77777777" w:rsidR="008C66DB" w:rsidRPr="00A23FB4" w:rsidRDefault="008C66DB" w:rsidP="008C66DB">
      <w:pPr>
        <w:numPr>
          <w:ilvl w:val="12"/>
          <w:numId w:val="0"/>
        </w:numPr>
        <w:tabs>
          <w:tab w:val="left" w:pos="9914"/>
        </w:tabs>
        <w:rPr>
          <w:rFonts w:ascii="Calibri" w:hAnsi="Calibri" w:cs="Calibri"/>
        </w:rPr>
      </w:pPr>
      <w:r w:rsidRPr="00A23FB4">
        <w:rPr>
          <w:rFonts w:ascii="Calibri" w:hAnsi="Calibri" w:cs="Calibri"/>
        </w:rPr>
        <w:t>Nie dopuszcza się zamocowania znaku do konstrukcji wsporczej w sposób wymagający bezpośredniego przeprowadzenia śrub mocujących przez lico znaku.</w:t>
      </w:r>
    </w:p>
    <w:p w14:paraId="1FD7AD5E" w14:textId="77777777" w:rsidR="008C66DB" w:rsidRPr="00A23FB4" w:rsidRDefault="008C66DB" w:rsidP="008C66DB">
      <w:pPr>
        <w:pStyle w:val="Nagwek4"/>
        <w:tabs>
          <w:tab w:val="left" w:pos="9914"/>
        </w:tabs>
        <w:rPr>
          <w:rFonts w:ascii="Calibri" w:hAnsi="Calibri" w:cs="Calibri"/>
        </w:rPr>
      </w:pPr>
      <w:r w:rsidRPr="00A23FB4">
        <w:rPr>
          <w:rFonts w:ascii="Calibri" w:hAnsi="Calibri" w:cs="Calibri"/>
        </w:rPr>
        <w:t>5.8. Trwałość wykonania znaku pionowego</w:t>
      </w:r>
    </w:p>
    <w:p w14:paraId="3022AC97" w14:textId="77777777" w:rsidR="008C66DB" w:rsidRPr="00A23FB4" w:rsidRDefault="008C66DB" w:rsidP="008C66DB">
      <w:pPr>
        <w:numPr>
          <w:ilvl w:val="12"/>
          <w:numId w:val="0"/>
        </w:numPr>
        <w:tabs>
          <w:tab w:val="left" w:pos="9914"/>
        </w:tabs>
        <w:rPr>
          <w:rFonts w:ascii="Calibri" w:hAnsi="Calibri" w:cs="Calibri"/>
        </w:rPr>
      </w:pPr>
      <w:r w:rsidRPr="00A23FB4">
        <w:rPr>
          <w:rFonts w:ascii="Calibri" w:hAnsi="Calibri" w:cs="Calibri"/>
        </w:rPr>
        <w:t>Znak drogowy pionowy musi być wykonany w sposób trwały, zapewniający pełną czytelność przedstawionego na nim symbolu lub napisu w całym okresie jego użytkowania, przy czym wpływy zewnętrzne działające na znak, nie mogą powodować zniekształcenia treści znaku.</w:t>
      </w:r>
    </w:p>
    <w:p w14:paraId="3D43F499" w14:textId="77777777" w:rsidR="008C66DB" w:rsidRPr="00A23FB4" w:rsidRDefault="008C66DB" w:rsidP="008C66DB">
      <w:pPr>
        <w:pStyle w:val="Nagwek4"/>
        <w:tabs>
          <w:tab w:val="left" w:pos="9914"/>
        </w:tabs>
        <w:rPr>
          <w:rFonts w:ascii="Calibri" w:hAnsi="Calibri" w:cs="Calibri"/>
        </w:rPr>
      </w:pPr>
      <w:r w:rsidRPr="00A23FB4">
        <w:rPr>
          <w:rFonts w:ascii="Calibri" w:hAnsi="Calibri" w:cs="Calibri"/>
        </w:rPr>
        <w:t>5.9. Tabliczka znamionowa znaku</w:t>
      </w:r>
    </w:p>
    <w:p w14:paraId="730B5FF4" w14:textId="77777777" w:rsidR="008C66DB" w:rsidRPr="00A23FB4" w:rsidRDefault="008C66DB" w:rsidP="008C66DB">
      <w:pPr>
        <w:tabs>
          <w:tab w:val="left" w:pos="9914"/>
        </w:tabs>
        <w:rPr>
          <w:rFonts w:ascii="Calibri" w:hAnsi="Calibri" w:cs="Calibri"/>
        </w:rPr>
      </w:pPr>
      <w:r w:rsidRPr="00A23FB4">
        <w:rPr>
          <w:rFonts w:ascii="Calibri" w:hAnsi="Calibri" w:cs="Calibri"/>
        </w:rPr>
        <w:t>Każdy wykonany znak drogowy oraz każda konstrukcja wsporcza musi mieć tabliczkę znamionową z:</w:t>
      </w:r>
    </w:p>
    <w:p w14:paraId="166D13B2" w14:textId="77777777" w:rsidR="008C66DB" w:rsidRPr="00A23FB4" w:rsidRDefault="008C66DB" w:rsidP="00262498">
      <w:pPr>
        <w:numPr>
          <w:ilvl w:val="0"/>
          <w:numId w:val="19"/>
        </w:numPr>
        <w:tabs>
          <w:tab w:val="left" w:pos="9914"/>
        </w:tabs>
        <w:rPr>
          <w:rFonts w:ascii="Calibri" w:hAnsi="Calibri" w:cs="Calibri"/>
        </w:rPr>
      </w:pPr>
      <w:r w:rsidRPr="00A23FB4">
        <w:rPr>
          <w:rFonts w:ascii="Calibri" w:hAnsi="Calibri" w:cs="Calibri"/>
        </w:rPr>
        <w:t>nazwą, marką fabryczną lub innym oznaczeniem umożliwiającym identyfikację wytwórcy lub dostawcy,</w:t>
      </w:r>
    </w:p>
    <w:p w14:paraId="71995779" w14:textId="77777777" w:rsidR="008C66DB" w:rsidRPr="00A23FB4" w:rsidRDefault="008C66DB" w:rsidP="00262498">
      <w:pPr>
        <w:numPr>
          <w:ilvl w:val="0"/>
          <w:numId w:val="19"/>
        </w:numPr>
        <w:tabs>
          <w:tab w:val="left" w:pos="9914"/>
        </w:tabs>
        <w:rPr>
          <w:rFonts w:ascii="Calibri" w:hAnsi="Calibri" w:cs="Calibri"/>
        </w:rPr>
      </w:pPr>
      <w:r w:rsidRPr="00A23FB4">
        <w:rPr>
          <w:rFonts w:ascii="Calibri" w:hAnsi="Calibri" w:cs="Calibri"/>
        </w:rPr>
        <w:t>datą produkcji,</w:t>
      </w:r>
    </w:p>
    <w:p w14:paraId="22BDA58F" w14:textId="77777777" w:rsidR="008C66DB" w:rsidRPr="00A23FB4" w:rsidRDefault="008C66DB" w:rsidP="00262498">
      <w:pPr>
        <w:numPr>
          <w:ilvl w:val="0"/>
          <w:numId w:val="19"/>
        </w:numPr>
        <w:tabs>
          <w:tab w:val="left" w:pos="9914"/>
        </w:tabs>
        <w:rPr>
          <w:rFonts w:ascii="Calibri" w:hAnsi="Calibri" w:cs="Calibri"/>
        </w:rPr>
      </w:pPr>
      <w:r w:rsidRPr="00A23FB4">
        <w:rPr>
          <w:rFonts w:ascii="Calibri" w:hAnsi="Calibri" w:cs="Calibri"/>
        </w:rPr>
        <w:t>oznaczeniem dotyczącym materiału lica znaku,</w:t>
      </w:r>
    </w:p>
    <w:p w14:paraId="6085284D" w14:textId="77777777" w:rsidR="008C66DB" w:rsidRPr="00A23FB4" w:rsidRDefault="008C66DB" w:rsidP="00262498">
      <w:pPr>
        <w:numPr>
          <w:ilvl w:val="0"/>
          <w:numId w:val="19"/>
        </w:numPr>
        <w:tabs>
          <w:tab w:val="left" w:pos="9914"/>
        </w:tabs>
        <w:rPr>
          <w:rFonts w:ascii="Calibri" w:hAnsi="Calibri" w:cs="Calibri"/>
        </w:rPr>
      </w:pPr>
      <w:r w:rsidRPr="00A23FB4">
        <w:rPr>
          <w:rFonts w:ascii="Calibri" w:hAnsi="Calibri" w:cs="Calibri"/>
        </w:rPr>
        <w:t>datą ustawienia znaku.</w:t>
      </w:r>
    </w:p>
    <w:p w14:paraId="6F680B81" w14:textId="77777777" w:rsidR="008C66DB" w:rsidRPr="00A23FB4" w:rsidRDefault="008C66DB" w:rsidP="008C66DB">
      <w:pPr>
        <w:tabs>
          <w:tab w:val="left" w:pos="9914"/>
        </w:tabs>
        <w:rPr>
          <w:rFonts w:ascii="Calibri" w:hAnsi="Calibri" w:cs="Calibri"/>
        </w:rPr>
      </w:pPr>
      <w:r w:rsidRPr="00A23FB4">
        <w:rPr>
          <w:rFonts w:ascii="Calibri" w:hAnsi="Calibri" w:cs="Calibri"/>
        </w:rPr>
        <w:t>Zaleca się, aby tabliczka znamionowa konstrukcji wsporczych zawierała również miesiąc i rok wymaganego przeglądu technicznego.</w:t>
      </w:r>
    </w:p>
    <w:p w14:paraId="058E4589" w14:textId="77777777" w:rsidR="008C66DB" w:rsidRPr="00A23FB4" w:rsidRDefault="008C66DB" w:rsidP="008C66DB">
      <w:pPr>
        <w:tabs>
          <w:tab w:val="left" w:pos="9914"/>
        </w:tabs>
        <w:rPr>
          <w:rFonts w:ascii="Calibri" w:hAnsi="Calibri" w:cs="Calibri"/>
        </w:rPr>
      </w:pPr>
      <w:r w:rsidRPr="00A23FB4">
        <w:rPr>
          <w:rFonts w:ascii="Calibri" w:hAnsi="Calibri" w:cs="Calibri"/>
        </w:rPr>
        <w:t>Napisy na tabliczce znamionowej muszą być wykonane w sposób trwały i wyraźny, czytelny w normalnych warunkach przez cały okres użytkowania znaku.</w:t>
      </w:r>
    </w:p>
    <w:p w14:paraId="3E0E3B03" w14:textId="77777777" w:rsidR="008C66DB" w:rsidRPr="00A23FB4" w:rsidRDefault="008C66DB" w:rsidP="008C66DB">
      <w:pPr>
        <w:rPr>
          <w:rFonts w:ascii="Calibri" w:hAnsi="Calibri" w:cs="Calibri"/>
          <w:b/>
        </w:rPr>
      </w:pPr>
      <w:bookmarkStart w:id="791" w:name="_Toc425833585"/>
    </w:p>
    <w:p w14:paraId="42FABC4E" w14:textId="77777777" w:rsidR="008C66DB" w:rsidRPr="00A23FB4" w:rsidRDefault="008C66DB" w:rsidP="008C66DB">
      <w:pPr>
        <w:rPr>
          <w:rFonts w:ascii="Calibri" w:hAnsi="Calibri" w:cs="Calibri"/>
          <w:b/>
        </w:rPr>
      </w:pPr>
      <w:r w:rsidRPr="00A23FB4">
        <w:rPr>
          <w:rFonts w:ascii="Calibri" w:hAnsi="Calibri" w:cs="Calibri"/>
          <w:b/>
        </w:rPr>
        <w:t>6. KONTROLA JAKOŚCI ROBÓT</w:t>
      </w:r>
      <w:bookmarkEnd w:id="791"/>
    </w:p>
    <w:p w14:paraId="2816CA7D" w14:textId="77777777" w:rsidR="008C66DB" w:rsidRPr="00A23FB4" w:rsidRDefault="008C66DB" w:rsidP="008C66DB">
      <w:pPr>
        <w:pStyle w:val="Nagwek4"/>
        <w:tabs>
          <w:tab w:val="left" w:pos="9914"/>
        </w:tabs>
        <w:rPr>
          <w:rFonts w:ascii="Calibri" w:hAnsi="Calibri" w:cs="Calibri"/>
        </w:rPr>
      </w:pPr>
      <w:r w:rsidRPr="00A23FB4">
        <w:rPr>
          <w:rFonts w:ascii="Calibri" w:hAnsi="Calibri" w:cs="Calibri"/>
        </w:rPr>
        <w:t>6.1. Ogólne zasady kontroli jakości robót</w:t>
      </w:r>
    </w:p>
    <w:p w14:paraId="0D62E233" w14:textId="26807CBE" w:rsidR="008C66DB" w:rsidRPr="00A23FB4" w:rsidRDefault="008C66DB" w:rsidP="008C66DB">
      <w:pPr>
        <w:tabs>
          <w:tab w:val="left" w:pos="9914"/>
        </w:tabs>
        <w:rPr>
          <w:rFonts w:ascii="Calibri" w:hAnsi="Calibri" w:cs="Calibri"/>
        </w:rPr>
      </w:pPr>
      <w:r w:rsidRPr="00A23FB4">
        <w:rPr>
          <w:rFonts w:ascii="Calibri" w:hAnsi="Calibri" w:cs="Calibri"/>
        </w:rPr>
        <w:t xml:space="preserve">Ogólne zasady kontroli jakości robót podano w </w:t>
      </w:r>
      <w:r w:rsidR="00C62A07">
        <w:rPr>
          <w:rFonts w:ascii="Calibri" w:hAnsi="Calibri" w:cs="Calibri"/>
        </w:rPr>
        <w:t>ST</w:t>
      </w:r>
      <w:r w:rsidRPr="00A23FB4">
        <w:rPr>
          <w:rFonts w:ascii="Calibri" w:hAnsi="Calibri" w:cs="Calibri"/>
        </w:rPr>
        <w:t>WiORB D-M-00.00.00 „Wymagania ogólne” pkt 6.</w:t>
      </w:r>
    </w:p>
    <w:p w14:paraId="258C6844" w14:textId="77777777" w:rsidR="008C66DB" w:rsidRPr="00A23FB4" w:rsidRDefault="008C66DB" w:rsidP="008C66DB">
      <w:pPr>
        <w:pStyle w:val="Nagwek4"/>
        <w:tabs>
          <w:tab w:val="left" w:pos="9914"/>
        </w:tabs>
        <w:rPr>
          <w:rFonts w:ascii="Calibri" w:hAnsi="Calibri" w:cs="Calibri"/>
        </w:rPr>
      </w:pPr>
      <w:r w:rsidRPr="00A23FB4">
        <w:rPr>
          <w:rFonts w:ascii="Calibri" w:hAnsi="Calibri" w:cs="Calibri"/>
        </w:rPr>
        <w:t>6.2. Badania materiałów do wykonania fundamentów betonowych</w:t>
      </w:r>
    </w:p>
    <w:p w14:paraId="1688B2DA" w14:textId="77777777" w:rsidR="008C66DB" w:rsidRPr="00A23FB4" w:rsidRDefault="008C66DB" w:rsidP="008C66DB">
      <w:pPr>
        <w:tabs>
          <w:tab w:val="left" w:pos="9914"/>
        </w:tabs>
        <w:rPr>
          <w:rFonts w:ascii="Calibri" w:hAnsi="Calibri" w:cs="Calibri"/>
        </w:rPr>
      </w:pPr>
      <w:r w:rsidRPr="00A23FB4">
        <w:rPr>
          <w:rFonts w:ascii="Calibri" w:hAnsi="Calibri" w:cs="Calibri"/>
        </w:rPr>
        <w:t>Wykonawca powinien przeprowadzić badania materiałów do wykonania fundamentów betonowych „na mokro”. Uwzględniając nieskomplikowany charakter robót fundamentowych, na wniosek Wykonawcy, Inżynier/Kierownik projektu może zwolnić go z potrzeby wykonania badań materiałów dla tych robót.</w:t>
      </w:r>
    </w:p>
    <w:p w14:paraId="154206E0" w14:textId="77777777" w:rsidR="008C66DB" w:rsidRPr="00A23FB4" w:rsidRDefault="008C66DB" w:rsidP="008C66DB">
      <w:pPr>
        <w:pStyle w:val="Nagwek4"/>
        <w:tabs>
          <w:tab w:val="left" w:pos="9914"/>
        </w:tabs>
        <w:rPr>
          <w:rFonts w:ascii="Calibri" w:hAnsi="Calibri" w:cs="Calibri"/>
        </w:rPr>
      </w:pPr>
      <w:r w:rsidRPr="00A23FB4">
        <w:rPr>
          <w:rFonts w:ascii="Calibri" w:hAnsi="Calibri" w:cs="Calibri"/>
        </w:rPr>
        <w:t>6.3. Badania w czasie wykonywania robót</w:t>
      </w:r>
    </w:p>
    <w:p w14:paraId="210E8343" w14:textId="77777777" w:rsidR="008C66DB" w:rsidRPr="00A23FB4" w:rsidRDefault="008C66DB" w:rsidP="008C66DB">
      <w:pPr>
        <w:numPr>
          <w:ilvl w:val="12"/>
          <w:numId w:val="0"/>
        </w:numPr>
        <w:tabs>
          <w:tab w:val="left" w:pos="9914"/>
        </w:tabs>
        <w:rPr>
          <w:rFonts w:ascii="Calibri" w:hAnsi="Calibri" w:cs="Calibri"/>
          <w:b/>
          <w:bCs/>
          <w:i/>
          <w:iCs/>
        </w:rPr>
      </w:pPr>
      <w:r w:rsidRPr="00A23FB4">
        <w:rPr>
          <w:rFonts w:ascii="Calibri" w:hAnsi="Calibri" w:cs="Calibri"/>
          <w:b/>
          <w:bCs/>
          <w:i/>
          <w:iCs/>
        </w:rPr>
        <w:t>6.3.1. Badania materiałów w czasie wykonywania robót</w:t>
      </w:r>
    </w:p>
    <w:p w14:paraId="44CE6A8B" w14:textId="77777777" w:rsidR="008C66DB" w:rsidRPr="00A23FB4" w:rsidRDefault="008C66DB" w:rsidP="008C66DB">
      <w:pPr>
        <w:pStyle w:val="StylIwony"/>
        <w:tabs>
          <w:tab w:val="left" w:pos="9914"/>
        </w:tabs>
        <w:spacing w:before="0" w:after="0"/>
        <w:rPr>
          <w:rFonts w:ascii="Calibri" w:hAnsi="Calibri" w:cs="Calibri"/>
          <w:sz w:val="20"/>
          <w:szCs w:val="20"/>
        </w:rPr>
      </w:pPr>
      <w:r w:rsidRPr="00A23FB4">
        <w:rPr>
          <w:rFonts w:ascii="Calibri" w:hAnsi="Calibri" w:cs="Calibri"/>
          <w:sz w:val="20"/>
          <w:szCs w:val="20"/>
        </w:rPr>
        <w:t>Wszystkie materiały dostarczone na budowę z aprobatą techniczną lub z deklaracją zgodności wydaną przez producenta powinny być sprawdzone w zakresie powierzchni wyrobu i jego wymiarów.</w:t>
      </w:r>
    </w:p>
    <w:p w14:paraId="3DDA4218" w14:textId="77777777" w:rsidR="008C66DB" w:rsidRPr="00A23FB4" w:rsidRDefault="008C66DB" w:rsidP="008C66DB">
      <w:pPr>
        <w:pStyle w:val="StylIwony"/>
        <w:tabs>
          <w:tab w:val="left" w:pos="9914"/>
        </w:tabs>
        <w:spacing w:before="0" w:after="0"/>
        <w:rPr>
          <w:rFonts w:ascii="Calibri" w:hAnsi="Calibri" w:cs="Calibri"/>
          <w:sz w:val="20"/>
          <w:szCs w:val="20"/>
        </w:rPr>
      </w:pPr>
      <w:r w:rsidRPr="00A23FB4">
        <w:rPr>
          <w:rFonts w:ascii="Calibri" w:hAnsi="Calibri" w:cs="Calibri"/>
          <w:sz w:val="20"/>
          <w:szCs w:val="20"/>
        </w:rPr>
        <w:t>Częstotliwość badań i ocena ich wyników powinna być zgodna z ustaleniami tablicy 3.</w:t>
      </w:r>
    </w:p>
    <w:p w14:paraId="79266643" w14:textId="77777777" w:rsidR="008C66DB" w:rsidRPr="00A23FB4" w:rsidRDefault="008C66DB" w:rsidP="008C66DB">
      <w:pPr>
        <w:pStyle w:val="StylIwony"/>
        <w:tabs>
          <w:tab w:val="left" w:pos="9914"/>
        </w:tabs>
        <w:spacing w:before="0" w:after="0"/>
        <w:rPr>
          <w:rFonts w:ascii="Calibri" w:hAnsi="Calibri" w:cs="Calibri"/>
          <w:sz w:val="20"/>
          <w:szCs w:val="20"/>
        </w:rPr>
      </w:pPr>
      <w:r w:rsidRPr="00A23FB4">
        <w:rPr>
          <w:rFonts w:ascii="Calibri" w:hAnsi="Calibri" w:cs="Calibri"/>
          <w:sz w:val="20"/>
          <w:szCs w:val="20"/>
        </w:rPr>
        <w:t>Tablica 3. Częstotliwość badań przy sprawdzeniu powierzchni i wymiarów wyrobów</w:t>
      </w:r>
    </w:p>
    <w:p w14:paraId="512E067C" w14:textId="77777777" w:rsidR="008C66DB" w:rsidRPr="00A23FB4" w:rsidRDefault="008C66DB" w:rsidP="008C66DB">
      <w:pPr>
        <w:pStyle w:val="StylIwony"/>
        <w:tabs>
          <w:tab w:val="left" w:pos="9914"/>
        </w:tabs>
        <w:spacing w:before="0" w:after="0"/>
        <w:rPr>
          <w:rFonts w:ascii="Calibri" w:hAnsi="Calibri" w:cs="Calibri"/>
          <w:sz w:val="20"/>
          <w:szCs w:val="20"/>
        </w:rPr>
      </w:pPr>
      <w:r w:rsidRPr="00A23FB4">
        <w:rPr>
          <w:rFonts w:ascii="Calibri" w:hAnsi="Calibri" w:cs="Calibri"/>
          <w:sz w:val="20"/>
          <w:szCs w:val="20"/>
        </w:rPr>
        <w:t xml:space="preserve">                   dostarczonych przez producentów</w:t>
      </w:r>
    </w:p>
    <w:tbl>
      <w:tblPr>
        <w:tblW w:w="9852" w:type="dxa"/>
        <w:tblInd w:w="2" w:type="dxa"/>
        <w:tblBorders>
          <w:top w:val="single" w:sz="6" w:space="0" w:color="auto"/>
          <w:left w:val="single" w:sz="6" w:space="0" w:color="auto"/>
          <w:bottom w:val="single" w:sz="6" w:space="0" w:color="auto"/>
          <w:right w:val="single" w:sz="6" w:space="0" w:color="auto"/>
        </w:tblBorders>
        <w:tblLayout w:type="fixed"/>
        <w:tblCellMar>
          <w:left w:w="70" w:type="dxa"/>
          <w:right w:w="70" w:type="dxa"/>
        </w:tblCellMar>
        <w:tblLook w:val="0000" w:firstRow="0" w:lastRow="0" w:firstColumn="0" w:lastColumn="0" w:noHBand="0" w:noVBand="0"/>
      </w:tblPr>
      <w:tblGrid>
        <w:gridCol w:w="496"/>
        <w:gridCol w:w="1275"/>
        <w:gridCol w:w="2127"/>
        <w:gridCol w:w="4394"/>
        <w:gridCol w:w="1560"/>
      </w:tblGrid>
      <w:tr w:rsidR="008C66DB" w:rsidRPr="00A23FB4" w14:paraId="4A5D5E8E" w14:textId="77777777" w:rsidTr="008C66DB">
        <w:tc>
          <w:tcPr>
            <w:tcW w:w="496" w:type="dxa"/>
            <w:tcBorders>
              <w:top w:val="single" w:sz="6" w:space="0" w:color="auto"/>
              <w:bottom w:val="double" w:sz="6" w:space="0" w:color="auto"/>
            </w:tcBorders>
          </w:tcPr>
          <w:p w14:paraId="6DBB9D7C" w14:textId="77777777" w:rsidR="008C66DB" w:rsidRPr="00A23FB4" w:rsidRDefault="008C66DB" w:rsidP="008C66DB">
            <w:pPr>
              <w:pStyle w:val="StylIwony"/>
              <w:tabs>
                <w:tab w:val="left" w:pos="9914"/>
              </w:tabs>
              <w:spacing w:before="0" w:after="0"/>
              <w:rPr>
                <w:rFonts w:ascii="Calibri" w:hAnsi="Calibri" w:cs="Calibri"/>
                <w:sz w:val="20"/>
                <w:szCs w:val="20"/>
              </w:rPr>
            </w:pPr>
            <w:r w:rsidRPr="00A23FB4">
              <w:rPr>
                <w:rFonts w:ascii="Calibri" w:hAnsi="Calibri" w:cs="Calibri"/>
                <w:sz w:val="20"/>
                <w:szCs w:val="20"/>
              </w:rPr>
              <w:t>Lp.</w:t>
            </w:r>
          </w:p>
        </w:tc>
        <w:tc>
          <w:tcPr>
            <w:tcW w:w="1275" w:type="dxa"/>
            <w:tcBorders>
              <w:top w:val="single" w:sz="6" w:space="0" w:color="auto"/>
              <w:bottom w:val="double" w:sz="6" w:space="0" w:color="auto"/>
            </w:tcBorders>
          </w:tcPr>
          <w:p w14:paraId="5195811A" w14:textId="77777777" w:rsidR="008C66DB" w:rsidRPr="00A23FB4" w:rsidRDefault="008C66DB" w:rsidP="008C66DB">
            <w:pPr>
              <w:pStyle w:val="StylIwony"/>
              <w:tabs>
                <w:tab w:val="left" w:pos="9914"/>
              </w:tabs>
              <w:spacing w:before="0" w:after="0"/>
              <w:rPr>
                <w:rFonts w:ascii="Calibri" w:hAnsi="Calibri" w:cs="Calibri"/>
                <w:sz w:val="20"/>
                <w:szCs w:val="20"/>
              </w:rPr>
            </w:pPr>
            <w:r w:rsidRPr="00A23FB4">
              <w:rPr>
                <w:rFonts w:ascii="Calibri" w:hAnsi="Calibri" w:cs="Calibri"/>
                <w:sz w:val="20"/>
                <w:szCs w:val="20"/>
              </w:rPr>
              <w:t>Rodzaj badania</w:t>
            </w:r>
          </w:p>
        </w:tc>
        <w:tc>
          <w:tcPr>
            <w:tcW w:w="2127" w:type="dxa"/>
            <w:tcBorders>
              <w:top w:val="single" w:sz="6" w:space="0" w:color="auto"/>
              <w:bottom w:val="double" w:sz="6" w:space="0" w:color="auto"/>
            </w:tcBorders>
          </w:tcPr>
          <w:p w14:paraId="6F86A160" w14:textId="77777777" w:rsidR="008C66DB" w:rsidRPr="00A23FB4" w:rsidRDefault="008C66DB" w:rsidP="008C66DB">
            <w:pPr>
              <w:pStyle w:val="StylIwony"/>
              <w:tabs>
                <w:tab w:val="left" w:pos="9914"/>
              </w:tabs>
              <w:spacing w:before="0" w:after="0"/>
              <w:rPr>
                <w:rFonts w:ascii="Calibri" w:hAnsi="Calibri" w:cs="Calibri"/>
                <w:sz w:val="20"/>
                <w:szCs w:val="20"/>
              </w:rPr>
            </w:pPr>
            <w:r w:rsidRPr="00A23FB4">
              <w:rPr>
                <w:rFonts w:ascii="Calibri" w:hAnsi="Calibri" w:cs="Calibri"/>
                <w:sz w:val="20"/>
                <w:szCs w:val="20"/>
              </w:rPr>
              <w:t>Liczba badań</w:t>
            </w:r>
          </w:p>
        </w:tc>
        <w:tc>
          <w:tcPr>
            <w:tcW w:w="4394" w:type="dxa"/>
            <w:tcBorders>
              <w:top w:val="single" w:sz="6" w:space="0" w:color="auto"/>
              <w:bottom w:val="double" w:sz="6" w:space="0" w:color="auto"/>
            </w:tcBorders>
          </w:tcPr>
          <w:p w14:paraId="1AE9E566" w14:textId="77777777" w:rsidR="008C66DB" w:rsidRPr="00A23FB4" w:rsidRDefault="008C66DB" w:rsidP="008C66DB">
            <w:pPr>
              <w:pStyle w:val="StylIwony"/>
              <w:tabs>
                <w:tab w:val="left" w:pos="9914"/>
              </w:tabs>
              <w:spacing w:before="0" w:after="0"/>
              <w:rPr>
                <w:rFonts w:ascii="Calibri" w:hAnsi="Calibri" w:cs="Calibri"/>
                <w:sz w:val="20"/>
                <w:szCs w:val="20"/>
              </w:rPr>
            </w:pPr>
            <w:r w:rsidRPr="00A23FB4">
              <w:rPr>
                <w:rFonts w:ascii="Calibri" w:hAnsi="Calibri" w:cs="Calibri"/>
                <w:sz w:val="20"/>
                <w:szCs w:val="20"/>
              </w:rPr>
              <w:t>Opis badań</w:t>
            </w:r>
          </w:p>
        </w:tc>
        <w:tc>
          <w:tcPr>
            <w:tcW w:w="1560" w:type="dxa"/>
            <w:tcBorders>
              <w:top w:val="single" w:sz="6" w:space="0" w:color="auto"/>
              <w:bottom w:val="double" w:sz="6" w:space="0" w:color="auto"/>
            </w:tcBorders>
          </w:tcPr>
          <w:p w14:paraId="1A1247E8" w14:textId="77777777" w:rsidR="008C66DB" w:rsidRPr="00A23FB4" w:rsidRDefault="008C66DB" w:rsidP="008C66DB">
            <w:pPr>
              <w:pStyle w:val="StylIwony"/>
              <w:tabs>
                <w:tab w:val="left" w:pos="9914"/>
              </w:tabs>
              <w:spacing w:before="0" w:after="0"/>
              <w:rPr>
                <w:rFonts w:ascii="Calibri" w:hAnsi="Calibri" w:cs="Calibri"/>
                <w:sz w:val="20"/>
                <w:szCs w:val="20"/>
              </w:rPr>
            </w:pPr>
            <w:r w:rsidRPr="00A23FB4">
              <w:rPr>
                <w:rFonts w:ascii="Calibri" w:hAnsi="Calibri" w:cs="Calibri"/>
                <w:sz w:val="20"/>
                <w:szCs w:val="20"/>
              </w:rPr>
              <w:t>Ocena wyników badań</w:t>
            </w:r>
          </w:p>
        </w:tc>
      </w:tr>
      <w:tr w:rsidR="008C66DB" w:rsidRPr="00A23FB4" w14:paraId="494F1063" w14:textId="77777777" w:rsidTr="008C66DB">
        <w:tc>
          <w:tcPr>
            <w:tcW w:w="496" w:type="dxa"/>
          </w:tcPr>
          <w:p w14:paraId="7B014E2A" w14:textId="77777777" w:rsidR="008C66DB" w:rsidRPr="00A23FB4" w:rsidRDefault="008C66DB" w:rsidP="008C66DB">
            <w:pPr>
              <w:pStyle w:val="StylIwony"/>
              <w:tabs>
                <w:tab w:val="left" w:pos="9914"/>
              </w:tabs>
              <w:spacing w:before="0" w:after="0"/>
              <w:rPr>
                <w:rFonts w:ascii="Calibri" w:hAnsi="Calibri" w:cs="Calibri"/>
                <w:sz w:val="20"/>
                <w:szCs w:val="20"/>
              </w:rPr>
            </w:pPr>
            <w:r w:rsidRPr="00A23FB4">
              <w:rPr>
                <w:rFonts w:ascii="Calibri" w:hAnsi="Calibri" w:cs="Calibri"/>
                <w:sz w:val="20"/>
                <w:szCs w:val="20"/>
              </w:rPr>
              <w:t>1</w:t>
            </w:r>
          </w:p>
        </w:tc>
        <w:tc>
          <w:tcPr>
            <w:tcW w:w="1275" w:type="dxa"/>
          </w:tcPr>
          <w:p w14:paraId="7C20A6A0" w14:textId="77777777" w:rsidR="008C66DB" w:rsidRPr="00A23FB4" w:rsidRDefault="008C66DB" w:rsidP="008C66DB">
            <w:pPr>
              <w:pStyle w:val="StylIwony"/>
              <w:tabs>
                <w:tab w:val="left" w:pos="9914"/>
              </w:tabs>
              <w:spacing w:before="0" w:after="0"/>
              <w:rPr>
                <w:rFonts w:ascii="Calibri" w:hAnsi="Calibri" w:cs="Calibri"/>
                <w:sz w:val="20"/>
                <w:szCs w:val="20"/>
              </w:rPr>
            </w:pPr>
            <w:r w:rsidRPr="00A23FB4">
              <w:rPr>
                <w:rFonts w:ascii="Calibri" w:hAnsi="Calibri" w:cs="Calibri"/>
                <w:sz w:val="20"/>
                <w:szCs w:val="20"/>
              </w:rPr>
              <w:t>Sprawdzenie powierzchni</w:t>
            </w:r>
          </w:p>
        </w:tc>
        <w:tc>
          <w:tcPr>
            <w:tcW w:w="2127" w:type="dxa"/>
            <w:vMerge w:val="restart"/>
          </w:tcPr>
          <w:p w14:paraId="0BA5549E" w14:textId="77777777" w:rsidR="008C66DB" w:rsidRPr="00A23FB4" w:rsidRDefault="008C66DB" w:rsidP="008C66DB">
            <w:pPr>
              <w:pStyle w:val="StylIwony"/>
              <w:tabs>
                <w:tab w:val="left" w:pos="9914"/>
              </w:tabs>
              <w:rPr>
                <w:rFonts w:ascii="Calibri" w:hAnsi="Calibri" w:cs="Calibri"/>
                <w:sz w:val="20"/>
                <w:szCs w:val="20"/>
              </w:rPr>
            </w:pPr>
            <w:r w:rsidRPr="00A23FB4">
              <w:rPr>
                <w:rFonts w:ascii="Calibri" w:hAnsi="Calibri" w:cs="Calibri"/>
                <w:sz w:val="20"/>
                <w:szCs w:val="20"/>
              </w:rPr>
              <w:t>od 5 do 10 badań z wybranych losowo elementów w każdej dostarczonej partii wyrobów liczącej do 1000 elementów</w:t>
            </w:r>
          </w:p>
        </w:tc>
        <w:tc>
          <w:tcPr>
            <w:tcW w:w="4394" w:type="dxa"/>
          </w:tcPr>
          <w:p w14:paraId="60ABFB0D" w14:textId="77777777" w:rsidR="008C66DB" w:rsidRPr="00A23FB4" w:rsidRDefault="008C66DB" w:rsidP="008C66DB">
            <w:pPr>
              <w:pStyle w:val="StylIwony"/>
              <w:tabs>
                <w:tab w:val="left" w:pos="9914"/>
              </w:tabs>
              <w:spacing w:before="0" w:after="0"/>
              <w:rPr>
                <w:rFonts w:ascii="Calibri" w:hAnsi="Calibri" w:cs="Calibri"/>
                <w:sz w:val="20"/>
                <w:szCs w:val="20"/>
              </w:rPr>
            </w:pPr>
            <w:r w:rsidRPr="00A23FB4">
              <w:rPr>
                <w:rFonts w:ascii="Calibri" w:hAnsi="Calibri" w:cs="Calibri"/>
                <w:sz w:val="20"/>
                <w:szCs w:val="20"/>
              </w:rPr>
              <w:t>Powierzchnię zbadać nieuzbrojonym okiem. Do ew. sprawdzenia głębokości wad użyć dostępnych narzędzi (np. liniałów z czujnikiem, suwmiarek, mikrometrów itp.</w:t>
            </w:r>
          </w:p>
        </w:tc>
        <w:tc>
          <w:tcPr>
            <w:tcW w:w="1560" w:type="dxa"/>
            <w:vMerge w:val="restart"/>
          </w:tcPr>
          <w:p w14:paraId="40CB10C4" w14:textId="77777777" w:rsidR="008C66DB" w:rsidRPr="00A23FB4" w:rsidRDefault="008C66DB" w:rsidP="008C66DB">
            <w:pPr>
              <w:pStyle w:val="StylIwony"/>
              <w:tabs>
                <w:tab w:val="left" w:pos="9914"/>
              </w:tabs>
              <w:rPr>
                <w:rFonts w:ascii="Calibri" w:hAnsi="Calibri" w:cs="Calibri"/>
                <w:sz w:val="20"/>
                <w:szCs w:val="20"/>
              </w:rPr>
            </w:pPr>
            <w:r w:rsidRPr="00A23FB4">
              <w:rPr>
                <w:rFonts w:ascii="Calibri" w:hAnsi="Calibri" w:cs="Calibri"/>
                <w:sz w:val="20"/>
                <w:szCs w:val="20"/>
              </w:rPr>
              <w:t>Wyniki badań powinny być zgodne z wymaganiami punktu 2</w:t>
            </w:r>
          </w:p>
        </w:tc>
      </w:tr>
      <w:tr w:rsidR="008C66DB" w:rsidRPr="00A23FB4" w14:paraId="3157A296" w14:textId="77777777" w:rsidTr="008C66DB">
        <w:tc>
          <w:tcPr>
            <w:tcW w:w="496" w:type="dxa"/>
            <w:tcBorders>
              <w:bottom w:val="single" w:sz="6" w:space="0" w:color="auto"/>
            </w:tcBorders>
          </w:tcPr>
          <w:p w14:paraId="79346FFE" w14:textId="77777777" w:rsidR="008C66DB" w:rsidRPr="00A23FB4" w:rsidRDefault="008C66DB" w:rsidP="008C66DB">
            <w:pPr>
              <w:pStyle w:val="StylIwony"/>
              <w:tabs>
                <w:tab w:val="left" w:pos="9914"/>
              </w:tabs>
              <w:spacing w:before="0" w:after="0"/>
              <w:rPr>
                <w:rFonts w:ascii="Calibri" w:hAnsi="Calibri" w:cs="Calibri"/>
                <w:sz w:val="20"/>
                <w:szCs w:val="20"/>
              </w:rPr>
            </w:pPr>
          </w:p>
          <w:p w14:paraId="6BB94ECB" w14:textId="77777777" w:rsidR="008C66DB" w:rsidRPr="00A23FB4" w:rsidRDefault="008C66DB" w:rsidP="008C66DB">
            <w:pPr>
              <w:pStyle w:val="StylIwony"/>
              <w:tabs>
                <w:tab w:val="left" w:pos="9914"/>
              </w:tabs>
              <w:spacing w:before="0" w:after="0"/>
              <w:rPr>
                <w:rFonts w:ascii="Calibri" w:hAnsi="Calibri" w:cs="Calibri"/>
                <w:sz w:val="20"/>
                <w:szCs w:val="20"/>
              </w:rPr>
            </w:pPr>
            <w:r w:rsidRPr="00A23FB4">
              <w:rPr>
                <w:rFonts w:ascii="Calibri" w:hAnsi="Calibri" w:cs="Calibri"/>
                <w:sz w:val="20"/>
                <w:szCs w:val="20"/>
              </w:rPr>
              <w:t>2</w:t>
            </w:r>
          </w:p>
        </w:tc>
        <w:tc>
          <w:tcPr>
            <w:tcW w:w="1275" w:type="dxa"/>
            <w:tcBorders>
              <w:bottom w:val="single" w:sz="6" w:space="0" w:color="auto"/>
            </w:tcBorders>
          </w:tcPr>
          <w:p w14:paraId="3F10B4C3" w14:textId="77777777" w:rsidR="008C66DB" w:rsidRPr="00A23FB4" w:rsidRDefault="008C66DB" w:rsidP="008C66DB">
            <w:pPr>
              <w:pStyle w:val="StylIwony"/>
              <w:tabs>
                <w:tab w:val="left" w:pos="9914"/>
              </w:tabs>
              <w:spacing w:before="0" w:after="0"/>
              <w:rPr>
                <w:rFonts w:ascii="Calibri" w:hAnsi="Calibri" w:cs="Calibri"/>
                <w:sz w:val="20"/>
                <w:szCs w:val="20"/>
              </w:rPr>
            </w:pPr>
          </w:p>
          <w:p w14:paraId="7EF36FC8" w14:textId="77777777" w:rsidR="008C66DB" w:rsidRPr="00A23FB4" w:rsidRDefault="008C66DB" w:rsidP="008C66DB">
            <w:pPr>
              <w:pStyle w:val="StylIwony"/>
              <w:tabs>
                <w:tab w:val="left" w:pos="9914"/>
              </w:tabs>
              <w:spacing w:before="0" w:after="0"/>
              <w:rPr>
                <w:rFonts w:ascii="Calibri" w:hAnsi="Calibri" w:cs="Calibri"/>
                <w:sz w:val="20"/>
                <w:szCs w:val="20"/>
              </w:rPr>
            </w:pPr>
            <w:r w:rsidRPr="00A23FB4">
              <w:rPr>
                <w:rFonts w:ascii="Calibri" w:hAnsi="Calibri" w:cs="Calibri"/>
                <w:sz w:val="20"/>
                <w:szCs w:val="20"/>
              </w:rPr>
              <w:t>Sprawdzenie wymiarów</w:t>
            </w:r>
          </w:p>
        </w:tc>
        <w:tc>
          <w:tcPr>
            <w:tcW w:w="2127" w:type="dxa"/>
            <w:vMerge/>
            <w:tcBorders>
              <w:bottom w:val="single" w:sz="6" w:space="0" w:color="auto"/>
            </w:tcBorders>
          </w:tcPr>
          <w:p w14:paraId="5C144EC8" w14:textId="77777777" w:rsidR="008C66DB" w:rsidRPr="00A23FB4" w:rsidRDefault="008C66DB" w:rsidP="008C66DB">
            <w:pPr>
              <w:pStyle w:val="StylIwony"/>
              <w:tabs>
                <w:tab w:val="left" w:pos="9914"/>
              </w:tabs>
              <w:spacing w:before="0" w:after="0"/>
              <w:rPr>
                <w:rFonts w:ascii="Calibri" w:hAnsi="Calibri" w:cs="Calibri"/>
                <w:sz w:val="20"/>
                <w:szCs w:val="20"/>
              </w:rPr>
            </w:pPr>
          </w:p>
        </w:tc>
        <w:tc>
          <w:tcPr>
            <w:tcW w:w="4394" w:type="dxa"/>
            <w:tcBorders>
              <w:bottom w:val="single" w:sz="6" w:space="0" w:color="auto"/>
            </w:tcBorders>
          </w:tcPr>
          <w:p w14:paraId="121F23B4" w14:textId="77777777" w:rsidR="008C66DB" w:rsidRPr="00A23FB4" w:rsidRDefault="008C66DB" w:rsidP="008C66DB">
            <w:pPr>
              <w:pStyle w:val="StylIwony"/>
              <w:tabs>
                <w:tab w:val="left" w:pos="9914"/>
              </w:tabs>
              <w:spacing w:before="0" w:after="0"/>
              <w:rPr>
                <w:rFonts w:ascii="Calibri" w:hAnsi="Calibri" w:cs="Calibri"/>
                <w:sz w:val="20"/>
                <w:szCs w:val="20"/>
              </w:rPr>
            </w:pPr>
            <w:r w:rsidRPr="00A23FB4">
              <w:rPr>
                <w:rFonts w:ascii="Calibri" w:hAnsi="Calibri" w:cs="Calibri"/>
                <w:sz w:val="20"/>
                <w:szCs w:val="20"/>
              </w:rPr>
              <w:t>Przeprowadzić uniwersalnymi przyrządami pomiarowymi lub sprawdzianami (np. liniałami, przymiarami itp.)</w:t>
            </w:r>
          </w:p>
        </w:tc>
        <w:tc>
          <w:tcPr>
            <w:tcW w:w="1560" w:type="dxa"/>
            <w:vMerge/>
            <w:tcBorders>
              <w:bottom w:val="single" w:sz="6" w:space="0" w:color="auto"/>
            </w:tcBorders>
          </w:tcPr>
          <w:p w14:paraId="4FA96A16" w14:textId="77777777" w:rsidR="008C66DB" w:rsidRPr="00A23FB4" w:rsidRDefault="008C66DB" w:rsidP="008C66DB">
            <w:pPr>
              <w:pStyle w:val="StylIwony"/>
              <w:tabs>
                <w:tab w:val="left" w:pos="9914"/>
              </w:tabs>
              <w:spacing w:before="0" w:after="0"/>
              <w:rPr>
                <w:rFonts w:ascii="Calibri" w:hAnsi="Calibri" w:cs="Calibri"/>
                <w:sz w:val="20"/>
                <w:szCs w:val="20"/>
              </w:rPr>
            </w:pPr>
          </w:p>
        </w:tc>
      </w:tr>
    </w:tbl>
    <w:p w14:paraId="0A05311B" w14:textId="77777777" w:rsidR="008C66DB" w:rsidRPr="00A23FB4" w:rsidRDefault="008C66DB" w:rsidP="008C66DB">
      <w:pPr>
        <w:pStyle w:val="StylIwony"/>
        <w:tabs>
          <w:tab w:val="left" w:pos="9914"/>
        </w:tabs>
        <w:spacing w:before="0" w:after="0"/>
        <w:rPr>
          <w:rFonts w:ascii="Calibri" w:hAnsi="Calibri" w:cs="Calibri"/>
          <w:sz w:val="20"/>
          <w:szCs w:val="20"/>
        </w:rPr>
      </w:pPr>
    </w:p>
    <w:p w14:paraId="04399FC5" w14:textId="77777777" w:rsidR="008C66DB" w:rsidRPr="00A23FB4" w:rsidRDefault="008C66DB" w:rsidP="008C66DB">
      <w:pPr>
        <w:pStyle w:val="StylIwony"/>
        <w:tabs>
          <w:tab w:val="left" w:pos="9914"/>
        </w:tabs>
        <w:spacing w:before="0" w:after="0"/>
        <w:rPr>
          <w:rFonts w:ascii="Calibri" w:hAnsi="Calibri" w:cs="Calibri"/>
          <w:sz w:val="20"/>
          <w:szCs w:val="20"/>
        </w:rPr>
      </w:pPr>
      <w:r w:rsidRPr="00A23FB4">
        <w:rPr>
          <w:rFonts w:ascii="Calibri" w:hAnsi="Calibri" w:cs="Calibri"/>
          <w:sz w:val="20"/>
          <w:szCs w:val="20"/>
        </w:rPr>
        <w:t xml:space="preserve">W przypadkach budzących wątpliwości można zlecić uprawnionej jednostce zbadanie właściwości dostarczonych wyrobów i materiałów w zakresie wymagań podanych w punkcie 2.  </w:t>
      </w:r>
    </w:p>
    <w:p w14:paraId="31B2FC91" w14:textId="77777777" w:rsidR="008C66DB" w:rsidRPr="00A23FB4" w:rsidRDefault="008C66DB" w:rsidP="008C66DB">
      <w:pPr>
        <w:pStyle w:val="StylIwony"/>
        <w:tabs>
          <w:tab w:val="left" w:pos="9914"/>
        </w:tabs>
        <w:spacing w:before="0" w:after="0"/>
        <w:rPr>
          <w:rFonts w:ascii="Calibri" w:hAnsi="Calibri" w:cs="Calibri"/>
          <w:sz w:val="20"/>
          <w:szCs w:val="20"/>
        </w:rPr>
      </w:pPr>
      <w:r w:rsidRPr="00A23FB4">
        <w:rPr>
          <w:rFonts w:ascii="Calibri" w:hAnsi="Calibri" w:cs="Calibri"/>
          <w:b/>
          <w:bCs/>
          <w:sz w:val="20"/>
          <w:szCs w:val="20"/>
        </w:rPr>
        <w:t>6</w:t>
      </w:r>
      <w:r w:rsidRPr="00A23FB4">
        <w:rPr>
          <w:rFonts w:ascii="Calibri" w:hAnsi="Calibri" w:cs="Calibri"/>
          <w:b/>
          <w:bCs/>
          <w:i/>
          <w:iCs/>
          <w:sz w:val="20"/>
          <w:szCs w:val="20"/>
        </w:rPr>
        <w:t>.3.2. Kontrola w czasie wykonywania robót</w:t>
      </w:r>
    </w:p>
    <w:p w14:paraId="3A9022C3" w14:textId="77777777" w:rsidR="008C66DB" w:rsidRPr="00A23FB4" w:rsidRDefault="008C66DB" w:rsidP="008C66DB">
      <w:pPr>
        <w:pStyle w:val="StylIwony"/>
        <w:tabs>
          <w:tab w:val="left" w:pos="9914"/>
        </w:tabs>
        <w:spacing w:before="0" w:after="0"/>
        <w:rPr>
          <w:rFonts w:ascii="Calibri" w:hAnsi="Calibri" w:cs="Calibri"/>
          <w:sz w:val="20"/>
          <w:szCs w:val="20"/>
        </w:rPr>
      </w:pPr>
      <w:r w:rsidRPr="00A23FB4">
        <w:rPr>
          <w:rFonts w:ascii="Calibri" w:hAnsi="Calibri" w:cs="Calibri"/>
          <w:sz w:val="20"/>
          <w:szCs w:val="20"/>
        </w:rPr>
        <w:t>W czasie wykonywania robót należy sprawdzać:</w:t>
      </w:r>
    </w:p>
    <w:p w14:paraId="469275BF" w14:textId="77777777" w:rsidR="008C66DB" w:rsidRPr="00A23FB4" w:rsidRDefault="008C66DB" w:rsidP="00262498">
      <w:pPr>
        <w:pStyle w:val="StylIwony"/>
        <w:numPr>
          <w:ilvl w:val="0"/>
          <w:numId w:val="17"/>
        </w:numPr>
        <w:tabs>
          <w:tab w:val="left" w:pos="9914"/>
        </w:tabs>
        <w:spacing w:before="0" w:after="0"/>
        <w:ind w:left="283"/>
        <w:rPr>
          <w:rFonts w:ascii="Calibri" w:hAnsi="Calibri" w:cs="Calibri"/>
          <w:sz w:val="20"/>
          <w:szCs w:val="20"/>
        </w:rPr>
      </w:pPr>
      <w:r w:rsidRPr="00A23FB4">
        <w:rPr>
          <w:rFonts w:ascii="Calibri" w:hAnsi="Calibri" w:cs="Calibri"/>
          <w:sz w:val="20"/>
          <w:szCs w:val="20"/>
        </w:rPr>
        <w:t>zgodność wykonania znaków pionowych z dokumentacją projektową (lokalizacja, wymiary, wysokość zamocowania znaków),</w:t>
      </w:r>
    </w:p>
    <w:p w14:paraId="7BBBF13B" w14:textId="77777777" w:rsidR="008C66DB" w:rsidRPr="00A23FB4" w:rsidRDefault="008C66DB" w:rsidP="00262498">
      <w:pPr>
        <w:pStyle w:val="StylIwony"/>
        <w:numPr>
          <w:ilvl w:val="0"/>
          <w:numId w:val="17"/>
        </w:numPr>
        <w:tabs>
          <w:tab w:val="left" w:pos="9914"/>
        </w:tabs>
        <w:spacing w:before="0" w:after="0"/>
        <w:ind w:left="283"/>
        <w:rPr>
          <w:rFonts w:ascii="Calibri" w:hAnsi="Calibri" w:cs="Calibri"/>
          <w:sz w:val="20"/>
          <w:szCs w:val="20"/>
        </w:rPr>
      </w:pPr>
      <w:r w:rsidRPr="00A23FB4">
        <w:rPr>
          <w:rFonts w:ascii="Calibri" w:hAnsi="Calibri" w:cs="Calibri"/>
          <w:sz w:val="20"/>
          <w:szCs w:val="20"/>
        </w:rPr>
        <w:t>zachowanie dopuszczalnych odchyłek wymiarów, zgodnie z punktem 2 i 5,</w:t>
      </w:r>
    </w:p>
    <w:p w14:paraId="74226442" w14:textId="77777777" w:rsidR="008C66DB" w:rsidRPr="00A23FB4" w:rsidRDefault="008C66DB" w:rsidP="00262498">
      <w:pPr>
        <w:pStyle w:val="StylIwony"/>
        <w:numPr>
          <w:ilvl w:val="0"/>
          <w:numId w:val="17"/>
        </w:numPr>
        <w:tabs>
          <w:tab w:val="left" w:pos="9914"/>
        </w:tabs>
        <w:spacing w:before="0" w:after="0"/>
        <w:ind w:left="283"/>
        <w:rPr>
          <w:rFonts w:ascii="Calibri" w:hAnsi="Calibri" w:cs="Calibri"/>
          <w:sz w:val="20"/>
          <w:szCs w:val="20"/>
        </w:rPr>
      </w:pPr>
      <w:r w:rsidRPr="00A23FB4">
        <w:rPr>
          <w:rFonts w:ascii="Calibri" w:hAnsi="Calibri" w:cs="Calibri"/>
          <w:sz w:val="20"/>
          <w:szCs w:val="20"/>
        </w:rPr>
        <w:t>prawidłowość wykonania wykopów pod konstrukcje wsporcze, zgodnie z punktem 5.3,</w:t>
      </w:r>
    </w:p>
    <w:p w14:paraId="666D33AE" w14:textId="77777777" w:rsidR="008C66DB" w:rsidRPr="00A23FB4" w:rsidRDefault="008C66DB" w:rsidP="00262498">
      <w:pPr>
        <w:pStyle w:val="StylIwony"/>
        <w:numPr>
          <w:ilvl w:val="0"/>
          <w:numId w:val="17"/>
        </w:numPr>
        <w:tabs>
          <w:tab w:val="left" w:pos="9914"/>
        </w:tabs>
        <w:spacing w:before="0" w:after="0"/>
        <w:ind w:left="283"/>
        <w:rPr>
          <w:rFonts w:ascii="Calibri" w:hAnsi="Calibri" w:cs="Calibri"/>
          <w:sz w:val="20"/>
          <w:szCs w:val="20"/>
        </w:rPr>
      </w:pPr>
      <w:r w:rsidRPr="00A23FB4">
        <w:rPr>
          <w:rFonts w:ascii="Calibri" w:hAnsi="Calibri" w:cs="Calibri"/>
          <w:sz w:val="20"/>
          <w:szCs w:val="20"/>
        </w:rPr>
        <w:t>poprawność wykonania fundamentów pod słupki zgodnie z punktem 5.3,</w:t>
      </w:r>
    </w:p>
    <w:p w14:paraId="06649639" w14:textId="77777777" w:rsidR="008C66DB" w:rsidRPr="00A23FB4" w:rsidRDefault="008C66DB" w:rsidP="00262498">
      <w:pPr>
        <w:pStyle w:val="StylIwony"/>
        <w:numPr>
          <w:ilvl w:val="0"/>
          <w:numId w:val="17"/>
        </w:numPr>
        <w:tabs>
          <w:tab w:val="left" w:pos="9914"/>
        </w:tabs>
        <w:spacing w:before="0" w:after="0"/>
        <w:ind w:left="283"/>
        <w:rPr>
          <w:rFonts w:ascii="Calibri" w:hAnsi="Calibri" w:cs="Calibri"/>
          <w:sz w:val="20"/>
          <w:szCs w:val="20"/>
        </w:rPr>
      </w:pPr>
      <w:r w:rsidRPr="00A23FB4">
        <w:rPr>
          <w:rFonts w:ascii="Calibri" w:hAnsi="Calibri" w:cs="Calibri"/>
          <w:sz w:val="20"/>
          <w:szCs w:val="20"/>
        </w:rPr>
        <w:t>poprawność ustawienia słupków i konstrukcji wsporczych, zgodnie z punktem 5.4.</w:t>
      </w:r>
    </w:p>
    <w:p w14:paraId="5BE3AD6C" w14:textId="77777777" w:rsidR="008C66DB" w:rsidRPr="00A23FB4" w:rsidRDefault="008C66DB" w:rsidP="008C66DB">
      <w:pPr>
        <w:pStyle w:val="StylIwony"/>
        <w:numPr>
          <w:ilvl w:val="12"/>
          <w:numId w:val="0"/>
        </w:numPr>
        <w:tabs>
          <w:tab w:val="left" w:pos="9914"/>
        </w:tabs>
        <w:spacing w:before="0" w:after="0"/>
        <w:rPr>
          <w:rFonts w:ascii="Calibri" w:hAnsi="Calibri" w:cs="Calibri"/>
          <w:sz w:val="20"/>
          <w:szCs w:val="20"/>
        </w:rPr>
      </w:pPr>
      <w:r w:rsidRPr="00A23FB4">
        <w:rPr>
          <w:rFonts w:ascii="Calibri" w:hAnsi="Calibri" w:cs="Calibri"/>
          <w:sz w:val="20"/>
          <w:szCs w:val="20"/>
        </w:rPr>
        <w:t>W przypadku wykonania spawanych złącz elementów konstrukcji wsporczych:</w:t>
      </w:r>
    </w:p>
    <w:p w14:paraId="4880E239" w14:textId="77777777" w:rsidR="008C66DB" w:rsidRPr="00A23FB4" w:rsidRDefault="008C66DB" w:rsidP="00262498">
      <w:pPr>
        <w:pStyle w:val="StylIwony"/>
        <w:numPr>
          <w:ilvl w:val="0"/>
          <w:numId w:val="17"/>
        </w:numPr>
        <w:tabs>
          <w:tab w:val="left" w:pos="9914"/>
        </w:tabs>
        <w:spacing w:before="0" w:after="0"/>
        <w:ind w:left="283"/>
        <w:rPr>
          <w:rFonts w:ascii="Calibri" w:hAnsi="Calibri" w:cs="Calibri"/>
          <w:sz w:val="20"/>
          <w:szCs w:val="20"/>
        </w:rPr>
      </w:pPr>
      <w:r w:rsidRPr="00A23FB4">
        <w:rPr>
          <w:rFonts w:ascii="Calibri" w:hAnsi="Calibri" w:cs="Calibri"/>
          <w:sz w:val="20"/>
          <w:szCs w:val="20"/>
        </w:rPr>
        <w:t>przed oględzinami, spoinę i przylegające do niej elementy łączone  (od 10 do 20 mm z każdej strony) należy dokładnie oczyścić z zanieczyszczeń utrudniających prowadzenie obserwacji i pomiarów,</w:t>
      </w:r>
    </w:p>
    <w:p w14:paraId="13738452" w14:textId="77777777" w:rsidR="008C66DB" w:rsidRPr="00A23FB4" w:rsidRDefault="008C66DB" w:rsidP="00262498">
      <w:pPr>
        <w:pStyle w:val="StylIwony"/>
        <w:numPr>
          <w:ilvl w:val="0"/>
          <w:numId w:val="17"/>
        </w:numPr>
        <w:tabs>
          <w:tab w:val="left" w:pos="9914"/>
        </w:tabs>
        <w:spacing w:before="0" w:after="0"/>
        <w:ind w:left="283"/>
        <w:rPr>
          <w:rFonts w:ascii="Calibri" w:hAnsi="Calibri" w:cs="Calibri"/>
          <w:sz w:val="20"/>
          <w:szCs w:val="20"/>
        </w:rPr>
      </w:pPr>
      <w:r w:rsidRPr="00A23FB4">
        <w:rPr>
          <w:rFonts w:ascii="Calibri" w:hAnsi="Calibri" w:cs="Calibri"/>
          <w:sz w:val="20"/>
          <w:szCs w:val="20"/>
        </w:rPr>
        <w:t>oględziny złączy należy przeprowadzić wizualnie z ewentualnym użyciem lupy o powiększeniu od 2 do 4 razy; do pomiarów spoin powinny być stosowane wzorniki, przymiary oraz uniwersalne spoinomierze,</w:t>
      </w:r>
    </w:p>
    <w:p w14:paraId="51A7E893" w14:textId="77777777" w:rsidR="008C66DB" w:rsidRPr="00A23FB4" w:rsidRDefault="008C66DB" w:rsidP="00262498">
      <w:pPr>
        <w:pStyle w:val="StylIwony"/>
        <w:numPr>
          <w:ilvl w:val="0"/>
          <w:numId w:val="17"/>
        </w:numPr>
        <w:tabs>
          <w:tab w:val="left" w:pos="9914"/>
        </w:tabs>
        <w:spacing w:before="0" w:after="0"/>
        <w:ind w:left="283"/>
        <w:rPr>
          <w:rFonts w:ascii="Calibri" w:hAnsi="Calibri" w:cs="Calibri"/>
          <w:sz w:val="20"/>
          <w:szCs w:val="20"/>
        </w:rPr>
      </w:pPr>
      <w:r w:rsidRPr="00A23FB4">
        <w:rPr>
          <w:rFonts w:ascii="Calibri" w:hAnsi="Calibri" w:cs="Calibri"/>
          <w:sz w:val="20"/>
          <w:szCs w:val="20"/>
        </w:rPr>
        <w:t>w przypadkach wątpliwych można zlecić uprawnionej jednostce zbadanie wytrzymałości zmęczeniowej spoin, zgodnie z PN-M-06515,</w:t>
      </w:r>
    </w:p>
    <w:p w14:paraId="31921E61" w14:textId="77777777" w:rsidR="008C66DB" w:rsidRPr="00A23FB4" w:rsidRDefault="008C66DB" w:rsidP="00262498">
      <w:pPr>
        <w:pStyle w:val="StylIwony"/>
        <w:numPr>
          <w:ilvl w:val="0"/>
          <w:numId w:val="17"/>
        </w:numPr>
        <w:tabs>
          <w:tab w:val="left" w:pos="9914"/>
        </w:tabs>
        <w:spacing w:before="0" w:after="0"/>
        <w:ind w:left="283"/>
        <w:rPr>
          <w:rFonts w:ascii="Calibri" w:hAnsi="Calibri" w:cs="Calibri"/>
          <w:sz w:val="20"/>
          <w:szCs w:val="20"/>
        </w:rPr>
      </w:pPr>
      <w:r w:rsidRPr="00A23FB4">
        <w:rPr>
          <w:rFonts w:ascii="Calibri" w:hAnsi="Calibri" w:cs="Calibri"/>
          <w:sz w:val="20"/>
          <w:szCs w:val="20"/>
        </w:rPr>
        <w:t>złącza o wadach większych niż dopuszczalne, określone w punkcie 5.5, powinny być naprawione powtórnym spawaniem.</w:t>
      </w:r>
    </w:p>
    <w:p w14:paraId="4DA433F2" w14:textId="77777777" w:rsidR="008C66DB" w:rsidRPr="00A23FB4" w:rsidRDefault="008C66DB" w:rsidP="008C66DB">
      <w:pPr>
        <w:rPr>
          <w:rFonts w:ascii="Calibri" w:hAnsi="Calibri" w:cs="Calibri"/>
          <w:b/>
        </w:rPr>
      </w:pPr>
      <w:bookmarkStart w:id="792" w:name="_Toc425562419"/>
      <w:bookmarkStart w:id="793" w:name="_Toc425833586"/>
    </w:p>
    <w:p w14:paraId="2F69BA69" w14:textId="77777777" w:rsidR="008C66DB" w:rsidRPr="00A23FB4" w:rsidRDefault="008C66DB" w:rsidP="008C66DB">
      <w:pPr>
        <w:rPr>
          <w:rFonts w:ascii="Calibri" w:hAnsi="Calibri" w:cs="Calibri"/>
          <w:b/>
        </w:rPr>
      </w:pPr>
      <w:r w:rsidRPr="00A23FB4">
        <w:rPr>
          <w:rFonts w:ascii="Calibri" w:hAnsi="Calibri" w:cs="Calibri"/>
          <w:b/>
        </w:rPr>
        <w:t>7. OBMIAR ROBÓT</w:t>
      </w:r>
      <w:bookmarkEnd w:id="792"/>
      <w:bookmarkEnd w:id="793"/>
    </w:p>
    <w:p w14:paraId="49F62804" w14:textId="77777777" w:rsidR="007E56C9" w:rsidRDefault="007E56C9" w:rsidP="008C66DB">
      <w:pPr>
        <w:pStyle w:val="StylIwony"/>
        <w:tabs>
          <w:tab w:val="left" w:pos="9914"/>
        </w:tabs>
        <w:spacing w:before="0" w:after="0"/>
        <w:rPr>
          <w:rFonts w:ascii="Calibri" w:hAnsi="Calibri" w:cs="Calibri"/>
          <w:sz w:val="20"/>
          <w:szCs w:val="20"/>
        </w:rPr>
      </w:pPr>
    </w:p>
    <w:p w14:paraId="7D421172" w14:textId="4E345D8F" w:rsidR="007E56C9" w:rsidRDefault="007E56C9" w:rsidP="008C66DB">
      <w:pPr>
        <w:pStyle w:val="StylIwony"/>
        <w:tabs>
          <w:tab w:val="left" w:pos="9914"/>
        </w:tabs>
        <w:spacing w:before="0" w:after="0"/>
        <w:rPr>
          <w:rFonts w:ascii="Calibri" w:hAnsi="Calibri" w:cs="Calibri"/>
          <w:sz w:val="20"/>
          <w:szCs w:val="20"/>
        </w:rPr>
      </w:pPr>
      <w:r>
        <w:rPr>
          <w:rFonts w:ascii="Calibri" w:hAnsi="Calibri" w:cs="Calibri"/>
          <w:sz w:val="20"/>
          <w:szCs w:val="20"/>
        </w:rPr>
        <w:t>Kontrakt ryczałtowy</w:t>
      </w:r>
    </w:p>
    <w:p w14:paraId="3CE5EFD0" w14:textId="62233F59" w:rsidR="008C66DB" w:rsidRPr="00A23FB4" w:rsidRDefault="008C66DB" w:rsidP="008C66DB">
      <w:pPr>
        <w:pStyle w:val="StylIwony"/>
        <w:tabs>
          <w:tab w:val="left" w:pos="9914"/>
        </w:tabs>
        <w:spacing w:before="0" w:after="0"/>
        <w:rPr>
          <w:rFonts w:ascii="Calibri" w:hAnsi="Calibri" w:cs="Calibri"/>
          <w:sz w:val="20"/>
          <w:szCs w:val="20"/>
        </w:rPr>
      </w:pPr>
      <w:r w:rsidRPr="00A23FB4">
        <w:rPr>
          <w:rFonts w:ascii="Calibri" w:hAnsi="Calibri" w:cs="Calibri"/>
          <w:sz w:val="20"/>
          <w:szCs w:val="20"/>
        </w:rPr>
        <w:t xml:space="preserve">Ogólne zasady obmiaru robót podano w </w:t>
      </w:r>
      <w:r w:rsidR="00C62A07">
        <w:rPr>
          <w:rFonts w:ascii="Calibri" w:hAnsi="Calibri" w:cs="Calibri"/>
          <w:sz w:val="20"/>
          <w:szCs w:val="20"/>
        </w:rPr>
        <w:t>ST</w:t>
      </w:r>
      <w:r w:rsidRPr="00A23FB4">
        <w:rPr>
          <w:rFonts w:ascii="Calibri" w:hAnsi="Calibri" w:cs="Calibri"/>
          <w:sz w:val="20"/>
          <w:szCs w:val="20"/>
        </w:rPr>
        <w:t>WiORB D-M-00.00.00 „Wymagania ogólne” pkt 7.</w:t>
      </w:r>
    </w:p>
    <w:p w14:paraId="79B2DBBA" w14:textId="77777777" w:rsidR="008C66DB" w:rsidRPr="00A23FB4" w:rsidRDefault="008C66DB" w:rsidP="008C66DB">
      <w:pPr>
        <w:rPr>
          <w:rFonts w:ascii="Calibri" w:hAnsi="Calibri" w:cs="Calibri"/>
          <w:b/>
        </w:rPr>
      </w:pPr>
      <w:bookmarkStart w:id="794" w:name="_Toc425562420"/>
      <w:bookmarkStart w:id="795" w:name="_Toc425833587"/>
    </w:p>
    <w:p w14:paraId="5DA47703" w14:textId="77777777" w:rsidR="008C66DB" w:rsidRPr="00A23FB4" w:rsidRDefault="008C66DB" w:rsidP="008C66DB">
      <w:pPr>
        <w:rPr>
          <w:rFonts w:ascii="Calibri" w:hAnsi="Calibri" w:cs="Calibri"/>
          <w:b/>
        </w:rPr>
      </w:pPr>
      <w:r w:rsidRPr="00A23FB4">
        <w:rPr>
          <w:rFonts w:ascii="Calibri" w:hAnsi="Calibri" w:cs="Calibri"/>
          <w:b/>
        </w:rPr>
        <w:t>8. ODBIÓR ROBÓT</w:t>
      </w:r>
      <w:bookmarkEnd w:id="794"/>
      <w:bookmarkEnd w:id="795"/>
    </w:p>
    <w:p w14:paraId="0976A574" w14:textId="77777777" w:rsidR="008C66DB" w:rsidRPr="00A23FB4" w:rsidRDefault="008C66DB" w:rsidP="008C66DB">
      <w:pPr>
        <w:pStyle w:val="Nagwek4"/>
        <w:tabs>
          <w:tab w:val="left" w:pos="9914"/>
        </w:tabs>
        <w:rPr>
          <w:rFonts w:ascii="Calibri" w:hAnsi="Calibri" w:cs="Calibri"/>
        </w:rPr>
      </w:pPr>
      <w:r w:rsidRPr="00A23FB4">
        <w:rPr>
          <w:rFonts w:ascii="Calibri" w:hAnsi="Calibri" w:cs="Calibri"/>
        </w:rPr>
        <w:t>8.1. Ogólne zasady odbioru robót</w:t>
      </w:r>
    </w:p>
    <w:p w14:paraId="27B6142E" w14:textId="5E7113BC" w:rsidR="008C66DB" w:rsidRPr="00A23FB4" w:rsidRDefault="008C66DB" w:rsidP="008C66DB">
      <w:pPr>
        <w:pStyle w:val="StylIwony"/>
        <w:tabs>
          <w:tab w:val="left" w:pos="9914"/>
        </w:tabs>
        <w:spacing w:before="0" w:after="0"/>
        <w:rPr>
          <w:rFonts w:ascii="Calibri" w:hAnsi="Calibri" w:cs="Calibri"/>
          <w:sz w:val="20"/>
          <w:szCs w:val="20"/>
        </w:rPr>
      </w:pPr>
      <w:r w:rsidRPr="00A23FB4">
        <w:rPr>
          <w:rFonts w:ascii="Calibri" w:hAnsi="Calibri" w:cs="Calibri"/>
          <w:sz w:val="20"/>
          <w:szCs w:val="20"/>
        </w:rPr>
        <w:t xml:space="preserve">Ogólne zasady odbioru robót podano w </w:t>
      </w:r>
      <w:r w:rsidR="00C62A07">
        <w:rPr>
          <w:rFonts w:ascii="Calibri" w:hAnsi="Calibri" w:cs="Calibri"/>
          <w:sz w:val="20"/>
          <w:szCs w:val="20"/>
        </w:rPr>
        <w:t>ST</w:t>
      </w:r>
      <w:r w:rsidRPr="00A23FB4">
        <w:rPr>
          <w:rFonts w:ascii="Calibri" w:hAnsi="Calibri" w:cs="Calibri"/>
          <w:sz w:val="20"/>
          <w:szCs w:val="20"/>
        </w:rPr>
        <w:t>WiORB D-M-00.00.00 „Wymagania ogólne” pkt 8.</w:t>
      </w:r>
    </w:p>
    <w:p w14:paraId="0F30F5AA" w14:textId="77D7DECB" w:rsidR="008C66DB" w:rsidRPr="00A23FB4" w:rsidRDefault="008C66DB" w:rsidP="008C66DB">
      <w:pPr>
        <w:tabs>
          <w:tab w:val="left" w:pos="9914"/>
        </w:tabs>
        <w:rPr>
          <w:rFonts w:ascii="Calibri" w:hAnsi="Calibri" w:cs="Calibri"/>
        </w:rPr>
      </w:pPr>
      <w:r w:rsidRPr="00A23FB4">
        <w:rPr>
          <w:rFonts w:ascii="Calibri" w:hAnsi="Calibri" w:cs="Calibri"/>
        </w:rPr>
        <w:t xml:space="preserve">Roboty uznaje się za wykonane zgodnie z dokumentacją projektową, </w:t>
      </w:r>
      <w:r w:rsidR="00C62A07">
        <w:rPr>
          <w:rFonts w:ascii="Calibri" w:hAnsi="Calibri" w:cs="Calibri"/>
        </w:rPr>
        <w:t>ST</w:t>
      </w:r>
      <w:r w:rsidRPr="00A23FB4">
        <w:rPr>
          <w:rFonts w:ascii="Calibri" w:hAnsi="Calibri" w:cs="Calibri"/>
        </w:rPr>
        <w:t>WiORB i wymaganiami Inżyniera/Kierownika projektu, jeżeli wszystkie pomiary i badania z zachowaniem tolerancji wg pkt 6, dały wyniki pozytywne.</w:t>
      </w:r>
    </w:p>
    <w:p w14:paraId="644D4323" w14:textId="77777777" w:rsidR="008C66DB" w:rsidRPr="00A23FB4" w:rsidRDefault="008C66DB" w:rsidP="008C66DB">
      <w:pPr>
        <w:pStyle w:val="Nagwek4"/>
        <w:tabs>
          <w:tab w:val="left" w:pos="9914"/>
        </w:tabs>
        <w:rPr>
          <w:rFonts w:ascii="Calibri" w:hAnsi="Calibri" w:cs="Calibri"/>
        </w:rPr>
      </w:pPr>
      <w:r w:rsidRPr="00A23FB4">
        <w:rPr>
          <w:rFonts w:ascii="Calibri" w:hAnsi="Calibri" w:cs="Calibri"/>
        </w:rPr>
        <w:t>8.2. Odbiór ostateczny</w:t>
      </w:r>
    </w:p>
    <w:p w14:paraId="03158164" w14:textId="77777777" w:rsidR="008C66DB" w:rsidRPr="00A23FB4" w:rsidRDefault="008C66DB" w:rsidP="008C66DB">
      <w:pPr>
        <w:tabs>
          <w:tab w:val="left" w:pos="9914"/>
        </w:tabs>
        <w:rPr>
          <w:rFonts w:ascii="Calibri" w:hAnsi="Calibri" w:cs="Calibri"/>
        </w:rPr>
      </w:pPr>
      <w:r w:rsidRPr="00A23FB4">
        <w:rPr>
          <w:rFonts w:ascii="Calibri" w:hAnsi="Calibri" w:cs="Calibri"/>
        </w:rPr>
        <w:t>Odbiór robót oznakowania pionowego dokonywany jest na zasadzie odbioru ostatecznego.</w:t>
      </w:r>
    </w:p>
    <w:p w14:paraId="6B118D7A" w14:textId="77777777" w:rsidR="008C66DB" w:rsidRPr="00A23FB4" w:rsidRDefault="008C66DB" w:rsidP="008C66DB">
      <w:pPr>
        <w:tabs>
          <w:tab w:val="left" w:pos="9914"/>
        </w:tabs>
        <w:rPr>
          <w:rFonts w:ascii="Calibri" w:hAnsi="Calibri" w:cs="Calibri"/>
        </w:rPr>
      </w:pPr>
      <w:r w:rsidRPr="00A23FB4">
        <w:rPr>
          <w:rFonts w:ascii="Calibri" w:hAnsi="Calibri" w:cs="Calibri"/>
        </w:rPr>
        <w:t>Odbiór ostateczny powinien być dokonany po całkowitym zakończeniu robót, na podstawie wyników pomiarów i badań jakościowych określonych w punktach 2 i 5.</w:t>
      </w:r>
    </w:p>
    <w:p w14:paraId="1B6D6B59" w14:textId="77777777" w:rsidR="008C66DB" w:rsidRPr="00A23FB4" w:rsidRDefault="008C66DB" w:rsidP="008C66DB">
      <w:pPr>
        <w:pStyle w:val="Nagwek4"/>
        <w:tabs>
          <w:tab w:val="left" w:pos="9914"/>
        </w:tabs>
        <w:rPr>
          <w:rFonts w:ascii="Calibri" w:hAnsi="Calibri" w:cs="Calibri"/>
        </w:rPr>
      </w:pPr>
      <w:r w:rsidRPr="00A23FB4">
        <w:rPr>
          <w:rFonts w:ascii="Calibri" w:hAnsi="Calibri" w:cs="Calibri"/>
        </w:rPr>
        <w:t>8.3. Odbiór pogwarancyjny</w:t>
      </w:r>
    </w:p>
    <w:p w14:paraId="4FBC00A2" w14:textId="77777777" w:rsidR="008C66DB" w:rsidRPr="00A23FB4" w:rsidRDefault="008C66DB" w:rsidP="008C66DB">
      <w:pPr>
        <w:tabs>
          <w:tab w:val="left" w:pos="9914"/>
        </w:tabs>
        <w:rPr>
          <w:rFonts w:ascii="Calibri" w:hAnsi="Calibri" w:cs="Calibri"/>
        </w:rPr>
      </w:pPr>
      <w:r w:rsidRPr="00A23FB4">
        <w:rPr>
          <w:rFonts w:ascii="Calibri" w:hAnsi="Calibri" w:cs="Calibri"/>
        </w:rPr>
        <w:t>Odbioru pogwarancyjnego należy dokonać po upływie okresu gwarancyjnego.</w:t>
      </w:r>
    </w:p>
    <w:p w14:paraId="7A7135BE" w14:textId="77777777" w:rsidR="008C66DB" w:rsidRPr="00A23FB4" w:rsidRDefault="008C66DB" w:rsidP="008C66DB">
      <w:pPr>
        <w:rPr>
          <w:rFonts w:ascii="Calibri" w:hAnsi="Calibri" w:cs="Calibri"/>
          <w:b/>
        </w:rPr>
      </w:pPr>
      <w:bookmarkStart w:id="796" w:name="_Toc425833588"/>
    </w:p>
    <w:p w14:paraId="6427B3A1" w14:textId="77777777" w:rsidR="008C66DB" w:rsidRPr="00A23FB4" w:rsidRDefault="008C66DB" w:rsidP="008C66DB">
      <w:pPr>
        <w:rPr>
          <w:rFonts w:ascii="Calibri" w:hAnsi="Calibri" w:cs="Calibri"/>
          <w:b/>
        </w:rPr>
      </w:pPr>
      <w:r w:rsidRPr="00A23FB4">
        <w:rPr>
          <w:rFonts w:ascii="Calibri" w:hAnsi="Calibri" w:cs="Calibri"/>
          <w:b/>
        </w:rPr>
        <w:t>9. PODSTAWA PŁATNOŚCI</w:t>
      </w:r>
      <w:bookmarkEnd w:id="796"/>
    </w:p>
    <w:p w14:paraId="6EC17944" w14:textId="77777777" w:rsidR="007E56C9" w:rsidRDefault="007E56C9" w:rsidP="008C66DB">
      <w:pPr>
        <w:tabs>
          <w:tab w:val="left" w:pos="9914"/>
        </w:tabs>
        <w:rPr>
          <w:rFonts w:ascii="Calibri" w:hAnsi="Calibri" w:cs="Calibri"/>
        </w:rPr>
      </w:pPr>
    </w:p>
    <w:p w14:paraId="14671795" w14:textId="0B9503DA" w:rsidR="007E56C9" w:rsidRDefault="007E56C9" w:rsidP="008C66DB">
      <w:pPr>
        <w:tabs>
          <w:tab w:val="left" w:pos="9914"/>
        </w:tabs>
        <w:rPr>
          <w:rFonts w:ascii="Calibri" w:hAnsi="Calibri" w:cs="Calibri"/>
        </w:rPr>
      </w:pPr>
      <w:r>
        <w:rPr>
          <w:rFonts w:ascii="Calibri" w:hAnsi="Calibri" w:cs="Calibri"/>
        </w:rPr>
        <w:t>Kontrakt ryczałtowy</w:t>
      </w:r>
    </w:p>
    <w:p w14:paraId="78970FE7" w14:textId="0369FEF8" w:rsidR="008C66DB" w:rsidRPr="00A23FB4" w:rsidRDefault="008C66DB" w:rsidP="008C66DB">
      <w:pPr>
        <w:tabs>
          <w:tab w:val="left" w:pos="9914"/>
        </w:tabs>
        <w:rPr>
          <w:rFonts w:ascii="Calibri" w:hAnsi="Calibri" w:cs="Calibri"/>
        </w:rPr>
      </w:pPr>
      <w:r w:rsidRPr="00A23FB4">
        <w:rPr>
          <w:rFonts w:ascii="Calibri" w:hAnsi="Calibri" w:cs="Calibri"/>
        </w:rPr>
        <w:t xml:space="preserve">Ogólne ustalenia dotyczące podstawy płatności podano w </w:t>
      </w:r>
      <w:r w:rsidR="00C62A07">
        <w:rPr>
          <w:rFonts w:ascii="Calibri" w:hAnsi="Calibri" w:cs="Calibri"/>
        </w:rPr>
        <w:t>ST</w:t>
      </w:r>
      <w:r w:rsidRPr="00A23FB4">
        <w:rPr>
          <w:rFonts w:ascii="Calibri" w:hAnsi="Calibri" w:cs="Calibri"/>
        </w:rPr>
        <w:t>WiORB D-M-00.00.00 „Wymagania ogólne” pkt 9.</w:t>
      </w:r>
    </w:p>
    <w:p w14:paraId="7421C7D2" w14:textId="77777777" w:rsidR="007E56C9" w:rsidRDefault="007E56C9" w:rsidP="008C66DB">
      <w:pPr>
        <w:rPr>
          <w:rFonts w:ascii="Calibri" w:hAnsi="Calibri" w:cs="Calibri"/>
          <w:b/>
        </w:rPr>
      </w:pPr>
      <w:bookmarkStart w:id="797" w:name="_Toc425833589"/>
    </w:p>
    <w:p w14:paraId="54708E96" w14:textId="0F5612F4" w:rsidR="008C66DB" w:rsidRPr="00A23FB4" w:rsidRDefault="008C66DB" w:rsidP="008C66DB">
      <w:pPr>
        <w:rPr>
          <w:rFonts w:ascii="Calibri" w:hAnsi="Calibri" w:cs="Calibri"/>
          <w:b/>
        </w:rPr>
      </w:pPr>
      <w:r w:rsidRPr="00A23FB4">
        <w:rPr>
          <w:rFonts w:ascii="Calibri" w:hAnsi="Calibri" w:cs="Calibri"/>
          <w:b/>
        </w:rPr>
        <w:t>10. PRZEPISY ZWIĄZANE</w:t>
      </w:r>
      <w:bookmarkEnd w:id="797"/>
    </w:p>
    <w:p w14:paraId="7D1AE7A1" w14:textId="77777777" w:rsidR="008C66DB" w:rsidRPr="00A23FB4" w:rsidRDefault="008C66DB" w:rsidP="008C66DB">
      <w:pPr>
        <w:pStyle w:val="Nagwek4"/>
        <w:tabs>
          <w:tab w:val="left" w:pos="9914"/>
        </w:tabs>
        <w:rPr>
          <w:rFonts w:ascii="Calibri" w:hAnsi="Calibri" w:cs="Calibri"/>
        </w:rPr>
      </w:pPr>
      <w:r w:rsidRPr="00A23FB4">
        <w:rPr>
          <w:rFonts w:ascii="Calibri" w:hAnsi="Calibri" w:cs="Calibri"/>
        </w:rPr>
        <w:t>10.1. Normy</w:t>
      </w:r>
    </w:p>
    <w:tbl>
      <w:tblPr>
        <w:tblW w:w="10134" w:type="dxa"/>
        <w:tblInd w:w="2" w:type="dxa"/>
        <w:tblLayout w:type="fixed"/>
        <w:tblCellMar>
          <w:left w:w="70" w:type="dxa"/>
          <w:right w:w="70" w:type="dxa"/>
        </w:tblCellMar>
        <w:tblLook w:val="0000" w:firstRow="0" w:lastRow="0" w:firstColumn="0" w:lastColumn="0" w:noHBand="0" w:noVBand="0"/>
      </w:tblPr>
      <w:tblGrid>
        <w:gridCol w:w="637"/>
        <w:gridCol w:w="1843"/>
        <w:gridCol w:w="7654"/>
      </w:tblGrid>
      <w:tr w:rsidR="008C66DB" w:rsidRPr="00A23FB4" w14:paraId="72A45BBD" w14:textId="77777777" w:rsidTr="008C66DB">
        <w:tc>
          <w:tcPr>
            <w:tcW w:w="637" w:type="dxa"/>
          </w:tcPr>
          <w:p w14:paraId="0C351536" w14:textId="77777777" w:rsidR="008C66DB" w:rsidRPr="00A23FB4" w:rsidRDefault="008C66DB" w:rsidP="008C66DB">
            <w:pPr>
              <w:tabs>
                <w:tab w:val="left" w:pos="9914"/>
              </w:tabs>
              <w:rPr>
                <w:rFonts w:ascii="Calibri" w:hAnsi="Calibri" w:cs="Calibri"/>
                <w:sz w:val="18"/>
                <w:szCs w:val="18"/>
              </w:rPr>
            </w:pPr>
            <w:r w:rsidRPr="00A23FB4">
              <w:rPr>
                <w:rFonts w:ascii="Calibri" w:hAnsi="Calibri" w:cs="Calibri"/>
                <w:sz w:val="18"/>
                <w:szCs w:val="18"/>
              </w:rPr>
              <w:t xml:space="preserve">  1.</w:t>
            </w:r>
          </w:p>
        </w:tc>
        <w:tc>
          <w:tcPr>
            <w:tcW w:w="1843" w:type="dxa"/>
          </w:tcPr>
          <w:p w14:paraId="6B7B66B2" w14:textId="77777777" w:rsidR="008C66DB" w:rsidRPr="00A23FB4" w:rsidRDefault="008C66DB" w:rsidP="008C66DB">
            <w:pPr>
              <w:tabs>
                <w:tab w:val="left" w:pos="9914"/>
              </w:tabs>
              <w:rPr>
                <w:rFonts w:ascii="Calibri" w:hAnsi="Calibri" w:cs="Calibri"/>
                <w:sz w:val="18"/>
                <w:szCs w:val="18"/>
              </w:rPr>
            </w:pPr>
            <w:r w:rsidRPr="00A23FB4">
              <w:rPr>
                <w:rFonts w:ascii="Calibri" w:hAnsi="Calibri" w:cs="Calibri"/>
                <w:sz w:val="18"/>
                <w:szCs w:val="18"/>
              </w:rPr>
              <w:t>PN-B-06250:1988</w:t>
            </w:r>
          </w:p>
        </w:tc>
        <w:tc>
          <w:tcPr>
            <w:tcW w:w="7654" w:type="dxa"/>
          </w:tcPr>
          <w:p w14:paraId="781FAFB3" w14:textId="77777777" w:rsidR="008C66DB" w:rsidRPr="00A23FB4" w:rsidRDefault="008C66DB" w:rsidP="008C66DB">
            <w:pPr>
              <w:tabs>
                <w:tab w:val="left" w:pos="9914"/>
              </w:tabs>
              <w:rPr>
                <w:rFonts w:ascii="Calibri" w:hAnsi="Calibri" w:cs="Calibri"/>
                <w:sz w:val="18"/>
                <w:szCs w:val="18"/>
              </w:rPr>
            </w:pPr>
            <w:r w:rsidRPr="00A23FB4">
              <w:rPr>
                <w:rFonts w:ascii="Calibri" w:hAnsi="Calibri" w:cs="Calibri"/>
                <w:sz w:val="18"/>
                <w:szCs w:val="18"/>
              </w:rPr>
              <w:t>Beton zwykły</w:t>
            </w:r>
          </w:p>
        </w:tc>
      </w:tr>
      <w:tr w:rsidR="008C66DB" w:rsidRPr="00A23FB4" w14:paraId="1C2A744D" w14:textId="77777777" w:rsidTr="008C66DB">
        <w:tc>
          <w:tcPr>
            <w:tcW w:w="637" w:type="dxa"/>
          </w:tcPr>
          <w:p w14:paraId="2660494A" w14:textId="77777777" w:rsidR="008C66DB" w:rsidRPr="00A23FB4" w:rsidRDefault="008C66DB" w:rsidP="008C66DB">
            <w:pPr>
              <w:tabs>
                <w:tab w:val="left" w:pos="9914"/>
              </w:tabs>
              <w:rPr>
                <w:rFonts w:ascii="Calibri" w:hAnsi="Calibri" w:cs="Calibri"/>
                <w:sz w:val="18"/>
                <w:szCs w:val="18"/>
              </w:rPr>
            </w:pPr>
            <w:r w:rsidRPr="00A23FB4">
              <w:rPr>
                <w:rFonts w:ascii="Calibri" w:hAnsi="Calibri" w:cs="Calibri"/>
                <w:sz w:val="18"/>
                <w:szCs w:val="18"/>
              </w:rPr>
              <w:t xml:space="preserve">  2.</w:t>
            </w:r>
          </w:p>
        </w:tc>
        <w:tc>
          <w:tcPr>
            <w:tcW w:w="1843" w:type="dxa"/>
          </w:tcPr>
          <w:p w14:paraId="56E85773" w14:textId="77777777" w:rsidR="008C66DB" w:rsidRPr="00A23FB4" w:rsidRDefault="008C66DB" w:rsidP="008C66DB">
            <w:pPr>
              <w:tabs>
                <w:tab w:val="left" w:pos="9914"/>
              </w:tabs>
              <w:rPr>
                <w:rFonts w:ascii="Calibri" w:hAnsi="Calibri" w:cs="Calibri"/>
                <w:sz w:val="18"/>
                <w:szCs w:val="18"/>
              </w:rPr>
            </w:pPr>
            <w:r w:rsidRPr="00A23FB4">
              <w:rPr>
                <w:rFonts w:ascii="Calibri" w:hAnsi="Calibri" w:cs="Calibri"/>
                <w:sz w:val="18"/>
                <w:szCs w:val="18"/>
              </w:rPr>
              <w:t>PN-B-06251:1963</w:t>
            </w:r>
          </w:p>
        </w:tc>
        <w:tc>
          <w:tcPr>
            <w:tcW w:w="7654" w:type="dxa"/>
          </w:tcPr>
          <w:p w14:paraId="2A6FC021" w14:textId="77777777" w:rsidR="008C66DB" w:rsidRPr="00A23FB4" w:rsidRDefault="008C66DB" w:rsidP="008C66DB">
            <w:pPr>
              <w:tabs>
                <w:tab w:val="left" w:pos="9914"/>
              </w:tabs>
              <w:rPr>
                <w:rFonts w:ascii="Calibri" w:hAnsi="Calibri" w:cs="Calibri"/>
                <w:sz w:val="18"/>
                <w:szCs w:val="18"/>
              </w:rPr>
            </w:pPr>
            <w:r w:rsidRPr="00A23FB4">
              <w:rPr>
                <w:rFonts w:ascii="Calibri" w:hAnsi="Calibri" w:cs="Calibri"/>
                <w:sz w:val="18"/>
                <w:szCs w:val="18"/>
              </w:rPr>
              <w:t>Roboty betonowe i żelbetowe. Wymagania techniczne</w:t>
            </w:r>
          </w:p>
        </w:tc>
      </w:tr>
      <w:tr w:rsidR="008C66DB" w:rsidRPr="00A23FB4" w14:paraId="608A98E9" w14:textId="77777777" w:rsidTr="008C66DB">
        <w:tc>
          <w:tcPr>
            <w:tcW w:w="637" w:type="dxa"/>
          </w:tcPr>
          <w:p w14:paraId="23BC7E4C" w14:textId="77777777" w:rsidR="008C66DB" w:rsidRPr="00A23FB4" w:rsidRDefault="008C66DB" w:rsidP="008C66DB">
            <w:pPr>
              <w:tabs>
                <w:tab w:val="left" w:pos="9914"/>
              </w:tabs>
              <w:rPr>
                <w:rFonts w:ascii="Calibri" w:hAnsi="Calibri" w:cs="Calibri"/>
                <w:sz w:val="18"/>
                <w:szCs w:val="18"/>
              </w:rPr>
            </w:pPr>
            <w:r w:rsidRPr="00A23FB4">
              <w:rPr>
                <w:rFonts w:ascii="Calibri" w:hAnsi="Calibri" w:cs="Calibri"/>
                <w:sz w:val="18"/>
                <w:szCs w:val="18"/>
              </w:rPr>
              <w:t xml:space="preserve">  3.</w:t>
            </w:r>
          </w:p>
        </w:tc>
        <w:tc>
          <w:tcPr>
            <w:tcW w:w="1843" w:type="dxa"/>
          </w:tcPr>
          <w:p w14:paraId="1145F8A9" w14:textId="77777777" w:rsidR="008C66DB" w:rsidRPr="00A23FB4" w:rsidRDefault="008C66DB" w:rsidP="008C66DB">
            <w:pPr>
              <w:tabs>
                <w:tab w:val="left" w:pos="9914"/>
              </w:tabs>
              <w:rPr>
                <w:rFonts w:ascii="Calibri" w:hAnsi="Calibri" w:cs="Calibri"/>
                <w:sz w:val="18"/>
                <w:szCs w:val="18"/>
              </w:rPr>
            </w:pPr>
            <w:r w:rsidRPr="00A23FB4">
              <w:rPr>
                <w:rFonts w:ascii="Calibri" w:hAnsi="Calibri" w:cs="Calibri"/>
                <w:sz w:val="18"/>
                <w:szCs w:val="18"/>
              </w:rPr>
              <w:t>PN-EN-12620:2004</w:t>
            </w:r>
          </w:p>
        </w:tc>
        <w:tc>
          <w:tcPr>
            <w:tcW w:w="7654" w:type="dxa"/>
          </w:tcPr>
          <w:p w14:paraId="44613712" w14:textId="77777777" w:rsidR="008C66DB" w:rsidRPr="00A23FB4" w:rsidRDefault="008C66DB" w:rsidP="008C66DB">
            <w:pPr>
              <w:tabs>
                <w:tab w:val="left" w:pos="9914"/>
              </w:tabs>
              <w:rPr>
                <w:rFonts w:ascii="Calibri" w:hAnsi="Calibri" w:cs="Calibri"/>
                <w:sz w:val="18"/>
                <w:szCs w:val="18"/>
              </w:rPr>
            </w:pPr>
            <w:r w:rsidRPr="00A23FB4">
              <w:rPr>
                <w:rFonts w:ascii="Calibri" w:hAnsi="Calibri" w:cs="Calibri"/>
                <w:sz w:val="18"/>
                <w:szCs w:val="18"/>
              </w:rPr>
              <w:t xml:space="preserve">Kruszywa do betonu </w:t>
            </w:r>
          </w:p>
        </w:tc>
      </w:tr>
      <w:tr w:rsidR="008C66DB" w:rsidRPr="00A23FB4" w14:paraId="7189B83B" w14:textId="77777777" w:rsidTr="008C66DB">
        <w:tc>
          <w:tcPr>
            <w:tcW w:w="637" w:type="dxa"/>
          </w:tcPr>
          <w:p w14:paraId="401907A6" w14:textId="77777777" w:rsidR="008C66DB" w:rsidRPr="00A23FB4" w:rsidRDefault="008C66DB" w:rsidP="008C66DB">
            <w:pPr>
              <w:tabs>
                <w:tab w:val="left" w:pos="9914"/>
              </w:tabs>
              <w:rPr>
                <w:rFonts w:ascii="Calibri" w:hAnsi="Calibri" w:cs="Calibri"/>
                <w:sz w:val="18"/>
                <w:szCs w:val="18"/>
                <w:lang w:val="en-US"/>
              </w:rPr>
            </w:pPr>
            <w:r w:rsidRPr="00A23FB4">
              <w:rPr>
                <w:rFonts w:ascii="Calibri" w:hAnsi="Calibri" w:cs="Calibri"/>
                <w:sz w:val="18"/>
                <w:szCs w:val="18"/>
                <w:lang w:val="en-US"/>
              </w:rPr>
              <w:t>4.</w:t>
            </w:r>
          </w:p>
        </w:tc>
        <w:tc>
          <w:tcPr>
            <w:tcW w:w="1843" w:type="dxa"/>
          </w:tcPr>
          <w:p w14:paraId="1B473F74" w14:textId="77777777" w:rsidR="008C66DB" w:rsidRPr="00A23FB4" w:rsidRDefault="008C66DB" w:rsidP="008C66DB">
            <w:pPr>
              <w:tabs>
                <w:tab w:val="left" w:pos="9914"/>
              </w:tabs>
              <w:rPr>
                <w:rFonts w:ascii="Calibri" w:hAnsi="Calibri" w:cs="Calibri"/>
                <w:sz w:val="18"/>
                <w:szCs w:val="18"/>
                <w:lang w:val="en-US"/>
              </w:rPr>
            </w:pPr>
            <w:r w:rsidRPr="00A23FB4">
              <w:rPr>
                <w:rFonts w:ascii="Calibri" w:hAnsi="Calibri" w:cs="Calibri"/>
                <w:sz w:val="18"/>
                <w:szCs w:val="18"/>
                <w:lang w:val="en-US"/>
              </w:rPr>
              <w:t>PN-EN-197-1:2002</w:t>
            </w:r>
          </w:p>
        </w:tc>
        <w:tc>
          <w:tcPr>
            <w:tcW w:w="7654" w:type="dxa"/>
          </w:tcPr>
          <w:p w14:paraId="1759F7F2" w14:textId="77777777" w:rsidR="008C66DB" w:rsidRPr="00A23FB4" w:rsidRDefault="008C66DB" w:rsidP="008C66DB">
            <w:pPr>
              <w:tabs>
                <w:tab w:val="left" w:pos="9914"/>
              </w:tabs>
              <w:rPr>
                <w:rFonts w:ascii="Calibri" w:hAnsi="Calibri" w:cs="Calibri"/>
                <w:sz w:val="18"/>
                <w:szCs w:val="18"/>
              </w:rPr>
            </w:pPr>
            <w:r w:rsidRPr="00A23FB4">
              <w:rPr>
                <w:rFonts w:ascii="Calibri" w:hAnsi="Calibri" w:cs="Calibri"/>
                <w:sz w:val="18"/>
                <w:szCs w:val="18"/>
              </w:rPr>
              <w:t>Cement. Część I. Skład, wymagania i kryteria zgodności dotyczące cementów powszechnego użytku</w:t>
            </w:r>
          </w:p>
        </w:tc>
      </w:tr>
      <w:tr w:rsidR="008C66DB" w:rsidRPr="00A23FB4" w14:paraId="1C06CD1F" w14:textId="77777777" w:rsidTr="008C66DB">
        <w:tc>
          <w:tcPr>
            <w:tcW w:w="637" w:type="dxa"/>
          </w:tcPr>
          <w:p w14:paraId="4B6DADEA" w14:textId="77777777" w:rsidR="008C66DB" w:rsidRPr="00A23FB4" w:rsidRDefault="008C66DB" w:rsidP="008C66DB">
            <w:pPr>
              <w:tabs>
                <w:tab w:val="left" w:pos="9914"/>
              </w:tabs>
              <w:rPr>
                <w:rFonts w:ascii="Calibri" w:hAnsi="Calibri" w:cs="Calibri"/>
                <w:sz w:val="18"/>
                <w:szCs w:val="18"/>
              </w:rPr>
            </w:pPr>
            <w:r w:rsidRPr="00A23FB4">
              <w:rPr>
                <w:rFonts w:ascii="Calibri" w:hAnsi="Calibri" w:cs="Calibri"/>
                <w:sz w:val="18"/>
                <w:szCs w:val="18"/>
              </w:rPr>
              <w:t xml:space="preserve">  5.</w:t>
            </w:r>
          </w:p>
        </w:tc>
        <w:tc>
          <w:tcPr>
            <w:tcW w:w="1843" w:type="dxa"/>
          </w:tcPr>
          <w:p w14:paraId="49B5B4DC" w14:textId="77777777" w:rsidR="008C66DB" w:rsidRPr="00A23FB4" w:rsidRDefault="008C66DB" w:rsidP="008C66DB">
            <w:pPr>
              <w:tabs>
                <w:tab w:val="left" w:pos="9914"/>
              </w:tabs>
              <w:rPr>
                <w:rFonts w:ascii="Calibri" w:hAnsi="Calibri" w:cs="Calibri"/>
                <w:sz w:val="18"/>
                <w:szCs w:val="18"/>
              </w:rPr>
            </w:pPr>
            <w:r w:rsidRPr="00A23FB4">
              <w:rPr>
                <w:rFonts w:ascii="Calibri" w:hAnsi="Calibri" w:cs="Calibri"/>
                <w:sz w:val="18"/>
                <w:szCs w:val="18"/>
              </w:rPr>
              <w:t>PN-B-23010:1986</w:t>
            </w:r>
          </w:p>
        </w:tc>
        <w:tc>
          <w:tcPr>
            <w:tcW w:w="7654" w:type="dxa"/>
          </w:tcPr>
          <w:p w14:paraId="5AE8475E" w14:textId="77777777" w:rsidR="008C66DB" w:rsidRPr="00A23FB4" w:rsidRDefault="008C66DB" w:rsidP="008C66DB">
            <w:pPr>
              <w:tabs>
                <w:tab w:val="left" w:pos="9914"/>
              </w:tabs>
              <w:rPr>
                <w:rFonts w:ascii="Calibri" w:hAnsi="Calibri" w:cs="Calibri"/>
                <w:sz w:val="18"/>
                <w:szCs w:val="18"/>
              </w:rPr>
            </w:pPr>
            <w:r w:rsidRPr="00A23FB4">
              <w:rPr>
                <w:rFonts w:ascii="Calibri" w:hAnsi="Calibri" w:cs="Calibri"/>
                <w:sz w:val="18"/>
                <w:szCs w:val="18"/>
              </w:rPr>
              <w:t>Domieszki do betonu. Klasyfikacja i określenia</w:t>
            </w:r>
          </w:p>
        </w:tc>
      </w:tr>
      <w:tr w:rsidR="008C66DB" w:rsidRPr="00A23FB4" w14:paraId="113A598D" w14:textId="77777777" w:rsidTr="008C66DB">
        <w:tc>
          <w:tcPr>
            <w:tcW w:w="637" w:type="dxa"/>
          </w:tcPr>
          <w:p w14:paraId="4BF7EE49" w14:textId="77777777" w:rsidR="008C66DB" w:rsidRPr="00A23FB4" w:rsidRDefault="008C66DB" w:rsidP="008C66DB">
            <w:pPr>
              <w:tabs>
                <w:tab w:val="left" w:pos="9914"/>
              </w:tabs>
              <w:rPr>
                <w:rFonts w:ascii="Calibri" w:hAnsi="Calibri" w:cs="Calibri"/>
                <w:sz w:val="18"/>
                <w:szCs w:val="18"/>
              </w:rPr>
            </w:pPr>
            <w:r w:rsidRPr="00A23FB4">
              <w:rPr>
                <w:rFonts w:ascii="Calibri" w:hAnsi="Calibri" w:cs="Calibri"/>
                <w:sz w:val="18"/>
                <w:szCs w:val="18"/>
              </w:rPr>
              <w:t xml:space="preserve">  6.</w:t>
            </w:r>
          </w:p>
        </w:tc>
        <w:tc>
          <w:tcPr>
            <w:tcW w:w="1843" w:type="dxa"/>
          </w:tcPr>
          <w:p w14:paraId="017D4010" w14:textId="77777777" w:rsidR="008C66DB" w:rsidRPr="00A23FB4" w:rsidRDefault="008C66DB" w:rsidP="008C66DB">
            <w:pPr>
              <w:tabs>
                <w:tab w:val="left" w:pos="9914"/>
              </w:tabs>
              <w:rPr>
                <w:rFonts w:ascii="Calibri" w:hAnsi="Calibri" w:cs="Calibri"/>
                <w:sz w:val="18"/>
                <w:szCs w:val="18"/>
              </w:rPr>
            </w:pPr>
            <w:r w:rsidRPr="00A23FB4">
              <w:rPr>
                <w:rFonts w:ascii="Calibri" w:hAnsi="Calibri" w:cs="Calibri"/>
                <w:sz w:val="18"/>
                <w:szCs w:val="18"/>
              </w:rPr>
              <w:t>PN-EN-1008:2004</w:t>
            </w:r>
          </w:p>
        </w:tc>
        <w:tc>
          <w:tcPr>
            <w:tcW w:w="7654" w:type="dxa"/>
          </w:tcPr>
          <w:p w14:paraId="3D0F5B9D" w14:textId="77777777" w:rsidR="008C66DB" w:rsidRPr="00A23FB4" w:rsidRDefault="008C66DB" w:rsidP="008C66DB">
            <w:pPr>
              <w:tabs>
                <w:tab w:val="left" w:pos="9914"/>
              </w:tabs>
              <w:rPr>
                <w:rFonts w:ascii="Calibri" w:hAnsi="Calibri" w:cs="Calibri"/>
                <w:sz w:val="18"/>
                <w:szCs w:val="18"/>
              </w:rPr>
            </w:pPr>
            <w:r w:rsidRPr="00A23FB4">
              <w:rPr>
                <w:rFonts w:ascii="Calibri" w:hAnsi="Calibri" w:cs="Calibri"/>
                <w:sz w:val="18"/>
                <w:szCs w:val="18"/>
              </w:rPr>
              <w:t>Woda zarobowa do betonu. Specyfikacja pobierania próbek i ocena przydatności wody zarobowej do betonu, w tym wody odzyskanej z procesów produkcji betonu</w:t>
            </w:r>
          </w:p>
        </w:tc>
      </w:tr>
      <w:tr w:rsidR="008C66DB" w:rsidRPr="00A23FB4" w14:paraId="616DFFB5" w14:textId="77777777" w:rsidTr="008C66DB">
        <w:tc>
          <w:tcPr>
            <w:tcW w:w="637" w:type="dxa"/>
          </w:tcPr>
          <w:p w14:paraId="068A280E" w14:textId="77777777" w:rsidR="008C66DB" w:rsidRPr="00A23FB4" w:rsidRDefault="008C66DB" w:rsidP="008C66DB">
            <w:pPr>
              <w:tabs>
                <w:tab w:val="left" w:pos="9914"/>
              </w:tabs>
              <w:rPr>
                <w:rFonts w:ascii="Calibri" w:hAnsi="Calibri" w:cs="Calibri"/>
                <w:sz w:val="18"/>
                <w:szCs w:val="18"/>
              </w:rPr>
            </w:pPr>
            <w:r w:rsidRPr="00A23FB4">
              <w:rPr>
                <w:rFonts w:ascii="Calibri" w:hAnsi="Calibri" w:cs="Calibri"/>
                <w:sz w:val="18"/>
                <w:szCs w:val="18"/>
              </w:rPr>
              <w:t xml:space="preserve">  7.</w:t>
            </w:r>
          </w:p>
        </w:tc>
        <w:tc>
          <w:tcPr>
            <w:tcW w:w="1843" w:type="dxa"/>
          </w:tcPr>
          <w:p w14:paraId="7D2F4C8A" w14:textId="77777777" w:rsidR="008C66DB" w:rsidRPr="00A23FB4" w:rsidRDefault="008C66DB" w:rsidP="008C66DB">
            <w:pPr>
              <w:tabs>
                <w:tab w:val="left" w:pos="9914"/>
              </w:tabs>
              <w:rPr>
                <w:rFonts w:ascii="Calibri" w:hAnsi="Calibri" w:cs="Calibri"/>
                <w:sz w:val="18"/>
                <w:szCs w:val="18"/>
              </w:rPr>
            </w:pPr>
            <w:r w:rsidRPr="00A23FB4">
              <w:rPr>
                <w:rFonts w:ascii="Calibri" w:hAnsi="Calibri" w:cs="Calibri"/>
                <w:sz w:val="18"/>
                <w:szCs w:val="18"/>
              </w:rPr>
              <w:t>PN-E-06314</w:t>
            </w:r>
          </w:p>
        </w:tc>
        <w:tc>
          <w:tcPr>
            <w:tcW w:w="7654" w:type="dxa"/>
          </w:tcPr>
          <w:p w14:paraId="1A9857D3" w14:textId="77777777" w:rsidR="008C66DB" w:rsidRPr="00A23FB4" w:rsidRDefault="008C66DB" w:rsidP="008C66DB">
            <w:pPr>
              <w:tabs>
                <w:tab w:val="left" w:pos="9914"/>
              </w:tabs>
              <w:rPr>
                <w:rFonts w:ascii="Calibri" w:hAnsi="Calibri" w:cs="Calibri"/>
                <w:sz w:val="18"/>
                <w:szCs w:val="18"/>
              </w:rPr>
            </w:pPr>
            <w:r w:rsidRPr="00A23FB4">
              <w:rPr>
                <w:rFonts w:ascii="Calibri" w:hAnsi="Calibri" w:cs="Calibri"/>
                <w:sz w:val="18"/>
                <w:szCs w:val="18"/>
              </w:rPr>
              <w:t>Elektryczne oprawy oświetlenia zewnętrznego</w:t>
            </w:r>
          </w:p>
        </w:tc>
      </w:tr>
      <w:tr w:rsidR="008C66DB" w:rsidRPr="00A23FB4" w14:paraId="1DEBD127" w14:textId="77777777" w:rsidTr="008C66DB">
        <w:tc>
          <w:tcPr>
            <w:tcW w:w="637" w:type="dxa"/>
          </w:tcPr>
          <w:p w14:paraId="53F7BC96" w14:textId="77777777" w:rsidR="008C66DB" w:rsidRPr="00A23FB4" w:rsidRDefault="008C66DB" w:rsidP="008C66DB">
            <w:pPr>
              <w:tabs>
                <w:tab w:val="left" w:pos="9914"/>
              </w:tabs>
              <w:rPr>
                <w:rFonts w:ascii="Calibri" w:hAnsi="Calibri" w:cs="Calibri"/>
                <w:sz w:val="18"/>
                <w:szCs w:val="18"/>
              </w:rPr>
            </w:pPr>
            <w:r w:rsidRPr="00A23FB4">
              <w:rPr>
                <w:rFonts w:ascii="Calibri" w:hAnsi="Calibri" w:cs="Calibri"/>
                <w:sz w:val="18"/>
                <w:szCs w:val="18"/>
              </w:rPr>
              <w:t xml:space="preserve">  8.</w:t>
            </w:r>
          </w:p>
        </w:tc>
        <w:tc>
          <w:tcPr>
            <w:tcW w:w="1843" w:type="dxa"/>
          </w:tcPr>
          <w:p w14:paraId="620AADAB" w14:textId="77777777" w:rsidR="008C66DB" w:rsidRPr="00A23FB4" w:rsidRDefault="008C66DB" w:rsidP="008C66DB">
            <w:pPr>
              <w:tabs>
                <w:tab w:val="left" w:pos="9914"/>
              </w:tabs>
              <w:rPr>
                <w:rFonts w:ascii="Calibri" w:hAnsi="Calibri" w:cs="Calibri"/>
                <w:sz w:val="18"/>
                <w:szCs w:val="18"/>
              </w:rPr>
            </w:pPr>
            <w:r w:rsidRPr="00A23FB4">
              <w:rPr>
                <w:rFonts w:ascii="Calibri" w:hAnsi="Calibri" w:cs="Calibri"/>
                <w:sz w:val="18"/>
                <w:szCs w:val="18"/>
              </w:rPr>
              <w:t>PN-H-04651</w:t>
            </w:r>
          </w:p>
        </w:tc>
        <w:tc>
          <w:tcPr>
            <w:tcW w:w="7654" w:type="dxa"/>
          </w:tcPr>
          <w:p w14:paraId="4EB55788" w14:textId="77777777" w:rsidR="008C66DB" w:rsidRPr="00A23FB4" w:rsidRDefault="008C66DB" w:rsidP="008C66DB">
            <w:pPr>
              <w:tabs>
                <w:tab w:val="left" w:pos="9914"/>
              </w:tabs>
              <w:rPr>
                <w:rFonts w:ascii="Calibri" w:hAnsi="Calibri" w:cs="Calibri"/>
                <w:sz w:val="18"/>
                <w:szCs w:val="18"/>
              </w:rPr>
            </w:pPr>
            <w:r w:rsidRPr="00A23FB4">
              <w:rPr>
                <w:rFonts w:ascii="Calibri" w:hAnsi="Calibri" w:cs="Calibri"/>
                <w:sz w:val="18"/>
                <w:szCs w:val="18"/>
              </w:rPr>
              <w:t>Ochrona przed korozją. Klasyfikacja i określenie agresywności korozyjnej środowiska</w:t>
            </w:r>
          </w:p>
        </w:tc>
      </w:tr>
      <w:tr w:rsidR="008C66DB" w:rsidRPr="00A23FB4" w14:paraId="7DBB3BE8" w14:textId="77777777" w:rsidTr="008C66DB">
        <w:tc>
          <w:tcPr>
            <w:tcW w:w="637" w:type="dxa"/>
          </w:tcPr>
          <w:p w14:paraId="7AC38959" w14:textId="77777777" w:rsidR="008C66DB" w:rsidRPr="00A23FB4" w:rsidRDefault="008C66DB" w:rsidP="008C66DB">
            <w:pPr>
              <w:tabs>
                <w:tab w:val="left" w:pos="9914"/>
              </w:tabs>
              <w:rPr>
                <w:rFonts w:ascii="Calibri" w:hAnsi="Calibri" w:cs="Calibri"/>
                <w:sz w:val="18"/>
                <w:szCs w:val="18"/>
              </w:rPr>
            </w:pPr>
            <w:r w:rsidRPr="00A23FB4">
              <w:rPr>
                <w:rFonts w:ascii="Calibri" w:hAnsi="Calibri" w:cs="Calibri"/>
                <w:sz w:val="18"/>
                <w:szCs w:val="18"/>
              </w:rPr>
              <w:t xml:space="preserve">  9.</w:t>
            </w:r>
          </w:p>
        </w:tc>
        <w:tc>
          <w:tcPr>
            <w:tcW w:w="1843" w:type="dxa"/>
          </w:tcPr>
          <w:p w14:paraId="3A7926C6" w14:textId="77777777" w:rsidR="008C66DB" w:rsidRPr="00A23FB4" w:rsidRDefault="008C66DB" w:rsidP="008C66DB">
            <w:pPr>
              <w:tabs>
                <w:tab w:val="left" w:pos="9914"/>
              </w:tabs>
              <w:rPr>
                <w:rFonts w:ascii="Calibri" w:hAnsi="Calibri" w:cs="Calibri"/>
                <w:sz w:val="18"/>
                <w:szCs w:val="18"/>
              </w:rPr>
            </w:pPr>
            <w:r w:rsidRPr="00A23FB4">
              <w:rPr>
                <w:rFonts w:ascii="Calibri" w:hAnsi="Calibri" w:cs="Calibri"/>
                <w:sz w:val="18"/>
                <w:szCs w:val="18"/>
              </w:rPr>
              <w:t>PN-H-74219</w:t>
            </w:r>
          </w:p>
        </w:tc>
        <w:tc>
          <w:tcPr>
            <w:tcW w:w="7654" w:type="dxa"/>
          </w:tcPr>
          <w:p w14:paraId="54D1551E" w14:textId="77777777" w:rsidR="008C66DB" w:rsidRPr="00A23FB4" w:rsidRDefault="008C66DB" w:rsidP="008C66DB">
            <w:pPr>
              <w:tabs>
                <w:tab w:val="left" w:pos="9914"/>
              </w:tabs>
              <w:rPr>
                <w:rFonts w:ascii="Calibri" w:hAnsi="Calibri" w:cs="Calibri"/>
                <w:sz w:val="18"/>
                <w:szCs w:val="18"/>
              </w:rPr>
            </w:pPr>
            <w:r w:rsidRPr="00A23FB4">
              <w:rPr>
                <w:rFonts w:ascii="Calibri" w:hAnsi="Calibri" w:cs="Calibri"/>
                <w:sz w:val="18"/>
                <w:szCs w:val="18"/>
              </w:rPr>
              <w:t>Rury stalowe bez szwu walcowane na gorąco ogólnego zastosowania</w:t>
            </w:r>
          </w:p>
        </w:tc>
      </w:tr>
      <w:tr w:rsidR="008C66DB" w:rsidRPr="00A23FB4" w14:paraId="17084C98" w14:textId="77777777" w:rsidTr="008C66DB">
        <w:tc>
          <w:tcPr>
            <w:tcW w:w="637" w:type="dxa"/>
          </w:tcPr>
          <w:p w14:paraId="12F63596" w14:textId="77777777" w:rsidR="008C66DB" w:rsidRPr="00A23FB4" w:rsidRDefault="008C66DB" w:rsidP="008C66DB">
            <w:pPr>
              <w:tabs>
                <w:tab w:val="left" w:pos="9914"/>
              </w:tabs>
              <w:rPr>
                <w:rFonts w:ascii="Calibri" w:hAnsi="Calibri" w:cs="Calibri"/>
                <w:sz w:val="18"/>
                <w:szCs w:val="18"/>
              </w:rPr>
            </w:pPr>
            <w:r w:rsidRPr="00A23FB4">
              <w:rPr>
                <w:rFonts w:ascii="Calibri" w:hAnsi="Calibri" w:cs="Calibri"/>
                <w:sz w:val="18"/>
                <w:szCs w:val="18"/>
              </w:rPr>
              <w:t>10.</w:t>
            </w:r>
          </w:p>
        </w:tc>
        <w:tc>
          <w:tcPr>
            <w:tcW w:w="1843" w:type="dxa"/>
          </w:tcPr>
          <w:p w14:paraId="0A726A2D" w14:textId="77777777" w:rsidR="008C66DB" w:rsidRPr="00A23FB4" w:rsidRDefault="008C66DB" w:rsidP="008C66DB">
            <w:pPr>
              <w:tabs>
                <w:tab w:val="left" w:pos="9914"/>
              </w:tabs>
              <w:rPr>
                <w:rFonts w:ascii="Calibri" w:hAnsi="Calibri" w:cs="Calibri"/>
                <w:sz w:val="18"/>
                <w:szCs w:val="18"/>
              </w:rPr>
            </w:pPr>
            <w:r w:rsidRPr="00A23FB4">
              <w:rPr>
                <w:rFonts w:ascii="Calibri" w:hAnsi="Calibri" w:cs="Calibri"/>
                <w:sz w:val="18"/>
                <w:szCs w:val="18"/>
              </w:rPr>
              <w:t>PN-H-74220</w:t>
            </w:r>
          </w:p>
        </w:tc>
        <w:tc>
          <w:tcPr>
            <w:tcW w:w="7654" w:type="dxa"/>
          </w:tcPr>
          <w:p w14:paraId="625FFA0A" w14:textId="77777777" w:rsidR="008C66DB" w:rsidRPr="00A23FB4" w:rsidRDefault="008C66DB" w:rsidP="008C66DB">
            <w:pPr>
              <w:tabs>
                <w:tab w:val="left" w:pos="9914"/>
              </w:tabs>
              <w:rPr>
                <w:rFonts w:ascii="Calibri" w:hAnsi="Calibri" w:cs="Calibri"/>
                <w:sz w:val="18"/>
                <w:szCs w:val="18"/>
              </w:rPr>
            </w:pPr>
            <w:r w:rsidRPr="00A23FB4">
              <w:rPr>
                <w:rFonts w:ascii="Calibri" w:hAnsi="Calibri" w:cs="Calibri"/>
                <w:sz w:val="18"/>
                <w:szCs w:val="18"/>
              </w:rPr>
              <w:t>Rury stalowe bez szwu ciągnione i walcowane na zimno ogólnego przeznaczenia</w:t>
            </w:r>
          </w:p>
        </w:tc>
      </w:tr>
      <w:tr w:rsidR="008C66DB" w:rsidRPr="00A23FB4" w14:paraId="2CD15495" w14:textId="77777777" w:rsidTr="008C66DB">
        <w:tc>
          <w:tcPr>
            <w:tcW w:w="637" w:type="dxa"/>
          </w:tcPr>
          <w:p w14:paraId="346F1978" w14:textId="77777777" w:rsidR="008C66DB" w:rsidRPr="00A23FB4" w:rsidRDefault="008C66DB" w:rsidP="008C66DB">
            <w:pPr>
              <w:tabs>
                <w:tab w:val="left" w:pos="9914"/>
              </w:tabs>
              <w:rPr>
                <w:rFonts w:ascii="Calibri" w:hAnsi="Calibri" w:cs="Calibri"/>
                <w:sz w:val="18"/>
                <w:szCs w:val="18"/>
              </w:rPr>
            </w:pPr>
            <w:r w:rsidRPr="00A23FB4">
              <w:rPr>
                <w:rFonts w:ascii="Calibri" w:hAnsi="Calibri" w:cs="Calibri"/>
                <w:sz w:val="18"/>
                <w:szCs w:val="18"/>
              </w:rPr>
              <w:t>11.</w:t>
            </w:r>
          </w:p>
        </w:tc>
        <w:tc>
          <w:tcPr>
            <w:tcW w:w="1843" w:type="dxa"/>
          </w:tcPr>
          <w:p w14:paraId="2530D78E" w14:textId="77777777" w:rsidR="008C66DB" w:rsidRPr="00A23FB4" w:rsidRDefault="008C66DB" w:rsidP="008C66DB">
            <w:pPr>
              <w:tabs>
                <w:tab w:val="left" w:pos="9914"/>
              </w:tabs>
              <w:rPr>
                <w:rFonts w:ascii="Calibri" w:hAnsi="Calibri" w:cs="Calibri"/>
                <w:sz w:val="18"/>
                <w:szCs w:val="18"/>
              </w:rPr>
            </w:pPr>
            <w:r w:rsidRPr="00A23FB4">
              <w:rPr>
                <w:rFonts w:ascii="Calibri" w:hAnsi="Calibri" w:cs="Calibri"/>
                <w:sz w:val="18"/>
                <w:szCs w:val="18"/>
              </w:rPr>
              <w:t>PN-H-82200</w:t>
            </w:r>
          </w:p>
        </w:tc>
        <w:tc>
          <w:tcPr>
            <w:tcW w:w="7654" w:type="dxa"/>
          </w:tcPr>
          <w:p w14:paraId="5DCA1696" w14:textId="77777777" w:rsidR="008C66DB" w:rsidRPr="00A23FB4" w:rsidRDefault="008C66DB" w:rsidP="008C66DB">
            <w:pPr>
              <w:tabs>
                <w:tab w:val="left" w:pos="9914"/>
              </w:tabs>
              <w:rPr>
                <w:rFonts w:ascii="Calibri" w:hAnsi="Calibri" w:cs="Calibri"/>
                <w:sz w:val="18"/>
                <w:szCs w:val="18"/>
              </w:rPr>
            </w:pPr>
            <w:r w:rsidRPr="00A23FB4">
              <w:rPr>
                <w:rFonts w:ascii="Calibri" w:hAnsi="Calibri" w:cs="Calibri"/>
                <w:sz w:val="18"/>
                <w:szCs w:val="18"/>
              </w:rPr>
              <w:t>Cynk</w:t>
            </w:r>
          </w:p>
        </w:tc>
      </w:tr>
      <w:tr w:rsidR="008C66DB" w:rsidRPr="00A23FB4" w14:paraId="2354D609" w14:textId="77777777" w:rsidTr="008C66DB">
        <w:tc>
          <w:tcPr>
            <w:tcW w:w="637" w:type="dxa"/>
          </w:tcPr>
          <w:p w14:paraId="75A694AB" w14:textId="77777777" w:rsidR="008C66DB" w:rsidRPr="00A23FB4" w:rsidRDefault="008C66DB" w:rsidP="008C66DB">
            <w:pPr>
              <w:tabs>
                <w:tab w:val="left" w:pos="9914"/>
              </w:tabs>
              <w:rPr>
                <w:rFonts w:ascii="Calibri" w:hAnsi="Calibri" w:cs="Calibri"/>
                <w:sz w:val="18"/>
                <w:szCs w:val="18"/>
              </w:rPr>
            </w:pPr>
            <w:r w:rsidRPr="00A23FB4">
              <w:rPr>
                <w:rFonts w:ascii="Calibri" w:hAnsi="Calibri" w:cs="Calibri"/>
                <w:sz w:val="18"/>
                <w:szCs w:val="18"/>
              </w:rPr>
              <w:t>12.</w:t>
            </w:r>
          </w:p>
        </w:tc>
        <w:tc>
          <w:tcPr>
            <w:tcW w:w="1843" w:type="dxa"/>
          </w:tcPr>
          <w:p w14:paraId="12A25B56" w14:textId="77777777" w:rsidR="008C66DB" w:rsidRPr="00A23FB4" w:rsidRDefault="008C66DB" w:rsidP="008C66DB">
            <w:pPr>
              <w:tabs>
                <w:tab w:val="left" w:pos="9914"/>
              </w:tabs>
              <w:rPr>
                <w:rFonts w:ascii="Calibri" w:hAnsi="Calibri" w:cs="Calibri"/>
                <w:sz w:val="18"/>
                <w:szCs w:val="18"/>
              </w:rPr>
            </w:pPr>
            <w:r w:rsidRPr="00A23FB4">
              <w:rPr>
                <w:rFonts w:ascii="Calibri" w:hAnsi="Calibri" w:cs="Calibri"/>
                <w:sz w:val="18"/>
                <w:szCs w:val="18"/>
              </w:rPr>
              <w:t>PN-H-84018</w:t>
            </w:r>
          </w:p>
        </w:tc>
        <w:tc>
          <w:tcPr>
            <w:tcW w:w="7654" w:type="dxa"/>
          </w:tcPr>
          <w:p w14:paraId="7996A56A" w14:textId="77777777" w:rsidR="008C66DB" w:rsidRPr="00A23FB4" w:rsidRDefault="008C66DB" w:rsidP="008C66DB">
            <w:pPr>
              <w:tabs>
                <w:tab w:val="left" w:pos="9914"/>
              </w:tabs>
              <w:rPr>
                <w:rFonts w:ascii="Calibri" w:hAnsi="Calibri" w:cs="Calibri"/>
                <w:sz w:val="18"/>
                <w:szCs w:val="18"/>
              </w:rPr>
            </w:pPr>
            <w:r w:rsidRPr="00A23FB4">
              <w:rPr>
                <w:rFonts w:ascii="Calibri" w:hAnsi="Calibri" w:cs="Calibri"/>
                <w:sz w:val="18"/>
                <w:szCs w:val="18"/>
              </w:rPr>
              <w:t>Stal niskostopowa o podwyższonej wytrzymałości. Gatunki</w:t>
            </w:r>
          </w:p>
        </w:tc>
      </w:tr>
      <w:tr w:rsidR="008C66DB" w:rsidRPr="00A23FB4" w14:paraId="4F961521" w14:textId="77777777" w:rsidTr="008C66DB">
        <w:tc>
          <w:tcPr>
            <w:tcW w:w="637" w:type="dxa"/>
          </w:tcPr>
          <w:p w14:paraId="08A3DAEF" w14:textId="77777777" w:rsidR="008C66DB" w:rsidRPr="00A23FB4" w:rsidRDefault="008C66DB" w:rsidP="008C66DB">
            <w:pPr>
              <w:tabs>
                <w:tab w:val="left" w:pos="9914"/>
              </w:tabs>
              <w:rPr>
                <w:rFonts w:ascii="Calibri" w:hAnsi="Calibri" w:cs="Calibri"/>
                <w:sz w:val="18"/>
                <w:szCs w:val="18"/>
              </w:rPr>
            </w:pPr>
            <w:r w:rsidRPr="00A23FB4">
              <w:rPr>
                <w:rFonts w:ascii="Calibri" w:hAnsi="Calibri" w:cs="Calibri"/>
                <w:sz w:val="18"/>
                <w:szCs w:val="18"/>
              </w:rPr>
              <w:t>13.</w:t>
            </w:r>
          </w:p>
        </w:tc>
        <w:tc>
          <w:tcPr>
            <w:tcW w:w="1843" w:type="dxa"/>
          </w:tcPr>
          <w:p w14:paraId="1112B721" w14:textId="77777777" w:rsidR="008C66DB" w:rsidRPr="00A23FB4" w:rsidRDefault="008C66DB" w:rsidP="008C66DB">
            <w:pPr>
              <w:tabs>
                <w:tab w:val="left" w:pos="9914"/>
              </w:tabs>
              <w:rPr>
                <w:rFonts w:ascii="Calibri" w:hAnsi="Calibri" w:cs="Calibri"/>
                <w:sz w:val="18"/>
                <w:szCs w:val="18"/>
              </w:rPr>
            </w:pPr>
            <w:r w:rsidRPr="00A23FB4">
              <w:rPr>
                <w:rFonts w:ascii="Calibri" w:hAnsi="Calibri" w:cs="Calibri"/>
                <w:sz w:val="18"/>
                <w:szCs w:val="18"/>
              </w:rPr>
              <w:t>PN-H-84019</w:t>
            </w:r>
          </w:p>
        </w:tc>
        <w:tc>
          <w:tcPr>
            <w:tcW w:w="7654" w:type="dxa"/>
          </w:tcPr>
          <w:p w14:paraId="1608183A" w14:textId="77777777" w:rsidR="008C66DB" w:rsidRPr="00A23FB4" w:rsidRDefault="008C66DB" w:rsidP="008C66DB">
            <w:pPr>
              <w:tabs>
                <w:tab w:val="left" w:pos="9914"/>
              </w:tabs>
              <w:rPr>
                <w:rFonts w:ascii="Calibri" w:hAnsi="Calibri" w:cs="Calibri"/>
                <w:sz w:val="18"/>
                <w:szCs w:val="18"/>
              </w:rPr>
            </w:pPr>
            <w:r w:rsidRPr="00A23FB4">
              <w:rPr>
                <w:rFonts w:ascii="Calibri" w:hAnsi="Calibri" w:cs="Calibri"/>
                <w:sz w:val="18"/>
                <w:szCs w:val="18"/>
              </w:rPr>
              <w:t>Stal niestopowa do utwardzania powierzchniowego i ulepszania cieplnego. Gatunki</w:t>
            </w:r>
          </w:p>
        </w:tc>
      </w:tr>
      <w:tr w:rsidR="008C66DB" w:rsidRPr="00A23FB4" w14:paraId="66AAA776" w14:textId="77777777" w:rsidTr="008C66DB">
        <w:tc>
          <w:tcPr>
            <w:tcW w:w="637" w:type="dxa"/>
          </w:tcPr>
          <w:p w14:paraId="4BB56556" w14:textId="77777777" w:rsidR="008C66DB" w:rsidRPr="00A23FB4" w:rsidRDefault="008C66DB" w:rsidP="008C66DB">
            <w:pPr>
              <w:tabs>
                <w:tab w:val="left" w:pos="9914"/>
              </w:tabs>
              <w:rPr>
                <w:rFonts w:ascii="Calibri" w:hAnsi="Calibri" w:cs="Calibri"/>
                <w:sz w:val="18"/>
                <w:szCs w:val="18"/>
              </w:rPr>
            </w:pPr>
            <w:r w:rsidRPr="00A23FB4">
              <w:rPr>
                <w:rFonts w:ascii="Calibri" w:hAnsi="Calibri" w:cs="Calibri"/>
                <w:sz w:val="18"/>
                <w:szCs w:val="18"/>
              </w:rPr>
              <w:t>14.</w:t>
            </w:r>
          </w:p>
        </w:tc>
        <w:tc>
          <w:tcPr>
            <w:tcW w:w="1843" w:type="dxa"/>
          </w:tcPr>
          <w:p w14:paraId="08FD5FA0" w14:textId="77777777" w:rsidR="008C66DB" w:rsidRPr="00A23FB4" w:rsidRDefault="008C66DB" w:rsidP="008C66DB">
            <w:pPr>
              <w:tabs>
                <w:tab w:val="left" w:pos="9914"/>
              </w:tabs>
              <w:rPr>
                <w:rFonts w:ascii="Calibri" w:hAnsi="Calibri" w:cs="Calibri"/>
                <w:sz w:val="18"/>
                <w:szCs w:val="18"/>
              </w:rPr>
            </w:pPr>
            <w:r w:rsidRPr="00A23FB4">
              <w:rPr>
                <w:rFonts w:ascii="Calibri" w:hAnsi="Calibri" w:cs="Calibri"/>
                <w:sz w:val="18"/>
                <w:szCs w:val="18"/>
              </w:rPr>
              <w:t>PN-H-84020</w:t>
            </w:r>
          </w:p>
        </w:tc>
        <w:tc>
          <w:tcPr>
            <w:tcW w:w="7654" w:type="dxa"/>
          </w:tcPr>
          <w:p w14:paraId="7B4A2642" w14:textId="77777777" w:rsidR="008C66DB" w:rsidRPr="00A23FB4" w:rsidRDefault="008C66DB" w:rsidP="008C66DB">
            <w:pPr>
              <w:tabs>
                <w:tab w:val="left" w:pos="9914"/>
              </w:tabs>
              <w:rPr>
                <w:rFonts w:ascii="Calibri" w:hAnsi="Calibri" w:cs="Calibri"/>
                <w:sz w:val="18"/>
                <w:szCs w:val="18"/>
              </w:rPr>
            </w:pPr>
            <w:r w:rsidRPr="00A23FB4">
              <w:rPr>
                <w:rFonts w:ascii="Calibri" w:hAnsi="Calibri" w:cs="Calibri"/>
                <w:sz w:val="18"/>
                <w:szCs w:val="18"/>
              </w:rPr>
              <w:t>Stal niestopowa konstrukcyjna ogólnego przeznaczenia. Gatunki</w:t>
            </w:r>
          </w:p>
        </w:tc>
      </w:tr>
      <w:tr w:rsidR="008C66DB" w:rsidRPr="00A23FB4" w14:paraId="1847FA7D" w14:textId="77777777" w:rsidTr="008C66DB">
        <w:tc>
          <w:tcPr>
            <w:tcW w:w="637" w:type="dxa"/>
          </w:tcPr>
          <w:p w14:paraId="3BE752E0" w14:textId="77777777" w:rsidR="008C66DB" w:rsidRPr="00A23FB4" w:rsidRDefault="008C66DB" w:rsidP="008C66DB">
            <w:pPr>
              <w:tabs>
                <w:tab w:val="left" w:pos="9914"/>
              </w:tabs>
              <w:rPr>
                <w:rFonts w:ascii="Calibri" w:hAnsi="Calibri" w:cs="Calibri"/>
                <w:sz w:val="18"/>
                <w:szCs w:val="18"/>
              </w:rPr>
            </w:pPr>
            <w:r w:rsidRPr="00A23FB4">
              <w:rPr>
                <w:rFonts w:ascii="Calibri" w:hAnsi="Calibri" w:cs="Calibri"/>
                <w:sz w:val="18"/>
                <w:szCs w:val="18"/>
              </w:rPr>
              <w:t>15.</w:t>
            </w:r>
          </w:p>
        </w:tc>
        <w:tc>
          <w:tcPr>
            <w:tcW w:w="1843" w:type="dxa"/>
          </w:tcPr>
          <w:p w14:paraId="346342A1" w14:textId="77777777" w:rsidR="008C66DB" w:rsidRPr="00A23FB4" w:rsidRDefault="008C66DB" w:rsidP="008C66DB">
            <w:pPr>
              <w:tabs>
                <w:tab w:val="left" w:pos="9914"/>
              </w:tabs>
              <w:rPr>
                <w:rFonts w:ascii="Calibri" w:hAnsi="Calibri" w:cs="Calibri"/>
                <w:sz w:val="18"/>
                <w:szCs w:val="18"/>
              </w:rPr>
            </w:pPr>
            <w:r w:rsidRPr="00A23FB4">
              <w:rPr>
                <w:rFonts w:ascii="Calibri" w:hAnsi="Calibri" w:cs="Calibri"/>
                <w:sz w:val="18"/>
                <w:szCs w:val="18"/>
              </w:rPr>
              <w:t>PN-H-84023-07</w:t>
            </w:r>
          </w:p>
        </w:tc>
        <w:tc>
          <w:tcPr>
            <w:tcW w:w="7654" w:type="dxa"/>
          </w:tcPr>
          <w:p w14:paraId="5EFFD980" w14:textId="77777777" w:rsidR="008C66DB" w:rsidRPr="00A23FB4" w:rsidRDefault="008C66DB" w:rsidP="008C66DB">
            <w:pPr>
              <w:tabs>
                <w:tab w:val="left" w:pos="9914"/>
              </w:tabs>
              <w:rPr>
                <w:rFonts w:ascii="Calibri" w:hAnsi="Calibri" w:cs="Calibri"/>
                <w:sz w:val="18"/>
                <w:szCs w:val="18"/>
              </w:rPr>
            </w:pPr>
            <w:r w:rsidRPr="00A23FB4">
              <w:rPr>
                <w:rFonts w:ascii="Calibri" w:hAnsi="Calibri" w:cs="Calibri"/>
                <w:sz w:val="18"/>
                <w:szCs w:val="18"/>
              </w:rPr>
              <w:t>Stal określonego zastosowania. Stal na rury. Gatunki</w:t>
            </w:r>
          </w:p>
        </w:tc>
      </w:tr>
      <w:tr w:rsidR="008C66DB" w:rsidRPr="00A23FB4" w14:paraId="6DD54643" w14:textId="77777777" w:rsidTr="008C66DB">
        <w:tc>
          <w:tcPr>
            <w:tcW w:w="637" w:type="dxa"/>
          </w:tcPr>
          <w:p w14:paraId="1C6151F9" w14:textId="77777777" w:rsidR="008C66DB" w:rsidRPr="00A23FB4" w:rsidRDefault="008C66DB" w:rsidP="008C66DB">
            <w:pPr>
              <w:tabs>
                <w:tab w:val="left" w:pos="9914"/>
              </w:tabs>
              <w:rPr>
                <w:rFonts w:ascii="Calibri" w:hAnsi="Calibri" w:cs="Calibri"/>
                <w:sz w:val="18"/>
                <w:szCs w:val="18"/>
              </w:rPr>
            </w:pPr>
            <w:r w:rsidRPr="00A23FB4">
              <w:rPr>
                <w:rFonts w:ascii="Calibri" w:hAnsi="Calibri" w:cs="Calibri"/>
                <w:sz w:val="18"/>
                <w:szCs w:val="18"/>
              </w:rPr>
              <w:t>16.</w:t>
            </w:r>
          </w:p>
        </w:tc>
        <w:tc>
          <w:tcPr>
            <w:tcW w:w="1843" w:type="dxa"/>
          </w:tcPr>
          <w:p w14:paraId="5C9278A6" w14:textId="77777777" w:rsidR="008C66DB" w:rsidRPr="00A23FB4" w:rsidRDefault="008C66DB" w:rsidP="008C66DB">
            <w:pPr>
              <w:tabs>
                <w:tab w:val="left" w:pos="9914"/>
              </w:tabs>
              <w:rPr>
                <w:rFonts w:ascii="Calibri" w:hAnsi="Calibri" w:cs="Calibri"/>
                <w:sz w:val="18"/>
                <w:szCs w:val="18"/>
              </w:rPr>
            </w:pPr>
            <w:r w:rsidRPr="00A23FB4">
              <w:rPr>
                <w:rFonts w:ascii="Calibri" w:hAnsi="Calibri" w:cs="Calibri"/>
                <w:sz w:val="18"/>
                <w:szCs w:val="18"/>
              </w:rPr>
              <w:t>PN-H-84030-02</w:t>
            </w:r>
          </w:p>
        </w:tc>
        <w:tc>
          <w:tcPr>
            <w:tcW w:w="7654" w:type="dxa"/>
          </w:tcPr>
          <w:p w14:paraId="7A2B652C" w14:textId="77777777" w:rsidR="008C66DB" w:rsidRPr="00A23FB4" w:rsidRDefault="008C66DB" w:rsidP="008C66DB">
            <w:pPr>
              <w:tabs>
                <w:tab w:val="left" w:pos="9914"/>
              </w:tabs>
              <w:rPr>
                <w:rFonts w:ascii="Calibri" w:hAnsi="Calibri" w:cs="Calibri"/>
                <w:sz w:val="18"/>
                <w:szCs w:val="18"/>
              </w:rPr>
            </w:pPr>
            <w:r w:rsidRPr="00A23FB4">
              <w:rPr>
                <w:rFonts w:ascii="Calibri" w:hAnsi="Calibri" w:cs="Calibri"/>
                <w:sz w:val="18"/>
                <w:szCs w:val="18"/>
              </w:rPr>
              <w:t>Stal stopowa konstrukcyjna. Stal do nawęglania. Gatunki</w:t>
            </w:r>
          </w:p>
        </w:tc>
      </w:tr>
      <w:tr w:rsidR="008C66DB" w:rsidRPr="00A23FB4" w14:paraId="45ACF963" w14:textId="77777777" w:rsidTr="008C66DB">
        <w:tc>
          <w:tcPr>
            <w:tcW w:w="637" w:type="dxa"/>
          </w:tcPr>
          <w:p w14:paraId="29F56D28" w14:textId="77777777" w:rsidR="008C66DB" w:rsidRPr="00A23FB4" w:rsidRDefault="008C66DB" w:rsidP="008C66DB">
            <w:pPr>
              <w:tabs>
                <w:tab w:val="left" w:pos="9914"/>
              </w:tabs>
              <w:rPr>
                <w:rFonts w:ascii="Calibri" w:hAnsi="Calibri" w:cs="Calibri"/>
                <w:sz w:val="18"/>
                <w:szCs w:val="18"/>
              </w:rPr>
            </w:pPr>
            <w:r w:rsidRPr="00A23FB4">
              <w:rPr>
                <w:rFonts w:ascii="Calibri" w:hAnsi="Calibri" w:cs="Calibri"/>
                <w:sz w:val="18"/>
                <w:szCs w:val="18"/>
              </w:rPr>
              <w:t>17.</w:t>
            </w:r>
          </w:p>
        </w:tc>
        <w:tc>
          <w:tcPr>
            <w:tcW w:w="1843" w:type="dxa"/>
          </w:tcPr>
          <w:p w14:paraId="476951E6" w14:textId="77777777" w:rsidR="008C66DB" w:rsidRPr="00A23FB4" w:rsidRDefault="008C66DB" w:rsidP="008C66DB">
            <w:pPr>
              <w:tabs>
                <w:tab w:val="left" w:pos="9914"/>
              </w:tabs>
              <w:rPr>
                <w:rFonts w:ascii="Calibri" w:hAnsi="Calibri" w:cs="Calibri"/>
                <w:sz w:val="18"/>
                <w:szCs w:val="18"/>
              </w:rPr>
            </w:pPr>
            <w:r w:rsidRPr="00A23FB4">
              <w:rPr>
                <w:rFonts w:ascii="Calibri" w:hAnsi="Calibri" w:cs="Calibri"/>
                <w:sz w:val="18"/>
                <w:szCs w:val="18"/>
              </w:rPr>
              <w:t>PN-H-93010</w:t>
            </w:r>
          </w:p>
        </w:tc>
        <w:tc>
          <w:tcPr>
            <w:tcW w:w="7654" w:type="dxa"/>
          </w:tcPr>
          <w:p w14:paraId="2E77D180" w14:textId="77777777" w:rsidR="008C66DB" w:rsidRPr="00A23FB4" w:rsidRDefault="008C66DB" w:rsidP="008C66DB">
            <w:pPr>
              <w:tabs>
                <w:tab w:val="left" w:pos="9914"/>
              </w:tabs>
              <w:rPr>
                <w:rFonts w:ascii="Calibri" w:hAnsi="Calibri" w:cs="Calibri"/>
                <w:sz w:val="18"/>
                <w:szCs w:val="18"/>
              </w:rPr>
            </w:pPr>
            <w:r w:rsidRPr="00A23FB4">
              <w:rPr>
                <w:rFonts w:ascii="Calibri" w:hAnsi="Calibri" w:cs="Calibri"/>
                <w:sz w:val="18"/>
                <w:szCs w:val="18"/>
              </w:rPr>
              <w:t>Stal. Kształtowniki walcowane na gorąco</w:t>
            </w:r>
          </w:p>
        </w:tc>
      </w:tr>
      <w:tr w:rsidR="008C66DB" w:rsidRPr="00A23FB4" w14:paraId="7D8C09A6" w14:textId="77777777" w:rsidTr="008C66DB">
        <w:tc>
          <w:tcPr>
            <w:tcW w:w="637" w:type="dxa"/>
          </w:tcPr>
          <w:p w14:paraId="17E8154C" w14:textId="77777777" w:rsidR="008C66DB" w:rsidRPr="00A23FB4" w:rsidRDefault="008C66DB" w:rsidP="008C66DB">
            <w:pPr>
              <w:tabs>
                <w:tab w:val="left" w:pos="9914"/>
              </w:tabs>
              <w:rPr>
                <w:rFonts w:ascii="Calibri" w:hAnsi="Calibri" w:cs="Calibri"/>
                <w:sz w:val="18"/>
                <w:szCs w:val="18"/>
              </w:rPr>
            </w:pPr>
            <w:r w:rsidRPr="00A23FB4">
              <w:rPr>
                <w:rFonts w:ascii="Calibri" w:hAnsi="Calibri" w:cs="Calibri"/>
                <w:sz w:val="18"/>
                <w:szCs w:val="18"/>
              </w:rPr>
              <w:t>18.</w:t>
            </w:r>
          </w:p>
        </w:tc>
        <w:tc>
          <w:tcPr>
            <w:tcW w:w="1843" w:type="dxa"/>
          </w:tcPr>
          <w:p w14:paraId="3D85BF47" w14:textId="77777777" w:rsidR="008C66DB" w:rsidRPr="00A23FB4" w:rsidRDefault="008C66DB" w:rsidP="008C66DB">
            <w:pPr>
              <w:tabs>
                <w:tab w:val="left" w:pos="9914"/>
              </w:tabs>
              <w:rPr>
                <w:rFonts w:ascii="Calibri" w:hAnsi="Calibri" w:cs="Calibri"/>
                <w:sz w:val="18"/>
                <w:szCs w:val="18"/>
              </w:rPr>
            </w:pPr>
            <w:r w:rsidRPr="00A23FB4">
              <w:rPr>
                <w:rFonts w:ascii="Calibri" w:hAnsi="Calibri" w:cs="Calibri"/>
                <w:sz w:val="18"/>
                <w:szCs w:val="18"/>
              </w:rPr>
              <w:t>PN-H-93401</w:t>
            </w:r>
          </w:p>
        </w:tc>
        <w:tc>
          <w:tcPr>
            <w:tcW w:w="7654" w:type="dxa"/>
          </w:tcPr>
          <w:p w14:paraId="4F07E940" w14:textId="77777777" w:rsidR="008C66DB" w:rsidRPr="00A23FB4" w:rsidRDefault="008C66DB" w:rsidP="008C66DB">
            <w:pPr>
              <w:tabs>
                <w:tab w:val="left" w:pos="9914"/>
              </w:tabs>
              <w:rPr>
                <w:rFonts w:ascii="Calibri" w:hAnsi="Calibri" w:cs="Calibri"/>
                <w:sz w:val="18"/>
                <w:szCs w:val="18"/>
              </w:rPr>
            </w:pPr>
            <w:r w:rsidRPr="00A23FB4">
              <w:rPr>
                <w:rFonts w:ascii="Calibri" w:hAnsi="Calibri" w:cs="Calibri"/>
                <w:sz w:val="18"/>
                <w:szCs w:val="18"/>
              </w:rPr>
              <w:t>Stal walcowana. Kątowniki równoramienne</w:t>
            </w:r>
          </w:p>
        </w:tc>
      </w:tr>
      <w:tr w:rsidR="008C66DB" w:rsidRPr="00A23FB4" w14:paraId="26A9FF9C" w14:textId="77777777" w:rsidTr="008C66DB">
        <w:tc>
          <w:tcPr>
            <w:tcW w:w="637" w:type="dxa"/>
          </w:tcPr>
          <w:p w14:paraId="005B1780" w14:textId="77777777" w:rsidR="008C66DB" w:rsidRPr="00A23FB4" w:rsidRDefault="008C66DB" w:rsidP="008C66DB">
            <w:pPr>
              <w:tabs>
                <w:tab w:val="left" w:pos="9914"/>
              </w:tabs>
              <w:rPr>
                <w:rFonts w:ascii="Calibri" w:hAnsi="Calibri" w:cs="Calibri"/>
                <w:sz w:val="18"/>
                <w:szCs w:val="18"/>
              </w:rPr>
            </w:pPr>
            <w:r w:rsidRPr="00A23FB4">
              <w:rPr>
                <w:rFonts w:ascii="Calibri" w:hAnsi="Calibri" w:cs="Calibri"/>
                <w:sz w:val="18"/>
                <w:szCs w:val="18"/>
              </w:rPr>
              <w:t>19.</w:t>
            </w:r>
          </w:p>
        </w:tc>
        <w:tc>
          <w:tcPr>
            <w:tcW w:w="1843" w:type="dxa"/>
          </w:tcPr>
          <w:p w14:paraId="41A13615" w14:textId="77777777" w:rsidR="008C66DB" w:rsidRPr="00A23FB4" w:rsidRDefault="008C66DB" w:rsidP="008C66DB">
            <w:pPr>
              <w:tabs>
                <w:tab w:val="left" w:pos="9914"/>
              </w:tabs>
              <w:rPr>
                <w:rFonts w:ascii="Calibri" w:hAnsi="Calibri" w:cs="Calibri"/>
                <w:sz w:val="18"/>
                <w:szCs w:val="18"/>
              </w:rPr>
            </w:pPr>
            <w:r w:rsidRPr="00A23FB4">
              <w:rPr>
                <w:rFonts w:ascii="Calibri" w:hAnsi="Calibri" w:cs="Calibri"/>
                <w:sz w:val="18"/>
                <w:szCs w:val="18"/>
              </w:rPr>
              <w:t>PN-M-06515</w:t>
            </w:r>
          </w:p>
        </w:tc>
        <w:tc>
          <w:tcPr>
            <w:tcW w:w="7654" w:type="dxa"/>
          </w:tcPr>
          <w:p w14:paraId="60A4A064" w14:textId="77777777" w:rsidR="008C66DB" w:rsidRPr="00A23FB4" w:rsidRDefault="008C66DB" w:rsidP="008C66DB">
            <w:pPr>
              <w:tabs>
                <w:tab w:val="left" w:pos="9914"/>
              </w:tabs>
              <w:rPr>
                <w:rFonts w:ascii="Calibri" w:hAnsi="Calibri" w:cs="Calibri"/>
                <w:sz w:val="18"/>
                <w:szCs w:val="18"/>
              </w:rPr>
            </w:pPr>
            <w:r w:rsidRPr="00A23FB4">
              <w:rPr>
                <w:rFonts w:ascii="Calibri" w:hAnsi="Calibri" w:cs="Calibri"/>
                <w:sz w:val="18"/>
                <w:szCs w:val="18"/>
              </w:rPr>
              <w:t>Dźwignice. Ogólne zasady projektowania stalowych ustrojów nośnych</w:t>
            </w:r>
          </w:p>
        </w:tc>
      </w:tr>
      <w:tr w:rsidR="008C66DB" w:rsidRPr="00A23FB4" w14:paraId="392B9573" w14:textId="77777777" w:rsidTr="008C66DB">
        <w:tc>
          <w:tcPr>
            <w:tcW w:w="637" w:type="dxa"/>
          </w:tcPr>
          <w:p w14:paraId="62BFD0FF" w14:textId="77777777" w:rsidR="008C66DB" w:rsidRPr="00A23FB4" w:rsidRDefault="008C66DB" w:rsidP="008C66DB">
            <w:pPr>
              <w:tabs>
                <w:tab w:val="left" w:pos="9914"/>
              </w:tabs>
              <w:rPr>
                <w:rFonts w:ascii="Calibri" w:hAnsi="Calibri" w:cs="Calibri"/>
                <w:sz w:val="18"/>
                <w:szCs w:val="18"/>
              </w:rPr>
            </w:pPr>
            <w:r w:rsidRPr="00A23FB4">
              <w:rPr>
                <w:rFonts w:ascii="Calibri" w:hAnsi="Calibri" w:cs="Calibri"/>
                <w:sz w:val="18"/>
                <w:szCs w:val="18"/>
              </w:rPr>
              <w:t xml:space="preserve">20. </w:t>
            </w:r>
          </w:p>
        </w:tc>
        <w:tc>
          <w:tcPr>
            <w:tcW w:w="1843" w:type="dxa"/>
          </w:tcPr>
          <w:p w14:paraId="73C1B1DB" w14:textId="77777777" w:rsidR="008C66DB" w:rsidRPr="00A23FB4" w:rsidRDefault="008C66DB" w:rsidP="008C66DB">
            <w:pPr>
              <w:tabs>
                <w:tab w:val="left" w:pos="9914"/>
              </w:tabs>
              <w:rPr>
                <w:rFonts w:ascii="Calibri" w:hAnsi="Calibri" w:cs="Calibri"/>
                <w:sz w:val="18"/>
                <w:szCs w:val="18"/>
              </w:rPr>
            </w:pPr>
            <w:r w:rsidRPr="00A23FB4">
              <w:rPr>
                <w:rFonts w:ascii="Calibri" w:hAnsi="Calibri" w:cs="Calibri"/>
                <w:sz w:val="18"/>
                <w:szCs w:val="18"/>
              </w:rPr>
              <w:t>PN-M-69011</w:t>
            </w:r>
          </w:p>
        </w:tc>
        <w:tc>
          <w:tcPr>
            <w:tcW w:w="7654" w:type="dxa"/>
          </w:tcPr>
          <w:p w14:paraId="68D11BFD" w14:textId="77777777" w:rsidR="008C66DB" w:rsidRPr="00A23FB4" w:rsidRDefault="008C66DB" w:rsidP="008C66DB">
            <w:pPr>
              <w:tabs>
                <w:tab w:val="left" w:pos="9914"/>
              </w:tabs>
              <w:rPr>
                <w:rFonts w:ascii="Calibri" w:hAnsi="Calibri" w:cs="Calibri"/>
                <w:sz w:val="18"/>
                <w:szCs w:val="18"/>
              </w:rPr>
            </w:pPr>
            <w:r w:rsidRPr="00A23FB4">
              <w:rPr>
                <w:rFonts w:ascii="Calibri" w:hAnsi="Calibri" w:cs="Calibri"/>
                <w:sz w:val="18"/>
                <w:szCs w:val="18"/>
              </w:rPr>
              <w:t>Spawalnictwo. Złącza spawane w konstrukcjach spawanych. Podział i wymagania</w:t>
            </w:r>
          </w:p>
        </w:tc>
      </w:tr>
      <w:tr w:rsidR="008C66DB" w:rsidRPr="00A23FB4" w14:paraId="7B90A6BA" w14:textId="77777777" w:rsidTr="008C66DB">
        <w:tc>
          <w:tcPr>
            <w:tcW w:w="637" w:type="dxa"/>
          </w:tcPr>
          <w:p w14:paraId="58111CC4" w14:textId="77777777" w:rsidR="008C66DB" w:rsidRPr="00A23FB4" w:rsidRDefault="008C66DB" w:rsidP="008C66DB">
            <w:pPr>
              <w:tabs>
                <w:tab w:val="left" w:pos="9914"/>
              </w:tabs>
              <w:rPr>
                <w:rFonts w:ascii="Calibri" w:hAnsi="Calibri" w:cs="Calibri"/>
                <w:sz w:val="18"/>
                <w:szCs w:val="18"/>
              </w:rPr>
            </w:pPr>
            <w:r w:rsidRPr="00A23FB4">
              <w:rPr>
                <w:rFonts w:ascii="Calibri" w:hAnsi="Calibri" w:cs="Calibri"/>
                <w:sz w:val="18"/>
                <w:szCs w:val="18"/>
              </w:rPr>
              <w:t>21.</w:t>
            </w:r>
          </w:p>
        </w:tc>
        <w:tc>
          <w:tcPr>
            <w:tcW w:w="1843" w:type="dxa"/>
          </w:tcPr>
          <w:p w14:paraId="238969B1" w14:textId="77777777" w:rsidR="008C66DB" w:rsidRPr="00A23FB4" w:rsidRDefault="008C66DB" w:rsidP="008C66DB">
            <w:pPr>
              <w:tabs>
                <w:tab w:val="left" w:pos="9914"/>
              </w:tabs>
              <w:rPr>
                <w:rFonts w:ascii="Calibri" w:hAnsi="Calibri" w:cs="Calibri"/>
                <w:sz w:val="18"/>
                <w:szCs w:val="18"/>
              </w:rPr>
            </w:pPr>
            <w:r w:rsidRPr="00A23FB4">
              <w:rPr>
                <w:rFonts w:ascii="Calibri" w:hAnsi="Calibri" w:cs="Calibri"/>
                <w:sz w:val="18"/>
                <w:szCs w:val="18"/>
              </w:rPr>
              <w:t>PN-M-69420</w:t>
            </w:r>
          </w:p>
        </w:tc>
        <w:tc>
          <w:tcPr>
            <w:tcW w:w="7654" w:type="dxa"/>
          </w:tcPr>
          <w:p w14:paraId="69A860A6" w14:textId="77777777" w:rsidR="008C66DB" w:rsidRPr="00A23FB4" w:rsidRDefault="008C66DB" w:rsidP="008C66DB">
            <w:pPr>
              <w:tabs>
                <w:tab w:val="left" w:pos="9914"/>
              </w:tabs>
              <w:rPr>
                <w:rFonts w:ascii="Calibri" w:hAnsi="Calibri" w:cs="Calibri"/>
                <w:sz w:val="18"/>
                <w:szCs w:val="18"/>
              </w:rPr>
            </w:pPr>
            <w:r w:rsidRPr="00A23FB4">
              <w:rPr>
                <w:rFonts w:ascii="Calibri" w:hAnsi="Calibri" w:cs="Calibri"/>
                <w:sz w:val="18"/>
                <w:szCs w:val="18"/>
              </w:rPr>
              <w:t>Spawalnictwo. Druty lite do spawania i napawania stali</w:t>
            </w:r>
          </w:p>
        </w:tc>
      </w:tr>
      <w:tr w:rsidR="008C66DB" w:rsidRPr="00A23FB4" w14:paraId="34A4138D" w14:textId="77777777" w:rsidTr="008C66DB">
        <w:tc>
          <w:tcPr>
            <w:tcW w:w="637" w:type="dxa"/>
          </w:tcPr>
          <w:p w14:paraId="77593962" w14:textId="77777777" w:rsidR="008C66DB" w:rsidRPr="00A23FB4" w:rsidRDefault="008C66DB" w:rsidP="008C66DB">
            <w:pPr>
              <w:tabs>
                <w:tab w:val="left" w:pos="9914"/>
              </w:tabs>
              <w:rPr>
                <w:rFonts w:ascii="Calibri" w:hAnsi="Calibri" w:cs="Calibri"/>
                <w:sz w:val="18"/>
                <w:szCs w:val="18"/>
              </w:rPr>
            </w:pPr>
            <w:r w:rsidRPr="00A23FB4">
              <w:rPr>
                <w:rFonts w:ascii="Calibri" w:hAnsi="Calibri" w:cs="Calibri"/>
                <w:sz w:val="18"/>
                <w:szCs w:val="18"/>
              </w:rPr>
              <w:t>22.</w:t>
            </w:r>
          </w:p>
        </w:tc>
        <w:tc>
          <w:tcPr>
            <w:tcW w:w="1843" w:type="dxa"/>
          </w:tcPr>
          <w:p w14:paraId="34FB62B5" w14:textId="77777777" w:rsidR="008C66DB" w:rsidRPr="00A23FB4" w:rsidRDefault="008C66DB" w:rsidP="008C66DB">
            <w:pPr>
              <w:tabs>
                <w:tab w:val="left" w:pos="9914"/>
              </w:tabs>
              <w:rPr>
                <w:rFonts w:ascii="Calibri" w:hAnsi="Calibri" w:cs="Calibri"/>
                <w:sz w:val="18"/>
                <w:szCs w:val="18"/>
              </w:rPr>
            </w:pPr>
            <w:r w:rsidRPr="00A23FB4">
              <w:rPr>
                <w:rFonts w:ascii="Calibri" w:hAnsi="Calibri" w:cs="Calibri"/>
                <w:sz w:val="18"/>
                <w:szCs w:val="18"/>
              </w:rPr>
              <w:t>PN-M-69430</w:t>
            </w:r>
          </w:p>
        </w:tc>
        <w:tc>
          <w:tcPr>
            <w:tcW w:w="7654" w:type="dxa"/>
          </w:tcPr>
          <w:p w14:paraId="2B068835" w14:textId="77777777" w:rsidR="008C66DB" w:rsidRPr="00A23FB4" w:rsidRDefault="008C66DB" w:rsidP="008C66DB">
            <w:pPr>
              <w:tabs>
                <w:tab w:val="left" w:pos="9914"/>
              </w:tabs>
              <w:rPr>
                <w:rFonts w:ascii="Calibri" w:hAnsi="Calibri" w:cs="Calibri"/>
                <w:sz w:val="18"/>
                <w:szCs w:val="18"/>
              </w:rPr>
            </w:pPr>
            <w:r w:rsidRPr="00A23FB4">
              <w:rPr>
                <w:rFonts w:ascii="Calibri" w:hAnsi="Calibri" w:cs="Calibri"/>
                <w:sz w:val="18"/>
                <w:szCs w:val="18"/>
              </w:rPr>
              <w:t>Spawalnictwo. Elektrody stalowe otulone do spawania i napawania. Ogólne wymagania i badania</w:t>
            </w:r>
          </w:p>
        </w:tc>
      </w:tr>
      <w:tr w:rsidR="008C66DB" w:rsidRPr="00A23FB4" w14:paraId="736E7EF1" w14:textId="77777777" w:rsidTr="008C66DB">
        <w:tc>
          <w:tcPr>
            <w:tcW w:w="637" w:type="dxa"/>
          </w:tcPr>
          <w:p w14:paraId="158EC7D7" w14:textId="77777777" w:rsidR="008C66DB" w:rsidRPr="00A23FB4" w:rsidRDefault="008C66DB" w:rsidP="008C66DB">
            <w:pPr>
              <w:tabs>
                <w:tab w:val="left" w:pos="9914"/>
              </w:tabs>
              <w:rPr>
                <w:rFonts w:ascii="Calibri" w:hAnsi="Calibri" w:cs="Calibri"/>
                <w:sz w:val="18"/>
                <w:szCs w:val="18"/>
              </w:rPr>
            </w:pPr>
            <w:r w:rsidRPr="00A23FB4">
              <w:rPr>
                <w:rFonts w:ascii="Calibri" w:hAnsi="Calibri" w:cs="Calibri"/>
                <w:sz w:val="18"/>
                <w:szCs w:val="18"/>
              </w:rPr>
              <w:t>23.</w:t>
            </w:r>
          </w:p>
        </w:tc>
        <w:tc>
          <w:tcPr>
            <w:tcW w:w="1843" w:type="dxa"/>
          </w:tcPr>
          <w:p w14:paraId="21953EC0" w14:textId="77777777" w:rsidR="008C66DB" w:rsidRPr="00A23FB4" w:rsidRDefault="008C66DB" w:rsidP="008C66DB">
            <w:pPr>
              <w:tabs>
                <w:tab w:val="left" w:pos="9914"/>
              </w:tabs>
              <w:rPr>
                <w:rFonts w:ascii="Calibri" w:hAnsi="Calibri" w:cs="Calibri"/>
                <w:sz w:val="18"/>
                <w:szCs w:val="18"/>
              </w:rPr>
            </w:pPr>
            <w:r w:rsidRPr="00A23FB4">
              <w:rPr>
                <w:rFonts w:ascii="Calibri" w:hAnsi="Calibri" w:cs="Calibri"/>
                <w:sz w:val="18"/>
                <w:szCs w:val="18"/>
              </w:rPr>
              <w:t>PN-M-69775</w:t>
            </w:r>
          </w:p>
        </w:tc>
        <w:tc>
          <w:tcPr>
            <w:tcW w:w="7654" w:type="dxa"/>
          </w:tcPr>
          <w:p w14:paraId="759515B4" w14:textId="77777777" w:rsidR="008C66DB" w:rsidRPr="00A23FB4" w:rsidRDefault="008C66DB" w:rsidP="008C66DB">
            <w:pPr>
              <w:tabs>
                <w:tab w:val="left" w:pos="9914"/>
              </w:tabs>
              <w:rPr>
                <w:rFonts w:ascii="Calibri" w:hAnsi="Calibri" w:cs="Calibri"/>
                <w:sz w:val="18"/>
                <w:szCs w:val="18"/>
              </w:rPr>
            </w:pPr>
            <w:r w:rsidRPr="00A23FB4">
              <w:rPr>
                <w:rFonts w:ascii="Calibri" w:hAnsi="Calibri" w:cs="Calibri"/>
                <w:sz w:val="18"/>
                <w:szCs w:val="18"/>
              </w:rPr>
              <w:t>Spawalnictwo. Wadliwość złączy spawanych. Oznaczanie klasy wadliwości na podstawie oględzin zewnętrznych</w:t>
            </w:r>
          </w:p>
        </w:tc>
      </w:tr>
      <w:tr w:rsidR="008C66DB" w:rsidRPr="00A23FB4" w14:paraId="23DF27E0" w14:textId="77777777" w:rsidTr="008C66DB">
        <w:tc>
          <w:tcPr>
            <w:tcW w:w="637" w:type="dxa"/>
          </w:tcPr>
          <w:p w14:paraId="7108DAC2" w14:textId="77777777" w:rsidR="008C66DB" w:rsidRPr="00A23FB4" w:rsidRDefault="008C66DB" w:rsidP="008C66DB">
            <w:pPr>
              <w:tabs>
                <w:tab w:val="left" w:pos="9914"/>
              </w:tabs>
              <w:rPr>
                <w:rFonts w:ascii="Calibri" w:hAnsi="Calibri" w:cs="Calibri"/>
                <w:sz w:val="18"/>
                <w:szCs w:val="18"/>
              </w:rPr>
            </w:pPr>
            <w:r w:rsidRPr="00A23FB4">
              <w:rPr>
                <w:rFonts w:ascii="Calibri" w:hAnsi="Calibri" w:cs="Calibri"/>
                <w:sz w:val="18"/>
                <w:szCs w:val="18"/>
              </w:rPr>
              <w:t>24.</w:t>
            </w:r>
          </w:p>
        </w:tc>
        <w:tc>
          <w:tcPr>
            <w:tcW w:w="1843" w:type="dxa"/>
          </w:tcPr>
          <w:p w14:paraId="7BBD4460" w14:textId="77777777" w:rsidR="008C66DB" w:rsidRPr="00A23FB4" w:rsidRDefault="008C66DB" w:rsidP="008C66DB">
            <w:pPr>
              <w:tabs>
                <w:tab w:val="left" w:pos="9914"/>
              </w:tabs>
              <w:rPr>
                <w:rFonts w:ascii="Calibri" w:hAnsi="Calibri" w:cs="Calibri"/>
                <w:sz w:val="18"/>
                <w:szCs w:val="18"/>
              </w:rPr>
            </w:pPr>
            <w:r w:rsidRPr="00A23FB4">
              <w:rPr>
                <w:rFonts w:ascii="Calibri" w:hAnsi="Calibri" w:cs="Calibri"/>
                <w:sz w:val="18"/>
                <w:szCs w:val="18"/>
              </w:rPr>
              <w:t>PN-S-02205</w:t>
            </w:r>
          </w:p>
        </w:tc>
        <w:tc>
          <w:tcPr>
            <w:tcW w:w="7654" w:type="dxa"/>
          </w:tcPr>
          <w:p w14:paraId="26F5197A" w14:textId="77777777" w:rsidR="008C66DB" w:rsidRPr="00A23FB4" w:rsidRDefault="008C66DB" w:rsidP="008C66DB">
            <w:pPr>
              <w:tabs>
                <w:tab w:val="left" w:pos="9914"/>
              </w:tabs>
              <w:rPr>
                <w:rFonts w:ascii="Calibri" w:hAnsi="Calibri" w:cs="Calibri"/>
                <w:sz w:val="18"/>
                <w:szCs w:val="18"/>
              </w:rPr>
            </w:pPr>
            <w:r w:rsidRPr="00A23FB4">
              <w:rPr>
                <w:rFonts w:ascii="Calibri" w:hAnsi="Calibri" w:cs="Calibri"/>
                <w:sz w:val="18"/>
                <w:szCs w:val="18"/>
              </w:rPr>
              <w:t>Drogi samochodowe. Roboty ziemne. Wymagania i badania</w:t>
            </w:r>
          </w:p>
        </w:tc>
      </w:tr>
      <w:tr w:rsidR="008C66DB" w:rsidRPr="00A23FB4" w14:paraId="423636E5" w14:textId="77777777" w:rsidTr="008C66DB">
        <w:tc>
          <w:tcPr>
            <w:tcW w:w="637" w:type="dxa"/>
          </w:tcPr>
          <w:p w14:paraId="43098BF3" w14:textId="77777777" w:rsidR="008C66DB" w:rsidRPr="00A23FB4" w:rsidRDefault="008C66DB" w:rsidP="008C66DB">
            <w:pPr>
              <w:tabs>
                <w:tab w:val="left" w:pos="9914"/>
              </w:tabs>
              <w:rPr>
                <w:rFonts w:ascii="Calibri" w:hAnsi="Calibri" w:cs="Calibri"/>
                <w:sz w:val="18"/>
                <w:szCs w:val="18"/>
              </w:rPr>
            </w:pPr>
            <w:r w:rsidRPr="00A23FB4">
              <w:rPr>
                <w:rFonts w:ascii="Calibri" w:hAnsi="Calibri" w:cs="Calibri"/>
                <w:sz w:val="18"/>
                <w:szCs w:val="18"/>
              </w:rPr>
              <w:t>25.</w:t>
            </w:r>
          </w:p>
        </w:tc>
        <w:tc>
          <w:tcPr>
            <w:tcW w:w="1843" w:type="dxa"/>
          </w:tcPr>
          <w:p w14:paraId="604ABF5E" w14:textId="77777777" w:rsidR="008C66DB" w:rsidRPr="00A23FB4" w:rsidRDefault="008C66DB" w:rsidP="008C66DB">
            <w:pPr>
              <w:tabs>
                <w:tab w:val="left" w:pos="9914"/>
              </w:tabs>
              <w:rPr>
                <w:rFonts w:ascii="Calibri" w:hAnsi="Calibri" w:cs="Calibri"/>
                <w:sz w:val="18"/>
                <w:szCs w:val="18"/>
              </w:rPr>
            </w:pPr>
            <w:r w:rsidRPr="00A23FB4">
              <w:rPr>
                <w:rFonts w:ascii="Calibri" w:hAnsi="Calibri" w:cs="Calibri"/>
                <w:sz w:val="18"/>
                <w:szCs w:val="18"/>
              </w:rPr>
              <w:t>BN-89/1076-02</w:t>
            </w:r>
          </w:p>
        </w:tc>
        <w:tc>
          <w:tcPr>
            <w:tcW w:w="7654" w:type="dxa"/>
          </w:tcPr>
          <w:p w14:paraId="2E9C6E0A" w14:textId="77777777" w:rsidR="008C66DB" w:rsidRPr="00A23FB4" w:rsidRDefault="008C66DB" w:rsidP="008C66DB">
            <w:pPr>
              <w:tabs>
                <w:tab w:val="left" w:pos="9914"/>
              </w:tabs>
              <w:rPr>
                <w:rFonts w:ascii="Calibri" w:hAnsi="Calibri" w:cs="Calibri"/>
                <w:sz w:val="18"/>
                <w:szCs w:val="18"/>
              </w:rPr>
            </w:pPr>
            <w:r w:rsidRPr="00A23FB4">
              <w:rPr>
                <w:rFonts w:ascii="Calibri" w:hAnsi="Calibri" w:cs="Calibri"/>
                <w:sz w:val="18"/>
                <w:szCs w:val="18"/>
              </w:rPr>
              <w:t>Ochrona przed korozją. Powłoki metalizacyjne cynkowe i aluminiowe na konstrukcjach stalowych i żeliwnych. Wymagania i badania</w:t>
            </w:r>
          </w:p>
        </w:tc>
      </w:tr>
      <w:tr w:rsidR="008C66DB" w:rsidRPr="00A23FB4" w14:paraId="0E30EE75" w14:textId="77777777" w:rsidTr="008C66DB">
        <w:tc>
          <w:tcPr>
            <w:tcW w:w="637" w:type="dxa"/>
          </w:tcPr>
          <w:p w14:paraId="34E4D10C" w14:textId="77777777" w:rsidR="008C66DB" w:rsidRPr="00A23FB4" w:rsidRDefault="008C66DB" w:rsidP="008C66DB">
            <w:pPr>
              <w:tabs>
                <w:tab w:val="left" w:pos="9914"/>
              </w:tabs>
              <w:rPr>
                <w:rFonts w:ascii="Calibri" w:hAnsi="Calibri" w:cs="Calibri"/>
                <w:sz w:val="18"/>
                <w:szCs w:val="18"/>
              </w:rPr>
            </w:pPr>
            <w:r w:rsidRPr="00A23FB4">
              <w:rPr>
                <w:rFonts w:ascii="Calibri" w:hAnsi="Calibri" w:cs="Calibri"/>
                <w:sz w:val="18"/>
                <w:szCs w:val="18"/>
              </w:rPr>
              <w:t>26.</w:t>
            </w:r>
          </w:p>
        </w:tc>
        <w:tc>
          <w:tcPr>
            <w:tcW w:w="1843" w:type="dxa"/>
          </w:tcPr>
          <w:p w14:paraId="49349BBD" w14:textId="77777777" w:rsidR="008C66DB" w:rsidRPr="00A23FB4" w:rsidRDefault="008C66DB" w:rsidP="008C66DB">
            <w:pPr>
              <w:tabs>
                <w:tab w:val="left" w:pos="9914"/>
              </w:tabs>
              <w:rPr>
                <w:rFonts w:ascii="Calibri" w:hAnsi="Calibri" w:cs="Calibri"/>
                <w:sz w:val="18"/>
                <w:szCs w:val="18"/>
              </w:rPr>
            </w:pPr>
            <w:r w:rsidRPr="00A23FB4">
              <w:rPr>
                <w:rFonts w:ascii="Calibri" w:hAnsi="Calibri" w:cs="Calibri"/>
                <w:sz w:val="18"/>
                <w:szCs w:val="18"/>
              </w:rPr>
              <w:t>BN-82/4131-03</w:t>
            </w:r>
          </w:p>
        </w:tc>
        <w:tc>
          <w:tcPr>
            <w:tcW w:w="7654" w:type="dxa"/>
          </w:tcPr>
          <w:p w14:paraId="02478E76" w14:textId="77777777" w:rsidR="008C66DB" w:rsidRPr="00A23FB4" w:rsidRDefault="008C66DB" w:rsidP="008C66DB">
            <w:pPr>
              <w:tabs>
                <w:tab w:val="left" w:pos="9914"/>
              </w:tabs>
              <w:rPr>
                <w:rFonts w:ascii="Calibri" w:hAnsi="Calibri" w:cs="Calibri"/>
                <w:sz w:val="18"/>
                <w:szCs w:val="18"/>
              </w:rPr>
            </w:pPr>
            <w:r w:rsidRPr="00A23FB4">
              <w:rPr>
                <w:rFonts w:ascii="Calibri" w:hAnsi="Calibri" w:cs="Calibri"/>
                <w:sz w:val="18"/>
                <w:szCs w:val="18"/>
              </w:rPr>
              <w:t>Spawalnictwo. Pręty i elektrody ze stopów stellitowych i pręty z żeliw wysokochromowych do napawania</w:t>
            </w:r>
          </w:p>
        </w:tc>
      </w:tr>
      <w:tr w:rsidR="008C66DB" w:rsidRPr="00A23FB4" w14:paraId="34BC6645" w14:textId="77777777" w:rsidTr="008C66DB">
        <w:tc>
          <w:tcPr>
            <w:tcW w:w="637" w:type="dxa"/>
          </w:tcPr>
          <w:p w14:paraId="0638AAB8" w14:textId="77777777" w:rsidR="008C66DB" w:rsidRPr="00A23FB4" w:rsidRDefault="008C66DB" w:rsidP="008C66DB">
            <w:pPr>
              <w:tabs>
                <w:tab w:val="left" w:pos="9914"/>
              </w:tabs>
              <w:rPr>
                <w:rFonts w:ascii="Calibri" w:hAnsi="Calibri" w:cs="Calibri"/>
                <w:sz w:val="18"/>
                <w:szCs w:val="18"/>
              </w:rPr>
            </w:pPr>
            <w:r w:rsidRPr="00A23FB4">
              <w:rPr>
                <w:rFonts w:ascii="Calibri" w:hAnsi="Calibri" w:cs="Calibri"/>
                <w:sz w:val="18"/>
                <w:szCs w:val="18"/>
              </w:rPr>
              <w:t>27.</w:t>
            </w:r>
          </w:p>
        </w:tc>
        <w:tc>
          <w:tcPr>
            <w:tcW w:w="1843" w:type="dxa"/>
          </w:tcPr>
          <w:p w14:paraId="46F9FF67" w14:textId="77777777" w:rsidR="008C66DB" w:rsidRPr="00A23FB4" w:rsidRDefault="008C66DB" w:rsidP="008C66DB">
            <w:pPr>
              <w:tabs>
                <w:tab w:val="left" w:pos="9914"/>
              </w:tabs>
              <w:rPr>
                <w:rFonts w:ascii="Calibri" w:hAnsi="Calibri" w:cs="Calibri"/>
                <w:sz w:val="18"/>
                <w:szCs w:val="18"/>
              </w:rPr>
            </w:pPr>
            <w:r w:rsidRPr="00A23FB4">
              <w:rPr>
                <w:rFonts w:ascii="Calibri" w:hAnsi="Calibri" w:cs="Calibri"/>
                <w:sz w:val="18"/>
                <w:szCs w:val="18"/>
              </w:rPr>
              <w:t>BN-88/6731-08</w:t>
            </w:r>
          </w:p>
        </w:tc>
        <w:tc>
          <w:tcPr>
            <w:tcW w:w="7654" w:type="dxa"/>
          </w:tcPr>
          <w:p w14:paraId="7FC7F2D9" w14:textId="77777777" w:rsidR="008C66DB" w:rsidRPr="00A23FB4" w:rsidRDefault="008C66DB" w:rsidP="008C66DB">
            <w:pPr>
              <w:tabs>
                <w:tab w:val="left" w:pos="9914"/>
              </w:tabs>
              <w:rPr>
                <w:rFonts w:ascii="Calibri" w:hAnsi="Calibri" w:cs="Calibri"/>
                <w:sz w:val="18"/>
                <w:szCs w:val="18"/>
              </w:rPr>
            </w:pPr>
            <w:r w:rsidRPr="00A23FB4">
              <w:rPr>
                <w:rFonts w:ascii="Calibri" w:hAnsi="Calibri" w:cs="Calibri"/>
                <w:sz w:val="18"/>
                <w:szCs w:val="18"/>
              </w:rPr>
              <w:t>Cement. Transport i przechowywanie.</w:t>
            </w:r>
          </w:p>
        </w:tc>
      </w:tr>
    </w:tbl>
    <w:p w14:paraId="3AAC2D39" w14:textId="77777777" w:rsidR="008C66DB" w:rsidRPr="00A23FB4" w:rsidRDefault="008C66DB" w:rsidP="008C66DB">
      <w:pPr>
        <w:rPr>
          <w:rFonts w:ascii="Calibri" w:hAnsi="Calibri" w:cs="Calibri"/>
        </w:rPr>
      </w:pPr>
    </w:p>
    <w:p w14:paraId="4D384B9E" w14:textId="4F5447B9" w:rsidR="00307E20" w:rsidRPr="00307E20" w:rsidRDefault="00C17D59" w:rsidP="00CB3CD7">
      <w:pPr>
        <w:overflowPunct/>
        <w:autoSpaceDE/>
        <w:autoSpaceDN/>
        <w:adjustRightInd/>
        <w:spacing w:line="360" w:lineRule="auto"/>
        <w:jc w:val="center"/>
        <w:textAlignment w:val="auto"/>
        <w:rPr>
          <w:rFonts w:ascii="Calibri" w:hAnsi="Calibri" w:cs="Calibri"/>
        </w:rPr>
      </w:pPr>
      <w:r w:rsidRPr="00A23FB4">
        <w:rPr>
          <w:rFonts w:asciiTheme="minorHAnsi" w:hAnsiTheme="minorHAnsi"/>
          <w:b/>
          <w:sz w:val="22"/>
          <w:szCs w:val="22"/>
        </w:rPr>
        <w:br w:type="page"/>
      </w:r>
      <w:r w:rsidR="00E13859">
        <w:rPr>
          <w:rFonts w:ascii="Calibri" w:hAnsi="Calibri" w:cs="Calibri"/>
          <w:b/>
          <w:sz w:val="22"/>
          <w:szCs w:val="22"/>
        </w:rPr>
        <w:t>SZCZEGÓŁOWE SPECYFIKACJE TECHNICZNE</w:t>
      </w:r>
      <w:r w:rsidR="00184474" w:rsidRPr="00A23FB4">
        <w:rPr>
          <w:rFonts w:ascii="Calibri" w:hAnsi="Calibri" w:cs="Calibri"/>
          <w:b/>
          <w:sz w:val="22"/>
          <w:szCs w:val="22"/>
        </w:rPr>
        <w:t xml:space="preserve"> WYKONANIA I ODBIORU ROBÓT BUDOWLANYCH</w:t>
      </w:r>
      <w:bookmarkStart w:id="798" w:name="_Toc352837498"/>
      <w:bookmarkStart w:id="799" w:name="_Toc406741242"/>
      <w:bookmarkStart w:id="800" w:name="_Toc455953320"/>
      <w:bookmarkStart w:id="801" w:name="_Toc480533270"/>
    </w:p>
    <w:p w14:paraId="0A888C9C" w14:textId="77777777" w:rsidR="00307E20" w:rsidRPr="00FC7A7C" w:rsidRDefault="00307E20" w:rsidP="00307E20">
      <w:pPr>
        <w:pStyle w:val="Nagowek1"/>
        <w:spacing w:before="0"/>
      </w:pPr>
      <w:bookmarkStart w:id="802" w:name="_Hlk94616166"/>
      <w:bookmarkStart w:id="803" w:name="_Toc118465637"/>
      <w:bookmarkStart w:id="804" w:name="_Toc206275494"/>
      <w:r w:rsidRPr="00FC7A7C">
        <w:t>D</w:t>
      </w:r>
      <w:r>
        <w:t>.</w:t>
      </w:r>
      <w:r w:rsidRPr="00FC7A7C">
        <w:t>07.05.01 BARIERY OCHRONNE STALOWE</w:t>
      </w:r>
      <w:bookmarkEnd w:id="802"/>
      <w:bookmarkEnd w:id="803"/>
      <w:bookmarkEnd w:id="804"/>
    </w:p>
    <w:p w14:paraId="3386FD43" w14:textId="77777777" w:rsidR="00307E20" w:rsidRPr="00307E20" w:rsidRDefault="00307E20" w:rsidP="00307E20">
      <w:pPr>
        <w:pStyle w:val="Nagwek3"/>
        <w:rPr>
          <w:rStyle w:val="podpunkt"/>
          <w:rFonts w:asciiTheme="minorHAnsi" w:hAnsiTheme="minorHAnsi" w:cstheme="minorHAnsi"/>
          <w:b/>
          <w:bCs/>
        </w:rPr>
      </w:pPr>
      <w:r w:rsidRPr="00307E20">
        <w:rPr>
          <w:rStyle w:val="podpunkt"/>
          <w:rFonts w:asciiTheme="minorHAnsi" w:hAnsiTheme="minorHAnsi" w:cstheme="minorHAnsi"/>
          <w:b/>
          <w:bCs/>
        </w:rPr>
        <w:t>1. Wstęp</w:t>
      </w:r>
    </w:p>
    <w:p w14:paraId="5CAEBCD8" w14:textId="6095731C" w:rsidR="00307E20" w:rsidRPr="00CB3CD7" w:rsidRDefault="00307E20" w:rsidP="00307E20">
      <w:pPr>
        <w:pStyle w:val="Nagwek4"/>
        <w:tabs>
          <w:tab w:val="left" w:pos="9914"/>
        </w:tabs>
        <w:rPr>
          <w:rStyle w:val="podpunkt"/>
          <w:rFonts w:asciiTheme="minorHAnsi" w:hAnsiTheme="minorHAnsi" w:cstheme="minorHAnsi"/>
          <w:b/>
          <w:bCs/>
        </w:rPr>
      </w:pPr>
      <w:r w:rsidRPr="00CB3CD7">
        <w:rPr>
          <w:rStyle w:val="podpunkt"/>
          <w:rFonts w:asciiTheme="minorHAnsi" w:hAnsiTheme="minorHAnsi" w:cstheme="minorHAnsi"/>
          <w:b/>
          <w:bCs/>
        </w:rPr>
        <w:t>1.1.Przedmiot</w:t>
      </w:r>
      <w:r w:rsidR="00CB3CD7">
        <w:rPr>
          <w:rStyle w:val="podpunkt"/>
          <w:rFonts w:asciiTheme="minorHAnsi" w:hAnsiTheme="minorHAnsi" w:cstheme="minorHAnsi"/>
          <w:b/>
          <w:bCs/>
        </w:rPr>
        <w:t xml:space="preserve"> </w:t>
      </w:r>
      <w:r w:rsidR="00C62A07" w:rsidRPr="00CB3CD7">
        <w:rPr>
          <w:rStyle w:val="podpunkt"/>
          <w:rFonts w:asciiTheme="minorHAnsi" w:hAnsiTheme="minorHAnsi" w:cstheme="minorHAnsi"/>
          <w:b/>
          <w:bCs/>
        </w:rPr>
        <w:t>ST</w:t>
      </w:r>
      <w:r w:rsidRPr="00CB3CD7">
        <w:rPr>
          <w:rStyle w:val="podpunkt"/>
          <w:rFonts w:asciiTheme="minorHAnsi" w:hAnsiTheme="minorHAnsi" w:cstheme="minorHAnsi"/>
          <w:b/>
          <w:bCs/>
        </w:rPr>
        <w:t>WIORB</w:t>
      </w:r>
    </w:p>
    <w:p w14:paraId="3C156CE5" w14:textId="41A7E1FD" w:rsidR="00307E20" w:rsidRPr="00A23FB4" w:rsidRDefault="00307E20" w:rsidP="00307E20">
      <w:pPr>
        <w:rPr>
          <w:rFonts w:ascii="Calibri" w:hAnsi="Calibri" w:cs="Calibri"/>
        </w:rPr>
      </w:pPr>
      <w:r w:rsidRPr="00307E20">
        <w:rPr>
          <w:rFonts w:asciiTheme="minorHAnsi" w:hAnsiTheme="minorHAnsi" w:cstheme="minorHAnsi"/>
        </w:rPr>
        <w:t xml:space="preserve">Przedmiotem niniejszej </w:t>
      </w:r>
      <w:r w:rsidR="00C62A07">
        <w:rPr>
          <w:rFonts w:asciiTheme="minorHAnsi" w:hAnsiTheme="minorHAnsi" w:cstheme="minorHAnsi"/>
        </w:rPr>
        <w:t>ST</w:t>
      </w:r>
      <w:r>
        <w:rPr>
          <w:rFonts w:asciiTheme="minorHAnsi" w:hAnsiTheme="minorHAnsi" w:cstheme="minorHAnsi"/>
        </w:rPr>
        <w:t>WIORB</w:t>
      </w:r>
      <w:r w:rsidRPr="00307E20">
        <w:rPr>
          <w:rFonts w:asciiTheme="minorHAnsi" w:hAnsiTheme="minorHAnsi" w:cstheme="minorHAnsi"/>
        </w:rPr>
        <w:t xml:space="preserve"> są wymagania dotyczące wykonania i odbioru montażu stalowych barier ochronnych,</w:t>
      </w:r>
      <w:r w:rsidRPr="00A23FB4">
        <w:rPr>
          <w:rFonts w:asciiTheme="minorHAnsi" w:hAnsiTheme="minorHAnsi" w:cstheme="minorHAnsi"/>
          <w:bCs/>
        </w:rPr>
        <w:t>.</w:t>
      </w:r>
    </w:p>
    <w:p w14:paraId="5294D2AA" w14:textId="77777777" w:rsidR="00CB3CD7" w:rsidRPr="00A23FB4" w:rsidRDefault="00CB3CD7" w:rsidP="00CB3CD7">
      <w:pPr>
        <w:pStyle w:val="Nagwek4"/>
        <w:tabs>
          <w:tab w:val="left" w:pos="9914"/>
        </w:tabs>
        <w:rPr>
          <w:rFonts w:ascii="Calibri" w:hAnsi="Calibri" w:cs="Calibri"/>
        </w:rPr>
      </w:pPr>
      <w:r w:rsidRPr="00A23FB4">
        <w:rPr>
          <w:rFonts w:ascii="Calibri" w:hAnsi="Calibri" w:cs="Calibri"/>
        </w:rPr>
        <w:t xml:space="preserve">1.2. Zakres stosowania </w:t>
      </w:r>
      <w:r>
        <w:rPr>
          <w:rFonts w:ascii="Calibri" w:hAnsi="Calibri" w:cs="Calibri"/>
        </w:rPr>
        <w:t>ST</w:t>
      </w:r>
      <w:r w:rsidRPr="00A23FB4">
        <w:rPr>
          <w:rFonts w:ascii="Calibri" w:hAnsi="Calibri" w:cs="Calibri"/>
        </w:rPr>
        <w:t>WiORB</w:t>
      </w:r>
    </w:p>
    <w:p w14:paraId="3262AD8F" w14:textId="77777777" w:rsidR="00CB3CD7" w:rsidRPr="00A23FB4" w:rsidRDefault="00CB3CD7" w:rsidP="00CB3CD7">
      <w:pPr>
        <w:rPr>
          <w:rFonts w:ascii="Calibri" w:hAnsi="Calibri" w:cs="Calibri"/>
        </w:rPr>
      </w:pPr>
      <w:r>
        <w:rPr>
          <w:rFonts w:ascii="Calibri" w:hAnsi="Calibri" w:cs="Calibri"/>
        </w:rPr>
        <w:t>Specyfikacja</w:t>
      </w:r>
      <w:r w:rsidRPr="00A23FB4">
        <w:rPr>
          <w:rFonts w:ascii="Calibri" w:hAnsi="Calibri" w:cs="Calibri"/>
        </w:rPr>
        <w:t xml:space="preserve"> stanowi dokument kontraktowy przy realizacji  zadania</w:t>
      </w:r>
      <w:r w:rsidRPr="00A23FB4">
        <w:rPr>
          <w:rFonts w:asciiTheme="minorHAnsi" w:hAnsiTheme="minorHAnsi" w:cstheme="minorHAnsi"/>
          <w:bCs/>
        </w:rPr>
        <w:t xml:space="preserve"> </w:t>
      </w:r>
      <w:r>
        <w:rPr>
          <w:rFonts w:asciiTheme="minorHAnsi" w:hAnsiTheme="minorHAnsi" w:cstheme="minorHAnsi"/>
          <w:bCs/>
        </w:rPr>
        <w:t>„</w:t>
      </w:r>
      <w:r w:rsidRPr="00E0090D">
        <w:rPr>
          <w:rFonts w:asciiTheme="minorHAnsi" w:hAnsiTheme="minorHAnsi" w:cstheme="minorHAnsi"/>
          <w:bCs/>
        </w:rPr>
        <w:t>Rozbudowa ul. Wrocławskiej w ciągu drogi powiatowej w Tyńcu Małym wraz z rozbudową istniejącego skrzyżowania typu rondo na połączeniu dróg krajowych nr 35 i 35a oraz łącznika węzła Kobierzyce drogi S8e oraz infrastrukturą towarzyszącą w ramach zadania „Rozbudowa skrzyżowania typu rondo w ciągu DK35 koło m. Tyniec Mały usprawniająca skomunikowanie obszarów Podstrefy Wrocław – Kobierzyce TSSE EURO PARK WISŁOSAN”</w:t>
      </w:r>
      <w:r w:rsidRPr="00A23FB4">
        <w:rPr>
          <w:rFonts w:asciiTheme="minorHAnsi" w:hAnsiTheme="minorHAnsi" w:cstheme="minorHAnsi"/>
          <w:bCs/>
        </w:rPr>
        <w:t>.</w:t>
      </w:r>
    </w:p>
    <w:p w14:paraId="2BD0E14C" w14:textId="62D68E70" w:rsidR="00307E20" w:rsidRPr="00307E20" w:rsidRDefault="00307E20" w:rsidP="00307E20">
      <w:pPr>
        <w:pStyle w:val="Nagwek4"/>
        <w:tabs>
          <w:tab w:val="center" w:pos="4749"/>
        </w:tabs>
        <w:rPr>
          <w:rFonts w:ascii="Calibri" w:hAnsi="Calibri" w:cs="Calibri"/>
        </w:rPr>
      </w:pPr>
      <w:r w:rsidRPr="00A23FB4">
        <w:rPr>
          <w:rFonts w:ascii="Calibri" w:hAnsi="Calibri" w:cs="Calibri"/>
        </w:rPr>
        <w:t xml:space="preserve">1.3. Zakres robót objętych </w:t>
      </w:r>
      <w:r w:rsidR="00C62A07">
        <w:rPr>
          <w:rFonts w:ascii="Calibri" w:hAnsi="Calibri" w:cs="Calibri"/>
        </w:rPr>
        <w:t>ST</w:t>
      </w:r>
      <w:r w:rsidRPr="00A23FB4">
        <w:rPr>
          <w:rFonts w:ascii="Calibri" w:hAnsi="Calibri" w:cs="Calibri"/>
        </w:rPr>
        <w:t>WiORB</w:t>
      </w:r>
      <w:r w:rsidRPr="00A23FB4">
        <w:rPr>
          <w:rFonts w:ascii="Calibri" w:hAnsi="Calibri" w:cs="Calibri"/>
        </w:rPr>
        <w:tab/>
      </w:r>
    </w:p>
    <w:p w14:paraId="6F3EF2F1" w14:textId="6F505E58" w:rsidR="00307E20" w:rsidRPr="00307E20" w:rsidRDefault="00307E20" w:rsidP="00307E20">
      <w:pPr>
        <w:pStyle w:val="tekstost"/>
        <w:tabs>
          <w:tab w:val="left" w:pos="9914"/>
        </w:tabs>
        <w:rPr>
          <w:rFonts w:asciiTheme="minorHAnsi" w:hAnsiTheme="minorHAnsi" w:cstheme="minorHAnsi"/>
          <w:snapToGrid w:val="0"/>
        </w:rPr>
      </w:pPr>
      <w:r w:rsidRPr="00307E20">
        <w:rPr>
          <w:rFonts w:asciiTheme="minorHAnsi" w:hAnsiTheme="minorHAnsi" w:cstheme="minorHAnsi"/>
          <w:snapToGrid w:val="0"/>
        </w:rPr>
        <w:t xml:space="preserve">Ustalenia zawarte w niniejszej </w:t>
      </w:r>
      <w:r w:rsidR="00C62A07">
        <w:rPr>
          <w:rFonts w:asciiTheme="minorHAnsi" w:hAnsiTheme="minorHAnsi" w:cstheme="minorHAnsi"/>
          <w:snapToGrid w:val="0"/>
        </w:rPr>
        <w:t>ST</w:t>
      </w:r>
      <w:r>
        <w:rPr>
          <w:rFonts w:asciiTheme="minorHAnsi" w:hAnsiTheme="minorHAnsi" w:cstheme="minorHAnsi"/>
          <w:snapToGrid w:val="0"/>
        </w:rPr>
        <w:t>WIORB</w:t>
      </w:r>
      <w:r w:rsidR="00E13859">
        <w:rPr>
          <w:rFonts w:asciiTheme="minorHAnsi" w:hAnsiTheme="minorHAnsi" w:cstheme="minorHAnsi"/>
          <w:snapToGrid w:val="0"/>
        </w:rPr>
        <w:t xml:space="preserve"> </w:t>
      </w:r>
      <w:r w:rsidRPr="00307E20">
        <w:rPr>
          <w:rFonts w:asciiTheme="minorHAnsi" w:hAnsiTheme="minorHAnsi" w:cstheme="minorHAnsi"/>
          <w:snapToGrid w:val="0"/>
        </w:rPr>
        <w:t>dotyczą prowadzenia robót związanych z ustawieniem stalowych barier ochronnych skrajnych oraz wykonaniem zakończeń powyższych barier.</w:t>
      </w:r>
    </w:p>
    <w:p w14:paraId="5CFAEE6D" w14:textId="77777777" w:rsidR="00307E20" w:rsidRPr="00307E20" w:rsidRDefault="00307E20" w:rsidP="00307E20">
      <w:pPr>
        <w:pStyle w:val="Nagwek4"/>
        <w:tabs>
          <w:tab w:val="left" w:pos="9914"/>
        </w:tabs>
        <w:rPr>
          <w:rStyle w:val="podpunkt"/>
          <w:rFonts w:asciiTheme="minorHAnsi" w:hAnsiTheme="minorHAnsi" w:cstheme="minorHAnsi"/>
          <w:b/>
          <w:bCs/>
        </w:rPr>
      </w:pPr>
      <w:r w:rsidRPr="00307E20">
        <w:rPr>
          <w:rStyle w:val="podpunkt"/>
          <w:rFonts w:asciiTheme="minorHAnsi" w:hAnsiTheme="minorHAnsi" w:cstheme="minorHAnsi"/>
        </w:rPr>
        <w:t>1.4.Określenia podstawowe</w:t>
      </w:r>
    </w:p>
    <w:p w14:paraId="2199B493" w14:textId="77777777" w:rsidR="00307E20" w:rsidRPr="00307E20" w:rsidRDefault="00307E20" w:rsidP="00307E20">
      <w:pPr>
        <w:pStyle w:val="tekstost"/>
        <w:tabs>
          <w:tab w:val="left" w:pos="9914"/>
        </w:tabs>
        <w:rPr>
          <w:rFonts w:asciiTheme="minorHAnsi" w:hAnsiTheme="minorHAnsi" w:cstheme="minorHAnsi"/>
        </w:rPr>
      </w:pPr>
      <w:r w:rsidRPr="00307E20">
        <w:rPr>
          <w:rFonts w:asciiTheme="minorHAnsi" w:hAnsiTheme="minorHAnsi" w:cstheme="minorHAnsi"/>
        </w:rPr>
        <w:t>Bariera ochronna - urządzenie bezpieczeństwa ruchu drogo</w:t>
      </w:r>
      <w:r w:rsidRPr="00307E20">
        <w:rPr>
          <w:rFonts w:asciiTheme="minorHAnsi" w:hAnsiTheme="minorHAnsi" w:cstheme="minorHAnsi"/>
        </w:rPr>
        <w:softHyphen/>
        <w:t>wego, stosowane w celu fizycznego zapobieżenia zjechaniu pojaz</w:t>
      </w:r>
      <w:r w:rsidRPr="00307E20">
        <w:rPr>
          <w:rFonts w:asciiTheme="minorHAnsi" w:hAnsiTheme="minorHAnsi" w:cstheme="minorHAnsi"/>
        </w:rPr>
        <w:softHyphen/>
        <w:t>du z drogi w miejscach, gdzie to jest niebezpieczne, wyjechaniu pojazdu poza koronę drogi, przejechaniu pojazdu na jezdnię przez</w:t>
      </w:r>
      <w:r w:rsidRPr="00307E20">
        <w:rPr>
          <w:rFonts w:asciiTheme="minorHAnsi" w:hAnsiTheme="minorHAnsi" w:cstheme="minorHAnsi"/>
        </w:rPr>
        <w:softHyphen/>
        <w:t>naczoną dla przeciwnego kierunku ruchu lub niedopuszczenia do powstania kolizji pojazdu z obiektami lub przeszkodami stałymi znajdującymi się w pobliżu jezdni.</w:t>
      </w:r>
    </w:p>
    <w:p w14:paraId="20B1313D" w14:textId="77777777" w:rsidR="00307E20" w:rsidRPr="00307E20" w:rsidRDefault="00307E20" w:rsidP="00307E20">
      <w:pPr>
        <w:pStyle w:val="tekstost"/>
        <w:tabs>
          <w:tab w:val="left" w:pos="9914"/>
        </w:tabs>
        <w:rPr>
          <w:rFonts w:asciiTheme="minorHAnsi" w:hAnsiTheme="minorHAnsi" w:cstheme="minorHAnsi"/>
        </w:rPr>
      </w:pPr>
      <w:r w:rsidRPr="00307E20">
        <w:rPr>
          <w:rFonts w:asciiTheme="minorHAnsi" w:hAnsiTheme="minorHAnsi" w:cstheme="minorHAnsi"/>
        </w:rPr>
        <w:t>Bariera ochronna stalowa - bariera ochronna, której pods</w:t>
      </w:r>
      <w:r w:rsidRPr="00307E20">
        <w:rPr>
          <w:rFonts w:asciiTheme="minorHAnsi" w:hAnsiTheme="minorHAnsi" w:cstheme="minorHAnsi"/>
        </w:rPr>
        <w:softHyphen/>
        <w:t>tawowym elementem jest prowadnica wykonana z profilowanej taśmy stalowej.</w:t>
      </w:r>
    </w:p>
    <w:p w14:paraId="48BAAFBA" w14:textId="77777777" w:rsidR="00307E20" w:rsidRPr="00307E20" w:rsidRDefault="00307E20" w:rsidP="00307E20">
      <w:pPr>
        <w:pStyle w:val="tekstost"/>
        <w:tabs>
          <w:tab w:val="left" w:pos="9914"/>
        </w:tabs>
        <w:rPr>
          <w:rFonts w:asciiTheme="minorHAnsi" w:hAnsiTheme="minorHAnsi" w:cstheme="minorHAnsi"/>
        </w:rPr>
      </w:pPr>
      <w:r w:rsidRPr="00307E20">
        <w:rPr>
          <w:rFonts w:asciiTheme="minorHAnsi" w:hAnsiTheme="minorHAnsi" w:cstheme="minorHAnsi"/>
        </w:rPr>
        <w:t>Bariera skrajna - bariera ochronna umieszczona przy kra</w:t>
      </w:r>
      <w:r w:rsidRPr="00307E20">
        <w:rPr>
          <w:rFonts w:asciiTheme="minorHAnsi" w:hAnsiTheme="minorHAnsi" w:cstheme="minorHAnsi"/>
        </w:rPr>
        <w:softHyphen/>
        <w:t>wędzi jezdni lub korony drogi, przeciwdzia</w:t>
      </w:r>
      <w:r w:rsidRPr="00307E20">
        <w:rPr>
          <w:rFonts w:asciiTheme="minorHAnsi" w:hAnsiTheme="minorHAnsi" w:cstheme="minorHAnsi"/>
        </w:rPr>
        <w:softHyphen/>
        <w:t>łająca niebezpiecznym następstwom zjechania z drogi lub je ograniczająca.</w:t>
      </w:r>
    </w:p>
    <w:p w14:paraId="3CF43FBF" w14:textId="77777777" w:rsidR="00307E20" w:rsidRPr="00307E20" w:rsidRDefault="00307E20" w:rsidP="00307E20">
      <w:pPr>
        <w:pStyle w:val="tekstost"/>
        <w:tabs>
          <w:tab w:val="left" w:pos="9914"/>
        </w:tabs>
        <w:rPr>
          <w:rFonts w:asciiTheme="minorHAnsi" w:hAnsiTheme="minorHAnsi" w:cstheme="minorHAnsi"/>
        </w:rPr>
      </w:pPr>
      <w:r w:rsidRPr="00307E20">
        <w:rPr>
          <w:rFonts w:asciiTheme="minorHAnsi" w:hAnsiTheme="minorHAnsi" w:cstheme="minorHAnsi"/>
        </w:rPr>
        <w:t xml:space="preserve">Bariera wysięgnikowa - bariera, w której prowadnica zamocowana jest do słupków za pośrednictwem wysięgników </w:t>
      </w:r>
    </w:p>
    <w:p w14:paraId="013E5FAD" w14:textId="77777777" w:rsidR="00307E20" w:rsidRPr="00307E20" w:rsidRDefault="00307E20" w:rsidP="00307E20">
      <w:pPr>
        <w:pStyle w:val="tekstost"/>
        <w:tabs>
          <w:tab w:val="left" w:pos="9914"/>
        </w:tabs>
        <w:rPr>
          <w:rFonts w:asciiTheme="minorHAnsi" w:hAnsiTheme="minorHAnsi" w:cstheme="minorHAnsi"/>
        </w:rPr>
      </w:pPr>
      <w:r w:rsidRPr="00307E20">
        <w:rPr>
          <w:rFonts w:asciiTheme="minorHAnsi" w:hAnsiTheme="minorHAnsi" w:cstheme="minorHAnsi"/>
        </w:rPr>
        <w:t>Bariera przekładkowa - bariera, w której prowadnica zamo</w:t>
      </w:r>
      <w:r w:rsidRPr="00307E20">
        <w:rPr>
          <w:rFonts w:asciiTheme="minorHAnsi" w:hAnsiTheme="minorHAnsi" w:cstheme="minorHAnsi"/>
        </w:rPr>
        <w:softHyphen/>
        <w:t>cowana jest do słupków za pośrednictwem przekładek zapewniają</w:t>
      </w:r>
      <w:r w:rsidRPr="00307E20">
        <w:rPr>
          <w:rFonts w:asciiTheme="minorHAnsi" w:hAnsiTheme="minorHAnsi" w:cstheme="minorHAnsi"/>
        </w:rPr>
        <w:softHyphen/>
        <w:t>cych odstęp między prowadnicą a słupkiem od 100 mm do 180 mm.</w:t>
      </w:r>
    </w:p>
    <w:p w14:paraId="50E928CB" w14:textId="77777777" w:rsidR="00307E20" w:rsidRPr="00307E20" w:rsidRDefault="00307E20" w:rsidP="00307E20">
      <w:pPr>
        <w:pStyle w:val="tekstost"/>
        <w:tabs>
          <w:tab w:val="left" w:pos="9914"/>
        </w:tabs>
        <w:rPr>
          <w:rFonts w:asciiTheme="minorHAnsi" w:hAnsiTheme="minorHAnsi" w:cstheme="minorHAnsi"/>
        </w:rPr>
      </w:pPr>
      <w:r w:rsidRPr="00307E20">
        <w:rPr>
          <w:rFonts w:asciiTheme="minorHAnsi" w:hAnsiTheme="minorHAnsi" w:cstheme="minorHAnsi"/>
        </w:rPr>
        <w:t>Prowadnica bariery - podstawowy element bariery wykonany z profilowanej taśmy stalowej, mający za zadanie umożliwienie płynnego wzdłużnego przemieszczenia pojazdu w czasie kolizji, w czasie którego prowadnica powinna odkształcać się stopniowo i w sposób plastyczny. Odróżnia się dwa typy profilowanej taśmy stalowej: typ A i typ B, różniące się kształtem przetłoczeń.</w:t>
      </w:r>
    </w:p>
    <w:p w14:paraId="1BCECF63" w14:textId="77777777" w:rsidR="00307E20" w:rsidRPr="00307E20" w:rsidRDefault="00307E20" w:rsidP="00307E20">
      <w:pPr>
        <w:pStyle w:val="tekstost"/>
        <w:tabs>
          <w:tab w:val="left" w:pos="9914"/>
        </w:tabs>
        <w:rPr>
          <w:rFonts w:asciiTheme="minorHAnsi" w:hAnsiTheme="minorHAnsi" w:cstheme="minorHAnsi"/>
        </w:rPr>
      </w:pPr>
      <w:r w:rsidRPr="00307E20">
        <w:rPr>
          <w:rFonts w:asciiTheme="minorHAnsi" w:hAnsiTheme="minorHAnsi" w:cstheme="minorHAnsi"/>
        </w:rPr>
        <w:t>Przekładka - element bariery, wykonany zwykle z rury (okrągłej, prostokątnej) lub kształtownika stalowego (np. z ceow</w:t>
      </w:r>
      <w:r w:rsidRPr="00307E20">
        <w:rPr>
          <w:rFonts w:asciiTheme="minorHAnsi" w:hAnsiTheme="minorHAnsi" w:cstheme="minorHAnsi"/>
        </w:rPr>
        <w:softHyphen/>
        <w:t>nika, dwuteownika) o szerokości od 100 do 140 mm, umieszczony pomiędzy prowadnicą a słupkiem, którego zadaniem jest nadanie barierze korzystniejszych właściwości kolizyjnych (niż w barierze bez</w:t>
      </w:r>
      <w:r w:rsidRPr="00307E20">
        <w:rPr>
          <w:rFonts w:asciiTheme="minorHAnsi" w:hAnsiTheme="minorHAnsi" w:cstheme="minorHAnsi"/>
        </w:rPr>
        <w:softHyphen/>
        <w:t>przekładkowej), powodujących, że prowadnica bariery w pierwszej fazie odkształcania lub przemieszczania słupków nie jest odgina</w:t>
      </w:r>
      <w:r w:rsidRPr="00307E20">
        <w:rPr>
          <w:rFonts w:asciiTheme="minorHAnsi" w:hAnsiTheme="minorHAnsi" w:cstheme="minorHAnsi"/>
        </w:rPr>
        <w:softHyphen/>
        <w:t>na do dołu, lecz unoszona ku górze.</w:t>
      </w:r>
    </w:p>
    <w:p w14:paraId="67F6CD86" w14:textId="77777777" w:rsidR="00307E20" w:rsidRPr="00307E20" w:rsidRDefault="00307E20" w:rsidP="00307E20">
      <w:pPr>
        <w:pStyle w:val="tekstost"/>
        <w:tabs>
          <w:tab w:val="left" w:pos="9914"/>
        </w:tabs>
        <w:rPr>
          <w:rFonts w:asciiTheme="minorHAnsi" w:hAnsiTheme="minorHAnsi" w:cstheme="minorHAnsi"/>
        </w:rPr>
      </w:pPr>
      <w:r w:rsidRPr="00307E20">
        <w:rPr>
          <w:rFonts w:asciiTheme="minorHAnsi" w:hAnsiTheme="minorHAnsi" w:cstheme="minorHAnsi"/>
        </w:rPr>
        <w:t>Bariera stała – bariera ochronna, której posadowienie/zakotwienie słupka ma charakter stały – bez możliwości demontażu i ponownego montażu. Dotyczy to barier drogowych posadowionych w gruncie jak również barier mostowych zakotwionych w konstrukcji obiektu inżynieryjnego</w:t>
      </w:r>
    </w:p>
    <w:p w14:paraId="02376F3E" w14:textId="38317C98" w:rsidR="00307E20" w:rsidRPr="00307E20" w:rsidRDefault="00307E20" w:rsidP="00307E20">
      <w:pPr>
        <w:pStyle w:val="tekstost"/>
        <w:tabs>
          <w:tab w:val="left" w:pos="9914"/>
        </w:tabs>
        <w:rPr>
          <w:rFonts w:asciiTheme="minorHAnsi" w:hAnsiTheme="minorHAnsi" w:cstheme="minorHAnsi"/>
        </w:rPr>
      </w:pPr>
      <w:r w:rsidRPr="00307E20">
        <w:rPr>
          <w:rFonts w:asciiTheme="minorHAnsi" w:hAnsiTheme="minorHAnsi" w:cstheme="minorHAnsi"/>
          <w:snapToGrid w:val="0"/>
        </w:rPr>
        <w:t>Określenia podane w niniejszej</w:t>
      </w:r>
      <w:r w:rsidR="000907B8">
        <w:rPr>
          <w:rFonts w:asciiTheme="minorHAnsi" w:hAnsiTheme="minorHAnsi" w:cstheme="minorHAnsi"/>
          <w:snapToGrid w:val="0"/>
        </w:rPr>
        <w:t xml:space="preserve"> ST</w:t>
      </w:r>
      <w:r>
        <w:rPr>
          <w:rFonts w:asciiTheme="minorHAnsi" w:hAnsiTheme="minorHAnsi" w:cstheme="minorHAnsi"/>
          <w:snapToGrid w:val="0"/>
        </w:rPr>
        <w:t>WIORB</w:t>
      </w:r>
      <w:r w:rsidRPr="00307E20">
        <w:rPr>
          <w:rFonts w:asciiTheme="minorHAnsi" w:hAnsiTheme="minorHAnsi" w:cstheme="minorHAnsi"/>
          <w:snapToGrid w:val="0"/>
        </w:rPr>
        <w:t xml:space="preserve"> są zgodne z obowiązującymi przepisami,</w:t>
      </w:r>
      <w:r w:rsidR="000907B8">
        <w:rPr>
          <w:rFonts w:asciiTheme="minorHAnsi" w:hAnsiTheme="minorHAnsi" w:cstheme="minorHAnsi"/>
          <w:snapToGrid w:val="0"/>
        </w:rPr>
        <w:t xml:space="preserve"> ST</w:t>
      </w:r>
      <w:r>
        <w:rPr>
          <w:rFonts w:asciiTheme="minorHAnsi" w:hAnsiTheme="minorHAnsi" w:cstheme="minorHAnsi"/>
          <w:snapToGrid w:val="0"/>
        </w:rPr>
        <w:t>WIORB</w:t>
      </w:r>
      <w:r w:rsidRPr="00307E20">
        <w:rPr>
          <w:rFonts w:asciiTheme="minorHAnsi" w:hAnsiTheme="minorHAnsi" w:cstheme="minorHAnsi"/>
          <w:snapToGrid w:val="0"/>
        </w:rPr>
        <w:t xml:space="preserve"> D-M.00.00.00 „Wymagania ogólne” i odpowiednimi ujednoliconymi normami polskimi i europejskimi.</w:t>
      </w:r>
    </w:p>
    <w:p w14:paraId="23B33DAB" w14:textId="77777777" w:rsidR="00307E20" w:rsidRPr="00307E20" w:rsidRDefault="00307E20" w:rsidP="00307E20">
      <w:pPr>
        <w:pStyle w:val="Nagwek4"/>
        <w:tabs>
          <w:tab w:val="left" w:pos="9914"/>
        </w:tabs>
        <w:rPr>
          <w:rStyle w:val="podpunkt"/>
          <w:rFonts w:asciiTheme="minorHAnsi" w:hAnsiTheme="minorHAnsi" w:cstheme="minorHAnsi"/>
          <w:b/>
          <w:bCs/>
        </w:rPr>
      </w:pPr>
      <w:r w:rsidRPr="00307E20">
        <w:rPr>
          <w:rStyle w:val="podpunkt"/>
          <w:rFonts w:asciiTheme="minorHAnsi" w:hAnsiTheme="minorHAnsi" w:cstheme="minorHAnsi"/>
        </w:rPr>
        <w:t>1.5 Ogólne wymagania dotyczące robót</w:t>
      </w:r>
    </w:p>
    <w:p w14:paraId="2E51A00B" w14:textId="77777777" w:rsidR="00307E20" w:rsidRPr="00307E20" w:rsidRDefault="00307E20" w:rsidP="00307E20">
      <w:pPr>
        <w:pStyle w:val="tekstost"/>
        <w:tabs>
          <w:tab w:val="left" w:pos="9914"/>
        </w:tabs>
        <w:rPr>
          <w:rFonts w:asciiTheme="minorHAnsi" w:hAnsiTheme="minorHAnsi" w:cstheme="minorHAnsi"/>
        </w:rPr>
      </w:pPr>
      <w:r w:rsidRPr="00307E20">
        <w:rPr>
          <w:rFonts w:asciiTheme="minorHAnsi" w:hAnsiTheme="minorHAnsi" w:cstheme="minorHAnsi"/>
        </w:rPr>
        <w:t>Wykonawca robót jest odpowiedzialny za jakość ich wykonania oraz za zgodność z opracowaną Dokumentacją Projektową,.</w:t>
      </w:r>
    </w:p>
    <w:p w14:paraId="0C758517" w14:textId="6227D358" w:rsidR="00307E20" w:rsidRPr="00307E20" w:rsidRDefault="00307E20" w:rsidP="00307E20">
      <w:pPr>
        <w:pStyle w:val="tekstost"/>
        <w:tabs>
          <w:tab w:val="left" w:pos="9914"/>
        </w:tabs>
        <w:rPr>
          <w:rFonts w:asciiTheme="minorHAnsi" w:hAnsiTheme="minorHAnsi" w:cstheme="minorHAnsi"/>
          <w:snapToGrid w:val="0"/>
        </w:rPr>
      </w:pPr>
      <w:r w:rsidRPr="00307E20">
        <w:rPr>
          <w:rFonts w:asciiTheme="minorHAnsi" w:hAnsiTheme="minorHAnsi" w:cstheme="minorHAnsi"/>
          <w:snapToGrid w:val="0"/>
        </w:rPr>
        <w:t>Ogólne wymagania dotyczące robót podano w</w:t>
      </w:r>
      <w:r w:rsidR="00C62A07">
        <w:rPr>
          <w:rFonts w:asciiTheme="minorHAnsi" w:hAnsiTheme="minorHAnsi" w:cstheme="minorHAnsi"/>
          <w:snapToGrid w:val="0"/>
        </w:rPr>
        <w:t xml:space="preserve"> ST</w:t>
      </w:r>
      <w:r>
        <w:rPr>
          <w:rFonts w:asciiTheme="minorHAnsi" w:hAnsiTheme="minorHAnsi" w:cstheme="minorHAnsi"/>
          <w:snapToGrid w:val="0"/>
        </w:rPr>
        <w:t>WIORB</w:t>
      </w:r>
      <w:r w:rsidRPr="00307E20">
        <w:rPr>
          <w:rFonts w:asciiTheme="minorHAnsi" w:hAnsiTheme="minorHAnsi" w:cstheme="minorHAnsi"/>
          <w:snapToGrid w:val="0"/>
        </w:rPr>
        <w:t xml:space="preserve"> D-M.00.00.00. „Wymagania ogólne”.</w:t>
      </w:r>
    </w:p>
    <w:p w14:paraId="137F7496" w14:textId="77777777" w:rsidR="00307E20" w:rsidRPr="00307E20" w:rsidRDefault="00307E20" w:rsidP="00307E20">
      <w:pPr>
        <w:pStyle w:val="Nagwek3"/>
        <w:rPr>
          <w:rStyle w:val="podpunkt"/>
          <w:rFonts w:asciiTheme="minorHAnsi" w:hAnsiTheme="minorHAnsi" w:cstheme="minorHAnsi"/>
          <w:b/>
          <w:bCs/>
        </w:rPr>
      </w:pPr>
      <w:r w:rsidRPr="00307E20">
        <w:rPr>
          <w:rStyle w:val="podpunkt"/>
          <w:rFonts w:asciiTheme="minorHAnsi" w:hAnsiTheme="minorHAnsi" w:cstheme="minorHAnsi"/>
        </w:rPr>
        <w:t>2. Materiały</w:t>
      </w:r>
    </w:p>
    <w:p w14:paraId="1BA85EEF" w14:textId="77777777" w:rsidR="00307E20" w:rsidRPr="00307E20" w:rsidRDefault="00307E20" w:rsidP="00307E20">
      <w:pPr>
        <w:pStyle w:val="Nagwek4"/>
        <w:tabs>
          <w:tab w:val="left" w:pos="9914"/>
        </w:tabs>
        <w:rPr>
          <w:rStyle w:val="podpunkt"/>
          <w:rFonts w:asciiTheme="minorHAnsi" w:hAnsiTheme="minorHAnsi" w:cstheme="minorHAnsi"/>
          <w:b/>
          <w:bCs/>
        </w:rPr>
      </w:pPr>
      <w:r w:rsidRPr="00307E20">
        <w:rPr>
          <w:rStyle w:val="podpunkt"/>
          <w:rFonts w:asciiTheme="minorHAnsi" w:hAnsiTheme="minorHAnsi" w:cstheme="minorHAnsi"/>
        </w:rPr>
        <w:t>2.1. Elementy stalowe barier</w:t>
      </w:r>
    </w:p>
    <w:p w14:paraId="254EB265" w14:textId="77777777" w:rsidR="00307E20" w:rsidRPr="00307E20" w:rsidRDefault="00307E20" w:rsidP="00307E20">
      <w:pPr>
        <w:pStyle w:val="tekstost"/>
        <w:tabs>
          <w:tab w:val="left" w:pos="9914"/>
        </w:tabs>
        <w:rPr>
          <w:rFonts w:asciiTheme="minorHAnsi" w:hAnsiTheme="minorHAnsi" w:cstheme="minorHAnsi"/>
        </w:rPr>
      </w:pPr>
      <w:r w:rsidRPr="00307E20">
        <w:rPr>
          <w:rFonts w:asciiTheme="minorHAnsi" w:hAnsiTheme="minorHAnsi" w:cstheme="minorHAnsi"/>
        </w:rPr>
        <w:t>Elementy do wykonania barier ochronnych stalowych określo</w:t>
      </w:r>
      <w:r w:rsidRPr="00307E20">
        <w:rPr>
          <w:rFonts w:asciiTheme="minorHAnsi" w:hAnsiTheme="minorHAnsi" w:cstheme="minorHAnsi"/>
        </w:rPr>
        <w:softHyphen/>
        <w:t>ne są poprzez typ bariery podany w dokumentacji projektowej, na</w:t>
      </w:r>
      <w:r w:rsidRPr="00307E20">
        <w:rPr>
          <w:rFonts w:asciiTheme="minorHAnsi" w:hAnsiTheme="minorHAnsi" w:cstheme="minorHAnsi"/>
        </w:rPr>
        <w:softHyphen/>
        <w:t>wiązujący do ustaleń producenta barier. Do elementów tych należą:</w:t>
      </w:r>
    </w:p>
    <w:p w14:paraId="571E8FAD" w14:textId="77777777" w:rsidR="00307E20" w:rsidRPr="00307E20" w:rsidRDefault="00307E20" w:rsidP="00307E20">
      <w:pPr>
        <w:pStyle w:val="tekstost"/>
        <w:tabs>
          <w:tab w:val="left" w:pos="9914"/>
        </w:tabs>
        <w:rPr>
          <w:rFonts w:asciiTheme="minorHAnsi" w:hAnsiTheme="minorHAnsi" w:cstheme="minorHAnsi"/>
        </w:rPr>
      </w:pPr>
      <w:r w:rsidRPr="00307E20">
        <w:rPr>
          <w:rFonts w:asciiTheme="minorHAnsi" w:hAnsiTheme="minorHAnsi" w:cstheme="minorHAnsi"/>
        </w:rPr>
        <w:t>- prowadnica,</w:t>
      </w:r>
    </w:p>
    <w:p w14:paraId="4A7AC886" w14:textId="77777777" w:rsidR="00307E20" w:rsidRPr="00307E20" w:rsidRDefault="00307E20" w:rsidP="00307E20">
      <w:pPr>
        <w:pStyle w:val="tekstost"/>
        <w:tabs>
          <w:tab w:val="left" w:pos="9914"/>
        </w:tabs>
        <w:rPr>
          <w:rFonts w:asciiTheme="minorHAnsi" w:hAnsiTheme="minorHAnsi" w:cstheme="minorHAnsi"/>
        </w:rPr>
      </w:pPr>
      <w:r w:rsidRPr="00307E20">
        <w:rPr>
          <w:rFonts w:asciiTheme="minorHAnsi" w:hAnsiTheme="minorHAnsi" w:cstheme="minorHAnsi"/>
        </w:rPr>
        <w:t>- słupki,</w:t>
      </w:r>
    </w:p>
    <w:p w14:paraId="636B8D00" w14:textId="77777777" w:rsidR="00307E20" w:rsidRPr="00307E20" w:rsidRDefault="00307E20" w:rsidP="00307E20">
      <w:pPr>
        <w:pStyle w:val="tekstost"/>
        <w:tabs>
          <w:tab w:val="left" w:pos="9914"/>
        </w:tabs>
        <w:rPr>
          <w:rFonts w:asciiTheme="minorHAnsi" w:hAnsiTheme="minorHAnsi" w:cstheme="minorHAnsi"/>
        </w:rPr>
      </w:pPr>
      <w:r w:rsidRPr="00307E20">
        <w:rPr>
          <w:rFonts w:asciiTheme="minorHAnsi" w:hAnsiTheme="minorHAnsi" w:cstheme="minorHAnsi"/>
        </w:rPr>
        <w:t>- wysięgniki</w:t>
      </w:r>
    </w:p>
    <w:p w14:paraId="300D2E6A" w14:textId="77777777" w:rsidR="00307E20" w:rsidRPr="00307E20" w:rsidRDefault="00307E20" w:rsidP="00307E20">
      <w:pPr>
        <w:pStyle w:val="tekstost"/>
        <w:tabs>
          <w:tab w:val="left" w:pos="9914"/>
        </w:tabs>
        <w:rPr>
          <w:rFonts w:asciiTheme="minorHAnsi" w:hAnsiTheme="minorHAnsi" w:cstheme="minorHAnsi"/>
        </w:rPr>
      </w:pPr>
      <w:r w:rsidRPr="00307E20">
        <w:rPr>
          <w:rFonts w:asciiTheme="minorHAnsi" w:hAnsiTheme="minorHAnsi" w:cstheme="minorHAnsi"/>
        </w:rPr>
        <w:t>- pas profilowy,</w:t>
      </w:r>
    </w:p>
    <w:p w14:paraId="04BA6430" w14:textId="77777777" w:rsidR="00307E20" w:rsidRPr="00307E20" w:rsidRDefault="00307E20" w:rsidP="00307E20">
      <w:pPr>
        <w:pStyle w:val="tekstost"/>
        <w:tabs>
          <w:tab w:val="left" w:pos="9914"/>
        </w:tabs>
        <w:rPr>
          <w:rFonts w:asciiTheme="minorHAnsi" w:hAnsiTheme="minorHAnsi" w:cstheme="minorHAnsi"/>
        </w:rPr>
      </w:pPr>
      <w:r w:rsidRPr="00307E20">
        <w:rPr>
          <w:rFonts w:asciiTheme="minorHAnsi" w:hAnsiTheme="minorHAnsi" w:cstheme="minorHAnsi"/>
        </w:rPr>
        <w:t>- przekładki, wsporniki, śruby, podkładki, światła odblaskowe,</w:t>
      </w:r>
    </w:p>
    <w:p w14:paraId="7DA24A71" w14:textId="77777777" w:rsidR="00307E20" w:rsidRPr="00307E20" w:rsidRDefault="00307E20" w:rsidP="00307E20">
      <w:pPr>
        <w:pStyle w:val="tekstost"/>
        <w:tabs>
          <w:tab w:val="left" w:pos="9914"/>
        </w:tabs>
        <w:rPr>
          <w:rFonts w:asciiTheme="minorHAnsi" w:hAnsiTheme="minorHAnsi" w:cstheme="minorHAnsi"/>
        </w:rPr>
      </w:pPr>
      <w:r w:rsidRPr="00307E20">
        <w:rPr>
          <w:rFonts w:asciiTheme="minorHAnsi" w:hAnsiTheme="minorHAnsi" w:cstheme="minorHAnsi"/>
        </w:rPr>
        <w:t>- łączniki ukośne,</w:t>
      </w:r>
    </w:p>
    <w:p w14:paraId="560EDC6B" w14:textId="77777777" w:rsidR="00307E20" w:rsidRPr="00307E20" w:rsidRDefault="00307E20" w:rsidP="00307E20">
      <w:pPr>
        <w:pStyle w:val="tekstost"/>
        <w:tabs>
          <w:tab w:val="left" w:pos="9914"/>
        </w:tabs>
        <w:rPr>
          <w:rFonts w:asciiTheme="minorHAnsi" w:hAnsiTheme="minorHAnsi" w:cstheme="minorHAnsi"/>
        </w:rPr>
      </w:pPr>
      <w:r w:rsidRPr="00307E20">
        <w:rPr>
          <w:rFonts w:asciiTheme="minorHAnsi" w:hAnsiTheme="minorHAnsi" w:cstheme="minorHAnsi"/>
        </w:rPr>
        <w:t>- obejmy słupka, itp.</w:t>
      </w:r>
    </w:p>
    <w:p w14:paraId="132AC905" w14:textId="77777777" w:rsidR="00307E20" w:rsidRPr="00307E20" w:rsidRDefault="00307E20" w:rsidP="00307E20">
      <w:pPr>
        <w:pStyle w:val="tekstost"/>
        <w:tabs>
          <w:tab w:val="left" w:pos="9914"/>
        </w:tabs>
        <w:rPr>
          <w:rFonts w:asciiTheme="minorHAnsi" w:hAnsiTheme="minorHAnsi" w:cstheme="minorHAnsi"/>
        </w:rPr>
      </w:pPr>
    </w:p>
    <w:p w14:paraId="6B6E779E" w14:textId="77777777" w:rsidR="00307E20" w:rsidRPr="00307E20" w:rsidRDefault="00307E20" w:rsidP="00307E20">
      <w:pPr>
        <w:pStyle w:val="tekstost"/>
        <w:tabs>
          <w:tab w:val="left" w:pos="9914"/>
        </w:tabs>
        <w:rPr>
          <w:rFonts w:asciiTheme="minorHAnsi" w:hAnsiTheme="minorHAnsi" w:cstheme="minorHAnsi"/>
        </w:rPr>
      </w:pPr>
      <w:r w:rsidRPr="00307E20">
        <w:rPr>
          <w:rFonts w:asciiTheme="minorHAnsi" w:hAnsiTheme="minorHAnsi" w:cstheme="minorHAnsi"/>
        </w:rPr>
        <w:t xml:space="preserve">Elementy barier powinny odpowiadać wymaganiom norm lub posiadać Aprobatę Techniczną oraz muszą uzyskać akceptację Inżyniera. </w:t>
      </w:r>
    </w:p>
    <w:p w14:paraId="07EFC816" w14:textId="77777777" w:rsidR="00307E20" w:rsidRPr="00307E20" w:rsidRDefault="00307E20" w:rsidP="00307E20">
      <w:pPr>
        <w:pStyle w:val="tekstost"/>
        <w:tabs>
          <w:tab w:val="left" w:pos="9914"/>
        </w:tabs>
        <w:rPr>
          <w:rFonts w:asciiTheme="minorHAnsi" w:hAnsiTheme="minorHAnsi" w:cstheme="minorHAnsi"/>
        </w:rPr>
      </w:pPr>
      <w:r w:rsidRPr="00307E20">
        <w:rPr>
          <w:rFonts w:asciiTheme="minorHAnsi" w:hAnsiTheme="minorHAnsi" w:cstheme="minorHAnsi"/>
        </w:rPr>
        <w:t xml:space="preserve">Elementy barier powinny być zabezpieczone antykorozyjnie poprzez cynkowanie ogniowe o grubości 80 </w:t>
      </w:r>
      <w:r w:rsidRPr="00307E20">
        <w:rPr>
          <w:rFonts w:asciiTheme="minorHAnsi" w:hAnsiTheme="minorHAnsi" w:cstheme="minorHAnsi"/>
        </w:rPr>
        <w:sym w:font="Symbol" w:char="F06D"/>
      </w:r>
      <w:r w:rsidRPr="00307E20">
        <w:rPr>
          <w:rFonts w:asciiTheme="minorHAnsi" w:hAnsiTheme="minorHAnsi" w:cstheme="minorHAnsi"/>
        </w:rPr>
        <w:t xml:space="preserve">m lub metalizację natryskową o grubości 200 </w:t>
      </w:r>
      <w:r w:rsidRPr="00307E20">
        <w:rPr>
          <w:rFonts w:asciiTheme="minorHAnsi" w:hAnsiTheme="minorHAnsi" w:cstheme="minorHAnsi"/>
        </w:rPr>
        <w:sym w:font="Symbol" w:char="F06D"/>
      </w:r>
      <w:r w:rsidRPr="00307E20">
        <w:rPr>
          <w:rFonts w:asciiTheme="minorHAnsi" w:hAnsiTheme="minorHAnsi" w:cstheme="minorHAnsi"/>
        </w:rPr>
        <w:t>m. Łączniki stalowe śruby winny być również ocynkowane lub wykonane ze stali odpornej na korozję.</w:t>
      </w:r>
    </w:p>
    <w:p w14:paraId="14DBA5D3" w14:textId="77777777" w:rsidR="00307E20" w:rsidRPr="00307E20" w:rsidRDefault="00307E20" w:rsidP="00307E20">
      <w:pPr>
        <w:pStyle w:val="Nagwek4"/>
        <w:tabs>
          <w:tab w:val="left" w:pos="9914"/>
        </w:tabs>
        <w:rPr>
          <w:rStyle w:val="podpunkt"/>
          <w:rFonts w:asciiTheme="minorHAnsi" w:hAnsiTheme="minorHAnsi" w:cstheme="minorHAnsi"/>
          <w:b/>
          <w:bCs/>
        </w:rPr>
      </w:pPr>
      <w:r w:rsidRPr="00307E20">
        <w:rPr>
          <w:rStyle w:val="podpunkt"/>
          <w:rFonts w:asciiTheme="minorHAnsi" w:hAnsiTheme="minorHAnsi" w:cstheme="minorHAnsi"/>
        </w:rPr>
        <w:t>2.2. Elementy do wykonania barier ochronnych stalowych</w:t>
      </w:r>
    </w:p>
    <w:p w14:paraId="49753B1C" w14:textId="77777777" w:rsidR="00307E20" w:rsidRPr="00307E20" w:rsidRDefault="00307E20" w:rsidP="00307E20">
      <w:pPr>
        <w:pStyle w:val="tekstost"/>
        <w:tabs>
          <w:tab w:val="left" w:pos="9914"/>
        </w:tabs>
        <w:rPr>
          <w:rFonts w:asciiTheme="minorHAnsi" w:hAnsiTheme="minorHAnsi" w:cstheme="minorHAnsi"/>
          <w:b/>
          <w:bCs/>
          <w:i/>
          <w:iCs/>
        </w:rPr>
      </w:pPr>
      <w:r w:rsidRPr="00307E20">
        <w:rPr>
          <w:rFonts w:asciiTheme="minorHAnsi" w:hAnsiTheme="minorHAnsi" w:cstheme="minorHAnsi"/>
          <w:b/>
          <w:bCs/>
          <w:i/>
          <w:iCs/>
        </w:rPr>
        <w:t>2.2.1. Prowadnica</w:t>
      </w:r>
    </w:p>
    <w:p w14:paraId="31698880" w14:textId="77777777" w:rsidR="00307E20" w:rsidRPr="00307E20" w:rsidRDefault="00307E20" w:rsidP="00307E20">
      <w:pPr>
        <w:pStyle w:val="tekstost"/>
        <w:tabs>
          <w:tab w:val="left" w:pos="9914"/>
        </w:tabs>
        <w:rPr>
          <w:rFonts w:asciiTheme="minorHAnsi" w:hAnsiTheme="minorHAnsi" w:cstheme="minorHAnsi"/>
        </w:rPr>
      </w:pPr>
      <w:r w:rsidRPr="00307E20">
        <w:rPr>
          <w:rFonts w:asciiTheme="minorHAnsi" w:hAnsiTheme="minorHAnsi" w:cstheme="minorHAnsi"/>
        </w:rPr>
        <w:t>Typ prowadnicy z profilowanej taśmy stalowej powinien odpowiadać PN-H-93461-15 „Kształtowniki stalowe gięte na zimno, otwarte określonego przeznaczenia. Kształtowniki na poręcz drogową, typ B".</w:t>
      </w:r>
    </w:p>
    <w:p w14:paraId="38A65C7C" w14:textId="77777777" w:rsidR="00307E20" w:rsidRPr="00307E20" w:rsidRDefault="00307E20" w:rsidP="00307E20">
      <w:pPr>
        <w:pStyle w:val="tekstost"/>
        <w:tabs>
          <w:tab w:val="left" w:pos="9914"/>
        </w:tabs>
        <w:rPr>
          <w:rFonts w:asciiTheme="minorHAnsi" w:hAnsiTheme="minorHAnsi" w:cstheme="minorHAnsi"/>
        </w:rPr>
      </w:pPr>
      <w:r w:rsidRPr="00307E20">
        <w:rPr>
          <w:rFonts w:asciiTheme="minorHAnsi" w:hAnsiTheme="minorHAnsi" w:cstheme="minorHAnsi"/>
        </w:rPr>
        <w:t>Blacha do wykonania prowadnic powinna być wykonana ze stali S235JR, S250GD Z600 MA lub S350GD Z600 MA o właściwościach mechanicznych podanych w normie PN-EN 10025 lub jej odpowiednikami.</w:t>
      </w:r>
    </w:p>
    <w:p w14:paraId="6136CD8C" w14:textId="77777777" w:rsidR="00307E20" w:rsidRPr="00307E20" w:rsidRDefault="00307E20" w:rsidP="00307E20">
      <w:pPr>
        <w:pStyle w:val="tekstost"/>
        <w:tabs>
          <w:tab w:val="left" w:pos="9914"/>
        </w:tabs>
        <w:rPr>
          <w:rFonts w:asciiTheme="minorHAnsi" w:hAnsiTheme="minorHAnsi" w:cstheme="minorHAnsi"/>
        </w:rPr>
      </w:pPr>
      <w:r w:rsidRPr="00307E20">
        <w:rPr>
          <w:rFonts w:asciiTheme="minorHAnsi" w:hAnsiTheme="minorHAnsi" w:cstheme="minorHAnsi"/>
        </w:rPr>
        <w:t>Kształt i wymiary prowadnicy bariery oraz sposób jej połączenia z wysięgnikami, przekładkami lub wspornikami lub/i słupkami muszą być w pełni zgodne z analogicznymi elementami bariery poddanej z wynikiem pozytywnym poligonowym badaniom zderzeniowym zgodnym z wymaganiami PN-EN 1317 - zgodnie z dokumentacją konstrukcyjną, przedstawiona do certyfikacji wyrobu budowlanego.</w:t>
      </w:r>
    </w:p>
    <w:p w14:paraId="0E785F29" w14:textId="77777777" w:rsidR="00307E20" w:rsidRPr="00307E20" w:rsidRDefault="00307E20" w:rsidP="00307E20">
      <w:pPr>
        <w:pStyle w:val="tekstost"/>
        <w:tabs>
          <w:tab w:val="left" w:pos="9914"/>
        </w:tabs>
        <w:rPr>
          <w:rFonts w:asciiTheme="minorHAnsi" w:hAnsiTheme="minorHAnsi" w:cstheme="minorHAnsi"/>
        </w:rPr>
      </w:pPr>
      <w:r w:rsidRPr="00307E20">
        <w:rPr>
          <w:rFonts w:asciiTheme="minorHAnsi" w:hAnsiTheme="minorHAnsi" w:cstheme="minorHAnsi"/>
        </w:rPr>
        <w:t>Otwory w prowadnicy i zakończenia odcinków montażowych prowadnicy powinny być zgodne z ofertą producenta. Powierzchnia prowadnicy powinna być gładka i wolna od widocznych wad, bez ubytków powłoki antykorozyjnej.</w:t>
      </w:r>
    </w:p>
    <w:p w14:paraId="3AE75F91" w14:textId="77777777" w:rsidR="00307E20" w:rsidRPr="00307E20" w:rsidRDefault="00307E20" w:rsidP="00307E20">
      <w:pPr>
        <w:pStyle w:val="tekstost"/>
        <w:tabs>
          <w:tab w:val="left" w:pos="9914"/>
        </w:tabs>
        <w:rPr>
          <w:rFonts w:asciiTheme="minorHAnsi" w:hAnsiTheme="minorHAnsi" w:cstheme="minorHAnsi"/>
        </w:rPr>
      </w:pPr>
      <w:r w:rsidRPr="00307E20">
        <w:rPr>
          <w:rFonts w:asciiTheme="minorHAnsi" w:hAnsiTheme="minorHAnsi" w:cstheme="minorHAnsi"/>
        </w:rPr>
        <w:t>Prowadnice mogą być dostarczane luzem lub w wiązkach.</w:t>
      </w:r>
    </w:p>
    <w:p w14:paraId="594A15F1" w14:textId="77777777" w:rsidR="00307E20" w:rsidRPr="00307E20" w:rsidRDefault="00307E20" w:rsidP="00307E20">
      <w:pPr>
        <w:pStyle w:val="tekstost"/>
        <w:tabs>
          <w:tab w:val="left" w:pos="9914"/>
        </w:tabs>
        <w:rPr>
          <w:rFonts w:asciiTheme="minorHAnsi" w:hAnsiTheme="minorHAnsi" w:cstheme="minorHAnsi"/>
          <w:b/>
          <w:bCs/>
          <w:i/>
          <w:iCs/>
        </w:rPr>
      </w:pPr>
      <w:r w:rsidRPr="00307E20">
        <w:rPr>
          <w:rFonts w:asciiTheme="minorHAnsi" w:hAnsiTheme="minorHAnsi" w:cstheme="minorHAnsi"/>
          <w:b/>
          <w:bCs/>
          <w:i/>
          <w:iCs/>
        </w:rPr>
        <w:t>2.2.2. Słupki</w:t>
      </w:r>
    </w:p>
    <w:p w14:paraId="0A389758" w14:textId="77777777" w:rsidR="00307E20" w:rsidRPr="00307E20" w:rsidRDefault="00307E20" w:rsidP="00307E20">
      <w:pPr>
        <w:pStyle w:val="tekstost"/>
        <w:tabs>
          <w:tab w:val="left" w:pos="9914"/>
        </w:tabs>
        <w:rPr>
          <w:rFonts w:asciiTheme="minorHAnsi" w:hAnsiTheme="minorHAnsi" w:cstheme="minorHAnsi"/>
        </w:rPr>
      </w:pPr>
      <w:r w:rsidRPr="00307E20">
        <w:rPr>
          <w:rFonts w:asciiTheme="minorHAnsi" w:hAnsiTheme="minorHAnsi" w:cstheme="minorHAnsi"/>
        </w:rPr>
        <w:t>Kształt, przekrój i wymiary słupków bariery oraz sposób osadzenia słupków w gruncie (bezpośrednio lub np. w kotwach betonowych</w:t>
      </w:r>
      <w:r w:rsidRPr="00307E20">
        <w:rPr>
          <w:rFonts w:asciiTheme="minorHAnsi" w:hAnsiTheme="minorHAnsi" w:cstheme="minorHAnsi"/>
          <w:i/>
          <w:iCs/>
        </w:rPr>
        <w:t xml:space="preserve">) </w:t>
      </w:r>
      <w:r w:rsidRPr="00307E20">
        <w:rPr>
          <w:rFonts w:asciiTheme="minorHAnsi" w:hAnsiTheme="minorHAnsi" w:cstheme="minorHAnsi"/>
        </w:rPr>
        <w:t>muszą być w pełni zgodne z analogicznymi elementami bariery poddanej z wynikiem pozytywnym poligonowym badaniom zderzeniowym zgodnym z wymaganiami PN-EN 1317. Dozwolone jest stosowanie wyłącznie słupków o trzonie monolitycznym lub spawanym wzdłużnie. Nie dopuszcza się stosowania słupków o trzonie spawanym poprzecznie z kształtowników lub rur stalowych. Rozstaw słupków (odległość między słupkami) musi być ścisłe zgodny z projektem oraz rozwiązaniem konstrukcyjnym danego typu i odmiany barier ochronnych, poddanych z wynikiem pozytywnym odpowiednim poligonowym badaniom zderzeniowym. Podobnie sposób posadowienia lub osadzenia słupków bariery (zakotwienie słupków - bezpośrednio w gruncie lub w kotwach betonowych) musi być ściśle zgodny z rozwiązaniem zastosowanym podczas odpowiednich poligonowych badań zderzeniowych.</w:t>
      </w:r>
    </w:p>
    <w:p w14:paraId="3812C7D0" w14:textId="77777777" w:rsidR="00307E20" w:rsidRPr="00307E20" w:rsidRDefault="00307E20" w:rsidP="00307E20">
      <w:pPr>
        <w:pStyle w:val="tekstost"/>
        <w:tabs>
          <w:tab w:val="left" w:pos="9914"/>
        </w:tabs>
        <w:rPr>
          <w:rFonts w:asciiTheme="minorHAnsi" w:hAnsiTheme="minorHAnsi" w:cstheme="minorHAnsi"/>
        </w:rPr>
      </w:pPr>
      <w:r w:rsidRPr="00307E20">
        <w:rPr>
          <w:rFonts w:asciiTheme="minorHAnsi" w:hAnsiTheme="minorHAnsi" w:cstheme="minorHAnsi"/>
        </w:rPr>
        <w:t>Powierzchnia kształtownika powinna być wolna od wad, takich jak widoczne łuski, pęknięcia, zawalcowania i naderwania. Dopuszczalne są usunięte wady przez szlifowanie lub dłutowanie z tym, że obrobiona powierzchnia powinna mieć łagodne wycięcia i zaokrąglone brzegi, a grubość kształtownika nie może zmniejszyć się poza dopuszczalną dolną odchyłkę wymiarową dla kształtownika. Proces usuwania wszelkich nierówności powinien odbywać się przed cynkowaniem.</w:t>
      </w:r>
    </w:p>
    <w:p w14:paraId="43883CEC" w14:textId="77777777" w:rsidR="00307E20" w:rsidRPr="00307E20" w:rsidRDefault="00307E20" w:rsidP="00307E20">
      <w:pPr>
        <w:pStyle w:val="tekstost"/>
        <w:tabs>
          <w:tab w:val="left" w:pos="9914"/>
        </w:tabs>
        <w:rPr>
          <w:rFonts w:asciiTheme="minorHAnsi" w:hAnsiTheme="minorHAnsi" w:cstheme="minorHAnsi"/>
        </w:rPr>
      </w:pPr>
      <w:r w:rsidRPr="00307E20">
        <w:rPr>
          <w:rFonts w:asciiTheme="minorHAnsi" w:hAnsiTheme="minorHAnsi" w:cstheme="minorHAnsi"/>
        </w:rPr>
        <w:t>Powierzchnia końców kształtownika nie powinna wykazywać żadnych rozwarstwień, pęknięć i śladów jamy skurczowej widocznych nieuzbrojonym okiem. Kształtowniki powinny być ze stali S235JR lub S355JR o właściwościach mechanicznych podanych w normie PN-EN 10025 lub jej zamienników.</w:t>
      </w:r>
    </w:p>
    <w:p w14:paraId="5C95F2B7" w14:textId="77777777" w:rsidR="00307E20" w:rsidRPr="00307E20" w:rsidRDefault="00307E20" w:rsidP="00307E20">
      <w:pPr>
        <w:pStyle w:val="tekstost"/>
        <w:tabs>
          <w:tab w:val="left" w:pos="9914"/>
        </w:tabs>
        <w:rPr>
          <w:rFonts w:asciiTheme="minorHAnsi" w:hAnsiTheme="minorHAnsi" w:cstheme="minorHAnsi"/>
        </w:rPr>
      </w:pPr>
      <w:r w:rsidRPr="00307E20">
        <w:rPr>
          <w:rFonts w:asciiTheme="minorHAnsi" w:hAnsiTheme="minorHAnsi" w:cstheme="minorHAnsi"/>
        </w:rPr>
        <w:t>Kształtowniki mogą być dostarczone luzem lub w wiązkach.</w:t>
      </w:r>
    </w:p>
    <w:p w14:paraId="7F8D2D2B" w14:textId="77777777" w:rsidR="00307E20" w:rsidRPr="00307E20" w:rsidRDefault="00307E20" w:rsidP="00307E20">
      <w:pPr>
        <w:pStyle w:val="tekstost"/>
        <w:tabs>
          <w:tab w:val="left" w:pos="9914"/>
        </w:tabs>
        <w:rPr>
          <w:rFonts w:asciiTheme="minorHAnsi" w:hAnsiTheme="minorHAnsi" w:cstheme="minorHAnsi"/>
          <w:b/>
          <w:bCs/>
          <w:i/>
          <w:iCs/>
        </w:rPr>
      </w:pPr>
      <w:r w:rsidRPr="00307E20">
        <w:rPr>
          <w:rFonts w:asciiTheme="minorHAnsi" w:hAnsiTheme="minorHAnsi" w:cstheme="minorHAnsi"/>
          <w:b/>
          <w:bCs/>
          <w:i/>
          <w:iCs/>
        </w:rPr>
        <w:t>2.2.3 Wysięgniki, przekładki, wsporniki</w:t>
      </w:r>
    </w:p>
    <w:p w14:paraId="660AD0E4" w14:textId="77777777" w:rsidR="00307E20" w:rsidRPr="00307E20" w:rsidRDefault="00307E20" w:rsidP="00307E20">
      <w:pPr>
        <w:pStyle w:val="tekstost"/>
        <w:tabs>
          <w:tab w:val="left" w:pos="9914"/>
        </w:tabs>
        <w:rPr>
          <w:rFonts w:asciiTheme="minorHAnsi" w:hAnsiTheme="minorHAnsi" w:cstheme="minorHAnsi"/>
        </w:rPr>
      </w:pPr>
      <w:r w:rsidRPr="00307E20">
        <w:rPr>
          <w:rFonts w:asciiTheme="minorHAnsi" w:hAnsiTheme="minorHAnsi" w:cstheme="minorHAnsi"/>
        </w:rPr>
        <w:t>Konstrukcja, wymiary i materiał wysięgników, przekładek i wsporników, podobnie jak i innych zespołów i części składowych barier, muszą być identyczne jak zastosowane w danym typie i odmianie bariery podczas przeprowadzonych z wynikiem pozytywnym poligonowych badań zderzeniowych i zgodne z przedstawioną w postępowaniu przetargowym dokumentacją konstrukcyjną</w:t>
      </w:r>
    </w:p>
    <w:p w14:paraId="47FCA7D9" w14:textId="77777777" w:rsidR="00307E20" w:rsidRPr="00307E20" w:rsidRDefault="00307E20" w:rsidP="00307E20">
      <w:pPr>
        <w:pStyle w:val="tekstost"/>
        <w:tabs>
          <w:tab w:val="left" w:pos="9914"/>
        </w:tabs>
        <w:rPr>
          <w:rFonts w:asciiTheme="minorHAnsi" w:hAnsiTheme="minorHAnsi" w:cstheme="minorHAnsi"/>
          <w:b/>
          <w:bCs/>
          <w:i/>
          <w:iCs/>
        </w:rPr>
      </w:pPr>
      <w:r w:rsidRPr="00307E20">
        <w:rPr>
          <w:rFonts w:asciiTheme="minorHAnsi" w:hAnsiTheme="minorHAnsi" w:cstheme="minorHAnsi"/>
          <w:b/>
          <w:bCs/>
          <w:i/>
          <w:iCs/>
        </w:rPr>
        <w:t>2.2.4. Zabezpieczenie antykorozyjne</w:t>
      </w:r>
    </w:p>
    <w:p w14:paraId="42C014B0" w14:textId="77777777" w:rsidR="00307E20" w:rsidRPr="00307E20" w:rsidRDefault="00307E20" w:rsidP="00307E20">
      <w:pPr>
        <w:pStyle w:val="tekstost"/>
        <w:tabs>
          <w:tab w:val="left" w:pos="9914"/>
        </w:tabs>
        <w:rPr>
          <w:rFonts w:asciiTheme="minorHAnsi" w:hAnsiTheme="minorHAnsi" w:cstheme="minorHAnsi"/>
        </w:rPr>
      </w:pPr>
      <w:r w:rsidRPr="00307E20">
        <w:rPr>
          <w:rFonts w:asciiTheme="minorHAnsi" w:hAnsiTheme="minorHAnsi" w:cstheme="minorHAnsi"/>
        </w:rPr>
        <w:t>Wszystkie elementy stalowe barier ochronnych, w tym prowadnice, słupki, wysięgniki lub przekładki jak również wszystkie elementy łączące (śruby, nakrętki, kliny, podkładki itp.) musza być zabezpieczone przeciwkorozyjnym cynkowaniem ogniowym spełniającym wymagania PN-EN ISO 1461 lub EN 10346.</w:t>
      </w:r>
    </w:p>
    <w:p w14:paraId="5DE66A25" w14:textId="77777777" w:rsidR="00307E20" w:rsidRPr="00307E20" w:rsidRDefault="00307E20" w:rsidP="00307E20">
      <w:pPr>
        <w:pStyle w:val="tekstost"/>
        <w:tabs>
          <w:tab w:val="left" w:pos="9914"/>
        </w:tabs>
        <w:rPr>
          <w:rFonts w:asciiTheme="minorHAnsi" w:hAnsiTheme="minorHAnsi" w:cstheme="minorHAnsi"/>
        </w:rPr>
      </w:pPr>
      <w:r w:rsidRPr="00307E20">
        <w:rPr>
          <w:rFonts w:asciiTheme="minorHAnsi" w:hAnsiTheme="minorHAnsi" w:cstheme="minorHAnsi"/>
        </w:rPr>
        <w:t>Żaden z elementów bariery, w tym prowadnice i słupki, nie może być przecinany, gięty, doginany lub spawany w sposób, powodujący naruszenie lub uszkodzenie ochronnej powłoki cynkowej.</w:t>
      </w:r>
    </w:p>
    <w:p w14:paraId="6B82EED9" w14:textId="77777777" w:rsidR="00307E20" w:rsidRPr="00307E20" w:rsidRDefault="00307E20" w:rsidP="00307E20">
      <w:pPr>
        <w:pStyle w:val="tekstost"/>
        <w:tabs>
          <w:tab w:val="left" w:pos="9914"/>
        </w:tabs>
        <w:rPr>
          <w:rFonts w:asciiTheme="minorHAnsi" w:hAnsiTheme="minorHAnsi" w:cstheme="minorHAnsi"/>
        </w:rPr>
      </w:pPr>
      <w:r w:rsidRPr="00307E20">
        <w:rPr>
          <w:rFonts w:asciiTheme="minorHAnsi" w:hAnsiTheme="minorHAnsi" w:cstheme="minorHAnsi"/>
        </w:rPr>
        <w:t>Wyjątkowo, w przypadku wystąpienia takiego uszkodzenia przy równoczesnej niemożności zastąpienia uszkodzonego elementu - elementem nowym, dopuszcza się lokalnie zabezpieczenie uszkodzonej powierzchni odpowiednimi chemicznymi powłokami przeciwkorozyjnymi.</w:t>
      </w:r>
    </w:p>
    <w:p w14:paraId="1911D9C5" w14:textId="77777777" w:rsidR="00307E20" w:rsidRPr="00307E20" w:rsidRDefault="00307E20" w:rsidP="00307E20">
      <w:pPr>
        <w:pStyle w:val="tekstost"/>
        <w:tabs>
          <w:tab w:val="left" w:pos="9914"/>
        </w:tabs>
        <w:rPr>
          <w:rFonts w:asciiTheme="minorHAnsi" w:hAnsiTheme="minorHAnsi" w:cstheme="minorHAnsi"/>
          <w:b/>
          <w:bCs/>
          <w:i/>
          <w:iCs/>
        </w:rPr>
      </w:pPr>
      <w:r w:rsidRPr="00307E20">
        <w:rPr>
          <w:rFonts w:asciiTheme="minorHAnsi" w:hAnsiTheme="minorHAnsi" w:cstheme="minorHAnsi"/>
          <w:b/>
          <w:bCs/>
          <w:i/>
          <w:iCs/>
        </w:rPr>
        <w:t>2.2.5. Beton</w:t>
      </w:r>
    </w:p>
    <w:p w14:paraId="5CDC1370" w14:textId="77777777" w:rsidR="00307E20" w:rsidRPr="00307E20" w:rsidRDefault="00307E20" w:rsidP="00307E20">
      <w:pPr>
        <w:pStyle w:val="tekstost"/>
        <w:tabs>
          <w:tab w:val="left" w:pos="9914"/>
        </w:tabs>
        <w:rPr>
          <w:rFonts w:asciiTheme="minorHAnsi" w:hAnsiTheme="minorHAnsi" w:cstheme="minorHAnsi"/>
        </w:rPr>
      </w:pPr>
      <w:r w:rsidRPr="00307E20">
        <w:rPr>
          <w:rFonts w:asciiTheme="minorHAnsi" w:hAnsiTheme="minorHAnsi" w:cstheme="minorHAnsi"/>
        </w:rPr>
        <w:t>Beton winien być klasy nie niższej niż C25/30 wg PN-EN 206-1:2003.</w:t>
      </w:r>
    </w:p>
    <w:p w14:paraId="01E2845C" w14:textId="77777777" w:rsidR="00307E20" w:rsidRPr="00307E20" w:rsidRDefault="00307E20" w:rsidP="00307E20">
      <w:pPr>
        <w:pStyle w:val="Nagwek4"/>
        <w:tabs>
          <w:tab w:val="left" w:pos="9914"/>
        </w:tabs>
        <w:rPr>
          <w:rStyle w:val="podpunkt"/>
          <w:rFonts w:asciiTheme="minorHAnsi" w:hAnsiTheme="minorHAnsi" w:cstheme="minorHAnsi"/>
          <w:b/>
          <w:bCs/>
        </w:rPr>
      </w:pPr>
      <w:r w:rsidRPr="00307E20">
        <w:rPr>
          <w:rStyle w:val="podpunkt"/>
          <w:rFonts w:asciiTheme="minorHAnsi" w:hAnsiTheme="minorHAnsi" w:cstheme="minorHAnsi"/>
        </w:rPr>
        <w:t>2.3. Inne elementy bariery ochronnej - wymagania</w:t>
      </w:r>
    </w:p>
    <w:p w14:paraId="69FC7AA3" w14:textId="77777777" w:rsidR="00307E20" w:rsidRPr="00307E20" w:rsidRDefault="00307E20" w:rsidP="00307E20">
      <w:pPr>
        <w:pStyle w:val="tekstost"/>
        <w:tabs>
          <w:tab w:val="left" w:pos="9914"/>
        </w:tabs>
        <w:rPr>
          <w:rFonts w:asciiTheme="minorHAnsi" w:hAnsiTheme="minorHAnsi" w:cstheme="minorHAnsi"/>
        </w:rPr>
      </w:pPr>
      <w:r w:rsidRPr="00307E20">
        <w:rPr>
          <w:rFonts w:asciiTheme="minorHAnsi" w:hAnsiTheme="minorHAnsi" w:cstheme="minorHAnsi"/>
        </w:rPr>
        <w:t>Jeśli przewiduje się stosowanie pasa profilowego, to powinien on odpowiadać PN-H-93461-28 w zakresie wymiarów, masy, wielkości statycznych i odchyłek wymiarów przekroju poprzecznego.</w:t>
      </w:r>
    </w:p>
    <w:p w14:paraId="15F9A86B" w14:textId="77777777" w:rsidR="00307E20" w:rsidRPr="00307E20" w:rsidRDefault="00307E20" w:rsidP="00307E20">
      <w:pPr>
        <w:pStyle w:val="tekstost"/>
        <w:tabs>
          <w:tab w:val="left" w:pos="9914"/>
        </w:tabs>
        <w:rPr>
          <w:rFonts w:asciiTheme="minorHAnsi" w:hAnsiTheme="minorHAnsi" w:cstheme="minorHAnsi"/>
        </w:rPr>
      </w:pPr>
      <w:r w:rsidRPr="00307E20">
        <w:rPr>
          <w:rFonts w:asciiTheme="minorHAnsi" w:hAnsiTheme="minorHAnsi" w:cstheme="minorHAnsi"/>
        </w:rPr>
        <w:t>Inne elementy bariery, jak wysięgniki, łączniki ukośne, obejmy słupka, wsporniki, podkładki, przekładki, śruby, światła odblaskowe itp. Powinny być zgodne z ofertą producenta barier w zakresie wymiarów, odchyłek wymiarów, rozmieszczenia otworów, rodzaju materiału, ew. zabezpieczenia antykorozyjnego itp. Materiały dla tych elementów powinny być wykonane ze stali S235JR, S355J2, S355JR lub ze stali specjalnych o właściwościach mechanicznych podanych w normie PN-EN 10025.</w:t>
      </w:r>
    </w:p>
    <w:p w14:paraId="25BEDC40" w14:textId="77777777" w:rsidR="00307E20" w:rsidRPr="00307E20" w:rsidRDefault="00307E20" w:rsidP="00307E20">
      <w:pPr>
        <w:pStyle w:val="tekstost"/>
        <w:tabs>
          <w:tab w:val="left" w:pos="9914"/>
        </w:tabs>
        <w:rPr>
          <w:rFonts w:asciiTheme="minorHAnsi" w:hAnsiTheme="minorHAnsi" w:cstheme="minorHAnsi"/>
        </w:rPr>
      </w:pPr>
      <w:r w:rsidRPr="00307E20">
        <w:rPr>
          <w:rFonts w:asciiTheme="minorHAnsi" w:hAnsiTheme="minorHAnsi" w:cstheme="minorHAnsi"/>
        </w:rPr>
        <w:t>Wszystkie ocynkowane elementy i łączniki przewidziane do mocowania między sobą elementów bariery powinny być czyste, gładkie, bez pęknięć, naderwań, rozwarstwień i wypukłych karbów.</w:t>
      </w:r>
    </w:p>
    <w:p w14:paraId="261452C0" w14:textId="77777777" w:rsidR="00307E20" w:rsidRPr="00307E20" w:rsidRDefault="00307E20" w:rsidP="00307E20">
      <w:pPr>
        <w:pStyle w:val="tekstost"/>
        <w:tabs>
          <w:tab w:val="left" w:pos="9914"/>
        </w:tabs>
        <w:rPr>
          <w:rFonts w:asciiTheme="minorHAnsi" w:hAnsiTheme="minorHAnsi" w:cstheme="minorHAnsi"/>
        </w:rPr>
      </w:pPr>
      <w:r w:rsidRPr="00307E20">
        <w:rPr>
          <w:rFonts w:asciiTheme="minorHAnsi" w:hAnsiTheme="minorHAnsi" w:cstheme="minorHAnsi"/>
        </w:rPr>
        <w:t>Dostawa większych wymiarowo elementów bariery może być dokonana luzem lub w wiązkach. Śruby, podkładki i drobniejsze elementy łącznikowe mogą być dostarczone w pudełkach tekturowych, pojemnikach blaszanych lub paletach, w zależności od wielkości i masy wyrobów.</w:t>
      </w:r>
    </w:p>
    <w:p w14:paraId="74B75EDF" w14:textId="77777777" w:rsidR="00307E20" w:rsidRPr="00307E20" w:rsidRDefault="00307E20" w:rsidP="00307E20">
      <w:pPr>
        <w:pStyle w:val="tekstost"/>
        <w:tabs>
          <w:tab w:val="left" w:pos="9914"/>
        </w:tabs>
        <w:rPr>
          <w:rFonts w:asciiTheme="minorHAnsi" w:hAnsiTheme="minorHAnsi" w:cstheme="minorHAnsi"/>
        </w:rPr>
      </w:pPr>
      <w:r w:rsidRPr="00307E20">
        <w:rPr>
          <w:rFonts w:asciiTheme="minorHAnsi" w:hAnsiTheme="minorHAnsi" w:cstheme="minorHAnsi"/>
        </w:rPr>
        <w:t>Elementy bariery powinny być przechowywane w pomieszczeniach suchych, z dala od materiałów działających korodująco i w warunkach zabezpieczających przed uszkodzeniem.</w:t>
      </w:r>
    </w:p>
    <w:p w14:paraId="39BF8A06" w14:textId="77777777" w:rsidR="00307E20" w:rsidRPr="00307E20" w:rsidRDefault="00307E20" w:rsidP="00307E20">
      <w:pPr>
        <w:pStyle w:val="Nagwek4"/>
        <w:tabs>
          <w:tab w:val="left" w:pos="9914"/>
        </w:tabs>
        <w:rPr>
          <w:rStyle w:val="podpunkt"/>
          <w:rFonts w:asciiTheme="minorHAnsi" w:hAnsiTheme="minorHAnsi" w:cstheme="minorHAnsi"/>
          <w:b/>
          <w:bCs/>
        </w:rPr>
      </w:pPr>
      <w:r w:rsidRPr="00307E20">
        <w:rPr>
          <w:rStyle w:val="podpunkt"/>
          <w:rFonts w:asciiTheme="minorHAnsi" w:hAnsiTheme="minorHAnsi" w:cstheme="minorHAnsi"/>
        </w:rPr>
        <w:t>2.4. Zabezpieczenie metalowych elementów bariery przed korozją</w:t>
      </w:r>
    </w:p>
    <w:p w14:paraId="041EC926" w14:textId="77777777" w:rsidR="00307E20" w:rsidRPr="00307E20" w:rsidRDefault="00307E20" w:rsidP="00307E20">
      <w:pPr>
        <w:pStyle w:val="tekstost"/>
        <w:tabs>
          <w:tab w:val="left" w:pos="9914"/>
        </w:tabs>
        <w:rPr>
          <w:rFonts w:asciiTheme="minorHAnsi" w:hAnsiTheme="minorHAnsi" w:cstheme="minorHAnsi"/>
        </w:rPr>
      </w:pPr>
      <w:r w:rsidRPr="00307E20">
        <w:rPr>
          <w:rFonts w:asciiTheme="minorHAnsi" w:hAnsiTheme="minorHAnsi" w:cstheme="minorHAnsi"/>
        </w:rPr>
        <w:t>Sposób zabezpieczenia antykorozyjnego elementów bariery ustala producent w taki sposób, aby zapewnić trwałość powłoki antykorozyjnej przez okres 5 do 10 lat w warunkach normalnych, do co najmniej 3 do 5 lat w środowisku o zwiększonej korozyjności. Powłoka cynkowa powinna odpowiadać wymaganiom PN-EN ISO 1461 lub EN 10346. Ubytki powłoki i uszkodzenia podczas montażu, nie dyskwalifikujące elementów, należy naprawiać na budowie przez cynkowanie natryskowe lub malowanie zestawem farb wysokocynkowych.</w:t>
      </w:r>
    </w:p>
    <w:p w14:paraId="2C17566D" w14:textId="77777777" w:rsidR="00307E20" w:rsidRPr="00307E20" w:rsidRDefault="00307E20" w:rsidP="00307E20">
      <w:pPr>
        <w:pStyle w:val="Nagwek3"/>
        <w:rPr>
          <w:rStyle w:val="podpunkt"/>
          <w:rFonts w:asciiTheme="minorHAnsi" w:hAnsiTheme="minorHAnsi" w:cstheme="minorHAnsi"/>
          <w:b/>
          <w:bCs/>
        </w:rPr>
      </w:pPr>
      <w:r w:rsidRPr="00307E20">
        <w:rPr>
          <w:rStyle w:val="podpunkt"/>
          <w:rFonts w:asciiTheme="minorHAnsi" w:hAnsiTheme="minorHAnsi" w:cstheme="minorHAnsi"/>
          <w:b/>
          <w:bCs/>
        </w:rPr>
        <w:t>3. Sprzęt</w:t>
      </w:r>
    </w:p>
    <w:p w14:paraId="165B601A" w14:textId="77777777" w:rsidR="00307E20" w:rsidRPr="00307E20" w:rsidRDefault="00307E20" w:rsidP="00307E20">
      <w:pPr>
        <w:pStyle w:val="tekstost"/>
        <w:tabs>
          <w:tab w:val="left" w:pos="9914"/>
        </w:tabs>
        <w:rPr>
          <w:rFonts w:asciiTheme="minorHAnsi" w:hAnsiTheme="minorHAnsi" w:cstheme="minorHAnsi"/>
          <w:snapToGrid w:val="0"/>
        </w:rPr>
      </w:pPr>
      <w:r w:rsidRPr="00307E20">
        <w:rPr>
          <w:rFonts w:asciiTheme="minorHAnsi" w:hAnsiTheme="minorHAnsi" w:cstheme="minorHAnsi"/>
          <w:snapToGrid w:val="0"/>
        </w:rPr>
        <w:t>Wykonawca powinien posiadać sprzęt:</w:t>
      </w:r>
    </w:p>
    <w:p w14:paraId="4A828A61" w14:textId="77777777" w:rsidR="00307E20" w:rsidRPr="00307E20" w:rsidRDefault="00307E20" w:rsidP="00307E20">
      <w:pPr>
        <w:pStyle w:val="tekstost"/>
        <w:tabs>
          <w:tab w:val="left" w:pos="9914"/>
        </w:tabs>
        <w:rPr>
          <w:rFonts w:asciiTheme="minorHAnsi" w:hAnsiTheme="minorHAnsi" w:cstheme="minorHAnsi"/>
          <w:snapToGrid w:val="0"/>
        </w:rPr>
      </w:pPr>
      <w:r w:rsidRPr="00307E20">
        <w:rPr>
          <w:rFonts w:asciiTheme="minorHAnsi" w:hAnsiTheme="minorHAnsi" w:cstheme="minorHAnsi"/>
          <w:snapToGrid w:val="0"/>
        </w:rPr>
        <w:t>do wbijania słupków bariery ochronnej np. wibromłoty z odpowiednimi nasadkami ochronnymi.</w:t>
      </w:r>
    </w:p>
    <w:p w14:paraId="0D038947" w14:textId="77777777" w:rsidR="00307E20" w:rsidRPr="00307E20" w:rsidRDefault="00307E20" w:rsidP="00307E20">
      <w:pPr>
        <w:pStyle w:val="tekstost"/>
        <w:tabs>
          <w:tab w:val="left" w:pos="9914"/>
        </w:tabs>
        <w:rPr>
          <w:rFonts w:asciiTheme="minorHAnsi" w:hAnsiTheme="minorHAnsi" w:cstheme="minorHAnsi"/>
          <w:snapToGrid w:val="0"/>
        </w:rPr>
      </w:pPr>
      <w:r w:rsidRPr="00307E20">
        <w:rPr>
          <w:rFonts w:asciiTheme="minorHAnsi" w:hAnsiTheme="minorHAnsi" w:cstheme="minorHAnsi"/>
          <w:snapToGrid w:val="0"/>
        </w:rPr>
        <w:t>Zestaw sprzętu specjalistycznego do montażu barier</w:t>
      </w:r>
    </w:p>
    <w:p w14:paraId="5BB61AB2" w14:textId="77777777" w:rsidR="00307E20" w:rsidRPr="00307E20" w:rsidRDefault="00307E20" w:rsidP="00307E20">
      <w:pPr>
        <w:pStyle w:val="tekstost"/>
        <w:tabs>
          <w:tab w:val="left" w:pos="9914"/>
        </w:tabs>
        <w:rPr>
          <w:rFonts w:asciiTheme="minorHAnsi" w:hAnsiTheme="minorHAnsi" w:cstheme="minorHAnsi"/>
          <w:snapToGrid w:val="0"/>
        </w:rPr>
      </w:pPr>
      <w:r w:rsidRPr="00307E20">
        <w:rPr>
          <w:rFonts w:asciiTheme="minorHAnsi" w:hAnsiTheme="minorHAnsi" w:cstheme="minorHAnsi"/>
          <w:snapToGrid w:val="0"/>
        </w:rPr>
        <w:t>Koparka kołowa</w:t>
      </w:r>
    </w:p>
    <w:p w14:paraId="742AF774" w14:textId="77777777" w:rsidR="00307E20" w:rsidRPr="00307E20" w:rsidRDefault="00307E20" w:rsidP="00307E20">
      <w:pPr>
        <w:pStyle w:val="tekstost"/>
        <w:tabs>
          <w:tab w:val="left" w:pos="9914"/>
        </w:tabs>
        <w:rPr>
          <w:rFonts w:asciiTheme="minorHAnsi" w:hAnsiTheme="minorHAnsi" w:cstheme="minorHAnsi"/>
          <w:snapToGrid w:val="0"/>
        </w:rPr>
      </w:pPr>
      <w:r w:rsidRPr="00307E20">
        <w:rPr>
          <w:rFonts w:asciiTheme="minorHAnsi" w:hAnsiTheme="minorHAnsi" w:cstheme="minorHAnsi"/>
          <w:snapToGrid w:val="0"/>
        </w:rPr>
        <w:t>Wkrętarki udarowe</w:t>
      </w:r>
    </w:p>
    <w:p w14:paraId="2F640059" w14:textId="77777777" w:rsidR="00307E20" w:rsidRPr="00307E20" w:rsidRDefault="00307E20" w:rsidP="00307E20">
      <w:pPr>
        <w:pStyle w:val="tekstost"/>
        <w:tabs>
          <w:tab w:val="left" w:pos="9914"/>
        </w:tabs>
        <w:rPr>
          <w:rFonts w:asciiTheme="minorHAnsi" w:hAnsiTheme="minorHAnsi" w:cstheme="minorHAnsi"/>
          <w:snapToGrid w:val="0"/>
        </w:rPr>
      </w:pPr>
      <w:r w:rsidRPr="00307E20">
        <w:rPr>
          <w:rFonts w:asciiTheme="minorHAnsi" w:hAnsiTheme="minorHAnsi" w:cstheme="minorHAnsi"/>
          <w:snapToGrid w:val="0"/>
        </w:rPr>
        <w:t>Środki pomiarowe</w:t>
      </w:r>
    </w:p>
    <w:p w14:paraId="2A6E1CB1" w14:textId="77777777" w:rsidR="00307E20" w:rsidRPr="00307E20" w:rsidRDefault="00307E20" w:rsidP="00307E20">
      <w:pPr>
        <w:pStyle w:val="tekstost"/>
        <w:tabs>
          <w:tab w:val="left" w:pos="9914"/>
        </w:tabs>
        <w:rPr>
          <w:rFonts w:asciiTheme="minorHAnsi" w:hAnsiTheme="minorHAnsi" w:cstheme="minorHAnsi"/>
          <w:snapToGrid w:val="0"/>
        </w:rPr>
      </w:pPr>
      <w:r w:rsidRPr="00307E20">
        <w:rPr>
          <w:rFonts w:asciiTheme="minorHAnsi" w:hAnsiTheme="minorHAnsi" w:cstheme="minorHAnsi"/>
          <w:snapToGrid w:val="0"/>
        </w:rPr>
        <w:t xml:space="preserve"> Powyższy sprzęt powinien uzyskać akceptację Inżyniera i zabezpieczać wbijane słupki przed uszkodzeniem.</w:t>
      </w:r>
    </w:p>
    <w:p w14:paraId="5D4F7B48" w14:textId="77777777" w:rsidR="00307E20" w:rsidRPr="00307E20" w:rsidRDefault="00307E20" w:rsidP="00307E20">
      <w:pPr>
        <w:pStyle w:val="Nagwek3"/>
        <w:rPr>
          <w:rFonts w:asciiTheme="minorHAnsi" w:hAnsiTheme="minorHAnsi" w:cstheme="minorHAnsi"/>
          <w:snapToGrid w:val="0"/>
        </w:rPr>
      </w:pPr>
      <w:r w:rsidRPr="00307E20">
        <w:rPr>
          <w:rFonts w:asciiTheme="minorHAnsi" w:hAnsiTheme="minorHAnsi" w:cstheme="minorHAnsi"/>
          <w:snapToGrid w:val="0"/>
        </w:rPr>
        <w:t>4. Transport</w:t>
      </w:r>
    </w:p>
    <w:p w14:paraId="4D394FD9" w14:textId="77777777" w:rsidR="00307E20" w:rsidRPr="00307E20" w:rsidRDefault="00307E20" w:rsidP="00307E20">
      <w:pPr>
        <w:pStyle w:val="tekstost"/>
        <w:tabs>
          <w:tab w:val="left" w:pos="9914"/>
        </w:tabs>
        <w:rPr>
          <w:rFonts w:asciiTheme="minorHAnsi" w:hAnsiTheme="minorHAnsi" w:cstheme="minorHAnsi"/>
          <w:snapToGrid w:val="0"/>
        </w:rPr>
      </w:pPr>
      <w:r w:rsidRPr="00307E20">
        <w:rPr>
          <w:rFonts w:asciiTheme="minorHAnsi" w:hAnsiTheme="minorHAnsi" w:cstheme="minorHAnsi"/>
          <w:snapToGrid w:val="0"/>
        </w:rPr>
        <w:t>Elementy barier ochronnych stalowych mogą być przewożone dowolnymi środkami transportu. Należy je ułożyć równomiernie na całej powierzchni ładunkowej i zabezpieczyć przed możliwością przesuwania się i uszkodzenia podczas transportu, wg zaleceń producenta.</w:t>
      </w:r>
    </w:p>
    <w:p w14:paraId="2AB917BE" w14:textId="77777777" w:rsidR="00307E20" w:rsidRPr="00307E20" w:rsidRDefault="00307E20" w:rsidP="00307E20">
      <w:pPr>
        <w:pStyle w:val="tekstost"/>
        <w:tabs>
          <w:tab w:val="left" w:pos="9914"/>
        </w:tabs>
        <w:rPr>
          <w:rFonts w:asciiTheme="minorHAnsi" w:hAnsiTheme="minorHAnsi" w:cstheme="minorHAnsi"/>
        </w:rPr>
      </w:pPr>
      <w:r w:rsidRPr="00307E20">
        <w:rPr>
          <w:rFonts w:asciiTheme="minorHAnsi" w:hAnsiTheme="minorHAnsi" w:cstheme="minorHAnsi"/>
        </w:rPr>
        <w:t>Elementy dłuższe (np. profilowaną taśmę stalową, pasy profilowe) należy przewozić w opakowaniach producenta. Elementy montażowe i połączeniowe zaleca się przewozić w pojemnikach handlowych producenta.</w:t>
      </w:r>
    </w:p>
    <w:p w14:paraId="19D09AAF" w14:textId="77777777" w:rsidR="00307E20" w:rsidRPr="00307E20" w:rsidRDefault="00307E20" w:rsidP="00307E20">
      <w:pPr>
        <w:pStyle w:val="tekstost"/>
        <w:tabs>
          <w:tab w:val="left" w:pos="9914"/>
        </w:tabs>
        <w:rPr>
          <w:rFonts w:asciiTheme="minorHAnsi" w:hAnsiTheme="minorHAnsi" w:cstheme="minorHAnsi"/>
        </w:rPr>
      </w:pPr>
      <w:r w:rsidRPr="00307E20">
        <w:rPr>
          <w:rFonts w:asciiTheme="minorHAnsi" w:hAnsiTheme="minorHAnsi" w:cstheme="minorHAnsi"/>
        </w:rPr>
        <w:t>Załadunek i wyładunek elementów konstrukcji barier można dokonywać za pomocą żurawi lub ręcznie. Przy załadunku i wyładunku, należy zabezpieczyć elementy konstrukcji przed pomieszaniem. Elementy barier należy przewozić w warunkach zabezpieczających wyroby przed korozją i uszkodzeniami mechanicznymi.</w:t>
      </w:r>
    </w:p>
    <w:p w14:paraId="72CAEA10" w14:textId="77777777" w:rsidR="00307E20" w:rsidRPr="00307E20" w:rsidRDefault="00307E20" w:rsidP="00307E20">
      <w:pPr>
        <w:pStyle w:val="Nagwek3"/>
        <w:rPr>
          <w:rStyle w:val="podpunkt"/>
          <w:rFonts w:asciiTheme="minorHAnsi" w:hAnsiTheme="minorHAnsi" w:cstheme="minorHAnsi"/>
          <w:b/>
          <w:bCs/>
        </w:rPr>
      </w:pPr>
      <w:r w:rsidRPr="00307E20">
        <w:rPr>
          <w:rStyle w:val="podpunkt"/>
          <w:rFonts w:asciiTheme="minorHAnsi" w:hAnsiTheme="minorHAnsi" w:cstheme="minorHAnsi"/>
          <w:b/>
          <w:bCs/>
        </w:rPr>
        <w:t>5. Wykonanie robót</w:t>
      </w:r>
    </w:p>
    <w:p w14:paraId="6D825462" w14:textId="77777777" w:rsidR="00307E20" w:rsidRPr="00307E20" w:rsidRDefault="00307E20" w:rsidP="00307E20">
      <w:pPr>
        <w:pStyle w:val="Nagwek4"/>
        <w:tabs>
          <w:tab w:val="left" w:pos="9914"/>
        </w:tabs>
        <w:rPr>
          <w:rStyle w:val="podpunkt"/>
          <w:rFonts w:asciiTheme="minorHAnsi" w:hAnsiTheme="minorHAnsi" w:cstheme="minorHAnsi"/>
          <w:b/>
          <w:bCs/>
        </w:rPr>
      </w:pPr>
      <w:r w:rsidRPr="00307E20">
        <w:rPr>
          <w:rStyle w:val="podpunkt"/>
          <w:rFonts w:asciiTheme="minorHAnsi" w:hAnsiTheme="minorHAnsi" w:cstheme="minorHAnsi"/>
          <w:b/>
          <w:bCs/>
        </w:rPr>
        <w:t>5.1 Ogólne warunki wykonania robót</w:t>
      </w:r>
    </w:p>
    <w:p w14:paraId="3BEC1515" w14:textId="0D005ED1" w:rsidR="00307E20" w:rsidRPr="00307E20" w:rsidRDefault="00307E20" w:rsidP="00307E20">
      <w:pPr>
        <w:pStyle w:val="tekstost"/>
        <w:tabs>
          <w:tab w:val="left" w:pos="9914"/>
        </w:tabs>
        <w:rPr>
          <w:rFonts w:asciiTheme="minorHAnsi" w:hAnsiTheme="minorHAnsi" w:cstheme="minorHAnsi"/>
          <w:snapToGrid w:val="0"/>
        </w:rPr>
      </w:pPr>
      <w:r w:rsidRPr="00307E20">
        <w:rPr>
          <w:rFonts w:asciiTheme="minorHAnsi" w:hAnsiTheme="minorHAnsi" w:cstheme="minorHAnsi"/>
          <w:snapToGrid w:val="0"/>
        </w:rPr>
        <w:t>Ogólne warunki wykonania robót podano w</w:t>
      </w:r>
      <w:r w:rsidR="00C62A07">
        <w:rPr>
          <w:rFonts w:asciiTheme="minorHAnsi" w:hAnsiTheme="minorHAnsi" w:cstheme="minorHAnsi"/>
          <w:snapToGrid w:val="0"/>
        </w:rPr>
        <w:t xml:space="preserve"> ST</w:t>
      </w:r>
      <w:r>
        <w:rPr>
          <w:rFonts w:asciiTheme="minorHAnsi" w:hAnsiTheme="minorHAnsi" w:cstheme="minorHAnsi"/>
          <w:snapToGrid w:val="0"/>
        </w:rPr>
        <w:t>WIORB</w:t>
      </w:r>
      <w:r w:rsidRPr="00307E20">
        <w:rPr>
          <w:rFonts w:asciiTheme="minorHAnsi" w:hAnsiTheme="minorHAnsi" w:cstheme="minorHAnsi"/>
          <w:snapToGrid w:val="0"/>
        </w:rPr>
        <w:t>. D-M. 00.00.00 „Wymagania ogólne”.</w:t>
      </w:r>
    </w:p>
    <w:p w14:paraId="6AF1AC9B" w14:textId="77777777" w:rsidR="00307E20" w:rsidRPr="00307E20" w:rsidRDefault="00307E20" w:rsidP="00307E20">
      <w:pPr>
        <w:pStyle w:val="Nagwek4"/>
        <w:tabs>
          <w:tab w:val="left" w:pos="9914"/>
        </w:tabs>
        <w:rPr>
          <w:rStyle w:val="podpunkt"/>
          <w:rFonts w:asciiTheme="minorHAnsi" w:hAnsiTheme="minorHAnsi" w:cstheme="minorHAnsi"/>
          <w:b/>
          <w:bCs/>
        </w:rPr>
      </w:pPr>
      <w:r w:rsidRPr="00307E20">
        <w:rPr>
          <w:rStyle w:val="podpunkt"/>
          <w:rFonts w:asciiTheme="minorHAnsi" w:hAnsiTheme="minorHAnsi" w:cstheme="minorHAnsi"/>
          <w:b/>
          <w:bCs/>
        </w:rPr>
        <w:t>5.2. Roboty przygotowawcze</w:t>
      </w:r>
    </w:p>
    <w:p w14:paraId="54779850" w14:textId="77777777" w:rsidR="00307E20" w:rsidRPr="00307E20" w:rsidRDefault="00307E20" w:rsidP="00307E20">
      <w:pPr>
        <w:pStyle w:val="tekstost"/>
        <w:tabs>
          <w:tab w:val="left" w:pos="9914"/>
        </w:tabs>
        <w:rPr>
          <w:rFonts w:asciiTheme="minorHAnsi" w:hAnsiTheme="minorHAnsi" w:cstheme="minorHAnsi"/>
        </w:rPr>
      </w:pPr>
      <w:r w:rsidRPr="00307E20">
        <w:rPr>
          <w:rFonts w:asciiTheme="minorHAnsi" w:hAnsiTheme="minorHAnsi" w:cstheme="minorHAnsi"/>
        </w:rPr>
        <w:t>Przed wykonaniem właściwych robót należy:</w:t>
      </w:r>
    </w:p>
    <w:p w14:paraId="0B1B2562" w14:textId="77777777" w:rsidR="00307E20" w:rsidRPr="00307E20" w:rsidRDefault="00307E20" w:rsidP="00307E20">
      <w:pPr>
        <w:pStyle w:val="tekstost"/>
        <w:tabs>
          <w:tab w:val="left" w:pos="9914"/>
        </w:tabs>
        <w:rPr>
          <w:rFonts w:asciiTheme="minorHAnsi" w:hAnsiTheme="minorHAnsi" w:cstheme="minorHAnsi"/>
        </w:rPr>
      </w:pPr>
      <w:r w:rsidRPr="00307E20">
        <w:rPr>
          <w:rFonts w:asciiTheme="minorHAnsi" w:hAnsiTheme="minorHAnsi" w:cstheme="minorHAnsi"/>
        </w:rPr>
        <w:t>wytyczyć trasę bariery</w:t>
      </w:r>
    </w:p>
    <w:p w14:paraId="2B75DECB" w14:textId="77777777" w:rsidR="00307E20" w:rsidRPr="00307E20" w:rsidRDefault="00307E20" w:rsidP="00307E20">
      <w:pPr>
        <w:pStyle w:val="tekstost"/>
        <w:tabs>
          <w:tab w:val="left" w:pos="9914"/>
        </w:tabs>
        <w:rPr>
          <w:rFonts w:asciiTheme="minorHAnsi" w:hAnsiTheme="minorHAnsi" w:cstheme="minorHAnsi"/>
        </w:rPr>
      </w:pPr>
      <w:r w:rsidRPr="00307E20">
        <w:rPr>
          <w:rFonts w:asciiTheme="minorHAnsi" w:hAnsiTheme="minorHAnsi" w:cstheme="minorHAnsi"/>
        </w:rPr>
        <w:t>ustalić lokalizację słupków,</w:t>
      </w:r>
    </w:p>
    <w:p w14:paraId="63F0E271" w14:textId="77777777" w:rsidR="00307E20" w:rsidRPr="00307E20" w:rsidRDefault="00307E20" w:rsidP="00307E20">
      <w:pPr>
        <w:pStyle w:val="tekstost"/>
        <w:tabs>
          <w:tab w:val="left" w:pos="9914"/>
        </w:tabs>
        <w:rPr>
          <w:rFonts w:asciiTheme="minorHAnsi" w:hAnsiTheme="minorHAnsi" w:cstheme="minorHAnsi"/>
        </w:rPr>
      </w:pPr>
      <w:r w:rsidRPr="00307E20">
        <w:rPr>
          <w:rFonts w:asciiTheme="minorHAnsi" w:hAnsiTheme="minorHAnsi" w:cstheme="minorHAnsi"/>
        </w:rPr>
        <w:t>określić wysokość prowadnicy bariery,</w:t>
      </w:r>
    </w:p>
    <w:p w14:paraId="2B2BFAF2" w14:textId="77777777" w:rsidR="00307E20" w:rsidRPr="00307E20" w:rsidRDefault="00307E20" w:rsidP="00307E20">
      <w:pPr>
        <w:pStyle w:val="tekstost"/>
        <w:tabs>
          <w:tab w:val="left" w:pos="9914"/>
        </w:tabs>
        <w:rPr>
          <w:rFonts w:asciiTheme="minorHAnsi" w:hAnsiTheme="minorHAnsi" w:cstheme="minorHAnsi"/>
        </w:rPr>
      </w:pPr>
      <w:r w:rsidRPr="00307E20">
        <w:rPr>
          <w:rFonts w:asciiTheme="minorHAnsi" w:hAnsiTheme="minorHAnsi" w:cstheme="minorHAnsi"/>
        </w:rPr>
        <w:t>określić miejsca odcinków początkowych i końcowych bariery,</w:t>
      </w:r>
    </w:p>
    <w:p w14:paraId="5146CCFC" w14:textId="77777777" w:rsidR="00307E20" w:rsidRPr="00307E20" w:rsidRDefault="00307E20" w:rsidP="00307E20">
      <w:pPr>
        <w:pStyle w:val="tekstost"/>
        <w:tabs>
          <w:tab w:val="left" w:pos="9914"/>
        </w:tabs>
        <w:rPr>
          <w:rFonts w:asciiTheme="minorHAnsi" w:hAnsiTheme="minorHAnsi" w:cstheme="minorHAnsi"/>
        </w:rPr>
      </w:pPr>
      <w:r w:rsidRPr="00307E20">
        <w:rPr>
          <w:rFonts w:asciiTheme="minorHAnsi" w:hAnsiTheme="minorHAnsi" w:cstheme="minorHAnsi"/>
        </w:rPr>
        <w:t>ustalić ew. miejsca przerw, przejść i przejazdów w barierze, itp.</w:t>
      </w:r>
    </w:p>
    <w:p w14:paraId="2432CCCB" w14:textId="77777777" w:rsidR="00307E20" w:rsidRPr="00307E20" w:rsidRDefault="00307E20" w:rsidP="00307E20">
      <w:pPr>
        <w:pStyle w:val="Nagwek4"/>
        <w:tabs>
          <w:tab w:val="left" w:pos="9914"/>
        </w:tabs>
        <w:rPr>
          <w:rFonts w:asciiTheme="minorHAnsi" w:hAnsiTheme="minorHAnsi" w:cstheme="minorHAnsi"/>
          <w:b w:val="0"/>
          <w:bCs w:val="0"/>
        </w:rPr>
      </w:pPr>
      <w:r w:rsidRPr="00307E20">
        <w:rPr>
          <w:rStyle w:val="podpunkt"/>
          <w:rFonts w:asciiTheme="minorHAnsi" w:hAnsiTheme="minorHAnsi" w:cstheme="minorHAnsi"/>
          <w:b/>
          <w:bCs/>
        </w:rPr>
        <w:t>5.3. Osadzenie słupków – zgodnie z instrukcją montażu producenta</w:t>
      </w:r>
      <w:r w:rsidRPr="00307E20">
        <w:rPr>
          <w:rFonts w:asciiTheme="minorHAnsi" w:hAnsiTheme="minorHAnsi" w:cstheme="minorHAnsi"/>
          <w:b w:val="0"/>
          <w:bCs w:val="0"/>
        </w:rPr>
        <w:t>.</w:t>
      </w:r>
    </w:p>
    <w:p w14:paraId="4BE75B24" w14:textId="77777777" w:rsidR="00307E20" w:rsidRPr="00307E20" w:rsidRDefault="00307E20" w:rsidP="00307E20">
      <w:pPr>
        <w:pStyle w:val="tekstost"/>
        <w:tabs>
          <w:tab w:val="left" w:pos="9914"/>
        </w:tabs>
        <w:rPr>
          <w:rFonts w:asciiTheme="minorHAnsi" w:hAnsiTheme="minorHAnsi" w:cstheme="minorHAnsi"/>
        </w:rPr>
      </w:pPr>
      <w:r w:rsidRPr="00307E20">
        <w:rPr>
          <w:rFonts w:asciiTheme="minorHAnsi" w:hAnsiTheme="minorHAnsi" w:cstheme="minorHAnsi"/>
        </w:rPr>
        <w:t>Sposób osadzania słupków powinien być określony w Instrukcji montażowej Producenta. W przypadku braku takiej instrukcji lub wystąpienia szczególnych przypadków związanych z koniecznością indywidualnego osadzania słupków w gruncie w sposób odmienny niż został przedstawiony w Instrukcji Producenta, technologię osadzania słupków należy wykonać po wcześniejszym uzgodnieniu wszelkich zmian z Inżynierem wg poniższych punktów:</w:t>
      </w:r>
    </w:p>
    <w:p w14:paraId="05A0544A" w14:textId="77777777" w:rsidR="00307E20" w:rsidRPr="00307E20" w:rsidRDefault="00307E20" w:rsidP="00307E20">
      <w:pPr>
        <w:pStyle w:val="tekstost"/>
        <w:tabs>
          <w:tab w:val="left" w:pos="9914"/>
        </w:tabs>
        <w:rPr>
          <w:rFonts w:asciiTheme="minorHAnsi" w:hAnsiTheme="minorHAnsi" w:cstheme="minorHAnsi"/>
        </w:rPr>
      </w:pPr>
    </w:p>
    <w:p w14:paraId="72CE570C" w14:textId="77777777" w:rsidR="00307E20" w:rsidRPr="00307E20" w:rsidRDefault="00307E20" w:rsidP="00307E20">
      <w:pPr>
        <w:pStyle w:val="tekstost"/>
        <w:tabs>
          <w:tab w:val="left" w:pos="9914"/>
        </w:tabs>
        <w:rPr>
          <w:rFonts w:asciiTheme="minorHAnsi" w:hAnsiTheme="minorHAnsi" w:cstheme="minorHAnsi"/>
          <w:b/>
          <w:bCs/>
          <w:i/>
          <w:iCs/>
        </w:rPr>
      </w:pPr>
      <w:r w:rsidRPr="00307E20">
        <w:rPr>
          <w:rFonts w:asciiTheme="minorHAnsi" w:hAnsiTheme="minorHAnsi" w:cstheme="minorHAnsi"/>
          <w:b/>
          <w:bCs/>
          <w:i/>
          <w:iCs/>
        </w:rPr>
        <w:t>5.3.1. Słupki osadzane w otworach uprzednio wykonanych w gruncie</w:t>
      </w:r>
    </w:p>
    <w:p w14:paraId="70EE6217" w14:textId="77777777" w:rsidR="00307E20" w:rsidRPr="00307E20" w:rsidRDefault="00307E20" w:rsidP="00307E20">
      <w:pPr>
        <w:pStyle w:val="tekstost"/>
        <w:tabs>
          <w:tab w:val="left" w:pos="9914"/>
        </w:tabs>
        <w:rPr>
          <w:rFonts w:asciiTheme="minorHAnsi" w:hAnsiTheme="minorHAnsi" w:cstheme="minorHAnsi"/>
          <w:i/>
          <w:iCs/>
        </w:rPr>
      </w:pPr>
      <w:r w:rsidRPr="00307E20">
        <w:rPr>
          <w:rFonts w:asciiTheme="minorHAnsi" w:hAnsiTheme="minorHAnsi" w:cstheme="minorHAnsi"/>
          <w:i/>
          <w:iCs/>
        </w:rPr>
        <w:t>5.3.1.1. Wykonanie dołów pod słupki</w:t>
      </w:r>
    </w:p>
    <w:p w14:paraId="0435FA94" w14:textId="77777777" w:rsidR="00307E20" w:rsidRPr="00307E20" w:rsidRDefault="00307E20" w:rsidP="00307E20">
      <w:pPr>
        <w:pStyle w:val="tekstost"/>
        <w:tabs>
          <w:tab w:val="left" w:pos="9914"/>
        </w:tabs>
        <w:rPr>
          <w:rFonts w:asciiTheme="minorHAnsi" w:hAnsiTheme="minorHAnsi" w:cstheme="minorHAnsi"/>
        </w:rPr>
      </w:pPr>
      <w:r w:rsidRPr="00307E20">
        <w:rPr>
          <w:rFonts w:asciiTheme="minorHAnsi" w:hAnsiTheme="minorHAnsi" w:cstheme="minorHAnsi"/>
        </w:rPr>
        <w:t>Doły (otwory) pod słupki powinny mieć wymiary:</w:t>
      </w:r>
    </w:p>
    <w:p w14:paraId="25DABABC" w14:textId="77777777" w:rsidR="00307E20" w:rsidRPr="00307E20" w:rsidRDefault="00307E20" w:rsidP="00307E20">
      <w:pPr>
        <w:pStyle w:val="tekstost"/>
        <w:tabs>
          <w:tab w:val="left" w:pos="9914"/>
        </w:tabs>
        <w:rPr>
          <w:rFonts w:asciiTheme="minorHAnsi" w:hAnsiTheme="minorHAnsi" w:cstheme="minorHAnsi"/>
        </w:rPr>
      </w:pPr>
      <w:r w:rsidRPr="00307E20">
        <w:rPr>
          <w:rFonts w:asciiTheme="minorHAnsi" w:hAnsiTheme="minorHAnsi" w:cstheme="minorHAnsi"/>
        </w:rPr>
        <w:t>przy wykonywaniu otworów wiertnicą - średnica otworu powinna być większa o około 20 cm od największego wymiaru poprzecznego słupka, a głębokość otworu od 1,25 do 1,35 m w zależności od typu bariery,</w:t>
      </w:r>
    </w:p>
    <w:p w14:paraId="533A9643" w14:textId="77777777" w:rsidR="00307E20" w:rsidRPr="00307E20" w:rsidRDefault="00307E20" w:rsidP="00307E20">
      <w:pPr>
        <w:pStyle w:val="tekstost"/>
        <w:tabs>
          <w:tab w:val="left" w:pos="9914"/>
        </w:tabs>
        <w:rPr>
          <w:rFonts w:asciiTheme="minorHAnsi" w:hAnsiTheme="minorHAnsi" w:cstheme="minorHAnsi"/>
        </w:rPr>
      </w:pPr>
      <w:r w:rsidRPr="00307E20">
        <w:rPr>
          <w:rFonts w:asciiTheme="minorHAnsi" w:hAnsiTheme="minorHAnsi" w:cstheme="minorHAnsi"/>
        </w:rPr>
        <w:t>przy ręcznym wykonaniu dołu pod fundament betonowy - wymiary przekroju poprzecznego mogą wynosić 30 x 30 cm, a głębokość otworu co najmniej 0,75 m przy wypełnianiu betonem otworu gruntowego lub wymiary powinny być ustalone indywidualnie w przypadku stosowania prefabrykowanego fundamentu betonowego.</w:t>
      </w:r>
    </w:p>
    <w:p w14:paraId="09A36BA0" w14:textId="77777777" w:rsidR="00307E20" w:rsidRPr="00307E20" w:rsidRDefault="00307E20" w:rsidP="00307E20">
      <w:pPr>
        <w:pStyle w:val="tekstost"/>
        <w:tabs>
          <w:tab w:val="left" w:pos="9914"/>
        </w:tabs>
        <w:rPr>
          <w:rFonts w:asciiTheme="minorHAnsi" w:hAnsiTheme="minorHAnsi" w:cstheme="minorHAnsi"/>
        </w:rPr>
      </w:pPr>
    </w:p>
    <w:p w14:paraId="5D648016" w14:textId="77777777" w:rsidR="00307E20" w:rsidRPr="00307E20" w:rsidRDefault="00307E20" w:rsidP="00307E20">
      <w:pPr>
        <w:pStyle w:val="tekstost"/>
        <w:tabs>
          <w:tab w:val="left" w:pos="9914"/>
        </w:tabs>
        <w:rPr>
          <w:rFonts w:asciiTheme="minorHAnsi" w:hAnsiTheme="minorHAnsi" w:cstheme="minorHAnsi"/>
          <w:i/>
          <w:iCs/>
        </w:rPr>
      </w:pPr>
      <w:r w:rsidRPr="00307E20">
        <w:rPr>
          <w:rFonts w:asciiTheme="minorHAnsi" w:hAnsiTheme="minorHAnsi" w:cstheme="minorHAnsi"/>
          <w:i/>
          <w:iCs/>
        </w:rPr>
        <w:t>5.3.1.2. Osadzenia słupków w otworach wypełnionych gruntem</w:t>
      </w:r>
    </w:p>
    <w:p w14:paraId="7392B736" w14:textId="77777777" w:rsidR="00307E20" w:rsidRPr="00307E20" w:rsidRDefault="00307E20" w:rsidP="00307E20">
      <w:pPr>
        <w:pStyle w:val="tekstost"/>
        <w:tabs>
          <w:tab w:val="left" w:pos="9914"/>
        </w:tabs>
        <w:rPr>
          <w:rFonts w:asciiTheme="minorHAnsi" w:hAnsiTheme="minorHAnsi" w:cstheme="minorHAnsi"/>
        </w:rPr>
      </w:pPr>
      <w:r w:rsidRPr="00307E20">
        <w:rPr>
          <w:rFonts w:asciiTheme="minorHAnsi" w:hAnsiTheme="minorHAnsi" w:cstheme="minorHAnsi"/>
        </w:rPr>
        <w:t>Osadzenie słupków w wykonanych uprzednio otworach (dołach) powinno uwzględniać:</w:t>
      </w:r>
    </w:p>
    <w:p w14:paraId="5E8B900C" w14:textId="77777777" w:rsidR="00307E20" w:rsidRPr="00307E20" w:rsidRDefault="00307E20" w:rsidP="00307E20">
      <w:pPr>
        <w:pStyle w:val="tekstost"/>
        <w:tabs>
          <w:tab w:val="left" w:pos="9914"/>
        </w:tabs>
        <w:rPr>
          <w:rFonts w:asciiTheme="minorHAnsi" w:hAnsiTheme="minorHAnsi" w:cstheme="minorHAnsi"/>
        </w:rPr>
      </w:pPr>
      <w:r w:rsidRPr="00307E20">
        <w:rPr>
          <w:rFonts w:asciiTheme="minorHAnsi" w:hAnsiTheme="minorHAnsi" w:cstheme="minorHAnsi"/>
        </w:rPr>
        <w:t>zachowanie prawidłowego położenia i pełnej równoległości słupków, najlepiej przy zastosowaniu odpowiednich szablonów,</w:t>
      </w:r>
    </w:p>
    <w:p w14:paraId="2B21F8E6" w14:textId="77777777" w:rsidR="00307E20" w:rsidRPr="00307E20" w:rsidRDefault="00307E20" w:rsidP="00307E20">
      <w:pPr>
        <w:pStyle w:val="tekstost"/>
        <w:tabs>
          <w:tab w:val="left" w:pos="9914"/>
        </w:tabs>
        <w:rPr>
          <w:rFonts w:asciiTheme="minorHAnsi" w:hAnsiTheme="minorHAnsi" w:cstheme="minorHAnsi"/>
        </w:rPr>
      </w:pPr>
      <w:r w:rsidRPr="00307E20">
        <w:rPr>
          <w:rFonts w:asciiTheme="minorHAnsi" w:hAnsiTheme="minorHAnsi" w:cstheme="minorHAnsi"/>
        </w:rPr>
        <w:t>wzmocnienie dna otworu warstwą tłucznia (ew. żwiru) o grubości warstwy min. 5 cm,</w:t>
      </w:r>
    </w:p>
    <w:p w14:paraId="51564F8B" w14:textId="77777777" w:rsidR="00307E20" w:rsidRPr="00307E20" w:rsidRDefault="00307E20" w:rsidP="00307E20">
      <w:pPr>
        <w:pStyle w:val="tekstost"/>
        <w:tabs>
          <w:tab w:val="left" w:pos="9914"/>
        </w:tabs>
        <w:rPr>
          <w:rFonts w:asciiTheme="minorHAnsi" w:hAnsiTheme="minorHAnsi" w:cstheme="minorHAnsi"/>
        </w:rPr>
      </w:pPr>
      <w:r w:rsidRPr="00307E20">
        <w:rPr>
          <w:rFonts w:asciiTheme="minorHAnsi" w:hAnsiTheme="minorHAnsi" w:cstheme="minorHAnsi"/>
        </w:rPr>
        <w:t>wypełnienie otworu piaskiem stabilizowanym cementem (od 40 do 50 kg cementu na 1 m3 piasku) lub zagęszczonym gruntem rodzimym, przy czym wskaźnik zagęszczenia nie powinien być mniejszy niż 0,95 według normalnej metody Proctora.</w:t>
      </w:r>
    </w:p>
    <w:p w14:paraId="773665FA" w14:textId="77777777" w:rsidR="00307E20" w:rsidRPr="00307E20" w:rsidRDefault="00307E20" w:rsidP="00307E20">
      <w:pPr>
        <w:pStyle w:val="tekstost"/>
        <w:tabs>
          <w:tab w:val="left" w:pos="9914"/>
        </w:tabs>
        <w:rPr>
          <w:rFonts w:asciiTheme="minorHAnsi" w:hAnsiTheme="minorHAnsi" w:cstheme="minorHAnsi"/>
        </w:rPr>
      </w:pPr>
    </w:p>
    <w:p w14:paraId="7CF329E4" w14:textId="77777777" w:rsidR="00307E20" w:rsidRPr="00307E20" w:rsidRDefault="00307E20" w:rsidP="00307E20">
      <w:pPr>
        <w:pStyle w:val="tekstost"/>
        <w:tabs>
          <w:tab w:val="left" w:pos="9914"/>
        </w:tabs>
        <w:rPr>
          <w:rFonts w:asciiTheme="minorHAnsi" w:hAnsiTheme="minorHAnsi" w:cstheme="minorHAnsi"/>
          <w:i/>
          <w:iCs/>
        </w:rPr>
      </w:pPr>
      <w:r w:rsidRPr="00307E20">
        <w:rPr>
          <w:rFonts w:asciiTheme="minorHAnsi" w:hAnsiTheme="minorHAnsi" w:cstheme="minorHAnsi"/>
          <w:i/>
          <w:iCs/>
        </w:rPr>
        <w:t>5.3.1.3. Osadzenie słupków w fundamencie betonowym</w:t>
      </w:r>
    </w:p>
    <w:p w14:paraId="179B1C9F" w14:textId="77777777" w:rsidR="00307E20" w:rsidRPr="00307E20" w:rsidRDefault="00307E20" w:rsidP="00307E20">
      <w:pPr>
        <w:pStyle w:val="tekstost"/>
        <w:tabs>
          <w:tab w:val="left" w:pos="9914"/>
        </w:tabs>
        <w:rPr>
          <w:rFonts w:asciiTheme="minorHAnsi" w:hAnsiTheme="minorHAnsi" w:cstheme="minorHAnsi"/>
        </w:rPr>
      </w:pPr>
      <w:r w:rsidRPr="00307E20">
        <w:rPr>
          <w:rFonts w:asciiTheme="minorHAnsi" w:hAnsiTheme="minorHAnsi" w:cstheme="minorHAnsi"/>
        </w:rPr>
        <w:t>Osadzenie słupków w otworze, w gruncie wypełnionym betonem lub w prefabrykowanym fundamencie betonowym powinno uwzględniać:</w:t>
      </w:r>
    </w:p>
    <w:p w14:paraId="34A5BEED" w14:textId="77777777" w:rsidR="00307E20" w:rsidRPr="00307E20" w:rsidRDefault="00307E20" w:rsidP="00307E20">
      <w:pPr>
        <w:pStyle w:val="tekstost"/>
        <w:tabs>
          <w:tab w:val="left" w:pos="9914"/>
        </w:tabs>
        <w:rPr>
          <w:rFonts w:asciiTheme="minorHAnsi" w:hAnsiTheme="minorHAnsi" w:cstheme="minorHAnsi"/>
        </w:rPr>
      </w:pPr>
      <w:r w:rsidRPr="00307E20">
        <w:rPr>
          <w:rFonts w:asciiTheme="minorHAnsi" w:hAnsiTheme="minorHAnsi" w:cstheme="minorHAnsi"/>
        </w:rPr>
        <w:t>ew. wykonanie zbrojenia, zgodnego z dokumentacją projektową, a w przypadku braku wskazań - zgodnego z zaleceniem producenta barier,</w:t>
      </w:r>
    </w:p>
    <w:p w14:paraId="559A68A8" w14:textId="77777777" w:rsidR="00307E20" w:rsidRPr="00307E20" w:rsidRDefault="00307E20" w:rsidP="00307E20">
      <w:pPr>
        <w:pStyle w:val="tekstost"/>
        <w:tabs>
          <w:tab w:val="left" w:pos="9914"/>
        </w:tabs>
        <w:rPr>
          <w:rFonts w:asciiTheme="minorHAnsi" w:hAnsiTheme="minorHAnsi" w:cstheme="minorHAnsi"/>
        </w:rPr>
      </w:pPr>
      <w:r w:rsidRPr="00307E20">
        <w:rPr>
          <w:rFonts w:asciiTheme="minorHAnsi" w:hAnsiTheme="minorHAnsi" w:cstheme="minorHAnsi"/>
        </w:rPr>
        <w:t>wypełnienie otworu mieszanką betonową klasy C12/15, odpowiadającą wymaganiom PN-EN-206-1:2003. Do czasu stwardnienia betonu słupek zaleca się podeprzeć. Zaleca się wykonywać montaż bariery na słupkach co najmniej po 7 dniach od ustawienia słupka w betonie.</w:t>
      </w:r>
    </w:p>
    <w:p w14:paraId="1FADD7B7" w14:textId="77777777" w:rsidR="00307E20" w:rsidRPr="00307E20" w:rsidRDefault="00307E20" w:rsidP="00307E20">
      <w:pPr>
        <w:pStyle w:val="tekstost"/>
        <w:tabs>
          <w:tab w:val="left" w:pos="9914"/>
        </w:tabs>
        <w:rPr>
          <w:rFonts w:asciiTheme="minorHAnsi" w:hAnsiTheme="minorHAnsi" w:cstheme="minorHAnsi"/>
        </w:rPr>
      </w:pPr>
    </w:p>
    <w:p w14:paraId="6B39436C" w14:textId="77777777" w:rsidR="00307E20" w:rsidRPr="00307E20" w:rsidRDefault="00307E20" w:rsidP="00307E20">
      <w:pPr>
        <w:pStyle w:val="tekstost"/>
        <w:tabs>
          <w:tab w:val="left" w:pos="9914"/>
        </w:tabs>
        <w:rPr>
          <w:rFonts w:asciiTheme="minorHAnsi" w:hAnsiTheme="minorHAnsi" w:cstheme="minorHAnsi"/>
          <w:b/>
          <w:bCs/>
          <w:i/>
          <w:iCs/>
        </w:rPr>
      </w:pPr>
      <w:r w:rsidRPr="00307E20">
        <w:rPr>
          <w:rFonts w:asciiTheme="minorHAnsi" w:hAnsiTheme="minorHAnsi" w:cstheme="minorHAnsi"/>
          <w:b/>
          <w:bCs/>
          <w:i/>
          <w:iCs/>
        </w:rPr>
        <w:t>5.3.2. Słupki wbijane lub wwibrowywane bezpośrednio w grunt</w:t>
      </w:r>
    </w:p>
    <w:p w14:paraId="0EDC6C11" w14:textId="77777777" w:rsidR="00307E20" w:rsidRPr="00307E20" w:rsidRDefault="00307E20" w:rsidP="00307E20">
      <w:pPr>
        <w:pStyle w:val="tekstost"/>
        <w:tabs>
          <w:tab w:val="left" w:pos="9914"/>
        </w:tabs>
        <w:rPr>
          <w:rFonts w:asciiTheme="minorHAnsi" w:hAnsiTheme="minorHAnsi" w:cstheme="minorHAnsi"/>
        </w:rPr>
      </w:pPr>
      <w:r w:rsidRPr="00307E20">
        <w:rPr>
          <w:rFonts w:asciiTheme="minorHAnsi" w:hAnsiTheme="minorHAnsi" w:cstheme="minorHAnsi"/>
        </w:rPr>
        <w:t>Inżynier na wniosek Wykonawcy ustali bezpośrednie wbijanie lub wwibrowywanie słupków w grunt, to Wykonawca przedstawi do akceptacji Inżyniera:</w:t>
      </w:r>
    </w:p>
    <w:p w14:paraId="392A75F5" w14:textId="77777777" w:rsidR="00307E20" w:rsidRPr="00307E20" w:rsidRDefault="00307E20" w:rsidP="00307E20">
      <w:pPr>
        <w:pStyle w:val="tekstost"/>
        <w:tabs>
          <w:tab w:val="left" w:pos="9914"/>
        </w:tabs>
        <w:rPr>
          <w:rFonts w:asciiTheme="minorHAnsi" w:hAnsiTheme="minorHAnsi" w:cstheme="minorHAnsi"/>
        </w:rPr>
      </w:pPr>
      <w:r w:rsidRPr="00307E20">
        <w:rPr>
          <w:rFonts w:asciiTheme="minorHAnsi" w:hAnsiTheme="minorHAnsi" w:cstheme="minorHAnsi"/>
        </w:rPr>
        <w:t>sposób wykonania, zapewniający zachowanie osi słupka w pionie i nie powodujący odkształceń lub uszkodzeń słupka,</w:t>
      </w:r>
    </w:p>
    <w:p w14:paraId="2CFC112C" w14:textId="77777777" w:rsidR="00307E20" w:rsidRPr="00307E20" w:rsidRDefault="00307E20" w:rsidP="00307E20">
      <w:pPr>
        <w:pStyle w:val="tekstost"/>
        <w:tabs>
          <w:tab w:val="left" w:pos="9914"/>
        </w:tabs>
        <w:rPr>
          <w:rFonts w:asciiTheme="minorHAnsi" w:hAnsiTheme="minorHAnsi" w:cstheme="minorHAnsi"/>
        </w:rPr>
      </w:pPr>
      <w:r w:rsidRPr="00307E20">
        <w:rPr>
          <w:rFonts w:asciiTheme="minorHAnsi" w:hAnsiTheme="minorHAnsi" w:cstheme="minorHAnsi"/>
        </w:rPr>
        <w:t>rodzaj sprzętu, wraz z jego charakterystyką techniczną, dotyczący urządzeń wbijających (np. młotów, bab, kafarów) ręcznych lub mechanicznych względnie wibromłotów pogrążających słupki w gruncie poprzez wibrację i działanie udarowe.</w:t>
      </w:r>
    </w:p>
    <w:p w14:paraId="68994E73" w14:textId="77777777" w:rsidR="00307E20" w:rsidRPr="00307E20" w:rsidRDefault="00307E20" w:rsidP="00307E20">
      <w:pPr>
        <w:pStyle w:val="tekstost"/>
        <w:tabs>
          <w:tab w:val="left" w:pos="9914"/>
        </w:tabs>
        <w:rPr>
          <w:rFonts w:asciiTheme="minorHAnsi" w:hAnsiTheme="minorHAnsi" w:cstheme="minorHAnsi"/>
        </w:rPr>
      </w:pPr>
    </w:p>
    <w:p w14:paraId="5C6382FE" w14:textId="77777777" w:rsidR="00307E20" w:rsidRPr="00307E20" w:rsidRDefault="00307E20" w:rsidP="00307E20">
      <w:pPr>
        <w:pStyle w:val="tekstost"/>
        <w:tabs>
          <w:tab w:val="left" w:pos="9914"/>
        </w:tabs>
        <w:rPr>
          <w:rFonts w:asciiTheme="minorHAnsi" w:hAnsiTheme="minorHAnsi" w:cstheme="minorHAnsi"/>
          <w:b/>
          <w:bCs/>
          <w:i/>
          <w:iCs/>
        </w:rPr>
      </w:pPr>
      <w:r w:rsidRPr="00307E20">
        <w:rPr>
          <w:rFonts w:asciiTheme="minorHAnsi" w:hAnsiTheme="minorHAnsi" w:cstheme="minorHAnsi"/>
          <w:b/>
          <w:bCs/>
          <w:i/>
          <w:iCs/>
        </w:rPr>
        <w:t>5.3.3. Tolerancje osadzenia słupków</w:t>
      </w:r>
    </w:p>
    <w:p w14:paraId="70A535B8" w14:textId="77777777" w:rsidR="00307E20" w:rsidRPr="00307E20" w:rsidRDefault="00307E20" w:rsidP="00307E20">
      <w:pPr>
        <w:pStyle w:val="tekstost"/>
        <w:tabs>
          <w:tab w:val="left" w:pos="9914"/>
        </w:tabs>
        <w:rPr>
          <w:rFonts w:asciiTheme="minorHAnsi" w:hAnsiTheme="minorHAnsi" w:cstheme="minorHAnsi"/>
        </w:rPr>
      </w:pPr>
      <w:r w:rsidRPr="00307E20">
        <w:rPr>
          <w:rFonts w:asciiTheme="minorHAnsi" w:hAnsiTheme="minorHAnsi" w:cstheme="minorHAnsi"/>
        </w:rPr>
        <w:t>Dopuszczalna odchyłka odległości między słupkami - wynikająca z wymiarów technologicznych wydłużonych otworów w prowadnicy, służących do zamocowania słupków powinna wynosić ±11 mm.</w:t>
      </w:r>
    </w:p>
    <w:p w14:paraId="0D0ABFD2" w14:textId="77777777" w:rsidR="00307E20" w:rsidRPr="00307E20" w:rsidRDefault="00307E20" w:rsidP="00307E20">
      <w:pPr>
        <w:pStyle w:val="tekstost"/>
        <w:tabs>
          <w:tab w:val="left" w:pos="9914"/>
        </w:tabs>
        <w:rPr>
          <w:rFonts w:asciiTheme="minorHAnsi" w:hAnsiTheme="minorHAnsi" w:cstheme="minorHAnsi"/>
        </w:rPr>
      </w:pPr>
      <w:r w:rsidRPr="00307E20">
        <w:rPr>
          <w:rFonts w:asciiTheme="minorHAnsi" w:hAnsiTheme="minorHAnsi" w:cstheme="minorHAnsi"/>
        </w:rPr>
        <w:t>Dopuszczalna odchyłka wysokości słupków zakotwionych w gruncie powinna wynosić ±2 cm..</w:t>
      </w:r>
    </w:p>
    <w:p w14:paraId="706D8506" w14:textId="77777777" w:rsidR="00307E20" w:rsidRPr="00B93A39" w:rsidRDefault="00307E20" w:rsidP="00307E20">
      <w:pPr>
        <w:pStyle w:val="Nagwek4"/>
        <w:tabs>
          <w:tab w:val="left" w:pos="9914"/>
        </w:tabs>
        <w:rPr>
          <w:rStyle w:val="podpunkt"/>
          <w:rFonts w:asciiTheme="minorHAnsi" w:hAnsiTheme="minorHAnsi" w:cstheme="minorHAnsi"/>
          <w:b/>
          <w:bCs/>
        </w:rPr>
      </w:pPr>
      <w:r w:rsidRPr="00B93A39">
        <w:rPr>
          <w:rStyle w:val="podpunkt"/>
          <w:rFonts w:asciiTheme="minorHAnsi" w:hAnsiTheme="minorHAnsi" w:cstheme="minorHAnsi"/>
          <w:b/>
          <w:bCs/>
        </w:rPr>
        <w:t>5.4. Montaż bariery</w:t>
      </w:r>
    </w:p>
    <w:p w14:paraId="349517B0" w14:textId="77777777" w:rsidR="00307E20" w:rsidRPr="00307E20" w:rsidRDefault="00307E20" w:rsidP="00307E20">
      <w:pPr>
        <w:pStyle w:val="tekstost"/>
        <w:tabs>
          <w:tab w:val="left" w:pos="9914"/>
        </w:tabs>
        <w:rPr>
          <w:rFonts w:asciiTheme="minorHAnsi" w:hAnsiTheme="minorHAnsi" w:cstheme="minorHAnsi"/>
        </w:rPr>
      </w:pPr>
      <w:r w:rsidRPr="00307E20">
        <w:rPr>
          <w:rFonts w:asciiTheme="minorHAnsi" w:hAnsiTheme="minorHAnsi" w:cstheme="minorHAnsi"/>
        </w:rPr>
        <w:t>Bariera powinna być montowana zgodnie z instrukcją montażową lub zgodnie z zasadami konstrukcyjnymi ustalonymi przez producenta bariery.</w:t>
      </w:r>
    </w:p>
    <w:p w14:paraId="56BA92FA" w14:textId="77777777" w:rsidR="00307E20" w:rsidRPr="00307E20" w:rsidRDefault="00307E20" w:rsidP="00307E20">
      <w:pPr>
        <w:pStyle w:val="tekstost"/>
        <w:tabs>
          <w:tab w:val="left" w:pos="9914"/>
        </w:tabs>
        <w:rPr>
          <w:rFonts w:asciiTheme="minorHAnsi" w:hAnsiTheme="minorHAnsi" w:cstheme="minorHAnsi"/>
        </w:rPr>
      </w:pPr>
      <w:r w:rsidRPr="00307E20">
        <w:rPr>
          <w:rFonts w:asciiTheme="minorHAnsi" w:hAnsiTheme="minorHAnsi" w:cstheme="minorHAnsi"/>
        </w:rPr>
        <w:t xml:space="preserve">Montaż bariery, w ramach dopuszczalnych odchyłek umożliwionych wielkością otworów w elementach bariery, powinien doprowadzić do zapewnienia równej i płynnej linii prowadnic bariery w planie i profilu. </w:t>
      </w:r>
    </w:p>
    <w:p w14:paraId="4EA56B11" w14:textId="77777777" w:rsidR="00307E20" w:rsidRPr="00307E20" w:rsidRDefault="00307E20" w:rsidP="00307E20">
      <w:pPr>
        <w:pStyle w:val="tekstost"/>
        <w:tabs>
          <w:tab w:val="left" w:pos="9914"/>
        </w:tabs>
        <w:rPr>
          <w:rFonts w:asciiTheme="minorHAnsi" w:hAnsiTheme="minorHAnsi" w:cstheme="minorHAnsi"/>
        </w:rPr>
      </w:pPr>
      <w:r w:rsidRPr="00307E20">
        <w:rPr>
          <w:rFonts w:asciiTheme="minorHAnsi" w:hAnsiTheme="minorHAnsi" w:cstheme="minorHAnsi"/>
        </w:rPr>
        <w:t>Przy montażu bariery niedopuszczalne jest wykonywanie jakichkolwiek otworów lub cięć, naruszających powłokę cynkową poszczególnych elementów bariery. Przy montażu prowadnicy typu B należy łączyć sąsiednie odcinki taśmy profilowej, nakładając następny odcinek na wytłoczenie odcinka poprzedniego, zgodnie z kierunkiem ruchu pojazdów, tak aby końce odcinków taśmy przylegały płasko do siebie i pojazd przesuwający się po barierze, nie zaczepiał o krawędzie złączy. Sąsiednie odcinki taśmy są łączone ze sobą zwykle przy użyciu śrub noskowych specjalnych, zwykle po sześć na każde połączenie.</w:t>
      </w:r>
    </w:p>
    <w:p w14:paraId="3B095ABF" w14:textId="77777777" w:rsidR="00307E20" w:rsidRPr="00307E20" w:rsidRDefault="00307E20" w:rsidP="00307E20">
      <w:pPr>
        <w:pStyle w:val="tekstost"/>
        <w:tabs>
          <w:tab w:val="left" w:pos="9914"/>
        </w:tabs>
        <w:rPr>
          <w:rFonts w:asciiTheme="minorHAnsi" w:hAnsiTheme="minorHAnsi" w:cstheme="minorHAnsi"/>
        </w:rPr>
      </w:pPr>
      <w:r w:rsidRPr="00307E20">
        <w:rPr>
          <w:rFonts w:asciiTheme="minorHAnsi" w:hAnsiTheme="minorHAnsi" w:cstheme="minorHAnsi"/>
        </w:rPr>
        <w:t>Montaż wysięgników i przekładek ze słupkami i prowadnicą powinien być wykonany ściśle według zaleceń producenta bariery z zastosowaniem przewidzianych do tego celu elementów (obejm, wsporników itp.) oraz właściwych śrub i podkładek.</w:t>
      </w:r>
    </w:p>
    <w:p w14:paraId="70EB169E" w14:textId="77777777" w:rsidR="00307E20" w:rsidRPr="00307E20" w:rsidRDefault="00307E20" w:rsidP="00307E20">
      <w:pPr>
        <w:pStyle w:val="tekstost"/>
        <w:tabs>
          <w:tab w:val="left" w:pos="9914"/>
        </w:tabs>
        <w:rPr>
          <w:rFonts w:asciiTheme="minorHAnsi" w:hAnsiTheme="minorHAnsi" w:cstheme="minorHAnsi"/>
        </w:rPr>
      </w:pPr>
      <w:r w:rsidRPr="00307E20">
        <w:rPr>
          <w:rFonts w:asciiTheme="minorHAnsi" w:hAnsiTheme="minorHAnsi" w:cstheme="minorHAnsi"/>
        </w:rPr>
        <w:t>Przy montażu barier należy zwracać uwagę na poprawne wykonanie, zgodne z dokumentacją projektową i wytycznymi producenta barier</w:t>
      </w:r>
    </w:p>
    <w:p w14:paraId="05CFA550" w14:textId="77777777" w:rsidR="00307E20" w:rsidRPr="00307E20" w:rsidRDefault="00307E20" w:rsidP="00307E20">
      <w:pPr>
        <w:pStyle w:val="tekstost"/>
        <w:tabs>
          <w:tab w:val="left" w:pos="9914"/>
        </w:tabs>
        <w:rPr>
          <w:rFonts w:asciiTheme="minorHAnsi" w:hAnsiTheme="minorHAnsi" w:cstheme="minorHAnsi"/>
        </w:rPr>
      </w:pPr>
      <w:r w:rsidRPr="00307E20">
        <w:rPr>
          <w:rFonts w:asciiTheme="minorHAnsi" w:hAnsiTheme="minorHAnsi" w:cstheme="minorHAnsi"/>
        </w:rPr>
        <w:t>odcinków początkowych i końcowych bariery, o właściwej długości odcinka (np. 8 m, 12 m, 16 m), z zastosowaniem łączników ukośnych w miejscach niezbędnych przy połączeniu poziomego odcinka prowadnicy z odcinkiem nachylonym, z odchyleniem odcinka w planie w miejscach przewidzianych dla barier skrajnych,</w:t>
      </w:r>
    </w:p>
    <w:p w14:paraId="0A058F8F" w14:textId="77777777" w:rsidR="00307E20" w:rsidRPr="00307E20" w:rsidRDefault="00307E20" w:rsidP="00307E20">
      <w:pPr>
        <w:pStyle w:val="tekstost"/>
        <w:tabs>
          <w:tab w:val="left" w:pos="9914"/>
        </w:tabs>
        <w:rPr>
          <w:rFonts w:asciiTheme="minorHAnsi" w:hAnsiTheme="minorHAnsi" w:cstheme="minorHAnsi"/>
        </w:rPr>
      </w:pPr>
      <w:r w:rsidRPr="00307E20">
        <w:rPr>
          <w:rFonts w:asciiTheme="minorHAnsi" w:hAnsiTheme="minorHAnsi" w:cstheme="minorHAnsi"/>
        </w:rPr>
        <w:t>odcinków barier osłonowych o właściwej długości odcinka bariery: a) przyległego do obiektu lub przeszkody, b) przed i za obiektem, c) ukośnego początkowego, d) ukośnego końcowego, e) wzmocnionego,</w:t>
      </w:r>
    </w:p>
    <w:p w14:paraId="12611BD9" w14:textId="77777777" w:rsidR="00307E20" w:rsidRPr="00307E20" w:rsidRDefault="00307E20" w:rsidP="00307E20">
      <w:pPr>
        <w:pStyle w:val="tekstost"/>
        <w:tabs>
          <w:tab w:val="left" w:pos="9914"/>
        </w:tabs>
        <w:rPr>
          <w:rFonts w:asciiTheme="minorHAnsi" w:hAnsiTheme="minorHAnsi" w:cstheme="minorHAnsi"/>
        </w:rPr>
      </w:pPr>
      <w:r w:rsidRPr="00307E20">
        <w:rPr>
          <w:rFonts w:asciiTheme="minorHAnsi" w:hAnsiTheme="minorHAnsi" w:cstheme="minorHAnsi"/>
        </w:rPr>
        <w:t>odcinków przejściowych pomiędzy różnymi typami i odmianami barier, w tym m.in. na dojazdach do mostu z zastosowaniem właściwej długości odcinka ukośnego w planie, jak również połączenia z barierami betonowymi pełnymi i ew. poręczami betonowymi,</w:t>
      </w:r>
    </w:p>
    <w:p w14:paraId="3275FE78" w14:textId="77777777" w:rsidR="00307E20" w:rsidRPr="00307E20" w:rsidRDefault="00307E20" w:rsidP="00307E20">
      <w:pPr>
        <w:pStyle w:val="tekstost"/>
        <w:tabs>
          <w:tab w:val="left" w:pos="9914"/>
        </w:tabs>
        <w:rPr>
          <w:rFonts w:asciiTheme="minorHAnsi" w:hAnsiTheme="minorHAnsi" w:cstheme="minorHAnsi"/>
        </w:rPr>
      </w:pPr>
      <w:r w:rsidRPr="00307E20">
        <w:rPr>
          <w:rFonts w:asciiTheme="minorHAnsi" w:hAnsiTheme="minorHAnsi" w:cstheme="minorHAnsi"/>
        </w:rPr>
        <w:t>przerw, przejść i przejazdów w barierze w celu np. dojścia do kolumn alarmowych lub innych urządzeń, przejścia pieszych z pobocza drogi za barierę w tym na chodnik mostu, na skrzyżowaniu z drogami, przejścia przez pas dzielący, przejazdu poprzecznego przez pas dzielący,</w:t>
      </w:r>
    </w:p>
    <w:p w14:paraId="73B002A1" w14:textId="77777777" w:rsidR="00307E20" w:rsidRPr="00307E20" w:rsidRDefault="00307E20" w:rsidP="00307E20">
      <w:pPr>
        <w:pStyle w:val="tekstost"/>
        <w:tabs>
          <w:tab w:val="left" w:pos="9914"/>
        </w:tabs>
        <w:rPr>
          <w:rFonts w:asciiTheme="minorHAnsi" w:hAnsiTheme="minorHAnsi" w:cstheme="minorHAnsi"/>
        </w:rPr>
      </w:pPr>
      <w:r w:rsidRPr="00307E20">
        <w:rPr>
          <w:rFonts w:asciiTheme="minorHAnsi" w:hAnsiTheme="minorHAnsi" w:cstheme="minorHAnsi"/>
        </w:rPr>
        <w:t>dodatkowych urządzeń, jak np. dodatkowej prowadnicy bariery, osłony słupków bariery, itp.</w:t>
      </w:r>
    </w:p>
    <w:p w14:paraId="4261CDCE" w14:textId="77777777" w:rsidR="00307E20" w:rsidRPr="00307E20" w:rsidRDefault="00307E20" w:rsidP="00307E20">
      <w:pPr>
        <w:pStyle w:val="tekstost"/>
        <w:tabs>
          <w:tab w:val="left" w:pos="9914"/>
        </w:tabs>
        <w:rPr>
          <w:rFonts w:asciiTheme="minorHAnsi" w:hAnsiTheme="minorHAnsi" w:cstheme="minorHAnsi"/>
        </w:rPr>
      </w:pPr>
      <w:r w:rsidRPr="00307E20">
        <w:rPr>
          <w:rFonts w:asciiTheme="minorHAnsi" w:hAnsiTheme="minorHAnsi" w:cstheme="minorHAnsi"/>
        </w:rPr>
        <w:t>Na barierze powinny być umieszczone elementy odblaskowe:</w:t>
      </w:r>
    </w:p>
    <w:p w14:paraId="3D21204B" w14:textId="77777777" w:rsidR="00307E20" w:rsidRPr="00307E20" w:rsidRDefault="00307E20" w:rsidP="00307E20">
      <w:pPr>
        <w:pStyle w:val="tekstost"/>
        <w:tabs>
          <w:tab w:val="left" w:pos="9914"/>
        </w:tabs>
        <w:rPr>
          <w:rFonts w:asciiTheme="minorHAnsi" w:hAnsiTheme="minorHAnsi" w:cstheme="minorHAnsi"/>
        </w:rPr>
      </w:pPr>
      <w:r w:rsidRPr="00307E20">
        <w:rPr>
          <w:rFonts w:asciiTheme="minorHAnsi" w:hAnsiTheme="minorHAnsi" w:cstheme="minorHAnsi"/>
        </w:rPr>
        <w:t>a) czerwone - po prawej stronie jezdni,</w:t>
      </w:r>
    </w:p>
    <w:p w14:paraId="3AE0A986" w14:textId="77777777" w:rsidR="00307E20" w:rsidRPr="00307E20" w:rsidRDefault="00307E20" w:rsidP="00307E20">
      <w:pPr>
        <w:pStyle w:val="tekstost"/>
        <w:tabs>
          <w:tab w:val="left" w:pos="9914"/>
        </w:tabs>
        <w:rPr>
          <w:rFonts w:asciiTheme="minorHAnsi" w:hAnsiTheme="minorHAnsi" w:cstheme="minorHAnsi"/>
        </w:rPr>
      </w:pPr>
      <w:r w:rsidRPr="00307E20">
        <w:rPr>
          <w:rFonts w:asciiTheme="minorHAnsi" w:hAnsiTheme="minorHAnsi" w:cstheme="minorHAnsi"/>
        </w:rPr>
        <w:t>b) białe - po lewej stronie jezdni.</w:t>
      </w:r>
    </w:p>
    <w:p w14:paraId="57D45012" w14:textId="77777777" w:rsidR="00307E20" w:rsidRPr="00307E20" w:rsidRDefault="00307E20" w:rsidP="00307E20">
      <w:pPr>
        <w:pStyle w:val="tekstost"/>
        <w:tabs>
          <w:tab w:val="left" w:pos="9914"/>
        </w:tabs>
        <w:rPr>
          <w:rFonts w:asciiTheme="minorHAnsi" w:hAnsiTheme="minorHAnsi" w:cstheme="minorHAnsi"/>
        </w:rPr>
      </w:pPr>
      <w:r w:rsidRPr="00307E20">
        <w:rPr>
          <w:rFonts w:asciiTheme="minorHAnsi" w:hAnsiTheme="minorHAnsi" w:cstheme="minorHAnsi"/>
        </w:rPr>
        <w:t>Elementy odblaskowe należy umocować do bariery w sposób trwały, zgodny z wytycznymi producenta barier.</w:t>
      </w:r>
    </w:p>
    <w:p w14:paraId="0710ACF1" w14:textId="77777777" w:rsidR="00307E20" w:rsidRPr="00307E20" w:rsidRDefault="00307E20" w:rsidP="00307E20">
      <w:pPr>
        <w:pStyle w:val="tekstost"/>
        <w:tabs>
          <w:tab w:val="left" w:pos="9914"/>
        </w:tabs>
        <w:rPr>
          <w:rFonts w:asciiTheme="minorHAnsi" w:hAnsiTheme="minorHAnsi" w:cstheme="minorHAnsi"/>
        </w:rPr>
      </w:pPr>
      <w:r w:rsidRPr="00307E20">
        <w:rPr>
          <w:rFonts w:asciiTheme="minorHAnsi" w:hAnsiTheme="minorHAnsi" w:cstheme="minorHAnsi"/>
        </w:rPr>
        <w:t>Odległość pomiędzy kolejnymi elementami odblaskowymi nie powinna być większa niż:</w:t>
      </w:r>
    </w:p>
    <w:p w14:paraId="25C74A55" w14:textId="77777777" w:rsidR="00307E20" w:rsidRPr="00307E20" w:rsidRDefault="00307E20" w:rsidP="00307E20">
      <w:pPr>
        <w:pStyle w:val="tekstost"/>
        <w:tabs>
          <w:tab w:val="left" w:pos="9914"/>
        </w:tabs>
        <w:rPr>
          <w:rFonts w:asciiTheme="minorHAnsi" w:hAnsiTheme="minorHAnsi" w:cstheme="minorHAnsi"/>
        </w:rPr>
      </w:pPr>
      <w:r w:rsidRPr="00307E20">
        <w:rPr>
          <w:rFonts w:asciiTheme="minorHAnsi" w:hAnsiTheme="minorHAnsi" w:cstheme="minorHAnsi"/>
        </w:rPr>
        <w:t>− na odcinkach prostych i na łukach o R&gt;500 m – odległość elem. L=52 m</w:t>
      </w:r>
    </w:p>
    <w:p w14:paraId="697B5BDE" w14:textId="77777777" w:rsidR="00307E20" w:rsidRPr="00307E20" w:rsidRDefault="00307E20" w:rsidP="00307E20">
      <w:pPr>
        <w:pStyle w:val="tekstost"/>
        <w:tabs>
          <w:tab w:val="left" w:pos="9914"/>
        </w:tabs>
        <w:rPr>
          <w:rFonts w:asciiTheme="minorHAnsi" w:hAnsiTheme="minorHAnsi" w:cstheme="minorHAnsi"/>
        </w:rPr>
      </w:pPr>
      <w:r w:rsidRPr="00307E20">
        <w:rPr>
          <w:rFonts w:asciiTheme="minorHAnsi" w:hAnsiTheme="minorHAnsi" w:cstheme="minorHAnsi"/>
        </w:rPr>
        <w:t>− na łukach o R≤500 m – odległość elem. L= 0,1R z zaokrągleniem do wymiaru otworów w taśmie n x 2,0m.</w:t>
      </w:r>
    </w:p>
    <w:p w14:paraId="3C804E4E" w14:textId="77777777" w:rsidR="00307E20" w:rsidRPr="00307E20" w:rsidRDefault="00307E20" w:rsidP="00307E20">
      <w:pPr>
        <w:pStyle w:val="tekstost"/>
        <w:tabs>
          <w:tab w:val="left" w:pos="9914"/>
        </w:tabs>
        <w:rPr>
          <w:rFonts w:asciiTheme="minorHAnsi" w:hAnsiTheme="minorHAnsi" w:cstheme="minorHAnsi"/>
        </w:rPr>
      </w:pPr>
    </w:p>
    <w:p w14:paraId="2148ED71" w14:textId="77777777" w:rsidR="00307E20" w:rsidRPr="00307E20" w:rsidRDefault="00307E20" w:rsidP="00307E20">
      <w:pPr>
        <w:pStyle w:val="tekstost"/>
        <w:tabs>
          <w:tab w:val="left" w:pos="9914"/>
        </w:tabs>
        <w:rPr>
          <w:rFonts w:asciiTheme="minorHAnsi" w:hAnsiTheme="minorHAnsi" w:cstheme="minorHAnsi"/>
        </w:rPr>
      </w:pPr>
      <w:r w:rsidRPr="00307E20">
        <w:rPr>
          <w:rFonts w:asciiTheme="minorHAnsi" w:hAnsiTheme="minorHAnsi" w:cstheme="minorHAnsi"/>
        </w:rPr>
        <w:t>Elementy odblaskowe należy montować w istniejących otworach taśmy stalowej – prowadnicy, uwzględniając zalecenia producenta. Zalecana odległość pomiędzy kolejnymi elementami odblaskowymi L=20 m.</w:t>
      </w:r>
    </w:p>
    <w:p w14:paraId="05C9B922" w14:textId="77777777" w:rsidR="00307E20" w:rsidRPr="00307E20" w:rsidRDefault="00307E20" w:rsidP="00307E20">
      <w:pPr>
        <w:pStyle w:val="tekstost"/>
        <w:tabs>
          <w:tab w:val="left" w:pos="9914"/>
        </w:tabs>
        <w:rPr>
          <w:rFonts w:asciiTheme="minorHAnsi" w:hAnsiTheme="minorHAnsi" w:cstheme="minorHAnsi"/>
        </w:rPr>
      </w:pPr>
      <w:r w:rsidRPr="00307E20">
        <w:rPr>
          <w:rFonts w:asciiTheme="minorHAnsi" w:hAnsiTheme="minorHAnsi" w:cstheme="minorHAnsi"/>
        </w:rPr>
        <w:t>Elementów odblaskowych nie należy montować do połączeń szybkodemontowalnych, ale do odrębnych otworów w prowadnicy bariery z wykorzystaniem połączeń śrubowych.</w:t>
      </w:r>
    </w:p>
    <w:p w14:paraId="26CFFFDB" w14:textId="77777777" w:rsidR="00307E20" w:rsidRPr="00B93A39" w:rsidRDefault="00307E20" w:rsidP="00307E20">
      <w:pPr>
        <w:pStyle w:val="Nagwek4"/>
        <w:tabs>
          <w:tab w:val="left" w:pos="9914"/>
        </w:tabs>
        <w:rPr>
          <w:rStyle w:val="podpunkt"/>
          <w:rFonts w:asciiTheme="minorHAnsi" w:hAnsiTheme="minorHAnsi" w:cstheme="minorHAnsi"/>
          <w:b/>
          <w:bCs/>
        </w:rPr>
      </w:pPr>
      <w:r w:rsidRPr="00B93A39">
        <w:rPr>
          <w:rStyle w:val="podpunkt"/>
          <w:rFonts w:asciiTheme="minorHAnsi" w:hAnsiTheme="minorHAnsi" w:cstheme="minorHAnsi"/>
          <w:b/>
          <w:bCs/>
        </w:rPr>
        <w:t>5.5. Tolerancje montażu barier</w:t>
      </w:r>
    </w:p>
    <w:p w14:paraId="1497385F" w14:textId="77777777" w:rsidR="00307E20" w:rsidRPr="00307E20" w:rsidRDefault="00307E20" w:rsidP="00307E20">
      <w:pPr>
        <w:pStyle w:val="tekstost"/>
        <w:tabs>
          <w:tab w:val="left" w:pos="9914"/>
        </w:tabs>
        <w:rPr>
          <w:rFonts w:asciiTheme="minorHAnsi" w:hAnsiTheme="minorHAnsi" w:cstheme="minorHAnsi"/>
        </w:rPr>
      </w:pPr>
      <w:r w:rsidRPr="00307E20">
        <w:rPr>
          <w:rFonts w:asciiTheme="minorHAnsi" w:hAnsiTheme="minorHAnsi" w:cstheme="minorHAnsi"/>
        </w:rPr>
        <w:t>Dopuszczalne odchyłki wysokości barier ochronnych w zależności od ich usytuowania wynoszą: ± 3cm.</w:t>
      </w:r>
    </w:p>
    <w:p w14:paraId="085A56C1" w14:textId="77777777" w:rsidR="00307E20" w:rsidRPr="00B93A39" w:rsidRDefault="00307E20" w:rsidP="00307E20">
      <w:pPr>
        <w:pStyle w:val="Nagwek3"/>
        <w:spacing w:after="0"/>
        <w:rPr>
          <w:rStyle w:val="podpunkt"/>
          <w:rFonts w:asciiTheme="minorHAnsi" w:hAnsiTheme="minorHAnsi" w:cstheme="minorHAnsi"/>
          <w:b/>
          <w:bCs/>
        </w:rPr>
      </w:pPr>
      <w:r w:rsidRPr="00B93A39">
        <w:rPr>
          <w:rStyle w:val="podpunkt"/>
          <w:rFonts w:asciiTheme="minorHAnsi" w:hAnsiTheme="minorHAnsi" w:cstheme="minorHAnsi"/>
          <w:b/>
          <w:bCs/>
        </w:rPr>
        <w:t>6. Kontrola jakości robót</w:t>
      </w:r>
    </w:p>
    <w:p w14:paraId="0CBECD1C" w14:textId="77777777" w:rsidR="00307E20" w:rsidRPr="00B93A39" w:rsidRDefault="00307E20" w:rsidP="00307E20">
      <w:pPr>
        <w:pStyle w:val="Nagwek4"/>
        <w:tabs>
          <w:tab w:val="left" w:pos="9914"/>
        </w:tabs>
        <w:spacing w:after="0"/>
        <w:rPr>
          <w:rStyle w:val="podpunkt"/>
          <w:rFonts w:asciiTheme="minorHAnsi" w:hAnsiTheme="minorHAnsi" w:cstheme="minorHAnsi"/>
          <w:b/>
          <w:bCs/>
        </w:rPr>
      </w:pPr>
      <w:r w:rsidRPr="00B93A39">
        <w:rPr>
          <w:rStyle w:val="podpunkt"/>
          <w:rFonts w:asciiTheme="minorHAnsi" w:hAnsiTheme="minorHAnsi" w:cstheme="minorHAnsi"/>
          <w:b/>
          <w:bCs/>
        </w:rPr>
        <w:t>6.1. Ogólne zasady kontroli jakości robót</w:t>
      </w:r>
    </w:p>
    <w:p w14:paraId="0ECF57FB" w14:textId="452BA765" w:rsidR="00307E20" w:rsidRPr="00307E20" w:rsidRDefault="00307E20" w:rsidP="00307E20">
      <w:pPr>
        <w:pStyle w:val="tekstost"/>
        <w:tabs>
          <w:tab w:val="left" w:pos="9914"/>
        </w:tabs>
        <w:rPr>
          <w:rFonts w:asciiTheme="minorHAnsi" w:hAnsiTheme="minorHAnsi" w:cstheme="minorHAnsi"/>
        </w:rPr>
      </w:pPr>
      <w:r w:rsidRPr="00307E20">
        <w:rPr>
          <w:rFonts w:asciiTheme="minorHAnsi" w:hAnsiTheme="minorHAnsi" w:cstheme="minorHAnsi"/>
        </w:rPr>
        <w:t>Ogólne zasady kontroli jakości robót podano w</w:t>
      </w:r>
      <w:r w:rsidR="00C62A07">
        <w:rPr>
          <w:rFonts w:asciiTheme="minorHAnsi" w:hAnsiTheme="minorHAnsi" w:cstheme="minorHAnsi"/>
        </w:rPr>
        <w:t xml:space="preserve"> ST</w:t>
      </w:r>
      <w:r>
        <w:rPr>
          <w:rFonts w:asciiTheme="minorHAnsi" w:hAnsiTheme="minorHAnsi" w:cstheme="minorHAnsi"/>
        </w:rPr>
        <w:t>WIORB</w:t>
      </w:r>
      <w:r w:rsidRPr="00307E20">
        <w:rPr>
          <w:rFonts w:asciiTheme="minorHAnsi" w:hAnsiTheme="minorHAnsi" w:cstheme="minorHAnsi"/>
        </w:rPr>
        <w:t xml:space="preserve"> D-M-00.00.00 „Wymagania ogólne”.</w:t>
      </w:r>
    </w:p>
    <w:p w14:paraId="436F037D" w14:textId="77777777" w:rsidR="00307E20" w:rsidRPr="00B93A39" w:rsidRDefault="00307E20" w:rsidP="00307E20">
      <w:pPr>
        <w:pStyle w:val="Nagwek4"/>
        <w:tabs>
          <w:tab w:val="left" w:pos="9914"/>
        </w:tabs>
        <w:spacing w:after="0"/>
        <w:rPr>
          <w:rStyle w:val="podpunkt"/>
          <w:rFonts w:asciiTheme="minorHAnsi" w:hAnsiTheme="minorHAnsi" w:cstheme="minorHAnsi"/>
          <w:b/>
          <w:bCs/>
        </w:rPr>
      </w:pPr>
      <w:r w:rsidRPr="00B93A39">
        <w:rPr>
          <w:rStyle w:val="podpunkt"/>
          <w:rFonts w:asciiTheme="minorHAnsi" w:hAnsiTheme="minorHAnsi" w:cstheme="minorHAnsi"/>
          <w:b/>
          <w:bCs/>
        </w:rPr>
        <w:t>6.2. Badania przed przystąpieniem do robót</w:t>
      </w:r>
    </w:p>
    <w:p w14:paraId="14E59AF2" w14:textId="77777777" w:rsidR="00307E20" w:rsidRPr="00307E20" w:rsidRDefault="00307E20" w:rsidP="00307E20">
      <w:pPr>
        <w:pStyle w:val="tekstost"/>
        <w:tabs>
          <w:tab w:val="left" w:pos="9914"/>
        </w:tabs>
        <w:rPr>
          <w:rFonts w:asciiTheme="minorHAnsi" w:hAnsiTheme="minorHAnsi" w:cstheme="minorHAnsi"/>
        </w:rPr>
      </w:pPr>
      <w:r w:rsidRPr="00307E20">
        <w:rPr>
          <w:rFonts w:asciiTheme="minorHAnsi" w:hAnsiTheme="minorHAnsi" w:cstheme="minorHAnsi"/>
        </w:rPr>
        <w:t>Przed przystąpieniem do robót Wykonawca powinien:</w:t>
      </w:r>
    </w:p>
    <w:p w14:paraId="4775E2CC" w14:textId="77777777" w:rsidR="00307E20" w:rsidRPr="00307E20" w:rsidRDefault="00307E20" w:rsidP="00307E20">
      <w:pPr>
        <w:pStyle w:val="tekstost"/>
        <w:tabs>
          <w:tab w:val="left" w:pos="9914"/>
        </w:tabs>
        <w:rPr>
          <w:rFonts w:asciiTheme="minorHAnsi" w:hAnsiTheme="minorHAnsi" w:cstheme="minorHAnsi"/>
        </w:rPr>
      </w:pPr>
      <w:r w:rsidRPr="00307E20">
        <w:rPr>
          <w:rFonts w:asciiTheme="minorHAnsi" w:hAnsiTheme="minorHAnsi" w:cstheme="minorHAnsi"/>
        </w:rPr>
        <w:t>uzyskać wymagane dokumenty, dopuszczające wyroby budowlane do obrotu i powszechnego stosowania (certyfikaty zgodności, deklaracje zgodności, ew. badania materiałów wykonane przez dostawców itp.),</w:t>
      </w:r>
    </w:p>
    <w:p w14:paraId="108A7E62" w14:textId="77777777" w:rsidR="00307E20" w:rsidRPr="00307E20" w:rsidRDefault="00307E20" w:rsidP="00307E20">
      <w:pPr>
        <w:pStyle w:val="tekstost"/>
        <w:tabs>
          <w:tab w:val="left" w:pos="9914"/>
        </w:tabs>
        <w:rPr>
          <w:rFonts w:asciiTheme="minorHAnsi" w:hAnsiTheme="minorHAnsi" w:cstheme="minorHAnsi"/>
        </w:rPr>
      </w:pPr>
      <w:r w:rsidRPr="00307E20">
        <w:rPr>
          <w:rFonts w:asciiTheme="minorHAnsi" w:hAnsiTheme="minorHAnsi" w:cstheme="minorHAnsi"/>
        </w:rPr>
        <w:t>sprawdzić cechy zewnętrzne gotowych materiałów.</w:t>
      </w:r>
    </w:p>
    <w:p w14:paraId="2C1F3A03" w14:textId="77777777" w:rsidR="00307E20" w:rsidRPr="00307E20" w:rsidRDefault="00307E20" w:rsidP="00307E20">
      <w:pPr>
        <w:pStyle w:val="tekstost"/>
        <w:tabs>
          <w:tab w:val="left" w:pos="9914"/>
        </w:tabs>
        <w:rPr>
          <w:rFonts w:asciiTheme="minorHAnsi" w:hAnsiTheme="minorHAnsi" w:cstheme="minorHAnsi"/>
        </w:rPr>
      </w:pPr>
      <w:r w:rsidRPr="00307E20">
        <w:rPr>
          <w:rFonts w:asciiTheme="minorHAnsi" w:hAnsiTheme="minorHAnsi" w:cstheme="minorHAnsi"/>
        </w:rPr>
        <w:t>Wszystkie dokumenty oraz wyniki badań Wykonawca przedstawia Inżynierowi do akceptacji.</w:t>
      </w:r>
    </w:p>
    <w:p w14:paraId="450158B6" w14:textId="77777777" w:rsidR="00307E20" w:rsidRPr="00B93A39" w:rsidRDefault="00307E20" w:rsidP="00307E20">
      <w:pPr>
        <w:pStyle w:val="Nagwek4"/>
        <w:tabs>
          <w:tab w:val="left" w:pos="9914"/>
        </w:tabs>
        <w:spacing w:after="0"/>
        <w:rPr>
          <w:rStyle w:val="podpunkt"/>
          <w:rFonts w:asciiTheme="minorHAnsi" w:hAnsiTheme="minorHAnsi" w:cstheme="minorHAnsi"/>
          <w:b/>
          <w:bCs/>
        </w:rPr>
      </w:pPr>
      <w:r w:rsidRPr="00B93A39">
        <w:rPr>
          <w:rStyle w:val="podpunkt"/>
          <w:rFonts w:asciiTheme="minorHAnsi" w:hAnsiTheme="minorHAnsi" w:cstheme="minorHAnsi"/>
          <w:b/>
          <w:bCs/>
        </w:rPr>
        <w:t>6.3. Kontrola w czasie wykonywania robót</w:t>
      </w:r>
    </w:p>
    <w:p w14:paraId="5FB50CDD" w14:textId="77777777" w:rsidR="00307E20" w:rsidRPr="00307E20" w:rsidRDefault="00307E20" w:rsidP="00307E20">
      <w:pPr>
        <w:pStyle w:val="tekstost"/>
        <w:tabs>
          <w:tab w:val="left" w:pos="9914"/>
        </w:tabs>
        <w:rPr>
          <w:rFonts w:asciiTheme="minorHAnsi" w:hAnsiTheme="minorHAnsi" w:cstheme="minorHAnsi"/>
        </w:rPr>
      </w:pPr>
      <w:r w:rsidRPr="00307E20">
        <w:rPr>
          <w:rFonts w:asciiTheme="minorHAnsi" w:hAnsiTheme="minorHAnsi" w:cstheme="minorHAnsi"/>
        </w:rPr>
        <w:t>W czasie wykonywania robót należy zbadać:</w:t>
      </w:r>
    </w:p>
    <w:p w14:paraId="3FBB76D1" w14:textId="77777777" w:rsidR="00307E20" w:rsidRPr="00307E20" w:rsidRDefault="00307E20" w:rsidP="00307E20">
      <w:pPr>
        <w:pStyle w:val="tekstost"/>
        <w:tabs>
          <w:tab w:val="left" w:pos="9914"/>
        </w:tabs>
        <w:rPr>
          <w:rFonts w:asciiTheme="minorHAnsi" w:hAnsiTheme="minorHAnsi" w:cstheme="minorHAnsi"/>
        </w:rPr>
      </w:pPr>
      <w:r w:rsidRPr="00307E20">
        <w:rPr>
          <w:rFonts w:asciiTheme="minorHAnsi" w:hAnsiTheme="minorHAnsi" w:cstheme="minorHAnsi"/>
        </w:rPr>
        <w:t>a) zgodność wykonania bariery ochronnej z założeniami (lokalizacja, wymiary, wysokość prowadnicy nad terenem),</w:t>
      </w:r>
    </w:p>
    <w:p w14:paraId="15CA056C" w14:textId="77777777" w:rsidR="00307E20" w:rsidRPr="00307E20" w:rsidRDefault="00307E20" w:rsidP="00307E20">
      <w:pPr>
        <w:pStyle w:val="tekstost"/>
        <w:tabs>
          <w:tab w:val="left" w:pos="9914"/>
        </w:tabs>
        <w:rPr>
          <w:rFonts w:asciiTheme="minorHAnsi" w:hAnsiTheme="minorHAnsi" w:cstheme="minorHAnsi"/>
        </w:rPr>
      </w:pPr>
      <w:r w:rsidRPr="00307E20">
        <w:rPr>
          <w:rFonts w:asciiTheme="minorHAnsi" w:hAnsiTheme="minorHAnsi" w:cstheme="minorHAnsi"/>
        </w:rPr>
        <w:t>b) zachowanie dopuszczalnych odchyłek wymiarów, zgodnie z punktem 2 i katalogiem (informacją) producenta barier,</w:t>
      </w:r>
    </w:p>
    <w:p w14:paraId="023EBD61" w14:textId="77777777" w:rsidR="00307E20" w:rsidRPr="00307E20" w:rsidRDefault="00307E20" w:rsidP="00307E20">
      <w:pPr>
        <w:pStyle w:val="tekstost"/>
        <w:tabs>
          <w:tab w:val="left" w:pos="9914"/>
        </w:tabs>
        <w:rPr>
          <w:rFonts w:asciiTheme="minorHAnsi" w:hAnsiTheme="minorHAnsi" w:cstheme="minorHAnsi"/>
        </w:rPr>
      </w:pPr>
      <w:r w:rsidRPr="00307E20">
        <w:rPr>
          <w:rFonts w:asciiTheme="minorHAnsi" w:hAnsiTheme="minorHAnsi" w:cstheme="minorHAnsi"/>
        </w:rPr>
        <w:t>c) poprawność ustawienia słupków, zgodnie z punktem 5,</w:t>
      </w:r>
    </w:p>
    <w:p w14:paraId="3BF3EE1B" w14:textId="77777777" w:rsidR="00307E20" w:rsidRPr="00307E20" w:rsidRDefault="00307E20" w:rsidP="00307E20">
      <w:pPr>
        <w:pStyle w:val="tekstost"/>
        <w:tabs>
          <w:tab w:val="left" w:pos="9914"/>
        </w:tabs>
        <w:rPr>
          <w:rFonts w:asciiTheme="minorHAnsi" w:hAnsiTheme="minorHAnsi" w:cstheme="minorHAnsi"/>
        </w:rPr>
      </w:pPr>
      <w:r w:rsidRPr="00307E20">
        <w:rPr>
          <w:rFonts w:asciiTheme="minorHAnsi" w:hAnsiTheme="minorHAnsi" w:cstheme="minorHAnsi"/>
        </w:rPr>
        <w:t>d) prawidłowość montażu bariery ochronnej stalowej, zgodnie z punktem 5,</w:t>
      </w:r>
    </w:p>
    <w:p w14:paraId="180260AC" w14:textId="77777777" w:rsidR="00307E20" w:rsidRPr="00307E20" w:rsidRDefault="00307E20" w:rsidP="00307E20">
      <w:pPr>
        <w:pStyle w:val="tekstost"/>
        <w:tabs>
          <w:tab w:val="left" w:pos="9914"/>
        </w:tabs>
        <w:rPr>
          <w:rFonts w:asciiTheme="minorHAnsi" w:hAnsiTheme="minorHAnsi" w:cstheme="minorHAnsi"/>
        </w:rPr>
      </w:pPr>
      <w:r w:rsidRPr="00307E20">
        <w:rPr>
          <w:rFonts w:asciiTheme="minorHAnsi" w:hAnsiTheme="minorHAnsi" w:cstheme="minorHAnsi"/>
        </w:rPr>
        <w:t>e) poprawność wykonania ew. robót betonowych, zgodnie z punktem 5,</w:t>
      </w:r>
    </w:p>
    <w:p w14:paraId="2E436F51" w14:textId="77777777" w:rsidR="00307E20" w:rsidRPr="00307E20" w:rsidRDefault="00307E20" w:rsidP="00307E20">
      <w:pPr>
        <w:pStyle w:val="tekstost"/>
        <w:tabs>
          <w:tab w:val="left" w:pos="9914"/>
        </w:tabs>
        <w:rPr>
          <w:rFonts w:asciiTheme="minorHAnsi" w:hAnsiTheme="minorHAnsi" w:cstheme="minorHAnsi"/>
          <w:snapToGrid w:val="0"/>
        </w:rPr>
      </w:pPr>
      <w:r w:rsidRPr="00307E20">
        <w:rPr>
          <w:rFonts w:asciiTheme="minorHAnsi" w:hAnsiTheme="minorHAnsi" w:cstheme="minorHAnsi"/>
        </w:rPr>
        <w:t>f) poprawność umieszczenia elementów odblaskowych, zgodnie z punktem 5.</w:t>
      </w:r>
    </w:p>
    <w:p w14:paraId="6C123F2E" w14:textId="77777777" w:rsidR="00307E20" w:rsidRPr="00307E20" w:rsidRDefault="00307E20" w:rsidP="00307E20">
      <w:pPr>
        <w:pStyle w:val="tekstost"/>
        <w:tabs>
          <w:tab w:val="left" w:pos="9914"/>
        </w:tabs>
        <w:rPr>
          <w:rFonts w:asciiTheme="minorHAnsi" w:hAnsiTheme="minorHAnsi" w:cstheme="minorHAnsi"/>
          <w:snapToGrid w:val="0"/>
        </w:rPr>
      </w:pPr>
    </w:p>
    <w:p w14:paraId="130EAFDD" w14:textId="652E0CA1" w:rsidR="00307E20" w:rsidRPr="00307E20" w:rsidRDefault="00307E20" w:rsidP="00307E20">
      <w:pPr>
        <w:pStyle w:val="tekstost"/>
        <w:tabs>
          <w:tab w:val="left" w:pos="9914"/>
        </w:tabs>
        <w:rPr>
          <w:rFonts w:asciiTheme="minorHAnsi" w:hAnsiTheme="minorHAnsi" w:cstheme="minorHAnsi"/>
          <w:snapToGrid w:val="0"/>
        </w:rPr>
      </w:pPr>
      <w:r w:rsidRPr="00307E20">
        <w:rPr>
          <w:rFonts w:asciiTheme="minorHAnsi" w:hAnsiTheme="minorHAnsi" w:cstheme="minorHAnsi"/>
          <w:snapToGrid w:val="0"/>
        </w:rPr>
        <w:t>Prace betonowe należy kontrolować zgodnie z ustaleniami</w:t>
      </w:r>
      <w:r w:rsidR="00C62A07">
        <w:rPr>
          <w:rFonts w:asciiTheme="minorHAnsi" w:hAnsiTheme="minorHAnsi" w:cstheme="minorHAnsi"/>
          <w:snapToGrid w:val="0"/>
        </w:rPr>
        <w:t xml:space="preserve"> ST</w:t>
      </w:r>
      <w:r>
        <w:rPr>
          <w:rFonts w:asciiTheme="minorHAnsi" w:hAnsiTheme="minorHAnsi" w:cstheme="minorHAnsi"/>
          <w:snapToGrid w:val="0"/>
        </w:rPr>
        <w:t>WIORB</w:t>
      </w:r>
      <w:r w:rsidRPr="00307E20">
        <w:rPr>
          <w:rFonts w:asciiTheme="minorHAnsi" w:hAnsiTheme="minorHAnsi" w:cstheme="minorHAnsi"/>
          <w:snapToGrid w:val="0"/>
        </w:rPr>
        <w:t xml:space="preserve"> M 13.01.00</w:t>
      </w:r>
    </w:p>
    <w:p w14:paraId="357D7758" w14:textId="77777777" w:rsidR="00307E20" w:rsidRPr="00B93A39" w:rsidRDefault="00307E20" w:rsidP="00307E20">
      <w:pPr>
        <w:pStyle w:val="Nagwek3"/>
        <w:spacing w:after="0"/>
        <w:rPr>
          <w:rStyle w:val="podpunkt"/>
          <w:rFonts w:asciiTheme="minorHAnsi" w:hAnsiTheme="minorHAnsi" w:cstheme="minorHAnsi"/>
          <w:b/>
          <w:bCs/>
        </w:rPr>
      </w:pPr>
      <w:r w:rsidRPr="00B93A39">
        <w:rPr>
          <w:rStyle w:val="podpunkt"/>
          <w:rFonts w:asciiTheme="minorHAnsi" w:hAnsiTheme="minorHAnsi" w:cstheme="minorHAnsi"/>
          <w:b/>
          <w:bCs/>
        </w:rPr>
        <w:t>7. Obmiar robót</w:t>
      </w:r>
    </w:p>
    <w:p w14:paraId="7B45DC1A" w14:textId="77777777" w:rsidR="00CB3CD7" w:rsidRDefault="00CB3CD7" w:rsidP="00307E20">
      <w:pPr>
        <w:pStyle w:val="tekstost"/>
        <w:tabs>
          <w:tab w:val="left" w:pos="9914"/>
        </w:tabs>
        <w:rPr>
          <w:rStyle w:val="podpunkt"/>
          <w:rFonts w:asciiTheme="minorHAnsi" w:hAnsiTheme="minorHAnsi" w:cstheme="minorHAnsi"/>
          <w:b w:val="0"/>
          <w:bCs w:val="0"/>
        </w:rPr>
      </w:pPr>
    </w:p>
    <w:p w14:paraId="116BDC62" w14:textId="71F26627" w:rsidR="00CB3CD7" w:rsidRDefault="00CB3CD7" w:rsidP="00307E20">
      <w:pPr>
        <w:pStyle w:val="tekstost"/>
        <w:tabs>
          <w:tab w:val="left" w:pos="9914"/>
        </w:tabs>
        <w:rPr>
          <w:rStyle w:val="podpunkt"/>
          <w:rFonts w:asciiTheme="minorHAnsi" w:hAnsiTheme="minorHAnsi" w:cstheme="minorHAnsi"/>
          <w:b w:val="0"/>
          <w:bCs w:val="0"/>
        </w:rPr>
      </w:pPr>
      <w:r>
        <w:rPr>
          <w:rStyle w:val="podpunkt"/>
          <w:rFonts w:asciiTheme="minorHAnsi" w:hAnsiTheme="minorHAnsi" w:cstheme="minorHAnsi"/>
          <w:b w:val="0"/>
          <w:bCs w:val="0"/>
        </w:rPr>
        <w:t>Kontrakt ryczałtowy</w:t>
      </w:r>
    </w:p>
    <w:p w14:paraId="29583E71" w14:textId="1C269C9C" w:rsidR="00307E20" w:rsidRPr="00CB3CD7" w:rsidRDefault="00307E20" w:rsidP="00307E20">
      <w:pPr>
        <w:pStyle w:val="tekstost"/>
        <w:tabs>
          <w:tab w:val="left" w:pos="9914"/>
        </w:tabs>
        <w:rPr>
          <w:rStyle w:val="podpunkt"/>
          <w:rFonts w:asciiTheme="minorHAnsi" w:hAnsiTheme="minorHAnsi" w:cstheme="minorHAnsi"/>
          <w:b w:val="0"/>
          <w:bCs w:val="0"/>
        </w:rPr>
      </w:pPr>
      <w:r w:rsidRPr="00CB3CD7">
        <w:rPr>
          <w:rStyle w:val="podpunkt"/>
          <w:rFonts w:asciiTheme="minorHAnsi" w:hAnsiTheme="minorHAnsi" w:cstheme="minorHAnsi"/>
          <w:b w:val="0"/>
          <w:bCs w:val="0"/>
        </w:rPr>
        <w:t>Ogólne wymagania dotyczące obmiaru robót podano w</w:t>
      </w:r>
      <w:r w:rsidR="00C62A07" w:rsidRPr="00CB3CD7">
        <w:rPr>
          <w:rStyle w:val="podpunkt"/>
          <w:rFonts w:asciiTheme="minorHAnsi" w:hAnsiTheme="minorHAnsi" w:cstheme="minorHAnsi"/>
          <w:b w:val="0"/>
          <w:bCs w:val="0"/>
        </w:rPr>
        <w:t xml:space="preserve"> ST</w:t>
      </w:r>
      <w:r w:rsidRPr="00CB3CD7">
        <w:rPr>
          <w:rStyle w:val="podpunkt"/>
          <w:rFonts w:asciiTheme="minorHAnsi" w:hAnsiTheme="minorHAnsi" w:cstheme="minorHAnsi"/>
          <w:b w:val="0"/>
          <w:bCs w:val="0"/>
        </w:rPr>
        <w:t>WIORB D-M.00.00.00 „Wymagania ogólne”</w:t>
      </w:r>
      <w:r w:rsidR="00CB3CD7">
        <w:rPr>
          <w:rStyle w:val="podpunkt"/>
          <w:rFonts w:asciiTheme="minorHAnsi" w:hAnsiTheme="minorHAnsi" w:cstheme="minorHAnsi"/>
          <w:b w:val="0"/>
          <w:bCs w:val="0"/>
        </w:rPr>
        <w:t xml:space="preserve"> pkt 7</w:t>
      </w:r>
      <w:r w:rsidRPr="00CB3CD7">
        <w:rPr>
          <w:rStyle w:val="podpunkt"/>
          <w:rFonts w:asciiTheme="minorHAnsi" w:hAnsiTheme="minorHAnsi" w:cstheme="minorHAnsi"/>
          <w:b w:val="0"/>
          <w:bCs w:val="0"/>
        </w:rPr>
        <w:t>.</w:t>
      </w:r>
    </w:p>
    <w:p w14:paraId="396035DD" w14:textId="77777777" w:rsidR="00307E20" w:rsidRPr="00B93A39" w:rsidRDefault="00307E20" w:rsidP="00307E20">
      <w:pPr>
        <w:pStyle w:val="Nagwek3"/>
        <w:spacing w:after="0"/>
        <w:rPr>
          <w:rStyle w:val="podpunkt"/>
          <w:rFonts w:asciiTheme="minorHAnsi" w:hAnsiTheme="minorHAnsi" w:cstheme="minorHAnsi"/>
        </w:rPr>
      </w:pPr>
      <w:r w:rsidRPr="00B93A39">
        <w:rPr>
          <w:rFonts w:asciiTheme="minorHAnsi" w:hAnsiTheme="minorHAnsi" w:cstheme="minorHAnsi"/>
        </w:rPr>
        <w:t xml:space="preserve">8. </w:t>
      </w:r>
      <w:r w:rsidRPr="00B93A39">
        <w:rPr>
          <w:rStyle w:val="podpunkt"/>
          <w:rFonts w:asciiTheme="minorHAnsi" w:hAnsiTheme="minorHAnsi" w:cstheme="minorHAnsi"/>
        </w:rPr>
        <w:t>Odbiór robót</w:t>
      </w:r>
    </w:p>
    <w:p w14:paraId="3AFF3DB2" w14:textId="53D643D6" w:rsidR="00307E20" w:rsidRPr="00307E20" w:rsidRDefault="00307E20" w:rsidP="00307E20">
      <w:pPr>
        <w:pStyle w:val="tekstost"/>
        <w:tabs>
          <w:tab w:val="left" w:pos="9914"/>
        </w:tabs>
        <w:rPr>
          <w:rFonts w:asciiTheme="minorHAnsi" w:hAnsiTheme="minorHAnsi" w:cstheme="minorHAnsi"/>
        </w:rPr>
      </w:pPr>
      <w:r w:rsidRPr="00307E20">
        <w:rPr>
          <w:rFonts w:asciiTheme="minorHAnsi" w:hAnsiTheme="minorHAnsi" w:cstheme="minorHAnsi"/>
        </w:rPr>
        <w:t>Ogólne zasady odbioru robót podano w</w:t>
      </w:r>
      <w:r w:rsidR="00C62A07">
        <w:rPr>
          <w:rFonts w:asciiTheme="minorHAnsi" w:hAnsiTheme="minorHAnsi" w:cstheme="minorHAnsi"/>
        </w:rPr>
        <w:t xml:space="preserve"> ST</w:t>
      </w:r>
      <w:r>
        <w:rPr>
          <w:rFonts w:asciiTheme="minorHAnsi" w:hAnsiTheme="minorHAnsi" w:cstheme="minorHAnsi"/>
        </w:rPr>
        <w:t>WIORB</w:t>
      </w:r>
      <w:r w:rsidRPr="00307E20">
        <w:rPr>
          <w:rFonts w:asciiTheme="minorHAnsi" w:hAnsiTheme="minorHAnsi" w:cstheme="minorHAnsi"/>
        </w:rPr>
        <w:t xml:space="preserve"> D-M.00.00.00 „Wymagania ogólne”.</w:t>
      </w:r>
    </w:p>
    <w:p w14:paraId="6CEEAA68" w14:textId="77777777" w:rsidR="00307E20" w:rsidRPr="00307E20" w:rsidRDefault="00307E20" w:rsidP="00307E20">
      <w:pPr>
        <w:pStyle w:val="tekstost"/>
        <w:tabs>
          <w:tab w:val="left" w:pos="9914"/>
        </w:tabs>
        <w:rPr>
          <w:rFonts w:asciiTheme="minorHAnsi" w:hAnsiTheme="minorHAnsi" w:cstheme="minorHAnsi"/>
        </w:rPr>
      </w:pPr>
      <w:r w:rsidRPr="00307E20">
        <w:rPr>
          <w:rFonts w:asciiTheme="minorHAnsi" w:hAnsiTheme="minorHAnsi" w:cstheme="minorHAnsi"/>
        </w:rPr>
        <w:t>Roboty uznaje się za odebrane, gdy wszystkie wyniki badań wykonanych wg pkt 6 dały wyniki pozytywne</w:t>
      </w:r>
    </w:p>
    <w:p w14:paraId="1B0C4255" w14:textId="77777777" w:rsidR="00307E20" w:rsidRDefault="00307E20" w:rsidP="00307E20">
      <w:pPr>
        <w:pStyle w:val="Nagwek3"/>
        <w:spacing w:after="0"/>
        <w:rPr>
          <w:rStyle w:val="podpunkt"/>
          <w:rFonts w:asciiTheme="minorHAnsi" w:hAnsiTheme="minorHAnsi" w:cstheme="minorHAnsi"/>
          <w:b/>
          <w:bCs/>
        </w:rPr>
      </w:pPr>
      <w:r w:rsidRPr="00B93A39">
        <w:rPr>
          <w:rStyle w:val="podpunkt"/>
          <w:rFonts w:asciiTheme="minorHAnsi" w:hAnsiTheme="minorHAnsi" w:cstheme="minorHAnsi"/>
          <w:b/>
          <w:bCs/>
        </w:rPr>
        <w:t>9.Podstawa płatności</w:t>
      </w:r>
    </w:p>
    <w:p w14:paraId="2CD516F1" w14:textId="77777777" w:rsidR="00CB3CD7" w:rsidRDefault="00CB3CD7" w:rsidP="00CB3CD7">
      <w:pPr>
        <w:pStyle w:val="tekstost"/>
        <w:tabs>
          <w:tab w:val="left" w:pos="9914"/>
        </w:tabs>
        <w:rPr>
          <w:rStyle w:val="podpunkt"/>
          <w:rFonts w:asciiTheme="minorHAnsi" w:hAnsiTheme="minorHAnsi" w:cstheme="minorHAnsi"/>
          <w:b w:val="0"/>
          <w:bCs w:val="0"/>
        </w:rPr>
      </w:pPr>
    </w:p>
    <w:p w14:paraId="00254FF4" w14:textId="65C40A89" w:rsidR="00CB3CD7" w:rsidRDefault="00CB3CD7" w:rsidP="00CB3CD7">
      <w:pPr>
        <w:pStyle w:val="tekstost"/>
        <w:tabs>
          <w:tab w:val="left" w:pos="9914"/>
        </w:tabs>
        <w:rPr>
          <w:rStyle w:val="podpunkt"/>
          <w:rFonts w:asciiTheme="minorHAnsi" w:hAnsiTheme="minorHAnsi" w:cstheme="minorHAnsi"/>
          <w:b w:val="0"/>
          <w:bCs w:val="0"/>
        </w:rPr>
      </w:pPr>
      <w:r>
        <w:rPr>
          <w:rStyle w:val="podpunkt"/>
          <w:rFonts w:asciiTheme="minorHAnsi" w:hAnsiTheme="minorHAnsi" w:cstheme="minorHAnsi"/>
          <w:b w:val="0"/>
          <w:bCs w:val="0"/>
        </w:rPr>
        <w:t>Kontrakt ryczałtowy</w:t>
      </w:r>
    </w:p>
    <w:p w14:paraId="3278F7B8" w14:textId="1CB809D5" w:rsidR="00CB3CD7" w:rsidRPr="00CB3CD7" w:rsidRDefault="00CB3CD7" w:rsidP="00CB3CD7">
      <w:pPr>
        <w:pStyle w:val="tekstost"/>
        <w:tabs>
          <w:tab w:val="left" w:pos="9914"/>
        </w:tabs>
        <w:rPr>
          <w:rStyle w:val="podpunkt"/>
          <w:rFonts w:asciiTheme="minorHAnsi" w:hAnsiTheme="minorHAnsi" w:cstheme="minorHAnsi"/>
          <w:b w:val="0"/>
          <w:bCs w:val="0"/>
        </w:rPr>
      </w:pPr>
      <w:r w:rsidRPr="00CB3CD7">
        <w:rPr>
          <w:rStyle w:val="podpunkt"/>
          <w:rFonts w:asciiTheme="minorHAnsi" w:hAnsiTheme="minorHAnsi" w:cstheme="minorHAnsi"/>
          <w:b w:val="0"/>
          <w:bCs w:val="0"/>
        </w:rPr>
        <w:t xml:space="preserve">Ogólne wymagania dotyczące </w:t>
      </w:r>
      <w:r>
        <w:rPr>
          <w:rStyle w:val="podpunkt"/>
          <w:rFonts w:asciiTheme="minorHAnsi" w:hAnsiTheme="minorHAnsi" w:cstheme="minorHAnsi"/>
          <w:b w:val="0"/>
          <w:bCs w:val="0"/>
        </w:rPr>
        <w:t>podstawy płatniości</w:t>
      </w:r>
      <w:r w:rsidRPr="00CB3CD7">
        <w:rPr>
          <w:rStyle w:val="podpunkt"/>
          <w:rFonts w:asciiTheme="minorHAnsi" w:hAnsiTheme="minorHAnsi" w:cstheme="minorHAnsi"/>
          <w:b w:val="0"/>
          <w:bCs w:val="0"/>
        </w:rPr>
        <w:t xml:space="preserve"> podano w STWIORB D-M.00.00.00 „Wymagania ogólne”</w:t>
      </w:r>
      <w:r>
        <w:rPr>
          <w:rStyle w:val="podpunkt"/>
          <w:rFonts w:asciiTheme="minorHAnsi" w:hAnsiTheme="minorHAnsi" w:cstheme="minorHAnsi"/>
          <w:b w:val="0"/>
          <w:bCs w:val="0"/>
        </w:rPr>
        <w:t xml:space="preserve"> pkt 9</w:t>
      </w:r>
      <w:r w:rsidRPr="00CB3CD7">
        <w:rPr>
          <w:rStyle w:val="podpunkt"/>
          <w:rFonts w:asciiTheme="minorHAnsi" w:hAnsiTheme="minorHAnsi" w:cstheme="minorHAnsi"/>
          <w:b w:val="0"/>
          <w:bCs w:val="0"/>
        </w:rPr>
        <w:t>.</w:t>
      </w:r>
    </w:p>
    <w:p w14:paraId="4306E313" w14:textId="77777777" w:rsidR="00307E20" w:rsidRPr="00B93A39" w:rsidRDefault="00307E20" w:rsidP="00307E20">
      <w:pPr>
        <w:pStyle w:val="Nagwek3"/>
        <w:rPr>
          <w:rStyle w:val="podpunkt"/>
          <w:rFonts w:asciiTheme="minorHAnsi" w:hAnsiTheme="minorHAnsi" w:cstheme="minorHAnsi"/>
          <w:b/>
          <w:bCs/>
          <w:sz w:val="18"/>
          <w:szCs w:val="18"/>
        </w:rPr>
      </w:pPr>
      <w:r w:rsidRPr="00B93A39">
        <w:rPr>
          <w:rStyle w:val="podpunkt"/>
          <w:rFonts w:asciiTheme="minorHAnsi" w:hAnsiTheme="minorHAnsi" w:cstheme="minorHAnsi"/>
          <w:b/>
          <w:bCs/>
          <w:sz w:val="18"/>
          <w:szCs w:val="18"/>
        </w:rPr>
        <w:t>10.Przepisy związane</w:t>
      </w:r>
    </w:p>
    <w:p w14:paraId="7A421CB3" w14:textId="77777777" w:rsidR="00307E20" w:rsidRPr="00307E20" w:rsidRDefault="00307E20" w:rsidP="00307E20">
      <w:pPr>
        <w:pStyle w:val="tekstost"/>
        <w:tabs>
          <w:tab w:val="left" w:pos="9914"/>
        </w:tabs>
        <w:rPr>
          <w:rFonts w:asciiTheme="minorHAnsi" w:hAnsiTheme="minorHAnsi" w:cstheme="minorHAnsi"/>
          <w:sz w:val="18"/>
          <w:szCs w:val="18"/>
        </w:rPr>
      </w:pPr>
      <w:r w:rsidRPr="00307E20">
        <w:rPr>
          <w:rFonts w:asciiTheme="minorHAnsi" w:hAnsiTheme="minorHAnsi" w:cstheme="minorHAnsi"/>
          <w:sz w:val="18"/>
          <w:szCs w:val="18"/>
        </w:rPr>
        <w:t xml:space="preserve">ROZPORZĄDZENIE MINISTRA TRANSPORTU I GOSPODARKI MORSKIEJ z dnia 2 marca 1999 r. w sprawie warunków technicznych, jakim powinny odpowiadać drogi publiczne i ich usytuowanie. (Dz. U. Nr 43 poz. 430 - z p.zm.) </w:t>
      </w:r>
    </w:p>
    <w:p w14:paraId="55540632" w14:textId="77777777" w:rsidR="00307E20" w:rsidRPr="00307E20" w:rsidRDefault="00307E20" w:rsidP="00307E20">
      <w:pPr>
        <w:pStyle w:val="tekstost"/>
        <w:tabs>
          <w:tab w:val="left" w:pos="9914"/>
        </w:tabs>
        <w:rPr>
          <w:rFonts w:asciiTheme="minorHAnsi" w:hAnsiTheme="minorHAnsi" w:cstheme="minorHAnsi"/>
          <w:sz w:val="18"/>
          <w:szCs w:val="18"/>
        </w:rPr>
      </w:pPr>
      <w:r w:rsidRPr="00307E20">
        <w:rPr>
          <w:rFonts w:asciiTheme="minorHAnsi" w:hAnsiTheme="minorHAnsi" w:cstheme="minorHAnsi"/>
          <w:sz w:val="18"/>
          <w:szCs w:val="18"/>
        </w:rPr>
        <w:t>EN 1317 Urządzenia drogowe</w:t>
      </w:r>
    </w:p>
    <w:p w14:paraId="137EA015" w14:textId="77777777" w:rsidR="00307E20" w:rsidRPr="00307E20" w:rsidRDefault="00307E20" w:rsidP="00307E20">
      <w:pPr>
        <w:pStyle w:val="tekstost"/>
        <w:tabs>
          <w:tab w:val="left" w:pos="9914"/>
        </w:tabs>
        <w:rPr>
          <w:rFonts w:asciiTheme="minorHAnsi" w:hAnsiTheme="minorHAnsi" w:cstheme="minorHAnsi"/>
          <w:sz w:val="18"/>
          <w:szCs w:val="18"/>
        </w:rPr>
      </w:pPr>
      <w:r w:rsidRPr="00307E20">
        <w:rPr>
          <w:rFonts w:asciiTheme="minorHAnsi" w:hAnsiTheme="minorHAnsi" w:cstheme="minorHAnsi"/>
          <w:sz w:val="18"/>
          <w:szCs w:val="18"/>
        </w:rPr>
        <w:t>PN-EN 206-1:2003 Beton Wymagania, właściwości, produkcja, zgodność</w:t>
      </w:r>
    </w:p>
    <w:p w14:paraId="7BCFF907" w14:textId="77777777" w:rsidR="00307E20" w:rsidRPr="00307E20" w:rsidRDefault="00307E20" w:rsidP="00307E20">
      <w:pPr>
        <w:pStyle w:val="tekstost"/>
        <w:tabs>
          <w:tab w:val="left" w:pos="9914"/>
        </w:tabs>
        <w:rPr>
          <w:rFonts w:asciiTheme="minorHAnsi" w:hAnsiTheme="minorHAnsi" w:cstheme="minorHAnsi"/>
          <w:sz w:val="18"/>
          <w:szCs w:val="18"/>
        </w:rPr>
      </w:pPr>
      <w:r w:rsidRPr="00307E20">
        <w:rPr>
          <w:rFonts w:asciiTheme="minorHAnsi" w:hAnsiTheme="minorHAnsi" w:cstheme="minorHAnsi"/>
          <w:sz w:val="18"/>
          <w:szCs w:val="18"/>
        </w:rPr>
        <w:t>PN-ISO 6935-1:1998 Stal do zbrojenia betonu. Pręty gładkie.</w:t>
      </w:r>
    </w:p>
    <w:p w14:paraId="550E42D4" w14:textId="77777777" w:rsidR="00307E20" w:rsidRDefault="00307E20" w:rsidP="00307E20">
      <w:pPr>
        <w:pStyle w:val="Nagowek1"/>
        <w:spacing w:before="0" w:line="360" w:lineRule="auto"/>
        <w:jc w:val="both"/>
      </w:pPr>
    </w:p>
    <w:p w14:paraId="4DCC8CE8" w14:textId="77777777" w:rsidR="00307E20" w:rsidRDefault="00307E20" w:rsidP="00307E20">
      <w:pPr>
        <w:pStyle w:val="Nagowek1"/>
        <w:spacing w:before="0" w:line="360" w:lineRule="auto"/>
        <w:jc w:val="both"/>
      </w:pPr>
    </w:p>
    <w:p w14:paraId="14151E74" w14:textId="77777777" w:rsidR="00307E20" w:rsidRDefault="00307E20" w:rsidP="00D424B0">
      <w:pPr>
        <w:pStyle w:val="1"/>
      </w:pPr>
    </w:p>
    <w:p w14:paraId="171E9B1B" w14:textId="77777777" w:rsidR="00307E20" w:rsidRDefault="00307E20" w:rsidP="00D424B0">
      <w:pPr>
        <w:pStyle w:val="1"/>
      </w:pPr>
    </w:p>
    <w:p w14:paraId="16B82459" w14:textId="77777777" w:rsidR="00B93A39" w:rsidRDefault="00B93A39" w:rsidP="00D424B0">
      <w:pPr>
        <w:pStyle w:val="1"/>
      </w:pPr>
    </w:p>
    <w:p w14:paraId="79FF1340" w14:textId="77777777" w:rsidR="00B93A39" w:rsidRDefault="00B93A39" w:rsidP="00D424B0">
      <w:pPr>
        <w:pStyle w:val="1"/>
      </w:pPr>
    </w:p>
    <w:p w14:paraId="139F9EC0" w14:textId="77777777" w:rsidR="00B93A39" w:rsidRDefault="00B93A39" w:rsidP="00D424B0">
      <w:pPr>
        <w:pStyle w:val="1"/>
      </w:pPr>
    </w:p>
    <w:p w14:paraId="44F59025" w14:textId="77777777" w:rsidR="00B93A39" w:rsidRDefault="00B93A39" w:rsidP="00D424B0">
      <w:pPr>
        <w:pStyle w:val="1"/>
      </w:pPr>
    </w:p>
    <w:p w14:paraId="7A12743A" w14:textId="3C7C7469" w:rsidR="00B93A39" w:rsidRDefault="00CB3CD7" w:rsidP="00CB3CD7">
      <w:pPr>
        <w:pStyle w:val="Nagowek1"/>
        <w:spacing w:before="0" w:line="360" w:lineRule="auto"/>
      </w:pPr>
      <w:bookmarkStart w:id="805" w:name="_Toc206275495"/>
      <w:r>
        <w:rPr>
          <w:rFonts w:cs="Calibri"/>
          <w:szCs w:val="22"/>
        </w:rPr>
        <w:t>SZCZEGÓŁOWE SPECYFIKACJE TECHNICZNE</w:t>
      </w:r>
      <w:r w:rsidRPr="00A23FB4">
        <w:rPr>
          <w:rFonts w:cs="Calibri"/>
          <w:szCs w:val="22"/>
        </w:rPr>
        <w:t xml:space="preserve"> WYKONANIA I ODBIORU ROBÓT BUDOWLANYCH</w:t>
      </w:r>
      <w:bookmarkEnd w:id="805"/>
    </w:p>
    <w:p w14:paraId="5FB19AD5" w14:textId="1204967F" w:rsidR="00184474" w:rsidRPr="00A23FB4" w:rsidRDefault="00184474" w:rsidP="004D5430">
      <w:pPr>
        <w:pStyle w:val="Nagowek1"/>
        <w:spacing w:before="0" w:line="360" w:lineRule="auto"/>
      </w:pPr>
      <w:bookmarkStart w:id="806" w:name="_Toc206275496"/>
      <w:r w:rsidRPr="00A23FB4">
        <w:t>D-07.06.02 URZĄDZENIA ZABEZPIECZAJĄCE RUCH PIESZYCH</w:t>
      </w:r>
      <w:bookmarkEnd w:id="798"/>
      <w:bookmarkEnd w:id="799"/>
      <w:bookmarkEnd w:id="800"/>
      <w:bookmarkEnd w:id="801"/>
      <w:bookmarkEnd w:id="806"/>
    </w:p>
    <w:p w14:paraId="3B8DC65B" w14:textId="77777777" w:rsidR="00184474" w:rsidRPr="00A23FB4" w:rsidRDefault="00184474" w:rsidP="00184474">
      <w:pPr>
        <w:rPr>
          <w:rFonts w:ascii="Calibri" w:hAnsi="Calibri" w:cs="Calibri"/>
          <w:b/>
        </w:rPr>
      </w:pPr>
      <w:r w:rsidRPr="00A23FB4">
        <w:rPr>
          <w:rFonts w:ascii="Calibri" w:hAnsi="Calibri" w:cs="Calibri"/>
          <w:b/>
        </w:rPr>
        <w:t>1. WSTĘP</w:t>
      </w:r>
    </w:p>
    <w:p w14:paraId="48FF56E4" w14:textId="1F7AFF43" w:rsidR="00184474" w:rsidRPr="00A23FB4" w:rsidRDefault="00184474" w:rsidP="00184474">
      <w:pPr>
        <w:pStyle w:val="Nagwek4"/>
        <w:tabs>
          <w:tab w:val="left" w:pos="9914"/>
        </w:tabs>
        <w:rPr>
          <w:rFonts w:ascii="Calibri" w:hAnsi="Calibri" w:cs="Calibri"/>
        </w:rPr>
      </w:pPr>
      <w:bookmarkStart w:id="807" w:name="_Toc235080128"/>
      <w:r w:rsidRPr="00A23FB4">
        <w:rPr>
          <w:rFonts w:ascii="Calibri" w:hAnsi="Calibri" w:cs="Calibri"/>
        </w:rPr>
        <w:t xml:space="preserve">1.1. Przedmiot </w:t>
      </w:r>
      <w:bookmarkEnd w:id="807"/>
      <w:r w:rsidR="00C62A07">
        <w:rPr>
          <w:rFonts w:ascii="Calibri" w:hAnsi="Calibri" w:cs="Calibri"/>
        </w:rPr>
        <w:t>ST</w:t>
      </w:r>
      <w:r w:rsidRPr="00A23FB4">
        <w:rPr>
          <w:rFonts w:ascii="Calibri" w:hAnsi="Calibri" w:cs="Calibri"/>
        </w:rPr>
        <w:t>WiORB</w:t>
      </w:r>
    </w:p>
    <w:p w14:paraId="06B54DC3" w14:textId="762907E7" w:rsidR="00184474" w:rsidRPr="00A23FB4" w:rsidRDefault="00184474" w:rsidP="00184474">
      <w:pPr>
        <w:rPr>
          <w:rFonts w:ascii="Calibri" w:hAnsi="Calibri" w:cs="Calibri"/>
        </w:rPr>
      </w:pPr>
      <w:r w:rsidRPr="00A23FB4">
        <w:rPr>
          <w:rFonts w:ascii="Calibri" w:hAnsi="Calibri" w:cs="Calibri"/>
        </w:rPr>
        <w:t>Przedmiotem niniejsz</w:t>
      </w:r>
      <w:r w:rsidR="00CB3CD7">
        <w:rPr>
          <w:rFonts w:ascii="Calibri" w:hAnsi="Calibri" w:cs="Calibri"/>
        </w:rPr>
        <w:t>ej</w:t>
      </w:r>
      <w:r w:rsidR="00E13859">
        <w:rPr>
          <w:rFonts w:ascii="Calibri" w:hAnsi="Calibri" w:cs="Calibri"/>
        </w:rPr>
        <w:t xml:space="preserve"> szczegółow</w:t>
      </w:r>
      <w:r w:rsidR="00CB3CD7">
        <w:rPr>
          <w:rFonts w:ascii="Calibri" w:hAnsi="Calibri" w:cs="Calibri"/>
        </w:rPr>
        <w:t>ej</w:t>
      </w:r>
      <w:r w:rsidRPr="00A23FB4">
        <w:rPr>
          <w:rFonts w:ascii="Calibri" w:hAnsi="Calibri" w:cs="Calibri"/>
        </w:rPr>
        <w:t xml:space="preserve"> </w:t>
      </w:r>
      <w:r w:rsidR="00E13859">
        <w:rPr>
          <w:rFonts w:ascii="Calibri" w:hAnsi="Calibri" w:cs="Calibri"/>
        </w:rPr>
        <w:t>specyfikacji techniczn</w:t>
      </w:r>
      <w:r w:rsidR="00CB3CD7">
        <w:rPr>
          <w:rFonts w:ascii="Calibri" w:hAnsi="Calibri" w:cs="Calibri"/>
        </w:rPr>
        <w:t>ej</w:t>
      </w:r>
      <w:r w:rsidRPr="00A23FB4">
        <w:rPr>
          <w:rFonts w:ascii="Calibri" w:hAnsi="Calibri" w:cs="Calibri"/>
        </w:rPr>
        <w:t xml:space="preserve"> wykonania i odbioru robót budowlanych (</w:t>
      </w:r>
      <w:r w:rsidR="00C62A07">
        <w:rPr>
          <w:rFonts w:ascii="Calibri" w:hAnsi="Calibri" w:cs="Calibri"/>
        </w:rPr>
        <w:t>ST</w:t>
      </w:r>
      <w:r w:rsidRPr="00A23FB4">
        <w:rPr>
          <w:rFonts w:ascii="Calibri" w:hAnsi="Calibri" w:cs="Calibri"/>
        </w:rPr>
        <w:t>WiORB) są wymagania dotyczące wykonania i odbioru robót związanych z urządzeniami zabezpieczającymi ruch pieszych.</w:t>
      </w:r>
    </w:p>
    <w:p w14:paraId="7474D8A6" w14:textId="693A44B2" w:rsidR="00184474" w:rsidRPr="00A23FB4" w:rsidRDefault="00184474" w:rsidP="00184474">
      <w:pPr>
        <w:pStyle w:val="Nagwek4"/>
        <w:tabs>
          <w:tab w:val="left" w:pos="9914"/>
        </w:tabs>
        <w:rPr>
          <w:rFonts w:ascii="Calibri" w:hAnsi="Calibri" w:cs="Calibri"/>
        </w:rPr>
      </w:pPr>
      <w:bookmarkStart w:id="808" w:name="_Toc235080130"/>
      <w:r w:rsidRPr="00A23FB4">
        <w:rPr>
          <w:rFonts w:ascii="Calibri" w:hAnsi="Calibri" w:cs="Calibri"/>
        </w:rPr>
        <w:t xml:space="preserve">1.2. Zakres stosowania </w:t>
      </w:r>
      <w:r w:rsidR="00C62A07">
        <w:rPr>
          <w:rFonts w:ascii="Calibri" w:hAnsi="Calibri" w:cs="Calibri"/>
        </w:rPr>
        <w:t>ST</w:t>
      </w:r>
      <w:r w:rsidRPr="00A23FB4">
        <w:rPr>
          <w:rFonts w:ascii="Calibri" w:hAnsi="Calibri" w:cs="Calibri"/>
        </w:rPr>
        <w:t>WiORB</w:t>
      </w:r>
    </w:p>
    <w:p w14:paraId="41A85BF4" w14:textId="4CCD7F8B" w:rsidR="00184474" w:rsidRPr="00A23FB4" w:rsidRDefault="00E13859" w:rsidP="00184474">
      <w:pPr>
        <w:spacing w:before="120"/>
        <w:rPr>
          <w:rFonts w:asciiTheme="minorHAnsi" w:hAnsiTheme="minorHAnsi" w:cs="Calibri"/>
        </w:rPr>
      </w:pPr>
      <w:r>
        <w:rPr>
          <w:rFonts w:asciiTheme="minorHAnsi" w:hAnsiTheme="minorHAnsi" w:cs="Calibri"/>
        </w:rPr>
        <w:t>Specyfikacj</w:t>
      </w:r>
      <w:r w:rsidR="00CB3CD7">
        <w:rPr>
          <w:rFonts w:asciiTheme="minorHAnsi" w:hAnsiTheme="minorHAnsi" w:cs="Calibri"/>
        </w:rPr>
        <w:t>a</w:t>
      </w:r>
      <w:r w:rsidR="00184474" w:rsidRPr="00A23FB4">
        <w:rPr>
          <w:rFonts w:asciiTheme="minorHAnsi" w:hAnsiTheme="minorHAnsi" w:cs="Calibri"/>
        </w:rPr>
        <w:t xml:space="preserve"> stanowi dokument kontraktowy przy realizacji  zadania</w:t>
      </w:r>
      <w:r w:rsidR="004D5430" w:rsidRPr="00A23FB4">
        <w:rPr>
          <w:rFonts w:asciiTheme="minorHAnsi" w:hAnsiTheme="minorHAnsi" w:cstheme="minorHAnsi"/>
          <w:bCs/>
        </w:rPr>
        <w:t xml:space="preserve"> </w:t>
      </w:r>
      <w:r w:rsidR="00506838">
        <w:rPr>
          <w:rFonts w:asciiTheme="minorHAnsi" w:hAnsiTheme="minorHAnsi" w:cstheme="minorHAnsi"/>
          <w:bCs/>
        </w:rPr>
        <w:t>„</w:t>
      </w:r>
      <w:r w:rsidR="00C62A07" w:rsidRPr="00C62A07">
        <w:rPr>
          <w:rFonts w:asciiTheme="minorHAnsi" w:hAnsiTheme="minorHAnsi" w:cstheme="minorHAnsi"/>
          <w:bCs/>
        </w:rPr>
        <w:t>Rozbudowa ul. Wrocławskiej w ciągu drogi powiatowej w Tyńcu Małym wraz z rozbudową istniejącego skrzyżowania typu rondo na połączeniu dróg krajowych nr 35 i 35a oraz łącznika węzła Kobierzyce drogi S8e oraz infrastrukturą towarzyszącą w ramach zadania „Rozbudowa skrzyżowania typu rondo w ciągu DK35 koło m. Tyniec Mały usprawniająca skomunikowanie obszarów Podstrefy Wrocław – Kobierzyce TSSE EURO PARK WISŁOSAN”</w:t>
      </w:r>
      <w:r w:rsidR="004D5430" w:rsidRPr="00A23FB4">
        <w:rPr>
          <w:rFonts w:asciiTheme="minorHAnsi" w:hAnsiTheme="minorHAnsi" w:cstheme="minorHAnsi"/>
          <w:bCs/>
        </w:rPr>
        <w:t>”.</w:t>
      </w:r>
    </w:p>
    <w:p w14:paraId="72DC7F06" w14:textId="45D8927D" w:rsidR="00184474" w:rsidRPr="00A23FB4" w:rsidRDefault="00184474" w:rsidP="00184474">
      <w:pPr>
        <w:pStyle w:val="Nagwek4"/>
        <w:tabs>
          <w:tab w:val="left" w:pos="9914"/>
        </w:tabs>
        <w:rPr>
          <w:rFonts w:ascii="Calibri" w:hAnsi="Calibri" w:cs="Calibri"/>
        </w:rPr>
      </w:pPr>
      <w:r w:rsidRPr="00A23FB4">
        <w:rPr>
          <w:rFonts w:ascii="Calibri" w:hAnsi="Calibri" w:cs="Calibri"/>
        </w:rPr>
        <w:t xml:space="preserve">1.3. Zakres robót objętych </w:t>
      </w:r>
      <w:bookmarkEnd w:id="808"/>
      <w:r w:rsidR="00C62A07">
        <w:rPr>
          <w:rFonts w:ascii="Calibri" w:hAnsi="Calibri" w:cs="Calibri"/>
        </w:rPr>
        <w:t>ST</w:t>
      </w:r>
      <w:r w:rsidRPr="00A23FB4">
        <w:rPr>
          <w:rFonts w:ascii="Calibri" w:hAnsi="Calibri" w:cs="Calibri"/>
        </w:rPr>
        <w:t>WiORB</w:t>
      </w:r>
    </w:p>
    <w:p w14:paraId="1001EBCA" w14:textId="59F2152E" w:rsidR="00184474" w:rsidRPr="00A23FB4" w:rsidRDefault="00184474" w:rsidP="00184474">
      <w:pPr>
        <w:rPr>
          <w:rFonts w:ascii="Calibri" w:hAnsi="Calibri" w:cs="Calibri"/>
        </w:rPr>
      </w:pPr>
      <w:r w:rsidRPr="00A23FB4">
        <w:rPr>
          <w:rFonts w:ascii="Calibri" w:hAnsi="Calibri" w:cs="Calibri"/>
        </w:rPr>
        <w:t xml:space="preserve">Ustalenia zawarte w niniejszych </w:t>
      </w:r>
      <w:r w:rsidR="00E13859">
        <w:rPr>
          <w:rFonts w:ascii="Calibri" w:hAnsi="Calibri" w:cs="Calibri"/>
        </w:rPr>
        <w:t xml:space="preserve">specyfikacjach </w:t>
      </w:r>
      <w:r w:rsidRPr="00A23FB4">
        <w:rPr>
          <w:rFonts w:ascii="Calibri" w:hAnsi="Calibri" w:cs="Calibri"/>
        </w:rPr>
        <w:t xml:space="preserve"> dotyczą zasad prowadzenia robót związanych z wykonaniem </w:t>
      </w:r>
      <w:r w:rsidR="006472BC" w:rsidRPr="00A23FB4">
        <w:rPr>
          <w:rFonts w:ascii="Calibri" w:hAnsi="Calibri" w:cs="Calibri"/>
        </w:rPr>
        <w:t>oraz balustrad chodnikowych</w:t>
      </w:r>
      <w:r w:rsidR="004D5430" w:rsidRPr="00A23FB4">
        <w:rPr>
          <w:rFonts w:ascii="Calibri" w:hAnsi="Calibri" w:cs="Calibri"/>
        </w:rPr>
        <w:t xml:space="preserve"> i słupków drogowych</w:t>
      </w:r>
      <w:r w:rsidR="006472BC" w:rsidRPr="00A23FB4">
        <w:rPr>
          <w:rFonts w:ascii="Calibri" w:hAnsi="Calibri" w:cs="Calibri"/>
        </w:rPr>
        <w:t>.</w:t>
      </w:r>
    </w:p>
    <w:p w14:paraId="34BF595C" w14:textId="77777777" w:rsidR="00184474" w:rsidRPr="00A23FB4" w:rsidRDefault="00184474" w:rsidP="00184474">
      <w:pPr>
        <w:pStyle w:val="Nagwek4"/>
        <w:tabs>
          <w:tab w:val="left" w:pos="9914"/>
        </w:tabs>
        <w:rPr>
          <w:rFonts w:ascii="Calibri" w:hAnsi="Calibri" w:cs="Calibri"/>
        </w:rPr>
      </w:pPr>
      <w:bookmarkStart w:id="809" w:name="_Toc235080131"/>
      <w:r w:rsidRPr="00A23FB4">
        <w:rPr>
          <w:rFonts w:ascii="Calibri" w:hAnsi="Calibri" w:cs="Calibri"/>
        </w:rPr>
        <w:t>1.4. Określenia podstawowe</w:t>
      </w:r>
      <w:bookmarkEnd w:id="809"/>
    </w:p>
    <w:p w14:paraId="2BD3E202" w14:textId="77777777" w:rsidR="00184474" w:rsidRPr="00A23FB4" w:rsidRDefault="00184474" w:rsidP="00184474">
      <w:pPr>
        <w:rPr>
          <w:rFonts w:ascii="Calibri" w:hAnsi="Calibri" w:cs="Calibri"/>
        </w:rPr>
      </w:pPr>
      <w:r w:rsidRPr="00A23FB4">
        <w:rPr>
          <w:rFonts w:ascii="Calibri" w:hAnsi="Calibri" w:cs="Calibri"/>
          <w:b/>
          <w:bCs/>
          <w:i/>
          <w:iCs/>
        </w:rPr>
        <w:t>1.4.1.</w:t>
      </w:r>
      <w:r w:rsidRPr="00A23FB4">
        <w:rPr>
          <w:rFonts w:ascii="Calibri" w:hAnsi="Calibri" w:cs="Calibri"/>
        </w:rPr>
        <w:t xml:space="preserve">  Ogrodzenia ochronne sztywne - przegrody fizyczne separujące ruch pieszy od ruchu kołowego wykonane z kształtowników stalowych, .</w:t>
      </w:r>
    </w:p>
    <w:p w14:paraId="7A923A6B" w14:textId="77777777" w:rsidR="00184474" w:rsidRPr="00A23FB4" w:rsidRDefault="00184474" w:rsidP="00184474">
      <w:pPr>
        <w:rPr>
          <w:rFonts w:ascii="Calibri" w:hAnsi="Calibri" w:cs="Calibri"/>
        </w:rPr>
      </w:pPr>
      <w:r w:rsidRPr="00A23FB4">
        <w:rPr>
          <w:rFonts w:ascii="Calibri" w:hAnsi="Calibri" w:cs="Calibri"/>
          <w:b/>
          <w:bCs/>
          <w:i/>
          <w:iCs/>
        </w:rPr>
        <w:t>1.4.2.</w:t>
      </w:r>
      <w:r w:rsidRPr="00A23FB4">
        <w:rPr>
          <w:rFonts w:ascii="Calibri" w:hAnsi="Calibri" w:cs="Calibri"/>
        </w:rPr>
        <w:t xml:space="preserve">  Kształtowniki - wyroby o stałym przekroju poprzecznym w kształcie złożonej figury geometrycznej, dostarczane w odcinkach prostych, stosowane w konstrukcjach stalowych lub w połączeniu z innymi materiałami budowlanymi.</w:t>
      </w:r>
    </w:p>
    <w:p w14:paraId="56D816F4" w14:textId="798A5503" w:rsidR="00184474" w:rsidRPr="00A23FB4" w:rsidRDefault="00184474" w:rsidP="00184474">
      <w:pPr>
        <w:rPr>
          <w:rFonts w:ascii="Calibri" w:hAnsi="Calibri" w:cs="Calibri"/>
        </w:rPr>
      </w:pPr>
      <w:r w:rsidRPr="00A23FB4">
        <w:rPr>
          <w:rFonts w:ascii="Calibri" w:hAnsi="Calibri" w:cs="Calibri"/>
          <w:b/>
          <w:bCs/>
          <w:i/>
          <w:iCs/>
        </w:rPr>
        <w:t>1.4.3.</w:t>
      </w:r>
      <w:r w:rsidRPr="00A23FB4">
        <w:rPr>
          <w:rFonts w:ascii="Calibri" w:hAnsi="Calibri" w:cs="Calibri"/>
        </w:rPr>
        <w:t xml:space="preserve">Pozostałe określenia podstawowe są zgodne z obowiązującymi, odpowiednimi polskimi normami i z definicjami podanymi w </w:t>
      </w:r>
      <w:r w:rsidR="00C62A07">
        <w:rPr>
          <w:rFonts w:ascii="Calibri" w:hAnsi="Calibri" w:cs="Calibri"/>
        </w:rPr>
        <w:t>ST</w:t>
      </w:r>
      <w:r w:rsidRPr="00A23FB4">
        <w:rPr>
          <w:rFonts w:ascii="Calibri" w:hAnsi="Calibri" w:cs="Calibri"/>
        </w:rPr>
        <w:t xml:space="preserve">WiORB D-M-00.00.00 „Wymagania ogólne” pkt 1.4. </w:t>
      </w:r>
    </w:p>
    <w:p w14:paraId="3AF560B0" w14:textId="77777777" w:rsidR="00184474" w:rsidRPr="00A23FB4" w:rsidRDefault="00184474" w:rsidP="00184474">
      <w:pPr>
        <w:pStyle w:val="Nagwek4"/>
        <w:tabs>
          <w:tab w:val="left" w:pos="9914"/>
        </w:tabs>
        <w:rPr>
          <w:rFonts w:ascii="Calibri" w:hAnsi="Calibri" w:cs="Calibri"/>
        </w:rPr>
      </w:pPr>
      <w:bookmarkStart w:id="810" w:name="_Toc235080132"/>
      <w:r w:rsidRPr="00A23FB4">
        <w:rPr>
          <w:rFonts w:ascii="Calibri" w:hAnsi="Calibri" w:cs="Calibri"/>
        </w:rPr>
        <w:t>1.5. Ogólne wymagania dotyczące robót</w:t>
      </w:r>
      <w:bookmarkEnd w:id="810"/>
    </w:p>
    <w:p w14:paraId="728B15CD" w14:textId="4BCF70AA" w:rsidR="00184474" w:rsidRPr="00A23FB4" w:rsidRDefault="00184474" w:rsidP="00184474">
      <w:pPr>
        <w:rPr>
          <w:rFonts w:ascii="Calibri" w:hAnsi="Calibri" w:cs="Calibri"/>
        </w:rPr>
      </w:pPr>
      <w:r w:rsidRPr="00A23FB4">
        <w:rPr>
          <w:rFonts w:ascii="Calibri" w:hAnsi="Calibri" w:cs="Calibri"/>
        </w:rPr>
        <w:t xml:space="preserve">Ogólne wymagania dotyczące robót podano w </w:t>
      </w:r>
      <w:r w:rsidR="00C62A07">
        <w:rPr>
          <w:rFonts w:ascii="Calibri" w:hAnsi="Calibri" w:cs="Calibri"/>
        </w:rPr>
        <w:t>ST</w:t>
      </w:r>
      <w:r w:rsidRPr="00A23FB4">
        <w:rPr>
          <w:rFonts w:ascii="Calibri" w:hAnsi="Calibri" w:cs="Calibri"/>
        </w:rPr>
        <w:t xml:space="preserve">WiORB D-M-00.00.00 „Wymagania ogólne” pkt 1.5. </w:t>
      </w:r>
    </w:p>
    <w:p w14:paraId="5CD05FD1" w14:textId="77777777" w:rsidR="00184474" w:rsidRPr="00A23FB4" w:rsidRDefault="00184474" w:rsidP="00184474">
      <w:pPr>
        <w:rPr>
          <w:rFonts w:ascii="Calibri" w:hAnsi="Calibri" w:cs="Calibri"/>
        </w:rPr>
      </w:pPr>
    </w:p>
    <w:p w14:paraId="40F8C8FD" w14:textId="77777777" w:rsidR="00184474" w:rsidRPr="00A23FB4" w:rsidRDefault="00184474" w:rsidP="00184474">
      <w:pPr>
        <w:rPr>
          <w:rFonts w:ascii="Calibri" w:hAnsi="Calibri" w:cs="Calibri"/>
          <w:b/>
        </w:rPr>
      </w:pPr>
      <w:bookmarkStart w:id="811" w:name="_Toc425562414"/>
      <w:bookmarkStart w:id="812" w:name="_Toc235080133"/>
      <w:r w:rsidRPr="00A23FB4">
        <w:rPr>
          <w:rFonts w:ascii="Calibri" w:hAnsi="Calibri" w:cs="Calibri"/>
          <w:b/>
        </w:rPr>
        <w:t>2. MATERIAŁY</w:t>
      </w:r>
      <w:bookmarkEnd w:id="811"/>
      <w:bookmarkEnd w:id="812"/>
    </w:p>
    <w:p w14:paraId="2343799D" w14:textId="77777777" w:rsidR="00184474" w:rsidRPr="00A23FB4" w:rsidRDefault="00184474" w:rsidP="00184474">
      <w:pPr>
        <w:pStyle w:val="Nagwek4"/>
        <w:tabs>
          <w:tab w:val="left" w:pos="9914"/>
        </w:tabs>
        <w:rPr>
          <w:rFonts w:ascii="Calibri" w:hAnsi="Calibri" w:cs="Calibri"/>
        </w:rPr>
      </w:pPr>
      <w:bookmarkStart w:id="813" w:name="_Toc235080134"/>
      <w:r w:rsidRPr="00A23FB4">
        <w:rPr>
          <w:rFonts w:ascii="Calibri" w:hAnsi="Calibri" w:cs="Calibri"/>
        </w:rPr>
        <w:t>2.1. Ogólne wymagania dotyczące materiałów</w:t>
      </w:r>
      <w:bookmarkEnd w:id="813"/>
    </w:p>
    <w:p w14:paraId="6E9D3E7E" w14:textId="2B00FEDB" w:rsidR="00184474" w:rsidRPr="00A23FB4" w:rsidRDefault="00184474" w:rsidP="00184474">
      <w:pPr>
        <w:rPr>
          <w:rFonts w:ascii="Calibri" w:hAnsi="Calibri" w:cs="Calibri"/>
        </w:rPr>
      </w:pPr>
      <w:r w:rsidRPr="00A23FB4">
        <w:rPr>
          <w:rFonts w:ascii="Calibri" w:hAnsi="Calibri" w:cs="Calibri"/>
        </w:rPr>
        <w:t xml:space="preserve">Ogólne wymagania dotyczące materiałów, ich pozyskiwania i składowania, podano w </w:t>
      </w:r>
      <w:r w:rsidR="00C62A07">
        <w:rPr>
          <w:rFonts w:ascii="Calibri" w:hAnsi="Calibri" w:cs="Calibri"/>
        </w:rPr>
        <w:t>ST</w:t>
      </w:r>
      <w:r w:rsidRPr="00A23FB4">
        <w:rPr>
          <w:rFonts w:ascii="Calibri" w:hAnsi="Calibri" w:cs="Calibri"/>
        </w:rPr>
        <w:t>WiORB D-M-00.00.00 „Wymagania ogólne” pkt 2.</w:t>
      </w:r>
    </w:p>
    <w:p w14:paraId="21736C66" w14:textId="77777777" w:rsidR="00184474" w:rsidRPr="00A23FB4" w:rsidRDefault="00184474" w:rsidP="00184474">
      <w:pPr>
        <w:pStyle w:val="Nagwek4"/>
        <w:tabs>
          <w:tab w:val="left" w:pos="9914"/>
        </w:tabs>
        <w:rPr>
          <w:rFonts w:ascii="Calibri" w:hAnsi="Calibri" w:cs="Calibri"/>
        </w:rPr>
      </w:pPr>
      <w:bookmarkStart w:id="814" w:name="_Toc235080135"/>
      <w:r w:rsidRPr="00A23FB4">
        <w:rPr>
          <w:rFonts w:ascii="Calibri" w:hAnsi="Calibri" w:cs="Calibri"/>
        </w:rPr>
        <w:t>2.2. Rodzaje materiałów</w:t>
      </w:r>
      <w:bookmarkEnd w:id="814"/>
    </w:p>
    <w:p w14:paraId="64124C03" w14:textId="64CB081E" w:rsidR="00184474" w:rsidRPr="00A23FB4" w:rsidRDefault="00184474" w:rsidP="00184474">
      <w:pPr>
        <w:rPr>
          <w:rFonts w:ascii="Calibri" w:hAnsi="Calibri" w:cs="Calibri"/>
        </w:rPr>
      </w:pPr>
      <w:r w:rsidRPr="00A23FB4">
        <w:rPr>
          <w:rFonts w:ascii="Calibri" w:hAnsi="Calibri" w:cs="Calibri"/>
        </w:rPr>
        <w:t xml:space="preserve">Materiałami stosowanymi przy wykonywaniu urządzeń zabezpieczających ruch pieszy, objętych niniejszą </w:t>
      </w:r>
      <w:r w:rsidR="00C62A07">
        <w:rPr>
          <w:rFonts w:ascii="Calibri" w:hAnsi="Calibri" w:cs="Calibri"/>
        </w:rPr>
        <w:t>ST</w:t>
      </w:r>
      <w:r w:rsidRPr="00A23FB4">
        <w:rPr>
          <w:rFonts w:ascii="Calibri" w:hAnsi="Calibri" w:cs="Calibri"/>
        </w:rPr>
        <w:t>WiORB, są:</w:t>
      </w:r>
    </w:p>
    <w:p w14:paraId="2CFAE974" w14:textId="77777777" w:rsidR="00184474" w:rsidRPr="00A23FB4" w:rsidRDefault="00184474" w:rsidP="00184474">
      <w:pPr>
        <w:rPr>
          <w:rFonts w:ascii="Calibri" w:hAnsi="Calibri" w:cs="Calibri"/>
          <w:b/>
          <w:bCs/>
        </w:rPr>
      </w:pPr>
      <w:r w:rsidRPr="00A23FB4">
        <w:rPr>
          <w:rFonts w:ascii="Calibri" w:hAnsi="Calibri" w:cs="Calibri"/>
        </w:rPr>
        <w:t>słupki metalowe i elementy połączeniowe,</w:t>
      </w:r>
    </w:p>
    <w:p w14:paraId="30DAE33B" w14:textId="77777777" w:rsidR="00184474" w:rsidRPr="00A23FB4" w:rsidRDefault="00184474" w:rsidP="00184474">
      <w:pPr>
        <w:rPr>
          <w:rFonts w:ascii="Calibri" w:hAnsi="Calibri" w:cs="Calibri"/>
          <w:b/>
          <w:bCs/>
        </w:rPr>
      </w:pPr>
      <w:r w:rsidRPr="00A23FB4">
        <w:rPr>
          <w:rFonts w:ascii="Calibri" w:hAnsi="Calibri" w:cs="Calibri"/>
        </w:rPr>
        <w:t>materiały do malowania i renowacji powłok malarskich.</w:t>
      </w:r>
    </w:p>
    <w:p w14:paraId="584C0AF9" w14:textId="77777777" w:rsidR="00184474" w:rsidRPr="00A23FB4" w:rsidRDefault="00184474" w:rsidP="00184474">
      <w:pPr>
        <w:pStyle w:val="Nagwek4"/>
        <w:tabs>
          <w:tab w:val="left" w:pos="9914"/>
        </w:tabs>
        <w:rPr>
          <w:rFonts w:ascii="Calibri" w:hAnsi="Calibri" w:cs="Calibri"/>
        </w:rPr>
      </w:pPr>
      <w:bookmarkStart w:id="815" w:name="_Toc235080138"/>
      <w:r w:rsidRPr="00A23FB4">
        <w:rPr>
          <w:rFonts w:ascii="Calibri" w:hAnsi="Calibri" w:cs="Calibri"/>
        </w:rPr>
        <w:t>2.3. Słupki metalowe i elementy połączeniowe</w:t>
      </w:r>
      <w:bookmarkEnd w:id="815"/>
    </w:p>
    <w:p w14:paraId="784DE9AA" w14:textId="77777777" w:rsidR="00184474" w:rsidRPr="00A23FB4" w:rsidRDefault="00184474" w:rsidP="00184474">
      <w:pPr>
        <w:rPr>
          <w:rFonts w:ascii="Calibri" w:hAnsi="Calibri" w:cs="Calibri"/>
        </w:rPr>
      </w:pPr>
      <w:r w:rsidRPr="00A23FB4">
        <w:rPr>
          <w:rFonts w:ascii="Calibri" w:hAnsi="Calibri" w:cs="Calibri"/>
          <w:b/>
          <w:bCs/>
          <w:i/>
          <w:iCs/>
        </w:rPr>
        <w:t>2.3.1.Wymiary i najważniejsze charakterystyki słupków</w:t>
      </w:r>
    </w:p>
    <w:p w14:paraId="600A1E95" w14:textId="77777777" w:rsidR="00184474" w:rsidRPr="00A23FB4" w:rsidRDefault="00184474" w:rsidP="00184474">
      <w:pPr>
        <w:rPr>
          <w:rFonts w:ascii="Calibri" w:hAnsi="Calibri" w:cs="Calibri"/>
        </w:rPr>
      </w:pPr>
      <w:r w:rsidRPr="00A23FB4">
        <w:rPr>
          <w:rFonts w:ascii="Calibri" w:hAnsi="Calibri" w:cs="Calibri"/>
        </w:rPr>
        <w:t>Słupki metalowe ogrodzeń można wykonywać z ocynkowanych rur okrągłych i wyjątkowo z rur kwadratowych lub prostokątnych, względnie z kształtowników: kątowników, ceowników (w tym: częściowo zamkniętych), teowników i dwuteowników, zgodnie z dokumentacją projektową lub wskazaniami Inżyniera.</w:t>
      </w:r>
    </w:p>
    <w:p w14:paraId="7F4435D5" w14:textId="77777777" w:rsidR="00184474" w:rsidRPr="00A23FB4" w:rsidRDefault="00184474" w:rsidP="00184474">
      <w:pPr>
        <w:rPr>
          <w:rFonts w:ascii="Calibri" w:hAnsi="Calibri" w:cs="Calibri"/>
        </w:rPr>
      </w:pPr>
      <w:r w:rsidRPr="00A23FB4">
        <w:rPr>
          <w:rFonts w:ascii="Calibri" w:hAnsi="Calibri" w:cs="Calibri"/>
        </w:rPr>
        <w:t>Wymiary i najważniejsze charakterystyki słupków można przyjmować zgodnie z tablicami od 1 do 7.</w:t>
      </w:r>
    </w:p>
    <w:p w14:paraId="76D2284F" w14:textId="77777777" w:rsidR="00184474" w:rsidRPr="00A23FB4" w:rsidRDefault="00184474" w:rsidP="00184474">
      <w:pPr>
        <w:rPr>
          <w:rFonts w:ascii="Calibri" w:hAnsi="Calibri" w:cs="Calibri"/>
        </w:rPr>
      </w:pPr>
      <w:r w:rsidRPr="00A23FB4">
        <w:rPr>
          <w:rFonts w:ascii="Calibri" w:hAnsi="Calibri" w:cs="Calibri"/>
        </w:rPr>
        <w:br/>
      </w:r>
    </w:p>
    <w:p w14:paraId="77614952" w14:textId="77777777" w:rsidR="00184474" w:rsidRPr="00A23FB4" w:rsidRDefault="00184474" w:rsidP="00184474">
      <w:pPr>
        <w:overflowPunct/>
        <w:autoSpaceDE/>
        <w:autoSpaceDN/>
        <w:adjustRightInd/>
        <w:spacing w:after="200" w:line="276" w:lineRule="auto"/>
        <w:jc w:val="left"/>
        <w:textAlignment w:val="auto"/>
        <w:rPr>
          <w:rFonts w:ascii="Calibri" w:hAnsi="Calibri" w:cs="Calibri"/>
        </w:rPr>
      </w:pPr>
      <w:r w:rsidRPr="00A23FB4">
        <w:rPr>
          <w:rFonts w:ascii="Calibri" w:hAnsi="Calibri" w:cs="Calibri"/>
        </w:rPr>
        <w:br w:type="page"/>
      </w:r>
    </w:p>
    <w:p w14:paraId="6A46BAE9" w14:textId="77777777" w:rsidR="00184474" w:rsidRPr="00A23FB4" w:rsidRDefault="00184474" w:rsidP="00184474">
      <w:pPr>
        <w:rPr>
          <w:rFonts w:ascii="Calibri" w:hAnsi="Calibri" w:cs="Calibri"/>
        </w:rPr>
      </w:pPr>
      <w:r w:rsidRPr="00A23FB4">
        <w:rPr>
          <w:rFonts w:ascii="Calibri" w:hAnsi="Calibri" w:cs="Calibri"/>
        </w:rPr>
        <w:t>Tablica 1. Rury stalowe okrągłe bez szwu walcowane na gorąco wg PN-H-74219</w:t>
      </w:r>
    </w:p>
    <w:tbl>
      <w:tblPr>
        <w:tblW w:w="0" w:type="auto"/>
        <w:tblInd w:w="2" w:type="dxa"/>
        <w:tblLayout w:type="fixed"/>
        <w:tblCellMar>
          <w:left w:w="70" w:type="dxa"/>
          <w:right w:w="70" w:type="dxa"/>
        </w:tblCellMar>
        <w:tblLook w:val="0000" w:firstRow="0" w:lastRow="0" w:firstColumn="0" w:lastColumn="0" w:noHBand="0" w:noVBand="0"/>
      </w:tblPr>
      <w:tblGrid>
        <w:gridCol w:w="1346"/>
        <w:gridCol w:w="1843"/>
        <w:gridCol w:w="1938"/>
        <w:gridCol w:w="1229"/>
        <w:gridCol w:w="1229"/>
      </w:tblGrid>
      <w:tr w:rsidR="00184474" w:rsidRPr="00996FA1" w14:paraId="2B23019A" w14:textId="77777777" w:rsidTr="006237D9">
        <w:tc>
          <w:tcPr>
            <w:tcW w:w="1346" w:type="dxa"/>
            <w:tcBorders>
              <w:top w:val="single" w:sz="6" w:space="0" w:color="auto"/>
              <w:left w:val="single" w:sz="6" w:space="0" w:color="auto"/>
              <w:right w:val="single" w:sz="6" w:space="0" w:color="auto"/>
            </w:tcBorders>
          </w:tcPr>
          <w:p w14:paraId="367D5AAE"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Średnica</w:t>
            </w:r>
          </w:p>
        </w:tc>
        <w:tc>
          <w:tcPr>
            <w:tcW w:w="1843" w:type="dxa"/>
            <w:tcBorders>
              <w:top w:val="single" w:sz="6" w:space="0" w:color="auto"/>
              <w:left w:val="nil"/>
              <w:right w:val="single" w:sz="6" w:space="0" w:color="auto"/>
            </w:tcBorders>
          </w:tcPr>
          <w:p w14:paraId="020C9D7B"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Grubość</w:t>
            </w:r>
          </w:p>
        </w:tc>
        <w:tc>
          <w:tcPr>
            <w:tcW w:w="1938" w:type="dxa"/>
            <w:tcBorders>
              <w:top w:val="single" w:sz="6" w:space="0" w:color="auto"/>
              <w:left w:val="nil"/>
            </w:tcBorders>
          </w:tcPr>
          <w:p w14:paraId="39022A1C"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Masa 1 m rury</w:t>
            </w:r>
          </w:p>
        </w:tc>
        <w:tc>
          <w:tcPr>
            <w:tcW w:w="2456" w:type="dxa"/>
            <w:gridSpan w:val="2"/>
            <w:tcBorders>
              <w:top w:val="single" w:sz="6" w:space="0" w:color="auto"/>
              <w:left w:val="single" w:sz="6" w:space="0" w:color="auto"/>
              <w:bottom w:val="single" w:sz="6" w:space="0" w:color="auto"/>
              <w:right w:val="single" w:sz="6" w:space="0" w:color="auto"/>
            </w:tcBorders>
          </w:tcPr>
          <w:p w14:paraId="23165762"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Dopuszczalne odchyłki, %</w:t>
            </w:r>
          </w:p>
        </w:tc>
      </w:tr>
      <w:tr w:rsidR="00184474" w:rsidRPr="00996FA1" w14:paraId="59E71F33" w14:textId="77777777" w:rsidTr="006237D9">
        <w:tc>
          <w:tcPr>
            <w:tcW w:w="1346" w:type="dxa"/>
            <w:tcBorders>
              <w:left w:val="single" w:sz="6" w:space="0" w:color="auto"/>
              <w:bottom w:val="double" w:sz="6" w:space="0" w:color="auto"/>
              <w:right w:val="single" w:sz="6" w:space="0" w:color="auto"/>
            </w:tcBorders>
          </w:tcPr>
          <w:p w14:paraId="790130DB"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zewnętrzna</w:t>
            </w:r>
          </w:p>
        </w:tc>
        <w:tc>
          <w:tcPr>
            <w:tcW w:w="1843" w:type="dxa"/>
            <w:tcBorders>
              <w:left w:val="nil"/>
              <w:bottom w:val="double" w:sz="6" w:space="0" w:color="auto"/>
            </w:tcBorders>
          </w:tcPr>
          <w:p w14:paraId="3DBC3F70"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ścianki</w:t>
            </w:r>
          </w:p>
        </w:tc>
        <w:tc>
          <w:tcPr>
            <w:tcW w:w="1938" w:type="dxa"/>
            <w:tcBorders>
              <w:left w:val="single" w:sz="6" w:space="0" w:color="auto"/>
              <w:bottom w:val="double" w:sz="6" w:space="0" w:color="auto"/>
            </w:tcBorders>
          </w:tcPr>
          <w:p w14:paraId="79DA8B85"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kg/m</w:t>
            </w:r>
          </w:p>
        </w:tc>
        <w:tc>
          <w:tcPr>
            <w:tcW w:w="1229" w:type="dxa"/>
            <w:tcBorders>
              <w:top w:val="single" w:sz="6" w:space="0" w:color="auto"/>
              <w:left w:val="single" w:sz="6" w:space="0" w:color="auto"/>
              <w:bottom w:val="double" w:sz="6" w:space="0" w:color="auto"/>
              <w:right w:val="single" w:sz="6" w:space="0" w:color="auto"/>
            </w:tcBorders>
          </w:tcPr>
          <w:p w14:paraId="5027535E"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średnicy zewnętrznej</w:t>
            </w:r>
          </w:p>
        </w:tc>
        <w:tc>
          <w:tcPr>
            <w:tcW w:w="1229" w:type="dxa"/>
            <w:tcBorders>
              <w:top w:val="single" w:sz="6" w:space="0" w:color="auto"/>
              <w:left w:val="single" w:sz="6" w:space="0" w:color="auto"/>
              <w:bottom w:val="double" w:sz="6" w:space="0" w:color="auto"/>
              <w:right w:val="single" w:sz="6" w:space="0" w:color="auto"/>
            </w:tcBorders>
          </w:tcPr>
          <w:p w14:paraId="0FB62647"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grubości ścianki</w:t>
            </w:r>
          </w:p>
        </w:tc>
      </w:tr>
      <w:tr w:rsidR="00184474" w:rsidRPr="00996FA1" w14:paraId="2B504E8C" w14:textId="77777777" w:rsidTr="006237D9">
        <w:tc>
          <w:tcPr>
            <w:tcW w:w="1346" w:type="dxa"/>
            <w:tcBorders>
              <w:left w:val="single" w:sz="6" w:space="0" w:color="auto"/>
              <w:bottom w:val="single" w:sz="6" w:space="0" w:color="auto"/>
              <w:right w:val="single" w:sz="6" w:space="0" w:color="auto"/>
            </w:tcBorders>
          </w:tcPr>
          <w:p w14:paraId="12A4C437"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51,0</w:t>
            </w:r>
          </w:p>
          <w:p w14:paraId="56083FE8"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54,0</w:t>
            </w:r>
          </w:p>
          <w:p w14:paraId="15887D87"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57,0</w:t>
            </w:r>
          </w:p>
          <w:p w14:paraId="30445A24"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60,3</w:t>
            </w:r>
          </w:p>
          <w:p w14:paraId="4942F676"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63,5</w:t>
            </w:r>
          </w:p>
          <w:p w14:paraId="28F5EF79"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70,0</w:t>
            </w:r>
          </w:p>
          <w:p w14:paraId="7DF0D04B"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76,1</w:t>
            </w:r>
          </w:p>
          <w:p w14:paraId="1A73B733"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82,5</w:t>
            </w:r>
          </w:p>
          <w:p w14:paraId="6447CD02"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88,9</w:t>
            </w:r>
          </w:p>
          <w:p w14:paraId="3190A962"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101,6</w:t>
            </w:r>
          </w:p>
        </w:tc>
        <w:tc>
          <w:tcPr>
            <w:tcW w:w="1843" w:type="dxa"/>
            <w:tcBorders>
              <w:left w:val="single" w:sz="6" w:space="0" w:color="auto"/>
              <w:bottom w:val="single" w:sz="6" w:space="0" w:color="auto"/>
              <w:right w:val="single" w:sz="6" w:space="0" w:color="auto"/>
            </w:tcBorders>
          </w:tcPr>
          <w:p w14:paraId="15BEDE69"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od 2,6 do 12,5</w:t>
            </w:r>
          </w:p>
          <w:p w14:paraId="56671266"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od 2,6 do 14,2</w:t>
            </w:r>
          </w:p>
          <w:p w14:paraId="4B39ABFF"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od 2,9 do 14,2</w:t>
            </w:r>
          </w:p>
          <w:p w14:paraId="7E882069"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od 2,9 do14,2</w:t>
            </w:r>
          </w:p>
          <w:p w14:paraId="475066FD"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od 2,9 do 16,0</w:t>
            </w:r>
          </w:p>
          <w:p w14:paraId="728BC1B6"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od 2,9 do 16,0</w:t>
            </w:r>
          </w:p>
          <w:p w14:paraId="76936018"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od 2,9 do 20,0</w:t>
            </w:r>
          </w:p>
          <w:p w14:paraId="0EDA7806"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od 3,2 do 20,0</w:t>
            </w:r>
          </w:p>
          <w:p w14:paraId="6E3B4908"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od 3,2 do 34,0</w:t>
            </w:r>
          </w:p>
          <w:p w14:paraId="736DA35A"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od 3,6 do 20,0</w:t>
            </w:r>
          </w:p>
        </w:tc>
        <w:tc>
          <w:tcPr>
            <w:tcW w:w="1938" w:type="dxa"/>
            <w:tcBorders>
              <w:left w:val="single" w:sz="6" w:space="0" w:color="auto"/>
              <w:bottom w:val="single" w:sz="6" w:space="0" w:color="auto"/>
              <w:right w:val="single" w:sz="6" w:space="0" w:color="auto"/>
            </w:tcBorders>
          </w:tcPr>
          <w:p w14:paraId="50209FD1"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od 3,10 do 11,9</w:t>
            </w:r>
          </w:p>
          <w:p w14:paraId="0E9FF2F7"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od 3,30 do 13,9</w:t>
            </w:r>
          </w:p>
          <w:p w14:paraId="29389FA2"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od 3,87 do 15,0</w:t>
            </w:r>
          </w:p>
          <w:p w14:paraId="7C50E2A3"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od 4,11 do 16,1</w:t>
            </w:r>
          </w:p>
          <w:p w14:paraId="461390C8"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od 4,33 do 18,7</w:t>
            </w:r>
          </w:p>
          <w:p w14:paraId="77A63560"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od 5,80 do 21,3</w:t>
            </w:r>
          </w:p>
          <w:p w14:paraId="3E5A9338"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od 5,24 do 27,7</w:t>
            </w:r>
          </w:p>
          <w:p w14:paraId="33CEA230"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od 6,26 do 30,8</w:t>
            </w:r>
          </w:p>
          <w:p w14:paraId="1930D2EC"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od 6,76 do 34,0</w:t>
            </w:r>
          </w:p>
          <w:p w14:paraId="01186627"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od 8,70 do 40,2</w:t>
            </w:r>
          </w:p>
        </w:tc>
        <w:tc>
          <w:tcPr>
            <w:tcW w:w="1229" w:type="dxa"/>
            <w:tcBorders>
              <w:left w:val="single" w:sz="6" w:space="0" w:color="auto"/>
              <w:bottom w:val="single" w:sz="6" w:space="0" w:color="auto"/>
              <w:right w:val="single" w:sz="6" w:space="0" w:color="auto"/>
            </w:tcBorders>
          </w:tcPr>
          <w:p w14:paraId="2013A569" w14:textId="77777777" w:rsidR="00184474" w:rsidRPr="00996FA1" w:rsidRDefault="00184474" w:rsidP="006237D9">
            <w:pPr>
              <w:rPr>
                <w:rFonts w:ascii="Calibri" w:hAnsi="Calibri" w:cs="Calibri"/>
                <w:sz w:val="16"/>
                <w:szCs w:val="16"/>
              </w:rPr>
            </w:pPr>
          </w:p>
          <w:p w14:paraId="2CBD6C50" w14:textId="77777777" w:rsidR="00184474" w:rsidRPr="00996FA1" w:rsidRDefault="00184474" w:rsidP="006237D9">
            <w:pPr>
              <w:rPr>
                <w:rFonts w:ascii="Calibri" w:hAnsi="Calibri" w:cs="Calibri"/>
                <w:sz w:val="16"/>
                <w:szCs w:val="16"/>
              </w:rPr>
            </w:pPr>
          </w:p>
          <w:p w14:paraId="79F0FCC2" w14:textId="77777777" w:rsidR="00184474" w:rsidRPr="00996FA1" w:rsidRDefault="00184474" w:rsidP="006237D9">
            <w:pPr>
              <w:rPr>
                <w:rFonts w:ascii="Calibri" w:hAnsi="Calibri" w:cs="Calibri"/>
                <w:sz w:val="16"/>
                <w:szCs w:val="16"/>
              </w:rPr>
            </w:pPr>
          </w:p>
          <w:p w14:paraId="2D1D8FCF" w14:textId="77777777" w:rsidR="00184474" w:rsidRPr="00996FA1" w:rsidRDefault="00184474" w:rsidP="006237D9">
            <w:pPr>
              <w:rPr>
                <w:rFonts w:ascii="Calibri" w:hAnsi="Calibri" w:cs="Calibri"/>
                <w:sz w:val="16"/>
                <w:szCs w:val="16"/>
              </w:rPr>
            </w:pPr>
          </w:p>
          <w:p w14:paraId="6222B4AA"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 1,25</w:t>
            </w:r>
          </w:p>
        </w:tc>
        <w:tc>
          <w:tcPr>
            <w:tcW w:w="1229" w:type="dxa"/>
            <w:tcBorders>
              <w:left w:val="single" w:sz="6" w:space="0" w:color="auto"/>
              <w:bottom w:val="single" w:sz="6" w:space="0" w:color="auto"/>
              <w:right w:val="single" w:sz="6" w:space="0" w:color="auto"/>
            </w:tcBorders>
          </w:tcPr>
          <w:p w14:paraId="6879CE00" w14:textId="77777777" w:rsidR="00184474" w:rsidRPr="00996FA1" w:rsidRDefault="00184474" w:rsidP="006237D9">
            <w:pPr>
              <w:rPr>
                <w:rFonts w:ascii="Calibri" w:hAnsi="Calibri" w:cs="Calibri"/>
                <w:sz w:val="16"/>
                <w:szCs w:val="16"/>
              </w:rPr>
            </w:pPr>
          </w:p>
          <w:p w14:paraId="23E0B396" w14:textId="77777777" w:rsidR="00184474" w:rsidRPr="00996FA1" w:rsidRDefault="00184474" w:rsidP="006237D9">
            <w:pPr>
              <w:rPr>
                <w:rFonts w:ascii="Calibri" w:hAnsi="Calibri" w:cs="Calibri"/>
                <w:sz w:val="16"/>
                <w:szCs w:val="16"/>
              </w:rPr>
            </w:pPr>
          </w:p>
          <w:p w14:paraId="7E56564F" w14:textId="77777777" w:rsidR="00184474" w:rsidRPr="00996FA1" w:rsidRDefault="00184474" w:rsidP="006237D9">
            <w:pPr>
              <w:rPr>
                <w:rFonts w:ascii="Calibri" w:hAnsi="Calibri" w:cs="Calibri"/>
                <w:sz w:val="16"/>
                <w:szCs w:val="16"/>
              </w:rPr>
            </w:pPr>
          </w:p>
          <w:p w14:paraId="513A0637" w14:textId="77777777" w:rsidR="00184474" w:rsidRPr="00996FA1" w:rsidRDefault="00184474" w:rsidP="006237D9">
            <w:pPr>
              <w:rPr>
                <w:rFonts w:ascii="Calibri" w:hAnsi="Calibri" w:cs="Calibri"/>
                <w:sz w:val="16"/>
                <w:szCs w:val="16"/>
              </w:rPr>
            </w:pPr>
          </w:p>
          <w:p w14:paraId="3A0D4D03"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 15</w:t>
            </w:r>
          </w:p>
        </w:tc>
      </w:tr>
    </w:tbl>
    <w:p w14:paraId="42E21E43" w14:textId="77777777" w:rsidR="00184474" w:rsidRPr="00996FA1" w:rsidRDefault="00184474" w:rsidP="00184474">
      <w:pPr>
        <w:rPr>
          <w:rFonts w:ascii="Calibri" w:hAnsi="Calibri" w:cs="Calibri"/>
          <w:sz w:val="16"/>
          <w:szCs w:val="16"/>
        </w:rPr>
      </w:pPr>
      <w:r w:rsidRPr="00996FA1">
        <w:rPr>
          <w:rFonts w:ascii="Calibri" w:hAnsi="Calibri" w:cs="Calibri"/>
          <w:sz w:val="16"/>
          <w:szCs w:val="16"/>
        </w:rPr>
        <w:t>Tablica 2. Rury stalowe bez szwu ciągnione i walcowane na zimno wg PN-H-74220</w:t>
      </w:r>
    </w:p>
    <w:tbl>
      <w:tblPr>
        <w:tblW w:w="0" w:type="auto"/>
        <w:tblInd w:w="2" w:type="dxa"/>
        <w:tblLayout w:type="fixed"/>
        <w:tblCellMar>
          <w:left w:w="70" w:type="dxa"/>
          <w:right w:w="70" w:type="dxa"/>
        </w:tblCellMar>
        <w:tblLook w:val="0000" w:firstRow="0" w:lastRow="0" w:firstColumn="0" w:lastColumn="0" w:noHBand="0" w:noVBand="0"/>
      </w:tblPr>
      <w:tblGrid>
        <w:gridCol w:w="1346"/>
        <w:gridCol w:w="1810"/>
        <w:gridCol w:w="2000"/>
        <w:gridCol w:w="1151"/>
        <w:gridCol w:w="1276"/>
      </w:tblGrid>
      <w:tr w:rsidR="00184474" w:rsidRPr="00996FA1" w14:paraId="54B9F824" w14:textId="77777777" w:rsidTr="006237D9">
        <w:tc>
          <w:tcPr>
            <w:tcW w:w="1346" w:type="dxa"/>
            <w:tcBorders>
              <w:top w:val="single" w:sz="6" w:space="0" w:color="auto"/>
              <w:left w:val="single" w:sz="6" w:space="0" w:color="auto"/>
              <w:right w:val="single" w:sz="6" w:space="0" w:color="auto"/>
            </w:tcBorders>
          </w:tcPr>
          <w:p w14:paraId="77AFBC2A"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Średnica</w:t>
            </w:r>
          </w:p>
        </w:tc>
        <w:tc>
          <w:tcPr>
            <w:tcW w:w="1810" w:type="dxa"/>
            <w:tcBorders>
              <w:top w:val="single" w:sz="6" w:space="0" w:color="auto"/>
              <w:left w:val="nil"/>
              <w:right w:val="single" w:sz="6" w:space="0" w:color="auto"/>
            </w:tcBorders>
          </w:tcPr>
          <w:p w14:paraId="2BD29091"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Grubość</w:t>
            </w:r>
          </w:p>
        </w:tc>
        <w:tc>
          <w:tcPr>
            <w:tcW w:w="2000" w:type="dxa"/>
            <w:tcBorders>
              <w:top w:val="single" w:sz="6" w:space="0" w:color="auto"/>
              <w:left w:val="nil"/>
            </w:tcBorders>
          </w:tcPr>
          <w:p w14:paraId="4800E783"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 xml:space="preserve">Masa </w:t>
            </w:r>
          </w:p>
        </w:tc>
        <w:tc>
          <w:tcPr>
            <w:tcW w:w="2427" w:type="dxa"/>
            <w:gridSpan w:val="2"/>
            <w:tcBorders>
              <w:top w:val="single" w:sz="6" w:space="0" w:color="auto"/>
              <w:left w:val="single" w:sz="6" w:space="0" w:color="auto"/>
              <w:bottom w:val="single" w:sz="6" w:space="0" w:color="auto"/>
              <w:right w:val="single" w:sz="6" w:space="0" w:color="auto"/>
            </w:tcBorders>
          </w:tcPr>
          <w:p w14:paraId="65BE6873"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Dopuszczalne odchyłki, %</w:t>
            </w:r>
          </w:p>
        </w:tc>
      </w:tr>
      <w:tr w:rsidR="00184474" w:rsidRPr="00996FA1" w14:paraId="59E592CE" w14:textId="77777777" w:rsidTr="006237D9">
        <w:tc>
          <w:tcPr>
            <w:tcW w:w="1346" w:type="dxa"/>
            <w:tcBorders>
              <w:left w:val="single" w:sz="6" w:space="0" w:color="auto"/>
              <w:bottom w:val="double" w:sz="6" w:space="0" w:color="auto"/>
              <w:right w:val="single" w:sz="6" w:space="0" w:color="auto"/>
            </w:tcBorders>
          </w:tcPr>
          <w:p w14:paraId="7D715A49"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zewnętrzna</w:t>
            </w:r>
          </w:p>
          <w:p w14:paraId="00A1A13A"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mm</w:t>
            </w:r>
          </w:p>
        </w:tc>
        <w:tc>
          <w:tcPr>
            <w:tcW w:w="1810" w:type="dxa"/>
            <w:tcBorders>
              <w:left w:val="nil"/>
              <w:bottom w:val="double" w:sz="6" w:space="0" w:color="auto"/>
            </w:tcBorders>
          </w:tcPr>
          <w:p w14:paraId="53B2E78A"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ścianki</w:t>
            </w:r>
          </w:p>
          <w:p w14:paraId="11697F31"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mm</w:t>
            </w:r>
          </w:p>
        </w:tc>
        <w:tc>
          <w:tcPr>
            <w:tcW w:w="2000" w:type="dxa"/>
            <w:tcBorders>
              <w:left w:val="single" w:sz="6" w:space="0" w:color="auto"/>
              <w:bottom w:val="double" w:sz="6" w:space="0" w:color="auto"/>
            </w:tcBorders>
          </w:tcPr>
          <w:p w14:paraId="17412284"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1 m rury</w:t>
            </w:r>
          </w:p>
          <w:p w14:paraId="38D5DFC5"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kg/m</w:t>
            </w:r>
          </w:p>
        </w:tc>
        <w:tc>
          <w:tcPr>
            <w:tcW w:w="1151" w:type="dxa"/>
            <w:tcBorders>
              <w:top w:val="single" w:sz="6" w:space="0" w:color="auto"/>
              <w:left w:val="single" w:sz="6" w:space="0" w:color="auto"/>
              <w:bottom w:val="double" w:sz="6" w:space="0" w:color="auto"/>
              <w:right w:val="single" w:sz="6" w:space="0" w:color="auto"/>
            </w:tcBorders>
          </w:tcPr>
          <w:p w14:paraId="7FF65CC8"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Średnica zewnętrzna</w:t>
            </w:r>
          </w:p>
        </w:tc>
        <w:tc>
          <w:tcPr>
            <w:tcW w:w="1276" w:type="dxa"/>
            <w:tcBorders>
              <w:top w:val="single" w:sz="6" w:space="0" w:color="auto"/>
              <w:left w:val="single" w:sz="6" w:space="0" w:color="auto"/>
              <w:bottom w:val="double" w:sz="6" w:space="0" w:color="auto"/>
              <w:right w:val="single" w:sz="6" w:space="0" w:color="auto"/>
            </w:tcBorders>
          </w:tcPr>
          <w:p w14:paraId="29526B27"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Grubość ścianki</w:t>
            </w:r>
          </w:p>
        </w:tc>
      </w:tr>
      <w:tr w:rsidR="00184474" w:rsidRPr="00996FA1" w14:paraId="6EBD82EC" w14:textId="77777777" w:rsidTr="006237D9">
        <w:tc>
          <w:tcPr>
            <w:tcW w:w="1346" w:type="dxa"/>
            <w:tcBorders>
              <w:left w:val="single" w:sz="6" w:space="0" w:color="auto"/>
              <w:bottom w:val="single" w:sz="6" w:space="0" w:color="auto"/>
              <w:right w:val="single" w:sz="6" w:space="0" w:color="auto"/>
            </w:tcBorders>
          </w:tcPr>
          <w:p w14:paraId="573DC84B"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51,0</w:t>
            </w:r>
          </w:p>
          <w:p w14:paraId="7839CED1"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54,0</w:t>
            </w:r>
          </w:p>
          <w:p w14:paraId="5CC02581"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57,0</w:t>
            </w:r>
          </w:p>
          <w:p w14:paraId="526BB030"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60,3</w:t>
            </w:r>
          </w:p>
          <w:p w14:paraId="0852F19D"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63,5</w:t>
            </w:r>
          </w:p>
        </w:tc>
        <w:tc>
          <w:tcPr>
            <w:tcW w:w="1810" w:type="dxa"/>
            <w:tcBorders>
              <w:left w:val="single" w:sz="6" w:space="0" w:color="auto"/>
              <w:bottom w:val="single" w:sz="6" w:space="0" w:color="auto"/>
              <w:right w:val="single" w:sz="6" w:space="0" w:color="auto"/>
            </w:tcBorders>
          </w:tcPr>
          <w:p w14:paraId="710BD525"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od 2,9 do 5,6</w:t>
            </w:r>
          </w:p>
          <w:p w14:paraId="6DFCE6B9"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od 2,9 do 8,0</w:t>
            </w:r>
          </w:p>
          <w:p w14:paraId="1A2C31D5"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 xml:space="preserve">  od 2,9 do 10,0</w:t>
            </w:r>
          </w:p>
          <w:p w14:paraId="2C807E23"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 xml:space="preserve">  od 7,1 do 10,0</w:t>
            </w:r>
          </w:p>
          <w:p w14:paraId="5873E2AC"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 xml:space="preserve">  od 7,1 do 10,0</w:t>
            </w:r>
          </w:p>
        </w:tc>
        <w:tc>
          <w:tcPr>
            <w:tcW w:w="2000" w:type="dxa"/>
            <w:tcBorders>
              <w:left w:val="single" w:sz="6" w:space="0" w:color="auto"/>
              <w:bottom w:val="single" w:sz="6" w:space="0" w:color="auto"/>
            </w:tcBorders>
          </w:tcPr>
          <w:p w14:paraId="70CBD824"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od 3,44 do 6,27</w:t>
            </w:r>
          </w:p>
          <w:p w14:paraId="572FE05A"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od 3,65 do 9,04</w:t>
            </w:r>
          </w:p>
          <w:p w14:paraId="62BEBF86"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 xml:space="preserve">  od 3,87 do 11,60</w:t>
            </w:r>
          </w:p>
          <w:p w14:paraId="4AC667EC"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 xml:space="preserve">  od 9,34 do 12,40</w:t>
            </w:r>
          </w:p>
          <w:p w14:paraId="388DA652"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 xml:space="preserve">  od 9,90 do 13,20</w:t>
            </w:r>
          </w:p>
        </w:tc>
        <w:tc>
          <w:tcPr>
            <w:tcW w:w="1151" w:type="dxa"/>
            <w:tcBorders>
              <w:left w:val="single" w:sz="6" w:space="0" w:color="auto"/>
              <w:bottom w:val="single" w:sz="6" w:space="0" w:color="auto"/>
              <w:right w:val="single" w:sz="6" w:space="0" w:color="auto"/>
            </w:tcBorders>
          </w:tcPr>
          <w:p w14:paraId="2D326C9C" w14:textId="77777777" w:rsidR="00184474" w:rsidRPr="00996FA1" w:rsidRDefault="00184474" w:rsidP="006237D9">
            <w:pPr>
              <w:rPr>
                <w:rFonts w:ascii="Calibri" w:hAnsi="Calibri" w:cs="Calibri"/>
                <w:sz w:val="16"/>
                <w:szCs w:val="16"/>
              </w:rPr>
            </w:pPr>
          </w:p>
          <w:p w14:paraId="027D67D4" w14:textId="77777777" w:rsidR="00184474" w:rsidRPr="00996FA1" w:rsidRDefault="00184474" w:rsidP="006237D9">
            <w:pPr>
              <w:rPr>
                <w:rFonts w:ascii="Calibri" w:hAnsi="Calibri" w:cs="Calibri"/>
                <w:sz w:val="16"/>
                <w:szCs w:val="16"/>
              </w:rPr>
            </w:pPr>
          </w:p>
          <w:p w14:paraId="2004EA9D"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 1,0</w:t>
            </w:r>
          </w:p>
        </w:tc>
        <w:tc>
          <w:tcPr>
            <w:tcW w:w="1276" w:type="dxa"/>
            <w:tcBorders>
              <w:left w:val="single" w:sz="6" w:space="0" w:color="auto"/>
              <w:bottom w:val="single" w:sz="6" w:space="0" w:color="auto"/>
              <w:right w:val="single" w:sz="6" w:space="0" w:color="auto"/>
            </w:tcBorders>
          </w:tcPr>
          <w:p w14:paraId="77A93E29" w14:textId="77777777" w:rsidR="00184474" w:rsidRPr="00996FA1" w:rsidRDefault="00184474" w:rsidP="006237D9">
            <w:pPr>
              <w:rPr>
                <w:rFonts w:ascii="Calibri" w:hAnsi="Calibri" w:cs="Calibri"/>
                <w:sz w:val="16"/>
                <w:szCs w:val="16"/>
              </w:rPr>
            </w:pPr>
          </w:p>
          <w:p w14:paraId="32C2936C" w14:textId="77777777" w:rsidR="00184474" w:rsidRPr="00996FA1" w:rsidRDefault="00184474" w:rsidP="006237D9">
            <w:pPr>
              <w:rPr>
                <w:rFonts w:ascii="Calibri" w:hAnsi="Calibri" w:cs="Calibri"/>
                <w:sz w:val="16"/>
                <w:szCs w:val="16"/>
              </w:rPr>
            </w:pPr>
          </w:p>
          <w:p w14:paraId="6D9E58B1"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 15</w:t>
            </w:r>
          </w:p>
        </w:tc>
      </w:tr>
    </w:tbl>
    <w:p w14:paraId="7754850D" w14:textId="77777777" w:rsidR="00184474" w:rsidRPr="00996FA1" w:rsidRDefault="00184474" w:rsidP="00184474">
      <w:pPr>
        <w:rPr>
          <w:rFonts w:ascii="Calibri" w:hAnsi="Calibri" w:cs="Calibri"/>
          <w:sz w:val="16"/>
          <w:szCs w:val="16"/>
        </w:rPr>
      </w:pPr>
      <w:r w:rsidRPr="00996FA1">
        <w:rPr>
          <w:rFonts w:ascii="Calibri" w:hAnsi="Calibri" w:cs="Calibri"/>
          <w:sz w:val="16"/>
          <w:szCs w:val="16"/>
        </w:rPr>
        <w:t>Tablica 3. Kątowniki równoramienne wg PN-H-93401</w:t>
      </w:r>
    </w:p>
    <w:tbl>
      <w:tblPr>
        <w:tblW w:w="0" w:type="auto"/>
        <w:tblInd w:w="2" w:type="dxa"/>
        <w:tblLayout w:type="fixed"/>
        <w:tblCellMar>
          <w:left w:w="70" w:type="dxa"/>
          <w:right w:w="70" w:type="dxa"/>
        </w:tblCellMar>
        <w:tblLook w:val="0000" w:firstRow="0" w:lastRow="0" w:firstColumn="0" w:lastColumn="0" w:noHBand="0" w:noVBand="0"/>
      </w:tblPr>
      <w:tblGrid>
        <w:gridCol w:w="1204"/>
        <w:gridCol w:w="1276"/>
        <w:gridCol w:w="1701"/>
        <w:gridCol w:w="1620"/>
        <w:gridCol w:w="1782"/>
      </w:tblGrid>
      <w:tr w:rsidR="00184474" w:rsidRPr="00996FA1" w14:paraId="725ED57F" w14:textId="77777777" w:rsidTr="006237D9">
        <w:tc>
          <w:tcPr>
            <w:tcW w:w="1204" w:type="dxa"/>
            <w:tcBorders>
              <w:top w:val="single" w:sz="6" w:space="0" w:color="auto"/>
              <w:left w:val="single" w:sz="6" w:space="0" w:color="auto"/>
            </w:tcBorders>
          </w:tcPr>
          <w:p w14:paraId="00814487"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Wymiary</w:t>
            </w:r>
          </w:p>
        </w:tc>
        <w:tc>
          <w:tcPr>
            <w:tcW w:w="1276" w:type="dxa"/>
            <w:tcBorders>
              <w:top w:val="single" w:sz="6" w:space="0" w:color="auto"/>
              <w:left w:val="single" w:sz="6" w:space="0" w:color="auto"/>
            </w:tcBorders>
          </w:tcPr>
          <w:p w14:paraId="7A2EABCE"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Grubość</w:t>
            </w:r>
          </w:p>
        </w:tc>
        <w:tc>
          <w:tcPr>
            <w:tcW w:w="1701" w:type="dxa"/>
            <w:tcBorders>
              <w:top w:val="single" w:sz="6" w:space="0" w:color="auto"/>
              <w:left w:val="single" w:sz="6" w:space="0" w:color="auto"/>
            </w:tcBorders>
          </w:tcPr>
          <w:p w14:paraId="6B8209F3"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Masa 1 m</w:t>
            </w:r>
          </w:p>
        </w:tc>
        <w:tc>
          <w:tcPr>
            <w:tcW w:w="3402" w:type="dxa"/>
            <w:gridSpan w:val="2"/>
            <w:tcBorders>
              <w:top w:val="single" w:sz="6" w:space="0" w:color="auto"/>
              <w:left w:val="single" w:sz="6" w:space="0" w:color="auto"/>
              <w:bottom w:val="single" w:sz="6" w:space="0" w:color="auto"/>
              <w:right w:val="single" w:sz="6" w:space="0" w:color="auto"/>
            </w:tcBorders>
          </w:tcPr>
          <w:p w14:paraId="76C4AE47"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Dopuszczalne odchyłki  mm</w:t>
            </w:r>
          </w:p>
        </w:tc>
      </w:tr>
      <w:tr w:rsidR="00184474" w:rsidRPr="00996FA1" w14:paraId="0F693192" w14:textId="77777777" w:rsidTr="006237D9">
        <w:tc>
          <w:tcPr>
            <w:tcW w:w="1204" w:type="dxa"/>
            <w:tcBorders>
              <w:left w:val="single" w:sz="6" w:space="0" w:color="auto"/>
              <w:bottom w:val="double" w:sz="6" w:space="0" w:color="auto"/>
              <w:right w:val="single" w:sz="6" w:space="0" w:color="auto"/>
            </w:tcBorders>
          </w:tcPr>
          <w:p w14:paraId="3B316525"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ramion</w:t>
            </w:r>
          </w:p>
          <w:p w14:paraId="71020798"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mm</w:t>
            </w:r>
          </w:p>
        </w:tc>
        <w:tc>
          <w:tcPr>
            <w:tcW w:w="1276" w:type="dxa"/>
            <w:tcBorders>
              <w:left w:val="nil"/>
              <w:bottom w:val="double" w:sz="6" w:space="0" w:color="auto"/>
              <w:right w:val="single" w:sz="6" w:space="0" w:color="auto"/>
            </w:tcBorders>
          </w:tcPr>
          <w:p w14:paraId="75EA332C"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ramienia</w:t>
            </w:r>
          </w:p>
          <w:p w14:paraId="34BA20FC"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mm</w:t>
            </w:r>
          </w:p>
        </w:tc>
        <w:tc>
          <w:tcPr>
            <w:tcW w:w="1701" w:type="dxa"/>
            <w:tcBorders>
              <w:left w:val="nil"/>
              <w:bottom w:val="double" w:sz="6" w:space="0" w:color="auto"/>
            </w:tcBorders>
          </w:tcPr>
          <w:p w14:paraId="63904314"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kątownika</w:t>
            </w:r>
          </w:p>
          <w:p w14:paraId="306A46CF"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kg/m</w:t>
            </w:r>
          </w:p>
        </w:tc>
        <w:tc>
          <w:tcPr>
            <w:tcW w:w="1620" w:type="dxa"/>
            <w:tcBorders>
              <w:top w:val="single" w:sz="6" w:space="0" w:color="auto"/>
              <w:left w:val="single" w:sz="6" w:space="0" w:color="auto"/>
              <w:bottom w:val="double" w:sz="6" w:space="0" w:color="auto"/>
              <w:right w:val="single" w:sz="6" w:space="0" w:color="auto"/>
            </w:tcBorders>
          </w:tcPr>
          <w:p w14:paraId="782B464B"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długości ramienia</w:t>
            </w:r>
          </w:p>
        </w:tc>
        <w:tc>
          <w:tcPr>
            <w:tcW w:w="1782" w:type="dxa"/>
            <w:tcBorders>
              <w:top w:val="single" w:sz="6" w:space="0" w:color="auto"/>
              <w:left w:val="single" w:sz="6" w:space="0" w:color="auto"/>
              <w:bottom w:val="double" w:sz="6" w:space="0" w:color="auto"/>
              <w:right w:val="single" w:sz="6" w:space="0" w:color="auto"/>
            </w:tcBorders>
          </w:tcPr>
          <w:p w14:paraId="2F3495F2"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grubości ramion</w:t>
            </w:r>
          </w:p>
        </w:tc>
      </w:tr>
      <w:tr w:rsidR="00184474" w:rsidRPr="00996FA1" w14:paraId="3B0B97FB" w14:textId="77777777" w:rsidTr="006237D9">
        <w:tc>
          <w:tcPr>
            <w:tcW w:w="1204" w:type="dxa"/>
            <w:tcBorders>
              <w:left w:val="single" w:sz="6" w:space="0" w:color="auto"/>
              <w:bottom w:val="single" w:sz="6" w:space="0" w:color="auto"/>
              <w:right w:val="single" w:sz="6" w:space="0" w:color="auto"/>
            </w:tcBorders>
          </w:tcPr>
          <w:p w14:paraId="519F5A8C" w14:textId="77777777" w:rsidR="00184474" w:rsidRPr="00996FA1" w:rsidRDefault="00184474" w:rsidP="006237D9">
            <w:pPr>
              <w:rPr>
                <w:rFonts w:ascii="Calibri" w:hAnsi="Calibri" w:cs="Calibri"/>
                <w:sz w:val="16"/>
                <w:szCs w:val="16"/>
              </w:rPr>
            </w:pPr>
          </w:p>
          <w:p w14:paraId="696182A6"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40 x 40</w:t>
            </w:r>
          </w:p>
          <w:p w14:paraId="5CDE19AE"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45 x 45</w:t>
            </w:r>
          </w:p>
          <w:p w14:paraId="4F8C2052"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50 x 50</w:t>
            </w:r>
          </w:p>
          <w:p w14:paraId="4DC0CA25"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60 x 60</w:t>
            </w:r>
          </w:p>
          <w:p w14:paraId="7817DDE8"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65 x 65</w:t>
            </w:r>
          </w:p>
          <w:p w14:paraId="46A8FFC6"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75 x 75</w:t>
            </w:r>
          </w:p>
          <w:p w14:paraId="5C691762"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80 x 80</w:t>
            </w:r>
          </w:p>
          <w:p w14:paraId="46B2FD3E"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90 x 90</w:t>
            </w:r>
          </w:p>
          <w:p w14:paraId="5BAA09EA"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100 x 100</w:t>
            </w:r>
          </w:p>
          <w:p w14:paraId="254B4068" w14:textId="77777777" w:rsidR="00184474" w:rsidRPr="00996FA1" w:rsidRDefault="00184474" w:rsidP="006237D9">
            <w:pPr>
              <w:rPr>
                <w:rFonts w:ascii="Calibri" w:hAnsi="Calibri" w:cs="Calibri"/>
                <w:sz w:val="16"/>
                <w:szCs w:val="16"/>
              </w:rPr>
            </w:pPr>
          </w:p>
        </w:tc>
        <w:tc>
          <w:tcPr>
            <w:tcW w:w="1276" w:type="dxa"/>
            <w:tcBorders>
              <w:left w:val="single" w:sz="6" w:space="0" w:color="auto"/>
              <w:bottom w:val="single" w:sz="6" w:space="0" w:color="auto"/>
              <w:right w:val="single" w:sz="6" w:space="0" w:color="auto"/>
            </w:tcBorders>
          </w:tcPr>
          <w:p w14:paraId="52F2ACEC" w14:textId="77777777" w:rsidR="00184474" w:rsidRPr="00996FA1" w:rsidRDefault="00184474" w:rsidP="006237D9">
            <w:pPr>
              <w:rPr>
                <w:rFonts w:ascii="Calibri" w:hAnsi="Calibri" w:cs="Calibri"/>
                <w:sz w:val="16"/>
                <w:szCs w:val="16"/>
              </w:rPr>
            </w:pPr>
          </w:p>
          <w:p w14:paraId="42E0BD17"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od 4 do 5</w:t>
            </w:r>
          </w:p>
          <w:p w14:paraId="42C2EFA6"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od 4 do 5</w:t>
            </w:r>
          </w:p>
          <w:p w14:paraId="4B709A68"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od 4 do 6</w:t>
            </w:r>
          </w:p>
          <w:p w14:paraId="39E05F39"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od 5 do 8</w:t>
            </w:r>
          </w:p>
          <w:p w14:paraId="6FB1E692"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od 6 do 9</w:t>
            </w:r>
          </w:p>
          <w:p w14:paraId="16E75937"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od 5 do 9</w:t>
            </w:r>
          </w:p>
          <w:p w14:paraId="4456554B"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 xml:space="preserve">   od 6 do 10</w:t>
            </w:r>
          </w:p>
          <w:p w14:paraId="3F12EE92"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 xml:space="preserve">  od 6 do 11</w:t>
            </w:r>
          </w:p>
          <w:p w14:paraId="54572616"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 xml:space="preserve">  od 8 do 12</w:t>
            </w:r>
          </w:p>
        </w:tc>
        <w:tc>
          <w:tcPr>
            <w:tcW w:w="1701" w:type="dxa"/>
            <w:tcBorders>
              <w:left w:val="single" w:sz="6" w:space="0" w:color="auto"/>
              <w:bottom w:val="single" w:sz="6" w:space="0" w:color="auto"/>
              <w:right w:val="single" w:sz="6" w:space="0" w:color="auto"/>
            </w:tcBorders>
          </w:tcPr>
          <w:p w14:paraId="2E5D0C09" w14:textId="77777777" w:rsidR="00184474" w:rsidRPr="00996FA1" w:rsidRDefault="00184474" w:rsidP="006237D9">
            <w:pPr>
              <w:rPr>
                <w:rFonts w:ascii="Calibri" w:hAnsi="Calibri" w:cs="Calibri"/>
                <w:sz w:val="16"/>
                <w:szCs w:val="16"/>
              </w:rPr>
            </w:pPr>
          </w:p>
          <w:p w14:paraId="42A37A47"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od 2,42 do 2,97</w:t>
            </w:r>
          </w:p>
          <w:p w14:paraId="1496DACD"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od 2,74 do 3,38</w:t>
            </w:r>
          </w:p>
          <w:p w14:paraId="7A549840"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od 3,06 do 4,47</w:t>
            </w:r>
          </w:p>
          <w:p w14:paraId="1A61CEC8"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od 4,57 do 7,09</w:t>
            </w:r>
          </w:p>
          <w:p w14:paraId="35468821"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od 5,91 do 8,62</w:t>
            </w:r>
          </w:p>
          <w:p w14:paraId="6DE119AD"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 xml:space="preserve">  od 5,76 do 10,00</w:t>
            </w:r>
          </w:p>
          <w:p w14:paraId="6FA2EAD2"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 xml:space="preserve">  od 7,34 do 11,90</w:t>
            </w:r>
          </w:p>
          <w:p w14:paraId="5817668F"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 xml:space="preserve">  od 8,30 do 14,70</w:t>
            </w:r>
          </w:p>
          <w:p w14:paraId="14C667ED"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od 12,20 do 17,80</w:t>
            </w:r>
          </w:p>
        </w:tc>
        <w:tc>
          <w:tcPr>
            <w:tcW w:w="1620" w:type="dxa"/>
            <w:tcBorders>
              <w:left w:val="single" w:sz="6" w:space="0" w:color="auto"/>
              <w:bottom w:val="single" w:sz="6" w:space="0" w:color="auto"/>
              <w:right w:val="single" w:sz="6" w:space="0" w:color="auto"/>
            </w:tcBorders>
          </w:tcPr>
          <w:p w14:paraId="1A8D98C3" w14:textId="77777777" w:rsidR="00184474" w:rsidRPr="00996FA1" w:rsidRDefault="00184474" w:rsidP="006237D9">
            <w:pPr>
              <w:rPr>
                <w:rFonts w:ascii="Calibri" w:hAnsi="Calibri" w:cs="Calibri"/>
                <w:sz w:val="16"/>
                <w:szCs w:val="16"/>
              </w:rPr>
            </w:pPr>
          </w:p>
          <w:p w14:paraId="452A2404" w14:textId="77777777" w:rsidR="00184474" w:rsidRPr="00996FA1" w:rsidRDefault="00184474" w:rsidP="006237D9">
            <w:pPr>
              <w:rPr>
                <w:rFonts w:ascii="Calibri" w:hAnsi="Calibri" w:cs="Calibri"/>
                <w:sz w:val="16"/>
                <w:szCs w:val="16"/>
              </w:rPr>
            </w:pPr>
          </w:p>
          <w:p w14:paraId="7CB4899D"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 1</w:t>
            </w:r>
          </w:p>
          <w:p w14:paraId="351035E9" w14:textId="77777777" w:rsidR="00184474" w:rsidRPr="00996FA1" w:rsidRDefault="00184474" w:rsidP="006237D9">
            <w:pPr>
              <w:rPr>
                <w:rFonts w:ascii="Calibri" w:hAnsi="Calibri" w:cs="Calibri"/>
                <w:sz w:val="16"/>
                <w:szCs w:val="16"/>
              </w:rPr>
            </w:pPr>
          </w:p>
          <w:p w14:paraId="49F0F872" w14:textId="77777777" w:rsidR="00184474" w:rsidRPr="00996FA1" w:rsidRDefault="00184474" w:rsidP="006237D9">
            <w:pPr>
              <w:rPr>
                <w:rFonts w:ascii="Calibri" w:hAnsi="Calibri" w:cs="Calibri"/>
                <w:sz w:val="16"/>
                <w:szCs w:val="16"/>
              </w:rPr>
            </w:pPr>
          </w:p>
          <w:p w14:paraId="3C780E39" w14:textId="77777777" w:rsidR="00184474" w:rsidRPr="00996FA1" w:rsidRDefault="00184474" w:rsidP="006237D9">
            <w:pPr>
              <w:rPr>
                <w:rFonts w:ascii="Calibri" w:hAnsi="Calibri" w:cs="Calibri"/>
                <w:sz w:val="16"/>
                <w:szCs w:val="16"/>
              </w:rPr>
            </w:pPr>
          </w:p>
          <w:p w14:paraId="64C66E42"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 1,5</w:t>
            </w:r>
          </w:p>
          <w:p w14:paraId="2B80B3BE" w14:textId="77777777" w:rsidR="00184474" w:rsidRPr="00996FA1" w:rsidRDefault="00184474" w:rsidP="006237D9">
            <w:pPr>
              <w:rPr>
                <w:rFonts w:ascii="Calibri" w:hAnsi="Calibri" w:cs="Calibri"/>
                <w:sz w:val="16"/>
                <w:szCs w:val="16"/>
              </w:rPr>
            </w:pPr>
          </w:p>
          <w:p w14:paraId="037C4ABB"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_____________</w:t>
            </w:r>
          </w:p>
          <w:p w14:paraId="524B9F14"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 2</w:t>
            </w:r>
          </w:p>
        </w:tc>
        <w:tc>
          <w:tcPr>
            <w:tcW w:w="1782" w:type="dxa"/>
            <w:tcBorders>
              <w:left w:val="single" w:sz="6" w:space="0" w:color="auto"/>
              <w:bottom w:val="single" w:sz="6" w:space="0" w:color="auto"/>
              <w:right w:val="single" w:sz="6" w:space="0" w:color="auto"/>
            </w:tcBorders>
          </w:tcPr>
          <w:p w14:paraId="3A22B67B" w14:textId="77777777" w:rsidR="00184474" w:rsidRPr="00996FA1" w:rsidRDefault="00184474" w:rsidP="006237D9">
            <w:pPr>
              <w:rPr>
                <w:rFonts w:ascii="Calibri" w:hAnsi="Calibri" w:cs="Calibri"/>
                <w:sz w:val="16"/>
                <w:szCs w:val="16"/>
              </w:rPr>
            </w:pPr>
          </w:p>
          <w:p w14:paraId="60BF5BF5" w14:textId="77777777" w:rsidR="00184474" w:rsidRPr="00996FA1" w:rsidRDefault="00184474" w:rsidP="006237D9">
            <w:pPr>
              <w:rPr>
                <w:rFonts w:ascii="Calibri" w:hAnsi="Calibri" w:cs="Calibri"/>
                <w:sz w:val="16"/>
                <w:szCs w:val="16"/>
              </w:rPr>
            </w:pPr>
          </w:p>
          <w:p w14:paraId="2837A697"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 0,4</w:t>
            </w:r>
          </w:p>
          <w:p w14:paraId="79FEA780" w14:textId="77777777" w:rsidR="00184474" w:rsidRPr="00996FA1" w:rsidRDefault="00184474" w:rsidP="006237D9">
            <w:pPr>
              <w:rPr>
                <w:rFonts w:ascii="Calibri" w:hAnsi="Calibri" w:cs="Calibri"/>
                <w:sz w:val="16"/>
                <w:szCs w:val="16"/>
              </w:rPr>
            </w:pPr>
          </w:p>
          <w:p w14:paraId="396CBFA1" w14:textId="77777777" w:rsidR="00184474" w:rsidRPr="00996FA1" w:rsidRDefault="00184474" w:rsidP="006237D9">
            <w:pPr>
              <w:rPr>
                <w:rFonts w:ascii="Calibri" w:hAnsi="Calibri" w:cs="Calibri"/>
                <w:sz w:val="16"/>
                <w:szCs w:val="16"/>
              </w:rPr>
            </w:pPr>
          </w:p>
          <w:p w14:paraId="1C004D25" w14:textId="77777777" w:rsidR="00184474" w:rsidRPr="00996FA1" w:rsidRDefault="00184474" w:rsidP="006237D9">
            <w:pPr>
              <w:rPr>
                <w:rFonts w:ascii="Calibri" w:hAnsi="Calibri" w:cs="Calibri"/>
                <w:sz w:val="16"/>
                <w:szCs w:val="16"/>
              </w:rPr>
            </w:pPr>
          </w:p>
          <w:p w14:paraId="529C4D1F"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 0,5</w:t>
            </w:r>
          </w:p>
          <w:p w14:paraId="51477F71" w14:textId="77777777" w:rsidR="00184474" w:rsidRPr="00996FA1" w:rsidRDefault="00184474" w:rsidP="006237D9">
            <w:pPr>
              <w:rPr>
                <w:rFonts w:ascii="Calibri" w:hAnsi="Calibri" w:cs="Calibri"/>
                <w:sz w:val="16"/>
                <w:szCs w:val="16"/>
              </w:rPr>
            </w:pPr>
          </w:p>
          <w:p w14:paraId="3EF10272"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____________</w:t>
            </w:r>
          </w:p>
          <w:p w14:paraId="3EF79493"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 0,6</w:t>
            </w:r>
          </w:p>
        </w:tc>
      </w:tr>
    </w:tbl>
    <w:p w14:paraId="46D24416" w14:textId="77777777" w:rsidR="00184474" w:rsidRPr="00996FA1" w:rsidRDefault="00184474" w:rsidP="00184474">
      <w:pPr>
        <w:rPr>
          <w:rFonts w:ascii="Calibri" w:hAnsi="Calibri" w:cs="Calibri"/>
          <w:sz w:val="16"/>
          <w:szCs w:val="16"/>
        </w:rPr>
      </w:pPr>
      <w:r w:rsidRPr="00996FA1">
        <w:rPr>
          <w:rFonts w:ascii="Calibri" w:hAnsi="Calibri" w:cs="Calibri"/>
          <w:sz w:val="16"/>
          <w:szCs w:val="16"/>
        </w:rPr>
        <w:t>Tablica 4. Kątowniki nierównoramienne wg PN-81/H-93402</w:t>
      </w:r>
    </w:p>
    <w:tbl>
      <w:tblPr>
        <w:tblW w:w="0" w:type="auto"/>
        <w:tblInd w:w="2" w:type="dxa"/>
        <w:tblLayout w:type="fixed"/>
        <w:tblCellMar>
          <w:left w:w="70" w:type="dxa"/>
          <w:right w:w="70" w:type="dxa"/>
        </w:tblCellMar>
        <w:tblLook w:val="0000" w:firstRow="0" w:lastRow="0" w:firstColumn="0" w:lastColumn="0" w:noHBand="0" w:noVBand="0"/>
      </w:tblPr>
      <w:tblGrid>
        <w:gridCol w:w="1204"/>
        <w:gridCol w:w="1276"/>
        <w:gridCol w:w="1985"/>
        <w:gridCol w:w="1559"/>
        <w:gridCol w:w="1559"/>
      </w:tblGrid>
      <w:tr w:rsidR="00184474" w:rsidRPr="00996FA1" w14:paraId="0E15AFF7" w14:textId="77777777" w:rsidTr="006237D9">
        <w:tc>
          <w:tcPr>
            <w:tcW w:w="1204" w:type="dxa"/>
            <w:tcBorders>
              <w:top w:val="single" w:sz="6" w:space="0" w:color="auto"/>
              <w:left w:val="single" w:sz="6" w:space="0" w:color="auto"/>
            </w:tcBorders>
          </w:tcPr>
          <w:p w14:paraId="0B8AD9E9"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Wymiary</w:t>
            </w:r>
          </w:p>
        </w:tc>
        <w:tc>
          <w:tcPr>
            <w:tcW w:w="1276" w:type="dxa"/>
            <w:tcBorders>
              <w:top w:val="single" w:sz="6" w:space="0" w:color="auto"/>
              <w:left w:val="single" w:sz="6" w:space="0" w:color="auto"/>
            </w:tcBorders>
          </w:tcPr>
          <w:p w14:paraId="68D671EB"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Grubość</w:t>
            </w:r>
          </w:p>
        </w:tc>
        <w:tc>
          <w:tcPr>
            <w:tcW w:w="1985" w:type="dxa"/>
            <w:tcBorders>
              <w:top w:val="single" w:sz="6" w:space="0" w:color="auto"/>
              <w:left w:val="single" w:sz="6" w:space="0" w:color="auto"/>
            </w:tcBorders>
          </w:tcPr>
          <w:p w14:paraId="05DD4002"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Masa 1 m</w:t>
            </w:r>
          </w:p>
        </w:tc>
        <w:tc>
          <w:tcPr>
            <w:tcW w:w="3118" w:type="dxa"/>
            <w:gridSpan w:val="2"/>
            <w:tcBorders>
              <w:top w:val="single" w:sz="6" w:space="0" w:color="auto"/>
              <w:left w:val="single" w:sz="6" w:space="0" w:color="auto"/>
              <w:bottom w:val="single" w:sz="6" w:space="0" w:color="auto"/>
              <w:right w:val="single" w:sz="6" w:space="0" w:color="auto"/>
            </w:tcBorders>
          </w:tcPr>
          <w:p w14:paraId="13ED34F7"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Dopuszczalne odchyłki mm</w:t>
            </w:r>
          </w:p>
        </w:tc>
      </w:tr>
      <w:tr w:rsidR="00184474" w:rsidRPr="00996FA1" w14:paraId="700B967E" w14:textId="77777777" w:rsidTr="006237D9">
        <w:tc>
          <w:tcPr>
            <w:tcW w:w="1204" w:type="dxa"/>
            <w:tcBorders>
              <w:left w:val="single" w:sz="6" w:space="0" w:color="auto"/>
              <w:bottom w:val="double" w:sz="6" w:space="0" w:color="auto"/>
              <w:right w:val="single" w:sz="6" w:space="0" w:color="auto"/>
            </w:tcBorders>
          </w:tcPr>
          <w:p w14:paraId="710C4E1A"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ramion</w:t>
            </w:r>
          </w:p>
          <w:p w14:paraId="001D1E34"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mm</w:t>
            </w:r>
          </w:p>
        </w:tc>
        <w:tc>
          <w:tcPr>
            <w:tcW w:w="1276" w:type="dxa"/>
            <w:tcBorders>
              <w:left w:val="nil"/>
              <w:bottom w:val="double" w:sz="6" w:space="0" w:color="auto"/>
              <w:right w:val="single" w:sz="6" w:space="0" w:color="auto"/>
            </w:tcBorders>
          </w:tcPr>
          <w:p w14:paraId="781C73F3"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ramienia</w:t>
            </w:r>
          </w:p>
          <w:p w14:paraId="769920EB"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mm</w:t>
            </w:r>
          </w:p>
        </w:tc>
        <w:tc>
          <w:tcPr>
            <w:tcW w:w="1985" w:type="dxa"/>
            <w:tcBorders>
              <w:left w:val="nil"/>
              <w:bottom w:val="double" w:sz="6" w:space="0" w:color="auto"/>
            </w:tcBorders>
          </w:tcPr>
          <w:p w14:paraId="6B90D852"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Kątownika</w:t>
            </w:r>
          </w:p>
          <w:p w14:paraId="2EC7B2DB"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kg/m</w:t>
            </w:r>
          </w:p>
        </w:tc>
        <w:tc>
          <w:tcPr>
            <w:tcW w:w="1559" w:type="dxa"/>
            <w:tcBorders>
              <w:top w:val="single" w:sz="6" w:space="0" w:color="auto"/>
              <w:left w:val="single" w:sz="6" w:space="0" w:color="auto"/>
              <w:bottom w:val="double" w:sz="6" w:space="0" w:color="auto"/>
              <w:right w:val="single" w:sz="6" w:space="0" w:color="auto"/>
            </w:tcBorders>
          </w:tcPr>
          <w:p w14:paraId="3E255925"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długości ramienia</w:t>
            </w:r>
          </w:p>
        </w:tc>
        <w:tc>
          <w:tcPr>
            <w:tcW w:w="1559" w:type="dxa"/>
            <w:tcBorders>
              <w:top w:val="single" w:sz="6" w:space="0" w:color="auto"/>
              <w:left w:val="single" w:sz="6" w:space="0" w:color="auto"/>
              <w:bottom w:val="double" w:sz="6" w:space="0" w:color="auto"/>
              <w:right w:val="single" w:sz="6" w:space="0" w:color="auto"/>
            </w:tcBorders>
          </w:tcPr>
          <w:p w14:paraId="39D9B543"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grubości ramion</w:t>
            </w:r>
          </w:p>
        </w:tc>
      </w:tr>
      <w:tr w:rsidR="00184474" w:rsidRPr="00996FA1" w14:paraId="0EFDEDD7" w14:textId="77777777" w:rsidTr="006237D9">
        <w:tc>
          <w:tcPr>
            <w:tcW w:w="1204" w:type="dxa"/>
            <w:tcBorders>
              <w:left w:val="single" w:sz="6" w:space="0" w:color="auto"/>
              <w:bottom w:val="single" w:sz="6" w:space="0" w:color="auto"/>
              <w:right w:val="single" w:sz="6" w:space="0" w:color="auto"/>
            </w:tcBorders>
          </w:tcPr>
          <w:p w14:paraId="079940BC" w14:textId="77777777" w:rsidR="00184474" w:rsidRPr="00996FA1" w:rsidRDefault="00184474" w:rsidP="006237D9">
            <w:pPr>
              <w:rPr>
                <w:rFonts w:ascii="Calibri" w:hAnsi="Calibri" w:cs="Calibri"/>
                <w:sz w:val="16"/>
                <w:szCs w:val="16"/>
              </w:rPr>
            </w:pPr>
          </w:p>
          <w:p w14:paraId="1D552193"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45x30</w:t>
            </w:r>
          </w:p>
          <w:p w14:paraId="65F5BD7F"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60x40</w:t>
            </w:r>
          </w:p>
          <w:p w14:paraId="1F739AB7"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65x50</w:t>
            </w:r>
          </w:p>
          <w:p w14:paraId="31030F56"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70x50</w:t>
            </w:r>
          </w:p>
          <w:p w14:paraId="5D701A33"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75x50</w:t>
            </w:r>
          </w:p>
          <w:p w14:paraId="30AA0D11"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80x40</w:t>
            </w:r>
          </w:p>
          <w:p w14:paraId="06C4064B"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80x60</w:t>
            </w:r>
          </w:p>
          <w:p w14:paraId="293218CE"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80x65</w:t>
            </w:r>
          </w:p>
          <w:p w14:paraId="01EE5B1A"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90x60</w:t>
            </w:r>
          </w:p>
          <w:p w14:paraId="302993C4"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100x50</w:t>
            </w:r>
          </w:p>
          <w:p w14:paraId="46169D32"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100x65</w:t>
            </w:r>
          </w:p>
        </w:tc>
        <w:tc>
          <w:tcPr>
            <w:tcW w:w="1276" w:type="dxa"/>
            <w:tcBorders>
              <w:left w:val="single" w:sz="6" w:space="0" w:color="auto"/>
              <w:bottom w:val="single" w:sz="6" w:space="0" w:color="auto"/>
              <w:right w:val="single" w:sz="6" w:space="0" w:color="auto"/>
            </w:tcBorders>
          </w:tcPr>
          <w:p w14:paraId="6C997395" w14:textId="77777777" w:rsidR="00184474" w:rsidRPr="00996FA1" w:rsidRDefault="00184474" w:rsidP="006237D9">
            <w:pPr>
              <w:rPr>
                <w:rFonts w:ascii="Calibri" w:hAnsi="Calibri" w:cs="Calibri"/>
                <w:sz w:val="16"/>
                <w:szCs w:val="16"/>
              </w:rPr>
            </w:pPr>
          </w:p>
          <w:p w14:paraId="55F414F6"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od 4 do 5</w:t>
            </w:r>
          </w:p>
          <w:p w14:paraId="0FD508B2"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od 5 do 6</w:t>
            </w:r>
          </w:p>
          <w:p w14:paraId="7ABB5AA5"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od 5 do 8</w:t>
            </w:r>
          </w:p>
          <w:p w14:paraId="00915ED0"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7</w:t>
            </w:r>
          </w:p>
          <w:p w14:paraId="63EEF035"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od 5 do 8</w:t>
            </w:r>
          </w:p>
          <w:p w14:paraId="60820642"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6</w:t>
            </w:r>
          </w:p>
          <w:p w14:paraId="7736F195"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od 6 do 8</w:t>
            </w:r>
          </w:p>
          <w:p w14:paraId="11DED8A5"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10</w:t>
            </w:r>
          </w:p>
          <w:p w14:paraId="2D29DAA1"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8</w:t>
            </w:r>
          </w:p>
          <w:p w14:paraId="39B51E2B"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8</w:t>
            </w:r>
          </w:p>
          <w:p w14:paraId="74531CA1"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od 7 do 10</w:t>
            </w:r>
          </w:p>
        </w:tc>
        <w:tc>
          <w:tcPr>
            <w:tcW w:w="1985" w:type="dxa"/>
            <w:tcBorders>
              <w:left w:val="single" w:sz="6" w:space="0" w:color="auto"/>
              <w:bottom w:val="single" w:sz="6" w:space="0" w:color="auto"/>
              <w:right w:val="single" w:sz="6" w:space="0" w:color="auto"/>
            </w:tcBorders>
          </w:tcPr>
          <w:p w14:paraId="337E317E" w14:textId="77777777" w:rsidR="00184474" w:rsidRPr="00996FA1" w:rsidRDefault="00184474" w:rsidP="006237D9">
            <w:pPr>
              <w:rPr>
                <w:rFonts w:ascii="Calibri" w:hAnsi="Calibri" w:cs="Calibri"/>
                <w:sz w:val="16"/>
                <w:szCs w:val="16"/>
              </w:rPr>
            </w:pPr>
          </w:p>
          <w:p w14:paraId="0B3D82EC"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od 2,24 do 2,76</w:t>
            </w:r>
          </w:p>
          <w:p w14:paraId="51D44A89"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od 3,76 do 4,46</w:t>
            </w:r>
          </w:p>
          <w:p w14:paraId="583C4974"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od 4,35 do 6,75</w:t>
            </w:r>
          </w:p>
          <w:p w14:paraId="1BDABF42"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6,24</w:t>
            </w:r>
          </w:p>
          <w:p w14:paraId="31E811D5"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od 4,75 do 7,39</w:t>
            </w:r>
          </w:p>
          <w:p w14:paraId="2F00DD77"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5,41</w:t>
            </w:r>
          </w:p>
          <w:p w14:paraId="4F3CE3D7"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od 6,37 do 8,34</w:t>
            </w:r>
          </w:p>
          <w:p w14:paraId="6DFD7F20"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10,7</w:t>
            </w:r>
          </w:p>
          <w:p w14:paraId="3102EE87"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8,96</w:t>
            </w:r>
          </w:p>
          <w:p w14:paraId="58858D47"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8,99</w:t>
            </w:r>
          </w:p>
          <w:p w14:paraId="1689CDA3"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od 8,77 do 12,3</w:t>
            </w:r>
          </w:p>
        </w:tc>
        <w:tc>
          <w:tcPr>
            <w:tcW w:w="1559" w:type="dxa"/>
            <w:tcBorders>
              <w:left w:val="single" w:sz="6" w:space="0" w:color="auto"/>
              <w:bottom w:val="single" w:sz="6" w:space="0" w:color="auto"/>
              <w:right w:val="single" w:sz="6" w:space="0" w:color="auto"/>
            </w:tcBorders>
          </w:tcPr>
          <w:p w14:paraId="3FA2AED2" w14:textId="77777777" w:rsidR="00184474" w:rsidRPr="00996FA1" w:rsidRDefault="00184474" w:rsidP="006237D9">
            <w:pPr>
              <w:rPr>
                <w:rFonts w:ascii="Calibri" w:hAnsi="Calibri" w:cs="Calibri"/>
                <w:sz w:val="16"/>
                <w:szCs w:val="16"/>
              </w:rPr>
            </w:pPr>
          </w:p>
          <w:p w14:paraId="5F198880"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 1</w:t>
            </w:r>
          </w:p>
          <w:p w14:paraId="71968B03"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 1,5;   ± 1,0</w:t>
            </w:r>
          </w:p>
          <w:p w14:paraId="375FDD3D" w14:textId="77777777" w:rsidR="00184474" w:rsidRPr="00996FA1" w:rsidRDefault="00184474" w:rsidP="006237D9">
            <w:pPr>
              <w:rPr>
                <w:rFonts w:ascii="Calibri" w:hAnsi="Calibri" w:cs="Calibri"/>
                <w:sz w:val="16"/>
                <w:szCs w:val="16"/>
              </w:rPr>
            </w:pPr>
          </w:p>
          <w:p w14:paraId="73B73D68"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 1,5</w:t>
            </w:r>
          </w:p>
          <w:p w14:paraId="57BBAD39" w14:textId="77777777" w:rsidR="00184474" w:rsidRPr="00996FA1" w:rsidRDefault="00184474" w:rsidP="006237D9">
            <w:pPr>
              <w:rPr>
                <w:rFonts w:ascii="Calibri" w:hAnsi="Calibri" w:cs="Calibri"/>
                <w:sz w:val="16"/>
                <w:szCs w:val="16"/>
              </w:rPr>
            </w:pPr>
          </w:p>
          <w:p w14:paraId="55F15A05"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 1,5;   ± 1,0</w:t>
            </w:r>
          </w:p>
          <w:p w14:paraId="27174464" w14:textId="77777777" w:rsidR="00184474" w:rsidRPr="00996FA1" w:rsidRDefault="00184474" w:rsidP="006237D9">
            <w:pPr>
              <w:rPr>
                <w:rFonts w:ascii="Calibri" w:hAnsi="Calibri" w:cs="Calibri"/>
                <w:sz w:val="16"/>
                <w:szCs w:val="16"/>
              </w:rPr>
            </w:pPr>
          </w:p>
          <w:p w14:paraId="42A76A3F" w14:textId="77777777" w:rsidR="00184474" w:rsidRPr="00996FA1" w:rsidRDefault="00184474" w:rsidP="006237D9">
            <w:pPr>
              <w:rPr>
                <w:rFonts w:ascii="Calibri" w:hAnsi="Calibri" w:cs="Calibri"/>
                <w:sz w:val="16"/>
                <w:szCs w:val="16"/>
              </w:rPr>
            </w:pPr>
          </w:p>
          <w:p w14:paraId="2BA3DC63"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 1,5</w:t>
            </w:r>
          </w:p>
        </w:tc>
        <w:tc>
          <w:tcPr>
            <w:tcW w:w="1559" w:type="dxa"/>
            <w:tcBorders>
              <w:left w:val="single" w:sz="6" w:space="0" w:color="auto"/>
              <w:bottom w:val="single" w:sz="6" w:space="0" w:color="auto"/>
              <w:right w:val="single" w:sz="6" w:space="0" w:color="auto"/>
            </w:tcBorders>
          </w:tcPr>
          <w:p w14:paraId="484A9236" w14:textId="77777777" w:rsidR="00184474" w:rsidRPr="00996FA1" w:rsidRDefault="00184474" w:rsidP="006237D9">
            <w:pPr>
              <w:rPr>
                <w:rFonts w:ascii="Calibri" w:hAnsi="Calibri" w:cs="Calibri"/>
                <w:sz w:val="16"/>
                <w:szCs w:val="16"/>
              </w:rPr>
            </w:pPr>
          </w:p>
          <w:p w14:paraId="6FD8100F" w14:textId="77777777" w:rsidR="00184474" w:rsidRPr="00996FA1" w:rsidRDefault="00184474" w:rsidP="006237D9">
            <w:pPr>
              <w:rPr>
                <w:rFonts w:ascii="Calibri" w:hAnsi="Calibri" w:cs="Calibri"/>
                <w:sz w:val="16"/>
                <w:szCs w:val="16"/>
              </w:rPr>
            </w:pPr>
          </w:p>
          <w:p w14:paraId="4EED059C"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+ 0,3;   - 0,5</w:t>
            </w:r>
          </w:p>
          <w:p w14:paraId="75FD1CBE" w14:textId="77777777" w:rsidR="00184474" w:rsidRPr="00996FA1" w:rsidRDefault="00184474" w:rsidP="006237D9">
            <w:pPr>
              <w:rPr>
                <w:rFonts w:ascii="Calibri" w:hAnsi="Calibri" w:cs="Calibri"/>
                <w:sz w:val="16"/>
                <w:szCs w:val="16"/>
              </w:rPr>
            </w:pPr>
          </w:p>
          <w:p w14:paraId="0A449485" w14:textId="77777777" w:rsidR="00184474" w:rsidRPr="00996FA1" w:rsidRDefault="00184474" w:rsidP="006237D9">
            <w:pPr>
              <w:rPr>
                <w:rFonts w:ascii="Calibri" w:hAnsi="Calibri" w:cs="Calibri"/>
                <w:sz w:val="16"/>
                <w:szCs w:val="16"/>
              </w:rPr>
            </w:pPr>
          </w:p>
          <w:p w14:paraId="04027096" w14:textId="77777777" w:rsidR="00184474" w:rsidRPr="00996FA1" w:rsidRDefault="00184474" w:rsidP="006237D9">
            <w:pPr>
              <w:rPr>
                <w:rFonts w:ascii="Calibri" w:hAnsi="Calibri" w:cs="Calibri"/>
                <w:sz w:val="16"/>
                <w:szCs w:val="16"/>
              </w:rPr>
            </w:pPr>
          </w:p>
          <w:p w14:paraId="6CA5DBCB" w14:textId="77777777" w:rsidR="00184474" w:rsidRPr="00996FA1" w:rsidRDefault="00184474" w:rsidP="006237D9">
            <w:pPr>
              <w:rPr>
                <w:rFonts w:ascii="Calibri" w:hAnsi="Calibri" w:cs="Calibri"/>
                <w:sz w:val="16"/>
                <w:szCs w:val="16"/>
              </w:rPr>
            </w:pPr>
          </w:p>
          <w:p w14:paraId="31EDE884"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+ 0,4;   - 0,7</w:t>
            </w:r>
          </w:p>
        </w:tc>
      </w:tr>
    </w:tbl>
    <w:p w14:paraId="3E9A1B6F" w14:textId="77777777" w:rsidR="00184474" w:rsidRPr="00A23FB4" w:rsidRDefault="00184474" w:rsidP="00184474">
      <w:pPr>
        <w:rPr>
          <w:rFonts w:ascii="Calibri" w:hAnsi="Calibri" w:cs="Calibri"/>
        </w:rPr>
      </w:pPr>
    </w:p>
    <w:p w14:paraId="391B525B" w14:textId="77777777" w:rsidR="00184474" w:rsidRPr="00A23FB4" w:rsidRDefault="00184474" w:rsidP="00184474">
      <w:pPr>
        <w:rPr>
          <w:rFonts w:ascii="Calibri" w:hAnsi="Calibri" w:cs="Calibri"/>
        </w:rPr>
      </w:pPr>
    </w:p>
    <w:p w14:paraId="68334F83" w14:textId="77777777" w:rsidR="00184474" w:rsidRPr="00A23FB4" w:rsidRDefault="00184474" w:rsidP="00184474">
      <w:pPr>
        <w:rPr>
          <w:rFonts w:ascii="Calibri" w:hAnsi="Calibri" w:cs="Calibri"/>
        </w:rPr>
      </w:pPr>
      <w:r w:rsidRPr="00A23FB4">
        <w:rPr>
          <w:rFonts w:ascii="Calibri" w:hAnsi="Calibri" w:cs="Calibri"/>
        </w:rPr>
        <w:t>Tablica 5. Ceowniki walcowane wg PN-H-93403</w:t>
      </w:r>
    </w:p>
    <w:tbl>
      <w:tblPr>
        <w:tblW w:w="0" w:type="auto"/>
        <w:tblInd w:w="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9"/>
        <w:gridCol w:w="851"/>
        <w:gridCol w:w="850"/>
        <w:gridCol w:w="992"/>
        <w:gridCol w:w="1134"/>
        <w:gridCol w:w="993"/>
        <w:gridCol w:w="992"/>
        <w:gridCol w:w="992"/>
      </w:tblGrid>
      <w:tr w:rsidR="00184474" w:rsidRPr="00996FA1" w14:paraId="192C6E0C" w14:textId="77777777" w:rsidTr="006237D9">
        <w:tc>
          <w:tcPr>
            <w:tcW w:w="779" w:type="dxa"/>
            <w:tcBorders>
              <w:bottom w:val="nil"/>
            </w:tcBorders>
          </w:tcPr>
          <w:p w14:paraId="137E485B" w14:textId="77777777" w:rsidR="00184474" w:rsidRPr="00996FA1" w:rsidRDefault="00184474" w:rsidP="006237D9">
            <w:pPr>
              <w:rPr>
                <w:rFonts w:ascii="Calibri" w:hAnsi="Calibri" w:cs="Calibri"/>
                <w:sz w:val="16"/>
                <w:szCs w:val="16"/>
              </w:rPr>
            </w:pPr>
          </w:p>
        </w:tc>
        <w:tc>
          <w:tcPr>
            <w:tcW w:w="2693" w:type="dxa"/>
            <w:gridSpan w:val="3"/>
          </w:tcPr>
          <w:p w14:paraId="6EAA96E2"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Wymiary - mm</w:t>
            </w:r>
          </w:p>
        </w:tc>
        <w:tc>
          <w:tcPr>
            <w:tcW w:w="1134" w:type="dxa"/>
            <w:tcBorders>
              <w:bottom w:val="nil"/>
            </w:tcBorders>
          </w:tcPr>
          <w:p w14:paraId="216B556A"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Masa</w:t>
            </w:r>
          </w:p>
        </w:tc>
        <w:tc>
          <w:tcPr>
            <w:tcW w:w="2977" w:type="dxa"/>
            <w:gridSpan w:val="3"/>
          </w:tcPr>
          <w:p w14:paraId="2DB879FB"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Dopuszczalne odchyłki mm</w:t>
            </w:r>
          </w:p>
        </w:tc>
      </w:tr>
      <w:tr w:rsidR="00184474" w:rsidRPr="00996FA1" w14:paraId="1E4C5077" w14:textId="77777777" w:rsidTr="006237D9">
        <w:tc>
          <w:tcPr>
            <w:tcW w:w="779" w:type="dxa"/>
            <w:tcBorders>
              <w:top w:val="nil"/>
              <w:bottom w:val="double" w:sz="6" w:space="0" w:color="auto"/>
            </w:tcBorders>
          </w:tcPr>
          <w:p w14:paraId="5886905C"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Ozna</w:t>
            </w:r>
            <w:r w:rsidRPr="00996FA1">
              <w:rPr>
                <w:rFonts w:ascii="Calibri" w:hAnsi="Calibri" w:cs="Calibri"/>
                <w:sz w:val="16"/>
                <w:szCs w:val="16"/>
              </w:rPr>
              <w:softHyphen/>
              <w:t>czenie</w:t>
            </w:r>
          </w:p>
        </w:tc>
        <w:tc>
          <w:tcPr>
            <w:tcW w:w="851" w:type="dxa"/>
            <w:tcBorders>
              <w:bottom w:val="double" w:sz="6" w:space="0" w:color="auto"/>
            </w:tcBorders>
          </w:tcPr>
          <w:p w14:paraId="3D5CF6A2"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wyso</w:t>
            </w:r>
            <w:r w:rsidRPr="00996FA1">
              <w:rPr>
                <w:rFonts w:ascii="Calibri" w:hAnsi="Calibri" w:cs="Calibri"/>
                <w:sz w:val="16"/>
                <w:szCs w:val="16"/>
              </w:rPr>
              <w:softHyphen/>
              <w:t>kość środ</w:t>
            </w:r>
            <w:r w:rsidRPr="00996FA1">
              <w:rPr>
                <w:rFonts w:ascii="Calibri" w:hAnsi="Calibri" w:cs="Calibri"/>
                <w:sz w:val="16"/>
                <w:szCs w:val="16"/>
              </w:rPr>
              <w:softHyphen/>
              <w:t>nika</w:t>
            </w:r>
          </w:p>
        </w:tc>
        <w:tc>
          <w:tcPr>
            <w:tcW w:w="850" w:type="dxa"/>
            <w:tcBorders>
              <w:bottom w:val="double" w:sz="6" w:space="0" w:color="auto"/>
            </w:tcBorders>
          </w:tcPr>
          <w:p w14:paraId="326E7D31"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szero</w:t>
            </w:r>
            <w:r w:rsidRPr="00996FA1">
              <w:rPr>
                <w:rFonts w:ascii="Calibri" w:hAnsi="Calibri" w:cs="Calibri"/>
                <w:sz w:val="16"/>
                <w:szCs w:val="16"/>
              </w:rPr>
              <w:softHyphen/>
              <w:t>kość stopki</w:t>
            </w:r>
          </w:p>
        </w:tc>
        <w:tc>
          <w:tcPr>
            <w:tcW w:w="992" w:type="dxa"/>
            <w:tcBorders>
              <w:bottom w:val="double" w:sz="6" w:space="0" w:color="auto"/>
            </w:tcBorders>
          </w:tcPr>
          <w:p w14:paraId="53C5A08F"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grubość środ</w:t>
            </w:r>
            <w:r w:rsidRPr="00996FA1">
              <w:rPr>
                <w:rFonts w:ascii="Calibri" w:hAnsi="Calibri" w:cs="Calibri"/>
                <w:sz w:val="16"/>
                <w:szCs w:val="16"/>
              </w:rPr>
              <w:softHyphen/>
              <w:t>nika</w:t>
            </w:r>
          </w:p>
        </w:tc>
        <w:tc>
          <w:tcPr>
            <w:tcW w:w="1134" w:type="dxa"/>
            <w:tcBorders>
              <w:top w:val="nil"/>
              <w:bottom w:val="double" w:sz="6" w:space="0" w:color="auto"/>
            </w:tcBorders>
          </w:tcPr>
          <w:p w14:paraId="5FAD6D08"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1 m ceownika</w:t>
            </w:r>
          </w:p>
          <w:p w14:paraId="1B3CB901"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kg/m</w:t>
            </w:r>
          </w:p>
        </w:tc>
        <w:tc>
          <w:tcPr>
            <w:tcW w:w="993" w:type="dxa"/>
            <w:tcBorders>
              <w:bottom w:val="double" w:sz="6" w:space="0" w:color="auto"/>
            </w:tcBorders>
          </w:tcPr>
          <w:p w14:paraId="039220D3" w14:textId="77777777" w:rsidR="00184474" w:rsidRPr="00996FA1" w:rsidRDefault="00184474" w:rsidP="006237D9">
            <w:pPr>
              <w:rPr>
                <w:rFonts w:ascii="Calibri" w:hAnsi="Calibri" w:cs="Calibri"/>
                <w:sz w:val="16"/>
                <w:szCs w:val="16"/>
              </w:rPr>
            </w:pPr>
          </w:p>
          <w:p w14:paraId="180200BE"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środnika</w:t>
            </w:r>
          </w:p>
        </w:tc>
        <w:tc>
          <w:tcPr>
            <w:tcW w:w="992" w:type="dxa"/>
            <w:tcBorders>
              <w:bottom w:val="double" w:sz="6" w:space="0" w:color="auto"/>
            </w:tcBorders>
          </w:tcPr>
          <w:p w14:paraId="1FE33472" w14:textId="77777777" w:rsidR="00184474" w:rsidRPr="00996FA1" w:rsidRDefault="00184474" w:rsidP="006237D9">
            <w:pPr>
              <w:rPr>
                <w:rFonts w:ascii="Calibri" w:hAnsi="Calibri" w:cs="Calibri"/>
                <w:sz w:val="16"/>
                <w:szCs w:val="16"/>
              </w:rPr>
            </w:pPr>
          </w:p>
          <w:p w14:paraId="6A5FAE76"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stopki</w:t>
            </w:r>
          </w:p>
        </w:tc>
        <w:tc>
          <w:tcPr>
            <w:tcW w:w="992" w:type="dxa"/>
            <w:tcBorders>
              <w:bottom w:val="double" w:sz="6" w:space="0" w:color="auto"/>
            </w:tcBorders>
          </w:tcPr>
          <w:p w14:paraId="73B4D5C8" w14:textId="77777777" w:rsidR="00184474" w:rsidRPr="00996FA1" w:rsidRDefault="00184474" w:rsidP="006237D9">
            <w:pPr>
              <w:rPr>
                <w:rFonts w:ascii="Calibri" w:hAnsi="Calibri" w:cs="Calibri"/>
                <w:sz w:val="16"/>
                <w:szCs w:val="16"/>
              </w:rPr>
            </w:pPr>
          </w:p>
          <w:p w14:paraId="7B7A4F97"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grubości</w:t>
            </w:r>
          </w:p>
        </w:tc>
      </w:tr>
      <w:tr w:rsidR="00184474" w:rsidRPr="00996FA1" w14:paraId="7DC6960D" w14:textId="77777777" w:rsidTr="006237D9">
        <w:tc>
          <w:tcPr>
            <w:tcW w:w="779" w:type="dxa"/>
            <w:tcBorders>
              <w:top w:val="nil"/>
            </w:tcBorders>
          </w:tcPr>
          <w:p w14:paraId="70B79B67"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[ 40</w:t>
            </w:r>
          </w:p>
          <w:p w14:paraId="4ED1A4C5"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[ 45</w:t>
            </w:r>
          </w:p>
          <w:p w14:paraId="5BAAF833"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[ 50</w:t>
            </w:r>
          </w:p>
          <w:p w14:paraId="4900A62D"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[ 65</w:t>
            </w:r>
          </w:p>
          <w:p w14:paraId="38F3EA89"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[ 80</w:t>
            </w:r>
          </w:p>
          <w:p w14:paraId="0079499D" w14:textId="77777777" w:rsidR="00184474" w:rsidRPr="00996FA1" w:rsidRDefault="00184474" w:rsidP="006237D9">
            <w:pPr>
              <w:rPr>
                <w:rFonts w:ascii="Calibri" w:hAnsi="Calibri" w:cs="Calibri"/>
                <w:sz w:val="16"/>
                <w:szCs w:val="16"/>
              </w:rPr>
            </w:pPr>
          </w:p>
          <w:p w14:paraId="4809B638"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 xml:space="preserve"> [100</w:t>
            </w:r>
          </w:p>
          <w:p w14:paraId="37A0664D"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 xml:space="preserve"> [120</w:t>
            </w:r>
          </w:p>
          <w:p w14:paraId="1F8162C1"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 xml:space="preserve"> [140</w:t>
            </w:r>
          </w:p>
        </w:tc>
        <w:tc>
          <w:tcPr>
            <w:tcW w:w="851" w:type="dxa"/>
            <w:tcBorders>
              <w:top w:val="nil"/>
            </w:tcBorders>
          </w:tcPr>
          <w:p w14:paraId="41B6443B"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40</w:t>
            </w:r>
          </w:p>
          <w:p w14:paraId="0864552B"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45</w:t>
            </w:r>
          </w:p>
          <w:p w14:paraId="0C23FBE9"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50</w:t>
            </w:r>
          </w:p>
          <w:p w14:paraId="5B83D057"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65</w:t>
            </w:r>
          </w:p>
          <w:p w14:paraId="6ADC8A5F"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80</w:t>
            </w:r>
          </w:p>
          <w:p w14:paraId="29B54684" w14:textId="77777777" w:rsidR="00184474" w:rsidRPr="00996FA1" w:rsidRDefault="00184474" w:rsidP="006237D9">
            <w:pPr>
              <w:rPr>
                <w:rFonts w:ascii="Calibri" w:hAnsi="Calibri" w:cs="Calibri"/>
                <w:sz w:val="16"/>
                <w:szCs w:val="16"/>
              </w:rPr>
            </w:pPr>
          </w:p>
          <w:p w14:paraId="2A5EEDED"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100</w:t>
            </w:r>
          </w:p>
          <w:p w14:paraId="16DA6AE0"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120</w:t>
            </w:r>
          </w:p>
          <w:p w14:paraId="5442DBAE"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140</w:t>
            </w:r>
          </w:p>
        </w:tc>
        <w:tc>
          <w:tcPr>
            <w:tcW w:w="850" w:type="dxa"/>
            <w:tcBorders>
              <w:top w:val="nil"/>
            </w:tcBorders>
          </w:tcPr>
          <w:p w14:paraId="23F286EB"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20</w:t>
            </w:r>
          </w:p>
          <w:p w14:paraId="2A2E9DA5"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38</w:t>
            </w:r>
          </w:p>
          <w:p w14:paraId="5962863A"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38</w:t>
            </w:r>
          </w:p>
          <w:p w14:paraId="33C43D42"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42</w:t>
            </w:r>
          </w:p>
          <w:p w14:paraId="0A6ECCD2"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45</w:t>
            </w:r>
          </w:p>
          <w:p w14:paraId="57B43E79" w14:textId="77777777" w:rsidR="00184474" w:rsidRPr="00996FA1" w:rsidRDefault="00184474" w:rsidP="006237D9">
            <w:pPr>
              <w:rPr>
                <w:rFonts w:ascii="Calibri" w:hAnsi="Calibri" w:cs="Calibri"/>
                <w:sz w:val="16"/>
                <w:szCs w:val="16"/>
              </w:rPr>
            </w:pPr>
          </w:p>
          <w:p w14:paraId="38CD8BEA"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50</w:t>
            </w:r>
          </w:p>
          <w:p w14:paraId="407D4F53"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55</w:t>
            </w:r>
          </w:p>
          <w:p w14:paraId="2258E94A"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60</w:t>
            </w:r>
          </w:p>
        </w:tc>
        <w:tc>
          <w:tcPr>
            <w:tcW w:w="992" w:type="dxa"/>
            <w:tcBorders>
              <w:top w:val="nil"/>
            </w:tcBorders>
          </w:tcPr>
          <w:p w14:paraId="47FA6FF5"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5</w:t>
            </w:r>
          </w:p>
          <w:p w14:paraId="6DA5ED0F"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5</w:t>
            </w:r>
          </w:p>
          <w:p w14:paraId="1184373D"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5</w:t>
            </w:r>
          </w:p>
          <w:p w14:paraId="1847CA19"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5,5</w:t>
            </w:r>
          </w:p>
          <w:p w14:paraId="1520D7A2"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6</w:t>
            </w:r>
          </w:p>
          <w:p w14:paraId="27FD1E52" w14:textId="77777777" w:rsidR="00184474" w:rsidRPr="00996FA1" w:rsidRDefault="00184474" w:rsidP="006237D9">
            <w:pPr>
              <w:rPr>
                <w:rFonts w:ascii="Calibri" w:hAnsi="Calibri" w:cs="Calibri"/>
                <w:sz w:val="16"/>
                <w:szCs w:val="16"/>
              </w:rPr>
            </w:pPr>
          </w:p>
          <w:p w14:paraId="3480F9AB"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6</w:t>
            </w:r>
          </w:p>
          <w:p w14:paraId="52F6F2B5"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7</w:t>
            </w:r>
          </w:p>
          <w:p w14:paraId="66C9DE92"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7</w:t>
            </w:r>
          </w:p>
        </w:tc>
        <w:tc>
          <w:tcPr>
            <w:tcW w:w="1134" w:type="dxa"/>
            <w:tcBorders>
              <w:top w:val="nil"/>
            </w:tcBorders>
          </w:tcPr>
          <w:p w14:paraId="696C788E"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4,75</w:t>
            </w:r>
          </w:p>
          <w:p w14:paraId="0159C08C"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5,03</w:t>
            </w:r>
          </w:p>
          <w:p w14:paraId="6B3C6FFB"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5,59</w:t>
            </w:r>
          </w:p>
          <w:p w14:paraId="08A0E813"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7,09</w:t>
            </w:r>
          </w:p>
          <w:p w14:paraId="1FF3D188"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8,64</w:t>
            </w:r>
          </w:p>
          <w:p w14:paraId="67BA23D3" w14:textId="77777777" w:rsidR="00184474" w:rsidRPr="00996FA1" w:rsidRDefault="00184474" w:rsidP="006237D9">
            <w:pPr>
              <w:rPr>
                <w:rFonts w:ascii="Calibri" w:hAnsi="Calibri" w:cs="Calibri"/>
                <w:sz w:val="16"/>
                <w:szCs w:val="16"/>
              </w:rPr>
            </w:pPr>
          </w:p>
          <w:p w14:paraId="6AFD3230"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10,60</w:t>
            </w:r>
          </w:p>
          <w:p w14:paraId="0E7B41CB"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13,40</w:t>
            </w:r>
          </w:p>
          <w:p w14:paraId="2997C105"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16,00</w:t>
            </w:r>
          </w:p>
        </w:tc>
        <w:tc>
          <w:tcPr>
            <w:tcW w:w="993" w:type="dxa"/>
            <w:tcBorders>
              <w:top w:val="nil"/>
            </w:tcBorders>
          </w:tcPr>
          <w:p w14:paraId="3DD4A01A" w14:textId="77777777" w:rsidR="00184474" w:rsidRPr="00996FA1" w:rsidRDefault="00184474" w:rsidP="006237D9">
            <w:pPr>
              <w:rPr>
                <w:rFonts w:ascii="Calibri" w:hAnsi="Calibri" w:cs="Calibri"/>
                <w:sz w:val="16"/>
                <w:szCs w:val="16"/>
              </w:rPr>
            </w:pPr>
          </w:p>
          <w:p w14:paraId="210EE3A2"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 1,5</w:t>
            </w:r>
          </w:p>
          <w:p w14:paraId="533F7DB1" w14:textId="77777777" w:rsidR="00184474" w:rsidRPr="00996FA1" w:rsidRDefault="00184474" w:rsidP="006237D9">
            <w:pPr>
              <w:rPr>
                <w:rFonts w:ascii="Calibri" w:hAnsi="Calibri" w:cs="Calibri"/>
                <w:sz w:val="16"/>
                <w:szCs w:val="16"/>
              </w:rPr>
            </w:pPr>
          </w:p>
          <w:p w14:paraId="45C5BFD9" w14:textId="77777777" w:rsidR="00184474" w:rsidRPr="00996FA1" w:rsidRDefault="00184474" w:rsidP="006237D9">
            <w:pPr>
              <w:rPr>
                <w:rFonts w:ascii="Calibri" w:hAnsi="Calibri" w:cs="Calibri"/>
                <w:sz w:val="16"/>
                <w:szCs w:val="16"/>
              </w:rPr>
            </w:pPr>
          </w:p>
          <w:p w14:paraId="4E5DCBC9" w14:textId="77777777" w:rsidR="00184474" w:rsidRPr="00996FA1" w:rsidRDefault="00184474" w:rsidP="006237D9">
            <w:pPr>
              <w:rPr>
                <w:rFonts w:ascii="Calibri" w:hAnsi="Calibri" w:cs="Calibri"/>
                <w:sz w:val="16"/>
                <w:szCs w:val="16"/>
              </w:rPr>
            </w:pPr>
          </w:p>
          <w:p w14:paraId="7F5FC3B2" w14:textId="77777777" w:rsidR="00184474" w:rsidRPr="00996FA1" w:rsidRDefault="00184474" w:rsidP="006237D9">
            <w:pPr>
              <w:rPr>
                <w:rFonts w:ascii="Calibri" w:hAnsi="Calibri" w:cs="Calibri"/>
                <w:sz w:val="16"/>
                <w:szCs w:val="16"/>
              </w:rPr>
            </w:pPr>
          </w:p>
          <w:p w14:paraId="17E3702A" w14:textId="77777777" w:rsidR="00184474" w:rsidRPr="00996FA1" w:rsidRDefault="00184474" w:rsidP="006237D9">
            <w:pPr>
              <w:rPr>
                <w:rFonts w:ascii="Calibri" w:hAnsi="Calibri" w:cs="Calibri"/>
                <w:sz w:val="16"/>
                <w:szCs w:val="16"/>
              </w:rPr>
            </w:pPr>
          </w:p>
          <w:p w14:paraId="0B52AF56"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 2,0</w:t>
            </w:r>
          </w:p>
        </w:tc>
        <w:tc>
          <w:tcPr>
            <w:tcW w:w="992" w:type="dxa"/>
            <w:tcBorders>
              <w:top w:val="nil"/>
            </w:tcBorders>
          </w:tcPr>
          <w:p w14:paraId="7E1D32EE" w14:textId="77777777" w:rsidR="00184474" w:rsidRPr="00996FA1" w:rsidRDefault="00184474" w:rsidP="006237D9">
            <w:pPr>
              <w:rPr>
                <w:rFonts w:ascii="Calibri" w:hAnsi="Calibri" w:cs="Calibri"/>
                <w:sz w:val="16"/>
                <w:szCs w:val="16"/>
              </w:rPr>
            </w:pPr>
          </w:p>
          <w:p w14:paraId="4137D99C"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 1,5</w:t>
            </w:r>
          </w:p>
          <w:p w14:paraId="16A406F9" w14:textId="77777777" w:rsidR="00184474" w:rsidRPr="00996FA1" w:rsidRDefault="00184474" w:rsidP="006237D9">
            <w:pPr>
              <w:rPr>
                <w:rFonts w:ascii="Calibri" w:hAnsi="Calibri" w:cs="Calibri"/>
                <w:sz w:val="16"/>
                <w:szCs w:val="16"/>
              </w:rPr>
            </w:pPr>
          </w:p>
          <w:p w14:paraId="2DAC3502" w14:textId="77777777" w:rsidR="00184474" w:rsidRPr="00996FA1" w:rsidRDefault="00184474" w:rsidP="006237D9">
            <w:pPr>
              <w:rPr>
                <w:rFonts w:ascii="Calibri" w:hAnsi="Calibri" w:cs="Calibri"/>
                <w:sz w:val="16"/>
                <w:szCs w:val="16"/>
              </w:rPr>
            </w:pPr>
          </w:p>
          <w:p w14:paraId="427A4A32" w14:textId="77777777" w:rsidR="00184474" w:rsidRPr="00996FA1" w:rsidRDefault="00184474" w:rsidP="006237D9">
            <w:pPr>
              <w:rPr>
                <w:rFonts w:ascii="Calibri" w:hAnsi="Calibri" w:cs="Calibri"/>
                <w:sz w:val="16"/>
                <w:szCs w:val="16"/>
              </w:rPr>
            </w:pPr>
          </w:p>
          <w:p w14:paraId="687D2A0B" w14:textId="77777777" w:rsidR="00184474" w:rsidRPr="00996FA1" w:rsidRDefault="00184474" w:rsidP="006237D9">
            <w:pPr>
              <w:rPr>
                <w:rFonts w:ascii="Calibri" w:hAnsi="Calibri" w:cs="Calibri"/>
                <w:sz w:val="16"/>
                <w:szCs w:val="16"/>
              </w:rPr>
            </w:pPr>
          </w:p>
          <w:p w14:paraId="24C2C595" w14:textId="77777777" w:rsidR="00184474" w:rsidRPr="00996FA1" w:rsidRDefault="00184474" w:rsidP="006237D9">
            <w:pPr>
              <w:rPr>
                <w:rFonts w:ascii="Calibri" w:hAnsi="Calibri" w:cs="Calibri"/>
                <w:sz w:val="16"/>
                <w:szCs w:val="16"/>
              </w:rPr>
            </w:pPr>
          </w:p>
          <w:p w14:paraId="5F22B9F2"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 2,0</w:t>
            </w:r>
          </w:p>
        </w:tc>
        <w:tc>
          <w:tcPr>
            <w:tcW w:w="992" w:type="dxa"/>
            <w:tcBorders>
              <w:top w:val="nil"/>
            </w:tcBorders>
          </w:tcPr>
          <w:p w14:paraId="52446A6E" w14:textId="77777777" w:rsidR="00184474" w:rsidRPr="00996FA1" w:rsidRDefault="00184474" w:rsidP="006237D9">
            <w:pPr>
              <w:rPr>
                <w:rFonts w:ascii="Calibri" w:hAnsi="Calibri" w:cs="Calibri"/>
                <w:sz w:val="16"/>
                <w:szCs w:val="16"/>
              </w:rPr>
            </w:pPr>
          </w:p>
          <w:p w14:paraId="25B3DEEC"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+0,3;  -0,5</w:t>
            </w:r>
          </w:p>
          <w:p w14:paraId="007BB8DD" w14:textId="77777777" w:rsidR="00184474" w:rsidRPr="00996FA1" w:rsidRDefault="00184474" w:rsidP="006237D9">
            <w:pPr>
              <w:rPr>
                <w:rFonts w:ascii="Calibri" w:hAnsi="Calibri" w:cs="Calibri"/>
                <w:sz w:val="16"/>
                <w:szCs w:val="16"/>
              </w:rPr>
            </w:pPr>
          </w:p>
          <w:p w14:paraId="256FA172"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+ 0,4</w:t>
            </w:r>
          </w:p>
          <w:p w14:paraId="46915DDE"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- 0,75</w:t>
            </w:r>
          </w:p>
          <w:p w14:paraId="51CAEF9E" w14:textId="77777777" w:rsidR="00184474" w:rsidRPr="00996FA1" w:rsidRDefault="00184474" w:rsidP="006237D9">
            <w:pPr>
              <w:rPr>
                <w:rFonts w:ascii="Calibri" w:hAnsi="Calibri" w:cs="Calibri"/>
                <w:sz w:val="16"/>
                <w:szCs w:val="16"/>
              </w:rPr>
            </w:pPr>
          </w:p>
          <w:p w14:paraId="71575A03" w14:textId="77777777" w:rsidR="00184474" w:rsidRPr="00996FA1" w:rsidRDefault="00184474" w:rsidP="006237D9">
            <w:pPr>
              <w:rPr>
                <w:rFonts w:ascii="Calibri" w:hAnsi="Calibri" w:cs="Calibri"/>
                <w:sz w:val="16"/>
                <w:szCs w:val="16"/>
              </w:rPr>
            </w:pPr>
          </w:p>
          <w:p w14:paraId="3F250838"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+0,4;  -1,0</w:t>
            </w:r>
          </w:p>
          <w:p w14:paraId="0AB9322D" w14:textId="77777777" w:rsidR="00184474" w:rsidRPr="00996FA1" w:rsidRDefault="00184474" w:rsidP="006237D9">
            <w:pPr>
              <w:rPr>
                <w:rFonts w:ascii="Calibri" w:hAnsi="Calibri" w:cs="Calibri"/>
                <w:sz w:val="16"/>
                <w:szCs w:val="16"/>
              </w:rPr>
            </w:pPr>
          </w:p>
        </w:tc>
      </w:tr>
    </w:tbl>
    <w:p w14:paraId="46776948" w14:textId="77777777" w:rsidR="00184474" w:rsidRPr="00996FA1" w:rsidRDefault="00184474" w:rsidP="00184474">
      <w:pPr>
        <w:rPr>
          <w:rFonts w:ascii="Calibri" w:hAnsi="Calibri" w:cs="Calibri"/>
          <w:sz w:val="16"/>
          <w:szCs w:val="16"/>
        </w:rPr>
      </w:pPr>
      <w:r w:rsidRPr="00996FA1">
        <w:rPr>
          <w:rFonts w:ascii="Calibri" w:hAnsi="Calibri" w:cs="Calibri"/>
          <w:sz w:val="16"/>
          <w:szCs w:val="16"/>
        </w:rPr>
        <w:t>Tablica 6. Teowniki walcowane wg PN-H-93406</w:t>
      </w:r>
    </w:p>
    <w:tbl>
      <w:tblPr>
        <w:tblW w:w="0" w:type="auto"/>
        <w:tblInd w:w="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063"/>
        <w:gridCol w:w="992"/>
        <w:gridCol w:w="992"/>
        <w:gridCol w:w="992"/>
        <w:gridCol w:w="993"/>
        <w:gridCol w:w="850"/>
        <w:gridCol w:w="849"/>
        <w:gridCol w:w="852"/>
      </w:tblGrid>
      <w:tr w:rsidR="00184474" w:rsidRPr="00996FA1" w14:paraId="6CD5BB53" w14:textId="77777777" w:rsidTr="006237D9">
        <w:tc>
          <w:tcPr>
            <w:tcW w:w="1063" w:type="dxa"/>
            <w:tcBorders>
              <w:bottom w:val="nil"/>
            </w:tcBorders>
          </w:tcPr>
          <w:p w14:paraId="6E0ED308"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Ozna</w:t>
            </w:r>
            <w:r w:rsidRPr="00996FA1">
              <w:rPr>
                <w:rFonts w:ascii="Calibri" w:hAnsi="Calibri" w:cs="Calibri"/>
                <w:sz w:val="16"/>
                <w:szCs w:val="16"/>
              </w:rPr>
              <w:softHyphen/>
              <w:t>-</w:t>
            </w:r>
          </w:p>
        </w:tc>
        <w:tc>
          <w:tcPr>
            <w:tcW w:w="2976" w:type="dxa"/>
            <w:gridSpan w:val="3"/>
          </w:tcPr>
          <w:p w14:paraId="49C2DEFB"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Wymiary – mm</w:t>
            </w:r>
          </w:p>
        </w:tc>
        <w:tc>
          <w:tcPr>
            <w:tcW w:w="993" w:type="dxa"/>
            <w:tcBorders>
              <w:bottom w:val="nil"/>
            </w:tcBorders>
          </w:tcPr>
          <w:p w14:paraId="53F10D70"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Masa 1 m</w:t>
            </w:r>
          </w:p>
        </w:tc>
        <w:tc>
          <w:tcPr>
            <w:tcW w:w="2551" w:type="dxa"/>
            <w:gridSpan w:val="3"/>
          </w:tcPr>
          <w:p w14:paraId="619D5BC0"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Dopuszczalne odchyłki mm</w:t>
            </w:r>
          </w:p>
        </w:tc>
      </w:tr>
      <w:tr w:rsidR="00184474" w:rsidRPr="00996FA1" w14:paraId="6DEBD71F" w14:textId="77777777" w:rsidTr="006237D9">
        <w:tc>
          <w:tcPr>
            <w:tcW w:w="1063" w:type="dxa"/>
            <w:tcBorders>
              <w:top w:val="nil"/>
              <w:bottom w:val="double" w:sz="6" w:space="0" w:color="auto"/>
            </w:tcBorders>
          </w:tcPr>
          <w:p w14:paraId="5E80528A"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czenie</w:t>
            </w:r>
          </w:p>
        </w:tc>
        <w:tc>
          <w:tcPr>
            <w:tcW w:w="992" w:type="dxa"/>
            <w:tcBorders>
              <w:bottom w:val="double" w:sz="6" w:space="0" w:color="auto"/>
            </w:tcBorders>
          </w:tcPr>
          <w:p w14:paraId="7BEB6DD8"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wyso</w:t>
            </w:r>
            <w:r w:rsidRPr="00996FA1">
              <w:rPr>
                <w:rFonts w:ascii="Calibri" w:hAnsi="Calibri" w:cs="Calibri"/>
                <w:sz w:val="16"/>
                <w:szCs w:val="16"/>
              </w:rPr>
              <w:softHyphen/>
              <w:t>kość środ</w:t>
            </w:r>
            <w:r w:rsidRPr="00996FA1">
              <w:rPr>
                <w:rFonts w:ascii="Calibri" w:hAnsi="Calibri" w:cs="Calibri"/>
                <w:sz w:val="16"/>
                <w:szCs w:val="16"/>
              </w:rPr>
              <w:softHyphen/>
              <w:t>nika</w:t>
            </w:r>
          </w:p>
        </w:tc>
        <w:tc>
          <w:tcPr>
            <w:tcW w:w="992" w:type="dxa"/>
            <w:tcBorders>
              <w:bottom w:val="double" w:sz="6" w:space="0" w:color="auto"/>
            </w:tcBorders>
          </w:tcPr>
          <w:p w14:paraId="11E1DF06"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szero</w:t>
            </w:r>
            <w:r w:rsidRPr="00996FA1">
              <w:rPr>
                <w:rFonts w:ascii="Calibri" w:hAnsi="Calibri" w:cs="Calibri"/>
                <w:sz w:val="16"/>
                <w:szCs w:val="16"/>
              </w:rPr>
              <w:softHyphen/>
              <w:t>kość stopki</w:t>
            </w:r>
          </w:p>
        </w:tc>
        <w:tc>
          <w:tcPr>
            <w:tcW w:w="992" w:type="dxa"/>
            <w:tcBorders>
              <w:bottom w:val="double" w:sz="6" w:space="0" w:color="auto"/>
            </w:tcBorders>
          </w:tcPr>
          <w:p w14:paraId="21359DDB"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Grubość środ</w:t>
            </w:r>
            <w:r w:rsidRPr="00996FA1">
              <w:rPr>
                <w:rFonts w:ascii="Calibri" w:hAnsi="Calibri" w:cs="Calibri"/>
                <w:sz w:val="16"/>
                <w:szCs w:val="16"/>
              </w:rPr>
              <w:softHyphen/>
              <w:t>nika</w:t>
            </w:r>
          </w:p>
        </w:tc>
        <w:tc>
          <w:tcPr>
            <w:tcW w:w="993" w:type="dxa"/>
            <w:tcBorders>
              <w:top w:val="nil"/>
              <w:bottom w:val="double" w:sz="6" w:space="0" w:color="auto"/>
            </w:tcBorders>
          </w:tcPr>
          <w:p w14:paraId="20F5A8A3"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teownika</w:t>
            </w:r>
          </w:p>
          <w:p w14:paraId="0B533309"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kg/m</w:t>
            </w:r>
          </w:p>
        </w:tc>
        <w:tc>
          <w:tcPr>
            <w:tcW w:w="850" w:type="dxa"/>
            <w:tcBorders>
              <w:bottom w:val="double" w:sz="6" w:space="0" w:color="auto"/>
            </w:tcBorders>
          </w:tcPr>
          <w:p w14:paraId="11D98E21"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środnika</w:t>
            </w:r>
          </w:p>
        </w:tc>
        <w:tc>
          <w:tcPr>
            <w:tcW w:w="849" w:type="dxa"/>
            <w:tcBorders>
              <w:bottom w:val="double" w:sz="6" w:space="0" w:color="auto"/>
            </w:tcBorders>
          </w:tcPr>
          <w:p w14:paraId="622E41C2"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stopki</w:t>
            </w:r>
          </w:p>
        </w:tc>
        <w:tc>
          <w:tcPr>
            <w:tcW w:w="849" w:type="dxa"/>
            <w:tcBorders>
              <w:bottom w:val="double" w:sz="6" w:space="0" w:color="auto"/>
            </w:tcBorders>
          </w:tcPr>
          <w:p w14:paraId="239D8B0A"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grubości</w:t>
            </w:r>
          </w:p>
        </w:tc>
      </w:tr>
      <w:tr w:rsidR="00184474" w:rsidRPr="00996FA1" w14:paraId="6CEEAA7A" w14:textId="77777777" w:rsidTr="006237D9">
        <w:tc>
          <w:tcPr>
            <w:tcW w:w="1063" w:type="dxa"/>
            <w:tcBorders>
              <w:top w:val="nil"/>
            </w:tcBorders>
          </w:tcPr>
          <w:p w14:paraId="0BA8ADF6" w14:textId="77777777" w:rsidR="00184474" w:rsidRPr="00996FA1" w:rsidRDefault="00184474" w:rsidP="006237D9">
            <w:pPr>
              <w:rPr>
                <w:rFonts w:ascii="Calibri" w:hAnsi="Calibri" w:cs="Calibri"/>
                <w:sz w:val="16"/>
                <w:szCs w:val="16"/>
                <w:lang w:val="en-US"/>
              </w:rPr>
            </w:pPr>
            <w:r w:rsidRPr="00996FA1">
              <w:rPr>
                <w:rFonts w:ascii="Calibri" w:hAnsi="Calibri" w:cs="Calibri"/>
                <w:sz w:val="16"/>
                <w:szCs w:val="16"/>
                <w:lang w:val="en-US"/>
              </w:rPr>
              <w:t>T 40x40</w:t>
            </w:r>
          </w:p>
          <w:p w14:paraId="612666D8" w14:textId="77777777" w:rsidR="00184474" w:rsidRPr="00996FA1" w:rsidRDefault="00184474" w:rsidP="006237D9">
            <w:pPr>
              <w:rPr>
                <w:rFonts w:ascii="Calibri" w:hAnsi="Calibri" w:cs="Calibri"/>
                <w:sz w:val="16"/>
                <w:szCs w:val="16"/>
                <w:lang w:val="en-US"/>
              </w:rPr>
            </w:pPr>
            <w:r w:rsidRPr="00996FA1">
              <w:rPr>
                <w:rFonts w:ascii="Calibri" w:hAnsi="Calibri" w:cs="Calibri"/>
                <w:sz w:val="16"/>
                <w:szCs w:val="16"/>
                <w:lang w:val="en-US"/>
              </w:rPr>
              <w:t>T 50x50</w:t>
            </w:r>
          </w:p>
          <w:p w14:paraId="19445A51" w14:textId="77777777" w:rsidR="00184474" w:rsidRPr="00996FA1" w:rsidRDefault="00184474" w:rsidP="006237D9">
            <w:pPr>
              <w:rPr>
                <w:rFonts w:ascii="Calibri" w:hAnsi="Calibri" w:cs="Calibri"/>
                <w:sz w:val="16"/>
                <w:szCs w:val="16"/>
                <w:lang w:val="en-US"/>
              </w:rPr>
            </w:pPr>
            <w:r w:rsidRPr="00996FA1">
              <w:rPr>
                <w:rFonts w:ascii="Calibri" w:hAnsi="Calibri" w:cs="Calibri"/>
                <w:sz w:val="16"/>
                <w:szCs w:val="16"/>
                <w:lang w:val="en-US"/>
              </w:rPr>
              <w:t>T 60x60</w:t>
            </w:r>
          </w:p>
          <w:p w14:paraId="6E4993D7" w14:textId="77777777" w:rsidR="00184474" w:rsidRPr="00996FA1" w:rsidRDefault="00184474" w:rsidP="006237D9">
            <w:pPr>
              <w:rPr>
                <w:rFonts w:ascii="Calibri" w:hAnsi="Calibri" w:cs="Calibri"/>
                <w:sz w:val="16"/>
                <w:szCs w:val="16"/>
                <w:lang w:val="en-US"/>
              </w:rPr>
            </w:pPr>
            <w:r w:rsidRPr="00996FA1">
              <w:rPr>
                <w:rFonts w:ascii="Calibri" w:hAnsi="Calibri" w:cs="Calibri"/>
                <w:sz w:val="16"/>
                <w:szCs w:val="16"/>
                <w:lang w:val="en-US"/>
              </w:rPr>
              <w:t>T 80x80</w:t>
            </w:r>
          </w:p>
          <w:p w14:paraId="17B984B6" w14:textId="77777777" w:rsidR="00184474" w:rsidRPr="00996FA1" w:rsidRDefault="00184474" w:rsidP="006237D9">
            <w:pPr>
              <w:rPr>
                <w:rFonts w:ascii="Calibri" w:hAnsi="Calibri" w:cs="Calibri"/>
                <w:sz w:val="16"/>
                <w:szCs w:val="16"/>
                <w:lang w:val="en-US"/>
              </w:rPr>
            </w:pPr>
            <w:r w:rsidRPr="00996FA1">
              <w:rPr>
                <w:rFonts w:ascii="Calibri" w:hAnsi="Calibri" w:cs="Calibri"/>
                <w:sz w:val="16"/>
                <w:szCs w:val="16"/>
                <w:lang w:val="en-US"/>
              </w:rPr>
              <w:t>T100x 100</w:t>
            </w:r>
          </w:p>
        </w:tc>
        <w:tc>
          <w:tcPr>
            <w:tcW w:w="992" w:type="dxa"/>
            <w:tcBorders>
              <w:top w:val="nil"/>
            </w:tcBorders>
          </w:tcPr>
          <w:p w14:paraId="4324F948"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40</w:t>
            </w:r>
          </w:p>
          <w:p w14:paraId="7C7C1DB6"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50</w:t>
            </w:r>
          </w:p>
          <w:p w14:paraId="408CD829"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60</w:t>
            </w:r>
          </w:p>
          <w:p w14:paraId="764D7F46"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80</w:t>
            </w:r>
          </w:p>
          <w:p w14:paraId="16188D3A"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100</w:t>
            </w:r>
          </w:p>
        </w:tc>
        <w:tc>
          <w:tcPr>
            <w:tcW w:w="992" w:type="dxa"/>
            <w:tcBorders>
              <w:top w:val="nil"/>
            </w:tcBorders>
          </w:tcPr>
          <w:p w14:paraId="46EEBA05"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40</w:t>
            </w:r>
          </w:p>
          <w:p w14:paraId="4F632463"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50</w:t>
            </w:r>
          </w:p>
          <w:p w14:paraId="2977CA40"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60</w:t>
            </w:r>
          </w:p>
          <w:p w14:paraId="7396BC62"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80</w:t>
            </w:r>
          </w:p>
          <w:p w14:paraId="78C5F236"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100</w:t>
            </w:r>
          </w:p>
        </w:tc>
        <w:tc>
          <w:tcPr>
            <w:tcW w:w="992" w:type="dxa"/>
            <w:tcBorders>
              <w:top w:val="nil"/>
            </w:tcBorders>
          </w:tcPr>
          <w:p w14:paraId="5CE9F023"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5</w:t>
            </w:r>
          </w:p>
          <w:p w14:paraId="15AE458F"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6</w:t>
            </w:r>
          </w:p>
          <w:p w14:paraId="59AF466E"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7</w:t>
            </w:r>
          </w:p>
          <w:p w14:paraId="342DCEBE"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9</w:t>
            </w:r>
          </w:p>
          <w:p w14:paraId="5C610E43"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11</w:t>
            </w:r>
          </w:p>
        </w:tc>
        <w:tc>
          <w:tcPr>
            <w:tcW w:w="993" w:type="dxa"/>
            <w:tcBorders>
              <w:top w:val="nil"/>
            </w:tcBorders>
          </w:tcPr>
          <w:p w14:paraId="126D05DF"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2,96</w:t>
            </w:r>
          </w:p>
          <w:p w14:paraId="7B86F434"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4,44</w:t>
            </w:r>
          </w:p>
          <w:p w14:paraId="035377F0"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6,23</w:t>
            </w:r>
          </w:p>
          <w:p w14:paraId="342CEE35"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10,70</w:t>
            </w:r>
          </w:p>
          <w:p w14:paraId="3ABB2DB1"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16,40</w:t>
            </w:r>
          </w:p>
        </w:tc>
        <w:tc>
          <w:tcPr>
            <w:tcW w:w="850" w:type="dxa"/>
            <w:tcBorders>
              <w:top w:val="nil"/>
            </w:tcBorders>
          </w:tcPr>
          <w:p w14:paraId="39D49FE4"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 1</w:t>
            </w:r>
          </w:p>
          <w:p w14:paraId="2D06B756" w14:textId="77777777" w:rsidR="00184474" w:rsidRPr="00996FA1" w:rsidRDefault="00184474" w:rsidP="006237D9">
            <w:pPr>
              <w:rPr>
                <w:rFonts w:ascii="Calibri" w:hAnsi="Calibri" w:cs="Calibri"/>
                <w:sz w:val="16"/>
                <w:szCs w:val="16"/>
              </w:rPr>
            </w:pPr>
          </w:p>
          <w:p w14:paraId="75B418FC" w14:textId="77777777" w:rsidR="00184474" w:rsidRPr="00996FA1" w:rsidRDefault="00184474" w:rsidP="006237D9">
            <w:pPr>
              <w:rPr>
                <w:rFonts w:ascii="Calibri" w:hAnsi="Calibri" w:cs="Calibri"/>
                <w:sz w:val="16"/>
                <w:szCs w:val="16"/>
              </w:rPr>
            </w:pPr>
          </w:p>
          <w:p w14:paraId="192F64F9"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 1,5</w:t>
            </w:r>
          </w:p>
        </w:tc>
        <w:tc>
          <w:tcPr>
            <w:tcW w:w="849" w:type="dxa"/>
            <w:tcBorders>
              <w:top w:val="nil"/>
            </w:tcBorders>
          </w:tcPr>
          <w:p w14:paraId="4A416DD0"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 1</w:t>
            </w:r>
          </w:p>
          <w:p w14:paraId="4B1E97BC" w14:textId="77777777" w:rsidR="00184474" w:rsidRPr="00996FA1" w:rsidRDefault="00184474" w:rsidP="006237D9">
            <w:pPr>
              <w:rPr>
                <w:rFonts w:ascii="Calibri" w:hAnsi="Calibri" w:cs="Calibri"/>
                <w:sz w:val="16"/>
                <w:szCs w:val="16"/>
              </w:rPr>
            </w:pPr>
          </w:p>
          <w:p w14:paraId="6FAFD299" w14:textId="77777777" w:rsidR="00184474" w:rsidRPr="00996FA1" w:rsidRDefault="00184474" w:rsidP="006237D9">
            <w:pPr>
              <w:rPr>
                <w:rFonts w:ascii="Calibri" w:hAnsi="Calibri" w:cs="Calibri"/>
                <w:sz w:val="16"/>
                <w:szCs w:val="16"/>
              </w:rPr>
            </w:pPr>
          </w:p>
          <w:p w14:paraId="472F267A"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 1,5</w:t>
            </w:r>
          </w:p>
        </w:tc>
        <w:tc>
          <w:tcPr>
            <w:tcW w:w="849" w:type="dxa"/>
            <w:tcBorders>
              <w:top w:val="nil"/>
            </w:tcBorders>
          </w:tcPr>
          <w:p w14:paraId="76E3E990"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 0,5</w:t>
            </w:r>
          </w:p>
          <w:p w14:paraId="208431F3" w14:textId="77777777" w:rsidR="00184474" w:rsidRPr="00996FA1" w:rsidRDefault="00184474" w:rsidP="006237D9">
            <w:pPr>
              <w:rPr>
                <w:rFonts w:ascii="Calibri" w:hAnsi="Calibri" w:cs="Calibri"/>
                <w:sz w:val="16"/>
                <w:szCs w:val="16"/>
              </w:rPr>
            </w:pPr>
          </w:p>
          <w:p w14:paraId="0A7CFBD7" w14:textId="77777777" w:rsidR="00184474" w:rsidRPr="00996FA1" w:rsidRDefault="00184474" w:rsidP="006237D9">
            <w:pPr>
              <w:rPr>
                <w:rFonts w:ascii="Calibri" w:hAnsi="Calibri" w:cs="Calibri"/>
                <w:sz w:val="16"/>
                <w:szCs w:val="16"/>
              </w:rPr>
            </w:pPr>
          </w:p>
          <w:p w14:paraId="77D6224C"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 0,75</w:t>
            </w:r>
          </w:p>
        </w:tc>
      </w:tr>
    </w:tbl>
    <w:p w14:paraId="1B0F07AE" w14:textId="77777777" w:rsidR="00184474" w:rsidRPr="00996FA1" w:rsidRDefault="00184474" w:rsidP="00184474">
      <w:pPr>
        <w:rPr>
          <w:rFonts w:ascii="Calibri" w:hAnsi="Calibri" w:cs="Calibri"/>
          <w:sz w:val="16"/>
          <w:szCs w:val="16"/>
        </w:rPr>
      </w:pPr>
    </w:p>
    <w:p w14:paraId="2AA64D58" w14:textId="77777777" w:rsidR="00184474" w:rsidRPr="00996FA1" w:rsidRDefault="00184474" w:rsidP="00184474">
      <w:pPr>
        <w:rPr>
          <w:rFonts w:ascii="Calibri" w:hAnsi="Calibri" w:cs="Calibri"/>
          <w:sz w:val="16"/>
          <w:szCs w:val="16"/>
        </w:rPr>
      </w:pPr>
      <w:r w:rsidRPr="00996FA1">
        <w:rPr>
          <w:rFonts w:ascii="Calibri" w:hAnsi="Calibri" w:cs="Calibri"/>
          <w:sz w:val="16"/>
          <w:szCs w:val="16"/>
        </w:rPr>
        <w:t>Tablica 7. Dwuteowniki walcowane wg PN-H-93407</w:t>
      </w:r>
    </w:p>
    <w:tbl>
      <w:tblPr>
        <w:tblW w:w="0" w:type="auto"/>
        <w:tblInd w:w="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063"/>
        <w:gridCol w:w="992"/>
        <w:gridCol w:w="992"/>
        <w:gridCol w:w="992"/>
        <w:gridCol w:w="1013"/>
        <w:gridCol w:w="830"/>
        <w:gridCol w:w="851"/>
        <w:gridCol w:w="853"/>
      </w:tblGrid>
      <w:tr w:rsidR="00184474" w:rsidRPr="00996FA1" w14:paraId="4BC7C35F" w14:textId="77777777" w:rsidTr="006237D9">
        <w:tc>
          <w:tcPr>
            <w:tcW w:w="1063" w:type="dxa"/>
            <w:tcBorders>
              <w:bottom w:val="nil"/>
            </w:tcBorders>
          </w:tcPr>
          <w:p w14:paraId="48F1E61C"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Ozna</w:t>
            </w:r>
            <w:r w:rsidRPr="00996FA1">
              <w:rPr>
                <w:rFonts w:ascii="Calibri" w:hAnsi="Calibri" w:cs="Calibri"/>
                <w:sz w:val="16"/>
                <w:szCs w:val="16"/>
              </w:rPr>
              <w:softHyphen/>
              <w:t>-</w:t>
            </w:r>
          </w:p>
        </w:tc>
        <w:tc>
          <w:tcPr>
            <w:tcW w:w="2976" w:type="dxa"/>
            <w:gridSpan w:val="3"/>
          </w:tcPr>
          <w:p w14:paraId="0315A268"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Wymiary – mm</w:t>
            </w:r>
          </w:p>
        </w:tc>
        <w:tc>
          <w:tcPr>
            <w:tcW w:w="1013" w:type="dxa"/>
            <w:tcBorders>
              <w:bottom w:val="nil"/>
            </w:tcBorders>
          </w:tcPr>
          <w:p w14:paraId="70042846"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Masa 1 m</w:t>
            </w:r>
          </w:p>
        </w:tc>
        <w:tc>
          <w:tcPr>
            <w:tcW w:w="2532" w:type="dxa"/>
            <w:gridSpan w:val="3"/>
          </w:tcPr>
          <w:p w14:paraId="6A8A03FC"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Dopuszczalne odchyłki mm</w:t>
            </w:r>
          </w:p>
        </w:tc>
      </w:tr>
      <w:tr w:rsidR="00184474" w:rsidRPr="00996FA1" w14:paraId="493B59FD" w14:textId="77777777" w:rsidTr="006237D9">
        <w:tc>
          <w:tcPr>
            <w:tcW w:w="1063" w:type="dxa"/>
            <w:tcBorders>
              <w:top w:val="nil"/>
              <w:bottom w:val="double" w:sz="6" w:space="0" w:color="auto"/>
            </w:tcBorders>
          </w:tcPr>
          <w:p w14:paraId="499EF1C5"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czenie</w:t>
            </w:r>
          </w:p>
        </w:tc>
        <w:tc>
          <w:tcPr>
            <w:tcW w:w="992" w:type="dxa"/>
            <w:tcBorders>
              <w:bottom w:val="double" w:sz="6" w:space="0" w:color="auto"/>
            </w:tcBorders>
          </w:tcPr>
          <w:p w14:paraId="71ADFFBC"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wyso</w:t>
            </w:r>
            <w:r w:rsidRPr="00996FA1">
              <w:rPr>
                <w:rFonts w:ascii="Calibri" w:hAnsi="Calibri" w:cs="Calibri"/>
                <w:sz w:val="16"/>
                <w:szCs w:val="16"/>
              </w:rPr>
              <w:softHyphen/>
              <w:t>kość środ</w:t>
            </w:r>
            <w:r w:rsidRPr="00996FA1">
              <w:rPr>
                <w:rFonts w:ascii="Calibri" w:hAnsi="Calibri" w:cs="Calibri"/>
                <w:sz w:val="16"/>
                <w:szCs w:val="16"/>
              </w:rPr>
              <w:softHyphen/>
              <w:t>nika</w:t>
            </w:r>
          </w:p>
        </w:tc>
        <w:tc>
          <w:tcPr>
            <w:tcW w:w="992" w:type="dxa"/>
            <w:tcBorders>
              <w:bottom w:val="double" w:sz="6" w:space="0" w:color="auto"/>
            </w:tcBorders>
          </w:tcPr>
          <w:p w14:paraId="3B38C216"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szero</w:t>
            </w:r>
            <w:r w:rsidRPr="00996FA1">
              <w:rPr>
                <w:rFonts w:ascii="Calibri" w:hAnsi="Calibri" w:cs="Calibri"/>
                <w:sz w:val="16"/>
                <w:szCs w:val="16"/>
              </w:rPr>
              <w:softHyphen/>
              <w:t>kość stopki</w:t>
            </w:r>
          </w:p>
        </w:tc>
        <w:tc>
          <w:tcPr>
            <w:tcW w:w="992" w:type="dxa"/>
            <w:tcBorders>
              <w:bottom w:val="double" w:sz="6" w:space="0" w:color="auto"/>
            </w:tcBorders>
          </w:tcPr>
          <w:p w14:paraId="0B7AAA53"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Grubość środ</w:t>
            </w:r>
            <w:r w:rsidRPr="00996FA1">
              <w:rPr>
                <w:rFonts w:ascii="Calibri" w:hAnsi="Calibri" w:cs="Calibri"/>
                <w:sz w:val="16"/>
                <w:szCs w:val="16"/>
              </w:rPr>
              <w:softHyphen/>
              <w:t>nika</w:t>
            </w:r>
          </w:p>
        </w:tc>
        <w:tc>
          <w:tcPr>
            <w:tcW w:w="1013" w:type="dxa"/>
            <w:tcBorders>
              <w:top w:val="nil"/>
              <w:bottom w:val="double" w:sz="6" w:space="0" w:color="auto"/>
            </w:tcBorders>
          </w:tcPr>
          <w:p w14:paraId="7BE4EDF1"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dwuteow-nika, kg/m</w:t>
            </w:r>
          </w:p>
        </w:tc>
        <w:tc>
          <w:tcPr>
            <w:tcW w:w="830" w:type="dxa"/>
            <w:tcBorders>
              <w:bottom w:val="double" w:sz="6" w:space="0" w:color="auto"/>
            </w:tcBorders>
          </w:tcPr>
          <w:p w14:paraId="188934CF"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środnika</w:t>
            </w:r>
          </w:p>
        </w:tc>
        <w:tc>
          <w:tcPr>
            <w:tcW w:w="851" w:type="dxa"/>
            <w:tcBorders>
              <w:bottom w:val="double" w:sz="6" w:space="0" w:color="auto"/>
            </w:tcBorders>
          </w:tcPr>
          <w:p w14:paraId="62BB9F39"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stopki</w:t>
            </w:r>
          </w:p>
        </w:tc>
        <w:tc>
          <w:tcPr>
            <w:tcW w:w="853" w:type="dxa"/>
            <w:tcBorders>
              <w:bottom w:val="double" w:sz="6" w:space="0" w:color="auto"/>
            </w:tcBorders>
          </w:tcPr>
          <w:p w14:paraId="52D8261F"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grubości</w:t>
            </w:r>
          </w:p>
        </w:tc>
      </w:tr>
      <w:tr w:rsidR="00184474" w:rsidRPr="00996FA1" w14:paraId="6962708C" w14:textId="77777777" w:rsidTr="006237D9">
        <w:tc>
          <w:tcPr>
            <w:tcW w:w="1063" w:type="dxa"/>
            <w:tcBorders>
              <w:top w:val="nil"/>
            </w:tcBorders>
          </w:tcPr>
          <w:p w14:paraId="04F819E1"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I 80</w:t>
            </w:r>
          </w:p>
          <w:p w14:paraId="3D056D7C"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I 100</w:t>
            </w:r>
          </w:p>
          <w:p w14:paraId="1445EFFD"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I 120</w:t>
            </w:r>
          </w:p>
          <w:p w14:paraId="5A146A64"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I 140</w:t>
            </w:r>
          </w:p>
        </w:tc>
        <w:tc>
          <w:tcPr>
            <w:tcW w:w="992" w:type="dxa"/>
            <w:tcBorders>
              <w:top w:val="nil"/>
            </w:tcBorders>
          </w:tcPr>
          <w:p w14:paraId="5C4261FB"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80</w:t>
            </w:r>
          </w:p>
          <w:p w14:paraId="79B5CA59"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100</w:t>
            </w:r>
          </w:p>
          <w:p w14:paraId="4E20B550"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120</w:t>
            </w:r>
          </w:p>
          <w:p w14:paraId="57D89700"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140</w:t>
            </w:r>
          </w:p>
        </w:tc>
        <w:tc>
          <w:tcPr>
            <w:tcW w:w="992" w:type="dxa"/>
            <w:tcBorders>
              <w:top w:val="nil"/>
            </w:tcBorders>
          </w:tcPr>
          <w:p w14:paraId="2B25CC25"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42</w:t>
            </w:r>
          </w:p>
          <w:p w14:paraId="6415658E"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50</w:t>
            </w:r>
          </w:p>
          <w:p w14:paraId="23E5E8AE"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58</w:t>
            </w:r>
          </w:p>
          <w:p w14:paraId="461C2ADC"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66</w:t>
            </w:r>
          </w:p>
        </w:tc>
        <w:tc>
          <w:tcPr>
            <w:tcW w:w="992" w:type="dxa"/>
            <w:tcBorders>
              <w:top w:val="nil"/>
            </w:tcBorders>
          </w:tcPr>
          <w:p w14:paraId="41A516FC"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3,9</w:t>
            </w:r>
          </w:p>
          <w:p w14:paraId="756F8BF3"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4,5</w:t>
            </w:r>
          </w:p>
          <w:p w14:paraId="5358D147"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5,1</w:t>
            </w:r>
          </w:p>
          <w:p w14:paraId="11616F21"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5,75</w:t>
            </w:r>
          </w:p>
        </w:tc>
        <w:tc>
          <w:tcPr>
            <w:tcW w:w="1013" w:type="dxa"/>
            <w:tcBorders>
              <w:top w:val="nil"/>
            </w:tcBorders>
          </w:tcPr>
          <w:p w14:paraId="61F112C3"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5,94</w:t>
            </w:r>
          </w:p>
          <w:p w14:paraId="7869B181"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8,34</w:t>
            </w:r>
          </w:p>
          <w:p w14:paraId="09CBACEF"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11,10</w:t>
            </w:r>
          </w:p>
          <w:p w14:paraId="65B60518"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14,30</w:t>
            </w:r>
          </w:p>
        </w:tc>
        <w:tc>
          <w:tcPr>
            <w:tcW w:w="830" w:type="dxa"/>
            <w:tcBorders>
              <w:top w:val="nil"/>
            </w:tcBorders>
          </w:tcPr>
          <w:p w14:paraId="12EE535F" w14:textId="77777777" w:rsidR="00184474" w:rsidRPr="00996FA1" w:rsidRDefault="00184474" w:rsidP="006237D9">
            <w:pPr>
              <w:rPr>
                <w:rFonts w:ascii="Calibri" w:hAnsi="Calibri" w:cs="Calibri"/>
                <w:sz w:val="16"/>
                <w:szCs w:val="16"/>
              </w:rPr>
            </w:pPr>
          </w:p>
          <w:p w14:paraId="5C011B55" w14:textId="77777777" w:rsidR="00184474" w:rsidRPr="00996FA1" w:rsidRDefault="00184474" w:rsidP="006237D9">
            <w:pPr>
              <w:rPr>
                <w:rFonts w:ascii="Calibri" w:hAnsi="Calibri" w:cs="Calibri"/>
                <w:sz w:val="16"/>
                <w:szCs w:val="16"/>
              </w:rPr>
            </w:pPr>
          </w:p>
          <w:p w14:paraId="31827215"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 2</w:t>
            </w:r>
          </w:p>
        </w:tc>
        <w:tc>
          <w:tcPr>
            <w:tcW w:w="851" w:type="dxa"/>
            <w:tcBorders>
              <w:top w:val="nil"/>
            </w:tcBorders>
          </w:tcPr>
          <w:p w14:paraId="745F602D" w14:textId="77777777" w:rsidR="00184474" w:rsidRPr="00996FA1" w:rsidRDefault="00184474" w:rsidP="006237D9">
            <w:pPr>
              <w:rPr>
                <w:rFonts w:ascii="Calibri" w:hAnsi="Calibri" w:cs="Calibri"/>
                <w:sz w:val="16"/>
                <w:szCs w:val="16"/>
              </w:rPr>
            </w:pPr>
          </w:p>
          <w:p w14:paraId="09F9824E" w14:textId="77777777" w:rsidR="00184474" w:rsidRPr="00996FA1" w:rsidRDefault="00184474" w:rsidP="006237D9">
            <w:pPr>
              <w:rPr>
                <w:rFonts w:ascii="Calibri" w:hAnsi="Calibri" w:cs="Calibri"/>
                <w:sz w:val="16"/>
                <w:szCs w:val="16"/>
              </w:rPr>
            </w:pPr>
          </w:p>
          <w:p w14:paraId="4408A9CD"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 1,5</w:t>
            </w:r>
          </w:p>
        </w:tc>
        <w:tc>
          <w:tcPr>
            <w:tcW w:w="853" w:type="dxa"/>
            <w:tcBorders>
              <w:top w:val="nil"/>
            </w:tcBorders>
          </w:tcPr>
          <w:p w14:paraId="1B66F18B" w14:textId="77777777" w:rsidR="00184474" w:rsidRPr="00996FA1" w:rsidRDefault="00184474" w:rsidP="006237D9">
            <w:pPr>
              <w:rPr>
                <w:rFonts w:ascii="Calibri" w:hAnsi="Calibri" w:cs="Calibri"/>
                <w:sz w:val="16"/>
                <w:szCs w:val="16"/>
              </w:rPr>
            </w:pPr>
          </w:p>
          <w:p w14:paraId="574D33B1" w14:textId="77777777" w:rsidR="00184474" w:rsidRPr="00996FA1" w:rsidRDefault="00184474" w:rsidP="006237D9">
            <w:pPr>
              <w:rPr>
                <w:rFonts w:ascii="Calibri" w:hAnsi="Calibri" w:cs="Calibri"/>
                <w:sz w:val="16"/>
                <w:szCs w:val="16"/>
              </w:rPr>
            </w:pPr>
          </w:p>
          <w:p w14:paraId="47C4F11B"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 0,5</w:t>
            </w:r>
          </w:p>
        </w:tc>
      </w:tr>
    </w:tbl>
    <w:p w14:paraId="00849F9A" w14:textId="77777777" w:rsidR="00184474" w:rsidRPr="00A23FB4" w:rsidRDefault="00184474" w:rsidP="00184474">
      <w:pPr>
        <w:rPr>
          <w:rFonts w:ascii="Calibri" w:hAnsi="Calibri" w:cs="Calibri"/>
        </w:rPr>
      </w:pPr>
    </w:p>
    <w:p w14:paraId="7AEB8A45" w14:textId="77777777" w:rsidR="00184474" w:rsidRPr="00A23FB4" w:rsidRDefault="00184474" w:rsidP="00184474">
      <w:pPr>
        <w:rPr>
          <w:rFonts w:ascii="Calibri" w:hAnsi="Calibri" w:cs="Calibri"/>
          <w:b/>
          <w:bCs/>
          <w:i/>
          <w:iCs/>
        </w:rPr>
      </w:pPr>
      <w:r w:rsidRPr="00A23FB4">
        <w:rPr>
          <w:rFonts w:ascii="Calibri" w:hAnsi="Calibri" w:cs="Calibri"/>
          <w:b/>
          <w:bCs/>
          <w:i/>
          <w:iCs/>
        </w:rPr>
        <w:t>2.3.2. Wymagania dla rur</w:t>
      </w:r>
    </w:p>
    <w:p w14:paraId="3924632B" w14:textId="77777777" w:rsidR="00184474" w:rsidRPr="00A23FB4" w:rsidRDefault="00184474" w:rsidP="00184474">
      <w:pPr>
        <w:rPr>
          <w:rFonts w:ascii="Calibri" w:hAnsi="Calibri" w:cs="Calibri"/>
        </w:rPr>
      </w:pPr>
      <w:r w:rsidRPr="00A23FB4">
        <w:rPr>
          <w:rFonts w:ascii="Calibri" w:hAnsi="Calibri" w:cs="Calibri"/>
        </w:rPr>
        <w:t>Rury powinny odpowiadać wymaganiom PN-H-74219, PN-H-74220 lub innej zaakceptowanej przez Inżyniera.</w:t>
      </w:r>
    </w:p>
    <w:p w14:paraId="43FD2F6E" w14:textId="77777777" w:rsidR="00184474" w:rsidRPr="00A23FB4" w:rsidRDefault="00184474" w:rsidP="00184474">
      <w:pPr>
        <w:rPr>
          <w:rFonts w:ascii="Calibri" w:hAnsi="Calibri" w:cs="Calibri"/>
        </w:rPr>
      </w:pPr>
      <w:r w:rsidRPr="00A23FB4">
        <w:rPr>
          <w:rFonts w:ascii="Calibri" w:hAnsi="Calibri" w:cs="Calibri"/>
        </w:rPr>
        <w:t>Powierzchnia zewnętrzna i wewnętrzna rur nie powinna wykazywać wad w postaci łusek, pęknięć, zawalcowań i naderwań. Dopuszczalne są nieznaczne nierówności, pojedyncze rysy wynikające z procesu wytwarzania, mieszczące się w granicach dopuszczalnych odchyłek wymiarowych.</w:t>
      </w:r>
    </w:p>
    <w:p w14:paraId="63115B63" w14:textId="77777777" w:rsidR="00184474" w:rsidRPr="00A23FB4" w:rsidRDefault="00184474" w:rsidP="00184474">
      <w:pPr>
        <w:rPr>
          <w:rFonts w:ascii="Calibri" w:hAnsi="Calibri" w:cs="Calibri"/>
        </w:rPr>
      </w:pPr>
      <w:r w:rsidRPr="00A23FB4">
        <w:rPr>
          <w:rFonts w:ascii="Calibri" w:hAnsi="Calibri" w:cs="Calibri"/>
        </w:rPr>
        <w:t>Końce rur powinny być obcięte równo i prostopadle do osi rury.</w:t>
      </w:r>
    </w:p>
    <w:p w14:paraId="2BEBC94C" w14:textId="77777777" w:rsidR="00184474" w:rsidRPr="00A23FB4" w:rsidRDefault="00184474" w:rsidP="00184474">
      <w:pPr>
        <w:rPr>
          <w:rFonts w:ascii="Calibri" w:hAnsi="Calibri" w:cs="Calibri"/>
        </w:rPr>
      </w:pPr>
      <w:r w:rsidRPr="00A23FB4">
        <w:rPr>
          <w:rFonts w:ascii="Calibri" w:hAnsi="Calibri" w:cs="Calibri"/>
        </w:rPr>
        <w:t>Pożądane jest, aby rury były dostarczane o:</w:t>
      </w:r>
    </w:p>
    <w:p w14:paraId="0F962468" w14:textId="77777777" w:rsidR="00184474" w:rsidRPr="00A23FB4" w:rsidRDefault="00184474" w:rsidP="00184474">
      <w:pPr>
        <w:rPr>
          <w:rFonts w:ascii="Calibri" w:hAnsi="Calibri" w:cs="Calibri"/>
        </w:rPr>
      </w:pPr>
      <w:r w:rsidRPr="00A23FB4">
        <w:rPr>
          <w:rFonts w:ascii="Calibri" w:hAnsi="Calibri" w:cs="Calibri"/>
        </w:rPr>
        <w:t>długościach dokładnych, zgodnych z zamówieniami; z dopuszczalną odchyłką + 10 mm,</w:t>
      </w:r>
    </w:p>
    <w:p w14:paraId="0DFF5B50" w14:textId="77777777" w:rsidR="00184474" w:rsidRPr="00A23FB4" w:rsidRDefault="00184474" w:rsidP="00184474">
      <w:pPr>
        <w:rPr>
          <w:rFonts w:ascii="Calibri" w:hAnsi="Calibri" w:cs="Calibri"/>
        </w:rPr>
      </w:pPr>
      <w:r w:rsidRPr="00A23FB4">
        <w:rPr>
          <w:rFonts w:ascii="Calibri" w:hAnsi="Calibri" w:cs="Calibri"/>
        </w:rPr>
        <w:t>długościach wielokrotnych w stosunku do zamówionych długości dokładnych poniżej 3 m z naddatkiem 5 mm na każde cięcie i z dopuszczalną odchyłką dla całej długości wielokrotnej, jak dla długości dokładnych.</w:t>
      </w:r>
    </w:p>
    <w:p w14:paraId="185EC203" w14:textId="77777777" w:rsidR="00184474" w:rsidRPr="00A23FB4" w:rsidRDefault="00184474" w:rsidP="00184474">
      <w:pPr>
        <w:rPr>
          <w:rFonts w:ascii="Calibri" w:hAnsi="Calibri" w:cs="Calibri"/>
        </w:rPr>
      </w:pPr>
      <w:r w:rsidRPr="00A23FB4">
        <w:rPr>
          <w:rFonts w:ascii="Calibri" w:hAnsi="Calibri" w:cs="Calibri"/>
        </w:rPr>
        <w:t>Rury powinny być proste. Dopuszczalne miejscowe odchylenia od prostej nie powinny przekraczać 1,5 mm na 1 m długości rury.</w:t>
      </w:r>
    </w:p>
    <w:p w14:paraId="0645BE8A" w14:textId="77777777" w:rsidR="00184474" w:rsidRPr="00A23FB4" w:rsidRDefault="00184474" w:rsidP="00184474">
      <w:pPr>
        <w:rPr>
          <w:rFonts w:ascii="Calibri" w:hAnsi="Calibri" w:cs="Calibri"/>
        </w:rPr>
      </w:pPr>
      <w:r w:rsidRPr="00A23FB4">
        <w:rPr>
          <w:rFonts w:ascii="Calibri" w:hAnsi="Calibri" w:cs="Calibri"/>
        </w:rPr>
        <w:t>Rury powinny być wykonane ze stali w gatunkach dopuszczonych przez normy (np. R55, R65, 18G2A): PN-H-84023-07, PN-H-84018, PN-H-84019, PN-H-84030-02 lub inne normy.</w:t>
      </w:r>
    </w:p>
    <w:p w14:paraId="3CAB789E" w14:textId="77777777" w:rsidR="00184474" w:rsidRPr="00A23FB4" w:rsidRDefault="00184474" w:rsidP="00184474">
      <w:pPr>
        <w:rPr>
          <w:rFonts w:ascii="Calibri" w:hAnsi="Calibri" w:cs="Calibri"/>
        </w:rPr>
      </w:pPr>
      <w:r w:rsidRPr="00A23FB4">
        <w:rPr>
          <w:rFonts w:ascii="Calibri" w:hAnsi="Calibri" w:cs="Calibri"/>
        </w:rPr>
        <w:t>Do ocynkowania rur stosuje się gatunek cynku Raf wg PN-H-82200.</w:t>
      </w:r>
    </w:p>
    <w:p w14:paraId="193F1FFD" w14:textId="77777777" w:rsidR="00184474" w:rsidRPr="00A23FB4" w:rsidRDefault="00184474" w:rsidP="00184474">
      <w:pPr>
        <w:rPr>
          <w:rFonts w:ascii="Calibri" w:hAnsi="Calibri" w:cs="Calibri"/>
          <w:b/>
          <w:bCs/>
          <w:i/>
          <w:iCs/>
        </w:rPr>
      </w:pPr>
      <w:r w:rsidRPr="00A23FB4">
        <w:rPr>
          <w:rFonts w:ascii="Calibri" w:hAnsi="Calibri" w:cs="Calibri"/>
          <w:b/>
          <w:bCs/>
          <w:i/>
          <w:iCs/>
        </w:rPr>
        <w:t>2.3.3. Wymagania dla kształtowników</w:t>
      </w:r>
    </w:p>
    <w:p w14:paraId="25BAF78A" w14:textId="77777777" w:rsidR="00184474" w:rsidRPr="00A23FB4" w:rsidRDefault="00184474" w:rsidP="00184474">
      <w:pPr>
        <w:rPr>
          <w:rFonts w:ascii="Calibri" w:hAnsi="Calibri" w:cs="Calibri"/>
        </w:rPr>
      </w:pPr>
      <w:r w:rsidRPr="00A23FB4">
        <w:rPr>
          <w:rFonts w:ascii="Calibri" w:hAnsi="Calibri" w:cs="Calibri"/>
        </w:rPr>
        <w:t>Kształtowniki powinny odpowiadać wymaganiom PN-H-93010. Powierzchnia kształtownika powinna być charakterystyczna dla procesu walcowania i wolna od wad, jak widoczne łuski, pęknięcia, zawalcowania i naderwania. Dopuszczalne są usunięte wady przez szlifowanie lub dłutowanie z tym, że obrobiona powierzchnia powinna mieć łagodne wycięcia i zaokrąglone brzegi, a grubość kształtownika nie może zmniejszyć się poza dopuszczalną dolną odchyłkę wymiarową dla kształtownika.</w:t>
      </w:r>
    </w:p>
    <w:p w14:paraId="10B73FAE" w14:textId="77777777" w:rsidR="00184474" w:rsidRPr="00A23FB4" w:rsidRDefault="00184474" w:rsidP="00184474">
      <w:pPr>
        <w:rPr>
          <w:rFonts w:ascii="Calibri" w:hAnsi="Calibri" w:cs="Calibri"/>
        </w:rPr>
      </w:pPr>
      <w:r w:rsidRPr="00A23FB4">
        <w:rPr>
          <w:rFonts w:ascii="Calibri" w:hAnsi="Calibri" w:cs="Calibri"/>
        </w:rPr>
        <w:t>Kształtowniki powinny być obcięte prostopadle do osi wzdłużnej kształtownika. Powierzchnia końców kształtownika nie powinna wykazywać rzadzizn, rozwarstwień, pęknięć i śladów jamy skurczowej widocznych nie uzbrojonym okiem.</w:t>
      </w:r>
    </w:p>
    <w:p w14:paraId="6112A1D1" w14:textId="77777777" w:rsidR="00184474" w:rsidRPr="00A23FB4" w:rsidRDefault="00184474" w:rsidP="00184474">
      <w:pPr>
        <w:rPr>
          <w:rFonts w:ascii="Calibri" w:hAnsi="Calibri" w:cs="Calibri"/>
        </w:rPr>
      </w:pPr>
      <w:r w:rsidRPr="00A23FB4">
        <w:rPr>
          <w:rFonts w:ascii="Calibri" w:hAnsi="Calibri" w:cs="Calibri"/>
        </w:rPr>
        <w:t>Kształtowniki powinny być ze stali St3W lub St4W oraz mieć własności mechaniczne według PN-H-84020 - tablica 8 lub innej uzgodnionej stali i normy pomiędzy zgłaszającym zamówienie i wytwórcą.</w:t>
      </w:r>
    </w:p>
    <w:p w14:paraId="22D6C431" w14:textId="77777777" w:rsidR="00184474" w:rsidRPr="00A23FB4" w:rsidRDefault="00184474" w:rsidP="00184474">
      <w:pPr>
        <w:rPr>
          <w:rFonts w:ascii="Calibri" w:hAnsi="Calibri" w:cs="Calibri"/>
        </w:rPr>
      </w:pPr>
      <w:r w:rsidRPr="00A23FB4">
        <w:rPr>
          <w:rFonts w:ascii="Calibri" w:hAnsi="Calibri" w:cs="Calibri"/>
        </w:rPr>
        <w:t>Tablica 8. Podstawowe własności kształtowników wg PN-H-84020</w:t>
      </w:r>
    </w:p>
    <w:tbl>
      <w:tblPr>
        <w:tblW w:w="0" w:type="auto"/>
        <w:tblInd w:w="2" w:type="dxa"/>
        <w:tblLayout w:type="fixed"/>
        <w:tblCellMar>
          <w:left w:w="70" w:type="dxa"/>
          <w:right w:w="70" w:type="dxa"/>
        </w:tblCellMar>
        <w:tblLook w:val="0000" w:firstRow="0" w:lastRow="0" w:firstColumn="0" w:lastColumn="0" w:noHBand="0" w:noVBand="0"/>
      </w:tblPr>
      <w:tblGrid>
        <w:gridCol w:w="709"/>
        <w:gridCol w:w="709"/>
        <w:gridCol w:w="709"/>
        <w:gridCol w:w="708"/>
        <w:gridCol w:w="709"/>
        <w:gridCol w:w="709"/>
        <w:gridCol w:w="850"/>
        <w:gridCol w:w="1049"/>
        <w:gridCol w:w="1079"/>
      </w:tblGrid>
      <w:tr w:rsidR="00184474" w:rsidRPr="00996FA1" w14:paraId="51677BEB" w14:textId="77777777" w:rsidTr="006237D9">
        <w:tc>
          <w:tcPr>
            <w:tcW w:w="709" w:type="dxa"/>
            <w:tcBorders>
              <w:top w:val="single" w:sz="6" w:space="0" w:color="auto"/>
              <w:left w:val="single" w:sz="6" w:space="0" w:color="auto"/>
            </w:tcBorders>
          </w:tcPr>
          <w:p w14:paraId="2431498B" w14:textId="77777777" w:rsidR="00184474" w:rsidRPr="00996FA1" w:rsidRDefault="00184474" w:rsidP="006237D9">
            <w:pPr>
              <w:rPr>
                <w:rFonts w:ascii="Calibri" w:hAnsi="Calibri" w:cs="Calibri"/>
                <w:sz w:val="16"/>
                <w:szCs w:val="16"/>
              </w:rPr>
            </w:pPr>
          </w:p>
          <w:p w14:paraId="11DF26C0" w14:textId="77777777" w:rsidR="00184474" w:rsidRPr="00996FA1" w:rsidRDefault="00184474" w:rsidP="006237D9">
            <w:pPr>
              <w:rPr>
                <w:rFonts w:ascii="Calibri" w:hAnsi="Calibri" w:cs="Calibri"/>
                <w:sz w:val="16"/>
                <w:szCs w:val="16"/>
              </w:rPr>
            </w:pPr>
          </w:p>
          <w:p w14:paraId="38DE51A4"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Stal</w:t>
            </w:r>
          </w:p>
        </w:tc>
        <w:tc>
          <w:tcPr>
            <w:tcW w:w="3544" w:type="dxa"/>
            <w:gridSpan w:val="5"/>
            <w:tcBorders>
              <w:top w:val="single" w:sz="6" w:space="0" w:color="auto"/>
              <w:left w:val="single" w:sz="6" w:space="0" w:color="auto"/>
              <w:bottom w:val="single" w:sz="6" w:space="0" w:color="auto"/>
              <w:right w:val="single" w:sz="6" w:space="0" w:color="auto"/>
            </w:tcBorders>
          </w:tcPr>
          <w:p w14:paraId="43EEDBC4"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Granica plastyczności, MPa, minimum dla wyrobów o grubości lub średnicy</w:t>
            </w:r>
          </w:p>
        </w:tc>
        <w:tc>
          <w:tcPr>
            <w:tcW w:w="2978" w:type="dxa"/>
            <w:gridSpan w:val="3"/>
            <w:tcBorders>
              <w:top w:val="single" w:sz="6" w:space="0" w:color="auto"/>
              <w:left w:val="single" w:sz="6" w:space="0" w:color="auto"/>
              <w:bottom w:val="single" w:sz="6" w:space="0" w:color="auto"/>
              <w:right w:val="single" w:sz="6" w:space="0" w:color="auto"/>
            </w:tcBorders>
          </w:tcPr>
          <w:p w14:paraId="3D71CA37"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Wytrzymałość na rozciąganie, MPa, dla wyrobów o grubości lub średnicy</w:t>
            </w:r>
          </w:p>
        </w:tc>
      </w:tr>
      <w:tr w:rsidR="00184474" w:rsidRPr="00996FA1" w14:paraId="0A481421" w14:textId="77777777" w:rsidTr="006237D9">
        <w:tc>
          <w:tcPr>
            <w:tcW w:w="709" w:type="dxa"/>
            <w:tcBorders>
              <w:left w:val="single" w:sz="6" w:space="0" w:color="auto"/>
              <w:bottom w:val="double" w:sz="6" w:space="0" w:color="auto"/>
            </w:tcBorders>
          </w:tcPr>
          <w:p w14:paraId="0A09BB58" w14:textId="77777777" w:rsidR="00184474" w:rsidRPr="00996FA1" w:rsidRDefault="00184474" w:rsidP="006237D9">
            <w:pPr>
              <w:rPr>
                <w:rFonts w:ascii="Calibri" w:hAnsi="Calibri" w:cs="Calibri"/>
                <w:sz w:val="16"/>
                <w:szCs w:val="16"/>
              </w:rPr>
            </w:pPr>
          </w:p>
        </w:tc>
        <w:tc>
          <w:tcPr>
            <w:tcW w:w="709" w:type="dxa"/>
            <w:tcBorders>
              <w:top w:val="single" w:sz="6" w:space="0" w:color="auto"/>
              <w:left w:val="single" w:sz="6" w:space="0" w:color="auto"/>
              <w:bottom w:val="double" w:sz="6" w:space="0" w:color="auto"/>
              <w:right w:val="single" w:sz="6" w:space="0" w:color="auto"/>
            </w:tcBorders>
          </w:tcPr>
          <w:p w14:paraId="3264D1B2"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 xml:space="preserve">do </w:t>
            </w:r>
          </w:p>
          <w:p w14:paraId="60CD7261"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40 mm</w:t>
            </w:r>
          </w:p>
        </w:tc>
        <w:tc>
          <w:tcPr>
            <w:tcW w:w="709" w:type="dxa"/>
            <w:tcBorders>
              <w:top w:val="single" w:sz="6" w:space="0" w:color="auto"/>
              <w:left w:val="single" w:sz="6" w:space="0" w:color="auto"/>
              <w:bottom w:val="double" w:sz="6" w:space="0" w:color="auto"/>
              <w:right w:val="single" w:sz="6" w:space="0" w:color="auto"/>
            </w:tcBorders>
          </w:tcPr>
          <w:p w14:paraId="44A9CF7A"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od 40</w:t>
            </w:r>
          </w:p>
          <w:p w14:paraId="418945CD"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 xml:space="preserve"> do 63</w:t>
            </w:r>
          </w:p>
        </w:tc>
        <w:tc>
          <w:tcPr>
            <w:tcW w:w="708" w:type="dxa"/>
            <w:tcBorders>
              <w:top w:val="single" w:sz="6" w:space="0" w:color="auto"/>
              <w:left w:val="single" w:sz="6" w:space="0" w:color="auto"/>
              <w:bottom w:val="double" w:sz="6" w:space="0" w:color="auto"/>
              <w:right w:val="single" w:sz="6" w:space="0" w:color="auto"/>
            </w:tcBorders>
          </w:tcPr>
          <w:p w14:paraId="4A479214"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od 63</w:t>
            </w:r>
          </w:p>
          <w:p w14:paraId="36BBE37B"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do 80</w:t>
            </w:r>
          </w:p>
        </w:tc>
        <w:tc>
          <w:tcPr>
            <w:tcW w:w="709" w:type="dxa"/>
            <w:tcBorders>
              <w:top w:val="single" w:sz="6" w:space="0" w:color="auto"/>
              <w:left w:val="single" w:sz="6" w:space="0" w:color="auto"/>
              <w:bottom w:val="double" w:sz="6" w:space="0" w:color="auto"/>
              <w:right w:val="single" w:sz="6" w:space="0" w:color="auto"/>
            </w:tcBorders>
          </w:tcPr>
          <w:p w14:paraId="6112B3D5"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 xml:space="preserve">od 80 </w:t>
            </w:r>
          </w:p>
          <w:p w14:paraId="2589DD87"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do 100</w:t>
            </w:r>
          </w:p>
        </w:tc>
        <w:tc>
          <w:tcPr>
            <w:tcW w:w="709" w:type="dxa"/>
            <w:tcBorders>
              <w:top w:val="single" w:sz="6" w:space="0" w:color="auto"/>
              <w:left w:val="single" w:sz="6" w:space="0" w:color="auto"/>
              <w:bottom w:val="double" w:sz="6" w:space="0" w:color="auto"/>
              <w:right w:val="single" w:sz="6" w:space="0" w:color="auto"/>
            </w:tcBorders>
          </w:tcPr>
          <w:p w14:paraId="35045424"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od 100</w:t>
            </w:r>
          </w:p>
          <w:p w14:paraId="021CC997"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do 150</w:t>
            </w:r>
          </w:p>
        </w:tc>
        <w:tc>
          <w:tcPr>
            <w:tcW w:w="850" w:type="dxa"/>
            <w:tcBorders>
              <w:top w:val="single" w:sz="6" w:space="0" w:color="auto"/>
              <w:left w:val="single" w:sz="6" w:space="0" w:color="auto"/>
              <w:bottom w:val="double" w:sz="6" w:space="0" w:color="auto"/>
              <w:right w:val="single" w:sz="6" w:space="0" w:color="auto"/>
            </w:tcBorders>
          </w:tcPr>
          <w:p w14:paraId="256E5789"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od 150</w:t>
            </w:r>
          </w:p>
          <w:p w14:paraId="1520E6A9"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do 200</w:t>
            </w:r>
          </w:p>
        </w:tc>
        <w:tc>
          <w:tcPr>
            <w:tcW w:w="1049" w:type="dxa"/>
            <w:tcBorders>
              <w:top w:val="single" w:sz="6" w:space="0" w:color="auto"/>
              <w:left w:val="single" w:sz="6" w:space="0" w:color="auto"/>
              <w:bottom w:val="double" w:sz="6" w:space="0" w:color="auto"/>
              <w:right w:val="single" w:sz="6" w:space="0" w:color="auto"/>
            </w:tcBorders>
          </w:tcPr>
          <w:p w14:paraId="2A3D9B3E"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do</w:t>
            </w:r>
          </w:p>
          <w:p w14:paraId="187955B2"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100mm</w:t>
            </w:r>
          </w:p>
        </w:tc>
        <w:tc>
          <w:tcPr>
            <w:tcW w:w="1079" w:type="dxa"/>
            <w:tcBorders>
              <w:top w:val="single" w:sz="6" w:space="0" w:color="auto"/>
              <w:left w:val="single" w:sz="6" w:space="0" w:color="auto"/>
              <w:bottom w:val="double" w:sz="6" w:space="0" w:color="auto"/>
              <w:right w:val="single" w:sz="6" w:space="0" w:color="auto"/>
            </w:tcBorders>
          </w:tcPr>
          <w:p w14:paraId="01D93BAD"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od 100</w:t>
            </w:r>
          </w:p>
          <w:p w14:paraId="05D2FD32"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do 200</w:t>
            </w:r>
          </w:p>
        </w:tc>
      </w:tr>
      <w:tr w:rsidR="00184474" w:rsidRPr="00996FA1" w14:paraId="0B35E7B9" w14:textId="77777777" w:rsidTr="006237D9">
        <w:tc>
          <w:tcPr>
            <w:tcW w:w="709" w:type="dxa"/>
            <w:tcBorders>
              <w:left w:val="single" w:sz="6" w:space="0" w:color="auto"/>
              <w:bottom w:val="single" w:sz="6" w:space="0" w:color="auto"/>
              <w:right w:val="single" w:sz="6" w:space="0" w:color="auto"/>
            </w:tcBorders>
          </w:tcPr>
          <w:p w14:paraId="0A38D980"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St3W</w:t>
            </w:r>
          </w:p>
          <w:p w14:paraId="41FCAB77" w14:textId="77777777" w:rsidR="00184474" w:rsidRPr="00996FA1" w:rsidRDefault="00184474" w:rsidP="006237D9">
            <w:pPr>
              <w:rPr>
                <w:rFonts w:ascii="Calibri" w:hAnsi="Calibri" w:cs="Calibri"/>
                <w:sz w:val="16"/>
                <w:szCs w:val="16"/>
              </w:rPr>
            </w:pPr>
          </w:p>
          <w:p w14:paraId="154ACE5D"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St4W</w:t>
            </w:r>
          </w:p>
        </w:tc>
        <w:tc>
          <w:tcPr>
            <w:tcW w:w="709" w:type="dxa"/>
            <w:tcBorders>
              <w:left w:val="single" w:sz="6" w:space="0" w:color="auto"/>
              <w:bottom w:val="single" w:sz="6" w:space="0" w:color="auto"/>
              <w:right w:val="single" w:sz="6" w:space="0" w:color="auto"/>
            </w:tcBorders>
          </w:tcPr>
          <w:p w14:paraId="71DB7DAE"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225</w:t>
            </w:r>
          </w:p>
          <w:p w14:paraId="0C716963" w14:textId="77777777" w:rsidR="00184474" w:rsidRPr="00996FA1" w:rsidRDefault="00184474" w:rsidP="006237D9">
            <w:pPr>
              <w:rPr>
                <w:rFonts w:ascii="Calibri" w:hAnsi="Calibri" w:cs="Calibri"/>
                <w:sz w:val="16"/>
                <w:szCs w:val="16"/>
              </w:rPr>
            </w:pPr>
          </w:p>
          <w:p w14:paraId="75E4A11A"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265</w:t>
            </w:r>
          </w:p>
        </w:tc>
        <w:tc>
          <w:tcPr>
            <w:tcW w:w="709" w:type="dxa"/>
            <w:tcBorders>
              <w:left w:val="single" w:sz="6" w:space="0" w:color="auto"/>
              <w:bottom w:val="single" w:sz="6" w:space="0" w:color="auto"/>
              <w:right w:val="single" w:sz="6" w:space="0" w:color="auto"/>
            </w:tcBorders>
          </w:tcPr>
          <w:p w14:paraId="5F054DBE"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215</w:t>
            </w:r>
          </w:p>
          <w:p w14:paraId="6984500E" w14:textId="77777777" w:rsidR="00184474" w:rsidRPr="00996FA1" w:rsidRDefault="00184474" w:rsidP="006237D9">
            <w:pPr>
              <w:rPr>
                <w:rFonts w:ascii="Calibri" w:hAnsi="Calibri" w:cs="Calibri"/>
                <w:sz w:val="16"/>
                <w:szCs w:val="16"/>
              </w:rPr>
            </w:pPr>
          </w:p>
          <w:p w14:paraId="140027B8"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255</w:t>
            </w:r>
          </w:p>
        </w:tc>
        <w:tc>
          <w:tcPr>
            <w:tcW w:w="708" w:type="dxa"/>
            <w:tcBorders>
              <w:left w:val="single" w:sz="6" w:space="0" w:color="auto"/>
              <w:bottom w:val="single" w:sz="6" w:space="0" w:color="auto"/>
              <w:right w:val="single" w:sz="6" w:space="0" w:color="auto"/>
            </w:tcBorders>
          </w:tcPr>
          <w:p w14:paraId="65007045"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205</w:t>
            </w:r>
          </w:p>
          <w:p w14:paraId="5CDFEA45" w14:textId="77777777" w:rsidR="00184474" w:rsidRPr="00996FA1" w:rsidRDefault="00184474" w:rsidP="006237D9">
            <w:pPr>
              <w:rPr>
                <w:rFonts w:ascii="Calibri" w:hAnsi="Calibri" w:cs="Calibri"/>
                <w:sz w:val="16"/>
                <w:szCs w:val="16"/>
              </w:rPr>
            </w:pPr>
          </w:p>
          <w:p w14:paraId="152B45CA"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245</w:t>
            </w:r>
          </w:p>
        </w:tc>
        <w:tc>
          <w:tcPr>
            <w:tcW w:w="709" w:type="dxa"/>
            <w:tcBorders>
              <w:left w:val="single" w:sz="6" w:space="0" w:color="auto"/>
              <w:bottom w:val="single" w:sz="6" w:space="0" w:color="auto"/>
              <w:right w:val="single" w:sz="6" w:space="0" w:color="auto"/>
            </w:tcBorders>
          </w:tcPr>
          <w:p w14:paraId="38211F5D"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205</w:t>
            </w:r>
          </w:p>
          <w:p w14:paraId="69BD097A" w14:textId="77777777" w:rsidR="00184474" w:rsidRPr="00996FA1" w:rsidRDefault="00184474" w:rsidP="006237D9">
            <w:pPr>
              <w:rPr>
                <w:rFonts w:ascii="Calibri" w:hAnsi="Calibri" w:cs="Calibri"/>
                <w:sz w:val="16"/>
                <w:szCs w:val="16"/>
              </w:rPr>
            </w:pPr>
          </w:p>
          <w:p w14:paraId="14216D3B"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235</w:t>
            </w:r>
          </w:p>
        </w:tc>
        <w:tc>
          <w:tcPr>
            <w:tcW w:w="709" w:type="dxa"/>
            <w:tcBorders>
              <w:left w:val="single" w:sz="6" w:space="0" w:color="auto"/>
              <w:bottom w:val="single" w:sz="6" w:space="0" w:color="auto"/>
              <w:right w:val="single" w:sz="6" w:space="0" w:color="auto"/>
            </w:tcBorders>
          </w:tcPr>
          <w:p w14:paraId="61683717"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195</w:t>
            </w:r>
          </w:p>
          <w:p w14:paraId="76165235" w14:textId="77777777" w:rsidR="00184474" w:rsidRPr="00996FA1" w:rsidRDefault="00184474" w:rsidP="006237D9">
            <w:pPr>
              <w:rPr>
                <w:rFonts w:ascii="Calibri" w:hAnsi="Calibri" w:cs="Calibri"/>
                <w:sz w:val="16"/>
                <w:szCs w:val="16"/>
              </w:rPr>
            </w:pPr>
          </w:p>
          <w:p w14:paraId="515CA7D3"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225</w:t>
            </w:r>
          </w:p>
        </w:tc>
        <w:tc>
          <w:tcPr>
            <w:tcW w:w="850" w:type="dxa"/>
            <w:tcBorders>
              <w:left w:val="single" w:sz="6" w:space="0" w:color="auto"/>
              <w:bottom w:val="single" w:sz="6" w:space="0" w:color="auto"/>
              <w:right w:val="single" w:sz="6" w:space="0" w:color="auto"/>
            </w:tcBorders>
          </w:tcPr>
          <w:p w14:paraId="6A9F2B22"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185</w:t>
            </w:r>
          </w:p>
          <w:p w14:paraId="77469D40" w14:textId="77777777" w:rsidR="00184474" w:rsidRPr="00996FA1" w:rsidRDefault="00184474" w:rsidP="006237D9">
            <w:pPr>
              <w:rPr>
                <w:rFonts w:ascii="Calibri" w:hAnsi="Calibri" w:cs="Calibri"/>
                <w:sz w:val="16"/>
                <w:szCs w:val="16"/>
              </w:rPr>
            </w:pPr>
          </w:p>
          <w:p w14:paraId="6B0BA1A6"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215</w:t>
            </w:r>
          </w:p>
        </w:tc>
        <w:tc>
          <w:tcPr>
            <w:tcW w:w="1049" w:type="dxa"/>
            <w:tcBorders>
              <w:left w:val="single" w:sz="6" w:space="0" w:color="auto"/>
              <w:bottom w:val="single" w:sz="6" w:space="0" w:color="auto"/>
              <w:right w:val="single" w:sz="6" w:space="0" w:color="auto"/>
            </w:tcBorders>
          </w:tcPr>
          <w:p w14:paraId="384551D2"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od  360</w:t>
            </w:r>
          </w:p>
          <w:p w14:paraId="5660AA26"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do  490</w:t>
            </w:r>
          </w:p>
          <w:p w14:paraId="556C4ADF"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od  420</w:t>
            </w:r>
          </w:p>
          <w:p w14:paraId="36812966"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do  550</w:t>
            </w:r>
          </w:p>
        </w:tc>
        <w:tc>
          <w:tcPr>
            <w:tcW w:w="1079" w:type="dxa"/>
            <w:tcBorders>
              <w:left w:val="single" w:sz="6" w:space="0" w:color="auto"/>
              <w:bottom w:val="single" w:sz="6" w:space="0" w:color="auto"/>
              <w:right w:val="single" w:sz="6" w:space="0" w:color="auto"/>
            </w:tcBorders>
          </w:tcPr>
          <w:p w14:paraId="141E0679"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od  340</w:t>
            </w:r>
          </w:p>
          <w:p w14:paraId="5EEB1052"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do  490</w:t>
            </w:r>
          </w:p>
          <w:p w14:paraId="7ADDF4C0"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od  400</w:t>
            </w:r>
          </w:p>
          <w:p w14:paraId="30035739"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do  550</w:t>
            </w:r>
          </w:p>
        </w:tc>
      </w:tr>
    </w:tbl>
    <w:p w14:paraId="2E0758A9" w14:textId="77777777" w:rsidR="00184474" w:rsidRPr="00A23FB4" w:rsidRDefault="00184474" w:rsidP="00184474">
      <w:pPr>
        <w:rPr>
          <w:rFonts w:ascii="Calibri" w:hAnsi="Calibri" w:cs="Calibri"/>
        </w:rPr>
      </w:pPr>
      <w:r w:rsidRPr="00A23FB4">
        <w:rPr>
          <w:rFonts w:ascii="Calibri" w:hAnsi="Calibri" w:cs="Calibri"/>
        </w:rPr>
        <w:t>Kształtowniki mogą być dostarczone luzem lub w wiązkach z tym, że kształtowniki o  masie do 25 kg/m dostarcza się tylko w wiązkach.</w:t>
      </w:r>
    </w:p>
    <w:p w14:paraId="6AE10490" w14:textId="77777777" w:rsidR="00184474" w:rsidRPr="00A23FB4" w:rsidRDefault="00184474" w:rsidP="00184474">
      <w:pPr>
        <w:rPr>
          <w:rFonts w:ascii="Calibri" w:hAnsi="Calibri" w:cs="Calibri"/>
        </w:rPr>
      </w:pPr>
      <w:r w:rsidRPr="00A23FB4">
        <w:rPr>
          <w:rFonts w:ascii="Calibri" w:hAnsi="Calibri" w:cs="Calibri"/>
          <w:b/>
          <w:bCs/>
          <w:i/>
          <w:iCs/>
        </w:rPr>
        <w:t>2.3.4.</w:t>
      </w:r>
      <w:r w:rsidRPr="00A23FB4">
        <w:rPr>
          <w:rFonts w:ascii="Calibri" w:hAnsi="Calibri" w:cs="Calibri"/>
        </w:rPr>
        <w:t xml:space="preserve"> Wymagania dla elementów połączeniowych do mocowania elementów barier </w:t>
      </w:r>
      <w:r w:rsidRPr="00A23FB4">
        <w:rPr>
          <w:rFonts w:ascii="Calibri" w:hAnsi="Calibri" w:cs="Calibri"/>
        </w:rPr>
        <w:tab/>
      </w:r>
    </w:p>
    <w:p w14:paraId="5578F8DB" w14:textId="77777777" w:rsidR="00184474" w:rsidRPr="00A23FB4" w:rsidRDefault="00184474" w:rsidP="00184474">
      <w:pPr>
        <w:rPr>
          <w:rFonts w:ascii="Calibri" w:hAnsi="Calibri" w:cs="Calibri"/>
        </w:rPr>
      </w:pPr>
      <w:r w:rsidRPr="00A23FB4">
        <w:rPr>
          <w:rFonts w:ascii="Calibri" w:hAnsi="Calibri" w:cs="Calibri"/>
        </w:rPr>
        <w:t>Wszystkie drobne ocynkowane metalowe elementy połączeniowe przewidziane do mocowania między sobą barier i płotków jak: śruby, wkręty, nakrętki itp. powinny być czyste, gładkie, bez pęknięć, naderwań, rozwarstwień i wypukłych karbów.</w:t>
      </w:r>
    </w:p>
    <w:p w14:paraId="1CEFBCCE" w14:textId="77777777" w:rsidR="00184474" w:rsidRPr="00A23FB4" w:rsidRDefault="00184474" w:rsidP="00184474">
      <w:pPr>
        <w:rPr>
          <w:rFonts w:ascii="Calibri" w:hAnsi="Calibri" w:cs="Calibri"/>
        </w:rPr>
      </w:pPr>
      <w:r w:rsidRPr="00A23FB4">
        <w:rPr>
          <w:rFonts w:ascii="Calibri" w:hAnsi="Calibri" w:cs="Calibri"/>
        </w:rPr>
        <w:t>Własności mechaniczne elementów połączeniowych powinny odpowiadać wymaganiom PN-M-82054, PN-M-82054-03 lub innej normy uzgodnionej.</w:t>
      </w:r>
    </w:p>
    <w:p w14:paraId="342AFD1C" w14:textId="77777777" w:rsidR="00184474" w:rsidRPr="00A23FB4" w:rsidRDefault="00184474" w:rsidP="00184474">
      <w:pPr>
        <w:rPr>
          <w:rFonts w:ascii="Calibri" w:hAnsi="Calibri" w:cs="Calibri"/>
        </w:rPr>
      </w:pPr>
      <w:r w:rsidRPr="00A23FB4">
        <w:rPr>
          <w:rFonts w:ascii="Calibri" w:hAnsi="Calibri" w:cs="Calibri"/>
        </w:rPr>
        <w:t>Dostawa może być dostarczona w pudełkach tekturowych, pojemnikach blaszanych lub paletach w zależności od wielkości i masy wyrobów.</w:t>
      </w:r>
    </w:p>
    <w:p w14:paraId="703CDF94" w14:textId="77777777" w:rsidR="00184474" w:rsidRPr="00A23FB4" w:rsidRDefault="00184474" w:rsidP="00184474">
      <w:pPr>
        <w:rPr>
          <w:rFonts w:ascii="Calibri" w:hAnsi="Calibri" w:cs="Calibri"/>
        </w:rPr>
      </w:pPr>
      <w:r w:rsidRPr="00A23FB4">
        <w:rPr>
          <w:rFonts w:ascii="Calibri" w:hAnsi="Calibri" w:cs="Calibri"/>
        </w:rPr>
        <w:t>Śruby, wkręty, nakrętki itp. powinny być przechowywane w pomieszczeniach suchych, z dala od materiałów działających korodująco i w warunkach zabezpieczających przed uszkodzeniem.</w:t>
      </w:r>
    </w:p>
    <w:p w14:paraId="6A5A2ABF" w14:textId="77777777" w:rsidR="00184474" w:rsidRPr="00A23FB4" w:rsidRDefault="00184474" w:rsidP="00184474">
      <w:pPr>
        <w:rPr>
          <w:rFonts w:ascii="Calibri" w:hAnsi="Calibri" w:cs="Calibri"/>
        </w:rPr>
      </w:pPr>
      <w:r w:rsidRPr="00A23FB4">
        <w:rPr>
          <w:rFonts w:ascii="Calibri" w:hAnsi="Calibri" w:cs="Calibri"/>
        </w:rPr>
        <w:t>Minimalna grubość powłoki cynkowej powinna wynosić w warunkach użytkowania:</w:t>
      </w:r>
    </w:p>
    <w:p w14:paraId="2026D680" w14:textId="77777777" w:rsidR="00184474" w:rsidRPr="00A23FB4" w:rsidRDefault="00184474" w:rsidP="00184474">
      <w:pPr>
        <w:rPr>
          <w:rFonts w:ascii="Calibri" w:hAnsi="Calibri" w:cs="Calibri"/>
        </w:rPr>
      </w:pPr>
      <w:r w:rsidRPr="00A23FB4">
        <w:rPr>
          <w:rFonts w:ascii="Calibri" w:hAnsi="Calibri" w:cs="Calibri"/>
        </w:rPr>
        <w:t xml:space="preserve">a) umiarkowanych - 8 </w:t>
      </w:r>
      <w:r w:rsidRPr="00A23FB4">
        <w:rPr>
          <w:rFonts w:ascii="Calibri" w:hAnsi="Calibri" w:cs="Calibri"/>
        </w:rPr>
        <w:sym w:font="Courier New" w:char="00B5"/>
      </w:r>
      <w:r w:rsidRPr="00A23FB4">
        <w:rPr>
          <w:rFonts w:ascii="Calibri" w:hAnsi="Calibri" w:cs="Calibri"/>
        </w:rPr>
        <w:t>m,</w:t>
      </w:r>
    </w:p>
    <w:p w14:paraId="0CFFC2AC" w14:textId="77777777" w:rsidR="00184474" w:rsidRPr="00A23FB4" w:rsidRDefault="00184474" w:rsidP="00184474">
      <w:pPr>
        <w:rPr>
          <w:rFonts w:ascii="Calibri" w:hAnsi="Calibri" w:cs="Calibri"/>
        </w:rPr>
      </w:pPr>
      <w:r w:rsidRPr="00A23FB4">
        <w:rPr>
          <w:rFonts w:ascii="Calibri" w:hAnsi="Calibri" w:cs="Calibri"/>
        </w:rPr>
        <w:t xml:space="preserve">b) ciężkich             - 12 </w:t>
      </w:r>
      <w:r w:rsidRPr="00A23FB4">
        <w:rPr>
          <w:rFonts w:ascii="Calibri" w:hAnsi="Calibri" w:cs="Calibri"/>
        </w:rPr>
        <w:sym w:font="Courier New" w:char="00B5"/>
      </w:r>
      <w:r w:rsidRPr="00A23FB4">
        <w:rPr>
          <w:rFonts w:ascii="Calibri" w:hAnsi="Calibri" w:cs="Calibri"/>
        </w:rPr>
        <w:t>m,</w:t>
      </w:r>
    </w:p>
    <w:p w14:paraId="4ADBEF9D" w14:textId="77777777" w:rsidR="00184474" w:rsidRPr="00A23FB4" w:rsidRDefault="00184474" w:rsidP="00184474">
      <w:pPr>
        <w:rPr>
          <w:rFonts w:ascii="Calibri" w:hAnsi="Calibri" w:cs="Calibri"/>
        </w:rPr>
      </w:pPr>
      <w:r w:rsidRPr="00A23FB4">
        <w:rPr>
          <w:rFonts w:ascii="Calibri" w:hAnsi="Calibri" w:cs="Calibri"/>
        </w:rPr>
        <w:t>zgodnie z określeniem agresywności korozyjnej środowisk według PN-H-04651.</w:t>
      </w:r>
    </w:p>
    <w:p w14:paraId="72843D8A" w14:textId="77777777" w:rsidR="00184474" w:rsidRPr="00A23FB4" w:rsidRDefault="00184474" w:rsidP="00184474">
      <w:pPr>
        <w:rPr>
          <w:rFonts w:ascii="Calibri" w:hAnsi="Calibri" w:cs="Calibri"/>
        </w:rPr>
      </w:pPr>
      <w:r w:rsidRPr="00A23FB4">
        <w:rPr>
          <w:rFonts w:ascii="Calibri" w:hAnsi="Calibri" w:cs="Calibri"/>
          <w:b/>
          <w:bCs/>
          <w:i/>
          <w:iCs/>
        </w:rPr>
        <w:t>2.3.5.</w:t>
      </w:r>
      <w:r w:rsidRPr="00A23FB4">
        <w:rPr>
          <w:rFonts w:ascii="Calibri" w:hAnsi="Calibri" w:cs="Calibri"/>
        </w:rPr>
        <w:t xml:space="preserve"> Wymagania dla drutu spawalniczego</w:t>
      </w:r>
    </w:p>
    <w:p w14:paraId="5639B95D" w14:textId="77777777" w:rsidR="00184474" w:rsidRPr="00A23FB4" w:rsidRDefault="00184474" w:rsidP="00184474">
      <w:pPr>
        <w:rPr>
          <w:rFonts w:ascii="Calibri" w:hAnsi="Calibri" w:cs="Calibri"/>
        </w:rPr>
      </w:pPr>
      <w:r w:rsidRPr="00A23FB4">
        <w:rPr>
          <w:rFonts w:ascii="Calibri" w:hAnsi="Calibri" w:cs="Calibri"/>
        </w:rPr>
        <w:t>Drut spawalniczy powinien spełniać wymagania PN-M-69420, odpowiednio dla spawania gazowego acetylenowo-tlenowego lub innego zaakceptowanego przez Inżyniera.</w:t>
      </w:r>
    </w:p>
    <w:p w14:paraId="7F8903B7" w14:textId="77777777" w:rsidR="00184474" w:rsidRPr="00A23FB4" w:rsidRDefault="00184474" w:rsidP="00184474">
      <w:pPr>
        <w:rPr>
          <w:rFonts w:ascii="Calibri" w:hAnsi="Calibri" w:cs="Calibri"/>
        </w:rPr>
      </w:pPr>
      <w:r w:rsidRPr="00A23FB4">
        <w:rPr>
          <w:rFonts w:ascii="Calibri" w:hAnsi="Calibri" w:cs="Calibri"/>
        </w:rPr>
        <w:t>Średnica drutu powinna wynosić połowę grubości elementów łączonych lub od 6 do 8 mm, gdy elementy łączone są grubsze niż 15 mm.</w:t>
      </w:r>
    </w:p>
    <w:p w14:paraId="46608901" w14:textId="77777777" w:rsidR="00184474" w:rsidRPr="00A23FB4" w:rsidRDefault="00184474" w:rsidP="00184474">
      <w:pPr>
        <w:rPr>
          <w:rFonts w:ascii="Calibri" w:hAnsi="Calibri" w:cs="Calibri"/>
        </w:rPr>
      </w:pPr>
      <w:r w:rsidRPr="00A23FB4">
        <w:rPr>
          <w:rFonts w:ascii="Calibri" w:hAnsi="Calibri" w:cs="Calibri"/>
        </w:rPr>
        <w:t>Powierzchnia drutu powinna być czysta i gładka, bez rdzy, zgorzeliny, brudu lub smarów.</w:t>
      </w:r>
    </w:p>
    <w:p w14:paraId="0074B938" w14:textId="77777777" w:rsidR="00184474" w:rsidRPr="00A23FB4" w:rsidRDefault="00184474" w:rsidP="00184474">
      <w:pPr>
        <w:rPr>
          <w:rFonts w:ascii="Calibri" w:hAnsi="Calibri" w:cs="Calibri"/>
        </w:rPr>
      </w:pPr>
      <w:r w:rsidRPr="00A23FB4">
        <w:rPr>
          <w:rFonts w:ascii="Calibri" w:hAnsi="Calibri" w:cs="Calibri"/>
        </w:rPr>
        <w:t>Wytrzymałość drutów na rozciąganie powinna wynosić:</w:t>
      </w:r>
    </w:p>
    <w:p w14:paraId="18F24242" w14:textId="77777777" w:rsidR="00184474" w:rsidRPr="00A23FB4" w:rsidRDefault="00184474" w:rsidP="00184474">
      <w:pPr>
        <w:rPr>
          <w:rFonts w:ascii="Calibri" w:hAnsi="Calibri" w:cs="Calibri"/>
        </w:rPr>
      </w:pPr>
      <w:r w:rsidRPr="00A23FB4">
        <w:rPr>
          <w:rFonts w:ascii="Calibri" w:hAnsi="Calibri" w:cs="Calibri"/>
        </w:rPr>
        <w:tab/>
        <w:t>średnica drutu - mm</w:t>
      </w:r>
      <w:r w:rsidRPr="00A23FB4">
        <w:rPr>
          <w:rFonts w:ascii="Calibri" w:hAnsi="Calibri" w:cs="Calibri"/>
        </w:rPr>
        <w:tab/>
      </w:r>
      <w:r w:rsidRPr="00A23FB4">
        <w:rPr>
          <w:rFonts w:ascii="Calibri" w:hAnsi="Calibri" w:cs="Calibri"/>
        </w:rPr>
        <w:tab/>
        <w:t>wytrzymałość na rozciąganie</w:t>
      </w:r>
    </w:p>
    <w:p w14:paraId="20E49833" w14:textId="77777777" w:rsidR="00184474" w:rsidRPr="00A23FB4" w:rsidRDefault="00184474" w:rsidP="00184474">
      <w:pPr>
        <w:rPr>
          <w:rFonts w:ascii="Calibri" w:hAnsi="Calibri" w:cs="Calibri"/>
        </w:rPr>
      </w:pPr>
      <w:r w:rsidRPr="00A23FB4">
        <w:rPr>
          <w:rFonts w:ascii="Calibri" w:hAnsi="Calibri" w:cs="Calibri"/>
        </w:rPr>
        <w:tab/>
      </w:r>
      <w:r w:rsidRPr="00A23FB4">
        <w:rPr>
          <w:rFonts w:ascii="Calibri" w:hAnsi="Calibri" w:cs="Calibri"/>
        </w:rPr>
        <w:tab/>
        <w:t>od 1,2 do 1,6</w:t>
      </w:r>
      <w:r w:rsidRPr="00A23FB4">
        <w:rPr>
          <w:rFonts w:ascii="Calibri" w:hAnsi="Calibri" w:cs="Calibri"/>
        </w:rPr>
        <w:tab/>
      </w:r>
      <w:r w:rsidRPr="00A23FB4">
        <w:rPr>
          <w:rFonts w:ascii="Calibri" w:hAnsi="Calibri" w:cs="Calibri"/>
        </w:rPr>
        <w:tab/>
        <w:t xml:space="preserve">      od 750 do 1200 MPa</w:t>
      </w:r>
    </w:p>
    <w:p w14:paraId="7CAFA0AC" w14:textId="77777777" w:rsidR="00184474" w:rsidRPr="00A23FB4" w:rsidRDefault="00184474" w:rsidP="00184474">
      <w:pPr>
        <w:rPr>
          <w:rFonts w:ascii="Calibri" w:hAnsi="Calibri" w:cs="Calibri"/>
        </w:rPr>
      </w:pPr>
      <w:r w:rsidRPr="00A23FB4">
        <w:rPr>
          <w:rFonts w:ascii="Calibri" w:hAnsi="Calibri" w:cs="Calibri"/>
        </w:rPr>
        <w:tab/>
      </w:r>
      <w:r w:rsidRPr="00A23FB4">
        <w:rPr>
          <w:rFonts w:ascii="Calibri" w:hAnsi="Calibri" w:cs="Calibri"/>
        </w:rPr>
        <w:tab/>
        <w:t>od 2,0 do 3,0</w:t>
      </w:r>
      <w:r w:rsidRPr="00A23FB4">
        <w:rPr>
          <w:rFonts w:ascii="Calibri" w:hAnsi="Calibri" w:cs="Calibri"/>
        </w:rPr>
        <w:tab/>
      </w:r>
      <w:r w:rsidRPr="00A23FB4">
        <w:rPr>
          <w:rFonts w:ascii="Calibri" w:hAnsi="Calibri" w:cs="Calibri"/>
        </w:rPr>
        <w:tab/>
        <w:t xml:space="preserve">      od 550 do 1000 MPa</w:t>
      </w:r>
    </w:p>
    <w:p w14:paraId="78B3DB42" w14:textId="77777777" w:rsidR="00184474" w:rsidRPr="00A23FB4" w:rsidRDefault="00184474" w:rsidP="00184474">
      <w:pPr>
        <w:rPr>
          <w:rFonts w:ascii="Calibri" w:hAnsi="Calibri" w:cs="Calibri"/>
        </w:rPr>
      </w:pPr>
      <w:r w:rsidRPr="00A23FB4">
        <w:rPr>
          <w:rFonts w:ascii="Calibri" w:hAnsi="Calibri" w:cs="Calibri"/>
        </w:rPr>
        <w:tab/>
      </w:r>
      <w:r w:rsidRPr="00A23FB4">
        <w:rPr>
          <w:rFonts w:ascii="Calibri" w:hAnsi="Calibri" w:cs="Calibri"/>
        </w:rPr>
        <w:tab/>
        <w:t>powyżej 3,0</w:t>
      </w:r>
      <w:r w:rsidRPr="00A23FB4">
        <w:rPr>
          <w:rFonts w:ascii="Calibri" w:hAnsi="Calibri" w:cs="Calibri"/>
        </w:rPr>
        <w:tab/>
      </w:r>
      <w:r w:rsidRPr="00A23FB4">
        <w:rPr>
          <w:rFonts w:ascii="Calibri" w:hAnsi="Calibri" w:cs="Calibri"/>
        </w:rPr>
        <w:tab/>
        <w:t xml:space="preserve">      od 450do 900  MPa.</w:t>
      </w:r>
    </w:p>
    <w:p w14:paraId="26EF6372" w14:textId="77777777" w:rsidR="00184474" w:rsidRPr="00A23FB4" w:rsidRDefault="00184474" w:rsidP="00184474">
      <w:pPr>
        <w:rPr>
          <w:rFonts w:ascii="Calibri" w:hAnsi="Calibri" w:cs="Calibri"/>
        </w:rPr>
      </w:pPr>
      <w:r w:rsidRPr="00A23FB4">
        <w:rPr>
          <w:rFonts w:ascii="Calibri" w:hAnsi="Calibri" w:cs="Calibri"/>
        </w:rPr>
        <w:t xml:space="preserve">Druty mogą być dostarczane w kręgach, na szpulach lub w pakietach. Kręgi drutów powinny składać się z jednego odcinka drutu, a zwoje nie powinny być splątane. Łączna maksymalna masa pakowanych drutów i prętów nie powinna przekraczać 50 kg netto. </w:t>
      </w:r>
    </w:p>
    <w:p w14:paraId="48C6D89E" w14:textId="77777777" w:rsidR="00184474" w:rsidRPr="00A23FB4" w:rsidRDefault="00184474" w:rsidP="00184474">
      <w:pPr>
        <w:rPr>
          <w:rFonts w:ascii="Calibri" w:hAnsi="Calibri" w:cs="Calibri"/>
        </w:rPr>
      </w:pPr>
      <w:r w:rsidRPr="00A23FB4">
        <w:rPr>
          <w:rFonts w:ascii="Calibri" w:hAnsi="Calibri" w:cs="Calibri"/>
        </w:rPr>
        <w:t>Druty i pręty powinny być przechowywane w suchych pomieszczeniach, wolnych od czynników wywołujących korozję.</w:t>
      </w:r>
    </w:p>
    <w:p w14:paraId="0F70F4D3" w14:textId="77777777" w:rsidR="00184474" w:rsidRPr="00A23FB4" w:rsidRDefault="00184474" w:rsidP="00184474">
      <w:pPr>
        <w:rPr>
          <w:rFonts w:ascii="Calibri" w:hAnsi="Calibri" w:cs="Calibri"/>
        </w:rPr>
      </w:pPr>
      <w:r w:rsidRPr="00A23FB4">
        <w:rPr>
          <w:rFonts w:ascii="Calibri" w:hAnsi="Calibri" w:cs="Calibri"/>
          <w:b/>
          <w:bCs/>
          <w:i/>
          <w:iCs/>
        </w:rPr>
        <w:t>2.3.6.</w:t>
      </w:r>
      <w:r w:rsidRPr="00A23FB4">
        <w:rPr>
          <w:rFonts w:ascii="Calibri" w:hAnsi="Calibri" w:cs="Calibri"/>
        </w:rPr>
        <w:t xml:space="preserve"> Wymagania dla powłok metalizacyjnych cynkowych</w:t>
      </w:r>
    </w:p>
    <w:p w14:paraId="21447DF8" w14:textId="5E08C665" w:rsidR="00184474" w:rsidRPr="00A23FB4" w:rsidRDefault="00184474" w:rsidP="00996FA1">
      <w:pPr>
        <w:rPr>
          <w:rFonts w:ascii="Calibri" w:hAnsi="Calibri" w:cs="Calibri"/>
        </w:rPr>
      </w:pPr>
      <w:r w:rsidRPr="00A23FB4">
        <w:rPr>
          <w:rFonts w:ascii="Calibri" w:hAnsi="Calibri" w:cs="Calibri"/>
        </w:rPr>
        <w:t>W przypadku zastosowania powłoki metalizacyjnej cynkowej na konstrukcjach stalowych, powinna ona być z cynku o czystości nie mniejszej niż 99,5% i odpowiadać wymaganiom BN-89/1076-02. Minimalna grubość powłoki cynkowej powinna być zgodna z wymaganiami tablicy 9.</w:t>
      </w:r>
    </w:p>
    <w:p w14:paraId="5BA153C1" w14:textId="77777777" w:rsidR="00184474" w:rsidRPr="00A23FB4" w:rsidRDefault="00184474" w:rsidP="00184474">
      <w:pPr>
        <w:rPr>
          <w:rFonts w:ascii="Calibri" w:hAnsi="Calibri" w:cs="Calibri"/>
        </w:rPr>
      </w:pPr>
      <w:r w:rsidRPr="00A23FB4">
        <w:rPr>
          <w:rFonts w:ascii="Calibri" w:hAnsi="Calibri" w:cs="Calibri"/>
        </w:rPr>
        <w:t>Tablica 9. Minimalna grubość powłoki metalizacyjnej cynkowej narażonej na działanie korozji atmosferycznej wg BN-89/1076-02</w:t>
      </w:r>
    </w:p>
    <w:tbl>
      <w:tblPr>
        <w:tblW w:w="0" w:type="auto"/>
        <w:tblInd w:w="2" w:type="dxa"/>
        <w:tblLayout w:type="fixed"/>
        <w:tblCellMar>
          <w:left w:w="70" w:type="dxa"/>
          <w:right w:w="70" w:type="dxa"/>
        </w:tblCellMar>
        <w:tblLook w:val="0000" w:firstRow="0" w:lastRow="0" w:firstColumn="0" w:lastColumn="0" w:noHBand="0" w:noVBand="0"/>
      </w:tblPr>
      <w:tblGrid>
        <w:gridCol w:w="2905"/>
        <w:gridCol w:w="2268"/>
        <w:gridCol w:w="2268"/>
      </w:tblGrid>
      <w:tr w:rsidR="00184474" w:rsidRPr="00A23FB4" w14:paraId="2C37BAD7" w14:textId="77777777" w:rsidTr="006237D9">
        <w:tc>
          <w:tcPr>
            <w:tcW w:w="2905" w:type="dxa"/>
            <w:tcBorders>
              <w:top w:val="single" w:sz="6" w:space="0" w:color="auto"/>
              <w:left w:val="single" w:sz="6" w:space="0" w:color="auto"/>
            </w:tcBorders>
          </w:tcPr>
          <w:p w14:paraId="571709F3" w14:textId="77777777" w:rsidR="00184474" w:rsidRPr="00A23FB4" w:rsidRDefault="00184474" w:rsidP="006237D9">
            <w:pPr>
              <w:rPr>
                <w:rFonts w:ascii="Calibri" w:hAnsi="Calibri" w:cs="Calibri"/>
              </w:rPr>
            </w:pPr>
            <w:r w:rsidRPr="00A23FB4">
              <w:rPr>
                <w:rFonts w:ascii="Calibri" w:hAnsi="Calibri" w:cs="Calibri"/>
              </w:rPr>
              <w:t xml:space="preserve">Agresywność korozyjna atmosfery                                      </w:t>
            </w:r>
          </w:p>
        </w:tc>
        <w:tc>
          <w:tcPr>
            <w:tcW w:w="4536" w:type="dxa"/>
            <w:gridSpan w:val="2"/>
            <w:tcBorders>
              <w:top w:val="single" w:sz="6" w:space="0" w:color="auto"/>
              <w:left w:val="single" w:sz="6" w:space="0" w:color="auto"/>
              <w:bottom w:val="single" w:sz="6" w:space="0" w:color="auto"/>
              <w:right w:val="single" w:sz="6" w:space="0" w:color="auto"/>
            </w:tcBorders>
          </w:tcPr>
          <w:p w14:paraId="29E58C44" w14:textId="77777777" w:rsidR="00184474" w:rsidRPr="00A23FB4" w:rsidRDefault="00184474" w:rsidP="006237D9">
            <w:pPr>
              <w:rPr>
                <w:rFonts w:ascii="Calibri" w:hAnsi="Calibri" w:cs="Calibri"/>
              </w:rPr>
            </w:pPr>
            <w:r w:rsidRPr="00A23FB4">
              <w:rPr>
                <w:rFonts w:ascii="Calibri" w:hAnsi="Calibri" w:cs="Calibri"/>
              </w:rPr>
              <w:t xml:space="preserve">Minimalna grubość powłoki,  </w:t>
            </w:r>
            <w:r w:rsidRPr="00A23FB4">
              <w:rPr>
                <w:rFonts w:ascii="Calibri" w:hAnsi="Calibri" w:cs="Calibri"/>
              </w:rPr>
              <w:sym w:font="Courier New" w:char="00B5"/>
            </w:r>
            <w:r w:rsidRPr="00A23FB4">
              <w:rPr>
                <w:rFonts w:ascii="Calibri" w:hAnsi="Calibri" w:cs="Calibri"/>
              </w:rPr>
              <w:t>m,</w:t>
            </w:r>
          </w:p>
          <w:p w14:paraId="6642D023" w14:textId="77777777" w:rsidR="00184474" w:rsidRPr="00A23FB4" w:rsidRDefault="00184474" w:rsidP="006237D9">
            <w:pPr>
              <w:rPr>
                <w:rFonts w:ascii="Calibri" w:hAnsi="Calibri" w:cs="Calibri"/>
              </w:rPr>
            </w:pPr>
            <w:r w:rsidRPr="00A23FB4">
              <w:rPr>
                <w:rFonts w:ascii="Calibri" w:hAnsi="Calibri" w:cs="Calibri"/>
              </w:rPr>
              <w:t>przy wymaganej trwałości w latach</w:t>
            </w:r>
          </w:p>
        </w:tc>
      </w:tr>
      <w:tr w:rsidR="00184474" w:rsidRPr="00A23FB4" w14:paraId="18A63289" w14:textId="77777777" w:rsidTr="006237D9">
        <w:tc>
          <w:tcPr>
            <w:tcW w:w="2905" w:type="dxa"/>
            <w:tcBorders>
              <w:left w:val="single" w:sz="6" w:space="0" w:color="auto"/>
              <w:bottom w:val="double" w:sz="6" w:space="0" w:color="auto"/>
            </w:tcBorders>
          </w:tcPr>
          <w:p w14:paraId="710781B3" w14:textId="77777777" w:rsidR="00184474" w:rsidRPr="00A23FB4" w:rsidRDefault="00184474" w:rsidP="006237D9">
            <w:pPr>
              <w:rPr>
                <w:rFonts w:ascii="Calibri" w:hAnsi="Calibri" w:cs="Calibri"/>
              </w:rPr>
            </w:pPr>
            <w:r w:rsidRPr="00A23FB4">
              <w:rPr>
                <w:rFonts w:ascii="Calibri" w:hAnsi="Calibri" w:cs="Calibri"/>
              </w:rPr>
              <w:t>wg PN-H-04651</w:t>
            </w:r>
          </w:p>
        </w:tc>
        <w:tc>
          <w:tcPr>
            <w:tcW w:w="2268" w:type="dxa"/>
            <w:tcBorders>
              <w:top w:val="single" w:sz="6" w:space="0" w:color="auto"/>
              <w:left w:val="single" w:sz="6" w:space="0" w:color="auto"/>
              <w:bottom w:val="double" w:sz="6" w:space="0" w:color="auto"/>
              <w:right w:val="single" w:sz="6" w:space="0" w:color="auto"/>
            </w:tcBorders>
          </w:tcPr>
          <w:p w14:paraId="4807A7B0" w14:textId="77777777" w:rsidR="00184474" w:rsidRPr="00A23FB4" w:rsidRDefault="00184474" w:rsidP="006237D9">
            <w:pPr>
              <w:rPr>
                <w:rFonts w:ascii="Calibri" w:hAnsi="Calibri" w:cs="Calibri"/>
              </w:rPr>
            </w:pPr>
            <w:r w:rsidRPr="00A23FB4">
              <w:rPr>
                <w:rFonts w:ascii="Calibri" w:hAnsi="Calibri" w:cs="Calibri"/>
              </w:rPr>
              <w:t>10</w:t>
            </w:r>
          </w:p>
        </w:tc>
        <w:tc>
          <w:tcPr>
            <w:tcW w:w="2268" w:type="dxa"/>
            <w:tcBorders>
              <w:top w:val="single" w:sz="6" w:space="0" w:color="auto"/>
              <w:left w:val="single" w:sz="6" w:space="0" w:color="auto"/>
              <w:bottom w:val="double" w:sz="6" w:space="0" w:color="auto"/>
              <w:right w:val="single" w:sz="6" w:space="0" w:color="auto"/>
            </w:tcBorders>
          </w:tcPr>
          <w:p w14:paraId="68B8E7EC" w14:textId="77777777" w:rsidR="00184474" w:rsidRPr="00A23FB4" w:rsidRDefault="00184474" w:rsidP="006237D9">
            <w:pPr>
              <w:rPr>
                <w:rFonts w:ascii="Calibri" w:hAnsi="Calibri" w:cs="Calibri"/>
              </w:rPr>
            </w:pPr>
            <w:r w:rsidRPr="00A23FB4">
              <w:rPr>
                <w:rFonts w:ascii="Calibri" w:hAnsi="Calibri" w:cs="Calibri"/>
              </w:rPr>
              <w:t>20</w:t>
            </w:r>
          </w:p>
        </w:tc>
      </w:tr>
      <w:tr w:rsidR="00184474" w:rsidRPr="00A23FB4" w14:paraId="6CCA20F4" w14:textId="77777777" w:rsidTr="006237D9">
        <w:tc>
          <w:tcPr>
            <w:tcW w:w="2905" w:type="dxa"/>
            <w:tcBorders>
              <w:left w:val="single" w:sz="6" w:space="0" w:color="auto"/>
              <w:bottom w:val="single" w:sz="6" w:space="0" w:color="auto"/>
              <w:right w:val="single" w:sz="6" w:space="0" w:color="auto"/>
            </w:tcBorders>
          </w:tcPr>
          <w:p w14:paraId="3AED7787" w14:textId="77777777" w:rsidR="00184474" w:rsidRPr="00A23FB4" w:rsidRDefault="00184474" w:rsidP="006237D9">
            <w:pPr>
              <w:rPr>
                <w:rFonts w:ascii="Calibri" w:hAnsi="Calibri" w:cs="Calibri"/>
              </w:rPr>
            </w:pPr>
            <w:r w:rsidRPr="00A23FB4">
              <w:rPr>
                <w:rFonts w:ascii="Calibri" w:hAnsi="Calibri" w:cs="Calibri"/>
              </w:rPr>
              <w:t xml:space="preserve">     Umiarkowana</w:t>
            </w:r>
          </w:p>
          <w:p w14:paraId="430F5401" w14:textId="77777777" w:rsidR="00184474" w:rsidRPr="00A23FB4" w:rsidRDefault="00184474" w:rsidP="006237D9">
            <w:pPr>
              <w:rPr>
                <w:rFonts w:ascii="Calibri" w:hAnsi="Calibri" w:cs="Calibri"/>
              </w:rPr>
            </w:pPr>
            <w:r w:rsidRPr="00A23FB4">
              <w:rPr>
                <w:rFonts w:ascii="Calibri" w:hAnsi="Calibri" w:cs="Calibri"/>
              </w:rPr>
              <w:t xml:space="preserve">     Ciężka</w:t>
            </w:r>
          </w:p>
        </w:tc>
        <w:tc>
          <w:tcPr>
            <w:tcW w:w="2268" w:type="dxa"/>
            <w:tcBorders>
              <w:left w:val="single" w:sz="6" w:space="0" w:color="auto"/>
              <w:bottom w:val="single" w:sz="6" w:space="0" w:color="auto"/>
              <w:right w:val="single" w:sz="6" w:space="0" w:color="auto"/>
            </w:tcBorders>
          </w:tcPr>
          <w:p w14:paraId="3E167BA9" w14:textId="77777777" w:rsidR="00184474" w:rsidRPr="00A23FB4" w:rsidRDefault="00184474" w:rsidP="006237D9">
            <w:pPr>
              <w:rPr>
                <w:rFonts w:ascii="Calibri" w:hAnsi="Calibri" w:cs="Calibri"/>
              </w:rPr>
            </w:pPr>
            <w:r w:rsidRPr="00A23FB4">
              <w:rPr>
                <w:rFonts w:ascii="Calibri" w:hAnsi="Calibri" w:cs="Calibri"/>
              </w:rPr>
              <w:t>120</w:t>
            </w:r>
          </w:p>
          <w:p w14:paraId="7F92DF4D" w14:textId="77777777" w:rsidR="00184474" w:rsidRPr="00A23FB4" w:rsidRDefault="00184474" w:rsidP="006237D9">
            <w:pPr>
              <w:rPr>
                <w:rFonts w:ascii="Calibri" w:hAnsi="Calibri" w:cs="Calibri"/>
              </w:rPr>
            </w:pPr>
            <w:r w:rsidRPr="00A23FB4">
              <w:rPr>
                <w:rFonts w:ascii="Calibri" w:hAnsi="Calibri" w:cs="Calibri"/>
              </w:rPr>
              <w:t>160 M</w:t>
            </w:r>
          </w:p>
        </w:tc>
        <w:tc>
          <w:tcPr>
            <w:tcW w:w="2268" w:type="dxa"/>
            <w:tcBorders>
              <w:left w:val="single" w:sz="6" w:space="0" w:color="auto"/>
              <w:bottom w:val="single" w:sz="6" w:space="0" w:color="auto"/>
              <w:right w:val="single" w:sz="6" w:space="0" w:color="auto"/>
            </w:tcBorders>
          </w:tcPr>
          <w:p w14:paraId="408D962B" w14:textId="77777777" w:rsidR="00184474" w:rsidRPr="00A23FB4" w:rsidRDefault="00184474" w:rsidP="006237D9">
            <w:pPr>
              <w:rPr>
                <w:rFonts w:ascii="Calibri" w:hAnsi="Calibri" w:cs="Calibri"/>
              </w:rPr>
            </w:pPr>
            <w:r w:rsidRPr="00A23FB4">
              <w:rPr>
                <w:rFonts w:ascii="Calibri" w:hAnsi="Calibri" w:cs="Calibri"/>
              </w:rPr>
              <w:t>160</w:t>
            </w:r>
          </w:p>
          <w:p w14:paraId="12C6B994" w14:textId="77777777" w:rsidR="00184474" w:rsidRPr="00A23FB4" w:rsidRDefault="00184474" w:rsidP="006237D9">
            <w:pPr>
              <w:rPr>
                <w:rFonts w:ascii="Calibri" w:hAnsi="Calibri" w:cs="Calibri"/>
              </w:rPr>
            </w:pPr>
            <w:r w:rsidRPr="00A23FB4">
              <w:rPr>
                <w:rFonts w:ascii="Calibri" w:hAnsi="Calibri" w:cs="Calibri"/>
              </w:rPr>
              <w:t>200 M</w:t>
            </w:r>
          </w:p>
        </w:tc>
      </w:tr>
      <w:tr w:rsidR="00184474" w:rsidRPr="00A23FB4" w14:paraId="5A82EFFE" w14:textId="77777777" w:rsidTr="006237D9">
        <w:tc>
          <w:tcPr>
            <w:tcW w:w="7441" w:type="dxa"/>
            <w:gridSpan w:val="3"/>
            <w:tcBorders>
              <w:top w:val="single" w:sz="6" w:space="0" w:color="auto"/>
              <w:left w:val="single" w:sz="6" w:space="0" w:color="auto"/>
              <w:bottom w:val="single" w:sz="6" w:space="0" w:color="auto"/>
              <w:right w:val="single" w:sz="6" w:space="0" w:color="auto"/>
            </w:tcBorders>
          </w:tcPr>
          <w:p w14:paraId="215F27B4" w14:textId="77777777" w:rsidR="00184474" w:rsidRPr="00A23FB4" w:rsidRDefault="00184474" w:rsidP="006237D9">
            <w:pPr>
              <w:rPr>
                <w:rFonts w:ascii="Calibri" w:hAnsi="Calibri" w:cs="Calibri"/>
              </w:rPr>
            </w:pPr>
            <w:r w:rsidRPr="00A23FB4">
              <w:rPr>
                <w:rFonts w:ascii="Calibri" w:hAnsi="Calibri" w:cs="Calibri"/>
              </w:rPr>
              <w:t xml:space="preserve">     M - powłoka pokryta dwoma lub większą liczbą warstw powłoki malarskiej       </w:t>
            </w:r>
          </w:p>
        </w:tc>
      </w:tr>
    </w:tbl>
    <w:p w14:paraId="6C3DC7AD" w14:textId="77777777" w:rsidR="00184474" w:rsidRPr="00A23FB4" w:rsidRDefault="00184474" w:rsidP="00184474">
      <w:pPr>
        <w:rPr>
          <w:rFonts w:ascii="Calibri" w:hAnsi="Calibri" w:cs="Calibri"/>
        </w:rPr>
      </w:pPr>
      <w:r w:rsidRPr="00A23FB4">
        <w:rPr>
          <w:rFonts w:ascii="Calibri" w:hAnsi="Calibri" w:cs="Calibri"/>
        </w:rPr>
        <w:t>Powierzchnia powłoki powinna być jednorodna pod względem ziarnistości. Nie może ona wykazywać widocznych wad jak rysy, pęknięcia, pęcherze lub odstawanie powłoki od podłoża.</w:t>
      </w:r>
    </w:p>
    <w:p w14:paraId="192220FA" w14:textId="77777777" w:rsidR="00184474" w:rsidRPr="00A23FB4" w:rsidRDefault="00184474" w:rsidP="00184474">
      <w:pPr>
        <w:pStyle w:val="Nagwek4"/>
        <w:tabs>
          <w:tab w:val="left" w:pos="9914"/>
        </w:tabs>
        <w:rPr>
          <w:rFonts w:ascii="Calibri" w:hAnsi="Calibri" w:cs="Calibri"/>
        </w:rPr>
      </w:pPr>
      <w:bookmarkStart w:id="816" w:name="_Toc235080142"/>
      <w:r w:rsidRPr="00A23FB4">
        <w:rPr>
          <w:rFonts w:ascii="Calibri" w:hAnsi="Calibri" w:cs="Calibri"/>
        </w:rPr>
        <w:t>2.4. Beton i jego składniki</w:t>
      </w:r>
      <w:bookmarkEnd w:id="816"/>
    </w:p>
    <w:p w14:paraId="4D57C44D" w14:textId="77777777" w:rsidR="00184474" w:rsidRPr="00A23FB4" w:rsidRDefault="00184474" w:rsidP="00184474">
      <w:pPr>
        <w:rPr>
          <w:rFonts w:ascii="Calibri" w:hAnsi="Calibri" w:cs="Calibri"/>
        </w:rPr>
      </w:pPr>
      <w:r w:rsidRPr="00A23FB4">
        <w:rPr>
          <w:rFonts w:ascii="Calibri" w:hAnsi="Calibri" w:cs="Calibri"/>
        </w:rPr>
        <w:t>Deskowanie powinno zapewnić sztywność i niezmienność układu oraz bezpieczeństwo konstrukcji. Deskowanie powinno być skonstruowane w sposób umożliwiający łatwy jego montaż i demontaż. Przed wypełnieniem masą betonową, deskowanie powinno być sprawdzone, aby wykluczało wyciek zaprawy z masy betonowej, możliwość zniekształceń lub odchyleń w betonowanej konstrukcji.</w:t>
      </w:r>
    </w:p>
    <w:p w14:paraId="3B12A1A1" w14:textId="77777777" w:rsidR="00184474" w:rsidRPr="00A23FB4" w:rsidRDefault="00184474" w:rsidP="00184474">
      <w:pPr>
        <w:rPr>
          <w:rFonts w:ascii="Calibri" w:hAnsi="Calibri" w:cs="Calibri"/>
        </w:rPr>
      </w:pPr>
      <w:r w:rsidRPr="00A23FB4">
        <w:rPr>
          <w:rFonts w:ascii="Calibri" w:hAnsi="Calibri" w:cs="Calibri"/>
        </w:rPr>
        <w:t>Klasa betonu - powinna być B 15 lub B 20. Beton powinien odpowiadać wymaganiom PN-B-06250. Składnikami betonu są: cement, kruszywo, woda i domieszki.</w:t>
      </w:r>
    </w:p>
    <w:p w14:paraId="54CF674B" w14:textId="77777777" w:rsidR="00184474" w:rsidRPr="00A23FB4" w:rsidRDefault="00184474" w:rsidP="00184474">
      <w:pPr>
        <w:rPr>
          <w:rFonts w:ascii="Calibri" w:hAnsi="Calibri" w:cs="Calibri"/>
        </w:rPr>
      </w:pPr>
      <w:r w:rsidRPr="00A23FB4">
        <w:rPr>
          <w:rFonts w:ascii="Calibri" w:hAnsi="Calibri" w:cs="Calibri"/>
        </w:rPr>
        <w:t>Cement stosowany do betonu powinien być cementem portlandzkim klasy co najmniej „32,5”, odpowiadającym wymaganiom PN-B-19701. Transport i przechowywanie cementu powinny być zgodne z postanowieniami BN-88/B-6731-08.</w:t>
      </w:r>
    </w:p>
    <w:p w14:paraId="33BA7EDD" w14:textId="77777777" w:rsidR="00184474" w:rsidRPr="00A23FB4" w:rsidRDefault="00184474" w:rsidP="00184474">
      <w:pPr>
        <w:rPr>
          <w:rFonts w:ascii="Calibri" w:hAnsi="Calibri" w:cs="Calibri"/>
        </w:rPr>
      </w:pPr>
      <w:r w:rsidRPr="00A23FB4">
        <w:rPr>
          <w:rFonts w:ascii="Calibri" w:hAnsi="Calibri" w:cs="Calibri"/>
        </w:rPr>
        <w:t>Kruszywo do betonu (piasek, żwir, grys, mieszanka z kruszywa naturalnego sortowanego, kruszywa łamanego i otoczaków) powinno odpowiadać wymaganiom PN-B-06712.</w:t>
      </w:r>
    </w:p>
    <w:p w14:paraId="14A1BD3A" w14:textId="77777777" w:rsidR="00184474" w:rsidRPr="00A23FB4" w:rsidRDefault="00184474" w:rsidP="00184474">
      <w:pPr>
        <w:rPr>
          <w:rFonts w:ascii="Calibri" w:hAnsi="Calibri" w:cs="Calibri"/>
        </w:rPr>
      </w:pPr>
      <w:r w:rsidRPr="00A23FB4">
        <w:rPr>
          <w:rFonts w:ascii="Calibri" w:hAnsi="Calibri" w:cs="Calibri"/>
        </w:rPr>
        <w:t>Woda powinna być „odmiany 1”, zgodnie z wymaganiami PN-B-32250. Bez badań laboratoryjnych można stosować wodę pitną.</w:t>
      </w:r>
    </w:p>
    <w:p w14:paraId="1BE524DA" w14:textId="77777777" w:rsidR="00184474" w:rsidRPr="00A23FB4" w:rsidRDefault="00184474" w:rsidP="00184474">
      <w:pPr>
        <w:pStyle w:val="Nagwek4"/>
        <w:tabs>
          <w:tab w:val="left" w:pos="9914"/>
        </w:tabs>
        <w:rPr>
          <w:rFonts w:ascii="Calibri" w:hAnsi="Calibri" w:cs="Calibri"/>
        </w:rPr>
      </w:pPr>
      <w:bookmarkStart w:id="817" w:name="_Toc235080144"/>
      <w:r w:rsidRPr="00A23FB4">
        <w:rPr>
          <w:rFonts w:ascii="Calibri" w:hAnsi="Calibri" w:cs="Calibri"/>
        </w:rPr>
        <w:t>2.5. Materiały do malowania powłok malarskich</w:t>
      </w:r>
      <w:bookmarkEnd w:id="817"/>
    </w:p>
    <w:p w14:paraId="40C37D50" w14:textId="77777777" w:rsidR="00184474" w:rsidRPr="00A23FB4" w:rsidRDefault="00184474" w:rsidP="00184474">
      <w:pPr>
        <w:rPr>
          <w:rFonts w:ascii="Calibri" w:hAnsi="Calibri" w:cs="Calibri"/>
        </w:rPr>
      </w:pPr>
      <w:r w:rsidRPr="00A23FB4">
        <w:rPr>
          <w:rFonts w:ascii="Calibri" w:hAnsi="Calibri" w:cs="Calibri"/>
        </w:rPr>
        <w:t>Do malowania urządzeń ze stali, żeliwa lub metali nieżelaznych należy używać materiały zgodne z PN-B-10285 (tab. 10).</w:t>
      </w:r>
    </w:p>
    <w:p w14:paraId="26AB2FCB" w14:textId="77777777" w:rsidR="00184474" w:rsidRPr="00A23FB4" w:rsidRDefault="00184474" w:rsidP="00184474">
      <w:pPr>
        <w:rPr>
          <w:rFonts w:ascii="Calibri" w:hAnsi="Calibri" w:cs="Calibri"/>
        </w:rPr>
      </w:pPr>
      <w:r w:rsidRPr="00A23FB4">
        <w:rPr>
          <w:rFonts w:ascii="Calibri" w:hAnsi="Calibri" w:cs="Calibri"/>
        </w:rPr>
        <w:t>Tablica 10. Sposoby malowania zewnątrz budynków (wyciąg z tab. 2 PN-B-10285)</w:t>
      </w:r>
    </w:p>
    <w:tbl>
      <w:tblPr>
        <w:tblW w:w="9790" w:type="dxa"/>
        <w:tblInd w:w="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96"/>
        <w:gridCol w:w="1275"/>
        <w:gridCol w:w="2259"/>
        <w:gridCol w:w="2700"/>
        <w:gridCol w:w="3060"/>
      </w:tblGrid>
      <w:tr w:rsidR="00184474" w:rsidRPr="00A23FB4" w14:paraId="7F0D9498" w14:textId="77777777" w:rsidTr="006237D9">
        <w:tc>
          <w:tcPr>
            <w:tcW w:w="496" w:type="dxa"/>
            <w:tcBorders>
              <w:bottom w:val="double" w:sz="6" w:space="0" w:color="auto"/>
            </w:tcBorders>
          </w:tcPr>
          <w:p w14:paraId="10554E66" w14:textId="77777777" w:rsidR="00184474" w:rsidRPr="00A23FB4" w:rsidRDefault="00184474" w:rsidP="006237D9">
            <w:pPr>
              <w:rPr>
                <w:rFonts w:ascii="Calibri" w:hAnsi="Calibri" w:cs="Calibri"/>
              </w:rPr>
            </w:pPr>
            <w:r w:rsidRPr="00A23FB4">
              <w:rPr>
                <w:rFonts w:ascii="Calibri" w:hAnsi="Calibri" w:cs="Calibri"/>
              </w:rPr>
              <w:t>Lp.</w:t>
            </w:r>
          </w:p>
        </w:tc>
        <w:tc>
          <w:tcPr>
            <w:tcW w:w="1275" w:type="dxa"/>
            <w:tcBorders>
              <w:bottom w:val="double" w:sz="6" w:space="0" w:color="auto"/>
            </w:tcBorders>
          </w:tcPr>
          <w:p w14:paraId="33AD55C1" w14:textId="77777777" w:rsidR="00184474" w:rsidRPr="00A23FB4" w:rsidRDefault="00184474" w:rsidP="006237D9">
            <w:pPr>
              <w:rPr>
                <w:rFonts w:ascii="Calibri" w:hAnsi="Calibri" w:cs="Calibri"/>
              </w:rPr>
            </w:pPr>
            <w:r w:rsidRPr="00A23FB4">
              <w:rPr>
                <w:rFonts w:ascii="Calibri" w:hAnsi="Calibri" w:cs="Calibri"/>
              </w:rPr>
              <w:t>Rodzaj podłoża</w:t>
            </w:r>
          </w:p>
        </w:tc>
        <w:tc>
          <w:tcPr>
            <w:tcW w:w="2259" w:type="dxa"/>
            <w:tcBorders>
              <w:bottom w:val="double" w:sz="6" w:space="0" w:color="auto"/>
            </w:tcBorders>
          </w:tcPr>
          <w:p w14:paraId="1BBF9785" w14:textId="77777777" w:rsidR="00184474" w:rsidRPr="00A23FB4" w:rsidRDefault="00184474" w:rsidP="006237D9">
            <w:pPr>
              <w:rPr>
                <w:rFonts w:ascii="Calibri" w:hAnsi="Calibri" w:cs="Calibri"/>
              </w:rPr>
            </w:pPr>
            <w:r w:rsidRPr="00A23FB4">
              <w:rPr>
                <w:rFonts w:ascii="Calibri" w:hAnsi="Calibri" w:cs="Calibri"/>
              </w:rPr>
              <w:t>Rodzaj        podkładu</w:t>
            </w:r>
          </w:p>
        </w:tc>
        <w:tc>
          <w:tcPr>
            <w:tcW w:w="2700" w:type="dxa"/>
            <w:tcBorders>
              <w:bottom w:val="double" w:sz="6" w:space="0" w:color="auto"/>
            </w:tcBorders>
          </w:tcPr>
          <w:p w14:paraId="20248AF5" w14:textId="77777777" w:rsidR="00184474" w:rsidRPr="00A23FB4" w:rsidRDefault="00184474" w:rsidP="006237D9">
            <w:pPr>
              <w:rPr>
                <w:rFonts w:ascii="Calibri" w:hAnsi="Calibri" w:cs="Calibri"/>
              </w:rPr>
            </w:pPr>
            <w:r w:rsidRPr="00A23FB4">
              <w:rPr>
                <w:rFonts w:ascii="Calibri" w:hAnsi="Calibri" w:cs="Calibri"/>
              </w:rPr>
              <w:t>Rodzaj powłoki      malarskiej</w:t>
            </w:r>
          </w:p>
        </w:tc>
        <w:tc>
          <w:tcPr>
            <w:tcW w:w="3060" w:type="dxa"/>
            <w:tcBorders>
              <w:bottom w:val="double" w:sz="6" w:space="0" w:color="auto"/>
            </w:tcBorders>
          </w:tcPr>
          <w:p w14:paraId="34F390FA" w14:textId="77777777" w:rsidR="00184474" w:rsidRPr="00A23FB4" w:rsidRDefault="00184474" w:rsidP="006237D9">
            <w:pPr>
              <w:rPr>
                <w:rFonts w:ascii="Calibri" w:hAnsi="Calibri" w:cs="Calibri"/>
              </w:rPr>
            </w:pPr>
            <w:r w:rsidRPr="00A23FB4">
              <w:rPr>
                <w:rFonts w:ascii="Calibri" w:hAnsi="Calibri" w:cs="Calibri"/>
              </w:rPr>
              <w:t>Zastosowanie</w:t>
            </w:r>
          </w:p>
        </w:tc>
      </w:tr>
      <w:tr w:rsidR="00184474" w:rsidRPr="00A23FB4" w14:paraId="73AD048E" w14:textId="77777777" w:rsidTr="006237D9">
        <w:tc>
          <w:tcPr>
            <w:tcW w:w="496" w:type="dxa"/>
            <w:tcBorders>
              <w:top w:val="nil"/>
            </w:tcBorders>
          </w:tcPr>
          <w:p w14:paraId="470A79E3" w14:textId="77777777" w:rsidR="00184474" w:rsidRPr="00A23FB4" w:rsidRDefault="00184474" w:rsidP="006237D9">
            <w:pPr>
              <w:rPr>
                <w:rFonts w:ascii="Calibri" w:hAnsi="Calibri" w:cs="Calibri"/>
              </w:rPr>
            </w:pPr>
            <w:r w:rsidRPr="00A23FB4">
              <w:rPr>
                <w:rFonts w:ascii="Calibri" w:hAnsi="Calibri" w:cs="Calibri"/>
              </w:rPr>
              <w:t>1</w:t>
            </w:r>
          </w:p>
        </w:tc>
        <w:tc>
          <w:tcPr>
            <w:tcW w:w="1275" w:type="dxa"/>
            <w:tcBorders>
              <w:top w:val="nil"/>
            </w:tcBorders>
          </w:tcPr>
          <w:p w14:paraId="77F2DE3E" w14:textId="77777777" w:rsidR="00184474" w:rsidRPr="00A23FB4" w:rsidRDefault="00184474" w:rsidP="006237D9">
            <w:pPr>
              <w:rPr>
                <w:rFonts w:ascii="Calibri" w:hAnsi="Calibri" w:cs="Calibri"/>
              </w:rPr>
            </w:pPr>
            <w:r w:rsidRPr="00A23FB4">
              <w:rPr>
                <w:rFonts w:ascii="Calibri" w:hAnsi="Calibri" w:cs="Calibri"/>
              </w:rPr>
              <w:t>Stal</w:t>
            </w:r>
          </w:p>
        </w:tc>
        <w:tc>
          <w:tcPr>
            <w:tcW w:w="2259" w:type="dxa"/>
            <w:tcBorders>
              <w:top w:val="nil"/>
            </w:tcBorders>
          </w:tcPr>
          <w:p w14:paraId="3B44D620" w14:textId="77777777" w:rsidR="00184474" w:rsidRPr="00A23FB4" w:rsidRDefault="00184474" w:rsidP="006237D9">
            <w:pPr>
              <w:rPr>
                <w:rFonts w:ascii="Calibri" w:hAnsi="Calibri" w:cs="Calibri"/>
              </w:rPr>
            </w:pPr>
            <w:r w:rsidRPr="00A23FB4">
              <w:rPr>
                <w:rFonts w:ascii="Calibri" w:hAnsi="Calibri" w:cs="Calibri"/>
              </w:rPr>
              <w:t>farba olejna miniowa 60% lub ftalowa miniowa 60%</w:t>
            </w:r>
          </w:p>
        </w:tc>
        <w:tc>
          <w:tcPr>
            <w:tcW w:w="2700" w:type="dxa"/>
            <w:tcBorders>
              <w:top w:val="nil"/>
            </w:tcBorders>
          </w:tcPr>
          <w:p w14:paraId="5AD76F27" w14:textId="77777777" w:rsidR="00184474" w:rsidRPr="00A23FB4" w:rsidRDefault="00184474" w:rsidP="006237D9">
            <w:pPr>
              <w:rPr>
                <w:rFonts w:ascii="Calibri" w:hAnsi="Calibri" w:cs="Calibri"/>
              </w:rPr>
            </w:pPr>
            <w:r w:rsidRPr="00A23FB4">
              <w:rPr>
                <w:rFonts w:ascii="Calibri" w:hAnsi="Calibri" w:cs="Calibri"/>
              </w:rPr>
              <w:t>dwuwarstwowa z farby albo</w:t>
            </w:r>
          </w:p>
          <w:p w14:paraId="15D009BB" w14:textId="77777777" w:rsidR="00184474" w:rsidRPr="00A23FB4" w:rsidRDefault="00184474" w:rsidP="006237D9">
            <w:pPr>
              <w:rPr>
                <w:rFonts w:ascii="Calibri" w:hAnsi="Calibri" w:cs="Calibri"/>
              </w:rPr>
            </w:pPr>
            <w:r w:rsidRPr="00A23FB4">
              <w:rPr>
                <w:rFonts w:ascii="Calibri" w:hAnsi="Calibri" w:cs="Calibri"/>
              </w:rPr>
              <w:t>jak w a) i jednowarstwowa z lakieru olejnego schnącego na powietrzu, rodzaju III</w:t>
            </w:r>
          </w:p>
        </w:tc>
        <w:tc>
          <w:tcPr>
            <w:tcW w:w="3060" w:type="dxa"/>
            <w:tcBorders>
              <w:top w:val="nil"/>
            </w:tcBorders>
          </w:tcPr>
          <w:p w14:paraId="69120740" w14:textId="77777777" w:rsidR="00184474" w:rsidRPr="00A23FB4" w:rsidRDefault="00184474" w:rsidP="006237D9">
            <w:pPr>
              <w:rPr>
                <w:rFonts w:ascii="Calibri" w:hAnsi="Calibri" w:cs="Calibri"/>
              </w:rPr>
            </w:pPr>
            <w:r w:rsidRPr="00A23FB4">
              <w:rPr>
                <w:rFonts w:ascii="Calibri" w:hAnsi="Calibri" w:cs="Calibri"/>
              </w:rPr>
              <w:t>elementy ślusarsko-kowalskie pełne i ażurowe (poręcze, kraty, ogrodzenie, bramy itp.)</w:t>
            </w:r>
          </w:p>
        </w:tc>
      </w:tr>
    </w:tbl>
    <w:p w14:paraId="4F94A16A" w14:textId="77777777" w:rsidR="00184474" w:rsidRPr="00A23FB4" w:rsidRDefault="00184474" w:rsidP="00184474">
      <w:pPr>
        <w:rPr>
          <w:rFonts w:ascii="Calibri" w:hAnsi="Calibri" w:cs="Calibri"/>
        </w:rPr>
      </w:pPr>
    </w:p>
    <w:p w14:paraId="140133A8" w14:textId="77777777" w:rsidR="00184474" w:rsidRPr="00A23FB4" w:rsidRDefault="00184474" w:rsidP="00184474">
      <w:pPr>
        <w:rPr>
          <w:rFonts w:ascii="Calibri" w:hAnsi="Calibri" w:cs="Calibri"/>
        </w:rPr>
      </w:pPr>
      <w:r w:rsidRPr="00A23FB4">
        <w:rPr>
          <w:rFonts w:ascii="Calibri" w:hAnsi="Calibri" w:cs="Calibri"/>
        </w:rPr>
        <w:t xml:space="preserve">Nie dopuszcza się stosowania wyrobów lakierowanych o nieznanym pochodzeniu, nie mających uzgodnionych wymagań oraz nie sprawdzonych zgodnie  z  postanowieniami  norm.  W  przypadku,   gdy    barwa   i    połysk odgrywają istotną rolę, a nie są ujęte w normach, powinny być ustalone odpowiednie wzorce w porozumieniu z dostawcą. </w:t>
      </w:r>
      <w:r w:rsidRPr="00A23FB4">
        <w:rPr>
          <w:rFonts w:ascii="Calibri" w:hAnsi="Calibri" w:cs="Calibri"/>
        </w:rPr>
        <w:br/>
      </w:r>
    </w:p>
    <w:p w14:paraId="0D2766D6" w14:textId="77777777" w:rsidR="00184474" w:rsidRPr="00A23FB4" w:rsidRDefault="00184474" w:rsidP="00184474">
      <w:pPr>
        <w:rPr>
          <w:rFonts w:ascii="Calibri" w:hAnsi="Calibri" w:cs="Calibri"/>
          <w:b/>
        </w:rPr>
      </w:pPr>
      <w:bookmarkStart w:id="818" w:name="_Toc425562415"/>
      <w:bookmarkStart w:id="819" w:name="_Toc235080145"/>
      <w:r w:rsidRPr="00A23FB4">
        <w:rPr>
          <w:rFonts w:ascii="Calibri" w:hAnsi="Calibri" w:cs="Calibri"/>
          <w:b/>
        </w:rPr>
        <w:t>3. SPRZĘT</w:t>
      </w:r>
      <w:bookmarkEnd w:id="818"/>
      <w:bookmarkEnd w:id="819"/>
    </w:p>
    <w:p w14:paraId="3BA0D910" w14:textId="77777777" w:rsidR="00184474" w:rsidRPr="00A23FB4" w:rsidRDefault="00184474" w:rsidP="00184474">
      <w:pPr>
        <w:pStyle w:val="Nagwek4"/>
        <w:tabs>
          <w:tab w:val="left" w:pos="9914"/>
        </w:tabs>
        <w:rPr>
          <w:rFonts w:ascii="Calibri" w:hAnsi="Calibri" w:cs="Calibri"/>
        </w:rPr>
      </w:pPr>
      <w:bookmarkStart w:id="820" w:name="_Toc235080146"/>
      <w:r w:rsidRPr="00A23FB4">
        <w:rPr>
          <w:rFonts w:ascii="Calibri" w:hAnsi="Calibri" w:cs="Calibri"/>
        </w:rPr>
        <w:t>3.1. Ogólne wymagania dotyczące sprzętu</w:t>
      </w:r>
      <w:bookmarkEnd w:id="820"/>
    </w:p>
    <w:p w14:paraId="24B412EE" w14:textId="39E62216" w:rsidR="00184474" w:rsidRPr="00A23FB4" w:rsidRDefault="00184474" w:rsidP="00184474">
      <w:pPr>
        <w:rPr>
          <w:rFonts w:ascii="Calibri" w:hAnsi="Calibri" w:cs="Calibri"/>
        </w:rPr>
      </w:pPr>
      <w:r w:rsidRPr="00A23FB4">
        <w:rPr>
          <w:rFonts w:ascii="Calibri" w:hAnsi="Calibri" w:cs="Calibri"/>
        </w:rPr>
        <w:t xml:space="preserve">Ogólne wymagania dotyczące sprzętu podano w </w:t>
      </w:r>
      <w:r w:rsidR="00C62A07">
        <w:rPr>
          <w:rFonts w:ascii="Calibri" w:hAnsi="Calibri" w:cs="Calibri"/>
        </w:rPr>
        <w:t>ST</w:t>
      </w:r>
      <w:r w:rsidRPr="00A23FB4">
        <w:rPr>
          <w:rFonts w:ascii="Calibri" w:hAnsi="Calibri" w:cs="Calibri"/>
        </w:rPr>
        <w:t>WiORB D-M-00.00.00 „Wymagania ogólne” pkt 3.</w:t>
      </w:r>
    </w:p>
    <w:p w14:paraId="2B46FF51" w14:textId="77777777" w:rsidR="00184474" w:rsidRPr="00A23FB4" w:rsidRDefault="00184474" w:rsidP="00184474">
      <w:pPr>
        <w:pStyle w:val="Nagwek4"/>
        <w:tabs>
          <w:tab w:val="left" w:pos="9914"/>
        </w:tabs>
        <w:rPr>
          <w:rFonts w:ascii="Calibri" w:hAnsi="Calibri" w:cs="Calibri"/>
        </w:rPr>
      </w:pPr>
      <w:bookmarkStart w:id="821" w:name="_Toc235080147"/>
      <w:r w:rsidRPr="00A23FB4">
        <w:rPr>
          <w:rFonts w:ascii="Calibri" w:hAnsi="Calibri" w:cs="Calibri"/>
        </w:rPr>
        <w:t>3.2. Sprzęt do wykonania urządzeń zabezpieczających ruch pieszych</w:t>
      </w:r>
      <w:bookmarkEnd w:id="821"/>
    </w:p>
    <w:p w14:paraId="5DBD8B82" w14:textId="77777777" w:rsidR="00184474" w:rsidRPr="00A23FB4" w:rsidRDefault="00184474" w:rsidP="00184474">
      <w:pPr>
        <w:rPr>
          <w:rFonts w:ascii="Calibri" w:hAnsi="Calibri" w:cs="Calibri"/>
        </w:rPr>
      </w:pPr>
      <w:r w:rsidRPr="00A23FB4">
        <w:rPr>
          <w:rFonts w:ascii="Calibri" w:hAnsi="Calibri" w:cs="Calibri"/>
        </w:rPr>
        <w:t>Wykonawca przystępujący do wykonania urządzeń zabezpieczających ruch pieszych powinien wykazać się możliwością korzystania z następującego sprzętu:</w:t>
      </w:r>
    </w:p>
    <w:p w14:paraId="4B9DE633" w14:textId="77777777" w:rsidR="00184474" w:rsidRPr="00A23FB4" w:rsidRDefault="00184474" w:rsidP="00184474">
      <w:pPr>
        <w:rPr>
          <w:rFonts w:ascii="Calibri" w:hAnsi="Calibri" w:cs="Calibri"/>
        </w:rPr>
      </w:pPr>
      <w:r w:rsidRPr="00A23FB4">
        <w:rPr>
          <w:rFonts w:ascii="Calibri" w:hAnsi="Calibri" w:cs="Calibri"/>
        </w:rPr>
        <w:t>szpadli, drągów stalowych, wyciągarek do napinania linek i siatek, młotków, kluczy do montażu elementów panelowych itp.</w:t>
      </w:r>
    </w:p>
    <w:p w14:paraId="0395028E" w14:textId="77777777" w:rsidR="00184474" w:rsidRPr="00A23FB4" w:rsidRDefault="00184474" w:rsidP="00184474">
      <w:pPr>
        <w:rPr>
          <w:rFonts w:ascii="Calibri" w:hAnsi="Calibri" w:cs="Calibri"/>
        </w:rPr>
      </w:pPr>
      <w:r w:rsidRPr="00A23FB4">
        <w:rPr>
          <w:rFonts w:ascii="Calibri" w:hAnsi="Calibri" w:cs="Calibri"/>
        </w:rPr>
        <w:t>środków transportu materiałów,</w:t>
      </w:r>
    </w:p>
    <w:p w14:paraId="068FB4C4" w14:textId="77777777" w:rsidR="00184474" w:rsidRPr="00A23FB4" w:rsidRDefault="00184474" w:rsidP="00184474">
      <w:pPr>
        <w:rPr>
          <w:rFonts w:ascii="Calibri" w:hAnsi="Calibri" w:cs="Calibri"/>
        </w:rPr>
      </w:pPr>
      <w:r w:rsidRPr="00A23FB4">
        <w:rPr>
          <w:rFonts w:ascii="Calibri" w:hAnsi="Calibri" w:cs="Calibri"/>
        </w:rPr>
        <w:t>żurawi samochodowych o udźwigu do 4 t,</w:t>
      </w:r>
    </w:p>
    <w:p w14:paraId="52167900" w14:textId="77777777" w:rsidR="00184474" w:rsidRPr="00A23FB4" w:rsidRDefault="00184474" w:rsidP="00184474">
      <w:pPr>
        <w:rPr>
          <w:rFonts w:ascii="Calibri" w:hAnsi="Calibri" w:cs="Calibri"/>
        </w:rPr>
      </w:pPr>
      <w:r w:rsidRPr="00A23FB4">
        <w:rPr>
          <w:rFonts w:ascii="Calibri" w:hAnsi="Calibri" w:cs="Calibri"/>
        </w:rPr>
        <w:t>ewentualnych wiertnic do wykonania dołów pod słupki w gruncie zwięzłym (lecz nie w terenach uzbrojonych w centrach miast),</w:t>
      </w:r>
    </w:p>
    <w:p w14:paraId="432CDEE0" w14:textId="77777777" w:rsidR="00184474" w:rsidRPr="00A23FB4" w:rsidRDefault="00184474" w:rsidP="00184474">
      <w:pPr>
        <w:rPr>
          <w:rFonts w:ascii="Calibri" w:hAnsi="Calibri" w:cs="Calibri"/>
        </w:rPr>
      </w:pPr>
      <w:r w:rsidRPr="00A23FB4">
        <w:rPr>
          <w:rFonts w:ascii="Calibri" w:hAnsi="Calibri" w:cs="Calibri"/>
        </w:rPr>
        <w:t>ewentualnych młotów (bab), wibromłotów do wbijania lub wwibrowania słupków w grunt,</w:t>
      </w:r>
    </w:p>
    <w:p w14:paraId="2B6F041A" w14:textId="77777777" w:rsidR="00184474" w:rsidRPr="00A23FB4" w:rsidRDefault="00184474" w:rsidP="00184474">
      <w:pPr>
        <w:rPr>
          <w:rFonts w:ascii="Calibri" w:hAnsi="Calibri" w:cs="Calibri"/>
        </w:rPr>
      </w:pPr>
      <w:r w:rsidRPr="00A23FB4">
        <w:rPr>
          <w:rFonts w:ascii="Calibri" w:hAnsi="Calibri" w:cs="Calibri"/>
        </w:rPr>
        <w:t>przewoźnych zbiorników do wody,</w:t>
      </w:r>
    </w:p>
    <w:p w14:paraId="5CFD3348" w14:textId="77777777" w:rsidR="00184474" w:rsidRPr="00A23FB4" w:rsidRDefault="00184474" w:rsidP="00184474">
      <w:pPr>
        <w:rPr>
          <w:rFonts w:ascii="Calibri" w:hAnsi="Calibri" w:cs="Calibri"/>
        </w:rPr>
      </w:pPr>
      <w:r w:rsidRPr="00A23FB4">
        <w:rPr>
          <w:rFonts w:ascii="Calibri" w:hAnsi="Calibri" w:cs="Calibri"/>
        </w:rPr>
        <w:t>betoniarek  przewoźnych do wykonywania fundamentów betonowych „na mokro”,</w:t>
      </w:r>
    </w:p>
    <w:p w14:paraId="78A54930" w14:textId="77777777" w:rsidR="00184474" w:rsidRPr="00A23FB4" w:rsidRDefault="00184474" w:rsidP="00184474">
      <w:pPr>
        <w:rPr>
          <w:rFonts w:ascii="Calibri" w:hAnsi="Calibri" w:cs="Calibri"/>
        </w:rPr>
      </w:pPr>
      <w:r w:rsidRPr="00A23FB4">
        <w:rPr>
          <w:rFonts w:ascii="Calibri" w:hAnsi="Calibri" w:cs="Calibri"/>
        </w:rPr>
        <w:t>koparek kołowych (np. 0,15 m</w:t>
      </w:r>
      <w:r w:rsidRPr="00A23FB4">
        <w:rPr>
          <w:rFonts w:ascii="Calibri" w:hAnsi="Calibri" w:cs="Calibri"/>
          <w:vertAlign w:val="superscript"/>
        </w:rPr>
        <w:t>3</w:t>
      </w:r>
      <w:r w:rsidRPr="00A23FB4">
        <w:rPr>
          <w:rFonts w:ascii="Calibri" w:hAnsi="Calibri" w:cs="Calibri"/>
        </w:rPr>
        <w:t>) lub koparek gąsiennicowych (np. 0,25 m</w:t>
      </w:r>
      <w:r w:rsidRPr="00A23FB4">
        <w:rPr>
          <w:rFonts w:ascii="Calibri" w:hAnsi="Calibri" w:cs="Calibri"/>
          <w:vertAlign w:val="superscript"/>
        </w:rPr>
        <w:t>3</w:t>
      </w:r>
      <w:r w:rsidRPr="00A23FB4">
        <w:rPr>
          <w:rFonts w:ascii="Calibri" w:hAnsi="Calibri" w:cs="Calibri"/>
        </w:rPr>
        <w:t>),</w:t>
      </w:r>
    </w:p>
    <w:p w14:paraId="77F5B630" w14:textId="77777777" w:rsidR="00184474" w:rsidRPr="00A23FB4" w:rsidRDefault="00184474" w:rsidP="00184474">
      <w:pPr>
        <w:rPr>
          <w:rFonts w:ascii="Calibri" w:hAnsi="Calibri" w:cs="Calibri"/>
        </w:rPr>
      </w:pPr>
      <w:r w:rsidRPr="00A23FB4">
        <w:rPr>
          <w:rFonts w:ascii="Calibri" w:hAnsi="Calibri" w:cs="Calibri"/>
        </w:rPr>
        <w:t>sprzętu spawalniczego itp.</w:t>
      </w:r>
    </w:p>
    <w:p w14:paraId="285B441A" w14:textId="77777777" w:rsidR="00184474" w:rsidRPr="00A23FB4" w:rsidRDefault="00184474" w:rsidP="00184474">
      <w:pPr>
        <w:rPr>
          <w:rFonts w:ascii="Calibri" w:hAnsi="Calibri" w:cs="Calibri"/>
        </w:rPr>
      </w:pPr>
    </w:p>
    <w:p w14:paraId="50506C3E" w14:textId="77777777" w:rsidR="00184474" w:rsidRPr="00A23FB4" w:rsidRDefault="00184474" w:rsidP="00184474">
      <w:pPr>
        <w:rPr>
          <w:rFonts w:ascii="Calibri" w:hAnsi="Calibri" w:cs="Calibri"/>
          <w:b/>
        </w:rPr>
      </w:pPr>
      <w:bookmarkStart w:id="822" w:name="_Toc425562416"/>
      <w:bookmarkStart w:id="823" w:name="_Toc235080148"/>
      <w:r w:rsidRPr="00A23FB4">
        <w:rPr>
          <w:rFonts w:ascii="Calibri" w:hAnsi="Calibri" w:cs="Calibri"/>
          <w:b/>
        </w:rPr>
        <w:t>4. TRANSPORT</w:t>
      </w:r>
      <w:bookmarkEnd w:id="822"/>
      <w:bookmarkEnd w:id="823"/>
    </w:p>
    <w:p w14:paraId="38555559" w14:textId="77777777" w:rsidR="00184474" w:rsidRPr="00A23FB4" w:rsidRDefault="00184474" w:rsidP="00184474">
      <w:pPr>
        <w:pStyle w:val="Nagwek4"/>
        <w:tabs>
          <w:tab w:val="left" w:pos="9914"/>
        </w:tabs>
        <w:rPr>
          <w:rFonts w:ascii="Calibri" w:hAnsi="Calibri" w:cs="Calibri"/>
        </w:rPr>
      </w:pPr>
      <w:bookmarkStart w:id="824" w:name="_Toc235080149"/>
      <w:r w:rsidRPr="00A23FB4">
        <w:rPr>
          <w:rFonts w:ascii="Calibri" w:hAnsi="Calibri" w:cs="Calibri"/>
        </w:rPr>
        <w:t>4.1. Ogólne wymagania dotyczące transportu</w:t>
      </w:r>
      <w:bookmarkEnd w:id="824"/>
    </w:p>
    <w:p w14:paraId="3CB81478" w14:textId="30165F66" w:rsidR="00184474" w:rsidRPr="00A23FB4" w:rsidRDefault="00184474" w:rsidP="00184474">
      <w:pPr>
        <w:rPr>
          <w:rFonts w:ascii="Calibri" w:hAnsi="Calibri" w:cs="Calibri"/>
        </w:rPr>
      </w:pPr>
      <w:r w:rsidRPr="00A23FB4">
        <w:rPr>
          <w:rFonts w:ascii="Calibri" w:hAnsi="Calibri" w:cs="Calibri"/>
        </w:rPr>
        <w:t xml:space="preserve">Ogólne wymagania dotyczące transportu podano w </w:t>
      </w:r>
      <w:r w:rsidR="00C62A07">
        <w:rPr>
          <w:rFonts w:ascii="Calibri" w:hAnsi="Calibri" w:cs="Calibri"/>
        </w:rPr>
        <w:t>ST</w:t>
      </w:r>
      <w:r w:rsidRPr="00A23FB4">
        <w:rPr>
          <w:rFonts w:ascii="Calibri" w:hAnsi="Calibri" w:cs="Calibri"/>
        </w:rPr>
        <w:t>WiORB D-M-00.00.00 „Wymagania ogólne” pkt 4.</w:t>
      </w:r>
    </w:p>
    <w:p w14:paraId="7CF610F6" w14:textId="77777777" w:rsidR="00184474" w:rsidRPr="00A23FB4" w:rsidRDefault="00184474" w:rsidP="00184474">
      <w:pPr>
        <w:pStyle w:val="Nagwek4"/>
        <w:tabs>
          <w:tab w:val="left" w:pos="9914"/>
        </w:tabs>
        <w:rPr>
          <w:rFonts w:ascii="Calibri" w:hAnsi="Calibri" w:cs="Calibri"/>
        </w:rPr>
      </w:pPr>
      <w:bookmarkStart w:id="825" w:name="_Toc235080150"/>
      <w:r w:rsidRPr="00A23FB4">
        <w:rPr>
          <w:rFonts w:ascii="Calibri" w:hAnsi="Calibri" w:cs="Calibri"/>
        </w:rPr>
        <w:t>4.2. Transport materiałów</w:t>
      </w:r>
      <w:bookmarkEnd w:id="825"/>
    </w:p>
    <w:p w14:paraId="06F5B79D" w14:textId="77777777" w:rsidR="00184474" w:rsidRPr="00A23FB4" w:rsidRDefault="00184474" w:rsidP="00184474">
      <w:pPr>
        <w:rPr>
          <w:rFonts w:ascii="Calibri" w:hAnsi="Calibri" w:cs="Calibri"/>
        </w:rPr>
      </w:pPr>
      <w:r w:rsidRPr="00A23FB4">
        <w:rPr>
          <w:rFonts w:ascii="Calibri" w:hAnsi="Calibri" w:cs="Calibri"/>
        </w:rPr>
        <w:t>Rury stalowe na słupki, przeciągi, pochwyty przewozić można dowolnymi środkami transportu. W przypadku załadowania na środek transportu więcej niż jednej partii rur należy je zabezpieczyć przed pomieszaniem.</w:t>
      </w:r>
    </w:p>
    <w:p w14:paraId="1B91BA75" w14:textId="77777777" w:rsidR="00184474" w:rsidRPr="00A23FB4" w:rsidRDefault="00184474" w:rsidP="00184474">
      <w:pPr>
        <w:rPr>
          <w:rFonts w:ascii="Calibri" w:hAnsi="Calibri" w:cs="Calibri"/>
        </w:rPr>
      </w:pPr>
      <w:r w:rsidRPr="00A23FB4">
        <w:rPr>
          <w:rFonts w:ascii="Calibri" w:hAnsi="Calibri" w:cs="Calibri"/>
        </w:rPr>
        <w:t>Kształtowniki można przewozić dowolnym środkiem transportu luzem lub w wiązkach.  W przypadku ładowania na środek transportu więcej niż jednej partii wyrobów należy je zabezpieczyć przed pomieszaniem. Przy transporcie przedmiotów metalizowanych zalecana jest ostrożność ze względu na podatność powłok na uszkodzenia mechaniczne, występujące przy uderzeniach.</w:t>
      </w:r>
    </w:p>
    <w:p w14:paraId="40AAEBBA" w14:textId="77777777" w:rsidR="00184474" w:rsidRPr="00A23FB4" w:rsidRDefault="00184474" w:rsidP="00184474">
      <w:pPr>
        <w:rPr>
          <w:rFonts w:ascii="Calibri" w:hAnsi="Calibri" w:cs="Calibri"/>
        </w:rPr>
      </w:pPr>
      <w:r w:rsidRPr="00A23FB4">
        <w:rPr>
          <w:rFonts w:ascii="Calibri" w:hAnsi="Calibri" w:cs="Calibri"/>
        </w:rPr>
        <w:t>Śruby, wkręty, nakrętki itp. powinno się przewozić w warunkach zabezpieczających wyroby przed korozją i uszkodzeniami mechanicznymi. W przypadku stosowania do transportu palet, opakowania powinny być zabezpieczone przed przemieszczaniem się np. za pomocą taśmy stalowej lub folii termokurczliwej.</w:t>
      </w:r>
    </w:p>
    <w:p w14:paraId="78221483" w14:textId="77777777" w:rsidR="00184474" w:rsidRPr="00A23FB4" w:rsidRDefault="00184474" w:rsidP="00184474">
      <w:pPr>
        <w:rPr>
          <w:rFonts w:ascii="Calibri" w:hAnsi="Calibri" w:cs="Calibri"/>
        </w:rPr>
      </w:pPr>
      <w:r w:rsidRPr="00A23FB4">
        <w:rPr>
          <w:rFonts w:ascii="Calibri" w:hAnsi="Calibri" w:cs="Calibri"/>
        </w:rPr>
        <w:t>Druty i pręty spawalnicze należy przewozić w warunkach zabezpieczających przed korozją, zanieczyszczeniem i uszkodzeniem.</w:t>
      </w:r>
    </w:p>
    <w:p w14:paraId="4E79CC8A" w14:textId="77777777" w:rsidR="00184474" w:rsidRPr="00A23FB4" w:rsidRDefault="00184474" w:rsidP="00184474">
      <w:pPr>
        <w:rPr>
          <w:rFonts w:ascii="Calibri" w:hAnsi="Calibri" w:cs="Calibri"/>
        </w:rPr>
      </w:pPr>
      <w:r w:rsidRPr="00A23FB4">
        <w:rPr>
          <w:rFonts w:ascii="Calibri" w:hAnsi="Calibri" w:cs="Calibri"/>
        </w:rPr>
        <w:t>Cement należy przewozić zgodnie z postanowieniami BN-88/6731-08, zaś mieszankę betonową wg PN-B-06251.</w:t>
      </w:r>
      <w:r w:rsidRPr="00A23FB4">
        <w:rPr>
          <w:rFonts w:ascii="Calibri" w:hAnsi="Calibri" w:cs="Calibri"/>
        </w:rPr>
        <w:br/>
      </w:r>
    </w:p>
    <w:p w14:paraId="31A8BA27" w14:textId="77777777" w:rsidR="00184474" w:rsidRPr="00A23FB4" w:rsidRDefault="00184474" w:rsidP="00184474">
      <w:pPr>
        <w:rPr>
          <w:rFonts w:ascii="Calibri" w:hAnsi="Calibri" w:cs="Calibri"/>
          <w:b/>
        </w:rPr>
      </w:pPr>
      <w:bookmarkStart w:id="826" w:name="_Toc425562417"/>
      <w:bookmarkStart w:id="827" w:name="_Toc235080151"/>
      <w:r w:rsidRPr="00A23FB4">
        <w:rPr>
          <w:rFonts w:ascii="Calibri" w:hAnsi="Calibri" w:cs="Calibri"/>
          <w:b/>
        </w:rPr>
        <w:t>5. WYKONANIE ROBÓT</w:t>
      </w:r>
      <w:bookmarkEnd w:id="826"/>
      <w:bookmarkEnd w:id="827"/>
    </w:p>
    <w:p w14:paraId="30FA32DA" w14:textId="77777777" w:rsidR="00184474" w:rsidRPr="00A23FB4" w:rsidRDefault="00184474" w:rsidP="00184474">
      <w:pPr>
        <w:pStyle w:val="Nagwek4"/>
        <w:tabs>
          <w:tab w:val="left" w:pos="9914"/>
        </w:tabs>
        <w:rPr>
          <w:rFonts w:ascii="Calibri" w:hAnsi="Calibri" w:cs="Calibri"/>
        </w:rPr>
      </w:pPr>
      <w:bookmarkStart w:id="828" w:name="_Toc235080152"/>
      <w:r w:rsidRPr="00A23FB4">
        <w:rPr>
          <w:rFonts w:ascii="Calibri" w:hAnsi="Calibri" w:cs="Calibri"/>
        </w:rPr>
        <w:t>5.1. Ogólne zasady wykonania robót</w:t>
      </w:r>
      <w:bookmarkEnd w:id="828"/>
    </w:p>
    <w:p w14:paraId="097D9005" w14:textId="0701D697" w:rsidR="00184474" w:rsidRPr="00A23FB4" w:rsidRDefault="00184474" w:rsidP="00184474">
      <w:pPr>
        <w:rPr>
          <w:rFonts w:ascii="Calibri" w:hAnsi="Calibri" w:cs="Calibri"/>
        </w:rPr>
      </w:pPr>
      <w:r w:rsidRPr="00A23FB4">
        <w:rPr>
          <w:rFonts w:ascii="Calibri" w:hAnsi="Calibri" w:cs="Calibri"/>
        </w:rPr>
        <w:t xml:space="preserve">Ogólne zasady wykonania robót podano w </w:t>
      </w:r>
      <w:r w:rsidR="00C62A07">
        <w:rPr>
          <w:rFonts w:ascii="Calibri" w:hAnsi="Calibri" w:cs="Calibri"/>
        </w:rPr>
        <w:t>ST</w:t>
      </w:r>
      <w:r w:rsidRPr="00A23FB4">
        <w:rPr>
          <w:rFonts w:ascii="Calibri" w:hAnsi="Calibri" w:cs="Calibri"/>
        </w:rPr>
        <w:t>WiORB D-M-00.00.00 „Wymagania ogólne” pkt 5.</w:t>
      </w:r>
    </w:p>
    <w:p w14:paraId="310AB37C" w14:textId="77777777" w:rsidR="00184474" w:rsidRPr="00A23FB4" w:rsidRDefault="00184474" w:rsidP="00184474">
      <w:pPr>
        <w:pStyle w:val="Nagwek4"/>
        <w:tabs>
          <w:tab w:val="left" w:pos="9914"/>
        </w:tabs>
        <w:rPr>
          <w:rFonts w:ascii="Calibri" w:hAnsi="Calibri" w:cs="Calibri"/>
        </w:rPr>
      </w:pPr>
      <w:bookmarkStart w:id="829" w:name="_Toc235080153"/>
      <w:r w:rsidRPr="00A23FB4">
        <w:rPr>
          <w:rFonts w:ascii="Calibri" w:hAnsi="Calibri" w:cs="Calibri"/>
        </w:rPr>
        <w:t>5.2. Zasady wykonania urządzeń zabezpieczających ruch pieszych</w:t>
      </w:r>
      <w:bookmarkEnd w:id="829"/>
    </w:p>
    <w:p w14:paraId="02946136" w14:textId="77777777" w:rsidR="00184474" w:rsidRPr="00A23FB4" w:rsidRDefault="00184474" w:rsidP="00184474">
      <w:pPr>
        <w:rPr>
          <w:rFonts w:ascii="Calibri" w:hAnsi="Calibri" w:cs="Calibri"/>
        </w:rPr>
      </w:pPr>
      <w:r w:rsidRPr="00A23FB4">
        <w:rPr>
          <w:rFonts w:ascii="Calibri" w:hAnsi="Calibri" w:cs="Calibri"/>
        </w:rPr>
        <w:t>W zależności od wielkości robót Wykonawca przedstawi do akceptacji Inżyniera zakres robót wykonywanych bezpośrednio na placu budowy oraz robót przygotowawczych na zapleczu.</w:t>
      </w:r>
    </w:p>
    <w:p w14:paraId="1161FAD5" w14:textId="77777777" w:rsidR="00184474" w:rsidRPr="00A23FB4" w:rsidRDefault="00184474" w:rsidP="00184474">
      <w:pPr>
        <w:rPr>
          <w:rFonts w:ascii="Calibri" w:hAnsi="Calibri" w:cs="Calibri"/>
        </w:rPr>
      </w:pPr>
      <w:r w:rsidRPr="00A23FB4">
        <w:rPr>
          <w:rFonts w:ascii="Calibri" w:hAnsi="Calibri" w:cs="Calibri"/>
        </w:rPr>
        <w:t>Przed wykonywaniem robót należy wytyczyć lokalizację barier, płotków  i innych urządzeń liniowych zabezpieczających ruch pieszych na podstawie dokumentacji projektowej.</w:t>
      </w:r>
    </w:p>
    <w:p w14:paraId="76E08948" w14:textId="3061C555" w:rsidR="00184474" w:rsidRPr="00A23FB4" w:rsidRDefault="00184474" w:rsidP="00184474">
      <w:pPr>
        <w:rPr>
          <w:rFonts w:ascii="Calibri" w:hAnsi="Calibri" w:cs="Calibri"/>
        </w:rPr>
      </w:pPr>
      <w:r w:rsidRPr="00A23FB4">
        <w:rPr>
          <w:rFonts w:ascii="Calibri" w:hAnsi="Calibri" w:cs="Calibri"/>
        </w:rPr>
        <w:t xml:space="preserve">Do podstawowych czynności objętych niniejszą </w:t>
      </w:r>
      <w:r w:rsidR="00C62A07">
        <w:rPr>
          <w:rFonts w:ascii="Calibri" w:hAnsi="Calibri" w:cs="Calibri"/>
        </w:rPr>
        <w:t>ST</w:t>
      </w:r>
      <w:r w:rsidRPr="00A23FB4">
        <w:rPr>
          <w:rFonts w:ascii="Calibri" w:hAnsi="Calibri" w:cs="Calibri"/>
        </w:rPr>
        <w:t>WiORB przy wykonywaniu ww. robót należą:</w:t>
      </w:r>
    </w:p>
    <w:p w14:paraId="1EFF8013" w14:textId="77777777" w:rsidR="00184474" w:rsidRPr="00A23FB4" w:rsidRDefault="00184474" w:rsidP="00184474">
      <w:pPr>
        <w:rPr>
          <w:rFonts w:ascii="Calibri" w:hAnsi="Calibri" w:cs="Calibri"/>
        </w:rPr>
      </w:pPr>
      <w:r w:rsidRPr="00A23FB4">
        <w:rPr>
          <w:rFonts w:ascii="Calibri" w:hAnsi="Calibri" w:cs="Calibri"/>
        </w:rPr>
        <w:t>wykonanie dołów pod słupki,</w:t>
      </w:r>
    </w:p>
    <w:p w14:paraId="4AE1288D" w14:textId="77777777" w:rsidR="00184474" w:rsidRPr="00A23FB4" w:rsidRDefault="00184474" w:rsidP="00184474">
      <w:pPr>
        <w:rPr>
          <w:rFonts w:ascii="Calibri" w:hAnsi="Calibri" w:cs="Calibri"/>
        </w:rPr>
      </w:pPr>
      <w:r w:rsidRPr="00A23FB4">
        <w:rPr>
          <w:rFonts w:ascii="Calibri" w:hAnsi="Calibri" w:cs="Calibri"/>
        </w:rPr>
        <w:t>wykonanie fundamentów betonowych pod słupki,</w:t>
      </w:r>
    </w:p>
    <w:p w14:paraId="3ADD8649" w14:textId="77777777" w:rsidR="00184474" w:rsidRPr="00A23FB4" w:rsidRDefault="00184474" w:rsidP="00184474">
      <w:pPr>
        <w:rPr>
          <w:rFonts w:ascii="Calibri" w:hAnsi="Calibri" w:cs="Calibri"/>
        </w:rPr>
      </w:pPr>
      <w:r w:rsidRPr="00A23FB4">
        <w:rPr>
          <w:rFonts w:ascii="Calibri" w:hAnsi="Calibri" w:cs="Calibri"/>
        </w:rPr>
        <w:t>ustawienie słupków,</w:t>
      </w:r>
    </w:p>
    <w:p w14:paraId="5F7568EC" w14:textId="77777777" w:rsidR="00184474" w:rsidRPr="00A23FB4" w:rsidRDefault="00184474" w:rsidP="00184474">
      <w:pPr>
        <w:pStyle w:val="Nagwek4"/>
        <w:tabs>
          <w:tab w:val="left" w:pos="9914"/>
        </w:tabs>
        <w:rPr>
          <w:rFonts w:ascii="Calibri" w:hAnsi="Calibri" w:cs="Calibri"/>
        </w:rPr>
      </w:pPr>
      <w:bookmarkStart w:id="830" w:name="_Toc235080154"/>
      <w:r w:rsidRPr="00A23FB4">
        <w:rPr>
          <w:rFonts w:ascii="Calibri" w:hAnsi="Calibri" w:cs="Calibri"/>
        </w:rPr>
        <w:t>5.3. Wykonanie dołów pod słupki</w:t>
      </w:r>
      <w:bookmarkEnd w:id="830"/>
    </w:p>
    <w:p w14:paraId="36470DBC" w14:textId="77777777" w:rsidR="00184474" w:rsidRPr="00A23FB4" w:rsidRDefault="00184474" w:rsidP="00184474">
      <w:pPr>
        <w:rPr>
          <w:rFonts w:ascii="Calibri" w:hAnsi="Calibri" w:cs="Calibri"/>
        </w:rPr>
      </w:pPr>
      <w:r w:rsidRPr="00A23FB4">
        <w:rPr>
          <w:rFonts w:ascii="Calibri" w:hAnsi="Calibri" w:cs="Calibri"/>
        </w:rPr>
        <w:t>Doły pod słupki powinny mieć wymiary w planie co najmniej o 20 cm większe od wymiarów słupka, a głębokość od  0,8 do 1,2 m.</w:t>
      </w:r>
    </w:p>
    <w:p w14:paraId="5EE6C3A1" w14:textId="77777777" w:rsidR="00184474" w:rsidRPr="00A23FB4" w:rsidRDefault="00184474" w:rsidP="00184474">
      <w:pPr>
        <w:pStyle w:val="Nagwek4"/>
        <w:tabs>
          <w:tab w:val="left" w:pos="9914"/>
        </w:tabs>
        <w:rPr>
          <w:rFonts w:ascii="Calibri" w:hAnsi="Calibri" w:cs="Calibri"/>
        </w:rPr>
      </w:pPr>
      <w:bookmarkStart w:id="831" w:name="_Toc235080155"/>
      <w:r w:rsidRPr="00A23FB4">
        <w:rPr>
          <w:rFonts w:ascii="Calibri" w:hAnsi="Calibri" w:cs="Calibri"/>
        </w:rPr>
        <w:t>5.4. Ustawienie słupków wraz z wykonaniem fundamentów betonowych pod słupki</w:t>
      </w:r>
      <w:bookmarkEnd w:id="831"/>
    </w:p>
    <w:p w14:paraId="55EBEBA0" w14:textId="77777777" w:rsidR="00184474" w:rsidRPr="00A23FB4" w:rsidRDefault="00184474" w:rsidP="00184474">
      <w:pPr>
        <w:rPr>
          <w:rFonts w:ascii="Calibri" w:hAnsi="Calibri" w:cs="Calibri"/>
        </w:rPr>
      </w:pPr>
      <w:r w:rsidRPr="00A23FB4">
        <w:rPr>
          <w:rFonts w:ascii="Calibri" w:hAnsi="Calibri" w:cs="Calibri"/>
          <w:b/>
          <w:bCs/>
        </w:rPr>
        <w:t xml:space="preserve">  S</w:t>
      </w:r>
      <w:r w:rsidRPr="00A23FB4">
        <w:rPr>
          <w:rFonts w:ascii="Calibri" w:hAnsi="Calibri" w:cs="Calibri"/>
        </w:rPr>
        <w:t>łupki mogą być osadzone w betonie ułożonym w dołku albo oprawione w bloczki betonowe formowane na zapleczu i dostarczane do miejsca budowy urządzenia zabezpieczającego ruch pieszych. Po uzyskaniu akceptacji Inżyniera, słupki betonowe mogą być obłożone kamieniami lub gruzem i przysypane ziemią.</w:t>
      </w:r>
    </w:p>
    <w:p w14:paraId="56BB47CB" w14:textId="77777777" w:rsidR="00184474" w:rsidRPr="00A23FB4" w:rsidRDefault="00184474" w:rsidP="00184474">
      <w:pPr>
        <w:rPr>
          <w:rFonts w:ascii="Calibri" w:hAnsi="Calibri" w:cs="Calibri"/>
        </w:rPr>
      </w:pPr>
      <w:r w:rsidRPr="00A23FB4">
        <w:rPr>
          <w:rFonts w:ascii="Calibri" w:hAnsi="Calibri" w:cs="Calibri"/>
        </w:rPr>
        <w:t>Słupek należy wstawić w gotowy wykop i napełnić otwór mieszanką betonową odpowiadającą wymaganiom punktu 2. Do czasu stwardnienia betonu słupek należy podeprzeć.</w:t>
      </w:r>
    </w:p>
    <w:p w14:paraId="69BE1B73" w14:textId="77777777" w:rsidR="00184474" w:rsidRPr="00A23FB4" w:rsidRDefault="00184474" w:rsidP="00184474">
      <w:pPr>
        <w:rPr>
          <w:rFonts w:ascii="Calibri" w:hAnsi="Calibri" w:cs="Calibri"/>
        </w:rPr>
      </w:pPr>
      <w:r w:rsidRPr="00A23FB4">
        <w:rPr>
          <w:rFonts w:ascii="Calibri" w:hAnsi="Calibri" w:cs="Calibri"/>
        </w:rPr>
        <w:t>Fundament betonowy wykonany „na mokro”, w którym osadzono słupek, można wykorzystywać do dalszych prac (np. napinania siatki) co najmniej po 7 dniach od ustawienia słupka w betonie, a jeśli temperatura w czasie wykonywania fundamentu jest niższa od 10</w:t>
      </w:r>
      <w:r w:rsidRPr="00A23FB4">
        <w:rPr>
          <w:rFonts w:ascii="Calibri" w:hAnsi="Calibri" w:cs="Calibri"/>
          <w:vertAlign w:val="superscript"/>
        </w:rPr>
        <w:t>o</w:t>
      </w:r>
      <w:r w:rsidRPr="00A23FB4">
        <w:rPr>
          <w:rFonts w:ascii="Calibri" w:hAnsi="Calibri" w:cs="Calibri"/>
        </w:rPr>
        <w:t>C - po 14 dniach.</w:t>
      </w:r>
    </w:p>
    <w:p w14:paraId="3D2FE96A" w14:textId="77777777" w:rsidR="00184474" w:rsidRPr="00A23FB4" w:rsidRDefault="00184474" w:rsidP="00184474">
      <w:pPr>
        <w:pStyle w:val="Nagwek4"/>
        <w:tabs>
          <w:tab w:val="left" w:pos="9914"/>
        </w:tabs>
        <w:rPr>
          <w:rFonts w:ascii="Calibri" w:hAnsi="Calibri" w:cs="Calibri"/>
        </w:rPr>
      </w:pPr>
      <w:bookmarkStart w:id="832" w:name="_Toc235080156"/>
      <w:r w:rsidRPr="00A23FB4">
        <w:rPr>
          <w:rFonts w:ascii="Calibri" w:hAnsi="Calibri" w:cs="Calibri"/>
        </w:rPr>
        <w:t>5.5. Ustawienie słupków</w:t>
      </w:r>
      <w:bookmarkEnd w:id="832"/>
    </w:p>
    <w:p w14:paraId="721A4ACA" w14:textId="77777777" w:rsidR="00184474" w:rsidRPr="00A23FB4" w:rsidRDefault="00184474" w:rsidP="00184474">
      <w:pPr>
        <w:rPr>
          <w:rFonts w:ascii="Calibri" w:hAnsi="Calibri" w:cs="Calibri"/>
        </w:rPr>
      </w:pPr>
      <w:r w:rsidRPr="00A23FB4">
        <w:rPr>
          <w:rFonts w:ascii="Calibri" w:hAnsi="Calibri" w:cs="Calibri"/>
        </w:rPr>
        <w:t>Słupki, bez względu na rodzaj i sposób osadzenia w gruncie, powinny stać pionowo w linii urządzenia zabezpieczającego ruch pieszych, a ich wierzchołki powinny znajdować się na jednakowej wysokości. Słupki z rur powinny mieć zaspawany górny otwór rury.</w:t>
      </w:r>
    </w:p>
    <w:p w14:paraId="75B42BEE" w14:textId="77777777" w:rsidR="00184474" w:rsidRPr="00A23FB4" w:rsidRDefault="00184474" w:rsidP="00184474">
      <w:pPr>
        <w:rPr>
          <w:rFonts w:ascii="Calibri" w:hAnsi="Calibri" w:cs="Calibri"/>
        </w:rPr>
      </w:pPr>
      <w:r w:rsidRPr="00A23FB4">
        <w:rPr>
          <w:rFonts w:ascii="Calibri" w:hAnsi="Calibri" w:cs="Calibri"/>
        </w:rPr>
        <w:t>Słupki końcowe, narożne oraz stojące na załamaniach wygrodzenia o kącie większym od 15</w:t>
      </w:r>
      <w:r w:rsidRPr="00A23FB4">
        <w:rPr>
          <w:rFonts w:ascii="Calibri" w:hAnsi="Calibri" w:cs="Calibri"/>
          <w:vertAlign w:val="superscript"/>
        </w:rPr>
        <w:t>o</w:t>
      </w:r>
      <w:r w:rsidRPr="00A23FB4">
        <w:rPr>
          <w:rFonts w:ascii="Calibri" w:hAnsi="Calibri" w:cs="Calibri"/>
        </w:rPr>
        <w:t xml:space="preserve"> należy zabezpieczyć przed wychylaniem się ukośnymi słupkami wspierającymi, ustawiając je wzdłuż biegu ogrodzenia pod kątem około 30 do 45</w:t>
      </w:r>
      <w:r w:rsidRPr="00A23FB4">
        <w:rPr>
          <w:rFonts w:ascii="Calibri" w:hAnsi="Calibri" w:cs="Calibri"/>
          <w:vertAlign w:val="superscript"/>
        </w:rPr>
        <w:t>o</w:t>
      </w:r>
      <w:r w:rsidRPr="00A23FB4">
        <w:rPr>
          <w:rFonts w:ascii="Calibri" w:hAnsi="Calibri" w:cs="Calibri"/>
        </w:rPr>
        <w:t>.</w:t>
      </w:r>
    </w:p>
    <w:p w14:paraId="1C062FBE" w14:textId="77777777" w:rsidR="00184474" w:rsidRPr="00A23FB4" w:rsidRDefault="00184474" w:rsidP="00184474">
      <w:pPr>
        <w:pStyle w:val="Nagwek4"/>
        <w:tabs>
          <w:tab w:val="left" w:pos="9914"/>
        </w:tabs>
        <w:rPr>
          <w:rFonts w:ascii="Calibri" w:hAnsi="Calibri" w:cs="Calibri"/>
        </w:rPr>
      </w:pPr>
      <w:bookmarkStart w:id="833" w:name="_Toc235080160"/>
      <w:r w:rsidRPr="00A23FB4">
        <w:rPr>
          <w:rFonts w:ascii="Calibri" w:hAnsi="Calibri" w:cs="Calibri"/>
        </w:rPr>
        <w:t>5.6. Wykonanie urządzeń zabezpieczających ruch pieszych w formie poręczy</w:t>
      </w:r>
      <w:bookmarkEnd w:id="833"/>
    </w:p>
    <w:p w14:paraId="34623D41" w14:textId="77777777" w:rsidR="00184474" w:rsidRPr="00A23FB4" w:rsidRDefault="00184474" w:rsidP="00184474">
      <w:pPr>
        <w:rPr>
          <w:rFonts w:ascii="Calibri" w:hAnsi="Calibri" w:cs="Calibri"/>
        </w:rPr>
      </w:pPr>
      <w:r w:rsidRPr="00A23FB4">
        <w:rPr>
          <w:rFonts w:ascii="Calibri" w:hAnsi="Calibri" w:cs="Calibri"/>
        </w:rPr>
        <w:t>Poręcze oddzielające ruch pieszy od kołowego winny być wykonane zgodnie z dokumentacją projektową.</w:t>
      </w:r>
    </w:p>
    <w:p w14:paraId="37D4A70D" w14:textId="77777777" w:rsidR="00184474" w:rsidRPr="00A23FB4" w:rsidRDefault="00184474" w:rsidP="00184474">
      <w:pPr>
        <w:rPr>
          <w:rFonts w:ascii="Calibri" w:hAnsi="Calibri" w:cs="Calibri"/>
        </w:rPr>
      </w:pPr>
      <w:r w:rsidRPr="00A23FB4">
        <w:rPr>
          <w:rFonts w:ascii="Calibri" w:hAnsi="Calibri" w:cs="Calibri"/>
        </w:rPr>
        <w:t>Maksymalną długość poręczy nie dylatowanych określa się na 50 m pod warunkiem zgody Inżyniera.</w:t>
      </w:r>
    </w:p>
    <w:p w14:paraId="74197FA7" w14:textId="77777777" w:rsidR="00184474" w:rsidRPr="00A23FB4" w:rsidRDefault="00184474" w:rsidP="00184474">
      <w:pPr>
        <w:pStyle w:val="Nagwek4"/>
        <w:tabs>
          <w:tab w:val="left" w:pos="9914"/>
        </w:tabs>
        <w:rPr>
          <w:rFonts w:ascii="Calibri" w:hAnsi="Calibri" w:cs="Calibri"/>
        </w:rPr>
      </w:pPr>
      <w:r w:rsidRPr="00A23FB4">
        <w:rPr>
          <w:rFonts w:ascii="Calibri" w:hAnsi="Calibri" w:cs="Calibri"/>
        </w:rPr>
        <w:t>5.7. Wykonanie spawanych złącz elementów urządzeń zabezpieczających ruch pieszych</w:t>
      </w:r>
    </w:p>
    <w:p w14:paraId="11431305" w14:textId="77777777" w:rsidR="00184474" w:rsidRPr="00A23FB4" w:rsidRDefault="00184474" w:rsidP="00184474">
      <w:pPr>
        <w:rPr>
          <w:rFonts w:ascii="Calibri" w:hAnsi="Calibri" w:cs="Calibri"/>
        </w:rPr>
      </w:pPr>
      <w:r w:rsidRPr="00A23FB4">
        <w:rPr>
          <w:rFonts w:ascii="Calibri" w:hAnsi="Calibri" w:cs="Calibri"/>
        </w:rPr>
        <w:t>Złącza spawane elementów urządzeń zabezpieczających ruch pieszych powinny odpowiadać wymaganiom PN-M-69011.</w:t>
      </w:r>
    </w:p>
    <w:p w14:paraId="553D6947" w14:textId="77777777" w:rsidR="00184474" w:rsidRPr="00A23FB4" w:rsidRDefault="00184474" w:rsidP="00184474">
      <w:pPr>
        <w:rPr>
          <w:rFonts w:ascii="Calibri" w:hAnsi="Calibri" w:cs="Calibri"/>
        </w:rPr>
      </w:pPr>
      <w:r w:rsidRPr="00A23FB4">
        <w:rPr>
          <w:rFonts w:ascii="Calibri" w:hAnsi="Calibri" w:cs="Calibri"/>
        </w:rPr>
        <w:t>Wytrzymałość zmęczeniowa spoin powinna wynosić od 19 do 32 MPa. Odchyłki wymiarów spoin nie powinny przekraczać ± 0,5 mm dla grubości spoiny do 6 mm i ± 1,0 mm dla spoiny powyżej 6 mm.</w:t>
      </w:r>
    </w:p>
    <w:p w14:paraId="2FFCA70E" w14:textId="77777777" w:rsidR="00184474" w:rsidRPr="00A23FB4" w:rsidRDefault="00184474" w:rsidP="00184474">
      <w:pPr>
        <w:rPr>
          <w:rFonts w:ascii="Calibri" w:hAnsi="Calibri" w:cs="Calibri"/>
        </w:rPr>
      </w:pPr>
      <w:r w:rsidRPr="00A23FB4">
        <w:rPr>
          <w:rFonts w:ascii="Calibri" w:hAnsi="Calibri" w:cs="Calibri"/>
        </w:rPr>
        <w:t>Odstęp, w złączach zakładkowych i nadkładkowych, pomiędzy przylegającymi do siebie płaszczyznami nie powinien być większy niż 1 mm.</w:t>
      </w:r>
    </w:p>
    <w:p w14:paraId="0AA18AE6" w14:textId="77777777" w:rsidR="00184474" w:rsidRPr="00A23FB4" w:rsidRDefault="00184474" w:rsidP="00184474">
      <w:pPr>
        <w:rPr>
          <w:rFonts w:ascii="Calibri" w:hAnsi="Calibri" w:cs="Calibri"/>
        </w:rPr>
      </w:pPr>
      <w:r w:rsidRPr="00A23FB4">
        <w:rPr>
          <w:rFonts w:ascii="Calibri" w:hAnsi="Calibri" w:cs="Calibri"/>
        </w:rPr>
        <w:t>Złącza spawane nie powinny mieć wad większych niż podane w tablicy 19. Inżynier może dopuścić wady większe niż podane w tablicy 11 jeśli uzna, że nie mają one zasadniczego wpływu na cechy eksploatacyjne urządzeń zabezpieczających ruch pieszych.</w:t>
      </w:r>
    </w:p>
    <w:p w14:paraId="725A3F9E" w14:textId="77777777" w:rsidR="00184474" w:rsidRPr="00A23FB4" w:rsidRDefault="00184474" w:rsidP="00184474">
      <w:pPr>
        <w:rPr>
          <w:rFonts w:ascii="Calibri" w:hAnsi="Calibri" w:cs="Calibri"/>
        </w:rPr>
      </w:pPr>
      <w:r w:rsidRPr="00A23FB4">
        <w:rPr>
          <w:rFonts w:ascii="Calibri" w:hAnsi="Calibri" w:cs="Calibri"/>
        </w:rPr>
        <w:t>Tablica 11. Dopuszczalne wymiary wad w złączach spawanych według PN-M-69775</w:t>
      </w:r>
    </w:p>
    <w:tbl>
      <w:tblPr>
        <w:tblW w:w="0" w:type="auto"/>
        <w:tblInd w:w="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756"/>
        <w:gridCol w:w="3685"/>
      </w:tblGrid>
      <w:tr w:rsidR="00184474" w:rsidRPr="00A23FB4" w14:paraId="2D5DC855" w14:textId="77777777" w:rsidTr="006237D9">
        <w:tc>
          <w:tcPr>
            <w:tcW w:w="3756" w:type="dxa"/>
            <w:tcBorders>
              <w:bottom w:val="double" w:sz="6" w:space="0" w:color="auto"/>
            </w:tcBorders>
          </w:tcPr>
          <w:p w14:paraId="0B4774BB" w14:textId="77777777" w:rsidR="00184474" w:rsidRPr="00A23FB4" w:rsidRDefault="00184474" w:rsidP="006237D9">
            <w:pPr>
              <w:rPr>
                <w:rFonts w:ascii="Calibri" w:hAnsi="Calibri" w:cs="Calibri"/>
              </w:rPr>
            </w:pPr>
            <w:r w:rsidRPr="00A23FB4">
              <w:rPr>
                <w:rFonts w:ascii="Calibri" w:hAnsi="Calibri" w:cs="Calibri"/>
              </w:rPr>
              <w:tab/>
            </w:r>
            <w:r w:rsidRPr="00A23FB4">
              <w:rPr>
                <w:rFonts w:ascii="Calibri" w:hAnsi="Calibri" w:cs="Calibri"/>
              </w:rPr>
              <w:tab/>
              <w:t>Rodzaj wady</w:t>
            </w:r>
          </w:p>
        </w:tc>
        <w:tc>
          <w:tcPr>
            <w:tcW w:w="3685" w:type="dxa"/>
            <w:tcBorders>
              <w:bottom w:val="double" w:sz="6" w:space="0" w:color="auto"/>
            </w:tcBorders>
          </w:tcPr>
          <w:p w14:paraId="4F55E5CD" w14:textId="77777777" w:rsidR="00184474" w:rsidRPr="00A23FB4" w:rsidRDefault="00184474" w:rsidP="006237D9">
            <w:pPr>
              <w:rPr>
                <w:rFonts w:ascii="Calibri" w:hAnsi="Calibri" w:cs="Calibri"/>
              </w:rPr>
            </w:pPr>
            <w:r w:rsidRPr="00A23FB4">
              <w:rPr>
                <w:rFonts w:ascii="Calibri" w:hAnsi="Calibri" w:cs="Calibri"/>
              </w:rPr>
              <w:t>Dopuszczalny wymiar wady  w mm</w:t>
            </w:r>
          </w:p>
        </w:tc>
      </w:tr>
      <w:tr w:rsidR="00184474" w:rsidRPr="00A23FB4" w14:paraId="0FD533F9" w14:textId="77777777" w:rsidTr="006237D9">
        <w:tc>
          <w:tcPr>
            <w:tcW w:w="3756" w:type="dxa"/>
            <w:tcBorders>
              <w:top w:val="nil"/>
            </w:tcBorders>
          </w:tcPr>
          <w:p w14:paraId="01DB3D13" w14:textId="77777777" w:rsidR="00184474" w:rsidRPr="00A23FB4" w:rsidRDefault="00184474" w:rsidP="006237D9">
            <w:pPr>
              <w:rPr>
                <w:rFonts w:ascii="Calibri" w:hAnsi="Calibri" w:cs="Calibri"/>
              </w:rPr>
            </w:pPr>
            <w:r w:rsidRPr="00A23FB4">
              <w:rPr>
                <w:rFonts w:ascii="Calibri" w:hAnsi="Calibri" w:cs="Calibri"/>
              </w:rPr>
              <w:t>Brak przetopu</w:t>
            </w:r>
          </w:p>
          <w:p w14:paraId="52C2AD5C" w14:textId="77777777" w:rsidR="00184474" w:rsidRPr="00A23FB4" w:rsidRDefault="00184474" w:rsidP="006237D9">
            <w:pPr>
              <w:rPr>
                <w:rFonts w:ascii="Calibri" w:hAnsi="Calibri" w:cs="Calibri"/>
              </w:rPr>
            </w:pPr>
            <w:r w:rsidRPr="00A23FB4">
              <w:rPr>
                <w:rFonts w:ascii="Calibri" w:hAnsi="Calibri" w:cs="Calibri"/>
              </w:rPr>
              <w:t>Podtopienie lica</w:t>
            </w:r>
          </w:p>
          <w:p w14:paraId="118189C1" w14:textId="77777777" w:rsidR="00184474" w:rsidRPr="00A23FB4" w:rsidRDefault="00184474" w:rsidP="006237D9">
            <w:pPr>
              <w:rPr>
                <w:rFonts w:ascii="Calibri" w:hAnsi="Calibri" w:cs="Calibri"/>
              </w:rPr>
            </w:pPr>
            <w:r w:rsidRPr="00A23FB4">
              <w:rPr>
                <w:rFonts w:ascii="Calibri" w:hAnsi="Calibri" w:cs="Calibri"/>
              </w:rPr>
              <w:t>Porowatość</w:t>
            </w:r>
          </w:p>
          <w:p w14:paraId="318E67BD" w14:textId="77777777" w:rsidR="00184474" w:rsidRPr="00A23FB4" w:rsidRDefault="00184474" w:rsidP="006237D9">
            <w:pPr>
              <w:rPr>
                <w:rFonts w:ascii="Calibri" w:hAnsi="Calibri" w:cs="Calibri"/>
              </w:rPr>
            </w:pPr>
            <w:r w:rsidRPr="00A23FB4">
              <w:rPr>
                <w:rFonts w:ascii="Calibri" w:hAnsi="Calibri" w:cs="Calibri"/>
              </w:rPr>
              <w:t>Krater</w:t>
            </w:r>
          </w:p>
          <w:p w14:paraId="3F2E8119" w14:textId="77777777" w:rsidR="00184474" w:rsidRPr="00A23FB4" w:rsidRDefault="00184474" w:rsidP="006237D9">
            <w:pPr>
              <w:rPr>
                <w:rFonts w:ascii="Calibri" w:hAnsi="Calibri" w:cs="Calibri"/>
              </w:rPr>
            </w:pPr>
            <w:r w:rsidRPr="00A23FB4">
              <w:rPr>
                <w:rFonts w:ascii="Calibri" w:hAnsi="Calibri" w:cs="Calibri"/>
              </w:rPr>
              <w:t>Wklęśnięcie lica</w:t>
            </w:r>
          </w:p>
          <w:p w14:paraId="761B61D6" w14:textId="77777777" w:rsidR="00184474" w:rsidRPr="00A23FB4" w:rsidRDefault="00184474" w:rsidP="006237D9">
            <w:pPr>
              <w:rPr>
                <w:rFonts w:ascii="Calibri" w:hAnsi="Calibri" w:cs="Calibri"/>
              </w:rPr>
            </w:pPr>
            <w:r w:rsidRPr="00A23FB4">
              <w:rPr>
                <w:rFonts w:ascii="Calibri" w:hAnsi="Calibri" w:cs="Calibri"/>
              </w:rPr>
              <w:t>Uszkodzenie mechaniczne</w:t>
            </w:r>
          </w:p>
          <w:p w14:paraId="13855312" w14:textId="77777777" w:rsidR="00184474" w:rsidRPr="00A23FB4" w:rsidRDefault="00184474" w:rsidP="006237D9">
            <w:pPr>
              <w:rPr>
                <w:rFonts w:ascii="Calibri" w:hAnsi="Calibri" w:cs="Calibri"/>
              </w:rPr>
            </w:pPr>
            <w:r w:rsidRPr="00A23FB4">
              <w:rPr>
                <w:rFonts w:ascii="Calibri" w:hAnsi="Calibri" w:cs="Calibri"/>
              </w:rPr>
              <w:t>Różnica wysokości sąsiednich wgłębień</w:t>
            </w:r>
          </w:p>
          <w:p w14:paraId="7CD0849F" w14:textId="77777777" w:rsidR="00184474" w:rsidRPr="00A23FB4" w:rsidRDefault="00184474" w:rsidP="006237D9">
            <w:pPr>
              <w:rPr>
                <w:rFonts w:ascii="Calibri" w:hAnsi="Calibri" w:cs="Calibri"/>
              </w:rPr>
            </w:pPr>
            <w:r w:rsidRPr="00A23FB4">
              <w:rPr>
                <w:rFonts w:ascii="Calibri" w:hAnsi="Calibri" w:cs="Calibri"/>
              </w:rPr>
              <w:t>i wypukłości lica</w:t>
            </w:r>
          </w:p>
        </w:tc>
        <w:tc>
          <w:tcPr>
            <w:tcW w:w="3685" w:type="dxa"/>
            <w:tcBorders>
              <w:top w:val="nil"/>
            </w:tcBorders>
          </w:tcPr>
          <w:p w14:paraId="667CB29C" w14:textId="77777777" w:rsidR="00184474" w:rsidRPr="00A23FB4" w:rsidRDefault="00184474" w:rsidP="006237D9">
            <w:pPr>
              <w:rPr>
                <w:rFonts w:ascii="Calibri" w:hAnsi="Calibri" w:cs="Calibri"/>
              </w:rPr>
            </w:pPr>
            <w:r w:rsidRPr="00A23FB4">
              <w:rPr>
                <w:rFonts w:ascii="Calibri" w:hAnsi="Calibri" w:cs="Calibri"/>
              </w:rPr>
              <w:t>2,0</w:t>
            </w:r>
          </w:p>
          <w:p w14:paraId="58DCE569" w14:textId="77777777" w:rsidR="00184474" w:rsidRPr="00A23FB4" w:rsidRDefault="00184474" w:rsidP="006237D9">
            <w:pPr>
              <w:rPr>
                <w:rFonts w:ascii="Calibri" w:hAnsi="Calibri" w:cs="Calibri"/>
              </w:rPr>
            </w:pPr>
            <w:r w:rsidRPr="00A23FB4">
              <w:rPr>
                <w:rFonts w:ascii="Calibri" w:hAnsi="Calibri" w:cs="Calibri"/>
              </w:rPr>
              <w:t>1,5</w:t>
            </w:r>
          </w:p>
          <w:p w14:paraId="2D59C5B6" w14:textId="77777777" w:rsidR="00184474" w:rsidRPr="00A23FB4" w:rsidRDefault="00184474" w:rsidP="006237D9">
            <w:pPr>
              <w:rPr>
                <w:rFonts w:ascii="Calibri" w:hAnsi="Calibri" w:cs="Calibri"/>
              </w:rPr>
            </w:pPr>
            <w:r w:rsidRPr="00A23FB4">
              <w:rPr>
                <w:rFonts w:ascii="Calibri" w:hAnsi="Calibri" w:cs="Calibri"/>
              </w:rPr>
              <w:t>3,0</w:t>
            </w:r>
          </w:p>
          <w:p w14:paraId="6802A56A" w14:textId="77777777" w:rsidR="00184474" w:rsidRPr="00A23FB4" w:rsidRDefault="00184474" w:rsidP="006237D9">
            <w:pPr>
              <w:rPr>
                <w:rFonts w:ascii="Calibri" w:hAnsi="Calibri" w:cs="Calibri"/>
              </w:rPr>
            </w:pPr>
            <w:r w:rsidRPr="00A23FB4">
              <w:rPr>
                <w:rFonts w:ascii="Calibri" w:hAnsi="Calibri" w:cs="Calibri"/>
              </w:rPr>
              <w:t>1,5</w:t>
            </w:r>
          </w:p>
          <w:p w14:paraId="4890CC97" w14:textId="77777777" w:rsidR="00184474" w:rsidRPr="00A23FB4" w:rsidRDefault="00184474" w:rsidP="006237D9">
            <w:pPr>
              <w:rPr>
                <w:rFonts w:ascii="Calibri" w:hAnsi="Calibri" w:cs="Calibri"/>
              </w:rPr>
            </w:pPr>
            <w:r w:rsidRPr="00A23FB4">
              <w:rPr>
                <w:rFonts w:ascii="Calibri" w:hAnsi="Calibri" w:cs="Calibri"/>
              </w:rPr>
              <w:t>1,5</w:t>
            </w:r>
          </w:p>
          <w:p w14:paraId="7605AB12" w14:textId="77777777" w:rsidR="00184474" w:rsidRPr="00A23FB4" w:rsidRDefault="00184474" w:rsidP="006237D9">
            <w:pPr>
              <w:rPr>
                <w:rFonts w:ascii="Calibri" w:hAnsi="Calibri" w:cs="Calibri"/>
              </w:rPr>
            </w:pPr>
            <w:r w:rsidRPr="00A23FB4">
              <w:rPr>
                <w:rFonts w:ascii="Calibri" w:hAnsi="Calibri" w:cs="Calibri"/>
              </w:rPr>
              <w:t>1,0</w:t>
            </w:r>
          </w:p>
          <w:p w14:paraId="5280D929" w14:textId="77777777" w:rsidR="00184474" w:rsidRPr="00A23FB4" w:rsidRDefault="00184474" w:rsidP="006237D9">
            <w:pPr>
              <w:rPr>
                <w:rFonts w:ascii="Calibri" w:hAnsi="Calibri" w:cs="Calibri"/>
              </w:rPr>
            </w:pPr>
          </w:p>
          <w:p w14:paraId="3417CB0B" w14:textId="77777777" w:rsidR="00184474" w:rsidRPr="00A23FB4" w:rsidRDefault="00184474" w:rsidP="006237D9">
            <w:pPr>
              <w:rPr>
                <w:rFonts w:ascii="Calibri" w:hAnsi="Calibri" w:cs="Calibri"/>
              </w:rPr>
            </w:pPr>
            <w:r w:rsidRPr="00A23FB4">
              <w:rPr>
                <w:rFonts w:ascii="Calibri" w:hAnsi="Calibri" w:cs="Calibri"/>
              </w:rPr>
              <w:t>3,0</w:t>
            </w:r>
          </w:p>
        </w:tc>
      </w:tr>
    </w:tbl>
    <w:p w14:paraId="01379C2C" w14:textId="77777777" w:rsidR="00184474" w:rsidRPr="00A23FB4" w:rsidRDefault="00184474" w:rsidP="00184474">
      <w:pPr>
        <w:rPr>
          <w:rFonts w:ascii="Calibri" w:hAnsi="Calibri" w:cs="Calibri"/>
        </w:rPr>
      </w:pPr>
    </w:p>
    <w:p w14:paraId="4D6EE6C0" w14:textId="77777777" w:rsidR="00184474" w:rsidRPr="00A23FB4" w:rsidRDefault="00184474" w:rsidP="00184474">
      <w:pPr>
        <w:pStyle w:val="Nagwek4"/>
        <w:tabs>
          <w:tab w:val="left" w:pos="9914"/>
        </w:tabs>
        <w:rPr>
          <w:rFonts w:ascii="Calibri" w:hAnsi="Calibri" w:cs="Calibri"/>
        </w:rPr>
      </w:pPr>
      <w:bookmarkStart w:id="834" w:name="_Toc235080162"/>
      <w:r w:rsidRPr="00A23FB4">
        <w:rPr>
          <w:rFonts w:ascii="Calibri" w:hAnsi="Calibri" w:cs="Calibri"/>
        </w:rPr>
        <w:t>5.8. Malowanie metalowych urządzeń zabezpieczających ruch pieszych</w:t>
      </w:r>
      <w:bookmarkEnd w:id="834"/>
    </w:p>
    <w:p w14:paraId="32973862" w14:textId="77777777" w:rsidR="00184474" w:rsidRPr="00A23FB4" w:rsidRDefault="00184474" w:rsidP="00184474">
      <w:pPr>
        <w:rPr>
          <w:rFonts w:ascii="Calibri" w:hAnsi="Calibri" w:cs="Calibri"/>
        </w:rPr>
      </w:pPr>
      <w:r w:rsidRPr="00A23FB4">
        <w:rPr>
          <w:rFonts w:ascii="Calibri" w:hAnsi="Calibri" w:cs="Calibri"/>
        </w:rPr>
        <w:t>Zaleca się przeprowadzać malowanie w okresie od maja do września, wyłącznie w dni pogodne, przy zalecanej temperaturze powietrza od 15 do 20</w:t>
      </w:r>
      <w:r w:rsidRPr="00A23FB4">
        <w:rPr>
          <w:rFonts w:ascii="Calibri" w:hAnsi="Calibri" w:cs="Calibri"/>
          <w:vertAlign w:val="superscript"/>
        </w:rPr>
        <w:t>o</w:t>
      </w:r>
      <w:r w:rsidRPr="00A23FB4">
        <w:rPr>
          <w:rFonts w:ascii="Calibri" w:hAnsi="Calibri" w:cs="Calibri"/>
        </w:rPr>
        <w:t>C; nie należy malować pędzlem lub wałkiem w temperaturze poniżej  +5</w:t>
      </w:r>
      <w:r w:rsidRPr="00A23FB4">
        <w:rPr>
          <w:rFonts w:ascii="Calibri" w:hAnsi="Calibri" w:cs="Calibri"/>
          <w:vertAlign w:val="superscript"/>
        </w:rPr>
        <w:t>o</w:t>
      </w:r>
      <w:r w:rsidRPr="00A23FB4">
        <w:rPr>
          <w:rFonts w:ascii="Calibri" w:hAnsi="Calibri" w:cs="Calibri"/>
        </w:rPr>
        <w:t>C, jak również malować metodą natryskową w temperaturze poniżej +15</w:t>
      </w:r>
      <w:r w:rsidRPr="00A23FB4">
        <w:rPr>
          <w:rFonts w:ascii="Calibri" w:hAnsi="Calibri" w:cs="Calibri"/>
          <w:vertAlign w:val="superscript"/>
        </w:rPr>
        <w:t>o</w:t>
      </w:r>
      <w:r w:rsidRPr="00A23FB4">
        <w:rPr>
          <w:rFonts w:ascii="Calibri" w:hAnsi="Calibri" w:cs="Calibri"/>
        </w:rPr>
        <w:t>C oraz podczas występującej mgły i rosy.</w:t>
      </w:r>
    </w:p>
    <w:p w14:paraId="6E5AC45E" w14:textId="77777777" w:rsidR="00184474" w:rsidRPr="00A23FB4" w:rsidRDefault="00184474" w:rsidP="00184474">
      <w:pPr>
        <w:rPr>
          <w:rFonts w:ascii="Calibri" w:hAnsi="Calibri" w:cs="Calibri"/>
        </w:rPr>
      </w:pPr>
      <w:r w:rsidRPr="00A23FB4">
        <w:rPr>
          <w:rFonts w:ascii="Calibri" w:hAnsi="Calibri" w:cs="Calibri"/>
        </w:rPr>
        <w:t>Należy przestrzegać następujących zasad przy malowaniu urządzeń:</w:t>
      </w:r>
    </w:p>
    <w:p w14:paraId="2B2C2FE7" w14:textId="77777777" w:rsidR="00184474" w:rsidRPr="00A23FB4" w:rsidRDefault="00184474" w:rsidP="00184474">
      <w:pPr>
        <w:rPr>
          <w:rFonts w:ascii="Calibri" w:hAnsi="Calibri" w:cs="Calibri"/>
        </w:rPr>
      </w:pPr>
      <w:r w:rsidRPr="00A23FB4">
        <w:rPr>
          <w:rFonts w:ascii="Calibri" w:hAnsi="Calibri" w:cs="Calibri"/>
        </w:rPr>
        <w:t>z powierzchni stali należy usunąć bardzo starannie pył, kurz, pleśnie, tłuszcz, rdzę, zgorzelinę, ewentualnie starą łuszczącą się farbę i inne zabrudzenia zmniejszające przyczepność farby do podłoża; poprzez zmywanie, usuwanie przy użyciu szczotek stalowych, odrdzewiaczy chemicznych, materiałów ściernych, piaskowania, odpalania, ługowania lub przy zastosowaniu innych środków, zgodnie z wymaganiami PN-ISO-8501-1 i PN-H-97052, przed malowaniem należy wypełnić wgłębienia i rysy na powierzchniach za pomocą kitów lub szpachlówek ogólnego stosowania, a następnie - wygładzić i zeszlifować podłoże pod farbę, do malowania można stosować farby ogólnego stosowania przeznaczone do użytku zewnętrznego, dobrej jakości, z nieprzekroczonym okresem gwarancji, jako:</w:t>
      </w:r>
    </w:p>
    <w:p w14:paraId="59367E2B" w14:textId="77777777" w:rsidR="00184474" w:rsidRPr="00A23FB4" w:rsidRDefault="00184474" w:rsidP="00184474">
      <w:pPr>
        <w:rPr>
          <w:rFonts w:ascii="Calibri" w:hAnsi="Calibri" w:cs="Calibri"/>
        </w:rPr>
      </w:pPr>
      <w:r w:rsidRPr="00A23FB4">
        <w:rPr>
          <w:rFonts w:ascii="Calibri" w:hAnsi="Calibri" w:cs="Calibri"/>
        </w:rPr>
        <w:t>- farby do gruntowania przeciwrdzewnego (farby i lakiery przeciwkorozyjne),</w:t>
      </w:r>
    </w:p>
    <w:p w14:paraId="1A931BE1" w14:textId="77777777" w:rsidR="00184474" w:rsidRPr="00A23FB4" w:rsidRDefault="00184474" w:rsidP="00184474">
      <w:pPr>
        <w:rPr>
          <w:rFonts w:ascii="Calibri" w:hAnsi="Calibri" w:cs="Calibri"/>
        </w:rPr>
      </w:pPr>
      <w:r w:rsidRPr="00A23FB4">
        <w:rPr>
          <w:rFonts w:ascii="Calibri" w:hAnsi="Calibri" w:cs="Calibri"/>
        </w:rPr>
        <w:t>- farby nawierzchniowe (np. lakiery, emalie, wyroby ftalowe, ftalowo-styrenowe, akrylowe itp. oraz rozcieńczalniki zalecone przez producenta stosowanej farby,</w:t>
      </w:r>
    </w:p>
    <w:p w14:paraId="18A13B91" w14:textId="77777777" w:rsidR="00184474" w:rsidRPr="00A23FB4" w:rsidRDefault="00184474" w:rsidP="00184474">
      <w:pPr>
        <w:rPr>
          <w:rFonts w:ascii="Calibri" w:hAnsi="Calibri" w:cs="Calibri"/>
        </w:rPr>
      </w:pPr>
      <w:r w:rsidRPr="00A23FB4">
        <w:rPr>
          <w:rFonts w:ascii="Calibri" w:hAnsi="Calibri" w:cs="Calibri"/>
        </w:rPr>
        <w:t>- farbę dłużej przechowywaną należy przygotować do malowania przez usunięcie „kożucha” (zestalonej substancji błonotwórczej na powierzchni farby), dokładne wymieszanie (połączenie lżejszych i cięższych składników farby), rozcieńczenie zbyt zgęstniałej farby, ewentualne przecedzenie (usunięcie nierozmieszanych resztek osadu i innych zanieczyszczeń).</w:t>
      </w:r>
    </w:p>
    <w:p w14:paraId="7C76DF52" w14:textId="77777777" w:rsidR="00184474" w:rsidRPr="00A23FB4" w:rsidRDefault="00184474" w:rsidP="00184474">
      <w:pPr>
        <w:rPr>
          <w:rFonts w:ascii="Calibri" w:hAnsi="Calibri" w:cs="Calibri"/>
        </w:rPr>
      </w:pPr>
      <w:r w:rsidRPr="00A23FB4">
        <w:rPr>
          <w:rFonts w:ascii="Calibri" w:hAnsi="Calibri" w:cs="Calibri"/>
        </w:rPr>
        <w:t>Malowanie można przeprowadzać pędzlami, wałkami malarskimi lub ewentualnie metodą natryskową (pistoletami elektrycznymi, urządzeniami kompresorowymi itp.), z zasady malowanie należy wykonać dwuwarstwowo: farbą do gruntowania i farbą nawierzchniową, przy czym każdą następną warstwę można nałożyć po całkowitym wyschnięciu farby poprzedniej.</w:t>
      </w:r>
    </w:p>
    <w:p w14:paraId="77624F16" w14:textId="77777777" w:rsidR="00184474" w:rsidRPr="00A23FB4" w:rsidRDefault="00184474" w:rsidP="00184474">
      <w:pPr>
        <w:rPr>
          <w:rFonts w:ascii="Calibri" w:hAnsi="Calibri" w:cs="Calibri"/>
        </w:rPr>
      </w:pPr>
      <w:r w:rsidRPr="00A23FB4">
        <w:rPr>
          <w:rFonts w:ascii="Calibri" w:hAnsi="Calibri" w:cs="Calibri"/>
        </w:rPr>
        <w:t>Malowanie powinno odpowiadać wymaganiom PN-H-97053.</w:t>
      </w:r>
    </w:p>
    <w:p w14:paraId="1180FA67" w14:textId="77777777" w:rsidR="00184474" w:rsidRPr="00A23FB4" w:rsidRDefault="00184474" w:rsidP="00184474">
      <w:pPr>
        <w:rPr>
          <w:rFonts w:ascii="Calibri" w:hAnsi="Calibri" w:cs="Calibri"/>
        </w:rPr>
      </w:pPr>
      <w:r w:rsidRPr="00A23FB4">
        <w:rPr>
          <w:rFonts w:ascii="Calibri" w:hAnsi="Calibri" w:cs="Calibri"/>
        </w:rPr>
        <w:t>Rodzaj farby oraz liczbę jej warstw zastosowanych przy malowaniu określają dokumentacja projektowa lub Inżynier na wniosek Wykonawcy.</w:t>
      </w:r>
    </w:p>
    <w:p w14:paraId="1C12FB31" w14:textId="77777777" w:rsidR="00184474" w:rsidRPr="00A23FB4" w:rsidRDefault="00184474" w:rsidP="00184474">
      <w:pPr>
        <w:rPr>
          <w:rFonts w:ascii="Calibri" w:hAnsi="Calibri" w:cs="Calibri"/>
        </w:rPr>
      </w:pPr>
      <w:r w:rsidRPr="00A23FB4">
        <w:rPr>
          <w:rFonts w:ascii="Calibri" w:hAnsi="Calibri" w:cs="Calibri"/>
        </w:rPr>
        <w:t>Należy zwracać uwagę na dokładne pokrycie farbą miejsc stykania się słupka metalowego z betonem fundamentu, ze względu na najszybsze niszczenie się farby w tych miejscach i pojawianie się rdzawych zacieków sygnalizujących korozje słupka.</w:t>
      </w:r>
    </w:p>
    <w:p w14:paraId="1F3B3C01" w14:textId="77777777" w:rsidR="00184474" w:rsidRPr="00A23FB4" w:rsidRDefault="00184474" w:rsidP="00184474">
      <w:pPr>
        <w:rPr>
          <w:rFonts w:ascii="Calibri" w:hAnsi="Calibri" w:cs="Calibri"/>
        </w:rPr>
      </w:pPr>
      <w:r w:rsidRPr="00A23FB4">
        <w:rPr>
          <w:rFonts w:ascii="Calibri" w:hAnsi="Calibri" w:cs="Calibri"/>
        </w:rPr>
        <w:t>Zaleca się stosowanie farb możliwie jak najmniej szkodliwych dla zdrowia ludzi i środowiska, z niską zawartością m.in. niearomatycznych rozpuszczalników. Przy stosowaniu farb nieznanego pochodzenia Wykonawca przedstawi do akceptacji Inżyniera badania na zawartość szkodliwych składników (np. trującego toluenu jako rozpuszczalnika).</w:t>
      </w:r>
    </w:p>
    <w:p w14:paraId="3E79A47E" w14:textId="77777777" w:rsidR="00184474" w:rsidRPr="00A23FB4" w:rsidRDefault="00184474" w:rsidP="00184474">
      <w:pPr>
        <w:rPr>
          <w:rFonts w:ascii="Calibri" w:hAnsi="Calibri" w:cs="Calibri"/>
        </w:rPr>
      </w:pPr>
      <w:r w:rsidRPr="00A23FB4">
        <w:rPr>
          <w:rFonts w:ascii="Calibri" w:hAnsi="Calibri" w:cs="Calibri"/>
        </w:rPr>
        <w:t>Wykonawca nie dopuści do skażenia farbami wód powierzchniowych    i gruntowych oraz kanalizacji. Zlewki poprodukcyjne, powstające przy myciu urządzeń i pędzli oraz z samej farby, należy usuwać do izolowanych zbiorników, w celu ich naturalnej lub sztucznej neutralizacji i detoksykacji.</w:t>
      </w:r>
      <w:r w:rsidRPr="00A23FB4">
        <w:rPr>
          <w:rFonts w:ascii="Calibri" w:hAnsi="Calibri" w:cs="Calibri"/>
        </w:rPr>
        <w:br/>
      </w:r>
    </w:p>
    <w:p w14:paraId="5BA83D1B" w14:textId="77777777" w:rsidR="00184474" w:rsidRPr="00A23FB4" w:rsidRDefault="00184474" w:rsidP="00184474">
      <w:pPr>
        <w:rPr>
          <w:rFonts w:ascii="Calibri" w:hAnsi="Calibri" w:cs="Calibri"/>
          <w:b/>
        </w:rPr>
      </w:pPr>
      <w:bookmarkStart w:id="835" w:name="_Toc425562418"/>
      <w:bookmarkStart w:id="836" w:name="_Toc235080163"/>
      <w:r w:rsidRPr="00A23FB4">
        <w:rPr>
          <w:rFonts w:ascii="Calibri" w:hAnsi="Calibri" w:cs="Calibri"/>
          <w:b/>
        </w:rPr>
        <w:t>6. KONTROLA JAKOŚCI ROBÓT</w:t>
      </w:r>
      <w:bookmarkEnd w:id="835"/>
      <w:bookmarkEnd w:id="836"/>
    </w:p>
    <w:p w14:paraId="603D0BA6" w14:textId="77777777" w:rsidR="00184474" w:rsidRPr="00A23FB4" w:rsidRDefault="00184474" w:rsidP="00184474">
      <w:pPr>
        <w:pStyle w:val="Nagwek4"/>
        <w:tabs>
          <w:tab w:val="left" w:pos="9914"/>
        </w:tabs>
        <w:rPr>
          <w:rFonts w:ascii="Calibri" w:hAnsi="Calibri" w:cs="Calibri"/>
        </w:rPr>
      </w:pPr>
      <w:bookmarkStart w:id="837" w:name="_Toc235080164"/>
      <w:r w:rsidRPr="00A23FB4">
        <w:rPr>
          <w:rFonts w:ascii="Calibri" w:hAnsi="Calibri" w:cs="Calibri"/>
        </w:rPr>
        <w:t>6.1. Ogólne zasady kontroli jakości robót</w:t>
      </w:r>
      <w:bookmarkEnd w:id="837"/>
    </w:p>
    <w:p w14:paraId="20F4CD27" w14:textId="25B733C4" w:rsidR="00184474" w:rsidRPr="00A23FB4" w:rsidRDefault="00184474" w:rsidP="00184474">
      <w:pPr>
        <w:rPr>
          <w:rFonts w:ascii="Calibri" w:hAnsi="Calibri" w:cs="Calibri"/>
        </w:rPr>
      </w:pPr>
      <w:r w:rsidRPr="00A23FB4">
        <w:rPr>
          <w:rFonts w:ascii="Calibri" w:hAnsi="Calibri" w:cs="Calibri"/>
        </w:rPr>
        <w:t xml:space="preserve">Ogólne zasady kontroli jakości robót podano w </w:t>
      </w:r>
      <w:r w:rsidR="00C62A07">
        <w:rPr>
          <w:rFonts w:ascii="Calibri" w:hAnsi="Calibri" w:cs="Calibri"/>
        </w:rPr>
        <w:t>ST</w:t>
      </w:r>
      <w:r w:rsidRPr="00A23FB4">
        <w:rPr>
          <w:rFonts w:ascii="Calibri" w:hAnsi="Calibri" w:cs="Calibri"/>
        </w:rPr>
        <w:t>WiORB D-M-00.00.00 „Wymagania ogólne” pkt 6.</w:t>
      </w:r>
    </w:p>
    <w:p w14:paraId="6A6F0F95" w14:textId="77777777" w:rsidR="00184474" w:rsidRPr="00A23FB4" w:rsidRDefault="00184474" w:rsidP="00184474">
      <w:pPr>
        <w:pStyle w:val="Nagwek4"/>
        <w:tabs>
          <w:tab w:val="left" w:pos="9914"/>
        </w:tabs>
        <w:rPr>
          <w:rFonts w:ascii="Calibri" w:hAnsi="Calibri" w:cs="Calibri"/>
        </w:rPr>
      </w:pPr>
      <w:bookmarkStart w:id="838" w:name="_Toc235080165"/>
      <w:r w:rsidRPr="00A23FB4">
        <w:rPr>
          <w:rFonts w:ascii="Calibri" w:hAnsi="Calibri" w:cs="Calibri"/>
        </w:rPr>
        <w:t>6.2. Badania przed przystąpieniem do robót</w:t>
      </w:r>
      <w:bookmarkEnd w:id="838"/>
    </w:p>
    <w:p w14:paraId="41B5ACBB" w14:textId="77777777" w:rsidR="00184474" w:rsidRPr="00A23FB4" w:rsidRDefault="00184474" w:rsidP="00184474">
      <w:pPr>
        <w:rPr>
          <w:rFonts w:ascii="Calibri" w:hAnsi="Calibri" w:cs="Calibri"/>
        </w:rPr>
      </w:pPr>
      <w:r w:rsidRPr="00A23FB4">
        <w:rPr>
          <w:rFonts w:ascii="Calibri" w:hAnsi="Calibri" w:cs="Calibri"/>
        </w:rPr>
        <w:t>Przed przystąpieniem do robót Wykonawca powinien uzyskać od producentów zaświadczenia o jakości (atesty) oraz wykonać badania materiałów przeznaczonych do wykonania robót i przedstawić ich wyniki Inżynierowi w celu akceptacji materiałów, zgodnie z wymaganiami określonymi w pkt 2.</w:t>
      </w:r>
    </w:p>
    <w:p w14:paraId="71B06775" w14:textId="77777777" w:rsidR="00184474" w:rsidRPr="00A23FB4" w:rsidRDefault="00184474" w:rsidP="00184474">
      <w:pPr>
        <w:rPr>
          <w:rFonts w:ascii="Calibri" w:hAnsi="Calibri" w:cs="Calibri"/>
        </w:rPr>
      </w:pPr>
      <w:r w:rsidRPr="00A23FB4">
        <w:rPr>
          <w:rFonts w:ascii="Calibri" w:hAnsi="Calibri" w:cs="Calibri"/>
        </w:rPr>
        <w:t>Do materiałów, których badania powinien przeprowadzić Wykonawca należą materiały do wykonania fundamentów betonowych „na mokro”. Uwzględniając nieskomplikowany charakter robót fundamentowych, na wniosek Wykonawcy, Inżynier może zwolnić go z potrzeby wykonania badań materiałów dla tych robót.</w:t>
      </w:r>
    </w:p>
    <w:p w14:paraId="177DF86E" w14:textId="77777777" w:rsidR="00184474" w:rsidRPr="00A23FB4" w:rsidRDefault="00184474" w:rsidP="00184474">
      <w:pPr>
        <w:pStyle w:val="Nagwek4"/>
        <w:tabs>
          <w:tab w:val="left" w:pos="9914"/>
        </w:tabs>
        <w:rPr>
          <w:rFonts w:ascii="Calibri" w:hAnsi="Calibri" w:cs="Calibri"/>
        </w:rPr>
      </w:pPr>
      <w:bookmarkStart w:id="839" w:name="_Toc235080166"/>
      <w:r w:rsidRPr="00A23FB4">
        <w:rPr>
          <w:rFonts w:ascii="Calibri" w:hAnsi="Calibri" w:cs="Calibri"/>
        </w:rPr>
        <w:t>6.3. Badania i kontrola w czasie wykonywania robót</w:t>
      </w:r>
      <w:bookmarkEnd w:id="839"/>
    </w:p>
    <w:p w14:paraId="56B0506D" w14:textId="77777777" w:rsidR="00184474" w:rsidRPr="00A23FB4" w:rsidRDefault="00184474" w:rsidP="00184474">
      <w:pPr>
        <w:rPr>
          <w:rFonts w:ascii="Calibri" w:hAnsi="Calibri" w:cs="Calibri"/>
          <w:b/>
          <w:bCs/>
          <w:i/>
          <w:iCs/>
        </w:rPr>
      </w:pPr>
      <w:r w:rsidRPr="00A23FB4">
        <w:rPr>
          <w:rFonts w:ascii="Calibri" w:hAnsi="Calibri" w:cs="Calibri"/>
          <w:b/>
          <w:bCs/>
          <w:i/>
          <w:iCs/>
        </w:rPr>
        <w:t>6.3.1. Badania materiałów w czasie wykonywania robót</w:t>
      </w:r>
    </w:p>
    <w:p w14:paraId="450A55D7" w14:textId="77777777" w:rsidR="00184474" w:rsidRPr="00A23FB4" w:rsidRDefault="00184474" w:rsidP="00184474">
      <w:pPr>
        <w:rPr>
          <w:rFonts w:ascii="Calibri" w:hAnsi="Calibri" w:cs="Calibri"/>
        </w:rPr>
      </w:pPr>
      <w:r w:rsidRPr="00A23FB4">
        <w:rPr>
          <w:rFonts w:ascii="Calibri" w:hAnsi="Calibri" w:cs="Calibri"/>
        </w:rPr>
        <w:t>Wszystkie materiały dostarczone na budowę z zaświadczeniem o jakości (atestem) producenta powinny być sprawdzone w zakresie powierzchni wyrobu i jego wymiarów.</w:t>
      </w:r>
    </w:p>
    <w:p w14:paraId="388BF6B1" w14:textId="77777777" w:rsidR="00184474" w:rsidRPr="00A23FB4" w:rsidRDefault="00184474" w:rsidP="00184474">
      <w:pPr>
        <w:rPr>
          <w:rFonts w:ascii="Calibri" w:hAnsi="Calibri" w:cs="Calibri"/>
        </w:rPr>
      </w:pPr>
      <w:r w:rsidRPr="00A23FB4">
        <w:rPr>
          <w:rFonts w:ascii="Calibri" w:hAnsi="Calibri" w:cs="Calibri"/>
        </w:rPr>
        <w:t>Częstotliwość badań i ocena ich wyników powinna być zgodna z zaleceniami tablicy 12.</w:t>
      </w:r>
    </w:p>
    <w:p w14:paraId="6C83B91E" w14:textId="77777777" w:rsidR="00184474" w:rsidRPr="00A23FB4" w:rsidRDefault="00184474" w:rsidP="00184474">
      <w:pPr>
        <w:rPr>
          <w:rFonts w:ascii="Calibri" w:hAnsi="Calibri" w:cs="Calibri"/>
        </w:rPr>
      </w:pPr>
      <w:r w:rsidRPr="00A23FB4">
        <w:rPr>
          <w:rFonts w:ascii="Calibri" w:hAnsi="Calibri" w:cs="Calibri"/>
        </w:rPr>
        <w:t>Tablica 12 Częstotliwość badań przy sprawdzeniu powierzchni i wymiarów wyrobów dostarczonych przez producentów</w:t>
      </w:r>
    </w:p>
    <w:tbl>
      <w:tblPr>
        <w:tblW w:w="9790" w:type="dxa"/>
        <w:tblInd w:w="2" w:type="dxa"/>
        <w:tblBorders>
          <w:top w:val="single" w:sz="6" w:space="0" w:color="auto"/>
          <w:left w:val="single" w:sz="6" w:space="0" w:color="auto"/>
          <w:bottom w:val="single" w:sz="6" w:space="0" w:color="auto"/>
          <w:right w:val="single" w:sz="6" w:space="0" w:color="auto"/>
        </w:tblBorders>
        <w:tblLayout w:type="fixed"/>
        <w:tblCellMar>
          <w:left w:w="70" w:type="dxa"/>
          <w:right w:w="70" w:type="dxa"/>
        </w:tblCellMar>
        <w:tblLook w:val="0000" w:firstRow="0" w:lastRow="0" w:firstColumn="0" w:lastColumn="0" w:noHBand="0" w:noVBand="0"/>
      </w:tblPr>
      <w:tblGrid>
        <w:gridCol w:w="496"/>
        <w:gridCol w:w="1417"/>
        <w:gridCol w:w="2117"/>
        <w:gridCol w:w="3240"/>
        <w:gridCol w:w="2520"/>
      </w:tblGrid>
      <w:tr w:rsidR="00184474" w:rsidRPr="00A23FB4" w14:paraId="19D1F2BD" w14:textId="77777777" w:rsidTr="006237D9">
        <w:tc>
          <w:tcPr>
            <w:tcW w:w="496" w:type="dxa"/>
            <w:tcBorders>
              <w:top w:val="single" w:sz="6" w:space="0" w:color="auto"/>
              <w:bottom w:val="double" w:sz="6" w:space="0" w:color="auto"/>
              <w:right w:val="nil"/>
            </w:tcBorders>
          </w:tcPr>
          <w:p w14:paraId="1461A56B" w14:textId="77777777" w:rsidR="00184474" w:rsidRPr="00A23FB4" w:rsidRDefault="00184474" w:rsidP="006237D9">
            <w:pPr>
              <w:rPr>
                <w:rFonts w:ascii="Calibri" w:hAnsi="Calibri" w:cs="Calibri"/>
              </w:rPr>
            </w:pPr>
            <w:r w:rsidRPr="00A23FB4">
              <w:rPr>
                <w:rFonts w:ascii="Calibri" w:hAnsi="Calibri" w:cs="Calibri"/>
              </w:rPr>
              <w:t>Lp.</w:t>
            </w:r>
          </w:p>
        </w:tc>
        <w:tc>
          <w:tcPr>
            <w:tcW w:w="1417" w:type="dxa"/>
            <w:tcBorders>
              <w:top w:val="single" w:sz="6" w:space="0" w:color="auto"/>
              <w:left w:val="single" w:sz="6" w:space="0" w:color="auto"/>
              <w:bottom w:val="double" w:sz="6" w:space="0" w:color="auto"/>
              <w:right w:val="single" w:sz="6" w:space="0" w:color="auto"/>
            </w:tcBorders>
          </w:tcPr>
          <w:p w14:paraId="0113B48B" w14:textId="77777777" w:rsidR="00184474" w:rsidRPr="00A23FB4" w:rsidRDefault="00184474" w:rsidP="006237D9">
            <w:pPr>
              <w:rPr>
                <w:rFonts w:ascii="Calibri" w:hAnsi="Calibri" w:cs="Calibri"/>
              </w:rPr>
            </w:pPr>
            <w:r w:rsidRPr="00A23FB4">
              <w:rPr>
                <w:rFonts w:ascii="Calibri" w:hAnsi="Calibri" w:cs="Calibri"/>
              </w:rPr>
              <w:t>Rodzaj badania</w:t>
            </w:r>
          </w:p>
        </w:tc>
        <w:tc>
          <w:tcPr>
            <w:tcW w:w="2117" w:type="dxa"/>
            <w:tcBorders>
              <w:top w:val="single" w:sz="6" w:space="0" w:color="auto"/>
              <w:left w:val="nil"/>
              <w:bottom w:val="double" w:sz="6" w:space="0" w:color="auto"/>
              <w:right w:val="nil"/>
            </w:tcBorders>
          </w:tcPr>
          <w:p w14:paraId="6C01F496" w14:textId="77777777" w:rsidR="00184474" w:rsidRPr="00A23FB4" w:rsidRDefault="00184474" w:rsidP="006237D9">
            <w:pPr>
              <w:rPr>
                <w:rFonts w:ascii="Calibri" w:hAnsi="Calibri" w:cs="Calibri"/>
              </w:rPr>
            </w:pPr>
            <w:r w:rsidRPr="00A23FB4">
              <w:rPr>
                <w:rFonts w:ascii="Calibri" w:hAnsi="Calibri" w:cs="Calibri"/>
              </w:rPr>
              <w:t>Liczba badań</w:t>
            </w:r>
          </w:p>
        </w:tc>
        <w:tc>
          <w:tcPr>
            <w:tcW w:w="3240" w:type="dxa"/>
            <w:tcBorders>
              <w:top w:val="single" w:sz="6" w:space="0" w:color="auto"/>
              <w:left w:val="single" w:sz="6" w:space="0" w:color="auto"/>
              <w:bottom w:val="double" w:sz="6" w:space="0" w:color="auto"/>
              <w:right w:val="single" w:sz="6" w:space="0" w:color="auto"/>
            </w:tcBorders>
          </w:tcPr>
          <w:p w14:paraId="22111242" w14:textId="77777777" w:rsidR="00184474" w:rsidRPr="00A23FB4" w:rsidRDefault="00184474" w:rsidP="006237D9">
            <w:pPr>
              <w:rPr>
                <w:rFonts w:ascii="Calibri" w:hAnsi="Calibri" w:cs="Calibri"/>
              </w:rPr>
            </w:pPr>
            <w:r w:rsidRPr="00A23FB4">
              <w:rPr>
                <w:rFonts w:ascii="Calibri" w:hAnsi="Calibri" w:cs="Calibri"/>
              </w:rPr>
              <w:t>Opis badań</w:t>
            </w:r>
          </w:p>
        </w:tc>
        <w:tc>
          <w:tcPr>
            <w:tcW w:w="2520" w:type="dxa"/>
            <w:tcBorders>
              <w:top w:val="single" w:sz="6" w:space="0" w:color="auto"/>
              <w:left w:val="nil"/>
              <w:bottom w:val="double" w:sz="6" w:space="0" w:color="auto"/>
            </w:tcBorders>
          </w:tcPr>
          <w:p w14:paraId="03F6456C" w14:textId="77777777" w:rsidR="00184474" w:rsidRPr="00A23FB4" w:rsidRDefault="00184474" w:rsidP="006237D9">
            <w:pPr>
              <w:rPr>
                <w:rFonts w:ascii="Calibri" w:hAnsi="Calibri" w:cs="Calibri"/>
              </w:rPr>
            </w:pPr>
            <w:r w:rsidRPr="00A23FB4">
              <w:rPr>
                <w:rFonts w:ascii="Calibri" w:hAnsi="Calibri" w:cs="Calibri"/>
              </w:rPr>
              <w:t>Ocena wyników badań</w:t>
            </w:r>
          </w:p>
        </w:tc>
      </w:tr>
      <w:tr w:rsidR="00184474" w:rsidRPr="00A23FB4" w14:paraId="5844EE83" w14:textId="77777777" w:rsidTr="006237D9">
        <w:tc>
          <w:tcPr>
            <w:tcW w:w="496" w:type="dxa"/>
            <w:tcBorders>
              <w:top w:val="nil"/>
              <w:bottom w:val="single" w:sz="6" w:space="0" w:color="auto"/>
              <w:right w:val="single" w:sz="6" w:space="0" w:color="auto"/>
            </w:tcBorders>
          </w:tcPr>
          <w:p w14:paraId="265A0079" w14:textId="77777777" w:rsidR="00184474" w:rsidRPr="00A23FB4" w:rsidRDefault="00184474" w:rsidP="006237D9">
            <w:pPr>
              <w:rPr>
                <w:rFonts w:ascii="Calibri" w:hAnsi="Calibri" w:cs="Calibri"/>
              </w:rPr>
            </w:pPr>
            <w:r w:rsidRPr="00A23FB4">
              <w:rPr>
                <w:rFonts w:ascii="Calibri" w:hAnsi="Calibri" w:cs="Calibri"/>
              </w:rPr>
              <w:t>1</w:t>
            </w:r>
          </w:p>
        </w:tc>
        <w:tc>
          <w:tcPr>
            <w:tcW w:w="1417" w:type="dxa"/>
            <w:tcBorders>
              <w:top w:val="nil"/>
              <w:left w:val="nil"/>
              <w:bottom w:val="nil"/>
              <w:right w:val="single" w:sz="6" w:space="0" w:color="auto"/>
            </w:tcBorders>
          </w:tcPr>
          <w:p w14:paraId="65D0E431" w14:textId="77777777" w:rsidR="00184474" w:rsidRPr="00A23FB4" w:rsidRDefault="00184474" w:rsidP="006237D9">
            <w:pPr>
              <w:rPr>
                <w:rFonts w:ascii="Calibri" w:hAnsi="Calibri" w:cs="Calibri"/>
              </w:rPr>
            </w:pPr>
            <w:r w:rsidRPr="00A23FB4">
              <w:rPr>
                <w:rFonts w:ascii="Calibri" w:hAnsi="Calibri" w:cs="Calibri"/>
              </w:rPr>
              <w:t>Sprawdzenie powierzchni</w:t>
            </w:r>
          </w:p>
        </w:tc>
        <w:tc>
          <w:tcPr>
            <w:tcW w:w="2117" w:type="dxa"/>
            <w:tcBorders>
              <w:top w:val="nil"/>
              <w:left w:val="nil"/>
              <w:bottom w:val="nil"/>
              <w:right w:val="single" w:sz="6" w:space="0" w:color="auto"/>
            </w:tcBorders>
          </w:tcPr>
          <w:p w14:paraId="19CF1B86" w14:textId="77777777" w:rsidR="00184474" w:rsidRPr="00A23FB4" w:rsidRDefault="00184474" w:rsidP="006237D9">
            <w:pPr>
              <w:rPr>
                <w:rFonts w:ascii="Calibri" w:hAnsi="Calibri" w:cs="Calibri"/>
              </w:rPr>
            </w:pPr>
            <w:r w:rsidRPr="00A23FB4">
              <w:rPr>
                <w:rFonts w:ascii="Calibri" w:hAnsi="Calibri" w:cs="Calibri"/>
              </w:rPr>
              <w:t>od 5 do 10 badań z wybra-  nych losowo elementów w każdej dostar-  czonej partii</w:t>
            </w:r>
          </w:p>
        </w:tc>
        <w:tc>
          <w:tcPr>
            <w:tcW w:w="3240" w:type="dxa"/>
            <w:tcBorders>
              <w:top w:val="nil"/>
              <w:left w:val="nil"/>
              <w:bottom w:val="nil"/>
              <w:right w:val="single" w:sz="6" w:space="0" w:color="auto"/>
            </w:tcBorders>
          </w:tcPr>
          <w:p w14:paraId="395F907D" w14:textId="77777777" w:rsidR="00184474" w:rsidRPr="00A23FB4" w:rsidRDefault="00184474" w:rsidP="006237D9">
            <w:pPr>
              <w:rPr>
                <w:rFonts w:ascii="Calibri" w:hAnsi="Calibri" w:cs="Calibri"/>
              </w:rPr>
            </w:pPr>
            <w:r w:rsidRPr="00A23FB4">
              <w:rPr>
                <w:rFonts w:ascii="Calibri" w:hAnsi="Calibri" w:cs="Calibri"/>
              </w:rPr>
              <w:t>Powierzchnię zbadać nieuzbrojonym okiem. Do ew. sprawdzenia głębokości wad użyć dostępnych narzędzi (np. liniałów z czujnikiem, suwmiarek, mikrometrów itp.</w:t>
            </w:r>
          </w:p>
        </w:tc>
        <w:tc>
          <w:tcPr>
            <w:tcW w:w="2520" w:type="dxa"/>
            <w:vMerge w:val="restart"/>
            <w:tcBorders>
              <w:top w:val="nil"/>
              <w:left w:val="nil"/>
            </w:tcBorders>
          </w:tcPr>
          <w:p w14:paraId="2236D6B7" w14:textId="77777777" w:rsidR="00184474" w:rsidRPr="00A23FB4" w:rsidRDefault="00184474" w:rsidP="006237D9">
            <w:pPr>
              <w:rPr>
                <w:rFonts w:ascii="Calibri" w:hAnsi="Calibri" w:cs="Calibri"/>
              </w:rPr>
            </w:pPr>
          </w:p>
          <w:p w14:paraId="2CD7F303" w14:textId="77777777" w:rsidR="00184474" w:rsidRPr="00A23FB4" w:rsidRDefault="00184474" w:rsidP="006237D9">
            <w:pPr>
              <w:rPr>
                <w:rFonts w:ascii="Calibri" w:hAnsi="Calibri" w:cs="Calibri"/>
              </w:rPr>
            </w:pPr>
          </w:p>
          <w:p w14:paraId="73928D55" w14:textId="77777777" w:rsidR="00184474" w:rsidRPr="00A23FB4" w:rsidRDefault="00184474" w:rsidP="006237D9">
            <w:pPr>
              <w:rPr>
                <w:rFonts w:ascii="Calibri" w:hAnsi="Calibri" w:cs="Calibri"/>
              </w:rPr>
            </w:pPr>
            <w:r w:rsidRPr="00A23FB4">
              <w:rPr>
                <w:rFonts w:ascii="Calibri" w:hAnsi="Calibri" w:cs="Calibri"/>
              </w:rPr>
              <w:t>Wyniki badań powinny być zgodne z wymaganiami punktu 2..</w:t>
            </w:r>
          </w:p>
        </w:tc>
      </w:tr>
      <w:tr w:rsidR="00184474" w:rsidRPr="00A23FB4" w14:paraId="14901483" w14:textId="77777777" w:rsidTr="006237D9">
        <w:tc>
          <w:tcPr>
            <w:tcW w:w="496" w:type="dxa"/>
            <w:tcBorders>
              <w:top w:val="nil"/>
              <w:bottom w:val="single" w:sz="6" w:space="0" w:color="auto"/>
              <w:right w:val="nil"/>
            </w:tcBorders>
          </w:tcPr>
          <w:p w14:paraId="677F0283" w14:textId="77777777" w:rsidR="00184474" w:rsidRPr="00A23FB4" w:rsidRDefault="00184474" w:rsidP="006237D9">
            <w:pPr>
              <w:rPr>
                <w:rFonts w:ascii="Calibri" w:hAnsi="Calibri" w:cs="Calibri"/>
              </w:rPr>
            </w:pPr>
          </w:p>
          <w:p w14:paraId="0E903D26" w14:textId="77777777" w:rsidR="00184474" w:rsidRPr="00A23FB4" w:rsidRDefault="00184474" w:rsidP="006237D9">
            <w:pPr>
              <w:rPr>
                <w:rFonts w:ascii="Calibri" w:hAnsi="Calibri" w:cs="Calibri"/>
              </w:rPr>
            </w:pPr>
            <w:r w:rsidRPr="00A23FB4">
              <w:rPr>
                <w:rFonts w:ascii="Calibri" w:hAnsi="Calibri" w:cs="Calibri"/>
              </w:rPr>
              <w:t>2</w:t>
            </w:r>
          </w:p>
        </w:tc>
        <w:tc>
          <w:tcPr>
            <w:tcW w:w="1417" w:type="dxa"/>
            <w:tcBorders>
              <w:top w:val="single" w:sz="6" w:space="0" w:color="auto"/>
              <w:left w:val="single" w:sz="6" w:space="0" w:color="auto"/>
              <w:bottom w:val="single" w:sz="6" w:space="0" w:color="auto"/>
              <w:right w:val="single" w:sz="6" w:space="0" w:color="auto"/>
            </w:tcBorders>
          </w:tcPr>
          <w:p w14:paraId="4E86A150" w14:textId="77777777" w:rsidR="00184474" w:rsidRPr="00A23FB4" w:rsidRDefault="00184474" w:rsidP="006237D9">
            <w:pPr>
              <w:rPr>
                <w:rFonts w:ascii="Calibri" w:hAnsi="Calibri" w:cs="Calibri"/>
              </w:rPr>
            </w:pPr>
          </w:p>
          <w:p w14:paraId="1DE750FB" w14:textId="77777777" w:rsidR="00184474" w:rsidRPr="00A23FB4" w:rsidRDefault="00184474" w:rsidP="006237D9">
            <w:pPr>
              <w:rPr>
                <w:rFonts w:ascii="Calibri" w:hAnsi="Calibri" w:cs="Calibri"/>
              </w:rPr>
            </w:pPr>
            <w:r w:rsidRPr="00A23FB4">
              <w:rPr>
                <w:rFonts w:ascii="Calibri" w:hAnsi="Calibri" w:cs="Calibri"/>
              </w:rPr>
              <w:t>Sprawdzenie wymiarów</w:t>
            </w:r>
          </w:p>
        </w:tc>
        <w:tc>
          <w:tcPr>
            <w:tcW w:w="2117" w:type="dxa"/>
            <w:tcBorders>
              <w:top w:val="nil"/>
              <w:left w:val="nil"/>
              <w:bottom w:val="single" w:sz="6" w:space="0" w:color="auto"/>
              <w:right w:val="nil"/>
            </w:tcBorders>
          </w:tcPr>
          <w:p w14:paraId="4E1A7BA2" w14:textId="77777777" w:rsidR="00184474" w:rsidRPr="00A23FB4" w:rsidRDefault="00184474" w:rsidP="006237D9">
            <w:pPr>
              <w:rPr>
                <w:rFonts w:ascii="Calibri" w:hAnsi="Calibri" w:cs="Calibri"/>
              </w:rPr>
            </w:pPr>
            <w:r w:rsidRPr="00A23FB4">
              <w:rPr>
                <w:rFonts w:ascii="Calibri" w:hAnsi="Calibri" w:cs="Calibri"/>
              </w:rPr>
              <w:t>wyrobów liczą-cej do 1000 elementów</w:t>
            </w:r>
          </w:p>
        </w:tc>
        <w:tc>
          <w:tcPr>
            <w:tcW w:w="3240" w:type="dxa"/>
            <w:tcBorders>
              <w:top w:val="single" w:sz="6" w:space="0" w:color="auto"/>
              <w:left w:val="single" w:sz="6" w:space="0" w:color="auto"/>
              <w:bottom w:val="single" w:sz="6" w:space="0" w:color="auto"/>
              <w:right w:val="single" w:sz="6" w:space="0" w:color="auto"/>
            </w:tcBorders>
          </w:tcPr>
          <w:p w14:paraId="6905D682" w14:textId="77777777" w:rsidR="00184474" w:rsidRPr="00A23FB4" w:rsidRDefault="00184474" w:rsidP="006237D9">
            <w:pPr>
              <w:rPr>
                <w:rFonts w:ascii="Calibri" w:hAnsi="Calibri" w:cs="Calibri"/>
              </w:rPr>
            </w:pPr>
          </w:p>
          <w:p w14:paraId="20031F35" w14:textId="77777777" w:rsidR="00184474" w:rsidRPr="00A23FB4" w:rsidRDefault="00184474" w:rsidP="006237D9">
            <w:pPr>
              <w:rPr>
                <w:rFonts w:ascii="Calibri" w:hAnsi="Calibri" w:cs="Calibri"/>
              </w:rPr>
            </w:pPr>
            <w:r w:rsidRPr="00A23FB4">
              <w:rPr>
                <w:rFonts w:ascii="Calibri" w:hAnsi="Calibri" w:cs="Calibri"/>
              </w:rPr>
              <w:t>Przeprowadzić uniwersalnymi przyrządami pomiarowymi lub sprawdzianami</w:t>
            </w:r>
          </w:p>
        </w:tc>
        <w:tc>
          <w:tcPr>
            <w:tcW w:w="2520" w:type="dxa"/>
            <w:vMerge/>
            <w:tcBorders>
              <w:left w:val="nil"/>
              <w:bottom w:val="single" w:sz="6" w:space="0" w:color="auto"/>
            </w:tcBorders>
          </w:tcPr>
          <w:p w14:paraId="32D0EFE6" w14:textId="77777777" w:rsidR="00184474" w:rsidRPr="00A23FB4" w:rsidRDefault="00184474" w:rsidP="006237D9">
            <w:pPr>
              <w:rPr>
                <w:rFonts w:ascii="Calibri" w:hAnsi="Calibri" w:cs="Calibri"/>
              </w:rPr>
            </w:pPr>
          </w:p>
        </w:tc>
      </w:tr>
    </w:tbl>
    <w:p w14:paraId="766FA3C7" w14:textId="77777777" w:rsidR="00184474" w:rsidRPr="00A23FB4" w:rsidRDefault="00184474" w:rsidP="00184474">
      <w:pPr>
        <w:rPr>
          <w:rFonts w:ascii="Calibri" w:hAnsi="Calibri" w:cs="Calibri"/>
        </w:rPr>
      </w:pPr>
    </w:p>
    <w:p w14:paraId="33EB005B" w14:textId="77777777" w:rsidR="00184474" w:rsidRPr="00A23FB4" w:rsidRDefault="00184474" w:rsidP="00184474">
      <w:pPr>
        <w:rPr>
          <w:rFonts w:ascii="Calibri" w:hAnsi="Calibri" w:cs="Calibri"/>
        </w:rPr>
      </w:pPr>
      <w:r w:rsidRPr="00A23FB4">
        <w:rPr>
          <w:rFonts w:ascii="Calibri" w:hAnsi="Calibri" w:cs="Calibri"/>
        </w:rPr>
        <w:t>W przypadkach budzących wątpliwości można zlecić uprawnionej jednostce zbadanie właściwości dostarczonych wyrobów i materiałów w zakresie wymagań podanych w pkt 2.</w:t>
      </w:r>
    </w:p>
    <w:p w14:paraId="59796EA9" w14:textId="77777777" w:rsidR="00184474" w:rsidRPr="00A23FB4" w:rsidRDefault="00184474" w:rsidP="00184474">
      <w:pPr>
        <w:rPr>
          <w:rFonts w:ascii="Calibri" w:hAnsi="Calibri" w:cs="Calibri"/>
          <w:b/>
          <w:bCs/>
          <w:i/>
          <w:iCs/>
        </w:rPr>
      </w:pPr>
    </w:p>
    <w:p w14:paraId="22972DCD" w14:textId="77777777" w:rsidR="00184474" w:rsidRPr="00A23FB4" w:rsidRDefault="00184474" w:rsidP="00184474">
      <w:pPr>
        <w:rPr>
          <w:rFonts w:ascii="Calibri" w:hAnsi="Calibri" w:cs="Calibri"/>
          <w:b/>
          <w:bCs/>
          <w:i/>
          <w:iCs/>
        </w:rPr>
      </w:pPr>
      <w:r w:rsidRPr="00A23FB4">
        <w:rPr>
          <w:rFonts w:ascii="Calibri" w:hAnsi="Calibri" w:cs="Calibri"/>
          <w:b/>
          <w:bCs/>
          <w:i/>
          <w:iCs/>
        </w:rPr>
        <w:t>6.3.2. Kontrola w czasie wykonywania robót</w:t>
      </w:r>
    </w:p>
    <w:p w14:paraId="1CC4D43C" w14:textId="77777777" w:rsidR="00184474" w:rsidRPr="00A23FB4" w:rsidRDefault="00184474" w:rsidP="00184474">
      <w:pPr>
        <w:rPr>
          <w:rFonts w:ascii="Calibri" w:hAnsi="Calibri" w:cs="Calibri"/>
        </w:rPr>
      </w:pPr>
      <w:r w:rsidRPr="00A23FB4">
        <w:rPr>
          <w:rFonts w:ascii="Calibri" w:hAnsi="Calibri" w:cs="Calibri"/>
        </w:rPr>
        <w:t>W czasie wykonywania urządzeń zabezpieczających ruch pieszych należy zbadać: zgodność wykonania urządzeń z dokumentacją projektową (lokalizacja, wymiary), zachowanie dopuszczalnych odchyłek wymiarów, zgodnie z pkt 2. prawidłowość wykonania dołów pod słupki, zgodnie z punktem 5, poprawność wykonania fundamentów pod słupki zgodnie z punktem 5, poprawność ustawienia słupków, zgodnie z punktem 5.</w:t>
      </w:r>
    </w:p>
    <w:p w14:paraId="460ED591" w14:textId="77777777" w:rsidR="00184474" w:rsidRPr="00A23FB4" w:rsidRDefault="00184474" w:rsidP="00184474">
      <w:pPr>
        <w:rPr>
          <w:rFonts w:ascii="Calibri" w:hAnsi="Calibri" w:cs="Calibri"/>
        </w:rPr>
      </w:pPr>
    </w:p>
    <w:p w14:paraId="4223F85D" w14:textId="77777777" w:rsidR="00184474" w:rsidRPr="00A23FB4" w:rsidRDefault="00184474" w:rsidP="00184474">
      <w:pPr>
        <w:rPr>
          <w:rFonts w:ascii="Calibri" w:hAnsi="Calibri" w:cs="Calibri"/>
          <w:b/>
        </w:rPr>
      </w:pPr>
      <w:bookmarkStart w:id="840" w:name="_Toc235080167"/>
      <w:r w:rsidRPr="00A23FB4">
        <w:rPr>
          <w:rFonts w:ascii="Calibri" w:hAnsi="Calibri" w:cs="Calibri"/>
          <w:b/>
        </w:rPr>
        <w:t>7. OBMIAR ROBÓT</w:t>
      </w:r>
      <w:bookmarkEnd w:id="840"/>
    </w:p>
    <w:p w14:paraId="225E0E6F" w14:textId="77777777" w:rsidR="00CB3CD7" w:rsidRDefault="00CB3CD7" w:rsidP="00184474">
      <w:pPr>
        <w:rPr>
          <w:rFonts w:ascii="Calibri" w:hAnsi="Calibri" w:cs="Calibri"/>
        </w:rPr>
      </w:pPr>
    </w:p>
    <w:p w14:paraId="57D88D90" w14:textId="29BBBD68" w:rsidR="00CB3CD7" w:rsidRDefault="00CB3CD7" w:rsidP="00184474">
      <w:pPr>
        <w:rPr>
          <w:rFonts w:ascii="Calibri" w:hAnsi="Calibri" w:cs="Calibri"/>
        </w:rPr>
      </w:pPr>
      <w:r>
        <w:rPr>
          <w:rFonts w:ascii="Calibri" w:hAnsi="Calibri" w:cs="Calibri"/>
        </w:rPr>
        <w:t>Kontrakt ryczałtowy</w:t>
      </w:r>
    </w:p>
    <w:p w14:paraId="70427D5B" w14:textId="3E36D00E" w:rsidR="00184474" w:rsidRPr="00A23FB4" w:rsidRDefault="00184474" w:rsidP="00184474">
      <w:pPr>
        <w:rPr>
          <w:rFonts w:ascii="Calibri" w:hAnsi="Calibri" w:cs="Calibri"/>
        </w:rPr>
      </w:pPr>
      <w:r w:rsidRPr="00A23FB4">
        <w:rPr>
          <w:rFonts w:ascii="Calibri" w:hAnsi="Calibri" w:cs="Calibri"/>
        </w:rPr>
        <w:t xml:space="preserve">Ogólne zasady obmiaru robót podano w </w:t>
      </w:r>
      <w:r w:rsidR="00C62A07">
        <w:rPr>
          <w:rFonts w:ascii="Calibri" w:hAnsi="Calibri" w:cs="Calibri"/>
        </w:rPr>
        <w:t>ST</w:t>
      </w:r>
      <w:r w:rsidRPr="00A23FB4">
        <w:rPr>
          <w:rFonts w:ascii="Calibri" w:hAnsi="Calibri" w:cs="Calibri"/>
        </w:rPr>
        <w:t>WiORB D-M-00.00.00 „Wymagania ogólne” pkt 7.</w:t>
      </w:r>
    </w:p>
    <w:p w14:paraId="2E1C0396" w14:textId="77777777" w:rsidR="00CB3CD7" w:rsidRDefault="00CB3CD7" w:rsidP="00184474">
      <w:pPr>
        <w:rPr>
          <w:rFonts w:ascii="Calibri" w:hAnsi="Calibri" w:cs="Calibri"/>
          <w:b/>
        </w:rPr>
      </w:pPr>
      <w:bookmarkStart w:id="841" w:name="_Toc235080170"/>
    </w:p>
    <w:p w14:paraId="1222686B" w14:textId="0D5C6F06" w:rsidR="00184474" w:rsidRPr="00A23FB4" w:rsidRDefault="00184474" w:rsidP="00184474">
      <w:pPr>
        <w:rPr>
          <w:rFonts w:ascii="Calibri" w:hAnsi="Calibri" w:cs="Calibri"/>
          <w:b/>
        </w:rPr>
      </w:pPr>
      <w:r w:rsidRPr="00A23FB4">
        <w:rPr>
          <w:rFonts w:ascii="Calibri" w:hAnsi="Calibri" w:cs="Calibri"/>
          <w:b/>
        </w:rPr>
        <w:t>8. ODBIÓR ROBÓT</w:t>
      </w:r>
      <w:bookmarkEnd w:id="841"/>
    </w:p>
    <w:p w14:paraId="4D0C8219" w14:textId="1A12BEDB" w:rsidR="00184474" w:rsidRPr="00A23FB4" w:rsidRDefault="00184474" w:rsidP="00184474">
      <w:pPr>
        <w:rPr>
          <w:rFonts w:ascii="Calibri" w:hAnsi="Calibri" w:cs="Calibri"/>
        </w:rPr>
      </w:pPr>
      <w:r w:rsidRPr="00A23FB4">
        <w:rPr>
          <w:rFonts w:ascii="Calibri" w:hAnsi="Calibri" w:cs="Calibri"/>
        </w:rPr>
        <w:t xml:space="preserve">Ogólne zasady odbioru robót podano w </w:t>
      </w:r>
      <w:r w:rsidR="00C62A07">
        <w:rPr>
          <w:rFonts w:ascii="Calibri" w:hAnsi="Calibri" w:cs="Calibri"/>
        </w:rPr>
        <w:t>ST</w:t>
      </w:r>
      <w:r w:rsidRPr="00A23FB4">
        <w:rPr>
          <w:rFonts w:ascii="Calibri" w:hAnsi="Calibri" w:cs="Calibri"/>
        </w:rPr>
        <w:t>WiORB D-M-00.00.00 „Wymagania ogólne” pkt 8.</w:t>
      </w:r>
    </w:p>
    <w:p w14:paraId="73E7DFE1" w14:textId="4F71D60F" w:rsidR="00184474" w:rsidRPr="00A23FB4" w:rsidRDefault="00184474" w:rsidP="00184474">
      <w:pPr>
        <w:rPr>
          <w:rFonts w:ascii="Calibri" w:hAnsi="Calibri" w:cs="Calibri"/>
        </w:rPr>
      </w:pPr>
      <w:r w:rsidRPr="00A23FB4">
        <w:rPr>
          <w:rFonts w:ascii="Calibri" w:hAnsi="Calibri" w:cs="Calibri"/>
        </w:rPr>
        <w:t xml:space="preserve">Roboty uznaje się za wykonane zgodnie z dokumentacją projektową, </w:t>
      </w:r>
      <w:r w:rsidR="00C62A07">
        <w:rPr>
          <w:rFonts w:ascii="Calibri" w:hAnsi="Calibri" w:cs="Calibri"/>
        </w:rPr>
        <w:t>ST</w:t>
      </w:r>
      <w:r w:rsidRPr="00A23FB4">
        <w:rPr>
          <w:rFonts w:ascii="Calibri" w:hAnsi="Calibri" w:cs="Calibri"/>
        </w:rPr>
        <w:t>WiORB i wymaganiami Inżyniera, jeżeli wszystkie pomiary i badania z zachowaniem tolerancji wg pkt 6, dały wyniki pozytywne.</w:t>
      </w:r>
      <w:r w:rsidRPr="00A23FB4">
        <w:rPr>
          <w:rFonts w:ascii="Calibri" w:hAnsi="Calibri" w:cs="Calibri"/>
        </w:rPr>
        <w:br/>
      </w:r>
    </w:p>
    <w:p w14:paraId="2184C309" w14:textId="77777777" w:rsidR="00184474" w:rsidRPr="00A23FB4" w:rsidRDefault="00184474" w:rsidP="00184474">
      <w:pPr>
        <w:rPr>
          <w:rFonts w:ascii="Calibri" w:hAnsi="Calibri" w:cs="Calibri"/>
          <w:b/>
        </w:rPr>
      </w:pPr>
      <w:bookmarkStart w:id="842" w:name="_Toc425562421"/>
      <w:bookmarkStart w:id="843" w:name="_Toc235080171"/>
      <w:r w:rsidRPr="00A23FB4">
        <w:rPr>
          <w:rFonts w:ascii="Calibri" w:hAnsi="Calibri" w:cs="Calibri"/>
          <w:b/>
        </w:rPr>
        <w:t>9. PODSTAWA PŁATNOŚCI</w:t>
      </w:r>
      <w:bookmarkEnd w:id="842"/>
      <w:bookmarkEnd w:id="843"/>
    </w:p>
    <w:p w14:paraId="0ECB2729" w14:textId="77777777" w:rsidR="00CB3CD7" w:rsidRDefault="00CB3CD7" w:rsidP="00184474">
      <w:pPr>
        <w:rPr>
          <w:rFonts w:ascii="Calibri" w:hAnsi="Calibri" w:cs="Calibri"/>
        </w:rPr>
      </w:pPr>
    </w:p>
    <w:p w14:paraId="50FBF753" w14:textId="249BF9CE" w:rsidR="00CB3CD7" w:rsidRDefault="00CB3CD7" w:rsidP="00184474">
      <w:pPr>
        <w:rPr>
          <w:rFonts w:ascii="Calibri" w:hAnsi="Calibri" w:cs="Calibri"/>
        </w:rPr>
      </w:pPr>
      <w:r>
        <w:rPr>
          <w:rFonts w:ascii="Calibri" w:hAnsi="Calibri" w:cs="Calibri"/>
        </w:rPr>
        <w:t>Kontrakt ryczałtowy</w:t>
      </w:r>
    </w:p>
    <w:p w14:paraId="5995CD28" w14:textId="03C25322" w:rsidR="00184474" w:rsidRPr="00A23FB4" w:rsidRDefault="00184474" w:rsidP="00184474">
      <w:pPr>
        <w:rPr>
          <w:rFonts w:ascii="Calibri" w:hAnsi="Calibri" w:cs="Calibri"/>
        </w:rPr>
      </w:pPr>
      <w:r w:rsidRPr="00A23FB4">
        <w:rPr>
          <w:rFonts w:ascii="Calibri" w:hAnsi="Calibri" w:cs="Calibri"/>
        </w:rPr>
        <w:t xml:space="preserve">Ogólne ustalenia dotyczące podstawy płatności podano w </w:t>
      </w:r>
      <w:r w:rsidR="00C62A07">
        <w:rPr>
          <w:rFonts w:ascii="Calibri" w:hAnsi="Calibri" w:cs="Calibri"/>
        </w:rPr>
        <w:t>ST</w:t>
      </w:r>
      <w:r w:rsidRPr="00A23FB4">
        <w:rPr>
          <w:rFonts w:ascii="Calibri" w:hAnsi="Calibri" w:cs="Calibri"/>
        </w:rPr>
        <w:t>WiORB D-M-00.00.00 „Wymagania ogólne” pkt 9.</w:t>
      </w:r>
    </w:p>
    <w:p w14:paraId="23436DAC" w14:textId="22AA02C6" w:rsidR="00184474" w:rsidRPr="00A23FB4" w:rsidRDefault="00184474" w:rsidP="00184474">
      <w:pPr>
        <w:rPr>
          <w:rFonts w:ascii="Calibri" w:hAnsi="Calibri" w:cs="Calibri"/>
        </w:rPr>
      </w:pPr>
    </w:p>
    <w:p w14:paraId="6CD31E0C" w14:textId="77777777" w:rsidR="00184474" w:rsidRPr="00A23FB4" w:rsidRDefault="00184474" w:rsidP="00184474">
      <w:pPr>
        <w:rPr>
          <w:rFonts w:ascii="Calibri" w:hAnsi="Calibri" w:cs="Calibri"/>
          <w:b/>
        </w:rPr>
      </w:pPr>
      <w:bookmarkStart w:id="844" w:name="_Toc425562422"/>
      <w:bookmarkStart w:id="845" w:name="_Toc235080174"/>
      <w:r w:rsidRPr="00A23FB4">
        <w:rPr>
          <w:rFonts w:ascii="Calibri" w:hAnsi="Calibri" w:cs="Calibri"/>
          <w:b/>
        </w:rPr>
        <w:t>10. PRZEPISY ZWIĄZANE</w:t>
      </w:r>
      <w:bookmarkEnd w:id="844"/>
      <w:bookmarkEnd w:id="845"/>
    </w:p>
    <w:p w14:paraId="7A34A5E5" w14:textId="77777777" w:rsidR="00184474" w:rsidRPr="00A23FB4" w:rsidRDefault="00184474" w:rsidP="00184474">
      <w:pPr>
        <w:pStyle w:val="Nagwek4"/>
        <w:tabs>
          <w:tab w:val="left" w:pos="9914"/>
        </w:tabs>
        <w:rPr>
          <w:rFonts w:ascii="Calibri" w:hAnsi="Calibri" w:cs="Calibri"/>
        </w:rPr>
      </w:pPr>
      <w:bookmarkStart w:id="846" w:name="_Toc235080175"/>
      <w:r w:rsidRPr="00A23FB4">
        <w:rPr>
          <w:rFonts w:ascii="Calibri" w:hAnsi="Calibri" w:cs="Calibri"/>
        </w:rPr>
        <w:t>10.1. Normy</w:t>
      </w:r>
      <w:bookmarkEnd w:id="846"/>
    </w:p>
    <w:tbl>
      <w:tblPr>
        <w:tblW w:w="9790" w:type="dxa"/>
        <w:tblInd w:w="2" w:type="dxa"/>
        <w:tblLayout w:type="fixed"/>
        <w:tblCellMar>
          <w:left w:w="70" w:type="dxa"/>
          <w:right w:w="70" w:type="dxa"/>
        </w:tblCellMar>
        <w:tblLook w:val="0000" w:firstRow="0" w:lastRow="0" w:firstColumn="0" w:lastColumn="0" w:noHBand="0" w:noVBand="0"/>
      </w:tblPr>
      <w:tblGrid>
        <w:gridCol w:w="496"/>
        <w:gridCol w:w="1701"/>
        <w:gridCol w:w="7593"/>
      </w:tblGrid>
      <w:tr w:rsidR="00184474" w:rsidRPr="00996FA1" w14:paraId="47E2E359" w14:textId="77777777" w:rsidTr="006237D9">
        <w:tc>
          <w:tcPr>
            <w:tcW w:w="496" w:type="dxa"/>
          </w:tcPr>
          <w:p w14:paraId="50CD45FD"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 xml:space="preserve">  1.</w:t>
            </w:r>
          </w:p>
        </w:tc>
        <w:tc>
          <w:tcPr>
            <w:tcW w:w="1701" w:type="dxa"/>
          </w:tcPr>
          <w:p w14:paraId="6E02E83A"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PN-B-03264</w:t>
            </w:r>
          </w:p>
        </w:tc>
        <w:tc>
          <w:tcPr>
            <w:tcW w:w="7593" w:type="dxa"/>
          </w:tcPr>
          <w:p w14:paraId="0093F9CD"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Konstrukcje żelbetowe. Obliczenia statyczne   i projektowanie</w:t>
            </w:r>
          </w:p>
        </w:tc>
      </w:tr>
      <w:tr w:rsidR="00184474" w:rsidRPr="00996FA1" w14:paraId="351FEF2A" w14:textId="77777777" w:rsidTr="006237D9">
        <w:tc>
          <w:tcPr>
            <w:tcW w:w="496" w:type="dxa"/>
          </w:tcPr>
          <w:p w14:paraId="663897CF"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 xml:space="preserve">  2.</w:t>
            </w:r>
          </w:p>
        </w:tc>
        <w:tc>
          <w:tcPr>
            <w:tcW w:w="1701" w:type="dxa"/>
          </w:tcPr>
          <w:p w14:paraId="2424DAA2"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PN-H-04651</w:t>
            </w:r>
          </w:p>
        </w:tc>
        <w:tc>
          <w:tcPr>
            <w:tcW w:w="7593" w:type="dxa"/>
          </w:tcPr>
          <w:p w14:paraId="34E44B0D"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Ochrona przed korozją. Klasyfikacja i określenie agresywności korozyjnej środowisk</w:t>
            </w:r>
          </w:p>
        </w:tc>
      </w:tr>
      <w:tr w:rsidR="00184474" w:rsidRPr="00996FA1" w14:paraId="4E05D669" w14:textId="77777777" w:rsidTr="006237D9">
        <w:tc>
          <w:tcPr>
            <w:tcW w:w="496" w:type="dxa"/>
          </w:tcPr>
          <w:p w14:paraId="2526F600"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 xml:space="preserve">  3.</w:t>
            </w:r>
          </w:p>
        </w:tc>
        <w:tc>
          <w:tcPr>
            <w:tcW w:w="1701" w:type="dxa"/>
          </w:tcPr>
          <w:p w14:paraId="62B82C60"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PN-B-06250</w:t>
            </w:r>
          </w:p>
        </w:tc>
        <w:tc>
          <w:tcPr>
            <w:tcW w:w="7593" w:type="dxa"/>
          </w:tcPr>
          <w:p w14:paraId="4E8B3890"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Beton zwykły</w:t>
            </w:r>
          </w:p>
        </w:tc>
      </w:tr>
      <w:tr w:rsidR="00184474" w:rsidRPr="00996FA1" w14:paraId="447B54AF" w14:textId="77777777" w:rsidTr="006237D9">
        <w:tc>
          <w:tcPr>
            <w:tcW w:w="496" w:type="dxa"/>
          </w:tcPr>
          <w:p w14:paraId="50FF5BC6"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 xml:space="preserve"> 4.</w:t>
            </w:r>
          </w:p>
        </w:tc>
        <w:tc>
          <w:tcPr>
            <w:tcW w:w="1701" w:type="dxa"/>
          </w:tcPr>
          <w:p w14:paraId="6F70AEC4"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PN-B-06251</w:t>
            </w:r>
          </w:p>
        </w:tc>
        <w:tc>
          <w:tcPr>
            <w:tcW w:w="7593" w:type="dxa"/>
          </w:tcPr>
          <w:p w14:paraId="50ED8E5D"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Roboty betonowe i żelbetowe. Wymagania techniczne</w:t>
            </w:r>
          </w:p>
        </w:tc>
      </w:tr>
      <w:tr w:rsidR="00184474" w:rsidRPr="00996FA1" w14:paraId="28CBEC74" w14:textId="77777777" w:rsidTr="006237D9">
        <w:tc>
          <w:tcPr>
            <w:tcW w:w="496" w:type="dxa"/>
          </w:tcPr>
          <w:p w14:paraId="4A6CA1AE"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 xml:space="preserve">  5.</w:t>
            </w:r>
          </w:p>
        </w:tc>
        <w:tc>
          <w:tcPr>
            <w:tcW w:w="1701" w:type="dxa"/>
          </w:tcPr>
          <w:p w14:paraId="44835D76"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PN-B-06712</w:t>
            </w:r>
          </w:p>
        </w:tc>
        <w:tc>
          <w:tcPr>
            <w:tcW w:w="7593" w:type="dxa"/>
          </w:tcPr>
          <w:p w14:paraId="7EA55C1E"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Kruszywa mineralne do betonu</w:t>
            </w:r>
          </w:p>
        </w:tc>
      </w:tr>
      <w:tr w:rsidR="00184474" w:rsidRPr="00996FA1" w14:paraId="554229C5" w14:textId="77777777" w:rsidTr="006237D9">
        <w:tc>
          <w:tcPr>
            <w:tcW w:w="496" w:type="dxa"/>
          </w:tcPr>
          <w:p w14:paraId="323AD3DE"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 xml:space="preserve">  6.</w:t>
            </w:r>
          </w:p>
        </w:tc>
        <w:tc>
          <w:tcPr>
            <w:tcW w:w="1701" w:type="dxa"/>
          </w:tcPr>
          <w:p w14:paraId="15DEA832"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PN-B-10285</w:t>
            </w:r>
          </w:p>
        </w:tc>
        <w:tc>
          <w:tcPr>
            <w:tcW w:w="7593" w:type="dxa"/>
          </w:tcPr>
          <w:p w14:paraId="19E730A7"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Roboty malarskie budowlane farbami, lakierami i emaliami na spoinach bezwodnych</w:t>
            </w:r>
          </w:p>
        </w:tc>
      </w:tr>
      <w:tr w:rsidR="00184474" w:rsidRPr="00996FA1" w14:paraId="08496510" w14:textId="77777777" w:rsidTr="006237D9">
        <w:tc>
          <w:tcPr>
            <w:tcW w:w="496" w:type="dxa"/>
          </w:tcPr>
          <w:p w14:paraId="66493FC2"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 xml:space="preserve">  7.</w:t>
            </w:r>
          </w:p>
        </w:tc>
        <w:tc>
          <w:tcPr>
            <w:tcW w:w="1701" w:type="dxa"/>
          </w:tcPr>
          <w:p w14:paraId="231FE379"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PN-B-13051</w:t>
            </w:r>
          </w:p>
        </w:tc>
        <w:tc>
          <w:tcPr>
            <w:tcW w:w="7593" w:type="dxa"/>
          </w:tcPr>
          <w:p w14:paraId="19666550"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Szkło płaskie zbrojone</w:t>
            </w:r>
          </w:p>
        </w:tc>
      </w:tr>
      <w:tr w:rsidR="00184474" w:rsidRPr="00996FA1" w14:paraId="084317B6" w14:textId="77777777" w:rsidTr="006237D9">
        <w:tc>
          <w:tcPr>
            <w:tcW w:w="496" w:type="dxa"/>
          </w:tcPr>
          <w:p w14:paraId="02B6D6BB"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 xml:space="preserve">  8.</w:t>
            </w:r>
          </w:p>
        </w:tc>
        <w:tc>
          <w:tcPr>
            <w:tcW w:w="1701" w:type="dxa"/>
          </w:tcPr>
          <w:p w14:paraId="3B587516"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PN-B-19701</w:t>
            </w:r>
          </w:p>
        </w:tc>
        <w:tc>
          <w:tcPr>
            <w:tcW w:w="7593" w:type="dxa"/>
          </w:tcPr>
          <w:p w14:paraId="4B90ACD4"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Cement. Cement powszechnego użytku. Skład, wymagania                   i ocena zgodności</w:t>
            </w:r>
          </w:p>
        </w:tc>
      </w:tr>
      <w:tr w:rsidR="00184474" w:rsidRPr="00996FA1" w14:paraId="196802FF" w14:textId="77777777" w:rsidTr="006237D9">
        <w:tc>
          <w:tcPr>
            <w:tcW w:w="496" w:type="dxa"/>
          </w:tcPr>
          <w:p w14:paraId="10F15AAA"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9.</w:t>
            </w:r>
          </w:p>
        </w:tc>
        <w:tc>
          <w:tcPr>
            <w:tcW w:w="1701" w:type="dxa"/>
          </w:tcPr>
          <w:p w14:paraId="162FF26B"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PN-B-23010</w:t>
            </w:r>
          </w:p>
        </w:tc>
        <w:tc>
          <w:tcPr>
            <w:tcW w:w="7593" w:type="dxa"/>
          </w:tcPr>
          <w:p w14:paraId="4873B15C"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Domieszki do betonu. Klasyfikacja i określenia</w:t>
            </w:r>
          </w:p>
        </w:tc>
      </w:tr>
      <w:tr w:rsidR="00184474" w:rsidRPr="00996FA1" w14:paraId="1ACCBCA6" w14:textId="77777777" w:rsidTr="006237D9">
        <w:tc>
          <w:tcPr>
            <w:tcW w:w="496" w:type="dxa"/>
          </w:tcPr>
          <w:p w14:paraId="4647ABAE"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10.</w:t>
            </w:r>
          </w:p>
        </w:tc>
        <w:tc>
          <w:tcPr>
            <w:tcW w:w="1701" w:type="dxa"/>
          </w:tcPr>
          <w:p w14:paraId="46921125"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PN-B-32250</w:t>
            </w:r>
          </w:p>
        </w:tc>
        <w:tc>
          <w:tcPr>
            <w:tcW w:w="7593" w:type="dxa"/>
          </w:tcPr>
          <w:p w14:paraId="6CA89799"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Materiały budowlane. Woda do betonów   i zapraw</w:t>
            </w:r>
          </w:p>
        </w:tc>
      </w:tr>
      <w:tr w:rsidR="00184474" w:rsidRPr="00996FA1" w14:paraId="0D71203A" w14:textId="77777777" w:rsidTr="006237D9">
        <w:tc>
          <w:tcPr>
            <w:tcW w:w="496" w:type="dxa"/>
          </w:tcPr>
          <w:p w14:paraId="3B6DEDB8"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11.</w:t>
            </w:r>
          </w:p>
        </w:tc>
        <w:tc>
          <w:tcPr>
            <w:tcW w:w="1701" w:type="dxa"/>
          </w:tcPr>
          <w:p w14:paraId="03457547"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PN-H-74219</w:t>
            </w:r>
          </w:p>
        </w:tc>
        <w:tc>
          <w:tcPr>
            <w:tcW w:w="7593" w:type="dxa"/>
          </w:tcPr>
          <w:p w14:paraId="1AB0D892"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Rury stalowe bez szwu walcowane na gorąco ogólnego zastosowania</w:t>
            </w:r>
          </w:p>
        </w:tc>
      </w:tr>
      <w:tr w:rsidR="00184474" w:rsidRPr="00996FA1" w14:paraId="0BEA12C3" w14:textId="77777777" w:rsidTr="006237D9">
        <w:tc>
          <w:tcPr>
            <w:tcW w:w="496" w:type="dxa"/>
          </w:tcPr>
          <w:p w14:paraId="47EE0A9D"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12.</w:t>
            </w:r>
          </w:p>
        </w:tc>
        <w:tc>
          <w:tcPr>
            <w:tcW w:w="1701" w:type="dxa"/>
          </w:tcPr>
          <w:p w14:paraId="121A160F"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PN-H-74220</w:t>
            </w:r>
          </w:p>
        </w:tc>
        <w:tc>
          <w:tcPr>
            <w:tcW w:w="7593" w:type="dxa"/>
          </w:tcPr>
          <w:p w14:paraId="0DCCFBF1"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Rury stalowe bez szwu ciągnione i walcowane na zimno ogólnego przeznaczenia</w:t>
            </w:r>
          </w:p>
        </w:tc>
      </w:tr>
      <w:tr w:rsidR="00184474" w:rsidRPr="00996FA1" w14:paraId="25D377AA" w14:textId="77777777" w:rsidTr="006237D9">
        <w:tc>
          <w:tcPr>
            <w:tcW w:w="496" w:type="dxa"/>
          </w:tcPr>
          <w:p w14:paraId="2DDE7DE3"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13.</w:t>
            </w:r>
          </w:p>
        </w:tc>
        <w:tc>
          <w:tcPr>
            <w:tcW w:w="1701" w:type="dxa"/>
          </w:tcPr>
          <w:p w14:paraId="4B902609"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PN-H-82200</w:t>
            </w:r>
          </w:p>
        </w:tc>
        <w:tc>
          <w:tcPr>
            <w:tcW w:w="7593" w:type="dxa"/>
          </w:tcPr>
          <w:p w14:paraId="7410066D"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Cynk</w:t>
            </w:r>
          </w:p>
        </w:tc>
      </w:tr>
      <w:tr w:rsidR="00184474" w:rsidRPr="00996FA1" w14:paraId="05AE6A7E" w14:textId="77777777" w:rsidTr="006237D9">
        <w:tc>
          <w:tcPr>
            <w:tcW w:w="496" w:type="dxa"/>
          </w:tcPr>
          <w:p w14:paraId="3CA2762C"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14.</w:t>
            </w:r>
          </w:p>
        </w:tc>
        <w:tc>
          <w:tcPr>
            <w:tcW w:w="1701" w:type="dxa"/>
          </w:tcPr>
          <w:p w14:paraId="3F9C3F6A"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PN-H-84018</w:t>
            </w:r>
          </w:p>
        </w:tc>
        <w:tc>
          <w:tcPr>
            <w:tcW w:w="7593" w:type="dxa"/>
          </w:tcPr>
          <w:p w14:paraId="68399FA5"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Stal niskostopowa o podwyższonej wytrzymałości. Gatunki</w:t>
            </w:r>
          </w:p>
        </w:tc>
      </w:tr>
      <w:tr w:rsidR="00184474" w:rsidRPr="00996FA1" w14:paraId="34D0E21A" w14:textId="77777777" w:rsidTr="006237D9">
        <w:tc>
          <w:tcPr>
            <w:tcW w:w="496" w:type="dxa"/>
          </w:tcPr>
          <w:p w14:paraId="0F380652"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15.</w:t>
            </w:r>
          </w:p>
        </w:tc>
        <w:tc>
          <w:tcPr>
            <w:tcW w:w="1701" w:type="dxa"/>
          </w:tcPr>
          <w:p w14:paraId="73572126"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PN-H-84019</w:t>
            </w:r>
          </w:p>
        </w:tc>
        <w:tc>
          <w:tcPr>
            <w:tcW w:w="7593" w:type="dxa"/>
          </w:tcPr>
          <w:p w14:paraId="709F92D5"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Stal węglowa konstrukcyjna wyższej jakości ogólnego przeznaczenia. Gatunki</w:t>
            </w:r>
          </w:p>
        </w:tc>
      </w:tr>
      <w:tr w:rsidR="00184474" w:rsidRPr="00996FA1" w14:paraId="0ECD549C" w14:textId="77777777" w:rsidTr="006237D9">
        <w:tc>
          <w:tcPr>
            <w:tcW w:w="496" w:type="dxa"/>
          </w:tcPr>
          <w:p w14:paraId="4C7EC880"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16.</w:t>
            </w:r>
          </w:p>
        </w:tc>
        <w:tc>
          <w:tcPr>
            <w:tcW w:w="1701" w:type="dxa"/>
          </w:tcPr>
          <w:p w14:paraId="36DEB429"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PN-H-84020</w:t>
            </w:r>
          </w:p>
        </w:tc>
        <w:tc>
          <w:tcPr>
            <w:tcW w:w="7593" w:type="dxa"/>
          </w:tcPr>
          <w:p w14:paraId="18B264AF"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Stal niestopowa konstrukcyjna ogólnego przeznaczenia. Gatunki</w:t>
            </w:r>
          </w:p>
        </w:tc>
      </w:tr>
      <w:tr w:rsidR="00184474" w:rsidRPr="00996FA1" w14:paraId="6D33F85C" w14:textId="77777777" w:rsidTr="006237D9">
        <w:tc>
          <w:tcPr>
            <w:tcW w:w="496" w:type="dxa"/>
          </w:tcPr>
          <w:p w14:paraId="76339FA3"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17.</w:t>
            </w:r>
          </w:p>
        </w:tc>
        <w:tc>
          <w:tcPr>
            <w:tcW w:w="1701" w:type="dxa"/>
          </w:tcPr>
          <w:p w14:paraId="35802E8B"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PN-H-84023-07</w:t>
            </w:r>
          </w:p>
        </w:tc>
        <w:tc>
          <w:tcPr>
            <w:tcW w:w="7593" w:type="dxa"/>
          </w:tcPr>
          <w:p w14:paraId="11866DEE"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Stal określonego zastosowania. Stal na rury</w:t>
            </w:r>
          </w:p>
        </w:tc>
      </w:tr>
      <w:tr w:rsidR="00184474" w:rsidRPr="00996FA1" w14:paraId="7254BE68" w14:textId="77777777" w:rsidTr="006237D9">
        <w:tc>
          <w:tcPr>
            <w:tcW w:w="496" w:type="dxa"/>
          </w:tcPr>
          <w:p w14:paraId="7DCBC466"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18.</w:t>
            </w:r>
          </w:p>
        </w:tc>
        <w:tc>
          <w:tcPr>
            <w:tcW w:w="1701" w:type="dxa"/>
          </w:tcPr>
          <w:p w14:paraId="0D3A7B50"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PN-H-84030-02</w:t>
            </w:r>
          </w:p>
        </w:tc>
        <w:tc>
          <w:tcPr>
            <w:tcW w:w="7593" w:type="dxa"/>
          </w:tcPr>
          <w:p w14:paraId="17996217"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Stal stopowa konstrukcyjna. Stal do nawęglania. Gatunki</w:t>
            </w:r>
          </w:p>
        </w:tc>
      </w:tr>
      <w:tr w:rsidR="00184474" w:rsidRPr="00996FA1" w14:paraId="5E2A0C78" w14:textId="77777777" w:rsidTr="006237D9">
        <w:tc>
          <w:tcPr>
            <w:tcW w:w="496" w:type="dxa"/>
          </w:tcPr>
          <w:p w14:paraId="38198282"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19.</w:t>
            </w:r>
          </w:p>
        </w:tc>
        <w:tc>
          <w:tcPr>
            <w:tcW w:w="1701" w:type="dxa"/>
          </w:tcPr>
          <w:p w14:paraId="45B09044"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PN-H-93010</w:t>
            </w:r>
          </w:p>
        </w:tc>
        <w:tc>
          <w:tcPr>
            <w:tcW w:w="7593" w:type="dxa"/>
          </w:tcPr>
          <w:p w14:paraId="219B4EC8"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Stal. Kształtowniki walcowane na gorąco</w:t>
            </w:r>
          </w:p>
        </w:tc>
      </w:tr>
      <w:tr w:rsidR="00184474" w:rsidRPr="00996FA1" w14:paraId="7F6FD386" w14:textId="77777777" w:rsidTr="006237D9">
        <w:tc>
          <w:tcPr>
            <w:tcW w:w="496" w:type="dxa"/>
          </w:tcPr>
          <w:p w14:paraId="0E2D522E"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20.</w:t>
            </w:r>
          </w:p>
        </w:tc>
        <w:tc>
          <w:tcPr>
            <w:tcW w:w="1701" w:type="dxa"/>
          </w:tcPr>
          <w:p w14:paraId="7BB6687A"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PN-H-93200-02</w:t>
            </w:r>
          </w:p>
        </w:tc>
        <w:tc>
          <w:tcPr>
            <w:tcW w:w="7593" w:type="dxa"/>
          </w:tcPr>
          <w:p w14:paraId="1FD31240"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Walcówka i pręty stalowe okrągłe walcowane na gorąco. Walcówka i pręty ogólnego zastosowania. Wymiary</w:t>
            </w:r>
          </w:p>
        </w:tc>
      </w:tr>
      <w:tr w:rsidR="00184474" w:rsidRPr="00996FA1" w14:paraId="7FF73C0F" w14:textId="77777777" w:rsidTr="006237D9">
        <w:tc>
          <w:tcPr>
            <w:tcW w:w="496" w:type="dxa"/>
          </w:tcPr>
          <w:p w14:paraId="0012B751"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21.</w:t>
            </w:r>
          </w:p>
        </w:tc>
        <w:tc>
          <w:tcPr>
            <w:tcW w:w="1701" w:type="dxa"/>
          </w:tcPr>
          <w:p w14:paraId="690F46CF"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PN-H-93401</w:t>
            </w:r>
          </w:p>
        </w:tc>
        <w:tc>
          <w:tcPr>
            <w:tcW w:w="7593" w:type="dxa"/>
          </w:tcPr>
          <w:p w14:paraId="0A1C6FBC"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Stal walcowana. Kątowniki równoramienne</w:t>
            </w:r>
          </w:p>
        </w:tc>
      </w:tr>
      <w:tr w:rsidR="00184474" w:rsidRPr="00996FA1" w14:paraId="6CC79208" w14:textId="77777777" w:rsidTr="006237D9">
        <w:tc>
          <w:tcPr>
            <w:tcW w:w="496" w:type="dxa"/>
          </w:tcPr>
          <w:p w14:paraId="4AC81791"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22.</w:t>
            </w:r>
          </w:p>
        </w:tc>
        <w:tc>
          <w:tcPr>
            <w:tcW w:w="1701" w:type="dxa"/>
          </w:tcPr>
          <w:p w14:paraId="793CE2EC"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PN-H-93402</w:t>
            </w:r>
          </w:p>
        </w:tc>
        <w:tc>
          <w:tcPr>
            <w:tcW w:w="7593" w:type="dxa"/>
          </w:tcPr>
          <w:p w14:paraId="2FDA825A"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Kątowniki nierównoramienne stalowe walcowane na gorąco</w:t>
            </w:r>
          </w:p>
        </w:tc>
      </w:tr>
      <w:tr w:rsidR="00184474" w:rsidRPr="00996FA1" w14:paraId="492614B5" w14:textId="77777777" w:rsidTr="006237D9">
        <w:tc>
          <w:tcPr>
            <w:tcW w:w="496" w:type="dxa"/>
          </w:tcPr>
          <w:p w14:paraId="3F3A26DB"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23.</w:t>
            </w:r>
          </w:p>
        </w:tc>
        <w:tc>
          <w:tcPr>
            <w:tcW w:w="1701" w:type="dxa"/>
          </w:tcPr>
          <w:p w14:paraId="34F17368"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PN-H-93403</w:t>
            </w:r>
          </w:p>
        </w:tc>
        <w:tc>
          <w:tcPr>
            <w:tcW w:w="7593" w:type="dxa"/>
          </w:tcPr>
          <w:p w14:paraId="2DE51A13"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Stal. Ceowniki walcowane. Wymiary</w:t>
            </w:r>
          </w:p>
        </w:tc>
      </w:tr>
      <w:tr w:rsidR="00184474" w:rsidRPr="00996FA1" w14:paraId="6D8CB6D9" w14:textId="77777777" w:rsidTr="006237D9">
        <w:tc>
          <w:tcPr>
            <w:tcW w:w="496" w:type="dxa"/>
          </w:tcPr>
          <w:p w14:paraId="54F53A5F"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24.</w:t>
            </w:r>
          </w:p>
        </w:tc>
        <w:tc>
          <w:tcPr>
            <w:tcW w:w="1701" w:type="dxa"/>
          </w:tcPr>
          <w:p w14:paraId="5ECD2773"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PN-H-93406</w:t>
            </w:r>
          </w:p>
        </w:tc>
        <w:tc>
          <w:tcPr>
            <w:tcW w:w="7593" w:type="dxa"/>
          </w:tcPr>
          <w:p w14:paraId="7F6F57EA"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Stal. Teowniki walcowane na gorąco</w:t>
            </w:r>
          </w:p>
        </w:tc>
      </w:tr>
      <w:tr w:rsidR="00184474" w:rsidRPr="00996FA1" w14:paraId="7A00D145" w14:textId="77777777" w:rsidTr="006237D9">
        <w:tc>
          <w:tcPr>
            <w:tcW w:w="496" w:type="dxa"/>
          </w:tcPr>
          <w:p w14:paraId="4A4F9300"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25.</w:t>
            </w:r>
          </w:p>
        </w:tc>
        <w:tc>
          <w:tcPr>
            <w:tcW w:w="1701" w:type="dxa"/>
          </w:tcPr>
          <w:p w14:paraId="69C73DB1"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PN-H-93407</w:t>
            </w:r>
          </w:p>
        </w:tc>
        <w:tc>
          <w:tcPr>
            <w:tcW w:w="7593" w:type="dxa"/>
          </w:tcPr>
          <w:p w14:paraId="1B968F36"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Stal. Dwuteowniki walcowane na gorąco</w:t>
            </w:r>
          </w:p>
        </w:tc>
      </w:tr>
      <w:tr w:rsidR="00184474" w:rsidRPr="00996FA1" w14:paraId="13CF5A8A" w14:textId="77777777" w:rsidTr="006237D9">
        <w:tc>
          <w:tcPr>
            <w:tcW w:w="496" w:type="dxa"/>
          </w:tcPr>
          <w:p w14:paraId="0C694F49"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26.</w:t>
            </w:r>
          </w:p>
        </w:tc>
        <w:tc>
          <w:tcPr>
            <w:tcW w:w="1701" w:type="dxa"/>
          </w:tcPr>
          <w:p w14:paraId="3F1369E1"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PN-H-97051</w:t>
            </w:r>
          </w:p>
        </w:tc>
        <w:tc>
          <w:tcPr>
            <w:tcW w:w="7593" w:type="dxa"/>
          </w:tcPr>
          <w:p w14:paraId="66D1A5B7"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Ochrona przed korozją. Przygotowanie powierzchni stali, staliwa i żeliwa do malowania. Ogólne wytyczne</w:t>
            </w:r>
          </w:p>
        </w:tc>
      </w:tr>
      <w:tr w:rsidR="00184474" w:rsidRPr="00996FA1" w14:paraId="1A4DDE13" w14:textId="77777777" w:rsidTr="006237D9">
        <w:tc>
          <w:tcPr>
            <w:tcW w:w="496" w:type="dxa"/>
          </w:tcPr>
          <w:p w14:paraId="14D119AE"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27.</w:t>
            </w:r>
          </w:p>
        </w:tc>
        <w:tc>
          <w:tcPr>
            <w:tcW w:w="1701" w:type="dxa"/>
          </w:tcPr>
          <w:p w14:paraId="34D2EEDF"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PN-H-97052</w:t>
            </w:r>
          </w:p>
        </w:tc>
        <w:tc>
          <w:tcPr>
            <w:tcW w:w="7593" w:type="dxa"/>
          </w:tcPr>
          <w:p w14:paraId="1B229F81"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Ochrona przed korozją. Ocena przygotowania powierzchni stali, staliwa i żeliwa do malowania</w:t>
            </w:r>
          </w:p>
        </w:tc>
      </w:tr>
      <w:tr w:rsidR="00184474" w:rsidRPr="00996FA1" w14:paraId="1E19A3FA" w14:textId="77777777" w:rsidTr="006237D9">
        <w:tc>
          <w:tcPr>
            <w:tcW w:w="496" w:type="dxa"/>
          </w:tcPr>
          <w:p w14:paraId="384D39F2"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28.</w:t>
            </w:r>
          </w:p>
        </w:tc>
        <w:tc>
          <w:tcPr>
            <w:tcW w:w="1701" w:type="dxa"/>
          </w:tcPr>
          <w:p w14:paraId="05B4D7DA"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PN-H-97053</w:t>
            </w:r>
          </w:p>
        </w:tc>
        <w:tc>
          <w:tcPr>
            <w:tcW w:w="7593" w:type="dxa"/>
          </w:tcPr>
          <w:p w14:paraId="05C97EFF"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Ochrona przed korozją. Malowanie konstrukcji stalowych. Ogólne wytyczne</w:t>
            </w:r>
          </w:p>
        </w:tc>
      </w:tr>
      <w:tr w:rsidR="00184474" w:rsidRPr="00996FA1" w14:paraId="21807799" w14:textId="77777777" w:rsidTr="006237D9">
        <w:tc>
          <w:tcPr>
            <w:tcW w:w="496" w:type="dxa"/>
          </w:tcPr>
          <w:p w14:paraId="58B46F28"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29.</w:t>
            </w:r>
          </w:p>
        </w:tc>
        <w:tc>
          <w:tcPr>
            <w:tcW w:w="1701" w:type="dxa"/>
          </w:tcPr>
          <w:p w14:paraId="1D193A5C"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PN-M-06515</w:t>
            </w:r>
          </w:p>
        </w:tc>
        <w:tc>
          <w:tcPr>
            <w:tcW w:w="7593" w:type="dxa"/>
          </w:tcPr>
          <w:p w14:paraId="6BE09351"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Dźwignice. Ogólne zasady projektowania ustrojów nośnych</w:t>
            </w:r>
          </w:p>
        </w:tc>
      </w:tr>
      <w:tr w:rsidR="00184474" w:rsidRPr="00996FA1" w14:paraId="5E62E39E" w14:textId="77777777" w:rsidTr="006237D9">
        <w:tc>
          <w:tcPr>
            <w:tcW w:w="496" w:type="dxa"/>
          </w:tcPr>
          <w:p w14:paraId="5878F515"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30.</w:t>
            </w:r>
          </w:p>
        </w:tc>
        <w:tc>
          <w:tcPr>
            <w:tcW w:w="1701" w:type="dxa"/>
          </w:tcPr>
          <w:p w14:paraId="335F11ED"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PN-M-69011</w:t>
            </w:r>
          </w:p>
        </w:tc>
        <w:tc>
          <w:tcPr>
            <w:tcW w:w="7593" w:type="dxa"/>
          </w:tcPr>
          <w:p w14:paraId="613F8F22"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Spawalnictwo. Złącza spawane w konstrukcjach spawanych. Podział i wymagania</w:t>
            </w:r>
          </w:p>
        </w:tc>
      </w:tr>
      <w:tr w:rsidR="00184474" w:rsidRPr="00996FA1" w14:paraId="44B677F4" w14:textId="77777777" w:rsidTr="006237D9">
        <w:tc>
          <w:tcPr>
            <w:tcW w:w="496" w:type="dxa"/>
          </w:tcPr>
          <w:p w14:paraId="12C2FD31"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31.</w:t>
            </w:r>
          </w:p>
        </w:tc>
        <w:tc>
          <w:tcPr>
            <w:tcW w:w="1701" w:type="dxa"/>
          </w:tcPr>
          <w:p w14:paraId="5D77FDA4"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PN-M-69420</w:t>
            </w:r>
          </w:p>
        </w:tc>
        <w:tc>
          <w:tcPr>
            <w:tcW w:w="7593" w:type="dxa"/>
          </w:tcPr>
          <w:p w14:paraId="5F4A694C"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Spawalnictwo. Druty lite do spawania i napawania stali</w:t>
            </w:r>
          </w:p>
        </w:tc>
      </w:tr>
      <w:tr w:rsidR="00184474" w:rsidRPr="00996FA1" w14:paraId="5908667C" w14:textId="77777777" w:rsidTr="006237D9">
        <w:tc>
          <w:tcPr>
            <w:tcW w:w="496" w:type="dxa"/>
          </w:tcPr>
          <w:p w14:paraId="2724A256"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32.</w:t>
            </w:r>
          </w:p>
        </w:tc>
        <w:tc>
          <w:tcPr>
            <w:tcW w:w="1701" w:type="dxa"/>
          </w:tcPr>
          <w:p w14:paraId="437476CA"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PN-M-69775</w:t>
            </w:r>
          </w:p>
        </w:tc>
        <w:tc>
          <w:tcPr>
            <w:tcW w:w="7593" w:type="dxa"/>
          </w:tcPr>
          <w:p w14:paraId="65FDEA0A"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Spawalnictwo. Wadliwość złączy spawanych. Oznaczanie klasy wadliwości na podstawie oględzin zewnętrznych</w:t>
            </w:r>
          </w:p>
        </w:tc>
      </w:tr>
      <w:tr w:rsidR="00184474" w:rsidRPr="00996FA1" w14:paraId="7EF056B9" w14:textId="77777777" w:rsidTr="006237D9">
        <w:tc>
          <w:tcPr>
            <w:tcW w:w="496" w:type="dxa"/>
          </w:tcPr>
          <w:p w14:paraId="32508F9E"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33.</w:t>
            </w:r>
          </w:p>
        </w:tc>
        <w:tc>
          <w:tcPr>
            <w:tcW w:w="1701" w:type="dxa"/>
          </w:tcPr>
          <w:p w14:paraId="57A281CE"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PN-M-80026</w:t>
            </w:r>
          </w:p>
        </w:tc>
        <w:tc>
          <w:tcPr>
            <w:tcW w:w="7593" w:type="dxa"/>
          </w:tcPr>
          <w:p w14:paraId="105A9AC6"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Druty okrągłe ze stali niskowęglowej ogólnego przeznaczenia</w:t>
            </w:r>
          </w:p>
        </w:tc>
      </w:tr>
      <w:tr w:rsidR="00184474" w:rsidRPr="00996FA1" w14:paraId="5929C1B1" w14:textId="77777777" w:rsidTr="006237D9">
        <w:tc>
          <w:tcPr>
            <w:tcW w:w="496" w:type="dxa"/>
          </w:tcPr>
          <w:p w14:paraId="653BEB45"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34.</w:t>
            </w:r>
          </w:p>
        </w:tc>
        <w:tc>
          <w:tcPr>
            <w:tcW w:w="1701" w:type="dxa"/>
          </w:tcPr>
          <w:p w14:paraId="46BD9DD8"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PN-M-82054</w:t>
            </w:r>
          </w:p>
        </w:tc>
        <w:tc>
          <w:tcPr>
            <w:tcW w:w="7593" w:type="dxa"/>
          </w:tcPr>
          <w:p w14:paraId="735D30E5"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Śruby, wkręty i nakrętki stalowe. Ogólne wymagania i badania</w:t>
            </w:r>
          </w:p>
        </w:tc>
      </w:tr>
      <w:tr w:rsidR="00184474" w:rsidRPr="00996FA1" w14:paraId="2D2A82D6" w14:textId="77777777" w:rsidTr="006237D9">
        <w:tc>
          <w:tcPr>
            <w:tcW w:w="496" w:type="dxa"/>
          </w:tcPr>
          <w:p w14:paraId="31F890EC"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35.</w:t>
            </w:r>
          </w:p>
        </w:tc>
        <w:tc>
          <w:tcPr>
            <w:tcW w:w="1701" w:type="dxa"/>
          </w:tcPr>
          <w:p w14:paraId="27DC7D9C"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PN-M-82054-03</w:t>
            </w:r>
          </w:p>
        </w:tc>
        <w:tc>
          <w:tcPr>
            <w:tcW w:w="7593" w:type="dxa"/>
          </w:tcPr>
          <w:p w14:paraId="50CB9546"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Śruby, wkręty i nakrętki stalowe. Właściwości mechaniczne śrub i wkrętów</w:t>
            </w:r>
          </w:p>
        </w:tc>
      </w:tr>
      <w:tr w:rsidR="00184474" w:rsidRPr="00996FA1" w14:paraId="601AE122" w14:textId="77777777" w:rsidTr="006237D9">
        <w:tc>
          <w:tcPr>
            <w:tcW w:w="496" w:type="dxa"/>
          </w:tcPr>
          <w:p w14:paraId="52EA0E81"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36.</w:t>
            </w:r>
          </w:p>
        </w:tc>
        <w:tc>
          <w:tcPr>
            <w:tcW w:w="1701" w:type="dxa"/>
          </w:tcPr>
          <w:p w14:paraId="783B3EA1"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PN-M-84540</w:t>
            </w:r>
          </w:p>
        </w:tc>
        <w:tc>
          <w:tcPr>
            <w:tcW w:w="7593" w:type="dxa"/>
          </w:tcPr>
          <w:p w14:paraId="13DEA98A"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Łańcuchy techniczne ogniwowe o ogniwach krótkich</w:t>
            </w:r>
          </w:p>
        </w:tc>
      </w:tr>
      <w:tr w:rsidR="00184474" w:rsidRPr="00996FA1" w14:paraId="48031FAF" w14:textId="77777777" w:rsidTr="006237D9">
        <w:tc>
          <w:tcPr>
            <w:tcW w:w="496" w:type="dxa"/>
          </w:tcPr>
          <w:p w14:paraId="023BB291"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37.</w:t>
            </w:r>
          </w:p>
        </w:tc>
        <w:tc>
          <w:tcPr>
            <w:tcW w:w="1701" w:type="dxa"/>
          </w:tcPr>
          <w:p w14:paraId="473E16A7"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PN-M-84541</w:t>
            </w:r>
          </w:p>
        </w:tc>
        <w:tc>
          <w:tcPr>
            <w:tcW w:w="7593" w:type="dxa"/>
          </w:tcPr>
          <w:p w14:paraId="33F7E46E"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Łańcuchy techniczne ogniwowe o ogniwach średnich</w:t>
            </w:r>
          </w:p>
        </w:tc>
      </w:tr>
      <w:tr w:rsidR="00184474" w:rsidRPr="00996FA1" w14:paraId="0A095740" w14:textId="77777777" w:rsidTr="006237D9">
        <w:tc>
          <w:tcPr>
            <w:tcW w:w="496" w:type="dxa"/>
          </w:tcPr>
          <w:p w14:paraId="3AE3609B"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38.</w:t>
            </w:r>
          </w:p>
        </w:tc>
        <w:tc>
          <w:tcPr>
            <w:tcW w:w="1701" w:type="dxa"/>
          </w:tcPr>
          <w:p w14:paraId="3FFDE097"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PN-M-84542</w:t>
            </w:r>
          </w:p>
        </w:tc>
        <w:tc>
          <w:tcPr>
            <w:tcW w:w="7593" w:type="dxa"/>
          </w:tcPr>
          <w:p w14:paraId="099DE93C"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Łańcuchy techniczne ogniwowe. Wymagania i badania</w:t>
            </w:r>
          </w:p>
        </w:tc>
      </w:tr>
      <w:tr w:rsidR="00184474" w:rsidRPr="00996FA1" w14:paraId="6594D7B7" w14:textId="77777777" w:rsidTr="006237D9">
        <w:tc>
          <w:tcPr>
            <w:tcW w:w="496" w:type="dxa"/>
          </w:tcPr>
          <w:p w14:paraId="2364EB6C"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39.</w:t>
            </w:r>
          </w:p>
        </w:tc>
        <w:tc>
          <w:tcPr>
            <w:tcW w:w="1701" w:type="dxa"/>
          </w:tcPr>
          <w:p w14:paraId="71A85869"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PN-M-84543</w:t>
            </w:r>
          </w:p>
        </w:tc>
        <w:tc>
          <w:tcPr>
            <w:tcW w:w="7593" w:type="dxa"/>
          </w:tcPr>
          <w:p w14:paraId="6254AD9A"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Łańcuchy techniczne ogniwowe o ogniwach długich</w:t>
            </w:r>
          </w:p>
        </w:tc>
      </w:tr>
      <w:tr w:rsidR="00184474" w:rsidRPr="00996FA1" w14:paraId="5A639930" w14:textId="77777777" w:rsidTr="006237D9">
        <w:tc>
          <w:tcPr>
            <w:tcW w:w="496" w:type="dxa"/>
          </w:tcPr>
          <w:p w14:paraId="1A248177"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40.</w:t>
            </w:r>
          </w:p>
        </w:tc>
        <w:tc>
          <w:tcPr>
            <w:tcW w:w="1701" w:type="dxa"/>
          </w:tcPr>
          <w:p w14:paraId="058780FC"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PN-ISO-8501-1</w:t>
            </w:r>
          </w:p>
        </w:tc>
        <w:tc>
          <w:tcPr>
            <w:tcW w:w="7593" w:type="dxa"/>
          </w:tcPr>
          <w:p w14:paraId="3A6BF35A"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Przygotowanie podłoży stalowych przed nakładaniem farb i podobnych produktów. Stopnie skorodowania i stopnie przygotowania niezabezpieczonych podłoży stalowych oraz podłoży stalowych po całkowitym usunięciu wcześniej nałożonych powłok</w:t>
            </w:r>
          </w:p>
        </w:tc>
      </w:tr>
      <w:tr w:rsidR="00184474" w:rsidRPr="00996FA1" w14:paraId="4D393F25" w14:textId="77777777" w:rsidTr="006237D9">
        <w:tc>
          <w:tcPr>
            <w:tcW w:w="496" w:type="dxa"/>
          </w:tcPr>
          <w:p w14:paraId="39F8A9F1"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41.</w:t>
            </w:r>
          </w:p>
        </w:tc>
        <w:tc>
          <w:tcPr>
            <w:tcW w:w="1701" w:type="dxa"/>
          </w:tcPr>
          <w:p w14:paraId="139C64C9"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BN-73/0658-01</w:t>
            </w:r>
          </w:p>
        </w:tc>
        <w:tc>
          <w:tcPr>
            <w:tcW w:w="7593" w:type="dxa"/>
          </w:tcPr>
          <w:p w14:paraId="71D32B83"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Rury stalowe profilowe ciągnione na zimno. Wymiary</w:t>
            </w:r>
          </w:p>
        </w:tc>
      </w:tr>
      <w:tr w:rsidR="00184474" w:rsidRPr="00996FA1" w14:paraId="2D7DAF84" w14:textId="77777777" w:rsidTr="006237D9">
        <w:tc>
          <w:tcPr>
            <w:tcW w:w="496" w:type="dxa"/>
          </w:tcPr>
          <w:p w14:paraId="28384057"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42.</w:t>
            </w:r>
          </w:p>
        </w:tc>
        <w:tc>
          <w:tcPr>
            <w:tcW w:w="1701" w:type="dxa"/>
          </w:tcPr>
          <w:p w14:paraId="1109118A"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BN-89/1076-02</w:t>
            </w:r>
          </w:p>
        </w:tc>
        <w:tc>
          <w:tcPr>
            <w:tcW w:w="7593" w:type="dxa"/>
          </w:tcPr>
          <w:p w14:paraId="23F29CFF"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Ochrona przed korozją. Powłoki metalizacyjne cynkowe i aluminiowe na konstrukcjach stalowych, staliwnych i żeliwnych. Wymagania i badania</w:t>
            </w:r>
          </w:p>
        </w:tc>
      </w:tr>
      <w:tr w:rsidR="00184474" w:rsidRPr="00996FA1" w14:paraId="1C5EB977" w14:textId="77777777" w:rsidTr="006237D9">
        <w:tc>
          <w:tcPr>
            <w:tcW w:w="496" w:type="dxa"/>
          </w:tcPr>
          <w:p w14:paraId="49C31C5E"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43</w:t>
            </w:r>
          </w:p>
        </w:tc>
        <w:tc>
          <w:tcPr>
            <w:tcW w:w="1701" w:type="dxa"/>
          </w:tcPr>
          <w:p w14:paraId="5D240B94"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BN-83/5032-02</w:t>
            </w:r>
          </w:p>
        </w:tc>
        <w:tc>
          <w:tcPr>
            <w:tcW w:w="7593" w:type="dxa"/>
          </w:tcPr>
          <w:p w14:paraId="4ADD06E7"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Siatki metalowe. Siatki plecione ślimakowe</w:t>
            </w:r>
          </w:p>
        </w:tc>
      </w:tr>
      <w:tr w:rsidR="00184474" w:rsidRPr="00996FA1" w14:paraId="76C7F220" w14:textId="77777777" w:rsidTr="006237D9">
        <w:tc>
          <w:tcPr>
            <w:tcW w:w="496" w:type="dxa"/>
          </w:tcPr>
          <w:p w14:paraId="78FDD322"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44</w:t>
            </w:r>
          </w:p>
        </w:tc>
        <w:tc>
          <w:tcPr>
            <w:tcW w:w="1701" w:type="dxa"/>
          </w:tcPr>
          <w:p w14:paraId="3C99B570"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BN-88/6731-08</w:t>
            </w:r>
          </w:p>
        </w:tc>
        <w:tc>
          <w:tcPr>
            <w:tcW w:w="7593" w:type="dxa"/>
          </w:tcPr>
          <w:p w14:paraId="6FD26DB7" w14:textId="77777777" w:rsidR="00184474" w:rsidRPr="00996FA1" w:rsidRDefault="00184474" w:rsidP="004D5430">
            <w:pPr>
              <w:spacing w:after="240"/>
              <w:rPr>
                <w:rFonts w:ascii="Calibri" w:hAnsi="Calibri" w:cs="Calibri"/>
                <w:sz w:val="16"/>
                <w:szCs w:val="16"/>
              </w:rPr>
            </w:pPr>
            <w:r w:rsidRPr="00996FA1">
              <w:rPr>
                <w:rFonts w:ascii="Calibri" w:hAnsi="Calibri" w:cs="Calibri"/>
                <w:sz w:val="16"/>
                <w:szCs w:val="16"/>
              </w:rPr>
              <w:t>Cement. Transport i przechowywanie.</w:t>
            </w:r>
          </w:p>
        </w:tc>
      </w:tr>
    </w:tbl>
    <w:p w14:paraId="6FA09E26" w14:textId="77777777" w:rsidR="00184474" w:rsidRPr="00996FA1" w:rsidRDefault="00184474" w:rsidP="00184474">
      <w:pPr>
        <w:rPr>
          <w:rFonts w:ascii="Calibri" w:hAnsi="Calibri" w:cs="Calibri"/>
          <w:b/>
          <w:sz w:val="16"/>
          <w:szCs w:val="16"/>
        </w:rPr>
      </w:pPr>
      <w:r w:rsidRPr="00996FA1">
        <w:rPr>
          <w:rFonts w:ascii="Calibri" w:hAnsi="Calibri" w:cs="Calibri"/>
          <w:b/>
          <w:sz w:val="16"/>
          <w:szCs w:val="16"/>
        </w:rPr>
        <w:t>10.2. Inne dokumenty</w:t>
      </w:r>
    </w:p>
    <w:tbl>
      <w:tblPr>
        <w:tblW w:w="9790" w:type="dxa"/>
        <w:tblInd w:w="2" w:type="dxa"/>
        <w:tblLayout w:type="fixed"/>
        <w:tblCellMar>
          <w:left w:w="70" w:type="dxa"/>
          <w:right w:w="70" w:type="dxa"/>
        </w:tblCellMar>
        <w:tblLook w:val="0000" w:firstRow="0" w:lastRow="0" w:firstColumn="0" w:lastColumn="0" w:noHBand="0" w:noVBand="0"/>
      </w:tblPr>
      <w:tblGrid>
        <w:gridCol w:w="496"/>
        <w:gridCol w:w="9294"/>
      </w:tblGrid>
      <w:tr w:rsidR="00184474" w:rsidRPr="00996FA1" w14:paraId="3C30B281" w14:textId="77777777" w:rsidTr="006237D9">
        <w:tc>
          <w:tcPr>
            <w:tcW w:w="496" w:type="dxa"/>
          </w:tcPr>
          <w:p w14:paraId="7FE000A0"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45.</w:t>
            </w:r>
          </w:p>
        </w:tc>
        <w:tc>
          <w:tcPr>
            <w:tcW w:w="9294" w:type="dxa"/>
          </w:tcPr>
          <w:p w14:paraId="4F84FED3" w14:textId="77777777" w:rsidR="00184474" w:rsidRPr="00996FA1" w:rsidRDefault="00184474" w:rsidP="006237D9">
            <w:pPr>
              <w:rPr>
                <w:rFonts w:ascii="Calibri" w:hAnsi="Calibri" w:cs="Calibri"/>
                <w:sz w:val="16"/>
                <w:szCs w:val="16"/>
              </w:rPr>
            </w:pPr>
            <w:r w:rsidRPr="00996FA1">
              <w:rPr>
                <w:rFonts w:ascii="Calibri" w:hAnsi="Calibri" w:cs="Calibri"/>
                <w:sz w:val="16"/>
                <w:szCs w:val="16"/>
              </w:rPr>
              <w:t>Poręcze mostowe - Ministerstwo Komunikacji, Centralne Biuro Studiów i Projektów Dróg i Mostów Transprojekt - Warszawa, 1976.</w:t>
            </w:r>
          </w:p>
        </w:tc>
      </w:tr>
    </w:tbl>
    <w:p w14:paraId="1AFDEA87" w14:textId="11AFE85C" w:rsidR="004D5430" w:rsidRPr="00996FA1" w:rsidRDefault="004D5430">
      <w:pPr>
        <w:rPr>
          <w:sz w:val="16"/>
          <w:szCs w:val="16"/>
        </w:rPr>
      </w:pPr>
    </w:p>
    <w:p w14:paraId="7E7C0656" w14:textId="77777777" w:rsidR="00CB3CD7" w:rsidRDefault="00CB3CD7">
      <w:r>
        <w:br w:type="page"/>
      </w:r>
    </w:p>
    <w:tbl>
      <w:tblPr>
        <w:tblW w:w="9790" w:type="dxa"/>
        <w:tblInd w:w="2" w:type="dxa"/>
        <w:tblLayout w:type="fixed"/>
        <w:tblCellMar>
          <w:left w:w="70" w:type="dxa"/>
          <w:right w:w="70" w:type="dxa"/>
        </w:tblCellMar>
        <w:tblLook w:val="0000" w:firstRow="0" w:lastRow="0" w:firstColumn="0" w:lastColumn="0" w:noHBand="0" w:noVBand="0"/>
      </w:tblPr>
      <w:tblGrid>
        <w:gridCol w:w="496"/>
        <w:gridCol w:w="9294"/>
      </w:tblGrid>
      <w:tr w:rsidR="00184474" w:rsidRPr="00A23FB4" w14:paraId="78F939EE" w14:textId="77777777" w:rsidTr="006237D9">
        <w:tc>
          <w:tcPr>
            <w:tcW w:w="496" w:type="dxa"/>
          </w:tcPr>
          <w:p w14:paraId="1A1B06B3" w14:textId="6F392637" w:rsidR="00184474" w:rsidRPr="00A23FB4" w:rsidRDefault="00184474" w:rsidP="006237D9">
            <w:pPr>
              <w:rPr>
                <w:rFonts w:ascii="Calibri" w:hAnsi="Calibri" w:cs="Calibri"/>
              </w:rPr>
            </w:pPr>
          </w:p>
        </w:tc>
        <w:tc>
          <w:tcPr>
            <w:tcW w:w="9294" w:type="dxa"/>
          </w:tcPr>
          <w:p w14:paraId="19DCC9B6" w14:textId="60EDAC01" w:rsidR="00DB6B0E" w:rsidRPr="00A23FB4" w:rsidRDefault="00CB3CD7" w:rsidP="00996FA1">
            <w:pPr>
              <w:overflowPunct/>
              <w:autoSpaceDE/>
              <w:autoSpaceDN/>
              <w:adjustRightInd/>
              <w:jc w:val="center"/>
              <w:textAlignment w:val="auto"/>
              <w:rPr>
                <w:rFonts w:asciiTheme="minorHAnsi" w:hAnsiTheme="minorHAnsi"/>
                <w:b/>
                <w:sz w:val="22"/>
                <w:szCs w:val="22"/>
              </w:rPr>
            </w:pPr>
            <w:r>
              <w:rPr>
                <w:rFonts w:asciiTheme="minorHAnsi" w:hAnsiTheme="minorHAnsi"/>
                <w:b/>
                <w:sz w:val="22"/>
                <w:szCs w:val="22"/>
              </w:rPr>
              <w:t>SZCZEGÓŁOWE SPECYFIKACJE TECHNICZNE</w:t>
            </w:r>
            <w:r w:rsidR="00DB6B0E" w:rsidRPr="00A23FB4">
              <w:rPr>
                <w:rFonts w:asciiTheme="minorHAnsi" w:hAnsiTheme="minorHAnsi"/>
                <w:b/>
                <w:sz w:val="22"/>
                <w:szCs w:val="22"/>
              </w:rPr>
              <w:t xml:space="preserve"> WYKONANIA I ODBIORU ROBÓT BUDOWLANYCH</w:t>
            </w:r>
          </w:p>
          <w:p w14:paraId="463305F0" w14:textId="77777777" w:rsidR="00DB6B0E" w:rsidRPr="00A23FB4" w:rsidRDefault="00DB6B0E" w:rsidP="00996FA1">
            <w:pPr>
              <w:pStyle w:val="Nagowek1"/>
              <w:spacing w:before="0"/>
            </w:pPr>
            <w:bookmarkStart w:id="847" w:name="_Toc86059902"/>
            <w:bookmarkStart w:id="848" w:name="_Toc206275497"/>
            <w:r w:rsidRPr="00A23FB4">
              <w:t>D</w:t>
            </w:r>
            <w:r w:rsidR="003739A4">
              <w:t>-</w:t>
            </w:r>
            <w:r w:rsidRPr="00A23FB4">
              <w:t>07.07.01 OŚWIETLENIE   DRÓG</w:t>
            </w:r>
            <w:bookmarkEnd w:id="847"/>
            <w:bookmarkEnd w:id="848"/>
          </w:p>
          <w:p w14:paraId="2E779238" w14:textId="77777777" w:rsidR="00DB6B0E" w:rsidRPr="00A23FB4" w:rsidRDefault="00DB6B0E" w:rsidP="00DB6B0E">
            <w:pPr>
              <w:spacing w:before="120"/>
              <w:rPr>
                <w:rFonts w:asciiTheme="minorHAnsi" w:hAnsiTheme="minorHAnsi"/>
                <w:b/>
              </w:rPr>
            </w:pPr>
          </w:p>
          <w:p w14:paraId="3C313381" w14:textId="77777777" w:rsidR="00DB6B0E" w:rsidRPr="00A23FB4" w:rsidRDefault="00DB6B0E" w:rsidP="00DB6B0E">
            <w:pPr>
              <w:rPr>
                <w:rFonts w:asciiTheme="minorHAnsi" w:hAnsiTheme="minorHAnsi"/>
                <w:b/>
                <w:caps/>
              </w:rPr>
            </w:pPr>
            <w:r w:rsidRPr="00A23FB4">
              <w:rPr>
                <w:rFonts w:asciiTheme="minorHAnsi" w:hAnsiTheme="minorHAnsi"/>
                <w:b/>
              </w:rPr>
              <w:t>1. WSTĘP</w:t>
            </w:r>
          </w:p>
          <w:p w14:paraId="4691A871" w14:textId="0F8BB389" w:rsidR="00DB6B0E" w:rsidRPr="00A23FB4" w:rsidRDefault="00DB6B0E" w:rsidP="00DB6B0E">
            <w:pPr>
              <w:rPr>
                <w:rFonts w:asciiTheme="minorHAnsi" w:hAnsiTheme="minorHAnsi"/>
                <w:b/>
              </w:rPr>
            </w:pPr>
            <w:r w:rsidRPr="00A23FB4">
              <w:rPr>
                <w:rFonts w:asciiTheme="minorHAnsi" w:hAnsiTheme="minorHAnsi"/>
                <w:b/>
              </w:rPr>
              <w:t xml:space="preserve">1.1. Przedmiot </w:t>
            </w:r>
            <w:r w:rsidR="00C62A07">
              <w:rPr>
                <w:rFonts w:asciiTheme="minorHAnsi" w:hAnsiTheme="minorHAnsi"/>
                <w:b/>
              </w:rPr>
              <w:t>ST</w:t>
            </w:r>
            <w:r w:rsidRPr="00A23FB4">
              <w:rPr>
                <w:rFonts w:asciiTheme="minorHAnsi" w:hAnsiTheme="minorHAnsi"/>
                <w:b/>
              </w:rPr>
              <w:t>WiORB</w:t>
            </w:r>
          </w:p>
          <w:p w14:paraId="5CF7C2F4" w14:textId="16702403" w:rsidR="00DB6B0E" w:rsidRPr="00A23FB4" w:rsidRDefault="00DB6B0E" w:rsidP="00DB6B0E">
            <w:pPr>
              <w:pStyle w:val="tekstost"/>
              <w:spacing w:before="120"/>
              <w:jc w:val="left"/>
              <w:rPr>
                <w:rFonts w:asciiTheme="minorHAnsi" w:hAnsiTheme="minorHAnsi"/>
              </w:rPr>
            </w:pPr>
            <w:r w:rsidRPr="00A23FB4">
              <w:rPr>
                <w:rFonts w:asciiTheme="minorHAnsi" w:hAnsiTheme="minorHAnsi"/>
              </w:rPr>
              <w:t>Przedmiotem niniejsz</w:t>
            </w:r>
            <w:r w:rsidR="00CB3CD7">
              <w:rPr>
                <w:rFonts w:asciiTheme="minorHAnsi" w:hAnsiTheme="minorHAnsi"/>
              </w:rPr>
              <w:t>ej</w:t>
            </w:r>
            <w:r w:rsidRPr="00A23FB4">
              <w:rPr>
                <w:rFonts w:asciiTheme="minorHAnsi" w:hAnsiTheme="minorHAnsi"/>
              </w:rPr>
              <w:t xml:space="preserve"> </w:t>
            </w:r>
            <w:r w:rsidR="00CB3C1C">
              <w:rPr>
                <w:rFonts w:asciiTheme="minorHAnsi" w:hAnsiTheme="minorHAnsi"/>
              </w:rPr>
              <w:t>specyfikacji</w:t>
            </w:r>
            <w:r w:rsidRPr="00A23FB4">
              <w:rPr>
                <w:rFonts w:asciiTheme="minorHAnsi" w:hAnsiTheme="minorHAnsi"/>
              </w:rPr>
              <w:t xml:space="preserve"> wykonania i odbioru robót budowlanych (</w:t>
            </w:r>
            <w:r w:rsidR="00C62A07">
              <w:rPr>
                <w:rFonts w:asciiTheme="minorHAnsi" w:hAnsiTheme="minorHAnsi"/>
              </w:rPr>
              <w:t>ST</w:t>
            </w:r>
            <w:r w:rsidRPr="00A23FB4">
              <w:rPr>
                <w:rFonts w:asciiTheme="minorHAnsi" w:hAnsiTheme="minorHAnsi"/>
              </w:rPr>
              <w:t>WiORB) są wymagania dotyczące wykonania i odbioru oświetlenia drogowego.</w:t>
            </w:r>
          </w:p>
          <w:p w14:paraId="27FEE48E" w14:textId="77777777" w:rsidR="00DB6B0E" w:rsidRPr="00A23FB4" w:rsidRDefault="00DB6B0E" w:rsidP="00DB6B0E">
            <w:pPr>
              <w:pStyle w:val="tekstost"/>
              <w:spacing w:before="120"/>
              <w:jc w:val="left"/>
              <w:rPr>
                <w:rFonts w:asciiTheme="minorHAnsi" w:hAnsiTheme="minorHAnsi"/>
              </w:rPr>
            </w:pPr>
          </w:p>
          <w:p w14:paraId="7892F439" w14:textId="69B284C2" w:rsidR="00DB6B0E" w:rsidRPr="00A23FB4" w:rsidRDefault="00DB6B0E" w:rsidP="00DB6B0E">
            <w:pPr>
              <w:rPr>
                <w:rFonts w:asciiTheme="minorHAnsi" w:hAnsiTheme="minorHAnsi"/>
                <w:b/>
              </w:rPr>
            </w:pPr>
            <w:r w:rsidRPr="00A23FB4">
              <w:rPr>
                <w:rFonts w:asciiTheme="minorHAnsi" w:hAnsiTheme="minorHAnsi"/>
                <w:b/>
              </w:rPr>
              <w:t xml:space="preserve">1.2. Zakres stosowania </w:t>
            </w:r>
            <w:r w:rsidR="00865C6C">
              <w:rPr>
                <w:rFonts w:asciiTheme="minorHAnsi" w:hAnsiTheme="minorHAnsi"/>
                <w:b/>
              </w:rPr>
              <w:t>ST</w:t>
            </w:r>
            <w:r w:rsidRPr="00A23FB4">
              <w:rPr>
                <w:rFonts w:asciiTheme="minorHAnsi" w:hAnsiTheme="minorHAnsi"/>
                <w:b/>
              </w:rPr>
              <w:t>WiORB</w:t>
            </w:r>
          </w:p>
          <w:p w14:paraId="38B02A57" w14:textId="32362878" w:rsidR="00DB6B0E" w:rsidRPr="00A23FB4" w:rsidRDefault="00CB3C1C" w:rsidP="00DB6B0E">
            <w:pPr>
              <w:spacing w:before="120"/>
              <w:rPr>
                <w:rFonts w:ascii="Calibri" w:hAnsi="Calibri" w:cs="Calibri"/>
              </w:rPr>
            </w:pPr>
            <w:r>
              <w:rPr>
                <w:rFonts w:asciiTheme="minorHAnsi" w:hAnsiTheme="minorHAnsi" w:cs="Calibri"/>
              </w:rPr>
              <w:t>Specyfikacj</w:t>
            </w:r>
            <w:r w:rsidR="00CB3CD7">
              <w:rPr>
                <w:rFonts w:asciiTheme="minorHAnsi" w:hAnsiTheme="minorHAnsi" w:cs="Calibri"/>
              </w:rPr>
              <w:t>a</w:t>
            </w:r>
            <w:r w:rsidR="00DB6B0E" w:rsidRPr="00A23FB4">
              <w:rPr>
                <w:rFonts w:asciiTheme="minorHAnsi" w:hAnsiTheme="minorHAnsi" w:cs="Calibri"/>
              </w:rPr>
              <w:t xml:space="preserve"> stanowi dokument  kontraktowy przy realizacji  zadania </w:t>
            </w:r>
            <w:r w:rsidR="00506838">
              <w:rPr>
                <w:rFonts w:asciiTheme="minorHAnsi" w:hAnsiTheme="minorHAnsi" w:cstheme="minorHAnsi"/>
                <w:bCs/>
              </w:rPr>
              <w:t>„</w:t>
            </w:r>
            <w:r w:rsidR="00865C6C" w:rsidRPr="00865C6C">
              <w:rPr>
                <w:rFonts w:asciiTheme="minorHAnsi" w:hAnsiTheme="minorHAnsi" w:cstheme="minorHAnsi"/>
                <w:bCs/>
              </w:rPr>
              <w:t>Rozbudowa ul. Wrocławskiej w ciągu drogi powiatowej w Tyńcu Małym wraz z rozbudową istniejącego skrzyżowania typu rondo na połączeniu dróg krajowych nr 35 i 35a oraz łącznika węzła Kobierzyce drogi S8e oraz infrastrukturą towarzyszącą w ramach zadania „Rozbudowa skrzyżowania typu rondo w ciągu DK35 koło m. Tyniec Mały usprawniająca skomunikowanie obszarów Podstrefy Wrocław – Kobierzyce TSSE EURO PARK WISŁOSAN”</w:t>
            </w:r>
            <w:r w:rsidR="004D5430" w:rsidRPr="00A23FB4">
              <w:rPr>
                <w:rFonts w:asciiTheme="minorHAnsi" w:hAnsiTheme="minorHAnsi" w:cstheme="minorHAnsi"/>
                <w:bCs/>
              </w:rPr>
              <w:t>.</w:t>
            </w:r>
          </w:p>
          <w:p w14:paraId="59551A5B" w14:textId="77777777" w:rsidR="00DB6B0E" w:rsidRPr="00A23FB4" w:rsidRDefault="00DB6B0E" w:rsidP="00DB6B0E">
            <w:pPr>
              <w:spacing w:before="120"/>
              <w:rPr>
                <w:rFonts w:asciiTheme="minorHAnsi" w:hAnsiTheme="minorHAnsi" w:cs="Calibri"/>
              </w:rPr>
            </w:pPr>
          </w:p>
          <w:p w14:paraId="30E0EB3A" w14:textId="588E5C16" w:rsidR="00DB6B0E" w:rsidRPr="00A23FB4" w:rsidRDefault="00DB6B0E" w:rsidP="00DB6B0E">
            <w:pPr>
              <w:rPr>
                <w:rFonts w:asciiTheme="minorHAnsi" w:hAnsiTheme="minorHAnsi"/>
                <w:b/>
              </w:rPr>
            </w:pPr>
            <w:r w:rsidRPr="00A23FB4">
              <w:rPr>
                <w:rFonts w:asciiTheme="minorHAnsi" w:hAnsiTheme="minorHAnsi"/>
                <w:b/>
              </w:rPr>
              <w:t xml:space="preserve">1.3. Zakres robót objętych </w:t>
            </w:r>
            <w:r w:rsidR="00865C6C">
              <w:rPr>
                <w:rFonts w:asciiTheme="minorHAnsi" w:hAnsiTheme="minorHAnsi"/>
                <w:b/>
              </w:rPr>
              <w:t>ST</w:t>
            </w:r>
            <w:r w:rsidRPr="00A23FB4">
              <w:rPr>
                <w:rFonts w:asciiTheme="minorHAnsi" w:hAnsiTheme="minorHAnsi"/>
                <w:b/>
              </w:rPr>
              <w:t>WiORB</w:t>
            </w:r>
          </w:p>
          <w:p w14:paraId="3FACE590" w14:textId="659D84ED" w:rsidR="00DB6B0E" w:rsidRPr="00A23FB4" w:rsidRDefault="00DB6B0E" w:rsidP="00DB6B0E">
            <w:pPr>
              <w:spacing w:before="120"/>
              <w:rPr>
                <w:rFonts w:asciiTheme="minorHAnsi" w:hAnsiTheme="minorHAnsi"/>
              </w:rPr>
            </w:pPr>
            <w:r w:rsidRPr="00A23FB4">
              <w:rPr>
                <w:rFonts w:asciiTheme="minorHAnsi" w:hAnsiTheme="minorHAnsi"/>
              </w:rPr>
              <w:t xml:space="preserve">Ustalenia zawarte w niniejszych </w:t>
            </w:r>
            <w:r w:rsidR="00CB3C1C">
              <w:rPr>
                <w:rFonts w:asciiTheme="minorHAnsi" w:hAnsiTheme="minorHAnsi"/>
              </w:rPr>
              <w:t>specyfikacji</w:t>
            </w:r>
            <w:r w:rsidRPr="00A23FB4">
              <w:rPr>
                <w:rFonts w:asciiTheme="minorHAnsi" w:hAnsiTheme="minorHAnsi"/>
              </w:rPr>
              <w:t xml:space="preserve"> dotyczą zasad prowadzenia robót związanych z budową oświetlenia na drogach publicznych tj.:</w:t>
            </w:r>
          </w:p>
          <w:p w14:paraId="66EFA8D1" w14:textId="77777777" w:rsidR="00DB6B0E" w:rsidRPr="00A23FB4" w:rsidRDefault="00DB6B0E" w:rsidP="00262498">
            <w:pPr>
              <w:pStyle w:val="Akapitzlist"/>
              <w:numPr>
                <w:ilvl w:val="0"/>
                <w:numId w:val="214"/>
              </w:numPr>
              <w:spacing w:before="120"/>
              <w:rPr>
                <w:rFonts w:asciiTheme="minorHAnsi" w:hAnsiTheme="minorHAnsi"/>
              </w:rPr>
            </w:pPr>
            <w:r w:rsidRPr="00A23FB4">
              <w:rPr>
                <w:rFonts w:asciiTheme="minorHAnsi" w:hAnsiTheme="minorHAnsi"/>
              </w:rPr>
              <w:t>budowę doświetlaczy na przejściach dla pieszych,</w:t>
            </w:r>
          </w:p>
          <w:p w14:paraId="132C3C29" w14:textId="77777777" w:rsidR="00DB6B0E" w:rsidRPr="00A23FB4" w:rsidRDefault="00DB6B0E" w:rsidP="00262498">
            <w:pPr>
              <w:pStyle w:val="Akapitzlist"/>
              <w:numPr>
                <w:ilvl w:val="0"/>
                <w:numId w:val="214"/>
              </w:numPr>
              <w:spacing w:before="120"/>
              <w:rPr>
                <w:rFonts w:asciiTheme="minorHAnsi" w:hAnsiTheme="minorHAnsi"/>
              </w:rPr>
            </w:pPr>
            <w:r w:rsidRPr="00A23FB4">
              <w:rPr>
                <w:rFonts w:asciiTheme="minorHAnsi" w:hAnsiTheme="minorHAnsi"/>
              </w:rPr>
              <w:t>budowę oświetlenia ulicznego,</w:t>
            </w:r>
          </w:p>
          <w:p w14:paraId="230CA964" w14:textId="77777777" w:rsidR="00DB6B0E" w:rsidRPr="00A23FB4" w:rsidRDefault="00DB6B0E" w:rsidP="00262498">
            <w:pPr>
              <w:pStyle w:val="Akapitzlist"/>
              <w:numPr>
                <w:ilvl w:val="0"/>
                <w:numId w:val="214"/>
              </w:numPr>
              <w:spacing w:before="120"/>
              <w:rPr>
                <w:rFonts w:asciiTheme="minorHAnsi" w:hAnsiTheme="minorHAnsi"/>
              </w:rPr>
            </w:pPr>
            <w:r w:rsidRPr="00A23FB4">
              <w:rPr>
                <w:rFonts w:asciiTheme="minorHAnsi" w:hAnsiTheme="minorHAnsi"/>
              </w:rPr>
              <w:t>montaż kabli.</w:t>
            </w:r>
          </w:p>
          <w:p w14:paraId="37CB3985" w14:textId="77777777" w:rsidR="00DB6B0E" w:rsidRPr="00A23FB4" w:rsidRDefault="00DB6B0E" w:rsidP="00DB6B0E">
            <w:pPr>
              <w:rPr>
                <w:rFonts w:asciiTheme="minorHAnsi" w:hAnsiTheme="minorHAnsi"/>
                <w:b/>
              </w:rPr>
            </w:pPr>
          </w:p>
          <w:p w14:paraId="0A6A7524" w14:textId="77777777" w:rsidR="00DB6B0E" w:rsidRPr="00A23FB4" w:rsidRDefault="00DB6B0E" w:rsidP="00DB6B0E">
            <w:pPr>
              <w:rPr>
                <w:rFonts w:asciiTheme="minorHAnsi" w:hAnsiTheme="minorHAnsi"/>
                <w:b/>
              </w:rPr>
            </w:pPr>
            <w:r w:rsidRPr="00A23FB4">
              <w:rPr>
                <w:rFonts w:asciiTheme="minorHAnsi" w:hAnsiTheme="minorHAnsi"/>
                <w:b/>
              </w:rPr>
              <w:t>1.4. Określenia podstawowe</w:t>
            </w:r>
          </w:p>
          <w:p w14:paraId="311CA70B" w14:textId="77777777" w:rsidR="00DB6B0E" w:rsidRPr="00A23FB4" w:rsidRDefault="00DB6B0E" w:rsidP="00262498">
            <w:pPr>
              <w:numPr>
                <w:ilvl w:val="0"/>
                <w:numId w:val="204"/>
              </w:numPr>
              <w:tabs>
                <w:tab w:val="left" w:pos="0"/>
              </w:tabs>
              <w:overflowPunct/>
              <w:autoSpaceDE/>
              <w:autoSpaceDN/>
              <w:adjustRightInd/>
              <w:spacing w:before="120"/>
              <w:ind w:left="0" w:firstLine="0"/>
              <w:jc w:val="left"/>
              <w:textAlignment w:val="auto"/>
              <w:rPr>
                <w:rFonts w:asciiTheme="minorHAnsi" w:hAnsiTheme="minorHAnsi"/>
              </w:rPr>
            </w:pPr>
            <w:r w:rsidRPr="00A23FB4">
              <w:rPr>
                <w:rFonts w:asciiTheme="minorHAnsi" w:hAnsiTheme="minorHAnsi"/>
              </w:rPr>
              <w:t xml:space="preserve">Słup oświetleniowy - konstrukcja wsporcza osadzona bezpośrednio w gruncie, służąca do zamocowania oprawy oświetleniowej na wysokości nie większej niż </w:t>
            </w:r>
            <w:smartTag w:uri="urn:schemas-microsoft-com:office:smarttags" w:element="metricconverter">
              <w:smartTagPr>
                <w:attr w:name="ProductID" w:val="14 m"/>
              </w:smartTagPr>
              <w:r w:rsidRPr="00A23FB4">
                <w:rPr>
                  <w:rFonts w:asciiTheme="minorHAnsi" w:hAnsiTheme="minorHAnsi"/>
                </w:rPr>
                <w:t>14 m</w:t>
              </w:r>
            </w:smartTag>
            <w:r w:rsidRPr="00A23FB4">
              <w:rPr>
                <w:rFonts w:asciiTheme="minorHAnsi" w:hAnsiTheme="minorHAnsi"/>
              </w:rPr>
              <w:t>.</w:t>
            </w:r>
          </w:p>
          <w:p w14:paraId="334116FB" w14:textId="77777777" w:rsidR="00DB6B0E" w:rsidRPr="00A23FB4" w:rsidRDefault="00DB6B0E" w:rsidP="00262498">
            <w:pPr>
              <w:numPr>
                <w:ilvl w:val="0"/>
                <w:numId w:val="204"/>
              </w:numPr>
              <w:tabs>
                <w:tab w:val="left" w:pos="0"/>
              </w:tabs>
              <w:overflowPunct/>
              <w:autoSpaceDE/>
              <w:autoSpaceDN/>
              <w:adjustRightInd/>
              <w:spacing w:before="120"/>
              <w:ind w:left="0" w:firstLine="0"/>
              <w:jc w:val="left"/>
              <w:textAlignment w:val="auto"/>
              <w:rPr>
                <w:rFonts w:asciiTheme="minorHAnsi" w:hAnsiTheme="minorHAnsi"/>
              </w:rPr>
            </w:pPr>
            <w:r w:rsidRPr="00A23FB4">
              <w:rPr>
                <w:rFonts w:asciiTheme="minorHAnsi" w:hAnsiTheme="minorHAnsi"/>
              </w:rPr>
              <w:t>Oprawa oświetleniowa - urządzenie służące do rozdziału, filtracji i przekształcania strumienia świetlnego wysyłanego przez źródło światła, zawierające wszystkie niezbędne detale do przymocowania i połączenia z instalacją elektryczną.</w:t>
            </w:r>
          </w:p>
          <w:p w14:paraId="631B67AF" w14:textId="77777777" w:rsidR="00DB6B0E" w:rsidRPr="00A23FB4" w:rsidRDefault="00DB6B0E" w:rsidP="00262498">
            <w:pPr>
              <w:numPr>
                <w:ilvl w:val="0"/>
                <w:numId w:val="204"/>
              </w:numPr>
              <w:tabs>
                <w:tab w:val="left" w:pos="0"/>
              </w:tabs>
              <w:overflowPunct/>
              <w:autoSpaceDE/>
              <w:autoSpaceDN/>
              <w:adjustRightInd/>
              <w:spacing w:before="120"/>
              <w:ind w:left="0" w:firstLine="0"/>
              <w:jc w:val="left"/>
              <w:textAlignment w:val="auto"/>
              <w:rPr>
                <w:rFonts w:asciiTheme="minorHAnsi" w:hAnsiTheme="minorHAnsi"/>
              </w:rPr>
            </w:pPr>
            <w:r w:rsidRPr="00A23FB4">
              <w:rPr>
                <w:rFonts w:asciiTheme="minorHAnsi" w:hAnsiTheme="minorHAnsi"/>
              </w:rPr>
              <w:t>Kabel - przewód wielożyłowy izolowany, przystosowany do przewodzenia prądu elektrycznego, mogący pracować pod i nad ziemią.</w:t>
            </w:r>
          </w:p>
          <w:p w14:paraId="2D658FDF" w14:textId="77777777" w:rsidR="00DB6B0E" w:rsidRPr="00A23FB4" w:rsidRDefault="00DB6B0E" w:rsidP="00262498">
            <w:pPr>
              <w:numPr>
                <w:ilvl w:val="0"/>
                <w:numId w:val="204"/>
              </w:numPr>
              <w:tabs>
                <w:tab w:val="left" w:pos="0"/>
              </w:tabs>
              <w:overflowPunct/>
              <w:autoSpaceDE/>
              <w:autoSpaceDN/>
              <w:adjustRightInd/>
              <w:spacing w:before="120"/>
              <w:ind w:left="0" w:firstLine="0"/>
              <w:jc w:val="left"/>
              <w:textAlignment w:val="auto"/>
              <w:rPr>
                <w:rFonts w:asciiTheme="minorHAnsi" w:hAnsiTheme="minorHAnsi"/>
              </w:rPr>
            </w:pPr>
            <w:r w:rsidRPr="00A23FB4">
              <w:rPr>
                <w:rFonts w:asciiTheme="minorHAnsi" w:hAnsiTheme="minorHAnsi"/>
              </w:rPr>
              <w:t>Dodatkowa ochrona przeciwporażeniowa - ochrona części przewodzących dostępnych w wypadku pojawienia się na nich napięcia w warunkach zakłóceniowych.</w:t>
            </w:r>
          </w:p>
          <w:p w14:paraId="2C4D3C0C" w14:textId="3E38A5A3" w:rsidR="00DB6B0E" w:rsidRPr="00A23FB4" w:rsidRDefault="00DB6B0E" w:rsidP="00262498">
            <w:pPr>
              <w:numPr>
                <w:ilvl w:val="0"/>
                <w:numId w:val="204"/>
              </w:numPr>
              <w:tabs>
                <w:tab w:val="left" w:pos="0"/>
              </w:tabs>
              <w:overflowPunct/>
              <w:autoSpaceDE/>
              <w:autoSpaceDN/>
              <w:adjustRightInd/>
              <w:spacing w:before="120" w:after="240"/>
              <w:ind w:left="0" w:firstLine="0"/>
              <w:jc w:val="left"/>
              <w:textAlignment w:val="auto"/>
              <w:rPr>
                <w:rFonts w:asciiTheme="minorHAnsi" w:hAnsiTheme="minorHAnsi"/>
              </w:rPr>
            </w:pPr>
            <w:r w:rsidRPr="00A23FB4">
              <w:rPr>
                <w:rFonts w:asciiTheme="minorHAnsi" w:hAnsiTheme="minorHAnsi"/>
              </w:rPr>
              <w:t xml:space="preserve">Pozostałe określenia podstawowe są zgodne z obowiązującymi odpowiednimi polskimi normami i definicjami podanymi w </w:t>
            </w:r>
            <w:r w:rsidR="00865C6C">
              <w:rPr>
                <w:rFonts w:asciiTheme="minorHAnsi" w:hAnsiTheme="minorHAnsi"/>
              </w:rPr>
              <w:t>ST</w:t>
            </w:r>
            <w:r w:rsidRPr="00A23FB4">
              <w:rPr>
                <w:rFonts w:asciiTheme="minorHAnsi" w:hAnsiTheme="minorHAnsi"/>
              </w:rPr>
              <w:t>WiORB D-M-00.00.00.00 „Wymagania ogólne” pkt 1.5.</w:t>
            </w:r>
          </w:p>
          <w:p w14:paraId="2A0570A0" w14:textId="77777777" w:rsidR="00DB6B0E" w:rsidRPr="00A23FB4" w:rsidRDefault="00DB6B0E" w:rsidP="00DB6B0E">
            <w:pPr>
              <w:rPr>
                <w:rFonts w:asciiTheme="minorHAnsi" w:hAnsiTheme="minorHAnsi"/>
                <w:b/>
              </w:rPr>
            </w:pPr>
            <w:r w:rsidRPr="00A23FB4">
              <w:rPr>
                <w:rFonts w:asciiTheme="minorHAnsi" w:hAnsiTheme="minorHAnsi"/>
                <w:b/>
              </w:rPr>
              <w:t>1.5. Ogólne wymagania dotyczące robót</w:t>
            </w:r>
          </w:p>
          <w:p w14:paraId="2DBE82EB" w14:textId="5A2B32A6" w:rsidR="00DB6B0E" w:rsidRPr="00A23FB4" w:rsidRDefault="00DB6B0E" w:rsidP="00DB6B0E">
            <w:pPr>
              <w:spacing w:before="120"/>
              <w:rPr>
                <w:rFonts w:asciiTheme="minorHAnsi" w:hAnsiTheme="minorHAnsi"/>
              </w:rPr>
            </w:pPr>
            <w:r w:rsidRPr="00A23FB4">
              <w:rPr>
                <w:rFonts w:asciiTheme="minorHAnsi" w:hAnsiTheme="minorHAnsi"/>
              </w:rPr>
              <w:t xml:space="preserve">Ogólne wymagania dotyczące robót podano w </w:t>
            </w:r>
            <w:r w:rsidR="00865C6C">
              <w:rPr>
                <w:rFonts w:asciiTheme="minorHAnsi" w:hAnsiTheme="minorHAnsi"/>
              </w:rPr>
              <w:t>ST</w:t>
            </w:r>
            <w:r w:rsidRPr="00A23FB4">
              <w:rPr>
                <w:rFonts w:asciiTheme="minorHAnsi" w:hAnsiTheme="minorHAnsi"/>
              </w:rPr>
              <w:t>WiORB D-M-00.00.00.00 „Wymagania ogólne” pkt 1.5.</w:t>
            </w:r>
          </w:p>
          <w:p w14:paraId="00B12E38" w14:textId="77777777" w:rsidR="00DB6B0E" w:rsidRPr="00A23FB4" w:rsidRDefault="00DB6B0E" w:rsidP="00DB6B0E">
            <w:pPr>
              <w:rPr>
                <w:rFonts w:asciiTheme="minorHAnsi" w:hAnsiTheme="minorHAnsi"/>
                <w:b/>
              </w:rPr>
            </w:pPr>
          </w:p>
          <w:p w14:paraId="2846BA57" w14:textId="77777777" w:rsidR="00DB6B0E" w:rsidRPr="00A23FB4" w:rsidRDefault="00DB6B0E" w:rsidP="00DB6B0E">
            <w:pPr>
              <w:spacing w:after="240"/>
              <w:rPr>
                <w:rFonts w:asciiTheme="minorHAnsi" w:hAnsiTheme="minorHAnsi"/>
                <w:b/>
                <w:caps/>
              </w:rPr>
            </w:pPr>
            <w:r w:rsidRPr="00A23FB4">
              <w:rPr>
                <w:rFonts w:asciiTheme="minorHAnsi" w:hAnsiTheme="minorHAnsi"/>
                <w:b/>
              </w:rPr>
              <w:t>2. MATERIAŁY</w:t>
            </w:r>
          </w:p>
          <w:p w14:paraId="3C676496" w14:textId="77777777" w:rsidR="00DB6B0E" w:rsidRPr="00A23FB4" w:rsidRDefault="00DB6B0E" w:rsidP="00DB6B0E">
            <w:pPr>
              <w:rPr>
                <w:rFonts w:asciiTheme="minorHAnsi" w:hAnsiTheme="minorHAnsi"/>
                <w:b/>
              </w:rPr>
            </w:pPr>
            <w:r w:rsidRPr="00A23FB4">
              <w:rPr>
                <w:rFonts w:asciiTheme="minorHAnsi" w:hAnsiTheme="minorHAnsi"/>
                <w:b/>
              </w:rPr>
              <w:t>2.1. Ogólne wymagania dotyczące materiałów</w:t>
            </w:r>
          </w:p>
          <w:p w14:paraId="658AB0AF" w14:textId="358661CB" w:rsidR="00DB6B0E" w:rsidRPr="00A23FB4" w:rsidRDefault="00DB6B0E" w:rsidP="00DB6B0E">
            <w:pPr>
              <w:spacing w:before="120"/>
              <w:rPr>
                <w:rFonts w:asciiTheme="minorHAnsi" w:hAnsiTheme="minorHAnsi"/>
              </w:rPr>
            </w:pPr>
            <w:r w:rsidRPr="00A23FB4">
              <w:rPr>
                <w:rFonts w:asciiTheme="minorHAnsi" w:hAnsiTheme="minorHAnsi"/>
              </w:rPr>
              <w:t xml:space="preserve">Ogólne wymagania dotyczące materiałów, ich pozyskiwania i składowania, podano w </w:t>
            </w:r>
            <w:r w:rsidR="00865C6C">
              <w:rPr>
                <w:rFonts w:asciiTheme="minorHAnsi" w:hAnsiTheme="minorHAnsi"/>
              </w:rPr>
              <w:t>ST</w:t>
            </w:r>
            <w:r w:rsidRPr="00A23FB4">
              <w:rPr>
                <w:rFonts w:asciiTheme="minorHAnsi" w:hAnsiTheme="minorHAnsi"/>
              </w:rPr>
              <w:t>WiORB D-M-00.00.00.00 „Wymagania ogólne” pkt 2.</w:t>
            </w:r>
          </w:p>
          <w:p w14:paraId="14A9182C" w14:textId="77777777" w:rsidR="00DB6B0E" w:rsidRPr="00A23FB4" w:rsidRDefault="00DB6B0E" w:rsidP="00DB6B0E">
            <w:pPr>
              <w:rPr>
                <w:rFonts w:asciiTheme="minorHAnsi" w:hAnsiTheme="minorHAnsi"/>
                <w:b/>
              </w:rPr>
            </w:pPr>
          </w:p>
          <w:p w14:paraId="3611075B" w14:textId="77777777" w:rsidR="00DB6B0E" w:rsidRPr="00A23FB4" w:rsidRDefault="00DB6B0E" w:rsidP="00DB6B0E">
            <w:pPr>
              <w:rPr>
                <w:rFonts w:asciiTheme="minorHAnsi" w:hAnsiTheme="minorHAnsi"/>
                <w:b/>
              </w:rPr>
            </w:pPr>
            <w:r w:rsidRPr="00A23FB4">
              <w:rPr>
                <w:rFonts w:asciiTheme="minorHAnsi" w:hAnsiTheme="minorHAnsi"/>
                <w:b/>
              </w:rPr>
              <w:t>2.2. Elementy gotowe</w:t>
            </w:r>
          </w:p>
          <w:p w14:paraId="465410D0" w14:textId="77777777" w:rsidR="00DB6B0E" w:rsidRPr="00A23FB4" w:rsidRDefault="00DB6B0E" w:rsidP="00262498">
            <w:pPr>
              <w:pStyle w:val="Akapitzlist"/>
              <w:numPr>
                <w:ilvl w:val="2"/>
                <w:numId w:val="209"/>
              </w:numPr>
              <w:overflowPunct/>
              <w:autoSpaceDE/>
              <w:autoSpaceDN/>
              <w:adjustRightInd/>
              <w:spacing w:before="120"/>
              <w:contextualSpacing/>
              <w:jc w:val="left"/>
              <w:textAlignment w:val="auto"/>
              <w:rPr>
                <w:rFonts w:asciiTheme="minorHAnsi" w:hAnsiTheme="minorHAnsi"/>
                <w:b/>
              </w:rPr>
            </w:pPr>
            <w:r w:rsidRPr="00A23FB4">
              <w:rPr>
                <w:rFonts w:asciiTheme="minorHAnsi" w:hAnsiTheme="minorHAnsi"/>
                <w:b/>
              </w:rPr>
              <w:t>Przepusty kablowe</w:t>
            </w:r>
          </w:p>
          <w:p w14:paraId="2215E4D7" w14:textId="77777777" w:rsidR="00DB6B0E" w:rsidRPr="00A23FB4" w:rsidRDefault="00DB6B0E" w:rsidP="00DB6B0E">
            <w:pPr>
              <w:spacing w:before="120"/>
              <w:rPr>
                <w:rFonts w:asciiTheme="minorHAnsi" w:hAnsiTheme="minorHAnsi"/>
              </w:rPr>
            </w:pPr>
            <w:r w:rsidRPr="00A23FB4">
              <w:rPr>
                <w:rFonts w:asciiTheme="minorHAnsi" w:hAnsiTheme="minorHAnsi"/>
              </w:rPr>
              <w:t>Przepusty kablowe powinny być wykonane z materiałów niepalnych, z tworzyw sztucznych lub stali, wytrzymałych mechanicznie, chemicznie i odpornych na działanie łuku elektrycznego.</w:t>
            </w:r>
          </w:p>
          <w:p w14:paraId="3CF8C773" w14:textId="77777777" w:rsidR="00DB6B0E" w:rsidRPr="00A23FB4" w:rsidRDefault="00DB6B0E" w:rsidP="00DB6B0E">
            <w:pPr>
              <w:spacing w:before="120"/>
              <w:rPr>
                <w:rFonts w:asciiTheme="minorHAnsi" w:hAnsiTheme="minorHAnsi"/>
              </w:rPr>
            </w:pPr>
            <w:r w:rsidRPr="00A23FB4">
              <w:rPr>
                <w:rFonts w:asciiTheme="minorHAnsi" w:hAnsiTheme="minorHAnsi"/>
              </w:rPr>
              <w:t>Rury używane do wykonania przepustów powinny być dostatecznie wytrzymałe na działające na nie obciążenia. Wnętrza ścianek powinny być gładkie lub powleczone warstwą wygładzającą ich powierzchnie dla ułatwienia przesuwania się kabli.</w:t>
            </w:r>
          </w:p>
          <w:p w14:paraId="2F085B39" w14:textId="77777777" w:rsidR="00DB6B0E" w:rsidRPr="00A23FB4" w:rsidRDefault="00DB6B0E" w:rsidP="00DB6B0E">
            <w:pPr>
              <w:autoSpaceDE/>
              <w:autoSpaceDN/>
              <w:adjustRightInd/>
              <w:spacing w:before="120"/>
              <w:rPr>
                <w:rFonts w:ascii="Arial" w:hAnsi="Arial" w:cs="Arial"/>
              </w:rPr>
            </w:pPr>
            <w:r w:rsidRPr="00A23FB4">
              <w:rPr>
                <w:rFonts w:asciiTheme="minorHAnsi" w:hAnsiTheme="minorHAnsi"/>
              </w:rPr>
              <w:t xml:space="preserve">Zaleca się stosowanie na przepusty kablowe rur z polietylenu wysokiej gęstości (HDPE) o średnicy wewnętrznej nie mniejszej niż </w:t>
            </w:r>
            <w:smartTag w:uri="urn:schemas-microsoft-com:office:smarttags" w:element="metricconverter">
              <w:smartTagPr>
                <w:attr w:name="ProductID" w:val="90 mm"/>
              </w:smartTagPr>
              <w:r w:rsidRPr="00A23FB4">
                <w:rPr>
                  <w:rFonts w:asciiTheme="minorHAnsi" w:hAnsiTheme="minorHAnsi"/>
                </w:rPr>
                <w:t>90 mm</w:t>
              </w:r>
            </w:smartTag>
            <w:r w:rsidRPr="00A23FB4">
              <w:rPr>
                <w:rFonts w:asciiTheme="minorHAnsi" w:hAnsiTheme="minorHAnsi"/>
              </w:rPr>
              <w:t>. Rury powinny odpowiadać wymaganiom normy PN-EN 61386-1:2011.</w:t>
            </w:r>
          </w:p>
          <w:p w14:paraId="6EA06861" w14:textId="77777777" w:rsidR="00DB6B0E" w:rsidRPr="00A23FB4" w:rsidRDefault="00DB6B0E" w:rsidP="00DB6B0E">
            <w:pPr>
              <w:spacing w:before="120"/>
              <w:rPr>
                <w:rFonts w:asciiTheme="minorHAnsi" w:hAnsiTheme="minorHAnsi"/>
              </w:rPr>
            </w:pPr>
            <w:r w:rsidRPr="00A23FB4">
              <w:rPr>
                <w:rFonts w:asciiTheme="minorHAnsi" w:hAnsiTheme="minorHAnsi"/>
              </w:rPr>
              <w:t>Rury na przepusty kablowe należy przechowywać na utwardzonym placu, w nienasłonecznionych miejscach zabezpieczonych przed ich uszkodzeniem.</w:t>
            </w:r>
          </w:p>
          <w:p w14:paraId="1AD146CE" w14:textId="77777777" w:rsidR="00DB6B0E" w:rsidRPr="00A23FB4" w:rsidRDefault="00DB6B0E" w:rsidP="00262498">
            <w:pPr>
              <w:pStyle w:val="Akapitzlist"/>
              <w:numPr>
                <w:ilvl w:val="2"/>
                <w:numId w:val="209"/>
              </w:numPr>
              <w:spacing w:before="120"/>
              <w:contextualSpacing/>
              <w:jc w:val="left"/>
              <w:rPr>
                <w:rFonts w:asciiTheme="minorHAnsi" w:hAnsiTheme="minorHAnsi"/>
                <w:b/>
              </w:rPr>
            </w:pPr>
            <w:r w:rsidRPr="00A23FB4">
              <w:rPr>
                <w:rFonts w:asciiTheme="minorHAnsi" w:hAnsiTheme="minorHAnsi"/>
                <w:b/>
              </w:rPr>
              <w:t>Kable</w:t>
            </w:r>
          </w:p>
          <w:p w14:paraId="69960029" w14:textId="77777777" w:rsidR="00DB6B0E" w:rsidRPr="00A23FB4" w:rsidRDefault="00DB6B0E" w:rsidP="00DB6B0E">
            <w:pPr>
              <w:spacing w:before="120"/>
              <w:rPr>
                <w:rFonts w:asciiTheme="minorHAnsi" w:hAnsiTheme="minorHAnsi"/>
              </w:rPr>
            </w:pPr>
            <w:r w:rsidRPr="00A23FB4">
              <w:rPr>
                <w:rFonts w:asciiTheme="minorHAnsi" w:hAnsiTheme="minorHAnsi"/>
              </w:rPr>
              <w:t xml:space="preserve">Kable używane do oświetlenia dróg powinny spełniać wymagania PN-93/E-90401. Zaleca się stosowanie kabli </w:t>
            </w:r>
            <w:r w:rsidRPr="00A23FB4">
              <w:rPr>
                <w:rFonts w:asciiTheme="minorHAnsi" w:hAnsiTheme="minorHAnsi"/>
              </w:rPr>
              <w:br/>
              <w:t>o napięciu znamionowym  0,6/1 kV, czterożyłowych o żyłach miedzianych w izolacji polwinitowej dla zasilania oświetlenia parkingu. Przekrój żył powinien być dobrany w zależności od dopuszczalnego spadku napięcia, dopuszczalnej temperatury nagrzania kabla przez prądy robocze i zwarciowe oraz skuteczności ochrony przeciwporażeniowej w przypadku zerowania ochronnego.</w:t>
            </w:r>
          </w:p>
          <w:p w14:paraId="3A910EFE" w14:textId="77777777" w:rsidR="00DB6B0E" w:rsidRPr="00A23FB4" w:rsidRDefault="00DB6B0E" w:rsidP="00DB6B0E">
            <w:pPr>
              <w:spacing w:before="120"/>
              <w:rPr>
                <w:rFonts w:asciiTheme="minorHAnsi" w:hAnsiTheme="minorHAnsi"/>
              </w:rPr>
            </w:pPr>
            <w:r w:rsidRPr="00A23FB4">
              <w:rPr>
                <w:rFonts w:asciiTheme="minorHAnsi" w:hAnsiTheme="minorHAnsi"/>
              </w:rPr>
              <w:t>Bębny z kablami należy przechowywać w miejscach pokrytych dachem, zabezpieczonych przed opadami atmosferycznymi i bezpośrednim działaniem promieni słonecznych.</w:t>
            </w:r>
          </w:p>
          <w:p w14:paraId="69F907E7" w14:textId="77777777" w:rsidR="00DB6B0E" w:rsidRPr="00A23FB4" w:rsidRDefault="00DB6B0E" w:rsidP="00262498">
            <w:pPr>
              <w:numPr>
                <w:ilvl w:val="0"/>
                <w:numId w:val="205"/>
              </w:numPr>
              <w:overflowPunct/>
              <w:autoSpaceDE/>
              <w:autoSpaceDN/>
              <w:adjustRightInd/>
              <w:spacing w:before="120"/>
              <w:jc w:val="left"/>
              <w:textAlignment w:val="auto"/>
              <w:rPr>
                <w:rFonts w:asciiTheme="minorHAnsi" w:hAnsiTheme="minorHAnsi"/>
              </w:rPr>
            </w:pPr>
            <w:r w:rsidRPr="00A23FB4">
              <w:rPr>
                <w:rFonts w:asciiTheme="minorHAnsi" w:hAnsiTheme="minorHAnsi"/>
              </w:rPr>
              <w:t>Źródła światła i oprawy</w:t>
            </w:r>
          </w:p>
          <w:p w14:paraId="11B11CC3" w14:textId="77777777" w:rsidR="00DB6B0E" w:rsidRPr="00A23FB4" w:rsidRDefault="00DB6B0E" w:rsidP="00DB6B0E">
            <w:pPr>
              <w:spacing w:before="120"/>
              <w:rPr>
                <w:rFonts w:asciiTheme="minorHAnsi" w:hAnsiTheme="minorHAnsi"/>
              </w:rPr>
            </w:pPr>
            <w:r w:rsidRPr="00A23FB4">
              <w:rPr>
                <w:rFonts w:asciiTheme="minorHAnsi" w:hAnsiTheme="minorHAnsi"/>
              </w:rPr>
              <w:t>Dla oświetlenia terenu stosować źródła światła i oprawy spełniające wymagania PN-83/E-06305.</w:t>
            </w:r>
          </w:p>
          <w:p w14:paraId="52A91146" w14:textId="77777777" w:rsidR="00DB6B0E" w:rsidRPr="00A23FB4" w:rsidRDefault="00DB6B0E" w:rsidP="00DB6B0E">
            <w:pPr>
              <w:spacing w:before="120"/>
              <w:rPr>
                <w:rFonts w:asciiTheme="minorHAnsi" w:hAnsiTheme="minorHAnsi"/>
              </w:rPr>
            </w:pPr>
            <w:r w:rsidRPr="00A23FB4">
              <w:rPr>
                <w:rFonts w:asciiTheme="minorHAnsi" w:hAnsiTheme="minorHAnsi"/>
              </w:rPr>
              <w:t>Przewidziano oprawy ze źródłami światła typu LED:</w:t>
            </w:r>
          </w:p>
          <w:p w14:paraId="3B087941" w14:textId="77777777" w:rsidR="00DB6B0E" w:rsidRPr="00A23FB4" w:rsidRDefault="00DB6B0E" w:rsidP="00262498">
            <w:pPr>
              <w:numPr>
                <w:ilvl w:val="0"/>
                <w:numId w:val="210"/>
              </w:numPr>
              <w:overflowPunct/>
              <w:autoSpaceDE/>
              <w:autoSpaceDN/>
              <w:adjustRightInd/>
              <w:spacing w:before="120"/>
              <w:textAlignment w:val="auto"/>
              <w:rPr>
                <w:rFonts w:ascii="Calibri" w:hAnsi="Calibri" w:cs="Calibri"/>
              </w:rPr>
            </w:pPr>
            <w:r w:rsidRPr="00A23FB4">
              <w:rPr>
                <w:rFonts w:ascii="Calibri" w:hAnsi="Calibri" w:cs="Calibri"/>
              </w:rPr>
              <w:t>Budowa oprawy – dwukomorowa (otwarcie komory osprzętu nie powoduje rozszczelnienia komory optycznej)</w:t>
            </w:r>
          </w:p>
          <w:p w14:paraId="4F208FC0" w14:textId="77777777" w:rsidR="00DB6B0E" w:rsidRPr="00A23FB4" w:rsidRDefault="00DB6B0E" w:rsidP="00262498">
            <w:pPr>
              <w:numPr>
                <w:ilvl w:val="0"/>
                <w:numId w:val="210"/>
              </w:numPr>
              <w:overflowPunct/>
              <w:autoSpaceDE/>
              <w:autoSpaceDN/>
              <w:adjustRightInd/>
              <w:spacing w:before="120"/>
              <w:textAlignment w:val="auto"/>
              <w:rPr>
                <w:rFonts w:ascii="Calibri" w:hAnsi="Calibri" w:cs="Calibri"/>
              </w:rPr>
            </w:pPr>
            <w:r w:rsidRPr="00A23FB4">
              <w:rPr>
                <w:rFonts w:ascii="Calibri" w:hAnsi="Calibri" w:cs="Calibri"/>
              </w:rPr>
              <w:t>Materiał korpusu – Odlew aluminium</w:t>
            </w:r>
          </w:p>
          <w:p w14:paraId="2F378A20" w14:textId="77777777" w:rsidR="00DB6B0E" w:rsidRPr="00A23FB4" w:rsidRDefault="00DB6B0E" w:rsidP="00262498">
            <w:pPr>
              <w:numPr>
                <w:ilvl w:val="0"/>
                <w:numId w:val="210"/>
              </w:numPr>
              <w:overflowPunct/>
              <w:autoSpaceDE/>
              <w:autoSpaceDN/>
              <w:adjustRightInd/>
              <w:spacing w:before="120"/>
              <w:textAlignment w:val="auto"/>
              <w:rPr>
                <w:rFonts w:ascii="Calibri" w:hAnsi="Calibri" w:cs="Calibri"/>
              </w:rPr>
            </w:pPr>
            <w:r w:rsidRPr="00A23FB4">
              <w:rPr>
                <w:rFonts w:ascii="Calibri" w:hAnsi="Calibri" w:cs="Calibri"/>
              </w:rPr>
              <w:t>Materiał klosza – Szkło hartowane płaskie</w:t>
            </w:r>
          </w:p>
          <w:p w14:paraId="00BAAB25" w14:textId="77777777" w:rsidR="00DB6B0E" w:rsidRPr="00A23FB4" w:rsidRDefault="00DB6B0E" w:rsidP="00262498">
            <w:pPr>
              <w:numPr>
                <w:ilvl w:val="0"/>
                <w:numId w:val="210"/>
              </w:numPr>
              <w:overflowPunct/>
              <w:autoSpaceDE/>
              <w:autoSpaceDN/>
              <w:adjustRightInd/>
              <w:spacing w:before="120"/>
              <w:textAlignment w:val="auto"/>
              <w:rPr>
                <w:rFonts w:ascii="Calibri" w:hAnsi="Calibri" w:cs="Calibri"/>
              </w:rPr>
            </w:pPr>
            <w:r w:rsidRPr="00A23FB4">
              <w:rPr>
                <w:rFonts w:ascii="Calibri" w:hAnsi="Calibri" w:cs="Calibri"/>
              </w:rPr>
              <w:t>Stopień odporności klosza na uderzenia mechaniczne – IK08</w:t>
            </w:r>
          </w:p>
          <w:p w14:paraId="144462CA" w14:textId="77777777" w:rsidR="00DB6B0E" w:rsidRPr="00A23FB4" w:rsidRDefault="00DB6B0E" w:rsidP="00262498">
            <w:pPr>
              <w:numPr>
                <w:ilvl w:val="0"/>
                <w:numId w:val="210"/>
              </w:numPr>
              <w:overflowPunct/>
              <w:autoSpaceDE/>
              <w:autoSpaceDN/>
              <w:adjustRightInd/>
              <w:spacing w:before="120"/>
              <w:textAlignment w:val="auto"/>
              <w:rPr>
                <w:rFonts w:ascii="Calibri" w:hAnsi="Calibri" w:cs="Calibri"/>
              </w:rPr>
            </w:pPr>
            <w:r w:rsidRPr="00A23FB4">
              <w:rPr>
                <w:rFonts w:ascii="Calibri" w:hAnsi="Calibri" w:cs="Calibri"/>
              </w:rPr>
              <w:t>Szczelność komory optycznej – IP66</w:t>
            </w:r>
          </w:p>
          <w:p w14:paraId="1E8EA9A4" w14:textId="77777777" w:rsidR="00DB6B0E" w:rsidRPr="00A23FB4" w:rsidRDefault="00DB6B0E" w:rsidP="00262498">
            <w:pPr>
              <w:numPr>
                <w:ilvl w:val="0"/>
                <w:numId w:val="210"/>
              </w:numPr>
              <w:overflowPunct/>
              <w:autoSpaceDE/>
              <w:autoSpaceDN/>
              <w:adjustRightInd/>
              <w:spacing w:before="120"/>
              <w:textAlignment w:val="auto"/>
              <w:rPr>
                <w:rFonts w:ascii="Calibri" w:hAnsi="Calibri" w:cs="Calibri"/>
              </w:rPr>
            </w:pPr>
            <w:r w:rsidRPr="00A23FB4">
              <w:rPr>
                <w:rFonts w:ascii="Calibri" w:hAnsi="Calibri" w:cs="Calibri"/>
              </w:rPr>
              <w:t>Szczelność komory elektrycznej – IP66</w:t>
            </w:r>
          </w:p>
          <w:p w14:paraId="620EB7C7" w14:textId="77777777" w:rsidR="00DB6B0E" w:rsidRPr="00A23FB4" w:rsidRDefault="00DB6B0E" w:rsidP="00262498">
            <w:pPr>
              <w:numPr>
                <w:ilvl w:val="0"/>
                <w:numId w:val="210"/>
              </w:numPr>
              <w:overflowPunct/>
              <w:autoSpaceDE/>
              <w:autoSpaceDN/>
              <w:adjustRightInd/>
              <w:spacing w:before="120"/>
              <w:textAlignment w:val="auto"/>
              <w:rPr>
                <w:rFonts w:ascii="Calibri" w:hAnsi="Calibri" w:cs="Calibri"/>
              </w:rPr>
            </w:pPr>
            <w:r w:rsidRPr="00A23FB4">
              <w:rPr>
                <w:rFonts w:ascii="Calibri" w:hAnsi="Calibri" w:cs="Calibri"/>
              </w:rPr>
              <w:t>Montaż na wysięgniku lub słupie o średnicy Ø48-60mm</w:t>
            </w:r>
          </w:p>
          <w:p w14:paraId="69AD4284" w14:textId="77777777" w:rsidR="00DB6B0E" w:rsidRPr="00A23FB4" w:rsidRDefault="00DB6B0E" w:rsidP="00262498">
            <w:pPr>
              <w:numPr>
                <w:ilvl w:val="0"/>
                <w:numId w:val="210"/>
              </w:numPr>
              <w:overflowPunct/>
              <w:autoSpaceDE/>
              <w:autoSpaceDN/>
              <w:adjustRightInd/>
              <w:spacing w:before="120"/>
              <w:textAlignment w:val="auto"/>
              <w:rPr>
                <w:rFonts w:ascii="Calibri" w:hAnsi="Calibri" w:cs="Calibri"/>
              </w:rPr>
            </w:pPr>
            <w:r w:rsidRPr="00A23FB4">
              <w:rPr>
                <w:rFonts w:ascii="Calibri" w:hAnsi="Calibri" w:cs="Calibri"/>
              </w:rPr>
              <w:t>Oprawa wyposażona w uniwersalny uchwyt pozwalający na montaż zarówno na wysięgniku jak i bezpośrednio na słupie, a także pozwalający na zmianę kąta nachylenia oprawy w zakresie 0-10° (montaż bezpośredni) lub 0-15° (montaż na wysięgniku)</w:t>
            </w:r>
          </w:p>
          <w:p w14:paraId="36DDB5CB" w14:textId="77777777" w:rsidR="00DB6B0E" w:rsidRPr="00A23FB4" w:rsidRDefault="00DB6B0E" w:rsidP="00262498">
            <w:pPr>
              <w:numPr>
                <w:ilvl w:val="0"/>
                <w:numId w:val="210"/>
              </w:numPr>
              <w:overflowPunct/>
              <w:autoSpaceDE/>
              <w:autoSpaceDN/>
              <w:adjustRightInd/>
              <w:spacing w:before="120"/>
              <w:textAlignment w:val="auto"/>
              <w:rPr>
                <w:rFonts w:ascii="Calibri" w:hAnsi="Calibri" w:cs="Calibri"/>
              </w:rPr>
            </w:pPr>
            <w:r w:rsidRPr="00A23FB4">
              <w:rPr>
                <w:rFonts w:ascii="Calibri" w:hAnsi="Calibri" w:cs="Calibri"/>
              </w:rPr>
              <w:t>Znamionowe napięcie pracy – 230V/50Hz</w:t>
            </w:r>
          </w:p>
          <w:p w14:paraId="7293FF8A" w14:textId="77777777" w:rsidR="00DB6B0E" w:rsidRPr="00A23FB4" w:rsidRDefault="00DB6B0E" w:rsidP="00262498">
            <w:pPr>
              <w:numPr>
                <w:ilvl w:val="0"/>
                <w:numId w:val="210"/>
              </w:numPr>
              <w:overflowPunct/>
              <w:autoSpaceDE/>
              <w:autoSpaceDN/>
              <w:adjustRightInd/>
              <w:spacing w:before="120"/>
              <w:textAlignment w:val="auto"/>
              <w:rPr>
                <w:rFonts w:ascii="Calibri" w:hAnsi="Calibri" w:cs="Calibri"/>
              </w:rPr>
            </w:pPr>
            <w:r w:rsidRPr="00A23FB4">
              <w:rPr>
                <w:rFonts w:ascii="Calibri" w:hAnsi="Calibri" w:cs="Calibri"/>
              </w:rPr>
              <w:t>Zakres temperatury barwowej źródeł światła – 3900-4300K</w:t>
            </w:r>
          </w:p>
          <w:p w14:paraId="32BF4652" w14:textId="77777777" w:rsidR="00DB6B0E" w:rsidRPr="00A23FB4" w:rsidRDefault="00DB6B0E" w:rsidP="00262498">
            <w:pPr>
              <w:numPr>
                <w:ilvl w:val="0"/>
                <w:numId w:val="210"/>
              </w:numPr>
              <w:overflowPunct/>
              <w:autoSpaceDE/>
              <w:autoSpaceDN/>
              <w:adjustRightInd/>
              <w:spacing w:before="120"/>
              <w:textAlignment w:val="auto"/>
              <w:rPr>
                <w:rFonts w:ascii="Calibri" w:hAnsi="Calibri" w:cs="Calibri"/>
              </w:rPr>
            </w:pPr>
            <w:r w:rsidRPr="00A23FB4">
              <w:rPr>
                <w:rFonts w:ascii="Calibri" w:hAnsi="Calibri" w:cs="Calibri"/>
              </w:rPr>
              <w:t>Utrzymanie strumienia świetlnego w czasie: 80% po 100 000h (zgodnie z IES LM-80 - TM-21)</w:t>
            </w:r>
          </w:p>
          <w:p w14:paraId="6EF994EC" w14:textId="77777777" w:rsidR="00DB6B0E" w:rsidRPr="00A23FB4" w:rsidRDefault="00DB6B0E" w:rsidP="00262498">
            <w:pPr>
              <w:numPr>
                <w:ilvl w:val="0"/>
                <w:numId w:val="210"/>
              </w:numPr>
              <w:overflowPunct/>
              <w:autoSpaceDE/>
              <w:autoSpaceDN/>
              <w:adjustRightInd/>
              <w:spacing w:before="120"/>
              <w:textAlignment w:val="auto"/>
              <w:rPr>
                <w:rFonts w:ascii="Calibri" w:hAnsi="Calibri" w:cs="Calibri"/>
              </w:rPr>
            </w:pPr>
            <w:r w:rsidRPr="00A23FB4">
              <w:rPr>
                <w:rFonts w:ascii="Calibri" w:hAnsi="Calibri" w:cs="Calibri"/>
              </w:rPr>
              <w:t>Klasa ochronności elektrycznej: I lub II</w:t>
            </w:r>
          </w:p>
          <w:p w14:paraId="77D31977" w14:textId="77777777" w:rsidR="00DB6B0E" w:rsidRPr="00A23FB4" w:rsidRDefault="00DB6B0E" w:rsidP="00262498">
            <w:pPr>
              <w:numPr>
                <w:ilvl w:val="0"/>
                <w:numId w:val="210"/>
              </w:numPr>
              <w:overflowPunct/>
              <w:autoSpaceDE/>
              <w:autoSpaceDN/>
              <w:adjustRightInd/>
              <w:spacing w:before="120"/>
              <w:textAlignment w:val="auto"/>
              <w:rPr>
                <w:rFonts w:ascii="Calibri" w:hAnsi="Calibri" w:cs="Calibri"/>
              </w:rPr>
            </w:pPr>
            <w:r w:rsidRPr="00A23FB4">
              <w:rPr>
                <w:rFonts w:ascii="Calibri" w:hAnsi="Calibri" w:cs="Calibri"/>
              </w:rPr>
              <w:t>Oprawa posiada deklarację zgodności WE i certyfikat akredytowanego ośrodka badawczego potwierdzający deklarowane zgodności, np. ENEC</w:t>
            </w:r>
          </w:p>
          <w:p w14:paraId="7884F49F" w14:textId="77777777" w:rsidR="00DB6B0E" w:rsidRPr="00A23FB4" w:rsidRDefault="00DB6B0E" w:rsidP="00262498">
            <w:pPr>
              <w:numPr>
                <w:ilvl w:val="0"/>
                <w:numId w:val="210"/>
              </w:numPr>
              <w:overflowPunct/>
              <w:autoSpaceDE/>
              <w:autoSpaceDN/>
              <w:adjustRightInd/>
              <w:spacing w:before="120"/>
              <w:textAlignment w:val="auto"/>
              <w:rPr>
                <w:rFonts w:ascii="Calibri" w:hAnsi="Calibri" w:cs="Calibri"/>
              </w:rPr>
            </w:pPr>
            <w:r w:rsidRPr="00A23FB4">
              <w:rPr>
                <w:rFonts w:ascii="Calibri" w:hAnsi="Calibri" w:cs="Calibri"/>
              </w:rPr>
              <w:t>Dane fotometryczne oprawy zamieszczone w programie komputerowym pozwalającym wykonać obliczenia parametrów oświetleniowych</w:t>
            </w:r>
          </w:p>
          <w:p w14:paraId="1FA9647C" w14:textId="77777777" w:rsidR="00DB6B0E" w:rsidRPr="00A23FB4" w:rsidRDefault="00DB6B0E" w:rsidP="00262498">
            <w:pPr>
              <w:numPr>
                <w:ilvl w:val="0"/>
                <w:numId w:val="210"/>
              </w:numPr>
              <w:overflowPunct/>
              <w:autoSpaceDE/>
              <w:autoSpaceDN/>
              <w:adjustRightInd/>
              <w:spacing w:before="120"/>
              <w:textAlignment w:val="auto"/>
              <w:rPr>
                <w:rFonts w:ascii="Calibri" w:hAnsi="Calibri" w:cs="Calibri"/>
              </w:rPr>
            </w:pPr>
            <w:r w:rsidRPr="00A23FB4">
              <w:rPr>
                <w:rFonts w:ascii="Calibri" w:hAnsi="Calibri" w:cs="Calibri"/>
              </w:rPr>
              <w:t>W przypadku zastosowania rozwiązań zamiennych należy dostarczyć źródłowe pliki obliczeniowe</w:t>
            </w:r>
          </w:p>
          <w:p w14:paraId="4080B21A" w14:textId="77777777" w:rsidR="00DB6B0E" w:rsidRPr="00A23FB4" w:rsidRDefault="00DB6B0E" w:rsidP="00262498">
            <w:pPr>
              <w:numPr>
                <w:ilvl w:val="0"/>
                <w:numId w:val="210"/>
              </w:numPr>
              <w:overflowPunct/>
              <w:autoSpaceDE/>
              <w:autoSpaceDN/>
              <w:adjustRightInd/>
              <w:spacing w:before="120"/>
              <w:textAlignment w:val="auto"/>
              <w:rPr>
                <w:rFonts w:ascii="Calibri" w:hAnsi="Calibri" w:cs="Calibri"/>
              </w:rPr>
            </w:pPr>
            <w:r w:rsidRPr="00A23FB4">
              <w:rPr>
                <w:rFonts w:ascii="Calibri" w:hAnsi="Calibri" w:cs="Calibri"/>
              </w:rPr>
              <w:t>Budowa oprawy pozwala na szybką wymianę układu optycznego oraz modułu zasilającego</w:t>
            </w:r>
          </w:p>
          <w:p w14:paraId="243D6D1C" w14:textId="77777777" w:rsidR="00DB6B0E" w:rsidRPr="00A23FB4" w:rsidRDefault="00DB6B0E" w:rsidP="00262498">
            <w:pPr>
              <w:numPr>
                <w:ilvl w:val="0"/>
                <w:numId w:val="211"/>
              </w:numPr>
              <w:overflowPunct/>
              <w:autoSpaceDE/>
              <w:autoSpaceDN/>
              <w:adjustRightInd/>
              <w:spacing w:before="120"/>
              <w:textAlignment w:val="auto"/>
              <w:rPr>
                <w:rFonts w:ascii="Calibri" w:hAnsi="Calibri" w:cs="Calibri"/>
              </w:rPr>
            </w:pPr>
            <w:r w:rsidRPr="00A23FB4">
              <w:rPr>
                <w:rFonts w:ascii="Calibri" w:hAnsi="Calibri" w:cs="Calibri"/>
              </w:rPr>
              <w:t>Różnica danych fotometrycznych proponowanej oprawy równoważnej nie powinna być większa niż±  5% w stosunku do podanych:</w:t>
            </w:r>
          </w:p>
          <w:p w14:paraId="638F8098" w14:textId="77777777" w:rsidR="00DB6B0E" w:rsidRPr="00A23FB4" w:rsidRDefault="00DB6B0E" w:rsidP="00262498">
            <w:pPr>
              <w:numPr>
                <w:ilvl w:val="0"/>
                <w:numId w:val="211"/>
              </w:numPr>
              <w:overflowPunct/>
              <w:autoSpaceDE/>
              <w:autoSpaceDN/>
              <w:adjustRightInd/>
              <w:spacing w:before="120"/>
              <w:textAlignment w:val="auto"/>
              <w:rPr>
                <w:rFonts w:ascii="Calibri" w:hAnsi="Calibri" w:cs="Calibri"/>
              </w:rPr>
            </w:pPr>
            <w:r w:rsidRPr="00A23FB4">
              <w:rPr>
                <w:rFonts w:ascii="Calibri" w:hAnsi="Calibri" w:cs="Calibri"/>
              </w:rPr>
              <w:t xml:space="preserve">Oprawy musza spełniać wymagania gestora oświetlenia – Tauron i oraz Gminy Zawiercie </w:t>
            </w:r>
          </w:p>
          <w:p w14:paraId="1345349E" w14:textId="77777777" w:rsidR="00DB6B0E" w:rsidRDefault="00DB6B0E" w:rsidP="00DB6B0E">
            <w:pPr>
              <w:autoSpaceDE/>
              <w:autoSpaceDN/>
              <w:adjustRightInd/>
              <w:spacing w:before="120"/>
              <w:rPr>
                <w:rFonts w:asciiTheme="minorHAnsi" w:hAnsiTheme="minorHAnsi"/>
              </w:rPr>
            </w:pPr>
          </w:p>
          <w:p w14:paraId="61004C5E" w14:textId="77777777" w:rsidR="003739A4" w:rsidRPr="00A23FB4" w:rsidRDefault="003739A4" w:rsidP="00DB6B0E">
            <w:pPr>
              <w:autoSpaceDE/>
              <w:autoSpaceDN/>
              <w:adjustRightInd/>
              <w:spacing w:before="120"/>
              <w:rPr>
                <w:rFonts w:asciiTheme="minorHAnsi" w:hAnsiTheme="minorHAnsi"/>
              </w:rPr>
            </w:pPr>
          </w:p>
          <w:p w14:paraId="637E8A1D" w14:textId="77777777" w:rsidR="00DB6B0E" w:rsidRPr="00A23FB4" w:rsidRDefault="00DB6B0E" w:rsidP="00262498">
            <w:pPr>
              <w:numPr>
                <w:ilvl w:val="0"/>
                <w:numId w:val="205"/>
              </w:numPr>
              <w:overflowPunct/>
              <w:autoSpaceDE/>
              <w:autoSpaceDN/>
              <w:adjustRightInd/>
              <w:spacing w:before="120"/>
              <w:jc w:val="left"/>
              <w:textAlignment w:val="auto"/>
              <w:rPr>
                <w:rFonts w:asciiTheme="minorHAnsi" w:hAnsiTheme="minorHAnsi"/>
              </w:rPr>
            </w:pPr>
            <w:r w:rsidRPr="00A23FB4">
              <w:rPr>
                <w:rFonts w:asciiTheme="minorHAnsi" w:hAnsiTheme="minorHAnsi"/>
              </w:rPr>
              <w:t>Słupy oświetleniowe</w:t>
            </w:r>
          </w:p>
          <w:p w14:paraId="08855DD2" w14:textId="77777777" w:rsidR="00DB6B0E" w:rsidRPr="00A23FB4" w:rsidRDefault="00DB6B0E" w:rsidP="00DB6B0E">
            <w:pPr>
              <w:spacing w:before="120"/>
              <w:rPr>
                <w:rFonts w:asciiTheme="minorHAnsi" w:hAnsiTheme="minorHAnsi"/>
              </w:rPr>
            </w:pPr>
            <w:r w:rsidRPr="00A23FB4">
              <w:rPr>
                <w:rFonts w:asciiTheme="minorHAnsi" w:hAnsiTheme="minorHAnsi"/>
              </w:rPr>
              <w:t>Słupy i maszty oświetleniowe powinny być wykonane zgodnie z dokumentacją projektową.</w:t>
            </w:r>
          </w:p>
          <w:p w14:paraId="7F6CE840" w14:textId="77777777" w:rsidR="00DB6B0E" w:rsidRPr="00A23FB4" w:rsidRDefault="00DB6B0E" w:rsidP="00DB6B0E">
            <w:pPr>
              <w:spacing w:before="120"/>
              <w:rPr>
                <w:rFonts w:asciiTheme="minorHAnsi" w:hAnsiTheme="minorHAnsi"/>
              </w:rPr>
            </w:pPr>
            <w:r w:rsidRPr="00A23FB4">
              <w:rPr>
                <w:rFonts w:asciiTheme="minorHAnsi" w:hAnsiTheme="minorHAnsi"/>
              </w:rPr>
              <w:t>Dla oświetlenia dróg, stosować typowe słupy oświetleniowe zgodne z dokumentacją projektową.</w:t>
            </w:r>
          </w:p>
          <w:p w14:paraId="1016CA7A" w14:textId="77777777" w:rsidR="00DB6B0E" w:rsidRPr="00A23FB4" w:rsidRDefault="00DB6B0E" w:rsidP="00DB6B0E">
            <w:pPr>
              <w:spacing w:before="120"/>
              <w:rPr>
                <w:rFonts w:asciiTheme="minorHAnsi" w:hAnsiTheme="minorHAnsi"/>
              </w:rPr>
            </w:pPr>
            <w:r w:rsidRPr="00A23FB4">
              <w:rPr>
                <w:rFonts w:asciiTheme="minorHAnsi" w:hAnsiTheme="minorHAnsi"/>
              </w:rPr>
              <w:t>Słupy i maszty powinny przenieść obciążenia wynikające z zawieszenia opraw i wysięgników oraz parcia wiatru dla  I strefy wiatrowej, zgodnie z PN-75/E-05100.</w:t>
            </w:r>
          </w:p>
          <w:p w14:paraId="55625B19" w14:textId="77777777" w:rsidR="00DB6B0E" w:rsidRPr="00A23FB4" w:rsidRDefault="00DB6B0E" w:rsidP="00DB6B0E">
            <w:pPr>
              <w:spacing w:before="120"/>
              <w:rPr>
                <w:rFonts w:asciiTheme="minorHAnsi" w:hAnsiTheme="minorHAnsi"/>
              </w:rPr>
            </w:pPr>
            <w:r w:rsidRPr="00A23FB4">
              <w:rPr>
                <w:rFonts w:asciiTheme="minorHAnsi" w:hAnsiTheme="minorHAnsi"/>
              </w:rPr>
              <w:t>Powierzchnia: aluminium szlifowane malowane proszkowe w kolorze uzgodnionym z Inwestorem. Elementy powinny być proste w granicach dopuszczalnych odchyłek podanych w dokumentacji projektowej i PN-90/B-03200. Spoiny nie mogą wykazywać pęknięć, a otwory na elementy łączące nie powinny mieć podniesionych krawędzi.</w:t>
            </w:r>
          </w:p>
          <w:p w14:paraId="394DB170" w14:textId="77777777" w:rsidR="00DB6B0E" w:rsidRPr="00A23FB4" w:rsidRDefault="00DB6B0E" w:rsidP="00DB6B0E">
            <w:pPr>
              <w:spacing w:before="120"/>
              <w:rPr>
                <w:rFonts w:asciiTheme="minorHAnsi" w:hAnsiTheme="minorHAnsi"/>
              </w:rPr>
            </w:pPr>
            <w:r w:rsidRPr="00A23FB4">
              <w:rPr>
                <w:rFonts w:asciiTheme="minorHAnsi" w:hAnsiTheme="minorHAnsi"/>
              </w:rPr>
              <w:t>Składowanie słupów i masztów oświetleniowych na placu budowy, powinno być na wyrównanym podłożu w pozycji poziomej, z zastosowaniem przekładek z drewna miękkiego.</w:t>
            </w:r>
          </w:p>
          <w:p w14:paraId="749CE9FB" w14:textId="77777777" w:rsidR="00DB6B0E" w:rsidRPr="00A23FB4" w:rsidRDefault="00DB6B0E" w:rsidP="00262498">
            <w:pPr>
              <w:numPr>
                <w:ilvl w:val="0"/>
                <w:numId w:val="206"/>
              </w:numPr>
              <w:overflowPunct/>
              <w:autoSpaceDE/>
              <w:autoSpaceDN/>
              <w:adjustRightInd/>
              <w:spacing w:before="120"/>
              <w:jc w:val="left"/>
              <w:textAlignment w:val="auto"/>
              <w:rPr>
                <w:rFonts w:asciiTheme="minorHAnsi" w:hAnsiTheme="minorHAnsi"/>
              </w:rPr>
            </w:pPr>
            <w:r w:rsidRPr="00A23FB4">
              <w:rPr>
                <w:rFonts w:asciiTheme="minorHAnsi" w:hAnsiTheme="minorHAnsi"/>
              </w:rPr>
              <w:t>Tabliczka bezpiecznikowo-zaciskowa</w:t>
            </w:r>
          </w:p>
          <w:p w14:paraId="42C92949" w14:textId="77777777" w:rsidR="00DB6B0E" w:rsidRPr="00A23FB4" w:rsidRDefault="00DB6B0E" w:rsidP="00DB6B0E">
            <w:pPr>
              <w:spacing w:before="120"/>
              <w:rPr>
                <w:rFonts w:asciiTheme="minorHAnsi" w:hAnsiTheme="minorHAnsi"/>
              </w:rPr>
            </w:pPr>
            <w:r w:rsidRPr="00A23FB4">
              <w:rPr>
                <w:rFonts w:asciiTheme="minorHAnsi" w:hAnsiTheme="minorHAnsi"/>
              </w:rPr>
              <w:t>Tabliczkę bezpiecznikowo-zaciskową należy wykonać zgodnie z dokumentacją projektową.</w:t>
            </w:r>
          </w:p>
          <w:p w14:paraId="3A41ACF6" w14:textId="77777777" w:rsidR="00DB6B0E" w:rsidRPr="00A23FB4" w:rsidRDefault="00DB6B0E" w:rsidP="00262498">
            <w:pPr>
              <w:numPr>
                <w:ilvl w:val="0"/>
                <w:numId w:val="207"/>
              </w:numPr>
              <w:overflowPunct/>
              <w:autoSpaceDE/>
              <w:autoSpaceDN/>
              <w:adjustRightInd/>
              <w:spacing w:before="120"/>
              <w:jc w:val="left"/>
              <w:textAlignment w:val="auto"/>
              <w:rPr>
                <w:rFonts w:asciiTheme="minorHAnsi" w:hAnsiTheme="minorHAnsi"/>
              </w:rPr>
            </w:pPr>
            <w:r w:rsidRPr="00A23FB4">
              <w:rPr>
                <w:rFonts w:asciiTheme="minorHAnsi" w:hAnsiTheme="minorHAnsi"/>
              </w:rPr>
              <w:t>Żwir na podsypkę</w:t>
            </w:r>
          </w:p>
          <w:p w14:paraId="0495323C" w14:textId="77777777" w:rsidR="00DB6B0E" w:rsidRPr="00A23FB4" w:rsidRDefault="00DB6B0E" w:rsidP="00DB6B0E">
            <w:pPr>
              <w:spacing w:before="120"/>
              <w:rPr>
                <w:rFonts w:asciiTheme="minorHAnsi" w:hAnsiTheme="minorHAnsi"/>
              </w:rPr>
            </w:pPr>
            <w:r w:rsidRPr="00A23FB4">
              <w:rPr>
                <w:rFonts w:asciiTheme="minorHAnsi" w:hAnsiTheme="minorHAnsi"/>
              </w:rPr>
              <w:t>Żwir na podsypkę pod prefabrykowane elementy betonowe powinien być klasy co najmniej III i odpowiadać wymaganiom BN-66/6774-01.</w:t>
            </w:r>
          </w:p>
          <w:p w14:paraId="6AB4EB9B" w14:textId="77777777" w:rsidR="00DB6B0E" w:rsidRPr="00A23FB4" w:rsidRDefault="00DB6B0E" w:rsidP="00262498">
            <w:pPr>
              <w:numPr>
                <w:ilvl w:val="0"/>
                <w:numId w:val="208"/>
              </w:numPr>
              <w:overflowPunct/>
              <w:autoSpaceDE/>
              <w:autoSpaceDN/>
              <w:adjustRightInd/>
              <w:spacing w:before="120"/>
              <w:jc w:val="left"/>
              <w:textAlignment w:val="auto"/>
              <w:rPr>
                <w:rFonts w:asciiTheme="minorHAnsi" w:hAnsiTheme="minorHAnsi"/>
              </w:rPr>
            </w:pPr>
            <w:r w:rsidRPr="00A23FB4">
              <w:rPr>
                <w:rFonts w:asciiTheme="minorHAnsi" w:hAnsiTheme="minorHAnsi"/>
              </w:rPr>
              <w:t>Kit uszczelniający</w:t>
            </w:r>
          </w:p>
          <w:p w14:paraId="39BF81E9" w14:textId="77777777" w:rsidR="00DB6B0E" w:rsidRPr="00A23FB4" w:rsidRDefault="00DB6B0E" w:rsidP="00DB6B0E">
            <w:pPr>
              <w:spacing w:before="120" w:after="240"/>
              <w:rPr>
                <w:rFonts w:asciiTheme="minorHAnsi" w:hAnsiTheme="minorHAnsi"/>
              </w:rPr>
            </w:pPr>
            <w:r w:rsidRPr="00A23FB4">
              <w:rPr>
                <w:rFonts w:asciiTheme="minorHAnsi" w:hAnsiTheme="minorHAnsi"/>
              </w:rPr>
              <w:t>Do uszczelniania połączenia słupa z wysięgnikiem i kapturkiem osłonowym można stosować wszelkie rodzaje kitów spełniające wymagania BN-80/6112-28.</w:t>
            </w:r>
          </w:p>
          <w:p w14:paraId="02E79101" w14:textId="77777777" w:rsidR="00DB6B0E" w:rsidRPr="00A23FB4" w:rsidRDefault="00DB6B0E" w:rsidP="00DB6B0E">
            <w:pPr>
              <w:spacing w:after="240"/>
              <w:rPr>
                <w:rFonts w:asciiTheme="minorHAnsi" w:hAnsiTheme="minorHAnsi"/>
                <w:b/>
                <w:caps/>
              </w:rPr>
            </w:pPr>
            <w:r w:rsidRPr="00A23FB4">
              <w:rPr>
                <w:rFonts w:asciiTheme="minorHAnsi" w:hAnsiTheme="minorHAnsi"/>
                <w:b/>
              </w:rPr>
              <w:t>3. SPRZĘT</w:t>
            </w:r>
          </w:p>
          <w:p w14:paraId="08B2802D" w14:textId="77777777" w:rsidR="00DB6B0E" w:rsidRPr="00A23FB4" w:rsidRDefault="00DB6B0E" w:rsidP="00DB6B0E">
            <w:pPr>
              <w:rPr>
                <w:rFonts w:asciiTheme="minorHAnsi" w:hAnsiTheme="minorHAnsi"/>
                <w:b/>
              </w:rPr>
            </w:pPr>
            <w:r w:rsidRPr="00A23FB4">
              <w:rPr>
                <w:rFonts w:asciiTheme="minorHAnsi" w:hAnsiTheme="minorHAnsi"/>
                <w:b/>
              </w:rPr>
              <w:t>3.1. Ogólne wymagania dotyczące sprzętu</w:t>
            </w:r>
          </w:p>
          <w:p w14:paraId="42EBE34A" w14:textId="7CE21408" w:rsidR="00DB6B0E" w:rsidRPr="00A23FB4" w:rsidRDefault="00DB6B0E" w:rsidP="00DB6B0E">
            <w:pPr>
              <w:spacing w:before="120"/>
              <w:rPr>
                <w:rFonts w:asciiTheme="minorHAnsi" w:hAnsiTheme="minorHAnsi"/>
              </w:rPr>
            </w:pPr>
            <w:r w:rsidRPr="00A23FB4">
              <w:rPr>
                <w:rFonts w:asciiTheme="minorHAnsi" w:hAnsiTheme="minorHAnsi"/>
              </w:rPr>
              <w:t xml:space="preserve">Ogólne wymagania dotyczące sprzętu podano w </w:t>
            </w:r>
            <w:r w:rsidR="00865C6C">
              <w:rPr>
                <w:rFonts w:asciiTheme="minorHAnsi" w:hAnsiTheme="minorHAnsi"/>
              </w:rPr>
              <w:t>ST</w:t>
            </w:r>
            <w:r w:rsidRPr="00A23FB4">
              <w:rPr>
                <w:rFonts w:asciiTheme="minorHAnsi" w:hAnsiTheme="minorHAnsi"/>
              </w:rPr>
              <w:t>WiORB D-M-00.00.00.00 „Wymagania ogólne” pkt 3.</w:t>
            </w:r>
          </w:p>
          <w:p w14:paraId="6E7B6D68" w14:textId="77777777" w:rsidR="00DB6B0E" w:rsidRPr="00A23FB4" w:rsidRDefault="00DB6B0E" w:rsidP="00DB6B0E">
            <w:pPr>
              <w:rPr>
                <w:rFonts w:asciiTheme="minorHAnsi" w:hAnsiTheme="minorHAnsi"/>
                <w:b/>
              </w:rPr>
            </w:pPr>
            <w:r w:rsidRPr="00A23FB4">
              <w:rPr>
                <w:rFonts w:asciiTheme="minorHAnsi" w:hAnsiTheme="minorHAnsi"/>
                <w:b/>
              </w:rPr>
              <w:t>3.2. Sprzęt do wykonania oświetlenia drogowego</w:t>
            </w:r>
          </w:p>
          <w:p w14:paraId="1021100B" w14:textId="77777777" w:rsidR="00DB6B0E" w:rsidRPr="00A23FB4" w:rsidRDefault="00DB6B0E" w:rsidP="00DB6B0E">
            <w:pPr>
              <w:spacing w:before="120"/>
              <w:rPr>
                <w:rFonts w:asciiTheme="minorHAnsi" w:hAnsiTheme="minorHAnsi"/>
              </w:rPr>
            </w:pPr>
            <w:r w:rsidRPr="00A23FB4">
              <w:rPr>
                <w:rFonts w:asciiTheme="minorHAnsi" w:hAnsiTheme="minorHAnsi"/>
              </w:rPr>
              <w:t>Wykonawca przystępujący do wykonania oświetlenia drogowego winien wykazać się możliwością korzystania z następujących maszyn i sprzętu gwarantujących właściwą jakość robót:</w:t>
            </w:r>
          </w:p>
          <w:p w14:paraId="5F7120C7" w14:textId="77777777" w:rsidR="00DB6B0E" w:rsidRPr="00A23FB4" w:rsidRDefault="00DB6B0E" w:rsidP="00262498">
            <w:pPr>
              <w:numPr>
                <w:ilvl w:val="0"/>
                <w:numId w:val="186"/>
              </w:numPr>
              <w:overflowPunct/>
              <w:autoSpaceDE/>
              <w:autoSpaceDN/>
              <w:adjustRightInd/>
              <w:spacing w:before="120" w:after="240"/>
              <w:jc w:val="left"/>
              <w:textAlignment w:val="auto"/>
              <w:rPr>
                <w:rFonts w:asciiTheme="minorHAnsi" w:hAnsiTheme="minorHAnsi"/>
              </w:rPr>
            </w:pPr>
            <w:r w:rsidRPr="00A23FB4">
              <w:rPr>
                <w:rFonts w:asciiTheme="minorHAnsi" w:hAnsiTheme="minorHAnsi"/>
              </w:rPr>
              <w:t>zagęszczarki wibracyjnej spalinowej 70 m</w:t>
            </w:r>
            <w:r w:rsidRPr="00A23FB4">
              <w:rPr>
                <w:rFonts w:asciiTheme="minorHAnsi" w:hAnsiTheme="minorHAnsi"/>
                <w:vertAlign w:val="superscript"/>
              </w:rPr>
              <w:t>3</w:t>
            </w:r>
            <w:r w:rsidRPr="00A23FB4">
              <w:rPr>
                <w:rFonts w:asciiTheme="minorHAnsi" w:hAnsiTheme="minorHAnsi"/>
              </w:rPr>
              <w:t>/h,</w:t>
            </w:r>
          </w:p>
          <w:p w14:paraId="120367A2" w14:textId="77777777" w:rsidR="00DB6B0E" w:rsidRPr="00A23FB4" w:rsidRDefault="00DB6B0E" w:rsidP="00DB6B0E">
            <w:pPr>
              <w:spacing w:after="240"/>
              <w:rPr>
                <w:rFonts w:asciiTheme="minorHAnsi" w:hAnsiTheme="minorHAnsi"/>
                <w:b/>
                <w:caps/>
              </w:rPr>
            </w:pPr>
            <w:r w:rsidRPr="00A23FB4">
              <w:rPr>
                <w:rFonts w:asciiTheme="minorHAnsi" w:hAnsiTheme="minorHAnsi"/>
                <w:b/>
              </w:rPr>
              <w:t>4. TRANSPORT</w:t>
            </w:r>
          </w:p>
          <w:p w14:paraId="27AB7690" w14:textId="77777777" w:rsidR="00DB6B0E" w:rsidRPr="00A23FB4" w:rsidRDefault="00DB6B0E" w:rsidP="00DB6B0E">
            <w:pPr>
              <w:rPr>
                <w:rFonts w:asciiTheme="minorHAnsi" w:hAnsiTheme="minorHAnsi"/>
                <w:b/>
              </w:rPr>
            </w:pPr>
            <w:r w:rsidRPr="00A23FB4">
              <w:rPr>
                <w:rFonts w:asciiTheme="minorHAnsi" w:hAnsiTheme="minorHAnsi"/>
                <w:b/>
              </w:rPr>
              <w:t>4.1. Ogólne wymagania dotyczące transportu</w:t>
            </w:r>
          </w:p>
          <w:p w14:paraId="77F03B70" w14:textId="76DB787A" w:rsidR="00DB6B0E" w:rsidRPr="00A23FB4" w:rsidRDefault="00DB6B0E" w:rsidP="00DB6B0E">
            <w:pPr>
              <w:numPr>
                <w:ilvl w:val="12"/>
                <w:numId w:val="0"/>
              </w:numPr>
              <w:spacing w:before="120"/>
              <w:rPr>
                <w:rFonts w:asciiTheme="minorHAnsi" w:hAnsiTheme="minorHAnsi"/>
              </w:rPr>
            </w:pPr>
            <w:r w:rsidRPr="00A23FB4">
              <w:rPr>
                <w:rFonts w:asciiTheme="minorHAnsi" w:hAnsiTheme="minorHAnsi"/>
              </w:rPr>
              <w:t xml:space="preserve">Ogólne wymagania dotyczące transportu podano w </w:t>
            </w:r>
            <w:r w:rsidR="00865C6C">
              <w:rPr>
                <w:rFonts w:asciiTheme="minorHAnsi" w:hAnsiTheme="minorHAnsi"/>
              </w:rPr>
              <w:t>ST</w:t>
            </w:r>
            <w:r w:rsidRPr="00A23FB4">
              <w:rPr>
                <w:rFonts w:asciiTheme="minorHAnsi" w:hAnsiTheme="minorHAnsi"/>
              </w:rPr>
              <w:t>WiORB D-M-00.00.00.00 „Wymagania ogólne” pkt 4.</w:t>
            </w:r>
          </w:p>
          <w:p w14:paraId="562542AE" w14:textId="77777777" w:rsidR="00DB6B0E" w:rsidRPr="00A23FB4" w:rsidRDefault="00DB6B0E" w:rsidP="00DB6B0E">
            <w:pPr>
              <w:numPr>
                <w:ilvl w:val="12"/>
                <w:numId w:val="0"/>
              </w:numPr>
              <w:spacing w:before="120"/>
              <w:rPr>
                <w:rFonts w:asciiTheme="minorHAnsi" w:hAnsiTheme="minorHAnsi"/>
              </w:rPr>
            </w:pPr>
          </w:p>
          <w:p w14:paraId="6E7BE4F3" w14:textId="77777777" w:rsidR="00DB6B0E" w:rsidRPr="00A23FB4" w:rsidRDefault="00DB6B0E" w:rsidP="00DB6B0E">
            <w:pPr>
              <w:rPr>
                <w:rFonts w:asciiTheme="minorHAnsi" w:hAnsiTheme="minorHAnsi"/>
                <w:b/>
              </w:rPr>
            </w:pPr>
            <w:r w:rsidRPr="00A23FB4">
              <w:rPr>
                <w:rFonts w:asciiTheme="minorHAnsi" w:hAnsiTheme="minorHAnsi"/>
                <w:b/>
              </w:rPr>
              <w:t>4.2. Transport materiałów i elementów oświetleniowych</w:t>
            </w:r>
          </w:p>
          <w:p w14:paraId="220B3305" w14:textId="77777777" w:rsidR="00DB6B0E" w:rsidRPr="00A23FB4" w:rsidRDefault="00DB6B0E" w:rsidP="00DB6B0E">
            <w:pPr>
              <w:numPr>
                <w:ilvl w:val="12"/>
                <w:numId w:val="0"/>
              </w:numPr>
              <w:spacing w:before="120"/>
              <w:rPr>
                <w:rFonts w:asciiTheme="minorHAnsi" w:hAnsiTheme="minorHAnsi"/>
              </w:rPr>
            </w:pPr>
            <w:r w:rsidRPr="00A23FB4">
              <w:rPr>
                <w:rFonts w:asciiTheme="minorHAnsi" w:hAnsiTheme="minorHAnsi"/>
              </w:rPr>
              <w:t>Wykonawca przystępujący do wykonania oświetlenia winien wykazać się możliwością korzystania z następujących środków transportu:</w:t>
            </w:r>
          </w:p>
          <w:p w14:paraId="22B0FA4B" w14:textId="77777777" w:rsidR="00DB6B0E" w:rsidRPr="00A23FB4" w:rsidRDefault="00DB6B0E" w:rsidP="00262498">
            <w:pPr>
              <w:numPr>
                <w:ilvl w:val="0"/>
                <w:numId w:val="186"/>
              </w:numPr>
              <w:overflowPunct/>
              <w:autoSpaceDE/>
              <w:autoSpaceDN/>
              <w:adjustRightInd/>
              <w:spacing w:before="120"/>
              <w:jc w:val="left"/>
              <w:textAlignment w:val="auto"/>
              <w:rPr>
                <w:rFonts w:asciiTheme="minorHAnsi" w:hAnsiTheme="minorHAnsi"/>
              </w:rPr>
            </w:pPr>
            <w:r w:rsidRPr="00A23FB4">
              <w:rPr>
                <w:rFonts w:asciiTheme="minorHAnsi" w:hAnsiTheme="minorHAnsi"/>
              </w:rPr>
              <w:t>samochodu skrzyniowego,</w:t>
            </w:r>
          </w:p>
          <w:p w14:paraId="7A7EE0EA" w14:textId="77777777" w:rsidR="00DB6B0E" w:rsidRPr="00A23FB4" w:rsidRDefault="00DB6B0E" w:rsidP="00262498">
            <w:pPr>
              <w:numPr>
                <w:ilvl w:val="0"/>
                <w:numId w:val="186"/>
              </w:numPr>
              <w:overflowPunct/>
              <w:autoSpaceDE/>
              <w:autoSpaceDN/>
              <w:adjustRightInd/>
              <w:spacing w:before="120"/>
              <w:jc w:val="left"/>
              <w:textAlignment w:val="auto"/>
              <w:rPr>
                <w:rFonts w:asciiTheme="minorHAnsi" w:hAnsiTheme="minorHAnsi"/>
              </w:rPr>
            </w:pPr>
            <w:r w:rsidRPr="00A23FB4">
              <w:rPr>
                <w:rFonts w:asciiTheme="minorHAnsi" w:hAnsiTheme="minorHAnsi"/>
              </w:rPr>
              <w:t>samochodu dostawczego,</w:t>
            </w:r>
          </w:p>
          <w:p w14:paraId="708770C2" w14:textId="77777777" w:rsidR="00DB6B0E" w:rsidRPr="00A23FB4" w:rsidRDefault="00DB6B0E" w:rsidP="00262498">
            <w:pPr>
              <w:numPr>
                <w:ilvl w:val="0"/>
                <w:numId w:val="186"/>
              </w:numPr>
              <w:overflowPunct/>
              <w:autoSpaceDE/>
              <w:autoSpaceDN/>
              <w:adjustRightInd/>
              <w:spacing w:before="120"/>
              <w:jc w:val="left"/>
              <w:textAlignment w:val="auto"/>
              <w:rPr>
                <w:rFonts w:asciiTheme="minorHAnsi" w:hAnsiTheme="minorHAnsi"/>
              </w:rPr>
            </w:pPr>
            <w:r w:rsidRPr="00A23FB4">
              <w:rPr>
                <w:rFonts w:asciiTheme="minorHAnsi" w:hAnsiTheme="minorHAnsi"/>
              </w:rPr>
              <w:t>przyczepy do przewożenia kabli.</w:t>
            </w:r>
          </w:p>
          <w:p w14:paraId="16FDB725" w14:textId="77777777" w:rsidR="00DB6B0E" w:rsidRPr="00A23FB4" w:rsidRDefault="00DB6B0E" w:rsidP="00DB6B0E">
            <w:pPr>
              <w:spacing w:before="120"/>
              <w:rPr>
                <w:rFonts w:asciiTheme="minorHAnsi" w:hAnsiTheme="minorHAnsi"/>
              </w:rPr>
            </w:pPr>
            <w:r w:rsidRPr="00A23FB4">
              <w:rPr>
                <w:rFonts w:asciiTheme="minorHAnsi" w:hAnsiTheme="minorHAnsi"/>
              </w:rPr>
              <w:t>Na środkach transportu przewożone materiały i elementy powinny być zabezpieczone przed ich przemieszczaniem, układane zgodnie z warunkami transportu wydanymi przez wytwórcę dla poszczególnych elementów.</w:t>
            </w:r>
          </w:p>
          <w:p w14:paraId="1E67B2E0" w14:textId="77777777" w:rsidR="00DB6B0E" w:rsidRPr="00A23FB4" w:rsidRDefault="00DB6B0E" w:rsidP="00DB6B0E">
            <w:pPr>
              <w:spacing w:before="120"/>
              <w:rPr>
                <w:rFonts w:asciiTheme="minorHAnsi" w:hAnsiTheme="minorHAnsi"/>
              </w:rPr>
            </w:pPr>
          </w:p>
          <w:p w14:paraId="0B460A34" w14:textId="77777777" w:rsidR="00DB6B0E" w:rsidRPr="00A23FB4" w:rsidRDefault="00DB6B0E" w:rsidP="00DB6B0E">
            <w:pPr>
              <w:overflowPunct/>
              <w:autoSpaceDE/>
              <w:autoSpaceDN/>
              <w:adjustRightInd/>
              <w:jc w:val="left"/>
              <w:textAlignment w:val="auto"/>
              <w:rPr>
                <w:rFonts w:asciiTheme="minorHAnsi" w:hAnsiTheme="minorHAnsi"/>
                <w:b/>
              </w:rPr>
            </w:pPr>
            <w:r w:rsidRPr="00A23FB4">
              <w:rPr>
                <w:rFonts w:asciiTheme="minorHAnsi" w:hAnsiTheme="minorHAnsi"/>
                <w:b/>
              </w:rPr>
              <w:br w:type="page"/>
            </w:r>
          </w:p>
          <w:p w14:paraId="190223AA" w14:textId="77777777" w:rsidR="00DB6B0E" w:rsidRPr="00A23FB4" w:rsidRDefault="00DB6B0E" w:rsidP="00DB6B0E">
            <w:pPr>
              <w:rPr>
                <w:rFonts w:asciiTheme="minorHAnsi" w:hAnsiTheme="minorHAnsi"/>
                <w:b/>
              </w:rPr>
            </w:pPr>
          </w:p>
          <w:p w14:paraId="021F0222" w14:textId="77777777" w:rsidR="00DB6B0E" w:rsidRPr="00A23FB4" w:rsidRDefault="00DB6B0E" w:rsidP="00DB6B0E">
            <w:pPr>
              <w:spacing w:after="240"/>
              <w:rPr>
                <w:rFonts w:asciiTheme="minorHAnsi" w:hAnsiTheme="minorHAnsi"/>
                <w:b/>
                <w:caps/>
              </w:rPr>
            </w:pPr>
            <w:r w:rsidRPr="00A23FB4">
              <w:rPr>
                <w:rFonts w:asciiTheme="minorHAnsi" w:hAnsiTheme="minorHAnsi"/>
                <w:b/>
              </w:rPr>
              <w:t>5. WYKONANIE ROBÓT</w:t>
            </w:r>
          </w:p>
          <w:p w14:paraId="7AA18FDD" w14:textId="77777777" w:rsidR="00DB6B0E" w:rsidRPr="00A23FB4" w:rsidRDefault="00DB6B0E" w:rsidP="00DB6B0E">
            <w:pPr>
              <w:rPr>
                <w:rFonts w:asciiTheme="minorHAnsi" w:hAnsiTheme="minorHAnsi"/>
                <w:b/>
              </w:rPr>
            </w:pPr>
            <w:r w:rsidRPr="00A23FB4">
              <w:rPr>
                <w:rFonts w:asciiTheme="minorHAnsi" w:hAnsiTheme="minorHAnsi"/>
                <w:b/>
              </w:rPr>
              <w:t>5.1. Ogólne zasady wykonania robót</w:t>
            </w:r>
          </w:p>
          <w:p w14:paraId="2319165D" w14:textId="6CC2E074" w:rsidR="00DB6B0E" w:rsidRPr="00A23FB4" w:rsidRDefault="00DB6B0E" w:rsidP="00DB6B0E">
            <w:pPr>
              <w:spacing w:before="120" w:after="240"/>
              <w:rPr>
                <w:rFonts w:asciiTheme="minorHAnsi" w:hAnsiTheme="minorHAnsi"/>
              </w:rPr>
            </w:pPr>
            <w:r w:rsidRPr="00A23FB4">
              <w:rPr>
                <w:rFonts w:asciiTheme="minorHAnsi" w:hAnsiTheme="minorHAnsi"/>
              </w:rPr>
              <w:t xml:space="preserve">Ogólne zasady wykonania robót podano w </w:t>
            </w:r>
            <w:r w:rsidR="00865C6C">
              <w:rPr>
                <w:rFonts w:asciiTheme="minorHAnsi" w:hAnsiTheme="minorHAnsi"/>
              </w:rPr>
              <w:t>ST</w:t>
            </w:r>
            <w:r w:rsidRPr="00A23FB4">
              <w:rPr>
                <w:rFonts w:asciiTheme="minorHAnsi" w:hAnsiTheme="minorHAnsi"/>
              </w:rPr>
              <w:t>WiORB D-M-00.00.00.00 „Wymagania ogólne” pkt 5.</w:t>
            </w:r>
          </w:p>
          <w:p w14:paraId="147BA8C2" w14:textId="77777777" w:rsidR="00DB6B0E" w:rsidRPr="00A23FB4" w:rsidRDefault="00DB6B0E" w:rsidP="00DB6B0E">
            <w:pPr>
              <w:rPr>
                <w:rFonts w:asciiTheme="minorHAnsi" w:hAnsiTheme="minorHAnsi"/>
                <w:b/>
              </w:rPr>
            </w:pPr>
            <w:r w:rsidRPr="00A23FB4">
              <w:rPr>
                <w:rFonts w:asciiTheme="minorHAnsi" w:hAnsiTheme="minorHAnsi"/>
                <w:b/>
              </w:rPr>
              <w:t>5.2. Wykopy pod fundamenty i kable</w:t>
            </w:r>
          </w:p>
          <w:p w14:paraId="6705CC14" w14:textId="77777777" w:rsidR="00DB6B0E" w:rsidRPr="00A23FB4" w:rsidRDefault="00DB6B0E" w:rsidP="00DB6B0E">
            <w:pPr>
              <w:pStyle w:val="tekstost"/>
              <w:spacing w:before="120"/>
              <w:jc w:val="left"/>
              <w:rPr>
                <w:rFonts w:asciiTheme="minorHAnsi" w:hAnsiTheme="minorHAnsi"/>
              </w:rPr>
            </w:pPr>
            <w:r w:rsidRPr="00A23FB4">
              <w:rPr>
                <w:rFonts w:asciiTheme="minorHAnsi" w:hAnsiTheme="minorHAnsi"/>
              </w:rPr>
              <w:t>Przed przystąpieniem do wykonywania wykopów, Wykonawca ma obowiązek sprawdzenia zgodności rzędnych terenu z danymi w dokumentacji projektowej oraz oceny warunków gruntowych.</w:t>
            </w:r>
          </w:p>
          <w:p w14:paraId="6472FE8B" w14:textId="77777777" w:rsidR="00DB6B0E" w:rsidRPr="00A23FB4" w:rsidRDefault="00DB6B0E" w:rsidP="00DB6B0E">
            <w:pPr>
              <w:pStyle w:val="tekstost"/>
              <w:spacing w:before="120"/>
              <w:jc w:val="left"/>
              <w:rPr>
                <w:rFonts w:asciiTheme="minorHAnsi" w:hAnsiTheme="minorHAnsi"/>
              </w:rPr>
            </w:pPr>
            <w:r w:rsidRPr="00A23FB4">
              <w:rPr>
                <w:rFonts w:asciiTheme="minorHAnsi" w:hAnsiTheme="minorHAnsi"/>
              </w:rPr>
              <w:t>Metoda wykonywania robót ziemnych powinna być dobrana w zależności od głębokości wykopu, ukształtowania terenu oraz rodzaju gruntu, należy uwzględnić występowanie gruntu skalistego . Pod fundamenty prefabrykowane zaleca się wykonywanie wykopów wąsko przestrzennych ręcznie. Ich obudowa i zabezpieczenie przed osypywaniem powinno odpowiadać wymaganiom BN-83/8836-02.</w:t>
            </w:r>
          </w:p>
          <w:p w14:paraId="2A9C0E30" w14:textId="77777777" w:rsidR="00DB6B0E" w:rsidRPr="00A23FB4" w:rsidRDefault="00DB6B0E" w:rsidP="00DB6B0E">
            <w:pPr>
              <w:pStyle w:val="tekstost"/>
              <w:spacing w:before="120"/>
              <w:jc w:val="left"/>
              <w:rPr>
                <w:rFonts w:asciiTheme="minorHAnsi" w:hAnsiTheme="minorHAnsi"/>
              </w:rPr>
            </w:pPr>
            <w:r w:rsidRPr="00A23FB4">
              <w:rPr>
                <w:rFonts w:asciiTheme="minorHAnsi" w:hAnsiTheme="minorHAnsi"/>
              </w:rPr>
              <w:t>W obu wypadkach wykopy wykonane powinny być bez naruszenia naturalnej struktury dna wykopu i  zgodnie z PN-68/B-06050.</w:t>
            </w:r>
          </w:p>
          <w:p w14:paraId="3FD90C4C" w14:textId="77777777" w:rsidR="00DB6B0E" w:rsidRPr="00A23FB4" w:rsidRDefault="00DB6B0E" w:rsidP="00DB6B0E">
            <w:pPr>
              <w:pStyle w:val="tekstost"/>
              <w:spacing w:before="120"/>
              <w:jc w:val="left"/>
              <w:rPr>
                <w:rFonts w:asciiTheme="minorHAnsi" w:hAnsiTheme="minorHAnsi"/>
              </w:rPr>
            </w:pPr>
            <w:r w:rsidRPr="00A23FB4">
              <w:rPr>
                <w:rFonts w:asciiTheme="minorHAnsi" w:hAnsiTheme="minorHAnsi"/>
              </w:rPr>
              <w:t>Wykop rowu pod kabel powinien być zgodny z dokumentacją projektową. Wydobyty grunt powinien być składowany z jednej strony wykopu. Skarpy rowka powinny być wykonane w sposób zapewniający ich stateczność.</w:t>
            </w:r>
          </w:p>
          <w:p w14:paraId="04B996AE" w14:textId="77777777" w:rsidR="00DB6B0E" w:rsidRPr="00A23FB4" w:rsidRDefault="00DB6B0E" w:rsidP="00DB6B0E">
            <w:pPr>
              <w:pStyle w:val="tekstost"/>
              <w:spacing w:before="120"/>
              <w:jc w:val="left"/>
              <w:rPr>
                <w:rFonts w:asciiTheme="minorHAnsi" w:hAnsiTheme="minorHAnsi"/>
              </w:rPr>
            </w:pPr>
            <w:r w:rsidRPr="00A23FB4">
              <w:rPr>
                <w:rFonts w:asciiTheme="minorHAnsi" w:hAnsiTheme="minorHAnsi"/>
              </w:rPr>
              <w:t>W celu zabezpieczenia wykopu przed zalaniem wodą z opadów atmosferycznych, należy powierzchnię terenu wyprofilować ze spadkiem umożliwiającym łatwy odpływ wody poza teren przylegający do wykopu.</w:t>
            </w:r>
          </w:p>
          <w:p w14:paraId="5ED6473C" w14:textId="77777777" w:rsidR="00DB6B0E" w:rsidRPr="00A23FB4" w:rsidRDefault="00DB6B0E" w:rsidP="00DB6B0E">
            <w:pPr>
              <w:pStyle w:val="tekstost"/>
              <w:spacing w:before="120"/>
              <w:jc w:val="left"/>
              <w:rPr>
                <w:rFonts w:asciiTheme="minorHAnsi" w:hAnsiTheme="minorHAnsi"/>
              </w:rPr>
            </w:pPr>
            <w:r w:rsidRPr="00A23FB4">
              <w:rPr>
                <w:rFonts w:asciiTheme="minorHAnsi" w:hAnsiTheme="minorHAnsi"/>
              </w:rPr>
              <w:t xml:space="preserve">Zasypanie fundamentu lub kabla należy dokonać gruntem z wykopu, bez zanieczyszczeń (np. darniny, korzeni, odpadków). Zasypanie należy wykonać warstwami grubości od 15 do </w:t>
            </w:r>
            <w:smartTag w:uri="urn:schemas-microsoft-com:office:smarttags" w:element="metricconverter">
              <w:smartTagPr>
                <w:attr w:name="ProductID" w:val="20 cm"/>
              </w:smartTagPr>
              <w:r w:rsidRPr="00A23FB4">
                <w:rPr>
                  <w:rFonts w:asciiTheme="minorHAnsi" w:hAnsiTheme="minorHAnsi"/>
                </w:rPr>
                <w:t>20 cm</w:t>
              </w:r>
            </w:smartTag>
            <w:r w:rsidRPr="00A23FB4">
              <w:rPr>
                <w:rFonts w:asciiTheme="minorHAnsi" w:hAnsiTheme="minorHAnsi"/>
              </w:rPr>
              <w:t xml:space="preserve"> i zagęszczać ubijakami ręcznymi lub zagęszczarką wibracyjną. Wskaźnik zagęszczenia gruntu powinien wynosić 0,95 według BN-77/8931-12. Zagęszczenie należy wykonywać w taki sposób aby nie spowodować uszkodzeń fundamentu lub kabla.</w:t>
            </w:r>
          </w:p>
          <w:p w14:paraId="5D77A136" w14:textId="77777777" w:rsidR="00DB6B0E" w:rsidRPr="00A23FB4" w:rsidRDefault="00DB6B0E" w:rsidP="00DB6B0E">
            <w:pPr>
              <w:spacing w:before="120" w:after="240"/>
              <w:rPr>
                <w:rFonts w:asciiTheme="minorHAnsi" w:hAnsiTheme="minorHAnsi"/>
              </w:rPr>
            </w:pPr>
            <w:r w:rsidRPr="00A23FB4">
              <w:rPr>
                <w:rFonts w:asciiTheme="minorHAnsi" w:hAnsiTheme="minorHAnsi"/>
              </w:rPr>
              <w:t>Nadmiar gruntu z wykopu, pozostający po zasypaniu fundamentu lub kabla, należy rozplantować w pobliżu lub odwieźć na miejsce wskazane przez Inżyniera.</w:t>
            </w:r>
          </w:p>
          <w:p w14:paraId="51707B58" w14:textId="77777777" w:rsidR="00DB6B0E" w:rsidRPr="00A23FB4" w:rsidRDefault="00DB6B0E" w:rsidP="00DB6B0E">
            <w:pPr>
              <w:rPr>
                <w:rFonts w:asciiTheme="minorHAnsi" w:hAnsiTheme="minorHAnsi"/>
                <w:b/>
              </w:rPr>
            </w:pPr>
            <w:r w:rsidRPr="00A23FB4">
              <w:rPr>
                <w:rFonts w:asciiTheme="minorHAnsi" w:hAnsiTheme="minorHAnsi"/>
                <w:b/>
              </w:rPr>
              <w:t>5.3. Montaż słupów</w:t>
            </w:r>
          </w:p>
          <w:p w14:paraId="6338B9EE" w14:textId="77777777" w:rsidR="00DB6B0E" w:rsidRPr="00A23FB4" w:rsidRDefault="00DB6B0E" w:rsidP="00DB6B0E">
            <w:pPr>
              <w:spacing w:before="120"/>
              <w:rPr>
                <w:rFonts w:asciiTheme="minorHAnsi" w:hAnsiTheme="minorHAnsi"/>
              </w:rPr>
            </w:pPr>
            <w:r w:rsidRPr="00A23FB4">
              <w:rPr>
                <w:rFonts w:asciiTheme="minorHAnsi" w:hAnsiTheme="minorHAnsi"/>
              </w:rPr>
              <w:t xml:space="preserve">Słupy należy ustawiać dźwigiem. Spód słupa powinien opierać się na warstwie betonu marki B 10 wg PN-88/B-06250 grubości min. </w:t>
            </w:r>
            <w:smartTag w:uri="urn:schemas-microsoft-com:office:smarttags" w:element="metricconverter">
              <w:smartTagPr>
                <w:attr w:name="ProductID" w:val="10 cm"/>
              </w:smartTagPr>
              <w:r w:rsidRPr="00A23FB4">
                <w:rPr>
                  <w:rFonts w:asciiTheme="minorHAnsi" w:hAnsiTheme="minorHAnsi"/>
                </w:rPr>
                <w:t>10 cm</w:t>
              </w:r>
            </w:smartTag>
            <w:r w:rsidRPr="00A23FB4">
              <w:rPr>
                <w:rFonts w:asciiTheme="minorHAnsi" w:hAnsiTheme="minorHAnsi"/>
              </w:rPr>
              <w:t xml:space="preserve"> lub na płycie chodnikowej o wymiarach 50 x 50 x </w:t>
            </w:r>
            <w:smartTag w:uri="urn:schemas-microsoft-com:office:smarttags" w:element="metricconverter">
              <w:smartTagPr>
                <w:attr w:name="ProductID" w:val="7 cm"/>
              </w:smartTagPr>
              <w:r w:rsidRPr="00A23FB4">
                <w:rPr>
                  <w:rFonts w:asciiTheme="minorHAnsi" w:hAnsiTheme="minorHAnsi"/>
                </w:rPr>
                <w:t>7 cm</w:t>
              </w:r>
            </w:smartTag>
            <w:r w:rsidRPr="00A23FB4">
              <w:rPr>
                <w:rFonts w:asciiTheme="minorHAnsi" w:hAnsiTheme="minorHAnsi"/>
              </w:rPr>
              <w:t>.</w:t>
            </w:r>
          </w:p>
          <w:p w14:paraId="1241CCEF" w14:textId="77777777" w:rsidR="00DB6B0E" w:rsidRPr="00A23FB4" w:rsidRDefault="00DB6B0E" w:rsidP="00DB6B0E">
            <w:pPr>
              <w:spacing w:before="120"/>
              <w:rPr>
                <w:rFonts w:asciiTheme="minorHAnsi" w:hAnsiTheme="minorHAnsi"/>
              </w:rPr>
            </w:pPr>
            <w:r w:rsidRPr="00A23FB4">
              <w:rPr>
                <w:rFonts w:asciiTheme="minorHAnsi" w:hAnsiTheme="minorHAnsi"/>
              </w:rPr>
              <w:t>Głębokość posadowienia należy wykonać według dokumentacji projektowej.</w:t>
            </w:r>
          </w:p>
          <w:p w14:paraId="015FAEC4" w14:textId="77777777" w:rsidR="00DB6B0E" w:rsidRPr="00A23FB4" w:rsidRDefault="00DB6B0E" w:rsidP="00DB6B0E">
            <w:pPr>
              <w:spacing w:before="120"/>
              <w:rPr>
                <w:rFonts w:asciiTheme="minorHAnsi" w:hAnsiTheme="minorHAnsi"/>
              </w:rPr>
            </w:pPr>
            <w:r w:rsidRPr="00A23FB4">
              <w:rPr>
                <w:rFonts w:asciiTheme="minorHAnsi" w:hAnsiTheme="minorHAnsi"/>
              </w:rPr>
              <w:t>Odchyłka osi słupa od pionu, po jego ustawieniu, nie może być większa niż 0,001 wysokości słupa.</w:t>
            </w:r>
          </w:p>
          <w:p w14:paraId="4EC042AF" w14:textId="77777777" w:rsidR="00DB6B0E" w:rsidRPr="00A23FB4" w:rsidRDefault="00DB6B0E" w:rsidP="00DB6B0E">
            <w:pPr>
              <w:spacing w:before="120" w:after="240"/>
              <w:rPr>
                <w:rFonts w:asciiTheme="minorHAnsi" w:hAnsiTheme="minorHAnsi"/>
              </w:rPr>
            </w:pPr>
            <w:r w:rsidRPr="00A23FB4">
              <w:rPr>
                <w:rFonts w:asciiTheme="minorHAnsi" w:hAnsiTheme="minorHAnsi"/>
              </w:rPr>
              <w:t xml:space="preserve">Słup należy ustawiać tak, aby jego wnęka znajdowała się od strony chodnika, a przy jego braku, od strony przeciwnej niż nadjeżdżające pojazdy oraz nie powinna być położona niżej niż </w:t>
            </w:r>
            <w:smartTag w:uri="urn:schemas-microsoft-com:office:smarttags" w:element="metricconverter">
              <w:smartTagPr>
                <w:attr w:name="ProductID" w:val="20 cm"/>
              </w:smartTagPr>
              <w:r w:rsidRPr="00A23FB4">
                <w:rPr>
                  <w:rFonts w:asciiTheme="minorHAnsi" w:hAnsiTheme="minorHAnsi"/>
                </w:rPr>
                <w:t>20 cm</w:t>
              </w:r>
            </w:smartTag>
            <w:r w:rsidRPr="00A23FB4">
              <w:rPr>
                <w:rFonts w:asciiTheme="minorHAnsi" w:hAnsiTheme="minorHAnsi"/>
              </w:rPr>
              <w:t xml:space="preserve"> od powierzchni chodnika lub gruntu.</w:t>
            </w:r>
          </w:p>
          <w:p w14:paraId="40CB173B" w14:textId="77777777" w:rsidR="00DB6B0E" w:rsidRPr="00A23FB4" w:rsidRDefault="00DB6B0E" w:rsidP="00DB6B0E">
            <w:pPr>
              <w:rPr>
                <w:rFonts w:asciiTheme="minorHAnsi" w:hAnsiTheme="minorHAnsi"/>
                <w:b/>
              </w:rPr>
            </w:pPr>
            <w:r w:rsidRPr="00A23FB4">
              <w:rPr>
                <w:rFonts w:asciiTheme="minorHAnsi" w:hAnsiTheme="minorHAnsi"/>
                <w:b/>
              </w:rPr>
              <w:t>5.4. Montaż opraw</w:t>
            </w:r>
          </w:p>
          <w:p w14:paraId="4A4707B4" w14:textId="77777777" w:rsidR="00DB6B0E" w:rsidRPr="00A23FB4" w:rsidRDefault="00DB6B0E" w:rsidP="00DB6B0E">
            <w:pPr>
              <w:spacing w:before="120"/>
              <w:rPr>
                <w:rFonts w:asciiTheme="minorHAnsi" w:hAnsiTheme="minorHAnsi"/>
              </w:rPr>
            </w:pPr>
            <w:r w:rsidRPr="00A23FB4">
              <w:rPr>
                <w:rFonts w:asciiTheme="minorHAnsi" w:hAnsiTheme="minorHAnsi"/>
              </w:rPr>
              <w:t>Montaż opraw należy wykonywać przy pomocy samochodu z balkonem.</w:t>
            </w:r>
          </w:p>
          <w:p w14:paraId="21FF52FE" w14:textId="77777777" w:rsidR="00DB6B0E" w:rsidRPr="00A23FB4" w:rsidRDefault="00DB6B0E" w:rsidP="00DB6B0E">
            <w:pPr>
              <w:spacing w:before="120"/>
              <w:rPr>
                <w:rFonts w:asciiTheme="minorHAnsi" w:hAnsiTheme="minorHAnsi"/>
              </w:rPr>
            </w:pPr>
            <w:r w:rsidRPr="00A23FB4">
              <w:rPr>
                <w:rFonts w:asciiTheme="minorHAnsi" w:hAnsiTheme="minorHAnsi"/>
              </w:rPr>
              <w:t>Każdą oprawę przed zamontowaniem należy podłączyć do sieci i sprawdzić jej działanie (sprawdzenie zaświecenia się lampy).</w:t>
            </w:r>
          </w:p>
          <w:p w14:paraId="5B1FA281" w14:textId="77777777" w:rsidR="00DB6B0E" w:rsidRPr="00A23FB4" w:rsidRDefault="00DB6B0E" w:rsidP="00DB6B0E">
            <w:pPr>
              <w:spacing w:before="120"/>
              <w:rPr>
                <w:rFonts w:asciiTheme="minorHAnsi" w:hAnsiTheme="minorHAnsi"/>
              </w:rPr>
            </w:pPr>
            <w:r w:rsidRPr="00A23FB4">
              <w:rPr>
                <w:rFonts w:asciiTheme="minorHAnsi" w:hAnsiTheme="minorHAnsi"/>
              </w:rPr>
              <w:t>Oprawy należy montować po uprzednim wciągnięciu przewodów zasilających do słupów.</w:t>
            </w:r>
          </w:p>
          <w:p w14:paraId="67AA0C99" w14:textId="77777777" w:rsidR="00DB6B0E" w:rsidRPr="00A23FB4" w:rsidRDefault="00DB6B0E" w:rsidP="00DB6B0E">
            <w:pPr>
              <w:spacing w:before="120"/>
              <w:rPr>
                <w:rFonts w:asciiTheme="minorHAnsi" w:hAnsiTheme="minorHAnsi"/>
              </w:rPr>
            </w:pPr>
            <w:r w:rsidRPr="00A23FB4">
              <w:rPr>
                <w:rFonts w:asciiTheme="minorHAnsi" w:hAnsiTheme="minorHAnsi"/>
              </w:rPr>
              <w:t>Należy stosować przewody pojedyncze o izolacji wzmocnionej z żyłami miedzianymi o przekroju żyły nie mniejszym niż 1 mm</w:t>
            </w:r>
            <w:r w:rsidRPr="00A23FB4">
              <w:rPr>
                <w:rFonts w:asciiTheme="minorHAnsi" w:hAnsiTheme="minorHAnsi"/>
                <w:vertAlign w:val="superscript"/>
              </w:rPr>
              <w:t>2</w:t>
            </w:r>
            <w:r w:rsidRPr="00A23FB4">
              <w:rPr>
                <w:rFonts w:asciiTheme="minorHAnsi" w:hAnsiTheme="minorHAnsi"/>
              </w:rPr>
              <w:t>.</w:t>
            </w:r>
          </w:p>
          <w:p w14:paraId="01B22C57" w14:textId="77777777" w:rsidR="00DB6B0E" w:rsidRPr="00A23FB4" w:rsidRDefault="00DB6B0E" w:rsidP="00DB6B0E">
            <w:pPr>
              <w:spacing w:before="120"/>
              <w:rPr>
                <w:rFonts w:asciiTheme="minorHAnsi" w:hAnsiTheme="minorHAnsi"/>
              </w:rPr>
            </w:pPr>
            <w:r w:rsidRPr="00A23FB4">
              <w:rPr>
                <w:rFonts w:asciiTheme="minorHAnsi" w:hAnsiTheme="minorHAnsi"/>
              </w:rPr>
              <w:t>Ilość przewodów zależna jest od ilości opraw.</w:t>
            </w:r>
          </w:p>
          <w:p w14:paraId="2B5BC885" w14:textId="77777777" w:rsidR="00DB6B0E" w:rsidRPr="00A23FB4" w:rsidRDefault="00DB6B0E" w:rsidP="00DB6B0E">
            <w:pPr>
              <w:spacing w:before="120"/>
              <w:rPr>
                <w:rFonts w:asciiTheme="minorHAnsi" w:hAnsiTheme="minorHAnsi"/>
              </w:rPr>
            </w:pPr>
            <w:r w:rsidRPr="00A23FB4">
              <w:rPr>
                <w:rFonts w:asciiTheme="minorHAnsi" w:hAnsiTheme="minorHAnsi"/>
              </w:rPr>
              <w:t>Od tabliczki bezpiecznikowej do każdej oprawy należy prowadzić po dwa przewody. Oprawy należy mocować na wysięgnikach i głowicach masztów w sposób wskazany przez producenta opraw, po wprowadzeniu do nich przewodów zasilających i ustawieniu ich w położenie pracy.</w:t>
            </w:r>
          </w:p>
          <w:p w14:paraId="7B2851A9" w14:textId="77777777" w:rsidR="00DB6B0E" w:rsidRPr="00A23FB4" w:rsidRDefault="00DB6B0E" w:rsidP="00DB6B0E">
            <w:pPr>
              <w:spacing w:before="120" w:after="240"/>
              <w:rPr>
                <w:rFonts w:asciiTheme="minorHAnsi" w:hAnsiTheme="minorHAnsi"/>
              </w:rPr>
            </w:pPr>
            <w:r w:rsidRPr="00A23FB4">
              <w:rPr>
                <w:rFonts w:asciiTheme="minorHAnsi" w:hAnsiTheme="minorHAnsi"/>
              </w:rPr>
              <w:t>Oprawy powinny być  mocowane w sposób trwały, aby nie zmieniały swego położenia pod wpływem warunków atmosferycznych i parcia wiatru dla III strefy wiatrowej.</w:t>
            </w:r>
          </w:p>
          <w:p w14:paraId="54D1ABD7" w14:textId="77777777" w:rsidR="00DB6B0E" w:rsidRPr="00A23FB4" w:rsidRDefault="00DB6B0E" w:rsidP="00DB6B0E">
            <w:pPr>
              <w:rPr>
                <w:rFonts w:asciiTheme="minorHAnsi" w:hAnsiTheme="minorHAnsi"/>
                <w:b/>
              </w:rPr>
            </w:pPr>
            <w:r w:rsidRPr="00A23FB4">
              <w:rPr>
                <w:rFonts w:asciiTheme="minorHAnsi" w:hAnsiTheme="minorHAnsi"/>
                <w:b/>
              </w:rPr>
              <w:t>5.5. Układanie kabli</w:t>
            </w:r>
          </w:p>
          <w:p w14:paraId="0ABA433B" w14:textId="77777777" w:rsidR="00DB6B0E" w:rsidRPr="00A23FB4" w:rsidRDefault="00DB6B0E" w:rsidP="00DB6B0E">
            <w:pPr>
              <w:spacing w:before="120"/>
              <w:rPr>
                <w:rFonts w:asciiTheme="minorHAnsi" w:hAnsiTheme="minorHAnsi"/>
              </w:rPr>
            </w:pPr>
            <w:r w:rsidRPr="00A23FB4">
              <w:rPr>
                <w:rFonts w:asciiTheme="minorHAnsi" w:hAnsiTheme="minorHAnsi"/>
              </w:rPr>
              <w:t xml:space="preserve">Kable należy układać w trasach wytyczonych przez fachowe służby geodezyjne. Układanie kabli powinno być zgodne z normą N SEP-004. </w:t>
            </w:r>
          </w:p>
          <w:p w14:paraId="26B1E608" w14:textId="77777777" w:rsidR="00DB6B0E" w:rsidRPr="00A23FB4" w:rsidRDefault="00DB6B0E" w:rsidP="00DB6B0E">
            <w:pPr>
              <w:spacing w:before="120"/>
              <w:rPr>
                <w:rFonts w:asciiTheme="minorHAnsi" w:hAnsiTheme="minorHAnsi"/>
              </w:rPr>
            </w:pPr>
            <w:r w:rsidRPr="00A23FB4">
              <w:rPr>
                <w:rFonts w:asciiTheme="minorHAnsi" w:hAnsiTheme="minorHAnsi"/>
              </w:rPr>
              <w:t>Kable powinny być układane w sposób wykluczający ich uszkodzenie przez zginanie, skręcanie, rozciąganie itp.</w:t>
            </w:r>
          </w:p>
          <w:p w14:paraId="11D29235" w14:textId="77777777" w:rsidR="00DB6B0E" w:rsidRPr="00A23FB4" w:rsidRDefault="00DB6B0E" w:rsidP="00DB6B0E">
            <w:pPr>
              <w:spacing w:before="120"/>
              <w:rPr>
                <w:rFonts w:asciiTheme="minorHAnsi" w:hAnsiTheme="minorHAnsi"/>
              </w:rPr>
            </w:pPr>
            <w:r w:rsidRPr="00A23FB4">
              <w:rPr>
                <w:rFonts w:asciiTheme="minorHAnsi" w:hAnsiTheme="minorHAnsi"/>
              </w:rPr>
              <w:t>Temperatura otoczenia przy układaniu kabli nie powinna być mniejsza niż 0</w:t>
            </w:r>
            <w:r w:rsidRPr="00A23FB4">
              <w:rPr>
                <w:rFonts w:asciiTheme="minorHAnsi" w:hAnsiTheme="minorHAnsi"/>
                <w:vertAlign w:val="superscript"/>
              </w:rPr>
              <w:t>o</w:t>
            </w:r>
            <w:r w:rsidRPr="00A23FB4">
              <w:rPr>
                <w:rFonts w:asciiTheme="minorHAnsi" w:hAnsiTheme="minorHAnsi"/>
              </w:rPr>
              <w:t>C.</w:t>
            </w:r>
          </w:p>
          <w:p w14:paraId="563FB1CD" w14:textId="77777777" w:rsidR="00DB6B0E" w:rsidRPr="00A23FB4" w:rsidRDefault="00DB6B0E" w:rsidP="00DB6B0E">
            <w:pPr>
              <w:spacing w:before="120"/>
              <w:rPr>
                <w:rFonts w:asciiTheme="minorHAnsi" w:hAnsiTheme="minorHAnsi"/>
              </w:rPr>
            </w:pPr>
            <w:r w:rsidRPr="00A23FB4">
              <w:rPr>
                <w:rFonts w:asciiTheme="minorHAnsi" w:hAnsiTheme="minorHAnsi"/>
              </w:rPr>
              <w:t>Kabel można zginać jedynie w przypadkach koniecznych, przy czym promień gięcia powinien być możliwie duży, jednak nie mniejszy niż 10-krotna zewnętrzna jego średnica.</w:t>
            </w:r>
          </w:p>
          <w:p w14:paraId="6494E84D" w14:textId="77777777" w:rsidR="00DB6B0E" w:rsidRPr="00A23FB4" w:rsidRDefault="00DB6B0E" w:rsidP="00DB6B0E">
            <w:pPr>
              <w:spacing w:before="120"/>
              <w:rPr>
                <w:rFonts w:asciiTheme="minorHAnsi" w:hAnsiTheme="minorHAnsi"/>
              </w:rPr>
            </w:pPr>
            <w:r w:rsidRPr="00A23FB4">
              <w:rPr>
                <w:rFonts w:asciiTheme="minorHAnsi" w:hAnsiTheme="minorHAnsi"/>
              </w:rPr>
              <w:t xml:space="preserve">Bezpośrednio w gruncie kable należy układać na głębokości </w:t>
            </w:r>
            <w:smartTag w:uri="urn:schemas-microsoft-com:office:smarttags" w:element="metricconverter">
              <w:smartTagPr>
                <w:attr w:name="ProductID" w:val="0,7 m"/>
              </w:smartTagPr>
              <w:r w:rsidRPr="00A23FB4">
                <w:rPr>
                  <w:rFonts w:asciiTheme="minorHAnsi" w:hAnsiTheme="minorHAnsi"/>
                </w:rPr>
                <w:t>0,7 m</w:t>
              </w:r>
            </w:smartTag>
            <w:r w:rsidRPr="00A23FB4">
              <w:rPr>
                <w:rFonts w:asciiTheme="minorHAnsi" w:hAnsiTheme="minorHAnsi"/>
              </w:rPr>
              <w:t xml:space="preserve"> z dokładnością </w:t>
            </w:r>
            <w:r w:rsidRPr="00A23FB4">
              <w:rPr>
                <w:rFonts w:asciiTheme="minorHAnsi" w:hAnsiTheme="minorHAnsi"/>
              </w:rPr>
              <w:sym w:font="Symbol" w:char="F0B1"/>
            </w:r>
            <w:smartTag w:uri="urn:schemas-microsoft-com:office:smarttags" w:element="metricconverter">
              <w:smartTagPr>
                <w:attr w:name="ProductID" w:val="5 cm"/>
              </w:smartTagPr>
              <w:r w:rsidRPr="00A23FB4">
                <w:rPr>
                  <w:rFonts w:asciiTheme="minorHAnsi" w:hAnsiTheme="minorHAnsi"/>
                </w:rPr>
                <w:t>5 cm</w:t>
              </w:r>
            </w:smartTag>
            <w:r w:rsidRPr="00A23FB4">
              <w:rPr>
                <w:rFonts w:asciiTheme="minorHAnsi" w:hAnsiTheme="minorHAnsi"/>
              </w:rPr>
              <w:t xml:space="preserve"> na warstwie piasku o grubości </w:t>
            </w:r>
            <w:smartTag w:uri="urn:schemas-microsoft-com:office:smarttags" w:element="metricconverter">
              <w:smartTagPr>
                <w:attr w:name="ProductID" w:val="10 cm"/>
              </w:smartTagPr>
              <w:r w:rsidRPr="00A23FB4">
                <w:rPr>
                  <w:rFonts w:asciiTheme="minorHAnsi" w:hAnsiTheme="minorHAnsi"/>
                </w:rPr>
                <w:t>10 cm</w:t>
              </w:r>
            </w:smartTag>
            <w:r w:rsidRPr="00A23FB4">
              <w:rPr>
                <w:rFonts w:asciiTheme="minorHAnsi" w:hAnsiTheme="minorHAnsi"/>
              </w:rPr>
              <w:t xml:space="preserve"> z przykryciem również </w:t>
            </w:r>
            <w:smartTag w:uri="urn:schemas-microsoft-com:office:smarttags" w:element="metricconverter">
              <w:smartTagPr>
                <w:attr w:name="ProductID" w:val="10 cm"/>
              </w:smartTagPr>
              <w:r w:rsidRPr="00A23FB4">
                <w:rPr>
                  <w:rFonts w:asciiTheme="minorHAnsi" w:hAnsiTheme="minorHAnsi"/>
                </w:rPr>
                <w:t>10 cm</w:t>
              </w:r>
            </w:smartTag>
            <w:r w:rsidRPr="00A23FB4">
              <w:rPr>
                <w:rFonts w:asciiTheme="minorHAnsi" w:hAnsiTheme="minorHAnsi"/>
              </w:rPr>
              <w:t xml:space="preserve"> warstwą piasku, a następnie warstwą gruntu rodzimego o grubości co najmniej </w:t>
            </w:r>
            <w:smartTag w:uri="urn:schemas-microsoft-com:office:smarttags" w:element="metricconverter">
              <w:smartTagPr>
                <w:attr w:name="ProductID" w:val="15 cm"/>
              </w:smartTagPr>
              <w:r w:rsidRPr="00A23FB4">
                <w:rPr>
                  <w:rFonts w:asciiTheme="minorHAnsi" w:hAnsiTheme="minorHAnsi"/>
                </w:rPr>
                <w:t>15 cm</w:t>
              </w:r>
            </w:smartTag>
            <w:r w:rsidRPr="00A23FB4">
              <w:rPr>
                <w:rFonts w:asciiTheme="minorHAnsi" w:hAnsiTheme="minorHAnsi"/>
              </w:rPr>
              <w:t>.</w:t>
            </w:r>
          </w:p>
          <w:p w14:paraId="3FA0C237" w14:textId="77777777" w:rsidR="00DB6B0E" w:rsidRPr="00A23FB4" w:rsidRDefault="00DB6B0E" w:rsidP="00DB6B0E">
            <w:pPr>
              <w:spacing w:before="120"/>
              <w:rPr>
                <w:rFonts w:asciiTheme="minorHAnsi" w:hAnsiTheme="minorHAnsi"/>
              </w:rPr>
            </w:pPr>
            <w:r w:rsidRPr="00A23FB4">
              <w:rPr>
                <w:rFonts w:asciiTheme="minorHAnsi" w:hAnsiTheme="minorHAnsi"/>
              </w:rPr>
              <w:t xml:space="preserve">Jako ochronę przed uszkodzeniami mechanicznymi, wzdłuż całej trasy, co najmniej </w:t>
            </w:r>
            <w:smartTag w:uri="urn:schemas-microsoft-com:office:smarttags" w:element="metricconverter">
              <w:smartTagPr>
                <w:attr w:name="ProductID" w:val="25 cm"/>
              </w:smartTagPr>
              <w:r w:rsidRPr="00A23FB4">
                <w:rPr>
                  <w:rFonts w:asciiTheme="minorHAnsi" w:hAnsiTheme="minorHAnsi"/>
                </w:rPr>
                <w:t>25 cm</w:t>
              </w:r>
            </w:smartTag>
            <w:r w:rsidRPr="00A23FB4">
              <w:rPr>
                <w:rFonts w:asciiTheme="minorHAnsi" w:hAnsiTheme="minorHAnsi"/>
              </w:rPr>
              <w:t xml:space="preserve"> nad kablem, należy układać folię koloru niebieskiego szerokości </w:t>
            </w:r>
            <w:smartTag w:uri="urn:schemas-microsoft-com:office:smarttags" w:element="metricconverter">
              <w:smartTagPr>
                <w:attr w:name="ProductID" w:val="20 cm"/>
              </w:smartTagPr>
              <w:r w:rsidRPr="00A23FB4">
                <w:rPr>
                  <w:rFonts w:asciiTheme="minorHAnsi" w:hAnsiTheme="minorHAnsi"/>
                </w:rPr>
                <w:t>20 cm</w:t>
              </w:r>
            </w:smartTag>
            <w:r w:rsidRPr="00A23FB4">
              <w:rPr>
                <w:rFonts w:asciiTheme="minorHAnsi" w:hAnsiTheme="minorHAnsi"/>
              </w:rPr>
              <w:t>.</w:t>
            </w:r>
          </w:p>
          <w:p w14:paraId="15479592" w14:textId="77777777" w:rsidR="00DB6B0E" w:rsidRPr="00A23FB4" w:rsidRDefault="00DB6B0E" w:rsidP="00DB6B0E">
            <w:pPr>
              <w:spacing w:before="120"/>
              <w:rPr>
                <w:rFonts w:asciiTheme="minorHAnsi" w:hAnsiTheme="minorHAnsi"/>
              </w:rPr>
            </w:pPr>
            <w:r w:rsidRPr="00A23FB4">
              <w:rPr>
                <w:rFonts w:asciiTheme="minorHAnsi" w:hAnsiTheme="minorHAnsi"/>
              </w:rPr>
              <w:t xml:space="preserve">Przy skrzyżowaniu z innymi instalacjami podziemnymi lub z drogami, kabel należy układać w przepustach kablowych. Przepusty powinny być zabezpieczone przed przedostawaniem się do ich wnętrza wody i przed ich zamuleniem. </w:t>
            </w:r>
          </w:p>
          <w:p w14:paraId="7641B07E" w14:textId="77777777" w:rsidR="00DB6B0E" w:rsidRPr="00A23FB4" w:rsidRDefault="00DB6B0E" w:rsidP="00DB6B0E">
            <w:pPr>
              <w:spacing w:before="120"/>
              <w:rPr>
                <w:rFonts w:asciiTheme="minorHAnsi" w:hAnsiTheme="minorHAnsi"/>
              </w:rPr>
            </w:pPr>
            <w:r w:rsidRPr="00A23FB4">
              <w:rPr>
                <w:rFonts w:asciiTheme="minorHAnsi" w:hAnsiTheme="minorHAnsi"/>
              </w:rPr>
              <w:t>W miejscach skrzyżowań kabli z istniejącymi drogami o nawierzchni twardej, zaleca się wykonywanie przepustów kablowych metodą wiercenia poziomego, przewidując po jednym przepuście rezerwowym na każdym skrzyżowaniu.</w:t>
            </w:r>
          </w:p>
          <w:p w14:paraId="511CC34A" w14:textId="77777777" w:rsidR="00DB6B0E" w:rsidRPr="00A23FB4" w:rsidRDefault="00DB6B0E" w:rsidP="00DB6B0E">
            <w:pPr>
              <w:spacing w:before="120"/>
              <w:rPr>
                <w:rFonts w:asciiTheme="minorHAnsi" w:hAnsiTheme="minorHAnsi"/>
              </w:rPr>
            </w:pPr>
            <w:r w:rsidRPr="00A23FB4">
              <w:rPr>
                <w:rFonts w:asciiTheme="minorHAnsi" w:hAnsiTheme="minorHAnsi"/>
              </w:rPr>
              <w:t>Kabel ułożony w ziemi na całej swej długości powinien posiadać oznaczniki identyfikacyjne.</w:t>
            </w:r>
          </w:p>
          <w:p w14:paraId="577CCEEA" w14:textId="77777777" w:rsidR="00DB6B0E" w:rsidRPr="00A23FB4" w:rsidRDefault="00DB6B0E" w:rsidP="00DB6B0E">
            <w:pPr>
              <w:numPr>
                <w:ilvl w:val="12"/>
                <w:numId w:val="0"/>
              </w:numPr>
              <w:spacing w:before="120" w:after="240"/>
              <w:rPr>
                <w:rFonts w:asciiTheme="minorHAnsi" w:hAnsiTheme="minorHAnsi"/>
              </w:rPr>
            </w:pPr>
            <w:r w:rsidRPr="00A23FB4">
              <w:rPr>
                <w:rFonts w:asciiTheme="minorHAnsi" w:hAnsiTheme="minorHAnsi"/>
              </w:rPr>
              <w:t>Zaleca się przy latarniach, szafie oświetleniowej, przepustach kablowych; pozostawienie 2-metrowych zapasów eksploatacyjnych kabla.</w:t>
            </w:r>
          </w:p>
          <w:p w14:paraId="6A1AC976" w14:textId="77777777" w:rsidR="00DB6B0E" w:rsidRPr="00A23FB4" w:rsidRDefault="00DB6B0E" w:rsidP="00DB6B0E">
            <w:pPr>
              <w:rPr>
                <w:rFonts w:asciiTheme="minorHAnsi" w:hAnsiTheme="minorHAnsi"/>
                <w:b/>
              </w:rPr>
            </w:pPr>
            <w:r w:rsidRPr="00A23FB4">
              <w:rPr>
                <w:rFonts w:asciiTheme="minorHAnsi" w:hAnsiTheme="minorHAnsi"/>
                <w:b/>
              </w:rPr>
              <w:t>5.6. Wykonanie dodatkowej ochrony przeciwporażeniowej</w:t>
            </w:r>
          </w:p>
          <w:p w14:paraId="20AFA7A2" w14:textId="77777777" w:rsidR="00DB6B0E" w:rsidRPr="00A23FB4" w:rsidRDefault="00DB6B0E" w:rsidP="00DB6B0E">
            <w:pPr>
              <w:numPr>
                <w:ilvl w:val="12"/>
                <w:numId w:val="0"/>
              </w:numPr>
              <w:spacing w:before="120"/>
              <w:rPr>
                <w:rFonts w:asciiTheme="minorHAnsi" w:hAnsiTheme="minorHAnsi"/>
              </w:rPr>
            </w:pPr>
            <w:r w:rsidRPr="00A23FB4">
              <w:rPr>
                <w:rFonts w:asciiTheme="minorHAnsi" w:hAnsiTheme="minorHAnsi"/>
              </w:rPr>
              <w:t>System dodatkowej ochrony przeciwporażeniowej dla instalacji oświetleniowej, może być stosowany jako uziemienie ochronne.</w:t>
            </w:r>
          </w:p>
          <w:p w14:paraId="0DBEBDAF" w14:textId="77777777" w:rsidR="00DB6B0E" w:rsidRPr="00A23FB4" w:rsidRDefault="00DB6B0E" w:rsidP="00DB6B0E">
            <w:pPr>
              <w:pStyle w:val="tekstost"/>
              <w:numPr>
                <w:ilvl w:val="12"/>
                <w:numId w:val="0"/>
              </w:numPr>
              <w:spacing w:before="120"/>
              <w:jc w:val="left"/>
              <w:rPr>
                <w:rFonts w:asciiTheme="minorHAnsi" w:hAnsiTheme="minorHAnsi"/>
              </w:rPr>
            </w:pPr>
            <w:r w:rsidRPr="00A23FB4">
              <w:rPr>
                <w:rFonts w:asciiTheme="minorHAnsi" w:hAnsiTheme="minorHAnsi"/>
              </w:rPr>
              <w:t>Uziemienie polega na połączeniu części przewodzących dostępnych z uziomami w sposób powodujący samoczynne odłączenie zasilania, w warunkach zakłóceniowych</w:t>
            </w:r>
          </w:p>
          <w:p w14:paraId="697F8F28" w14:textId="77777777" w:rsidR="00DB6B0E" w:rsidRPr="00A23FB4" w:rsidRDefault="00DB6B0E" w:rsidP="00DB6B0E">
            <w:pPr>
              <w:pStyle w:val="tekstost"/>
              <w:numPr>
                <w:ilvl w:val="12"/>
                <w:numId w:val="0"/>
              </w:numPr>
              <w:spacing w:before="120"/>
              <w:jc w:val="left"/>
              <w:rPr>
                <w:rFonts w:asciiTheme="minorHAnsi" w:hAnsiTheme="minorHAnsi"/>
              </w:rPr>
            </w:pPr>
            <w:r w:rsidRPr="00A23FB4">
              <w:rPr>
                <w:rFonts w:asciiTheme="minorHAnsi" w:hAnsiTheme="minorHAnsi"/>
              </w:rPr>
              <w:t>Zaleca się wykonywanie uziomu taśmowego, układając w jednym rowie z kablem oświetleniowym, bednarkę ocynkowaną 30 x3 mm, która następnie powinna być wprowadzona do wnęk latarń, masztów i szafy oświetleniowej i połączona z zaciskami ochronnymi. Zaciski te mogą spełniać również rolę zacisków probierczych. Ewentualne łączenie odcinków bednarki należy wykonywać przez spawanie.</w:t>
            </w:r>
          </w:p>
          <w:p w14:paraId="5DA3CE4A" w14:textId="77777777" w:rsidR="00DB6B0E" w:rsidRPr="00A23FB4" w:rsidRDefault="00DB6B0E" w:rsidP="00DB6B0E">
            <w:pPr>
              <w:numPr>
                <w:ilvl w:val="12"/>
                <w:numId w:val="0"/>
              </w:numPr>
              <w:spacing w:before="120"/>
              <w:rPr>
                <w:rFonts w:asciiTheme="minorHAnsi" w:hAnsiTheme="minorHAnsi"/>
              </w:rPr>
            </w:pPr>
            <w:r w:rsidRPr="00A23FB4">
              <w:rPr>
                <w:rFonts w:asciiTheme="minorHAnsi" w:hAnsiTheme="minorHAnsi"/>
              </w:rPr>
              <w:t xml:space="preserve">Bednarka w ziemi nie powinna być układana płycej niż </w:t>
            </w:r>
            <w:smartTag w:uri="urn:schemas-microsoft-com:office:smarttags" w:element="metricconverter">
              <w:smartTagPr>
                <w:attr w:name="ProductID" w:val="0,6 m"/>
              </w:smartTagPr>
              <w:r w:rsidRPr="00A23FB4">
                <w:rPr>
                  <w:rFonts w:asciiTheme="minorHAnsi" w:hAnsiTheme="minorHAnsi"/>
                </w:rPr>
                <w:t>0,6 m</w:t>
              </w:r>
            </w:smartTag>
            <w:r w:rsidRPr="00A23FB4">
              <w:rPr>
                <w:rFonts w:asciiTheme="minorHAnsi" w:hAnsiTheme="minorHAnsi"/>
              </w:rPr>
              <w:t xml:space="preserve"> i powinna być zasypana gruntem bez kamieni, żwiru i gruzu.</w:t>
            </w:r>
          </w:p>
          <w:p w14:paraId="702DE823" w14:textId="77777777" w:rsidR="00DB6B0E" w:rsidRPr="00A23FB4" w:rsidRDefault="00DB6B0E" w:rsidP="00DB6B0E">
            <w:pPr>
              <w:numPr>
                <w:ilvl w:val="12"/>
                <w:numId w:val="0"/>
              </w:numPr>
              <w:spacing w:before="120"/>
              <w:rPr>
                <w:rFonts w:asciiTheme="minorHAnsi" w:hAnsiTheme="minorHAnsi"/>
              </w:rPr>
            </w:pPr>
          </w:p>
          <w:p w14:paraId="2C2F7F33" w14:textId="77777777" w:rsidR="00DB6B0E" w:rsidRPr="00A23FB4" w:rsidRDefault="00DB6B0E" w:rsidP="00DB6B0E">
            <w:pPr>
              <w:spacing w:after="240"/>
              <w:rPr>
                <w:rFonts w:asciiTheme="minorHAnsi" w:hAnsiTheme="minorHAnsi"/>
                <w:b/>
                <w:caps/>
              </w:rPr>
            </w:pPr>
            <w:r w:rsidRPr="00A23FB4">
              <w:rPr>
                <w:rFonts w:asciiTheme="minorHAnsi" w:hAnsiTheme="minorHAnsi"/>
                <w:b/>
              </w:rPr>
              <w:t>6. KONTROLA JAKOŚCI ROBÓT</w:t>
            </w:r>
          </w:p>
          <w:p w14:paraId="352FA45D" w14:textId="77777777" w:rsidR="00DB6B0E" w:rsidRPr="00A23FB4" w:rsidRDefault="00DB6B0E" w:rsidP="00DB6B0E">
            <w:pPr>
              <w:rPr>
                <w:rFonts w:asciiTheme="minorHAnsi" w:hAnsiTheme="minorHAnsi"/>
                <w:b/>
              </w:rPr>
            </w:pPr>
            <w:r w:rsidRPr="00A23FB4">
              <w:rPr>
                <w:rFonts w:asciiTheme="minorHAnsi" w:hAnsiTheme="minorHAnsi"/>
                <w:b/>
              </w:rPr>
              <w:t>6.1. Ogólne zasady kontroli jakości robót</w:t>
            </w:r>
          </w:p>
          <w:p w14:paraId="7FC15FA5" w14:textId="78902115" w:rsidR="00DB6B0E" w:rsidRPr="00A23FB4" w:rsidRDefault="00DB6B0E" w:rsidP="00DB6B0E">
            <w:pPr>
              <w:numPr>
                <w:ilvl w:val="12"/>
                <w:numId w:val="0"/>
              </w:numPr>
              <w:spacing w:before="120" w:after="240"/>
              <w:rPr>
                <w:rFonts w:asciiTheme="minorHAnsi" w:hAnsiTheme="minorHAnsi"/>
              </w:rPr>
            </w:pPr>
            <w:r w:rsidRPr="00A23FB4">
              <w:rPr>
                <w:rFonts w:asciiTheme="minorHAnsi" w:hAnsiTheme="minorHAnsi"/>
              </w:rPr>
              <w:t xml:space="preserve">Ogólne zasady kontroli jakości robót podano w </w:t>
            </w:r>
            <w:r w:rsidR="00865C6C">
              <w:rPr>
                <w:rFonts w:asciiTheme="minorHAnsi" w:hAnsiTheme="minorHAnsi"/>
              </w:rPr>
              <w:t>ST</w:t>
            </w:r>
            <w:r w:rsidRPr="00A23FB4">
              <w:rPr>
                <w:rFonts w:asciiTheme="minorHAnsi" w:hAnsiTheme="minorHAnsi"/>
              </w:rPr>
              <w:t>WiORB D-M-00.00.00.00 „Wymagania ogólne” pkt 6.</w:t>
            </w:r>
          </w:p>
          <w:p w14:paraId="387F314E" w14:textId="77777777" w:rsidR="00DB6B0E" w:rsidRPr="00A23FB4" w:rsidRDefault="00DB6B0E" w:rsidP="00DB6B0E">
            <w:pPr>
              <w:rPr>
                <w:rFonts w:asciiTheme="minorHAnsi" w:hAnsiTheme="minorHAnsi"/>
                <w:b/>
              </w:rPr>
            </w:pPr>
            <w:r w:rsidRPr="00A23FB4">
              <w:rPr>
                <w:rFonts w:asciiTheme="minorHAnsi" w:hAnsiTheme="minorHAnsi"/>
                <w:b/>
              </w:rPr>
              <w:t>6.2. Wykopy pod fundamenty i kable</w:t>
            </w:r>
          </w:p>
          <w:p w14:paraId="02935AA0" w14:textId="77777777" w:rsidR="00DB6B0E" w:rsidRPr="00A23FB4" w:rsidRDefault="00DB6B0E" w:rsidP="00DB6B0E">
            <w:pPr>
              <w:numPr>
                <w:ilvl w:val="12"/>
                <w:numId w:val="0"/>
              </w:numPr>
              <w:spacing w:before="120"/>
              <w:rPr>
                <w:rFonts w:asciiTheme="minorHAnsi" w:hAnsiTheme="minorHAnsi"/>
              </w:rPr>
            </w:pPr>
            <w:r w:rsidRPr="00A23FB4">
              <w:rPr>
                <w:rFonts w:asciiTheme="minorHAnsi" w:hAnsiTheme="minorHAnsi"/>
              </w:rPr>
              <w:t>Lokalizacja, wymiary i zabezpieczenie ścian wykopu powinno być zgodne z dokumentacją projektową.</w:t>
            </w:r>
          </w:p>
          <w:p w14:paraId="6A086511" w14:textId="77777777" w:rsidR="00DB6B0E" w:rsidRPr="00A23FB4" w:rsidRDefault="00DB6B0E" w:rsidP="00DB6B0E">
            <w:pPr>
              <w:numPr>
                <w:ilvl w:val="12"/>
                <w:numId w:val="0"/>
              </w:numPr>
              <w:spacing w:before="120" w:after="240"/>
              <w:rPr>
                <w:rFonts w:asciiTheme="minorHAnsi" w:hAnsiTheme="minorHAnsi"/>
              </w:rPr>
            </w:pPr>
            <w:r w:rsidRPr="00A23FB4">
              <w:rPr>
                <w:rFonts w:asciiTheme="minorHAnsi" w:hAnsiTheme="minorHAnsi"/>
              </w:rPr>
              <w:t>Po zasypaniu  kabli należy sprawdzić wskaźnik zagęszczenia gruntu wg pkt. 5 oraz sprawdzić sposób usunięcia nadmiaru gruntu z wykopu.</w:t>
            </w:r>
          </w:p>
          <w:p w14:paraId="5F1A3F2D" w14:textId="77777777" w:rsidR="00DB6B0E" w:rsidRPr="00A23FB4" w:rsidRDefault="00DB6B0E" w:rsidP="00DB6B0E">
            <w:pPr>
              <w:overflowPunct/>
              <w:autoSpaceDE/>
              <w:autoSpaceDN/>
              <w:adjustRightInd/>
              <w:jc w:val="left"/>
              <w:textAlignment w:val="auto"/>
              <w:rPr>
                <w:rFonts w:asciiTheme="minorHAnsi" w:hAnsiTheme="minorHAnsi"/>
              </w:rPr>
            </w:pPr>
            <w:r w:rsidRPr="00A23FB4">
              <w:rPr>
                <w:rFonts w:asciiTheme="minorHAnsi" w:hAnsiTheme="minorHAnsi"/>
              </w:rPr>
              <w:br w:type="page"/>
            </w:r>
          </w:p>
          <w:p w14:paraId="0CF697D0" w14:textId="77777777" w:rsidR="00DB6B0E" w:rsidRPr="00A23FB4" w:rsidRDefault="00DB6B0E" w:rsidP="00DB6B0E">
            <w:pPr>
              <w:numPr>
                <w:ilvl w:val="12"/>
                <w:numId w:val="0"/>
              </w:numPr>
              <w:spacing w:before="120" w:after="240"/>
              <w:rPr>
                <w:rFonts w:asciiTheme="minorHAnsi" w:hAnsiTheme="minorHAnsi"/>
              </w:rPr>
            </w:pPr>
          </w:p>
          <w:p w14:paraId="6B2AC0B4" w14:textId="77777777" w:rsidR="00DB6B0E" w:rsidRPr="00A23FB4" w:rsidRDefault="00DB6B0E" w:rsidP="00DB6B0E">
            <w:pPr>
              <w:rPr>
                <w:rFonts w:asciiTheme="minorHAnsi" w:hAnsiTheme="minorHAnsi"/>
                <w:b/>
              </w:rPr>
            </w:pPr>
            <w:r w:rsidRPr="00A23FB4">
              <w:rPr>
                <w:rFonts w:asciiTheme="minorHAnsi" w:hAnsiTheme="minorHAnsi"/>
                <w:b/>
              </w:rPr>
              <w:t>6.3. Latarnie i maszty oświetleniowe</w:t>
            </w:r>
          </w:p>
          <w:p w14:paraId="622FB7CB" w14:textId="77777777" w:rsidR="00DB6B0E" w:rsidRPr="00A23FB4" w:rsidRDefault="00DB6B0E" w:rsidP="00CB3CD7">
            <w:pPr>
              <w:numPr>
                <w:ilvl w:val="12"/>
                <w:numId w:val="0"/>
              </w:numPr>
              <w:rPr>
                <w:rFonts w:asciiTheme="minorHAnsi" w:hAnsiTheme="minorHAnsi"/>
              </w:rPr>
            </w:pPr>
            <w:r w:rsidRPr="00A23FB4">
              <w:rPr>
                <w:rFonts w:asciiTheme="minorHAnsi" w:hAnsiTheme="minorHAnsi"/>
              </w:rPr>
              <w:t>Elementy latarń  powinny być zgodne z dokumentacją projektową.</w:t>
            </w:r>
          </w:p>
          <w:p w14:paraId="5BAAD111" w14:textId="77777777" w:rsidR="00DB6B0E" w:rsidRPr="00A23FB4" w:rsidRDefault="00DB6B0E" w:rsidP="00CB3CD7">
            <w:pPr>
              <w:numPr>
                <w:ilvl w:val="12"/>
                <w:numId w:val="0"/>
              </w:numPr>
              <w:rPr>
                <w:rFonts w:asciiTheme="minorHAnsi" w:hAnsiTheme="minorHAnsi"/>
              </w:rPr>
            </w:pPr>
            <w:r w:rsidRPr="00A23FB4">
              <w:rPr>
                <w:rFonts w:asciiTheme="minorHAnsi" w:hAnsiTheme="minorHAnsi"/>
              </w:rPr>
              <w:t>Latarnie oświetleniowe, po ich montażu, podlegają sprawdzeniu pod względem:</w:t>
            </w:r>
          </w:p>
          <w:p w14:paraId="43236FB6" w14:textId="77777777" w:rsidR="00DB6B0E" w:rsidRPr="00A23FB4" w:rsidRDefault="00DB6B0E" w:rsidP="00262498">
            <w:pPr>
              <w:numPr>
                <w:ilvl w:val="0"/>
                <w:numId w:val="186"/>
              </w:numPr>
              <w:overflowPunct/>
              <w:autoSpaceDE/>
              <w:autoSpaceDN/>
              <w:adjustRightInd/>
              <w:jc w:val="left"/>
              <w:textAlignment w:val="auto"/>
              <w:rPr>
                <w:rFonts w:asciiTheme="minorHAnsi" w:hAnsiTheme="minorHAnsi"/>
              </w:rPr>
            </w:pPr>
            <w:r w:rsidRPr="00A23FB4">
              <w:rPr>
                <w:rFonts w:asciiTheme="minorHAnsi" w:hAnsiTheme="minorHAnsi"/>
              </w:rPr>
              <w:t>dokładności ustawienia pionowego słupów,</w:t>
            </w:r>
          </w:p>
          <w:p w14:paraId="41818098" w14:textId="77777777" w:rsidR="00DB6B0E" w:rsidRPr="00A23FB4" w:rsidRDefault="00DB6B0E" w:rsidP="00262498">
            <w:pPr>
              <w:numPr>
                <w:ilvl w:val="0"/>
                <w:numId w:val="186"/>
              </w:numPr>
              <w:overflowPunct/>
              <w:autoSpaceDE/>
              <w:autoSpaceDN/>
              <w:adjustRightInd/>
              <w:jc w:val="left"/>
              <w:textAlignment w:val="auto"/>
              <w:rPr>
                <w:rFonts w:asciiTheme="minorHAnsi" w:hAnsiTheme="minorHAnsi"/>
              </w:rPr>
            </w:pPr>
            <w:r w:rsidRPr="00A23FB4">
              <w:rPr>
                <w:rFonts w:asciiTheme="minorHAnsi" w:hAnsiTheme="minorHAnsi"/>
              </w:rPr>
              <w:t>prawidłowości ustawienia wysięgnika i opraw względem osi oświetlanej jezdni,</w:t>
            </w:r>
          </w:p>
          <w:p w14:paraId="202F1B24" w14:textId="77777777" w:rsidR="00DB6B0E" w:rsidRPr="00A23FB4" w:rsidRDefault="00DB6B0E" w:rsidP="00262498">
            <w:pPr>
              <w:numPr>
                <w:ilvl w:val="0"/>
                <w:numId w:val="186"/>
              </w:numPr>
              <w:overflowPunct/>
              <w:autoSpaceDE/>
              <w:autoSpaceDN/>
              <w:adjustRightInd/>
              <w:jc w:val="left"/>
              <w:textAlignment w:val="auto"/>
              <w:rPr>
                <w:rFonts w:asciiTheme="minorHAnsi" w:hAnsiTheme="minorHAnsi"/>
              </w:rPr>
            </w:pPr>
            <w:r w:rsidRPr="00A23FB4">
              <w:rPr>
                <w:rFonts w:asciiTheme="minorHAnsi" w:hAnsiTheme="minorHAnsi"/>
              </w:rPr>
              <w:t>jakości połączeń kabli i przewodów na tabliczce bezpiecznikowo-zaciskowej oraz na zaciskach oprawy,</w:t>
            </w:r>
          </w:p>
          <w:p w14:paraId="4A30F856" w14:textId="77777777" w:rsidR="00DB6B0E" w:rsidRPr="00A23FB4" w:rsidRDefault="00DB6B0E" w:rsidP="00262498">
            <w:pPr>
              <w:numPr>
                <w:ilvl w:val="0"/>
                <w:numId w:val="186"/>
              </w:numPr>
              <w:overflowPunct/>
              <w:autoSpaceDE/>
              <w:autoSpaceDN/>
              <w:adjustRightInd/>
              <w:jc w:val="left"/>
              <w:textAlignment w:val="auto"/>
              <w:rPr>
                <w:rFonts w:asciiTheme="minorHAnsi" w:hAnsiTheme="minorHAnsi"/>
              </w:rPr>
            </w:pPr>
            <w:r w:rsidRPr="00A23FB4">
              <w:rPr>
                <w:rFonts w:asciiTheme="minorHAnsi" w:hAnsiTheme="minorHAnsi"/>
              </w:rPr>
              <w:t>jakości połączeń śrubowych słupów, masztów, wysięgników i opraw,</w:t>
            </w:r>
          </w:p>
          <w:p w14:paraId="53B3E74A" w14:textId="77777777" w:rsidR="00DB6B0E" w:rsidRPr="00A23FB4" w:rsidRDefault="00DB6B0E" w:rsidP="00262498">
            <w:pPr>
              <w:numPr>
                <w:ilvl w:val="0"/>
                <w:numId w:val="186"/>
              </w:numPr>
              <w:overflowPunct/>
              <w:autoSpaceDE/>
              <w:autoSpaceDN/>
              <w:adjustRightInd/>
              <w:jc w:val="left"/>
              <w:textAlignment w:val="auto"/>
              <w:rPr>
                <w:rFonts w:asciiTheme="minorHAnsi" w:hAnsiTheme="minorHAnsi"/>
              </w:rPr>
            </w:pPr>
            <w:r w:rsidRPr="00A23FB4">
              <w:rPr>
                <w:rFonts w:asciiTheme="minorHAnsi" w:hAnsiTheme="minorHAnsi"/>
              </w:rPr>
              <w:t>stanu antykorozyjnej powłoki ochronnej wszystkich elementów.</w:t>
            </w:r>
          </w:p>
          <w:p w14:paraId="37BCD8E0" w14:textId="77777777" w:rsidR="00DB6B0E" w:rsidRPr="00A23FB4" w:rsidRDefault="00DB6B0E" w:rsidP="00DB6B0E">
            <w:pPr>
              <w:rPr>
                <w:rFonts w:asciiTheme="minorHAnsi" w:hAnsiTheme="minorHAnsi"/>
                <w:b/>
              </w:rPr>
            </w:pPr>
            <w:r w:rsidRPr="00A23FB4">
              <w:rPr>
                <w:rFonts w:asciiTheme="minorHAnsi" w:hAnsiTheme="minorHAnsi"/>
                <w:b/>
              </w:rPr>
              <w:t>6.4. Linia kablowa</w:t>
            </w:r>
          </w:p>
          <w:p w14:paraId="62D8DECB" w14:textId="77777777" w:rsidR="00DB6B0E" w:rsidRPr="00A23FB4" w:rsidRDefault="00DB6B0E" w:rsidP="00CB3CD7">
            <w:pPr>
              <w:numPr>
                <w:ilvl w:val="12"/>
                <w:numId w:val="0"/>
              </w:numPr>
              <w:rPr>
                <w:rFonts w:asciiTheme="minorHAnsi" w:hAnsiTheme="minorHAnsi"/>
              </w:rPr>
            </w:pPr>
            <w:r w:rsidRPr="00A23FB4">
              <w:rPr>
                <w:rFonts w:asciiTheme="minorHAnsi" w:hAnsiTheme="minorHAnsi"/>
              </w:rPr>
              <w:t>W czasie wykonywania i po zakończeniu robót kablowych należy przeprowadzić następujące pomiary:</w:t>
            </w:r>
          </w:p>
          <w:p w14:paraId="34E7EE49" w14:textId="77777777" w:rsidR="00DB6B0E" w:rsidRPr="00A23FB4" w:rsidRDefault="00DB6B0E" w:rsidP="00262498">
            <w:pPr>
              <w:numPr>
                <w:ilvl w:val="0"/>
                <w:numId w:val="186"/>
              </w:numPr>
              <w:overflowPunct/>
              <w:autoSpaceDE/>
              <w:autoSpaceDN/>
              <w:adjustRightInd/>
              <w:jc w:val="left"/>
              <w:textAlignment w:val="auto"/>
              <w:rPr>
                <w:rFonts w:asciiTheme="minorHAnsi" w:hAnsiTheme="minorHAnsi"/>
              </w:rPr>
            </w:pPr>
            <w:r w:rsidRPr="00A23FB4">
              <w:rPr>
                <w:rFonts w:asciiTheme="minorHAnsi" w:hAnsiTheme="minorHAnsi"/>
              </w:rPr>
              <w:t>głębokości zakopania kabla,</w:t>
            </w:r>
          </w:p>
          <w:p w14:paraId="40AD2682" w14:textId="77777777" w:rsidR="00DB6B0E" w:rsidRPr="00A23FB4" w:rsidRDefault="00DB6B0E" w:rsidP="00262498">
            <w:pPr>
              <w:numPr>
                <w:ilvl w:val="0"/>
                <w:numId w:val="186"/>
              </w:numPr>
              <w:overflowPunct/>
              <w:autoSpaceDE/>
              <w:autoSpaceDN/>
              <w:adjustRightInd/>
              <w:jc w:val="left"/>
              <w:textAlignment w:val="auto"/>
              <w:rPr>
                <w:rFonts w:asciiTheme="minorHAnsi" w:hAnsiTheme="minorHAnsi"/>
              </w:rPr>
            </w:pPr>
            <w:r w:rsidRPr="00A23FB4">
              <w:rPr>
                <w:rFonts w:asciiTheme="minorHAnsi" w:hAnsiTheme="minorHAnsi"/>
              </w:rPr>
              <w:t>grubości podsypki piaskowej nad i pod kablem,</w:t>
            </w:r>
          </w:p>
          <w:p w14:paraId="4DAB27B6" w14:textId="77777777" w:rsidR="00DB6B0E" w:rsidRPr="00A23FB4" w:rsidRDefault="00DB6B0E" w:rsidP="00262498">
            <w:pPr>
              <w:numPr>
                <w:ilvl w:val="0"/>
                <w:numId w:val="186"/>
              </w:numPr>
              <w:overflowPunct/>
              <w:autoSpaceDE/>
              <w:autoSpaceDN/>
              <w:adjustRightInd/>
              <w:jc w:val="left"/>
              <w:textAlignment w:val="auto"/>
              <w:rPr>
                <w:rFonts w:asciiTheme="minorHAnsi" w:hAnsiTheme="minorHAnsi"/>
              </w:rPr>
            </w:pPr>
            <w:r w:rsidRPr="00A23FB4">
              <w:rPr>
                <w:rFonts w:asciiTheme="minorHAnsi" w:hAnsiTheme="minorHAnsi"/>
              </w:rPr>
              <w:t>odległości folii ochronnej od kabla,</w:t>
            </w:r>
          </w:p>
          <w:p w14:paraId="3A1F4CD5" w14:textId="77777777" w:rsidR="00DB6B0E" w:rsidRPr="00A23FB4" w:rsidRDefault="00DB6B0E" w:rsidP="00262498">
            <w:pPr>
              <w:numPr>
                <w:ilvl w:val="0"/>
                <w:numId w:val="186"/>
              </w:numPr>
              <w:overflowPunct/>
              <w:autoSpaceDE/>
              <w:autoSpaceDN/>
              <w:adjustRightInd/>
              <w:jc w:val="left"/>
              <w:textAlignment w:val="auto"/>
              <w:rPr>
                <w:rFonts w:asciiTheme="minorHAnsi" w:hAnsiTheme="minorHAnsi"/>
              </w:rPr>
            </w:pPr>
            <w:r w:rsidRPr="00A23FB4">
              <w:rPr>
                <w:rFonts w:asciiTheme="minorHAnsi" w:hAnsiTheme="minorHAnsi"/>
              </w:rPr>
              <w:t>rezystancji izolacji i ciągłości żył kabla.</w:t>
            </w:r>
          </w:p>
          <w:p w14:paraId="5DD34771" w14:textId="77777777" w:rsidR="00DB6B0E" w:rsidRPr="00A23FB4" w:rsidRDefault="00DB6B0E" w:rsidP="00CB3CD7">
            <w:pPr>
              <w:numPr>
                <w:ilvl w:val="12"/>
                <w:numId w:val="0"/>
              </w:numPr>
              <w:rPr>
                <w:rFonts w:asciiTheme="minorHAnsi" w:hAnsiTheme="minorHAnsi"/>
              </w:rPr>
            </w:pPr>
            <w:r w:rsidRPr="00A23FB4">
              <w:rPr>
                <w:rFonts w:asciiTheme="minorHAnsi" w:hAnsiTheme="minorHAnsi"/>
              </w:rPr>
              <w:t xml:space="preserve">Pomiary należy wykonywać co </w:t>
            </w:r>
            <w:smartTag w:uri="urn:schemas-microsoft-com:office:smarttags" w:element="metricconverter">
              <w:smartTagPr>
                <w:attr w:name="ProductID" w:val="10 m"/>
              </w:smartTagPr>
              <w:r w:rsidRPr="00A23FB4">
                <w:rPr>
                  <w:rFonts w:asciiTheme="minorHAnsi" w:hAnsiTheme="minorHAnsi"/>
                </w:rPr>
                <w:t>10 m</w:t>
              </w:r>
            </w:smartTag>
            <w:r w:rsidRPr="00A23FB4">
              <w:rPr>
                <w:rFonts w:asciiTheme="minorHAnsi" w:hAnsiTheme="minorHAnsi"/>
              </w:rPr>
              <w:t xml:space="preserve"> budowanej linii kablowej, za wyjątkiem pomiarów rezystancji i ciągłości żył kabla, które należy wykonywać dla każdego odcinka kabla.</w:t>
            </w:r>
          </w:p>
          <w:p w14:paraId="0D689F82" w14:textId="77777777" w:rsidR="00DB6B0E" w:rsidRPr="00A23FB4" w:rsidRDefault="00DB6B0E" w:rsidP="00CB3CD7">
            <w:pPr>
              <w:numPr>
                <w:ilvl w:val="12"/>
                <w:numId w:val="0"/>
              </w:numPr>
              <w:rPr>
                <w:rFonts w:asciiTheme="minorHAnsi" w:hAnsiTheme="minorHAnsi"/>
              </w:rPr>
            </w:pPr>
            <w:r w:rsidRPr="00A23FB4">
              <w:rPr>
                <w:rFonts w:asciiTheme="minorHAnsi" w:hAnsiTheme="minorHAnsi"/>
              </w:rPr>
              <w:t>Ponadto należy sprawdzić wskaźnik zagęszczenia gruntu nad kablem i rozplantowanie nadmiaru ziemi.</w:t>
            </w:r>
          </w:p>
          <w:p w14:paraId="01BBEF75" w14:textId="77777777" w:rsidR="00DB6B0E" w:rsidRPr="00A23FB4" w:rsidRDefault="00DB6B0E" w:rsidP="00DB6B0E">
            <w:pPr>
              <w:rPr>
                <w:rFonts w:asciiTheme="minorHAnsi" w:hAnsiTheme="minorHAnsi"/>
                <w:b/>
              </w:rPr>
            </w:pPr>
            <w:r w:rsidRPr="00A23FB4">
              <w:rPr>
                <w:rFonts w:asciiTheme="minorHAnsi" w:hAnsiTheme="minorHAnsi"/>
                <w:b/>
              </w:rPr>
              <w:t>6.5. Instalacja przeciwporażeniowa</w:t>
            </w:r>
          </w:p>
          <w:p w14:paraId="21DE1BF2" w14:textId="77777777" w:rsidR="00DB6B0E" w:rsidRPr="00A23FB4" w:rsidRDefault="00DB6B0E" w:rsidP="00DB6B0E">
            <w:pPr>
              <w:numPr>
                <w:ilvl w:val="12"/>
                <w:numId w:val="0"/>
              </w:numPr>
              <w:spacing w:before="120"/>
              <w:rPr>
                <w:rFonts w:asciiTheme="minorHAnsi" w:hAnsiTheme="minorHAnsi"/>
              </w:rPr>
            </w:pPr>
            <w:r w:rsidRPr="00A23FB4">
              <w:rPr>
                <w:rFonts w:asciiTheme="minorHAnsi" w:hAnsiTheme="minorHAnsi"/>
              </w:rPr>
              <w:t>Podczas wykonywania uziomów taśmowych należy wykonać pomiar głębokości ułożenia bednarki oraz sprawdzić stan połączeń spawanych, a po jej zasypaniu, sprawdzić wskaźnik zagęszczenia i rozplantowanie gruntu.</w:t>
            </w:r>
          </w:p>
          <w:p w14:paraId="60E2CE7C" w14:textId="77777777" w:rsidR="00DB6B0E" w:rsidRPr="00A23FB4" w:rsidRDefault="00DB6B0E" w:rsidP="00DB6B0E">
            <w:pPr>
              <w:numPr>
                <w:ilvl w:val="12"/>
                <w:numId w:val="0"/>
              </w:numPr>
              <w:spacing w:before="120"/>
              <w:rPr>
                <w:rFonts w:asciiTheme="minorHAnsi" w:hAnsiTheme="minorHAnsi"/>
              </w:rPr>
            </w:pPr>
            <w:r w:rsidRPr="00A23FB4">
              <w:rPr>
                <w:rFonts w:asciiTheme="minorHAnsi" w:hAnsiTheme="minorHAnsi"/>
              </w:rPr>
              <w:t xml:space="preserve">Pomiary głębokości ułożenia bednarki należy wykonywać co </w:t>
            </w:r>
            <w:smartTag w:uri="urn:schemas-microsoft-com:office:smarttags" w:element="metricconverter">
              <w:smartTagPr>
                <w:attr w:name="ProductID" w:val="10 m"/>
              </w:smartTagPr>
              <w:r w:rsidRPr="00A23FB4">
                <w:rPr>
                  <w:rFonts w:asciiTheme="minorHAnsi" w:hAnsiTheme="minorHAnsi"/>
                </w:rPr>
                <w:t>10 m</w:t>
              </w:r>
            </w:smartTag>
            <w:r w:rsidRPr="00A23FB4">
              <w:rPr>
                <w:rFonts w:asciiTheme="minorHAnsi" w:hAnsiTheme="minorHAnsi"/>
              </w:rPr>
              <w:t xml:space="preserve">, przy czym bednarka nie powinna być zakopana płycej niż </w:t>
            </w:r>
            <w:smartTag w:uri="urn:schemas-microsoft-com:office:smarttags" w:element="metricconverter">
              <w:smartTagPr>
                <w:attr w:name="ProductID" w:val="60 cm"/>
              </w:smartTagPr>
              <w:r w:rsidRPr="00A23FB4">
                <w:rPr>
                  <w:rFonts w:asciiTheme="minorHAnsi" w:hAnsiTheme="minorHAnsi"/>
                </w:rPr>
                <w:t>60 cm</w:t>
              </w:r>
            </w:smartTag>
            <w:r w:rsidRPr="00A23FB4">
              <w:rPr>
                <w:rFonts w:asciiTheme="minorHAnsi" w:hAnsiTheme="minorHAnsi"/>
              </w:rPr>
              <w:t>.</w:t>
            </w:r>
          </w:p>
          <w:p w14:paraId="78184508" w14:textId="77777777" w:rsidR="00DB6B0E" w:rsidRPr="00A23FB4" w:rsidRDefault="00DB6B0E" w:rsidP="00DB6B0E">
            <w:pPr>
              <w:numPr>
                <w:ilvl w:val="12"/>
                <w:numId w:val="0"/>
              </w:numPr>
              <w:spacing w:before="120"/>
              <w:rPr>
                <w:rFonts w:asciiTheme="minorHAnsi" w:hAnsiTheme="minorHAnsi"/>
              </w:rPr>
            </w:pPr>
            <w:r w:rsidRPr="00A23FB4">
              <w:rPr>
                <w:rFonts w:asciiTheme="minorHAnsi" w:hAnsiTheme="minorHAnsi"/>
              </w:rPr>
              <w:t>Wskaźnik zagęszczenia gruntu powinien być zgodny z wymaganiami podanymi w punkcie 5.2.</w:t>
            </w:r>
          </w:p>
          <w:p w14:paraId="561D49E1" w14:textId="77777777" w:rsidR="00DB6B0E" w:rsidRPr="00A23FB4" w:rsidRDefault="00DB6B0E" w:rsidP="00DB6B0E">
            <w:pPr>
              <w:numPr>
                <w:ilvl w:val="12"/>
                <w:numId w:val="0"/>
              </w:numPr>
              <w:spacing w:before="120"/>
              <w:rPr>
                <w:rFonts w:asciiTheme="minorHAnsi" w:hAnsiTheme="minorHAnsi"/>
              </w:rPr>
            </w:pPr>
            <w:r w:rsidRPr="00A23FB4">
              <w:rPr>
                <w:rFonts w:asciiTheme="minorHAnsi" w:hAnsiTheme="minorHAnsi"/>
              </w:rPr>
              <w:t>Po wykonaniu uziomów ochronnych należy wykonać pomiary ich rezystancji. Otrzymane wyniki nie mogą być gorsze od wartości podanych w dokumentacji projektowej.</w:t>
            </w:r>
          </w:p>
          <w:p w14:paraId="3CA80DE3" w14:textId="77777777" w:rsidR="00DB6B0E" w:rsidRPr="00A23FB4" w:rsidRDefault="00DB6B0E" w:rsidP="00DB6B0E">
            <w:pPr>
              <w:numPr>
                <w:ilvl w:val="12"/>
                <w:numId w:val="0"/>
              </w:numPr>
              <w:spacing w:before="120"/>
              <w:rPr>
                <w:rFonts w:asciiTheme="minorHAnsi" w:hAnsiTheme="minorHAnsi"/>
              </w:rPr>
            </w:pPr>
            <w:r w:rsidRPr="00A23FB4">
              <w:rPr>
                <w:rFonts w:asciiTheme="minorHAnsi" w:hAnsiTheme="minorHAnsi"/>
              </w:rPr>
              <w:t>Po wykonaniu instalacji oświetleniowej należy pomierzyć (przy zerowaniu) impedancje pętli zwarciowych dla stwierdzenia skuteczności zerowania.</w:t>
            </w:r>
          </w:p>
          <w:p w14:paraId="16298C71" w14:textId="77777777" w:rsidR="00DB6B0E" w:rsidRPr="00A23FB4" w:rsidRDefault="00DB6B0E" w:rsidP="00DB6B0E">
            <w:pPr>
              <w:numPr>
                <w:ilvl w:val="12"/>
                <w:numId w:val="0"/>
              </w:numPr>
              <w:spacing w:before="120" w:after="240"/>
              <w:rPr>
                <w:rFonts w:asciiTheme="minorHAnsi" w:hAnsiTheme="minorHAnsi"/>
              </w:rPr>
            </w:pPr>
            <w:r w:rsidRPr="00A23FB4">
              <w:rPr>
                <w:rFonts w:asciiTheme="minorHAnsi" w:hAnsiTheme="minorHAnsi"/>
              </w:rPr>
              <w:t>Wszystkie wyniki pomiarów należy zamieścić w protokóle pomiarowym ochrony przeciwporażeniowej.</w:t>
            </w:r>
          </w:p>
          <w:p w14:paraId="52FD8FC2" w14:textId="77777777" w:rsidR="00DB6B0E" w:rsidRPr="00A23FB4" w:rsidRDefault="00DB6B0E" w:rsidP="00DB6B0E">
            <w:pPr>
              <w:rPr>
                <w:rFonts w:asciiTheme="minorHAnsi" w:hAnsiTheme="minorHAnsi"/>
                <w:b/>
              </w:rPr>
            </w:pPr>
            <w:r w:rsidRPr="00A23FB4">
              <w:rPr>
                <w:rFonts w:asciiTheme="minorHAnsi" w:hAnsiTheme="minorHAnsi"/>
                <w:b/>
              </w:rPr>
              <w:t>6.7. Zasady postępowania z wadliwie wykonanymi elementami robót</w:t>
            </w:r>
          </w:p>
          <w:p w14:paraId="6480F4F8" w14:textId="4104AC34" w:rsidR="00DB6B0E" w:rsidRPr="00A23FB4" w:rsidRDefault="00DB6B0E" w:rsidP="00DB6B0E">
            <w:pPr>
              <w:numPr>
                <w:ilvl w:val="12"/>
                <w:numId w:val="0"/>
              </w:numPr>
              <w:spacing w:before="120"/>
              <w:rPr>
                <w:rFonts w:asciiTheme="minorHAnsi" w:hAnsiTheme="minorHAnsi"/>
              </w:rPr>
            </w:pPr>
            <w:r w:rsidRPr="00A23FB4">
              <w:rPr>
                <w:rFonts w:asciiTheme="minorHAnsi" w:hAnsiTheme="minorHAnsi"/>
              </w:rPr>
              <w:t xml:space="preserve">Wszystkie materiały nie spełniające wymagań ustalonych w odpowiednich punktach </w:t>
            </w:r>
            <w:r w:rsidR="00865C6C">
              <w:rPr>
                <w:rFonts w:asciiTheme="minorHAnsi" w:hAnsiTheme="minorHAnsi"/>
              </w:rPr>
              <w:t>ST</w:t>
            </w:r>
            <w:r w:rsidRPr="00A23FB4">
              <w:rPr>
                <w:rFonts w:asciiTheme="minorHAnsi" w:hAnsiTheme="minorHAnsi"/>
              </w:rPr>
              <w:t>WiORB zostaną przez Inżyniera odrzucone.</w:t>
            </w:r>
          </w:p>
          <w:p w14:paraId="4242B2B9" w14:textId="2825ABEA" w:rsidR="00DB6B0E" w:rsidRPr="00A23FB4" w:rsidRDefault="00DB6B0E" w:rsidP="00DB6B0E">
            <w:pPr>
              <w:numPr>
                <w:ilvl w:val="12"/>
                <w:numId w:val="0"/>
              </w:numPr>
              <w:spacing w:before="120"/>
              <w:rPr>
                <w:rFonts w:asciiTheme="minorHAnsi" w:hAnsiTheme="minorHAnsi"/>
              </w:rPr>
            </w:pPr>
            <w:r w:rsidRPr="00A23FB4">
              <w:rPr>
                <w:rFonts w:asciiTheme="minorHAnsi" w:hAnsiTheme="minorHAnsi"/>
              </w:rPr>
              <w:t xml:space="preserve">Wszystkie elementy robót, które wykazują odstępstwa od postanowień </w:t>
            </w:r>
            <w:r w:rsidR="00865C6C">
              <w:rPr>
                <w:rFonts w:asciiTheme="minorHAnsi" w:hAnsiTheme="minorHAnsi"/>
              </w:rPr>
              <w:t>ST</w:t>
            </w:r>
            <w:r w:rsidRPr="00A23FB4">
              <w:rPr>
                <w:rFonts w:asciiTheme="minorHAnsi" w:hAnsiTheme="minorHAnsi"/>
              </w:rPr>
              <w:t>WiORB zostaną rozebrane i ponownie wykonane na koszt Wykonawcy.</w:t>
            </w:r>
          </w:p>
          <w:p w14:paraId="13CF3AE0" w14:textId="77777777" w:rsidR="00DB6B0E" w:rsidRPr="00A23FB4" w:rsidRDefault="00DB6B0E" w:rsidP="00DB6B0E">
            <w:pPr>
              <w:rPr>
                <w:rFonts w:asciiTheme="minorHAnsi" w:hAnsiTheme="minorHAnsi"/>
                <w:b/>
              </w:rPr>
            </w:pPr>
          </w:p>
          <w:p w14:paraId="3B9EB4D4" w14:textId="77777777" w:rsidR="00DB6B0E" w:rsidRPr="00A23FB4" w:rsidRDefault="00DB6B0E" w:rsidP="00DB6B0E">
            <w:pPr>
              <w:spacing w:after="240"/>
              <w:rPr>
                <w:rFonts w:asciiTheme="minorHAnsi" w:hAnsiTheme="minorHAnsi"/>
                <w:b/>
                <w:caps/>
              </w:rPr>
            </w:pPr>
            <w:r w:rsidRPr="00A23FB4">
              <w:rPr>
                <w:rFonts w:asciiTheme="minorHAnsi" w:hAnsiTheme="minorHAnsi"/>
                <w:b/>
              </w:rPr>
              <w:t>7. OBMIAR ROBÓT</w:t>
            </w:r>
          </w:p>
          <w:p w14:paraId="3985233E" w14:textId="77777777" w:rsidR="00CB3CD7" w:rsidRDefault="00CB3CD7" w:rsidP="00CB3CD7">
            <w:pPr>
              <w:numPr>
                <w:ilvl w:val="12"/>
                <w:numId w:val="0"/>
              </w:numPr>
              <w:rPr>
                <w:rFonts w:asciiTheme="minorHAnsi" w:hAnsiTheme="minorHAnsi"/>
              </w:rPr>
            </w:pPr>
            <w:r>
              <w:rPr>
                <w:rFonts w:asciiTheme="minorHAnsi" w:hAnsiTheme="minorHAnsi"/>
              </w:rPr>
              <w:t>Kontrakt ryczałtowy</w:t>
            </w:r>
          </w:p>
          <w:p w14:paraId="5F004C9E" w14:textId="598E0C92" w:rsidR="00DB6B0E" w:rsidRPr="00A23FB4" w:rsidRDefault="00DB6B0E" w:rsidP="00CB3CD7">
            <w:pPr>
              <w:numPr>
                <w:ilvl w:val="12"/>
                <w:numId w:val="0"/>
              </w:numPr>
              <w:rPr>
                <w:rFonts w:asciiTheme="minorHAnsi" w:hAnsiTheme="minorHAnsi"/>
              </w:rPr>
            </w:pPr>
            <w:r w:rsidRPr="00A23FB4">
              <w:rPr>
                <w:rFonts w:asciiTheme="minorHAnsi" w:hAnsiTheme="minorHAnsi"/>
              </w:rPr>
              <w:t xml:space="preserve">Ogólne zasady obmiaru robót podano w </w:t>
            </w:r>
            <w:r w:rsidR="00865C6C">
              <w:rPr>
                <w:rFonts w:asciiTheme="minorHAnsi" w:hAnsiTheme="minorHAnsi"/>
              </w:rPr>
              <w:t>ST</w:t>
            </w:r>
            <w:r w:rsidRPr="00A23FB4">
              <w:rPr>
                <w:rFonts w:asciiTheme="minorHAnsi" w:hAnsiTheme="minorHAnsi"/>
              </w:rPr>
              <w:t>WiORB D-M-00.00.00.00 „Wymagania ogólne” pkt 7.</w:t>
            </w:r>
          </w:p>
          <w:p w14:paraId="15E4A395" w14:textId="77777777" w:rsidR="00DB6B0E" w:rsidRPr="00A23FB4" w:rsidRDefault="00DB6B0E" w:rsidP="00DB6B0E">
            <w:pPr>
              <w:numPr>
                <w:ilvl w:val="12"/>
                <w:numId w:val="0"/>
              </w:numPr>
              <w:spacing w:before="120"/>
              <w:rPr>
                <w:rFonts w:asciiTheme="minorHAnsi" w:hAnsiTheme="minorHAnsi"/>
              </w:rPr>
            </w:pPr>
          </w:p>
          <w:p w14:paraId="7F6453E1" w14:textId="77777777" w:rsidR="00DB6B0E" w:rsidRPr="00A23FB4" w:rsidRDefault="00DB6B0E" w:rsidP="00DB6B0E">
            <w:pPr>
              <w:spacing w:after="240"/>
              <w:rPr>
                <w:rFonts w:asciiTheme="minorHAnsi" w:hAnsiTheme="minorHAnsi"/>
                <w:b/>
                <w:caps/>
              </w:rPr>
            </w:pPr>
            <w:r w:rsidRPr="00A23FB4">
              <w:rPr>
                <w:rFonts w:asciiTheme="minorHAnsi" w:hAnsiTheme="minorHAnsi"/>
                <w:b/>
              </w:rPr>
              <w:t>8. ODBIÓR ROBÓT</w:t>
            </w:r>
          </w:p>
          <w:p w14:paraId="46F2ED40" w14:textId="77777777" w:rsidR="00DB6B0E" w:rsidRPr="00A23FB4" w:rsidRDefault="00DB6B0E" w:rsidP="00DB6B0E">
            <w:pPr>
              <w:rPr>
                <w:rFonts w:asciiTheme="minorHAnsi" w:hAnsiTheme="minorHAnsi"/>
                <w:b/>
              </w:rPr>
            </w:pPr>
            <w:r w:rsidRPr="00A23FB4">
              <w:rPr>
                <w:rFonts w:asciiTheme="minorHAnsi" w:hAnsiTheme="minorHAnsi"/>
                <w:b/>
              </w:rPr>
              <w:t>8.1. Ogólne zasady odbioru robót</w:t>
            </w:r>
          </w:p>
          <w:p w14:paraId="70849CAB" w14:textId="3254DE6B" w:rsidR="00DB6B0E" w:rsidRPr="00A23FB4" w:rsidRDefault="00DB6B0E" w:rsidP="00DB6B0E">
            <w:pPr>
              <w:pStyle w:val="tekstost"/>
              <w:numPr>
                <w:ilvl w:val="12"/>
                <w:numId w:val="0"/>
              </w:numPr>
              <w:spacing w:before="120"/>
              <w:jc w:val="left"/>
              <w:rPr>
                <w:rFonts w:asciiTheme="minorHAnsi" w:hAnsiTheme="minorHAnsi"/>
              </w:rPr>
            </w:pPr>
            <w:r w:rsidRPr="00A23FB4">
              <w:rPr>
                <w:rFonts w:asciiTheme="minorHAnsi" w:hAnsiTheme="minorHAnsi"/>
              </w:rPr>
              <w:t xml:space="preserve">Ogólne zasady odbioru robót podano w  </w:t>
            </w:r>
            <w:r w:rsidR="00865C6C">
              <w:rPr>
                <w:rFonts w:asciiTheme="minorHAnsi" w:hAnsiTheme="minorHAnsi"/>
              </w:rPr>
              <w:t>ST</w:t>
            </w:r>
            <w:r w:rsidRPr="00A23FB4">
              <w:rPr>
                <w:rFonts w:asciiTheme="minorHAnsi" w:hAnsiTheme="minorHAnsi"/>
              </w:rPr>
              <w:t>WiORB D-M-00.00.00.00 „Wymagania ogólne” pkt 8.</w:t>
            </w:r>
          </w:p>
          <w:p w14:paraId="2A7B45F5" w14:textId="3479627D" w:rsidR="00DB6B0E" w:rsidRPr="00A23FB4" w:rsidRDefault="00DB6B0E" w:rsidP="00DB6B0E">
            <w:pPr>
              <w:pStyle w:val="tekstost"/>
              <w:numPr>
                <w:ilvl w:val="12"/>
                <w:numId w:val="0"/>
              </w:numPr>
              <w:spacing w:before="120" w:after="240"/>
              <w:jc w:val="left"/>
              <w:rPr>
                <w:rFonts w:asciiTheme="minorHAnsi" w:hAnsiTheme="minorHAnsi"/>
              </w:rPr>
            </w:pPr>
            <w:r w:rsidRPr="00A23FB4">
              <w:rPr>
                <w:rFonts w:asciiTheme="minorHAnsi" w:hAnsiTheme="minorHAnsi"/>
              </w:rPr>
              <w:t xml:space="preserve">Roboty uznaje się za wykonane zgodnie z dokumentacją projektową, </w:t>
            </w:r>
            <w:r w:rsidR="00865C6C">
              <w:rPr>
                <w:rFonts w:asciiTheme="minorHAnsi" w:hAnsiTheme="minorHAnsi"/>
              </w:rPr>
              <w:t>ST</w:t>
            </w:r>
            <w:r w:rsidRPr="00A23FB4">
              <w:rPr>
                <w:rFonts w:asciiTheme="minorHAnsi" w:hAnsiTheme="minorHAnsi"/>
              </w:rPr>
              <w:t>WiORB i wymaganiami Inżyniera, jeżeli wszystkie pomiary i badania z zachowaniem tolerancji wg pkt 6 dały wyniki pozytywne.</w:t>
            </w:r>
          </w:p>
          <w:p w14:paraId="563788F7" w14:textId="77777777" w:rsidR="00DB6B0E" w:rsidRPr="00A23FB4" w:rsidRDefault="00DB6B0E" w:rsidP="00DB6B0E">
            <w:pPr>
              <w:rPr>
                <w:rFonts w:asciiTheme="minorHAnsi" w:hAnsiTheme="minorHAnsi"/>
                <w:b/>
              </w:rPr>
            </w:pPr>
            <w:r w:rsidRPr="00A23FB4">
              <w:rPr>
                <w:rFonts w:asciiTheme="minorHAnsi" w:hAnsiTheme="minorHAnsi"/>
                <w:b/>
              </w:rPr>
              <w:t>8.2. Odbiór robót zanikających i ulegających zakryciu</w:t>
            </w:r>
          </w:p>
          <w:p w14:paraId="2B8E5814" w14:textId="77777777" w:rsidR="00DB6B0E" w:rsidRPr="00A23FB4" w:rsidRDefault="00DB6B0E" w:rsidP="00CB3CD7">
            <w:pPr>
              <w:numPr>
                <w:ilvl w:val="12"/>
                <w:numId w:val="0"/>
              </w:numPr>
              <w:rPr>
                <w:rFonts w:asciiTheme="minorHAnsi" w:hAnsiTheme="minorHAnsi"/>
              </w:rPr>
            </w:pPr>
            <w:r w:rsidRPr="00A23FB4">
              <w:rPr>
                <w:rFonts w:asciiTheme="minorHAnsi" w:hAnsiTheme="minorHAnsi"/>
              </w:rPr>
              <w:t>Odbiorowi robót zanikających i ulegających zakryciu podlegają:</w:t>
            </w:r>
          </w:p>
          <w:p w14:paraId="0ED5C3C5" w14:textId="77777777" w:rsidR="00DB6B0E" w:rsidRPr="00A23FB4" w:rsidRDefault="00DB6B0E" w:rsidP="00262498">
            <w:pPr>
              <w:numPr>
                <w:ilvl w:val="0"/>
                <w:numId w:val="186"/>
              </w:numPr>
              <w:overflowPunct/>
              <w:autoSpaceDE/>
              <w:autoSpaceDN/>
              <w:adjustRightInd/>
              <w:jc w:val="left"/>
              <w:textAlignment w:val="auto"/>
              <w:rPr>
                <w:rFonts w:asciiTheme="minorHAnsi" w:hAnsiTheme="minorHAnsi"/>
              </w:rPr>
            </w:pPr>
            <w:r w:rsidRPr="00A23FB4">
              <w:rPr>
                <w:rFonts w:asciiTheme="minorHAnsi" w:hAnsiTheme="minorHAnsi"/>
              </w:rPr>
              <w:t>wykopy pod fundamenty i kable,</w:t>
            </w:r>
          </w:p>
          <w:p w14:paraId="39C42180" w14:textId="77777777" w:rsidR="00DB6B0E" w:rsidRPr="00A23FB4" w:rsidRDefault="00DB6B0E" w:rsidP="00262498">
            <w:pPr>
              <w:numPr>
                <w:ilvl w:val="0"/>
                <w:numId w:val="186"/>
              </w:numPr>
              <w:overflowPunct/>
              <w:autoSpaceDE/>
              <w:autoSpaceDN/>
              <w:adjustRightInd/>
              <w:jc w:val="left"/>
              <w:textAlignment w:val="auto"/>
              <w:rPr>
                <w:rFonts w:asciiTheme="minorHAnsi" w:hAnsiTheme="minorHAnsi"/>
              </w:rPr>
            </w:pPr>
            <w:r w:rsidRPr="00A23FB4">
              <w:rPr>
                <w:rFonts w:asciiTheme="minorHAnsi" w:hAnsiTheme="minorHAnsi"/>
              </w:rPr>
              <w:t>wykonanie fundamentów i ustojów,</w:t>
            </w:r>
          </w:p>
          <w:p w14:paraId="34460989" w14:textId="77777777" w:rsidR="00DB6B0E" w:rsidRPr="00A23FB4" w:rsidRDefault="00DB6B0E" w:rsidP="00262498">
            <w:pPr>
              <w:numPr>
                <w:ilvl w:val="0"/>
                <w:numId w:val="186"/>
              </w:numPr>
              <w:overflowPunct/>
              <w:autoSpaceDE/>
              <w:autoSpaceDN/>
              <w:adjustRightInd/>
              <w:jc w:val="left"/>
              <w:textAlignment w:val="auto"/>
              <w:rPr>
                <w:rFonts w:asciiTheme="minorHAnsi" w:hAnsiTheme="minorHAnsi"/>
              </w:rPr>
            </w:pPr>
            <w:r w:rsidRPr="00A23FB4">
              <w:rPr>
                <w:rFonts w:asciiTheme="minorHAnsi" w:hAnsiTheme="minorHAnsi"/>
              </w:rPr>
              <w:t>ułożenie kabla z wykonaniem podsypki pod i nad kablem,</w:t>
            </w:r>
          </w:p>
          <w:p w14:paraId="7DE8A508" w14:textId="77777777" w:rsidR="00DB6B0E" w:rsidRPr="00A23FB4" w:rsidRDefault="00DB6B0E" w:rsidP="00262498">
            <w:pPr>
              <w:numPr>
                <w:ilvl w:val="0"/>
                <w:numId w:val="186"/>
              </w:numPr>
              <w:overflowPunct/>
              <w:autoSpaceDE/>
              <w:autoSpaceDN/>
              <w:adjustRightInd/>
              <w:jc w:val="left"/>
              <w:textAlignment w:val="auto"/>
              <w:rPr>
                <w:rFonts w:asciiTheme="minorHAnsi" w:hAnsiTheme="minorHAnsi"/>
              </w:rPr>
            </w:pPr>
            <w:r w:rsidRPr="00A23FB4">
              <w:rPr>
                <w:rFonts w:asciiTheme="minorHAnsi" w:hAnsiTheme="minorHAnsi"/>
              </w:rPr>
              <w:t>wykonanie uziomów taśmowych.</w:t>
            </w:r>
          </w:p>
          <w:p w14:paraId="6110230F" w14:textId="77777777" w:rsidR="00DB6B0E" w:rsidRPr="00A23FB4" w:rsidRDefault="00DB6B0E" w:rsidP="00DB6B0E">
            <w:pPr>
              <w:rPr>
                <w:rFonts w:asciiTheme="minorHAnsi" w:hAnsiTheme="minorHAnsi"/>
                <w:b/>
              </w:rPr>
            </w:pPr>
            <w:r w:rsidRPr="00A23FB4">
              <w:rPr>
                <w:rFonts w:asciiTheme="minorHAnsi" w:hAnsiTheme="minorHAnsi"/>
                <w:b/>
              </w:rPr>
              <w:t>8.3. Dokumenty do odbioru końcowego robót</w:t>
            </w:r>
          </w:p>
          <w:p w14:paraId="431DD9BB" w14:textId="71B7938A" w:rsidR="00DB6B0E" w:rsidRPr="00A23FB4" w:rsidRDefault="00DB6B0E" w:rsidP="00CB3CD7">
            <w:pPr>
              <w:numPr>
                <w:ilvl w:val="12"/>
                <w:numId w:val="0"/>
              </w:numPr>
              <w:rPr>
                <w:rFonts w:asciiTheme="minorHAnsi" w:hAnsiTheme="minorHAnsi"/>
              </w:rPr>
            </w:pPr>
            <w:r w:rsidRPr="00A23FB4">
              <w:rPr>
                <w:rFonts w:asciiTheme="minorHAnsi" w:hAnsiTheme="minorHAnsi"/>
              </w:rPr>
              <w:t xml:space="preserve">Do odbioru końcowego Wykonawca jest zobowiązany przygotować, oprócz dokumentów wymienionych w punkcie 8.5 </w:t>
            </w:r>
            <w:r w:rsidR="00865C6C">
              <w:rPr>
                <w:rFonts w:asciiTheme="minorHAnsi" w:hAnsiTheme="minorHAnsi"/>
              </w:rPr>
              <w:t>ST</w:t>
            </w:r>
            <w:r w:rsidRPr="00A23FB4">
              <w:rPr>
                <w:rFonts w:asciiTheme="minorHAnsi" w:hAnsiTheme="minorHAnsi"/>
              </w:rPr>
              <w:t>WiORB D-M-00.00.00.00 „Wymagania ogólne”:</w:t>
            </w:r>
          </w:p>
          <w:p w14:paraId="6B36A842" w14:textId="77777777" w:rsidR="00DB6B0E" w:rsidRPr="00A23FB4" w:rsidRDefault="00DB6B0E" w:rsidP="00262498">
            <w:pPr>
              <w:numPr>
                <w:ilvl w:val="0"/>
                <w:numId w:val="186"/>
              </w:numPr>
              <w:overflowPunct/>
              <w:autoSpaceDE/>
              <w:autoSpaceDN/>
              <w:adjustRightInd/>
              <w:jc w:val="left"/>
              <w:textAlignment w:val="auto"/>
              <w:rPr>
                <w:rFonts w:asciiTheme="minorHAnsi" w:hAnsiTheme="minorHAnsi"/>
              </w:rPr>
            </w:pPr>
            <w:r w:rsidRPr="00A23FB4">
              <w:rPr>
                <w:rFonts w:asciiTheme="minorHAnsi" w:hAnsiTheme="minorHAnsi"/>
              </w:rPr>
              <w:t>geodezyjną dokumentację powykonawczą,</w:t>
            </w:r>
          </w:p>
          <w:p w14:paraId="2AE1D733" w14:textId="77777777" w:rsidR="00DB6B0E" w:rsidRPr="00A23FB4" w:rsidRDefault="00DB6B0E" w:rsidP="00262498">
            <w:pPr>
              <w:numPr>
                <w:ilvl w:val="0"/>
                <w:numId w:val="186"/>
              </w:numPr>
              <w:overflowPunct/>
              <w:autoSpaceDE/>
              <w:autoSpaceDN/>
              <w:adjustRightInd/>
              <w:jc w:val="left"/>
              <w:textAlignment w:val="auto"/>
              <w:rPr>
                <w:rFonts w:asciiTheme="minorHAnsi" w:hAnsiTheme="minorHAnsi"/>
              </w:rPr>
            </w:pPr>
            <w:r w:rsidRPr="00A23FB4">
              <w:rPr>
                <w:rFonts w:asciiTheme="minorHAnsi" w:hAnsiTheme="minorHAnsi"/>
              </w:rPr>
              <w:t>protokóły z dokonanych pomiarów skuteczności zerowania zastosowanej ochrony przeciwporażeniowej.</w:t>
            </w:r>
          </w:p>
          <w:p w14:paraId="350996AC" w14:textId="77777777" w:rsidR="00DB6B0E" w:rsidRPr="00A23FB4" w:rsidRDefault="00DB6B0E" w:rsidP="00DB6B0E">
            <w:pPr>
              <w:spacing w:after="240"/>
              <w:rPr>
                <w:rFonts w:asciiTheme="minorHAnsi" w:hAnsiTheme="minorHAnsi"/>
                <w:b/>
                <w:caps/>
              </w:rPr>
            </w:pPr>
            <w:r w:rsidRPr="00A23FB4">
              <w:rPr>
                <w:rFonts w:asciiTheme="minorHAnsi" w:hAnsiTheme="minorHAnsi"/>
                <w:b/>
              </w:rPr>
              <w:t>9. PODSTAWA PŁATNOŚCI</w:t>
            </w:r>
          </w:p>
          <w:p w14:paraId="57DEE55F" w14:textId="77777777" w:rsidR="00CB3CD7" w:rsidRDefault="00CB3CD7" w:rsidP="00CB3CD7">
            <w:pPr>
              <w:numPr>
                <w:ilvl w:val="12"/>
                <w:numId w:val="0"/>
              </w:numPr>
              <w:rPr>
                <w:rFonts w:asciiTheme="minorHAnsi" w:hAnsiTheme="minorHAnsi"/>
              </w:rPr>
            </w:pPr>
            <w:r>
              <w:rPr>
                <w:rFonts w:asciiTheme="minorHAnsi" w:hAnsiTheme="minorHAnsi"/>
              </w:rPr>
              <w:t>Kontrakt ryczałtowy</w:t>
            </w:r>
          </w:p>
          <w:p w14:paraId="51D3799D" w14:textId="193315FA" w:rsidR="00DB6B0E" w:rsidRPr="00A23FB4" w:rsidRDefault="00DB6B0E" w:rsidP="00CB3CD7">
            <w:pPr>
              <w:numPr>
                <w:ilvl w:val="12"/>
                <w:numId w:val="0"/>
              </w:numPr>
              <w:rPr>
                <w:rFonts w:asciiTheme="minorHAnsi" w:hAnsiTheme="minorHAnsi"/>
              </w:rPr>
            </w:pPr>
            <w:r w:rsidRPr="00A23FB4">
              <w:rPr>
                <w:rFonts w:asciiTheme="minorHAnsi" w:hAnsiTheme="minorHAnsi"/>
              </w:rPr>
              <w:t xml:space="preserve">Ogólne ustalenia dotyczące podstawy płatności podano w </w:t>
            </w:r>
            <w:r w:rsidR="00865C6C">
              <w:rPr>
                <w:rFonts w:asciiTheme="minorHAnsi" w:hAnsiTheme="minorHAnsi"/>
              </w:rPr>
              <w:t>ST</w:t>
            </w:r>
            <w:r w:rsidRPr="00A23FB4">
              <w:rPr>
                <w:rFonts w:asciiTheme="minorHAnsi" w:hAnsiTheme="minorHAnsi"/>
              </w:rPr>
              <w:t>WiORB D-M-00.00.00.00 „Wymagania ogólne” pkt 9.</w:t>
            </w:r>
          </w:p>
          <w:p w14:paraId="7D77242C" w14:textId="77777777" w:rsidR="00DB6B0E" w:rsidRPr="00A23FB4" w:rsidRDefault="00DB6B0E" w:rsidP="00DB6B0E">
            <w:pPr>
              <w:rPr>
                <w:rFonts w:asciiTheme="minorHAnsi" w:hAnsiTheme="minorHAnsi"/>
                <w:b/>
              </w:rPr>
            </w:pPr>
          </w:p>
          <w:p w14:paraId="5EB3A96A" w14:textId="77777777" w:rsidR="00DB6B0E" w:rsidRPr="00A23FB4" w:rsidRDefault="00DB6B0E" w:rsidP="00DB6B0E">
            <w:pPr>
              <w:spacing w:before="120"/>
            </w:pPr>
            <w:r w:rsidRPr="00A23FB4">
              <w:rPr>
                <w:rFonts w:asciiTheme="minorHAnsi" w:hAnsiTheme="minorHAnsi"/>
                <w:b/>
              </w:rPr>
              <w:t>10. PRZEPISY ZWIĄZANE</w:t>
            </w:r>
          </w:p>
          <w:p w14:paraId="2D77240C" w14:textId="77777777" w:rsidR="00DB6B0E" w:rsidRPr="00A23FB4" w:rsidRDefault="00DB6B0E" w:rsidP="00DB6B0E">
            <w:pPr>
              <w:pStyle w:val="Podtytu"/>
              <w:spacing w:before="120"/>
              <w:rPr>
                <w:rFonts w:asciiTheme="minorHAnsi" w:hAnsiTheme="minorHAnsi"/>
                <w:b w:val="0"/>
                <w:i/>
                <w:sz w:val="20"/>
                <w:szCs w:val="20"/>
              </w:rPr>
            </w:pPr>
            <w:r w:rsidRPr="00A23FB4">
              <w:rPr>
                <w:rFonts w:asciiTheme="minorHAnsi" w:hAnsiTheme="minorHAnsi"/>
                <w:sz w:val="20"/>
                <w:szCs w:val="20"/>
              </w:rPr>
              <w:t>10.1. Normy</w:t>
            </w:r>
          </w:p>
          <w:p w14:paraId="4EAEA059" w14:textId="77777777" w:rsidR="00DB6B0E" w:rsidRPr="00B93A39" w:rsidRDefault="00DB6B0E" w:rsidP="00DB6B0E">
            <w:pPr>
              <w:tabs>
                <w:tab w:val="left" w:pos="255"/>
              </w:tabs>
              <w:spacing w:before="120"/>
              <w:rPr>
                <w:rFonts w:ascii="Calibri" w:hAnsi="Calibri"/>
                <w:sz w:val="18"/>
                <w:szCs w:val="18"/>
              </w:rPr>
            </w:pPr>
            <w:r w:rsidRPr="00B93A39">
              <w:rPr>
                <w:rFonts w:ascii="Calibri" w:hAnsi="Calibri"/>
                <w:sz w:val="18"/>
                <w:szCs w:val="18"/>
              </w:rPr>
              <w:t xml:space="preserve">[1] PKN-CEN/TR 13201-1:2004 Oświetlenie dróg. Część1: Wybór klas oświetlenia </w:t>
            </w:r>
          </w:p>
          <w:p w14:paraId="1C4A54D2" w14:textId="77777777" w:rsidR="00DB6B0E" w:rsidRPr="00B93A39" w:rsidRDefault="00DB6B0E" w:rsidP="00DB6B0E">
            <w:pPr>
              <w:tabs>
                <w:tab w:val="left" w:pos="255"/>
              </w:tabs>
              <w:spacing w:before="120"/>
              <w:rPr>
                <w:rFonts w:ascii="Calibri" w:hAnsi="Calibri"/>
                <w:sz w:val="18"/>
                <w:szCs w:val="18"/>
              </w:rPr>
            </w:pPr>
            <w:r w:rsidRPr="00B93A39">
              <w:rPr>
                <w:rFonts w:ascii="Calibri" w:hAnsi="Calibri"/>
                <w:sz w:val="18"/>
                <w:szCs w:val="18"/>
              </w:rPr>
              <w:t xml:space="preserve">[2] PN-EN 13201-2:2005 Oświetlenie dróg. Część2: Wymagania oświetleniowe </w:t>
            </w:r>
          </w:p>
          <w:p w14:paraId="6AA4B1A3" w14:textId="77777777" w:rsidR="00DB6B0E" w:rsidRPr="00B93A39" w:rsidRDefault="00DB6B0E" w:rsidP="00DB6B0E">
            <w:pPr>
              <w:tabs>
                <w:tab w:val="left" w:pos="255"/>
              </w:tabs>
              <w:spacing w:before="120"/>
              <w:rPr>
                <w:rFonts w:ascii="Calibri" w:hAnsi="Calibri"/>
                <w:sz w:val="18"/>
                <w:szCs w:val="18"/>
              </w:rPr>
            </w:pPr>
            <w:r w:rsidRPr="00B93A39">
              <w:rPr>
                <w:rFonts w:ascii="Calibri" w:hAnsi="Calibri"/>
                <w:sz w:val="18"/>
                <w:szCs w:val="18"/>
              </w:rPr>
              <w:t xml:space="preserve">[3] PN-EN 13201-3:2005 Oświetlenie dróg. Część3: Obliczenia oświetleniowe </w:t>
            </w:r>
          </w:p>
          <w:p w14:paraId="4B3FA0A4" w14:textId="77777777" w:rsidR="00DB6B0E" w:rsidRPr="00B93A39" w:rsidRDefault="00DB6B0E" w:rsidP="00DB6B0E">
            <w:pPr>
              <w:tabs>
                <w:tab w:val="left" w:pos="255"/>
              </w:tabs>
              <w:spacing w:before="120"/>
              <w:rPr>
                <w:rFonts w:ascii="Calibri" w:hAnsi="Calibri"/>
                <w:sz w:val="18"/>
                <w:szCs w:val="18"/>
              </w:rPr>
            </w:pPr>
            <w:r w:rsidRPr="00B93A39">
              <w:rPr>
                <w:rFonts w:ascii="Calibri" w:hAnsi="Calibri"/>
                <w:sz w:val="18"/>
                <w:szCs w:val="18"/>
              </w:rPr>
              <w:t xml:space="preserve">[4] PN-EN 13201-4:2005 Oświetlenie dróg. Część4: Metody pomiarów parametrów oświetlenia </w:t>
            </w:r>
          </w:p>
          <w:p w14:paraId="63029907" w14:textId="77777777" w:rsidR="00DB6B0E" w:rsidRPr="00B93A39" w:rsidRDefault="00DB6B0E" w:rsidP="00DB6B0E">
            <w:pPr>
              <w:tabs>
                <w:tab w:val="left" w:pos="255"/>
              </w:tabs>
              <w:spacing w:before="120"/>
              <w:rPr>
                <w:rFonts w:ascii="Calibri" w:hAnsi="Calibri"/>
                <w:sz w:val="18"/>
                <w:szCs w:val="18"/>
              </w:rPr>
            </w:pPr>
            <w:r w:rsidRPr="00B93A39">
              <w:rPr>
                <w:rFonts w:ascii="Calibri" w:hAnsi="Calibri"/>
                <w:sz w:val="18"/>
                <w:szCs w:val="18"/>
              </w:rPr>
              <w:t xml:space="preserve">[5] PN-EN 12464-2 Światło i oświetlenie - Oświetlenie miejsc pracy -- Część 2: Miejsca pracy na zewnątrz </w:t>
            </w:r>
          </w:p>
          <w:p w14:paraId="75B59F7F" w14:textId="77777777" w:rsidR="00DB6B0E" w:rsidRPr="00B93A39" w:rsidRDefault="00DB6B0E" w:rsidP="00DB6B0E">
            <w:pPr>
              <w:tabs>
                <w:tab w:val="left" w:pos="255"/>
              </w:tabs>
              <w:spacing w:before="120"/>
              <w:rPr>
                <w:rFonts w:ascii="Calibri" w:hAnsi="Calibri"/>
                <w:sz w:val="18"/>
                <w:szCs w:val="18"/>
              </w:rPr>
            </w:pPr>
            <w:r w:rsidRPr="00B93A39">
              <w:rPr>
                <w:rFonts w:ascii="Calibri" w:hAnsi="Calibri"/>
                <w:sz w:val="18"/>
                <w:szCs w:val="18"/>
              </w:rPr>
              <w:t xml:space="preserve">[6] N SEP-E-004 Elektroenergetyczne i sygnalizacyjne linie kablowe. Projektowanie i budowa </w:t>
            </w:r>
          </w:p>
          <w:p w14:paraId="53B4B1F0" w14:textId="77777777" w:rsidR="00DB6B0E" w:rsidRPr="00B93A39" w:rsidRDefault="00DB6B0E" w:rsidP="00DB6B0E">
            <w:pPr>
              <w:tabs>
                <w:tab w:val="left" w:pos="255"/>
              </w:tabs>
              <w:spacing w:before="120"/>
              <w:rPr>
                <w:rFonts w:ascii="Calibri" w:hAnsi="Calibri"/>
                <w:sz w:val="18"/>
                <w:szCs w:val="18"/>
              </w:rPr>
            </w:pPr>
            <w:r w:rsidRPr="00B93A39">
              <w:rPr>
                <w:rFonts w:ascii="Calibri" w:hAnsi="Calibri"/>
                <w:sz w:val="18"/>
                <w:szCs w:val="18"/>
              </w:rPr>
              <w:t xml:space="preserve">[7] N-SEP-E-001 Sieci elektroenergetyczne niskiego napięcia. Ochrona przeciwporażeniowa. </w:t>
            </w:r>
          </w:p>
          <w:p w14:paraId="561B261E" w14:textId="77777777" w:rsidR="00DB6B0E" w:rsidRPr="00B93A39" w:rsidRDefault="00DB6B0E" w:rsidP="00DB6B0E">
            <w:pPr>
              <w:tabs>
                <w:tab w:val="left" w:pos="255"/>
              </w:tabs>
              <w:spacing w:before="120"/>
              <w:rPr>
                <w:rFonts w:ascii="Calibri" w:hAnsi="Calibri"/>
                <w:sz w:val="18"/>
                <w:szCs w:val="18"/>
              </w:rPr>
            </w:pPr>
            <w:r w:rsidRPr="00B93A39">
              <w:rPr>
                <w:rFonts w:ascii="Calibri" w:hAnsi="Calibri"/>
                <w:sz w:val="18"/>
                <w:szCs w:val="18"/>
              </w:rPr>
              <w:t xml:space="preserve">[8] PN-EN 40-1:2002 Słupy oświetleniowe - Terminy i definicje </w:t>
            </w:r>
          </w:p>
          <w:p w14:paraId="6A92363F" w14:textId="77777777" w:rsidR="00DB6B0E" w:rsidRPr="00B93A39" w:rsidRDefault="00DB6B0E" w:rsidP="00DB6B0E">
            <w:pPr>
              <w:tabs>
                <w:tab w:val="left" w:pos="255"/>
              </w:tabs>
              <w:spacing w:before="120"/>
              <w:rPr>
                <w:rFonts w:ascii="Calibri" w:hAnsi="Calibri"/>
                <w:sz w:val="18"/>
                <w:szCs w:val="18"/>
              </w:rPr>
            </w:pPr>
            <w:r w:rsidRPr="00B93A39">
              <w:rPr>
                <w:rFonts w:ascii="Calibri" w:hAnsi="Calibri"/>
                <w:sz w:val="18"/>
                <w:szCs w:val="18"/>
              </w:rPr>
              <w:t xml:space="preserve">[9] PN-EN 40-2:2005 Słupy oświetleniowe. Część 2: Wymagania ogólne i wymiary. </w:t>
            </w:r>
          </w:p>
          <w:p w14:paraId="0637F791" w14:textId="77777777" w:rsidR="00DB6B0E" w:rsidRPr="00B93A39" w:rsidRDefault="00DB6B0E" w:rsidP="00DB6B0E">
            <w:pPr>
              <w:tabs>
                <w:tab w:val="left" w:pos="255"/>
              </w:tabs>
              <w:spacing w:before="120"/>
              <w:rPr>
                <w:rFonts w:ascii="Calibri" w:hAnsi="Calibri"/>
                <w:sz w:val="18"/>
                <w:szCs w:val="18"/>
              </w:rPr>
            </w:pPr>
            <w:r w:rsidRPr="00B93A39">
              <w:rPr>
                <w:rFonts w:ascii="Calibri" w:hAnsi="Calibri"/>
                <w:sz w:val="18"/>
                <w:szCs w:val="18"/>
              </w:rPr>
              <w:t xml:space="preserve">[10]PN-EN40-3-1:2004 Słupy oświetleniowe Część 3-1: Projektowanie i weryfikacja Specyfikacja obciążeń charakterystycznych. </w:t>
            </w:r>
          </w:p>
          <w:p w14:paraId="2C211FA3" w14:textId="77777777" w:rsidR="00DB6B0E" w:rsidRPr="00B93A39" w:rsidRDefault="00DB6B0E" w:rsidP="00DB6B0E">
            <w:pPr>
              <w:tabs>
                <w:tab w:val="left" w:pos="255"/>
              </w:tabs>
              <w:spacing w:before="120"/>
              <w:rPr>
                <w:rFonts w:ascii="Calibri" w:hAnsi="Calibri"/>
                <w:sz w:val="18"/>
                <w:szCs w:val="18"/>
              </w:rPr>
            </w:pPr>
            <w:r w:rsidRPr="00B93A39">
              <w:rPr>
                <w:rFonts w:ascii="Calibri" w:hAnsi="Calibri"/>
                <w:sz w:val="18"/>
                <w:szCs w:val="18"/>
              </w:rPr>
              <w:t xml:space="preserve">[11] PN-EN 40-3-2:2004 Słupy oświetleniowe - Część 3-2: Projektowanie i weryfikacja Weryfikacja za pomocą badań. </w:t>
            </w:r>
          </w:p>
          <w:p w14:paraId="0DC77F45" w14:textId="77777777" w:rsidR="00DB6B0E" w:rsidRPr="00B93A39" w:rsidRDefault="00DB6B0E" w:rsidP="00DB6B0E">
            <w:pPr>
              <w:tabs>
                <w:tab w:val="left" w:pos="255"/>
              </w:tabs>
              <w:spacing w:before="120"/>
              <w:rPr>
                <w:rFonts w:ascii="Calibri" w:hAnsi="Calibri"/>
                <w:sz w:val="18"/>
                <w:szCs w:val="18"/>
              </w:rPr>
            </w:pPr>
            <w:r w:rsidRPr="00B93A39">
              <w:rPr>
                <w:rFonts w:ascii="Calibri" w:hAnsi="Calibri"/>
                <w:sz w:val="18"/>
                <w:szCs w:val="18"/>
              </w:rPr>
              <w:t xml:space="preserve">[12] PN-EN 40-3-3:2004 Słupy oświetleniowe Część 3-3: Projektowanie i weryfikacja Weryfikacja za pomocą obliczeń. </w:t>
            </w:r>
          </w:p>
          <w:p w14:paraId="396A1F62" w14:textId="77777777" w:rsidR="00DB6B0E" w:rsidRPr="00B93A39" w:rsidRDefault="00DB6B0E" w:rsidP="00DB6B0E">
            <w:pPr>
              <w:tabs>
                <w:tab w:val="left" w:pos="255"/>
              </w:tabs>
              <w:spacing w:before="120"/>
              <w:rPr>
                <w:rFonts w:ascii="Calibri" w:hAnsi="Calibri"/>
                <w:sz w:val="18"/>
                <w:szCs w:val="18"/>
              </w:rPr>
            </w:pPr>
            <w:r w:rsidRPr="00B93A39">
              <w:rPr>
                <w:rFonts w:ascii="Calibri" w:hAnsi="Calibri"/>
                <w:sz w:val="18"/>
                <w:szCs w:val="18"/>
              </w:rPr>
              <w:t xml:space="preserve">[13] PN-EN 40-5:2004 Słupy oświetleniowe - Część 5: Słupy oświetleniowe stalowe - wymagania. </w:t>
            </w:r>
          </w:p>
          <w:p w14:paraId="3742B79D" w14:textId="77777777" w:rsidR="00DB6B0E" w:rsidRPr="00B93A39" w:rsidRDefault="00DB6B0E" w:rsidP="00DB6B0E">
            <w:pPr>
              <w:tabs>
                <w:tab w:val="left" w:pos="255"/>
              </w:tabs>
              <w:spacing w:before="120"/>
              <w:rPr>
                <w:rFonts w:ascii="Calibri" w:hAnsi="Calibri"/>
                <w:sz w:val="18"/>
                <w:szCs w:val="18"/>
              </w:rPr>
            </w:pPr>
            <w:r w:rsidRPr="00B93A39">
              <w:rPr>
                <w:rFonts w:ascii="Calibri" w:hAnsi="Calibri"/>
                <w:sz w:val="18"/>
                <w:szCs w:val="18"/>
              </w:rPr>
              <w:t xml:space="preserve">[14] PN-B-03322:1980 - Elektroenergetyczne linie napowietrzne. Fundamenty konstrukcji wsporczych. Obliczenia statyczne i projektowanie. </w:t>
            </w:r>
          </w:p>
          <w:p w14:paraId="158AC0AE" w14:textId="77777777" w:rsidR="00DB6B0E" w:rsidRPr="00B93A39" w:rsidRDefault="00DB6B0E" w:rsidP="00DB6B0E">
            <w:pPr>
              <w:tabs>
                <w:tab w:val="left" w:pos="255"/>
              </w:tabs>
              <w:spacing w:before="120"/>
              <w:rPr>
                <w:rFonts w:ascii="Calibri" w:hAnsi="Calibri"/>
                <w:sz w:val="18"/>
                <w:szCs w:val="18"/>
              </w:rPr>
            </w:pPr>
            <w:r w:rsidRPr="00B93A39">
              <w:rPr>
                <w:rFonts w:ascii="Calibri" w:hAnsi="Calibri"/>
                <w:sz w:val="18"/>
                <w:szCs w:val="18"/>
              </w:rPr>
              <w:t xml:space="preserve">[15] PN-EN 60598-1:2007 Oprawy oświetleniowe – Wymagania ogólne i badania. </w:t>
            </w:r>
          </w:p>
          <w:p w14:paraId="070E80FF" w14:textId="77777777" w:rsidR="00DB6B0E" w:rsidRPr="00B93A39" w:rsidRDefault="00DB6B0E" w:rsidP="00DB6B0E">
            <w:pPr>
              <w:tabs>
                <w:tab w:val="left" w:pos="255"/>
              </w:tabs>
              <w:spacing w:before="120"/>
              <w:rPr>
                <w:rFonts w:ascii="Calibri" w:hAnsi="Calibri"/>
                <w:sz w:val="18"/>
                <w:szCs w:val="18"/>
              </w:rPr>
            </w:pPr>
            <w:r w:rsidRPr="00B93A39">
              <w:rPr>
                <w:rFonts w:ascii="Calibri" w:hAnsi="Calibri"/>
                <w:sz w:val="18"/>
                <w:szCs w:val="18"/>
              </w:rPr>
              <w:t xml:space="preserve">[16]PN-EN 60598-2-3:2006 Oprawy oświetleniowe – Część 2-3: Wymagania szczegółowe – Oprawy oświetleniowe drogowe i uliczne. </w:t>
            </w:r>
          </w:p>
          <w:p w14:paraId="52776970" w14:textId="77777777" w:rsidR="00DB6B0E" w:rsidRPr="00B93A39" w:rsidRDefault="00DB6B0E" w:rsidP="00DB6B0E">
            <w:pPr>
              <w:tabs>
                <w:tab w:val="left" w:pos="255"/>
              </w:tabs>
              <w:spacing w:before="120"/>
              <w:rPr>
                <w:rFonts w:ascii="Calibri" w:hAnsi="Calibri"/>
                <w:sz w:val="18"/>
                <w:szCs w:val="18"/>
              </w:rPr>
            </w:pPr>
            <w:r w:rsidRPr="00B93A39">
              <w:rPr>
                <w:rFonts w:ascii="Calibri" w:hAnsi="Calibri"/>
                <w:sz w:val="18"/>
                <w:szCs w:val="18"/>
              </w:rPr>
              <w:t xml:space="preserve">[17] PN-EN 60598-2-5:2000 Oprawy oświetleniowe. Wymagania szczegółowe. Projektory iluminacyjne. </w:t>
            </w:r>
          </w:p>
          <w:p w14:paraId="4A14CD5F" w14:textId="77777777" w:rsidR="00DB6B0E" w:rsidRPr="00B93A39" w:rsidRDefault="00DB6B0E" w:rsidP="00DB6B0E">
            <w:pPr>
              <w:tabs>
                <w:tab w:val="left" w:pos="255"/>
              </w:tabs>
              <w:spacing w:before="120"/>
              <w:rPr>
                <w:rFonts w:ascii="Calibri" w:hAnsi="Calibri"/>
                <w:sz w:val="18"/>
                <w:szCs w:val="18"/>
              </w:rPr>
            </w:pPr>
            <w:r w:rsidRPr="00B93A39">
              <w:rPr>
                <w:rFonts w:ascii="Calibri" w:hAnsi="Calibri"/>
                <w:sz w:val="18"/>
                <w:szCs w:val="18"/>
              </w:rPr>
              <w:t xml:space="preserve">[18]PN-EN60598-2-13:2007 Oprawy oświetleniowe – Część 2-13: Wymagania szczegółowe – Oprawy oświetleniowe wbudowywane w podłoże. </w:t>
            </w:r>
          </w:p>
          <w:p w14:paraId="1B178DA1" w14:textId="77777777" w:rsidR="00DB6B0E" w:rsidRPr="00B93A39" w:rsidRDefault="00DB6B0E" w:rsidP="00DB6B0E">
            <w:pPr>
              <w:tabs>
                <w:tab w:val="left" w:pos="255"/>
              </w:tabs>
              <w:spacing w:before="120"/>
              <w:rPr>
                <w:rFonts w:ascii="Calibri" w:hAnsi="Calibri"/>
                <w:sz w:val="18"/>
                <w:szCs w:val="18"/>
              </w:rPr>
            </w:pPr>
            <w:r w:rsidRPr="00B93A39">
              <w:rPr>
                <w:rFonts w:ascii="Calibri" w:hAnsi="Calibri"/>
                <w:sz w:val="18"/>
                <w:szCs w:val="18"/>
              </w:rPr>
              <w:t xml:space="preserve">[19] PN-EN 60529:2003 Stopnie ochrony zapewnianej przez obudowy (kod IP) </w:t>
            </w:r>
          </w:p>
          <w:p w14:paraId="71A12457" w14:textId="77777777" w:rsidR="00DB6B0E" w:rsidRPr="00B93A39" w:rsidRDefault="00DB6B0E" w:rsidP="00DB6B0E">
            <w:pPr>
              <w:tabs>
                <w:tab w:val="left" w:pos="255"/>
              </w:tabs>
              <w:spacing w:before="120"/>
              <w:rPr>
                <w:rFonts w:ascii="Calibri" w:hAnsi="Calibri"/>
                <w:sz w:val="18"/>
                <w:szCs w:val="18"/>
              </w:rPr>
            </w:pPr>
            <w:r w:rsidRPr="00B93A39">
              <w:rPr>
                <w:rFonts w:ascii="Calibri" w:hAnsi="Calibri"/>
                <w:sz w:val="18"/>
                <w:szCs w:val="18"/>
              </w:rPr>
              <w:t xml:space="preserve">[20] PN-EN 60439-1 Rozdzielnice i sterownice niskonapięciowe – Zestawy badane w pełnym i niepełnym zakresie badań typu. </w:t>
            </w:r>
          </w:p>
          <w:p w14:paraId="4DFC090D" w14:textId="77777777" w:rsidR="00DB6B0E" w:rsidRPr="00B93A39" w:rsidRDefault="00DB6B0E" w:rsidP="00DB6B0E">
            <w:pPr>
              <w:tabs>
                <w:tab w:val="left" w:pos="255"/>
              </w:tabs>
              <w:spacing w:before="120"/>
              <w:rPr>
                <w:rFonts w:ascii="Calibri" w:hAnsi="Calibri"/>
                <w:sz w:val="18"/>
                <w:szCs w:val="18"/>
              </w:rPr>
            </w:pPr>
            <w:r w:rsidRPr="00B93A39">
              <w:rPr>
                <w:rFonts w:ascii="Calibri" w:hAnsi="Calibri"/>
                <w:sz w:val="18"/>
                <w:szCs w:val="18"/>
              </w:rPr>
              <w:t xml:space="preserve">[21] PN-HD 603 S1:2006 Kable elektroenergetyczne na napięcie znamionowe 0,6/1 kV. </w:t>
            </w:r>
          </w:p>
          <w:p w14:paraId="58F423D8" w14:textId="77777777" w:rsidR="00DB6B0E" w:rsidRPr="00B93A39" w:rsidRDefault="00DB6B0E" w:rsidP="00DB6B0E">
            <w:pPr>
              <w:tabs>
                <w:tab w:val="left" w:pos="255"/>
              </w:tabs>
              <w:spacing w:before="120"/>
              <w:rPr>
                <w:rFonts w:ascii="Calibri" w:hAnsi="Calibri"/>
                <w:sz w:val="18"/>
                <w:szCs w:val="18"/>
              </w:rPr>
            </w:pPr>
            <w:r w:rsidRPr="00B93A39">
              <w:rPr>
                <w:rFonts w:ascii="Calibri" w:hAnsi="Calibri"/>
                <w:sz w:val="18"/>
                <w:szCs w:val="18"/>
              </w:rPr>
              <w:t xml:space="preserve">[22] PN-IEC 60364-5-523:2001 Instalacje elektryczne w obiektach budowlanych. Dobór i montaż wyposażenia elektrycznego. Obciążalność prądową długotrwała przewodów. </w:t>
            </w:r>
          </w:p>
          <w:p w14:paraId="290FF36E" w14:textId="77777777" w:rsidR="00DB6B0E" w:rsidRPr="00B93A39" w:rsidRDefault="00DB6B0E" w:rsidP="00DB6B0E">
            <w:pPr>
              <w:tabs>
                <w:tab w:val="left" w:pos="255"/>
              </w:tabs>
              <w:spacing w:before="120"/>
              <w:rPr>
                <w:rFonts w:ascii="Calibri" w:hAnsi="Calibri"/>
                <w:sz w:val="18"/>
                <w:szCs w:val="18"/>
              </w:rPr>
            </w:pPr>
            <w:r w:rsidRPr="00B93A39">
              <w:rPr>
                <w:rFonts w:ascii="Calibri" w:hAnsi="Calibri"/>
                <w:sz w:val="18"/>
                <w:szCs w:val="18"/>
              </w:rPr>
              <w:t xml:space="preserve">[23]PN-E-06401-01 Elektroenergetyczne i sygnalizacyjne linie kablowe. Osprzęt do kabli o napięciu znamionowym nie przekraczającym 30 kV. Postanowienia ogólne </w:t>
            </w:r>
          </w:p>
          <w:p w14:paraId="63FA9442" w14:textId="77777777" w:rsidR="00DB6B0E" w:rsidRPr="00B93A39" w:rsidRDefault="00DB6B0E" w:rsidP="00DB6B0E">
            <w:pPr>
              <w:tabs>
                <w:tab w:val="left" w:pos="255"/>
              </w:tabs>
              <w:spacing w:before="120"/>
              <w:rPr>
                <w:rFonts w:ascii="Calibri" w:hAnsi="Calibri"/>
                <w:sz w:val="18"/>
                <w:szCs w:val="18"/>
              </w:rPr>
            </w:pPr>
            <w:r w:rsidRPr="00B93A39">
              <w:rPr>
                <w:rFonts w:ascii="Calibri" w:hAnsi="Calibri"/>
                <w:sz w:val="18"/>
                <w:szCs w:val="18"/>
              </w:rPr>
              <w:t xml:space="preserve">[24]PN-E-06401-02 Elektroenergetyczne i sygnalizacyjne linie kablowe. Osprzęt do kabli o napięciu znamionowym nie przekraczającym 30 kV. Połączenia i zakończenia żył.  </w:t>
            </w:r>
          </w:p>
          <w:p w14:paraId="1F1684E4" w14:textId="77777777" w:rsidR="00DB6B0E" w:rsidRPr="00B93A39" w:rsidRDefault="00DB6B0E" w:rsidP="00DB6B0E">
            <w:pPr>
              <w:tabs>
                <w:tab w:val="left" w:pos="255"/>
              </w:tabs>
              <w:spacing w:before="120"/>
              <w:rPr>
                <w:rFonts w:ascii="Calibri" w:hAnsi="Calibri"/>
                <w:sz w:val="18"/>
                <w:szCs w:val="18"/>
              </w:rPr>
            </w:pPr>
            <w:r w:rsidRPr="00B93A39">
              <w:rPr>
                <w:rFonts w:ascii="Calibri" w:hAnsi="Calibri"/>
                <w:sz w:val="18"/>
                <w:szCs w:val="18"/>
              </w:rPr>
              <w:t xml:space="preserve">[25] PN-E-90056:1987 Przewody elektroenergetyczne ogólnego przeznaczenia do układania na stałe. Przewody o izolacji i powłoce polwinitowej, okrągłe. </w:t>
            </w:r>
          </w:p>
          <w:p w14:paraId="3DF4DB4C" w14:textId="77777777" w:rsidR="00DB6B0E" w:rsidRPr="00B93A39" w:rsidRDefault="00DB6B0E" w:rsidP="00DB6B0E">
            <w:pPr>
              <w:tabs>
                <w:tab w:val="left" w:pos="255"/>
              </w:tabs>
              <w:spacing w:before="120"/>
              <w:rPr>
                <w:rFonts w:ascii="Calibri" w:hAnsi="Calibri"/>
                <w:sz w:val="18"/>
                <w:szCs w:val="18"/>
              </w:rPr>
            </w:pPr>
            <w:r w:rsidRPr="00B93A39">
              <w:rPr>
                <w:rFonts w:ascii="Calibri" w:hAnsi="Calibri"/>
                <w:sz w:val="18"/>
                <w:szCs w:val="18"/>
              </w:rPr>
              <w:t xml:space="preserve">[26]PN-EN 50086-2-4 Systemy rur instalacyjnych do prowadzenia przewodów. Część 2-4: Wymagania szczegółowe dla systemów rur instalacyjnych układanych w ziemi. </w:t>
            </w:r>
          </w:p>
          <w:p w14:paraId="758DBC7C" w14:textId="77777777" w:rsidR="00DB6B0E" w:rsidRPr="00B93A39" w:rsidRDefault="00DB6B0E" w:rsidP="00DB6B0E">
            <w:pPr>
              <w:tabs>
                <w:tab w:val="left" w:pos="255"/>
              </w:tabs>
              <w:spacing w:before="120"/>
              <w:rPr>
                <w:rFonts w:ascii="Calibri" w:hAnsi="Calibri"/>
                <w:sz w:val="18"/>
                <w:szCs w:val="18"/>
              </w:rPr>
            </w:pPr>
            <w:r w:rsidRPr="00B93A39">
              <w:rPr>
                <w:rFonts w:ascii="Calibri" w:hAnsi="Calibri"/>
                <w:sz w:val="18"/>
                <w:szCs w:val="18"/>
              </w:rPr>
              <w:t xml:space="preserve">[27] PN-H 92325 Bednarka stalowa bez pokrycia lub ocynkowana. </w:t>
            </w:r>
          </w:p>
          <w:p w14:paraId="5984E4FF" w14:textId="77777777" w:rsidR="00DB6B0E" w:rsidRPr="00B93A39" w:rsidRDefault="00DB6B0E" w:rsidP="00DB6B0E">
            <w:pPr>
              <w:tabs>
                <w:tab w:val="left" w:pos="255"/>
              </w:tabs>
              <w:spacing w:before="120"/>
              <w:rPr>
                <w:rFonts w:ascii="Calibri" w:hAnsi="Calibri"/>
                <w:sz w:val="18"/>
                <w:szCs w:val="18"/>
              </w:rPr>
            </w:pPr>
            <w:r w:rsidRPr="00B93A39">
              <w:rPr>
                <w:rFonts w:ascii="Calibri" w:hAnsi="Calibri"/>
                <w:sz w:val="18"/>
                <w:szCs w:val="18"/>
              </w:rPr>
              <w:t xml:space="preserve">[28] PN-C-89269 Tworzywa sztuczne. Folie kalandrowane ze zmiękczonego polichlorku winylu. </w:t>
            </w:r>
          </w:p>
          <w:p w14:paraId="5A51DF87" w14:textId="77777777" w:rsidR="00DB6B0E" w:rsidRPr="00B93A39" w:rsidRDefault="00DB6B0E" w:rsidP="00DB6B0E">
            <w:pPr>
              <w:tabs>
                <w:tab w:val="left" w:pos="255"/>
              </w:tabs>
              <w:spacing w:before="120"/>
              <w:rPr>
                <w:rFonts w:ascii="Calibri" w:hAnsi="Calibri"/>
                <w:sz w:val="18"/>
                <w:szCs w:val="18"/>
              </w:rPr>
            </w:pPr>
            <w:r w:rsidRPr="00B93A39">
              <w:rPr>
                <w:rFonts w:ascii="Calibri" w:hAnsi="Calibri"/>
                <w:sz w:val="18"/>
                <w:szCs w:val="18"/>
              </w:rPr>
              <w:t xml:space="preserve">[29] PN-B-11113:1996 Kruszywa mineralne. Kruszywa naturalne do nawierzchni drogowych. Piasek. </w:t>
            </w:r>
          </w:p>
          <w:p w14:paraId="11F93688" w14:textId="77777777" w:rsidR="00DB6B0E" w:rsidRPr="00B93A39" w:rsidRDefault="00DB6B0E" w:rsidP="00DB6B0E">
            <w:pPr>
              <w:tabs>
                <w:tab w:val="left" w:pos="255"/>
              </w:tabs>
              <w:spacing w:before="120"/>
              <w:rPr>
                <w:rFonts w:ascii="Calibri" w:hAnsi="Calibri"/>
                <w:sz w:val="18"/>
                <w:szCs w:val="18"/>
              </w:rPr>
            </w:pPr>
            <w:r w:rsidRPr="00B93A39">
              <w:rPr>
                <w:rFonts w:ascii="Calibri" w:hAnsi="Calibri"/>
                <w:sz w:val="18"/>
                <w:szCs w:val="18"/>
              </w:rPr>
              <w:t xml:space="preserve">[30] Rozporządzenie Ministra Infrastruktury z dnia 6 lutego 2003 r. w sprawie bezpieczeństwa i higieny pracy podczas wykonywania robót budowlanych (Dz.U.03.47.401 z dnia 19 marca 2003 r.) </w:t>
            </w:r>
          </w:p>
          <w:p w14:paraId="20ADB5E2" w14:textId="77777777" w:rsidR="00DB6B0E" w:rsidRPr="00B93A39" w:rsidRDefault="00DB6B0E" w:rsidP="00DB6B0E">
            <w:pPr>
              <w:tabs>
                <w:tab w:val="left" w:pos="255"/>
              </w:tabs>
              <w:spacing w:before="120"/>
              <w:rPr>
                <w:rFonts w:ascii="Calibri" w:hAnsi="Calibri"/>
                <w:sz w:val="18"/>
                <w:szCs w:val="18"/>
              </w:rPr>
            </w:pPr>
            <w:r w:rsidRPr="00B93A39">
              <w:rPr>
                <w:rFonts w:ascii="Calibri" w:hAnsi="Calibri"/>
                <w:sz w:val="18"/>
                <w:szCs w:val="18"/>
              </w:rPr>
              <w:t xml:space="preserve">[31] Rozporządzenie Ministra Gospodarki z dnia 17 września 1999 r. w sprawie bezpieczeństwa i higieny pracy przy urządzeniach i instalacjach energetycznych (Dz.U.99.80.912 z dnia 17.09.1999r). </w:t>
            </w:r>
          </w:p>
          <w:p w14:paraId="4327549A" w14:textId="77777777" w:rsidR="00DB6B0E" w:rsidRPr="00B93A39" w:rsidRDefault="00DB6B0E" w:rsidP="00DB6B0E">
            <w:pPr>
              <w:tabs>
                <w:tab w:val="left" w:pos="255"/>
              </w:tabs>
              <w:spacing w:before="120"/>
              <w:rPr>
                <w:rFonts w:ascii="Calibri" w:hAnsi="Calibri"/>
                <w:sz w:val="18"/>
                <w:szCs w:val="18"/>
              </w:rPr>
            </w:pPr>
            <w:r w:rsidRPr="00B93A39">
              <w:rPr>
                <w:rFonts w:ascii="Calibri" w:hAnsi="Calibri"/>
                <w:sz w:val="18"/>
                <w:szCs w:val="18"/>
              </w:rPr>
              <w:t xml:space="preserve">[32] PN-B-06050:1999 - Geotechnika. Roboty ziemne. Wymagania ogólne </w:t>
            </w:r>
          </w:p>
          <w:p w14:paraId="56E565F2" w14:textId="77777777" w:rsidR="00DB6B0E" w:rsidRPr="00B93A39" w:rsidRDefault="00DB6B0E" w:rsidP="00DB6B0E">
            <w:pPr>
              <w:tabs>
                <w:tab w:val="left" w:pos="255"/>
              </w:tabs>
              <w:spacing w:before="120"/>
              <w:rPr>
                <w:rFonts w:ascii="Calibri" w:hAnsi="Calibri"/>
                <w:sz w:val="18"/>
                <w:szCs w:val="18"/>
              </w:rPr>
            </w:pPr>
            <w:r w:rsidRPr="00B93A39">
              <w:rPr>
                <w:rFonts w:ascii="Calibri" w:hAnsi="Calibri"/>
                <w:sz w:val="18"/>
                <w:szCs w:val="18"/>
              </w:rPr>
              <w:t xml:space="preserve">[33] PN-S-02205:1998 Drogi samochodowe. Roboty ziemne. Wymagania i badania </w:t>
            </w:r>
          </w:p>
          <w:p w14:paraId="3984D220" w14:textId="77777777" w:rsidR="00DB6B0E" w:rsidRPr="00B93A39" w:rsidRDefault="00DB6B0E" w:rsidP="00DB6B0E">
            <w:pPr>
              <w:tabs>
                <w:tab w:val="left" w:pos="255"/>
              </w:tabs>
              <w:spacing w:before="120"/>
              <w:rPr>
                <w:rFonts w:ascii="Calibri" w:hAnsi="Calibri"/>
                <w:sz w:val="18"/>
                <w:szCs w:val="18"/>
              </w:rPr>
            </w:pPr>
            <w:r w:rsidRPr="00B93A39">
              <w:rPr>
                <w:rFonts w:ascii="Calibri" w:hAnsi="Calibri"/>
                <w:sz w:val="18"/>
                <w:szCs w:val="18"/>
              </w:rPr>
              <w:t xml:space="preserve">[34]PN–IEC 60364-61:2000 Instalacje elektryczne w obiektach budowlanych. Sprawdzanie. Sprawdzanie odbiorcze </w:t>
            </w:r>
          </w:p>
          <w:p w14:paraId="377DEDF7" w14:textId="77777777" w:rsidR="00DB6B0E" w:rsidRPr="00B93A39" w:rsidRDefault="00DB6B0E" w:rsidP="00DB6B0E">
            <w:pPr>
              <w:tabs>
                <w:tab w:val="left" w:pos="255"/>
              </w:tabs>
              <w:spacing w:before="120"/>
              <w:rPr>
                <w:rFonts w:ascii="Calibri" w:hAnsi="Calibri"/>
                <w:sz w:val="18"/>
                <w:szCs w:val="18"/>
              </w:rPr>
            </w:pPr>
            <w:r w:rsidRPr="00B93A39">
              <w:rPr>
                <w:rFonts w:ascii="Calibri" w:hAnsi="Calibri"/>
                <w:sz w:val="18"/>
                <w:szCs w:val="18"/>
              </w:rPr>
              <w:t>[35]PN-E-04700 Urządzenia i układy elektryczne w obiektach elektroenergetycznych – Wytyczne przeprowadzania pomontażowych badań odbiorczych.</w:t>
            </w:r>
          </w:p>
          <w:p w14:paraId="751EFC7C" w14:textId="77777777" w:rsidR="00184474" w:rsidRPr="00B93A39" w:rsidRDefault="00184474" w:rsidP="006237D9">
            <w:pPr>
              <w:rPr>
                <w:rFonts w:ascii="Calibri" w:hAnsi="Calibri" w:cs="Calibri"/>
                <w:sz w:val="18"/>
                <w:szCs w:val="18"/>
              </w:rPr>
            </w:pPr>
          </w:p>
          <w:p w14:paraId="40C9267F" w14:textId="77777777" w:rsidR="00184474" w:rsidRPr="00A23FB4" w:rsidRDefault="00184474" w:rsidP="006237D9">
            <w:pPr>
              <w:rPr>
                <w:rFonts w:ascii="Calibri" w:hAnsi="Calibri" w:cs="Calibri"/>
              </w:rPr>
            </w:pPr>
          </w:p>
          <w:p w14:paraId="7FD69CF1" w14:textId="77777777" w:rsidR="00184474" w:rsidRPr="00A23FB4" w:rsidRDefault="00184474" w:rsidP="006237D9">
            <w:pPr>
              <w:rPr>
                <w:rFonts w:ascii="Calibri" w:hAnsi="Calibri" w:cs="Calibri"/>
              </w:rPr>
            </w:pPr>
          </w:p>
          <w:p w14:paraId="674FBC57" w14:textId="77777777" w:rsidR="00184474" w:rsidRPr="00A23FB4" w:rsidRDefault="00184474" w:rsidP="006237D9">
            <w:pPr>
              <w:rPr>
                <w:rFonts w:ascii="Calibri" w:hAnsi="Calibri" w:cs="Calibri"/>
              </w:rPr>
            </w:pPr>
          </w:p>
        </w:tc>
      </w:tr>
    </w:tbl>
    <w:p w14:paraId="0C3067FC" w14:textId="77777777" w:rsidR="00DB6B0E" w:rsidRPr="00A23FB4" w:rsidRDefault="00DB6B0E" w:rsidP="007511A2">
      <w:pPr>
        <w:overflowPunct/>
        <w:autoSpaceDE/>
        <w:autoSpaceDN/>
        <w:adjustRightInd/>
        <w:jc w:val="center"/>
        <w:textAlignment w:val="auto"/>
        <w:rPr>
          <w:rFonts w:asciiTheme="minorHAnsi" w:hAnsiTheme="minorHAnsi"/>
          <w:b/>
          <w:sz w:val="22"/>
          <w:szCs w:val="22"/>
        </w:rPr>
      </w:pPr>
    </w:p>
    <w:p w14:paraId="3811E03A" w14:textId="77777777" w:rsidR="00DB6B0E" w:rsidRPr="00A23FB4" w:rsidRDefault="00DB6B0E">
      <w:pPr>
        <w:overflowPunct/>
        <w:autoSpaceDE/>
        <w:autoSpaceDN/>
        <w:adjustRightInd/>
        <w:jc w:val="left"/>
        <w:textAlignment w:val="auto"/>
        <w:rPr>
          <w:rFonts w:asciiTheme="minorHAnsi" w:hAnsiTheme="minorHAnsi"/>
          <w:b/>
          <w:sz w:val="22"/>
          <w:szCs w:val="22"/>
        </w:rPr>
      </w:pPr>
      <w:r w:rsidRPr="00A23FB4">
        <w:rPr>
          <w:rFonts w:asciiTheme="minorHAnsi" w:hAnsiTheme="minorHAnsi"/>
          <w:b/>
          <w:sz w:val="22"/>
          <w:szCs w:val="22"/>
        </w:rPr>
        <w:br w:type="page"/>
      </w:r>
    </w:p>
    <w:p w14:paraId="20D3D4F5" w14:textId="643CE361" w:rsidR="00DB6B0E" w:rsidRPr="00A23FB4" w:rsidRDefault="00DB6B0E">
      <w:pPr>
        <w:overflowPunct/>
        <w:autoSpaceDE/>
        <w:autoSpaceDN/>
        <w:adjustRightInd/>
        <w:jc w:val="left"/>
        <w:textAlignment w:val="auto"/>
        <w:rPr>
          <w:rFonts w:asciiTheme="minorHAnsi" w:hAnsiTheme="minorHAnsi"/>
          <w:b/>
          <w:sz w:val="22"/>
          <w:szCs w:val="22"/>
        </w:rPr>
      </w:pPr>
    </w:p>
    <w:p w14:paraId="799D8435" w14:textId="630436AB" w:rsidR="00184474" w:rsidRPr="00A23FB4" w:rsidRDefault="00E13859" w:rsidP="00184474">
      <w:pPr>
        <w:spacing w:line="360" w:lineRule="auto"/>
        <w:jc w:val="center"/>
        <w:rPr>
          <w:rFonts w:asciiTheme="minorHAnsi" w:hAnsiTheme="minorHAnsi"/>
          <w:b/>
          <w:sz w:val="22"/>
          <w:szCs w:val="22"/>
        </w:rPr>
      </w:pPr>
      <w:bookmarkStart w:id="849" w:name="_Toc387213505"/>
      <w:bookmarkStart w:id="850" w:name="_Toc387233822"/>
      <w:r>
        <w:rPr>
          <w:rFonts w:ascii="Calibri" w:hAnsi="Calibri" w:cs="Calibri"/>
          <w:b/>
          <w:sz w:val="22"/>
          <w:szCs w:val="22"/>
        </w:rPr>
        <w:t>SZCZEGÓŁOWE SPECYFIKACJE TECHNICZNE</w:t>
      </w:r>
      <w:r w:rsidRPr="00E30D66">
        <w:rPr>
          <w:rFonts w:ascii="Calibri" w:hAnsi="Calibri" w:cs="Calibri"/>
          <w:b/>
          <w:sz w:val="22"/>
          <w:szCs w:val="22"/>
        </w:rPr>
        <w:t xml:space="preserve"> </w:t>
      </w:r>
      <w:r w:rsidR="00184474" w:rsidRPr="00A23FB4">
        <w:rPr>
          <w:rFonts w:asciiTheme="minorHAnsi" w:hAnsiTheme="minorHAnsi"/>
          <w:b/>
          <w:sz w:val="22"/>
          <w:szCs w:val="22"/>
        </w:rPr>
        <w:t>WYKONANIA I ODBIORU ROBÓT BUDOWLANYCH</w:t>
      </w:r>
    </w:p>
    <w:p w14:paraId="2AE5D0DA" w14:textId="77777777" w:rsidR="00184474" w:rsidRPr="00A23FB4" w:rsidRDefault="00184474" w:rsidP="00184474">
      <w:pPr>
        <w:pStyle w:val="Nagowek1"/>
        <w:spacing w:before="0"/>
      </w:pPr>
      <w:bookmarkStart w:id="851" w:name="_Toc285044240"/>
      <w:bookmarkStart w:id="852" w:name="_Toc296923111"/>
      <w:bookmarkStart w:id="853" w:name="_Toc333441678"/>
      <w:bookmarkStart w:id="854" w:name="_Toc333657255"/>
      <w:bookmarkStart w:id="855" w:name="_Toc348613119"/>
      <w:bookmarkStart w:id="856" w:name="_Toc397026209"/>
      <w:bookmarkStart w:id="857" w:name="_Toc455953319"/>
      <w:bookmarkStart w:id="858" w:name="_Toc480533272"/>
      <w:bookmarkStart w:id="859" w:name="_Toc206275498"/>
      <w:r w:rsidRPr="00A23FB4">
        <w:t>D-08.01.01 KRAWĘŻNIKI BETONOWE</w:t>
      </w:r>
      <w:bookmarkEnd w:id="851"/>
      <w:bookmarkEnd w:id="852"/>
      <w:bookmarkEnd w:id="853"/>
      <w:bookmarkEnd w:id="854"/>
      <w:bookmarkEnd w:id="855"/>
      <w:bookmarkEnd w:id="856"/>
      <w:bookmarkEnd w:id="857"/>
      <w:bookmarkEnd w:id="858"/>
      <w:bookmarkEnd w:id="859"/>
    </w:p>
    <w:p w14:paraId="4D8A0EBD" w14:textId="77777777" w:rsidR="00184474" w:rsidRPr="00A23FB4" w:rsidRDefault="00184474" w:rsidP="00184474">
      <w:pPr>
        <w:pStyle w:val="Nagwek3"/>
        <w:tabs>
          <w:tab w:val="left" w:pos="9914"/>
        </w:tabs>
        <w:rPr>
          <w:rFonts w:asciiTheme="minorHAnsi" w:hAnsiTheme="minorHAnsi"/>
        </w:rPr>
      </w:pPr>
      <w:bookmarkStart w:id="860" w:name="_Toc428759421"/>
      <w:r w:rsidRPr="00A23FB4">
        <w:rPr>
          <w:rFonts w:asciiTheme="minorHAnsi" w:hAnsiTheme="minorHAnsi"/>
        </w:rPr>
        <w:t>1. WSTĘP</w:t>
      </w:r>
      <w:bookmarkEnd w:id="860"/>
    </w:p>
    <w:p w14:paraId="446456CE" w14:textId="258D957C" w:rsidR="00184474" w:rsidRPr="00A23FB4" w:rsidRDefault="00184474" w:rsidP="00184474">
      <w:pPr>
        <w:pStyle w:val="Nagwek4"/>
        <w:tabs>
          <w:tab w:val="left" w:pos="9914"/>
        </w:tabs>
        <w:rPr>
          <w:rFonts w:asciiTheme="minorHAnsi" w:hAnsiTheme="minorHAnsi"/>
        </w:rPr>
      </w:pPr>
      <w:r w:rsidRPr="00A23FB4">
        <w:rPr>
          <w:rFonts w:asciiTheme="minorHAnsi" w:hAnsiTheme="minorHAnsi"/>
        </w:rPr>
        <w:t xml:space="preserve">1.1. Przedmiot </w:t>
      </w:r>
      <w:r w:rsidR="00865C6C">
        <w:rPr>
          <w:rFonts w:asciiTheme="minorHAnsi" w:hAnsiTheme="minorHAnsi"/>
        </w:rPr>
        <w:t>ST</w:t>
      </w:r>
      <w:r w:rsidRPr="00A23FB4">
        <w:rPr>
          <w:rFonts w:asciiTheme="minorHAnsi" w:hAnsiTheme="minorHAnsi"/>
        </w:rPr>
        <w:t>WiORB</w:t>
      </w:r>
    </w:p>
    <w:p w14:paraId="5862F720" w14:textId="1C1B2802" w:rsidR="00184474" w:rsidRPr="00A23FB4" w:rsidRDefault="00184474" w:rsidP="00184474">
      <w:pPr>
        <w:tabs>
          <w:tab w:val="left" w:pos="9914"/>
        </w:tabs>
        <w:rPr>
          <w:rFonts w:asciiTheme="minorHAnsi" w:hAnsiTheme="minorHAnsi"/>
        </w:rPr>
      </w:pPr>
      <w:r w:rsidRPr="00A23FB4">
        <w:rPr>
          <w:rFonts w:asciiTheme="minorHAnsi" w:hAnsiTheme="minorHAnsi"/>
        </w:rPr>
        <w:t>Przedmiotem niniejsz</w:t>
      </w:r>
      <w:r w:rsidR="00CB3CD7">
        <w:rPr>
          <w:rFonts w:asciiTheme="minorHAnsi" w:hAnsiTheme="minorHAnsi"/>
        </w:rPr>
        <w:t>ej</w:t>
      </w:r>
      <w:r w:rsidRPr="00A23FB4">
        <w:rPr>
          <w:rFonts w:asciiTheme="minorHAnsi" w:hAnsiTheme="minorHAnsi"/>
        </w:rPr>
        <w:t xml:space="preserve"> </w:t>
      </w:r>
      <w:r w:rsidR="00E13859">
        <w:rPr>
          <w:rFonts w:asciiTheme="minorHAnsi" w:hAnsiTheme="minorHAnsi"/>
        </w:rPr>
        <w:t>szczegółow</w:t>
      </w:r>
      <w:r w:rsidR="00CB3CD7">
        <w:rPr>
          <w:rFonts w:asciiTheme="minorHAnsi" w:hAnsiTheme="minorHAnsi"/>
        </w:rPr>
        <w:t>ej</w:t>
      </w:r>
      <w:r w:rsidR="00E13859">
        <w:rPr>
          <w:rFonts w:asciiTheme="minorHAnsi" w:hAnsiTheme="minorHAnsi"/>
        </w:rPr>
        <w:t xml:space="preserve"> specyfikacji</w:t>
      </w:r>
      <w:r w:rsidRPr="00A23FB4">
        <w:rPr>
          <w:rFonts w:asciiTheme="minorHAnsi" w:hAnsiTheme="minorHAnsi"/>
        </w:rPr>
        <w:t xml:space="preserve"> techniczn</w:t>
      </w:r>
      <w:r w:rsidR="00CB3CD7">
        <w:rPr>
          <w:rFonts w:asciiTheme="minorHAnsi" w:hAnsiTheme="minorHAnsi"/>
        </w:rPr>
        <w:t>ej</w:t>
      </w:r>
      <w:r w:rsidRPr="00A23FB4">
        <w:rPr>
          <w:rFonts w:asciiTheme="minorHAnsi" w:hAnsiTheme="minorHAnsi"/>
        </w:rPr>
        <w:t xml:space="preserve"> wykonania i odbioru robót budowlanych (</w:t>
      </w:r>
      <w:r w:rsidR="00865C6C">
        <w:rPr>
          <w:rFonts w:asciiTheme="minorHAnsi" w:hAnsiTheme="minorHAnsi"/>
        </w:rPr>
        <w:t>ST</w:t>
      </w:r>
      <w:r w:rsidRPr="00A23FB4">
        <w:rPr>
          <w:rFonts w:asciiTheme="minorHAnsi" w:hAnsiTheme="minorHAnsi"/>
        </w:rPr>
        <w:t>WiORB) są wymagania dotyczące wykonania i odbioru robót związanych z ustawieniem krawężników betonowych.</w:t>
      </w:r>
    </w:p>
    <w:p w14:paraId="67AF5BBE" w14:textId="0652B545" w:rsidR="00184474" w:rsidRPr="00A23FB4" w:rsidRDefault="00184474" w:rsidP="00184474">
      <w:pPr>
        <w:pStyle w:val="Nagwek4"/>
        <w:tabs>
          <w:tab w:val="left" w:pos="9914"/>
        </w:tabs>
        <w:rPr>
          <w:rFonts w:asciiTheme="minorHAnsi" w:hAnsiTheme="minorHAnsi"/>
        </w:rPr>
      </w:pPr>
      <w:r w:rsidRPr="00A23FB4">
        <w:rPr>
          <w:rFonts w:asciiTheme="minorHAnsi" w:hAnsiTheme="minorHAnsi"/>
        </w:rPr>
        <w:t xml:space="preserve">1.2. Zakres stosowania </w:t>
      </w:r>
      <w:r w:rsidR="00865C6C">
        <w:rPr>
          <w:rFonts w:asciiTheme="minorHAnsi" w:hAnsiTheme="minorHAnsi"/>
        </w:rPr>
        <w:t>ST</w:t>
      </w:r>
      <w:r w:rsidRPr="00A23FB4">
        <w:rPr>
          <w:rFonts w:asciiTheme="minorHAnsi" w:hAnsiTheme="minorHAnsi"/>
        </w:rPr>
        <w:t>WiORB</w:t>
      </w:r>
    </w:p>
    <w:p w14:paraId="4D5F6F0D" w14:textId="0293D857" w:rsidR="004D5430" w:rsidRPr="00A23FB4" w:rsidRDefault="00E13859" w:rsidP="004D5430">
      <w:pPr>
        <w:spacing w:before="120"/>
        <w:rPr>
          <w:rFonts w:ascii="Calibri" w:hAnsi="Calibri" w:cs="Calibri"/>
        </w:rPr>
      </w:pPr>
      <w:r>
        <w:rPr>
          <w:rFonts w:asciiTheme="minorHAnsi" w:hAnsiTheme="minorHAnsi" w:cs="Calibri"/>
        </w:rPr>
        <w:t>Specyfikacj</w:t>
      </w:r>
      <w:r w:rsidR="00CB3CD7">
        <w:rPr>
          <w:rFonts w:asciiTheme="minorHAnsi" w:hAnsiTheme="minorHAnsi" w:cs="Calibri"/>
        </w:rPr>
        <w:t>a</w:t>
      </w:r>
      <w:r w:rsidR="00184474" w:rsidRPr="00A23FB4">
        <w:rPr>
          <w:rFonts w:asciiTheme="minorHAnsi" w:hAnsiTheme="minorHAnsi" w:cs="Calibri"/>
        </w:rPr>
        <w:t xml:space="preserve"> stanowi dokument kontraktowy przy realizacji  zadania</w:t>
      </w:r>
      <w:r w:rsidR="004D5430" w:rsidRPr="00A23FB4">
        <w:rPr>
          <w:rFonts w:asciiTheme="minorHAnsi" w:hAnsiTheme="minorHAnsi" w:cstheme="minorHAnsi"/>
          <w:bCs/>
        </w:rPr>
        <w:t xml:space="preserve"> </w:t>
      </w:r>
      <w:r w:rsidR="00506838">
        <w:rPr>
          <w:rFonts w:asciiTheme="minorHAnsi" w:hAnsiTheme="minorHAnsi" w:cstheme="minorHAnsi"/>
          <w:bCs/>
        </w:rPr>
        <w:t>„</w:t>
      </w:r>
      <w:r w:rsidR="00865C6C" w:rsidRPr="00865C6C">
        <w:rPr>
          <w:rFonts w:asciiTheme="minorHAnsi" w:hAnsiTheme="minorHAnsi" w:cstheme="minorHAnsi"/>
          <w:bCs/>
        </w:rPr>
        <w:t>Rozbudowa ul. Wrocławskiej w ciągu drogi powiatowej w Tyńcu Małym wraz z rozbudową istniejącego skrzyżowania typu rondo na połączeniu dróg krajowych nr 35 i 35a oraz łącznika węzła Kobierzyce drogi S8e oraz infrastrukturą towarzyszącą w ramach zadania „Rozbudowa skrzyżowania typu rondo w ciągu DK35 koło m. Tyniec Mały usprawniająca skomunikowanie obszarów Podstrefy Wrocław – Kobierzyce TSSE EURO PARK WISŁOSAN”</w:t>
      </w:r>
      <w:r w:rsidR="004D5430" w:rsidRPr="00A23FB4">
        <w:rPr>
          <w:rFonts w:asciiTheme="minorHAnsi" w:hAnsiTheme="minorHAnsi" w:cstheme="minorHAnsi"/>
          <w:bCs/>
        </w:rPr>
        <w:t>”.</w:t>
      </w:r>
    </w:p>
    <w:p w14:paraId="61341632" w14:textId="159B9BCA" w:rsidR="00184474" w:rsidRPr="00A23FB4" w:rsidRDefault="00184474" w:rsidP="00184474">
      <w:pPr>
        <w:pStyle w:val="Nagwek4"/>
        <w:tabs>
          <w:tab w:val="left" w:pos="9914"/>
        </w:tabs>
        <w:rPr>
          <w:rFonts w:asciiTheme="minorHAnsi" w:hAnsiTheme="minorHAnsi"/>
        </w:rPr>
      </w:pPr>
      <w:r w:rsidRPr="00A23FB4">
        <w:rPr>
          <w:rFonts w:asciiTheme="minorHAnsi" w:hAnsiTheme="minorHAnsi"/>
        </w:rPr>
        <w:t xml:space="preserve">1.3. Zakres robót objętych </w:t>
      </w:r>
      <w:r w:rsidR="00865C6C">
        <w:rPr>
          <w:rFonts w:asciiTheme="minorHAnsi" w:hAnsiTheme="minorHAnsi"/>
        </w:rPr>
        <w:t>ST</w:t>
      </w:r>
      <w:r w:rsidRPr="00A23FB4">
        <w:rPr>
          <w:rFonts w:asciiTheme="minorHAnsi" w:hAnsiTheme="minorHAnsi"/>
        </w:rPr>
        <w:t>WiORB</w:t>
      </w:r>
    </w:p>
    <w:p w14:paraId="26445927" w14:textId="7C14E79B" w:rsidR="00184474" w:rsidRPr="00A23FB4" w:rsidRDefault="00184474" w:rsidP="00184474">
      <w:pPr>
        <w:tabs>
          <w:tab w:val="left" w:pos="9914"/>
        </w:tabs>
        <w:rPr>
          <w:rFonts w:asciiTheme="minorHAnsi" w:hAnsiTheme="minorHAnsi"/>
        </w:rPr>
      </w:pPr>
      <w:r w:rsidRPr="00A23FB4">
        <w:rPr>
          <w:rFonts w:asciiTheme="minorHAnsi" w:hAnsiTheme="minorHAnsi"/>
        </w:rPr>
        <w:t xml:space="preserve">Ustalenia zawarte w niniejszych </w:t>
      </w:r>
      <w:r w:rsidR="00CB3C1C">
        <w:rPr>
          <w:rFonts w:asciiTheme="minorHAnsi" w:hAnsiTheme="minorHAnsi"/>
        </w:rPr>
        <w:t>specyfikacjach</w:t>
      </w:r>
      <w:r w:rsidRPr="00A23FB4">
        <w:rPr>
          <w:rFonts w:asciiTheme="minorHAnsi" w:hAnsiTheme="minorHAnsi"/>
        </w:rPr>
        <w:t xml:space="preserve"> dotyczą zasad prowadzenia robót związanych z ustawieniem krawężników betonowych</w:t>
      </w:r>
      <w:r w:rsidR="004D5430" w:rsidRPr="00A23FB4">
        <w:rPr>
          <w:rFonts w:asciiTheme="minorHAnsi" w:hAnsiTheme="minorHAnsi"/>
        </w:rPr>
        <w:t xml:space="preserve"> 20x30,20x22,</w:t>
      </w:r>
      <w:r w:rsidRPr="00A23FB4">
        <w:rPr>
          <w:rFonts w:asciiTheme="minorHAnsi" w:hAnsiTheme="minorHAnsi"/>
        </w:rPr>
        <w:t xml:space="preserve"> 15x30, </w:t>
      </w:r>
      <w:r w:rsidR="00AB2F18" w:rsidRPr="00A23FB4">
        <w:rPr>
          <w:rFonts w:asciiTheme="minorHAnsi" w:hAnsiTheme="minorHAnsi"/>
        </w:rPr>
        <w:t>15x22</w:t>
      </w:r>
      <w:r w:rsidRPr="00A23FB4">
        <w:rPr>
          <w:rFonts w:asciiTheme="minorHAnsi" w:hAnsiTheme="minorHAnsi"/>
        </w:rPr>
        <w:t xml:space="preserve"> na ławie betonowej z oporem</w:t>
      </w:r>
      <w:r w:rsidR="00AB2F18" w:rsidRPr="00A23FB4">
        <w:rPr>
          <w:rFonts w:asciiTheme="minorHAnsi" w:hAnsiTheme="minorHAnsi"/>
        </w:rPr>
        <w:t>.</w:t>
      </w:r>
    </w:p>
    <w:p w14:paraId="271CF09B" w14:textId="77777777" w:rsidR="00184474" w:rsidRPr="00A23FB4" w:rsidRDefault="00184474" w:rsidP="00184474">
      <w:pPr>
        <w:pStyle w:val="Nagwek4"/>
        <w:tabs>
          <w:tab w:val="left" w:pos="9914"/>
        </w:tabs>
        <w:rPr>
          <w:rFonts w:asciiTheme="minorHAnsi" w:hAnsiTheme="minorHAnsi"/>
        </w:rPr>
      </w:pPr>
      <w:r w:rsidRPr="00A23FB4">
        <w:rPr>
          <w:rFonts w:asciiTheme="minorHAnsi" w:hAnsiTheme="minorHAnsi"/>
        </w:rPr>
        <w:t>1.4. Określenia podstawowe</w:t>
      </w:r>
    </w:p>
    <w:p w14:paraId="1C473012" w14:textId="77777777" w:rsidR="00184474" w:rsidRPr="00A23FB4" w:rsidRDefault="00184474" w:rsidP="00184474">
      <w:pPr>
        <w:numPr>
          <w:ilvl w:val="12"/>
          <w:numId w:val="0"/>
        </w:numPr>
        <w:tabs>
          <w:tab w:val="left" w:pos="9914"/>
        </w:tabs>
        <w:rPr>
          <w:rFonts w:asciiTheme="minorHAnsi" w:hAnsiTheme="minorHAnsi"/>
        </w:rPr>
      </w:pPr>
      <w:r w:rsidRPr="00A23FB4">
        <w:rPr>
          <w:rFonts w:asciiTheme="minorHAnsi" w:hAnsiTheme="minorHAnsi"/>
          <w:b/>
        </w:rPr>
        <w:t xml:space="preserve">1.4.1. </w:t>
      </w:r>
      <w:r w:rsidRPr="00A23FB4">
        <w:rPr>
          <w:rFonts w:asciiTheme="minorHAnsi" w:hAnsiTheme="minorHAnsi"/>
        </w:rPr>
        <w:t>Krawężniki betonowe - prefabrykowane belki betonowe ograniczające chodniki dla pieszych, pasy dzielące, wyspy kierujące oraz nawierzchnie drogowe.</w:t>
      </w:r>
    </w:p>
    <w:p w14:paraId="720BDA22" w14:textId="7C768D42" w:rsidR="00184474" w:rsidRPr="00A23FB4" w:rsidRDefault="00184474" w:rsidP="00184474">
      <w:pPr>
        <w:numPr>
          <w:ilvl w:val="12"/>
          <w:numId w:val="0"/>
        </w:numPr>
        <w:tabs>
          <w:tab w:val="left" w:pos="9914"/>
        </w:tabs>
        <w:rPr>
          <w:rFonts w:asciiTheme="minorHAnsi" w:hAnsiTheme="minorHAnsi"/>
        </w:rPr>
      </w:pPr>
      <w:r w:rsidRPr="00A23FB4">
        <w:rPr>
          <w:rFonts w:asciiTheme="minorHAnsi" w:hAnsiTheme="minorHAnsi"/>
          <w:b/>
        </w:rPr>
        <w:t xml:space="preserve">1.4.2. </w:t>
      </w:r>
      <w:r w:rsidRPr="00A23FB4">
        <w:rPr>
          <w:rFonts w:asciiTheme="minorHAnsi" w:hAnsiTheme="minorHAnsi"/>
        </w:rPr>
        <w:t xml:space="preserve">Pozostałe określenia podstawowe są zgodne z obowiązującymi, odpowiednimi polskimi normami i z definicjami podanymi w </w:t>
      </w:r>
      <w:r w:rsidR="00865C6C">
        <w:rPr>
          <w:rFonts w:asciiTheme="minorHAnsi" w:hAnsiTheme="minorHAnsi"/>
        </w:rPr>
        <w:t>ST</w:t>
      </w:r>
      <w:r w:rsidRPr="00A23FB4">
        <w:rPr>
          <w:rFonts w:asciiTheme="minorHAnsi" w:hAnsiTheme="minorHAnsi"/>
        </w:rPr>
        <w:t>WiORB D-M-00.00.00 „Wymagania ogólne” pkt 1.4.</w:t>
      </w:r>
    </w:p>
    <w:p w14:paraId="4BBC4203" w14:textId="77777777" w:rsidR="00184474" w:rsidRPr="00A23FB4" w:rsidRDefault="00184474" w:rsidP="00184474">
      <w:pPr>
        <w:pStyle w:val="Nagwek4"/>
        <w:tabs>
          <w:tab w:val="left" w:pos="9914"/>
        </w:tabs>
        <w:rPr>
          <w:rFonts w:asciiTheme="minorHAnsi" w:hAnsiTheme="minorHAnsi"/>
        </w:rPr>
      </w:pPr>
      <w:r w:rsidRPr="00A23FB4">
        <w:rPr>
          <w:rFonts w:asciiTheme="minorHAnsi" w:hAnsiTheme="minorHAnsi"/>
        </w:rPr>
        <w:t>1.5. Ogólne wymagania dotyczące robót</w:t>
      </w:r>
    </w:p>
    <w:p w14:paraId="103D4A14" w14:textId="6768A216" w:rsidR="00184474" w:rsidRPr="00A23FB4" w:rsidRDefault="00184474" w:rsidP="00184474">
      <w:pPr>
        <w:numPr>
          <w:ilvl w:val="12"/>
          <w:numId w:val="0"/>
        </w:numPr>
        <w:tabs>
          <w:tab w:val="left" w:pos="9914"/>
        </w:tabs>
        <w:rPr>
          <w:rFonts w:asciiTheme="minorHAnsi" w:hAnsiTheme="minorHAnsi"/>
        </w:rPr>
      </w:pPr>
      <w:r w:rsidRPr="00A23FB4">
        <w:rPr>
          <w:rFonts w:asciiTheme="minorHAnsi" w:hAnsiTheme="minorHAnsi"/>
        </w:rPr>
        <w:t xml:space="preserve">Ogólne wymagania dotyczące robót podano w </w:t>
      </w:r>
      <w:r w:rsidR="00865C6C">
        <w:rPr>
          <w:rFonts w:asciiTheme="minorHAnsi" w:hAnsiTheme="minorHAnsi"/>
        </w:rPr>
        <w:t>ST</w:t>
      </w:r>
      <w:r w:rsidRPr="00A23FB4">
        <w:rPr>
          <w:rFonts w:asciiTheme="minorHAnsi" w:hAnsiTheme="minorHAnsi"/>
        </w:rPr>
        <w:t>WiORB D-M-00.00.00 „Wymagania ogólne” pkt 1.5.</w:t>
      </w:r>
    </w:p>
    <w:p w14:paraId="1A4FA4B4" w14:textId="77777777" w:rsidR="00184474" w:rsidRPr="00A23FB4" w:rsidRDefault="00184474" w:rsidP="00184474">
      <w:pPr>
        <w:pStyle w:val="Nagwek3"/>
        <w:tabs>
          <w:tab w:val="left" w:pos="9914"/>
        </w:tabs>
        <w:rPr>
          <w:rFonts w:asciiTheme="minorHAnsi" w:hAnsiTheme="minorHAnsi"/>
        </w:rPr>
      </w:pPr>
      <w:bookmarkStart w:id="861" w:name="_Toc428243643"/>
      <w:bookmarkStart w:id="862" w:name="_Toc428323648"/>
      <w:bookmarkStart w:id="863" w:name="_Toc428759422"/>
      <w:r w:rsidRPr="00A23FB4">
        <w:rPr>
          <w:rFonts w:asciiTheme="minorHAnsi" w:hAnsiTheme="minorHAnsi"/>
        </w:rPr>
        <w:t>2. MATERIAŁY</w:t>
      </w:r>
      <w:bookmarkEnd w:id="861"/>
      <w:bookmarkEnd w:id="862"/>
      <w:bookmarkEnd w:id="863"/>
    </w:p>
    <w:p w14:paraId="7C6E5325" w14:textId="77777777" w:rsidR="00184474" w:rsidRPr="00A23FB4" w:rsidRDefault="00184474" w:rsidP="00184474">
      <w:pPr>
        <w:pStyle w:val="Nagwek4"/>
        <w:tabs>
          <w:tab w:val="left" w:pos="9914"/>
        </w:tabs>
        <w:rPr>
          <w:rFonts w:asciiTheme="minorHAnsi" w:hAnsiTheme="minorHAnsi"/>
        </w:rPr>
      </w:pPr>
      <w:r w:rsidRPr="00A23FB4">
        <w:rPr>
          <w:rFonts w:asciiTheme="minorHAnsi" w:hAnsiTheme="minorHAnsi"/>
        </w:rPr>
        <w:t>2.1. Ogólne wymagania dotyczące materiałów</w:t>
      </w:r>
    </w:p>
    <w:p w14:paraId="2F78B6C4" w14:textId="592485B1" w:rsidR="00184474" w:rsidRPr="00A23FB4" w:rsidRDefault="00184474" w:rsidP="00184474">
      <w:pPr>
        <w:numPr>
          <w:ilvl w:val="12"/>
          <w:numId w:val="0"/>
        </w:numPr>
        <w:tabs>
          <w:tab w:val="left" w:pos="9914"/>
        </w:tabs>
        <w:rPr>
          <w:rFonts w:asciiTheme="minorHAnsi" w:hAnsiTheme="minorHAnsi"/>
        </w:rPr>
      </w:pPr>
      <w:r w:rsidRPr="00A23FB4">
        <w:rPr>
          <w:rFonts w:asciiTheme="minorHAnsi" w:hAnsiTheme="minorHAnsi"/>
        </w:rPr>
        <w:t xml:space="preserve">Ogólne wymagania dotyczące materiałów, ich pozyskiwania i składowania, podano w  </w:t>
      </w:r>
      <w:r w:rsidR="00865C6C">
        <w:rPr>
          <w:rFonts w:asciiTheme="minorHAnsi" w:hAnsiTheme="minorHAnsi"/>
        </w:rPr>
        <w:t>ST</w:t>
      </w:r>
      <w:r w:rsidRPr="00A23FB4">
        <w:rPr>
          <w:rFonts w:asciiTheme="minorHAnsi" w:hAnsiTheme="minorHAnsi"/>
        </w:rPr>
        <w:t>WiORB D-M-00.00.00 „Wymagania ogólne” pkt 2.</w:t>
      </w:r>
    </w:p>
    <w:p w14:paraId="45084EA6" w14:textId="77777777" w:rsidR="00184474" w:rsidRPr="00A23FB4" w:rsidRDefault="00184474" w:rsidP="00184474">
      <w:pPr>
        <w:pStyle w:val="Nagwek4"/>
        <w:tabs>
          <w:tab w:val="left" w:pos="9914"/>
        </w:tabs>
        <w:rPr>
          <w:rFonts w:asciiTheme="minorHAnsi" w:hAnsiTheme="minorHAnsi"/>
        </w:rPr>
      </w:pPr>
      <w:r w:rsidRPr="00A23FB4">
        <w:rPr>
          <w:rFonts w:asciiTheme="minorHAnsi" w:hAnsiTheme="minorHAnsi"/>
        </w:rPr>
        <w:t>2.2. Stosowane materiały</w:t>
      </w:r>
    </w:p>
    <w:p w14:paraId="6ABE2126" w14:textId="77777777" w:rsidR="00184474" w:rsidRPr="00A23FB4" w:rsidRDefault="00184474" w:rsidP="00184474">
      <w:pPr>
        <w:numPr>
          <w:ilvl w:val="12"/>
          <w:numId w:val="0"/>
        </w:numPr>
        <w:tabs>
          <w:tab w:val="left" w:pos="9914"/>
        </w:tabs>
        <w:rPr>
          <w:rFonts w:asciiTheme="minorHAnsi" w:hAnsiTheme="minorHAnsi"/>
        </w:rPr>
      </w:pPr>
      <w:r w:rsidRPr="00A23FB4">
        <w:rPr>
          <w:rFonts w:asciiTheme="minorHAnsi" w:hAnsiTheme="minorHAnsi"/>
        </w:rPr>
        <w:t>Materiałami stosowanymi są:</w:t>
      </w:r>
    </w:p>
    <w:p w14:paraId="5A259FB0" w14:textId="77777777" w:rsidR="00CB3CD7" w:rsidRDefault="00184474" w:rsidP="00262498">
      <w:pPr>
        <w:pStyle w:val="Akapitzlist"/>
        <w:numPr>
          <w:ilvl w:val="0"/>
          <w:numId w:val="268"/>
        </w:numPr>
        <w:tabs>
          <w:tab w:val="left" w:pos="9914"/>
        </w:tabs>
        <w:rPr>
          <w:rFonts w:asciiTheme="minorHAnsi" w:hAnsiTheme="minorHAnsi"/>
        </w:rPr>
      </w:pPr>
      <w:r w:rsidRPr="00CB3CD7">
        <w:rPr>
          <w:rFonts w:asciiTheme="minorHAnsi" w:hAnsiTheme="minorHAnsi"/>
        </w:rPr>
        <w:t>krawężniki betonowe,</w:t>
      </w:r>
    </w:p>
    <w:p w14:paraId="6E02F47C" w14:textId="77777777" w:rsidR="00CB3CD7" w:rsidRDefault="00184474" w:rsidP="00262498">
      <w:pPr>
        <w:pStyle w:val="Akapitzlist"/>
        <w:numPr>
          <w:ilvl w:val="0"/>
          <w:numId w:val="268"/>
        </w:numPr>
        <w:tabs>
          <w:tab w:val="left" w:pos="9914"/>
        </w:tabs>
        <w:rPr>
          <w:rFonts w:asciiTheme="minorHAnsi" w:hAnsiTheme="minorHAnsi"/>
        </w:rPr>
      </w:pPr>
      <w:r w:rsidRPr="00CB3CD7">
        <w:rPr>
          <w:rFonts w:asciiTheme="minorHAnsi" w:hAnsiTheme="minorHAnsi"/>
        </w:rPr>
        <w:t>piasek na podsypkę i do zapraw,</w:t>
      </w:r>
    </w:p>
    <w:p w14:paraId="236E8FD2" w14:textId="77777777" w:rsidR="00CB3CD7" w:rsidRDefault="00184474" w:rsidP="00262498">
      <w:pPr>
        <w:pStyle w:val="Akapitzlist"/>
        <w:numPr>
          <w:ilvl w:val="0"/>
          <w:numId w:val="268"/>
        </w:numPr>
        <w:tabs>
          <w:tab w:val="left" w:pos="9914"/>
        </w:tabs>
        <w:rPr>
          <w:rFonts w:asciiTheme="minorHAnsi" w:hAnsiTheme="minorHAnsi"/>
        </w:rPr>
      </w:pPr>
      <w:r w:rsidRPr="00CB3CD7">
        <w:rPr>
          <w:rFonts w:asciiTheme="minorHAnsi" w:hAnsiTheme="minorHAnsi"/>
        </w:rPr>
        <w:t>cement do podsypki i zapraw,</w:t>
      </w:r>
    </w:p>
    <w:p w14:paraId="0832371B" w14:textId="77777777" w:rsidR="00CB3CD7" w:rsidRDefault="00184474" w:rsidP="00262498">
      <w:pPr>
        <w:pStyle w:val="Akapitzlist"/>
        <w:numPr>
          <w:ilvl w:val="0"/>
          <w:numId w:val="268"/>
        </w:numPr>
        <w:tabs>
          <w:tab w:val="left" w:pos="9914"/>
        </w:tabs>
        <w:rPr>
          <w:rFonts w:asciiTheme="minorHAnsi" w:hAnsiTheme="minorHAnsi"/>
        </w:rPr>
      </w:pPr>
      <w:r w:rsidRPr="00CB3CD7">
        <w:rPr>
          <w:rFonts w:asciiTheme="minorHAnsi" w:hAnsiTheme="minorHAnsi"/>
        </w:rPr>
        <w:t>woda,</w:t>
      </w:r>
    </w:p>
    <w:p w14:paraId="53FF6705" w14:textId="5E79F829" w:rsidR="00184474" w:rsidRPr="00CB3CD7" w:rsidRDefault="00184474" w:rsidP="00262498">
      <w:pPr>
        <w:pStyle w:val="Akapitzlist"/>
        <w:numPr>
          <w:ilvl w:val="0"/>
          <w:numId w:val="268"/>
        </w:numPr>
        <w:tabs>
          <w:tab w:val="left" w:pos="9914"/>
        </w:tabs>
        <w:rPr>
          <w:rFonts w:asciiTheme="minorHAnsi" w:hAnsiTheme="minorHAnsi"/>
        </w:rPr>
      </w:pPr>
      <w:r w:rsidRPr="00CB3CD7">
        <w:rPr>
          <w:rFonts w:asciiTheme="minorHAnsi" w:hAnsiTheme="minorHAnsi"/>
        </w:rPr>
        <w:t>beton do wykonania ławy pod krawężniki.</w:t>
      </w:r>
    </w:p>
    <w:p w14:paraId="08200EED" w14:textId="77777777" w:rsidR="00184474" w:rsidRPr="00A23FB4" w:rsidRDefault="00184474" w:rsidP="00184474">
      <w:pPr>
        <w:pStyle w:val="Nagwek4"/>
        <w:tabs>
          <w:tab w:val="left" w:pos="9914"/>
        </w:tabs>
        <w:rPr>
          <w:rFonts w:asciiTheme="minorHAnsi" w:hAnsiTheme="minorHAnsi"/>
        </w:rPr>
      </w:pPr>
      <w:r w:rsidRPr="00A23FB4">
        <w:rPr>
          <w:rFonts w:asciiTheme="minorHAnsi" w:hAnsiTheme="minorHAnsi"/>
        </w:rPr>
        <w:t>2.3. Krawężniki betonowe - klasyfikacja</w:t>
      </w:r>
    </w:p>
    <w:p w14:paraId="50E940FC" w14:textId="77777777" w:rsidR="00184474" w:rsidRPr="00A23FB4" w:rsidRDefault="00184474" w:rsidP="00184474">
      <w:pPr>
        <w:numPr>
          <w:ilvl w:val="12"/>
          <w:numId w:val="0"/>
        </w:numPr>
        <w:tabs>
          <w:tab w:val="left" w:pos="9914"/>
        </w:tabs>
        <w:rPr>
          <w:rFonts w:asciiTheme="minorHAnsi" w:hAnsiTheme="minorHAnsi"/>
        </w:rPr>
      </w:pPr>
      <w:r w:rsidRPr="00A23FB4">
        <w:rPr>
          <w:rFonts w:asciiTheme="minorHAnsi" w:hAnsiTheme="minorHAnsi"/>
        </w:rPr>
        <w:t>Krawężniki drogowe winny odpowiadać wymaganiom PN-EN-1340:2004</w:t>
      </w:r>
    </w:p>
    <w:p w14:paraId="1F6EE7CE" w14:textId="77777777" w:rsidR="00184474" w:rsidRPr="00A23FB4" w:rsidRDefault="00184474" w:rsidP="00184474">
      <w:pPr>
        <w:numPr>
          <w:ilvl w:val="12"/>
          <w:numId w:val="0"/>
        </w:numPr>
        <w:tabs>
          <w:tab w:val="left" w:pos="9914"/>
        </w:tabs>
        <w:rPr>
          <w:rFonts w:asciiTheme="minorHAnsi" w:hAnsiTheme="minorHAnsi"/>
        </w:rPr>
      </w:pPr>
      <w:r w:rsidRPr="00A23FB4">
        <w:rPr>
          <w:rFonts w:asciiTheme="minorHAnsi" w:hAnsiTheme="minorHAnsi"/>
        </w:rPr>
        <w:t>Deklarowane cechy techniczne krawężników winny być następujące:</w:t>
      </w:r>
    </w:p>
    <w:p w14:paraId="7CBF7EA8" w14:textId="77777777" w:rsidR="00184474" w:rsidRPr="00A23FB4" w:rsidRDefault="00184474" w:rsidP="00262498">
      <w:pPr>
        <w:numPr>
          <w:ilvl w:val="0"/>
          <w:numId w:val="182"/>
        </w:numPr>
        <w:tabs>
          <w:tab w:val="left" w:pos="9914"/>
        </w:tabs>
        <w:ind w:left="0" w:firstLine="0"/>
        <w:rPr>
          <w:rFonts w:asciiTheme="minorHAnsi" w:hAnsiTheme="minorHAnsi"/>
        </w:rPr>
      </w:pPr>
      <w:r w:rsidRPr="00A23FB4">
        <w:rPr>
          <w:rFonts w:asciiTheme="minorHAnsi" w:hAnsiTheme="minorHAnsi"/>
        </w:rPr>
        <w:t>odporność na poślizg – zadowalająca</w:t>
      </w:r>
    </w:p>
    <w:p w14:paraId="596AF568" w14:textId="77777777" w:rsidR="00184474" w:rsidRPr="00A23FB4" w:rsidRDefault="00184474" w:rsidP="00262498">
      <w:pPr>
        <w:numPr>
          <w:ilvl w:val="0"/>
          <w:numId w:val="182"/>
        </w:numPr>
        <w:tabs>
          <w:tab w:val="left" w:pos="9914"/>
        </w:tabs>
        <w:ind w:left="0" w:firstLine="0"/>
        <w:rPr>
          <w:rFonts w:asciiTheme="minorHAnsi" w:hAnsiTheme="minorHAnsi"/>
        </w:rPr>
      </w:pPr>
      <w:r w:rsidRPr="00A23FB4">
        <w:rPr>
          <w:rFonts w:asciiTheme="minorHAnsi" w:hAnsiTheme="minorHAnsi"/>
        </w:rPr>
        <w:t>wytrzymałość na zginanie – S</w:t>
      </w:r>
    </w:p>
    <w:p w14:paraId="775572B7" w14:textId="77777777" w:rsidR="00184474" w:rsidRPr="00A23FB4" w:rsidRDefault="00184474" w:rsidP="00262498">
      <w:pPr>
        <w:numPr>
          <w:ilvl w:val="0"/>
          <w:numId w:val="182"/>
        </w:numPr>
        <w:tabs>
          <w:tab w:val="left" w:pos="9914"/>
        </w:tabs>
        <w:ind w:left="0" w:firstLine="0"/>
        <w:rPr>
          <w:rFonts w:asciiTheme="minorHAnsi" w:hAnsiTheme="minorHAnsi"/>
        </w:rPr>
      </w:pPr>
      <w:r w:rsidRPr="00A23FB4">
        <w:rPr>
          <w:rFonts w:asciiTheme="minorHAnsi" w:hAnsiTheme="minorHAnsi"/>
        </w:rPr>
        <w:t>odporność na warunki atmosferyczne – B</w:t>
      </w:r>
    </w:p>
    <w:p w14:paraId="241ED1D1" w14:textId="77777777" w:rsidR="00184474" w:rsidRPr="00A23FB4" w:rsidRDefault="00184474" w:rsidP="00262498">
      <w:pPr>
        <w:numPr>
          <w:ilvl w:val="0"/>
          <w:numId w:val="182"/>
        </w:numPr>
        <w:tabs>
          <w:tab w:val="left" w:pos="9914"/>
        </w:tabs>
        <w:ind w:left="0" w:firstLine="0"/>
        <w:rPr>
          <w:rFonts w:asciiTheme="minorHAnsi" w:hAnsiTheme="minorHAnsi"/>
        </w:rPr>
      </w:pPr>
      <w:r w:rsidRPr="00A23FB4">
        <w:rPr>
          <w:rFonts w:asciiTheme="minorHAnsi" w:hAnsiTheme="minorHAnsi"/>
        </w:rPr>
        <w:t>odporność na ścieranie – H</w:t>
      </w:r>
    </w:p>
    <w:p w14:paraId="4D63F1CD" w14:textId="77777777" w:rsidR="00184474" w:rsidRPr="00A23FB4" w:rsidRDefault="00184474" w:rsidP="00262498">
      <w:pPr>
        <w:numPr>
          <w:ilvl w:val="0"/>
          <w:numId w:val="182"/>
        </w:numPr>
        <w:tabs>
          <w:tab w:val="left" w:pos="9914"/>
        </w:tabs>
        <w:ind w:left="0" w:firstLine="0"/>
        <w:rPr>
          <w:rFonts w:asciiTheme="minorHAnsi" w:hAnsiTheme="minorHAnsi"/>
        </w:rPr>
      </w:pPr>
      <w:r w:rsidRPr="00A23FB4">
        <w:rPr>
          <w:rFonts w:asciiTheme="minorHAnsi" w:hAnsiTheme="minorHAnsi"/>
        </w:rPr>
        <w:t>odporność na ogień – A1</w:t>
      </w:r>
    </w:p>
    <w:p w14:paraId="0E402C21" w14:textId="77777777" w:rsidR="00184474" w:rsidRPr="00A23FB4" w:rsidRDefault="00184474" w:rsidP="00262498">
      <w:pPr>
        <w:numPr>
          <w:ilvl w:val="0"/>
          <w:numId w:val="182"/>
        </w:numPr>
        <w:tabs>
          <w:tab w:val="left" w:pos="9914"/>
        </w:tabs>
        <w:ind w:left="0" w:firstLine="0"/>
        <w:rPr>
          <w:rFonts w:asciiTheme="minorHAnsi" w:hAnsiTheme="minorHAnsi"/>
        </w:rPr>
      </w:pPr>
      <w:r w:rsidRPr="00A23FB4">
        <w:rPr>
          <w:rFonts w:asciiTheme="minorHAnsi" w:hAnsiTheme="minorHAnsi"/>
        </w:rPr>
        <w:t>trwałość - zadowalająca</w:t>
      </w:r>
    </w:p>
    <w:p w14:paraId="4EE99B9E" w14:textId="77777777" w:rsidR="00184474" w:rsidRPr="00A23FB4" w:rsidRDefault="00184474" w:rsidP="00184474">
      <w:pPr>
        <w:numPr>
          <w:ilvl w:val="12"/>
          <w:numId w:val="0"/>
        </w:numPr>
        <w:tabs>
          <w:tab w:val="left" w:pos="9914"/>
        </w:tabs>
        <w:rPr>
          <w:rFonts w:asciiTheme="minorHAnsi" w:hAnsiTheme="minorHAnsi"/>
        </w:rPr>
      </w:pPr>
      <w:r w:rsidRPr="00A23FB4">
        <w:rPr>
          <w:rFonts w:asciiTheme="minorHAnsi" w:hAnsiTheme="minorHAnsi"/>
        </w:rPr>
        <w:t>Dopuszczalne odchyłki wymiarów krawężników betonowych wynoszą</w:t>
      </w:r>
    </w:p>
    <w:p w14:paraId="7303EDFD" w14:textId="77777777" w:rsidR="00184474" w:rsidRPr="00A23FB4" w:rsidRDefault="00184474" w:rsidP="00184474">
      <w:pPr>
        <w:numPr>
          <w:ilvl w:val="12"/>
          <w:numId w:val="0"/>
        </w:numPr>
        <w:tabs>
          <w:tab w:val="left" w:pos="9914"/>
        </w:tabs>
        <w:rPr>
          <w:rFonts w:asciiTheme="minorHAnsi" w:hAnsiTheme="minorHAnsi"/>
        </w:rPr>
      </w:pPr>
      <w:r w:rsidRPr="00A23FB4">
        <w:rPr>
          <w:rFonts w:asciiTheme="minorHAnsi" w:hAnsiTheme="minorHAnsi"/>
        </w:rPr>
        <w:t>Dla długości krawężnika – 8 mm</w:t>
      </w:r>
    </w:p>
    <w:p w14:paraId="78CDEAD5" w14:textId="77777777" w:rsidR="00184474" w:rsidRPr="00A23FB4" w:rsidRDefault="00184474" w:rsidP="00184474">
      <w:pPr>
        <w:numPr>
          <w:ilvl w:val="12"/>
          <w:numId w:val="0"/>
        </w:numPr>
        <w:tabs>
          <w:tab w:val="left" w:pos="9914"/>
        </w:tabs>
        <w:rPr>
          <w:rFonts w:asciiTheme="minorHAnsi" w:hAnsiTheme="minorHAnsi"/>
        </w:rPr>
      </w:pPr>
      <w:r w:rsidRPr="00A23FB4">
        <w:rPr>
          <w:rFonts w:asciiTheme="minorHAnsi" w:hAnsiTheme="minorHAnsi"/>
        </w:rPr>
        <w:t>Dla wysokości i szerokości krawężnika – 3 mm</w:t>
      </w:r>
    </w:p>
    <w:p w14:paraId="0EB6EB30" w14:textId="77777777" w:rsidR="00184474" w:rsidRPr="00A23FB4" w:rsidRDefault="00184474" w:rsidP="00184474">
      <w:pPr>
        <w:numPr>
          <w:ilvl w:val="12"/>
          <w:numId w:val="0"/>
        </w:numPr>
        <w:tabs>
          <w:tab w:val="left" w:pos="9914"/>
        </w:tabs>
        <w:rPr>
          <w:rFonts w:asciiTheme="minorHAnsi" w:hAnsiTheme="minorHAnsi"/>
        </w:rPr>
      </w:pPr>
      <w:r w:rsidRPr="00A23FB4">
        <w:rPr>
          <w:rFonts w:asciiTheme="minorHAnsi" w:hAnsiTheme="minorHAnsi"/>
        </w:rPr>
        <w:t>Powierzchnie krawężników betonowych powinny być bez rys, pęknięć i ubytków betonu, o fakturze z formy lub zatartej. Krawędzie elementów powinny być równe i proste.</w:t>
      </w:r>
    </w:p>
    <w:p w14:paraId="1A694304" w14:textId="77777777" w:rsidR="00184474" w:rsidRPr="00A23FB4" w:rsidRDefault="00184474" w:rsidP="00184474">
      <w:pPr>
        <w:numPr>
          <w:ilvl w:val="12"/>
          <w:numId w:val="0"/>
        </w:numPr>
        <w:tabs>
          <w:tab w:val="left" w:pos="9914"/>
        </w:tabs>
        <w:rPr>
          <w:rFonts w:asciiTheme="minorHAnsi" w:hAnsiTheme="minorHAnsi"/>
        </w:rPr>
      </w:pPr>
      <w:r w:rsidRPr="00A23FB4">
        <w:rPr>
          <w:rFonts w:asciiTheme="minorHAnsi" w:hAnsiTheme="minorHAnsi"/>
        </w:rPr>
        <w:t>Krawężniki betonowe mogą być przechowywane na składowiskach otwartych, posegregowane według typów, rodzajów, odmian, gatunków i wielkości.</w:t>
      </w:r>
    </w:p>
    <w:p w14:paraId="533CBB3B" w14:textId="77777777" w:rsidR="00184474" w:rsidRPr="00A23FB4" w:rsidRDefault="00184474" w:rsidP="00184474">
      <w:pPr>
        <w:numPr>
          <w:ilvl w:val="12"/>
          <w:numId w:val="0"/>
        </w:numPr>
        <w:tabs>
          <w:tab w:val="left" w:pos="9914"/>
        </w:tabs>
        <w:rPr>
          <w:rFonts w:asciiTheme="minorHAnsi" w:hAnsiTheme="minorHAnsi"/>
        </w:rPr>
      </w:pPr>
      <w:r w:rsidRPr="00A23FB4">
        <w:rPr>
          <w:rFonts w:asciiTheme="minorHAnsi" w:hAnsiTheme="minorHAnsi"/>
        </w:rPr>
        <w:t>Krawężniki betonowe należy układać z zastosowaniem podkładek i przekładek drewnianych o wymiarach: grubość 2,5 cm, szerokość 5 cm, długość min. 5 cm większa niż szerokość krawężnika.</w:t>
      </w:r>
    </w:p>
    <w:p w14:paraId="5BE7AAE9" w14:textId="77777777" w:rsidR="00184474" w:rsidRPr="00A23FB4" w:rsidRDefault="00184474" w:rsidP="00184474">
      <w:pPr>
        <w:pStyle w:val="Nagwek4"/>
        <w:tabs>
          <w:tab w:val="left" w:pos="9914"/>
        </w:tabs>
        <w:rPr>
          <w:rFonts w:asciiTheme="minorHAnsi" w:hAnsiTheme="minorHAnsi"/>
        </w:rPr>
      </w:pPr>
      <w:r w:rsidRPr="00A23FB4">
        <w:rPr>
          <w:rFonts w:asciiTheme="minorHAnsi" w:hAnsiTheme="minorHAnsi"/>
        </w:rPr>
        <w:t>2.5. Materiały na podsypkę i do zapraw</w:t>
      </w:r>
    </w:p>
    <w:p w14:paraId="61949CBC" w14:textId="77777777" w:rsidR="00184474" w:rsidRPr="00A23FB4" w:rsidRDefault="00184474" w:rsidP="00184474">
      <w:pPr>
        <w:tabs>
          <w:tab w:val="left" w:pos="9914"/>
        </w:tabs>
        <w:rPr>
          <w:rFonts w:asciiTheme="minorHAnsi" w:hAnsiTheme="minorHAnsi"/>
        </w:rPr>
      </w:pPr>
      <w:r w:rsidRPr="00A23FB4">
        <w:rPr>
          <w:rFonts w:asciiTheme="minorHAnsi" w:hAnsiTheme="minorHAnsi"/>
        </w:rPr>
        <w:t>Piasek na podsypkę cementowo-piaskową i do zapraw powinien odpowiadać wymaganiom PN-EN-12620:2004.</w:t>
      </w:r>
    </w:p>
    <w:p w14:paraId="1D4DCE50" w14:textId="77777777" w:rsidR="00184474" w:rsidRPr="00A23FB4" w:rsidRDefault="00184474" w:rsidP="00184474">
      <w:pPr>
        <w:tabs>
          <w:tab w:val="left" w:pos="9914"/>
        </w:tabs>
        <w:rPr>
          <w:rFonts w:asciiTheme="minorHAnsi" w:hAnsiTheme="minorHAnsi"/>
        </w:rPr>
      </w:pPr>
      <w:r w:rsidRPr="00A23FB4">
        <w:rPr>
          <w:rFonts w:asciiTheme="minorHAnsi" w:hAnsiTheme="minorHAnsi"/>
        </w:rPr>
        <w:t>Cement na podsypkę i do zaprawy cementowo-piaskowej powinien być cementem portlandzkim CEM I klasy nie mniejszej niż „32,5”, odpowiadający wymaganiom PN-EN-197-1:2002.</w:t>
      </w:r>
    </w:p>
    <w:p w14:paraId="4CF089C2" w14:textId="77777777" w:rsidR="00184474" w:rsidRPr="00A23FB4" w:rsidRDefault="00184474" w:rsidP="00184474">
      <w:pPr>
        <w:tabs>
          <w:tab w:val="left" w:pos="9914"/>
        </w:tabs>
        <w:rPr>
          <w:rFonts w:asciiTheme="minorHAnsi" w:hAnsiTheme="minorHAnsi"/>
        </w:rPr>
      </w:pPr>
      <w:r w:rsidRPr="00A23FB4">
        <w:rPr>
          <w:rFonts w:asciiTheme="minorHAnsi" w:hAnsiTheme="minorHAnsi"/>
        </w:rPr>
        <w:t>Woda powinna być odmiany „1” i odpowiadać wymaganiom PN-EN-1008:2004.</w:t>
      </w:r>
    </w:p>
    <w:p w14:paraId="42E1C83E" w14:textId="77777777" w:rsidR="00184474" w:rsidRPr="00A23FB4" w:rsidRDefault="00184474" w:rsidP="00184474">
      <w:pPr>
        <w:pStyle w:val="Nagwek4"/>
        <w:tabs>
          <w:tab w:val="left" w:pos="9914"/>
        </w:tabs>
        <w:rPr>
          <w:rFonts w:asciiTheme="minorHAnsi" w:hAnsiTheme="minorHAnsi"/>
        </w:rPr>
      </w:pPr>
      <w:r w:rsidRPr="00A23FB4">
        <w:rPr>
          <w:rFonts w:asciiTheme="minorHAnsi" w:hAnsiTheme="minorHAnsi"/>
        </w:rPr>
        <w:t>2.6. Materiały na ławy</w:t>
      </w:r>
    </w:p>
    <w:p w14:paraId="6ACBDA86" w14:textId="77777777" w:rsidR="00184474" w:rsidRPr="00A23FB4" w:rsidRDefault="00184474" w:rsidP="00184474">
      <w:pPr>
        <w:tabs>
          <w:tab w:val="left" w:pos="9914"/>
        </w:tabs>
        <w:rPr>
          <w:rFonts w:asciiTheme="minorHAnsi" w:hAnsiTheme="minorHAnsi"/>
        </w:rPr>
      </w:pPr>
      <w:r w:rsidRPr="00A23FB4">
        <w:rPr>
          <w:rFonts w:asciiTheme="minorHAnsi" w:hAnsiTheme="minorHAnsi"/>
        </w:rPr>
        <w:t>Do wykonania ław pod krawężniki należy stosować, beton klasy C12/15 wg PN-B-06250</w:t>
      </w:r>
    </w:p>
    <w:p w14:paraId="298B2504" w14:textId="77777777" w:rsidR="00184474" w:rsidRPr="00A23FB4" w:rsidRDefault="00184474" w:rsidP="00184474">
      <w:pPr>
        <w:pStyle w:val="Nagwek4"/>
        <w:tabs>
          <w:tab w:val="left" w:pos="9914"/>
        </w:tabs>
        <w:rPr>
          <w:rFonts w:asciiTheme="minorHAnsi" w:hAnsiTheme="minorHAnsi"/>
        </w:rPr>
      </w:pPr>
      <w:r w:rsidRPr="00A23FB4">
        <w:rPr>
          <w:rFonts w:asciiTheme="minorHAnsi" w:hAnsiTheme="minorHAnsi"/>
        </w:rPr>
        <w:t>2.7. Masa zalewowa</w:t>
      </w:r>
    </w:p>
    <w:p w14:paraId="5A17D84D" w14:textId="77777777" w:rsidR="00184474" w:rsidRPr="00A23FB4" w:rsidRDefault="00184474" w:rsidP="00184474">
      <w:pPr>
        <w:tabs>
          <w:tab w:val="left" w:pos="9914"/>
        </w:tabs>
        <w:rPr>
          <w:rFonts w:asciiTheme="minorHAnsi" w:hAnsiTheme="minorHAnsi"/>
        </w:rPr>
      </w:pPr>
      <w:r w:rsidRPr="00A23FB4">
        <w:rPr>
          <w:rFonts w:asciiTheme="minorHAnsi" w:hAnsiTheme="minorHAnsi"/>
        </w:rPr>
        <w:t>Masa zalewowa, do wypełnienia szczelin dylatacyjnych na gorąco, powinna odpowiadać wymaganiom BN-74/6771-04 lub aprobaty technicznej.</w:t>
      </w:r>
    </w:p>
    <w:p w14:paraId="5FD1F79C" w14:textId="77777777" w:rsidR="00184474" w:rsidRPr="00A23FB4" w:rsidRDefault="00184474" w:rsidP="00184474">
      <w:pPr>
        <w:pStyle w:val="Nagwek3"/>
        <w:tabs>
          <w:tab w:val="left" w:pos="9914"/>
        </w:tabs>
        <w:rPr>
          <w:rFonts w:asciiTheme="minorHAnsi" w:hAnsiTheme="minorHAnsi"/>
        </w:rPr>
      </w:pPr>
      <w:bookmarkStart w:id="864" w:name="_Toc428239274"/>
      <w:bookmarkStart w:id="865" w:name="_Toc428759423"/>
      <w:r w:rsidRPr="00A23FB4">
        <w:rPr>
          <w:rFonts w:asciiTheme="minorHAnsi" w:hAnsiTheme="minorHAnsi"/>
        </w:rPr>
        <w:t>3. SPRZĘT</w:t>
      </w:r>
      <w:bookmarkEnd w:id="864"/>
      <w:bookmarkEnd w:id="865"/>
    </w:p>
    <w:p w14:paraId="1514FC42" w14:textId="77777777" w:rsidR="00184474" w:rsidRPr="00A23FB4" w:rsidRDefault="00184474" w:rsidP="00184474">
      <w:pPr>
        <w:pStyle w:val="Nagwek4"/>
        <w:tabs>
          <w:tab w:val="left" w:pos="9914"/>
        </w:tabs>
        <w:rPr>
          <w:rFonts w:asciiTheme="minorHAnsi" w:hAnsiTheme="minorHAnsi"/>
        </w:rPr>
      </w:pPr>
      <w:r w:rsidRPr="00A23FB4">
        <w:rPr>
          <w:rFonts w:asciiTheme="minorHAnsi" w:hAnsiTheme="minorHAnsi"/>
        </w:rPr>
        <w:t>3.1. Ogólne wymagania dotyczące sprzętu</w:t>
      </w:r>
    </w:p>
    <w:p w14:paraId="611E289F" w14:textId="207758FF" w:rsidR="00184474" w:rsidRPr="00A23FB4" w:rsidRDefault="00184474" w:rsidP="00184474">
      <w:pPr>
        <w:tabs>
          <w:tab w:val="right" w:leader="dot" w:pos="-1985"/>
          <w:tab w:val="left" w:pos="284"/>
          <w:tab w:val="left" w:pos="9914"/>
        </w:tabs>
        <w:rPr>
          <w:rFonts w:asciiTheme="minorHAnsi" w:hAnsiTheme="minorHAnsi"/>
        </w:rPr>
      </w:pPr>
      <w:r w:rsidRPr="00A23FB4">
        <w:rPr>
          <w:rFonts w:asciiTheme="minorHAnsi" w:hAnsiTheme="minorHAnsi"/>
        </w:rPr>
        <w:t xml:space="preserve">Ogólne wymagania dotyczące sprzętu podano w </w:t>
      </w:r>
      <w:r w:rsidR="00865C6C">
        <w:rPr>
          <w:rFonts w:asciiTheme="minorHAnsi" w:hAnsiTheme="minorHAnsi"/>
        </w:rPr>
        <w:t>ST</w:t>
      </w:r>
      <w:r w:rsidRPr="00A23FB4">
        <w:rPr>
          <w:rFonts w:asciiTheme="minorHAnsi" w:hAnsiTheme="minorHAnsi"/>
        </w:rPr>
        <w:t>WiORB D-M-00.00.00 „Wymagania ogólne” pkt 3.</w:t>
      </w:r>
    </w:p>
    <w:p w14:paraId="5D0941E3" w14:textId="77777777" w:rsidR="00184474" w:rsidRPr="00A23FB4" w:rsidRDefault="00184474" w:rsidP="00184474">
      <w:pPr>
        <w:pStyle w:val="Nagwek4"/>
        <w:tabs>
          <w:tab w:val="left" w:pos="9914"/>
        </w:tabs>
        <w:rPr>
          <w:rFonts w:asciiTheme="minorHAnsi" w:hAnsiTheme="minorHAnsi"/>
        </w:rPr>
      </w:pPr>
      <w:r w:rsidRPr="00A23FB4">
        <w:rPr>
          <w:rFonts w:asciiTheme="minorHAnsi" w:hAnsiTheme="minorHAnsi"/>
        </w:rPr>
        <w:t xml:space="preserve">3.2. Sprzęt </w:t>
      </w:r>
    </w:p>
    <w:p w14:paraId="4428389F" w14:textId="77777777" w:rsidR="00CB3CD7" w:rsidRDefault="00184474" w:rsidP="00CB3CD7">
      <w:pPr>
        <w:tabs>
          <w:tab w:val="right" w:leader="dot" w:pos="-1985"/>
          <w:tab w:val="left" w:pos="284"/>
          <w:tab w:val="left" w:pos="9914"/>
        </w:tabs>
        <w:rPr>
          <w:rFonts w:asciiTheme="minorHAnsi" w:hAnsiTheme="minorHAnsi"/>
        </w:rPr>
      </w:pPr>
      <w:r w:rsidRPr="00A23FB4">
        <w:rPr>
          <w:rFonts w:asciiTheme="minorHAnsi" w:hAnsiTheme="minorHAnsi"/>
          <w:b/>
        </w:rPr>
        <w:tab/>
      </w:r>
      <w:r w:rsidRPr="00A23FB4">
        <w:rPr>
          <w:rFonts w:asciiTheme="minorHAnsi" w:hAnsiTheme="minorHAnsi"/>
        </w:rPr>
        <w:t>Roboty wykonuje się ręcznie przy zastosowaniu:</w:t>
      </w:r>
    </w:p>
    <w:p w14:paraId="3A66920E" w14:textId="77777777" w:rsidR="00CB3CD7" w:rsidRDefault="00184474" w:rsidP="00262498">
      <w:pPr>
        <w:pStyle w:val="Akapitzlist"/>
        <w:numPr>
          <w:ilvl w:val="0"/>
          <w:numId w:val="269"/>
        </w:numPr>
        <w:tabs>
          <w:tab w:val="right" w:leader="dot" w:pos="-1985"/>
          <w:tab w:val="left" w:pos="284"/>
          <w:tab w:val="left" w:pos="9914"/>
        </w:tabs>
        <w:rPr>
          <w:rFonts w:asciiTheme="minorHAnsi" w:hAnsiTheme="minorHAnsi"/>
        </w:rPr>
      </w:pPr>
      <w:r w:rsidRPr="00CB3CD7">
        <w:rPr>
          <w:rFonts w:asciiTheme="minorHAnsi" w:hAnsiTheme="minorHAnsi"/>
        </w:rPr>
        <w:t>betoniarek do wytwarzania betonu i zapraw oraz przygotowania podsypki cementowo-piaskowej,</w:t>
      </w:r>
    </w:p>
    <w:p w14:paraId="5C0CF8DC" w14:textId="6ECC9B16" w:rsidR="00184474" w:rsidRPr="00CB3CD7" w:rsidRDefault="00184474" w:rsidP="00262498">
      <w:pPr>
        <w:pStyle w:val="Akapitzlist"/>
        <w:numPr>
          <w:ilvl w:val="0"/>
          <w:numId w:val="269"/>
        </w:numPr>
        <w:tabs>
          <w:tab w:val="right" w:leader="dot" w:pos="-1985"/>
          <w:tab w:val="left" w:pos="284"/>
          <w:tab w:val="left" w:pos="9914"/>
        </w:tabs>
        <w:rPr>
          <w:rFonts w:asciiTheme="minorHAnsi" w:hAnsiTheme="minorHAnsi"/>
        </w:rPr>
      </w:pPr>
      <w:r w:rsidRPr="00CB3CD7">
        <w:rPr>
          <w:rFonts w:asciiTheme="minorHAnsi" w:hAnsiTheme="minorHAnsi"/>
        </w:rPr>
        <w:t>wibratorów płytowych, ubijaków ręcznych lub mechanicznych.</w:t>
      </w:r>
    </w:p>
    <w:p w14:paraId="78B3FFF0" w14:textId="77777777" w:rsidR="00184474" w:rsidRPr="00A23FB4" w:rsidRDefault="00184474" w:rsidP="00184474">
      <w:pPr>
        <w:pStyle w:val="Nagwek3"/>
        <w:tabs>
          <w:tab w:val="left" w:pos="9914"/>
        </w:tabs>
        <w:rPr>
          <w:rFonts w:asciiTheme="minorHAnsi" w:hAnsiTheme="minorHAnsi"/>
        </w:rPr>
      </w:pPr>
      <w:bookmarkStart w:id="866" w:name="_Toc428239275"/>
      <w:bookmarkStart w:id="867" w:name="_Toc428759424"/>
      <w:r w:rsidRPr="00A23FB4">
        <w:rPr>
          <w:rFonts w:asciiTheme="minorHAnsi" w:hAnsiTheme="minorHAnsi"/>
        </w:rPr>
        <w:t>4. TRANSPORT</w:t>
      </w:r>
      <w:bookmarkEnd w:id="866"/>
      <w:bookmarkEnd w:id="867"/>
    </w:p>
    <w:p w14:paraId="2C6E893C" w14:textId="77777777" w:rsidR="00184474" w:rsidRPr="00A23FB4" w:rsidRDefault="00184474" w:rsidP="00184474">
      <w:pPr>
        <w:pStyle w:val="Nagwek4"/>
        <w:tabs>
          <w:tab w:val="left" w:pos="9914"/>
        </w:tabs>
        <w:rPr>
          <w:rFonts w:asciiTheme="minorHAnsi" w:hAnsiTheme="minorHAnsi"/>
        </w:rPr>
      </w:pPr>
      <w:r w:rsidRPr="00A23FB4">
        <w:rPr>
          <w:rFonts w:asciiTheme="minorHAnsi" w:hAnsiTheme="minorHAnsi"/>
        </w:rPr>
        <w:t>4.1. Ogólne wymagania dotyczące transportu</w:t>
      </w:r>
    </w:p>
    <w:p w14:paraId="27937DC4" w14:textId="70D5F81C" w:rsidR="00184474" w:rsidRPr="00A23FB4" w:rsidRDefault="00184474" w:rsidP="00184474">
      <w:pPr>
        <w:tabs>
          <w:tab w:val="right" w:leader="dot" w:pos="-1985"/>
          <w:tab w:val="left" w:pos="284"/>
          <w:tab w:val="left" w:pos="9914"/>
        </w:tabs>
        <w:rPr>
          <w:rFonts w:asciiTheme="minorHAnsi" w:hAnsiTheme="minorHAnsi"/>
        </w:rPr>
      </w:pPr>
      <w:r w:rsidRPr="00A23FB4">
        <w:rPr>
          <w:rFonts w:asciiTheme="minorHAnsi" w:hAnsiTheme="minorHAnsi"/>
        </w:rPr>
        <w:t xml:space="preserve">Ogólne wymagania dotyczące transportu podano w </w:t>
      </w:r>
      <w:r w:rsidR="00865C6C">
        <w:rPr>
          <w:rFonts w:asciiTheme="minorHAnsi" w:hAnsiTheme="minorHAnsi"/>
        </w:rPr>
        <w:t>ST</w:t>
      </w:r>
      <w:r w:rsidRPr="00A23FB4">
        <w:rPr>
          <w:rFonts w:asciiTheme="minorHAnsi" w:hAnsiTheme="minorHAnsi"/>
        </w:rPr>
        <w:t>WiORB D-M-00.00.00 „Wymagania ogólne” pkt 4.</w:t>
      </w:r>
    </w:p>
    <w:p w14:paraId="604CA02B" w14:textId="77777777" w:rsidR="00184474" w:rsidRPr="00A23FB4" w:rsidRDefault="00184474" w:rsidP="00184474">
      <w:pPr>
        <w:pStyle w:val="Nagwek4"/>
        <w:tabs>
          <w:tab w:val="left" w:pos="9914"/>
        </w:tabs>
        <w:rPr>
          <w:rFonts w:asciiTheme="minorHAnsi" w:hAnsiTheme="minorHAnsi"/>
        </w:rPr>
      </w:pPr>
      <w:r w:rsidRPr="00A23FB4">
        <w:rPr>
          <w:rFonts w:asciiTheme="minorHAnsi" w:hAnsiTheme="minorHAnsi"/>
        </w:rPr>
        <w:t>4.2. Transport krawężników</w:t>
      </w:r>
    </w:p>
    <w:p w14:paraId="76A974E6" w14:textId="77777777" w:rsidR="00184474" w:rsidRPr="00A23FB4" w:rsidRDefault="00184474" w:rsidP="00184474">
      <w:pPr>
        <w:tabs>
          <w:tab w:val="right" w:leader="dot" w:pos="-1985"/>
          <w:tab w:val="left" w:pos="284"/>
          <w:tab w:val="left" w:pos="9914"/>
        </w:tabs>
        <w:rPr>
          <w:rFonts w:asciiTheme="minorHAnsi" w:hAnsiTheme="minorHAnsi"/>
        </w:rPr>
      </w:pPr>
      <w:r w:rsidRPr="00A23FB4">
        <w:rPr>
          <w:rFonts w:asciiTheme="minorHAnsi" w:hAnsiTheme="minorHAnsi"/>
        </w:rPr>
        <w:t>Krawężniki betonowe mogą być przewożone dowolnymi środkami transportowymi.</w:t>
      </w:r>
    </w:p>
    <w:p w14:paraId="5DF68F3E" w14:textId="77777777" w:rsidR="00184474" w:rsidRPr="00A23FB4" w:rsidRDefault="00184474" w:rsidP="00184474">
      <w:pPr>
        <w:tabs>
          <w:tab w:val="right" w:leader="dot" w:pos="-1985"/>
          <w:tab w:val="left" w:pos="284"/>
          <w:tab w:val="left" w:pos="9914"/>
        </w:tabs>
        <w:rPr>
          <w:rFonts w:asciiTheme="minorHAnsi" w:hAnsiTheme="minorHAnsi"/>
        </w:rPr>
      </w:pPr>
      <w:r w:rsidRPr="00A23FB4">
        <w:rPr>
          <w:rFonts w:asciiTheme="minorHAnsi" w:hAnsiTheme="minorHAnsi"/>
        </w:rPr>
        <w:t>Krawężniki betonowe układać należy na środkach transportowych w pozycji pionowej z nachyleniem w kierunku jazdy.</w:t>
      </w:r>
    </w:p>
    <w:p w14:paraId="56E228BF" w14:textId="77777777" w:rsidR="00184474" w:rsidRPr="00A23FB4" w:rsidRDefault="00184474" w:rsidP="00184474">
      <w:pPr>
        <w:tabs>
          <w:tab w:val="right" w:leader="dot" w:pos="-1985"/>
          <w:tab w:val="left" w:pos="284"/>
          <w:tab w:val="left" w:pos="9914"/>
        </w:tabs>
        <w:rPr>
          <w:rFonts w:asciiTheme="minorHAnsi" w:hAnsiTheme="minorHAnsi"/>
        </w:rPr>
      </w:pPr>
      <w:r w:rsidRPr="00A23FB4">
        <w:rPr>
          <w:rFonts w:asciiTheme="minorHAnsi" w:hAnsiTheme="minorHAnsi"/>
        </w:rPr>
        <w:t>Krawężniki powinny być zabezpieczone przed przemieszczeniem się i uszkodzeniami w czasie transportu, a górna warstwa nie powinna wystawać poza ściany środka transportowego więcej niż 1/3 wysokości tej warstwy.</w:t>
      </w:r>
    </w:p>
    <w:p w14:paraId="3D41FE74" w14:textId="77777777" w:rsidR="00184474" w:rsidRPr="00A23FB4" w:rsidRDefault="00184474" w:rsidP="00184474">
      <w:pPr>
        <w:pStyle w:val="Nagwek4"/>
        <w:tabs>
          <w:tab w:val="left" w:pos="9914"/>
        </w:tabs>
        <w:rPr>
          <w:rFonts w:asciiTheme="minorHAnsi" w:hAnsiTheme="minorHAnsi"/>
        </w:rPr>
      </w:pPr>
      <w:r w:rsidRPr="00A23FB4">
        <w:rPr>
          <w:rFonts w:asciiTheme="minorHAnsi" w:hAnsiTheme="minorHAnsi"/>
        </w:rPr>
        <w:t>4.3. Transport pozostałych materiałów</w:t>
      </w:r>
    </w:p>
    <w:p w14:paraId="27CB8487" w14:textId="77777777" w:rsidR="00184474" w:rsidRPr="00A23FB4" w:rsidRDefault="00184474" w:rsidP="00184474">
      <w:pPr>
        <w:tabs>
          <w:tab w:val="left" w:pos="9914"/>
        </w:tabs>
        <w:rPr>
          <w:rFonts w:asciiTheme="minorHAnsi" w:hAnsiTheme="minorHAnsi"/>
        </w:rPr>
      </w:pPr>
      <w:r w:rsidRPr="00A23FB4">
        <w:rPr>
          <w:rFonts w:asciiTheme="minorHAnsi" w:hAnsiTheme="minorHAnsi"/>
        </w:rPr>
        <w:t>Transport cementu powinien się odbywać w warunkach zgodnych z BN-88/6731-08.</w:t>
      </w:r>
    </w:p>
    <w:p w14:paraId="45A80775" w14:textId="77777777" w:rsidR="00184474" w:rsidRPr="00A23FB4" w:rsidRDefault="00184474" w:rsidP="00184474">
      <w:pPr>
        <w:tabs>
          <w:tab w:val="left" w:pos="9914"/>
        </w:tabs>
        <w:rPr>
          <w:rFonts w:asciiTheme="minorHAnsi" w:hAnsiTheme="minorHAnsi"/>
        </w:rPr>
      </w:pPr>
      <w:r w:rsidRPr="00A23FB4">
        <w:rPr>
          <w:rFonts w:asciiTheme="minorHAnsi" w:hAnsiTheme="minorHAnsi"/>
        </w:rPr>
        <w:t>Kruszywa można przewozić dowolnym środkiem transportu, w warunkach zabezpieczających je przed zanieczyszczeniem i zmieszaniem z innymi materiałami. Podczas transportu kruszywa powinny być zabezpieczone przed wysypaniem, a kruszywo drobne - przed rozpyleniem.</w:t>
      </w:r>
    </w:p>
    <w:p w14:paraId="5A32FA3B" w14:textId="77777777" w:rsidR="00184474" w:rsidRPr="00A23FB4" w:rsidRDefault="00184474" w:rsidP="00184474">
      <w:pPr>
        <w:tabs>
          <w:tab w:val="left" w:pos="9914"/>
        </w:tabs>
        <w:rPr>
          <w:rFonts w:asciiTheme="minorHAnsi" w:hAnsiTheme="minorHAnsi"/>
        </w:rPr>
      </w:pPr>
      <w:r w:rsidRPr="00A23FB4">
        <w:rPr>
          <w:rFonts w:asciiTheme="minorHAnsi" w:hAnsiTheme="minorHAnsi"/>
        </w:rPr>
        <w:t>Masę zalewową należy pakować w bębny blaszane lub beczki drewniane. Transport powinien odbywać się w warunkach zabezpieczających przed uszkodzeniem bębnów i beczek.</w:t>
      </w:r>
    </w:p>
    <w:p w14:paraId="70B68465" w14:textId="77777777" w:rsidR="00184474" w:rsidRPr="00A23FB4" w:rsidRDefault="00184474" w:rsidP="00184474">
      <w:pPr>
        <w:pStyle w:val="Nagwek3"/>
        <w:tabs>
          <w:tab w:val="left" w:pos="9914"/>
        </w:tabs>
        <w:rPr>
          <w:rFonts w:asciiTheme="minorHAnsi" w:hAnsiTheme="minorHAnsi"/>
        </w:rPr>
      </w:pPr>
      <w:bookmarkStart w:id="868" w:name="_Toc428239276"/>
      <w:bookmarkStart w:id="869" w:name="_Toc428759425"/>
      <w:r w:rsidRPr="00A23FB4">
        <w:rPr>
          <w:rFonts w:asciiTheme="minorHAnsi" w:hAnsiTheme="minorHAnsi"/>
        </w:rPr>
        <w:t>5. WYKONANIE ROBÓT</w:t>
      </w:r>
      <w:bookmarkEnd w:id="868"/>
      <w:bookmarkEnd w:id="869"/>
    </w:p>
    <w:p w14:paraId="2502042A" w14:textId="77777777" w:rsidR="00184474" w:rsidRPr="00A23FB4" w:rsidRDefault="00184474" w:rsidP="00184474">
      <w:pPr>
        <w:pStyle w:val="Nagwek4"/>
        <w:tabs>
          <w:tab w:val="left" w:pos="9914"/>
        </w:tabs>
        <w:rPr>
          <w:rFonts w:asciiTheme="minorHAnsi" w:hAnsiTheme="minorHAnsi"/>
        </w:rPr>
      </w:pPr>
      <w:r w:rsidRPr="00A23FB4">
        <w:rPr>
          <w:rFonts w:asciiTheme="minorHAnsi" w:hAnsiTheme="minorHAnsi"/>
        </w:rPr>
        <w:t>5.1. Ogólne zasady wykonania robót</w:t>
      </w:r>
    </w:p>
    <w:p w14:paraId="59668145" w14:textId="069C0798" w:rsidR="00184474" w:rsidRPr="00A23FB4" w:rsidRDefault="00184474" w:rsidP="00184474">
      <w:pPr>
        <w:tabs>
          <w:tab w:val="left" w:pos="9914"/>
        </w:tabs>
        <w:rPr>
          <w:rFonts w:asciiTheme="minorHAnsi" w:hAnsiTheme="minorHAnsi"/>
        </w:rPr>
      </w:pPr>
      <w:r w:rsidRPr="00A23FB4">
        <w:rPr>
          <w:rFonts w:asciiTheme="minorHAnsi" w:hAnsiTheme="minorHAnsi"/>
        </w:rPr>
        <w:t xml:space="preserve">Ogólne zasady wykonania robót podano w </w:t>
      </w:r>
      <w:r w:rsidR="00865C6C">
        <w:rPr>
          <w:rFonts w:asciiTheme="minorHAnsi" w:hAnsiTheme="minorHAnsi"/>
        </w:rPr>
        <w:t>ST</w:t>
      </w:r>
      <w:r w:rsidRPr="00A23FB4">
        <w:rPr>
          <w:rFonts w:asciiTheme="minorHAnsi" w:hAnsiTheme="minorHAnsi"/>
        </w:rPr>
        <w:t>WiORB D-M-00.00.00 „Wymagania ogólne” pkt 5.</w:t>
      </w:r>
    </w:p>
    <w:p w14:paraId="4C7A0EE1" w14:textId="77777777" w:rsidR="00184474" w:rsidRPr="00A23FB4" w:rsidRDefault="00184474" w:rsidP="00184474">
      <w:pPr>
        <w:pStyle w:val="Nagwek4"/>
        <w:tabs>
          <w:tab w:val="left" w:pos="9914"/>
        </w:tabs>
        <w:rPr>
          <w:rFonts w:asciiTheme="minorHAnsi" w:hAnsiTheme="minorHAnsi"/>
        </w:rPr>
      </w:pPr>
      <w:r w:rsidRPr="00A23FB4">
        <w:rPr>
          <w:rFonts w:asciiTheme="minorHAnsi" w:hAnsiTheme="minorHAnsi"/>
        </w:rPr>
        <w:t>5.2. Wykonanie koryta pod ławy</w:t>
      </w:r>
    </w:p>
    <w:p w14:paraId="0199AD47" w14:textId="77777777" w:rsidR="00184474" w:rsidRPr="00A23FB4" w:rsidRDefault="00184474" w:rsidP="00184474">
      <w:pPr>
        <w:tabs>
          <w:tab w:val="left" w:pos="9914"/>
        </w:tabs>
        <w:rPr>
          <w:rFonts w:asciiTheme="minorHAnsi" w:hAnsiTheme="minorHAnsi"/>
        </w:rPr>
      </w:pPr>
      <w:r w:rsidRPr="00A23FB4">
        <w:rPr>
          <w:rFonts w:asciiTheme="minorHAnsi" w:hAnsiTheme="minorHAnsi"/>
        </w:rPr>
        <w:t>Koryto pod ławy należy wykonywać zgodnie z PN-B-06050.</w:t>
      </w:r>
    </w:p>
    <w:p w14:paraId="7F99209B" w14:textId="77777777" w:rsidR="00184474" w:rsidRPr="00A23FB4" w:rsidRDefault="00184474" w:rsidP="00184474">
      <w:pPr>
        <w:tabs>
          <w:tab w:val="left" w:pos="9914"/>
        </w:tabs>
        <w:rPr>
          <w:rFonts w:asciiTheme="minorHAnsi" w:hAnsiTheme="minorHAnsi"/>
        </w:rPr>
      </w:pPr>
      <w:r w:rsidRPr="00A23FB4">
        <w:rPr>
          <w:rFonts w:asciiTheme="minorHAnsi" w:hAnsiTheme="minorHAnsi"/>
        </w:rPr>
        <w:t>Wymiary wykopu powinny odpowiadać wymiarom ławy w planie z uwzględnieniem w szerokości dna wykopu oraz konstrukcji szalunku.</w:t>
      </w:r>
    </w:p>
    <w:p w14:paraId="3084D3C5" w14:textId="77777777" w:rsidR="00184474" w:rsidRPr="00A23FB4" w:rsidRDefault="00184474" w:rsidP="00184474">
      <w:pPr>
        <w:tabs>
          <w:tab w:val="left" w:pos="9914"/>
        </w:tabs>
        <w:rPr>
          <w:rFonts w:asciiTheme="minorHAnsi" w:hAnsiTheme="minorHAnsi"/>
        </w:rPr>
      </w:pPr>
      <w:r w:rsidRPr="00A23FB4">
        <w:rPr>
          <w:rFonts w:asciiTheme="minorHAnsi" w:hAnsiTheme="minorHAnsi"/>
        </w:rPr>
        <w:t>Wskaźnik zagęszczenia dna wykonanego koryta pod ławę powinien wynosić co najmniej 0,97 według normalnej metody Proctora.</w:t>
      </w:r>
    </w:p>
    <w:p w14:paraId="72BCFC83" w14:textId="77777777" w:rsidR="00184474" w:rsidRPr="00A23FB4" w:rsidRDefault="00184474" w:rsidP="00184474">
      <w:pPr>
        <w:pStyle w:val="Nagwek4"/>
        <w:tabs>
          <w:tab w:val="left" w:pos="9914"/>
        </w:tabs>
        <w:rPr>
          <w:rFonts w:asciiTheme="minorHAnsi" w:hAnsiTheme="minorHAnsi"/>
        </w:rPr>
      </w:pPr>
      <w:r w:rsidRPr="00A23FB4">
        <w:rPr>
          <w:rFonts w:asciiTheme="minorHAnsi" w:hAnsiTheme="minorHAnsi"/>
        </w:rPr>
        <w:t>5.3. Wykonanie ław</w:t>
      </w:r>
    </w:p>
    <w:p w14:paraId="57302686" w14:textId="77777777" w:rsidR="00184474" w:rsidRPr="00A23FB4" w:rsidRDefault="00184474" w:rsidP="00184474">
      <w:pPr>
        <w:tabs>
          <w:tab w:val="left" w:pos="9914"/>
        </w:tabs>
        <w:rPr>
          <w:rFonts w:asciiTheme="minorHAnsi" w:hAnsiTheme="minorHAnsi"/>
        </w:rPr>
      </w:pPr>
      <w:r w:rsidRPr="00A23FB4">
        <w:rPr>
          <w:rFonts w:asciiTheme="minorHAnsi" w:hAnsiTheme="minorHAnsi"/>
        </w:rPr>
        <w:t>Wykonanie ław powinno być zgodne z BN-64/8845-02.</w:t>
      </w:r>
    </w:p>
    <w:p w14:paraId="6D42C31C" w14:textId="77777777" w:rsidR="00184474" w:rsidRPr="00A23FB4" w:rsidRDefault="00184474" w:rsidP="00184474">
      <w:pPr>
        <w:tabs>
          <w:tab w:val="left" w:pos="9914"/>
        </w:tabs>
        <w:rPr>
          <w:rFonts w:asciiTheme="minorHAnsi" w:hAnsiTheme="minorHAnsi"/>
        </w:rPr>
      </w:pPr>
      <w:r w:rsidRPr="00A23FB4">
        <w:rPr>
          <w:rFonts w:asciiTheme="minorHAnsi" w:hAnsiTheme="minorHAnsi"/>
        </w:rPr>
        <w:t>Ławy betonowe z oporem wykonuje się w szalowaniu. Beton rozścielony w szalowaniu lub bezpośrednio w korycie powinien być wyrównywany warstwami. Betonowanie ław należy wykonywać zgodnie z wymaganiami PN-B-0625, przy czym należy stosować co 50 m szczeliny dylatacyjne wypełnione bitumiczną masą zalewową.</w:t>
      </w:r>
    </w:p>
    <w:p w14:paraId="3544009C" w14:textId="77777777" w:rsidR="00184474" w:rsidRPr="00A23FB4" w:rsidRDefault="00184474" w:rsidP="00184474">
      <w:pPr>
        <w:pStyle w:val="Nagwek4"/>
        <w:tabs>
          <w:tab w:val="left" w:pos="9914"/>
        </w:tabs>
        <w:rPr>
          <w:rFonts w:asciiTheme="minorHAnsi" w:hAnsiTheme="minorHAnsi"/>
        </w:rPr>
      </w:pPr>
      <w:r w:rsidRPr="00A23FB4">
        <w:rPr>
          <w:rFonts w:asciiTheme="minorHAnsi" w:hAnsiTheme="minorHAnsi"/>
        </w:rPr>
        <w:t>5.4. Ustawienie krawężników betonowych</w:t>
      </w:r>
    </w:p>
    <w:p w14:paraId="0CD828D5" w14:textId="77777777" w:rsidR="00184474" w:rsidRPr="00A23FB4" w:rsidRDefault="00184474" w:rsidP="00184474">
      <w:pPr>
        <w:tabs>
          <w:tab w:val="left" w:pos="9914"/>
        </w:tabs>
        <w:rPr>
          <w:rFonts w:asciiTheme="minorHAnsi" w:hAnsiTheme="minorHAnsi"/>
        </w:rPr>
      </w:pPr>
      <w:r w:rsidRPr="00A23FB4">
        <w:rPr>
          <w:rFonts w:asciiTheme="minorHAnsi" w:hAnsiTheme="minorHAnsi"/>
          <w:b/>
        </w:rPr>
        <w:t xml:space="preserve">5.4.1. </w:t>
      </w:r>
      <w:r w:rsidRPr="00A23FB4">
        <w:rPr>
          <w:rFonts w:asciiTheme="minorHAnsi" w:hAnsiTheme="minorHAnsi"/>
        </w:rPr>
        <w:t>Zasady ustawiania krawężników</w:t>
      </w:r>
    </w:p>
    <w:p w14:paraId="5BA323C8" w14:textId="77777777" w:rsidR="00184474" w:rsidRPr="00A23FB4" w:rsidRDefault="00184474" w:rsidP="00184474">
      <w:pPr>
        <w:tabs>
          <w:tab w:val="left" w:pos="9914"/>
        </w:tabs>
        <w:rPr>
          <w:rFonts w:asciiTheme="minorHAnsi" w:hAnsiTheme="minorHAnsi"/>
        </w:rPr>
      </w:pPr>
      <w:r w:rsidRPr="00A23FB4">
        <w:rPr>
          <w:rFonts w:asciiTheme="minorHAnsi" w:hAnsiTheme="minorHAnsi"/>
        </w:rPr>
        <w:t>Światło (odległość górnej powierzchni krawężnika od jezdni) powinno być zgodne z ustaleniami dokumentacji projektowej.</w:t>
      </w:r>
    </w:p>
    <w:p w14:paraId="1CA09689" w14:textId="77777777" w:rsidR="00184474" w:rsidRPr="00A23FB4" w:rsidRDefault="00184474" w:rsidP="00184474">
      <w:pPr>
        <w:tabs>
          <w:tab w:val="left" w:pos="9914"/>
        </w:tabs>
        <w:rPr>
          <w:rFonts w:asciiTheme="minorHAnsi" w:hAnsiTheme="minorHAnsi"/>
        </w:rPr>
      </w:pPr>
      <w:r w:rsidRPr="00A23FB4">
        <w:rPr>
          <w:rFonts w:asciiTheme="minorHAnsi" w:hAnsiTheme="minorHAnsi"/>
        </w:rPr>
        <w:t>Zewnętrzna ściana krawężnika od strony chodnika powinna być po ustawieniu krawężnika obsypana piaskiem, żwirem, tłuczniem lub miejscowym gruntem przepuszczalnym, starannie ubitym.</w:t>
      </w:r>
    </w:p>
    <w:p w14:paraId="57BBC84E" w14:textId="77777777" w:rsidR="00184474" w:rsidRPr="00A23FB4" w:rsidRDefault="00184474" w:rsidP="00184474">
      <w:pPr>
        <w:tabs>
          <w:tab w:val="left" w:pos="9914"/>
        </w:tabs>
        <w:rPr>
          <w:rFonts w:asciiTheme="minorHAnsi" w:hAnsiTheme="minorHAnsi"/>
        </w:rPr>
      </w:pPr>
      <w:r w:rsidRPr="00A23FB4">
        <w:rPr>
          <w:rFonts w:asciiTheme="minorHAnsi" w:hAnsiTheme="minorHAnsi"/>
        </w:rPr>
        <w:t>Ustawienie krawężników powinno być zgodne z BN-64/8845-02.</w:t>
      </w:r>
    </w:p>
    <w:p w14:paraId="5A003D90" w14:textId="77777777" w:rsidR="00184474" w:rsidRPr="00A23FB4" w:rsidRDefault="00184474" w:rsidP="00184474">
      <w:pPr>
        <w:tabs>
          <w:tab w:val="left" w:pos="9914"/>
        </w:tabs>
        <w:rPr>
          <w:rFonts w:asciiTheme="minorHAnsi" w:hAnsiTheme="minorHAnsi"/>
        </w:rPr>
      </w:pPr>
      <w:r w:rsidRPr="00A23FB4">
        <w:rPr>
          <w:rFonts w:asciiTheme="minorHAnsi" w:hAnsiTheme="minorHAnsi"/>
          <w:b/>
        </w:rPr>
        <w:t xml:space="preserve">5.4.2. </w:t>
      </w:r>
      <w:r w:rsidRPr="00A23FB4">
        <w:rPr>
          <w:rFonts w:asciiTheme="minorHAnsi" w:hAnsiTheme="minorHAnsi"/>
        </w:rPr>
        <w:t>Ustawienie krawężników na ławie betonowej</w:t>
      </w:r>
    </w:p>
    <w:p w14:paraId="5646A65C" w14:textId="77777777" w:rsidR="00184474" w:rsidRPr="00A23FB4" w:rsidRDefault="00184474" w:rsidP="00184474">
      <w:pPr>
        <w:tabs>
          <w:tab w:val="left" w:pos="9914"/>
        </w:tabs>
        <w:rPr>
          <w:rFonts w:asciiTheme="minorHAnsi" w:hAnsiTheme="minorHAnsi"/>
        </w:rPr>
      </w:pPr>
      <w:r w:rsidRPr="00A23FB4">
        <w:rPr>
          <w:rFonts w:asciiTheme="minorHAnsi" w:hAnsiTheme="minorHAnsi"/>
        </w:rPr>
        <w:t>Ustawianie krawężników na ławie betonowej wykonuje się  na podsypce z piasku lub na podsypce cementowo-piaskowej o grubości 3 do 5 cm po zagęszczeniu.</w:t>
      </w:r>
    </w:p>
    <w:p w14:paraId="6F690A96" w14:textId="77777777" w:rsidR="00184474" w:rsidRPr="00A23FB4" w:rsidRDefault="00184474" w:rsidP="00184474">
      <w:pPr>
        <w:tabs>
          <w:tab w:val="left" w:pos="9914"/>
        </w:tabs>
        <w:rPr>
          <w:rFonts w:asciiTheme="minorHAnsi" w:hAnsiTheme="minorHAnsi"/>
        </w:rPr>
      </w:pPr>
      <w:r w:rsidRPr="00A23FB4">
        <w:rPr>
          <w:rFonts w:asciiTheme="minorHAnsi" w:hAnsiTheme="minorHAnsi"/>
          <w:b/>
        </w:rPr>
        <w:t xml:space="preserve">5.4.3. </w:t>
      </w:r>
      <w:r w:rsidRPr="00A23FB4">
        <w:rPr>
          <w:rFonts w:asciiTheme="minorHAnsi" w:hAnsiTheme="minorHAnsi"/>
        </w:rPr>
        <w:t>Wypełnianie spoin</w:t>
      </w:r>
    </w:p>
    <w:p w14:paraId="2BC7FD4D" w14:textId="77777777" w:rsidR="00184474" w:rsidRPr="00A23FB4" w:rsidRDefault="00184474" w:rsidP="00184474">
      <w:pPr>
        <w:tabs>
          <w:tab w:val="left" w:pos="9914"/>
        </w:tabs>
        <w:rPr>
          <w:rFonts w:asciiTheme="minorHAnsi" w:hAnsiTheme="minorHAnsi"/>
        </w:rPr>
      </w:pPr>
      <w:r w:rsidRPr="00A23FB4">
        <w:rPr>
          <w:rFonts w:asciiTheme="minorHAnsi" w:hAnsiTheme="minorHAnsi"/>
        </w:rPr>
        <w:t>Spoiny krawężników nie powinny przekraczać szerokości 1 cm. Spoiny należy wypełnić żwirem, piaskiem lub zaprawą cementowo-piaskową, przygotowaną w stosunku 1:2. Zalewanie spoin krawężników zaprawą cementowo-piaskową stosuje się wyłącznie do krawężników ustawionych na ławie betonowej.</w:t>
      </w:r>
    </w:p>
    <w:p w14:paraId="324D4086" w14:textId="77777777" w:rsidR="00184474" w:rsidRPr="00A23FB4" w:rsidRDefault="00184474" w:rsidP="00184474">
      <w:pPr>
        <w:tabs>
          <w:tab w:val="left" w:pos="9914"/>
        </w:tabs>
        <w:rPr>
          <w:rFonts w:asciiTheme="minorHAnsi" w:hAnsiTheme="minorHAnsi"/>
        </w:rPr>
      </w:pPr>
      <w:r w:rsidRPr="00A23FB4">
        <w:rPr>
          <w:rFonts w:asciiTheme="minorHAnsi" w:hAnsiTheme="minorHAnsi"/>
        </w:rPr>
        <w:t>Spoiny krawężników przed zalaniem zaprawą należy oczyścić i zmyć wodą. Dla zabezpieczenia przed wpływami temperatury krawężniki ustawione na podsypce cementowo-piaskowej i o spoinach zalanych zaprawą należy zalewać co 50 m bitumiczną masą zalewową nad szczeliną dylatacyjną ławy.</w:t>
      </w:r>
    </w:p>
    <w:p w14:paraId="58B12E71" w14:textId="77777777" w:rsidR="00184474" w:rsidRPr="00A23FB4" w:rsidRDefault="00184474" w:rsidP="00184474">
      <w:pPr>
        <w:pStyle w:val="Nagwek3"/>
        <w:tabs>
          <w:tab w:val="left" w:pos="9914"/>
        </w:tabs>
        <w:rPr>
          <w:rFonts w:asciiTheme="minorHAnsi" w:hAnsiTheme="minorHAnsi"/>
        </w:rPr>
      </w:pPr>
      <w:bookmarkStart w:id="870" w:name="_Toc428759426"/>
      <w:r w:rsidRPr="00A23FB4">
        <w:rPr>
          <w:rFonts w:asciiTheme="minorHAnsi" w:hAnsiTheme="minorHAnsi"/>
        </w:rPr>
        <w:t>6. KONTROLA JAKOŚCI ROBÓT</w:t>
      </w:r>
      <w:bookmarkEnd w:id="870"/>
    </w:p>
    <w:p w14:paraId="204F961F" w14:textId="77777777" w:rsidR="00184474" w:rsidRPr="00A23FB4" w:rsidRDefault="00184474" w:rsidP="00184474">
      <w:pPr>
        <w:pStyle w:val="Nagwek4"/>
        <w:tabs>
          <w:tab w:val="left" w:pos="9914"/>
        </w:tabs>
        <w:rPr>
          <w:rFonts w:asciiTheme="minorHAnsi" w:hAnsiTheme="minorHAnsi"/>
        </w:rPr>
      </w:pPr>
      <w:r w:rsidRPr="00A23FB4">
        <w:rPr>
          <w:rFonts w:asciiTheme="minorHAnsi" w:hAnsiTheme="minorHAnsi"/>
        </w:rPr>
        <w:t>6.1. Ogólne zasady kontroli jakości robót</w:t>
      </w:r>
    </w:p>
    <w:p w14:paraId="283EDA69" w14:textId="32BB76A8" w:rsidR="00184474" w:rsidRPr="00A23FB4" w:rsidRDefault="00184474" w:rsidP="00184474">
      <w:pPr>
        <w:tabs>
          <w:tab w:val="left" w:pos="9914"/>
        </w:tabs>
        <w:rPr>
          <w:rFonts w:asciiTheme="minorHAnsi" w:hAnsiTheme="minorHAnsi"/>
        </w:rPr>
      </w:pPr>
      <w:r w:rsidRPr="00A23FB4">
        <w:rPr>
          <w:rFonts w:asciiTheme="minorHAnsi" w:hAnsiTheme="minorHAnsi"/>
        </w:rPr>
        <w:t xml:space="preserve">Ogólne zasady kontroli jakości robót podano w </w:t>
      </w:r>
      <w:r w:rsidR="00865C6C">
        <w:rPr>
          <w:rFonts w:asciiTheme="minorHAnsi" w:hAnsiTheme="minorHAnsi"/>
        </w:rPr>
        <w:t>ST</w:t>
      </w:r>
      <w:r w:rsidRPr="00A23FB4">
        <w:rPr>
          <w:rFonts w:asciiTheme="minorHAnsi" w:hAnsiTheme="minorHAnsi"/>
        </w:rPr>
        <w:t>WiORB D-M-00.00.00 „Wymagania ogólne” pkt 6.</w:t>
      </w:r>
    </w:p>
    <w:p w14:paraId="0E4DBC00" w14:textId="77777777" w:rsidR="00184474" w:rsidRPr="00A23FB4" w:rsidRDefault="00184474" w:rsidP="00184474">
      <w:pPr>
        <w:pStyle w:val="Nagwek4"/>
        <w:tabs>
          <w:tab w:val="left" w:pos="9914"/>
        </w:tabs>
        <w:rPr>
          <w:rFonts w:asciiTheme="minorHAnsi" w:hAnsiTheme="minorHAnsi"/>
        </w:rPr>
      </w:pPr>
      <w:r w:rsidRPr="00A23FB4">
        <w:rPr>
          <w:rFonts w:asciiTheme="minorHAnsi" w:hAnsiTheme="minorHAnsi"/>
        </w:rPr>
        <w:t>6.2. Badania przed przystąpieniem do robót</w:t>
      </w:r>
    </w:p>
    <w:p w14:paraId="5731F4E9" w14:textId="77777777" w:rsidR="00184474" w:rsidRPr="00A23FB4" w:rsidRDefault="00184474" w:rsidP="00184474">
      <w:pPr>
        <w:tabs>
          <w:tab w:val="left" w:pos="9914"/>
        </w:tabs>
        <w:rPr>
          <w:rFonts w:asciiTheme="minorHAnsi" w:hAnsiTheme="minorHAnsi"/>
        </w:rPr>
      </w:pPr>
      <w:r w:rsidRPr="00A23FB4">
        <w:rPr>
          <w:rFonts w:asciiTheme="minorHAnsi" w:hAnsiTheme="minorHAnsi"/>
          <w:b/>
        </w:rPr>
        <w:t xml:space="preserve">6.2.1. </w:t>
      </w:r>
      <w:r w:rsidRPr="00A23FB4">
        <w:rPr>
          <w:rFonts w:asciiTheme="minorHAnsi" w:hAnsiTheme="minorHAnsi"/>
        </w:rPr>
        <w:t>Badania krawężników</w:t>
      </w:r>
    </w:p>
    <w:p w14:paraId="328D6F3A" w14:textId="77777777" w:rsidR="00184474" w:rsidRPr="00A23FB4" w:rsidRDefault="00184474" w:rsidP="00184474">
      <w:pPr>
        <w:tabs>
          <w:tab w:val="left" w:pos="9914"/>
        </w:tabs>
        <w:rPr>
          <w:rFonts w:asciiTheme="minorHAnsi" w:hAnsiTheme="minorHAnsi"/>
        </w:rPr>
      </w:pPr>
      <w:r w:rsidRPr="00A23FB4">
        <w:rPr>
          <w:rFonts w:asciiTheme="minorHAnsi" w:hAnsiTheme="minorHAnsi"/>
        </w:rPr>
        <w:t>Przed przystąpieniem do robót Wykonawca powinien wykonać badania materiałów przeznaczonych do ustawienia krawężników betonowych i przedstawić wyniki tych badań Inżynierowi/Kierownikowi projektu  do akceptacji.</w:t>
      </w:r>
    </w:p>
    <w:p w14:paraId="76F0E314" w14:textId="77777777" w:rsidR="00184474" w:rsidRPr="00A23FB4" w:rsidRDefault="00184474" w:rsidP="00184474">
      <w:pPr>
        <w:tabs>
          <w:tab w:val="left" w:pos="9914"/>
        </w:tabs>
        <w:rPr>
          <w:rFonts w:asciiTheme="minorHAnsi" w:hAnsiTheme="minorHAnsi"/>
        </w:rPr>
      </w:pPr>
      <w:r w:rsidRPr="00A23FB4">
        <w:rPr>
          <w:rFonts w:asciiTheme="minorHAnsi" w:hAnsiTheme="minorHAnsi"/>
        </w:rPr>
        <w:t>Sprawdzenie kształtu i wymiarów elementów należy przeprowadzić z dokładnością do 1 mm przy użyciu suwmiarki oraz przymiaru stalowego lub taśmy zgodnie z wymaganiami tablicy 1 i 2. Sprawdzenie kątów prostych w narożach elementów wykonuje się przez przyłożenie kątownika do badanego naroża i zmierzenia odchyłek z dokładnością do 1 mm.</w:t>
      </w:r>
    </w:p>
    <w:p w14:paraId="12445C65" w14:textId="77777777" w:rsidR="00184474" w:rsidRPr="00A23FB4" w:rsidRDefault="00184474" w:rsidP="00184474">
      <w:pPr>
        <w:keepNext/>
        <w:tabs>
          <w:tab w:val="left" w:pos="9914"/>
        </w:tabs>
        <w:rPr>
          <w:rFonts w:asciiTheme="minorHAnsi" w:hAnsiTheme="minorHAnsi"/>
        </w:rPr>
      </w:pPr>
      <w:r w:rsidRPr="00A23FB4">
        <w:rPr>
          <w:rFonts w:asciiTheme="minorHAnsi" w:hAnsiTheme="minorHAnsi"/>
          <w:b/>
        </w:rPr>
        <w:t xml:space="preserve">6.2.2. </w:t>
      </w:r>
      <w:r w:rsidRPr="00A23FB4">
        <w:rPr>
          <w:rFonts w:asciiTheme="minorHAnsi" w:hAnsiTheme="minorHAnsi"/>
        </w:rPr>
        <w:t>Badania pozostałych materiałów</w:t>
      </w:r>
    </w:p>
    <w:p w14:paraId="63995858" w14:textId="77777777" w:rsidR="00184474" w:rsidRPr="00A23FB4" w:rsidRDefault="00184474" w:rsidP="00184474">
      <w:pPr>
        <w:tabs>
          <w:tab w:val="left" w:pos="9914"/>
        </w:tabs>
        <w:rPr>
          <w:rFonts w:asciiTheme="minorHAnsi" w:hAnsiTheme="minorHAnsi"/>
        </w:rPr>
      </w:pPr>
      <w:r w:rsidRPr="00A23FB4">
        <w:rPr>
          <w:rFonts w:asciiTheme="minorHAnsi" w:hAnsiTheme="minorHAnsi"/>
        </w:rPr>
        <w:t>Badania pozostałych materiałów stosowanych przy ustawianiu krawężników betonowych powinny obejmować wszystkie właściwości, określone w normach podanych dla odpowiednich materiałów w pkt 2.</w:t>
      </w:r>
    </w:p>
    <w:p w14:paraId="0CDF1704" w14:textId="77777777" w:rsidR="00184474" w:rsidRPr="00A23FB4" w:rsidRDefault="00184474" w:rsidP="00184474">
      <w:pPr>
        <w:tabs>
          <w:tab w:val="left" w:pos="9914"/>
        </w:tabs>
        <w:rPr>
          <w:rFonts w:asciiTheme="minorHAnsi" w:hAnsiTheme="minorHAnsi"/>
          <w:b/>
        </w:rPr>
      </w:pPr>
      <w:r w:rsidRPr="00A23FB4">
        <w:rPr>
          <w:rFonts w:asciiTheme="minorHAnsi" w:hAnsiTheme="minorHAnsi"/>
          <w:b/>
        </w:rPr>
        <w:t>6.3. Badania w czasie robót</w:t>
      </w:r>
    </w:p>
    <w:p w14:paraId="6582AF45" w14:textId="77777777" w:rsidR="00184474" w:rsidRPr="00A23FB4" w:rsidRDefault="00184474" w:rsidP="00184474">
      <w:pPr>
        <w:tabs>
          <w:tab w:val="left" w:pos="9914"/>
        </w:tabs>
        <w:rPr>
          <w:rFonts w:asciiTheme="minorHAnsi" w:hAnsiTheme="minorHAnsi"/>
        </w:rPr>
      </w:pPr>
      <w:r w:rsidRPr="00A23FB4">
        <w:rPr>
          <w:rFonts w:asciiTheme="minorHAnsi" w:hAnsiTheme="minorHAnsi"/>
          <w:b/>
        </w:rPr>
        <w:t xml:space="preserve">6.3.1. </w:t>
      </w:r>
      <w:r w:rsidRPr="00A23FB4">
        <w:rPr>
          <w:rFonts w:asciiTheme="minorHAnsi" w:hAnsiTheme="minorHAnsi"/>
        </w:rPr>
        <w:t>Sprawdzenie koryta pod ławę</w:t>
      </w:r>
    </w:p>
    <w:p w14:paraId="618ADA75" w14:textId="77777777" w:rsidR="00184474" w:rsidRPr="00A23FB4" w:rsidRDefault="00184474" w:rsidP="00184474">
      <w:pPr>
        <w:tabs>
          <w:tab w:val="left" w:pos="9914"/>
        </w:tabs>
        <w:rPr>
          <w:rFonts w:asciiTheme="minorHAnsi" w:hAnsiTheme="minorHAnsi"/>
        </w:rPr>
      </w:pPr>
      <w:r w:rsidRPr="00A23FB4">
        <w:rPr>
          <w:rFonts w:asciiTheme="minorHAnsi" w:hAnsiTheme="minorHAnsi"/>
        </w:rPr>
        <w:t>Należy sprawdzać wymiary koryta oraz zagęszczenie podłoża na dnie wykopu.</w:t>
      </w:r>
    </w:p>
    <w:p w14:paraId="26EBA607" w14:textId="77777777" w:rsidR="00184474" w:rsidRPr="00A23FB4" w:rsidRDefault="00184474" w:rsidP="00184474">
      <w:pPr>
        <w:tabs>
          <w:tab w:val="left" w:pos="9914"/>
        </w:tabs>
        <w:rPr>
          <w:rFonts w:asciiTheme="minorHAnsi" w:hAnsiTheme="minorHAnsi"/>
        </w:rPr>
      </w:pPr>
      <w:r w:rsidRPr="00A23FB4">
        <w:rPr>
          <w:rFonts w:asciiTheme="minorHAnsi" w:hAnsiTheme="minorHAnsi"/>
        </w:rPr>
        <w:t xml:space="preserve">Tolerancja dla szerokości wykopu wynosi </w:t>
      </w:r>
      <w:r w:rsidRPr="00A23FB4">
        <w:rPr>
          <w:rFonts w:asciiTheme="minorHAnsi" w:hAnsiTheme="minorHAnsi"/>
        </w:rPr>
        <w:sym w:font="Symbol" w:char="F0B1"/>
      </w:r>
      <w:r w:rsidRPr="00A23FB4">
        <w:rPr>
          <w:rFonts w:asciiTheme="minorHAnsi" w:hAnsiTheme="minorHAnsi"/>
        </w:rPr>
        <w:t>2 cm. Zagęszczenie podłoża powinno być zgodne z pkt 5.2.</w:t>
      </w:r>
    </w:p>
    <w:p w14:paraId="394D271F" w14:textId="77777777" w:rsidR="00184474" w:rsidRPr="00A23FB4" w:rsidRDefault="00184474" w:rsidP="00184474">
      <w:pPr>
        <w:tabs>
          <w:tab w:val="left" w:pos="9914"/>
        </w:tabs>
        <w:rPr>
          <w:rFonts w:asciiTheme="minorHAnsi" w:hAnsiTheme="minorHAnsi"/>
        </w:rPr>
      </w:pPr>
      <w:r w:rsidRPr="00A23FB4">
        <w:rPr>
          <w:rFonts w:asciiTheme="minorHAnsi" w:hAnsiTheme="minorHAnsi"/>
          <w:b/>
        </w:rPr>
        <w:t xml:space="preserve">6.3.2. </w:t>
      </w:r>
      <w:r w:rsidRPr="00A23FB4">
        <w:rPr>
          <w:rFonts w:asciiTheme="minorHAnsi" w:hAnsiTheme="minorHAnsi"/>
        </w:rPr>
        <w:t>Sprawdzenie ław</w:t>
      </w:r>
    </w:p>
    <w:p w14:paraId="5FE29C2A" w14:textId="77777777" w:rsidR="00184474" w:rsidRPr="00A23FB4" w:rsidRDefault="00184474" w:rsidP="00184474">
      <w:pPr>
        <w:tabs>
          <w:tab w:val="left" w:pos="9914"/>
        </w:tabs>
        <w:rPr>
          <w:rFonts w:asciiTheme="minorHAnsi" w:hAnsiTheme="minorHAnsi"/>
        </w:rPr>
      </w:pPr>
      <w:r w:rsidRPr="00A23FB4">
        <w:rPr>
          <w:rFonts w:asciiTheme="minorHAnsi" w:hAnsiTheme="minorHAnsi"/>
        </w:rPr>
        <w:t>Przy wykonywaniu ław badaniu podlegają:</w:t>
      </w:r>
    </w:p>
    <w:p w14:paraId="138DD12D" w14:textId="77777777" w:rsidR="00184474" w:rsidRPr="00A23FB4" w:rsidRDefault="00184474" w:rsidP="00262498">
      <w:pPr>
        <w:numPr>
          <w:ilvl w:val="0"/>
          <w:numId w:val="183"/>
        </w:numPr>
        <w:tabs>
          <w:tab w:val="left" w:pos="9914"/>
        </w:tabs>
        <w:ind w:left="0" w:firstLine="0"/>
        <w:rPr>
          <w:rFonts w:asciiTheme="minorHAnsi" w:hAnsiTheme="minorHAnsi"/>
        </w:rPr>
      </w:pPr>
      <w:r w:rsidRPr="00A23FB4">
        <w:rPr>
          <w:rFonts w:asciiTheme="minorHAnsi" w:hAnsiTheme="minorHAnsi"/>
        </w:rPr>
        <w:t>Zgodność profilu podłużnego górnej powierzchni ław z dokumentacją projektową.</w:t>
      </w:r>
    </w:p>
    <w:p w14:paraId="429E5DA0" w14:textId="77777777" w:rsidR="00184474" w:rsidRPr="00A23FB4" w:rsidRDefault="00184474" w:rsidP="00184474">
      <w:pPr>
        <w:tabs>
          <w:tab w:val="left" w:pos="9914"/>
        </w:tabs>
        <w:rPr>
          <w:rFonts w:asciiTheme="minorHAnsi" w:hAnsiTheme="minorHAnsi"/>
        </w:rPr>
      </w:pPr>
      <w:r w:rsidRPr="00A23FB4">
        <w:rPr>
          <w:rFonts w:asciiTheme="minorHAnsi" w:hAnsiTheme="minorHAnsi"/>
        </w:rPr>
        <w:t xml:space="preserve">Profil podłużny górnej powierzchni ławy powinien być zgodny z projektowaną niweletą. Dopuszczalne odchylenia mogą wynosić </w:t>
      </w:r>
      <w:r w:rsidRPr="00A23FB4">
        <w:rPr>
          <w:rFonts w:asciiTheme="minorHAnsi" w:hAnsiTheme="minorHAnsi"/>
        </w:rPr>
        <w:sym w:font="Symbol" w:char="F0B1"/>
      </w:r>
      <w:r w:rsidRPr="00A23FB4">
        <w:rPr>
          <w:rFonts w:asciiTheme="minorHAnsi" w:hAnsiTheme="minorHAnsi"/>
        </w:rPr>
        <w:t>1 cm na każde 100 m ławy.</w:t>
      </w:r>
    </w:p>
    <w:p w14:paraId="507A9865" w14:textId="77777777" w:rsidR="00184474" w:rsidRPr="00A23FB4" w:rsidRDefault="00184474" w:rsidP="00262498">
      <w:pPr>
        <w:numPr>
          <w:ilvl w:val="0"/>
          <w:numId w:val="183"/>
        </w:numPr>
        <w:tabs>
          <w:tab w:val="left" w:pos="9914"/>
        </w:tabs>
        <w:ind w:left="0" w:firstLine="0"/>
        <w:rPr>
          <w:rFonts w:asciiTheme="minorHAnsi" w:hAnsiTheme="minorHAnsi"/>
        </w:rPr>
      </w:pPr>
      <w:r w:rsidRPr="00A23FB4">
        <w:rPr>
          <w:rFonts w:asciiTheme="minorHAnsi" w:hAnsiTheme="minorHAnsi"/>
        </w:rPr>
        <w:t>Wymiary ław. Wymiary ław należy sprawdzić w dwóch dowolnie wybranych punktach na każde 100 m ławy. Tolerancje wymiarów wynoszą:-</w:t>
      </w:r>
    </w:p>
    <w:p w14:paraId="0A35294B" w14:textId="77777777" w:rsidR="00184474" w:rsidRPr="00A23FB4" w:rsidRDefault="00184474" w:rsidP="00184474">
      <w:pPr>
        <w:tabs>
          <w:tab w:val="left" w:pos="9914"/>
        </w:tabs>
        <w:rPr>
          <w:rFonts w:asciiTheme="minorHAnsi" w:hAnsiTheme="minorHAnsi"/>
        </w:rPr>
      </w:pPr>
      <w:r w:rsidRPr="00A23FB4">
        <w:rPr>
          <w:rFonts w:asciiTheme="minorHAnsi" w:hAnsiTheme="minorHAnsi"/>
        </w:rPr>
        <w:t xml:space="preserve"> dla wysokości  </w:t>
      </w:r>
      <w:r w:rsidRPr="00A23FB4">
        <w:rPr>
          <w:rFonts w:asciiTheme="minorHAnsi" w:hAnsiTheme="minorHAnsi"/>
        </w:rPr>
        <w:sym w:font="Symbol" w:char="F0B1"/>
      </w:r>
      <w:r w:rsidRPr="00A23FB4">
        <w:rPr>
          <w:rFonts w:asciiTheme="minorHAnsi" w:hAnsiTheme="minorHAnsi"/>
        </w:rPr>
        <w:t xml:space="preserve"> 10% wysokości projektowanej,</w:t>
      </w:r>
    </w:p>
    <w:p w14:paraId="347DEA7A" w14:textId="77777777" w:rsidR="00184474" w:rsidRPr="00A23FB4" w:rsidRDefault="00184474" w:rsidP="00184474">
      <w:pPr>
        <w:tabs>
          <w:tab w:val="left" w:pos="9914"/>
        </w:tabs>
        <w:rPr>
          <w:rFonts w:asciiTheme="minorHAnsi" w:hAnsiTheme="minorHAnsi"/>
        </w:rPr>
      </w:pPr>
      <w:r w:rsidRPr="00A23FB4">
        <w:rPr>
          <w:rFonts w:asciiTheme="minorHAnsi" w:hAnsiTheme="minorHAnsi"/>
        </w:rPr>
        <w:t xml:space="preserve">- dla szerokości  </w:t>
      </w:r>
      <w:r w:rsidRPr="00A23FB4">
        <w:rPr>
          <w:rFonts w:asciiTheme="minorHAnsi" w:hAnsiTheme="minorHAnsi"/>
        </w:rPr>
        <w:sym w:font="Symbol" w:char="F0B1"/>
      </w:r>
      <w:r w:rsidRPr="00A23FB4">
        <w:rPr>
          <w:rFonts w:asciiTheme="minorHAnsi" w:hAnsiTheme="minorHAnsi"/>
        </w:rPr>
        <w:t xml:space="preserve"> 10% szerokości projektowanej.</w:t>
      </w:r>
    </w:p>
    <w:p w14:paraId="5D99280E" w14:textId="77777777" w:rsidR="00184474" w:rsidRPr="00A23FB4" w:rsidRDefault="00184474" w:rsidP="00262498">
      <w:pPr>
        <w:numPr>
          <w:ilvl w:val="0"/>
          <w:numId w:val="183"/>
        </w:numPr>
        <w:tabs>
          <w:tab w:val="left" w:pos="9914"/>
        </w:tabs>
        <w:ind w:left="0" w:firstLine="0"/>
        <w:rPr>
          <w:rFonts w:asciiTheme="minorHAnsi" w:hAnsiTheme="minorHAnsi"/>
        </w:rPr>
      </w:pPr>
      <w:r w:rsidRPr="00A23FB4">
        <w:rPr>
          <w:rFonts w:asciiTheme="minorHAnsi" w:hAnsiTheme="minorHAnsi"/>
        </w:rPr>
        <w:t>Równość górnej powierzchni ław. Równość górnej powierzchni ławy sprawdza się przez przyłożenie w dwóch punktach, na każde 100 m ławy, trzymetrowej łaty. Prześwit pomiędzy górną powierzchnią ławy i przyłożoną łatą nie może przekraczać 1 cm.</w:t>
      </w:r>
    </w:p>
    <w:p w14:paraId="57A283D7" w14:textId="77777777" w:rsidR="00184474" w:rsidRPr="00A23FB4" w:rsidRDefault="00184474" w:rsidP="00262498">
      <w:pPr>
        <w:numPr>
          <w:ilvl w:val="0"/>
          <w:numId w:val="183"/>
        </w:numPr>
        <w:tabs>
          <w:tab w:val="left" w:pos="9914"/>
        </w:tabs>
        <w:ind w:left="0" w:firstLine="0"/>
        <w:rPr>
          <w:rFonts w:asciiTheme="minorHAnsi" w:hAnsiTheme="minorHAnsi"/>
        </w:rPr>
      </w:pPr>
      <w:r w:rsidRPr="00A23FB4">
        <w:rPr>
          <w:rFonts w:asciiTheme="minorHAnsi" w:hAnsiTheme="minorHAnsi"/>
        </w:rPr>
        <w:t xml:space="preserve">Odchylenie linii ław od projektowanego kierunku. Dopuszczalne odchylenie linii ław od projektowanego kierunku nie może przekraczać </w:t>
      </w:r>
      <w:r w:rsidRPr="00A23FB4">
        <w:rPr>
          <w:rFonts w:asciiTheme="minorHAnsi" w:hAnsiTheme="minorHAnsi"/>
        </w:rPr>
        <w:sym w:font="Symbol" w:char="F0B1"/>
      </w:r>
      <w:r w:rsidRPr="00A23FB4">
        <w:rPr>
          <w:rFonts w:asciiTheme="minorHAnsi" w:hAnsiTheme="minorHAnsi"/>
        </w:rPr>
        <w:t>2 cm na każde 100 m wykonanej ławy.</w:t>
      </w:r>
    </w:p>
    <w:p w14:paraId="10A8B862" w14:textId="77777777" w:rsidR="00184474" w:rsidRPr="00A23FB4" w:rsidRDefault="00184474" w:rsidP="00184474">
      <w:pPr>
        <w:tabs>
          <w:tab w:val="left" w:pos="9914"/>
        </w:tabs>
        <w:rPr>
          <w:rFonts w:asciiTheme="minorHAnsi" w:hAnsiTheme="minorHAnsi"/>
        </w:rPr>
      </w:pPr>
      <w:r w:rsidRPr="00A23FB4">
        <w:rPr>
          <w:rFonts w:asciiTheme="minorHAnsi" w:hAnsiTheme="minorHAnsi"/>
          <w:b/>
        </w:rPr>
        <w:t xml:space="preserve">6.3.3. </w:t>
      </w:r>
      <w:r w:rsidRPr="00A23FB4">
        <w:rPr>
          <w:rFonts w:asciiTheme="minorHAnsi" w:hAnsiTheme="minorHAnsi"/>
        </w:rPr>
        <w:t>Sprawdzenie ustawienia krawężników</w:t>
      </w:r>
    </w:p>
    <w:p w14:paraId="33B642F2" w14:textId="77777777" w:rsidR="00184474" w:rsidRPr="00A23FB4" w:rsidRDefault="00184474" w:rsidP="00184474">
      <w:pPr>
        <w:tabs>
          <w:tab w:val="left" w:pos="9914"/>
        </w:tabs>
        <w:rPr>
          <w:rFonts w:asciiTheme="minorHAnsi" w:hAnsiTheme="minorHAnsi"/>
        </w:rPr>
      </w:pPr>
      <w:r w:rsidRPr="00A23FB4">
        <w:rPr>
          <w:rFonts w:asciiTheme="minorHAnsi" w:hAnsiTheme="minorHAnsi"/>
        </w:rPr>
        <w:t>Przy ustawianiu krawężników należy sprawdzać:</w:t>
      </w:r>
    </w:p>
    <w:p w14:paraId="7233125B" w14:textId="77777777" w:rsidR="00184474" w:rsidRPr="00A23FB4" w:rsidRDefault="00184474" w:rsidP="00262498">
      <w:pPr>
        <w:numPr>
          <w:ilvl w:val="0"/>
          <w:numId w:val="181"/>
        </w:numPr>
        <w:tabs>
          <w:tab w:val="left" w:pos="9914"/>
        </w:tabs>
        <w:ind w:left="0" w:firstLine="0"/>
        <w:rPr>
          <w:rFonts w:asciiTheme="minorHAnsi" w:hAnsiTheme="minorHAnsi"/>
        </w:rPr>
      </w:pPr>
      <w:r w:rsidRPr="00A23FB4">
        <w:rPr>
          <w:rFonts w:asciiTheme="minorHAnsi" w:hAnsiTheme="minorHAnsi"/>
        </w:rPr>
        <w:t xml:space="preserve">dopuszczalne odchylenia linii krawężników w poziomie od linii projektowanej, które wynosi </w:t>
      </w:r>
      <w:r w:rsidRPr="00A23FB4">
        <w:rPr>
          <w:rFonts w:asciiTheme="minorHAnsi" w:hAnsiTheme="minorHAnsi"/>
        </w:rPr>
        <w:sym w:font="Symbol" w:char="F0B1"/>
      </w:r>
      <w:r w:rsidRPr="00A23FB4">
        <w:rPr>
          <w:rFonts w:asciiTheme="minorHAnsi" w:hAnsiTheme="minorHAnsi"/>
        </w:rPr>
        <w:t>1 cm na każde 100 m ustawionego krawężnika,</w:t>
      </w:r>
    </w:p>
    <w:p w14:paraId="2C542219" w14:textId="77777777" w:rsidR="00184474" w:rsidRPr="00A23FB4" w:rsidRDefault="00184474" w:rsidP="00262498">
      <w:pPr>
        <w:numPr>
          <w:ilvl w:val="0"/>
          <w:numId w:val="181"/>
        </w:numPr>
        <w:tabs>
          <w:tab w:val="left" w:pos="9914"/>
        </w:tabs>
        <w:ind w:left="0" w:firstLine="0"/>
        <w:rPr>
          <w:rFonts w:asciiTheme="minorHAnsi" w:hAnsiTheme="minorHAnsi"/>
        </w:rPr>
      </w:pPr>
      <w:r w:rsidRPr="00A23FB4">
        <w:rPr>
          <w:rFonts w:asciiTheme="minorHAnsi" w:hAnsiTheme="minorHAnsi"/>
        </w:rPr>
        <w:t xml:space="preserve">dopuszczalne odchylenie niwelety górnej płaszczyzny krawężnika od niwelety projektowanej, które wynosi </w:t>
      </w:r>
      <w:r w:rsidRPr="00A23FB4">
        <w:rPr>
          <w:rFonts w:asciiTheme="minorHAnsi" w:hAnsiTheme="minorHAnsi"/>
        </w:rPr>
        <w:sym w:font="Symbol" w:char="F0B1"/>
      </w:r>
      <w:r w:rsidRPr="00A23FB4">
        <w:rPr>
          <w:rFonts w:asciiTheme="minorHAnsi" w:hAnsiTheme="minorHAnsi"/>
        </w:rPr>
        <w:t>1 cm na każde 100 m ustawionego krawężnika,</w:t>
      </w:r>
    </w:p>
    <w:p w14:paraId="32ACE86F" w14:textId="77777777" w:rsidR="00184474" w:rsidRPr="00A23FB4" w:rsidRDefault="00184474" w:rsidP="00262498">
      <w:pPr>
        <w:numPr>
          <w:ilvl w:val="0"/>
          <w:numId w:val="181"/>
        </w:numPr>
        <w:tabs>
          <w:tab w:val="left" w:pos="9914"/>
        </w:tabs>
        <w:ind w:left="0" w:firstLine="0"/>
        <w:rPr>
          <w:rFonts w:asciiTheme="minorHAnsi" w:hAnsiTheme="minorHAnsi"/>
        </w:rPr>
      </w:pPr>
      <w:r w:rsidRPr="00A23FB4">
        <w:rPr>
          <w:rFonts w:asciiTheme="minorHAnsi" w:hAnsiTheme="minorHAnsi"/>
        </w:rPr>
        <w:t>równość górnej powierzchni krawężników, sprawdzane przez przyłożenie w dwóch punktach na każde 100 m krawężnika, trzymetrowej łaty, przy czym prześwit pomiędzy górną powierzchnią krawężnika i przyłożoną łatą nie może przekraczać 1 cm,</w:t>
      </w:r>
    </w:p>
    <w:p w14:paraId="2E5DAB83" w14:textId="77777777" w:rsidR="00184474" w:rsidRPr="00A23FB4" w:rsidRDefault="00184474" w:rsidP="00262498">
      <w:pPr>
        <w:numPr>
          <w:ilvl w:val="0"/>
          <w:numId w:val="181"/>
        </w:numPr>
        <w:tabs>
          <w:tab w:val="left" w:pos="9914"/>
        </w:tabs>
        <w:ind w:left="0" w:firstLine="0"/>
        <w:rPr>
          <w:rFonts w:asciiTheme="minorHAnsi" w:hAnsiTheme="minorHAnsi"/>
        </w:rPr>
      </w:pPr>
      <w:r w:rsidRPr="00A23FB4">
        <w:rPr>
          <w:rFonts w:asciiTheme="minorHAnsi" w:hAnsiTheme="minorHAnsi"/>
        </w:rPr>
        <w:t>dokładność wypełnienia spoin bada się co 10 metrów. Spoiny muszą być wypełnione całkowicie na pełną głębokość.</w:t>
      </w:r>
    </w:p>
    <w:p w14:paraId="5A899B7A" w14:textId="77777777" w:rsidR="00184474" w:rsidRPr="00A23FB4" w:rsidRDefault="00184474" w:rsidP="00184474">
      <w:pPr>
        <w:pStyle w:val="Nagwek3"/>
        <w:tabs>
          <w:tab w:val="left" w:pos="9914"/>
        </w:tabs>
        <w:rPr>
          <w:rFonts w:asciiTheme="minorHAnsi" w:hAnsiTheme="minorHAnsi"/>
        </w:rPr>
      </w:pPr>
      <w:bookmarkStart w:id="871" w:name="_Toc428169263"/>
      <w:bookmarkStart w:id="872" w:name="_Toc428323653"/>
      <w:bookmarkStart w:id="873" w:name="_Toc428759427"/>
      <w:r w:rsidRPr="00A23FB4">
        <w:rPr>
          <w:rFonts w:asciiTheme="minorHAnsi" w:hAnsiTheme="minorHAnsi"/>
        </w:rPr>
        <w:t>7. OBMIAR ROBÓT</w:t>
      </w:r>
      <w:bookmarkEnd w:id="871"/>
      <w:bookmarkEnd w:id="872"/>
      <w:bookmarkEnd w:id="873"/>
    </w:p>
    <w:p w14:paraId="507C54E3" w14:textId="77777777" w:rsidR="00CB3CD7" w:rsidRDefault="00CB3CD7" w:rsidP="00184474">
      <w:pPr>
        <w:tabs>
          <w:tab w:val="left" w:pos="9914"/>
        </w:tabs>
        <w:rPr>
          <w:rFonts w:asciiTheme="minorHAnsi" w:hAnsiTheme="minorHAnsi"/>
        </w:rPr>
      </w:pPr>
    </w:p>
    <w:p w14:paraId="2975666D" w14:textId="15D96820" w:rsidR="00CB3CD7" w:rsidRDefault="00CB3CD7" w:rsidP="00184474">
      <w:pPr>
        <w:tabs>
          <w:tab w:val="left" w:pos="9914"/>
        </w:tabs>
        <w:rPr>
          <w:rFonts w:asciiTheme="minorHAnsi" w:hAnsiTheme="minorHAnsi"/>
        </w:rPr>
      </w:pPr>
      <w:r>
        <w:rPr>
          <w:rFonts w:asciiTheme="minorHAnsi" w:hAnsiTheme="minorHAnsi"/>
        </w:rPr>
        <w:t>Kontrakt ryczałtowy</w:t>
      </w:r>
    </w:p>
    <w:p w14:paraId="68CDCDB5" w14:textId="0BFDFA3B" w:rsidR="00184474" w:rsidRPr="00A23FB4" w:rsidRDefault="00184474" w:rsidP="00184474">
      <w:pPr>
        <w:tabs>
          <w:tab w:val="left" w:pos="9914"/>
        </w:tabs>
        <w:rPr>
          <w:rFonts w:asciiTheme="minorHAnsi" w:hAnsiTheme="minorHAnsi"/>
        </w:rPr>
      </w:pPr>
      <w:r w:rsidRPr="00A23FB4">
        <w:rPr>
          <w:rFonts w:asciiTheme="minorHAnsi" w:hAnsiTheme="minorHAnsi"/>
        </w:rPr>
        <w:t xml:space="preserve">Ogólne zasady obmiaru robót podano w </w:t>
      </w:r>
      <w:r w:rsidR="00865C6C">
        <w:rPr>
          <w:rFonts w:asciiTheme="minorHAnsi" w:hAnsiTheme="minorHAnsi"/>
        </w:rPr>
        <w:t>ST</w:t>
      </w:r>
      <w:r w:rsidRPr="00A23FB4">
        <w:rPr>
          <w:rFonts w:asciiTheme="minorHAnsi" w:hAnsiTheme="minorHAnsi"/>
        </w:rPr>
        <w:t>WiORB D-M-00.00.00 „Wymagania ogólne” pkt 7.</w:t>
      </w:r>
    </w:p>
    <w:p w14:paraId="04CAC76D" w14:textId="77777777" w:rsidR="00184474" w:rsidRPr="00A23FB4" w:rsidRDefault="00184474" w:rsidP="00184474">
      <w:pPr>
        <w:pStyle w:val="Nagwek3"/>
        <w:tabs>
          <w:tab w:val="left" w:pos="9914"/>
        </w:tabs>
        <w:rPr>
          <w:rFonts w:asciiTheme="minorHAnsi" w:hAnsiTheme="minorHAnsi"/>
        </w:rPr>
      </w:pPr>
      <w:bookmarkStart w:id="874" w:name="_Toc428169264"/>
      <w:bookmarkStart w:id="875" w:name="_Toc428323654"/>
      <w:bookmarkStart w:id="876" w:name="_Toc428759428"/>
      <w:r w:rsidRPr="00A23FB4">
        <w:rPr>
          <w:rFonts w:asciiTheme="minorHAnsi" w:hAnsiTheme="minorHAnsi"/>
        </w:rPr>
        <w:t>8. ODBIÓR ROBÓT</w:t>
      </w:r>
      <w:bookmarkEnd w:id="874"/>
      <w:bookmarkEnd w:id="875"/>
      <w:bookmarkEnd w:id="876"/>
    </w:p>
    <w:p w14:paraId="72514F5A" w14:textId="77777777" w:rsidR="00184474" w:rsidRPr="00A23FB4" w:rsidRDefault="00184474" w:rsidP="00184474">
      <w:pPr>
        <w:pStyle w:val="Nagwek4"/>
        <w:tabs>
          <w:tab w:val="left" w:pos="9914"/>
        </w:tabs>
        <w:rPr>
          <w:rFonts w:asciiTheme="minorHAnsi" w:hAnsiTheme="minorHAnsi"/>
        </w:rPr>
      </w:pPr>
      <w:r w:rsidRPr="00A23FB4">
        <w:rPr>
          <w:rFonts w:asciiTheme="minorHAnsi" w:hAnsiTheme="minorHAnsi"/>
        </w:rPr>
        <w:t>8.1. Ogólne zasady odbioru robót</w:t>
      </w:r>
    </w:p>
    <w:p w14:paraId="345E16B9" w14:textId="00F9386C" w:rsidR="00184474" w:rsidRPr="00A23FB4" w:rsidRDefault="00184474" w:rsidP="00184474">
      <w:pPr>
        <w:tabs>
          <w:tab w:val="left" w:pos="9914"/>
        </w:tabs>
        <w:rPr>
          <w:rFonts w:asciiTheme="minorHAnsi" w:hAnsiTheme="minorHAnsi"/>
        </w:rPr>
      </w:pPr>
      <w:r w:rsidRPr="00A23FB4">
        <w:rPr>
          <w:rFonts w:asciiTheme="minorHAnsi" w:hAnsiTheme="minorHAnsi"/>
        </w:rPr>
        <w:t xml:space="preserve">Ogólne zasady odbioru robót podano w </w:t>
      </w:r>
      <w:r w:rsidR="00865C6C">
        <w:rPr>
          <w:rFonts w:asciiTheme="minorHAnsi" w:hAnsiTheme="minorHAnsi"/>
        </w:rPr>
        <w:t>ST</w:t>
      </w:r>
      <w:r w:rsidRPr="00A23FB4">
        <w:rPr>
          <w:rFonts w:asciiTheme="minorHAnsi" w:hAnsiTheme="minorHAnsi"/>
        </w:rPr>
        <w:t>WiORB D-M-00.00.00 „Wymagania ogólne” pkt 8.</w:t>
      </w:r>
    </w:p>
    <w:p w14:paraId="189A87C2" w14:textId="0F24D9C9" w:rsidR="00184474" w:rsidRPr="00A23FB4" w:rsidRDefault="00184474" w:rsidP="00184474">
      <w:pPr>
        <w:tabs>
          <w:tab w:val="left" w:pos="9914"/>
        </w:tabs>
        <w:rPr>
          <w:rFonts w:asciiTheme="minorHAnsi" w:hAnsiTheme="minorHAnsi"/>
        </w:rPr>
      </w:pPr>
      <w:r w:rsidRPr="00A23FB4">
        <w:rPr>
          <w:rFonts w:asciiTheme="minorHAnsi" w:hAnsiTheme="minorHAnsi"/>
        </w:rPr>
        <w:t xml:space="preserve">Roboty uznaje się za wykonane zgodnie z dokumentacją projektową, </w:t>
      </w:r>
      <w:r w:rsidR="00865C6C">
        <w:rPr>
          <w:rFonts w:asciiTheme="minorHAnsi" w:hAnsiTheme="minorHAnsi"/>
        </w:rPr>
        <w:t>ST</w:t>
      </w:r>
      <w:r w:rsidRPr="00A23FB4">
        <w:rPr>
          <w:rFonts w:asciiTheme="minorHAnsi" w:hAnsiTheme="minorHAnsi"/>
        </w:rPr>
        <w:t>WiORB i wymaganiami Inżyniera/Kierownika projektu, jeżeli wszystkie pomiary i badania z zachowaniem tolerancji wg pkt 6 dały wyniki pozytywne.</w:t>
      </w:r>
    </w:p>
    <w:p w14:paraId="7B56DB10" w14:textId="77777777" w:rsidR="00184474" w:rsidRPr="00A23FB4" w:rsidRDefault="00184474" w:rsidP="00184474">
      <w:pPr>
        <w:pStyle w:val="Nagwek4"/>
        <w:tabs>
          <w:tab w:val="left" w:pos="9914"/>
        </w:tabs>
        <w:rPr>
          <w:rFonts w:asciiTheme="minorHAnsi" w:hAnsiTheme="minorHAnsi"/>
        </w:rPr>
      </w:pPr>
      <w:r w:rsidRPr="00A23FB4">
        <w:rPr>
          <w:rFonts w:asciiTheme="minorHAnsi" w:hAnsiTheme="minorHAnsi"/>
        </w:rPr>
        <w:t>8.2. Odbiór robót zanikających i ulegających zakryciu</w:t>
      </w:r>
    </w:p>
    <w:p w14:paraId="4E1F00DA" w14:textId="77777777" w:rsidR="00184474" w:rsidRPr="00A23FB4" w:rsidRDefault="00184474" w:rsidP="00184474">
      <w:pPr>
        <w:tabs>
          <w:tab w:val="left" w:pos="9914"/>
        </w:tabs>
        <w:rPr>
          <w:rFonts w:asciiTheme="minorHAnsi" w:hAnsiTheme="minorHAnsi"/>
        </w:rPr>
      </w:pPr>
      <w:r w:rsidRPr="00A23FB4">
        <w:rPr>
          <w:rFonts w:asciiTheme="minorHAnsi" w:hAnsiTheme="minorHAnsi"/>
        </w:rPr>
        <w:t>Odbiorowi robót zanikających i ulegających zakryciu podlegają:</w:t>
      </w:r>
    </w:p>
    <w:p w14:paraId="16A9B457" w14:textId="77777777" w:rsidR="00CB3CD7" w:rsidRDefault="00CB3CD7" w:rsidP="00262498">
      <w:pPr>
        <w:pStyle w:val="Akapitzlist"/>
        <w:numPr>
          <w:ilvl w:val="0"/>
          <w:numId w:val="270"/>
        </w:numPr>
        <w:tabs>
          <w:tab w:val="left" w:pos="9914"/>
        </w:tabs>
        <w:rPr>
          <w:rFonts w:asciiTheme="minorHAnsi" w:hAnsiTheme="minorHAnsi"/>
        </w:rPr>
      </w:pPr>
      <w:r w:rsidRPr="00CB3CD7">
        <w:rPr>
          <w:rFonts w:asciiTheme="minorHAnsi" w:hAnsiTheme="minorHAnsi"/>
        </w:rPr>
        <w:t>w</w:t>
      </w:r>
      <w:r w:rsidR="00184474" w:rsidRPr="00CB3CD7">
        <w:rPr>
          <w:rFonts w:asciiTheme="minorHAnsi" w:hAnsiTheme="minorHAnsi"/>
        </w:rPr>
        <w:t>ykonanie koryta pod ławę,</w:t>
      </w:r>
    </w:p>
    <w:p w14:paraId="788F2C39" w14:textId="77777777" w:rsidR="00CB3CD7" w:rsidRDefault="00184474" w:rsidP="00262498">
      <w:pPr>
        <w:pStyle w:val="Akapitzlist"/>
        <w:numPr>
          <w:ilvl w:val="0"/>
          <w:numId w:val="270"/>
        </w:numPr>
        <w:tabs>
          <w:tab w:val="left" w:pos="9914"/>
        </w:tabs>
        <w:rPr>
          <w:rFonts w:asciiTheme="minorHAnsi" w:hAnsiTheme="minorHAnsi"/>
        </w:rPr>
      </w:pPr>
      <w:r w:rsidRPr="00CB3CD7">
        <w:rPr>
          <w:rFonts w:asciiTheme="minorHAnsi" w:hAnsiTheme="minorHAnsi"/>
        </w:rPr>
        <w:t>wykonanie ławy,</w:t>
      </w:r>
    </w:p>
    <w:p w14:paraId="25DF0E9C" w14:textId="5C6DBA41" w:rsidR="00184474" w:rsidRPr="00CB3CD7" w:rsidRDefault="00184474" w:rsidP="00262498">
      <w:pPr>
        <w:pStyle w:val="Akapitzlist"/>
        <w:numPr>
          <w:ilvl w:val="0"/>
          <w:numId w:val="270"/>
        </w:numPr>
        <w:tabs>
          <w:tab w:val="left" w:pos="9914"/>
        </w:tabs>
        <w:rPr>
          <w:rFonts w:asciiTheme="minorHAnsi" w:hAnsiTheme="minorHAnsi"/>
        </w:rPr>
      </w:pPr>
      <w:r w:rsidRPr="00CB3CD7">
        <w:rPr>
          <w:rFonts w:asciiTheme="minorHAnsi" w:hAnsiTheme="minorHAnsi"/>
        </w:rPr>
        <w:t>wykonanie podsypki.</w:t>
      </w:r>
    </w:p>
    <w:p w14:paraId="79402F8A" w14:textId="77777777" w:rsidR="00184474" w:rsidRPr="00A23FB4" w:rsidRDefault="00184474" w:rsidP="00184474">
      <w:pPr>
        <w:pStyle w:val="Nagwek3"/>
        <w:tabs>
          <w:tab w:val="left" w:pos="9914"/>
        </w:tabs>
        <w:rPr>
          <w:rFonts w:asciiTheme="minorHAnsi" w:hAnsiTheme="minorHAnsi"/>
        </w:rPr>
      </w:pPr>
      <w:bookmarkStart w:id="877" w:name="_Toc428169265"/>
      <w:bookmarkStart w:id="878" w:name="_Toc428323655"/>
      <w:bookmarkStart w:id="879" w:name="_Toc428759429"/>
      <w:r w:rsidRPr="00A23FB4">
        <w:rPr>
          <w:rFonts w:asciiTheme="minorHAnsi" w:hAnsiTheme="minorHAnsi"/>
        </w:rPr>
        <w:t>9. PODSTAWA PŁATNOŚCI</w:t>
      </w:r>
      <w:bookmarkEnd w:id="877"/>
      <w:bookmarkEnd w:id="878"/>
      <w:bookmarkEnd w:id="879"/>
    </w:p>
    <w:p w14:paraId="1EE5165B" w14:textId="77777777" w:rsidR="00B0480C" w:rsidRDefault="00B0480C" w:rsidP="00184474">
      <w:pPr>
        <w:numPr>
          <w:ilvl w:val="12"/>
          <w:numId w:val="0"/>
        </w:numPr>
        <w:tabs>
          <w:tab w:val="left" w:pos="9914"/>
        </w:tabs>
        <w:rPr>
          <w:rFonts w:asciiTheme="minorHAnsi" w:hAnsiTheme="minorHAnsi"/>
        </w:rPr>
      </w:pPr>
    </w:p>
    <w:p w14:paraId="51900AFB" w14:textId="27EBDF5F" w:rsidR="00CB3CD7" w:rsidRDefault="00CB3CD7" w:rsidP="00184474">
      <w:pPr>
        <w:numPr>
          <w:ilvl w:val="12"/>
          <w:numId w:val="0"/>
        </w:numPr>
        <w:tabs>
          <w:tab w:val="left" w:pos="9914"/>
        </w:tabs>
        <w:rPr>
          <w:rFonts w:asciiTheme="minorHAnsi" w:hAnsiTheme="minorHAnsi"/>
        </w:rPr>
      </w:pPr>
      <w:r>
        <w:rPr>
          <w:rFonts w:asciiTheme="minorHAnsi" w:hAnsiTheme="minorHAnsi"/>
        </w:rPr>
        <w:t>Kontrakt ryczałtowy</w:t>
      </w:r>
    </w:p>
    <w:p w14:paraId="1C7B7AFD" w14:textId="27A07407" w:rsidR="00184474" w:rsidRPr="00A23FB4" w:rsidRDefault="00184474" w:rsidP="00184474">
      <w:pPr>
        <w:numPr>
          <w:ilvl w:val="12"/>
          <w:numId w:val="0"/>
        </w:numPr>
        <w:tabs>
          <w:tab w:val="left" w:pos="9914"/>
        </w:tabs>
        <w:rPr>
          <w:rFonts w:asciiTheme="minorHAnsi" w:hAnsiTheme="minorHAnsi"/>
        </w:rPr>
      </w:pPr>
      <w:r w:rsidRPr="00A23FB4">
        <w:rPr>
          <w:rFonts w:asciiTheme="minorHAnsi" w:hAnsiTheme="minorHAnsi"/>
        </w:rPr>
        <w:t xml:space="preserve">Ogólne ustalenia dotyczące podstawy płatności podano w </w:t>
      </w:r>
      <w:r w:rsidR="00865C6C">
        <w:rPr>
          <w:rFonts w:asciiTheme="minorHAnsi" w:hAnsiTheme="minorHAnsi"/>
        </w:rPr>
        <w:t>ST</w:t>
      </w:r>
      <w:r w:rsidRPr="00A23FB4">
        <w:rPr>
          <w:rFonts w:asciiTheme="minorHAnsi" w:hAnsiTheme="minorHAnsi"/>
        </w:rPr>
        <w:t>WiORB D-M-00.00.00 „Wymagania ogólne” pkt 9.</w:t>
      </w:r>
    </w:p>
    <w:p w14:paraId="2A3A1429" w14:textId="77777777" w:rsidR="00184474" w:rsidRPr="00A23FB4" w:rsidRDefault="00184474" w:rsidP="00184474">
      <w:pPr>
        <w:pStyle w:val="Nagwek3"/>
        <w:tabs>
          <w:tab w:val="left" w:pos="9914"/>
        </w:tabs>
        <w:rPr>
          <w:rFonts w:asciiTheme="minorHAnsi" w:hAnsiTheme="minorHAnsi"/>
        </w:rPr>
      </w:pPr>
      <w:bookmarkStart w:id="880" w:name="_Toc428759430"/>
      <w:r w:rsidRPr="00A23FB4">
        <w:rPr>
          <w:rFonts w:asciiTheme="minorHAnsi" w:hAnsiTheme="minorHAnsi"/>
        </w:rPr>
        <w:t>10. PRZEPISY ZWIĄZANE</w:t>
      </w:r>
      <w:bookmarkEnd w:id="880"/>
    </w:p>
    <w:p w14:paraId="11243300" w14:textId="77777777" w:rsidR="00184474" w:rsidRPr="00A23FB4" w:rsidRDefault="00184474" w:rsidP="00184474">
      <w:pPr>
        <w:pStyle w:val="Nagwek4"/>
        <w:tabs>
          <w:tab w:val="left" w:pos="9914"/>
        </w:tabs>
        <w:rPr>
          <w:rFonts w:asciiTheme="minorHAnsi" w:hAnsiTheme="minorHAnsi"/>
        </w:rPr>
      </w:pPr>
      <w:r w:rsidRPr="00A23FB4">
        <w:rPr>
          <w:rFonts w:asciiTheme="minorHAnsi" w:hAnsiTheme="minorHAnsi"/>
        </w:rPr>
        <w:t>10.1. Normy</w:t>
      </w:r>
    </w:p>
    <w:tbl>
      <w:tblPr>
        <w:tblW w:w="9993" w:type="dxa"/>
        <w:tblLayout w:type="fixed"/>
        <w:tblCellMar>
          <w:left w:w="70" w:type="dxa"/>
          <w:right w:w="70" w:type="dxa"/>
        </w:tblCellMar>
        <w:tblLook w:val="0000" w:firstRow="0" w:lastRow="0" w:firstColumn="0" w:lastColumn="0" w:noHBand="0" w:noVBand="0"/>
      </w:tblPr>
      <w:tblGrid>
        <w:gridCol w:w="637"/>
        <w:gridCol w:w="2552"/>
        <w:gridCol w:w="6804"/>
      </w:tblGrid>
      <w:tr w:rsidR="00184474" w:rsidRPr="00A23FB4" w14:paraId="1B57C2B2" w14:textId="77777777" w:rsidTr="006237D9">
        <w:tc>
          <w:tcPr>
            <w:tcW w:w="637" w:type="dxa"/>
          </w:tcPr>
          <w:p w14:paraId="34C55321" w14:textId="77777777" w:rsidR="00184474" w:rsidRPr="00B93A39" w:rsidRDefault="00184474" w:rsidP="006237D9">
            <w:pPr>
              <w:tabs>
                <w:tab w:val="left" w:pos="9914"/>
              </w:tabs>
              <w:rPr>
                <w:rFonts w:asciiTheme="minorHAnsi" w:hAnsiTheme="minorHAnsi"/>
                <w:sz w:val="18"/>
                <w:szCs w:val="18"/>
              </w:rPr>
            </w:pPr>
            <w:r w:rsidRPr="00B93A39">
              <w:rPr>
                <w:rFonts w:asciiTheme="minorHAnsi" w:hAnsiTheme="minorHAnsi"/>
                <w:sz w:val="18"/>
                <w:szCs w:val="18"/>
              </w:rPr>
              <w:t xml:space="preserve">  1.</w:t>
            </w:r>
          </w:p>
        </w:tc>
        <w:tc>
          <w:tcPr>
            <w:tcW w:w="2552" w:type="dxa"/>
          </w:tcPr>
          <w:p w14:paraId="1112E172" w14:textId="77777777" w:rsidR="00184474" w:rsidRPr="00B93A39" w:rsidRDefault="00184474" w:rsidP="006237D9">
            <w:pPr>
              <w:tabs>
                <w:tab w:val="left" w:pos="9914"/>
              </w:tabs>
              <w:rPr>
                <w:rFonts w:asciiTheme="minorHAnsi" w:hAnsiTheme="minorHAnsi"/>
                <w:sz w:val="18"/>
                <w:szCs w:val="18"/>
              </w:rPr>
            </w:pPr>
            <w:r w:rsidRPr="00B93A39">
              <w:rPr>
                <w:rFonts w:asciiTheme="minorHAnsi" w:hAnsiTheme="minorHAnsi"/>
                <w:sz w:val="18"/>
                <w:szCs w:val="18"/>
              </w:rPr>
              <w:t>PN-B-06050:1968</w:t>
            </w:r>
          </w:p>
        </w:tc>
        <w:tc>
          <w:tcPr>
            <w:tcW w:w="6804" w:type="dxa"/>
          </w:tcPr>
          <w:p w14:paraId="1C5F9EB2" w14:textId="77777777" w:rsidR="00184474" w:rsidRPr="00B93A39" w:rsidRDefault="00184474" w:rsidP="006237D9">
            <w:pPr>
              <w:tabs>
                <w:tab w:val="left" w:pos="9914"/>
              </w:tabs>
              <w:rPr>
                <w:rFonts w:asciiTheme="minorHAnsi" w:hAnsiTheme="minorHAnsi"/>
                <w:sz w:val="18"/>
                <w:szCs w:val="18"/>
              </w:rPr>
            </w:pPr>
            <w:r w:rsidRPr="00B93A39">
              <w:rPr>
                <w:rFonts w:asciiTheme="minorHAnsi" w:hAnsiTheme="minorHAnsi"/>
                <w:sz w:val="18"/>
                <w:szCs w:val="18"/>
              </w:rPr>
              <w:t>Roboty ziemne budowlane</w:t>
            </w:r>
          </w:p>
        </w:tc>
      </w:tr>
      <w:tr w:rsidR="00184474" w:rsidRPr="00A23FB4" w14:paraId="494EDB1D" w14:textId="77777777" w:rsidTr="006237D9">
        <w:tc>
          <w:tcPr>
            <w:tcW w:w="637" w:type="dxa"/>
          </w:tcPr>
          <w:p w14:paraId="10D4EAB4" w14:textId="77777777" w:rsidR="00184474" w:rsidRPr="00B93A39" w:rsidRDefault="00184474" w:rsidP="006237D9">
            <w:pPr>
              <w:tabs>
                <w:tab w:val="left" w:pos="9914"/>
              </w:tabs>
              <w:rPr>
                <w:rFonts w:asciiTheme="minorHAnsi" w:hAnsiTheme="minorHAnsi"/>
                <w:sz w:val="18"/>
                <w:szCs w:val="18"/>
              </w:rPr>
            </w:pPr>
            <w:r w:rsidRPr="00B93A39">
              <w:rPr>
                <w:rFonts w:asciiTheme="minorHAnsi" w:hAnsiTheme="minorHAnsi"/>
                <w:sz w:val="18"/>
                <w:szCs w:val="18"/>
              </w:rPr>
              <w:t xml:space="preserve">  2.</w:t>
            </w:r>
          </w:p>
        </w:tc>
        <w:tc>
          <w:tcPr>
            <w:tcW w:w="2552" w:type="dxa"/>
          </w:tcPr>
          <w:p w14:paraId="533CAC2B" w14:textId="77777777" w:rsidR="00184474" w:rsidRPr="00B93A39" w:rsidRDefault="00184474" w:rsidP="006237D9">
            <w:pPr>
              <w:tabs>
                <w:tab w:val="left" w:pos="9914"/>
              </w:tabs>
              <w:rPr>
                <w:rFonts w:asciiTheme="minorHAnsi" w:hAnsiTheme="minorHAnsi"/>
                <w:sz w:val="18"/>
                <w:szCs w:val="18"/>
              </w:rPr>
            </w:pPr>
            <w:r w:rsidRPr="00B93A39">
              <w:rPr>
                <w:rFonts w:asciiTheme="minorHAnsi" w:hAnsiTheme="minorHAnsi"/>
                <w:sz w:val="18"/>
                <w:szCs w:val="18"/>
              </w:rPr>
              <w:t>PN-B-06250:1988</w:t>
            </w:r>
          </w:p>
        </w:tc>
        <w:tc>
          <w:tcPr>
            <w:tcW w:w="6804" w:type="dxa"/>
          </w:tcPr>
          <w:p w14:paraId="59A5D0FA" w14:textId="77777777" w:rsidR="00184474" w:rsidRPr="00B93A39" w:rsidRDefault="00184474" w:rsidP="006237D9">
            <w:pPr>
              <w:tabs>
                <w:tab w:val="left" w:pos="9914"/>
              </w:tabs>
              <w:rPr>
                <w:rFonts w:asciiTheme="minorHAnsi" w:hAnsiTheme="minorHAnsi"/>
                <w:sz w:val="18"/>
                <w:szCs w:val="18"/>
              </w:rPr>
            </w:pPr>
            <w:r w:rsidRPr="00B93A39">
              <w:rPr>
                <w:rFonts w:asciiTheme="minorHAnsi" w:hAnsiTheme="minorHAnsi"/>
                <w:sz w:val="18"/>
                <w:szCs w:val="18"/>
              </w:rPr>
              <w:t>Beton zwykły</w:t>
            </w:r>
          </w:p>
        </w:tc>
      </w:tr>
      <w:tr w:rsidR="00184474" w:rsidRPr="00A23FB4" w14:paraId="0D42563D" w14:textId="77777777" w:rsidTr="006237D9">
        <w:tc>
          <w:tcPr>
            <w:tcW w:w="637" w:type="dxa"/>
          </w:tcPr>
          <w:p w14:paraId="7138CEA2" w14:textId="77777777" w:rsidR="00184474" w:rsidRPr="00B93A39" w:rsidRDefault="00184474" w:rsidP="006237D9">
            <w:pPr>
              <w:tabs>
                <w:tab w:val="left" w:pos="9914"/>
              </w:tabs>
              <w:rPr>
                <w:rFonts w:asciiTheme="minorHAnsi" w:hAnsiTheme="minorHAnsi"/>
                <w:sz w:val="18"/>
                <w:szCs w:val="18"/>
              </w:rPr>
            </w:pPr>
            <w:r w:rsidRPr="00B93A39">
              <w:rPr>
                <w:rFonts w:asciiTheme="minorHAnsi" w:hAnsiTheme="minorHAnsi"/>
                <w:sz w:val="18"/>
                <w:szCs w:val="18"/>
              </w:rPr>
              <w:t xml:space="preserve">  3.</w:t>
            </w:r>
          </w:p>
        </w:tc>
        <w:tc>
          <w:tcPr>
            <w:tcW w:w="2552" w:type="dxa"/>
          </w:tcPr>
          <w:p w14:paraId="2B5C1AA8" w14:textId="77777777" w:rsidR="00184474" w:rsidRPr="00B93A39" w:rsidRDefault="00184474" w:rsidP="006237D9">
            <w:pPr>
              <w:tabs>
                <w:tab w:val="left" w:pos="9914"/>
              </w:tabs>
              <w:rPr>
                <w:rFonts w:asciiTheme="minorHAnsi" w:hAnsiTheme="minorHAnsi"/>
                <w:sz w:val="18"/>
                <w:szCs w:val="18"/>
              </w:rPr>
            </w:pPr>
            <w:r w:rsidRPr="00B93A39">
              <w:rPr>
                <w:rFonts w:asciiTheme="minorHAnsi" w:hAnsiTheme="minorHAnsi"/>
                <w:sz w:val="18"/>
                <w:szCs w:val="18"/>
              </w:rPr>
              <w:t>PN-B-06251:1963</w:t>
            </w:r>
          </w:p>
        </w:tc>
        <w:tc>
          <w:tcPr>
            <w:tcW w:w="6804" w:type="dxa"/>
          </w:tcPr>
          <w:p w14:paraId="077777FA" w14:textId="77777777" w:rsidR="00184474" w:rsidRPr="00B93A39" w:rsidRDefault="00184474" w:rsidP="006237D9">
            <w:pPr>
              <w:tabs>
                <w:tab w:val="left" w:pos="9914"/>
              </w:tabs>
              <w:rPr>
                <w:rFonts w:asciiTheme="minorHAnsi" w:hAnsiTheme="minorHAnsi"/>
                <w:sz w:val="18"/>
                <w:szCs w:val="18"/>
              </w:rPr>
            </w:pPr>
            <w:r w:rsidRPr="00B93A39">
              <w:rPr>
                <w:rFonts w:asciiTheme="minorHAnsi" w:hAnsiTheme="minorHAnsi"/>
                <w:sz w:val="18"/>
                <w:szCs w:val="18"/>
              </w:rPr>
              <w:t>Roboty betonowe i żelbetowe</w:t>
            </w:r>
          </w:p>
        </w:tc>
      </w:tr>
      <w:tr w:rsidR="00184474" w:rsidRPr="00A23FB4" w14:paraId="65817C93" w14:textId="77777777" w:rsidTr="006237D9">
        <w:tc>
          <w:tcPr>
            <w:tcW w:w="637" w:type="dxa"/>
          </w:tcPr>
          <w:p w14:paraId="44F32047" w14:textId="77777777" w:rsidR="00184474" w:rsidRPr="00B93A39" w:rsidRDefault="00184474" w:rsidP="006237D9">
            <w:pPr>
              <w:tabs>
                <w:tab w:val="left" w:pos="9914"/>
              </w:tabs>
              <w:rPr>
                <w:rFonts w:asciiTheme="minorHAnsi" w:hAnsiTheme="minorHAnsi"/>
                <w:sz w:val="18"/>
                <w:szCs w:val="18"/>
              </w:rPr>
            </w:pPr>
            <w:r w:rsidRPr="00B93A39">
              <w:rPr>
                <w:rFonts w:asciiTheme="minorHAnsi" w:hAnsiTheme="minorHAnsi"/>
                <w:sz w:val="18"/>
                <w:szCs w:val="18"/>
              </w:rPr>
              <w:t xml:space="preserve">  4.</w:t>
            </w:r>
          </w:p>
        </w:tc>
        <w:tc>
          <w:tcPr>
            <w:tcW w:w="2552" w:type="dxa"/>
          </w:tcPr>
          <w:p w14:paraId="3E2A0D86" w14:textId="77777777" w:rsidR="00184474" w:rsidRPr="00B93A39" w:rsidRDefault="00184474" w:rsidP="006237D9">
            <w:pPr>
              <w:tabs>
                <w:tab w:val="left" w:pos="9914"/>
              </w:tabs>
              <w:rPr>
                <w:rFonts w:asciiTheme="minorHAnsi" w:hAnsiTheme="minorHAnsi"/>
                <w:sz w:val="18"/>
                <w:szCs w:val="18"/>
              </w:rPr>
            </w:pPr>
            <w:r w:rsidRPr="00B93A39">
              <w:rPr>
                <w:rFonts w:asciiTheme="minorHAnsi" w:hAnsiTheme="minorHAnsi"/>
                <w:sz w:val="18"/>
                <w:szCs w:val="18"/>
              </w:rPr>
              <w:t>PN-EN 12620:2004</w:t>
            </w:r>
          </w:p>
        </w:tc>
        <w:tc>
          <w:tcPr>
            <w:tcW w:w="6804" w:type="dxa"/>
          </w:tcPr>
          <w:p w14:paraId="6E559D53" w14:textId="77777777" w:rsidR="00184474" w:rsidRPr="00B93A39" w:rsidRDefault="00184474" w:rsidP="006237D9">
            <w:pPr>
              <w:tabs>
                <w:tab w:val="left" w:pos="9914"/>
              </w:tabs>
              <w:rPr>
                <w:rFonts w:asciiTheme="minorHAnsi" w:hAnsiTheme="minorHAnsi"/>
                <w:sz w:val="18"/>
                <w:szCs w:val="18"/>
              </w:rPr>
            </w:pPr>
            <w:r w:rsidRPr="00B93A39">
              <w:rPr>
                <w:rFonts w:asciiTheme="minorHAnsi" w:hAnsiTheme="minorHAnsi"/>
                <w:sz w:val="18"/>
                <w:szCs w:val="18"/>
              </w:rPr>
              <w:t>Kruszywa do betonu</w:t>
            </w:r>
          </w:p>
        </w:tc>
      </w:tr>
      <w:tr w:rsidR="00184474" w:rsidRPr="00A23FB4" w14:paraId="1B58CC57" w14:textId="77777777" w:rsidTr="006237D9">
        <w:tc>
          <w:tcPr>
            <w:tcW w:w="637" w:type="dxa"/>
          </w:tcPr>
          <w:p w14:paraId="33950452" w14:textId="77777777" w:rsidR="00184474" w:rsidRPr="00B93A39" w:rsidRDefault="00184474" w:rsidP="006237D9">
            <w:pPr>
              <w:tabs>
                <w:tab w:val="left" w:pos="9914"/>
              </w:tabs>
              <w:rPr>
                <w:rFonts w:asciiTheme="minorHAnsi" w:hAnsiTheme="minorHAnsi"/>
                <w:sz w:val="18"/>
                <w:szCs w:val="18"/>
              </w:rPr>
            </w:pPr>
            <w:r w:rsidRPr="00B93A39">
              <w:rPr>
                <w:rFonts w:asciiTheme="minorHAnsi" w:hAnsiTheme="minorHAnsi"/>
                <w:sz w:val="18"/>
                <w:szCs w:val="18"/>
              </w:rPr>
              <w:t xml:space="preserve">  5.</w:t>
            </w:r>
          </w:p>
        </w:tc>
        <w:tc>
          <w:tcPr>
            <w:tcW w:w="2552" w:type="dxa"/>
          </w:tcPr>
          <w:p w14:paraId="76D38D5C" w14:textId="77777777" w:rsidR="00184474" w:rsidRPr="00B93A39" w:rsidRDefault="00184474" w:rsidP="006237D9">
            <w:pPr>
              <w:tabs>
                <w:tab w:val="left" w:pos="9914"/>
              </w:tabs>
              <w:rPr>
                <w:rFonts w:asciiTheme="minorHAnsi" w:hAnsiTheme="minorHAnsi"/>
                <w:sz w:val="18"/>
                <w:szCs w:val="18"/>
              </w:rPr>
            </w:pPr>
            <w:r w:rsidRPr="00B93A39">
              <w:rPr>
                <w:rFonts w:asciiTheme="minorHAnsi" w:hAnsiTheme="minorHAnsi"/>
                <w:sz w:val="18"/>
                <w:szCs w:val="18"/>
              </w:rPr>
              <w:t>PN-B-10021:1980</w:t>
            </w:r>
          </w:p>
        </w:tc>
        <w:tc>
          <w:tcPr>
            <w:tcW w:w="6804" w:type="dxa"/>
          </w:tcPr>
          <w:p w14:paraId="2CE2FEE1" w14:textId="77777777" w:rsidR="00184474" w:rsidRPr="00B93A39" w:rsidRDefault="00184474" w:rsidP="006237D9">
            <w:pPr>
              <w:tabs>
                <w:tab w:val="left" w:pos="9914"/>
              </w:tabs>
              <w:rPr>
                <w:rFonts w:asciiTheme="minorHAnsi" w:hAnsiTheme="minorHAnsi"/>
                <w:sz w:val="18"/>
                <w:szCs w:val="18"/>
              </w:rPr>
            </w:pPr>
            <w:r w:rsidRPr="00B93A39">
              <w:rPr>
                <w:rFonts w:asciiTheme="minorHAnsi" w:hAnsiTheme="minorHAnsi"/>
                <w:sz w:val="18"/>
                <w:szCs w:val="18"/>
              </w:rPr>
              <w:t>Prefabrykaty budowlane z betonu. Metody pomiaru cech geometrycznych</w:t>
            </w:r>
          </w:p>
        </w:tc>
      </w:tr>
      <w:tr w:rsidR="00184474" w:rsidRPr="00A23FB4" w14:paraId="6CDAA92D" w14:textId="77777777" w:rsidTr="006237D9">
        <w:tc>
          <w:tcPr>
            <w:tcW w:w="637" w:type="dxa"/>
          </w:tcPr>
          <w:p w14:paraId="38A3EDD6" w14:textId="77777777" w:rsidR="00184474" w:rsidRPr="00B93A39" w:rsidRDefault="00184474" w:rsidP="006237D9">
            <w:pPr>
              <w:tabs>
                <w:tab w:val="left" w:pos="9914"/>
              </w:tabs>
              <w:rPr>
                <w:rFonts w:asciiTheme="minorHAnsi" w:hAnsiTheme="minorHAnsi"/>
                <w:sz w:val="18"/>
                <w:szCs w:val="18"/>
              </w:rPr>
            </w:pPr>
            <w:r w:rsidRPr="00B93A39">
              <w:rPr>
                <w:rFonts w:asciiTheme="minorHAnsi" w:hAnsiTheme="minorHAnsi"/>
                <w:sz w:val="18"/>
                <w:szCs w:val="18"/>
              </w:rPr>
              <w:t xml:space="preserve">  6.</w:t>
            </w:r>
          </w:p>
        </w:tc>
        <w:tc>
          <w:tcPr>
            <w:tcW w:w="2552" w:type="dxa"/>
          </w:tcPr>
          <w:p w14:paraId="03E8087B" w14:textId="77777777" w:rsidR="00184474" w:rsidRPr="00B93A39" w:rsidRDefault="00184474" w:rsidP="006237D9">
            <w:pPr>
              <w:tabs>
                <w:tab w:val="left" w:pos="9914"/>
              </w:tabs>
              <w:rPr>
                <w:rFonts w:asciiTheme="minorHAnsi" w:hAnsiTheme="minorHAnsi"/>
                <w:sz w:val="18"/>
                <w:szCs w:val="18"/>
              </w:rPr>
            </w:pPr>
            <w:r w:rsidRPr="00B93A39">
              <w:rPr>
                <w:rFonts w:asciiTheme="minorHAnsi" w:hAnsiTheme="minorHAnsi"/>
                <w:sz w:val="18"/>
                <w:szCs w:val="18"/>
              </w:rPr>
              <w:t>PN-B-11111:1996</w:t>
            </w:r>
          </w:p>
        </w:tc>
        <w:tc>
          <w:tcPr>
            <w:tcW w:w="6804" w:type="dxa"/>
          </w:tcPr>
          <w:p w14:paraId="779A1313" w14:textId="77777777" w:rsidR="00184474" w:rsidRPr="00B93A39" w:rsidRDefault="00184474" w:rsidP="006237D9">
            <w:pPr>
              <w:tabs>
                <w:tab w:val="left" w:pos="9914"/>
              </w:tabs>
              <w:rPr>
                <w:rFonts w:asciiTheme="minorHAnsi" w:hAnsiTheme="minorHAnsi"/>
                <w:sz w:val="18"/>
                <w:szCs w:val="18"/>
              </w:rPr>
            </w:pPr>
            <w:r w:rsidRPr="00B93A39">
              <w:rPr>
                <w:rFonts w:asciiTheme="minorHAnsi" w:hAnsiTheme="minorHAnsi"/>
                <w:sz w:val="18"/>
                <w:szCs w:val="18"/>
              </w:rPr>
              <w:t>Kruszywa mineralne. Kruszywa naturalne do nawierzchni drogowych. Żwir i mieszanka</w:t>
            </w:r>
          </w:p>
        </w:tc>
      </w:tr>
      <w:tr w:rsidR="00184474" w:rsidRPr="00A23FB4" w14:paraId="20674CEC" w14:textId="77777777" w:rsidTr="006237D9">
        <w:tc>
          <w:tcPr>
            <w:tcW w:w="637" w:type="dxa"/>
          </w:tcPr>
          <w:p w14:paraId="1B990522" w14:textId="77777777" w:rsidR="00184474" w:rsidRPr="00B93A39" w:rsidRDefault="00184474" w:rsidP="006237D9">
            <w:pPr>
              <w:tabs>
                <w:tab w:val="left" w:pos="9914"/>
              </w:tabs>
              <w:rPr>
                <w:rFonts w:asciiTheme="minorHAnsi" w:hAnsiTheme="minorHAnsi"/>
                <w:sz w:val="18"/>
                <w:szCs w:val="18"/>
              </w:rPr>
            </w:pPr>
            <w:r w:rsidRPr="00B93A39">
              <w:rPr>
                <w:rFonts w:asciiTheme="minorHAnsi" w:hAnsiTheme="minorHAnsi"/>
                <w:sz w:val="18"/>
                <w:szCs w:val="18"/>
              </w:rPr>
              <w:t xml:space="preserve">  7.</w:t>
            </w:r>
          </w:p>
        </w:tc>
        <w:tc>
          <w:tcPr>
            <w:tcW w:w="2552" w:type="dxa"/>
          </w:tcPr>
          <w:p w14:paraId="58669E79" w14:textId="77777777" w:rsidR="00184474" w:rsidRPr="00B93A39" w:rsidRDefault="00184474" w:rsidP="006237D9">
            <w:pPr>
              <w:tabs>
                <w:tab w:val="left" w:pos="9914"/>
              </w:tabs>
              <w:rPr>
                <w:rFonts w:asciiTheme="minorHAnsi" w:hAnsiTheme="minorHAnsi"/>
                <w:sz w:val="18"/>
                <w:szCs w:val="18"/>
              </w:rPr>
            </w:pPr>
            <w:r w:rsidRPr="00B93A39">
              <w:rPr>
                <w:rFonts w:asciiTheme="minorHAnsi" w:hAnsiTheme="minorHAnsi"/>
                <w:sz w:val="18"/>
                <w:szCs w:val="18"/>
              </w:rPr>
              <w:t>PN-B-11112:1996</w:t>
            </w:r>
          </w:p>
        </w:tc>
        <w:tc>
          <w:tcPr>
            <w:tcW w:w="6804" w:type="dxa"/>
          </w:tcPr>
          <w:p w14:paraId="73DA7FD7" w14:textId="77777777" w:rsidR="00184474" w:rsidRPr="00B93A39" w:rsidRDefault="00184474" w:rsidP="006237D9">
            <w:pPr>
              <w:tabs>
                <w:tab w:val="left" w:pos="9914"/>
              </w:tabs>
              <w:rPr>
                <w:rFonts w:asciiTheme="minorHAnsi" w:hAnsiTheme="minorHAnsi"/>
                <w:sz w:val="18"/>
                <w:szCs w:val="18"/>
              </w:rPr>
            </w:pPr>
            <w:r w:rsidRPr="00B93A39">
              <w:rPr>
                <w:rFonts w:asciiTheme="minorHAnsi" w:hAnsiTheme="minorHAnsi"/>
                <w:sz w:val="18"/>
                <w:szCs w:val="18"/>
              </w:rPr>
              <w:t>Kruszywa mineralne. Kruszywo łamane do nawierzchni drogowych</w:t>
            </w:r>
          </w:p>
        </w:tc>
      </w:tr>
      <w:tr w:rsidR="00184474" w:rsidRPr="00A23FB4" w14:paraId="2E7D6C8D" w14:textId="77777777" w:rsidTr="006237D9">
        <w:tc>
          <w:tcPr>
            <w:tcW w:w="637" w:type="dxa"/>
          </w:tcPr>
          <w:p w14:paraId="35FED047" w14:textId="77777777" w:rsidR="00184474" w:rsidRPr="00B93A39" w:rsidRDefault="00184474" w:rsidP="006237D9">
            <w:pPr>
              <w:tabs>
                <w:tab w:val="left" w:pos="9914"/>
              </w:tabs>
              <w:rPr>
                <w:rFonts w:asciiTheme="minorHAnsi" w:hAnsiTheme="minorHAnsi"/>
                <w:sz w:val="18"/>
                <w:szCs w:val="18"/>
              </w:rPr>
            </w:pPr>
            <w:r w:rsidRPr="00B93A39">
              <w:rPr>
                <w:rFonts w:asciiTheme="minorHAnsi" w:hAnsiTheme="minorHAnsi"/>
                <w:sz w:val="18"/>
                <w:szCs w:val="18"/>
              </w:rPr>
              <w:t xml:space="preserve">  8.</w:t>
            </w:r>
          </w:p>
        </w:tc>
        <w:tc>
          <w:tcPr>
            <w:tcW w:w="2552" w:type="dxa"/>
          </w:tcPr>
          <w:p w14:paraId="0B8905C5" w14:textId="77777777" w:rsidR="00184474" w:rsidRPr="00B93A39" w:rsidRDefault="00184474" w:rsidP="006237D9">
            <w:pPr>
              <w:tabs>
                <w:tab w:val="left" w:pos="9914"/>
              </w:tabs>
              <w:rPr>
                <w:rFonts w:asciiTheme="minorHAnsi" w:hAnsiTheme="minorHAnsi"/>
                <w:sz w:val="18"/>
                <w:szCs w:val="18"/>
              </w:rPr>
            </w:pPr>
            <w:r w:rsidRPr="00B93A39">
              <w:rPr>
                <w:rFonts w:asciiTheme="minorHAnsi" w:hAnsiTheme="minorHAnsi"/>
                <w:sz w:val="18"/>
                <w:szCs w:val="18"/>
              </w:rPr>
              <w:t>PN-B-11113:1996</w:t>
            </w:r>
          </w:p>
        </w:tc>
        <w:tc>
          <w:tcPr>
            <w:tcW w:w="6804" w:type="dxa"/>
          </w:tcPr>
          <w:p w14:paraId="22AEFF1B" w14:textId="77777777" w:rsidR="00184474" w:rsidRPr="00B93A39" w:rsidRDefault="00184474" w:rsidP="006237D9">
            <w:pPr>
              <w:tabs>
                <w:tab w:val="left" w:pos="9914"/>
              </w:tabs>
              <w:rPr>
                <w:rFonts w:asciiTheme="minorHAnsi" w:hAnsiTheme="minorHAnsi"/>
                <w:sz w:val="18"/>
                <w:szCs w:val="18"/>
              </w:rPr>
            </w:pPr>
            <w:r w:rsidRPr="00B93A39">
              <w:rPr>
                <w:rFonts w:asciiTheme="minorHAnsi" w:hAnsiTheme="minorHAnsi"/>
                <w:sz w:val="18"/>
                <w:szCs w:val="18"/>
              </w:rPr>
              <w:t>Kruszywa mineralne. Kruszywa naturalne do nawierzchni drogowych. Piasek</w:t>
            </w:r>
          </w:p>
        </w:tc>
      </w:tr>
      <w:tr w:rsidR="00184474" w:rsidRPr="00A23FB4" w14:paraId="58F02CD9" w14:textId="77777777" w:rsidTr="006237D9">
        <w:tc>
          <w:tcPr>
            <w:tcW w:w="637" w:type="dxa"/>
          </w:tcPr>
          <w:p w14:paraId="1CBA2A7A" w14:textId="77777777" w:rsidR="00184474" w:rsidRPr="00B93A39" w:rsidRDefault="00184474" w:rsidP="006237D9">
            <w:pPr>
              <w:tabs>
                <w:tab w:val="left" w:pos="9914"/>
              </w:tabs>
              <w:rPr>
                <w:rFonts w:asciiTheme="minorHAnsi" w:hAnsiTheme="minorHAnsi"/>
                <w:sz w:val="18"/>
                <w:szCs w:val="18"/>
              </w:rPr>
            </w:pPr>
            <w:r w:rsidRPr="00B93A39">
              <w:rPr>
                <w:rFonts w:asciiTheme="minorHAnsi" w:hAnsiTheme="minorHAnsi"/>
                <w:sz w:val="18"/>
                <w:szCs w:val="18"/>
              </w:rPr>
              <w:t xml:space="preserve">  9.</w:t>
            </w:r>
          </w:p>
        </w:tc>
        <w:tc>
          <w:tcPr>
            <w:tcW w:w="2552" w:type="dxa"/>
          </w:tcPr>
          <w:p w14:paraId="2CFC4836" w14:textId="77777777" w:rsidR="00184474" w:rsidRPr="00B93A39" w:rsidRDefault="00184474" w:rsidP="006237D9">
            <w:pPr>
              <w:tabs>
                <w:tab w:val="left" w:pos="9914"/>
              </w:tabs>
              <w:rPr>
                <w:rFonts w:asciiTheme="minorHAnsi" w:hAnsiTheme="minorHAnsi"/>
                <w:sz w:val="18"/>
                <w:szCs w:val="18"/>
              </w:rPr>
            </w:pPr>
            <w:r w:rsidRPr="00B93A39">
              <w:rPr>
                <w:rFonts w:asciiTheme="minorHAnsi" w:hAnsiTheme="minorHAnsi"/>
                <w:sz w:val="18"/>
                <w:szCs w:val="18"/>
              </w:rPr>
              <w:t>PN-B-197-1:2002</w:t>
            </w:r>
          </w:p>
        </w:tc>
        <w:tc>
          <w:tcPr>
            <w:tcW w:w="6804" w:type="dxa"/>
          </w:tcPr>
          <w:p w14:paraId="656B1ACE" w14:textId="77777777" w:rsidR="00184474" w:rsidRPr="00B93A39" w:rsidRDefault="00184474" w:rsidP="006237D9">
            <w:pPr>
              <w:tabs>
                <w:tab w:val="left" w:pos="9914"/>
              </w:tabs>
              <w:rPr>
                <w:rFonts w:asciiTheme="minorHAnsi" w:hAnsiTheme="minorHAnsi"/>
                <w:sz w:val="18"/>
                <w:szCs w:val="18"/>
              </w:rPr>
            </w:pPr>
            <w:r w:rsidRPr="00B93A39">
              <w:rPr>
                <w:rFonts w:asciiTheme="minorHAnsi" w:hAnsiTheme="minorHAnsi"/>
                <w:sz w:val="18"/>
                <w:szCs w:val="18"/>
              </w:rPr>
              <w:t>Cement. Część I. Skład, wymagania i kryteria zgodności cementów powszechnego użytku</w:t>
            </w:r>
          </w:p>
        </w:tc>
      </w:tr>
      <w:tr w:rsidR="00184474" w:rsidRPr="00A23FB4" w14:paraId="01EB26A4" w14:textId="77777777" w:rsidTr="006237D9">
        <w:tc>
          <w:tcPr>
            <w:tcW w:w="637" w:type="dxa"/>
          </w:tcPr>
          <w:p w14:paraId="10F55CC6" w14:textId="77777777" w:rsidR="00184474" w:rsidRPr="00B93A39" w:rsidRDefault="00184474" w:rsidP="006237D9">
            <w:pPr>
              <w:tabs>
                <w:tab w:val="left" w:pos="9914"/>
              </w:tabs>
              <w:rPr>
                <w:rFonts w:asciiTheme="minorHAnsi" w:hAnsiTheme="minorHAnsi"/>
                <w:sz w:val="18"/>
                <w:szCs w:val="18"/>
              </w:rPr>
            </w:pPr>
            <w:r w:rsidRPr="00B93A39">
              <w:rPr>
                <w:rFonts w:asciiTheme="minorHAnsi" w:hAnsiTheme="minorHAnsi"/>
                <w:sz w:val="18"/>
                <w:szCs w:val="18"/>
              </w:rPr>
              <w:t>10.</w:t>
            </w:r>
          </w:p>
        </w:tc>
        <w:tc>
          <w:tcPr>
            <w:tcW w:w="2552" w:type="dxa"/>
          </w:tcPr>
          <w:p w14:paraId="2FF4C689" w14:textId="77777777" w:rsidR="00184474" w:rsidRPr="00B93A39" w:rsidRDefault="00184474" w:rsidP="006237D9">
            <w:pPr>
              <w:tabs>
                <w:tab w:val="left" w:pos="9914"/>
              </w:tabs>
              <w:rPr>
                <w:rFonts w:asciiTheme="minorHAnsi" w:hAnsiTheme="minorHAnsi"/>
                <w:sz w:val="18"/>
                <w:szCs w:val="18"/>
              </w:rPr>
            </w:pPr>
            <w:r w:rsidRPr="00B93A39">
              <w:rPr>
                <w:rFonts w:asciiTheme="minorHAnsi" w:hAnsiTheme="minorHAnsi"/>
                <w:sz w:val="18"/>
                <w:szCs w:val="18"/>
              </w:rPr>
              <w:t>PN-EN 1008:2004</w:t>
            </w:r>
          </w:p>
        </w:tc>
        <w:tc>
          <w:tcPr>
            <w:tcW w:w="6804" w:type="dxa"/>
          </w:tcPr>
          <w:p w14:paraId="5C714EDC" w14:textId="77777777" w:rsidR="00184474" w:rsidRPr="00B93A39" w:rsidRDefault="00184474" w:rsidP="006237D9">
            <w:pPr>
              <w:tabs>
                <w:tab w:val="left" w:pos="9914"/>
              </w:tabs>
              <w:rPr>
                <w:rFonts w:asciiTheme="minorHAnsi" w:hAnsiTheme="minorHAnsi"/>
                <w:sz w:val="18"/>
                <w:szCs w:val="18"/>
              </w:rPr>
            </w:pPr>
            <w:r w:rsidRPr="00B93A39">
              <w:rPr>
                <w:rFonts w:asciiTheme="minorHAnsi" w:hAnsiTheme="minorHAnsi"/>
                <w:sz w:val="18"/>
                <w:szCs w:val="18"/>
              </w:rPr>
              <w:t>Woda zarobowa do betonu. Specyfikacja pobierania próbek, badanie i ocena przydatności wody zarobowej do betonu, w tym wody odzyskanej z procesów produkcji betonu</w:t>
            </w:r>
          </w:p>
        </w:tc>
      </w:tr>
      <w:tr w:rsidR="00184474" w:rsidRPr="00A23FB4" w14:paraId="103513AA" w14:textId="77777777" w:rsidTr="006237D9">
        <w:tc>
          <w:tcPr>
            <w:tcW w:w="637" w:type="dxa"/>
          </w:tcPr>
          <w:p w14:paraId="35361774" w14:textId="77777777" w:rsidR="00184474" w:rsidRPr="00B93A39" w:rsidRDefault="00184474" w:rsidP="006237D9">
            <w:pPr>
              <w:tabs>
                <w:tab w:val="left" w:pos="9914"/>
              </w:tabs>
              <w:rPr>
                <w:rFonts w:asciiTheme="minorHAnsi" w:hAnsiTheme="minorHAnsi"/>
                <w:sz w:val="18"/>
                <w:szCs w:val="18"/>
              </w:rPr>
            </w:pPr>
            <w:r w:rsidRPr="00B93A39">
              <w:rPr>
                <w:rFonts w:asciiTheme="minorHAnsi" w:hAnsiTheme="minorHAnsi"/>
                <w:sz w:val="18"/>
                <w:szCs w:val="18"/>
              </w:rPr>
              <w:t>11</w:t>
            </w:r>
          </w:p>
        </w:tc>
        <w:tc>
          <w:tcPr>
            <w:tcW w:w="2552" w:type="dxa"/>
          </w:tcPr>
          <w:p w14:paraId="772E879E" w14:textId="77777777" w:rsidR="00184474" w:rsidRPr="00B93A39" w:rsidRDefault="00184474" w:rsidP="006237D9">
            <w:pPr>
              <w:tabs>
                <w:tab w:val="left" w:pos="9914"/>
              </w:tabs>
              <w:rPr>
                <w:rFonts w:asciiTheme="minorHAnsi" w:hAnsiTheme="minorHAnsi"/>
                <w:sz w:val="18"/>
                <w:szCs w:val="18"/>
              </w:rPr>
            </w:pPr>
            <w:r w:rsidRPr="00B93A39">
              <w:rPr>
                <w:rFonts w:asciiTheme="minorHAnsi" w:hAnsiTheme="minorHAnsi"/>
                <w:sz w:val="18"/>
                <w:szCs w:val="18"/>
              </w:rPr>
              <w:t>PN-EN 1340:2004</w:t>
            </w:r>
          </w:p>
        </w:tc>
        <w:tc>
          <w:tcPr>
            <w:tcW w:w="6804" w:type="dxa"/>
          </w:tcPr>
          <w:p w14:paraId="4F15BE5F" w14:textId="77777777" w:rsidR="00184474" w:rsidRPr="00B93A39" w:rsidRDefault="00184474" w:rsidP="006237D9">
            <w:pPr>
              <w:tabs>
                <w:tab w:val="left" w:pos="9914"/>
              </w:tabs>
              <w:rPr>
                <w:rFonts w:asciiTheme="minorHAnsi" w:hAnsiTheme="minorHAnsi"/>
                <w:sz w:val="18"/>
                <w:szCs w:val="18"/>
              </w:rPr>
            </w:pPr>
            <w:r w:rsidRPr="00B93A39">
              <w:rPr>
                <w:rFonts w:asciiTheme="minorHAnsi" w:hAnsiTheme="minorHAnsi"/>
                <w:sz w:val="18"/>
                <w:szCs w:val="18"/>
              </w:rPr>
              <w:t>Krawężniki betonowe Wymagania i metody badań</w:t>
            </w:r>
          </w:p>
        </w:tc>
      </w:tr>
      <w:tr w:rsidR="00184474" w:rsidRPr="00A23FB4" w14:paraId="6177135F" w14:textId="77777777" w:rsidTr="006237D9">
        <w:tc>
          <w:tcPr>
            <w:tcW w:w="637" w:type="dxa"/>
          </w:tcPr>
          <w:p w14:paraId="5F40095E" w14:textId="77777777" w:rsidR="00184474" w:rsidRPr="00B93A39" w:rsidRDefault="00184474" w:rsidP="006237D9">
            <w:pPr>
              <w:tabs>
                <w:tab w:val="left" w:pos="9914"/>
              </w:tabs>
              <w:rPr>
                <w:rFonts w:asciiTheme="minorHAnsi" w:hAnsiTheme="minorHAnsi"/>
                <w:sz w:val="18"/>
                <w:szCs w:val="18"/>
              </w:rPr>
            </w:pPr>
            <w:r w:rsidRPr="00B93A39">
              <w:rPr>
                <w:rFonts w:asciiTheme="minorHAnsi" w:hAnsiTheme="minorHAnsi"/>
                <w:sz w:val="18"/>
                <w:szCs w:val="18"/>
              </w:rPr>
              <w:t>12.</w:t>
            </w:r>
          </w:p>
        </w:tc>
        <w:tc>
          <w:tcPr>
            <w:tcW w:w="2552" w:type="dxa"/>
          </w:tcPr>
          <w:p w14:paraId="36B44639" w14:textId="77777777" w:rsidR="00184474" w:rsidRPr="00B93A39" w:rsidRDefault="00184474" w:rsidP="006237D9">
            <w:pPr>
              <w:tabs>
                <w:tab w:val="left" w:pos="9914"/>
              </w:tabs>
              <w:rPr>
                <w:rFonts w:asciiTheme="minorHAnsi" w:hAnsiTheme="minorHAnsi"/>
                <w:sz w:val="18"/>
                <w:szCs w:val="18"/>
              </w:rPr>
            </w:pPr>
            <w:r w:rsidRPr="00B93A39">
              <w:rPr>
                <w:rFonts w:asciiTheme="minorHAnsi" w:hAnsiTheme="minorHAnsi"/>
                <w:sz w:val="18"/>
                <w:szCs w:val="18"/>
              </w:rPr>
              <w:t>BN-88/6731-08</w:t>
            </w:r>
          </w:p>
        </w:tc>
        <w:tc>
          <w:tcPr>
            <w:tcW w:w="6804" w:type="dxa"/>
          </w:tcPr>
          <w:p w14:paraId="3CF6C1D6" w14:textId="77777777" w:rsidR="00184474" w:rsidRPr="00B93A39" w:rsidRDefault="00184474" w:rsidP="006237D9">
            <w:pPr>
              <w:tabs>
                <w:tab w:val="left" w:pos="9914"/>
              </w:tabs>
              <w:rPr>
                <w:rFonts w:asciiTheme="minorHAnsi" w:hAnsiTheme="minorHAnsi"/>
                <w:sz w:val="18"/>
                <w:szCs w:val="18"/>
              </w:rPr>
            </w:pPr>
            <w:r w:rsidRPr="00B93A39">
              <w:rPr>
                <w:rFonts w:asciiTheme="minorHAnsi" w:hAnsiTheme="minorHAnsi"/>
                <w:sz w:val="18"/>
                <w:szCs w:val="18"/>
              </w:rPr>
              <w:t>Cement. Transport i przechowywanie</w:t>
            </w:r>
          </w:p>
        </w:tc>
      </w:tr>
      <w:tr w:rsidR="00184474" w:rsidRPr="00A23FB4" w14:paraId="268F687B" w14:textId="77777777" w:rsidTr="006237D9">
        <w:tc>
          <w:tcPr>
            <w:tcW w:w="637" w:type="dxa"/>
          </w:tcPr>
          <w:p w14:paraId="302EFB2E" w14:textId="77777777" w:rsidR="00184474" w:rsidRPr="00B93A39" w:rsidRDefault="00184474" w:rsidP="006237D9">
            <w:pPr>
              <w:tabs>
                <w:tab w:val="left" w:pos="9914"/>
              </w:tabs>
              <w:rPr>
                <w:rFonts w:asciiTheme="minorHAnsi" w:hAnsiTheme="minorHAnsi"/>
                <w:sz w:val="18"/>
                <w:szCs w:val="18"/>
              </w:rPr>
            </w:pPr>
            <w:r w:rsidRPr="00B93A39">
              <w:rPr>
                <w:rFonts w:asciiTheme="minorHAnsi" w:hAnsiTheme="minorHAnsi"/>
                <w:sz w:val="18"/>
                <w:szCs w:val="18"/>
              </w:rPr>
              <w:t>13.</w:t>
            </w:r>
          </w:p>
        </w:tc>
        <w:tc>
          <w:tcPr>
            <w:tcW w:w="2552" w:type="dxa"/>
          </w:tcPr>
          <w:p w14:paraId="1566DB1F" w14:textId="77777777" w:rsidR="00184474" w:rsidRPr="00B93A39" w:rsidRDefault="00184474" w:rsidP="006237D9">
            <w:pPr>
              <w:tabs>
                <w:tab w:val="left" w:pos="9914"/>
              </w:tabs>
              <w:rPr>
                <w:rFonts w:asciiTheme="minorHAnsi" w:hAnsiTheme="minorHAnsi"/>
                <w:sz w:val="18"/>
                <w:szCs w:val="18"/>
              </w:rPr>
            </w:pPr>
            <w:r w:rsidRPr="00B93A39">
              <w:rPr>
                <w:rFonts w:asciiTheme="minorHAnsi" w:hAnsiTheme="minorHAnsi"/>
                <w:sz w:val="18"/>
                <w:szCs w:val="18"/>
              </w:rPr>
              <w:t>BN-74/6771-04</w:t>
            </w:r>
          </w:p>
        </w:tc>
        <w:tc>
          <w:tcPr>
            <w:tcW w:w="6804" w:type="dxa"/>
          </w:tcPr>
          <w:p w14:paraId="25F0EBB6" w14:textId="77777777" w:rsidR="00184474" w:rsidRPr="00B93A39" w:rsidRDefault="00184474" w:rsidP="006237D9">
            <w:pPr>
              <w:tabs>
                <w:tab w:val="left" w:pos="9914"/>
              </w:tabs>
              <w:rPr>
                <w:rFonts w:asciiTheme="minorHAnsi" w:hAnsiTheme="minorHAnsi"/>
                <w:sz w:val="18"/>
                <w:szCs w:val="18"/>
              </w:rPr>
            </w:pPr>
            <w:r w:rsidRPr="00B93A39">
              <w:rPr>
                <w:rFonts w:asciiTheme="minorHAnsi" w:hAnsiTheme="minorHAnsi"/>
                <w:sz w:val="18"/>
                <w:szCs w:val="18"/>
              </w:rPr>
              <w:t>Drogi samochodowe. Masa zalewowa</w:t>
            </w:r>
          </w:p>
        </w:tc>
      </w:tr>
      <w:tr w:rsidR="00184474" w:rsidRPr="00A23FB4" w14:paraId="64332504" w14:textId="77777777" w:rsidTr="006237D9">
        <w:tc>
          <w:tcPr>
            <w:tcW w:w="637" w:type="dxa"/>
          </w:tcPr>
          <w:p w14:paraId="66A7F579" w14:textId="77777777" w:rsidR="00184474" w:rsidRPr="00B93A39" w:rsidRDefault="00184474" w:rsidP="006237D9">
            <w:pPr>
              <w:tabs>
                <w:tab w:val="left" w:pos="9914"/>
              </w:tabs>
              <w:rPr>
                <w:rFonts w:asciiTheme="minorHAnsi" w:hAnsiTheme="minorHAnsi"/>
                <w:sz w:val="18"/>
                <w:szCs w:val="18"/>
              </w:rPr>
            </w:pPr>
            <w:r w:rsidRPr="00B93A39">
              <w:rPr>
                <w:rFonts w:asciiTheme="minorHAnsi" w:hAnsiTheme="minorHAnsi"/>
                <w:sz w:val="18"/>
                <w:szCs w:val="18"/>
              </w:rPr>
              <w:t>14.</w:t>
            </w:r>
          </w:p>
        </w:tc>
        <w:tc>
          <w:tcPr>
            <w:tcW w:w="2552" w:type="dxa"/>
          </w:tcPr>
          <w:p w14:paraId="5481050A" w14:textId="77777777" w:rsidR="00184474" w:rsidRPr="00B93A39" w:rsidRDefault="00184474" w:rsidP="006237D9">
            <w:pPr>
              <w:tabs>
                <w:tab w:val="left" w:pos="9914"/>
              </w:tabs>
              <w:rPr>
                <w:rFonts w:asciiTheme="minorHAnsi" w:hAnsiTheme="minorHAnsi"/>
                <w:sz w:val="18"/>
                <w:szCs w:val="18"/>
              </w:rPr>
            </w:pPr>
            <w:r w:rsidRPr="00B93A39">
              <w:rPr>
                <w:rFonts w:asciiTheme="minorHAnsi" w:hAnsiTheme="minorHAnsi"/>
                <w:sz w:val="18"/>
                <w:szCs w:val="18"/>
              </w:rPr>
              <w:t>BN-80/6775-03/01</w:t>
            </w:r>
          </w:p>
        </w:tc>
        <w:tc>
          <w:tcPr>
            <w:tcW w:w="6804" w:type="dxa"/>
          </w:tcPr>
          <w:p w14:paraId="74AB218D" w14:textId="77777777" w:rsidR="00184474" w:rsidRPr="00B93A39" w:rsidRDefault="00184474" w:rsidP="006237D9">
            <w:pPr>
              <w:tabs>
                <w:tab w:val="left" w:pos="9914"/>
              </w:tabs>
              <w:rPr>
                <w:rFonts w:asciiTheme="minorHAnsi" w:hAnsiTheme="minorHAnsi"/>
                <w:sz w:val="18"/>
                <w:szCs w:val="18"/>
              </w:rPr>
            </w:pPr>
            <w:r w:rsidRPr="00B93A39">
              <w:rPr>
                <w:rFonts w:asciiTheme="minorHAnsi" w:hAnsiTheme="minorHAnsi"/>
                <w:sz w:val="18"/>
                <w:szCs w:val="18"/>
              </w:rPr>
              <w:t>Prefabrykaty budowlane z betonu. Elementy nawierzchni dróg, ulic, parkingów i torowisk tramwajowych. Wspólne wymagania i badania</w:t>
            </w:r>
          </w:p>
        </w:tc>
      </w:tr>
      <w:tr w:rsidR="00184474" w:rsidRPr="00A23FB4" w14:paraId="06045970" w14:textId="77777777" w:rsidTr="006237D9">
        <w:tc>
          <w:tcPr>
            <w:tcW w:w="637" w:type="dxa"/>
          </w:tcPr>
          <w:p w14:paraId="192001F7" w14:textId="77777777" w:rsidR="00184474" w:rsidRPr="00B93A39" w:rsidRDefault="00184474" w:rsidP="006237D9">
            <w:pPr>
              <w:tabs>
                <w:tab w:val="left" w:pos="9914"/>
              </w:tabs>
              <w:rPr>
                <w:rFonts w:asciiTheme="minorHAnsi" w:hAnsiTheme="minorHAnsi"/>
                <w:sz w:val="18"/>
                <w:szCs w:val="18"/>
              </w:rPr>
            </w:pPr>
            <w:r w:rsidRPr="00B93A39">
              <w:rPr>
                <w:rFonts w:asciiTheme="minorHAnsi" w:hAnsiTheme="minorHAnsi"/>
                <w:sz w:val="18"/>
                <w:szCs w:val="18"/>
              </w:rPr>
              <w:t>15.</w:t>
            </w:r>
          </w:p>
        </w:tc>
        <w:tc>
          <w:tcPr>
            <w:tcW w:w="2552" w:type="dxa"/>
          </w:tcPr>
          <w:p w14:paraId="7BF82FB4" w14:textId="77777777" w:rsidR="00184474" w:rsidRPr="00B93A39" w:rsidRDefault="00184474" w:rsidP="006237D9">
            <w:pPr>
              <w:tabs>
                <w:tab w:val="left" w:pos="9914"/>
              </w:tabs>
              <w:rPr>
                <w:rFonts w:asciiTheme="minorHAnsi" w:hAnsiTheme="minorHAnsi"/>
                <w:sz w:val="18"/>
                <w:szCs w:val="18"/>
              </w:rPr>
            </w:pPr>
            <w:r w:rsidRPr="00B93A39">
              <w:rPr>
                <w:rFonts w:asciiTheme="minorHAnsi" w:hAnsiTheme="minorHAnsi"/>
                <w:sz w:val="18"/>
                <w:szCs w:val="18"/>
              </w:rPr>
              <w:t>BN-80/6775-03/04</w:t>
            </w:r>
          </w:p>
        </w:tc>
        <w:tc>
          <w:tcPr>
            <w:tcW w:w="6804" w:type="dxa"/>
          </w:tcPr>
          <w:p w14:paraId="7B4AF776" w14:textId="77777777" w:rsidR="00184474" w:rsidRPr="00B93A39" w:rsidRDefault="00184474" w:rsidP="006237D9">
            <w:pPr>
              <w:tabs>
                <w:tab w:val="left" w:pos="9914"/>
              </w:tabs>
              <w:rPr>
                <w:rFonts w:asciiTheme="minorHAnsi" w:hAnsiTheme="minorHAnsi"/>
                <w:sz w:val="18"/>
                <w:szCs w:val="18"/>
              </w:rPr>
            </w:pPr>
            <w:r w:rsidRPr="00B93A39">
              <w:rPr>
                <w:rFonts w:asciiTheme="minorHAnsi" w:hAnsiTheme="minorHAnsi"/>
                <w:sz w:val="18"/>
                <w:szCs w:val="18"/>
              </w:rPr>
              <w:t>Prefabrykaty budowlane z betonu. Elementy nawierzchni dróg, ulic, parkingów i torowisk tramwajowych. Krawężniki i obrzeża chodnikowe</w:t>
            </w:r>
          </w:p>
        </w:tc>
      </w:tr>
      <w:tr w:rsidR="00184474" w:rsidRPr="00A23FB4" w14:paraId="0FADB1AF" w14:textId="77777777" w:rsidTr="006237D9">
        <w:tc>
          <w:tcPr>
            <w:tcW w:w="637" w:type="dxa"/>
          </w:tcPr>
          <w:p w14:paraId="6FE7E2FE" w14:textId="77777777" w:rsidR="00184474" w:rsidRPr="00B93A39" w:rsidRDefault="00184474" w:rsidP="006237D9">
            <w:pPr>
              <w:tabs>
                <w:tab w:val="left" w:pos="9914"/>
              </w:tabs>
              <w:rPr>
                <w:rFonts w:asciiTheme="minorHAnsi" w:hAnsiTheme="minorHAnsi"/>
                <w:sz w:val="18"/>
                <w:szCs w:val="18"/>
              </w:rPr>
            </w:pPr>
            <w:r w:rsidRPr="00B93A39">
              <w:rPr>
                <w:rFonts w:asciiTheme="minorHAnsi" w:hAnsiTheme="minorHAnsi"/>
                <w:sz w:val="18"/>
                <w:szCs w:val="18"/>
              </w:rPr>
              <w:t>16.</w:t>
            </w:r>
          </w:p>
        </w:tc>
        <w:tc>
          <w:tcPr>
            <w:tcW w:w="2552" w:type="dxa"/>
          </w:tcPr>
          <w:p w14:paraId="2DFC2B27" w14:textId="77777777" w:rsidR="00184474" w:rsidRPr="00B93A39" w:rsidRDefault="00184474" w:rsidP="006237D9">
            <w:pPr>
              <w:tabs>
                <w:tab w:val="left" w:pos="9914"/>
              </w:tabs>
              <w:rPr>
                <w:rFonts w:asciiTheme="minorHAnsi" w:hAnsiTheme="minorHAnsi"/>
                <w:sz w:val="18"/>
                <w:szCs w:val="18"/>
              </w:rPr>
            </w:pPr>
            <w:r w:rsidRPr="00B93A39">
              <w:rPr>
                <w:rFonts w:asciiTheme="minorHAnsi" w:hAnsiTheme="minorHAnsi"/>
                <w:sz w:val="18"/>
                <w:szCs w:val="18"/>
              </w:rPr>
              <w:t>BN-64/8845-02</w:t>
            </w:r>
          </w:p>
        </w:tc>
        <w:tc>
          <w:tcPr>
            <w:tcW w:w="6804" w:type="dxa"/>
          </w:tcPr>
          <w:p w14:paraId="3E103AD4" w14:textId="77777777" w:rsidR="00184474" w:rsidRPr="00B93A39" w:rsidRDefault="00184474" w:rsidP="006237D9">
            <w:pPr>
              <w:tabs>
                <w:tab w:val="left" w:pos="9914"/>
              </w:tabs>
              <w:rPr>
                <w:rFonts w:asciiTheme="minorHAnsi" w:hAnsiTheme="minorHAnsi"/>
                <w:sz w:val="18"/>
                <w:szCs w:val="18"/>
              </w:rPr>
            </w:pPr>
            <w:r w:rsidRPr="00B93A39">
              <w:rPr>
                <w:rFonts w:asciiTheme="minorHAnsi" w:hAnsiTheme="minorHAnsi"/>
                <w:sz w:val="18"/>
                <w:szCs w:val="18"/>
              </w:rPr>
              <w:t>Krawężniki uliczne. Warunki techniczne ustawiania i odbioru.</w:t>
            </w:r>
          </w:p>
        </w:tc>
      </w:tr>
    </w:tbl>
    <w:p w14:paraId="158631D0" w14:textId="77777777" w:rsidR="00184474" w:rsidRPr="00A23FB4" w:rsidRDefault="00184474" w:rsidP="00184474">
      <w:pPr>
        <w:pStyle w:val="Nagwek4"/>
        <w:tabs>
          <w:tab w:val="left" w:pos="9914"/>
        </w:tabs>
        <w:rPr>
          <w:rFonts w:asciiTheme="minorHAnsi" w:hAnsiTheme="minorHAnsi"/>
        </w:rPr>
      </w:pPr>
      <w:r w:rsidRPr="00A23FB4">
        <w:rPr>
          <w:rFonts w:asciiTheme="minorHAnsi" w:hAnsiTheme="minorHAnsi"/>
        </w:rPr>
        <w:t>10.2. Inne dokumenty</w:t>
      </w:r>
    </w:p>
    <w:p w14:paraId="5831A49F" w14:textId="77777777" w:rsidR="00184474" w:rsidRPr="00B93A39" w:rsidRDefault="00184474" w:rsidP="00262498">
      <w:pPr>
        <w:numPr>
          <w:ilvl w:val="0"/>
          <w:numId w:val="184"/>
        </w:numPr>
        <w:tabs>
          <w:tab w:val="left" w:pos="9914"/>
        </w:tabs>
        <w:ind w:left="0" w:firstLine="0"/>
        <w:rPr>
          <w:rFonts w:asciiTheme="minorHAnsi" w:hAnsiTheme="minorHAnsi"/>
          <w:sz w:val="18"/>
          <w:szCs w:val="18"/>
        </w:rPr>
      </w:pPr>
      <w:r w:rsidRPr="00B93A39">
        <w:rPr>
          <w:rFonts w:asciiTheme="minorHAnsi" w:hAnsiTheme="minorHAnsi"/>
          <w:sz w:val="18"/>
          <w:szCs w:val="18"/>
        </w:rPr>
        <w:t>Katalog powtarzalnych elementów drogowych (KPED), Transprojekt - Warszawa, 1979 i 1982 r.</w:t>
      </w:r>
    </w:p>
    <w:p w14:paraId="03853A1D" w14:textId="77777777" w:rsidR="00184474" w:rsidRPr="00A23FB4" w:rsidRDefault="00184474">
      <w:pPr>
        <w:overflowPunct/>
        <w:autoSpaceDE/>
        <w:autoSpaceDN/>
        <w:adjustRightInd/>
        <w:jc w:val="left"/>
        <w:textAlignment w:val="auto"/>
        <w:rPr>
          <w:rFonts w:asciiTheme="minorHAnsi" w:hAnsiTheme="minorHAnsi"/>
        </w:rPr>
      </w:pPr>
      <w:r w:rsidRPr="00A23FB4">
        <w:rPr>
          <w:rFonts w:asciiTheme="minorHAnsi" w:hAnsiTheme="minorHAnsi"/>
        </w:rPr>
        <w:br w:type="page"/>
      </w:r>
    </w:p>
    <w:p w14:paraId="29130F8D" w14:textId="0EEBF744" w:rsidR="005167F2" w:rsidRPr="00A23FB4" w:rsidRDefault="005167F2">
      <w:pPr>
        <w:overflowPunct/>
        <w:autoSpaceDE/>
        <w:autoSpaceDN/>
        <w:adjustRightInd/>
        <w:jc w:val="left"/>
        <w:textAlignment w:val="auto"/>
        <w:rPr>
          <w:rFonts w:asciiTheme="minorHAnsi" w:hAnsiTheme="minorHAnsi"/>
          <w:b/>
          <w:sz w:val="22"/>
          <w:szCs w:val="22"/>
        </w:rPr>
      </w:pPr>
    </w:p>
    <w:p w14:paraId="5B4863B8" w14:textId="7A314E76" w:rsidR="00B77350" w:rsidRPr="00A23FB4" w:rsidRDefault="00E13859" w:rsidP="00B77350">
      <w:pPr>
        <w:spacing w:line="360" w:lineRule="auto"/>
        <w:jc w:val="center"/>
        <w:rPr>
          <w:rFonts w:asciiTheme="minorHAnsi" w:hAnsiTheme="minorHAnsi"/>
          <w:b/>
          <w:sz w:val="22"/>
          <w:szCs w:val="22"/>
        </w:rPr>
      </w:pPr>
      <w:r>
        <w:rPr>
          <w:rFonts w:ascii="Calibri" w:hAnsi="Calibri" w:cs="Calibri"/>
          <w:b/>
          <w:sz w:val="22"/>
          <w:szCs w:val="22"/>
        </w:rPr>
        <w:t>SZCZEGÓŁOWE SPECYFIKACJE TECHNICZNE</w:t>
      </w:r>
      <w:r w:rsidRPr="00E30D66">
        <w:rPr>
          <w:rFonts w:ascii="Calibri" w:hAnsi="Calibri" w:cs="Calibri"/>
          <w:b/>
          <w:sz w:val="22"/>
          <w:szCs w:val="22"/>
        </w:rPr>
        <w:t xml:space="preserve"> </w:t>
      </w:r>
      <w:r w:rsidR="00B77350" w:rsidRPr="00A23FB4">
        <w:rPr>
          <w:rFonts w:asciiTheme="minorHAnsi" w:hAnsiTheme="minorHAnsi"/>
          <w:b/>
          <w:sz w:val="22"/>
          <w:szCs w:val="22"/>
        </w:rPr>
        <w:t>WYKONANIA I ODBIORU ROBÓT BUDOWLANYCH</w:t>
      </w:r>
    </w:p>
    <w:p w14:paraId="03267F56" w14:textId="77777777" w:rsidR="00B77350" w:rsidRPr="00A23FB4" w:rsidRDefault="003739A4" w:rsidP="00B77350">
      <w:pPr>
        <w:pStyle w:val="Nagowek1"/>
        <w:spacing w:before="0"/>
      </w:pPr>
      <w:bookmarkStart w:id="881" w:name="_Toc86059904"/>
      <w:bookmarkStart w:id="882" w:name="_Toc206275499"/>
      <w:r>
        <w:t>D</w:t>
      </w:r>
      <w:r w:rsidR="00B77350" w:rsidRPr="00A23FB4">
        <w:t>-08.01.02 KRAWĘŻNIKI KAMIENNE</w:t>
      </w:r>
      <w:bookmarkEnd w:id="881"/>
      <w:bookmarkEnd w:id="882"/>
    </w:p>
    <w:p w14:paraId="76EFB286" w14:textId="77777777" w:rsidR="00B77350" w:rsidRPr="00A23FB4" w:rsidRDefault="00B77350" w:rsidP="00B77350">
      <w:pPr>
        <w:pStyle w:val="Nagwek3"/>
        <w:tabs>
          <w:tab w:val="left" w:pos="9914"/>
        </w:tabs>
        <w:rPr>
          <w:rFonts w:asciiTheme="minorHAnsi" w:hAnsiTheme="minorHAnsi"/>
        </w:rPr>
      </w:pPr>
      <w:r w:rsidRPr="00A23FB4">
        <w:rPr>
          <w:rFonts w:asciiTheme="minorHAnsi" w:hAnsiTheme="minorHAnsi"/>
        </w:rPr>
        <w:t>1. WSTĘP</w:t>
      </w:r>
    </w:p>
    <w:p w14:paraId="64A0A5EE" w14:textId="704569D7" w:rsidR="00B77350" w:rsidRPr="00A23FB4" w:rsidRDefault="00B77350" w:rsidP="00B77350">
      <w:pPr>
        <w:pStyle w:val="Nagwek4"/>
        <w:tabs>
          <w:tab w:val="left" w:pos="9914"/>
        </w:tabs>
        <w:rPr>
          <w:rFonts w:asciiTheme="minorHAnsi" w:hAnsiTheme="minorHAnsi"/>
        </w:rPr>
      </w:pPr>
      <w:r w:rsidRPr="00A23FB4">
        <w:rPr>
          <w:rFonts w:asciiTheme="minorHAnsi" w:hAnsiTheme="minorHAnsi"/>
        </w:rPr>
        <w:t xml:space="preserve">1.1. Przedmiot </w:t>
      </w:r>
      <w:r w:rsidR="00865C6C">
        <w:rPr>
          <w:rFonts w:asciiTheme="minorHAnsi" w:hAnsiTheme="minorHAnsi"/>
        </w:rPr>
        <w:t>ST</w:t>
      </w:r>
      <w:r w:rsidRPr="00A23FB4">
        <w:rPr>
          <w:rFonts w:asciiTheme="minorHAnsi" w:hAnsiTheme="minorHAnsi"/>
        </w:rPr>
        <w:t>WiORB</w:t>
      </w:r>
    </w:p>
    <w:p w14:paraId="020A97EC" w14:textId="2ABAF6D0" w:rsidR="00B77350" w:rsidRPr="00A23FB4" w:rsidRDefault="00B77350" w:rsidP="00B77350">
      <w:pPr>
        <w:tabs>
          <w:tab w:val="left" w:pos="9914"/>
        </w:tabs>
        <w:rPr>
          <w:rFonts w:asciiTheme="minorHAnsi" w:hAnsiTheme="minorHAnsi"/>
        </w:rPr>
      </w:pPr>
      <w:r w:rsidRPr="00A23FB4">
        <w:rPr>
          <w:rFonts w:asciiTheme="minorHAnsi" w:hAnsiTheme="minorHAnsi"/>
        </w:rPr>
        <w:t>Przedmiotem niniejsz</w:t>
      </w:r>
      <w:r w:rsidR="00B0480C">
        <w:rPr>
          <w:rFonts w:asciiTheme="minorHAnsi" w:hAnsiTheme="minorHAnsi"/>
        </w:rPr>
        <w:t>ej</w:t>
      </w:r>
      <w:r w:rsidRPr="00A23FB4">
        <w:rPr>
          <w:rFonts w:asciiTheme="minorHAnsi" w:hAnsiTheme="minorHAnsi"/>
        </w:rPr>
        <w:t xml:space="preserve"> </w:t>
      </w:r>
      <w:r w:rsidR="00E13859">
        <w:rPr>
          <w:rFonts w:asciiTheme="minorHAnsi" w:hAnsiTheme="minorHAnsi"/>
        </w:rPr>
        <w:t>szczegółow</w:t>
      </w:r>
      <w:r w:rsidR="00B0480C">
        <w:rPr>
          <w:rFonts w:asciiTheme="minorHAnsi" w:hAnsiTheme="minorHAnsi"/>
        </w:rPr>
        <w:t>ej</w:t>
      </w:r>
      <w:r w:rsidR="00E13859">
        <w:rPr>
          <w:rFonts w:asciiTheme="minorHAnsi" w:hAnsiTheme="minorHAnsi"/>
        </w:rPr>
        <w:t xml:space="preserve"> specyfikacji </w:t>
      </w:r>
      <w:r w:rsidRPr="00A23FB4">
        <w:rPr>
          <w:rFonts w:asciiTheme="minorHAnsi" w:hAnsiTheme="minorHAnsi"/>
        </w:rPr>
        <w:t>technicznej wykonania i odbioru robót budowlanych (</w:t>
      </w:r>
      <w:r w:rsidR="00865C6C">
        <w:rPr>
          <w:rFonts w:asciiTheme="minorHAnsi" w:hAnsiTheme="minorHAnsi"/>
        </w:rPr>
        <w:t>ST</w:t>
      </w:r>
      <w:r w:rsidRPr="00A23FB4">
        <w:rPr>
          <w:rFonts w:asciiTheme="minorHAnsi" w:hAnsiTheme="minorHAnsi"/>
        </w:rPr>
        <w:t>WiORB) są wymagania dotyczące wykonania i odbioru robót związanych z ustawieniem krawężników kamiennych.</w:t>
      </w:r>
    </w:p>
    <w:p w14:paraId="6B72E0E5" w14:textId="70A724CE" w:rsidR="00B77350" w:rsidRPr="00A23FB4" w:rsidRDefault="00B77350" w:rsidP="00B77350">
      <w:pPr>
        <w:pStyle w:val="Nagwek4"/>
        <w:tabs>
          <w:tab w:val="left" w:pos="9914"/>
        </w:tabs>
        <w:rPr>
          <w:rFonts w:asciiTheme="minorHAnsi" w:hAnsiTheme="minorHAnsi"/>
        </w:rPr>
      </w:pPr>
      <w:r w:rsidRPr="00A23FB4">
        <w:rPr>
          <w:rFonts w:asciiTheme="minorHAnsi" w:hAnsiTheme="minorHAnsi"/>
        </w:rPr>
        <w:t xml:space="preserve">1.2. Zakres stosowania </w:t>
      </w:r>
      <w:r w:rsidR="00865C6C">
        <w:rPr>
          <w:rFonts w:asciiTheme="minorHAnsi" w:hAnsiTheme="minorHAnsi"/>
        </w:rPr>
        <w:t>ST</w:t>
      </w:r>
      <w:r w:rsidRPr="00A23FB4">
        <w:rPr>
          <w:rFonts w:asciiTheme="minorHAnsi" w:hAnsiTheme="minorHAnsi"/>
        </w:rPr>
        <w:t>WiORB</w:t>
      </w:r>
    </w:p>
    <w:p w14:paraId="312A98D2" w14:textId="102B4C97" w:rsidR="004D5430" w:rsidRPr="00A23FB4" w:rsidRDefault="00E13859" w:rsidP="004D5430">
      <w:pPr>
        <w:spacing w:before="120"/>
        <w:rPr>
          <w:rFonts w:ascii="Calibri" w:hAnsi="Calibri" w:cs="Calibri"/>
        </w:rPr>
      </w:pPr>
      <w:r>
        <w:rPr>
          <w:rFonts w:asciiTheme="minorHAnsi" w:hAnsiTheme="minorHAnsi" w:cs="Calibri"/>
        </w:rPr>
        <w:t>Specyfikacj</w:t>
      </w:r>
      <w:r w:rsidR="00B0480C">
        <w:rPr>
          <w:rFonts w:asciiTheme="minorHAnsi" w:hAnsiTheme="minorHAnsi" w:cs="Calibri"/>
        </w:rPr>
        <w:t>a</w:t>
      </w:r>
      <w:r w:rsidR="00B77350" w:rsidRPr="00A23FB4">
        <w:rPr>
          <w:rFonts w:asciiTheme="minorHAnsi" w:hAnsiTheme="minorHAnsi" w:cs="Calibri"/>
        </w:rPr>
        <w:t xml:space="preserve"> stanowi dokument kontraktowy przy realizacji  zadania </w:t>
      </w:r>
      <w:r w:rsidR="00506838">
        <w:rPr>
          <w:rFonts w:asciiTheme="minorHAnsi" w:hAnsiTheme="minorHAnsi" w:cstheme="minorHAnsi"/>
          <w:bCs/>
        </w:rPr>
        <w:t>„</w:t>
      </w:r>
      <w:r w:rsidR="00865C6C" w:rsidRPr="00865C6C">
        <w:rPr>
          <w:rFonts w:asciiTheme="minorHAnsi" w:hAnsiTheme="minorHAnsi" w:cstheme="minorHAnsi"/>
          <w:bCs/>
        </w:rPr>
        <w:t>Rozbudowa ul. Wrocławskiej w ciągu drogi powiatowej w Tyńcu Małym wraz z rozbudową istniejącego skrzyżowania typu rondo na połączeniu dróg krajowych nr 35 i 35a oraz łącznika węzła Kobierzyce drogi S8e oraz infrastrukturą towarzyszącą w ramach zadania „Rozbudowa skrzyżowania typu rondo w ciągu DK35 koło m. Tyniec Mały usprawniająca skomunikowanie obszarów Podstrefy Wrocław – Kobierzyce TSSE EURO PARK WISŁOSAN”</w:t>
      </w:r>
      <w:r w:rsidR="004D5430" w:rsidRPr="00A23FB4">
        <w:rPr>
          <w:rFonts w:asciiTheme="minorHAnsi" w:hAnsiTheme="minorHAnsi" w:cstheme="minorHAnsi"/>
          <w:bCs/>
        </w:rPr>
        <w:t>”.</w:t>
      </w:r>
    </w:p>
    <w:p w14:paraId="4A3582C9" w14:textId="248B2ED5" w:rsidR="00B77350" w:rsidRPr="00A23FB4" w:rsidRDefault="00B77350" w:rsidP="00B77350">
      <w:pPr>
        <w:pStyle w:val="Nagwek4"/>
        <w:tabs>
          <w:tab w:val="left" w:pos="9914"/>
        </w:tabs>
        <w:rPr>
          <w:rFonts w:asciiTheme="minorHAnsi" w:hAnsiTheme="minorHAnsi"/>
        </w:rPr>
      </w:pPr>
      <w:r w:rsidRPr="00A23FB4">
        <w:rPr>
          <w:rFonts w:asciiTheme="minorHAnsi" w:hAnsiTheme="minorHAnsi"/>
        </w:rPr>
        <w:t xml:space="preserve">1.3. Zakres robót objętych </w:t>
      </w:r>
      <w:r w:rsidR="00865C6C">
        <w:rPr>
          <w:rFonts w:asciiTheme="minorHAnsi" w:hAnsiTheme="minorHAnsi"/>
        </w:rPr>
        <w:t>ST</w:t>
      </w:r>
      <w:r w:rsidRPr="00A23FB4">
        <w:rPr>
          <w:rFonts w:asciiTheme="minorHAnsi" w:hAnsiTheme="minorHAnsi"/>
        </w:rPr>
        <w:t>WiORB</w:t>
      </w:r>
    </w:p>
    <w:p w14:paraId="01E73257" w14:textId="25A15BF3" w:rsidR="00B77350" w:rsidRPr="00A23FB4" w:rsidRDefault="00B77350" w:rsidP="00B77350">
      <w:pPr>
        <w:tabs>
          <w:tab w:val="left" w:pos="9914"/>
        </w:tabs>
        <w:rPr>
          <w:rFonts w:asciiTheme="minorHAnsi" w:hAnsiTheme="minorHAnsi"/>
        </w:rPr>
      </w:pPr>
      <w:r w:rsidRPr="00A23FB4">
        <w:rPr>
          <w:rFonts w:asciiTheme="minorHAnsi" w:hAnsiTheme="minorHAnsi"/>
        </w:rPr>
        <w:t xml:space="preserve">Ustalenia zawarte w niniejszych </w:t>
      </w:r>
      <w:r w:rsidR="00E13859">
        <w:rPr>
          <w:rFonts w:asciiTheme="minorHAnsi" w:hAnsiTheme="minorHAnsi"/>
        </w:rPr>
        <w:t>specyfikacjach</w:t>
      </w:r>
      <w:r w:rsidRPr="00A23FB4">
        <w:rPr>
          <w:rFonts w:asciiTheme="minorHAnsi" w:hAnsiTheme="minorHAnsi"/>
        </w:rPr>
        <w:t xml:space="preserve"> dotyczą zasad prowadzenia robót związanych z ustaw</w:t>
      </w:r>
      <w:r w:rsidR="004D5430" w:rsidRPr="00A23FB4">
        <w:rPr>
          <w:rFonts w:asciiTheme="minorHAnsi" w:hAnsiTheme="minorHAnsi"/>
        </w:rPr>
        <w:t>ieniem krawężników kamiennych 20</w:t>
      </w:r>
      <w:r w:rsidRPr="00A23FB4">
        <w:rPr>
          <w:rFonts w:asciiTheme="minorHAnsi" w:hAnsiTheme="minorHAnsi"/>
        </w:rPr>
        <w:t xml:space="preserve">x30, </w:t>
      </w:r>
      <w:r w:rsidR="004D5430" w:rsidRPr="00A23FB4">
        <w:rPr>
          <w:rFonts w:asciiTheme="minorHAnsi" w:hAnsiTheme="minorHAnsi"/>
        </w:rPr>
        <w:t>20</w:t>
      </w:r>
      <w:r w:rsidRPr="00A23FB4">
        <w:rPr>
          <w:rFonts w:asciiTheme="minorHAnsi" w:hAnsiTheme="minorHAnsi"/>
        </w:rPr>
        <w:t>x22 na ławie betonowej z oporem i podsypce cementowo - piaskowej.</w:t>
      </w:r>
    </w:p>
    <w:p w14:paraId="1D82D480" w14:textId="77777777" w:rsidR="00B77350" w:rsidRPr="00A23FB4" w:rsidRDefault="00B77350" w:rsidP="00B77350">
      <w:pPr>
        <w:pStyle w:val="Nagwek4"/>
        <w:tabs>
          <w:tab w:val="left" w:pos="9914"/>
        </w:tabs>
        <w:rPr>
          <w:rFonts w:asciiTheme="minorHAnsi" w:hAnsiTheme="minorHAnsi"/>
        </w:rPr>
      </w:pPr>
      <w:r w:rsidRPr="00A23FB4">
        <w:rPr>
          <w:rFonts w:asciiTheme="minorHAnsi" w:hAnsiTheme="minorHAnsi"/>
        </w:rPr>
        <w:t>1.4. Określenia podstawowe</w:t>
      </w:r>
    </w:p>
    <w:p w14:paraId="3F1F0260" w14:textId="77777777" w:rsidR="00B77350" w:rsidRPr="00A23FB4" w:rsidRDefault="00B77350" w:rsidP="00B77350">
      <w:pPr>
        <w:numPr>
          <w:ilvl w:val="12"/>
          <w:numId w:val="0"/>
        </w:numPr>
        <w:tabs>
          <w:tab w:val="left" w:pos="9914"/>
        </w:tabs>
        <w:rPr>
          <w:rFonts w:asciiTheme="minorHAnsi" w:hAnsiTheme="minorHAnsi"/>
        </w:rPr>
      </w:pPr>
      <w:r w:rsidRPr="00A23FB4">
        <w:rPr>
          <w:rFonts w:asciiTheme="minorHAnsi" w:hAnsiTheme="minorHAnsi"/>
          <w:b/>
        </w:rPr>
        <w:t xml:space="preserve">1.4.1. </w:t>
      </w:r>
      <w:r w:rsidRPr="00A23FB4">
        <w:rPr>
          <w:rFonts w:asciiTheme="minorHAnsi" w:hAnsiTheme="minorHAnsi"/>
        </w:rPr>
        <w:t>Krawężniki kamienne–belki kamienne ograniczające chodniki dla pieszych, wyspy dzielące oraz nawierzchnie drogowe.</w:t>
      </w:r>
    </w:p>
    <w:p w14:paraId="23AAFF7C" w14:textId="77777777" w:rsidR="00B77350" w:rsidRPr="00A23FB4" w:rsidRDefault="00B77350" w:rsidP="00B77350">
      <w:pPr>
        <w:numPr>
          <w:ilvl w:val="12"/>
          <w:numId w:val="0"/>
        </w:numPr>
        <w:tabs>
          <w:tab w:val="left" w:pos="9914"/>
        </w:tabs>
        <w:rPr>
          <w:rFonts w:asciiTheme="minorHAnsi" w:hAnsiTheme="minorHAnsi"/>
        </w:rPr>
      </w:pPr>
      <w:r w:rsidRPr="00A23FB4">
        <w:rPr>
          <w:rFonts w:asciiTheme="minorHAnsi" w:hAnsiTheme="minorHAnsi"/>
          <w:b/>
          <w:bCs/>
        </w:rPr>
        <w:t>1.4.2.</w:t>
      </w:r>
      <w:r w:rsidRPr="00A23FB4">
        <w:rPr>
          <w:rFonts w:asciiTheme="minorHAnsi" w:hAnsiTheme="minorHAnsi"/>
        </w:rPr>
        <w:t xml:space="preserve"> Ława betonowa – podkładowa warstwa betonu wzmacniająca krawężnik i przenosząca obciążenie krawężnika na grunt.</w:t>
      </w:r>
    </w:p>
    <w:p w14:paraId="7217ED05" w14:textId="77777777" w:rsidR="00B77350" w:rsidRPr="00A23FB4" w:rsidRDefault="00B77350" w:rsidP="00B77350">
      <w:pPr>
        <w:numPr>
          <w:ilvl w:val="12"/>
          <w:numId w:val="0"/>
        </w:numPr>
        <w:tabs>
          <w:tab w:val="left" w:pos="9914"/>
        </w:tabs>
        <w:rPr>
          <w:rFonts w:asciiTheme="minorHAnsi" w:hAnsiTheme="minorHAnsi"/>
        </w:rPr>
      </w:pPr>
      <w:r w:rsidRPr="00A23FB4">
        <w:rPr>
          <w:rFonts w:asciiTheme="minorHAnsi" w:hAnsiTheme="minorHAnsi"/>
          <w:b/>
          <w:bCs/>
        </w:rPr>
        <w:t>1.4.3.</w:t>
      </w:r>
      <w:r w:rsidRPr="00A23FB4">
        <w:rPr>
          <w:rFonts w:asciiTheme="minorHAnsi" w:hAnsiTheme="minorHAnsi"/>
        </w:rPr>
        <w:t xml:space="preserve"> Podkład (podsypka) – warstwa regulacyjna z zapraw cementowo - piaskowej pomiędzy krawężnikiem a ławą betonową.</w:t>
      </w:r>
    </w:p>
    <w:p w14:paraId="1AECC2C5" w14:textId="45F3A19C" w:rsidR="00B77350" w:rsidRPr="00A23FB4" w:rsidRDefault="00B77350" w:rsidP="00B77350">
      <w:pPr>
        <w:numPr>
          <w:ilvl w:val="12"/>
          <w:numId w:val="0"/>
        </w:numPr>
        <w:tabs>
          <w:tab w:val="left" w:pos="9914"/>
        </w:tabs>
        <w:rPr>
          <w:rFonts w:asciiTheme="minorHAnsi" w:hAnsiTheme="minorHAnsi"/>
        </w:rPr>
      </w:pPr>
      <w:r w:rsidRPr="00A23FB4">
        <w:rPr>
          <w:rFonts w:asciiTheme="minorHAnsi" w:hAnsiTheme="minorHAnsi"/>
          <w:b/>
        </w:rPr>
        <w:t xml:space="preserve">1.4.4. </w:t>
      </w:r>
      <w:r w:rsidRPr="00A23FB4">
        <w:rPr>
          <w:rFonts w:asciiTheme="minorHAnsi" w:hAnsiTheme="minorHAnsi"/>
        </w:rPr>
        <w:t xml:space="preserve">Pozostałe określenia podstawowe są zgodne z obowiązującymi, odpowiednimi polskimi normami i z definicjami podanymi w </w:t>
      </w:r>
      <w:r w:rsidR="00865C6C">
        <w:rPr>
          <w:rFonts w:asciiTheme="minorHAnsi" w:hAnsiTheme="minorHAnsi"/>
        </w:rPr>
        <w:t>ST</w:t>
      </w:r>
      <w:r w:rsidRPr="00A23FB4">
        <w:rPr>
          <w:rFonts w:asciiTheme="minorHAnsi" w:hAnsiTheme="minorHAnsi"/>
        </w:rPr>
        <w:t>WiORB D-M-00.00.00 „Wymagania ogólne” pkt 1.4.</w:t>
      </w:r>
    </w:p>
    <w:p w14:paraId="07F8AD0D" w14:textId="77777777" w:rsidR="00B77350" w:rsidRPr="00A23FB4" w:rsidRDefault="00B77350" w:rsidP="00B77350">
      <w:pPr>
        <w:pStyle w:val="Nagwek4"/>
        <w:tabs>
          <w:tab w:val="left" w:pos="9914"/>
        </w:tabs>
        <w:rPr>
          <w:rFonts w:asciiTheme="minorHAnsi" w:hAnsiTheme="minorHAnsi"/>
        </w:rPr>
      </w:pPr>
      <w:r w:rsidRPr="00A23FB4">
        <w:rPr>
          <w:rFonts w:asciiTheme="minorHAnsi" w:hAnsiTheme="minorHAnsi"/>
        </w:rPr>
        <w:t>1.5. Ogólne wymagania dotyczące robót</w:t>
      </w:r>
    </w:p>
    <w:p w14:paraId="6A138903" w14:textId="2F135197" w:rsidR="00B77350" w:rsidRPr="00A23FB4" w:rsidRDefault="00B77350" w:rsidP="00B77350">
      <w:pPr>
        <w:numPr>
          <w:ilvl w:val="12"/>
          <w:numId w:val="0"/>
        </w:numPr>
        <w:tabs>
          <w:tab w:val="left" w:pos="9914"/>
        </w:tabs>
        <w:rPr>
          <w:rFonts w:asciiTheme="minorHAnsi" w:hAnsiTheme="minorHAnsi"/>
        </w:rPr>
      </w:pPr>
      <w:r w:rsidRPr="00A23FB4">
        <w:rPr>
          <w:rFonts w:asciiTheme="minorHAnsi" w:hAnsiTheme="minorHAnsi"/>
        </w:rPr>
        <w:t xml:space="preserve">Ogólne wymagania dotyczące robót podano w </w:t>
      </w:r>
      <w:r w:rsidR="00865C6C">
        <w:rPr>
          <w:rFonts w:asciiTheme="minorHAnsi" w:hAnsiTheme="minorHAnsi"/>
        </w:rPr>
        <w:t>ST</w:t>
      </w:r>
      <w:r w:rsidRPr="00A23FB4">
        <w:rPr>
          <w:rFonts w:asciiTheme="minorHAnsi" w:hAnsiTheme="minorHAnsi"/>
        </w:rPr>
        <w:t>WiORB D-M-00.00.00 „Wymagania ogólne” pkt 1.5.</w:t>
      </w:r>
    </w:p>
    <w:p w14:paraId="0A7C2843" w14:textId="77777777" w:rsidR="00B77350" w:rsidRPr="00A23FB4" w:rsidRDefault="00B77350" w:rsidP="00B77350">
      <w:pPr>
        <w:pStyle w:val="Nagwek3"/>
        <w:tabs>
          <w:tab w:val="left" w:pos="9914"/>
        </w:tabs>
        <w:rPr>
          <w:rFonts w:asciiTheme="minorHAnsi" w:hAnsiTheme="minorHAnsi"/>
        </w:rPr>
      </w:pPr>
      <w:r w:rsidRPr="00A23FB4">
        <w:rPr>
          <w:rFonts w:asciiTheme="minorHAnsi" w:hAnsiTheme="minorHAnsi"/>
        </w:rPr>
        <w:t>2. MATERIAŁY</w:t>
      </w:r>
    </w:p>
    <w:p w14:paraId="58214298" w14:textId="77777777" w:rsidR="00B77350" w:rsidRPr="00A23FB4" w:rsidRDefault="00B77350" w:rsidP="00B77350">
      <w:pPr>
        <w:pStyle w:val="Nagwek4"/>
        <w:tabs>
          <w:tab w:val="left" w:pos="9914"/>
        </w:tabs>
        <w:rPr>
          <w:rFonts w:asciiTheme="minorHAnsi" w:hAnsiTheme="minorHAnsi"/>
        </w:rPr>
      </w:pPr>
      <w:r w:rsidRPr="00A23FB4">
        <w:rPr>
          <w:rFonts w:asciiTheme="minorHAnsi" w:hAnsiTheme="minorHAnsi"/>
        </w:rPr>
        <w:t>2.1. Ogólne wymagania dotyczące materiałów</w:t>
      </w:r>
    </w:p>
    <w:p w14:paraId="0F049A29" w14:textId="3EB89BDF" w:rsidR="00B77350" w:rsidRPr="00A23FB4" w:rsidRDefault="00B77350" w:rsidP="00B77350">
      <w:pPr>
        <w:numPr>
          <w:ilvl w:val="12"/>
          <w:numId w:val="0"/>
        </w:numPr>
        <w:tabs>
          <w:tab w:val="left" w:pos="9914"/>
        </w:tabs>
        <w:rPr>
          <w:rFonts w:asciiTheme="minorHAnsi" w:hAnsiTheme="minorHAnsi"/>
        </w:rPr>
      </w:pPr>
      <w:r w:rsidRPr="00A23FB4">
        <w:rPr>
          <w:rFonts w:asciiTheme="minorHAnsi" w:hAnsiTheme="minorHAnsi"/>
        </w:rPr>
        <w:t xml:space="preserve">Ogólne wymagania dotyczące materiałów, ich pozyskiwania i składowania, podano w  </w:t>
      </w:r>
      <w:r w:rsidR="00865C6C">
        <w:rPr>
          <w:rFonts w:asciiTheme="minorHAnsi" w:hAnsiTheme="minorHAnsi"/>
        </w:rPr>
        <w:t>ST</w:t>
      </w:r>
      <w:r w:rsidRPr="00A23FB4">
        <w:rPr>
          <w:rFonts w:asciiTheme="minorHAnsi" w:hAnsiTheme="minorHAnsi"/>
        </w:rPr>
        <w:t>WiORB D-M-00.00.00 „Wymagania ogólne” pkt 2.</w:t>
      </w:r>
    </w:p>
    <w:p w14:paraId="3E9AE1AC" w14:textId="77777777" w:rsidR="00B77350" w:rsidRPr="00A23FB4" w:rsidRDefault="00B77350" w:rsidP="00B77350">
      <w:pPr>
        <w:pStyle w:val="Nagwek4"/>
        <w:tabs>
          <w:tab w:val="left" w:pos="9914"/>
        </w:tabs>
        <w:rPr>
          <w:rFonts w:asciiTheme="minorHAnsi" w:hAnsiTheme="minorHAnsi"/>
        </w:rPr>
      </w:pPr>
      <w:r w:rsidRPr="00A23FB4">
        <w:rPr>
          <w:rFonts w:asciiTheme="minorHAnsi" w:hAnsiTheme="minorHAnsi"/>
        </w:rPr>
        <w:t>2.2. Stosowane materiały</w:t>
      </w:r>
    </w:p>
    <w:p w14:paraId="56D067F6" w14:textId="77777777" w:rsidR="00B77350" w:rsidRPr="00A23FB4" w:rsidRDefault="00B77350" w:rsidP="00B77350">
      <w:pPr>
        <w:numPr>
          <w:ilvl w:val="12"/>
          <w:numId w:val="0"/>
        </w:numPr>
        <w:tabs>
          <w:tab w:val="left" w:pos="9914"/>
        </w:tabs>
        <w:rPr>
          <w:rFonts w:asciiTheme="minorHAnsi" w:hAnsiTheme="minorHAnsi"/>
        </w:rPr>
      </w:pPr>
      <w:r w:rsidRPr="00A23FB4">
        <w:rPr>
          <w:rFonts w:asciiTheme="minorHAnsi" w:hAnsiTheme="minorHAnsi"/>
        </w:rPr>
        <w:t>Materiałami stosowanymi są:</w:t>
      </w:r>
    </w:p>
    <w:p w14:paraId="14313877" w14:textId="77777777" w:rsidR="00B77350" w:rsidRPr="00A23FB4" w:rsidRDefault="00B77350" w:rsidP="00262498">
      <w:pPr>
        <w:numPr>
          <w:ilvl w:val="0"/>
          <w:numId w:val="186"/>
        </w:numPr>
        <w:tabs>
          <w:tab w:val="left" w:pos="9914"/>
        </w:tabs>
        <w:ind w:left="0" w:firstLine="0"/>
        <w:rPr>
          <w:rFonts w:asciiTheme="minorHAnsi" w:hAnsiTheme="minorHAnsi"/>
        </w:rPr>
      </w:pPr>
      <w:r w:rsidRPr="00A23FB4">
        <w:rPr>
          <w:rFonts w:asciiTheme="minorHAnsi" w:hAnsiTheme="minorHAnsi"/>
        </w:rPr>
        <w:t>krawężniki kamienne,</w:t>
      </w:r>
    </w:p>
    <w:p w14:paraId="3F4FD684" w14:textId="77777777" w:rsidR="00B77350" w:rsidRPr="00A23FB4" w:rsidRDefault="00B77350" w:rsidP="00262498">
      <w:pPr>
        <w:numPr>
          <w:ilvl w:val="0"/>
          <w:numId w:val="186"/>
        </w:numPr>
        <w:tabs>
          <w:tab w:val="left" w:pos="9914"/>
        </w:tabs>
        <w:ind w:left="0" w:firstLine="0"/>
        <w:rPr>
          <w:rFonts w:asciiTheme="minorHAnsi" w:hAnsiTheme="minorHAnsi"/>
        </w:rPr>
      </w:pPr>
      <w:r w:rsidRPr="00A23FB4">
        <w:rPr>
          <w:rFonts w:asciiTheme="minorHAnsi" w:hAnsiTheme="minorHAnsi"/>
        </w:rPr>
        <w:t>piasek na podsypkę i do zapraw,</w:t>
      </w:r>
    </w:p>
    <w:p w14:paraId="74E56303" w14:textId="77777777" w:rsidR="00B77350" w:rsidRPr="00A23FB4" w:rsidRDefault="00B77350" w:rsidP="00262498">
      <w:pPr>
        <w:numPr>
          <w:ilvl w:val="0"/>
          <w:numId w:val="186"/>
        </w:numPr>
        <w:tabs>
          <w:tab w:val="left" w:pos="9914"/>
        </w:tabs>
        <w:ind w:left="0" w:firstLine="0"/>
        <w:rPr>
          <w:rFonts w:asciiTheme="minorHAnsi" w:hAnsiTheme="minorHAnsi"/>
        </w:rPr>
      </w:pPr>
      <w:r w:rsidRPr="00A23FB4">
        <w:rPr>
          <w:rFonts w:asciiTheme="minorHAnsi" w:hAnsiTheme="minorHAnsi"/>
        </w:rPr>
        <w:t>cement do podsypki i zapraw,</w:t>
      </w:r>
    </w:p>
    <w:p w14:paraId="1F145ADC" w14:textId="77777777" w:rsidR="00B77350" w:rsidRPr="00A23FB4" w:rsidRDefault="00B77350" w:rsidP="00262498">
      <w:pPr>
        <w:numPr>
          <w:ilvl w:val="0"/>
          <w:numId w:val="186"/>
        </w:numPr>
        <w:tabs>
          <w:tab w:val="left" w:pos="9914"/>
        </w:tabs>
        <w:ind w:left="0" w:firstLine="0"/>
        <w:rPr>
          <w:rFonts w:asciiTheme="minorHAnsi" w:hAnsiTheme="minorHAnsi"/>
        </w:rPr>
      </w:pPr>
      <w:r w:rsidRPr="00A23FB4">
        <w:rPr>
          <w:rFonts w:asciiTheme="minorHAnsi" w:hAnsiTheme="minorHAnsi"/>
        </w:rPr>
        <w:t>woda,</w:t>
      </w:r>
    </w:p>
    <w:p w14:paraId="6AEE6BA2" w14:textId="77777777" w:rsidR="00B77350" w:rsidRPr="00A23FB4" w:rsidRDefault="00B77350" w:rsidP="00262498">
      <w:pPr>
        <w:numPr>
          <w:ilvl w:val="0"/>
          <w:numId w:val="186"/>
        </w:numPr>
        <w:tabs>
          <w:tab w:val="left" w:pos="9914"/>
        </w:tabs>
        <w:ind w:left="0" w:firstLine="0"/>
        <w:rPr>
          <w:rFonts w:asciiTheme="minorHAnsi" w:hAnsiTheme="minorHAnsi"/>
        </w:rPr>
      </w:pPr>
      <w:r w:rsidRPr="00A23FB4">
        <w:rPr>
          <w:rFonts w:asciiTheme="minorHAnsi" w:hAnsiTheme="minorHAnsi"/>
        </w:rPr>
        <w:t>beton do wykonania ławy pod krawężniki.</w:t>
      </w:r>
    </w:p>
    <w:p w14:paraId="57A40B27" w14:textId="77777777" w:rsidR="00B77350" w:rsidRPr="00A23FB4" w:rsidRDefault="00B77350" w:rsidP="00B77350">
      <w:pPr>
        <w:pStyle w:val="Nagwek4"/>
        <w:tabs>
          <w:tab w:val="left" w:pos="9914"/>
        </w:tabs>
        <w:rPr>
          <w:rFonts w:asciiTheme="minorHAnsi" w:hAnsiTheme="minorHAnsi"/>
        </w:rPr>
      </w:pPr>
      <w:r w:rsidRPr="00A23FB4">
        <w:rPr>
          <w:rFonts w:asciiTheme="minorHAnsi" w:hAnsiTheme="minorHAnsi"/>
        </w:rPr>
        <w:t>2.3. Krawężniki kamienne</w:t>
      </w:r>
    </w:p>
    <w:p w14:paraId="4B4CC72F" w14:textId="77777777" w:rsidR="00B77350" w:rsidRPr="00A23FB4" w:rsidRDefault="00B77350" w:rsidP="00B77350">
      <w:pPr>
        <w:spacing w:after="240"/>
        <w:rPr>
          <w:rFonts w:asciiTheme="minorHAnsi" w:hAnsiTheme="minorHAnsi"/>
        </w:rPr>
      </w:pPr>
      <w:r w:rsidRPr="00A23FB4">
        <w:rPr>
          <w:rFonts w:asciiTheme="minorHAnsi" w:hAnsiTheme="minorHAnsi"/>
        </w:rPr>
        <w:t>Należy stosować krawężniki kamienne uliczne o wymiarach 15x30, odmiany UP, rodzaju A, klasy I wg PN-B-11213:1997 o cechach fizycznych i wytrzymałościowych określonych w tablicy nr 1.</w:t>
      </w:r>
    </w:p>
    <w:p w14:paraId="5B82451E" w14:textId="77777777" w:rsidR="00B77350" w:rsidRPr="00A23FB4" w:rsidRDefault="00B77350" w:rsidP="00B77350">
      <w:pPr>
        <w:rPr>
          <w:rFonts w:asciiTheme="minorHAnsi" w:hAnsiTheme="minorHAnsi"/>
        </w:rPr>
      </w:pPr>
      <w:r w:rsidRPr="00A23FB4">
        <w:rPr>
          <w:rFonts w:asciiTheme="minorHAnsi" w:hAnsiTheme="minorHAnsi"/>
        </w:rPr>
        <w:t>Tablica 1. Cechy fizyczne i wytrzymałościowe krawężników kamiennych</w:t>
      </w:r>
    </w:p>
    <w:tbl>
      <w:tblPr>
        <w:tblStyle w:val="Tabela-Siatka"/>
        <w:tblW w:w="8309" w:type="dxa"/>
        <w:jc w:val="center"/>
        <w:tblLook w:val="04A0" w:firstRow="1" w:lastRow="0" w:firstColumn="1" w:lastColumn="0" w:noHBand="0" w:noVBand="1"/>
      </w:tblPr>
      <w:tblGrid>
        <w:gridCol w:w="833"/>
        <w:gridCol w:w="5452"/>
        <w:gridCol w:w="2024"/>
      </w:tblGrid>
      <w:tr w:rsidR="00B77350" w:rsidRPr="00A23FB4" w14:paraId="6CF2A829" w14:textId="77777777" w:rsidTr="00B77350">
        <w:trPr>
          <w:jc w:val="center"/>
        </w:trPr>
        <w:tc>
          <w:tcPr>
            <w:tcW w:w="833" w:type="dxa"/>
          </w:tcPr>
          <w:p w14:paraId="2FA27115" w14:textId="77777777" w:rsidR="00B77350" w:rsidRPr="00A23FB4" w:rsidRDefault="00B77350" w:rsidP="00B77350">
            <w:pPr>
              <w:jc w:val="center"/>
              <w:rPr>
                <w:rFonts w:asciiTheme="minorHAnsi" w:hAnsiTheme="minorHAnsi"/>
              </w:rPr>
            </w:pPr>
            <w:r w:rsidRPr="00A23FB4">
              <w:rPr>
                <w:rFonts w:asciiTheme="minorHAnsi" w:hAnsiTheme="minorHAnsi"/>
              </w:rPr>
              <w:t>L.p.</w:t>
            </w:r>
          </w:p>
        </w:tc>
        <w:tc>
          <w:tcPr>
            <w:tcW w:w="5452" w:type="dxa"/>
          </w:tcPr>
          <w:p w14:paraId="05D8FCA9" w14:textId="77777777" w:rsidR="00B77350" w:rsidRPr="00A23FB4" w:rsidRDefault="00B77350" w:rsidP="00B77350">
            <w:pPr>
              <w:jc w:val="center"/>
              <w:rPr>
                <w:rFonts w:asciiTheme="minorHAnsi" w:hAnsiTheme="minorHAnsi"/>
              </w:rPr>
            </w:pPr>
            <w:r w:rsidRPr="00A23FB4">
              <w:rPr>
                <w:rFonts w:asciiTheme="minorHAnsi" w:hAnsiTheme="minorHAnsi"/>
              </w:rPr>
              <w:t>Cechy fizyczne i wytrzymałościowe</w:t>
            </w:r>
          </w:p>
        </w:tc>
        <w:tc>
          <w:tcPr>
            <w:tcW w:w="2024" w:type="dxa"/>
          </w:tcPr>
          <w:p w14:paraId="7061A48D" w14:textId="77777777" w:rsidR="00B77350" w:rsidRPr="00A23FB4" w:rsidRDefault="00B77350" w:rsidP="00B77350">
            <w:pPr>
              <w:jc w:val="center"/>
              <w:rPr>
                <w:rFonts w:asciiTheme="minorHAnsi" w:hAnsiTheme="minorHAnsi"/>
              </w:rPr>
            </w:pPr>
            <w:r w:rsidRPr="00A23FB4">
              <w:rPr>
                <w:rFonts w:asciiTheme="minorHAnsi" w:hAnsiTheme="minorHAnsi"/>
              </w:rPr>
              <w:t>Klasa I</w:t>
            </w:r>
          </w:p>
        </w:tc>
      </w:tr>
      <w:tr w:rsidR="00B77350" w:rsidRPr="00A23FB4" w14:paraId="354369AC" w14:textId="77777777" w:rsidTr="00B77350">
        <w:trPr>
          <w:jc w:val="center"/>
        </w:trPr>
        <w:tc>
          <w:tcPr>
            <w:tcW w:w="833" w:type="dxa"/>
            <w:vAlign w:val="center"/>
          </w:tcPr>
          <w:p w14:paraId="342A1F50" w14:textId="77777777" w:rsidR="00B77350" w:rsidRPr="00A23FB4" w:rsidRDefault="00B77350" w:rsidP="00B77350">
            <w:pPr>
              <w:jc w:val="center"/>
              <w:rPr>
                <w:rFonts w:asciiTheme="minorHAnsi" w:hAnsiTheme="minorHAnsi"/>
              </w:rPr>
            </w:pPr>
            <w:r w:rsidRPr="00A23FB4">
              <w:rPr>
                <w:rFonts w:asciiTheme="minorHAnsi" w:hAnsiTheme="minorHAnsi"/>
              </w:rPr>
              <w:t>1</w:t>
            </w:r>
          </w:p>
        </w:tc>
        <w:tc>
          <w:tcPr>
            <w:tcW w:w="5452" w:type="dxa"/>
          </w:tcPr>
          <w:p w14:paraId="4F0001A0" w14:textId="77777777" w:rsidR="00B77350" w:rsidRPr="00A23FB4" w:rsidRDefault="00B77350" w:rsidP="00B77350">
            <w:pPr>
              <w:jc w:val="left"/>
              <w:rPr>
                <w:rFonts w:asciiTheme="minorHAnsi" w:hAnsiTheme="minorHAnsi"/>
              </w:rPr>
            </w:pPr>
            <w:r w:rsidRPr="00A23FB4">
              <w:rPr>
                <w:rFonts w:asciiTheme="minorHAnsi" w:hAnsiTheme="minorHAnsi"/>
              </w:rPr>
              <w:t>Wytrzymałość na ściskanie w stanie powietrzno suchym, w [MPa] co najmniej</w:t>
            </w:r>
          </w:p>
        </w:tc>
        <w:tc>
          <w:tcPr>
            <w:tcW w:w="2024" w:type="dxa"/>
            <w:vAlign w:val="center"/>
          </w:tcPr>
          <w:p w14:paraId="4E4B2E7E" w14:textId="77777777" w:rsidR="00B77350" w:rsidRPr="00A23FB4" w:rsidRDefault="00B77350" w:rsidP="00B77350">
            <w:pPr>
              <w:jc w:val="center"/>
              <w:rPr>
                <w:rFonts w:asciiTheme="minorHAnsi" w:hAnsiTheme="minorHAnsi"/>
              </w:rPr>
            </w:pPr>
            <w:r w:rsidRPr="00A23FB4">
              <w:rPr>
                <w:rFonts w:asciiTheme="minorHAnsi" w:hAnsiTheme="minorHAnsi"/>
              </w:rPr>
              <w:t>130</w:t>
            </w:r>
          </w:p>
        </w:tc>
      </w:tr>
      <w:tr w:rsidR="00B77350" w:rsidRPr="00A23FB4" w14:paraId="3AA3EDA2" w14:textId="77777777" w:rsidTr="00B77350">
        <w:trPr>
          <w:jc w:val="center"/>
        </w:trPr>
        <w:tc>
          <w:tcPr>
            <w:tcW w:w="833" w:type="dxa"/>
            <w:vAlign w:val="center"/>
          </w:tcPr>
          <w:p w14:paraId="7639B36A" w14:textId="77777777" w:rsidR="00B77350" w:rsidRPr="00A23FB4" w:rsidRDefault="00B77350" w:rsidP="00B77350">
            <w:pPr>
              <w:jc w:val="center"/>
              <w:rPr>
                <w:rFonts w:asciiTheme="minorHAnsi" w:hAnsiTheme="minorHAnsi"/>
              </w:rPr>
            </w:pPr>
            <w:r w:rsidRPr="00A23FB4">
              <w:rPr>
                <w:rFonts w:asciiTheme="minorHAnsi" w:hAnsiTheme="minorHAnsi"/>
              </w:rPr>
              <w:t>2</w:t>
            </w:r>
          </w:p>
        </w:tc>
        <w:tc>
          <w:tcPr>
            <w:tcW w:w="5452" w:type="dxa"/>
          </w:tcPr>
          <w:p w14:paraId="1EA4D1BC" w14:textId="77777777" w:rsidR="00B77350" w:rsidRPr="00A23FB4" w:rsidRDefault="00B77350" w:rsidP="00B77350">
            <w:pPr>
              <w:jc w:val="left"/>
              <w:rPr>
                <w:rFonts w:asciiTheme="minorHAnsi" w:hAnsiTheme="minorHAnsi"/>
              </w:rPr>
            </w:pPr>
            <w:r w:rsidRPr="00A23FB4">
              <w:rPr>
                <w:rFonts w:asciiTheme="minorHAnsi" w:hAnsiTheme="minorHAnsi"/>
              </w:rPr>
              <w:t>Ścieralność na tarczy Boehmego w stanie powietrzno suchym, w cm, nie więcej niż</w:t>
            </w:r>
          </w:p>
        </w:tc>
        <w:tc>
          <w:tcPr>
            <w:tcW w:w="2024" w:type="dxa"/>
            <w:vAlign w:val="center"/>
          </w:tcPr>
          <w:p w14:paraId="340EE640" w14:textId="77777777" w:rsidR="00B77350" w:rsidRPr="00A23FB4" w:rsidRDefault="00B77350" w:rsidP="00B77350">
            <w:pPr>
              <w:jc w:val="center"/>
              <w:rPr>
                <w:rFonts w:asciiTheme="minorHAnsi" w:hAnsiTheme="minorHAnsi"/>
              </w:rPr>
            </w:pPr>
            <w:r w:rsidRPr="00A23FB4">
              <w:rPr>
                <w:rFonts w:asciiTheme="minorHAnsi" w:hAnsiTheme="minorHAnsi"/>
              </w:rPr>
              <w:t>2,5</w:t>
            </w:r>
          </w:p>
        </w:tc>
      </w:tr>
      <w:tr w:rsidR="00B77350" w:rsidRPr="00A23FB4" w14:paraId="09D5CC81" w14:textId="77777777" w:rsidTr="00B77350">
        <w:trPr>
          <w:jc w:val="center"/>
        </w:trPr>
        <w:tc>
          <w:tcPr>
            <w:tcW w:w="833" w:type="dxa"/>
            <w:vAlign w:val="center"/>
          </w:tcPr>
          <w:p w14:paraId="3DE02529" w14:textId="77777777" w:rsidR="00B77350" w:rsidRPr="00A23FB4" w:rsidRDefault="00B77350" w:rsidP="00B77350">
            <w:pPr>
              <w:jc w:val="center"/>
              <w:rPr>
                <w:rFonts w:asciiTheme="minorHAnsi" w:hAnsiTheme="minorHAnsi"/>
              </w:rPr>
            </w:pPr>
            <w:r w:rsidRPr="00A23FB4">
              <w:rPr>
                <w:rFonts w:asciiTheme="minorHAnsi" w:hAnsiTheme="minorHAnsi"/>
              </w:rPr>
              <w:t>3</w:t>
            </w:r>
          </w:p>
        </w:tc>
        <w:tc>
          <w:tcPr>
            <w:tcW w:w="5452" w:type="dxa"/>
          </w:tcPr>
          <w:p w14:paraId="5AFE7068" w14:textId="77777777" w:rsidR="00B77350" w:rsidRPr="00A23FB4" w:rsidRDefault="00B77350" w:rsidP="00B77350">
            <w:pPr>
              <w:jc w:val="left"/>
              <w:rPr>
                <w:rFonts w:asciiTheme="minorHAnsi" w:hAnsiTheme="minorHAnsi"/>
              </w:rPr>
            </w:pPr>
            <w:r w:rsidRPr="00A23FB4">
              <w:rPr>
                <w:rFonts w:asciiTheme="minorHAnsi" w:hAnsiTheme="minorHAnsi"/>
              </w:rPr>
              <w:t>Nasiąkliowść, w %, nie więcej niż</w:t>
            </w:r>
          </w:p>
        </w:tc>
        <w:tc>
          <w:tcPr>
            <w:tcW w:w="2024" w:type="dxa"/>
            <w:vAlign w:val="center"/>
          </w:tcPr>
          <w:p w14:paraId="6E2B2FCD" w14:textId="77777777" w:rsidR="00B77350" w:rsidRPr="00A23FB4" w:rsidRDefault="00B77350" w:rsidP="00B77350">
            <w:pPr>
              <w:jc w:val="center"/>
              <w:rPr>
                <w:rFonts w:asciiTheme="minorHAnsi" w:hAnsiTheme="minorHAnsi"/>
              </w:rPr>
            </w:pPr>
            <w:r w:rsidRPr="00A23FB4">
              <w:rPr>
                <w:rFonts w:asciiTheme="minorHAnsi" w:hAnsiTheme="minorHAnsi"/>
              </w:rPr>
              <w:t>0,5</w:t>
            </w:r>
          </w:p>
        </w:tc>
      </w:tr>
      <w:tr w:rsidR="00B77350" w:rsidRPr="00A23FB4" w14:paraId="0074137B" w14:textId="77777777" w:rsidTr="00B77350">
        <w:trPr>
          <w:jc w:val="center"/>
        </w:trPr>
        <w:tc>
          <w:tcPr>
            <w:tcW w:w="833" w:type="dxa"/>
            <w:vAlign w:val="center"/>
          </w:tcPr>
          <w:p w14:paraId="6A131C3F" w14:textId="77777777" w:rsidR="00B77350" w:rsidRPr="00A23FB4" w:rsidRDefault="00B77350" w:rsidP="00B77350">
            <w:pPr>
              <w:jc w:val="center"/>
              <w:rPr>
                <w:rFonts w:asciiTheme="minorHAnsi" w:hAnsiTheme="minorHAnsi"/>
              </w:rPr>
            </w:pPr>
            <w:r w:rsidRPr="00A23FB4">
              <w:rPr>
                <w:rFonts w:asciiTheme="minorHAnsi" w:hAnsiTheme="minorHAnsi"/>
              </w:rPr>
              <w:t>4</w:t>
            </w:r>
          </w:p>
        </w:tc>
        <w:tc>
          <w:tcPr>
            <w:tcW w:w="5452" w:type="dxa"/>
          </w:tcPr>
          <w:p w14:paraId="7A2F7D3E" w14:textId="77777777" w:rsidR="00B77350" w:rsidRPr="00A23FB4" w:rsidRDefault="00B77350" w:rsidP="00B77350">
            <w:pPr>
              <w:jc w:val="left"/>
              <w:rPr>
                <w:rFonts w:asciiTheme="minorHAnsi" w:hAnsiTheme="minorHAnsi"/>
              </w:rPr>
            </w:pPr>
            <w:r w:rsidRPr="00A23FB4">
              <w:rPr>
                <w:rFonts w:asciiTheme="minorHAnsi" w:hAnsiTheme="minorHAnsi"/>
              </w:rPr>
              <w:t>Mrozoodporność, ubytek masy po 25 cyklach, w %</w:t>
            </w:r>
          </w:p>
        </w:tc>
        <w:tc>
          <w:tcPr>
            <w:tcW w:w="2024" w:type="dxa"/>
            <w:vAlign w:val="center"/>
          </w:tcPr>
          <w:p w14:paraId="0AE4A3FF" w14:textId="77777777" w:rsidR="00B77350" w:rsidRPr="00A23FB4" w:rsidRDefault="00B77350" w:rsidP="00B77350">
            <w:pPr>
              <w:jc w:val="center"/>
              <w:rPr>
                <w:rFonts w:asciiTheme="minorHAnsi" w:hAnsiTheme="minorHAnsi"/>
              </w:rPr>
            </w:pPr>
            <w:r w:rsidRPr="00A23FB4">
              <w:rPr>
                <w:rFonts w:asciiTheme="minorHAnsi" w:hAnsiTheme="minorHAnsi"/>
              </w:rPr>
              <w:t>0</w:t>
            </w:r>
          </w:p>
        </w:tc>
      </w:tr>
    </w:tbl>
    <w:p w14:paraId="001BFEC0" w14:textId="77777777" w:rsidR="00B77350" w:rsidRPr="00A23FB4" w:rsidRDefault="00B77350" w:rsidP="00B77350">
      <w:pPr>
        <w:pStyle w:val="Nagwek4"/>
        <w:tabs>
          <w:tab w:val="left" w:pos="9914"/>
        </w:tabs>
        <w:rPr>
          <w:rFonts w:asciiTheme="minorHAnsi" w:hAnsiTheme="minorHAnsi"/>
        </w:rPr>
      </w:pPr>
      <w:r w:rsidRPr="00A23FB4">
        <w:rPr>
          <w:rFonts w:asciiTheme="minorHAnsi" w:hAnsiTheme="minorHAnsi"/>
        </w:rPr>
        <w:t>2.5. Materiały na podsypkę i do zapraw</w:t>
      </w:r>
    </w:p>
    <w:p w14:paraId="4D08AD8B" w14:textId="77777777" w:rsidR="00B77350" w:rsidRPr="00A23FB4" w:rsidRDefault="00B77350" w:rsidP="00B77350">
      <w:pPr>
        <w:tabs>
          <w:tab w:val="left" w:pos="9914"/>
        </w:tabs>
        <w:rPr>
          <w:rFonts w:asciiTheme="minorHAnsi" w:hAnsiTheme="minorHAnsi"/>
        </w:rPr>
      </w:pPr>
      <w:r w:rsidRPr="00A23FB4">
        <w:rPr>
          <w:rFonts w:asciiTheme="minorHAnsi" w:hAnsiTheme="minorHAnsi"/>
        </w:rPr>
        <w:t>Piasek na podsypkę cementowo-piaskową i do zapraw powinien odpowiadać wymaganiom PN-EN-12620:2004.</w:t>
      </w:r>
    </w:p>
    <w:p w14:paraId="60F68FC3" w14:textId="77777777" w:rsidR="00B77350" w:rsidRPr="00A23FB4" w:rsidRDefault="00B77350" w:rsidP="00B77350">
      <w:pPr>
        <w:tabs>
          <w:tab w:val="left" w:pos="9914"/>
        </w:tabs>
        <w:rPr>
          <w:rFonts w:asciiTheme="minorHAnsi" w:hAnsiTheme="minorHAnsi"/>
        </w:rPr>
      </w:pPr>
      <w:r w:rsidRPr="00A23FB4">
        <w:rPr>
          <w:rFonts w:asciiTheme="minorHAnsi" w:hAnsiTheme="minorHAnsi"/>
        </w:rPr>
        <w:t>Cement na podsypkę i do zaprawy cementowo-piaskowej powinien być cementem portlandzkim CEM I klasy nie mniejszej niż „32,5”, odpowiadający wymaganiom PN-EN-197-1:2002.</w:t>
      </w:r>
    </w:p>
    <w:p w14:paraId="6DF60D3F" w14:textId="77777777" w:rsidR="00B77350" w:rsidRPr="00A23FB4" w:rsidRDefault="00B77350" w:rsidP="00B77350">
      <w:pPr>
        <w:tabs>
          <w:tab w:val="left" w:pos="9914"/>
        </w:tabs>
        <w:rPr>
          <w:rFonts w:asciiTheme="minorHAnsi" w:hAnsiTheme="minorHAnsi"/>
        </w:rPr>
      </w:pPr>
      <w:r w:rsidRPr="00A23FB4">
        <w:rPr>
          <w:rFonts w:asciiTheme="minorHAnsi" w:hAnsiTheme="minorHAnsi"/>
        </w:rPr>
        <w:t>Woda powinna być odmiany „1” i odpowiadać wymaganiom PN-EN-1008:2004.</w:t>
      </w:r>
    </w:p>
    <w:p w14:paraId="136708D3" w14:textId="77777777" w:rsidR="00B77350" w:rsidRPr="00A23FB4" w:rsidRDefault="00B77350" w:rsidP="00B77350">
      <w:pPr>
        <w:pStyle w:val="Nagwek4"/>
        <w:tabs>
          <w:tab w:val="left" w:pos="9914"/>
        </w:tabs>
        <w:rPr>
          <w:rFonts w:asciiTheme="minorHAnsi" w:hAnsiTheme="minorHAnsi"/>
        </w:rPr>
      </w:pPr>
      <w:r w:rsidRPr="00A23FB4">
        <w:rPr>
          <w:rFonts w:asciiTheme="minorHAnsi" w:hAnsiTheme="minorHAnsi"/>
        </w:rPr>
        <w:t>2.6. Materiały na ławy</w:t>
      </w:r>
    </w:p>
    <w:p w14:paraId="72CA3F85" w14:textId="77777777" w:rsidR="00B77350" w:rsidRPr="00A23FB4" w:rsidRDefault="00B77350" w:rsidP="00B77350">
      <w:pPr>
        <w:tabs>
          <w:tab w:val="left" w:pos="9914"/>
        </w:tabs>
        <w:rPr>
          <w:rFonts w:asciiTheme="minorHAnsi" w:hAnsiTheme="minorHAnsi"/>
        </w:rPr>
      </w:pPr>
      <w:r w:rsidRPr="00A23FB4">
        <w:rPr>
          <w:rFonts w:asciiTheme="minorHAnsi" w:hAnsiTheme="minorHAnsi"/>
        </w:rPr>
        <w:t>Do wykonania ław pod krawężniki należy stosować, beton klasy C12/15 wg PN-B-06250</w:t>
      </w:r>
    </w:p>
    <w:p w14:paraId="53F3CC59" w14:textId="77777777" w:rsidR="00B77350" w:rsidRPr="00A23FB4" w:rsidRDefault="00B77350" w:rsidP="00B77350">
      <w:pPr>
        <w:pStyle w:val="Nagwek4"/>
        <w:tabs>
          <w:tab w:val="left" w:pos="9914"/>
        </w:tabs>
        <w:rPr>
          <w:rFonts w:asciiTheme="minorHAnsi" w:hAnsiTheme="minorHAnsi"/>
        </w:rPr>
      </w:pPr>
      <w:r w:rsidRPr="00A23FB4">
        <w:rPr>
          <w:rFonts w:asciiTheme="minorHAnsi" w:hAnsiTheme="minorHAnsi"/>
        </w:rPr>
        <w:t>2.7. Masa zalewowa</w:t>
      </w:r>
    </w:p>
    <w:p w14:paraId="4AF35610" w14:textId="77777777" w:rsidR="00B77350" w:rsidRPr="00A23FB4" w:rsidRDefault="00B77350" w:rsidP="00B77350">
      <w:pPr>
        <w:tabs>
          <w:tab w:val="left" w:pos="9914"/>
        </w:tabs>
        <w:rPr>
          <w:rFonts w:asciiTheme="minorHAnsi" w:hAnsiTheme="minorHAnsi"/>
        </w:rPr>
      </w:pPr>
      <w:r w:rsidRPr="00A23FB4">
        <w:rPr>
          <w:rFonts w:asciiTheme="minorHAnsi" w:hAnsiTheme="minorHAnsi"/>
        </w:rPr>
        <w:t>Masa zalewowa, do wypełnienia szczelin dylatacyjnych na gorąco, powinna odpowiadać wymaganiom BN-74/6771-04 lub aprobaty technicznej.</w:t>
      </w:r>
    </w:p>
    <w:p w14:paraId="74397495" w14:textId="77777777" w:rsidR="00B77350" w:rsidRPr="00A23FB4" w:rsidRDefault="00B77350" w:rsidP="00B77350">
      <w:pPr>
        <w:tabs>
          <w:tab w:val="left" w:pos="9914"/>
        </w:tabs>
        <w:spacing w:before="240"/>
        <w:rPr>
          <w:rFonts w:asciiTheme="minorHAnsi" w:hAnsiTheme="minorHAnsi"/>
          <w:b/>
          <w:bCs/>
        </w:rPr>
      </w:pPr>
      <w:r w:rsidRPr="00A23FB4">
        <w:rPr>
          <w:rFonts w:asciiTheme="minorHAnsi" w:hAnsiTheme="minorHAnsi"/>
          <w:b/>
          <w:bCs/>
        </w:rPr>
        <w:t>2.8. Woda</w:t>
      </w:r>
    </w:p>
    <w:p w14:paraId="5B3A70FD" w14:textId="77777777" w:rsidR="00B77350" w:rsidRPr="00A23FB4" w:rsidRDefault="00B77350" w:rsidP="00B77350">
      <w:pPr>
        <w:tabs>
          <w:tab w:val="left" w:pos="9914"/>
        </w:tabs>
        <w:rPr>
          <w:rFonts w:asciiTheme="minorHAnsi" w:hAnsiTheme="minorHAnsi"/>
        </w:rPr>
      </w:pPr>
      <w:r w:rsidRPr="00A23FB4">
        <w:rPr>
          <w:rFonts w:asciiTheme="minorHAnsi" w:hAnsiTheme="minorHAnsi"/>
        </w:rPr>
        <w:t>Woda powinna odpowiadać wymaganiom normy PN-EN 1008.</w:t>
      </w:r>
    </w:p>
    <w:p w14:paraId="6C0D734C" w14:textId="77777777" w:rsidR="00B77350" w:rsidRPr="00A23FB4" w:rsidRDefault="00B77350" w:rsidP="00B77350">
      <w:pPr>
        <w:pStyle w:val="Nagwek3"/>
        <w:tabs>
          <w:tab w:val="left" w:pos="9914"/>
        </w:tabs>
        <w:rPr>
          <w:rFonts w:asciiTheme="minorHAnsi" w:hAnsiTheme="minorHAnsi"/>
        </w:rPr>
      </w:pPr>
      <w:r w:rsidRPr="00A23FB4">
        <w:rPr>
          <w:rFonts w:asciiTheme="minorHAnsi" w:hAnsiTheme="minorHAnsi"/>
        </w:rPr>
        <w:t>3. SPRZĘT</w:t>
      </w:r>
    </w:p>
    <w:p w14:paraId="5B0D1F32" w14:textId="77777777" w:rsidR="00B77350" w:rsidRPr="00A23FB4" w:rsidRDefault="00B77350" w:rsidP="00B77350">
      <w:pPr>
        <w:pStyle w:val="Nagwek4"/>
        <w:tabs>
          <w:tab w:val="left" w:pos="9914"/>
        </w:tabs>
        <w:rPr>
          <w:rFonts w:asciiTheme="minorHAnsi" w:hAnsiTheme="minorHAnsi"/>
        </w:rPr>
      </w:pPr>
      <w:r w:rsidRPr="00A23FB4">
        <w:rPr>
          <w:rFonts w:asciiTheme="minorHAnsi" w:hAnsiTheme="minorHAnsi"/>
        </w:rPr>
        <w:t>3.1. Ogólne wymagania dotyczące sprzętu</w:t>
      </w:r>
    </w:p>
    <w:p w14:paraId="2172B348" w14:textId="221F7340" w:rsidR="00B77350" w:rsidRPr="00A23FB4" w:rsidRDefault="00B77350" w:rsidP="00B77350">
      <w:pPr>
        <w:tabs>
          <w:tab w:val="right" w:leader="dot" w:pos="-1985"/>
          <w:tab w:val="left" w:pos="284"/>
          <w:tab w:val="left" w:pos="9914"/>
        </w:tabs>
        <w:rPr>
          <w:rFonts w:asciiTheme="minorHAnsi" w:hAnsiTheme="minorHAnsi"/>
        </w:rPr>
      </w:pPr>
      <w:r w:rsidRPr="00A23FB4">
        <w:rPr>
          <w:rFonts w:asciiTheme="minorHAnsi" w:hAnsiTheme="minorHAnsi"/>
        </w:rPr>
        <w:t xml:space="preserve">Ogólne wymagania dotyczące sprzętu podano w </w:t>
      </w:r>
      <w:r w:rsidR="00865C6C">
        <w:rPr>
          <w:rFonts w:asciiTheme="minorHAnsi" w:hAnsiTheme="minorHAnsi"/>
        </w:rPr>
        <w:t>ST</w:t>
      </w:r>
      <w:r w:rsidRPr="00A23FB4">
        <w:rPr>
          <w:rFonts w:asciiTheme="minorHAnsi" w:hAnsiTheme="minorHAnsi"/>
        </w:rPr>
        <w:t>WiORB D-M-00.00.00 „Wymagania ogólne” pkt 3.</w:t>
      </w:r>
    </w:p>
    <w:p w14:paraId="48549D22" w14:textId="77777777" w:rsidR="00B77350" w:rsidRPr="00A23FB4" w:rsidRDefault="00B77350" w:rsidP="00B77350">
      <w:pPr>
        <w:pStyle w:val="Nagwek4"/>
        <w:tabs>
          <w:tab w:val="left" w:pos="9914"/>
        </w:tabs>
        <w:rPr>
          <w:rFonts w:asciiTheme="minorHAnsi" w:hAnsiTheme="minorHAnsi"/>
        </w:rPr>
      </w:pPr>
      <w:r w:rsidRPr="00A23FB4">
        <w:rPr>
          <w:rFonts w:asciiTheme="minorHAnsi" w:hAnsiTheme="minorHAnsi"/>
        </w:rPr>
        <w:t xml:space="preserve">3.2. Sprzęt </w:t>
      </w:r>
    </w:p>
    <w:p w14:paraId="711D023B" w14:textId="77777777" w:rsidR="00B77350" w:rsidRPr="00A23FB4" w:rsidRDefault="00B77350" w:rsidP="00B77350">
      <w:pPr>
        <w:tabs>
          <w:tab w:val="right" w:leader="dot" w:pos="-1985"/>
          <w:tab w:val="left" w:pos="284"/>
          <w:tab w:val="left" w:pos="9914"/>
        </w:tabs>
        <w:rPr>
          <w:rFonts w:asciiTheme="minorHAnsi" w:hAnsiTheme="minorHAnsi"/>
        </w:rPr>
      </w:pPr>
      <w:r w:rsidRPr="00A23FB4">
        <w:rPr>
          <w:rFonts w:asciiTheme="minorHAnsi" w:hAnsiTheme="minorHAnsi"/>
          <w:b/>
        </w:rPr>
        <w:tab/>
      </w:r>
      <w:r w:rsidRPr="00A23FB4">
        <w:rPr>
          <w:rFonts w:asciiTheme="minorHAnsi" w:hAnsiTheme="minorHAnsi"/>
        </w:rPr>
        <w:t>Roboty wykonuje się ręcznie przy zastosowaniu:</w:t>
      </w:r>
    </w:p>
    <w:p w14:paraId="00EB8C52" w14:textId="77777777" w:rsidR="00B77350" w:rsidRPr="00A23FB4" w:rsidRDefault="00B77350" w:rsidP="00262498">
      <w:pPr>
        <w:numPr>
          <w:ilvl w:val="0"/>
          <w:numId w:val="186"/>
        </w:numPr>
        <w:tabs>
          <w:tab w:val="right" w:leader="dot" w:pos="-1985"/>
          <w:tab w:val="left" w:pos="284"/>
          <w:tab w:val="left" w:pos="9914"/>
        </w:tabs>
        <w:ind w:left="0" w:firstLine="0"/>
        <w:rPr>
          <w:rFonts w:asciiTheme="minorHAnsi" w:hAnsiTheme="minorHAnsi"/>
        </w:rPr>
      </w:pPr>
      <w:r w:rsidRPr="00A23FB4">
        <w:rPr>
          <w:rFonts w:asciiTheme="minorHAnsi" w:hAnsiTheme="minorHAnsi"/>
        </w:rPr>
        <w:t>betoniarek do wytwarzania betonu i zapraw oraz przygotowania podsypki cementowo-piaskowej,</w:t>
      </w:r>
    </w:p>
    <w:p w14:paraId="6772D511" w14:textId="77777777" w:rsidR="00B77350" w:rsidRPr="00A23FB4" w:rsidRDefault="00B77350" w:rsidP="00262498">
      <w:pPr>
        <w:numPr>
          <w:ilvl w:val="0"/>
          <w:numId w:val="186"/>
        </w:numPr>
        <w:tabs>
          <w:tab w:val="right" w:leader="dot" w:pos="-1985"/>
          <w:tab w:val="left" w:pos="284"/>
          <w:tab w:val="left" w:pos="9914"/>
        </w:tabs>
        <w:ind w:left="0" w:firstLine="0"/>
        <w:rPr>
          <w:rFonts w:asciiTheme="minorHAnsi" w:hAnsiTheme="minorHAnsi"/>
        </w:rPr>
      </w:pPr>
      <w:r w:rsidRPr="00A23FB4">
        <w:rPr>
          <w:rFonts w:asciiTheme="minorHAnsi" w:hAnsiTheme="minorHAnsi"/>
        </w:rPr>
        <w:t>wibratorów płytowych, ubijaków ręcznych lub mechanicznych.</w:t>
      </w:r>
    </w:p>
    <w:p w14:paraId="3B64DE9E" w14:textId="77777777" w:rsidR="00B77350" w:rsidRPr="00A23FB4" w:rsidRDefault="00B77350" w:rsidP="00B77350">
      <w:pPr>
        <w:pStyle w:val="Nagwek3"/>
        <w:tabs>
          <w:tab w:val="left" w:pos="9914"/>
        </w:tabs>
        <w:rPr>
          <w:rFonts w:asciiTheme="minorHAnsi" w:hAnsiTheme="minorHAnsi"/>
        </w:rPr>
      </w:pPr>
      <w:r w:rsidRPr="00A23FB4">
        <w:rPr>
          <w:rFonts w:asciiTheme="minorHAnsi" w:hAnsiTheme="minorHAnsi"/>
        </w:rPr>
        <w:t>4. TRANSPORT</w:t>
      </w:r>
    </w:p>
    <w:p w14:paraId="27BD38DA" w14:textId="77777777" w:rsidR="00B77350" w:rsidRPr="00A23FB4" w:rsidRDefault="00B77350" w:rsidP="00B77350">
      <w:pPr>
        <w:pStyle w:val="Nagwek4"/>
        <w:tabs>
          <w:tab w:val="left" w:pos="9914"/>
        </w:tabs>
        <w:rPr>
          <w:rFonts w:asciiTheme="minorHAnsi" w:hAnsiTheme="minorHAnsi"/>
        </w:rPr>
      </w:pPr>
      <w:r w:rsidRPr="00A23FB4">
        <w:rPr>
          <w:rFonts w:asciiTheme="minorHAnsi" w:hAnsiTheme="minorHAnsi"/>
        </w:rPr>
        <w:t>4.1. Ogólne wymagania dotyczące transportu</w:t>
      </w:r>
    </w:p>
    <w:p w14:paraId="213ADACA" w14:textId="7D323BE3" w:rsidR="00B77350" w:rsidRPr="00A23FB4" w:rsidRDefault="00B77350" w:rsidP="00B77350">
      <w:pPr>
        <w:tabs>
          <w:tab w:val="right" w:leader="dot" w:pos="-1985"/>
          <w:tab w:val="left" w:pos="284"/>
          <w:tab w:val="left" w:pos="9914"/>
        </w:tabs>
        <w:rPr>
          <w:rFonts w:asciiTheme="minorHAnsi" w:hAnsiTheme="minorHAnsi"/>
        </w:rPr>
      </w:pPr>
      <w:r w:rsidRPr="00A23FB4">
        <w:rPr>
          <w:rFonts w:asciiTheme="minorHAnsi" w:hAnsiTheme="minorHAnsi"/>
        </w:rPr>
        <w:t xml:space="preserve">Ogólne wymagania dotyczące transportu podano w </w:t>
      </w:r>
      <w:r w:rsidR="00865C6C">
        <w:rPr>
          <w:rFonts w:asciiTheme="minorHAnsi" w:hAnsiTheme="minorHAnsi"/>
        </w:rPr>
        <w:t>ST</w:t>
      </w:r>
      <w:r w:rsidRPr="00A23FB4">
        <w:rPr>
          <w:rFonts w:asciiTheme="minorHAnsi" w:hAnsiTheme="minorHAnsi"/>
        </w:rPr>
        <w:t>WiORB D-M-00.00.00 „Wymagania ogólne” pkt 4.</w:t>
      </w:r>
    </w:p>
    <w:p w14:paraId="69E837D2" w14:textId="77777777" w:rsidR="00B77350" w:rsidRPr="00A23FB4" w:rsidRDefault="00B77350" w:rsidP="00B77350">
      <w:pPr>
        <w:pStyle w:val="Nagwek4"/>
        <w:tabs>
          <w:tab w:val="left" w:pos="9914"/>
        </w:tabs>
        <w:rPr>
          <w:rFonts w:asciiTheme="minorHAnsi" w:hAnsiTheme="minorHAnsi"/>
        </w:rPr>
      </w:pPr>
      <w:r w:rsidRPr="00A23FB4">
        <w:rPr>
          <w:rFonts w:asciiTheme="minorHAnsi" w:hAnsiTheme="minorHAnsi"/>
        </w:rPr>
        <w:t>4.2. Transport krawężników</w:t>
      </w:r>
    </w:p>
    <w:p w14:paraId="0CB25539" w14:textId="77777777" w:rsidR="00B77350" w:rsidRPr="00A23FB4" w:rsidRDefault="00B77350" w:rsidP="00B77350">
      <w:pPr>
        <w:tabs>
          <w:tab w:val="right" w:leader="dot" w:pos="-1985"/>
          <w:tab w:val="left" w:pos="284"/>
          <w:tab w:val="left" w:pos="9914"/>
        </w:tabs>
        <w:rPr>
          <w:rFonts w:asciiTheme="minorHAnsi" w:hAnsiTheme="minorHAnsi"/>
        </w:rPr>
      </w:pPr>
      <w:r w:rsidRPr="00A23FB4">
        <w:rPr>
          <w:rFonts w:asciiTheme="minorHAnsi" w:hAnsiTheme="minorHAnsi"/>
        </w:rPr>
        <w:t>Krawężniki kamienne mogą być przewożone dowolnymi środkami transportowymi.</w:t>
      </w:r>
    </w:p>
    <w:p w14:paraId="307C2EB2" w14:textId="77777777" w:rsidR="00B77350" w:rsidRPr="00A23FB4" w:rsidRDefault="00B77350" w:rsidP="00B77350">
      <w:pPr>
        <w:tabs>
          <w:tab w:val="right" w:leader="dot" w:pos="-1985"/>
          <w:tab w:val="left" w:pos="284"/>
          <w:tab w:val="left" w:pos="9914"/>
        </w:tabs>
        <w:rPr>
          <w:rFonts w:asciiTheme="minorHAnsi" w:hAnsiTheme="minorHAnsi"/>
        </w:rPr>
      </w:pPr>
      <w:r w:rsidRPr="00A23FB4">
        <w:rPr>
          <w:rFonts w:asciiTheme="minorHAnsi" w:hAnsiTheme="minorHAnsi"/>
        </w:rPr>
        <w:t>Krawężniki kamienne układać należy na środkach transportowych w pozycji pionowej z nachyleniem w kierunku jazdy.</w:t>
      </w:r>
    </w:p>
    <w:p w14:paraId="271824FA" w14:textId="77777777" w:rsidR="00B77350" w:rsidRPr="00A23FB4" w:rsidRDefault="00B77350" w:rsidP="00B77350">
      <w:pPr>
        <w:tabs>
          <w:tab w:val="right" w:leader="dot" w:pos="-1985"/>
          <w:tab w:val="left" w:pos="284"/>
          <w:tab w:val="left" w:pos="9914"/>
        </w:tabs>
        <w:rPr>
          <w:rFonts w:asciiTheme="minorHAnsi" w:hAnsiTheme="minorHAnsi"/>
        </w:rPr>
      </w:pPr>
      <w:r w:rsidRPr="00A23FB4">
        <w:rPr>
          <w:rFonts w:asciiTheme="minorHAnsi" w:hAnsiTheme="minorHAnsi"/>
        </w:rPr>
        <w:t>Krawężniki powinny być zabezpieczone przed przemieszczeniem się i uszkodzeniami w czasie transportu, a górna warstwa nie powinna wystawać poza ściany środka transportowego więcej niż 1/3 wysokości tej warstwy.</w:t>
      </w:r>
    </w:p>
    <w:p w14:paraId="644F5B24" w14:textId="77777777" w:rsidR="00B77350" w:rsidRPr="00A23FB4" w:rsidRDefault="00B77350" w:rsidP="00B77350">
      <w:pPr>
        <w:pStyle w:val="Nagwek4"/>
        <w:tabs>
          <w:tab w:val="left" w:pos="9914"/>
        </w:tabs>
        <w:rPr>
          <w:rFonts w:asciiTheme="minorHAnsi" w:hAnsiTheme="minorHAnsi"/>
        </w:rPr>
      </w:pPr>
      <w:r w:rsidRPr="00A23FB4">
        <w:rPr>
          <w:rFonts w:asciiTheme="minorHAnsi" w:hAnsiTheme="minorHAnsi"/>
        </w:rPr>
        <w:t>4.3. Transport pozostałych materiałów</w:t>
      </w:r>
    </w:p>
    <w:p w14:paraId="5368697D" w14:textId="77777777" w:rsidR="00B77350" w:rsidRPr="00A23FB4" w:rsidRDefault="00B77350" w:rsidP="00B77350">
      <w:pPr>
        <w:tabs>
          <w:tab w:val="left" w:pos="9914"/>
        </w:tabs>
        <w:rPr>
          <w:rFonts w:asciiTheme="minorHAnsi" w:hAnsiTheme="minorHAnsi"/>
        </w:rPr>
      </w:pPr>
      <w:r w:rsidRPr="00A23FB4">
        <w:rPr>
          <w:rFonts w:asciiTheme="minorHAnsi" w:hAnsiTheme="minorHAnsi"/>
        </w:rPr>
        <w:t>Transport cementu powinien się odbywać w warunkach zgodnych z BN-88/6731-08.</w:t>
      </w:r>
    </w:p>
    <w:p w14:paraId="67A3D273" w14:textId="77777777" w:rsidR="00B77350" w:rsidRPr="00A23FB4" w:rsidRDefault="00B77350" w:rsidP="00B77350">
      <w:pPr>
        <w:tabs>
          <w:tab w:val="left" w:pos="9914"/>
        </w:tabs>
        <w:rPr>
          <w:rFonts w:asciiTheme="minorHAnsi" w:hAnsiTheme="minorHAnsi"/>
        </w:rPr>
      </w:pPr>
      <w:r w:rsidRPr="00A23FB4">
        <w:rPr>
          <w:rFonts w:asciiTheme="minorHAnsi" w:hAnsiTheme="minorHAnsi"/>
        </w:rPr>
        <w:t>Kruszywa można przewozić dowolnym środkiem transportu, w warunkach zabezpieczających je przed zanieczyszczeniem i zmieszaniem z innymi materiałami. Podczas transportu kruszywa powinny być zabezpieczone przed wysypaniem, a kruszywo drobne - przed rozpyleniem.</w:t>
      </w:r>
    </w:p>
    <w:p w14:paraId="12CD7127" w14:textId="77777777" w:rsidR="00B77350" w:rsidRPr="00A23FB4" w:rsidRDefault="00B77350" w:rsidP="00B77350">
      <w:pPr>
        <w:tabs>
          <w:tab w:val="left" w:pos="9914"/>
        </w:tabs>
        <w:rPr>
          <w:rFonts w:asciiTheme="minorHAnsi" w:hAnsiTheme="minorHAnsi"/>
        </w:rPr>
      </w:pPr>
      <w:r w:rsidRPr="00A23FB4">
        <w:rPr>
          <w:rFonts w:asciiTheme="minorHAnsi" w:hAnsiTheme="minorHAnsi"/>
        </w:rPr>
        <w:t>Masę zalewową należy pakować w bębny blaszane lub beczki drewniane. Transport powinien odbywać się w warunkach zabezpieczających przed uszkodzeniem bębnów i beczek.</w:t>
      </w:r>
    </w:p>
    <w:p w14:paraId="6E7AA3CE" w14:textId="77777777" w:rsidR="00B77350" w:rsidRPr="00A23FB4" w:rsidRDefault="00B77350" w:rsidP="00B77350">
      <w:pPr>
        <w:pStyle w:val="Nagwek3"/>
        <w:tabs>
          <w:tab w:val="left" w:pos="9914"/>
        </w:tabs>
        <w:rPr>
          <w:rFonts w:asciiTheme="minorHAnsi" w:hAnsiTheme="minorHAnsi"/>
        </w:rPr>
      </w:pPr>
      <w:r w:rsidRPr="00A23FB4">
        <w:rPr>
          <w:rFonts w:asciiTheme="minorHAnsi" w:hAnsiTheme="minorHAnsi"/>
        </w:rPr>
        <w:t>5. WYKONANIE ROBÓT</w:t>
      </w:r>
    </w:p>
    <w:p w14:paraId="71EB1057" w14:textId="77777777" w:rsidR="00B77350" w:rsidRPr="00A23FB4" w:rsidRDefault="00B77350" w:rsidP="00B77350">
      <w:pPr>
        <w:pStyle w:val="Nagwek4"/>
        <w:tabs>
          <w:tab w:val="left" w:pos="9914"/>
        </w:tabs>
        <w:rPr>
          <w:rFonts w:asciiTheme="minorHAnsi" w:hAnsiTheme="minorHAnsi"/>
        </w:rPr>
      </w:pPr>
      <w:r w:rsidRPr="00A23FB4">
        <w:rPr>
          <w:rFonts w:asciiTheme="minorHAnsi" w:hAnsiTheme="minorHAnsi"/>
        </w:rPr>
        <w:t>5.1. Ogólne zasady wykonania robót</w:t>
      </w:r>
    </w:p>
    <w:p w14:paraId="61DED935" w14:textId="44E5E9AD" w:rsidR="00B77350" w:rsidRPr="00A23FB4" w:rsidRDefault="00B77350" w:rsidP="00B77350">
      <w:pPr>
        <w:tabs>
          <w:tab w:val="left" w:pos="9914"/>
        </w:tabs>
        <w:rPr>
          <w:rFonts w:asciiTheme="minorHAnsi" w:hAnsiTheme="minorHAnsi"/>
        </w:rPr>
      </w:pPr>
      <w:r w:rsidRPr="00A23FB4">
        <w:rPr>
          <w:rFonts w:asciiTheme="minorHAnsi" w:hAnsiTheme="minorHAnsi"/>
        </w:rPr>
        <w:t xml:space="preserve">Ogólne zasady wykonania robót podano w </w:t>
      </w:r>
      <w:r w:rsidR="00865C6C">
        <w:rPr>
          <w:rFonts w:asciiTheme="minorHAnsi" w:hAnsiTheme="minorHAnsi"/>
        </w:rPr>
        <w:t>ST</w:t>
      </w:r>
      <w:r w:rsidRPr="00A23FB4">
        <w:rPr>
          <w:rFonts w:asciiTheme="minorHAnsi" w:hAnsiTheme="minorHAnsi"/>
        </w:rPr>
        <w:t>WiORB D-M-00.00.00 „Wymagania ogólne” pkt 5.</w:t>
      </w:r>
    </w:p>
    <w:p w14:paraId="3D3FACFB" w14:textId="77777777" w:rsidR="00B77350" w:rsidRPr="00A23FB4" w:rsidRDefault="00B77350" w:rsidP="00B77350">
      <w:pPr>
        <w:pStyle w:val="Nagwek4"/>
        <w:tabs>
          <w:tab w:val="left" w:pos="9914"/>
        </w:tabs>
        <w:rPr>
          <w:rFonts w:asciiTheme="minorHAnsi" w:hAnsiTheme="minorHAnsi"/>
        </w:rPr>
      </w:pPr>
      <w:r w:rsidRPr="00A23FB4">
        <w:rPr>
          <w:rFonts w:asciiTheme="minorHAnsi" w:hAnsiTheme="minorHAnsi"/>
        </w:rPr>
        <w:t>5.2. Wykonanie koryta pod ławy</w:t>
      </w:r>
    </w:p>
    <w:p w14:paraId="4EDBF425" w14:textId="77777777" w:rsidR="00B77350" w:rsidRPr="00A23FB4" w:rsidRDefault="00B77350" w:rsidP="00B77350">
      <w:pPr>
        <w:tabs>
          <w:tab w:val="left" w:pos="9914"/>
        </w:tabs>
        <w:rPr>
          <w:rFonts w:asciiTheme="minorHAnsi" w:hAnsiTheme="minorHAnsi"/>
        </w:rPr>
      </w:pPr>
      <w:r w:rsidRPr="00A23FB4">
        <w:rPr>
          <w:rFonts w:asciiTheme="minorHAnsi" w:hAnsiTheme="minorHAnsi"/>
        </w:rPr>
        <w:t>Koryto pod ławy należy wykonywać zgodnie z PN-B-06050.</w:t>
      </w:r>
    </w:p>
    <w:p w14:paraId="67321CE9" w14:textId="77777777" w:rsidR="00B77350" w:rsidRPr="00A23FB4" w:rsidRDefault="00B77350" w:rsidP="00B77350">
      <w:pPr>
        <w:tabs>
          <w:tab w:val="left" w:pos="9914"/>
        </w:tabs>
        <w:rPr>
          <w:rFonts w:asciiTheme="minorHAnsi" w:hAnsiTheme="minorHAnsi"/>
        </w:rPr>
      </w:pPr>
      <w:r w:rsidRPr="00A23FB4">
        <w:rPr>
          <w:rFonts w:asciiTheme="minorHAnsi" w:hAnsiTheme="minorHAnsi"/>
        </w:rPr>
        <w:t>Wymiary wykopu powinny odpowiadać wymiarom ławy w planie z uwzględnieniem w szerokości dna wykopu oraz konstrukcji szalunku.</w:t>
      </w:r>
    </w:p>
    <w:p w14:paraId="088BFEF3" w14:textId="77777777" w:rsidR="00B77350" w:rsidRPr="00A23FB4" w:rsidRDefault="00B77350" w:rsidP="00B77350">
      <w:pPr>
        <w:tabs>
          <w:tab w:val="left" w:pos="9914"/>
        </w:tabs>
        <w:rPr>
          <w:rFonts w:asciiTheme="minorHAnsi" w:hAnsiTheme="minorHAnsi"/>
        </w:rPr>
      </w:pPr>
      <w:r w:rsidRPr="00A23FB4">
        <w:rPr>
          <w:rFonts w:asciiTheme="minorHAnsi" w:hAnsiTheme="minorHAnsi"/>
        </w:rPr>
        <w:t>Wskaźnik zagęszczenia dna wykonanego koryta pod ławę powinien wynosić co najmniej 0,97 według normalnej metody Proctora.</w:t>
      </w:r>
    </w:p>
    <w:p w14:paraId="7DC05DC1" w14:textId="77777777" w:rsidR="00B77350" w:rsidRPr="00A23FB4" w:rsidRDefault="00B77350" w:rsidP="00B77350">
      <w:pPr>
        <w:pStyle w:val="Nagwek4"/>
        <w:tabs>
          <w:tab w:val="left" w:pos="9914"/>
        </w:tabs>
        <w:rPr>
          <w:rFonts w:asciiTheme="minorHAnsi" w:hAnsiTheme="minorHAnsi"/>
        </w:rPr>
      </w:pPr>
      <w:r w:rsidRPr="00A23FB4">
        <w:rPr>
          <w:rFonts w:asciiTheme="minorHAnsi" w:hAnsiTheme="minorHAnsi"/>
        </w:rPr>
        <w:t>5.3. Wykonanie ław</w:t>
      </w:r>
    </w:p>
    <w:p w14:paraId="57D9BF21" w14:textId="77777777" w:rsidR="00B77350" w:rsidRPr="00A23FB4" w:rsidRDefault="00B77350" w:rsidP="00B77350">
      <w:pPr>
        <w:tabs>
          <w:tab w:val="left" w:pos="9914"/>
        </w:tabs>
        <w:rPr>
          <w:rFonts w:asciiTheme="minorHAnsi" w:hAnsiTheme="minorHAnsi"/>
        </w:rPr>
      </w:pPr>
      <w:r w:rsidRPr="00A23FB4">
        <w:rPr>
          <w:rFonts w:asciiTheme="minorHAnsi" w:hAnsiTheme="minorHAnsi"/>
        </w:rPr>
        <w:t>Wykonanie ław powinno być zgodne z BN-64/8845-02.</w:t>
      </w:r>
    </w:p>
    <w:p w14:paraId="5786454E" w14:textId="77777777" w:rsidR="00B77350" w:rsidRPr="00A23FB4" w:rsidRDefault="00B77350" w:rsidP="00B77350">
      <w:pPr>
        <w:tabs>
          <w:tab w:val="left" w:pos="9914"/>
        </w:tabs>
        <w:rPr>
          <w:rFonts w:asciiTheme="minorHAnsi" w:hAnsiTheme="minorHAnsi"/>
        </w:rPr>
      </w:pPr>
      <w:r w:rsidRPr="00A23FB4">
        <w:rPr>
          <w:rFonts w:asciiTheme="minorHAnsi" w:hAnsiTheme="minorHAnsi"/>
        </w:rPr>
        <w:t xml:space="preserve">Ławy betonowe z oporem wykonuje się w szalowaniu. Beton rozścielony w szalowaniu lub bezpośrednio w korycie powinien być wyrównywany warstwami. Betonowanie ław należy wykonywać zgodnie z wymaganiami PN-B-0625, przy czym należy stosować co </w:t>
      </w:r>
      <w:smartTag w:uri="urn:schemas-microsoft-com:office:smarttags" w:element="metricconverter">
        <w:smartTagPr>
          <w:attr w:name="ProductID" w:val="50 m"/>
        </w:smartTagPr>
        <w:r w:rsidRPr="00A23FB4">
          <w:rPr>
            <w:rFonts w:asciiTheme="minorHAnsi" w:hAnsiTheme="minorHAnsi"/>
          </w:rPr>
          <w:t>50 m</w:t>
        </w:r>
      </w:smartTag>
      <w:r w:rsidRPr="00A23FB4">
        <w:rPr>
          <w:rFonts w:asciiTheme="minorHAnsi" w:hAnsiTheme="minorHAnsi"/>
        </w:rPr>
        <w:t xml:space="preserve"> szczeliny dylatacyjne wypełnione bitumiczną masą zalewową.</w:t>
      </w:r>
    </w:p>
    <w:p w14:paraId="551DA5E4" w14:textId="77777777" w:rsidR="00B77350" w:rsidRPr="00A23FB4" w:rsidRDefault="00B77350" w:rsidP="00B77350">
      <w:pPr>
        <w:pStyle w:val="Nagwek4"/>
        <w:tabs>
          <w:tab w:val="left" w:pos="9914"/>
        </w:tabs>
        <w:rPr>
          <w:rFonts w:asciiTheme="minorHAnsi" w:hAnsiTheme="minorHAnsi"/>
        </w:rPr>
      </w:pPr>
      <w:r w:rsidRPr="00A23FB4">
        <w:rPr>
          <w:rFonts w:asciiTheme="minorHAnsi" w:hAnsiTheme="minorHAnsi"/>
        </w:rPr>
        <w:t>5.4. Ustawienie krawężników kamiennych</w:t>
      </w:r>
    </w:p>
    <w:p w14:paraId="6D71EC86" w14:textId="77777777" w:rsidR="00B77350" w:rsidRPr="00A23FB4" w:rsidRDefault="00B77350" w:rsidP="00B77350">
      <w:pPr>
        <w:tabs>
          <w:tab w:val="left" w:pos="9914"/>
        </w:tabs>
        <w:rPr>
          <w:rFonts w:asciiTheme="minorHAnsi" w:hAnsiTheme="minorHAnsi"/>
        </w:rPr>
      </w:pPr>
      <w:r w:rsidRPr="00A23FB4">
        <w:rPr>
          <w:rFonts w:asciiTheme="minorHAnsi" w:hAnsiTheme="minorHAnsi"/>
          <w:b/>
        </w:rPr>
        <w:t xml:space="preserve">5.4.1. </w:t>
      </w:r>
      <w:r w:rsidRPr="00A23FB4">
        <w:rPr>
          <w:rFonts w:asciiTheme="minorHAnsi" w:hAnsiTheme="minorHAnsi"/>
        </w:rPr>
        <w:t>Zasady ustawiania krawężników</w:t>
      </w:r>
    </w:p>
    <w:p w14:paraId="468BC292" w14:textId="77777777" w:rsidR="00B77350" w:rsidRPr="00A23FB4" w:rsidRDefault="00B77350" w:rsidP="00B77350">
      <w:pPr>
        <w:tabs>
          <w:tab w:val="left" w:pos="9914"/>
        </w:tabs>
        <w:rPr>
          <w:rFonts w:asciiTheme="minorHAnsi" w:hAnsiTheme="minorHAnsi"/>
        </w:rPr>
      </w:pPr>
      <w:r w:rsidRPr="00A23FB4">
        <w:rPr>
          <w:rFonts w:asciiTheme="minorHAnsi" w:hAnsiTheme="minorHAnsi"/>
        </w:rPr>
        <w:t>Światło (odległość górnej powierzchni krawężnika od jezdni) powinno być zgodne z ustaleniami dokumentacji projektowej.</w:t>
      </w:r>
    </w:p>
    <w:p w14:paraId="7AB43879" w14:textId="77777777" w:rsidR="00B77350" w:rsidRPr="00A23FB4" w:rsidRDefault="00B77350" w:rsidP="00B77350">
      <w:pPr>
        <w:tabs>
          <w:tab w:val="left" w:pos="9914"/>
        </w:tabs>
        <w:rPr>
          <w:rFonts w:asciiTheme="minorHAnsi" w:hAnsiTheme="minorHAnsi"/>
        </w:rPr>
      </w:pPr>
      <w:r w:rsidRPr="00A23FB4">
        <w:rPr>
          <w:rFonts w:asciiTheme="minorHAnsi" w:hAnsiTheme="minorHAnsi"/>
        </w:rPr>
        <w:t>Zewnętrzna ściana krawężnika od strony chodnika powinna być po ustawieniu krawężnika obsypana piaskiem, żwirem, tłuczniem lub miejscowym gruntem przepuszczalnym, starannie ubitym.</w:t>
      </w:r>
    </w:p>
    <w:p w14:paraId="6EE76733" w14:textId="77777777" w:rsidR="00B77350" w:rsidRPr="00A23FB4" w:rsidRDefault="00B77350" w:rsidP="00B77350">
      <w:pPr>
        <w:tabs>
          <w:tab w:val="left" w:pos="9914"/>
        </w:tabs>
        <w:rPr>
          <w:rFonts w:asciiTheme="minorHAnsi" w:hAnsiTheme="minorHAnsi"/>
        </w:rPr>
      </w:pPr>
      <w:r w:rsidRPr="00A23FB4">
        <w:rPr>
          <w:rFonts w:asciiTheme="minorHAnsi" w:hAnsiTheme="minorHAnsi"/>
        </w:rPr>
        <w:t>Ustawienie krawężników powinno być zgodne z BN-64/8845-02.</w:t>
      </w:r>
    </w:p>
    <w:p w14:paraId="3E6F0970" w14:textId="77777777" w:rsidR="00B77350" w:rsidRPr="00A23FB4" w:rsidRDefault="00B77350" w:rsidP="00B77350">
      <w:pPr>
        <w:tabs>
          <w:tab w:val="left" w:pos="9914"/>
        </w:tabs>
        <w:rPr>
          <w:rFonts w:asciiTheme="minorHAnsi" w:hAnsiTheme="minorHAnsi"/>
        </w:rPr>
      </w:pPr>
      <w:r w:rsidRPr="00A23FB4">
        <w:rPr>
          <w:rFonts w:asciiTheme="minorHAnsi" w:hAnsiTheme="minorHAnsi"/>
          <w:b/>
        </w:rPr>
        <w:t xml:space="preserve">5.4.2. </w:t>
      </w:r>
      <w:r w:rsidRPr="00A23FB4">
        <w:rPr>
          <w:rFonts w:asciiTheme="minorHAnsi" w:hAnsiTheme="minorHAnsi"/>
        </w:rPr>
        <w:t>Ustawienie krawężników na ławie betonowej</w:t>
      </w:r>
    </w:p>
    <w:p w14:paraId="44C9D58B" w14:textId="77777777" w:rsidR="00B77350" w:rsidRPr="00A23FB4" w:rsidRDefault="00B77350" w:rsidP="00B77350">
      <w:pPr>
        <w:tabs>
          <w:tab w:val="left" w:pos="9914"/>
        </w:tabs>
        <w:rPr>
          <w:rFonts w:asciiTheme="minorHAnsi" w:hAnsiTheme="minorHAnsi"/>
        </w:rPr>
      </w:pPr>
      <w:r w:rsidRPr="00A23FB4">
        <w:rPr>
          <w:rFonts w:asciiTheme="minorHAnsi" w:hAnsiTheme="minorHAnsi"/>
        </w:rPr>
        <w:t xml:space="preserve">Ustawianie krawężników na ławie betonowej wykonuje się  na podsypce z piasku lub na podsypce cementowo-piaskowej o grubości 3 do </w:t>
      </w:r>
      <w:smartTag w:uri="urn:schemas-microsoft-com:office:smarttags" w:element="metricconverter">
        <w:smartTagPr>
          <w:attr w:name="ProductID" w:val="5 cm"/>
        </w:smartTagPr>
        <w:r w:rsidRPr="00A23FB4">
          <w:rPr>
            <w:rFonts w:asciiTheme="minorHAnsi" w:hAnsiTheme="minorHAnsi"/>
          </w:rPr>
          <w:t>5 cm</w:t>
        </w:r>
      </w:smartTag>
      <w:r w:rsidRPr="00A23FB4">
        <w:rPr>
          <w:rFonts w:asciiTheme="minorHAnsi" w:hAnsiTheme="minorHAnsi"/>
        </w:rPr>
        <w:t xml:space="preserve"> po zagęszczeniu.</w:t>
      </w:r>
    </w:p>
    <w:p w14:paraId="0E1216C2" w14:textId="77777777" w:rsidR="00B77350" w:rsidRPr="00A23FB4" w:rsidRDefault="00B77350" w:rsidP="00B77350">
      <w:pPr>
        <w:tabs>
          <w:tab w:val="left" w:pos="9914"/>
        </w:tabs>
        <w:rPr>
          <w:rFonts w:asciiTheme="minorHAnsi" w:hAnsiTheme="minorHAnsi"/>
        </w:rPr>
      </w:pPr>
      <w:r w:rsidRPr="00A23FB4">
        <w:rPr>
          <w:rFonts w:asciiTheme="minorHAnsi" w:hAnsiTheme="minorHAnsi"/>
          <w:b/>
        </w:rPr>
        <w:t xml:space="preserve">5.4.3. </w:t>
      </w:r>
      <w:r w:rsidRPr="00A23FB4">
        <w:rPr>
          <w:rFonts w:asciiTheme="minorHAnsi" w:hAnsiTheme="minorHAnsi"/>
        </w:rPr>
        <w:t>Wypełnianie spoin</w:t>
      </w:r>
    </w:p>
    <w:p w14:paraId="66FFBB1C" w14:textId="77777777" w:rsidR="00B77350" w:rsidRPr="00A23FB4" w:rsidRDefault="00B77350" w:rsidP="00B77350">
      <w:pPr>
        <w:tabs>
          <w:tab w:val="left" w:pos="9914"/>
        </w:tabs>
        <w:rPr>
          <w:rFonts w:asciiTheme="minorHAnsi" w:hAnsiTheme="minorHAnsi"/>
        </w:rPr>
      </w:pPr>
      <w:r w:rsidRPr="00A23FB4">
        <w:rPr>
          <w:rFonts w:asciiTheme="minorHAnsi" w:hAnsiTheme="minorHAnsi"/>
        </w:rPr>
        <w:t xml:space="preserve">Spoiny krawężników nie powinny przekraczać szerokości </w:t>
      </w:r>
      <w:smartTag w:uri="urn:schemas-microsoft-com:office:smarttags" w:element="metricconverter">
        <w:smartTagPr>
          <w:attr w:name="ProductID" w:val="1 cm"/>
        </w:smartTagPr>
        <w:r w:rsidRPr="00A23FB4">
          <w:rPr>
            <w:rFonts w:asciiTheme="minorHAnsi" w:hAnsiTheme="minorHAnsi"/>
          </w:rPr>
          <w:t>1 cm</w:t>
        </w:r>
      </w:smartTag>
      <w:r w:rsidRPr="00A23FB4">
        <w:rPr>
          <w:rFonts w:asciiTheme="minorHAnsi" w:hAnsiTheme="minorHAnsi"/>
        </w:rPr>
        <w:t>. Spoiny należy wypełnić żwirem, piaskiem lub zaprawą cementowo-piaskową, przygotowaną w stosunku 1:2. Zalewanie spoin krawężników zaprawą cementowo-piaskową stosuje się wyłącznie do krawężników ustawionych na ławie betonowej.</w:t>
      </w:r>
    </w:p>
    <w:p w14:paraId="7BBA0892" w14:textId="77777777" w:rsidR="00B77350" w:rsidRPr="00A23FB4" w:rsidRDefault="00B77350" w:rsidP="00B77350">
      <w:pPr>
        <w:tabs>
          <w:tab w:val="left" w:pos="9914"/>
        </w:tabs>
        <w:rPr>
          <w:rFonts w:asciiTheme="minorHAnsi" w:hAnsiTheme="minorHAnsi"/>
        </w:rPr>
      </w:pPr>
      <w:r w:rsidRPr="00A23FB4">
        <w:rPr>
          <w:rFonts w:asciiTheme="minorHAnsi" w:hAnsiTheme="minorHAnsi"/>
        </w:rPr>
        <w:t xml:space="preserve">Spoiny krawężników przed zalaniem zaprawą należy oczyścić i zmyć wodą. Dla zabezpieczenia przed wpływami temperatury krawężniki ustawione na podsypce cementowo-piaskowej i o spoinach zalanych zaprawą należy zalewać co </w:t>
      </w:r>
      <w:smartTag w:uri="urn:schemas-microsoft-com:office:smarttags" w:element="metricconverter">
        <w:smartTagPr>
          <w:attr w:name="ProductID" w:val="50 m"/>
        </w:smartTagPr>
        <w:r w:rsidRPr="00A23FB4">
          <w:rPr>
            <w:rFonts w:asciiTheme="minorHAnsi" w:hAnsiTheme="minorHAnsi"/>
          </w:rPr>
          <w:t>50 m</w:t>
        </w:r>
      </w:smartTag>
      <w:r w:rsidRPr="00A23FB4">
        <w:rPr>
          <w:rFonts w:asciiTheme="minorHAnsi" w:hAnsiTheme="minorHAnsi"/>
        </w:rPr>
        <w:t xml:space="preserve"> bitumiczną masą zalewową nad szczeliną dylatacyjną ławy.</w:t>
      </w:r>
    </w:p>
    <w:p w14:paraId="2AE7BC5B" w14:textId="77777777" w:rsidR="00B77350" w:rsidRPr="00A23FB4" w:rsidRDefault="00B77350" w:rsidP="00B77350">
      <w:pPr>
        <w:pStyle w:val="Nagwek3"/>
        <w:tabs>
          <w:tab w:val="left" w:pos="9914"/>
        </w:tabs>
        <w:rPr>
          <w:rFonts w:asciiTheme="minorHAnsi" w:hAnsiTheme="minorHAnsi"/>
        </w:rPr>
      </w:pPr>
      <w:r w:rsidRPr="00A23FB4">
        <w:rPr>
          <w:rFonts w:asciiTheme="minorHAnsi" w:hAnsiTheme="minorHAnsi"/>
        </w:rPr>
        <w:t>6. KONTROLA JAKOŚCI ROBÓT</w:t>
      </w:r>
    </w:p>
    <w:p w14:paraId="1731B784" w14:textId="77777777" w:rsidR="00B77350" w:rsidRPr="00A23FB4" w:rsidRDefault="00B77350" w:rsidP="00B77350">
      <w:pPr>
        <w:pStyle w:val="Nagwek4"/>
        <w:tabs>
          <w:tab w:val="left" w:pos="9914"/>
        </w:tabs>
        <w:rPr>
          <w:rFonts w:asciiTheme="minorHAnsi" w:hAnsiTheme="minorHAnsi"/>
        </w:rPr>
      </w:pPr>
      <w:r w:rsidRPr="00A23FB4">
        <w:rPr>
          <w:rFonts w:asciiTheme="minorHAnsi" w:hAnsiTheme="minorHAnsi"/>
        </w:rPr>
        <w:t>6.1. Ogólne zasady kontroli jakości robót</w:t>
      </w:r>
    </w:p>
    <w:p w14:paraId="695A0F3A" w14:textId="01092D07" w:rsidR="00B77350" w:rsidRPr="00A23FB4" w:rsidRDefault="00B77350" w:rsidP="00B77350">
      <w:pPr>
        <w:tabs>
          <w:tab w:val="left" w:pos="9914"/>
        </w:tabs>
        <w:rPr>
          <w:rFonts w:asciiTheme="minorHAnsi" w:hAnsiTheme="minorHAnsi"/>
        </w:rPr>
      </w:pPr>
      <w:r w:rsidRPr="00A23FB4">
        <w:rPr>
          <w:rFonts w:asciiTheme="minorHAnsi" w:hAnsiTheme="minorHAnsi"/>
        </w:rPr>
        <w:t xml:space="preserve">Ogólne zasady kontroli jakości robót podano w </w:t>
      </w:r>
      <w:r w:rsidR="00865C6C">
        <w:rPr>
          <w:rFonts w:asciiTheme="minorHAnsi" w:hAnsiTheme="minorHAnsi"/>
        </w:rPr>
        <w:t>ST</w:t>
      </w:r>
      <w:r w:rsidRPr="00A23FB4">
        <w:rPr>
          <w:rFonts w:asciiTheme="minorHAnsi" w:hAnsiTheme="minorHAnsi"/>
        </w:rPr>
        <w:t>WiORB D-M-00.00.00 „Wymagania ogólne” pkt 6.</w:t>
      </w:r>
    </w:p>
    <w:p w14:paraId="3F0720D4" w14:textId="77777777" w:rsidR="00B77350" w:rsidRPr="00A23FB4" w:rsidRDefault="00B77350" w:rsidP="00B77350">
      <w:pPr>
        <w:pStyle w:val="Nagwek4"/>
        <w:tabs>
          <w:tab w:val="left" w:pos="9914"/>
        </w:tabs>
        <w:rPr>
          <w:rFonts w:asciiTheme="minorHAnsi" w:hAnsiTheme="minorHAnsi"/>
        </w:rPr>
      </w:pPr>
      <w:r w:rsidRPr="00A23FB4">
        <w:rPr>
          <w:rFonts w:asciiTheme="minorHAnsi" w:hAnsiTheme="minorHAnsi"/>
        </w:rPr>
        <w:t>6.2. Badania przed przystąpieniem do robót</w:t>
      </w:r>
    </w:p>
    <w:p w14:paraId="0F83290E" w14:textId="77777777" w:rsidR="00B77350" w:rsidRPr="00A23FB4" w:rsidRDefault="00B77350" w:rsidP="00B77350">
      <w:pPr>
        <w:tabs>
          <w:tab w:val="left" w:pos="9914"/>
        </w:tabs>
        <w:rPr>
          <w:rFonts w:asciiTheme="minorHAnsi" w:hAnsiTheme="minorHAnsi"/>
        </w:rPr>
      </w:pPr>
      <w:r w:rsidRPr="00A23FB4">
        <w:rPr>
          <w:rFonts w:asciiTheme="minorHAnsi" w:hAnsiTheme="minorHAnsi"/>
          <w:b/>
        </w:rPr>
        <w:t xml:space="preserve">6.2.1. </w:t>
      </w:r>
      <w:r w:rsidRPr="00A23FB4">
        <w:rPr>
          <w:rFonts w:asciiTheme="minorHAnsi" w:hAnsiTheme="minorHAnsi"/>
        </w:rPr>
        <w:t>Badania krawężników</w:t>
      </w:r>
    </w:p>
    <w:p w14:paraId="35CAAEDD" w14:textId="77777777" w:rsidR="00B77350" w:rsidRPr="00A23FB4" w:rsidRDefault="00B77350" w:rsidP="00B77350">
      <w:pPr>
        <w:tabs>
          <w:tab w:val="left" w:pos="9914"/>
        </w:tabs>
        <w:rPr>
          <w:rFonts w:asciiTheme="minorHAnsi" w:hAnsiTheme="minorHAnsi"/>
        </w:rPr>
      </w:pPr>
      <w:r w:rsidRPr="00A23FB4">
        <w:rPr>
          <w:rFonts w:asciiTheme="minorHAnsi" w:hAnsiTheme="minorHAnsi"/>
        </w:rPr>
        <w:t>Przed przystąpieniem do robót Wykonawca powinien wykonać badania materiałów przeznaczonych do ustawienia krawężników betonowych i przedstawić wyniki tych badań Inżynierowi/Kierownikowi projektu  do akceptacji.</w:t>
      </w:r>
    </w:p>
    <w:p w14:paraId="3BA337A4" w14:textId="77777777" w:rsidR="00B77350" w:rsidRPr="00A23FB4" w:rsidRDefault="00B77350" w:rsidP="00B77350">
      <w:pPr>
        <w:tabs>
          <w:tab w:val="left" w:pos="9914"/>
        </w:tabs>
        <w:rPr>
          <w:rFonts w:asciiTheme="minorHAnsi" w:hAnsiTheme="minorHAnsi"/>
        </w:rPr>
      </w:pPr>
      <w:r w:rsidRPr="00A23FB4">
        <w:rPr>
          <w:rFonts w:asciiTheme="minorHAnsi" w:hAnsiTheme="minorHAnsi"/>
        </w:rPr>
        <w:t xml:space="preserve">Sprawdzenie kształtu i wymiarów elementów należy przeprowadzić z dokładnością do </w:t>
      </w:r>
      <w:smartTag w:uri="urn:schemas-microsoft-com:office:smarttags" w:element="metricconverter">
        <w:smartTagPr>
          <w:attr w:name="ProductID" w:val="1 mm"/>
        </w:smartTagPr>
        <w:r w:rsidRPr="00A23FB4">
          <w:rPr>
            <w:rFonts w:asciiTheme="minorHAnsi" w:hAnsiTheme="minorHAnsi"/>
          </w:rPr>
          <w:t>1 mm</w:t>
        </w:r>
      </w:smartTag>
      <w:r w:rsidRPr="00A23FB4">
        <w:rPr>
          <w:rFonts w:asciiTheme="minorHAnsi" w:hAnsiTheme="minorHAnsi"/>
        </w:rPr>
        <w:t xml:space="preserve"> przy użyciu suwmiarki oraz przymiaru stalowego lub taśmy zgodnie z wymaganiami tablicy 1 i 2. Sprawdzenie kątów prostych w narożach elementów wykonuje się przez przyłożenie kątownika do badanego naroża i zmierzenia odchyłek z dokładnością do </w:t>
      </w:r>
      <w:smartTag w:uri="urn:schemas-microsoft-com:office:smarttags" w:element="metricconverter">
        <w:smartTagPr>
          <w:attr w:name="ProductID" w:val="1 mm"/>
        </w:smartTagPr>
        <w:r w:rsidRPr="00A23FB4">
          <w:rPr>
            <w:rFonts w:asciiTheme="minorHAnsi" w:hAnsiTheme="minorHAnsi"/>
          </w:rPr>
          <w:t>1 mm</w:t>
        </w:r>
      </w:smartTag>
      <w:r w:rsidRPr="00A23FB4">
        <w:rPr>
          <w:rFonts w:asciiTheme="minorHAnsi" w:hAnsiTheme="minorHAnsi"/>
        </w:rPr>
        <w:t>.</w:t>
      </w:r>
    </w:p>
    <w:p w14:paraId="7F9A62DE" w14:textId="77777777" w:rsidR="00B77350" w:rsidRPr="00A23FB4" w:rsidRDefault="00B77350" w:rsidP="00B77350">
      <w:pPr>
        <w:keepNext/>
        <w:tabs>
          <w:tab w:val="left" w:pos="9914"/>
        </w:tabs>
        <w:rPr>
          <w:rFonts w:asciiTheme="minorHAnsi" w:hAnsiTheme="minorHAnsi"/>
        </w:rPr>
      </w:pPr>
      <w:r w:rsidRPr="00A23FB4">
        <w:rPr>
          <w:rFonts w:asciiTheme="minorHAnsi" w:hAnsiTheme="minorHAnsi"/>
          <w:b/>
        </w:rPr>
        <w:t xml:space="preserve">6.2.2. </w:t>
      </w:r>
      <w:r w:rsidRPr="00A23FB4">
        <w:rPr>
          <w:rFonts w:asciiTheme="minorHAnsi" w:hAnsiTheme="minorHAnsi"/>
        </w:rPr>
        <w:t>Badania pozostałych materiałów</w:t>
      </w:r>
    </w:p>
    <w:p w14:paraId="60CFEC1D" w14:textId="77777777" w:rsidR="00B77350" w:rsidRPr="00A23FB4" w:rsidRDefault="00B77350" w:rsidP="00B77350">
      <w:pPr>
        <w:tabs>
          <w:tab w:val="left" w:pos="9914"/>
        </w:tabs>
        <w:rPr>
          <w:rFonts w:asciiTheme="minorHAnsi" w:hAnsiTheme="minorHAnsi"/>
        </w:rPr>
      </w:pPr>
      <w:r w:rsidRPr="00A23FB4">
        <w:rPr>
          <w:rFonts w:asciiTheme="minorHAnsi" w:hAnsiTheme="minorHAnsi"/>
        </w:rPr>
        <w:t>Badania pozostałych materiałów stosowanych przy ustawianiu krawężników betonowych powinny obejmować wszystkie właściwości, określone w normach podanych dla odpowiednich materiałów w pkt 2.</w:t>
      </w:r>
    </w:p>
    <w:p w14:paraId="23A1EBFB" w14:textId="77777777" w:rsidR="00B77350" w:rsidRPr="00A23FB4" w:rsidRDefault="00B77350" w:rsidP="00B77350">
      <w:pPr>
        <w:tabs>
          <w:tab w:val="left" w:pos="9914"/>
        </w:tabs>
        <w:rPr>
          <w:rFonts w:asciiTheme="minorHAnsi" w:hAnsiTheme="minorHAnsi"/>
          <w:b/>
        </w:rPr>
      </w:pPr>
      <w:r w:rsidRPr="00A23FB4">
        <w:rPr>
          <w:rFonts w:asciiTheme="minorHAnsi" w:hAnsiTheme="minorHAnsi"/>
          <w:b/>
        </w:rPr>
        <w:t>6.3. Badania w czasie robót</w:t>
      </w:r>
    </w:p>
    <w:p w14:paraId="15E6AEB0" w14:textId="77777777" w:rsidR="00B77350" w:rsidRPr="00A23FB4" w:rsidRDefault="00B77350" w:rsidP="00B77350">
      <w:pPr>
        <w:tabs>
          <w:tab w:val="left" w:pos="9914"/>
        </w:tabs>
        <w:rPr>
          <w:rFonts w:asciiTheme="minorHAnsi" w:hAnsiTheme="minorHAnsi"/>
        </w:rPr>
      </w:pPr>
      <w:r w:rsidRPr="00A23FB4">
        <w:rPr>
          <w:rFonts w:asciiTheme="minorHAnsi" w:hAnsiTheme="minorHAnsi"/>
          <w:b/>
        </w:rPr>
        <w:t xml:space="preserve">6.3.1. </w:t>
      </w:r>
      <w:r w:rsidRPr="00A23FB4">
        <w:rPr>
          <w:rFonts w:asciiTheme="minorHAnsi" w:hAnsiTheme="minorHAnsi"/>
        </w:rPr>
        <w:t>Sprawdzenie koryta pod ławę</w:t>
      </w:r>
    </w:p>
    <w:p w14:paraId="4DC859BF" w14:textId="77777777" w:rsidR="00B77350" w:rsidRPr="00A23FB4" w:rsidRDefault="00B77350" w:rsidP="00B77350">
      <w:pPr>
        <w:tabs>
          <w:tab w:val="left" w:pos="9914"/>
        </w:tabs>
        <w:rPr>
          <w:rFonts w:asciiTheme="minorHAnsi" w:hAnsiTheme="minorHAnsi"/>
        </w:rPr>
      </w:pPr>
      <w:r w:rsidRPr="00A23FB4">
        <w:rPr>
          <w:rFonts w:asciiTheme="minorHAnsi" w:hAnsiTheme="minorHAnsi"/>
        </w:rPr>
        <w:t>Należy sprawdzać wymiary koryta oraz zagęszczenie podłoża na dnie wykopu.</w:t>
      </w:r>
    </w:p>
    <w:p w14:paraId="1A27DCFD" w14:textId="77777777" w:rsidR="00B77350" w:rsidRPr="00A23FB4" w:rsidRDefault="00B77350" w:rsidP="00B77350">
      <w:pPr>
        <w:tabs>
          <w:tab w:val="left" w:pos="9914"/>
        </w:tabs>
        <w:rPr>
          <w:rFonts w:asciiTheme="minorHAnsi" w:hAnsiTheme="minorHAnsi"/>
        </w:rPr>
      </w:pPr>
      <w:r w:rsidRPr="00A23FB4">
        <w:rPr>
          <w:rFonts w:asciiTheme="minorHAnsi" w:hAnsiTheme="minorHAnsi"/>
        </w:rPr>
        <w:t xml:space="preserve">Tolerancja dla szerokości wykopu wynosi </w:t>
      </w:r>
      <w:r w:rsidRPr="00A23FB4">
        <w:rPr>
          <w:rFonts w:asciiTheme="minorHAnsi" w:hAnsiTheme="minorHAnsi"/>
        </w:rPr>
        <w:sym w:font="Symbol" w:char="F0B1"/>
      </w:r>
      <w:smartTag w:uri="urn:schemas-microsoft-com:office:smarttags" w:element="metricconverter">
        <w:smartTagPr>
          <w:attr w:name="ProductID" w:val="2 cm"/>
        </w:smartTagPr>
        <w:r w:rsidRPr="00A23FB4">
          <w:rPr>
            <w:rFonts w:asciiTheme="minorHAnsi" w:hAnsiTheme="minorHAnsi"/>
          </w:rPr>
          <w:t>2 cm</w:t>
        </w:r>
      </w:smartTag>
      <w:r w:rsidRPr="00A23FB4">
        <w:rPr>
          <w:rFonts w:asciiTheme="minorHAnsi" w:hAnsiTheme="minorHAnsi"/>
        </w:rPr>
        <w:t>. Zagęszczenie podłoża powinno być zgodne z pkt 5.2.</w:t>
      </w:r>
    </w:p>
    <w:p w14:paraId="06559F45" w14:textId="77777777" w:rsidR="00B77350" w:rsidRPr="00A23FB4" w:rsidRDefault="00B77350" w:rsidP="00B77350">
      <w:pPr>
        <w:tabs>
          <w:tab w:val="left" w:pos="9914"/>
        </w:tabs>
        <w:rPr>
          <w:rFonts w:asciiTheme="minorHAnsi" w:hAnsiTheme="minorHAnsi"/>
        </w:rPr>
      </w:pPr>
      <w:r w:rsidRPr="00A23FB4">
        <w:rPr>
          <w:rFonts w:asciiTheme="minorHAnsi" w:hAnsiTheme="minorHAnsi"/>
          <w:b/>
        </w:rPr>
        <w:t xml:space="preserve">6.3.2. </w:t>
      </w:r>
      <w:r w:rsidRPr="00A23FB4">
        <w:rPr>
          <w:rFonts w:asciiTheme="minorHAnsi" w:hAnsiTheme="minorHAnsi"/>
        </w:rPr>
        <w:t>Sprawdzenie ław</w:t>
      </w:r>
    </w:p>
    <w:p w14:paraId="1DCBC6E0" w14:textId="77777777" w:rsidR="00B77350" w:rsidRPr="00A23FB4" w:rsidRDefault="00B77350" w:rsidP="00B77350">
      <w:pPr>
        <w:tabs>
          <w:tab w:val="left" w:pos="9914"/>
        </w:tabs>
        <w:rPr>
          <w:rFonts w:asciiTheme="minorHAnsi" w:hAnsiTheme="minorHAnsi"/>
        </w:rPr>
      </w:pPr>
      <w:r w:rsidRPr="00A23FB4">
        <w:rPr>
          <w:rFonts w:asciiTheme="minorHAnsi" w:hAnsiTheme="minorHAnsi"/>
        </w:rPr>
        <w:t>Przy wykonywaniu ław badaniu podlegają:</w:t>
      </w:r>
    </w:p>
    <w:p w14:paraId="2D994AAE" w14:textId="77777777" w:rsidR="00B77350" w:rsidRPr="00A23FB4" w:rsidRDefault="00B77350" w:rsidP="00262498">
      <w:pPr>
        <w:numPr>
          <w:ilvl w:val="0"/>
          <w:numId w:val="213"/>
        </w:numPr>
        <w:tabs>
          <w:tab w:val="left" w:pos="9914"/>
        </w:tabs>
        <w:ind w:left="0" w:firstLine="0"/>
        <w:rPr>
          <w:rFonts w:asciiTheme="minorHAnsi" w:hAnsiTheme="minorHAnsi"/>
        </w:rPr>
      </w:pPr>
      <w:r w:rsidRPr="00A23FB4">
        <w:rPr>
          <w:rFonts w:asciiTheme="minorHAnsi" w:hAnsiTheme="minorHAnsi"/>
        </w:rPr>
        <w:t>Zgodność profilu podłużnego górnej powierzchni ław z dokumentacją projektową.</w:t>
      </w:r>
    </w:p>
    <w:p w14:paraId="6CD2BDBD" w14:textId="77777777" w:rsidR="00B77350" w:rsidRPr="00A23FB4" w:rsidRDefault="00B77350" w:rsidP="00B77350">
      <w:pPr>
        <w:tabs>
          <w:tab w:val="left" w:pos="9914"/>
        </w:tabs>
        <w:rPr>
          <w:rFonts w:asciiTheme="minorHAnsi" w:hAnsiTheme="minorHAnsi"/>
        </w:rPr>
      </w:pPr>
      <w:r w:rsidRPr="00A23FB4">
        <w:rPr>
          <w:rFonts w:asciiTheme="minorHAnsi" w:hAnsiTheme="minorHAnsi"/>
        </w:rPr>
        <w:t xml:space="preserve">Profil podłużny górnej powierzchni ławy powinien być zgodny z projektowaną niweletą. Dopuszczalne odchylenia mogą wynosić </w:t>
      </w:r>
      <w:r w:rsidRPr="00A23FB4">
        <w:rPr>
          <w:rFonts w:asciiTheme="minorHAnsi" w:hAnsiTheme="minorHAnsi"/>
        </w:rPr>
        <w:sym w:font="Symbol" w:char="F0B1"/>
      </w:r>
      <w:smartTag w:uri="urn:schemas-microsoft-com:office:smarttags" w:element="metricconverter">
        <w:smartTagPr>
          <w:attr w:name="ProductID" w:val="1 cm"/>
        </w:smartTagPr>
        <w:r w:rsidRPr="00A23FB4">
          <w:rPr>
            <w:rFonts w:asciiTheme="minorHAnsi" w:hAnsiTheme="minorHAnsi"/>
          </w:rPr>
          <w:t>1 cm</w:t>
        </w:r>
      </w:smartTag>
      <w:r w:rsidRPr="00A23FB4">
        <w:rPr>
          <w:rFonts w:asciiTheme="minorHAnsi" w:hAnsiTheme="minorHAnsi"/>
        </w:rPr>
        <w:t xml:space="preserve"> na każde </w:t>
      </w:r>
      <w:smartTag w:uri="urn:schemas-microsoft-com:office:smarttags" w:element="metricconverter">
        <w:smartTagPr>
          <w:attr w:name="ProductID" w:val="100 m"/>
        </w:smartTagPr>
        <w:r w:rsidRPr="00A23FB4">
          <w:rPr>
            <w:rFonts w:asciiTheme="minorHAnsi" w:hAnsiTheme="minorHAnsi"/>
          </w:rPr>
          <w:t>100 m</w:t>
        </w:r>
      </w:smartTag>
      <w:r w:rsidRPr="00A23FB4">
        <w:rPr>
          <w:rFonts w:asciiTheme="minorHAnsi" w:hAnsiTheme="minorHAnsi"/>
        </w:rPr>
        <w:t xml:space="preserve"> ławy.</w:t>
      </w:r>
    </w:p>
    <w:p w14:paraId="6BC5F544" w14:textId="77777777" w:rsidR="00B77350" w:rsidRPr="00A23FB4" w:rsidRDefault="00B77350" w:rsidP="00262498">
      <w:pPr>
        <w:numPr>
          <w:ilvl w:val="0"/>
          <w:numId w:val="213"/>
        </w:numPr>
        <w:tabs>
          <w:tab w:val="left" w:pos="9914"/>
        </w:tabs>
        <w:ind w:left="0" w:firstLine="0"/>
        <w:rPr>
          <w:rFonts w:asciiTheme="minorHAnsi" w:hAnsiTheme="minorHAnsi"/>
        </w:rPr>
      </w:pPr>
      <w:r w:rsidRPr="00A23FB4">
        <w:rPr>
          <w:rFonts w:asciiTheme="minorHAnsi" w:hAnsiTheme="minorHAnsi"/>
        </w:rPr>
        <w:t xml:space="preserve">Wymiary ław. Wymiary ław należy sprawdzić w dwóch dowolnie wybranych punktach na każde </w:t>
      </w:r>
      <w:smartTag w:uri="urn:schemas-microsoft-com:office:smarttags" w:element="metricconverter">
        <w:smartTagPr>
          <w:attr w:name="ProductID" w:val="100 m"/>
        </w:smartTagPr>
        <w:r w:rsidRPr="00A23FB4">
          <w:rPr>
            <w:rFonts w:asciiTheme="minorHAnsi" w:hAnsiTheme="minorHAnsi"/>
          </w:rPr>
          <w:t>100 m</w:t>
        </w:r>
      </w:smartTag>
      <w:r w:rsidRPr="00A23FB4">
        <w:rPr>
          <w:rFonts w:asciiTheme="minorHAnsi" w:hAnsiTheme="minorHAnsi"/>
        </w:rPr>
        <w:t xml:space="preserve"> ławy. Tolerancje wymiarów wynoszą:-</w:t>
      </w:r>
    </w:p>
    <w:p w14:paraId="245F2A6A" w14:textId="77777777" w:rsidR="00B77350" w:rsidRPr="00A23FB4" w:rsidRDefault="00B77350" w:rsidP="00B77350">
      <w:pPr>
        <w:tabs>
          <w:tab w:val="left" w:pos="9914"/>
        </w:tabs>
        <w:rPr>
          <w:rFonts w:asciiTheme="minorHAnsi" w:hAnsiTheme="minorHAnsi"/>
        </w:rPr>
      </w:pPr>
      <w:r w:rsidRPr="00A23FB4">
        <w:rPr>
          <w:rFonts w:asciiTheme="minorHAnsi" w:hAnsiTheme="minorHAnsi"/>
        </w:rPr>
        <w:t xml:space="preserve"> dla wysokości  </w:t>
      </w:r>
      <w:r w:rsidRPr="00A23FB4">
        <w:rPr>
          <w:rFonts w:asciiTheme="minorHAnsi" w:hAnsiTheme="minorHAnsi"/>
        </w:rPr>
        <w:sym w:font="Symbol" w:char="F0B1"/>
      </w:r>
      <w:r w:rsidRPr="00A23FB4">
        <w:rPr>
          <w:rFonts w:asciiTheme="minorHAnsi" w:hAnsiTheme="minorHAnsi"/>
        </w:rPr>
        <w:t xml:space="preserve"> 10% wysokości projektowanej,</w:t>
      </w:r>
    </w:p>
    <w:p w14:paraId="71EAEFF5" w14:textId="77777777" w:rsidR="00B77350" w:rsidRPr="00A23FB4" w:rsidRDefault="00B77350" w:rsidP="00B77350">
      <w:pPr>
        <w:tabs>
          <w:tab w:val="left" w:pos="9914"/>
        </w:tabs>
        <w:rPr>
          <w:rFonts w:asciiTheme="minorHAnsi" w:hAnsiTheme="minorHAnsi"/>
        </w:rPr>
      </w:pPr>
      <w:r w:rsidRPr="00A23FB4">
        <w:rPr>
          <w:rFonts w:asciiTheme="minorHAnsi" w:hAnsiTheme="minorHAnsi"/>
        </w:rPr>
        <w:t xml:space="preserve">- dla szerokości  </w:t>
      </w:r>
      <w:r w:rsidRPr="00A23FB4">
        <w:rPr>
          <w:rFonts w:asciiTheme="minorHAnsi" w:hAnsiTheme="minorHAnsi"/>
        </w:rPr>
        <w:sym w:font="Symbol" w:char="F0B1"/>
      </w:r>
      <w:r w:rsidRPr="00A23FB4">
        <w:rPr>
          <w:rFonts w:asciiTheme="minorHAnsi" w:hAnsiTheme="minorHAnsi"/>
        </w:rPr>
        <w:t xml:space="preserve"> 10% szerokości projektowanej.</w:t>
      </w:r>
    </w:p>
    <w:p w14:paraId="5D0486D5" w14:textId="77777777" w:rsidR="00B77350" w:rsidRPr="00A23FB4" w:rsidRDefault="00B77350" w:rsidP="00262498">
      <w:pPr>
        <w:numPr>
          <w:ilvl w:val="0"/>
          <w:numId w:val="213"/>
        </w:numPr>
        <w:tabs>
          <w:tab w:val="left" w:pos="9914"/>
        </w:tabs>
        <w:ind w:left="0" w:firstLine="0"/>
        <w:rPr>
          <w:rFonts w:asciiTheme="minorHAnsi" w:hAnsiTheme="minorHAnsi"/>
        </w:rPr>
      </w:pPr>
      <w:r w:rsidRPr="00A23FB4">
        <w:rPr>
          <w:rFonts w:asciiTheme="minorHAnsi" w:hAnsiTheme="minorHAnsi"/>
        </w:rPr>
        <w:t xml:space="preserve">Równość górnej powierzchni ław. Równość górnej powierzchni ławy sprawdza się przez przyłożenie w dwóch punktach, na każde </w:t>
      </w:r>
      <w:smartTag w:uri="urn:schemas-microsoft-com:office:smarttags" w:element="metricconverter">
        <w:smartTagPr>
          <w:attr w:name="ProductID" w:val="100 m"/>
        </w:smartTagPr>
        <w:r w:rsidRPr="00A23FB4">
          <w:rPr>
            <w:rFonts w:asciiTheme="minorHAnsi" w:hAnsiTheme="minorHAnsi"/>
          </w:rPr>
          <w:t>100 m</w:t>
        </w:r>
      </w:smartTag>
      <w:r w:rsidRPr="00A23FB4">
        <w:rPr>
          <w:rFonts w:asciiTheme="minorHAnsi" w:hAnsiTheme="minorHAnsi"/>
        </w:rPr>
        <w:t xml:space="preserve"> ławy, trzymetrowej łaty. Prześwit pomiędzy górną powierzchnią ławy i przyłożoną łatą nie może przekraczać </w:t>
      </w:r>
      <w:smartTag w:uri="urn:schemas-microsoft-com:office:smarttags" w:element="metricconverter">
        <w:smartTagPr>
          <w:attr w:name="ProductID" w:val="1 cm"/>
        </w:smartTagPr>
        <w:r w:rsidRPr="00A23FB4">
          <w:rPr>
            <w:rFonts w:asciiTheme="minorHAnsi" w:hAnsiTheme="minorHAnsi"/>
          </w:rPr>
          <w:t>1 cm</w:t>
        </w:r>
      </w:smartTag>
      <w:r w:rsidRPr="00A23FB4">
        <w:rPr>
          <w:rFonts w:asciiTheme="minorHAnsi" w:hAnsiTheme="minorHAnsi"/>
        </w:rPr>
        <w:t>.</w:t>
      </w:r>
    </w:p>
    <w:p w14:paraId="11B58AE6" w14:textId="77777777" w:rsidR="00B77350" w:rsidRPr="00A23FB4" w:rsidRDefault="00B77350" w:rsidP="00262498">
      <w:pPr>
        <w:numPr>
          <w:ilvl w:val="0"/>
          <w:numId w:val="213"/>
        </w:numPr>
        <w:tabs>
          <w:tab w:val="left" w:pos="9914"/>
        </w:tabs>
        <w:ind w:left="0" w:firstLine="0"/>
        <w:rPr>
          <w:rFonts w:asciiTheme="minorHAnsi" w:hAnsiTheme="minorHAnsi"/>
        </w:rPr>
      </w:pPr>
      <w:r w:rsidRPr="00A23FB4">
        <w:rPr>
          <w:rFonts w:asciiTheme="minorHAnsi" w:hAnsiTheme="minorHAnsi"/>
        </w:rPr>
        <w:t xml:space="preserve">Odchylenie linii ław od projektowanego kierunku. Dopuszczalne odchylenie linii ław od projektowanego kierunku nie może przekraczać </w:t>
      </w:r>
      <w:r w:rsidRPr="00A23FB4">
        <w:rPr>
          <w:rFonts w:asciiTheme="minorHAnsi" w:hAnsiTheme="minorHAnsi"/>
        </w:rPr>
        <w:sym w:font="Symbol" w:char="F0B1"/>
      </w:r>
      <w:smartTag w:uri="urn:schemas-microsoft-com:office:smarttags" w:element="metricconverter">
        <w:smartTagPr>
          <w:attr w:name="ProductID" w:val="2 cm"/>
        </w:smartTagPr>
        <w:r w:rsidRPr="00A23FB4">
          <w:rPr>
            <w:rFonts w:asciiTheme="minorHAnsi" w:hAnsiTheme="minorHAnsi"/>
          </w:rPr>
          <w:t>2 cm</w:t>
        </w:r>
      </w:smartTag>
      <w:r w:rsidRPr="00A23FB4">
        <w:rPr>
          <w:rFonts w:asciiTheme="minorHAnsi" w:hAnsiTheme="minorHAnsi"/>
        </w:rPr>
        <w:t xml:space="preserve"> na każde </w:t>
      </w:r>
      <w:smartTag w:uri="urn:schemas-microsoft-com:office:smarttags" w:element="metricconverter">
        <w:smartTagPr>
          <w:attr w:name="ProductID" w:val="100 m"/>
        </w:smartTagPr>
        <w:r w:rsidRPr="00A23FB4">
          <w:rPr>
            <w:rFonts w:asciiTheme="minorHAnsi" w:hAnsiTheme="minorHAnsi"/>
          </w:rPr>
          <w:t>100 m</w:t>
        </w:r>
      </w:smartTag>
      <w:r w:rsidRPr="00A23FB4">
        <w:rPr>
          <w:rFonts w:asciiTheme="minorHAnsi" w:hAnsiTheme="minorHAnsi"/>
        </w:rPr>
        <w:t xml:space="preserve"> wykonanej ławy.</w:t>
      </w:r>
    </w:p>
    <w:p w14:paraId="7C9E5425" w14:textId="77777777" w:rsidR="00B77350" w:rsidRPr="00A23FB4" w:rsidRDefault="00B77350" w:rsidP="00B77350">
      <w:pPr>
        <w:tabs>
          <w:tab w:val="left" w:pos="9914"/>
        </w:tabs>
        <w:rPr>
          <w:rFonts w:asciiTheme="minorHAnsi" w:hAnsiTheme="minorHAnsi"/>
        </w:rPr>
      </w:pPr>
      <w:r w:rsidRPr="00A23FB4">
        <w:rPr>
          <w:rFonts w:asciiTheme="minorHAnsi" w:hAnsiTheme="minorHAnsi"/>
          <w:b/>
        </w:rPr>
        <w:t xml:space="preserve">6.3.3. </w:t>
      </w:r>
      <w:r w:rsidRPr="00A23FB4">
        <w:rPr>
          <w:rFonts w:asciiTheme="minorHAnsi" w:hAnsiTheme="minorHAnsi"/>
        </w:rPr>
        <w:t>Sprawdzenie ustawienia krawężników</w:t>
      </w:r>
    </w:p>
    <w:p w14:paraId="610F114A" w14:textId="77777777" w:rsidR="00B77350" w:rsidRPr="00A23FB4" w:rsidRDefault="00B77350" w:rsidP="00B77350">
      <w:pPr>
        <w:tabs>
          <w:tab w:val="left" w:pos="9914"/>
        </w:tabs>
        <w:rPr>
          <w:rFonts w:asciiTheme="minorHAnsi" w:hAnsiTheme="minorHAnsi"/>
        </w:rPr>
      </w:pPr>
      <w:r w:rsidRPr="00A23FB4">
        <w:rPr>
          <w:rFonts w:asciiTheme="minorHAnsi" w:hAnsiTheme="minorHAnsi"/>
        </w:rPr>
        <w:t>Przy ustawianiu krawężników należy sprawdzać:</w:t>
      </w:r>
    </w:p>
    <w:p w14:paraId="1A173BD8" w14:textId="77777777" w:rsidR="00B77350" w:rsidRPr="00A23FB4" w:rsidRDefault="00B77350" w:rsidP="00262498">
      <w:pPr>
        <w:numPr>
          <w:ilvl w:val="0"/>
          <w:numId w:val="212"/>
        </w:numPr>
        <w:tabs>
          <w:tab w:val="left" w:pos="9914"/>
        </w:tabs>
        <w:ind w:left="0" w:firstLine="0"/>
        <w:rPr>
          <w:rFonts w:asciiTheme="minorHAnsi" w:hAnsiTheme="minorHAnsi"/>
        </w:rPr>
      </w:pPr>
      <w:r w:rsidRPr="00A23FB4">
        <w:rPr>
          <w:rFonts w:asciiTheme="minorHAnsi" w:hAnsiTheme="minorHAnsi"/>
        </w:rPr>
        <w:t xml:space="preserve">dopuszczalne odchylenia linii krawężników w poziomie od linii projektowanej, które wynosi </w:t>
      </w:r>
      <w:r w:rsidRPr="00A23FB4">
        <w:rPr>
          <w:rFonts w:asciiTheme="minorHAnsi" w:hAnsiTheme="minorHAnsi"/>
        </w:rPr>
        <w:sym w:font="Symbol" w:char="F0B1"/>
      </w:r>
      <w:smartTag w:uri="urn:schemas-microsoft-com:office:smarttags" w:element="metricconverter">
        <w:smartTagPr>
          <w:attr w:name="ProductID" w:val="1 cm"/>
        </w:smartTagPr>
        <w:r w:rsidRPr="00A23FB4">
          <w:rPr>
            <w:rFonts w:asciiTheme="minorHAnsi" w:hAnsiTheme="minorHAnsi"/>
          </w:rPr>
          <w:t>1 cm</w:t>
        </w:r>
      </w:smartTag>
      <w:r w:rsidRPr="00A23FB4">
        <w:rPr>
          <w:rFonts w:asciiTheme="minorHAnsi" w:hAnsiTheme="minorHAnsi"/>
        </w:rPr>
        <w:t xml:space="preserve"> na każde </w:t>
      </w:r>
      <w:smartTag w:uri="urn:schemas-microsoft-com:office:smarttags" w:element="metricconverter">
        <w:smartTagPr>
          <w:attr w:name="ProductID" w:val="100 m"/>
        </w:smartTagPr>
        <w:r w:rsidRPr="00A23FB4">
          <w:rPr>
            <w:rFonts w:asciiTheme="minorHAnsi" w:hAnsiTheme="minorHAnsi"/>
          </w:rPr>
          <w:t>100 m</w:t>
        </w:r>
      </w:smartTag>
      <w:r w:rsidRPr="00A23FB4">
        <w:rPr>
          <w:rFonts w:asciiTheme="minorHAnsi" w:hAnsiTheme="minorHAnsi"/>
        </w:rPr>
        <w:t xml:space="preserve"> ustawionego krawężnika,</w:t>
      </w:r>
    </w:p>
    <w:p w14:paraId="085F9FE5" w14:textId="77777777" w:rsidR="00B77350" w:rsidRPr="00A23FB4" w:rsidRDefault="00B77350" w:rsidP="00262498">
      <w:pPr>
        <w:numPr>
          <w:ilvl w:val="0"/>
          <w:numId w:val="212"/>
        </w:numPr>
        <w:tabs>
          <w:tab w:val="left" w:pos="9914"/>
        </w:tabs>
        <w:ind w:left="0" w:firstLine="0"/>
        <w:rPr>
          <w:rFonts w:asciiTheme="minorHAnsi" w:hAnsiTheme="minorHAnsi"/>
        </w:rPr>
      </w:pPr>
      <w:r w:rsidRPr="00A23FB4">
        <w:rPr>
          <w:rFonts w:asciiTheme="minorHAnsi" w:hAnsiTheme="minorHAnsi"/>
        </w:rPr>
        <w:t xml:space="preserve">dopuszczalne odchylenie niwelety górnej płaszczyzny krawężnika od niwelety projektowanej, które wynosi </w:t>
      </w:r>
      <w:r w:rsidRPr="00A23FB4">
        <w:rPr>
          <w:rFonts w:asciiTheme="minorHAnsi" w:hAnsiTheme="minorHAnsi"/>
        </w:rPr>
        <w:sym w:font="Symbol" w:char="F0B1"/>
      </w:r>
      <w:smartTag w:uri="urn:schemas-microsoft-com:office:smarttags" w:element="metricconverter">
        <w:smartTagPr>
          <w:attr w:name="ProductID" w:val="1 cm"/>
        </w:smartTagPr>
        <w:r w:rsidRPr="00A23FB4">
          <w:rPr>
            <w:rFonts w:asciiTheme="minorHAnsi" w:hAnsiTheme="minorHAnsi"/>
          </w:rPr>
          <w:t>1 cm</w:t>
        </w:r>
      </w:smartTag>
      <w:r w:rsidRPr="00A23FB4">
        <w:rPr>
          <w:rFonts w:asciiTheme="minorHAnsi" w:hAnsiTheme="minorHAnsi"/>
        </w:rPr>
        <w:t xml:space="preserve"> na każde </w:t>
      </w:r>
      <w:smartTag w:uri="urn:schemas-microsoft-com:office:smarttags" w:element="metricconverter">
        <w:smartTagPr>
          <w:attr w:name="ProductID" w:val="100 m"/>
        </w:smartTagPr>
        <w:r w:rsidRPr="00A23FB4">
          <w:rPr>
            <w:rFonts w:asciiTheme="minorHAnsi" w:hAnsiTheme="minorHAnsi"/>
          </w:rPr>
          <w:t>100 m</w:t>
        </w:r>
      </w:smartTag>
      <w:r w:rsidRPr="00A23FB4">
        <w:rPr>
          <w:rFonts w:asciiTheme="minorHAnsi" w:hAnsiTheme="minorHAnsi"/>
        </w:rPr>
        <w:t xml:space="preserve"> ustawionego krawężnika,</w:t>
      </w:r>
    </w:p>
    <w:p w14:paraId="5785C02C" w14:textId="77777777" w:rsidR="00B77350" w:rsidRPr="00A23FB4" w:rsidRDefault="00B77350" w:rsidP="00262498">
      <w:pPr>
        <w:numPr>
          <w:ilvl w:val="0"/>
          <w:numId w:val="212"/>
        </w:numPr>
        <w:tabs>
          <w:tab w:val="left" w:pos="9914"/>
        </w:tabs>
        <w:ind w:left="0" w:firstLine="0"/>
        <w:rPr>
          <w:rFonts w:asciiTheme="minorHAnsi" w:hAnsiTheme="minorHAnsi"/>
        </w:rPr>
      </w:pPr>
      <w:r w:rsidRPr="00A23FB4">
        <w:rPr>
          <w:rFonts w:asciiTheme="minorHAnsi" w:hAnsiTheme="minorHAnsi"/>
        </w:rPr>
        <w:t xml:space="preserve">równość górnej powierzchni krawężników, sprawdzane przez przyłożenie w dwóch punktach na każde </w:t>
      </w:r>
      <w:smartTag w:uri="urn:schemas-microsoft-com:office:smarttags" w:element="metricconverter">
        <w:smartTagPr>
          <w:attr w:name="ProductID" w:val="100 m"/>
        </w:smartTagPr>
        <w:r w:rsidRPr="00A23FB4">
          <w:rPr>
            <w:rFonts w:asciiTheme="minorHAnsi" w:hAnsiTheme="minorHAnsi"/>
          </w:rPr>
          <w:t>100 m</w:t>
        </w:r>
      </w:smartTag>
      <w:r w:rsidRPr="00A23FB4">
        <w:rPr>
          <w:rFonts w:asciiTheme="minorHAnsi" w:hAnsiTheme="minorHAnsi"/>
        </w:rPr>
        <w:t xml:space="preserve"> krawężnika, trzymetrowej łaty, przy czym prześwit pomiędzy górną powierzchnią krawężnika i przyłożoną łatą nie może przekraczać </w:t>
      </w:r>
      <w:smartTag w:uri="urn:schemas-microsoft-com:office:smarttags" w:element="metricconverter">
        <w:smartTagPr>
          <w:attr w:name="ProductID" w:val="1 cm"/>
        </w:smartTagPr>
        <w:r w:rsidRPr="00A23FB4">
          <w:rPr>
            <w:rFonts w:asciiTheme="minorHAnsi" w:hAnsiTheme="minorHAnsi"/>
          </w:rPr>
          <w:t>1 cm</w:t>
        </w:r>
      </w:smartTag>
      <w:r w:rsidRPr="00A23FB4">
        <w:rPr>
          <w:rFonts w:asciiTheme="minorHAnsi" w:hAnsiTheme="minorHAnsi"/>
        </w:rPr>
        <w:t>,</w:t>
      </w:r>
    </w:p>
    <w:p w14:paraId="412A49BA" w14:textId="77777777" w:rsidR="00B77350" w:rsidRPr="00A23FB4" w:rsidRDefault="00B77350" w:rsidP="00262498">
      <w:pPr>
        <w:numPr>
          <w:ilvl w:val="0"/>
          <w:numId w:val="212"/>
        </w:numPr>
        <w:tabs>
          <w:tab w:val="left" w:pos="9914"/>
        </w:tabs>
        <w:ind w:left="0" w:firstLine="0"/>
        <w:rPr>
          <w:rFonts w:asciiTheme="minorHAnsi" w:hAnsiTheme="minorHAnsi"/>
        </w:rPr>
      </w:pPr>
      <w:r w:rsidRPr="00A23FB4">
        <w:rPr>
          <w:rFonts w:asciiTheme="minorHAnsi" w:hAnsiTheme="minorHAnsi"/>
        </w:rPr>
        <w:t xml:space="preserve">dokładność wypełnienia spoin bada się co </w:t>
      </w:r>
      <w:smartTag w:uri="urn:schemas-microsoft-com:office:smarttags" w:element="metricconverter">
        <w:smartTagPr>
          <w:attr w:name="ProductID" w:val="10 metr￳w"/>
        </w:smartTagPr>
        <w:r w:rsidRPr="00A23FB4">
          <w:rPr>
            <w:rFonts w:asciiTheme="minorHAnsi" w:hAnsiTheme="minorHAnsi"/>
          </w:rPr>
          <w:t>10 metrów</w:t>
        </w:r>
      </w:smartTag>
      <w:r w:rsidRPr="00A23FB4">
        <w:rPr>
          <w:rFonts w:asciiTheme="minorHAnsi" w:hAnsiTheme="minorHAnsi"/>
        </w:rPr>
        <w:t>. Spoiny muszą być wypełnione całkowicie na pełną głębokość.</w:t>
      </w:r>
    </w:p>
    <w:p w14:paraId="0E5B3413" w14:textId="77777777" w:rsidR="00B77350" w:rsidRPr="00A23FB4" w:rsidRDefault="00B77350" w:rsidP="00B77350">
      <w:pPr>
        <w:pStyle w:val="Nagwek3"/>
        <w:tabs>
          <w:tab w:val="left" w:pos="9914"/>
        </w:tabs>
        <w:rPr>
          <w:rFonts w:asciiTheme="minorHAnsi" w:hAnsiTheme="minorHAnsi"/>
        </w:rPr>
      </w:pPr>
      <w:r w:rsidRPr="00A23FB4">
        <w:rPr>
          <w:rFonts w:asciiTheme="minorHAnsi" w:hAnsiTheme="minorHAnsi"/>
        </w:rPr>
        <w:t>7. OBMIAR ROBÓT</w:t>
      </w:r>
    </w:p>
    <w:p w14:paraId="017DE76E" w14:textId="77777777" w:rsidR="00B0480C" w:rsidRDefault="00B0480C" w:rsidP="00B77350">
      <w:pPr>
        <w:tabs>
          <w:tab w:val="left" w:pos="9914"/>
        </w:tabs>
        <w:rPr>
          <w:rFonts w:asciiTheme="minorHAnsi" w:hAnsiTheme="minorHAnsi"/>
        </w:rPr>
      </w:pPr>
    </w:p>
    <w:p w14:paraId="531ECF09" w14:textId="5FF97EAF" w:rsidR="00B0480C" w:rsidRDefault="00B0480C" w:rsidP="00B77350">
      <w:pPr>
        <w:tabs>
          <w:tab w:val="left" w:pos="9914"/>
        </w:tabs>
        <w:rPr>
          <w:rFonts w:asciiTheme="minorHAnsi" w:hAnsiTheme="minorHAnsi"/>
        </w:rPr>
      </w:pPr>
      <w:r>
        <w:rPr>
          <w:rFonts w:asciiTheme="minorHAnsi" w:hAnsiTheme="minorHAnsi"/>
        </w:rPr>
        <w:t>Kontrakt ryczałtowy</w:t>
      </w:r>
    </w:p>
    <w:p w14:paraId="23EDFD68" w14:textId="67661ACB" w:rsidR="00B77350" w:rsidRPr="00A23FB4" w:rsidRDefault="00B77350" w:rsidP="00B77350">
      <w:pPr>
        <w:tabs>
          <w:tab w:val="left" w:pos="9914"/>
        </w:tabs>
        <w:rPr>
          <w:rFonts w:asciiTheme="minorHAnsi" w:hAnsiTheme="minorHAnsi"/>
        </w:rPr>
      </w:pPr>
      <w:r w:rsidRPr="00A23FB4">
        <w:rPr>
          <w:rFonts w:asciiTheme="minorHAnsi" w:hAnsiTheme="minorHAnsi"/>
        </w:rPr>
        <w:t xml:space="preserve">Ogólne zasady obmiaru robót podano w </w:t>
      </w:r>
      <w:r w:rsidR="00865C6C">
        <w:rPr>
          <w:rFonts w:asciiTheme="minorHAnsi" w:hAnsiTheme="minorHAnsi"/>
        </w:rPr>
        <w:t>ST</w:t>
      </w:r>
      <w:r w:rsidRPr="00A23FB4">
        <w:rPr>
          <w:rFonts w:asciiTheme="minorHAnsi" w:hAnsiTheme="minorHAnsi"/>
        </w:rPr>
        <w:t>WiORB D-M-00.00.00 „Wymagania ogólne” pkt 7.</w:t>
      </w:r>
    </w:p>
    <w:p w14:paraId="36E7C733" w14:textId="77777777" w:rsidR="00B77350" w:rsidRPr="00A23FB4" w:rsidRDefault="00B77350" w:rsidP="00B77350">
      <w:pPr>
        <w:pStyle w:val="Nagwek3"/>
        <w:tabs>
          <w:tab w:val="left" w:pos="9914"/>
        </w:tabs>
        <w:rPr>
          <w:rFonts w:asciiTheme="minorHAnsi" w:hAnsiTheme="minorHAnsi"/>
        </w:rPr>
      </w:pPr>
      <w:r w:rsidRPr="00A23FB4">
        <w:rPr>
          <w:rFonts w:asciiTheme="minorHAnsi" w:hAnsiTheme="minorHAnsi"/>
        </w:rPr>
        <w:t>8. ODBIÓR ROBÓT</w:t>
      </w:r>
    </w:p>
    <w:p w14:paraId="74D1BB0D" w14:textId="77777777" w:rsidR="00B77350" w:rsidRPr="00A23FB4" w:rsidRDefault="00B77350" w:rsidP="00B77350">
      <w:pPr>
        <w:pStyle w:val="Nagwek4"/>
        <w:tabs>
          <w:tab w:val="left" w:pos="9914"/>
        </w:tabs>
        <w:rPr>
          <w:rFonts w:asciiTheme="minorHAnsi" w:hAnsiTheme="minorHAnsi"/>
        </w:rPr>
      </w:pPr>
      <w:r w:rsidRPr="00A23FB4">
        <w:rPr>
          <w:rFonts w:asciiTheme="minorHAnsi" w:hAnsiTheme="minorHAnsi"/>
        </w:rPr>
        <w:t>8.1. Ogólne zasady odbioru robót</w:t>
      </w:r>
    </w:p>
    <w:p w14:paraId="2D01E586" w14:textId="02446BAC" w:rsidR="00B77350" w:rsidRPr="00A23FB4" w:rsidRDefault="00B77350" w:rsidP="00B77350">
      <w:pPr>
        <w:tabs>
          <w:tab w:val="left" w:pos="9914"/>
        </w:tabs>
        <w:rPr>
          <w:rFonts w:asciiTheme="minorHAnsi" w:hAnsiTheme="minorHAnsi"/>
        </w:rPr>
      </w:pPr>
      <w:r w:rsidRPr="00A23FB4">
        <w:rPr>
          <w:rFonts w:asciiTheme="minorHAnsi" w:hAnsiTheme="minorHAnsi"/>
        </w:rPr>
        <w:t xml:space="preserve">Ogólne zasady odbioru robót podano w </w:t>
      </w:r>
      <w:r w:rsidR="00865C6C">
        <w:rPr>
          <w:rFonts w:asciiTheme="minorHAnsi" w:hAnsiTheme="minorHAnsi"/>
        </w:rPr>
        <w:t>ST</w:t>
      </w:r>
      <w:r w:rsidRPr="00A23FB4">
        <w:rPr>
          <w:rFonts w:asciiTheme="minorHAnsi" w:hAnsiTheme="minorHAnsi"/>
        </w:rPr>
        <w:t>WiORB D-M-00.00.00 „Wymagania ogólne” pkt 8.</w:t>
      </w:r>
    </w:p>
    <w:p w14:paraId="3CCF0CA3" w14:textId="64A97DFF" w:rsidR="00B77350" w:rsidRPr="00A23FB4" w:rsidRDefault="00B77350" w:rsidP="00B77350">
      <w:pPr>
        <w:tabs>
          <w:tab w:val="left" w:pos="9914"/>
        </w:tabs>
        <w:rPr>
          <w:rFonts w:asciiTheme="minorHAnsi" w:hAnsiTheme="minorHAnsi"/>
        </w:rPr>
      </w:pPr>
      <w:r w:rsidRPr="00A23FB4">
        <w:rPr>
          <w:rFonts w:asciiTheme="minorHAnsi" w:hAnsiTheme="minorHAnsi"/>
        </w:rPr>
        <w:t xml:space="preserve">Roboty uznaje się za wykonane zgodnie z dokumentacją projektową, </w:t>
      </w:r>
      <w:r w:rsidR="00865C6C">
        <w:rPr>
          <w:rFonts w:asciiTheme="minorHAnsi" w:hAnsiTheme="minorHAnsi"/>
        </w:rPr>
        <w:t>ST</w:t>
      </w:r>
      <w:r w:rsidRPr="00A23FB4">
        <w:rPr>
          <w:rFonts w:asciiTheme="minorHAnsi" w:hAnsiTheme="minorHAnsi"/>
        </w:rPr>
        <w:t>WiORB i wymaganiami Inżyniera/Kierownika projektu, jeżeli wszystkie pomiary i badania z zachowaniem tolerancji wg pkt 6 dały wyniki pozytywne.</w:t>
      </w:r>
    </w:p>
    <w:p w14:paraId="6E24A393" w14:textId="77777777" w:rsidR="00B77350" w:rsidRPr="00A23FB4" w:rsidRDefault="00B77350" w:rsidP="00B77350">
      <w:pPr>
        <w:pStyle w:val="Nagwek4"/>
        <w:tabs>
          <w:tab w:val="left" w:pos="9914"/>
        </w:tabs>
        <w:rPr>
          <w:rFonts w:asciiTheme="minorHAnsi" w:hAnsiTheme="minorHAnsi"/>
        </w:rPr>
      </w:pPr>
      <w:r w:rsidRPr="00A23FB4">
        <w:rPr>
          <w:rFonts w:asciiTheme="minorHAnsi" w:hAnsiTheme="minorHAnsi"/>
        </w:rPr>
        <w:t>8.2. Odbiór robót zanikających i ulegających zakryciu</w:t>
      </w:r>
    </w:p>
    <w:p w14:paraId="0EA440DB" w14:textId="77777777" w:rsidR="00B77350" w:rsidRPr="00A23FB4" w:rsidRDefault="00B77350" w:rsidP="00B77350">
      <w:pPr>
        <w:tabs>
          <w:tab w:val="left" w:pos="9914"/>
        </w:tabs>
        <w:rPr>
          <w:rFonts w:asciiTheme="minorHAnsi" w:hAnsiTheme="minorHAnsi"/>
        </w:rPr>
      </w:pPr>
      <w:r w:rsidRPr="00A23FB4">
        <w:rPr>
          <w:rFonts w:asciiTheme="minorHAnsi" w:hAnsiTheme="minorHAnsi"/>
        </w:rPr>
        <w:t>Odbiorowi robót zanikających i ulegających zakryciu podlegają:</w:t>
      </w:r>
    </w:p>
    <w:p w14:paraId="4E58CE2D" w14:textId="77777777" w:rsidR="00B77350" w:rsidRPr="00A23FB4" w:rsidRDefault="00B77350" w:rsidP="00262498">
      <w:pPr>
        <w:numPr>
          <w:ilvl w:val="0"/>
          <w:numId w:val="186"/>
        </w:numPr>
        <w:tabs>
          <w:tab w:val="left" w:pos="9914"/>
        </w:tabs>
        <w:ind w:left="0" w:firstLine="0"/>
        <w:rPr>
          <w:rFonts w:asciiTheme="minorHAnsi" w:hAnsiTheme="minorHAnsi"/>
        </w:rPr>
      </w:pPr>
      <w:r w:rsidRPr="00A23FB4">
        <w:rPr>
          <w:rFonts w:asciiTheme="minorHAnsi" w:hAnsiTheme="minorHAnsi"/>
        </w:rPr>
        <w:t>wykonanie koryta pod ławę,</w:t>
      </w:r>
    </w:p>
    <w:p w14:paraId="3FEA6C2A" w14:textId="77777777" w:rsidR="00B77350" w:rsidRPr="00A23FB4" w:rsidRDefault="00B77350" w:rsidP="00262498">
      <w:pPr>
        <w:numPr>
          <w:ilvl w:val="0"/>
          <w:numId w:val="186"/>
        </w:numPr>
        <w:tabs>
          <w:tab w:val="left" w:pos="9914"/>
        </w:tabs>
        <w:ind w:left="0" w:firstLine="0"/>
        <w:rPr>
          <w:rFonts w:asciiTheme="minorHAnsi" w:hAnsiTheme="minorHAnsi"/>
        </w:rPr>
      </w:pPr>
      <w:r w:rsidRPr="00A23FB4">
        <w:rPr>
          <w:rFonts w:asciiTheme="minorHAnsi" w:hAnsiTheme="minorHAnsi"/>
        </w:rPr>
        <w:t>wykonanie ławy,</w:t>
      </w:r>
    </w:p>
    <w:p w14:paraId="1F445C9A" w14:textId="77777777" w:rsidR="00B77350" w:rsidRPr="00A23FB4" w:rsidRDefault="00B77350" w:rsidP="00262498">
      <w:pPr>
        <w:numPr>
          <w:ilvl w:val="0"/>
          <w:numId w:val="186"/>
        </w:numPr>
        <w:tabs>
          <w:tab w:val="left" w:pos="9914"/>
        </w:tabs>
        <w:ind w:left="0" w:firstLine="0"/>
        <w:rPr>
          <w:rFonts w:asciiTheme="minorHAnsi" w:hAnsiTheme="minorHAnsi"/>
        </w:rPr>
      </w:pPr>
      <w:r w:rsidRPr="00A23FB4">
        <w:rPr>
          <w:rFonts w:asciiTheme="minorHAnsi" w:hAnsiTheme="minorHAnsi"/>
        </w:rPr>
        <w:t>wykonanie podsypki.</w:t>
      </w:r>
    </w:p>
    <w:p w14:paraId="1CA15584" w14:textId="77777777" w:rsidR="00B77350" w:rsidRPr="00A23FB4" w:rsidRDefault="00B77350" w:rsidP="00B77350">
      <w:pPr>
        <w:pStyle w:val="Nagwek3"/>
        <w:tabs>
          <w:tab w:val="left" w:pos="9914"/>
        </w:tabs>
        <w:rPr>
          <w:rFonts w:asciiTheme="minorHAnsi" w:hAnsiTheme="minorHAnsi"/>
        </w:rPr>
      </w:pPr>
      <w:r w:rsidRPr="00A23FB4">
        <w:rPr>
          <w:rFonts w:asciiTheme="minorHAnsi" w:hAnsiTheme="minorHAnsi"/>
        </w:rPr>
        <w:t>9. PODSTAWA PŁATNOŚCI</w:t>
      </w:r>
    </w:p>
    <w:p w14:paraId="291A56B0" w14:textId="77777777" w:rsidR="00B0480C" w:rsidRDefault="00B0480C" w:rsidP="00B77350">
      <w:pPr>
        <w:numPr>
          <w:ilvl w:val="12"/>
          <w:numId w:val="0"/>
        </w:numPr>
        <w:tabs>
          <w:tab w:val="left" w:pos="9914"/>
        </w:tabs>
        <w:rPr>
          <w:rFonts w:asciiTheme="minorHAnsi" w:hAnsiTheme="minorHAnsi"/>
        </w:rPr>
      </w:pPr>
    </w:p>
    <w:p w14:paraId="18A7E5BA" w14:textId="7C24C158" w:rsidR="00B0480C" w:rsidRDefault="00B0480C" w:rsidP="00B77350">
      <w:pPr>
        <w:numPr>
          <w:ilvl w:val="12"/>
          <w:numId w:val="0"/>
        </w:numPr>
        <w:tabs>
          <w:tab w:val="left" w:pos="9914"/>
        </w:tabs>
        <w:rPr>
          <w:rFonts w:asciiTheme="minorHAnsi" w:hAnsiTheme="minorHAnsi"/>
        </w:rPr>
      </w:pPr>
      <w:r>
        <w:rPr>
          <w:rFonts w:asciiTheme="minorHAnsi" w:hAnsiTheme="minorHAnsi"/>
        </w:rPr>
        <w:t>Kontrakt ryczałtowy</w:t>
      </w:r>
    </w:p>
    <w:p w14:paraId="4C16DCEC" w14:textId="4D3C2D6F" w:rsidR="00B77350" w:rsidRPr="00A23FB4" w:rsidRDefault="00B77350" w:rsidP="00B77350">
      <w:pPr>
        <w:numPr>
          <w:ilvl w:val="12"/>
          <w:numId w:val="0"/>
        </w:numPr>
        <w:tabs>
          <w:tab w:val="left" w:pos="9914"/>
        </w:tabs>
        <w:rPr>
          <w:rFonts w:asciiTheme="minorHAnsi" w:hAnsiTheme="minorHAnsi"/>
        </w:rPr>
      </w:pPr>
      <w:r w:rsidRPr="00A23FB4">
        <w:rPr>
          <w:rFonts w:asciiTheme="minorHAnsi" w:hAnsiTheme="minorHAnsi"/>
        </w:rPr>
        <w:t xml:space="preserve">Ogólne ustalenia dotyczące podstawy płatności podano w </w:t>
      </w:r>
      <w:r w:rsidR="00865C6C">
        <w:rPr>
          <w:rFonts w:asciiTheme="minorHAnsi" w:hAnsiTheme="minorHAnsi"/>
        </w:rPr>
        <w:t>ST</w:t>
      </w:r>
      <w:r w:rsidRPr="00A23FB4">
        <w:rPr>
          <w:rFonts w:asciiTheme="minorHAnsi" w:hAnsiTheme="minorHAnsi"/>
        </w:rPr>
        <w:t>WiORB D-M-00.00.00 „Wymagania ogólne” pkt 9.</w:t>
      </w:r>
    </w:p>
    <w:p w14:paraId="1ED081D2" w14:textId="77777777" w:rsidR="00B77350" w:rsidRPr="00A23FB4" w:rsidRDefault="00B77350" w:rsidP="00B77350">
      <w:pPr>
        <w:pStyle w:val="Nagwek3"/>
        <w:tabs>
          <w:tab w:val="left" w:pos="9914"/>
        </w:tabs>
        <w:rPr>
          <w:rFonts w:asciiTheme="minorHAnsi" w:hAnsiTheme="minorHAnsi"/>
        </w:rPr>
      </w:pPr>
      <w:r w:rsidRPr="00A23FB4">
        <w:rPr>
          <w:rFonts w:asciiTheme="minorHAnsi" w:hAnsiTheme="minorHAnsi"/>
        </w:rPr>
        <w:t>10. PRZEPISY ZWIĄZANE</w:t>
      </w:r>
    </w:p>
    <w:p w14:paraId="4011113B" w14:textId="77777777" w:rsidR="00B77350" w:rsidRPr="00A23FB4" w:rsidRDefault="00B77350" w:rsidP="00B77350">
      <w:pPr>
        <w:pStyle w:val="Nagwek4"/>
        <w:tabs>
          <w:tab w:val="left" w:pos="9914"/>
        </w:tabs>
        <w:rPr>
          <w:rFonts w:asciiTheme="minorHAnsi" w:hAnsiTheme="minorHAnsi"/>
        </w:rPr>
      </w:pPr>
      <w:r w:rsidRPr="00A23FB4">
        <w:rPr>
          <w:rFonts w:asciiTheme="minorHAnsi" w:hAnsiTheme="minorHAnsi"/>
        </w:rPr>
        <w:t>10.1. Normy</w:t>
      </w:r>
    </w:p>
    <w:tbl>
      <w:tblPr>
        <w:tblW w:w="9993" w:type="dxa"/>
        <w:tblLayout w:type="fixed"/>
        <w:tblCellMar>
          <w:left w:w="70" w:type="dxa"/>
          <w:right w:w="70" w:type="dxa"/>
        </w:tblCellMar>
        <w:tblLook w:val="0000" w:firstRow="0" w:lastRow="0" w:firstColumn="0" w:lastColumn="0" w:noHBand="0" w:noVBand="0"/>
      </w:tblPr>
      <w:tblGrid>
        <w:gridCol w:w="637"/>
        <w:gridCol w:w="2552"/>
        <w:gridCol w:w="6804"/>
      </w:tblGrid>
      <w:tr w:rsidR="00B77350" w:rsidRPr="00A23FB4" w14:paraId="1042636A" w14:textId="77777777" w:rsidTr="00B77350">
        <w:tc>
          <w:tcPr>
            <w:tcW w:w="637" w:type="dxa"/>
          </w:tcPr>
          <w:p w14:paraId="69CEEA42" w14:textId="77777777" w:rsidR="00B77350" w:rsidRPr="00B93A39" w:rsidRDefault="00B77350" w:rsidP="00B77350">
            <w:pPr>
              <w:tabs>
                <w:tab w:val="left" w:pos="9914"/>
              </w:tabs>
              <w:rPr>
                <w:rFonts w:asciiTheme="minorHAnsi" w:hAnsiTheme="minorHAnsi"/>
                <w:sz w:val="18"/>
                <w:szCs w:val="18"/>
              </w:rPr>
            </w:pPr>
            <w:r w:rsidRPr="00B93A39">
              <w:rPr>
                <w:rFonts w:asciiTheme="minorHAnsi" w:hAnsiTheme="minorHAnsi"/>
                <w:sz w:val="18"/>
                <w:szCs w:val="18"/>
              </w:rPr>
              <w:t xml:space="preserve">  1.</w:t>
            </w:r>
          </w:p>
        </w:tc>
        <w:tc>
          <w:tcPr>
            <w:tcW w:w="2552" w:type="dxa"/>
          </w:tcPr>
          <w:p w14:paraId="41FDE069" w14:textId="77777777" w:rsidR="00B77350" w:rsidRPr="00B93A39" w:rsidRDefault="00B77350" w:rsidP="00B77350">
            <w:pPr>
              <w:tabs>
                <w:tab w:val="left" w:pos="9914"/>
              </w:tabs>
              <w:rPr>
                <w:rFonts w:asciiTheme="minorHAnsi" w:hAnsiTheme="minorHAnsi"/>
                <w:sz w:val="18"/>
                <w:szCs w:val="18"/>
              </w:rPr>
            </w:pPr>
            <w:r w:rsidRPr="00B93A39">
              <w:rPr>
                <w:rFonts w:asciiTheme="minorHAnsi" w:hAnsiTheme="minorHAnsi"/>
                <w:sz w:val="18"/>
                <w:szCs w:val="18"/>
              </w:rPr>
              <w:t>PN-B-06050:1968</w:t>
            </w:r>
          </w:p>
        </w:tc>
        <w:tc>
          <w:tcPr>
            <w:tcW w:w="6804" w:type="dxa"/>
          </w:tcPr>
          <w:p w14:paraId="4396EE57" w14:textId="77777777" w:rsidR="00B77350" w:rsidRPr="00B93A39" w:rsidRDefault="00B77350" w:rsidP="00B77350">
            <w:pPr>
              <w:tabs>
                <w:tab w:val="left" w:pos="9914"/>
              </w:tabs>
              <w:rPr>
                <w:rFonts w:asciiTheme="minorHAnsi" w:hAnsiTheme="minorHAnsi"/>
                <w:sz w:val="18"/>
                <w:szCs w:val="18"/>
              </w:rPr>
            </w:pPr>
            <w:r w:rsidRPr="00B93A39">
              <w:rPr>
                <w:rFonts w:asciiTheme="minorHAnsi" w:hAnsiTheme="minorHAnsi"/>
                <w:sz w:val="18"/>
                <w:szCs w:val="18"/>
              </w:rPr>
              <w:t>Roboty ziemne budowlane</w:t>
            </w:r>
          </w:p>
        </w:tc>
      </w:tr>
      <w:tr w:rsidR="00B77350" w:rsidRPr="00A23FB4" w14:paraId="214C16D9" w14:textId="77777777" w:rsidTr="00B77350">
        <w:tc>
          <w:tcPr>
            <w:tcW w:w="637" w:type="dxa"/>
          </w:tcPr>
          <w:p w14:paraId="5DEC8AE2" w14:textId="77777777" w:rsidR="00B77350" w:rsidRPr="00B93A39" w:rsidRDefault="00B77350" w:rsidP="00B77350">
            <w:pPr>
              <w:tabs>
                <w:tab w:val="left" w:pos="9914"/>
              </w:tabs>
              <w:rPr>
                <w:rFonts w:asciiTheme="minorHAnsi" w:hAnsiTheme="minorHAnsi"/>
                <w:sz w:val="18"/>
                <w:szCs w:val="18"/>
              </w:rPr>
            </w:pPr>
            <w:r w:rsidRPr="00B93A39">
              <w:rPr>
                <w:rFonts w:asciiTheme="minorHAnsi" w:hAnsiTheme="minorHAnsi"/>
                <w:sz w:val="18"/>
                <w:szCs w:val="18"/>
              </w:rPr>
              <w:t xml:space="preserve">  2.</w:t>
            </w:r>
          </w:p>
        </w:tc>
        <w:tc>
          <w:tcPr>
            <w:tcW w:w="2552" w:type="dxa"/>
          </w:tcPr>
          <w:p w14:paraId="5698F4D7" w14:textId="77777777" w:rsidR="00B77350" w:rsidRPr="00B93A39" w:rsidRDefault="00B77350" w:rsidP="00B77350">
            <w:pPr>
              <w:tabs>
                <w:tab w:val="left" w:pos="9914"/>
              </w:tabs>
              <w:rPr>
                <w:rFonts w:asciiTheme="minorHAnsi" w:hAnsiTheme="minorHAnsi"/>
                <w:sz w:val="18"/>
                <w:szCs w:val="18"/>
              </w:rPr>
            </w:pPr>
            <w:r w:rsidRPr="00B93A39">
              <w:rPr>
                <w:rFonts w:asciiTheme="minorHAnsi" w:hAnsiTheme="minorHAnsi"/>
                <w:sz w:val="18"/>
                <w:szCs w:val="18"/>
              </w:rPr>
              <w:t>PN-B-06250:1988</w:t>
            </w:r>
          </w:p>
        </w:tc>
        <w:tc>
          <w:tcPr>
            <w:tcW w:w="6804" w:type="dxa"/>
          </w:tcPr>
          <w:p w14:paraId="44F5B5CB" w14:textId="77777777" w:rsidR="00B77350" w:rsidRPr="00B93A39" w:rsidRDefault="00B77350" w:rsidP="00B77350">
            <w:pPr>
              <w:tabs>
                <w:tab w:val="left" w:pos="9914"/>
              </w:tabs>
              <w:rPr>
                <w:rFonts w:asciiTheme="minorHAnsi" w:hAnsiTheme="minorHAnsi"/>
                <w:sz w:val="18"/>
                <w:szCs w:val="18"/>
              </w:rPr>
            </w:pPr>
            <w:r w:rsidRPr="00B93A39">
              <w:rPr>
                <w:rFonts w:asciiTheme="minorHAnsi" w:hAnsiTheme="minorHAnsi"/>
                <w:sz w:val="18"/>
                <w:szCs w:val="18"/>
              </w:rPr>
              <w:t>Beton zwykły</w:t>
            </w:r>
          </w:p>
        </w:tc>
      </w:tr>
      <w:tr w:rsidR="00B77350" w:rsidRPr="00A23FB4" w14:paraId="3228580C" w14:textId="77777777" w:rsidTr="00B77350">
        <w:tc>
          <w:tcPr>
            <w:tcW w:w="637" w:type="dxa"/>
          </w:tcPr>
          <w:p w14:paraId="7F153E19" w14:textId="77777777" w:rsidR="00B77350" w:rsidRPr="00B93A39" w:rsidRDefault="00B77350" w:rsidP="00B77350">
            <w:pPr>
              <w:tabs>
                <w:tab w:val="left" w:pos="9914"/>
              </w:tabs>
              <w:rPr>
                <w:rFonts w:asciiTheme="minorHAnsi" w:hAnsiTheme="minorHAnsi"/>
                <w:sz w:val="18"/>
                <w:szCs w:val="18"/>
              </w:rPr>
            </w:pPr>
            <w:r w:rsidRPr="00B93A39">
              <w:rPr>
                <w:rFonts w:asciiTheme="minorHAnsi" w:hAnsiTheme="minorHAnsi"/>
                <w:sz w:val="18"/>
                <w:szCs w:val="18"/>
              </w:rPr>
              <w:t xml:space="preserve">  3.</w:t>
            </w:r>
          </w:p>
        </w:tc>
        <w:tc>
          <w:tcPr>
            <w:tcW w:w="2552" w:type="dxa"/>
          </w:tcPr>
          <w:p w14:paraId="6CFC38EB" w14:textId="77777777" w:rsidR="00B77350" w:rsidRPr="00B93A39" w:rsidRDefault="00B77350" w:rsidP="00B77350">
            <w:pPr>
              <w:tabs>
                <w:tab w:val="left" w:pos="9914"/>
              </w:tabs>
              <w:rPr>
                <w:rFonts w:asciiTheme="minorHAnsi" w:hAnsiTheme="minorHAnsi"/>
                <w:sz w:val="18"/>
                <w:szCs w:val="18"/>
              </w:rPr>
            </w:pPr>
            <w:r w:rsidRPr="00B93A39">
              <w:rPr>
                <w:rFonts w:asciiTheme="minorHAnsi" w:hAnsiTheme="minorHAnsi"/>
                <w:sz w:val="18"/>
                <w:szCs w:val="18"/>
              </w:rPr>
              <w:t>PN-B-06251:1963</w:t>
            </w:r>
          </w:p>
        </w:tc>
        <w:tc>
          <w:tcPr>
            <w:tcW w:w="6804" w:type="dxa"/>
          </w:tcPr>
          <w:p w14:paraId="232088AF" w14:textId="77777777" w:rsidR="00B77350" w:rsidRPr="00B93A39" w:rsidRDefault="00B77350" w:rsidP="00B77350">
            <w:pPr>
              <w:tabs>
                <w:tab w:val="left" w:pos="9914"/>
              </w:tabs>
              <w:rPr>
                <w:rFonts w:asciiTheme="minorHAnsi" w:hAnsiTheme="minorHAnsi"/>
                <w:sz w:val="18"/>
                <w:szCs w:val="18"/>
              </w:rPr>
            </w:pPr>
            <w:r w:rsidRPr="00B93A39">
              <w:rPr>
                <w:rFonts w:asciiTheme="minorHAnsi" w:hAnsiTheme="minorHAnsi"/>
                <w:sz w:val="18"/>
                <w:szCs w:val="18"/>
              </w:rPr>
              <w:t>Roboty betonowe i żelbetowe</w:t>
            </w:r>
          </w:p>
        </w:tc>
      </w:tr>
      <w:tr w:rsidR="00B77350" w:rsidRPr="00A23FB4" w14:paraId="36BBA012" w14:textId="77777777" w:rsidTr="00B77350">
        <w:tc>
          <w:tcPr>
            <w:tcW w:w="637" w:type="dxa"/>
          </w:tcPr>
          <w:p w14:paraId="50C6A039" w14:textId="77777777" w:rsidR="00B77350" w:rsidRPr="00B93A39" w:rsidRDefault="00B77350" w:rsidP="00B77350">
            <w:pPr>
              <w:tabs>
                <w:tab w:val="left" w:pos="9914"/>
              </w:tabs>
              <w:rPr>
                <w:rFonts w:asciiTheme="minorHAnsi" w:hAnsiTheme="minorHAnsi"/>
                <w:sz w:val="18"/>
                <w:szCs w:val="18"/>
              </w:rPr>
            </w:pPr>
            <w:r w:rsidRPr="00B93A39">
              <w:rPr>
                <w:rFonts w:asciiTheme="minorHAnsi" w:hAnsiTheme="minorHAnsi"/>
                <w:sz w:val="18"/>
                <w:szCs w:val="18"/>
              </w:rPr>
              <w:t xml:space="preserve">  4.</w:t>
            </w:r>
          </w:p>
        </w:tc>
        <w:tc>
          <w:tcPr>
            <w:tcW w:w="2552" w:type="dxa"/>
          </w:tcPr>
          <w:p w14:paraId="6EFD78B4" w14:textId="77777777" w:rsidR="00B77350" w:rsidRPr="00B93A39" w:rsidRDefault="00B77350" w:rsidP="00B77350">
            <w:pPr>
              <w:tabs>
                <w:tab w:val="left" w:pos="9914"/>
              </w:tabs>
              <w:rPr>
                <w:rFonts w:asciiTheme="minorHAnsi" w:hAnsiTheme="minorHAnsi"/>
                <w:sz w:val="18"/>
                <w:szCs w:val="18"/>
              </w:rPr>
            </w:pPr>
            <w:r w:rsidRPr="00B93A39">
              <w:rPr>
                <w:rFonts w:asciiTheme="minorHAnsi" w:hAnsiTheme="minorHAnsi"/>
                <w:sz w:val="18"/>
                <w:szCs w:val="18"/>
              </w:rPr>
              <w:t>PN-EN 12620:2004</w:t>
            </w:r>
          </w:p>
        </w:tc>
        <w:tc>
          <w:tcPr>
            <w:tcW w:w="6804" w:type="dxa"/>
          </w:tcPr>
          <w:p w14:paraId="0D0C94F8" w14:textId="77777777" w:rsidR="00B77350" w:rsidRPr="00B93A39" w:rsidRDefault="00B77350" w:rsidP="00B77350">
            <w:pPr>
              <w:tabs>
                <w:tab w:val="left" w:pos="9914"/>
              </w:tabs>
              <w:rPr>
                <w:rFonts w:asciiTheme="minorHAnsi" w:hAnsiTheme="minorHAnsi"/>
                <w:sz w:val="18"/>
                <w:szCs w:val="18"/>
              </w:rPr>
            </w:pPr>
            <w:r w:rsidRPr="00B93A39">
              <w:rPr>
                <w:rFonts w:asciiTheme="minorHAnsi" w:hAnsiTheme="minorHAnsi"/>
                <w:sz w:val="18"/>
                <w:szCs w:val="18"/>
              </w:rPr>
              <w:t>Kruszywa do betonu</w:t>
            </w:r>
          </w:p>
        </w:tc>
      </w:tr>
      <w:tr w:rsidR="00B77350" w:rsidRPr="00A23FB4" w14:paraId="74342183" w14:textId="77777777" w:rsidTr="00B77350">
        <w:tc>
          <w:tcPr>
            <w:tcW w:w="637" w:type="dxa"/>
          </w:tcPr>
          <w:p w14:paraId="56F8B24C" w14:textId="77777777" w:rsidR="00B77350" w:rsidRPr="00B93A39" w:rsidRDefault="00B77350" w:rsidP="00B77350">
            <w:pPr>
              <w:tabs>
                <w:tab w:val="left" w:pos="9914"/>
              </w:tabs>
              <w:rPr>
                <w:rFonts w:asciiTheme="minorHAnsi" w:hAnsiTheme="minorHAnsi"/>
                <w:sz w:val="18"/>
                <w:szCs w:val="18"/>
              </w:rPr>
            </w:pPr>
            <w:r w:rsidRPr="00B93A39">
              <w:rPr>
                <w:rFonts w:asciiTheme="minorHAnsi" w:hAnsiTheme="minorHAnsi"/>
                <w:sz w:val="18"/>
                <w:szCs w:val="18"/>
              </w:rPr>
              <w:t xml:space="preserve">  5.</w:t>
            </w:r>
          </w:p>
        </w:tc>
        <w:tc>
          <w:tcPr>
            <w:tcW w:w="2552" w:type="dxa"/>
          </w:tcPr>
          <w:p w14:paraId="1DDCECB2" w14:textId="77777777" w:rsidR="00B77350" w:rsidRPr="00B93A39" w:rsidRDefault="00B77350" w:rsidP="00B77350">
            <w:pPr>
              <w:tabs>
                <w:tab w:val="left" w:pos="9914"/>
              </w:tabs>
              <w:rPr>
                <w:rFonts w:asciiTheme="minorHAnsi" w:hAnsiTheme="minorHAnsi"/>
                <w:sz w:val="18"/>
                <w:szCs w:val="18"/>
              </w:rPr>
            </w:pPr>
            <w:r w:rsidRPr="00B93A39">
              <w:rPr>
                <w:rFonts w:asciiTheme="minorHAnsi" w:hAnsiTheme="minorHAnsi"/>
                <w:sz w:val="18"/>
                <w:szCs w:val="18"/>
              </w:rPr>
              <w:t>PN-B-10021:1980</w:t>
            </w:r>
          </w:p>
        </w:tc>
        <w:tc>
          <w:tcPr>
            <w:tcW w:w="6804" w:type="dxa"/>
          </w:tcPr>
          <w:p w14:paraId="3F712F66" w14:textId="77777777" w:rsidR="00B77350" w:rsidRPr="00B93A39" w:rsidRDefault="00B77350" w:rsidP="00B77350">
            <w:pPr>
              <w:tabs>
                <w:tab w:val="left" w:pos="9914"/>
              </w:tabs>
              <w:rPr>
                <w:rFonts w:asciiTheme="minorHAnsi" w:hAnsiTheme="minorHAnsi"/>
                <w:sz w:val="18"/>
                <w:szCs w:val="18"/>
              </w:rPr>
            </w:pPr>
            <w:r w:rsidRPr="00B93A39">
              <w:rPr>
                <w:rFonts w:asciiTheme="minorHAnsi" w:hAnsiTheme="minorHAnsi"/>
                <w:sz w:val="18"/>
                <w:szCs w:val="18"/>
              </w:rPr>
              <w:t>Prefabrykaty budowlane z betonu. Metody pomiaru cech geometrycznych</w:t>
            </w:r>
          </w:p>
        </w:tc>
      </w:tr>
      <w:tr w:rsidR="00B77350" w:rsidRPr="00A23FB4" w14:paraId="796B7111" w14:textId="77777777" w:rsidTr="00B77350">
        <w:tc>
          <w:tcPr>
            <w:tcW w:w="637" w:type="dxa"/>
          </w:tcPr>
          <w:p w14:paraId="0EF6870B" w14:textId="77777777" w:rsidR="00B77350" w:rsidRPr="00B93A39" w:rsidRDefault="00B77350" w:rsidP="00B77350">
            <w:pPr>
              <w:tabs>
                <w:tab w:val="left" w:pos="9914"/>
              </w:tabs>
              <w:rPr>
                <w:rFonts w:asciiTheme="minorHAnsi" w:hAnsiTheme="minorHAnsi"/>
                <w:sz w:val="18"/>
                <w:szCs w:val="18"/>
              </w:rPr>
            </w:pPr>
            <w:r w:rsidRPr="00B93A39">
              <w:rPr>
                <w:rFonts w:asciiTheme="minorHAnsi" w:hAnsiTheme="minorHAnsi"/>
                <w:sz w:val="18"/>
                <w:szCs w:val="18"/>
              </w:rPr>
              <w:t xml:space="preserve">  6.</w:t>
            </w:r>
          </w:p>
        </w:tc>
        <w:tc>
          <w:tcPr>
            <w:tcW w:w="2552" w:type="dxa"/>
          </w:tcPr>
          <w:p w14:paraId="22A76C91" w14:textId="77777777" w:rsidR="00B77350" w:rsidRPr="00B93A39" w:rsidRDefault="00B77350" w:rsidP="00B77350">
            <w:pPr>
              <w:tabs>
                <w:tab w:val="left" w:pos="9914"/>
              </w:tabs>
              <w:rPr>
                <w:rFonts w:asciiTheme="minorHAnsi" w:hAnsiTheme="minorHAnsi"/>
                <w:sz w:val="18"/>
                <w:szCs w:val="18"/>
              </w:rPr>
            </w:pPr>
            <w:r w:rsidRPr="00B93A39">
              <w:rPr>
                <w:rFonts w:asciiTheme="minorHAnsi" w:hAnsiTheme="minorHAnsi"/>
                <w:sz w:val="18"/>
                <w:szCs w:val="18"/>
              </w:rPr>
              <w:t>PN-B-11111:1996</w:t>
            </w:r>
          </w:p>
        </w:tc>
        <w:tc>
          <w:tcPr>
            <w:tcW w:w="6804" w:type="dxa"/>
          </w:tcPr>
          <w:p w14:paraId="0BFCB9AA" w14:textId="77777777" w:rsidR="00B77350" w:rsidRPr="00B93A39" w:rsidRDefault="00B77350" w:rsidP="00B77350">
            <w:pPr>
              <w:tabs>
                <w:tab w:val="left" w:pos="9914"/>
              </w:tabs>
              <w:rPr>
                <w:rFonts w:asciiTheme="minorHAnsi" w:hAnsiTheme="minorHAnsi"/>
                <w:sz w:val="18"/>
                <w:szCs w:val="18"/>
              </w:rPr>
            </w:pPr>
            <w:r w:rsidRPr="00B93A39">
              <w:rPr>
                <w:rFonts w:asciiTheme="minorHAnsi" w:hAnsiTheme="minorHAnsi"/>
                <w:sz w:val="18"/>
                <w:szCs w:val="18"/>
              </w:rPr>
              <w:t>Kruszywa mineralne. Kruszywa naturalne do nawierzchni drogowych. Żwir i mieszanka</w:t>
            </w:r>
          </w:p>
        </w:tc>
      </w:tr>
      <w:tr w:rsidR="00B77350" w:rsidRPr="00A23FB4" w14:paraId="1B6C38BF" w14:textId="77777777" w:rsidTr="00B77350">
        <w:tc>
          <w:tcPr>
            <w:tcW w:w="637" w:type="dxa"/>
          </w:tcPr>
          <w:p w14:paraId="29DD8FDD" w14:textId="77777777" w:rsidR="00B77350" w:rsidRPr="00B93A39" w:rsidRDefault="00B77350" w:rsidP="00B77350">
            <w:pPr>
              <w:tabs>
                <w:tab w:val="left" w:pos="9914"/>
              </w:tabs>
              <w:rPr>
                <w:rFonts w:asciiTheme="minorHAnsi" w:hAnsiTheme="minorHAnsi"/>
                <w:sz w:val="18"/>
                <w:szCs w:val="18"/>
              </w:rPr>
            </w:pPr>
            <w:r w:rsidRPr="00B93A39">
              <w:rPr>
                <w:rFonts w:asciiTheme="minorHAnsi" w:hAnsiTheme="minorHAnsi"/>
                <w:sz w:val="18"/>
                <w:szCs w:val="18"/>
              </w:rPr>
              <w:t xml:space="preserve">  7.</w:t>
            </w:r>
          </w:p>
        </w:tc>
        <w:tc>
          <w:tcPr>
            <w:tcW w:w="2552" w:type="dxa"/>
          </w:tcPr>
          <w:p w14:paraId="33E4E056" w14:textId="77777777" w:rsidR="00B77350" w:rsidRPr="00B93A39" w:rsidRDefault="00B77350" w:rsidP="00B77350">
            <w:pPr>
              <w:tabs>
                <w:tab w:val="left" w:pos="9914"/>
              </w:tabs>
              <w:rPr>
                <w:rFonts w:asciiTheme="minorHAnsi" w:hAnsiTheme="minorHAnsi"/>
                <w:sz w:val="18"/>
                <w:szCs w:val="18"/>
              </w:rPr>
            </w:pPr>
            <w:r w:rsidRPr="00B93A39">
              <w:rPr>
                <w:rFonts w:asciiTheme="minorHAnsi" w:hAnsiTheme="minorHAnsi"/>
                <w:sz w:val="18"/>
                <w:szCs w:val="18"/>
              </w:rPr>
              <w:t>PN-B-11112:1996</w:t>
            </w:r>
          </w:p>
        </w:tc>
        <w:tc>
          <w:tcPr>
            <w:tcW w:w="6804" w:type="dxa"/>
          </w:tcPr>
          <w:p w14:paraId="6E7F0EEB" w14:textId="77777777" w:rsidR="00B77350" w:rsidRPr="00B93A39" w:rsidRDefault="00B77350" w:rsidP="00B77350">
            <w:pPr>
              <w:tabs>
                <w:tab w:val="left" w:pos="9914"/>
              </w:tabs>
              <w:rPr>
                <w:rFonts w:asciiTheme="minorHAnsi" w:hAnsiTheme="minorHAnsi"/>
                <w:sz w:val="18"/>
                <w:szCs w:val="18"/>
              </w:rPr>
            </w:pPr>
            <w:r w:rsidRPr="00B93A39">
              <w:rPr>
                <w:rFonts w:asciiTheme="minorHAnsi" w:hAnsiTheme="minorHAnsi"/>
                <w:sz w:val="18"/>
                <w:szCs w:val="18"/>
              </w:rPr>
              <w:t>Kruszywa mineralne. Kruszywo łamane do nawierzchni drogowych</w:t>
            </w:r>
          </w:p>
        </w:tc>
      </w:tr>
      <w:tr w:rsidR="00B77350" w:rsidRPr="00A23FB4" w14:paraId="2B783855" w14:textId="77777777" w:rsidTr="00B77350">
        <w:tc>
          <w:tcPr>
            <w:tcW w:w="637" w:type="dxa"/>
          </w:tcPr>
          <w:p w14:paraId="21C9B61B" w14:textId="77777777" w:rsidR="00B77350" w:rsidRPr="00B93A39" w:rsidRDefault="00B77350" w:rsidP="00B77350">
            <w:pPr>
              <w:tabs>
                <w:tab w:val="left" w:pos="9914"/>
              </w:tabs>
              <w:rPr>
                <w:rFonts w:asciiTheme="minorHAnsi" w:hAnsiTheme="minorHAnsi"/>
                <w:sz w:val="18"/>
                <w:szCs w:val="18"/>
              </w:rPr>
            </w:pPr>
            <w:r w:rsidRPr="00B93A39">
              <w:rPr>
                <w:rFonts w:asciiTheme="minorHAnsi" w:hAnsiTheme="minorHAnsi"/>
                <w:sz w:val="18"/>
                <w:szCs w:val="18"/>
              </w:rPr>
              <w:t xml:space="preserve">  8.</w:t>
            </w:r>
          </w:p>
        </w:tc>
        <w:tc>
          <w:tcPr>
            <w:tcW w:w="2552" w:type="dxa"/>
          </w:tcPr>
          <w:p w14:paraId="525BDE8F" w14:textId="77777777" w:rsidR="00B77350" w:rsidRPr="00B93A39" w:rsidRDefault="00B77350" w:rsidP="00B77350">
            <w:pPr>
              <w:tabs>
                <w:tab w:val="left" w:pos="9914"/>
              </w:tabs>
              <w:rPr>
                <w:rFonts w:asciiTheme="minorHAnsi" w:hAnsiTheme="minorHAnsi"/>
                <w:sz w:val="18"/>
                <w:szCs w:val="18"/>
              </w:rPr>
            </w:pPr>
            <w:r w:rsidRPr="00B93A39">
              <w:rPr>
                <w:rFonts w:asciiTheme="minorHAnsi" w:hAnsiTheme="minorHAnsi"/>
                <w:sz w:val="18"/>
                <w:szCs w:val="18"/>
              </w:rPr>
              <w:t>PN-B-11113:1996</w:t>
            </w:r>
          </w:p>
        </w:tc>
        <w:tc>
          <w:tcPr>
            <w:tcW w:w="6804" w:type="dxa"/>
          </w:tcPr>
          <w:p w14:paraId="2975E8FF" w14:textId="77777777" w:rsidR="00B77350" w:rsidRPr="00B93A39" w:rsidRDefault="00B77350" w:rsidP="00B77350">
            <w:pPr>
              <w:tabs>
                <w:tab w:val="left" w:pos="9914"/>
              </w:tabs>
              <w:rPr>
                <w:rFonts w:asciiTheme="minorHAnsi" w:hAnsiTheme="minorHAnsi"/>
                <w:sz w:val="18"/>
                <w:szCs w:val="18"/>
              </w:rPr>
            </w:pPr>
            <w:r w:rsidRPr="00B93A39">
              <w:rPr>
                <w:rFonts w:asciiTheme="minorHAnsi" w:hAnsiTheme="minorHAnsi"/>
                <w:sz w:val="18"/>
                <w:szCs w:val="18"/>
              </w:rPr>
              <w:t>Kruszywa mineralne. Kruszywa naturalne do nawierzchni drogowych. Piasek</w:t>
            </w:r>
          </w:p>
        </w:tc>
      </w:tr>
      <w:tr w:rsidR="00B77350" w:rsidRPr="00A23FB4" w14:paraId="29E4B700" w14:textId="77777777" w:rsidTr="00B77350">
        <w:tc>
          <w:tcPr>
            <w:tcW w:w="637" w:type="dxa"/>
          </w:tcPr>
          <w:p w14:paraId="3E15E979" w14:textId="77777777" w:rsidR="00B77350" w:rsidRPr="00B93A39" w:rsidRDefault="00B77350" w:rsidP="00B77350">
            <w:pPr>
              <w:tabs>
                <w:tab w:val="left" w:pos="9914"/>
              </w:tabs>
              <w:rPr>
                <w:rFonts w:asciiTheme="minorHAnsi" w:hAnsiTheme="minorHAnsi"/>
                <w:sz w:val="18"/>
                <w:szCs w:val="18"/>
              </w:rPr>
            </w:pPr>
            <w:r w:rsidRPr="00B93A39">
              <w:rPr>
                <w:rFonts w:asciiTheme="minorHAnsi" w:hAnsiTheme="minorHAnsi"/>
                <w:sz w:val="18"/>
                <w:szCs w:val="18"/>
              </w:rPr>
              <w:t xml:space="preserve">  9.</w:t>
            </w:r>
          </w:p>
        </w:tc>
        <w:tc>
          <w:tcPr>
            <w:tcW w:w="2552" w:type="dxa"/>
          </w:tcPr>
          <w:p w14:paraId="69AAA391" w14:textId="77777777" w:rsidR="00B77350" w:rsidRPr="00B93A39" w:rsidRDefault="00B77350" w:rsidP="00B77350">
            <w:pPr>
              <w:tabs>
                <w:tab w:val="left" w:pos="9914"/>
              </w:tabs>
              <w:rPr>
                <w:rFonts w:asciiTheme="minorHAnsi" w:hAnsiTheme="minorHAnsi"/>
                <w:sz w:val="18"/>
                <w:szCs w:val="18"/>
              </w:rPr>
            </w:pPr>
            <w:r w:rsidRPr="00B93A39">
              <w:rPr>
                <w:rFonts w:asciiTheme="minorHAnsi" w:hAnsiTheme="minorHAnsi"/>
                <w:sz w:val="18"/>
                <w:szCs w:val="18"/>
              </w:rPr>
              <w:t>PN-B-197-1:2002</w:t>
            </w:r>
          </w:p>
        </w:tc>
        <w:tc>
          <w:tcPr>
            <w:tcW w:w="6804" w:type="dxa"/>
          </w:tcPr>
          <w:p w14:paraId="5251DEFF" w14:textId="77777777" w:rsidR="00B77350" w:rsidRPr="00B93A39" w:rsidRDefault="00B77350" w:rsidP="00B77350">
            <w:pPr>
              <w:tabs>
                <w:tab w:val="left" w:pos="9914"/>
              </w:tabs>
              <w:rPr>
                <w:rFonts w:asciiTheme="minorHAnsi" w:hAnsiTheme="minorHAnsi"/>
                <w:sz w:val="18"/>
                <w:szCs w:val="18"/>
              </w:rPr>
            </w:pPr>
            <w:r w:rsidRPr="00B93A39">
              <w:rPr>
                <w:rFonts w:asciiTheme="minorHAnsi" w:hAnsiTheme="minorHAnsi"/>
                <w:sz w:val="18"/>
                <w:szCs w:val="18"/>
              </w:rPr>
              <w:t>Cement. Część I. Skład, wymagania i kryteria zgodności cementów powszechnego użytku</w:t>
            </w:r>
          </w:p>
        </w:tc>
      </w:tr>
      <w:tr w:rsidR="00B77350" w:rsidRPr="00A23FB4" w14:paraId="041E41E3" w14:textId="77777777" w:rsidTr="00B77350">
        <w:tc>
          <w:tcPr>
            <w:tcW w:w="637" w:type="dxa"/>
          </w:tcPr>
          <w:p w14:paraId="464D5716" w14:textId="77777777" w:rsidR="00B77350" w:rsidRPr="00B93A39" w:rsidRDefault="00B77350" w:rsidP="00B77350">
            <w:pPr>
              <w:tabs>
                <w:tab w:val="left" w:pos="9914"/>
              </w:tabs>
              <w:rPr>
                <w:rFonts w:asciiTheme="minorHAnsi" w:hAnsiTheme="minorHAnsi"/>
                <w:sz w:val="18"/>
                <w:szCs w:val="18"/>
              </w:rPr>
            </w:pPr>
            <w:r w:rsidRPr="00B93A39">
              <w:rPr>
                <w:rFonts w:asciiTheme="minorHAnsi" w:hAnsiTheme="minorHAnsi"/>
                <w:sz w:val="18"/>
                <w:szCs w:val="18"/>
              </w:rPr>
              <w:t>10.</w:t>
            </w:r>
          </w:p>
        </w:tc>
        <w:tc>
          <w:tcPr>
            <w:tcW w:w="2552" w:type="dxa"/>
          </w:tcPr>
          <w:p w14:paraId="2012C9E6" w14:textId="77777777" w:rsidR="00B77350" w:rsidRPr="00B93A39" w:rsidRDefault="00B77350" w:rsidP="00B77350">
            <w:pPr>
              <w:tabs>
                <w:tab w:val="left" w:pos="9914"/>
              </w:tabs>
              <w:rPr>
                <w:rFonts w:asciiTheme="minorHAnsi" w:hAnsiTheme="minorHAnsi"/>
                <w:sz w:val="18"/>
                <w:szCs w:val="18"/>
              </w:rPr>
            </w:pPr>
            <w:r w:rsidRPr="00B93A39">
              <w:rPr>
                <w:rFonts w:asciiTheme="minorHAnsi" w:hAnsiTheme="minorHAnsi"/>
                <w:sz w:val="18"/>
                <w:szCs w:val="18"/>
              </w:rPr>
              <w:t>PN-EN 1008:2004</w:t>
            </w:r>
          </w:p>
        </w:tc>
        <w:tc>
          <w:tcPr>
            <w:tcW w:w="6804" w:type="dxa"/>
          </w:tcPr>
          <w:p w14:paraId="0BD84D68" w14:textId="77777777" w:rsidR="00B77350" w:rsidRPr="00B93A39" w:rsidRDefault="00B77350" w:rsidP="00B77350">
            <w:pPr>
              <w:tabs>
                <w:tab w:val="left" w:pos="9914"/>
              </w:tabs>
              <w:rPr>
                <w:rFonts w:asciiTheme="minorHAnsi" w:hAnsiTheme="minorHAnsi"/>
                <w:sz w:val="18"/>
                <w:szCs w:val="18"/>
              </w:rPr>
            </w:pPr>
            <w:r w:rsidRPr="00B93A39">
              <w:rPr>
                <w:rFonts w:asciiTheme="minorHAnsi" w:hAnsiTheme="minorHAnsi"/>
                <w:sz w:val="18"/>
                <w:szCs w:val="18"/>
              </w:rPr>
              <w:t>Woda zarobowa do betonu. Specyfikacja pobierania próbek, badanie i ocena przydatności wody zarobowej do betonu, w tym wody odzyskanej z procesów produkcji betonu</w:t>
            </w:r>
          </w:p>
        </w:tc>
      </w:tr>
      <w:tr w:rsidR="00B77350" w:rsidRPr="00A23FB4" w14:paraId="21CCBFD0" w14:textId="77777777" w:rsidTr="00B77350">
        <w:tc>
          <w:tcPr>
            <w:tcW w:w="637" w:type="dxa"/>
          </w:tcPr>
          <w:p w14:paraId="17D2504C" w14:textId="77777777" w:rsidR="00B77350" w:rsidRPr="00B93A39" w:rsidRDefault="00B77350" w:rsidP="00B77350">
            <w:pPr>
              <w:tabs>
                <w:tab w:val="left" w:pos="9914"/>
              </w:tabs>
              <w:rPr>
                <w:rFonts w:asciiTheme="minorHAnsi" w:hAnsiTheme="minorHAnsi"/>
                <w:sz w:val="18"/>
                <w:szCs w:val="18"/>
              </w:rPr>
            </w:pPr>
            <w:r w:rsidRPr="00B93A39">
              <w:rPr>
                <w:rFonts w:asciiTheme="minorHAnsi" w:hAnsiTheme="minorHAnsi"/>
                <w:sz w:val="18"/>
                <w:szCs w:val="18"/>
              </w:rPr>
              <w:t>11</w:t>
            </w:r>
          </w:p>
        </w:tc>
        <w:tc>
          <w:tcPr>
            <w:tcW w:w="2552" w:type="dxa"/>
          </w:tcPr>
          <w:p w14:paraId="7A5F3B3D" w14:textId="77777777" w:rsidR="00B77350" w:rsidRPr="00B93A39" w:rsidRDefault="00B77350" w:rsidP="00B77350">
            <w:pPr>
              <w:tabs>
                <w:tab w:val="left" w:pos="9914"/>
              </w:tabs>
              <w:rPr>
                <w:rFonts w:asciiTheme="minorHAnsi" w:hAnsiTheme="minorHAnsi"/>
                <w:sz w:val="18"/>
                <w:szCs w:val="18"/>
              </w:rPr>
            </w:pPr>
            <w:r w:rsidRPr="00B93A39">
              <w:rPr>
                <w:rFonts w:asciiTheme="minorHAnsi" w:hAnsiTheme="minorHAnsi"/>
                <w:sz w:val="18"/>
                <w:szCs w:val="18"/>
              </w:rPr>
              <w:t>PN-EN 1343:2003</w:t>
            </w:r>
          </w:p>
        </w:tc>
        <w:tc>
          <w:tcPr>
            <w:tcW w:w="6804" w:type="dxa"/>
          </w:tcPr>
          <w:p w14:paraId="327085E0" w14:textId="77777777" w:rsidR="00B77350" w:rsidRPr="00B93A39" w:rsidRDefault="00B77350" w:rsidP="00B77350">
            <w:pPr>
              <w:tabs>
                <w:tab w:val="left" w:pos="9914"/>
              </w:tabs>
              <w:rPr>
                <w:rFonts w:asciiTheme="minorHAnsi" w:hAnsiTheme="minorHAnsi"/>
                <w:sz w:val="18"/>
                <w:szCs w:val="18"/>
              </w:rPr>
            </w:pPr>
            <w:r w:rsidRPr="00B93A39">
              <w:rPr>
                <w:rFonts w:asciiTheme="minorHAnsi" w:hAnsiTheme="minorHAnsi"/>
                <w:sz w:val="18"/>
                <w:szCs w:val="18"/>
              </w:rPr>
              <w:t>Krawężniki kasmienne</w:t>
            </w:r>
          </w:p>
        </w:tc>
      </w:tr>
      <w:tr w:rsidR="00B77350" w:rsidRPr="00A23FB4" w14:paraId="20BC7A50" w14:textId="77777777" w:rsidTr="00B77350">
        <w:tc>
          <w:tcPr>
            <w:tcW w:w="637" w:type="dxa"/>
          </w:tcPr>
          <w:p w14:paraId="46E75572" w14:textId="77777777" w:rsidR="00B77350" w:rsidRPr="00B93A39" w:rsidRDefault="00B77350" w:rsidP="00B77350">
            <w:pPr>
              <w:tabs>
                <w:tab w:val="left" w:pos="9914"/>
              </w:tabs>
              <w:rPr>
                <w:rFonts w:asciiTheme="minorHAnsi" w:hAnsiTheme="minorHAnsi"/>
                <w:sz w:val="18"/>
                <w:szCs w:val="18"/>
              </w:rPr>
            </w:pPr>
            <w:r w:rsidRPr="00B93A39">
              <w:rPr>
                <w:rFonts w:asciiTheme="minorHAnsi" w:hAnsiTheme="minorHAnsi"/>
                <w:sz w:val="18"/>
                <w:szCs w:val="18"/>
              </w:rPr>
              <w:t>12.</w:t>
            </w:r>
          </w:p>
        </w:tc>
        <w:tc>
          <w:tcPr>
            <w:tcW w:w="2552" w:type="dxa"/>
          </w:tcPr>
          <w:p w14:paraId="33C5C9CF" w14:textId="77777777" w:rsidR="00B77350" w:rsidRPr="00B93A39" w:rsidRDefault="00B77350" w:rsidP="00B77350">
            <w:pPr>
              <w:tabs>
                <w:tab w:val="left" w:pos="9914"/>
              </w:tabs>
              <w:rPr>
                <w:rFonts w:asciiTheme="minorHAnsi" w:hAnsiTheme="minorHAnsi"/>
                <w:sz w:val="18"/>
                <w:szCs w:val="18"/>
              </w:rPr>
            </w:pPr>
            <w:r w:rsidRPr="00B93A39">
              <w:rPr>
                <w:rFonts w:asciiTheme="minorHAnsi" w:hAnsiTheme="minorHAnsi"/>
                <w:sz w:val="18"/>
                <w:szCs w:val="18"/>
              </w:rPr>
              <w:t>BN-88/6731-08</w:t>
            </w:r>
          </w:p>
        </w:tc>
        <w:tc>
          <w:tcPr>
            <w:tcW w:w="6804" w:type="dxa"/>
          </w:tcPr>
          <w:p w14:paraId="45DBEA68" w14:textId="77777777" w:rsidR="00B77350" w:rsidRPr="00B93A39" w:rsidRDefault="00B77350" w:rsidP="00B77350">
            <w:pPr>
              <w:tabs>
                <w:tab w:val="left" w:pos="9914"/>
              </w:tabs>
              <w:rPr>
                <w:rFonts w:asciiTheme="minorHAnsi" w:hAnsiTheme="minorHAnsi"/>
                <w:sz w:val="18"/>
                <w:szCs w:val="18"/>
              </w:rPr>
            </w:pPr>
            <w:r w:rsidRPr="00B93A39">
              <w:rPr>
                <w:rFonts w:asciiTheme="minorHAnsi" w:hAnsiTheme="minorHAnsi"/>
                <w:sz w:val="18"/>
                <w:szCs w:val="18"/>
              </w:rPr>
              <w:t>Cement. Transport i przechowywanie</w:t>
            </w:r>
          </w:p>
        </w:tc>
      </w:tr>
      <w:tr w:rsidR="00B77350" w:rsidRPr="00A23FB4" w14:paraId="18288130" w14:textId="77777777" w:rsidTr="00B77350">
        <w:tc>
          <w:tcPr>
            <w:tcW w:w="637" w:type="dxa"/>
          </w:tcPr>
          <w:p w14:paraId="79AD236E" w14:textId="77777777" w:rsidR="00B77350" w:rsidRPr="00B93A39" w:rsidRDefault="00B77350" w:rsidP="00B77350">
            <w:pPr>
              <w:tabs>
                <w:tab w:val="left" w:pos="9914"/>
              </w:tabs>
              <w:rPr>
                <w:rFonts w:asciiTheme="minorHAnsi" w:hAnsiTheme="minorHAnsi"/>
                <w:sz w:val="18"/>
                <w:szCs w:val="18"/>
              </w:rPr>
            </w:pPr>
            <w:r w:rsidRPr="00B93A39">
              <w:rPr>
                <w:rFonts w:asciiTheme="minorHAnsi" w:hAnsiTheme="minorHAnsi"/>
                <w:sz w:val="18"/>
                <w:szCs w:val="18"/>
              </w:rPr>
              <w:t>13.</w:t>
            </w:r>
          </w:p>
        </w:tc>
        <w:tc>
          <w:tcPr>
            <w:tcW w:w="2552" w:type="dxa"/>
          </w:tcPr>
          <w:p w14:paraId="02352109" w14:textId="77777777" w:rsidR="00B77350" w:rsidRPr="00B93A39" w:rsidRDefault="00B77350" w:rsidP="00B77350">
            <w:pPr>
              <w:tabs>
                <w:tab w:val="left" w:pos="9914"/>
              </w:tabs>
              <w:rPr>
                <w:rFonts w:asciiTheme="minorHAnsi" w:hAnsiTheme="minorHAnsi"/>
                <w:sz w:val="18"/>
                <w:szCs w:val="18"/>
              </w:rPr>
            </w:pPr>
            <w:r w:rsidRPr="00B93A39">
              <w:rPr>
                <w:rFonts w:asciiTheme="minorHAnsi" w:hAnsiTheme="minorHAnsi"/>
                <w:sz w:val="18"/>
                <w:szCs w:val="18"/>
              </w:rPr>
              <w:t>BN-74/6771-04</w:t>
            </w:r>
          </w:p>
        </w:tc>
        <w:tc>
          <w:tcPr>
            <w:tcW w:w="6804" w:type="dxa"/>
          </w:tcPr>
          <w:p w14:paraId="4B41034D" w14:textId="77777777" w:rsidR="00B77350" w:rsidRPr="00B93A39" w:rsidRDefault="00B77350" w:rsidP="00B77350">
            <w:pPr>
              <w:tabs>
                <w:tab w:val="left" w:pos="9914"/>
              </w:tabs>
              <w:rPr>
                <w:rFonts w:asciiTheme="minorHAnsi" w:hAnsiTheme="minorHAnsi"/>
                <w:sz w:val="18"/>
                <w:szCs w:val="18"/>
              </w:rPr>
            </w:pPr>
            <w:r w:rsidRPr="00B93A39">
              <w:rPr>
                <w:rFonts w:asciiTheme="minorHAnsi" w:hAnsiTheme="minorHAnsi"/>
                <w:sz w:val="18"/>
                <w:szCs w:val="18"/>
              </w:rPr>
              <w:t>Drogi samochodowe. Masa zalewowa</w:t>
            </w:r>
          </w:p>
        </w:tc>
      </w:tr>
      <w:tr w:rsidR="00B77350" w:rsidRPr="00A23FB4" w14:paraId="0CB5F321" w14:textId="77777777" w:rsidTr="00B77350">
        <w:tc>
          <w:tcPr>
            <w:tcW w:w="637" w:type="dxa"/>
          </w:tcPr>
          <w:p w14:paraId="64F0BB3E" w14:textId="77777777" w:rsidR="00B77350" w:rsidRPr="00B93A39" w:rsidRDefault="00B77350" w:rsidP="00B77350">
            <w:pPr>
              <w:tabs>
                <w:tab w:val="left" w:pos="9914"/>
              </w:tabs>
              <w:rPr>
                <w:rFonts w:asciiTheme="minorHAnsi" w:hAnsiTheme="minorHAnsi"/>
                <w:sz w:val="18"/>
                <w:szCs w:val="18"/>
              </w:rPr>
            </w:pPr>
            <w:r w:rsidRPr="00B93A39">
              <w:rPr>
                <w:rFonts w:asciiTheme="minorHAnsi" w:hAnsiTheme="minorHAnsi"/>
                <w:sz w:val="18"/>
                <w:szCs w:val="18"/>
              </w:rPr>
              <w:t>15.</w:t>
            </w:r>
          </w:p>
        </w:tc>
        <w:tc>
          <w:tcPr>
            <w:tcW w:w="2552" w:type="dxa"/>
          </w:tcPr>
          <w:p w14:paraId="024C2B32" w14:textId="77777777" w:rsidR="00B77350" w:rsidRPr="00B93A39" w:rsidRDefault="00B77350" w:rsidP="00B77350">
            <w:pPr>
              <w:tabs>
                <w:tab w:val="left" w:pos="9914"/>
              </w:tabs>
              <w:rPr>
                <w:rFonts w:asciiTheme="minorHAnsi" w:hAnsiTheme="minorHAnsi"/>
                <w:sz w:val="18"/>
                <w:szCs w:val="18"/>
              </w:rPr>
            </w:pPr>
            <w:r w:rsidRPr="00B93A39">
              <w:rPr>
                <w:rFonts w:asciiTheme="minorHAnsi" w:hAnsiTheme="minorHAnsi"/>
                <w:sz w:val="18"/>
                <w:szCs w:val="18"/>
              </w:rPr>
              <w:t>BN-64/8845-02</w:t>
            </w:r>
          </w:p>
        </w:tc>
        <w:tc>
          <w:tcPr>
            <w:tcW w:w="6804" w:type="dxa"/>
          </w:tcPr>
          <w:p w14:paraId="3F21BF55" w14:textId="77777777" w:rsidR="00B77350" w:rsidRPr="00B93A39" w:rsidRDefault="00B77350" w:rsidP="00B77350">
            <w:pPr>
              <w:tabs>
                <w:tab w:val="left" w:pos="9914"/>
              </w:tabs>
              <w:rPr>
                <w:rFonts w:asciiTheme="minorHAnsi" w:hAnsiTheme="minorHAnsi"/>
                <w:sz w:val="18"/>
                <w:szCs w:val="18"/>
              </w:rPr>
            </w:pPr>
            <w:r w:rsidRPr="00B93A39">
              <w:rPr>
                <w:rFonts w:asciiTheme="minorHAnsi" w:hAnsiTheme="minorHAnsi"/>
                <w:sz w:val="18"/>
                <w:szCs w:val="18"/>
              </w:rPr>
              <w:t>Krawężniki uliczne. Warunki techniczne ustawiania i odbioru.</w:t>
            </w:r>
          </w:p>
        </w:tc>
      </w:tr>
    </w:tbl>
    <w:p w14:paraId="3B3CFBE6" w14:textId="77777777" w:rsidR="00B77350" w:rsidRPr="00A23FB4" w:rsidRDefault="00B77350" w:rsidP="00B77350">
      <w:pPr>
        <w:pStyle w:val="Nagwek4"/>
        <w:tabs>
          <w:tab w:val="left" w:pos="9914"/>
        </w:tabs>
        <w:rPr>
          <w:rFonts w:asciiTheme="minorHAnsi" w:hAnsiTheme="minorHAnsi"/>
        </w:rPr>
      </w:pPr>
      <w:r w:rsidRPr="00A23FB4">
        <w:rPr>
          <w:rFonts w:asciiTheme="minorHAnsi" w:hAnsiTheme="minorHAnsi"/>
        </w:rPr>
        <w:t>10.2. Inne dokumenty</w:t>
      </w:r>
    </w:p>
    <w:p w14:paraId="2D988843" w14:textId="77777777" w:rsidR="00B77350" w:rsidRPr="00B93A39" w:rsidRDefault="00B77350" w:rsidP="00262498">
      <w:pPr>
        <w:numPr>
          <w:ilvl w:val="0"/>
          <w:numId w:val="59"/>
        </w:numPr>
        <w:tabs>
          <w:tab w:val="left" w:pos="9914"/>
        </w:tabs>
        <w:ind w:left="0" w:firstLine="0"/>
        <w:rPr>
          <w:rFonts w:asciiTheme="minorHAnsi" w:hAnsiTheme="minorHAnsi"/>
          <w:sz w:val="18"/>
          <w:szCs w:val="18"/>
        </w:rPr>
      </w:pPr>
      <w:r w:rsidRPr="00B93A39">
        <w:rPr>
          <w:rFonts w:asciiTheme="minorHAnsi" w:hAnsiTheme="minorHAnsi"/>
          <w:sz w:val="18"/>
          <w:szCs w:val="18"/>
        </w:rPr>
        <w:t>Katalog powtarzalnych elementów drogowych (KPED), Transprojekt - Warszawa, 1979 i 1982 r.</w:t>
      </w:r>
    </w:p>
    <w:p w14:paraId="4FB046C9" w14:textId="77777777" w:rsidR="00B77350" w:rsidRPr="00A23FB4" w:rsidRDefault="00B77350" w:rsidP="00B77350">
      <w:pPr>
        <w:overflowPunct/>
        <w:autoSpaceDE/>
        <w:autoSpaceDN/>
        <w:adjustRightInd/>
        <w:jc w:val="left"/>
        <w:textAlignment w:val="auto"/>
        <w:rPr>
          <w:rFonts w:ascii="Calibri" w:hAnsi="Calibri" w:cs="Calibri"/>
          <w:b/>
          <w:sz w:val="22"/>
          <w:szCs w:val="22"/>
        </w:rPr>
      </w:pPr>
    </w:p>
    <w:p w14:paraId="38985BB2" w14:textId="77777777" w:rsidR="004D5430" w:rsidRPr="00A23FB4" w:rsidRDefault="004D5430">
      <w:pPr>
        <w:overflowPunct/>
        <w:autoSpaceDE/>
        <w:autoSpaceDN/>
        <w:adjustRightInd/>
        <w:jc w:val="left"/>
        <w:textAlignment w:val="auto"/>
        <w:rPr>
          <w:rFonts w:ascii="Calibri" w:hAnsi="Calibri" w:cs="Calibri"/>
          <w:b/>
          <w:sz w:val="22"/>
          <w:szCs w:val="22"/>
        </w:rPr>
      </w:pPr>
      <w:r w:rsidRPr="00A23FB4">
        <w:rPr>
          <w:rFonts w:ascii="Calibri" w:hAnsi="Calibri" w:cs="Calibri"/>
          <w:b/>
          <w:sz w:val="22"/>
          <w:szCs w:val="22"/>
        </w:rPr>
        <w:br w:type="page"/>
      </w:r>
    </w:p>
    <w:p w14:paraId="48028ADD" w14:textId="0D79A09B" w:rsidR="004D5430" w:rsidRPr="00A23FB4" w:rsidRDefault="004D5430">
      <w:pPr>
        <w:overflowPunct/>
        <w:autoSpaceDE/>
        <w:autoSpaceDN/>
        <w:adjustRightInd/>
        <w:jc w:val="left"/>
        <w:textAlignment w:val="auto"/>
        <w:rPr>
          <w:rFonts w:ascii="Calibri" w:hAnsi="Calibri" w:cs="Calibri"/>
          <w:b/>
          <w:sz w:val="22"/>
          <w:szCs w:val="22"/>
        </w:rPr>
      </w:pPr>
    </w:p>
    <w:p w14:paraId="249619E7" w14:textId="37B8F260" w:rsidR="00357D2A" w:rsidRPr="00A23FB4" w:rsidRDefault="00E13859" w:rsidP="0022369F">
      <w:pPr>
        <w:spacing w:line="360" w:lineRule="auto"/>
        <w:jc w:val="center"/>
        <w:rPr>
          <w:rFonts w:ascii="Calibri" w:hAnsi="Calibri" w:cs="Calibri"/>
          <w:b/>
          <w:sz w:val="22"/>
          <w:szCs w:val="22"/>
        </w:rPr>
      </w:pPr>
      <w:r>
        <w:rPr>
          <w:rFonts w:ascii="Calibri" w:hAnsi="Calibri" w:cs="Calibri"/>
          <w:b/>
          <w:sz w:val="22"/>
          <w:szCs w:val="22"/>
        </w:rPr>
        <w:t>SPECYFIKACJE TECHNICZNE</w:t>
      </w:r>
      <w:r w:rsidRPr="00E30D66">
        <w:rPr>
          <w:rFonts w:ascii="Calibri" w:hAnsi="Calibri" w:cs="Calibri"/>
          <w:b/>
          <w:sz w:val="22"/>
          <w:szCs w:val="22"/>
        </w:rPr>
        <w:t xml:space="preserve"> </w:t>
      </w:r>
      <w:r w:rsidR="00357D2A" w:rsidRPr="00A23FB4">
        <w:rPr>
          <w:rFonts w:ascii="Calibri" w:hAnsi="Calibri" w:cs="Calibri"/>
          <w:b/>
          <w:sz w:val="22"/>
          <w:szCs w:val="22"/>
        </w:rPr>
        <w:t>WYKONANIA I ODBIORU ROBÓT BUDOWLANYCH</w:t>
      </w:r>
      <w:bookmarkEnd w:id="849"/>
      <w:bookmarkEnd w:id="850"/>
    </w:p>
    <w:p w14:paraId="2D6C6FB0" w14:textId="77777777" w:rsidR="00357D2A" w:rsidRPr="00A23FB4" w:rsidRDefault="00357D2A" w:rsidP="0022369F">
      <w:pPr>
        <w:pStyle w:val="Nagowek1"/>
        <w:spacing w:before="0"/>
      </w:pPr>
      <w:bookmarkStart w:id="883" w:name="_Toc406414449"/>
      <w:bookmarkStart w:id="884" w:name="_Toc448494577"/>
      <w:bookmarkStart w:id="885" w:name="_Toc449065671"/>
      <w:bookmarkStart w:id="886" w:name="_Toc455953300"/>
      <w:bookmarkStart w:id="887" w:name="_Toc206275500"/>
      <w:r w:rsidRPr="00A23FB4">
        <w:t>D</w:t>
      </w:r>
      <w:r w:rsidR="00FB0468" w:rsidRPr="00A23FB4">
        <w:t>-</w:t>
      </w:r>
      <w:r w:rsidRPr="00A23FB4">
        <w:t>08.0</w:t>
      </w:r>
      <w:r w:rsidR="00AB2F18" w:rsidRPr="00A23FB4">
        <w:t>3</w:t>
      </w:r>
      <w:r w:rsidRPr="00A23FB4">
        <w:t>.0</w:t>
      </w:r>
      <w:r w:rsidR="00AB2F18" w:rsidRPr="00A23FB4">
        <w:t>1</w:t>
      </w:r>
      <w:r w:rsidRPr="00A23FB4">
        <w:t>. OBRZEŻA BETONOWE</w:t>
      </w:r>
      <w:bookmarkEnd w:id="883"/>
      <w:bookmarkEnd w:id="884"/>
      <w:bookmarkEnd w:id="885"/>
      <w:bookmarkEnd w:id="886"/>
      <w:bookmarkEnd w:id="887"/>
    </w:p>
    <w:p w14:paraId="34057254" w14:textId="77777777" w:rsidR="00357D2A" w:rsidRPr="00A23FB4" w:rsidRDefault="00357D2A" w:rsidP="00357D2A">
      <w:pPr>
        <w:shd w:val="clear" w:color="auto" w:fill="FFFFFF"/>
        <w:spacing w:line="413" w:lineRule="exact"/>
        <w:ind w:right="5"/>
        <w:rPr>
          <w:rFonts w:asciiTheme="minorHAnsi" w:hAnsiTheme="minorHAnsi"/>
        </w:rPr>
      </w:pPr>
    </w:p>
    <w:p w14:paraId="4FFFCD9E" w14:textId="77777777" w:rsidR="004D5430" w:rsidRPr="00A23FB4" w:rsidRDefault="004D5430" w:rsidP="00357D2A">
      <w:pPr>
        <w:shd w:val="clear" w:color="auto" w:fill="FFFFFF"/>
        <w:spacing w:line="413" w:lineRule="exact"/>
        <w:ind w:right="5"/>
        <w:rPr>
          <w:rFonts w:asciiTheme="minorHAnsi" w:hAnsiTheme="minorHAnsi"/>
        </w:rPr>
        <w:sectPr w:rsidR="004D5430" w:rsidRPr="00A23FB4" w:rsidSect="003B234D">
          <w:headerReference w:type="default" r:id="rId24"/>
          <w:footerReference w:type="default" r:id="rId25"/>
          <w:pgSz w:w="11899" w:h="16838"/>
          <w:pgMar w:top="1417" w:right="1417" w:bottom="1417" w:left="1417" w:header="708" w:footer="708" w:gutter="0"/>
          <w:cols w:space="60"/>
          <w:noEndnote/>
          <w:titlePg/>
          <w:docGrid w:linePitch="272"/>
        </w:sectPr>
      </w:pPr>
    </w:p>
    <w:p w14:paraId="237FFCB8" w14:textId="77777777" w:rsidR="00357D2A" w:rsidRPr="00A23FB4" w:rsidRDefault="00357D2A" w:rsidP="00357D2A">
      <w:pPr>
        <w:rPr>
          <w:rFonts w:asciiTheme="minorHAnsi" w:hAnsiTheme="minorHAnsi"/>
          <w:b/>
        </w:rPr>
      </w:pPr>
      <w:bookmarkStart w:id="888" w:name="_Toc387213507"/>
      <w:r w:rsidRPr="00A23FB4">
        <w:rPr>
          <w:rFonts w:asciiTheme="minorHAnsi" w:hAnsiTheme="minorHAnsi"/>
          <w:b/>
        </w:rPr>
        <w:t>1.</w:t>
      </w:r>
      <w:bookmarkEnd w:id="888"/>
      <w:r w:rsidRPr="00A23FB4">
        <w:rPr>
          <w:rFonts w:asciiTheme="minorHAnsi" w:hAnsiTheme="minorHAnsi"/>
          <w:b/>
        </w:rPr>
        <w:t>WSTĘP</w:t>
      </w:r>
    </w:p>
    <w:p w14:paraId="000EDBEA" w14:textId="1E53D622" w:rsidR="00357D2A" w:rsidRPr="00A23FB4" w:rsidRDefault="00357D2A" w:rsidP="00357D2A">
      <w:pPr>
        <w:pStyle w:val="Nagwek4"/>
        <w:rPr>
          <w:rFonts w:asciiTheme="minorHAnsi" w:hAnsiTheme="minorHAnsi"/>
        </w:rPr>
      </w:pPr>
      <w:r w:rsidRPr="00A23FB4">
        <w:rPr>
          <w:rFonts w:asciiTheme="minorHAnsi" w:hAnsiTheme="minorHAnsi"/>
          <w:spacing w:val="-1"/>
        </w:rPr>
        <w:t>1.1</w:t>
      </w:r>
      <w:r w:rsidRPr="00A23FB4">
        <w:rPr>
          <w:rFonts w:asciiTheme="minorHAnsi" w:hAnsiTheme="minorHAnsi"/>
        </w:rPr>
        <w:t xml:space="preserve">Przedmiot </w:t>
      </w:r>
      <w:r w:rsidR="00865C6C">
        <w:rPr>
          <w:rFonts w:asciiTheme="minorHAnsi" w:hAnsiTheme="minorHAnsi"/>
        </w:rPr>
        <w:t>ST</w:t>
      </w:r>
      <w:r w:rsidRPr="00A23FB4">
        <w:rPr>
          <w:rFonts w:asciiTheme="minorHAnsi" w:hAnsiTheme="minorHAnsi"/>
        </w:rPr>
        <w:t>WiORB</w:t>
      </w:r>
    </w:p>
    <w:p w14:paraId="551754E8" w14:textId="5FFCF2C5" w:rsidR="00357D2A" w:rsidRPr="00A23FB4" w:rsidRDefault="00357D2A" w:rsidP="00357D2A">
      <w:pPr>
        <w:shd w:val="clear" w:color="auto" w:fill="FFFFFF"/>
        <w:spacing w:before="235" w:line="274" w:lineRule="exact"/>
        <w:ind w:right="427"/>
        <w:rPr>
          <w:rFonts w:ascii="Calibri" w:hAnsi="Calibri" w:cs="Calibri"/>
        </w:rPr>
      </w:pPr>
      <w:r w:rsidRPr="00A23FB4">
        <w:rPr>
          <w:rFonts w:asciiTheme="minorHAnsi" w:hAnsiTheme="minorHAnsi"/>
        </w:rPr>
        <w:t>Przedmiotem niniejsz</w:t>
      </w:r>
      <w:r w:rsidR="00B0480C">
        <w:rPr>
          <w:rFonts w:asciiTheme="minorHAnsi" w:hAnsiTheme="minorHAnsi"/>
        </w:rPr>
        <w:t>ej</w:t>
      </w:r>
      <w:r w:rsidRPr="00A23FB4">
        <w:rPr>
          <w:rFonts w:asciiTheme="minorHAnsi" w:hAnsiTheme="minorHAnsi"/>
        </w:rPr>
        <w:t xml:space="preserve"> </w:t>
      </w:r>
      <w:r w:rsidR="00E13859">
        <w:rPr>
          <w:rFonts w:asciiTheme="minorHAnsi" w:hAnsiTheme="minorHAnsi"/>
        </w:rPr>
        <w:t>Specyfikacji Techniczn</w:t>
      </w:r>
      <w:r w:rsidR="00B0480C">
        <w:rPr>
          <w:rFonts w:asciiTheme="minorHAnsi" w:hAnsiTheme="minorHAnsi"/>
        </w:rPr>
        <w:t>ej</w:t>
      </w:r>
      <w:r w:rsidRPr="00A23FB4">
        <w:rPr>
          <w:rFonts w:asciiTheme="minorHAnsi" w:hAnsiTheme="minorHAnsi"/>
        </w:rPr>
        <w:t xml:space="preserve"> Wykonania i Odbioru Robót Budowlanych są wymagania dotyczące wykonania i odbioru robót związanych z ustawieniem obrzeży betonowych</w:t>
      </w:r>
      <w:r w:rsidR="00B20386" w:rsidRPr="00A23FB4">
        <w:rPr>
          <w:rFonts w:asciiTheme="minorHAnsi" w:hAnsiTheme="minorHAnsi"/>
        </w:rPr>
        <w:t>.</w:t>
      </w:r>
    </w:p>
    <w:p w14:paraId="7B212B42" w14:textId="11A859C9" w:rsidR="00B20386" w:rsidRPr="00A23FB4" w:rsidRDefault="00B20386" w:rsidP="00B20386">
      <w:pPr>
        <w:spacing w:before="120"/>
        <w:rPr>
          <w:rFonts w:asciiTheme="minorHAnsi" w:hAnsiTheme="minorHAnsi" w:cs="Calibri"/>
          <w:b/>
          <w:bCs/>
        </w:rPr>
      </w:pPr>
      <w:r w:rsidRPr="00A23FB4">
        <w:rPr>
          <w:rFonts w:asciiTheme="minorHAnsi" w:hAnsiTheme="minorHAnsi" w:cs="Calibri"/>
          <w:b/>
          <w:bCs/>
        </w:rPr>
        <w:t xml:space="preserve">1.2. Zakres stosowania </w:t>
      </w:r>
      <w:r w:rsidR="00865C6C" w:rsidRPr="00865C6C">
        <w:rPr>
          <w:rFonts w:asciiTheme="minorHAnsi" w:hAnsiTheme="minorHAnsi"/>
          <w:b/>
          <w:bCs/>
        </w:rPr>
        <w:t>ST</w:t>
      </w:r>
      <w:r w:rsidRPr="00865C6C">
        <w:rPr>
          <w:rFonts w:asciiTheme="minorHAnsi" w:hAnsiTheme="minorHAnsi"/>
          <w:b/>
          <w:bCs/>
        </w:rPr>
        <w:t>WiORB</w:t>
      </w:r>
    </w:p>
    <w:p w14:paraId="42858ECB" w14:textId="111FE504" w:rsidR="004D5430" w:rsidRPr="00A23FB4" w:rsidRDefault="00E13859" w:rsidP="004D5430">
      <w:pPr>
        <w:spacing w:before="120"/>
        <w:rPr>
          <w:rFonts w:ascii="Calibri" w:hAnsi="Calibri" w:cs="Calibri"/>
        </w:rPr>
      </w:pPr>
      <w:r>
        <w:rPr>
          <w:rFonts w:asciiTheme="minorHAnsi" w:hAnsiTheme="minorHAnsi" w:cs="Calibri"/>
        </w:rPr>
        <w:t>Specyfikac</w:t>
      </w:r>
      <w:r w:rsidR="00B0480C">
        <w:rPr>
          <w:rFonts w:asciiTheme="minorHAnsi" w:hAnsiTheme="minorHAnsi" w:cs="Calibri"/>
        </w:rPr>
        <w:t>ja</w:t>
      </w:r>
      <w:r w:rsidR="00B20386" w:rsidRPr="00A23FB4">
        <w:rPr>
          <w:rFonts w:asciiTheme="minorHAnsi" w:hAnsiTheme="minorHAnsi" w:cs="Calibri"/>
        </w:rPr>
        <w:t xml:space="preserve"> stanowi dokument </w:t>
      </w:r>
      <w:r w:rsidR="004D5430" w:rsidRPr="00A23FB4">
        <w:rPr>
          <w:rFonts w:asciiTheme="minorHAnsi" w:hAnsiTheme="minorHAnsi" w:cs="Calibri"/>
        </w:rPr>
        <w:t>kontraktowy przy realizacji</w:t>
      </w:r>
      <w:r w:rsidR="00B20386" w:rsidRPr="00A23FB4">
        <w:rPr>
          <w:rFonts w:asciiTheme="minorHAnsi" w:hAnsiTheme="minorHAnsi" w:cs="Calibri"/>
        </w:rPr>
        <w:t xml:space="preserve"> zadania</w:t>
      </w:r>
      <w:r w:rsidR="004D5430" w:rsidRPr="00A23FB4">
        <w:rPr>
          <w:rFonts w:asciiTheme="minorHAnsi" w:hAnsiTheme="minorHAnsi" w:cstheme="minorHAnsi"/>
          <w:bCs/>
        </w:rPr>
        <w:t xml:space="preserve"> </w:t>
      </w:r>
      <w:r w:rsidR="00506838">
        <w:rPr>
          <w:rFonts w:asciiTheme="minorHAnsi" w:hAnsiTheme="minorHAnsi" w:cstheme="minorHAnsi"/>
          <w:bCs/>
        </w:rPr>
        <w:t>„</w:t>
      </w:r>
      <w:r w:rsidR="00865C6C" w:rsidRPr="00865C6C">
        <w:rPr>
          <w:rFonts w:asciiTheme="minorHAnsi" w:hAnsiTheme="minorHAnsi" w:cstheme="minorHAnsi"/>
          <w:bCs/>
        </w:rPr>
        <w:t>Rozbudowa ul. Wrocławskiej w ciągu drogi powiatowej w Tyńcu Małym wraz z rozbudową istniejącego skrzyżowania typu rondo na połączeniu dróg krajowych nr 35 i 35a oraz łącznika węzła Kobierzyce drogi S8e oraz infrastrukturą towarzyszącą w ramach zadania „Rozbudowa skrzyżowania typu rondo w ciągu DK35 koło m. Tyniec Mały usprawniająca skomunikowanie obszarów Podstrefy Wrocław – Kobierzyce TSSE EURO PARK WISŁOSAN”</w:t>
      </w:r>
      <w:r w:rsidR="004D5430" w:rsidRPr="00A23FB4">
        <w:rPr>
          <w:rFonts w:asciiTheme="minorHAnsi" w:hAnsiTheme="minorHAnsi" w:cstheme="minorHAnsi"/>
          <w:bCs/>
        </w:rPr>
        <w:t>”.</w:t>
      </w:r>
    </w:p>
    <w:p w14:paraId="18C3D97D" w14:textId="77777777" w:rsidR="00357D2A" w:rsidRPr="00A23FB4" w:rsidRDefault="00357D2A" w:rsidP="00357D2A">
      <w:pPr>
        <w:pStyle w:val="Nagwek4"/>
        <w:rPr>
          <w:rFonts w:asciiTheme="minorHAnsi" w:hAnsiTheme="minorHAnsi"/>
        </w:rPr>
      </w:pPr>
      <w:r w:rsidRPr="00A23FB4">
        <w:rPr>
          <w:rFonts w:asciiTheme="minorHAnsi" w:hAnsiTheme="minorHAnsi"/>
          <w:spacing w:val="-1"/>
        </w:rPr>
        <w:t>1.</w:t>
      </w:r>
      <w:r w:rsidR="00B20386" w:rsidRPr="00A23FB4">
        <w:rPr>
          <w:rFonts w:asciiTheme="minorHAnsi" w:hAnsiTheme="minorHAnsi"/>
          <w:spacing w:val="-1"/>
        </w:rPr>
        <w:t>3</w:t>
      </w:r>
      <w:r w:rsidR="004D5430" w:rsidRPr="00A23FB4">
        <w:rPr>
          <w:rFonts w:asciiTheme="minorHAnsi" w:hAnsiTheme="minorHAnsi"/>
          <w:spacing w:val="-1"/>
        </w:rPr>
        <w:t xml:space="preserve"> </w:t>
      </w:r>
      <w:r w:rsidRPr="00A23FB4">
        <w:rPr>
          <w:rFonts w:asciiTheme="minorHAnsi" w:hAnsiTheme="minorHAnsi"/>
        </w:rPr>
        <w:t>Określenia podstawowe</w:t>
      </w:r>
    </w:p>
    <w:p w14:paraId="2C7B5EC9" w14:textId="77777777" w:rsidR="00357D2A" w:rsidRPr="00A23FB4" w:rsidRDefault="00B20386" w:rsidP="00B20386">
      <w:pPr>
        <w:widowControl w:val="0"/>
        <w:shd w:val="clear" w:color="auto" w:fill="FFFFFF"/>
        <w:tabs>
          <w:tab w:val="left" w:pos="768"/>
        </w:tabs>
        <w:overflowPunct/>
        <w:spacing w:line="274" w:lineRule="exact"/>
        <w:textAlignment w:val="auto"/>
        <w:rPr>
          <w:rFonts w:asciiTheme="minorHAnsi" w:hAnsiTheme="minorHAnsi"/>
          <w:b/>
          <w:bCs/>
          <w:spacing w:val="-1"/>
        </w:rPr>
      </w:pPr>
      <w:r w:rsidRPr="00A23FB4">
        <w:rPr>
          <w:rFonts w:asciiTheme="minorHAnsi" w:hAnsiTheme="minorHAnsi"/>
        </w:rPr>
        <w:t xml:space="preserve">1.3.1. </w:t>
      </w:r>
      <w:r w:rsidR="00357D2A" w:rsidRPr="00A23FB4">
        <w:rPr>
          <w:rFonts w:asciiTheme="minorHAnsi" w:hAnsiTheme="minorHAnsi"/>
        </w:rPr>
        <w:t>Obrzeża betonowe są to betonowe elementy prefabrykowane oddzielające chodnik od pobocza lub pasa gruntowego.</w:t>
      </w:r>
    </w:p>
    <w:p w14:paraId="13F01EB6" w14:textId="6656368F" w:rsidR="00357D2A" w:rsidRPr="00A23FB4" w:rsidRDefault="00B20386" w:rsidP="00B20386">
      <w:pPr>
        <w:widowControl w:val="0"/>
        <w:shd w:val="clear" w:color="auto" w:fill="FFFFFF"/>
        <w:tabs>
          <w:tab w:val="left" w:pos="768"/>
        </w:tabs>
        <w:overflowPunct/>
        <w:spacing w:line="278" w:lineRule="exact"/>
        <w:textAlignment w:val="auto"/>
        <w:rPr>
          <w:rFonts w:asciiTheme="minorHAnsi" w:hAnsiTheme="minorHAnsi"/>
          <w:b/>
          <w:bCs/>
          <w:spacing w:val="-1"/>
        </w:rPr>
      </w:pPr>
      <w:r w:rsidRPr="00A23FB4">
        <w:rPr>
          <w:rFonts w:asciiTheme="minorHAnsi" w:hAnsiTheme="minorHAnsi"/>
        </w:rPr>
        <w:t xml:space="preserve">1.3.2. </w:t>
      </w:r>
      <w:r w:rsidR="00357D2A" w:rsidRPr="00A23FB4">
        <w:rPr>
          <w:rFonts w:asciiTheme="minorHAnsi" w:hAnsiTheme="minorHAnsi"/>
        </w:rPr>
        <w:t xml:space="preserve">Pozostałe określenia podane w niniejszej </w:t>
      </w:r>
      <w:r w:rsidR="00865C6C">
        <w:rPr>
          <w:rFonts w:asciiTheme="minorHAnsi" w:hAnsiTheme="minorHAnsi"/>
        </w:rPr>
        <w:t>ST</w:t>
      </w:r>
      <w:r w:rsidR="00357D2A" w:rsidRPr="00A23FB4">
        <w:rPr>
          <w:rFonts w:asciiTheme="minorHAnsi" w:hAnsiTheme="minorHAnsi"/>
        </w:rPr>
        <w:t xml:space="preserve">WiORB są zgodne z odpowiednimi polskimi normami oraz </w:t>
      </w:r>
      <w:r w:rsidR="00865C6C">
        <w:rPr>
          <w:rFonts w:asciiTheme="minorHAnsi" w:hAnsiTheme="minorHAnsi"/>
        </w:rPr>
        <w:t>ST</w:t>
      </w:r>
      <w:r w:rsidR="00357D2A" w:rsidRPr="00A23FB4">
        <w:rPr>
          <w:rFonts w:asciiTheme="minorHAnsi" w:hAnsiTheme="minorHAnsi"/>
        </w:rPr>
        <w:t>WiORB D-M.00.00.00 „Wymagania ogólne”.</w:t>
      </w:r>
    </w:p>
    <w:p w14:paraId="7DD6EFD9" w14:textId="77777777" w:rsidR="00357D2A" w:rsidRPr="00A23FB4" w:rsidRDefault="00357D2A" w:rsidP="00B20386">
      <w:pPr>
        <w:pStyle w:val="Nagwek4"/>
        <w:spacing w:after="0"/>
        <w:rPr>
          <w:rFonts w:asciiTheme="minorHAnsi" w:hAnsiTheme="minorHAnsi"/>
        </w:rPr>
      </w:pPr>
      <w:r w:rsidRPr="00A23FB4">
        <w:rPr>
          <w:rFonts w:asciiTheme="minorHAnsi" w:hAnsiTheme="minorHAnsi"/>
          <w:spacing w:val="-1"/>
        </w:rPr>
        <w:t>1.3</w:t>
      </w:r>
      <w:r w:rsidRPr="00A23FB4">
        <w:rPr>
          <w:rFonts w:asciiTheme="minorHAnsi" w:hAnsiTheme="minorHAnsi"/>
        </w:rPr>
        <w:t>Ogólne wymagania dotyczące robót</w:t>
      </w:r>
    </w:p>
    <w:p w14:paraId="39BC5FD4" w14:textId="036D10DC" w:rsidR="00357D2A" w:rsidRPr="00A23FB4" w:rsidRDefault="00357D2A" w:rsidP="00B20386">
      <w:pPr>
        <w:shd w:val="clear" w:color="auto" w:fill="FFFFFF"/>
        <w:spacing w:line="274" w:lineRule="exact"/>
        <w:ind w:right="427"/>
        <w:rPr>
          <w:rFonts w:asciiTheme="minorHAnsi" w:hAnsiTheme="minorHAnsi"/>
        </w:rPr>
      </w:pPr>
      <w:r w:rsidRPr="00A23FB4">
        <w:rPr>
          <w:rFonts w:asciiTheme="minorHAnsi" w:hAnsiTheme="minorHAnsi"/>
        </w:rPr>
        <w:t xml:space="preserve">Wykonawca jest odpowiedzialny za jakość wykonania robót oraz za zgodność z Dokumentacją Projektową, </w:t>
      </w:r>
      <w:r w:rsidR="00865C6C">
        <w:rPr>
          <w:rFonts w:asciiTheme="minorHAnsi" w:hAnsiTheme="minorHAnsi"/>
        </w:rPr>
        <w:t>ST</w:t>
      </w:r>
      <w:r w:rsidRPr="00A23FB4">
        <w:rPr>
          <w:rFonts w:asciiTheme="minorHAnsi" w:hAnsiTheme="minorHAnsi"/>
        </w:rPr>
        <w:t xml:space="preserve">WiORB i poleceniami Inspektora Nadzoru Inwestorskiego. Ogólne wymagania dotyczące robót podano w </w:t>
      </w:r>
      <w:r w:rsidR="00865C6C">
        <w:rPr>
          <w:rFonts w:asciiTheme="minorHAnsi" w:hAnsiTheme="minorHAnsi"/>
        </w:rPr>
        <w:t>ST</w:t>
      </w:r>
      <w:r w:rsidRPr="00A23FB4">
        <w:rPr>
          <w:rFonts w:asciiTheme="minorHAnsi" w:hAnsiTheme="minorHAnsi"/>
        </w:rPr>
        <w:t>WiORB D-M.00.00.00 „Wymagania ogólne”.</w:t>
      </w:r>
    </w:p>
    <w:p w14:paraId="0AB51592" w14:textId="77777777" w:rsidR="00357D2A" w:rsidRPr="00A23FB4" w:rsidRDefault="00357D2A" w:rsidP="00357D2A">
      <w:pPr>
        <w:shd w:val="clear" w:color="auto" w:fill="FFFFFF"/>
        <w:spacing w:before="230" w:line="274" w:lineRule="exact"/>
        <w:ind w:right="427"/>
        <w:rPr>
          <w:rFonts w:asciiTheme="minorHAnsi" w:hAnsiTheme="minorHAnsi"/>
        </w:rPr>
      </w:pPr>
    </w:p>
    <w:p w14:paraId="60093570" w14:textId="77777777" w:rsidR="00357D2A" w:rsidRPr="00A23FB4" w:rsidRDefault="00357D2A" w:rsidP="00357D2A">
      <w:pPr>
        <w:rPr>
          <w:rFonts w:asciiTheme="minorHAnsi" w:hAnsiTheme="minorHAnsi"/>
          <w:b/>
        </w:rPr>
      </w:pPr>
      <w:bookmarkStart w:id="889" w:name="_Toc387213508"/>
      <w:r w:rsidRPr="00A23FB4">
        <w:rPr>
          <w:rFonts w:asciiTheme="minorHAnsi" w:hAnsiTheme="minorHAnsi"/>
          <w:b/>
        </w:rPr>
        <w:t>2.</w:t>
      </w:r>
      <w:bookmarkEnd w:id="889"/>
      <w:r w:rsidRPr="00A23FB4">
        <w:rPr>
          <w:rFonts w:asciiTheme="minorHAnsi" w:hAnsiTheme="minorHAnsi"/>
          <w:b/>
        </w:rPr>
        <w:t>WYROBY BUDOWLANE I MATERIAŁY</w:t>
      </w:r>
    </w:p>
    <w:p w14:paraId="5C53FAC1" w14:textId="0165A325" w:rsidR="00357D2A" w:rsidRPr="00A23FB4" w:rsidRDefault="00357D2A" w:rsidP="00357D2A">
      <w:pPr>
        <w:shd w:val="clear" w:color="auto" w:fill="FFFFFF"/>
        <w:spacing w:before="230" w:line="274" w:lineRule="exact"/>
        <w:ind w:right="432"/>
        <w:rPr>
          <w:rFonts w:asciiTheme="minorHAnsi" w:hAnsiTheme="minorHAnsi"/>
        </w:rPr>
      </w:pPr>
      <w:r w:rsidRPr="00A23FB4">
        <w:rPr>
          <w:rFonts w:asciiTheme="minorHAnsi" w:hAnsiTheme="minorHAnsi"/>
        </w:rPr>
        <w:t xml:space="preserve">Wyrobami i materiałami stosowanymi przy wykonaniu robót związanych z ustawieniem </w:t>
      </w:r>
      <w:r w:rsidRPr="00A23FB4">
        <w:rPr>
          <w:rFonts w:asciiTheme="minorHAnsi" w:hAnsiTheme="minorHAnsi"/>
          <w:spacing w:val="-1"/>
        </w:rPr>
        <w:t xml:space="preserve">obrzeży betonowych na podsypce z kruszywa naturalnego, wg zasad niniejszej </w:t>
      </w:r>
      <w:r w:rsidR="00865C6C">
        <w:rPr>
          <w:rFonts w:asciiTheme="minorHAnsi" w:hAnsiTheme="minorHAnsi"/>
          <w:spacing w:val="-1"/>
        </w:rPr>
        <w:t>ST</w:t>
      </w:r>
      <w:r w:rsidRPr="00A23FB4">
        <w:rPr>
          <w:rFonts w:asciiTheme="minorHAnsi" w:hAnsiTheme="minorHAnsi"/>
          <w:spacing w:val="-1"/>
        </w:rPr>
        <w:t>WiORB są:</w:t>
      </w:r>
    </w:p>
    <w:p w14:paraId="1CC79BA0" w14:textId="77777777" w:rsidR="00357D2A" w:rsidRPr="00A23FB4" w:rsidRDefault="00357D2A" w:rsidP="00357D2A">
      <w:pPr>
        <w:shd w:val="clear" w:color="auto" w:fill="FFFFFF"/>
        <w:spacing w:before="269" w:line="278" w:lineRule="exact"/>
        <w:rPr>
          <w:rFonts w:asciiTheme="minorHAnsi" w:hAnsiTheme="minorHAnsi"/>
        </w:rPr>
      </w:pPr>
      <w:r w:rsidRPr="00A23FB4">
        <w:rPr>
          <w:rFonts w:asciiTheme="minorHAnsi" w:hAnsiTheme="minorHAnsi"/>
          <w:b/>
          <w:bCs/>
        </w:rPr>
        <w:t xml:space="preserve">2.1.  Obrzeża betonowe </w:t>
      </w:r>
      <w:r w:rsidRPr="00A23FB4">
        <w:rPr>
          <w:rFonts w:asciiTheme="minorHAnsi" w:hAnsiTheme="minorHAnsi"/>
        </w:rPr>
        <w:t>- powinny odpowiadać wymaganiom PN-EN 1340. Należy zastosować obrzeże 8x30 cm.</w:t>
      </w:r>
    </w:p>
    <w:p w14:paraId="30AA16FA" w14:textId="77777777" w:rsidR="00357D2A" w:rsidRPr="00A23FB4" w:rsidRDefault="00357D2A" w:rsidP="00357D2A">
      <w:pPr>
        <w:shd w:val="clear" w:color="auto" w:fill="FFFFFF"/>
        <w:spacing w:before="274"/>
        <w:ind w:left="144"/>
        <w:rPr>
          <w:rFonts w:asciiTheme="minorHAnsi" w:hAnsiTheme="minorHAnsi"/>
        </w:rPr>
      </w:pPr>
      <w:r w:rsidRPr="00A23FB4">
        <w:rPr>
          <w:rFonts w:asciiTheme="minorHAnsi" w:hAnsiTheme="minorHAnsi"/>
          <w:spacing w:val="-2"/>
        </w:rPr>
        <w:t>Tablica 1 Właściwości obrzeży wg PN-EN 1340:</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571"/>
        <w:gridCol w:w="2693"/>
        <w:gridCol w:w="1133"/>
        <w:gridCol w:w="5251"/>
      </w:tblGrid>
      <w:tr w:rsidR="00357D2A" w:rsidRPr="00A23FB4" w14:paraId="1783E6A5" w14:textId="77777777" w:rsidTr="00F408AB">
        <w:trPr>
          <w:trHeight w:hRule="exact" w:val="398"/>
        </w:trPr>
        <w:tc>
          <w:tcPr>
            <w:tcW w:w="571" w:type="dxa"/>
            <w:shd w:val="clear" w:color="auto" w:fill="FFFFFF"/>
          </w:tcPr>
          <w:p w14:paraId="08404419" w14:textId="77777777" w:rsidR="00357D2A" w:rsidRPr="00A23FB4" w:rsidRDefault="00357D2A" w:rsidP="00F408AB">
            <w:pPr>
              <w:shd w:val="clear" w:color="auto" w:fill="FFFFFF"/>
              <w:rPr>
                <w:rFonts w:asciiTheme="minorHAnsi" w:hAnsiTheme="minorHAnsi"/>
              </w:rPr>
            </w:pPr>
            <w:r w:rsidRPr="00A23FB4">
              <w:rPr>
                <w:rFonts w:asciiTheme="minorHAnsi" w:hAnsiTheme="minorHAnsi"/>
              </w:rPr>
              <w:t>Lp.</w:t>
            </w:r>
          </w:p>
        </w:tc>
        <w:tc>
          <w:tcPr>
            <w:tcW w:w="2693" w:type="dxa"/>
            <w:shd w:val="clear" w:color="auto" w:fill="FFFFFF"/>
          </w:tcPr>
          <w:p w14:paraId="24812D4E" w14:textId="77777777" w:rsidR="00357D2A" w:rsidRPr="00A23FB4" w:rsidRDefault="00357D2A" w:rsidP="00F408AB">
            <w:pPr>
              <w:shd w:val="clear" w:color="auto" w:fill="FFFFFF"/>
              <w:rPr>
                <w:rFonts w:asciiTheme="minorHAnsi" w:hAnsiTheme="minorHAnsi"/>
              </w:rPr>
            </w:pPr>
            <w:r w:rsidRPr="00A23FB4">
              <w:rPr>
                <w:rFonts w:asciiTheme="minorHAnsi" w:hAnsiTheme="minorHAnsi"/>
              </w:rPr>
              <w:t>Cecha</w:t>
            </w:r>
          </w:p>
        </w:tc>
        <w:tc>
          <w:tcPr>
            <w:tcW w:w="1133" w:type="dxa"/>
            <w:shd w:val="clear" w:color="auto" w:fill="FFFFFF"/>
          </w:tcPr>
          <w:p w14:paraId="0AB3C1FC" w14:textId="77777777" w:rsidR="00357D2A" w:rsidRPr="00A23FB4" w:rsidRDefault="00357D2A" w:rsidP="00F408AB">
            <w:pPr>
              <w:shd w:val="clear" w:color="auto" w:fill="FFFFFF"/>
              <w:rPr>
                <w:rFonts w:asciiTheme="minorHAnsi" w:hAnsiTheme="minorHAnsi"/>
              </w:rPr>
            </w:pPr>
            <w:r w:rsidRPr="00A23FB4">
              <w:rPr>
                <w:rFonts w:asciiTheme="minorHAnsi" w:hAnsiTheme="minorHAnsi"/>
              </w:rPr>
              <w:t>Załącznik</w:t>
            </w:r>
          </w:p>
        </w:tc>
        <w:tc>
          <w:tcPr>
            <w:tcW w:w="5251" w:type="dxa"/>
            <w:shd w:val="clear" w:color="auto" w:fill="FFFFFF"/>
          </w:tcPr>
          <w:p w14:paraId="2D25A050" w14:textId="77777777" w:rsidR="00357D2A" w:rsidRPr="00A23FB4" w:rsidRDefault="00357D2A" w:rsidP="00F408AB">
            <w:pPr>
              <w:shd w:val="clear" w:color="auto" w:fill="FFFFFF"/>
              <w:rPr>
                <w:rFonts w:asciiTheme="minorHAnsi" w:hAnsiTheme="minorHAnsi"/>
              </w:rPr>
            </w:pPr>
            <w:r w:rsidRPr="00A23FB4">
              <w:rPr>
                <w:rFonts w:asciiTheme="minorHAnsi" w:hAnsiTheme="minorHAnsi"/>
              </w:rPr>
              <w:t>Wymagania</w:t>
            </w:r>
          </w:p>
        </w:tc>
      </w:tr>
      <w:tr w:rsidR="00357D2A" w:rsidRPr="00A23FB4" w14:paraId="6D5A8A1C" w14:textId="77777777" w:rsidTr="00F408AB">
        <w:trPr>
          <w:trHeight w:hRule="exact" w:val="250"/>
        </w:trPr>
        <w:tc>
          <w:tcPr>
            <w:tcW w:w="571" w:type="dxa"/>
            <w:shd w:val="clear" w:color="auto" w:fill="FFFFFF"/>
          </w:tcPr>
          <w:p w14:paraId="3A3409A7" w14:textId="77777777" w:rsidR="00357D2A" w:rsidRPr="00A23FB4" w:rsidRDefault="00357D2A" w:rsidP="00F408AB">
            <w:pPr>
              <w:shd w:val="clear" w:color="auto" w:fill="FFFFFF"/>
              <w:rPr>
                <w:rFonts w:asciiTheme="minorHAnsi" w:hAnsiTheme="minorHAnsi"/>
              </w:rPr>
            </w:pPr>
            <w:r w:rsidRPr="00A23FB4">
              <w:rPr>
                <w:rFonts w:asciiTheme="minorHAnsi" w:hAnsiTheme="minorHAnsi"/>
              </w:rPr>
              <w:t>1</w:t>
            </w:r>
          </w:p>
        </w:tc>
        <w:tc>
          <w:tcPr>
            <w:tcW w:w="9077" w:type="dxa"/>
            <w:gridSpan w:val="3"/>
            <w:shd w:val="clear" w:color="auto" w:fill="FFFFFF"/>
          </w:tcPr>
          <w:p w14:paraId="796330F8" w14:textId="77777777" w:rsidR="00357D2A" w:rsidRPr="00A23FB4" w:rsidRDefault="00357D2A" w:rsidP="00F408AB">
            <w:pPr>
              <w:shd w:val="clear" w:color="auto" w:fill="FFFFFF"/>
              <w:rPr>
                <w:rFonts w:asciiTheme="minorHAnsi" w:hAnsiTheme="minorHAnsi"/>
              </w:rPr>
            </w:pPr>
            <w:r w:rsidRPr="00A23FB4">
              <w:rPr>
                <w:rFonts w:asciiTheme="minorHAnsi" w:hAnsiTheme="minorHAnsi"/>
              </w:rPr>
              <w:t>Kształt i wymiary</w:t>
            </w:r>
          </w:p>
        </w:tc>
      </w:tr>
      <w:tr w:rsidR="00357D2A" w:rsidRPr="00A23FB4" w14:paraId="083D6551" w14:textId="77777777" w:rsidTr="00F408AB">
        <w:trPr>
          <w:trHeight w:hRule="exact" w:val="1392"/>
        </w:trPr>
        <w:tc>
          <w:tcPr>
            <w:tcW w:w="571" w:type="dxa"/>
            <w:shd w:val="clear" w:color="auto" w:fill="FFFFFF"/>
          </w:tcPr>
          <w:p w14:paraId="4571434A" w14:textId="77777777" w:rsidR="00357D2A" w:rsidRPr="00A23FB4" w:rsidRDefault="00357D2A" w:rsidP="00F408AB">
            <w:pPr>
              <w:shd w:val="clear" w:color="auto" w:fill="FFFFFF"/>
              <w:rPr>
                <w:rFonts w:asciiTheme="minorHAnsi" w:hAnsiTheme="minorHAnsi"/>
              </w:rPr>
            </w:pPr>
            <w:r w:rsidRPr="00A23FB4">
              <w:rPr>
                <w:rFonts w:asciiTheme="minorHAnsi" w:hAnsiTheme="minorHAnsi"/>
              </w:rPr>
              <w:t>1.1</w:t>
            </w:r>
          </w:p>
        </w:tc>
        <w:tc>
          <w:tcPr>
            <w:tcW w:w="2693" w:type="dxa"/>
            <w:shd w:val="clear" w:color="auto" w:fill="FFFFFF"/>
          </w:tcPr>
          <w:p w14:paraId="252F561C" w14:textId="77777777" w:rsidR="00357D2A" w:rsidRPr="00A23FB4" w:rsidRDefault="00357D2A" w:rsidP="00F408AB">
            <w:pPr>
              <w:shd w:val="clear" w:color="auto" w:fill="FFFFFF"/>
              <w:spacing w:line="230" w:lineRule="exact"/>
              <w:ind w:right="106" w:firstLine="5"/>
              <w:rPr>
                <w:rFonts w:asciiTheme="minorHAnsi" w:hAnsiTheme="minorHAnsi"/>
              </w:rPr>
            </w:pPr>
            <w:r w:rsidRPr="00A23FB4">
              <w:rPr>
                <w:rFonts w:asciiTheme="minorHAnsi" w:hAnsiTheme="minorHAnsi"/>
                <w:spacing w:val="-1"/>
              </w:rPr>
              <w:t>Wartości dopuszczalnych od</w:t>
            </w:r>
            <w:r w:rsidRPr="00A23FB4">
              <w:rPr>
                <w:rFonts w:asciiTheme="minorHAnsi" w:hAnsiTheme="minorHAnsi"/>
                <w:spacing w:val="-1"/>
              </w:rPr>
              <w:softHyphen/>
            </w:r>
            <w:r w:rsidRPr="00A23FB4">
              <w:rPr>
                <w:rFonts w:asciiTheme="minorHAnsi" w:hAnsiTheme="minorHAnsi"/>
              </w:rPr>
              <w:t>chyłek od wymiarów nomi</w:t>
            </w:r>
            <w:r w:rsidRPr="00A23FB4">
              <w:rPr>
                <w:rFonts w:asciiTheme="minorHAnsi" w:hAnsiTheme="minorHAnsi"/>
              </w:rPr>
              <w:softHyphen/>
              <w:t>nalnych, z dokładnością do milimetra</w:t>
            </w:r>
          </w:p>
        </w:tc>
        <w:tc>
          <w:tcPr>
            <w:tcW w:w="1133" w:type="dxa"/>
            <w:shd w:val="clear" w:color="auto" w:fill="FFFFFF"/>
          </w:tcPr>
          <w:p w14:paraId="24073D0D" w14:textId="77777777" w:rsidR="00357D2A" w:rsidRPr="00A23FB4" w:rsidRDefault="00357D2A" w:rsidP="00F408AB">
            <w:pPr>
              <w:shd w:val="clear" w:color="auto" w:fill="FFFFFF"/>
              <w:rPr>
                <w:rFonts w:asciiTheme="minorHAnsi" w:hAnsiTheme="minorHAnsi"/>
              </w:rPr>
            </w:pPr>
            <w:r w:rsidRPr="00A23FB4">
              <w:rPr>
                <w:rFonts w:asciiTheme="minorHAnsi" w:hAnsiTheme="minorHAnsi"/>
              </w:rPr>
              <w:t>C</w:t>
            </w:r>
          </w:p>
        </w:tc>
        <w:tc>
          <w:tcPr>
            <w:tcW w:w="5251" w:type="dxa"/>
            <w:shd w:val="clear" w:color="auto" w:fill="FFFFFF"/>
          </w:tcPr>
          <w:p w14:paraId="44BDDD23" w14:textId="77777777" w:rsidR="00357D2A" w:rsidRPr="00A23FB4" w:rsidRDefault="00357D2A" w:rsidP="00F408AB">
            <w:pPr>
              <w:shd w:val="clear" w:color="auto" w:fill="FFFFFF"/>
              <w:spacing w:line="226" w:lineRule="exact"/>
              <w:ind w:right="24"/>
              <w:rPr>
                <w:rFonts w:asciiTheme="minorHAnsi" w:hAnsiTheme="minorHAnsi"/>
              </w:rPr>
            </w:pPr>
            <w:r w:rsidRPr="00A23FB4">
              <w:rPr>
                <w:rFonts w:asciiTheme="minorHAnsi" w:hAnsiTheme="minorHAnsi"/>
              </w:rPr>
              <w:t>Długość: ± 1%, nie mniej niż 4 mm i nie więcej niż 10 mm. Inne wymiary z wyjątkiem promienia:</w:t>
            </w:r>
          </w:p>
          <w:p w14:paraId="42D95125" w14:textId="77777777" w:rsidR="00357D2A" w:rsidRPr="00A23FB4" w:rsidRDefault="00357D2A" w:rsidP="00F408AB">
            <w:pPr>
              <w:shd w:val="clear" w:color="auto" w:fill="FFFFFF"/>
              <w:tabs>
                <w:tab w:val="left" w:pos="226"/>
              </w:tabs>
              <w:spacing w:line="226" w:lineRule="exact"/>
              <w:ind w:right="24"/>
              <w:rPr>
                <w:rFonts w:asciiTheme="minorHAnsi" w:hAnsiTheme="minorHAnsi"/>
              </w:rPr>
            </w:pPr>
            <w:r w:rsidRPr="00A23FB4">
              <w:rPr>
                <w:rFonts w:asciiTheme="minorHAnsi" w:hAnsiTheme="minorHAnsi"/>
              </w:rPr>
              <w:t>-</w:t>
            </w:r>
            <w:r w:rsidRPr="00A23FB4">
              <w:rPr>
                <w:rFonts w:asciiTheme="minorHAnsi" w:hAnsiTheme="minorHAnsi"/>
              </w:rPr>
              <w:tab/>
            </w:r>
            <w:r w:rsidRPr="00A23FB4">
              <w:rPr>
                <w:rFonts w:asciiTheme="minorHAnsi" w:hAnsiTheme="minorHAnsi"/>
                <w:spacing w:val="-1"/>
              </w:rPr>
              <w:t>dla powierzchni: ± 3%, nie mniej niż 3 mm i nie więcej niż 5</w:t>
            </w:r>
            <w:r w:rsidRPr="00A23FB4">
              <w:rPr>
                <w:rFonts w:asciiTheme="minorHAnsi" w:hAnsiTheme="minorHAnsi"/>
                <w:spacing w:val="-1"/>
              </w:rPr>
              <w:br/>
            </w:r>
            <w:r w:rsidRPr="00A23FB4">
              <w:rPr>
                <w:rFonts w:asciiTheme="minorHAnsi" w:hAnsiTheme="minorHAnsi"/>
              </w:rPr>
              <w:t>mm,</w:t>
            </w:r>
          </w:p>
          <w:p w14:paraId="260AD295" w14:textId="77777777" w:rsidR="00357D2A" w:rsidRPr="00A23FB4" w:rsidRDefault="00357D2A" w:rsidP="00F408AB">
            <w:pPr>
              <w:shd w:val="clear" w:color="auto" w:fill="FFFFFF"/>
              <w:tabs>
                <w:tab w:val="left" w:pos="226"/>
              </w:tabs>
              <w:spacing w:line="226" w:lineRule="exact"/>
              <w:ind w:right="24"/>
              <w:rPr>
                <w:rFonts w:asciiTheme="minorHAnsi" w:hAnsiTheme="minorHAnsi"/>
              </w:rPr>
            </w:pPr>
            <w:r w:rsidRPr="00A23FB4">
              <w:rPr>
                <w:rFonts w:asciiTheme="minorHAnsi" w:hAnsiTheme="minorHAnsi"/>
              </w:rPr>
              <w:t>-</w:t>
            </w:r>
            <w:r w:rsidRPr="00A23FB4">
              <w:rPr>
                <w:rFonts w:asciiTheme="minorHAnsi" w:hAnsiTheme="minorHAnsi"/>
              </w:rPr>
              <w:tab/>
            </w:r>
            <w:r w:rsidRPr="00A23FB4">
              <w:rPr>
                <w:rFonts w:asciiTheme="minorHAnsi" w:hAnsiTheme="minorHAnsi"/>
                <w:spacing w:val="-1"/>
              </w:rPr>
              <w:t>dla innych części: ± 5%, nie mniej niż 3 mm i nie więcej niż</w:t>
            </w:r>
            <w:r w:rsidRPr="00A23FB4">
              <w:rPr>
                <w:rFonts w:asciiTheme="minorHAnsi" w:hAnsiTheme="minorHAnsi"/>
                <w:spacing w:val="-1"/>
              </w:rPr>
              <w:br/>
            </w:r>
            <w:r w:rsidRPr="00A23FB4">
              <w:rPr>
                <w:rFonts w:asciiTheme="minorHAnsi" w:hAnsiTheme="minorHAnsi"/>
              </w:rPr>
              <w:t>10 mm.</w:t>
            </w:r>
          </w:p>
        </w:tc>
      </w:tr>
      <w:tr w:rsidR="00357D2A" w:rsidRPr="00A23FB4" w14:paraId="169DE31D" w14:textId="77777777" w:rsidTr="00F408AB">
        <w:trPr>
          <w:trHeight w:hRule="exact" w:val="1622"/>
        </w:trPr>
        <w:tc>
          <w:tcPr>
            <w:tcW w:w="571" w:type="dxa"/>
            <w:shd w:val="clear" w:color="auto" w:fill="FFFFFF"/>
          </w:tcPr>
          <w:p w14:paraId="366476F8" w14:textId="77777777" w:rsidR="00357D2A" w:rsidRPr="00A23FB4" w:rsidRDefault="00357D2A" w:rsidP="00F408AB">
            <w:pPr>
              <w:shd w:val="clear" w:color="auto" w:fill="FFFFFF"/>
              <w:rPr>
                <w:rFonts w:asciiTheme="minorHAnsi" w:hAnsiTheme="minorHAnsi"/>
              </w:rPr>
            </w:pPr>
            <w:r w:rsidRPr="00A23FB4">
              <w:rPr>
                <w:rFonts w:asciiTheme="minorHAnsi" w:hAnsiTheme="minorHAnsi"/>
              </w:rPr>
              <w:t>1.2</w:t>
            </w:r>
          </w:p>
        </w:tc>
        <w:tc>
          <w:tcPr>
            <w:tcW w:w="2693" w:type="dxa"/>
            <w:shd w:val="clear" w:color="auto" w:fill="FFFFFF"/>
          </w:tcPr>
          <w:p w14:paraId="4734D7D1" w14:textId="77777777" w:rsidR="00357D2A" w:rsidRPr="00A23FB4" w:rsidRDefault="00357D2A" w:rsidP="00F408AB">
            <w:pPr>
              <w:shd w:val="clear" w:color="auto" w:fill="FFFFFF"/>
              <w:spacing w:line="230" w:lineRule="exact"/>
              <w:ind w:right="187"/>
              <w:rPr>
                <w:rFonts w:asciiTheme="minorHAnsi" w:hAnsiTheme="minorHAnsi"/>
              </w:rPr>
            </w:pPr>
            <w:r w:rsidRPr="00A23FB4">
              <w:rPr>
                <w:rFonts w:asciiTheme="minorHAnsi" w:hAnsiTheme="minorHAnsi"/>
              </w:rPr>
              <w:t xml:space="preserve">Dopuszczalne odchyłki od </w:t>
            </w:r>
            <w:r w:rsidRPr="00A23FB4">
              <w:rPr>
                <w:rFonts w:asciiTheme="minorHAnsi" w:hAnsiTheme="minorHAnsi"/>
                <w:spacing w:val="-1"/>
              </w:rPr>
              <w:t xml:space="preserve">płaskości i prostoliniowości, </w:t>
            </w:r>
            <w:r w:rsidRPr="00A23FB4">
              <w:rPr>
                <w:rFonts w:asciiTheme="minorHAnsi" w:hAnsiTheme="minorHAnsi"/>
              </w:rPr>
              <w:t>dla długości pomiarowej</w:t>
            </w:r>
          </w:p>
          <w:p w14:paraId="514850F4" w14:textId="77777777" w:rsidR="00357D2A" w:rsidRPr="00A23FB4" w:rsidRDefault="00357D2A" w:rsidP="00F408AB">
            <w:pPr>
              <w:shd w:val="clear" w:color="auto" w:fill="FFFFFF"/>
              <w:spacing w:line="230" w:lineRule="exact"/>
              <w:rPr>
                <w:rFonts w:asciiTheme="minorHAnsi" w:hAnsiTheme="minorHAnsi"/>
              </w:rPr>
            </w:pPr>
            <w:r w:rsidRPr="00A23FB4">
              <w:rPr>
                <w:rFonts w:asciiTheme="minorHAnsi" w:hAnsiTheme="minorHAnsi"/>
              </w:rPr>
              <w:t>300 mm</w:t>
            </w:r>
          </w:p>
          <w:p w14:paraId="5E568D49" w14:textId="77777777" w:rsidR="00357D2A" w:rsidRPr="00A23FB4" w:rsidRDefault="00357D2A" w:rsidP="00F408AB">
            <w:pPr>
              <w:shd w:val="clear" w:color="auto" w:fill="FFFFFF"/>
              <w:spacing w:line="230" w:lineRule="exact"/>
              <w:rPr>
                <w:rFonts w:asciiTheme="minorHAnsi" w:hAnsiTheme="minorHAnsi"/>
              </w:rPr>
            </w:pPr>
            <w:r w:rsidRPr="00A23FB4">
              <w:rPr>
                <w:rFonts w:asciiTheme="minorHAnsi" w:hAnsiTheme="minorHAnsi"/>
              </w:rPr>
              <w:t>400 mm</w:t>
            </w:r>
          </w:p>
          <w:p w14:paraId="397711E5" w14:textId="77777777" w:rsidR="00357D2A" w:rsidRPr="00A23FB4" w:rsidRDefault="00357D2A" w:rsidP="00F408AB">
            <w:pPr>
              <w:shd w:val="clear" w:color="auto" w:fill="FFFFFF"/>
              <w:spacing w:line="230" w:lineRule="exact"/>
              <w:rPr>
                <w:rFonts w:asciiTheme="minorHAnsi" w:hAnsiTheme="minorHAnsi"/>
              </w:rPr>
            </w:pPr>
            <w:r w:rsidRPr="00A23FB4">
              <w:rPr>
                <w:rFonts w:asciiTheme="minorHAnsi" w:hAnsiTheme="minorHAnsi"/>
              </w:rPr>
              <w:t>500 mm</w:t>
            </w:r>
          </w:p>
          <w:p w14:paraId="27F65902" w14:textId="77777777" w:rsidR="00357D2A" w:rsidRPr="00A23FB4" w:rsidRDefault="00357D2A" w:rsidP="00F408AB">
            <w:pPr>
              <w:shd w:val="clear" w:color="auto" w:fill="FFFFFF"/>
              <w:spacing w:line="230" w:lineRule="exact"/>
              <w:rPr>
                <w:rFonts w:asciiTheme="minorHAnsi" w:hAnsiTheme="minorHAnsi"/>
              </w:rPr>
            </w:pPr>
            <w:r w:rsidRPr="00A23FB4">
              <w:rPr>
                <w:rFonts w:asciiTheme="minorHAnsi" w:hAnsiTheme="minorHAnsi"/>
              </w:rPr>
              <w:t>800 mm</w:t>
            </w:r>
          </w:p>
        </w:tc>
        <w:tc>
          <w:tcPr>
            <w:tcW w:w="1133" w:type="dxa"/>
            <w:shd w:val="clear" w:color="auto" w:fill="FFFFFF"/>
          </w:tcPr>
          <w:p w14:paraId="30C15AE6" w14:textId="77777777" w:rsidR="00357D2A" w:rsidRPr="00A23FB4" w:rsidRDefault="00357D2A" w:rsidP="00F408AB">
            <w:pPr>
              <w:shd w:val="clear" w:color="auto" w:fill="FFFFFF"/>
              <w:rPr>
                <w:rFonts w:asciiTheme="minorHAnsi" w:hAnsiTheme="minorHAnsi"/>
              </w:rPr>
            </w:pPr>
            <w:r w:rsidRPr="00A23FB4">
              <w:rPr>
                <w:rFonts w:asciiTheme="minorHAnsi" w:hAnsiTheme="minorHAnsi"/>
              </w:rPr>
              <w:t>C</w:t>
            </w:r>
          </w:p>
        </w:tc>
        <w:tc>
          <w:tcPr>
            <w:tcW w:w="5251" w:type="dxa"/>
            <w:shd w:val="clear" w:color="auto" w:fill="FFFFFF"/>
          </w:tcPr>
          <w:p w14:paraId="04C8F3BD" w14:textId="77777777" w:rsidR="00357D2A" w:rsidRPr="00A23FB4" w:rsidRDefault="00357D2A" w:rsidP="00F408AB">
            <w:pPr>
              <w:shd w:val="clear" w:color="auto" w:fill="FFFFFF"/>
              <w:spacing w:line="226" w:lineRule="exact"/>
              <w:ind w:left="2136" w:right="2131"/>
              <w:rPr>
                <w:rFonts w:asciiTheme="minorHAnsi" w:hAnsiTheme="minorHAnsi"/>
              </w:rPr>
            </w:pPr>
          </w:p>
          <w:p w14:paraId="2C3B4665" w14:textId="77777777" w:rsidR="00357D2A" w:rsidRPr="00A23FB4" w:rsidRDefault="00357D2A" w:rsidP="00F408AB">
            <w:pPr>
              <w:shd w:val="clear" w:color="auto" w:fill="FFFFFF"/>
              <w:spacing w:line="226" w:lineRule="exact"/>
              <w:ind w:left="2136" w:right="2131"/>
              <w:rPr>
                <w:rFonts w:asciiTheme="minorHAnsi" w:hAnsiTheme="minorHAnsi"/>
              </w:rPr>
            </w:pPr>
          </w:p>
          <w:p w14:paraId="79085506" w14:textId="77777777" w:rsidR="00357D2A" w:rsidRPr="00A23FB4" w:rsidRDefault="00357D2A" w:rsidP="00F408AB">
            <w:pPr>
              <w:shd w:val="clear" w:color="auto" w:fill="FFFFFF"/>
              <w:spacing w:line="226" w:lineRule="exact"/>
              <w:ind w:left="2136" w:right="2131"/>
              <w:rPr>
                <w:rFonts w:asciiTheme="minorHAnsi" w:hAnsiTheme="minorHAnsi"/>
              </w:rPr>
            </w:pPr>
          </w:p>
          <w:p w14:paraId="41A2628C" w14:textId="77777777" w:rsidR="00B0480C" w:rsidRDefault="00357D2A" w:rsidP="00F408AB">
            <w:pPr>
              <w:shd w:val="clear" w:color="auto" w:fill="FFFFFF"/>
              <w:spacing w:line="226" w:lineRule="exact"/>
              <w:ind w:left="2136" w:right="2131"/>
              <w:rPr>
                <w:rFonts w:asciiTheme="minorHAnsi" w:hAnsiTheme="minorHAnsi"/>
              </w:rPr>
            </w:pPr>
            <w:r w:rsidRPr="00A23FB4">
              <w:rPr>
                <w:rFonts w:asciiTheme="minorHAnsi" w:hAnsiTheme="minorHAnsi"/>
              </w:rPr>
              <w:t xml:space="preserve">± 1,5 mm </w:t>
            </w:r>
          </w:p>
          <w:p w14:paraId="03D6E54F" w14:textId="77777777" w:rsidR="00B0480C" w:rsidRDefault="00357D2A" w:rsidP="00F408AB">
            <w:pPr>
              <w:shd w:val="clear" w:color="auto" w:fill="FFFFFF"/>
              <w:spacing w:line="226" w:lineRule="exact"/>
              <w:ind w:left="2136" w:right="2131"/>
              <w:rPr>
                <w:rFonts w:asciiTheme="minorHAnsi" w:hAnsiTheme="minorHAnsi"/>
              </w:rPr>
            </w:pPr>
            <w:r w:rsidRPr="00A23FB4">
              <w:rPr>
                <w:rFonts w:asciiTheme="minorHAnsi" w:hAnsiTheme="minorHAnsi"/>
              </w:rPr>
              <w:t xml:space="preserve">± 2,0 mm </w:t>
            </w:r>
          </w:p>
          <w:p w14:paraId="1C198C79" w14:textId="77777777" w:rsidR="00B0480C" w:rsidRDefault="00357D2A" w:rsidP="00F408AB">
            <w:pPr>
              <w:shd w:val="clear" w:color="auto" w:fill="FFFFFF"/>
              <w:spacing w:line="226" w:lineRule="exact"/>
              <w:ind w:left="2136" w:right="2131"/>
              <w:rPr>
                <w:rFonts w:asciiTheme="minorHAnsi" w:hAnsiTheme="minorHAnsi"/>
              </w:rPr>
            </w:pPr>
            <w:r w:rsidRPr="00A23FB4">
              <w:rPr>
                <w:rFonts w:asciiTheme="minorHAnsi" w:hAnsiTheme="minorHAnsi"/>
              </w:rPr>
              <w:t xml:space="preserve">± 2,5 mm </w:t>
            </w:r>
          </w:p>
          <w:p w14:paraId="4FB2BA32" w14:textId="6627B361" w:rsidR="00357D2A" w:rsidRPr="00A23FB4" w:rsidRDefault="00357D2A" w:rsidP="00F408AB">
            <w:pPr>
              <w:shd w:val="clear" w:color="auto" w:fill="FFFFFF"/>
              <w:spacing w:line="226" w:lineRule="exact"/>
              <w:ind w:left="2136" w:right="2131"/>
              <w:rPr>
                <w:rFonts w:asciiTheme="minorHAnsi" w:hAnsiTheme="minorHAnsi"/>
              </w:rPr>
            </w:pPr>
            <w:r w:rsidRPr="00A23FB4">
              <w:rPr>
                <w:rFonts w:asciiTheme="minorHAnsi" w:hAnsiTheme="minorHAnsi"/>
              </w:rPr>
              <w:t>± 4,0 mm</w:t>
            </w:r>
          </w:p>
        </w:tc>
      </w:tr>
    </w:tbl>
    <w:p w14:paraId="421E85EF" w14:textId="77777777" w:rsidR="00357D2A" w:rsidRPr="00A23FB4" w:rsidRDefault="00357D2A" w:rsidP="00357D2A">
      <w:pPr>
        <w:shd w:val="clear" w:color="auto" w:fill="FFFFFF"/>
        <w:spacing w:before="480"/>
        <w:ind w:left="4541"/>
        <w:rPr>
          <w:rFonts w:asciiTheme="minorHAnsi" w:hAnsiTheme="minorHAnsi"/>
        </w:rPr>
        <w:sectPr w:rsidR="00357D2A" w:rsidRPr="00A23FB4" w:rsidSect="00EE6010">
          <w:type w:val="continuous"/>
          <w:pgSz w:w="11899" w:h="16838"/>
          <w:pgMar w:top="1417" w:right="1417" w:bottom="1417" w:left="1417" w:header="708" w:footer="708" w:gutter="0"/>
          <w:cols w:space="60"/>
          <w:noEndnote/>
        </w:sectPr>
      </w:pPr>
    </w:p>
    <w:p w14:paraId="2804F6B8" w14:textId="7FA345EE" w:rsidR="00357D2A" w:rsidRPr="00A23FB4" w:rsidRDefault="00357D2A" w:rsidP="00357D2A">
      <w:pPr>
        <w:overflowPunct/>
        <w:autoSpaceDE/>
        <w:autoSpaceDN/>
        <w:adjustRightInd/>
        <w:jc w:val="left"/>
        <w:textAlignment w:val="auto"/>
        <w:rPr>
          <w:rFonts w:asciiTheme="minorHAnsi" w:hAnsiTheme="minorHAnsi"/>
        </w:rPr>
      </w:pPr>
    </w:p>
    <w:p w14:paraId="6179C2F7" w14:textId="77777777" w:rsidR="00357D2A" w:rsidRPr="00A23FB4" w:rsidRDefault="00357D2A" w:rsidP="00357D2A">
      <w:pPr>
        <w:spacing w:after="259" w:line="1" w:lineRule="exact"/>
        <w:rPr>
          <w:rFonts w:asciiTheme="minorHAnsi" w:hAnsiTheme="minorHAnsi"/>
        </w:rPr>
      </w:pPr>
    </w:p>
    <w:tbl>
      <w:tblPr>
        <w:tblW w:w="0" w:type="auto"/>
        <w:tblInd w:w="40" w:type="dxa"/>
        <w:tblLayout w:type="fixed"/>
        <w:tblCellMar>
          <w:left w:w="40" w:type="dxa"/>
          <w:right w:w="40" w:type="dxa"/>
        </w:tblCellMar>
        <w:tblLook w:val="0000" w:firstRow="0" w:lastRow="0" w:firstColumn="0" w:lastColumn="0" w:noHBand="0" w:noVBand="0"/>
      </w:tblPr>
      <w:tblGrid>
        <w:gridCol w:w="571"/>
        <w:gridCol w:w="2693"/>
        <w:gridCol w:w="1133"/>
        <w:gridCol w:w="2625"/>
        <w:gridCol w:w="2626"/>
      </w:tblGrid>
      <w:tr w:rsidR="00357D2A" w:rsidRPr="00A23FB4" w14:paraId="526FA422" w14:textId="77777777" w:rsidTr="00F408AB">
        <w:trPr>
          <w:trHeight w:hRule="exact" w:val="389"/>
        </w:trPr>
        <w:tc>
          <w:tcPr>
            <w:tcW w:w="571" w:type="dxa"/>
            <w:tcBorders>
              <w:top w:val="single" w:sz="6" w:space="0" w:color="auto"/>
              <w:left w:val="single" w:sz="6" w:space="0" w:color="auto"/>
              <w:bottom w:val="single" w:sz="6" w:space="0" w:color="auto"/>
              <w:right w:val="single" w:sz="6" w:space="0" w:color="auto"/>
            </w:tcBorders>
            <w:shd w:val="clear" w:color="auto" w:fill="FFFFFF"/>
          </w:tcPr>
          <w:p w14:paraId="17395A92" w14:textId="77777777" w:rsidR="00357D2A" w:rsidRPr="00A23FB4" w:rsidRDefault="00357D2A" w:rsidP="00F408AB">
            <w:pPr>
              <w:shd w:val="clear" w:color="auto" w:fill="FFFFFF"/>
              <w:rPr>
                <w:rFonts w:asciiTheme="minorHAnsi" w:hAnsiTheme="minorHAnsi"/>
              </w:rPr>
            </w:pPr>
            <w:r w:rsidRPr="00A23FB4">
              <w:rPr>
                <w:rFonts w:asciiTheme="minorHAnsi" w:hAnsiTheme="minorHAnsi"/>
                <w:i/>
                <w:iCs/>
              </w:rPr>
              <w:t>2</w:t>
            </w:r>
          </w:p>
        </w:tc>
        <w:tc>
          <w:tcPr>
            <w:tcW w:w="9077" w:type="dxa"/>
            <w:gridSpan w:val="4"/>
            <w:tcBorders>
              <w:top w:val="single" w:sz="6" w:space="0" w:color="auto"/>
              <w:left w:val="single" w:sz="6" w:space="0" w:color="auto"/>
              <w:bottom w:val="single" w:sz="6" w:space="0" w:color="auto"/>
              <w:right w:val="single" w:sz="6" w:space="0" w:color="auto"/>
            </w:tcBorders>
            <w:shd w:val="clear" w:color="auto" w:fill="FFFFFF"/>
          </w:tcPr>
          <w:p w14:paraId="0E54488B" w14:textId="77777777" w:rsidR="00357D2A" w:rsidRPr="00A23FB4" w:rsidRDefault="00357D2A" w:rsidP="00F408AB">
            <w:pPr>
              <w:shd w:val="clear" w:color="auto" w:fill="FFFFFF"/>
              <w:rPr>
                <w:rFonts w:asciiTheme="minorHAnsi" w:hAnsiTheme="minorHAnsi"/>
              </w:rPr>
            </w:pPr>
            <w:r w:rsidRPr="00A23FB4">
              <w:rPr>
                <w:rFonts w:asciiTheme="minorHAnsi" w:hAnsiTheme="minorHAnsi"/>
              </w:rPr>
              <w:t>Właściwości fizyczne i mechaniczne</w:t>
            </w:r>
          </w:p>
        </w:tc>
      </w:tr>
      <w:tr w:rsidR="00357D2A" w:rsidRPr="00A23FB4" w14:paraId="5943EF28" w14:textId="77777777" w:rsidTr="00F408AB">
        <w:trPr>
          <w:trHeight w:hRule="exact" w:val="1272"/>
        </w:trPr>
        <w:tc>
          <w:tcPr>
            <w:tcW w:w="571" w:type="dxa"/>
            <w:tcBorders>
              <w:top w:val="single" w:sz="6" w:space="0" w:color="auto"/>
              <w:left w:val="single" w:sz="6" w:space="0" w:color="auto"/>
              <w:bottom w:val="single" w:sz="6" w:space="0" w:color="auto"/>
              <w:right w:val="single" w:sz="6" w:space="0" w:color="auto"/>
            </w:tcBorders>
            <w:shd w:val="clear" w:color="auto" w:fill="FFFFFF"/>
          </w:tcPr>
          <w:p w14:paraId="1FF88991" w14:textId="77777777" w:rsidR="00357D2A" w:rsidRPr="00A23FB4" w:rsidRDefault="00357D2A" w:rsidP="00F408AB">
            <w:pPr>
              <w:shd w:val="clear" w:color="auto" w:fill="FFFFFF"/>
              <w:rPr>
                <w:rFonts w:asciiTheme="minorHAnsi" w:hAnsiTheme="minorHAnsi"/>
              </w:rPr>
            </w:pPr>
            <w:r w:rsidRPr="00A23FB4">
              <w:rPr>
                <w:rFonts w:asciiTheme="minorHAnsi" w:hAnsiTheme="minorHAnsi"/>
              </w:rPr>
              <w:t>2.1</w:t>
            </w:r>
          </w:p>
        </w:tc>
        <w:tc>
          <w:tcPr>
            <w:tcW w:w="2693" w:type="dxa"/>
            <w:tcBorders>
              <w:top w:val="single" w:sz="6" w:space="0" w:color="auto"/>
              <w:left w:val="single" w:sz="6" w:space="0" w:color="auto"/>
              <w:bottom w:val="single" w:sz="6" w:space="0" w:color="auto"/>
              <w:right w:val="single" w:sz="6" w:space="0" w:color="auto"/>
            </w:tcBorders>
            <w:shd w:val="clear" w:color="auto" w:fill="FFFFFF"/>
          </w:tcPr>
          <w:p w14:paraId="1CC231A8" w14:textId="77777777" w:rsidR="00357D2A" w:rsidRPr="00A23FB4" w:rsidRDefault="00357D2A" w:rsidP="00F408AB">
            <w:pPr>
              <w:shd w:val="clear" w:color="auto" w:fill="FFFFFF"/>
              <w:spacing w:line="250" w:lineRule="exact"/>
              <w:ind w:right="91" w:firstLine="5"/>
              <w:rPr>
                <w:rFonts w:asciiTheme="minorHAnsi" w:hAnsiTheme="minorHAnsi"/>
              </w:rPr>
            </w:pPr>
            <w:r w:rsidRPr="00A23FB4">
              <w:rPr>
                <w:rFonts w:asciiTheme="minorHAnsi" w:hAnsiTheme="minorHAnsi"/>
              </w:rPr>
              <w:t xml:space="preserve">Odporność na </w:t>
            </w:r>
            <w:r w:rsidRPr="00A23FB4">
              <w:rPr>
                <w:rFonts w:asciiTheme="minorHAnsi" w:hAnsiTheme="minorHAnsi"/>
                <w:spacing w:val="-1"/>
              </w:rPr>
              <w:t xml:space="preserve">zamrażanie/rozmrażanie z </w:t>
            </w:r>
            <w:r w:rsidRPr="00A23FB4">
              <w:rPr>
                <w:rFonts w:asciiTheme="minorHAnsi" w:hAnsiTheme="minorHAnsi"/>
              </w:rPr>
              <w:t>udziałem soli</w:t>
            </w:r>
          </w:p>
          <w:p w14:paraId="60F7B36D" w14:textId="77777777" w:rsidR="00357D2A" w:rsidRPr="00A23FB4" w:rsidRDefault="00357D2A" w:rsidP="00F408AB">
            <w:pPr>
              <w:shd w:val="clear" w:color="auto" w:fill="FFFFFF"/>
              <w:spacing w:line="250" w:lineRule="exact"/>
              <w:ind w:right="91" w:firstLine="5"/>
              <w:rPr>
                <w:rFonts w:asciiTheme="minorHAnsi" w:hAnsiTheme="minorHAnsi"/>
              </w:rPr>
            </w:pPr>
            <w:r w:rsidRPr="00A23FB4">
              <w:rPr>
                <w:rFonts w:asciiTheme="minorHAnsi" w:hAnsiTheme="minorHAnsi"/>
                <w:spacing w:val="-2"/>
              </w:rPr>
              <w:t xml:space="preserve">odladzających (wg klasy 3, </w:t>
            </w:r>
            <w:r w:rsidRPr="00A23FB4">
              <w:rPr>
                <w:rFonts w:asciiTheme="minorHAnsi" w:hAnsiTheme="minorHAnsi"/>
              </w:rPr>
              <w:t>znakowanie D)</w:t>
            </w:r>
          </w:p>
        </w:tc>
        <w:tc>
          <w:tcPr>
            <w:tcW w:w="1133" w:type="dxa"/>
            <w:tcBorders>
              <w:top w:val="single" w:sz="6" w:space="0" w:color="auto"/>
              <w:left w:val="single" w:sz="6" w:space="0" w:color="auto"/>
              <w:bottom w:val="single" w:sz="6" w:space="0" w:color="auto"/>
              <w:right w:val="single" w:sz="6" w:space="0" w:color="auto"/>
            </w:tcBorders>
            <w:shd w:val="clear" w:color="auto" w:fill="FFFFFF"/>
          </w:tcPr>
          <w:p w14:paraId="19AB3BAF" w14:textId="77777777" w:rsidR="00357D2A" w:rsidRPr="00A23FB4" w:rsidRDefault="00357D2A" w:rsidP="00F408AB">
            <w:pPr>
              <w:shd w:val="clear" w:color="auto" w:fill="FFFFFF"/>
              <w:rPr>
                <w:rFonts w:asciiTheme="minorHAnsi" w:hAnsiTheme="minorHAnsi"/>
              </w:rPr>
            </w:pPr>
            <w:r w:rsidRPr="00A23FB4">
              <w:rPr>
                <w:rFonts w:asciiTheme="minorHAnsi" w:hAnsiTheme="minorHAnsi"/>
              </w:rPr>
              <w:t>D</w:t>
            </w:r>
          </w:p>
        </w:tc>
        <w:tc>
          <w:tcPr>
            <w:tcW w:w="5251" w:type="dxa"/>
            <w:gridSpan w:val="2"/>
            <w:tcBorders>
              <w:top w:val="single" w:sz="6" w:space="0" w:color="auto"/>
              <w:left w:val="single" w:sz="6" w:space="0" w:color="auto"/>
              <w:bottom w:val="single" w:sz="6" w:space="0" w:color="auto"/>
              <w:right w:val="single" w:sz="6" w:space="0" w:color="auto"/>
            </w:tcBorders>
            <w:shd w:val="clear" w:color="auto" w:fill="FFFFFF"/>
          </w:tcPr>
          <w:p w14:paraId="591D6F4E" w14:textId="77777777" w:rsidR="00357D2A" w:rsidRPr="00A23FB4" w:rsidRDefault="00357D2A" w:rsidP="00F408AB">
            <w:pPr>
              <w:shd w:val="clear" w:color="auto" w:fill="FFFFFF"/>
              <w:spacing w:line="250" w:lineRule="exact"/>
              <w:ind w:left="5" w:right="221"/>
              <w:rPr>
                <w:rFonts w:asciiTheme="minorHAnsi" w:hAnsiTheme="minorHAnsi"/>
              </w:rPr>
            </w:pPr>
            <w:r w:rsidRPr="00A23FB4">
              <w:rPr>
                <w:rFonts w:asciiTheme="minorHAnsi" w:hAnsiTheme="minorHAnsi"/>
                <w:spacing w:val="-2"/>
              </w:rPr>
              <w:t xml:space="preserve">Ubytek masy po badaniu: wartość średnia </w:t>
            </w:r>
            <w:r w:rsidRPr="00A23FB4">
              <w:rPr>
                <w:rFonts w:asciiTheme="minorHAnsi" w:hAnsiTheme="minorHAnsi"/>
                <w:b/>
                <w:bCs/>
                <w:spacing w:val="-2"/>
              </w:rPr>
              <w:t xml:space="preserve">≤ </w:t>
            </w:r>
            <w:r w:rsidRPr="00A23FB4">
              <w:rPr>
                <w:rFonts w:asciiTheme="minorHAnsi" w:hAnsiTheme="minorHAnsi"/>
                <w:spacing w:val="-2"/>
              </w:rPr>
              <w:t>1,0 kg/m</w:t>
            </w:r>
            <w:r w:rsidRPr="00A23FB4">
              <w:rPr>
                <w:rFonts w:asciiTheme="minorHAnsi" w:hAnsiTheme="minorHAnsi"/>
                <w:spacing w:val="-2"/>
                <w:vertAlign w:val="superscript"/>
              </w:rPr>
              <w:t>2</w:t>
            </w:r>
            <w:r w:rsidRPr="00A23FB4">
              <w:rPr>
                <w:rFonts w:asciiTheme="minorHAnsi" w:hAnsiTheme="minorHAnsi"/>
                <w:spacing w:val="-2"/>
              </w:rPr>
              <w:t xml:space="preserve">, </w:t>
            </w:r>
            <w:r w:rsidRPr="00A23FB4">
              <w:rPr>
                <w:rFonts w:asciiTheme="minorHAnsi" w:hAnsiTheme="minorHAnsi"/>
              </w:rPr>
              <w:t>przy czym każdy pojedynczy wynik ≤ 1,5 kg/m</w:t>
            </w:r>
          </w:p>
        </w:tc>
      </w:tr>
      <w:tr w:rsidR="00357D2A" w:rsidRPr="00A23FB4" w14:paraId="79117D35" w14:textId="77777777" w:rsidTr="00F408AB">
        <w:trPr>
          <w:trHeight w:hRule="exact" w:val="768"/>
        </w:trPr>
        <w:tc>
          <w:tcPr>
            <w:tcW w:w="571" w:type="dxa"/>
            <w:tcBorders>
              <w:top w:val="single" w:sz="6" w:space="0" w:color="auto"/>
              <w:left w:val="single" w:sz="6" w:space="0" w:color="auto"/>
              <w:bottom w:val="single" w:sz="6" w:space="0" w:color="auto"/>
              <w:right w:val="single" w:sz="6" w:space="0" w:color="auto"/>
            </w:tcBorders>
            <w:shd w:val="clear" w:color="auto" w:fill="FFFFFF"/>
          </w:tcPr>
          <w:p w14:paraId="1E3AB9FC" w14:textId="77777777" w:rsidR="00357D2A" w:rsidRPr="00A23FB4" w:rsidRDefault="00357D2A" w:rsidP="00F408AB">
            <w:pPr>
              <w:shd w:val="clear" w:color="auto" w:fill="FFFFFF"/>
              <w:rPr>
                <w:rFonts w:asciiTheme="minorHAnsi" w:hAnsiTheme="minorHAnsi"/>
              </w:rPr>
            </w:pPr>
            <w:r w:rsidRPr="00A23FB4">
              <w:rPr>
                <w:rFonts w:asciiTheme="minorHAnsi" w:hAnsiTheme="minorHAnsi"/>
              </w:rPr>
              <w:t>2.2</w:t>
            </w:r>
          </w:p>
        </w:tc>
        <w:tc>
          <w:tcPr>
            <w:tcW w:w="2693" w:type="dxa"/>
            <w:tcBorders>
              <w:top w:val="single" w:sz="6" w:space="0" w:color="auto"/>
              <w:left w:val="single" w:sz="6" w:space="0" w:color="auto"/>
              <w:bottom w:val="single" w:sz="6" w:space="0" w:color="auto"/>
              <w:right w:val="single" w:sz="6" w:space="0" w:color="auto"/>
            </w:tcBorders>
            <w:shd w:val="clear" w:color="auto" w:fill="FFFFFF"/>
          </w:tcPr>
          <w:p w14:paraId="4DFDB3F7" w14:textId="77777777" w:rsidR="00357D2A" w:rsidRPr="00A23FB4" w:rsidRDefault="00357D2A" w:rsidP="00F408AB">
            <w:pPr>
              <w:shd w:val="clear" w:color="auto" w:fill="FFFFFF"/>
              <w:spacing w:line="250" w:lineRule="exact"/>
              <w:ind w:right="130"/>
              <w:rPr>
                <w:rFonts w:asciiTheme="minorHAnsi" w:hAnsiTheme="minorHAnsi"/>
              </w:rPr>
            </w:pPr>
            <w:r w:rsidRPr="00A23FB4">
              <w:rPr>
                <w:rFonts w:asciiTheme="minorHAnsi" w:hAnsiTheme="minorHAnsi"/>
                <w:spacing w:val="-1"/>
              </w:rPr>
              <w:t xml:space="preserve">Wytrzymałość na zginanie (wg klasy 2 oznaczenia T </w:t>
            </w:r>
            <w:r w:rsidRPr="00A23FB4">
              <w:rPr>
                <w:rFonts w:asciiTheme="minorHAnsi" w:hAnsiTheme="minorHAnsi"/>
              </w:rPr>
              <w:t>normy)</w:t>
            </w:r>
          </w:p>
        </w:tc>
        <w:tc>
          <w:tcPr>
            <w:tcW w:w="1133" w:type="dxa"/>
            <w:tcBorders>
              <w:top w:val="single" w:sz="6" w:space="0" w:color="auto"/>
              <w:left w:val="single" w:sz="6" w:space="0" w:color="auto"/>
              <w:bottom w:val="single" w:sz="6" w:space="0" w:color="auto"/>
              <w:right w:val="single" w:sz="6" w:space="0" w:color="auto"/>
            </w:tcBorders>
            <w:shd w:val="clear" w:color="auto" w:fill="FFFFFF"/>
          </w:tcPr>
          <w:p w14:paraId="18EDE625" w14:textId="77777777" w:rsidR="00357D2A" w:rsidRPr="00A23FB4" w:rsidRDefault="00357D2A" w:rsidP="00F408AB">
            <w:pPr>
              <w:shd w:val="clear" w:color="auto" w:fill="FFFFFF"/>
              <w:rPr>
                <w:rFonts w:asciiTheme="minorHAnsi" w:hAnsiTheme="minorHAnsi"/>
              </w:rPr>
            </w:pPr>
            <w:r w:rsidRPr="00A23FB4">
              <w:rPr>
                <w:rFonts w:asciiTheme="minorHAnsi" w:hAnsiTheme="minorHAnsi"/>
              </w:rPr>
              <w:t>F</w:t>
            </w:r>
          </w:p>
        </w:tc>
        <w:tc>
          <w:tcPr>
            <w:tcW w:w="5251" w:type="dxa"/>
            <w:gridSpan w:val="2"/>
            <w:tcBorders>
              <w:top w:val="single" w:sz="6" w:space="0" w:color="auto"/>
              <w:left w:val="single" w:sz="6" w:space="0" w:color="auto"/>
              <w:bottom w:val="single" w:sz="6" w:space="0" w:color="auto"/>
              <w:right w:val="single" w:sz="6" w:space="0" w:color="auto"/>
            </w:tcBorders>
            <w:shd w:val="clear" w:color="auto" w:fill="FFFFFF"/>
          </w:tcPr>
          <w:p w14:paraId="79A2E3FE" w14:textId="77777777" w:rsidR="00357D2A" w:rsidRPr="00A23FB4" w:rsidRDefault="00357D2A" w:rsidP="00F408AB">
            <w:pPr>
              <w:shd w:val="clear" w:color="auto" w:fill="FFFFFF"/>
              <w:spacing w:line="274" w:lineRule="exact"/>
              <w:ind w:right="739" w:firstLine="10"/>
              <w:rPr>
                <w:rFonts w:asciiTheme="minorHAnsi" w:hAnsiTheme="minorHAnsi"/>
              </w:rPr>
            </w:pPr>
            <w:r w:rsidRPr="00A23FB4">
              <w:rPr>
                <w:rFonts w:asciiTheme="minorHAnsi" w:hAnsiTheme="minorHAnsi"/>
              </w:rPr>
              <w:t>charakterystyczna wytrzymałość na zginanie ≥5MPa i pojedynczy wynik &gt;4MPa</w:t>
            </w:r>
          </w:p>
        </w:tc>
      </w:tr>
      <w:tr w:rsidR="00357D2A" w:rsidRPr="00A23FB4" w14:paraId="32D429B6" w14:textId="77777777" w:rsidTr="00F408AB">
        <w:trPr>
          <w:trHeight w:hRule="exact" w:val="778"/>
        </w:trPr>
        <w:tc>
          <w:tcPr>
            <w:tcW w:w="571" w:type="dxa"/>
            <w:tcBorders>
              <w:top w:val="single" w:sz="6" w:space="0" w:color="auto"/>
              <w:left w:val="single" w:sz="6" w:space="0" w:color="auto"/>
              <w:bottom w:val="single" w:sz="6" w:space="0" w:color="auto"/>
              <w:right w:val="single" w:sz="6" w:space="0" w:color="auto"/>
            </w:tcBorders>
            <w:shd w:val="clear" w:color="auto" w:fill="FFFFFF"/>
          </w:tcPr>
          <w:p w14:paraId="2EFD56DC" w14:textId="77777777" w:rsidR="00357D2A" w:rsidRPr="00A23FB4" w:rsidRDefault="00357D2A" w:rsidP="00F408AB">
            <w:pPr>
              <w:shd w:val="clear" w:color="auto" w:fill="FFFFFF"/>
              <w:rPr>
                <w:rFonts w:asciiTheme="minorHAnsi" w:hAnsiTheme="minorHAnsi"/>
              </w:rPr>
            </w:pPr>
            <w:r w:rsidRPr="00A23FB4">
              <w:rPr>
                <w:rFonts w:asciiTheme="minorHAnsi" w:hAnsiTheme="minorHAnsi"/>
              </w:rPr>
              <w:t>2.3</w:t>
            </w:r>
          </w:p>
        </w:tc>
        <w:tc>
          <w:tcPr>
            <w:tcW w:w="2693" w:type="dxa"/>
            <w:tcBorders>
              <w:top w:val="single" w:sz="6" w:space="0" w:color="auto"/>
              <w:left w:val="single" w:sz="6" w:space="0" w:color="auto"/>
              <w:bottom w:val="single" w:sz="6" w:space="0" w:color="auto"/>
              <w:right w:val="single" w:sz="6" w:space="0" w:color="auto"/>
            </w:tcBorders>
            <w:shd w:val="clear" w:color="auto" w:fill="FFFFFF"/>
          </w:tcPr>
          <w:p w14:paraId="47FA1275" w14:textId="77777777" w:rsidR="00357D2A" w:rsidRPr="00A23FB4" w:rsidRDefault="00357D2A" w:rsidP="00F408AB">
            <w:pPr>
              <w:shd w:val="clear" w:color="auto" w:fill="FFFFFF"/>
              <w:spacing w:line="259" w:lineRule="exact"/>
              <w:ind w:right="154" w:firstLine="5"/>
              <w:rPr>
                <w:rFonts w:asciiTheme="minorHAnsi" w:hAnsiTheme="minorHAnsi"/>
              </w:rPr>
            </w:pPr>
            <w:r w:rsidRPr="00A23FB4">
              <w:rPr>
                <w:rFonts w:asciiTheme="minorHAnsi" w:hAnsiTheme="minorHAnsi"/>
                <w:spacing w:val="-1"/>
              </w:rPr>
              <w:t xml:space="preserve">Trwałość   (ze względu na </w:t>
            </w:r>
            <w:r w:rsidRPr="00A23FB4">
              <w:rPr>
                <w:rFonts w:asciiTheme="minorHAnsi" w:hAnsiTheme="minorHAnsi"/>
              </w:rPr>
              <w:t>wytrzymałość)</w:t>
            </w:r>
          </w:p>
        </w:tc>
        <w:tc>
          <w:tcPr>
            <w:tcW w:w="1133" w:type="dxa"/>
            <w:tcBorders>
              <w:top w:val="single" w:sz="6" w:space="0" w:color="auto"/>
              <w:left w:val="single" w:sz="6" w:space="0" w:color="auto"/>
              <w:bottom w:val="single" w:sz="6" w:space="0" w:color="auto"/>
              <w:right w:val="single" w:sz="6" w:space="0" w:color="auto"/>
            </w:tcBorders>
            <w:shd w:val="clear" w:color="auto" w:fill="FFFFFF"/>
          </w:tcPr>
          <w:p w14:paraId="5FA2F8DB" w14:textId="77777777" w:rsidR="00357D2A" w:rsidRPr="00A23FB4" w:rsidRDefault="00357D2A" w:rsidP="00F408AB">
            <w:pPr>
              <w:shd w:val="clear" w:color="auto" w:fill="FFFFFF"/>
              <w:rPr>
                <w:rFonts w:asciiTheme="minorHAnsi" w:hAnsiTheme="minorHAnsi"/>
              </w:rPr>
            </w:pPr>
            <w:r w:rsidRPr="00A23FB4">
              <w:rPr>
                <w:rFonts w:asciiTheme="minorHAnsi" w:hAnsiTheme="minorHAnsi"/>
              </w:rPr>
              <w:t>F</w:t>
            </w:r>
          </w:p>
        </w:tc>
        <w:tc>
          <w:tcPr>
            <w:tcW w:w="5251" w:type="dxa"/>
            <w:gridSpan w:val="2"/>
            <w:tcBorders>
              <w:top w:val="single" w:sz="6" w:space="0" w:color="auto"/>
              <w:left w:val="single" w:sz="6" w:space="0" w:color="auto"/>
              <w:bottom w:val="single" w:sz="6" w:space="0" w:color="auto"/>
              <w:right w:val="single" w:sz="6" w:space="0" w:color="auto"/>
            </w:tcBorders>
            <w:shd w:val="clear" w:color="auto" w:fill="FFFFFF"/>
          </w:tcPr>
          <w:p w14:paraId="0A31C80C" w14:textId="77777777" w:rsidR="00357D2A" w:rsidRPr="00A23FB4" w:rsidRDefault="00357D2A" w:rsidP="00F408AB">
            <w:pPr>
              <w:shd w:val="clear" w:color="auto" w:fill="FFFFFF"/>
              <w:spacing w:line="250" w:lineRule="exact"/>
              <w:ind w:right="370" w:firstLine="34"/>
              <w:rPr>
                <w:rFonts w:asciiTheme="minorHAnsi" w:hAnsiTheme="minorHAnsi"/>
              </w:rPr>
            </w:pPr>
            <w:r w:rsidRPr="00A23FB4">
              <w:rPr>
                <w:rFonts w:asciiTheme="minorHAnsi" w:hAnsiTheme="minorHAnsi"/>
                <w:spacing w:val="-2"/>
              </w:rPr>
              <w:t xml:space="preserve">Obrzeża mają zadawalającą trwałość (wytrzymałość) </w:t>
            </w:r>
            <w:r w:rsidRPr="00A23FB4">
              <w:rPr>
                <w:rFonts w:asciiTheme="minorHAnsi" w:hAnsiTheme="minorHAnsi"/>
              </w:rPr>
              <w:t>jeśli spełnione są wymagania pkt. 1.2 oraz istnieje normalna konserwacja</w:t>
            </w:r>
          </w:p>
        </w:tc>
      </w:tr>
      <w:tr w:rsidR="00357D2A" w:rsidRPr="00A23FB4" w14:paraId="421D9001" w14:textId="77777777" w:rsidTr="00F408AB">
        <w:trPr>
          <w:trHeight w:hRule="exact" w:val="493"/>
        </w:trPr>
        <w:tc>
          <w:tcPr>
            <w:tcW w:w="571" w:type="dxa"/>
            <w:vMerge w:val="restart"/>
            <w:tcBorders>
              <w:top w:val="single" w:sz="6" w:space="0" w:color="auto"/>
              <w:left w:val="single" w:sz="6" w:space="0" w:color="auto"/>
              <w:right w:val="single" w:sz="6" w:space="0" w:color="auto"/>
            </w:tcBorders>
            <w:shd w:val="clear" w:color="auto" w:fill="FFFFFF"/>
          </w:tcPr>
          <w:p w14:paraId="1050EB2F" w14:textId="77777777" w:rsidR="00357D2A" w:rsidRPr="00A23FB4" w:rsidRDefault="00357D2A" w:rsidP="00F408AB">
            <w:pPr>
              <w:shd w:val="clear" w:color="auto" w:fill="FFFFFF"/>
              <w:rPr>
                <w:rFonts w:asciiTheme="minorHAnsi" w:hAnsiTheme="minorHAnsi"/>
              </w:rPr>
            </w:pPr>
            <w:r w:rsidRPr="00A23FB4">
              <w:rPr>
                <w:rFonts w:asciiTheme="minorHAnsi" w:hAnsiTheme="minorHAnsi"/>
              </w:rPr>
              <w:t>2.4</w:t>
            </w:r>
          </w:p>
        </w:tc>
        <w:tc>
          <w:tcPr>
            <w:tcW w:w="2693" w:type="dxa"/>
            <w:vMerge w:val="restart"/>
            <w:tcBorders>
              <w:top w:val="single" w:sz="6" w:space="0" w:color="auto"/>
              <w:left w:val="single" w:sz="6" w:space="0" w:color="auto"/>
              <w:right w:val="single" w:sz="6" w:space="0" w:color="auto"/>
            </w:tcBorders>
            <w:shd w:val="clear" w:color="auto" w:fill="FFFFFF"/>
          </w:tcPr>
          <w:p w14:paraId="0B5B292B" w14:textId="77777777" w:rsidR="00357D2A" w:rsidRPr="00A23FB4" w:rsidRDefault="00357D2A" w:rsidP="00F408AB">
            <w:pPr>
              <w:shd w:val="clear" w:color="auto" w:fill="FFFFFF"/>
              <w:tabs>
                <w:tab w:val="left" w:pos="1129"/>
              </w:tabs>
              <w:spacing w:line="250" w:lineRule="exact"/>
              <w:rPr>
                <w:rFonts w:asciiTheme="minorHAnsi" w:hAnsiTheme="minorHAnsi"/>
              </w:rPr>
            </w:pPr>
            <w:r w:rsidRPr="00A23FB4">
              <w:rPr>
                <w:rFonts w:asciiTheme="minorHAnsi" w:hAnsiTheme="minorHAnsi"/>
                <w:spacing w:val="-2"/>
              </w:rPr>
              <w:t xml:space="preserve">Odporność na ścieranie (wg </w:t>
            </w:r>
            <w:r w:rsidRPr="00A23FB4">
              <w:rPr>
                <w:rFonts w:asciiTheme="minorHAnsi" w:hAnsiTheme="minorHAnsi"/>
                <w:spacing w:val="-1"/>
              </w:rPr>
              <w:t xml:space="preserve">klasy 4 oznaczenia I </w:t>
            </w:r>
            <w:r w:rsidRPr="00A23FB4">
              <w:rPr>
                <w:rFonts w:asciiTheme="minorHAnsi" w:hAnsiTheme="minorHAnsi"/>
              </w:rPr>
              <w:t>normy)</w:t>
            </w:r>
          </w:p>
          <w:p w14:paraId="434707D9" w14:textId="77777777" w:rsidR="00357D2A" w:rsidRPr="00A23FB4" w:rsidRDefault="00357D2A" w:rsidP="00F408AB">
            <w:pPr>
              <w:shd w:val="clear" w:color="auto" w:fill="FFFFFF"/>
              <w:ind w:firstLine="6"/>
              <w:rPr>
                <w:rFonts w:asciiTheme="minorHAnsi" w:hAnsiTheme="minorHAnsi"/>
                <w:spacing w:val="-1"/>
              </w:rPr>
            </w:pPr>
          </w:p>
        </w:tc>
        <w:tc>
          <w:tcPr>
            <w:tcW w:w="1133" w:type="dxa"/>
            <w:vMerge w:val="restart"/>
            <w:tcBorders>
              <w:top w:val="single" w:sz="6" w:space="0" w:color="auto"/>
              <w:left w:val="single" w:sz="6" w:space="0" w:color="auto"/>
              <w:right w:val="single" w:sz="6" w:space="0" w:color="auto"/>
            </w:tcBorders>
            <w:shd w:val="clear" w:color="auto" w:fill="FFFFFF"/>
          </w:tcPr>
          <w:p w14:paraId="1704F6A3" w14:textId="77777777" w:rsidR="00357D2A" w:rsidRPr="00A23FB4" w:rsidRDefault="00357D2A" w:rsidP="00F408AB">
            <w:pPr>
              <w:shd w:val="clear" w:color="auto" w:fill="FFFFFF"/>
              <w:rPr>
                <w:rFonts w:asciiTheme="minorHAnsi" w:hAnsiTheme="minorHAnsi"/>
              </w:rPr>
            </w:pPr>
            <w:r w:rsidRPr="00A23FB4">
              <w:rPr>
                <w:rFonts w:asciiTheme="minorHAnsi" w:hAnsiTheme="minorHAnsi"/>
              </w:rPr>
              <w:t>G i H</w:t>
            </w:r>
          </w:p>
        </w:tc>
        <w:tc>
          <w:tcPr>
            <w:tcW w:w="5251" w:type="dxa"/>
            <w:gridSpan w:val="2"/>
            <w:tcBorders>
              <w:top w:val="single" w:sz="6" w:space="0" w:color="auto"/>
              <w:left w:val="single" w:sz="6" w:space="0" w:color="auto"/>
              <w:bottom w:val="single" w:sz="6" w:space="0" w:color="auto"/>
              <w:right w:val="single" w:sz="6" w:space="0" w:color="auto"/>
            </w:tcBorders>
            <w:shd w:val="clear" w:color="auto" w:fill="FFFFFF"/>
          </w:tcPr>
          <w:p w14:paraId="347686C9" w14:textId="77777777" w:rsidR="00357D2A" w:rsidRPr="00A23FB4" w:rsidRDefault="00357D2A" w:rsidP="00F408AB">
            <w:pPr>
              <w:shd w:val="clear" w:color="auto" w:fill="FFFFFF"/>
              <w:ind w:right="370" w:firstLine="34"/>
              <w:jc w:val="center"/>
              <w:rPr>
                <w:rFonts w:asciiTheme="minorHAnsi" w:hAnsiTheme="minorHAnsi"/>
                <w:spacing w:val="-2"/>
              </w:rPr>
            </w:pPr>
            <w:r w:rsidRPr="00A23FB4">
              <w:rPr>
                <w:rFonts w:asciiTheme="minorHAnsi" w:hAnsiTheme="minorHAnsi"/>
              </w:rPr>
              <w:t>Pomiar wykonany na tarczy</w:t>
            </w:r>
          </w:p>
        </w:tc>
      </w:tr>
      <w:tr w:rsidR="00357D2A" w:rsidRPr="00A23FB4" w14:paraId="7488FBDB" w14:textId="77777777" w:rsidTr="00F408AB">
        <w:trPr>
          <w:trHeight w:hRule="exact" w:val="841"/>
        </w:trPr>
        <w:tc>
          <w:tcPr>
            <w:tcW w:w="571" w:type="dxa"/>
            <w:vMerge/>
            <w:tcBorders>
              <w:left w:val="single" w:sz="6" w:space="0" w:color="auto"/>
              <w:right w:val="single" w:sz="6" w:space="0" w:color="auto"/>
            </w:tcBorders>
            <w:shd w:val="clear" w:color="auto" w:fill="FFFFFF"/>
          </w:tcPr>
          <w:p w14:paraId="032A5F0B" w14:textId="77777777" w:rsidR="00357D2A" w:rsidRPr="00A23FB4" w:rsidRDefault="00357D2A" w:rsidP="00F408AB">
            <w:pPr>
              <w:shd w:val="clear" w:color="auto" w:fill="FFFFFF"/>
              <w:rPr>
                <w:rFonts w:asciiTheme="minorHAnsi" w:hAnsiTheme="minorHAnsi"/>
              </w:rPr>
            </w:pPr>
          </w:p>
        </w:tc>
        <w:tc>
          <w:tcPr>
            <w:tcW w:w="2693" w:type="dxa"/>
            <w:vMerge/>
            <w:tcBorders>
              <w:left w:val="single" w:sz="6" w:space="0" w:color="auto"/>
              <w:right w:val="single" w:sz="6" w:space="0" w:color="auto"/>
            </w:tcBorders>
            <w:shd w:val="clear" w:color="auto" w:fill="FFFFFF"/>
          </w:tcPr>
          <w:p w14:paraId="0B8CD2F6" w14:textId="77777777" w:rsidR="00357D2A" w:rsidRPr="00A23FB4" w:rsidRDefault="00357D2A" w:rsidP="00F408AB">
            <w:pPr>
              <w:shd w:val="clear" w:color="auto" w:fill="FFFFFF"/>
              <w:tabs>
                <w:tab w:val="left" w:pos="1129"/>
              </w:tabs>
              <w:spacing w:line="250" w:lineRule="exact"/>
              <w:rPr>
                <w:rFonts w:asciiTheme="minorHAnsi" w:hAnsiTheme="minorHAnsi"/>
                <w:spacing w:val="-2"/>
              </w:rPr>
            </w:pPr>
          </w:p>
        </w:tc>
        <w:tc>
          <w:tcPr>
            <w:tcW w:w="1133" w:type="dxa"/>
            <w:vMerge/>
            <w:tcBorders>
              <w:left w:val="single" w:sz="6" w:space="0" w:color="auto"/>
              <w:right w:val="single" w:sz="6" w:space="0" w:color="auto"/>
            </w:tcBorders>
            <w:shd w:val="clear" w:color="auto" w:fill="FFFFFF"/>
          </w:tcPr>
          <w:p w14:paraId="3485D00E" w14:textId="77777777" w:rsidR="00357D2A" w:rsidRPr="00A23FB4" w:rsidRDefault="00357D2A" w:rsidP="00F408AB">
            <w:pPr>
              <w:shd w:val="clear" w:color="auto" w:fill="FFFFFF"/>
              <w:rPr>
                <w:rFonts w:asciiTheme="minorHAnsi" w:hAnsiTheme="minorHAnsi"/>
              </w:rPr>
            </w:pPr>
          </w:p>
        </w:tc>
        <w:tc>
          <w:tcPr>
            <w:tcW w:w="2625" w:type="dxa"/>
            <w:tcBorders>
              <w:top w:val="single" w:sz="6" w:space="0" w:color="auto"/>
              <w:left w:val="single" w:sz="6" w:space="0" w:color="auto"/>
              <w:bottom w:val="single" w:sz="6" w:space="0" w:color="auto"/>
              <w:right w:val="single" w:sz="6" w:space="0" w:color="auto"/>
            </w:tcBorders>
            <w:shd w:val="clear" w:color="auto" w:fill="FFFFFF"/>
          </w:tcPr>
          <w:p w14:paraId="0C8B8BC3" w14:textId="77777777" w:rsidR="00357D2A" w:rsidRPr="00A23FB4" w:rsidRDefault="00357D2A" w:rsidP="00F408AB">
            <w:pPr>
              <w:jc w:val="center"/>
              <w:rPr>
                <w:rFonts w:asciiTheme="minorHAnsi" w:hAnsiTheme="minorHAnsi"/>
              </w:rPr>
            </w:pPr>
            <w:r w:rsidRPr="00A23FB4">
              <w:rPr>
                <w:rFonts w:asciiTheme="minorHAnsi" w:hAnsiTheme="minorHAnsi"/>
              </w:rPr>
              <w:t xml:space="preserve">szerokiej </w:t>
            </w:r>
            <w:r w:rsidRPr="00A23FB4">
              <w:rPr>
                <w:rFonts w:asciiTheme="minorHAnsi" w:eastAsia="TimesNewRoman" w:hAnsiTheme="minorHAnsi" w:cs="TimesNewRoman"/>
              </w:rPr>
              <w:t>ś</w:t>
            </w:r>
            <w:r w:rsidRPr="00A23FB4">
              <w:rPr>
                <w:rFonts w:asciiTheme="minorHAnsi" w:hAnsiTheme="minorHAnsi"/>
              </w:rPr>
              <w:t>ciernej,</w:t>
            </w:r>
          </w:p>
          <w:p w14:paraId="607D6488" w14:textId="77777777" w:rsidR="00357D2A" w:rsidRPr="00A23FB4" w:rsidRDefault="00357D2A" w:rsidP="00F408AB">
            <w:pPr>
              <w:jc w:val="center"/>
              <w:rPr>
                <w:rFonts w:asciiTheme="minorHAnsi" w:hAnsiTheme="minorHAnsi"/>
              </w:rPr>
            </w:pPr>
            <w:r w:rsidRPr="00A23FB4">
              <w:rPr>
                <w:rFonts w:asciiTheme="minorHAnsi" w:hAnsiTheme="minorHAnsi"/>
              </w:rPr>
              <w:t>wg zał. G normy –</w:t>
            </w:r>
          </w:p>
          <w:p w14:paraId="4586AFCD" w14:textId="77777777" w:rsidR="00357D2A" w:rsidRPr="00A23FB4" w:rsidRDefault="00357D2A" w:rsidP="00F408AB">
            <w:pPr>
              <w:shd w:val="clear" w:color="auto" w:fill="FFFFFF"/>
              <w:ind w:right="370" w:firstLine="34"/>
              <w:jc w:val="center"/>
              <w:rPr>
                <w:rFonts w:asciiTheme="minorHAnsi" w:hAnsiTheme="minorHAnsi"/>
                <w:spacing w:val="-2"/>
              </w:rPr>
            </w:pPr>
            <w:r w:rsidRPr="00A23FB4">
              <w:rPr>
                <w:rFonts w:asciiTheme="minorHAnsi" w:hAnsiTheme="minorHAnsi"/>
              </w:rPr>
              <w:t>badanie podstawowe</w:t>
            </w:r>
          </w:p>
        </w:tc>
        <w:tc>
          <w:tcPr>
            <w:tcW w:w="2626" w:type="dxa"/>
            <w:tcBorders>
              <w:top w:val="single" w:sz="6" w:space="0" w:color="auto"/>
              <w:left w:val="single" w:sz="6" w:space="0" w:color="auto"/>
              <w:bottom w:val="single" w:sz="6" w:space="0" w:color="auto"/>
              <w:right w:val="single" w:sz="6" w:space="0" w:color="auto"/>
            </w:tcBorders>
            <w:shd w:val="clear" w:color="auto" w:fill="FFFFFF"/>
          </w:tcPr>
          <w:p w14:paraId="5B132D54" w14:textId="77777777" w:rsidR="00357D2A" w:rsidRPr="00A23FB4" w:rsidRDefault="00357D2A" w:rsidP="00F408AB">
            <w:pPr>
              <w:jc w:val="center"/>
              <w:rPr>
                <w:rFonts w:asciiTheme="minorHAnsi" w:hAnsiTheme="minorHAnsi"/>
              </w:rPr>
            </w:pPr>
            <w:r w:rsidRPr="00A23FB4">
              <w:rPr>
                <w:rFonts w:asciiTheme="minorHAnsi" w:hAnsiTheme="minorHAnsi"/>
              </w:rPr>
              <w:t>B</w:t>
            </w:r>
            <w:r w:rsidRPr="00A23FB4">
              <w:rPr>
                <w:rFonts w:asciiTheme="minorHAnsi" w:hAnsiTheme="minorHAnsi" w:cs="Arial"/>
              </w:rPr>
              <w:t>ö</w:t>
            </w:r>
            <w:r w:rsidRPr="00A23FB4">
              <w:rPr>
                <w:rFonts w:asciiTheme="minorHAnsi" w:hAnsiTheme="minorHAnsi"/>
              </w:rPr>
              <w:t>hmego,</w:t>
            </w:r>
          </w:p>
          <w:p w14:paraId="09BED1E6" w14:textId="77777777" w:rsidR="00357D2A" w:rsidRPr="00A23FB4" w:rsidRDefault="00357D2A" w:rsidP="00F408AB">
            <w:pPr>
              <w:jc w:val="center"/>
              <w:rPr>
                <w:rFonts w:asciiTheme="minorHAnsi" w:hAnsiTheme="minorHAnsi"/>
              </w:rPr>
            </w:pPr>
            <w:r w:rsidRPr="00A23FB4">
              <w:rPr>
                <w:rFonts w:asciiTheme="minorHAnsi" w:hAnsiTheme="minorHAnsi"/>
              </w:rPr>
              <w:t>wg zał. H normy – badanie</w:t>
            </w:r>
          </w:p>
          <w:p w14:paraId="78872AFC" w14:textId="77777777" w:rsidR="00357D2A" w:rsidRPr="00A23FB4" w:rsidRDefault="00357D2A" w:rsidP="00F408AB">
            <w:pPr>
              <w:shd w:val="clear" w:color="auto" w:fill="FFFFFF"/>
              <w:ind w:right="370" w:firstLine="34"/>
              <w:jc w:val="center"/>
              <w:rPr>
                <w:rFonts w:asciiTheme="minorHAnsi" w:hAnsiTheme="minorHAnsi"/>
                <w:spacing w:val="-2"/>
              </w:rPr>
            </w:pPr>
            <w:r w:rsidRPr="00A23FB4">
              <w:rPr>
                <w:rFonts w:asciiTheme="minorHAnsi" w:hAnsiTheme="minorHAnsi"/>
              </w:rPr>
              <w:t>alternatywne</w:t>
            </w:r>
          </w:p>
        </w:tc>
      </w:tr>
      <w:tr w:rsidR="00357D2A" w:rsidRPr="00A23FB4" w14:paraId="36F49DE2" w14:textId="77777777" w:rsidTr="00F408AB">
        <w:trPr>
          <w:trHeight w:hRule="exact" w:val="493"/>
        </w:trPr>
        <w:tc>
          <w:tcPr>
            <w:tcW w:w="571" w:type="dxa"/>
            <w:vMerge/>
            <w:tcBorders>
              <w:left w:val="single" w:sz="6" w:space="0" w:color="auto"/>
              <w:bottom w:val="single" w:sz="6" w:space="0" w:color="auto"/>
              <w:right w:val="single" w:sz="6" w:space="0" w:color="auto"/>
            </w:tcBorders>
            <w:shd w:val="clear" w:color="auto" w:fill="FFFFFF"/>
          </w:tcPr>
          <w:p w14:paraId="4632F991" w14:textId="77777777" w:rsidR="00357D2A" w:rsidRPr="00A23FB4" w:rsidRDefault="00357D2A" w:rsidP="00F408AB">
            <w:pPr>
              <w:shd w:val="clear" w:color="auto" w:fill="FFFFFF"/>
              <w:rPr>
                <w:rFonts w:asciiTheme="minorHAnsi" w:hAnsiTheme="minorHAnsi"/>
              </w:rPr>
            </w:pPr>
          </w:p>
        </w:tc>
        <w:tc>
          <w:tcPr>
            <w:tcW w:w="2693" w:type="dxa"/>
            <w:vMerge/>
            <w:tcBorders>
              <w:left w:val="single" w:sz="6" w:space="0" w:color="auto"/>
              <w:bottom w:val="single" w:sz="6" w:space="0" w:color="auto"/>
              <w:right w:val="single" w:sz="6" w:space="0" w:color="auto"/>
            </w:tcBorders>
            <w:shd w:val="clear" w:color="auto" w:fill="FFFFFF"/>
          </w:tcPr>
          <w:p w14:paraId="2C9D1701" w14:textId="77777777" w:rsidR="00357D2A" w:rsidRPr="00A23FB4" w:rsidRDefault="00357D2A" w:rsidP="00F408AB">
            <w:pPr>
              <w:shd w:val="clear" w:color="auto" w:fill="FFFFFF"/>
              <w:tabs>
                <w:tab w:val="left" w:pos="1129"/>
              </w:tabs>
              <w:spacing w:line="250" w:lineRule="exact"/>
              <w:rPr>
                <w:rFonts w:asciiTheme="minorHAnsi" w:hAnsiTheme="minorHAnsi"/>
                <w:spacing w:val="-2"/>
              </w:rPr>
            </w:pPr>
          </w:p>
        </w:tc>
        <w:tc>
          <w:tcPr>
            <w:tcW w:w="1133" w:type="dxa"/>
            <w:vMerge/>
            <w:tcBorders>
              <w:left w:val="single" w:sz="6" w:space="0" w:color="auto"/>
              <w:bottom w:val="single" w:sz="6" w:space="0" w:color="auto"/>
              <w:right w:val="single" w:sz="6" w:space="0" w:color="auto"/>
            </w:tcBorders>
            <w:shd w:val="clear" w:color="auto" w:fill="FFFFFF"/>
          </w:tcPr>
          <w:p w14:paraId="21884759" w14:textId="77777777" w:rsidR="00357D2A" w:rsidRPr="00A23FB4" w:rsidRDefault="00357D2A" w:rsidP="00F408AB">
            <w:pPr>
              <w:shd w:val="clear" w:color="auto" w:fill="FFFFFF"/>
              <w:rPr>
                <w:rFonts w:asciiTheme="minorHAnsi" w:hAnsiTheme="minorHAnsi"/>
              </w:rPr>
            </w:pPr>
          </w:p>
        </w:tc>
        <w:tc>
          <w:tcPr>
            <w:tcW w:w="2625" w:type="dxa"/>
            <w:tcBorders>
              <w:top w:val="single" w:sz="6" w:space="0" w:color="auto"/>
              <w:left w:val="single" w:sz="6" w:space="0" w:color="auto"/>
              <w:bottom w:val="single" w:sz="6" w:space="0" w:color="auto"/>
              <w:right w:val="single" w:sz="6" w:space="0" w:color="auto"/>
            </w:tcBorders>
            <w:shd w:val="clear" w:color="auto" w:fill="FFFFFF"/>
          </w:tcPr>
          <w:p w14:paraId="0425EDD6" w14:textId="77777777" w:rsidR="00357D2A" w:rsidRPr="00A23FB4" w:rsidRDefault="00357D2A" w:rsidP="00F408AB">
            <w:pPr>
              <w:shd w:val="clear" w:color="auto" w:fill="FFFFFF"/>
              <w:ind w:right="370" w:firstLine="34"/>
              <w:jc w:val="center"/>
              <w:rPr>
                <w:rFonts w:asciiTheme="minorHAnsi" w:hAnsiTheme="minorHAnsi"/>
                <w:spacing w:val="-2"/>
              </w:rPr>
            </w:pPr>
            <w:r w:rsidRPr="00A23FB4">
              <w:rPr>
                <w:rFonts w:asciiTheme="minorHAnsi" w:eastAsia="TimesNewRoman" w:hAnsiTheme="minorHAnsi" w:cs="TimesNewRoman"/>
              </w:rPr>
              <w:t xml:space="preserve">≤ </w:t>
            </w:r>
            <w:r w:rsidRPr="00A23FB4">
              <w:rPr>
                <w:rFonts w:asciiTheme="minorHAnsi" w:eastAsia="TimesNewRoman" w:hAnsiTheme="minorHAnsi"/>
              </w:rPr>
              <w:t>20 mm</w:t>
            </w:r>
          </w:p>
        </w:tc>
        <w:tc>
          <w:tcPr>
            <w:tcW w:w="2626" w:type="dxa"/>
            <w:tcBorders>
              <w:top w:val="single" w:sz="6" w:space="0" w:color="auto"/>
              <w:left w:val="single" w:sz="6" w:space="0" w:color="auto"/>
              <w:bottom w:val="single" w:sz="6" w:space="0" w:color="auto"/>
              <w:right w:val="single" w:sz="6" w:space="0" w:color="auto"/>
            </w:tcBorders>
            <w:shd w:val="clear" w:color="auto" w:fill="FFFFFF"/>
          </w:tcPr>
          <w:p w14:paraId="3E21EFAD" w14:textId="77777777" w:rsidR="00357D2A" w:rsidRPr="00A23FB4" w:rsidRDefault="00357D2A" w:rsidP="00F408AB">
            <w:pPr>
              <w:shd w:val="clear" w:color="auto" w:fill="FFFFFF"/>
              <w:ind w:right="370" w:firstLine="34"/>
              <w:jc w:val="center"/>
              <w:rPr>
                <w:rFonts w:asciiTheme="minorHAnsi" w:hAnsiTheme="minorHAnsi"/>
                <w:spacing w:val="-2"/>
              </w:rPr>
            </w:pPr>
            <w:r w:rsidRPr="00A23FB4">
              <w:rPr>
                <w:rFonts w:asciiTheme="minorHAnsi" w:eastAsia="TimesNewRoman" w:hAnsiTheme="minorHAnsi" w:cs="TimesNewRoman"/>
              </w:rPr>
              <w:t>≤</w:t>
            </w:r>
            <w:r w:rsidRPr="00A23FB4">
              <w:rPr>
                <w:rFonts w:asciiTheme="minorHAnsi" w:eastAsia="TimesNewRoman" w:hAnsiTheme="minorHAnsi"/>
              </w:rPr>
              <w:t>18 000mm3/5000 mm2</w:t>
            </w:r>
          </w:p>
        </w:tc>
      </w:tr>
    </w:tbl>
    <w:p w14:paraId="6159BF5E" w14:textId="77777777" w:rsidR="00357D2A" w:rsidRPr="00A23FB4" w:rsidRDefault="00357D2A" w:rsidP="00357D2A">
      <w:pPr>
        <w:spacing w:after="5" w:line="1" w:lineRule="exact"/>
        <w:rPr>
          <w:rFonts w:asciiTheme="minorHAnsi" w:hAnsiTheme="minorHAnsi"/>
        </w:rPr>
      </w:pPr>
    </w:p>
    <w:tbl>
      <w:tblPr>
        <w:tblW w:w="0" w:type="auto"/>
        <w:tblInd w:w="40" w:type="dxa"/>
        <w:tblLayout w:type="fixed"/>
        <w:tblCellMar>
          <w:left w:w="40" w:type="dxa"/>
          <w:right w:w="40" w:type="dxa"/>
        </w:tblCellMar>
        <w:tblLook w:val="0000" w:firstRow="0" w:lastRow="0" w:firstColumn="0" w:lastColumn="0" w:noHBand="0" w:noVBand="0"/>
      </w:tblPr>
      <w:tblGrid>
        <w:gridCol w:w="571"/>
        <w:gridCol w:w="2693"/>
        <w:gridCol w:w="850"/>
        <w:gridCol w:w="283"/>
        <w:gridCol w:w="5251"/>
      </w:tblGrid>
      <w:tr w:rsidR="00357D2A" w:rsidRPr="00A23FB4" w14:paraId="4ADBEC89" w14:textId="77777777" w:rsidTr="00F408AB">
        <w:trPr>
          <w:trHeight w:hRule="exact" w:val="1526"/>
        </w:trPr>
        <w:tc>
          <w:tcPr>
            <w:tcW w:w="571" w:type="dxa"/>
            <w:tcBorders>
              <w:top w:val="single" w:sz="6" w:space="0" w:color="auto"/>
              <w:left w:val="single" w:sz="6" w:space="0" w:color="auto"/>
              <w:bottom w:val="single" w:sz="6" w:space="0" w:color="auto"/>
              <w:right w:val="single" w:sz="6" w:space="0" w:color="auto"/>
            </w:tcBorders>
            <w:shd w:val="clear" w:color="auto" w:fill="FFFFFF"/>
          </w:tcPr>
          <w:p w14:paraId="4B0F51F0" w14:textId="77777777" w:rsidR="00357D2A" w:rsidRPr="00A23FB4" w:rsidRDefault="00357D2A" w:rsidP="00F408AB">
            <w:pPr>
              <w:shd w:val="clear" w:color="auto" w:fill="FFFFFF"/>
              <w:rPr>
                <w:rFonts w:asciiTheme="minorHAnsi" w:hAnsiTheme="minorHAnsi"/>
              </w:rPr>
            </w:pPr>
            <w:r w:rsidRPr="00A23FB4">
              <w:rPr>
                <w:rFonts w:asciiTheme="minorHAnsi" w:hAnsiTheme="minorHAnsi"/>
              </w:rPr>
              <w:t>2.5</w:t>
            </w:r>
          </w:p>
        </w:tc>
        <w:tc>
          <w:tcPr>
            <w:tcW w:w="2693" w:type="dxa"/>
            <w:tcBorders>
              <w:top w:val="single" w:sz="6" w:space="0" w:color="auto"/>
              <w:left w:val="single" w:sz="6" w:space="0" w:color="auto"/>
              <w:bottom w:val="single" w:sz="6" w:space="0" w:color="auto"/>
              <w:right w:val="single" w:sz="6" w:space="0" w:color="auto"/>
            </w:tcBorders>
            <w:shd w:val="clear" w:color="auto" w:fill="FFFFFF"/>
          </w:tcPr>
          <w:p w14:paraId="25C74765" w14:textId="77777777" w:rsidR="00357D2A" w:rsidRPr="00A23FB4" w:rsidRDefault="00357D2A" w:rsidP="00F408AB">
            <w:pPr>
              <w:shd w:val="clear" w:color="auto" w:fill="FFFFFF"/>
              <w:spacing w:line="250" w:lineRule="exact"/>
              <w:ind w:left="5" w:right="619"/>
              <w:rPr>
                <w:rFonts w:asciiTheme="minorHAnsi" w:hAnsiTheme="minorHAnsi"/>
              </w:rPr>
            </w:pPr>
            <w:r w:rsidRPr="00A23FB4">
              <w:rPr>
                <w:rFonts w:asciiTheme="minorHAnsi" w:hAnsiTheme="minorHAnsi"/>
              </w:rPr>
              <w:t>Odporność na poślizg/poślizgnięcie</w:t>
            </w:r>
          </w:p>
        </w:tc>
        <w:tc>
          <w:tcPr>
            <w:tcW w:w="1133" w:type="dxa"/>
            <w:gridSpan w:val="2"/>
            <w:tcBorders>
              <w:top w:val="single" w:sz="6" w:space="0" w:color="auto"/>
              <w:left w:val="single" w:sz="6" w:space="0" w:color="auto"/>
              <w:bottom w:val="single" w:sz="6" w:space="0" w:color="auto"/>
              <w:right w:val="single" w:sz="6" w:space="0" w:color="auto"/>
            </w:tcBorders>
            <w:shd w:val="clear" w:color="auto" w:fill="FFFFFF"/>
          </w:tcPr>
          <w:p w14:paraId="690AB40C" w14:textId="77777777" w:rsidR="00357D2A" w:rsidRPr="00A23FB4" w:rsidRDefault="00357D2A" w:rsidP="00F408AB">
            <w:pPr>
              <w:shd w:val="clear" w:color="auto" w:fill="FFFFFF"/>
              <w:rPr>
                <w:rFonts w:asciiTheme="minorHAnsi" w:hAnsiTheme="minorHAnsi"/>
              </w:rPr>
            </w:pPr>
            <w:r w:rsidRPr="00A23FB4">
              <w:rPr>
                <w:rFonts w:asciiTheme="minorHAnsi" w:hAnsiTheme="minorHAnsi"/>
              </w:rPr>
              <w:t>I</w:t>
            </w:r>
          </w:p>
        </w:tc>
        <w:tc>
          <w:tcPr>
            <w:tcW w:w="5251" w:type="dxa"/>
            <w:tcBorders>
              <w:top w:val="single" w:sz="6" w:space="0" w:color="auto"/>
              <w:left w:val="single" w:sz="6" w:space="0" w:color="auto"/>
              <w:bottom w:val="single" w:sz="6" w:space="0" w:color="auto"/>
              <w:right w:val="single" w:sz="6" w:space="0" w:color="auto"/>
            </w:tcBorders>
            <w:shd w:val="clear" w:color="auto" w:fill="FFFFFF"/>
          </w:tcPr>
          <w:p w14:paraId="5AAA1FB4" w14:textId="77777777" w:rsidR="00357D2A" w:rsidRPr="00A23FB4" w:rsidRDefault="00357D2A" w:rsidP="00F408AB">
            <w:pPr>
              <w:shd w:val="clear" w:color="auto" w:fill="FFFFFF"/>
              <w:tabs>
                <w:tab w:val="left" w:pos="298"/>
              </w:tabs>
              <w:spacing w:line="250" w:lineRule="exact"/>
              <w:ind w:left="182" w:hanging="182"/>
              <w:rPr>
                <w:rFonts w:asciiTheme="minorHAnsi" w:hAnsiTheme="minorHAnsi"/>
              </w:rPr>
            </w:pPr>
            <w:r w:rsidRPr="00A23FB4">
              <w:rPr>
                <w:rFonts w:asciiTheme="minorHAnsi" w:hAnsiTheme="minorHAnsi"/>
                <w:spacing w:val="-17"/>
              </w:rPr>
              <w:t>a)</w:t>
            </w:r>
            <w:r w:rsidRPr="00A23FB4">
              <w:rPr>
                <w:rFonts w:asciiTheme="minorHAnsi" w:hAnsiTheme="minorHAnsi"/>
              </w:rPr>
              <w:tab/>
              <w:t>jeśli górna powierzchnia obrzeży nie była szlifowana</w:t>
            </w:r>
            <w:r w:rsidRPr="00A23FB4">
              <w:rPr>
                <w:rFonts w:asciiTheme="minorHAnsi" w:hAnsiTheme="minorHAnsi"/>
              </w:rPr>
              <w:br/>
              <w:t>lub polerowana - zadawalająca odporność,</w:t>
            </w:r>
          </w:p>
          <w:p w14:paraId="4B8F1315" w14:textId="77777777" w:rsidR="00357D2A" w:rsidRPr="00A23FB4" w:rsidRDefault="00357D2A" w:rsidP="00F408AB">
            <w:pPr>
              <w:shd w:val="clear" w:color="auto" w:fill="FFFFFF"/>
              <w:tabs>
                <w:tab w:val="left" w:pos="446"/>
              </w:tabs>
              <w:spacing w:line="250" w:lineRule="exact"/>
              <w:rPr>
                <w:rFonts w:asciiTheme="minorHAnsi" w:hAnsiTheme="minorHAnsi"/>
              </w:rPr>
            </w:pPr>
            <w:r w:rsidRPr="00A23FB4">
              <w:rPr>
                <w:rFonts w:asciiTheme="minorHAnsi" w:hAnsiTheme="minorHAnsi"/>
                <w:spacing w:val="-16"/>
              </w:rPr>
              <w:t>b)</w:t>
            </w:r>
            <w:r w:rsidRPr="00A23FB4">
              <w:rPr>
                <w:rFonts w:asciiTheme="minorHAnsi" w:hAnsiTheme="minorHAnsi"/>
              </w:rPr>
              <w:t xml:space="preserve">jeśli wyjątkowo wymaga się podania wartości </w:t>
            </w:r>
            <w:r w:rsidRPr="00A23FB4">
              <w:rPr>
                <w:rFonts w:asciiTheme="minorHAnsi" w:hAnsiTheme="minorHAnsi"/>
                <w:spacing w:val="-1"/>
              </w:rPr>
              <w:t xml:space="preserve">odporności      na poślizg/poślizgnięcie – należy </w:t>
            </w:r>
            <w:r w:rsidRPr="00A23FB4">
              <w:rPr>
                <w:rFonts w:asciiTheme="minorHAnsi" w:hAnsiTheme="minorHAnsi"/>
              </w:rPr>
              <w:t xml:space="preserve">zadeklarować minimalną jej wartość pomierzoną wg zał. </w:t>
            </w:r>
            <w:r w:rsidRPr="00A23FB4">
              <w:rPr>
                <w:rFonts w:asciiTheme="minorHAnsi" w:hAnsiTheme="minorHAnsi"/>
                <w:spacing w:val="-1"/>
                <w:lang w:val="en-US"/>
              </w:rPr>
              <w:t xml:space="preserve">I </w:t>
            </w:r>
            <w:r w:rsidRPr="00A23FB4">
              <w:rPr>
                <w:rFonts w:asciiTheme="minorHAnsi" w:hAnsiTheme="minorHAnsi"/>
                <w:spacing w:val="-1"/>
              </w:rPr>
              <w:t>normy (wahadłowym przyrządem do badania tarcia)</w:t>
            </w:r>
          </w:p>
        </w:tc>
      </w:tr>
      <w:tr w:rsidR="00357D2A" w:rsidRPr="00A23FB4" w14:paraId="0AA8714E" w14:textId="77777777" w:rsidTr="00F408AB">
        <w:trPr>
          <w:trHeight w:hRule="exact" w:val="514"/>
        </w:trPr>
        <w:tc>
          <w:tcPr>
            <w:tcW w:w="571" w:type="dxa"/>
            <w:tcBorders>
              <w:top w:val="single" w:sz="6" w:space="0" w:color="auto"/>
              <w:left w:val="single" w:sz="6" w:space="0" w:color="auto"/>
              <w:bottom w:val="single" w:sz="6" w:space="0" w:color="auto"/>
              <w:right w:val="single" w:sz="6" w:space="0" w:color="auto"/>
            </w:tcBorders>
            <w:shd w:val="clear" w:color="auto" w:fill="FFFFFF"/>
          </w:tcPr>
          <w:p w14:paraId="720E30CA" w14:textId="77777777" w:rsidR="00357D2A" w:rsidRPr="00A23FB4" w:rsidRDefault="00357D2A" w:rsidP="00F408AB">
            <w:pPr>
              <w:shd w:val="clear" w:color="auto" w:fill="FFFFFF"/>
              <w:rPr>
                <w:rFonts w:asciiTheme="minorHAnsi" w:hAnsiTheme="minorHAnsi"/>
              </w:rPr>
            </w:pPr>
            <w:r w:rsidRPr="00A23FB4">
              <w:rPr>
                <w:rFonts w:asciiTheme="minorHAnsi" w:hAnsiTheme="minorHAnsi"/>
              </w:rPr>
              <w:t>2.6</w:t>
            </w:r>
          </w:p>
        </w:tc>
        <w:tc>
          <w:tcPr>
            <w:tcW w:w="2693" w:type="dxa"/>
            <w:tcBorders>
              <w:top w:val="single" w:sz="6" w:space="0" w:color="auto"/>
              <w:left w:val="single" w:sz="6" w:space="0" w:color="auto"/>
              <w:bottom w:val="single" w:sz="6" w:space="0" w:color="auto"/>
              <w:right w:val="single" w:sz="6" w:space="0" w:color="auto"/>
            </w:tcBorders>
            <w:shd w:val="clear" w:color="auto" w:fill="FFFFFF"/>
          </w:tcPr>
          <w:p w14:paraId="25729A3D" w14:textId="77777777" w:rsidR="00357D2A" w:rsidRPr="00A23FB4" w:rsidRDefault="00357D2A" w:rsidP="00F408AB">
            <w:pPr>
              <w:shd w:val="clear" w:color="auto" w:fill="FFFFFF"/>
              <w:spacing w:line="250" w:lineRule="exact"/>
              <w:ind w:left="5" w:right="624"/>
              <w:rPr>
                <w:rFonts w:asciiTheme="minorHAnsi" w:hAnsiTheme="minorHAnsi"/>
              </w:rPr>
            </w:pPr>
            <w:r w:rsidRPr="00A23FB4">
              <w:rPr>
                <w:rFonts w:asciiTheme="minorHAnsi" w:hAnsiTheme="minorHAnsi"/>
              </w:rPr>
              <w:t>Nasiąkliwość klasa 2 oznaczenie B</w:t>
            </w:r>
          </w:p>
        </w:tc>
        <w:tc>
          <w:tcPr>
            <w:tcW w:w="1133" w:type="dxa"/>
            <w:gridSpan w:val="2"/>
            <w:tcBorders>
              <w:top w:val="single" w:sz="6" w:space="0" w:color="auto"/>
              <w:left w:val="single" w:sz="6" w:space="0" w:color="auto"/>
              <w:bottom w:val="single" w:sz="6" w:space="0" w:color="auto"/>
              <w:right w:val="single" w:sz="6" w:space="0" w:color="auto"/>
            </w:tcBorders>
            <w:shd w:val="clear" w:color="auto" w:fill="FFFFFF"/>
          </w:tcPr>
          <w:p w14:paraId="3893DC85" w14:textId="77777777" w:rsidR="00357D2A" w:rsidRPr="00A23FB4" w:rsidRDefault="00357D2A" w:rsidP="00F408AB">
            <w:pPr>
              <w:shd w:val="clear" w:color="auto" w:fill="FFFFFF"/>
              <w:rPr>
                <w:rFonts w:asciiTheme="minorHAnsi" w:hAnsiTheme="minorHAnsi"/>
              </w:rPr>
            </w:pPr>
            <w:r w:rsidRPr="00A23FB4">
              <w:rPr>
                <w:rFonts w:asciiTheme="minorHAnsi" w:hAnsiTheme="minorHAnsi"/>
              </w:rPr>
              <w:t>E</w:t>
            </w:r>
          </w:p>
        </w:tc>
        <w:tc>
          <w:tcPr>
            <w:tcW w:w="5251" w:type="dxa"/>
            <w:tcBorders>
              <w:top w:val="single" w:sz="6" w:space="0" w:color="auto"/>
              <w:left w:val="single" w:sz="6" w:space="0" w:color="auto"/>
              <w:bottom w:val="single" w:sz="6" w:space="0" w:color="auto"/>
              <w:right w:val="single" w:sz="6" w:space="0" w:color="auto"/>
            </w:tcBorders>
            <w:shd w:val="clear" w:color="auto" w:fill="FFFFFF"/>
          </w:tcPr>
          <w:p w14:paraId="1B7FA34D" w14:textId="77777777" w:rsidR="00357D2A" w:rsidRPr="00A23FB4" w:rsidRDefault="00357D2A" w:rsidP="00F408AB">
            <w:pPr>
              <w:shd w:val="clear" w:color="auto" w:fill="FFFFFF"/>
              <w:ind w:left="5"/>
              <w:rPr>
                <w:rFonts w:asciiTheme="minorHAnsi" w:hAnsiTheme="minorHAnsi"/>
              </w:rPr>
            </w:pPr>
            <w:r w:rsidRPr="00A23FB4">
              <w:rPr>
                <w:rFonts w:asciiTheme="minorHAnsi" w:hAnsiTheme="minorHAnsi"/>
              </w:rPr>
              <w:t>Każdy pojedynczy wynik ≤6% masy,</w:t>
            </w:r>
          </w:p>
        </w:tc>
      </w:tr>
      <w:tr w:rsidR="00357D2A" w:rsidRPr="00A23FB4" w14:paraId="7AB53167" w14:textId="77777777" w:rsidTr="00F408AB">
        <w:trPr>
          <w:trHeight w:hRule="exact" w:val="384"/>
        </w:trPr>
        <w:tc>
          <w:tcPr>
            <w:tcW w:w="571" w:type="dxa"/>
            <w:tcBorders>
              <w:top w:val="single" w:sz="6" w:space="0" w:color="auto"/>
              <w:left w:val="single" w:sz="6" w:space="0" w:color="auto"/>
              <w:bottom w:val="single" w:sz="6" w:space="0" w:color="auto"/>
              <w:right w:val="single" w:sz="6" w:space="0" w:color="auto"/>
            </w:tcBorders>
            <w:shd w:val="clear" w:color="auto" w:fill="FFFFFF"/>
          </w:tcPr>
          <w:p w14:paraId="7B0F76E1" w14:textId="77777777" w:rsidR="00357D2A" w:rsidRPr="00A23FB4" w:rsidRDefault="00357D2A" w:rsidP="00F408AB">
            <w:pPr>
              <w:shd w:val="clear" w:color="auto" w:fill="FFFFFF"/>
              <w:rPr>
                <w:rFonts w:asciiTheme="minorHAnsi" w:hAnsiTheme="minorHAnsi"/>
              </w:rPr>
            </w:pPr>
            <w:r w:rsidRPr="00A23FB4">
              <w:rPr>
                <w:rFonts w:asciiTheme="minorHAnsi" w:hAnsiTheme="minorHAnsi"/>
              </w:rPr>
              <w:t>3</w:t>
            </w:r>
          </w:p>
        </w:tc>
        <w:tc>
          <w:tcPr>
            <w:tcW w:w="9077" w:type="dxa"/>
            <w:gridSpan w:val="4"/>
            <w:tcBorders>
              <w:top w:val="single" w:sz="6" w:space="0" w:color="auto"/>
              <w:left w:val="single" w:sz="6" w:space="0" w:color="auto"/>
              <w:bottom w:val="single" w:sz="6" w:space="0" w:color="auto"/>
              <w:right w:val="single" w:sz="6" w:space="0" w:color="auto"/>
            </w:tcBorders>
            <w:shd w:val="clear" w:color="auto" w:fill="FFFFFF"/>
          </w:tcPr>
          <w:p w14:paraId="1B5082C3" w14:textId="77777777" w:rsidR="00357D2A" w:rsidRPr="00A23FB4" w:rsidRDefault="00357D2A" w:rsidP="00F408AB">
            <w:pPr>
              <w:shd w:val="clear" w:color="auto" w:fill="FFFFFF"/>
              <w:rPr>
                <w:rFonts w:asciiTheme="minorHAnsi" w:hAnsiTheme="minorHAnsi"/>
              </w:rPr>
            </w:pPr>
            <w:r w:rsidRPr="00A23FB4">
              <w:rPr>
                <w:rFonts w:asciiTheme="minorHAnsi" w:hAnsiTheme="minorHAnsi"/>
              </w:rPr>
              <w:t>Aspekty wizualne</w:t>
            </w:r>
          </w:p>
        </w:tc>
      </w:tr>
      <w:tr w:rsidR="00357D2A" w:rsidRPr="00A23FB4" w14:paraId="7CF9388C" w14:textId="77777777" w:rsidTr="00F408AB">
        <w:trPr>
          <w:trHeight w:hRule="exact" w:val="768"/>
        </w:trPr>
        <w:tc>
          <w:tcPr>
            <w:tcW w:w="571" w:type="dxa"/>
            <w:tcBorders>
              <w:top w:val="single" w:sz="6" w:space="0" w:color="auto"/>
              <w:left w:val="single" w:sz="6" w:space="0" w:color="auto"/>
              <w:bottom w:val="single" w:sz="6" w:space="0" w:color="auto"/>
              <w:right w:val="single" w:sz="6" w:space="0" w:color="auto"/>
            </w:tcBorders>
            <w:shd w:val="clear" w:color="auto" w:fill="FFFFFF"/>
          </w:tcPr>
          <w:p w14:paraId="14352FF6" w14:textId="77777777" w:rsidR="00357D2A" w:rsidRPr="00A23FB4" w:rsidRDefault="00357D2A" w:rsidP="00F408AB">
            <w:pPr>
              <w:shd w:val="clear" w:color="auto" w:fill="FFFFFF"/>
              <w:rPr>
                <w:rFonts w:asciiTheme="minorHAnsi" w:hAnsiTheme="minorHAnsi"/>
              </w:rPr>
            </w:pPr>
            <w:r w:rsidRPr="00A23FB4">
              <w:rPr>
                <w:rFonts w:asciiTheme="minorHAnsi" w:hAnsiTheme="minorHAnsi"/>
              </w:rPr>
              <w:t>3.1</w:t>
            </w:r>
          </w:p>
        </w:tc>
        <w:tc>
          <w:tcPr>
            <w:tcW w:w="2693" w:type="dxa"/>
            <w:tcBorders>
              <w:top w:val="single" w:sz="6" w:space="0" w:color="auto"/>
              <w:left w:val="single" w:sz="6" w:space="0" w:color="auto"/>
              <w:bottom w:val="single" w:sz="6" w:space="0" w:color="auto"/>
              <w:right w:val="single" w:sz="6" w:space="0" w:color="auto"/>
            </w:tcBorders>
            <w:shd w:val="clear" w:color="auto" w:fill="FFFFFF"/>
          </w:tcPr>
          <w:p w14:paraId="577DA770" w14:textId="77777777" w:rsidR="00357D2A" w:rsidRPr="00A23FB4" w:rsidRDefault="00357D2A" w:rsidP="00F408AB">
            <w:pPr>
              <w:shd w:val="clear" w:color="auto" w:fill="FFFFFF"/>
              <w:rPr>
                <w:rFonts w:asciiTheme="minorHAnsi" w:hAnsiTheme="minorHAnsi"/>
              </w:rPr>
            </w:pPr>
            <w:r w:rsidRPr="00A23FB4">
              <w:rPr>
                <w:rFonts w:asciiTheme="minorHAnsi" w:hAnsiTheme="minorHAnsi"/>
              </w:rPr>
              <w:t>Wygląd</w:t>
            </w:r>
          </w:p>
        </w:tc>
        <w:tc>
          <w:tcPr>
            <w:tcW w:w="850" w:type="dxa"/>
            <w:tcBorders>
              <w:top w:val="single" w:sz="6" w:space="0" w:color="auto"/>
              <w:left w:val="single" w:sz="6" w:space="0" w:color="auto"/>
              <w:bottom w:val="single" w:sz="6" w:space="0" w:color="auto"/>
              <w:right w:val="single" w:sz="6" w:space="0" w:color="auto"/>
            </w:tcBorders>
            <w:shd w:val="clear" w:color="auto" w:fill="FFFFFF"/>
          </w:tcPr>
          <w:p w14:paraId="0A8D60F0" w14:textId="77777777" w:rsidR="00357D2A" w:rsidRPr="00A23FB4" w:rsidRDefault="00357D2A" w:rsidP="00F408AB">
            <w:pPr>
              <w:shd w:val="clear" w:color="auto" w:fill="FFFFFF"/>
              <w:rPr>
                <w:rFonts w:asciiTheme="minorHAnsi" w:hAnsiTheme="minorHAnsi"/>
              </w:rPr>
            </w:pPr>
            <w:r w:rsidRPr="00A23FB4">
              <w:rPr>
                <w:rFonts w:asciiTheme="minorHAnsi" w:hAnsiTheme="minorHAnsi"/>
              </w:rPr>
              <w:t>J</w:t>
            </w:r>
          </w:p>
        </w:tc>
        <w:tc>
          <w:tcPr>
            <w:tcW w:w="5534" w:type="dxa"/>
            <w:gridSpan w:val="2"/>
            <w:tcBorders>
              <w:top w:val="single" w:sz="6" w:space="0" w:color="auto"/>
              <w:left w:val="single" w:sz="6" w:space="0" w:color="auto"/>
              <w:bottom w:val="single" w:sz="6" w:space="0" w:color="auto"/>
              <w:right w:val="single" w:sz="6" w:space="0" w:color="auto"/>
            </w:tcBorders>
            <w:shd w:val="clear" w:color="auto" w:fill="FFFFFF"/>
          </w:tcPr>
          <w:p w14:paraId="6CCC8438" w14:textId="77777777" w:rsidR="00357D2A" w:rsidRPr="00A23FB4" w:rsidRDefault="00357D2A" w:rsidP="00F408AB">
            <w:pPr>
              <w:shd w:val="clear" w:color="auto" w:fill="FFFFFF"/>
              <w:spacing w:line="254" w:lineRule="exact"/>
              <w:ind w:right="288"/>
              <w:rPr>
                <w:rFonts w:asciiTheme="minorHAnsi" w:hAnsiTheme="minorHAnsi"/>
              </w:rPr>
            </w:pPr>
            <w:r w:rsidRPr="00A23FB4">
              <w:rPr>
                <w:rFonts w:asciiTheme="minorHAnsi" w:hAnsiTheme="minorHAnsi"/>
                <w:spacing w:val="-1"/>
              </w:rPr>
              <w:t xml:space="preserve">Powierzchnia obrzeża oceniana zgodnie z załącznikiem J </w:t>
            </w:r>
            <w:r w:rsidRPr="00A23FB4">
              <w:rPr>
                <w:rFonts w:asciiTheme="minorHAnsi" w:hAnsiTheme="minorHAnsi"/>
              </w:rPr>
              <w:t>nie powinna wykazywać defektów, takich jak rysy lub odpryski.</w:t>
            </w:r>
          </w:p>
        </w:tc>
      </w:tr>
      <w:tr w:rsidR="00357D2A" w:rsidRPr="00A23FB4" w14:paraId="46C54BDC" w14:textId="77777777" w:rsidTr="00F408AB">
        <w:trPr>
          <w:trHeight w:hRule="exact" w:val="2294"/>
        </w:trPr>
        <w:tc>
          <w:tcPr>
            <w:tcW w:w="571" w:type="dxa"/>
            <w:tcBorders>
              <w:top w:val="single" w:sz="6" w:space="0" w:color="auto"/>
              <w:left w:val="single" w:sz="6" w:space="0" w:color="auto"/>
              <w:bottom w:val="single" w:sz="6" w:space="0" w:color="auto"/>
              <w:right w:val="single" w:sz="6" w:space="0" w:color="auto"/>
            </w:tcBorders>
            <w:shd w:val="clear" w:color="auto" w:fill="FFFFFF"/>
          </w:tcPr>
          <w:p w14:paraId="7FFB5BC0" w14:textId="77777777" w:rsidR="00357D2A" w:rsidRPr="00A23FB4" w:rsidRDefault="00357D2A" w:rsidP="00F408AB">
            <w:pPr>
              <w:shd w:val="clear" w:color="auto" w:fill="FFFFFF"/>
              <w:ind w:right="40"/>
              <w:rPr>
                <w:rFonts w:asciiTheme="minorHAnsi" w:hAnsiTheme="minorHAnsi"/>
              </w:rPr>
            </w:pPr>
            <w:r w:rsidRPr="00A23FB4">
              <w:rPr>
                <w:rFonts w:asciiTheme="minorHAnsi" w:hAnsiTheme="minorHAnsi"/>
              </w:rPr>
              <w:t xml:space="preserve">3.2 </w:t>
            </w:r>
            <w:r w:rsidRPr="00A23FB4">
              <w:rPr>
                <w:rFonts w:asciiTheme="minorHAnsi" w:hAnsiTheme="minorHAnsi"/>
                <w:spacing w:val="-6"/>
              </w:rPr>
              <w:t>3.3</w:t>
            </w:r>
          </w:p>
        </w:tc>
        <w:tc>
          <w:tcPr>
            <w:tcW w:w="2693" w:type="dxa"/>
            <w:tcBorders>
              <w:top w:val="single" w:sz="6" w:space="0" w:color="auto"/>
              <w:left w:val="single" w:sz="6" w:space="0" w:color="auto"/>
              <w:bottom w:val="single" w:sz="6" w:space="0" w:color="auto"/>
              <w:right w:val="single" w:sz="6" w:space="0" w:color="auto"/>
            </w:tcBorders>
            <w:shd w:val="clear" w:color="auto" w:fill="FFFFFF"/>
          </w:tcPr>
          <w:p w14:paraId="68FBCF8E" w14:textId="77777777" w:rsidR="00357D2A" w:rsidRPr="00A23FB4" w:rsidRDefault="00357D2A" w:rsidP="00F408AB">
            <w:pPr>
              <w:shd w:val="clear" w:color="auto" w:fill="FFFFFF"/>
              <w:rPr>
                <w:rFonts w:asciiTheme="minorHAnsi" w:hAnsiTheme="minorHAnsi"/>
              </w:rPr>
            </w:pPr>
            <w:r w:rsidRPr="00A23FB4">
              <w:rPr>
                <w:rFonts w:asciiTheme="minorHAnsi" w:hAnsiTheme="minorHAnsi"/>
              </w:rPr>
              <w:t>Tekstura</w:t>
            </w:r>
          </w:p>
          <w:p w14:paraId="1F566FB4" w14:textId="77777777" w:rsidR="00357D2A" w:rsidRPr="00A23FB4" w:rsidRDefault="00357D2A" w:rsidP="00F408AB">
            <w:pPr>
              <w:shd w:val="clear" w:color="auto" w:fill="FFFFFF"/>
              <w:spacing w:line="254" w:lineRule="exact"/>
              <w:rPr>
                <w:rFonts w:asciiTheme="minorHAnsi" w:hAnsiTheme="minorHAnsi"/>
              </w:rPr>
            </w:pPr>
            <w:r w:rsidRPr="00A23FB4">
              <w:rPr>
                <w:rFonts w:asciiTheme="minorHAnsi" w:hAnsiTheme="minorHAnsi"/>
              </w:rPr>
              <w:t xml:space="preserve">Zabarwienie (barwiona </w:t>
            </w:r>
            <w:r w:rsidRPr="00A23FB4">
              <w:rPr>
                <w:rFonts w:asciiTheme="minorHAnsi" w:hAnsiTheme="minorHAnsi"/>
                <w:spacing w:val="-1"/>
              </w:rPr>
              <w:t xml:space="preserve">może być warstwa ścieralna </w:t>
            </w:r>
            <w:r w:rsidRPr="00A23FB4">
              <w:rPr>
                <w:rFonts w:asciiTheme="minorHAnsi" w:hAnsiTheme="minorHAnsi"/>
              </w:rPr>
              <w:t>lub cały element)</w:t>
            </w:r>
          </w:p>
        </w:tc>
        <w:tc>
          <w:tcPr>
            <w:tcW w:w="850" w:type="dxa"/>
            <w:tcBorders>
              <w:top w:val="single" w:sz="6" w:space="0" w:color="auto"/>
              <w:left w:val="single" w:sz="6" w:space="0" w:color="auto"/>
              <w:bottom w:val="single" w:sz="6" w:space="0" w:color="auto"/>
              <w:right w:val="single" w:sz="6" w:space="0" w:color="auto"/>
            </w:tcBorders>
            <w:shd w:val="clear" w:color="auto" w:fill="FFFFFF"/>
          </w:tcPr>
          <w:p w14:paraId="5207FC32" w14:textId="77777777" w:rsidR="00357D2A" w:rsidRPr="00A23FB4" w:rsidRDefault="00357D2A" w:rsidP="00F408AB">
            <w:pPr>
              <w:shd w:val="clear" w:color="auto" w:fill="FFFFFF"/>
              <w:rPr>
                <w:rFonts w:asciiTheme="minorHAnsi" w:hAnsiTheme="minorHAnsi"/>
              </w:rPr>
            </w:pPr>
            <w:r w:rsidRPr="00A23FB4">
              <w:rPr>
                <w:rFonts w:asciiTheme="minorHAnsi" w:hAnsiTheme="minorHAnsi"/>
              </w:rPr>
              <w:t>J</w:t>
            </w:r>
          </w:p>
        </w:tc>
        <w:tc>
          <w:tcPr>
            <w:tcW w:w="5534" w:type="dxa"/>
            <w:gridSpan w:val="2"/>
            <w:tcBorders>
              <w:top w:val="single" w:sz="6" w:space="0" w:color="auto"/>
              <w:left w:val="single" w:sz="6" w:space="0" w:color="auto"/>
              <w:bottom w:val="single" w:sz="6" w:space="0" w:color="auto"/>
              <w:right w:val="single" w:sz="6" w:space="0" w:color="auto"/>
            </w:tcBorders>
            <w:shd w:val="clear" w:color="auto" w:fill="FFFFFF"/>
          </w:tcPr>
          <w:p w14:paraId="1762DFA9" w14:textId="77777777" w:rsidR="00357D2A" w:rsidRPr="00A23FB4" w:rsidRDefault="00357D2A" w:rsidP="00F408AB">
            <w:pPr>
              <w:shd w:val="clear" w:color="auto" w:fill="FFFFFF"/>
              <w:tabs>
                <w:tab w:val="left" w:pos="350"/>
              </w:tabs>
              <w:spacing w:line="250" w:lineRule="exact"/>
              <w:ind w:left="178" w:hanging="178"/>
              <w:rPr>
                <w:rFonts w:asciiTheme="minorHAnsi" w:hAnsiTheme="minorHAnsi"/>
              </w:rPr>
            </w:pPr>
            <w:r w:rsidRPr="00A23FB4">
              <w:rPr>
                <w:rFonts w:asciiTheme="minorHAnsi" w:hAnsiTheme="minorHAnsi"/>
                <w:spacing w:val="-17"/>
              </w:rPr>
              <w:t>a)</w:t>
            </w:r>
            <w:r w:rsidRPr="00A23FB4">
              <w:rPr>
                <w:rFonts w:asciiTheme="minorHAnsi" w:hAnsiTheme="minorHAnsi"/>
              </w:rPr>
              <w:tab/>
              <w:t>obrzeża z powierzchnią o specjalnej teksturze - producent powinien opisać rodzaj tekstury,</w:t>
            </w:r>
          </w:p>
          <w:p w14:paraId="472B1389" w14:textId="77777777" w:rsidR="00357D2A" w:rsidRPr="00A23FB4" w:rsidRDefault="00357D2A" w:rsidP="00F408AB">
            <w:pPr>
              <w:shd w:val="clear" w:color="auto" w:fill="FFFFFF"/>
              <w:tabs>
                <w:tab w:val="left" w:pos="432"/>
              </w:tabs>
              <w:spacing w:line="250" w:lineRule="exact"/>
              <w:ind w:left="178" w:hanging="178"/>
              <w:rPr>
                <w:rFonts w:asciiTheme="minorHAnsi" w:hAnsiTheme="minorHAnsi"/>
              </w:rPr>
            </w:pPr>
            <w:r w:rsidRPr="00A23FB4">
              <w:rPr>
                <w:rFonts w:asciiTheme="minorHAnsi" w:hAnsiTheme="minorHAnsi"/>
                <w:spacing w:val="-16"/>
              </w:rPr>
              <w:t>b)</w:t>
            </w:r>
            <w:r w:rsidRPr="00A23FB4">
              <w:rPr>
                <w:rFonts w:asciiTheme="minorHAnsi" w:hAnsiTheme="minorHAnsi"/>
              </w:rPr>
              <w:tab/>
              <w:t>tekstura lub zabarwienie obrzeży powinny być porównane z  próbką producenta, zatwierdzoną przez odbiorcę,</w:t>
            </w:r>
          </w:p>
          <w:p w14:paraId="5A995100" w14:textId="77777777" w:rsidR="00357D2A" w:rsidRPr="00A23FB4" w:rsidRDefault="00357D2A" w:rsidP="00F408AB">
            <w:pPr>
              <w:shd w:val="clear" w:color="auto" w:fill="FFFFFF"/>
              <w:tabs>
                <w:tab w:val="left" w:pos="346"/>
              </w:tabs>
              <w:spacing w:line="250" w:lineRule="exact"/>
              <w:ind w:left="168" w:hanging="168"/>
              <w:rPr>
                <w:rFonts w:asciiTheme="minorHAnsi" w:hAnsiTheme="minorHAnsi"/>
              </w:rPr>
            </w:pPr>
            <w:r w:rsidRPr="00A23FB4">
              <w:rPr>
                <w:rFonts w:asciiTheme="minorHAnsi" w:hAnsiTheme="minorHAnsi"/>
                <w:spacing w:val="-17"/>
              </w:rPr>
              <w:t>c)</w:t>
            </w:r>
            <w:r w:rsidRPr="00A23FB4">
              <w:rPr>
                <w:rFonts w:asciiTheme="minorHAnsi" w:hAnsiTheme="minorHAnsi"/>
              </w:rPr>
              <w:tab/>
              <w:t xml:space="preserve">ewentualne różnice w jednolitości tekstury lub </w:t>
            </w:r>
            <w:r w:rsidRPr="00A23FB4">
              <w:rPr>
                <w:rFonts w:asciiTheme="minorHAnsi" w:hAnsiTheme="minorHAnsi"/>
                <w:spacing w:val="-1"/>
              </w:rPr>
              <w:t xml:space="preserve">zabarwienia, spowodowane nieuniknionymi zmianami we </w:t>
            </w:r>
            <w:r w:rsidRPr="00A23FB4">
              <w:rPr>
                <w:rFonts w:asciiTheme="minorHAnsi" w:hAnsiTheme="minorHAnsi"/>
              </w:rPr>
              <w:t>właściwościach    surowców i zmianach warunków twardnienia nie są uważane za istotne</w:t>
            </w:r>
          </w:p>
        </w:tc>
      </w:tr>
    </w:tbl>
    <w:p w14:paraId="19FC0F1D" w14:textId="77777777" w:rsidR="00357D2A" w:rsidRPr="00A23FB4" w:rsidRDefault="00357D2A" w:rsidP="00357D2A">
      <w:pPr>
        <w:shd w:val="clear" w:color="auto" w:fill="FFFFFF"/>
        <w:spacing w:line="274" w:lineRule="exact"/>
        <w:ind w:left="158"/>
        <w:rPr>
          <w:rFonts w:asciiTheme="minorHAnsi" w:hAnsiTheme="minorHAnsi"/>
        </w:rPr>
      </w:pPr>
      <w:r w:rsidRPr="00A23FB4">
        <w:rPr>
          <w:rFonts w:asciiTheme="minorHAnsi" w:hAnsiTheme="minorHAnsi"/>
        </w:rPr>
        <w:t>Na łukach o promieniu do 3,0m należy stosować obrzeża łukowe.</w:t>
      </w:r>
    </w:p>
    <w:p w14:paraId="75DC9D5B" w14:textId="77777777" w:rsidR="00357D2A" w:rsidRPr="00A23FB4" w:rsidRDefault="00357D2A" w:rsidP="00357D2A">
      <w:pPr>
        <w:shd w:val="clear" w:color="auto" w:fill="FFFFFF"/>
        <w:spacing w:line="274" w:lineRule="exact"/>
        <w:ind w:left="154"/>
        <w:rPr>
          <w:rFonts w:asciiTheme="minorHAnsi" w:hAnsiTheme="minorHAnsi"/>
        </w:rPr>
      </w:pPr>
      <w:r w:rsidRPr="00A23FB4">
        <w:rPr>
          <w:rFonts w:asciiTheme="minorHAnsi" w:hAnsiTheme="minorHAnsi"/>
        </w:rPr>
        <w:t>W przypadku braku na rynku obrzeży łukowych o projektowanych promieniach dopuszcza się stosowanie obrzeży prostych o długościach:</w:t>
      </w:r>
    </w:p>
    <w:p w14:paraId="2B8D9363" w14:textId="77777777" w:rsidR="00357D2A" w:rsidRPr="00A23FB4" w:rsidRDefault="00357D2A" w:rsidP="00262498">
      <w:pPr>
        <w:widowControl w:val="0"/>
        <w:numPr>
          <w:ilvl w:val="0"/>
          <w:numId w:val="31"/>
        </w:numPr>
        <w:shd w:val="clear" w:color="auto" w:fill="FFFFFF"/>
        <w:tabs>
          <w:tab w:val="clear" w:pos="283"/>
          <w:tab w:val="left" w:pos="302"/>
        </w:tabs>
        <w:overflowPunct/>
        <w:spacing w:line="274" w:lineRule="exact"/>
        <w:ind w:left="360" w:hanging="360"/>
        <w:textAlignment w:val="auto"/>
        <w:rPr>
          <w:rFonts w:asciiTheme="minorHAnsi" w:hAnsiTheme="minorHAnsi"/>
        </w:rPr>
      </w:pPr>
      <w:r w:rsidRPr="00A23FB4">
        <w:rPr>
          <w:rFonts w:asciiTheme="minorHAnsi" w:hAnsiTheme="minorHAnsi"/>
        </w:rPr>
        <w:t>33cm dla promieni &lt;3,0m,</w:t>
      </w:r>
    </w:p>
    <w:p w14:paraId="715C0305" w14:textId="77777777" w:rsidR="00357D2A" w:rsidRPr="00A23FB4" w:rsidRDefault="00357D2A" w:rsidP="00262498">
      <w:pPr>
        <w:widowControl w:val="0"/>
        <w:numPr>
          <w:ilvl w:val="0"/>
          <w:numId w:val="31"/>
        </w:numPr>
        <w:shd w:val="clear" w:color="auto" w:fill="FFFFFF"/>
        <w:tabs>
          <w:tab w:val="clear" w:pos="283"/>
          <w:tab w:val="left" w:pos="302"/>
        </w:tabs>
        <w:overflowPunct/>
        <w:spacing w:line="274" w:lineRule="exact"/>
        <w:ind w:left="360" w:hanging="360"/>
        <w:textAlignment w:val="auto"/>
        <w:rPr>
          <w:rFonts w:asciiTheme="minorHAnsi" w:hAnsiTheme="minorHAnsi"/>
        </w:rPr>
      </w:pPr>
      <w:r w:rsidRPr="00A23FB4">
        <w:rPr>
          <w:rFonts w:asciiTheme="minorHAnsi" w:hAnsiTheme="minorHAnsi"/>
        </w:rPr>
        <w:t>50 cm dla promieni 3,0m&lt;R&lt;6,0m</w:t>
      </w:r>
    </w:p>
    <w:p w14:paraId="71ECD0A6" w14:textId="77777777" w:rsidR="00357D2A" w:rsidRPr="00A23FB4" w:rsidRDefault="00357D2A" w:rsidP="00262498">
      <w:pPr>
        <w:widowControl w:val="0"/>
        <w:numPr>
          <w:ilvl w:val="0"/>
          <w:numId w:val="31"/>
        </w:numPr>
        <w:shd w:val="clear" w:color="auto" w:fill="FFFFFF"/>
        <w:tabs>
          <w:tab w:val="clear" w:pos="283"/>
          <w:tab w:val="left" w:pos="302"/>
        </w:tabs>
        <w:overflowPunct/>
        <w:spacing w:line="274" w:lineRule="exact"/>
        <w:ind w:left="360" w:hanging="360"/>
        <w:textAlignment w:val="auto"/>
        <w:rPr>
          <w:rFonts w:asciiTheme="minorHAnsi" w:hAnsiTheme="minorHAnsi"/>
        </w:rPr>
      </w:pPr>
      <w:r w:rsidRPr="00A23FB4">
        <w:rPr>
          <w:rFonts w:asciiTheme="minorHAnsi" w:hAnsiTheme="minorHAnsi"/>
        </w:rPr>
        <w:t>100cm dla promieni &gt;6,0m</w:t>
      </w:r>
    </w:p>
    <w:p w14:paraId="250D57A2" w14:textId="77777777" w:rsidR="00357D2A" w:rsidRPr="00A23FB4" w:rsidRDefault="00357D2A" w:rsidP="00357D2A">
      <w:pPr>
        <w:pStyle w:val="Nagwek4"/>
        <w:tabs>
          <w:tab w:val="left" w:pos="9914"/>
        </w:tabs>
        <w:rPr>
          <w:rFonts w:asciiTheme="minorHAnsi" w:hAnsiTheme="minorHAnsi"/>
        </w:rPr>
      </w:pPr>
      <w:r w:rsidRPr="00A23FB4">
        <w:rPr>
          <w:rFonts w:asciiTheme="minorHAnsi" w:hAnsiTheme="minorHAnsi"/>
        </w:rPr>
        <w:t>2.2. Materiały na podsypkę i do zapraw</w:t>
      </w:r>
    </w:p>
    <w:p w14:paraId="0BE7A7EA" w14:textId="77777777" w:rsidR="00357D2A" w:rsidRPr="00A23FB4" w:rsidRDefault="00357D2A" w:rsidP="00357D2A">
      <w:pPr>
        <w:tabs>
          <w:tab w:val="left" w:pos="9914"/>
        </w:tabs>
        <w:rPr>
          <w:rFonts w:asciiTheme="minorHAnsi" w:hAnsiTheme="minorHAnsi"/>
        </w:rPr>
      </w:pPr>
      <w:r w:rsidRPr="00A23FB4">
        <w:rPr>
          <w:rFonts w:asciiTheme="minorHAnsi" w:hAnsiTheme="minorHAnsi"/>
        </w:rPr>
        <w:t>Piasek na podsypkę cementowo-piaskową i do zapraw powinien odpowiadać wymaganiom PN-EN-12620:2004.</w:t>
      </w:r>
    </w:p>
    <w:p w14:paraId="5121691D" w14:textId="77777777" w:rsidR="00357D2A" w:rsidRPr="00A23FB4" w:rsidRDefault="00357D2A" w:rsidP="00357D2A">
      <w:pPr>
        <w:tabs>
          <w:tab w:val="left" w:pos="9914"/>
        </w:tabs>
        <w:rPr>
          <w:rFonts w:asciiTheme="minorHAnsi" w:hAnsiTheme="minorHAnsi"/>
        </w:rPr>
      </w:pPr>
      <w:r w:rsidRPr="00A23FB4">
        <w:rPr>
          <w:rFonts w:asciiTheme="minorHAnsi" w:hAnsiTheme="minorHAnsi"/>
        </w:rPr>
        <w:t>Cement na podsypkę i do zaprawy cementowo-piaskowej powinien być cementem portlandzkim CEM I klasy nie mniejszej niż „32,5”, odpowiadający wymaganiom PN-EN-197-1:2002.</w:t>
      </w:r>
    </w:p>
    <w:p w14:paraId="09CA64B7" w14:textId="77777777" w:rsidR="00357D2A" w:rsidRPr="00A23FB4" w:rsidRDefault="00357D2A" w:rsidP="00357D2A">
      <w:pPr>
        <w:tabs>
          <w:tab w:val="left" w:pos="9914"/>
        </w:tabs>
        <w:rPr>
          <w:rFonts w:asciiTheme="minorHAnsi" w:hAnsiTheme="minorHAnsi"/>
        </w:rPr>
      </w:pPr>
      <w:r w:rsidRPr="00A23FB4">
        <w:rPr>
          <w:rFonts w:asciiTheme="minorHAnsi" w:hAnsiTheme="minorHAnsi"/>
        </w:rPr>
        <w:t>Woda powinna odpowiadać wymaganiom PN-EN-1008:2004.</w:t>
      </w:r>
    </w:p>
    <w:p w14:paraId="34867887" w14:textId="77777777" w:rsidR="00357D2A" w:rsidRPr="00A23FB4" w:rsidRDefault="00357D2A" w:rsidP="00357D2A">
      <w:pPr>
        <w:pStyle w:val="Nagwek4"/>
        <w:spacing w:before="0"/>
        <w:ind w:right="-763"/>
        <w:rPr>
          <w:rFonts w:asciiTheme="minorHAnsi" w:hAnsiTheme="minorHAnsi"/>
        </w:rPr>
      </w:pPr>
      <w:r w:rsidRPr="00A23FB4">
        <w:rPr>
          <w:rFonts w:asciiTheme="minorHAnsi" w:hAnsiTheme="minorHAnsi"/>
          <w:spacing w:val="-1"/>
        </w:rPr>
        <w:t>2.3.</w:t>
      </w:r>
      <w:r w:rsidRPr="00A23FB4">
        <w:rPr>
          <w:rFonts w:asciiTheme="minorHAnsi" w:hAnsiTheme="minorHAnsi"/>
        </w:rPr>
        <w:tab/>
        <w:t>Ława betonowa z oporem</w:t>
      </w:r>
    </w:p>
    <w:p w14:paraId="25CAA7CA" w14:textId="77777777" w:rsidR="00357D2A" w:rsidRPr="00A23FB4" w:rsidRDefault="00357D2A" w:rsidP="00357D2A">
      <w:pPr>
        <w:shd w:val="clear" w:color="auto" w:fill="FFFFFF"/>
        <w:spacing w:line="278" w:lineRule="exact"/>
        <w:ind w:right="-763"/>
        <w:rPr>
          <w:rFonts w:asciiTheme="minorHAnsi" w:hAnsiTheme="minorHAnsi"/>
          <w:vertAlign w:val="subscript"/>
        </w:rPr>
      </w:pPr>
      <w:r w:rsidRPr="00A23FB4">
        <w:rPr>
          <w:rFonts w:asciiTheme="minorHAnsi" w:hAnsiTheme="minorHAnsi"/>
        </w:rPr>
        <w:t xml:space="preserve">Ława betonowa pod krawężnik oraz opór wykonane będą z betonu klasy </w:t>
      </w:r>
      <w:r w:rsidR="00B874D9" w:rsidRPr="00A23FB4">
        <w:rPr>
          <w:rFonts w:asciiTheme="minorHAnsi" w:hAnsiTheme="minorHAnsi"/>
        </w:rPr>
        <w:t>C12/15</w:t>
      </w:r>
      <w:r w:rsidRPr="00A23FB4">
        <w:rPr>
          <w:rFonts w:asciiTheme="minorHAnsi" w:hAnsiTheme="minorHAnsi"/>
        </w:rPr>
        <w:t>, Dmax 31,5, D2.2 i S2 wg PN- EN206-1 z cementem jak w p2.3 i wody jak w p.2.4 oraz kruszywa spełniającego wymagania PN-EN 12620 dla kategorii gruba G</w:t>
      </w:r>
      <w:r w:rsidRPr="00A23FB4">
        <w:rPr>
          <w:rFonts w:asciiTheme="minorHAnsi" w:hAnsiTheme="minorHAnsi"/>
          <w:vertAlign w:val="subscript"/>
        </w:rPr>
        <w:t>C</w:t>
      </w:r>
      <w:r w:rsidRPr="00A23FB4">
        <w:rPr>
          <w:rFonts w:asciiTheme="minorHAnsi" w:hAnsiTheme="minorHAnsi"/>
        </w:rPr>
        <w:t>90/15, SI</w:t>
      </w:r>
      <w:r w:rsidRPr="00A23FB4">
        <w:rPr>
          <w:rFonts w:asciiTheme="minorHAnsi" w:hAnsiTheme="minorHAnsi"/>
          <w:vertAlign w:val="subscript"/>
        </w:rPr>
        <w:t>40</w:t>
      </w:r>
      <w:r w:rsidRPr="00A23FB4">
        <w:rPr>
          <w:rFonts w:asciiTheme="minorHAnsi" w:hAnsiTheme="minorHAnsi"/>
        </w:rPr>
        <w:t>, f</w:t>
      </w:r>
      <w:r w:rsidRPr="00A23FB4">
        <w:rPr>
          <w:rFonts w:asciiTheme="minorHAnsi" w:hAnsiTheme="minorHAnsi"/>
          <w:vertAlign w:val="subscript"/>
        </w:rPr>
        <w:t>4</w:t>
      </w:r>
      <w:r w:rsidRPr="00A23FB4">
        <w:rPr>
          <w:rFonts w:asciiTheme="minorHAnsi" w:hAnsiTheme="minorHAnsi"/>
        </w:rPr>
        <w:t>, F</w:t>
      </w:r>
      <w:r w:rsidRPr="00A23FB4">
        <w:rPr>
          <w:rFonts w:asciiTheme="minorHAnsi" w:hAnsiTheme="minorHAnsi"/>
          <w:vertAlign w:val="subscript"/>
        </w:rPr>
        <w:t>2</w:t>
      </w:r>
      <w:r w:rsidRPr="00A23FB4">
        <w:rPr>
          <w:rFonts w:asciiTheme="minorHAnsi" w:hAnsiTheme="minorHAnsi"/>
        </w:rPr>
        <w:t xml:space="preserve"> i f</w:t>
      </w:r>
      <w:r w:rsidRPr="00A23FB4">
        <w:rPr>
          <w:rFonts w:asciiTheme="minorHAnsi" w:hAnsiTheme="minorHAnsi"/>
          <w:vertAlign w:val="subscript"/>
        </w:rPr>
        <w:t>10</w:t>
      </w:r>
      <w:r w:rsidRPr="00A23FB4">
        <w:rPr>
          <w:rFonts w:asciiTheme="minorHAnsi" w:hAnsiTheme="minorHAnsi"/>
        </w:rPr>
        <w:t>i drobna G</w:t>
      </w:r>
      <w:r w:rsidRPr="00A23FB4">
        <w:rPr>
          <w:rFonts w:asciiTheme="minorHAnsi" w:hAnsiTheme="minorHAnsi"/>
          <w:vertAlign w:val="subscript"/>
        </w:rPr>
        <w:t>F</w:t>
      </w:r>
      <w:r w:rsidRPr="00A23FB4">
        <w:rPr>
          <w:rFonts w:asciiTheme="minorHAnsi" w:hAnsiTheme="minorHAnsi"/>
        </w:rPr>
        <w:t>85 i f</w:t>
      </w:r>
      <w:r w:rsidRPr="00A23FB4">
        <w:rPr>
          <w:rFonts w:asciiTheme="minorHAnsi" w:hAnsiTheme="minorHAnsi"/>
          <w:vertAlign w:val="subscript"/>
        </w:rPr>
        <w:t>10</w:t>
      </w:r>
    </w:p>
    <w:p w14:paraId="6A93B491" w14:textId="77777777" w:rsidR="00357D2A" w:rsidRPr="00A23FB4" w:rsidRDefault="00357D2A" w:rsidP="00357D2A">
      <w:pPr>
        <w:shd w:val="clear" w:color="auto" w:fill="FFFFFF"/>
        <w:spacing w:line="278" w:lineRule="exact"/>
        <w:ind w:right="-763"/>
        <w:rPr>
          <w:rFonts w:asciiTheme="minorHAnsi" w:hAnsiTheme="minorHAnsi"/>
        </w:rPr>
      </w:pPr>
    </w:p>
    <w:p w14:paraId="3F8303C1" w14:textId="77777777" w:rsidR="00357D2A" w:rsidRPr="00A23FB4" w:rsidRDefault="00357D2A" w:rsidP="00357D2A">
      <w:pPr>
        <w:rPr>
          <w:rFonts w:asciiTheme="minorHAnsi" w:hAnsiTheme="minorHAnsi"/>
          <w:b/>
        </w:rPr>
      </w:pPr>
      <w:r w:rsidRPr="00A23FB4">
        <w:rPr>
          <w:rFonts w:asciiTheme="minorHAnsi" w:hAnsiTheme="minorHAnsi"/>
          <w:b/>
        </w:rPr>
        <w:t>3.</w:t>
      </w:r>
      <w:r w:rsidRPr="00A23FB4">
        <w:rPr>
          <w:rFonts w:asciiTheme="minorHAnsi" w:hAnsiTheme="minorHAnsi"/>
          <w:b/>
        </w:rPr>
        <w:tab/>
        <w:t>SPRZĘT</w:t>
      </w:r>
    </w:p>
    <w:p w14:paraId="2033DE3A" w14:textId="77777777" w:rsidR="00357D2A" w:rsidRPr="00A23FB4" w:rsidRDefault="00357D2A" w:rsidP="00357D2A">
      <w:pPr>
        <w:rPr>
          <w:rFonts w:asciiTheme="minorHAnsi" w:hAnsiTheme="minorHAnsi"/>
          <w:b/>
        </w:rPr>
      </w:pPr>
    </w:p>
    <w:p w14:paraId="00E12C1E" w14:textId="77777777" w:rsidR="00357D2A" w:rsidRPr="00A23FB4" w:rsidRDefault="00357D2A" w:rsidP="00357D2A">
      <w:pPr>
        <w:pStyle w:val="Nagwek4"/>
        <w:spacing w:before="0"/>
        <w:ind w:right="-763"/>
        <w:rPr>
          <w:rFonts w:asciiTheme="minorHAnsi" w:hAnsiTheme="minorHAnsi"/>
        </w:rPr>
      </w:pPr>
      <w:r w:rsidRPr="00A23FB4">
        <w:rPr>
          <w:rFonts w:asciiTheme="minorHAnsi" w:hAnsiTheme="minorHAnsi"/>
        </w:rPr>
        <w:t>3.1.Ogólne wymagania dotyczące sprzętu</w:t>
      </w:r>
    </w:p>
    <w:p w14:paraId="59663498" w14:textId="6B2A79B2" w:rsidR="00357D2A" w:rsidRPr="00A23FB4" w:rsidRDefault="00357D2A" w:rsidP="00357D2A">
      <w:pPr>
        <w:shd w:val="clear" w:color="auto" w:fill="FFFFFF"/>
        <w:spacing w:line="274" w:lineRule="exact"/>
        <w:ind w:right="-763"/>
        <w:rPr>
          <w:rFonts w:asciiTheme="minorHAnsi" w:hAnsiTheme="minorHAnsi"/>
        </w:rPr>
      </w:pPr>
      <w:r w:rsidRPr="00A23FB4">
        <w:rPr>
          <w:rFonts w:asciiTheme="minorHAnsi" w:hAnsiTheme="minorHAnsi"/>
        </w:rPr>
        <w:t xml:space="preserve">Ogólne wymagania dotyczące sprzętu podano w </w:t>
      </w:r>
      <w:r w:rsidR="00865C6C">
        <w:rPr>
          <w:rFonts w:asciiTheme="minorHAnsi" w:hAnsiTheme="minorHAnsi"/>
        </w:rPr>
        <w:t>ST</w:t>
      </w:r>
      <w:r w:rsidRPr="00A23FB4">
        <w:rPr>
          <w:rFonts w:asciiTheme="minorHAnsi" w:hAnsiTheme="minorHAnsi"/>
        </w:rPr>
        <w:t>WiORB D-M.00.00.00 „Wymagania ogólne”</w:t>
      </w:r>
    </w:p>
    <w:p w14:paraId="40FC7FD0" w14:textId="77777777" w:rsidR="00357D2A" w:rsidRPr="00A23FB4" w:rsidRDefault="00357D2A" w:rsidP="00262498">
      <w:pPr>
        <w:widowControl w:val="0"/>
        <w:numPr>
          <w:ilvl w:val="0"/>
          <w:numId w:val="32"/>
        </w:numPr>
        <w:shd w:val="clear" w:color="auto" w:fill="FFFFFF"/>
        <w:tabs>
          <w:tab w:val="left" w:pos="422"/>
        </w:tabs>
        <w:overflowPunct/>
        <w:ind w:left="360" w:right="-763" w:hanging="360"/>
        <w:textAlignment w:val="auto"/>
        <w:rPr>
          <w:rFonts w:asciiTheme="minorHAnsi" w:hAnsiTheme="minorHAnsi"/>
          <w:b/>
          <w:bCs/>
          <w:spacing w:val="-2"/>
        </w:rPr>
      </w:pPr>
      <w:r w:rsidRPr="00A23FB4">
        <w:rPr>
          <w:rFonts w:asciiTheme="minorHAnsi" w:hAnsiTheme="minorHAnsi"/>
          <w:b/>
          <w:bCs/>
        </w:rPr>
        <w:t xml:space="preserve">Roboty związane z wbudowaniem obrzeży betonowych </w:t>
      </w:r>
      <w:r w:rsidRPr="00A23FB4">
        <w:rPr>
          <w:rFonts w:asciiTheme="minorHAnsi" w:hAnsiTheme="minorHAnsi"/>
        </w:rPr>
        <w:t>wykonane będą ręcznie</w:t>
      </w:r>
      <w:r w:rsidRPr="00A23FB4">
        <w:rPr>
          <w:rFonts w:asciiTheme="minorHAnsi" w:hAnsiTheme="minorHAnsi"/>
          <w:b/>
          <w:bCs/>
        </w:rPr>
        <w:t>.</w:t>
      </w:r>
    </w:p>
    <w:p w14:paraId="31C036A4" w14:textId="77777777" w:rsidR="00357D2A" w:rsidRPr="00A23FB4" w:rsidRDefault="00357D2A" w:rsidP="00262498">
      <w:pPr>
        <w:widowControl w:val="0"/>
        <w:numPr>
          <w:ilvl w:val="0"/>
          <w:numId w:val="32"/>
        </w:numPr>
        <w:shd w:val="clear" w:color="auto" w:fill="FFFFFF"/>
        <w:tabs>
          <w:tab w:val="left" w:pos="422"/>
        </w:tabs>
        <w:overflowPunct/>
        <w:ind w:left="360" w:right="-763" w:hanging="360"/>
        <w:textAlignment w:val="auto"/>
        <w:rPr>
          <w:rFonts w:asciiTheme="minorHAnsi" w:hAnsiTheme="minorHAnsi"/>
          <w:b/>
          <w:bCs/>
          <w:spacing w:val="-2"/>
        </w:rPr>
      </w:pPr>
      <w:r w:rsidRPr="00A23FB4">
        <w:rPr>
          <w:rFonts w:asciiTheme="minorHAnsi" w:hAnsiTheme="minorHAnsi"/>
          <w:b/>
          <w:bCs/>
        </w:rPr>
        <w:t xml:space="preserve">Ubijaki ręczne lub mechaniczne </w:t>
      </w:r>
      <w:r w:rsidRPr="00A23FB4">
        <w:rPr>
          <w:rFonts w:asciiTheme="minorHAnsi" w:hAnsiTheme="minorHAnsi"/>
        </w:rPr>
        <w:t>- zagęszczenie koryta.</w:t>
      </w:r>
    </w:p>
    <w:p w14:paraId="35FCF085" w14:textId="77777777" w:rsidR="00357D2A" w:rsidRPr="00A23FB4" w:rsidRDefault="00357D2A" w:rsidP="00357D2A">
      <w:pPr>
        <w:widowControl w:val="0"/>
        <w:shd w:val="clear" w:color="auto" w:fill="FFFFFF"/>
        <w:tabs>
          <w:tab w:val="left" w:pos="422"/>
        </w:tabs>
        <w:overflowPunct/>
        <w:ind w:left="360" w:right="-763"/>
        <w:textAlignment w:val="auto"/>
        <w:rPr>
          <w:rFonts w:asciiTheme="minorHAnsi" w:hAnsiTheme="minorHAnsi"/>
          <w:b/>
          <w:bCs/>
          <w:spacing w:val="-2"/>
        </w:rPr>
      </w:pPr>
    </w:p>
    <w:p w14:paraId="43A3E7F9" w14:textId="77777777" w:rsidR="00357D2A" w:rsidRPr="00A23FB4" w:rsidRDefault="00357D2A" w:rsidP="00357D2A">
      <w:pPr>
        <w:jc w:val="left"/>
        <w:rPr>
          <w:rFonts w:asciiTheme="minorHAnsi" w:hAnsiTheme="minorHAnsi"/>
          <w:b/>
        </w:rPr>
      </w:pPr>
      <w:r w:rsidRPr="00A23FB4">
        <w:rPr>
          <w:rFonts w:asciiTheme="minorHAnsi" w:hAnsiTheme="minorHAnsi"/>
          <w:b/>
        </w:rPr>
        <w:t>4.</w:t>
      </w:r>
      <w:r w:rsidRPr="00A23FB4">
        <w:rPr>
          <w:rFonts w:asciiTheme="minorHAnsi" w:hAnsiTheme="minorHAnsi"/>
          <w:b/>
        </w:rPr>
        <w:tab/>
        <w:t>TRANSPORT</w:t>
      </w:r>
    </w:p>
    <w:p w14:paraId="02070424" w14:textId="77777777" w:rsidR="00357D2A" w:rsidRPr="00A23FB4" w:rsidRDefault="00357D2A" w:rsidP="00357D2A">
      <w:pPr>
        <w:jc w:val="left"/>
        <w:rPr>
          <w:rFonts w:asciiTheme="minorHAnsi" w:hAnsiTheme="minorHAnsi"/>
          <w:b/>
        </w:rPr>
      </w:pPr>
    </w:p>
    <w:p w14:paraId="623693E5" w14:textId="77777777" w:rsidR="00357D2A" w:rsidRPr="00A23FB4" w:rsidRDefault="00357D2A" w:rsidP="00357D2A">
      <w:pPr>
        <w:pStyle w:val="Nagwek4"/>
        <w:spacing w:before="0"/>
        <w:ind w:right="-763"/>
        <w:rPr>
          <w:rFonts w:asciiTheme="minorHAnsi" w:hAnsiTheme="minorHAnsi"/>
        </w:rPr>
      </w:pPr>
      <w:r w:rsidRPr="00A23FB4">
        <w:rPr>
          <w:rFonts w:asciiTheme="minorHAnsi" w:hAnsiTheme="minorHAnsi"/>
          <w:spacing w:val="-1"/>
        </w:rPr>
        <w:t>4.1.</w:t>
      </w:r>
      <w:r w:rsidRPr="00A23FB4">
        <w:rPr>
          <w:rFonts w:asciiTheme="minorHAnsi" w:hAnsiTheme="minorHAnsi"/>
        </w:rPr>
        <w:tab/>
        <w:t>Ogólne wymagania dotyczące transportu</w:t>
      </w:r>
    </w:p>
    <w:p w14:paraId="62D4A896" w14:textId="285D7FC0" w:rsidR="00357D2A" w:rsidRPr="00A23FB4" w:rsidRDefault="00357D2A" w:rsidP="00357D2A">
      <w:pPr>
        <w:shd w:val="clear" w:color="auto" w:fill="FFFFFF"/>
        <w:spacing w:line="274" w:lineRule="exact"/>
        <w:ind w:right="-763"/>
        <w:rPr>
          <w:rFonts w:asciiTheme="minorHAnsi" w:hAnsiTheme="minorHAnsi"/>
        </w:rPr>
      </w:pPr>
      <w:r w:rsidRPr="00A23FB4">
        <w:rPr>
          <w:rFonts w:asciiTheme="minorHAnsi" w:hAnsiTheme="minorHAnsi"/>
        </w:rPr>
        <w:t xml:space="preserve">Ogólne wymagania dotyczące transportu podano w </w:t>
      </w:r>
      <w:r w:rsidR="00865C6C">
        <w:rPr>
          <w:rFonts w:asciiTheme="minorHAnsi" w:hAnsiTheme="minorHAnsi"/>
        </w:rPr>
        <w:t>ST</w:t>
      </w:r>
      <w:r w:rsidRPr="00A23FB4">
        <w:rPr>
          <w:rFonts w:asciiTheme="minorHAnsi" w:hAnsiTheme="minorHAnsi"/>
        </w:rPr>
        <w:t>WiORB D-M.00.00.00 „Wymagania ogólne”</w:t>
      </w:r>
    </w:p>
    <w:p w14:paraId="13545EA8" w14:textId="77777777" w:rsidR="00357D2A" w:rsidRPr="00A23FB4" w:rsidRDefault="00357D2A" w:rsidP="00262498">
      <w:pPr>
        <w:widowControl w:val="0"/>
        <w:numPr>
          <w:ilvl w:val="0"/>
          <w:numId w:val="33"/>
        </w:numPr>
        <w:shd w:val="clear" w:color="auto" w:fill="FFFFFF"/>
        <w:tabs>
          <w:tab w:val="left" w:pos="422"/>
        </w:tabs>
        <w:overflowPunct/>
        <w:spacing w:line="274" w:lineRule="exact"/>
        <w:ind w:left="360" w:right="-763" w:hanging="360"/>
        <w:textAlignment w:val="auto"/>
        <w:rPr>
          <w:rFonts w:asciiTheme="minorHAnsi" w:hAnsiTheme="minorHAnsi"/>
          <w:b/>
          <w:bCs/>
          <w:spacing w:val="-1"/>
        </w:rPr>
      </w:pPr>
      <w:r w:rsidRPr="00A23FB4">
        <w:rPr>
          <w:rFonts w:asciiTheme="minorHAnsi" w:hAnsiTheme="minorHAnsi"/>
          <w:b/>
          <w:bCs/>
        </w:rPr>
        <w:t xml:space="preserve">Obrzeża betonowe </w:t>
      </w:r>
      <w:r w:rsidRPr="00A23FB4">
        <w:rPr>
          <w:rFonts w:asciiTheme="minorHAnsi" w:hAnsiTheme="minorHAnsi"/>
        </w:rPr>
        <w:t>- transport i składowanie na miejscu wbudowania zgodnie z BN-80/6775-03 arkusz 1. Obrzeża mogą być przewożone po osiągnięciu przez beton min 0,7 wytrzymałości projektowanej. W czasie transportu muszą być zabezpieczone przed przemieszczaniem się i uszkodzeniami.</w:t>
      </w:r>
    </w:p>
    <w:p w14:paraId="26C0168B" w14:textId="77777777" w:rsidR="00357D2A" w:rsidRPr="00A23FB4" w:rsidRDefault="00357D2A" w:rsidP="00262498">
      <w:pPr>
        <w:widowControl w:val="0"/>
        <w:numPr>
          <w:ilvl w:val="0"/>
          <w:numId w:val="33"/>
        </w:numPr>
        <w:shd w:val="clear" w:color="auto" w:fill="FFFFFF"/>
        <w:tabs>
          <w:tab w:val="left" w:pos="422"/>
        </w:tabs>
        <w:overflowPunct/>
        <w:spacing w:line="274" w:lineRule="exact"/>
        <w:ind w:left="360" w:right="-763" w:hanging="360"/>
        <w:textAlignment w:val="auto"/>
        <w:rPr>
          <w:rFonts w:asciiTheme="minorHAnsi" w:hAnsiTheme="minorHAnsi"/>
          <w:b/>
          <w:bCs/>
          <w:spacing w:val="-2"/>
        </w:rPr>
      </w:pPr>
      <w:r w:rsidRPr="00A23FB4">
        <w:rPr>
          <w:rFonts w:asciiTheme="minorHAnsi" w:hAnsiTheme="minorHAnsi"/>
          <w:b/>
          <w:bCs/>
        </w:rPr>
        <w:t xml:space="preserve">Kruszywo - </w:t>
      </w:r>
      <w:r w:rsidRPr="00A23FB4">
        <w:rPr>
          <w:rFonts w:asciiTheme="minorHAnsi" w:hAnsiTheme="minorHAnsi"/>
        </w:rPr>
        <w:t xml:space="preserve">na podsypkę pod obrzeża betonowe transportowane może być dowolnymi </w:t>
      </w:r>
      <w:r w:rsidRPr="00A23FB4">
        <w:rPr>
          <w:rFonts w:asciiTheme="minorHAnsi" w:hAnsiTheme="minorHAnsi"/>
          <w:spacing w:val="-1"/>
        </w:rPr>
        <w:t xml:space="preserve">środkami transportu (wskazane - samowyładowcze środki transportu) zaakceptowanymi przez </w:t>
      </w:r>
      <w:r w:rsidRPr="00A23FB4">
        <w:rPr>
          <w:rFonts w:asciiTheme="minorHAnsi" w:hAnsiTheme="minorHAnsi"/>
        </w:rPr>
        <w:t>Inspektora Nadzoru Inwestorskiego.</w:t>
      </w:r>
    </w:p>
    <w:p w14:paraId="322D9F39" w14:textId="77777777" w:rsidR="00357D2A" w:rsidRPr="00A23FB4" w:rsidRDefault="00357D2A" w:rsidP="00357D2A">
      <w:pPr>
        <w:shd w:val="clear" w:color="auto" w:fill="FFFFFF"/>
        <w:ind w:left="4541"/>
        <w:rPr>
          <w:rFonts w:asciiTheme="minorHAnsi" w:hAnsiTheme="minorHAnsi"/>
        </w:rPr>
      </w:pPr>
    </w:p>
    <w:p w14:paraId="1B42278C" w14:textId="77777777" w:rsidR="00357D2A" w:rsidRPr="00A23FB4" w:rsidRDefault="00357D2A" w:rsidP="00357D2A">
      <w:pPr>
        <w:rPr>
          <w:rFonts w:asciiTheme="minorHAnsi" w:hAnsiTheme="minorHAnsi"/>
          <w:b/>
        </w:rPr>
      </w:pPr>
      <w:r w:rsidRPr="00A23FB4">
        <w:rPr>
          <w:rFonts w:asciiTheme="minorHAnsi" w:hAnsiTheme="minorHAnsi"/>
          <w:b/>
        </w:rPr>
        <w:t>5. WYKONANIE ROBÓT</w:t>
      </w:r>
    </w:p>
    <w:p w14:paraId="53F3F788" w14:textId="77777777" w:rsidR="00357D2A" w:rsidRPr="00A23FB4" w:rsidRDefault="00357D2A" w:rsidP="00357D2A">
      <w:pPr>
        <w:rPr>
          <w:rFonts w:asciiTheme="minorHAnsi" w:hAnsiTheme="minorHAnsi"/>
          <w:b/>
        </w:rPr>
      </w:pPr>
    </w:p>
    <w:p w14:paraId="516BF5CC" w14:textId="77777777" w:rsidR="00357D2A" w:rsidRPr="00A23FB4" w:rsidRDefault="00357D2A" w:rsidP="00357D2A">
      <w:pPr>
        <w:pStyle w:val="Nagwek4"/>
        <w:spacing w:before="0"/>
        <w:ind w:right="-763"/>
        <w:rPr>
          <w:rFonts w:asciiTheme="minorHAnsi" w:hAnsiTheme="minorHAnsi"/>
        </w:rPr>
      </w:pPr>
      <w:r w:rsidRPr="00A23FB4">
        <w:rPr>
          <w:rFonts w:asciiTheme="minorHAnsi" w:hAnsiTheme="minorHAnsi"/>
          <w:spacing w:val="-1"/>
        </w:rPr>
        <w:t>5.1</w:t>
      </w:r>
      <w:r w:rsidRPr="00A23FB4">
        <w:rPr>
          <w:rFonts w:asciiTheme="minorHAnsi" w:hAnsiTheme="minorHAnsi"/>
        </w:rPr>
        <w:tab/>
        <w:t>Ogólne zasady wykonania robót</w:t>
      </w:r>
    </w:p>
    <w:p w14:paraId="35C16156" w14:textId="37E30F47" w:rsidR="00357D2A" w:rsidRPr="00A23FB4" w:rsidRDefault="00357D2A" w:rsidP="00357D2A">
      <w:pPr>
        <w:shd w:val="clear" w:color="auto" w:fill="FFFFFF"/>
        <w:spacing w:line="274" w:lineRule="exact"/>
        <w:ind w:right="-763"/>
        <w:rPr>
          <w:rFonts w:asciiTheme="minorHAnsi" w:hAnsiTheme="minorHAnsi"/>
        </w:rPr>
      </w:pPr>
      <w:r w:rsidRPr="00A23FB4">
        <w:rPr>
          <w:rFonts w:asciiTheme="minorHAnsi" w:hAnsiTheme="minorHAnsi"/>
        </w:rPr>
        <w:t xml:space="preserve">Ogólne zasady wykonania robót podano w </w:t>
      </w:r>
      <w:r w:rsidR="00865C6C">
        <w:rPr>
          <w:rFonts w:asciiTheme="minorHAnsi" w:hAnsiTheme="minorHAnsi"/>
        </w:rPr>
        <w:t>ST</w:t>
      </w:r>
      <w:r w:rsidRPr="00A23FB4">
        <w:rPr>
          <w:rFonts w:asciiTheme="minorHAnsi" w:hAnsiTheme="minorHAnsi"/>
        </w:rPr>
        <w:t>WiORB D-M.00.00.00 „Wymagania ogólne”.</w:t>
      </w:r>
    </w:p>
    <w:p w14:paraId="56BFEBFE" w14:textId="77777777" w:rsidR="00357D2A" w:rsidRPr="00A23FB4" w:rsidRDefault="00357D2A" w:rsidP="00357D2A">
      <w:pPr>
        <w:pStyle w:val="Nagwek4"/>
        <w:spacing w:before="0"/>
        <w:ind w:right="-763"/>
        <w:rPr>
          <w:rFonts w:asciiTheme="minorHAnsi" w:hAnsiTheme="minorHAnsi"/>
        </w:rPr>
      </w:pPr>
      <w:r w:rsidRPr="00A23FB4">
        <w:rPr>
          <w:rFonts w:asciiTheme="minorHAnsi" w:hAnsiTheme="minorHAnsi"/>
          <w:spacing w:val="-1"/>
        </w:rPr>
        <w:t>5.2</w:t>
      </w:r>
      <w:r w:rsidRPr="00A23FB4">
        <w:rPr>
          <w:rFonts w:asciiTheme="minorHAnsi" w:hAnsiTheme="minorHAnsi"/>
        </w:rPr>
        <w:tab/>
        <w:t>Zakres wykonywanych robót</w:t>
      </w:r>
    </w:p>
    <w:p w14:paraId="1BCD619E" w14:textId="6CA8333A" w:rsidR="00357D2A" w:rsidRPr="00A23FB4" w:rsidRDefault="00357D2A" w:rsidP="00357D2A">
      <w:pPr>
        <w:shd w:val="clear" w:color="auto" w:fill="FFFFFF"/>
        <w:spacing w:line="278" w:lineRule="exact"/>
        <w:ind w:right="-763"/>
        <w:rPr>
          <w:rFonts w:asciiTheme="minorHAnsi" w:hAnsiTheme="minorHAnsi"/>
        </w:rPr>
      </w:pPr>
      <w:r w:rsidRPr="00A23FB4">
        <w:rPr>
          <w:rFonts w:asciiTheme="minorHAnsi" w:hAnsiTheme="minorHAnsi"/>
          <w:b/>
          <w:bCs/>
        </w:rPr>
        <w:t xml:space="preserve">5.2.1 </w:t>
      </w:r>
      <w:r w:rsidRPr="00A23FB4">
        <w:rPr>
          <w:rFonts w:asciiTheme="minorHAnsi" w:hAnsiTheme="minorHAnsi"/>
        </w:rPr>
        <w:t xml:space="preserve">Zakup i transport wyrobów oraz materiałów przewidzianych do wykonania robót wg w pkt. 2 niniejszej </w:t>
      </w:r>
      <w:r w:rsidR="00865C6C">
        <w:rPr>
          <w:rFonts w:asciiTheme="minorHAnsi" w:hAnsiTheme="minorHAnsi"/>
        </w:rPr>
        <w:t>ST</w:t>
      </w:r>
      <w:r w:rsidRPr="00A23FB4">
        <w:rPr>
          <w:rFonts w:asciiTheme="minorHAnsi" w:hAnsiTheme="minorHAnsi"/>
        </w:rPr>
        <w:t>WiORB.</w:t>
      </w:r>
    </w:p>
    <w:p w14:paraId="3126A4EB" w14:textId="5B011684" w:rsidR="00357D2A" w:rsidRPr="00A23FB4" w:rsidRDefault="00357D2A" w:rsidP="00357D2A">
      <w:pPr>
        <w:shd w:val="clear" w:color="auto" w:fill="FFFFFF"/>
        <w:spacing w:line="274" w:lineRule="exact"/>
        <w:ind w:right="-763"/>
        <w:rPr>
          <w:rFonts w:asciiTheme="minorHAnsi" w:hAnsiTheme="minorHAnsi"/>
        </w:rPr>
      </w:pPr>
      <w:r w:rsidRPr="00A23FB4">
        <w:rPr>
          <w:rFonts w:asciiTheme="minorHAnsi" w:hAnsiTheme="minorHAnsi"/>
        </w:rPr>
        <w:t xml:space="preserve">Miejsca pozyskania niezbędnych wyrobów i materiałów muszą uzyskać akceptację Inspektora Nadzoru Inwestorskiego. Transport wyrobów i materiałów na miejsce wbudowania opisano w pkt. 4 niniejszej </w:t>
      </w:r>
      <w:r w:rsidR="00865C6C">
        <w:rPr>
          <w:rFonts w:asciiTheme="minorHAnsi" w:hAnsiTheme="minorHAnsi"/>
        </w:rPr>
        <w:t>ST</w:t>
      </w:r>
      <w:r w:rsidRPr="00A23FB4">
        <w:rPr>
          <w:rFonts w:asciiTheme="minorHAnsi" w:hAnsiTheme="minorHAnsi"/>
        </w:rPr>
        <w:t>WiORB.</w:t>
      </w:r>
    </w:p>
    <w:p w14:paraId="32919FE4" w14:textId="77777777" w:rsidR="00357D2A" w:rsidRPr="00A23FB4" w:rsidRDefault="00357D2A" w:rsidP="00357D2A">
      <w:pPr>
        <w:shd w:val="clear" w:color="auto" w:fill="FFFFFF"/>
        <w:rPr>
          <w:rFonts w:asciiTheme="minorHAnsi" w:hAnsiTheme="minorHAnsi"/>
        </w:rPr>
      </w:pPr>
    </w:p>
    <w:p w14:paraId="17AFC379" w14:textId="77777777" w:rsidR="00357D2A" w:rsidRPr="00A23FB4" w:rsidRDefault="00357D2A" w:rsidP="00357D2A">
      <w:pPr>
        <w:shd w:val="clear" w:color="auto" w:fill="FFFFFF"/>
        <w:spacing w:line="278" w:lineRule="exact"/>
        <w:ind w:right="-765"/>
        <w:rPr>
          <w:rFonts w:asciiTheme="minorHAnsi" w:hAnsiTheme="minorHAnsi"/>
        </w:rPr>
      </w:pPr>
      <w:r w:rsidRPr="00A23FB4">
        <w:rPr>
          <w:rFonts w:asciiTheme="minorHAnsi" w:hAnsiTheme="minorHAnsi"/>
        </w:rPr>
        <w:t>Wykonawca wyznacza i stabilizuje sytuacyjnie i wysokościowo punkty niezbędne do wykonania robót.</w:t>
      </w:r>
    </w:p>
    <w:p w14:paraId="4CEAC409" w14:textId="77777777" w:rsidR="00357D2A" w:rsidRPr="00A23FB4" w:rsidRDefault="00357D2A" w:rsidP="00357D2A">
      <w:pPr>
        <w:pStyle w:val="Nagwek5"/>
        <w:spacing w:before="0" w:beforeAutospacing="0" w:after="0" w:afterAutospacing="0"/>
        <w:ind w:right="-765"/>
        <w:rPr>
          <w:rFonts w:asciiTheme="minorHAnsi" w:hAnsiTheme="minorHAnsi"/>
        </w:rPr>
      </w:pPr>
      <w:r w:rsidRPr="00A23FB4">
        <w:rPr>
          <w:rFonts w:asciiTheme="minorHAnsi" w:hAnsiTheme="minorHAnsi"/>
          <w:spacing w:val="-1"/>
        </w:rPr>
        <w:t>5.2.3</w:t>
      </w:r>
      <w:r w:rsidRPr="00A23FB4">
        <w:rPr>
          <w:rFonts w:asciiTheme="minorHAnsi" w:hAnsiTheme="minorHAnsi"/>
        </w:rPr>
        <w:tab/>
        <w:t>Oznakowanie prowadzonych robót</w:t>
      </w:r>
    </w:p>
    <w:p w14:paraId="656F6742" w14:textId="77777777" w:rsidR="00357D2A" w:rsidRPr="00A23FB4" w:rsidRDefault="00357D2A" w:rsidP="00357D2A">
      <w:pPr>
        <w:shd w:val="clear" w:color="auto" w:fill="FFFFFF"/>
        <w:spacing w:line="278" w:lineRule="exact"/>
        <w:ind w:right="-765"/>
        <w:rPr>
          <w:rFonts w:asciiTheme="minorHAnsi" w:hAnsiTheme="minorHAnsi"/>
        </w:rPr>
      </w:pPr>
      <w:r w:rsidRPr="00A23FB4">
        <w:rPr>
          <w:rFonts w:asciiTheme="minorHAnsi" w:hAnsiTheme="minorHAnsi"/>
        </w:rPr>
        <w:t>Oznakowanie prowadzonych robót należy wykonać zgodnie z „Projektem tymczasowej organizacji ruchu”</w:t>
      </w:r>
    </w:p>
    <w:p w14:paraId="7DD92E95" w14:textId="77777777" w:rsidR="00357D2A" w:rsidRPr="00A23FB4" w:rsidRDefault="00357D2A" w:rsidP="00357D2A">
      <w:pPr>
        <w:pStyle w:val="Nagwek5"/>
        <w:spacing w:before="0" w:beforeAutospacing="0" w:after="0" w:afterAutospacing="0"/>
        <w:ind w:right="-765"/>
        <w:rPr>
          <w:rFonts w:asciiTheme="minorHAnsi" w:hAnsiTheme="minorHAnsi"/>
        </w:rPr>
      </w:pPr>
      <w:r w:rsidRPr="00A23FB4">
        <w:rPr>
          <w:rFonts w:asciiTheme="minorHAnsi" w:hAnsiTheme="minorHAnsi"/>
          <w:spacing w:val="-1"/>
        </w:rPr>
        <w:t>5.2.4</w:t>
      </w:r>
      <w:r w:rsidRPr="00A23FB4">
        <w:rPr>
          <w:rFonts w:asciiTheme="minorHAnsi" w:hAnsiTheme="minorHAnsi"/>
        </w:rPr>
        <w:tab/>
        <w:t xml:space="preserve">Wykonanie koryta gruntowego (wykopu) pod obrzeża betonowe </w:t>
      </w:r>
    </w:p>
    <w:p w14:paraId="0FDD01A5" w14:textId="77777777" w:rsidR="00357D2A" w:rsidRPr="00A23FB4" w:rsidRDefault="00357D2A" w:rsidP="00357D2A">
      <w:pPr>
        <w:shd w:val="clear" w:color="auto" w:fill="FFFFFF"/>
        <w:spacing w:line="293" w:lineRule="exact"/>
        <w:ind w:right="-765"/>
        <w:rPr>
          <w:rFonts w:asciiTheme="minorHAnsi" w:hAnsiTheme="minorHAnsi"/>
        </w:rPr>
      </w:pPr>
      <w:r w:rsidRPr="00A23FB4">
        <w:rPr>
          <w:rFonts w:asciiTheme="minorHAnsi" w:hAnsiTheme="minorHAnsi"/>
        </w:rPr>
        <w:t>Powyższe roboty wykonane będą ręcznie. Dopuszczalne odchylenia głębokości koryta wynoszą ±1 cm.</w:t>
      </w:r>
    </w:p>
    <w:p w14:paraId="2C94BFA1" w14:textId="77777777" w:rsidR="00357D2A" w:rsidRPr="00A23FB4" w:rsidRDefault="00357D2A" w:rsidP="00357D2A">
      <w:pPr>
        <w:pStyle w:val="Nagwek4"/>
        <w:tabs>
          <w:tab w:val="left" w:pos="9914"/>
        </w:tabs>
        <w:spacing w:before="0" w:after="0"/>
        <w:rPr>
          <w:rFonts w:asciiTheme="minorHAnsi" w:hAnsiTheme="minorHAnsi"/>
        </w:rPr>
      </w:pPr>
      <w:r w:rsidRPr="00A23FB4">
        <w:rPr>
          <w:rFonts w:asciiTheme="minorHAnsi" w:hAnsiTheme="minorHAnsi"/>
        </w:rPr>
        <w:t>5.2.5 Ława</w:t>
      </w:r>
    </w:p>
    <w:p w14:paraId="61884F2A" w14:textId="77777777" w:rsidR="00357D2A" w:rsidRPr="00A23FB4" w:rsidRDefault="00357D2A" w:rsidP="00357D2A">
      <w:pPr>
        <w:tabs>
          <w:tab w:val="left" w:pos="9914"/>
        </w:tabs>
        <w:rPr>
          <w:rFonts w:asciiTheme="minorHAnsi" w:hAnsiTheme="minorHAnsi"/>
        </w:rPr>
      </w:pPr>
      <w:r w:rsidRPr="00A23FB4">
        <w:rPr>
          <w:rFonts w:asciiTheme="minorHAnsi" w:hAnsiTheme="minorHAnsi"/>
        </w:rPr>
        <w:t>Wykonanie ław powinno być zgodne z BN-64/8845-02.</w:t>
      </w:r>
    </w:p>
    <w:p w14:paraId="4551E9A1" w14:textId="77777777" w:rsidR="00357D2A" w:rsidRPr="00A23FB4" w:rsidRDefault="00357D2A" w:rsidP="00357D2A">
      <w:pPr>
        <w:tabs>
          <w:tab w:val="left" w:pos="9914"/>
        </w:tabs>
        <w:rPr>
          <w:rFonts w:asciiTheme="minorHAnsi" w:hAnsiTheme="minorHAnsi"/>
        </w:rPr>
      </w:pPr>
      <w:r w:rsidRPr="00A23FB4">
        <w:rPr>
          <w:rFonts w:asciiTheme="minorHAnsi" w:hAnsiTheme="minorHAnsi"/>
        </w:rPr>
        <w:t>Ławy betonowe z oporem wykonuje się w szalowaniu. Beton rozścielony w szalowaniu lub bezpośrednio w korycie powinien być wyrównywany warstwami. Betonowanie ław należy wykonywać zgodnie z wymaganiami PN-B-06250:1988, przy czym należy stosować co 50 m szczeliny dylatacyjne wypełnione bitumiczną masą zalewową.</w:t>
      </w:r>
    </w:p>
    <w:p w14:paraId="727CAA7D" w14:textId="77777777" w:rsidR="00357D2A" w:rsidRPr="00A23FB4" w:rsidRDefault="00357D2A" w:rsidP="00357D2A">
      <w:pPr>
        <w:pStyle w:val="Nagwek4"/>
        <w:tabs>
          <w:tab w:val="left" w:pos="9914"/>
        </w:tabs>
        <w:spacing w:before="0" w:after="0"/>
        <w:rPr>
          <w:rFonts w:asciiTheme="minorHAnsi" w:hAnsiTheme="minorHAnsi"/>
        </w:rPr>
      </w:pPr>
      <w:r w:rsidRPr="00A23FB4">
        <w:rPr>
          <w:rFonts w:asciiTheme="minorHAnsi" w:hAnsiTheme="minorHAnsi"/>
        </w:rPr>
        <w:t>5.2.6 Ustawienie betonowych obrzeży chodnikowych</w:t>
      </w:r>
    </w:p>
    <w:p w14:paraId="33A577EB" w14:textId="77777777" w:rsidR="00357D2A" w:rsidRPr="00A23FB4" w:rsidRDefault="00357D2A" w:rsidP="00357D2A">
      <w:pPr>
        <w:tabs>
          <w:tab w:val="left" w:pos="9914"/>
        </w:tabs>
        <w:rPr>
          <w:rFonts w:asciiTheme="minorHAnsi" w:hAnsiTheme="minorHAnsi"/>
        </w:rPr>
      </w:pPr>
      <w:r w:rsidRPr="00A23FB4">
        <w:rPr>
          <w:rFonts w:asciiTheme="minorHAnsi" w:hAnsiTheme="minorHAnsi"/>
        </w:rPr>
        <w:t>Betonowe obrzeża chodnikowe należy ustawiać na wykonanym podłożu w miejscu i ze światłem (odległością górnej powierzchni obrzeża od ciągu komunikacyjnego) zgodnym z ustaleniami dokumentacji projektowej.</w:t>
      </w:r>
    </w:p>
    <w:p w14:paraId="6DF64B9C" w14:textId="77777777" w:rsidR="00357D2A" w:rsidRPr="00A23FB4" w:rsidRDefault="00357D2A" w:rsidP="00357D2A">
      <w:pPr>
        <w:tabs>
          <w:tab w:val="left" w:pos="9914"/>
        </w:tabs>
        <w:rPr>
          <w:rFonts w:asciiTheme="minorHAnsi" w:hAnsiTheme="minorHAnsi"/>
        </w:rPr>
      </w:pPr>
      <w:r w:rsidRPr="00A23FB4">
        <w:rPr>
          <w:rFonts w:asciiTheme="minorHAnsi" w:hAnsiTheme="minorHAnsi"/>
        </w:rPr>
        <w:t>Zewnętr</w:t>
      </w:r>
      <w:r w:rsidR="00B874D9" w:rsidRPr="00A23FB4">
        <w:rPr>
          <w:rFonts w:asciiTheme="minorHAnsi" w:hAnsiTheme="minorHAnsi"/>
        </w:rPr>
        <w:t xml:space="preserve">zna ściana obrzeża powinna być zabezpieczona oporem betonowym zgodnie z dokumentacją </w:t>
      </w:r>
      <w:r w:rsidRPr="00A23FB4">
        <w:rPr>
          <w:rFonts w:asciiTheme="minorHAnsi" w:hAnsiTheme="minorHAnsi"/>
        </w:rPr>
        <w:t>.</w:t>
      </w:r>
    </w:p>
    <w:p w14:paraId="1CBF8653" w14:textId="77777777" w:rsidR="00357D2A" w:rsidRPr="00A23FB4" w:rsidRDefault="00357D2A" w:rsidP="00357D2A">
      <w:pPr>
        <w:tabs>
          <w:tab w:val="left" w:pos="9914"/>
        </w:tabs>
        <w:rPr>
          <w:rFonts w:asciiTheme="minorHAnsi" w:hAnsiTheme="minorHAnsi"/>
        </w:rPr>
      </w:pPr>
      <w:r w:rsidRPr="00A23FB4">
        <w:rPr>
          <w:rFonts w:asciiTheme="minorHAnsi" w:hAnsiTheme="minorHAnsi"/>
        </w:rPr>
        <w:t>Spoiny nie powinny przekraczać szerokości 1 cm. Należy wypełnić je piaskiem lub zaprawą cementowo-piaskową w stosunku 1:2. Spoiny przed zalaniem należy oczyścić i zmyć wodą. Spoiny muszą być wypełnione całkowicie na pełną głębokość.</w:t>
      </w:r>
    </w:p>
    <w:p w14:paraId="7A90F24B" w14:textId="77777777" w:rsidR="00357D2A" w:rsidRPr="00A23FB4" w:rsidRDefault="00357D2A" w:rsidP="00357D2A">
      <w:pPr>
        <w:shd w:val="clear" w:color="auto" w:fill="FFFFFF"/>
        <w:rPr>
          <w:rFonts w:asciiTheme="minorHAnsi" w:hAnsiTheme="minorHAnsi"/>
        </w:rPr>
        <w:sectPr w:rsidR="00357D2A" w:rsidRPr="00A23FB4" w:rsidSect="00EE6010">
          <w:type w:val="continuous"/>
          <w:pgSz w:w="11899" w:h="16838"/>
          <w:pgMar w:top="1417" w:right="1417" w:bottom="1417" w:left="1417" w:header="708" w:footer="708" w:gutter="0"/>
          <w:cols w:space="60"/>
          <w:noEndnote/>
        </w:sectPr>
      </w:pPr>
    </w:p>
    <w:p w14:paraId="25AC26C7" w14:textId="77777777" w:rsidR="00357D2A" w:rsidRPr="00A23FB4" w:rsidRDefault="00357D2A" w:rsidP="00357D2A">
      <w:pPr>
        <w:pStyle w:val="Nagwek5"/>
        <w:spacing w:before="0" w:beforeAutospacing="0" w:after="0" w:afterAutospacing="0"/>
        <w:ind w:right="-765"/>
        <w:rPr>
          <w:rFonts w:asciiTheme="minorHAnsi" w:hAnsiTheme="minorHAnsi"/>
        </w:rPr>
      </w:pPr>
      <w:r w:rsidRPr="00A23FB4">
        <w:rPr>
          <w:rFonts w:asciiTheme="minorHAnsi" w:hAnsiTheme="minorHAnsi"/>
          <w:spacing w:val="-1"/>
        </w:rPr>
        <w:t>5.2.2</w:t>
      </w:r>
      <w:r w:rsidRPr="00A23FB4">
        <w:rPr>
          <w:rFonts w:asciiTheme="minorHAnsi" w:hAnsiTheme="minorHAnsi"/>
        </w:rPr>
        <w:tab/>
        <w:t>Wyznaczenie geodezyjne odcinków ustawienia obrzeży betonowych</w:t>
      </w:r>
    </w:p>
    <w:p w14:paraId="585859C3" w14:textId="77777777" w:rsidR="00357D2A" w:rsidRPr="00A23FB4" w:rsidRDefault="00357D2A" w:rsidP="00357D2A"/>
    <w:p w14:paraId="507873E4" w14:textId="77777777" w:rsidR="00357D2A" w:rsidRPr="00A23FB4" w:rsidRDefault="00357D2A" w:rsidP="00357D2A">
      <w:pPr>
        <w:rPr>
          <w:rFonts w:asciiTheme="minorHAnsi" w:hAnsiTheme="minorHAnsi"/>
          <w:b/>
        </w:rPr>
      </w:pPr>
      <w:bookmarkStart w:id="890" w:name="_Toc387213512"/>
      <w:r w:rsidRPr="00A23FB4">
        <w:rPr>
          <w:rFonts w:asciiTheme="minorHAnsi" w:hAnsiTheme="minorHAnsi"/>
          <w:b/>
        </w:rPr>
        <w:t xml:space="preserve">6. </w:t>
      </w:r>
      <w:bookmarkEnd w:id="890"/>
      <w:r w:rsidRPr="00A23FB4">
        <w:rPr>
          <w:rFonts w:asciiTheme="minorHAnsi" w:hAnsiTheme="minorHAnsi"/>
          <w:b/>
        </w:rPr>
        <w:t>KONTROLA JAKOŚCI ROBÓT</w:t>
      </w:r>
    </w:p>
    <w:p w14:paraId="3802DACE" w14:textId="77777777" w:rsidR="00357D2A" w:rsidRPr="00A23FB4" w:rsidRDefault="00357D2A" w:rsidP="00357D2A">
      <w:pPr>
        <w:rPr>
          <w:rFonts w:asciiTheme="minorHAnsi" w:hAnsiTheme="minorHAnsi"/>
          <w:b/>
        </w:rPr>
      </w:pPr>
    </w:p>
    <w:p w14:paraId="6090D6AB" w14:textId="77777777" w:rsidR="00357D2A" w:rsidRPr="00A23FB4" w:rsidRDefault="00357D2A" w:rsidP="00357D2A">
      <w:pPr>
        <w:pStyle w:val="Nagwek4"/>
        <w:spacing w:before="0"/>
        <w:ind w:right="-622"/>
        <w:rPr>
          <w:rFonts w:asciiTheme="minorHAnsi" w:hAnsiTheme="minorHAnsi"/>
        </w:rPr>
      </w:pPr>
      <w:r w:rsidRPr="00A23FB4">
        <w:rPr>
          <w:rFonts w:asciiTheme="minorHAnsi" w:hAnsiTheme="minorHAnsi"/>
          <w:spacing w:val="-1"/>
        </w:rPr>
        <w:t>6.1.</w:t>
      </w:r>
      <w:r w:rsidRPr="00A23FB4">
        <w:rPr>
          <w:rFonts w:asciiTheme="minorHAnsi" w:hAnsiTheme="minorHAnsi"/>
        </w:rPr>
        <w:tab/>
        <w:t>Ogólne zasady kontroli jakości robót</w:t>
      </w:r>
    </w:p>
    <w:p w14:paraId="2F88430D" w14:textId="7C1ECD4B" w:rsidR="00357D2A" w:rsidRPr="00A23FB4" w:rsidRDefault="00357D2A" w:rsidP="00357D2A">
      <w:pPr>
        <w:shd w:val="clear" w:color="auto" w:fill="FFFFFF"/>
        <w:spacing w:line="278" w:lineRule="exact"/>
        <w:ind w:right="-622"/>
        <w:rPr>
          <w:rFonts w:asciiTheme="minorHAnsi" w:hAnsiTheme="minorHAnsi"/>
        </w:rPr>
      </w:pPr>
      <w:r w:rsidRPr="00A23FB4">
        <w:rPr>
          <w:rFonts w:asciiTheme="minorHAnsi" w:hAnsiTheme="minorHAnsi"/>
          <w:spacing w:val="-1"/>
        </w:rPr>
        <w:t xml:space="preserve">Ogólne zasady kontroli jakości robót podano w </w:t>
      </w:r>
      <w:r w:rsidR="00865C6C">
        <w:rPr>
          <w:rFonts w:asciiTheme="minorHAnsi" w:hAnsiTheme="minorHAnsi"/>
          <w:spacing w:val="-1"/>
        </w:rPr>
        <w:t>ST</w:t>
      </w:r>
      <w:r w:rsidRPr="00A23FB4">
        <w:rPr>
          <w:rFonts w:asciiTheme="minorHAnsi" w:hAnsiTheme="minorHAnsi"/>
          <w:spacing w:val="-1"/>
        </w:rPr>
        <w:t xml:space="preserve">WiORB D-M.00.00.00 „Wymagania </w:t>
      </w:r>
      <w:r w:rsidRPr="00A23FB4">
        <w:rPr>
          <w:rFonts w:asciiTheme="minorHAnsi" w:hAnsiTheme="minorHAnsi"/>
        </w:rPr>
        <w:t>ogólne”.</w:t>
      </w:r>
    </w:p>
    <w:p w14:paraId="198116E7" w14:textId="77777777" w:rsidR="00357D2A" w:rsidRPr="00A23FB4" w:rsidRDefault="00357D2A" w:rsidP="00357D2A">
      <w:pPr>
        <w:pStyle w:val="Nagwek4"/>
        <w:spacing w:before="0"/>
        <w:ind w:right="-622"/>
        <w:rPr>
          <w:rFonts w:asciiTheme="minorHAnsi" w:hAnsiTheme="minorHAnsi"/>
        </w:rPr>
      </w:pPr>
      <w:r w:rsidRPr="00A23FB4">
        <w:rPr>
          <w:rFonts w:asciiTheme="minorHAnsi" w:hAnsiTheme="minorHAnsi"/>
          <w:spacing w:val="-2"/>
        </w:rPr>
        <w:t>6.2.</w:t>
      </w:r>
      <w:r w:rsidRPr="00A23FB4">
        <w:rPr>
          <w:rFonts w:asciiTheme="minorHAnsi" w:hAnsiTheme="minorHAnsi"/>
        </w:rPr>
        <w:tab/>
        <w:t>Badania przed przystąpieniem do robót</w:t>
      </w:r>
    </w:p>
    <w:p w14:paraId="085852D8" w14:textId="77777777" w:rsidR="00357D2A" w:rsidRPr="00A23FB4" w:rsidRDefault="00357D2A" w:rsidP="00357D2A">
      <w:pPr>
        <w:shd w:val="clear" w:color="auto" w:fill="FFFFFF"/>
        <w:spacing w:line="274" w:lineRule="exact"/>
        <w:ind w:right="-622"/>
        <w:rPr>
          <w:rFonts w:asciiTheme="minorHAnsi" w:hAnsiTheme="minorHAnsi"/>
        </w:rPr>
      </w:pPr>
      <w:r w:rsidRPr="00A23FB4">
        <w:rPr>
          <w:rFonts w:asciiTheme="minorHAnsi" w:hAnsiTheme="minorHAnsi"/>
          <w:spacing w:val="-1"/>
        </w:rPr>
        <w:t xml:space="preserve">Wykonawca powinien wykonać badania wyrobów oraz materiałów i przedstawić wyniki Inspektorowi Nadzoru Inwestorskiego. Sprawdzić należy kształt, wymiary i wygląd obrzeży. Sprawdzenie kształtu i wymiarów elementów należy przeprowadzić z dokładnością do 1 mm przy użyciu suwmiarki oraz przymiaru stalowego lub taśmy. Sprawdzenie kątów prostych w </w:t>
      </w:r>
      <w:r w:rsidRPr="00A23FB4">
        <w:rPr>
          <w:rFonts w:asciiTheme="minorHAnsi" w:hAnsiTheme="minorHAnsi"/>
        </w:rPr>
        <w:t>narożach elementów wykonuje się przez przyłożenie kątownika do badanego naroża i zmierzenia odchyłek z dokładnością do 1 mm.</w:t>
      </w:r>
    </w:p>
    <w:p w14:paraId="3F6EE16A" w14:textId="77777777" w:rsidR="00357D2A" w:rsidRPr="00A23FB4" w:rsidRDefault="00357D2A" w:rsidP="00357D2A">
      <w:pPr>
        <w:shd w:val="clear" w:color="auto" w:fill="FFFFFF"/>
        <w:spacing w:line="274" w:lineRule="exact"/>
        <w:ind w:right="-622"/>
        <w:rPr>
          <w:rFonts w:asciiTheme="minorHAnsi" w:hAnsiTheme="minorHAnsi"/>
        </w:rPr>
      </w:pPr>
      <w:r w:rsidRPr="00A23FB4">
        <w:rPr>
          <w:rFonts w:asciiTheme="minorHAnsi" w:hAnsiTheme="minorHAnsi"/>
        </w:rPr>
        <w:t>Dla pozostałych wyrobów i materiałów badania powinny obejmować wszystkie właściwości wymagane, wymienione w pkt. 2.2.</w:t>
      </w:r>
    </w:p>
    <w:p w14:paraId="1BCA7B26" w14:textId="77777777" w:rsidR="00357D2A" w:rsidRPr="00A23FB4" w:rsidRDefault="00357D2A" w:rsidP="00357D2A">
      <w:pPr>
        <w:pStyle w:val="Nagwek4"/>
        <w:spacing w:before="0"/>
        <w:ind w:right="-622"/>
        <w:rPr>
          <w:rFonts w:asciiTheme="minorHAnsi" w:hAnsiTheme="minorHAnsi"/>
        </w:rPr>
      </w:pPr>
      <w:r w:rsidRPr="00A23FB4">
        <w:rPr>
          <w:rFonts w:asciiTheme="minorHAnsi" w:hAnsiTheme="minorHAnsi"/>
          <w:spacing w:val="-1"/>
        </w:rPr>
        <w:t>6.3.</w:t>
      </w:r>
      <w:r w:rsidRPr="00A23FB4">
        <w:rPr>
          <w:rFonts w:asciiTheme="minorHAnsi" w:hAnsiTheme="minorHAnsi"/>
        </w:rPr>
        <w:tab/>
        <w:t>Kontrola w trakcie robót</w:t>
      </w:r>
    </w:p>
    <w:p w14:paraId="41E319E6" w14:textId="77777777" w:rsidR="00357D2A" w:rsidRPr="00A23FB4" w:rsidRDefault="00357D2A" w:rsidP="00357D2A">
      <w:pPr>
        <w:shd w:val="clear" w:color="auto" w:fill="FFFFFF"/>
        <w:ind w:right="-622"/>
        <w:rPr>
          <w:rFonts w:asciiTheme="minorHAnsi" w:hAnsiTheme="minorHAnsi"/>
        </w:rPr>
      </w:pPr>
      <w:r w:rsidRPr="00A23FB4">
        <w:rPr>
          <w:rFonts w:asciiTheme="minorHAnsi" w:hAnsiTheme="minorHAnsi"/>
        </w:rPr>
        <w:t>W czasie robót należy sprawdzić wykonanie:</w:t>
      </w:r>
    </w:p>
    <w:p w14:paraId="359F9664" w14:textId="77777777" w:rsidR="00B0480C" w:rsidRPr="00B0480C" w:rsidRDefault="00357D2A" w:rsidP="00262498">
      <w:pPr>
        <w:pStyle w:val="Akapitzlist"/>
        <w:widowControl w:val="0"/>
        <w:numPr>
          <w:ilvl w:val="0"/>
          <w:numId w:val="271"/>
        </w:numPr>
        <w:shd w:val="clear" w:color="auto" w:fill="FFFFFF"/>
        <w:tabs>
          <w:tab w:val="left" w:pos="754"/>
        </w:tabs>
        <w:overflowPunct/>
        <w:spacing w:line="274" w:lineRule="exact"/>
        <w:ind w:right="-622"/>
        <w:textAlignment w:val="auto"/>
        <w:rPr>
          <w:rFonts w:asciiTheme="minorHAnsi" w:hAnsiTheme="minorHAnsi"/>
          <w:spacing w:val="-1"/>
        </w:rPr>
      </w:pPr>
      <w:r w:rsidRPr="00B0480C">
        <w:rPr>
          <w:rFonts w:asciiTheme="minorHAnsi" w:hAnsiTheme="minorHAnsi"/>
        </w:rPr>
        <w:t>koryta pod ławę zgodnie z wymaganiami</w:t>
      </w:r>
    </w:p>
    <w:p w14:paraId="7C801F4C" w14:textId="77777777" w:rsidR="00B0480C" w:rsidRPr="00B0480C" w:rsidRDefault="00357D2A" w:rsidP="00262498">
      <w:pPr>
        <w:pStyle w:val="Akapitzlist"/>
        <w:widowControl w:val="0"/>
        <w:numPr>
          <w:ilvl w:val="0"/>
          <w:numId w:val="271"/>
        </w:numPr>
        <w:shd w:val="clear" w:color="auto" w:fill="FFFFFF"/>
        <w:tabs>
          <w:tab w:val="left" w:pos="754"/>
        </w:tabs>
        <w:overflowPunct/>
        <w:spacing w:line="274" w:lineRule="exact"/>
        <w:ind w:right="-622"/>
        <w:textAlignment w:val="auto"/>
        <w:rPr>
          <w:rFonts w:asciiTheme="minorHAnsi" w:hAnsiTheme="minorHAnsi"/>
          <w:spacing w:val="-1"/>
        </w:rPr>
      </w:pPr>
      <w:r w:rsidRPr="00B0480C">
        <w:rPr>
          <w:rFonts w:asciiTheme="minorHAnsi" w:hAnsiTheme="minorHAnsi"/>
        </w:rPr>
        <w:t>ławę z podsypki zgodnie z wymaganiami</w:t>
      </w:r>
    </w:p>
    <w:p w14:paraId="7A278816" w14:textId="77777777" w:rsidR="00B0480C" w:rsidRPr="00B0480C" w:rsidRDefault="00357D2A" w:rsidP="00262498">
      <w:pPr>
        <w:pStyle w:val="Akapitzlist"/>
        <w:widowControl w:val="0"/>
        <w:numPr>
          <w:ilvl w:val="0"/>
          <w:numId w:val="271"/>
        </w:numPr>
        <w:shd w:val="clear" w:color="auto" w:fill="FFFFFF"/>
        <w:tabs>
          <w:tab w:val="left" w:pos="754"/>
        </w:tabs>
        <w:overflowPunct/>
        <w:spacing w:line="274" w:lineRule="exact"/>
        <w:ind w:right="-622"/>
        <w:textAlignment w:val="auto"/>
        <w:rPr>
          <w:rFonts w:asciiTheme="minorHAnsi" w:hAnsiTheme="minorHAnsi"/>
          <w:spacing w:val="-1"/>
        </w:rPr>
      </w:pPr>
      <w:r w:rsidRPr="00B0480C">
        <w:rPr>
          <w:rFonts w:asciiTheme="minorHAnsi" w:hAnsiTheme="minorHAnsi"/>
          <w:spacing w:val="-1"/>
        </w:rPr>
        <w:t xml:space="preserve">ustawienia betonowego obrzeża chodnikowego – zgodnie z wymaganiami pkt 5, </w:t>
      </w:r>
      <w:r w:rsidRPr="00B0480C">
        <w:rPr>
          <w:rFonts w:asciiTheme="minorHAnsi" w:hAnsiTheme="minorHAnsi"/>
        </w:rPr>
        <w:t>odnośnie usytuowania w planie i wysokościowo co 100m</w:t>
      </w:r>
    </w:p>
    <w:p w14:paraId="25FFEE28" w14:textId="6A7D8222" w:rsidR="00357D2A" w:rsidRPr="00B0480C" w:rsidRDefault="00357D2A" w:rsidP="00262498">
      <w:pPr>
        <w:pStyle w:val="Akapitzlist"/>
        <w:widowControl w:val="0"/>
        <w:numPr>
          <w:ilvl w:val="0"/>
          <w:numId w:val="271"/>
        </w:numPr>
        <w:shd w:val="clear" w:color="auto" w:fill="FFFFFF"/>
        <w:tabs>
          <w:tab w:val="left" w:pos="754"/>
        </w:tabs>
        <w:overflowPunct/>
        <w:spacing w:line="274" w:lineRule="exact"/>
        <w:ind w:right="-622"/>
        <w:textAlignment w:val="auto"/>
        <w:rPr>
          <w:rFonts w:asciiTheme="minorHAnsi" w:hAnsiTheme="minorHAnsi"/>
          <w:spacing w:val="-1"/>
        </w:rPr>
      </w:pPr>
      <w:r w:rsidRPr="00B0480C">
        <w:rPr>
          <w:rFonts w:asciiTheme="minorHAnsi" w:hAnsiTheme="minorHAnsi"/>
        </w:rPr>
        <w:t>wypełnienia spoin, sprawdzane co 10 metrów</w:t>
      </w:r>
    </w:p>
    <w:p w14:paraId="63B5C429" w14:textId="77777777" w:rsidR="00B0480C" w:rsidRPr="00B0480C" w:rsidRDefault="00B0480C" w:rsidP="00B0480C">
      <w:pPr>
        <w:pStyle w:val="Akapitzlist"/>
        <w:widowControl w:val="0"/>
        <w:shd w:val="clear" w:color="auto" w:fill="FFFFFF"/>
        <w:tabs>
          <w:tab w:val="left" w:pos="754"/>
        </w:tabs>
        <w:overflowPunct/>
        <w:spacing w:line="274" w:lineRule="exact"/>
        <w:ind w:right="-622"/>
        <w:textAlignment w:val="auto"/>
        <w:rPr>
          <w:rFonts w:asciiTheme="minorHAnsi" w:hAnsiTheme="minorHAnsi"/>
          <w:spacing w:val="-1"/>
        </w:rPr>
      </w:pPr>
    </w:p>
    <w:p w14:paraId="666035A4" w14:textId="77777777" w:rsidR="00357D2A" w:rsidRPr="00A23FB4" w:rsidRDefault="00357D2A" w:rsidP="00357D2A">
      <w:pPr>
        <w:jc w:val="left"/>
        <w:rPr>
          <w:rFonts w:asciiTheme="minorHAnsi" w:hAnsiTheme="minorHAnsi"/>
          <w:b/>
        </w:rPr>
      </w:pPr>
      <w:bookmarkStart w:id="891" w:name="_Toc387213513"/>
      <w:r w:rsidRPr="00A23FB4">
        <w:rPr>
          <w:rFonts w:asciiTheme="minorHAnsi" w:hAnsiTheme="minorHAnsi"/>
          <w:b/>
        </w:rPr>
        <w:t>7.</w:t>
      </w:r>
      <w:r w:rsidRPr="00A23FB4">
        <w:rPr>
          <w:rFonts w:asciiTheme="minorHAnsi" w:hAnsiTheme="minorHAnsi"/>
          <w:b/>
        </w:rPr>
        <w:tab/>
      </w:r>
      <w:bookmarkEnd w:id="891"/>
      <w:r w:rsidRPr="00A23FB4">
        <w:rPr>
          <w:rFonts w:asciiTheme="minorHAnsi" w:hAnsiTheme="minorHAnsi"/>
          <w:b/>
        </w:rPr>
        <w:t>OBMIAR ROBÓT</w:t>
      </w:r>
      <w:r w:rsidRPr="00A23FB4">
        <w:rPr>
          <w:rFonts w:asciiTheme="minorHAnsi" w:hAnsiTheme="minorHAnsi"/>
          <w:b/>
        </w:rPr>
        <w:br/>
      </w:r>
    </w:p>
    <w:p w14:paraId="0111D8B9" w14:textId="77777777" w:rsidR="00B0480C" w:rsidRDefault="00B0480C" w:rsidP="00357D2A">
      <w:pPr>
        <w:tabs>
          <w:tab w:val="left" w:pos="9914"/>
        </w:tabs>
        <w:ind w:right="-622"/>
        <w:rPr>
          <w:rFonts w:asciiTheme="minorHAnsi" w:hAnsiTheme="minorHAnsi" w:cs="Calibri"/>
        </w:rPr>
      </w:pPr>
      <w:bookmarkStart w:id="892" w:name="_Toc387213514"/>
      <w:r>
        <w:rPr>
          <w:rFonts w:asciiTheme="minorHAnsi" w:hAnsiTheme="minorHAnsi" w:cs="Calibri"/>
        </w:rPr>
        <w:t>Kontrakt ryczałtowy</w:t>
      </w:r>
    </w:p>
    <w:p w14:paraId="7E6AB88B" w14:textId="0FB72BA3" w:rsidR="00357D2A" w:rsidRPr="00A23FB4" w:rsidRDefault="00357D2A" w:rsidP="00357D2A">
      <w:pPr>
        <w:tabs>
          <w:tab w:val="left" w:pos="9914"/>
        </w:tabs>
        <w:ind w:right="-622"/>
        <w:rPr>
          <w:rFonts w:asciiTheme="minorHAnsi" w:hAnsiTheme="minorHAnsi" w:cs="Calibri"/>
        </w:rPr>
      </w:pPr>
      <w:r w:rsidRPr="00A23FB4">
        <w:rPr>
          <w:rFonts w:asciiTheme="minorHAnsi" w:hAnsiTheme="minorHAnsi" w:cs="Calibri"/>
        </w:rPr>
        <w:t xml:space="preserve">Ogólne zasady obmiaru robót podano w </w:t>
      </w:r>
      <w:r w:rsidR="00865C6C">
        <w:rPr>
          <w:rFonts w:asciiTheme="minorHAnsi" w:hAnsiTheme="minorHAnsi" w:cs="Calibri"/>
        </w:rPr>
        <w:t>ST</w:t>
      </w:r>
      <w:r w:rsidRPr="00A23FB4">
        <w:rPr>
          <w:rFonts w:asciiTheme="minorHAnsi" w:hAnsiTheme="minorHAnsi" w:cs="Calibri"/>
        </w:rPr>
        <w:t>WiORB D-M-00.00.00 „Wymagania ogólne” pkt 7.</w:t>
      </w:r>
    </w:p>
    <w:p w14:paraId="6DD7C791" w14:textId="77777777" w:rsidR="00357D2A" w:rsidRPr="00A23FB4" w:rsidRDefault="00357D2A" w:rsidP="00357D2A">
      <w:pPr>
        <w:tabs>
          <w:tab w:val="left" w:pos="9914"/>
        </w:tabs>
        <w:ind w:right="-622"/>
        <w:rPr>
          <w:rFonts w:asciiTheme="minorHAnsi" w:hAnsiTheme="minorHAnsi" w:cs="Calibri"/>
        </w:rPr>
      </w:pPr>
    </w:p>
    <w:p w14:paraId="0A100056" w14:textId="77777777" w:rsidR="00357D2A" w:rsidRPr="00A23FB4" w:rsidRDefault="00357D2A" w:rsidP="00357D2A">
      <w:pPr>
        <w:jc w:val="left"/>
        <w:rPr>
          <w:rFonts w:asciiTheme="minorHAnsi" w:hAnsiTheme="minorHAnsi"/>
          <w:b/>
        </w:rPr>
      </w:pPr>
      <w:r w:rsidRPr="00A23FB4">
        <w:rPr>
          <w:rFonts w:asciiTheme="minorHAnsi" w:hAnsiTheme="minorHAnsi"/>
          <w:b/>
        </w:rPr>
        <w:t>8.</w:t>
      </w:r>
      <w:r w:rsidRPr="00A23FB4">
        <w:rPr>
          <w:rFonts w:asciiTheme="minorHAnsi" w:hAnsiTheme="minorHAnsi"/>
          <w:b/>
        </w:rPr>
        <w:tab/>
      </w:r>
      <w:bookmarkEnd w:id="892"/>
      <w:r w:rsidRPr="00A23FB4">
        <w:rPr>
          <w:rFonts w:asciiTheme="minorHAnsi" w:hAnsiTheme="minorHAnsi"/>
          <w:b/>
        </w:rPr>
        <w:t>ODBIÓR ROBÓT</w:t>
      </w:r>
    </w:p>
    <w:p w14:paraId="22E9A40F" w14:textId="77777777" w:rsidR="00357D2A" w:rsidRPr="00A23FB4" w:rsidRDefault="00357D2A" w:rsidP="00357D2A">
      <w:pPr>
        <w:jc w:val="left"/>
        <w:rPr>
          <w:rFonts w:asciiTheme="minorHAnsi" w:hAnsiTheme="minorHAnsi"/>
          <w:b/>
        </w:rPr>
      </w:pPr>
    </w:p>
    <w:p w14:paraId="78478B7E" w14:textId="7E0740C9" w:rsidR="00357D2A" w:rsidRPr="00A23FB4" w:rsidRDefault="00357D2A" w:rsidP="00357D2A">
      <w:pPr>
        <w:shd w:val="clear" w:color="auto" w:fill="FFFFFF"/>
        <w:ind w:right="-622"/>
        <w:rPr>
          <w:rFonts w:asciiTheme="minorHAnsi" w:hAnsiTheme="minorHAnsi"/>
        </w:rPr>
      </w:pPr>
      <w:r w:rsidRPr="00A23FB4">
        <w:rPr>
          <w:rFonts w:asciiTheme="minorHAnsi" w:hAnsiTheme="minorHAnsi"/>
        </w:rPr>
        <w:t xml:space="preserve">Ogólne zasady odbioru robót podano w </w:t>
      </w:r>
      <w:r w:rsidR="00865C6C">
        <w:rPr>
          <w:rFonts w:asciiTheme="minorHAnsi" w:hAnsiTheme="minorHAnsi"/>
        </w:rPr>
        <w:t>ST</w:t>
      </w:r>
      <w:r w:rsidRPr="00A23FB4">
        <w:rPr>
          <w:rFonts w:asciiTheme="minorHAnsi" w:hAnsiTheme="minorHAnsi"/>
        </w:rPr>
        <w:t>WiORB D-M.00.00.00 „Wymagania ogólne”.</w:t>
      </w:r>
    </w:p>
    <w:p w14:paraId="6BBF5BE1" w14:textId="4A386720" w:rsidR="00357D2A" w:rsidRPr="00A23FB4" w:rsidRDefault="00357D2A" w:rsidP="00357D2A">
      <w:pPr>
        <w:shd w:val="clear" w:color="auto" w:fill="FFFFFF"/>
        <w:spacing w:line="274" w:lineRule="exact"/>
        <w:ind w:right="-622"/>
        <w:rPr>
          <w:rFonts w:asciiTheme="minorHAnsi" w:hAnsiTheme="minorHAnsi"/>
        </w:rPr>
      </w:pPr>
      <w:r w:rsidRPr="00A23FB4">
        <w:rPr>
          <w:rFonts w:asciiTheme="minorHAnsi" w:hAnsiTheme="minorHAnsi"/>
        </w:rPr>
        <w:t xml:space="preserve">Roboty uznaje się za wykonane zgodnie z dokumentacją projektową, </w:t>
      </w:r>
      <w:r w:rsidR="00865C6C">
        <w:rPr>
          <w:rFonts w:asciiTheme="minorHAnsi" w:hAnsiTheme="minorHAnsi"/>
        </w:rPr>
        <w:t>ST</w:t>
      </w:r>
      <w:r w:rsidRPr="00A23FB4">
        <w:rPr>
          <w:rFonts w:asciiTheme="minorHAnsi" w:hAnsiTheme="minorHAnsi"/>
        </w:rPr>
        <w:t>WiORB</w:t>
      </w:r>
      <w:r w:rsidRPr="00A23FB4">
        <w:rPr>
          <w:rFonts w:asciiTheme="minorHAnsi" w:hAnsiTheme="minorHAnsi"/>
          <w:spacing w:val="-1"/>
        </w:rPr>
        <w:t xml:space="preserve">i wymaganiami Inspektora Nadzoru Inwestorskiego, jeżeli wszystkie pomiary i badania </w:t>
      </w:r>
      <w:r w:rsidRPr="00A23FB4">
        <w:rPr>
          <w:rFonts w:asciiTheme="minorHAnsi" w:hAnsiTheme="minorHAnsi"/>
        </w:rPr>
        <w:t>z zachowaniem tolerancji wg pkt 6 dały wyniki pozytywne.</w:t>
      </w:r>
    </w:p>
    <w:p w14:paraId="2734B15D" w14:textId="77777777" w:rsidR="00357D2A" w:rsidRPr="00A23FB4" w:rsidRDefault="00357D2A" w:rsidP="00357D2A">
      <w:pPr>
        <w:shd w:val="clear" w:color="auto" w:fill="FFFFFF"/>
        <w:spacing w:line="274" w:lineRule="exact"/>
        <w:ind w:right="-622"/>
        <w:rPr>
          <w:rFonts w:asciiTheme="minorHAnsi" w:hAnsiTheme="minorHAnsi"/>
        </w:rPr>
      </w:pPr>
      <w:r w:rsidRPr="00A23FB4">
        <w:rPr>
          <w:rFonts w:asciiTheme="minorHAnsi" w:hAnsiTheme="minorHAnsi"/>
        </w:rPr>
        <w:t>Odbiorowi robót zanikających i ulegających zakryciu podlegają:</w:t>
      </w:r>
    </w:p>
    <w:p w14:paraId="29233BA9" w14:textId="77777777" w:rsidR="00B0480C" w:rsidRPr="00B0480C" w:rsidRDefault="00357D2A" w:rsidP="00262498">
      <w:pPr>
        <w:pStyle w:val="Akapitzlist"/>
        <w:widowControl w:val="0"/>
        <w:numPr>
          <w:ilvl w:val="0"/>
          <w:numId w:val="272"/>
        </w:numPr>
        <w:shd w:val="clear" w:color="auto" w:fill="FFFFFF"/>
        <w:tabs>
          <w:tab w:val="left" w:pos="720"/>
        </w:tabs>
        <w:overflowPunct/>
        <w:spacing w:line="274" w:lineRule="exact"/>
        <w:ind w:right="-622"/>
        <w:textAlignment w:val="auto"/>
        <w:rPr>
          <w:rFonts w:asciiTheme="minorHAnsi" w:hAnsiTheme="minorHAnsi" w:cs="Arial"/>
          <w:b/>
          <w:bCs/>
        </w:rPr>
      </w:pPr>
      <w:r w:rsidRPr="00B0480C">
        <w:rPr>
          <w:rFonts w:asciiTheme="minorHAnsi" w:hAnsiTheme="minorHAnsi"/>
        </w:rPr>
        <w:t>wykonanie koryta,</w:t>
      </w:r>
    </w:p>
    <w:p w14:paraId="36780E83" w14:textId="77777777" w:rsidR="00B0480C" w:rsidRPr="00B0480C" w:rsidRDefault="00357D2A" w:rsidP="00262498">
      <w:pPr>
        <w:pStyle w:val="Akapitzlist"/>
        <w:widowControl w:val="0"/>
        <w:numPr>
          <w:ilvl w:val="0"/>
          <w:numId w:val="272"/>
        </w:numPr>
        <w:shd w:val="clear" w:color="auto" w:fill="FFFFFF"/>
        <w:tabs>
          <w:tab w:val="left" w:pos="720"/>
        </w:tabs>
        <w:overflowPunct/>
        <w:spacing w:line="274" w:lineRule="exact"/>
        <w:ind w:right="-622"/>
        <w:textAlignment w:val="auto"/>
        <w:rPr>
          <w:rFonts w:asciiTheme="minorHAnsi" w:hAnsiTheme="minorHAnsi" w:cs="Arial"/>
          <w:b/>
          <w:bCs/>
        </w:rPr>
      </w:pPr>
      <w:r w:rsidRPr="00B0480C">
        <w:rPr>
          <w:rFonts w:asciiTheme="minorHAnsi" w:hAnsiTheme="minorHAnsi"/>
        </w:rPr>
        <w:t>wykonanie podsypki</w:t>
      </w:r>
    </w:p>
    <w:p w14:paraId="52B095CD" w14:textId="076E8885" w:rsidR="00357D2A" w:rsidRPr="00B0480C" w:rsidRDefault="00357D2A" w:rsidP="00262498">
      <w:pPr>
        <w:pStyle w:val="Akapitzlist"/>
        <w:widowControl w:val="0"/>
        <w:numPr>
          <w:ilvl w:val="0"/>
          <w:numId w:val="272"/>
        </w:numPr>
        <w:shd w:val="clear" w:color="auto" w:fill="FFFFFF"/>
        <w:tabs>
          <w:tab w:val="left" w:pos="720"/>
        </w:tabs>
        <w:overflowPunct/>
        <w:spacing w:line="274" w:lineRule="exact"/>
        <w:ind w:right="-622"/>
        <w:textAlignment w:val="auto"/>
        <w:rPr>
          <w:rFonts w:asciiTheme="minorHAnsi" w:hAnsiTheme="minorHAnsi" w:cs="Arial"/>
          <w:b/>
          <w:bCs/>
        </w:rPr>
      </w:pPr>
      <w:r w:rsidRPr="00B0480C">
        <w:rPr>
          <w:rFonts w:asciiTheme="minorHAnsi" w:hAnsiTheme="minorHAnsi"/>
        </w:rPr>
        <w:t>wykonanie lawy betonowej.</w:t>
      </w:r>
    </w:p>
    <w:p w14:paraId="5B6FB662" w14:textId="784211C7" w:rsidR="00357D2A" w:rsidRPr="00A23FB4" w:rsidRDefault="00357D2A" w:rsidP="00357D2A">
      <w:pPr>
        <w:shd w:val="clear" w:color="auto" w:fill="FFFFFF"/>
        <w:spacing w:line="274" w:lineRule="exact"/>
        <w:ind w:right="-622"/>
        <w:rPr>
          <w:rFonts w:asciiTheme="minorHAnsi" w:hAnsiTheme="minorHAnsi"/>
        </w:rPr>
      </w:pPr>
      <w:r w:rsidRPr="00A23FB4">
        <w:rPr>
          <w:rFonts w:asciiTheme="minorHAnsi" w:hAnsiTheme="minorHAnsi"/>
        </w:rPr>
        <w:t xml:space="preserve">Odbiór tych robót powinien być zgodny z wymaganiami pkt. 8 </w:t>
      </w:r>
      <w:r w:rsidR="00865C6C">
        <w:rPr>
          <w:rFonts w:asciiTheme="minorHAnsi" w:hAnsiTheme="minorHAnsi"/>
        </w:rPr>
        <w:t>ST</w:t>
      </w:r>
      <w:r w:rsidRPr="00A23FB4">
        <w:rPr>
          <w:rFonts w:asciiTheme="minorHAnsi" w:hAnsiTheme="minorHAnsi"/>
        </w:rPr>
        <w:t>WiORB D-M.00.00.00.</w:t>
      </w:r>
    </w:p>
    <w:p w14:paraId="67B4B06E" w14:textId="77777777" w:rsidR="00357D2A" w:rsidRPr="00A23FB4" w:rsidRDefault="00357D2A" w:rsidP="00357D2A">
      <w:pPr>
        <w:shd w:val="clear" w:color="auto" w:fill="FFFFFF"/>
        <w:spacing w:line="274" w:lineRule="exact"/>
        <w:ind w:right="-622"/>
        <w:rPr>
          <w:rFonts w:asciiTheme="minorHAnsi" w:hAnsiTheme="minorHAnsi"/>
        </w:rPr>
      </w:pPr>
    </w:p>
    <w:p w14:paraId="19E15C35" w14:textId="77777777" w:rsidR="00357D2A" w:rsidRPr="00A23FB4" w:rsidRDefault="00357D2A" w:rsidP="00357D2A">
      <w:pPr>
        <w:rPr>
          <w:rFonts w:asciiTheme="minorHAnsi" w:hAnsiTheme="minorHAnsi"/>
          <w:b/>
        </w:rPr>
      </w:pPr>
      <w:bookmarkStart w:id="893" w:name="_Toc387213515"/>
      <w:r w:rsidRPr="00A23FB4">
        <w:rPr>
          <w:rFonts w:asciiTheme="minorHAnsi" w:hAnsiTheme="minorHAnsi"/>
          <w:b/>
        </w:rPr>
        <w:t>9.</w:t>
      </w:r>
      <w:r w:rsidRPr="00A23FB4">
        <w:rPr>
          <w:rFonts w:asciiTheme="minorHAnsi" w:hAnsiTheme="minorHAnsi"/>
          <w:b/>
        </w:rPr>
        <w:tab/>
      </w:r>
      <w:bookmarkEnd w:id="893"/>
      <w:r w:rsidRPr="00A23FB4">
        <w:rPr>
          <w:rFonts w:asciiTheme="minorHAnsi" w:hAnsiTheme="minorHAnsi"/>
          <w:b/>
        </w:rPr>
        <w:t>PODSTAWA PŁATNOŚCI</w:t>
      </w:r>
    </w:p>
    <w:p w14:paraId="759B1479" w14:textId="77777777" w:rsidR="00357D2A" w:rsidRPr="00A23FB4" w:rsidRDefault="00357D2A" w:rsidP="00357D2A">
      <w:pPr>
        <w:rPr>
          <w:rFonts w:asciiTheme="minorHAnsi" w:hAnsiTheme="minorHAnsi"/>
          <w:b/>
        </w:rPr>
      </w:pPr>
    </w:p>
    <w:p w14:paraId="010CA427" w14:textId="77777777" w:rsidR="00B0480C" w:rsidRDefault="00B0480C" w:rsidP="00357D2A">
      <w:pPr>
        <w:tabs>
          <w:tab w:val="left" w:pos="9914"/>
        </w:tabs>
        <w:ind w:right="-622"/>
        <w:rPr>
          <w:rFonts w:asciiTheme="minorHAnsi" w:hAnsiTheme="minorHAnsi" w:cs="Calibri"/>
        </w:rPr>
      </w:pPr>
      <w:bookmarkStart w:id="894" w:name="_Toc387213516"/>
      <w:r>
        <w:rPr>
          <w:rFonts w:asciiTheme="minorHAnsi" w:hAnsiTheme="minorHAnsi" w:cs="Calibri"/>
        </w:rPr>
        <w:t>Kontrakt ryczałtowy</w:t>
      </w:r>
    </w:p>
    <w:p w14:paraId="54346D3B" w14:textId="56010AEA" w:rsidR="00357D2A" w:rsidRPr="00A23FB4" w:rsidRDefault="00357D2A" w:rsidP="00357D2A">
      <w:pPr>
        <w:tabs>
          <w:tab w:val="left" w:pos="9914"/>
        </w:tabs>
        <w:ind w:right="-622"/>
        <w:rPr>
          <w:rFonts w:asciiTheme="minorHAnsi" w:hAnsiTheme="minorHAnsi" w:cs="Calibri"/>
        </w:rPr>
      </w:pPr>
      <w:r w:rsidRPr="00A23FB4">
        <w:rPr>
          <w:rFonts w:asciiTheme="minorHAnsi" w:hAnsiTheme="minorHAnsi" w:cs="Calibri"/>
        </w:rPr>
        <w:t xml:space="preserve">Ogólne ustalenia dotyczące podstawy płatności podano w </w:t>
      </w:r>
      <w:r w:rsidR="00865C6C">
        <w:rPr>
          <w:rFonts w:asciiTheme="minorHAnsi" w:hAnsiTheme="minorHAnsi" w:cs="Calibri"/>
        </w:rPr>
        <w:t>ST</w:t>
      </w:r>
      <w:r w:rsidRPr="00A23FB4">
        <w:rPr>
          <w:rFonts w:asciiTheme="minorHAnsi" w:hAnsiTheme="minorHAnsi" w:cs="Calibri"/>
        </w:rPr>
        <w:t>WiORB D-M-00.00.00 „Wymagania ogólne” pkt 9.</w:t>
      </w:r>
    </w:p>
    <w:p w14:paraId="15F07122" w14:textId="77777777" w:rsidR="00B04A65" w:rsidRPr="00A23FB4" w:rsidRDefault="00B04A65" w:rsidP="00B04A65">
      <w:pPr>
        <w:tabs>
          <w:tab w:val="left" w:pos="9914"/>
        </w:tabs>
        <w:ind w:right="-622"/>
        <w:rPr>
          <w:rFonts w:asciiTheme="minorHAnsi" w:hAnsiTheme="minorHAnsi" w:cs="Calibri"/>
        </w:rPr>
      </w:pPr>
    </w:p>
    <w:p w14:paraId="4430F29A" w14:textId="77777777" w:rsidR="00357D2A" w:rsidRPr="00A23FB4" w:rsidRDefault="00357D2A" w:rsidP="00357D2A">
      <w:pPr>
        <w:rPr>
          <w:rFonts w:asciiTheme="minorHAnsi" w:hAnsiTheme="minorHAnsi"/>
          <w:b/>
        </w:rPr>
      </w:pPr>
      <w:r w:rsidRPr="00A23FB4">
        <w:rPr>
          <w:rFonts w:asciiTheme="minorHAnsi" w:hAnsiTheme="minorHAnsi"/>
          <w:b/>
        </w:rPr>
        <w:t>10.</w:t>
      </w:r>
      <w:r w:rsidRPr="00A23FB4">
        <w:rPr>
          <w:rFonts w:asciiTheme="minorHAnsi" w:hAnsiTheme="minorHAnsi"/>
          <w:b/>
        </w:rPr>
        <w:tab/>
      </w:r>
      <w:bookmarkEnd w:id="894"/>
      <w:r w:rsidRPr="00A23FB4">
        <w:rPr>
          <w:rFonts w:asciiTheme="minorHAnsi" w:hAnsiTheme="minorHAnsi"/>
          <w:b/>
        </w:rPr>
        <w:t>PRZEPISY ZWIĄZANE</w:t>
      </w:r>
    </w:p>
    <w:p w14:paraId="24D7E234" w14:textId="77777777" w:rsidR="00357D2A" w:rsidRPr="00B93A39" w:rsidRDefault="00357D2A" w:rsidP="00262498">
      <w:pPr>
        <w:pStyle w:val="Akapitzlist"/>
        <w:widowControl w:val="0"/>
        <w:numPr>
          <w:ilvl w:val="0"/>
          <w:numId w:val="30"/>
        </w:numPr>
        <w:shd w:val="clear" w:color="auto" w:fill="FFFFFF"/>
        <w:overflowPunct/>
        <w:spacing w:line="274" w:lineRule="exact"/>
        <w:ind w:left="0" w:right="-622" w:firstLine="0"/>
        <w:contextualSpacing/>
        <w:textAlignment w:val="auto"/>
        <w:rPr>
          <w:rFonts w:asciiTheme="minorHAnsi" w:hAnsiTheme="minorHAnsi"/>
          <w:sz w:val="18"/>
          <w:szCs w:val="18"/>
        </w:rPr>
      </w:pPr>
      <w:r w:rsidRPr="00B93A39">
        <w:rPr>
          <w:rFonts w:asciiTheme="minorHAnsi" w:hAnsiTheme="minorHAnsi"/>
          <w:sz w:val="18"/>
          <w:szCs w:val="18"/>
        </w:rPr>
        <w:t>Katalog Szczegółów Drogowych Ulic, Placów i Parków Miejskich - Centrum Techniki Budownictwa Komunalnego.</w:t>
      </w:r>
    </w:p>
    <w:p w14:paraId="090D99B8" w14:textId="77777777" w:rsidR="00357D2A" w:rsidRPr="00B93A39" w:rsidRDefault="00357D2A" w:rsidP="00262498">
      <w:pPr>
        <w:pStyle w:val="Akapitzlist"/>
        <w:widowControl w:val="0"/>
        <w:numPr>
          <w:ilvl w:val="0"/>
          <w:numId w:val="30"/>
        </w:numPr>
        <w:shd w:val="clear" w:color="auto" w:fill="FFFFFF"/>
        <w:overflowPunct/>
        <w:spacing w:line="274" w:lineRule="exact"/>
        <w:ind w:left="0" w:right="-622" w:firstLine="0"/>
        <w:contextualSpacing/>
        <w:textAlignment w:val="auto"/>
        <w:rPr>
          <w:rFonts w:asciiTheme="minorHAnsi" w:hAnsiTheme="minorHAnsi"/>
          <w:sz w:val="18"/>
          <w:szCs w:val="18"/>
        </w:rPr>
      </w:pPr>
      <w:r w:rsidRPr="00B93A39">
        <w:rPr>
          <w:rFonts w:asciiTheme="minorHAnsi" w:hAnsiTheme="minorHAnsi"/>
          <w:spacing w:val="-2"/>
          <w:sz w:val="18"/>
          <w:szCs w:val="18"/>
        </w:rPr>
        <w:t>PN-EN 13242+A1:2010</w:t>
      </w:r>
      <w:r w:rsidRPr="00B93A39">
        <w:rPr>
          <w:rFonts w:asciiTheme="minorHAnsi" w:hAnsiTheme="minorHAnsi"/>
          <w:sz w:val="18"/>
          <w:szCs w:val="18"/>
        </w:rPr>
        <w:t xml:space="preserve">Kruszywo do niezwiązanych i związanych hydraulicznie </w:t>
      </w:r>
      <w:r w:rsidRPr="00B93A39">
        <w:rPr>
          <w:rFonts w:asciiTheme="minorHAnsi" w:hAnsiTheme="minorHAnsi"/>
          <w:spacing w:val="-1"/>
          <w:sz w:val="18"/>
          <w:szCs w:val="18"/>
        </w:rPr>
        <w:t xml:space="preserve">materiałów stosowanych w obiektach budowlanych i budownictwie </w:t>
      </w:r>
      <w:r w:rsidRPr="00B93A39">
        <w:rPr>
          <w:rFonts w:asciiTheme="minorHAnsi" w:hAnsiTheme="minorHAnsi"/>
          <w:sz w:val="18"/>
          <w:szCs w:val="18"/>
        </w:rPr>
        <w:t>drogowym.</w:t>
      </w:r>
    </w:p>
    <w:p w14:paraId="69CEDD7D" w14:textId="77777777" w:rsidR="00357D2A" w:rsidRPr="00B93A39" w:rsidRDefault="00357D2A" w:rsidP="00262498">
      <w:pPr>
        <w:pStyle w:val="Akapitzlist"/>
        <w:widowControl w:val="0"/>
        <w:numPr>
          <w:ilvl w:val="0"/>
          <w:numId w:val="30"/>
        </w:numPr>
        <w:shd w:val="clear" w:color="auto" w:fill="FFFFFF"/>
        <w:overflowPunct/>
        <w:spacing w:line="274" w:lineRule="exact"/>
        <w:ind w:left="0" w:right="-622" w:firstLine="0"/>
        <w:contextualSpacing/>
        <w:textAlignment w:val="auto"/>
        <w:rPr>
          <w:rFonts w:asciiTheme="minorHAnsi" w:hAnsiTheme="minorHAnsi"/>
          <w:sz w:val="18"/>
          <w:szCs w:val="18"/>
        </w:rPr>
      </w:pPr>
      <w:r w:rsidRPr="00B93A39">
        <w:rPr>
          <w:rFonts w:asciiTheme="minorHAnsi" w:hAnsiTheme="minorHAnsi"/>
          <w:spacing w:val="-2"/>
          <w:sz w:val="18"/>
          <w:szCs w:val="18"/>
        </w:rPr>
        <w:t>PN-EN 197-1:2012</w:t>
      </w:r>
      <w:r w:rsidRPr="00B93A39">
        <w:rPr>
          <w:rFonts w:asciiTheme="minorHAnsi" w:hAnsiTheme="minorHAnsi"/>
          <w:sz w:val="18"/>
          <w:szCs w:val="18"/>
        </w:rPr>
        <w:t>Cement -- Część 1: Skład, wymagania i kryteria zgodności dotyczące cementów powszechnego użytku</w:t>
      </w:r>
    </w:p>
    <w:p w14:paraId="5B524916" w14:textId="77777777" w:rsidR="00357D2A" w:rsidRPr="00B93A39" w:rsidRDefault="00357D2A" w:rsidP="00262498">
      <w:pPr>
        <w:pStyle w:val="Akapitzlist"/>
        <w:widowControl w:val="0"/>
        <w:numPr>
          <w:ilvl w:val="0"/>
          <w:numId w:val="30"/>
        </w:numPr>
        <w:shd w:val="clear" w:color="auto" w:fill="FFFFFF"/>
        <w:overflowPunct/>
        <w:spacing w:line="274" w:lineRule="exact"/>
        <w:ind w:left="0" w:right="-622" w:firstLine="0"/>
        <w:contextualSpacing/>
        <w:textAlignment w:val="auto"/>
        <w:rPr>
          <w:rFonts w:asciiTheme="minorHAnsi" w:hAnsiTheme="minorHAnsi"/>
          <w:sz w:val="18"/>
          <w:szCs w:val="18"/>
        </w:rPr>
      </w:pPr>
      <w:r w:rsidRPr="00B93A39">
        <w:rPr>
          <w:rFonts w:asciiTheme="minorHAnsi" w:hAnsiTheme="minorHAnsi"/>
          <w:spacing w:val="-2"/>
          <w:sz w:val="18"/>
          <w:szCs w:val="18"/>
        </w:rPr>
        <w:t>PN-EN 1008:2004</w:t>
      </w:r>
      <w:r w:rsidRPr="00B93A39">
        <w:rPr>
          <w:rFonts w:asciiTheme="minorHAnsi" w:hAnsiTheme="minorHAnsi"/>
          <w:sz w:val="18"/>
          <w:szCs w:val="18"/>
        </w:rPr>
        <w:t>Woda zarobowa do betonu.</w:t>
      </w:r>
    </w:p>
    <w:p w14:paraId="7ECAAA14" w14:textId="77777777" w:rsidR="00357D2A" w:rsidRPr="00B93A39" w:rsidRDefault="00357D2A" w:rsidP="00262498">
      <w:pPr>
        <w:pStyle w:val="Akapitzlist"/>
        <w:widowControl w:val="0"/>
        <w:numPr>
          <w:ilvl w:val="0"/>
          <w:numId w:val="30"/>
        </w:numPr>
        <w:shd w:val="clear" w:color="auto" w:fill="FFFFFF"/>
        <w:overflowPunct/>
        <w:spacing w:line="274" w:lineRule="exact"/>
        <w:ind w:left="0" w:right="-622" w:firstLine="0"/>
        <w:contextualSpacing/>
        <w:textAlignment w:val="auto"/>
        <w:rPr>
          <w:rFonts w:asciiTheme="minorHAnsi" w:hAnsiTheme="minorHAnsi"/>
          <w:sz w:val="18"/>
          <w:szCs w:val="18"/>
        </w:rPr>
      </w:pPr>
      <w:r w:rsidRPr="00B93A39">
        <w:rPr>
          <w:rFonts w:asciiTheme="minorHAnsi" w:hAnsiTheme="minorHAnsi"/>
          <w:spacing w:val="-2"/>
          <w:sz w:val="18"/>
          <w:szCs w:val="18"/>
        </w:rPr>
        <w:t xml:space="preserve">PN-B-06050:1999 </w:t>
      </w:r>
      <w:r w:rsidRPr="00B93A39">
        <w:rPr>
          <w:rFonts w:asciiTheme="minorHAnsi" w:hAnsiTheme="minorHAnsi"/>
          <w:sz w:val="18"/>
          <w:szCs w:val="18"/>
        </w:rPr>
        <w:t>Geotechnika -- Roboty ziemne -- Wymagania ogólne.</w:t>
      </w:r>
    </w:p>
    <w:p w14:paraId="3FEBC058" w14:textId="77777777" w:rsidR="00357D2A" w:rsidRPr="00B93A39" w:rsidRDefault="00357D2A" w:rsidP="00262498">
      <w:pPr>
        <w:pStyle w:val="Akapitzlist"/>
        <w:widowControl w:val="0"/>
        <w:numPr>
          <w:ilvl w:val="0"/>
          <w:numId w:val="30"/>
        </w:numPr>
        <w:shd w:val="clear" w:color="auto" w:fill="FFFFFF"/>
        <w:overflowPunct/>
        <w:spacing w:line="274" w:lineRule="exact"/>
        <w:ind w:left="0" w:right="-622" w:firstLine="0"/>
        <w:contextualSpacing/>
        <w:textAlignment w:val="auto"/>
        <w:rPr>
          <w:rFonts w:asciiTheme="minorHAnsi" w:hAnsiTheme="minorHAnsi"/>
          <w:sz w:val="18"/>
          <w:szCs w:val="18"/>
        </w:rPr>
      </w:pPr>
      <w:r w:rsidRPr="00B93A39">
        <w:rPr>
          <w:rFonts w:asciiTheme="minorHAnsi" w:hAnsiTheme="minorHAnsi"/>
          <w:spacing w:val="-2"/>
          <w:sz w:val="18"/>
          <w:szCs w:val="18"/>
        </w:rPr>
        <w:t xml:space="preserve">PN-EN 206:2014-04 </w:t>
      </w:r>
      <w:r w:rsidRPr="00B93A39">
        <w:rPr>
          <w:rFonts w:asciiTheme="minorHAnsi" w:hAnsiTheme="minorHAnsi"/>
          <w:sz w:val="18"/>
          <w:szCs w:val="18"/>
        </w:rPr>
        <w:t>Beton -- Wymagania, właściwości, produkcja i zgodność</w:t>
      </w:r>
    </w:p>
    <w:p w14:paraId="523ECC34" w14:textId="0E1316EE" w:rsidR="004D5430" w:rsidRPr="00A23FB4" w:rsidRDefault="00357D2A">
      <w:pPr>
        <w:overflowPunct/>
        <w:autoSpaceDE/>
        <w:autoSpaceDN/>
        <w:adjustRightInd/>
        <w:jc w:val="left"/>
        <w:textAlignment w:val="auto"/>
      </w:pPr>
      <w:r w:rsidRPr="00A23FB4">
        <w:br w:type="page"/>
      </w:r>
    </w:p>
    <w:p w14:paraId="4E2CD7BB" w14:textId="22529BEC" w:rsidR="00413511" w:rsidRPr="00A23FB4" w:rsidRDefault="00E13859" w:rsidP="00B77350">
      <w:pPr>
        <w:overflowPunct/>
        <w:autoSpaceDE/>
        <w:autoSpaceDN/>
        <w:adjustRightInd/>
        <w:spacing w:after="200" w:line="276" w:lineRule="auto"/>
        <w:jc w:val="center"/>
        <w:textAlignment w:val="auto"/>
      </w:pPr>
      <w:r>
        <w:rPr>
          <w:rFonts w:ascii="Calibri" w:hAnsi="Calibri" w:cs="Calibri"/>
          <w:b/>
          <w:sz w:val="22"/>
          <w:szCs w:val="22"/>
        </w:rPr>
        <w:t>SZCZEGÓŁOWE SPECYFIKACJE TECHNICZNE</w:t>
      </w:r>
      <w:r w:rsidRPr="00E30D66">
        <w:rPr>
          <w:rFonts w:ascii="Calibri" w:hAnsi="Calibri" w:cs="Calibri"/>
          <w:b/>
          <w:sz w:val="22"/>
          <w:szCs w:val="22"/>
        </w:rPr>
        <w:t xml:space="preserve"> </w:t>
      </w:r>
      <w:r w:rsidR="008A101C" w:rsidRPr="00A23FB4">
        <w:rPr>
          <w:rFonts w:ascii="Calibri" w:hAnsi="Calibri" w:cs="Calibri"/>
          <w:b/>
          <w:sz w:val="22"/>
          <w:szCs w:val="22"/>
        </w:rPr>
        <w:t>WYK</w:t>
      </w:r>
      <w:r w:rsidR="00413511" w:rsidRPr="00A23FB4">
        <w:rPr>
          <w:rFonts w:ascii="Calibri" w:hAnsi="Calibri" w:cs="Calibri"/>
          <w:b/>
          <w:sz w:val="22"/>
          <w:szCs w:val="22"/>
        </w:rPr>
        <w:t>ONYWANIA I ODBIORU ROBÓT BUDOWLANYCH</w:t>
      </w:r>
    </w:p>
    <w:p w14:paraId="295D0FE7" w14:textId="77777777" w:rsidR="00413511" w:rsidRPr="00A23FB4" w:rsidRDefault="00413511" w:rsidP="0022369F">
      <w:pPr>
        <w:pStyle w:val="Nagowek1"/>
        <w:spacing w:before="0"/>
      </w:pPr>
      <w:bookmarkStart w:id="895" w:name="_Toc352837502"/>
      <w:bookmarkStart w:id="896" w:name="_Toc369334418"/>
      <w:bookmarkStart w:id="897" w:name="_Toc460177619"/>
      <w:bookmarkStart w:id="898" w:name="_Toc206275501"/>
      <w:r w:rsidRPr="00A23FB4">
        <w:t>D-09.01.01 ZIELEŃ</w:t>
      </w:r>
      <w:bookmarkStart w:id="899" w:name="_Toc428677173"/>
      <w:bookmarkStart w:id="900" w:name="_Toc235080356"/>
      <w:bookmarkEnd w:id="895"/>
      <w:bookmarkEnd w:id="896"/>
      <w:bookmarkEnd w:id="897"/>
      <w:bookmarkEnd w:id="898"/>
    </w:p>
    <w:p w14:paraId="7237EB21" w14:textId="77777777" w:rsidR="00E719D4" w:rsidRPr="00A23FB4" w:rsidRDefault="00E719D4" w:rsidP="00E719D4">
      <w:pPr>
        <w:rPr>
          <w:rFonts w:asciiTheme="minorHAnsi" w:hAnsiTheme="minorHAnsi" w:cs="Calibri"/>
          <w:b/>
        </w:rPr>
      </w:pPr>
    </w:p>
    <w:p w14:paraId="66444580" w14:textId="77777777" w:rsidR="00413511" w:rsidRPr="00A23FB4" w:rsidRDefault="00413511" w:rsidP="00E719D4">
      <w:pPr>
        <w:rPr>
          <w:rFonts w:asciiTheme="minorHAnsi" w:hAnsiTheme="minorHAnsi" w:cs="Calibri"/>
          <w:b/>
        </w:rPr>
      </w:pPr>
      <w:r w:rsidRPr="00A23FB4">
        <w:rPr>
          <w:rFonts w:asciiTheme="minorHAnsi" w:hAnsiTheme="minorHAnsi" w:cs="Calibri"/>
          <w:b/>
        </w:rPr>
        <w:t>1. WSTĘP</w:t>
      </w:r>
      <w:bookmarkEnd w:id="899"/>
      <w:bookmarkEnd w:id="900"/>
    </w:p>
    <w:p w14:paraId="642B2AB8" w14:textId="3F9AAD4B" w:rsidR="00413511" w:rsidRPr="00A23FB4" w:rsidRDefault="00413511" w:rsidP="00413511">
      <w:pPr>
        <w:pStyle w:val="Nagwek4"/>
        <w:tabs>
          <w:tab w:val="left" w:pos="9914"/>
        </w:tabs>
        <w:rPr>
          <w:rFonts w:asciiTheme="minorHAnsi" w:hAnsiTheme="minorHAnsi" w:cs="Calibri"/>
        </w:rPr>
      </w:pPr>
      <w:bookmarkStart w:id="901" w:name="_Toc235080357"/>
      <w:r w:rsidRPr="00A23FB4">
        <w:rPr>
          <w:rFonts w:asciiTheme="minorHAnsi" w:hAnsiTheme="minorHAnsi" w:cs="Calibri"/>
        </w:rPr>
        <w:t xml:space="preserve">1.1. Przedmiot </w:t>
      </w:r>
      <w:bookmarkEnd w:id="901"/>
      <w:r w:rsidR="00865C6C">
        <w:rPr>
          <w:rFonts w:asciiTheme="minorHAnsi" w:hAnsiTheme="minorHAnsi" w:cs="Calibri"/>
        </w:rPr>
        <w:t>ST</w:t>
      </w:r>
      <w:r w:rsidR="00A46FA8" w:rsidRPr="00A23FB4">
        <w:rPr>
          <w:rFonts w:asciiTheme="minorHAnsi" w:hAnsiTheme="minorHAnsi" w:cs="Calibri"/>
        </w:rPr>
        <w:t>WiORB</w:t>
      </w:r>
    </w:p>
    <w:p w14:paraId="6712D246" w14:textId="100E5872" w:rsidR="00413511" w:rsidRPr="00A23FB4" w:rsidRDefault="00A46FA8" w:rsidP="00413511">
      <w:pPr>
        <w:rPr>
          <w:rFonts w:asciiTheme="minorHAnsi" w:hAnsiTheme="minorHAnsi" w:cs="Calibri"/>
        </w:rPr>
      </w:pPr>
      <w:r w:rsidRPr="00A23FB4">
        <w:rPr>
          <w:rFonts w:asciiTheme="minorHAnsi" w:hAnsiTheme="minorHAnsi" w:cs="Calibri"/>
        </w:rPr>
        <w:t>Przedmiotem niniejsz</w:t>
      </w:r>
      <w:r w:rsidR="00B0480C">
        <w:rPr>
          <w:rFonts w:asciiTheme="minorHAnsi" w:hAnsiTheme="minorHAnsi" w:cs="Calibri"/>
        </w:rPr>
        <w:t>ej</w:t>
      </w:r>
      <w:r w:rsidRPr="00A23FB4">
        <w:rPr>
          <w:rFonts w:asciiTheme="minorHAnsi" w:hAnsiTheme="minorHAnsi" w:cs="Calibri"/>
        </w:rPr>
        <w:t xml:space="preserve"> </w:t>
      </w:r>
      <w:r w:rsidR="00E13859">
        <w:rPr>
          <w:rFonts w:asciiTheme="minorHAnsi" w:hAnsiTheme="minorHAnsi" w:cs="Calibri"/>
        </w:rPr>
        <w:t>specyfikacji</w:t>
      </w:r>
      <w:r w:rsidR="00413511" w:rsidRPr="00A23FB4">
        <w:rPr>
          <w:rFonts w:asciiTheme="minorHAnsi" w:hAnsiTheme="minorHAnsi" w:cs="Calibri"/>
        </w:rPr>
        <w:t xml:space="preserve"> (</w:t>
      </w:r>
      <w:r w:rsidR="00865C6C">
        <w:rPr>
          <w:rFonts w:asciiTheme="minorHAnsi" w:hAnsiTheme="minorHAnsi" w:cs="Calibri"/>
        </w:rPr>
        <w:t>ST</w:t>
      </w:r>
      <w:r w:rsidRPr="00A23FB4">
        <w:rPr>
          <w:rFonts w:asciiTheme="minorHAnsi" w:hAnsiTheme="minorHAnsi" w:cs="Calibri"/>
        </w:rPr>
        <w:t>WiORB</w:t>
      </w:r>
      <w:r w:rsidR="00413511" w:rsidRPr="00A23FB4">
        <w:rPr>
          <w:rFonts w:asciiTheme="minorHAnsi" w:hAnsiTheme="minorHAnsi" w:cs="Calibri"/>
        </w:rPr>
        <w:t>) są wymagania dotyczące wykonania i odbioru robót związanych z za</w:t>
      </w:r>
      <w:r w:rsidR="00346E50" w:rsidRPr="00A23FB4">
        <w:rPr>
          <w:rFonts w:asciiTheme="minorHAnsi" w:hAnsiTheme="minorHAnsi" w:cs="Calibri"/>
        </w:rPr>
        <w:t>łożeniem i pielęgnacją zieleni</w:t>
      </w:r>
      <w:r w:rsidR="00413511" w:rsidRPr="00A23FB4">
        <w:rPr>
          <w:rFonts w:asciiTheme="minorHAnsi" w:hAnsiTheme="minorHAnsi" w:cs="Calibri"/>
        </w:rPr>
        <w:t>.</w:t>
      </w:r>
    </w:p>
    <w:p w14:paraId="5819A3D1" w14:textId="70FA585C" w:rsidR="00413511" w:rsidRPr="00A23FB4" w:rsidRDefault="00413511" w:rsidP="00413511">
      <w:pPr>
        <w:pStyle w:val="Nagwek4"/>
        <w:tabs>
          <w:tab w:val="left" w:pos="9914"/>
        </w:tabs>
        <w:rPr>
          <w:rFonts w:asciiTheme="minorHAnsi" w:hAnsiTheme="minorHAnsi" w:cs="Calibri"/>
        </w:rPr>
      </w:pPr>
      <w:bookmarkStart w:id="902" w:name="_Toc235080359"/>
      <w:r w:rsidRPr="00A23FB4">
        <w:rPr>
          <w:rFonts w:asciiTheme="minorHAnsi" w:hAnsiTheme="minorHAnsi" w:cs="Calibri"/>
        </w:rPr>
        <w:t xml:space="preserve">1.2. Zakres stosowania </w:t>
      </w:r>
      <w:r w:rsidR="00865C6C">
        <w:rPr>
          <w:rFonts w:asciiTheme="minorHAnsi" w:hAnsiTheme="minorHAnsi" w:cs="Calibri"/>
        </w:rPr>
        <w:t>ST</w:t>
      </w:r>
      <w:r w:rsidR="00A46FA8" w:rsidRPr="00A23FB4">
        <w:rPr>
          <w:rFonts w:asciiTheme="minorHAnsi" w:hAnsiTheme="minorHAnsi" w:cs="Calibri"/>
        </w:rPr>
        <w:t>WiORB</w:t>
      </w:r>
    </w:p>
    <w:p w14:paraId="6AAE6157" w14:textId="4F4C59B0" w:rsidR="004D5430" w:rsidRPr="00A23FB4" w:rsidRDefault="00E13859" w:rsidP="004D5430">
      <w:pPr>
        <w:spacing w:before="120"/>
        <w:rPr>
          <w:rFonts w:ascii="Calibri" w:hAnsi="Calibri" w:cs="Calibri"/>
        </w:rPr>
      </w:pPr>
      <w:r>
        <w:rPr>
          <w:rFonts w:asciiTheme="minorHAnsi" w:hAnsiTheme="minorHAnsi" w:cs="Calibri"/>
        </w:rPr>
        <w:t>Specyfikacj</w:t>
      </w:r>
      <w:r w:rsidR="00B0480C">
        <w:rPr>
          <w:rFonts w:asciiTheme="minorHAnsi" w:hAnsiTheme="minorHAnsi" w:cs="Calibri"/>
        </w:rPr>
        <w:t>a</w:t>
      </w:r>
      <w:r w:rsidR="00413511" w:rsidRPr="00A23FB4">
        <w:rPr>
          <w:rFonts w:asciiTheme="minorHAnsi" w:hAnsiTheme="minorHAnsi" w:cs="Calibri"/>
        </w:rPr>
        <w:t xml:space="preserve"> stanowi dokument kontraktowy przy realizacji  zadania</w:t>
      </w:r>
      <w:r w:rsidR="004D5430" w:rsidRPr="00A23FB4">
        <w:rPr>
          <w:rFonts w:asciiTheme="minorHAnsi" w:hAnsiTheme="minorHAnsi" w:cstheme="minorHAnsi"/>
          <w:bCs/>
        </w:rPr>
        <w:t xml:space="preserve"> </w:t>
      </w:r>
      <w:r w:rsidR="00506838">
        <w:rPr>
          <w:rFonts w:asciiTheme="minorHAnsi" w:hAnsiTheme="minorHAnsi" w:cstheme="minorHAnsi"/>
          <w:bCs/>
        </w:rPr>
        <w:t>„</w:t>
      </w:r>
      <w:r w:rsidR="00865C6C" w:rsidRPr="00865C6C">
        <w:rPr>
          <w:rFonts w:asciiTheme="minorHAnsi" w:hAnsiTheme="minorHAnsi" w:cstheme="minorHAnsi"/>
          <w:bCs/>
        </w:rPr>
        <w:t>Rozbudowa ul. Wrocławskiej w ciągu drogi powiatowej w Tyńcu Małym wraz z rozbudową istniejącego skrzyżowania typu rondo na połączeniu dróg krajowych nr 35 i 35a oraz łącznika węzła Kobierzyce drogi S8e oraz infrastrukturą towarzyszącą w ramach zadania „Rozbudowa skrzyżowania typu rondo w ciągu DK35 koło m. Tyniec Mały usprawniająca skomunikowanie obszarów Podstrefy Wrocław – Kobierzyce TSSE EURO PARK WISŁOSAN”</w:t>
      </w:r>
      <w:r w:rsidR="004D5430" w:rsidRPr="00A23FB4">
        <w:rPr>
          <w:rFonts w:asciiTheme="minorHAnsi" w:hAnsiTheme="minorHAnsi" w:cstheme="minorHAnsi"/>
          <w:bCs/>
        </w:rPr>
        <w:t>.</w:t>
      </w:r>
    </w:p>
    <w:p w14:paraId="3ED92D55" w14:textId="77777777" w:rsidR="00413511" w:rsidRPr="00A23FB4" w:rsidRDefault="00413511" w:rsidP="00A46FA8">
      <w:pPr>
        <w:pStyle w:val="Nagwek4"/>
        <w:tabs>
          <w:tab w:val="left" w:pos="2925"/>
        </w:tabs>
        <w:rPr>
          <w:rFonts w:asciiTheme="minorHAnsi" w:hAnsiTheme="minorHAnsi" w:cs="Calibri"/>
        </w:rPr>
      </w:pPr>
      <w:r w:rsidRPr="00A23FB4">
        <w:rPr>
          <w:rFonts w:asciiTheme="minorHAnsi" w:hAnsiTheme="minorHAnsi" w:cs="Calibri"/>
        </w:rPr>
        <w:t xml:space="preserve">1.3. Zakres robót objętych </w:t>
      </w:r>
      <w:bookmarkEnd w:id="902"/>
      <w:r w:rsidR="00A46FA8" w:rsidRPr="00A23FB4">
        <w:rPr>
          <w:rFonts w:asciiTheme="minorHAnsi" w:hAnsiTheme="minorHAnsi" w:cs="Calibri"/>
        </w:rPr>
        <w:t>wytycznymi</w:t>
      </w:r>
      <w:r w:rsidR="00A46FA8" w:rsidRPr="00A23FB4">
        <w:rPr>
          <w:rFonts w:asciiTheme="minorHAnsi" w:hAnsiTheme="minorHAnsi" w:cs="Calibri"/>
        </w:rPr>
        <w:tab/>
      </w:r>
    </w:p>
    <w:p w14:paraId="2CACF0D8" w14:textId="2ADC3B49" w:rsidR="00413511" w:rsidRPr="00A23FB4" w:rsidRDefault="00A46FA8" w:rsidP="00413511">
      <w:pPr>
        <w:rPr>
          <w:rFonts w:asciiTheme="minorHAnsi" w:hAnsiTheme="minorHAnsi" w:cs="Calibri"/>
        </w:rPr>
      </w:pPr>
      <w:r w:rsidRPr="00A23FB4">
        <w:rPr>
          <w:rFonts w:asciiTheme="minorHAnsi" w:hAnsiTheme="minorHAnsi" w:cs="Calibri"/>
        </w:rPr>
        <w:t>Ustalenia zawarte w niniejszych</w:t>
      </w:r>
      <w:r w:rsidR="00E13859">
        <w:rPr>
          <w:rFonts w:asciiTheme="minorHAnsi" w:hAnsiTheme="minorHAnsi" w:cs="Calibri"/>
        </w:rPr>
        <w:t xml:space="preserve"> specyfikacjach </w:t>
      </w:r>
      <w:r w:rsidR="00413511" w:rsidRPr="00A23FB4">
        <w:rPr>
          <w:rFonts w:asciiTheme="minorHAnsi" w:hAnsiTheme="minorHAnsi" w:cs="Calibri"/>
        </w:rPr>
        <w:t>dotyczą zasad prowadzenia robót związanych z:</w:t>
      </w:r>
    </w:p>
    <w:p w14:paraId="01A05594" w14:textId="77777777" w:rsidR="00413511" w:rsidRPr="00A23FB4" w:rsidRDefault="00413511" w:rsidP="00413511">
      <w:pPr>
        <w:numPr>
          <w:ilvl w:val="0"/>
          <w:numId w:val="1"/>
        </w:numPr>
        <w:rPr>
          <w:rFonts w:asciiTheme="minorHAnsi" w:hAnsiTheme="minorHAnsi" w:cs="Calibri"/>
        </w:rPr>
      </w:pPr>
      <w:r w:rsidRPr="00A23FB4">
        <w:rPr>
          <w:rFonts w:asciiTheme="minorHAnsi" w:hAnsiTheme="minorHAnsi" w:cs="Calibri"/>
        </w:rPr>
        <w:t>zakładaniem i pielęgnacj</w:t>
      </w:r>
      <w:r w:rsidR="00346E50" w:rsidRPr="00A23FB4">
        <w:rPr>
          <w:rFonts w:asciiTheme="minorHAnsi" w:hAnsiTheme="minorHAnsi" w:cs="Calibri"/>
        </w:rPr>
        <w:t>ą trawników na terenie płaskim</w:t>
      </w:r>
      <w:r w:rsidRPr="00A23FB4">
        <w:rPr>
          <w:rFonts w:asciiTheme="minorHAnsi" w:hAnsiTheme="minorHAnsi" w:cs="Calibri"/>
        </w:rPr>
        <w:t>,</w:t>
      </w:r>
    </w:p>
    <w:p w14:paraId="7EFFD0B3" w14:textId="77777777" w:rsidR="00413511" w:rsidRPr="00A23FB4" w:rsidRDefault="00413511" w:rsidP="00413511">
      <w:pPr>
        <w:numPr>
          <w:ilvl w:val="0"/>
          <w:numId w:val="1"/>
        </w:numPr>
        <w:rPr>
          <w:rFonts w:asciiTheme="minorHAnsi" w:hAnsiTheme="minorHAnsi" w:cs="Calibri"/>
        </w:rPr>
      </w:pPr>
      <w:r w:rsidRPr="00A23FB4">
        <w:rPr>
          <w:rFonts w:asciiTheme="minorHAnsi" w:hAnsiTheme="minorHAnsi" w:cs="Calibri"/>
        </w:rPr>
        <w:t>sadzeniem drzew i krzewów na terenie płaskim,</w:t>
      </w:r>
    </w:p>
    <w:p w14:paraId="36F65D3D" w14:textId="77777777" w:rsidR="00413511" w:rsidRPr="00A23FB4" w:rsidRDefault="00413511" w:rsidP="00413511">
      <w:pPr>
        <w:pStyle w:val="Nagwek4"/>
        <w:tabs>
          <w:tab w:val="left" w:pos="9914"/>
        </w:tabs>
        <w:rPr>
          <w:rFonts w:asciiTheme="minorHAnsi" w:hAnsiTheme="minorHAnsi" w:cs="Calibri"/>
        </w:rPr>
      </w:pPr>
      <w:bookmarkStart w:id="903" w:name="_Toc235080360"/>
      <w:r w:rsidRPr="00A23FB4">
        <w:rPr>
          <w:rFonts w:asciiTheme="minorHAnsi" w:hAnsiTheme="minorHAnsi" w:cs="Calibri"/>
        </w:rPr>
        <w:t>1.4. Określenia podstawowe</w:t>
      </w:r>
      <w:bookmarkEnd w:id="903"/>
    </w:p>
    <w:p w14:paraId="2463B611" w14:textId="77777777" w:rsidR="00413511" w:rsidRPr="00A23FB4" w:rsidRDefault="00413511" w:rsidP="00413511">
      <w:pPr>
        <w:rPr>
          <w:rFonts w:asciiTheme="minorHAnsi" w:hAnsiTheme="minorHAnsi" w:cs="Calibri"/>
        </w:rPr>
      </w:pPr>
      <w:r w:rsidRPr="00A23FB4">
        <w:rPr>
          <w:rFonts w:asciiTheme="minorHAnsi" w:hAnsiTheme="minorHAnsi" w:cs="Calibri"/>
          <w:b/>
          <w:bCs/>
        </w:rPr>
        <w:t xml:space="preserve">1.4.1. </w:t>
      </w:r>
      <w:r w:rsidRPr="00A23FB4">
        <w:rPr>
          <w:rFonts w:asciiTheme="minorHAnsi" w:hAnsiTheme="minorHAnsi" w:cs="Calibri"/>
        </w:rPr>
        <w:t>Ziemia urodzajna - ziemia posiadająca właściwości zapewniające roślinom prawidłowy rozwój.</w:t>
      </w:r>
    </w:p>
    <w:p w14:paraId="204C79E7" w14:textId="77777777" w:rsidR="00413511" w:rsidRPr="00A23FB4" w:rsidRDefault="00413511" w:rsidP="00B20386">
      <w:pPr>
        <w:rPr>
          <w:rFonts w:asciiTheme="minorHAnsi" w:hAnsiTheme="minorHAnsi" w:cs="Calibri"/>
        </w:rPr>
      </w:pPr>
      <w:r w:rsidRPr="00A23FB4">
        <w:rPr>
          <w:rFonts w:asciiTheme="minorHAnsi" w:hAnsiTheme="minorHAnsi" w:cs="Calibri"/>
          <w:b/>
          <w:bCs/>
        </w:rPr>
        <w:t xml:space="preserve">1.4.2. </w:t>
      </w:r>
      <w:r w:rsidRPr="00A23FB4">
        <w:rPr>
          <w:rFonts w:asciiTheme="minorHAnsi" w:hAnsiTheme="minorHAnsi" w:cs="Calibri"/>
        </w:rPr>
        <w:t>Materiał roślinny - sadzonki drzew, krzewów, kwiatów jednorocznych i wieloletnich.</w:t>
      </w:r>
    </w:p>
    <w:p w14:paraId="30ED5096" w14:textId="77777777" w:rsidR="00B20386" w:rsidRPr="00A23FB4" w:rsidRDefault="00B20386" w:rsidP="00B20386">
      <w:pPr>
        <w:pStyle w:val="Default"/>
        <w:rPr>
          <w:rFonts w:asciiTheme="minorHAnsi" w:eastAsia="Arial Unicode MS" w:hAnsiTheme="minorHAnsi" w:cs="Arial Unicode MS"/>
          <w:color w:val="auto"/>
          <w:sz w:val="20"/>
          <w:szCs w:val="20"/>
        </w:rPr>
      </w:pPr>
      <w:r w:rsidRPr="00A23FB4">
        <w:rPr>
          <w:rFonts w:asciiTheme="minorHAnsi" w:hAnsiTheme="minorHAnsi" w:cs="Calibri"/>
          <w:b/>
          <w:bCs/>
          <w:color w:val="auto"/>
          <w:sz w:val="20"/>
          <w:szCs w:val="20"/>
        </w:rPr>
        <w:t>1.4.3.</w:t>
      </w:r>
      <w:r w:rsidRPr="00A23FB4">
        <w:rPr>
          <w:rFonts w:asciiTheme="minorHAnsi" w:hAnsiTheme="minorHAnsi" w:cs="Calibri"/>
          <w:color w:val="auto"/>
          <w:sz w:val="20"/>
          <w:szCs w:val="20"/>
        </w:rPr>
        <w:t xml:space="preserve"> Drzewo - </w:t>
      </w:r>
      <w:r w:rsidRPr="00A23FB4">
        <w:rPr>
          <w:rFonts w:asciiTheme="minorHAnsi" w:eastAsia="Arial Unicode MS" w:hAnsiTheme="minorHAnsi" w:cs="Arial Unicode MS"/>
          <w:color w:val="auto"/>
          <w:sz w:val="20"/>
          <w:szCs w:val="20"/>
        </w:rPr>
        <w:t>wieloletnia zdrewnia</w:t>
      </w:r>
      <w:r w:rsidRPr="00A23FB4">
        <w:rPr>
          <w:rFonts w:asciiTheme="minorHAnsi" w:eastAsia="Arial Unicode MS" w:hAnsiTheme="minorHAnsi"/>
          <w:color w:val="auto"/>
          <w:sz w:val="20"/>
          <w:szCs w:val="20"/>
        </w:rPr>
        <w:t>ł</w:t>
      </w:r>
      <w:r w:rsidRPr="00A23FB4">
        <w:rPr>
          <w:rFonts w:asciiTheme="minorHAnsi" w:eastAsia="Arial Unicode MS" w:hAnsiTheme="minorHAnsi" w:cs="Arial Unicode MS"/>
          <w:color w:val="auto"/>
          <w:sz w:val="20"/>
          <w:szCs w:val="20"/>
        </w:rPr>
        <w:t>a ro</w:t>
      </w:r>
      <w:r w:rsidRPr="00A23FB4">
        <w:rPr>
          <w:rFonts w:asciiTheme="minorHAnsi" w:eastAsia="Arial Unicode MS" w:hAnsiTheme="minorHAnsi"/>
          <w:color w:val="auto"/>
          <w:sz w:val="20"/>
          <w:szCs w:val="20"/>
        </w:rPr>
        <w:t>ś</w:t>
      </w:r>
      <w:r w:rsidRPr="00A23FB4">
        <w:rPr>
          <w:rFonts w:asciiTheme="minorHAnsi" w:eastAsia="Arial Unicode MS" w:hAnsiTheme="minorHAnsi" w:cs="Arial Unicode MS"/>
          <w:color w:val="auto"/>
          <w:sz w:val="20"/>
          <w:szCs w:val="20"/>
        </w:rPr>
        <w:t>lina o wyra</w:t>
      </w:r>
      <w:r w:rsidRPr="00A23FB4">
        <w:rPr>
          <w:rFonts w:asciiTheme="minorHAnsi" w:eastAsia="Arial Unicode MS" w:hAnsiTheme="minorHAnsi"/>
          <w:color w:val="auto"/>
          <w:sz w:val="20"/>
          <w:szCs w:val="20"/>
        </w:rPr>
        <w:t>ź</w:t>
      </w:r>
      <w:r w:rsidRPr="00A23FB4">
        <w:rPr>
          <w:rFonts w:asciiTheme="minorHAnsi" w:eastAsia="Arial Unicode MS" w:hAnsiTheme="minorHAnsi" w:cs="Arial Unicode MS"/>
          <w:color w:val="auto"/>
          <w:sz w:val="20"/>
          <w:szCs w:val="20"/>
        </w:rPr>
        <w:t>nie wykszta</w:t>
      </w:r>
      <w:r w:rsidRPr="00A23FB4">
        <w:rPr>
          <w:rFonts w:asciiTheme="minorHAnsi" w:eastAsia="Arial Unicode MS" w:hAnsiTheme="minorHAnsi"/>
          <w:color w:val="auto"/>
          <w:sz w:val="20"/>
          <w:szCs w:val="20"/>
        </w:rPr>
        <w:t>ł</w:t>
      </w:r>
      <w:r w:rsidRPr="00A23FB4">
        <w:rPr>
          <w:rFonts w:asciiTheme="minorHAnsi" w:eastAsia="Arial Unicode MS" w:hAnsiTheme="minorHAnsi" w:cs="Arial Unicode MS"/>
          <w:color w:val="auto"/>
          <w:sz w:val="20"/>
          <w:szCs w:val="20"/>
        </w:rPr>
        <w:t>conym jednym lub wi</w:t>
      </w:r>
      <w:r w:rsidRPr="00A23FB4">
        <w:rPr>
          <w:rFonts w:asciiTheme="minorHAnsi" w:eastAsia="Arial Unicode MS" w:hAnsiTheme="minorHAnsi"/>
          <w:color w:val="auto"/>
          <w:sz w:val="20"/>
          <w:szCs w:val="20"/>
        </w:rPr>
        <w:t>ę</w:t>
      </w:r>
      <w:r w:rsidRPr="00A23FB4">
        <w:rPr>
          <w:rFonts w:asciiTheme="minorHAnsi" w:eastAsia="Arial Unicode MS" w:hAnsiTheme="minorHAnsi" w:cs="Arial Unicode MS"/>
          <w:color w:val="auto"/>
          <w:sz w:val="20"/>
          <w:szCs w:val="20"/>
        </w:rPr>
        <w:t>cej pniu, kt</w:t>
      </w:r>
      <w:r w:rsidRPr="00A23FB4">
        <w:rPr>
          <w:rFonts w:asciiTheme="minorHAnsi" w:eastAsia="Arial Unicode MS" w:hAnsiTheme="minorHAnsi"/>
          <w:color w:val="auto"/>
          <w:sz w:val="20"/>
          <w:szCs w:val="20"/>
        </w:rPr>
        <w:t>ó</w:t>
      </w:r>
      <w:r w:rsidRPr="00A23FB4">
        <w:rPr>
          <w:rFonts w:asciiTheme="minorHAnsi" w:eastAsia="Arial Unicode MS" w:hAnsiTheme="minorHAnsi" w:cs="Arial Unicode MS"/>
          <w:color w:val="auto"/>
          <w:sz w:val="20"/>
          <w:szCs w:val="20"/>
        </w:rPr>
        <w:t>re w pewnej wysoko</w:t>
      </w:r>
      <w:r w:rsidRPr="00A23FB4">
        <w:rPr>
          <w:rFonts w:asciiTheme="minorHAnsi" w:eastAsia="Arial Unicode MS" w:hAnsiTheme="minorHAnsi"/>
          <w:color w:val="auto"/>
          <w:sz w:val="20"/>
          <w:szCs w:val="20"/>
        </w:rPr>
        <w:t>ś</w:t>
      </w:r>
      <w:r w:rsidRPr="00A23FB4">
        <w:rPr>
          <w:rFonts w:asciiTheme="minorHAnsi" w:eastAsia="Arial Unicode MS" w:hAnsiTheme="minorHAnsi" w:cs="Arial Unicode MS"/>
          <w:color w:val="auto"/>
          <w:sz w:val="20"/>
          <w:szCs w:val="20"/>
        </w:rPr>
        <w:t>ci nad ziemi</w:t>
      </w:r>
      <w:r w:rsidRPr="00A23FB4">
        <w:rPr>
          <w:rFonts w:asciiTheme="minorHAnsi" w:eastAsia="Arial Unicode MS" w:hAnsiTheme="minorHAnsi"/>
          <w:color w:val="auto"/>
          <w:sz w:val="20"/>
          <w:szCs w:val="20"/>
        </w:rPr>
        <w:t xml:space="preserve">ą </w:t>
      </w:r>
      <w:r w:rsidRPr="00A23FB4">
        <w:rPr>
          <w:rFonts w:asciiTheme="minorHAnsi" w:eastAsia="Arial Unicode MS" w:hAnsiTheme="minorHAnsi" w:cs="Arial Unicode MS"/>
          <w:color w:val="auto"/>
          <w:sz w:val="20"/>
          <w:szCs w:val="20"/>
        </w:rPr>
        <w:t>rozga</w:t>
      </w:r>
      <w:r w:rsidRPr="00A23FB4">
        <w:rPr>
          <w:rFonts w:asciiTheme="minorHAnsi" w:eastAsia="Arial Unicode MS" w:hAnsiTheme="minorHAnsi"/>
          <w:color w:val="auto"/>
          <w:sz w:val="20"/>
          <w:szCs w:val="20"/>
        </w:rPr>
        <w:t>łę</w:t>
      </w:r>
      <w:r w:rsidRPr="00A23FB4">
        <w:rPr>
          <w:rFonts w:asciiTheme="minorHAnsi" w:eastAsia="Arial Unicode MS" w:hAnsiTheme="minorHAnsi" w:cs="Arial Unicode MS"/>
          <w:color w:val="auto"/>
          <w:sz w:val="20"/>
          <w:szCs w:val="20"/>
        </w:rPr>
        <w:t>ziaj</w:t>
      </w:r>
      <w:r w:rsidRPr="00A23FB4">
        <w:rPr>
          <w:rFonts w:asciiTheme="minorHAnsi" w:eastAsia="Arial Unicode MS" w:hAnsiTheme="minorHAnsi"/>
          <w:color w:val="auto"/>
          <w:sz w:val="20"/>
          <w:szCs w:val="20"/>
        </w:rPr>
        <w:t xml:space="preserve">ą </w:t>
      </w:r>
      <w:r w:rsidRPr="00A23FB4">
        <w:rPr>
          <w:rFonts w:asciiTheme="minorHAnsi" w:eastAsia="Arial Unicode MS" w:hAnsiTheme="minorHAnsi" w:cs="Arial Unicode MS"/>
          <w:color w:val="auto"/>
          <w:sz w:val="20"/>
          <w:szCs w:val="20"/>
        </w:rPr>
        <w:t>si</w:t>
      </w:r>
      <w:r w:rsidRPr="00A23FB4">
        <w:rPr>
          <w:rFonts w:asciiTheme="minorHAnsi" w:eastAsia="Arial Unicode MS" w:hAnsiTheme="minorHAnsi"/>
          <w:color w:val="auto"/>
          <w:sz w:val="20"/>
          <w:szCs w:val="20"/>
        </w:rPr>
        <w:t xml:space="preserve">ę </w:t>
      </w:r>
      <w:r w:rsidRPr="00A23FB4">
        <w:rPr>
          <w:rFonts w:asciiTheme="minorHAnsi" w:eastAsia="Arial Unicode MS" w:hAnsiTheme="minorHAnsi" w:cs="Arial Unicode MS"/>
          <w:color w:val="auto"/>
          <w:sz w:val="20"/>
          <w:szCs w:val="20"/>
        </w:rPr>
        <w:t>w koron</w:t>
      </w:r>
      <w:r w:rsidRPr="00A23FB4">
        <w:rPr>
          <w:rFonts w:asciiTheme="minorHAnsi" w:eastAsia="Arial Unicode MS" w:hAnsiTheme="minorHAnsi"/>
          <w:color w:val="auto"/>
          <w:sz w:val="20"/>
          <w:szCs w:val="20"/>
        </w:rPr>
        <w:t>ę</w:t>
      </w:r>
      <w:r w:rsidRPr="00A23FB4">
        <w:rPr>
          <w:rFonts w:asciiTheme="minorHAnsi" w:eastAsia="Arial Unicode MS" w:hAnsiTheme="minorHAnsi" w:cs="Arial Unicode MS"/>
          <w:color w:val="auto"/>
          <w:sz w:val="20"/>
          <w:szCs w:val="20"/>
        </w:rPr>
        <w:t xml:space="preserve">. </w:t>
      </w:r>
    </w:p>
    <w:p w14:paraId="1B3950C7" w14:textId="77777777" w:rsidR="00B20386" w:rsidRPr="00A23FB4" w:rsidRDefault="00B20386" w:rsidP="00B20386">
      <w:pPr>
        <w:pStyle w:val="Default"/>
        <w:rPr>
          <w:rFonts w:asciiTheme="minorHAnsi" w:eastAsia="Arial Unicode MS" w:hAnsiTheme="minorHAnsi" w:cs="Arial Unicode MS"/>
          <w:color w:val="auto"/>
          <w:sz w:val="20"/>
          <w:szCs w:val="20"/>
        </w:rPr>
      </w:pPr>
      <w:r w:rsidRPr="00A23FB4">
        <w:rPr>
          <w:rFonts w:asciiTheme="minorHAnsi" w:hAnsiTheme="minorHAnsi" w:cs="Calibri"/>
          <w:b/>
          <w:bCs/>
          <w:color w:val="auto"/>
          <w:sz w:val="20"/>
          <w:szCs w:val="20"/>
        </w:rPr>
        <w:t>1.4.4.</w:t>
      </w:r>
      <w:r w:rsidRPr="00A23FB4">
        <w:rPr>
          <w:rFonts w:asciiTheme="minorHAnsi" w:hAnsiTheme="minorHAnsi" w:cs="Calibri"/>
          <w:color w:val="auto"/>
          <w:sz w:val="20"/>
          <w:szCs w:val="20"/>
        </w:rPr>
        <w:t xml:space="preserve"> Krzew - </w:t>
      </w:r>
      <w:r w:rsidRPr="00A23FB4">
        <w:rPr>
          <w:rFonts w:asciiTheme="minorHAnsi" w:eastAsia="Arial Unicode MS" w:hAnsiTheme="minorHAnsi" w:cs="Arial Unicode MS"/>
          <w:color w:val="auto"/>
          <w:sz w:val="20"/>
          <w:szCs w:val="20"/>
        </w:rPr>
        <w:t>wieloletnia wielop</w:t>
      </w:r>
      <w:r w:rsidRPr="00A23FB4">
        <w:rPr>
          <w:rFonts w:asciiTheme="minorHAnsi" w:eastAsia="Arial Unicode MS" w:hAnsiTheme="minorHAnsi"/>
          <w:color w:val="auto"/>
          <w:sz w:val="20"/>
          <w:szCs w:val="20"/>
        </w:rPr>
        <w:t>ę</w:t>
      </w:r>
      <w:r w:rsidRPr="00A23FB4">
        <w:rPr>
          <w:rFonts w:asciiTheme="minorHAnsi" w:eastAsia="Arial Unicode MS" w:hAnsiTheme="minorHAnsi" w:cs="Arial Unicode MS"/>
          <w:color w:val="auto"/>
          <w:sz w:val="20"/>
          <w:szCs w:val="20"/>
        </w:rPr>
        <w:t>dowa zdrewnia</w:t>
      </w:r>
      <w:r w:rsidRPr="00A23FB4">
        <w:rPr>
          <w:rFonts w:asciiTheme="minorHAnsi" w:eastAsia="Arial Unicode MS" w:hAnsiTheme="minorHAnsi"/>
          <w:color w:val="auto"/>
          <w:sz w:val="20"/>
          <w:szCs w:val="20"/>
        </w:rPr>
        <w:t>ł</w:t>
      </w:r>
      <w:r w:rsidRPr="00A23FB4">
        <w:rPr>
          <w:rFonts w:asciiTheme="minorHAnsi" w:eastAsia="Arial Unicode MS" w:hAnsiTheme="minorHAnsi" w:cs="Arial Unicode MS"/>
          <w:color w:val="auto"/>
          <w:sz w:val="20"/>
          <w:szCs w:val="20"/>
        </w:rPr>
        <w:t>a ro</w:t>
      </w:r>
      <w:r w:rsidRPr="00A23FB4">
        <w:rPr>
          <w:rFonts w:asciiTheme="minorHAnsi" w:eastAsia="Arial Unicode MS" w:hAnsiTheme="minorHAnsi"/>
          <w:color w:val="auto"/>
          <w:sz w:val="20"/>
          <w:szCs w:val="20"/>
        </w:rPr>
        <w:t>ś</w:t>
      </w:r>
      <w:r w:rsidRPr="00A23FB4">
        <w:rPr>
          <w:rFonts w:asciiTheme="minorHAnsi" w:eastAsia="Arial Unicode MS" w:hAnsiTheme="minorHAnsi" w:cs="Arial Unicode MS"/>
          <w:color w:val="auto"/>
          <w:sz w:val="20"/>
          <w:szCs w:val="20"/>
        </w:rPr>
        <w:t>lina bez wykszta</w:t>
      </w:r>
      <w:r w:rsidRPr="00A23FB4">
        <w:rPr>
          <w:rFonts w:asciiTheme="minorHAnsi" w:eastAsia="Arial Unicode MS" w:hAnsiTheme="minorHAnsi"/>
          <w:color w:val="auto"/>
          <w:sz w:val="20"/>
          <w:szCs w:val="20"/>
        </w:rPr>
        <w:t>ł</w:t>
      </w:r>
      <w:r w:rsidRPr="00A23FB4">
        <w:rPr>
          <w:rFonts w:asciiTheme="minorHAnsi" w:eastAsia="Arial Unicode MS" w:hAnsiTheme="minorHAnsi" w:cs="Arial Unicode MS"/>
          <w:color w:val="auto"/>
          <w:sz w:val="20"/>
          <w:szCs w:val="20"/>
        </w:rPr>
        <w:t>conego przewodnika, z kr</w:t>
      </w:r>
      <w:r w:rsidRPr="00A23FB4">
        <w:rPr>
          <w:rFonts w:asciiTheme="minorHAnsi" w:eastAsia="Arial Unicode MS" w:hAnsiTheme="minorHAnsi"/>
          <w:color w:val="auto"/>
          <w:sz w:val="20"/>
          <w:szCs w:val="20"/>
        </w:rPr>
        <w:t>ó</w:t>
      </w:r>
      <w:r w:rsidRPr="00A23FB4">
        <w:rPr>
          <w:rFonts w:asciiTheme="minorHAnsi" w:eastAsia="Arial Unicode MS" w:hAnsiTheme="minorHAnsi" w:cs="Arial Unicode MS"/>
          <w:color w:val="auto"/>
          <w:sz w:val="20"/>
          <w:szCs w:val="20"/>
        </w:rPr>
        <w:t>tkim p</w:t>
      </w:r>
      <w:r w:rsidRPr="00A23FB4">
        <w:rPr>
          <w:rFonts w:asciiTheme="minorHAnsi" w:eastAsia="Arial Unicode MS" w:hAnsiTheme="minorHAnsi"/>
          <w:color w:val="auto"/>
          <w:sz w:val="20"/>
          <w:szCs w:val="20"/>
        </w:rPr>
        <w:t>ę</w:t>
      </w:r>
      <w:r w:rsidRPr="00A23FB4">
        <w:rPr>
          <w:rFonts w:asciiTheme="minorHAnsi" w:eastAsia="Arial Unicode MS" w:hAnsiTheme="minorHAnsi" w:cs="Arial Unicode MS"/>
          <w:color w:val="auto"/>
          <w:sz w:val="20"/>
          <w:szCs w:val="20"/>
        </w:rPr>
        <w:t>dem g</w:t>
      </w:r>
      <w:r w:rsidRPr="00A23FB4">
        <w:rPr>
          <w:rFonts w:asciiTheme="minorHAnsi" w:eastAsia="Arial Unicode MS" w:hAnsiTheme="minorHAnsi"/>
          <w:color w:val="auto"/>
          <w:sz w:val="20"/>
          <w:szCs w:val="20"/>
        </w:rPr>
        <w:t>łó</w:t>
      </w:r>
      <w:r w:rsidRPr="00A23FB4">
        <w:rPr>
          <w:rFonts w:asciiTheme="minorHAnsi" w:eastAsia="Arial Unicode MS" w:hAnsiTheme="minorHAnsi" w:cs="Arial Unicode MS"/>
          <w:color w:val="auto"/>
          <w:sz w:val="20"/>
          <w:szCs w:val="20"/>
        </w:rPr>
        <w:t>wnym (do 10 cm), z kt</w:t>
      </w:r>
      <w:r w:rsidRPr="00A23FB4">
        <w:rPr>
          <w:rFonts w:asciiTheme="minorHAnsi" w:eastAsia="Arial Unicode MS" w:hAnsiTheme="minorHAnsi"/>
          <w:color w:val="auto"/>
          <w:sz w:val="20"/>
          <w:szCs w:val="20"/>
        </w:rPr>
        <w:t>ó</w:t>
      </w:r>
      <w:r w:rsidRPr="00A23FB4">
        <w:rPr>
          <w:rFonts w:asciiTheme="minorHAnsi" w:eastAsia="Arial Unicode MS" w:hAnsiTheme="minorHAnsi" w:cs="Arial Unicode MS"/>
          <w:color w:val="auto"/>
          <w:sz w:val="20"/>
          <w:szCs w:val="20"/>
        </w:rPr>
        <w:t>rego wyrastaj</w:t>
      </w:r>
      <w:r w:rsidRPr="00A23FB4">
        <w:rPr>
          <w:rFonts w:asciiTheme="minorHAnsi" w:eastAsia="Arial Unicode MS" w:hAnsiTheme="minorHAnsi"/>
          <w:color w:val="auto"/>
          <w:sz w:val="20"/>
          <w:szCs w:val="20"/>
        </w:rPr>
        <w:t xml:space="preserve">ą </w:t>
      </w:r>
      <w:r w:rsidRPr="00A23FB4">
        <w:rPr>
          <w:rFonts w:asciiTheme="minorHAnsi" w:eastAsia="Arial Unicode MS" w:hAnsiTheme="minorHAnsi" w:cs="Arial Unicode MS"/>
          <w:color w:val="auto"/>
          <w:sz w:val="20"/>
          <w:szCs w:val="20"/>
        </w:rPr>
        <w:t>r</w:t>
      </w:r>
      <w:r w:rsidRPr="00A23FB4">
        <w:rPr>
          <w:rFonts w:asciiTheme="minorHAnsi" w:eastAsia="Arial Unicode MS" w:hAnsiTheme="minorHAnsi"/>
          <w:color w:val="auto"/>
          <w:sz w:val="20"/>
          <w:szCs w:val="20"/>
        </w:rPr>
        <w:t>ó</w:t>
      </w:r>
      <w:r w:rsidRPr="00A23FB4">
        <w:rPr>
          <w:rFonts w:asciiTheme="minorHAnsi" w:eastAsia="Arial Unicode MS" w:hAnsiTheme="minorHAnsi" w:cs="Arial Unicode MS"/>
          <w:color w:val="auto"/>
          <w:sz w:val="20"/>
          <w:szCs w:val="20"/>
        </w:rPr>
        <w:t>wnorz</w:t>
      </w:r>
      <w:r w:rsidRPr="00A23FB4">
        <w:rPr>
          <w:rFonts w:asciiTheme="minorHAnsi" w:eastAsia="Arial Unicode MS" w:hAnsiTheme="minorHAnsi"/>
          <w:color w:val="auto"/>
          <w:sz w:val="20"/>
          <w:szCs w:val="20"/>
        </w:rPr>
        <w:t>ę</w:t>
      </w:r>
      <w:r w:rsidRPr="00A23FB4">
        <w:rPr>
          <w:rFonts w:asciiTheme="minorHAnsi" w:eastAsia="Arial Unicode MS" w:hAnsiTheme="minorHAnsi" w:cs="Arial Unicode MS"/>
          <w:color w:val="auto"/>
          <w:sz w:val="20"/>
          <w:szCs w:val="20"/>
        </w:rPr>
        <w:t>dne, rozga</w:t>
      </w:r>
      <w:r w:rsidRPr="00A23FB4">
        <w:rPr>
          <w:rFonts w:asciiTheme="minorHAnsi" w:eastAsia="Arial Unicode MS" w:hAnsiTheme="minorHAnsi"/>
          <w:color w:val="auto"/>
          <w:sz w:val="20"/>
          <w:szCs w:val="20"/>
        </w:rPr>
        <w:t>łę</w:t>
      </w:r>
      <w:r w:rsidRPr="00A23FB4">
        <w:rPr>
          <w:rFonts w:asciiTheme="minorHAnsi" w:eastAsia="Arial Unicode MS" w:hAnsiTheme="minorHAnsi" w:cs="Arial Unicode MS"/>
          <w:color w:val="auto"/>
          <w:sz w:val="20"/>
          <w:szCs w:val="20"/>
        </w:rPr>
        <w:t>ziaj</w:t>
      </w:r>
      <w:r w:rsidRPr="00A23FB4">
        <w:rPr>
          <w:rFonts w:asciiTheme="minorHAnsi" w:eastAsia="Arial Unicode MS" w:hAnsiTheme="minorHAnsi"/>
          <w:color w:val="auto"/>
          <w:sz w:val="20"/>
          <w:szCs w:val="20"/>
        </w:rPr>
        <w:t>ą</w:t>
      </w:r>
      <w:r w:rsidRPr="00A23FB4">
        <w:rPr>
          <w:rFonts w:asciiTheme="minorHAnsi" w:eastAsia="Arial Unicode MS" w:hAnsiTheme="minorHAnsi" w:cs="Arial Unicode MS"/>
          <w:color w:val="auto"/>
          <w:sz w:val="20"/>
          <w:szCs w:val="20"/>
        </w:rPr>
        <w:t>ce si</w:t>
      </w:r>
      <w:r w:rsidRPr="00A23FB4">
        <w:rPr>
          <w:rFonts w:asciiTheme="minorHAnsi" w:eastAsia="Arial Unicode MS" w:hAnsiTheme="minorHAnsi"/>
          <w:color w:val="auto"/>
          <w:sz w:val="20"/>
          <w:szCs w:val="20"/>
        </w:rPr>
        <w:t xml:space="preserve">ę </w:t>
      </w:r>
      <w:r w:rsidRPr="00A23FB4">
        <w:rPr>
          <w:rFonts w:asciiTheme="minorHAnsi" w:eastAsia="Arial Unicode MS" w:hAnsiTheme="minorHAnsi" w:cs="Arial Unicode MS"/>
          <w:color w:val="auto"/>
          <w:sz w:val="20"/>
          <w:szCs w:val="20"/>
        </w:rPr>
        <w:t>p</w:t>
      </w:r>
      <w:r w:rsidRPr="00A23FB4">
        <w:rPr>
          <w:rFonts w:asciiTheme="minorHAnsi" w:eastAsia="Arial Unicode MS" w:hAnsiTheme="minorHAnsi"/>
          <w:color w:val="auto"/>
          <w:sz w:val="20"/>
          <w:szCs w:val="20"/>
        </w:rPr>
        <w:t>ę</w:t>
      </w:r>
      <w:r w:rsidRPr="00A23FB4">
        <w:rPr>
          <w:rFonts w:asciiTheme="minorHAnsi" w:eastAsia="Arial Unicode MS" w:hAnsiTheme="minorHAnsi" w:cs="Arial Unicode MS"/>
          <w:color w:val="auto"/>
          <w:sz w:val="20"/>
          <w:szCs w:val="20"/>
        </w:rPr>
        <w:t xml:space="preserve">dy boczne. </w:t>
      </w:r>
    </w:p>
    <w:p w14:paraId="00DCA44F" w14:textId="5935457A" w:rsidR="00413511" w:rsidRPr="00A23FB4" w:rsidRDefault="00413511" w:rsidP="00B20386">
      <w:pPr>
        <w:rPr>
          <w:rFonts w:asciiTheme="minorHAnsi" w:hAnsiTheme="minorHAnsi" w:cs="Calibri"/>
        </w:rPr>
      </w:pPr>
      <w:r w:rsidRPr="00A23FB4">
        <w:rPr>
          <w:rFonts w:asciiTheme="minorHAnsi" w:hAnsiTheme="minorHAnsi" w:cs="Calibri"/>
          <w:b/>
          <w:bCs/>
        </w:rPr>
        <w:t>1.4.</w:t>
      </w:r>
      <w:r w:rsidR="003938EC" w:rsidRPr="00A23FB4">
        <w:rPr>
          <w:rFonts w:asciiTheme="minorHAnsi" w:hAnsiTheme="minorHAnsi" w:cs="Calibri"/>
          <w:b/>
          <w:bCs/>
        </w:rPr>
        <w:t>3</w:t>
      </w:r>
      <w:r w:rsidRPr="00A23FB4">
        <w:rPr>
          <w:rFonts w:asciiTheme="minorHAnsi" w:hAnsiTheme="minorHAnsi" w:cs="Calibri"/>
          <w:b/>
          <w:bCs/>
        </w:rPr>
        <w:t xml:space="preserve">. </w:t>
      </w:r>
      <w:r w:rsidRPr="00A23FB4">
        <w:rPr>
          <w:rFonts w:asciiTheme="minorHAnsi" w:hAnsiTheme="minorHAnsi" w:cs="Calibri"/>
        </w:rPr>
        <w:t xml:space="preserve">Pozostałe określenia podstawowe są zgodne z obowiązującymi, odpowiednimi polskimi normami i z definicjami podanymi w </w:t>
      </w:r>
      <w:r w:rsidR="00865C6C">
        <w:rPr>
          <w:rFonts w:asciiTheme="minorHAnsi" w:hAnsiTheme="minorHAnsi" w:cs="Calibri"/>
        </w:rPr>
        <w:t>ST</w:t>
      </w:r>
      <w:r w:rsidR="00A46FA8" w:rsidRPr="00A23FB4">
        <w:rPr>
          <w:rFonts w:asciiTheme="minorHAnsi" w:hAnsiTheme="minorHAnsi" w:cs="Calibri"/>
        </w:rPr>
        <w:t>WiORB</w:t>
      </w:r>
      <w:r w:rsidRPr="00A23FB4">
        <w:rPr>
          <w:rFonts w:asciiTheme="minorHAnsi" w:hAnsiTheme="minorHAnsi" w:cs="Calibri"/>
        </w:rPr>
        <w:t xml:space="preserve"> D-M-00.00.00 „Wymagania ogólne” pkt 1.4.</w:t>
      </w:r>
    </w:p>
    <w:p w14:paraId="2B981F27" w14:textId="77777777" w:rsidR="00413511" w:rsidRPr="00A23FB4" w:rsidRDefault="00413511" w:rsidP="00413511">
      <w:pPr>
        <w:pStyle w:val="Nagwek4"/>
        <w:tabs>
          <w:tab w:val="left" w:pos="9914"/>
        </w:tabs>
        <w:rPr>
          <w:rFonts w:asciiTheme="minorHAnsi" w:hAnsiTheme="minorHAnsi" w:cs="Calibri"/>
        </w:rPr>
      </w:pPr>
      <w:bookmarkStart w:id="904" w:name="_Toc235080361"/>
      <w:r w:rsidRPr="00A23FB4">
        <w:rPr>
          <w:rFonts w:asciiTheme="minorHAnsi" w:hAnsiTheme="minorHAnsi" w:cs="Calibri"/>
        </w:rPr>
        <w:t>1.5. Ogólne wymagania dotyczące robót</w:t>
      </w:r>
      <w:bookmarkEnd w:id="904"/>
    </w:p>
    <w:p w14:paraId="05EFD458" w14:textId="54B249CB" w:rsidR="00413511" w:rsidRPr="00A23FB4" w:rsidRDefault="00413511" w:rsidP="00413511">
      <w:pPr>
        <w:rPr>
          <w:rFonts w:asciiTheme="minorHAnsi" w:hAnsiTheme="minorHAnsi" w:cs="Calibri"/>
        </w:rPr>
      </w:pPr>
      <w:r w:rsidRPr="00A23FB4">
        <w:rPr>
          <w:rFonts w:asciiTheme="minorHAnsi" w:hAnsiTheme="minorHAnsi" w:cs="Calibri"/>
        </w:rPr>
        <w:t xml:space="preserve">Ogólne wymagania dotyczące robót podano w </w:t>
      </w:r>
      <w:r w:rsidR="00865C6C">
        <w:rPr>
          <w:rFonts w:asciiTheme="minorHAnsi" w:hAnsiTheme="minorHAnsi" w:cs="Calibri"/>
        </w:rPr>
        <w:t>ST</w:t>
      </w:r>
      <w:r w:rsidR="00A46FA8" w:rsidRPr="00A23FB4">
        <w:rPr>
          <w:rFonts w:asciiTheme="minorHAnsi" w:hAnsiTheme="minorHAnsi" w:cs="Calibri"/>
        </w:rPr>
        <w:t>WiORB</w:t>
      </w:r>
      <w:r w:rsidRPr="00A23FB4">
        <w:rPr>
          <w:rFonts w:asciiTheme="minorHAnsi" w:hAnsiTheme="minorHAnsi" w:cs="Calibri"/>
        </w:rPr>
        <w:t xml:space="preserve"> D-M-00.00.00 „Wymagania ogólne” pkt 1.5.</w:t>
      </w:r>
    </w:p>
    <w:p w14:paraId="5CB1E349" w14:textId="77777777" w:rsidR="00E719D4" w:rsidRPr="00A23FB4" w:rsidRDefault="00E719D4" w:rsidP="00E719D4">
      <w:pPr>
        <w:rPr>
          <w:rFonts w:asciiTheme="minorHAnsi" w:hAnsiTheme="minorHAnsi" w:cs="Calibri"/>
          <w:b/>
        </w:rPr>
      </w:pPr>
      <w:bookmarkStart w:id="905" w:name="_Toc428677174"/>
      <w:bookmarkStart w:id="906" w:name="_Toc235080362"/>
    </w:p>
    <w:p w14:paraId="2F694944" w14:textId="77777777" w:rsidR="00413511" w:rsidRPr="00A23FB4" w:rsidRDefault="00413511" w:rsidP="00E719D4">
      <w:pPr>
        <w:rPr>
          <w:rFonts w:asciiTheme="minorHAnsi" w:hAnsiTheme="minorHAnsi" w:cs="Calibri"/>
          <w:b/>
        </w:rPr>
      </w:pPr>
      <w:r w:rsidRPr="00A23FB4">
        <w:rPr>
          <w:rFonts w:asciiTheme="minorHAnsi" w:hAnsiTheme="minorHAnsi" w:cs="Calibri"/>
          <w:b/>
        </w:rPr>
        <w:t>2. MATERIAŁY</w:t>
      </w:r>
      <w:bookmarkEnd w:id="905"/>
      <w:bookmarkEnd w:id="906"/>
    </w:p>
    <w:p w14:paraId="752C7A7C" w14:textId="77777777" w:rsidR="00413511" w:rsidRPr="00A23FB4" w:rsidRDefault="00413511" w:rsidP="00413511">
      <w:pPr>
        <w:pStyle w:val="Nagwek4"/>
        <w:tabs>
          <w:tab w:val="left" w:pos="9914"/>
        </w:tabs>
        <w:rPr>
          <w:rFonts w:asciiTheme="minorHAnsi" w:hAnsiTheme="minorHAnsi" w:cs="Calibri"/>
        </w:rPr>
      </w:pPr>
      <w:bookmarkStart w:id="907" w:name="_Toc235080363"/>
      <w:r w:rsidRPr="00A23FB4">
        <w:rPr>
          <w:rFonts w:asciiTheme="minorHAnsi" w:hAnsiTheme="minorHAnsi" w:cs="Calibri"/>
        </w:rPr>
        <w:t>2.1. Ogólne wymagania dotyczące materiałów</w:t>
      </w:r>
      <w:bookmarkEnd w:id="907"/>
    </w:p>
    <w:p w14:paraId="4663DD82" w14:textId="1EEB9719" w:rsidR="00413511" w:rsidRPr="00A23FB4" w:rsidRDefault="00413511" w:rsidP="00413511">
      <w:pPr>
        <w:spacing w:before="120"/>
        <w:rPr>
          <w:rFonts w:asciiTheme="minorHAnsi" w:hAnsiTheme="minorHAnsi" w:cs="Calibri"/>
        </w:rPr>
      </w:pPr>
      <w:r w:rsidRPr="00A23FB4">
        <w:rPr>
          <w:rFonts w:asciiTheme="minorHAnsi" w:hAnsiTheme="minorHAnsi" w:cs="Calibri"/>
        </w:rPr>
        <w:t xml:space="preserve">Ogólne wymagania dotyczące materiałów, ich pozyskiwania i składowania, podano w  </w:t>
      </w:r>
      <w:r w:rsidR="00865C6C">
        <w:rPr>
          <w:rFonts w:asciiTheme="minorHAnsi" w:hAnsiTheme="minorHAnsi" w:cs="Calibri"/>
        </w:rPr>
        <w:t>ST</w:t>
      </w:r>
      <w:r w:rsidRPr="00A23FB4">
        <w:rPr>
          <w:rFonts w:asciiTheme="minorHAnsi" w:hAnsiTheme="minorHAnsi" w:cs="Calibri"/>
        </w:rPr>
        <w:t>WiORB D-M-00.00.00 „Wymagania ogólne” pkt 2.</w:t>
      </w:r>
    </w:p>
    <w:p w14:paraId="0035A4D0" w14:textId="77777777" w:rsidR="00B20386" w:rsidRPr="00A23FB4" w:rsidRDefault="00B20386" w:rsidP="00413511">
      <w:pPr>
        <w:spacing w:before="120"/>
        <w:rPr>
          <w:rFonts w:asciiTheme="minorHAnsi" w:hAnsiTheme="minorHAnsi" w:cs="Calibri"/>
          <w:b/>
          <w:bCs/>
        </w:rPr>
      </w:pPr>
      <w:r w:rsidRPr="00A23FB4">
        <w:rPr>
          <w:rFonts w:asciiTheme="minorHAnsi" w:hAnsiTheme="minorHAnsi" w:cs="Calibri"/>
          <w:b/>
          <w:bCs/>
        </w:rPr>
        <w:t>2.2. Sadzonki drzew, krzewów</w:t>
      </w:r>
    </w:p>
    <w:p w14:paraId="25007836" w14:textId="77777777" w:rsidR="00B20386" w:rsidRPr="00A23FB4" w:rsidRDefault="00B20386" w:rsidP="00B20386">
      <w:pPr>
        <w:overflowPunct/>
        <w:jc w:val="left"/>
        <w:textAlignment w:val="auto"/>
        <w:rPr>
          <w:rFonts w:asciiTheme="minorHAnsi" w:eastAsia="Arial Unicode MS" w:hAnsiTheme="minorHAnsi" w:cs="Arial Unicode MS"/>
        </w:rPr>
      </w:pPr>
      <w:r w:rsidRPr="00A23FB4">
        <w:rPr>
          <w:rFonts w:asciiTheme="minorHAnsi" w:eastAsia="Arial Unicode MS" w:hAnsiTheme="minorHAnsi" w:cs="Arial Unicode MS"/>
        </w:rPr>
        <w:t>Do stosowania dopuszcza si</w:t>
      </w:r>
      <w:r w:rsidRPr="00A23FB4">
        <w:rPr>
          <w:rFonts w:asciiTheme="minorHAnsi" w:eastAsia="Arial Unicode MS" w:hAnsiTheme="minorHAnsi"/>
        </w:rPr>
        <w:t xml:space="preserve">ę </w:t>
      </w:r>
      <w:r w:rsidRPr="00A23FB4">
        <w:rPr>
          <w:rFonts w:asciiTheme="minorHAnsi" w:eastAsia="Arial Unicode MS" w:hAnsiTheme="minorHAnsi" w:cs="Arial Unicode MS"/>
        </w:rPr>
        <w:t>wy</w:t>
      </w:r>
      <w:r w:rsidRPr="00A23FB4">
        <w:rPr>
          <w:rFonts w:asciiTheme="minorHAnsi" w:eastAsia="Arial Unicode MS" w:hAnsiTheme="minorHAnsi"/>
        </w:rPr>
        <w:t>łą</w:t>
      </w:r>
      <w:r w:rsidRPr="00A23FB4">
        <w:rPr>
          <w:rFonts w:asciiTheme="minorHAnsi" w:eastAsia="Arial Unicode MS" w:hAnsiTheme="minorHAnsi" w:cs="Arial Unicode MS"/>
        </w:rPr>
        <w:t>cznie sadzonki w formie, wieku i rozmiarach okre</w:t>
      </w:r>
      <w:r w:rsidRPr="00A23FB4">
        <w:rPr>
          <w:rFonts w:asciiTheme="minorHAnsi" w:eastAsia="Arial Unicode MS" w:hAnsiTheme="minorHAnsi"/>
        </w:rPr>
        <w:t>ś</w:t>
      </w:r>
      <w:r w:rsidRPr="00A23FB4">
        <w:rPr>
          <w:rFonts w:asciiTheme="minorHAnsi" w:eastAsia="Arial Unicode MS" w:hAnsiTheme="minorHAnsi" w:cs="Arial Unicode MS"/>
        </w:rPr>
        <w:t xml:space="preserve">lonych w Dokumentacji Projektowej. </w:t>
      </w:r>
    </w:p>
    <w:p w14:paraId="1E106F63" w14:textId="77777777" w:rsidR="00B20386" w:rsidRPr="00A23FB4" w:rsidRDefault="00B20386" w:rsidP="00B20386">
      <w:pPr>
        <w:overflowPunct/>
        <w:jc w:val="left"/>
        <w:textAlignment w:val="auto"/>
        <w:rPr>
          <w:rFonts w:asciiTheme="minorHAnsi" w:eastAsia="Arial Unicode MS" w:hAnsiTheme="minorHAnsi" w:cs="Arial Unicode MS"/>
        </w:rPr>
      </w:pPr>
      <w:r w:rsidRPr="00A23FB4">
        <w:rPr>
          <w:rFonts w:asciiTheme="minorHAnsi" w:eastAsia="Arial Unicode MS" w:hAnsiTheme="minorHAnsi" w:cs="Arial Unicode MS"/>
        </w:rPr>
        <w:t>Sadzonki drzew i krzew</w:t>
      </w:r>
      <w:r w:rsidRPr="00A23FB4">
        <w:rPr>
          <w:rFonts w:asciiTheme="minorHAnsi" w:eastAsia="Arial Unicode MS" w:hAnsiTheme="minorHAnsi"/>
        </w:rPr>
        <w:t>ó</w:t>
      </w:r>
      <w:r w:rsidRPr="00A23FB4">
        <w:rPr>
          <w:rFonts w:asciiTheme="minorHAnsi" w:eastAsia="Arial Unicode MS" w:hAnsiTheme="minorHAnsi" w:cs="Arial Unicode MS"/>
        </w:rPr>
        <w:t>w powinny by</w:t>
      </w:r>
      <w:r w:rsidRPr="00A23FB4">
        <w:rPr>
          <w:rFonts w:asciiTheme="minorHAnsi" w:eastAsia="Arial Unicode MS" w:hAnsiTheme="minorHAnsi"/>
        </w:rPr>
        <w:t xml:space="preserve">ć </w:t>
      </w:r>
      <w:r w:rsidRPr="00A23FB4">
        <w:rPr>
          <w:rFonts w:asciiTheme="minorHAnsi" w:eastAsia="Arial Unicode MS" w:hAnsiTheme="minorHAnsi" w:cs="Arial Unicode MS"/>
        </w:rPr>
        <w:t>zdrowe, bez uszkodze</w:t>
      </w:r>
      <w:r w:rsidRPr="00A23FB4">
        <w:rPr>
          <w:rFonts w:asciiTheme="minorHAnsi" w:eastAsia="Arial Unicode MS" w:hAnsiTheme="minorHAnsi"/>
        </w:rPr>
        <w:t xml:space="preserve">ń </w:t>
      </w:r>
      <w:r w:rsidRPr="00A23FB4">
        <w:rPr>
          <w:rFonts w:asciiTheme="minorHAnsi" w:eastAsia="Arial Unicode MS" w:hAnsiTheme="minorHAnsi" w:cs="Arial Unicode MS"/>
        </w:rPr>
        <w:t>i objaw</w:t>
      </w:r>
      <w:r w:rsidRPr="00A23FB4">
        <w:rPr>
          <w:rFonts w:asciiTheme="minorHAnsi" w:eastAsia="Arial Unicode MS" w:hAnsiTheme="minorHAnsi"/>
        </w:rPr>
        <w:t>ó</w:t>
      </w:r>
      <w:r w:rsidRPr="00A23FB4">
        <w:rPr>
          <w:rFonts w:asciiTheme="minorHAnsi" w:eastAsia="Arial Unicode MS" w:hAnsiTheme="minorHAnsi" w:cs="Arial Unicode MS"/>
        </w:rPr>
        <w:t>w chorobowych, prawid</w:t>
      </w:r>
      <w:r w:rsidRPr="00A23FB4">
        <w:rPr>
          <w:rFonts w:asciiTheme="minorHAnsi" w:eastAsia="Arial Unicode MS" w:hAnsiTheme="minorHAnsi"/>
        </w:rPr>
        <w:t>ł</w:t>
      </w:r>
      <w:r w:rsidRPr="00A23FB4">
        <w:rPr>
          <w:rFonts w:asciiTheme="minorHAnsi" w:eastAsia="Arial Unicode MS" w:hAnsiTheme="minorHAnsi" w:cs="Arial Unicode MS"/>
        </w:rPr>
        <w:t>owo uformowane, z zachowaniem pokroju charakterystycznego dla gatunku i odmiany, odpowiadaj</w:t>
      </w:r>
      <w:r w:rsidRPr="00A23FB4">
        <w:rPr>
          <w:rFonts w:asciiTheme="minorHAnsi" w:eastAsia="Arial Unicode MS" w:hAnsiTheme="minorHAnsi"/>
        </w:rPr>
        <w:t>ą</w:t>
      </w:r>
      <w:r w:rsidRPr="00A23FB4">
        <w:rPr>
          <w:rFonts w:asciiTheme="minorHAnsi" w:eastAsia="Arial Unicode MS" w:hAnsiTheme="minorHAnsi" w:cs="Arial Unicode MS"/>
        </w:rPr>
        <w:t>ce wymaganiom I klasy jako</w:t>
      </w:r>
      <w:r w:rsidRPr="00A23FB4">
        <w:rPr>
          <w:rFonts w:asciiTheme="minorHAnsi" w:eastAsia="Arial Unicode MS" w:hAnsiTheme="minorHAnsi"/>
        </w:rPr>
        <w:t>ś</w:t>
      </w:r>
      <w:r w:rsidRPr="00A23FB4">
        <w:rPr>
          <w:rFonts w:asciiTheme="minorHAnsi" w:eastAsia="Arial Unicode MS" w:hAnsiTheme="minorHAnsi" w:cs="Arial Unicode MS"/>
        </w:rPr>
        <w:t>ci wg normy PN-R-67026:2002. Dostarczone sadzonki powinny by</w:t>
      </w:r>
      <w:r w:rsidRPr="00A23FB4">
        <w:rPr>
          <w:rFonts w:asciiTheme="minorHAnsi" w:eastAsia="Arial Unicode MS" w:hAnsiTheme="minorHAnsi"/>
        </w:rPr>
        <w:t xml:space="preserve">ć </w:t>
      </w:r>
      <w:r w:rsidRPr="00A23FB4">
        <w:rPr>
          <w:rFonts w:asciiTheme="minorHAnsi" w:eastAsia="Arial Unicode MS" w:hAnsiTheme="minorHAnsi" w:cs="Arial Unicode MS"/>
        </w:rPr>
        <w:t>w</w:t>
      </w:r>
      <w:r w:rsidRPr="00A23FB4">
        <w:rPr>
          <w:rFonts w:asciiTheme="minorHAnsi" w:eastAsia="Arial Unicode MS" w:hAnsiTheme="minorHAnsi"/>
        </w:rPr>
        <w:t>ł</w:t>
      </w:r>
      <w:r w:rsidRPr="00A23FB4">
        <w:rPr>
          <w:rFonts w:asciiTheme="minorHAnsi" w:eastAsia="Arial Unicode MS" w:hAnsiTheme="minorHAnsi" w:cs="Arial Unicode MS"/>
        </w:rPr>
        <w:t>a</w:t>
      </w:r>
      <w:r w:rsidRPr="00A23FB4">
        <w:rPr>
          <w:rFonts w:asciiTheme="minorHAnsi" w:eastAsia="Arial Unicode MS" w:hAnsiTheme="minorHAnsi"/>
        </w:rPr>
        <w:t>ś</w:t>
      </w:r>
      <w:r w:rsidRPr="00A23FB4">
        <w:rPr>
          <w:rFonts w:asciiTheme="minorHAnsi" w:eastAsia="Arial Unicode MS" w:hAnsiTheme="minorHAnsi" w:cs="Arial Unicode MS"/>
        </w:rPr>
        <w:t xml:space="preserve">ciwie oznaczone (przynajmniej nazwa polska i </w:t>
      </w:r>
      <w:r w:rsidRPr="00A23FB4">
        <w:rPr>
          <w:rFonts w:asciiTheme="minorHAnsi" w:eastAsia="Arial Unicode MS" w:hAnsiTheme="minorHAnsi"/>
        </w:rPr>
        <w:t>ł</w:t>
      </w:r>
      <w:r w:rsidRPr="00A23FB4">
        <w:rPr>
          <w:rFonts w:asciiTheme="minorHAnsi" w:eastAsia="Arial Unicode MS" w:hAnsiTheme="minorHAnsi" w:cs="Arial Unicode MS"/>
        </w:rPr>
        <w:t>aci</w:t>
      </w:r>
      <w:r w:rsidRPr="00A23FB4">
        <w:rPr>
          <w:rFonts w:asciiTheme="minorHAnsi" w:eastAsia="Arial Unicode MS" w:hAnsiTheme="minorHAnsi"/>
        </w:rPr>
        <w:t>ń</w:t>
      </w:r>
      <w:r w:rsidRPr="00A23FB4">
        <w:rPr>
          <w:rFonts w:asciiTheme="minorHAnsi" w:eastAsia="Arial Unicode MS" w:hAnsiTheme="minorHAnsi" w:cs="Arial Unicode MS"/>
        </w:rPr>
        <w:t>ska oraz wiek). Wady niedopuszczalne materia</w:t>
      </w:r>
      <w:r w:rsidRPr="00A23FB4">
        <w:rPr>
          <w:rFonts w:asciiTheme="minorHAnsi" w:eastAsia="Arial Unicode MS" w:hAnsiTheme="minorHAnsi"/>
        </w:rPr>
        <w:t>ł</w:t>
      </w:r>
      <w:r w:rsidRPr="00A23FB4">
        <w:rPr>
          <w:rFonts w:asciiTheme="minorHAnsi" w:eastAsia="Arial Unicode MS" w:hAnsiTheme="minorHAnsi" w:cs="Arial Unicode MS"/>
        </w:rPr>
        <w:t xml:space="preserve">u sadzeniowego: </w:t>
      </w:r>
    </w:p>
    <w:p w14:paraId="778DDA90" w14:textId="77777777" w:rsidR="00B20386" w:rsidRPr="00A23FB4" w:rsidRDefault="00B20386" w:rsidP="00B20386">
      <w:pPr>
        <w:overflowPunct/>
        <w:jc w:val="left"/>
        <w:textAlignment w:val="auto"/>
        <w:rPr>
          <w:rFonts w:asciiTheme="minorHAnsi" w:eastAsia="Arial Unicode MS" w:hAnsiTheme="minorHAnsi" w:cs="Arial Unicode MS"/>
        </w:rPr>
      </w:pPr>
      <w:r w:rsidRPr="00A23FB4">
        <w:rPr>
          <w:rFonts w:asciiTheme="minorHAnsi" w:eastAsia="Arial Unicode MS" w:hAnsiTheme="minorHAnsi" w:cs="Arial Unicode MS"/>
        </w:rPr>
        <w:t>- silne uszkodzenie mechaniczne ro</w:t>
      </w:r>
      <w:r w:rsidRPr="00A23FB4">
        <w:rPr>
          <w:rFonts w:asciiTheme="minorHAnsi" w:eastAsia="Arial Unicode MS" w:hAnsiTheme="minorHAnsi"/>
        </w:rPr>
        <w:t>ś</w:t>
      </w:r>
      <w:r w:rsidRPr="00A23FB4">
        <w:rPr>
          <w:rFonts w:asciiTheme="minorHAnsi" w:eastAsia="Arial Unicode MS" w:hAnsiTheme="minorHAnsi" w:cs="Arial Unicode MS"/>
        </w:rPr>
        <w:t xml:space="preserve">lin, </w:t>
      </w:r>
    </w:p>
    <w:p w14:paraId="1806CFF5" w14:textId="77777777" w:rsidR="00B20386" w:rsidRPr="00A23FB4" w:rsidRDefault="00B20386" w:rsidP="00B20386">
      <w:pPr>
        <w:overflowPunct/>
        <w:jc w:val="left"/>
        <w:textAlignment w:val="auto"/>
        <w:rPr>
          <w:rFonts w:asciiTheme="minorHAnsi" w:eastAsia="Arial Unicode MS" w:hAnsiTheme="minorHAnsi" w:cs="Arial Unicode MS"/>
        </w:rPr>
      </w:pPr>
      <w:r w:rsidRPr="00A23FB4">
        <w:rPr>
          <w:rFonts w:asciiTheme="minorHAnsi" w:eastAsia="Arial Unicode MS" w:hAnsiTheme="minorHAnsi" w:cs="Arial Unicode MS"/>
        </w:rPr>
        <w:t xml:space="preserve">- </w:t>
      </w:r>
      <w:r w:rsidRPr="00A23FB4">
        <w:rPr>
          <w:rFonts w:asciiTheme="minorHAnsi" w:eastAsia="Arial Unicode MS" w:hAnsiTheme="minorHAnsi"/>
        </w:rPr>
        <w:t>ś</w:t>
      </w:r>
      <w:r w:rsidRPr="00A23FB4">
        <w:rPr>
          <w:rFonts w:asciiTheme="minorHAnsi" w:eastAsia="Arial Unicode MS" w:hAnsiTheme="minorHAnsi" w:cs="Arial Unicode MS"/>
        </w:rPr>
        <w:t xml:space="preserve">lady </w:t>
      </w:r>
      <w:r w:rsidRPr="00A23FB4">
        <w:rPr>
          <w:rFonts w:asciiTheme="minorHAnsi" w:eastAsia="Arial Unicode MS" w:hAnsiTheme="minorHAnsi"/>
        </w:rPr>
        <w:t>ż</w:t>
      </w:r>
      <w:r w:rsidRPr="00A23FB4">
        <w:rPr>
          <w:rFonts w:asciiTheme="minorHAnsi" w:eastAsia="Arial Unicode MS" w:hAnsiTheme="minorHAnsi" w:cs="Arial Unicode MS"/>
        </w:rPr>
        <w:t>erowania szkodnik</w:t>
      </w:r>
      <w:r w:rsidRPr="00A23FB4">
        <w:rPr>
          <w:rFonts w:asciiTheme="minorHAnsi" w:eastAsia="Arial Unicode MS" w:hAnsiTheme="minorHAnsi"/>
        </w:rPr>
        <w:t>ó</w:t>
      </w:r>
      <w:r w:rsidRPr="00A23FB4">
        <w:rPr>
          <w:rFonts w:asciiTheme="minorHAnsi" w:eastAsia="Arial Unicode MS" w:hAnsiTheme="minorHAnsi" w:cs="Arial Unicode MS"/>
        </w:rPr>
        <w:t xml:space="preserve">w, </w:t>
      </w:r>
    </w:p>
    <w:p w14:paraId="5864B767" w14:textId="77777777" w:rsidR="00B20386" w:rsidRPr="00A23FB4" w:rsidRDefault="00B20386" w:rsidP="00B20386">
      <w:pPr>
        <w:overflowPunct/>
        <w:jc w:val="left"/>
        <w:textAlignment w:val="auto"/>
        <w:rPr>
          <w:rFonts w:asciiTheme="minorHAnsi" w:eastAsia="Arial Unicode MS" w:hAnsiTheme="minorHAnsi" w:cs="Arial Unicode MS"/>
        </w:rPr>
      </w:pPr>
      <w:r w:rsidRPr="00A23FB4">
        <w:rPr>
          <w:rFonts w:asciiTheme="minorHAnsi" w:eastAsia="Arial Unicode MS" w:hAnsiTheme="minorHAnsi" w:cs="Arial Unicode MS"/>
        </w:rPr>
        <w:t>- oznaki chorobowe, -zwi</w:t>
      </w:r>
      <w:r w:rsidRPr="00A23FB4">
        <w:rPr>
          <w:rFonts w:asciiTheme="minorHAnsi" w:eastAsia="Arial Unicode MS" w:hAnsiTheme="minorHAnsi"/>
        </w:rPr>
        <w:t>ę</w:t>
      </w:r>
      <w:r w:rsidRPr="00A23FB4">
        <w:rPr>
          <w:rFonts w:asciiTheme="minorHAnsi" w:eastAsia="Arial Unicode MS" w:hAnsiTheme="minorHAnsi" w:cs="Arial Unicode MS"/>
        </w:rPr>
        <w:t>dni</w:t>
      </w:r>
      <w:r w:rsidRPr="00A23FB4">
        <w:rPr>
          <w:rFonts w:asciiTheme="minorHAnsi" w:eastAsia="Arial Unicode MS" w:hAnsiTheme="minorHAnsi"/>
        </w:rPr>
        <w:t>ę</w:t>
      </w:r>
      <w:r w:rsidRPr="00A23FB4">
        <w:rPr>
          <w:rFonts w:asciiTheme="minorHAnsi" w:eastAsia="Arial Unicode MS" w:hAnsiTheme="minorHAnsi" w:cs="Arial Unicode MS"/>
        </w:rPr>
        <w:t>cie i pomarszczenie kory na korzeniach i cz</w:t>
      </w:r>
      <w:r w:rsidRPr="00A23FB4">
        <w:rPr>
          <w:rFonts w:asciiTheme="minorHAnsi" w:eastAsia="Arial Unicode MS" w:hAnsiTheme="minorHAnsi"/>
        </w:rPr>
        <w:t>ęś</w:t>
      </w:r>
      <w:r w:rsidRPr="00A23FB4">
        <w:rPr>
          <w:rFonts w:asciiTheme="minorHAnsi" w:eastAsia="Arial Unicode MS" w:hAnsiTheme="minorHAnsi" w:cs="Arial Unicode MS"/>
        </w:rPr>
        <w:t xml:space="preserve">ciach nadziemnych, </w:t>
      </w:r>
    </w:p>
    <w:p w14:paraId="2ADCDC9C" w14:textId="77777777" w:rsidR="00B20386" w:rsidRPr="00A23FB4" w:rsidRDefault="00B20386" w:rsidP="00B20386">
      <w:pPr>
        <w:overflowPunct/>
        <w:jc w:val="left"/>
        <w:textAlignment w:val="auto"/>
        <w:rPr>
          <w:rFonts w:asciiTheme="minorHAnsi" w:eastAsia="Arial Unicode MS" w:hAnsiTheme="minorHAnsi" w:cs="Arial Unicode MS"/>
        </w:rPr>
      </w:pPr>
      <w:r w:rsidRPr="00A23FB4">
        <w:rPr>
          <w:rFonts w:asciiTheme="minorHAnsi" w:eastAsia="Arial Unicode MS" w:hAnsiTheme="minorHAnsi" w:cs="Arial Unicode MS"/>
        </w:rPr>
        <w:t>- martwice i p</w:t>
      </w:r>
      <w:r w:rsidRPr="00A23FB4">
        <w:rPr>
          <w:rFonts w:asciiTheme="minorHAnsi" w:eastAsia="Arial Unicode MS" w:hAnsiTheme="minorHAnsi"/>
        </w:rPr>
        <w:t>ę</w:t>
      </w:r>
      <w:r w:rsidRPr="00A23FB4">
        <w:rPr>
          <w:rFonts w:asciiTheme="minorHAnsi" w:eastAsia="Arial Unicode MS" w:hAnsiTheme="minorHAnsi" w:cs="Arial Unicode MS"/>
        </w:rPr>
        <w:t>kni</w:t>
      </w:r>
      <w:r w:rsidRPr="00A23FB4">
        <w:rPr>
          <w:rFonts w:asciiTheme="minorHAnsi" w:eastAsia="Arial Unicode MS" w:hAnsiTheme="minorHAnsi"/>
        </w:rPr>
        <w:t>ę</w:t>
      </w:r>
      <w:r w:rsidRPr="00A23FB4">
        <w:rPr>
          <w:rFonts w:asciiTheme="minorHAnsi" w:eastAsia="Arial Unicode MS" w:hAnsiTheme="minorHAnsi" w:cs="Arial Unicode MS"/>
        </w:rPr>
        <w:t xml:space="preserve">cia kory na przewodniku, </w:t>
      </w:r>
    </w:p>
    <w:p w14:paraId="76081F9D" w14:textId="77777777" w:rsidR="00B20386" w:rsidRPr="00A23FB4" w:rsidRDefault="00B20386" w:rsidP="00B20386">
      <w:pPr>
        <w:overflowPunct/>
        <w:jc w:val="left"/>
        <w:textAlignment w:val="auto"/>
        <w:rPr>
          <w:rFonts w:asciiTheme="minorHAnsi" w:eastAsia="Arial Unicode MS" w:hAnsiTheme="minorHAnsi" w:cs="Arial Unicode MS"/>
        </w:rPr>
      </w:pPr>
      <w:r w:rsidRPr="00A23FB4">
        <w:rPr>
          <w:rFonts w:asciiTheme="minorHAnsi" w:eastAsia="Arial Unicode MS" w:hAnsiTheme="minorHAnsi" w:cs="Arial Unicode MS"/>
        </w:rPr>
        <w:t>- uszkodzenie p</w:t>
      </w:r>
      <w:r w:rsidRPr="00A23FB4">
        <w:rPr>
          <w:rFonts w:asciiTheme="minorHAnsi" w:eastAsia="Arial Unicode MS" w:hAnsiTheme="minorHAnsi"/>
        </w:rPr>
        <w:t>ą</w:t>
      </w:r>
      <w:r w:rsidRPr="00A23FB4">
        <w:rPr>
          <w:rFonts w:asciiTheme="minorHAnsi" w:eastAsia="Arial Unicode MS" w:hAnsiTheme="minorHAnsi" w:cs="Arial Unicode MS"/>
        </w:rPr>
        <w:t xml:space="preserve">ka szczytowego przewodnika, </w:t>
      </w:r>
    </w:p>
    <w:p w14:paraId="30B1CD29" w14:textId="77777777" w:rsidR="00B20386" w:rsidRPr="00A23FB4" w:rsidRDefault="00B20386" w:rsidP="00B20386">
      <w:pPr>
        <w:overflowPunct/>
        <w:jc w:val="left"/>
        <w:textAlignment w:val="auto"/>
        <w:rPr>
          <w:rFonts w:asciiTheme="minorHAnsi" w:eastAsia="Arial Unicode MS" w:hAnsiTheme="minorHAnsi" w:cs="Arial Unicode MS"/>
        </w:rPr>
      </w:pPr>
      <w:r w:rsidRPr="00A23FB4">
        <w:rPr>
          <w:rFonts w:asciiTheme="minorHAnsi" w:eastAsia="Arial Unicode MS" w:hAnsiTheme="minorHAnsi" w:cs="Arial Unicode MS"/>
        </w:rPr>
        <w:t>- dwup</w:t>
      </w:r>
      <w:r w:rsidRPr="00A23FB4">
        <w:rPr>
          <w:rFonts w:asciiTheme="minorHAnsi" w:eastAsia="Arial Unicode MS" w:hAnsiTheme="minorHAnsi"/>
        </w:rPr>
        <w:t>ę</w:t>
      </w:r>
      <w:r w:rsidRPr="00A23FB4">
        <w:rPr>
          <w:rFonts w:asciiTheme="minorHAnsi" w:eastAsia="Arial Unicode MS" w:hAnsiTheme="minorHAnsi" w:cs="Arial Unicode MS"/>
        </w:rPr>
        <w:t xml:space="preserve">dowe korony drzew formy piennej, </w:t>
      </w:r>
    </w:p>
    <w:p w14:paraId="301872F0" w14:textId="77777777" w:rsidR="00B20386" w:rsidRPr="00A23FB4" w:rsidRDefault="00B20386" w:rsidP="00B20386">
      <w:pPr>
        <w:overflowPunct/>
        <w:jc w:val="left"/>
        <w:textAlignment w:val="auto"/>
        <w:rPr>
          <w:rFonts w:asciiTheme="minorHAnsi" w:eastAsia="Arial Unicode MS" w:hAnsiTheme="minorHAnsi" w:cs="Arial Unicode MS"/>
        </w:rPr>
      </w:pPr>
      <w:r w:rsidRPr="00A23FB4">
        <w:rPr>
          <w:rFonts w:asciiTheme="minorHAnsi" w:eastAsia="Arial Unicode MS" w:hAnsiTheme="minorHAnsi" w:cs="Arial Unicode MS"/>
        </w:rPr>
        <w:t>- uszkodzenie lub przesuszenie bry</w:t>
      </w:r>
      <w:r w:rsidRPr="00A23FB4">
        <w:rPr>
          <w:rFonts w:asciiTheme="minorHAnsi" w:eastAsia="Arial Unicode MS" w:hAnsiTheme="minorHAnsi"/>
        </w:rPr>
        <w:t>ł</w:t>
      </w:r>
      <w:r w:rsidRPr="00A23FB4">
        <w:rPr>
          <w:rFonts w:asciiTheme="minorHAnsi" w:eastAsia="Arial Unicode MS" w:hAnsiTheme="minorHAnsi" w:cs="Arial Unicode MS"/>
        </w:rPr>
        <w:t xml:space="preserve">y korzeniowej, </w:t>
      </w:r>
    </w:p>
    <w:p w14:paraId="34FE413F" w14:textId="77777777" w:rsidR="00B20386" w:rsidRPr="00A23FB4" w:rsidRDefault="00B20386" w:rsidP="00B20386">
      <w:pPr>
        <w:overflowPunct/>
        <w:jc w:val="left"/>
        <w:textAlignment w:val="auto"/>
        <w:rPr>
          <w:rFonts w:asciiTheme="minorHAnsi" w:eastAsia="Arial Unicode MS" w:hAnsiTheme="minorHAnsi" w:cs="Arial Unicode MS"/>
        </w:rPr>
      </w:pPr>
      <w:r w:rsidRPr="00A23FB4">
        <w:rPr>
          <w:rFonts w:asciiTheme="minorHAnsi" w:eastAsia="Arial Unicode MS" w:hAnsiTheme="minorHAnsi" w:cs="Arial Unicode MS"/>
        </w:rPr>
        <w:t>- odrosty podk</w:t>
      </w:r>
      <w:r w:rsidRPr="00A23FB4">
        <w:rPr>
          <w:rFonts w:asciiTheme="minorHAnsi" w:eastAsia="Arial Unicode MS" w:hAnsiTheme="minorHAnsi"/>
        </w:rPr>
        <w:t>ł</w:t>
      </w:r>
      <w:r w:rsidRPr="00A23FB4">
        <w:rPr>
          <w:rFonts w:asciiTheme="minorHAnsi" w:eastAsia="Arial Unicode MS" w:hAnsiTheme="minorHAnsi" w:cs="Arial Unicode MS"/>
        </w:rPr>
        <w:t>adki poni</w:t>
      </w:r>
      <w:r w:rsidRPr="00A23FB4">
        <w:rPr>
          <w:rFonts w:asciiTheme="minorHAnsi" w:eastAsia="Arial Unicode MS" w:hAnsiTheme="minorHAnsi"/>
        </w:rPr>
        <w:t>ż</w:t>
      </w:r>
      <w:r w:rsidRPr="00A23FB4">
        <w:rPr>
          <w:rFonts w:asciiTheme="minorHAnsi" w:eastAsia="Arial Unicode MS" w:hAnsiTheme="minorHAnsi" w:cs="Arial Unicode MS"/>
        </w:rPr>
        <w:t xml:space="preserve">ej miejsca szczepienia, </w:t>
      </w:r>
    </w:p>
    <w:p w14:paraId="1919E27C" w14:textId="77777777" w:rsidR="00B20386" w:rsidRPr="00A23FB4" w:rsidRDefault="00B20386" w:rsidP="00B20386">
      <w:pPr>
        <w:overflowPunct/>
        <w:jc w:val="left"/>
        <w:textAlignment w:val="auto"/>
        <w:rPr>
          <w:rFonts w:asciiTheme="minorHAnsi" w:eastAsia="Arial Unicode MS" w:hAnsiTheme="minorHAnsi" w:cs="Arial Unicode MS"/>
        </w:rPr>
      </w:pPr>
      <w:r w:rsidRPr="00A23FB4">
        <w:rPr>
          <w:rFonts w:asciiTheme="minorHAnsi" w:eastAsia="Arial Unicode MS" w:hAnsiTheme="minorHAnsi" w:cs="Arial Unicode MS"/>
        </w:rPr>
        <w:t>- z</w:t>
      </w:r>
      <w:r w:rsidRPr="00A23FB4">
        <w:rPr>
          <w:rFonts w:asciiTheme="minorHAnsi" w:eastAsia="Arial Unicode MS" w:hAnsiTheme="minorHAnsi"/>
        </w:rPr>
        <w:t>ł</w:t>
      </w:r>
      <w:r w:rsidRPr="00A23FB4">
        <w:rPr>
          <w:rFonts w:asciiTheme="minorHAnsi" w:eastAsia="Arial Unicode MS" w:hAnsiTheme="minorHAnsi" w:cs="Arial Unicode MS"/>
        </w:rPr>
        <w:t>e zro</w:t>
      </w:r>
      <w:r w:rsidRPr="00A23FB4">
        <w:rPr>
          <w:rFonts w:asciiTheme="minorHAnsi" w:eastAsia="Arial Unicode MS" w:hAnsiTheme="minorHAnsi"/>
        </w:rPr>
        <w:t>ś</w:t>
      </w:r>
      <w:r w:rsidRPr="00A23FB4">
        <w:rPr>
          <w:rFonts w:asciiTheme="minorHAnsi" w:eastAsia="Arial Unicode MS" w:hAnsiTheme="minorHAnsi" w:cs="Arial Unicode MS"/>
        </w:rPr>
        <w:t>ni</w:t>
      </w:r>
      <w:r w:rsidRPr="00A23FB4">
        <w:rPr>
          <w:rFonts w:asciiTheme="minorHAnsi" w:eastAsia="Arial Unicode MS" w:hAnsiTheme="minorHAnsi"/>
        </w:rPr>
        <w:t>ę</w:t>
      </w:r>
      <w:r w:rsidRPr="00A23FB4">
        <w:rPr>
          <w:rFonts w:asciiTheme="minorHAnsi" w:eastAsia="Arial Unicode MS" w:hAnsiTheme="minorHAnsi" w:cs="Arial Unicode MS"/>
        </w:rPr>
        <w:t>cie odmiany szczepionej z podk</w:t>
      </w:r>
      <w:r w:rsidRPr="00A23FB4">
        <w:rPr>
          <w:rFonts w:asciiTheme="minorHAnsi" w:eastAsia="Arial Unicode MS" w:hAnsiTheme="minorHAnsi"/>
        </w:rPr>
        <w:t>ł</w:t>
      </w:r>
      <w:r w:rsidRPr="00A23FB4">
        <w:rPr>
          <w:rFonts w:asciiTheme="minorHAnsi" w:eastAsia="Arial Unicode MS" w:hAnsiTheme="minorHAnsi" w:cs="Arial Unicode MS"/>
        </w:rPr>
        <w:t>adk</w:t>
      </w:r>
      <w:r w:rsidRPr="00A23FB4">
        <w:rPr>
          <w:rFonts w:asciiTheme="minorHAnsi" w:eastAsia="Arial Unicode MS" w:hAnsiTheme="minorHAnsi"/>
        </w:rPr>
        <w:t>ą</w:t>
      </w:r>
      <w:r w:rsidRPr="00A23FB4">
        <w:rPr>
          <w:rFonts w:asciiTheme="minorHAnsi" w:eastAsia="Arial Unicode MS" w:hAnsiTheme="minorHAnsi" w:cs="Arial Unicode MS"/>
        </w:rPr>
        <w:t xml:space="preserve">, </w:t>
      </w:r>
    </w:p>
    <w:p w14:paraId="1112654C" w14:textId="77777777" w:rsidR="00B20386" w:rsidRPr="00A23FB4" w:rsidRDefault="00B20386" w:rsidP="00B20386">
      <w:pPr>
        <w:overflowPunct/>
        <w:jc w:val="left"/>
        <w:textAlignment w:val="auto"/>
        <w:rPr>
          <w:rFonts w:asciiTheme="minorHAnsi" w:eastAsia="Arial Unicode MS" w:hAnsiTheme="minorHAnsi" w:cs="Arial Unicode MS"/>
        </w:rPr>
      </w:pPr>
      <w:r w:rsidRPr="00A23FB4">
        <w:rPr>
          <w:rFonts w:asciiTheme="minorHAnsi" w:eastAsia="Arial Unicode MS" w:hAnsiTheme="minorHAnsi" w:cs="Arial Unicode MS"/>
        </w:rPr>
        <w:t>- wi</w:t>
      </w:r>
      <w:r w:rsidRPr="00A23FB4">
        <w:rPr>
          <w:rFonts w:asciiTheme="minorHAnsi" w:eastAsia="Arial Unicode MS" w:hAnsiTheme="minorHAnsi"/>
        </w:rPr>
        <w:t>ę</w:t>
      </w:r>
      <w:r w:rsidRPr="00A23FB4">
        <w:rPr>
          <w:rFonts w:asciiTheme="minorHAnsi" w:eastAsia="Arial Unicode MS" w:hAnsiTheme="minorHAnsi" w:cs="Arial Unicode MS"/>
        </w:rPr>
        <w:t>cej ni</w:t>
      </w:r>
      <w:r w:rsidRPr="00A23FB4">
        <w:rPr>
          <w:rFonts w:asciiTheme="minorHAnsi" w:eastAsia="Arial Unicode MS" w:hAnsiTheme="minorHAnsi"/>
        </w:rPr>
        <w:t xml:space="preserve">ż </w:t>
      </w:r>
      <w:r w:rsidRPr="00A23FB4">
        <w:rPr>
          <w:rFonts w:asciiTheme="minorHAnsi" w:eastAsia="Arial Unicode MS" w:hAnsiTheme="minorHAnsi" w:cs="Arial Unicode MS"/>
        </w:rPr>
        <w:t>4 nie w pe</w:t>
      </w:r>
      <w:r w:rsidRPr="00A23FB4">
        <w:rPr>
          <w:rFonts w:asciiTheme="minorHAnsi" w:eastAsia="Arial Unicode MS" w:hAnsiTheme="minorHAnsi"/>
        </w:rPr>
        <w:t>ł</w:t>
      </w:r>
      <w:r w:rsidRPr="00A23FB4">
        <w:rPr>
          <w:rFonts w:asciiTheme="minorHAnsi" w:eastAsia="Arial Unicode MS" w:hAnsiTheme="minorHAnsi" w:cs="Arial Unicode MS"/>
        </w:rPr>
        <w:t xml:space="preserve">ni zaleczone blizny na przewodniku, </w:t>
      </w:r>
    </w:p>
    <w:p w14:paraId="09C4DB92" w14:textId="77777777" w:rsidR="00B20386" w:rsidRPr="00A23FB4" w:rsidRDefault="00B20386" w:rsidP="00B20386">
      <w:pPr>
        <w:overflowPunct/>
        <w:jc w:val="left"/>
        <w:textAlignment w:val="auto"/>
        <w:rPr>
          <w:rFonts w:asciiTheme="minorHAnsi" w:eastAsia="Arial Unicode MS" w:hAnsiTheme="minorHAnsi" w:cs="Arial Unicode MS"/>
        </w:rPr>
      </w:pPr>
      <w:r w:rsidRPr="00A23FB4">
        <w:rPr>
          <w:rFonts w:asciiTheme="minorHAnsi" w:eastAsia="Arial Unicode MS" w:hAnsiTheme="minorHAnsi" w:cs="Arial Unicode MS"/>
        </w:rPr>
        <w:t>- objawy niew</w:t>
      </w:r>
      <w:r w:rsidRPr="00A23FB4">
        <w:rPr>
          <w:rFonts w:asciiTheme="minorHAnsi" w:eastAsia="Arial Unicode MS" w:hAnsiTheme="minorHAnsi"/>
        </w:rPr>
        <w:t>ł</w:t>
      </w:r>
      <w:r w:rsidRPr="00A23FB4">
        <w:rPr>
          <w:rFonts w:asciiTheme="minorHAnsi" w:eastAsia="Arial Unicode MS" w:hAnsiTheme="minorHAnsi" w:cs="Arial Unicode MS"/>
        </w:rPr>
        <w:t>a</w:t>
      </w:r>
      <w:r w:rsidRPr="00A23FB4">
        <w:rPr>
          <w:rFonts w:asciiTheme="minorHAnsi" w:eastAsia="Arial Unicode MS" w:hAnsiTheme="minorHAnsi"/>
        </w:rPr>
        <w:t>ś</w:t>
      </w:r>
      <w:r w:rsidRPr="00A23FB4">
        <w:rPr>
          <w:rFonts w:asciiTheme="minorHAnsi" w:eastAsia="Arial Unicode MS" w:hAnsiTheme="minorHAnsi" w:cs="Arial Unicode MS"/>
        </w:rPr>
        <w:t>ciwego nawo</w:t>
      </w:r>
      <w:r w:rsidRPr="00A23FB4">
        <w:rPr>
          <w:rFonts w:asciiTheme="minorHAnsi" w:eastAsia="Arial Unicode MS" w:hAnsiTheme="minorHAnsi"/>
        </w:rPr>
        <w:t>ż</w:t>
      </w:r>
      <w:r w:rsidRPr="00A23FB4">
        <w:rPr>
          <w:rFonts w:asciiTheme="minorHAnsi" w:eastAsia="Arial Unicode MS" w:hAnsiTheme="minorHAnsi" w:cs="Arial Unicode MS"/>
        </w:rPr>
        <w:t xml:space="preserve">enia i agrotechniki. </w:t>
      </w:r>
    </w:p>
    <w:p w14:paraId="6028240A" w14:textId="77777777" w:rsidR="00B20386" w:rsidRPr="00A23FB4" w:rsidRDefault="00B20386" w:rsidP="00B20386">
      <w:pPr>
        <w:spacing w:before="120"/>
        <w:rPr>
          <w:rFonts w:asciiTheme="minorHAnsi" w:hAnsiTheme="minorHAnsi" w:cs="Calibri"/>
        </w:rPr>
      </w:pPr>
      <w:r w:rsidRPr="00A23FB4">
        <w:rPr>
          <w:rFonts w:asciiTheme="minorHAnsi" w:eastAsia="Arial Unicode MS" w:hAnsiTheme="minorHAnsi" w:cs="Arial Unicode MS"/>
        </w:rPr>
        <w:t>Materia</w:t>
      </w:r>
      <w:r w:rsidRPr="00A23FB4">
        <w:rPr>
          <w:rFonts w:asciiTheme="minorHAnsi" w:eastAsia="Arial Unicode MS" w:hAnsiTheme="minorHAnsi"/>
        </w:rPr>
        <w:t xml:space="preserve">ł </w:t>
      </w:r>
      <w:r w:rsidRPr="00A23FB4">
        <w:rPr>
          <w:rFonts w:asciiTheme="minorHAnsi" w:eastAsia="Arial Unicode MS" w:hAnsiTheme="minorHAnsi" w:cs="Arial Unicode MS"/>
        </w:rPr>
        <w:t>sadzeniowy winien zosta</w:t>
      </w:r>
      <w:r w:rsidRPr="00A23FB4">
        <w:rPr>
          <w:rFonts w:asciiTheme="minorHAnsi" w:eastAsia="Arial Unicode MS" w:hAnsiTheme="minorHAnsi"/>
        </w:rPr>
        <w:t xml:space="preserve">ć </w:t>
      </w:r>
      <w:r w:rsidRPr="00A23FB4">
        <w:rPr>
          <w:rFonts w:asciiTheme="minorHAnsi" w:eastAsia="Arial Unicode MS" w:hAnsiTheme="minorHAnsi" w:cs="Arial Unicode MS"/>
        </w:rPr>
        <w:t>zatwierdzony przez In</w:t>
      </w:r>
      <w:r w:rsidRPr="00A23FB4">
        <w:rPr>
          <w:rFonts w:asciiTheme="minorHAnsi" w:eastAsia="Arial Unicode MS" w:hAnsiTheme="minorHAnsi"/>
        </w:rPr>
        <w:t>ż</w:t>
      </w:r>
      <w:r w:rsidRPr="00A23FB4">
        <w:rPr>
          <w:rFonts w:asciiTheme="minorHAnsi" w:eastAsia="Arial Unicode MS" w:hAnsiTheme="minorHAnsi" w:cs="Arial Unicode MS"/>
        </w:rPr>
        <w:t>yniera.</w:t>
      </w:r>
    </w:p>
    <w:p w14:paraId="7EFB6FB7" w14:textId="77777777" w:rsidR="00413511" w:rsidRPr="00A23FB4" w:rsidRDefault="00413511" w:rsidP="00413511">
      <w:pPr>
        <w:pStyle w:val="Nagwek4"/>
        <w:tabs>
          <w:tab w:val="left" w:pos="9914"/>
        </w:tabs>
        <w:rPr>
          <w:rFonts w:asciiTheme="minorHAnsi" w:hAnsiTheme="minorHAnsi" w:cs="Calibri"/>
        </w:rPr>
      </w:pPr>
      <w:bookmarkStart w:id="908" w:name="_Toc235080364"/>
      <w:r w:rsidRPr="00A23FB4">
        <w:rPr>
          <w:rFonts w:asciiTheme="minorHAnsi" w:hAnsiTheme="minorHAnsi" w:cs="Calibri"/>
        </w:rPr>
        <w:t>2.</w:t>
      </w:r>
      <w:r w:rsidR="00B20386" w:rsidRPr="00A23FB4">
        <w:rPr>
          <w:rFonts w:asciiTheme="minorHAnsi" w:hAnsiTheme="minorHAnsi" w:cs="Calibri"/>
        </w:rPr>
        <w:t>3</w:t>
      </w:r>
      <w:r w:rsidRPr="00A23FB4">
        <w:rPr>
          <w:rFonts w:asciiTheme="minorHAnsi" w:hAnsiTheme="minorHAnsi" w:cs="Calibri"/>
        </w:rPr>
        <w:t>. Ziemia urodzajna</w:t>
      </w:r>
      <w:bookmarkEnd w:id="908"/>
    </w:p>
    <w:p w14:paraId="0EF9C8C1" w14:textId="77777777" w:rsidR="00413511" w:rsidRPr="00A23FB4" w:rsidRDefault="00413511" w:rsidP="00413511">
      <w:pPr>
        <w:rPr>
          <w:rFonts w:asciiTheme="minorHAnsi" w:hAnsiTheme="minorHAnsi" w:cs="Calibri"/>
        </w:rPr>
      </w:pPr>
      <w:r w:rsidRPr="00A23FB4">
        <w:rPr>
          <w:rFonts w:asciiTheme="minorHAnsi" w:hAnsiTheme="minorHAnsi" w:cs="Calibri"/>
        </w:rPr>
        <w:t>Ziemia urodzajna, w zależności od miejsca pozyskania, powinna posiadać następujące charakterystyki:</w:t>
      </w:r>
    </w:p>
    <w:p w14:paraId="1F973E9A" w14:textId="77777777" w:rsidR="00413511" w:rsidRPr="00A23FB4" w:rsidRDefault="00413511" w:rsidP="00413511">
      <w:pPr>
        <w:numPr>
          <w:ilvl w:val="0"/>
          <w:numId w:val="1"/>
        </w:numPr>
        <w:rPr>
          <w:rFonts w:asciiTheme="minorHAnsi" w:hAnsiTheme="minorHAnsi" w:cs="Calibri"/>
        </w:rPr>
      </w:pPr>
      <w:r w:rsidRPr="00A23FB4">
        <w:rPr>
          <w:rFonts w:asciiTheme="minorHAnsi" w:hAnsiTheme="minorHAnsi" w:cs="Calibri"/>
        </w:rPr>
        <w:t>ziemia rodzima - powinna być zdjęta przed rozpoczęciem robót budowlanych i zmagazynowana w pryzmach nie przekraczających 2 m wysokości,</w:t>
      </w:r>
    </w:p>
    <w:p w14:paraId="08494D0D" w14:textId="77777777" w:rsidR="00413511" w:rsidRPr="00A23FB4" w:rsidRDefault="00413511" w:rsidP="00413511">
      <w:pPr>
        <w:numPr>
          <w:ilvl w:val="0"/>
          <w:numId w:val="1"/>
        </w:numPr>
        <w:rPr>
          <w:rFonts w:asciiTheme="minorHAnsi" w:hAnsiTheme="minorHAnsi" w:cs="Calibri"/>
        </w:rPr>
      </w:pPr>
      <w:r w:rsidRPr="00A23FB4">
        <w:rPr>
          <w:rFonts w:asciiTheme="minorHAnsi" w:hAnsiTheme="minorHAnsi" w:cs="Calibri"/>
        </w:rPr>
        <w:t>ziemia pozyskana w innym miejscu i dostarczona na plac budowy - nie może być zagruzowana, przerośnięta korzeniami, zasolona lub zanieczyszczona chemicznie.</w:t>
      </w:r>
    </w:p>
    <w:p w14:paraId="7F1D9A8D" w14:textId="77777777" w:rsidR="00413511" w:rsidRPr="00A23FB4" w:rsidRDefault="00413511" w:rsidP="00413511">
      <w:pPr>
        <w:pStyle w:val="Nagwek4"/>
        <w:tabs>
          <w:tab w:val="left" w:pos="9914"/>
        </w:tabs>
        <w:rPr>
          <w:rFonts w:asciiTheme="minorHAnsi" w:hAnsiTheme="minorHAnsi" w:cs="Calibri"/>
        </w:rPr>
      </w:pPr>
      <w:bookmarkStart w:id="909" w:name="_Toc235080365"/>
      <w:r w:rsidRPr="00A23FB4">
        <w:rPr>
          <w:rFonts w:asciiTheme="minorHAnsi" w:hAnsiTheme="minorHAnsi" w:cs="Calibri"/>
        </w:rPr>
        <w:t>2.</w:t>
      </w:r>
      <w:r w:rsidR="00B20386" w:rsidRPr="00A23FB4">
        <w:rPr>
          <w:rFonts w:asciiTheme="minorHAnsi" w:hAnsiTheme="minorHAnsi" w:cs="Calibri"/>
        </w:rPr>
        <w:t>4</w:t>
      </w:r>
      <w:r w:rsidRPr="00A23FB4">
        <w:rPr>
          <w:rFonts w:asciiTheme="minorHAnsi" w:hAnsiTheme="minorHAnsi" w:cs="Calibri"/>
        </w:rPr>
        <w:t>. Ziemia kompostowa</w:t>
      </w:r>
      <w:bookmarkEnd w:id="909"/>
    </w:p>
    <w:p w14:paraId="2DBF0138" w14:textId="77777777" w:rsidR="00413511" w:rsidRPr="00A23FB4" w:rsidRDefault="00413511" w:rsidP="00413511">
      <w:pPr>
        <w:rPr>
          <w:rFonts w:asciiTheme="minorHAnsi" w:hAnsiTheme="minorHAnsi" w:cs="Calibri"/>
        </w:rPr>
      </w:pPr>
      <w:r w:rsidRPr="00A23FB4">
        <w:rPr>
          <w:rFonts w:asciiTheme="minorHAnsi" w:hAnsiTheme="minorHAnsi" w:cs="Calibri"/>
        </w:rPr>
        <w:t>Do nawożenia gleby mogą być stosowane komposty, powstające w wyniku rozkładu różnych odpadków roślinnych i zwierzęcych (np. torfu, fekaliów, kory drzewnej, chwastów, plewów), przy kompostowaniu ich na otwartym powietrzu w pryzmach, w sposób i w warunkach zapewniających utrzymanie wymaganych cech i wskaźników jakości kompostu.</w:t>
      </w:r>
    </w:p>
    <w:p w14:paraId="139E8DB3" w14:textId="77777777" w:rsidR="00413511" w:rsidRPr="00A23FB4" w:rsidRDefault="00413511" w:rsidP="00413511">
      <w:pPr>
        <w:pStyle w:val="Nagwek4"/>
        <w:tabs>
          <w:tab w:val="left" w:pos="9914"/>
        </w:tabs>
        <w:rPr>
          <w:rFonts w:asciiTheme="minorHAnsi" w:hAnsiTheme="minorHAnsi" w:cs="Calibri"/>
        </w:rPr>
      </w:pPr>
      <w:bookmarkStart w:id="910" w:name="_Toc235080367"/>
      <w:r w:rsidRPr="00A23FB4">
        <w:rPr>
          <w:rFonts w:asciiTheme="minorHAnsi" w:hAnsiTheme="minorHAnsi" w:cs="Calibri"/>
        </w:rPr>
        <w:t>2.</w:t>
      </w:r>
      <w:r w:rsidR="00B20386" w:rsidRPr="00A23FB4">
        <w:rPr>
          <w:rFonts w:asciiTheme="minorHAnsi" w:hAnsiTheme="minorHAnsi" w:cs="Calibri"/>
        </w:rPr>
        <w:t>5</w:t>
      </w:r>
      <w:r w:rsidRPr="00A23FB4">
        <w:rPr>
          <w:rFonts w:asciiTheme="minorHAnsi" w:hAnsiTheme="minorHAnsi" w:cs="Calibri"/>
        </w:rPr>
        <w:t>. Nasiona traw</w:t>
      </w:r>
      <w:bookmarkEnd w:id="910"/>
    </w:p>
    <w:p w14:paraId="44AEC306" w14:textId="77777777" w:rsidR="00413511" w:rsidRPr="00A23FB4" w:rsidRDefault="00413511" w:rsidP="00413511">
      <w:pPr>
        <w:rPr>
          <w:rFonts w:asciiTheme="minorHAnsi" w:hAnsiTheme="minorHAnsi" w:cs="Calibri"/>
        </w:rPr>
      </w:pPr>
      <w:r w:rsidRPr="00A23FB4">
        <w:rPr>
          <w:rFonts w:asciiTheme="minorHAnsi" w:hAnsiTheme="minorHAnsi" w:cs="Calibri"/>
        </w:rPr>
        <w:t>Nasiona traw najczęściej występują w postaci gotowych mieszanek z nasion różnych gatunków.</w:t>
      </w:r>
    </w:p>
    <w:p w14:paraId="7F7CA374" w14:textId="77777777" w:rsidR="00413511" w:rsidRPr="00A23FB4" w:rsidRDefault="00413511" w:rsidP="00413511">
      <w:pPr>
        <w:rPr>
          <w:rFonts w:asciiTheme="minorHAnsi" w:hAnsiTheme="minorHAnsi" w:cs="Calibri"/>
        </w:rPr>
      </w:pPr>
      <w:r w:rsidRPr="00A23FB4">
        <w:rPr>
          <w:rFonts w:asciiTheme="minorHAnsi" w:hAnsiTheme="minorHAnsi" w:cs="Calibri"/>
        </w:rPr>
        <w:t>Gotowa mieszanka traw powinna mieć oznaczony procentowy skład gatunkowy, klasę, numer normy wg której została wyprodukowana, zdolność kiełkowania.</w:t>
      </w:r>
    </w:p>
    <w:p w14:paraId="6B979705" w14:textId="77777777" w:rsidR="00413511" w:rsidRPr="00A23FB4" w:rsidRDefault="00413511" w:rsidP="00413511">
      <w:pPr>
        <w:pStyle w:val="Nagwek4"/>
        <w:tabs>
          <w:tab w:val="left" w:pos="9914"/>
        </w:tabs>
        <w:rPr>
          <w:rFonts w:asciiTheme="minorHAnsi" w:hAnsiTheme="minorHAnsi" w:cs="Calibri"/>
        </w:rPr>
      </w:pPr>
      <w:bookmarkStart w:id="911" w:name="_Toc235080368"/>
      <w:r w:rsidRPr="00A23FB4">
        <w:rPr>
          <w:rFonts w:asciiTheme="minorHAnsi" w:hAnsiTheme="minorHAnsi" w:cs="Calibri"/>
        </w:rPr>
        <w:t>2.</w:t>
      </w:r>
      <w:r w:rsidR="00B20386" w:rsidRPr="00A23FB4">
        <w:rPr>
          <w:rFonts w:asciiTheme="minorHAnsi" w:hAnsiTheme="minorHAnsi" w:cs="Calibri"/>
        </w:rPr>
        <w:t>6</w:t>
      </w:r>
      <w:r w:rsidRPr="00A23FB4">
        <w:rPr>
          <w:rFonts w:asciiTheme="minorHAnsi" w:hAnsiTheme="minorHAnsi" w:cs="Calibri"/>
        </w:rPr>
        <w:t>. Nawozy mineralne</w:t>
      </w:r>
      <w:bookmarkEnd w:id="911"/>
    </w:p>
    <w:p w14:paraId="31897AA7" w14:textId="77777777" w:rsidR="00413511" w:rsidRPr="00A23FB4" w:rsidRDefault="00413511" w:rsidP="00413511">
      <w:pPr>
        <w:rPr>
          <w:rFonts w:asciiTheme="minorHAnsi" w:hAnsiTheme="minorHAnsi" w:cs="Calibri"/>
        </w:rPr>
      </w:pPr>
      <w:r w:rsidRPr="00A23FB4">
        <w:rPr>
          <w:rFonts w:asciiTheme="minorHAnsi" w:hAnsiTheme="minorHAnsi" w:cs="Calibri"/>
        </w:rPr>
        <w:t>Nawozy mineralne powinny być w opakowaniu, z podanym składem chemicznym (zawartość azotu, fosforu, potasu - N.P.). Nawozy należy zabezpieczyć przed zawilgoceniem i zbryleniem w czasie transportu i przechowywania.</w:t>
      </w:r>
    </w:p>
    <w:p w14:paraId="02331870" w14:textId="77777777" w:rsidR="00E719D4" w:rsidRPr="00A23FB4" w:rsidRDefault="00E719D4" w:rsidP="00E719D4">
      <w:pPr>
        <w:rPr>
          <w:rFonts w:asciiTheme="minorHAnsi" w:hAnsiTheme="minorHAnsi" w:cs="Calibri"/>
          <w:b/>
        </w:rPr>
      </w:pPr>
      <w:bookmarkStart w:id="912" w:name="_Toc428677175"/>
      <w:bookmarkStart w:id="913" w:name="_Toc235080369"/>
    </w:p>
    <w:p w14:paraId="7D3D23E7" w14:textId="77777777" w:rsidR="00413511" w:rsidRPr="00A23FB4" w:rsidRDefault="00413511" w:rsidP="00E719D4">
      <w:pPr>
        <w:rPr>
          <w:rFonts w:asciiTheme="minorHAnsi" w:hAnsiTheme="minorHAnsi" w:cs="Calibri"/>
          <w:b/>
        </w:rPr>
      </w:pPr>
      <w:r w:rsidRPr="00A23FB4">
        <w:rPr>
          <w:rFonts w:asciiTheme="minorHAnsi" w:hAnsiTheme="minorHAnsi" w:cs="Calibri"/>
          <w:b/>
        </w:rPr>
        <w:t xml:space="preserve">3. </w:t>
      </w:r>
      <w:bookmarkEnd w:id="912"/>
      <w:bookmarkEnd w:id="913"/>
      <w:r w:rsidR="00E719D4" w:rsidRPr="00A23FB4">
        <w:rPr>
          <w:rFonts w:asciiTheme="minorHAnsi" w:hAnsiTheme="minorHAnsi" w:cs="Calibri"/>
          <w:b/>
        </w:rPr>
        <w:t>SPRZĘT</w:t>
      </w:r>
    </w:p>
    <w:p w14:paraId="2D973CFF" w14:textId="77777777" w:rsidR="00413511" w:rsidRPr="00A23FB4" w:rsidRDefault="00413511" w:rsidP="00413511">
      <w:pPr>
        <w:pStyle w:val="Nagwek4"/>
        <w:tabs>
          <w:tab w:val="left" w:pos="9914"/>
        </w:tabs>
        <w:rPr>
          <w:rFonts w:asciiTheme="minorHAnsi" w:hAnsiTheme="minorHAnsi" w:cs="Calibri"/>
        </w:rPr>
      </w:pPr>
      <w:bookmarkStart w:id="914" w:name="_Toc235080370"/>
      <w:r w:rsidRPr="00A23FB4">
        <w:rPr>
          <w:rFonts w:asciiTheme="minorHAnsi" w:hAnsiTheme="minorHAnsi" w:cs="Calibri"/>
        </w:rPr>
        <w:t>3.1. Ogólne wymagania dotyczące sprzętu</w:t>
      </w:r>
      <w:bookmarkEnd w:id="914"/>
    </w:p>
    <w:p w14:paraId="1E0BD895" w14:textId="6E22F02F" w:rsidR="00413511" w:rsidRPr="00A23FB4" w:rsidRDefault="00413511" w:rsidP="00413511">
      <w:pPr>
        <w:rPr>
          <w:rFonts w:asciiTheme="minorHAnsi" w:hAnsiTheme="minorHAnsi" w:cs="Calibri"/>
        </w:rPr>
      </w:pPr>
      <w:r w:rsidRPr="00A23FB4">
        <w:rPr>
          <w:rFonts w:asciiTheme="minorHAnsi" w:hAnsiTheme="minorHAnsi" w:cs="Calibri"/>
        </w:rPr>
        <w:t xml:space="preserve">Ogólne wymagania dotyczące sprzętu podano w </w:t>
      </w:r>
      <w:r w:rsidR="00865C6C">
        <w:rPr>
          <w:rFonts w:asciiTheme="minorHAnsi" w:hAnsiTheme="minorHAnsi" w:cs="Calibri"/>
        </w:rPr>
        <w:t>ST</w:t>
      </w:r>
      <w:r w:rsidRPr="00A23FB4">
        <w:rPr>
          <w:rFonts w:asciiTheme="minorHAnsi" w:hAnsiTheme="minorHAnsi" w:cs="Calibri"/>
        </w:rPr>
        <w:t>WiORB D-M-00.00.00 „Wymagania ogólne” pkt 3.</w:t>
      </w:r>
    </w:p>
    <w:p w14:paraId="47808CB8" w14:textId="77777777" w:rsidR="00413511" w:rsidRPr="00A23FB4" w:rsidRDefault="00413511" w:rsidP="00413511">
      <w:pPr>
        <w:pStyle w:val="Nagwek4"/>
        <w:tabs>
          <w:tab w:val="left" w:pos="9914"/>
        </w:tabs>
        <w:rPr>
          <w:rFonts w:asciiTheme="minorHAnsi" w:hAnsiTheme="minorHAnsi" w:cs="Calibri"/>
        </w:rPr>
      </w:pPr>
      <w:bookmarkStart w:id="915" w:name="_Toc235080371"/>
      <w:r w:rsidRPr="00A23FB4">
        <w:rPr>
          <w:rFonts w:asciiTheme="minorHAnsi" w:hAnsiTheme="minorHAnsi" w:cs="Calibri"/>
        </w:rPr>
        <w:t>3.2. Sprzęt stosowany do wykonania zieleni drogowej</w:t>
      </w:r>
      <w:bookmarkEnd w:id="915"/>
    </w:p>
    <w:p w14:paraId="29A3385A" w14:textId="77777777" w:rsidR="00413511" w:rsidRPr="00A23FB4" w:rsidRDefault="00413511" w:rsidP="00413511">
      <w:pPr>
        <w:rPr>
          <w:rFonts w:asciiTheme="minorHAnsi" w:hAnsiTheme="minorHAnsi" w:cs="Calibri"/>
        </w:rPr>
      </w:pPr>
      <w:r w:rsidRPr="00A23FB4">
        <w:rPr>
          <w:rFonts w:asciiTheme="minorHAnsi" w:hAnsiTheme="minorHAnsi" w:cs="Calibri"/>
        </w:rPr>
        <w:t>Wykonawca przystępujący do wykonania zieleni drogowej powinien wykazać się możliwością korzystania z następującego sprzętu:</w:t>
      </w:r>
    </w:p>
    <w:p w14:paraId="75B58F70" w14:textId="77777777" w:rsidR="00413511" w:rsidRPr="00A23FB4" w:rsidRDefault="00413511" w:rsidP="00413511">
      <w:pPr>
        <w:numPr>
          <w:ilvl w:val="0"/>
          <w:numId w:val="1"/>
        </w:numPr>
        <w:rPr>
          <w:rFonts w:asciiTheme="minorHAnsi" w:hAnsiTheme="minorHAnsi" w:cs="Calibri"/>
        </w:rPr>
      </w:pPr>
      <w:r w:rsidRPr="00A23FB4">
        <w:rPr>
          <w:rFonts w:asciiTheme="minorHAnsi" w:hAnsiTheme="minorHAnsi" w:cs="Calibri"/>
        </w:rPr>
        <w:t>glebogryzarek, pługów, kultywatorów, bron do uprawy gleby,</w:t>
      </w:r>
    </w:p>
    <w:p w14:paraId="514CA51C" w14:textId="77777777" w:rsidR="00413511" w:rsidRPr="00A23FB4" w:rsidRDefault="00413511" w:rsidP="00413511">
      <w:pPr>
        <w:numPr>
          <w:ilvl w:val="0"/>
          <w:numId w:val="1"/>
        </w:numPr>
        <w:rPr>
          <w:rFonts w:asciiTheme="minorHAnsi" w:hAnsiTheme="minorHAnsi" w:cs="Calibri"/>
        </w:rPr>
      </w:pPr>
      <w:r w:rsidRPr="00A23FB4">
        <w:rPr>
          <w:rFonts w:asciiTheme="minorHAnsi" w:hAnsiTheme="minorHAnsi" w:cs="Calibri"/>
        </w:rPr>
        <w:t>wału kolczatki oraz wału gładkiego do zakładania trawników,</w:t>
      </w:r>
    </w:p>
    <w:p w14:paraId="046712E5" w14:textId="77777777" w:rsidR="00413511" w:rsidRPr="00A23FB4" w:rsidRDefault="00413511" w:rsidP="00413511">
      <w:pPr>
        <w:numPr>
          <w:ilvl w:val="0"/>
          <w:numId w:val="1"/>
        </w:numPr>
        <w:rPr>
          <w:rFonts w:asciiTheme="minorHAnsi" w:hAnsiTheme="minorHAnsi" w:cs="Calibri"/>
        </w:rPr>
      </w:pPr>
      <w:r w:rsidRPr="00A23FB4">
        <w:rPr>
          <w:rFonts w:asciiTheme="minorHAnsi" w:hAnsiTheme="minorHAnsi" w:cs="Calibri"/>
        </w:rPr>
        <w:t>kosiarki mechanicznej do pielęgnacji trawników,</w:t>
      </w:r>
    </w:p>
    <w:p w14:paraId="014C8801" w14:textId="77777777" w:rsidR="00413511" w:rsidRPr="00A23FB4" w:rsidRDefault="00413511" w:rsidP="00413511">
      <w:pPr>
        <w:numPr>
          <w:ilvl w:val="0"/>
          <w:numId w:val="1"/>
        </w:numPr>
        <w:rPr>
          <w:rFonts w:asciiTheme="minorHAnsi" w:hAnsiTheme="minorHAnsi" w:cs="Calibri"/>
        </w:rPr>
      </w:pPr>
      <w:r w:rsidRPr="00A23FB4">
        <w:rPr>
          <w:rFonts w:asciiTheme="minorHAnsi" w:hAnsiTheme="minorHAnsi" w:cs="Calibri"/>
        </w:rPr>
        <w:t>sprzętu do pozyskiwania ziemi urodzajnej (np. spycharki gąsiennicowej, koparki),</w:t>
      </w:r>
    </w:p>
    <w:p w14:paraId="700A334D" w14:textId="77777777" w:rsidR="00E719D4" w:rsidRPr="00A23FB4" w:rsidRDefault="00E719D4" w:rsidP="00E719D4">
      <w:pPr>
        <w:rPr>
          <w:rFonts w:asciiTheme="minorHAnsi" w:hAnsiTheme="minorHAnsi" w:cs="Calibri"/>
          <w:b/>
        </w:rPr>
      </w:pPr>
    </w:p>
    <w:p w14:paraId="525EFFDE" w14:textId="77777777" w:rsidR="00413511" w:rsidRPr="00A23FB4" w:rsidRDefault="00413511" w:rsidP="00E719D4">
      <w:pPr>
        <w:rPr>
          <w:rFonts w:asciiTheme="minorHAnsi" w:hAnsiTheme="minorHAnsi" w:cs="Calibri"/>
          <w:b/>
        </w:rPr>
      </w:pPr>
      <w:r w:rsidRPr="00A23FB4">
        <w:rPr>
          <w:rFonts w:asciiTheme="minorHAnsi" w:hAnsiTheme="minorHAnsi" w:cs="Calibri"/>
          <w:b/>
        </w:rPr>
        <w:t xml:space="preserve">4. </w:t>
      </w:r>
      <w:bookmarkStart w:id="916" w:name="_Toc235080374"/>
      <w:r w:rsidR="00E719D4" w:rsidRPr="00A23FB4">
        <w:rPr>
          <w:rFonts w:asciiTheme="minorHAnsi" w:hAnsiTheme="minorHAnsi" w:cs="Calibri"/>
          <w:b/>
        </w:rPr>
        <w:t>TRANSPORT</w:t>
      </w:r>
    </w:p>
    <w:p w14:paraId="218AC66F" w14:textId="77777777" w:rsidR="005C45EE" w:rsidRPr="00A23FB4" w:rsidRDefault="005C45EE" w:rsidP="00E719D4">
      <w:pPr>
        <w:rPr>
          <w:rFonts w:asciiTheme="minorHAnsi" w:hAnsiTheme="minorHAnsi" w:cs="Calibri"/>
          <w:b/>
        </w:rPr>
      </w:pPr>
    </w:p>
    <w:p w14:paraId="63EB618B" w14:textId="3F61F476" w:rsidR="00E719D4" w:rsidRPr="00A23FB4" w:rsidRDefault="005C45EE" w:rsidP="00E719D4">
      <w:pPr>
        <w:rPr>
          <w:rFonts w:asciiTheme="minorHAnsi" w:hAnsiTheme="minorHAnsi" w:cs="Calibri"/>
        </w:rPr>
      </w:pPr>
      <w:bookmarkStart w:id="917" w:name="_Toc428677177"/>
      <w:bookmarkStart w:id="918" w:name="_Toc235080377"/>
      <w:bookmarkEnd w:id="916"/>
      <w:r w:rsidRPr="00A23FB4">
        <w:rPr>
          <w:rFonts w:asciiTheme="minorHAnsi" w:hAnsiTheme="minorHAnsi" w:cs="Calibri"/>
        </w:rPr>
        <w:t xml:space="preserve">Ogólne wymagania dotyczące transportu podano w </w:t>
      </w:r>
      <w:r w:rsidR="00865C6C">
        <w:rPr>
          <w:rFonts w:asciiTheme="minorHAnsi" w:hAnsiTheme="minorHAnsi" w:cs="Calibri"/>
        </w:rPr>
        <w:t>ST</w:t>
      </w:r>
      <w:r w:rsidRPr="00A23FB4">
        <w:rPr>
          <w:rFonts w:asciiTheme="minorHAnsi" w:hAnsiTheme="minorHAnsi" w:cs="Calibri"/>
        </w:rPr>
        <w:t>WIORB D-M-00.00.00 „WYMAGANIA OGÓLNE” PKT 4.</w:t>
      </w:r>
    </w:p>
    <w:p w14:paraId="580A0DCD" w14:textId="77777777" w:rsidR="005C45EE" w:rsidRPr="00A23FB4" w:rsidRDefault="005C45EE" w:rsidP="00E719D4">
      <w:pPr>
        <w:rPr>
          <w:rFonts w:asciiTheme="minorHAnsi" w:hAnsiTheme="minorHAnsi" w:cs="Calibri"/>
        </w:rPr>
      </w:pPr>
    </w:p>
    <w:p w14:paraId="14C0586D" w14:textId="77777777" w:rsidR="00413511" w:rsidRPr="00A23FB4" w:rsidRDefault="00413511" w:rsidP="00E719D4">
      <w:pPr>
        <w:rPr>
          <w:rFonts w:asciiTheme="minorHAnsi" w:hAnsiTheme="minorHAnsi" w:cs="Calibri"/>
          <w:b/>
        </w:rPr>
      </w:pPr>
      <w:r w:rsidRPr="00A23FB4">
        <w:rPr>
          <w:rFonts w:asciiTheme="minorHAnsi" w:hAnsiTheme="minorHAnsi" w:cs="Calibri"/>
          <w:b/>
        </w:rPr>
        <w:t xml:space="preserve">5. </w:t>
      </w:r>
      <w:bookmarkEnd w:id="917"/>
      <w:bookmarkEnd w:id="918"/>
      <w:r w:rsidR="00E719D4" w:rsidRPr="00A23FB4">
        <w:rPr>
          <w:rFonts w:asciiTheme="minorHAnsi" w:hAnsiTheme="minorHAnsi" w:cs="Calibri"/>
          <w:b/>
        </w:rPr>
        <w:t>WYKONANIE ROBÓT</w:t>
      </w:r>
    </w:p>
    <w:p w14:paraId="320D171A" w14:textId="77777777" w:rsidR="00413511" w:rsidRPr="00A23FB4" w:rsidRDefault="00413511" w:rsidP="00413511">
      <w:pPr>
        <w:pStyle w:val="Nagwek4"/>
        <w:tabs>
          <w:tab w:val="left" w:pos="9914"/>
        </w:tabs>
        <w:rPr>
          <w:rFonts w:asciiTheme="minorHAnsi" w:hAnsiTheme="minorHAnsi" w:cs="Calibri"/>
        </w:rPr>
      </w:pPr>
      <w:bookmarkStart w:id="919" w:name="_Toc235080378"/>
      <w:r w:rsidRPr="00A23FB4">
        <w:rPr>
          <w:rFonts w:asciiTheme="minorHAnsi" w:hAnsiTheme="minorHAnsi" w:cs="Calibri"/>
        </w:rPr>
        <w:t>5.1. Ogólne zasady wykonania robót</w:t>
      </w:r>
      <w:bookmarkStart w:id="920" w:name="_Toc235080379"/>
      <w:bookmarkEnd w:id="919"/>
    </w:p>
    <w:p w14:paraId="3B3C218E" w14:textId="0B767D85" w:rsidR="00413511" w:rsidRPr="00A23FB4" w:rsidRDefault="00413511" w:rsidP="00413511">
      <w:pPr>
        <w:pStyle w:val="Nagwek4"/>
        <w:tabs>
          <w:tab w:val="left" w:pos="9914"/>
        </w:tabs>
        <w:rPr>
          <w:rFonts w:asciiTheme="minorHAnsi" w:hAnsiTheme="minorHAnsi" w:cs="Calibri"/>
          <w:b w:val="0"/>
          <w:bCs w:val="0"/>
        </w:rPr>
      </w:pPr>
      <w:r w:rsidRPr="00A23FB4">
        <w:rPr>
          <w:rFonts w:asciiTheme="minorHAnsi" w:hAnsiTheme="minorHAnsi" w:cs="Calibri"/>
          <w:b w:val="0"/>
          <w:bCs w:val="0"/>
        </w:rPr>
        <w:t xml:space="preserve">Ogólne zasady wykonania robót podano w </w:t>
      </w:r>
      <w:r w:rsidR="00865C6C">
        <w:rPr>
          <w:rFonts w:asciiTheme="minorHAnsi" w:hAnsiTheme="minorHAnsi" w:cs="Calibri"/>
          <w:b w:val="0"/>
          <w:bCs w:val="0"/>
        </w:rPr>
        <w:t>ST</w:t>
      </w:r>
      <w:r w:rsidRPr="00A23FB4">
        <w:rPr>
          <w:rFonts w:asciiTheme="minorHAnsi" w:hAnsiTheme="minorHAnsi" w:cs="Calibri"/>
          <w:b w:val="0"/>
          <w:bCs w:val="0"/>
        </w:rPr>
        <w:t>WiORB D-M-00.00.00 „Wymagania ogólne” pkt 5.</w:t>
      </w:r>
      <w:bookmarkEnd w:id="920"/>
    </w:p>
    <w:p w14:paraId="0CE007A6" w14:textId="77777777" w:rsidR="00413511" w:rsidRPr="00A23FB4" w:rsidRDefault="00413511" w:rsidP="00413511">
      <w:pPr>
        <w:pStyle w:val="Nagwek4"/>
        <w:tabs>
          <w:tab w:val="left" w:pos="9914"/>
        </w:tabs>
        <w:rPr>
          <w:rFonts w:asciiTheme="minorHAnsi" w:hAnsiTheme="minorHAnsi" w:cs="Calibri"/>
        </w:rPr>
      </w:pPr>
      <w:bookmarkStart w:id="921" w:name="_Toc235080380"/>
      <w:r w:rsidRPr="00A23FB4">
        <w:rPr>
          <w:rFonts w:asciiTheme="minorHAnsi" w:hAnsiTheme="minorHAnsi" w:cs="Calibri"/>
        </w:rPr>
        <w:t>5.2. Trawniki</w:t>
      </w:r>
      <w:bookmarkEnd w:id="921"/>
    </w:p>
    <w:p w14:paraId="09923497" w14:textId="77777777" w:rsidR="00413511" w:rsidRPr="00A23FB4" w:rsidRDefault="00413511" w:rsidP="00413511">
      <w:pPr>
        <w:rPr>
          <w:rFonts w:asciiTheme="minorHAnsi" w:hAnsiTheme="minorHAnsi" w:cs="Calibri"/>
          <w:b/>
          <w:bCs/>
          <w:i/>
          <w:iCs/>
        </w:rPr>
      </w:pPr>
      <w:r w:rsidRPr="00A23FB4">
        <w:rPr>
          <w:rFonts w:asciiTheme="minorHAnsi" w:hAnsiTheme="minorHAnsi" w:cs="Calibri"/>
          <w:b/>
          <w:bCs/>
          <w:i/>
          <w:iCs/>
        </w:rPr>
        <w:t>5.2.1. Wymagania dotyczące wykonania trawników</w:t>
      </w:r>
    </w:p>
    <w:p w14:paraId="48F82AB2" w14:textId="77777777" w:rsidR="00413511" w:rsidRPr="00A23FB4" w:rsidRDefault="00413511" w:rsidP="00413511">
      <w:pPr>
        <w:spacing w:before="120"/>
        <w:rPr>
          <w:rFonts w:asciiTheme="minorHAnsi" w:hAnsiTheme="minorHAnsi" w:cs="Calibri"/>
        </w:rPr>
      </w:pPr>
      <w:r w:rsidRPr="00A23FB4">
        <w:rPr>
          <w:rFonts w:asciiTheme="minorHAnsi" w:hAnsiTheme="minorHAnsi" w:cs="Calibri"/>
        </w:rPr>
        <w:t>Wymagania dotyczące wykonania robót związanych z trawnikami są następujące:</w:t>
      </w:r>
    </w:p>
    <w:p w14:paraId="738ABE16" w14:textId="77777777" w:rsidR="00413511" w:rsidRPr="00A23FB4" w:rsidRDefault="00413511" w:rsidP="00413511">
      <w:pPr>
        <w:numPr>
          <w:ilvl w:val="0"/>
          <w:numId w:val="1"/>
        </w:numPr>
        <w:rPr>
          <w:rFonts w:asciiTheme="minorHAnsi" w:hAnsiTheme="minorHAnsi" w:cs="Calibri"/>
        </w:rPr>
      </w:pPr>
      <w:r w:rsidRPr="00A23FB4">
        <w:rPr>
          <w:rFonts w:asciiTheme="minorHAnsi" w:hAnsiTheme="minorHAnsi" w:cs="Calibri"/>
        </w:rPr>
        <w:t>teren pod trawniki musi być oczyszczony z gruzu i zanieczyszczeń,</w:t>
      </w:r>
    </w:p>
    <w:p w14:paraId="2CAB4083" w14:textId="77777777" w:rsidR="00413511" w:rsidRPr="00A23FB4" w:rsidRDefault="00413511" w:rsidP="00413511">
      <w:pPr>
        <w:numPr>
          <w:ilvl w:val="0"/>
          <w:numId w:val="1"/>
        </w:numPr>
        <w:rPr>
          <w:rFonts w:asciiTheme="minorHAnsi" w:hAnsiTheme="minorHAnsi" w:cs="Calibri"/>
        </w:rPr>
      </w:pPr>
      <w:r w:rsidRPr="00A23FB4">
        <w:rPr>
          <w:rFonts w:asciiTheme="minorHAnsi" w:hAnsiTheme="minorHAnsi" w:cs="Calibri"/>
        </w:rPr>
        <w:t>przy wymianie gruntu rodzimego na ziemię urodzajną teren powinien być obniżony w stosunku do gazonów lub krawężników o ok. 15 cm - jest to miejsce na ziemię urodzajną (ok. 10 cm) i kompost (ok. 2 do 3 cm),</w:t>
      </w:r>
    </w:p>
    <w:p w14:paraId="40D6B86F" w14:textId="77777777" w:rsidR="00413511" w:rsidRPr="00A23FB4" w:rsidRDefault="00413511" w:rsidP="00413511">
      <w:pPr>
        <w:numPr>
          <w:ilvl w:val="0"/>
          <w:numId w:val="1"/>
        </w:numPr>
        <w:rPr>
          <w:rFonts w:asciiTheme="minorHAnsi" w:hAnsiTheme="minorHAnsi" w:cs="Calibri"/>
        </w:rPr>
      </w:pPr>
      <w:r w:rsidRPr="00A23FB4">
        <w:rPr>
          <w:rFonts w:asciiTheme="minorHAnsi" w:hAnsiTheme="minorHAnsi" w:cs="Calibri"/>
        </w:rPr>
        <w:t>przy zakładaniu trawników na gruncie rodzimym krawężnik powinien znajdować się 2 do 3 cm nad terenem,</w:t>
      </w:r>
    </w:p>
    <w:p w14:paraId="086E41CF" w14:textId="77777777" w:rsidR="00413511" w:rsidRPr="00A23FB4" w:rsidRDefault="00413511" w:rsidP="00413511">
      <w:pPr>
        <w:numPr>
          <w:ilvl w:val="0"/>
          <w:numId w:val="1"/>
        </w:numPr>
        <w:rPr>
          <w:rFonts w:asciiTheme="minorHAnsi" w:hAnsiTheme="minorHAnsi" w:cs="Calibri"/>
        </w:rPr>
      </w:pPr>
      <w:r w:rsidRPr="00A23FB4">
        <w:rPr>
          <w:rFonts w:asciiTheme="minorHAnsi" w:hAnsiTheme="minorHAnsi" w:cs="Calibri"/>
        </w:rPr>
        <w:t>teren powinien być wyrównany i splantowany,</w:t>
      </w:r>
    </w:p>
    <w:p w14:paraId="08DF609E" w14:textId="77777777" w:rsidR="00413511" w:rsidRPr="00A23FB4" w:rsidRDefault="00413511" w:rsidP="00413511">
      <w:pPr>
        <w:numPr>
          <w:ilvl w:val="0"/>
          <w:numId w:val="1"/>
        </w:numPr>
        <w:rPr>
          <w:rFonts w:asciiTheme="minorHAnsi" w:hAnsiTheme="minorHAnsi" w:cs="Calibri"/>
        </w:rPr>
      </w:pPr>
      <w:r w:rsidRPr="00A23FB4">
        <w:rPr>
          <w:rFonts w:asciiTheme="minorHAnsi" w:hAnsiTheme="minorHAnsi" w:cs="Calibri"/>
        </w:rPr>
        <w:t>ziemia urodzajna powinna być rozścielona równą warstwą i wymieszana z kompostem, nawozami mineralnymi oraz starannie wyrównana,</w:t>
      </w:r>
    </w:p>
    <w:p w14:paraId="7C8A4CA2" w14:textId="77777777" w:rsidR="00413511" w:rsidRPr="00A23FB4" w:rsidRDefault="00413511" w:rsidP="00413511">
      <w:pPr>
        <w:numPr>
          <w:ilvl w:val="0"/>
          <w:numId w:val="1"/>
        </w:numPr>
        <w:rPr>
          <w:rFonts w:asciiTheme="minorHAnsi" w:hAnsiTheme="minorHAnsi" w:cs="Calibri"/>
        </w:rPr>
      </w:pPr>
      <w:r w:rsidRPr="00A23FB4">
        <w:rPr>
          <w:rFonts w:asciiTheme="minorHAnsi" w:hAnsiTheme="minorHAnsi" w:cs="Calibri"/>
        </w:rPr>
        <w:t>przed siewem nasion trawy ziemię należy wałować wałem gładkim, a potem wałem - kolczatką lub zagrabić,</w:t>
      </w:r>
    </w:p>
    <w:p w14:paraId="60AAEEBE" w14:textId="77777777" w:rsidR="00413511" w:rsidRPr="00A23FB4" w:rsidRDefault="00413511" w:rsidP="00413511">
      <w:pPr>
        <w:numPr>
          <w:ilvl w:val="0"/>
          <w:numId w:val="1"/>
        </w:numPr>
        <w:rPr>
          <w:rFonts w:asciiTheme="minorHAnsi" w:hAnsiTheme="minorHAnsi" w:cs="Calibri"/>
        </w:rPr>
      </w:pPr>
      <w:r w:rsidRPr="00A23FB4">
        <w:rPr>
          <w:rFonts w:asciiTheme="minorHAnsi" w:hAnsiTheme="minorHAnsi" w:cs="Calibri"/>
        </w:rPr>
        <w:t>siew powinien być dokonany w dni bezwietrzne,</w:t>
      </w:r>
    </w:p>
    <w:p w14:paraId="1895CDA9" w14:textId="77777777" w:rsidR="00413511" w:rsidRPr="00A23FB4" w:rsidRDefault="00413511" w:rsidP="00413511">
      <w:pPr>
        <w:numPr>
          <w:ilvl w:val="0"/>
          <w:numId w:val="1"/>
        </w:numPr>
        <w:rPr>
          <w:rFonts w:asciiTheme="minorHAnsi" w:hAnsiTheme="minorHAnsi" w:cs="Calibri"/>
        </w:rPr>
      </w:pPr>
      <w:r w:rsidRPr="00A23FB4">
        <w:rPr>
          <w:rFonts w:asciiTheme="minorHAnsi" w:hAnsiTheme="minorHAnsi" w:cs="Calibri"/>
        </w:rPr>
        <w:t>okres siania - najlepszy okres wiosenny, najpóźniej do połowy września,</w:t>
      </w:r>
    </w:p>
    <w:p w14:paraId="45FF8FAE" w14:textId="77777777" w:rsidR="00413511" w:rsidRPr="00A23FB4" w:rsidRDefault="00413511" w:rsidP="00413511">
      <w:pPr>
        <w:numPr>
          <w:ilvl w:val="0"/>
          <w:numId w:val="1"/>
        </w:numPr>
        <w:rPr>
          <w:rFonts w:asciiTheme="minorHAnsi" w:hAnsiTheme="minorHAnsi" w:cs="Calibri"/>
        </w:rPr>
      </w:pPr>
      <w:r w:rsidRPr="00A23FB4">
        <w:rPr>
          <w:rFonts w:asciiTheme="minorHAnsi" w:hAnsiTheme="minorHAnsi" w:cs="Calibri"/>
        </w:rPr>
        <w:t>na terenie płaskim nasiona traw wysiewane są w ilości od 1 do 4 kg na 100 m</w:t>
      </w:r>
      <w:r w:rsidRPr="00A23FB4">
        <w:rPr>
          <w:rFonts w:asciiTheme="minorHAnsi" w:hAnsiTheme="minorHAnsi" w:cs="Calibri"/>
          <w:vertAlign w:val="superscript"/>
        </w:rPr>
        <w:t>2</w:t>
      </w:r>
      <w:r w:rsidRPr="00A23FB4">
        <w:rPr>
          <w:rFonts w:asciiTheme="minorHAnsi" w:hAnsiTheme="minorHAnsi" w:cs="Calibri"/>
        </w:rPr>
        <w:t>,</w:t>
      </w:r>
    </w:p>
    <w:p w14:paraId="7837E465" w14:textId="77777777" w:rsidR="00413511" w:rsidRPr="00A23FB4" w:rsidRDefault="00413511" w:rsidP="00413511">
      <w:pPr>
        <w:numPr>
          <w:ilvl w:val="0"/>
          <w:numId w:val="1"/>
        </w:numPr>
        <w:rPr>
          <w:rFonts w:asciiTheme="minorHAnsi" w:hAnsiTheme="minorHAnsi" w:cs="Calibri"/>
        </w:rPr>
      </w:pPr>
      <w:r w:rsidRPr="00A23FB4">
        <w:rPr>
          <w:rFonts w:asciiTheme="minorHAnsi" w:hAnsiTheme="minorHAnsi" w:cs="Calibri"/>
        </w:rPr>
        <w:t>na skarpach nasiona traw wysiewane są w ilości 4 kg na 100 m</w:t>
      </w:r>
      <w:r w:rsidRPr="00A23FB4">
        <w:rPr>
          <w:rFonts w:asciiTheme="minorHAnsi" w:hAnsiTheme="minorHAnsi" w:cs="Calibri"/>
          <w:vertAlign w:val="superscript"/>
        </w:rPr>
        <w:t>2</w:t>
      </w:r>
      <w:r w:rsidRPr="00A23FB4">
        <w:rPr>
          <w:rFonts w:asciiTheme="minorHAnsi" w:hAnsiTheme="minorHAnsi" w:cs="Calibri"/>
        </w:rPr>
        <w:t xml:space="preserve">, </w:t>
      </w:r>
    </w:p>
    <w:p w14:paraId="1341DCE6" w14:textId="77777777" w:rsidR="00413511" w:rsidRPr="00A23FB4" w:rsidRDefault="00413511" w:rsidP="00413511">
      <w:pPr>
        <w:numPr>
          <w:ilvl w:val="0"/>
          <w:numId w:val="1"/>
        </w:numPr>
        <w:rPr>
          <w:rFonts w:asciiTheme="minorHAnsi" w:hAnsiTheme="minorHAnsi" w:cs="Calibri"/>
        </w:rPr>
      </w:pPr>
      <w:r w:rsidRPr="00A23FB4">
        <w:rPr>
          <w:rFonts w:asciiTheme="minorHAnsi" w:hAnsiTheme="minorHAnsi" w:cs="Calibri"/>
        </w:rPr>
        <w:t>przykrycie nasion - przez przemieszanie z ziemią grabiami lub wałem kolczatką,</w:t>
      </w:r>
    </w:p>
    <w:p w14:paraId="60C40DBD" w14:textId="77777777" w:rsidR="00413511" w:rsidRPr="00A23FB4" w:rsidRDefault="00413511" w:rsidP="00413511">
      <w:pPr>
        <w:numPr>
          <w:ilvl w:val="0"/>
          <w:numId w:val="1"/>
        </w:numPr>
        <w:rPr>
          <w:rFonts w:asciiTheme="minorHAnsi" w:hAnsiTheme="minorHAnsi" w:cs="Calibri"/>
        </w:rPr>
      </w:pPr>
      <w:r w:rsidRPr="00A23FB4">
        <w:rPr>
          <w:rFonts w:asciiTheme="minorHAnsi" w:hAnsiTheme="minorHAnsi" w:cs="Calibri"/>
        </w:rPr>
        <w:t>po wysiewie nasion ziemia powinna być wałowana lekkim wałem w celu ostatecznego wyrównania i stworzenia dobrych warunków dla podsiąkania wody. Jeżeli przykrycie nasion nastąpiło przez wałowanie kolczatką, można już nie stosować wału gładkiego,</w:t>
      </w:r>
    </w:p>
    <w:p w14:paraId="5C4FEF9D" w14:textId="77777777" w:rsidR="00413511" w:rsidRPr="00A23FB4" w:rsidRDefault="00413511" w:rsidP="00413511">
      <w:pPr>
        <w:numPr>
          <w:ilvl w:val="0"/>
          <w:numId w:val="1"/>
        </w:numPr>
        <w:rPr>
          <w:rFonts w:asciiTheme="minorHAnsi" w:hAnsiTheme="minorHAnsi" w:cs="Calibri"/>
        </w:rPr>
      </w:pPr>
      <w:r w:rsidRPr="00A23FB4">
        <w:rPr>
          <w:rFonts w:asciiTheme="minorHAnsi" w:hAnsiTheme="minorHAnsi" w:cs="Calibri"/>
        </w:rPr>
        <w:t>mieszanka nasion trawnikowych może być gotowa lub wykonana wg składu podanego w dokumentacji projektowej.</w:t>
      </w:r>
    </w:p>
    <w:p w14:paraId="01A83FB8" w14:textId="77777777" w:rsidR="00413511" w:rsidRPr="00A23FB4" w:rsidRDefault="00413511" w:rsidP="00413511">
      <w:pPr>
        <w:spacing w:before="120"/>
        <w:rPr>
          <w:rFonts w:asciiTheme="minorHAnsi" w:hAnsiTheme="minorHAnsi" w:cs="Calibri"/>
          <w:b/>
          <w:bCs/>
          <w:i/>
          <w:iCs/>
        </w:rPr>
      </w:pPr>
      <w:r w:rsidRPr="00A23FB4">
        <w:rPr>
          <w:rFonts w:asciiTheme="minorHAnsi" w:hAnsiTheme="minorHAnsi" w:cs="Calibri"/>
          <w:b/>
          <w:bCs/>
          <w:i/>
          <w:iCs/>
        </w:rPr>
        <w:t>5.2.2. Pielęgnacja trawników</w:t>
      </w:r>
    </w:p>
    <w:p w14:paraId="2EA1159D" w14:textId="77777777" w:rsidR="00413511" w:rsidRPr="00A23FB4" w:rsidRDefault="00413511" w:rsidP="00413511">
      <w:pPr>
        <w:spacing w:before="120"/>
        <w:rPr>
          <w:rFonts w:asciiTheme="minorHAnsi" w:hAnsiTheme="minorHAnsi" w:cs="Calibri"/>
        </w:rPr>
      </w:pPr>
      <w:r w:rsidRPr="00A23FB4">
        <w:rPr>
          <w:rFonts w:asciiTheme="minorHAnsi" w:hAnsiTheme="minorHAnsi" w:cs="Calibri"/>
        </w:rPr>
        <w:t>Najważniejszym zabiegiem w pielęgnacji trawników jest koszenie:</w:t>
      </w:r>
    </w:p>
    <w:p w14:paraId="74C70279" w14:textId="77777777" w:rsidR="00413511" w:rsidRPr="00A23FB4" w:rsidRDefault="00413511" w:rsidP="00413511">
      <w:pPr>
        <w:numPr>
          <w:ilvl w:val="0"/>
          <w:numId w:val="1"/>
        </w:numPr>
        <w:rPr>
          <w:rFonts w:asciiTheme="minorHAnsi" w:hAnsiTheme="minorHAnsi" w:cs="Calibri"/>
        </w:rPr>
      </w:pPr>
      <w:r w:rsidRPr="00A23FB4">
        <w:rPr>
          <w:rFonts w:asciiTheme="minorHAnsi" w:hAnsiTheme="minorHAnsi" w:cs="Calibri"/>
        </w:rPr>
        <w:t>pierwsze koszenie powinno być przeprowadzone, gdy trawa osiągnie wysokość około  10 cm,</w:t>
      </w:r>
    </w:p>
    <w:p w14:paraId="11B6CA84" w14:textId="77777777" w:rsidR="00413511" w:rsidRPr="00A23FB4" w:rsidRDefault="00413511" w:rsidP="00413511">
      <w:pPr>
        <w:numPr>
          <w:ilvl w:val="0"/>
          <w:numId w:val="1"/>
        </w:numPr>
        <w:rPr>
          <w:rFonts w:asciiTheme="minorHAnsi" w:hAnsiTheme="minorHAnsi" w:cs="Calibri"/>
        </w:rPr>
      </w:pPr>
      <w:r w:rsidRPr="00A23FB4">
        <w:rPr>
          <w:rFonts w:asciiTheme="minorHAnsi" w:hAnsiTheme="minorHAnsi" w:cs="Calibri"/>
        </w:rPr>
        <w:t>następne koszenia powinny się odbywać w takich odstępach czasu, aby wysokość trawy przed kolejnym koszeniem nie przekraczała wysokości 10 do 12 cm,</w:t>
      </w:r>
    </w:p>
    <w:p w14:paraId="2C83F110" w14:textId="77777777" w:rsidR="00413511" w:rsidRPr="00A23FB4" w:rsidRDefault="00413511" w:rsidP="00413511">
      <w:pPr>
        <w:numPr>
          <w:ilvl w:val="0"/>
          <w:numId w:val="1"/>
        </w:numPr>
        <w:rPr>
          <w:rFonts w:asciiTheme="minorHAnsi" w:hAnsiTheme="minorHAnsi" w:cs="Calibri"/>
        </w:rPr>
      </w:pPr>
      <w:r w:rsidRPr="00A23FB4">
        <w:rPr>
          <w:rFonts w:asciiTheme="minorHAnsi" w:hAnsiTheme="minorHAnsi" w:cs="Calibri"/>
        </w:rPr>
        <w:t>ostatnie, przedzimowe koszenie trawników powinno być wykonane z 1-miesięcznym wyprzedzeniem spodziewanego nastania mrozów (dla warunków klimatycznych Polski można przyjąć pierwszą połowę października),</w:t>
      </w:r>
    </w:p>
    <w:p w14:paraId="5CC3B4BF" w14:textId="77777777" w:rsidR="00413511" w:rsidRPr="00A23FB4" w:rsidRDefault="00413511" w:rsidP="00413511">
      <w:pPr>
        <w:numPr>
          <w:ilvl w:val="0"/>
          <w:numId w:val="1"/>
        </w:numPr>
        <w:rPr>
          <w:rFonts w:asciiTheme="minorHAnsi" w:hAnsiTheme="minorHAnsi" w:cs="Calibri"/>
        </w:rPr>
      </w:pPr>
      <w:r w:rsidRPr="00A23FB4">
        <w:rPr>
          <w:rFonts w:asciiTheme="minorHAnsi" w:hAnsiTheme="minorHAnsi" w:cs="Calibri"/>
        </w:rPr>
        <w:t>koszenia trawników w całym okresie pielęgnacji powinny się odbywać często i w regularnych odstępach czasu, przy czym częstość koszenia i wysokość cięcia, należy uzależniać od gatunku wysianej trawy,</w:t>
      </w:r>
    </w:p>
    <w:p w14:paraId="5AF9FD98" w14:textId="77777777" w:rsidR="00413511" w:rsidRPr="00A23FB4" w:rsidRDefault="00413511" w:rsidP="00413511">
      <w:pPr>
        <w:numPr>
          <w:ilvl w:val="0"/>
          <w:numId w:val="1"/>
        </w:numPr>
        <w:rPr>
          <w:rFonts w:asciiTheme="minorHAnsi" w:hAnsiTheme="minorHAnsi" w:cs="Calibri"/>
        </w:rPr>
      </w:pPr>
      <w:r w:rsidRPr="00A23FB4">
        <w:rPr>
          <w:rFonts w:asciiTheme="minorHAnsi" w:hAnsiTheme="minorHAnsi" w:cs="Calibri"/>
        </w:rPr>
        <w:t>chwasty trwałe w pierwszym okresie należy usuwać ręcznie; środki chwastobójcze o selektywnym działaniu należy stosować z dużą ostrożnością i dopiero po okresie 6 miesięcy od założenia trawnika.</w:t>
      </w:r>
    </w:p>
    <w:p w14:paraId="438293E0" w14:textId="77777777" w:rsidR="00413511" w:rsidRPr="00A23FB4" w:rsidRDefault="00413511" w:rsidP="00413511">
      <w:pPr>
        <w:rPr>
          <w:rFonts w:asciiTheme="minorHAnsi" w:hAnsiTheme="minorHAnsi" w:cs="Calibri"/>
        </w:rPr>
      </w:pPr>
      <w:r w:rsidRPr="00A23FB4">
        <w:rPr>
          <w:rFonts w:asciiTheme="minorHAnsi" w:hAnsiTheme="minorHAnsi" w:cs="Calibri"/>
        </w:rPr>
        <w:t>Trawniki wymagają nawożenia mineralnego - około 3 kg NPK na 1 ar w ciągu roku. Mieszanki nawozów należy przygotowywać tak, aby trawom zapewnić składniki wymagane w poszczególnych porach roku:</w:t>
      </w:r>
    </w:p>
    <w:p w14:paraId="036FC22F" w14:textId="77777777" w:rsidR="00413511" w:rsidRPr="00A23FB4" w:rsidRDefault="00413511" w:rsidP="00413511">
      <w:pPr>
        <w:numPr>
          <w:ilvl w:val="0"/>
          <w:numId w:val="1"/>
        </w:numPr>
        <w:rPr>
          <w:rFonts w:asciiTheme="minorHAnsi" w:hAnsiTheme="minorHAnsi" w:cs="Calibri"/>
        </w:rPr>
      </w:pPr>
      <w:r w:rsidRPr="00A23FB4">
        <w:rPr>
          <w:rFonts w:asciiTheme="minorHAnsi" w:hAnsiTheme="minorHAnsi" w:cs="Calibri"/>
        </w:rPr>
        <w:t>wiosną, trawnik wymaga mieszanki z przewagą azotu,</w:t>
      </w:r>
    </w:p>
    <w:p w14:paraId="71793553" w14:textId="77777777" w:rsidR="00413511" w:rsidRPr="00A23FB4" w:rsidRDefault="00413511" w:rsidP="00413511">
      <w:pPr>
        <w:numPr>
          <w:ilvl w:val="0"/>
          <w:numId w:val="1"/>
        </w:numPr>
        <w:rPr>
          <w:rFonts w:asciiTheme="minorHAnsi" w:hAnsiTheme="minorHAnsi" w:cs="Calibri"/>
        </w:rPr>
      </w:pPr>
      <w:r w:rsidRPr="00A23FB4">
        <w:rPr>
          <w:rFonts w:asciiTheme="minorHAnsi" w:hAnsiTheme="minorHAnsi" w:cs="Calibri"/>
        </w:rPr>
        <w:t>od połowy lata należy ograniczyć azot, zwiększając dawki potasu i fosforu,</w:t>
      </w:r>
    </w:p>
    <w:p w14:paraId="51FFB074" w14:textId="77777777" w:rsidR="00413511" w:rsidRPr="00A23FB4" w:rsidRDefault="00413511" w:rsidP="00413511">
      <w:pPr>
        <w:numPr>
          <w:ilvl w:val="0"/>
          <w:numId w:val="1"/>
        </w:numPr>
        <w:rPr>
          <w:rFonts w:asciiTheme="minorHAnsi" w:hAnsiTheme="minorHAnsi" w:cs="Calibri"/>
        </w:rPr>
      </w:pPr>
      <w:r w:rsidRPr="00A23FB4">
        <w:rPr>
          <w:rFonts w:asciiTheme="minorHAnsi" w:hAnsiTheme="minorHAnsi" w:cs="Calibri"/>
        </w:rPr>
        <w:t>ostatnie nawożenie nie powinno zawierać azotu, lecz tylko fosfor i potas.</w:t>
      </w:r>
    </w:p>
    <w:p w14:paraId="5921435B" w14:textId="77777777" w:rsidR="00557CCE" w:rsidRPr="00A23FB4" w:rsidRDefault="00557CCE" w:rsidP="00557CCE">
      <w:pPr>
        <w:spacing w:before="240"/>
        <w:rPr>
          <w:rFonts w:asciiTheme="minorHAnsi" w:hAnsiTheme="minorHAnsi" w:cs="Calibri"/>
          <w:b/>
          <w:bCs/>
        </w:rPr>
      </w:pPr>
      <w:r w:rsidRPr="00A23FB4">
        <w:rPr>
          <w:rFonts w:asciiTheme="minorHAnsi" w:hAnsiTheme="minorHAnsi" w:cs="Calibri"/>
          <w:b/>
          <w:bCs/>
        </w:rPr>
        <w:t>5.3 Sadzenie drzew, krzewów</w:t>
      </w:r>
    </w:p>
    <w:p w14:paraId="6C21E581" w14:textId="77777777" w:rsidR="00557CCE" w:rsidRPr="00A23FB4" w:rsidRDefault="00557CCE" w:rsidP="00557CCE">
      <w:pPr>
        <w:spacing w:before="240"/>
        <w:rPr>
          <w:rFonts w:asciiTheme="minorHAnsi" w:hAnsiTheme="minorHAnsi" w:cs="Calibri"/>
          <w:b/>
          <w:bCs/>
        </w:rPr>
      </w:pPr>
      <w:r w:rsidRPr="00A23FB4">
        <w:rPr>
          <w:rFonts w:asciiTheme="minorHAnsi" w:hAnsiTheme="minorHAnsi" w:cs="Calibri"/>
          <w:b/>
          <w:bCs/>
        </w:rPr>
        <w:t>5.3.1. Wymagania dotyczące roślin</w:t>
      </w:r>
    </w:p>
    <w:p w14:paraId="6B6E71D5" w14:textId="77777777" w:rsidR="00557CCE" w:rsidRPr="00A23FB4" w:rsidRDefault="00557CCE" w:rsidP="00557CCE">
      <w:pPr>
        <w:overflowPunct/>
        <w:jc w:val="left"/>
        <w:textAlignment w:val="auto"/>
        <w:rPr>
          <w:rFonts w:asciiTheme="minorHAnsi" w:eastAsia="Arial Unicode MS" w:hAnsiTheme="minorHAnsi" w:cs="Arial Unicode MS"/>
        </w:rPr>
      </w:pPr>
      <w:r w:rsidRPr="00A23FB4">
        <w:rPr>
          <w:rFonts w:asciiTheme="minorHAnsi" w:eastAsia="Arial Unicode MS" w:hAnsiTheme="minorHAnsi" w:cs="Arial Unicode MS"/>
        </w:rPr>
        <w:t>Wymagania dotycz</w:t>
      </w:r>
      <w:r w:rsidRPr="00A23FB4">
        <w:rPr>
          <w:rFonts w:asciiTheme="minorHAnsi" w:eastAsia="Arial Unicode MS" w:hAnsiTheme="minorHAnsi"/>
        </w:rPr>
        <w:t>ą</w:t>
      </w:r>
      <w:r w:rsidRPr="00A23FB4">
        <w:rPr>
          <w:rFonts w:asciiTheme="minorHAnsi" w:eastAsia="Arial Unicode MS" w:hAnsiTheme="minorHAnsi" w:cs="Arial Unicode MS"/>
        </w:rPr>
        <w:t>ce sadzenia drzew, krzew</w:t>
      </w:r>
      <w:r w:rsidRPr="00A23FB4">
        <w:rPr>
          <w:rFonts w:asciiTheme="minorHAnsi" w:eastAsia="Arial Unicode MS" w:hAnsiTheme="minorHAnsi"/>
        </w:rPr>
        <w:t>ó</w:t>
      </w:r>
      <w:r w:rsidRPr="00A23FB4">
        <w:rPr>
          <w:rFonts w:asciiTheme="minorHAnsi" w:eastAsia="Arial Unicode MS" w:hAnsiTheme="minorHAnsi" w:cs="Arial Unicode MS"/>
        </w:rPr>
        <w:t>w, pn</w:t>
      </w:r>
      <w:r w:rsidRPr="00A23FB4">
        <w:rPr>
          <w:rFonts w:asciiTheme="minorHAnsi" w:eastAsia="Arial Unicode MS" w:hAnsiTheme="minorHAnsi"/>
        </w:rPr>
        <w:t>ą</w:t>
      </w:r>
      <w:r w:rsidRPr="00A23FB4">
        <w:rPr>
          <w:rFonts w:asciiTheme="minorHAnsi" w:eastAsia="Arial Unicode MS" w:hAnsiTheme="minorHAnsi" w:cs="Arial Unicode MS"/>
        </w:rPr>
        <w:t>czy s</w:t>
      </w:r>
      <w:r w:rsidRPr="00A23FB4">
        <w:rPr>
          <w:rFonts w:asciiTheme="minorHAnsi" w:eastAsia="Arial Unicode MS" w:hAnsiTheme="minorHAnsi"/>
        </w:rPr>
        <w:t xml:space="preserve">ą </w:t>
      </w:r>
      <w:r w:rsidRPr="00A23FB4">
        <w:rPr>
          <w:rFonts w:asciiTheme="minorHAnsi" w:eastAsia="Arial Unicode MS" w:hAnsiTheme="minorHAnsi" w:cs="Arial Unicode MS"/>
        </w:rPr>
        <w:t>nast</w:t>
      </w:r>
      <w:r w:rsidRPr="00A23FB4">
        <w:rPr>
          <w:rFonts w:asciiTheme="minorHAnsi" w:eastAsia="Arial Unicode MS" w:hAnsiTheme="minorHAnsi"/>
        </w:rPr>
        <w:t>ę</w:t>
      </w:r>
      <w:r w:rsidRPr="00A23FB4">
        <w:rPr>
          <w:rFonts w:asciiTheme="minorHAnsi" w:eastAsia="Arial Unicode MS" w:hAnsiTheme="minorHAnsi" w:cs="Arial Unicode MS"/>
        </w:rPr>
        <w:t>puj</w:t>
      </w:r>
      <w:r w:rsidRPr="00A23FB4">
        <w:rPr>
          <w:rFonts w:asciiTheme="minorHAnsi" w:eastAsia="Arial Unicode MS" w:hAnsiTheme="minorHAnsi"/>
        </w:rPr>
        <w:t>ą</w:t>
      </w:r>
      <w:r w:rsidRPr="00A23FB4">
        <w:rPr>
          <w:rFonts w:asciiTheme="minorHAnsi" w:eastAsia="Arial Unicode MS" w:hAnsiTheme="minorHAnsi" w:cs="Arial Unicode MS"/>
        </w:rPr>
        <w:t xml:space="preserve">ce: </w:t>
      </w:r>
    </w:p>
    <w:p w14:paraId="0711EED8" w14:textId="77777777" w:rsidR="00557CCE" w:rsidRPr="00A23FB4" w:rsidRDefault="00557CCE" w:rsidP="00557CCE">
      <w:pPr>
        <w:overflowPunct/>
        <w:jc w:val="left"/>
        <w:textAlignment w:val="auto"/>
        <w:rPr>
          <w:rFonts w:asciiTheme="minorHAnsi" w:eastAsia="Arial Unicode MS" w:hAnsiTheme="minorHAnsi" w:cs="Arial Unicode MS"/>
        </w:rPr>
      </w:pPr>
      <w:r w:rsidRPr="00A23FB4">
        <w:rPr>
          <w:rFonts w:asciiTheme="minorHAnsi" w:eastAsia="Arial Unicode MS" w:hAnsiTheme="minorHAnsi" w:cs="Arial Unicode MS"/>
        </w:rPr>
        <w:t>a) Termin sadzenia: Najlepiej sadzi</w:t>
      </w:r>
      <w:r w:rsidRPr="00A23FB4">
        <w:rPr>
          <w:rFonts w:asciiTheme="minorHAnsi" w:eastAsia="Arial Unicode MS" w:hAnsiTheme="minorHAnsi"/>
          <w:i/>
          <w:iCs/>
        </w:rPr>
        <w:t>ć</w:t>
      </w:r>
      <w:r w:rsidRPr="00A23FB4">
        <w:rPr>
          <w:rFonts w:asciiTheme="minorHAnsi" w:eastAsia="Arial Unicode MS" w:hAnsiTheme="minorHAnsi" w:cs="Arial Unicode MS"/>
        </w:rPr>
        <w:t xml:space="preserve">: </w:t>
      </w:r>
    </w:p>
    <w:p w14:paraId="56048EB0" w14:textId="77777777" w:rsidR="00557CCE" w:rsidRPr="00A23FB4" w:rsidRDefault="00557CCE" w:rsidP="00557CCE">
      <w:pPr>
        <w:overflowPunct/>
        <w:spacing w:after="21"/>
        <w:jc w:val="left"/>
        <w:textAlignment w:val="auto"/>
        <w:rPr>
          <w:rFonts w:asciiTheme="minorHAnsi" w:eastAsia="Arial Unicode MS" w:hAnsiTheme="minorHAnsi" w:cs="Arial Unicode MS"/>
        </w:rPr>
      </w:pPr>
      <w:r w:rsidRPr="00A23FB4">
        <w:rPr>
          <w:rFonts w:asciiTheme="minorHAnsi" w:eastAsia="Arial Unicode MS" w:hAnsiTheme="minorHAnsi" w:cs="Arial Unicode MS"/>
        </w:rPr>
        <w:t>- wiosn</w:t>
      </w:r>
      <w:r w:rsidRPr="00A23FB4">
        <w:rPr>
          <w:rFonts w:asciiTheme="minorHAnsi" w:eastAsia="Arial Unicode MS" w:hAnsiTheme="minorHAnsi"/>
        </w:rPr>
        <w:t xml:space="preserve">ą </w:t>
      </w:r>
      <w:r w:rsidRPr="00A23FB4">
        <w:rPr>
          <w:rFonts w:asciiTheme="minorHAnsi" w:eastAsia="Arial Unicode MS" w:hAnsiTheme="minorHAnsi" w:cs="Arial Unicode MS"/>
        </w:rPr>
        <w:t>po rozmarzni</w:t>
      </w:r>
      <w:r w:rsidRPr="00A23FB4">
        <w:rPr>
          <w:rFonts w:asciiTheme="minorHAnsi" w:eastAsia="Arial Unicode MS" w:hAnsiTheme="minorHAnsi"/>
        </w:rPr>
        <w:t>ę</w:t>
      </w:r>
      <w:r w:rsidRPr="00A23FB4">
        <w:rPr>
          <w:rFonts w:asciiTheme="minorHAnsi" w:eastAsia="Arial Unicode MS" w:hAnsiTheme="minorHAnsi" w:cs="Arial Unicode MS"/>
        </w:rPr>
        <w:t>ciu gleby w okresie marzec-kwiecie</w:t>
      </w:r>
      <w:r w:rsidRPr="00A23FB4">
        <w:rPr>
          <w:rFonts w:asciiTheme="minorHAnsi" w:eastAsia="Arial Unicode MS" w:hAnsiTheme="minorHAnsi"/>
        </w:rPr>
        <w:t>ń</w:t>
      </w:r>
      <w:r w:rsidRPr="00A23FB4">
        <w:rPr>
          <w:rFonts w:asciiTheme="minorHAnsi" w:eastAsia="Arial Unicode MS" w:hAnsiTheme="minorHAnsi" w:cs="Arial Unicode MS"/>
        </w:rPr>
        <w:t xml:space="preserve">, </w:t>
      </w:r>
    </w:p>
    <w:p w14:paraId="07E2D4F3" w14:textId="77777777" w:rsidR="00557CCE" w:rsidRPr="00A23FB4" w:rsidRDefault="00557CCE" w:rsidP="00557CCE">
      <w:pPr>
        <w:overflowPunct/>
        <w:spacing w:after="21"/>
        <w:jc w:val="left"/>
        <w:textAlignment w:val="auto"/>
        <w:rPr>
          <w:rFonts w:asciiTheme="minorHAnsi" w:eastAsia="Arial Unicode MS" w:hAnsiTheme="minorHAnsi" w:cs="Arial Unicode MS"/>
        </w:rPr>
      </w:pPr>
      <w:r w:rsidRPr="00A23FB4">
        <w:rPr>
          <w:rFonts w:asciiTheme="minorHAnsi" w:eastAsia="Arial Unicode MS" w:hAnsiTheme="minorHAnsi" w:cs="Arial Unicode MS"/>
        </w:rPr>
        <w:t>- jesieni</w:t>
      </w:r>
      <w:r w:rsidRPr="00A23FB4">
        <w:rPr>
          <w:rFonts w:asciiTheme="minorHAnsi" w:eastAsia="Arial Unicode MS" w:hAnsiTheme="minorHAnsi"/>
        </w:rPr>
        <w:t xml:space="preserve">ą </w:t>
      </w:r>
      <w:r w:rsidRPr="00A23FB4">
        <w:rPr>
          <w:rFonts w:asciiTheme="minorHAnsi" w:eastAsia="Arial Unicode MS" w:hAnsiTheme="minorHAnsi" w:cs="Arial Unicode MS"/>
        </w:rPr>
        <w:t>w okresie wrzesie</w:t>
      </w:r>
      <w:r w:rsidRPr="00A23FB4">
        <w:rPr>
          <w:rFonts w:asciiTheme="minorHAnsi" w:eastAsia="Arial Unicode MS" w:hAnsiTheme="minorHAnsi"/>
        </w:rPr>
        <w:t>ń</w:t>
      </w:r>
      <w:r w:rsidRPr="00A23FB4">
        <w:rPr>
          <w:rFonts w:asciiTheme="minorHAnsi" w:eastAsia="Arial Unicode MS" w:hAnsiTheme="minorHAnsi" w:cs="Arial Unicode MS"/>
        </w:rPr>
        <w:t>- listopad (przed zamarzni</w:t>
      </w:r>
      <w:r w:rsidRPr="00A23FB4">
        <w:rPr>
          <w:rFonts w:asciiTheme="minorHAnsi" w:eastAsia="Arial Unicode MS" w:hAnsiTheme="minorHAnsi"/>
        </w:rPr>
        <w:t>ę</w:t>
      </w:r>
      <w:r w:rsidRPr="00A23FB4">
        <w:rPr>
          <w:rFonts w:asciiTheme="minorHAnsi" w:eastAsia="Arial Unicode MS" w:hAnsiTheme="minorHAnsi" w:cs="Arial Unicode MS"/>
        </w:rPr>
        <w:t xml:space="preserve">ciem gleby), </w:t>
      </w:r>
    </w:p>
    <w:p w14:paraId="24102E0B" w14:textId="77777777" w:rsidR="00557CCE" w:rsidRPr="00A23FB4" w:rsidRDefault="00557CCE" w:rsidP="00557CCE">
      <w:pPr>
        <w:overflowPunct/>
        <w:jc w:val="left"/>
        <w:textAlignment w:val="auto"/>
        <w:rPr>
          <w:rFonts w:asciiTheme="minorHAnsi" w:eastAsia="Arial Unicode MS" w:hAnsiTheme="minorHAnsi" w:cs="Arial Unicode MS"/>
        </w:rPr>
      </w:pPr>
      <w:r w:rsidRPr="00A23FB4">
        <w:rPr>
          <w:rFonts w:asciiTheme="minorHAnsi" w:eastAsia="Arial Unicode MS" w:hAnsiTheme="minorHAnsi" w:cs="Arial Unicode MS"/>
        </w:rPr>
        <w:t>- ro</w:t>
      </w:r>
      <w:r w:rsidRPr="00A23FB4">
        <w:rPr>
          <w:rFonts w:asciiTheme="minorHAnsi" w:eastAsia="Arial Unicode MS" w:hAnsiTheme="minorHAnsi"/>
        </w:rPr>
        <w:t>ś</w:t>
      </w:r>
      <w:r w:rsidRPr="00A23FB4">
        <w:rPr>
          <w:rFonts w:asciiTheme="minorHAnsi" w:eastAsia="Arial Unicode MS" w:hAnsiTheme="minorHAnsi" w:cs="Arial Unicode MS"/>
        </w:rPr>
        <w:t>liny produkowane w pojemnikach mog</w:t>
      </w:r>
      <w:r w:rsidRPr="00A23FB4">
        <w:rPr>
          <w:rFonts w:asciiTheme="minorHAnsi" w:eastAsia="Arial Unicode MS" w:hAnsiTheme="minorHAnsi"/>
        </w:rPr>
        <w:t xml:space="preserve">ą </w:t>
      </w:r>
      <w:r w:rsidRPr="00A23FB4">
        <w:rPr>
          <w:rFonts w:asciiTheme="minorHAnsi" w:eastAsia="Arial Unicode MS" w:hAnsiTheme="minorHAnsi" w:cs="Arial Unicode MS"/>
        </w:rPr>
        <w:t>by</w:t>
      </w:r>
      <w:r w:rsidRPr="00A23FB4">
        <w:rPr>
          <w:rFonts w:asciiTheme="minorHAnsi" w:eastAsia="Arial Unicode MS" w:hAnsiTheme="minorHAnsi"/>
        </w:rPr>
        <w:t xml:space="preserve">ć </w:t>
      </w:r>
      <w:r w:rsidRPr="00A23FB4">
        <w:rPr>
          <w:rFonts w:asciiTheme="minorHAnsi" w:eastAsia="Arial Unicode MS" w:hAnsiTheme="minorHAnsi" w:cs="Arial Unicode MS"/>
        </w:rPr>
        <w:t>sadzone przez ca</w:t>
      </w:r>
      <w:r w:rsidRPr="00A23FB4">
        <w:rPr>
          <w:rFonts w:asciiTheme="minorHAnsi" w:eastAsia="Arial Unicode MS" w:hAnsiTheme="minorHAnsi"/>
        </w:rPr>
        <w:t>ł</w:t>
      </w:r>
      <w:r w:rsidRPr="00A23FB4">
        <w:rPr>
          <w:rFonts w:asciiTheme="minorHAnsi" w:eastAsia="Arial Unicode MS" w:hAnsiTheme="minorHAnsi" w:cs="Arial Unicode MS"/>
        </w:rPr>
        <w:t xml:space="preserve">y rok. </w:t>
      </w:r>
    </w:p>
    <w:p w14:paraId="1BC32594" w14:textId="77777777" w:rsidR="00557CCE" w:rsidRPr="00A23FB4" w:rsidRDefault="00557CCE" w:rsidP="00557CCE">
      <w:pPr>
        <w:overflowPunct/>
        <w:jc w:val="left"/>
        <w:textAlignment w:val="auto"/>
        <w:rPr>
          <w:rFonts w:asciiTheme="minorHAnsi" w:eastAsia="Arial Unicode MS" w:hAnsiTheme="minorHAnsi" w:cs="Arial Unicode MS"/>
        </w:rPr>
      </w:pPr>
      <w:r w:rsidRPr="00A23FB4">
        <w:rPr>
          <w:rFonts w:asciiTheme="minorHAnsi" w:eastAsia="Arial Unicode MS" w:hAnsiTheme="minorHAnsi" w:cs="Arial Unicode MS"/>
        </w:rPr>
        <w:t>b) Miejsce i spos</w:t>
      </w:r>
      <w:r w:rsidRPr="00A23FB4">
        <w:rPr>
          <w:rFonts w:asciiTheme="minorHAnsi" w:eastAsia="Arial Unicode MS" w:hAnsiTheme="minorHAnsi"/>
          <w:i/>
          <w:iCs/>
        </w:rPr>
        <w:t>ó</w:t>
      </w:r>
      <w:r w:rsidRPr="00A23FB4">
        <w:rPr>
          <w:rFonts w:asciiTheme="minorHAnsi" w:eastAsia="Arial Unicode MS" w:hAnsiTheme="minorHAnsi" w:cs="Arial Unicode MS"/>
        </w:rPr>
        <w:t xml:space="preserve">b sadzenia sadzenia: </w:t>
      </w:r>
    </w:p>
    <w:p w14:paraId="2885607B" w14:textId="77777777" w:rsidR="00557CCE" w:rsidRPr="00A23FB4" w:rsidRDefault="00557CCE" w:rsidP="00557CCE">
      <w:pPr>
        <w:overflowPunct/>
        <w:spacing w:after="21"/>
        <w:jc w:val="left"/>
        <w:textAlignment w:val="auto"/>
        <w:rPr>
          <w:rFonts w:asciiTheme="minorHAnsi" w:eastAsia="Arial Unicode MS" w:hAnsiTheme="minorHAnsi" w:cs="Arial Unicode MS"/>
        </w:rPr>
      </w:pPr>
      <w:r w:rsidRPr="00A23FB4">
        <w:rPr>
          <w:rFonts w:asciiTheme="minorHAnsi" w:eastAsia="Arial Unicode MS" w:hAnsiTheme="minorHAnsi" w:cs="Arial Unicode MS"/>
        </w:rPr>
        <w:t>- miejsce sadzenia powinno by</w:t>
      </w:r>
      <w:r w:rsidRPr="00A23FB4">
        <w:rPr>
          <w:rFonts w:asciiTheme="minorHAnsi" w:eastAsia="Arial Unicode MS" w:hAnsiTheme="minorHAnsi"/>
        </w:rPr>
        <w:t xml:space="preserve">ć </w:t>
      </w:r>
      <w:r w:rsidRPr="00A23FB4">
        <w:rPr>
          <w:rFonts w:asciiTheme="minorHAnsi" w:eastAsia="Arial Unicode MS" w:hAnsiTheme="minorHAnsi" w:cs="Arial Unicode MS"/>
        </w:rPr>
        <w:t>wyznaczone w terenie zgodnie z Dokumentacj</w:t>
      </w:r>
      <w:r w:rsidRPr="00A23FB4">
        <w:rPr>
          <w:rFonts w:asciiTheme="minorHAnsi" w:eastAsia="Arial Unicode MS" w:hAnsiTheme="minorHAnsi"/>
        </w:rPr>
        <w:t xml:space="preserve">ą </w:t>
      </w:r>
      <w:r w:rsidRPr="00A23FB4">
        <w:rPr>
          <w:rFonts w:asciiTheme="minorHAnsi" w:eastAsia="Arial Unicode MS" w:hAnsiTheme="minorHAnsi" w:cs="Arial Unicode MS"/>
        </w:rPr>
        <w:t>Projektow</w:t>
      </w:r>
      <w:r w:rsidRPr="00A23FB4">
        <w:rPr>
          <w:rFonts w:asciiTheme="minorHAnsi" w:eastAsia="Arial Unicode MS" w:hAnsiTheme="minorHAnsi"/>
        </w:rPr>
        <w:t>ą</w:t>
      </w:r>
      <w:r w:rsidRPr="00A23FB4">
        <w:rPr>
          <w:rFonts w:asciiTheme="minorHAnsi" w:eastAsia="Arial Unicode MS" w:hAnsiTheme="minorHAnsi" w:cs="Arial Unicode MS"/>
        </w:rPr>
        <w:t xml:space="preserve">, </w:t>
      </w:r>
    </w:p>
    <w:p w14:paraId="1FD30DA0" w14:textId="77777777" w:rsidR="00557CCE" w:rsidRPr="00A23FB4" w:rsidRDefault="00557CCE" w:rsidP="00557CCE">
      <w:pPr>
        <w:overflowPunct/>
        <w:spacing w:after="21"/>
        <w:jc w:val="left"/>
        <w:textAlignment w:val="auto"/>
        <w:rPr>
          <w:rFonts w:asciiTheme="minorHAnsi" w:eastAsia="Arial Unicode MS" w:hAnsiTheme="minorHAnsi" w:cs="Arial Unicode MS"/>
        </w:rPr>
      </w:pPr>
      <w:r w:rsidRPr="00A23FB4">
        <w:rPr>
          <w:rFonts w:asciiTheme="minorHAnsi" w:eastAsia="Arial Unicode MS" w:hAnsiTheme="minorHAnsi" w:cs="Arial Unicode MS"/>
        </w:rPr>
        <w:t>- przed wysadzeniem sadzonek nale</w:t>
      </w:r>
      <w:r w:rsidRPr="00A23FB4">
        <w:rPr>
          <w:rFonts w:asciiTheme="minorHAnsi" w:eastAsia="Arial Unicode MS" w:hAnsiTheme="minorHAnsi"/>
        </w:rPr>
        <w:t>ż</w:t>
      </w:r>
      <w:r w:rsidRPr="00A23FB4">
        <w:rPr>
          <w:rFonts w:asciiTheme="minorHAnsi" w:eastAsia="Arial Unicode MS" w:hAnsiTheme="minorHAnsi" w:cs="Arial Unicode MS"/>
        </w:rPr>
        <w:t>y odchwa</w:t>
      </w:r>
      <w:r w:rsidRPr="00A23FB4">
        <w:rPr>
          <w:rFonts w:asciiTheme="minorHAnsi" w:eastAsia="Arial Unicode MS" w:hAnsiTheme="minorHAnsi"/>
        </w:rPr>
        <w:t>ś</w:t>
      </w:r>
      <w:r w:rsidRPr="00A23FB4">
        <w:rPr>
          <w:rFonts w:asciiTheme="minorHAnsi" w:eastAsia="Arial Unicode MS" w:hAnsiTheme="minorHAnsi" w:cs="Arial Unicode MS"/>
        </w:rPr>
        <w:t>ci</w:t>
      </w:r>
      <w:r w:rsidRPr="00A23FB4">
        <w:rPr>
          <w:rFonts w:asciiTheme="minorHAnsi" w:eastAsia="Arial Unicode MS" w:hAnsiTheme="minorHAnsi"/>
        </w:rPr>
        <w:t>ć</w:t>
      </w:r>
      <w:r w:rsidRPr="00A23FB4">
        <w:rPr>
          <w:rFonts w:asciiTheme="minorHAnsi" w:eastAsia="Arial Unicode MS" w:hAnsiTheme="minorHAnsi" w:cs="Arial Unicode MS"/>
        </w:rPr>
        <w:t>, wyr</w:t>
      </w:r>
      <w:r w:rsidRPr="00A23FB4">
        <w:rPr>
          <w:rFonts w:asciiTheme="minorHAnsi" w:eastAsia="Arial Unicode MS" w:hAnsiTheme="minorHAnsi"/>
        </w:rPr>
        <w:t>ó</w:t>
      </w:r>
      <w:r w:rsidRPr="00A23FB4">
        <w:rPr>
          <w:rFonts w:asciiTheme="minorHAnsi" w:eastAsia="Arial Unicode MS" w:hAnsiTheme="minorHAnsi" w:cs="Arial Unicode MS"/>
        </w:rPr>
        <w:t>wna</w:t>
      </w:r>
      <w:r w:rsidRPr="00A23FB4">
        <w:rPr>
          <w:rFonts w:asciiTheme="minorHAnsi" w:eastAsia="Arial Unicode MS" w:hAnsiTheme="minorHAnsi"/>
        </w:rPr>
        <w:t xml:space="preserve">ć </w:t>
      </w:r>
      <w:r w:rsidRPr="00A23FB4">
        <w:rPr>
          <w:rFonts w:asciiTheme="minorHAnsi" w:eastAsia="Arial Unicode MS" w:hAnsiTheme="minorHAnsi" w:cs="Arial Unicode MS"/>
        </w:rPr>
        <w:t>i oczy</w:t>
      </w:r>
      <w:r w:rsidRPr="00A23FB4">
        <w:rPr>
          <w:rFonts w:asciiTheme="minorHAnsi" w:eastAsia="Arial Unicode MS" w:hAnsiTheme="minorHAnsi"/>
        </w:rPr>
        <w:t>ś</w:t>
      </w:r>
      <w:r w:rsidRPr="00A23FB4">
        <w:rPr>
          <w:rFonts w:asciiTheme="minorHAnsi" w:eastAsia="Arial Unicode MS" w:hAnsiTheme="minorHAnsi" w:cs="Arial Unicode MS"/>
        </w:rPr>
        <w:t>ci</w:t>
      </w:r>
      <w:r w:rsidRPr="00A23FB4">
        <w:rPr>
          <w:rFonts w:asciiTheme="minorHAnsi" w:eastAsia="Arial Unicode MS" w:hAnsiTheme="minorHAnsi"/>
        </w:rPr>
        <w:t xml:space="preserve">ć </w:t>
      </w:r>
      <w:r w:rsidRPr="00A23FB4">
        <w:rPr>
          <w:rFonts w:asciiTheme="minorHAnsi" w:eastAsia="Arial Unicode MS" w:hAnsiTheme="minorHAnsi" w:cs="Arial Unicode MS"/>
        </w:rPr>
        <w:t>z ewentualnych zanieczyszcze</w:t>
      </w:r>
      <w:r w:rsidRPr="00A23FB4">
        <w:rPr>
          <w:rFonts w:asciiTheme="minorHAnsi" w:eastAsia="Arial Unicode MS" w:hAnsiTheme="minorHAnsi"/>
        </w:rPr>
        <w:t xml:space="preserve">ń </w:t>
      </w:r>
      <w:r w:rsidRPr="00A23FB4">
        <w:rPr>
          <w:rFonts w:asciiTheme="minorHAnsi" w:eastAsia="Arial Unicode MS" w:hAnsiTheme="minorHAnsi" w:cs="Arial Unicode MS"/>
        </w:rPr>
        <w:t>wierzchni</w:t>
      </w:r>
      <w:r w:rsidRPr="00A23FB4">
        <w:rPr>
          <w:rFonts w:asciiTheme="minorHAnsi" w:eastAsia="Arial Unicode MS" w:hAnsiTheme="minorHAnsi"/>
        </w:rPr>
        <w:t xml:space="preserve">ą </w:t>
      </w:r>
      <w:r w:rsidRPr="00A23FB4">
        <w:rPr>
          <w:rFonts w:asciiTheme="minorHAnsi" w:eastAsia="Arial Unicode MS" w:hAnsiTheme="minorHAnsi" w:cs="Arial Unicode MS"/>
        </w:rPr>
        <w:t>warstw</w:t>
      </w:r>
      <w:r w:rsidRPr="00A23FB4">
        <w:rPr>
          <w:rFonts w:asciiTheme="minorHAnsi" w:eastAsia="Arial Unicode MS" w:hAnsiTheme="minorHAnsi"/>
        </w:rPr>
        <w:t xml:space="preserve">ę </w:t>
      </w:r>
      <w:r w:rsidRPr="00A23FB4">
        <w:rPr>
          <w:rFonts w:asciiTheme="minorHAnsi" w:eastAsia="Arial Unicode MS" w:hAnsiTheme="minorHAnsi" w:cs="Arial Unicode MS"/>
        </w:rPr>
        <w:t>gleby na pasach o szeroko</w:t>
      </w:r>
      <w:r w:rsidRPr="00A23FB4">
        <w:rPr>
          <w:rFonts w:asciiTheme="minorHAnsi" w:eastAsia="Arial Unicode MS" w:hAnsiTheme="minorHAnsi"/>
        </w:rPr>
        <w:t>ś</w:t>
      </w:r>
      <w:r w:rsidRPr="00A23FB4">
        <w:rPr>
          <w:rFonts w:asciiTheme="minorHAnsi" w:eastAsia="Arial Unicode MS" w:hAnsiTheme="minorHAnsi" w:cs="Arial Unicode MS"/>
        </w:rPr>
        <w:t>ci r</w:t>
      </w:r>
      <w:r w:rsidRPr="00A23FB4">
        <w:rPr>
          <w:rFonts w:asciiTheme="minorHAnsi" w:eastAsia="Arial Unicode MS" w:hAnsiTheme="minorHAnsi"/>
        </w:rPr>
        <w:t>ó</w:t>
      </w:r>
      <w:r w:rsidRPr="00A23FB4">
        <w:rPr>
          <w:rFonts w:asciiTheme="minorHAnsi" w:eastAsia="Arial Unicode MS" w:hAnsiTheme="minorHAnsi" w:cs="Arial Unicode MS"/>
        </w:rPr>
        <w:t xml:space="preserve">wnej co najmniej 1,5 </w:t>
      </w:r>
      <w:r w:rsidRPr="00A23FB4">
        <w:rPr>
          <w:rFonts w:asciiTheme="minorHAnsi" w:eastAsia="Arial Unicode MS" w:hAnsiTheme="minorHAnsi"/>
        </w:rPr>
        <w:t>ś</w:t>
      </w:r>
      <w:r w:rsidRPr="00A23FB4">
        <w:rPr>
          <w:rFonts w:asciiTheme="minorHAnsi" w:eastAsia="Arial Unicode MS" w:hAnsiTheme="minorHAnsi" w:cs="Arial Unicode MS"/>
        </w:rPr>
        <w:t>rednicy do</w:t>
      </w:r>
      <w:r w:rsidRPr="00A23FB4">
        <w:rPr>
          <w:rFonts w:asciiTheme="minorHAnsi" w:eastAsia="Arial Unicode MS" w:hAnsiTheme="minorHAnsi"/>
        </w:rPr>
        <w:t>ł</w:t>
      </w:r>
      <w:r w:rsidRPr="00A23FB4">
        <w:rPr>
          <w:rFonts w:asciiTheme="minorHAnsi" w:eastAsia="Arial Unicode MS" w:hAnsiTheme="minorHAnsi" w:cs="Arial Unicode MS"/>
        </w:rPr>
        <w:t>u lub na plac</w:t>
      </w:r>
      <w:r w:rsidRPr="00A23FB4">
        <w:rPr>
          <w:rFonts w:asciiTheme="minorHAnsi" w:eastAsia="Arial Unicode MS" w:hAnsiTheme="minorHAnsi"/>
        </w:rPr>
        <w:t>ó</w:t>
      </w:r>
      <w:r w:rsidRPr="00A23FB4">
        <w:rPr>
          <w:rFonts w:asciiTheme="minorHAnsi" w:eastAsia="Arial Unicode MS" w:hAnsiTheme="minorHAnsi" w:cs="Arial Unicode MS"/>
        </w:rPr>
        <w:t xml:space="preserve">wkach o </w:t>
      </w:r>
      <w:r w:rsidRPr="00A23FB4">
        <w:rPr>
          <w:rFonts w:asciiTheme="minorHAnsi" w:eastAsia="Arial Unicode MS" w:hAnsiTheme="minorHAnsi"/>
        </w:rPr>
        <w:t>ś</w:t>
      </w:r>
      <w:r w:rsidRPr="00A23FB4">
        <w:rPr>
          <w:rFonts w:asciiTheme="minorHAnsi" w:eastAsia="Arial Unicode MS" w:hAnsiTheme="minorHAnsi" w:cs="Arial Unicode MS"/>
        </w:rPr>
        <w:t>rednicy r</w:t>
      </w:r>
      <w:r w:rsidRPr="00A23FB4">
        <w:rPr>
          <w:rFonts w:asciiTheme="minorHAnsi" w:eastAsia="Arial Unicode MS" w:hAnsiTheme="minorHAnsi"/>
        </w:rPr>
        <w:t>ó</w:t>
      </w:r>
      <w:r w:rsidRPr="00A23FB4">
        <w:rPr>
          <w:rFonts w:asciiTheme="minorHAnsi" w:eastAsia="Arial Unicode MS" w:hAnsiTheme="minorHAnsi" w:cs="Arial Unicode MS"/>
        </w:rPr>
        <w:t xml:space="preserve">wnej co najmniej 1,5 </w:t>
      </w:r>
      <w:r w:rsidRPr="00A23FB4">
        <w:rPr>
          <w:rFonts w:asciiTheme="minorHAnsi" w:eastAsia="Arial Unicode MS" w:hAnsiTheme="minorHAnsi"/>
        </w:rPr>
        <w:t>ś</w:t>
      </w:r>
      <w:r w:rsidRPr="00A23FB4">
        <w:rPr>
          <w:rFonts w:asciiTheme="minorHAnsi" w:eastAsia="Arial Unicode MS" w:hAnsiTheme="minorHAnsi" w:cs="Arial Unicode MS"/>
        </w:rPr>
        <w:t>rednicy do</w:t>
      </w:r>
      <w:r w:rsidRPr="00A23FB4">
        <w:rPr>
          <w:rFonts w:asciiTheme="minorHAnsi" w:eastAsia="Arial Unicode MS" w:hAnsiTheme="minorHAnsi"/>
        </w:rPr>
        <w:t>ł</w:t>
      </w:r>
      <w:r w:rsidRPr="00A23FB4">
        <w:rPr>
          <w:rFonts w:asciiTheme="minorHAnsi" w:eastAsia="Arial Unicode MS" w:hAnsiTheme="minorHAnsi" w:cs="Arial Unicode MS"/>
        </w:rPr>
        <w:t xml:space="preserve">u, </w:t>
      </w:r>
    </w:p>
    <w:p w14:paraId="7EBE7CC7" w14:textId="77777777" w:rsidR="00557CCE" w:rsidRPr="00A23FB4" w:rsidRDefault="00557CCE" w:rsidP="00557CCE">
      <w:pPr>
        <w:overflowPunct/>
        <w:spacing w:after="21"/>
        <w:jc w:val="left"/>
        <w:textAlignment w:val="auto"/>
        <w:rPr>
          <w:rFonts w:asciiTheme="minorHAnsi" w:eastAsia="Arial Unicode MS" w:hAnsiTheme="minorHAnsi" w:cs="Arial Unicode MS"/>
        </w:rPr>
      </w:pPr>
      <w:r w:rsidRPr="00A23FB4">
        <w:rPr>
          <w:rFonts w:asciiTheme="minorHAnsi" w:eastAsia="Arial Unicode MS" w:hAnsiTheme="minorHAnsi" w:cs="Arial Unicode MS"/>
        </w:rPr>
        <w:t>- do</w:t>
      </w:r>
      <w:r w:rsidRPr="00A23FB4">
        <w:rPr>
          <w:rFonts w:asciiTheme="minorHAnsi" w:eastAsia="Arial Unicode MS" w:hAnsiTheme="minorHAnsi"/>
        </w:rPr>
        <w:t>ł</w:t>
      </w:r>
      <w:r w:rsidRPr="00A23FB4">
        <w:rPr>
          <w:rFonts w:asciiTheme="minorHAnsi" w:eastAsia="Arial Unicode MS" w:hAnsiTheme="minorHAnsi" w:cs="Arial Unicode MS"/>
        </w:rPr>
        <w:t>y pod drzewa i krzewy powinny mie</w:t>
      </w:r>
      <w:r w:rsidRPr="00A23FB4">
        <w:rPr>
          <w:rFonts w:asciiTheme="minorHAnsi" w:eastAsia="Arial Unicode MS" w:hAnsiTheme="minorHAnsi"/>
        </w:rPr>
        <w:t xml:space="preserve">ć </w:t>
      </w:r>
      <w:r w:rsidRPr="00A23FB4">
        <w:rPr>
          <w:rFonts w:asciiTheme="minorHAnsi" w:eastAsia="Arial Unicode MS" w:hAnsiTheme="minorHAnsi" w:cs="Arial Unicode MS"/>
        </w:rPr>
        <w:t>wielko</w:t>
      </w:r>
      <w:r w:rsidRPr="00A23FB4">
        <w:rPr>
          <w:rFonts w:asciiTheme="minorHAnsi" w:eastAsia="Arial Unicode MS" w:hAnsiTheme="minorHAnsi"/>
        </w:rPr>
        <w:t xml:space="preserve">ść </w:t>
      </w:r>
      <w:r w:rsidRPr="00A23FB4">
        <w:rPr>
          <w:rFonts w:asciiTheme="minorHAnsi" w:eastAsia="Arial Unicode MS" w:hAnsiTheme="minorHAnsi" w:cs="Arial Unicode MS"/>
        </w:rPr>
        <w:t>wskazan</w:t>
      </w:r>
      <w:r w:rsidRPr="00A23FB4">
        <w:rPr>
          <w:rFonts w:asciiTheme="minorHAnsi" w:eastAsia="Arial Unicode MS" w:hAnsiTheme="minorHAnsi"/>
        </w:rPr>
        <w:t xml:space="preserve">ą </w:t>
      </w:r>
      <w:r w:rsidRPr="00A23FB4">
        <w:rPr>
          <w:rFonts w:asciiTheme="minorHAnsi" w:eastAsia="Arial Unicode MS" w:hAnsiTheme="minorHAnsi" w:cs="Arial Unicode MS"/>
        </w:rPr>
        <w:t xml:space="preserve">w Dokumentacji Projektowej, </w:t>
      </w:r>
    </w:p>
    <w:p w14:paraId="6CC5CD56" w14:textId="77777777" w:rsidR="00557CCE" w:rsidRPr="00A23FB4" w:rsidRDefault="00557CCE" w:rsidP="00557CCE">
      <w:pPr>
        <w:overflowPunct/>
        <w:spacing w:after="21"/>
        <w:jc w:val="left"/>
        <w:textAlignment w:val="auto"/>
        <w:rPr>
          <w:rFonts w:asciiTheme="minorHAnsi" w:eastAsia="Arial Unicode MS" w:hAnsiTheme="minorHAnsi" w:cs="Arial Unicode MS"/>
        </w:rPr>
      </w:pPr>
      <w:r w:rsidRPr="00A23FB4">
        <w:rPr>
          <w:rFonts w:asciiTheme="minorHAnsi" w:eastAsia="Arial Unicode MS" w:hAnsiTheme="minorHAnsi" w:cs="Arial Unicode MS"/>
        </w:rPr>
        <w:t>- ro</w:t>
      </w:r>
      <w:r w:rsidRPr="00A23FB4">
        <w:rPr>
          <w:rFonts w:asciiTheme="minorHAnsi" w:eastAsia="Arial Unicode MS" w:hAnsiTheme="minorHAnsi"/>
        </w:rPr>
        <w:t>ś</w:t>
      </w:r>
      <w:r w:rsidRPr="00A23FB4">
        <w:rPr>
          <w:rFonts w:asciiTheme="minorHAnsi" w:eastAsia="Arial Unicode MS" w:hAnsiTheme="minorHAnsi" w:cs="Arial Unicode MS"/>
        </w:rPr>
        <w:t>liny winny by</w:t>
      </w:r>
      <w:r w:rsidRPr="00A23FB4">
        <w:rPr>
          <w:rFonts w:asciiTheme="minorHAnsi" w:eastAsia="Arial Unicode MS" w:hAnsiTheme="minorHAnsi"/>
        </w:rPr>
        <w:t xml:space="preserve">ć </w:t>
      </w:r>
      <w:r w:rsidRPr="00A23FB4">
        <w:rPr>
          <w:rFonts w:asciiTheme="minorHAnsi" w:eastAsia="Arial Unicode MS" w:hAnsiTheme="minorHAnsi" w:cs="Arial Unicode MS"/>
        </w:rPr>
        <w:t>sadzone nie p</w:t>
      </w:r>
      <w:r w:rsidRPr="00A23FB4">
        <w:rPr>
          <w:rFonts w:asciiTheme="minorHAnsi" w:eastAsia="Arial Unicode MS" w:hAnsiTheme="minorHAnsi"/>
        </w:rPr>
        <w:t>ł</w:t>
      </w:r>
      <w:r w:rsidRPr="00A23FB4">
        <w:rPr>
          <w:rFonts w:asciiTheme="minorHAnsi" w:eastAsia="Arial Unicode MS" w:hAnsiTheme="minorHAnsi" w:cs="Arial Unicode MS"/>
        </w:rPr>
        <w:t>yciej ni</w:t>
      </w:r>
      <w:r w:rsidRPr="00A23FB4">
        <w:rPr>
          <w:rFonts w:asciiTheme="minorHAnsi" w:eastAsia="Arial Unicode MS" w:hAnsiTheme="minorHAnsi"/>
        </w:rPr>
        <w:t xml:space="preserve">ż </w:t>
      </w:r>
      <w:r w:rsidRPr="00A23FB4">
        <w:rPr>
          <w:rFonts w:asciiTheme="minorHAnsi" w:eastAsia="Arial Unicode MS" w:hAnsiTheme="minorHAnsi" w:cs="Arial Unicode MS"/>
        </w:rPr>
        <w:t>ros</w:t>
      </w:r>
      <w:r w:rsidRPr="00A23FB4">
        <w:rPr>
          <w:rFonts w:asciiTheme="minorHAnsi" w:eastAsia="Arial Unicode MS" w:hAnsiTheme="minorHAnsi"/>
        </w:rPr>
        <w:t>ł</w:t>
      </w:r>
      <w:r w:rsidRPr="00A23FB4">
        <w:rPr>
          <w:rFonts w:asciiTheme="minorHAnsi" w:eastAsia="Arial Unicode MS" w:hAnsiTheme="minorHAnsi" w:cs="Arial Unicode MS"/>
        </w:rPr>
        <w:t>y w szk</w:t>
      </w:r>
      <w:r w:rsidRPr="00A23FB4">
        <w:rPr>
          <w:rFonts w:asciiTheme="minorHAnsi" w:eastAsia="Arial Unicode MS" w:hAnsiTheme="minorHAnsi"/>
        </w:rPr>
        <w:t>ół</w:t>
      </w:r>
      <w:r w:rsidRPr="00A23FB4">
        <w:rPr>
          <w:rFonts w:asciiTheme="minorHAnsi" w:eastAsia="Arial Unicode MS" w:hAnsiTheme="minorHAnsi" w:cs="Arial Unicode MS"/>
        </w:rPr>
        <w:t>ce i nie g</w:t>
      </w:r>
      <w:r w:rsidRPr="00A23FB4">
        <w:rPr>
          <w:rFonts w:asciiTheme="minorHAnsi" w:eastAsia="Arial Unicode MS" w:hAnsiTheme="minorHAnsi"/>
        </w:rPr>
        <w:t>łę</w:t>
      </w:r>
      <w:r w:rsidRPr="00A23FB4">
        <w:rPr>
          <w:rFonts w:asciiTheme="minorHAnsi" w:eastAsia="Arial Unicode MS" w:hAnsiTheme="minorHAnsi" w:cs="Arial Unicode MS"/>
        </w:rPr>
        <w:t>biej ni</w:t>
      </w:r>
      <w:r w:rsidRPr="00A23FB4">
        <w:rPr>
          <w:rFonts w:asciiTheme="minorHAnsi" w:eastAsia="Arial Unicode MS" w:hAnsiTheme="minorHAnsi"/>
        </w:rPr>
        <w:t xml:space="preserve">ż </w:t>
      </w:r>
      <w:r w:rsidRPr="00A23FB4">
        <w:rPr>
          <w:rFonts w:asciiTheme="minorHAnsi" w:eastAsia="Arial Unicode MS" w:hAnsiTheme="minorHAnsi" w:cs="Arial Unicode MS"/>
        </w:rPr>
        <w:t>5 cm poni</w:t>
      </w:r>
      <w:r w:rsidRPr="00A23FB4">
        <w:rPr>
          <w:rFonts w:asciiTheme="minorHAnsi" w:eastAsia="Arial Unicode MS" w:hAnsiTheme="minorHAnsi"/>
        </w:rPr>
        <w:t>ż</w:t>
      </w:r>
      <w:r w:rsidRPr="00A23FB4">
        <w:rPr>
          <w:rFonts w:asciiTheme="minorHAnsi" w:eastAsia="Arial Unicode MS" w:hAnsiTheme="minorHAnsi" w:cs="Arial Unicode MS"/>
        </w:rPr>
        <w:t xml:space="preserve">ej pierwotnego poziomu gruntu, </w:t>
      </w:r>
    </w:p>
    <w:p w14:paraId="7B633D92" w14:textId="77777777" w:rsidR="00557CCE" w:rsidRPr="00A23FB4" w:rsidRDefault="00557CCE" w:rsidP="00557CCE">
      <w:pPr>
        <w:overflowPunct/>
        <w:spacing w:after="21"/>
        <w:jc w:val="left"/>
        <w:textAlignment w:val="auto"/>
        <w:rPr>
          <w:rFonts w:asciiTheme="minorHAnsi" w:eastAsia="Arial Unicode MS" w:hAnsiTheme="minorHAnsi" w:cs="Arial Unicode MS"/>
        </w:rPr>
      </w:pPr>
      <w:r w:rsidRPr="00A23FB4">
        <w:rPr>
          <w:rFonts w:asciiTheme="minorHAnsi" w:eastAsia="Arial Unicode MS" w:hAnsiTheme="minorHAnsi" w:cs="Arial Unicode MS"/>
        </w:rPr>
        <w:t>- korzenie z</w:t>
      </w:r>
      <w:r w:rsidRPr="00A23FB4">
        <w:rPr>
          <w:rFonts w:asciiTheme="minorHAnsi" w:eastAsia="Arial Unicode MS" w:hAnsiTheme="minorHAnsi"/>
        </w:rPr>
        <w:t>ł</w:t>
      </w:r>
      <w:r w:rsidRPr="00A23FB4">
        <w:rPr>
          <w:rFonts w:asciiTheme="minorHAnsi" w:eastAsia="Arial Unicode MS" w:hAnsiTheme="minorHAnsi" w:cs="Arial Unicode MS"/>
        </w:rPr>
        <w:t>amane i uszkodzone nale</w:t>
      </w:r>
      <w:r w:rsidRPr="00A23FB4">
        <w:rPr>
          <w:rFonts w:asciiTheme="minorHAnsi" w:eastAsia="Arial Unicode MS" w:hAnsiTheme="minorHAnsi"/>
        </w:rPr>
        <w:t>ż</w:t>
      </w:r>
      <w:r w:rsidRPr="00A23FB4">
        <w:rPr>
          <w:rFonts w:asciiTheme="minorHAnsi" w:eastAsia="Arial Unicode MS" w:hAnsiTheme="minorHAnsi" w:cs="Arial Unicode MS"/>
        </w:rPr>
        <w:t>y przed sadzeniem przyci</w:t>
      </w:r>
      <w:r w:rsidRPr="00A23FB4">
        <w:rPr>
          <w:rFonts w:asciiTheme="minorHAnsi" w:eastAsia="Arial Unicode MS" w:hAnsiTheme="minorHAnsi"/>
        </w:rPr>
        <w:t>ąć</w:t>
      </w:r>
      <w:r w:rsidRPr="00A23FB4">
        <w:rPr>
          <w:rFonts w:asciiTheme="minorHAnsi" w:eastAsia="Arial Unicode MS" w:hAnsiTheme="minorHAnsi" w:cs="Arial Unicode MS"/>
        </w:rPr>
        <w:t xml:space="preserve">, </w:t>
      </w:r>
    </w:p>
    <w:p w14:paraId="293E0872" w14:textId="77777777" w:rsidR="00557CCE" w:rsidRPr="00A23FB4" w:rsidRDefault="00557CCE" w:rsidP="00557CCE">
      <w:pPr>
        <w:overflowPunct/>
        <w:spacing w:after="21"/>
        <w:jc w:val="left"/>
        <w:textAlignment w:val="auto"/>
        <w:rPr>
          <w:rFonts w:asciiTheme="minorHAnsi" w:eastAsia="Arial Unicode MS" w:hAnsiTheme="minorHAnsi" w:cs="Arial Unicode MS"/>
        </w:rPr>
      </w:pPr>
      <w:r w:rsidRPr="00A23FB4">
        <w:rPr>
          <w:rFonts w:asciiTheme="minorHAnsi" w:eastAsia="Arial Unicode MS" w:hAnsiTheme="minorHAnsi" w:cs="Arial Unicode MS"/>
        </w:rPr>
        <w:t>- korzenie ro</w:t>
      </w:r>
      <w:r w:rsidRPr="00A23FB4">
        <w:rPr>
          <w:rFonts w:asciiTheme="minorHAnsi" w:eastAsia="Arial Unicode MS" w:hAnsiTheme="minorHAnsi"/>
        </w:rPr>
        <w:t>ś</w:t>
      </w:r>
      <w:r w:rsidRPr="00A23FB4">
        <w:rPr>
          <w:rFonts w:asciiTheme="minorHAnsi" w:eastAsia="Arial Unicode MS" w:hAnsiTheme="minorHAnsi" w:cs="Arial Unicode MS"/>
        </w:rPr>
        <w:t>lin zasypa</w:t>
      </w:r>
      <w:r w:rsidRPr="00A23FB4">
        <w:rPr>
          <w:rFonts w:asciiTheme="minorHAnsi" w:eastAsia="Arial Unicode MS" w:hAnsiTheme="minorHAnsi"/>
        </w:rPr>
        <w:t xml:space="preserve">ć </w:t>
      </w:r>
      <w:r w:rsidRPr="00A23FB4">
        <w:rPr>
          <w:rFonts w:asciiTheme="minorHAnsi" w:eastAsia="Arial Unicode MS" w:hAnsiTheme="minorHAnsi" w:cs="Arial Unicode MS"/>
        </w:rPr>
        <w:t>ziemia urodzajn</w:t>
      </w:r>
      <w:r w:rsidRPr="00A23FB4">
        <w:rPr>
          <w:rFonts w:asciiTheme="minorHAnsi" w:eastAsia="Arial Unicode MS" w:hAnsiTheme="minorHAnsi"/>
        </w:rPr>
        <w:t xml:space="preserve">ą </w:t>
      </w:r>
      <w:r w:rsidRPr="00A23FB4">
        <w:rPr>
          <w:rFonts w:asciiTheme="minorHAnsi" w:eastAsia="Arial Unicode MS" w:hAnsiTheme="minorHAnsi" w:cs="Arial Unicode MS"/>
        </w:rPr>
        <w:t>i uciska</w:t>
      </w:r>
      <w:r w:rsidRPr="00A23FB4">
        <w:rPr>
          <w:rFonts w:asciiTheme="minorHAnsi" w:eastAsia="Arial Unicode MS" w:hAnsiTheme="minorHAnsi"/>
        </w:rPr>
        <w:t xml:space="preserve">ć </w:t>
      </w:r>
      <w:r w:rsidRPr="00A23FB4">
        <w:rPr>
          <w:rFonts w:asciiTheme="minorHAnsi" w:eastAsia="Arial Unicode MS" w:hAnsiTheme="minorHAnsi" w:cs="Arial Unicode MS"/>
        </w:rPr>
        <w:t>warstwami, nast</w:t>
      </w:r>
      <w:r w:rsidRPr="00A23FB4">
        <w:rPr>
          <w:rFonts w:asciiTheme="minorHAnsi" w:eastAsia="Arial Unicode MS" w:hAnsiTheme="minorHAnsi"/>
        </w:rPr>
        <w:t>ę</w:t>
      </w:r>
      <w:r w:rsidRPr="00A23FB4">
        <w:rPr>
          <w:rFonts w:asciiTheme="minorHAnsi" w:eastAsia="Arial Unicode MS" w:hAnsiTheme="minorHAnsi" w:cs="Arial Unicode MS"/>
        </w:rPr>
        <w:t>pnie uformowa</w:t>
      </w:r>
      <w:r w:rsidRPr="00A23FB4">
        <w:rPr>
          <w:rFonts w:asciiTheme="minorHAnsi" w:eastAsia="Arial Unicode MS" w:hAnsiTheme="minorHAnsi"/>
        </w:rPr>
        <w:t xml:space="preserve">ć </w:t>
      </w:r>
      <w:r w:rsidRPr="00A23FB4">
        <w:rPr>
          <w:rFonts w:asciiTheme="minorHAnsi" w:eastAsia="Arial Unicode MS" w:hAnsiTheme="minorHAnsi" w:cs="Arial Unicode MS"/>
        </w:rPr>
        <w:t>misk</w:t>
      </w:r>
      <w:r w:rsidRPr="00A23FB4">
        <w:rPr>
          <w:rFonts w:asciiTheme="minorHAnsi" w:eastAsia="Arial Unicode MS" w:hAnsiTheme="minorHAnsi"/>
        </w:rPr>
        <w:t xml:space="preserve">ę </w:t>
      </w:r>
      <w:r w:rsidRPr="00A23FB4">
        <w:rPr>
          <w:rFonts w:asciiTheme="minorHAnsi" w:eastAsia="Arial Unicode MS" w:hAnsiTheme="minorHAnsi" w:cs="Arial Unicode MS"/>
        </w:rPr>
        <w:t>i podla</w:t>
      </w:r>
      <w:r w:rsidRPr="00A23FB4">
        <w:rPr>
          <w:rFonts w:asciiTheme="minorHAnsi" w:eastAsia="Arial Unicode MS" w:hAnsiTheme="minorHAnsi"/>
        </w:rPr>
        <w:t>ć</w:t>
      </w:r>
      <w:r w:rsidRPr="00A23FB4">
        <w:rPr>
          <w:rFonts w:asciiTheme="minorHAnsi" w:eastAsia="Arial Unicode MS" w:hAnsiTheme="minorHAnsi" w:cs="Arial Unicode MS"/>
        </w:rPr>
        <w:t>je</w:t>
      </w:r>
      <w:r w:rsidRPr="00A23FB4">
        <w:rPr>
          <w:rFonts w:asciiTheme="minorHAnsi" w:eastAsia="Arial Unicode MS" w:hAnsiTheme="minorHAnsi"/>
        </w:rPr>
        <w:t>ż</w:t>
      </w:r>
      <w:r w:rsidRPr="00A23FB4">
        <w:rPr>
          <w:rFonts w:asciiTheme="minorHAnsi" w:eastAsia="Arial Unicode MS" w:hAnsiTheme="minorHAnsi" w:cs="Arial Unicode MS"/>
        </w:rPr>
        <w:t>eli sadzenie odbywa si</w:t>
      </w:r>
      <w:r w:rsidRPr="00A23FB4">
        <w:rPr>
          <w:rFonts w:asciiTheme="minorHAnsi" w:eastAsia="Arial Unicode MS" w:hAnsiTheme="minorHAnsi"/>
        </w:rPr>
        <w:t xml:space="preserve">ę </w:t>
      </w:r>
      <w:r w:rsidRPr="00A23FB4">
        <w:rPr>
          <w:rFonts w:asciiTheme="minorHAnsi" w:eastAsia="Arial Unicode MS" w:hAnsiTheme="minorHAnsi" w:cs="Arial Unicode MS"/>
        </w:rPr>
        <w:t xml:space="preserve">w okresie bezdeszczowym, </w:t>
      </w:r>
    </w:p>
    <w:p w14:paraId="4BD6C160" w14:textId="77777777" w:rsidR="00557CCE" w:rsidRPr="00A23FB4" w:rsidRDefault="00557CCE" w:rsidP="00557CCE">
      <w:pPr>
        <w:overflowPunct/>
        <w:spacing w:after="21"/>
        <w:jc w:val="left"/>
        <w:textAlignment w:val="auto"/>
        <w:rPr>
          <w:rFonts w:asciiTheme="minorHAnsi" w:eastAsia="Arial Unicode MS" w:hAnsiTheme="minorHAnsi" w:cs="Arial Unicode MS"/>
        </w:rPr>
      </w:pPr>
      <w:r w:rsidRPr="00A23FB4">
        <w:rPr>
          <w:rFonts w:asciiTheme="minorHAnsi" w:eastAsia="Arial Unicode MS" w:hAnsiTheme="minorHAnsi" w:cs="Arial Unicode MS"/>
        </w:rPr>
        <w:t>- przy sadzeniu formy piennej nale</w:t>
      </w:r>
      <w:r w:rsidRPr="00A23FB4">
        <w:rPr>
          <w:rFonts w:asciiTheme="minorHAnsi" w:eastAsia="Arial Unicode MS" w:hAnsiTheme="minorHAnsi"/>
        </w:rPr>
        <w:t>ż</w:t>
      </w:r>
      <w:r w:rsidRPr="00A23FB4">
        <w:rPr>
          <w:rFonts w:asciiTheme="minorHAnsi" w:eastAsia="Arial Unicode MS" w:hAnsiTheme="minorHAnsi" w:cs="Arial Unicode MS"/>
        </w:rPr>
        <w:t>y przed sadzeniem wbi</w:t>
      </w:r>
      <w:r w:rsidRPr="00A23FB4">
        <w:rPr>
          <w:rFonts w:asciiTheme="minorHAnsi" w:eastAsia="Arial Unicode MS" w:hAnsiTheme="minorHAnsi"/>
        </w:rPr>
        <w:t xml:space="preserve">ć </w:t>
      </w:r>
      <w:r w:rsidRPr="00A23FB4">
        <w:rPr>
          <w:rFonts w:asciiTheme="minorHAnsi" w:eastAsia="Arial Unicode MS" w:hAnsiTheme="minorHAnsi" w:cs="Arial Unicode MS"/>
        </w:rPr>
        <w:t>w dno do</w:t>
      </w:r>
      <w:r w:rsidRPr="00A23FB4">
        <w:rPr>
          <w:rFonts w:asciiTheme="minorHAnsi" w:eastAsia="Arial Unicode MS" w:hAnsiTheme="minorHAnsi"/>
        </w:rPr>
        <w:t>ł</w:t>
      </w:r>
      <w:r w:rsidRPr="00A23FB4">
        <w:rPr>
          <w:rFonts w:asciiTheme="minorHAnsi" w:eastAsia="Arial Unicode MS" w:hAnsiTheme="minorHAnsi" w:cs="Arial Unicode MS"/>
        </w:rPr>
        <w:t>u drewniane paliki, drzewa nale</w:t>
      </w:r>
      <w:r w:rsidRPr="00A23FB4">
        <w:rPr>
          <w:rFonts w:asciiTheme="minorHAnsi" w:eastAsia="Arial Unicode MS" w:hAnsiTheme="minorHAnsi"/>
        </w:rPr>
        <w:t>ż</w:t>
      </w:r>
      <w:r w:rsidRPr="00A23FB4">
        <w:rPr>
          <w:rFonts w:asciiTheme="minorHAnsi" w:eastAsia="Arial Unicode MS" w:hAnsiTheme="minorHAnsi" w:cs="Arial Unicode MS"/>
        </w:rPr>
        <w:t>y przymocowa</w:t>
      </w:r>
      <w:r w:rsidRPr="00A23FB4">
        <w:rPr>
          <w:rFonts w:asciiTheme="minorHAnsi" w:eastAsia="Arial Unicode MS" w:hAnsiTheme="minorHAnsi"/>
        </w:rPr>
        <w:t xml:space="preserve">ć </w:t>
      </w:r>
      <w:r w:rsidRPr="00A23FB4">
        <w:rPr>
          <w:rFonts w:asciiTheme="minorHAnsi" w:eastAsia="Arial Unicode MS" w:hAnsiTheme="minorHAnsi" w:cs="Arial Unicode MS"/>
        </w:rPr>
        <w:t>do palik</w:t>
      </w:r>
      <w:r w:rsidRPr="00A23FB4">
        <w:rPr>
          <w:rFonts w:asciiTheme="minorHAnsi" w:eastAsia="Arial Unicode MS" w:hAnsiTheme="minorHAnsi"/>
        </w:rPr>
        <w:t>ó</w:t>
      </w:r>
      <w:r w:rsidRPr="00A23FB4">
        <w:rPr>
          <w:rFonts w:asciiTheme="minorHAnsi" w:eastAsia="Arial Unicode MS" w:hAnsiTheme="minorHAnsi" w:cs="Arial Unicode MS"/>
        </w:rPr>
        <w:t>w ta</w:t>
      </w:r>
      <w:r w:rsidRPr="00A23FB4">
        <w:rPr>
          <w:rFonts w:asciiTheme="minorHAnsi" w:eastAsia="Arial Unicode MS" w:hAnsiTheme="minorHAnsi"/>
        </w:rPr>
        <w:t>ś</w:t>
      </w:r>
      <w:r w:rsidRPr="00A23FB4">
        <w:rPr>
          <w:rFonts w:asciiTheme="minorHAnsi" w:eastAsia="Arial Unicode MS" w:hAnsiTheme="minorHAnsi" w:cs="Arial Unicode MS"/>
        </w:rPr>
        <w:t>m</w:t>
      </w:r>
      <w:r w:rsidRPr="00A23FB4">
        <w:rPr>
          <w:rFonts w:asciiTheme="minorHAnsi" w:eastAsia="Arial Unicode MS" w:hAnsiTheme="minorHAnsi"/>
        </w:rPr>
        <w:t>ą</w:t>
      </w:r>
      <w:r w:rsidRPr="00A23FB4">
        <w:rPr>
          <w:rFonts w:asciiTheme="minorHAnsi" w:eastAsia="Arial Unicode MS" w:hAnsiTheme="minorHAnsi" w:cs="Arial Unicode MS"/>
        </w:rPr>
        <w:t>, wysoko</w:t>
      </w:r>
      <w:r w:rsidRPr="00A23FB4">
        <w:rPr>
          <w:rFonts w:asciiTheme="minorHAnsi" w:eastAsia="Arial Unicode MS" w:hAnsiTheme="minorHAnsi"/>
        </w:rPr>
        <w:t xml:space="preserve">ść </w:t>
      </w:r>
      <w:r w:rsidRPr="00A23FB4">
        <w:rPr>
          <w:rFonts w:asciiTheme="minorHAnsi" w:eastAsia="Arial Unicode MS" w:hAnsiTheme="minorHAnsi" w:cs="Arial Unicode MS"/>
        </w:rPr>
        <w:t>palika wbitego w grunt powinna by</w:t>
      </w:r>
      <w:r w:rsidRPr="00A23FB4">
        <w:rPr>
          <w:rFonts w:asciiTheme="minorHAnsi" w:eastAsia="Arial Unicode MS" w:hAnsiTheme="minorHAnsi"/>
        </w:rPr>
        <w:t xml:space="preserve">ć </w:t>
      </w:r>
      <w:r w:rsidRPr="00A23FB4">
        <w:rPr>
          <w:rFonts w:asciiTheme="minorHAnsi" w:eastAsia="Arial Unicode MS" w:hAnsiTheme="minorHAnsi" w:cs="Arial Unicode MS"/>
        </w:rPr>
        <w:t>r</w:t>
      </w:r>
      <w:r w:rsidRPr="00A23FB4">
        <w:rPr>
          <w:rFonts w:asciiTheme="minorHAnsi" w:eastAsia="Arial Unicode MS" w:hAnsiTheme="minorHAnsi"/>
        </w:rPr>
        <w:t>ó</w:t>
      </w:r>
      <w:r w:rsidRPr="00A23FB4">
        <w:rPr>
          <w:rFonts w:asciiTheme="minorHAnsi" w:eastAsia="Arial Unicode MS" w:hAnsiTheme="minorHAnsi" w:cs="Arial Unicode MS"/>
        </w:rPr>
        <w:t>wna co najmniej wysoko</w:t>
      </w:r>
      <w:r w:rsidRPr="00A23FB4">
        <w:rPr>
          <w:rFonts w:asciiTheme="minorHAnsi" w:eastAsia="Arial Unicode MS" w:hAnsiTheme="minorHAnsi"/>
        </w:rPr>
        <w:t>ś</w:t>
      </w:r>
      <w:r w:rsidRPr="00A23FB4">
        <w:rPr>
          <w:rFonts w:asciiTheme="minorHAnsi" w:eastAsia="Arial Unicode MS" w:hAnsiTheme="minorHAnsi" w:cs="Arial Unicode MS"/>
        </w:rPr>
        <w:t>ci pnia posadzonego drzewa (si</w:t>
      </w:r>
      <w:r w:rsidRPr="00A23FB4">
        <w:rPr>
          <w:rFonts w:asciiTheme="minorHAnsi" w:eastAsia="Arial Unicode MS" w:hAnsiTheme="minorHAnsi"/>
        </w:rPr>
        <w:t>ę</w:t>
      </w:r>
      <w:r w:rsidRPr="00A23FB4">
        <w:rPr>
          <w:rFonts w:asciiTheme="minorHAnsi" w:eastAsia="Arial Unicode MS" w:hAnsiTheme="minorHAnsi" w:cs="Arial Unicode MS"/>
        </w:rPr>
        <w:t>ga</w:t>
      </w:r>
      <w:r w:rsidRPr="00A23FB4">
        <w:rPr>
          <w:rFonts w:asciiTheme="minorHAnsi" w:eastAsia="Arial Unicode MS" w:hAnsiTheme="minorHAnsi"/>
        </w:rPr>
        <w:t xml:space="preserve">ć </w:t>
      </w:r>
      <w:r w:rsidRPr="00A23FB4">
        <w:rPr>
          <w:rFonts w:asciiTheme="minorHAnsi" w:eastAsia="Arial Unicode MS" w:hAnsiTheme="minorHAnsi" w:cs="Arial Unicode MS"/>
        </w:rPr>
        <w:t>co najmniej pod koron</w:t>
      </w:r>
      <w:r w:rsidRPr="00A23FB4">
        <w:rPr>
          <w:rFonts w:asciiTheme="minorHAnsi" w:eastAsia="Arial Unicode MS" w:hAnsiTheme="minorHAnsi"/>
        </w:rPr>
        <w:t xml:space="preserve">ę </w:t>
      </w:r>
      <w:r w:rsidRPr="00A23FB4">
        <w:rPr>
          <w:rFonts w:asciiTheme="minorHAnsi" w:eastAsia="Arial Unicode MS" w:hAnsiTheme="minorHAnsi" w:cs="Arial Unicode MS"/>
        </w:rPr>
        <w:t xml:space="preserve">drzewka), </w:t>
      </w:r>
    </w:p>
    <w:p w14:paraId="08C5500D" w14:textId="77777777" w:rsidR="00557CCE" w:rsidRPr="00A23FB4" w:rsidRDefault="00557CCE" w:rsidP="00557CCE">
      <w:pPr>
        <w:overflowPunct/>
        <w:jc w:val="left"/>
        <w:textAlignment w:val="auto"/>
        <w:rPr>
          <w:rFonts w:asciiTheme="minorHAnsi" w:eastAsia="Arial Unicode MS" w:hAnsiTheme="minorHAnsi" w:cs="Arial Unicode MS"/>
        </w:rPr>
      </w:pPr>
      <w:r w:rsidRPr="00A23FB4">
        <w:rPr>
          <w:rFonts w:asciiTheme="minorHAnsi" w:eastAsia="Arial Unicode MS" w:hAnsiTheme="minorHAnsi" w:cs="Arial Unicode MS"/>
        </w:rPr>
        <w:t>- krzewy nale</w:t>
      </w:r>
      <w:r w:rsidRPr="00A23FB4">
        <w:rPr>
          <w:rFonts w:asciiTheme="minorHAnsi" w:eastAsia="Arial Unicode MS" w:hAnsiTheme="minorHAnsi"/>
        </w:rPr>
        <w:t>ż</w:t>
      </w:r>
      <w:r w:rsidRPr="00A23FB4">
        <w:rPr>
          <w:rFonts w:asciiTheme="minorHAnsi" w:eastAsia="Arial Unicode MS" w:hAnsiTheme="minorHAnsi" w:cs="Arial Unicode MS"/>
        </w:rPr>
        <w:t>y po posadzeniu przyci</w:t>
      </w:r>
      <w:r w:rsidRPr="00A23FB4">
        <w:rPr>
          <w:rFonts w:asciiTheme="minorHAnsi" w:eastAsia="Arial Unicode MS" w:hAnsiTheme="minorHAnsi"/>
        </w:rPr>
        <w:t xml:space="preserve">ąć </w:t>
      </w:r>
      <w:r w:rsidRPr="00A23FB4">
        <w:rPr>
          <w:rFonts w:asciiTheme="minorHAnsi" w:eastAsia="Arial Unicode MS" w:hAnsiTheme="minorHAnsi" w:cs="Arial Unicode MS"/>
        </w:rPr>
        <w:t>o ok. 1/3 wysoko</w:t>
      </w:r>
      <w:r w:rsidRPr="00A23FB4">
        <w:rPr>
          <w:rFonts w:asciiTheme="minorHAnsi" w:eastAsia="Arial Unicode MS" w:hAnsiTheme="minorHAnsi"/>
        </w:rPr>
        <w:t>ś</w:t>
      </w:r>
      <w:r w:rsidRPr="00A23FB4">
        <w:rPr>
          <w:rFonts w:asciiTheme="minorHAnsi" w:eastAsia="Arial Unicode MS" w:hAnsiTheme="minorHAnsi" w:cs="Arial Unicode MS"/>
        </w:rPr>
        <w:t xml:space="preserve">ci. </w:t>
      </w:r>
    </w:p>
    <w:p w14:paraId="149CC3D7" w14:textId="77777777" w:rsidR="00557CCE" w:rsidRPr="00A23FB4" w:rsidRDefault="00557CCE" w:rsidP="00557CCE">
      <w:pPr>
        <w:spacing w:before="240"/>
        <w:rPr>
          <w:rFonts w:asciiTheme="minorHAnsi" w:hAnsiTheme="minorHAnsi" w:cs="Calibri"/>
          <w:b/>
          <w:bCs/>
        </w:rPr>
      </w:pPr>
      <w:r w:rsidRPr="00A23FB4">
        <w:rPr>
          <w:rFonts w:asciiTheme="minorHAnsi" w:hAnsiTheme="minorHAnsi"/>
        </w:rPr>
        <w:t>Wszystkie prace związane z sadzeniem zieleni należy wykonywać ze zwróceniem uwagi na uzbrojenie terenu.</w:t>
      </w:r>
    </w:p>
    <w:p w14:paraId="5D11BCA9" w14:textId="77777777" w:rsidR="00557CCE" w:rsidRPr="00A23FB4" w:rsidRDefault="00557CCE" w:rsidP="00557CCE">
      <w:pPr>
        <w:spacing w:before="240"/>
        <w:rPr>
          <w:rFonts w:asciiTheme="minorHAnsi" w:hAnsiTheme="minorHAnsi" w:cs="Calibri"/>
          <w:b/>
          <w:bCs/>
        </w:rPr>
      </w:pPr>
      <w:r w:rsidRPr="00A23FB4">
        <w:rPr>
          <w:rFonts w:asciiTheme="minorHAnsi" w:hAnsiTheme="minorHAnsi" w:cs="Calibri"/>
          <w:b/>
          <w:bCs/>
        </w:rPr>
        <w:t>5.3.2. Pielęgnacja roślin po posadzeniu,</w:t>
      </w:r>
    </w:p>
    <w:p w14:paraId="0C7F8A05" w14:textId="77777777" w:rsidR="00557CCE" w:rsidRPr="00A23FB4" w:rsidRDefault="00557CCE" w:rsidP="00557CCE">
      <w:pPr>
        <w:overflowPunct/>
        <w:jc w:val="left"/>
        <w:textAlignment w:val="auto"/>
        <w:rPr>
          <w:rFonts w:asciiTheme="minorHAnsi" w:eastAsia="Arial Unicode MS" w:hAnsiTheme="minorHAnsi" w:cs="Arial Unicode MS"/>
        </w:rPr>
      </w:pPr>
      <w:r w:rsidRPr="00A23FB4">
        <w:rPr>
          <w:rFonts w:asciiTheme="minorHAnsi" w:eastAsia="Arial Unicode MS" w:hAnsiTheme="minorHAnsi" w:cs="Arial Unicode MS"/>
        </w:rPr>
        <w:t>Wykonawca jest zobowi</w:t>
      </w:r>
      <w:r w:rsidRPr="00A23FB4">
        <w:rPr>
          <w:rFonts w:asciiTheme="minorHAnsi" w:eastAsia="Arial Unicode MS" w:hAnsiTheme="minorHAnsi"/>
        </w:rPr>
        <w:t>ą</w:t>
      </w:r>
      <w:r w:rsidRPr="00A23FB4">
        <w:rPr>
          <w:rFonts w:asciiTheme="minorHAnsi" w:eastAsia="Arial Unicode MS" w:hAnsiTheme="minorHAnsi" w:cs="Arial Unicode MS"/>
        </w:rPr>
        <w:t>zany do piel</w:t>
      </w:r>
      <w:r w:rsidRPr="00A23FB4">
        <w:rPr>
          <w:rFonts w:asciiTheme="minorHAnsi" w:eastAsia="Arial Unicode MS" w:hAnsiTheme="minorHAnsi"/>
        </w:rPr>
        <w:t>ę</w:t>
      </w:r>
      <w:r w:rsidRPr="00A23FB4">
        <w:rPr>
          <w:rFonts w:asciiTheme="minorHAnsi" w:eastAsia="Arial Unicode MS" w:hAnsiTheme="minorHAnsi" w:cs="Arial Unicode MS"/>
        </w:rPr>
        <w:t>gnacji zieleni w okresie gwarancyjnym. Piel</w:t>
      </w:r>
      <w:r w:rsidRPr="00A23FB4">
        <w:rPr>
          <w:rFonts w:asciiTheme="minorHAnsi" w:eastAsia="Arial Unicode MS" w:hAnsiTheme="minorHAnsi"/>
        </w:rPr>
        <w:t>ę</w:t>
      </w:r>
      <w:r w:rsidRPr="00A23FB4">
        <w:rPr>
          <w:rFonts w:asciiTheme="minorHAnsi" w:eastAsia="Arial Unicode MS" w:hAnsiTheme="minorHAnsi" w:cs="Arial Unicode MS"/>
        </w:rPr>
        <w:t xml:space="preserve">gnacja w okresie gwarancyjnym polega na: </w:t>
      </w:r>
    </w:p>
    <w:p w14:paraId="13DEA781" w14:textId="77777777" w:rsidR="00557CCE" w:rsidRPr="00A23FB4" w:rsidRDefault="00557CCE" w:rsidP="00557CCE">
      <w:pPr>
        <w:overflowPunct/>
        <w:spacing w:after="19"/>
        <w:jc w:val="left"/>
        <w:textAlignment w:val="auto"/>
        <w:rPr>
          <w:rFonts w:asciiTheme="minorHAnsi" w:eastAsia="Arial Unicode MS" w:hAnsiTheme="minorHAnsi" w:cs="Arial Unicode MS"/>
        </w:rPr>
      </w:pPr>
      <w:r w:rsidRPr="00A23FB4">
        <w:rPr>
          <w:rFonts w:asciiTheme="minorHAnsi" w:eastAsia="Arial Unicode MS" w:hAnsiTheme="minorHAnsi" w:cs="Arial Unicode MS"/>
        </w:rPr>
        <w:t>- odchwaszczaniu misek w miar</w:t>
      </w:r>
      <w:r w:rsidRPr="00A23FB4">
        <w:rPr>
          <w:rFonts w:asciiTheme="minorHAnsi" w:eastAsia="Arial Unicode MS" w:hAnsiTheme="minorHAnsi"/>
        </w:rPr>
        <w:t xml:space="preserve">ę </w:t>
      </w:r>
      <w:r w:rsidRPr="00A23FB4">
        <w:rPr>
          <w:rFonts w:asciiTheme="minorHAnsi" w:eastAsia="Arial Unicode MS" w:hAnsiTheme="minorHAnsi" w:cs="Arial Unicode MS"/>
        </w:rPr>
        <w:t xml:space="preserve">potrzeb, </w:t>
      </w:r>
    </w:p>
    <w:p w14:paraId="5FCCB07D" w14:textId="77777777" w:rsidR="00557CCE" w:rsidRPr="00A23FB4" w:rsidRDefault="00557CCE" w:rsidP="00557CCE">
      <w:pPr>
        <w:overflowPunct/>
        <w:spacing w:after="19"/>
        <w:jc w:val="left"/>
        <w:textAlignment w:val="auto"/>
        <w:rPr>
          <w:rFonts w:asciiTheme="minorHAnsi" w:eastAsia="Arial Unicode MS" w:hAnsiTheme="minorHAnsi" w:cs="Arial Unicode MS"/>
        </w:rPr>
      </w:pPr>
      <w:r w:rsidRPr="00A23FB4">
        <w:rPr>
          <w:rFonts w:asciiTheme="minorHAnsi" w:eastAsia="Arial Unicode MS" w:hAnsiTheme="minorHAnsi" w:cs="Arial Unicode MS"/>
        </w:rPr>
        <w:t>- podlewaniu sadzonek w miar</w:t>
      </w:r>
      <w:r w:rsidRPr="00A23FB4">
        <w:rPr>
          <w:rFonts w:asciiTheme="minorHAnsi" w:eastAsia="Arial Unicode MS" w:hAnsiTheme="minorHAnsi"/>
        </w:rPr>
        <w:t xml:space="preserve">ę </w:t>
      </w:r>
      <w:r w:rsidRPr="00A23FB4">
        <w:rPr>
          <w:rFonts w:asciiTheme="minorHAnsi" w:eastAsia="Arial Unicode MS" w:hAnsiTheme="minorHAnsi" w:cs="Arial Unicode MS"/>
        </w:rPr>
        <w:t xml:space="preserve">potrzeb w okresach bezdeszczowych, </w:t>
      </w:r>
    </w:p>
    <w:p w14:paraId="4A9BA731" w14:textId="77777777" w:rsidR="00557CCE" w:rsidRPr="00A23FB4" w:rsidRDefault="00557CCE" w:rsidP="00557CCE">
      <w:pPr>
        <w:overflowPunct/>
        <w:spacing w:after="19"/>
        <w:jc w:val="left"/>
        <w:textAlignment w:val="auto"/>
        <w:rPr>
          <w:rFonts w:asciiTheme="minorHAnsi" w:eastAsia="Arial Unicode MS" w:hAnsiTheme="minorHAnsi" w:cs="Arial Unicode MS"/>
        </w:rPr>
      </w:pPr>
      <w:r w:rsidRPr="00A23FB4">
        <w:rPr>
          <w:rFonts w:asciiTheme="minorHAnsi" w:eastAsia="Arial Unicode MS" w:hAnsiTheme="minorHAnsi" w:cs="Arial Unicode MS"/>
        </w:rPr>
        <w:t>- nawo</w:t>
      </w:r>
      <w:r w:rsidRPr="00A23FB4">
        <w:rPr>
          <w:rFonts w:asciiTheme="minorHAnsi" w:eastAsia="Arial Unicode MS" w:hAnsiTheme="minorHAnsi"/>
        </w:rPr>
        <w:t>ż</w:t>
      </w:r>
      <w:r w:rsidRPr="00A23FB4">
        <w:rPr>
          <w:rFonts w:asciiTheme="minorHAnsi" w:eastAsia="Arial Unicode MS" w:hAnsiTheme="minorHAnsi" w:cs="Arial Unicode MS"/>
        </w:rPr>
        <w:t>eniu sadzonek - rodzaj i dawki nawoz</w:t>
      </w:r>
      <w:r w:rsidRPr="00A23FB4">
        <w:rPr>
          <w:rFonts w:asciiTheme="minorHAnsi" w:eastAsia="Arial Unicode MS" w:hAnsiTheme="minorHAnsi"/>
        </w:rPr>
        <w:t>ó</w:t>
      </w:r>
      <w:r w:rsidRPr="00A23FB4">
        <w:rPr>
          <w:rFonts w:asciiTheme="minorHAnsi" w:eastAsia="Arial Unicode MS" w:hAnsiTheme="minorHAnsi" w:cs="Arial Unicode MS"/>
        </w:rPr>
        <w:t>w nale</w:t>
      </w:r>
      <w:r w:rsidRPr="00A23FB4">
        <w:rPr>
          <w:rFonts w:asciiTheme="minorHAnsi" w:eastAsia="Arial Unicode MS" w:hAnsiTheme="minorHAnsi"/>
        </w:rPr>
        <w:t>ż</w:t>
      </w:r>
      <w:r w:rsidRPr="00A23FB4">
        <w:rPr>
          <w:rFonts w:asciiTheme="minorHAnsi" w:eastAsia="Arial Unicode MS" w:hAnsiTheme="minorHAnsi" w:cs="Arial Unicode MS"/>
        </w:rPr>
        <w:t>y dobiera</w:t>
      </w:r>
      <w:r w:rsidRPr="00A23FB4">
        <w:rPr>
          <w:rFonts w:asciiTheme="minorHAnsi" w:eastAsia="Arial Unicode MS" w:hAnsiTheme="minorHAnsi"/>
        </w:rPr>
        <w:t xml:space="preserve">ć </w:t>
      </w:r>
      <w:r w:rsidRPr="00A23FB4">
        <w:rPr>
          <w:rFonts w:asciiTheme="minorHAnsi" w:eastAsia="Arial Unicode MS" w:hAnsiTheme="minorHAnsi" w:cs="Arial Unicode MS"/>
        </w:rPr>
        <w:t>na podstawie analiz pr</w:t>
      </w:r>
      <w:r w:rsidRPr="00A23FB4">
        <w:rPr>
          <w:rFonts w:asciiTheme="minorHAnsi" w:eastAsia="Arial Unicode MS" w:hAnsiTheme="minorHAnsi"/>
        </w:rPr>
        <w:t>ó</w:t>
      </w:r>
      <w:r w:rsidRPr="00A23FB4">
        <w:rPr>
          <w:rFonts w:asciiTheme="minorHAnsi" w:eastAsia="Arial Unicode MS" w:hAnsiTheme="minorHAnsi" w:cs="Arial Unicode MS"/>
        </w:rPr>
        <w:t>b gleby i zalece</w:t>
      </w:r>
      <w:r w:rsidRPr="00A23FB4">
        <w:rPr>
          <w:rFonts w:asciiTheme="minorHAnsi" w:eastAsia="Arial Unicode MS" w:hAnsiTheme="minorHAnsi"/>
        </w:rPr>
        <w:t xml:space="preserve">ń </w:t>
      </w:r>
      <w:r w:rsidRPr="00A23FB4">
        <w:rPr>
          <w:rFonts w:asciiTheme="minorHAnsi" w:eastAsia="Arial Unicode MS" w:hAnsiTheme="minorHAnsi" w:cs="Arial Unicode MS"/>
        </w:rPr>
        <w:t>nawozowych wykonanych przez Okr</w:t>
      </w:r>
      <w:r w:rsidRPr="00A23FB4">
        <w:rPr>
          <w:rFonts w:asciiTheme="minorHAnsi" w:eastAsia="Arial Unicode MS" w:hAnsiTheme="minorHAnsi"/>
        </w:rPr>
        <w:t>ę</w:t>
      </w:r>
      <w:r w:rsidRPr="00A23FB4">
        <w:rPr>
          <w:rFonts w:asciiTheme="minorHAnsi" w:eastAsia="Arial Unicode MS" w:hAnsiTheme="minorHAnsi" w:cs="Arial Unicode MS"/>
        </w:rPr>
        <w:t>gow</w:t>
      </w:r>
      <w:r w:rsidRPr="00A23FB4">
        <w:rPr>
          <w:rFonts w:asciiTheme="minorHAnsi" w:eastAsia="Arial Unicode MS" w:hAnsiTheme="minorHAnsi"/>
        </w:rPr>
        <w:t xml:space="preserve">ą </w:t>
      </w:r>
      <w:r w:rsidRPr="00A23FB4">
        <w:rPr>
          <w:rFonts w:asciiTheme="minorHAnsi" w:eastAsia="Arial Unicode MS" w:hAnsiTheme="minorHAnsi" w:cs="Arial Unicode MS"/>
        </w:rPr>
        <w:t>Stacj</w:t>
      </w:r>
      <w:r w:rsidRPr="00A23FB4">
        <w:rPr>
          <w:rFonts w:asciiTheme="minorHAnsi" w:eastAsia="Arial Unicode MS" w:hAnsiTheme="minorHAnsi"/>
        </w:rPr>
        <w:t xml:space="preserve">ę </w:t>
      </w:r>
      <w:r w:rsidRPr="00A23FB4">
        <w:rPr>
          <w:rFonts w:asciiTheme="minorHAnsi" w:eastAsia="Arial Unicode MS" w:hAnsiTheme="minorHAnsi" w:cs="Arial Unicode MS"/>
        </w:rPr>
        <w:t>Chemiczno-Rolnicz</w:t>
      </w:r>
      <w:r w:rsidRPr="00A23FB4">
        <w:rPr>
          <w:rFonts w:asciiTheme="minorHAnsi" w:eastAsia="Arial Unicode MS" w:hAnsiTheme="minorHAnsi"/>
        </w:rPr>
        <w:t xml:space="preserve">ą </w:t>
      </w:r>
      <w:r w:rsidRPr="00A23FB4">
        <w:rPr>
          <w:rFonts w:asciiTheme="minorHAnsi" w:eastAsia="Arial Unicode MS" w:hAnsiTheme="minorHAnsi" w:cs="Arial Unicode MS"/>
        </w:rPr>
        <w:t xml:space="preserve">(OSChR), przynajmniej raz w okresie wegetacyjnym, </w:t>
      </w:r>
    </w:p>
    <w:p w14:paraId="5069DF56" w14:textId="77777777" w:rsidR="00557CCE" w:rsidRPr="00A23FB4" w:rsidRDefault="00557CCE" w:rsidP="00557CCE">
      <w:pPr>
        <w:overflowPunct/>
        <w:spacing w:after="19"/>
        <w:jc w:val="left"/>
        <w:textAlignment w:val="auto"/>
        <w:rPr>
          <w:rFonts w:asciiTheme="minorHAnsi" w:eastAsia="Arial Unicode MS" w:hAnsiTheme="minorHAnsi" w:cs="Arial Unicode MS"/>
        </w:rPr>
      </w:pPr>
      <w:r w:rsidRPr="00A23FB4">
        <w:rPr>
          <w:rFonts w:asciiTheme="minorHAnsi" w:eastAsia="Arial Unicode MS" w:hAnsiTheme="minorHAnsi" w:cs="Arial Unicode MS"/>
        </w:rPr>
        <w:t>- wymianie uschni</w:t>
      </w:r>
      <w:r w:rsidRPr="00A23FB4">
        <w:rPr>
          <w:rFonts w:asciiTheme="minorHAnsi" w:eastAsia="Arial Unicode MS" w:hAnsiTheme="minorHAnsi"/>
        </w:rPr>
        <w:t>ę</w:t>
      </w:r>
      <w:r w:rsidRPr="00A23FB4">
        <w:rPr>
          <w:rFonts w:asciiTheme="minorHAnsi" w:eastAsia="Arial Unicode MS" w:hAnsiTheme="minorHAnsi" w:cs="Arial Unicode MS"/>
        </w:rPr>
        <w:t>tych i uszkodzonych drzew i krzew</w:t>
      </w:r>
      <w:r w:rsidRPr="00A23FB4">
        <w:rPr>
          <w:rFonts w:asciiTheme="minorHAnsi" w:eastAsia="Arial Unicode MS" w:hAnsiTheme="minorHAnsi"/>
        </w:rPr>
        <w:t>ó</w:t>
      </w:r>
      <w:r w:rsidRPr="00A23FB4">
        <w:rPr>
          <w:rFonts w:asciiTheme="minorHAnsi" w:eastAsia="Arial Unicode MS" w:hAnsiTheme="minorHAnsi" w:cs="Arial Unicode MS"/>
        </w:rPr>
        <w:t xml:space="preserve">w, </w:t>
      </w:r>
    </w:p>
    <w:p w14:paraId="08A9CC99" w14:textId="77777777" w:rsidR="00557CCE" w:rsidRPr="00A23FB4" w:rsidRDefault="00557CCE" w:rsidP="00557CCE">
      <w:pPr>
        <w:overflowPunct/>
        <w:spacing w:after="19"/>
        <w:jc w:val="left"/>
        <w:textAlignment w:val="auto"/>
        <w:rPr>
          <w:rFonts w:asciiTheme="minorHAnsi" w:eastAsia="Arial Unicode MS" w:hAnsiTheme="minorHAnsi" w:cs="Arial Unicode MS"/>
        </w:rPr>
      </w:pPr>
      <w:r w:rsidRPr="00A23FB4">
        <w:rPr>
          <w:rFonts w:asciiTheme="minorHAnsi" w:eastAsia="Arial Unicode MS" w:hAnsiTheme="minorHAnsi" w:cs="Arial Unicode MS"/>
        </w:rPr>
        <w:t>- wymianie zniszczonych i uszkodzonych palik</w:t>
      </w:r>
      <w:r w:rsidRPr="00A23FB4">
        <w:rPr>
          <w:rFonts w:asciiTheme="minorHAnsi" w:eastAsia="Arial Unicode MS" w:hAnsiTheme="minorHAnsi"/>
        </w:rPr>
        <w:t>ó</w:t>
      </w:r>
      <w:r w:rsidRPr="00A23FB4">
        <w:rPr>
          <w:rFonts w:asciiTheme="minorHAnsi" w:eastAsia="Arial Unicode MS" w:hAnsiTheme="minorHAnsi" w:cs="Arial Unicode MS"/>
        </w:rPr>
        <w:t>w oraz wi</w:t>
      </w:r>
      <w:r w:rsidRPr="00A23FB4">
        <w:rPr>
          <w:rFonts w:asciiTheme="minorHAnsi" w:eastAsia="Arial Unicode MS" w:hAnsiTheme="minorHAnsi"/>
        </w:rPr>
        <w:t>ą</w:t>
      </w:r>
      <w:r w:rsidRPr="00A23FB4">
        <w:rPr>
          <w:rFonts w:asciiTheme="minorHAnsi" w:eastAsia="Arial Unicode MS" w:hAnsiTheme="minorHAnsi" w:cs="Arial Unicode MS"/>
        </w:rPr>
        <w:t>za</w:t>
      </w:r>
      <w:r w:rsidRPr="00A23FB4">
        <w:rPr>
          <w:rFonts w:asciiTheme="minorHAnsi" w:eastAsia="Arial Unicode MS" w:hAnsiTheme="minorHAnsi"/>
        </w:rPr>
        <w:t>ń</w:t>
      </w:r>
      <w:r w:rsidRPr="00A23FB4">
        <w:rPr>
          <w:rFonts w:asciiTheme="minorHAnsi" w:eastAsia="Arial Unicode MS" w:hAnsiTheme="minorHAnsi" w:cs="Arial Unicode MS"/>
        </w:rPr>
        <w:t xml:space="preserve">, </w:t>
      </w:r>
    </w:p>
    <w:p w14:paraId="751AC1B3" w14:textId="77777777" w:rsidR="00557CCE" w:rsidRPr="00A23FB4" w:rsidRDefault="00557CCE" w:rsidP="00557CCE">
      <w:pPr>
        <w:overflowPunct/>
        <w:spacing w:after="19"/>
        <w:jc w:val="left"/>
        <w:textAlignment w:val="auto"/>
        <w:rPr>
          <w:rFonts w:asciiTheme="minorHAnsi" w:eastAsia="Arial Unicode MS" w:hAnsiTheme="minorHAnsi" w:cs="Arial Unicode MS"/>
        </w:rPr>
      </w:pPr>
      <w:r w:rsidRPr="00A23FB4">
        <w:rPr>
          <w:rFonts w:asciiTheme="minorHAnsi" w:eastAsia="Arial Unicode MS" w:hAnsiTheme="minorHAnsi" w:cs="Arial Unicode MS"/>
        </w:rPr>
        <w:t>- przyci</w:t>
      </w:r>
      <w:r w:rsidRPr="00A23FB4">
        <w:rPr>
          <w:rFonts w:asciiTheme="minorHAnsi" w:eastAsia="Arial Unicode MS" w:hAnsiTheme="minorHAnsi"/>
        </w:rPr>
        <w:t>ę</w:t>
      </w:r>
      <w:r w:rsidRPr="00A23FB4">
        <w:rPr>
          <w:rFonts w:asciiTheme="minorHAnsi" w:eastAsia="Arial Unicode MS" w:hAnsiTheme="minorHAnsi" w:cs="Arial Unicode MS"/>
        </w:rPr>
        <w:t>ciu z</w:t>
      </w:r>
      <w:r w:rsidRPr="00A23FB4">
        <w:rPr>
          <w:rFonts w:asciiTheme="minorHAnsi" w:eastAsia="Arial Unicode MS" w:hAnsiTheme="minorHAnsi"/>
        </w:rPr>
        <w:t>ł</w:t>
      </w:r>
      <w:r w:rsidRPr="00A23FB4">
        <w:rPr>
          <w:rFonts w:asciiTheme="minorHAnsi" w:eastAsia="Arial Unicode MS" w:hAnsiTheme="minorHAnsi" w:cs="Arial Unicode MS"/>
        </w:rPr>
        <w:t>amanych, chorych lub krzy</w:t>
      </w:r>
      <w:r w:rsidRPr="00A23FB4">
        <w:rPr>
          <w:rFonts w:asciiTheme="minorHAnsi" w:eastAsia="Arial Unicode MS" w:hAnsiTheme="minorHAnsi"/>
        </w:rPr>
        <w:t>ż</w:t>
      </w:r>
      <w:r w:rsidRPr="00A23FB4">
        <w:rPr>
          <w:rFonts w:asciiTheme="minorHAnsi" w:eastAsia="Arial Unicode MS" w:hAnsiTheme="minorHAnsi" w:cs="Arial Unicode MS"/>
        </w:rPr>
        <w:t>uj</w:t>
      </w:r>
      <w:r w:rsidRPr="00A23FB4">
        <w:rPr>
          <w:rFonts w:asciiTheme="minorHAnsi" w:eastAsia="Arial Unicode MS" w:hAnsiTheme="minorHAnsi"/>
        </w:rPr>
        <w:t>ą</w:t>
      </w:r>
      <w:r w:rsidRPr="00A23FB4">
        <w:rPr>
          <w:rFonts w:asciiTheme="minorHAnsi" w:eastAsia="Arial Unicode MS" w:hAnsiTheme="minorHAnsi" w:cs="Arial Unicode MS"/>
        </w:rPr>
        <w:t>cych si</w:t>
      </w:r>
      <w:r w:rsidRPr="00A23FB4">
        <w:rPr>
          <w:rFonts w:asciiTheme="minorHAnsi" w:eastAsia="Arial Unicode MS" w:hAnsiTheme="minorHAnsi"/>
        </w:rPr>
        <w:t xml:space="preserve">ę </w:t>
      </w:r>
      <w:r w:rsidRPr="00A23FB4">
        <w:rPr>
          <w:rFonts w:asciiTheme="minorHAnsi" w:eastAsia="Arial Unicode MS" w:hAnsiTheme="minorHAnsi" w:cs="Arial Unicode MS"/>
        </w:rPr>
        <w:t>ga</w:t>
      </w:r>
      <w:r w:rsidRPr="00A23FB4">
        <w:rPr>
          <w:rFonts w:asciiTheme="minorHAnsi" w:eastAsia="Arial Unicode MS" w:hAnsiTheme="minorHAnsi"/>
        </w:rPr>
        <w:t>łę</w:t>
      </w:r>
      <w:r w:rsidRPr="00A23FB4">
        <w:rPr>
          <w:rFonts w:asciiTheme="minorHAnsi" w:eastAsia="Arial Unicode MS" w:hAnsiTheme="minorHAnsi" w:cs="Arial Unicode MS"/>
        </w:rPr>
        <w:t>zi u drzewek (ci</w:t>
      </w:r>
      <w:r w:rsidRPr="00A23FB4">
        <w:rPr>
          <w:rFonts w:asciiTheme="minorHAnsi" w:eastAsia="Arial Unicode MS" w:hAnsiTheme="minorHAnsi"/>
        </w:rPr>
        <w:t>ę</w:t>
      </w:r>
      <w:r w:rsidRPr="00A23FB4">
        <w:rPr>
          <w:rFonts w:asciiTheme="minorHAnsi" w:eastAsia="Arial Unicode MS" w:hAnsiTheme="minorHAnsi" w:cs="Arial Unicode MS"/>
        </w:rPr>
        <w:t>cie sanitarne i formuj</w:t>
      </w:r>
      <w:r w:rsidRPr="00A23FB4">
        <w:rPr>
          <w:rFonts w:asciiTheme="minorHAnsi" w:eastAsia="Arial Unicode MS" w:hAnsiTheme="minorHAnsi"/>
        </w:rPr>
        <w:t>ą</w:t>
      </w:r>
      <w:r w:rsidRPr="00A23FB4">
        <w:rPr>
          <w:rFonts w:asciiTheme="minorHAnsi" w:eastAsia="Arial Unicode MS" w:hAnsiTheme="minorHAnsi" w:cs="Arial Unicode MS"/>
        </w:rPr>
        <w:t xml:space="preserve">ce), </w:t>
      </w:r>
    </w:p>
    <w:p w14:paraId="1E85F21B" w14:textId="77777777" w:rsidR="00557CCE" w:rsidRPr="00A23FB4" w:rsidRDefault="00557CCE" w:rsidP="00557CCE">
      <w:pPr>
        <w:overflowPunct/>
        <w:jc w:val="left"/>
        <w:textAlignment w:val="auto"/>
        <w:rPr>
          <w:rFonts w:asciiTheme="minorHAnsi" w:eastAsia="Arial Unicode MS" w:hAnsiTheme="minorHAnsi" w:cs="Arial Unicode MS"/>
        </w:rPr>
      </w:pPr>
      <w:r w:rsidRPr="00A23FB4">
        <w:rPr>
          <w:rFonts w:asciiTheme="minorHAnsi" w:eastAsia="Arial Unicode MS" w:hAnsiTheme="minorHAnsi" w:cs="Arial Unicode MS"/>
        </w:rPr>
        <w:t>- ochronie sadzonek przed zgryzaniem przez zwierz</w:t>
      </w:r>
      <w:r w:rsidRPr="00A23FB4">
        <w:rPr>
          <w:rFonts w:asciiTheme="minorHAnsi" w:eastAsia="Arial Unicode MS" w:hAnsiTheme="minorHAnsi"/>
        </w:rPr>
        <w:t>ę</w:t>
      </w:r>
      <w:r w:rsidRPr="00A23FB4">
        <w:rPr>
          <w:rFonts w:asciiTheme="minorHAnsi" w:eastAsia="Arial Unicode MS" w:hAnsiTheme="minorHAnsi" w:cs="Arial Unicode MS"/>
        </w:rPr>
        <w:t xml:space="preserve">ta. </w:t>
      </w:r>
    </w:p>
    <w:p w14:paraId="13A5B5E0" w14:textId="77777777" w:rsidR="00557CCE" w:rsidRPr="00A23FB4" w:rsidRDefault="00557CCE" w:rsidP="00557CCE">
      <w:pPr>
        <w:spacing w:before="240"/>
        <w:rPr>
          <w:rFonts w:asciiTheme="minorHAnsi" w:hAnsiTheme="minorHAnsi" w:cs="Calibri"/>
          <w:b/>
          <w:bCs/>
        </w:rPr>
      </w:pPr>
      <w:r w:rsidRPr="00A23FB4">
        <w:rPr>
          <w:rFonts w:asciiTheme="minorHAnsi" w:hAnsiTheme="minorHAnsi" w:cs="Calibri"/>
          <w:b/>
          <w:bCs/>
        </w:rPr>
        <w:t>5.3.3. Okres pielęgnacji i gwarancji</w:t>
      </w:r>
    </w:p>
    <w:p w14:paraId="573F1177" w14:textId="77777777" w:rsidR="00557CCE" w:rsidRPr="00A23FB4" w:rsidRDefault="00557CCE" w:rsidP="00557CCE">
      <w:pPr>
        <w:overflowPunct/>
        <w:jc w:val="left"/>
        <w:textAlignment w:val="auto"/>
        <w:rPr>
          <w:rFonts w:asciiTheme="minorHAnsi" w:eastAsia="Arial Unicode MS" w:hAnsiTheme="minorHAnsi" w:cs="Arial Unicode MS"/>
        </w:rPr>
      </w:pPr>
    </w:p>
    <w:p w14:paraId="298DD9D3" w14:textId="77777777" w:rsidR="00557CCE" w:rsidRPr="00A23FB4" w:rsidRDefault="00557CCE" w:rsidP="00557CCE">
      <w:pPr>
        <w:overflowPunct/>
        <w:spacing w:after="202"/>
        <w:jc w:val="left"/>
        <w:textAlignment w:val="auto"/>
        <w:rPr>
          <w:rFonts w:asciiTheme="minorHAnsi" w:eastAsia="Arial Unicode MS" w:hAnsiTheme="minorHAnsi" w:cs="Arial Unicode MS"/>
        </w:rPr>
      </w:pPr>
      <w:r w:rsidRPr="00A23FB4">
        <w:rPr>
          <w:rFonts w:asciiTheme="minorHAnsi" w:eastAsia="Arial Unicode MS" w:hAnsiTheme="minorHAnsi" w:cs="Arial Unicode MS"/>
        </w:rPr>
        <w:t>Wykonawca w okresie gwarancji jest zobowi</w:t>
      </w:r>
      <w:r w:rsidRPr="00A23FB4">
        <w:rPr>
          <w:rFonts w:asciiTheme="minorHAnsi" w:eastAsia="Arial Unicode MS" w:hAnsiTheme="minorHAnsi"/>
        </w:rPr>
        <w:t>ą</w:t>
      </w:r>
      <w:r w:rsidRPr="00A23FB4">
        <w:rPr>
          <w:rFonts w:asciiTheme="minorHAnsi" w:eastAsia="Arial Unicode MS" w:hAnsiTheme="minorHAnsi" w:cs="Arial Unicode MS"/>
        </w:rPr>
        <w:t>zany do prowadzenia zabieg</w:t>
      </w:r>
      <w:r w:rsidRPr="00A23FB4">
        <w:rPr>
          <w:rFonts w:asciiTheme="minorHAnsi" w:eastAsia="Arial Unicode MS" w:hAnsiTheme="minorHAnsi"/>
        </w:rPr>
        <w:t>ó</w:t>
      </w:r>
      <w:r w:rsidRPr="00A23FB4">
        <w:rPr>
          <w:rFonts w:asciiTheme="minorHAnsi" w:eastAsia="Arial Unicode MS" w:hAnsiTheme="minorHAnsi" w:cs="Arial Unicode MS"/>
        </w:rPr>
        <w:t>w konserwacyjnych na wszystkich elementach zieleni przydro</w:t>
      </w:r>
      <w:r w:rsidRPr="00A23FB4">
        <w:rPr>
          <w:rFonts w:asciiTheme="minorHAnsi" w:eastAsia="Arial Unicode MS" w:hAnsiTheme="minorHAnsi"/>
        </w:rPr>
        <w:t>ż</w:t>
      </w:r>
      <w:r w:rsidRPr="00A23FB4">
        <w:rPr>
          <w:rFonts w:asciiTheme="minorHAnsi" w:eastAsia="Arial Unicode MS" w:hAnsiTheme="minorHAnsi" w:cs="Arial Unicode MS"/>
        </w:rPr>
        <w:t>nej wykonanej i/lub nasadzonej w ramach zrealizowanego zadania, zgodnie z wymogami okre</w:t>
      </w:r>
      <w:r w:rsidRPr="00A23FB4">
        <w:rPr>
          <w:rFonts w:asciiTheme="minorHAnsi" w:eastAsia="Arial Unicode MS" w:hAnsiTheme="minorHAnsi"/>
        </w:rPr>
        <w:t>ś</w:t>
      </w:r>
      <w:r w:rsidRPr="00A23FB4">
        <w:rPr>
          <w:rFonts w:asciiTheme="minorHAnsi" w:eastAsia="Arial Unicode MS" w:hAnsiTheme="minorHAnsi" w:cs="Arial Unicode MS"/>
        </w:rPr>
        <w:t>lonymi i przyj</w:t>
      </w:r>
      <w:r w:rsidRPr="00A23FB4">
        <w:rPr>
          <w:rFonts w:asciiTheme="minorHAnsi" w:eastAsia="Arial Unicode MS" w:hAnsiTheme="minorHAnsi"/>
        </w:rPr>
        <w:t>ę</w:t>
      </w:r>
      <w:r w:rsidRPr="00A23FB4">
        <w:rPr>
          <w:rFonts w:asciiTheme="minorHAnsi" w:eastAsia="Arial Unicode MS" w:hAnsiTheme="minorHAnsi" w:cs="Arial Unicode MS"/>
        </w:rPr>
        <w:t>tymi w Warunkach Wykonania i Odbioru Rob</w:t>
      </w:r>
      <w:r w:rsidRPr="00A23FB4">
        <w:rPr>
          <w:rFonts w:asciiTheme="minorHAnsi" w:eastAsia="Arial Unicode MS" w:hAnsiTheme="minorHAnsi"/>
        </w:rPr>
        <w:t>ó</w:t>
      </w:r>
      <w:r w:rsidRPr="00A23FB4">
        <w:rPr>
          <w:rFonts w:asciiTheme="minorHAnsi" w:eastAsia="Arial Unicode MS" w:hAnsiTheme="minorHAnsi" w:cs="Arial Unicode MS"/>
        </w:rPr>
        <w:t xml:space="preserve">t Budowlanych. </w:t>
      </w:r>
    </w:p>
    <w:p w14:paraId="41EA3417" w14:textId="77777777" w:rsidR="00557CCE" w:rsidRPr="00A23FB4" w:rsidRDefault="00557CCE" w:rsidP="00557CCE">
      <w:pPr>
        <w:overflowPunct/>
        <w:spacing w:after="202"/>
        <w:jc w:val="left"/>
        <w:textAlignment w:val="auto"/>
        <w:rPr>
          <w:rFonts w:asciiTheme="minorHAnsi" w:eastAsia="Arial Unicode MS" w:hAnsiTheme="minorHAnsi" w:cs="Arial Unicode MS"/>
        </w:rPr>
      </w:pPr>
      <w:r w:rsidRPr="00A23FB4">
        <w:rPr>
          <w:rFonts w:asciiTheme="minorHAnsi" w:eastAsia="Arial Unicode MS" w:hAnsiTheme="minorHAnsi" w:cs="Arial Unicode MS"/>
        </w:rPr>
        <w:t>Wykonawca w okresie gwarancji b</w:t>
      </w:r>
      <w:r w:rsidRPr="00A23FB4">
        <w:rPr>
          <w:rFonts w:asciiTheme="minorHAnsi" w:eastAsia="Arial Unicode MS" w:hAnsiTheme="minorHAnsi"/>
        </w:rPr>
        <w:t>ę</w:t>
      </w:r>
      <w:r w:rsidRPr="00A23FB4">
        <w:rPr>
          <w:rFonts w:asciiTheme="minorHAnsi" w:eastAsia="Arial Unicode MS" w:hAnsiTheme="minorHAnsi" w:cs="Arial Unicode MS"/>
        </w:rPr>
        <w:t>dzie piel</w:t>
      </w:r>
      <w:r w:rsidRPr="00A23FB4">
        <w:rPr>
          <w:rFonts w:asciiTheme="minorHAnsi" w:eastAsia="Arial Unicode MS" w:hAnsiTheme="minorHAnsi"/>
        </w:rPr>
        <w:t>ę</w:t>
      </w:r>
      <w:r w:rsidRPr="00A23FB4">
        <w:rPr>
          <w:rFonts w:asciiTheme="minorHAnsi" w:eastAsia="Arial Unicode MS" w:hAnsiTheme="minorHAnsi" w:cs="Arial Unicode MS"/>
        </w:rPr>
        <w:t>gnowa</w:t>
      </w:r>
      <w:r w:rsidRPr="00A23FB4">
        <w:rPr>
          <w:rFonts w:asciiTheme="minorHAnsi" w:eastAsia="Arial Unicode MS" w:hAnsiTheme="minorHAnsi"/>
        </w:rPr>
        <w:t xml:space="preserve">ć </w:t>
      </w:r>
      <w:r w:rsidRPr="00A23FB4">
        <w:rPr>
          <w:rFonts w:asciiTheme="minorHAnsi" w:eastAsia="Arial Unicode MS" w:hAnsiTheme="minorHAnsi" w:cs="Arial Unicode MS"/>
        </w:rPr>
        <w:t>ziele</w:t>
      </w:r>
      <w:r w:rsidRPr="00A23FB4">
        <w:rPr>
          <w:rFonts w:asciiTheme="minorHAnsi" w:eastAsia="Arial Unicode MS" w:hAnsiTheme="minorHAnsi"/>
        </w:rPr>
        <w:t>ń</w:t>
      </w:r>
      <w:r w:rsidRPr="00A23FB4">
        <w:rPr>
          <w:rFonts w:asciiTheme="minorHAnsi" w:eastAsia="Arial Unicode MS" w:hAnsiTheme="minorHAnsi" w:cs="Arial Unicode MS"/>
        </w:rPr>
        <w:t>. W szczeg</w:t>
      </w:r>
      <w:r w:rsidRPr="00A23FB4">
        <w:rPr>
          <w:rFonts w:asciiTheme="minorHAnsi" w:eastAsia="Arial Unicode MS" w:hAnsiTheme="minorHAnsi"/>
        </w:rPr>
        <w:t>ó</w:t>
      </w:r>
      <w:r w:rsidRPr="00A23FB4">
        <w:rPr>
          <w:rFonts w:asciiTheme="minorHAnsi" w:eastAsia="Arial Unicode MS" w:hAnsiTheme="minorHAnsi" w:cs="Arial Unicode MS"/>
        </w:rPr>
        <w:t>lno</w:t>
      </w:r>
      <w:r w:rsidRPr="00A23FB4">
        <w:rPr>
          <w:rFonts w:asciiTheme="minorHAnsi" w:eastAsia="Arial Unicode MS" w:hAnsiTheme="minorHAnsi"/>
        </w:rPr>
        <w:t>ś</w:t>
      </w:r>
      <w:r w:rsidRPr="00A23FB4">
        <w:rPr>
          <w:rFonts w:asciiTheme="minorHAnsi" w:eastAsia="Arial Unicode MS" w:hAnsiTheme="minorHAnsi" w:cs="Arial Unicode MS"/>
        </w:rPr>
        <w:t>ci trawniki nale</w:t>
      </w:r>
      <w:r w:rsidRPr="00A23FB4">
        <w:rPr>
          <w:rFonts w:asciiTheme="minorHAnsi" w:eastAsia="Arial Unicode MS" w:hAnsiTheme="minorHAnsi"/>
        </w:rPr>
        <w:t>ż</w:t>
      </w:r>
      <w:r w:rsidRPr="00A23FB4">
        <w:rPr>
          <w:rFonts w:asciiTheme="minorHAnsi" w:eastAsia="Arial Unicode MS" w:hAnsiTheme="minorHAnsi" w:cs="Arial Unicode MS"/>
        </w:rPr>
        <w:t>y odchwaszcza</w:t>
      </w:r>
      <w:r w:rsidRPr="00A23FB4">
        <w:rPr>
          <w:rFonts w:asciiTheme="minorHAnsi" w:eastAsia="Arial Unicode MS" w:hAnsiTheme="minorHAnsi"/>
        </w:rPr>
        <w:t>ć</w:t>
      </w:r>
      <w:r w:rsidRPr="00A23FB4">
        <w:rPr>
          <w:rFonts w:asciiTheme="minorHAnsi" w:eastAsia="Arial Unicode MS" w:hAnsiTheme="minorHAnsi" w:cs="Arial Unicode MS"/>
        </w:rPr>
        <w:t>, nawozi</w:t>
      </w:r>
      <w:r w:rsidRPr="00A23FB4">
        <w:rPr>
          <w:rFonts w:asciiTheme="minorHAnsi" w:eastAsia="Arial Unicode MS" w:hAnsiTheme="minorHAnsi"/>
        </w:rPr>
        <w:t>ć</w:t>
      </w:r>
      <w:r w:rsidRPr="00A23FB4">
        <w:rPr>
          <w:rFonts w:asciiTheme="minorHAnsi" w:eastAsia="Arial Unicode MS" w:hAnsiTheme="minorHAnsi" w:cs="Arial Unicode MS"/>
        </w:rPr>
        <w:t>, podlewa</w:t>
      </w:r>
      <w:r w:rsidRPr="00A23FB4">
        <w:rPr>
          <w:rFonts w:asciiTheme="minorHAnsi" w:eastAsia="Arial Unicode MS" w:hAnsiTheme="minorHAnsi"/>
        </w:rPr>
        <w:t>ć</w:t>
      </w:r>
      <w:r w:rsidRPr="00A23FB4">
        <w:rPr>
          <w:rFonts w:asciiTheme="minorHAnsi" w:eastAsia="Arial Unicode MS" w:hAnsiTheme="minorHAnsi" w:cs="Arial Unicode MS"/>
        </w:rPr>
        <w:t>, kosi</w:t>
      </w:r>
      <w:r w:rsidRPr="00A23FB4">
        <w:rPr>
          <w:rFonts w:asciiTheme="minorHAnsi" w:eastAsia="Arial Unicode MS" w:hAnsiTheme="minorHAnsi"/>
        </w:rPr>
        <w:t xml:space="preserve">ć </w:t>
      </w:r>
      <w:r w:rsidRPr="00A23FB4">
        <w:rPr>
          <w:rFonts w:asciiTheme="minorHAnsi" w:eastAsia="Arial Unicode MS" w:hAnsiTheme="minorHAnsi" w:cs="Arial Unicode MS"/>
        </w:rPr>
        <w:t>(pierwszy raz, gdy trawa osi</w:t>
      </w:r>
      <w:r w:rsidRPr="00A23FB4">
        <w:rPr>
          <w:rFonts w:asciiTheme="minorHAnsi" w:eastAsia="Arial Unicode MS" w:hAnsiTheme="minorHAnsi"/>
        </w:rPr>
        <w:t>ą</w:t>
      </w:r>
      <w:r w:rsidRPr="00A23FB4">
        <w:rPr>
          <w:rFonts w:asciiTheme="minorHAnsi" w:eastAsia="Arial Unicode MS" w:hAnsiTheme="minorHAnsi" w:cs="Arial Unicode MS"/>
        </w:rPr>
        <w:t>gnie wysoko</w:t>
      </w:r>
      <w:r w:rsidRPr="00A23FB4">
        <w:rPr>
          <w:rFonts w:asciiTheme="minorHAnsi" w:eastAsia="Arial Unicode MS" w:hAnsiTheme="minorHAnsi"/>
        </w:rPr>
        <w:t xml:space="preserve">ść </w:t>
      </w:r>
      <w:r w:rsidRPr="00A23FB4">
        <w:rPr>
          <w:rFonts w:asciiTheme="minorHAnsi" w:eastAsia="Arial Unicode MS" w:hAnsiTheme="minorHAnsi" w:cs="Arial Unicode MS"/>
        </w:rPr>
        <w:t>10 cm i kolejne co najmniej 2 razy na rok - przez ca</w:t>
      </w:r>
      <w:r w:rsidRPr="00A23FB4">
        <w:rPr>
          <w:rFonts w:asciiTheme="minorHAnsi" w:eastAsia="Arial Unicode MS" w:hAnsiTheme="minorHAnsi"/>
        </w:rPr>
        <w:t>ł</w:t>
      </w:r>
      <w:r w:rsidRPr="00A23FB4">
        <w:rPr>
          <w:rFonts w:asciiTheme="minorHAnsi" w:eastAsia="Arial Unicode MS" w:hAnsiTheme="minorHAnsi" w:cs="Arial Unicode MS"/>
        </w:rPr>
        <w:t xml:space="preserve">y okres gwarancyjny). </w:t>
      </w:r>
    </w:p>
    <w:p w14:paraId="50DD3849" w14:textId="77777777" w:rsidR="00557CCE" w:rsidRPr="00A23FB4" w:rsidRDefault="00557CCE" w:rsidP="00557CCE">
      <w:pPr>
        <w:overflowPunct/>
        <w:jc w:val="left"/>
        <w:textAlignment w:val="auto"/>
        <w:rPr>
          <w:rFonts w:asciiTheme="minorHAnsi" w:eastAsia="Arial Unicode MS" w:hAnsiTheme="minorHAnsi" w:cs="Arial Unicode MS"/>
        </w:rPr>
      </w:pPr>
      <w:r w:rsidRPr="00A23FB4">
        <w:rPr>
          <w:rFonts w:asciiTheme="minorHAnsi" w:eastAsia="Arial Unicode MS" w:hAnsiTheme="minorHAnsi" w:cs="Arial Unicode MS"/>
        </w:rPr>
        <w:t>Kontrola jako</w:t>
      </w:r>
      <w:r w:rsidRPr="00A23FB4">
        <w:rPr>
          <w:rFonts w:asciiTheme="minorHAnsi" w:eastAsia="Arial Unicode MS" w:hAnsiTheme="minorHAnsi"/>
        </w:rPr>
        <w:t>ś</w:t>
      </w:r>
      <w:r w:rsidRPr="00A23FB4">
        <w:rPr>
          <w:rFonts w:asciiTheme="minorHAnsi" w:eastAsia="Arial Unicode MS" w:hAnsiTheme="minorHAnsi" w:cs="Arial Unicode MS"/>
        </w:rPr>
        <w:t>ci humusowania i obsiania skarp, row</w:t>
      </w:r>
      <w:r w:rsidRPr="00A23FB4">
        <w:rPr>
          <w:rFonts w:asciiTheme="minorHAnsi" w:eastAsia="Arial Unicode MS" w:hAnsiTheme="minorHAnsi"/>
        </w:rPr>
        <w:t>ó</w:t>
      </w:r>
      <w:r w:rsidRPr="00A23FB4">
        <w:rPr>
          <w:rFonts w:asciiTheme="minorHAnsi" w:eastAsia="Arial Unicode MS" w:hAnsiTheme="minorHAnsi" w:cs="Arial Unicode MS"/>
        </w:rPr>
        <w:t>w i teren</w:t>
      </w:r>
      <w:r w:rsidRPr="00A23FB4">
        <w:rPr>
          <w:rFonts w:asciiTheme="minorHAnsi" w:eastAsia="Arial Unicode MS" w:hAnsiTheme="minorHAnsi"/>
        </w:rPr>
        <w:t>ó</w:t>
      </w:r>
      <w:r w:rsidRPr="00A23FB4">
        <w:rPr>
          <w:rFonts w:asciiTheme="minorHAnsi" w:eastAsia="Arial Unicode MS" w:hAnsiTheme="minorHAnsi" w:cs="Arial Unicode MS"/>
        </w:rPr>
        <w:t>w p</w:t>
      </w:r>
      <w:r w:rsidRPr="00A23FB4">
        <w:rPr>
          <w:rFonts w:asciiTheme="minorHAnsi" w:eastAsia="Arial Unicode MS" w:hAnsiTheme="minorHAnsi"/>
        </w:rPr>
        <w:t>ł</w:t>
      </w:r>
      <w:r w:rsidRPr="00A23FB4">
        <w:rPr>
          <w:rFonts w:asciiTheme="minorHAnsi" w:eastAsia="Arial Unicode MS" w:hAnsiTheme="minorHAnsi" w:cs="Arial Unicode MS"/>
        </w:rPr>
        <w:t xml:space="preserve">askich: </w:t>
      </w:r>
    </w:p>
    <w:p w14:paraId="51C531DE" w14:textId="77777777" w:rsidR="00557CCE" w:rsidRPr="00A23FB4" w:rsidRDefault="00557CCE" w:rsidP="00557CCE">
      <w:pPr>
        <w:overflowPunct/>
        <w:jc w:val="left"/>
        <w:textAlignment w:val="auto"/>
        <w:rPr>
          <w:rFonts w:asciiTheme="minorHAnsi" w:eastAsia="Arial Unicode MS" w:hAnsiTheme="minorHAnsi" w:cs="Arial Unicode MS"/>
        </w:rPr>
      </w:pPr>
      <w:r w:rsidRPr="00A23FB4">
        <w:rPr>
          <w:rFonts w:asciiTheme="minorHAnsi" w:eastAsia="Arial Unicode MS" w:hAnsiTheme="minorHAnsi" w:cs="Arial Unicode MS"/>
        </w:rPr>
        <w:t xml:space="preserve">Po 3 letnim okresie gwarancji </w:t>
      </w:r>
      <w:r w:rsidRPr="00A23FB4">
        <w:rPr>
          <w:rFonts w:asciiTheme="minorHAnsi" w:eastAsia="Arial Unicode MS" w:hAnsiTheme="minorHAnsi"/>
        </w:rPr>
        <w:t>łą</w:t>
      </w:r>
      <w:r w:rsidRPr="00A23FB4">
        <w:rPr>
          <w:rFonts w:asciiTheme="minorHAnsi" w:eastAsia="Arial Unicode MS" w:hAnsiTheme="minorHAnsi" w:cs="Arial Unicode MS"/>
        </w:rPr>
        <w:t>czna powierzchnia nieporo</w:t>
      </w:r>
      <w:r w:rsidRPr="00A23FB4">
        <w:rPr>
          <w:rFonts w:asciiTheme="minorHAnsi" w:eastAsia="Arial Unicode MS" w:hAnsiTheme="minorHAnsi"/>
        </w:rPr>
        <w:t>ś</w:t>
      </w:r>
      <w:r w:rsidRPr="00A23FB4">
        <w:rPr>
          <w:rFonts w:asciiTheme="minorHAnsi" w:eastAsia="Arial Unicode MS" w:hAnsiTheme="minorHAnsi" w:cs="Arial Unicode MS"/>
        </w:rPr>
        <w:t>ni</w:t>
      </w:r>
      <w:r w:rsidRPr="00A23FB4">
        <w:rPr>
          <w:rFonts w:asciiTheme="minorHAnsi" w:eastAsia="Arial Unicode MS" w:hAnsiTheme="minorHAnsi"/>
        </w:rPr>
        <w:t>ę</w:t>
      </w:r>
      <w:r w:rsidRPr="00A23FB4">
        <w:rPr>
          <w:rFonts w:asciiTheme="minorHAnsi" w:eastAsia="Arial Unicode MS" w:hAnsiTheme="minorHAnsi" w:cs="Arial Unicode MS"/>
        </w:rPr>
        <w:t>tych miejsc nie powinna by</w:t>
      </w:r>
      <w:r w:rsidRPr="00A23FB4">
        <w:rPr>
          <w:rFonts w:asciiTheme="minorHAnsi" w:eastAsia="Arial Unicode MS" w:hAnsiTheme="minorHAnsi"/>
        </w:rPr>
        <w:t xml:space="preserve">ć </w:t>
      </w:r>
      <w:r w:rsidRPr="00A23FB4">
        <w:rPr>
          <w:rFonts w:asciiTheme="minorHAnsi" w:eastAsia="Arial Unicode MS" w:hAnsiTheme="minorHAnsi" w:cs="Arial Unicode MS"/>
        </w:rPr>
        <w:t>wi</w:t>
      </w:r>
      <w:r w:rsidRPr="00A23FB4">
        <w:rPr>
          <w:rFonts w:asciiTheme="minorHAnsi" w:eastAsia="Arial Unicode MS" w:hAnsiTheme="minorHAnsi"/>
        </w:rPr>
        <w:t>ę</w:t>
      </w:r>
      <w:r w:rsidRPr="00A23FB4">
        <w:rPr>
          <w:rFonts w:asciiTheme="minorHAnsi" w:eastAsia="Arial Unicode MS" w:hAnsiTheme="minorHAnsi" w:cs="Arial Unicode MS"/>
        </w:rPr>
        <w:t>ksza ni</w:t>
      </w:r>
      <w:r w:rsidRPr="00A23FB4">
        <w:rPr>
          <w:rFonts w:asciiTheme="minorHAnsi" w:eastAsia="Arial Unicode MS" w:hAnsiTheme="minorHAnsi"/>
        </w:rPr>
        <w:t xml:space="preserve">ż </w:t>
      </w:r>
      <w:r w:rsidRPr="00A23FB4">
        <w:rPr>
          <w:rFonts w:asciiTheme="minorHAnsi" w:eastAsia="Arial Unicode MS" w:hAnsiTheme="minorHAnsi" w:cs="Arial Unicode MS"/>
        </w:rPr>
        <w:t>2% wszystkich obsianych powierzchni, a maksymalny wymiar pojedynczych nie zatrawionych miejsc nie powinien przekracza</w:t>
      </w:r>
      <w:r w:rsidRPr="00A23FB4">
        <w:rPr>
          <w:rFonts w:asciiTheme="minorHAnsi" w:eastAsia="Arial Unicode MS" w:hAnsiTheme="minorHAnsi"/>
        </w:rPr>
        <w:t xml:space="preserve">ć </w:t>
      </w:r>
      <w:r w:rsidRPr="00A23FB4">
        <w:rPr>
          <w:rFonts w:asciiTheme="minorHAnsi" w:eastAsia="Arial Unicode MS" w:hAnsiTheme="minorHAnsi" w:cs="Arial Unicode MS"/>
        </w:rPr>
        <w:t>0.2 m2. Nie dopuszcza si</w:t>
      </w:r>
      <w:r w:rsidRPr="00A23FB4">
        <w:rPr>
          <w:rFonts w:asciiTheme="minorHAnsi" w:eastAsia="Arial Unicode MS" w:hAnsiTheme="minorHAnsi"/>
        </w:rPr>
        <w:t xml:space="preserve">ę </w:t>
      </w:r>
      <w:r w:rsidRPr="00A23FB4">
        <w:rPr>
          <w:rFonts w:asciiTheme="minorHAnsi" w:eastAsia="Arial Unicode MS" w:hAnsiTheme="minorHAnsi" w:cs="Arial Unicode MS"/>
        </w:rPr>
        <w:t>na zaro</w:t>
      </w:r>
      <w:r w:rsidRPr="00A23FB4">
        <w:rPr>
          <w:rFonts w:asciiTheme="minorHAnsi" w:eastAsia="Arial Unicode MS" w:hAnsiTheme="minorHAnsi"/>
        </w:rPr>
        <w:t>ś</w:t>
      </w:r>
      <w:r w:rsidRPr="00A23FB4">
        <w:rPr>
          <w:rFonts w:asciiTheme="minorHAnsi" w:eastAsia="Arial Unicode MS" w:hAnsiTheme="minorHAnsi" w:cs="Arial Unicode MS"/>
        </w:rPr>
        <w:t>ni</w:t>
      </w:r>
      <w:r w:rsidRPr="00A23FB4">
        <w:rPr>
          <w:rFonts w:asciiTheme="minorHAnsi" w:eastAsia="Arial Unicode MS" w:hAnsiTheme="minorHAnsi"/>
        </w:rPr>
        <w:t>ę</w:t>
      </w:r>
      <w:r w:rsidRPr="00A23FB4">
        <w:rPr>
          <w:rFonts w:asciiTheme="minorHAnsi" w:eastAsia="Arial Unicode MS" w:hAnsiTheme="minorHAnsi" w:cs="Arial Unicode MS"/>
        </w:rPr>
        <w:t>tej powierzchni wyst</w:t>
      </w:r>
      <w:r w:rsidRPr="00A23FB4">
        <w:rPr>
          <w:rFonts w:asciiTheme="minorHAnsi" w:eastAsia="Arial Unicode MS" w:hAnsiTheme="minorHAnsi"/>
        </w:rPr>
        <w:t>ę</w:t>
      </w:r>
      <w:r w:rsidRPr="00A23FB4">
        <w:rPr>
          <w:rFonts w:asciiTheme="minorHAnsi" w:eastAsia="Arial Unicode MS" w:hAnsiTheme="minorHAnsi" w:cs="Arial Unicode MS"/>
        </w:rPr>
        <w:t>powania jakichkolwiek wy</w:t>
      </w:r>
      <w:r w:rsidRPr="00A23FB4">
        <w:rPr>
          <w:rFonts w:asciiTheme="minorHAnsi" w:eastAsia="Arial Unicode MS" w:hAnsiTheme="minorHAnsi"/>
        </w:rPr>
        <w:t>żł</w:t>
      </w:r>
      <w:r w:rsidRPr="00A23FB4">
        <w:rPr>
          <w:rFonts w:asciiTheme="minorHAnsi" w:eastAsia="Arial Unicode MS" w:hAnsiTheme="minorHAnsi" w:cs="Arial Unicode MS"/>
        </w:rPr>
        <w:t>obie</w:t>
      </w:r>
      <w:r w:rsidRPr="00A23FB4">
        <w:rPr>
          <w:rFonts w:asciiTheme="minorHAnsi" w:eastAsia="Arial Unicode MS" w:hAnsiTheme="minorHAnsi"/>
        </w:rPr>
        <w:t xml:space="preserve">ń </w:t>
      </w:r>
      <w:r w:rsidRPr="00A23FB4">
        <w:rPr>
          <w:rFonts w:asciiTheme="minorHAnsi" w:eastAsia="Arial Unicode MS" w:hAnsiTheme="minorHAnsi" w:cs="Arial Unicode MS"/>
        </w:rPr>
        <w:t>erozyjnych ani lokalnych zsuw</w:t>
      </w:r>
      <w:r w:rsidRPr="00A23FB4">
        <w:rPr>
          <w:rFonts w:asciiTheme="minorHAnsi" w:eastAsia="Arial Unicode MS" w:hAnsiTheme="minorHAnsi"/>
        </w:rPr>
        <w:t>ó</w:t>
      </w:r>
      <w:r w:rsidRPr="00A23FB4">
        <w:rPr>
          <w:rFonts w:asciiTheme="minorHAnsi" w:eastAsia="Arial Unicode MS" w:hAnsiTheme="minorHAnsi" w:cs="Arial Unicode MS"/>
        </w:rPr>
        <w:t xml:space="preserve">w. </w:t>
      </w:r>
    </w:p>
    <w:p w14:paraId="1516FA54" w14:textId="77777777" w:rsidR="00557CCE" w:rsidRPr="00A23FB4" w:rsidRDefault="00557CCE" w:rsidP="00557CCE">
      <w:pPr>
        <w:overflowPunct/>
        <w:jc w:val="left"/>
        <w:textAlignment w:val="auto"/>
        <w:rPr>
          <w:rFonts w:asciiTheme="minorHAnsi" w:eastAsia="Arial Unicode MS" w:hAnsiTheme="minorHAnsi" w:cs="Arial Unicode MS"/>
        </w:rPr>
      </w:pPr>
      <w:r w:rsidRPr="00A23FB4">
        <w:rPr>
          <w:rFonts w:asciiTheme="minorHAnsi" w:eastAsia="Arial Unicode MS" w:hAnsiTheme="minorHAnsi" w:cs="Arial Unicode MS"/>
        </w:rPr>
        <w:t>- Kontrola jako</w:t>
      </w:r>
      <w:r w:rsidRPr="00A23FB4">
        <w:rPr>
          <w:rFonts w:asciiTheme="minorHAnsi" w:eastAsia="Arial Unicode MS" w:hAnsiTheme="minorHAnsi"/>
        </w:rPr>
        <w:t>ś</w:t>
      </w:r>
      <w:r w:rsidRPr="00A23FB4">
        <w:rPr>
          <w:rFonts w:asciiTheme="minorHAnsi" w:eastAsia="Arial Unicode MS" w:hAnsiTheme="minorHAnsi" w:cs="Arial Unicode MS"/>
        </w:rPr>
        <w:t>ci nasadzonych drzew, krzew</w:t>
      </w:r>
      <w:r w:rsidRPr="00A23FB4">
        <w:rPr>
          <w:rFonts w:asciiTheme="minorHAnsi" w:eastAsia="Arial Unicode MS" w:hAnsiTheme="minorHAnsi"/>
        </w:rPr>
        <w:t>ó</w:t>
      </w:r>
      <w:r w:rsidRPr="00A23FB4">
        <w:rPr>
          <w:rFonts w:asciiTheme="minorHAnsi" w:eastAsia="Arial Unicode MS" w:hAnsiTheme="minorHAnsi" w:cs="Arial Unicode MS"/>
        </w:rPr>
        <w:t>w i pn</w:t>
      </w:r>
      <w:r w:rsidRPr="00A23FB4">
        <w:rPr>
          <w:rFonts w:asciiTheme="minorHAnsi" w:eastAsia="Arial Unicode MS" w:hAnsiTheme="minorHAnsi"/>
        </w:rPr>
        <w:t>ą</w:t>
      </w:r>
      <w:r w:rsidRPr="00A23FB4">
        <w:rPr>
          <w:rFonts w:asciiTheme="minorHAnsi" w:eastAsia="Arial Unicode MS" w:hAnsiTheme="minorHAnsi" w:cs="Arial Unicode MS"/>
        </w:rPr>
        <w:t xml:space="preserve">czy </w:t>
      </w:r>
    </w:p>
    <w:p w14:paraId="2D8E127A" w14:textId="77777777" w:rsidR="00557CCE" w:rsidRPr="00A23FB4" w:rsidRDefault="00557CCE" w:rsidP="00557CCE">
      <w:pPr>
        <w:overflowPunct/>
        <w:jc w:val="left"/>
        <w:textAlignment w:val="auto"/>
        <w:rPr>
          <w:rFonts w:asciiTheme="minorHAnsi" w:eastAsia="Arial Unicode MS" w:hAnsiTheme="minorHAnsi" w:cs="Arial Unicode MS"/>
        </w:rPr>
      </w:pPr>
    </w:p>
    <w:p w14:paraId="3E67A15F" w14:textId="77777777" w:rsidR="00557CCE" w:rsidRPr="00A23FB4" w:rsidRDefault="00557CCE" w:rsidP="00557CCE">
      <w:pPr>
        <w:overflowPunct/>
        <w:jc w:val="left"/>
        <w:textAlignment w:val="auto"/>
        <w:rPr>
          <w:rFonts w:asciiTheme="minorHAnsi" w:eastAsia="Arial Unicode MS" w:hAnsiTheme="minorHAnsi" w:cs="Arial Unicode MS"/>
        </w:rPr>
      </w:pPr>
      <w:r w:rsidRPr="00A23FB4">
        <w:rPr>
          <w:rFonts w:asciiTheme="minorHAnsi" w:eastAsia="Arial Unicode MS" w:hAnsiTheme="minorHAnsi" w:cs="Arial Unicode MS"/>
        </w:rPr>
        <w:t>Po 3 letnim okresie gwarancji udatno</w:t>
      </w:r>
      <w:r w:rsidRPr="00A23FB4">
        <w:rPr>
          <w:rFonts w:asciiTheme="minorHAnsi" w:eastAsia="Arial Unicode MS" w:hAnsiTheme="minorHAnsi"/>
        </w:rPr>
        <w:t xml:space="preserve">ść </w:t>
      </w:r>
      <w:r w:rsidRPr="00A23FB4">
        <w:rPr>
          <w:rFonts w:asciiTheme="minorHAnsi" w:eastAsia="Arial Unicode MS" w:hAnsiTheme="minorHAnsi" w:cs="Arial Unicode MS"/>
        </w:rPr>
        <w:t>nasadze</w:t>
      </w:r>
      <w:r w:rsidRPr="00A23FB4">
        <w:rPr>
          <w:rFonts w:asciiTheme="minorHAnsi" w:eastAsia="Arial Unicode MS" w:hAnsiTheme="minorHAnsi"/>
        </w:rPr>
        <w:t>ń</w:t>
      </w:r>
      <w:r w:rsidRPr="00A23FB4">
        <w:rPr>
          <w:rFonts w:asciiTheme="minorHAnsi" w:eastAsia="Arial Unicode MS" w:hAnsiTheme="minorHAnsi" w:cs="Arial Unicode MS"/>
        </w:rPr>
        <w:t>nie b</w:t>
      </w:r>
      <w:r w:rsidRPr="00A23FB4">
        <w:rPr>
          <w:rFonts w:asciiTheme="minorHAnsi" w:eastAsia="Arial Unicode MS" w:hAnsiTheme="minorHAnsi"/>
        </w:rPr>
        <w:t>ę</w:t>
      </w:r>
      <w:r w:rsidRPr="00A23FB4">
        <w:rPr>
          <w:rFonts w:asciiTheme="minorHAnsi" w:eastAsia="Arial Unicode MS" w:hAnsiTheme="minorHAnsi" w:cs="Arial Unicode MS"/>
        </w:rPr>
        <w:t>dzie ni</w:t>
      </w:r>
      <w:r w:rsidRPr="00A23FB4">
        <w:rPr>
          <w:rFonts w:asciiTheme="minorHAnsi" w:eastAsia="Arial Unicode MS" w:hAnsiTheme="minorHAnsi"/>
        </w:rPr>
        <w:t>ż</w:t>
      </w:r>
      <w:r w:rsidRPr="00A23FB4">
        <w:rPr>
          <w:rFonts w:asciiTheme="minorHAnsi" w:eastAsia="Arial Unicode MS" w:hAnsiTheme="minorHAnsi" w:cs="Arial Unicode MS"/>
        </w:rPr>
        <w:t>sza ni</w:t>
      </w:r>
      <w:r w:rsidRPr="00A23FB4">
        <w:rPr>
          <w:rFonts w:asciiTheme="minorHAnsi" w:eastAsia="Arial Unicode MS" w:hAnsiTheme="minorHAnsi"/>
        </w:rPr>
        <w:t>ż</w:t>
      </w:r>
      <w:r w:rsidRPr="00A23FB4">
        <w:rPr>
          <w:rFonts w:asciiTheme="minorHAnsi" w:eastAsia="Arial Unicode MS" w:hAnsiTheme="minorHAnsi" w:cs="Arial Unicode MS"/>
        </w:rPr>
        <w:t xml:space="preserve">: </w:t>
      </w:r>
    </w:p>
    <w:p w14:paraId="28A68531" w14:textId="77777777" w:rsidR="00557CCE" w:rsidRPr="00A23FB4" w:rsidRDefault="00557CCE" w:rsidP="00557CCE">
      <w:pPr>
        <w:overflowPunct/>
        <w:spacing w:after="19"/>
        <w:jc w:val="left"/>
        <w:textAlignment w:val="auto"/>
        <w:rPr>
          <w:rFonts w:asciiTheme="minorHAnsi" w:eastAsia="Arial Unicode MS" w:hAnsiTheme="minorHAnsi" w:cs="Arial Unicode MS"/>
        </w:rPr>
      </w:pPr>
      <w:r w:rsidRPr="00A23FB4">
        <w:rPr>
          <w:rFonts w:asciiTheme="minorHAnsi" w:eastAsia="Arial Unicode MS" w:hAnsiTheme="minorHAnsi" w:cs="Arial Unicode MS"/>
        </w:rPr>
        <w:t>- 95% dla krzew</w:t>
      </w:r>
      <w:r w:rsidRPr="00A23FB4">
        <w:rPr>
          <w:rFonts w:asciiTheme="minorHAnsi" w:eastAsia="Arial Unicode MS" w:hAnsiTheme="minorHAnsi"/>
        </w:rPr>
        <w:t>ó</w:t>
      </w:r>
      <w:r w:rsidRPr="00A23FB4">
        <w:rPr>
          <w:rFonts w:asciiTheme="minorHAnsi" w:eastAsia="Arial Unicode MS" w:hAnsiTheme="minorHAnsi" w:cs="Arial Unicode MS"/>
        </w:rPr>
        <w:t xml:space="preserve">w </w:t>
      </w:r>
    </w:p>
    <w:p w14:paraId="17506DD0" w14:textId="77777777" w:rsidR="00557CCE" w:rsidRPr="00A23FB4" w:rsidRDefault="00557CCE" w:rsidP="00557CCE">
      <w:pPr>
        <w:overflowPunct/>
        <w:spacing w:after="19"/>
        <w:jc w:val="left"/>
        <w:textAlignment w:val="auto"/>
        <w:rPr>
          <w:rFonts w:asciiTheme="minorHAnsi" w:eastAsia="Arial Unicode MS" w:hAnsiTheme="minorHAnsi" w:cs="Arial Unicode MS"/>
        </w:rPr>
      </w:pPr>
      <w:r w:rsidRPr="00A23FB4">
        <w:rPr>
          <w:rFonts w:asciiTheme="minorHAnsi" w:eastAsia="Arial Unicode MS" w:hAnsiTheme="minorHAnsi" w:cs="Arial Unicode MS"/>
        </w:rPr>
        <w:t>- 95% dla drzew szk</w:t>
      </w:r>
      <w:r w:rsidRPr="00A23FB4">
        <w:rPr>
          <w:rFonts w:asciiTheme="minorHAnsi" w:eastAsia="Arial Unicode MS" w:hAnsiTheme="minorHAnsi"/>
        </w:rPr>
        <w:t>ół</w:t>
      </w:r>
      <w:r w:rsidRPr="00A23FB4">
        <w:rPr>
          <w:rFonts w:asciiTheme="minorHAnsi" w:eastAsia="Arial Unicode MS" w:hAnsiTheme="minorHAnsi" w:cs="Arial Unicode MS"/>
        </w:rPr>
        <w:t>karskich (szk</w:t>
      </w:r>
      <w:r w:rsidRPr="00A23FB4">
        <w:rPr>
          <w:rFonts w:asciiTheme="minorHAnsi" w:eastAsia="Arial Unicode MS" w:hAnsiTheme="minorHAnsi"/>
        </w:rPr>
        <w:t>ół</w:t>
      </w:r>
      <w:r w:rsidRPr="00A23FB4">
        <w:rPr>
          <w:rFonts w:asciiTheme="minorHAnsi" w:eastAsia="Arial Unicode MS" w:hAnsiTheme="minorHAnsi" w:cs="Arial Unicode MS"/>
        </w:rPr>
        <w:t>ki le</w:t>
      </w:r>
      <w:r w:rsidRPr="00A23FB4">
        <w:rPr>
          <w:rFonts w:asciiTheme="minorHAnsi" w:eastAsia="Arial Unicode MS" w:hAnsiTheme="minorHAnsi"/>
        </w:rPr>
        <w:t>ś</w:t>
      </w:r>
      <w:r w:rsidRPr="00A23FB4">
        <w:rPr>
          <w:rFonts w:asciiTheme="minorHAnsi" w:eastAsia="Arial Unicode MS" w:hAnsiTheme="minorHAnsi" w:cs="Arial Unicode MS"/>
        </w:rPr>
        <w:t xml:space="preserve">ne) </w:t>
      </w:r>
    </w:p>
    <w:p w14:paraId="03918335" w14:textId="77777777" w:rsidR="00557CCE" w:rsidRPr="00A23FB4" w:rsidRDefault="00557CCE" w:rsidP="00557CCE">
      <w:pPr>
        <w:overflowPunct/>
        <w:jc w:val="left"/>
        <w:textAlignment w:val="auto"/>
        <w:rPr>
          <w:rFonts w:asciiTheme="minorHAnsi" w:eastAsia="Arial Unicode MS" w:hAnsiTheme="minorHAnsi" w:cs="Arial Unicode MS"/>
        </w:rPr>
      </w:pPr>
      <w:r w:rsidRPr="00A23FB4">
        <w:rPr>
          <w:rFonts w:asciiTheme="minorHAnsi" w:eastAsia="Arial Unicode MS" w:hAnsiTheme="minorHAnsi" w:cs="Arial Unicode MS"/>
        </w:rPr>
        <w:t>- 98% dla drzew soliterowych</w:t>
      </w:r>
    </w:p>
    <w:p w14:paraId="0063360A" w14:textId="77777777" w:rsidR="00557CCE" w:rsidRPr="00A23FB4" w:rsidRDefault="00557CCE" w:rsidP="00557CCE">
      <w:pPr>
        <w:overflowPunct/>
        <w:jc w:val="left"/>
        <w:textAlignment w:val="auto"/>
        <w:rPr>
          <w:rFonts w:asciiTheme="minorHAnsi" w:eastAsia="Arial Unicode MS" w:hAnsiTheme="minorHAnsi" w:cs="Arial Unicode MS"/>
        </w:rPr>
      </w:pPr>
    </w:p>
    <w:p w14:paraId="791CD06E" w14:textId="77777777" w:rsidR="00557CCE" w:rsidRPr="00A23FB4" w:rsidRDefault="00557CCE" w:rsidP="00557CCE">
      <w:pPr>
        <w:overflowPunct/>
        <w:jc w:val="left"/>
        <w:textAlignment w:val="auto"/>
        <w:rPr>
          <w:rFonts w:asciiTheme="minorHAnsi" w:eastAsia="Arial Unicode MS" w:hAnsiTheme="minorHAnsi" w:cs="Arial Unicode MS"/>
        </w:rPr>
      </w:pPr>
      <w:r w:rsidRPr="00A23FB4">
        <w:rPr>
          <w:rFonts w:asciiTheme="minorHAnsi" w:eastAsia="Arial Unicode MS" w:hAnsiTheme="minorHAnsi" w:cs="Arial Unicode MS"/>
        </w:rPr>
        <w:t>Dopuszczalny stopie</w:t>
      </w:r>
      <w:r w:rsidRPr="00A23FB4">
        <w:rPr>
          <w:rFonts w:asciiTheme="minorHAnsi" w:eastAsia="Arial Unicode MS" w:hAnsiTheme="minorHAnsi"/>
        </w:rPr>
        <w:t xml:space="preserve">ń </w:t>
      </w:r>
      <w:r w:rsidRPr="00A23FB4">
        <w:rPr>
          <w:rFonts w:asciiTheme="minorHAnsi" w:eastAsia="Arial Unicode MS" w:hAnsiTheme="minorHAnsi" w:cs="Arial Unicode MS"/>
        </w:rPr>
        <w:t>wypad</w:t>
      </w:r>
      <w:r w:rsidRPr="00A23FB4">
        <w:rPr>
          <w:rFonts w:asciiTheme="minorHAnsi" w:eastAsia="Arial Unicode MS" w:hAnsiTheme="minorHAnsi"/>
        </w:rPr>
        <w:t>ó</w:t>
      </w:r>
      <w:r w:rsidRPr="00A23FB4">
        <w:rPr>
          <w:rFonts w:asciiTheme="minorHAnsi" w:eastAsia="Arial Unicode MS" w:hAnsiTheme="minorHAnsi" w:cs="Arial Unicode MS"/>
        </w:rPr>
        <w:t>w (zieleni wysokiej i niskiej, kt</w:t>
      </w:r>
      <w:r w:rsidRPr="00A23FB4">
        <w:rPr>
          <w:rFonts w:asciiTheme="minorHAnsi" w:eastAsia="Arial Unicode MS" w:hAnsiTheme="minorHAnsi"/>
        </w:rPr>
        <w:t>ó</w:t>
      </w:r>
      <w:r w:rsidRPr="00A23FB4">
        <w:rPr>
          <w:rFonts w:asciiTheme="minorHAnsi" w:eastAsia="Arial Unicode MS" w:hAnsiTheme="minorHAnsi" w:cs="Arial Unicode MS"/>
        </w:rPr>
        <w:t>ra si</w:t>
      </w:r>
      <w:r w:rsidRPr="00A23FB4">
        <w:rPr>
          <w:rFonts w:asciiTheme="minorHAnsi" w:eastAsia="Arial Unicode MS" w:hAnsiTheme="minorHAnsi"/>
        </w:rPr>
        <w:t xml:space="preserve">ę </w:t>
      </w:r>
      <w:r w:rsidRPr="00A23FB4">
        <w:rPr>
          <w:rFonts w:asciiTheme="minorHAnsi" w:eastAsia="Arial Unicode MS" w:hAnsiTheme="minorHAnsi" w:cs="Arial Unicode MS"/>
        </w:rPr>
        <w:t>nie przyj</w:t>
      </w:r>
      <w:r w:rsidRPr="00A23FB4">
        <w:rPr>
          <w:rFonts w:asciiTheme="minorHAnsi" w:eastAsia="Arial Unicode MS" w:hAnsiTheme="minorHAnsi"/>
        </w:rPr>
        <w:t>ęł</w:t>
      </w:r>
      <w:r w:rsidRPr="00A23FB4">
        <w:rPr>
          <w:rFonts w:asciiTheme="minorHAnsi" w:eastAsia="Arial Unicode MS" w:hAnsiTheme="minorHAnsi" w:cs="Arial Unicode MS"/>
        </w:rPr>
        <w:t xml:space="preserve">a).: </w:t>
      </w:r>
    </w:p>
    <w:p w14:paraId="61751202" w14:textId="77777777" w:rsidR="00557CCE" w:rsidRPr="00A23FB4" w:rsidRDefault="00557CCE" w:rsidP="00557CCE">
      <w:pPr>
        <w:overflowPunct/>
        <w:spacing w:after="16"/>
        <w:jc w:val="left"/>
        <w:textAlignment w:val="auto"/>
        <w:rPr>
          <w:rFonts w:asciiTheme="minorHAnsi" w:eastAsia="Arial Unicode MS" w:hAnsiTheme="minorHAnsi" w:cs="Arial Unicode MS"/>
        </w:rPr>
      </w:pPr>
      <w:r w:rsidRPr="00A23FB4">
        <w:rPr>
          <w:rFonts w:asciiTheme="minorHAnsi" w:eastAsia="Arial Unicode MS" w:hAnsiTheme="minorHAnsi" w:cs="Arial Unicode MS"/>
        </w:rPr>
        <w:t>- 5% dla krzew</w:t>
      </w:r>
      <w:r w:rsidRPr="00A23FB4">
        <w:rPr>
          <w:rFonts w:asciiTheme="minorHAnsi" w:eastAsia="Arial Unicode MS" w:hAnsiTheme="minorHAnsi"/>
        </w:rPr>
        <w:t>ó</w:t>
      </w:r>
      <w:r w:rsidRPr="00A23FB4">
        <w:rPr>
          <w:rFonts w:asciiTheme="minorHAnsi" w:eastAsia="Arial Unicode MS" w:hAnsiTheme="minorHAnsi" w:cs="Arial Unicode MS"/>
        </w:rPr>
        <w:t xml:space="preserve">w </w:t>
      </w:r>
    </w:p>
    <w:p w14:paraId="6340BD4D" w14:textId="77777777" w:rsidR="00557CCE" w:rsidRPr="00A23FB4" w:rsidRDefault="00557CCE" w:rsidP="00557CCE">
      <w:pPr>
        <w:overflowPunct/>
        <w:spacing w:after="16"/>
        <w:jc w:val="left"/>
        <w:textAlignment w:val="auto"/>
        <w:rPr>
          <w:rFonts w:asciiTheme="minorHAnsi" w:eastAsia="Arial Unicode MS" w:hAnsiTheme="minorHAnsi" w:cs="Arial Unicode MS"/>
        </w:rPr>
      </w:pPr>
      <w:r w:rsidRPr="00A23FB4">
        <w:rPr>
          <w:rFonts w:asciiTheme="minorHAnsi" w:eastAsia="Arial Unicode MS" w:hAnsiTheme="minorHAnsi" w:cs="Arial Unicode MS"/>
        </w:rPr>
        <w:t>- 5% dla drzew szk</w:t>
      </w:r>
      <w:r w:rsidRPr="00A23FB4">
        <w:rPr>
          <w:rFonts w:asciiTheme="minorHAnsi" w:eastAsia="Arial Unicode MS" w:hAnsiTheme="minorHAnsi"/>
        </w:rPr>
        <w:t>ół</w:t>
      </w:r>
      <w:r w:rsidRPr="00A23FB4">
        <w:rPr>
          <w:rFonts w:asciiTheme="minorHAnsi" w:eastAsia="Arial Unicode MS" w:hAnsiTheme="minorHAnsi" w:cs="Arial Unicode MS"/>
        </w:rPr>
        <w:t>karskich (szk</w:t>
      </w:r>
      <w:r w:rsidRPr="00A23FB4">
        <w:rPr>
          <w:rFonts w:asciiTheme="minorHAnsi" w:eastAsia="Arial Unicode MS" w:hAnsiTheme="minorHAnsi"/>
        </w:rPr>
        <w:t>ół</w:t>
      </w:r>
      <w:r w:rsidRPr="00A23FB4">
        <w:rPr>
          <w:rFonts w:asciiTheme="minorHAnsi" w:eastAsia="Arial Unicode MS" w:hAnsiTheme="minorHAnsi" w:cs="Arial Unicode MS"/>
        </w:rPr>
        <w:t>ki le</w:t>
      </w:r>
      <w:r w:rsidRPr="00A23FB4">
        <w:rPr>
          <w:rFonts w:asciiTheme="minorHAnsi" w:eastAsia="Arial Unicode MS" w:hAnsiTheme="minorHAnsi"/>
        </w:rPr>
        <w:t>ś</w:t>
      </w:r>
      <w:r w:rsidRPr="00A23FB4">
        <w:rPr>
          <w:rFonts w:asciiTheme="minorHAnsi" w:eastAsia="Arial Unicode MS" w:hAnsiTheme="minorHAnsi" w:cs="Arial Unicode MS"/>
        </w:rPr>
        <w:t xml:space="preserve">ne) </w:t>
      </w:r>
    </w:p>
    <w:p w14:paraId="45AB265D" w14:textId="77777777" w:rsidR="00557CCE" w:rsidRPr="00A23FB4" w:rsidRDefault="00557CCE" w:rsidP="00557CCE">
      <w:pPr>
        <w:overflowPunct/>
        <w:jc w:val="left"/>
        <w:textAlignment w:val="auto"/>
        <w:rPr>
          <w:rFonts w:asciiTheme="minorHAnsi" w:eastAsia="Arial Unicode MS" w:hAnsiTheme="minorHAnsi" w:cs="Arial Unicode MS"/>
        </w:rPr>
      </w:pPr>
      <w:r w:rsidRPr="00A23FB4">
        <w:rPr>
          <w:rFonts w:asciiTheme="minorHAnsi" w:eastAsia="Arial Unicode MS" w:hAnsiTheme="minorHAnsi" w:cs="Arial Unicode MS"/>
        </w:rPr>
        <w:t>- 2% dla drzew soliterowych</w:t>
      </w:r>
    </w:p>
    <w:p w14:paraId="51EB8D22" w14:textId="77777777" w:rsidR="00413511" w:rsidRPr="00A23FB4" w:rsidRDefault="00413511" w:rsidP="00413511">
      <w:pPr>
        <w:rPr>
          <w:rFonts w:asciiTheme="minorHAnsi" w:hAnsiTheme="minorHAnsi" w:cs="Calibri"/>
        </w:rPr>
      </w:pPr>
    </w:p>
    <w:p w14:paraId="549238E7" w14:textId="77777777" w:rsidR="00413511" w:rsidRPr="00A23FB4" w:rsidRDefault="00413511" w:rsidP="00E719D4">
      <w:pPr>
        <w:rPr>
          <w:rFonts w:asciiTheme="minorHAnsi" w:hAnsiTheme="minorHAnsi" w:cs="Calibri"/>
          <w:b/>
        </w:rPr>
      </w:pPr>
      <w:bookmarkStart w:id="922" w:name="_Toc428677178"/>
      <w:bookmarkStart w:id="923" w:name="_Toc235080383"/>
      <w:r w:rsidRPr="00A23FB4">
        <w:rPr>
          <w:rFonts w:asciiTheme="minorHAnsi" w:hAnsiTheme="minorHAnsi" w:cs="Calibri"/>
          <w:b/>
        </w:rPr>
        <w:t xml:space="preserve">6. </w:t>
      </w:r>
      <w:bookmarkEnd w:id="922"/>
      <w:bookmarkEnd w:id="923"/>
      <w:r w:rsidR="00E719D4" w:rsidRPr="00A23FB4">
        <w:rPr>
          <w:rFonts w:asciiTheme="minorHAnsi" w:hAnsiTheme="minorHAnsi" w:cs="Calibri"/>
          <w:b/>
        </w:rPr>
        <w:t>KONTROLA JAKOŚCI ROBÓT</w:t>
      </w:r>
    </w:p>
    <w:p w14:paraId="089DD0CF" w14:textId="77777777" w:rsidR="00413511" w:rsidRPr="00A23FB4" w:rsidRDefault="00413511" w:rsidP="00413511">
      <w:pPr>
        <w:pStyle w:val="Nagwek4"/>
        <w:tabs>
          <w:tab w:val="left" w:pos="9914"/>
        </w:tabs>
        <w:rPr>
          <w:rFonts w:asciiTheme="minorHAnsi" w:hAnsiTheme="minorHAnsi" w:cs="Calibri"/>
        </w:rPr>
      </w:pPr>
      <w:bookmarkStart w:id="924" w:name="_Toc235080384"/>
      <w:r w:rsidRPr="00A23FB4">
        <w:rPr>
          <w:rFonts w:asciiTheme="minorHAnsi" w:hAnsiTheme="minorHAnsi" w:cs="Calibri"/>
        </w:rPr>
        <w:t>6.1. Ogólne zasady kontroli jakości robót</w:t>
      </w:r>
      <w:bookmarkEnd w:id="924"/>
    </w:p>
    <w:p w14:paraId="29605557" w14:textId="5A449BE1" w:rsidR="00413511" w:rsidRPr="00A23FB4" w:rsidRDefault="00413511" w:rsidP="00413511">
      <w:pPr>
        <w:rPr>
          <w:rFonts w:asciiTheme="minorHAnsi" w:hAnsiTheme="minorHAnsi" w:cs="Calibri"/>
        </w:rPr>
      </w:pPr>
      <w:r w:rsidRPr="00A23FB4">
        <w:rPr>
          <w:rFonts w:asciiTheme="minorHAnsi" w:hAnsiTheme="minorHAnsi" w:cs="Calibri"/>
        </w:rPr>
        <w:t xml:space="preserve">Ogólne zasady kontroli jakości robót podano w </w:t>
      </w:r>
      <w:r w:rsidR="00865C6C">
        <w:rPr>
          <w:rFonts w:asciiTheme="minorHAnsi" w:hAnsiTheme="minorHAnsi" w:cs="Calibri"/>
        </w:rPr>
        <w:t>ST</w:t>
      </w:r>
      <w:r w:rsidRPr="00A23FB4">
        <w:rPr>
          <w:rFonts w:asciiTheme="minorHAnsi" w:hAnsiTheme="minorHAnsi" w:cs="Calibri"/>
        </w:rPr>
        <w:t>WiORB D-M-00.00.00 „Wymagania ogólne” pkt 6.</w:t>
      </w:r>
    </w:p>
    <w:p w14:paraId="6FB6B0A9" w14:textId="77777777" w:rsidR="00413511" w:rsidRPr="00A23FB4" w:rsidRDefault="00413511" w:rsidP="00413511">
      <w:pPr>
        <w:pStyle w:val="Nagwek4"/>
        <w:tabs>
          <w:tab w:val="left" w:pos="9914"/>
        </w:tabs>
        <w:rPr>
          <w:rFonts w:asciiTheme="minorHAnsi" w:hAnsiTheme="minorHAnsi" w:cs="Calibri"/>
        </w:rPr>
      </w:pPr>
      <w:bookmarkStart w:id="925" w:name="_Toc235080385"/>
      <w:r w:rsidRPr="00A23FB4">
        <w:rPr>
          <w:rFonts w:asciiTheme="minorHAnsi" w:hAnsiTheme="minorHAnsi" w:cs="Calibri"/>
        </w:rPr>
        <w:t>6.2. Trawniki</w:t>
      </w:r>
      <w:bookmarkEnd w:id="925"/>
    </w:p>
    <w:p w14:paraId="4EA43D3A" w14:textId="77777777" w:rsidR="00413511" w:rsidRPr="00A23FB4" w:rsidRDefault="00413511" w:rsidP="00413511">
      <w:pPr>
        <w:rPr>
          <w:rFonts w:asciiTheme="minorHAnsi" w:hAnsiTheme="minorHAnsi" w:cs="Calibri"/>
        </w:rPr>
      </w:pPr>
      <w:r w:rsidRPr="00A23FB4">
        <w:rPr>
          <w:rFonts w:asciiTheme="minorHAnsi" w:hAnsiTheme="minorHAnsi" w:cs="Calibri"/>
        </w:rPr>
        <w:t>Kontrola w czasie wykonywania trawników polega na sprawdzeniu:</w:t>
      </w:r>
    </w:p>
    <w:p w14:paraId="0DCDC166" w14:textId="77777777" w:rsidR="00413511" w:rsidRPr="00A23FB4" w:rsidRDefault="00413511" w:rsidP="00413511">
      <w:pPr>
        <w:numPr>
          <w:ilvl w:val="0"/>
          <w:numId w:val="1"/>
        </w:numPr>
        <w:rPr>
          <w:rFonts w:asciiTheme="minorHAnsi" w:hAnsiTheme="minorHAnsi" w:cs="Calibri"/>
        </w:rPr>
      </w:pPr>
      <w:r w:rsidRPr="00A23FB4">
        <w:rPr>
          <w:rFonts w:asciiTheme="minorHAnsi" w:hAnsiTheme="minorHAnsi" w:cs="Calibri"/>
        </w:rPr>
        <w:t>oczyszczenia terenu z gruzu i zanieczyszczeń,</w:t>
      </w:r>
    </w:p>
    <w:p w14:paraId="29812C0A" w14:textId="77777777" w:rsidR="00413511" w:rsidRPr="00A23FB4" w:rsidRDefault="00413511" w:rsidP="00413511">
      <w:pPr>
        <w:numPr>
          <w:ilvl w:val="0"/>
          <w:numId w:val="1"/>
        </w:numPr>
        <w:rPr>
          <w:rFonts w:asciiTheme="minorHAnsi" w:hAnsiTheme="minorHAnsi" w:cs="Calibri"/>
        </w:rPr>
      </w:pPr>
      <w:r w:rsidRPr="00A23FB4">
        <w:rPr>
          <w:rFonts w:asciiTheme="minorHAnsi" w:hAnsiTheme="minorHAnsi" w:cs="Calibri"/>
        </w:rPr>
        <w:t>określenia ilości zanieczyszczeń (w m</w:t>
      </w:r>
      <w:r w:rsidRPr="00A23FB4">
        <w:rPr>
          <w:rFonts w:asciiTheme="minorHAnsi" w:hAnsiTheme="minorHAnsi" w:cs="Calibri"/>
          <w:vertAlign w:val="superscript"/>
        </w:rPr>
        <w:t>3</w:t>
      </w:r>
      <w:r w:rsidRPr="00A23FB4">
        <w:rPr>
          <w:rFonts w:asciiTheme="minorHAnsi" w:hAnsiTheme="minorHAnsi" w:cs="Calibri"/>
        </w:rPr>
        <w:t>),</w:t>
      </w:r>
    </w:p>
    <w:p w14:paraId="5B834822" w14:textId="77777777" w:rsidR="00413511" w:rsidRPr="00A23FB4" w:rsidRDefault="00413511" w:rsidP="00413511">
      <w:pPr>
        <w:numPr>
          <w:ilvl w:val="0"/>
          <w:numId w:val="1"/>
        </w:numPr>
        <w:rPr>
          <w:rFonts w:asciiTheme="minorHAnsi" w:hAnsiTheme="minorHAnsi" w:cs="Calibri"/>
        </w:rPr>
      </w:pPr>
      <w:r w:rsidRPr="00A23FB4">
        <w:rPr>
          <w:rFonts w:asciiTheme="minorHAnsi" w:hAnsiTheme="minorHAnsi" w:cs="Calibri"/>
        </w:rPr>
        <w:t>pomiaru odległości wywozu zanieczyszczeń na zwałkę,</w:t>
      </w:r>
    </w:p>
    <w:p w14:paraId="56732BA6" w14:textId="77777777" w:rsidR="00413511" w:rsidRPr="00A23FB4" w:rsidRDefault="00413511" w:rsidP="00413511">
      <w:pPr>
        <w:numPr>
          <w:ilvl w:val="0"/>
          <w:numId w:val="1"/>
        </w:numPr>
        <w:rPr>
          <w:rFonts w:asciiTheme="minorHAnsi" w:hAnsiTheme="minorHAnsi" w:cs="Calibri"/>
        </w:rPr>
      </w:pPr>
      <w:r w:rsidRPr="00A23FB4">
        <w:rPr>
          <w:rFonts w:asciiTheme="minorHAnsi" w:hAnsiTheme="minorHAnsi" w:cs="Calibri"/>
        </w:rPr>
        <w:t>wymiany gleby jałowej na ziemię urodzajną z kontrolą grubości warstwy rozścielonej ziemi,</w:t>
      </w:r>
    </w:p>
    <w:p w14:paraId="1B5E5D58" w14:textId="77777777" w:rsidR="00413511" w:rsidRPr="00A23FB4" w:rsidRDefault="00413511" w:rsidP="00413511">
      <w:pPr>
        <w:numPr>
          <w:ilvl w:val="0"/>
          <w:numId w:val="1"/>
        </w:numPr>
        <w:rPr>
          <w:rFonts w:asciiTheme="minorHAnsi" w:hAnsiTheme="minorHAnsi" w:cs="Calibri"/>
        </w:rPr>
      </w:pPr>
      <w:r w:rsidRPr="00A23FB4">
        <w:rPr>
          <w:rFonts w:asciiTheme="minorHAnsi" w:hAnsiTheme="minorHAnsi" w:cs="Calibri"/>
        </w:rPr>
        <w:t>ilości rozrzuconego kompostu,</w:t>
      </w:r>
    </w:p>
    <w:p w14:paraId="0E2FAAE0" w14:textId="77777777" w:rsidR="00413511" w:rsidRPr="00A23FB4" w:rsidRDefault="00413511" w:rsidP="00413511">
      <w:pPr>
        <w:numPr>
          <w:ilvl w:val="0"/>
          <w:numId w:val="1"/>
        </w:numPr>
        <w:rPr>
          <w:rFonts w:asciiTheme="minorHAnsi" w:hAnsiTheme="minorHAnsi" w:cs="Calibri"/>
        </w:rPr>
      </w:pPr>
      <w:r w:rsidRPr="00A23FB4">
        <w:rPr>
          <w:rFonts w:asciiTheme="minorHAnsi" w:hAnsiTheme="minorHAnsi" w:cs="Calibri"/>
        </w:rPr>
        <w:t>prawidłowego uwałowania terenu,</w:t>
      </w:r>
    </w:p>
    <w:p w14:paraId="55BB05CD" w14:textId="77777777" w:rsidR="00413511" w:rsidRPr="00A23FB4" w:rsidRDefault="00413511" w:rsidP="00413511">
      <w:pPr>
        <w:numPr>
          <w:ilvl w:val="0"/>
          <w:numId w:val="1"/>
        </w:numPr>
        <w:rPr>
          <w:rFonts w:asciiTheme="minorHAnsi" w:hAnsiTheme="minorHAnsi" w:cs="Calibri"/>
        </w:rPr>
      </w:pPr>
      <w:r w:rsidRPr="00A23FB4">
        <w:rPr>
          <w:rFonts w:asciiTheme="minorHAnsi" w:hAnsiTheme="minorHAnsi" w:cs="Calibri"/>
        </w:rPr>
        <w:t>zgodności składu gotowej mieszanki traw z ustaleniami dokumentacji projektowej,</w:t>
      </w:r>
    </w:p>
    <w:p w14:paraId="02DA6CAF" w14:textId="77777777" w:rsidR="00413511" w:rsidRPr="00A23FB4" w:rsidRDefault="00413511" w:rsidP="00413511">
      <w:pPr>
        <w:numPr>
          <w:ilvl w:val="0"/>
          <w:numId w:val="1"/>
        </w:numPr>
        <w:rPr>
          <w:rFonts w:asciiTheme="minorHAnsi" w:hAnsiTheme="minorHAnsi" w:cs="Calibri"/>
        </w:rPr>
      </w:pPr>
      <w:r w:rsidRPr="00A23FB4">
        <w:rPr>
          <w:rFonts w:asciiTheme="minorHAnsi" w:hAnsiTheme="minorHAnsi" w:cs="Calibri"/>
        </w:rPr>
        <w:t>gęstości zasiewu nasion,</w:t>
      </w:r>
    </w:p>
    <w:p w14:paraId="10881592" w14:textId="77777777" w:rsidR="00413511" w:rsidRPr="00A23FB4" w:rsidRDefault="00413511" w:rsidP="00413511">
      <w:pPr>
        <w:numPr>
          <w:ilvl w:val="0"/>
          <w:numId w:val="1"/>
        </w:numPr>
        <w:rPr>
          <w:rFonts w:asciiTheme="minorHAnsi" w:hAnsiTheme="minorHAnsi" w:cs="Calibri"/>
        </w:rPr>
      </w:pPr>
      <w:r w:rsidRPr="00A23FB4">
        <w:rPr>
          <w:rFonts w:asciiTheme="minorHAnsi" w:hAnsiTheme="minorHAnsi" w:cs="Calibri"/>
        </w:rPr>
        <w:t>prawidłowej częstotliwości koszenia trawników i ich odchwaszczania,</w:t>
      </w:r>
    </w:p>
    <w:p w14:paraId="4FB04B05" w14:textId="77777777" w:rsidR="00413511" w:rsidRPr="00A23FB4" w:rsidRDefault="00413511" w:rsidP="00413511">
      <w:pPr>
        <w:numPr>
          <w:ilvl w:val="0"/>
          <w:numId w:val="1"/>
        </w:numPr>
        <w:rPr>
          <w:rFonts w:asciiTheme="minorHAnsi" w:hAnsiTheme="minorHAnsi" w:cs="Calibri"/>
        </w:rPr>
      </w:pPr>
      <w:r w:rsidRPr="00A23FB4">
        <w:rPr>
          <w:rFonts w:asciiTheme="minorHAnsi" w:hAnsiTheme="minorHAnsi" w:cs="Calibri"/>
        </w:rPr>
        <w:t>okresów podlewania, zwłaszcza podczas suszy,</w:t>
      </w:r>
    </w:p>
    <w:p w14:paraId="393AEC83" w14:textId="77777777" w:rsidR="00413511" w:rsidRPr="00A23FB4" w:rsidRDefault="00413511" w:rsidP="00413511">
      <w:pPr>
        <w:numPr>
          <w:ilvl w:val="0"/>
          <w:numId w:val="1"/>
        </w:numPr>
        <w:rPr>
          <w:rFonts w:asciiTheme="minorHAnsi" w:hAnsiTheme="minorHAnsi" w:cs="Calibri"/>
        </w:rPr>
      </w:pPr>
      <w:r w:rsidRPr="00A23FB4">
        <w:rPr>
          <w:rFonts w:asciiTheme="minorHAnsi" w:hAnsiTheme="minorHAnsi" w:cs="Calibri"/>
        </w:rPr>
        <w:t>dosiewania płaszczyzn trawników o zbyt małej gęstości wykiełkowanych zdziebeł trawy.</w:t>
      </w:r>
    </w:p>
    <w:p w14:paraId="2490346F" w14:textId="77777777" w:rsidR="00413511" w:rsidRPr="00A23FB4" w:rsidRDefault="00413511" w:rsidP="00413511">
      <w:pPr>
        <w:rPr>
          <w:rFonts w:asciiTheme="minorHAnsi" w:hAnsiTheme="minorHAnsi" w:cs="Calibri"/>
        </w:rPr>
      </w:pPr>
      <w:r w:rsidRPr="00A23FB4">
        <w:rPr>
          <w:rFonts w:asciiTheme="minorHAnsi" w:hAnsiTheme="minorHAnsi" w:cs="Calibri"/>
        </w:rPr>
        <w:t>Kontrola robót przy odbiorze trawników dotyczy:</w:t>
      </w:r>
    </w:p>
    <w:p w14:paraId="4B384DCE" w14:textId="77777777" w:rsidR="00413511" w:rsidRPr="00A23FB4" w:rsidRDefault="00413511" w:rsidP="00413511">
      <w:pPr>
        <w:numPr>
          <w:ilvl w:val="0"/>
          <w:numId w:val="1"/>
        </w:numPr>
        <w:rPr>
          <w:rFonts w:asciiTheme="minorHAnsi" w:hAnsiTheme="minorHAnsi" w:cs="Calibri"/>
        </w:rPr>
      </w:pPr>
      <w:r w:rsidRPr="00A23FB4">
        <w:rPr>
          <w:rFonts w:asciiTheme="minorHAnsi" w:hAnsiTheme="minorHAnsi" w:cs="Calibri"/>
        </w:rPr>
        <w:t>prawidłowej gęstości trawy (trawniki bez tzw. „łysin”),</w:t>
      </w:r>
    </w:p>
    <w:p w14:paraId="4A0DBC9D" w14:textId="77777777" w:rsidR="00413511" w:rsidRPr="00A23FB4" w:rsidRDefault="00413511" w:rsidP="00512452">
      <w:pPr>
        <w:numPr>
          <w:ilvl w:val="0"/>
          <w:numId w:val="1"/>
        </w:numPr>
        <w:rPr>
          <w:rFonts w:asciiTheme="minorHAnsi" w:hAnsiTheme="minorHAnsi" w:cs="Calibri"/>
        </w:rPr>
      </w:pPr>
      <w:r w:rsidRPr="00A23FB4">
        <w:rPr>
          <w:rFonts w:asciiTheme="minorHAnsi" w:hAnsiTheme="minorHAnsi" w:cs="Calibri"/>
        </w:rPr>
        <w:t>obecności gatunków niewysiewanych oraz chwastów.</w:t>
      </w:r>
    </w:p>
    <w:p w14:paraId="0C09B8A4" w14:textId="77777777" w:rsidR="00557CCE" w:rsidRPr="00A23FB4" w:rsidRDefault="00557CCE" w:rsidP="00557CCE">
      <w:pPr>
        <w:rPr>
          <w:rFonts w:asciiTheme="minorHAnsi" w:hAnsiTheme="minorHAnsi" w:cs="Calibri"/>
        </w:rPr>
      </w:pPr>
    </w:p>
    <w:p w14:paraId="6BFD2ABE" w14:textId="77777777" w:rsidR="00557CCE" w:rsidRPr="00A23FB4" w:rsidRDefault="00557CCE" w:rsidP="00557CCE">
      <w:pPr>
        <w:rPr>
          <w:rFonts w:asciiTheme="minorHAnsi" w:hAnsiTheme="minorHAnsi" w:cs="Calibri"/>
          <w:b/>
          <w:bCs/>
        </w:rPr>
      </w:pPr>
      <w:r w:rsidRPr="00A23FB4">
        <w:rPr>
          <w:rFonts w:asciiTheme="minorHAnsi" w:hAnsiTheme="minorHAnsi" w:cs="Calibri"/>
          <w:b/>
          <w:bCs/>
        </w:rPr>
        <w:t>6.3. Drzewa, krzewy</w:t>
      </w:r>
    </w:p>
    <w:p w14:paraId="6A5D9995" w14:textId="77777777" w:rsidR="00557CCE" w:rsidRPr="00A23FB4" w:rsidRDefault="00557CCE" w:rsidP="00557CCE">
      <w:pPr>
        <w:overflowPunct/>
        <w:jc w:val="left"/>
        <w:textAlignment w:val="auto"/>
        <w:rPr>
          <w:rFonts w:asciiTheme="minorHAnsi" w:eastAsia="Arial Unicode MS" w:hAnsiTheme="minorHAnsi" w:cs="Arial Unicode MS"/>
        </w:rPr>
      </w:pPr>
      <w:r w:rsidRPr="00A23FB4">
        <w:rPr>
          <w:rFonts w:asciiTheme="minorHAnsi" w:eastAsia="Arial Unicode MS" w:hAnsiTheme="minorHAnsi" w:cs="Arial Unicode MS"/>
        </w:rPr>
        <w:t>Kontrola rob</w:t>
      </w:r>
      <w:r w:rsidRPr="00A23FB4">
        <w:rPr>
          <w:rFonts w:asciiTheme="minorHAnsi" w:eastAsia="Arial Unicode MS" w:hAnsiTheme="minorHAnsi"/>
        </w:rPr>
        <w:t>ó</w:t>
      </w:r>
      <w:r w:rsidRPr="00A23FB4">
        <w:rPr>
          <w:rFonts w:asciiTheme="minorHAnsi" w:eastAsia="Arial Unicode MS" w:hAnsiTheme="minorHAnsi" w:cs="Arial Unicode MS"/>
        </w:rPr>
        <w:t>t w zakresie sadzenia i piel</w:t>
      </w:r>
      <w:r w:rsidRPr="00A23FB4">
        <w:rPr>
          <w:rFonts w:asciiTheme="minorHAnsi" w:eastAsia="Arial Unicode MS" w:hAnsiTheme="minorHAnsi"/>
        </w:rPr>
        <w:t>ę</w:t>
      </w:r>
      <w:r w:rsidRPr="00A23FB4">
        <w:rPr>
          <w:rFonts w:asciiTheme="minorHAnsi" w:eastAsia="Arial Unicode MS" w:hAnsiTheme="minorHAnsi" w:cs="Arial Unicode MS"/>
        </w:rPr>
        <w:t>gnacji drzew i krzew</w:t>
      </w:r>
      <w:r w:rsidRPr="00A23FB4">
        <w:rPr>
          <w:rFonts w:asciiTheme="minorHAnsi" w:eastAsia="Arial Unicode MS" w:hAnsiTheme="minorHAnsi"/>
        </w:rPr>
        <w:t>ó</w:t>
      </w:r>
      <w:r w:rsidRPr="00A23FB4">
        <w:rPr>
          <w:rFonts w:asciiTheme="minorHAnsi" w:eastAsia="Arial Unicode MS" w:hAnsiTheme="minorHAnsi" w:cs="Arial Unicode MS"/>
        </w:rPr>
        <w:t xml:space="preserve">w polega na sprawdzeniu: </w:t>
      </w:r>
    </w:p>
    <w:p w14:paraId="23D9CBF6" w14:textId="77777777" w:rsidR="00557CCE" w:rsidRPr="00A23FB4" w:rsidRDefault="00557CCE" w:rsidP="00557CCE">
      <w:pPr>
        <w:overflowPunct/>
        <w:spacing w:after="16"/>
        <w:jc w:val="left"/>
        <w:textAlignment w:val="auto"/>
        <w:rPr>
          <w:rFonts w:asciiTheme="minorHAnsi" w:eastAsia="Arial Unicode MS" w:hAnsiTheme="minorHAnsi" w:cs="Arial Unicode MS"/>
        </w:rPr>
      </w:pPr>
      <w:r w:rsidRPr="00A23FB4">
        <w:rPr>
          <w:rFonts w:asciiTheme="minorHAnsi" w:eastAsia="Arial Unicode MS" w:hAnsiTheme="minorHAnsi" w:cs="Arial Unicode MS"/>
        </w:rPr>
        <w:t>- materia</w:t>
      </w:r>
      <w:r w:rsidRPr="00A23FB4">
        <w:rPr>
          <w:rFonts w:asciiTheme="minorHAnsi" w:eastAsia="Arial Unicode MS" w:hAnsiTheme="minorHAnsi"/>
        </w:rPr>
        <w:t>ł</w:t>
      </w:r>
      <w:r w:rsidRPr="00A23FB4">
        <w:rPr>
          <w:rFonts w:asciiTheme="minorHAnsi" w:eastAsia="Arial Unicode MS" w:hAnsiTheme="minorHAnsi" w:cs="Arial Unicode MS"/>
        </w:rPr>
        <w:t>u ro</w:t>
      </w:r>
      <w:r w:rsidRPr="00A23FB4">
        <w:rPr>
          <w:rFonts w:asciiTheme="minorHAnsi" w:eastAsia="Arial Unicode MS" w:hAnsiTheme="minorHAnsi"/>
        </w:rPr>
        <w:t>ś</w:t>
      </w:r>
      <w:r w:rsidRPr="00A23FB4">
        <w:rPr>
          <w:rFonts w:asciiTheme="minorHAnsi" w:eastAsia="Arial Unicode MS" w:hAnsiTheme="minorHAnsi" w:cs="Arial Unicode MS"/>
        </w:rPr>
        <w:t>linnego w zakresie wymaga</w:t>
      </w:r>
      <w:r w:rsidRPr="00A23FB4">
        <w:rPr>
          <w:rFonts w:asciiTheme="minorHAnsi" w:eastAsia="Arial Unicode MS" w:hAnsiTheme="minorHAnsi"/>
        </w:rPr>
        <w:t xml:space="preserve">ń </w:t>
      </w:r>
      <w:r w:rsidRPr="00A23FB4">
        <w:rPr>
          <w:rFonts w:asciiTheme="minorHAnsi" w:eastAsia="Arial Unicode MS" w:hAnsiTheme="minorHAnsi" w:cs="Arial Unicode MS"/>
        </w:rPr>
        <w:t>jako</w:t>
      </w:r>
      <w:r w:rsidRPr="00A23FB4">
        <w:rPr>
          <w:rFonts w:asciiTheme="minorHAnsi" w:eastAsia="Arial Unicode MS" w:hAnsiTheme="minorHAnsi"/>
        </w:rPr>
        <w:t>ś</w:t>
      </w:r>
      <w:r w:rsidRPr="00A23FB4">
        <w:rPr>
          <w:rFonts w:asciiTheme="minorHAnsi" w:eastAsia="Arial Unicode MS" w:hAnsiTheme="minorHAnsi" w:cs="Arial Unicode MS"/>
        </w:rPr>
        <w:t>ciowych, wieku, zgodno</w:t>
      </w:r>
      <w:r w:rsidRPr="00A23FB4">
        <w:rPr>
          <w:rFonts w:asciiTheme="minorHAnsi" w:eastAsia="Arial Unicode MS" w:hAnsiTheme="minorHAnsi"/>
        </w:rPr>
        <w:t>ś</w:t>
      </w:r>
      <w:r w:rsidRPr="00A23FB4">
        <w:rPr>
          <w:rFonts w:asciiTheme="minorHAnsi" w:eastAsia="Arial Unicode MS" w:hAnsiTheme="minorHAnsi" w:cs="Arial Unicode MS"/>
        </w:rPr>
        <w:t xml:space="preserve">ci z normami, </w:t>
      </w:r>
    </w:p>
    <w:p w14:paraId="7572663E" w14:textId="77777777" w:rsidR="00557CCE" w:rsidRPr="00A23FB4" w:rsidRDefault="00557CCE" w:rsidP="00557CCE">
      <w:pPr>
        <w:overflowPunct/>
        <w:spacing w:after="16"/>
        <w:jc w:val="left"/>
        <w:textAlignment w:val="auto"/>
        <w:rPr>
          <w:rFonts w:asciiTheme="minorHAnsi" w:eastAsia="Arial Unicode MS" w:hAnsiTheme="minorHAnsi" w:cs="Arial Unicode MS"/>
        </w:rPr>
      </w:pPr>
      <w:r w:rsidRPr="00A23FB4">
        <w:rPr>
          <w:rFonts w:asciiTheme="minorHAnsi" w:eastAsia="Arial Unicode MS" w:hAnsiTheme="minorHAnsi" w:cs="Arial Unicode MS"/>
        </w:rPr>
        <w:t>- przechowywania i transportu materia</w:t>
      </w:r>
      <w:r w:rsidRPr="00A23FB4">
        <w:rPr>
          <w:rFonts w:asciiTheme="minorHAnsi" w:eastAsia="Arial Unicode MS" w:hAnsiTheme="minorHAnsi"/>
        </w:rPr>
        <w:t>ł</w:t>
      </w:r>
      <w:r w:rsidRPr="00A23FB4">
        <w:rPr>
          <w:rFonts w:asciiTheme="minorHAnsi" w:eastAsia="Arial Unicode MS" w:hAnsiTheme="minorHAnsi" w:cs="Arial Unicode MS"/>
        </w:rPr>
        <w:t xml:space="preserve">u sadzeniowego </w:t>
      </w:r>
    </w:p>
    <w:p w14:paraId="40C95C79" w14:textId="77777777" w:rsidR="00557CCE" w:rsidRPr="00A23FB4" w:rsidRDefault="00557CCE" w:rsidP="00557CCE">
      <w:pPr>
        <w:overflowPunct/>
        <w:spacing w:after="16"/>
        <w:jc w:val="left"/>
        <w:textAlignment w:val="auto"/>
        <w:rPr>
          <w:rFonts w:asciiTheme="minorHAnsi" w:eastAsia="Arial Unicode MS" w:hAnsiTheme="minorHAnsi" w:cs="Arial Unicode MS"/>
        </w:rPr>
      </w:pPr>
      <w:r w:rsidRPr="00A23FB4">
        <w:rPr>
          <w:rFonts w:asciiTheme="minorHAnsi" w:eastAsia="Arial Unicode MS" w:hAnsiTheme="minorHAnsi" w:cs="Arial Unicode MS"/>
        </w:rPr>
        <w:t>- zgodno</w:t>
      </w:r>
      <w:r w:rsidRPr="00A23FB4">
        <w:rPr>
          <w:rFonts w:asciiTheme="minorHAnsi" w:eastAsia="Arial Unicode MS" w:hAnsiTheme="minorHAnsi"/>
        </w:rPr>
        <w:t>ś</w:t>
      </w:r>
      <w:r w:rsidRPr="00A23FB4">
        <w:rPr>
          <w:rFonts w:asciiTheme="minorHAnsi" w:eastAsia="Arial Unicode MS" w:hAnsiTheme="minorHAnsi" w:cs="Arial Unicode MS"/>
        </w:rPr>
        <w:t>ci realizacji obsadzenia z Dokumentacj</w:t>
      </w:r>
      <w:r w:rsidRPr="00A23FB4">
        <w:rPr>
          <w:rFonts w:asciiTheme="minorHAnsi" w:eastAsia="Arial Unicode MS" w:hAnsiTheme="minorHAnsi"/>
        </w:rPr>
        <w:t xml:space="preserve">ą </w:t>
      </w:r>
      <w:r w:rsidRPr="00A23FB4">
        <w:rPr>
          <w:rFonts w:asciiTheme="minorHAnsi" w:eastAsia="Arial Unicode MS" w:hAnsiTheme="minorHAnsi" w:cs="Arial Unicode MS"/>
        </w:rPr>
        <w:t>Projektow</w:t>
      </w:r>
      <w:r w:rsidRPr="00A23FB4">
        <w:rPr>
          <w:rFonts w:asciiTheme="minorHAnsi" w:eastAsia="Arial Unicode MS" w:hAnsiTheme="minorHAnsi"/>
        </w:rPr>
        <w:t xml:space="preserve">ą </w:t>
      </w:r>
      <w:r w:rsidRPr="00A23FB4">
        <w:rPr>
          <w:rFonts w:asciiTheme="minorHAnsi" w:eastAsia="Arial Unicode MS" w:hAnsiTheme="minorHAnsi" w:cs="Arial Unicode MS"/>
        </w:rPr>
        <w:t>w zakresie miejsc sadzenia, gatunk</w:t>
      </w:r>
      <w:r w:rsidRPr="00A23FB4">
        <w:rPr>
          <w:rFonts w:asciiTheme="minorHAnsi" w:eastAsia="Arial Unicode MS" w:hAnsiTheme="minorHAnsi"/>
        </w:rPr>
        <w:t>ó</w:t>
      </w:r>
      <w:r w:rsidRPr="00A23FB4">
        <w:rPr>
          <w:rFonts w:asciiTheme="minorHAnsi" w:eastAsia="Arial Unicode MS" w:hAnsiTheme="minorHAnsi" w:cs="Arial Unicode MS"/>
        </w:rPr>
        <w:t>w i odmian, odleg</w:t>
      </w:r>
      <w:r w:rsidRPr="00A23FB4">
        <w:rPr>
          <w:rFonts w:asciiTheme="minorHAnsi" w:eastAsia="Arial Unicode MS" w:hAnsiTheme="minorHAnsi"/>
        </w:rPr>
        <w:t>ł</w:t>
      </w:r>
      <w:r w:rsidRPr="00A23FB4">
        <w:rPr>
          <w:rFonts w:asciiTheme="minorHAnsi" w:eastAsia="Arial Unicode MS" w:hAnsiTheme="minorHAnsi" w:cs="Arial Unicode MS"/>
        </w:rPr>
        <w:t>o</w:t>
      </w:r>
      <w:r w:rsidRPr="00A23FB4">
        <w:rPr>
          <w:rFonts w:asciiTheme="minorHAnsi" w:eastAsia="Arial Unicode MS" w:hAnsiTheme="minorHAnsi"/>
        </w:rPr>
        <w:t>ś</w:t>
      </w:r>
      <w:r w:rsidRPr="00A23FB4">
        <w:rPr>
          <w:rFonts w:asciiTheme="minorHAnsi" w:eastAsia="Arial Unicode MS" w:hAnsiTheme="minorHAnsi" w:cs="Arial Unicode MS"/>
        </w:rPr>
        <w:t>ci sadzonych ro</w:t>
      </w:r>
      <w:r w:rsidRPr="00A23FB4">
        <w:rPr>
          <w:rFonts w:asciiTheme="minorHAnsi" w:eastAsia="Arial Unicode MS" w:hAnsiTheme="minorHAnsi"/>
        </w:rPr>
        <w:t>ś</w:t>
      </w:r>
      <w:r w:rsidRPr="00A23FB4">
        <w:rPr>
          <w:rFonts w:asciiTheme="minorHAnsi" w:eastAsia="Arial Unicode MS" w:hAnsiTheme="minorHAnsi" w:cs="Arial Unicode MS"/>
        </w:rPr>
        <w:t xml:space="preserve">lin, </w:t>
      </w:r>
    </w:p>
    <w:p w14:paraId="07ED62DB" w14:textId="77777777" w:rsidR="00557CCE" w:rsidRPr="00A23FB4" w:rsidRDefault="00557CCE" w:rsidP="00557CCE">
      <w:pPr>
        <w:overflowPunct/>
        <w:spacing w:after="16"/>
        <w:jc w:val="left"/>
        <w:textAlignment w:val="auto"/>
        <w:rPr>
          <w:rFonts w:asciiTheme="minorHAnsi" w:eastAsia="Arial Unicode MS" w:hAnsiTheme="minorHAnsi" w:cs="Arial Unicode MS"/>
        </w:rPr>
      </w:pPr>
      <w:r w:rsidRPr="00A23FB4">
        <w:rPr>
          <w:rFonts w:asciiTheme="minorHAnsi" w:eastAsia="Arial Unicode MS" w:hAnsiTheme="minorHAnsi" w:cs="Arial Unicode MS"/>
        </w:rPr>
        <w:t>- odpowiednich termin</w:t>
      </w:r>
      <w:r w:rsidRPr="00A23FB4">
        <w:rPr>
          <w:rFonts w:asciiTheme="minorHAnsi" w:eastAsia="Arial Unicode MS" w:hAnsiTheme="minorHAnsi"/>
        </w:rPr>
        <w:t>ó</w:t>
      </w:r>
      <w:r w:rsidRPr="00A23FB4">
        <w:rPr>
          <w:rFonts w:asciiTheme="minorHAnsi" w:eastAsia="Arial Unicode MS" w:hAnsiTheme="minorHAnsi" w:cs="Arial Unicode MS"/>
        </w:rPr>
        <w:t xml:space="preserve">w sadzenia, </w:t>
      </w:r>
    </w:p>
    <w:p w14:paraId="38F61751" w14:textId="77777777" w:rsidR="00557CCE" w:rsidRPr="00A23FB4" w:rsidRDefault="00557CCE" w:rsidP="00557CCE">
      <w:pPr>
        <w:overflowPunct/>
        <w:spacing w:after="16"/>
        <w:jc w:val="left"/>
        <w:textAlignment w:val="auto"/>
        <w:rPr>
          <w:rFonts w:asciiTheme="minorHAnsi" w:eastAsia="Arial Unicode MS" w:hAnsiTheme="minorHAnsi" w:cs="Arial Unicode MS"/>
        </w:rPr>
      </w:pPr>
      <w:r w:rsidRPr="00A23FB4">
        <w:rPr>
          <w:rFonts w:asciiTheme="minorHAnsi" w:eastAsia="Arial Unicode MS" w:hAnsiTheme="minorHAnsi" w:cs="Arial Unicode MS"/>
        </w:rPr>
        <w:t>- prawid</w:t>
      </w:r>
      <w:r w:rsidRPr="00A23FB4">
        <w:rPr>
          <w:rFonts w:asciiTheme="minorHAnsi" w:eastAsia="Arial Unicode MS" w:hAnsiTheme="minorHAnsi"/>
        </w:rPr>
        <w:t>ł</w:t>
      </w:r>
      <w:r w:rsidRPr="00A23FB4">
        <w:rPr>
          <w:rFonts w:asciiTheme="minorHAnsi" w:eastAsia="Arial Unicode MS" w:hAnsiTheme="minorHAnsi" w:cs="Arial Unicode MS"/>
        </w:rPr>
        <w:t xml:space="preserve">owego oczyszczenia terenu przed sadzeniem </w:t>
      </w:r>
    </w:p>
    <w:p w14:paraId="53E95B43" w14:textId="77777777" w:rsidR="00557CCE" w:rsidRPr="00A23FB4" w:rsidRDefault="00557CCE" w:rsidP="00557CCE">
      <w:pPr>
        <w:overflowPunct/>
        <w:spacing w:after="16"/>
        <w:jc w:val="left"/>
        <w:textAlignment w:val="auto"/>
        <w:rPr>
          <w:rFonts w:asciiTheme="minorHAnsi" w:eastAsia="Arial Unicode MS" w:hAnsiTheme="minorHAnsi" w:cs="Arial Unicode MS"/>
        </w:rPr>
      </w:pPr>
      <w:r w:rsidRPr="00A23FB4">
        <w:rPr>
          <w:rFonts w:asciiTheme="minorHAnsi" w:eastAsia="Arial Unicode MS" w:hAnsiTheme="minorHAnsi" w:cs="Arial Unicode MS"/>
        </w:rPr>
        <w:t>- wielko</w:t>
      </w:r>
      <w:r w:rsidRPr="00A23FB4">
        <w:rPr>
          <w:rFonts w:asciiTheme="minorHAnsi" w:eastAsia="Arial Unicode MS" w:hAnsiTheme="minorHAnsi"/>
        </w:rPr>
        <w:t>ś</w:t>
      </w:r>
      <w:r w:rsidRPr="00A23FB4">
        <w:rPr>
          <w:rFonts w:asciiTheme="minorHAnsi" w:eastAsia="Arial Unicode MS" w:hAnsiTheme="minorHAnsi" w:cs="Arial Unicode MS"/>
        </w:rPr>
        <w:t>ci do</w:t>
      </w:r>
      <w:r w:rsidRPr="00A23FB4">
        <w:rPr>
          <w:rFonts w:asciiTheme="minorHAnsi" w:eastAsia="Arial Unicode MS" w:hAnsiTheme="minorHAnsi"/>
        </w:rPr>
        <w:t>łó</w:t>
      </w:r>
      <w:r w:rsidRPr="00A23FB4">
        <w:rPr>
          <w:rFonts w:asciiTheme="minorHAnsi" w:eastAsia="Arial Unicode MS" w:hAnsiTheme="minorHAnsi" w:cs="Arial Unicode MS"/>
        </w:rPr>
        <w:t xml:space="preserve">w, </w:t>
      </w:r>
    </w:p>
    <w:p w14:paraId="3A5EF534" w14:textId="77777777" w:rsidR="00557CCE" w:rsidRPr="00A23FB4" w:rsidRDefault="00557CCE" w:rsidP="00557CCE">
      <w:pPr>
        <w:overflowPunct/>
        <w:spacing w:after="16"/>
        <w:jc w:val="left"/>
        <w:textAlignment w:val="auto"/>
        <w:rPr>
          <w:rFonts w:asciiTheme="minorHAnsi" w:eastAsia="Arial Unicode MS" w:hAnsiTheme="minorHAnsi" w:cs="Arial Unicode MS"/>
        </w:rPr>
      </w:pPr>
      <w:r w:rsidRPr="00A23FB4">
        <w:rPr>
          <w:rFonts w:asciiTheme="minorHAnsi" w:eastAsia="Arial Unicode MS" w:hAnsiTheme="minorHAnsi" w:cs="Arial Unicode MS"/>
        </w:rPr>
        <w:t>- zaprawy do</w:t>
      </w:r>
      <w:r w:rsidRPr="00A23FB4">
        <w:rPr>
          <w:rFonts w:asciiTheme="minorHAnsi" w:eastAsia="Arial Unicode MS" w:hAnsiTheme="minorHAnsi"/>
        </w:rPr>
        <w:t>łó</w:t>
      </w:r>
      <w:r w:rsidRPr="00A23FB4">
        <w:rPr>
          <w:rFonts w:asciiTheme="minorHAnsi" w:eastAsia="Arial Unicode MS" w:hAnsiTheme="minorHAnsi" w:cs="Arial Unicode MS"/>
        </w:rPr>
        <w:t>w ziemia urodzajn</w:t>
      </w:r>
      <w:r w:rsidRPr="00A23FB4">
        <w:rPr>
          <w:rFonts w:asciiTheme="minorHAnsi" w:eastAsia="Arial Unicode MS" w:hAnsiTheme="minorHAnsi"/>
        </w:rPr>
        <w:t>ą</w:t>
      </w:r>
      <w:r w:rsidRPr="00A23FB4">
        <w:rPr>
          <w:rFonts w:asciiTheme="minorHAnsi" w:eastAsia="Arial Unicode MS" w:hAnsiTheme="minorHAnsi" w:cs="Arial Unicode MS"/>
        </w:rPr>
        <w:t xml:space="preserve">, </w:t>
      </w:r>
    </w:p>
    <w:p w14:paraId="67F199E4" w14:textId="77777777" w:rsidR="00557CCE" w:rsidRPr="00A23FB4" w:rsidRDefault="00557CCE" w:rsidP="00557CCE">
      <w:pPr>
        <w:overflowPunct/>
        <w:spacing w:after="16"/>
        <w:jc w:val="left"/>
        <w:textAlignment w:val="auto"/>
        <w:rPr>
          <w:rFonts w:asciiTheme="minorHAnsi" w:eastAsia="Arial Unicode MS" w:hAnsiTheme="minorHAnsi" w:cs="Arial Unicode MS"/>
        </w:rPr>
      </w:pPr>
      <w:r w:rsidRPr="00A23FB4">
        <w:rPr>
          <w:rFonts w:asciiTheme="minorHAnsi" w:eastAsia="Arial Unicode MS" w:hAnsiTheme="minorHAnsi" w:cs="Arial Unicode MS"/>
        </w:rPr>
        <w:t>- prawid</w:t>
      </w:r>
      <w:r w:rsidRPr="00A23FB4">
        <w:rPr>
          <w:rFonts w:asciiTheme="minorHAnsi" w:eastAsia="Arial Unicode MS" w:hAnsiTheme="minorHAnsi"/>
        </w:rPr>
        <w:t>ł</w:t>
      </w:r>
      <w:r w:rsidRPr="00A23FB4">
        <w:rPr>
          <w:rFonts w:asciiTheme="minorHAnsi" w:eastAsia="Arial Unicode MS" w:hAnsiTheme="minorHAnsi" w:cs="Arial Unicode MS"/>
        </w:rPr>
        <w:t xml:space="preserve">owego uformowania misek przy drzewach po posadzeniu, </w:t>
      </w:r>
    </w:p>
    <w:p w14:paraId="3AA99D0A" w14:textId="77777777" w:rsidR="00557CCE" w:rsidRPr="00A23FB4" w:rsidRDefault="00557CCE" w:rsidP="00557CCE">
      <w:pPr>
        <w:overflowPunct/>
        <w:spacing w:after="16"/>
        <w:jc w:val="left"/>
        <w:textAlignment w:val="auto"/>
        <w:rPr>
          <w:rFonts w:asciiTheme="minorHAnsi" w:eastAsia="Arial Unicode MS" w:hAnsiTheme="minorHAnsi" w:cs="Arial Unicode MS"/>
        </w:rPr>
      </w:pPr>
      <w:r w:rsidRPr="00A23FB4">
        <w:rPr>
          <w:rFonts w:asciiTheme="minorHAnsi" w:eastAsia="Arial Unicode MS" w:hAnsiTheme="minorHAnsi" w:cs="Arial Unicode MS"/>
        </w:rPr>
        <w:t xml:space="preserve">- wykonania odchwaszczania misek przy drzewach </w:t>
      </w:r>
    </w:p>
    <w:p w14:paraId="17FA60FA" w14:textId="77777777" w:rsidR="00557CCE" w:rsidRPr="00A23FB4" w:rsidRDefault="00557CCE" w:rsidP="00557CCE">
      <w:pPr>
        <w:overflowPunct/>
        <w:spacing w:after="16"/>
        <w:jc w:val="left"/>
        <w:textAlignment w:val="auto"/>
        <w:rPr>
          <w:rFonts w:asciiTheme="minorHAnsi" w:eastAsia="Arial Unicode MS" w:hAnsiTheme="minorHAnsi" w:cs="Arial Unicode MS"/>
        </w:rPr>
      </w:pPr>
      <w:r w:rsidRPr="00A23FB4">
        <w:rPr>
          <w:rFonts w:asciiTheme="minorHAnsi" w:eastAsia="Arial Unicode MS" w:hAnsiTheme="minorHAnsi" w:cs="Arial Unicode MS"/>
        </w:rPr>
        <w:t xml:space="preserve">- podlewania sadzonek </w:t>
      </w:r>
    </w:p>
    <w:p w14:paraId="7B671036" w14:textId="77777777" w:rsidR="00557CCE" w:rsidRPr="00A23FB4" w:rsidRDefault="00557CCE" w:rsidP="00557CCE">
      <w:pPr>
        <w:overflowPunct/>
        <w:spacing w:after="16"/>
        <w:jc w:val="left"/>
        <w:textAlignment w:val="auto"/>
        <w:rPr>
          <w:rFonts w:asciiTheme="minorHAnsi" w:eastAsia="Arial Unicode MS" w:hAnsiTheme="minorHAnsi" w:cs="Arial Unicode MS"/>
        </w:rPr>
      </w:pPr>
      <w:r w:rsidRPr="00A23FB4">
        <w:rPr>
          <w:rFonts w:asciiTheme="minorHAnsi" w:eastAsia="Arial Unicode MS" w:hAnsiTheme="minorHAnsi" w:cs="Arial Unicode MS"/>
        </w:rPr>
        <w:t>- jako</w:t>
      </w:r>
      <w:r w:rsidRPr="00A23FB4">
        <w:rPr>
          <w:rFonts w:asciiTheme="minorHAnsi" w:eastAsia="Arial Unicode MS" w:hAnsiTheme="minorHAnsi"/>
        </w:rPr>
        <w:t>ś</w:t>
      </w:r>
      <w:r w:rsidRPr="00A23FB4">
        <w:rPr>
          <w:rFonts w:asciiTheme="minorHAnsi" w:eastAsia="Arial Unicode MS" w:hAnsiTheme="minorHAnsi" w:cs="Arial Unicode MS"/>
        </w:rPr>
        <w:t xml:space="preserve">ci zastosowanej </w:t>
      </w:r>
      <w:r w:rsidRPr="00A23FB4">
        <w:rPr>
          <w:rFonts w:asciiTheme="minorHAnsi" w:eastAsia="Arial Unicode MS" w:hAnsiTheme="minorHAnsi"/>
        </w:rPr>
        <w:t>ś</w:t>
      </w:r>
      <w:r w:rsidRPr="00A23FB4">
        <w:rPr>
          <w:rFonts w:asciiTheme="minorHAnsi" w:eastAsia="Arial Unicode MS" w:hAnsiTheme="minorHAnsi" w:cs="Arial Unicode MS"/>
        </w:rPr>
        <w:t>ci</w:t>
      </w:r>
      <w:r w:rsidRPr="00A23FB4">
        <w:rPr>
          <w:rFonts w:asciiTheme="minorHAnsi" w:eastAsia="Arial Unicode MS" w:hAnsiTheme="minorHAnsi"/>
        </w:rPr>
        <w:t>ół</w:t>
      </w:r>
      <w:r w:rsidRPr="00A23FB4">
        <w:rPr>
          <w:rFonts w:asciiTheme="minorHAnsi" w:eastAsia="Arial Unicode MS" w:hAnsiTheme="minorHAnsi" w:cs="Arial Unicode MS"/>
        </w:rPr>
        <w:t xml:space="preserve">ki, </w:t>
      </w:r>
    </w:p>
    <w:p w14:paraId="3BE5ED11" w14:textId="77777777" w:rsidR="00557CCE" w:rsidRPr="00A23FB4" w:rsidRDefault="00557CCE" w:rsidP="00557CCE">
      <w:pPr>
        <w:overflowPunct/>
        <w:jc w:val="left"/>
        <w:textAlignment w:val="auto"/>
        <w:rPr>
          <w:rFonts w:asciiTheme="minorHAnsi" w:eastAsia="Arial Unicode MS" w:hAnsiTheme="minorHAnsi" w:cs="Arial Unicode MS"/>
        </w:rPr>
      </w:pPr>
      <w:r w:rsidRPr="00A23FB4">
        <w:rPr>
          <w:rFonts w:asciiTheme="minorHAnsi" w:eastAsia="Arial Unicode MS" w:hAnsiTheme="minorHAnsi" w:cs="Arial Unicode MS"/>
        </w:rPr>
        <w:t>- wykonania piel</w:t>
      </w:r>
      <w:r w:rsidRPr="00A23FB4">
        <w:rPr>
          <w:rFonts w:asciiTheme="minorHAnsi" w:eastAsia="Arial Unicode MS" w:hAnsiTheme="minorHAnsi"/>
        </w:rPr>
        <w:t>ę</w:t>
      </w:r>
      <w:r w:rsidRPr="00A23FB4">
        <w:rPr>
          <w:rFonts w:asciiTheme="minorHAnsi" w:eastAsia="Arial Unicode MS" w:hAnsiTheme="minorHAnsi" w:cs="Arial Unicode MS"/>
        </w:rPr>
        <w:t xml:space="preserve">gnacji w okresie gwarancyjnym. </w:t>
      </w:r>
    </w:p>
    <w:p w14:paraId="7EC46BFB" w14:textId="77777777" w:rsidR="00557CCE" w:rsidRPr="00A23FB4" w:rsidRDefault="00557CCE" w:rsidP="00557CCE">
      <w:pPr>
        <w:overflowPunct/>
        <w:jc w:val="left"/>
        <w:textAlignment w:val="auto"/>
        <w:rPr>
          <w:rFonts w:asciiTheme="minorHAnsi" w:eastAsia="Arial Unicode MS" w:hAnsiTheme="minorHAnsi" w:cs="Arial Unicode MS"/>
        </w:rPr>
      </w:pPr>
    </w:p>
    <w:p w14:paraId="506F6EF9" w14:textId="77777777" w:rsidR="00557CCE" w:rsidRPr="00A23FB4" w:rsidRDefault="00557CCE" w:rsidP="00557CCE">
      <w:pPr>
        <w:rPr>
          <w:rFonts w:asciiTheme="minorHAnsi" w:hAnsiTheme="minorHAnsi" w:cs="Calibri"/>
        </w:rPr>
      </w:pPr>
      <w:r w:rsidRPr="00A23FB4">
        <w:rPr>
          <w:rFonts w:asciiTheme="minorHAnsi" w:eastAsia="Arial Unicode MS" w:hAnsiTheme="minorHAnsi" w:cs="Arial Unicode MS"/>
        </w:rPr>
        <w:t>Sprawdzenie jako</w:t>
      </w:r>
      <w:r w:rsidRPr="00A23FB4">
        <w:rPr>
          <w:rFonts w:asciiTheme="minorHAnsi" w:eastAsia="Arial Unicode MS" w:hAnsiTheme="minorHAnsi"/>
        </w:rPr>
        <w:t>ś</w:t>
      </w:r>
      <w:r w:rsidRPr="00A23FB4">
        <w:rPr>
          <w:rFonts w:asciiTheme="minorHAnsi" w:eastAsia="Arial Unicode MS" w:hAnsiTheme="minorHAnsi" w:cs="Arial Unicode MS"/>
        </w:rPr>
        <w:t>ci nasadze</w:t>
      </w:r>
      <w:r w:rsidRPr="00A23FB4">
        <w:rPr>
          <w:rFonts w:asciiTheme="minorHAnsi" w:eastAsia="Arial Unicode MS" w:hAnsiTheme="minorHAnsi"/>
        </w:rPr>
        <w:t>ń</w:t>
      </w:r>
      <w:r w:rsidRPr="00A23FB4">
        <w:rPr>
          <w:rFonts w:asciiTheme="minorHAnsi" w:eastAsia="Arial Unicode MS" w:hAnsiTheme="minorHAnsi" w:cs="Arial Unicode MS"/>
        </w:rPr>
        <w:t>nast</w:t>
      </w:r>
      <w:r w:rsidRPr="00A23FB4">
        <w:rPr>
          <w:rFonts w:asciiTheme="minorHAnsi" w:eastAsia="Arial Unicode MS" w:hAnsiTheme="minorHAnsi"/>
        </w:rPr>
        <w:t>ą</w:t>
      </w:r>
      <w:r w:rsidRPr="00A23FB4">
        <w:rPr>
          <w:rFonts w:asciiTheme="minorHAnsi" w:eastAsia="Arial Unicode MS" w:hAnsiTheme="minorHAnsi" w:cs="Arial Unicode MS"/>
        </w:rPr>
        <w:t>pi w sezonie wegetacyjnym przed up</w:t>
      </w:r>
      <w:r w:rsidRPr="00A23FB4">
        <w:rPr>
          <w:rFonts w:asciiTheme="minorHAnsi" w:eastAsia="Arial Unicode MS" w:hAnsiTheme="minorHAnsi"/>
        </w:rPr>
        <w:t>ł</w:t>
      </w:r>
      <w:r w:rsidRPr="00A23FB4">
        <w:rPr>
          <w:rFonts w:asciiTheme="minorHAnsi" w:eastAsia="Arial Unicode MS" w:hAnsiTheme="minorHAnsi" w:cs="Arial Unicode MS"/>
        </w:rPr>
        <w:t>ywem okresu gwarancji.</w:t>
      </w:r>
    </w:p>
    <w:p w14:paraId="5E012AC9" w14:textId="77777777" w:rsidR="003938EC" w:rsidRPr="00A23FB4" w:rsidRDefault="003938EC" w:rsidP="00E719D4">
      <w:pPr>
        <w:rPr>
          <w:rFonts w:asciiTheme="minorHAnsi" w:hAnsiTheme="minorHAnsi" w:cs="Calibri"/>
          <w:b/>
        </w:rPr>
      </w:pPr>
      <w:bookmarkStart w:id="926" w:name="_Toc428677179"/>
      <w:bookmarkStart w:id="927" w:name="_Toc235080388"/>
    </w:p>
    <w:p w14:paraId="6DD3432C" w14:textId="77777777" w:rsidR="00413511" w:rsidRPr="00A23FB4" w:rsidRDefault="00413511" w:rsidP="00E719D4">
      <w:pPr>
        <w:rPr>
          <w:rFonts w:asciiTheme="minorHAnsi" w:hAnsiTheme="minorHAnsi" w:cs="Calibri"/>
          <w:b/>
        </w:rPr>
      </w:pPr>
      <w:r w:rsidRPr="00A23FB4">
        <w:rPr>
          <w:rFonts w:asciiTheme="minorHAnsi" w:hAnsiTheme="minorHAnsi" w:cs="Calibri"/>
          <w:b/>
        </w:rPr>
        <w:t>7. OBMIAR ROBÓT</w:t>
      </w:r>
      <w:bookmarkEnd w:id="926"/>
      <w:bookmarkEnd w:id="927"/>
    </w:p>
    <w:p w14:paraId="270F443C" w14:textId="77777777" w:rsidR="00B0480C" w:rsidRDefault="00B0480C" w:rsidP="00413511">
      <w:pPr>
        <w:rPr>
          <w:rFonts w:asciiTheme="minorHAnsi" w:hAnsiTheme="minorHAnsi" w:cs="Calibri"/>
        </w:rPr>
      </w:pPr>
    </w:p>
    <w:p w14:paraId="3B4C308E" w14:textId="74EF9AB7" w:rsidR="00B0480C" w:rsidRDefault="00B0480C" w:rsidP="00413511">
      <w:pPr>
        <w:rPr>
          <w:rFonts w:asciiTheme="minorHAnsi" w:hAnsiTheme="minorHAnsi" w:cs="Calibri"/>
        </w:rPr>
      </w:pPr>
      <w:r>
        <w:rPr>
          <w:rFonts w:asciiTheme="minorHAnsi" w:hAnsiTheme="minorHAnsi" w:cs="Calibri"/>
        </w:rPr>
        <w:t>Kontarkt ryczałtowy</w:t>
      </w:r>
    </w:p>
    <w:p w14:paraId="09CE198D" w14:textId="745350B5" w:rsidR="00413511" w:rsidRPr="00A23FB4" w:rsidRDefault="00413511" w:rsidP="00413511">
      <w:pPr>
        <w:rPr>
          <w:rFonts w:asciiTheme="minorHAnsi" w:hAnsiTheme="minorHAnsi" w:cs="Calibri"/>
        </w:rPr>
      </w:pPr>
      <w:r w:rsidRPr="00A23FB4">
        <w:rPr>
          <w:rFonts w:asciiTheme="minorHAnsi" w:hAnsiTheme="minorHAnsi" w:cs="Calibri"/>
        </w:rPr>
        <w:t xml:space="preserve">Ogólne zasady obmiaru robót podano w </w:t>
      </w:r>
      <w:r w:rsidR="000907B8">
        <w:rPr>
          <w:rFonts w:asciiTheme="minorHAnsi" w:hAnsiTheme="minorHAnsi" w:cs="Calibri"/>
        </w:rPr>
        <w:t>ST</w:t>
      </w:r>
      <w:r w:rsidRPr="00A23FB4">
        <w:rPr>
          <w:rFonts w:asciiTheme="minorHAnsi" w:hAnsiTheme="minorHAnsi" w:cs="Calibri"/>
        </w:rPr>
        <w:t>WiORB D-M-00.00.00 „Wymagania ogólne” pkt 7.</w:t>
      </w:r>
    </w:p>
    <w:p w14:paraId="09A5E2A5" w14:textId="77777777" w:rsidR="00E719D4" w:rsidRPr="00A23FB4" w:rsidRDefault="00E719D4" w:rsidP="00E719D4">
      <w:pPr>
        <w:rPr>
          <w:rFonts w:asciiTheme="minorHAnsi" w:hAnsiTheme="minorHAnsi" w:cs="Calibri"/>
          <w:b/>
        </w:rPr>
      </w:pPr>
      <w:bookmarkStart w:id="928" w:name="_Toc428677180"/>
      <w:bookmarkStart w:id="929" w:name="_Toc235080391"/>
    </w:p>
    <w:p w14:paraId="3BF48026" w14:textId="77777777" w:rsidR="00413511" w:rsidRPr="00A23FB4" w:rsidRDefault="00413511" w:rsidP="00E719D4">
      <w:pPr>
        <w:rPr>
          <w:rFonts w:asciiTheme="minorHAnsi" w:hAnsiTheme="minorHAnsi" w:cs="Calibri"/>
          <w:b/>
        </w:rPr>
      </w:pPr>
      <w:r w:rsidRPr="00A23FB4">
        <w:rPr>
          <w:rFonts w:asciiTheme="minorHAnsi" w:hAnsiTheme="minorHAnsi" w:cs="Calibri"/>
          <w:b/>
        </w:rPr>
        <w:t>8. ODBIÓR ROBÓT</w:t>
      </w:r>
      <w:bookmarkEnd w:id="928"/>
      <w:bookmarkEnd w:id="929"/>
    </w:p>
    <w:p w14:paraId="2DE51217" w14:textId="77777777" w:rsidR="00E719D4" w:rsidRPr="00A23FB4" w:rsidRDefault="00E719D4" w:rsidP="00E719D4">
      <w:pPr>
        <w:rPr>
          <w:rFonts w:asciiTheme="minorHAnsi" w:hAnsiTheme="minorHAnsi" w:cs="Calibri"/>
          <w:b/>
        </w:rPr>
      </w:pPr>
    </w:p>
    <w:p w14:paraId="47F3BF7E" w14:textId="0E58FEEA" w:rsidR="00413511" w:rsidRPr="00A23FB4" w:rsidRDefault="00413511" w:rsidP="00413511">
      <w:pPr>
        <w:rPr>
          <w:rFonts w:asciiTheme="minorHAnsi" w:hAnsiTheme="minorHAnsi" w:cs="Calibri"/>
        </w:rPr>
      </w:pPr>
      <w:r w:rsidRPr="00A23FB4">
        <w:rPr>
          <w:rFonts w:asciiTheme="minorHAnsi" w:hAnsiTheme="minorHAnsi" w:cs="Calibri"/>
        </w:rPr>
        <w:t xml:space="preserve">Ogólne zasady odbioru robót podano w </w:t>
      </w:r>
      <w:r w:rsidR="000907B8">
        <w:rPr>
          <w:rFonts w:asciiTheme="minorHAnsi" w:hAnsiTheme="minorHAnsi" w:cs="Calibri"/>
        </w:rPr>
        <w:t>ST</w:t>
      </w:r>
      <w:r w:rsidRPr="00A23FB4">
        <w:rPr>
          <w:rFonts w:asciiTheme="minorHAnsi" w:hAnsiTheme="minorHAnsi" w:cs="Calibri"/>
        </w:rPr>
        <w:t>WiORB D-M-00.00.00 „Wymagania ogólne” pkt 8.</w:t>
      </w:r>
    </w:p>
    <w:p w14:paraId="6D061505" w14:textId="170D3CF6" w:rsidR="00413511" w:rsidRPr="00A23FB4" w:rsidRDefault="00413511" w:rsidP="00413511">
      <w:pPr>
        <w:rPr>
          <w:rFonts w:asciiTheme="minorHAnsi" w:hAnsiTheme="minorHAnsi" w:cs="Calibri"/>
        </w:rPr>
      </w:pPr>
      <w:r w:rsidRPr="00A23FB4">
        <w:rPr>
          <w:rFonts w:asciiTheme="minorHAnsi" w:hAnsiTheme="minorHAnsi" w:cs="Calibri"/>
        </w:rPr>
        <w:t xml:space="preserve">Roboty uznaje się za wykonane zgodnie z dokumentacją projektową, </w:t>
      </w:r>
      <w:r w:rsidR="000907B8">
        <w:rPr>
          <w:rFonts w:asciiTheme="minorHAnsi" w:hAnsiTheme="minorHAnsi" w:cs="Calibri"/>
        </w:rPr>
        <w:t>ST</w:t>
      </w:r>
      <w:r w:rsidRPr="00A23FB4">
        <w:rPr>
          <w:rFonts w:asciiTheme="minorHAnsi" w:hAnsiTheme="minorHAnsi" w:cs="Calibri"/>
        </w:rPr>
        <w:t>WiORB i wymaganiami Inżyniera, jeżeli wszystkie pomiary i badania z zachowaniem tolerancji wg pkt 6 dały wyniki pozytywne.</w:t>
      </w:r>
    </w:p>
    <w:p w14:paraId="1D614F43" w14:textId="77777777" w:rsidR="00E719D4" w:rsidRPr="00A23FB4" w:rsidRDefault="00E719D4" w:rsidP="00E719D4">
      <w:pPr>
        <w:rPr>
          <w:rFonts w:asciiTheme="minorHAnsi" w:hAnsiTheme="minorHAnsi" w:cs="Calibri"/>
          <w:b/>
        </w:rPr>
      </w:pPr>
      <w:bookmarkStart w:id="930" w:name="_Toc428677181"/>
      <w:bookmarkStart w:id="931" w:name="_Toc235080392"/>
    </w:p>
    <w:p w14:paraId="392A8D4A" w14:textId="77777777" w:rsidR="00413511" w:rsidRPr="00A23FB4" w:rsidRDefault="00413511" w:rsidP="00E719D4">
      <w:pPr>
        <w:rPr>
          <w:rFonts w:asciiTheme="minorHAnsi" w:hAnsiTheme="minorHAnsi" w:cs="Calibri"/>
          <w:b/>
        </w:rPr>
      </w:pPr>
      <w:r w:rsidRPr="00A23FB4">
        <w:rPr>
          <w:rFonts w:asciiTheme="minorHAnsi" w:hAnsiTheme="minorHAnsi" w:cs="Calibri"/>
          <w:b/>
        </w:rPr>
        <w:t>9. PODSTAWA PŁATNOŚCI</w:t>
      </w:r>
      <w:bookmarkEnd w:id="930"/>
      <w:bookmarkEnd w:id="931"/>
    </w:p>
    <w:p w14:paraId="1166111A" w14:textId="77777777" w:rsidR="00B0480C" w:rsidRDefault="00B0480C" w:rsidP="00413511">
      <w:pPr>
        <w:rPr>
          <w:rFonts w:asciiTheme="minorHAnsi" w:hAnsiTheme="minorHAnsi" w:cs="Calibri"/>
        </w:rPr>
      </w:pPr>
    </w:p>
    <w:p w14:paraId="674AD9B0" w14:textId="3D8E2674" w:rsidR="00B0480C" w:rsidRDefault="00B0480C" w:rsidP="00413511">
      <w:pPr>
        <w:rPr>
          <w:rFonts w:asciiTheme="minorHAnsi" w:hAnsiTheme="minorHAnsi" w:cs="Calibri"/>
        </w:rPr>
      </w:pPr>
      <w:r>
        <w:rPr>
          <w:rFonts w:asciiTheme="minorHAnsi" w:hAnsiTheme="minorHAnsi" w:cs="Calibri"/>
        </w:rPr>
        <w:t>Kontrakt ryczałtowy</w:t>
      </w:r>
    </w:p>
    <w:p w14:paraId="7EE59C6C" w14:textId="168E2C6C" w:rsidR="00413511" w:rsidRPr="00A23FB4" w:rsidRDefault="00413511" w:rsidP="00413511">
      <w:pPr>
        <w:rPr>
          <w:rFonts w:asciiTheme="minorHAnsi" w:hAnsiTheme="minorHAnsi" w:cs="Calibri"/>
        </w:rPr>
      </w:pPr>
      <w:r w:rsidRPr="00A23FB4">
        <w:rPr>
          <w:rFonts w:asciiTheme="minorHAnsi" w:hAnsiTheme="minorHAnsi" w:cs="Calibri"/>
        </w:rPr>
        <w:t xml:space="preserve">Ogólne ustalenia dotyczące podstawy płatności podano w </w:t>
      </w:r>
      <w:r w:rsidR="000907B8">
        <w:rPr>
          <w:rFonts w:asciiTheme="minorHAnsi" w:hAnsiTheme="minorHAnsi" w:cs="Calibri"/>
        </w:rPr>
        <w:t>ST</w:t>
      </w:r>
      <w:r w:rsidRPr="00A23FB4">
        <w:rPr>
          <w:rFonts w:asciiTheme="minorHAnsi" w:hAnsiTheme="minorHAnsi" w:cs="Calibri"/>
        </w:rPr>
        <w:t>WiORB D-M-00.00.00 „Wymagania ogólne” pkt 9.</w:t>
      </w:r>
    </w:p>
    <w:p w14:paraId="49AEC4BC" w14:textId="77777777" w:rsidR="00413511" w:rsidRPr="00A23FB4" w:rsidRDefault="00413511" w:rsidP="00413511">
      <w:pPr>
        <w:ind w:left="283"/>
        <w:rPr>
          <w:rFonts w:asciiTheme="minorHAnsi" w:hAnsiTheme="minorHAnsi" w:cs="Calibri"/>
        </w:rPr>
      </w:pPr>
    </w:p>
    <w:p w14:paraId="70009C54" w14:textId="19B6FD90" w:rsidR="00413511" w:rsidRPr="00A23FB4" w:rsidRDefault="00B0480C" w:rsidP="00E719D4">
      <w:pPr>
        <w:rPr>
          <w:rFonts w:asciiTheme="minorHAnsi" w:hAnsiTheme="minorHAnsi" w:cs="Calibri"/>
          <w:b/>
        </w:rPr>
      </w:pPr>
      <w:bookmarkStart w:id="932" w:name="_Toc428677182"/>
      <w:bookmarkStart w:id="933" w:name="_Toc235080395"/>
      <w:r>
        <w:rPr>
          <w:rFonts w:ascii="Calibri" w:hAnsi="Calibri" w:cs="Calibri"/>
          <w:b/>
          <w:sz w:val="22"/>
          <w:szCs w:val="22"/>
        </w:rPr>
        <w:t>SZCZEGÓŁOWE SPECYFIKACJE TECHNICZNE</w:t>
      </w:r>
      <w:r w:rsidRPr="00A23FB4">
        <w:rPr>
          <w:rFonts w:ascii="Calibri" w:hAnsi="Calibri" w:cs="Calibri"/>
          <w:b/>
          <w:sz w:val="22"/>
          <w:szCs w:val="22"/>
        </w:rPr>
        <w:t xml:space="preserve"> WYKONANIA I ODBIORU ROBÓT BUDOWLANYCH</w:t>
      </w:r>
      <w:r w:rsidRPr="00A23FB4">
        <w:rPr>
          <w:rFonts w:asciiTheme="minorHAnsi" w:hAnsiTheme="minorHAnsi" w:cs="Calibri"/>
          <w:b/>
        </w:rPr>
        <w:t xml:space="preserve"> </w:t>
      </w:r>
      <w:r w:rsidR="00413511" w:rsidRPr="00A23FB4">
        <w:rPr>
          <w:rFonts w:asciiTheme="minorHAnsi" w:hAnsiTheme="minorHAnsi" w:cs="Calibri"/>
          <w:b/>
        </w:rPr>
        <w:t xml:space="preserve">10. </w:t>
      </w:r>
      <w:bookmarkEnd w:id="932"/>
      <w:bookmarkEnd w:id="933"/>
      <w:r w:rsidR="00E719D4" w:rsidRPr="00A23FB4">
        <w:rPr>
          <w:rFonts w:asciiTheme="minorHAnsi" w:hAnsiTheme="minorHAnsi" w:cs="Calibri"/>
          <w:b/>
        </w:rPr>
        <w:t>PRZEPISY ZWIĄZANE</w:t>
      </w:r>
    </w:p>
    <w:tbl>
      <w:tblPr>
        <w:tblW w:w="9790" w:type="dxa"/>
        <w:tblInd w:w="2" w:type="dxa"/>
        <w:tblLayout w:type="fixed"/>
        <w:tblCellMar>
          <w:left w:w="70" w:type="dxa"/>
          <w:right w:w="70" w:type="dxa"/>
        </w:tblCellMar>
        <w:tblLook w:val="0000" w:firstRow="0" w:lastRow="0" w:firstColumn="0" w:lastColumn="0" w:noHBand="0" w:noVBand="0"/>
      </w:tblPr>
      <w:tblGrid>
        <w:gridCol w:w="496"/>
        <w:gridCol w:w="1701"/>
        <w:gridCol w:w="7593"/>
      </w:tblGrid>
      <w:tr w:rsidR="00413511" w:rsidRPr="00A23FB4" w14:paraId="7EBF4683" w14:textId="77777777" w:rsidTr="00413511">
        <w:tc>
          <w:tcPr>
            <w:tcW w:w="496" w:type="dxa"/>
          </w:tcPr>
          <w:p w14:paraId="627A2B0A" w14:textId="77777777" w:rsidR="00413511" w:rsidRPr="00B93A39" w:rsidRDefault="00413511" w:rsidP="00413511">
            <w:pPr>
              <w:rPr>
                <w:rFonts w:asciiTheme="minorHAnsi" w:hAnsiTheme="minorHAnsi" w:cs="Calibri"/>
                <w:sz w:val="18"/>
                <w:szCs w:val="18"/>
              </w:rPr>
            </w:pPr>
            <w:r w:rsidRPr="00B93A39">
              <w:rPr>
                <w:rFonts w:asciiTheme="minorHAnsi" w:hAnsiTheme="minorHAnsi" w:cs="Calibri"/>
                <w:sz w:val="18"/>
                <w:szCs w:val="18"/>
              </w:rPr>
              <w:t>1.</w:t>
            </w:r>
          </w:p>
        </w:tc>
        <w:tc>
          <w:tcPr>
            <w:tcW w:w="1701" w:type="dxa"/>
          </w:tcPr>
          <w:p w14:paraId="03D20776" w14:textId="77777777" w:rsidR="00413511" w:rsidRPr="00B93A39" w:rsidRDefault="00413511" w:rsidP="00413511">
            <w:pPr>
              <w:rPr>
                <w:rFonts w:asciiTheme="minorHAnsi" w:hAnsiTheme="minorHAnsi" w:cs="Calibri"/>
                <w:sz w:val="18"/>
                <w:szCs w:val="18"/>
              </w:rPr>
            </w:pPr>
            <w:r w:rsidRPr="00B93A39">
              <w:rPr>
                <w:rFonts w:asciiTheme="minorHAnsi" w:hAnsiTheme="minorHAnsi" w:cs="Calibri"/>
                <w:sz w:val="18"/>
                <w:szCs w:val="18"/>
              </w:rPr>
              <w:t>PN-G-98011</w:t>
            </w:r>
          </w:p>
        </w:tc>
        <w:tc>
          <w:tcPr>
            <w:tcW w:w="7593" w:type="dxa"/>
          </w:tcPr>
          <w:p w14:paraId="2B74F1C4" w14:textId="77777777" w:rsidR="00413511" w:rsidRPr="00B93A39" w:rsidRDefault="00413511" w:rsidP="00413511">
            <w:pPr>
              <w:rPr>
                <w:rFonts w:asciiTheme="minorHAnsi" w:hAnsiTheme="minorHAnsi" w:cs="Calibri"/>
                <w:sz w:val="18"/>
                <w:szCs w:val="18"/>
              </w:rPr>
            </w:pPr>
            <w:r w:rsidRPr="00B93A39">
              <w:rPr>
                <w:rFonts w:asciiTheme="minorHAnsi" w:hAnsiTheme="minorHAnsi" w:cs="Calibri"/>
                <w:sz w:val="18"/>
                <w:szCs w:val="18"/>
              </w:rPr>
              <w:t>Torf rolniczy.</w:t>
            </w:r>
          </w:p>
          <w:p w14:paraId="406BB303" w14:textId="77777777" w:rsidR="00413511" w:rsidRPr="00B93A39" w:rsidRDefault="00413511" w:rsidP="00413511">
            <w:pPr>
              <w:rPr>
                <w:rFonts w:asciiTheme="minorHAnsi" w:hAnsiTheme="minorHAnsi" w:cs="Calibri"/>
                <w:sz w:val="18"/>
                <w:szCs w:val="18"/>
              </w:rPr>
            </w:pPr>
          </w:p>
        </w:tc>
      </w:tr>
      <w:tr w:rsidR="00413511" w:rsidRPr="00A23FB4" w14:paraId="25DC68D8" w14:textId="77777777" w:rsidTr="00413511">
        <w:tc>
          <w:tcPr>
            <w:tcW w:w="496" w:type="dxa"/>
          </w:tcPr>
          <w:p w14:paraId="0B011A49" w14:textId="77777777" w:rsidR="00413511" w:rsidRPr="00B93A39" w:rsidRDefault="00413511" w:rsidP="00413511">
            <w:pPr>
              <w:rPr>
                <w:rFonts w:asciiTheme="minorHAnsi" w:hAnsiTheme="minorHAnsi" w:cs="Calibri"/>
                <w:sz w:val="18"/>
                <w:szCs w:val="18"/>
              </w:rPr>
            </w:pPr>
            <w:r w:rsidRPr="00B93A39">
              <w:rPr>
                <w:rFonts w:asciiTheme="minorHAnsi" w:hAnsiTheme="minorHAnsi" w:cs="Calibri"/>
                <w:sz w:val="18"/>
                <w:szCs w:val="18"/>
              </w:rPr>
              <w:t>2</w:t>
            </w:r>
          </w:p>
        </w:tc>
        <w:tc>
          <w:tcPr>
            <w:tcW w:w="1701" w:type="dxa"/>
          </w:tcPr>
          <w:p w14:paraId="445A1E63" w14:textId="77777777" w:rsidR="00413511" w:rsidRPr="00B93A39" w:rsidRDefault="00413511" w:rsidP="00413511">
            <w:pPr>
              <w:rPr>
                <w:rFonts w:asciiTheme="minorHAnsi" w:hAnsiTheme="minorHAnsi" w:cs="Calibri"/>
                <w:sz w:val="18"/>
                <w:szCs w:val="18"/>
              </w:rPr>
            </w:pPr>
          </w:p>
        </w:tc>
        <w:tc>
          <w:tcPr>
            <w:tcW w:w="7593" w:type="dxa"/>
          </w:tcPr>
          <w:p w14:paraId="504C9AD3" w14:textId="77777777" w:rsidR="00413511" w:rsidRPr="00B93A39" w:rsidRDefault="00413511" w:rsidP="00413511">
            <w:pPr>
              <w:rPr>
                <w:rFonts w:asciiTheme="minorHAnsi" w:hAnsiTheme="minorHAnsi" w:cs="Calibri"/>
                <w:sz w:val="18"/>
                <w:szCs w:val="18"/>
              </w:rPr>
            </w:pPr>
            <w:r w:rsidRPr="00B93A39">
              <w:rPr>
                <w:rFonts w:asciiTheme="minorHAnsi" w:hAnsiTheme="minorHAnsi"/>
                <w:sz w:val="18"/>
                <w:szCs w:val="18"/>
              </w:rPr>
              <w:t>Obwieszczenie Ministra Ochrony Środowiska, Zasobów Naturalnych i Leśnictwa z dnia 21 marca 1994 r. w sprawie ogłoszenia jednolitego tekstu ustawy o ochronie i kształtowaniu środowiska. (Dz.u.1994, NR 49 POZ. 196)</w:t>
            </w:r>
          </w:p>
        </w:tc>
      </w:tr>
      <w:tr w:rsidR="00557CCE" w:rsidRPr="00A23FB4" w14:paraId="050D6F73" w14:textId="77777777" w:rsidTr="00413511">
        <w:tc>
          <w:tcPr>
            <w:tcW w:w="496" w:type="dxa"/>
          </w:tcPr>
          <w:p w14:paraId="13AEF84B" w14:textId="77777777" w:rsidR="00557CCE" w:rsidRPr="00B93A39" w:rsidRDefault="00557CCE" w:rsidP="00413511">
            <w:pPr>
              <w:rPr>
                <w:rFonts w:asciiTheme="minorHAnsi" w:hAnsiTheme="minorHAnsi" w:cs="Calibri"/>
                <w:sz w:val="18"/>
                <w:szCs w:val="18"/>
              </w:rPr>
            </w:pPr>
            <w:r w:rsidRPr="00B93A39">
              <w:rPr>
                <w:rFonts w:asciiTheme="minorHAnsi" w:hAnsiTheme="minorHAnsi" w:cs="Calibri"/>
                <w:sz w:val="18"/>
                <w:szCs w:val="18"/>
              </w:rPr>
              <w:t>3</w:t>
            </w:r>
          </w:p>
        </w:tc>
        <w:tc>
          <w:tcPr>
            <w:tcW w:w="1701" w:type="dxa"/>
          </w:tcPr>
          <w:p w14:paraId="3A781636" w14:textId="77777777" w:rsidR="00557CCE" w:rsidRPr="00B93A39" w:rsidRDefault="00557CCE" w:rsidP="00413511">
            <w:pPr>
              <w:rPr>
                <w:rFonts w:asciiTheme="minorHAnsi" w:hAnsiTheme="minorHAnsi" w:cs="Calibri"/>
                <w:sz w:val="18"/>
                <w:szCs w:val="18"/>
              </w:rPr>
            </w:pPr>
            <w:r w:rsidRPr="00B93A39">
              <w:rPr>
                <w:rFonts w:asciiTheme="minorHAnsi" w:hAnsiTheme="minorHAnsi" w:cs="Calibri"/>
                <w:sz w:val="18"/>
                <w:szCs w:val="18"/>
              </w:rPr>
              <w:t>PN-R-67026:20002</w:t>
            </w:r>
          </w:p>
        </w:tc>
        <w:tc>
          <w:tcPr>
            <w:tcW w:w="7593" w:type="dxa"/>
          </w:tcPr>
          <w:p w14:paraId="2BF8DB9A" w14:textId="77777777" w:rsidR="00557CCE" w:rsidRPr="00B93A39" w:rsidRDefault="00557CCE" w:rsidP="00413511">
            <w:pPr>
              <w:rPr>
                <w:rFonts w:asciiTheme="minorHAnsi" w:hAnsiTheme="minorHAnsi"/>
                <w:sz w:val="18"/>
                <w:szCs w:val="18"/>
              </w:rPr>
            </w:pPr>
            <w:r w:rsidRPr="00B93A39">
              <w:rPr>
                <w:rFonts w:asciiTheme="minorHAnsi" w:hAnsiTheme="minorHAnsi"/>
                <w:sz w:val="18"/>
                <w:szCs w:val="18"/>
              </w:rPr>
              <w:t>Materiał sadzeniowy. Sadzonki drzew i krzewów do zadrzewień i zakrzewień</w:t>
            </w:r>
          </w:p>
        </w:tc>
      </w:tr>
    </w:tbl>
    <w:p w14:paraId="6F7953B5" w14:textId="77777777" w:rsidR="00413511" w:rsidRPr="00A23FB4" w:rsidRDefault="00413511" w:rsidP="00364E4D">
      <w:pPr>
        <w:rPr>
          <w:rFonts w:ascii="Calibri" w:hAnsi="Calibri" w:cs="Calibri"/>
        </w:rPr>
      </w:pPr>
    </w:p>
    <w:p w14:paraId="1C8D4B28" w14:textId="77777777" w:rsidR="00656AC1" w:rsidRPr="00A23FB4" w:rsidRDefault="00656AC1" w:rsidP="00364E4D">
      <w:pPr>
        <w:rPr>
          <w:rFonts w:ascii="Calibri" w:hAnsi="Calibri" w:cs="Calibri"/>
        </w:rPr>
      </w:pPr>
    </w:p>
    <w:p w14:paraId="7388EF81" w14:textId="77777777" w:rsidR="00656AC1" w:rsidRPr="00A23FB4" w:rsidRDefault="00656AC1" w:rsidP="00364E4D">
      <w:pPr>
        <w:rPr>
          <w:rFonts w:ascii="Calibri" w:hAnsi="Calibri" w:cs="Calibri"/>
        </w:rPr>
      </w:pPr>
    </w:p>
    <w:p w14:paraId="67592DFC" w14:textId="77777777" w:rsidR="00656AC1" w:rsidRPr="00A23FB4" w:rsidRDefault="00656AC1" w:rsidP="00364E4D">
      <w:pPr>
        <w:rPr>
          <w:rFonts w:ascii="Calibri" w:hAnsi="Calibri" w:cs="Calibri"/>
        </w:rPr>
      </w:pPr>
    </w:p>
    <w:p w14:paraId="6345FBC7" w14:textId="77777777" w:rsidR="00656AC1" w:rsidRPr="00A23FB4" w:rsidRDefault="00656AC1" w:rsidP="00364E4D">
      <w:pPr>
        <w:rPr>
          <w:rFonts w:ascii="Calibri" w:hAnsi="Calibri" w:cs="Calibri"/>
        </w:rPr>
      </w:pPr>
    </w:p>
    <w:p w14:paraId="0ED8FC54" w14:textId="77777777" w:rsidR="00656AC1" w:rsidRPr="00A23FB4" w:rsidRDefault="00656AC1" w:rsidP="00364E4D">
      <w:pPr>
        <w:rPr>
          <w:rFonts w:ascii="Calibri" w:hAnsi="Calibri" w:cs="Calibri"/>
        </w:rPr>
      </w:pPr>
    </w:p>
    <w:p w14:paraId="3554DFBC" w14:textId="77777777" w:rsidR="00656AC1" w:rsidRPr="00A23FB4" w:rsidRDefault="00656AC1" w:rsidP="00364E4D">
      <w:pPr>
        <w:rPr>
          <w:rFonts w:ascii="Calibri" w:hAnsi="Calibri" w:cs="Calibri"/>
        </w:rPr>
      </w:pPr>
    </w:p>
    <w:p w14:paraId="1417F223" w14:textId="7038ECCF" w:rsidR="002C3E97" w:rsidRPr="00A23FB4" w:rsidRDefault="002C3E97">
      <w:pPr>
        <w:overflowPunct/>
        <w:autoSpaceDE/>
        <w:autoSpaceDN/>
        <w:adjustRightInd/>
        <w:jc w:val="left"/>
        <w:textAlignment w:val="auto"/>
        <w:rPr>
          <w:rFonts w:ascii="Calibri" w:hAnsi="Calibri" w:cs="Calibri"/>
        </w:rPr>
      </w:pPr>
    </w:p>
    <w:sectPr w:rsidR="002C3E97" w:rsidRPr="00A23FB4" w:rsidSect="000206AE">
      <w:headerReference w:type="even" r:id="rId26"/>
      <w:footerReference w:type="even" r:id="rId27"/>
      <w:headerReference w:type="first" r:id="rId28"/>
      <w:footerReference w:type="first" r:id="rId29"/>
      <w:pgSz w:w="11900" w:h="16840"/>
      <w:pgMar w:top="1420" w:right="860" w:bottom="1480" w:left="1320" w:header="713" w:footer="1289" w:gutter="0"/>
      <w:cols w:space="708"/>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6B6585" w14:textId="77777777" w:rsidR="009F263B" w:rsidRDefault="009F263B" w:rsidP="00BF1041">
      <w:r>
        <w:separator/>
      </w:r>
    </w:p>
  </w:endnote>
  <w:endnote w:type="continuationSeparator" w:id="0">
    <w:p w14:paraId="0C425945" w14:textId="77777777" w:rsidR="009F263B" w:rsidRDefault="009F263B" w:rsidP="00BF10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ourier">
    <w:panose1 w:val="02070309020205020404"/>
    <w:charset w:val="00"/>
    <w:family w:val="modern"/>
    <w:notTrueType/>
    <w:pitch w:val="fixed"/>
    <w:sig w:usb0="00000003" w:usb1="00000000" w:usb2="00000000" w:usb3="00000000" w:csb0="00000001" w:csb1="00000000"/>
  </w:font>
  <w:font w:name="TTE18C80C0t00">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EFF" w:usb1="F9DFFFFF" w:usb2="0000007F" w:usb3="00000000" w:csb0="003F01FF" w:csb1="00000000"/>
  </w:font>
  <w:font w:name="MS Reference Sans Serif">
    <w:panose1 w:val="020B0604030504040204"/>
    <w:charset w:val="EE"/>
    <w:family w:val="swiss"/>
    <w:pitch w:val="variable"/>
    <w:sig w:usb0="20000287" w:usb1="00000000" w:usb2="00000000" w:usb3="00000000" w:csb0="0000019F" w:csb1="00000000"/>
  </w:font>
  <w:font w:name="Aharoni">
    <w:charset w:val="B1"/>
    <w:family w:val="auto"/>
    <w:pitch w:val="variable"/>
    <w:sig w:usb0="00000803" w:usb1="00000000" w:usb2="00000000" w:usb3="00000000" w:csb0="00000021" w:csb1="00000000"/>
  </w:font>
  <w:font w:name="Franklin Gothic Demi">
    <w:panose1 w:val="020B0703020102020204"/>
    <w:charset w:val="EE"/>
    <w:family w:val="swiss"/>
    <w:pitch w:val="variable"/>
    <w:sig w:usb0="00000287" w:usb1="00000000" w:usb2="00000000" w:usb3="00000000" w:csb0="0000009F" w:csb1="00000000"/>
  </w:font>
  <w:font w:name="Corbel">
    <w:panose1 w:val="020B0503020204020204"/>
    <w:charset w:val="EE"/>
    <w:family w:val="swiss"/>
    <w:pitch w:val="variable"/>
    <w:sig w:usb0="A00002EF" w:usb1="4000A44B" w:usb2="00000000" w:usb3="00000000" w:csb0="0000019F" w:csb1="00000000"/>
  </w:font>
  <w:font w:name="Consolas">
    <w:panose1 w:val="020B0609020204030204"/>
    <w:charset w:val="EE"/>
    <w:family w:val="modern"/>
    <w:pitch w:val="fixed"/>
    <w:sig w:usb0="E00006FF" w:usb1="0000FCFF" w:usb2="00000001" w:usb3="00000000" w:csb0="0000019F" w:csb1="00000000"/>
  </w:font>
  <w:font w:name="Arial Narrow">
    <w:panose1 w:val="020B0606020202030204"/>
    <w:charset w:val="EE"/>
    <w:family w:val="swiss"/>
    <w:pitch w:val="variable"/>
    <w:sig w:usb0="00000287" w:usb1="00000800" w:usb2="00000000" w:usb3="00000000" w:csb0="0000009F"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PL Times New Roman">
    <w:altName w:val="Times New Roman"/>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Palatino Linotype">
    <w:panose1 w:val="02040502050505030304"/>
    <w:charset w:val="EE"/>
    <w:family w:val="roman"/>
    <w:pitch w:val="variable"/>
    <w:sig w:usb0="E0000287" w:usb1="40000013" w:usb2="00000000" w:usb3="00000000" w:csb0="0000019F" w:csb1="00000000"/>
  </w:font>
  <w:font w:name="Georgia">
    <w:panose1 w:val="02040502050405020303"/>
    <w:charset w:val="EE"/>
    <w:family w:val="roman"/>
    <w:pitch w:val="variable"/>
    <w:sig w:usb0="00000287" w:usb1="00000000" w:usb2="00000000" w:usb3="00000000" w:csb0="0000009F" w:csb1="00000000"/>
  </w:font>
  <w:font w:name="Impact">
    <w:panose1 w:val="020B0806030902050204"/>
    <w:charset w:val="EE"/>
    <w:family w:val="swiss"/>
    <w:pitch w:val="variable"/>
    <w:sig w:usb0="00000287" w:usb1="00000000" w:usb2="00000000" w:usb3="00000000" w:csb0="0000009F" w:csb1="00000000"/>
  </w:font>
  <w:font w:name="Trebuchet MS">
    <w:panose1 w:val="020B0603020202020204"/>
    <w:charset w:val="EE"/>
    <w:family w:val="swiss"/>
    <w:pitch w:val="variable"/>
    <w:sig w:usb0="00000687" w:usb1="00000000" w:usb2="00000000" w:usb3="00000000" w:csb0="0000009F" w:csb1="00000000"/>
  </w:font>
  <w:font w:name="AngsanaUPC">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Segoe UI">
    <w:panose1 w:val="020B0502040204020203"/>
    <w:charset w:val="EE"/>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ndara">
    <w:panose1 w:val="020E0502030303020204"/>
    <w:charset w:val="EE"/>
    <w:family w:val="swiss"/>
    <w:pitch w:val="variable"/>
    <w:sig w:usb0="A00002EF" w:usb1="4000A44B" w:usb2="00000000" w:usb3="00000000" w:csb0="0000019F" w:csb1="00000000"/>
  </w:font>
  <w:font w:name="Tahoma,Bold">
    <w:altName w:val="MS Mincho"/>
    <w:panose1 w:val="00000000000000000000"/>
    <w:charset w:val="80"/>
    <w:family w:val="auto"/>
    <w:notTrueType/>
    <w:pitch w:val="default"/>
    <w:sig w:usb0="00000001" w:usb1="08070000" w:usb2="00000010" w:usb3="00000000" w:csb0="00020000" w:csb1="00000000"/>
  </w:font>
  <w:font w:name="TimesNewRomanPSMT">
    <w:panose1 w:val="00000000000000000000"/>
    <w:charset w:val="EE"/>
    <w:family w:val="auto"/>
    <w:notTrueType/>
    <w:pitch w:val="default"/>
    <w:sig w:usb0="00000005" w:usb1="00000000" w:usb2="00000000" w:usb3="00000000" w:csb0="00000002" w:csb1="00000000"/>
  </w:font>
  <w:font w:name="TimesNewRomanPS-BoldMT">
    <w:altName w:val="Times New Roman"/>
    <w:panose1 w:val="00000000000000000000"/>
    <w:charset w:val="00"/>
    <w:family w:val="roman"/>
    <w:notTrueType/>
    <w:pitch w:val="default"/>
    <w:sig w:usb0="00000007" w:usb1="00000000" w:usb2="00000000" w:usb3="00000000" w:csb0="00000003" w:csb1="00000000"/>
  </w:font>
  <w:font w:name="TimesNewRoman">
    <w:altName w:val="Arial Unicode MS"/>
    <w:charset w:val="00"/>
    <w:family w:val="roman"/>
    <w:pitch w:val="variable"/>
    <w:sig w:usb0="00000001" w:usb1="08070000" w:usb2="00000010" w:usb3="00000000" w:csb0="00020000" w:csb1="00000000"/>
  </w:font>
  <w:font w:name="TimesNewRoman,Bold">
    <w:altName w:val="Arial Unicode MS"/>
    <w:panose1 w:val="00000000000000000000"/>
    <w:charset w:val="80"/>
    <w:family w:val="auto"/>
    <w:notTrueType/>
    <w:pitch w:val="default"/>
    <w:sig w:usb0="00000005" w:usb1="08070000" w:usb2="00000010" w:usb3="00000000" w:csb0="00020002" w:csb1="00000000"/>
  </w:font>
  <w:font w:name="Verdana,Italic">
    <w:altName w:val="Verdana"/>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6312071"/>
      <w:docPartObj>
        <w:docPartGallery w:val="Page Numbers (Bottom of Page)"/>
        <w:docPartUnique/>
      </w:docPartObj>
    </w:sdtPr>
    <w:sdtEndPr/>
    <w:sdtContent>
      <w:p w14:paraId="71ACD068" w14:textId="46F56EF3" w:rsidR="005F7F5D" w:rsidRDefault="00BE573D">
        <w:pPr>
          <w:pStyle w:val="Stopka"/>
          <w:jc w:val="center"/>
        </w:pPr>
        <w:r>
          <w:fldChar w:fldCharType="begin"/>
        </w:r>
        <w:r>
          <w:instrText xml:space="preserve"> PAGE   \* MERGEFORMAT </w:instrText>
        </w:r>
        <w:r>
          <w:fldChar w:fldCharType="separate"/>
        </w:r>
        <w:r w:rsidR="000B3523">
          <w:rPr>
            <w:noProof/>
          </w:rPr>
          <w:t>4</w:t>
        </w:r>
        <w:r>
          <w:rPr>
            <w:noProof/>
          </w:rPr>
          <w:fldChar w:fldCharType="end"/>
        </w:r>
      </w:p>
    </w:sdtContent>
  </w:sdt>
  <w:p w14:paraId="0DC412F5" w14:textId="77777777" w:rsidR="005F7F5D" w:rsidRDefault="005F7F5D">
    <w:pPr>
      <w:pStyle w:val="Stopk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F655EA" w14:textId="77777777" w:rsidR="005F7F5D" w:rsidRDefault="005F7F5D"/>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F2F42E" w14:textId="77777777" w:rsidR="005F7F5D" w:rsidRDefault="005F7F5D"/>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E73208" w14:textId="77777777" w:rsidR="009F263B" w:rsidRDefault="009F263B" w:rsidP="00BF1041">
      <w:r>
        <w:separator/>
      </w:r>
    </w:p>
  </w:footnote>
  <w:footnote w:type="continuationSeparator" w:id="0">
    <w:p w14:paraId="6347FA5D" w14:textId="77777777" w:rsidR="009F263B" w:rsidRDefault="009F263B" w:rsidP="00BF104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080" w:type="dxa"/>
      <w:tblLook w:val="00A0" w:firstRow="1" w:lastRow="0" w:firstColumn="1" w:lastColumn="0" w:noHBand="0" w:noVBand="0"/>
    </w:tblPr>
    <w:tblGrid>
      <w:gridCol w:w="1560"/>
      <w:gridCol w:w="288"/>
      <w:gridCol w:w="3010"/>
      <w:gridCol w:w="3931"/>
      <w:gridCol w:w="1291"/>
    </w:tblGrid>
    <w:tr w:rsidR="005F7F5D" w:rsidRPr="00D07453" w14:paraId="6A5081A0" w14:textId="77777777" w:rsidTr="00B77350">
      <w:trPr>
        <w:gridAfter w:val="1"/>
        <w:wAfter w:w="1291" w:type="dxa"/>
      </w:trPr>
      <w:tc>
        <w:tcPr>
          <w:tcW w:w="1560" w:type="dxa"/>
        </w:tcPr>
        <w:p w14:paraId="0D038B83" w14:textId="77777777" w:rsidR="005F7F5D" w:rsidRDefault="005F7F5D" w:rsidP="00964DDD">
          <w:pPr>
            <w:pStyle w:val="Nagwek"/>
            <w:rPr>
              <w:rFonts w:ascii="Calibri" w:hAnsi="Calibri"/>
              <w:sz w:val="16"/>
              <w:szCs w:val="16"/>
            </w:rPr>
          </w:pPr>
          <w:r>
            <w:rPr>
              <w:rFonts w:ascii="Calibri" w:hAnsi="Calibri"/>
              <w:sz w:val="16"/>
              <w:szCs w:val="16"/>
            </w:rPr>
            <w:t>Inwestor</w:t>
          </w:r>
        </w:p>
      </w:tc>
      <w:tc>
        <w:tcPr>
          <w:tcW w:w="3298" w:type="dxa"/>
          <w:gridSpan w:val="2"/>
        </w:tcPr>
        <w:p w14:paraId="5C0BD26A" w14:textId="4D98B701" w:rsidR="005F7F5D" w:rsidRDefault="008E1F4E" w:rsidP="008E1F4E">
          <w:pPr>
            <w:pStyle w:val="Nagwek"/>
            <w:rPr>
              <w:rFonts w:ascii="Calibri" w:hAnsi="Calibri"/>
              <w:b/>
              <w:sz w:val="16"/>
              <w:szCs w:val="16"/>
            </w:rPr>
          </w:pPr>
          <w:r>
            <w:rPr>
              <w:rFonts w:ascii="Calibri" w:hAnsi="Calibri"/>
              <w:b/>
              <w:sz w:val="16"/>
              <w:szCs w:val="16"/>
            </w:rPr>
            <w:t xml:space="preserve">                           </w:t>
          </w:r>
          <w:r w:rsidR="00A77515">
            <w:rPr>
              <w:rFonts w:ascii="Calibri" w:hAnsi="Calibri"/>
              <w:b/>
              <w:sz w:val="16"/>
              <w:szCs w:val="16"/>
            </w:rPr>
            <w:t>Powiat Wrocławski</w:t>
          </w:r>
        </w:p>
      </w:tc>
      <w:tc>
        <w:tcPr>
          <w:tcW w:w="3931" w:type="dxa"/>
        </w:tcPr>
        <w:p w14:paraId="4C9424B1" w14:textId="26C2C771" w:rsidR="005F7F5D" w:rsidRDefault="005A66B4" w:rsidP="00964DDD">
          <w:pPr>
            <w:pStyle w:val="Nagwek"/>
            <w:rPr>
              <w:rFonts w:ascii="Calibri" w:hAnsi="Calibri"/>
              <w:sz w:val="16"/>
              <w:szCs w:val="16"/>
            </w:rPr>
          </w:pPr>
          <w:r>
            <w:rPr>
              <w:rFonts w:ascii="Calibri" w:hAnsi="Calibri"/>
              <w:sz w:val="16"/>
              <w:szCs w:val="16"/>
            </w:rPr>
            <w:t>Ul</w:t>
          </w:r>
          <w:r w:rsidR="00A77515">
            <w:rPr>
              <w:rFonts w:ascii="Calibri" w:hAnsi="Calibri"/>
              <w:sz w:val="16"/>
              <w:szCs w:val="16"/>
            </w:rPr>
            <w:t>. T. Kościuszki 131, 50-440 Wrocław</w:t>
          </w:r>
        </w:p>
      </w:tc>
    </w:tr>
    <w:tr w:rsidR="005F7F5D" w:rsidRPr="00D07453" w14:paraId="6A550A81" w14:textId="77777777" w:rsidTr="00B77350">
      <w:trPr>
        <w:trHeight w:val="80"/>
      </w:trPr>
      <w:tc>
        <w:tcPr>
          <w:tcW w:w="1848" w:type="dxa"/>
          <w:gridSpan w:val="2"/>
        </w:tcPr>
        <w:p w14:paraId="2D89C379" w14:textId="77777777" w:rsidR="005F7F5D" w:rsidRDefault="005F7F5D" w:rsidP="00964DDD">
          <w:pPr>
            <w:pStyle w:val="Nagwek"/>
            <w:rPr>
              <w:rFonts w:ascii="Calibri" w:hAnsi="Calibri"/>
              <w:sz w:val="16"/>
              <w:szCs w:val="16"/>
            </w:rPr>
          </w:pPr>
          <w:r>
            <w:rPr>
              <w:rFonts w:ascii="Calibri" w:hAnsi="Calibri"/>
              <w:sz w:val="16"/>
              <w:szCs w:val="16"/>
            </w:rPr>
            <w:t>Jednostka Projektowa</w:t>
          </w:r>
        </w:p>
      </w:tc>
      <w:tc>
        <w:tcPr>
          <w:tcW w:w="3010" w:type="dxa"/>
        </w:tcPr>
        <w:p w14:paraId="191CC576" w14:textId="77777777" w:rsidR="005F7F5D" w:rsidRDefault="005F7F5D" w:rsidP="00964DDD">
          <w:pPr>
            <w:pStyle w:val="Nagwek"/>
            <w:jc w:val="center"/>
            <w:rPr>
              <w:rFonts w:ascii="Calibri" w:hAnsi="Calibri"/>
              <w:b/>
              <w:sz w:val="16"/>
              <w:szCs w:val="16"/>
            </w:rPr>
          </w:pPr>
          <w:r>
            <w:rPr>
              <w:rFonts w:ascii="Calibri" w:hAnsi="Calibri"/>
              <w:b/>
              <w:sz w:val="16"/>
              <w:szCs w:val="16"/>
            </w:rPr>
            <w:t xml:space="preserve">       Biuro Inżynierskie TRAKT</w:t>
          </w:r>
        </w:p>
      </w:tc>
      <w:tc>
        <w:tcPr>
          <w:tcW w:w="5222" w:type="dxa"/>
          <w:gridSpan w:val="2"/>
        </w:tcPr>
        <w:p w14:paraId="7FD004CC" w14:textId="3B48F0D5" w:rsidR="005F7F5D" w:rsidRDefault="005F7F5D" w:rsidP="00964DDD">
          <w:pPr>
            <w:pStyle w:val="Nagwek"/>
            <w:rPr>
              <w:rFonts w:ascii="Calibri" w:hAnsi="Calibri"/>
              <w:sz w:val="16"/>
              <w:szCs w:val="16"/>
            </w:rPr>
          </w:pPr>
          <w:r>
            <w:rPr>
              <w:rFonts w:ascii="Calibri" w:hAnsi="Calibri"/>
              <w:sz w:val="16"/>
              <w:szCs w:val="16"/>
            </w:rPr>
            <w:t>Sędzisław 50</w:t>
          </w:r>
          <w:r w:rsidR="00B515FA">
            <w:rPr>
              <w:rFonts w:ascii="Calibri" w:hAnsi="Calibri"/>
              <w:sz w:val="16"/>
              <w:szCs w:val="16"/>
            </w:rPr>
            <w:t>,</w:t>
          </w:r>
          <w:r>
            <w:rPr>
              <w:rFonts w:ascii="Calibri" w:hAnsi="Calibri"/>
              <w:sz w:val="16"/>
              <w:szCs w:val="16"/>
            </w:rPr>
            <w:t xml:space="preserve"> 58-410 Marciszów</w:t>
          </w:r>
        </w:p>
      </w:tc>
    </w:tr>
  </w:tbl>
  <w:p w14:paraId="5B80F591" w14:textId="77777777" w:rsidR="005F7F5D" w:rsidRDefault="005F7F5D">
    <w:pPr>
      <w:pStyle w:val="Nagwek"/>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0B3B60" w14:textId="77777777" w:rsidR="005F7F5D" w:rsidRDefault="005F7F5D"/>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931988" w14:textId="77777777" w:rsidR="005F7F5D" w:rsidRDefault="005F7F5D"/>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0415000B"/>
    <w:lvl w:ilvl="0">
      <w:start w:val="1"/>
      <w:numFmt w:val="bullet"/>
      <w:lvlText w:val=""/>
      <w:lvlJc w:val="left"/>
      <w:pPr>
        <w:ind w:left="720" w:hanging="360"/>
      </w:pPr>
      <w:rPr>
        <w:rFonts w:ascii="Wingdings" w:hAnsi="Wingdings" w:hint="default"/>
      </w:rPr>
    </w:lvl>
  </w:abstractNum>
  <w:abstractNum w:abstractNumId="1" w15:restartNumberingAfterBreak="0">
    <w:nsid w:val="FFFFFF82"/>
    <w:multiLevelType w:val="singleLevel"/>
    <w:tmpl w:val="265C1570"/>
    <w:lvl w:ilvl="0">
      <w:start w:val="1"/>
      <w:numFmt w:val="bullet"/>
      <w:pStyle w:val="Listanumerowana"/>
      <w:lvlText w:val=""/>
      <w:lvlJc w:val="left"/>
      <w:pPr>
        <w:tabs>
          <w:tab w:val="num" w:pos="926"/>
        </w:tabs>
        <w:ind w:left="926" w:hanging="360"/>
      </w:pPr>
      <w:rPr>
        <w:rFonts w:ascii="Symbol" w:hAnsi="Symbol" w:hint="default"/>
      </w:rPr>
    </w:lvl>
  </w:abstractNum>
  <w:abstractNum w:abstractNumId="2" w15:restartNumberingAfterBreak="0">
    <w:nsid w:val="FFFFFF89"/>
    <w:multiLevelType w:val="singleLevel"/>
    <w:tmpl w:val="33BC26DE"/>
    <w:lvl w:ilvl="0">
      <w:start w:val="1"/>
      <w:numFmt w:val="bullet"/>
      <w:pStyle w:val="TRE"/>
      <w:lvlText w:val=""/>
      <w:lvlJc w:val="left"/>
      <w:pPr>
        <w:tabs>
          <w:tab w:val="num" w:pos="360"/>
        </w:tabs>
        <w:ind w:left="360" w:hanging="360"/>
      </w:pPr>
      <w:rPr>
        <w:rFonts w:ascii="Symbol" w:hAnsi="Symbol" w:hint="default"/>
      </w:rPr>
    </w:lvl>
  </w:abstractNum>
  <w:abstractNum w:abstractNumId="3" w15:restartNumberingAfterBreak="0">
    <w:nsid w:val="FFFFFFFE"/>
    <w:multiLevelType w:val="singleLevel"/>
    <w:tmpl w:val="01E4C536"/>
    <w:lvl w:ilvl="0">
      <w:numFmt w:val="bullet"/>
      <w:lvlText w:val="*"/>
      <w:lvlJc w:val="left"/>
    </w:lvl>
  </w:abstractNum>
  <w:abstractNum w:abstractNumId="4" w15:restartNumberingAfterBreak="0">
    <w:nsid w:val="00000003"/>
    <w:multiLevelType w:val="multilevel"/>
    <w:tmpl w:val="00000003"/>
    <w:name w:val="WW8Num2"/>
    <w:lvl w:ilvl="0">
      <w:start w:val="64"/>
      <w:numFmt w:val="decimal"/>
      <w:lvlText w:val="%1."/>
      <w:lvlJc w:val="left"/>
      <w:pPr>
        <w:tabs>
          <w:tab w:val="num" w:pos="283"/>
        </w:tabs>
        <w:ind w:left="283" w:hanging="283"/>
      </w:pPr>
    </w:lvl>
    <w:lvl w:ilvl="1">
      <w:start w:val="3"/>
      <w:numFmt w:val="decimal"/>
      <w:lvlText w:val="%1.%2."/>
      <w:lvlJc w:val="left"/>
      <w:pPr>
        <w:tabs>
          <w:tab w:val="num" w:pos="495"/>
        </w:tabs>
        <w:ind w:left="495" w:hanging="495"/>
      </w:pPr>
      <w:rPr>
        <w:b/>
        <w:bCs/>
      </w:rPr>
    </w:lvl>
    <w:lvl w:ilvl="2">
      <w:start w:val="2"/>
      <w:numFmt w:val="decimal"/>
      <w:lvlText w:val="%1.%2.%3."/>
      <w:lvlJc w:val="left"/>
      <w:pPr>
        <w:tabs>
          <w:tab w:val="num" w:pos="720"/>
        </w:tabs>
        <w:ind w:left="720" w:hanging="720"/>
      </w:pPr>
      <w:rPr>
        <w:b/>
        <w:bCs/>
      </w:rPr>
    </w:lvl>
    <w:lvl w:ilvl="3">
      <w:start w:val="1"/>
      <w:numFmt w:val="decimal"/>
      <w:lvlText w:val="%1.%2.%3.%4."/>
      <w:lvlJc w:val="left"/>
      <w:pPr>
        <w:tabs>
          <w:tab w:val="num" w:pos="720"/>
        </w:tabs>
        <w:ind w:left="720" w:hanging="720"/>
      </w:pPr>
      <w:rPr>
        <w:b/>
        <w:bCs/>
      </w:rPr>
    </w:lvl>
    <w:lvl w:ilvl="4">
      <w:start w:val="1"/>
      <w:numFmt w:val="decimal"/>
      <w:lvlText w:val="%1.%2.%3.%4.%5."/>
      <w:lvlJc w:val="left"/>
      <w:pPr>
        <w:tabs>
          <w:tab w:val="num" w:pos="1080"/>
        </w:tabs>
        <w:ind w:left="1080" w:hanging="1080"/>
      </w:pPr>
      <w:rPr>
        <w:b/>
        <w:bCs/>
      </w:rPr>
    </w:lvl>
    <w:lvl w:ilvl="5">
      <w:start w:val="1"/>
      <w:numFmt w:val="decimal"/>
      <w:lvlText w:val="%1.%2.%3.%4.%5.%6."/>
      <w:lvlJc w:val="left"/>
      <w:pPr>
        <w:tabs>
          <w:tab w:val="num" w:pos="1080"/>
        </w:tabs>
        <w:ind w:left="1080" w:hanging="1080"/>
      </w:pPr>
      <w:rPr>
        <w:b/>
        <w:bCs/>
      </w:rPr>
    </w:lvl>
    <w:lvl w:ilvl="6">
      <w:start w:val="1"/>
      <w:numFmt w:val="decimal"/>
      <w:lvlText w:val="%1.%2.%3.%4.%5.%6.%7."/>
      <w:lvlJc w:val="left"/>
      <w:pPr>
        <w:tabs>
          <w:tab w:val="num" w:pos="1080"/>
        </w:tabs>
        <w:ind w:left="1080" w:hanging="1080"/>
      </w:pPr>
      <w:rPr>
        <w:b/>
        <w:bCs/>
      </w:rPr>
    </w:lvl>
    <w:lvl w:ilvl="7">
      <w:start w:val="1"/>
      <w:numFmt w:val="decimal"/>
      <w:lvlText w:val="%1.%2.%3.%4.%5.%6.%7.%8."/>
      <w:lvlJc w:val="left"/>
      <w:pPr>
        <w:tabs>
          <w:tab w:val="num" w:pos="1440"/>
        </w:tabs>
        <w:ind w:left="1440" w:hanging="1440"/>
      </w:pPr>
      <w:rPr>
        <w:b/>
        <w:bCs/>
      </w:rPr>
    </w:lvl>
    <w:lvl w:ilvl="8">
      <w:start w:val="1"/>
      <w:numFmt w:val="decimal"/>
      <w:lvlText w:val="%1.%2.%3.%4.%5.%6.%7.%8.%9."/>
      <w:lvlJc w:val="left"/>
      <w:pPr>
        <w:tabs>
          <w:tab w:val="num" w:pos="1440"/>
        </w:tabs>
        <w:ind w:left="1440" w:hanging="1440"/>
      </w:pPr>
      <w:rPr>
        <w:b/>
        <w:bCs/>
      </w:rPr>
    </w:lvl>
  </w:abstractNum>
  <w:abstractNum w:abstractNumId="5" w15:restartNumberingAfterBreak="0">
    <w:nsid w:val="0000000E"/>
    <w:multiLevelType w:val="singleLevel"/>
    <w:tmpl w:val="0000000E"/>
    <w:name w:val="WW8Num3"/>
    <w:lvl w:ilvl="0">
      <w:start w:val="2"/>
      <w:numFmt w:val="decimal"/>
      <w:lvlText w:val="2.3.%1. "/>
      <w:lvlJc w:val="left"/>
      <w:pPr>
        <w:tabs>
          <w:tab w:val="num" w:pos="283"/>
        </w:tabs>
        <w:ind w:left="283" w:hanging="283"/>
      </w:pPr>
      <w:rPr>
        <w:rFonts w:ascii="Times New Roman" w:hAnsi="Times New Roman" w:cs="Times New Roman"/>
        <w:b/>
        <w:bCs/>
        <w:i w:val="0"/>
        <w:iCs w:val="0"/>
        <w:sz w:val="20"/>
        <w:szCs w:val="20"/>
        <w:u w:val="none"/>
      </w:rPr>
    </w:lvl>
  </w:abstractNum>
  <w:abstractNum w:abstractNumId="6" w15:restartNumberingAfterBreak="0">
    <w:nsid w:val="00000013"/>
    <w:multiLevelType w:val="singleLevel"/>
    <w:tmpl w:val="00000013"/>
    <w:name w:val="WW8Num5"/>
    <w:lvl w:ilvl="0">
      <w:start w:val="1"/>
      <w:numFmt w:val="bullet"/>
      <w:lvlText w:val="−"/>
      <w:lvlJc w:val="left"/>
      <w:pPr>
        <w:tabs>
          <w:tab w:val="num" w:pos="680"/>
        </w:tabs>
        <w:ind w:left="680" w:hanging="340"/>
      </w:pPr>
      <w:rPr>
        <w:rFonts w:ascii="Verdana" w:hAnsi="Verdana" w:cs="Verdana"/>
      </w:rPr>
    </w:lvl>
  </w:abstractNum>
  <w:abstractNum w:abstractNumId="7" w15:restartNumberingAfterBreak="0">
    <w:nsid w:val="00000018"/>
    <w:multiLevelType w:val="singleLevel"/>
    <w:tmpl w:val="00000018"/>
    <w:name w:val="WW8Num21"/>
    <w:lvl w:ilvl="0">
      <w:start w:val="1"/>
      <w:numFmt w:val="bullet"/>
      <w:lvlText w:val="−"/>
      <w:lvlJc w:val="left"/>
      <w:pPr>
        <w:tabs>
          <w:tab w:val="num" w:pos="680"/>
        </w:tabs>
        <w:ind w:left="680" w:hanging="340"/>
      </w:pPr>
      <w:rPr>
        <w:rFonts w:ascii="Verdana" w:hAnsi="Verdana" w:cs="Verdana"/>
      </w:rPr>
    </w:lvl>
  </w:abstractNum>
  <w:abstractNum w:abstractNumId="8" w15:restartNumberingAfterBreak="0">
    <w:nsid w:val="00000019"/>
    <w:multiLevelType w:val="singleLevel"/>
    <w:tmpl w:val="00000019"/>
    <w:name w:val="WW8Num27"/>
    <w:lvl w:ilvl="0">
      <w:start w:val="1"/>
      <w:numFmt w:val="bullet"/>
      <w:lvlText w:val="−"/>
      <w:lvlJc w:val="left"/>
      <w:pPr>
        <w:tabs>
          <w:tab w:val="num" w:pos="680"/>
        </w:tabs>
        <w:ind w:left="680" w:hanging="340"/>
      </w:pPr>
      <w:rPr>
        <w:rFonts w:ascii="Verdana" w:hAnsi="Verdana" w:cs="Verdana"/>
      </w:rPr>
    </w:lvl>
  </w:abstractNum>
  <w:abstractNum w:abstractNumId="9" w15:restartNumberingAfterBreak="0">
    <w:nsid w:val="00000021"/>
    <w:multiLevelType w:val="multilevel"/>
    <w:tmpl w:val="00000021"/>
    <w:name w:val="WW8Num28"/>
    <w:lvl w:ilvl="0">
      <w:start w:val="67"/>
      <w:numFmt w:val="decimal"/>
      <w:lvlText w:val="%1."/>
      <w:lvlJc w:val="left"/>
      <w:pPr>
        <w:tabs>
          <w:tab w:val="num" w:pos="283"/>
        </w:tabs>
        <w:ind w:left="283" w:hanging="283"/>
      </w:pPr>
    </w:lvl>
    <w:lvl w:ilvl="1">
      <w:start w:val="3"/>
      <w:numFmt w:val="decimal"/>
      <w:lvlText w:val="%1.%2."/>
      <w:lvlJc w:val="left"/>
      <w:pPr>
        <w:tabs>
          <w:tab w:val="num" w:pos="495"/>
        </w:tabs>
        <w:ind w:left="495" w:hanging="495"/>
      </w:pPr>
      <w:rPr>
        <w:b/>
        <w:bCs/>
      </w:rPr>
    </w:lvl>
    <w:lvl w:ilvl="2">
      <w:start w:val="2"/>
      <w:numFmt w:val="decimal"/>
      <w:lvlText w:val="%1.%2.%3."/>
      <w:lvlJc w:val="left"/>
      <w:pPr>
        <w:tabs>
          <w:tab w:val="num" w:pos="720"/>
        </w:tabs>
        <w:ind w:left="720" w:hanging="720"/>
      </w:pPr>
      <w:rPr>
        <w:b/>
        <w:bCs/>
      </w:rPr>
    </w:lvl>
    <w:lvl w:ilvl="3">
      <w:start w:val="1"/>
      <w:numFmt w:val="decimal"/>
      <w:lvlText w:val="%1.%2.%3.%4."/>
      <w:lvlJc w:val="left"/>
      <w:pPr>
        <w:tabs>
          <w:tab w:val="num" w:pos="720"/>
        </w:tabs>
        <w:ind w:left="720" w:hanging="720"/>
      </w:pPr>
      <w:rPr>
        <w:b/>
        <w:bCs/>
      </w:rPr>
    </w:lvl>
    <w:lvl w:ilvl="4">
      <w:start w:val="1"/>
      <w:numFmt w:val="decimal"/>
      <w:lvlText w:val="%1.%2.%3.%4.%5."/>
      <w:lvlJc w:val="left"/>
      <w:pPr>
        <w:tabs>
          <w:tab w:val="num" w:pos="1080"/>
        </w:tabs>
        <w:ind w:left="1080" w:hanging="1080"/>
      </w:pPr>
      <w:rPr>
        <w:b/>
        <w:bCs/>
      </w:rPr>
    </w:lvl>
    <w:lvl w:ilvl="5">
      <w:start w:val="1"/>
      <w:numFmt w:val="decimal"/>
      <w:lvlText w:val="%1.%2.%3.%4.%5.%6."/>
      <w:lvlJc w:val="left"/>
      <w:pPr>
        <w:tabs>
          <w:tab w:val="num" w:pos="1080"/>
        </w:tabs>
        <w:ind w:left="1080" w:hanging="1080"/>
      </w:pPr>
      <w:rPr>
        <w:b/>
        <w:bCs/>
      </w:rPr>
    </w:lvl>
    <w:lvl w:ilvl="6">
      <w:start w:val="1"/>
      <w:numFmt w:val="decimal"/>
      <w:lvlText w:val="%1.%2.%3.%4.%5.%6.%7."/>
      <w:lvlJc w:val="left"/>
      <w:pPr>
        <w:tabs>
          <w:tab w:val="num" w:pos="1080"/>
        </w:tabs>
        <w:ind w:left="1080" w:hanging="1080"/>
      </w:pPr>
      <w:rPr>
        <w:b/>
        <w:bCs/>
      </w:rPr>
    </w:lvl>
    <w:lvl w:ilvl="7">
      <w:start w:val="1"/>
      <w:numFmt w:val="decimal"/>
      <w:lvlText w:val="%1.%2.%3.%4.%5.%6.%7.%8."/>
      <w:lvlJc w:val="left"/>
      <w:pPr>
        <w:tabs>
          <w:tab w:val="num" w:pos="1440"/>
        </w:tabs>
        <w:ind w:left="1440" w:hanging="1440"/>
      </w:pPr>
      <w:rPr>
        <w:b/>
        <w:bCs/>
      </w:rPr>
    </w:lvl>
    <w:lvl w:ilvl="8">
      <w:start w:val="1"/>
      <w:numFmt w:val="decimal"/>
      <w:lvlText w:val="%1.%2.%3.%4.%5.%6.%7.%8.%9."/>
      <w:lvlJc w:val="left"/>
      <w:pPr>
        <w:tabs>
          <w:tab w:val="num" w:pos="1440"/>
        </w:tabs>
        <w:ind w:left="1440" w:hanging="1440"/>
      </w:pPr>
      <w:rPr>
        <w:b/>
        <w:bCs/>
      </w:rPr>
    </w:lvl>
  </w:abstractNum>
  <w:abstractNum w:abstractNumId="10" w15:restartNumberingAfterBreak="0">
    <w:nsid w:val="0000002C"/>
    <w:multiLevelType w:val="singleLevel"/>
    <w:tmpl w:val="0000002C"/>
    <w:name w:val="WW8Num41"/>
    <w:lvl w:ilvl="0">
      <w:start w:val="1"/>
      <w:numFmt w:val="bullet"/>
      <w:lvlText w:val="−"/>
      <w:lvlJc w:val="left"/>
      <w:pPr>
        <w:tabs>
          <w:tab w:val="num" w:pos="680"/>
        </w:tabs>
        <w:ind w:left="680" w:hanging="340"/>
      </w:pPr>
      <w:rPr>
        <w:rFonts w:ascii="Verdana" w:hAnsi="Verdana" w:cs="Verdana"/>
      </w:rPr>
    </w:lvl>
  </w:abstractNum>
  <w:abstractNum w:abstractNumId="11" w15:restartNumberingAfterBreak="0">
    <w:nsid w:val="00000030"/>
    <w:multiLevelType w:val="singleLevel"/>
    <w:tmpl w:val="00000030"/>
    <w:name w:val="WW8Num58"/>
    <w:lvl w:ilvl="0">
      <w:start w:val="1"/>
      <w:numFmt w:val="bullet"/>
      <w:lvlText w:val="−"/>
      <w:lvlJc w:val="left"/>
      <w:pPr>
        <w:tabs>
          <w:tab w:val="num" w:pos="680"/>
        </w:tabs>
        <w:ind w:left="680" w:hanging="340"/>
      </w:pPr>
      <w:rPr>
        <w:rFonts w:ascii="Verdana" w:hAnsi="Verdana" w:cs="Verdana"/>
      </w:rPr>
    </w:lvl>
  </w:abstractNum>
  <w:abstractNum w:abstractNumId="12" w15:restartNumberingAfterBreak="0">
    <w:nsid w:val="00000036"/>
    <w:multiLevelType w:val="singleLevel"/>
    <w:tmpl w:val="00000036"/>
    <w:name w:val="WW8Num62"/>
    <w:lvl w:ilvl="0">
      <w:start w:val="1"/>
      <w:numFmt w:val="decimal"/>
      <w:lvlText w:val="%1."/>
      <w:lvlJc w:val="left"/>
      <w:pPr>
        <w:tabs>
          <w:tab w:val="num" w:pos="340"/>
        </w:tabs>
        <w:ind w:left="340" w:hanging="340"/>
      </w:pPr>
    </w:lvl>
  </w:abstractNum>
  <w:abstractNum w:abstractNumId="13" w15:restartNumberingAfterBreak="0">
    <w:nsid w:val="0000003B"/>
    <w:multiLevelType w:val="singleLevel"/>
    <w:tmpl w:val="0000003B"/>
    <w:name w:val="WW8Num15"/>
    <w:lvl w:ilvl="0">
      <w:start w:val="1"/>
      <w:numFmt w:val="lowerLetter"/>
      <w:lvlText w:val="%1)"/>
      <w:lvlJc w:val="left"/>
      <w:pPr>
        <w:tabs>
          <w:tab w:val="num" w:pos="284"/>
        </w:tabs>
        <w:ind w:left="284" w:hanging="284"/>
      </w:pPr>
    </w:lvl>
  </w:abstractNum>
  <w:abstractNum w:abstractNumId="14" w15:restartNumberingAfterBreak="0">
    <w:nsid w:val="0000003C"/>
    <w:multiLevelType w:val="singleLevel"/>
    <w:tmpl w:val="0000003C"/>
    <w:name w:val="WW8Num72"/>
    <w:lvl w:ilvl="0">
      <w:start w:val="1"/>
      <w:numFmt w:val="bullet"/>
      <w:lvlText w:val="−"/>
      <w:lvlJc w:val="left"/>
      <w:pPr>
        <w:tabs>
          <w:tab w:val="num" w:pos="680"/>
        </w:tabs>
        <w:ind w:left="680" w:hanging="340"/>
      </w:pPr>
      <w:rPr>
        <w:rFonts w:ascii="Verdana" w:hAnsi="Verdana" w:cs="Verdana"/>
      </w:rPr>
    </w:lvl>
  </w:abstractNum>
  <w:abstractNum w:abstractNumId="15" w15:restartNumberingAfterBreak="0">
    <w:nsid w:val="0000004D"/>
    <w:multiLevelType w:val="singleLevel"/>
    <w:tmpl w:val="0000004D"/>
    <w:name w:val="WW8Num84"/>
    <w:lvl w:ilvl="0">
      <w:start w:val="1"/>
      <w:numFmt w:val="bullet"/>
      <w:lvlText w:val="−"/>
      <w:lvlJc w:val="left"/>
      <w:pPr>
        <w:tabs>
          <w:tab w:val="num" w:pos="680"/>
        </w:tabs>
        <w:ind w:left="680" w:hanging="340"/>
      </w:pPr>
      <w:rPr>
        <w:rFonts w:ascii="Verdana" w:hAnsi="Verdana" w:cs="Verdana"/>
      </w:rPr>
    </w:lvl>
  </w:abstractNum>
  <w:abstractNum w:abstractNumId="16" w15:restartNumberingAfterBreak="0">
    <w:nsid w:val="0000004E"/>
    <w:multiLevelType w:val="multilevel"/>
    <w:tmpl w:val="0000004E"/>
    <w:name w:val="WW8Num81"/>
    <w:lvl w:ilvl="0">
      <w:start w:val="1"/>
      <w:numFmt w:val="decimal"/>
      <w:lvlText w:val="%1."/>
      <w:lvlJc w:val="left"/>
      <w:pPr>
        <w:tabs>
          <w:tab w:val="num" w:pos="720"/>
        </w:tabs>
        <w:ind w:left="720" w:hanging="360"/>
      </w:pPr>
    </w:lvl>
    <w:lvl w:ilvl="1">
      <w:start w:val="2"/>
      <w:numFmt w:val="decimal"/>
      <w:lvlText w:val="%1.%2"/>
      <w:lvlJc w:val="left"/>
      <w:pPr>
        <w:tabs>
          <w:tab w:val="num" w:pos="750"/>
        </w:tabs>
        <w:ind w:left="750" w:hanging="390"/>
      </w:p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080"/>
        </w:tabs>
        <w:ind w:left="1080" w:hanging="72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440"/>
        </w:tabs>
        <w:ind w:left="1440" w:hanging="108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1800"/>
        </w:tabs>
        <w:ind w:left="1800" w:hanging="1440"/>
      </w:pPr>
    </w:lvl>
  </w:abstractNum>
  <w:abstractNum w:abstractNumId="17" w15:restartNumberingAfterBreak="0">
    <w:nsid w:val="00000051"/>
    <w:multiLevelType w:val="singleLevel"/>
    <w:tmpl w:val="00000051"/>
    <w:name w:val="WW8Num103"/>
    <w:lvl w:ilvl="0">
      <w:start w:val="1"/>
      <w:numFmt w:val="decimal"/>
      <w:lvlText w:val="2.3.%1. "/>
      <w:lvlJc w:val="left"/>
      <w:pPr>
        <w:tabs>
          <w:tab w:val="num" w:pos="283"/>
        </w:tabs>
        <w:ind w:left="283" w:hanging="283"/>
      </w:pPr>
      <w:rPr>
        <w:rFonts w:ascii="Times New Roman" w:hAnsi="Times New Roman" w:cs="Times New Roman"/>
        <w:b/>
        <w:bCs/>
        <w:i w:val="0"/>
        <w:iCs w:val="0"/>
        <w:sz w:val="20"/>
        <w:szCs w:val="20"/>
        <w:u w:val="none"/>
      </w:rPr>
    </w:lvl>
  </w:abstractNum>
  <w:abstractNum w:abstractNumId="18" w15:restartNumberingAfterBreak="0">
    <w:nsid w:val="00000053"/>
    <w:multiLevelType w:val="singleLevel"/>
    <w:tmpl w:val="7954FC42"/>
    <w:name w:val="WW8Num106"/>
    <w:lvl w:ilvl="0">
      <w:start w:val="2"/>
      <w:numFmt w:val="decimal"/>
      <w:lvlText w:val="1.4.%1. "/>
      <w:lvlJc w:val="left"/>
      <w:pPr>
        <w:tabs>
          <w:tab w:val="num" w:pos="283"/>
        </w:tabs>
        <w:ind w:left="283" w:hanging="283"/>
      </w:pPr>
      <w:rPr>
        <w:b/>
        <w:bCs/>
        <w:i w:val="0"/>
        <w:iCs w:val="0"/>
        <w:sz w:val="20"/>
        <w:szCs w:val="20"/>
      </w:rPr>
    </w:lvl>
  </w:abstractNum>
  <w:abstractNum w:abstractNumId="19" w15:restartNumberingAfterBreak="0">
    <w:nsid w:val="0000005C"/>
    <w:multiLevelType w:val="singleLevel"/>
    <w:tmpl w:val="4B767800"/>
    <w:name w:val="WW8Num110"/>
    <w:lvl w:ilvl="0">
      <w:start w:val="1"/>
      <w:numFmt w:val="decimal"/>
      <w:lvlText w:val="1.4.%1. "/>
      <w:lvlJc w:val="left"/>
      <w:pPr>
        <w:tabs>
          <w:tab w:val="num" w:pos="283"/>
        </w:tabs>
        <w:ind w:left="283" w:hanging="283"/>
      </w:pPr>
      <w:rPr>
        <w:b/>
        <w:bCs/>
        <w:i w:val="0"/>
        <w:iCs w:val="0"/>
        <w:sz w:val="20"/>
        <w:szCs w:val="20"/>
      </w:rPr>
    </w:lvl>
  </w:abstractNum>
  <w:abstractNum w:abstractNumId="20" w15:restartNumberingAfterBreak="0">
    <w:nsid w:val="00000064"/>
    <w:multiLevelType w:val="multilevel"/>
    <w:tmpl w:val="00000064"/>
    <w:name w:val="WW8Num112"/>
    <w:lvl w:ilvl="0">
      <w:start w:val="1"/>
      <w:numFmt w:val="decimal"/>
      <w:lvlText w:val="%1."/>
      <w:lvlJc w:val="left"/>
      <w:pPr>
        <w:tabs>
          <w:tab w:val="num" w:pos="283"/>
        </w:tabs>
        <w:ind w:left="283" w:hanging="283"/>
      </w:pPr>
    </w:lvl>
    <w:lvl w:ilvl="1">
      <w:start w:val="3"/>
      <w:numFmt w:val="decimal"/>
      <w:lvlText w:val="%1.%2."/>
      <w:lvlJc w:val="left"/>
      <w:pPr>
        <w:tabs>
          <w:tab w:val="num" w:pos="495"/>
        </w:tabs>
        <w:ind w:left="495" w:hanging="495"/>
      </w:pPr>
      <w:rPr>
        <w:b/>
        <w:bCs/>
      </w:rPr>
    </w:lvl>
    <w:lvl w:ilvl="2">
      <w:start w:val="2"/>
      <w:numFmt w:val="decimal"/>
      <w:lvlText w:val="%1.%2.%3."/>
      <w:lvlJc w:val="left"/>
      <w:pPr>
        <w:tabs>
          <w:tab w:val="num" w:pos="720"/>
        </w:tabs>
        <w:ind w:left="720" w:hanging="720"/>
      </w:pPr>
      <w:rPr>
        <w:b/>
        <w:bCs/>
      </w:rPr>
    </w:lvl>
    <w:lvl w:ilvl="3">
      <w:start w:val="1"/>
      <w:numFmt w:val="decimal"/>
      <w:lvlText w:val="%1.%2.%3.%4."/>
      <w:lvlJc w:val="left"/>
      <w:pPr>
        <w:tabs>
          <w:tab w:val="num" w:pos="720"/>
        </w:tabs>
        <w:ind w:left="720" w:hanging="720"/>
      </w:pPr>
      <w:rPr>
        <w:b/>
        <w:bCs/>
      </w:rPr>
    </w:lvl>
    <w:lvl w:ilvl="4">
      <w:start w:val="1"/>
      <w:numFmt w:val="decimal"/>
      <w:lvlText w:val="%1.%2.%3.%4.%5."/>
      <w:lvlJc w:val="left"/>
      <w:pPr>
        <w:tabs>
          <w:tab w:val="num" w:pos="1080"/>
        </w:tabs>
        <w:ind w:left="1080" w:hanging="1080"/>
      </w:pPr>
      <w:rPr>
        <w:b/>
        <w:bCs/>
      </w:rPr>
    </w:lvl>
    <w:lvl w:ilvl="5">
      <w:start w:val="1"/>
      <w:numFmt w:val="decimal"/>
      <w:lvlText w:val="%1.%2.%3.%4.%5.%6."/>
      <w:lvlJc w:val="left"/>
      <w:pPr>
        <w:tabs>
          <w:tab w:val="num" w:pos="1080"/>
        </w:tabs>
        <w:ind w:left="1080" w:hanging="1080"/>
      </w:pPr>
      <w:rPr>
        <w:b/>
        <w:bCs/>
      </w:rPr>
    </w:lvl>
    <w:lvl w:ilvl="6">
      <w:start w:val="1"/>
      <w:numFmt w:val="decimal"/>
      <w:lvlText w:val="%1.%2.%3.%4.%5.%6.%7."/>
      <w:lvlJc w:val="left"/>
      <w:pPr>
        <w:tabs>
          <w:tab w:val="num" w:pos="1080"/>
        </w:tabs>
        <w:ind w:left="1080" w:hanging="1080"/>
      </w:pPr>
      <w:rPr>
        <w:b/>
        <w:bCs/>
      </w:rPr>
    </w:lvl>
    <w:lvl w:ilvl="7">
      <w:start w:val="1"/>
      <w:numFmt w:val="decimal"/>
      <w:lvlText w:val="%1.%2.%3.%4.%5.%6.%7.%8."/>
      <w:lvlJc w:val="left"/>
      <w:pPr>
        <w:tabs>
          <w:tab w:val="num" w:pos="1440"/>
        </w:tabs>
        <w:ind w:left="1440" w:hanging="1440"/>
      </w:pPr>
      <w:rPr>
        <w:b/>
        <w:bCs/>
      </w:rPr>
    </w:lvl>
    <w:lvl w:ilvl="8">
      <w:start w:val="1"/>
      <w:numFmt w:val="decimal"/>
      <w:lvlText w:val="%1.%2.%3.%4.%5.%6.%7.%8.%9."/>
      <w:lvlJc w:val="left"/>
      <w:pPr>
        <w:tabs>
          <w:tab w:val="num" w:pos="1440"/>
        </w:tabs>
        <w:ind w:left="1440" w:hanging="1440"/>
      </w:pPr>
      <w:rPr>
        <w:b/>
        <w:bCs/>
      </w:rPr>
    </w:lvl>
  </w:abstractNum>
  <w:abstractNum w:abstractNumId="21" w15:restartNumberingAfterBreak="0">
    <w:nsid w:val="0000006F"/>
    <w:multiLevelType w:val="singleLevel"/>
    <w:tmpl w:val="0000006F"/>
    <w:name w:val="WW8Num133"/>
    <w:lvl w:ilvl="0">
      <w:start w:val="1"/>
      <w:numFmt w:val="bullet"/>
      <w:lvlText w:val="−"/>
      <w:lvlJc w:val="left"/>
      <w:pPr>
        <w:tabs>
          <w:tab w:val="num" w:pos="680"/>
        </w:tabs>
        <w:ind w:left="680" w:hanging="340"/>
      </w:pPr>
      <w:rPr>
        <w:rFonts w:ascii="Verdana" w:hAnsi="Verdana" w:cs="Verdana"/>
      </w:rPr>
    </w:lvl>
  </w:abstractNum>
  <w:abstractNum w:abstractNumId="22" w15:restartNumberingAfterBreak="0">
    <w:nsid w:val="00000072"/>
    <w:multiLevelType w:val="singleLevel"/>
    <w:tmpl w:val="00000072"/>
    <w:name w:val="WW8Num147"/>
    <w:lvl w:ilvl="0">
      <w:start w:val="10"/>
      <w:numFmt w:val="decimal"/>
      <w:lvlText w:val="%1."/>
      <w:lvlJc w:val="left"/>
      <w:pPr>
        <w:tabs>
          <w:tab w:val="num" w:pos="397"/>
        </w:tabs>
        <w:ind w:left="397" w:hanging="397"/>
      </w:pPr>
    </w:lvl>
  </w:abstractNum>
  <w:abstractNum w:abstractNumId="23" w15:restartNumberingAfterBreak="0">
    <w:nsid w:val="0000007D"/>
    <w:multiLevelType w:val="singleLevel"/>
    <w:tmpl w:val="0000007D"/>
    <w:name w:val="WW8Num122"/>
    <w:lvl w:ilvl="0">
      <w:start w:val="1"/>
      <w:numFmt w:val="lowerLetter"/>
      <w:lvlText w:val="%1)"/>
      <w:lvlJc w:val="left"/>
      <w:pPr>
        <w:tabs>
          <w:tab w:val="num" w:pos="283"/>
        </w:tabs>
        <w:ind w:left="283" w:hanging="283"/>
      </w:pPr>
    </w:lvl>
  </w:abstractNum>
  <w:abstractNum w:abstractNumId="24" w15:restartNumberingAfterBreak="0">
    <w:nsid w:val="00000080"/>
    <w:multiLevelType w:val="singleLevel"/>
    <w:tmpl w:val="00000080"/>
    <w:name w:val="WW8Num151"/>
    <w:lvl w:ilvl="0">
      <w:numFmt w:val="bullet"/>
      <w:lvlText w:val=""/>
      <w:lvlJc w:val="left"/>
      <w:pPr>
        <w:tabs>
          <w:tab w:val="num" w:pos="283"/>
        </w:tabs>
        <w:ind w:left="283" w:hanging="283"/>
      </w:pPr>
      <w:rPr>
        <w:rFonts w:ascii="Symbol" w:hAnsi="Symbol" w:cs="Symbol"/>
      </w:rPr>
    </w:lvl>
  </w:abstractNum>
  <w:abstractNum w:abstractNumId="25" w15:restartNumberingAfterBreak="0">
    <w:nsid w:val="00130DF9"/>
    <w:multiLevelType w:val="singleLevel"/>
    <w:tmpl w:val="5A387B10"/>
    <w:lvl w:ilvl="0">
      <w:start w:val="1"/>
      <w:numFmt w:val="lowerLetter"/>
      <w:lvlText w:val="%1)"/>
      <w:legacy w:legacy="1" w:legacySpace="0" w:legacyIndent="283"/>
      <w:lvlJc w:val="left"/>
      <w:pPr>
        <w:ind w:left="283" w:hanging="283"/>
      </w:pPr>
    </w:lvl>
  </w:abstractNum>
  <w:abstractNum w:abstractNumId="26" w15:restartNumberingAfterBreak="0">
    <w:nsid w:val="00A730D9"/>
    <w:multiLevelType w:val="singleLevel"/>
    <w:tmpl w:val="662C28BC"/>
    <w:lvl w:ilvl="0">
      <w:start w:val="2"/>
      <w:numFmt w:val="decimal"/>
      <w:lvlText w:val="5.5.5.%1. "/>
      <w:legacy w:legacy="1" w:legacySpace="0" w:legacyIndent="283"/>
      <w:lvlJc w:val="left"/>
      <w:pPr>
        <w:ind w:left="283" w:hanging="283"/>
      </w:pPr>
      <w:rPr>
        <w:rFonts w:ascii="Times New Roman" w:hAnsi="Times New Roman" w:cs="Times New Roman" w:hint="default"/>
        <w:b w:val="0"/>
        <w:i w:val="0"/>
        <w:sz w:val="20"/>
        <w:u w:val="none"/>
      </w:rPr>
    </w:lvl>
  </w:abstractNum>
  <w:abstractNum w:abstractNumId="27" w15:restartNumberingAfterBreak="0">
    <w:nsid w:val="00C94166"/>
    <w:multiLevelType w:val="singleLevel"/>
    <w:tmpl w:val="49443C24"/>
    <w:lvl w:ilvl="0">
      <w:start w:val="4"/>
      <w:numFmt w:val="decimal"/>
      <w:lvlText w:val="2.4.%1. "/>
      <w:legacy w:legacy="1" w:legacySpace="0" w:legacyIndent="283"/>
      <w:lvlJc w:val="left"/>
      <w:pPr>
        <w:ind w:left="283" w:hanging="283"/>
      </w:pPr>
      <w:rPr>
        <w:rFonts w:ascii="Times New Roman" w:hAnsi="Times New Roman" w:cs="Times New Roman" w:hint="default"/>
        <w:b/>
        <w:i w:val="0"/>
        <w:sz w:val="20"/>
        <w:u w:val="none"/>
      </w:rPr>
    </w:lvl>
  </w:abstractNum>
  <w:abstractNum w:abstractNumId="28" w15:restartNumberingAfterBreak="0">
    <w:nsid w:val="017E68D7"/>
    <w:multiLevelType w:val="singleLevel"/>
    <w:tmpl w:val="BF7ECB7E"/>
    <w:name w:val="WW8Num164"/>
    <w:lvl w:ilvl="0">
      <w:start w:val="1"/>
      <w:numFmt w:val="decimal"/>
      <w:lvlText w:val="%1)"/>
      <w:legacy w:legacy="1" w:legacySpace="0" w:legacyIndent="283"/>
      <w:lvlJc w:val="left"/>
      <w:pPr>
        <w:ind w:left="283" w:hanging="283"/>
      </w:pPr>
    </w:lvl>
  </w:abstractNum>
  <w:abstractNum w:abstractNumId="29" w15:restartNumberingAfterBreak="0">
    <w:nsid w:val="035E4C2F"/>
    <w:multiLevelType w:val="singleLevel"/>
    <w:tmpl w:val="5A387B10"/>
    <w:lvl w:ilvl="0">
      <w:start w:val="1"/>
      <w:numFmt w:val="lowerLetter"/>
      <w:lvlText w:val="%1)"/>
      <w:legacy w:legacy="1" w:legacySpace="0" w:legacyIndent="283"/>
      <w:lvlJc w:val="left"/>
      <w:pPr>
        <w:ind w:left="283" w:hanging="283"/>
      </w:pPr>
    </w:lvl>
  </w:abstractNum>
  <w:abstractNum w:abstractNumId="30" w15:restartNumberingAfterBreak="0">
    <w:nsid w:val="04141ABE"/>
    <w:multiLevelType w:val="singleLevel"/>
    <w:tmpl w:val="9910A9B2"/>
    <w:lvl w:ilvl="0">
      <w:start w:val="1"/>
      <w:numFmt w:val="lowerLetter"/>
      <w:lvlText w:val="%1)"/>
      <w:legacy w:legacy="1" w:legacySpace="0" w:legacyIndent="283"/>
      <w:lvlJc w:val="left"/>
      <w:pPr>
        <w:ind w:left="283" w:hanging="283"/>
      </w:pPr>
    </w:lvl>
  </w:abstractNum>
  <w:abstractNum w:abstractNumId="31" w15:restartNumberingAfterBreak="0">
    <w:nsid w:val="04740696"/>
    <w:multiLevelType w:val="hybridMultilevel"/>
    <w:tmpl w:val="A7061D0C"/>
    <w:lvl w:ilvl="0" w:tplc="1946176E">
      <w:start w:val="1"/>
      <w:numFmt w:val="bullet"/>
      <w:lvlText w:val=""/>
      <w:lvlJc w:val="left"/>
      <w:pPr>
        <w:ind w:left="720" w:hanging="360"/>
      </w:pPr>
      <w:rPr>
        <w:rFonts w:ascii="Symbol" w:hAnsi="Symbol" w:hint="default"/>
      </w:rPr>
    </w:lvl>
    <w:lvl w:ilvl="1" w:tplc="3FF054B0" w:tentative="1">
      <w:start w:val="1"/>
      <w:numFmt w:val="bullet"/>
      <w:lvlText w:val="o"/>
      <w:lvlJc w:val="left"/>
      <w:pPr>
        <w:ind w:left="1440" w:hanging="360"/>
      </w:pPr>
      <w:rPr>
        <w:rFonts w:ascii="Courier New" w:hAnsi="Courier New" w:cs="Courier New" w:hint="default"/>
      </w:rPr>
    </w:lvl>
    <w:lvl w:ilvl="2" w:tplc="7B4815C6" w:tentative="1">
      <w:start w:val="1"/>
      <w:numFmt w:val="bullet"/>
      <w:lvlText w:val=""/>
      <w:lvlJc w:val="left"/>
      <w:pPr>
        <w:ind w:left="2160" w:hanging="360"/>
      </w:pPr>
      <w:rPr>
        <w:rFonts w:ascii="Wingdings" w:hAnsi="Wingdings" w:hint="default"/>
      </w:rPr>
    </w:lvl>
    <w:lvl w:ilvl="3" w:tplc="A6EE7EB4" w:tentative="1">
      <w:start w:val="1"/>
      <w:numFmt w:val="bullet"/>
      <w:lvlText w:val=""/>
      <w:lvlJc w:val="left"/>
      <w:pPr>
        <w:ind w:left="2880" w:hanging="360"/>
      </w:pPr>
      <w:rPr>
        <w:rFonts w:ascii="Symbol" w:hAnsi="Symbol" w:hint="default"/>
      </w:rPr>
    </w:lvl>
    <w:lvl w:ilvl="4" w:tplc="545A6DF4" w:tentative="1">
      <w:start w:val="1"/>
      <w:numFmt w:val="bullet"/>
      <w:lvlText w:val="o"/>
      <w:lvlJc w:val="left"/>
      <w:pPr>
        <w:ind w:left="3600" w:hanging="360"/>
      </w:pPr>
      <w:rPr>
        <w:rFonts w:ascii="Courier New" w:hAnsi="Courier New" w:cs="Courier New" w:hint="default"/>
      </w:rPr>
    </w:lvl>
    <w:lvl w:ilvl="5" w:tplc="832EDB22" w:tentative="1">
      <w:start w:val="1"/>
      <w:numFmt w:val="bullet"/>
      <w:lvlText w:val=""/>
      <w:lvlJc w:val="left"/>
      <w:pPr>
        <w:ind w:left="4320" w:hanging="360"/>
      </w:pPr>
      <w:rPr>
        <w:rFonts w:ascii="Wingdings" w:hAnsi="Wingdings" w:hint="default"/>
      </w:rPr>
    </w:lvl>
    <w:lvl w:ilvl="6" w:tplc="4C3269C4" w:tentative="1">
      <w:start w:val="1"/>
      <w:numFmt w:val="bullet"/>
      <w:lvlText w:val=""/>
      <w:lvlJc w:val="left"/>
      <w:pPr>
        <w:ind w:left="5040" w:hanging="360"/>
      </w:pPr>
      <w:rPr>
        <w:rFonts w:ascii="Symbol" w:hAnsi="Symbol" w:hint="default"/>
      </w:rPr>
    </w:lvl>
    <w:lvl w:ilvl="7" w:tplc="EE8E568C" w:tentative="1">
      <w:start w:val="1"/>
      <w:numFmt w:val="bullet"/>
      <w:lvlText w:val="o"/>
      <w:lvlJc w:val="left"/>
      <w:pPr>
        <w:ind w:left="5760" w:hanging="360"/>
      </w:pPr>
      <w:rPr>
        <w:rFonts w:ascii="Courier New" w:hAnsi="Courier New" w:cs="Courier New" w:hint="default"/>
      </w:rPr>
    </w:lvl>
    <w:lvl w:ilvl="8" w:tplc="C010BF2C" w:tentative="1">
      <w:start w:val="1"/>
      <w:numFmt w:val="bullet"/>
      <w:lvlText w:val=""/>
      <w:lvlJc w:val="left"/>
      <w:pPr>
        <w:ind w:left="6480" w:hanging="360"/>
      </w:pPr>
      <w:rPr>
        <w:rFonts w:ascii="Wingdings" w:hAnsi="Wingdings" w:hint="default"/>
      </w:rPr>
    </w:lvl>
  </w:abstractNum>
  <w:abstractNum w:abstractNumId="32" w15:restartNumberingAfterBreak="0">
    <w:nsid w:val="04740D65"/>
    <w:multiLevelType w:val="hybridMultilevel"/>
    <w:tmpl w:val="1C8EC5E6"/>
    <w:lvl w:ilvl="0" w:tplc="3742499C">
      <w:start w:val="1"/>
      <w:numFmt w:val="decimal"/>
      <w:lvlText w:val="%1."/>
      <w:lvlJc w:val="left"/>
      <w:pPr>
        <w:ind w:left="720" w:hanging="360"/>
      </w:pPr>
    </w:lvl>
    <w:lvl w:ilvl="1" w:tplc="76A635B2">
      <w:start w:val="1"/>
      <w:numFmt w:val="lowerLetter"/>
      <w:lvlText w:val="%2."/>
      <w:lvlJc w:val="left"/>
      <w:pPr>
        <w:ind w:left="1440" w:hanging="360"/>
      </w:pPr>
    </w:lvl>
    <w:lvl w:ilvl="2" w:tplc="3FE46764">
      <w:start w:val="1"/>
      <w:numFmt w:val="lowerRoman"/>
      <w:lvlText w:val="%3."/>
      <w:lvlJc w:val="right"/>
      <w:pPr>
        <w:ind w:left="2160" w:hanging="180"/>
      </w:pPr>
    </w:lvl>
    <w:lvl w:ilvl="3" w:tplc="E8C2DD54">
      <w:start w:val="1"/>
      <w:numFmt w:val="decimal"/>
      <w:lvlText w:val="%4."/>
      <w:lvlJc w:val="left"/>
      <w:pPr>
        <w:ind w:left="2880" w:hanging="360"/>
      </w:pPr>
    </w:lvl>
    <w:lvl w:ilvl="4" w:tplc="7C5EB810">
      <w:start w:val="1"/>
      <w:numFmt w:val="lowerLetter"/>
      <w:lvlText w:val="%5."/>
      <w:lvlJc w:val="left"/>
      <w:pPr>
        <w:ind w:left="3600" w:hanging="360"/>
      </w:pPr>
    </w:lvl>
    <w:lvl w:ilvl="5" w:tplc="CD76D068">
      <w:start w:val="1"/>
      <w:numFmt w:val="lowerRoman"/>
      <w:lvlText w:val="%6."/>
      <w:lvlJc w:val="right"/>
      <w:pPr>
        <w:ind w:left="4320" w:hanging="180"/>
      </w:pPr>
    </w:lvl>
    <w:lvl w:ilvl="6" w:tplc="E65CF67C">
      <w:start w:val="1"/>
      <w:numFmt w:val="decimal"/>
      <w:lvlText w:val="%7."/>
      <w:lvlJc w:val="left"/>
      <w:pPr>
        <w:ind w:left="5040" w:hanging="360"/>
      </w:pPr>
    </w:lvl>
    <w:lvl w:ilvl="7" w:tplc="B7CE0F0C">
      <w:start w:val="1"/>
      <w:numFmt w:val="lowerLetter"/>
      <w:lvlText w:val="%8."/>
      <w:lvlJc w:val="left"/>
      <w:pPr>
        <w:ind w:left="5760" w:hanging="360"/>
      </w:pPr>
    </w:lvl>
    <w:lvl w:ilvl="8" w:tplc="A1E65E02">
      <w:start w:val="1"/>
      <w:numFmt w:val="lowerRoman"/>
      <w:lvlText w:val="%9."/>
      <w:lvlJc w:val="right"/>
      <w:pPr>
        <w:ind w:left="6480" w:hanging="180"/>
      </w:pPr>
    </w:lvl>
  </w:abstractNum>
  <w:abstractNum w:abstractNumId="33" w15:restartNumberingAfterBreak="0">
    <w:nsid w:val="048D4243"/>
    <w:multiLevelType w:val="hybridMultilevel"/>
    <w:tmpl w:val="7850F9F8"/>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04AB528F"/>
    <w:multiLevelType w:val="multilevel"/>
    <w:tmpl w:val="4A96CFE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 w15:restartNumberingAfterBreak="0">
    <w:nsid w:val="056A6B40"/>
    <w:multiLevelType w:val="singleLevel"/>
    <w:tmpl w:val="791EFAFA"/>
    <w:lvl w:ilvl="0">
      <w:start w:val="1"/>
      <w:numFmt w:val="decimal"/>
      <w:lvlText w:val="1.4.%1. "/>
      <w:legacy w:legacy="1" w:legacySpace="0" w:legacyIndent="283"/>
      <w:lvlJc w:val="left"/>
      <w:pPr>
        <w:ind w:left="283" w:hanging="283"/>
      </w:pPr>
      <w:rPr>
        <w:rFonts w:ascii="Times New Roman" w:hAnsi="Times New Roman" w:cs="Times New Roman" w:hint="default"/>
        <w:b/>
        <w:i w:val="0"/>
        <w:sz w:val="20"/>
        <w:u w:val="none"/>
      </w:rPr>
    </w:lvl>
  </w:abstractNum>
  <w:abstractNum w:abstractNumId="36" w15:restartNumberingAfterBreak="0">
    <w:nsid w:val="05F4088F"/>
    <w:multiLevelType w:val="singleLevel"/>
    <w:tmpl w:val="DAB4AD32"/>
    <w:lvl w:ilvl="0">
      <w:start w:val="1"/>
      <w:numFmt w:val="lowerLetter"/>
      <w:lvlText w:val="%1)"/>
      <w:legacy w:legacy="1" w:legacySpace="0" w:legacyIndent="283"/>
      <w:lvlJc w:val="left"/>
      <w:pPr>
        <w:ind w:left="283" w:hanging="283"/>
      </w:pPr>
    </w:lvl>
  </w:abstractNum>
  <w:abstractNum w:abstractNumId="37" w15:restartNumberingAfterBreak="0">
    <w:nsid w:val="06533DA1"/>
    <w:multiLevelType w:val="singleLevel"/>
    <w:tmpl w:val="E8967304"/>
    <w:lvl w:ilvl="0">
      <w:start w:val="1"/>
      <w:numFmt w:val="lowerLetter"/>
      <w:lvlText w:val="%1)"/>
      <w:legacy w:legacy="1" w:legacySpace="0" w:legacyIndent="283"/>
      <w:lvlJc w:val="left"/>
      <w:pPr>
        <w:ind w:left="283" w:hanging="283"/>
      </w:pPr>
    </w:lvl>
  </w:abstractNum>
  <w:abstractNum w:abstractNumId="38" w15:restartNumberingAfterBreak="0">
    <w:nsid w:val="068E1A6A"/>
    <w:multiLevelType w:val="singleLevel"/>
    <w:tmpl w:val="2A3A8000"/>
    <w:lvl w:ilvl="0">
      <w:start w:val="7"/>
      <w:numFmt w:val="decimal"/>
      <w:lvlText w:val="2.14.%1. "/>
      <w:legacy w:legacy="1" w:legacySpace="0" w:legacyIndent="283"/>
      <w:lvlJc w:val="left"/>
      <w:pPr>
        <w:ind w:left="283" w:hanging="283"/>
      </w:pPr>
      <w:rPr>
        <w:rFonts w:ascii="Times New Roman" w:hAnsi="Times New Roman" w:cs="Times New Roman" w:hint="default"/>
        <w:b/>
        <w:i w:val="0"/>
        <w:sz w:val="20"/>
        <w:u w:val="none"/>
      </w:rPr>
    </w:lvl>
  </w:abstractNum>
  <w:abstractNum w:abstractNumId="39" w15:restartNumberingAfterBreak="0">
    <w:nsid w:val="068F5749"/>
    <w:multiLevelType w:val="singleLevel"/>
    <w:tmpl w:val="AA143E02"/>
    <w:lvl w:ilvl="0">
      <w:start w:val="3"/>
      <w:numFmt w:val="decimal"/>
      <w:lvlText w:val="5.5.%1. "/>
      <w:legacy w:legacy="1" w:legacySpace="0" w:legacyIndent="283"/>
      <w:lvlJc w:val="left"/>
      <w:pPr>
        <w:ind w:left="283" w:hanging="283"/>
      </w:pPr>
      <w:rPr>
        <w:rFonts w:ascii="Times New Roman" w:hAnsi="Times New Roman" w:cs="Times New Roman" w:hint="default"/>
        <w:b/>
        <w:i w:val="0"/>
        <w:sz w:val="20"/>
        <w:u w:val="none"/>
      </w:rPr>
    </w:lvl>
  </w:abstractNum>
  <w:abstractNum w:abstractNumId="40" w15:restartNumberingAfterBreak="0">
    <w:nsid w:val="071316A1"/>
    <w:multiLevelType w:val="hybridMultilevel"/>
    <w:tmpl w:val="2654C72A"/>
    <w:lvl w:ilvl="0" w:tplc="FE48C3D4">
      <w:start w:val="1"/>
      <w:numFmt w:val="bullet"/>
      <w:lvlText w:val=""/>
      <w:lvlJc w:val="left"/>
      <w:pPr>
        <w:ind w:left="720" w:hanging="360"/>
      </w:pPr>
      <w:rPr>
        <w:rFonts w:ascii="Symbol" w:hAnsi="Symbol" w:hint="default"/>
      </w:rPr>
    </w:lvl>
    <w:lvl w:ilvl="1" w:tplc="3C7A6AE0" w:tentative="1">
      <w:start w:val="1"/>
      <w:numFmt w:val="bullet"/>
      <w:lvlText w:val="o"/>
      <w:lvlJc w:val="left"/>
      <w:pPr>
        <w:ind w:left="1440" w:hanging="360"/>
      </w:pPr>
      <w:rPr>
        <w:rFonts w:ascii="Courier New" w:hAnsi="Courier New" w:cs="Courier New" w:hint="default"/>
      </w:rPr>
    </w:lvl>
    <w:lvl w:ilvl="2" w:tplc="A43067E8" w:tentative="1">
      <w:start w:val="1"/>
      <w:numFmt w:val="bullet"/>
      <w:lvlText w:val=""/>
      <w:lvlJc w:val="left"/>
      <w:pPr>
        <w:ind w:left="2160" w:hanging="360"/>
      </w:pPr>
      <w:rPr>
        <w:rFonts w:ascii="Wingdings" w:hAnsi="Wingdings" w:hint="default"/>
      </w:rPr>
    </w:lvl>
    <w:lvl w:ilvl="3" w:tplc="D046A76E" w:tentative="1">
      <w:start w:val="1"/>
      <w:numFmt w:val="bullet"/>
      <w:lvlText w:val=""/>
      <w:lvlJc w:val="left"/>
      <w:pPr>
        <w:ind w:left="2880" w:hanging="360"/>
      </w:pPr>
      <w:rPr>
        <w:rFonts w:ascii="Symbol" w:hAnsi="Symbol" w:hint="default"/>
      </w:rPr>
    </w:lvl>
    <w:lvl w:ilvl="4" w:tplc="9A40109C" w:tentative="1">
      <w:start w:val="1"/>
      <w:numFmt w:val="bullet"/>
      <w:lvlText w:val="o"/>
      <w:lvlJc w:val="left"/>
      <w:pPr>
        <w:ind w:left="3600" w:hanging="360"/>
      </w:pPr>
      <w:rPr>
        <w:rFonts w:ascii="Courier New" w:hAnsi="Courier New" w:cs="Courier New" w:hint="default"/>
      </w:rPr>
    </w:lvl>
    <w:lvl w:ilvl="5" w:tplc="B6849812" w:tentative="1">
      <w:start w:val="1"/>
      <w:numFmt w:val="bullet"/>
      <w:lvlText w:val=""/>
      <w:lvlJc w:val="left"/>
      <w:pPr>
        <w:ind w:left="4320" w:hanging="360"/>
      </w:pPr>
      <w:rPr>
        <w:rFonts w:ascii="Wingdings" w:hAnsi="Wingdings" w:hint="default"/>
      </w:rPr>
    </w:lvl>
    <w:lvl w:ilvl="6" w:tplc="9A868D0C" w:tentative="1">
      <w:start w:val="1"/>
      <w:numFmt w:val="bullet"/>
      <w:lvlText w:val=""/>
      <w:lvlJc w:val="left"/>
      <w:pPr>
        <w:ind w:left="5040" w:hanging="360"/>
      </w:pPr>
      <w:rPr>
        <w:rFonts w:ascii="Symbol" w:hAnsi="Symbol" w:hint="default"/>
      </w:rPr>
    </w:lvl>
    <w:lvl w:ilvl="7" w:tplc="9F84031E" w:tentative="1">
      <w:start w:val="1"/>
      <w:numFmt w:val="bullet"/>
      <w:lvlText w:val="o"/>
      <w:lvlJc w:val="left"/>
      <w:pPr>
        <w:ind w:left="5760" w:hanging="360"/>
      </w:pPr>
      <w:rPr>
        <w:rFonts w:ascii="Courier New" w:hAnsi="Courier New" w:cs="Courier New" w:hint="default"/>
      </w:rPr>
    </w:lvl>
    <w:lvl w:ilvl="8" w:tplc="09BCC0EA" w:tentative="1">
      <w:start w:val="1"/>
      <w:numFmt w:val="bullet"/>
      <w:lvlText w:val=""/>
      <w:lvlJc w:val="left"/>
      <w:pPr>
        <w:ind w:left="6480" w:hanging="360"/>
      </w:pPr>
      <w:rPr>
        <w:rFonts w:ascii="Wingdings" w:hAnsi="Wingdings" w:hint="default"/>
      </w:rPr>
    </w:lvl>
  </w:abstractNum>
  <w:abstractNum w:abstractNumId="41" w15:restartNumberingAfterBreak="0">
    <w:nsid w:val="07253F62"/>
    <w:multiLevelType w:val="singleLevel"/>
    <w:tmpl w:val="8FD2E7BE"/>
    <w:lvl w:ilvl="0">
      <w:start w:val="1"/>
      <w:numFmt w:val="decimal"/>
      <w:lvlText w:val="2.6.%1. "/>
      <w:legacy w:legacy="1" w:legacySpace="0" w:legacyIndent="283"/>
      <w:lvlJc w:val="left"/>
      <w:pPr>
        <w:ind w:left="283" w:hanging="283"/>
      </w:pPr>
      <w:rPr>
        <w:rFonts w:ascii="Times New Roman" w:hAnsi="Times New Roman" w:cs="Times New Roman" w:hint="default"/>
        <w:b/>
        <w:i w:val="0"/>
        <w:sz w:val="20"/>
        <w:u w:val="none"/>
      </w:rPr>
    </w:lvl>
  </w:abstractNum>
  <w:abstractNum w:abstractNumId="42" w15:restartNumberingAfterBreak="0">
    <w:nsid w:val="08AA09C2"/>
    <w:multiLevelType w:val="hybridMultilevel"/>
    <w:tmpl w:val="16BC9F5C"/>
    <w:lvl w:ilvl="0" w:tplc="256E6BD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097F0268"/>
    <w:multiLevelType w:val="hybridMultilevel"/>
    <w:tmpl w:val="FA2049A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098867FB"/>
    <w:multiLevelType w:val="hybridMultilevel"/>
    <w:tmpl w:val="D5163BEC"/>
    <w:lvl w:ilvl="0" w:tplc="15D4DB40">
      <w:start w:val="1"/>
      <w:numFmt w:val="decimal"/>
      <w:lvlText w:val="%1."/>
      <w:lvlJc w:val="left"/>
      <w:pPr>
        <w:tabs>
          <w:tab w:val="num" w:pos="720"/>
        </w:tabs>
        <w:ind w:left="720" w:hanging="360"/>
      </w:pPr>
      <w:rPr>
        <w:rFonts w:hint="default"/>
      </w:rPr>
    </w:lvl>
    <w:lvl w:ilvl="1" w:tplc="DCA438C4">
      <w:start w:val="1"/>
      <w:numFmt w:val="lowerLetter"/>
      <w:lvlText w:val="%2."/>
      <w:lvlJc w:val="left"/>
      <w:pPr>
        <w:tabs>
          <w:tab w:val="num" w:pos="1440"/>
        </w:tabs>
        <w:ind w:left="1440" w:hanging="360"/>
      </w:pPr>
    </w:lvl>
    <w:lvl w:ilvl="2" w:tplc="115A1F3A">
      <w:start w:val="1"/>
      <w:numFmt w:val="lowerRoman"/>
      <w:lvlText w:val="%3."/>
      <w:lvlJc w:val="right"/>
      <w:pPr>
        <w:tabs>
          <w:tab w:val="num" w:pos="2160"/>
        </w:tabs>
        <w:ind w:left="2160" w:hanging="180"/>
      </w:pPr>
    </w:lvl>
    <w:lvl w:ilvl="3" w:tplc="4C32A5EA">
      <w:start w:val="1"/>
      <w:numFmt w:val="decimal"/>
      <w:lvlText w:val="%4."/>
      <w:lvlJc w:val="left"/>
      <w:pPr>
        <w:tabs>
          <w:tab w:val="num" w:pos="2880"/>
        </w:tabs>
        <w:ind w:left="2880" w:hanging="360"/>
      </w:pPr>
    </w:lvl>
    <w:lvl w:ilvl="4" w:tplc="6FD8193C">
      <w:start w:val="1"/>
      <w:numFmt w:val="lowerLetter"/>
      <w:lvlText w:val="%5."/>
      <w:lvlJc w:val="left"/>
      <w:pPr>
        <w:tabs>
          <w:tab w:val="num" w:pos="3600"/>
        </w:tabs>
        <w:ind w:left="3600" w:hanging="360"/>
      </w:pPr>
    </w:lvl>
    <w:lvl w:ilvl="5" w:tplc="820CA030">
      <w:start w:val="1"/>
      <w:numFmt w:val="lowerRoman"/>
      <w:lvlText w:val="%6."/>
      <w:lvlJc w:val="right"/>
      <w:pPr>
        <w:tabs>
          <w:tab w:val="num" w:pos="4320"/>
        </w:tabs>
        <w:ind w:left="4320" w:hanging="180"/>
      </w:pPr>
    </w:lvl>
    <w:lvl w:ilvl="6" w:tplc="D17644A2">
      <w:start w:val="1"/>
      <w:numFmt w:val="decimal"/>
      <w:lvlText w:val="%7."/>
      <w:lvlJc w:val="left"/>
      <w:pPr>
        <w:tabs>
          <w:tab w:val="num" w:pos="5040"/>
        </w:tabs>
        <w:ind w:left="5040" w:hanging="360"/>
      </w:pPr>
    </w:lvl>
    <w:lvl w:ilvl="7" w:tplc="6406A294">
      <w:start w:val="1"/>
      <w:numFmt w:val="lowerLetter"/>
      <w:lvlText w:val="%8."/>
      <w:lvlJc w:val="left"/>
      <w:pPr>
        <w:tabs>
          <w:tab w:val="num" w:pos="5760"/>
        </w:tabs>
        <w:ind w:left="5760" w:hanging="360"/>
      </w:pPr>
    </w:lvl>
    <w:lvl w:ilvl="8" w:tplc="A942FAE6">
      <w:start w:val="1"/>
      <w:numFmt w:val="lowerRoman"/>
      <w:lvlText w:val="%9."/>
      <w:lvlJc w:val="right"/>
      <w:pPr>
        <w:tabs>
          <w:tab w:val="num" w:pos="6480"/>
        </w:tabs>
        <w:ind w:left="6480" w:hanging="180"/>
      </w:pPr>
    </w:lvl>
  </w:abstractNum>
  <w:abstractNum w:abstractNumId="45" w15:restartNumberingAfterBreak="0">
    <w:nsid w:val="09C75425"/>
    <w:multiLevelType w:val="singleLevel"/>
    <w:tmpl w:val="CFEC34E8"/>
    <w:lvl w:ilvl="0">
      <w:start w:val="8"/>
      <w:numFmt w:val="decimal"/>
      <w:lvlText w:val="2.5.%1. "/>
      <w:legacy w:legacy="1" w:legacySpace="0" w:legacyIndent="283"/>
      <w:lvlJc w:val="left"/>
      <w:pPr>
        <w:ind w:left="283" w:hanging="283"/>
      </w:pPr>
      <w:rPr>
        <w:rFonts w:ascii="Times New Roman" w:hAnsi="Times New Roman" w:cs="Times New Roman" w:hint="default"/>
        <w:b/>
        <w:i w:val="0"/>
        <w:sz w:val="20"/>
        <w:u w:val="none"/>
      </w:rPr>
    </w:lvl>
  </w:abstractNum>
  <w:abstractNum w:abstractNumId="46" w15:restartNumberingAfterBreak="0">
    <w:nsid w:val="0A272D45"/>
    <w:multiLevelType w:val="hybridMultilevel"/>
    <w:tmpl w:val="E8A0E604"/>
    <w:lvl w:ilvl="0" w:tplc="0415000F">
      <w:start w:val="1"/>
      <w:numFmt w:val="bullet"/>
      <w:lvlText w:val="−"/>
      <w:lvlJc w:val="left"/>
      <w:pPr>
        <w:tabs>
          <w:tab w:val="num" w:pos="680"/>
        </w:tabs>
        <w:ind w:left="680" w:hanging="340"/>
      </w:pPr>
      <w:rPr>
        <w:rFonts w:ascii="Verdana" w:hAnsi="Verdana" w:cs="Verdana" w:hint="default"/>
      </w:rPr>
    </w:lvl>
    <w:lvl w:ilvl="1" w:tplc="04150019">
      <w:start w:val="1"/>
      <w:numFmt w:val="bullet"/>
      <w:lvlText w:val="o"/>
      <w:lvlJc w:val="left"/>
      <w:pPr>
        <w:tabs>
          <w:tab w:val="num" w:pos="1440"/>
        </w:tabs>
        <w:ind w:left="1440" w:hanging="360"/>
      </w:pPr>
      <w:rPr>
        <w:rFonts w:ascii="Courier New" w:hAnsi="Courier New" w:cs="Courier New" w:hint="default"/>
      </w:rPr>
    </w:lvl>
    <w:lvl w:ilvl="2" w:tplc="0415001B">
      <w:start w:val="1"/>
      <w:numFmt w:val="bullet"/>
      <w:lvlText w:val=""/>
      <w:lvlJc w:val="left"/>
      <w:pPr>
        <w:tabs>
          <w:tab w:val="num" w:pos="2160"/>
        </w:tabs>
        <w:ind w:left="2160" w:hanging="360"/>
      </w:pPr>
      <w:rPr>
        <w:rFonts w:ascii="Wingdings" w:hAnsi="Wingdings" w:cs="Wingdings" w:hint="default"/>
      </w:rPr>
    </w:lvl>
    <w:lvl w:ilvl="3" w:tplc="0415000F">
      <w:start w:val="1"/>
      <w:numFmt w:val="bullet"/>
      <w:lvlText w:val=""/>
      <w:lvlJc w:val="left"/>
      <w:pPr>
        <w:tabs>
          <w:tab w:val="num" w:pos="2880"/>
        </w:tabs>
        <w:ind w:left="2880" w:hanging="360"/>
      </w:pPr>
      <w:rPr>
        <w:rFonts w:ascii="Symbol" w:hAnsi="Symbol" w:cs="Symbol" w:hint="default"/>
      </w:rPr>
    </w:lvl>
    <w:lvl w:ilvl="4" w:tplc="04150019">
      <w:start w:val="1"/>
      <w:numFmt w:val="bullet"/>
      <w:lvlText w:val="o"/>
      <w:lvlJc w:val="left"/>
      <w:pPr>
        <w:tabs>
          <w:tab w:val="num" w:pos="3600"/>
        </w:tabs>
        <w:ind w:left="3600" w:hanging="360"/>
      </w:pPr>
      <w:rPr>
        <w:rFonts w:ascii="Courier New" w:hAnsi="Courier New" w:cs="Courier New" w:hint="default"/>
      </w:rPr>
    </w:lvl>
    <w:lvl w:ilvl="5" w:tplc="0415001B">
      <w:start w:val="1"/>
      <w:numFmt w:val="bullet"/>
      <w:lvlText w:val=""/>
      <w:lvlJc w:val="left"/>
      <w:pPr>
        <w:tabs>
          <w:tab w:val="num" w:pos="4320"/>
        </w:tabs>
        <w:ind w:left="4320" w:hanging="360"/>
      </w:pPr>
      <w:rPr>
        <w:rFonts w:ascii="Wingdings" w:hAnsi="Wingdings" w:cs="Wingdings" w:hint="default"/>
      </w:rPr>
    </w:lvl>
    <w:lvl w:ilvl="6" w:tplc="0415000F">
      <w:start w:val="1"/>
      <w:numFmt w:val="bullet"/>
      <w:lvlText w:val=""/>
      <w:lvlJc w:val="left"/>
      <w:pPr>
        <w:tabs>
          <w:tab w:val="num" w:pos="5040"/>
        </w:tabs>
        <w:ind w:left="5040" w:hanging="360"/>
      </w:pPr>
      <w:rPr>
        <w:rFonts w:ascii="Symbol" w:hAnsi="Symbol" w:cs="Symbol" w:hint="default"/>
      </w:rPr>
    </w:lvl>
    <w:lvl w:ilvl="7" w:tplc="04150019">
      <w:start w:val="1"/>
      <w:numFmt w:val="bullet"/>
      <w:lvlText w:val="o"/>
      <w:lvlJc w:val="left"/>
      <w:pPr>
        <w:tabs>
          <w:tab w:val="num" w:pos="5760"/>
        </w:tabs>
        <w:ind w:left="5760" w:hanging="360"/>
      </w:pPr>
      <w:rPr>
        <w:rFonts w:ascii="Courier New" w:hAnsi="Courier New" w:cs="Courier New" w:hint="default"/>
      </w:rPr>
    </w:lvl>
    <w:lvl w:ilvl="8" w:tplc="0415001B">
      <w:start w:val="1"/>
      <w:numFmt w:val="bullet"/>
      <w:lvlText w:val=""/>
      <w:lvlJc w:val="left"/>
      <w:pPr>
        <w:tabs>
          <w:tab w:val="num" w:pos="6480"/>
        </w:tabs>
        <w:ind w:left="6480" w:hanging="360"/>
      </w:pPr>
      <w:rPr>
        <w:rFonts w:ascii="Wingdings" w:hAnsi="Wingdings" w:cs="Wingdings" w:hint="default"/>
      </w:rPr>
    </w:lvl>
  </w:abstractNum>
  <w:abstractNum w:abstractNumId="47" w15:restartNumberingAfterBreak="0">
    <w:nsid w:val="0A7135F0"/>
    <w:multiLevelType w:val="hybridMultilevel"/>
    <w:tmpl w:val="0DCCA636"/>
    <w:lvl w:ilvl="0" w:tplc="15D4DB40">
      <w:start w:val="1"/>
      <w:numFmt w:val="bullet"/>
      <w:lvlText w:val=""/>
      <w:lvlJc w:val="left"/>
      <w:pPr>
        <w:ind w:left="720" w:hanging="360"/>
      </w:pPr>
      <w:rPr>
        <w:rFonts w:ascii="Symbol" w:hAnsi="Symbol" w:hint="default"/>
      </w:rPr>
    </w:lvl>
    <w:lvl w:ilvl="1" w:tplc="DCA438C4" w:tentative="1">
      <w:start w:val="1"/>
      <w:numFmt w:val="bullet"/>
      <w:lvlText w:val="o"/>
      <w:lvlJc w:val="left"/>
      <w:pPr>
        <w:ind w:left="1440" w:hanging="360"/>
      </w:pPr>
      <w:rPr>
        <w:rFonts w:ascii="Courier New" w:hAnsi="Courier New" w:cs="Courier New" w:hint="default"/>
      </w:rPr>
    </w:lvl>
    <w:lvl w:ilvl="2" w:tplc="115A1F3A" w:tentative="1">
      <w:start w:val="1"/>
      <w:numFmt w:val="bullet"/>
      <w:lvlText w:val=""/>
      <w:lvlJc w:val="left"/>
      <w:pPr>
        <w:ind w:left="2160" w:hanging="360"/>
      </w:pPr>
      <w:rPr>
        <w:rFonts w:ascii="Wingdings" w:hAnsi="Wingdings" w:hint="default"/>
      </w:rPr>
    </w:lvl>
    <w:lvl w:ilvl="3" w:tplc="4C32A5EA" w:tentative="1">
      <w:start w:val="1"/>
      <w:numFmt w:val="bullet"/>
      <w:lvlText w:val=""/>
      <w:lvlJc w:val="left"/>
      <w:pPr>
        <w:ind w:left="2880" w:hanging="360"/>
      </w:pPr>
      <w:rPr>
        <w:rFonts w:ascii="Symbol" w:hAnsi="Symbol" w:hint="default"/>
      </w:rPr>
    </w:lvl>
    <w:lvl w:ilvl="4" w:tplc="6FD8193C" w:tentative="1">
      <w:start w:val="1"/>
      <w:numFmt w:val="bullet"/>
      <w:lvlText w:val="o"/>
      <w:lvlJc w:val="left"/>
      <w:pPr>
        <w:ind w:left="3600" w:hanging="360"/>
      </w:pPr>
      <w:rPr>
        <w:rFonts w:ascii="Courier New" w:hAnsi="Courier New" w:cs="Courier New" w:hint="default"/>
      </w:rPr>
    </w:lvl>
    <w:lvl w:ilvl="5" w:tplc="820CA030" w:tentative="1">
      <w:start w:val="1"/>
      <w:numFmt w:val="bullet"/>
      <w:lvlText w:val=""/>
      <w:lvlJc w:val="left"/>
      <w:pPr>
        <w:ind w:left="4320" w:hanging="360"/>
      </w:pPr>
      <w:rPr>
        <w:rFonts w:ascii="Wingdings" w:hAnsi="Wingdings" w:hint="default"/>
      </w:rPr>
    </w:lvl>
    <w:lvl w:ilvl="6" w:tplc="D17644A2" w:tentative="1">
      <w:start w:val="1"/>
      <w:numFmt w:val="bullet"/>
      <w:lvlText w:val=""/>
      <w:lvlJc w:val="left"/>
      <w:pPr>
        <w:ind w:left="5040" w:hanging="360"/>
      </w:pPr>
      <w:rPr>
        <w:rFonts w:ascii="Symbol" w:hAnsi="Symbol" w:hint="default"/>
      </w:rPr>
    </w:lvl>
    <w:lvl w:ilvl="7" w:tplc="6406A294" w:tentative="1">
      <w:start w:val="1"/>
      <w:numFmt w:val="bullet"/>
      <w:lvlText w:val="o"/>
      <w:lvlJc w:val="left"/>
      <w:pPr>
        <w:ind w:left="5760" w:hanging="360"/>
      </w:pPr>
      <w:rPr>
        <w:rFonts w:ascii="Courier New" w:hAnsi="Courier New" w:cs="Courier New" w:hint="default"/>
      </w:rPr>
    </w:lvl>
    <w:lvl w:ilvl="8" w:tplc="A942FAE6" w:tentative="1">
      <w:start w:val="1"/>
      <w:numFmt w:val="bullet"/>
      <w:lvlText w:val=""/>
      <w:lvlJc w:val="left"/>
      <w:pPr>
        <w:ind w:left="6480" w:hanging="360"/>
      </w:pPr>
      <w:rPr>
        <w:rFonts w:ascii="Wingdings" w:hAnsi="Wingdings" w:hint="default"/>
      </w:rPr>
    </w:lvl>
  </w:abstractNum>
  <w:abstractNum w:abstractNumId="48" w15:restartNumberingAfterBreak="0">
    <w:nsid w:val="0B3C38F2"/>
    <w:multiLevelType w:val="multilevel"/>
    <w:tmpl w:val="4A96CFE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9" w15:restartNumberingAfterBreak="0">
    <w:nsid w:val="0BEE5E6B"/>
    <w:multiLevelType w:val="hybridMultilevel"/>
    <w:tmpl w:val="F7DC5742"/>
    <w:lvl w:ilvl="0" w:tplc="B5D66138">
      <w:start w:val="1"/>
      <w:numFmt w:val="bullet"/>
      <w:lvlText w:val=""/>
      <w:lvlJc w:val="left"/>
      <w:pPr>
        <w:ind w:left="720" w:hanging="360"/>
      </w:pPr>
      <w:rPr>
        <w:rFonts w:ascii="Symbol" w:hAnsi="Symbol" w:hint="default"/>
      </w:rPr>
    </w:lvl>
    <w:lvl w:ilvl="1" w:tplc="098231FC" w:tentative="1">
      <w:start w:val="1"/>
      <w:numFmt w:val="bullet"/>
      <w:lvlText w:val="o"/>
      <w:lvlJc w:val="left"/>
      <w:pPr>
        <w:ind w:left="1440" w:hanging="360"/>
      </w:pPr>
      <w:rPr>
        <w:rFonts w:ascii="Courier New" w:hAnsi="Courier New" w:cs="Courier New" w:hint="default"/>
      </w:rPr>
    </w:lvl>
    <w:lvl w:ilvl="2" w:tplc="EA8814AA" w:tentative="1">
      <w:start w:val="1"/>
      <w:numFmt w:val="bullet"/>
      <w:lvlText w:val=""/>
      <w:lvlJc w:val="left"/>
      <w:pPr>
        <w:ind w:left="2160" w:hanging="360"/>
      </w:pPr>
      <w:rPr>
        <w:rFonts w:ascii="Wingdings" w:hAnsi="Wingdings" w:hint="default"/>
      </w:rPr>
    </w:lvl>
    <w:lvl w:ilvl="3" w:tplc="17FC77F6" w:tentative="1">
      <w:start w:val="1"/>
      <w:numFmt w:val="bullet"/>
      <w:lvlText w:val=""/>
      <w:lvlJc w:val="left"/>
      <w:pPr>
        <w:ind w:left="2880" w:hanging="360"/>
      </w:pPr>
      <w:rPr>
        <w:rFonts w:ascii="Symbol" w:hAnsi="Symbol" w:hint="default"/>
      </w:rPr>
    </w:lvl>
    <w:lvl w:ilvl="4" w:tplc="79E6C9EE" w:tentative="1">
      <w:start w:val="1"/>
      <w:numFmt w:val="bullet"/>
      <w:lvlText w:val="o"/>
      <w:lvlJc w:val="left"/>
      <w:pPr>
        <w:ind w:left="3600" w:hanging="360"/>
      </w:pPr>
      <w:rPr>
        <w:rFonts w:ascii="Courier New" w:hAnsi="Courier New" w:cs="Courier New" w:hint="default"/>
      </w:rPr>
    </w:lvl>
    <w:lvl w:ilvl="5" w:tplc="529A4A3E" w:tentative="1">
      <w:start w:val="1"/>
      <w:numFmt w:val="bullet"/>
      <w:lvlText w:val=""/>
      <w:lvlJc w:val="left"/>
      <w:pPr>
        <w:ind w:left="4320" w:hanging="360"/>
      </w:pPr>
      <w:rPr>
        <w:rFonts w:ascii="Wingdings" w:hAnsi="Wingdings" w:hint="default"/>
      </w:rPr>
    </w:lvl>
    <w:lvl w:ilvl="6" w:tplc="A9BC46A4" w:tentative="1">
      <w:start w:val="1"/>
      <w:numFmt w:val="bullet"/>
      <w:lvlText w:val=""/>
      <w:lvlJc w:val="left"/>
      <w:pPr>
        <w:ind w:left="5040" w:hanging="360"/>
      </w:pPr>
      <w:rPr>
        <w:rFonts w:ascii="Symbol" w:hAnsi="Symbol" w:hint="default"/>
      </w:rPr>
    </w:lvl>
    <w:lvl w:ilvl="7" w:tplc="70887B26" w:tentative="1">
      <w:start w:val="1"/>
      <w:numFmt w:val="bullet"/>
      <w:lvlText w:val="o"/>
      <w:lvlJc w:val="left"/>
      <w:pPr>
        <w:ind w:left="5760" w:hanging="360"/>
      </w:pPr>
      <w:rPr>
        <w:rFonts w:ascii="Courier New" w:hAnsi="Courier New" w:cs="Courier New" w:hint="default"/>
      </w:rPr>
    </w:lvl>
    <w:lvl w:ilvl="8" w:tplc="EDD6BD26" w:tentative="1">
      <w:start w:val="1"/>
      <w:numFmt w:val="bullet"/>
      <w:lvlText w:val=""/>
      <w:lvlJc w:val="left"/>
      <w:pPr>
        <w:ind w:left="6480" w:hanging="360"/>
      </w:pPr>
      <w:rPr>
        <w:rFonts w:ascii="Wingdings" w:hAnsi="Wingdings" w:hint="default"/>
      </w:rPr>
    </w:lvl>
  </w:abstractNum>
  <w:abstractNum w:abstractNumId="50" w15:restartNumberingAfterBreak="0">
    <w:nsid w:val="0D400709"/>
    <w:multiLevelType w:val="hybridMultilevel"/>
    <w:tmpl w:val="4E28E17E"/>
    <w:lvl w:ilvl="0" w:tplc="9E1632E6">
      <w:start w:val="8"/>
      <w:numFmt w:val="decimal"/>
      <w:lvlText w:val="%1."/>
      <w:lvlJc w:val="left"/>
      <w:pPr>
        <w:tabs>
          <w:tab w:val="num" w:pos="323"/>
        </w:tabs>
        <w:ind w:left="323"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0D7B650A"/>
    <w:multiLevelType w:val="multilevel"/>
    <w:tmpl w:val="4A96CFE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2" w15:restartNumberingAfterBreak="0">
    <w:nsid w:val="0D8D089E"/>
    <w:multiLevelType w:val="singleLevel"/>
    <w:tmpl w:val="41C20AC0"/>
    <w:lvl w:ilvl="0">
      <w:start w:val="1"/>
      <w:numFmt w:val="bullet"/>
      <w:lvlText w:val=""/>
      <w:lvlJc w:val="left"/>
      <w:pPr>
        <w:tabs>
          <w:tab w:val="num" w:pos="360"/>
        </w:tabs>
        <w:ind w:left="360" w:hanging="360"/>
      </w:pPr>
      <w:rPr>
        <w:rFonts w:ascii="Symbol" w:hAnsi="Symbol" w:hint="default"/>
      </w:rPr>
    </w:lvl>
  </w:abstractNum>
  <w:abstractNum w:abstractNumId="53" w15:restartNumberingAfterBreak="0">
    <w:nsid w:val="0DB33D70"/>
    <w:multiLevelType w:val="singleLevel"/>
    <w:tmpl w:val="812CE444"/>
    <w:lvl w:ilvl="0">
      <w:start w:val="6"/>
      <w:numFmt w:val="decimal"/>
      <w:lvlText w:val="5.5.%1. "/>
      <w:legacy w:legacy="1" w:legacySpace="0" w:legacyIndent="283"/>
      <w:lvlJc w:val="left"/>
      <w:pPr>
        <w:ind w:left="283" w:hanging="283"/>
      </w:pPr>
      <w:rPr>
        <w:rFonts w:ascii="Times New Roman" w:hAnsi="Times New Roman" w:cs="Times New Roman" w:hint="default"/>
        <w:b/>
        <w:i w:val="0"/>
        <w:sz w:val="20"/>
        <w:u w:val="none"/>
      </w:rPr>
    </w:lvl>
  </w:abstractNum>
  <w:abstractNum w:abstractNumId="54" w15:restartNumberingAfterBreak="0">
    <w:nsid w:val="0E921972"/>
    <w:multiLevelType w:val="singleLevel"/>
    <w:tmpl w:val="E8967304"/>
    <w:lvl w:ilvl="0">
      <w:start w:val="1"/>
      <w:numFmt w:val="lowerLetter"/>
      <w:lvlText w:val="%1)"/>
      <w:legacy w:legacy="1" w:legacySpace="0" w:legacyIndent="283"/>
      <w:lvlJc w:val="left"/>
      <w:pPr>
        <w:ind w:left="283" w:hanging="283"/>
      </w:pPr>
    </w:lvl>
  </w:abstractNum>
  <w:abstractNum w:abstractNumId="55" w15:restartNumberingAfterBreak="0">
    <w:nsid w:val="0ED5394B"/>
    <w:multiLevelType w:val="singleLevel"/>
    <w:tmpl w:val="7FF8F2A6"/>
    <w:lvl w:ilvl="0">
      <w:start w:val="1"/>
      <w:numFmt w:val="decimal"/>
      <w:lvlText w:val="1.4.%1. "/>
      <w:legacy w:legacy="1" w:legacySpace="0" w:legacyIndent="283"/>
      <w:lvlJc w:val="left"/>
      <w:pPr>
        <w:ind w:left="283" w:hanging="283"/>
      </w:pPr>
      <w:rPr>
        <w:b/>
        <w:i w:val="0"/>
        <w:sz w:val="20"/>
      </w:rPr>
    </w:lvl>
  </w:abstractNum>
  <w:abstractNum w:abstractNumId="56" w15:restartNumberingAfterBreak="0">
    <w:nsid w:val="0F6E335E"/>
    <w:multiLevelType w:val="multilevel"/>
    <w:tmpl w:val="B958168A"/>
    <w:lvl w:ilvl="0">
      <w:start w:val="2"/>
      <w:numFmt w:val="decimal"/>
      <w:lvlText w:val="%1"/>
      <w:lvlJc w:val="left"/>
      <w:pPr>
        <w:ind w:left="510" w:hanging="510"/>
      </w:pPr>
      <w:rPr>
        <w:rFonts w:hint="default"/>
      </w:rPr>
    </w:lvl>
    <w:lvl w:ilvl="1">
      <w:start w:val="13"/>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108B4A02"/>
    <w:multiLevelType w:val="singleLevel"/>
    <w:tmpl w:val="DAB4AD32"/>
    <w:lvl w:ilvl="0">
      <w:start w:val="1"/>
      <w:numFmt w:val="lowerLetter"/>
      <w:lvlText w:val="%1)"/>
      <w:legacy w:legacy="1" w:legacySpace="0" w:legacyIndent="283"/>
      <w:lvlJc w:val="left"/>
      <w:pPr>
        <w:ind w:left="567" w:hanging="283"/>
      </w:pPr>
    </w:lvl>
  </w:abstractNum>
  <w:abstractNum w:abstractNumId="58" w15:restartNumberingAfterBreak="0">
    <w:nsid w:val="10CD2E91"/>
    <w:multiLevelType w:val="singleLevel"/>
    <w:tmpl w:val="577C8F16"/>
    <w:lvl w:ilvl="0">
      <w:start w:val="3"/>
      <w:numFmt w:val="decimal"/>
      <w:lvlText w:val="2.7.%1. "/>
      <w:legacy w:legacy="1" w:legacySpace="0" w:legacyIndent="283"/>
      <w:lvlJc w:val="left"/>
      <w:pPr>
        <w:ind w:left="283" w:hanging="283"/>
      </w:pPr>
      <w:rPr>
        <w:rFonts w:ascii="Times New Roman" w:hAnsi="Times New Roman" w:cs="Times New Roman" w:hint="default"/>
        <w:b/>
        <w:i w:val="0"/>
        <w:sz w:val="20"/>
        <w:u w:val="none"/>
      </w:rPr>
    </w:lvl>
  </w:abstractNum>
  <w:abstractNum w:abstractNumId="59" w15:restartNumberingAfterBreak="0">
    <w:nsid w:val="114942B2"/>
    <w:multiLevelType w:val="hybridMultilevel"/>
    <w:tmpl w:val="DF8CBB0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0" w15:restartNumberingAfterBreak="0">
    <w:nsid w:val="115C1802"/>
    <w:multiLevelType w:val="hybridMultilevel"/>
    <w:tmpl w:val="70B09F98"/>
    <w:lvl w:ilvl="0" w:tplc="948667C0">
      <w:start w:val="1"/>
      <w:numFmt w:val="bullet"/>
      <w:lvlText w:val=""/>
      <w:lvlJc w:val="left"/>
      <w:pPr>
        <w:ind w:left="720" w:hanging="360"/>
      </w:pPr>
      <w:rPr>
        <w:rFonts w:ascii="Symbol" w:hAnsi="Symbol" w:hint="default"/>
      </w:rPr>
    </w:lvl>
    <w:lvl w:ilvl="1" w:tplc="A94A1A36">
      <w:start w:val="1"/>
      <w:numFmt w:val="bullet"/>
      <w:lvlText w:val="o"/>
      <w:lvlJc w:val="left"/>
      <w:pPr>
        <w:ind w:left="1440" w:hanging="360"/>
      </w:pPr>
      <w:rPr>
        <w:rFonts w:ascii="Courier New" w:hAnsi="Courier New" w:cs="Courier New" w:hint="default"/>
      </w:rPr>
    </w:lvl>
    <w:lvl w:ilvl="2" w:tplc="DEB671C8" w:tentative="1">
      <w:start w:val="1"/>
      <w:numFmt w:val="bullet"/>
      <w:lvlText w:val=""/>
      <w:lvlJc w:val="left"/>
      <w:pPr>
        <w:ind w:left="2160" w:hanging="360"/>
      </w:pPr>
      <w:rPr>
        <w:rFonts w:ascii="Wingdings" w:hAnsi="Wingdings" w:hint="default"/>
      </w:rPr>
    </w:lvl>
    <w:lvl w:ilvl="3" w:tplc="65EC6B6C" w:tentative="1">
      <w:start w:val="1"/>
      <w:numFmt w:val="bullet"/>
      <w:lvlText w:val=""/>
      <w:lvlJc w:val="left"/>
      <w:pPr>
        <w:ind w:left="2880" w:hanging="360"/>
      </w:pPr>
      <w:rPr>
        <w:rFonts w:ascii="Symbol" w:hAnsi="Symbol" w:hint="default"/>
      </w:rPr>
    </w:lvl>
    <w:lvl w:ilvl="4" w:tplc="94BC8564" w:tentative="1">
      <w:start w:val="1"/>
      <w:numFmt w:val="bullet"/>
      <w:lvlText w:val="o"/>
      <w:lvlJc w:val="left"/>
      <w:pPr>
        <w:ind w:left="3600" w:hanging="360"/>
      </w:pPr>
      <w:rPr>
        <w:rFonts w:ascii="Courier New" w:hAnsi="Courier New" w:cs="Courier New" w:hint="default"/>
      </w:rPr>
    </w:lvl>
    <w:lvl w:ilvl="5" w:tplc="F71EE3B4" w:tentative="1">
      <w:start w:val="1"/>
      <w:numFmt w:val="bullet"/>
      <w:lvlText w:val=""/>
      <w:lvlJc w:val="left"/>
      <w:pPr>
        <w:ind w:left="4320" w:hanging="360"/>
      </w:pPr>
      <w:rPr>
        <w:rFonts w:ascii="Wingdings" w:hAnsi="Wingdings" w:hint="default"/>
      </w:rPr>
    </w:lvl>
    <w:lvl w:ilvl="6" w:tplc="175EDD9A" w:tentative="1">
      <w:start w:val="1"/>
      <w:numFmt w:val="bullet"/>
      <w:lvlText w:val=""/>
      <w:lvlJc w:val="left"/>
      <w:pPr>
        <w:ind w:left="5040" w:hanging="360"/>
      </w:pPr>
      <w:rPr>
        <w:rFonts w:ascii="Symbol" w:hAnsi="Symbol" w:hint="default"/>
      </w:rPr>
    </w:lvl>
    <w:lvl w:ilvl="7" w:tplc="163C77E2" w:tentative="1">
      <w:start w:val="1"/>
      <w:numFmt w:val="bullet"/>
      <w:lvlText w:val="o"/>
      <w:lvlJc w:val="left"/>
      <w:pPr>
        <w:ind w:left="5760" w:hanging="360"/>
      </w:pPr>
      <w:rPr>
        <w:rFonts w:ascii="Courier New" w:hAnsi="Courier New" w:cs="Courier New" w:hint="default"/>
      </w:rPr>
    </w:lvl>
    <w:lvl w:ilvl="8" w:tplc="88CA4B26" w:tentative="1">
      <w:start w:val="1"/>
      <w:numFmt w:val="bullet"/>
      <w:lvlText w:val=""/>
      <w:lvlJc w:val="left"/>
      <w:pPr>
        <w:ind w:left="6480" w:hanging="360"/>
      </w:pPr>
      <w:rPr>
        <w:rFonts w:ascii="Wingdings" w:hAnsi="Wingdings" w:hint="default"/>
      </w:rPr>
    </w:lvl>
  </w:abstractNum>
  <w:abstractNum w:abstractNumId="61" w15:restartNumberingAfterBreak="0">
    <w:nsid w:val="11BC025F"/>
    <w:multiLevelType w:val="hybridMultilevel"/>
    <w:tmpl w:val="5CF47E98"/>
    <w:lvl w:ilvl="0" w:tplc="25CEB730">
      <w:start w:val="1"/>
      <w:numFmt w:val="bullet"/>
      <w:lvlText w:val=""/>
      <w:lvlJc w:val="left"/>
      <w:pPr>
        <w:tabs>
          <w:tab w:val="num" w:pos="680"/>
        </w:tabs>
        <w:ind w:left="680" w:hanging="340"/>
      </w:pPr>
      <w:rPr>
        <w:rFonts w:ascii="Symbol" w:hAnsi="Symbol" w:hint="default"/>
        <w:color w:val="auto"/>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12074A88"/>
    <w:multiLevelType w:val="hybridMultilevel"/>
    <w:tmpl w:val="F5068E2A"/>
    <w:lvl w:ilvl="0" w:tplc="04150001">
      <w:start w:val="1"/>
      <w:numFmt w:val="bullet"/>
      <w:lvlText w:val=""/>
      <w:lvlJc w:val="left"/>
      <w:pPr>
        <w:ind w:left="836" w:hanging="360"/>
      </w:pPr>
      <w:rPr>
        <w:rFonts w:ascii="Symbol" w:hAnsi="Symbol" w:hint="default"/>
      </w:rPr>
    </w:lvl>
    <w:lvl w:ilvl="1" w:tplc="04150003" w:tentative="1">
      <w:start w:val="1"/>
      <w:numFmt w:val="bullet"/>
      <w:lvlText w:val="o"/>
      <w:lvlJc w:val="left"/>
      <w:pPr>
        <w:ind w:left="1556" w:hanging="360"/>
      </w:pPr>
      <w:rPr>
        <w:rFonts w:ascii="Courier New" w:hAnsi="Courier New" w:cs="Courier New" w:hint="default"/>
      </w:rPr>
    </w:lvl>
    <w:lvl w:ilvl="2" w:tplc="04150005" w:tentative="1">
      <w:start w:val="1"/>
      <w:numFmt w:val="bullet"/>
      <w:lvlText w:val=""/>
      <w:lvlJc w:val="left"/>
      <w:pPr>
        <w:ind w:left="2276" w:hanging="360"/>
      </w:pPr>
      <w:rPr>
        <w:rFonts w:ascii="Wingdings" w:hAnsi="Wingdings" w:hint="default"/>
      </w:rPr>
    </w:lvl>
    <w:lvl w:ilvl="3" w:tplc="04150001" w:tentative="1">
      <w:start w:val="1"/>
      <w:numFmt w:val="bullet"/>
      <w:lvlText w:val=""/>
      <w:lvlJc w:val="left"/>
      <w:pPr>
        <w:ind w:left="2996" w:hanging="360"/>
      </w:pPr>
      <w:rPr>
        <w:rFonts w:ascii="Symbol" w:hAnsi="Symbol" w:hint="default"/>
      </w:rPr>
    </w:lvl>
    <w:lvl w:ilvl="4" w:tplc="04150003" w:tentative="1">
      <w:start w:val="1"/>
      <w:numFmt w:val="bullet"/>
      <w:lvlText w:val="o"/>
      <w:lvlJc w:val="left"/>
      <w:pPr>
        <w:ind w:left="3716" w:hanging="360"/>
      </w:pPr>
      <w:rPr>
        <w:rFonts w:ascii="Courier New" w:hAnsi="Courier New" w:cs="Courier New" w:hint="default"/>
      </w:rPr>
    </w:lvl>
    <w:lvl w:ilvl="5" w:tplc="04150005" w:tentative="1">
      <w:start w:val="1"/>
      <w:numFmt w:val="bullet"/>
      <w:lvlText w:val=""/>
      <w:lvlJc w:val="left"/>
      <w:pPr>
        <w:ind w:left="4436" w:hanging="360"/>
      </w:pPr>
      <w:rPr>
        <w:rFonts w:ascii="Wingdings" w:hAnsi="Wingdings" w:hint="default"/>
      </w:rPr>
    </w:lvl>
    <w:lvl w:ilvl="6" w:tplc="04150001" w:tentative="1">
      <w:start w:val="1"/>
      <w:numFmt w:val="bullet"/>
      <w:lvlText w:val=""/>
      <w:lvlJc w:val="left"/>
      <w:pPr>
        <w:ind w:left="5156" w:hanging="360"/>
      </w:pPr>
      <w:rPr>
        <w:rFonts w:ascii="Symbol" w:hAnsi="Symbol" w:hint="default"/>
      </w:rPr>
    </w:lvl>
    <w:lvl w:ilvl="7" w:tplc="04150003" w:tentative="1">
      <w:start w:val="1"/>
      <w:numFmt w:val="bullet"/>
      <w:lvlText w:val="o"/>
      <w:lvlJc w:val="left"/>
      <w:pPr>
        <w:ind w:left="5876" w:hanging="360"/>
      </w:pPr>
      <w:rPr>
        <w:rFonts w:ascii="Courier New" w:hAnsi="Courier New" w:cs="Courier New" w:hint="default"/>
      </w:rPr>
    </w:lvl>
    <w:lvl w:ilvl="8" w:tplc="04150005" w:tentative="1">
      <w:start w:val="1"/>
      <w:numFmt w:val="bullet"/>
      <w:lvlText w:val=""/>
      <w:lvlJc w:val="left"/>
      <w:pPr>
        <w:ind w:left="6596" w:hanging="360"/>
      </w:pPr>
      <w:rPr>
        <w:rFonts w:ascii="Wingdings" w:hAnsi="Wingdings" w:hint="default"/>
      </w:rPr>
    </w:lvl>
  </w:abstractNum>
  <w:abstractNum w:abstractNumId="63" w15:restartNumberingAfterBreak="0">
    <w:nsid w:val="124F1074"/>
    <w:multiLevelType w:val="singleLevel"/>
    <w:tmpl w:val="64326664"/>
    <w:lvl w:ilvl="0">
      <w:start w:val="1"/>
      <w:numFmt w:val="lowerLetter"/>
      <w:lvlText w:val="%1)"/>
      <w:legacy w:legacy="1" w:legacySpace="0" w:legacyIndent="283"/>
      <w:lvlJc w:val="left"/>
      <w:pPr>
        <w:ind w:left="283" w:hanging="283"/>
      </w:pPr>
    </w:lvl>
  </w:abstractNum>
  <w:abstractNum w:abstractNumId="64" w15:restartNumberingAfterBreak="0">
    <w:nsid w:val="13710CA5"/>
    <w:multiLevelType w:val="hybridMultilevel"/>
    <w:tmpl w:val="7D0EDF60"/>
    <w:lvl w:ilvl="0" w:tplc="DED425E0">
      <w:start w:val="1"/>
      <w:numFmt w:val="bullet"/>
      <w:lvlText w:val=""/>
      <w:lvlJc w:val="left"/>
      <w:pPr>
        <w:ind w:left="720" w:hanging="360"/>
      </w:pPr>
      <w:rPr>
        <w:rFonts w:ascii="Wingdings" w:hAnsi="Wingdings" w:hint="default"/>
      </w:rPr>
    </w:lvl>
    <w:lvl w:ilvl="1" w:tplc="43D6BD0E" w:tentative="1">
      <w:start w:val="1"/>
      <w:numFmt w:val="bullet"/>
      <w:lvlText w:val="o"/>
      <w:lvlJc w:val="left"/>
      <w:pPr>
        <w:ind w:left="1440" w:hanging="360"/>
      </w:pPr>
      <w:rPr>
        <w:rFonts w:ascii="Courier New" w:hAnsi="Courier New" w:cs="Courier New" w:hint="default"/>
      </w:rPr>
    </w:lvl>
    <w:lvl w:ilvl="2" w:tplc="5EAE964E" w:tentative="1">
      <w:start w:val="1"/>
      <w:numFmt w:val="bullet"/>
      <w:lvlText w:val=""/>
      <w:lvlJc w:val="left"/>
      <w:pPr>
        <w:ind w:left="2160" w:hanging="360"/>
      </w:pPr>
      <w:rPr>
        <w:rFonts w:ascii="Wingdings" w:hAnsi="Wingdings" w:hint="default"/>
      </w:rPr>
    </w:lvl>
    <w:lvl w:ilvl="3" w:tplc="BCE42440" w:tentative="1">
      <w:start w:val="1"/>
      <w:numFmt w:val="bullet"/>
      <w:lvlText w:val=""/>
      <w:lvlJc w:val="left"/>
      <w:pPr>
        <w:ind w:left="2880" w:hanging="360"/>
      </w:pPr>
      <w:rPr>
        <w:rFonts w:ascii="Symbol" w:hAnsi="Symbol" w:hint="default"/>
      </w:rPr>
    </w:lvl>
    <w:lvl w:ilvl="4" w:tplc="17CC40DE" w:tentative="1">
      <w:start w:val="1"/>
      <w:numFmt w:val="bullet"/>
      <w:lvlText w:val="o"/>
      <w:lvlJc w:val="left"/>
      <w:pPr>
        <w:ind w:left="3600" w:hanging="360"/>
      </w:pPr>
      <w:rPr>
        <w:rFonts w:ascii="Courier New" w:hAnsi="Courier New" w:cs="Courier New" w:hint="default"/>
      </w:rPr>
    </w:lvl>
    <w:lvl w:ilvl="5" w:tplc="F314E358" w:tentative="1">
      <w:start w:val="1"/>
      <w:numFmt w:val="bullet"/>
      <w:lvlText w:val=""/>
      <w:lvlJc w:val="left"/>
      <w:pPr>
        <w:ind w:left="4320" w:hanging="360"/>
      </w:pPr>
      <w:rPr>
        <w:rFonts w:ascii="Wingdings" w:hAnsi="Wingdings" w:hint="default"/>
      </w:rPr>
    </w:lvl>
    <w:lvl w:ilvl="6" w:tplc="6C8806AC" w:tentative="1">
      <w:start w:val="1"/>
      <w:numFmt w:val="bullet"/>
      <w:lvlText w:val=""/>
      <w:lvlJc w:val="left"/>
      <w:pPr>
        <w:ind w:left="5040" w:hanging="360"/>
      </w:pPr>
      <w:rPr>
        <w:rFonts w:ascii="Symbol" w:hAnsi="Symbol" w:hint="default"/>
      </w:rPr>
    </w:lvl>
    <w:lvl w:ilvl="7" w:tplc="51B8912C" w:tentative="1">
      <w:start w:val="1"/>
      <w:numFmt w:val="bullet"/>
      <w:lvlText w:val="o"/>
      <w:lvlJc w:val="left"/>
      <w:pPr>
        <w:ind w:left="5760" w:hanging="360"/>
      </w:pPr>
      <w:rPr>
        <w:rFonts w:ascii="Courier New" w:hAnsi="Courier New" w:cs="Courier New" w:hint="default"/>
      </w:rPr>
    </w:lvl>
    <w:lvl w:ilvl="8" w:tplc="AEE0370C" w:tentative="1">
      <w:start w:val="1"/>
      <w:numFmt w:val="bullet"/>
      <w:lvlText w:val=""/>
      <w:lvlJc w:val="left"/>
      <w:pPr>
        <w:ind w:left="6480" w:hanging="360"/>
      </w:pPr>
      <w:rPr>
        <w:rFonts w:ascii="Wingdings" w:hAnsi="Wingdings" w:hint="default"/>
      </w:rPr>
    </w:lvl>
  </w:abstractNum>
  <w:abstractNum w:abstractNumId="65" w15:restartNumberingAfterBreak="0">
    <w:nsid w:val="141E7BB1"/>
    <w:multiLevelType w:val="multilevel"/>
    <w:tmpl w:val="333E47EA"/>
    <w:styleLink w:val="WW8Num6"/>
    <w:lvl w:ilvl="0">
      <w:start w:val="1"/>
      <w:numFmt w:val="lowerLetter"/>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6" w15:restartNumberingAfterBreak="0">
    <w:nsid w:val="14650CCC"/>
    <w:multiLevelType w:val="hybridMultilevel"/>
    <w:tmpl w:val="663C621A"/>
    <w:lvl w:ilvl="0" w:tplc="F6FA81CA">
      <w:start w:val="1"/>
      <w:numFmt w:val="upperLetter"/>
      <w:pStyle w:val="Podstawowy"/>
      <w:lvlText w:val="%1."/>
      <w:lvlJc w:val="left"/>
      <w:pPr>
        <w:ind w:left="720" w:hanging="360"/>
      </w:pPr>
    </w:lvl>
    <w:lvl w:ilvl="1" w:tplc="B09AB5B8" w:tentative="1">
      <w:start w:val="1"/>
      <w:numFmt w:val="lowerLetter"/>
      <w:lvlText w:val="%2."/>
      <w:lvlJc w:val="left"/>
      <w:pPr>
        <w:ind w:left="1440" w:hanging="360"/>
      </w:pPr>
    </w:lvl>
    <w:lvl w:ilvl="2" w:tplc="C996F2FC" w:tentative="1">
      <w:start w:val="1"/>
      <w:numFmt w:val="lowerRoman"/>
      <w:lvlText w:val="%3."/>
      <w:lvlJc w:val="right"/>
      <w:pPr>
        <w:ind w:left="2160" w:hanging="180"/>
      </w:pPr>
    </w:lvl>
    <w:lvl w:ilvl="3" w:tplc="588EC162" w:tentative="1">
      <w:start w:val="1"/>
      <w:numFmt w:val="decimal"/>
      <w:lvlText w:val="%4."/>
      <w:lvlJc w:val="left"/>
      <w:pPr>
        <w:ind w:left="2880" w:hanging="360"/>
      </w:pPr>
    </w:lvl>
    <w:lvl w:ilvl="4" w:tplc="5858AC22" w:tentative="1">
      <w:start w:val="1"/>
      <w:numFmt w:val="lowerLetter"/>
      <w:lvlText w:val="%5."/>
      <w:lvlJc w:val="left"/>
      <w:pPr>
        <w:ind w:left="3600" w:hanging="360"/>
      </w:pPr>
    </w:lvl>
    <w:lvl w:ilvl="5" w:tplc="46D01640" w:tentative="1">
      <w:start w:val="1"/>
      <w:numFmt w:val="lowerRoman"/>
      <w:lvlText w:val="%6."/>
      <w:lvlJc w:val="right"/>
      <w:pPr>
        <w:ind w:left="4320" w:hanging="180"/>
      </w:pPr>
    </w:lvl>
    <w:lvl w:ilvl="6" w:tplc="F234542E" w:tentative="1">
      <w:start w:val="1"/>
      <w:numFmt w:val="decimal"/>
      <w:lvlText w:val="%7."/>
      <w:lvlJc w:val="left"/>
      <w:pPr>
        <w:ind w:left="5040" w:hanging="360"/>
      </w:pPr>
    </w:lvl>
    <w:lvl w:ilvl="7" w:tplc="C4EC4AA0" w:tentative="1">
      <w:start w:val="1"/>
      <w:numFmt w:val="lowerLetter"/>
      <w:lvlText w:val="%8."/>
      <w:lvlJc w:val="left"/>
      <w:pPr>
        <w:ind w:left="5760" w:hanging="360"/>
      </w:pPr>
    </w:lvl>
    <w:lvl w:ilvl="8" w:tplc="39C6CD8A" w:tentative="1">
      <w:start w:val="1"/>
      <w:numFmt w:val="lowerRoman"/>
      <w:lvlText w:val="%9."/>
      <w:lvlJc w:val="right"/>
      <w:pPr>
        <w:ind w:left="6480" w:hanging="180"/>
      </w:pPr>
    </w:lvl>
  </w:abstractNum>
  <w:abstractNum w:abstractNumId="67" w15:restartNumberingAfterBreak="0">
    <w:nsid w:val="14AB2212"/>
    <w:multiLevelType w:val="hybridMultilevel"/>
    <w:tmpl w:val="7804D580"/>
    <w:lvl w:ilvl="0" w:tplc="0415000B">
      <w:start w:val="1"/>
      <w:numFmt w:val="bullet"/>
      <w:lvlText w:val=""/>
      <w:lvlJc w:val="left"/>
      <w:pPr>
        <w:tabs>
          <w:tab w:val="num" w:pos="680"/>
        </w:tabs>
        <w:ind w:left="680" w:hanging="340"/>
      </w:pPr>
      <w:rPr>
        <w:rFonts w:ascii="Symbol" w:hAnsi="Symbol" w:cs="Symbol"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cs="Wingdings" w:hint="default"/>
      </w:rPr>
    </w:lvl>
    <w:lvl w:ilvl="3" w:tplc="04150001">
      <w:start w:val="1"/>
      <w:numFmt w:val="bullet"/>
      <w:lvlText w:val=""/>
      <w:lvlJc w:val="left"/>
      <w:pPr>
        <w:tabs>
          <w:tab w:val="num" w:pos="2880"/>
        </w:tabs>
        <w:ind w:left="2880" w:hanging="360"/>
      </w:pPr>
      <w:rPr>
        <w:rFonts w:ascii="Symbol" w:hAnsi="Symbol" w:cs="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cs="Wingdings" w:hint="default"/>
      </w:rPr>
    </w:lvl>
    <w:lvl w:ilvl="6" w:tplc="04150001">
      <w:start w:val="1"/>
      <w:numFmt w:val="bullet"/>
      <w:lvlText w:val=""/>
      <w:lvlJc w:val="left"/>
      <w:pPr>
        <w:tabs>
          <w:tab w:val="num" w:pos="5040"/>
        </w:tabs>
        <w:ind w:left="5040" w:hanging="360"/>
      </w:pPr>
      <w:rPr>
        <w:rFonts w:ascii="Symbol" w:hAnsi="Symbol" w:cs="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cs="Wingdings" w:hint="default"/>
      </w:rPr>
    </w:lvl>
  </w:abstractNum>
  <w:abstractNum w:abstractNumId="68" w15:restartNumberingAfterBreak="0">
    <w:nsid w:val="158C53FF"/>
    <w:multiLevelType w:val="multilevel"/>
    <w:tmpl w:val="4A96CFE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9" w15:restartNumberingAfterBreak="0">
    <w:nsid w:val="15E10DC4"/>
    <w:multiLevelType w:val="singleLevel"/>
    <w:tmpl w:val="8D6C10EA"/>
    <w:lvl w:ilvl="0">
      <w:start w:val="60"/>
      <w:numFmt w:val="decimal"/>
      <w:lvlText w:val="%1."/>
      <w:legacy w:legacy="1" w:legacySpace="0" w:legacyIndent="283"/>
      <w:lvlJc w:val="left"/>
      <w:pPr>
        <w:ind w:left="396" w:hanging="283"/>
      </w:pPr>
    </w:lvl>
  </w:abstractNum>
  <w:abstractNum w:abstractNumId="70" w15:restartNumberingAfterBreak="0">
    <w:nsid w:val="15FB7FFA"/>
    <w:multiLevelType w:val="singleLevel"/>
    <w:tmpl w:val="F68CF0AC"/>
    <w:lvl w:ilvl="0">
      <w:start w:val="1"/>
      <w:numFmt w:val="lowerLetter"/>
      <w:lvlText w:val="(%1)"/>
      <w:legacy w:legacy="1" w:legacySpace="0" w:legacyIndent="283"/>
      <w:lvlJc w:val="left"/>
      <w:pPr>
        <w:ind w:left="283" w:hanging="283"/>
      </w:pPr>
    </w:lvl>
  </w:abstractNum>
  <w:abstractNum w:abstractNumId="71" w15:restartNumberingAfterBreak="0">
    <w:nsid w:val="16851AD0"/>
    <w:multiLevelType w:val="hybridMultilevel"/>
    <w:tmpl w:val="B6E28212"/>
    <w:lvl w:ilvl="0" w:tplc="36DC2774">
      <w:start w:val="1"/>
      <w:numFmt w:val="bullet"/>
      <w:lvlText w:val="-"/>
      <w:lvlJc w:val="left"/>
      <w:pPr>
        <w:ind w:left="720" w:hanging="360"/>
      </w:pPr>
      <w:rPr>
        <w:rFonts w:ascii="Calibri" w:eastAsia="Verdana" w:hAnsi="Calibri" w:cs="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2" w15:restartNumberingAfterBreak="0">
    <w:nsid w:val="17485FAF"/>
    <w:multiLevelType w:val="multilevel"/>
    <w:tmpl w:val="4A96CFE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3" w15:restartNumberingAfterBreak="0">
    <w:nsid w:val="17530893"/>
    <w:multiLevelType w:val="multilevel"/>
    <w:tmpl w:val="0415001D"/>
    <w:styleLink w:val="Styl2"/>
    <w:lvl w:ilvl="0">
      <w:start w:val="1"/>
      <w:numFmt w:val="decimal"/>
      <w:lvlText w:val="%1)"/>
      <w:lvlJc w:val="left"/>
      <w:pPr>
        <w:ind w:left="360" w:hanging="360"/>
      </w:pPr>
    </w:lvl>
    <w:lvl w:ilvl="1">
      <w:start w:val="1"/>
      <w:numFmt w:val="decimal"/>
      <w:lvlText w:val="%2)"/>
      <w:lvlJc w:val="left"/>
      <w:pPr>
        <w:ind w:left="720" w:hanging="360"/>
      </w:pPr>
    </w:lvl>
    <w:lvl w:ilvl="2">
      <w:start w:val="1"/>
      <w:numFmt w:val="decimal"/>
      <w:lvlText w:val="%3)"/>
      <w:lvlJc w:val="left"/>
      <w:pPr>
        <w:ind w:left="1080" w:hanging="360"/>
      </w:pPr>
    </w:lvl>
    <w:lvl w:ilvl="3">
      <w:start w:val="1"/>
      <w:numFmt w:val="decimal"/>
      <w:lvlText w:val="(%4)"/>
      <w:lvlJc w:val="left"/>
      <w:pPr>
        <w:ind w:left="1440" w:hanging="360"/>
      </w:pPr>
    </w:lvl>
    <w:lvl w:ilvl="4">
      <w:start w:val="1"/>
      <w:numFmt w:val="decimal"/>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4" w15:restartNumberingAfterBreak="0">
    <w:nsid w:val="17821C46"/>
    <w:multiLevelType w:val="singleLevel"/>
    <w:tmpl w:val="C5FCCAAC"/>
    <w:lvl w:ilvl="0">
      <w:start w:val="6"/>
      <w:numFmt w:val="decimal"/>
      <w:lvlText w:val="2.4.%1. "/>
      <w:legacy w:legacy="1" w:legacySpace="0" w:legacyIndent="283"/>
      <w:lvlJc w:val="left"/>
      <w:pPr>
        <w:ind w:left="283" w:hanging="283"/>
      </w:pPr>
      <w:rPr>
        <w:rFonts w:ascii="Times New Roman" w:hAnsi="Times New Roman" w:cs="Times New Roman" w:hint="default"/>
        <w:b/>
        <w:i w:val="0"/>
        <w:sz w:val="20"/>
        <w:u w:val="none"/>
      </w:rPr>
    </w:lvl>
  </w:abstractNum>
  <w:abstractNum w:abstractNumId="75" w15:restartNumberingAfterBreak="0">
    <w:nsid w:val="17996EB5"/>
    <w:multiLevelType w:val="hybridMultilevel"/>
    <w:tmpl w:val="D22C5BE6"/>
    <w:lvl w:ilvl="0" w:tplc="CE10E3FA">
      <w:start w:val="3"/>
      <w:numFmt w:val="bullet"/>
      <w:lvlText w:val="-"/>
      <w:lvlJc w:val="left"/>
      <w:pPr>
        <w:ind w:left="720" w:hanging="360"/>
      </w:pPr>
      <w:rPr>
        <w:rFonts w:hint="default"/>
      </w:rPr>
    </w:lvl>
    <w:lvl w:ilvl="1" w:tplc="780835E0" w:tentative="1">
      <w:start w:val="1"/>
      <w:numFmt w:val="bullet"/>
      <w:lvlText w:val="o"/>
      <w:lvlJc w:val="left"/>
      <w:pPr>
        <w:ind w:left="1440" w:hanging="360"/>
      </w:pPr>
      <w:rPr>
        <w:rFonts w:ascii="Courier New" w:hAnsi="Courier New" w:cs="Courier New" w:hint="default"/>
      </w:rPr>
    </w:lvl>
    <w:lvl w:ilvl="2" w:tplc="2D92BA66" w:tentative="1">
      <w:start w:val="1"/>
      <w:numFmt w:val="bullet"/>
      <w:lvlText w:val=""/>
      <w:lvlJc w:val="left"/>
      <w:pPr>
        <w:ind w:left="2160" w:hanging="360"/>
      </w:pPr>
      <w:rPr>
        <w:rFonts w:ascii="Wingdings" w:hAnsi="Wingdings" w:hint="default"/>
      </w:rPr>
    </w:lvl>
    <w:lvl w:ilvl="3" w:tplc="876A794E" w:tentative="1">
      <w:start w:val="1"/>
      <w:numFmt w:val="bullet"/>
      <w:lvlText w:val=""/>
      <w:lvlJc w:val="left"/>
      <w:pPr>
        <w:ind w:left="2880" w:hanging="360"/>
      </w:pPr>
      <w:rPr>
        <w:rFonts w:ascii="Symbol" w:hAnsi="Symbol" w:hint="default"/>
      </w:rPr>
    </w:lvl>
    <w:lvl w:ilvl="4" w:tplc="0EC28624" w:tentative="1">
      <w:start w:val="1"/>
      <w:numFmt w:val="bullet"/>
      <w:lvlText w:val="o"/>
      <w:lvlJc w:val="left"/>
      <w:pPr>
        <w:ind w:left="3600" w:hanging="360"/>
      </w:pPr>
      <w:rPr>
        <w:rFonts w:ascii="Courier New" w:hAnsi="Courier New" w:cs="Courier New" w:hint="default"/>
      </w:rPr>
    </w:lvl>
    <w:lvl w:ilvl="5" w:tplc="855EEF38" w:tentative="1">
      <w:start w:val="1"/>
      <w:numFmt w:val="bullet"/>
      <w:lvlText w:val=""/>
      <w:lvlJc w:val="left"/>
      <w:pPr>
        <w:ind w:left="4320" w:hanging="360"/>
      </w:pPr>
      <w:rPr>
        <w:rFonts w:ascii="Wingdings" w:hAnsi="Wingdings" w:hint="default"/>
      </w:rPr>
    </w:lvl>
    <w:lvl w:ilvl="6" w:tplc="E6562DA0" w:tentative="1">
      <w:start w:val="1"/>
      <w:numFmt w:val="bullet"/>
      <w:lvlText w:val=""/>
      <w:lvlJc w:val="left"/>
      <w:pPr>
        <w:ind w:left="5040" w:hanging="360"/>
      </w:pPr>
      <w:rPr>
        <w:rFonts w:ascii="Symbol" w:hAnsi="Symbol" w:hint="default"/>
      </w:rPr>
    </w:lvl>
    <w:lvl w:ilvl="7" w:tplc="E2AEE536" w:tentative="1">
      <w:start w:val="1"/>
      <w:numFmt w:val="bullet"/>
      <w:lvlText w:val="o"/>
      <w:lvlJc w:val="left"/>
      <w:pPr>
        <w:ind w:left="5760" w:hanging="360"/>
      </w:pPr>
      <w:rPr>
        <w:rFonts w:ascii="Courier New" w:hAnsi="Courier New" w:cs="Courier New" w:hint="default"/>
      </w:rPr>
    </w:lvl>
    <w:lvl w:ilvl="8" w:tplc="CED435C8" w:tentative="1">
      <w:start w:val="1"/>
      <w:numFmt w:val="bullet"/>
      <w:lvlText w:val=""/>
      <w:lvlJc w:val="left"/>
      <w:pPr>
        <w:ind w:left="6480" w:hanging="360"/>
      </w:pPr>
      <w:rPr>
        <w:rFonts w:ascii="Wingdings" w:hAnsi="Wingdings" w:hint="default"/>
      </w:rPr>
    </w:lvl>
  </w:abstractNum>
  <w:abstractNum w:abstractNumId="76" w15:restartNumberingAfterBreak="0">
    <w:nsid w:val="18B809ED"/>
    <w:multiLevelType w:val="singleLevel"/>
    <w:tmpl w:val="0E6ED7BC"/>
    <w:lvl w:ilvl="0">
      <w:start w:val="4"/>
      <w:numFmt w:val="decimal"/>
      <w:lvlText w:val="2.14.%1. "/>
      <w:legacy w:legacy="1" w:legacySpace="0" w:legacyIndent="283"/>
      <w:lvlJc w:val="left"/>
      <w:pPr>
        <w:ind w:left="283" w:hanging="283"/>
      </w:pPr>
      <w:rPr>
        <w:rFonts w:ascii="Times New Roman" w:hAnsi="Times New Roman" w:cs="Times New Roman" w:hint="default"/>
        <w:b/>
        <w:i w:val="0"/>
        <w:sz w:val="20"/>
        <w:u w:val="none"/>
      </w:rPr>
    </w:lvl>
  </w:abstractNum>
  <w:abstractNum w:abstractNumId="77" w15:restartNumberingAfterBreak="0">
    <w:nsid w:val="18C27583"/>
    <w:multiLevelType w:val="singleLevel"/>
    <w:tmpl w:val="E59A06EA"/>
    <w:lvl w:ilvl="0">
      <w:start w:val="11"/>
      <w:numFmt w:val="decimal"/>
      <w:lvlText w:val="5.5.%1. "/>
      <w:legacy w:legacy="1" w:legacySpace="0" w:legacyIndent="283"/>
      <w:lvlJc w:val="left"/>
      <w:pPr>
        <w:ind w:left="283" w:hanging="283"/>
      </w:pPr>
      <w:rPr>
        <w:rFonts w:ascii="Times New Roman" w:hAnsi="Times New Roman" w:cs="Times New Roman" w:hint="default"/>
        <w:b/>
        <w:i w:val="0"/>
        <w:sz w:val="20"/>
        <w:u w:val="none"/>
      </w:rPr>
    </w:lvl>
  </w:abstractNum>
  <w:abstractNum w:abstractNumId="78" w15:restartNumberingAfterBreak="0">
    <w:nsid w:val="19435541"/>
    <w:multiLevelType w:val="hybridMultilevel"/>
    <w:tmpl w:val="BD46A1EC"/>
    <w:lvl w:ilvl="0" w:tplc="04150005">
      <w:start w:val="1"/>
      <w:numFmt w:val="bullet"/>
      <w:lvlText w:val=""/>
      <w:lvlJc w:val="left"/>
      <w:pPr>
        <w:tabs>
          <w:tab w:val="num" w:pos="720"/>
        </w:tabs>
        <w:ind w:left="720" w:hanging="360"/>
      </w:pPr>
      <w:rPr>
        <w:rFonts w:ascii="Wingdings" w:hAnsi="Wingdings" w:cs="Wingdings"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cs="Wingdings" w:hint="default"/>
      </w:rPr>
    </w:lvl>
    <w:lvl w:ilvl="3" w:tplc="04150001">
      <w:start w:val="1"/>
      <w:numFmt w:val="bullet"/>
      <w:lvlText w:val=""/>
      <w:lvlJc w:val="left"/>
      <w:pPr>
        <w:tabs>
          <w:tab w:val="num" w:pos="2880"/>
        </w:tabs>
        <w:ind w:left="2880" w:hanging="360"/>
      </w:pPr>
      <w:rPr>
        <w:rFonts w:ascii="Symbol" w:hAnsi="Symbol" w:cs="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cs="Wingdings" w:hint="default"/>
      </w:rPr>
    </w:lvl>
    <w:lvl w:ilvl="6" w:tplc="04150001">
      <w:start w:val="1"/>
      <w:numFmt w:val="bullet"/>
      <w:lvlText w:val=""/>
      <w:lvlJc w:val="left"/>
      <w:pPr>
        <w:tabs>
          <w:tab w:val="num" w:pos="5040"/>
        </w:tabs>
        <w:ind w:left="5040" w:hanging="360"/>
      </w:pPr>
      <w:rPr>
        <w:rFonts w:ascii="Symbol" w:hAnsi="Symbol" w:cs="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cs="Wingdings" w:hint="default"/>
      </w:rPr>
    </w:lvl>
  </w:abstractNum>
  <w:abstractNum w:abstractNumId="79" w15:restartNumberingAfterBreak="0">
    <w:nsid w:val="1BB35314"/>
    <w:multiLevelType w:val="multilevel"/>
    <w:tmpl w:val="F444745C"/>
    <w:styleLink w:val="WW8Num4"/>
    <w:lvl w:ilvl="0">
      <w:numFmt w:val="bullet"/>
      <w:lvlText w:val="-"/>
      <w:lvlJc w:val="left"/>
      <w:rPr>
        <w:rFonts w:ascii="Symbol" w:hAnsi="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0" w15:restartNumberingAfterBreak="0">
    <w:nsid w:val="1BFF33FF"/>
    <w:multiLevelType w:val="hybridMultilevel"/>
    <w:tmpl w:val="DBB2FD12"/>
    <w:lvl w:ilvl="0" w:tplc="06EA87F4">
      <w:start w:val="1"/>
      <w:numFmt w:val="bullet"/>
      <w:lvlText w:val=""/>
      <w:lvlJc w:val="left"/>
      <w:pPr>
        <w:ind w:left="720" w:hanging="360"/>
      </w:pPr>
      <w:rPr>
        <w:rFonts w:ascii="Symbol" w:hAnsi="Symbol" w:hint="default"/>
      </w:rPr>
    </w:lvl>
    <w:lvl w:ilvl="1" w:tplc="26921D0E" w:tentative="1">
      <w:start w:val="1"/>
      <w:numFmt w:val="bullet"/>
      <w:lvlText w:val="o"/>
      <w:lvlJc w:val="left"/>
      <w:pPr>
        <w:ind w:left="1440" w:hanging="360"/>
      </w:pPr>
      <w:rPr>
        <w:rFonts w:ascii="Courier New" w:hAnsi="Courier New" w:cs="Courier New" w:hint="default"/>
      </w:rPr>
    </w:lvl>
    <w:lvl w:ilvl="2" w:tplc="11900A7E" w:tentative="1">
      <w:start w:val="1"/>
      <w:numFmt w:val="bullet"/>
      <w:lvlText w:val=""/>
      <w:lvlJc w:val="left"/>
      <w:pPr>
        <w:ind w:left="2160" w:hanging="360"/>
      </w:pPr>
      <w:rPr>
        <w:rFonts w:ascii="Wingdings" w:hAnsi="Wingdings" w:hint="default"/>
      </w:rPr>
    </w:lvl>
    <w:lvl w:ilvl="3" w:tplc="DE3C4FFC" w:tentative="1">
      <w:start w:val="1"/>
      <w:numFmt w:val="bullet"/>
      <w:lvlText w:val=""/>
      <w:lvlJc w:val="left"/>
      <w:pPr>
        <w:ind w:left="2880" w:hanging="360"/>
      </w:pPr>
      <w:rPr>
        <w:rFonts w:ascii="Symbol" w:hAnsi="Symbol" w:hint="default"/>
      </w:rPr>
    </w:lvl>
    <w:lvl w:ilvl="4" w:tplc="F38CC2A8" w:tentative="1">
      <w:start w:val="1"/>
      <w:numFmt w:val="bullet"/>
      <w:lvlText w:val="o"/>
      <w:lvlJc w:val="left"/>
      <w:pPr>
        <w:ind w:left="3600" w:hanging="360"/>
      </w:pPr>
      <w:rPr>
        <w:rFonts w:ascii="Courier New" w:hAnsi="Courier New" w:cs="Courier New" w:hint="default"/>
      </w:rPr>
    </w:lvl>
    <w:lvl w:ilvl="5" w:tplc="2BC46C2C" w:tentative="1">
      <w:start w:val="1"/>
      <w:numFmt w:val="bullet"/>
      <w:lvlText w:val=""/>
      <w:lvlJc w:val="left"/>
      <w:pPr>
        <w:ind w:left="4320" w:hanging="360"/>
      </w:pPr>
      <w:rPr>
        <w:rFonts w:ascii="Wingdings" w:hAnsi="Wingdings" w:hint="default"/>
      </w:rPr>
    </w:lvl>
    <w:lvl w:ilvl="6" w:tplc="6728C9F2" w:tentative="1">
      <w:start w:val="1"/>
      <w:numFmt w:val="bullet"/>
      <w:lvlText w:val=""/>
      <w:lvlJc w:val="left"/>
      <w:pPr>
        <w:ind w:left="5040" w:hanging="360"/>
      </w:pPr>
      <w:rPr>
        <w:rFonts w:ascii="Symbol" w:hAnsi="Symbol" w:hint="default"/>
      </w:rPr>
    </w:lvl>
    <w:lvl w:ilvl="7" w:tplc="FBF69D7C" w:tentative="1">
      <w:start w:val="1"/>
      <w:numFmt w:val="bullet"/>
      <w:lvlText w:val="o"/>
      <w:lvlJc w:val="left"/>
      <w:pPr>
        <w:ind w:left="5760" w:hanging="360"/>
      </w:pPr>
      <w:rPr>
        <w:rFonts w:ascii="Courier New" w:hAnsi="Courier New" w:cs="Courier New" w:hint="default"/>
      </w:rPr>
    </w:lvl>
    <w:lvl w:ilvl="8" w:tplc="31EA503A" w:tentative="1">
      <w:start w:val="1"/>
      <w:numFmt w:val="bullet"/>
      <w:lvlText w:val=""/>
      <w:lvlJc w:val="left"/>
      <w:pPr>
        <w:ind w:left="6480" w:hanging="360"/>
      </w:pPr>
      <w:rPr>
        <w:rFonts w:ascii="Wingdings" w:hAnsi="Wingdings" w:hint="default"/>
      </w:rPr>
    </w:lvl>
  </w:abstractNum>
  <w:abstractNum w:abstractNumId="81" w15:restartNumberingAfterBreak="0">
    <w:nsid w:val="1CC575EB"/>
    <w:multiLevelType w:val="singleLevel"/>
    <w:tmpl w:val="F4061AAA"/>
    <w:lvl w:ilvl="0">
      <w:start w:val="6"/>
      <w:numFmt w:val="decimal"/>
      <w:lvlText w:val="2.5.%1. "/>
      <w:legacy w:legacy="1" w:legacySpace="0" w:legacyIndent="283"/>
      <w:lvlJc w:val="left"/>
      <w:pPr>
        <w:ind w:left="283" w:hanging="283"/>
      </w:pPr>
      <w:rPr>
        <w:rFonts w:ascii="Times New Roman" w:hAnsi="Times New Roman" w:cs="Times New Roman" w:hint="default"/>
        <w:b/>
        <w:i w:val="0"/>
        <w:sz w:val="20"/>
        <w:u w:val="none"/>
      </w:rPr>
    </w:lvl>
  </w:abstractNum>
  <w:abstractNum w:abstractNumId="82" w15:restartNumberingAfterBreak="0">
    <w:nsid w:val="1D614579"/>
    <w:multiLevelType w:val="hybridMultilevel"/>
    <w:tmpl w:val="2EA6F098"/>
    <w:lvl w:ilvl="0" w:tplc="4A7E1CCA">
      <w:start w:val="16"/>
      <w:numFmt w:val="decimal"/>
      <w:lvlText w:val="%1"/>
      <w:lvlJc w:val="left"/>
      <w:pPr>
        <w:tabs>
          <w:tab w:val="num" w:pos="360"/>
        </w:tabs>
        <w:ind w:left="360" w:hanging="360"/>
      </w:pPr>
      <w:rPr>
        <w:rFonts w:hint="default"/>
      </w:rPr>
    </w:lvl>
    <w:lvl w:ilvl="1" w:tplc="B8AC218A">
      <w:start w:val="1"/>
      <w:numFmt w:val="lowerLetter"/>
      <w:lvlText w:val="%2."/>
      <w:lvlJc w:val="left"/>
      <w:pPr>
        <w:tabs>
          <w:tab w:val="num" w:pos="1080"/>
        </w:tabs>
        <w:ind w:left="1080" w:hanging="360"/>
      </w:pPr>
    </w:lvl>
    <w:lvl w:ilvl="2" w:tplc="0CBCEAEA">
      <w:start w:val="1"/>
      <w:numFmt w:val="lowerRoman"/>
      <w:lvlText w:val="%3."/>
      <w:lvlJc w:val="right"/>
      <w:pPr>
        <w:tabs>
          <w:tab w:val="num" w:pos="1800"/>
        </w:tabs>
        <w:ind w:left="1800" w:hanging="180"/>
      </w:pPr>
    </w:lvl>
    <w:lvl w:ilvl="3" w:tplc="DA709A10">
      <w:start w:val="1"/>
      <w:numFmt w:val="decimal"/>
      <w:lvlText w:val="%4."/>
      <w:lvlJc w:val="left"/>
      <w:pPr>
        <w:tabs>
          <w:tab w:val="num" w:pos="2520"/>
        </w:tabs>
        <w:ind w:left="2520" w:hanging="360"/>
      </w:pPr>
    </w:lvl>
    <w:lvl w:ilvl="4" w:tplc="C024B6F4">
      <w:start w:val="1"/>
      <w:numFmt w:val="lowerLetter"/>
      <w:lvlText w:val="%5."/>
      <w:lvlJc w:val="left"/>
      <w:pPr>
        <w:tabs>
          <w:tab w:val="num" w:pos="3240"/>
        </w:tabs>
        <w:ind w:left="3240" w:hanging="360"/>
      </w:pPr>
    </w:lvl>
    <w:lvl w:ilvl="5" w:tplc="3B00F424">
      <w:start w:val="1"/>
      <w:numFmt w:val="lowerRoman"/>
      <w:lvlText w:val="%6."/>
      <w:lvlJc w:val="right"/>
      <w:pPr>
        <w:tabs>
          <w:tab w:val="num" w:pos="3960"/>
        </w:tabs>
        <w:ind w:left="3960" w:hanging="180"/>
      </w:pPr>
    </w:lvl>
    <w:lvl w:ilvl="6" w:tplc="CEAC14F8">
      <w:start w:val="1"/>
      <w:numFmt w:val="decimal"/>
      <w:lvlText w:val="%7."/>
      <w:lvlJc w:val="left"/>
      <w:pPr>
        <w:tabs>
          <w:tab w:val="num" w:pos="4680"/>
        </w:tabs>
        <w:ind w:left="4680" w:hanging="360"/>
      </w:pPr>
    </w:lvl>
    <w:lvl w:ilvl="7" w:tplc="B86EF392">
      <w:start w:val="1"/>
      <w:numFmt w:val="lowerLetter"/>
      <w:lvlText w:val="%8."/>
      <w:lvlJc w:val="left"/>
      <w:pPr>
        <w:tabs>
          <w:tab w:val="num" w:pos="5400"/>
        </w:tabs>
        <w:ind w:left="5400" w:hanging="360"/>
      </w:pPr>
    </w:lvl>
    <w:lvl w:ilvl="8" w:tplc="D402DEA2">
      <w:start w:val="1"/>
      <w:numFmt w:val="lowerRoman"/>
      <w:lvlText w:val="%9."/>
      <w:lvlJc w:val="right"/>
      <w:pPr>
        <w:tabs>
          <w:tab w:val="num" w:pos="6120"/>
        </w:tabs>
        <w:ind w:left="6120" w:hanging="180"/>
      </w:pPr>
    </w:lvl>
  </w:abstractNum>
  <w:abstractNum w:abstractNumId="83" w15:restartNumberingAfterBreak="0">
    <w:nsid w:val="1DF623B2"/>
    <w:multiLevelType w:val="hybridMultilevel"/>
    <w:tmpl w:val="575AAC3C"/>
    <w:lvl w:ilvl="0" w:tplc="FFFFFFFF">
      <w:start w:val="1"/>
      <w:numFmt w:val="bullet"/>
      <w:lvlText w:val=""/>
      <w:lvlJc w:val="left"/>
      <w:pPr>
        <w:tabs>
          <w:tab w:val="num" w:pos="360"/>
        </w:tabs>
        <w:ind w:left="360" w:hanging="360"/>
      </w:pPr>
      <w:rPr>
        <w:rFonts w:ascii="Symbol" w:hAnsi="Symbol" w:cs="Symbol" w:hint="default"/>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start w:val="1"/>
      <w:numFmt w:val="bullet"/>
      <w:lvlText w:val=""/>
      <w:lvlJc w:val="left"/>
      <w:pPr>
        <w:tabs>
          <w:tab w:val="num" w:pos="1800"/>
        </w:tabs>
        <w:ind w:left="1800" w:hanging="360"/>
      </w:pPr>
      <w:rPr>
        <w:rFonts w:ascii="Wingdings" w:hAnsi="Wingdings" w:cs="Wingdings" w:hint="default"/>
      </w:rPr>
    </w:lvl>
    <w:lvl w:ilvl="3" w:tplc="FFFFFFFF">
      <w:start w:val="1"/>
      <w:numFmt w:val="bullet"/>
      <w:lvlText w:val=""/>
      <w:lvlJc w:val="left"/>
      <w:pPr>
        <w:tabs>
          <w:tab w:val="num" w:pos="2520"/>
        </w:tabs>
        <w:ind w:left="2520" w:hanging="360"/>
      </w:pPr>
      <w:rPr>
        <w:rFonts w:ascii="Symbol" w:hAnsi="Symbol" w:cs="Symbol" w:hint="default"/>
      </w:rPr>
    </w:lvl>
    <w:lvl w:ilvl="4" w:tplc="FFFFFFFF">
      <w:start w:val="1"/>
      <w:numFmt w:val="bullet"/>
      <w:lvlText w:val="o"/>
      <w:lvlJc w:val="left"/>
      <w:pPr>
        <w:tabs>
          <w:tab w:val="num" w:pos="3240"/>
        </w:tabs>
        <w:ind w:left="3240" w:hanging="360"/>
      </w:pPr>
      <w:rPr>
        <w:rFonts w:ascii="Courier New" w:hAnsi="Courier New" w:cs="Courier New" w:hint="default"/>
      </w:rPr>
    </w:lvl>
    <w:lvl w:ilvl="5" w:tplc="FFFFFFFF">
      <w:start w:val="1"/>
      <w:numFmt w:val="bullet"/>
      <w:lvlText w:val=""/>
      <w:lvlJc w:val="left"/>
      <w:pPr>
        <w:tabs>
          <w:tab w:val="num" w:pos="3960"/>
        </w:tabs>
        <w:ind w:left="3960" w:hanging="360"/>
      </w:pPr>
      <w:rPr>
        <w:rFonts w:ascii="Wingdings" w:hAnsi="Wingdings" w:cs="Wingdings" w:hint="default"/>
      </w:rPr>
    </w:lvl>
    <w:lvl w:ilvl="6" w:tplc="FFFFFFFF">
      <w:start w:val="1"/>
      <w:numFmt w:val="bullet"/>
      <w:lvlText w:val=""/>
      <w:lvlJc w:val="left"/>
      <w:pPr>
        <w:tabs>
          <w:tab w:val="num" w:pos="4680"/>
        </w:tabs>
        <w:ind w:left="4680" w:hanging="360"/>
      </w:pPr>
      <w:rPr>
        <w:rFonts w:ascii="Symbol" w:hAnsi="Symbol" w:cs="Symbol" w:hint="default"/>
      </w:rPr>
    </w:lvl>
    <w:lvl w:ilvl="7" w:tplc="FFFFFFFF">
      <w:start w:val="1"/>
      <w:numFmt w:val="bullet"/>
      <w:lvlText w:val="o"/>
      <w:lvlJc w:val="left"/>
      <w:pPr>
        <w:tabs>
          <w:tab w:val="num" w:pos="5400"/>
        </w:tabs>
        <w:ind w:left="5400" w:hanging="360"/>
      </w:pPr>
      <w:rPr>
        <w:rFonts w:ascii="Courier New" w:hAnsi="Courier New" w:cs="Courier New" w:hint="default"/>
      </w:rPr>
    </w:lvl>
    <w:lvl w:ilvl="8" w:tplc="FFFFFFFF">
      <w:start w:val="1"/>
      <w:numFmt w:val="bullet"/>
      <w:lvlText w:val=""/>
      <w:lvlJc w:val="left"/>
      <w:pPr>
        <w:tabs>
          <w:tab w:val="num" w:pos="6120"/>
        </w:tabs>
        <w:ind w:left="6120" w:hanging="360"/>
      </w:pPr>
      <w:rPr>
        <w:rFonts w:ascii="Wingdings" w:hAnsi="Wingdings" w:cs="Wingdings" w:hint="default"/>
      </w:rPr>
    </w:lvl>
  </w:abstractNum>
  <w:abstractNum w:abstractNumId="84" w15:restartNumberingAfterBreak="0">
    <w:nsid w:val="1E0E2B7F"/>
    <w:multiLevelType w:val="multilevel"/>
    <w:tmpl w:val="AB30E006"/>
    <w:styleLink w:val="WW8Num7"/>
    <w:lvl w:ilvl="0">
      <w:numFmt w:val="bullet"/>
      <w:lvlText w:val="-"/>
      <w:lvlJc w:val="left"/>
      <w:rPr>
        <w:rFonts w:ascii="Symbol" w:hAnsi="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5" w15:restartNumberingAfterBreak="0">
    <w:nsid w:val="1E3C243C"/>
    <w:multiLevelType w:val="singleLevel"/>
    <w:tmpl w:val="8EAE2F76"/>
    <w:lvl w:ilvl="0">
      <w:start w:val="7"/>
      <w:numFmt w:val="decimal"/>
      <w:lvlText w:val="2.5.%1. "/>
      <w:legacy w:legacy="1" w:legacySpace="0" w:legacyIndent="283"/>
      <w:lvlJc w:val="left"/>
      <w:pPr>
        <w:ind w:left="283" w:hanging="283"/>
      </w:pPr>
      <w:rPr>
        <w:rFonts w:ascii="Times New Roman" w:hAnsi="Times New Roman" w:cs="Times New Roman" w:hint="default"/>
        <w:b/>
        <w:i w:val="0"/>
        <w:sz w:val="20"/>
        <w:u w:val="none"/>
      </w:rPr>
    </w:lvl>
  </w:abstractNum>
  <w:abstractNum w:abstractNumId="86" w15:restartNumberingAfterBreak="0">
    <w:nsid w:val="1F232A9E"/>
    <w:multiLevelType w:val="multilevel"/>
    <w:tmpl w:val="B1D2743E"/>
    <w:styleLink w:val="Styl5"/>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648" w:hanging="648"/>
      </w:pPr>
    </w:lvl>
    <w:lvl w:ilvl="4">
      <w:start w:val="1"/>
      <w:numFmt w:val="decimal"/>
      <w:lvlText w:val="%1.%2.%3.%4.%5."/>
      <w:lvlJc w:val="left"/>
      <w:pPr>
        <w:ind w:left="792" w:hanging="792"/>
      </w:pPr>
    </w:lvl>
    <w:lvl w:ilvl="5">
      <w:start w:val="1"/>
      <w:numFmt w:val="decimal"/>
      <w:lvlText w:val="%1.%2.%3.%4.%5.%6."/>
      <w:lvlJc w:val="left"/>
      <w:pPr>
        <w:ind w:left="936" w:hanging="936"/>
      </w:pPr>
    </w:lvl>
    <w:lvl w:ilvl="6">
      <w:start w:val="1"/>
      <w:numFmt w:val="decimal"/>
      <w:lvlText w:val="%1.%2.%3.%4.%5.%6.%7."/>
      <w:lvlJc w:val="left"/>
      <w:pPr>
        <w:ind w:left="108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7" w15:restartNumberingAfterBreak="0">
    <w:nsid w:val="20F6293F"/>
    <w:multiLevelType w:val="hybridMultilevel"/>
    <w:tmpl w:val="0D2CD7B6"/>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8" w15:restartNumberingAfterBreak="0">
    <w:nsid w:val="21CB2743"/>
    <w:multiLevelType w:val="singleLevel"/>
    <w:tmpl w:val="D33C3DF6"/>
    <w:lvl w:ilvl="0">
      <w:start w:val="1"/>
      <w:numFmt w:val="decimal"/>
      <w:lvlText w:val="5.5.%1. "/>
      <w:legacy w:legacy="1" w:legacySpace="0" w:legacyIndent="283"/>
      <w:lvlJc w:val="left"/>
      <w:pPr>
        <w:ind w:left="283" w:hanging="283"/>
      </w:pPr>
      <w:rPr>
        <w:rFonts w:ascii="Times New Roman" w:hAnsi="Times New Roman" w:cs="Times New Roman" w:hint="default"/>
        <w:b/>
        <w:i w:val="0"/>
        <w:sz w:val="20"/>
        <w:u w:val="none"/>
      </w:rPr>
    </w:lvl>
  </w:abstractNum>
  <w:abstractNum w:abstractNumId="89" w15:restartNumberingAfterBreak="0">
    <w:nsid w:val="22F83F18"/>
    <w:multiLevelType w:val="hybridMultilevel"/>
    <w:tmpl w:val="A972F9AC"/>
    <w:lvl w:ilvl="0" w:tplc="36DC2774">
      <w:start w:val="1"/>
      <w:numFmt w:val="bullet"/>
      <w:lvlText w:val="-"/>
      <w:lvlJc w:val="left"/>
      <w:pPr>
        <w:ind w:left="720" w:hanging="360"/>
      </w:pPr>
      <w:rPr>
        <w:rFonts w:ascii="Calibri" w:eastAsia="Verdana" w:hAnsi="Calibri" w:cs="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0" w15:restartNumberingAfterBreak="0">
    <w:nsid w:val="23396ED7"/>
    <w:multiLevelType w:val="hybridMultilevel"/>
    <w:tmpl w:val="E7F8A59C"/>
    <w:lvl w:ilvl="0" w:tplc="7066676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15:restartNumberingAfterBreak="0">
    <w:nsid w:val="23496F75"/>
    <w:multiLevelType w:val="singleLevel"/>
    <w:tmpl w:val="63B82254"/>
    <w:lvl w:ilvl="0">
      <w:start w:val="2"/>
      <w:numFmt w:val="decimal"/>
      <w:lvlText w:val="5.5.4.%1. "/>
      <w:legacy w:legacy="1" w:legacySpace="0" w:legacyIndent="283"/>
      <w:lvlJc w:val="left"/>
      <w:pPr>
        <w:ind w:left="283" w:hanging="283"/>
      </w:pPr>
      <w:rPr>
        <w:rFonts w:ascii="Times New Roman" w:hAnsi="Times New Roman" w:cs="Times New Roman" w:hint="default"/>
        <w:b w:val="0"/>
        <w:i w:val="0"/>
        <w:sz w:val="20"/>
        <w:u w:val="none"/>
      </w:rPr>
    </w:lvl>
  </w:abstractNum>
  <w:abstractNum w:abstractNumId="92" w15:restartNumberingAfterBreak="0">
    <w:nsid w:val="23EF3A2A"/>
    <w:multiLevelType w:val="multilevel"/>
    <w:tmpl w:val="60F4C46C"/>
    <w:lvl w:ilvl="0">
      <w:start w:val="1"/>
      <w:numFmt w:val="decimal"/>
      <w:lvlText w:val="%1."/>
      <w:lvlJc w:val="left"/>
      <w:pPr>
        <w:ind w:left="720" w:hanging="360"/>
      </w:pPr>
      <w:rPr>
        <w:rFonts w:hint="default"/>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Zero"/>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3" w15:restartNumberingAfterBreak="0">
    <w:nsid w:val="23F7046A"/>
    <w:multiLevelType w:val="hybridMultilevel"/>
    <w:tmpl w:val="A656D55E"/>
    <w:lvl w:ilvl="0" w:tplc="7EE0F1CE">
      <w:start w:val="1"/>
      <w:numFmt w:val="decimal"/>
      <w:lvlText w:val="%1."/>
      <w:lvlJc w:val="left"/>
      <w:pPr>
        <w:ind w:left="720" w:hanging="360"/>
      </w:pPr>
      <w:rPr>
        <w:rFonts w:hint="default"/>
        <w:b w:val="0"/>
      </w:rPr>
    </w:lvl>
    <w:lvl w:ilvl="1" w:tplc="4F32A052">
      <w:start w:val="1"/>
      <w:numFmt w:val="lowerLetter"/>
      <w:lvlText w:val="%2."/>
      <w:lvlJc w:val="left"/>
      <w:pPr>
        <w:ind w:left="1440" w:hanging="360"/>
      </w:pPr>
    </w:lvl>
    <w:lvl w:ilvl="2" w:tplc="04150005" w:tentative="1">
      <w:start w:val="1"/>
      <w:numFmt w:val="lowerRoman"/>
      <w:lvlText w:val="%3."/>
      <w:lvlJc w:val="right"/>
      <w:pPr>
        <w:ind w:left="2160" w:hanging="180"/>
      </w:pPr>
    </w:lvl>
    <w:lvl w:ilvl="3" w:tplc="04150001" w:tentative="1">
      <w:start w:val="1"/>
      <w:numFmt w:val="decimal"/>
      <w:lvlText w:val="%4."/>
      <w:lvlJc w:val="left"/>
      <w:pPr>
        <w:ind w:left="2880" w:hanging="360"/>
      </w:pPr>
    </w:lvl>
    <w:lvl w:ilvl="4" w:tplc="04150003" w:tentative="1">
      <w:start w:val="1"/>
      <w:numFmt w:val="lowerLetter"/>
      <w:lvlText w:val="%5."/>
      <w:lvlJc w:val="left"/>
      <w:pPr>
        <w:ind w:left="3600" w:hanging="360"/>
      </w:pPr>
    </w:lvl>
    <w:lvl w:ilvl="5" w:tplc="04150005" w:tentative="1">
      <w:start w:val="1"/>
      <w:numFmt w:val="lowerRoman"/>
      <w:lvlText w:val="%6."/>
      <w:lvlJc w:val="right"/>
      <w:pPr>
        <w:ind w:left="4320" w:hanging="180"/>
      </w:pPr>
    </w:lvl>
    <w:lvl w:ilvl="6" w:tplc="04150001" w:tentative="1">
      <w:start w:val="1"/>
      <w:numFmt w:val="decimal"/>
      <w:lvlText w:val="%7."/>
      <w:lvlJc w:val="left"/>
      <w:pPr>
        <w:ind w:left="5040" w:hanging="360"/>
      </w:pPr>
    </w:lvl>
    <w:lvl w:ilvl="7" w:tplc="04150003" w:tentative="1">
      <w:start w:val="1"/>
      <w:numFmt w:val="lowerLetter"/>
      <w:lvlText w:val="%8."/>
      <w:lvlJc w:val="left"/>
      <w:pPr>
        <w:ind w:left="5760" w:hanging="360"/>
      </w:pPr>
    </w:lvl>
    <w:lvl w:ilvl="8" w:tplc="04150005" w:tentative="1">
      <w:start w:val="1"/>
      <w:numFmt w:val="lowerRoman"/>
      <w:lvlText w:val="%9."/>
      <w:lvlJc w:val="right"/>
      <w:pPr>
        <w:ind w:left="6480" w:hanging="180"/>
      </w:pPr>
    </w:lvl>
  </w:abstractNum>
  <w:abstractNum w:abstractNumId="94" w15:restartNumberingAfterBreak="0">
    <w:nsid w:val="244A5725"/>
    <w:multiLevelType w:val="multilevel"/>
    <w:tmpl w:val="F97230B8"/>
    <w:lvl w:ilvl="0">
      <w:start w:val="1"/>
      <w:numFmt w:val="bullet"/>
      <w:lvlText w:val="-"/>
      <w:lvlJc w:val="left"/>
      <w:pPr>
        <w:ind w:left="0" w:firstLine="0"/>
      </w:pPr>
      <w:rPr>
        <w:rFonts w:ascii="Times New Roman" w:eastAsia="Times New Roman" w:hAnsi="Times New Roman" w:cs="Times New Roman"/>
        <w:b/>
        <w:bCs/>
        <w:i w:val="0"/>
        <w:iCs w:val="0"/>
        <w:smallCaps w:val="0"/>
        <w:strike w:val="0"/>
        <w:dstrike w:val="0"/>
        <w:color w:val="000000"/>
        <w:spacing w:val="-10"/>
        <w:w w:val="100"/>
        <w:position w:val="0"/>
        <w:sz w:val="19"/>
        <w:szCs w:val="19"/>
        <w:u w:val="none"/>
        <w:effect w:val="none"/>
        <w:lang w:val="pl-PL"/>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95" w15:restartNumberingAfterBreak="0">
    <w:nsid w:val="24602CBB"/>
    <w:multiLevelType w:val="multilevel"/>
    <w:tmpl w:val="DB18BA58"/>
    <w:lvl w:ilvl="0">
      <w:start w:val="1"/>
      <w:numFmt w:val="decimal"/>
      <w:lvlText w:val="%1."/>
      <w:lvlJc w:val="left"/>
      <w:pPr>
        <w:tabs>
          <w:tab w:val="num" w:pos="284"/>
        </w:tabs>
        <w:ind w:left="0" w:firstLine="0"/>
      </w:pPr>
      <w:rPr>
        <w:rFonts w:hint="default"/>
      </w:rPr>
    </w:lvl>
    <w:lvl w:ilvl="1">
      <w:start w:val="1"/>
      <w:numFmt w:val="decimal"/>
      <w:isLgl/>
      <w:lvlText w:val="%1.%2."/>
      <w:lvlJc w:val="left"/>
      <w:pPr>
        <w:tabs>
          <w:tab w:val="num" w:pos="360"/>
        </w:tabs>
        <w:ind w:left="360" w:hanging="360"/>
      </w:pPr>
      <w:rPr>
        <w:rFonts w:hint="default"/>
      </w:rPr>
    </w:lvl>
    <w:lvl w:ilvl="2">
      <w:start w:val="1"/>
      <w:numFmt w:val="none"/>
      <w:lvlText w:val="2.2.1."/>
      <w:lvlJc w:val="left"/>
      <w:pPr>
        <w:tabs>
          <w:tab w:val="num" w:pos="567"/>
        </w:tabs>
        <w:ind w:left="0" w:firstLine="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96" w15:restartNumberingAfterBreak="0">
    <w:nsid w:val="2476047A"/>
    <w:multiLevelType w:val="hybridMultilevel"/>
    <w:tmpl w:val="E2100534"/>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7" w15:restartNumberingAfterBreak="0">
    <w:nsid w:val="24C71D58"/>
    <w:multiLevelType w:val="hybridMultilevel"/>
    <w:tmpl w:val="00E23EC4"/>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8" w15:restartNumberingAfterBreak="0">
    <w:nsid w:val="253F2CE5"/>
    <w:multiLevelType w:val="singleLevel"/>
    <w:tmpl w:val="35CADC46"/>
    <w:lvl w:ilvl="0">
      <w:start w:val="5"/>
      <w:numFmt w:val="decimal"/>
      <w:lvlText w:val="2.4.%1. "/>
      <w:legacy w:legacy="1" w:legacySpace="0" w:legacyIndent="283"/>
      <w:lvlJc w:val="left"/>
      <w:pPr>
        <w:ind w:left="283" w:hanging="283"/>
      </w:pPr>
      <w:rPr>
        <w:b/>
        <w:i w:val="0"/>
        <w:sz w:val="20"/>
      </w:rPr>
    </w:lvl>
  </w:abstractNum>
  <w:abstractNum w:abstractNumId="99" w15:restartNumberingAfterBreak="0">
    <w:nsid w:val="254A3C79"/>
    <w:multiLevelType w:val="hybridMultilevel"/>
    <w:tmpl w:val="391EC432"/>
    <w:lvl w:ilvl="0" w:tplc="D5DE4282">
      <w:start w:val="1"/>
      <w:numFmt w:val="bullet"/>
      <w:lvlText w:val="–"/>
      <w:lvlJc w:val="left"/>
      <w:pPr>
        <w:ind w:left="720" w:hanging="360"/>
      </w:pPr>
      <w:rPr>
        <w:rFonts w:ascii="Times New Roman" w:hAnsi="Times New Roman" w:cs="Times New Roman" w:hint="default"/>
      </w:rPr>
    </w:lvl>
    <w:lvl w:ilvl="1" w:tplc="D1A2EF0C" w:tentative="1">
      <w:start w:val="1"/>
      <w:numFmt w:val="bullet"/>
      <w:lvlText w:val="o"/>
      <w:lvlJc w:val="left"/>
      <w:pPr>
        <w:ind w:left="1440" w:hanging="360"/>
      </w:pPr>
      <w:rPr>
        <w:rFonts w:ascii="Courier New" w:hAnsi="Courier New" w:cs="Courier New" w:hint="default"/>
      </w:rPr>
    </w:lvl>
    <w:lvl w:ilvl="2" w:tplc="4D6CA9BE" w:tentative="1">
      <w:start w:val="1"/>
      <w:numFmt w:val="bullet"/>
      <w:lvlText w:val=""/>
      <w:lvlJc w:val="left"/>
      <w:pPr>
        <w:ind w:left="2160" w:hanging="360"/>
      </w:pPr>
      <w:rPr>
        <w:rFonts w:ascii="Wingdings" w:hAnsi="Wingdings" w:hint="default"/>
      </w:rPr>
    </w:lvl>
    <w:lvl w:ilvl="3" w:tplc="87DCA872" w:tentative="1">
      <w:start w:val="1"/>
      <w:numFmt w:val="bullet"/>
      <w:lvlText w:val=""/>
      <w:lvlJc w:val="left"/>
      <w:pPr>
        <w:ind w:left="2880" w:hanging="360"/>
      </w:pPr>
      <w:rPr>
        <w:rFonts w:ascii="Symbol" w:hAnsi="Symbol" w:hint="default"/>
      </w:rPr>
    </w:lvl>
    <w:lvl w:ilvl="4" w:tplc="CD3C0B38" w:tentative="1">
      <w:start w:val="1"/>
      <w:numFmt w:val="bullet"/>
      <w:lvlText w:val="o"/>
      <w:lvlJc w:val="left"/>
      <w:pPr>
        <w:ind w:left="3600" w:hanging="360"/>
      </w:pPr>
      <w:rPr>
        <w:rFonts w:ascii="Courier New" w:hAnsi="Courier New" w:cs="Courier New" w:hint="default"/>
      </w:rPr>
    </w:lvl>
    <w:lvl w:ilvl="5" w:tplc="C82A6C22" w:tentative="1">
      <w:start w:val="1"/>
      <w:numFmt w:val="bullet"/>
      <w:lvlText w:val=""/>
      <w:lvlJc w:val="left"/>
      <w:pPr>
        <w:ind w:left="4320" w:hanging="360"/>
      </w:pPr>
      <w:rPr>
        <w:rFonts w:ascii="Wingdings" w:hAnsi="Wingdings" w:hint="default"/>
      </w:rPr>
    </w:lvl>
    <w:lvl w:ilvl="6" w:tplc="B364B4EE" w:tentative="1">
      <w:start w:val="1"/>
      <w:numFmt w:val="bullet"/>
      <w:lvlText w:val=""/>
      <w:lvlJc w:val="left"/>
      <w:pPr>
        <w:ind w:left="5040" w:hanging="360"/>
      </w:pPr>
      <w:rPr>
        <w:rFonts w:ascii="Symbol" w:hAnsi="Symbol" w:hint="default"/>
      </w:rPr>
    </w:lvl>
    <w:lvl w:ilvl="7" w:tplc="A4024B22" w:tentative="1">
      <w:start w:val="1"/>
      <w:numFmt w:val="bullet"/>
      <w:lvlText w:val="o"/>
      <w:lvlJc w:val="left"/>
      <w:pPr>
        <w:ind w:left="5760" w:hanging="360"/>
      </w:pPr>
      <w:rPr>
        <w:rFonts w:ascii="Courier New" w:hAnsi="Courier New" w:cs="Courier New" w:hint="default"/>
      </w:rPr>
    </w:lvl>
    <w:lvl w:ilvl="8" w:tplc="A67EB36C" w:tentative="1">
      <w:start w:val="1"/>
      <w:numFmt w:val="bullet"/>
      <w:lvlText w:val=""/>
      <w:lvlJc w:val="left"/>
      <w:pPr>
        <w:ind w:left="6480" w:hanging="360"/>
      </w:pPr>
      <w:rPr>
        <w:rFonts w:ascii="Wingdings" w:hAnsi="Wingdings" w:hint="default"/>
      </w:rPr>
    </w:lvl>
  </w:abstractNum>
  <w:abstractNum w:abstractNumId="100" w15:restartNumberingAfterBreak="0">
    <w:nsid w:val="25FD0301"/>
    <w:multiLevelType w:val="hybridMultilevel"/>
    <w:tmpl w:val="BD6C5004"/>
    <w:lvl w:ilvl="0" w:tplc="DB9A5156">
      <w:start w:val="1"/>
      <w:numFmt w:val="bullet"/>
      <w:lvlText w:val=""/>
      <w:lvlJc w:val="left"/>
      <w:pPr>
        <w:ind w:left="720" w:hanging="360"/>
      </w:pPr>
      <w:rPr>
        <w:rFonts w:ascii="Symbol" w:hAnsi="Symbol" w:hint="default"/>
      </w:rPr>
    </w:lvl>
    <w:lvl w:ilvl="1" w:tplc="D6202C8C" w:tentative="1">
      <w:start w:val="1"/>
      <w:numFmt w:val="bullet"/>
      <w:lvlText w:val="o"/>
      <w:lvlJc w:val="left"/>
      <w:pPr>
        <w:ind w:left="1440" w:hanging="360"/>
      </w:pPr>
      <w:rPr>
        <w:rFonts w:ascii="Courier New" w:hAnsi="Courier New" w:cs="Courier New" w:hint="default"/>
      </w:rPr>
    </w:lvl>
    <w:lvl w:ilvl="2" w:tplc="5734F41E" w:tentative="1">
      <w:start w:val="1"/>
      <w:numFmt w:val="bullet"/>
      <w:lvlText w:val=""/>
      <w:lvlJc w:val="left"/>
      <w:pPr>
        <w:ind w:left="2160" w:hanging="360"/>
      </w:pPr>
      <w:rPr>
        <w:rFonts w:ascii="Wingdings" w:hAnsi="Wingdings" w:hint="default"/>
      </w:rPr>
    </w:lvl>
    <w:lvl w:ilvl="3" w:tplc="B30A0850" w:tentative="1">
      <w:start w:val="1"/>
      <w:numFmt w:val="bullet"/>
      <w:lvlText w:val=""/>
      <w:lvlJc w:val="left"/>
      <w:pPr>
        <w:ind w:left="2880" w:hanging="360"/>
      </w:pPr>
      <w:rPr>
        <w:rFonts w:ascii="Symbol" w:hAnsi="Symbol" w:hint="default"/>
      </w:rPr>
    </w:lvl>
    <w:lvl w:ilvl="4" w:tplc="46A8FF98" w:tentative="1">
      <w:start w:val="1"/>
      <w:numFmt w:val="bullet"/>
      <w:lvlText w:val="o"/>
      <w:lvlJc w:val="left"/>
      <w:pPr>
        <w:ind w:left="3600" w:hanging="360"/>
      </w:pPr>
      <w:rPr>
        <w:rFonts w:ascii="Courier New" w:hAnsi="Courier New" w:cs="Courier New" w:hint="default"/>
      </w:rPr>
    </w:lvl>
    <w:lvl w:ilvl="5" w:tplc="2C74DE5E" w:tentative="1">
      <w:start w:val="1"/>
      <w:numFmt w:val="bullet"/>
      <w:lvlText w:val=""/>
      <w:lvlJc w:val="left"/>
      <w:pPr>
        <w:ind w:left="4320" w:hanging="360"/>
      </w:pPr>
      <w:rPr>
        <w:rFonts w:ascii="Wingdings" w:hAnsi="Wingdings" w:hint="default"/>
      </w:rPr>
    </w:lvl>
    <w:lvl w:ilvl="6" w:tplc="5D1C54FA" w:tentative="1">
      <w:start w:val="1"/>
      <w:numFmt w:val="bullet"/>
      <w:lvlText w:val=""/>
      <w:lvlJc w:val="left"/>
      <w:pPr>
        <w:ind w:left="5040" w:hanging="360"/>
      </w:pPr>
      <w:rPr>
        <w:rFonts w:ascii="Symbol" w:hAnsi="Symbol" w:hint="default"/>
      </w:rPr>
    </w:lvl>
    <w:lvl w:ilvl="7" w:tplc="6C182FE2" w:tentative="1">
      <w:start w:val="1"/>
      <w:numFmt w:val="bullet"/>
      <w:lvlText w:val="o"/>
      <w:lvlJc w:val="left"/>
      <w:pPr>
        <w:ind w:left="5760" w:hanging="360"/>
      </w:pPr>
      <w:rPr>
        <w:rFonts w:ascii="Courier New" w:hAnsi="Courier New" w:cs="Courier New" w:hint="default"/>
      </w:rPr>
    </w:lvl>
    <w:lvl w:ilvl="8" w:tplc="5E184204" w:tentative="1">
      <w:start w:val="1"/>
      <w:numFmt w:val="bullet"/>
      <w:lvlText w:val=""/>
      <w:lvlJc w:val="left"/>
      <w:pPr>
        <w:ind w:left="6480" w:hanging="360"/>
      </w:pPr>
      <w:rPr>
        <w:rFonts w:ascii="Wingdings" w:hAnsi="Wingdings" w:hint="default"/>
      </w:rPr>
    </w:lvl>
  </w:abstractNum>
  <w:abstractNum w:abstractNumId="101" w15:restartNumberingAfterBreak="0">
    <w:nsid w:val="26E71E1A"/>
    <w:multiLevelType w:val="singleLevel"/>
    <w:tmpl w:val="F82C6FF4"/>
    <w:lvl w:ilvl="0">
      <w:start w:val="9"/>
      <w:numFmt w:val="decimal"/>
      <w:lvlText w:val="5.5.%1. "/>
      <w:legacy w:legacy="1" w:legacySpace="0" w:legacyIndent="283"/>
      <w:lvlJc w:val="left"/>
      <w:pPr>
        <w:ind w:left="283" w:hanging="283"/>
      </w:pPr>
      <w:rPr>
        <w:rFonts w:ascii="Times New Roman" w:hAnsi="Times New Roman" w:cs="Times New Roman" w:hint="default"/>
        <w:b/>
        <w:i w:val="0"/>
        <w:sz w:val="20"/>
        <w:u w:val="none"/>
      </w:rPr>
    </w:lvl>
  </w:abstractNum>
  <w:abstractNum w:abstractNumId="102" w15:restartNumberingAfterBreak="0">
    <w:nsid w:val="26E728CE"/>
    <w:multiLevelType w:val="hybridMultilevel"/>
    <w:tmpl w:val="2D98A762"/>
    <w:lvl w:ilvl="0" w:tplc="E1DC4834">
      <w:start w:val="6"/>
      <w:numFmt w:val="bullet"/>
      <w:pStyle w:val="13-poj"/>
      <w:lvlText w:val="-"/>
      <w:lvlJc w:val="left"/>
      <w:pPr>
        <w:tabs>
          <w:tab w:val="num" w:pos="1440"/>
        </w:tabs>
        <w:ind w:left="1440" w:hanging="360"/>
      </w:pPr>
      <w:rPr>
        <w:rFonts w:ascii="Verdana" w:eastAsia="Times New Roman" w:hAnsi="Verdana" w:cs="Times New Roman" w:hint="default"/>
      </w:rPr>
    </w:lvl>
    <w:lvl w:ilvl="1" w:tplc="7114928E">
      <w:start w:val="6"/>
      <w:numFmt w:val="bullet"/>
      <w:lvlText w:val="-"/>
      <w:lvlJc w:val="left"/>
      <w:pPr>
        <w:tabs>
          <w:tab w:val="num" w:pos="1440"/>
        </w:tabs>
        <w:ind w:left="1440" w:hanging="360"/>
      </w:pPr>
      <w:rPr>
        <w:rFonts w:ascii="Verdana" w:eastAsia="Times New Roman" w:hAnsi="Verdana" w:cs="Times New Roman" w:hint="default"/>
      </w:rPr>
    </w:lvl>
    <w:lvl w:ilvl="2" w:tplc="FE9AFF08" w:tentative="1">
      <w:start w:val="1"/>
      <w:numFmt w:val="bullet"/>
      <w:lvlText w:val=""/>
      <w:lvlJc w:val="left"/>
      <w:pPr>
        <w:tabs>
          <w:tab w:val="num" w:pos="2160"/>
        </w:tabs>
        <w:ind w:left="2160" w:hanging="360"/>
      </w:pPr>
      <w:rPr>
        <w:rFonts w:ascii="Wingdings" w:hAnsi="Wingdings" w:hint="default"/>
      </w:rPr>
    </w:lvl>
    <w:lvl w:ilvl="3" w:tplc="A4C6EDD6" w:tentative="1">
      <w:start w:val="1"/>
      <w:numFmt w:val="bullet"/>
      <w:lvlText w:val=""/>
      <w:lvlJc w:val="left"/>
      <w:pPr>
        <w:tabs>
          <w:tab w:val="num" w:pos="2880"/>
        </w:tabs>
        <w:ind w:left="2880" w:hanging="360"/>
      </w:pPr>
      <w:rPr>
        <w:rFonts w:ascii="Symbol" w:hAnsi="Symbol" w:hint="default"/>
      </w:rPr>
    </w:lvl>
    <w:lvl w:ilvl="4" w:tplc="EB5AA064" w:tentative="1">
      <w:start w:val="1"/>
      <w:numFmt w:val="bullet"/>
      <w:lvlText w:val="o"/>
      <w:lvlJc w:val="left"/>
      <w:pPr>
        <w:tabs>
          <w:tab w:val="num" w:pos="3600"/>
        </w:tabs>
        <w:ind w:left="3600" w:hanging="360"/>
      </w:pPr>
      <w:rPr>
        <w:rFonts w:ascii="Courier New" w:hAnsi="Courier New" w:hint="default"/>
      </w:rPr>
    </w:lvl>
    <w:lvl w:ilvl="5" w:tplc="BABC5FD0" w:tentative="1">
      <w:start w:val="1"/>
      <w:numFmt w:val="bullet"/>
      <w:lvlText w:val=""/>
      <w:lvlJc w:val="left"/>
      <w:pPr>
        <w:tabs>
          <w:tab w:val="num" w:pos="4320"/>
        </w:tabs>
        <w:ind w:left="4320" w:hanging="360"/>
      </w:pPr>
      <w:rPr>
        <w:rFonts w:ascii="Wingdings" w:hAnsi="Wingdings" w:hint="default"/>
      </w:rPr>
    </w:lvl>
    <w:lvl w:ilvl="6" w:tplc="2C3E9CB0" w:tentative="1">
      <w:start w:val="1"/>
      <w:numFmt w:val="bullet"/>
      <w:lvlText w:val=""/>
      <w:lvlJc w:val="left"/>
      <w:pPr>
        <w:tabs>
          <w:tab w:val="num" w:pos="5040"/>
        </w:tabs>
        <w:ind w:left="5040" w:hanging="360"/>
      </w:pPr>
      <w:rPr>
        <w:rFonts w:ascii="Symbol" w:hAnsi="Symbol" w:hint="default"/>
      </w:rPr>
    </w:lvl>
    <w:lvl w:ilvl="7" w:tplc="BAAAA4C8" w:tentative="1">
      <w:start w:val="1"/>
      <w:numFmt w:val="bullet"/>
      <w:lvlText w:val="o"/>
      <w:lvlJc w:val="left"/>
      <w:pPr>
        <w:tabs>
          <w:tab w:val="num" w:pos="5760"/>
        </w:tabs>
        <w:ind w:left="5760" w:hanging="360"/>
      </w:pPr>
      <w:rPr>
        <w:rFonts w:ascii="Courier New" w:hAnsi="Courier New" w:hint="default"/>
      </w:rPr>
    </w:lvl>
    <w:lvl w:ilvl="8" w:tplc="10FE5D5A" w:tentative="1">
      <w:start w:val="1"/>
      <w:numFmt w:val="bullet"/>
      <w:lvlText w:val=""/>
      <w:lvlJc w:val="left"/>
      <w:pPr>
        <w:tabs>
          <w:tab w:val="num" w:pos="6480"/>
        </w:tabs>
        <w:ind w:left="6480" w:hanging="360"/>
      </w:pPr>
      <w:rPr>
        <w:rFonts w:ascii="Wingdings" w:hAnsi="Wingdings" w:hint="default"/>
      </w:rPr>
    </w:lvl>
  </w:abstractNum>
  <w:abstractNum w:abstractNumId="103" w15:restartNumberingAfterBreak="0">
    <w:nsid w:val="27411CF7"/>
    <w:multiLevelType w:val="hybridMultilevel"/>
    <w:tmpl w:val="E6E68940"/>
    <w:lvl w:ilvl="0" w:tplc="7D0A56CA">
      <w:start w:val="1"/>
      <w:numFmt w:val="bullet"/>
      <w:lvlText w:val="–"/>
      <w:lvlJc w:val="left"/>
      <w:pPr>
        <w:tabs>
          <w:tab w:val="num" w:pos="397"/>
        </w:tabs>
        <w:ind w:left="397"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04" w15:restartNumberingAfterBreak="0">
    <w:nsid w:val="27EC336B"/>
    <w:multiLevelType w:val="hybridMultilevel"/>
    <w:tmpl w:val="33E64812"/>
    <w:lvl w:ilvl="0" w:tplc="36DC2774">
      <w:start w:val="1"/>
      <w:numFmt w:val="bullet"/>
      <w:lvlText w:val="-"/>
      <w:lvlJc w:val="left"/>
      <w:pPr>
        <w:ind w:left="1363" w:hanging="360"/>
      </w:pPr>
      <w:rPr>
        <w:rFonts w:ascii="Calibri" w:eastAsia="Verdana" w:hAnsi="Calibri" w:cs="Calibri" w:hint="default"/>
      </w:rPr>
    </w:lvl>
    <w:lvl w:ilvl="1" w:tplc="04150003" w:tentative="1">
      <w:start w:val="1"/>
      <w:numFmt w:val="bullet"/>
      <w:lvlText w:val="o"/>
      <w:lvlJc w:val="left"/>
      <w:pPr>
        <w:ind w:left="2083" w:hanging="360"/>
      </w:pPr>
      <w:rPr>
        <w:rFonts w:ascii="Courier New" w:hAnsi="Courier New" w:cs="Courier New" w:hint="default"/>
      </w:rPr>
    </w:lvl>
    <w:lvl w:ilvl="2" w:tplc="04150005" w:tentative="1">
      <w:start w:val="1"/>
      <w:numFmt w:val="bullet"/>
      <w:lvlText w:val=""/>
      <w:lvlJc w:val="left"/>
      <w:pPr>
        <w:ind w:left="2803" w:hanging="360"/>
      </w:pPr>
      <w:rPr>
        <w:rFonts w:ascii="Wingdings" w:hAnsi="Wingdings" w:hint="default"/>
      </w:rPr>
    </w:lvl>
    <w:lvl w:ilvl="3" w:tplc="04150001" w:tentative="1">
      <w:start w:val="1"/>
      <w:numFmt w:val="bullet"/>
      <w:lvlText w:val=""/>
      <w:lvlJc w:val="left"/>
      <w:pPr>
        <w:ind w:left="3523" w:hanging="360"/>
      </w:pPr>
      <w:rPr>
        <w:rFonts w:ascii="Symbol" w:hAnsi="Symbol" w:hint="default"/>
      </w:rPr>
    </w:lvl>
    <w:lvl w:ilvl="4" w:tplc="04150003" w:tentative="1">
      <w:start w:val="1"/>
      <w:numFmt w:val="bullet"/>
      <w:lvlText w:val="o"/>
      <w:lvlJc w:val="left"/>
      <w:pPr>
        <w:ind w:left="4243" w:hanging="360"/>
      </w:pPr>
      <w:rPr>
        <w:rFonts w:ascii="Courier New" w:hAnsi="Courier New" w:cs="Courier New" w:hint="default"/>
      </w:rPr>
    </w:lvl>
    <w:lvl w:ilvl="5" w:tplc="04150005" w:tentative="1">
      <w:start w:val="1"/>
      <w:numFmt w:val="bullet"/>
      <w:lvlText w:val=""/>
      <w:lvlJc w:val="left"/>
      <w:pPr>
        <w:ind w:left="4963" w:hanging="360"/>
      </w:pPr>
      <w:rPr>
        <w:rFonts w:ascii="Wingdings" w:hAnsi="Wingdings" w:hint="default"/>
      </w:rPr>
    </w:lvl>
    <w:lvl w:ilvl="6" w:tplc="04150001" w:tentative="1">
      <w:start w:val="1"/>
      <w:numFmt w:val="bullet"/>
      <w:lvlText w:val=""/>
      <w:lvlJc w:val="left"/>
      <w:pPr>
        <w:ind w:left="5683" w:hanging="360"/>
      </w:pPr>
      <w:rPr>
        <w:rFonts w:ascii="Symbol" w:hAnsi="Symbol" w:hint="default"/>
      </w:rPr>
    </w:lvl>
    <w:lvl w:ilvl="7" w:tplc="04150003" w:tentative="1">
      <w:start w:val="1"/>
      <w:numFmt w:val="bullet"/>
      <w:lvlText w:val="o"/>
      <w:lvlJc w:val="left"/>
      <w:pPr>
        <w:ind w:left="6403" w:hanging="360"/>
      </w:pPr>
      <w:rPr>
        <w:rFonts w:ascii="Courier New" w:hAnsi="Courier New" w:cs="Courier New" w:hint="default"/>
      </w:rPr>
    </w:lvl>
    <w:lvl w:ilvl="8" w:tplc="04150005" w:tentative="1">
      <w:start w:val="1"/>
      <w:numFmt w:val="bullet"/>
      <w:lvlText w:val=""/>
      <w:lvlJc w:val="left"/>
      <w:pPr>
        <w:ind w:left="7123" w:hanging="360"/>
      </w:pPr>
      <w:rPr>
        <w:rFonts w:ascii="Wingdings" w:hAnsi="Wingdings" w:hint="default"/>
      </w:rPr>
    </w:lvl>
  </w:abstractNum>
  <w:abstractNum w:abstractNumId="105" w15:restartNumberingAfterBreak="0">
    <w:nsid w:val="28550B8C"/>
    <w:multiLevelType w:val="singleLevel"/>
    <w:tmpl w:val="5580658E"/>
    <w:lvl w:ilvl="0">
      <w:start w:val="2"/>
      <w:numFmt w:val="decimal"/>
      <w:lvlText w:val="2.4.%1. "/>
      <w:legacy w:legacy="1" w:legacySpace="0" w:legacyIndent="283"/>
      <w:lvlJc w:val="left"/>
      <w:pPr>
        <w:ind w:left="283" w:hanging="283"/>
      </w:pPr>
      <w:rPr>
        <w:rFonts w:ascii="Times New Roman" w:hAnsi="Times New Roman" w:cs="Times New Roman" w:hint="default"/>
        <w:b/>
        <w:i w:val="0"/>
        <w:sz w:val="20"/>
        <w:u w:val="none"/>
      </w:rPr>
    </w:lvl>
  </w:abstractNum>
  <w:abstractNum w:abstractNumId="106" w15:restartNumberingAfterBreak="0">
    <w:nsid w:val="28D82A73"/>
    <w:multiLevelType w:val="multilevel"/>
    <w:tmpl w:val="439E753C"/>
    <w:lvl w:ilvl="0">
      <w:start w:val="1"/>
      <w:numFmt w:val="decimal"/>
      <w:lvlText w:val="%1."/>
      <w:lvlJc w:val="left"/>
      <w:pPr>
        <w:ind w:left="720" w:hanging="360"/>
      </w:pPr>
      <w:rPr>
        <w:rFonts w:hint="default"/>
      </w:rPr>
    </w:lvl>
    <w:lvl w:ilvl="1">
      <w:start w:val="4"/>
      <w:numFmt w:val="decimal"/>
      <w:isLgl/>
      <w:lvlText w:val="%1.%2"/>
      <w:lvlJc w:val="left"/>
      <w:pPr>
        <w:ind w:left="765" w:hanging="405"/>
      </w:pPr>
      <w:rPr>
        <w:rFonts w:hint="default"/>
      </w:rPr>
    </w:lvl>
    <w:lvl w:ilvl="2">
      <w:start w:val="3"/>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7" w15:restartNumberingAfterBreak="0">
    <w:nsid w:val="292D651B"/>
    <w:multiLevelType w:val="singleLevel"/>
    <w:tmpl w:val="2EA288E4"/>
    <w:lvl w:ilvl="0">
      <w:start w:val="1"/>
      <w:numFmt w:val="decimal"/>
      <w:lvlText w:val="5.5.3.%1. "/>
      <w:legacy w:legacy="1" w:legacySpace="0" w:legacyIndent="283"/>
      <w:lvlJc w:val="left"/>
      <w:pPr>
        <w:ind w:left="283" w:hanging="283"/>
      </w:pPr>
      <w:rPr>
        <w:rFonts w:ascii="Times New Roman" w:hAnsi="Times New Roman" w:cs="Times New Roman" w:hint="default"/>
        <w:b w:val="0"/>
        <w:i w:val="0"/>
        <w:sz w:val="20"/>
        <w:u w:val="none"/>
      </w:rPr>
    </w:lvl>
  </w:abstractNum>
  <w:abstractNum w:abstractNumId="108" w15:restartNumberingAfterBreak="0">
    <w:nsid w:val="298D3F72"/>
    <w:multiLevelType w:val="singleLevel"/>
    <w:tmpl w:val="7ED42E42"/>
    <w:lvl w:ilvl="0">
      <w:start w:val="9"/>
      <w:numFmt w:val="decimal"/>
      <w:lvlText w:val="2.4.%1. "/>
      <w:legacy w:legacy="1" w:legacySpace="0" w:legacyIndent="283"/>
      <w:lvlJc w:val="left"/>
      <w:pPr>
        <w:ind w:left="283" w:hanging="283"/>
      </w:pPr>
      <w:rPr>
        <w:b/>
        <w:i w:val="0"/>
        <w:sz w:val="20"/>
      </w:rPr>
    </w:lvl>
  </w:abstractNum>
  <w:abstractNum w:abstractNumId="109" w15:restartNumberingAfterBreak="0">
    <w:nsid w:val="29AF4781"/>
    <w:multiLevelType w:val="hybridMultilevel"/>
    <w:tmpl w:val="78689578"/>
    <w:lvl w:ilvl="0" w:tplc="36DC2774">
      <w:start w:val="1"/>
      <w:numFmt w:val="bullet"/>
      <w:lvlText w:val="-"/>
      <w:lvlJc w:val="left"/>
      <w:pPr>
        <w:ind w:left="1003" w:hanging="360"/>
      </w:pPr>
      <w:rPr>
        <w:rFonts w:ascii="Calibri" w:eastAsia="Verdana" w:hAnsi="Calibri" w:cs="Calibri" w:hint="default"/>
      </w:rPr>
    </w:lvl>
    <w:lvl w:ilvl="1" w:tplc="04150003" w:tentative="1">
      <w:start w:val="1"/>
      <w:numFmt w:val="bullet"/>
      <w:lvlText w:val="o"/>
      <w:lvlJc w:val="left"/>
      <w:pPr>
        <w:ind w:left="1723" w:hanging="360"/>
      </w:pPr>
      <w:rPr>
        <w:rFonts w:ascii="Courier New" w:hAnsi="Courier New" w:cs="Courier New" w:hint="default"/>
      </w:rPr>
    </w:lvl>
    <w:lvl w:ilvl="2" w:tplc="04150005" w:tentative="1">
      <w:start w:val="1"/>
      <w:numFmt w:val="bullet"/>
      <w:lvlText w:val=""/>
      <w:lvlJc w:val="left"/>
      <w:pPr>
        <w:ind w:left="2443" w:hanging="360"/>
      </w:pPr>
      <w:rPr>
        <w:rFonts w:ascii="Wingdings" w:hAnsi="Wingdings" w:hint="default"/>
      </w:rPr>
    </w:lvl>
    <w:lvl w:ilvl="3" w:tplc="04150001" w:tentative="1">
      <w:start w:val="1"/>
      <w:numFmt w:val="bullet"/>
      <w:lvlText w:val=""/>
      <w:lvlJc w:val="left"/>
      <w:pPr>
        <w:ind w:left="3163" w:hanging="360"/>
      </w:pPr>
      <w:rPr>
        <w:rFonts w:ascii="Symbol" w:hAnsi="Symbol" w:hint="default"/>
      </w:rPr>
    </w:lvl>
    <w:lvl w:ilvl="4" w:tplc="04150003" w:tentative="1">
      <w:start w:val="1"/>
      <w:numFmt w:val="bullet"/>
      <w:lvlText w:val="o"/>
      <w:lvlJc w:val="left"/>
      <w:pPr>
        <w:ind w:left="3883" w:hanging="360"/>
      </w:pPr>
      <w:rPr>
        <w:rFonts w:ascii="Courier New" w:hAnsi="Courier New" w:cs="Courier New" w:hint="default"/>
      </w:rPr>
    </w:lvl>
    <w:lvl w:ilvl="5" w:tplc="04150005" w:tentative="1">
      <w:start w:val="1"/>
      <w:numFmt w:val="bullet"/>
      <w:lvlText w:val=""/>
      <w:lvlJc w:val="left"/>
      <w:pPr>
        <w:ind w:left="4603" w:hanging="360"/>
      </w:pPr>
      <w:rPr>
        <w:rFonts w:ascii="Wingdings" w:hAnsi="Wingdings" w:hint="default"/>
      </w:rPr>
    </w:lvl>
    <w:lvl w:ilvl="6" w:tplc="04150001" w:tentative="1">
      <w:start w:val="1"/>
      <w:numFmt w:val="bullet"/>
      <w:lvlText w:val=""/>
      <w:lvlJc w:val="left"/>
      <w:pPr>
        <w:ind w:left="5323" w:hanging="360"/>
      </w:pPr>
      <w:rPr>
        <w:rFonts w:ascii="Symbol" w:hAnsi="Symbol" w:hint="default"/>
      </w:rPr>
    </w:lvl>
    <w:lvl w:ilvl="7" w:tplc="04150003" w:tentative="1">
      <w:start w:val="1"/>
      <w:numFmt w:val="bullet"/>
      <w:lvlText w:val="o"/>
      <w:lvlJc w:val="left"/>
      <w:pPr>
        <w:ind w:left="6043" w:hanging="360"/>
      </w:pPr>
      <w:rPr>
        <w:rFonts w:ascii="Courier New" w:hAnsi="Courier New" w:cs="Courier New" w:hint="default"/>
      </w:rPr>
    </w:lvl>
    <w:lvl w:ilvl="8" w:tplc="04150005" w:tentative="1">
      <w:start w:val="1"/>
      <w:numFmt w:val="bullet"/>
      <w:lvlText w:val=""/>
      <w:lvlJc w:val="left"/>
      <w:pPr>
        <w:ind w:left="6763" w:hanging="360"/>
      </w:pPr>
      <w:rPr>
        <w:rFonts w:ascii="Wingdings" w:hAnsi="Wingdings" w:hint="default"/>
      </w:rPr>
    </w:lvl>
  </w:abstractNum>
  <w:abstractNum w:abstractNumId="110" w15:restartNumberingAfterBreak="0">
    <w:nsid w:val="29C35B93"/>
    <w:multiLevelType w:val="singleLevel"/>
    <w:tmpl w:val="CCDA662C"/>
    <w:lvl w:ilvl="0">
      <w:start w:val="4"/>
      <w:numFmt w:val="decimal"/>
      <w:lvlText w:val="2.3.%1. "/>
      <w:legacy w:legacy="1" w:legacySpace="0" w:legacyIndent="283"/>
      <w:lvlJc w:val="left"/>
      <w:pPr>
        <w:ind w:left="283" w:hanging="283"/>
      </w:pPr>
      <w:rPr>
        <w:rFonts w:ascii="Times New Roman" w:hAnsi="Times New Roman" w:cs="Times New Roman" w:hint="default"/>
        <w:b/>
        <w:i w:val="0"/>
        <w:sz w:val="20"/>
        <w:u w:val="none"/>
      </w:rPr>
    </w:lvl>
  </w:abstractNum>
  <w:abstractNum w:abstractNumId="111" w15:restartNumberingAfterBreak="0">
    <w:nsid w:val="29DD4544"/>
    <w:multiLevelType w:val="hybridMultilevel"/>
    <w:tmpl w:val="0FBACE04"/>
    <w:lvl w:ilvl="0" w:tplc="36DC2774">
      <w:start w:val="1"/>
      <w:numFmt w:val="bullet"/>
      <w:lvlText w:val="-"/>
      <w:lvlJc w:val="left"/>
      <w:pPr>
        <w:ind w:left="720" w:hanging="360"/>
      </w:pPr>
      <w:rPr>
        <w:rFonts w:ascii="Calibri" w:eastAsia="Verdana" w:hAnsi="Calibri" w:cs="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2" w15:restartNumberingAfterBreak="0">
    <w:nsid w:val="2A803644"/>
    <w:multiLevelType w:val="singleLevel"/>
    <w:tmpl w:val="39AE28F0"/>
    <w:lvl w:ilvl="0">
      <w:start w:val="1"/>
      <w:numFmt w:val="lowerLetter"/>
      <w:lvlText w:val="%1)"/>
      <w:legacy w:legacy="1" w:legacySpace="0" w:legacyIndent="283"/>
      <w:lvlJc w:val="left"/>
      <w:pPr>
        <w:ind w:left="283" w:hanging="283"/>
      </w:pPr>
    </w:lvl>
  </w:abstractNum>
  <w:abstractNum w:abstractNumId="113" w15:restartNumberingAfterBreak="0">
    <w:nsid w:val="2AAE1277"/>
    <w:multiLevelType w:val="hybridMultilevel"/>
    <w:tmpl w:val="475CE252"/>
    <w:lvl w:ilvl="0" w:tplc="36DC2774">
      <w:start w:val="1"/>
      <w:numFmt w:val="bullet"/>
      <w:lvlText w:val="-"/>
      <w:lvlJc w:val="left"/>
      <w:pPr>
        <w:ind w:left="720" w:hanging="360"/>
      </w:pPr>
      <w:rPr>
        <w:rFonts w:ascii="Calibri" w:eastAsia="Verdana" w:hAnsi="Calibri" w:cs="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4" w15:restartNumberingAfterBreak="0">
    <w:nsid w:val="2B034E22"/>
    <w:multiLevelType w:val="hybridMultilevel"/>
    <w:tmpl w:val="1A62A832"/>
    <w:lvl w:ilvl="0" w:tplc="1C60FFC6">
      <w:start w:val="17"/>
      <w:numFmt w:val="decimal"/>
      <w:lvlText w:val="%1."/>
      <w:lvlJc w:val="left"/>
      <w:pPr>
        <w:tabs>
          <w:tab w:val="num" w:pos="323"/>
        </w:tabs>
        <w:ind w:left="323" w:hanging="360"/>
      </w:pPr>
      <w:rPr>
        <w:rFonts w:hint="default"/>
      </w:rPr>
    </w:lvl>
    <w:lvl w:ilvl="1" w:tplc="F12E34E8" w:tentative="1">
      <w:start w:val="1"/>
      <w:numFmt w:val="lowerLetter"/>
      <w:lvlText w:val="%2."/>
      <w:lvlJc w:val="left"/>
      <w:pPr>
        <w:tabs>
          <w:tab w:val="num" w:pos="1043"/>
        </w:tabs>
        <w:ind w:left="1043" w:hanging="360"/>
      </w:pPr>
    </w:lvl>
    <w:lvl w:ilvl="2" w:tplc="0D48BF9A" w:tentative="1">
      <w:start w:val="1"/>
      <w:numFmt w:val="lowerRoman"/>
      <w:lvlText w:val="%3."/>
      <w:lvlJc w:val="right"/>
      <w:pPr>
        <w:tabs>
          <w:tab w:val="num" w:pos="1763"/>
        </w:tabs>
        <w:ind w:left="1763" w:hanging="180"/>
      </w:pPr>
    </w:lvl>
    <w:lvl w:ilvl="3" w:tplc="EBF6FDA6" w:tentative="1">
      <w:start w:val="1"/>
      <w:numFmt w:val="decimal"/>
      <w:lvlText w:val="%4."/>
      <w:lvlJc w:val="left"/>
      <w:pPr>
        <w:tabs>
          <w:tab w:val="num" w:pos="2483"/>
        </w:tabs>
        <w:ind w:left="2483" w:hanging="360"/>
      </w:pPr>
    </w:lvl>
    <w:lvl w:ilvl="4" w:tplc="627EE3E8" w:tentative="1">
      <w:start w:val="1"/>
      <w:numFmt w:val="lowerLetter"/>
      <w:lvlText w:val="%5."/>
      <w:lvlJc w:val="left"/>
      <w:pPr>
        <w:tabs>
          <w:tab w:val="num" w:pos="3203"/>
        </w:tabs>
        <w:ind w:left="3203" w:hanging="360"/>
      </w:pPr>
    </w:lvl>
    <w:lvl w:ilvl="5" w:tplc="F2F2F7A0" w:tentative="1">
      <w:start w:val="1"/>
      <w:numFmt w:val="lowerRoman"/>
      <w:lvlText w:val="%6."/>
      <w:lvlJc w:val="right"/>
      <w:pPr>
        <w:tabs>
          <w:tab w:val="num" w:pos="3923"/>
        </w:tabs>
        <w:ind w:left="3923" w:hanging="180"/>
      </w:pPr>
    </w:lvl>
    <w:lvl w:ilvl="6" w:tplc="5F2EEE4C" w:tentative="1">
      <w:start w:val="1"/>
      <w:numFmt w:val="decimal"/>
      <w:lvlText w:val="%7."/>
      <w:lvlJc w:val="left"/>
      <w:pPr>
        <w:tabs>
          <w:tab w:val="num" w:pos="4643"/>
        </w:tabs>
        <w:ind w:left="4643" w:hanging="360"/>
      </w:pPr>
    </w:lvl>
    <w:lvl w:ilvl="7" w:tplc="6292DAF4" w:tentative="1">
      <w:start w:val="1"/>
      <w:numFmt w:val="lowerLetter"/>
      <w:lvlText w:val="%8."/>
      <w:lvlJc w:val="left"/>
      <w:pPr>
        <w:tabs>
          <w:tab w:val="num" w:pos="5363"/>
        </w:tabs>
        <w:ind w:left="5363" w:hanging="360"/>
      </w:pPr>
    </w:lvl>
    <w:lvl w:ilvl="8" w:tplc="637C1D08" w:tentative="1">
      <w:start w:val="1"/>
      <w:numFmt w:val="lowerRoman"/>
      <w:lvlText w:val="%9."/>
      <w:lvlJc w:val="right"/>
      <w:pPr>
        <w:tabs>
          <w:tab w:val="num" w:pos="6083"/>
        </w:tabs>
        <w:ind w:left="6083" w:hanging="180"/>
      </w:pPr>
    </w:lvl>
  </w:abstractNum>
  <w:abstractNum w:abstractNumId="115" w15:restartNumberingAfterBreak="0">
    <w:nsid w:val="2B1F6E64"/>
    <w:multiLevelType w:val="singleLevel"/>
    <w:tmpl w:val="9D462C86"/>
    <w:lvl w:ilvl="0">
      <w:start w:val="2"/>
      <w:numFmt w:val="decimal"/>
      <w:lvlText w:val="2.3.%1. "/>
      <w:legacy w:legacy="1" w:legacySpace="0" w:legacyIndent="283"/>
      <w:lvlJc w:val="left"/>
      <w:pPr>
        <w:ind w:left="283" w:hanging="283"/>
      </w:pPr>
      <w:rPr>
        <w:rFonts w:ascii="Times New Roman" w:hAnsi="Times New Roman" w:cs="Times New Roman" w:hint="default"/>
        <w:b/>
        <w:i w:val="0"/>
        <w:sz w:val="20"/>
        <w:u w:val="none"/>
      </w:rPr>
    </w:lvl>
  </w:abstractNum>
  <w:abstractNum w:abstractNumId="116" w15:restartNumberingAfterBreak="0">
    <w:nsid w:val="2B301B79"/>
    <w:multiLevelType w:val="multilevel"/>
    <w:tmpl w:val="4A96CFE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7" w15:restartNumberingAfterBreak="0">
    <w:nsid w:val="2B7D0756"/>
    <w:multiLevelType w:val="hybridMultilevel"/>
    <w:tmpl w:val="6C72D10E"/>
    <w:lvl w:ilvl="0" w:tplc="7D0E293A">
      <w:start w:val="1"/>
      <w:numFmt w:val="bullet"/>
      <w:lvlText w:val=""/>
      <w:lvlJc w:val="left"/>
      <w:pPr>
        <w:tabs>
          <w:tab w:val="num" w:pos="680"/>
        </w:tabs>
        <w:ind w:left="680" w:hanging="340"/>
      </w:pPr>
      <w:rPr>
        <w:rFonts w:ascii="Symbol" w:hAnsi="Symbol" w:cs="Symbol" w:hint="default"/>
      </w:rPr>
    </w:lvl>
    <w:lvl w:ilvl="1" w:tplc="0A443BCE">
      <w:start w:val="1"/>
      <w:numFmt w:val="bullet"/>
      <w:lvlText w:val="o"/>
      <w:lvlJc w:val="left"/>
      <w:pPr>
        <w:tabs>
          <w:tab w:val="num" w:pos="1440"/>
        </w:tabs>
        <w:ind w:left="1440" w:hanging="360"/>
      </w:pPr>
      <w:rPr>
        <w:rFonts w:ascii="Courier New" w:hAnsi="Courier New" w:cs="Courier New" w:hint="default"/>
      </w:rPr>
    </w:lvl>
    <w:lvl w:ilvl="2" w:tplc="977ACC8E">
      <w:start w:val="1"/>
      <w:numFmt w:val="bullet"/>
      <w:lvlText w:val=""/>
      <w:lvlJc w:val="left"/>
      <w:pPr>
        <w:tabs>
          <w:tab w:val="num" w:pos="2160"/>
        </w:tabs>
        <w:ind w:left="2160" w:hanging="360"/>
      </w:pPr>
      <w:rPr>
        <w:rFonts w:ascii="Wingdings" w:hAnsi="Wingdings" w:cs="Wingdings" w:hint="default"/>
      </w:rPr>
    </w:lvl>
    <w:lvl w:ilvl="3" w:tplc="EAE4BC8A">
      <w:start w:val="1"/>
      <w:numFmt w:val="bullet"/>
      <w:lvlText w:val=""/>
      <w:lvlJc w:val="left"/>
      <w:pPr>
        <w:tabs>
          <w:tab w:val="num" w:pos="2880"/>
        </w:tabs>
        <w:ind w:left="2880" w:hanging="360"/>
      </w:pPr>
      <w:rPr>
        <w:rFonts w:ascii="Symbol" w:hAnsi="Symbol" w:cs="Symbol" w:hint="default"/>
      </w:rPr>
    </w:lvl>
    <w:lvl w:ilvl="4" w:tplc="84C02352">
      <w:start w:val="1"/>
      <w:numFmt w:val="bullet"/>
      <w:lvlText w:val="o"/>
      <w:lvlJc w:val="left"/>
      <w:pPr>
        <w:tabs>
          <w:tab w:val="num" w:pos="3600"/>
        </w:tabs>
        <w:ind w:left="3600" w:hanging="360"/>
      </w:pPr>
      <w:rPr>
        <w:rFonts w:ascii="Courier New" w:hAnsi="Courier New" w:cs="Courier New" w:hint="default"/>
      </w:rPr>
    </w:lvl>
    <w:lvl w:ilvl="5" w:tplc="67CEE226">
      <w:start w:val="1"/>
      <w:numFmt w:val="bullet"/>
      <w:lvlText w:val=""/>
      <w:lvlJc w:val="left"/>
      <w:pPr>
        <w:tabs>
          <w:tab w:val="num" w:pos="4320"/>
        </w:tabs>
        <w:ind w:left="4320" w:hanging="360"/>
      </w:pPr>
      <w:rPr>
        <w:rFonts w:ascii="Wingdings" w:hAnsi="Wingdings" w:cs="Wingdings" w:hint="default"/>
      </w:rPr>
    </w:lvl>
    <w:lvl w:ilvl="6" w:tplc="84145548">
      <w:start w:val="1"/>
      <w:numFmt w:val="bullet"/>
      <w:lvlText w:val=""/>
      <w:lvlJc w:val="left"/>
      <w:pPr>
        <w:tabs>
          <w:tab w:val="num" w:pos="5040"/>
        </w:tabs>
        <w:ind w:left="5040" w:hanging="360"/>
      </w:pPr>
      <w:rPr>
        <w:rFonts w:ascii="Symbol" w:hAnsi="Symbol" w:cs="Symbol" w:hint="default"/>
      </w:rPr>
    </w:lvl>
    <w:lvl w:ilvl="7" w:tplc="0E9E34C8">
      <w:start w:val="1"/>
      <w:numFmt w:val="bullet"/>
      <w:lvlText w:val="o"/>
      <w:lvlJc w:val="left"/>
      <w:pPr>
        <w:tabs>
          <w:tab w:val="num" w:pos="5760"/>
        </w:tabs>
        <w:ind w:left="5760" w:hanging="360"/>
      </w:pPr>
      <w:rPr>
        <w:rFonts w:ascii="Courier New" w:hAnsi="Courier New" w:cs="Courier New" w:hint="default"/>
      </w:rPr>
    </w:lvl>
    <w:lvl w:ilvl="8" w:tplc="4E3E308E">
      <w:start w:val="1"/>
      <w:numFmt w:val="bullet"/>
      <w:lvlText w:val=""/>
      <w:lvlJc w:val="left"/>
      <w:pPr>
        <w:tabs>
          <w:tab w:val="num" w:pos="6480"/>
        </w:tabs>
        <w:ind w:left="6480" w:hanging="360"/>
      </w:pPr>
      <w:rPr>
        <w:rFonts w:ascii="Wingdings" w:hAnsi="Wingdings" w:cs="Wingdings" w:hint="default"/>
      </w:rPr>
    </w:lvl>
  </w:abstractNum>
  <w:abstractNum w:abstractNumId="118" w15:restartNumberingAfterBreak="0">
    <w:nsid w:val="2C3F2EEB"/>
    <w:multiLevelType w:val="hybridMultilevel"/>
    <w:tmpl w:val="F222C67E"/>
    <w:lvl w:ilvl="0" w:tplc="564C0B6A">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9" w15:restartNumberingAfterBreak="0">
    <w:nsid w:val="2DAD71A9"/>
    <w:multiLevelType w:val="multilevel"/>
    <w:tmpl w:val="4CE20154"/>
    <w:lvl w:ilvl="0">
      <w:start w:val="2"/>
      <w:numFmt w:val="decimal"/>
      <w:lvlText w:val="%1."/>
      <w:lvlJc w:val="left"/>
      <w:pPr>
        <w:ind w:left="450" w:hanging="450"/>
      </w:pPr>
      <w:rPr>
        <w:rFonts w:hint="default"/>
      </w:rPr>
    </w:lvl>
    <w:lvl w:ilvl="1">
      <w:start w:val="4"/>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0" w15:restartNumberingAfterBreak="0">
    <w:nsid w:val="2E117EC8"/>
    <w:multiLevelType w:val="hybridMultilevel"/>
    <w:tmpl w:val="2C840A76"/>
    <w:lvl w:ilvl="0" w:tplc="36DC2774">
      <w:start w:val="1"/>
      <w:numFmt w:val="bullet"/>
      <w:lvlText w:val="-"/>
      <w:lvlJc w:val="left"/>
      <w:pPr>
        <w:ind w:left="1080" w:hanging="360"/>
      </w:pPr>
      <w:rPr>
        <w:rFonts w:ascii="Calibri" w:eastAsia="Verdana" w:hAnsi="Calibri" w:cs="Calibri"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21" w15:restartNumberingAfterBreak="0">
    <w:nsid w:val="2E510D16"/>
    <w:multiLevelType w:val="hybridMultilevel"/>
    <w:tmpl w:val="6A5A8C5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2" w15:restartNumberingAfterBreak="0">
    <w:nsid w:val="2E58145E"/>
    <w:multiLevelType w:val="multilevel"/>
    <w:tmpl w:val="0415001F"/>
    <w:styleLink w:val="Styl3"/>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64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3" w15:restartNumberingAfterBreak="0">
    <w:nsid w:val="2EB0412C"/>
    <w:multiLevelType w:val="singleLevel"/>
    <w:tmpl w:val="64326664"/>
    <w:lvl w:ilvl="0">
      <w:start w:val="1"/>
      <w:numFmt w:val="lowerLetter"/>
      <w:lvlText w:val="%1)"/>
      <w:legacy w:legacy="1" w:legacySpace="0" w:legacyIndent="283"/>
      <w:lvlJc w:val="left"/>
      <w:pPr>
        <w:ind w:left="283" w:hanging="283"/>
      </w:pPr>
    </w:lvl>
  </w:abstractNum>
  <w:abstractNum w:abstractNumId="124" w15:restartNumberingAfterBreak="0">
    <w:nsid w:val="2F227174"/>
    <w:multiLevelType w:val="multilevel"/>
    <w:tmpl w:val="73760E22"/>
    <w:lvl w:ilvl="0">
      <w:start w:val="1"/>
      <w:numFmt w:val="bullet"/>
      <w:lvlText w:val=""/>
      <w:lvlJc w:val="left"/>
      <w:pPr>
        <w:tabs>
          <w:tab w:val="num" w:pos="502"/>
        </w:tabs>
        <w:ind w:left="502" w:hanging="360"/>
      </w:pPr>
      <w:rPr>
        <w:rFonts w:ascii="Symbol" w:hAnsi="Symbol" w:hint="default"/>
      </w:rPr>
    </w:lvl>
    <w:lvl w:ilvl="1">
      <w:start w:val="1"/>
      <w:numFmt w:val="decimal"/>
      <w:lvlText w:val="2.%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25" w15:restartNumberingAfterBreak="0">
    <w:nsid w:val="2FBD2909"/>
    <w:multiLevelType w:val="hybridMultilevel"/>
    <w:tmpl w:val="130C35C0"/>
    <w:lvl w:ilvl="0" w:tplc="F926CCBC">
      <w:start w:val="7"/>
      <w:numFmt w:val="decimal"/>
      <w:lvlText w:val="%1."/>
      <w:lvlJc w:val="left"/>
      <w:pPr>
        <w:ind w:left="283" w:hanging="283"/>
      </w:pPr>
      <w:rPr>
        <w:rFonts w:hint="default"/>
      </w:rPr>
    </w:lvl>
    <w:lvl w:ilvl="1" w:tplc="023AAAC8" w:tentative="1">
      <w:start w:val="1"/>
      <w:numFmt w:val="lowerLetter"/>
      <w:lvlText w:val="%2."/>
      <w:lvlJc w:val="left"/>
      <w:pPr>
        <w:ind w:left="1440" w:hanging="360"/>
      </w:pPr>
    </w:lvl>
    <w:lvl w:ilvl="2" w:tplc="601EF58A" w:tentative="1">
      <w:start w:val="1"/>
      <w:numFmt w:val="lowerRoman"/>
      <w:lvlText w:val="%3."/>
      <w:lvlJc w:val="right"/>
      <w:pPr>
        <w:ind w:left="2160" w:hanging="180"/>
      </w:pPr>
    </w:lvl>
    <w:lvl w:ilvl="3" w:tplc="5088E6CA" w:tentative="1">
      <w:start w:val="1"/>
      <w:numFmt w:val="decimal"/>
      <w:lvlText w:val="%4."/>
      <w:lvlJc w:val="left"/>
      <w:pPr>
        <w:ind w:left="2880" w:hanging="360"/>
      </w:pPr>
    </w:lvl>
    <w:lvl w:ilvl="4" w:tplc="8F509C52" w:tentative="1">
      <w:start w:val="1"/>
      <w:numFmt w:val="lowerLetter"/>
      <w:lvlText w:val="%5."/>
      <w:lvlJc w:val="left"/>
      <w:pPr>
        <w:ind w:left="3600" w:hanging="360"/>
      </w:pPr>
    </w:lvl>
    <w:lvl w:ilvl="5" w:tplc="67C6B1B8" w:tentative="1">
      <w:start w:val="1"/>
      <w:numFmt w:val="lowerRoman"/>
      <w:lvlText w:val="%6."/>
      <w:lvlJc w:val="right"/>
      <w:pPr>
        <w:ind w:left="4320" w:hanging="180"/>
      </w:pPr>
    </w:lvl>
    <w:lvl w:ilvl="6" w:tplc="7370F644" w:tentative="1">
      <w:start w:val="1"/>
      <w:numFmt w:val="decimal"/>
      <w:lvlText w:val="%7."/>
      <w:lvlJc w:val="left"/>
      <w:pPr>
        <w:ind w:left="5040" w:hanging="360"/>
      </w:pPr>
    </w:lvl>
    <w:lvl w:ilvl="7" w:tplc="576E9ACE" w:tentative="1">
      <w:start w:val="1"/>
      <w:numFmt w:val="lowerLetter"/>
      <w:lvlText w:val="%8."/>
      <w:lvlJc w:val="left"/>
      <w:pPr>
        <w:ind w:left="5760" w:hanging="360"/>
      </w:pPr>
    </w:lvl>
    <w:lvl w:ilvl="8" w:tplc="7ABCE49C" w:tentative="1">
      <w:start w:val="1"/>
      <w:numFmt w:val="lowerRoman"/>
      <w:lvlText w:val="%9."/>
      <w:lvlJc w:val="right"/>
      <w:pPr>
        <w:ind w:left="6480" w:hanging="180"/>
      </w:pPr>
    </w:lvl>
  </w:abstractNum>
  <w:abstractNum w:abstractNumId="126" w15:restartNumberingAfterBreak="0">
    <w:nsid w:val="3085238B"/>
    <w:multiLevelType w:val="multilevel"/>
    <w:tmpl w:val="4A96CFE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7" w15:restartNumberingAfterBreak="0">
    <w:nsid w:val="30FC71B5"/>
    <w:multiLevelType w:val="multilevel"/>
    <w:tmpl w:val="EBB06B9A"/>
    <w:styleLink w:val="WW8Num10"/>
    <w:lvl w:ilvl="0">
      <w:numFmt w:val="bullet"/>
      <w:lvlText w:val="-"/>
      <w:lvlJc w:val="left"/>
      <w:rPr>
        <w:rFonts w:ascii="Symbol" w:hAnsi="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28" w15:restartNumberingAfterBreak="0">
    <w:nsid w:val="310F3BC7"/>
    <w:multiLevelType w:val="hybridMultilevel"/>
    <w:tmpl w:val="111A7720"/>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9" w15:restartNumberingAfterBreak="0">
    <w:nsid w:val="31106B96"/>
    <w:multiLevelType w:val="hybridMultilevel"/>
    <w:tmpl w:val="4FE6BCD6"/>
    <w:lvl w:ilvl="0" w:tplc="04150001">
      <w:start w:val="1"/>
      <w:numFmt w:val="bullet"/>
      <w:lvlText w:val=""/>
      <w:lvlJc w:val="left"/>
      <w:pPr>
        <w:ind w:left="836" w:hanging="360"/>
      </w:pPr>
      <w:rPr>
        <w:rFonts w:ascii="Symbol" w:hAnsi="Symbol" w:hint="default"/>
      </w:rPr>
    </w:lvl>
    <w:lvl w:ilvl="1" w:tplc="04150003" w:tentative="1">
      <w:start w:val="1"/>
      <w:numFmt w:val="bullet"/>
      <w:lvlText w:val="o"/>
      <w:lvlJc w:val="left"/>
      <w:pPr>
        <w:ind w:left="1556" w:hanging="360"/>
      </w:pPr>
      <w:rPr>
        <w:rFonts w:ascii="Courier New" w:hAnsi="Courier New" w:cs="Courier New" w:hint="default"/>
      </w:rPr>
    </w:lvl>
    <w:lvl w:ilvl="2" w:tplc="04150005" w:tentative="1">
      <w:start w:val="1"/>
      <w:numFmt w:val="bullet"/>
      <w:lvlText w:val=""/>
      <w:lvlJc w:val="left"/>
      <w:pPr>
        <w:ind w:left="2276" w:hanging="360"/>
      </w:pPr>
      <w:rPr>
        <w:rFonts w:ascii="Wingdings" w:hAnsi="Wingdings" w:hint="default"/>
      </w:rPr>
    </w:lvl>
    <w:lvl w:ilvl="3" w:tplc="04150001" w:tentative="1">
      <w:start w:val="1"/>
      <w:numFmt w:val="bullet"/>
      <w:lvlText w:val=""/>
      <w:lvlJc w:val="left"/>
      <w:pPr>
        <w:ind w:left="2996" w:hanging="360"/>
      </w:pPr>
      <w:rPr>
        <w:rFonts w:ascii="Symbol" w:hAnsi="Symbol" w:hint="default"/>
      </w:rPr>
    </w:lvl>
    <w:lvl w:ilvl="4" w:tplc="04150003" w:tentative="1">
      <w:start w:val="1"/>
      <w:numFmt w:val="bullet"/>
      <w:lvlText w:val="o"/>
      <w:lvlJc w:val="left"/>
      <w:pPr>
        <w:ind w:left="3716" w:hanging="360"/>
      </w:pPr>
      <w:rPr>
        <w:rFonts w:ascii="Courier New" w:hAnsi="Courier New" w:cs="Courier New" w:hint="default"/>
      </w:rPr>
    </w:lvl>
    <w:lvl w:ilvl="5" w:tplc="04150005" w:tentative="1">
      <w:start w:val="1"/>
      <w:numFmt w:val="bullet"/>
      <w:lvlText w:val=""/>
      <w:lvlJc w:val="left"/>
      <w:pPr>
        <w:ind w:left="4436" w:hanging="360"/>
      </w:pPr>
      <w:rPr>
        <w:rFonts w:ascii="Wingdings" w:hAnsi="Wingdings" w:hint="default"/>
      </w:rPr>
    </w:lvl>
    <w:lvl w:ilvl="6" w:tplc="04150001" w:tentative="1">
      <w:start w:val="1"/>
      <w:numFmt w:val="bullet"/>
      <w:lvlText w:val=""/>
      <w:lvlJc w:val="left"/>
      <w:pPr>
        <w:ind w:left="5156" w:hanging="360"/>
      </w:pPr>
      <w:rPr>
        <w:rFonts w:ascii="Symbol" w:hAnsi="Symbol" w:hint="default"/>
      </w:rPr>
    </w:lvl>
    <w:lvl w:ilvl="7" w:tplc="04150003" w:tentative="1">
      <w:start w:val="1"/>
      <w:numFmt w:val="bullet"/>
      <w:lvlText w:val="o"/>
      <w:lvlJc w:val="left"/>
      <w:pPr>
        <w:ind w:left="5876" w:hanging="360"/>
      </w:pPr>
      <w:rPr>
        <w:rFonts w:ascii="Courier New" w:hAnsi="Courier New" w:cs="Courier New" w:hint="default"/>
      </w:rPr>
    </w:lvl>
    <w:lvl w:ilvl="8" w:tplc="04150005" w:tentative="1">
      <w:start w:val="1"/>
      <w:numFmt w:val="bullet"/>
      <w:lvlText w:val=""/>
      <w:lvlJc w:val="left"/>
      <w:pPr>
        <w:ind w:left="6596" w:hanging="360"/>
      </w:pPr>
      <w:rPr>
        <w:rFonts w:ascii="Wingdings" w:hAnsi="Wingdings" w:hint="default"/>
      </w:rPr>
    </w:lvl>
  </w:abstractNum>
  <w:abstractNum w:abstractNumId="130" w15:restartNumberingAfterBreak="0">
    <w:nsid w:val="32232CCE"/>
    <w:multiLevelType w:val="singleLevel"/>
    <w:tmpl w:val="9910A9B2"/>
    <w:lvl w:ilvl="0">
      <w:start w:val="1"/>
      <w:numFmt w:val="lowerLetter"/>
      <w:lvlText w:val="%1)"/>
      <w:legacy w:legacy="1" w:legacySpace="0" w:legacyIndent="283"/>
      <w:lvlJc w:val="left"/>
      <w:pPr>
        <w:ind w:left="283" w:hanging="283"/>
      </w:pPr>
    </w:lvl>
  </w:abstractNum>
  <w:abstractNum w:abstractNumId="131" w15:restartNumberingAfterBreak="0">
    <w:nsid w:val="32440A52"/>
    <w:multiLevelType w:val="multilevel"/>
    <w:tmpl w:val="6E2600A6"/>
    <w:lvl w:ilvl="0">
      <w:start w:val="1"/>
      <w:numFmt w:val="decimal"/>
      <w:lvlText w:val="%1."/>
      <w:lvlJc w:val="left"/>
      <w:pPr>
        <w:ind w:left="360" w:hanging="360"/>
      </w:pPr>
    </w:lvl>
    <w:lvl w:ilvl="1">
      <w:start w:val="5"/>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32" w15:restartNumberingAfterBreak="0">
    <w:nsid w:val="3280247D"/>
    <w:multiLevelType w:val="singleLevel"/>
    <w:tmpl w:val="F45C2AA4"/>
    <w:lvl w:ilvl="0">
      <w:start w:val="3"/>
      <w:numFmt w:val="decimal"/>
      <w:lvlText w:val="6.2.%1. "/>
      <w:legacy w:legacy="1" w:legacySpace="0" w:legacyIndent="283"/>
      <w:lvlJc w:val="left"/>
      <w:pPr>
        <w:ind w:left="283" w:hanging="283"/>
      </w:pPr>
      <w:rPr>
        <w:rFonts w:ascii="Times New Roman" w:hAnsi="Times New Roman" w:cs="Times New Roman" w:hint="default"/>
        <w:b/>
        <w:i w:val="0"/>
        <w:sz w:val="20"/>
        <w:u w:val="none"/>
      </w:rPr>
    </w:lvl>
  </w:abstractNum>
  <w:abstractNum w:abstractNumId="133" w15:restartNumberingAfterBreak="0">
    <w:nsid w:val="32A06E97"/>
    <w:multiLevelType w:val="multilevel"/>
    <w:tmpl w:val="4A96CFE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4" w15:restartNumberingAfterBreak="0">
    <w:nsid w:val="33160C30"/>
    <w:multiLevelType w:val="hybridMultilevel"/>
    <w:tmpl w:val="E642F4C6"/>
    <w:lvl w:ilvl="0" w:tplc="36DC2774">
      <w:start w:val="1"/>
      <w:numFmt w:val="bullet"/>
      <w:lvlText w:val="-"/>
      <w:lvlJc w:val="left"/>
      <w:pPr>
        <w:ind w:left="1420" w:hanging="360"/>
      </w:pPr>
      <w:rPr>
        <w:rFonts w:ascii="Calibri" w:eastAsia="Verdana" w:hAnsi="Calibri" w:cs="Calibri" w:hint="default"/>
      </w:rPr>
    </w:lvl>
    <w:lvl w:ilvl="1" w:tplc="04150003" w:tentative="1">
      <w:start w:val="1"/>
      <w:numFmt w:val="bullet"/>
      <w:lvlText w:val="o"/>
      <w:lvlJc w:val="left"/>
      <w:pPr>
        <w:ind w:left="2140" w:hanging="360"/>
      </w:pPr>
      <w:rPr>
        <w:rFonts w:ascii="Courier New" w:hAnsi="Courier New" w:cs="Courier New" w:hint="default"/>
      </w:rPr>
    </w:lvl>
    <w:lvl w:ilvl="2" w:tplc="04150005" w:tentative="1">
      <w:start w:val="1"/>
      <w:numFmt w:val="bullet"/>
      <w:lvlText w:val=""/>
      <w:lvlJc w:val="left"/>
      <w:pPr>
        <w:ind w:left="2860" w:hanging="360"/>
      </w:pPr>
      <w:rPr>
        <w:rFonts w:ascii="Wingdings" w:hAnsi="Wingdings" w:hint="default"/>
      </w:rPr>
    </w:lvl>
    <w:lvl w:ilvl="3" w:tplc="04150001" w:tentative="1">
      <w:start w:val="1"/>
      <w:numFmt w:val="bullet"/>
      <w:lvlText w:val=""/>
      <w:lvlJc w:val="left"/>
      <w:pPr>
        <w:ind w:left="3580" w:hanging="360"/>
      </w:pPr>
      <w:rPr>
        <w:rFonts w:ascii="Symbol" w:hAnsi="Symbol" w:hint="default"/>
      </w:rPr>
    </w:lvl>
    <w:lvl w:ilvl="4" w:tplc="04150003" w:tentative="1">
      <w:start w:val="1"/>
      <w:numFmt w:val="bullet"/>
      <w:lvlText w:val="o"/>
      <w:lvlJc w:val="left"/>
      <w:pPr>
        <w:ind w:left="4300" w:hanging="360"/>
      </w:pPr>
      <w:rPr>
        <w:rFonts w:ascii="Courier New" w:hAnsi="Courier New" w:cs="Courier New" w:hint="default"/>
      </w:rPr>
    </w:lvl>
    <w:lvl w:ilvl="5" w:tplc="04150005" w:tentative="1">
      <w:start w:val="1"/>
      <w:numFmt w:val="bullet"/>
      <w:lvlText w:val=""/>
      <w:lvlJc w:val="left"/>
      <w:pPr>
        <w:ind w:left="5020" w:hanging="360"/>
      </w:pPr>
      <w:rPr>
        <w:rFonts w:ascii="Wingdings" w:hAnsi="Wingdings" w:hint="default"/>
      </w:rPr>
    </w:lvl>
    <w:lvl w:ilvl="6" w:tplc="04150001" w:tentative="1">
      <w:start w:val="1"/>
      <w:numFmt w:val="bullet"/>
      <w:lvlText w:val=""/>
      <w:lvlJc w:val="left"/>
      <w:pPr>
        <w:ind w:left="5740" w:hanging="360"/>
      </w:pPr>
      <w:rPr>
        <w:rFonts w:ascii="Symbol" w:hAnsi="Symbol" w:hint="default"/>
      </w:rPr>
    </w:lvl>
    <w:lvl w:ilvl="7" w:tplc="04150003" w:tentative="1">
      <w:start w:val="1"/>
      <w:numFmt w:val="bullet"/>
      <w:lvlText w:val="o"/>
      <w:lvlJc w:val="left"/>
      <w:pPr>
        <w:ind w:left="6460" w:hanging="360"/>
      </w:pPr>
      <w:rPr>
        <w:rFonts w:ascii="Courier New" w:hAnsi="Courier New" w:cs="Courier New" w:hint="default"/>
      </w:rPr>
    </w:lvl>
    <w:lvl w:ilvl="8" w:tplc="04150005" w:tentative="1">
      <w:start w:val="1"/>
      <w:numFmt w:val="bullet"/>
      <w:lvlText w:val=""/>
      <w:lvlJc w:val="left"/>
      <w:pPr>
        <w:ind w:left="7180" w:hanging="360"/>
      </w:pPr>
      <w:rPr>
        <w:rFonts w:ascii="Wingdings" w:hAnsi="Wingdings" w:hint="default"/>
      </w:rPr>
    </w:lvl>
  </w:abstractNum>
  <w:abstractNum w:abstractNumId="135" w15:restartNumberingAfterBreak="0">
    <w:nsid w:val="335046C2"/>
    <w:multiLevelType w:val="singleLevel"/>
    <w:tmpl w:val="9CE8EEE2"/>
    <w:lvl w:ilvl="0">
      <w:start w:val="3"/>
      <w:numFmt w:val="decimal"/>
      <w:lvlText w:val="2.4.%1. "/>
      <w:legacy w:legacy="1" w:legacySpace="0" w:legacyIndent="283"/>
      <w:lvlJc w:val="left"/>
      <w:pPr>
        <w:ind w:left="283" w:hanging="283"/>
      </w:pPr>
      <w:rPr>
        <w:rFonts w:ascii="Times New Roman" w:hAnsi="Times New Roman" w:cs="Times New Roman" w:hint="default"/>
        <w:b/>
        <w:i w:val="0"/>
        <w:sz w:val="20"/>
        <w:u w:val="none"/>
      </w:rPr>
    </w:lvl>
  </w:abstractNum>
  <w:abstractNum w:abstractNumId="136" w15:restartNumberingAfterBreak="0">
    <w:nsid w:val="339F13D4"/>
    <w:multiLevelType w:val="multilevel"/>
    <w:tmpl w:val="4A96CFE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7" w15:restartNumberingAfterBreak="0">
    <w:nsid w:val="33C3029B"/>
    <w:multiLevelType w:val="multilevel"/>
    <w:tmpl w:val="593CC0AC"/>
    <w:styleLink w:val="WW8Num5"/>
    <w:lvl w:ilvl="0">
      <w:numFmt w:val="bullet"/>
      <w:lvlText w:val="-"/>
      <w:lvlJc w:val="left"/>
      <w:rPr>
        <w:rFonts w:ascii="Symbol" w:hAnsi="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38" w15:restartNumberingAfterBreak="0">
    <w:nsid w:val="343C27E1"/>
    <w:multiLevelType w:val="singleLevel"/>
    <w:tmpl w:val="06FC33CC"/>
    <w:lvl w:ilvl="0">
      <w:start w:val="1"/>
      <w:numFmt w:val="lowerLetter"/>
      <w:lvlText w:val="%1)"/>
      <w:legacy w:legacy="1" w:legacySpace="0" w:legacyIndent="283"/>
      <w:lvlJc w:val="left"/>
      <w:pPr>
        <w:ind w:left="283" w:hanging="283"/>
      </w:pPr>
    </w:lvl>
  </w:abstractNum>
  <w:abstractNum w:abstractNumId="139" w15:restartNumberingAfterBreak="0">
    <w:nsid w:val="349F76A0"/>
    <w:multiLevelType w:val="hybridMultilevel"/>
    <w:tmpl w:val="33FE1F2A"/>
    <w:lvl w:ilvl="0" w:tplc="C5388E1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0" w15:restartNumberingAfterBreak="0">
    <w:nsid w:val="3523342B"/>
    <w:multiLevelType w:val="singleLevel"/>
    <w:tmpl w:val="39189FEA"/>
    <w:lvl w:ilvl="0">
      <w:start w:val="1"/>
      <w:numFmt w:val="decimal"/>
      <w:lvlText w:val="1.4.%1. "/>
      <w:legacy w:legacy="1" w:legacySpace="0" w:legacyIndent="283"/>
      <w:lvlJc w:val="left"/>
      <w:pPr>
        <w:ind w:left="283" w:hanging="283"/>
      </w:pPr>
      <w:rPr>
        <w:rFonts w:ascii="Times New Roman" w:hAnsi="Times New Roman" w:cs="Times New Roman" w:hint="default"/>
        <w:b/>
        <w:i w:val="0"/>
        <w:sz w:val="20"/>
        <w:u w:val="none"/>
      </w:rPr>
    </w:lvl>
  </w:abstractNum>
  <w:abstractNum w:abstractNumId="141" w15:restartNumberingAfterBreak="0">
    <w:nsid w:val="352C1DEF"/>
    <w:multiLevelType w:val="singleLevel"/>
    <w:tmpl w:val="115E95C6"/>
    <w:lvl w:ilvl="0">
      <w:start w:val="5"/>
      <w:numFmt w:val="bullet"/>
      <w:pStyle w:val="podstawowy0"/>
      <w:lvlText w:val="-"/>
      <w:lvlJc w:val="left"/>
      <w:pPr>
        <w:tabs>
          <w:tab w:val="num" w:pos="1380"/>
        </w:tabs>
        <w:ind w:left="1380" w:hanging="360"/>
      </w:pPr>
      <w:rPr>
        <w:rFonts w:hint="default"/>
      </w:rPr>
    </w:lvl>
  </w:abstractNum>
  <w:abstractNum w:abstractNumId="142" w15:restartNumberingAfterBreak="0">
    <w:nsid w:val="358A3FA8"/>
    <w:multiLevelType w:val="singleLevel"/>
    <w:tmpl w:val="85B6082A"/>
    <w:lvl w:ilvl="0">
      <w:start w:val="10"/>
      <w:numFmt w:val="decimal"/>
      <w:lvlText w:val="5.5.%1. "/>
      <w:legacy w:legacy="1" w:legacySpace="0" w:legacyIndent="283"/>
      <w:lvlJc w:val="left"/>
      <w:pPr>
        <w:ind w:left="283" w:hanging="283"/>
      </w:pPr>
      <w:rPr>
        <w:rFonts w:ascii="Times New Roman" w:hAnsi="Times New Roman" w:cs="Times New Roman" w:hint="default"/>
        <w:b/>
        <w:i w:val="0"/>
        <w:sz w:val="20"/>
        <w:u w:val="none"/>
      </w:rPr>
    </w:lvl>
  </w:abstractNum>
  <w:abstractNum w:abstractNumId="143" w15:restartNumberingAfterBreak="0">
    <w:nsid w:val="35DD252C"/>
    <w:multiLevelType w:val="singleLevel"/>
    <w:tmpl w:val="BBD6A09A"/>
    <w:lvl w:ilvl="0">
      <w:start w:val="1"/>
      <w:numFmt w:val="lowerLetter"/>
      <w:lvlText w:val="%1)"/>
      <w:legacy w:legacy="1" w:legacySpace="0" w:legacyIndent="283"/>
      <w:lvlJc w:val="left"/>
      <w:pPr>
        <w:ind w:left="283" w:hanging="283"/>
      </w:pPr>
    </w:lvl>
  </w:abstractNum>
  <w:abstractNum w:abstractNumId="144" w15:restartNumberingAfterBreak="0">
    <w:nsid w:val="36976C6B"/>
    <w:multiLevelType w:val="singleLevel"/>
    <w:tmpl w:val="44F4BDFE"/>
    <w:lvl w:ilvl="0">
      <w:start w:val="5"/>
      <w:numFmt w:val="decimal"/>
      <w:lvlText w:val="2.5.%1. "/>
      <w:legacy w:legacy="1" w:legacySpace="0" w:legacyIndent="283"/>
      <w:lvlJc w:val="left"/>
      <w:pPr>
        <w:ind w:left="283" w:hanging="283"/>
      </w:pPr>
      <w:rPr>
        <w:rFonts w:ascii="Times New Roman" w:hAnsi="Times New Roman" w:cs="Times New Roman" w:hint="default"/>
        <w:b/>
        <w:i w:val="0"/>
        <w:sz w:val="20"/>
        <w:u w:val="none"/>
      </w:rPr>
    </w:lvl>
  </w:abstractNum>
  <w:abstractNum w:abstractNumId="145" w15:restartNumberingAfterBreak="0">
    <w:nsid w:val="37591049"/>
    <w:multiLevelType w:val="hybridMultilevel"/>
    <w:tmpl w:val="65144652"/>
    <w:lvl w:ilvl="0" w:tplc="4A36915C">
      <w:start w:val="64"/>
      <w:numFmt w:val="decimal"/>
      <w:lvlText w:val="%1."/>
      <w:lvlJc w:val="left"/>
      <w:pPr>
        <w:tabs>
          <w:tab w:val="num" w:pos="397"/>
        </w:tabs>
        <w:ind w:left="397" w:hanging="397"/>
      </w:pPr>
      <w:rPr>
        <w:rFonts w:ascii="Times New Roman" w:hAnsi="Times New Roman" w:cs="Times New Roman" w:hint="default"/>
        <w:b w:val="0"/>
        <w:bCs w:val="0"/>
        <w:i w:val="0"/>
        <w:iCs w:val="0"/>
        <w:sz w:val="20"/>
        <w:szCs w:val="20"/>
      </w:rPr>
    </w:lvl>
    <w:lvl w:ilvl="1" w:tplc="04150003">
      <w:start w:val="1"/>
      <w:numFmt w:val="lowerLetter"/>
      <w:lvlText w:val="%2."/>
      <w:lvlJc w:val="left"/>
      <w:pPr>
        <w:tabs>
          <w:tab w:val="num" w:pos="1440"/>
        </w:tabs>
        <w:ind w:left="1440" w:hanging="360"/>
      </w:pPr>
    </w:lvl>
    <w:lvl w:ilvl="2" w:tplc="04150005">
      <w:start w:val="1"/>
      <w:numFmt w:val="lowerRoman"/>
      <w:lvlText w:val="%3."/>
      <w:lvlJc w:val="right"/>
      <w:pPr>
        <w:tabs>
          <w:tab w:val="num" w:pos="2160"/>
        </w:tabs>
        <w:ind w:left="2160" w:hanging="180"/>
      </w:pPr>
    </w:lvl>
    <w:lvl w:ilvl="3" w:tplc="04150001">
      <w:start w:val="1"/>
      <w:numFmt w:val="decimal"/>
      <w:lvlText w:val="%4."/>
      <w:lvlJc w:val="left"/>
      <w:pPr>
        <w:tabs>
          <w:tab w:val="num" w:pos="2880"/>
        </w:tabs>
        <w:ind w:left="2880" w:hanging="360"/>
      </w:pPr>
    </w:lvl>
    <w:lvl w:ilvl="4" w:tplc="04150003">
      <w:start w:val="1"/>
      <w:numFmt w:val="lowerLetter"/>
      <w:lvlText w:val="%5."/>
      <w:lvlJc w:val="left"/>
      <w:pPr>
        <w:tabs>
          <w:tab w:val="num" w:pos="3600"/>
        </w:tabs>
        <w:ind w:left="3600" w:hanging="360"/>
      </w:pPr>
    </w:lvl>
    <w:lvl w:ilvl="5" w:tplc="04150005">
      <w:start w:val="1"/>
      <w:numFmt w:val="lowerRoman"/>
      <w:lvlText w:val="%6."/>
      <w:lvlJc w:val="right"/>
      <w:pPr>
        <w:tabs>
          <w:tab w:val="num" w:pos="4320"/>
        </w:tabs>
        <w:ind w:left="4320" w:hanging="180"/>
      </w:pPr>
    </w:lvl>
    <w:lvl w:ilvl="6" w:tplc="04150001">
      <w:start w:val="1"/>
      <w:numFmt w:val="decimal"/>
      <w:lvlText w:val="%7."/>
      <w:lvlJc w:val="left"/>
      <w:pPr>
        <w:tabs>
          <w:tab w:val="num" w:pos="5040"/>
        </w:tabs>
        <w:ind w:left="5040" w:hanging="360"/>
      </w:pPr>
    </w:lvl>
    <w:lvl w:ilvl="7" w:tplc="04150003">
      <w:start w:val="1"/>
      <w:numFmt w:val="lowerLetter"/>
      <w:lvlText w:val="%8."/>
      <w:lvlJc w:val="left"/>
      <w:pPr>
        <w:tabs>
          <w:tab w:val="num" w:pos="5760"/>
        </w:tabs>
        <w:ind w:left="5760" w:hanging="360"/>
      </w:pPr>
    </w:lvl>
    <w:lvl w:ilvl="8" w:tplc="04150005">
      <w:start w:val="1"/>
      <w:numFmt w:val="lowerRoman"/>
      <w:lvlText w:val="%9."/>
      <w:lvlJc w:val="right"/>
      <w:pPr>
        <w:tabs>
          <w:tab w:val="num" w:pos="6480"/>
        </w:tabs>
        <w:ind w:left="6480" w:hanging="180"/>
      </w:pPr>
    </w:lvl>
  </w:abstractNum>
  <w:abstractNum w:abstractNumId="146" w15:restartNumberingAfterBreak="0">
    <w:nsid w:val="38165A8A"/>
    <w:multiLevelType w:val="multilevel"/>
    <w:tmpl w:val="603E9654"/>
    <w:styleLink w:val="WW8Num2"/>
    <w:lvl w:ilvl="0">
      <w:numFmt w:val="bullet"/>
      <w:lvlText w:val="-"/>
      <w:lvlJc w:val="left"/>
      <w:rPr>
        <w:rFonts w:ascii="Symbol" w:hAnsi="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47" w15:restartNumberingAfterBreak="0">
    <w:nsid w:val="38567F35"/>
    <w:multiLevelType w:val="hybridMultilevel"/>
    <w:tmpl w:val="B60452F0"/>
    <w:lvl w:ilvl="0" w:tplc="C4906F98">
      <w:start w:val="1"/>
      <w:numFmt w:val="bullet"/>
      <w:lvlText w:val="–"/>
      <w:lvlJc w:val="left"/>
      <w:pPr>
        <w:tabs>
          <w:tab w:val="num" w:pos="397"/>
        </w:tabs>
        <w:ind w:left="397" w:hanging="397"/>
      </w:pPr>
      <w:rPr>
        <w:rFonts w:ascii="Times New Roman" w:hAnsi="Times New Roman" w:cs="Times New Roman" w:hint="default"/>
      </w:rPr>
    </w:lvl>
    <w:lvl w:ilvl="1" w:tplc="04150019">
      <w:start w:val="1"/>
      <w:numFmt w:val="bullet"/>
      <w:lvlText w:val="o"/>
      <w:lvlJc w:val="left"/>
      <w:pPr>
        <w:tabs>
          <w:tab w:val="num" w:pos="1440"/>
        </w:tabs>
        <w:ind w:left="1440" w:hanging="360"/>
      </w:pPr>
      <w:rPr>
        <w:rFonts w:ascii="Courier New" w:hAnsi="Courier New" w:cs="Courier New" w:hint="default"/>
      </w:rPr>
    </w:lvl>
    <w:lvl w:ilvl="2" w:tplc="0415001B">
      <w:start w:val="1"/>
      <w:numFmt w:val="bullet"/>
      <w:lvlText w:val=""/>
      <w:lvlJc w:val="left"/>
      <w:pPr>
        <w:tabs>
          <w:tab w:val="num" w:pos="2160"/>
        </w:tabs>
        <w:ind w:left="2160" w:hanging="360"/>
      </w:pPr>
      <w:rPr>
        <w:rFonts w:ascii="Wingdings" w:hAnsi="Wingdings" w:cs="Wingdings" w:hint="default"/>
      </w:rPr>
    </w:lvl>
    <w:lvl w:ilvl="3" w:tplc="0415000F">
      <w:start w:val="1"/>
      <w:numFmt w:val="bullet"/>
      <w:lvlText w:val=""/>
      <w:lvlJc w:val="left"/>
      <w:pPr>
        <w:tabs>
          <w:tab w:val="num" w:pos="2880"/>
        </w:tabs>
        <w:ind w:left="2880" w:hanging="360"/>
      </w:pPr>
      <w:rPr>
        <w:rFonts w:ascii="Symbol" w:hAnsi="Symbol" w:cs="Symbol" w:hint="default"/>
      </w:rPr>
    </w:lvl>
    <w:lvl w:ilvl="4" w:tplc="04150019">
      <w:start w:val="1"/>
      <w:numFmt w:val="bullet"/>
      <w:lvlText w:val="o"/>
      <w:lvlJc w:val="left"/>
      <w:pPr>
        <w:tabs>
          <w:tab w:val="num" w:pos="3600"/>
        </w:tabs>
        <w:ind w:left="3600" w:hanging="360"/>
      </w:pPr>
      <w:rPr>
        <w:rFonts w:ascii="Courier New" w:hAnsi="Courier New" w:cs="Courier New" w:hint="default"/>
      </w:rPr>
    </w:lvl>
    <w:lvl w:ilvl="5" w:tplc="0415001B">
      <w:start w:val="1"/>
      <w:numFmt w:val="bullet"/>
      <w:lvlText w:val=""/>
      <w:lvlJc w:val="left"/>
      <w:pPr>
        <w:tabs>
          <w:tab w:val="num" w:pos="4320"/>
        </w:tabs>
        <w:ind w:left="4320" w:hanging="360"/>
      </w:pPr>
      <w:rPr>
        <w:rFonts w:ascii="Wingdings" w:hAnsi="Wingdings" w:cs="Wingdings" w:hint="default"/>
      </w:rPr>
    </w:lvl>
    <w:lvl w:ilvl="6" w:tplc="0415000F">
      <w:start w:val="1"/>
      <w:numFmt w:val="bullet"/>
      <w:lvlText w:val=""/>
      <w:lvlJc w:val="left"/>
      <w:pPr>
        <w:tabs>
          <w:tab w:val="num" w:pos="5040"/>
        </w:tabs>
        <w:ind w:left="5040" w:hanging="360"/>
      </w:pPr>
      <w:rPr>
        <w:rFonts w:ascii="Symbol" w:hAnsi="Symbol" w:cs="Symbol" w:hint="default"/>
      </w:rPr>
    </w:lvl>
    <w:lvl w:ilvl="7" w:tplc="04150019">
      <w:start w:val="1"/>
      <w:numFmt w:val="bullet"/>
      <w:lvlText w:val="o"/>
      <w:lvlJc w:val="left"/>
      <w:pPr>
        <w:tabs>
          <w:tab w:val="num" w:pos="5760"/>
        </w:tabs>
        <w:ind w:left="5760" w:hanging="360"/>
      </w:pPr>
      <w:rPr>
        <w:rFonts w:ascii="Courier New" w:hAnsi="Courier New" w:cs="Courier New" w:hint="default"/>
      </w:rPr>
    </w:lvl>
    <w:lvl w:ilvl="8" w:tplc="0415001B">
      <w:start w:val="1"/>
      <w:numFmt w:val="bullet"/>
      <w:lvlText w:val=""/>
      <w:lvlJc w:val="left"/>
      <w:pPr>
        <w:tabs>
          <w:tab w:val="num" w:pos="6480"/>
        </w:tabs>
        <w:ind w:left="6480" w:hanging="360"/>
      </w:pPr>
      <w:rPr>
        <w:rFonts w:ascii="Wingdings" w:hAnsi="Wingdings" w:cs="Wingdings" w:hint="default"/>
      </w:rPr>
    </w:lvl>
  </w:abstractNum>
  <w:abstractNum w:abstractNumId="148" w15:restartNumberingAfterBreak="0">
    <w:nsid w:val="38B93E07"/>
    <w:multiLevelType w:val="singleLevel"/>
    <w:tmpl w:val="B49EA182"/>
    <w:lvl w:ilvl="0">
      <w:start w:val="1"/>
      <w:numFmt w:val="decimal"/>
      <w:lvlText w:val="2.5.%1. "/>
      <w:legacy w:legacy="1" w:legacySpace="0" w:legacyIndent="283"/>
      <w:lvlJc w:val="left"/>
      <w:pPr>
        <w:ind w:left="283" w:hanging="283"/>
      </w:pPr>
      <w:rPr>
        <w:rFonts w:ascii="Times New Roman" w:hAnsi="Times New Roman" w:cs="Times New Roman" w:hint="default"/>
        <w:b/>
        <w:i w:val="0"/>
        <w:sz w:val="20"/>
        <w:u w:val="none"/>
      </w:rPr>
    </w:lvl>
  </w:abstractNum>
  <w:abstractNum w:abstractNumId="149" w15:restartNumberingAfterBreak="0">
    <w:nsid w:val="38D16A24"/>
    <w:multiLevelType w:val="singleLevel"/>
    <w:tmpl w:val="9910A9B2"/>
    <w:lvl w:ilvl="0">
      <w:start w:val="1"/>
      <w:numFmt w:val="lowerLetter"/>
      <w:lvlText w:val="%1)"/>
      <w:legacy w:legacy="1" w:legacySpace="0" w:legacyIndent="283"/>
      <w:lvlJc w:val="left"/>
      <w:pPr>
        <w:ind w:left="567" w:hanging="283"/>
      </w:pPr>
    </w:lvl>
  </w:abstractNum>
  <w:abstractNum w:abstractNumId="150" w15:restartNumberingAfterBreak="0">
    <w:nsid w:val="391F2125"/>
    <w:multiLevelType w:val="singleLevel"/>
    <w:tmpl w:val="A32A19D8"/>
    <w:lvl w:ilvl="0">
      <w:start w:val="3"/>
      <w:numFmt w:val="decimal"/>
      <w:lvlText w:val="2.6.%1. "/>
      <w:legacy w:legacy="1" w:legacySpace="0" w:legacyIndent="283"/>
      <w:lvlJc w:val="left"/>
      <w:pPr>
        <w:ind w:left="283" w:hanging="283"/>
      </w:pPr>
      <w:rPr>
        <w:rFonts w:ascii="Times New Roman" w:hAnsi="Times New Roman" w:cs="Times New Roman" w:hint="default"/>
        <w:b/>
        <w:i w:val="0"/>
        <w:sz w:val="20"/>
        <w:u w:val="none"/>
      </w:rPr>
    </w:lvl>
  </w:abstractNum>
  <w:abstractNum w:abstractNumId="151" w15:restartNumberingAfterBreak="0">
    <w:nsid w:val="392914D4"/>
    <w:multiLevelType w:val="hybridMultilevel"/>
    <w:tmpl w:val="396EBBE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2" w15:restartNumberingAfterBreak="0">
    <w:nsid w:val="39301D3B"/>
    <w:multiLevelType w:val="multilevel"/>
    <w:tmpl w:val="42C83CFC"/>
    <w:lvl w:ilvl="0">
      <w:start w:val="4"/>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3" w15:restartNumberingAfterBreak="0">
    <w:nsid w:val="393F64CB"/>
    <w:multiLevelType w:val="hybridMultilevel"/>
    <w:tmpl w:val="3E66350E"/>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4" w15:restartNumberingAfterBreak="0">
    <w:nsid w:val="3B817244"/>
    <w:multiLevelType w:val="singleLevel"/>
    <w:tmpl w:val="CD1C349E"/>
    <w:lvl w:ilvl="0">
      <w:start w:val="1"/>
      <w:numFmt w:val="decimal"/>
      <w:lvlText w:val="5.5.5.%1. "/>
      <w:legacy w:legacy="1" w:legacySpace="0" w:legacyIndent="283"/>
      <w:lvlJc w:val="left"/>
      <w:pPr>
        <w:ind w:left="283" w:hanging="283"/>
      </w:pPr>
      <w:rPr>
        <w:rFonts w:ascii="Times New Roman" w:hAnsi="Times New Roman" w:cs="Times New Roman" w:hint="default"/>
        <w:b w:val="0"/>
        <w:i w:val="0"/>
        <w:sz w:val="20"/>
        <w:u w:val="none"/>
      </w:rPr>
    </w:lvl>
  </w:abstractNum>
  <w:abstractNum w:abstractNumId="155" w15:restartNumberingAfterBreak="0">
    <w:nsid w:val="3C595BEC"/>
    <w:multiLevelType w:val="hybridMultilevel"/>
    <w:tmpl w:val="54FCA1B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6" w15:restartNumberingAfterBreak="0">
    <w:nsid w:val="3D314BA4"/>
    <w:multiLevelType w:val="multilevel"/>
    <w:tmpl w:val="6A6640D8"/>
    <w:lvl w:ilvl="0">
      <w:start w:val="1"/>
      <w:numFmt w:val="decimal"/>
      <w:lvlText w:val="%1."/>
      <w:lvlJc w:val="left"/>
      <w:pPr>
        <w:tabs>
          <w:tab w:val="num" w:pos="340"/>
        </w:tabs>
        <w:ind w:left="340" w:hanging="34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Zero"/>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7" w15:restartNumberingAfterBreak="0">
    <w:nsid w:val="3D424275"/>
    <w:multiLevelType w:val="hybridMultilevel"/>
    <w:tmpl w:val="82B0201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8" w15:restartNumberingAfterBreak="0">
    <w:nsid w:val="3DFD6370"/>
    <w:multiLevelType w:val="multilevel"/>
    <w:tmpl w:val="2BBAF418"/>
    <w:lvl w:ilvl="0">
      <w:start w:val="2"/>
      <w:numFmt w:val="decimal"/>
      <w:lvlText w:val="%1"/>
      <w:lvlJc w:val="left"/>
      <w:pPr>
        <w:ind w:left="510" w:hanging="510"/>
      </w:pPr>
      <w:rPr>
        <w:rFonts w:hint="default"/>
        <w:b w:val="0"/>
      </w:rPr>
    </w:lvl>
    <w:lvl w:ilvl="1">
      <w:start w:val="13"/>
      <w:numFmt w:val="decimal"/>
      <w:lvlText w:val="%1.%2"/>
      <w:lvlJc w:val="left"/>
      <w:pPr>
        <w:ind w:left="510" w:hanging="510"/>
      </w:pPr>
      <w:rPr>
        <w:rFonts w:hint="default"/>
        <w:b w:val="0"/>
      </w:rPr>
    </w:lvl>
    <w:lvl w:ilvl="2">
      <w:start w:val="6"/>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720" w:hanging="72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159" w15:restartNumberingAfterBreak="0">
    <w:nsid w:val="3ED93BD9"/>
    <w:multiLevelType w:val="multilevel"/>
    <w:tmpl w:val="E9BC5A96"/>
    <w:lvl w:ilvl="0">
      <w:start w:val="1"/>
      <w:numFmt w:val="decimal"/>
      <w:lvlText w:val="%1."/>
      <w:lvlJc w:val="left"/>
      <w:pPr>
        <w:tabs>
          <w:tab w:val="num" w:pos="360"/>
        </w:tabs>
        <w:ind w:left="360" w:hanging="360"/>
      </w:pPr>
      <w:rPr>
        <w:rFonts w:hint="default"/>
      </w:rPr>
    </w:lvl>
    <w:lvl w:ilvl="1">
      <w:start w:val="4"/>
      <w:numFmt w:val="decimal"/>
      <w:isLgl/>
      <w:lvlText w:val="%1.%2."/>
      <w:lvlJc w:val="left"/>
      <w:pPr>
        <w:tabs>
          <w:tab w:val="num" w:pos="420"/>
        </w:tabs>
        <w:ind w:left="420" w:hanging="420"/>
      </w:pPr>
      <w:rPr>
        <w:rFonts w:hint="default"/>
      </w:rPr>
    </w:lvl>
    <w:lvl w:ilvl="2">
      <w:start w:val="1"/>
      <w:numFmt w:val="decimal"/>
      <w:isLgl/>
      <w:lvlText w:val="%1.%2.%3."/>
      <w:lvlJc w:val="left"/>
      <w:pPr>
        <w:tabs>
          <w:tab w:val="num" w:pos="720"/>
        </w:tabs>
        <w:ind w:left="720" w:hanging="720"/>
      </w:pPr>
      <w:rPr>
        <w:rFonts w:hint="default"/>
        <w:b/>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60" w15:restartNumberingAfterBreak="0">
    <w:nsid w:val="3F1549F0"/>
    <w:multiLevelType w:val="hybridMultilevel"/>
    <w:tmpl w:val="F3D8345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1" w15:restartNumberingAfterBreak="0">
    <w:nsid w:val="3F347EE9"/>
    <w:multiLevelType w:val="hybridMultilevel"/>
    <w:tmpl w:val="25A808C6"/>
    <w:lvl w:ilvl="0" w:tplc="36DC2774">
      <w:start w:val="1"/>
      <w:numFmt w:val="bullet"/>
      <w:lvlText w:val="-"/>
      <w:lvlJc w:val="left"/>
      <w:pPr>
        <w:ind w:left="720" w:hanging="360"/>
      </w:pPr>
      <w:rPr>
        <w:rFonts w:ascii="Calibri" w:eastAsia="Verdana" w:hAnsi="Calibri" w:cs="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2" w15:restartNumberingAfterBreak="0">
    <w:nsid w:val="3FD75B5B"/>
    <w:multiLevelType w:val="multilevel"/>
    <w:tmpl w:val="4A96CFE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3" w15:restartNumberingAfterBreak="0">
    <w:nsid w:val="404C6715"/>
    <w:multiLevelType w:val="singleLevel"/>
    <w:tmpl w:val="B76891E2"/>
    <w:lvl w:ilvl="0">
      <w:start w:val="3"/>
      <w:numFmt w:val="decimal"/>
      <w:lvlText w:val="2.5.%1. "/>
      <w:legacy w:legacy="1" w:legacySpace="0" w:legacyIndent="283"/>
      <w:lvlJc w:val="left"/>
      <w:pPr>
        <w:ind w:left="283" w:hanging="283"/>
      </w:pPr>
      <w:rPr>
        <w:rFonts w:ascii="Times New Roman" w:hAnsi="Times New Roman" w:cs="Times New Roman" w:hint="default"/>
        <w:b/>
        <w:i w:val="0"/>
        <w:sz w:val="20"/>
        <w:u w:val="none"/>
      </w:rPr>
    </w:lvl>
  </w:abstractNum>
  <w:abstractNum w:abstractNumId="164" w15:restartNumberingAfterBreak="0">
    <w:nsid w:val="40CB5D38"/>
    <w:multiLevelType w:val="singleLevel"/>
    <w:tmpl w:val="0742E706"/>
    <w:lvl w:ilvl="0">
      <w:start w:val="2"/>
      <w:numFmt w:val="decimal"/>
      <w:lvlText w:val="5.5.3.%1. "/>
      <w:legacy w:legacy="1" w:legacySpace="0" w:legacyIndent="283"/>
      <w:lvlJc w:val="left"/>
      <w:pPr>
        <w:ind w:left="283" w:hanging="283"/>
      </w:pPr>
      <w:rPr>
        <w:rFonts w:ascii="Times New Roman" w:hAnsi="Times New Roman" w:cs="Times New Roman" w:hint="default"/>
        <w:b w:val="0"/>
        <w:i w:val="0"/>
        <w:sz w:val="20"/>
        <w:u w:val="none"/>
      </w:rPr>
    </w:lvl>
  </w:abstractNum>
  <w:abstractNum w:abstractNumId="165" w15:restartNumberingAfterBreak="0">
    <w:nsid w:val="40F52DEA"/>
    <w:multiLevelType w:val="singleLevel"/>
    <w:tmpl w:val="64326664"/>
    <w:lvl w:ilvl="0">
      <w:start w:val="1"/>
      <w:numFmt w:val="lowerLetter"/>
      <w:lvlText w:val="%1)"/>
      <w:legacy w:legacy="1" w:legacySpace="0" w:legacyIndent="283"/>
      <w:lvlJc w:val="left"/>
      <w:pPr>
        <w:ind w:left="283" w:hanging="283"/>
      </w:pPr>
    </w:lvl>
  </w:abstractNum>
  <w:abstractNum w:abstractNumId="166" w15:restartNumberingAfterBreak="0">
    <w:nsid w:val="411911A6"/>
    <w:multiLevelType w:val="singleLevel"/>
    <w:tmpl w:val="678848F4"/>
    <w:lvl w:ilvl="0">
      <w:start w:val="6"/>
      <w:numFmt w:val="decimal"/>
      <w:lvlText w:val="2.14.%1. "/>
      <w:legacy w:legacy="1" w:legacySpace="0" w:legacyIndent="283"/>
      <w:lvlJc w:val="left"/>
      <w:pPr>
        <w:ind w:left="283" w:hanging="283"/>
      </w:pPr>
      <w:rPr>
        <w:rFonts w:ascii="Times New Roman" w:hAnsi="Times New Roman" w:cs="Times New Roman" w:hint="default"/>
        <w:b/>
        <w:i w:val="0"/>
        <w:sz w:val="20"/>
        <w:u w:val="none"/>
      </w:rPr>
    </w:lvl>
  </w:abstractNum>
  <w:abstractNum w:abstractNumId="167" w15:restartNumberingAfterBreak="0">
    <w:nsid w:val="414E0D31"/>
    <w:multiLevelType w:val="multilevel"/>
    <w:tmpl w:val="1EC4CD90"/>
    <w:styleLink w:val="StylStylStylKonspektynumerowaneKonspektynumerowane12pt"/>
    <w:lvl w:ilvl="0">
      <w:start w:val="1"/>
      <w:numFmt w:val="decimal"/>
      <w:lvlText w:val="%1."/>
      <w:lvlJc w:val="left"/>
      <w:pPr>
        <w:tabs>
          <w:tab w:val="num" w:pos="360"/>
        </w:tabs>
        <w:ind w:left="360" w:hanging="360"/>
      </w:pPr>
      <w:rPr>
        <w:rFonts w:ascii="Arial" w:hAnsi="Arial"/>
        <w:b/>
        <w:sz w:val="28"/>
      </w:rPr>
    </w:lvl>
    <w:lvl w:ilvl="1">
      <w:start w:val="1"/>
      <w:numFmt w:val="decimal"/>
      <w:lvlText w:val="%1.%2."/>
      <w:lvlJc w:val="left"/>
      <w:pPr>
        <w:tabs>
          <w:tab w:val="num" w:pos="858"/>
        </w:tabs>
        <w:ind w:left="858" w:hanging="432"/>
      </w:pPr>
      <w:rPr>
        <w:rFonts w:ascii="Arial" w:hAnsi="Arial"/>
        <w:b/>
        <w:sz w:val="20"/>
      </w:rPr>
    </w:lvl>
    <w:lvl w:ilvl="2">
      <w:start w:val="1"/>
      <w:numFmt w:val="decimal"/>
      <w:lvlText w:val="%1.%2.%3."/>
      <w:lvlJc w:val="left"/>
      <w:pPr>
        <w:tabs>
          <w:tab w:val="num" w:pos="1224"/>
        </w:tabs>
        <w:ind w:left="1224" w:hanging="504"/>
      </w:pPr>
      <w:rPr>
        <w:rFonts w:ascii="Arial" w:hAnsi="Arial"/>
        <w:sz w:val="24"/>
        <w:szCs w:val="24"/>
      </w:r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68" w15:restartNumberingAfterBreak="0">
    <w:nsid w:val="41A81321"/>
    <w:multiLevelType w:val="singleLevel"/>
    <w:tmpl w:val="3BC43038"/>
    <w:lvl w:ilvl="0">
      <w:start w:val="1"/>
      <w:numFmt w:val="lowerLetter"/>
      <w:lvlText w:val="%1)"/>
      <w:legacy w:legacy="1" w:legacySpace="0" w:legacyIndent="283"/>
      <w:lvlJc w:val="left"/>
      <w:pPr>
        <w:ind w:left="283" w:hanging="283"/>
      </w:pPr>
    </w:lvl>
  </w:abstractNum>
  <w:abstractNum w:abstractNumId="169" w15:restartNumberingAfterBreak="0">
    <w:nsid w:val="41B16FA8"/>
    <w:multiLevelType w:val="hybridMultilevel"/>
    <w:tmpl w:val="956CC62A"/>
    <w:lvl w:ilvl="0" w:tplc="99A6F78C">
      <w:start w:val="1"/>
      <w:numFmt w:val="bullet"/>
      <w:lvlText w:val=""/>
      <w:lvlJc w:val="left"/>
      <w:pPr>
        <w:ind w:left="765" w:hanging="360"/>
      </w:pPr>
      <w:rPr>
        <w:rFonts w:ascii="Symbol" w:hAnsi="Symbol" w:hint="default"/>
      </w:rPr>
    </w:lvl>
    <w:lvl w:ilvl="1" w:tplc="5870301C" w:tentative="1">
      <w:start w:val="1"/>
      <w:numFmt w:val="bullet"/>
      <w:lvlText w:val="o"/>
      <w:lvlJc w:val="left"/>
      <w:pPr>
        <w:ind w:left="1485" w:hanging="360"/>
      </w:pPr>
      <w:rPr>
        <w:rFonts w:ascii="Courier New" w:hAnsi="Courier New" w:cs="Courier New" w:hint="default"/>
      </w:rPr>
    </w:lvl>
    <w:lvl w:ilvl="2" w:tplc="2EDC206E" w:tentative="1">
      <w:start w:val="1"/>
      <w:numFmt w:val="bullet"/>
      <w:lvlText w:val=""/>
      <w:lvlJc w:val="left"/>
      <w:pPr>
        <w:ind w:left="2205" w:hanging="360"/>
      </w:pPr>
      <w:rPr>
        <w:rFonts w:ascii="Wingdings" w:hAnsi="Wingdings" w:hint="default"/>
      </w:rPr>
    </w:lvl>
    <w:lvl w:ilvl="3" w:tplc="72801A58" w:tentative="1">
      <w:start w:val="1"/>
      <w:numFmt w:val="bullet"/>
      <w:lvlText w:val=""/>
      <w:lvlJc w:val="left"/>
      <w:pPr>
        <w:ind w:left="2925" w:hanging="360"/>
      </w:pPr>
      <w:rPr>
        <w:rFonts w:ascii="Symbol" w:hAnsi="Symbol" w:hint="default"/>
      </w:rPr>
    </w:lvl>
    <w:lvl w:ilvl="4" w:tplc="0DE2D6FE" w:tentative="1">
      <w:start w:val="1"/>
      <w:numFmt w:val="bullet"/>
      <w:lvlText w:val="o"/>
      <w:lvlJc w:val="left"/>
      <w:pPr>
        <w:ind w:left="3645" w:hanging="360"/>
      </w:pPr>
      <w:rPr>
        <w:rFonts w:ascii="Courier New" w:hAnsi="Courier New" w:cs="Courier New" w:hint="default"/>
      </w:rPr>
    </w:lvl>
    <w:lvl w:ilvl="5" w:tplc="8006F532" w:tentative="1">
      <w:start w:val="1"/>
      <w:numFmt w:val="bullet"/>
      <w:lvlText w:val=""/>
      <w:lvlJc w:val="left"/>
      <w:pPr>
        <w:ind w:left="4365" w:hanging="360"/>
      </w:pPr>
      <w:rPr>
        <w:rFonts w:ascii="Wingdings" w:hAnsi="Wingdings" w:hint="default"/>
      </w:rPr>
    </w:lvl>
    <w:lvl w:ilvl="6" w:tplc="47D08D96" w:tentative="1">
      <w:start w:val="1"/>
      <w:numFmt w:val="bullet"/>
      <w:lvlText w:val=""/>
      <w:lvlJc w:val="left"/>
      <w:pPr>
        <w:ind w:left="5085" w:hanging="360"/>
      </w:pPr>
      <w:rPr>
        <w:rFonts w:ascii="Symbol" w:hAnsi="Symbol" w:hint="default"/>
      </w:rPr>
    </w:lvl>
    <w:lvl w:ilvl="7" w:tplc="503C7262" w:tentative="1">
      <w:start w:val="1"/>
      <w:numFmt w:val="bullet"/>
      <w:lvlText w:val="o"/>
      <w:lvlJc w:val="left"/>
      <w:pPr>
        <w:ind w:left="5805" w:hanging="360"/>
      </w:pPr>
      <w:rPr>
        <w:rFonts w:ascii="Courier New" w:hAnsi="Courier New" w:cs="Courier New" w:hint="default"/>
      </w:rPr>
    </w:lvl>
    <w:lvl w:ilvl="8" w:tplc="A1745694" w:tentative="1">
      <w:start w:val="1"/>
      <w:numFmt w:val="bullet"/>
      <w:lvlText w:val=""/>
      <w:lvlJc w:val="left"/>
      <w:pPr>
        <w:ind w:left="6525" w:hanging="360"/>
      </w:pPr>
      <w:rPr>
        <w:rFonts w:ascii="Wingdings" w:hAnsi="Wingdings" w:hint="default"/>
      </w:rPr>
    </w:lvl>
  </w:abstractNum>
  <w:abstractNum w:abstractNumId="170" w15:restartNumberingAfterBreak="0">
    <w:nsid w:val="422A0D69"/>
    <w:multiLevelType w:val="singleLevel"/>
    <w:tmpl w:val="735C3244"/>
    <w:lvl w:ilvl="0">
      <w:start w:val="1"/>
      <w:numFmt w:val="lowerLetter"/>
      <w:lvlText w:val="%1)"/>
      <w:legacy w:legacy="1" w:legacySpace="0" w:legacyIndent="284"/>
      <w:lvlJc w:val="left"/>
      <w:pPr>
        <w:ind w:left="284" w:hanging="284"/>
      </w:pPr>
    </w:lvl>
  </w:abstractNum>
  <w:abstractNum w:abstractNumId="171" w15:restartNumberingAfterBreak="0">
    <w:nsid w:val="423B07C4"/>
    <w:multiLevelType w:val="hybridMultilevel"/>
    <w:tmpl w:val="4BD836AA"/>
    <w:lvl w:ilvl="0" w:tplc="4A36915C">
      <w:start w:val="1"/>
      <w:numFmt w:val="bullet"/>
      <w:lvlText w:val="−"/>
      <w:lvlJc w:val="left"/>
      <w:pPr>
        <w:tabs>
          <w:tab w:val="num" w:pos="680"/>
        </w:tabs>
        <w:ind w:left="680" w:hanging="340"/>
      </w:pPr>
      <w:rPr>
        <w:rFonts w:ascii="Verdana" w:hAnsi="Verdana"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172" w15:restartNumberingAfterBreak="0">
    <w:nsid w:val="428E072B"/>
    <w:multiLevelType w:val="singleLevel"/>
    <w:tmpl w:val="5FF6BD5E"/>
    <w:lvl w:ilvl="0">
      <w:start w:val="8"/>
      <w:numFmt w:val="decimal"/>
      <w:lvlText w:val="2.4.%1. "/>
      <w:legacy w:legacy="1" w:legacySpace="0" w:legacyIndent="283"/>
      <w:lvlJc w:val="left"/>
      <w:pPr>
        <w:ind w:left="283" w:hanging="283"/>
      </w:pPr>
      <w:rPr>
        <w:rFonts w:ascii="Times New Roman" w:hAnsi="Times New Roman" w:cs="Times New Roman" w:hint="default"/>
        <w:b/>
        <w:i w:val="0"/>
        <w:sz w:val="20"/>
        <w:u w:val="none"/>
      </w:rPr>
    </w:lvl>
  </w:abstractNum>
  <w:abstractNum w:abstractNumId="173" w15:restartNumberingAfterBreak="0">
    <w:nsid w:val="42B43B5F"/>
    <w:multiLevelType w:val="multilevel"/>
    <w:tmpl w:val="0415001D"/>
    <w:styleLink w:val="Styl1"/>
    <w:lvl w:ilvl="0">
      <w:start w:val="1"/>
      <w:numFmt w:val="decimal"/>
      <w:lvlText w:val="%1)"/>
      <w:lvlJc w:val="left"/>
      <w:pPr>
        <w:ind w:left="360" w:hanging="360"/>
      </w:pPr>
      <w:rPr>
        <w:rFonts w:asciiTheme="minorHAnsi" w:hAnsiTheme="minorHAnsi"/>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4" w15:restartNumberingAfterBreak="0">
    <w:nsid w:val="433A5AB0"/>
    <w:multiLevelType w:val="singleLevel"/>
    <w:tmpl w:val="93FEF25C"/>
    <w:lvl w:ilvl="0">
      <w:start w:val="1"/>
      <w:numFmt w:val="decimal"/>
      <w:lvlText w:val="5.5.10.%1. "/>
      <w:legacy w:legacy="1" w:legacySpace="0" w:legacyIndent="283"/>
      <w:lvlJc w:val="left"/>
      <w:pPr>
        <w:ind w:left="283" w:hanging="283"/>
      </w:pPr>
      <w:rPr>
        <w:rFonts w:ascii="Times New Roman" w:hAnsi="Times New Roman" w:cs="Times New Roman" w:hint="default"/>
        <w:b w:val="0"/>
        <w:i w:val="0"/>
        <w:sz w:val="20"/>
        <w:u w:val="none"/>
      </w:rPr>
    </w:lvl>
  </w:abstractNum>
  <w:abstractNum w:abstractNumId="175" w15:restartNumberingAfterBreak="0">
    <w:nsid w:val="43E20422"/>
    <w:multiLevelType w:val="singleLevel"/>
    <w:tmpl w:val="DAB4AD32"/>
    <w:lvl w:ilvl="0">
      <w:start w:val="1"/>
      <w:numFmt w:val="lowerLetter"/>
      <w:lvlText w:val="%1)"/>
      <w:legacy w:legacy="1" w:legacySpace="0" w:legacyIndent="283"/>
      <w:lvlJc w:val="left"/>
      <w:pPr>
        <w:ind w:left="283" w:hanging="283"/>
      </w:pPr>
    </w:lvl>
  </w:abstractNum>
  <w:abstractNum w:abstractNumId="176" w15:restartNumberingAfterBreak="0">
    <w:nsid w:val="44007EE4"/>
    <w:multiLevelType w:val="hybridMultilevel"/>
    <w:tmpl w:val="B686B11A"/>
    <w:lvl w:ilvl="0" w:tplc="4A065930">
      <w:start w:val="1"/>
      <w:numFmt w:val="bullet"/>
      <w:lvlText w:val="–"/>
      <w:lvlJc w:val="left"/>
      <w:pPr>
        <w:tabs>
          <w:tab w:val="num" w:pos="1381"/>
        </w:tabs>
        <w:ind w:left="1361" w:hanging="340"/>
      </w:pPr>
      <w:rPr>
        <w:rFonts w:ascii="Times New Roman" w:hAnsi="Times New Roman" w:cs="Times New Roman" w:hint="default"/>
        <w:color w:val="auto"/>
        <w:sz w:val="16"/>
      </w:rPr>
    </w:lvl>
    <w:lvl w:ilvl="1" w:tplc="1C509AC2">
      <w:start w:val="3"/>
      <w:numFmt w:val="bullet"/>
      <w:lvlText w:val="–"/>
      <w:lvlJc w:val="left"/>
      <w:pPr>
        <w:tabs>
          <w:tab w:val="num" w:pos="1440"/>
        </w:tabs>
        <w:ind w:left="1440" w:hanging="360"/>
      </w:pPr>
      <w:rPr>
        <w:rFonts w:ascii="Times New Roman" w:eastAsia="Times New Roman" w:hAnsi="Times New Roman" w:cs="Times New Roman" w:hint="default"/>
      </w:rPr>
    </w:lvl>
    <w:lvl w:ilvl="2" w:tplc="813421A4">
      <w:start w:val="1"/>
      <w:numFmt w:val="lowerLetter"/>
      <w:lvlText w:val="%3)"/>
      <w:lvlJc w:val="left"/>
      <w:pPr>
        <w:tabs>
          <w:tab w:val="num" w:pos="2197"/>
        </w:tabs>
        <w:ind w:left="2197" w:hanging="397"/>
      </w:pPr>
    </w:lvl>
    <w:lvl w:ilvl="3" w:tplc="EA9ADEAA">
      <w:start w:val="1"/>
      <w:numFmt w:val="decimal"/>
      <w:lvlText w:val="%4."/>
      <w:lvlJc w:val="left"/>
      <w:pPr>
        <w:tabs>
          <w:tab w:val="num" w:pos="2880"/>
        </w:tabs>
        <w:ind w:left="2880" w:hanging="360"/>
      </w:pPr>
    </w:lvl>
    <w:lvl w:ilvl="4" w:tplc="BA98CFFC">
      <w:start w:val="1"/>
      <w:numFmt w:val="decimal"/>
      <w:lvlText w:val="%5."/>
      <w:lvlJc w:val="left"/>
      <w:pPr>
        <w:tabs>
          <w:tab w:val="num" w:pos="3600"/>
        </w:tabs>
        <w:ind w:left="3600" w:hanging="360"/>
      </w:pPr>
    </w:lvl>
    <w:lvl w:ilvl="5" w:tplc="739820A8">
      <w:start w:val="1"/>
      <w:numFmt w:val="decimal"/>
      <w:lvlText w:val="%6."/>
      <w:lvlJc w:val="left"/>
      <w:pPr>
        <w:tabs>
          <w:tab w:val="num" w:pos="4320"/>
        </w:tabs>
        <w:ind w:left="4320" w:hanging="360"/>
      </w:pPr>
    </w:lvl>
    <w:lvl w:ilvl="6" w:tplc="34C85C32">
      <w:start w:val="1"/>
      <w:numFmt w:val="decimal"/>
      <w:lvlText w:val="%7."/>
      <w:lvlJc w:val="left"/>
      <w:pPr>
        <w:tabs>
          <w:tab w:val="num" w:pos="5040"/>
        </w:tabs>
        <w:ind w:left="5040" w:hanging="360"/>
      </w:pPr>
    </w:lvl>
    <w:lvl w:ilvl="7" w:tplc="643479B4">
      <w:start w:val="1"/>
      <w:numFmt w:val="decimal"/>
      <w:lvlText w:val="%8."/>
      <w:lvlJc w:val="left"/>
      <w:pPr>
        <w:tabs>
          <w:tab w:val="num" w:pos="5760"/>
        </w:tabs>
        <w:ind w:left="5760" w:hanging="360"/>
      </w:pPr>
    </w:lvl>
    <w:lvl w:ilvl="8" w:tplc="6A0CD88C">
      <w:start w:val="1"/>
      <w:numFmt w:val="decimal"/>
      <w:lvlText w:val="%9."/>
      <w:lvlJc w:val="left"/>
      <w:pPr>
        <w:tabs>
          <w:tab w:val="num" w:pos="6480"/>
        </w:tabs>
        <w:ind w:left="6480" w:hanging="360"/>
      </w:pPr>
    </w:lvl>
  </w:abstractNum>
  <w:abstractNum w:abstractNumId="177" w15:restartNumberingAfterBreak="0">
    <w:nsid w:val="44604702"/>
    <w:multiLevelType w:val="multilevel"/>
    <w:tmpl w:val="A4D872F8"/>
    <w:lvl w:ilvl="0">
      <w:start w:val="1"/>
      <w:numFmt w:val="bullet"/>
      <w:lvlText w:val=""/>
      <w:lvlJc w:val="left"/>
      <w:pPr>
        <w:ind w:left="720" w:hanging="360"/>
      </w:pPr>
      <w:rPr>
        <w:rFonts w:ascii="Symbol" w:hAnsi="Symbol" w:hint="default"/>
        <w:color w:val="auto"/>
      </w:rPr>
    </w:lvl>
    <w:lvl w:ilvl="1">
      <w:start w:val="1"/>
      <w:numFmt w:val="decimal"/>
      <w:isLgl/>
      <w:lvlText w:val="%1.%2"/>
      <w:lvlJc w:val="left"/>
      <w:pPr>
        <w:ind w:left="720" w:hanging="360"/>
      </w:pPr>
      <w:rPr>
        <w:rFonts w:ascii="Times New Roman" w:eastAsiaTheme="majorEastAsia" w:hAnsi="Times New Roman" w:cstheme="majorBidi" w:hint="default"/>
        <w:b/>
      </w:rPr>
    </w:lvl>
    <w:lvl w:ilvl="2">
      <w:start w:val="1"/>
      <w:numFmt w:val="decimal"/>
      <w:isLgl/>
      <w:lvlText w:val="%1.%2.%3"/>
      <w:lvlJc w:val="left"/>
      <w:pPr>
        <w:ind w:left="1080" w:hanging="720"/>
      </w:pPr>
      <w:rPr>
        <w:rFonts w:ascii="Times New Roman" w:eastAsiaTheme="majorEastAsia" w:hAnsi="Times New Roman" w:cstheme="majorBidi" w:hint="default"/>
        <w:b/>
      </w:rPr>
    </w:lvl>
    <w:lvl w:ilvl="3">
      <w:start w:val="1"/>
      <w:numFmt w:val="decimalZero"/>
      <w:isLgl/>
      <w:lvlText w:val="%1.%2.%3.%4"/>
      <w:lvlJc w:val="left"/>
      <w:pPr>
        <w:ind w:left="1080" w:hanging="720"/>
      </w:pPr>
      <w:rPr>
        <w:rFonts w:ascii="Times New Roman" w:eastAsiaTheme="majorEastAsia" w:hAnsi="Times New Roman" w:cstheme="majorBidi" w:hint="default"/>
        <w:b/>
      </w:rPr>
    </w:lvl>
    <w:lvl w:ilvl="4">
      <w:start w:val="1"/>
      <w:numFmt w:val="decimal"/>
      <w:isLgl/>
      <w:lvlText w:val="%1.%2.%3.%4.%5"/>
      <w:lvlJc w:val="left"/>
      <w:pPr>
        <w:ind w:left="1080" w:hanging="720"/>
      </w:pPr>
      <w:rPr>
        <w:rFonts w:ascii="Times New Roman" w:eastAsiaTheme="majorEastAsia" w:hAnsi="Times New Roman" w:cstheme="majorBidi" w:hint="default"/>
        <w:b/>
      </w:rPr>
    </w:lvl>
    <w:lvl w:ilvl="5">
      <w:start w:val="1"/>
      <w:numFmt w:val="decimal"/>
      <w:isLgl/>
      <w:lvlText w:val="%1.%2.%3.%4.%5.%6"/>
      <w:lvlJc w:val="left"/>
      <w:pPr>
        <w:ind w:left="1440" w:hanging="1080"/>
      </w:pPr>
      <w:rPr>
        <w:rFonts w:ascii="Times New Roman" w:eastAsiaTheme="majorEastAsia" w:hAnsi="Times New Roman" w:cstheme="majorBidi" w:hint="default"/>
        <w:b/>
      </w:rPr>
    </w:lvl>
    <w:lvl w:ilvl="6">
      <w:start w:val="1"/>
      <w:numFmt w:val="decimal"/>
      <w:isLgl/>
      <w:lvlText w:val="%1.%2.%3.%4.%5.%6.%7"/>
      <w:lvlJc w:val="left"/>
      <w:pPr>
        <w:ind w:left="1440" w:hanging="1080"/>
      </w:pPr>
      <w:rPr>
        <w:rFonts w:ascii="Times New Roman" w:eastAsiaTheme="majorEastAsia" w:hAnsi="Times New Roman" w:cstheme="majorBidi" w:hint="default"/>
        <w:b/>
      </w:rPr>
    </w:lvl>
    <w:lvl w:ilvl="7">
      <w:start w:val="1"/>
      <w:numFmt w:val="decimal"/>
      <w:isLgl/>
      <w:lvlText w:val="%1.%2.%3.%4.%5.%6.%7.%8"/>
      <w:lvlJc w:val="left"/>
      <w:pPr>
        <w:ind w:left="1800" w:hanging="1440"/>
      </w:pPr>
      <w:rPr>
        <w:rFonts w:ascii="Times New Roman" w:eastAsiaTheme="majorEastAsia" w:hAnsi="Times New Roman" w:cstheme="majorBidi" w:hint="default"/>
        <w:b/>
      </w:rPr>
    </w:lvl>
    <w:lvl w:ilvl="8">
      <w:start w:val="1"/>
      <w:numFmt w:val="decimal"/>
      <w:isLgl/>
      <w:lvlText w:val="%1.%2.%3.%4.%5.%6.%7.%8.%9"/>
      <w:lvlJc w:val="left"/>
      <w:pPr>
        <w:ind w:left="1800" w:hanging="1440"/>
      </w:pPr>
      <w:rPr>
        <w:rFonts w:ascii="Times New Roman" w:eastAsiaTheme="majorEastAsia" w:hAnsi="Times New Roman" w:cstheme="majorBidi" w:hint="default"/>
        <w:b/>
      </w:rPr>
    </w:lvl>
  </w:abstractNum>
  <w:abstractNum w:abstractNumId="178" w15:restartNumberingAfterBreak="0">
    <w:nsid w:val="449C4B8C"/>
    <w:multiLevelType w:val="singleLevel"/>
    <w:tmpl w:val="ECB205DA"/>
    <w:lvl w:ilvl="0">
      <w:start w:val="3"/>
      <w:numFmt w:val="decimal"/>
      <w:lvlText w:val="2.3.%1. "/>
      <w:legacy w:legacy="1" w:legacySpace="0" w:legacyIndent="283"/>
      <w:lvlJc w:val="left"/>
      <w:pPr>
        <w:ind w:left="283" w:hanging="283"/>
      </w:pPr>
      <w:rPr>
        <w:rFonts w:ascii="Times New Roman" w:hAnsi="Times New Roman" w:cs="Times New Roman" w:hint="default"/>
        <w:b/>
        <w:i w:val="0"/>
        <w:sz w:val="20"/>
        <w:u w:val="none"/>
      </w:rPr>
    </w:lvl>
  </w:abstractNum>
  <w:abstractNum w:abstractNumId="179" w15:restartNumberingAfterBreak="0">
    <w:nsid w:val="44A94335"/>
    <w:multiLevelType w:val="singleLevel"/>
    <w:tmpl w:val="11043758"/>
    <w:lvl w:ilvl="0">
      <w:start w:val="5"/>
      <w:numFmt w:val="decimal"/>
      <w:lvlText w:val="5.5.%1. "/>
      <w:legacy w:legacy="1" w:legacySpace="0" w:legacyIndent="283"/>
      <w:lvlJc w:val="left"/>
      <w:pPr>
        <w:ind w:left="283" w:hanging="283"/>
      </w:pPr>
      <w:rPr>
        <w:rFonts w:ascii="Times New Roman" w:hAnsi="Times New Roman" w:cs="Times New Roman" w:hint="default"/>
        <w:b/>
        <w:i w:val="0"/>
        <w:sz w:val="20"/>
        <w:u w:val="none"/>
      </w:rPr>
    </w:lvl>
  </w:abstractNum>
  <w:abstractNum w:abstractNumId="180" w15:restartNumberingAfterBreak="0">
    <w:nsid w:val="452E3D5E"/>
    <w:multiLevelType w:val="multilevel"/>
    <w:tmpl w:val="B84E169E"/>
    <w:lvl w:ilvl="0">
      <w:start w:val="1"/>
      <w:numFmt w:val="decimal"/>
      <w:lvlText w:val="%1."/>
      <w:lvlJc w:val="left"/>
      <w:pPr>
        <w:ind w:left="360" w:hanging="360"/>
      </w:pPr>
    </w:lvl>
    <w:lvl w:ilvl="1">
      <w:start w:val="3"/>
      <w:numFmt w:val="decimal"/>
      <w:isLgl/>
      <w:lvlText w:val="%1.%2."/>
      <w:lvlJc w:val="left"/>
      <w:pPr>
        <w:ind w:left="1020" w:hanging="1020"/>
      </w:pPr>
      <w:rPr>
        <w:rFonts w:hint="default"/>
      </w:rPr>
    </w:lvl>
    <w:lvl w:ilvl="2">
      <w:start w:val="10"/>
      <w:numFmt w:val="decimal"/>
      <w:isLgl/>
      <w:lvlText w:val="%1.%2.%3."/>
      <w:lvlJc w:val="left"/>
      <w:pPr>
        <w:ind w:left="1020" w:hanging="1020"/>
      </w:pPr>
      <w:rPr>
        <w:rFonts w:hint="default"/>
      </w:rPr>
    </w:lvl>
    <w:lvl w:ilvl="3">
      <w:start w:val="1"/>
      <w:numFmt w:val="decimalZero"/>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81" w15:restartNumberingAfterBreak="0">
    <w:nsid w:val="45842409"/>
    <w:multiLevelType w:val="singleLevel"/>
    <w:tmpl w:val="5284219E"/>
    <w:lvl w:ilvl="0">
      <w:start w:val="14"/>
      <w:numFmt w:val="decimal"/>
      <w:lvlText w:val="%1."/>
      <w:legacy w:legacy="1" w:legacySpace="0" w:legacyIndent="283"/>
      <w:lvlJc w:val="left"/>
      <w:pPr>
        <w:ind w:left="283" w:hanging="283"/>
      </w:pPr>
    </w:lvl>
  </w:abstractNum>
  <w:abstractNum w:abstractNumId="182" w15:restartNumberingAfterBreak="0">
    <w:nsid w:val="45B441DA"/>
    <w:multiLevelType w:val="singleLevel"/>
    <w:tmpl w:val="F7561F26"/>
    <w:lvl w:ilvl="0">
      <w:start w:val="2"/>
      <w:numFmt w:val="decimal"/>
      <w:lvlText w:val="6.2.%1. "/>
      <w:legacy w:legacy="1" w:legacySpace="0" w:legacyIndent="283"/>
      <w:lvlJc w:val="left"/>
      <w:pPr>
        <w:ind w:left="283" w:hanging="283"/>
      </w:pPr>
      <w:rPr>
        <w:rFonts w:ascii="Times New Roman" w:hAnsi="Times New Roman" w:cs="Times New Roman" w:hint="default"/>
        <w:b/>
        <w:i w:val="0"/>
        <w:sz w:val="20"/>
        <w:u w:val="none"/>
      </w:rPr>
    </w:lvl>
  </w:abstractNum>
  <w:abstractNum w:abstractNumId="183" w15:restartNumberingAfterBreak="0">
    <w:nsid w:val="46001EDE"/>
    <w:multiLevelType w:val="singleLevel"/>
    <w:tmpl w:val="B72CB7E0"/>
    <w:lvl w:ilvl="0">
      <w:start w:val="5"/>
      <w:numFmt w:val="decimal"/>
      <w:lvlText w:val="2.6.%1. "/>
      <w:legacy w:legacy="1" w:legacySpace="0" w:legacyIndent="283"/>
      <w:lvlJc w:val="left"/>
      <w:pPr>
        <w:ind w:left="283" w:hanging="283"/>
      </w:pPr>
      <w:rPr>
        <w:rFonts w:ascii="Times New Roman" w:hAnsi="Times New Roman" w:cs="Times New Roman" w:hint="default"/>
        <w:b/>
        <w:i w:val="0"/>
        <w:sz w:val="20"/>
        <w:u w:val="none"/>
      </w:rPr>
    </w:lvl>
  </w:abstractNum>
  <w:abstractNum w:abstractNumId="184" w15:restartNumberingAfterBreak="0">
    <w:nsid w:val="464E6302"/>
    <w:multiLevelType w:val="hybridMultilevel"/>
    <w:tmpl w:val="138AE40C"/>
    <w:lvl w:ilvl="0" w:tplc="0415000F">
      <w:start w:val="1"/>
      <w:numFmt w:val="bullet"/>
      <w:lvlText w:val=""/>
      <w:lvlJc w:val="left"/>
      <w:pPr>
        <w:ind w:left="836" w:hanging="360"/>
      </w:pPr>
      <w:rPr>
        <w:rFonts w:ascii="Symbol" w:hAnsi="Symbol" w:hint="default"/>
      </w:rPr>
    </w:lvl>
    <w:lvl w:ilvl="1" w:tplc="04150019" w:tentative="1">
      <w:start w:val="1"/>
      <w:numFmt w:val="bullet"/>
      <w:lvlText w:val="o"/>
      <w:lvlJc w:val="left"/>
      <w:pPr>
        <w:ind w:left="1556" w:hanging="360"/>
      </w:pPr>
      <w:rPr>
        <w:rFonts w:ascii="Courier New" w:hAnsi="Courier New" w:cs="Courier New" w:hint="default"/>
      </w:rPr>
    </w:lvl>
    <w:lvl w:ilvl="2" w:tplc="0415001B" w:tentative="1">
      <w:start w:val="1"/>
      <w:numFmt w:val="bullet"/>
      <w:lvlText w:val=""/>
      <w:lvlJc w:val="left"/>
      <w:pPr>
        <w:ind w:left="2276" w:hanging="360"/>
      </w:pPr>
      <w:rPr>
        <w:rFonts w:ascii="Wingdings" w:hAnsi="Wingdings" w:hint="default"/>
      </w:rPr>
    </w:lvl>
    <w:lvl w:ilvl="3" w:tplc="0415000F" w:tentative="1">
      <w:start w:val="1"/>
      <w:numFmt w:val="bullet"/>
      <w:lvlText w:val=""/>
      <w:lvlJc w:val="left"/>
      <w:pPr>
        <w:ind w:left="2996" w:hanging="360"/>
      </w:pPr>
      <w:rPr>
        <w:rFonts w:ascii="Symbol" w:hAnsi="Symbol" w:hint="default"/>
      </w:rPr>
    </w:lvl>
    <w:lvl w:ilvl="4" w:tplc="04150019" w:tentative="1">
      <w:start w:val="1"/>
      <w:numFmt w:val="bullet"/>
      <w:lvlText w:val="o"/>
      <w:lvlJc w:val="left"/>
      <w:pPr>
        <w:ind w:left="3716" w:hanging="360"/>
      </w:pPr>
      <w:rPr>
        <w:rFonts w:ascii="Courier New" w:hAnsi="Courier New" w:cs="Courier New" w:hint="default"/>
      </w:rPr>
    </w:lvl>
    <w:lvl w:ilvl="5" w:tplc="0415001B" w:tentative="1">
      <w:start w:val="1"/>
      <w:numFmt w:val="bullet"/>
      <w:lvlText w:val=""/>
      <w:lvlJc w:val="left"/>
      <w:pPr>
        <w:ind w:left="4436" w:hanging="360"/>
      </w:pPr>
      <w:rPr>
        <w:rFonts w:ascii="Wingdings" w:hAnsi="Wingdings" w:hint="default"/>
      </w:rPr>
    </w:lvl>
    <w:lvl w:ilvl="6" w:tplc="0415000F" w:tentative="1">
      <w:start w:val="1"/>
      <w:numFmt w:val="bullet"/>
      <w:lvlText w:val=""/>
      <w:lvlJc w:val="left"/>
      <w:pPr>
        <w:ind w:left="5156" w:hanging="360"/>
      </w:pPr>
      <w:rPr>
        <w:rFonts w:ascii="Symbol" w:hAnsi="Symbol" w:hint="default"/>
      </w:rPr>
    </w:lvl>
    <w:lvl w:ilvl="7" w:tplc="04150019" w:tentative="1">
      <w:start w:val="1"/>
      <w:numFmt w:val="bullet"/>
      <w:lvlText w:val="o"/>
      <w:lvlJc w:val="left"/>
      <w:pPr>
        <w:ind w:left="5876" w:hanging="360"/>
      </w:pPr>
      <w:rPr>
        <w:rFonts w:ascii="Courier New" w:hAnsi="Courier New" w:cs="Courier New" w:hint="default"/>
      </w:rPr>
    </w:lvl>
    <w:lvl w:ilvl="8" w:tplc="0415001B" w:tentative="1">
      <w:start w:val="1"/>
      <w:numFmt w:val="bullet"/>
      <w:lvlText w:val=""/>
      <w:lvlJc w:val="left"/>
      <w:pPr>
        <w:ind w:left="6596" w:hanging="360"/>
      </w:pPr>
      <w:rPr>
        <w:rFonts w:ascii="Wingdings" w:hAnsi="Wingdings" w:hint="default"/>
      </w:rPr>
    </w:lvl>
  </w:abstractNum>
  <w:abstractNum w:abstractNumId="185" w15:restartNumberingAfterBreak="0">
    <w:nsid w:val="471C49FA"/>
    <w:multiLevelType w:val="hybridMultilevel"/>
    <w:tmpl w:val="6DE093B4"/>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6" w15:restartNumberingAfterBreak="0">
    <w:nsid w:val="47AE1068"/>
    <w:multiLevelType w:val="hybridMultilevel"/>
    <w:tmpl w:val="4F1C4B90"/>
    <w:lvl w:ilvl="0" w:tplc="36DC2774">
      <w:start w:val="1"/>
      <w:numFmt w:val="bullet"/>
      <w:lvlText w:val="-"/>
      <w:lvlJc w:val="left"/>
      <w:pPr>
        <w:ind w:left="1003" w:hanging="360"/>
      </w:pPr>
      <w:rPr>
        <w:rFonts w:ascii="Calibri" w:eastAsia="Verdana" w:hAnsi="Calibri" w:cs="Calibri" w:hint="default"/>
      </w:rPr>
    </w:lvl>
    <w:lvl w:ilvl="1" w:tplc="04150003" w:tentative="1">
      <w:start w:val="1"/>
      <w:numFmt w:val="bullet"/>
      <w:lvlText w:val="o"/>
      <w:lvlJc w:val="left"/>
      <w:pPr>
        <w:ind w:left="1723" w:hanging="360"/>
      </w:pPr>
      <w:rPr>
        <w:rFonts w:ascii="Courier New" w:hAnsi="Courier New" w:cs="Courier New" w:hint="default"/>
      </w:rPr>
    </w:lvl>
    <w:lvl w:ilvl="2" w:tplc="04150005" w:tentative="1">
      <w:start w:val="1"/>
      <w:numFmt w:val="bullet"/>
      <w:lvlText w:val=""/>
      <w:lvlJc w:val="left"/>
      <w:pPr>
        <w:ind w:left="2443" w:hanging="360"/>
      </w:pPr>
      <w:rPr>
        <w:rFonts w:ascii="Wingdings" w:hAnsi="Wingdings" w:hint="default"/>
      </w:rPr>
    </w:lvl>
    <w:lvl w:ilvl="3" w:tplc="04150001" w:tentative="1">
      <w:start w:val="1"/>
      <w:numFmt w:val="bullet"/>
      <w:lvlText w:val=""/>
      <w:lvlJc w:val="left"/>
      <w:pPr>
        <w:ind w:left="3163" w:hanging="360"/>
      </w:pPr>
      <w:rPr>
        <w:rFonts w:ascii="Symbol" w:hAnsi="Symbol" w:hint="default"/>
      </w:rPr>
    </w:lvl>
    <w:lvl w:ilvl="4" w:tplc="04150003" w:tentative="1">
      <w:start w:val="1"/>
      <w:numFmt w:val="bullet"/>
      <w:lvlText w:val="o"/>
      <w:lvlJc w:val="left"/>
      <w:pPr>
        <w:ind w:left="3883" w:hanging="360"/>
      </w:pPr>
      <w:rPr>
        <w:rFonts w:ascii="Courier New" w:hAnsi="Courier New" w:cs="Courier New" w:hint="default"/>
      </w:rPr>
    </w:lvl>
    <w:lvl w:ilvl="5" w:tplc="04150005" w:tentative="1">
      <w:start w:val="1"/>
      <w:numFmt w:val="bullet"/>
      <w:lvlText w:val=""/>
      <w:lvlJc w:val="left"/>
      <w:pPr>
        <w:ind w:left="4603" w:hanging="360"/>
      </w:pPr>
      <w:rPr>
        <w:rFonts w:ascii="Wingdings" w:hAnsi="Wingdings" w:hint="default"/>
      </w:rPr>
    </w:lvl>
    <w:lvl w:ilvl="6" w:tplc="04150001" w:tentative="1">
      <w:start w:val="1"/>
      <w:numFmt w:val="bullet"/>
      <w:lvlText w:val=""/>
      <w:lvlJc w:val="left"/>
      <w:pPr>
        <w:ind w:left="5323" w:hanging="360"/>
      </w:pPr>
      <w:rPr>
        <w:rFonts w:ascii="Symbol" w:hAnsi="Symbol" w:hint="default"/>
      </w:rPr>
    </w:lvl>
    <w:lvl w:ilvl="7" w:tplc="04150003" w:tentative="1">
      <w:start w:val="1"/>
      <w:numFmt w:val="bullet"/>
      <w:lvlText w:val="o"/>
      <w:lvlJc w:val="left"/>
      <w:pPr>
        <w:ind w:left="6043" w:hanging="360"/>
      </w:pPr>
      <w:rPr>
        <w:rFonts w:ascii="Courier New" w:hAnsi="Courier New" w:cs="Courier New" w:hint="default"/>
      </w:rPr>
    </w:lvl>
    <w:lvl w:ilvl="8" w:tplc="04150005" w:tentative="1">
      <w:start w:val="1"/>
      <w:numFmt w:val="bullet"/>
      <w:lvlText w:val=""/>
      <w:lvlJc w:val="left"/>
      <w:pPr>
        <w:ind w:left="6763" w:hanging="360"/>
      </w:pPr>
      <w:rPr>
        <w:rFonts w:ascii="Wingdings" w:hAnsi="Wingdings" w:hint="default"/>
      </w:rPr>
    </w:lvl>
  </w:abstractNum>
  <w:abstractNum w:abstractNumId="187" w15:restartNumberingAfterBreak="0">
    <w:nsid w:val="482B5479"/>
    <w:multiLevelType w:val="singleLevel"/>
    <w:tmpl w:val="BBD6A09A"/>
    <w:lvl w:ilvl="0">
      <w:start w:val="1"/>
      <w:numFmt w:val="lowerLetter"/>
      <w:lvlText w:val="%1)"/>
      <w:legacy w:legacy="1" w:legacySpace="0" w:legacyIndent="283"/>
      <w:lvlJc w:val="left"/>
      <w:pPr>
        <w:ind w:left="283" w:hanging="283"/>
      </w:pPr>
    </w:lvl>
  </w:abstractNum>
  <w:abstractNum w:abstractNumId="188" w15:restartNumberingAfterBreak="0">
    <w:nsid w:val="489C4590"/>
    <w:multiLevelType w:val="singleLevel"/>
    <w:tmpl w:val="E1589770"/>
    <w:lvl w:ilvl="0">
      <w:start w:val="5"/>
      <w:numFmt w:val="decimal"/>
      <w:lvlText w:val="2.4.%1. "/>
      <w:legacy w:legacy="1" w:legacySpace="0" w:legacyIndent="283"/>
      <w:lvlJc w:val="left"/>
      <w:pPr>
        <w:ind w:left="283" w:hanging="283"/>
      </w:pPr>
      <w:rPr>
        <w:rFonts w:ascii="Times New Roman" w:hAnsi="Times New Roman" w:cs="Times New Roman" w:hint="default"/>
        <w:b/>
        <w:i w:val="0"/>
        <w:sz w:val="20"/>
        <w:u w:val="none"/>
      </w:rPr>
    </w:lvl>
  </w:abstractNum>
  <w:abstractNum w:abstractNumId="189" w15:restartNumberingAfterBreak="0">
    <w:nsid w:val="48DE2E89"/>
    <w:multiLevelType w:val="hybridMultilevel"/>
    <w:tmpl w:val="D5280648"/>
    <w:lvl w:ilvl="0" w:tplc="B14E9194">
      <w:start w:val="1"/>
      <w:numFmt w:val="bullet"/>
      <w:lvlText w:val=""/>
      <w:lvlJc w:val="left"/>
      <w:pPr>
        <w:ind w:left="720" w:hanging="360"/>
      </w:pPr>
      <w:rPr>
        <w:rFonts w:ascii="Symbol" w:hAnsi="Symbol" w:hint="default"/>
      </w:rPr>
    </w:lvl>
    <w:lvl w:ilvl="1" w:tplc="520AD832" w:tentative="1">
      <w:start w:val="1"/>
      <w:numFmt w:val="bullet"/>
      <w:lvlText w:val="o"/>
      <w:lvlJc w:val="left"/>
      <w:pPr>
        <w:ind w:left="1440" w:hanging="360"/>
      </w:pPr>
      <w:rPr>
        <w:rFonts w:ascii="Courier New" w:hAnsi="Courier New" w:cs="Courier New" w:hint="default"/>
      </w:rPr>
    </w:lvl>
    <w:lvl w:ilvl="2" w:tplc="8BC46284" w:tentative="1">
      <w:start w:val="1"/>
      <w:numFmt w:val="bullet"/>
      <w:lvlText w:val=""/>
      <w:lvlJc w:val="left"/>
      <w:pPr>
        <w:ind w:left="2160" w:hanging="360"/>
      </w:pPr>
      <w:rPr>
        <w:rFonts w:ascii="Wingdings" w:hAnsi="Wingdings" w:hint="default"/>
      </w:rPr>
    </w:lvl>
    <w:lvl w:ilvl="3" w:tplc="DE0889B6" w:tentative="1">
      <w:start w:val="1"/>
      <w:numFmt w:val="bullet"/>
      <w:lvlText w:val=""/>
      <w:lvlJc w:val="left"/>
      <w:pPr>
        <w:ind w:left="2880" w:hanging="360"/>
      </w:pPr>
      <w:rPr>
        <w:rFonts w:ascii="Symbol" w:hAnsi="Symbol" w:hint="default"/>
      </w:rPr>
    </w:lvl>
    <w:lvl w:ilvl="4" w:tplc="A026676E" w:tentative="1">
      <w:start w:val="1"/>
      <w:numFmt w:val="bullet"/>
      <w:lvlText w:val="o"/>
      <w:lvlJc w:val="left"/>
      <w:pPr>
        <w:ind w:left="3600" w:hanging="360"/>
      </w:pPr>
      <w:rPr>
        <w:rFonts w:ascii="Courier New" w:hAnsi="Courier New" w:cs="Courier New" w:hint="default"/>
      </w:rPr>
    </w:lvl>
    <w:lvl w:ilvl="5" w:tplc="4E884436" w:tentative="1">
      <w:start w:val="1"/>
      <w:numFmt w:val="bullet"/>
      <w:lvlText w:val=""/>
      <w:lvlJc w:val="left"/>
      <w:pPr>
        <w:ind w:left="4320" w:hanging="360"/>
      </w:pPr>
      <w:rPr>
        <w:rFonts w:ascii="Wingdings" w:hAnsi="Wingdings" w:hint="default"/>
      </w:rPr>
    </w:lvl>
    <w:lvl w:ilvl="6" w:tplc="5AB65F4E" w:tentative="1">
      <w:start w:val="1"/>
      <w:numFmt w:val="bullet"/>
      <w:lvlText w:val=""/>
      <w:lvlJc w:val="left"/>
      <w:pPr>
        <w:ind w:left="5040" w:hanging="360"/>
      </w:pPr>
      <w:rPr>
        <w:rFonts w:ascii="Symbol" w:hAnsi="Symbol" w:hint="default"/>
      </w:rPr>
    </w:lvl>
    <w:lvl w:ilvl="7" w:tplc="B2004D90" w:tentative="1">
      <w:start w:val="1"/>
      <w:numFmt w:val="bullet"/>
      <w:lvlText w:val="o"/>
      <w:lvlJc w:val="left"/>
      <w:pPr>
        <w:ind w:left="5760" w:hanging="360"/>
      </w:pPr>
      <w:rPr>
        <w:rFonts w:ascii="Courier New" w:hAnsi="Courier New" w:cs="Courier New" w:hint="default"/>
      </w:rPr>
    </w:lvl>
    <w:lvl w:ilvl="8" w:tplc="1842F170" w:tentative="1">
      <w:start w:val="1"/>
      <w:numFmt w:val="bullet"/>
      <w:lvlText w:val=""/>
      <w:lvlJc w:val="left"/>
      <w:pPr>
        <w:ind w:left="6480" w:hanging="360"/>
      </w:pPr>
      <w:rPr>
        <w:rFonts w:ascii="Wingdings" w:hAnsi="Wingdings" w:hint="default"/>
      </w:rPr>
    </w:lvl>
  </w:abstractNum>
  <w:abstractNum w:abstractNumId="190" w15:restartNumberingAfterBreak="0">
    <w:nsid w:val="490924A6"/>
    <w:multiLevelType w:val="singleLevel"/>
    <w:tmpl w:val="5C743C8A"/>
    <w:lvl w:ilvl="0">
      <w:start w:val="3"/>
      <w:numFmt w:val="decimal"/>
      <w:lvlText w:val="5.5.%1. "/>
      <w:legacy w:legacy="1" w:legacySpace="0" w:legacyIndent="283"/>
      <w:lvlJc w:val="left"/>
      <w:pPr>
        <w:ind w:left="283" w:hanging="283"/>
      </w:pPr>
      <w:rPr>
        <w:rFonts w:ascii="Times New Roman" w:hAnsi="Times New Roman" w:cs="Times New Roman" w:hint="default"/>
        <w:b/>
        <w:i w:val="0"/>
        <w:sz w:val="20"/>
        <w:u w:val="none"/>
      </w:rPr>
    </w:lvl>
  </w:abstractNum>
  <w:abstractNum w:abstractNumId="191" w15:restartNumberingAfterBreak="0">
    <w:nsid w:val="4A990C0D"/>
    <w:multiLevelType w:val="singleLevel"/>
    <w:tmpl w:val="1EC4AD9C"/>
    <w:lvl w:ilvl="0">
      <w:start w:val="2"/>
      <w:numFmt w:val="decimal"/>
      <w:lvlText w:val="5.5.%1. "/>
      <w:legacy w:legacy="1" w:legacySpace="0" w:legacyIndent="283"/>
      <w:lvlJc w:val="left"/>
      <w:pPr>
        <w:ind w:left="283" w:hanging="283"/>
      </w:pPr>
      <w:rPr>
        <w:rFonts w:ascii="Times New Roman" w:hAnsi="Times New Roman" w:cs="Times New Roman" w:hint="default"/>
        <w:b/>
        <w:i w:val="0"/>
        <w:sz w:val="20"/>
        <w:u w:val="none"/>
      </w:rPr>
    </w:lvl>
  </w:abstractNum>
  <w:abstractNum w:abstractNumId="192" w15:restartNumberingAfterBreak="0">
    <w:nsid w:val="4ACB0049"/>
    <w:multiLevelType w:val="hybridMultilevel"/>
    <w:tmpl w:val="251E7D7C"/>
    <w:lvl w:ilvl="0" w:tplc="36DC2774">
      <w:start w:val="1"/>
      <w:numFmt w:val="bullet"/>
      <w:lvlText w:val="-"/>
      <w:lvlJc w:val="left"/>
      <w:pPr>
        <w:ind w:left="720" w:hanging="360"/>
      </w:pPr>
      <w:rPr>
        <w:rFonts w:ascii="Calibri" w:eastAsia="Verdana" w:hAnsi="Calibri" w:cs="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3" w15:restartNumberingAfterBreak="0">
    <w:nsid w:val="4B6C2211"/>
    <w:multiLevelType w:val="multilevel"/>
    <w:tmpl w:val="33CA2238"/>
    <w:lvl w:ilvl="0">
      <w:start w:val="1"/>
      <w:numFmt w:val="decimal"/>
      <w:pStyle w:val="Branze"/>
      <w:suff w:val="space"/>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94" w15:restartNumberingAfterBreak="0">
    <w:nsid w:val="4B900803"/>
    <w:multiLevelType w:val="singleLevel"/>
    <w:tmpl w:val="9910A9B2"/>
    <w:lvl w:ilvl="0">
      <w:start w:val="1"/>
      <w:numFmt w:val="lowerLetter"/>
      <w:lvlText w:val="%1)"/>
      <w:legacy w:legacy="1" w:legacySpace="0" w:legacyIndent="283"/>
      <w:lvlJc w:val="left"/>
      <w:pPr>
        <w:ind w:left="283" w:hanging="283"/>
      </w:pPr>
    </w:lvl>
  </w:abstractNum>
  <w:abstractNum w:abstractNumId="195" w15:restartNumberingAfterBreak="0">
    <w:nsid w:val="4B900CC2"/>
    <w:multiLevelType w:val="hybridMultilevel"/>
    <w:tmpl w:val="3AC88D70"/>
    <w:lvl w:ilvl="0" w:tplc="3650EC16">
      <w:start w:val="1"/>
      <w:numFmt w:val="bullet"/>
      <w:lvlText w:val=""/>
      <w:lvlJc w:val="left"/>
      <w:pPr>
        <w:ind w:left="720" w:hanging="360"/>
      </w:pPr>
      <w:rPr>
        <w:rFonts w:ascii="Symbol" w:hAnsi="Symbol" w:hint="default"/>
      </w:rPr>
    </w:lvl>
    <w:lvl w:ilvl="1" w:tplc="9F24B662" w:tentative="1">
      <w:start w:val="1"/>
      <w:numFmt w:val="bullet"/>
      <w:lvlText w:val="o"/>
      <w:lvlJc w:val="left"/>
      <w:pPr>
        <w:ind w:left="1440" w:hanging="360"/>
      </w:pPr>
      <w:rPr>
        <w:rFonts w:ascii="Courier New" w:hAnsi="Courier New" w:cs="Courier New" w:hint="default"/>
      </w:rPr>
    </w:lvl>
    <w:lvl w:ilvl="2" w:tplc="72349C16" w:tentative="1">
      <w:start w:val="1"/>
      <w:numFmt w:val="bullet"/>
      <w:lvlText w:val=""/>
      <w:lvlJc w:val="left"/>
      <w:pPr>
        <w:ind w:left="2160" w:hanging="360"/>
      </w:pPr>
      <w:rPr>
        <w:rFonts w:ascii="Wingdings" w:hAnsi="Wingdings" w:hint="default"/>
      </w:rPr>
    </w:lvl>
    <w:lvl w:ilvl="3" w:tplc="60646508" w:tentative="1">
      <w:start w:val="1"/>
      <w:numFmt w:val="bullet"/>
      <w:lvlText w:val=""/>
      <w:lvlJc w:val="left"/>
      <w:pPr>
        <w:ind w:left="2880" w:hanging="360"/>
      </w:pPr>
      <w:rPr>
        <w:rFonts w:ascii="Symbol" w:hAnsi="Symbol" w:hint="default"/>
      </w:rPr>
    </w:lvl>
    <w:lvl w:ilvl="4" w:tplc="73E6CC46" w:tentative="1">
      <w:start w:val="1"/>
      <w:numFmt w:val="bullet"/>
      <w:lvlText w:val="o"/>
      <w:lvlJc w:val="left"/>
      <w:pPr>
        <w:ind w:left="3600" w:hanging="360"/>
      </w:pPr>
      <w:rPr>
        <w:rFonts w:ascii="Courier New" w:hAnsi="Courier New" w:cs="Courier New" w:hint="default"/>
      </w:rPr>
    </w:lvl>
    <w:lvl w:ilvl="5" w:tplc="3FE6A77C" w:tentative="1">
      <w:start w:val="1"/>
      <w:numFmt w:val="bullet"/>
      <w:lvlText w:val=""/>
      <w:lvlJc w:val="left"/>
      <w:pPr>
        <w:ind w:left="4320" w:hanging="360"/>
      </w:pPr>
      <w:rPr>
        <w:rFonts w:ascii="Wingdings" w:hAnsi="Wingdings" w:hint="default"/>
      </w:rPr>
    </w:lvl>
    <w:lvl w:ilvl="6" w:tplc="C19ADE80" w:tentative="1">
      <w:start w:val="1"/>
      <w:numFmt w:val="bullet"/>
      <w:lvlText w:val=""/>
      <w:lvlJc w:val="left"/>
      <w:pPr>
        <w:ind w:left="5040" w:hanging="360"/>
      </w:pPr>
      <w:rPr>
        <w:rFonts w:ascii="Symbol" w:hAnsi="Symbol" w:hint="default"/>
      </w:rPr>
    </w:lvl>
    <w:lvl w:ilvl="7" w:tplc="4EB83ABA" w:tentative="1">
      <w:start w:val="1"/>
      <w:numFmt w:val="bullet"/>
      <w:lvlText w:val="o"/>
      <w:lvlJc w:val="left"/>
      <w:pPr>
        <w:ind w:left="5760" w:hanging="360"/>
      </w:pPr>
      <w:rPr>
        <w:rFonts w:ascii="Courier New" w:hAnsi="Courier New" w:cs="Courier New" w:hint="default"/>
      </w:rPr>
    </w:lvl>
    <w:lvl w:ilvl="8" w:tplc="471A2158" w:tentative="1">
      <w:start w:val="1"/>
      <w:numFmt w:val="bullet"/>
      <w:lvlText w:val=""/>
      <w:lvlJc w:val="left"/>
      <w:pPr>
        <w:ind w:left="6480" w:hanging="360"/>
      </w:pPr>
      <w:rPr>
        <w:rFonts w:ascii="Wingdings" w:hAnsi="Wingdings" w:hint="default"/>
      </w:rPr>
    </w:lvl>
  </w:abstractNum>
  <w:abstractNum w:abstractNumId="196" w15:restartNumberingAfterBreak="0">
    <w:nsid w:val="4BA95CA4"/>
    <w:multiLevelType w:val="multilevel"/>
    <w:tmpl w:val="C736030C"/>
    <w:lvl w:ilvl="0">
      <w:start w:val="6"/>
      <w:numFmt w:val="decimal"/>
      <w:lvlText w:val="%1."/>
      <w:lvlJc w:val="left"/>
      <w:pPr>
        <w:ind w:left="360" w:hanging="360"/>
      </w:pPr>
      <w:rPr>
        <w:rFonts w:hint="default"/>
      </w:rPr>
    </w:lvl>
    <w:lvl w:ilvl="1">
      <w:start w:val="6"/>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Zero"/>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97" w15:restartNumberingAfterBreak="0">
    <w:nsid w:val="4BB350D5"/>
    <w:multiLevelType w:val="singleLevel"/>
    <w:tmpl w:val="80B8ADEA"/>
    <w:lvl w:ilvl="0">
      <w:start w:val="2"/>
      <w:numFmt w:val="decimal"/>
      <w:lvlText w:val="2.5.%1. "/>
      <w:legacy w:legacy="1" w:legacySpace="0" w:legacyIndent="283"/>
      <w:lvlJc w:val="left"/>
      <w:pPr>
        <w:ind w:left="283" w:hanging="283"/>
      </w:pPr>
      <w:rPr>
        <w:rFonts w:ascii="Times New Roman" w:hAnsi="Times New Roman" w:cs="Times New Roman" w:hint="default"/>
        <w:b/>
        <w:i w:val="0"/>
        <w:sz w:val="20"/>
        <w:u w:val="none"/>
      </w:rPr>
    </w:lvl>
  </w:abstractNum>
  <w:abstractNum w:abstractNumId="198" w15:restartNumberingAfterBreak="0">
    <w:nsid w:val="4C1F0B76"/>
    <w:multiLevelType w:val="singleLevel"/>
    <w:tmpl w:val="E8967304"/>
    <w:lvl w:ilvl="0">
      <w:start w:val="1"/>
      <w:numFmt w:val="lowerLetter"/>
      <w:lvlText w:val="%1)"/>
      <w:legacy w:legacy="1" w:legacySpace="0" w:legacyIndent="283"/>
      <w:lvlJc w:val="left"/>
      <w:pPr>
        <w:ind w:left="283" w:hanging="283"/>
      </w:pPr>
    </w:lvl>
  </w:abstractNum>
  <w:abstractNum w:abstractNumId="199" w15:restartNumberingAfterBreak="0">
    <w:nsid w:val="4CF527CA"/>
    <w:multiLevelType w:val="hybridMultilevel"/>
    <w:tmpl w:val="636EDD34"/>
    <w:lvl w:ilvl="0" w:tplc="4464381C">
      <w:start w:val="1"/>
      <w:numFmt w:val="bullet"/>
      <w:lvlText w:val=""/>
      <w:lvlJc w:val="left"/>
      <w:pPr>
        <w:tabs>
          <w:tab w:val="num" w:pos="284"/>
        </w:tabs>
        <w:ind w:left="284" w:hanging="284"/>
      </w:pPr>
      <w:rPr>
        <w:rFonts w:ascii="Symbol" w:hAnsi="Symbol" w:hint="default"/>
      </w:rPr>
    </w:lvl>
    <w:lvl w:ilvl="1" w:tplc="F6282210" w:tentative="1">
      <w:start w:val="1"/>
      <w:numFmt w:val="bullet"/>
      <w:lvlText w:val="o"/>
      <w:lvlJc w:val="left"/>
      <w:pPr>
        <w:tabs>
          <w:tab w:val="num" w:pos="1440"/>
        </w:tabs>
        <w:ind w:left="1440" w:hanging="360"/>
      </w:pPr>
      <w:rPr>
        <w:rFonts w:ascii="Courier New" w:hAnsi="Courier New" w:cs="Courier New" w:hint="default"/>
      </w:rPr>
    </w:lvl>
    <w:lvl w:ilvl="2" w:tplc="21C4BEB0" w:tentative="1">
      <w:start w:val="1"/>
      <w:numFmt w:val="bullet"/>
      <w:lvlText w:val=""/>
      <w:lvlJc w:val="left"/>
      <w:pPr>
        <w:tabs>
          <w:tab w:val="num" w:pos="2160"/>
        </w:tabs>
        <w:ind w:left="2160" w:hanging="360"/>
      </w:pPr>
      <w:rPr>
        <w:rFonts w:ascii="Wingdings" w:hAnsi="Wingdings" w:hint="default"/>
      </w:rPr>
    </w:lvl>
    <w:lvl w:ilvl="3" w:tplc="16FE4B7A" w:tentative="1">
      <w:start w:val="1"/>
      <w:numFmt w:val="bullet"/>
      <w:lvlText w:val=""/>
      <w:lvlJc w:val="left"/>
      <w:pPr>
        <w:tabs>
          <w:tab w:val="num" w:pos="2880"/>
        </w:tabs>
        <w:ind w:left="2880" w:hanging="360"/>
      </w:pPr>
      <w:rPr>
        <w:rFonts w:ascii="Symbol" w:hAnsi="Symbol" w:hint="default"/>
      </w:rPr>
    </w:lvl>
    <w:lvl w:ilvl="4" w:tplc="E2EABE4A" w:tentative="1">
      <w:start w:val="1"/>
      <w:numFmt w:val="bullet"/>
      <w:lvlText w:val="o"/>
      <w:lvlJc w:val="left"/>
      <w:pPr>
        <w:tabs>
          <w:tab w:val="num" w:pos="3600"/>
        </w:tabs>
        <w:ind w:left="3600" w:hanging="360"/>
      </w:pPr>
      <w:rPr>
        <w:rFonts w:ascii="Courier New" w:hAnsi="Courier New" w:cs="Courier New" w:hint="default"/>
      </w:rPr>
    </w:lvl>
    <w:lvl w:ilvl="5" w:tplc="9D067BB6" w:tentative="1">
      <w:start w:val="1"/>
      <w:numFmt w:val="bullet"/>
      <w:lvlText w:val=""/>
      <w:lvlJc w:val="left"/>
      <w:pPr>
        <w:tabs>
          <w:tab w:val="num" w:pos="4320"/>
        </w:tabs>
        <w:ind w:left="4320" w:hanging="360"/>
      </w:pPr>
      <w:rPr>
        <w:rFonts w:ascii="Wingdings" w:hAnsi="Wingdings" w:hint="default"/>
      </w:rPr>
    </w:lvl>
    <w:lvl w:ilvl="6" w:tplc="9774C8EA" w:tentative="1">
      <w:start w:val="1"/>
      <w:numFmt w:val="bullet"/>
      <w:lvlText w:val=""/>
      <w:lvlJc w:val="left"/>
      <w:pPr>
        <w:tabs>
          <w:tab w:val="num" w:pos="5040"/>
        </w:tabs>
        <w:ind w:left="5040" w:hanging="360"/>
      </w:pPr>
      <w:rPr>
        <w:rFonts w:ascii="Symbol" w:hAnsi="Symbol" w:hint="default"/>
      </w:rPr>
    </w:lvl>
    <w:lvl w:ilvl="7" w:tplc="61E88EE4" w:tentative="1">
      <w:start w:val="1"/>
      <w:numFmt w:val="bullet"/>
      <w:lvlText w:val="o"/>
      <w:lvlJc w:val="left"/>
      <w:pPr>
        <w:tabs>
          <w:tab w:val="num" w:pos="5760"/>
        </w:tabs>
        <w:ind w:left="5760" w:hanging="360"/>
      </w:pPr>
      <w:rPr>
        <w:rFonts w:ascii="Courier New" w:hAnsi="Courier New" w:cs="Courier New" w:hint="default"/>
      </w:rPr>
    </w:lvl>
    <w:lvl w:ilvl="8" w:tplc="5FF6BCF0" w:tentative="1">
      <w:start w:val="1"/>
      <w:numFmt w:val="bullet"/>
      <w:lvlText w:val=""/>
      <w:lvlJc w:val="left"/>
      <w:pPr>
        <w:tabs>
          <w:tab w:val="num" w:pos="6480"/>
        </w:tabs>
        <w:ind w:left="6480" w:hanging="360"/>
      </w:pPr>
      <w:rPr>
        <w:rFonts w:ascii="Wingdings" w:hAnsi="Wingdings" w:hint="default"/>
      </w:rPr>
    </w:lvl>
  </w:abstractNum>
  <w:abstractNum w:abstractNumId="200" w15:restartNumberingAfterBreak="0">
    <w:nsid w:val="4E5E32C5"/>
    <w:multiLevelType w:val="singleLevel"/>
    <w:tmpl w:val="8DC2E45A"/>
    <w:lvl w:ilvl="0">
      <w:start w:val="6"/>
      <w:numFmt w:val="bullet"/>
      <w:lvlText w:val=""/>
      <w:lvlJc w:val="left"/>
      <w:pPr>
        <w:tabs>
          <w:tab w:val="num" w:pos="420"/>
        </w:tabs>
        <w:ind w:left="420" w:hanging="360"/>
      </w:pPr>
      <w:rPr>
        <w:rFonts w:ascii="Symbol" w:hAnsi="Symbol" w:hint="default"/>
      </w:rPr>
    </w:lvl>
  </w:abstractNum>
  <w:abstractNum w:abstractNumId="201" w15:restartNumberingAfterBreak="0">
    <w:nsid w:val="4ECE6B1D"/>
    <w:multiLevelType w:val="singleLevel"/>
    <w:tmpl w:val="FEC46DD4"/>
    <w:lvl w:ilvl="0">
      <w:start w:val="1"/>
      <w:numFmt w:val="lowerLetter"/>
      <w:lvlText w:val="%1)"/>
      <w:legacy w:legacy="1" w:legacySpace="0" w:legacyIndent="283"/>
      <w:lvlJc w:val="left"/>
      <w:pPr>
        <w:ind w:left="283" w:hanging="283"/>
      </w:pPr>
    </w:lvl>
  </w:abstractNum>
  <w:abstractNum w:abstractNumId="202" w15:restartNumberingAfterBreak="0">
    <w:nsid w:val="4F2A359D"/>
    <w:multiLevelType w:val="multilevel"/>
    <w:tmpl w:val="E6BC68B4"/>
    <w:styleLink w:val="WW8Num3"/>
    <w:lvl w:ilvl="0">
      <w:numFmt w:val="bullet"/>
      <w:lvlText w:val="-"/>
      <w:lvlJc w:val="left"/>
      <w:rPr>
        <w:rFonts w:ascii="Symbol" w:hAnsi="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03" w15:restartNumberingAfterBreak="0">
    <w:nsid w:val="4F7F774F"/>
    <w:multiLevelType w:val="singleLevel"/>
    <w:tmpl w:val="EB7209AC"/>
    <w:lvl w:ilvl="0">
      <w:start w:val="24"/>
      <w:numFmt w:val="decimal"/>
      <w:lvlText w:val="%1."/>
      <w:legacy w:legacy="1" w:legacySpace="0" w:legacyIndent="283"/>
      <w:lvlJc w:val="left"/>
      <w:pPr>
        <w:ind w:left="283" w:hanging="283"/>
      </w:pPr>
    </w:lvl>
  </w:abstractNum>
  <w:abstractNum w:abstractNumId="204" w15:restartNumberingAfterBreak="0">
    <w:nsid w:val="4FAD7360"/>
    <w:multiLevelType w:val="hybridMultilevel"/>
    <w:tmpl w:val="E96A28D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5" w15:restartNumberingAfterBreak="0">
    <w:nsid w:val="4FE0005D"/>
    <w:multiLevelType w:val="hybridMultilevel"/>
    <w:tmpl w:val="4F2A927C"/>
    <w:lvl w:ilvl="0" w:tplc="25CEB730">
      <w:start w:val="1"/>
      <w:numFmt w:val="bullet"/>
      <w:lvlText w:val=""/>
      <w:lvlJc w:val="left"/>
      <w:pPr>
        <w:tabs>
          <w:tab w:val="num" w:pos="680"/>
        </w:tabs>
        <w:ind w:left="680" w:hanging="340"/>
      </w:pPr>
      <w:rPr>
        <w:rFonts w:ascii="Symbol" w:hAnsi="Symbol" w:hint="default"/>
        <w:color w:val="auto"/>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06" w15:restartNumberingAfterBreak="0">
    <w:nsid w:val="509B0E06"/>
    <w:multiLevelType w:val="multilevel"/>
    <w:tmpl w:val="80800CE6"/>
    <w:lvl w:ilvl="0">
      <w:start w:val="1"/>
      <w:numFmt w:val="decimal"/>
      <w:lvlText w:val="%1."/>
      <w:lvlJc w:val="left"/>
      <w:pPr>
        <w:ind w:left="360" w:hanging="360"/>
      </w:pPr>
    </w:lvl>
    <w:lvl w:ilvl="1">
      <w:start w:val="4"/>
      <w:numFmt w:val="decimal"/>
      <w:isLgl/>
      <w:lvlText w:val="%1.%2"/>
      <w:lvlJc w:val="left"/>
      <w:pPr>
        <w:ind w:left="405" w:hanging="40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07" w15:restartNumberingAfterBreak="0">
    <w:nsid w:val="51224606"/>
    <w:multiLevelType w:val="multilevel"/>
    <w:tmpl w:val="5B6CDB58"/>
    <w:lvl w:ilvl="0">
      <w:start w:val="1"/>
      <w:numFmt w:val="decimal"/>
      <w:lvlText w:val="%1."/>
      <w:legacy w:legacy="1" w:legacySpace="0" w:legacyIndent="283"/>
      <w:lvlJc w:val="left"/>
      <w:pPr>
        <w:ind w:left="283" w:hanging="283"/>
      </w:pPr>
    </w:lvl>
    <w:lvl w:ilvl="1">
      <w:start w:val="3"/>
      <w:numFmt w:val="decimal"/>
      <w:isLgl/>
      <w:lvlText w:val="%1.%2."/>
      <w:lvlJc w:val="left"/>
      <w:pPr>
        <w:tabs>
          <w:tab w:val="num" w:pos="495"/>
        </w:tabs>
        <w:ind w:left="495" w:hanging="495"/>
      </w:pPr>
      <w:rPr>
        <w:rFonts w:hint="default"/>
        <w:b/>
        <w:bCs/>
      </w:rPr>
    </w:lvl>
    <w:lvl w:ilvl="2">
      <w:start w:val="2"/>
      <w:numFmt w:val="decimal"/>
      <w:isLgl/>
      <w:lvlText w:val="%1.%2.%3."/>
      <w:lvlJc w:val="left"/>
      <w:pPr>
        <w:tabs>
          <w:tab w:val="num" w:pos="720"/>
        </w:tabs>
        <w:ind w:left="720" w:hanging="720"/>
      </w:pPr>
      <w:rPr>
        <w:rFonts w:hint="default"/>
        <w:b/>
        <w:bCs/>
      </w:rPr>
    </w:lvl>
    <w:lvl w:ilvl="3">
      <w:start w:val="1"/>
      <w:numFmt w:val="decimalZero"/>
      <w:isLgl/>
      <w:lvlText w:val="%1.%2.%3.%4."/>
      <w:lvlJc w:val="left"/>
      <w:pPr>
        <w:tabs>
          <w:tab w:val="num" w:pos="720"/>
        </w:tabs>
        <w:ind w:left="720" w:hanging="720"/>
      </w:pPr>
      <w:rPr>
        <w:rFonts w:hint="default"/>
        <w:b/>
        <w:bCs/>
      </w:rPr>
    </w:lvl>
    <w:lvl w:ilvl="4">
      <w:start w:val="1"/>
      <w:numFmt w:val="decimal"/>
      <w:isLgl/>
      <w:lvlText w:val="%1.%2.%3.%4.%5."/>
      <w:lvlJc w:val="left"/>
      <w:pPr>
        <w:tabs>
          <w:tab w:val="num" w:pos="1080"/>
        </w:tabs>
        <w:ind w:left="1080" w:hanging="1080"/>
      </w:pPr>
      <w:rPr>
        <w:rFonts w:hint="default"/>
        <w:b/>
        <w:bCs/>
      </w:rPr>
    </w:lvl>
    <w:lvl w:ilvl="5">
      <w:start w:val="1"/>
      <w:numFmt w:val="decimal"/>
      <w:isLgl/>
      <w:lvlText w:val="%1.%2.%3.%4.%5.%6."/>
      <w:lvlJc w:val="left"/>
      <w:pPr>
        <w:tabs>
          <w:tab w:val="num" w:pos="1080"/>
        </w:tabs>
        <w:ind w:left="1080" w:hanging="1080"/>
      </w:pPr>
      <w:rPr>
        <w:rFonts w:hint="default"/>
        <w:b/>
        <w:bCs/>
      </w:rPr>
    </w:lvl>
    <w:lvl w:ilvl="6">
      <w:start w:val="1"/>
      <w:numFmt w:val="decimal"/>
      <w:isLgl/>
      <w:lvlText w:val="%1.%2.%3.%4.%5.%6.%7."/>
      <w:lvlJc w:val="left"/>
      <w:pPr>
        <w:tabs>
          <w:tab w:val="num" w:pos="1080"/>
        </w:tabs>
        <w:ind w:left="1080" w:hanging="1080"/>
      </w:pPr>
      <w:rPr>
        <w:rFonts w:hint="default"/>
        <w:b/>
        <w:bCs/>
      </w:rPr>
    </w:lvl>
    <w:lvl w:ilvl="7">
      <w:start w:val="1"/>
      <w:numFmt w:val="decimal"/>
      <w:isLgl/>
      <w:lvlText w:val="%1.%2.%3.%4.%5.%6.%7.%8."/>
      <w:lvlJc w:val="left"/>
      <w:pPr>
        <w:tabs>
          <w:tab w:val="num" w:pos="1440"/>
        </w:tabs>
        <w:ind w:left="1440" w:hanging="1440"/>
      </w:pPr>
      <w:rPr>
        <w:rFonts w:hint="default"/>
        <w:b/>
        <w:bCs/>
      </w:rPr>
    </w:lvl>
    <w:lvl w:ilvl="8">
      <w:start w:val="1"/>
      <w:numFmt w:val="decimal"/>
      <w:isLgl/>
      <w:lvlText w:val="%1.%2.%3.%4.%5.%6.%7.%8.%9."/>
      <w:lvlJc w:val="left"/>
      <w:pPr>
        <w:tabs>
          <w:tab w:val="num" w:pos="1440"/>
        </w:tabs>
        <w:ind w:left="1440" w:hanging="1440"/>
      </w:pPr>
      <w:rPr>
        <w:rFonts w:hint="default"/>
        <w:b/>
        <w:bCs/>
      </w:rPr>
    </w:lvl>
  </w:abstractNum>
  <w:abstractNum w:abstractNumId="208" w15:restartNumberingAfterBreak="0">
    <w:nsid w:val="52153CC5"/>
    <w:multiLevelType w:val="multilevel"/>
    <w:tmpl w:val="35C2DD76"/>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9" w15:restartNumberingAfterBreak="0">
    <w:nsid w:val="52990632"/>
    <w:multiLevelType w:val="singleLevel"/>
    <w:tmpl w:val="BE86BB9E"/>
    <w:lvl w:ilvl="0">
      <w:start w:val="8"/>
      <w:numFmt w:val="decimal"/>
      <w:lvlText w:val="5.5.%1. "/>
      <w:legacy w:legacy="1" w:legacySpace="0" w:legacyIndent="283"/>
      <w:lvlJc w:val="left"/>
      <w:pPr>
        <w:ind w:left="283" w:hanging="283"/>
      </w:pPr>
      <w:rPr>
        <w:rFonts w:ascii="Times New Roman" w:hAnsi="Times New Roman" w:cs="Times New Roman" w:hint="default"/>
        <w:b/>
        <w:i w:val="0"/>
        <w:sz w:val="20"/>
        <w:u w:val="none"/>
      </w:rPr>
    </w:lvl>
  </w:abstractNum>
  <w:abstractNum w:abstractNumId="210" w15:restartNumberingAfterBreak="0">
    <w:nsid w:val="5374564D"/>
    <w:multiLevelType w:val="multilevel"/>
    <w:tmpl w:val="205E3B14"/>
    <w:lvl w:ilvl="0">
      <w:start w:val="1"/>
      <w:numFmt w:val="decimal"/>
      <w:lvlText w:val="%1."/>
      <w:lvlJc w:val="left"/>
      <w:pPr>
        <w:ind w:left="360" w:hanging="360"/>
      </w:pPr>
    </w:lvl>
    <w:lvl w:ilvl="1">
      <w:start w:val="4"/>
      <w:numFmt w:val="decimal"/>
      <w:isLgl/>
      <w:lvlText w:val="%1.%2"/>
      <w:lvlJc w:val="left"/>
      <w:pPr>
        <w:ind w:left="540" w:hanging="540"/>
      </w:pPr>
      <w:rPr>
        <w:rFonts w:hint="default"/>
      </w:rPr>
    </w:lvl>
    <w:lvl w:ilvl="2">
      <w:start w:val="4"/>
      <w:numFmt w:val="decimal"/>
      <w:isLgl/>
      <w:lvlText w:val="%1.%2.%3"/>
      <w:lvlJc w:val="left"/>
      <w:pPr>
        <w:ind w:left="720" w:hanging="720"/>
      </w:pPr>
      <w:rPr>
        <w:rFonts w:hint="default"/>
      </w:rPr>
    </w:lvl>
    <w:lvl w:ilvl="3">
      <w:start w:val="1"/>
      <w:numFmt w:val="decimalZero"/>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11" w15:restartNumberingAfterBreak="0">
    <w:nsid w:val="537D1E7B"/>
    <w:multiLevelType w:val="hybridMultilevel"/>
    <w:tmpl w:val="F912B3CA"/>
    <w:lvl w:ilvl="0" w:tplc="E25A294C">
      <w:start w:val="1"/>
      <w:numFmt w:val="lowerLetter"/>
      <w:lvlText w:val="%1)"/>
      <w:lvlJc w:val="left"/>
      <w:pPr>
        <w:tabs>
          <w:tab w:val="num" w:pos="720"/>
        </w:tabs>
        <w:ind w:left="720" w:hanging="360"/>
      </w:pPr>
      <w:rPr>
        <w:rFonts w:hint="default"/>
      </w:rPr>
    </w:lvl>
    <w:lvl w:ilvl="1" w:tplc="BB54FC06" w:tentative="1">
      <w:start w:val="1"/>
      <w:numFmt w:val="lowerLetter"/>
      <w:lvlText w:val="%2."/>
      <w:lvlJc w:val="left"/>
      <w:pPr>
        <w:tabs>
          <w:tab w:val="num" w:pos="1440"/>
        </w:tabs>
        <w:ind w:left="1440" w:hanging="360"/>
      </w:pPr>
    </w:lvl>
    <w:lvl w:ilvl="2" w:tplc="281C2A56" w:tentative="1">
      <w:start w:val="1"/>
      <w:numFmt w:val="lowerRoman"/>
      <w:lvlText w:val="%3."/>
      <w:lvlJc w:val="right"/>
      <w:pPr>
        <w:tabs>
          <w:tab w:val="num" w:pos="2160"/>
        </w:tabs>
        <w:ind w:left="2160" w:hanging="180"/>
      </w:pPr>
    </w:lvl>
    <w:lvl w:ilvl="3" w:tplc="9A5EA5A6" w:tentative="1">
      <w:start w:val="1"/>
      <w:numFmt w:val="decimal"/>
      <w:lvlText w:val="%4."/>
      <w:lvlJc w:val="left"/>
      <w:pPr>
        <w:tabs>
          <w:tab w:val="num" w:pos="2880"/>
        </w:tabs>
        <w:ind w:left="2880" w:hanging="360"/>
      </w:pPr>
    </w:lvl>
    <w:lvl w:ilvl="4" w:tplc="588A14FA" w:tentative="1">
      <w:start w:val="1"/>
      <w:numFmt w:val="lowerLetter"/>
      <w:lvlText w:val="%5."/>
      <w:lvlJc w:val="left"/>
      <w:pPr>
        <w:tabs>
          <w:tab w:val="num" w:pos="3600"/>
        </w:tabs>
        <w:ind w:left="3600" w:hanging="360"/>
      </w:pPr>
    </w:lvl>
    <w:lvl w:ilvl="5" w:tplc="3DA2048E" w:tentative="1">
      <w:start w:val="1"/>
      <w:numFmt w:val="lowerRoman"/>
      <w:lvlText w:val="%6."/>
      <w:lvlJc w:val="right"/>
      <w:pPr>
        <w:tabs>
          <w:tab w:val="num" w:pos="4320"/>
        </w:tabs>
        <w:ind w:left="4320" w:hanging="180"/>
      </w:pPr>
    </w:lvl>
    <w:lvl w:ilvl="6" w:tplc="2FF430CC" w:tentative="1">
      <w:start w:val="1"/>
      <w:numFmt w:val="decimal"/>
      <w:lvlText w:val="%7."/>
      <w:lvlJc w:val="left"/>
      <w:pPr>
        <w:tabs>
          <w:tab w:val="num" w:pos="5040"/>
        </w:tabs>
        <w:ind w:left="5040" w:hanging="360"/>
      </w:pPr>
    </w:lvl>
    <w:lvl w:ilvl="7" w:tplc="8C5ACBB6" w:tentative="1">
      <w:start w:val="1"/>
      <w:numFmt w:val="lowerLetter"/>
      <w:lvlText w:val="%8."/>
      <w:lvlJc w:val="left"/>
      <w:pPr>
        <w:tabs>
          <w:tab w:val="num" w:pos="5760"/>
        </w:tabs>
        <w:ind w:left="5760" w:hanging="360"/>
      </w:pPr>
    </w:lvl>
    <w:lvl w:ilvl="8" w:tplc="9CDE966C" w:tentative="1">
      <w:start w:val="1"/>
      <w:numFmt w:val="lowerRoman"/>
      <w:lvlText w:val="%9."/>
      <w:lvlJc w:val="right"/>
      <w:pPr>
        <w:tabs>
          <w:tab w:val="num" w:pos="6480"/>
        </w:tabs>
        <w:ind w:left="6480" w:hanging="180"/>
      </w:pPr>
    </w:lvl>
  </w:abstractNum>
  <w:abstractNum w:abstractNumId="212" w15:restartNumberingAfterBreak="0">
    <w:nsid w:val="54341CEC"/>
    <w:multiLevelType w:val="multilevel"/>
    <w:tmpl w:val="4A96CFE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3" w15:restartNumberingAfterBreak="0">
    <w:nsid w:val="54382FFF"/>
    <w:multiLevelType w:val="singleLevel"/>
    <w:tmpl w:val="19B23290"/>
    <w:lvl w:ilvl="0">
      <w:numFmt w:val="bullet"/>
      <w:lvlText w:val="•"/>
      <w:lvlJc w:val="left"/>
    </w:lvl>
  </w:abstractNum>
  <w:abstractNum w:abstractNumId="214" w15:restartNumberingAfterBreak="0">
    <w:nsid w:val="54A331A6"/>
    <w:multiLevelType w:val="hybridMultilevel"/>
    <w:tmpl w:val="E758D860"/>
    <w:lvl w:ilvl="0" w:tplc="36DC2774">
      <w:start w:val="1"/>
      <w:numFmt w:val="bullet"/>
      <w:lvlText w:val="-"/>
      <w:lvlJc w:val="left"/>
      <w:pPr>
        <w:ind w:left="720" w:hanging="360"/>
      </w:pPr>
      <w:rPr>
        <w:rFonts w:ascii="Calibri" w:eastAsia="Verdana" w:hAnsi="Calibri" w:cs="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5" w15:restartNumberingAfterBreak="0">
    <w:nsid w:val="55C35CE6"/>
    <w:multiLevelType w:val="multilevel"/>
    <w:tmpl w:val="E92E08E8"/>
    <w:lvl w:ilvl="0">
      <w:start w:val="1"/>
      <w:numFmt w:val="decimal"/>
      <w:lvlText w:val="%1."/>
      <w:lvlJc w:val="left"/>
      <w:pPr>
        <w:ind w:left="360" w:hanging="360"/>
      </w:pPr>
    </w:lvl>
    <w:lvl w:ilvl="1">
      <w:start w:val="3"/>
      <w:numFmt w:val="decimal"/>
      <w:isLgl/>
      <w:lvlText w:val="%1.%2."/>
      <w:lvlJc w:val="left"/>
      <w:pPr>
        <w:ind w:left="840" w:hanging="840"/>
      </w:pPr>
      <w:rPr>
        <w:rFonts w:hint="default"/>
        <w:b/>
      </w:rPr>
    </w:lvl>
    <w:lvl w:ilvl="2">
      <w:start w:val="3"/>
      <w:numFmt w:val="decimal"/>
      <w:isLgl/>
      <w:lvlText w:val="%1.%2.%3."/>
      <w:lvlJc w:val="left"/>
      <w:pPr>
        <w:ind w:left="840" w:hanging="840"/>
      </w:pPr>
      <w:rPr>
        <w:rFonts w:hint="default"/>
        <w:b/>
      </w:rPr>
    </w:lvl>
    <w:lvl w:ilvl="3">
      <w:start w:val="1"/>
      <w:numFmt w:val="decimalZero"/>
      <w:isLgl/>
      <w:lvlText w:val="%1.%2.%3.%4."/>
      <w:lvlJc w:val="left"/>
      <w:pPr>
        <w:ind w:left="1080" w:hanging="1080"/>
      </w:pPr>
      <w:rPr>
        <w:rFonts w:hint="default"/>
        <w:b/>
      </w:rPr>
    </w:lvl>
    <w:lvl w:ilvl="4">
      <w:start w:val="1"/>
      <w:numFmt w:val="decimal"/>
      <w:isLgl/>
      <w:lvlText w:val="%1.%2.%3.%4.%5."/>
      <w:lvlJc w:val="left"/>
      <w:pPr>
        <w:ind w:left="1440" w:hanging="1440"/>
      </w:pPr>
      <w:rPr>
        <w:rFonts w:hint="default"/>
        <w:b/>
      </w:rPr>
    </w:lvl>
    <w:lvl w:ilvl="5">
      <w:start w:val="1"/>
      <w:numFmt w:val="decimal"/>
      <w:isLgl/>
      <w:lvlText w:val="%1.%2.%3.%4.%5.%6."/>
      <w:lvlJc w:val="left"/>
      <w:pPr>
        <w:ind w:left="1440" w:hanging="1440"/>
      </w:pPr>
      <w:rPr>
        <w:rFonts w:hint="default"/>
        <w:b/>
      </w:rPr>
    </w:lvl>
    <w:lvl w:ilvl="6">
      <w:start w:val="1"/>
      <w:numFmt w:val="decimal"/>
      <w:isLgl/>
      <w:lvlText w:val="%1.%2.%3.%4.%5.%6.%7."/>
      <w:lvlJc w:val="left"/>
      <w:pPr>
        <w:ind w:left="1800" w:hanging="1800"/>
      </w:pPr>
      <w:rPr>
        <w:rFonts w:hint="default"/>
        <w:b/>
      </w:rPr>
    </w:lvl>
    <w:lvl w:ilvl="7">
      <w:start w:val="1"/>
      <w:numFmt w:val="decimal"/>
      <w:isLgl/>
      <w:lvlText w:val="%1.%2.%3.%4.%5.%6.%7.%8."/>
      <w:lvlJc w:val="left"/>
      <w:pPr>
        <w:ind w:left="1800" w:hanging="1800"/>
      </w:pPr>
      <w:rPr>
        <w:rFonts w:hint="default"/>
        <w:b/>
      </w:rPr>
    </w:lvl>
    <w:lvl w:ilvl="8">
      <w:start w:val="1"/>
      <w:numFmt w:val="decimal"/>
      <w:isLgl/>
      <w:lvlText w:val="%1.%2.%3.%4.%5.%6.%7.%8.%9."/>
      <w:lvlJc w:val="left"/>
      <w:pPr>
        <w:ind w:left="2160" w:hanging="2160"/>
      </w:pPr>
      <w:rPr>
        <w:rFonts w:hint="default"/>
        <w:b/>
      </w:rPr>
    </w:lvl>
  </w:abstractNum>
  <w:abstractNum w:abstractNumId="216" w15:restartNumberingAfterBreak="0">
    <w:nsid w:val="55E46524"/>
    <w:multiLevelType w:val="singleLevel"/>
    <w:tmpl w:val="AA483D40"/>
    <w:lvl w:ilvl="0">
      <w:start w:val="3"/>
      <w:numFmt w:val="decimal"/>
      <w:lvlText w:val="2.14.%1. "/>
      <w:legacy w:legacy="1" w:legacySpace="0" w:legacyIndent="283"/>
      <w:lvlJc w:val="left"/>
      <w:pPr>
        <w:ind w:left="283" w:hanging="283"/>
      </w:pPr>
      <w:rPr>
        <w:rFonts w:ascii="Times New Roman" w:hAnsi="Times New Roman" w:cs="Times New Roman" w:hint="default"/>
        <w:b/>
        <w:i w:val="0"/>
        <w:sz w:val="20"/>
        <w:u w:val="none"/>
      </w:rPr>
    </w:lvl>
  </w:abstractNum>
  <w:abstractNum w:abstractNumId="217" w15:restartNumberingAfterBreak="0">
    <w:nsid w:val="56B4052E"/>
    <w:multiLevelType w:val="hybridMultilevel"/>
    <w:tmpl w:val="E7E6E9E4"/>
    <w:lvl w:ilvl="0" w:tplc="0415000F">
      <w:start w:val="1"/>
      <w:numFmt w:val="decimal"/>
      <w:lvlText w:val="%1."/>
      <w:lvlJc w:val="left"/>
      <w:pPr>
        <w:ind w:left="720" w:hanging="360"/>
      </w:pPr>
      <w:rPr>
        <w:rFonts w:hint="default"/>
      </w:rPr>
    </w:lvl>
    <w:lvl w:ilvl="1" w:tplc="04150019">
      <w:start w:val="1"/>
      <w:numFmt w:val="bullet"/>
      <w:lvlText w:val="o"/>
      <w:lvlJc w:val="left"/>
      <w:pPr>
        <w:ind w:left="1440" w:hanging="360"/>
      </w:pPr>
      <w:rPr>
        <w:rFonts w:ascii="Courier New" w:hAnsi="Courier New" w:cs="Courier New" w:hint="default"/>
      </w:rPr>
    </w:lvl>
    <w:lvl w:ilvl="2" w:tplc="0415001B">
      <w:start w:val="1"/>
      <w:numFmt w:val="bullet"/>
      <w:lvlText w:val=""/>
      <w:lvlJc w:val="left"/>
      <w:pPr>
        <w:ind w:left="2160" w:hanging="360"/>
      </w:pPr>
      <w:rPr>
        <w:rFonts w:ascii="Wingdings" w:hAnsi="Wingdings" w:cs="Wingdings" w:hint="default"/>
      </w:rPr>
    </w:lvl>
    <w:lvl w:ilvl="3" w:tplc="0415000F">
      <w:start w:val="1"/>
      <w:numFmt w:val="bullet"/>
      <w:lvlText w:val=""/>
      <w:lvlJc w:val="left"/>
      <w:pPr>
        <w:ind w:left="2880" w:hanging="360"/>
      </w:pPr>
      <w:rPr>
        <w:rFonts w:ascii="Symbol" w:hAnsi="Symbol" w:cs="Symbol" w:hint="default"/>
      </w:rPr>
    </w:lvl>
    <w:lvl w:ilvl="4" w:tplc="04150019">
      <w:start w:val="1"/>
      <w:numFmt w:val="bullet"/>
      <w:lvlText w:val="o"/>
      <w:lvlJc w:val="left"/>
      <w:pPr>
        <w:ind w:left="3600" w:hanging="360"/>
      </w:pPr>
      <w:rPr>
        <w:rFonts w:ascii="Courier New" w:hAnsi="Courier New" w:cs="Courier New" w:hint="default"/>
      </w:rPr>
    </w:lvl>
    <w:lvl w:ilvl="5" w:tplc="0415001B">
      <w:start w:val="1"/>
      <w:numFmt w:val="bullet"/>
      <w:lvlText w:val=""/>
      <w:lvlJc w:val="left"/>
      <w:pPr>
        <w:ind w:left="4320" w:hanging="360"/>
      </w:pPr>
      <w:rPr>
        <w:rFonts w:ascii="Wingdings" w:hAnsi="Wingdings" w:cs="Wingdings" w:hint="default"/>
      </w:rPr>
    </w:lvl>
    <w:lvl w:ilvl="6" w:tplc="0415000F">
      <w:start w:val="1"/>
      <w:numFmt w:val="bullet"/>
      <w:lvlText w:val=""/>
      <w:lvlJc w:val="left"/>
      <w:pPr>
        <w:ind w:left="5040" w:hanging="360"/>
      </w:pPr>
      <w:rPr>
        <w:rFonts w:ascii="Symbol" w:hAnsi="Symbol" w:cs="Symbol" w:hint="default"/>
      </w:rPr>
    </w:lvl>
    <w:lvl w:ilvl="7" w:tplc="04150019">
      <w:start w:val="1"/>
      <w:numFmt w:val="bullet"/>
      <w:lvlText w:val="o"/>
      <w:lvlJc w:val="left"/>
      <w:pPr>
        <w:ind w:left="5760" w:hanging="360"/>
      </w:pPr>
      <w:rPr>
        <w:rFonts w:ascii="Courier New" w:hAnsi="Courier New" w:cs="Courier New" w:hint="default"/>
      </w:rPr>
    </w:lvl>
    <w:lvl w:ilvl="8" w:tplc="0415001B">
      <w:start w:val="1"/>
      <w:numFmt w:val="bullet"/>
      <w:lvlText w:val=""/>
      <w:lvlJc w:val="left"/>
      <w:pPr>
        <w:ind w:left="6480" w:hanging="360"/>
      </w:pPr>
      <w:rPr>
        <w:rFonts w:ascii="Wingdings" w:hAnsi="Wingdings" w:cs="Wingdings" w:hint="default"/>
      </w:rPr>
    </w:lvl>
  </w:abstractNum>
  <w:abstractNum w:abstractNumId="218" w15:restartNumberingAfterBreak="0">
    <w:nsid w:val="572B4421"/>
    <w:multiLevelType w:val="hybridMultilevel"/>
    <w:tmpl w:val="F64ECA7A"/>
    <w:lvl w:ilvl="0" w:tplc="75B0657C">
      <w:start w:val="1"/>
      <w:numFmt w:val="bullet"/>
      <w:lvlText w:val="–"/>
      <w:lvlJc w:val="left"/>
      <w:pPr>
        <w:tabs>
          <w:tab w:val="num" w:pos="397"/>
        </w:tabs>
        <w:ind w:left="397" w:hanging="397"/>
      </w:pPr>
      <w:rPr>
        <w:rFonts w:ascii="Times New Roman" w:hAnsi="Times New Roman" w:cs="Times New Roman" w:hint="default"/>
      </w:rPr>
    </w:lvl>
    <w:lvl w:ilvl="1" w:tplc="E626D682">
      <w:start w:val="1"/>
      <w:numFmt w:val="bullet"/>
      <w:lvlText w:val="o"/>
      <w:lvlJc w:val="left"/>
      <w:pPr>
        <w:tabs>
          <w:tab w:val="num" w:pos="1440"/>
        </w:tabs>
        <w:ind w:left="1440" w:hanging="360"/>
      </w:pPr>
      <w:rPr>
        <w:rFonts w:ascii="Courier New" w:hAnsi="Courier New" w:cs="Courier New" w:hint="default"/>
      </w:rPr>
    </w:lvl>
    <w:lvl w:ilvl="2" w:tplc="E32E0AA2">
      <w:start w:val="1"/>
      <w:numFmt w:val="bullet"/>
      <w:lvlText w:val=""/>
      <w:lvlJc w:val="left"/>
      <w:pPr>
        <w:tabs>
          <w:tab w:val="num" w:pos="2160"/>
        </w:tabs>
        <w:ind w:left="2160" w:hanging="360"/>
      </w:pPr>
      <w:rPr>
        <w:rFonts w:ascii="Wingdings" w:hAnsi="Wingdings" w:cs="Wingdings" w:hint="default"/>
      </w:rPr>
    </w:lvl>
    <w:lvl w:ilvl="3" w:tplc="2772958C">
      <w:start w:val="1"/>
      <w:numFmt w:val="bullet"/>
      <w:lvlText w:val=""/>
      <w:lvlJc w:val="left"/>
      <w:pPr>
        <w:tabs>
          <w:tab w:val="num" w:pos="2880"/>
        </w:tabs>
        <w:ind w:left="2880" w:hanging="360"/>
      </w:pPr>
      <w:rPr>
        <w:rFonts w:ascii="Symbol" w:hAnsi="Symbol" w:cs="Symbol" w:hint="default"/>
      </w:rPr>
    </w:lvl>
    <w:lvl w:ilvl="4" w:tplc="8C180CC2">
      <w:start w:val="1"/>
      <w:numFmt w:val="bullet"/>
      <w:lvlText w:val="o"/>
      <w:lvlJc w:val="left"/>
      <w:pPr>
        <w:tabs>
          <w:tab w:val="num" w:pos="3600"/>
        </w:tabs>
        <w:ind w:left="3600" w:hanging="360"/>
      </w:pPr>
      <w:rPr>
        <w:rFonts w:ascii="Courier New" w:hAnsi="Courier New" w:cs="Courier New" w:hint="default"/>
      </w:rPr>
    </w:lvl>
    <w:lvl w:ilvl="5" w:tplc="F37A1C8C">
      <w:start w:val="1"/>
      <w:numFmt w:val="bullet"/>
      <w:lvlText w:val=""/>
      <w:lvlJc w:val="left"/>
      <w:pPr>
        <w:tabs>
          <w:tab w:val="num" w:pos="4320"/>
        </w:tabs>
        <w:ind w:left="4320" w:hanging="360"/>
      </w:pPr>
      <w:rPr>
        <w:rFonts w:ascii="Wingdings" w:hAnsi="Wingdings" w:cs="Wingdings" w:hint="default"/>
      </w:rPr>
    </w:lvl>
    <w:lvl w:ilvl="6" w:tplc="75FCBDD2">
      <w:start w:val="1"/>
      <w:numFmt w:val="bullet"/>
      <w:lvlText w:val=""/>
      <w:lvlJc w:val="left"/>
      <w:pPr>
        <w:tabs>
          <w:tab w:val="num" w:pos="5040"/>
        </w:tabs>
        <w:ind w:left="5040" w:hanging="360"/>
      </w:pPr>
      <w:rPr>
        <w:rFonts w:ascii="Symbol" w:hAnsi="Symbol" w:cs="Symbol" w:hint="default"/>
      </w:rPr>
    </w:lvl>
    <w:lvl w:ilvl="7" w:tplc="DCC624B0">
      <w:start w:val="1"/>
      <w:numFmt w:val="bullet"/>
      <w:lvlText w:val="o"/>
      <w:lvlJc w:val="left"/>
      <w:pPr>
        <w:tabs>
          <w:tab w:val="num" w:pos="5760"/>
        </w:tabs>
        <w:ind w:left="5760" w:hanging="360"/>
      </w:pPr>
      <w:rPr>
        <w:rFonts w:ascii="Courier New" w:hAnsi="Courier New" w:cs="Courier New" w:hint="default"/>
      </w:rPr>
    </w:lvl>
    <w:lvl w:ilvl="8" w:tplc="D00AB096">
      <w:start w:val="1"/>
      <w:numFmt w:val="bullet"/>
      <w:lvlText w:val=""/>
      <w:lvlJc w:val="left"/>
      <w:pPr>
        <w:tabs>
          <w:tab w:val="num" w:pos="6480"/>
        </w:tabs>
        <w:ind w:left="6480" w:hanging="360"/>
      </w:pPr>
      <w:rPr>
        <w:rFonts w:ascii="Wingdings" w:hAnsi="Wingdings" w:cs="Wingdings" w:hint="default"/>
      </w:rPr>
    </w:lvl>
  </w:abstractNum>
  <w:abstractNum w:abstractNumId="219" w15:restartNumberingAfterBreak="0">
    <w:nsid w:val="57616078"/>
    <w:multiLevelType w:val="hybridMultilevel"/>
    <w:tmpl w:val="496E555C"/>
    <w:lvl w:ilvl="0" w:tplc="2CFAC730">
      <w:start w:val="1"/>
      <w:numFmt w:val="decimal"/>
      <w:lvlText w:val="%1."/>
      <w:lvlJc w:val="left"/>
      <w:pPr>
        <w:ind w:left="360" w:hanging="360"/>
      </w:pPr>
    </w:lvl>
    <w:lvl w:ilvl="1" w:tplc="07B05FAC" w:tentative="1">
      <w:start w:val="1"/>
      <w:numFmt w:val="lowerLetter"/>
      <w:lvlText w:val="%2."/>
      <w:lvlJc w:val="left"/>
      <w:pPr>
        <w:ind w:left="1080" w:hanging="360"/>
      </w:pPr>
    </w:lvl>
    <w:lvl w:ilvl="2" w:tplc="E5AEE4B0" w:tentative="1">
      <w:start w:val="1"/>
      <w:numFmt w:val="lowerRoman"/>
      <w:lvlText w:val="%3."/>
      <w:lvlJc w:val="right"/>
      <w:pPr>
        <w:ind w:left="1800" w:hanging="180"/>
      </w:pPr>
    </w:lvl>
    <w:lvl w:ilvl="3" w:tplc="D67014D6" w:tentative="1">
      <w:start w:val="1"/>
      <w:numFmt w:val="decimal"/>
      <w:lvlText w:val="%4."/>
      <w:lvlJc w:val="left"/>
      <w:pPr>
        <w:ind w:left="2520" w:hanging="360"/>
      </w:pPr>
    </w:lvl>
    <w:lvl w:ilvl="4" w:tplc="AE2A20C0" w:tentative="1">
      <w:start w:val="1"/>
      <w:numFmt w:val="lowerLetter"/>
      <w:lvlText w:val="%5."/>
      <w:lvlJc w:val="left"/>
      <w:pPr>
        <w:ind w:left="3240" w:hanging="360"/>
      </w:pPr>
    </w:lvl>
    <w:lvl w:ilvl="5" w:tplc="E4504E94" w:tentative="1">
      <w:start w:val="1"/>
      <w:numFmt w:val="lowerRoman"/>
      <w:lvlText w:val="%6."/>
      <w:lvlJc w:val="right"/>
      <w:pPr>
        <w:ind w:left="3960" w:hanging="180"/>
      </w:pPr>
    </w:lvl>
    <w:lvl w:ilvl="6" w:tplc="1212A6D6" w:tentative="1">
      <w:start w:val="1"/>
      <w:numFmt w:val="decimal"/>
      <w:lvlText w:val="%7."/>
      <w:lvlJc w:val="left"/>
      <w:pPr>
        <w:ind w:left="4680" w:hanging="360"/>
      </w:pPr>
    </w:lvl>
    <w:lvl w:ilvl="7" w:tplc="0532C718" w:tentative="1">
      <w:start w:val="1"/>
      <w:numFmt w:val="lowerLetter"/>
      <w:lvlText w:val="%8."/>
      <w:lvlJc w:val="left"/>
      <w:pPr>
        <w:ind w:left="5400" w:hanging="360"/>
      </w:pPr>
    </w:lvl>
    <w:lvl w:ilvl="8" w:tplc="A1A83BDA" w:tentative="1">
      <w:start w:val="1"/>
      <w:numFmt w:val="lowerRoman"/>
      <w:lvlText w:val="%9."/>
      <w:lvlJc w:val="right"/>
      <w:pPr>
        <w:ind w:left="6120" w:hanging="180"/>
      </w:pPr>
    </w:lvl>
  </w:abstractNum>
  <w:abstractNum w:abstractNumId="220" w15:restartNumberingAfterBreak="0">
    <w:nsid w:val="57C43757"/>
    <w:multiLevelType w:val="multilevel"/>
    <w:tmpl w:val="99F2779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1" w15:restartNumberingAfterBreak="0">
    <w:nsid w:val="58644C31"/>
    <w:multiLevelType w:val="singleLevel"/>
    <w:tmpl w:val="53DA3FE2"/>
    <w:lvl w:ilvl="0">
      <w:start w:val="1"/>
      <w:numFmt w:val="decimal"/>
      <w:lvlText w:val="2.3.%1. "/>
      <w:legacy w:legacy="1" w:legacySpace="0" w:legacyIndent="283"/>
      <w:lvlJc w:val="left"/>
      <w:pPr>
        <w:ind w:left="283" w:hanging="283"/>
      </w:pPr>
      <w:rPr>
        <w:rFonts w:ascii="Times New Roman" w:hAnsi="Times New Roman" w:cs="Times New Roman" w:hint="default"/>
        <w:b/>
        <w:i w:val="0"/>
        <w:sz w:val="20"/>
        <w:u w:val="none"/>
      </w:rPr>
    </w:lvl>
  </w:abstractNum>
  <w:abstractNum w:abstractNumId="222" w15:restartNumberingAfterBreak="0">
    <w:nsid w:val="595E28AC"/>
    <w:multiLevelType w:val="singleLevel"/>
    <w:tmpl w:val="F3189AD2"/>
    <w:lvl w:ilvl="0">
      <w:start w:val="2"/>
      <w:numFmt w:val="decimal"/>
      <w:lvlText w:val="5.5.%1. "/>
      <w:legacy w:legacy="1" w:legacySpace="0" w:legacyIndent="283"/>
      <w:lvlJc w:val="left"/>
      <w:pPr>
        <w:ind w:left="283" w:hanging="283"/>
      </w:pPr>
      <w:rPr>
        <w:rFonts w:ascii="Times New Roman" w:hAnsi="Times New Roman" w:cs="Times New Roman" w:hint="default"/>
        <w:b/>
        <w:i w:val="0"/>
        <w:sz w:val="20"/>
        <w:u w:val="none"/>
      </w:rPr>
    </w:lvl>
  </w:abstractNum>
  <w:abstractNum w:abstractNumId="223" w15:restartNumberingAfterBreak="0">
    <w:nsid w:val="5996241D"/>
    <w:multiLevelType w:val="singleLevel"/>
    <w:tmpl w:val="2D020018"/>
    <w:lvl w:ilvl="0">
      <w:start w:val="4"/>
      <w:numFmt w:val="decimal"/>
      <w:lvlText w:val="2.7.%1. "/>
      <w:legacy w:legacy="1" w:legacySpace="0" w:legacyIndent="283"/>
      <w:lvlJc w:val="left"/>
      <w:pPr>
        <w:ind w:left="283" w:hanging="283"/>
      </w:pPr>
      <w:rPr>
        <w:rFonts w:ascii="Times New Roman" w:hAnsi="Times New Roman" w:cs="Times New Roman" w:hint="default"/>
        <w:b/>
        <w:i w:val="0"/>
        <w:sz w:val="20"/>
        <w:u w:val="none"/>
      </w:rPr>
    </w:lvl>
  </w:abstractNum>
  <w:abstractNum w:abstractNumId="224" w15:restartNumberingAfterBreak="0">
    <w:nsid w:val="5A745BEB"/>
    <w:multiLevelType w:val="hybridMultilevel"/>
    <w:tmpl w:val="235A9D3A"/>
    <w:lvl w:ilvl="0" w:tplc="25CEB730">
      <w:start w:val="1"/>
      <w:numFmt w:val="bullet"/>
      <w:lvlText w:val=""/>
      <w:lvlJc w:val="left"/>
      <w:pPr>
        <w:tabs>
          <w:tab w:val="num" w:pos="680"/>
        </w:tabs>
        <w:ind w:left="680" w:hanging="340"/>
      </w:pPr>
      <w:rPr>
        <w:rFonts w:ascii="Symbol" w:hAnsi="Symbol" w:hint="default"/>
        <w:color w:val="auto"/>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25" w15:restartNumberingAfterBreak="0">
    <w:nsid w:val="5A897915"/>
    <w:multiLevelType w:val="singleLevel"/>
    <w:tmpl w:val="B4C6BCB0"/>
    <w:lvl w:ilvl="0">
      <w:start w:val="1"/>
      <w:numFmt w:val="decimal"/>
      <w:lvlText w:val="2.14.%1. "/>
      <w:legacy w:legacy="1" w:legacySpace="0" w:legacyIndent="283"/>
      <w:lvlJc w:val="left"/>
      <w:pPr>
        <w:ind w:left="283" w:hanging="283"/>
      </w:pPr>
      <w:rPr>
        <w:rFonts w:ascii="Times New Roman" w:hAnsi="Times New Roman" w:cs="Times New Roman" w:hint="default"/>
        <w:b/>
        <w:i w:val="0"/>
        <w:sz w:val="20"/>
        <w:u w:val="none"/>
      </w:rPr>
    </w:lvl>
  </w:abstractNum>
  <w:abstractNum w:abstractNumId="226" w15:restartNumberingAfterBreak="0">
    <w:nsid w:val="5B6A308F"/>
    <w:multiLevelType w:val="multilevel"/>
    <w:tmpl w:val="45BA64CA"/>
    <w:lvl w:ilvl="0">
      <w:start w:val="1"/>
      <w:numFmt w:val="decimal"/>
      <w:lvlText w:val="%1."/>
      <w:legacy w:legacy="1" w:legacySpace="0" w:legacyIndent="283"/>
      <w:lvlJc w:val="left"/>
      <w:pPr>
        <w:ind w:left="283" w:hanging="283"/>
      </w:p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Zero"/>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27" w15:restartNumberingAfterBreak="0">
    <w:nsid w:val="5BD959CA"/>
    <w:multiLevelType w:val="singleLevel"/>
    <w:tmpl w:val="B19072B2"/>
    <w:lvl w:ilvl="0">
      <w:start w:val="7"/>
      <w:numFmt w:val="decimal"/>
      <w:lvlText w:val="5.5.%1. "/>
      <w:legacy w:legacy="1" w:legacySpace="0" w:legacyIndent="283"/>
      <w:lvlJc w:val="left"/>
      <w:pPr>
        <w:ind w:left="283" w:hanging="283"/>
      </w:pPr>
      <w:rPr>
        <w:rFonts w:ascii="Times New Roman" w:hAnsi="Times New Roman" w:cs="Times New Roman" w:hint="default"/>
        <w:b/>
        <w:i w:val="0"/>
        <w:sz w:val="20"/>
        <w:u w:val="none"/>
      </w:rPr>
    </w:lvl>
  </w:abstractNum>
  <w:abstractNum w:abstractNumId="228" w15:restartNumberingAfterBreak="0">
    <w:nsid w:val="5C0C0349"/>
    <w:multiLevelType w:val="multilevel"/>
    <w:tmpl w:val="C136B2E2"/>
    <w:styleLink w:val="Styl4"/>
    <w:lvl w:ilvl="0">
      <w:start w:val="1"/>
      <w:numFmt w:val="decimal"/>
      <w:lvlText w:val="%1."/>
      <w:lvlJc w:val="left"/>
      <w:pPr>
        <w:ind w:left="360" w:hanging="360"/>
      </w:pPr>
      <w:rPr>
        <w:rFonts w:cs="Times New Roman"/>
      </w:rPr>
    </w:lvl>
    <w:lvl w:ilvl="1">
      <w:start w:val="2"/>
      <w:numFmt w:val="decimal"/>
      <w:lvlText w:val="%1.%2."/>
      <w:lvlJc w:val="left"/>
      <w:pPr>
        <w:ind w:left="792" w:hanging="679"/>
      </w:pPr>
      <w:rPr>
        <w:rFonts w:cs="Times New Roman"/>
      </w:rPr>
    </w:lvl>
    <w:lvl w:ilvl="2">
      <w:start w:val="1"/>
      <w:numFmt w:val="lowerLetter"/>
      <w:lvlText w:val="%3."/>
      <w:lvlJc w:val="left"/>
      <w:pPr>
        <w:ind w:left="794" w:hanging="567"/>
      </w:pPr>
      <w:rPr>
        <w:rFonts w:cs="Times New Roman"/>
      </w:rPr>
    </w:lvl>
    <w:lvl w:ilvl="3">
      <w:start w:val="1"/>
      <w:numFmt w:val="lowerRoman"/>
      <w:lvlText w:val="%4."/>
      <w:lvlJc w:val="left"/>
      <w:pPr>
        <w:ind w:left="794" w:hanging="454"/>
      </w:pPr>
      <w:rPr>
        <w:rFonts w:cs="Times New Roman"/>
      </w:rPr>
    </w:lvl>
    <w:lvl w:ilvl="4">
      <w:start w:val="1"/>
      <w:numFmt w:val="bullet"/>
      <w:lvlText w:val=""/>
      <w:lvlJc w:val="left"/>
      <w:pPr>
        <w:ind w:left="340" w:hanging="340"/>
      </w:pPr>
      <w:rPr>
        <w:rFonts w:ascii="Symbol" w:hAnsi="Symbol" w:hint="default"/>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29" w15:restartNumberingAfterBreak="0">
    <w:nsid w:val="5C2133B9"/>
    <w:multiLevelType w:val="hybridMultilevel"/>
    <w:tmpl w:val="F7484D4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0" w15:restartNumberingAfterBreak="0">
    <w:nsid w:val="5C2A72B9"/>
    <w:multiLevelType w:val="multilevel"/>
    <w:tmpl w:val="4A96CFE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1" w15:restartNumberingAfterBreak="0">
    <w:nsid w:val="5C462870"/>
    <w:multiLevelType w:val="hybridMultilevel"/>
    <w:tmpl w:val="0664A350"/>
    <w:lvl w:ilvl="0" w:tplc="EAD0EB8E">
      <w:start w:val="1"/>
      <w:numFmt w:val="decimal"/>
      <w:lvlText w:val="%1."/>
      <w:lvlJc w:val="left"/>
      <w:pPr>
        <w:ind w:left="720" w:hanging="360"/>
      </w:pPr>
      <w:rPr>
        <w:rFonts w:hint="default"/>
      </w:rPr>
    </w:lvl>
    <w:lvl w:ilvl="1" w:tplc="3EB64124" w:tentative="1">
      <w:start w:val="1"/>
      <w:numFmt w:val="lowerLetter"/>
      <w:lvlText w:val="%2."/>
      <w:lvlJc w:val="left"/>
      <w:pPr>
        <w:ind w:left="1440" w:hanging="360"/>
      </w:pPr>
    </w:lvl>
    <w:lvl w:ilvl="2" w:tplc="68D8C444" w:tentative="1">
      <w:start w:val="1"/>
      <w:numFmt w:val="lowerRoman"/>
      <w:lvlText w:val="%3."/>
      <w:lvlJc w:val="right"/>
      <w:pPr>
        <w:ind w:left="2160" w:hanging="180"/>
      </w:pPr>
    </w:lvl>
    <w:lvl w:ilvl="3" w:tplc="1BB66452" w:tentative="1">
      <w:start w:val="1"/>
      <w:numFmt w:val="decimal"/>
      <w:lvlText w:val="%4."/>
      <w:lvlJc w:val="left"/>
      <w:pPr>
        <w:ind w:left="2880" w:hanging="360"/>
      </w:pPr>
    </w:lvl>
    <w:lvl w:ilvl="4" w:tplc="FA46024E" w:tentative="1">
      <w:start w:val="1"/>
      <w:numFmt w:val="lowerLetter"/>
      <w:lvlText w:val="%5."/>
      <w:lvlJc w:val="left"/>
      <w:pPr>
        <w:ind w:left="3600" w:hanging="360"/>
      </w:pPr>
    </w:lvl>
    <w:lvl w:ilvl="5" w:tplc="A956BB14" w:tentative="1">
      <w:start w:val="1"/>
      <w:numFmt w:val="lowerRoman"/>
      <w:lvlText w:val="%6."/>
      <w:lvlJc w:val="right"/>
      <w:pPr>
        <w:ind w:left="4320" w:hanging="180"/>
      </w:pPr>
    </w:lvl>
    <w:lvl w:ilvl="6" w:tplc="77D24AA4" w:tentative="1">
      <w:start w:val="1"/>
      <w:numFmt w:val="decimal"/>
      <w:lvlText w:val="%7."/>
      <w:lvlJc w:val="left"/>
      <w:pPr>
        <w:ind w:left="5040" w:hanging="360"/>
      </w:pPr>
    </w:lvl>
    <w:lvl w:ilvl="7" w:tplc="E2C4307C" w:tentative="1">
      <w:start w:val="1"/>
      <w:numFmt w:val="lowerLetter"/>
      <w:lvlText w:val="%8."/>
      <w:lvlJc w:val="left"/>
      <w:pPr>
        <w:ind w:left="5760" w:hanging="360"/>
      </w:pPr>
    </w:lvl>
    <w:lvl w:ilvl="8" w:tplc="7B8066AE" w:tentative="1">
      <w:start w:val="1"/>
      <w:numFmt w:val="lowerRoman"/>
      <w:lvlText w:val="%9."/>
      <w:lvlJc w:val="right"/>
      <w:pPr>
        <w:ind w:left="6480" w:hanging="180"/>
      </w:pPr>
    </w:lvl>
  </w:abstractNum>
  <w:abstractNum w:abstractNumId="232" w15:restartNumberingAfterBreak="0">
    <w:nsid w:val="5C4A54DA"/>
    <w:multiLevelType w:val="singleLevel"/>
    <w:tmpl w:val="D9AE8ABA"/>
    <w:lvl w:ilvl="0">
      <w:start w:val="7"/>
      <w:numFmt w:val="decimal"/>
      <w:lvlText w:val="2.4.%1. "/>
      <w:legacy w:legacy="1" w:legacySpace="0" w:legacyIndent="283"/>
      <w:lvlJc w:val="left"/>
      <w:pPr>
        <w:ind w:left="283" w:hanging="283"/>
      </w:pPr>
      <w:rPr>
        <w:rFonts w:ascii="Times New Roman" w:hAnsi="Times New Roman" w:cs="Times New Roman" w:hint="default"/>
        <w:b/>
        <w:i w:val="0"/>
        <w:sz w:val="20"/>
        <w:u w:val="none"/>
      </w:rPr>
    </w:lvl>
  </w:abstractNum>
  <w:abstractNum w:abstractNumId="233" w15:restartNumberingAfterBreak="0">
    <w:nsid w:val="5CAE53F2"/>
    <w:multiLevelType w:val="singleLevel"/>
    <w:tmpl w:val="8DC2E45A"/>
    <w:lvl w:ilvl="0">
      <w:start w:val="6"/>
      <w:numFmt w:val="bullet"/>
      <w:lvlText w:val=""/>
      <w:lvlJc w:val="left"/>
      <w:pPr>
        <w:tabs>
          <w:tab w:val="num" w:pos="420"/>
        </w:tabs>
        <w:ind w:left="420" w:hanging="360"/>
      </w:pPr>
      <w:rPr>
        <w:rFonts w:ascii="Symbol" w:hAnsi="Symbol" w:hint="default"/>
      </w:rPr>
    </w:lvl>
  </w:abstractNum>
  <w:abstractNum w:abstractNumId="234" w15:restartNumberingAfterBreak="0">
    <w:nsid w:val="5CF03A89"/>
    <w:multiLevelType w:val="singleLevel"/>
    <w:tmpl w:val="C4DE0C7E"/>
    <w:lvl w:ilvl="0">
      <w:start w:val="1"/>
      <w:numFmt w:val="decimal"/>
      <w:lvlText w:val="6.2.%1. "/>
      <w:legacy w:legacy="1" w:legacySpace="0" w:legacyIndent="283"/>
      <w:lvlJc w:val="left"/>
      <w:pPr>
        <w:ind w:left="283" w:hanging="283"/>
      </w:pPr>
      <w:rPr>
        <w:rFonts w:ascii="Times New Roman" w:hAnsi="Times New Roman" w:cs="Times New Roman" w:hint="default"/>
        <w:b/>
        <w:i w:val="0"/>
        <w:sz w:val="20"/>
        <w:u w:val="none"/>
      </w:rPr>
    </w:lvl>
  </w:abstractNum>
  <w:abstractNum w:abstractNumId="235" w15:restartNumberingAfterBreak="0">
    <w:nsid w:val="5D1E16ED"/>
    <w:multiLevelType w:val="singleLevel"/>
    <w:tmpl w:val="48400EB0"/>
    <w:lvl w:ilvl="0">
      <w:start w:val="11"/>
      <w:numFmt w:val="decimal"/>
      <w:lvlText w:val="2.4.%1. "/>
      <w:legacy w:legacy="1" w:legacySpace="0" w:legacyIndent="283"/>
      <w:lvlJc w:val="left"/>
      <w:pPr>
        <w:ind w:left="283" w:hanging="283"/>
      </w:pPr>
      <w:rPr>
        <w:b/>
        <w:i w:val="0"/>
        <w:sz w:val="20"/>
      </w:rPr>
    </w:lvl>
  </w:abstractNum>
  <w:abstractNum w:abstractNumId="236" w15:restartNumberingAfterBreak="0">
    <w:nsid w:val="5D9A29F6"/>
    <w:multiLevelType w:val="hybridMultilevel"/>
    <w:tmpl w:val="076651D6"/>
    <w:lvl w:ilvl="0" w:tplc="829C0112">
      <w:start w:val="1"/>
      <w:numFmt w:val="decimal"/>
      <w:lvlText w:val="%1."/>
      <w:lvlJc w:val="left"/>
      <w:pPr>
        <w:ind w:left="360" w:hanging="360"/>
      </w:pPr>
    </w:lvl>
    <w:lvl w:ilvl="1" w:tplc="56D80BF0" w:tentative="1">
      <w:start w:val="1"/>
      <w:numFmt w:val="lowerLetter"/>
      <w:lvlText w:val="%2."/>
      <w:lvlJc w:val="left"/>
      <w:pPr>
        <w:ind w:left="1080" w:hanging="360"/>
      </w:pPr>
    </w:lvl>
    <w:lvl w:ilvl="2" w:tplc="4D54DD14" w:tentative="1">
      <w:start w:val="1"/>
      <w:numFmt w:val="lowerRoman"/>
      <w:lvlText w:val="%3."/>
      <w:lvlJc w:val="right"/>
      <w:pPr>
        <w:ind w:left="1800" w:hanging="180"/>
      </w:pPr>
    </w:lvl>
    <w:lvl w:ilvl="3" w:tplc="FDF683F4" w:tentative="1">
      <w:start w:val="1"/>
      <w:numFmt w:val="decimal"/>
      <w:lvlText w:val="%4."/>
      <w:lvlJc w:val="left"/>
      <w:pPr>
        <w:ind w:left="2520" w:hanging="360"/>
      </w:pPr>
    </w:lvl>
    <w:lvl w:ilvl="4" w:tplc="9154C5B4" w:tentative="1">
      <w:start w:val="1"/>
      <w:numFmt w:val="lowerLetter"/>
      <w:lvlText w:val="%5."/>
      <w:lvlJc w:val="left"/>
      <w:pPr>
        <w:ind w:left="3240" w:hanging="360"/>
      </w:pPr>
    </w:lvl>
    <w:lvl w:ilvl="5" w:tplc="2C367776" w:tentative="1">
      <w:start w:val="1"/>
      <w:numFmt w:val="lowerRoman"/>
      <w:lvlText w:val="%6."/>
      <w:lvlJc w:val="right"/>
      <w:pPr>
        <w:ind w:left="3960" w:hanging="180"/>
      </w:pPr>
    </w:lvl>
    <w:lvl w:ilvl="6" w:tplc="4AF6210E" w:tentative="1">
      <w:start w:val="1"/>
      <w:numFmt w:val="decimal"/>
      <w:lvlText w:val="%7."/>
      <w:lvlJc w:val="left"/>
      <w:pPr>
        <w:ind w:left="4680" w:hanging="360"/>
      </w:pPr>
    </w:lvl>
    <w:lvl w:ilvl="7" w:tplc="5DD671BA" w:tentative="1">
      <w:start w:val="1"/>
      <w:numFmt w:val="lowerLetter"/>
      <w:lvlText w:val="%8."/>
      <w:lvlJc w:val="left"/>
      <w:pPr>
        <w:ind w:left="5400" w:hanging="360"/>
      </w:pPr>
    </w:lvl>
    <w:lvl w:ilvl="8" w:tplc="687A9AC6" w:tentative="1">
      <w:start w:val="1"/>
      <w:numFmt w:val="lowerRoman"/>
      <w:lvlText w:val="%9."/>
      <w:lvlJc w:val="right"/>
      <w:pPr>
        <w:ind w:left="6120" w:hanging="180"/>
      </w:pPr>
    </w:lvl>
  </w:abstractNum>
  <w:abstractNum w:abstractNumId="237" w15:restartNumberingAfterBreak="0">
    <w:nsid w:val="5DF95B9B"/>
    <w:multiLevelType w:val="hybridMultilevel"/>
    <w:tmpl w:val="4B3A6E46"/>
    <w:lvl w:ilvl="0" w:tplc="25CEB730">
      <w:start w:val="1"/>
      <w:numFmt w:val="bullet"/>
      <w:lvlText w:val=""/>
      <w:lvlJc w:val="left"/>
      <w:pPr>
        <w:tabs>
          <w:tab w:val="num" w:pos="680"/>
        </w:tabs>
        <w:ind w:left="680" w:hanging="340"/>
      </w:pPr>
      <w:rPr>
        <w:rFonts w:ascii="Symbol" w:hAnsi="Symbol" w:hint="default"/>
        <w:color w:val="auto"/>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38" w15:restartNumberingAfterBreak="0">
    <w:nsid w:val="5E650657"/>
    <w:multiLevelType w:val="singleLevel"/>
    <w:tmpl w:val="EEF26824"/>
    <w:lvl w:ilvl="0">
      <w:start w:val="1"/>
      <w:numFmt w:val="lowerLetter"/>
      <w:lvlText w:val="%1)"/>
      <w:legacy w:legacy="1" w:legacySpace="0" w:legacyIndent="283"/>
      <w:lvlJc w:val="left"/>
      <w:pPr>
        <w:ind w:left="283" w:hanging="283"/>
      </w:pPr>
    </w:lvl>
  </w:abstractNum>
  <w:abstractNum w:abstractNumId="239" w15:restartNumberingAfterBreak="0">
    <w:nsid w:val="5EB80954"/>
    <w:multiLevelType w:val="hybridMultilevel"/>
    <w:tmpl w:val="247AA756"/>
    <w:lvl w:ilvl="0" w:tplc="50E4B688">
      <w:start w:val="1"/>
      <w:numFmt w:val="bullet"/>
      <w:lvlText w:val=""/>
      <w:lvlJc w:val="left"/>
      <w:pPr>
        <w:ind w:left="780" w:hanging="360"/>
      </w:pPr>
      <w:rPr>
        <w:rFonts w:ascii="Symbol" w:hAnsi="Symbol" w:hint="default"/>
      </w:rPr>
    </w:lvl>
    <w:lvl w:ilvl="1" w:tplc="35267D3A" w:tentative="1">
      <w:start w:val="1"/>
      <w:numFmt w:val="bullet"/>
      <w:lvlText w:val="o"/>
      <w:lvlJc w:val="left"/>
      <w:pPr>
        <w:ind w:left="1500" w:hanging="360"/>
      </w:pPr>
      <w:rPr>
        <w:rFonts w:ascii="Courier New" w:hAnsi="Courier New" w:cs="Courier New" w:hint="default"/>
      </w:rPr>
    </w:lvl>
    <w:lvl w:ilvl="2" w:tplc="B254AF2C" w:tentative="1">
      <w:start w:val="1"/>
      <w:numFmt w:val="bullet"/>
      <w:lvlText w:val=""/>
      <w:lvlJc w:val="left"/>
      <w:pPr>
        <w:ind w:left="2220" w:hanging="360"/>
      </w:pPr>
      <w:rPr>
        <w:rFonts w:ascii="Wingdings" w:hAnsi="Wingdings" w:hint="default"/>
      </w:rPr>
    </w:lvl>
    <w:lvl w:ilvl="3" w:tplc="D8CA4EC4" w:tentative="1">
      <w:start w:val="1"/>
      <w:numFmt w:val="bullet"/>
      <w:lvlText w:val=""/>
      <w:lvlJc w:val="left"/>
      <w:pPr>
        <w:ind w:left="2940" w:hanging="360"/>
      </w:pPr>
      <w:rPr>
        <w:rFonts w:ascii="Symbol" w:hAnsi="Symbol" w:hint="default"/>
      </w:rPr>
    </w:lvl>
    <w:lvl w:ilvl="4" w:tplc="49FCA178" w:tentative="1">
      <w:start w:val="1"/>
      <w:numFmt w:val="bullet"/>
      <w:lvlText w:val="o"/>
      <w:lvlJc w:val="left"/>
      <w:pPr>
        <w:ind w:left="3660" w:hanging="360"/>
      </w:pPr>
      <w:rPr>
        <w:rFonts w:ascii="Courier New" w:hAnsi="Courier New" w:cs="Courier New" w:hint="default"/>
      </w:rPr>
    </w:lvl>
    <w:lvl w:ilvl="5" w:tplc="212C103E" w:tentative="1">
      <w:start w:val="1"/>
      <w:numFmt w:val="bullet"/>
      <w:lvlText w:val=""/>
      <w:lvlJc w:val="left"/>
      <w:pPr>
        <w:ind w:left="4380" w:hanging="360"/>
      </w:pPr>
      <w:rPr>
        <w:rFonts w:ascii="Wingdings" w:hAnsi="Wingdings" w:hint="default"/>
      </w:rPr>
    </w:lvl>
    <w:lvl w:ilvl="6" w:tplc="8DD23BD4" w:tentative="1">
      <w:start w:val="1"/>
      <w:numFmt w:val="bullet"/>
      <w:lvlText w:val=""/>
      <w:lvlJc w:val="left"/>
      <w:pPr>
        <w:ind w:left="5100" w:hanging="360"/>
      </w:pPr>
      <w:rPr>
        <w:rFonts w:ascii="Symbol" w:hAnsi="Symbol" w:hint="default"/>
      </w:rPr>
    </w:lvl>
    <w:lvl w:ilvl="7" w:tplc="8FDC8728" w:tentative="1">
      <w:start w:val="1"/>
      <w:numFmt w:val="bullet"/>
      <w:lvlText w:val="o"/>
      <w:lvlJc w:val="left"/>
      <w:pPr>
        <w:ind w:left="5820" w:hanging="360"/>
      </w:pPr>
      <w:rPr>
        <w:rFonts w:ascii="Courier New" w:hAnsi="Courier New" w:cs="Courier New" w:hint="default"/>
      </w:rPr>
    </w:lvl>
    <w:lvl w:ilvl="8" w:tplc="A1F843E8" w:tentative="1">
      <w:start w:val="1"/>
      <w:numFmt w:val="bullet"/>
      <w:lvlText w:val=""/>
      <w:lvlJc w:val="left"/>
      <w:pPr>
        <w:ind w:left="6540" w:hanging="360"/>
      </w:pPr>
      <w:rPr>
        <w:rFonts w:ascii="Wingdings" w:hAnsi="Wingdings" w:hint="default"/>
      </w:rPr>
    </w:lvl>
  </w:abstractNum>
  <w:abstractNum w:abstractNumId="240" w15:restartNumberingAfterBreak="0">
    <w:nsid w:val="5EBB7051"/>
    <w:multiLevelType w:val="singleLevel"/>
    <w:tmpl w:val="3D869512"/>
    <w:lvl w:ilvl="0">
      <w:start w:val="1"/>
      <w:numFmt w:val="decimal"/>
      <w:lvlText w:val="5.5.%1. "/>
      <w:legacy w:legacy="1" w:legacySpace="0" w:legacyIndent="283"/>
      <w:lvlJc w:val="left"/>
      <w:pPr>
        <w:ind w:left="283" w:hanging="283"/>
      </w:pPr>
      <w:rPr>
        <w:rFonts w:ascii="Times New Roman" w:hAnsi="Times New Roman" w:cs="Times New Roman" w:hint="default"/>
        <w:b/>
        <w:i w:val="0"/>
        <w:sz w:val="20"/>
        <w:u w:val="none"/>
      </w:rPr>
    </w:lvl>
  </w:abstractNum>
  <w:abstractNum w:abstractNumId="241" w15:restartNumberingAfterBreak="0">
    <w:nsid w:val="5ECA3A24"/>
    <w:multiLevelType w:val="hybridMultilevel"/>
    <w:tmpl w:val="24703EA4"/>
    <w:lvl w:ilvl="0" w:tplc="B590C614">
      <w:start w:val="6"/>
      <w:numFmt w:val="decimal"/>
      <w:lvlText w:val="%1."/>
      <w:lvlJc w:val="left"/>
      <w:pPr>
        <w:tabs>
          <w:tab w:val="num" w:pos="323"/>
        </w:tabs>
        <w:ind w:left="323" w:hanging="360"/>
      </w:pPr>
      <w:rPr>
        <w:rFonts w:hint="default"/>
      </w:rPr>
    </w:lvl>
    <w:lvl w:ilvl="1" w:tplc="9848AA18">
      <w:start w:val="1"/>
      <w:numFmt w:val="lowerLetter"/>
      <w:lvlText w:val="%2."/>
      <w:lvlJc w:val="left"/>
      <w:pPr>
        <w:tabs>
          <w:tab w:val="num" w:pos="1043"/>
        </w:tabs>
        <w:ind w:left="1043" w:hanging="360"/>
      </w:pPr>
    </w:lvl>
    <w:lvl w:ilvl="2" w:tplc="E99499BC">
      <w:start w:val="1"/>
      <w:numFmt w:val="lowerRoman"/>
      <w:lvlText w:val="%3."/>
      <w:lvlJc w:val="right"/>
      <w:pPr>
        <w:tabs>
          <w:tab w:val="num" w:pos="1763"/>
        </w:tabs>
        <w:ind w:left="1763" w:hanging="180"/>
      </w:pPr>
    </w:lvl>
    <w:lvl w:ilvl="3" w:tplc="2CCE4CD2">
      <w:start w:val="1"/>
      <w:numFmt w:val="decimal"/>
      <w:lvlText w:val="%4."/>
      <w:lvlJc w:val="left"/>
      <w:pPr>
        <w:tabs>
          <w:tab w:val="num" w:pos="2483"/>
        </w:tabs>
        <w:ind w:left="2483" w:hanging="360"/>
      </w:pPr>
    </w:lvl>
    <w:lvl w:ilvl="4" w:tplc="6624EB1C">
      <w:start w:val="1"/>
      <w:numFmt w:val="lowerLetter"/>
      <w:lvlText w:val="%5."/>
      <w:lvlJc w:val="left"/>
      <w:pPr>
        <w:tabs>
          <w:tab w:val="num" w:pos="3203"/>
        </w:tabs>
        <w:ind w:left="3203" w:hanging="360"/>
      </w:pPr>
    </w:lvl>
    <w:lvl w:ilvl="5" w:tplc="1F10F8E0">
      <w:start w:val="1"/>
      <w:numFmt w:val="lowerRoman"/>
      <w:lvlText w:val="%6."/>
      <w:lvlJc w:val="right"/>
      <w:pPr>
        <w:tabs>
          <w:tab w:val="num" w:pos="3923"/>
        </w:tabs>
        <w:ind w:left="3923" w:hanging="180"/>
      </w:pPr>
    </w:lvl>
    <w:lvl w:ilvl="6" w:tplc="541046DE">
      <w:start w:val="1"/>
      <w:numFmt w:val="decimal"/>
      <w:lvlText w:val="%7."/>
      <w:lvlJc w:val="left"/>
      <w:pPr>
        <w:tabs>
          <w:tab w:val="num" w:pos="4643"/>
        </w:tabs>
        <w:ind w:left="4643" w:hanging="360"/>
      </w:pPr>
    </w:lvl>
    <w:lvl w:ilvl="7" w:tplc="02608A7E">
      <w:start w:val="1"/>
      <w:numFmt w:val="lowerLetter"/>
      <w:lvlText w:val="%8."/>
      <w:lvlJc w:val="left"/>
      <w:pPr>
        <w:tabs>
          <w:tab w:val="num" w:pos="5363"/>
        </w:tabs>
        <w:ind w:left="5363" w:hanging="360"/>
      </w:pPr>
    </w:lvl>
    <w:lvl w:ilvl="8" w:tplc="97CCE2AC">
      <w:start w:val="1"/>
      <w:numFmt w:val="lowerRoman"/>
      <w:lvlText w:val="%9."/>
      <w:lvlJc w:val="right"/>
      <w:pPr>
        <w:tabs>
          <w:tab w:val="num" w:pos="6083"/>
        </w:tabs>
        <w:ind w:left="6083" w:hanging="180"/>
      </w:pPr>
    </w:lvl>
  </w:abstractNum>
  <w:abstractNum w:abstractNumId="242" w15:restartNumberingAfterBreak="0">
    <w:nsid w:val="5EF11B00"/>
    <w:multiLevelType w:val="multilevel"/>
    <w:tmpl w:val="26A02334"/>
    <w:lvl w:ilvl="0">
      <w:start w:val="10"/>
      <w:numFmt w:val="decimal"/>
      <w:lvlText w:val="%1."/>
      <w:lvlJc w:val="left"/>
      <w:pPr>
        <w:tabs>
          <w:tab w:val="num" w:pos="361"/>
        </w:tabs>
        <w:ind w:left="361" w:hanging="360"/>
      </w:pPr>
      <w:rPr>
        <w:rFonts w:hint="default"/>
      </w:rPr>
    </w:lvl>
    <w:lvl w:ilvl="1">
      <w:start w:val="2"/>
      <w:numFmt w:val="decimal"/>
      <w:isLgl/>
      <w:lvlText w:val="%1.%2"/>
      <w:lvlJc w:val="left"/>
      <w:pPr>
        <w:tabs>
          <w:tab w:val="num" w:pos="391"/>
        </w:tabs>
        <w:ind w:left="391" w:hanging="390"/>
      </w:pPr>
      <w:rPr>
        <w:rFonts w:hint="default"/>
      </w:rPr>
    </w:lvl>
    <w:lvl w:ilvl="2">
      <w:start w:val="1"/>
      <w:numFmt w:val="decimal"/>
      <w:isLgl/>
      <w:lvlText w:val="%1.%2.%3"/>
      <w:lvlJc w:val="left"/>
      <w:pPr>
        <w:tabs>
          <w:tab w:val="num" w:pos="721"/>
        </w:tabs>
        <w:ind w:left="721" w:hanging="720"/>
      </w:pPr>
      <w:rPr>
        <w:rFonts w:hint="default"/>
      </w:rPr>
    </w:lvl>
    <w:lvl w:ilvl="3">
      <w:start w:val="1"/>
      <w:numFmt w:val="decimal"/>
      <w:isLgl/>
      <w:lvlText w:val="%1.%2.%3.%4"/>
      <w:lvlJc w:val="left"/>
      <w:pPr>
        <w:tabs>
          <w:tab w:val="num" w:pos="721"/>
        </w:tabs>
        <w:ind w:left="721" w:hanging="720"/>
      </w:pPr>
      <w:rPr>
        <w:rFonts w:hint="default"/>
      </w:rPr>
    </w:lvl>
    <w:lvl w:ilvl="4">
      <w:start w:val="1"/>
      <w:numFmt w:val="decimal"/>
      <w:isLgl/>
      <w:lvlText w:val="%1.%2.%3.%4.%5"/>
      <w:lvlJc w:val="left"/>
      <w:pPr>
        <w:tabs>
          <w:tab w:val="num" w:pos="721"/>
        </w:tabs>
        <w:ind w:left="721" w:hanging="720"/>
      </w:pPr>
      <w:rPr>
        <w:rFonts w:hint="default"/>
      </w:rPr>
    </w:lvl>
    <w:lvl w:ilvl="5">
      <w:start w:val="1"/>
      <w:numFmt w:val="decimal"/>
      <w:isLgl/>
      <w:lvlText w:val="%1.%2.%3.%4.%5.%6"/>
      <w:lvlJc w:val="left"/>
      <w:pPr>
        <w:tabs>
          <w:tab w:val="num" w:pos="1081"/>
        </w:tabs>
        <w:ind w:left="1081" w:hanging="1080"/>
      </w:pPr>
      <w:rPr>
        <w:rFonts w:hint="default"/>
      </w:rPr>
    </w:lvl>
    <w:lvl w:ilvl="6">
      <w:start w:val="1"/>
      <w:numFmt w:val="decimal"/>
      <w:isLgl/>
      <w:lvlText w:val="%1.%2.%3.%4.%5.%6.%7"/>
      <w:lvlJc w:val="left"/>
      <w:pPr>
        <w:tabs>
          <w:tab w:val="num" w:pos="1081"/>
        </w:tabs>
        <w:ind w:left="1081" w:hanging="1080"/>
      </w:pPr>
      <w:rPr>
        <w:rFonts w:hint="default"/>
      </w:rPr>
    </w:lvl>
    <w:lvl w:ilvl="7">
      <w:start w:val="1"/>
      <w:numFmt w:val="decimal"/>
      <w:isLgl/>
      <w:lvlText w:val="%1.%2.%3.%4.%5.%6.%7.%8"/>
      <w:lvlJc w:val="left"/>
      <w:pPr>
        <w:tabs>
          <w:tab w:val="num" w:pos="1441"/>
        </w:tabs>
        <w:ind w:left="1441" w:hanging="1440"/>
      </w:pPr>
      <w:rPr>
        <w:rFonts w:hint="default"/>
      </w:rPr>
    </w:lvl>
    <w:lvl w:ilvl="8">
      <w:start w:val="1"/>
      <w:numFmt w:val="decimal"/>
      <w:isLgl/>
      <w:lvlText w:val="%1.%2.%3.%4.%5.%6.%7.%8.%9"/>
      <w:lvlJc w:val="left"/>
      <w:pPr>
        <w:tabs>
          <w:tab w:val="num" w:pos="1441"/>
        </w:tabs>
        <w:ind w:left="1441" w:hanging="1440"/>
      </w:pPr>
      <w:rPr>
        <w:rFonts w:hint="default"/>
      </w:rPr>
    </w:lvl>
  </w:abstractNum>
  <w:abstractNum w:abstractNumId="243" w15:restartNumberingAfterBreak="0">
    <w:nsid w:val="6141544C"/>
    <w:multiLevelType w:val="multilevel"/>
    <w:tmpl w:val="4A96CFE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4" w15:restartNumberingAfterBreak="0">
    <w:nsid w:val="61A11FE0"/>
    <w:multiLevelType w:val="hybridMultilevel"/>
    <w:tmpl w:val="367478EE"/>
    <w:lvl w:ilvl="0" w:tplc="DABCE3AE">
      <w:start w:val="1"/>
      <w:numFmt w:val="bullet"/>
      <w:lvlText w:val="−"/>
      <w:lvlJc w:val="left"/>
      <w:pPr>
        <w:tabs>
          <w:tab w:val="num" w:pos="680"/>
        </w:tabs>
        <w:ind w:left="680" w:hanging="340"/>
      </w:pPr>
      <w:rPr>
        <w:rFonts w:ascii="Verdana" w:hAnsi="Verdana" w:cs="Verdana" w:hint="default"/>
      </w:rPr>
    </w:lvl>
    <w:lvl w:ilvl="1" w:tplc="34424930">
      <w:start w:val="1"/>
      <w:numFmt w:val="bullet"/>
      <w:lvlText w:val="o"/>
      <w:lvlJc w:val="left"/>
      <w:pPr>
        <w:tabs>
          <w:tab w:val="num" w:pos="1440"/>
        </w:tabs>
        <w:ind w:left="1440" w:hanging="360"/>
      </w:pPr>
      <w:rPr>
        <w:rFonts w:ascii="Courier New" w:hAnsi="Courier New" w:cs="Courier New" w:hint="default"/>
      </w:rPr>
    </w:lvl>
    <w:lvl w:ilvl="2" w:tplc="33A800B0">
      <w:start w:val="1"/>
      <w:numFmt w:val="bullet"/>
      <w:lvlText w:val=""/>
      <w:lvlJc w:val="left"/>
      <w:pPr>
        <w:tabs>
          <w:tab w:val="num" w:pos="2160"/>
        </w:tabs>
        <w:ind w:left="2160" w:hanging="360"/>
      </w:pPr>
      <w:rPr>
        <w:rFonts w:ascii="Wingdings" w:hAnsi="Wingdings" w:cs="Wingdings" w:hint="default"/>
      </w:rPr>
    </w:lvl>
    <w:lvl w:ilvl="3" w:tplc="E25EE874">
      <w:start w:val="1"/>
      <w:numFmt w:val="bullet"/>
      <w:lvlText w:val=""/>
      <w:lvlJc w:val="left"/>
      <w:pPr>
        <w:tabs>
          <w:tab w:val="num" w:pos="2880"/>
        </w:tabs>
        <w:ind w:left="2880" w:hanging="360"/>
      </w:pPr>
      <w:rPr>
        <w:rFonts w:ascii="Symbol" w:hAnsi="Symbol" w:cs="Symbol" w:hint="default"/>
      </w:rPr>
    </w:lvl>
    <w:lvl w:ilvl="4" w:tplc="33721478">
      <w:start w:val="1"/>
      <w:numFmt w:val="bullet"/>
      <w:lvlText w:val="o"/>
      <w:lvlJc w:val="left"/>
      <w:pPr>
        <w:tabs>
          <w:tab w:val="num" w:pos="3600"/>
        </w:tabs>
        <w:ind w:left="3600" w:hanging="360"/>
      </w:pPr>
      <w:rPr>
        <w:rFonts w:ascii="Courier New" w:hAnsi="Courier New" w:cs="Courier New" w:hint="default"/>
      </w:rPr>
    </w:lvl>
    <w:lvl w:ilvl="5" w:tplc="8B20BC6E">
      <w:start w:val="1"/>
      <w:numFmt w:val="bullet"/>
      <w:lvlText w:val=""/>
      <w:lvlJc w:val="left"/>
      <w:pPr>
        <w:tabs>
          <w:tab w:val="num" w:pos="4320"/>
        </w:tabs>
        <w:ind w:left="4320" w:hanging="360"/>
      </w:pPr>
      <w:rPr>
        <w:rFonts w:ascii="Wingdings" w:hAnsi="Wingdings" w:cs="Wingdings" w:hint="default"/>
      </w:rPr>
    </w:lvl>
    <w:lvl w:ilvl="6" w:tplc="49FA8638">
      <w:start w:val="1"/>
      <w:numFmt w:val="bullet"/>
      <w:lvlText w:val=""/>
      <w:lvlJc w:val="left"/>
      <w:pPr>
        <w:tabs>
          <w:tab w:val="num" w:pos="5040"/>
        </w:tabs>
        <w:ind w:left="5040" w:hanging="360"/>
      </w:pPr>
      <w:rPr>
        <w:rFonts w:ascii="Symbol" w:hAnsi="Symbol" w:cs="Symbol" w:hint="default"/>
      </w:rPr>
    </w:lvl>
    <w:lvl w:ilvl="7" w:tplc="9C725628">
      <w:start w:val="1"/>
      <w:numFmt w:val="bullet"/>
      <w:lvlText w:val="o"/>
      <w:lvlJc w:val="left"/>
      <w:pPr>
        <w:tabs>
          <w:tab w:val="num" w:pos="5760"/>
        </w:tabs>
        <w:ind w:left="5760" w:hanging="360"/>
      </w:pPr>
      <w:rPr>
        <w:rFonts w:ascii="Courier New" w:hAnsi="Courier New" w:cs="Courier New" w:hint="default"/>
      </w:rPr>
    </w:lvl>
    <w:lvl w:ilvl="8" w:tplc="CF3CDF86">
      <w:start w:val="1"/>
      <w:numFmt w:val="bullet"/>
      <w:lvlText w:val=""/>
      <w:lvlJc w:val="left"/>
      <w:pPr>
        <w:tabs>
          <w:tab w:val="num" w:pos="6480"/>
        </w:tabs>
        <w:ind w:left="6480" w:hanging="360"/>
      </w:pPr>
      <w:rPr>
        <w:rFonts w:ascii="Wingdings" w:hAnsi="Wingdings" w:cs="Wingdings" w:hint="default"/>
      </w:rPr>
    </w:lvl>
  </w:abstractNum>
  <w:abstractNum w:abstractNumId="245" w15:restartNumberingAfterBreak="0">
    <w:nsid w:val="620C3686"/>
    <w:multiLevelType w:val="hybridMultilevel"/>
    <w:tmpl w:val="D87C99F8"/>
    <w:lvl w:ilvl="0" w:tplc="7D0A56CA">
      <w:start w:val="1"/>
      <w:numFmt w:val="bullet"/>
      <w:lvlText w:val="–"/>
      <w:lvlJc w:val="left"/>
      <w:pPr>
        <w:tabs>
          <w:tab w:val="num" w:pos="397"/>
        </w:tabs>
        <w:ind w:left="397"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46" w15:restartNumberingAfterBreak="0">
    <w:nsid w:val="62A35401"/>
    <w:multiLevelType w:val="hybridMultilevel"/>
    <w:tmpl w:val="DD164128"/>
    <w:lvl w:ilvl="0" w:tplc="661CADDE">
      <w:start w:val="1"/>
      <w:numFmt w:val="bullet"/>
      <w:lvlText w:val="–"/>
      <w:lvlJc w:val="left"/>
      <w:pPr>
        <w:ind w:left="1146" w:hanging="360"/>
      </w:pPr>
      <w:rPr>
        <w:rFonts w:ascii="Times New Roman" w:hAnsi="Times New Roman" w:cs="Times New Roman" w:hint="default"/>
      </w:rPr>
    </w:lvl>
    <w:lvl w:ilvl="1" w:tplc="A7E0E870" w:tentative="1">
      <w:start w:val="1"/>
      <w:numFmt w:val="bullet"/>
      <w:lvlText w:val="o"/>
      <w:lvlJc w:val="left"/>
      <w:pPr>
        <w:ind w:left="1866" w:hanging="360"/>
      </w:pPr>
      <w:rPr>
        <w:rFonts w:ascii="Courier New" w:hAnsi="Courier New" w:cs="Courier New" w:hint="default"/>
      </w:rPr>
    </w:lvl>
    <w:lvl w:ilvl="2" w:tplc="989E52A4" w:tentative="1">
      <w:start w:val="1"/>
      <w:numFmt w:val="bullet"/>
      <w:lvlText w:val=""/>
      <w:lvlJc w:val="left"/>
      <w:pPr>
        <w:ind w:left="2586" w:hanging="360"/>
      </w:pPr>
      <w:rPr>
        <w:rFonts w:ascii="Wingdings" w:hAnsi="Wingdings" w:hint="default"/>
      </w:rPr>
    </w:lvl>
    <w:lvl w:ilvl="3" w:tplc="C744F51C" w:tentative="1">
      <w:start w:val="1"/>
      <w:numFmt w:val="bullet"/>
      <w:lvlText w:val=""/>
      <w:lvlJc w:val="left"/>
      <w:pPr>
        <w:ind w:left="3306" w:hanging="360"/>
      </w:pPr>
      <w:rPr>
        <w:rFonts w:ascii="Symbol" w:hAnsi="Symbol" w:hint="default"/>
      </w:rPr>
    </w:lvl>
    <w:lvl w:ilvl="4" w:tplc="DA8EF208" w:tentative="1">
      <w:start w:val="1"/>
      <w:numFmt w:val="bullet"/>
      <w:lvlText w:val="o"/>
      <w:lvlJc w:val="left"/>
      <w:pPr>
        <w:ind w:left="4026" w:hanging="360"/>
      </w:pPr>
      <w:rPr>
        <w:rFonts w:ascii="Courier New" w:hAnsi="Courier New" w:cs="Courier New" w:hint="default"/>
      </w:rPr>
    </w:lvl>
    <w:lvl w:ilvl="5" w:tplc="A49227E2" w:tentative="1">
      <w:start w:val="1"/>
      <w:numFmt w:val="bullet"/>
      <w:lvlText w:val=""/>
      <w:lvlJc w:val="left"/>
      <w:pPr>
        <w:ind w:left="4746" w:hanging="360"/>
      </w:pPr>
      <w:rPr>
        <w:rFonts w:ascii="Wingdings" w:hAnsi="Wingdings" w:hint="default"/>
      </w:rPr>
    </w:lvl>
    <w:lvl w:ilvl="6" w:tplc="857687AC" w:tentative="1">
      <w:start w:val="1"/>
      <w:numFmt w:val="bullet"/>
      <w:lvlText w:val=""/>
      <w:lvlJc w:val="left"/>
      <w:pPr>
        <w:ind w:left="5466" w:hanging="360"/>
      </w:pPr>
      <w:rPr>
        <w:rFonts w:ascii="Symbol" w:hAnsi="Symbol" w:hint="default"/>
      </w:rPr>
    </w:lvl>
    <w:lvl w:ilvl="7" w:tplc="7C7E859A" w:tentative="1">
      <w:start w:val="1"/>
      <w:numFmt w:val="bullet"/>
      <w:lvlText w:val="o"/>
      <w:lvlJc w:val="left"/>
      <w:pPr>
        <w:ind w:left="6186" w:hanging="360"/>
      </w:pPr>
      <w:rPr>
        <w:rFonts w:ascii="Courier New" w:hAnsi="Courier New" w:cs="Courier New" w:hint="default"/>
      </w:rPr>
    </w:lvl>
    <w:lvl w:ilvl="8" w:tplc="E76A4A26" w:tentative="1">
      <w:start w:val="1"/>
      <w:numFmt w:val="bullet"/>
      <w:lvlText w:val=""/>
      <w:lvlJc w:val="left"/>
      <w:pPr>
        <w:ind w:left="6906" w:hanging="360"/>
      </w:pPr>
      <w:rPr>
        <w:rFonts w:ascii="Wingdings" w:hAnsi="Wingdings" w:hint="default"/>
      </w:rPr>
    </w:lvl>
  </w:abstractNum>
  <w:abstractNum w:abstractNumId="247" w15:restartNumberingAfterBreak="0">
    <w:nsid w:val="62DC4F2D"/>
    <w:multiLevelType w:val="singleLevel"/>
    <w:tmpl w:val="4D122488"/>
    <w:lvl w:ilvl="0">
      <w:start w:val="3"/>
      <w:numFmt w:val="decimal"/>
      <w:lvlText w:val="5.5.3.%1. "/>
      <w:legacy w:legacy="1" w:legacySpace="0" w:legacyIndent="283"/>
      <w:lvlJc w:val="left"/>
      <w:pPr>
        <w:ind w:left="283" w:hanging="283"/>
      </w:pPr>
      <w:rPr>
        <w:rFonts w:ascii="Times New Roman" w:hAnsi="Times New Roman" w:cs="Times New Roman" w:hint="default"/>
        <w:b w:val="0"/>
        <w:i w:val="0"/>
        <w:sz w:val="20"/>
        <w:u w:val="none"/>
      </w:rPr>
    </w:lvl>
  </w:abstractNum>
  <w:abstractNum w:abstractNumId="248" w15:restartNumberingAfterBreak="0">
    <w:nsid w:val="62FB7653"/>
    <w:multiLevelType w:val="singleLevel"/>
    <w:tmpl w:val="208E3B28"/>
    <w:lvl w:ilvl="0">
      <w:start w:val="2"/>
      <w:numFmt w:val="lowerLetter"/>
      <w:lvlText w:val="%1)"/>
      <w:legacy w:legacy="1" w:legacySpace="0" w:legacyIndent="283"/>
      <w:lvlJc w:val="left"/>
      <w:pPr>
        <w:ind w:left="567" w:hanging="283"/>
      </w:pPr>
    </w:lvl>
  </w:abstractNum>
  <w:abstractNum w:abstractNumId="249" w15:restartNumberingAfterBreak="0">
    <w:nsid w:val="631E38D4"/>
    <w:multiLevelType w:val="singleLevel"/>
    <w:tmpl w:val="AE8CC896"/>
    <w:lvl w:ilvl="0">
      <w:start w:val="4"/>
      <w:numFmt w:val="decimal"/>
      <w:lvlText w:val="5.5.3.%1. "/>
      <w:legacy w:legacy="1" w:legacySpace="0" w:legacyIndent="283"/>
      <w:lvlJc w:val="left"/>
      <w:pPr>
        <w:ind w:left="283" w:hanging="283"/>
      </w:pPr>
      <w:rPr>
        <w:rFonts w:ascii="Times New Roman" w:hAnsi="Times New Roman" w:cs="Times New Roman" w:hint="default"/>
        <w:b w:val="0"/>
        <w:i w:val="0"/>
        <w:sz w:val="20"/>
        <w:u w:val="none"/>
      </w:rPr>
    </w:lvl>
  </w:abstractNum>
  <w:abstractNum w:abstractNumId="250" w15:restartNumberingAfterBreak="0">
    <w:nsid w:val="63521201"/>
    <w:multiLevelType w:val="hybridMultilevel"/>
    <w:tmpl w:val="A7946F14"/>
    <w:lvl w:ilvl="0" w:tplc="DABCE3AE">
      <w:start w:val="3"/>
      <w:numFmt w:val="bullet"/>
      <w:lvlText w:val="-"/>
      <w:lvlJc w:val="left"/>
      <w:pPr>
        <w:ind w:left="720" w:hanging="360"/>
      </w:pPr>
      <w:rPr>
        <w:rFonts w:hint="default"/>
      </w:rPr>
    </w:lvl>
    <w:lvl w:ilvl="1" w:tplc="34424930" w:tentative="1">
      <w:start w:val="1"/>
      <w:numFmt w:val="bullet"/>
      <w:lvlText w:val="o"/>
      <w:lvlJc w:val="left"/>
      <w:pPr>
        <w:ind w:left="1440" w:hanging="360"/>
      </w:pPr>
      <w:rPr>
        <w:rFonts w:ascii="Courier New" w:hAnsi="Courier New" w:cs="Courier New" w:hint="default"/>
      </w:rPr>
    </w:lvl>
    <w:lvl w:ilvl="2" w:tplc="33A800B0" w:tentative="1">
      <w:start w:val="1"/>
      <w:numFmt w:val="bullet"/>
      <w:lvlText w:val=""/>
      <w:lvlJc w:val="left"/>
      <w:pPr>
        <w:ind w:left="2160" w:hanging="360"/>
      </w:pPr>
      <w:rPr>
        <w:rFonts w:ascii="Wingdings" w:hAnsi="Wingdings" w:hint="default"/>
      </w:rPr>
    </w:lvl>
    <w:lvl w:ilvl="3" w:tplc="E25EE874" w:tentative="1">
      <w:start w:val="1"/>
      <w:numFmt w:val="bullet"/>
      <w:lvlText w:val=""/>
      <w:lvlJc w:val="left"/>
      <w:pPr>
        <w:ind w:left="2880" w:hanging="360"/>
      </w:pPr>
      <w:rPr>
        <w:rFonts w:ascii="Symbol" w:hAnsi="Symbol" w:hint="default"/>
      </w:rPr>
    </w:lvl>
    <w:lvl w:ilvl="4" w:tplc="33721478" w:tentative="1">
      <w:start w:val="1"/>
      <w:numFmt w:val="bullet"/>
      <w:lvlText w:val="o"/>
      <w:lvlJc w:val="left"/>
      <w:pPr>
        <w:ind w:left="3600" w:hanging="360"/>
      </w:pPr>
      <w:rPr>
        <w:rFonts w:ascii="Courier New" w:hAnsi="Courier New" w:cs="Courier New" w:hint="default"/>
      </w:rPr>
    </w:lvl>
    <w:lvl w:ilvl="5" w:tplc="8B20BC6E" w:tentative="1">
      <w:start w:val="1"/>
      <w:numFmt w:val="bullet"/>
      <w:lvlText w:val=""/>
      <w:lvlJc w:val="left"/>
      <w:pPr>
        <w:ind w:left="4320" w:hanging="360"/>
      </w:pPr>
      <w:rPr>
        <w:rFonts w:ascii="Wingdings" w:hAnsi="Wingdings" w:hint="default"/>
      </w:rPr>
    </w:lvl>
    <w:lvl w:ilvl="6" w:tplc="49FA8638" w:tentative="1">
      <w:start w:val="1"/>
      <w:numFmt w:val="bullet"/>
      <w:lvlText w:val=""/>
      <w:lvlJc w:val="left"/>
      <w:pPr>
        <w:ind w:left="5040" w:hanging="360"/>
      </w:pPr>
      <w:rPr>
        <w:rFonts w:ascii="Symbol" w:hAnsi="Symbol" w:hint="default"/>
      </w:rPr>
    </w:lvl>
    <w:lvl w:ilvl="7" w:tplc="9C725628" w:tentative="1">
      <w:start w:val="1"/>
      <w:numFmt w:val="bullet"/>
      <w:lvlText w:val="o"/>
      <w:lvlJc w:val="left"/>
      <w:pPr>
        <w:ind w:left="5760" w:hanging="360"/>
      </w:pPr>
      <w:rPr>
        <w:rFonts w:ascii="Courier New" w:hAnsi="Courier New" w:cs="Courier New" w:hint="default"/>
      </w:rPr>
    </w:lvl>
    <w:lvl w:ilvl="8" w:tplc="CF3CDF86" w:tentative="1">
      <w:start w:val="1"/>
      <w:numFmt w:val="bullet"/>
      <w:lvlText w:val=""/>
      <w:lvlJc w:val="left"/>
      <w:pPr>
        <w:ind w:left="6480" w:hanging="360"/>
      </w:pPr>
      <w:rPr>
        <w:rFonts w:ascii="Wingdings" w:hAnsi="Wingdings" w:hint="default"/>
      </w:rPr>
    </w:lvl>
  </w:abstractNum>
  <w:abstractNum w:abstractNumId="251" w15:restartNumberingAfterBreak="0">
    <w:nsid w:val="63847AE7"/>
    <w:multiLevelType w:val="singleLevel"/>
    <w:tmpl w:val="B4F46A0C"/>
    <w:lvl w:ilvl="0">
      <w:start w:val="1"/>
      <w:numFmt w:val="lowerLetter"/>
      <w:lvlText w:val="%1)"/>
      <w:legacy w:legacy="1" w:legacySpace="0" w:legacyIndent="283"/>
      <w:lvlJc w:val="left"/>
      <w:pPr>
        <w:ind w:left="283" w:hanging="283"/>
      </w:pPr>
      <w:rPr>
        <w:color w:val="auto"/>
      </w:rPr>
    </w:lvl>
  </w:abstractNum>
  <w:abstractNum w:abstractNumId="252" w15:restartNumberingAfterBreak="0">
    <w:nsid w:val="64067809"/>
    <w:multiLevelType w:val="hybridMultilevel"/>
    <w:tmpl w:val="A2148492"/>
    <w:lvl w:ilvl="0" w:tplc="C7269FB8">
      <w:start w:val="1"/>
      <w:numFmt w:val="bullet"/>
      <w:lvlText w:val=""/>
      <w:lvlJc w:val="left"/>
      <w:pPr>
        <w:ind w:left="836" w:hanging="360"/>
      </w:pPr>
      <w:rPr>
        <w:rFonts w:ascii="Symbol" w:hAnsi="Symbol" w:hint="default"/>
      </w:rPr>
    </w:lvl>
    <w:lvl w:ilvl="1" w:tplc="D8ACD27C" w:tentative="1">
      <w:start w:val="1"/>
      <w:numFmt w:val="bullet"/>
      <w:lvlText w:val="o"/>
      <w:lvlJc w:val="left"/>
      <w:pPr>
        <w:ind w:left="1556" w:hanging="360"/>
      </w:pPr>
      <w:rPr>
        <w:rFonts w:ascii="Courier New" w:hAnsi="Courier New" w:cs="Courier New" w:hint="default"/>
      </w:rPr>
    </w:lvl>
    <w:lvl w:ilvl="2" w:tplc="6B7E2B46" w:tentative="1">
      <w:start w:val="1"/>
      <w:numFmt w:val="bullet"/>
      <w:lvlText w:val=""/>
      <w:lvlJc w:val="left"/>
      <w:pPr>
        <w:ind w:left="2276" w:hanging="360"/>
      </w:pPr>
      <w:rPr>
        <w:rFonts w:ascii="Wingdings" w:hAnsi="Wingdings" w:hint="default"/>
      </w:rPr>
    </w:lvl>
    <w:lvl w:ilvl="3" w:tplc="9E001234" w:tentative="1">
      <w:start w:val="1"/>
      <w:numFmt w:val="bullet"/>
      <w:lvlText w:val=""/>
      <w:lvlJc w:val="left"/>
      <w:pPr>
        <w:ind w:left="2996" w:hanging="360"/>
      </w:pPr>
      <w:rPr>
        <w:rFonts w:ascii="Symbol" w:hAnsi="Symbol" w:hint="default"/>
      </w:rPr>
    </w:lvl>
    <w:lvl w:ilvl="4" w:tplc="CB889CAE" w:tentative="1">
      <w:start w:val="1"/>
      <w:numFmt w:val="bullet"/>
      <w:lvlText w:val="o"/>
      <w:lvlJc w:val="left"/>
      <w:pPr>
        <w:ind w:left="3716" w:hanging="360"/>
      </w:pPr>
      <w:rPr>
        <w:rFonts w:ascii="Courier New" w:hAnsi="Courier New" w:cs="Courier New" w:hint="default"/>
      </w:rPr>
    </w:lvl>
    <w:lvl w:ilvl="5" w:tplc="5BE01322" w:tentative="1">
      <w:start w:val="1"/>
      <w:numFmt w:val="bullet"/>
      <w:lvlText w:val=""/>
      <w:lvlJc w:val="left"/>
      <w:pPr>
        <w:ind w:left="4436" w:hanging="360"/>
      </w:pPr>
      <w:rPr>
        <w:rFonts w:ascii="Wingdings" w:hAnsi="Wingdings" w:hint="default"/>
      </w:rPr>
    </w:lvl>
    <w:lvl w:ilvl="6" w:tplc="791A3DB0" w:tentative="1">
      <w:start w:val="1"/>
      <w:numFmt w:val="bullet"/>
      <w:lvlText w:val=""/>
      <w:lvlJc w:val="left"/>
      <w:pPr>
        <w:ind w:left="5156" w:hanging="360"/>
      </w:pPr>
      <w:rPr>
        <w:rFonts w:ascii="Symbol" w:hAnsi="Symbol" w:hint="default"/>
      </w:rPr>
    </w:lvl>
    <w:lvl w:ilvl="7" w:tplc="E1DC3058" w:tentative="1">
      <w:start w:val="1"/>
      <w:numFmt w:val="bullet"/>
      <w:lvlText w:val="o"/>
      <w:lvlJc w:val="left"/>
      <w:pPr>
        <w:ind w:left="5876" w:hanging="360"/>
      </w:pPr>
      <w:rPr>
        <w:rFonts w:ascii="Courier New" w:hAnsi="Courier New" w:cs="Courier New" w:hint="default"/>
      </w:rPr>
    </w:lvl>
    <w:lvl w:ilvl="8" w:tplc="EC7E1ED2" w:tentative="1">
      <w:start w:val="1"/>
      <w:numFmt w:val="bullet"/>
      <w:lvlText w:val=""/>
      <w:lvlJc w:val="left"/>
      <w:pPr>
        <w:ind w:left="6596" w:hanging="360"/>
      </w:pPr>
      <w:rPr>
        <w:rFonts w:ascii="Wingdings" w:hAnsi="Wingdings" w:hint="default"/>
      </w:rPr>
    </w:lvl>
  </w:abstractNum>
  <w:abstractNum w:abstractNumId="253" w15:restartNumberingAfterBreak="0">
    <w:nsid w:val="642F389C"/>
    <w:multiLevelType w:val="hybridMultilevel"/>
    <w:tmpl w:val="2BD607D4"/>
    <w:lvl w:ilvl="0" w:tplc="95AC7D6E">
      <w:start w:val="1"/>
      <w:numFmt w:val="bullet"/>
      <w:lvlText w:val=""/>
      <w:lvlJc w:val="left"/>
      <w:pPr>
        <w:tabs>
          <w:tab w:val="num" w:pos="680"/>
        </w:tabs>
        <w:ind w:left="680" w:hanging="340"/>
      </w:pPr>
      <w:rPr>
        <w:rFonts w:ascii="Symbol" w:hAnsi="Symbol" w:cs="Symbol"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cs="Wingdings" w:hint="default"/>
      </w:rPr>
    </w:lvl>
    <w:lvl w:ilvl="3" w:tplc="04150001">
      <w:start w:val="1"/>
      <w:numFmt w:val="bullet"/>
      <w:lvlText w:val=""/>
      <w:lvlJc w:val="left"/>
      <w:pPr>
        <w:tabs>
          <w:tab w:val="num" w:pos="2880"/>
        </w:tabs>
        <w:ind w:left="2880" w:hanging="360"/>
      </w:pPr>
      <w:rPr>
        <w:rFonts w:ascii="Symbol" w:hAnsi="Symbol" w:cs="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cs="Wingdings" w:hint="default"/>
      </w:rPr>
    </w:lvl>
    <w:lvl w:ilvl="6" w:tplc="04150001">
      <w:start w:val="1"/>
      <w:numFmt w:val="bullet"/>
      <w:lvlText w:val=""/>
      <w:lvlJc w:val="left"/>
      <w:pPr>
        <w:tabs>
          <w:tab w:val="num" w:pos="5040"/>
        </w:tabs>
        <w:ind w:left="5040" w:hanging="360"/>
      </w:pPr>
      <w:rPr>
        <w:rFonts w:ascii="Symbol" w:hAnsi="Symbol" w:cs="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cs="Wingdings" w:hint="default"/>
      </w:rPr>
    </w:lvl>
  </w:abstractNum>
  <w:abstractNum w:abstractNumId="254" w15:restartNumberingAfterBreak="0">
    <w:nsid w:val="64C076A9"/>
    <w:multiLevelType w:val="multilevel"/>
    <w:tmpl w:val="1C86AFFA"/>
    <w:lvl w:ilvl="0">
      <w:start w:val="10"/>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Zero"/>
      <w:lvlText w:val="%1.%2.%3"/>
      <w:lvlJc w:val="left"/>
      <w:pPr>
        <w:tabs>
          <w:tab w:val="num" w:pos="720"/>
        </w:tabs>
        <w:ind w:left="720" w:hanging="720"/>
      </w:pPr>
      <w:rPr>
        <w:rFonts w:hint="default"/>
      </w:rPr>
    </w:lvl>
    <w:lvl w:ilvl="3">
      <w:start w:val="1"/>
      <w:numFmt w:val="decimalZero"/>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5" w15:restartNumberingAfterBreak="0">
    <w:nsid w:val="65D8622A"/>
    <w:multiLevelType w:val="hybridMultilevel"/>
    <w:tmpl w:val="4AEA6D3E"/>
    <w:lvl w:ilvl="0" w:tplc="0AFCB836">
      <w:start w:val="3"/>
      <w:numFmt w:val="bullet"/>
      <w:lvlText w:val="-"/>
      <w:lvlJc w:val="left"/>
      <w:pPr>
        <w:ind w:left="720" w:hanging="360"/>
      </w:pPr>
      <w:rPr>
        <w:rFonts w:hint="default"/>
      </w:rPr>
    </w:lvl>
    <w:lvl w:ilvl="1" w:tplc="6DD06450" w:tentative="1">
      <w:start w:val="1"/>
      <w:numFmt w:val="bullet"/>
      <w:lvlText w:val="o"/>
      <w:lvlJc w:val="left"/>
      <w:pPr>
        <w:ind w:left="1440" w:hanging="360"/>
      </w:pPr>
      <w:rPr>
        <w:rFonts w:ascii="Courier New" w:hAnsi="Courier New" w:cs="Courier New" w:hint="default"/>
      </w:rPr>
    </w:lvl>
    <w:lvl w:ilvl="2" w:tplc="ADA07B5E" w:tentative="1">
      <w:start w:val="1"/>
      <w:numFmt w:val="bullet"/>
      <w:lvlText w:val=""/>
      <w:lvlJc w:val="left"/>
      <w:pPr>
        <w:ind w:left="2160" w:hanging="360"/>
      </w:pPr>
      <w:rPr>
        <w:rFonts w:ascii="Wingdings" w:hAnsi="Wingdings" w:hint="default"/>
      </w:rPr>
    </w:lvl>
    <w:lvl w:ilvl="3" w:tplc="6C08111C" w:tentative="1">
      <w:start w:val="1"/>
      <w:numFmt w:val="bullet"/>
      <w:lvlText w:val=""/>
      <w:lvlJc w:val="left"/>
      <w:pPr>
        <w:ind w:left="2880" w:hanging="360"/>
      </w:pPr>
      <w:rPr>
        <w:rFonts w:ascii="Symbol" w:hAnsi="Symbol" w:hint="default"/>
      </w:rPr>
    </w:lvl>
    <w:lvl w:ilvl="4" w:tplc="DF1E1652" w:tentative="1">
      <w:start w:val="1"/>
      <w:numFmt w:val="bullet"/>
      <w:lvlText w:val="o"/>
      <w:lvlJc w:val="left"/>
      <w:pPr>
        <w:ind w:left="3600" w:hanging="360"/>
      </w:pPr>
      <w:rPr>
        <w:rFonts w:ascii="Courier New" w:hAnsi="Courier New" w:cs="Courier New" w:hint="default"/>
      </w:rPr>
    </w:lvl>
    <w:lvl w:ilvl="5" w:tplc="9B4C1976" w:tentative="1">
      <w:start w:val="1"/>
      <w:numFmt w:val="bullet"/>
      <w:lvlText w:val=""/>
      <w:lvlJc w:val="left"/>
      <w:pPr>
        <w:ind w:left="4320" w:hanging="360"/>
      </w:pPr>
      <w:rPr>
        <w:rFonts w:ascii="Wingdings" w:hAnsi="Wingdings" w:hint="default"/>
      </w:rPr>
    </w:lvl>
    <w:lvl w:ilvl="6" w:tplc="16565B88" w:tentative="1">
      <w:start w:val="1"/>
      <w:numFmt w:val="bullet"/>
      <w:lvlText w:val=""/>
      <w:lvlJc w:val="left"/>
      <w:pPr>
        <w:ind w:left="5040" w:hanging="360"/>
      </w:pPr>
      <w:rPr>
        <w:rFonts w:ascii="Symbol" w:hAnsi="Symbol" w:hint="default"/>
      </w:rPr>
    </w:lvl>
    <w:lvl w:ilvl="7" w:tplc="05A04346" w:tentative="1">
      <w:start w:val="1"/>
      <w:numFmt w:val="bullet"/>
      <w:lvlText w:val="o"/>
      <w:lvlJc w:val="left"/>
      <w:pPr>
        <w:ind w:left="5760" w:hanging="360"/>
      </w:pPr>
      <w:rPr>
        <w:rFonts w:ascii="Courier New" w:hAnsi="Courier New" w:cs="Courier New" w:hint="default"/>
      </w:rPr>
    </w:lvl>
    <w:lvl w:ilvl="8" w:tplc="61880B76" w:tentative="1">
      <w:start w:val="1"/>
      <w:numFmt w:val="bullet"/>
      <w:lvlText w:val=""/>
      <w:lvlJc w:val="left"/>
      <w:pPr>
        <w:ind w:left="6480" w:hanging="360"/>
      </w:pPr>
      <w:rPr>
        <w:rFonts w:ascii="Wingdings" w:hAnsi="Wingdings" w:hint="default"/>
      </w:rPr>
    </w:lvl>
  </w:abstractNum>
  <w:abstractNum w:abstractNumId="256" w15:restartNumberingAfterBreak="0">
    <w:nsid w:val="663A06C6"/>
    <w:multiLevelType w:val="singleLevel"/>
    <w:tmpl w:val="EE200AC4"/>
    <w:lvl w:ilvl="0">
      <w:start w:val="1"/>
      <w:numFmt w:val="lowerLetter"/>
      <w:lvlText w:val="%1)"/>
      <w:legacy w:legacy="1" w:legacySpace="0" w:legacyIndent="283"/>
      <w:lvlJc w:val="left"/>
      <w:pPr>
        <w:ind w:left="283" w:hanging="283"/>
      </w:pPr>
    </w:lvl>
  </w:abstractNum>
  <w:abstractNum w:abstractNumId="257" w15:restartNumberingAfterBreak="0">
    <w:nsid w:val="664B2912"/>
    <w:multiLevelType w:val="singleLevel"/>
    <w:tmpl w:val="8DC2E45A"/>
    <w:lvl w:ilvl="0">
      <w:start w:val="6"/>
      <w:numFmt w:val="bullet"/>
      <w:lvlText w:val=""/>
      <w:lvlJc w:val="left"/>
      <w:pPr>
        <w:tabs>
          <w:tab w:val="num" w:pos="420"/>
        </w:tabs>
        <w:ind w:left="420" w:hanging="360"/>
      </w:pPr>
      <w:rPr>
        <w:rFonts w:ascii="Symbol" w:hAnsi="Symbol" w:hint="default"/>
      </w:rPr>
    </w:lvl>
  </w:abstractNum>
  <w:abstractNum w:abstractNumId="258" w15:restartNumberingAfterBreak="0">
    <w:nsid w:val="678347CE"/>
    <w:multiLevelType w:val="singleLevel"/>
    <w:tmpl w:val="7256D040"/>
    <w:lvl w:ilvl="0">
      <w:start w:val="1"/>
      <w:numFmt w:val="bullet"/>
      <w:lvlText w:val=""/>
      <w:lvlJc w:val="left"/>
      <w:pPr>
        <w:ind w:left="720" w:hanging="360"/>
      </w:pPr>
      <w:rPr>
        <w:rFonts w:ascii="Symbol" w:hAnsi="Symbol" w:hint="default"/>
      </w:rPr>
    </w:lvl>
  </w:abstractNum>
  <w:abstractNum w:abstractNumId="259" w15:restartNumberingAfterBreak="0">
    <w:nsid w:val="67E32D67"/>
    <w:multiLevelType w:val="singleLevel"/>
    <w:tmpl w:val="FB907B0C"/>
    <w:lvl w:ilvl="0">
      <w:start w:val="1"/>
      <w:numFmt w:val="decimal"/>
      <w:lvlText w:val="2.3.%1. "/>
      <w:legacy w:legacy="1" w:legacySpace="0" w:legacyIndent="283"/>
      <w:lvlJc w:val="left"/>
      <w:pPr>
        <w:ind w:left="283" w:hanging="283"/>
      </w:pPr>
      <w:rPr>
        <w:rFonts w:ascii="Times New Roman" w:hAnsi="Times New Roman" w:cs="Times New Roman" w:hint="default"/>
        <w:b/>
        <w:i w:val="0"/>
        <w:sz w:val="20"/>
        <w:u w:val="none"/>
      </w:rPr>
    </w:lvl>
  </w:abstractNum>
  <w:abstractNum w:abstractNumId="260" w15:restartNumberingAfterBreak="0">
    <w:nsid w:val="68596B14"/>
    <w:multiLevelType w:val="singleLevel"/>
    <w:tmpl w:val="64326664"/>
    <w:lvl w:ilvl="0">
      <w:start w:val="1"/>
      <w:numFmt w:val="lowerLetter"/>
      <w:lvlText w:val="%1)"/>
      <w:legacy w:legacy="1" w:legacySpace="0" w:legacyIndent="283"/>
      <w:lvlJc w:val="left"/>
      <w:pPr>
        <w:ind w:left="567" w:hanging="283"/>
      </w:pPr>
    </w:lvl>
  </w:abstractNum>
  <w:abstractNum w:abstractNumId="261" w15:restartNumberingAfterBreak="0">
    <w:nsid w:val="6879360D"/>
    <w:multiLevelType w:val="hybridMultilevel"/>
    <w:tmpl w:val="854AFB00"/>
    <w:lvl w:ilvl="0" w:tplc="C2A01D96">
      <w:start w:val="1"/>
      <w:numFmt w:val="bullet"/>
      <w:lvlText w:val="−"/>
      <w:lvlJc w:val="left"/>
      <w:pPr>
        <w:tabs>
          <w:tab w:val="num" w:pos="680"/>
        </w:tabs>
        <w:ind w:left="680" w:hanging="340"/>
      </w:pPr>
      <w:rPr>
        <w:rFonts w:ascii="Verdana" w:hAnsi="Verdana" w:cs="Verdana" w:hint="default"/>
      </w:rPr>
    </w:lvl>
    <w:lvl w:ilvl="1" w:tplc="75802FE4">
      <w:start w:val="1"/>
      <w:numFmt w:val="bullet"/>
      <w:lvlText w:val="o"/>
      <w:lvlJc w:val="left"/>
      <w:pPr>
        <w:tabs>
          <w:tab w:val="num" w:pos="1440"/>
        </w:tabs>
        <w:ind w:left="1440" w:hanging="360"/>
      </w:pPr>
      <w:rPr>
        <w:rFonts w:ascii="Courier New" w:hAnsi="Courier New" w:cs="Courier New" w:hint="default"/>
      </w:rPr>
    </w:lvl>
    <w:lvl w:ilvl="2" w:tplc="916EA8B0">
      <w:start w:val="1"/>
      <w:numFmt w:val="bullet"/>
      <w:lvlText w:val=""/>
      <w:lvlJc w:val="left"/>
      <w:pPr>
        <w:tabs>
          <w:tab w:val="num" w:pos="2160"/>
        </w:tabs>
        <w:ind w:left="2160" w:hanging="360"/>
      </w:pPr>
      <w:rPr>
        <w:rFonts w:ascii="Wingdings" w:hAnsi="Wingdings" w:cs="Wingdings" w:hint="default"/>
      </w:rPr>
    </w:lvl>
    <w:lvl w:ilvl="3" w:tplc="D586EBD2">
      <w:start w:val="1"/>
      <w:numFmt w:val="bullet"/>
      <w:lvlText w:val=""/>
      <w:lvlJc w:val="left"/>
      <w:pPr>
        <w:tabs>
          <w:tab w:val="num" w:pos="2880"/>
        </w:tabs>
        <w:ind w:left="2880" w:hanging="360"/>
      </w:pPr>
      <w:rPr>
        <w:rFonts w:ascii="Symbol" w:hAnsi="Symbol" w:cs="Symbol" w:hint="default"/>
      </w:rPr>
    </w:lvl>
    <w:lvl w:ilvl="4" w:tplc="5C4AFA84">
      <w:start w:val="1"/>
      <w:numFmt w:val="bullet"/>
      <w:lvlText w:val="o"/>
      <w:lvlJc w:val="left"/>
      <w:pPr>
        <w:tabs>
          <w:tab w:val="num" w:pos="3600"/>
        </w:tabs>
        <w:ind w:left="3600" w:hanging="360"/>
      </w:pPr>
      <w:rPr>
        <w:rFonts w:ascii="Courier New" w:hAnsi="Courier New" w:cs="Courier New" w:hint="default"/>
      </w:rPr>
    </w:lvl>
    <w:lvl w:ilvl="5" w:tplc="64B04000">
      <w:start w:val="1"/>
      <w:numFmt w:val="bullet"/>
      <w:lvlText w:val=""/>
      <w:lvlJc w:val="left"/>
      <w:pPr>
        <w:tabs>
          <w:tab w:val="num" w:pos="4320"/>
        </w:tabs>
        <w:ind w:left="4320" w:hanging="360"/>
      </w:pPr>
      <w:rPr>
        <w:rFonts w:ascii="Wingdings" w:hAnsi="Wingdings" w:cs="Wingdings" w:hint="default"/>
      </w:rPr>
    </w:lvl>
    <w:lvl w:ilvl="6" w:tplc="AF2823EA">
      <w:start w:val="1"/>
      <w:numFmt w:val="bullet"/>
      <w:lvlText w:val=""/>
      <w:lvlJc w:val="left"/>
      <w:pPr>
        <w:tabs>
          <w:tab w:val="num" w:pos="5040"/>
        </w:tabs>
        <w:ind w:left="5040" w:hanging="360"/>
      </w:pPr>
      <w:rPr>
        <w:rFonts w:ascii="Symbol" w:hAnsi="Symbol" w:cs="Symbol" w:hint="default"/>
      </w:rPr>
    </w:lvl>
    <w:lvl w:ilvl="7" w:tplc="0ED8D334">
      <w:start w:val="1"/>
      <w:numFmt w:val="bullet"/>
      <w:lvlText w:val="o"/>
      <w:lvlJc w:val="left"/>
      <w:pPr>
        <w:tabs>
          <w:tab w:val="num" w:pos="5760"/>
        </w:tabs>
        <w:ind w:left="5760" w:hanging="360"/>
      </w:pPr>
      <w:rPr>
        <w:rFonts w:ascii="Courier New" w:hAnsi="Courier New" w:cs="Courier New" w:hint="default"/>
      </w:rPr>
    </w:lvl>
    <w:lvl w:ilvl="8" w:tplc="F412FFB0">
      <w:start w:val="1"/>
      <w:numFmt w:val="bullet"/>
      <w:lvlText w:val=""/>
      <w:lvlJc w:val="left"/>
      <w:pPr>
        <w:tabs>
          <w:tab w:val="num" w:pos="6480"/>
        </w:tabs>
        <w:ind w:left="6480" w:hanging="360"/>
      </w:pPr>
      <w:rPr>
        <w:rFonts w:ascii="Wingdings" w:hAnsi="Wingdings" w:cs="Wingdings" w:hint="default"/>
      </w:rPr>
    </w:lvl>
  </w:abstractNum>
  <w:abstractNum w:abstractNumId="262" w15:restartNumberingAfterBreak="0">
    <w:nsid w:val="689E5175"/>
    <w:multiLevelType w:val="singleLevel"/>
    <w:tmpl w:val="5E1CE2C6"/>
    <w:lvl w:ilvl="0">
      <w:start w:val="3"/>
      <w:numFmt w:val="decimal"/>
      <w:lvlText w:val="2.3.%1. "/>
      <w:legacy w:legacy="1" w:legacySpace="0" w:legacyIndent="283"/>
      <w:lvlJc w:val="left"/>
      <w:pPr>
        <w:ind w:left="283" w:hanging="283"/>
      </w:pPr>
      <w:rPr>
        <w:rFonts w:ascii="Times New Roman" w:hAnsi="Times New Roman" w:cs="Times New Roman" w:hint="default"/>
        <w:b/>
        <w:i w:val="0"/>
        <w:sz w:val="20"/>
        <w:u w:val="none"/>
      </w:rPr>
    </w:lvl>
  </w:abstractNum>
  <w:abstractNum w:abstractNumId="263" w15:restartNumberingAfterBreak="0">
    <w:nsid w:val="68B11081"/>
    <w:multiLevelType w:val="multilevel"/>
    <w:tmpl w:val="4A96CFE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4" w15:restartNumberingAfterBreak="0">
    <w:nsid w:val="69181107"/>
    <w:multiLevelType w:val="hybridMultilevel"/>
    <w:tmpl w:val="EE32A8E8"/>
    <w:lvl w:ilvl="0" w:tplc="4A36915C">
      <w:start w:val="1"/>
      <w:numFmt w:val="bullet"/>
      <w:lvlText w:val="−"/>
      <w:lvlJc w:val="left"/>
      <w:pPr>
        <w:tabs>
          <w:tab w:val="num" w:pos="1400"/>
        </w:tabs>
        <w:ind w:left="1400" w:hanging="340"/>
      </w:pPr>
      <w:rPr>
        <w:rFonts w:ascii="Verdana" w:hAnsi="Verdana" w:hint="default"/>
      </w:rPr>
    </w:lvl>
    <w:lvl w:ilvl="1" w:tplc="04150003">
      <w:start w:val="1"/>
      <w:numFmt w:val="bullet"/>
      <w:lvlText w:val="o"/>
      <w:lvlJc w:val="left"/>
      <w:pPr>
        <w:tabs>
          <w:tab w:val="num" w:pos="2160"/>
        </w:tabs>
        <w:ind w:left="2160" w:hanging="360"/>
      </w:pPr>
      <w:rPr>
        <w:rFonts w:ascii="Courier New" w:hAnsi="Courier New" w:cs="Courier New" w:hint="default"/>
      </w:rPr>
    </w:lvl>
    <w:lvl w:ilvl="2" w:tplc="04150005">
      <w:start w:val="1"/>
      <w:numFmt w:val="bullet"/>
      <w:lvlText w:val=""/>
      <w:lvlJc w:val="left"/>
      <w:pPr>
        <w:tabs>
          <w:tab w:val="num" w:pos="2880"/>
        </w:tabs>
        <w:ind w:left="2880" w:hanging="360"/>
      </w:pPr>
      <w:rPr>
        <w:rFonts w:ascii="Wingdings" w:hAnsi="Wingdings" w:hint="default"/>
      </w:rPr>
    </w:lvl>
    <w:lvl w:ilvl="3" w:tplc="04150001">
      <w:start w:val="1"/>
      <w:numFmt w:val="bullet"/>
      <w:lvlText w:val=""/>
      <w:lvlJc w:val="left"/>
      <w:pPr>
        <w:tabs>
          <w:tab w:val="num" w:pos="3600"/>
        </w:tabs>
        <w:ind w:left="3600" w:hanging="360"/>
      </w:pPr>
      <w:rPr>
        <w:rFonts w:ascii="Symbol" w:hAnsi="Symbol" w:hint="default"/>
      </w:rPr>
    </w:lvl>
    <w:lvl w:ilvl="4" w:tplc="04150003">
      <w:start w:val="1"/>
      <w:numFmt w:val="bullet"/>
      <w:lvlText w:val="o"/>
      <w:lvlJc w:val="left"/>
      <w:pPr>
        <w:tabs>
          <w:tab w:val="num" w:pos="4320"/>
        </w:tabs>
        <w:ind w:left="4320" w:hanging="360"/>
      </w:pPr>
      <w:rPr>
        <w:rFonts w:ascii="Courier New" w:hAnsi="Courier New" w:cs="Courier New" w:hint="default"/>
      </w:rPr>
    </w:lvl>
    <w:lvl w:ilvl="5" w:tplc="04150005">
      <w:start w:val="1"/>
      <w:numFmt w:val="bullet"/>
      <w:lvlText w:val=""/>
      <w:lvlJc w:val="left"/>
      <w:pPr>
        <w:tabs>
          <w:tab w:val="num" w:pos="5040"/>
        </w:tabs>
        <w:ind w:left="5040" w:hanging="360"/>
      </w:pPr>
      <w:rPr>
        <w:rFonts w:ascii="Wingdings" w:hAnsi="Wingdings" w:hint="default"/>
      </w:rPr>
    </w:lvl>
    <w:lvl w:ilvl="6" w:tplc="04150001">
      <w:start w:val="1"/>
      <w:numFmt w:val="bullet"/>
      <w:lvlText w:val=""/>
      <w:lvlJc w:val="left"/>
      <w:pPr>
        <w:tabs>
          <w:tab w:val="num" w:pos="5760"/>
        </w:tabs>
        <w:ind w:left="5760" w:hanging="360"/>
      </w:pPr>
      <w:rPr>
        <w:rFonts w:ascii="Symbol" w:hAnsi="Symbol" w:hint="default"/>
      </w:rPr>
    </w:lvl>
    <w:lvl w:ilvl="7" w:tplc="04150003">
      <w:start w:val="1"/>
      <w:numFmt w:val="bullet"/>
      <w:lvlText w:val="o"/>
      <w:lvlJc w:val="left"/>
      <w:pPr>
        <w:tabs>
          <w:tab w:val="num" w:pos="6480"/>
        </w:tabs>
        <w:ind w:left="6480" w:hanging="360"/>
      </w:pPr>
      <w:rPr>
        <w:rFonts w:ascii="Courier New" w:hAnsi="Courier New" w:cs="Courier New" w:hint="default"/>
      </w:rPr>
    </w:lvl>
    <w:lvl w:ilvl="8" w:tplc="04150005">
      <w:start w:val="1"/>
      <w:numFmt w:val="bullet"/>
      <w:lvlText w:val=""/>
      <w:lvlJc w:val="left"/>
      <w:pPr>
        <w:tabs>
          <w:tab w:val="num" w:pos="7200"/>
        </w:tabs>
        <w:ind w:left="7200" w:hanging="360"/>
      </w:pPr>
      <w:rPr>
        <w:rFonts w:ascii="Wingdings" w:hAnsi="Wingdings" w:hint="default"/>
      </w:rPr>
    </w:lvl>
  </w:abstractNum>
  <w:abstractNum w:abstractNumId="265" w15:restartNumberingAfterBreak="0">
    <w:nsid w:val="692336E2"/>
    <w:multiLevelType w:val="hybridMultilevel"/>
    <w:tmpl w:val="F4DE6A78"/>
    <w:lvl w:ilvl="0" w:tplc="4A36915C">
      <w:start w:val="67"/>
      <w:numFmt w:val="decimal"/>
      <w:lvlText w:val="%1."/>
      <w:lvlJc w:val="left"/>
      <w:pPr>
        <w:tabs>
          <w:tab w:val="num" w:pos="397"/>
        </w:tabs>
        <w:ind w:left="397" w:hanging="397"/>
      </w:pPr>
      <w:rPr>
        <w:rFonts w:ascii="Times New Roman" w:hAnsi="Times New Roman" w:cs="Times New Roman" w:hint="default"/>
        <w:b w:val="0"/>
        <w:bCs w:val="0"/>
        <w:i w:val="0"/>
        <w:iCs w:val="0"/>
        <w:sz w:val="20"/>
        <w:szCs w:val="20"/>
      </w:rPr>
    </w:lvl>
    <w:lvl w:ilvl="1" w:tplc="04150003">
      <w:start w:val="1"/>
      <w:numFmt w:val="lowerLetter"/>
      <w:lvlText w:val="%2."/>
      <w:lvlJc w:val="left"/>
      <w:pPr>
        <w:tabs>
          <w:tab w:val="num" w:pos="1440"/>
        </w:tabs>
        <w:ind w:left="1440" w:hanging="360"/>
      </w:pPr>
    </w:lvl>
    <w:lvl w:ilvl="2" w:tplc="04150005">
      <w:start w:val="1"/>
      <w:numFmt w:val="lowerRoman"/>
      <w:lvlText w:val="%3."/>
      <w:lvlJc w:val="right"/>
      <w:pPr>
        <w:tabs>
          <w:tab w:val="num" w:pos="2160"/>
        </w:tabs>
        <w:ind w:left="2160" w:hanging="180"/>
      </w:pPr>
    </w:lvl>
    <w:lvl w:ilvl="3" w:tplc="04150001">
      <w:start w:val="1"/>
      <w:numFmt w:val="decimal"/>
      <w:lvlText w:val="%4."/>
      <w:lvlJc w:val="left"/>
      <w:pPr>
        <w:tabs>
          <w:tab w:val="num" w:pos="2880"/>
        </w:tabs>
        <w:ind w:left="2880" w:hanging="360"/>
      </w:pPr>
    </w:lvl>
    <w:lvl w:ilvl="4" w:tplc="04150003">
      <w:start w:val="1"/>
      <w:numFmt w:val="lowerLetter"/>
      <w:lvlText w:val="%5."/>
      <w:lvlJc w:val="left"/>
      <w:pPr>
        <w:tabs>
          <w:tab w:val="num" w:pos="3600"/>
        </w:tabs>
        <w:ind w:left="3600" w:hanging="360"/>
      </w:pPr>
    </w:lvl>
    <w:lvl w:ilvl="5" w:tplc="04150005">
      <w:start w:val="1"/>
      <w:numFmt w:val="lowerRoman"/>
      <w:lvlText w:val="%6."/>
      <w:lvlJc w:val="right"/>
      <w:pPr>
        <w:tabs>
          <w:tab w:val="num" w:pos="4320"/>
        </w:tabs>
        <w:ind w:left="4320" w:hanging="180"/>
      </w:pPr>
    </w:lvl>
    <w:lvl w:ilvl="6" w:tplc="04150001">
      <w:start w:val="1"/>
      <w:numFmt w:val="decimal"/>
      <w:lvlText w:val="%7."/>
      <w:lvlJc w:val="left"/>
      <w:pPr>
        <w:tabs>
          <w:tab w:val="num" w:pos="5040"/>
        </w:tabs>
        <w:ind w:left="5040" w:hanging="360"/>
      </w:pPr>
    </w:lvl>
    <w:lvl w:ilvl="7" w:tplc="04150003">
      <w:start w:val="1"/>
      <w:numFmt w:val="lowerLetter"/>
      <w:lvlText w:val="%8."/>
      <w:lvlJc w:val="left"/>
      <w:pPr>
        <w:tabs>
          <w:tab w:val="num" w:pos="5760"/>
        </w:tabs>
        <w:ind w:left="5760" w:hanging="360"/>
      </w:pPr>
    </w:lvl>
    <w:lvl w:ilvl="8" w:tplc="04150005">
      <w:start w:val="1"/>
      <w:numFmt w:val="lowerRoman"/>
      <w:lvlText w:val="%9."/>
      <w:lvlJc w:val="right"/>
      <w:pPr>
        <w:tabs>
          <w:tab w:val="num" w:pos="6480"/>
        </w:tabs>
        <w:ind w:left="6480" w:hanging="180"/>
      </w:pPr>
    </w:lvl>
  </w:abstractNum>
  <w:abstractNum w:abstractNumId="266" w15:restartNumberingAfterBreak="0">
    <w:nsid w:val="69FE1507"/>
    <w:multiLevelType w:val="multilevel"/>
    <w:tmpl w:val="9E9422FA"/>
    <w:lvl w:ilvl="0">
      <w:start w:val="1"/>
      <w:numFmt w:val="decimal"/>
      <w:lvlText w:val="%1."/>
      <w:lvlJc w:val="left"/>
      <w:pPr>
        <w:tabs>
          <w:tab w:val="num" w:pos="0"/>
        </w:tabs>
        <w:ind w:left="283" w:hanging="283"/>
      </w:pPr>
      <w:rPr>
        <w:rFonts w:hint="default"/>
      </w:rPr>
    </w:lvl>
    <w:lvl w:ilvl="1">
      <w:start w:val="3"/>
      <w:numFmt w:val="decimal"/>
      <w:isLgl/>
      <w:lvlText w:val="%1.%2."/>
      <w:lvlJc w:val="left"/>
      <w:pPr>
        <w:tabs>
          <w:tab w:val="num" w:pos="495"/>
        </w:tabs>
        <w:ind w:left="495" w:hanging="495"/>
      </w:pPr>
      <w:rPr>
        <w:rFonts w:hint="default"/>
        <w:b/>
        <w:bCs/>
      </w:rPr>
    </w:lvl>
    <w:lvl w:ilvl="2">
      <w:start w:val="2"/>
      <w:numFmt w:val="decimal"/>
      <w:isLgl/>
      <w:lvlText w:val="%1.%2.%3."/>
      <w:lvlJc w:val="left"/>
      <w:pPr>
        <w:tabs>
          <w:tab w:val="num" w:pos="720"/>
        </w:tabs>
        <w:ind w:left="720" w:hanging="720"/>
      </w:pPr>
      <w:rPr>
        <w:rFonts w:hint="default"/>
        <w:b/>
        <w:bCs/>
      </w:rPr>
    </w:lvl>
    <w:lvl w:ilvl="3">
      <w:start w:val="1"/>
      <w:numFmt w:val="decimalZero"/>
      <w:isLgl/>
      <w:lvlText w:val="%1.%2.%3.%4."/>
      <w:lvlJc w:val="left"/>
      <w:pPr>
        <w:tabs>
          <w:tab w:val="num" w:pos="720"/>
        </w:tabs>
        <w:ind w:left="720" w:hanging="720"/>
      </w:pPr>
      <w:rPr>
        <w:rFonts w:hint="default"/>
        <w:b/>
        <w:bCs/>
      </w:rPr>
    </w:lvl>
    <w:lvl w:ilvl="4">
      <w:start w:val="1"/>
      <w:numFmt w:val="decimal"/>
      <w:isLgl/>
      <w:lvlText w:val="%1.%2.%3.%4.%5."/>
      <w:lvlJc w:val="left"/>
      <w:pPr>
        <w:tabs>
          <w:tab w:val="num" w:pos="1080"/>
        </w:tabs>
        <w:ind w:left="1080" w:hanging="1080"/>
      </w:pPr>
      <w:rPr>
        <w:rFonts w:hint="default"/>
        <w:b/>
        <w:bCs/>
      </w:rPr>
    </w:lvl>
    <w:lvl w:ilvl="5">
      <w:start w:val="1"/>
      <w:numFmt w:val="decimal"/>
      <w:isLgl/>
      <w:lvlText w:val="%1.%2.%3.%4.%5.%6."/>
      <w:lvlJc w:val="left"/>
      <w:pPr>
        <w:tabs>
          <w:tab w:val="num" w:pos="1080"/>
        </w:tabs>
        <w:ind w:left="1080" w:hanging="1080"/>
      </w:pPr>
      <w:rPr>
        <w:rFonts w:hint="default"/>
        <w:b/>
        <w:bCs/>
      </w:rPr>
    </w:lvl>
    <w:lvl w:ilvl="6">
      <w:start w:val="1"/>
      <w:numFmt w:val="decimal"/>
      <w:isLgl/>
      <w:lvlText w:val="%1.%2.%3.%4.%5.%6.%7."/>
      <w:lvlJc w:val="left"/>
      <w:pPr>
        <w:tabs>
          <w:tab w:val="num" w:pos="1080"/>
        </w:tabs>
        <w:ind w:left="1080" w:hanging="1080"/>
      </w:pPr>
      <w:rPr>
        <w:rFonts w:hint="default"/>
        <w:b/>
        <w:bCs/>
      </w:rPr>
    </w:lvl>
    <w:lvl w:ilvl="7">
      <w:start w:val="1"/>
      <w:numFmt w:val="decimal"/>
      <w:isLgl/>
      <w:lvlText w:val="%1.%2.%3.%4.%5.%6.%7.%8."/>
      <w:lvlJc w:val="left"/>
      <w:pPr>
        <w:tabs>
          <w:tab w:val="num" w:pos="1440"/>
        </w:tabs>
        <w:ind w:left="1440" w:hanging="1440"/>
      </w:pPr>
      <w:rPr>
        <w:rFonts w:hint="default"/>
        <w:b/>
        <w:bCs/>
      </w:rPr>
    </w:lvl>
    <w:lvl w:ilvl="8">
      <w:start w:val="1"/>
      <w:numFmt w:val="decimal"/>
      <w:isLgl/>
      <w:lvlText w:val="%1.%2.%3.%4.%5.%6.%7.%8.%9."/>
      <w:lvlJc w:val="left"/>
      <w:pPr>
        <w:tabs>
          <w:tab w:val="num" w:pos="1440"/>
        </w:tabs>
        <w:ind w:left="1440" w:hanging="1440"/>
      </w:pPr>
      <w:rPr>
        <w:rFonts w:hint="default"/>
        <w:b/>
        <w:bCs/>
      </w:rPr>
    </w:lvl>
  </w:abstractNum>
  <w:abstractNum w:abstractNumId="267" w15:restartNumberingAfterBreak="0">
    <w:nsid w:val="6A202691"/>
    <w:multiLevelType w:val="singleLevel"/>
    <w:tmpl w:val="9910A9B2"/>
    <w:lvl w:ilvl="0">
      <w:start w:val="1"/>
      <w:numFmt w:val="lowerLetter"/>
      <w:lvlText w:val="%1)"/>
      <w:legacy w:legacy="1" w:legacySpace="0" w:legacyIndent="283"/>
      <w:lvlJc w:val="left"/>
      <w:pPr>
        <w:ind w:left="283" w:hanging="283"/>
      </w:pPr>
    </w:lvl>
  </w:abstractNum>
  <w:abstractNum w:abstractNumId="268" w15:restartNumberingAfterBreak="0">
    <w:nsid w:val="6A8A7BDC"/>
    <w:multiLevelType w:val="singleLevel"/>
    <w:tmpl w:val="E8967304"/>
    <w:lvl w:ilvl="0">
      <w:start w:val="1"/>
      <w:numFmt w:val="lowerLetter"/>
      <w:lvlText w:val="%1)"/>
      <w:legacy w:legacy="1" w:legacySpace="0" w:legacyIndent="283"/>
      <w:lvlJc w:val="left"/>
      <w:pPr>
        <w:ind w:left="283" w:hanging="283"/>
      </w:pPr>
    </w:lvl>
  </w:abstractNum>
  <w:abstractNum w:abstractNumId="269" w15:restartNumberingAfterBreak="0">
    <w:nsid w:val="6AA57DCC"/>
    <w:multiLevelType w:val="hybridMultilevel"/>
    <w:tmpl w:val="89AAAC84"/>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0" w15:restartNumberingAfterBreak="0">
    <w:nsid w:val="6AF038F1"/>
    <w:multiLevelType w:val="hybridMultilevel"/>
    <w:tmpl w:val="7DA0D90E"/>
    <w:lvl w:ilvl="0" w:tplc="F1BC3C70">
      <w:start w:val="1"/>
      <w:numFmt w:val="decimal"/>
      <w:lvlText w:val="%1."/>
      <w:lvlJc w:val="left"/>
      <w:pPr>
        <w:tabs>
          <w:tab w:val="num" w:pos="720"/>
        </w:tabs>
        <w:ind w:left="720" w:hanging="360"/>
      </w:pPr>
      <w:rPr>
        <w:rFonts w:hint="default"/>
      </w:rPr>
    </w:lvl>
    <w:lvl w:ilvl="1" w:tplc="049AF952">
      <w:start w:val="1"/>
      <w:numFmt w:val="lowerLetter"/>
      <w:lvlText w:val="%2."/>
      <w:lvlJc w:val="left"/>
      <w:pPr>
        <w:tabs>
          <w:tab w:val="num" w:pos="1440"/>
        </w:tabs>
        <w:ind w:left="1440" w:hanging="360"/>
      </w:pPr>
    </w:lvl>
    <w:lvl w:ilvl="2" w:tplc="87BA5EAC">
      <w:start w:val="1"/>
      <w:numFmt w:val="lowerRoman"/>
      <w:lvlText w:val="%3."/>
      <w:lvlJc w:val="right"/>
      <w:pPr>
        <w:tabs>
          <w:tab w:val="num" w:pos="2160"/>
        </w:tabs>
        <w:ind w:left="2160" w:hanging="180"/>
      </w:pPr>
    </w:lvl>
    <w:lvl w:ilvl="3" w:tplc="6D769EEC">
      <w:start w:val="1"/>
      <w:numFmt w:val="decimal"/>
      <w:lvlText w:val="%4."/>
      <w:lvlJc w:val="left"/>
      <w:pPr>
        <w:tabs>
          <w:tab w:val="num" w:pos="2880"/>
        </w:tabs>
        <w:ind w:left="2880" w:hanging="360"/>
      </w:pPr>
    </w:lvl>
    <w:lvl w:ilvl="4" w:tplc="714E60EA">
      <w:start w:val="1"/>
      <w:numFmt w:val="lowerLetter"/>
      <w:lvlText w:val="%5."/>
      <w:lvlJc w:val="left"/>
      <w:pPr>
        <w:tabs>
          <w:tab w:val="num" w:pos="3600"/>
        </w:tabs>
        <w:ind w:left="3600" w:hanging="360"/>
      </w:pPr>
    </w:lvl>
    <w:lvl w:ilvl="5" w:tplc="55807B10">
      <w:start w:val="1"/>
      <w:numFmt w:val="lowerRoman"/>
      <w:lvlText w:val="%6."/>
      <w:lvlJc w:val="right"/>
      <w:pPr>
        <w:tabs>
          <w:tab w:val="num" w:pos="4320"/>
        </w:tabs>
        <w:ind w:left="4320" w:hanging="180"/>
      </w:pPr>
    </w:lvl>
    <w:lvl w:ilvl="6" w:tplc="77069B24">
      <w:start w:val="1"/>
      <w:numFmt w:val="decimal"/>
      <w:lvlText w:val="%7."/>
      <w:lvlJc w:val="left"/>
      <w:pPr>
        <w:tabs>
          <w:tab w:val="num" w:pos="5040"/>
        </w:tabs>
        <w:ind w:left="5040" w:hanging="360"/>
      </w:pPr>
    </w:lvl>
    <w:lvl w:ilvl="7" w:tplc="3642FD94">
      <w:start w:val="1"/>
      <w:numFmt w:val="lowerLetter"/>
      <w:lvlText w:val="%8."/>
      <w:lvlJc w:val="left"/>
      <w:pPr>
        <w:tabs>
          <w:tab w:val="num" w:pos="5760"/>
        </w:tabs>
        <w:ind w:left="5760" w:hanging="360"/>
      </w:pPr>
    </w:lvl>
    <w:lvl w:ilvl="8" w:tplc="E1121E70">
      <w:start w:val="1"/>
      <w:numFmt w:val="lowerRoman"/>
      <w:lvlText w:val="%9."/>
      <w:lvlJc w:val="right"/>
      <w:pPr>
        <w:tabs>
          <w:tab w:val="num" w:pos="6480"/>
        </w:tabs>
        <w:ind w:left="6480" w:hanging="180"/>
      </w:pPr>
    </w:lvl>
  </w:abstractNum>
  <w:abstractNum w:abstractNumId="271" w15:restartNumberingAfterBreak="0">
    <w:nsid w:val="6B167ADD"/>
    <w:multiLevelType w:val="singleLevel"/>
    <w:tmpl w:val="9910A9B2"/>
    <w:lvl w:ilvl="0">
      <w:start w:val="1"/>
      <w:numFmt w:val="lowerLetter"/>
      <w:lvlText w:val="%1)"/>
      <w:legacy w:legacy="1" w:legacySpace="0" w:legacyIndent="283"/>
      <w:lvlJc w:val="left"/>
      <w:pPr>
        <w:ind w:left="283" w:hanging="283"/>
      </w:pPr>
    </w:lvl>
  </w:abstractNum>
  <w:abstractNum w:abstractNumId="272" w15:restartNumberingAfterBreak="0">
    <w:nsid w:val="6B1E3A19"/>
    <w:multiLevelType w:val="hybridMultilevel"/>
    <w:tmpl w:val="40BCBE40"/>
    <w:lvl w:ilvl="0" w:tplc="36DC2774">
      <w:start w:val="1"/>
      <w:numFmt w:val="bullet"/>
      <w:lvlText w:val="-"/>
      <w:lvlJc w:val="left"/>
      <w:pPr>
        <w:ind w:left="720" w:hanging="360"/>
      </w:pPr>
      <w:rPr>
        <w:rFonts w:ascii="Calibri" w:eastAsia="Verdana" w:hAnsi="Calibri" w:cs="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3" w15:restartNumberingAfterBreak="0">
    <w:nsid w:val="6B915DC1"/>
    <w:multiLevelType w:val="hybridMultilevel"/>
    <w:tmpl w:val="1E6C9034"/>
    <w:lvl w:ilvl="0" w:tplc="36DC2774">
      <w:start w:val="1"/>
      <w:numFmt w:val="bullet"/>
      <w:lvlText w:val="-"/>
      <w:lvlJc w:val="left"/>
      <w:pPr>
        <w:ind w:left="720" w:hanging="360"/>
      </w:pPr>
      <w:rPr>
        <w:rFonts w:ascii="Calibri" w:eastAsia="Verdana" w:hAnsi="Calibri" w:cs="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4" w15:restartNumberingAfterBreak="0">
    <w:nsid w:val="6B9A337B"/>
    <w:multiLevelType w:val="singleLevel"/>
    <w:tmpl w:val="64326664"/>
    <w:lvl w:ilvl="0">
      <w:start w:val="1"/>
      <w:numFmt w:val="lowerLetter"/>
      <w:lvlText w:val="%1)"/>
      <w:legacy w:legacy="1" w:legacySpace="0" w:legacyIndent="283"/>
      <w:lvlJc w:val="left"/>
      <w:pPr>
        <w:ind w:left="283" w:hanging="283"/>
      </w:pPr>
    </w:lvl>
  </w:abstractNum>
  <w:abstractNum w:abstractNumId="275" w15:restartNumberingAfterBreak="0">
    <w:nsid w:val="6CFA10A3"/>
    <w:multiLevelType w:val="multilevel"/>
    <w:tmpl w:val="1812F1E8"/>
    <w:lvl w:ilvl="0">
      <w:start w:val="1"/>
      <w:numFmt w:val="decimal"/>
      <w:lvlText w:val="%1"/>
      <w:lvlJc w:val="left"/>
      <w:pPr>
        <w:ind w:left="360" w:hanging="360"/>
      </w:pPr>
      <w:rPr>
        <w:rFonts w:cs="Times New Roman" w:hint="default"/>
        <w:b w:val="0"/>
      </w:rPr>
    </w:lvl>
    <w:lvl w:ilvl="1">
      <w:start w:val="4"/>
      <w:numFmt w:val="decimal"/>
      <w:lvlText w:val="%1.%2"/>
      <w:lvlJc w:val="left"/>
      <w:pPr>
        <w:ind w:left="720" w:hanging="720"/>
      </w:pPr>
      <w:rPr>
        <w:rFonts w:cs="Times New Roman" w:hint="default"/>
        <w:b/>
      </w:rPr>
    </w:lvl>
    <w:lvl w:ilvl="2">
      <w:start w:val="1"/>
      <w:numFmt w:val="decimalZero"/>
      <w:lvlText w:val="%1.%2.%3"/>
      <w:lvlJc w:val="left"/>
      <w:pPr>
        <w:ind w:left="720" w:hanging="720"/>
      </w:pPr>
      <w:rPr>
        <w:rFonts w:cs="Times New Roman" w:hint="default"/>
        <w:b/>
      </w:rPr>
    </w:lvl>
    <w:lvl w:ilvl="3">
      <w:start w:val="1"/>
      <w:numFmt w:val="decimalZero"/>
      <w:lvlText w:val="%1.%2.%3.%4"/>
      <w:lvlJc w:val="left"/>
      <w:pPr>
        <w:ind w:left="1080" w:hanging="1080"/>
      </w:pPr>
      <w:rPr>
        <w:rFonts w:cs="Times New Roman" w:hint="default"/>
        <w:b/>
      </w:rPr>
    </w:lvl>
    <w:lvl w:ilvl="4">
      <w:start w:val="1"/>
      <w:numFmt w:val="decimal"/>
      <w:lvlText w:val="%1.%2.%3.%4.%5"/>
      <w:lvlJc w:val="left"/>
      <w:pPr>
        <w:ind w:left="1440" w:hanging="1440"/>
      </w:pPr>
      <w:rPr>
        <w:rFonts w:cs="Times New Roman" w:hint="default"/>
        <w:b/>
      </w:rPr>
    </w:lvl>
    <w:lvl w:ilvl="5">
      <w:start w:val="1"/>
      <w:numFmt w:val="decimal"/>
      <w:lvlText w:val="%1.%2.%3.%4.%5.%6"/>
      <w:lvlJc w:val="left"/>
      <w:pPr>
        <w:ind w:left="1440" w:hanging="1440"/>
      </w:pPr>
      <w:rPr>
        <w:rFonts w:cs="Times New Roman" w:hint="default"/>
        <w:b/>
      </w:rPr>
    </w:lvl>
    <w:lvl w:ilvl="6">
      <w:start w:val="1"/>
      <w:numFmt w:val="decimal"/>
      <w:lvlText w:val="%1.%2.%3.%4.%5.%6.%7"/>
      <w:lvlJc w:val="left"/>
      <w:pPr>
        <w:ind w:left="1800" w:hanging="1800"/>
      </w:pPr>
      <w:rPr>
        <w:rFonts w:cs="Times New Roman" w:hint="default"/>
        <w:b/>
      </w:rPr>
    </w:lvl>
    <w:lvl w:ilvl="7">
      <w:start w:val="1"/>
      <w:numFmt w:val="decimal"/>
      <w:lvlText w:val="%1.%2.%3.%4.%5.%6.%7.%8"/>
      <w:lvlJc w:val="left"/>
      <w:pPr>
        <w:ind w:left="2160" w:hanging="2160"/>
      </w:pPr>
      <w:rPr>
        <w:rFonts w:cs="Times New Roman" w:hint="default"/>
        <w:b/>
      </w:rPr>
    </w:lvl>
    <w:lvl w:ilvl="8">
      <w:start w:val="1"/>
      <w:numFmt w:val="decimal"/>
      <w:lvlText w:val="%1.%2.%3.%4.%5.%6.%7.%8.%9"/>
      <w:lvlJc w:val="left"/>
      <w:pPr>
        <w:ind w:left="2160" w:hanging="2160"/>
      </w:pPr>
      <w:rPr>
        <w:rFonts w:cs="Times New Roman" w:hint="default"/>
        <w:b/>
      </w:rPr>
    </w:lvl>
  </w:abstractNum>
  <w:abstractNum w:abstractNumId="276" w15:restartNumberingAfterBreak="0">
    <w:nsid w:val="6D523511"/>
    <w:multiLevelType w:val="multilevel"/>
    <w:tmpl w:val="04CC544A"/>
    <w:styleLink w:val="WW8Num8"/>
    <w:lvl w:ilvl="0">
      <w:numFmt w:val="bullet"/>
      <w:lvlText w:val="-"/>
      <w:lvlJc w:val="left"/>
      <w:rPr>
        <w:rFonts w:ascii="Symbol" w:hAnsi="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77" w15:restartNumberingAfterBreak="0">
    <w:nsid w:val="6DC27C05"/>
    <w:multiLevelType w:val="singleLevel"/>
    <w:tmpl w:val="60E0FF94"/>
    <w:lvl w:ilvl="0">
      <w:start w:val="4"/>
      <w:numFmt w:val="decimal"/>
      <w:lvlText w:val="2.6.%1. "/>
      <w:legacy w:legacy="1" w:legacySpace="0" w:legacyIndent="283"/>
      <w:lvlJc w:val="left"/>
      <w:pPr>
        <w:ind w:left="283" w:hanging="283"/>
      </w:pPr>
      <w:rPr>
        <w:rFonts w:ascii="Times New Roman" w:hAnsi="Times New Roman" w:cs="Times New Roman" w:hint="default"/>
        <w:b/>
        <w:i w:val="0"/>
        <w:sz w:val="20"/>
        <w:u w:val="none"/>
      </w:rPr>
    </w:lvl>
  </w:abstractNum>
  <w:abstractNum w:abstractNumId="278" w15:restartNumberingAfterBreak="0">
    <w:nsid w:val="6EEF26BC"/>
    <w:multiLevelType w:val="hybridMultilevel"/>
    <w:tmpl w:val="6C14AE7E"/>
    <w:lvl w:ilvl="0" w:tplc="4A36915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9" w15:restartNumberingAfterBreak="0">
    <w:nsid w:val="6F074087"/>
    <w:multiLevelType w:val="hybridMultilevel"/>
    <w:tmpl w:val="7F2C4AFE"/>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0" w15:restartNumberingAfterBreak="0">
    <w:nsid w:val="6F8919C3"/>
    <w:multiLevelType w:val="singleLevel"/>
    <w:tmpl w:val="0EB82A7C"/>
    <w:lvl w:ilvl="0">
      <w:start w:val="12"/>
      <w:numFmt w:val="decimal"/>
      <w:lvlText w:val="2.4.%1. "/>
      <w:legacy w:legacy="1" w:legacySpace="0" w:legacyIndent="283"/>
      <w:lvlJc w:val="left"/>
      <w:pPr>
        <w:ind w:left="283" w:hanging="283"/>
      </w:pPr>
      <w:rPr>
        <w:b/>
        <w:i w:val="0"/>
        <w:sz w:val="20"/>
      </w:rPr>
    </w:lvl>
  </w:abstractNum>
  <w:abstractNum w:abstractNumId="281" w15:restartNumberingAfterBreak="0">
    <w:nsid w:val="703D1DC2"/>
    <w:multiLevelType w:val="singleLevel"/>
    <w:tmpl w:val="902A438A"/>
    <w:lvl w:ilvl="0">
      <w:start w:val="1"/>
      <w:numFmt w:val="decimal"/>
      <w:lvlText w:val="5.5.4.%1. "/>
      <w:legacy w:legacy="1" w:legacySpace="0" w:legacyIndent="283"/>
      <w:lvlJc w:val="left"/>
      <w:pPr>
        <w:ind w:left="283" w:hanging="283"/>
      </w:pPr>
      <w:rPr>
        <w:rFonts w:ascii="Times New Roman" w:hAnsi="Times New Roman" w:cs="Times New Roman" w:hint="default"/>
        <w:b w:val="0"/>
        <w:i w:val="0"/>
        <w:sz w:val="20"/>
        <w:u w:val="none"/>
      </w:rPr>
    </w:lvl>
  </w:abstractNum>
  <w:abstractNum w:abstractNumId="282" w15:restartNumberingAfterBreak="0">
    <w:nsid w:val="70EC5FE8"/>
    <w:multiLevelType w:val="hybridMultilevel"/>
    <w:tmpl w:val="323A67BE"/>
    <w:lvl w:ilvl="0" w:tplc="71B832CE">
      <w:start w:val="1"/>
      <w:numFmt w:val="bullet"/>
      <w:lvlText w:val="−"/>
      <w:lvlJc w:val="left"/>
      <w:pPr>
        <w:tabs>
          <w:tab w:val="num" w:pos="680"/>
        </w:tabs>
        <w:ind w:left="680" w:hanging="340"/>
      </w:pPr>
      <w:rPr>
        <w:rFonts w:ascii="Verdana" w:hAnsi="Verdana" w:cs="Verdana" w:hint="default"/>
      </w:rPr>
    </w:lvl>
    <w:lvl w:ilvl="1" w:tplc="982C56A4">
      <w:start w:val="1"/>
      <w:numFmt w:val="bullet"/>
      <w:lvlText w:val="o"/>
      <w:lvlJc w:val="left"/>
      <w:pPr>
        <w:tabs>
          <w:tab w:val="num" w:pos="1440"/>
        </w:tabs>
        <w:ind w:left="1440" w:hanging="360"/>
      </w:pPr>
      <w:rPr>
        <w:rFonts w:ascii="Courier New" w:hAnsi="Courier New" w:cs="Courier New" w:hint="default"/>
      </w:rPr>
    </w:lvl>
    <w:lvl w:ilvl="2" w:tplc="66346532">
      <w:start w:val="1"/>
      <w:numFmt w:val="bullet"/>
      <w:lvlText w:val=""/>
      <w:lvlJc w:val="left"/>
      <w:pPr>
        <w:tabs>
          <w:tab w:val="num" w:pos="2160"/>
        </w:tabs>
        <w:ind w:left="2160" w:hanging="360"/>
      </w:pPr>
      <w:rPr>
        <w:rFonts w:ascii="Wingdings" w:hAnsi="Wingdings" w:cs="Wingdings" w:hint="default"/>
      </w:rPr>
    </w:lvl>
    <w:lvl w:ilvl="3" w:tplc="CD4EE6D6">
      <w:start w:val="1"/>
      <w:numFmt w:val="bullet"/>
      <w:lvlText w:val=""/>
      <w:lvlJc w:val="left"/>
      <w:pPr>
        <w:tabs>
          <w:tab w:val="num" w:pos="2880"/>
        </w:tabs>
        <w:ind w:left="2880" w:hanging="360"/>
      </w:pPr>
      <w:rPr>
        <w:rFonts w:ascii="Symbol" w:hAnsi="Symbol" w:cs="Symbol" w:hint="default"/>
      </w:rPr>
    </w:lvl>
    <w:lvl w:ilvl="4" w:tplc="5B1E250A">
      <w:start w:val="1"/>
      <w:numFmt w:val="bullet"/>
      <w:lvlText w:val="o"/>
      <w:lvlJc w:val="left"/>
      <w:pPr>
        <w:tabs>
          <w:tab w:val="num" w:pos="3600"/>
        </w:tabs>
        <w:ind w:left="3600" w:hanging="360"/>
      </w:pPr>
      <w:rPr>
        <w:rFonts w:ascii="Courier New" w:hAnsi="Courier New" w:cs="Courier New" w:hint="default"/>
      </w:rPr>
    </w:lvl>
    <w:lvl w:ilvl="5" w:tplc="5A9A1788">
      <w:start w:val="1"/>
      <w:numFmt w:val="bullet"/>
      <w:lvlText w:val=""/>
      <w:lvlJc w:val="left"/>
      <w:pPr>
        <w:tabs>
          <w:tab w:val="num" w:pos="4320"/>
        </w:tabs>
        <w:ind w:left="4320" w:hanging="360"/>
      </w:pPr>
      <w:rPr>
        <w:rFonts w:ascii="Wingdings" w:hAnsi="Wingdings" w:cs="Wingdings" w:hint="default"/>
      </w:rPr>
    </w:lvl>
    <w:lvl w:ilvl="6" w:tplc="04AA42C4">
      <w:start w:val="1"/>
      <w:numFmt w:val="bullet"/>
      <w:lvlText w:val=""/>
      <w:lvlJc w:val="left"/>
      <w:pPr>
        <w:tabs>
          <w:tab w:val="num" w:pos="5040"/>
        </w:tabs>
        <w:ind w:left="5040" w:hanging="360"/>
      </w:pPr>
      <w:rPr>
        <w:rFonts w:ascii="Symbol" w:hAnsi="Symbol" w:cs="Symbol" w:hint="default"/>
      </w:rPr>
    </w:lvl>
    <w:lvl w:ilvl="7" w:tplc="BBC063B8">
      <w:start w:val="1"/>
      <w:numFmt w:val="bullet"/>
      <w:lvlText w:val="o"/>
      <w:lvlJc w:val="left"/>
      <w:pPr>
        <w:tabs>
          <w:tab w:val="num" w:pos="5760"/>
        </w:tabs>
        <w:ind w:left="5760" w:hanging="360"/>
      </w:pPr>
      <w:rPr>
        <w:rFonts w:ascii="Courier New" w:hAnsi="Courier New" w:cs="Courier New" w:hint="default"/>
      </w:rPr>
    </w:lvl>
    <w:lvl w:ilvl="8" w:tplc="E044313A">
      <w:start w:val="1"/>
      <w:numFmt w:val="bullet"/>
      <w:lvlText w:val=""/>
      <w:lvlJc w:val="left"/>
      <w:pPr>
        <w:tabs>
          <w:tab w:val="num" w:pos="6480"/>
        </w:tabs>
        <w:ind w:left="6480" w:hanging="360"/>
      </w:pPr>
      <w:rPr>
        <w:rFonts w:ascii="Wingdings" w:hAnsi="Wingdings" w:cs="Wingdings" w:hint="default"/>
      </w:rPr>
    </w:lvl>
  </w:abstractNum>
  <w:abstractNum w:abstractNumId="283" w15:restartNumberingAfterBreak="0">
    <w:nsid w:val="70F112A9"/>
    <w:multiLevelType w:val="multilevel"/>
    <w:tmpl w:val="128ABFE6"/>
    <w:lvl w:ilvl="0">
      <w:start w:val="2"/>
      <w:numFmt w:val="decimal"/>
      <w:lvlText w:val="%1"/>
      <w:lvlJc w:val="left"/>
      <w:pPr>
        <w:ind w:left="405" w:hanging="405"/>
      </w:pPr>
      <w:rPr>
        <w:rFonts w:hint="default"/>
      </w:rPr>
    </w:lvl>
    <w:lvl w:ilvl="1">
      <w:start w:val="5"/>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4" w15:restartNumberingAfterBreak="0">
    <w:nsid w:val="710654B8"/>
    <w:multiLevelType w:val="hybridMultilevel"/>
    <w:tmpl w:val="BB204246"/>
    <w:lvl w:ilvl="0" w:tplc="04150001">
      <w:start w:val="1"/>
      <w:numFmt w:val="bullet"/>
      <w:lvlText w:val=""/>
      <w:lvlJc w:val="left"/>
      <w:pPr>
        <w:ind w:left="836" w:hanging="360"/>
      </w:pPr>
      <w:rPr>
        <w:rFonts w:ascii="Symbol" w:hAnsi="Symbol" w:hint="default"/>
      </w:rPr>
    </w:lvl>
    <w:lvl w:ilvl="1" w:tplc="04150003" w:tentative="1">
      <w:start w:val="1"/>
      <w:numFmt w:val="bullet"/>
      <w:lvlText w:val="o"/>
      <w:lvlJc w:val="left"/>
      <w:pPr>
        <w:ind w:left="1556" w:hanging="360"/>
      </w:pPr>
      <w:rPr>
        <w:rFonts w:ascii="Courier New" w:hAnsi="Courier New" w:cs="Courier New" w:hint="default"/>
      </w:rPr>
    </w:lvl>
    <w:lvl w:ilvl="2" w:tplc="04150005" w:tentative="1">
      <w:start w:val="1"/>
      <w:numFmt w:val="bullet"/>
      <w:lvlText w:val=""/>
      <w:lvlJc w:val="left"/>
      <w:pPr>
        <w:ind w:left="2276" w:hanging="360"/>
      </w:pPr>
      <w:rPr>
        <w:rFonts w:ascii="Wingdings" w:hAnsi="Wingdings" w:hint="default"/>
      </w:rPr>
    </w:lvl>
    <w:lvl w:ilvl="3" w:tplc="04150001" w:tentative="1">
      <w:start w:val="1"/>
      <w:numFmt w:val="bullet"/>
      <w:lvlText w:val=""/>
      <w:lvlJc w:val="left"/>
      <w:pPr>
        <w:ind w:left="2996" w:hanging="360"/>
      </w:pPr>
      <w:rPr>
        <w:rFonts w:ascii="Symbol" w:hAnsi="Symbol" w:hint="default"/>
      </w:rPr>
    </w:lvl>
    <w:lvl w:ilvl="4" w:tplc="04150003" w:tentative="1">
      <w:start w:val="1"/>
      <w:numFmt w:val="bullet"/>
      <w:lvlText w:val="o"/>
      <w:lvlJc w:val="left"/>
      <w:pPr>
        <w:ind w:left="3716" w:hanging="360"/>
      </w:pPr>
      <w:rPr>
        <w:rFonts w:ascii="Courier New" w:hAnsi="Courier New" w:cs="Courier New" w:hint="default"/>
      </w:rPr>
    </w:lvl>
    <w:lvl w:ilvl="5" w:tplc="04150005" w:tentative="1">
      <w:start w:val="1"/>
      <w:numFmt w:val="bullet"/>
      <w:lvlText w:val=""/>
      <w:lvlJc w:val="left"/>
      <w:pPr>
        <w:ind w:left="4436" w:hanging="360"/>
      </w:pPr>
      <w:rPr>
        <w:rFonts w:ascii="Wingdings" w:hAnsi="Wingdings" w:hint="default"/>
      </w:rPr>
    </w:lvl>
    <w:lvl w:ilvl="6" w:tplc="04150001" w:tentative="1">
      <w:start w:val="1"/>
      <w:numFmt w:val="bullet"/>
      <w:lvlText w:val=""/>
      <w:lvlJc w:val="left"/>
      <w:pPr>
        <w:ind w:left="5156" w:hanging="360"/>
      </w:pPr>
      <w:rPr>
        <w:rFonts w:ascii="Symbol" w:hAnsi="Symbol" w:hint="default"/>
      </w:rPr>
    </w:lvl>
    <w:lvl w:ilvl="7" w:tplc="04150003" w:tentative="1">
      <w:start w:val="1"/>
      <w:numFmt w:val="bullet"/>
      <w:lvlText w:val="o"/>
      <w:lvlJc w:val="left"/>
      <w:pPr>
        <w:ind w:left="5876" w:hanging="360"/>
      </w:pPr>
      <w:rPr>
        <w:rFonts w:ascii="Courier New" w:hAnsi="Courier New" w:cs="Courier New" w:hint="default"/>
      </w:rPr>
    </w:lvl>
    <w:lvl w:ilvl="8" w:tplc="04150005" w:tentative="1">
      <w:start w:val="1"/>
      <w:numFmt w:val="bullet"/>
      <w:lvlText w:val=""/>
      <w:lvlJc w:val="left"/>
      <w:pPr>
        <w:ind w:left="6596" w:hanging="360"/>
      </w:pPr>
      <w:rPr>
        <w:rFonts w:ascii="Wingdings" w:hAnsi="Wingdings" w:hint="default"/>
      </w:rPr>
    </w:lvl>
  </w:abstractNum>
  <w:abstractNum w:abstractNumId="285" w15:restartNumberingAfterBreak="0">
    <w:nsid w:val="712D2BD8"/>
    <w:multiLevelType w:val="multilevel"/>
    <w:tmpl w:val="5854E9C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6" w15:restartNumberingAfterBreak="0">
    <w:nsid w:val="715D3BDD"/>
    <w:multiLevelType w:val="singleLevel"/>
    <w:tmpl w:val="93104732"/>
    <w:lvl w:ilvl="0">
      <w:start w:val="2"/>
      <w:numFmt w:val="decimal"/>
      <w:lvlText w:val="2.3.%1. "/>
      <w:legacy w:legacy="1" w:legacySpace="0" w:legacyIndent="283"/>
      <w:lvlJc w:val="left"/>
      <w:pPr>
        <w:ind w:left="283" w:hanging="283"/>
      </w:pPr>
      <w:rPr>
        <w:rFonts w:ascii="Times New Roman" w:hAnsi="Times New Roman" w:cs="Times New Roman" w:hint="default"/>
        <w:b/>
        <w:i w:val="0"/>
        <w:sz w:val="20"/>
        <w:u w:val="none"/>
      </w:rPr>
    </w:lvl>
  </w:abstractNum>
  <w:abstractNum w:abstractNumId="287" w15:restartNumberingAfterBreak="0">
    <w:nsid w:val="717143D2"/>
    <w:multiLevelType w:val="multilevel"/>
    <w:tmpl w:val="4A96CFE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8" w15:restartNumberingAfterBreak="0">
    <w:nsid w:val="717F6852"/>
    <w:multiLevelType w:val="singleLevel"/>
    <w:tmpl w:val="DAB4AD32"/>
    <w:lvl w:ilvl="0">
      <w:start w:val="1"/>
      <w:numFmt w:val="lowerLetter"/>
      <w:lvlText w:val="%1)"/>
      <w:legacy w:legacy="1" w:legacySpace="0" w:legacyIndent="283"/>
      <w:lvlJc w:val="left"/>
      <w:pPr>
        <w:ind w:left="283" w:hanging="283"/>
      </w:pPr>
    </w:lvl>
  </w:abstractNum>
  <w:abstractNum w:abstractNumId="289" w15:restartNumberingAfterBreak="0">
    <w:nsid w:val="7237662E"/>
    <w:multiLevelType w:val="singleLevel"/>
    <w:tmpl w:val="7DDA7BCC"/>
    <w:lvl w:ilvl="0">
      <w:start w:val="4"/>
      <w:numFmt w:val="decimal"/>
      <w:lvlText w:val="5.5.%1. "/>
      <w:legacy w:legacy="1" w:legacySpace="0" w:legacyIndent="283"/>
      <w:lvlJc w:val="left"/>
      <w:pPr>
        <w:ind w:left="283" w:hanging="283"/>
      </w:pPr>
      <w:rPr>
        <w:rFonts w:ascii="Times New Roman" w:hAnsi="Times New Roman" w:cs="Times New Roman" w:hint="default"/>
        <w:b/>
        <w:i w:val="0"/>
        <w:sz w:val="20"/>
        <w:u w:val="none"/>
      </w:rPr>
    </w:lvl>
  </w:abstractNum>
  <w:abstractNum w:abstractNumId="290" w15:restartNumberingAfterBreak="0">
    <w:nsid w:val="72CD7C22"/>
    <w:multiLevelType w:val="multilevel"/>
    <w:tmpl w:val="A848597E"/>
    <w:lvl w:ilvl="0">
      <w:start w:val="1"/>
      <w:numFmt w:val="decimal"/>
      <w:lvlText w:val="%1."/>
      <w:lvlJc w:val="left"/>
      <w:pPr>
        <w:ind w:left="360" w:hanging="360"/>
      </w:pPr>
    </w:lvl>
    <w:lvl w:ilvl="1">
      <w:start w:val="6"/>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Zero"/>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91" w15:restartNumberingAfterBreak="0">
    <w:nsid w:val="73735341"/>
    <w:multiLevelType w:val="singleLevel"/>
    <w:tmpl w:val="71F06816"/>
    <w:lvl w:ilvl="0">
      <w:start w:val="5"/>
      <w:numFmt w:val="decimal"/>
      <w:lvlText w:val="2.14.%1. "/>
      <w:legacy w:legacy="1" w:legacySpace="0" w:legacyIndent="283"/>
      <w:lvlJc w:val="left"/>
      <w:pPr>
        <w:ind w:left="283" w:hanging="283"/>
      </w:pPr>
      <w:rPr>
        <w:rFonts w:ascii="Times New Roman" w:hAnsi="Times New Roman" w:cs="Times New Roman" w:hint="default"/>
        <w:b/>
        <w:i w:val="0"/>
        <w:sz w:val="20"/>
        <w:u w:val="none"/>
      </w:rPr>
    </w:lvl>
  </w:abstractNum>
  <w:abstractNum w:abstractNumId="292" w15:restartNumberingAfterBreak="0">
    <w:nsid w:val="7408176D"/>
    <w:multiLevelType w:val="hybridMultilevel"/>
    <w:tmpl w:val="C484ACB4"/>
    <w:lvl w:ilvl="0" w:tplc="D5BC4B5C">
      <w:start w:val="1"/>
      <w:numFmt w:val="bullet"/>
      <w:lvlText w:val=""/>
      <w:lvlJc w:val="left"/>
      <w:pPr>
        <w:ind w:left="720" w:hanging="360"/>
      </w:pPr>
      <w:rPr>
        <w:rFonts w:ascii="Symbol" w:hAnsi="Symbol" w:hint="default"/>
      </w:rPr>
    </w:lvl>
    <w:lvl w:ilvl="1" w:tplc="67CA2BC6" w:tentative="1">
      <w:start w:val="1"/>
      <w:numFmt w:val="bullet"/>
      <w:lvlText w:val="o"/>
      <w:lvlJc w:val="left"/>
      <w:pPr>
        <w:ind w:left="1440" w:hanging="360"/>
      </w:pPr>
      <w:rPr>
        <w:rFonts w:ascii="Courier New" w:hAnsi="Courier New" w:cs="Courier New" w:hint="default"/>
      </w:rPr>
    </w:lvl>
    <w:lvl w:ilvl="2" w:tplc="AED012D4" w:tentative="1">
      <w:start w:val="1"/>
      <w:numFmt w:val="bullet"/>
      <w:lvlText w:val=""/>
      <w:lvlJc w:val="left"/>
      <w:pPr>
        <w:ind w:left="2160" w:hanging="360"/>
      </w:pPr>
      <w:rPr>
        <w:rFonts w:ascii="Wingdings" w:hAnsi="Wingdings" w:hint="default"/>
      </w:rPr>
    </w:lvl>
    <w:lvl w:ilvl="3" w:tplc="AC3619AC" w:tentative="1">
      <w:start w:val="1"/>
      <w:numFmt w:val="bullet"/>
      <w:lvlText w:val=""/>
      <w:lvlJc w:val="left"/>
      <w:pPr>
        <w:ind w:left="2880" w:hanging="360"/>
      </w:pPr>
      <w:rPr>
        <w:rFonts w:ascii="Symbol" w:hAnsi="Symbol" w:hint="default"/>
      </w:rPr>
    </w:lvl>
    <w:lvl w:ilvl="4" w:tplc="46082192" w:tentative="1">
      <w:start w:val="1"/>
      <w:numFmt w:val="bullet"/>
      <w:lvlText w:val="o"/>
      <w:lvlJc w:val="left"/>
      <w:pPr>
        <w:ind w:left="3600" w:hanging="360"/>
      </w:pPr>
      <w:rPr>
        <w:rFonts w:ascii="Courier New" w:hAnsi="Courier New" w:cs="Courier New" w:hint="default"/>
      </w:rPr>
    </w:lvl>
    <w:lvl w:ilvl="5" w:tplc="53BCA8B0" w:tentative="1">
      <w:start w:val="1"/>
      <w:numFmt w:val="bullet"/>
      <w:lvlText w:val=""/>
      <w:lvlJc w:val="left"/>
      <w:pPr>
        <w:ind w:left="4320" w:hanging="360"/>
      </w:pPr>
      <w:rPr>
        <w:rFonts w:ascii="Wingdings" w:hAnsi="Wingdings" w:hint="default"/>
      </w:rPr>
    </w:lvl>
    <w:lvl w:ilvl="6" w:tplc="157EC768" w:tentative="1">
      <w:start w:val="1"/>
      <w:numFmt w:val="bullet"/>
      <w:lvlText w:val=""/>
      <w:lvlJc w:val="left"/>
      <w:pPr>
        <w:ind w:left="5040" w:hanging="360"/>
      </w:pPr>
      <w:rPr>
        <w:rFonts w:ascii="Symbol" w:hAnsi="Symbol" w:hint="default"/>
      </w:rPr>
    </w:lvl>
    <w:lvl w:ilvl="7" w:tplc="559A4F88" w:tentative="1">
      <w:start w:val="1"/>
      <w:numFmt w:val="bullet"/>
      <w:lvlText w:val="o"/>
      <w:lvlJc w:val="left"/>
      <w:pPr>
        <w:ind w:left="5760" w:hanging="360"/>
      </w:pPr>
      <w:rPr>
        <w:rFonts w:ascii="Courier New" w:hAnsi="Courier New" w:cs="Courier New" w:hint="default"/>
      </w:rPr>
    </w:lvl>
    <w:lvl w:ilvl="8" w:tplc="AA867A76" w:tentative="1">
      <w:start w:val="1"/>
      <w:numFmt w:val="bullet"/>
      <w:lvlText w:val=""/>
      <w:lvlJc w:val="left"/>
      <w:pPr>
        <w:ind w:left="6480" w:hanging="360"/>
      </w:pPr>
      <w:rPr>
        <w:rFonts w:ascii="Wingdings" w:hAnsi="Wingdings" w:hint="default"/>
      </w:rPr>
    </w:lvl>
  </w:abstractNum>
  <w:abstractNum w:abstractNumId="293" w15:restartNumberingAfterBreak="0">
    <w:nsid w:val="75B56DAA"/>
    <w:multiLevelType w:val="hybridMultilevel"/>
    <w:tmpl w:val="BE82F37E"/>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4" w15:restartNumberingAfterBreak="0">
    <w:nsid w:val="75F623BD"/>
    <w:multiLevelType w:val="singleLevel"/>
    <w:tmpl w:val="39AE28F0"/>
    <w:lvl w:ilvl="0">
      <w:start w:val="1"/>
      <w:numFmt w:val="lowerLetter"/>
      <w:lvlText w:val="%1)"/>
      <w:legacy w:legacy="1" w:legacySpace="0" w:legacyIndent="283"/>
      <w:lvlJc w:val="left"/>
      <w:pPr>
        <w:ind w:left="283" w:hanging="283"/>
      </w:pPr>
    </w:lvl>
  </w:abstractNum>
  <w:abstractNum w:abstractNumId="295" w15:restartNumberingAfterBreak="0">
    <w:nsid w:val="77AA0E02"/>
    <w:multiLevelType w:val="hybridMultilevel"/>
    <w:tmpl w:val="41B080AC"/>
    <w:lvl w:ilvl="0" w:tplc="36DC2774">
      <w:start w:val="1"/>
      <w:numFmt w:val="bullet"/>
      <w:lvlText w:val="-"/>
      <w:lvlJc w:val="left"/>
      <w:pPr>
        <w:ind w:left="720" w:hanging="360"/>
      </w:pPr>
      <w:rPr>
        <w:rFonts w:ascii="Calibri" w:eastAsia="Verdana" w:hAnsi="Calibri" w:cs="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6" w15:restartNumberingAfterBreak="0">
    <w:nsid w:val="77EE3B08"/>
    <w:multiLevelType w:val="multilevel"/>
    <w:tmpl w:val="D4ECDF2E"/>
    <w:styleLink w:val="WW8Num9"/>
    <w:lvl w:ilvl="0">
      <w:start w:val="1"/>
      <w:numFmt w:val="lowerLetter"/>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97" w15:restartNumberingAfterBreak="0">
    <w:nsid w:val="77FD05B9"/>
    <w:multiLevelType w:val="singleLevel"/>
    <w:tmpl w:val="E8967304"/>
    <w:lvl w:ilvl="0">
      <w:start w:val="1"/>
      <w:numFmt w:val="lowerLetter"/>
      <w:lvlText w:val="%1)"/>
      <w:legacy w:legacy="1" w:legacySpace="0" w:legacyIndent="283"/>
      <w:lvlJc w:val="left"/>
      <w:pPr>
        <w:ind w:left="283" w:hanging="283"/>
      </w:pPr>
    </w:lvl>
  </w:abstractNum>
  <w:abstractNum w:abstractNumId="298" w15:restartNumberingAfterBreak="0">
    <w:nsid w:val="78C62924"/>
    <w:multiLevelType w:val="singleLevel"/>
    <w:tmpl w:val="E81883D2"/>
    <w:lvl w:ilvl="0">
      <w:start w:val="2"/>
      <w:numFmt w:val="decimal"/>
      <w:lvlText w:val="2.6.%1. "/>
      <w:legacy w:legacy="1" w:legacySpace="0" w:legacyIndent="283"/>
      <w:lvlJc w:val="left"/>
      <w:pPr>
        <w:ind w:left="283" w:hanging="283"/>
      </w:pPr>
      <w:rPr>
        <w:rFonts w:ascii="Times New Roman" w:hAnsi="Times New Roman" w:cs="Times New Roman" w:hint="default"/>
        <w:b/>
        <w:i w:val="0"/>
        <w:sz w:val="20"/>
        <w:u w:val="none"/>
      </w:rPr>
    </w:lvl>
  </w:abstractNum>
  <w:abstractNum w:abstractNumId="299" w15:restartNumberingAfterBreak="0">
    <w:nsid w:val="7A393938"/>
    <w:multiLevelType w:val="multilevel"/>
    <w:tmpl w:val="0415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00" w15:restartNumberingAfterBreak="0">
    <w:nsid w:val="7A82168F"/>
    <w:multiLevelType w:val="hybridMultilevel"/>
    <w:tmpl w:val="327C0E18"/>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1" w15:restartNumberingAfterBreak="0">
    <w:nsid w:val="7B565854"/>
    <w:multiLevelType w:val="hybridMultilevel"/>
    <w:tmpl w:val="BDBEA8A8"/>
    <w:lvl w:ilvl="0" w:tplc="14F2CF08">
      <w:start w:val="1"/>
      <w:numFmt w:val="bullet"/>
      <w:lvlText w:val=""/>
      <w:lvlJc w:val="left"/>
      <w:pPr>
        <w:ind w:left="720" w:hanging="360"/>
      </w:pPr>
      <w:rPr>
        <w:rFonts w:ascii="Symbol" w:hAnsi="Symbol" w:hint="default"/>
      </w:rPr>
    </w:lvl>
    <w:lvl w:ilvl="1" w:tplc="0D9EB688" w:tentative="1">
      <w:start w:val="1"/>
      <w:numFmt w:val="bullet"/>
      <w:lvlText w:val="o"/>
      <w:lvlJc w:val="left"/>
      <w:pPr>
        <w:ind w:left="1440" w:hanging="360"/>
      </w:pPr>
      <w:rPr>
        <w:rFonts w:ascii="Courier New" w:hAnsi="Courier New" w:cs="Courier New" w:hint="default"/>
      </w:rPr>
    </w:lvl>
    <w:lvl w:ilvl="2" w:tplc="ED602BEC" w:tentative="1">
      <w:start w:val="1"/>
      <w:numFmt w:val="bullet"/>
      <w:lvlText w:val=""/>
      <w:lvlJc w:val="left"/>
      <w:pPr>
        <w:ind w:left="2160" w:hanging="360"/>
      </w:pPr>
      <w:rPr>
        <w:rFonts w:ascii="Wingdings" w:hAnsi="Wingdings" w:hint="default"/>
      </w:rPr>
    </w:lvl>
    <w:lvl w:ilvl="3" w:tplc="8B3844B6" w:tentative="1">
      <w:start w:val="1"/>
      <w:numFmt w:val="bullet"/>
      <w:lvlText w:val=""/>
      <w:lvlJc w:val="left"/>
      <w:pPr>
        <w:ind w:left="2880" w:hanging="360"/>
      </w:pPr>
      <w:rPr>
        <w:rFonts w:ascii="Symbol" w:hAnsi="Symbol" w:hint="default"/>
      </w:rPr>
    </w:lvl>
    <w:lvl w:ilvl="4" w:tplc="7972690E" w:tentative="1">
      <w:start w:val="1"/>
      <w:numFmt w:val="bullet"/>
      <w:lvlText w:val="o"/>
      <w:lvlJc w:val="left"/>
      <w:pPr>
        <w:ind w:left="3600" w:hanging="360"/>
      </w:pPr>
      <w:rPr>
        <w:rFonts w:ascii="Courier New" w:hAnsi="Courier New" w:cs="Courier New" w:hint="default"/>
      </w:rPr>
    </w:lvl>
    <w:lvl w:ilvl="5" w:tplc="CFFED7F4" w:tentative="1">
      <w:start w:val="1"/>
      <w:numFmt w:val="bullet"/>
      <w:lvlText w:val=""/>
      <w:lvlJc w:val="left"/>
      <w:pPr>
        <w:ind w:left="4320" w:hanging="360"/>
      </w:pPr>
      <w:rPr>
        <w:rFonts w:ascii="Wingdings" w:hAnsi="Wingdings" w:hint="default"/>
      </w:rPr>
    </w:lvl>
    <w:lvl w:ilvl="6" w:tplc="46908A8A" w:tentative="1">
      <w:start w:val="1"/>
      <w:numFmt w:val="bullet"/>
      <w:lvlText w:val=""/>
      <w:lvlJc w:val="left"/>
      <w:pPr>
        <w:ind w:left="5040" w:hanging="360"/>
      </w:pPr>
      <w:rPr>
        <w:rFonts w:ascii="Symbol" w:hAnsi="Symbol" w:hint="default"/>
      </w:rPr>
    </w:lvl>
    <w:lvl w:ilvl="7" w:tplc="3022D234" w:tentative="1">
      <w:start w:val="1"/>
      <w:numFmt w:val="bullet"/>
      <w:lvlText w:val="o"/>
      <w:lvlJc w:val="left"/>
      <w:pPr>
        <w:ind w:left="5760" w:hanging="360"/>
      </w:pPr>
      <w:rPr>
        <w:rFonts w:ascii="Courier New" w:hAnsi="Courier New" w:cs="Courier New" w:hint="default"/>
      </w:rPr>
    </w:lvl>
    <w:lvl w:ilvl="8" w:tplc="C0680AE0" w:tentative="1">
      <w:start w:val="1"/>
      <w:numFmt w:val="bullet"/>
      <w:lvlText w:val=""/>
      <w:lvlJc w:val="left"/>
      <w:pPr>
        <w:ind w:left="6480" w:hanging="360"/>
      </w:pPr>
      <w:rPr>
        <w:rFonts w:ascii="Wingdings" w:hAnsi="Wingdings" w:hint="default"/>
      </w:rPr>
    </w:lvl>
  </w:abstractNum>
  <w:abstractNum w:abstractNumId="302" w15:restartNumberingAfterBreak="0">
    <w:nsid w:val="7B7209E5"/>
    <w:multiLevelType w:val="multilevel"/>
    <w:tmpl w:val="4A96CFE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3" w15:restartNumberingAfterBreak="0">
    <w:nsid w:val="7BA0095D"/>
    <w:multiLevelType w:val="singleLevel"/>
    <w:tmpl w:val="CEE0F88A"/>
    <w:lvl w:ilvl="0">
      <w:start w:val="1"/>
      <w:numFmt w:val="decimal"/>
      <w:lvlText w:val="2.4.%1. "/>
      <w:legacy w:legacy="1" w:legacySpace="0" w:legacyIndent="283"/>
      <w:lvlJc w:val="left"/>
      <w:pPr>
        <w:ind w:left="283" w:hanging="283"/>
      </w:pPr>
      <w:rPr>
        <w:rFonts w:ascii="Times New Roman" w:hAnsi="Times New Roman" w:cs="Times New Roman" w:hint="default"/>
        <w:b/>
        <w:i w:val="0"/>
        <w:sz w:val="20"/>
        <w:u w:val="none"/>
      </w:rPr>
    </w:lvl>
  </w:abstractNum>
  <w:abstractNum w:abstractNumId="304" w15:restartNumberingAfterBreak="0">
    <w:nsid w:val="7D0D3187"/>
    <w:multiLevelType w:val="hybridMultilevel"/>
    <w:tmpl w:val="A92A4B56"/>
    <w:lvl w:ilvl="0" w:tplc="25CEB730">
      <w:start w:val="1"/>
      <w:numFmt w:val="bullet"/>
      <w:lvlText w:val=""/>
      <w:lvlJc w:val="left"/>
      <w:pPr>
        <w:tabs>
          <w:tab w:val="num" w:pos="680"/>
        </w:tabs>
        <w:ind w:left="680" w:hanging="340"/>
      </w:pPr>
      <w:rPr>
        <w:rFonts w:ascii="Symbol" w:hAnsi="Symbol" w:hint="default"/>
        <w:color w:val="auto"/>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05" w15:restartNumberingAfterBreak="0">
    <w:nsid w:val="7D1155A7"/>
    <w:multiLevelType w:val="hybridMultilevel"/>
    <w:tmpl w:val="677219C2"/>
    <w:lvl w:ilvl="0" w:tplc="2F78876E">
      <w:start w:val="1"/>
      <w:numFmt w:val="bullet"/>
      <w:lvlText w:val="−"/>
      <w:lvlJc w:val="left"/>
      <w:pPr>
        <w:tabs>
          <w:tab w:val="num" w:pos="680"/>
        </w:tabs>
        <w:ind w:left="680" w:hanging="340"/>
      </w:pPr>
      <w:rPr>
        <w:rFonts w:ascii="Verdana" w:hAnsi="Verdana" w:cs="Verdana" w:hint="default"/>
      </w:rPr>
    </w:lvl>
    <w:lvl w:ilvl="1" w:tplc="2EFE33D6">
      <w:start w:val="1"/>
      <w:numFmt w:val="bullet"/>
      <w:lvlText w:val="o"/>
      <w:lvlJc w:val="left"/>
      <w:pPr>
        <w:tabs>
          <w:tab w:val="num" w:pos="1440"/>
        </w:tabs>
        <w:ind w:left="1440" w:hanging="360"/>
      </w:pPr>
      <w:rPr>
        <w:rFonts w:ascii="Courier New" w:hAnsi="Courier New" w:cs="Courier New" w:hint="default"/>
      </w:rPr>
    </w:lvl>
    <w:lvl w:ilvl="2" w:tplc="EF7AE42A">
      <w:start w:val="1"/>
      <w:numFmt w:val="bullet"/>
      <w:lvlText w:val=""/>
      <w:lvlJc w:val="left"/>
      <w:pPr>
        <w:tabs>
          <w:tab w:val="num" w:pos="2160"/>
        </w:tabs>
        <w:ind w:left="2160" w:hanging="360"/>
      </w:pPr>
      <w:rPr>
        <w:rFonts w:ascii="Wingdings" w:hAnsi="Wingdings" w:cs="Wingdings" w:hint="default"/>
      </w:rPr>
    </w:lvl>
    <w:lvl w:ilvl="3" w:tplc="E1B0D656">
      <w:start w:val="1"/>
      <w:numFmt w:val="bullet"/>
      <w:lvlText w:val=""/>
      <w:lvlJc w:val="left"/>
      <w:pPr>
        <w:tabs>
          <w:tab w:val="num" w:pos="2880"/>
        </w:tabs>
        <w:ind w:left="2880" w:hanging="360"/>
      </w:pPr>
      <w:rPr>
        <w:rFonts w:ascii="Symbol" w:hAnsi="Symbol" w:cs="Symbol" w:hint="default"/>
      </w:rPr>
    </w:lvl>
    <w:lvl w:ilvl="4" w:tplc="63DA41C8">
      <w:start w:val="1"/>
      <w:numFmt w:val="bullet"/>
      <w:lvlText w:val="o"/>
      <w:lvlJc w:val="left"/>
      <w:pPr>
        <w:tabs>
          <w:tab w:val="num" w:pos="3600"/>
        </w:tabs>
        <w:ind w:left="3600" w:hanging="360"/>
      </w:pPr>
      <w:rPr>
        <w:rFonts w:ascii="Courier New" w:hAnsi="Courier New" w:cs="Courier New" w:hint="default"/>
      </w:rPr>
    </w:lvl>
    <w:lvl w:ilvl="5" w:tplc="0290D072">
      <w:start w:val="1"/>
      <w:numFmt w:val="bullet"/>
      <w:lvlText w:val=""/>
      <w:lvlJc w:val="left"/>
      <w:pPr>
        <w:tabs>
          <w:tab w:val="num" w:pos="4320"/>
        </w:tabs>
        <w:ind w:left="4320" w:hanging="360"/>
      </w:pPr>
      <w:rPr>
        <w:rFonts w:ascii="Wingdings" w:hAnsi="Wingdings" w:cs="Wingdings" w:hint="default"/>
      </w:rPr>
    </w:lvl>
    <w:lvl w:ilvl="6" w:tplc="5BA67954">
      <w:start w:val="1"/>
      <w:numFmt w:val="bullet"/>
      <w:lvlText w:val=""/>
      <w:lvlJc w:val="left"/>
      <w:pPr>
        <w:tabs>
          <w:tab w:val="num" w:pos="5040"/>
        </w:tabs>
        <w:ind w:left="5040" w:hanging="360"/>
      </w:pPr>
      <w:rPr>
        <w:rFonts w:ascii="Symbol" w:hAnsi="Symbol" w:cs="Symbol" w:hint="default"/>
      </w:rPr>
    </w:lvl>
    <w:lvl w:ilvl="7" w:tplc="15AA73CC">
      <w:start w:val="1"/>
      <w:numFmt w:val="bullet"/>
      <w:lvlText w:val="o"/>
      <w:lvlJc w:val="left"/>
      <w:pPr>
        <w:tabs>
          <w:tab w:val="num" w:pos="5760"/>
        </w:tabs>
        <w:ind w:left="5760" w:hanging="360"/>
      </w:pPr>
      <w:rPr>
        <w:rFonts w:ascii="Courier New" w:hAnsi="Courier New" w:cs="Courier New" w:hint="default"/>
      </w:rPr>
    </w:lvl>
    <w:lvl w:ilvl="8" w:tplc="E13C5026">
      <w:start w:val="1"/>
      <w:numFmt w:val="bullet"/>
      <w:lvlText w:val=""/>
      <w:lvlJc w:val="left"/>
      <w:pPr>
        <w:tabs>
          <w:tab w:val="num" w:pos="6480"/>
        </w:tabs>
        <w:ind w:left="6480" w:hanging="360"/>
      </w:pPr>
      <w:rPr>
        <w:rFonts w:ascii="Wingdings" w:hAnsi="Wingdings" w:cs="Wingdings" w:hint="default"/>
      </w:rPr>
    </w:lvl>
  </w:abstractNum>
  <w:abstractNum w:abstractNumId="306" w15:restartNumberingAfterBreak="0">
    <w:nsid w:val="7DF87526"/>
    <w:multiLevelType w:val="multilevel"/>
    <w:tmpl w:val="4A96CFE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7" w15:restartNumberingAfterBreak="0">
    <w:nsid w:val="7EDF0852"/>
    <w:multiLevelType w:val="singleLevel"/>
    <w:tmpl w:val="A644EE74"/>
    <w:lvl w:ilvl="0">
      <w:start w:val="4"/>
      <w:numFmt w:val="decimal"/>
      <w:lvlText w:val="2.5.%1. "/>
      <w:legacy w:legacy="1" w:legacySpace="0" w:legacyIndent="283"/>
      <w:lvlJc w:val="left"/>
      <w:pPr>
        <w:ind w:left="283" w:hanging="283"/>
      </w:pPr>
      <w:rPr>
        <w:rFonts w:ascii="Times New Roman" w:hAnsi="Times New Roman" w:cs="Times New Roman" w:hint="default"/>
        <w:b/>
        <w:i w:val="0"/>
        <w:sz w:val="20"/>
        <w:u w:val="none"/>
      </w:rPr>
    </w:lvl>
  </w:abstractNum>
  <w:abstractNum w:abstractNumId="308" w15:restartNumberingAfterBreak="0">
    <w:nsid w:val="7FE835D0"/>
    <w:multiLevelType w:val="hybridMultilevel"/>
    <w:tmpl w:val="67B858C8"/>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258"/>
  </w:num>
  <w:num w:numId="2">
    <w:abstractNumId w:val="28"/>
  </w:num>
  <w:num w:numId="3">
    <w:abstractNumId w:val="57"/>
  </w:num>
  <w:num w:numId="4">
    <w:abstractNumId w:val="36"/>
  </w:num>
  <w:num w:numId="5">
    <w:abstractNumId w:val="207"/>
  </w:num>
  <w:num w:numId="6">
    <w:abstractNumId w:val="288"/>
  </w:num>
  <w:num w:numId="7">
    <w:abstractNumId w:val="175"/>
  </w:num>
  <w:num w:numId="8">
    <w:abstractNumId w:val="70"/>
  </w:num>
  <w:num w:numId="9">
    <w:abstractNumId w:val="168"/>
  </w:num>
  <w:num w:numId="10">
    <w:abstractNumId w:val="226"/>
  </w:num>
  <w:num w:numId="11">
    <w:abstractNumId w:val="256"/>
  </w:num>
  <w:num w:numId="12">
    <w:abstractNumId w:val="242"/>
  </w:num>
  <w:num w:numId="13">
    <w:abstractNumId w:val="82"/>
  </w:num>
  <w:num w:numId="14">
    <w:abstractNumId w:val="270"/>
  </w:num>
  <w:num w:numId="15">
    <w:abstractNumId w:val="244"/>
  </w:num>
  <w:num w:numId="16">
    <w:abstractNumId w:val="261"/>
  </w:num>
  <w:num w:numId="17">
    <w:abstractNumId w:val="305"/>
  </w:num>
  <w:num w:numId="18">
    <w:abstractNumId w:val="46"/>
  </w:num>
  <w:num w:numId="19">
    <w:abstractNumId w:val="266"/>
  </w:num>
  <w:num w:numId="20">
    <w:abstractNumId w:val="297"/>
  </w:num>
  <w:num w:numId="21">
    <w:abstractNumId w:val="147"/>
  </w:num>
  <w:num w:numId="22">
    <w:abstractNumId w:val="112"/>
  </w:num>
  <w:num w:numId="23">
    <w:abstractNumId w:val="294"/>
  </w:num>
  <w:num w:numId="24">
    <w:abstractNumId w:val="241"/>
  </w:num>
  <w:num w:numId="25">
    <w:abstractNumId w:val="218"/>
  </w:num>
  <w:num w:numId="26">
    <w:abstractNumId w:val="145"/>
  </w:num>
  <w:num w:numId="27">
    <w:abstractNumId w:val="4"/>
  </w:num>
  <w:num w:numId="28">
    <w:abstractNumId w:val="6"/>
  </w:num>
  <w:num w:numId="29">
    <w:abstractNumId w:val="8"/>
  </w:num>
  <w:num w:numId="30">
    <w:abstractNumId w:val="14"/>
  </w:num>
  <w:num w:numId="31">
    <w:abstractNumId w:val="20"/>
  </w:num>
  <w:num w:numId="32">
    <w:abstractNumId w:val="21"/>
  </w:num>
  <w:num w:numId="33">
    <w:abstractNumId w:val="138"/>
  </w:num>
  <w:num w:numId="34">
    <w:abstractNumId w:val="93"/>
  </w:num>
  <w:num w:numId="35">
    <w:abstractNumId w:val="1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73"/>
  </w:num>
  <w:num w:numId="38">
    <w:abstractNumId w:val="86"/>
    <w:lvlOverride w:ilvl="0">
      <w:lvl w:ilvl="0">
        <w:start w:val="1"/>
        <w:numFmt w:val="decimal"/>
        <w:lvlText w:val="%1."/>
        <w:lvlJc w:val="left"/>
        <w:pPr>
          <w:ind w:left="360" w:hanging="360"/>
        </w:pPr>
        <w:rPr>
          <w:b w:val="0"/>
          <w:bCs/>
        </w:rPr>
      </w:lvl>
    </w:lvlOverride>
  </w:num>
  <w:num w:numId="39">
    <w:abstractNumId w:val="122"/>
  </w:num>
  <w:num w:numId="40">
    <w:abstractNumId w:val="167"/>
    <w:lvlOverride w:ilvl="0">
      <w:lvl w:ilvl="0">
        <w:start w:val="1"/>
        <w:numFmt w:val="decimal"/>
        <w:lvlText w:val="%1."/>
        <w:lvlJc w:val="left"/>
        <w:pPr>
          <w:tabs>
            <w:tab w:val="num" w:pos="360"/>
          </w:tabs>
          <w:ind w:left="360" w:hanging="360"/>
        </w:pPr>
        <w:rPr>
          <w:rFonts w:asciiTheme="minorHAnsi" w:hAnsiTheme="minorHAnsi" w:cstheme="minorHAnsi" w:hint="default"/>
          <w:b w:val="0"/>
          <w:bCs/>
          <w:sz w:val="20"/>
          <w:szCs w:val="20"/>
        </w:rPr>
      </w:lvl>
    </w:lvlOverride>
  </w:num>
  <w:num w:numId="41">
    <w:abstractNumId w:val="173"/>
  </w:num>
  <w:num w:numId="42">
    <w:abstractNumId w:val="228"/>
  </w:num>
  <w:num w:numId="43">
    <w:abstractNumId w:val="299"/>
  </w:num>
  <w:num w:numId="44">
    <w:abstractNumId w:val="200"/>
  </w:num>
  <w:num w:numId="45">
    <w:abstractNumId w:val="257"/>
  </w:num>
  <w:num w:numId="46">
    <w:abstractNumId w:val="233"/>
  </w:num>
  <w:num w:numId="47">
    <w:abstractNumId w:val="251"/>
  </w:num>
  <w:num w:numId="48">
    <w:abstractNumId w:val="143"/>
  </w:num>
  <w:num w:numId="49">
    <w:abstractNumId w:val="187"/>
  </w:num>
  <w:num w:numId="50">
    <w:abstractNumId w:val="94"/>
  </w:num>
  <w:num w:numId="51">
    <w:abstractNumId w:val="159"/>
  </w:num>
  <w:num w:numId="52">
    <w:abstractNumId w:val="52"/>
  </w:num>
  <w:num w:numId="53">
    <w:abstractNumId w:val="125"/>
  </w:num>
  <w:num w:numId="54">
    <w:abstractNumId w:val="47"/>
  </w:num>
  <w:num w:numId="55">
    <w:abstractNumId w:val="169"/>
  </w:num>
  <w:num w:numId="56">
    <w:abstractNumId w:val="32"/>
  </w:num>
  <w:num w:numId="57">
    <w:abstractNumId w:val="217"/>
  </w:num>
  <w:num w:numId="58">
    <w:abstractNumId w:val="201"/>
  </w:num>
  <w:num w:numId="59">
    <w:abstractNumId w:val="114"/>
  </w:num>
  <w:num w:numId="60">
    <w:abstractNumId w:val="3"/>
    <w:lvlOverride w:ilvl="0">
      <w:lvl w:ilvl="0">
        <w:start w:val="1"/>
        <w:numFmt w:val="bullet"/>
        <w:lvlText w:val=""/>
        <w:legacy w:legacy="1" w:legacySpace="0" w:legacyIndent="283"/>
        <w:lvlJc w:val="left"/>
        <w:pPr>
          <w:ind w:left="284" w:hanging="283"/>
        </w:pPr>
        <w:rPr>
          <w:rFonts w:ascii="Symbol" w:hAnsi="Symbol" w:hint="default"/>
          <w:sz w:val="20"/>
        </w:rPr>
      </w:lvl>
    </w:lvlOverride>
  </w:num>
  <w:num w:numId="61">
    <w:abstractNumId w:val="238"/>
  </w:num>
  <w:num w:numId="62">
    <w:abstractNumId w:val="203"/>
  </w:num>
  <w:num w:numId="63">
    <w:abstractNumId w:val="275"/>
  </w:num>
  <w:num w:numId="64">
    <w:abstractNumId w:val="206"/>
  </w:num>
  <w:num w:numId="65">
    <w:abstractNumId w:val="219"/>
  </w:num>
  <w:num w:numId="66">
    <w:abstractNumId w:val="236"/>
  </w:num>
  <w:num w:numId="67">
    <w:abstractNumId w:val="180"/>
  </w:num>
  <w:num w:numId="68">
    <w:abstractNumId w:val="131"/>
  </w:num>
  <w:num w:numId="69">
    <w:abstractNumId w:val="290"/>
  </w:num>
  <w:num w:numId="70">
    <w:abstractNumId w:val="215"/>
  </w:num>
  <w:num w:numId="71">
    <w:abstractNumId w:val="210"/>
  </w:num>
  <w:num w:numId="72">
    <w:abstractNumId w:val="117"/>
  </w:num>
  <w:num w:numId="73">
    <w:abstractNumId w:val="253"/>
  </w:num>
  <w:num w:numId="74">
    <w:abstractNumId w:val="67"/>
  </w:num>
  <w:num w:numId="75">
    <w:abstractNumId w:val="35"/>
  </w:num>
  <w:num w:numId="76">
    <w:abstractNumId w:val="221"/>
  </w:num>
  <w:num w:numId="77">
    <w:abstractNumId w:val="115"/>
  </w:num>
  <w:num w:numId="78">
    <w:abstractNumId w:val="178"/>
  </w:num>
  <w:num w:numId="79">
    <w:abstractNumId w:val="303"/>
  </w:num>
  <w:num w:numId="80">
    <w:abstractNumId w:val="105"/>
  </w:num>
  <w:num w:numId="81">
    <w:abstractNumId w:val="135"/>
  </w:num>
  <w:num w:numId="82">
    <w:abstractNumId w:val="27"/>
  </w:num>
  <w:num w:numId="83">
    <w:abstractNumId w:val="188"/>
  </w:num>
  <w:num w:numId="84">
    <w:abstractNumId w:val="74"/>
  </w:num>
  <w:num w:numId="85">
    <w:abstractNumId w:val="232"/>
  </w:num>
  <w:num w:numId="86">
    <w:abstractNumId w:val="172"/>
  </w:num>
  <w:num w:numId="87">
    <w:abstractNumId w:val="148"/>
  </w:num>
  <w:num w:numId="88">
    <w:abstractNumId w:val="197"/>
  </w:num>
  <w:num w:numId="89">
    <w:abstractNumId w:val="163"/>
  </w:num>
  <w:num w:numId="90">
    <w:abstractNumId w:val="307"/>
  </w:num>
  <w:num w:numId="91">
    <w:abstractNumId w:val="144"/>
  </w:num>
  <w:num w:numId="92">
    <w:abstractNumId w:val="81"/>
  </w:num>
  <w:num w:numId="93">
    <w:abstractNumId w:val="85"/>
  </w:num>
  <w:num w:numId="94">
    <w:abstractNumId w:val="45"/>
  </w:num>
  <w:num w:numId="95">
    <w:abstractNumId w:val="41"/>
  </w:num>
  <w:num w:numId="96">
    <w:abstractNumId w:val="298"/>
  </w:num>
  <w:num w:numId="97">
    <w:abstractNumId w:val="150"/>
  </w:num>
  <w:num w:numId="98">
    <w:abstractNumId w:val="277"/>
  </w:num>
  <w:num w:numId="99">
    <w:abstractNumId w:val="183"/>
  </w:num>
  <w:num w:numId="100">
    <w:abstractNumId w:val="225"/>
  </w:num>
  <w:num w:numId="101">
    <w:abstractNumId w:val="216"/>
  </w:num>
  <w:num w:numId="102">
    <w:abstractNumId w:val="76"/>
  </w:num>
  <w:num w:numId="103">
    <w:abstractNumId w:val="291"/>
  </w:num>
  <w:num w:numId="104">
    <w:abstractNumId w:val="166"/>
  </w:num>
  <w:num w:numId="105">
    <w:abstractNumId w:val="38"/>
  </w:num>
  <w:num w:numId="106">
    <w:abstractNumId w:val="63"/>
  </w:num>
  <w:num w:numId="107">
    <w:abstractNumId w:val="88"/>
  </w:num>
  <w:num w:numId="108">
    <w:abstractNumId w:val="191"/>
  </w:num>
  <w:num w:numId="109">
    <w:abstractNumId w:val="274"/>
  </w:num>
  <w:num w:numId="110">
    <w:abstractNumId w:val="190"/>
  </w:num>
  <w:num w:numId="111">
    <w:abstractNumId w:val="289"/>
  </w:num>
  <w:num w:numId="112">
    <w:abstractNumId w:val="281"/>
  </w:num>
  <w:num w:numId="113">
    <w:abstractNumId w:val="165"/>
  </w:num>
  <w:num w:numId="114">
    <w:abstractNumId w:val="260"/>
  </w:num>
  <w:num w:numId="115">
    <w:abstractNumId w:val="91"/>
  </w:num>
  <w:num w:numId="116">
    <w:abstractNumId w:val="123"/>
  </w:num>
  <w:num w:numId="117">
    <w:abstractNumId w:val="179"/>
  </w:num>
  <w:num w:numId="118">
    <w:abstractNumId w:val="154"/>
  </w:num>
  <w:num w:numId="119">
    <w:abstractNumId w:val="26"/>
  </w:num>
  <w:num w:numId="120">
    <w:abstractNumId w:val="53"/>
  </w:num>
  <w:num w:numId="121">
    <w:abstractNumId w:val="227"/>
  </w:num>
  <w:num w:numId="122">
    <w:abstractNumId w:val="209"/>
  </w:num>
  <w:num w:numId="123">
    <w:abstractNumId w:val="101"/>
  </w:num>
  <w:num w:numId="124">
    <w:abstractNumId w:val="142"/>
  </w:num>
  <w:num w:numId="125">
    <w:abstractNumId w:val="174"/>
  </w:num>
  <w:num w:numId="126">
    <w:abstractNumId w:val="77"/>
  </w:num>
  <w:num w:numId="127">
    <w:abstractNumId w:val="234"/>
  </w:num>
  <w:num w:numId="128">
    <w:abstractNumId w:val="182"/>
  </w:num>
  <w:num w:numId="129">
    <w:abstractNumId w:val="132"/>
  </w:num>
  <w:num w:numId="130">
    <w:abstractNumId w:val="69"/>
  </w:num>
  <w:num w:numId="131">
    <w:abstractNumId w:val="140"/>
  </w:num>
  <w:num w:numId="132">
    <w:abstractNumId w:val="259"/>
  </w:num>
  <w:num w:numId="133">
    <w:abstractNumId w:val="286"/>
  </w:num>
  <w:num w:numId="134">
    <w:abstractNumId w:val="262"/>
  </w:num>
  <w:num w:numId="135">
    <w:abstractNumId w:val="110"/>
  </w:num>
  <w:num w:numId="136">
    <w:abstractNumId w:val="58"/>
  </w:num>
  <w:num w:numId="137">
    <w:abstractNumId w:val="223"/>
  </w:num>
  <w:num w:numId="138">
    <w:abstractNumId w:val="271"/>
  </w:num>
  <w:num w:numId="139">
    <w:abstractNumId w:val="240"/>
  </w:num>
  <w:num w:numId="140">
    <w:abstractNumId w:val="222"/>
  </w:num>
  <w:num w:numId="141">
    <w:abstractNumId w:val="39"/>
  </w:num>
  <w:num w:numId="142">
    <w:abstractNumId w:val="107"/>
  </w:num>
  <w:num w:numId="143">
    <w:abstractNumId w:val="164"/>
  </w:num>
  <w:num w:numId="144">
    <w:abstractNumId w:val="149"/>
  </w:num>
  <w:num w:numId="145">
    <w:abstractNumId w:val="3"/>
    <w:lvlOverride w:ilvl="0">
      <w:lvl w:ilvl="0">
        <w:start w:val="1"/>
        <w:numFmt w:val="bullet"/>
        <w:lvlText w:val=""/>
        <w:legacy w:legacy="1" w:legacySpace="0" w:legacyIndent="283"/>
        <w:lvlJc w:val="left"/>
        <w:pPr>
          <w:ind w:left="850" w:hanging="283"/>
        </w:pPr>
        <w:rPr>
          <w:rFonts w:ascii="Symbol" w:hAnsi="Symbol" w:hint="default"/>
          <w:b w:val="0"/>
          <w:i w:val="0"/>
          <w:u w:val="none"/>
        </w:rPr>
      </w:lvl>
    </w:lvlOverride>
  </w:num>
  <w:num w:numId="146">
    <w:abstractNumId w:val="248"/>
  </w:num>
  <w:num w:numId="147">
    <w:abstractNumId w:val="247"/>
  </w:num>
  <w:num w:numId="148">
    <w:abstractNumId w:val="249"/>
  </w:num>
  <w:num w:numId="149">
    <w:abstractNumId w:val="194"/>
  </w:num>
  <w:num w:numId="150">
    <w:abstractNumId w:val="130"/>
  </w:num>
  <w:num w:numId="151">
    <w:abstractNumId w:val="30"/>
  </w:num>
  <w:num w:numId="152">
    <w:abstractNumId w:val="267"/>
  </w:num>
  <w:num w:numId="153">
    <w:abstractNumId w:val="246"/>
  </w:num>
  <w:num w:numId="154">
    <w:abstractNumId w:val="99"/>
  </w:num>
  <w:num w:numId="155">
    <w:abstractNumId w:val="239"/>
  </w:num>
  <w:num w:numId="156">
    <w:abstractNumId w:val="141"/>
  </w:num>
  <w:num w:numId="157">
    <w:abstractNumId w:val="102"/>
  </w:num>
  <w:num w:numId="158">
    <w:abstractNumId w:val="1"/>
  </w:num>
  <w:num w:numId="159">
    <w:abstractNumId w:val="2"/>
  </w:num>
  <w:num w:numId="160">
    <w:abstractNumId w:val="0"/>
  </w:num>
  <w:num w:numId="161">
    <w:abstractNumId w:val="66"/>
  </w:num>
  <w:num w:numId="162">
    <w:abstractNumId w:val="193"/>
  </w:num>
  <w:num w:numId="163">
    <w:abstractNumId w:val="255"/>
  </w:num>
  <w:num w:numId="164">
    <w:abstractNumId w:val="75"/>
  </w:num>
  <w:num w:numId="165">
    <w:abstractNumId w:val="250"/>
  </w:num>
  <w:num w:numId="166">
    <w:abstractNumId w:val="64"/>
  </w:num>
  <w:num w:numId="167">
    <w:abstractNumId w:val="301"/>
  </w:num>
  <w:num w:numId="168">
    <w:abstractNumId w:val="278"/>
  </w:num>
  <w:num w:numId="169">
    <w:abstractNumId w:val="42"/>
  </w:num>
  <w:num w:numId="170">
    <w:abstractNumId w:val="292"/>
  </w:num>
  <w:num w:numId="171">
    <w:abstractNumId w:val="100"/>
  </w:num>
  <w:num w:numId="172">
    <w:abstractNumId w:val="60"/>
  </w:num>
  <w:num w:numId="173">
    <w:abstractNumId w:val="195"/>
  </w:num>
  <w:num w:numId="174">
    <w:abstractNumId w:val="189"/>
  </w:num>
  <w:num w:numId="175">
    <w:abstractNumId w:val="31"/>
  </w:num>
  <w:num w:numId="176">
    <w:abstractNumId w:val="40"/>
  </w:num>
  <w:num w:numId="177">
    <w:abstractNumId w:val="211"/>
  </w:num>
  <w:num w:numId="178">
    <w:abstractNumId w:val="95"/>
  </w:num>
  <w:num w:numId="179">
    <w:abstractNumId w:val="199"/>
  </w:num>
  <w:num w:numId="180">
    <w:abstractNumId w:val="254"/>
  </w:num>
  <w:num w:numId="181">
    <w:abstractNumId w:val="205"/>
  </w:num>
  <w:num w:numId="182">
    <w:abstractNumId w:val="61"/>
  </w:num>
  <w:num w:numId="183">
    <w:abstractNumId w:val="304"/>
  </w:num>
  <w:num w:numId="184">
    <w:abstractNumId w:val="224"/>
  </w:num>
  <w:num w:numId="185">
    <w:abstractNumId w:val="237"/>
  </w:num>
  <w:num w:numId="186">
    <w:abstractNumId w:val="3"/>
    <w:lvlOverride w:ilvl="0">
      <w:lvl w:ilvl="0">
        <w:start w:val="1"/>
        <w:numFmt w:val="bullet"/>
        <w:lvlText w:val=""/>
        <w:legacy w:legacy="1" w:legacySpace="0" w:legacyIndent="283"/>
        <w:lvlJc w:val="left"/>
        <w:pPr>
          <w:ind w:left="283" w:hanging="283"/>
        </w:pPr>
        <w:rPr>
          <w:rFonts w:ascii="Symbol" w:hAnsi="Symbol" w:hint="default"/>
          <w:color w:val="auto"/>
        </w:rPr>
      </w:lvl>
    </w:lvlOverride>
  </w:num>
  <w:num w:numId="187">
    <w:abstractNumId w:val="65"/>
  </w:num>
  <w:num w:numId="188">
    <w:abstractNumId w:val="79"/>
  </w:num>
  <w:num w:numId="189">
    <w:abstractNumId w:val="84"/>
  </w:num>
  <w:num w:numId="190">
    <w:abstractNumId w:val="127"/>
  </w:num>
  <w:num w:numId="191">
    <w:abstractNumId w:val="137"/>
  </w:num>
  <w:num w:numId="192">
    <w:abstractNumId w:val="146"/>
  </w:num>
  <w:num w:numId="193">
    <w:abstractNumId w:val="202"/>
  </w:num>
  <w:num w:numId="194">
    <w:abstractNumId w:val="276"/>
  </w:num>
  <w:num w:numId="195">
    <w:abstractNumId w:val="296"/>
  </w:num>
  <w:num w:numId="196">
    <w:abstractNumId w:val="2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7">
    <w:abstractNumId w:val="2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8">
    <w:abstractNumId w:val="2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9">
    <w:abstractNumId w:val="2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0">
    <w:abstractNumId w:val="2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1">
    <w:abstractNumId w:val="2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2">
    <w:abstractNumId w:val="220"/>
  </w:num>
  <w:num w:numId="203">
    <w:abstractNumId w:val="208"/>
  </w:num>
  <w:num w:numId="204">
    <w:abstractNumId w:val="55"/>
  </w:num>
  <w:num w:numId="205">
    <w:abstractNumId w:val="98"/>
  </w:num>
  <w:num w:numId="206">
    <w:abstractNumId w:val="108"/>
  </w:num>
  <w:num w:numId="207">
    <w:abstractNumId w:val="235"/>
  </w:num>
  <w:num w:numId="208">
    <w:abstractNumId w:val="280"/>
  </w:num>
  <w:num w:numId="209">
    <w:abstractNumId w:val="119"/>
  </w:num>
  <w:num w:numId="210">
    <w:abstractNumId w:val="80"/>
  </w:num>
  <w:num w:numId="211">
    <w:abstractNumId w:val="49"/>
  </w:num>
  <w:num w:numId="212">
    <w:abstractNumId w:val="170"/>
  </w:num>
  <w:num w:numId="213">
    <w:abstractNumId w:val="156"/>
  </w:num>
  <w:num w:numId="214">
    <w:abstractNumId w:val="160"/>
  </w:num>
  <w:num w:numId="215">
    <w:abstractNumId w:val="86"/>
  </w:num>
  <w:num w:numId="216">
    <w:abstractNumId w:val="167"/>
  </w:num>
  <w:num w:numId="217">
    <w:abstractNumId w:val="198"/>
    <w:lvlOverride w:ilvl="0">
      <w:startOverride w:val="1"/>
    </w:lvlOverride>
  </w:num>
  <w:num w:numId="218">
    <w:abstractNumId w:val="171"/>
  </w:num>
  <w:num w:numId="219">
    <w:abstractNumId w:val="264"/>
  </w:num>
  <w:num w:numId="220">
    <w:abstractNumId w:val="54"/>
    <w:lvlOverride w:ilvl="0">
      <w:startOverride w:val="1"/>
    </w:lvlOverride>
  </w:num>
  <w:num w:numId="221">
    <w:abstractNumId w:val="268"/>
    <w:lvlOverride w:ilvl="0">
      <w:startOverride w:val="1"/>
    </w:lvlOverride>
  </w:num>
  <w:num w:numId="222">
    <w:abstractNumId w:val="3"/>
    <w:lvlOverride w:ilvl="0">
      <w:lvl w:ilvl="0">
        <w:numFmt w:val="decimal"/>
        <w:lvlText w:val=""/>
        <w:legacy w:legacy="1" w:legacySpace="0" w:legacyIndent="283"/>
        <w:lvlJc w:val="left"/>
        <w:pPr>
          <w:ind w:left="283" w:hanging="283"/>
        </w:pPr>
        <w:rPr>
          <w:rFonts w:ascii="Symbol" w:hAnsi="Symbol" w:hint="default"/>
        </w:rPr>
      </w:lvl>
    </w:lvlOverride>
  </w:num>
  <w:num w:numId="223">
    <w:abstractNumId w:val="37"/>
    <w:lvlOverride w:ilvl="0">
      <w:startOverride w:val="1"/>
    </w:lvlOverride>
  </w:num>
  <w:num w:numId="224">
    <w:abstractNumId w:val="24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5">
    <w:abstractNumId w:val="282"/>
  </w:num>
  <w:num w:numId="226">
    <w:abstractNumId w:val="297"/>
    <w:lvlOverride w:ilvl="0">
      <w:startOverride w:val="1"/>
    </w:lvlOverride>
  </w:num>
  <w:num w:numId="227">
    <w:abstractNumId w:val="252"/>
  </w:num>
  <w:num w:numId="228">
    <w:abstractNumId w:val="106"/>
  </w:num>
  <w:num w:numId="229">
    <w:abstractNumId w:val="3"/>
    <w:lvlOverride w:ilvl="0">
      <w:lvl w:ilvl="0">
        <w:start w:val="1"/>
        <w:numFmt w:val="bullet"/>
        <w:lvlText w:val=""/>
        <w:legacy w:legacy="1" w:legacySpace="0" w:legacyIndent="283"/>
        <w:lvlJc w:val="left"/>
        <w:pPr>
          <w:ind w:left="283" w:hanging="283"/>
        </w:pPr>
        <w:rPr>
          <w:rFonts w:ascii="Symbol" w:hAnsi="Symbol" w:hint="default"/>
          <w:color w:val="auto"/>
        </w:rPr>
      </w:lvl>
    </w:lvlOverride>
  </w:num>
  <w:num w:numId="230">
    <w:abstractNumId w:val="3"/>
    <w:lvlOverride w:ilvl="0">
      <w:lvl w:ilvl="0">
        <w:start w:val="1"/>
        <w:numFmt w:val="bullet"/>
        <w:lvlText w:val="-"/>
        <w:legacy w:legacy="1" w:legacySpace="0" w:legacyIndent="283"/>
        <w:lvlJc w:val="left"/>
        <w:rPr>
          <w:rFonts w:ascii="Bookman Old Style" w:hAnsi="Bookman Old Style" w:hint="default"/>
          <w:sz w:val="24"/>
        </w:rPr>
      </w:lvl>
    </w:lvlOverride>
  </w:num>
  <w:num w:numId="231">
    <w:abstractNumId w:val="25"/>
  </w:num>
  <w:num w:numId="232">
    <w:abstractNumId w:val="29"/>
  </w:num>
  <w:num w:numId="233">
    <w:abstractNumId w:val="181"/>
  </w:num>
  <w:num w:numId="234">
    <w:abstractNumId w:val="152"/>
  </w:num>
  <w:num w:numId="235">
    <w:abstractNumId w:val="3"/>
    <w:lvlOverride w:ilvl="0">
      <w:lvl w:ilvl="0">
        <w:start w:val="1"/>
        <w:numFmt w:val="bullet"/>
        <w:lvlText w:val=""/>
        <w:legacy w:legacy="1" w:legacySpace="0" w:legacyIndent="283"/>
        <w:lvlJc w:val="left"/>
        <w:pPr>
          <w:ind w:left="567" w:hanging="283"/>
        </w:pPr>
        <w:rPr>
          <w:rFonts w:ascii="Symbol" w:hAnsi="Symbol" w:hint="default"/>
          <w:color w:val="auto"/>
        </w:rPr>
      </w:lvl>
    </w:lvlOverride>
  </w:num>
  <w:num w:numId="236">
    <w:abstractNumId w:val="213"/>
  </w:num>
  <w:num w:numId="237">
    <w:abstractNumId w:val="139"/>
  </w:num>
  <w:num w:numId="238">
    <w:abstractNumId w:val="92"/>
  </w:num>
  <w:num w:numId="239">
    <w:abstractNumId w:val="155"/>
  </w:num>
  <w:num w:numId="240">
    <w:abstractNumId w:val="133"/>
  </w:num>
  <w:num w:numId="241">
    <w:abstractNumId w:val="287"/>
  </w:num>
  <w:num w:numId="242">
    <w:abstractNumId w:val="136"/>
  </w:num>
  <w:num w:numId="243">
    <w:abstractNumId w:val="50"/>
  </w:num>
  <w:num w:numId="244">
    <w:abstractNumId w:val="129"/>
  </w:num>
  <w:num w:numId="245">
    <w:abstractNumId w:val="34"/>
  </w:num>
  <w:num w:numId="246">
    <w:abstractNumId w:val="196"/>
  </w:num>
  <w:num w:numId="247">
    <w:abstractNumId w:val="184"/>
  </w:num>
  <w:num w:numId="248">
    <w:abstractNumId w:val="103"/>
  </w:num>
  <w:num w:numId="249">
    <w:abstractNumId w:val="284"/>
  </w:num>
  <w:num w:numId="250">
    <w:abstractNumId w:val="231"/>
  </w:num>
  <w:num w:numId="251">
    <w:abstractNumId w:val="62"/>
  </w:num>
  <w:num w:numId="252">
    <w:abstractNumId w:val="3"/>
    <w:lvlOverride w:ilvl="0">
      <w:lvl w:ilvl="0">
        <w:start w:val="1"/>
        <w:numFmt w:val="bullet"/>
        <w:lvlText w:val=""/>
        <w:legacy w:legacy="1" w:legacySpace="0" w:legacyIndent="283"/>
        <w:lvlJc w:val="left"/>
        <w:pPr>
          <w:ind w:left="283" w:hanging="283"/>
        </w:pPr>
        <w:rPr>
          <w:rFonts w:ascii="Symbol" w:hAnsi="Symbol" w:cs="Symbol" w:hint="default"/>
        </w:rPr>
      </w:lvl>
    </w:lvlOverride>
  </w:num>
  <w:num w:numId="253">
    <w:abstractNumId w:val="90"/>
  </w:num>
  <w:num w:numId="254">
    <w:abstractNumId w:val="265"/>
  </w:num>
  <w:num w:numId="255">
    <w:abstractNumId w:val="44"/>
  </w:num>
  <w:num w:numId="256">
    <w:abstractNumId w:val="3"/>
    <w:lvlOverride w:ilvl="0">
      <w:lvl w:ilvl="0">
        <w:start w:val="2"/>
        <w:numFmt w:val="bullet"/>
        <w:lvlText w:val="-"/>
        <w:legacy w:legacy="1" w:legacySpace="0" w:legacyIndent="360"/>
        <w:lvlJc w:val="left"/>
        <w:pPr>
          <w:ind w:left="360" w:hanging="360"/>
        </w:pPr>
      </w:lvl>
    </w:lvlOverride>
  </w:num>
  <w:num w:numId="257">
    <w:abstractNumId w:val="83"/>
  </w:num>
  <w:num w:numId="258">
    <w:abstractNumId w:val="78"/>
  </w:num>
  <w:num w:numId="259">
    <w:abstractNumId w:val="177"/>
  </w:num>
  <w:num w:numId="260">
    <w:abstractNumId w:val="118"/>
  </w:num>
  <w:num w:numId="261">
    <w:abstractNumId w:val="204"/>
  </w:num>
  <w:num w:numId="262">
    <w:abstractNumId w:val="59"/>
  </w:num>
  <w:num w:numId="263">
    <w:abstractNumId w:val="43"/>
  </w:num>
  <w:num w:numId="264">
    <w:abstractNumId w:val="157"/>
  </w:num>
  <w:num w:numId="265">
    <w:abstractNumId w:val="229"/>
  </w:num>
  <w:num w:numId="266">
    <w:abstractNumId w:val="245"/>
  </w:num>
  <w:num w:numId="267">
    <w:abstractNumId w:val="306"/>
  </w:num>
  <w:num w:numId="268">
    <w:abstractNumId w:val="116"/>
  </w:num>
  <w:num w:numId="269">
    <w:abstractNumId w:val="302"/>
  </w:num>
  <w:num w:numId="270">
    <w:abstractNumId w:val="68"/>
  </w:num>
  <w:num w:numId="271">
    <w:abstractNumId w:val="51"/>
  </w:num>
  <w:num w:numId="272">
    <w:abstractNumId w:val="243"/>
  </w:num>
  <w:num w:numId="273">
    <w:abstractNumId w:val="162"/>
  </w:num>
  <w:num w:numId="274">
    <w:abstractNumId w:val="263"/>
  </w:num>
  <w:num w:numId="275">
    <w:abstractNumId w:val="230"/>
  </w:num>
  <w:num w:numId="276">
    <w:abstractNumId w:val="212"/>
  </w:num>
  <w:num w:numId="277">
    <w:abstractNumId w:val="126"/>
  </w:num>
  <w:num w:numId="278">
    <w:abstractNumId w:val="72"/>
  </w:num>
  <w:num w:numId="279">
    <w:abstractNumId w:val="48"/>
  </w:num>
  <w:num w:numId="280">
    <w:abstractNumId w:val="134"/>
  </w:num>
  <w:num w:numId="281">
    <w:abstractNumId w:val="104"/>
  </w:num>
  <w:num w:numId="282">
    <w:abstractNumId w:val="192"/>
  </w:num>
  <w:num w:numId="283">
    <w:abstractNumId w:val="186"/>
  </w:num>
  <w:num w:numId="284">
    <w:abstractNumId w:val="109"/>
  </w:num>
  <w:num w:numId="285">
    <w:abstractNumId w:val="89"/>
  </w:num>
  <w:num w:numId="286">
    <w:abstractNumId w:val="272"/>
  </w:num>
  <w:num w:numId="287">
    <w:abstractNumId w:val="295"/>
  </w:num>
  <w:num w:numId="288">
    <w:abstractNumId w:val="120"/>
  </w:num>
  <w:num w:numId="289">
    <w:abstractNumId w:val="273"/>
  </w:num>
  <w:num w:numId="290">
    <w:abstractNumId w:val="283"/>
  </w:num>
  <w:num w:numId="291">
    <w:abstractNumId w:val="111"/>
  </w:num>
  <w:num w:numId="292">
    <w:abstractNumId w:val="214"/>
  </w:num>
  <w:num w:numId="293">
    <w:abstractNumId w:val="161"/>
  </w:num>
  <w:num w:numId="294">
    <w:abstractNumId w:val="71"/>
  </w:num>
  <w:num w:numId="295">
    <w:abstractNumId w:val="56"/>
  </w:num>
  <w:num w:numId="296">
    <w:abstractNumId w:val="158"/>
  </w:num>
  <w:num w:numId="297">
    <w:abstractNumId w:val="113"/>
  </w:num>
  <w:num w:numId="298">
    <w:abstractNumId w:val="185"/>
  </w:num>
  <w:num w:numId="299">
    <w:abstractNumId w:val="97"/>
  </w:num>
  <w:num w:numId="300">
    <w:abstractNumId w:val="96"/>
  </w:num>
  <w:num w:numId="301">
    <w:abstractNumId w:val="269"/>
  </w:num>
  <w:num w:numId="302">
    <w:abstractNumId w:val="300"/>
  </w:num>
  <w:num w:numId="303">
    <w:abstractNumId w:val="153"/>
  </w:num>
  <w:num w:numId="304">
    <w:abstractNumId w:val="293"/>
  </w:num>
  <w:num w:numId="305">
    <w:abstractNumId w:val="279"/>
  </w:num>
  <w:num w:numId="306">
    <w:abstractNumId w:val="308"/>
  </w:num>
  <w:num w:numId="307">
    <w:abstractNumId w:val="128"/>
  </w:num>
  <w:num w:numId="308">
    <w:abstractNumId w:val="33"/>
  </w:num>
  <w:num w:numId="309">
    <w:abstractNumId w:val="87"/>
  </w:num>
  <w:num w:numId="310">
    <w:abstractNumId w:val="151"/>
  </w:num>
  <w:num w:numId="311">
    <w:abstractNumId w:val="121"/>
  </w:num>
  <w:numIdMacAtCleanup w:val="3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defaultTabStop w:val="708"/>
  <w:hyphenationZone w:val="425"/>
  <w:doNotHyphenateCaps/>
  <w:drawingGridHorizontalSpacing w:val="100"/>
  <w:displayHorizontalDrawingGridEvery w:val="2"/>
  <w:characterSpacingControl w:val="doNotCompress"/>
  <w:doNotValidateAgainstSchema/>
  <w:doNotDemarcateInvalidXml/>
  <w:hdrShapeDefaults>
    <o:shapedefaults v:ext="edit" spidmax="2058"/>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252F"/>
    <w:rsid w:val="00001C5B"/>
    <w:rsid w:val="00001DFB"/>
    <w:rsid w:val="0000288B"/>
    <w:rsid w:val="000056A4"/>
    <w:rsid w:val="00006CB8"/>
    <w:rsid w:val="00006E7A"/>
    <w:rsid w:val="00007699"/>
    <w:rsid w:val="00011802"/>
    <w:rsid w:val="00012A18"/>
    <w:rsid w:val="000206AE"/>
    <w:rsid w:val="000206F0"/>
    <w:rsid w:val="00023D55"/>
    <w:rsid w:val="000321EA"/>
    <w:rsid w:val="00033FE9"/>
    <w:rsid w:val="00034196"/>
    <w:rsid w:val="000365BF"/>
    <w:rsid w:val="00036E9F"/>
    <w:rsid w:val="00036F24"/>
    <w:rsid w:val="00037EC5"/>
    <w:rsid w:val="00043CB3"/>
    <w:rsid w:val="00047438"/>
    <w:rsid w:val="00050786"/>
    <w:rsid w:val="00052679"/>
    <w:rsid w:val="000529EE"/>
    <w:rsid w:val="00052F76"/>
    <w:rsid w:val="00055576"/>
    <w:rsid w:val="0005619A"/>
    <w:rsid w:val="000578BC"/>
    <w:rsid w:val="0006285B"/>
    <w:rsid w:val="00063E13"/>
    <w:rsid w:val="00064027"/>
    <w:rsid w:val="00067D67"/>
    <w:rsid w:val="0007063D"/>
    <w:rsid w:val="0007186C"/>
    <w:rsid w:val="000722B3"/>
    <w:rsid w:val="00072859"/>
    <w:rsid w:val="00072F26"/>
    <w:rsid w:val="00074BAA"/>
    <w:rsid w:val="00080A6F"/>
    <w:rsid w:val="00081036"/>
    <w:rsid w:val="00085304"/>
    <w:rsid w:val="0008692D"/>
    <w:rsid w:val="00087DD9"/>
    <w:rsid w:val="00090036"/>
    <w:rsid w:val="000907B8"/>
    <w:rsid w:val="00090C5D"/>
    <w:rsid w:val="000918A4"/>
    <w:rsid w:val="0009297D"/>
    <w:rsid w:val="000942B3"/>
    <w:rsid w:val="000949D2"/>
    <w:rsid w:val="00094CC9"/>
    <w:rsid w:val="00096D69"/>
    <w:rsid w:val="00096E52"/>
    <w:rsid w:val="000979D7"/>
    <w:rsid w:val="000A0CCC"/>
    <w:rsid w:val="000A178F"/>
    <w:rsid w:val="000A197E"/>
    <w:rsid w:val="000A2D5C"/>
    <w:rsid w:val="000A33DF"/>
    <w:rsid w:val="000A5281"/>
    <w:rsid w:val="000B1D44"/>
    <w:rsid w:val="000B3523"/>
    <w:rsid w:val="000B4B66"/>
    <w:rsid w:val="000B4FFD"/>
    <w:rsid w:val="000B68E4"/>
    <w:rsid w:val="000C1266"/>
    <w:rsid w:val="000C2AF5"/>
    <w:rsid w:val="000C3B8C"/>
    <w:rsid w:val="000C4188"/>
    <w:rsid w:val="000C4A61"/>
    <w:rsid w:val="000C4ECC"/>
    <w:rsid w:val="000C5833"/>
    <w:rsid w:val="000D3A4E"/>
    <w:rsid w:val="000D3DAE"/>
    <w:rsid w:val="000D454F"/>
    <w:rsid w:val="000E0C9C"/>
    <w:rsid w:val="000E4935"/>
    <w:rsid w:val="000F27E5"/>
    <w:rsid w:val="000F3D8A"/>
    <w:rsid w:val="000F51A4"/>
    <w:rsid w:val="000F5E12"/>
    <w:rsid w:val="000F69A3"/>
    <w:rsid w:val="000F6D8C"/>
    <w:rsid w:val="00104F25"/>
    <w:rsid w:val="0010598A"/>
    <w:rsid w:val="00106232"/>
    <w:rsid w:val="00106863"/>
    <w:rsid w:val="0010688F"/>
    <w:rsid w:val="00112094"/>
    <w:rsid w:val="00112A94"/>
    <w:rsid w:val="00113681"/>
    <w:rsid w:val="0011555D"/>
    <w:rsid w:val="0011664B"/>
    <w:rsid w:val="00117D8E"/>
    <w:rsid w:val="00122642"/>
    <w:rsid w:val="00123FA7"/>
    <w:rsid w:val="00124CD3"/>
    <w:rsid w:val="00125E13"/>
    <w:rsid w:val="0012610C"/>
    <w:rsid w:val="001303EA"/>
    <w:rsid w:val="0013294F"/>
    <w:rsid w:val="0013384A"/>
    <w:rsid w:val="00133A5F"/>
    <w:rsid w:val="0013429D"/>
    <w:rsid w:val="00134FD7"/>
    <w:rsid w:val="00141DC0"/>
    <w:rsid w:val="0014305E"/>
    <w:rsid w:val="001437C4"/>
    <w:rsid w:val="0014595D"/>
    <w:rsid w:val="00152344"/>
    <w:rsid w:val="00152A60"/>
    <w:rsid w:val="00152CE7"/>
    <w:rsid w:val="00153DB8"/>
    <w:rsid w:val="0015445B"/>
    <w:rsid w:val="00154842"/>
    <w:rsid w:val="001627F1"/>
    <w:rsid w:val="0016367B"/>
    <w:rsid w:val="001668D5"/>
    <w:rsid w:val="00166CFF"/>
    <w:rsid w:val="001709B6"/>
    <w:rsid w:val="00174116"/>
    <w:rsid w:val="001743F1"/>
    <w:rsid w:val="00174F9C"/>
    <w:rsid w:val="001753D8"/>
    <w:rsid w:val="00176FF9"/>
    <w:rsid w:val="00177B65"/>
    <w:rsid w:val="001838D6"/>
    <w:rsid w:val="00184474"/>
    <w:rsid w:val="00186004"/>
    <w:rsid w:val="00193128"/>
    <w:rsid w:val="001A1A9C"/>
    <w:rsid w:val="001A577E"/>
    <w:rsid w:val="001A6BFD"/>
    <w:rsid w:val="001A6E03"/>
    <w:rsid w:val="001A73F7"/>
    <w:rsid w:val="001B1603"/>
    <w:rsid w:val="001B1BC9"/>
    <w:rsid w:val="001B2911"/>
    <w:rsid w:val="001B32FB"/>
    <w:rsid w:val="001B57EB"/>
    <w:rsid w:val="001B7CD4"/>
    <w:rsid w:val="001C00B9"/>
    <w:rsid w:val="001C01D3"/>
    <w:rsid w:val="001C13E5"/>
    <w:rsid w:val="001C2347"/>
    <w:rsid w:val="001C2400"/>
    <w:rsid w:val="001C3845"/>
    <w:rsid w:val="001C619E"/>
    <w:rsid w:val="001D229B"/>
    <w:rsid w:val="001D5A40"/>
    <w:rsid w:val="001D5DC4"/>
    <w:rsid w:val="001D66CB"/>
    <w:rsid w:val="001E1969"/>
    <w:rsid w:val="001E223E"/>
    <w:rsid w:val="001E2EEB"/>
    <w:rsid w:val="001E3F22"/>
    <w:rsid w:val="001E5142"/>
    <w:rsid w:val="001E5164"/>
    <w:rsid w:val="001E5FB3"/>
    <w:rsid w:val="001E6467"/>
    <w:rsid w:val="001E6B33"/>
    <w:rsid w:val="001F28AF"/>
    <w:rsid w:val="001F2B7E"/>
    <w:rsid w:val="001F37F9"/>
    <w:rsid w:val="001F4416"/>
    <w:rsid w:val="001F4860"/>
    <w:rsid w:val="00203191"/>
    <w:rsid w:val="00204723"/>
    <w:rsid w:val="0020535D"/>
    <w:rsid w:val="002058EE"/>
    <w:rsid w:val="00205C8C"/>
    <w:rsid w:val="002065B4"/>
    <w:rsid w:val="00207E89"/>
    <w:rsid w:val="00210876"/>
    <w:rsid w:val="00212A67"/>
    <w:rsid w:val="002146B0"/>
    <w:rsid w:val="00215ACF"/>
    <w:rsid w:val="00217CAE"/>
    <w:rsid w:val="00221844"/>
    <w:rsid w:val="0022369F"/>
    <w:rsid w:val="00225404"/>
    <w:rsid w:val="0022541F"/>
    <w:rsid w:val="00225B63"/>
    <w:rsid w:val="00226F64"/>
    <w:rsid w:val="00232306"/>
    <w:rsid w:val="00232367"/>
    <w:rsid w:val="00232415"/>
    <w:rsid w:val="00232D06"/>
    <w:rsid w:val="00234278"/>
    <w:rsid w:val="00236601"/>
    <w:rsid w:val="002373ED"/>
    <w:rsid w:val="00245626"/>
    <w:rsid w:val="00252F31"/>
    <w:rsid w:val="00256565"/>
    <w:rsid w:val="00256824"/>
    <w:rsid w:val="00256B75"/>
    <w:rsid w:val="002575A4"/>
    <w:rsid w:val="00262498"/>
    <w:rsid w:val="00263D48"/>
    <w:rsid w:val="002644A5"/>
    <w:rsid w:val="00264CCE"/>
    <w:rsid w:val="002650A9"/>
    <w:rsid w:val="00265361"/>
    <w:rsid w:val="00275CF9"/>
    <w:rsid w:val="0027600A"/>
    <w:rsid w:val="00276293"/>
    <w:rsid w:val="00276E4C"/>
    <w:rsid w:val="00277F58"/>
    <w:rsid w:val="002860DC"/>
    <w:rsid w:val="00290835"/>
    <w:rsid w:val="002913BF"/>
    <w:rsid w:val="00294174"/>
    <w:rsid w:val="002968C8"/>
    <w:rsid w:val="00297F8F"/>
    <w:rsid w:val="002A0F06"/>
    <w:rsid w:val="002A5FB6"/>
    <w:rsid w:val="002B0263"/>
    <w:rsid w:val="002B1C7B"/>
    <w:rsid w:val="002B23C9"/>
    <w:rsid w:val="002B3541"/>
    <w:rsid w:val="002B473F"/>
    <w:rsid w:val="002B68AD"/>
    <w:rsid w:val="002B7EB3"/>
    <w:rsid w:val="002C0C4D"/>
    <w:rsid w:val="002C213F"/>
    <w:rsid w:val="002C3E37"/>
    <w:rsid w:val="002C3E97"/>
    <w:rsid w:val="002C47DC"/>
    <w:rsid w:val="002C7369"/>
    <w:rsid w:val="002C7A40"/>
    <w:rsid w:val="002D29A0"/>
    <w:rsid w:val="002D2D83"/>
    <w:rsid w:val="002D4C3A"/>
    <w:rsid w:val="002E0334"/>
    <w:rsid w:val="002E0704"/>
    <w:rsid w:val="002E174A"/>
    <w:rsid w:val="002E195E"/>
    <w:rsid w:val="002E76CE"/>
    <w:rsid w:val="002F49CA"/>
    <w:rsid w:val="002F6525"/>
    <w:rsid w:val="00300120"/>
    <w:rsid w:val="003001F5"/>
    <w:rsid w:val="00304636"/>
    <w:rsid w:val="0030488E"/>
    <w:rsid w:val="00305402"/>
    <w:rsid w:val="00305547"/>
    <w:rsid w:val="00306330"/>
    <w:rsid w:val="003065D7"/>
    <w:rsid w:val="0030712B"/>
    <w:rsid w:val="00307E20"/>
    <w:rsid w:val="003105B4"/>
    <w:rsid w:val="0031388F"/>
    <w:rsid w:val="003167FD"/>
    <w:rsid w:val="00324179"/>
    <w:rsid w:val="00324F08"/>
    <w:rsid w:val="00325910"/>
    <w:rsid w:val="00327255"/>
    <w:rsid w:val="00327501"/>
    <w:rsid w:val="00333449"/>
    <w:rsid w:val="003349DE"/>
    <w:rsid w:val="00335849"/>
    <w:rsid w:val="00341DA3"/>
    <w:rsid w:val="0034278A"/>
    <w:rsid w:val="00342E80"/>
    <w:rsid w:val="0034538C"/>
    <w:rsid w:val="00345A05"/>
    <w:rsid w:val="00346E50"/>
    <w:rsid w:val="00347BF1"/>
    <w:rsid w:val="00347DCB"/>
    <w:rsid w:val="00350F62"/>
    <w:rsid w:val="00353527"/>
    <w:rsid w:val="00353956"/>
    <w:rsid w:val="003559CC"/>
    <w:rsid w:val="00357D2A"/>
    <w:rsid w:val="00364231"/>
    <w:rsid w:val="00364E4D"/>
    <w:rsid w:val="003674C7"/>
    <w:rsid w:val="003712A1"/>
    <w:rsid w:val="00372507"/>
    <w:rsid w:val="00372788"/>
    <w:rsid w:val="003739A4"/>
    <w:rsid w:val="003755F8"/>
    <w:rsid w:val="00375F64"/>
    <w:rsid w:val="00376BD5"/>
    <w:rsid w:val="00377A3A"/>
    <w:rsid w:val="00385BF5"/>
    <w:rsid w:val="00390433"/>
    <w:rsid w:val="003938EC"/>
    <w:rsid w:val="003A22A9"/>
    <w:rsid w:val="003A3157"/>
    <w:rsid w:val="003A6DAE"/>
    <w:rsid w:val="003B1461"/>
    <w:rsid w:val="003B234D"/>
    <w:rsid w:val="003B29FB"/>
    <w:rsid w:val="003B2F6E"/>
    <w:rsid w:val="003B42AA"/>
    <w:rsid w:val="003B784A"/>
    <w:rsid w:val="003B7A1D"/>
    <w:rsid w:val="003C1EDA"/>
    <w:rsid w:val="003C450B"/>
    <w:rsid w:val="003C628C"/>
    <w:rsid w:val="003D0CFF"/>
    <w:rsid w:val="003D1D4D"/>
    <w:rsid w:val="003D2906"/>
    <w:rsid w:val="003D2B5F"/>
    <w:rsid w:val="003D37A3"/>
    <w:rsid w:val="003D707D"/>
    <w:rsid w:val="003D7BD8"/>
    <w:rsid w:val="003D7EA5"/>
    <w:rsid w:val="003E320E"/>
    <w:rsid w:val="003E6EAA"/>
    <w:rsid w:val="003F0298"/>
    <w:rsid w:val="003F0805"/>
    <w:rsid w:val="003F1BE3"/>
    <w:rsid w:val="003F25D8"/>
    <w:rsid w:val="003F4D3B"/>
    <w:rsid w:val="003F7242"/>
    <w:rsid w:val="004009B1"/>
    <w:rsid w:val="00401327"/>
    <w:rsid w:val="004064E2"/>
    <w:rsid w:val="00413511"/>
    <w:rsid w:val="0041388D"/>
    <w:rsid w:val="00414440"/>
    <w:rsid w:val="00415AC8"/>
    <w:rsid w:val="00415CD5"/>
    <w:rsid w:val="00417D2D"/>
    <w:rsid w:val="00420CA1"/>
    <w:rsid w:val="00424692"/>
    <w:rsid w:val="00425543"/>
    <w:rsid w:val="004270B2"/>
    <w:rsid w:val="00431146"/>
    <w:rsid w:val="004358D5"/>
    <w:rsid w:val="00437883"/>
    <w:rsid w:val="004378C4"/>
    <w:rsid w:val="0044266C"/>
    <w:rsid w:val="00443C57"/>
    <w:rsid w:val="00444566"/>
    <w:rsid w:val="004454FF"/>
    <w:rsid w:val="0044554B"/>
    <w:rsid w:val="00445809"/>
    <w:rsid w:val="00446FC2"/>
    <w:rsid w:val="00450252"/>
    <w:rsid w:val="00450F51"/>
    <w:rsid w:val="00452B98"/>
    <w:rsid w:val="00453199"/>
    <w:rsid w:val="004568BB"/>
    <w:rsid w:val="00462241"/>
    <w:rsid w:val="00463A41"/>
    <w:rsid w:val="00463AD7"/>
    <w:rsid w:val="00464527"/>
    <w:rsid w:val="00465DD5"/>
    <w:rsid w:val="00472BF9"/>
    <w:rsid w:val="00473740"/>
    <w:rsid w:val="00475D18"/>
    <w:rsid w:val="00476810"/>
    <w:rsid w:val="00477DD6"/>
    <w:rsid w:val="00477E56"/>
    <w:rsid w:val="00480FAB"/>
    <w:rsid w:val="00482057"/>
    <w:rsid w:val="004822F0"/>
    <w:rsid w:val="004842B6"/>
    <w:rsid w:val="00484DC6"/>
    <w:rsid w:val="00492980"/>
    <w:rsid w:val="00492E7D"/>
    <w:rsid w:val="004949E4"/>
    <w:rsid w:val="00495DB6"/>
    <w:rsid w:val="00496D16"/>
    <w:rsid w:val="00496EA6"/>
    <w:rsid w:val="00497556"/>
    <w:rsid w:val="00497694"/>
    <w:rsid w:val="004A147F"/>
    <w:rsid w:val="004A22A0"/>
    <w:rsid w:val="004A35DA"/>
    <w:rsid w:val="004A491C"/>
    <w:rsid w:val="004A7E6C"/>
    <w:rsid w:val="004B0C8B"/>
    <w:rsid w:val="004B53C6"/>
    <w:rsid w:val="004B718C"/>
    <w:rsid w:val="004C0376"/>
    <w:rsid w:val="004C2C02"/>
    <w:rsid w:val="004C52C9"/>
    <w:rsid w:val="004D20B7"/>
    <w:rsid w:val="004D2317"/>
    <w:rsid w:val="004D5430"/>
    <w:rsid w:val="004E4CE8"/>
    <w:rsid w:val="004E5D0B"/>
    <w:rsid w:val="004F0AF0"/>
    <w:rsid w:val="004F111B"/>
    <w:rsid w:val="004F22F4"/>
    <w:rsid w:val="004F38F8"/>
    <w:rsid w:val="0050007F"/>
    <w:rsid w:val="0050050A"/>
    <w:rsid w:val="005010F8"/>
    <w:rsid w:val="00501244"/>
    <w:rsid w:val="0050186B"/>
    <w:rsid w:val="00502D10"/>
    <w:rsid w:val="00506838"/>
    <w:rsid w:val="005073B8"/>
    <w:rsid w:val="00512452"/>
    <w:rsid w:val="00512DC0"/>
    <w:rsid w:val="00514B7D"/>
    <w:rsid w:val="0051504A"/>
    <w:rsid w:val="00515CF7"/>
    <w:rsid w:val="005167F2"/>
    <w:rsid w:val="00517324"/>
    <w:rsid w:val="005236EC"/>
    <w:rsid w:val="00523702"/>
    <w:rsid w:val="00526993"/>
    <w:rsid w:val="005271F6"/>
    <w:rsid w:val="00532FE4"/>
    <w:rsid w:val="0054079A"/>
    <w:rsid w:val="00543884"/>
    <w:rsid w:val="00543CC3"/>
    <w:rsid w:val="00546DB0"/>
    <w:rsid w:val="005509FF"/>
    <w:rsid w:val="00552189"/>
    <w:rsid w:val="00556CB2"/>
    <w:rsid w:val="00557CCE"/>
    <w:rsid w:val="00557D60"/>
    <w:rsid w:val="005601F8"/>
    <w:rsid w:val="00560BA2"/>
    <w:rsid w:val="00561420"/>
    <w:rsid w:val="00563531"/>
    <w:rsid w:val="00563B52"/>
    <w:rsid w:val="0056753C"/>
    <w:rsid w:val="005704EE"/>
    <w:rsid w:val="005708BD"/>
    <w:rsid w:val="00570DE6"/>
    <w:rsid w:val="0057111B"/>
    <w:rsid w:val="00572338"/>
    <w:rsid w:val="005740E6"/>
    <w:rsid w:val="00575C66"/>
    <w:rsid w:val="00575F3F"/>
    <w:rsid w:val="00577B07"/>
    <w:rsid w:val="005810C8"/>
    <w:rsid w:val="00581699"/>
    <w:rsid w:val="00581B82"/>
    <w:rsid w:val="00583261"/>
    <w:rsid w:val="005841C2"/>
    <w:rsid w:val="00587FCD"/>
    <w:rsid w:val="00594DBC"/>
    <w:rsid w:val="005956F7"/>
    <w:rsid w:val="005A3701"/>
    <w:rsid w:val="005A4A7B"/>
    <w:rsid w:val="005A593C"/>
    <w:rsid w:val="005A5A57"/>
    <w:rsid w:val="005A6511"/>
    <w:rsid w:val="005A66B4"/>
    <w:rsid w:val="005B0313"/>
    <w:rsid w:val="005B0A92"/>
    <w:rsid w:val="005B1F0F"/>
    <w:rsid w:val="005B437C"/>
    <w:rsid w:val="005B50BC"/>
    <w:rsid w:val="005B55A2"/>
    <w:rsid w:val="005B5997"/>
    <w:rsid w:val="005B7708"/>
    <w:rsid w:val="005B77BC"/>
    <w:rsid w:val="005C2848"/>
    <w:rsid w:val="005C45EE"/>
    <w:rsid w:val="005C530B"/>
    <w:rsid w:val="005C61EC"/>
    <w:rsid w:val="005C78A2"/>
    <w:rsid w:val="005D3326"/>
    <w:rsid w:val="005D4CF9"/>
    <w:rsid w:val="005D5FF9"/>
    <w:rsid w:val="005D6869"/>
    <w:rsid w:val="005E0A24"/>
    <w:rsid w:val="005E42AA"/>
    <w:rsid w:val="005E605F"/>
    <w:rsid w:val="005E6E33"/>
    <w:rsid w:val="005E7D27"/>
    <w:rsid w:val="005F3654"/>
    <w:rsid w:val="005F3C19"/>
    <w:rsid w:val="005F5F5F"/>
    <w:rsid w:val="005F7F5D"/>
    <w:rsid w:val="006016BD"/>
    <w:rsid w:val="006023D9"/>
    <w:rsid w:val="00607F36"/>
    <w:rsid w:val="00615B10"/>
    <w:rsid w:val="006175BD"/>
    <w:rsid w:val="006200A9"/>
    <w:rsid w:val="00621CB7"/>
    <w:rsid w:val="006237D9"/>
    <w:rsid w:val="006248C2"/>
    <w:rsid w:val="00630B0E"/>
    <w:rsid w:val="00632403"/>
    <w:rsid w:val="0063381D"/>
    <w:rsid w:val="00633F7C"/>
    <w:rsid w:val="0063470B"/>
    <w:rsid w:val="006436A9"/>
    <w:rsid w:val="006448AC"/>
    <w:rsid w:val="006472BC"/>
    <w:rsid w:val="00647A05"/>
    <w:rsid w:val="0065218D"/>
    <w:rsid w:val="006521C0"/>
    <w:rsid w:val="00652D48"/>
    <w:rsid w:val="00654A93"/>
    <w:rsid w:val="00656AC1"/>
    <w:rsid w:val="006645C8"/>
    <w:rsid w:val="00664E38"/>
    <w:rsid w:val="00666709"/>
    <w:rsid w:val="00667189"/>
    <w:rsid w:val="006707A0"/>
    <w:rsid w:val="006707CE"/>
    <w:rsid w:val="00671BD5"/>
    <w:rsid w:val="006725E8"/>
    <w:rsid w:val="006736A8"/>
    <w:rsid w:val="006745F2"/>
    <w:rsid w:val="00675EF2"/>
    <w:rsid w:val="00677482"/>
    <w:rsid w:val="006821AB"/>
    <w:rsid w:val="006832DB"/>
    <w:rsid w:val="0068583F"/>
    <w:rsid w:val="0068652C"/>
    <w:rsid w:val="00687002"/>
    <w:rsid w:val="006870C6"/>
    <w:rsid w:val="0069022D"/>
    <w:rsid w:val="0069405F"/>
    <w:rsid w:val="006947FD"/>
    <w:rsid w:val="00695476"/>
    <w:rsid w:val="00696AEF"/>
    <w:rsid w:val="006970FA"/>
    <w:rsid w:val="006A182D"/>
    <w:rsid w:val="006A1D89"/>
    <w:rsid w:val="006A3351"/>
    <w:rsid w:val="006A69AC"/>
    <w:rsid w:val="006B0387"/>
    <w:rsid w:val="006B208C"/>
    <w:rsid w:val="006B2298"/>
    <w:rsid w:val="006B50D4"/>
    <w:rsid w:val="006C099F"/>
    <w:rsid w:val="006C10B8"/>
    <w:rsid w:val="006C1921"/>
    <w:rsid w:val="006C1E0D"/>
    <w:rsid w:val="006C3E3C"/>
    <w:rsid w:val="006C5AAF"/>
    <w:rsid w:val="006C693E"/>
    <w:rsid w:val="006D0CA9"/>
    <w:rsid w:val="006D0EB8"/>
    <w:rsid w:val="006D1C54"/>
    <w:rsid w:val="006D2DE7"/>
    <w:rsid w:val="006D5108"/>
    <w:rsid w:val="006D62B5"/>
    <w:rsid w:val="006D6590"/>
    <w:rsid w:val="006E21E0"/>
    <w:rsid w:val="006E386C"/>
    <w:rsid w:val="006E600A"/>
    <w:rsid w:val="006F3316"/>
    <w:rsid w:val="006F3646"/>
    <w:rsid w:val="006F408E"/>
    <w:rsid w:val="006F4655"/>
    <w:rsid w:val="006F4B9D"/>
    <w:rsid w:val="006F67F6"/>
    <w:rsid w:val="006F7A4C"/>
    <w:rsid w:val="007039A1"/>
    <w:rsid w:val="007063D4"/>
    <w:rsid w:val="0071233E"/>
    <w:rsid w:val="0071250D"/>
    <w:rsid w:val="007130F0"/>
    <w:rsid w:val="00716C08"/>
    <w:rsid w:val="00717A76"/>
    <w:rsid w:val="0072177F"/>
    <w:rsid w:val="00723B88"/>
    <w:rsid w:val="007251A4"/>
    <w:rsid w:val="00725A0D"/>
    <w:rsid w:val="007318AF"/>
    <w:rsid w:val="0073248C"/>
    <w:rsid w:val="007329E3"/>
    <w:rsid w:val="00733F23"/>
    <w:rsid w:val="00734CB0"/>
    <w:rsid w:val="00736B18"/>
    <w:rsid w:val="00737BC3"/>
    <w:rsid w:val="00740E8B"/>
    <w:rsid w:val="00741029"/>
    <w:rsid w:val="00741FAA"/>
    <w:rsid w:val="00742E5C"/>
    <w:rsid w:val="0074475A"/>
    <w:rsid w:val="00746D49"/>
    <w:rsid w:val="0075052B"/>
    <w:rsid w:val="007511A2"/>
    <w:rsid w:val="00751646"/>
    <w:rsid w:val="00751A2C"/>
    <w:rsid w:val="0075626D"/>
    <w:rsid w:val="007562B0"/>
    <w:rsid w:val="007607C5"/>
    <w:rsid w:val="00760976"/>
    <w:rsid w:val="00761D4D"/>
    <w:rsid w:val="00763A63"/>
    <w:rsid w:val="00764BEC"/>
    <w:rsid w:val="00766CE0"/>
    <w:rsid w:val="00770202"/>
    <w:rsid w:val="0077195F"/>
    <w:rsid w:val="00771FD4"/>
    <w:rsid w:val="00772205"/>
    <w:rsid w:val="00773CDF"/>
    <w:rsid w:val="007746C3"/>
    <w:rsid w:val="00775E10"/>
    <w:rsid w:val="00776EDD"/>
    <w:rsid w:val="00781EC7"/>
    <w:rsid w:val="00783056"/>
    <w:rsid w:val="00783235"/>
    <w:rsid w:val="007837DA"/>
    <w:rsid w:val="00786904"/>
    <w:rsid w:val="00794C29"/>
    <w:rsid w:val="007964A3"/>
    <w:rsid w:val="007A00BF"/>
    <w:rsid w:val="007A1B8F"/>
    <w:rsid w:val="007A29AF"/>
    <w:rsid w:val="007A3283"/>
    <w:rsid w:val="007A5868"/>
    <w:rsid w:val="007A5FB0"/>
    <w:rsid w:val="007A6075"/>
    <w:rsid w:val="007A7149"/>
    <w:rsid w:val="007A7931"/>
    <w:rsid w:val="007A7D7A"/>
    <w:rsid w:val="007A7F7C"/>
    <w:rsid w:val="007B2514"/>
    <w:rsid w:val="007B2633"/>
    <w:rsid w:val="007B3E1E"/>
    <w:rsid w:val="007B4325"/>
    <w:rsid w:val="007C04C0"/>
    <w:rsid w:val="007C19AE"/>
    <w:rsid w:val="007C4A14"/>
    <w:rsid w:val="007C7E83"/>
    <w:rsid w:val="007D0416"/>
    <w:rsid w:val="007D18B9"/>
    <w:rsid w:val="007D3423"/>
    <w:rsid w:val="007D411B"/>
    <w:rsid w:val="007D4364"/>
    <w:rsid w:val="007D6030"/>
    <w:rsid w:val="007E137A"/>
    <w:rsid w:val="007E255D"/>
    <w:rsid w:val="007E56C9"/>
    <w:rsid w:val="007E5E56"/>
    <w:rsid w:val="007E71AF"/>
    <w:rsid w:val="007E79F6"/>
    <w:rsid w:val="007F10A4"/>
    <w:rsid w:val="007F48E8"/>
    <w:rsid w:val="007F4946"/>
    <w:rsid w:val="007F4A3E"/>
    <w:rsid w:val="007F4BB2"/>
    <w:rsid w:val="007F629B"/>
    <w:rsid w:val="007F7677"/>
    <w:rsid w:val="00800BD9"/>
    <w:rsid w:val="00804C6F"/>
    <w:rsid w:val="008060F5"/>
    <w:rsid w:val="00806D5C"/>
    <w:rsid w:val="0081307D"/>
    <w:rsid w:val="00813B8F"/>
    <w:rsid w:val="00814622"/>
    <w:rsid w:val="00815D9D"/>
    <w:rsid w:val="00815EE5"/>
    <w:rsid w:val="0081665A"/>
    <w:rsid w:val="00820020"/>
    <w:rsid w:val="00821A6F"/>
    <w:rsid w:val="00821C5E"/>
    <w:rsid w:val="00821EAA"/>
    <w:rsid w:val="008234F9"/>
    <w:rsid w:val="00823E69"/>
    <w:rsid w:val="00823FCA"/>
    <w:rsid w:val="00824125"/>
    <w:rsid w:val="00824521"/>
    <w:rsid w:val="008246A9"/>
    <w:rsid w:val="008319DA"/>
    <w:rsid w:val="00831FD3"/>
    <w:rsid w:val="00832111"/>
    <w:rsid w:val="00833339"/>
    <w:rsid w:val="008343F1"/>
    <w:rsid w:val="008353DB"/>
    <w:rsid w:val="008376FD"/>
    <w:rsid w:val="00841149"/>
    <w:rsid w:val="00842C29"/>
    <w:rsid w:val="00844B10"/>
    <w:rsid w:val="00850A65"/>
    <w:rsid w:val="00852B86"/>
    <w:rsid w:val="00854C49"/>
    <w:rsid w:val="00854FED"/>
    <w:rsid w:val="00855387"/>
    <w:rsid w:val="00856BDC"/>
    <w:rsid w:val="008574C0"/>
    <w:rsid w:val="00861684"/>
    <w:rsid w:val="00861C87"/>
    <w:rsid w:val="008622B6"/>
    <w:rsid w:val="00863FEE"/>
    <w:rsid w:val="008652E1"/>
    <w:rsid w:val="00865C6C"/>
    <w:rsid w:val="00870D7B"/>
    <w:rsid w:val="008719D9"/>
    <w:rsid w:val="0087222D"/>
    <w:rsid w:val="008747FB"/>
    <w:rsid w:val="00874A7F"/>
    <w:rsid w:val="0087628D"/>
    <w:rsid w:val="0087691A"/>
    <w:rsid w:val="00877526"/>
    <w:rsid w:val="008812A2"/>
    <w:rsid w:val="0088198D"/>
    <w:rsid w:val="008831F9"/>
    <w:rsid w:val="00883D51"/>
    <w:rsid w:val="008877AC"/>
    <w:rsid w:val="00887B77"/>
    <w:rsid w:val="00890C9B"/>
    <w:rsid w:val="00891619"/>
    <w:rsid w:val="0089235C"/>
    <w:rsid w:val="008A07E0"/>
    <w:rsid w:val="008A101C"/>
    <w:rsid w:val="008A1139"/>
    <w:rsid w:val="008A1F81"/>
    <w:rsid w:val="008A4957"/>
    <w:rsid w:val="008A4AE9"/>
    <w:rsid w:val="008A56BE"/>
    <w:rsid w:val="008A5B5F"/>
    <w:rsid w:val="008A74F3"/>
    <w:rsid w:val="008B2C70"/>
    <w:rsid w:val="008B3C1E"/>
    <w:rsid w:val="008B4709"/>
    <w:rsid w:val="008B531E"/>
    <w:rsid w:val="008B56CE"/>
    <w:rsid w:val="008B6FCD"/>
    <w:rsid w:val="008B786E"/>
    <w:rsid w:val="008C2E98"/>
    <w:rsid w:val="008C38A8"/>
    <w:rsid w:val="008C46D1"/>
    <w:rsid w:val="008C656F"/>
    <w:rsid w:val="008C66DB"/>
    <w:rsid w:val="008D1155"/>
    <w:rsid w:val="008D123F"/>
    <w:rsid w:val="008D2CAF"/>
    <w:rsid w:val="008D528A"/>
    <w:rsid w:val="008E1C71"/>
    <w:rsid w:val="008E1F4E"/>
    <w:rsid w:val="008E20AB"/>
    <w:rsid w:val="008E4B21"/>
    <w:rsid w:val="008E7D4D"/>
    <w:rsid w:val="008F01C2"/>
    <w:rsid w:val="008F21EC"/>
    <w:rsid w:val="008F46D4"/>
    <w:rsid w:val="008F79AE"/>
    <w:rsid w:val="009017CB"/>
    <w:rsid w:val="009027EF"/>
    <w:rsid w:val="00904082"/>
    <w:rsid w:val="009051EF"/>
    <w:rsid w:val="009051F5"/>
    <w:rsid w:val="00905A84"/>
    <w:rsid w:val="00905F61"/>
    <w:rsid w:val="0090761A"/>
    <w:rsid w:val="00910B3E"/>
    <w:rsid w:val="00911C7E"/>
    <w:rsid w:val="00912FC0"/>
    <w:rsid w:val="00914E9E"/>
    <w:rsid w:val="009152C4"/>
    <w:rsid w:val="009155F7"/>
    <w:rsid w:val="00917D35"/>
    <w:rsid w:val="009202B5"/>
    <w:rsid w:val="0092435F"/>
    <w:rsid w:val="0092695F"/>
    <w:rsid w:val="0093095B"/>
    <w:rsid w:val="00930A34"/>
    <w:rsid w:val="00935410"/>
    <w:rsid w:val="00935593"/>
    <w:rsid w:val="009367E1"/>
    <w:rsid w:val="00940D84"/>
    <w:rsid w:val="00942BAF"/>
    <w:rsid w:val="00944724"/>
    <w:rsid w:val="00950E13"/>
    <w:rsid w:val="00951944"/>
    <w:rsid w:val="00954944"/>
    <w:rsid w:val="00954A11"/>
    <w:rsid w:val="00956EE6"/>
    <w:rsid w:val="00957196"/>
    <w:rsid w:val="00960649"/>
    <w:rsid w:val="00960D4C"/>
    <w:rsid w:val="00961894"/>
    <w:rsid w:val="0096319D"/>
    <w:rsid w:val="009644C4"/>
    <w:rsid w:val="00964DDD"/>
    <w:rsid w:val="00966B01"/>
    <w:rsid w:val="0096761D"/>
    <w:rsid w:val="00971922"/>
    <w:rsid w:val="00971D49"/>
    <w:rsid w:val="00975CF7"/>
    <w:rsid w:val="009779F2"/>
    <w:rsid w:val="00977ED2"/>
    <w:rsid w:val="0098382D"/>
    <w:rsid w:val="00983D7A"/>
    <w:rsid w:val="00984A20"/>
    <w:rsid w:val="00990137"/>
    <w:rsid w:val="00990DC2"/>
    <w:rsid w:val="00993320"/>
    <w:rsid w:val="009940E8"/>
    <w:rsid w:val="00996FA1"/>
    <w:rsid w:val="009A0054"/>
    <w:rsid w:val="009A2968"/>
    <w:rsid w:val="009A3309"/>
    <w:rsid w:val="009A33FE"/>
    <w:rsid w:val="009A3F12"/>
    <w:rsid w:val="009A4F20"/>
    <w:rsid w:val="009A4F82"/>
    <w:rsid w:val="009A5197"/>
    <w:rsid w:val="009A5E24"/>
    <w:rsid w:val="009A61EA"/>
    <w:rsid w:val="009A778E"/>
    <w:rsid w:val="009B0E16"/>
    <w:rsid w:val="009B2D23"/>
    <w:rsid w:val="009B30AB"/>
    <w:rsid w:val="009B785A"/>
    <w:rsid w:val="009B7885"/>
    <w:rsid w:val="009B7BBC"/>
    <w:rsid w:val="009B7F2E"/>
    <w:rsid w:val="009C1557"/>
    <w:rsid w:val="009C1CA0"/>
    <w:rsid w:val="009C4A92"/>
    <w:rsid w:val="009C570B"/>
    <w:rsid w:val="009C68F3"/>
    <w:rsid w:val="009C7545"/>
    <w:rsid w:val="009C79A2"/>
    <w:rsid w:val="009D148E"/>
    <w:rsid w:val="009D24CE"/>
    <w:rsid w:val="009D284C"/>
    <w:rsid w:val="009D3EF9"/>
    <w:rsid w:val="009D4C36"/>
    <w:rsid w:val="009D582C"/>
    <w:rsid w:val="009D5B4C"/>
    <w:rsid w:val="009E5902"/>
    <w:rsid w:val="009E5E05"/>
    <w:rsid w:val="009F1BBC"/>
    <w:rsid w:val="009F1DCD"/>
    <w:rsid w:val="009F2185"/>
    <w:rsid w:val="009F263B"/>
    <w:rsid w:val="009F3E17"/>
    <w:rsid w:val="009F5DEB"/>
    <w:rsid w:val="009F71ED"/>
    <w:rsid w:val="00A00CB4"/>
    <w:rsid w:val="00A02448"/>
    <w:rsid w:val="00A04872"/>
    <w:rsid w:val="00A04981"/>
    <w:rsid w:val="00A11D0C"/>
    <w:rsid w:val="00A123F1"/>
    <w:rsid w:val="00A146A7"/>
    <w:rsid w:val="00A20711"/>
    <w:rsid w:val="00A22082"/>
    <w:rsid w:val="00A23FB4"/>
    <w:rsid w:val="00A30329"/>
    <w:rsid w:val="00A30E73"/>
    <w:rsid w:val="00A353ED"/>
    <w:rsid w:val="00A403CB"/>
    <w:rsid w:val="00A4252F"/>
    <w:rsid w:val="00A42674"/>
    <w:rsid w:val="00A44522"/>
    <w:rsid w:val="00A45DE2"/>
    <w:rsid w:val="00A46FA8"/>
    <w:rsid w:val="00A47A70"/>
    <w:rsid w:val="00A47D93"/>
    <w:rsid w:val="00A53105"/>
    <w:rsid w:val="00A54C06"/>
    <w:rsid w:val="00A54C1A"/>
    <w:rsid w:val="00A54D57"/>
    <w:rsid w:val="00A6392F"/>
    <w:rsid w:val="00A661C7"/>
    <w:rsid w:val="00A66985"/>
    <w:rsid w:val="00A70091"/>
    <w:rsid w:val="00A71F89"/>
    <w:rsid w:val="00A724AF"/>
    <w:rsid w:val="00A737B0"/>
    <w:rsid w:val="00A74742"/>
    <w:rsid w:val="00A74FB6"/>
    <w:rsid w:val="00A75F1B"/>
    <w:rsid w:val="00A76809"/>
    <w:rsid w:val="00A77515"/>
    <w:rsid w:val="00A775F8"/>
    <w:rsid w:val="00A77B00"/>
    <w:rsid w:val="00A84DEF"/>
    <w:rsid w:val="00A85D08"/>
    <w:rsid w:val="00A921D0"/>
    <w:rsid w:val="00A92803"/>
    <w:rsid w:val="00A92EB9"/>
    <w:rsid w:val="00A93D49"/>
    <w:rsid w:val="00A95066"/>
    <w:rsid w:val="00A960FC"/>
    <w:rsid w:val="00AA23D4"/>
    <w:rsid w:val="00AA2B35"/>
    <w:rsid w:val="00AA387E"/>
    <w:rsid w:val="00AA446C"/>
    <w:rsid w:val="00AA52FD"/>
    <w:rsid w:val="00AA57EC"/>
    <w:rsid w:val="00AA65A2"/>
    <w:rsid w:val="00AA7CE5"/>
    <w:rsid w:val="00AA7D1B"/>
    <w:rsid w:val="00AB0E2E"/>
    <w:rsid w:val="00AB1980"/>
    <w:rsid w:val="00AB2F18"/>
    <w:rsid w:val="00AB3664"/>
    <w:rsid w:val="00AB4A0B"/>
    <w:rsid w:val="00AC0D5D"/>
    <w:rsid w:val="00AC211F"/>
    <w:rsid w:val="00AC24AA"/>
    <w:rsid w:val="00AC2FFA"/>
    <w:rsid w:val="00AC39C4"/>
    <w:rsid w:val="00AC44DC"/>
    <w:rsid w:val="00AC4747"/>
    <w:rsid w:val="00AC47A4"/>
    <w:rsid w:val="00AD0C50"/>
    <w:rsid w:val="00AD0F43"/>
    <w:rsid w:val="00AD6AA2"/>
    <w:rsid w:val="00AD6B54"/>
    <w:rsid w:val="00AE14BA"/>
    <w:rsid w:val="00AE1DBC"/>
    <w:rsid w:val="00AE325C"/>
    <w:rsid w:val="00AE3432"/>
    <w:rsid w:val="00AF1018"/>
    <w:rsid w:val="00AF432A"/>
    <w:rsid w:val="00AF575D"/>
    <w:rsid w:val="00AF73B1"/>
    <w:rsid w:val="00B0031E"/>
    <w:rsid w:val="00B0309B"/>
    <w:rsid w:val="00B03FFE"/>
    <w:rsid w:val="00B0480C"/>
    <w:rsid w:val="00B04A65"/>
    <w:rsid w:val="00B04FAC"/>
    <w:rsid w:val="00B058E1"/>
    <w:rsid w:val="00B06A3C"/>
    <w:rsid w:val="00B0771C"/>
    <w:rsid w:val="00B10EB1"/>
    <w:rsid w:val="00B112DF"/>
    <w:rsid w:val="00B143C9"/>
    <w:rsid w:val="00B1634E"/>
    <w:rsid w:val="00B16BD8"/>
    <w:rsid w:val="00B20386"/>
    <w:rsid w:val="00B20445"/>
    <w:rsid w:val="00B21B22"/>
    <w:rsid w:val="00B21C75"/>
    <w:rsid w:val="00B239F0"/>
    <w:rsid w:val="00B2596B"/>
    <w:rsid w:val="00B32AFC"/>
    <w:rsid w:val="00B34D1D"/>
    <w:rsid w:val="00B36B84"/>
    <w:rsid w:val="00B37B1F"/>
    <w:rsid w:val="00B402A9"/>
    <w:rsid w:val="00B40CD1"/>
    <w:rsid w:val="00B4123D"/>
    <w:rsid w:val="00B4394B"/>
    <w:rsid w:val="00B4665C"/>
    <w:rsid w:val="00B515FA"/>
    <w:rsid w:val="00B51FFB"/>
    <w:rsid w:val="00B525BF"/>
    <w:rsid w:val="00B5286E"/>
    <w:rsid w:val="00B53A23"/>
    <w:rsid w:val="00B549E6"/>
    <w:rsid w:val="00B54DE8"/>
    <w:rsid w:val="00B55FE2"/>
    <w:rsid w:val="00B56E51"/>
    <w:rsid w:val="00B5711E"/>
    <w:rsid w:val="00B57E90"/>
    <w:rsid w:val="00B61B2B"/>
    <w:rsid w:val="00B6305A"/>
    <w:rsid w:val="00B63720"/>
    <w:rsid w:val="00B70B5E"/>
    <w:rsid w:val="00B754BA"/>
    <w:rsid w:val="00B7659F"/>
    <w:rsid w:val="00B77350"/>
    <w:rsid w:val="00B77A47"/>
    <w:rsid w:val="00B80411"/>
    <w:rsid w:val="00B818D7"/>
    <w:rsid w:val="00B8199C"/>
    <w:rsid w:val="00B819A9"/>
    <w:rsid w:val="00B82C9B"/>
    <w:rsid w:val="00B84CB7"/>
    <w:rsid w:val="00B874D9"/>
    <w:rsid w:val="00B87A2F"/>
    <w:rsid w:val="00B92D25"/>
    <w:rsid w:val="00B93A39"/>
    <w:rsid w:val="00B94DB5"/>
    <w:rsid w:val="00B953D1"/>
    <w:rsid w:val="00B97202"/>
    <w:rsid w:val="00BA0887"/>
    <w:rsid w:val="00BA09D7"/>
    <w:rsid w:val="00BA0EB4"/>
    <w:rsid w:val="00BA1128"/>
    <w:rsid w:val="00BA1CBA"/>
    <w:rsid w:val="00BA1D9A"/>
    <w:rsid w:val="00BA2C10"/>
    <w:rsid w:val="00BA6604"/>
    <w:rsid w:val="00BA767E"/>
    <w:rsid w:val="00BA7A04"/>
    <w:rsid w:val="00BB0087"/>
    <w:rsid w:val="00BB021B"/>
    <w:rsid w:val="00BB2047"/>
    <w:rsid w:val="00BB3DE1"/>
    <w:rsid w:val="00BB3E3C"/>
    <w:rsid w:val="00BC200E"/>
    <w:rsid w:val="00BC3A32"/>
    <w:rsid w:val="00BC45AE"/>
    <w:rsid w:val="00BC4851"/>
    <w:rsid w:val="00BC55D4"/>
    <w:rsid w:val="00BD06FE"/>
    <w:rsid w:val="00BD13E6"/>
    <w:rsid w:val="00BD1B00"/>
    <w:rsid w:val="00BD630A"/>
    <w:rsid w:val="00BD7BA0"/>
    <w:rsid w:val="00BE0CA6"/>
    <w:rsid w:val="00BE243C"/>
    <w:rsid w:val="00BE4FC8"/>
    <w:rsid w:val="00BE573D"/>
    <w:rsid w:val="00BF012D"/>
    <w:rsid w:val="00BF0323"/>
    <w:rsid w:val="00BF06F3"/>
    <w:rsid w:val="00BF1041"/>
    <w:rsid w:val="00BF14DC"/>
    <w:rsid w:val="00BF6E6E"/>
    <w:rsid w:val="00C006BE"/>
    <w:rsid w:val="00C01729"/>
    <w:rsid w:val="00C025A4"/>
    <w:rsid w:val="00C044BD"/>
    <w:rsid w:val="00C04CF9"/>
    <w:rsid w:val="00C05FB6"/>
    <w:rsid w:val="00C063D5"/>
    <w:rsid w:val="00C06893"/>
    <w:rsid w:val="00C13076"/>
    <w:rsid w:val="00C1662B"/>
    <w:rsid w:val="00C16859"/>
    <w:rsid w:val="00C1687C"/>
    <w:rsid w:val="00C171EC"/>
    <w:rsid w:val="00C17813"/>
    <w:rsid w:val="00C17D0E"/>
    <w:rsid w:val="00C17D59"/>
    <w:rsid w:val="00C20363"/>
    <w:rsid w:val="00C2065C"/>
    <w:rsid w:val="00C305AF"/>
    <w:rsid w:val="00C31EC5"/>
    <w:rsid w:val="00C340DC"/>
    <w:rsid w:val="00C36419"/>
    <w:rsid w:val="00C36810"/>
    <w:rsid w:val="00C40871"/>
    <w:rsid w:val="00C40A18"/>
    <w:rsid w:val="00C4430F"/>
    <w:rsid w:val="00C45058"/>
    <w:rsid w:val="00C50A93"/>
    <w:rsid w:val="00C51D48"/>
    <w:rsid w:val="00C55364"/>
    <w:rsid w:val="00C57377"/>
    <w:rsid w:val="00C60F2B"/>
    <w:rsid w:val="00C61735"/>
    <w:rsid w:val="00C62A07"/>
    <w:rsid w:val="00C64177"/>
    <w:rsid w:val="00C6560F"/>
    <w:rsid w:val="00C7362F"/>
    <w:rsid w:val="00C73B0F"/>
    <w:rsid w:val="00C7542D"/>
    <w:rsid w:val="00C7661A"/>
    <w:rsid w:val="00C86E05"/>
    <w:rsid w:val="00C86F6B"/>
    <w:rsid w:val="00C901F1"/>
    <w:rsid w:val="00C93341"/>
    <w:rsid w:val="00C9677E"/>
    <w:rsid w:val="00C96C12"/>
    <w:rsid w:val="00C975A0"/>
    <w:rsid w:val="00C97FDF"/>
    <w:rsid w:val="00CA1B27"/>
    <w:rsid w:val="00CA1DC2"/>
    <w:rsid w:val="00CA75F4"/>
    <w:rsid w:val="00CA7D36"/>
    <w:rsid w:val="00CB3C1C"/>
    <w:rsid w:val="00CB3CBD"/>
    <w:rsid w:val="00CB3CD7"/>
    <w:rsid w:val="00CB4B20"/>
    <w:rsid w:val="00CB7796"/>
    <w:rsid w:val="00CB7BE2"/>
    <w:rsid w:val="00CC0F1C"/>
    <w:rsid w:val="00CC1A19"/>
    <w:rsid w:val="00CC254B"/>
    <w:rsid w:val="00CC2882"/>
    <w:rsid w:val="00CC3578"/>
    <w:rsid w:val="00CC42C3"/>
    <w:rsid w:val="00CC4400"/>
    <w:rsid w:val="00CC4FDA"/>
    <w:rsid w:val="00CC585C"/>
    <w:rsid w:val="00CD0031"/>
    <w:rsid w:val="00CD0B5C"/>
    <w:rsid w:val="00CD1B00"/>
    <w:rsid w:val="00CD3CA6"/>
    <w:rsid w:val="00CD5005"/>
    <w:rsid w:val="00CD722E"/>
    <w:rsid w:val="00CE3E95"/>
    <w:rsid w:val="00CE433E"/>
    <w:rsid w:val="00CE62A9"/>
    <w:rsid w:val="00CE6F59"/>
    <w:rsid w:val="00CE72C8"/>
    <w:rsid w:val="00CF005A"/>
    <w:rsid w:val="00CF21DF"/>
    <w:rsid w:val="00CF2A62"/>
    <w:rsid w:val="00CF3FAD"/>
    <w:rsid w:val="00CF4CC7"/>
    <w:rsid w:val="00CF5B8B"/>
    <w:rsid w:val="00CF795A"/>
    <w:rsid w:val="00D02F67"/>
    <w:rsid w:val="00D03DA6"/>
    <w:rsid w:val="00D0410E"/>
    <w:rsid w:val="00D05B1B"/>
    <w:rsid w:val="00D10255"/>
    <w:rsid w:val="00D10515"/>
    <w:rsid w:val="00D114B3"/>
    <w:rsid w:val="00D11A2C"/>
    <w:rsid w:val="00D122D3"/>
    <w:rsid w:val="00D13CE2"/>
    <w:rsid w:val="00D14D27"/>
    <w:rsid w:val="00D16266"/>
    <w:rsid w:val="00D16657"/>
    <w:rsid w:val="00D16AE9"/>
    <w:rsid w:val="00D16C2F"/>
    <w:rsid w:val="00D218DC"/>
    <w:rsid w:val="00D22ADE"/>
    <w:rsid w:val="00D24524"/>
    <w:rsid w:val="00D25955"/>
    <w:rsid w:val="00D27A01"/>
    <w:rsid w:val="00D32572"/>
    <w:rsid w:val="00D33341"/>
    <w:rsid w:val="00D33A38"/>
    <w:rsid w:val="00D3477E"/>
    <w:rsid w:val="00D36547"/>
    <w:rsid w:val="00D3795C"/>
    <w:rsid w:val="00D40627"/>
    <w:rsid w:val="00D41E8E"/>
    <w:rsid w:val="00D424B0"/>
    <w:rsid w:val="00D429B4"/>
    <w:rsid w:val="00D42B12"/>
    <w:rsid w:val="00D4475F"/>
    <w:rsid w:val="00D52857"/>
    <w:rsid w:val="00D52C50"/>
    <w:rsid w:val="00D52E71"/>
    <w:rsid w:val="00D56420"/>
    <w:rsid w:val="00D56467"/>
    <w:rsid w:val="00D57D93"/>
    <w:rsid w:val="00D603FC"/>
    <w:rsid w:val="00D604EB"/>
    <w:rsid w:val="00D60D43"/>
    <w:rsid w:val="00D61799"/>
    <w:rsid w:val="00D6320D"/>
    <w:rsid w:val="00D63757"/>
    <w:rsid w:val="00D643E3"/>
    <w:rsid w:val="00D65D25"/>
    <w:rsid w:val="00D660AE"/>
    <w:rsid w:val="00D674A6"/>
    <w:rsid w:val="00D707D5"/>
    <w:rsid w:val="00D73308"/>
    <w:rsid w:val="00D7380C"/>
    <w:rsid w:val="00D74CDA"/>
    <w:rsid w:val="00D83E11"/>
    <w:rsid w:val="00D86E81"/>
    <w:rsid w:val="00D901E4"/>
    <w:rsid w:val="00D908FE"/>
    <w:rsid w:val="00D909AA"/>
    <w:rsid w:val="00D91089"/>
    <w:rsid w:val="00D9122D"/>
    <w:rsid w:val="00DA5267"/>
    <w:rsid w:val="00DA5619"/>
    <w:rsid w:val="00DB4839"/>
    <w:rsid w:val="00DB4AE7"/>
    <w:rsid w:val="00DB6B0E"/>
    <w:rsid w:val="00DC02F1"/>
    <w:rsid w:val="00DC0773"/>
    <w:rsid w:val="00DC513C"/>
    <w:rsid w:val="00DC596B"/>
    <w:rsid w:val="00DC6273"/>
    <w:rsid w:val="00DC6C2F"/>
    <w:rsid w:val="00DC739B"/>
    <w:rsid w:val="00DC76FA"/>
    <w:rsid w:val="00DD0485"/>
    <w:rsid w:val="00DD0B5C"/>
    <w:rsid w:val="00DD1DC7"/>
    <w:rsid w:val="00DD3CDA"/>
    <w:rsid w:val="00DD4ED2"/>
    <w:rsid w:val="00DD58F1"/>
    <w:rsid w:val="00DD6AAD"/>
    <w:rsid w:val="00DD722D"/>
    <w:rsid w:val="00DE28CE"/>
    <w:rsid w:val="00DE3DB2"/>
    <w:rsid w:val="00DE42F2"/>
    <w:rsid w:val="00DE6E58"/>
    <w:rsid w:val="00DE740B"/>
    <w:rsid w:val="00DE752E"/>
    <w:rsid w:val="00DF0CA9"/>
    <w:rsid w:val="00DF6C97"/>
    <w:rsid w:val="00DF6D52"/>
    <w:rsid w:val="00E0090D"/>
    <w:rsid w:val="00E00D25"/>
    <w:rsid w:val="00E01562"/>
    <w:rsid w:val="00E019D3"/>
    <w:rsid w:val="00E0280B"/>
    <w:rsid w:val="00E02EC9"/>
    <w:rsid w:val="00E04888"/>
    <w:rsid w:val="00E0581A"/>
    <w:rsid w:val="00E06B27"/>
    <w:rsid w:val="00E0711A"/>
    <w:rsid w:val="00E07EF3"/>
    <w:rsid w:val="00E10D4A"/>
    <w:rsid w:val="00E111CA"/>
    <w:rsid w:val="00E11925"/>
    <w:rsid w:val="00E13859"/>
    <w:rsid w:val="00E1593E"/>
    <w:rsid w:val="00E17D96"/>
    <w:rsid w:val="00E2198E"/>
    <w:rsid w:val="00E22F37"/>
    <w:rsid w:val="00E24868"/>
    <w:rsid w:val="00E3013A"/>
    <w:rsid w:val="00E30240"/>
    <w:rsid w:val="00E30D66"/>
    <w:rsid w:val="00E322C1"/>
    <w:rsid w:val="00E348FF"/>
    <w:rsid w:val="00E3504B"/>
    <w:rsid w:val="00E36AE0"/>
    <w:rsid w:val="00E377E2"/>
    <w:rsid w:val="00E4322A"/>
    <w:rsid w:val="00E433EB"/>
    <w:rsid w:val="00E45D0F"/>
    <w:rsid w:val="00E471AD"/>
    <w:rsid w:val="00E52828"/>
    <w:rsid w:val="00E533B3"/>
    <w:rsid w:val="00E537B0"/>
    <w:rsid w:val="00E5560B"/>
    <w:rsid w:val="00E60B94"/>
    <w:rsid w:val="00E650AC"/>
    <w:rsid w:val="00E65CC6"/>
    <w:rsid w:val="00E679E5"/>
    <w:rsid w:val="00E67C69"/>
    <w:rsid w:val="00E719D4"/>
    <w:rsid w:val="00E71FB9"/>
    <w:rsid w:val="00E737E8"/>
    <w:rsid w:val="00E73C69"/>
    <w:rsid w:val="00E7592E"/>
    <w:rsid w:val="00E75E7A"/>
    <w:rsid w:val="00E76C69"/>
    <w:rsid w:val="00E7785C"/>
    <w:rsid w:val="00E808CB"/>
    <w:rsid w:val="00E85067"/>
    <w:rsid w:val="00E86137"/>
    <w:rsid w:val="00E86CC2"/>
    <w:rsid w:val="00E90D25"/>
    <w:rsid w:val="00E94EDB"/>
    <w:rsid w:val="00E95779"/>
    <w:rsid w:val="00E96B42"/>
    <w:rsid w:val="00EA48D9"/>
    <w:rsid w:val="00EA58FD"/>
    <w:rsid w:val="00EA5B1A"/>
    <w:rsid w:val="00EA6891"/>
    <w:rsid w:val="00EA7EC5"/>
    <w:rsid w:val="00EB1C50"/>
    <w:rsid w:val="00EB1F2E"/>
    <w:rsid w:val="00EB36DF"/>
    <w:rsid w:val="00EB63C8"/>
    <w:rsid w:val="00EC069F"/>
    <w:rsid w:val="00EC0DBF"/>
    <w:rsid w:val="00EC116D"/>
    <w:rsid w:val="00EC14AD"/>
    <w:rsid w:val="00EC56B0"/>
    <w:rsid w:val="00EC785C"/>
    <w:rsid w:val="00ED384F"/>
    <w:rsid w:val="00ED4F23"/>
    <w:rsid w:val="00ED6046"/>
    <w:rsid w:val="00EE19A5"/>
    <w:rsid w:val="00EE4860"/>
    <w:rsid w:val="00EE6010"/>
    <w:rsid w:val="00EE6170"/>
    <w:rsid w:val="00EE61C7"/>
    <w:rsid w:val="00EE6D03"/>
    <w:rsid w:val="00EF09D9"/>
    <w:rsid w:val="00EF21E4"/>
    <w:rsid w:val="00EF43D6"/>
    <w:rsid w:val="00EF6093"/>
    <w:rsid w:val="00F01ED0"/>
    <w:rsid w:val="00F045FF"/>
    <w:rsid w:val="00F04C61"/>
    <w:rsid w:val="00F058D3"/>
    <w:rsid w:val="00F10B46"/>
    <w:rsid w:val="00F11754"/>
    <w:rsid w:val="00F118FB"/>
    <w:rsid w:val="00F133B5"/>
    <w:rsid w:val="00F14879"/>
    <w:rsid w:val="00F15E16"/>
    <w:rsid w:val="00F16622"/>
    <w:rsid w:val="00F22BDD"/>
    <w:rsid w:val="00F2625C"/>
    <w:rsid w:val="00F265B8"/>
    <w:rsid w:val="00F27B6E"/>
    <w:rsid w:val="00F3145A"/>
    <w:rsid w:val="00F31761"/>
    <w:rsid w:val="00F3201D"/>
    <w:rsid w:val="00F32534"/>
    <w:rsid w:val="00F336EE"/>
    <w:rsid w:val="00F33926"/>
    <w:rsid w:val="00F408AB"/>
    <w:rsid w:val="00F41D44"/>
    <w:rsid w:val="00F439CE"/>
    <w:rsid w:val="00F43E68"/>
    <w:rsid w:val="00F45056"/>
    <w:rsid w:val="00F45D26"/>
    <w:rsid w:val="00F460BD"/>
    <w:rsid w:val="00F46CA7"/>
    <w:rsid w:val="00F50E3C"/>
    <w:rsid w:val="00F52A71"/>
    <w:rsid w:val="00F52F98"/>
    <w:rsid w:val="00F56054"/>
    <w:rsid w:val="00F5682D"/>
    <w:rsid w:val="00F63A86"/>
    <w:rsid w:val="00F64E37"/>
    <w:rsid w:val="00F66436"/>
    <w:rsid w:val="00F73862"/>
    <w:rsid w:val="00F73AD9"/>
    <w:rsid w:val="00F75CA2"/>
    <w:rsid w:val="00F8037D"/>
    <w:rsid w:val="00F817A5"/>
    <w:rsid w:val="00F86E82"/>
    <w:rsid w:val="00F8732A"/>
    <w:rsid w:val="00F873DD"/>
    <w:rsid w:val="00F91BE7"/>
    <w:rsid w:val="00F93D1A"/>
    <w:rsid w:val="00F95AF8"/>
    <w:rsid w:val="00F97DAB"/>
    <w:rsid w:val="00FA0D9A"/>
    <w:rsid w:val="00FA47E8"/>
    <w:rsid w:val="00FA5FA5"/>
    <w:rsid w:val="00FA71E0"/>
    <w:rsid w:val="00FB02D3"/>
    <w:rsid w:val="00FB0438"/>
    <w:rsid w:val="00FB0468"/>
    <w:rsid w:val="00FB33E8"/>
    <w:rsid w:val="00FB466E"/>
    <w:rsid w:val="00FB6574"/>
    <w:rsid w:val="00FB7EDE"/>
    <w:rsid w:val="00FC5717"/>
    <w:rsid w:val="00FD4110"/>
    <w:rsid w:val="00FD657F"/>
    <w:rsid w:val="00FD70A1"/>
    <w:rsid w:val="00FE0270"/>
    <w:rsid w:val="00FE03C5"/>
    <w:rsid w:val="00FE482F"/>
    <w:rsid w:val="00FE6500"/>
    <w:rsid w:val="00FF1BF5"/>
    <w:rsid w:val="00FF200E"/>
    <w:rsid w:val="00FF2016"/>
    <w:rsid w:val="00FF2938"/>
    <w:rsid w:val="00FF29C5"/>
    <w:rsid w:val="00FF441A"/>
    <w:rsid w:val="00FF64E8"/>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58"/>
    <o:shapelayout v:ext="edit">
      <o:idmap v:ext="edit" data="2"/>
    </o:shapelayout>
  </w:shapeDefaults>
  <w:decimalSymbol w:val=","/>
  <w:listSeparator w:val=";"/>
  <w14:docId w14:val="748BF98B"/>
  <w15:docId w15:val="{82C9111A-7A7D-4A41-B22E-497C5A96BC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pl-PL" w:eastAsia="pl-PL"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1" w:qFormat="1"/>
    <w:lsdException w:name="heading 6" w:locked="1" w:uiPriority="1" w:qFormat="1"/>
    <w:lsdException w:name="heading 7" w:locked="1" w:uiPriority="1" w:qFormat="1"/>
    <w:lsdException w:name="heading 8" w:locked="1" w:uiPriority="1"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locked="1" w:semiHidden="1" w:uiPriority="0" w:unhideWhenUsed="1"/>
    <w:lsdException w:name="footnote text" w:locked="1" w:semiHidden="1" w:uiPriority="0" w:unhideWhenUsed="1"/>
    <w:lsdException w:name="annotation text" w:locked="1" w:semiHidden="1" w:unhideWhenUsed="1"/>
    <w:lsdException w:name="header" w:locked="1" w:semiHidden="1" w:uiPriority="0" w:unhideWhenUsed="1"/>
    <w:lsdException w:name="footer" w:locked="1" w:semiHidden="1" w:uiPriority="0"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iPriority="0" w:unhideWhenUsed="1"/>
    <w:lsdException w:name="endnote text" w:locked="1" w:semiHidden="1" w:uiPriority="0"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lsdException w:name="List Bullet" w:locked="1" w:semiHidden="1" w:uiPriority="0" w:unhideWhenUsed="1"/>
    <w:lsdException w:name="List Number" w:locked="1" w:semiHidden="1" w:uiPriority="0" w:unhideWhenUsed="1"/>
    <w:lsdException w:name="List 2" w:locked="1" w:semiHidden="1" w:uiPriority="0" w:unhideWhenUsed="1"/>
    <w:lsdException w:name="List 3" w:locked="1" w:semiHidden="1" w:uiPriority="0" w:unhideWhenUsed="1"/>
    <w:lsdException w:name="List 4" w:locked="1" w:semiHidden="1" w:uiPriority="0" w:unhideWhenUsed="1"/>
    <w:lsdException w:name="List 5" w:locked="1" w:semiHidden="1" w:uiPriority="0"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iPriority="0" w:unhideWhenUsed="1"/>
    <w:lsdException w:name="List Number 2" w:locked="1" w:semiHidden="1" w:uiPriority="0" w:unhideWhenUsed="1"/>
    <w:lsdException w:name="List Number 3" w:locked="1" w:semiHidden="1" w:unhideWhenUsed="1"/>
    <w:lsdException w:name="List Number 4" w:locked="1" w:semiHidden="1" w:unhideWhenUsed="1"/>
    <w:lsdException w:name="List Number 5" w:locked="1" w:semiHidden="1" w:unhideWhenUsed="1"/>
    <w:lsdException w:name="Title" w:locked="1" w:uiPriority="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qFormat="1"/>
    <w:lsdException w:name="Body Text Indent" w:locked="1" w:semiHidden="1" w:uiPriority="0" w:unhideWhenUsed="1"/>
    <w:lsdException w:name="List Continue" w:locked="1" w:semiHidden="1" w:uiPriority="0" w:unhideWhenUsed="1"/>
    <w:lsdException w:name="List Continue 2" w:locked="1" w:semiHidden="1" w:uiPriority="0" w:unhideWhenUsed="1"/>
    <w:lsdException w:name="List Continue 3" w:locked="1" w:semiHidden="1" w:uiPriority="0" w:unhideWhenUsed="1"/>
    <w:lsdException w:name="List Continue 4" w:locked="1" w:semiHidden="1" w:uiPriority="0" w:unhideWhenUsed="1"/>
    <w:lsdException w:name="List Continue 5" w:locked="1" w:semiHidden="1" w:uiPriority="0" w:unhideWhenUsed="1"/>
    <w:lsdException w:name="Message Header" w:locked="1" w:semiHidden="1" w:unhideWhenUsed="1"/>
    <w:lsdException w:name="Subtitle" w:locked="1" w:uiPriority="0" w:qFormat="1"/>
    <w:lsdException w:name="Salutation" w:locked="1" w:semiHidden="1" w:unhideWhenUsed="1"/>
    <w:lsdException w:name="Date" w:locked="1" w:semiHidden="1" w:unhideWhenUsed="1"/>
    <w:lsdException w:name="Body Text First Indent" w:locked="1" w:semiHidden="1" w:uiPriority="0" w:unhideWhenUsed="1"/>
    <w:lsdException w:name="Body Text First Indent 2" w:locked="1" w:semiHidden="1" w:uiPriority="0"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locked="1" w:semiHidden="1" w:uiPriority="0" w:unhideWhenUsed="1"/>
    <w:lsdException w:name="Block Text" w:locked="1" w:semiHidden="1" w:uiPriority="0" w:unhideWhenUsed="1"/>
    <w:lsdException w:name="Hyperlink" w:locked="1" w:semiHidden="1" w:unhideWhenUsed="1"/>
    <w:lsdException w:name="FollowedHyperlink" w:locked="1" w:semiHidden="1" w:uiPriority="0" w:unhideWhenUsed="1"/>
    <w:lsdException w:name="Strong" w:locked="1" w:uiPriority="22" w:qFormat="1"/>
    <w:lsdException w:name="Emphasis" w:locked="1" w:uiPriority="0" w:qFormat="1"/>
    <w:lsdException w:name="Document Map" w:locked="1" w:semiHidden="1" w:uiPriority="0"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0"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iPriority="0"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aliases w:val="tekst"/>
    <w:qFormat/>
    <w:rsid w:val="00E07EF3"/>
    <w:pPr>
      <w:overflowPunct w:val="0"/>
      <w:autoSpaceDE w:val="0"/>
      <w:autoSpaceDN w:val="0"/>
      <w:adjustRightInd w:val="0"/>
      <w:jc w:val="both"/>
      <w:textAlignment w:val="baseline"/>
    </w:pPr>
    <w:rPr>
      <w:rFonts w:ascii="Times New Roman" w:eastAsia="Times New Roman" w:hAnsi="Times New Roman"/>
      <w:sz w:val="20"/>
      <w:szCs w:val="20"/>
    </w:rPr>
  </w:style>
  <w:style w:type="paragraph" w:styleId="Nagwek1">
    <w:name w:val="heading 1"/>
    <w:aliases w:val="Tytuł1,Tytuł 1 st.,Tytu31,1-Titre 1,Hoofdstuk"/>
    <w:basedOn w:val="Normalny"/>
    <w:next w:val="Normalny"/>
    <w:link w:val="Nagwek1Znak"/>
    <w:uiPriority w:val="9"/>
    <w:qFormat/>
    <w:rsid w:val="00A4252F"/>
    <w:pPr>
      <w:keepNext/>
      <w:keepLines/>
      <w:suppressAutoHyphens/>
      <w:spacing w:before="120" w:after="120"/>
      <w:jc w:val="center"/>
      <w:outlineLvl w:val="0"/>
    </w:pPr>
    <w:rPr>
      <w:b/>
      <w:bCs/>
      <w:caps/>
      <w:kern w:val="28"/>
      <w:sz w:val="28"/>
      <w:szCs w:val="28"/>
    </w:rPr>
  </w:style>
  <w:style w:type="paragraph" w:styleId="Nagwek2">
    <w:name w:val="heading 2"/>
    <w:aliases w:val="Podtytuł1,Podtytu³1,Podtytu31,ASAPHeading 2,Numbered - 2,h 3, ICL,Heading 2a,H2,PA Major Section,l2,Headline 2,h2,2,headi,heading2,h21,h22,21,kopregel 2,Titre m,Heading 10,Reset numbering,ICL,3,1.1-Titre 2,Paragraaf"/>
    <w:basedOn w:val="Normalny"/>
    <w:next w:val="Normalny"/>
    <w:link w:val="Nagwek2Znak"/>
    <w:uiPriority w:val="9"/>
    <w:qFormat/>
    <w:rsid w:val="00A4252F"/>
    <w:pPr>
      <w:keepNext/>
      <w:pageBreakBefore/>
      <w:spacing w:before="120" w:after="120"/>
      <w:jc w:val="center"/>
      <w:outlineLvl w:val="1"/>
    </w:pPr>
    <w:rPr>
      <w:b/>
      <w:bCs/>
      <w:sz w:val="28"/>
      <w:szCs w:val="28"/>
    </w:rPr>
  </w:style>
  <w:style w:type="paragraph" w:styleId="Nagwek3">
    <w:name w:val="heading 3"/>
    <w:aliases w:val="Podtytuł2,Podtytu32,Char Char Char Char Char Char Char Char,Level 1 - 1, Char Char Char Char Char Char Char Char,Nagłówek 3 Znak Znak Znak Znak Znak,4"/>
    <w:basedOn w:val="Normalny"/>
    <w:next w:val="Normalny"/>
    <w:link w:val="Nagwek3Znak"/>
    <w:uiPriority w:val="9"/>
    <w:qFormat/>
    <w:rsid w:val="00A4252F"/>
    <w:pPr>
      <w:keepNext/>
      <w:spacing w:before="360" w:after="60"/>
      <w:outlineLvl w:val="2"/>
    </w:pPr>
    <w:rPr>
      <w:b/>
      <w:bCs/>
      <w:caps/>
    </w:rPr>
  </w:style>
  <w:style w:type="paragraph" w:styleId="Nagwek4">
    <w:name w:val="heading 4"/>
    <w:aliases w:val="5"/>
    <w:basedOn w:val="Normalny"/>
    <w:next w:val="Normalny"/>
    <w:link w:val="Nagwek4Znak"/>
    <w:uiPriority w:val="9"/>
    <w:qFormat/>
    <w:rsid w:val="00A4252F"/>
    <w:pPr>
      <w:keepNext/>
      <w:spacing w:before="240" w:after="60"/>
      <w:outlineLvl w:val="3"/>
    </w:pPr>
    <w:rPr>
      <w:b/>
      <w:bCs/>
    </w:rPr>
  </w:style>
  <w:style w:type="paragraph" w:styleId="Nagwek5">
    <w:name w:val="heading 5"/>
    <w:basedOn w:val="Normalny"/>
    <w:next w:val="Normalny"/>
    <w:link w:val="Nagwek5Znak"/>
    <w:uiPriority w:val="1"/>
    <w:qFormat/>
    <w:rsid w:val="00A4252F"/>
    <w:pPr>
      <w:spacing w:before="100" w:beforeAutospacing="1" w:after="100" w:afterAutospacing="1"/>
      <w:outlineLvl w:val="4"/>
    </w:pPr>
    <w:rPr>
      <w:b/>
      <w:bCs/>
      <w:i/>
      <w:iCs/>
    </w:rPr>
  </w:style>
  <w:style w:type="paragraph" w:styleId="Nagwek6">
    <w:name w:val="heading 6"/>
    <w:basedOn w:val="Normalny"/>
    <w:next w:val="Normalny"/>
    <w:link w:val="Nagwek6Znak"/>
    <w:uiPriority w:val="1"/>
    <w:qFormat/>
    <w:rsid w:val="00A4252F"/>
    <w:pPr>
      <w:spacing w:before="240" w:after="60"/>
      <w:outlineLvl w:val="5"/>
    </w:pPr>
    <w:rPr>
      <w:b/>
      <w:bCs/>
      <w:sz w:val="22"/>
      <w:szCs w:val="22"/>
    </w:rPr>
  </w:style>
  <w:style w:type="paragraph" w:styleId="Nagwek7">
    <w:name w:val="heading 7"/>
    <w:basedOn w:val="Normalny"/>
    <w:next w:val="Normalny"/>
    <w:link w:val="Nagwek7Znak"/>
    <w:uiPriority w:val="1"/>
    <w:qFormat/>
    <w:rsid w:val="00A4252F"/>
    <w:pPr>
      <w:outlineLvl w:val="6"/>
    </w:pPr>
  </w:style>
  <w:style w:type="paragraph" w:styleId="Nagwek8">
    <w:name w:val="heading 8"/>
    <w:basedOn w:val="Normalny"/>
    <w:next w:val="Normalny"/>
    <w:link w:val="Nagwek8Znak"/>
    <w:uiPriority w:val="1"/>
    <w:qFormat/>
    <w:rsid w:val="00A4252F"/>
    <w:pPr>
      <w:spacing w:before="240" w:after="60"/>
      <w:outlineLvl w:val="7"/>
    </w:pPr>
    <w:rPr>
      <w:i/>
      <w:iCs/>
      <w:sz w:val="24"/>
      <w:szCs w:val="24"/>
    </w:rPr>
  </w:style>
  <w:style w:type="paragraph" w:styleId="Nagwek9">
    <w:name w:val="heading 9"/>
    <w:basedOn w:val="Normalny"/>
    <w:next w:val="Normalny"/>
    <w:link w:val="Nagwek9Znak"/>
    <w:qFormat/>
    <w:rsid w:val="00E71FB9"/>
    <w:pPr>
      <w:overflowPunct/>
      <w:autoSpaceDE/>
      <w:autoSpaceDN/>
      <w:adjustRightInd/>
      <w:spacing w:before="240" w:after="60"/>
      <w:textAlignment w:val="auto"/>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Tytuł1 Znak,Tytuł 1 st. Znak,Tytu31 Znak,1-Titre 1 Znak,Hoofdstuk Znak"/>
    <w:basedOn w:val="Domylnaczcionkaakapitu"/>
    <w:link w:val="Nagwek1"/>
    <w:uiPriority w:val="9"/>
    <w:locked/>
    <w:rsid w:val="00A4252F"/>
    <w:rPr>
      <w:rFonts w:ascii="Times New Roman" w:hAnsi="Times New Roman" w:cs="Times New Roman"/>
      <w:b/>
      <w:bCs/>
      <w:caps/>
      <w:kern w:val="28"/>
      <w:sz w:val="20"/>
      <w:szCs w:val="20"/>
      <w:lang w:eastAsia="pl-PL"/>
    </w:rPr>
  </w:style>
  <w:style w:type="character" w:customStyle="1" w:styleId="Nagwek2Znak">
    <w:name w:val="Nagłówek 2 Znak"/>
    <w:aliases w:val="Podtytuł1 Znak,Podtytu³1 Znak,Podtytu31 Znak,ASAPHeading 2 Znak,Numbered - 2 Znak,h 3 Znak, ICL Znak,Heading 2a Znak,H2 Znak,PA Major Section Znak,l2 Znak,Headline 2 Znak,h2 Znak,2 Znak,headi Znak,heading2 Znak,h21 Znak,h22 Znak,21 Znak"/>
    <w:basedOn w:val="Domylnaczcionkaakapitu"/>
    <w:link w:val="Nagwek2"/>
    <w:uiPriority w:val="9"/>
    <w:locked/>
    <w:rsid w:val="00A4252F"/>
    <w:rPr>
      <w:rFonts w:ascii="Times New Roman" w:hAnsi="Times New Roman" w:cs="Times New Roman"/>
      <w:b/>
      <w:bCs/>
      <w:sz w:val="20"/>
      <w:szCs w:val="20"/>
      <w:lang w:eastAsia="pl-PL"/>
    </w:rPr>
  </w:style>
  <w:style w:type="character" w:customStyle="1" w:styleId="Nagwek3Znak">
    <w:name w:val="Nagłówek 3 Znak"/>
    <w:aliases w:val="Podtytuł2 Znak,Podtytu32 Znak,Char Char Char Char Char Char Char Char Znak,Level 1 - 1 Znak, Char Char Char Char Char Char Char Char Znak,Nagłówek 3 Znak Znak Znak Znak Znak Znak,4 Znak"/>
    <w:basedOn w:val="Domylnaczcionkaakapitu"/>
    <w:link w:val="Nagwek3"/>
    <w:uiPriority w:val="9"/>
    <w:locked/>
    <w:rsid w:val="00A4252F"/>
    <w:rPr>
      <w:rFonts w:ascii="Times New Roman" w:hAnsi="Times New Roman" w:cs="Times New Roman"/>
      <w:b/>
      <w:bCs/>
      <w:caps/>
      <w:sz w:val="20"/>
      <w:szCs w:val="20"/>
      <w:lang w:eastAsia="pl-PL"/>
    </w:rPr>
  </w:style>
  <w:style w:type="character" w:customStyle="1" w:styleId="Nagwek4Znak">
    <w:name w:val="Nagłówek 4 Znak"/>
    <w:aliases w:val="5 Znak"/>
    <w:basedOn w:val="Domylnaczcionkaakapitu"/>
    <w:link w:val="Nagwek4"/>
    <w:uiPriority w:val="9"/>
    <w:locked/>
    <w:rsid w:val="00A4252F"/>
    <w:rPr>
      <w:rFonts w:ascii="Times New Roman" w:hAnsi="Times New Roman" w:cs="Times New Roman"/>
      <w:b/>
      <w:bCs/>
      <w:sz w:val="28"/>
      <w:szCs w:val="28"/>
      <w:lang w:eastAsia="pl-PL"/>
    </w:rPr>
  </w:style>
  <w:style w:type="character" w:customStyle="1" w:styleId="Nagwek5Znak">
    <w:name w:val="Nagłówek 5 Znak"/>
    <w:basedOn w:val="Domylnaczcionkaakapitu"/>
    <w:link w:val="Nagwek5"/>
    <w:uiPriority w:val="9"/>
    <w:locked/>
    <w:rsid w:val="00A4252F"/>
    <w:rPr>
      <w:rFonts w:ascii="Times New Roman" w:hAnsi="Times New Roman" w:cs="Times New Roman"/>
      <w:b/>
      <w:bCs/>
      <w:i/>
      <w:iCs/>
      <w:sz w:val="26"/>
      <w:szCs w:val="26"/>
      <w:lang w:eastAsia="pl-PL"/>
    </w:rPr>
  </w:style>
  <w:style w:type="character" w:customStyle="1" w:styleId="Nagwek6Znak">
    <w:name w:val="Nagłówek 6 Znak"/>
    <w:basedOn w:val="Domylnaczcionkaakapitu"/>
    <w:link w:val="Nagwek6"/>
    <w:uiPriority w:val="9"/>
    <w:locked/>
    <w:rsid w:val="00A4252F"/>
    <w:rPr>
      <w:rFonts w:ascii="Times New Roman" w:hAnsi="Times New Roman" w:cs="Times New Roman"/>
      <w:b/>
      <w:bCs/>
      <w:lang w:eastAsia="pl-PL"/>
    </w:rPr>
  </w:style>
  <w:style w:type="character" w:customStyle="1" w:styleId="Nagwek7Znak">
    <w:name w:val="Nagłówek 7 Znak"/>
    <w:basedOn w:val="Domylnaczcionkaakapitu"/>
    <w:link w:val="Nagwek7"/>
    <w:uiPriority w:val="1"/>
    <w:locked/>
    <w:rsid w:val="00A4252F"/>
    <w:rPr>
      <w:rFonts w:ascii="Times New Roman" w:hAnsi="Times New Roman" w:cs="Times New Roman"/>
      <w:sz w:val="24"/>
      <w:szCs w:val="24"/>
      <w:lang w:eastAsia="pl-PL"/>
    </w:rPr>
  </w:style>
  <w:style w:type="character" w:customStyle="1" w:styleId="Nagwek8Znak">
    <w:name w:val="Nagłówek 8 Znak"/>
    <w:basedOn w:val="Domylnaczcionkaakapitu"/>
    <w:link w:val="Nagwek8"/>
    <w:uiPriority w:val="9"/>
    <w:locked/>
    <w:rsid w:val="00A4252F"/>
    <w:rPr>
      <w:rFonts w:ascii="Times New Roman" w:hAnsi="Times New Roman" w:cs="Times New Roman"/>
      <w:i/>
      <w:iCs/>
      <w:sz w:val="24"/>
      <w:szCs w:val="24"/>
      <w:lang w:eastAsia="pl-PL"/>
    </w:rPr>
  </w:style>
  <w:style w:type="character" w:customStyle="1" w:styleId="Nagwek9Znak">
    <w:name w:val="Nagłówek 9 Znak"/>
    <w:basedOn w:val="Domylnaczcionkaakapitu"/>
    <w:link w:val="Nagwek9"/>
    <w:locked/>
    <w:rsid w:val="00E71FB9"/>
    <w:rPr>
      <w:rFonts w:ascii="Arial" w:hAnsi="Arial" w:cs="Arial"/>
      <w:lang w:eastAsia="pl-PL"/>
    </w:rPr>
  </w:style>
  <w:style w:type="paragraph" w:styleId="Spistreci1">
    <w:name w:val="toc 1"/>
    <w:basedOn w:val="Normalny"/>
    <w:next w:val="Normalny"/>
    <w:autoRedefine/>
    <w:uiPriority w:val="39"/>
    <w:rsid w:val="000321EA"/>
    <w:pPr>
      <w:tabs>
        <w:tab w:val="right" w:leader="dot" w:pos="9356"/>
        <w:tab w:val="right" w:leader="dot" w:pos="10065"/>
      </w:tabs>
      <w:spacing w:before="120" w:after="120"/>
      <w:jc w:val="left"/>
    </w:pPr>
    <w:rPr>
      <w:rFonts w:asciiTheme="minorHAnsi" w:hAnsiTheme="minorHAnsi" w:cs="Calibri"/>
      <w:b/>
      <w:bCs/>
      <w:noProof/>
    </w:rPr>
  </w:style>
  <w:style w:type="paragraph" w:styleId="Spistreci2">
    <w:name w:val="toc 2"/>
    <w:basedOn w:val="Normalny"/>
    <w:next w:val="Normalny"/>
    <w:autoRedefine/>
    <w:rsid w:val="00A4252F"/>
    <w:pPr>
      <w:tabs>
        <w:tab w:val="right" w:leader="dot" w:pos="7371"/>
      </w:tabs>
      <w:ind w:left="200"/>
      <w:jc w:val="left"/>
    </w:pPr>
  </w:style>
  <w:style w:type="paragraph" w:styleId="Spistreci3">
    <w:name w:val="toc 3"/>
    <w:basedOn w:val="Normalny"/>
    <w:next w:val="Normalny"/>
    <w:autoRedefine/>
    <w:rsid w:val="00A4252F"/>
    <w:pPr>
      <w:tabs>
        <w:tab w:val="right" w:leader="dot" w:pos="7371"/>
      </w:tabs>
      <w:ind w:left="400"/>
      <w:jc w:val="left"/>
    </w:pPr>
  </w:style>
  <w:style w:type="paragraph" w:styleId="Spistreci4">
    <w:name w:val="toc 4"/>
    <w:basedOn w:val="Normalny"/>
    <w:next w:val="Normalny"/>
    <w:autoRedefine/>
    <w:rsid w:val="00A4252F"/>
    <w:pPr>
      <w:tabs>
        <w:tab w:val="right" w:leader="dot" w:pos="7371"/>
      </w:tabs>
      <w:ind w:left="600"/>
      <w:jc w:val="left"/>
    </w:pPr>
    <w:rPr>
      <w:sz w:val="18"/>
      <w:szCs w:val="18"/>
    </w:rPr>
  </w:style>
  <w:style w:type="paragraph" w:styleId="Spistreci5">
    <w:name w:val="toc 5"/>
    <w:basedOn w:val="Normalny"/>
    <w:next w:val="Normalny"/>
    <w:autoRedefine/>
    <w:rsid w:val="00A4252F"/>
    <w:pPr>
      <w:tabs>
        <w:tab w:val="right" w:leader="dot" w:pos="7371"/>
      </w:tabs>
      <w:ind w:left="800"/>
      <w:jc w:val="left"/>
    </w:pPr>
    <w:rPr>
      <w:sz w:val="18"/>
      <w:szCs w:val="18"/>
    </w:rPr>
  </w:style>
  <w:style w:type="paragraph" w:styleId="Spistreci6">
    <w:name w:val="toc 6"/>
    <w:basedOn w:val="Normalny"/>
    <w:next w:val="Normalny"/>
    <w:autoRedefine/>
    <w:rsid w:val="00A4252F"/>
    <w:pPr>
      <w:tabs>
        <w:tab w:val="right" w:leader="dot" w:pos="7371"/>
      </w:tabs>
      <w:ind w:left="1000"/>
      <w:jc w:val="left"/>
    </w:pPr>
    <w:rPr>
      <w:sz w:val="18"/>
      <w:szCs w:val="18"/>
    </w:rPr>
  </w:style>
  <w:style w:type="paragraph" w:styleId="Spistreci7">
    <w:name w:val="toc 7"/>
    <w:basedOn w:val="Normalny"/>
    <w:next w:val="Normalny"/>
    <w:autoRedefine/>
    <w:rsid w:val="00A4252F"/>
    <w:pPr>
      <w:tabs>
        <w:tab w:val="right" w:leader="dot" w:pos="7371"/>
      </w:tabs>
      <w:ind w:left="1200"/>
      <w:jc w:val="left"/>
    </w:pPr>
    <w:rPr>
      <w:sz w:val="18"/>
      <w:szCs w:val="18"/>
    </w:rPr>
  </w:style>
  <w:style w:type="paragraph" w:styleId="Spistreci8">
    <w:name w:val="toc 8"/>
    <w:basedOn w:val="Normalny"/>
    <w:next w:val="Normalny"/>
    <w:autoRedefine/>
    <w:rsid w:val="00A4252F"/>
    <w:pPr>
      <w:tabs>
        <w:tab w:val="right" w:leader="dot" w:pos="7371"/>
      </w:tabs>
      <w:ind w:left="1400"/>
      <w:jc w:val="left"/>
    </w:pPr>
    <w:rPr>
      <w:sz w:val="18"/>
      <w:szCs w:val="18"/>
    </w:rPr>
  </w:style>
  <w:style w:type="paragraph" w:styleId="Spistreci9">
    <w:name w:val="toc 9"/>
    <w:basedOn w:val="Normalny"/>
    <w:next w:val="Normalny"/>
    <w:autoRedefine/>
    <w:rsid w:val="00A4252F"/>
    <w:pPr>
      <w:tabs>
        <w:tab w:val="right" w:leader="dot" w:pos="7371"/>
      </w:tabs>
      <w:ind w:left="1600"/>
      <w:jc w:val="left"/>
    </w:pPr>
    <w:rPr>
      <w:sz w:val="18"/>
      <w:szCs w:val="18"/>
    </w:rPr>
  </w:style>
  <w:style w:type="character" w:styleId="Numerstrony">
    <w:name w:val="page number"/>
    <w:basedOn w:val="Domylnaczcionkaakapitu"/>
    <w:rsid w:val="00A4252F"/>
  </w:style>
  <w:style w:type="paragraph" w:customStyle="1" w:styleId="StylIwony">
    <w:name w:val="Styl Iwony"/>
    <w:basedOn w:val="Normalny"/>
    <w:rsid w:val="00A4252F"/>
    <w:pPr>
      <w:spacing w:before="120" w:after="120"/>
    </w:pPr>
    <w:rPr>
      <w:rFonts w:ascii="Bookman Old Style" w:hAnsi="Bookman Old Style" w:cs="Bookman Old Style"/>
      <w:sz w:val="24"/>
      <w:szCs w:val="24"/>
    </w:rPr>
  </w:style>
  <w:style w:type="paragraph" w:styleId="Nagwek">
    <w:name w:val="header"/>
    <w:basedOn w:val="Normalny"/>
    <w:link w:val="NagwekZnak"/>
    <w:rsid w:val="00A4252F"/>
    <w:pPr>
      <w:tabs>
        <w:tab w:val="center" w:pos="4536"/>
        <w:tab w:val="right" w:pos="9072"/>
      </w:tabs>
      <w:jc w:val="left"/>
    </w:pPr>
    <w:rPr>
      <w:rFonts w:ascii="Century Gothic" w:hAnsi="Century Gothic" w:cs="Century Gothic"/>
      <w:sz w:val="24"/>
      <w:szCs w:val="24"/>
    </w:rPr>
  </w:style>
  <w:style w:type="character" w:customStyle="1" w:styleId="NagwekZnak">
    <w:name w:val="Nagłówek Znak"/>
    <w:basedOn w:val="Domylnaczcionkaakapitu"/>
    <w:link w:val="Nagwek"/>
    <w:uiPriority w:val="99"/>
    <w:locked/>
    <w:rsid w:val="00A4252F"/>
    <w:rPr>
      <w:rFonts w:ascii="Century Gothic" w:hAnsi="Century Gothic" w:cs="Century Gothic"/>
      <w:sz w:val="20"/>
      <w:szCs w:val="20"/>
      <w:lang w:eastAsia="pl-PL"/>
    </w:rPr>
  </w:style>
  <w:style w:type="paragraph" w:styleId="Stopka">
    <w:name w:val="footer"/>
    <w:basedOn w:val="Normalny"/>
    <w:link w:val="StopkaZnak"/>
    <w:rsid w:val="00A4252F"/>
    <w:pPr>
      <w:tabs>
        <w:tab w:val="center" w:pos="4536"/>
        <w:tab w:val="right" w:pos="9072"/>
      </w:tabs>
    </w:pPr>
  </w:style>
  <w:style w:type="character" w:customStyle="1" w:styleId="StopkaZnak">
    <w:name w:val="Stopka Znak"/>
    <w:basedOn w:val="Domylnaczcionkaakapitu"/>
    <w:link w:val="Stopka"/>
    <w:uiPriority w:val="99"/>
    <w:locked/>
    <w:rsid w:val="00A4252F"/>
    <w:rPr>
      <w:rFonts w:ascii="Times New Roman" w:hAnsi="Times New Roman" w:cs="Times New Roman"/>
      <w:sz w:val="20"/>
      <w:szCs w:val="20"/>
      <w:lang w:eastAsia="pl-PL"/>
    </w:rPr>
  </w:style>
  <w:style w:type="paragraph" w:styleId="Tekstprzypisudolnego">
    <w:name w:val="footnote text"/>
    <w:basedOn w:val="Normalny"/>
    <w:link w:val="TekstprzypisudolnegoZnak"/>
    <w:rsid w:val="00A4252F"/>
  </w:style>
  <w:style w:type="character" w:customStyle="1" w:styleId="TekstprzypisudolnegoZnak">
    <w:name w:val="Tekst przypisu dolnego Znak"/>
    <w:basedOn w:val="Domylnaczcionkaakapitu"/>
    <w:link w:val="Tekstprzypisudolnego"/>
    <w:locked/>
    <w:rsid w:val="00A4252F"/>
    <w:rPr>
      <w:rFonts w:ascii="Times New Roman" w:hAnsi="Times New Roman" w:cs="Times New Roman"/>
      <w:sz w:val="20"/>
      <w:szCs w:val="20"/>
      <w:lang w:eastAsia="pl-PL"/>
    </w:rPr>
  </w:style>
  <w:style w:type="paragraph" w:customStyle="1" w:styleId="tekstost">
    <w:name w:val="tekst ost"/>
    <w:basedOn w:val="Normalny"/>
    <w:link w:val="tekstostZnak"/>
    <w:rsid w:val="00A4252F"/>
  </w:style>
  <w:style w:type="character" w:styleId="Odwoanieprzypisudolnego">
    <w:name w:val="footnote reference"/>
    <w:basedOn w:val="Domylnaczcionkaakapitu"/>
    <w:rsid w:val="00A4252F"/>
    <w:rPr>
      <w:vertAlign w:val="superscript"/>
    </w:rPr>
  </w:style>
  <w:style w:type="paragraph" w:customStyle="1" w:styleId="Standardowytekst">
    <w:name w:val="Standardowy.tekst"/>
    <w:rsid w:val="00A4252F"/>
    <w:pPr>
      <w:overflowPunct w:val="0"/>
      <w:autoSpaceDE w:val="0"/>
      <w:autoSpaceDN w:val="0"/>
      <w:adjustRightInd w:val="0"/>
      <w:jc w:val="both"/>
      <w:textAlignment w:val="baseline"/>
    </w:pPr>
    <w:rPr>
      <w:rFonts w:ascii="Times New Roman" w:eastAsia="Times New Roman" w:hAnsi="Times New Roman"/>
      <w:sz w:val="20"/>
      <w:szCs w:val="20"/>
    </w:rPr>
  </w:style>
  <w:style w:type="paragraph" w:customStyle="1" w:styleId="Tekstpodstawowy21">
    <w:name w:val="Tekst podstawowy 21"/>
    <w:basedOn w:val="Normalny"/>
    <w:rsid w:val="00A4252F"/>
    <w:pPr>
      <w:ind w:left="360"/>
    </w:pPr>
  </w:style>
  <w:style w:type="paragraph" w:styleId="Tekstpodstawowy">
    <w:name w:val="Body Text"/>
    <w:basedOn w:val="Normalny"/>
    <w:link w:val="TekstpodstawowyZnak"/>
    <w:qFormat/>
    <w:rsid w:val="00A4252F"/>
    <w:pPr>
      <w:spacing w:line="180" w:lineRule="exact"/>
      <w:jc w:val="left"/>
    </w:pPr>
    <w:rPr>
      <w:sz w:val="16"/>
      <w:szCs w:val="16"/>
    </w:rPr>
  </w:style>
  <w:style w:type="character" w:customStyle="1" w:styleId="TekstpodstawowyZnak">
    <w:name w:val="Tekst podstawowy Znak"/>
    <w:basedOn w:val="Domylnaczcionkaakapitu"/>
    <w:link w:val="Tekstpodstawowy"/>
    <w:locked/>
    <w:rsid w:val="00A4252F"/>
    <w:rPr>
      <w:rFonts w:ascii="Times New Roman" w:hAnsi="Times New Roman" w:cs="Times New Roman"/>
      <w:sz w:val="20"/>
      <w:szCs w:val="20"/>
      <w:lang w:eastAsia="pl-PL"/>
    </w:rPr>
  </w:style>
  <w:style w:type="character" w:styleId="Hipercze">
    <w:name w:val="Hyperlink"/>
    <w:basedOn w:val="Domylnaczcionkaakapitu"/>
    <w:uiPriority w:val="99"/>
    <w:rsid w:val="00A4252F"/>
    <w:rPr>
      <w:color w:val="0000FF"/>
      <w:u w:val="single"/>
    </w:rPr>
  </w:style>
  <w:style w:type="paragraph" w:customStyle="1" w:styleId="10">
    <w:name w:val="_10"/>
    <w:basedOn w:val="Normalny"/>
    <w:rsid w:val="00A4252F"/>
    <w:pPr>
      <w:overflowPunct/>
      <w:autoSpaceDE/>
      <w:autoSpaceDN/>
      <w:adjustRightInd/>
      <w:textAlignment w:val="auto"/>
    </w:pPr>
  </w:style>
  <w:style w:type="paragraph" w:customStyle="1" w:styleId="Styl12ptWyjustowany">
    <w:name w:val="Styl 12 pt Wyjustowany"/>
    <w:basedOn w:val="Normalny"/>
    <w:rsid w:val="00A4252F"/>
    <w:pPr>
      <w:overflowPunct/>
      <w:autoSpaceDE/>
      <w:autoSpaceDN/>
      <w:adjustRightInd/>
      <w:textAlignment w:val="auto"/>
    </w:pPr>
  </w:style>
  <w:style w:type="table" w:styleId="Tabela-Siatka">
    <w:name w:val="Table Grid"/>
    <w:basedOn w:val="Standardowy"/>
    <w:uiPriority w:val="59"/>
    <w:rsid w:val="00A4252F"/>
    <w:pPr>
      <w:overflowPunct w:val="0"/>
      <w:autoSpaceDE w:val="0"/>
      <w:autoSpaceDN w:val="0"/>
      <w:adjustRightInd w:val="0"/>
      <w:jc w:val="both"/>
      <w:textAlignment w:val="baseline"/>
    </w:pPr>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punktowana">
    <w:name w:val="List Bullet"/>
    <w:basedOn w:val="Normalny"/>
    <w:rsid w:val="00A4252F"/>
    <w:pPr>
      <w:overflowPunct/>
      <w:autoSpaceDE/>
      <w:autoSpaceDN/>
      <w:adjustRightInd/>
      <w:spacing w:line="360" w:lineRule="auto"/>
      <w:ind w:left="360" w:hanging="360"/>
      <w:jc w:val="left"/>
      <w:textAlignment w:val="auto"/>
    </w:pPr>
    <w:rPr>
      <w:sz w:val="24"/>
      <w:szCs w:val="24"/>
    </w:rPr>
  </w:style>
  <w:style w:type="paragraph" w:styleId="Lista">
    <w:name w:val="List"/>
    <w:basedOn w:val="Normalny"/>
    <w:rsid w:val="00A4252F"/>
    <w:pPr>
      <w:ind w:left="283" w:hanging="283"/>
    </w:pPr>
  </w:style>
  <w:style w:type="paragraph" w:styleId="Lista2">
    <w:name w:val="List 2"/>
    <w:basedOn w:val="Normalny"/>
    <w:rsid w:val="00A4252F"/>
    <w:pPr>
      <w:ind w:left="566" w:hanging="283"/>
    </w:pPr>
  </w:style>
  <w:style w:type="paragraph" w:styleId="Lista3">
    <w:name w:val="List 3"/>
    <w:basedOn w:val="Normalny"/>
    <w:rsid w:val="00A4252F"/>
    <w:pPr>
      <w:ind w:left="849" w:hanging="283"/>
    </w:pPr>
  </w:style>
  <w:style w:type="paragraph" w:styleId="Lista4">
    <w:name w:val="List 4"/>
    <w:basedOn w:val="Normalny"/>
    <w:rsid w:val="00A4252F"/>
    <w:pPr>
      <w:ind w:left="1132" w:hanging="283"/>
    </w:pPr>
  </w:style>
  <w:style w:type="paragraph" w:styleId="Lista5">
    <w:name w:val="List 5"/>
    <w:basedOn w:val="Normalny"/>
    <w:rsid w:val="00A4252F"/>
    <w:pPr>
      <w:ind w:left="1415" w:hanging="283"/>
    </w:pPr>
  </w:style>
  <w:style w:type="paragraph" w:styleId="Listapunktowana2">
    <w:name w:val="List Bullet 2"/>
    <w:basedOn w:val="Normalny"/>
    <w:rsid w:val="00A4252F"/>
    <w:pPr>
      <w:tabs>
        <w:tab w:val="num" w:pos="643"/>
      </w:tabs>
      <w:ind w:left="643" w:hanging="360"/>
    </w:pPr>
  </w:style>
  <w:style w:type="paragraph" w:styleId="Listapunktowana3">
    <w:name w:val="List Bullet 3"/>
    <w:basedOn w:val="Normalny"/>
    <w:rsid w:val="00A4252F"/>
    <w:pPr>
      <w:tabs>
        <w:tab w:val="num" w:pos="926"/>
      </w:tabs>
      <w:ind w:left="926" w:hanging="360"/>
    </w:pPr>
  </w:style>
  <w:style w:type="paragraph" w:styleId="Listapunktowana4">
    <w:name w:val="List Bullet 4"/>
    <w:basedOn w:val="Normalny"/>
    <w:rsid w:val="00A4252F"/>
    <w:pPr>
      <w:tabs>
        <w:tab w:val="num" w:pos="1209"/>
      </w:tabs>
      <w:ind w:left="1209" w:hanging="360"/>
    </w:pPr>
  </w:style>
  <w:style w:type="paragraph" w:styleId="Listapunktowana5">
    <w:name w:val="List Bullet 5"/>
    <w:basedOn w:val="Normalny"/>
    <w:rsid w:val="00A4252F"/>
    <w:pPr>
      <w:tabs>
        <w:tab w:val="num" w:pos="1492"/>
      </w:tabs>
      <w:ind w:left="1492" w:hanging="360"/>
    </w:pPr>
  </w:style>
  <w:style w:type="paragraph" w:styleId="Lista-kontynuacja">
    <w:name w:val="List Continue"/>
    <w:basedOn w:val="Normalny"/>
    <w:rsid w:val="00A4252F"/>
    <w:pPr>
      <w:spacing w:after="120"/>
      <w:ind w:left="283"/>
    </w:pPr>
  </w:style>
  <w:style w:type="paragraph" w:styleId="Lista-kontynuacja2">
    <w:name w:val="List Continue 2"/>
    <w:basedOn w:val="Normalny"/>
    <w:rsid w:val="00A4252F"/>
    <w:pPr>
      <w:spacing w:after="120"/>
      <w:ind w:left="566"/>
    </w:pPr>
  </w:style>
  <w:style w:type="paragraph" w:styleId="Lista-kontynuacja3">
    <w:name w:val="List Continue 3"/>
    <w:basedOn w:val="Normalny"/>
    <w:rsid w:val="00A4252F"/>
    <w:pPr>
      <w:spacing w:after="120"/>
      <w:ind w:left="849"/>
    </w:pPr>
  </w:style>
  <w:style w:type="paragraph" w:styleId="Lista-kontynuacja4">
    <w:name w:val="List Continue 4"/>
    <w:basedOn w:val="Normalny"/>
    <w:rsid w:val="00A4252F"/>
    <w:pPr>
      <w:spacing w:after="120"/>
      <w:ind w:left="1132"/>
    </w:pPr>
  </w:style>
  <w:style w:type="paragraph" w:styleId="Lista-kontynuacja5">
    <w:name w:val="List Continue 5"/>
    <w:basedOn w:val="Normalny"/>
    <w:rsid w:val="00A4252F"/>
    <w:pPr>
      <w:spacing w:after="120"/>
      <w:ind w:left="1415"/>
    </w:pPr>
  </w:style>
  <w:style w:type="paragraph" w:styleId="Legenda">
    <w:name w:val="caption"/>
    <w:basedOn w:val="Normalny"/>
    <w:next w:val="Normalny"/>
    <w:uiPriority w:val="35"/>
    <w:qFormat/>
    <w:rsid w:val="00A4252F"/>
    <w:rPr>
      <w:b/>
      <w:bCs/>
    </w:rPr>
  </w:style>
  <w:style w:type="paragraph" w:styleId="Tekstpodstawowywcity">
    <w:name w:val="Body Text Indent"/>
    <w:basedOn w:val="Normalny"/>
    <w:link w:val="TekstpodstawowywcityZnak"/>
    <w:rsid w:val="00A4252F"/>
    <w:pPr>
      <w:spacing w:after="120"/>
      <w:ind w:left="283"/>
    </w:pPr>
  </w:style>
  <w:style w:type="character" w:customStyle="1" w:styleId="TekstpodstawowywcityZnak">
    <w:name w:val="Tekst podstawowy wcięty Znak"/>
    <w:basedOn w:val="Domylnaczcionkaakapitu"/>
    <w:link w:val="Tekstpodstawowywcity"/>
    <w:locked/>
    <w:rsid w:val="00A4252F"/>
    <w:rPr>
      <w:rFonts w:ascii="Times New Roman" w:hAnsi="Times New Roman" w:cs="Times New Roman"/>
      <w:sz w:val="20"/>
      <w:szCs w:val="20"/>
      <w:lang w:eastAsia="pl-PL"/>
    </w:rPr>
  </w:style>
  <w:style w:type="paragraph" w:styleId="Tekstpodstawowyzwciciem">
    <w:name w:val="Body Text First Indent"/>
    <w:basedOn w:val="Tekstpodstawowy"/>
    <w:link w:val="TekstpodstawowyzwciciemZnak"/>
    <w:rsid w:val="00A4252F"/>
    <w:pPr>
      <w:spacing w:after="120" w:line="240" w:lineRule="auto"/>
      <w:ind w:firstLine="210"/>
      <w:jc w:val="both"/>
    </w:pPr>
    <w:rPr>
      <w:sz w:val="20"/>
      <w:szCs w:val="20"/>
    </w:rPr>
  </w:style>
  <w:style w:type="character" w:customStyle="1" w:styleId="TekstpodstawowyzwciciemZnak">
    <w:name w:val="Tekst podstawowy z wcięciem Znak"/>
    <w:basedOn w:val="TekstpodstawowyZnak"/>
    <w:link w:val="Tekstpodstawowyzwciciem"/>
    <w:locked/>
    <w:rsid w:val="00A4252F"/>
    <w:rPr>
      <w:rFonts w:ascii="Times New Roman" w:hAnsi="Times New Roman" w:cs="Times New Roman"/>
      <w:sz w:val="20"/>
      <w:szCs w:val="20"/>
      <w:lang w:eastAsia="pl-PL"/>
    </w:rPr>
  </w:style>
  <w:style w:type="paragraph" w:styleId="Tekstpodstawowyzwciciem2">
    <w:name w:val="Body Text First Indent 2"/>
    <w:basedOn w:val="Tekstpodstawowywcity"/>
    <w:link w:val="Tekstpodstawowyzwciciem2Znak"/>
    <w:rsid w:val="00A4252F"/>
    <w:pPr>
      <w:ind w:firstLine="210"/>
    </w:pPr>
  </w:style>
  <w:style w:type="character" w:customStyle="1" w:styleId="Tekstpodstawowyzwciciem2Znak">
    <w:name w:val="Tekst podstawowy z wcięciem 2 Znak"/>
    <w:basedOn w:val="TekstpodstawowywcityZnak"/>
    <w:link w:val="Tekstpodstawowyzwciciem2"/>
    <w:locked/>
    <w:rsid w:val="00A4252F"/>
    <w:rPr>
      <w:rFonts w:ascii="Times New Roman" w:hAnsi="Times New Roman" w:cs="Times New Roman"/>
      <w:sz w:val="20"/>
      <w:szCs w:val="20"/>
      <w:lang w:eastAsia="pl-PL"/>
    </w:rPr>
  </w:style>
  <w:style w:type="paragraph" w:styleId="Tekstdymka">
    <w:name w:val="Balloon Text"/>
    <w:basedOn w:val="Normalny"/>
    <w:link w:val="TekstdymkaZnak"/>
    <w:rsid w:val="00A4252F"/>
    <w:rPr>
      <w:rFonts w:ascii="Tahoma" w:hAnsi="Tahoma" w:cs="Tahoma"/>
      <w:sz w:val="16"/>
      <w:szCs w:val="16"/>
    </w:rPr>
  </w:style>
  <w:style w:type="character" w:customStyle="1" w:styleId="TekstdymkaZnak">
    <w:name w:val="Tekst dymka Znak"/>
    <w:basedOn w:val="Domylnaczcionkaakapitu"/>
    <w:link w:val="Tekstdymka"/>
    <w:uiPriority w:val="99"/>
    <w:locked/>
    <w:rsid w:val="00A4252F"/>
    <w:rPr>
      <w:rFonts w:ascii="Tahoma" w:hAnsi="Tahoma" w:cs="Tahoma"/>
      <w:sz w:val="16"/>
      <w:szCs w:val="16"/>
      <w:lang w:eastAsia="pl-PL"/>
    </w:rPr>
  </w:style>
  <w:style w:type="paragraph" w:customStyle="1" w:styleId="StylSpistreci1Wyjustowany">
    <w:name w:val="Styl Spis treści 1 + Wyjustowany"/>
    <w:basedOn w:val="Spistreci1"/>
    <w:rsid w:val="00A4252F"/>
    <w:pPr>
      <w:tabs>
        <w:tab w:val="right" w:leader="dot" w:pos="9072"/>
      </w:tabs>
      <w:jc w:val="both"/>
    </w:pPr>
  </w:style>
  <w:style w:type="paragraph" w:customStyle="1" w:styleId="StylNagwek7Pogrubienie">
    <w:name w:val="Styl Nagłówek 7 + Pogrubienie"/>
    <w:basedOn w:val="Nagwek7"/>
    <w:rsid w:val="00A4252F"/>
    <w:pPr>
      <w:tabs>
        <w:tab w:val="num" w:pos="283"/>
      </w:tabs>
      <w:ind w:left="283" w:hanging="283"/>
    </w:pPr>
    <w:rPr>
      <w:b/>
      <w:bCs/>
    </w:rPr>
  </w:style>
  <w:style w:type="paragraph" w:styleId="Akapitzlist">
    <w:name w:val="List Paragraph"/>
    <w:aliases w:val="x.,Oświetlenie,TABELA,Nagłowek 3"/>
    <w:basedOn w:val="Normalny"/>
    <w:link w:val="AkapitzlistZnak"/>
    <w:uiPriority w:val="34"/>
    <w:qFormat/>
    <w:rsid w:val="00F32534"/>
    <w:pPr>
      <w:ind w:left="720"/>
    </w:pPr>
  </w:style>
  <w:style w:type="paragraph" w:customStyle="1" w:styleId="Tekstpodstawowy22">
    <w:name w:val="Tekst podstawowy 22"/>
    <w:basedOn w:val="Normalny"/>
    <w:rsid w:val="007D4364"/>
    <w:pPr>
      <w:ind w:left="360"/>
    </w:pPr>
  </w:style>
  <w:style w:type="paragraph" w:customStyle="1" w:styleId="Standardowytekst1">
    <w:name w:val="Standardowy.tekst1"/>
    <w:rsid w:val="007D4364"/>
    <w:pPr>
      <w:overflowPunct w:val="0"/>
      <w:autoSpaceDE w:val="0"/>
      <w:autoSpaceDN w:val="0"/>
      <w:adjustRightInd w:val="0"/>
      <w:jc w:val="both"/>
      <w:textAlignment w:val="baseline"/>
    </w:pPr>
    <w:rPr>
      <w:rFonts w:ascii="Times New Roman" w:eastAsia="Times New Roman" w:hAnsi="Times New Roman"/>
      <w:sz w:val="20"/>
      <w:szCs w:val="20"/>
    </w:rPr>
  </w:style>
  <w:style w:type="paragraph" w:customStyle="1" w:styleId="Tekstpodstawowywcity31">
    <w:name w:val="Tekst podstawowy wcięty 31"/>
    <w:basedOn w:val="Normalny"/>
    <w:rsid w:val="007D4364"/>
    <w:pPr>
      <w:tabs>
        <w:tab w:val="left" w:pos="964"/>
      </w:tabs>
      <w:spacing w:after="120"/>
      <w:ind w:left="964" w:hanging="964"/>
    </w:pPr>
  </w:style>
  <w:style w:type="paragraph" w:styleId="Tytu">
    <w:name w:val="Title"/>
    <w:basedOn w:val="Normalny"/>
    <w:link w:val="TytuZnak"/>
    <w:qFormat/>
    <w:rsid w:val="007D4364"/>
    <w:pPr>
      <w:jc w:val="center"/>
    </w:pPr>
    <w:rPr>
      <w:sz w:val="24"/>
      <w:szCs w:val="24"/>
    </w:rPr>
  </w:style>
  <w:style w:type="character" w:customStyle="1" w:styleId="TytuZnak">
    <w:name w:val="Tytuł Znak"/>
    <w:basedOn w:val="Domylnaczcionkaakapitu"/>
    <w:link w:val="Tytu"/>
    <w:locked/>
    <w:rsid w:val="007D4364"/>
    <w:rPr>
      <w:rFonts w:ascii="Times New Roman" w:hAnsi="Times New Roman" w:cs="Times New Roman"/>
      <w:sz w:val="20"/>
      <w:szCs w:val="20"/>
      <w:lang w:eastAsia="pl-PL"/>
    </w:rPr>
  </w:style>
  <w:style w:type="paragraph" w:styleId="Mapadokumentu">
    <w:name w:val="Document Map"/>
    <w:basedOn w:val="Normalny"/>
    <w:link w:val="MapadokumentuZnak"/>
    <w:rsid w:val="007D4364"/>
    <w:pPr>
      <w:shd w:val="clear" w:color="auto" w:fill="000080"/>
    </w:pPr>
    <w:rPr>
      <w:rFonts w:ascii="Tahoma" w:hAnsi="Tahoma" w:cs="Tahoma"/>
    </w:rPr>
  </w:style>
  <w:style w:type="character" w:customStyle="1" w:styleId="MapadokumentuZnak">
    <w:name w:val="Mapa dokumentu Znak"/>
    <w:basedOn w:val="Domylnaczcionkaakapitu"/>
    <w:link w:val="Mapadokumentu"/>
    <w:locked/>
    <w:rsid w:val="007D4364"/>
    <w:rPr>
      <w:rFonts w:ascii="Tahoma" w:hAnsi="Tahoma" w:cs="Tahoma"/>
      <w:sz w:val="20"/>
      <w:szCs w:val="20"/>
      <w:shd w:val="clear" w:color="auto" w:fill="000080"/>
      <w:lang w:eastAsia="pl-PL"/>
    </w:rPr>
  </w:style>
  <w:style w:type="paragraph" w:styleId="Podtytu">
    <w:name w:val="Subtitle"/>
    <w:basedOn w:val="Normalny"/>
    <w:next w:val="Tekstpodstawowy"/>
    <w:link w:val="PodtytuZnak"/>
    <w:qFormat/>
    <w:rsid w:val="007D4364"/>
    <w:pPr>
      <w:suppressAutoHyphens/>
      <w:overflowPunct/>
      <w:autoSpaceDE/>
      <w:autoSpaceDN/>
      <w:adjustRightInd/>
      <w:jc w:val="left"/>
      <w:textAlignment w:val="auto"/>
    </w:pPr>
    <w:rPr>
      <w:b/>
      <w:bCs/>
      <w:sz w:val="28"/>
      <w:szCs w:val="28"/>
      <w:lang w:eastAsia="ar-SA"/>
    </w:rPr>
  </w:style>
  <w:style w:type="character" w:customStyle="1" w:styleId="PodtytuZnak">
    <w:name w:val="Podtytuł Znak"/>
    <w:basedOn w:val="Domylnaczcionkaakapitu"/>
    <w:link w:val="Podtytu"/>
    <w:locked/>
    <w:rsid w:val="007D4364"/>
    <w:rPr>
      <w:rFonts w:ascii="Times New Roman" w:hAnsi="Times New Roman" w:cs="Times New Roman"/>
      <w:b/>
      <w:bCs/>
      <w:sz w:val="20"/>
      <w:szCs w:val="20"/>
      <w:lang w:eastAsia="ar-SA" w:bidi="ar-SA"/>
    </w:rPr>
  </w:style>
  <w:style w:type="character" w:styleId="UyteHipercze">
    <w:name w:val="FollowedHyperlink"/>
    <w:basedOn w:val="Domylnaczcionkaakapitu"/>
    <w:rsid w:val="007D4364"/>
    <w:rPr>
      <w:color w:val="800080"/>
      <w:u w:val="single"/>
    </w:rPr>
  </w:style>
  <w:style w:type="character" w:customStyle="1" w:styleId="header1">
    <w:name w:val="header1"/>
    <w:rsid w:val="005A3701"/>
    <w:rPr>
      <w:rFonts w:ascii="Times New Roman" w:hAnsi="Times New Roman" w:cs="Times New Roman"/>
      <w:b/>
      <w:bCs/>
      <w:sz w:val="36"/>
      <w:szCs w:val="36"/>
    </w:rPr>
  </w:style>
  <w:style w:type="character" w:customStyle="1" w:styleId="header2">
    <w:name w:val="header2"/>
    <w:rsid w:val="005A3701"/>
    <w:rPr>
      <w:rFonts w:ascii="Times New Roman" w:hAnsi="Times New Roman" w:cs="Times New Roman"/>
      <w:b/>
      <w:bCs/>
      <w:sz w:val="36"/>
      <w:szCs w:val="36"/>
    </w:rPr>
  </w:style>
  <w:style w:type="character" w:customStyle="1" w:styleId="header3">
    <w:name w:val="header3"/>
    <w:rsid w:val="005A3701"/>
    <w:rPr>
      <w:rFonts w:ascii="Times New Roman" w:hAnsi="Times New Roman" w:cs="Times New Roman"/>
      <w:b/>
      <w:bCs/>
      <w:sz w:val="36"/>
      <w:szCs w:val="36"/>
    </w:rPr>
  </w:style>
  <w:style w:type="character" w:customStyle="1" w:styleId="podpunkt">
    <w:name w:val="podpunkt"/>
    <w:rsid w:val="005A3701"/>
    <w:rPr>
      <w:rFonts w:ascii="Times New Roman" w:hAnsi="Times New Roman" w:cs="Times New Roman"/>
      <w:b/>
      <w:bCs/>
    </w:rPr>
  </w:style>
  <w:style w:type="character" w:customStyle="1" w:styleId="Document2">
    <w:name w:val="Document 2"/>
    <w:basedOn w:val="Domylnaczcionkaakapitu"/>
    <w:rsid w:val="005A3701"/>
    <w:rPr>
      <w:rFonts w:ascii="Courier" w:hAnsi="Courier" w:cs="Courier"/>
      <w:sz w:val="24"/>
      <w:szCs w:val="24"/>
      <w:lang w:val="en-US"/>
    </w:rPr>
  </w:style>
  <w:style w:type="paragraph" w:customStyle="1" w:styleId="Akapitzlist1">
    <w:name w:val="Akapit z listą1"/>
    <w:basedOn w:val="Normalny"/>
    <w:rsid w:val="005A3701"/>
    <w:pPr>
      <w:overflowPunct/>
      <w:autoSpaceDE/>
      <w:autoSpaceDN/>
      <w:adjustRightInd/>
      <w:ind w:left="720"/>
      <w:jc w:val="left"/>
      <w:textAlignment w:val="auto"/>
    </w:pPr>
    <w:rPr>
      <w:rFonts w:eastAsia="Calibri"/>
      <w:sz w:val="26"/>
      <w:szCs w:val="26"/>
    </w:rPr>
  </w:style>
  <w:style w:type="paragraph" w:styleId="Tekstpodstawowywcity2">
    <w:name w:val="Body Text Indent 2"/>
    <w:basedOn w:val="Normalny"/>
    <w:link w:val="Tekstpodstawowywcity2Znak"/>
    <w:rsid w:val="007A5868"/>
    <w:pPr>
      <w:widowControl w:val="0"/>
      <w:overflowPunct/>
      <w:autoSpaceDE/>
      <w:autoSpaceDN/>
      <w:adjustRightInd/>
      <w:spacing w:after="120" w:line="480" w:lineRule="auto"/>
      <w:ind w:left="283"/>
      <w:jc w:val="left"/>
      <w:textAlignment w:val="auto"/>
    </w:pPr>
    <w:rPr>
      <w:sz w:val="24"/>
      <w:szCs w:val="24"/>
      <w:lang w:val="en-US"/>
    </w:rPr>
  </w:style>
  <w:style w:type="character" w:customStyle="1" w:styleId="Tekstpodstawowywcity2Znak">
    <w:name w:val="Tekst podstawowy wcięty 2 Znak"/>
    <w:basedOn w:val="Domylnaczcionkaakapitu"/>
    <w:link w:val="Tekstpodstawowywcity2"/>
    <w:locked/>
    <w:rsid w:val="007A5868"/>
    <w:rPr>
      <w:rFonts w:ascii="Times New Roman" w:hAnsi="Times New Roman" w:cs="Times New Roman"/>
      <w:snapToGrid w:val="0"/>
      <w:sz w:val="20"/>
      <w:szCs w:val="20"/>
      <w:lang w:val="en-US" w:eastAsia="pl-PL"/>
    </w:rPr>
  </w:style>
  <w:style w:type="paragraph" w:customStyle="1" w:styleId="Tekstpodstawowy23">
    <w:name w:val="Tekst podstawowy 23"/>
    <w:basedOn w:val="Normalny"/>
    <w:rsid w:val="00E71FB9"/>
    <w:pPr>
      <w:ind w:left="360"/>
    </w:pPr>
  </w:style>
  <w:style w:type="paragraph" w:customStyle="1" w:styleId="CM18">
    <w:name w:val="CM18"/>
    <w:basedOn w:val="Normalny"/>
    <w:next w:val="Normalny"/>
    <w:uiPriority w:val="99"/>
    <w:rsid w:val="00E71FB9"/>
    <w:pPr>
      <w:widowControl w:val="0"/>
      <w:overflowPunct/>
      <w:jc w:val="left"/>
      <w:textAlignment w:val="auto"/>
    </w:pPr>
    <w:rPr>
      <w:rFonts w:ascii="TTE18C80C0t00" w:hAnsi="TTE18C80C0t00" w:cs="TTE18C80C0t00"/>
      <w:sz w:val="24"/>
      <w:szCs w:val="24"/>
    </w:rPr>
  </w:style>
  <w:style w:type="paragraph" w:customStyle="1" w:styleId="Default">
    <w:name w:val="Default"/>
    <w:rsid w:val="00E71FB9"/>
    <w:pPr>
      <w:widowControl w:val="0"/>
      <w:autoSpaceDE w:val="0"/>
      <w:autoSpaceDN w:val="0"/>
      <w:adjustRightInd w:val="0"/>
      <w:jc w:val="both"/>
    </w:pPr>
    <w:rPr>
      <w:rFonts w:ascii="TTE18C80C0t00" w:eastAsia="Times New Roman" w:hAnsi="TTE18C80C0t00" w:cs="TTE18C80C0t00"/>
      <w:color w:val="000000"/>
      <w:sz w:val="24"/>
      <w:szCs w:val="24"/>
    </w:rPr>
  </w:style>
  <w:style w:type="character" w:customStyle="1" w:styleId="Teksttreci">
    <w:name w:val="Tekst treści_"/>
    <w:basedOn w:val="Domylnaczcionkaakapitu"/>
    <w:link w:val="Teksttreci0"/>
    <w:locked/>
    <w:rsid w:val="00E71FB9"/>
    <w:rPr>
      <w:shd w:val="clear" w:color="auto" w:fill="FFFFFF"/>
    </w:rPr>
  </w:style>
  <w:style w:type="paragraph" w:customStyle="1" w:styleId="Teksttreci0">
    <w:name w:val="Tekst treści"/>
    <w:basedOn w:val="Normalny"/>
    <w:link w:val="Teksttreci"/>
    <w:rsid w:val="00E71FB9"/>
    <w:pPr>
      <w:shd w:val="clear" w:color="auto" w:fill="FFFFFF"/>
      <w:overflowPunct/>
      <w:autoSpaceDE/>
      <w:autoSpaceDN/>
      <w:adjustRightInd/>
      <w:spacing w:before="360" w:after="360" w:line="240" w:lineRule="atLeast"/>
      <w:ind w:hanging="700"/>
      <w:jc w:val="left"/>
      <w:textAlignment w:val="auto"/>
    </w:pPr>
    <w:rPr>
      <w:rFonts w:ascii="Calibri" w:eastAsia="Calibri" w:hAnsi="Calibri" w:cs="Calibri"/>
      <w:sz w:val="22"/>
      <w:szCs w:val="22"/>
      <w:shd w:val="clear" w:color="auto" w:fill="FFFFFF"/>
      <w:lang w:eastAsia="en-US"/>
    </w:rPr>
  </w:style>
  <w:style w:type="character" w:customStyle="1" w:styleId="Teksttreci5">
    <w:name w:val="Tekst treści (5)_"/>
    <w:basedOn w:val="Domylnaczcionkaakapitu"/>
    <w:link w:val="Teksttreci50"/>
    <w:locked/>
    <w:rsid w:val="00E71FB9"/>
    <w:rPr>
      <w:sz w:val="18"/>
      <w:szCs w:val="18"/>
      <w:shd w:val="clear" w:color="auto" w:fill="FFFFFF"/>
    </w:rPr>
  </w:style>
  <w:style w:type="paragraph" w:customStyle="1" w:styleId="Teksttreci50">
    <w:name w:val="Tekst treści (5)"/>
    <w:basedOn w:val="Normalny"/>
    <w:link w:val="Teksttreci5"/>
    <w:rsid w:val="00E71FB9"/>
    <w:pPr>
      <w:shd w:val="clear" w:color="auto" w:fill="FFFFFF"/>
      <w:overflowPunct/>
      <w:autoSpaceDE/>
      <w:autoSpaceDN/>
      <w:adjustRightInd/>
      <w:spacing w:line="240" w:lineRule="atLeast"/>
      <w:jc w:val="right"/>
      <w:textAlignment w:val="auto"/>
    </w:pPr>
    <w:rPr>
      <w:rFonts w:ascii="Calibri" w:eastAsia="Calibri" w:hAnsi="Calibri" w:cs="Calibri"/>
      <w:sz w:val="18"/>
      <w:szCs w:val="18"/>
      <w:shd w:val="clear" w:color="auto" w:fill="FFFFFF"/>
      <w:lang w:eastAsia="en-US"/>
    </w:rPr>
  </w:style>
  <w:style w:type="paragraph" w:styleId="Tekstpodstawowywcity3">
    <w:name w:val="Body Text Indent 3"/>
    <w:basedOn w:val="Normalny"/>
    <w:link w:val="Tekstpodstawowywcity3Znak"/>
    <w:rsid w:val="00E71FB9"/>
    <w:pPr>
      <w:spacing w:after="120"/>
      <w:ind w:left="283"/>
    </w:pPr>
    <w:rPr>
      <w:sz w:val="16"/>
      <w:szCs w:val="16"/>
    </w:rPr>
  </w:style>
  <w:style w:type="character" w:customStyle="1" w:styleId="Tekstpodstawowywcity3Znak">
    <w:name w:val="Tekst podstawowy wcięty 3 Znak"/>
    <w:basedOn w:val="Domylnaczcionkaakapitu"/>
    <w:link w:val="Tekstpodstawowywcity3"/>
    <w:locked/>
    <w:rsid w:val="00E71FB9"/>
    <w:rPr>
      <w:rFonts w:ascii="Times New Roman" w:hAnsi="Times New Roman" w:cs="Times New Roman"/>
      <w:sz w:val="16"/>
      <w:szCs w:val="16"/>
      <w:lang w:eastAsia="pl-PL"/>
    </w:rPr>
  </w:style>
  <w:style w:type="paragraph" w:customStyle="1" w:styleId="paragraf">
    <w:name w:val="paragraf"/>
    <w:basedOn w:val="Normalny"/>
    <w:rsid w:val="00E71FB9"/>
    <w:pPr>
      <w:widowControl w:val="0"/>
      <w:overflowPunct/>
      <w:autoSpaceDE/>
      <w:autoSpaceDN/>
      <w:adjustRightInd/>
      <w:ind w:firstLine="339"/>
      <w:textAlignment w:val="auto"/>
    </w:pPr>
    <w:rPr>
      <w:b/>
      <w:bCs/>
      <w:sz w:val="24"/>
      <w:szCs w:val="24"/>
      <w:lang w:val="en-US"/>
    </w:rPr>
  </w:style>
  <w:style w:type="paragraph" w:customStyle="1" w:styleId="wierszzw9p">
    <w:name w:val="wiersz zw_9p"/>
    <w:basedOn w:val="Normalny"/>
    <w:rsid w:val="00E71FB9"/>
    <w:pPr>
      <w:tabs>
        <w:tab w:val="left" w:pos="425"/>
        <w:tab w:val="left" w:pos="851"/>
        <w:tab w:val="left" w:pos="1276"/>
        <w:tab w:val="left" w:pos="1701"/>
        <w:tab w:val="left" w:pos="2126"/>
        <w:tab w:val="left" w:pos="2552"/>
        <w:tab w:val="left" w:pos="3402"/>
        <w:tab w:val="left" w:pos="6804"/>
        <w:tab w:val="left" w:pos="7655"/>
        <w:tab w:val="left" w:pos="8505"/>
      </w:tabs>
      <w:overflowPunct/>
      <w:autoSpaceDE/>
      <w:autoSpaceDN/>
      <w:adjustRightInd/>
      <w:spacing w:after="180"/>
      <w:textAlignment w:val="auto"/>
    </w:pPr>
    <w:rPr>
      <w:sz w:val="24"/>
      <w:szCs w:val="24"/>
    </w:rPr>
  </w:style>
  <w:style w:type="paragraph" w:customStyle="1" w:styleId="Tekstpodstawowywcity9">
    <w:name w:val="Tekst podstawowy wcięty 9"/>
    <w:basedOn w:val="Tekstpodstawowywcity"/>
    <w:rsid w:val="00E71FB9"/>
    <w:pPr>
      <w:tabs>
        <w:tab w:val="left" w:pos="0"/>
        <w:tab w:val="left" w:pos="425"/>
        <w:tab w:val="left" w:pos="851"/>
        <w:tab w:val="left" w:pos="1276"/>
        <w:tab w:val="left" w:pos="1700"/>
        <w:tab w:val="left" w:pos="2126"/>
        <w:tab w:val="left" w:pos="2552"/>
        <w:tab w:val="left" w:pos="3402"/>
        <w:tab w:val="left" w:pos="6804"/>
        <w:tab w:val="left" w:pos="7655"/>
        <w:tab w:val="left" w:pos="8505"/>
      </w:tabs>
      <w:overflowPunct/>
      <w:autoSpaceDE/>
      <w:autoSpaceDN/>
      <w:adjustRightInd/>
      <w:spacing w:after="180"/>
      <w:ind w:left="0" w:firstLine="340"/>
      <w:textAlignment w:val="auto"/>
    </w:pPr>
    <w:rPr>
      <w:sz w:val="24"/>
      <w:szCs w:val="24"/>
    </w:rPr>
  </w:style>
  <w:style w:type="paragraph" w:customStyle="1" w:styleId="punkt">
    <w:name w:val="punkt"/>
    <w:basedOn w:val="Normalny"/>
    <w:rsid w:val="00E71FB9"/>
    <w:pPr>
      <w:keepNext/>
      <w:overflowPunct/>
      <w:autoSpaceDE/>
      <w:autoSpaceDN/>
      <w:adjustRightInd/>
      <w:spacing w:line="480" w:lineRule="auto"/>
      <w:textAlignment w:val="auto"/>
    </w:pPr>
    <w:rPr>
      <w:b/>
      <w:bCs/>
      <w:sz w:val="28"/>
      <w:szCs w:val="28"/>
    </w:rPr>
  </w:style>
  <w:style w:type="paragraph" w:customStyle="1" w:styleId="podpodpunkt">
    <w:name w:val="podpodpunkt"/>
    <w:basedOn w:val="Normalny"/>
    <w:rsid w:val="00E71FB9"/>
    <w:pPr>
      <w:keepNext/>
      <w:tabs>
        <w:tab w:val="left" w:pos="425"/>
        <w:tab w:val="left" w:pos="851"/>
        <w:tab w:val="left" w:pos="1276"/>
        <w:tab w:val="left" w:pos="1701"/>
        <w:tab w:val="left" w:pos="2126"/>
        <w:tab w:val="left" w:pos="2552"/>
        <w:tab w:val="left" w:pos="3402"/>
        <w:tab w:val="left" w:pos="6804"/>
        <w:tab w:val="left" w:pos="7655"/>
        <w:tab w:val="left" w:pos="8505"/>
      </w:tabs>
      <w:overflowPunct/>
      <w:autoSpaceDE/>
      <w:autoSpaceDN/>
      <w:adjustRightInd/>
      <w:spacing w:after="180"/>
      <w:textAlignment w:val="auto"/>
    </w:pPr>
    <w:rPr>
      <w:sz w:val="24"/>
      <w:szCs w:val="24"/>
    </w:rPr>
  </w:style>
  <w:style w:type="paragraph" w:customStyle="1" w:styleId="Paragraf1">
    <w:name w:val="Paragraf1"/>
    <w:basedOn w:val="Normalny"/>
    <w:rsid w:val="00E71FB9"/>
    <w:pPr>
      <w:keepNext/>
      <w:tabs>
        <w:tab w:val="left" w:pos="425"/>
        <w:tab w:val="left" w:pos="851"/>
        <w:tab w:val="left" w:pos="1276"/>
        <w:tab w:val="left" w:pos="1701"/>
        <w:tab w:val="left" w:pos="2126"/>
        <w:tab w:val="left" w:pos="2552"/>
        <w:tab w:val="left" w:pos="3402"/>
        <w:tab w:val="left" w:pos="6804"/>
        <w:tab w:val="left" w:pos="7655"/>
        <w:tab w:val="left" w:pos="8505"/>
      </w:tabs>
      <w:overflowPunct/>
      <w:autoSpaceDE/>
      <w:autoSpaceDN/>
      <w:adjustRightInd/>
      <w:spacing w:before="120" w:after="180"/>
      <w:ind w:firstLine="340"/>
      <w:textAlignment w:val="auto"/>
    </w:pPr>
    <w:rPr>
      <w:sz w:val="24"/>
      <w:szCs w:val="24"/>
    </w:rPr>
  </w:style>
  <w:style w:type="paragraph" w:customStyle="1" w:styleId="Normy">
    <w:name w:val="Normy"/>
    <w:basedOn w:val="Normalny"/>
    <w:rsid w:val="00E71FB9"/>
    <w:pPr>
      <w:tabs>
        <w:tab w:val="left" w:pos="425"/>
        <w:tab w:val="left" w:pos="851"/>
        <w:tab w:val="left" w:pos="1276"/>
        <w:tab w:val="left" w:pos="1701"/>
        <w:tab w:val="left" w:pos="2126"/>
        <w:tab w:val="left" w:pos="2552"/>
        <w:tab w:val="left" w:pos="3402"/>
        <w:tab w:val="left" w:pos="6804"/>
        <w:tab w:val="left" w:pos="7655"/>
        <w:tab w:val="left" w:pos="8505"/>
      </w:tabs>
      <w:overflowPunct/>
      <w:autoSpaceDE/>
      <w:autoSpaceDN/>
      <w:adjustRightInd/>
      <w:spacing w:after="180"/>
      <w:ind w:left="2126" w:hanging="2126"/>
      <w:textAlignment w:val="auto"/>
    </w:pPr>
    <w:rPr>
      <w:sz w:val="24"/>
      <w:szCs w:val="24"/>
    </w:rPr>
  </w:style>
  <w:style w:type="paragraph" w:customStyle="1" w:styleId="STytu">
    <w:name w:val="STytuł"/>
    <w:basedOn w:val="Normalny"/>
    <w:rsid w:val="00E71FB9"/>
    <w:pPr>
      <w:tabs>
        <w:tab w:val="left" w:pos="425"/>
        <w:tab w:val="left" w:pos="851"/>
        <w:tab w:val="left" w:pos="1276"/>
        <w:tab w:val="left" w:pos="1701"/>
        <w:tab w:val="left" w:pos="2126"/>
        <w:tab w:val="left" w:pos="2552"/>
        <w:tab w:val="left" w:pos="3402"/>
        <w:tab w:val="left" w:pos="6804"/>
        <w:tab w:val="left" w:pos="7655"/>
        <w:tab w:val="left" w:pos="8505"/>
      </w:tabs>
      <w:jc w:val="center"/>
    </w:pPr>
    <w:rPr>
      <w:b/>
      <w:bCs/>
      <w:sz w:val="36"/>
      <w:szCs w:val="36"/>
    </w:rPr>
  </w:style>
  <w:style w:type="paragraph" w:customStyle="1" w:styleId="Wierszzwp9p">
    <w:name w:val="Wiersz zw_p9p"/>
    <w:basedOn w:val="Normalny"/>
    <w:rsid w:val="00E71FB9"/>
    <w:pPr>
      <w:tabs>
        <w:tab w:val="left" w:pos="425"/>
        <w:tab w:val="left" w:pos="851"/>
        <w:tab w:val="left" w:pos="1276"/>
        <w:tab w:val="left" w:pos="1701"/>
        <w:tab w:val="left" w:pos="2126"/>
        <w:tab w:val="left" w:pos="2552"/>
        <w:tab w:val="left" w:pos="3402"/>
        <w:tab w:val="left" w:pos="6804"/>
        <w:tab w:val="left" w:pos="7655"/>
        <w:tab w:val="left" w:pos="8505"/>
      </w:tabs>
      <w:overflowPunct/>
      <w:autoSpaceDE/>
      <w:autoSpaceDN/>
      <w:adjustRightInd/>
      <w:spacing w:before="180" w:after="180"/>
      <w:textAlignment w:val="auto"/>
    </w:pPr>
    <w:rPr>
      <w:sz w:val="24"/>
      <w:szCs w:val="24"/>
    </w:rPr>
  </w:style>
  <w:style w:type="character" w:styleId="Odwoaniedokomentarza">
    <w:name w:val="annotation reference"/>
    <w:basedOn w:val="Domylnaczcionkaakapitu"/>
    <w:uiPriority w:val="99"/>
    <w:rsid w:val="00E71FB9"/>
    <w:rPr>
      <w:sz w:val="16"/>
      <w:szCs w:val="16"/>
    </w:rPr>
  </w:style>
  <w:style w:type="paragraph" w:customStyle="1" w:styleId="Normy4">
    <w:name w:val="Normy4"/>
    <w:basedOn w:val="Normalny"/>
    <w:rsid w:val="00E71FB9"/>
    <w:pPr>
      <w:tabs>
        <w:tab w:val="left" w:pos="2268"/>
        <w:tab w:val="left" w:pos="2552"/>
        <w:tab w:val="left" w:pos="3402"/>
        <w:tab w:val="left" w:pos="6804"/>
        <w:tab w:val="left" w:pos="7655"/>
        <w:tab w:val="left" w:pos="8505"/>
      </w:tabs>
      <w:overflowPunct/>
      <w:autoSpaceDE/>
      <w:autoSpaceDN/>
      <w:adjustRightInd/>
      <w:spacing w:after="180"/>
      <w:ind w:left="2268" w:hanging="2268"/>
      <w:textAlignment w:val="auto"/>
    </w:pPr>
    <w:rPr>
      <w:sz w:val="24"/>
      <w:szCs w:val="24"/>
    </w:rPr>
  </w:style>
  <w:style w:type="paragraph" w:customStyle="1" w:styleId="Par1">
    <w:name w:val="Par_1"/>
    <w:basedOn w:val="Normalny"/>
    <w:rsid w:val="00E71FB9"/>
    <w:pPr>
      <w:widowControl w:val="0"/>
      <w:tabs>
        <w:tab w:val="left" w:pos="425"/>
        <w:tab w:val="left" w:pos="851"/>
        <w:tab w:val="left" w:pos="1276"/>
        <w:tab w:val="left" w:pos="1701"/>
        <w:tab w:val="left" w:pos="2126"/>
        <w:tab w:val="left" w:pos="2552"/>
        <w:tab w:val="left" w:pos="3402"/>
        <w:tab w:val="left" w:pos="6804"/>
        <w:tab w:val="left" w:pos="7655"/>
        <w:tab w:val="left" w:pos="8505"/>
      </w:tabs>
      <w:overflowPunct/>
      <w:autoSpaceDE/>
      <w:autoSpaceDN/>
      <w:adjustRightInd/>
      <w:ind w:firstLine="340"/>
      <w:textAlignment w:val="auto"/>
    </w:pPr>
    <w:rPr>
      <w:sz w:val="24"/>
      <w:szCs w:val="24"/>
    </w:rPr>
  </w:style>
  <w:style w:type="paragraph" w:customStyle="1" w:styleId="Par9po">
    <w:name w:val="Par_9po"/>
    <w:basedOn w:val="Par1"/>
    <w:rsid w:val="00E71FB9"/>
    <w:pPr>
      <w:keepNext/>
      <w:widowControl/>
      <w:spacing w:after="180"/>
    </w:pPr>
  </w:style>
  <w:style w:type="character" w:customStyle="1" w:styleId="minus">
    <w:name w:val="minus"/>
    <w:rsid w:val="00E71FB9"/>
  </w:style>
  <w:style w:type="paragraph" w:styleId="Tekstpodstawowy2">
    <w:name w:val="Body Text 2"/>
    <w:basedOn w:val="Normalny"/>
    <w:link w:val="Tekstpodstawowy2Znak"/>
    <w:rsid w:val="00E71FB9"/>
    <w:pPr>
      <w:tabs>
        <w:tab w:val="left" w:pos="425"/>
        <w:tab w:val="left" w:pos="851"/>
        <w:tab w:val="left" w:pos="1276"/>
        <w:tab w:val="left" w:pos="1701"/>
        <w:tab w:val="left" w:pos="2126"/>
        <w:tab w:val="left" w:pos="2552"/>
        <w:tab w:val="left" w:pos="3402"/>
        <w:tab w:val="left" w:pos="6804"/>
        <w:tab w:val="left" w:pos="7655"/>
        <w:tab w:val="left" w:pos="8505"/>
      </w:tabs>
      <w:overflowPunct/>
      <w:autoSpaceDE/>
      <w:autoSpaceDN/>
      <w:adjustRightInd/>
      <w:spacing w:after="120" w:line="480" w:lineRule="auto"/>
      <w:textAlignment w:val="auto"/>
    </w:pPr>
    <w:rPr>
      <w:sz w:val="24"/>
      <w:szCs w:val="24"/>
    </w:rPr>
  </w:style>
  <w:style w:type="character" w:customStyle="1" w:styleId="Tekstpodstawowy2Znak">
    <w:name w:val="Tekst podstawowy 2 Znak"/>
    <w:basedOn w:val="Domylnaczcionkaakapitu"/>
    <w:link w:val="Tekstpodstawowy2"/>
    <w:locked/>
    <w:rsid w:val="00E71FB9"/>
    <w:rPr>
      <w:rFonts w:ascii="Times New Roman" w:hAnsi="Times New Roman" w:cs="Times New Roman"/>
      <w:sz w:val="24"/>
      <w:szCs w:val="24"/>
      <w:lang w:eastAsia="pl-PL"/>
    </w:rPr>
  </w:style>
  <w:style w:type="paragraph" w:customStyle="1" w:styleId="Bullet1points">
    <w:name w:val="Bullet 1 points"/>
    <w:basedOn w:val="Normalny"/>
    <w:rsid w:val="00E71FB9"/>
    <w:pPr>
      <w:tabs>
        <w:tab w:val="num" w:pos="720"/>
      </w:tabs>
      <w:overflowPunct/>
      <w:autoSpaceDE/>
      <w:autoSpaceDN/>
      <w:adjustRightInd/>
      <w:spacing w:before="60" w:after="60"/>
      <w:ind w:left="720" w:hanging="360"/>
      <w:textAlignment w:val="auto"/>
    </w:pPr>
  </w:style>
  <w:style w:type="character" w:customStyle="1" w:styleId="kontynuacja">
    <w:name w:val="kontynuacja"/>
    <w:rsid w:val="00E71FB9"/>
  </w:style>
  <w:style w:type="character" w:customStyle="1" w:styleId="tekstostZnak">
    <w:name w:val="tekst ost Znak"/>
    <w:basedOn w:val="Domylnaczcionkaakapitu"/>
    <w:link w:val="tekstost"/>
    <w:locked/>
    <w:rsid w:val="00E71FB9"/>
    <w:rPr>
      <w:rFonts w:ascii="Times New Roman" w:hAnsi="Times New Roman" w:cs="Times New Roman"/>
      <w:sz w:val="20"/>
      <w:szCs w:val="20"/>
      <w:lang w:eastAsia="pl-PL"/>
    </w:rPr>
  </w:style>
  <w:style w:type="paragraph" w:customStyle="1" w:styleId="WW-Tekstpodstawowywcity3">
    <w:name w:val="WW-Tekst podstawowy wcięty 3"/>
    <w:basedOn w:val="Normalny"/>
    <w:rsid w:val="00482057"/>
    <w:pPr>
      <w:suppressAutoHyphens/>
      <w:overflowPunct/>
      <w:autoSpaceDE/>
      <w:autoSpaceDN/>
      <w:adjustRightInd/>
      <w:ind w:left="360"/>
      <w:textAlignment w:val="auto"/>
    </w:pPr>
    <w:rPr>
      <w:sz w:val="24"/>
      <w:szCs w:val="24"/>
      <w:lang w:eastAsia="ar-SA"/>
    </w:rPr>
  </w:style>
  <w:style w:type="paragraph" w:customStyle="1" w:styleId="Tekstpodstawowy24">
    <w:name w:val="Tekst podstawowy 24"/>
    <w:basedOn w:val="Normalny"/>
    <w:rsid w:val="000979D7"/>
    <w:pPr>
      <w:ind w:left="360"/>
    </w:pPr>
  </w:style>
  <w:style w:type="paragraph" w:customStyle="1" w:styleId="CM7">
    <w:name w:val="CM7"/>
    <w:basedOn w:val="Default"/>
    <w:next w:val="Default"/>
    <w:uiPriority w:val="99"/>
    <w:rsid w:val="00364E4D"/>
    <w:pPr>
      <w:jc w:val="left"/>
    </w:pPr>
    <w:rPr>
      <w:rFonts w:ascii="Times New Roman" w:hAnsi="Times New Roman" w:cs="Times New Roman"/>
      <w:color w:val="auto"/>
    </w:rPr>
  </w:style>
  <w:style w:type="paragraph" w:customStyle="1" w:styleId="CM2">
    <w:name w:val="CM2"/>
    <w:basedOn w:val="Default"/>
    <w:next w:val="Default"/>
    <w:uiPriority w:val="99"/>
    <w:rsid w:val="00364E4D"/>
    <w:pPr>
      <w:spacing w:line="276" w:lineRule="atLeast"/>
      <w:jc w:val="left"/>
    </w:pPr>
    <w:rPr>
      <w:rFonts w:ascii="Times New Roman" w:hAnsi="Times New Roman" w:cs="Times New Roman"/>
      <w:color w:val="auto"/>
    </w:rPr>
  </w:style>
  <w:style w:type="paragraph" w:customStyle="1" w:styleId="CM8">
    <w:name w:val="CM8"/>
    <w:basedOn w:val="Default"/>
    <w:next w:val="Default"/>
    <w:uiPriority w:val="99"/>
    <w:rsid w:val="00364E4D"/>
    <w:pPr>
      <w:jc w:val="left"/>
    </w:pPr>
    <w:rPr>
      <w:rFonts w:ascii="Times New Roman" w:hAnsi="Times New Roman" w:cs="Times New Roman"/>
      <w:color w:val="auto"/>
    </w:rPr>
  </w:style>
  <w:style w:type="paragraph" w:customStyle="1" w:styleId="CM9">
    <w:name w:val="CM9"/>
    <w:basedOn w:val="Default"/>
    <w:next w:val="Default"/>
    <w:uiPriority w:val="99"/>
    <w:rsid w:val="00364E4D"/>
    <w:pPr>
      <w:jc w:val="left"/>
    </w:pPr>
    <w:rPr>
      <w:rFonts w:ascii="Times New Roman" w:hAnsi="Times New Roman" w:cs="Times New Roman"/>
      <w:color w:val="auto"/>
    </w:rPr>
  </w:style>
  <w:style w:type="paragraph" w:customStyle="1" w:styleId="CM10">
    <w:name w:val="CM10"/>
    <w:basedOn w:val="Default"/>
    <w:next w:val="Default"/>
    <w:uiPriority w:val="99"/>
    <w:rsid w:val="00364E4D"/>
    <w:pPr>
      <w:jc w:val="left"/>
    </w:pPr>
    <w:rPr>
      <w:rFonts w:ascii="Times New Roman" w:hAnsi="Times New Roman" w:cs="Times New Roman"/>
      <w:color w:val="auto"/>
    </w:rPr>
  </w:style>
  <w:style w:type="paragraph" w:customStyle="1" w:styleId="CM3">
    <w:name w:val="CM3"/>
    <w:basedOn w:val="Default"/>
    <w:next w:val="Default"/>
    <w:uiPriority w:val="99"/>
    <w:rsid w:val="00364E4D"/>
    <w:pPr>
      <w:spacing w:line="278" w:lineRule="atLeast"/>
      <w:jc w:val="left"/>
    </w:pPr>
    <w:rPr>
      <w:rFonts w:ascii="Times New Roman" w:hAnsi="Times New Roman" w:cs="Times New Roman"/>
      <w:color w:val="auto"/>
    </w:rPr>
  </w:style>
  <w:style w:type="paragraph" w:customStyle="1" w:styleId="CM4">
    <w:name w:val="CM4"/>
    <w:basedOn w:val="Default"/>
    <w:next w:val="Default"/>
    <w:uiPriority w:val="99"/>
    <w:rsid w:val="00364E4D"/>
    <w:pPr>
      <w:spacing w:line="288" w:lineRule="atLeast"/>
      <w:jc w:val="left"/>
    </w:pPr>
    <w:rPr>
      <w:rFonts w:ascii="Times New Roman" w:hAnsi="Times New Roman" w:cs="Times New Roman"/>
      <w:color w:val="auto"/>
    </w:rPr>
  </w:style>
  <w:style w:type="character" w:customStyle="1" w:styleId="Teksttreci9pt">
    <w:name w:val="Tekst treści + 9 pt"/>
    <w:aliases w:val="Odstępy 0 pt,Tekst treści + Kursywa"/>
    <w:basedOn w:val="Teksttreci"/>
    <w:rsid w:val="00EA48D9"/>
    <w:rPr>
      <w:rFonts w:ascii="Times New Roman" w:hAnsi="Times New Roman" w:cs="Times New Roman"/>
      <w:color w:val="000000"/>
      <w:w w:val="100"/>
      <w:position w:val="0"/>
      <w:sz w:val="18"/>
      <w:szCs w:val="18"/>
      <w:shd w:val="clear" w:color="auto" w:fill="FFFFFF"/>
      <w:lang w:val="pl-PL"/>
    </w:rPr>
  </w:style>
  <w:style w:type="paragraph" w:customStyle="1" w:styleId="podpkt11">
    <w:name w:val="pod_pkt1.1"/>
    <w:basedOn w:val="Normalny"/>
    <w:autoRedefine/>
    <w:rsid w:val="0044554B"/>
    <w:pPr>
      <w:keepNext/>
      <w:widowControl w:val="0"/>
    </w:pPr>
    <w:rPr>
      <w:b/>
      <w:bCs/>
      <w:sz w:val="24"/>
      <w:szCs w:val="24"/>
    </w:rPr>
  </w:style>
  <w:style w:type="paragraph" w:customStyle="1" w:styleId="Zwykytekst1">
    <w:name w:val="Zwykły tekst1"/>
    <w:basedOn w:val="Normalny"/>
    <w:rsid w:val="009B0E16"/>
    <w:pPr>
      <w:widowControl w:val="0"/>
      <w:jc w:val="left"/>
    </w:pPr>
    <w:rPr>
      <w:rFonts w:ascii="Courier New" w:hAnsi="Courier New" w:cs="Courier New"/>
    </w:rPr>
  </w:style>
  <w:style w:type="paragraph" w:styleId="Tekstkomentarza">
    <w:name w:val="annotation text"/>
    <w:basedOn w:val="Normalny"/>
    <w:link w:val="TekstkomentarzaZnak"/>
    <w:uiPriority w:val="99"/>
    <w:rsid w:val="00BA0EB4"/>
  </w:style>
  <w:style w:type="character" w:customStyle="1" w:styleId="TekstkomentarzaZnak">
    <w:name w:val="Tekst komentarza Znak"/>
    <w:basedOn w:val="Domylnaczcionkaakapitu"/>
    <w:link w:val="Tekstkomentarza"/>
    <w:uiPriority w:val="99"/>
    <w:locked/>
    <w:rsid w:val="00BA0EB4"/>
    <w:rPr>
      <w:rFonts w:ascii="Times New Roman" w:eastAsia="Times New Roman" w:hAnsi="Times New Roman"/>
      <w:sz w:val="20"/>
      <w:szCs w:val="20"/>
    </w:rPr>
  </w:style>
  <w:style w:type="paragraph" w:styleId="Tematkomentarza">
    <w:name w:val="annotation subject"/>
    <w:basedOn w:val="Tekstkomentarza"/>
    <w:next w:val="Tekstkomentarza"/>
    <w:link w:val="TematkomentarzaZnak"/>
    <w:rsid w:val="00CC254B"/>
    <w:rPr>
      <w:b/>
      <w:bCs/>
    </w:rPr>
  </w:style>
  <w:style w:type="character" w:customStyle="1" w:styleId="TematkomentarzaZnak">
    <w:name w:val="Temat komentarza Znak"/>
    <w:basedOn w:val="TekstkomentarzaZnak"/>
    <w:link w:val="Tematkomentarza"/>
    <w:locked/>
    <w:rsid w:val="00CC254B"/>
    <w:rPr>
      <w:rFonts w:ascii="Times New Roman" w:eastAsia="Times New Roman" w:hAnsi="Times New Roman"/>
      <w:b/>
      <w:bCs/>
      <w:sz w:val="20"/>
      <w:szCs w:val="20"/>
    </w:rPr>
  </w:style>
  <w:style w:type="paragraph" w:styleId="Zwykytekst">
    <w:name w:val="Plain Text"/>
    <w:basedOn w:val="Normalny"/>
    <w:link w:val="ZwykytekstZnak"/>
    <w:unhideWhenUsed/>
    <w:locked/>
    <w:rsid w:val="00CC585C"/>
    <w:pPr>
      <w:overflowPunct/>
      <w:autoSpaceDE/>
      <w:autoSpaceDN/>
      <w:adjustRightInd/>
      <w:jc w:val="left"/>
      <w:textAlignment w:val="auto"/>
    </w:pPr>
    <w:rPr>
      <w:rFonts w:ascii="Courier New" w:hAnsi="Courier New"/>
    </w:rPr>
  </w:style>
  <w:style w:type="character" w:customStyle="1" w:styleId="ZwykytekstZnak">
    <w:name w:val="Zwykły tekst Znak"/>
    <w:basedOn w:val="Domylnaczcionkaakapitu"/>
    <w:link w:val="Zwykytekst"/>
    <w:rsid w:val="00CC585C"/>
    <w:rPr>
      <w:rFonts w:ascii="Courier New" w:eastAsia="Times New Roman" w:hAnsi="Courier New"/>
      <w:sz w:val="20"/>
      <w:szCs w:val="20"/>
    </w:rPr>
  </w:style>
  <w:style w:type="paragraph" w:customStyle="1" w:styleId="Nagwek21">
    <w:name w:val="Nagłówek 21"/>
    <w:basedOn w:val="Default"/>
    <w:next w:val="Default"/>
    <w:uiPriority w:val="99"/>
    <w:rsid w:val="00961894"/>
    <w:pPr>
      <w:jc w:val="left"/>
    </w:pPr>
    <w:rPr>
      <w:rFonts w:ascii="Times New Roman" w:eastAsiaTheme="minorEastAsia" w:hAnsi="Times New Roman" w:cs="Times New Roman"/>
      <w:color w:val="auto"/>
    </w:rPr>
  </w:style>
  <w:style w:type="paragraph" w:customStyle="1" w:styleId="Nagwek11">
    <w:name w:val="Nagłówek 11"/>
    <w:basedOn w:val="Default"/>
    <w:next w:val="Default"/>
    <w:uiPriority w:val="99"/>
    <w:rsid w:val="00961894"/>
    <w:pPr>
      <w:jc w:val="left"/>
    </w:pPr>
    <w:rPr>
      <w:rFonts w:ascii="Times New Roman" w:eastAsiaTheme="minorEastAsia" w:hAnsi="Times New Roman" w:cs="Times New Roman"/>
      <w:color w:val="auto"/>
    </w:rPr>
  </w:style>
  <w:style w:type="paragraph" w:customStyle="1" w:styleId="Tekstprzypisudolnego1">
    <w:name w:val="Tekst przypisu dolnego1"/>
    <w:basedOn w:val="Default"/>
    <w:next w:val="Default"/>
    <w:uiPriority w:val="99"/>
    <w:rsid w:val="00961894"/>
    <w:pPr>
      <w:jc w:val="left"/>
    </w:pPr>
    <w:rPr>
      <w:rFonts w:ascii="Times New Roman" w:eastAsiaTheme="minorEastAsia" w:hAnsi="Times New Roman" w:cs="Times New Roman"/>
      <w:color w:val="auto"/>
    </w:rPr>
  </w:style>
  <w:style w:type="paragraph" w:customStyle="1" w:styleId="BodyText21">
    <w:name w:val="Body Text 21"/>
    <w:basedOn w:val="Default"/>
    <w:next w:val="Default"/>
    <w:uiPriority w:val="99"/>
    <w:rsid w:val="00961894"/>
    <w:pPr>
      <w:jc w:val="left"/>
    </w:pPr>
    <w:rPr>
      <w:rFonts w:ascii="Times New Roman" w:eastAsiaTheme="minorEastAsia" w:hAnsi="Times New Roman" w:cs="Times New Roman"/>
      <w:color w:val="auto"/>
    </w:rPr>
  </w:style>
  <w:style w:type="paragraph" w:customStyle="1" w:styleId="Stopka1">
    <w:name w:val="Stopka1"/>
    <w:basedOn w:val="Default"/>
    <w:next w:val="Default"/>
    <w:uiPriority w:val="99"/>
    <w:rsid w:val="00961894"/>
    <w:pPr>
      <w:jc w:val="left"/>
    </w:pPr>
    <w:rPr>
      <w:rFonts w:ascii="Times New Roman" w:eastAsiaTheme="minorEastAsia" w:hAnsi="Times New Roman" w:cs="Times New Roman"/>
      <w:color w:val="auto"/>
    </w:rPr>
  </w:style>
  <w:style w:type="paragraph" w:customStyle="1" w:styleId="Nagwek10">
    <w:name w:val="Nagłówek1"/>
    <w:basedOn w:val="Default"/>
    <w:next w:val="Default"/>
    <w:rsid w:val="00961894"/>
    <w:pPr>
      <w:jc w:val="left"/>
    </w:pPr>
    <w:rPr>
      <w:rFonts w:ascii="Times New Roman" w:eastAsiaTheme="minorEastAsia" w:hAnsi="Times New Roman" w:cs="Times New Roman"/>
      <w:color w:val="auto"/>
    </w:rPr>
  </w:style>
  <w:style w:type="character" w:styleId="Tekstzastpczy">
    <w:name w:val="Placeholder Text"/>
    <w:basedOn w:val="Domylnaczcionkaakapitu"/>
    <w:uiPriority w:val="99"/>
    <w:semiHidden/>
    <w:rsid w:val="00961894"/>
    <w:rPr>
      <w:color w:val="808080"/>
    </w:rPr>
  </w:style>
  <w:style w:type="paragraph" w:customStyle="1" w:styleId="Nagwek210">
    <w:name w:val="Nagłówek 21"/>
    <w:basedOn w:val="Default"/>
    <w:next w:val="Default"/>
    <w:uiPriority w:val="99"/>
    <w:rsid w:val="00630B0E"/>
    <w:pPr>
      <w:jc w:val="left"/>
    </w:pPr>
    <w:rPr>
      <w:rFonts w:ascii="Times New Roman" w:eastAsiaTheme="minorEastAsia" w:hAnsi="Times New Roman" w:cs="Times New Roman"/>
      <w:color w:val="auto"/>
    </w:rPr>
  </w:style>
  <w:style w:type="paragraph" w:customStyle="1" w:styleId="Nagwek110">
    <w:name w:val="Nagłówek 11"/>
    <w:basedOn w:val="Default"/>
    <w:next w:val="Default"/>
    <w:uiPriority w:val="99"/>
    <w:qFormat/>
    <w:rsid w:val="00630B0E"/>
    <w:pPr>
      <w:jc w:val="left"/>
    </w:pPr>
    <w:rPr>
      <w:rFonts w:ascii="Times New Roman" w:eastAsiaTheme="minorEastAsia" w:hAnsi="Times New Roman" w:cs="Times New Roman"/>
      <w:color w:val="auto"/>
    </w:rPr>
  </w:style>
  <w:style w:type="paragraph" w:customStyle="1" w:styleId="Tekstprzypisudolnego10">
    <w:name w:val="Tekst przypisu dolnego1"/>
    <w:basedOn w:val="Default"/>
    <w:next w:val="Default"/>
    <w:uiPriority w:val="99"/>
    <w:rsid w:val="00630B0E"/>
    <w:pPr>
      <w:jc w:val="left"/>
    </w:pPr>
    <w:rPr>
      <w:rFonts w:ascii="Times New Roman" w:eastAsiaTheme="minorEastAsia" w:hAnsi="Times New Roman" w:cs="Times New Roman"/>
      <w:color w:val="auto"/>
    </w:rPr>
  </w:style>
  <w:style w:type="paragraph" w:customStyle="1" w:styleId="Stopka10">
    <w:name w:val="Stopka1"/>
    <w:basedOn w:val="Default"/>
    <w:next w:val="Default"/>
    <w:uiPriority w:val="99"/>
    <w:rsid w:val="00630B0E"/>
    <w:pPr>
      <w:jc w:val="left"/>
    </w:pPr>
    <w:rPr>
      <w:rFonts w:ascii="Times New Roman" w:eastAsiaTheme="minorEastAsia" w:hAnsi="Times New Roman" w:cs="Times New Roman"/>
      <w:color w:val="auto"/>
    </w:rPr>
  </w:style>
  <w:style w:type="paragraph" w:customStyle="1" w:styleId="Nagwek12">
    <w:name w:val="Nagłówek1"/>
    <w:basedOn w:val="Default"/>
    <w:next w:val="Default"/>
    <w:rsid w:val="00630B0E"/>
    <w:pPr>
      <w:jc w:val="left"/>
    </w:pPr>
    <w:rPr>
      <w:rFonts w:ascii="Times New Roman" w:eastAsiaTheme="minorEastAsia" w:hAnsi="Times New Roman" w:cs="Times New Roman"/>
      <w:color w:val="auto"/>
    </w:rPr>
  </w:style>
  <w:style w:type="paragraph" w:customStyle="1" w:styleId="Tekstpodstawowy25">
    <w:name w:val="Tekst podstawowy 25"/>
    <w:basedOn w:val="Normalny"/>
    <w:rsid w:val="00630B0E"/>
    <w:pPr>
      <w:ind w:left="360"/>
    </w:pPr>
  </w:style>
  <w:style w:type="paragraph" w:styleId="Tekstprzypisukocowego">
    <w:name w:val="endnote text"/>
    <w:basedOn w:val="Normalny"/>
    <w:link w:val="TekstprzypisukocowegoZnak"/>
    <w:unhideWhenUsed/>
    <w:locked/>
    <w:rsid w:val="00630B0E"/>
    <w:pPr>
      <w:suppressAutoHyphens/>
      <w:autoSpaceDN/>
      <w:adjustRightInd/>
      <w:jc w:val="left"/>
      <w:textAlignment w:val="auto"/>
    </w:pPr>
    <w:rPr>
      <w:lang w:eastAsia="ar-SA"/>
    </w:rPr>
  </w:style>
  <w:style w:type="character" w:customStyle="1" w:styleId="TekstprzypisukocowegoZnak">
    <w:name w:val="Tekst przypisu końcowego Znak"/>
    <w:basedOn w:val="Domylnaczcionkaakapitu"/>
    <w:link w:val="Tekstprzypisukocowego"/>
    <w:semiHidden/>
    <w:rsid w:val="00630B0E"/>
    <w:rPr>
      <w:rFonts w:ascii="Times New Roman" w:eastAsia="Times New Roman" w:hAnsi="Times New Roman"/>
      <w:sz w:val="20"/>
      <w:szCs w:val="20"/>
      <w:lang w:eastAsia="ar-SA"/>
    </w:rPr>
  </w:style>
  <w:style w:type="paragraph" w:styleId="Tekstpodstawowy3">
    <w:name w:val="Body Text 3"/>
    <w:basedOn w:val="Normalny"/>
    <w:link w:val="Tekstpodstawowy3Znak"/>
    <w:unhideWhenUsed/>
    <w:locked/>
    <w:rsid w:val="00630B0E"/>
    <w:pPr>
      <w:spacing w:after="120"/>
      <w:textAlignment w:val="auto"/>
    </w:pPr>
    <w:rPr>
      <w:sz w:val="16"/>
      <w:szCs w:val="16"/>
    </w:rPr>
  </w:style>
  <w:style w:type="character" w:customStyle="1" w:styleId="Tekstpodstawowy3Znak">
    <w:name w:val="Tekst podstawowy 3 Znak"/>
    <w:basedOn w:val="Domylnaczcionkaakapitu"/>
    <w:link w:val="Tekstpodstawowy3"/>
    <w:rsid w:val="00630B0E"/>
    <w:rPr>
      <w:rFonts w:ascii="Times New Roman" w:eastAsia="Times New Roman" w:hAnsi="Times New Roman"/>
      <w:sz w:val="16"/>
      <w:szCs w:val="16"/>
    </w:rPr>
  </w:style>
  <w:style w:type="paragraph" w:styleId="Nagwekspisutreci">
    <w:name w:val="TOC Heading"/>
    <w:basedOn w:val="Nagwek1"/>
    <w:next w:val="Normalny"/>
    <w:uiPriority w:val="39"/>
    <w:unhideWhenUsed/>
    <w:qFormat/>
    <w:rsid w:val="00630B0E"/>
    <w:pPr>
      <w:suppressAutoHyphens w:val="0"/>
      <w:overflowPunct/>
      <w:autoSpaceDE/>
      <w:autoSpaceDN/>
      <w:adjustRightInd/>
      <w:spacing w:before="480" w:after="0" w:line="276" w:lineRule="auto"/>
      <w:jc w:val="left"/>
      <w:textAlignment w:val="auto"/>
      <w:outlineLvl w:val="9"/>
    </w:pPr>
    <w:rPr>
      <w:rFonts w:asciiTheme="majorHAnsi" w:eastAsiaTheme="majorEastAsia" w:hAnsiTheme="majorHAnsi" w:cstheme="majorBidi"/>
      <w:caps w:val="0"/>
      <w:color w:val="365F91" w:themeColor="accent1" w:themeShade="BF"/>
      <w:kern w:val="0"/>
      <w:lang w:eastAsia="en-US"/>
    </w:rPr>
  </w:style>
  <w:style w:type="paragraph" w:customStyle="1" w:styleId="C289308D74E2492DA70DEFAE9D5EDFC8">
    <w:name w:val="C289308D74E2492DA70DEFAE9D5EDFC8"/>
    <w:rsid w:val="00630B0E"/>
    <w:pPr>
      <w:spacing w:after="200" w:line="276" w:lineRule="auto"/>
    </w:pPr>
    <w:rPr>
      <w:rFonts w:asciiTheme="minorHAnsi" w:eastAsiaTheme="minorEastAsia" w:hAnsiTheme="minorHAnsi" w:cstheme="minorBidi"/>
    </w:rPr>
  </w:style>
  <w:style w:type="paragraph" w:customStyle="1" w:styleId="podpkta">
    <w:name w:val="pod_pkt_a"/>
    <w:basedOn w:val="Normalny"/>
    <w:rsid w:val="00630B0E"/>
    <w:pPr>
      <w:keepNext/>
      <w:overflowPunct/>
      <w:autoSpaceDE/>
      <w:autoSpaceDN/>
      <w:adjustRightInd/>
      <w:ind w:left="426" w:hanging="425"/>
      <w:textAlignment w:val="auto"/>
    </w:pPr>
    <w:rPr>
      <w:sz w:val="22"/>
    </w:rPr>
  </w:style>
  <w:style w:type="paragraph" w:customStyle="1" w:styleId="Style4">
    <w:name w:val="Style4"/>
    <w:basedOn w:val="Normalny"/>
    <w:uiPriority w:val="99"/>
    <w:rsid w:val="00630B0E"/>
    <w:pPr>
      <w:widowControl w:val="0"/>
      <w:overflowPunct/>
      <w:jc w:val="left"/>
      <w:textAlignment w:val="auto"/>
    </w:pPr>
    <w:rPr>
      <w:rFonts w:eastAsiaTheme="minorEastAsia"/>
      <w:sz w:val="24"/>
      <w:szCs w:val="24"/>
    </w:rPr>
  </w:style>
  <w:style w:type="paragraph" w:customStyle="1" w:styleId="Style6">
    <w:name w:val="Style6"/>
    <w:basedOn w:val="Normalny"/>
    <w:uiPriority w:val="99"/>
    <w:rsid w:val="00630B0E"/>
    <w:pPr>
      <w:widowControl w:val="0"/>
      <w:overflowPunct/>
      <w:spacing w:line="283" w:lineRule="exact"/>
      <w:ind w:firstLine="418"/>
      <w:textAlignment w:val="auto"/>
    </w:pPr>
    <w:rPr>
      <w:rFonts w:eastAsiaTheme="minorEastAsia"/>
      <w:sz w:val="24"/>
      <w:szCs w:val="24"/>
    </w:rPr>
  </w:style>
  <w:style w:type="paragraph" w:customStyle="1" w:styleId="Style7">
    <w:name w:val="Style7"/>
    <w:basedOn w:val="Normalny"/>
    <w:uiPriority w:val="99"/>
    <w:rsid w:val="00630B0E"/>
    <w:pPr>
      <w:widowControl w:val="0"/>
      <w:overflowPunct/>
      <w:jc w:val="left"/>
      <w:textAlignment w:val="auto"/>
    </w:pPr>
    <w:rPr>
      <w:rFonts w:eastAsiaTheme="minorEastAsia"/>
      <w:sz w:val="24"/>
      <w:szCs w:val="24"/>
    </w:rPr>
  </w:style>
  <w:style w:type="paragraph" w:customStyle="1" w:styleId="Style8">
    <w:name w:val="Style8"/>
    <w:basedOn w:val="Normalny"/>
    <w:uiPriority w:val="99"/>
    <w:rsid w:val="00630B0E"/>
    <w:pPr>
      <w:widowControl w:val="0"/>
      <w:overflowPunct/>
      <w:spacing w:line="283" w:lineRule="exact"/>
      <w:textAlignment w:val="auto"/>
    </w:pPr>
    <w:rPr>
      <w:rFonts w:eastAsiaTheme="minorEastAsia"/>
      <w:sz w:val="24"/>
      <w:szCs w:val="24"/>
    </w:rPr>
  </w:style>
  <w:style w:type="paragraph" w:customStyle="1" w:styleId="Style9">
    <w:name w:val="Style9"/>
    <w:basedOn w:val="Normalny"/>
    <w:uiPriority w:val="99"/>
    <w:rsid w:val="00630B0E"/>
    <w:pPr>
      <w:widowControl w:val="0"/>
      <w:overflowPunct/>
      <w:spacing w:line="283" w:lineRule="exact"/>
      <w:ind w:firstLine="341"/>
      <w:textAlignment w:val="auto"/>
    </w:pPr>
    <w:rPr>
      <w:rFonts w:eastAsiaTheme="minorEastAsia"/>
      <w:sz w:val="24"/>
      <w:szCs w:val="24"/>
    </w:rPr>
  </w:style>
  <w:style w:type="paragraph" w:customStyle="1" w:styleId="Style10">
    <w:name w:val="Style10"/>
    <w:basedOn w:val="Normalny"/>
    <w:uiPriority w:val="99"/>
    <w:rsid w:val="00630B0E"/>
    <w:pPr>
      <w:widowControl w:val="0"/>
      <w:overflowPunct/>
      <w:spacing w:line="278" w:lineRule="exact"/>
      <w:ind w:hanging="432"/>
      <w:jc w:val="left"/>
      <w:textAlignment w:val="auto"/>
    </w:pPr>
    <w:rPr>
      <w:rFonts w:eastAsiaTheme="minorEastAsia"/>
      <w:sz w:val="24"/>
      <w:szCs w:val="24"/>
    </w:rPr>
  </w:style>
  <w:style w:type="paragraph" w:customStyle="1" w:styleId="Style11">
    <w:name w:val="Style11"/>
    <w:basedOn w:val="Normalny"/>
    <w:uiPriority w:val="99"/>
    <w:rsid w:val="00630B0E"/>
    <w:pPr>
      <w:widowControl w:val="0"/>
      <w:overflowPunct/>
      <w:jc w:val="left"/>
      <w:textAlignment w:val="auto"/>
    </w:pPr>
    <w:rPr>
      <w:rFonts w:eastAsiaTheme="minorEastAsia"/>
      <w:sz w:val="24"/>
      <w:szCs w:val="24"/>
    </w:rPr>
  </w:style>
  <w:style w:type="paragraph" w:customStyle="1" w:styleId="Style17">
    <w:name w:val="Style17"/>
    <w:basedOn w:val="Normalny"/>
    <w:uiPriority w:val="99"/>
    <w:rsid w:val="00630B0E"/>
    <w:pPr>
      <w:widowControl w:val="0"/>
      <w:overflowPunct/>
      <w:textAlignment w:val="auto"/>
    </w:pPr>
    <w:rPr>
      <w:rFonts w:eastAsiaTheme="minorEastAsia"/>
      <w:sz w:val="24"/>
      <w:szCs w:val="24"/>
    </w:rPr>
  </w:style>
  <w:style w:type="paragraph" w:customStyle="1" w:styleId="Style19">
    <w:name w:val="Style19"/>
    <w:basedOn w:val="Normalny"/>
    <w:uiPriority w:val="99"/>
    <w:rsid w:val="00630B0E"/>
    <w:pPr>
      <w:widowControl w:val="0"/>
      <w:overflowPunct/>
      <w:spacing w:line="235" w:lineRule="exact"/>
      <w:ind w:firstLine="110"/>
      <w:jc w:val="left"/>
      <w:textAlignment w:val="auto"/>
    </w:pPr>
    <w:rPr>
      <w:rFonts w:eastAsiaTheme="minorEastAsia"/>
      <w:sz w:val="24"/>
      <w:szCs w:val="24"/>
    </w:rPr>
  </w:style>
  <w:style w:type="paragraph" w:customStyle="1" w:styleId="Style20">
    <w:name w:val="Style20"/>
    <w:basedOn w:val="Normalny"/>
    <w:uiPriority w:val="99"/>
    <w:rsid w:val="00630B0E"/>
    <w:pPr>
      <w:widowControl w:val="0"/>
      <w:overflowPunct/>
      <w:jc w:val="left"/>
      <w:textAlignment w:val="auto"/>
    </w:pPr>
    <w:rPr>
      <w:rFonts w:eastAsiaTheme="minorEastAsia"/>
      <w:sz w:val="24"/>
      <w:szCs w:val="24"/>
    </w:rPr>
  </w:style>
  <w:style w:type="paragraph" w:customStyle="1" w:styleId="Style21">
    <w:name w:val="Style21"/>
    <w:basedOn w:val="Normalny"/>
    <w:uiPriority w:val="99"/>
    <w:rsid w:val="00630B0E"/>
    <w:pPr>
      <w:widowControl w:val="0"/>
      <w:overflowPunct/>
      <w:jc w:val="left"/>
      <w:textAlignment w:val="auto"/>
    </w:pPr>
    <w:rPr>
      <w:rFonts w:eastAsiaTheme="minorEastAsia"/>
      <w:sz w:val="24"/>
      <w:szCs w:val="24"/>
    </w:rPr>
  </w:style>
  <w:style w:type="paragraph" w:customStyle="1" w:styleId="Style23">
    <w:name w:val="Style23"/>
    <w:basedOn w:val="Normalny"/>
    <w:uiPriority w:val="99"/>
    <w:rsid w:val="00630B0E"/>
    <w:pPr>
      <w:widowControl w:val="0"/>
      <w:overflowPunct/>
      <w:spacing w:line="235" w:lineRule="exact"/>
      <w:jc w:val="center"/>
      <w:textAlignment w:val="auto"/>
    </w:pPr>
    <w:rPr>
      <w:rFonts w:eastAsiaTheme="minorEastAsia"/>
      <w:sz w:val="24"/>
      <w:szCs w:val="24"/>
    </w:rPr>
  </w:style>
  <w:style w:type="paragraph" w:customStyle="1" w:styleId="Style24">
    <w:name w:val="Style24"/>
    <w:basedOn w:val="Normalny"/>
    <w:uiPriority w:val="99"/>
    <w:rsid w:val="00630B0E"/>
    <w:pPr>
      <w:widowControl w:val="0"/>
      <w:overflowPunct/>
      <w:jc w:val="left"/>
      <w:textAlignment w:val="auto"/>
    </w:pPr>
    <w:rPr>
      <w:rFonts w:eastAsiaTheme="minorEastAsia"/>
      <w:sz w:val="24"/>
      <w:szCs w:val="24"/>
    </w:rPr>
  </w:style>
  <w:style w:type="paragraph" w:customStyle="1" w:styleId="Style26">
    <w:name w:val="Style26"/>
    <w:basedOn w:val="Normalny"/>
    <w:uiPriority w:val="99"/>
    <w:rsid w:val="00630B0E"/>
    <w:pPr>
      <w:widowControl w:val="0"/>
      <w:overflowPunct/>
      <w:jc w:val="left"/>
      <w:textAlignment w:val="auto"/>
    </w:pPr>
    <w:rPr>
      <w:rFonts w:eastAsiaTheme="minorEastAsia"/>
      <w:sz w:val="24"/>
      <w:szCs w:val="24"/>
    </w:rPr>
  </w:style>
  <w:style w:type="paragraph" w:customStyle="1" w:styleId="Style15">
    <w:name w:val="Style15"/>
    <w:basedOn w:val="Normalny"/>
    <w:rsid w:val="00630B0E"/>
    <w:pPr>
      <w:widowControl w:val="0"/>
      <w:overflowPunct/>
      <w:spacing w:line="408" w:lineRule="exact"/>
      <w:ind w:firstLine="422"/>
      <w:jc w:val="left"/>
      <w:textAlignment w:val="auto"/>
    </w:pPr>
    <w:rPr>
      <w:rFonts w:eastAsiaTheme="minorEastAsia"/>
      <w:sz w:val="24"/>
      <w:szCs w:val="24"/>
    </w:rPr>
  </w:style>
  <w:style w:type="paragraph" w:customStyle="1" w:styleId="Style25">
    <w:name w:val="Style25"/>
    <w:basedOn w:val="Normalny"/>
    <w:uiPriority w:val="99"/>
    <w:rsid w:val="00630B0E"/>
    <w:pPr>
      <w:widowControl w:val="0"/>
      <w:overflowPunct/>
      <w:textAlignment w:val="auto"/>
    </w:pPr>
    <w:rPr>
      <w:rFonts w:eastAsiaTheme="minorEastAsia"/>
      <w:sz w:val="24"/>
      <w:szCs w:val="24"/>
    </w:rPr>
  </w:style>
  <w:style w:type="paragraph" w:customStyle="1" w:styleId="Style13">
    <w:name w:val="Style13"/>
    <w:basedOn w:val="Normalny"/>
    <w:uiPriority w:val="99"/>
    <w:rsid w:val="00630B0E"/>
    <w:pPr>
      <w:widowControl w:val="0"/>
      <w:overflowPunct/>
      <w:spacing w:line="230" w:lineRule="exact"/>
      <w:jc w:val="left"/>
      <w:textAlignment w:val="auto"/>
    </w:pPr>
    <w:rPr>
      <w:rFonts w:eastAsiaTheme="minorEastAsia"/>
      <w:sz w:val="24"/>
      <w:szCs w:val="24"/>
    </w:rPr>
  </w:style>
  <w:style w:type="paragraph" w:customStyle="1" w:styleId="Style22">
    <w:name w:val="Style22"/>
    <w:basedOn w:val="Normalny"/>
    <w:uiPriority w:val="99"/>
    <w:rsid w:val="00630B0E"/>
    <w:pPr>
      <w:widowControl w:val="0"/>
      <w:overflowPunct/>
      <w:spacing w:line="230" w:lineRule="exact"/>
      <w:ind w:hanging="178"/>
      <w:jc w:val="left"/>
      <w:textAlignment w:val="auto"/>
    </w:pPr>
    <w:rPr>
      <w:rFonts w:eastAsiaTheme="minorEastAsia"/>
      <w:sz w:val="24"/>
      <w:szCs w:val="24"/>
    </w:rPr>
  </w:style>
  <w:style w:type="paragraph" w:customStyle="1" w:styleId="Style28">
    <w:name w:val="Style28"/>
    <w:basedOn w:val="Normalny"/>
    <w:uiPriority w:val="99"/>
    <w:rsid w:val="00630B0E"/>
    <w:pPr>
      <w:widowControl w:val="0"/>
      <w:overflowPunct/>
      <w:spacing w:line="230" w:lineRule="exact"/>
      <w:textAlignment w:val="auto"/>
    </w:pPr>
    <w:rPr>
      <w:rFonts w:eastAsiaTheme="minorEastAsia"/>
      <w:sz w:val="24"/>
      <w:szCs w:val="24"/>
    </w:rPr>
  </w:style>
  <w:style w:type="paragraph" w:customStyle="1" w:styleId="Style30">
    <w:name w:val="Style30"/>
    <w:basedOn w:val="Normalny"/>
    <w:uiPriority w:val="99"/>
    <w:rsid w:val="00630B0E"/>
    <w:pPr>
      <w:widowControl w:val="0"/>
      <w:overflowPunct/>
      <w:spacing w:line="240" w:lineRule="exact"/>
      <w:jc w:val="center"/>
      <w:textAlignment w:val="auto"/>
    </w:pPr>
    <w:rPr>
      <w:rFonts w:eastAsiaTheme="minorEastAsia"/>
      <w:sz w:val="24"/>
      <w:szCs w:val="24"/>
    </w:rPr>
  </w:style>
  <w:style w:type="paragraph" w:customStyle="1" w:styleId="Style36">
    <w:name w:val="Style36"/>
    <w:basedOn w:val="Normalny"/>
    <w:uiPriority w:val="99"/>
    <w:rsid w:val="00630B0E"/>
    <w:pPr>
      <w:widowControl w:val="0"/>
      <w:overflowPunct/>
      <w:jc w:val="left"/>
      <w:textAlignment w:val="auto"/>
    </w:pPr>
    <w:rPr>
      <w:rFonts w:eastAsiaTheme="minorEastAsia"/>
      <w:sz w:val="24"/>
      <w:szCs w:val="24"/>
    </w:rPr>
  </w:style>
  <w:style w:type="paragraph" w:customStyle="1" w:styleId="Style39">
    <w:name w:val="Style39"/>
    <w:basedOn w:val="Normalny"/>
    <w:uiPriority w:val="99"/>
    <w:rsid w:val="00630B0E"/>
    <w:pPr>
      <w:widowControl w:val="0"/>
      <w:overflowPunct/>
      <w:jc w:val="left"/>
      <w:textAlignment w:val="auto"/>
    </w:pPr>
    <w:rPr>
      <w:rFonts w:eastAsiaTheme="minorEastAsia"/>
      <w:sz w:val="24"/>
      <w:szCs w:val="24"/>
    </w:rPr>
  </w:style>
  <w:style w:type="paragraph" w:customStyle="1" w:styleId="Style32">
    <w:name w:val="Style32"/>
    <w:basedOn w:val="Normalny"/>
    <w:uiPriority w:val="99"/>
    <w:rsid w:val="00630B0E"/>
    <w:pPr>
      <w:widowControl w:val="0"/>
      <w:overflowPunct/>
      <w:jc w:val="left"/>
      <w:textAlignment w:val="auto"/>
    </w:pPr>
    <w:rPr>
      <w:rFonts w:eastAsiaTheme="minorEastAsia"/>
      <w:sz w:val="24"/>
      <w:szCs w:val="24"/>
    </w:rPr>
  </w:style>
  <w:style w:type="paragraph" w:customStyle="1" w:styleId="Style33">
    <w:name w:val="Style33"/>
    <w:basedOn w:val="Normalny"/>
    <w:uiPriority w:val="99"/>
    <w:rsid w:val="00630B0E"/>
    <w:pPr>
      <w:widowControl w:val="0"/>
      <w:overflowPunct/>
      <w:spacing w:line="211" w:lineRule="exact"/>
      <w:jc w:val="left"/>
      <w:textAlignment w:val="auto"/>
    </w:pPr>
    <w:rPr>
      <w:rFonts w:eastAsiaTheme="minorEastAsia"/>
      <w:sz w:val="24"/>
      <w:szCs w:val="24"/>
    </w:rPr>
  </w:style>
  <w:style w:type="paragraph" w:customStyle="1" w:styleId="Style35">
    <w:name w:val="Style35"/>
    <w:basedOn w:val="Normalny"/>
    <w:uiPriority w:val="99"/>
    <w:rsid w:val="00630B0E"/>
    <w:pPr>
      <w:widowControl w:val="0"/>
      <w:overflowPunct/>
      <w:jc w:val="left"/>
      <w:textAlignment w:val="auto"/>
    </w:pPr>
    <w:rPr>
      <w:rFonts w:eastAsiaTheme="minorEastAsia"/>
      <w:sz w:val="24"/>
      <w:szCs w:val="24"/>
    </w:rPr>
  </w:style>
  <w:style w:type="paragraph" w:customStyle="1" w:styleId="Style38">
    <w:name w:val="Style38"/>
    <w:basedOn w:val="Normalny"/>
    <w:uiPriority w:val="99"/>
    <w:rsid w:val="00630B0E"/>
    <w:pPr>
      <w:widowControl w:val="0"/>
      <w:overflowPunct/>
      <w:jc w:val="left"/>
      <w:textAlignment w:val="auto"/>
    </w:pPr>
    <w:rPr>
      <w:rFonts w:eastAsiaTheme="minorEastAsia"/>
      <w:sz w:val="24"/>
      <w:szCs w:val="24"/>
    </w:rPr>
  </w:style>
  <w:style w:type="paragraph" w:customStyle="1" w:styleId="Style42">
    <w:name w:val="Style42"/>
    <w:basedOn w:val="Normalny"/>
    <w:uiPriority w:val="99"/>
    <w:rsid w:val="00630B0E"/>
    <w:pPr>
      <w:widowControl w:val="0"/>
      <w:overflowPunct/>
      <w:jc w:val="center"/>
      <w:textAlignment w:val="auto"/>
    </w:pPr>
    <w:rPr>
      <w:rFonts w:eastAsiaTheme="minorEastAsia"/>
      <w:sz w:val="24"/>
      <w:szCs w:val="24"/>
    </w:rPr>
  </w:style>
  <w:style w:type="paragraph" w:customStyle="1" w:styleId="Style49">
    <w:name w:val="Style49"/>
    <w:basedOn w:val="Normalny"/>
    <w:uiPriority w:val="99"/>
    <w:rsid w:val="00630B0E"/>
    <w:pPr>
      <w:widowControl w:val="0"/>
      <w:overflowPunct/>
      <w:spacing w:line="235" w:lineRule="exact"/>
      <w:ind w:hanging="1070"/>
      <w:jc w:val="left"/>
      <w:textAlignment w:val="auto"/>
    </w:pPr>
    <w:rPr>
      <w:rFonts w:eastAsiaTheme="minorEastAsia"/>
      <w:sz w:val="24"/>
      <w:szCs w:val="24"/>
    </w:rPr>
  </w:style>
  <w:style w:type="paragraph" w:customStyle="1" w:styleId="Style47">
    <w:name w:val="Style47"/>
    <w:basedOn w:val="Normalny"/>
    <w:uiPriority w:val="99"/>
    <w:rsid w:val="00630B0E"/>
    <w:pPr>
      <w:widowControl w:val="0"/>
      <w:overflowPunct/>
      <w:jc w:val="left"/>
      <w:textAlignment w:val="auto"/>
    </w:pPr>
    <w:rPr>
      <w:rFonts w:eastAsiaTheme="minorEastAsia"/>
      <w:sz w:val="24"/>
      <w:szCs w:val="24"/>
    </w:rPr>
  </w:style>
  <w:style w:type="paragraph" w:customStyle="1" w:styleId="Style51">
    <w:name w:val="Style51"/>
    <w:basedOn w:val="Normalny"/>
    <w:uiPriority w:val="99"/>
    <w:rsid w:val="00630B0E"/>
    <w:pPr>
      <w:widowControl w:val="0"/>
      <w:overflowPunct/>
      <w:spacing w:line="283" w:lineRule="exact"/>
      <w:textAlignment w:val="auto"/>
    </w:pPr>
    <w:rPr>
      <w:rFonts w:eastAsiaTheme="minorEastAsia"/>
      <w:sz w:val="24"/>
      <w:szCs w:val="24"/>
    </w:rPr>
  </w:style>
  <w:style w:type="paragraph" w:customStyle="1" w:styleId="Style53">
    <w:name w:val="Style53"/>
    <w:basedOn w:val="Normalny"/>
    <w:uiPriority w:val="99"/>
    <w:rsid w:val="00630B0E"/>
    <w:pPr>
      <w:widowControl w:val="0"/>
      <w:overflowPunct/>
      <w:spacing w:line="278" w:lineRule="exact"/>
      <w:ind w:hanging="427"/>
      <w:jc w:val="left"/>
      <w:textAlignment w:val="auto"/>
    </w:pPr>
    <w:rPr>
      <w:rFonts w:eastAsiaTheme="minorEastAsia"/>
      <w:sz w:val="24"/>
      <w:szCs w:val="24"/>
    </w:rPr>
  </w:style>
  <w:style w:type="paragraph" w:customStyle="1" w:styleId="Style52">
    <w:name w:val="Style52"/>
    <w:basedOn w:val="Normalny"/>
    <w:uiPriority w:val="99"/>
    <w:rsid w:val="00630B0E"/>
    <w:pPr>
      <w:widowControl w:val="0"/>
      <w:overflowPunct/>
      <w:spacing w:line="403" w:lineRule="exact"/>
      <w:ind w:hanging="418"/>
      <w:jc w:val="left"/>
      <w:textAlignment w:val="auto"/>
    </w:pPr>
    <w:rPr>
      <w:rFonts w:eastAsiaTheme="minorEastAsia"/>
      <w:sz w:val="24"/>
      <w:szCs w:val="24"/>
    </w:rPr>
  </w:style>
  <w:style w:type="paragraph" w:customStyle="1" w:styleId="Style56">
    <w:name w:val="Style56"/>
    <w:basedOn w:val="Normalny"/>
    <w:uiPriority w:val="99"/>
    <w:rsid w:val="00630B0E"/>
    <w:pPr>
      <w:widowControl w:val="0"/>
      <w:overflowPunct/>
      <w:spacing w:line="398" w:lineRule="exact"/>
      <w:ind w:firstLine="504"/>
      <w:jc w:val="left"/>
      <w:textAlignment w:val="auto"/>
    </w:pPr>
    <w:rPr>
      <w:rFonts w:eastAsiaTheme="minorEastAsia"/>
      <w:sz w:val="24"/>
      <w:szCs w:val="24"/>
    </w:rPr>
  </w:style>
  <w:style w:type="paragraph" w:customStyle="1" w:styleId="Style29">
    <w:name w:val="Style29"/>
    <w:basedOn w:val="Normalny"/>
    <w:uiPriority w:val="99"/>
    <w:rsid w:val="00630B0E"/>
    <w:pPr>
      <w:widowControl w:val="0"/>
      <w:overflowPunct/>
      <w:spacing w:line="235" w:lineRule="exact"/>
      <w:ind w:hanging="854"/>
      <w:jc w:val="left"/>
      <w:textAlignment w:val="auto"/>
    </w:pPr>
    <w:rPr>
      <w:rFonts w:eastAsiaTheme="minorEastAsia"/>
      <w:sz w:val="24"/>
      <w:szCs w:val="24"/>
    </w:rPr>
  </w:style>
  <w:style w:type="paragraph" w:customStyle="1" w:styleId="Style16">
    <w:name w:val="Style16"/>
    <w:basedOn w:val="Normalny"/>
    <w:uiPriority w:val="99"/>
    <w:rsid w:val="00630B0E"/>
    <w:pPr>
      <w:widowControl w:val="0"/>
      <w:overflowPunct/>
      <w:jc w:val="left"/>
      <w:textAlignment w:val="auto"/>
    </w:pPr>
    <w:rPr>
      <w:rFonts w:eastAsiaTheme="minorEastAsia"/>
      <w:sz w:val="24"/>
      <w:szCs w:val="24"/>
    </w:rPr>
  </w:style>
  <w:style w:type="paragraph" w:customStyle="1" w:styleId="Style45">
    <w:name w:val="Style45"/>
    <w:basedOn w:val="Normalny"/>
    <w:uiPriority w:val="99"/>
    <w:rsid w:val="00630B0E"/>
    <w:pPr>
      <w:widowControl w:val="0"/>
      <w:overflowPunct/>
      <w:jc w:val="left"/>
      <w:textAlignment w:val="auto"/>
    </w:pPr>
    <w:rPr>
      <w:rFonts w:eastAsiaTheme="minorEastAsia"/>
      <w:sz w:val="24"/>
      <w:szCs w:val="24"/>
    </w:rPr>
  </w:style>
  <w:style w:type="paragraph" w:customStyle="1" w:styleId="Style48">
    <w:name w:val="Style48"/>
    <w:basedOn w:val="Normalny"/>
    <w:uiPriority w:val="99"/>
    <w:rsid w:val="00630B0E"/>
    <w:pPr>
      <w:widowControl w:val="0"/>
      <w:overflowPunct/>
      <w:jc w:val="left"/>
      <w:textAlignment w:val="auto"/>
    </w:pPr>
    <w:rPr>
      <w:rFonts w:eastAsiaTheme="minorEastAsia"/>
      <w:sz w:val="24"/>
      <w:szCs w:val="24"/>
    </w:rPr>
  </w:style>
  <w:style w:type="paragraph" w:customStyle="1" w:styleId="Style54">
    <w:name w:val="Style54"/>
    <w:basedOn w:val="Normalny"/>
    <w:uiPriority w:val="99"/>
    <w:rsid w:val="00630B0E"/>
    <w:pPr>
      <w:widowControl w:val="0"/>
      <w:overflowPunct/>
      <w:spacing w:line="235" w:lineRule="exact"/>
      <w:ind w:hanging="572"/>
      <w:jc w:val="left"/>
      <w:textAlignment w:val="auto"/>
    </w:pPr>
    <w:rPr>
      <w:rFonts w:eastAsiaTheme="minorEastAsia"/>
      <w:sz w:val="24"/>
      <w:szCs w:val="24"/>
    </w:rPr>
  </w:style>
  <w:style w:type="paragraph" w:customStyle="1" w:styleId="Style12">
    <w:name w:val="Style12"/>
    <w:basedOn w:val="Normalny"/>
    <w:uiPriority w:val="99"/>
    <w:rsid w:val="00630B0E"/>
    <w:pPr>
      <w:widowControl w:val="0"/>
      <w:overflowPunct/>
      <w:jc w:val="left"/>
      <w:textAlignment w:val="auto"/>
    </w:pPr>
    <w:rPr>
      <w:rFonts w:eastAsiaTheme="minorEastAsia"/>
      <w:sz w:val="24"/>
      <w:szCs w:val="24"/>
    </w:rPr>
  </w:style>
  <w:style w:type="paragraph" w:customStyle="1" w:styleId="Style31">
    <w:name w:val="Style31"/>
    <w:basedOn w:val="Normalny"/>
    <w:uiPriority w:val="99"/>
    <w:rsid w:val="00630B0E"/>
    <w:pPr>
      <w:widowControl w:val="0"/>
      <w:overflowPunct/>
      <w:spacing w:line="283" w:lineRule="exact"/>
      <w:ind w:firstLine="845"/>
      <w:jc w:val="left"/>
      <w:textAlignment w:val="auto"/>
    </w:pPr>
    <w:rPr>
      <w:rFonts w:eastAsiaTheme="minorEastAsia"/>
      <w:sz w:val="24"/>
      <w:szCs w:val="24"/>
    </w:rPr>
  </w:style>
  <w:style w:type="paragraph" w:customStyle="1" w:styleId="Style14">
    <w:name w:val="Style14"/>
    <w:basedOn w:val="Normalny"/>
    <w:uiPriority w:val="99"/>
    <w:rsid w:val="00630B0E"/>
    <w:pPr>
      <w:widowControl w:val="0"/>
      <w:overflowPunct/>
      <w:spacing w:line="235" w:lineRule="exact"/>
      <w:ind w:hanging="979"/>
      <w:jc w:val="left"/>
      <w:textAlignment w:val="auto"/>
    </w:pPr>
    <w:rPr>
      <w:rFonts w:eastAsiaTheme="minorEastAsia"/>
      <w:sz w:val="24"/>
      <w:szCs w:val="24"/>
    </w:rPr>
  </w:style>
  <w:style w:type="paragraph" w:customStyle="1" w:styleId="Style43">
    <w:name w:val="Style43"/>
    <w:basedOn w:val="Normalny"/>
    <w:uiPriority w:val="99"/>
    <w:rsid w:val="00630B0E"/>
    <w:pPr>
      <w:widowControl w:val="0"/>
      <w:overflowPunct/>
      <w:spacing w:line="461" w:lineRule="exact"/>
      <w:ind w:hanging="509"/>
      <w:jc w:val="left"/>
      <w:textAlignment w:val="auto"/>
    </w:pPr>
    <w:rPr>
      <w:rFonts w:eastAsiaTheme="minorEastAsia"/>
      <w:sz w:val="24"/>
      <w:szCs w:val="24"/>
    </w:rPr>
  </w:style>
  <w:style w:type="paragraph" w:customStyle="1" w:styleId="Style44">
    <w:name w:val="Style44"/>
    <w:basedOn w:val="Normalny"/>
    <w:uiPriority w:val="99"/>
    <w:rsid w:val="00630B0E"/>
    <w:pPr>
      <w:widowControl w:val="0"/>
      <w:overflowPunct/>
      <w:spacing w:line="288" w:lineRule="exact"/>
      <w:ind w:hanging="418"/>
      <w:jc w:val="left"/>
      <w:textAlignment w:val="auto"/>
    </w:pPr>
    <w:rPr>
      <w:rFonts w:eastAsiaTheme="minorEastAsia"/>
      <w:sz w:val="24"/>
      <w:szCs w:val="24"/>
    </w:rPr>
  </w:style>
  <w:style w:type="paragraph" w:customStyle="1" w:styleId="Style37">
    <w:name w:val="Style37"/>
    <w:basedOn w:val="Normalny"/>
    <w:uiPriority w:val="99"/>
    <w:rsid w:val="00630B0E"/>
    <w:pPr>
      <w:widowControl w:val="0"/>
      <w:overflowPunct/>
      <w:spacing w:line="283" w:lineRule="exact"/>
      <w:ind w:firstLine="701"/>
      <w:textAlignment w:val="auto"/>
    </w:pPr>
    <w:rPr>
      <w:rFonts w:eastAsiaTheme="minorEastAsia"/>
      <w:sz w:val="24"/>
      <w:szCs w:val="24"/>
    </w:rPr>
  </w:style>
  <w:style w:type="paragraph" w:customStyle="1" w:styleId="Style50">
    <w:name w:val="Style50"/>
    <w:basedOn w:val="Normalny"/>
    <w:uiPriority w:val="99"/>
    <w:rsid w:val="00630B0E"/>
    <w:pPr>
      <w:widowControl w:val="0"/>
      <w:overflowPunct/>
      <w:jc w:val="left"/>
      <w:textAlignment w:val="auto"/>
    </w:pPr>
    <w:rPr>
      <w:rFonts w:eastAsiaTheme="minorEastAsia"/>
      <w:sz w:val="24"/>
      <w:szCs w:val="24"/>
    </w:rPr>
  </w:style>
  <w:style w:type="paragraph" w:customStyle="1" w:styleId="Style40">
    <w:name w:val="Style40"/>
    <w:basedOn w:val="Normalny"/>
    <w:uiPriority w:val="99"/>
    <w:rsid w:val="00630B0E"/>
    <w:pPr>
      <w:widowControl w:val="0"/>
      <w:overflowPunct/>
      <w:jc w:val="left"/>
      <w:textAlignment w:val="auto"/>
    </w:pPr>
    <w:rPr>
      <w:rFonts w:eastAsiaTheme="minorEastAsia"/>
      <w:sz w:val="24"/>
      <w:szCs w:val="24"/>
    </w:rPr>
  </w:style>
  <w:style w:type="paragraph" w:customStyle="1" w:styleId="Style46">
    <w:name w:val="Style46"/>
    <w:basedOn w:val="Normalny"/>
    <w:uiPriority w:val="99"/>
    <w:rsid w:val="00630B0E"/>
    <w:pPr>
      <w:widowControl w:val="0"/>
      <w:overflowPunct/>
      <w:jc w:val="left"/>
      <w:textAlignment w:val="auto"/>
    </w:pPr>
    <w:rPr>
      <w:rFonts w:eastAsiaTheme="minorEastAsia"/>
      <w:sz w:val="24"/>
      <w:szCs w:val="24"/>
    </w:rPr>
  </w:style>
  <w:style w:type="paragraph" w:customStyle="1" w:styleId="Style55">
    <w:name w:val="Style55"/>
    <w:basedOn w:val="Normalny"/>
    <w:uiPriority w:val="99"/>
    <w:rsid w:val="00630B0E"/>
    <w:pPr>
      <w:widowControl w:val="0"/>
      <w:overflowPunct/>
      <w:spacing w:line="283" w:lineRule="exact"/>
      <w:ind w:hanging="312"/>
      <w:jc w:val="left"/>
      <w:textAlignment w:val="auto"/>
    </w:pPr>
    <w:rPr>
      <w:rFonts w:eastAsiaTheme="minorEastAsia"/>
      <w:sz w:val="24"/>
      <w:szCs w:val="24"/>
    </w:rPr>
  </w:style>
  <w:style w:type="paragraph" w:customStyle="1" w:styleId="a2">
    <w:name w:val="a2"/>
    <w:basedOn w:val="Normalny"/>
    <w:rsid w:val="00630B0E"/>
    <w:pPr>
      <w:tabs>
        <w:tab w:val="num" w:pos="397"/>
      </w:tabs>
      <w:suppressAutoHyphens/>
      <w:overflowPunct/>
      <w:autoSpaceDE/>
      <w:autoSpaceDN/>
      <w:adjustRightInd/>
      <w:spacing w:after="120" w:line="300" w:lineRule="atLeast"/>
      <w:ind w:left="397" w:hanging="397"/>
      <w:textAlignment w:val="auto"/>
    </w:pPr>
    <w:rPr>
      <w:rFonts w:ascii="Arial" w:hAnsi="Arial"/>
      <w:bCs/>
      <w:sz w:val="24"/>
      <w:lang w:eastAsia="ar-SA"/>
    </w:rPr>
  </w:style>
  <w:style w:type="paragraph" w:customStyle="1" w:styleId="Tekstpodstawowywcity21">
    <w:name w:val="Tekst podstawowy wcięty 21"/>
    <w:basedOn w:val="Normalny"/>
    <w:rsid w:val="00630B0E"/>
    <w:pPr>
      <w:overflowPunct/>
      <w:autoSpaceDE/>
      <w:autoSpaceDN/>
      <w:adjustRightInd/>
      <w:spacing w:line="360" w:lineRule="auto"/>
      <w:ind w:left="709"/>
      <w:textAlignment w:val="auto"/>
    </w:pPr>
    <w:rPr>
      <w:rFonts w:ascii="Arial" w:hAnsi="Arial"/>
      <w:sz w:val="24"/>
    </w:rPr>
  </w:style>
  <w:style w:type="paragraph" w:customStyle="1" w:styleId="BodyTextIndent21">
    <w:name w:val="Body Text Indent 21"/>
    <w:basedOn w:val="Normalny"/>
    <w:rsid w:val="00630B0E"/>
    <w:pPr>
      <w:overflowPunct/>
      <w:autoSpaceDE/>
      <w:autoSpaceDN/>
      <w:adjustRightInd/>
      <w:spacing w:line="360" w:lineRule="auto"/>
      <w:ind w:left="709"/>
      <w:textAlignment w:val="auto"/>
    </w:pPr>
    <w:rPr>
      <w:rFonts w:ascii="Arial" w:hAnsi="Arial"/>
      <w:sz w:val="24"/>
    </w:rPr>
  </w:style>
  <w:style w:type="paragraph" w:customStyle="1" w:styleId="Standard">
    <w:name w:val="Standard"/>
    <w:rsid w:val="00630B0E"/>
    <w:pPr>
      <w:widowControl w:val="0"/>
      <w:suppressAutoHyphens/>
      <w:autoSpaceDE w:val="0"/>
    </w:pPr>
    <w:rPr>
      <w:rFonts w:ascii="Times New Roman" w:eastAsia="Times New Roman" w:hAnsi="Times New Roman"/>
      <w:sz w:val="24"/>
      <w:szCs w:val="24"/>
      <w:lang w:eastAsia="ar-SA"/>
    </w:rPr>
  </w:style>
  <w:style w:type="paragraph" w:customStyle="1" w:styleId="z1">
    <w:name w:val="z1"/>
    <w:rsid w:val="00630B0E"/>
    <w:pPr>
      <w:widowControl w:val="0"/>
      <w:tabs>
        <w:tab w:val="left" w:pos="397"/>
      </w:tabs>
      <w:autoSpaceDE w:val="0"/>
      <w:autoSpaceDN w:val="0"/>
      <w:adjustRightInd w:val="0"/>
      <w:spacing w:before="170" w:line="360" w:lineRule="auto"/>
      <w:jc w:val="both"/>
    </w:pPr>
    <w:rPr>
      <w:rFonts w:ascii="Times New Roman" w:eastAsia="Times New Roman" w:hAnsi="Times New Roman"/>
      <w:b/>
      <w:bCs/>
      <w:color w:val="000000"/>
      <w:sz w:val="28"/>
      <w:szCs w:val="23"/>
    </w:rPr>
  </w:style>
  <w:style w:type="paragraph" w:customStyle="1" w:styleId="znormal">
    <w:name w:val="z_normal"/>
    <w:rsid w:val="00630B0E"/>
    <w:pPr>
      <w:widowControl w:val="0"/>
      <w:autoSpaceDE w:val="0"/>
      <w:autoSpaceDN w:val="0"/>
      <w:adjustRightInd w:val="0"/>
      <w:spacing w:line="360" w:lineRule="auto"/>
      <w:ind w:left="397"/>
      <w:jc w:val="both"/>
    </w:pPr>
    <w:rPr>
      <w:rFonts w:ascii="Times New Roman" w:eastAsia="Times New Roman" w:hAnsi="Times New Roman"/>
      <w:color w:val="000000"/>
      <w:szCs w:val="23"/>
    </w:rPr>
  </w:style>
  <w:style w:type="paragraph" w:customStyle="1" w:styleId="z11">
    <w:name w:val="z11"/>
    <w:rsid w:val="00630B0E"/>
    <w:pPr>
      <w:widowControl w:val="0"/>
      <w:autoSpaceDE w:val="0"/>
      <w:autoSpaceDN w:val="0"/>
      <w:adjustRightInd w:val="0"/>
      <w:spacing w:before="57" w:line="224" w:lineRule="exact"/>
      <w:jc w:val="both"/>
    </w:pPr>
    <w:rPr>
      <w:rFonts w:ascii="Times New Roman" w:eastAsia="Times New Roman" w:hAnsi="Times New Roman"/>
      <w:color w:val="000000"/>
      <w:sz w:val="19"/>
      <w:szCs w:val="19"/>
      <w:u w:val="single"/>
    </w:rPr>
  </w:style>
  <w:style w:type="paragraph" w:customStyle="1" w:styleId="KRESKA">
    <w:name w:val="KRESKA"/>
    <w:basedOn w:val="znormal"/>
    <w:rsid w:val="00630B0E"/>
    <w:pPr>
      <w:tabs>
        <w:tab w:val="num" w:pos="720"/>
        <w:tab w:val="num" w:pos="851"/>
      </w:tabs>
      <w:ind w:left="851" w:hanging="425"/>
    </w:pPr>
  </w:style>
  <w:style w:type="paragraph" w:customStyle="1" w:styleId="Podpis1">
    <w:name w:val="Podpis1"/>
    <w:basedOn w:val="Normalny"/>
    <w:rsid w:val="00630B0E"/>
    <w:pPr>
      <w:suppressLineNumbers/>
      <w:suppressAutoHyphens/>
      <w:autoSpaceDN/>
      <w:adjustRightInd/>
      <w:spacing w:before="120" w:after="120"/>
      <w:jc w:val="left"/>
      <w:textAlignment w:val="auto"/>
    </w:pPr>
    <w:rPr>
      <w:rFonts w:cs="Tahoma"/>
      <w:i/>
      <w:iCs/>
      <w:sz w:val="24"/>
      <w:szCs w:val="24"/>
      <w:lang w:eastAsia="ar-SA"/>
    </w:rPr>
  </w:style>
  <w:style w:type="paragraph" w:customStyle="1" w:styleId="Indeks">
    <w:name w:val="Indeks"/>
    <w:basedOn w:val="Normalny"/>
    <w:rsid w:val="00630B0E"/>
    <w:pPr>
      <w:suppressLineNumbers/>
      <w:suppressAutoHyphens/>
      <w:autoSpaceDN/>
      <w:adjustRightInd/>
      <w:jc w:val="left"/>
      <w:textAlignment w:val="auto"/>
    </w:pPr>
    <w:rPr>
      <w:rFonts w:cs="Tahoma"/>
      <w:lang w:eastAsia="ar-SA"/>
    </w:rPr>
  </w:style>
  <w:style w:type="paragraph" w:customStyle="1" w:styleId="xl24">
    <w:name w:val="xl24"/>
    <w:basedOn w:val="Normalny"/>
    <w:rsid w:val="00630B0E"/>
    <w:pPr>
      <w:pBdr>
        <w:top w:val="single" w:sz="4" w:space="0" w:color="000000"/>
        <w:left w:val="single" w:sz="4" w:space="0" w:color="000000"/>
        <w:bottom w:val="single" w:sz="4" w:space="0" w:color="000000"/>
        <w:right w:val="single" w:sz="4" w:space="0" w:color="000000"/>
      </w:pBdr>
      <w:suppressAutoHyphens/>
      <w:overflowPunct/>
      <w:autoSpaceDE/>
      <w:autoSpaceDN/>
      <w:adjustRightInd/>
      <w:spacing w:before="100" w:after="100"/>
      <w:jc w:val="center"/>
      <w:textAlignment w:val="auto"/>
    </w:pPr>
    <w:rPr>
      <w:rFonts w:ascii="Arial Unicode MS" w:eastAsia="Arial Unicode MS" w:hAnsi="Arial Unicode MS" w:cs="Arial Unicode MS"/>
      <w:sz w:val="24"/>
      <w:szCs w:val="24"/>
      <w:lang w:eastAsia="ar-SA"/>
    </w:rPr>
  </w:style>
  <w:style w:type="paragraph" w:customStyle="1" w:styleId="xl25">
    <w:name w:val="xl25"/>
    <w:basedOn w:val="Normalny"/>
    <w:rsid w:val="00630B0E"/>
    <w:pPr>
      <w:pBdr>
        <w:top w:val="single" w:sz="4" w:space="0" w:color="000000"/>
        <w:left w:val="single" w:sz="4" w:space="0" w:color="000000"/>
        <w:bottom w:val="single" w:sz="4" w:space="0" w:color="000000"/>
        <w:right w:val="single" w:sz="4" w:space="0" w:color="000000"/>
      </w:pBdr>
      <w:suppressAutoHyphens/>
      <w:overflowPunct/>
      <w:autoSpaceDE/>
      <w:autoSpaceDN/>
      <w:adjustRightInd/>
      <w:spacing w:before="100" w:after="100"/>
      <w:jc w:val="right"/>
      <w:textAlignment w:val="auto"/>
    </w:pPr>
    <w:rPr>
      <w:rFonts w:ascii="Arial Unicode MS" w:eastAsia="Arial Unicode MS" w:hAnsi="Arial Unicode MS" w:cs="Arial Unicode MS"/>
      <w:sz w:val="24"/>
      <w:szCs w:val="24"/>
      <w:lang w:eastAsia="ar-SA"/>
    </w:rPr>
  </w:style>
  <w:style w:type="paragraph" w:customStyle="1" w:styleId="xl26">
    <w:name w:val="xl26"/>
    <w:basedOn w:val="Normalny"/>
    <w:rsid w:val="00630B0E"/>
    <w:pPr>
      <w:pBdr>
        <w:top w:val="single" w:sz="4" w:space="0" w:color="000000"/>
        <w:left w:val="single" w:sz="4" w:space="0" w:color="000000"/>
        <w:bottom w:val="single" w:sz="4" w:space="0" w:color="000000"/>
        <w:right w:val="single" w:sz="4" w:space="0" w:color="000000"/>
      </w:pBdr>
      <w:suppressAutoHyphens/>
      <w:overflowPunct/>
      <w:autoSpaceDE/>
      <w:autoSpaceDN/>
      <w:adjustRightInd/>
      <w:spacing w:before="100" w:after="100"/>
      <w:jc w:val="right"/>
      <w:textAlignment w:val="auto"/>
    </w:pPr>
    <w:rPr>
      <w:rFonts w:ascii="Arial Unicode MS" w:eastAsia="Arial Unicode MS" w:hAnsi="Arial Unicode MS" w:cs="Arial Unicode MS"/>
      <w:sz w:val="24"/>
      <w:szCs w:val="24"/>
      <w:lang w:eastAsia="ar-SA"/>
    </w:rPr>
  </w:style>
  <w:style w:type="paragraph" w:customStyle="1" w:styleId="xl27">
    <w:name w:val="xl27"/>
    <w:basedOn w:val="Normalny"/>
    <w:rsid w:val="00630B0E"/>
    <w:pPr>
      <w:pBdr>
        <w:top w:val="single" w:sz="4" w:space="0" w:color="000000"/>
        <w:left w:val="single" w:sz="4" w:space="0" w:color="000000"/>
        <w:bottom w:val="single" w:sz="4" w:space="0" w:color="000000"/>
        <w:right w:val="single" w:sz="4" w:space="0" w:color="000000"/>
      </w:pBdr>
      <w:shd w:val="clear" w:color="auto" w:fill="FFFF99"/>
      <w:suppressAutoHyphens/>
      <w:overflowPunct/>
      <w:autoSpaceDE/>
      <w:autoSpaceDN/>
      <w:adjustRightInd/>
      <w:spacing w:before="100" w:after="100"/>
      <w:jc w:val="left"/>
      <w:textAlignment w:val="auto"/>
    </w:pPr>
    <w:rPr>
      <w:rFonts w:ascii="Arial Unicode MS" w:eastAsia="Arial Unicode MS" w:hAnsi="Arial Unicode MS" w:cs="Arial Unicode MS"/>
      <w:sz w:val="24"/>
      <w:szCs w:val="24"/>
      <w:lang w:eastAsia="ar-SA"/>
    </w:rPr>
  </w:style>
  <w:style w:type="paragraph" w:customStyle="1" w:styleId="xl28">
    <w:name w:val="xl28"/>
    <w:basedOn w:val="Normalny"/>
    <w:rsid w:val="00630B0E"/>
    <w:pPr>
      <w:pBdr>
        <w:top w:val="single" w:sz="4" w:space="0" w:color="000000"/>
        <w:left w:val="single" w:sz="4" w:space="0" w:color="000000"/>
        <w:bottom w:val="single" w:sz="4" w:space="0" w:color="000000"/>
        <w:right w:val="single" w:sz="4" w:space="0" w:color="000000"/>
      </w:pBdr>
      <w:shd w:val="clear" w:color="auto" w:fill="FFFF99"/>
      <w:suppressAutoHyphens/>
      <w:overflowPunct/>
      <w:autoSpaceDE/>
      <w:autoSpaceDN/>
      <w:adjustRightInd/>
      <w:spacing w:before="100" w:after="100"/>
      <w:jc w:val="left"/>
      <w:textAlignment w:val="auto"/>
    </w:pPr>
    <w:rPr>
      <w:rFonts w:ascii="Arial" w:eastAsia="Arial Unicode MS" w:hAnsi="Arial" w:cs="Arial Unicode MS"/>
      <w:b/>
      <w:bCs/>
      <w:sz w:val="24"/>
      <w:szCs w:val="24"/>
      <w:lang w:eastAsia="ar-SA"/>
    </w:rPr>
  </w:style>
  <w:style w:type="paragraph" w:customStyle="1" w:styleId="xl29">
    <w:name w:val="xl29"/>
    <w:basedOn w:val="Normalny"/>
    <w:rsid w:val="00630B0E"/>
    <w:pPr>
      <w:pBdr>
        <w:top w:val="single" w:sz="4" w:space="0" w:color="000000"/>
        <w:left w:val="single" w:sz="4" w:space="0" w:color="000000"/>
        <w:bottom w:val="single" w:sz="4" w:space="0" w:color="000000"/>
        <w:right w:val="single" w:sz="4" w:space="0" w:color="000000"/>
      </w:pBdr>
      <w:shd w:val="clear" w:color="auto" w:fill="FFFF99"/>
      <w:suppressAutoHyphens/>
      <w:overflowPunct/>
      <w:autoSpaceDE/>
      <w:autoSpaceDN/>
      <w:adjustRightInd/>
      <w:spacing w:before="100" w:after="100"/>
      <w:jc w:val="left"/>
      <w:textAlignment w:val="auto"/>
    </w:pPr>
    <w:rPr>
      <w:rFonts w:ascii="Arial" w:eastAsia="Arial Unicode MS" w:hAnsi="Arial" w:cs="Arial Unicode MS"/>
      <w:sz w:val="24"/>
      <w:szCs w:val="24"/>
      <w:lang w:eastAsia="ar-SA"/>
    </w:rPr>
  </w:style>
  <w:style w:type="paragraph" w:customStyle="1" w:styleId="xl30">
    <w:name w:val="xl30"/>
    <w:basedOn w:val="Normalny"/>
    <w:rsid w:val="00630B0E"/>
    <w:pPr>
      <w:pBdr>
        <w:top w:val="single" w:sz="4" w:space="0" w:color="000000"/>
        <w:left w:val="single" w:sz="4" w:space="0" w:color="000000"/>
        <w:bottom w:val="single" w:sz="4" w:space="0" w:color="000000"/>
        <w:right w:val="single" w:sz="4" w:space="0" w:color="000000"/>
      </w:pBdr>
      <w:shd w:val="clear" w:color="auto" w:fill="CCFFFF"/>
      <w:suppressAutoHyphens/>
      <w:overflowPunct/>
      <w:autoSpaceDE/>
      <w:autoSpaceDN/>
      <w:adjustRightInd/>
      <w:spacing w:before="100" w:after="100"/>
      <w:jc w:val="left"/>
      <w:textAlignment w:val="auto"/>
    </w:pPr>
    <w:rPr>
      <w:rFonts w:ascii="Arial" w:eastAsia="Arial Unicode MS" w:hAnsi="Arial" w:cs="Arial Unicode MS"/>
      <w:b/>
      <w:bCs/>
      <w:sz w:val="24"/>
      <w:szCs w:val="24"/>
      <w:lang w:eastAsia="ar-SA"/>
    </w:rPr>
  </w:style>
  <w:style w:type="paragraph" w:customStyle="1" w:styleId="xl31">
    <w:name w:val="xl31"/>
    <w:basedOn w:val="Normalny"/>
    <w:rsid w:val="00630B0E"/>
    <w:pPr>
      <w:pBdr>
        <w:top w:val="single" w:sz="4" w:space="0" w:color="000000"/>
        <w:left w:val="single" w:sz="4" w:space="0" w:color="000000"/>
        <w:bottom w:val="single" w:sz="4" w:space="0" w:color="000000"/>
        <w:right w:val="single" w:sz="4" w:space="0" w:color="000000"/>
      </w:pBdr>
      <w:shd w:val="clear" w:color="auto" w:fill="CCFFFF"/>
      <w:suppressAutoHyphens/>
      <w:overflowPunct/>
      <w:autoSpaceDE/>
      <w:autoSpaceDN/>
      <w:adjustRightInd/>
      <w:spacing w:before="100" w:after="100"/>
      <w:jc w:val="left"/>
      <w:textAlignment w:val="auto"/>
    </w:pPr>
    <w:rPr>
      <w:rFonts w:ascii="Arial" w:eastAsia="Arial Unicode MS" w:hAnsi="Arial" w:cs="Arial Unicode MS"/>
      <w:b/>
      <w:bCs/>
      <w:sz w:val="24"/>
      <w:szCs w:val="24"/>
      <w:lang w:eastAsia="ar-SA"/>
    </w:rPr>
  </w:style>
  <w:style w:type="paragraph" w:customStyle="1" w:styleId="xl32">
    <w:name w:val="xl32"/>
    <w:basedOn w:val="Normalny"/>
    <w:rsid w:val="00630B0E"/>
    <w:pPr>
      <w:pBdr>
        <w:top w:val="single" w:sz="4" w:space="0" w:color="000000"/>
        <w:left w:val="single" w:sz="4" w:space="0" w:color="000000"/>
        <w:bottom w:val="single" w:sz="4" w:space="0" w:color="000000"/>
        <w:right w:val="single" w:sz="4" w:space="0" w:color="000000"/>
      </w:pBdr>
      <w:shd w:val="clear" w:color="auto" w:fill="99CC00"/>
      <w:suppressAutoHyphens/>
      <w:overflowPunct/>
      <w:autoSpaceDE/>
      <w:autoSpaceDN/>
      <w:adjustRightInd/>
      <w:spacing w:before="100" w:after="100"/>
      <w:jc w:val="right"/>
      <w:textAlignment w:val="auto"/>
    </w:pPr>
    <w:rPr>
      <w:rFonts w:ascii="Arial Unicode MS" w:eastAsia="Arial Unicode MS" w:hAnsi="Arial Unicode MS" w:cs="Arial Unicode MS"/>
      <w:sz w:val="24"/>
      <w:szCs w:val="24"/>
      <w:lang w:eastAsia="ar-SA"/>
    </w:rPr>
  </w:style>
  <w:style w:type="paragraph" w:customStyle="1" w:styleId="xl33">
    <w:name w:val="xl33"/>
    <w:basedOn w:val="Normalny"/>
    <w:rsid w:val="00630B0E"/>
    <w:pPr>
      <w:pBdr>
        <w:top w:val="single" w:sz="4" w:space="0" w:color="000000"/>
        <w:left w:val="single" w:sz="4" w:space="0" w:color="000000"/>
        <w:bottom w:val="single" w:sz="4" w:space="0" w:color="000000"/>
        <w:right w:val="single" w:sz="4" w:space="0" w:color="000000"/>
      </w:pBdr>
      <w:shd w:val="clear" w:color="auto" w:fill="FFFF99"/>
      <w:suppressAutoHyphens/>
      <w:overflowPunct/>
      <w:autoSpaceDE/>
      <w:autoSpaceDN/>
      <w:adjustRightInd/>
      <w:spacing w:before="100" w:after="100"/>
      <w:jc w:val="center"/>
      <w:textAlignment w:val="auto"/>
    </w:pPr>
    <w:rPr>
      <w:rFonts w:ascii="Arial Unicode MS" w:eastAsia="Arial Unicode MS" w:hAnsi="Arial Unicode MS" w:cs="Arial Unicode MS"/>
      <w:sz w:val="24"/>
      <w:szCs w:val="24"/>
      <w:lang w:eastAsia="ar-SA"/>
    </w:rPr>
  </w:style>
  <w:style w:type="paragraph" w:customStyle="1" w:styleId="xl34">
    <w:name w:val="xl34"/>
    <w:basedOn w:val="Normalny"/>
    <w:rsid w:val="00630B0E"/>
    <w:pPr>
      <w:pBdr>
        <w:bottom w:val="single" w:sz="4" w:space="0" w:color="000000"/>
      </w:pBdr>
      <w:suppressAutoHyphens/>
      <w:overflowPunct/>
      <w:autoSpaceDE/>
      <w:autoSpaceDN/>
      <w:adjustRightInd/>
      <w:spacing w:before="100" w:after="100"/>
      <w:jc w:val="center"/>
      <w:textAlignment w:val="auto"/>
    </w:pPr>
    <w:rPr>
      <w:rFonts w:ascii="Arial" w:eastAsia="Arial Unicode MS" w:hAnsi="Arial" w:cs="Arial Unicode MS"/>
      <w:b/>
      <w:bCs/>
      <w:i/>
      <w:iCs/>
      <w:sz w:val="24"/>
      <w:szCs w:val="24"/>
      <w:lang w:eastAsia="ar-SA"/>
    </w:rPr>
  </w:style>
  <w:style w:type="paragraph" w:customStyle="1" w:styleId="xl35">
    <w:name w:val="xl35"/>
    <w:basedOn w:val="Normalny"/>
    <w:rsid w:val="00630B0E"/>
    <w:pPr>
      <w:pBdr>
        <w:top w:val="single" w:sz="4" w:space="0" w:color="000000"/>
        <w:left w:val="single" w:sz="4" w:space="0" w:color="000000"/>
        <w:bottom w:val="single" w:sz="4" w:space="0" w:color="000000"/>
        <w:right w:val="single" w:sz="4" w:space="0" w:color="000000"/>
      </w:pBdr>
      <w:shd w:val="clear" w:color="auto" w:fill="FFFF99"/>
      <w:suppressAutoHyphens/>
      <w:overflowPunct/>
      <w:autoSpaceDE/>
      <w:autoSpaceDN/>
      <w:adjustRightInd/>
      <w:spacing w:before="100" w:after="100"/>
      <w:jc w:val="center"/>
      <w:textAlignment w:val="auto"/>
    </w:pPr>
    <w:rPr>
      <w:rFonts w:ascii="Arial" w:eastAsia="Arial Unicode MS" w:hAnsi="Arial" w:cs="Arial Unicode MS"/>
      <w:b/>
      <w:bCs/>
      <w:sz w:val="24"/>
      <w:szCs w:val="24"/>
      <w:lang w:eastAsia="ar-SA"/>
    </w:rPr>
  </w:style>
  <w:style w:type="paragraph" w:customStyle="1" w:styleId="xl36">
    <w:name w:val="xl36"/>
    <w:basedOn w:val="Normalny"/>
    <w:rsid w:val="00630B0E"/>
    <w:pPr>
      <w:pBdr>
        <w:top w:val="single" w:sz="4" w:space="0" w:color="000000"/>
        <w:left w:val="single" w:sz="4" w:space="0" w:color="000000"/>
        <w:bottom w:val="single" w:sz="4" w:space="0" w:color="000000"/>
        <w:right w:val="single" w:sz="4" w:space="0" w:color="000000"/>
      </w:pBdr>
      <w:shd w:val="clear" w:color="auto" w:fill="FFFF99"/>
      <w:suppressAutoHyphens/>
      <w:overflowPunct/>
      <w:autoSpaceDE/>
      <w:autoSpaceDN/>
      <w:adjustRightInd/>
      <w:spacing w:before="100" w:after="100"/>
      <w:jc w:val="center"/>
      <w:textAlignment w:val="auto"/>
    </w:pPr>
    <w:rPr>
      <w:rFonts w:ascii="Arial" w:eastAsia="Arial Unicode MS" w:hAnsi="Arial" w:cs="Arial Unicode MS"/>
      <w:sz w:val="24"/>
      <w:szCs w:val="24"/>
      <w:lang w:eastAsia="ar-SA"/>
    </w:rPr>
  </w:style>
  <w:style w:type="paragraph" w:customStyle="1" w:styleId="Tekstpodstawowy31">
    <w:name w:val="Tekst podstawowy 31"/>
    <w:basedOn w:val="Normalny"/>
    <w:rsid w:val="00630B0E"/>
    <w:pPr>
      <w:suppressAutoHyphens/>
      <w:autoSpaceDN/>
      <w:adjustRightInd/>
      <w:spacing w:line="240" w:lineRule="atLeast"/>
      <w:textAlignment w:val="auto"/>
    </w:pPr>
    <w:rPr>
      <w:color w:val="FF0000"/>
      <w:sz w:val="24"/>
      <w:lang w:eastAsia="ar-SA"/>
    </w:rPr>
  </w:style>
  <w:style w:type="paragraph" w:customStyle="1" w:styleId="opistechnicznyy">
    <w:name w:val="opis technicznyy"/>
    <w:basedOn w:val="Normalny"/>
    <w:rsid w:val="00630B0E"/>
    <w:pPr>
      <w:tabs>
        <w:tab w:val="num" w:pos="454"/>
      </w:tabs>
      <w:suppressAutoHyphens/>
      <w:overflowPunct/>
      <w:autoSpaceDE/>
      <w:autoSpaceDN/>
      <w:adjustRightInd/>
      <w:jc w:val="left"/>
      <w:textAlignment w:val="auto"/>
    </w:pPr>
    <w:rPr>
      <w:lang w:eastAsia="ar-SA"/>
    </w:rPr>
  </w:style>
  <w:style w:type="paragraph" w:customStyle="1" w:styleId="Zawartotabeli">
    <w:name w:val="Zawartość tabeli"/>
    <w:basedOn w:val="Normalny"/>
    <w:rsid w:val="00630B0E"/>
    <w:pPr>
      <w:suppressLineNumbers/>
      <w:suppressAutoHyphens/>
      <w:autoSpaceDN/>
      <w:adjustRightInd/>
      <w:jc w:val="left"/>
      <w:textAlignment w:val="auto"/>
    </w:pPr>
    <w:rPr>
      <w:lang w:eastAsia="ar-SA"/>
    </w:rPr>
  </w:style>
  <w:style w:type="paragraph" w:customStyle="1" w:styleId="Nagwektabeli">
    <w:name w:val="Nagłówek tabeli"/>
    <w:basedOn w:val="Zawartotabeli"/>
    <w:rsid w:val="00630B0E"/>
    <w:pPr>
      <w:jc w:val="center"/>
    </w:pPr>
    <w:rPr>
      <w:b/>
      <w:bCs/>
    </w:rPr>
  </w:style>
  <w:style w:type="character" w:customStyle="1" w:styleId="NoSpacingChar">
    <w:name w:val="No Spacing Char"/>
    <w:basedOn w:val="Domylnaczcionkaakapitu"/>
    <w:link w:val="Bezodstpw1"/>
    <w:locked/>
    <w:rsid w:val="00630B0E"/>
    <w:rPr>
      <w:rFonts w:eastAsia="Times New Roman"/>
      <w:lang w:eastAsia="en-US"/>
    </w:rPr>
  </w:style>
  <w:style w:type="paragraph" w:customStyle="1" w:styleId="Bezodstpw1">
    <w:name w:val="Bez odstępów1"/>
    <w:link w:val="NoSpacingChar"/>
    <w:rsid w:val="00630B0E"/>
    <w:rPr>
      <w:rFonts w:eastAsia="Times New Roman"/>
      <w:lang w:eastAsia="en-US"/>
    </w:rPr>
  </w:style>
  <w:style w:type="paragraph" w:customStyle="1" w:styleId="Nagwekspisutreci1">
    <w:name w:val="Nagłówek spisu treści1"/>
    <w:basedOn w:val="Nagwek1"/>
    <w:next w:val="Normalny"/>
    <w:rsid w:val="00630B0E"/>
    <w:pPr>
      <w:suppressAutoHyphens w:val="0"/>
      <w:overflowPunct/>
      <w:autoSpaceDE/>
      <w:autoSpaceDN/>
      <w:adjustRightInd/>
      <w:spacing w:before="480" w:after="0" w:line="276" w:lineRule="auto"/>
      <w:jc w:val="left"/>
      <w:textAlignment w:val="auto"/>
      <w:outlineLvl w:val="9"/>
    </w:pPr>
    <w:rPr>
      <w:rFonts w:ascii="Cambria" w:hAnsi="Cambria"/>
      <w:caps w:val="0"/>
      <w:color w:val="365F91"/>
      <w:kern w:val="0"/>
      <w:lang w:eastAsia="en-US"/>
    </w:rPr>
  </w:style>
  <w:style w:type="paragraph" w:customStyle="1" w:styleId="Tekstpodstawowywcity32">
    <w:name w:val="Tekst podstawowy wcięty 32"/>
    <w:basedOn w:val="Normalny"/>
    <w:rsid w:val="00630B0E"/>
    <w:pPr>
      <w:tabs>
        <w:tab w:val="left" w:pos="964"/>
      </w:tabs>
      <w:spacing w:after="120"/>
      <w:ind w:left="964" w:hanging="964"/>
      <w:textAlignment w:val="auto"/>
    </w:pPr>
  </w:style>
  <w:style w:type="paragraph" w:customStyle="1" w:styleId="StylArial12ptWyjustowanyInterlinia15wiersza">
    <w:name w:val="Styl Arial 12 pt Wyjustowany Interlinia:  15 wiersza"/>
    <w:basedOn w:val="Normalny"/>
    <w:rsid w:val="00630B0E"/>
    <w:pPr>
      <w:overflowPunct/>
      <w:autoSpaceDE/>
      <w:autoSpaceDN/>
      <w:adjustRightInd/>
      <w:spacing w:line="360" w:lineRule="auto"/>
      <w:ind w:left="425"/>
      <w:textAlignment w:val="auto"/>
    </w:pPr>
    <w:rPr>
      <w:rFonts w:ascii="Arial" w:hAnsi="Arial"/>
      <w:sz w:val="24"/>
    </w:rPr>
  </w:style>
  <w:style w:type="paragraph" w:customStyle="1" w:styleId="StylLegendaWyjustowany">
    <w:name w:val="Styl Legenda + Wyjustowany"/>
    <w:basedOn w:val="Legenda"/>
    <w:rsid w:val="00630B0E"/>
    <w:pPr>
      <w:overflowPunct/>
      <w:autoSpaceDE/>
      <w:autoSpaceDN/>
      <w:adjustRightInd/>
      <w:ind w:left="425"/>
      <w:jc w:val="center"/>
      <w:textAlignment w:val="auto"/>
    </w:pPr>
  </w:style>
  <w:style w:type="paragraph" w:customStyle="1" w:styleId="Style5">
    <w:name w:val="Style5"/>
    <w:basedOn w:val="Normalny"/>
    <w:uiPriority w:val="99"/>
    <w:rsid w:val="00630B0E"/>
    <w:pPr>
      <w:widowControl w:val="0"/>
      <w:overflowPunct/>
      <w:jc w:val="left"/>
      <w:textAlignment w:val="auto"/>
    </w:pPr>
    <w:rPr>
      <w:rFonts w:ascii="Verdana" w:eastAsiaTheme="minorEastAsia" w:hAnsi="Verdana" w:cstheme="minorBidi"/>
      <w:sz w:val="24"/>
      <w:szCs w:val="24"/>
    </w:rPr>
  </w:style>
  <w:style w:type="paragraph" w:customStyle="1" w:styleId="Style41">
    <w:name w:val="Style41"/>
    <w:basedOn w:val="Normalny"/>
    <w:uiPriority w:val="99"/>
    <w:rsid w:val="00630B0E"/>
    <w:pPr>
      <w:widowControl w:val="0"/>
      <w:overflowPunct/>
      <w:spacing w:line="250" w:lineRule="exact"/>
      <w:jc w:val="center"/>
      <w:textAlignment w:val="auto"/>
    </w:pPr>
    <w:rPr>
      <w:rFonts w:ascii="Verdana" w:eastAsiaTheme="minorEastAsia" w:hAnsi="Verdana" w:cstheme="minorBidi"/>
      <w:sz w:val="24"/>
      <w:szCs w:val="24"/>
    </w:rPr>
  </w:style>
  <w:style w:type="paragraph" w:customStyle="1" w:styleId="Style67">
    <w:name w:val="Style67"/>
    <w:basedOn w:val="Normalny"/>
    <w:uiPriority w:val="99"/>
    <w:rsid w:val="00630B0E"/>
    <w:pPr>
      <w:widowControl w:val="0"/>
      <w:overflowPunct/>
      <w:spacing w:line="187" w:lineRule="exact"/>
      <w:jc w:val="center"/>
      <w:textAlignment w:val="auto"/>
    </w:pPr>
    <w:rPr>
      <w:rFonts w:ascii="MS Reference Sans Serif" w:eastAsiaTheme="minorEastAsia" w:hAnsi="MS Reference Sans Serif" w:cstheme="minorBidi"/>
      <w:sz w:val="24"/>
      <w:szCs w:val="24"/>
    </w:rPr>
  </w:style>
  <w:style w:type="paragraph" w:customStyle="1" w:styleId="Style105">
    <w:name w:val="Style105"/>
    <w:basedOn w:val="Normalny"/>
    <w:uiPriority w:val="99"/>
    <w:rsid w:val="00630B0E"/>
    <w:pPr>
      <w:widowControl w:val="0"/>
      <w:overflowPunct/>
      <w:jc w:val="left"/>
      <w:textAlignment w:val="auto"/>
    </w:pPr>
    <w:rPr>
      <w:rFonts w:ascii="MS Reference Sans Serif" w:eastAsiaTheme="minorEastAsia" w:hAnsi="MS Reference Sans Serif" w:cstheme="minorBidi"/>
      <w:sz w:val="24"/>
      <w:szCs w:val="24"/>
    </w:rPr>
  </w:style>
  <w:style w:type="paragraph" w:customStyle="1" w:styleId="Style106">
    <w:name w:val="Style106"/>
    <w:basedOn w:val="Normalny"/>
    <w:uiPriority w:val="99"/>
    <w:rsid w:val="00630B0E"/>
    <w:pPr>
      <w:widowControl w:val="0"/>
      <w:overflowPunct/>
      <w:jc w:val="left"/>
      <w:textAlignment w:val="auto"/>
    </w:pPr>
    <w:rPr>
      <w:rFonts w:ascii="MS Reference Sans Serif" w:eastAsiaTheme="minorEastAsia" w:hAnsi="MS Reference Sans Serif" w:cstheme="minorBidi"/>
      <w:sz w:val="24"/>
      <w:szCs w:val="24"/>
    </w:rPr>
  </w:style>
  <w:style w:type="paragraph" w:customStyle="1" w:styleId="Style108">
    <w:name w:val="Style108"/>
    <w:basedOn w:val="Normalny"/>
    <w:uiPriority w:val="99"/>
    <w:rsid w:val="00630B0E"/>
    <w:pPr>
      <w:widowControl w:val="0"/>
      <w:overflowPunct/>
      <w:jc w:val="left"/>
      <w:textAlignment w:val="auto"/>
    </w:pPr>
    <w:rPr>
      <w:rFonts w:ascii="MS Reference Sans Serif" w:eastAsiaTheme="minorEastAsia" w:hAnsi="MS Reference Sans Serif" w:cstheme="minorBidi"/>
      <w:sz w:val="24"/>
      <w:szCs w:val="24"/>
    </w:rPr>
  </w:style>
  <w:style w:type="paragraph" w:customStyle="1" w:styleId="Style110">
    <w:name w:val="Style110"/>
    <w:basedOn w:val="Normalny"/>
    <w:uiPriority w:val="99"/>
    <w:rsid w:val="00630B0E"/>
    <w:pPr>
      <w:widowControl w:val="0"/>
      <w:overflowPunct/>
      <w:spacing w:line="194" w:lineRule="exact"/>
      <w:jc w:val="center"/>
      <w:textAlignment w:val="auto"/>
    </w:pPr>
    <w:rPr>
      <w:rFonts w:ascii="MS Reference Sans Serif" w:eastAsiaTheme="minorEastAsia" w:hAnsi="MS Reference Sans Serif" w:cstheme="minorBidi"/>
      <w:sz w:val="24"/>
      <w:szCs w:val="24"/>
    </w:rPr>
  </w:style>
  <w:style w:type="paragraph" w:customStyle="1" w:styleId="Style111">
    <w:name w:val="Style111"/>
    <w:basedOn w:val="Normalny"/>
    <w:uiPriority w:val="99"/>
    <w:rsid w:val="00630B0E"/>
    <w:pPr>
      <w:widowControl w:val="0"/>
      <w:overflowPunct/>
      <w:spacing w:line="194" w:lineRule="exact"/>
      <w:jc w:val="center"/>
      <w:textAlignment w:val="auto"/>
    </w:pPr>
    <w:rPr>
      <w:rFonts w:ascii="MS Reference Sans Serif" w:eastAsiaTheme="minorEastAsia" w:hAnsi="MS Reference Sans Serif" w:cstheme="minorBidi"/>
      <w:sz w:val="24"/>
      <w:szCs w:val="24"/>
    </w:rPr>
  </w:style>
  <w:style w:type="paragraph" w:customStyle="1" w:styleId="Style59">
    <w:name w:val="Style59"/>
    <w:basedOn w:val="Normalny"/>
    <w:uiPriority w:val="99"/>
    <w:rsid w:val="00630B0E"/>
    <w:pPr>
      <w:widowControl w:val="0"/>
      <w:overflowPunct/>
      <w:jc w:val="left"/>
      <w:textAlignment w:val="auto"/>
    </w:pPr>
    <w:rPr>
      <w:rFonts w:ascii="MS Reference Sans Serif" w:eastAsiaTheme="minorEastAsia" w:hAnsi="MS Reference Sans Serif" w:cstheme="minorBidi"/>
      <w:sz w:val="24"/>
      <w:szCs w:val="24"/>
    </w:rPr>
  </w:style>
  <w:style w:type="paragraph" w:customStyle="1" w:styleId="Style100">
    <w:name w:val="Style100"/>
    <w:basedOn w:val="Normalny"/>
    <w:uiPriority w:val="99"/>
    <w:rsid w:val="00630B0E"/>
    <w:pPr>
      <w:widowControl w:val="0"/>
      <w:overflowPunct/>
      <w:spacing w:line="194" w:lineRule="exact"/>
      <w:ind w:hanging="137"/>
      <w:jc w:val="left"/>
      <w:textAlignment w:val="auto"/>
    </w:pPr>
    <w:rPr>
      <w:rFonts w:ascii="MS Reference Sans Serif" w:eastAsiaTheme="minorEastAsia" w:hAnsi="MS Reference Sans Serif" w:cstheme="minorBidi"/>
      <w:sz w:val="24"/>
      <w:szCs w:val="24"/>
    </w:rPr>
  </w:style>
  <w:style w:type="paragraph" w:customStyle="1" w:styleId="Style1">
    <w:name w:val="Style1"/>
    <w:basedOn w:val="Normalny"/>
    <w:uiPriority w:val="99"/>
    <w:rsid w:val="00630B0E"/>
    <w:pPr>
      <w:widowControl w:val="0"/>
      <w:overflowPunct/>
      <w:spacing w:line="360" w:lineRule="exact"/>
      <w:jc w:val="right"/>
      <w:textAlignment w:val="auto"/>
    </w:pPr>
    <w:rPr>
      <w:rFonts w:ascii="Verdana" w:eastAsiaTheme="minorEastAsia" w:hAnsi="Verdana" w:cstheme="minorBidi"/>
      <w:sz w:val="24"/>
      <w:szCs w:val="24"/>
    </w:rPr>
  </w:style>
  <w:style w:type="paragraph" w:customStyle="1" w:styleId="Style18">
    <w:name w:val="Style18"/>
    <w:basedOn w:val="Normalny"/>
    <w:uiPriority w:val="99"/>
    <w:rsid w:val="00630B0E"/>
    <w:pPr>
      <w:widowControl w:val="0"/>
      <w:overflowPunct/>
      <w:spacing w:line="277" w:lineRule="exact"/>
      <w:textAlignment w:val="auto"/>
    </w:pPr>
    <w:rPr>
      <w:rFonts w:ascii="Verdana" w:eastAsiaTheme="minorEastAsia" w:hAnsi="Verdana" w:cstheme="minorBidi"/>
      <w:sz w:val="24"/>
      <w:szCs w:val="24"/>
    </w:rPr>
  </w:style>
  <w:style w:type="paragraph" w:customStyle="1" w:styleId="Style64">
    <w:name w:val="Style64"/>
    <w:basedOn w:val="Normalny"/>
    <w:uiPriority w:val="99"/>
    <w:rsid w:val="00630B0E"/>
    <w:pPr>
      <w:widowControl w:val="0"/>
      <w:overflowPunct/>
      <w:jc w:val="left"/>
      <w:textAlignment w:val="auto"/>
    </w:pPr>
    <w:rPr>
      <w:rFonts w:ascii="MS Reference Sans Serif" w:eastAsiaTheme="minorEastAsia" w:hAnsi="MS Reference Sans Serif" w:cstheme="minorBidi"/>
      <w:sz w:val="24"/>
      <w:szCs w:val="24"/>
    </w:rPr>
  </w:style>
  <w:style w:type="paragraph" w:customStyle="1" w:styleId="Style96">
    <w:name w:val="Style96"/>
    <w:basedOn w:val="Normalny"/>
    <w:uiPriority w:val="99"/>
    <w:rsid w:val="00630B0E"/>
    <w:pPr>
      <w:widowControl w:val="0"/>
      <w:overflowPunct/>
      <w:spacing w:line="202" w:lineRule="exact"/>
      <w:jc w:val="center"/>
      <w:textAlignment w:val="auto"/>
    </w:pPr>
    <w:rPr>
      <w:rFonts w:ascii="MS Reference Sans Serif" w:eastAsiaTheme="minorEastAsia" w:hAnsi="MS Reference Sans Serif" w:cstheme="minorBidi"/>
      <w:sz w:val="24"/>
      <w:szCs w:val="24"/>
    </w:rPr>
  </w:style>
  <w:style w:type="paragraph" w:customStyle="1" w:styleId="Style99">
    <w:name w:val="Style99"/>
    <w:basedOn w:val="Normalny"/>
    <w:uiPriority w:val="99"/>
    <w:rsid w:val="00630B0E"/>
    <w:pPr>
      <w:widowControl w:val="0"/>
      <w:overflowPunct/>
      <w:spacing w:line="194" w:lineRule="exact"/>
      <w:jc w:val="center"/>
      <w:textAlignment w:val="auto"/>
    </w:pPr>
    <w:rPr>
      <w:rFonts w:ascii="MS Reference Sans Serif" w:eastAsiaTheme="minorEastAsia" w:hAnsi="MS Reference Sans Serif" w:cstheme="minorBidi"/>
      <w:sz w:val="24"/>
      <w:szCs w:val="24"/>
    </w:rPr>
  </w:style>
  <w:style w:type="paragraph" w:customStyle="1" w:styleId="Style58">
    <w:name w:val="Style58"/>
    <w:basedOn w:val="Normalny"/>
    <w:uiPriority w:val="99"/>
    <w:rsid w:val="00630B0E"/>
    <w:pPr>
      <w:widowControl w:val="0"/>
      <w:overflowPunct/>
      <w:spacing w:line="194" w:lineRule="exact"/>
      <w:textAlignment w:val="auto"/>
    </w:pPr>
    <w:rPr>
      <w:rFonts w:ascii="MS Reference Sans Serif" w:eastAsiaTheme="minorEastAsia" w:hAnsi="MS Reference Sans Serif" w:cstheme="minorBidi"/>
      <w:sz w:val="24"/>
      <w:szCs w:val="24"/>
    </w:rPr>
  </w:style>
  <w:style w:type="paragraph" w:customStyle="1" w:styleId="Style73">
    <w:name w:val="Style73"/>
    <w:basedOn w:val="Normalny"/>
    <w:uiPriority w:val="99"/>
    <w:rsid w:val="00630B0E"/>
    <w:pPr>
      <w:widowControl w:val="0"/>
      <w:overflowPunct/>
      <w:jc w:val="left"/>
      <w:textAlignment w:val="auto"/>
    </w:pPr>
    <w:rPr>
      <w:rFonts w:ascii="MS Reference Sans Serif" w:eastAsiaTheme="minorEastAsia" w:hAnsi="MS Reference Sans Serif" w:cstheme="minorBidi"/>
      <w:sz w:val="24"/>
      <w:szCs w:val="24"/>
    </w:rPr>
  </w:style>
  <w:style w:type="paragraph" w:customStyle="1" w:styleId="Style90">
    <w:name w:val="Style90"/>
    <w:basedOn w:val="Normalny"/>
    <w:uiPriority w:val="99"/>
    <w:rsid w:val="00630B0E"/>
    <w:pPr>
      <w:widowControl w:val="0"/>
      <w:overflowPunct/>
      <w:spacing w:line="187" w:lineRule="exact"/>
      <w:jc w:val="center"/>
      <w:textAlignment w:val="auto"/>
    </w:pPr>
    <w:rPr>
      <w:rFonts w:ascii="MS Reference Sans Serif" w:eastAsiaTheme="minorEastAsia" w:hAnsi="MS Reference Sans Serif" w:cstheme="minorBidi"/>
      <w:sz w:val="24"/>
      <w:szCs w:val="24"/>
    </w:rPr>
  </w:style>
  <w:style w:type="paragraph" w:customStyle="1" w:styleId="Style109">
    <w:name w:val="Style109"/>
    <w:basedOn w:val="Normalny"/>
    <w:uiPriority w:val="99"/>
    <w:rsid w:val="00630B0E"/>
    <w:pPr>
      <w:widowControl w:val="0"/>
      <w:overflowPunct/>
      <w:spacing w:line="194" w:lineRule="exact"/>
      <w:ind w:firstLine="497"/>
      <w:jc w:val="left"/>
      <w:textAlignment w:val="auto"/>
    </w:pPr>
    <w:rPr>
      <w:rFonts w:ascii="MS Reference Sans Serif" w:eastAsiaTheme="minorEastAsia" w:hAnsi="MS Reference Sans Serif" w:cstheme="minorBidi"/>
      <w:sz w:val="24"/>
      <w:szCs w:val="24"/>
    </w:rPr>
  </w:style>
  <w:style w:type="paragraph" w:customStyle="1" w:styleId="Style101">
    <w:name w:val="Style101"/>
    <w:basedOn w:val="Normalny"/>
    <w:uiPriority w:val="99"/>
    <w:rsid w:val="00630B0E"/>
    <w:pPr>
      <w:widowControl w:val="0"/>
      <w:overflowPunct/>
      <w:spacing w:line="194" w:lineRule="exact"/>
      <w:ind w:firstLine="360"/>
      <w:jc w:val="left"/>
      <w:textAlignment w:val="auto"/>
    </w:pPr>
    <w:rPr>
      <w:rFonts w:ascii="MS Reference Sans Serif" w:eastAsiaTheme="minorEastAsia" w:hAnsi="MS Reference Sans Serif" w:cstheme="minorBidi"/>
      <w:sz w:val="24"/>
      <w:szCs w:val="24"/>
    </w:rPr>
  </w:style>
  <w:style w:type="paragraph" w:customStyle="1" w:styleId="Tekstpodstawowy26">
    <w:name w:val="Tekst podstawowy 26"/>
    <w:basedOn w:val="Normalny"/>
    <w:rsid w:val="00630B0E"/>
    <w:pPr>
      <w:widowControl w:val="0"/>
      <w:overflowPunct/>
      <w:autoSpaceDE/>
      <w:autoSpaceDN/>
      <w:adjustRightInd/>
      <w:ind w:left="708"/>
      <w:jc w:val="left"/>
      <w:textAlignment w:val="auto"/>
    </w:pPr>
    <w:rPr>
      <w:rFonts w:ascii="Arial" w:hAnsi="Arial"/>
      <w:sz w:val="24"/>
    </w:rPr>
  </w:style>
  <w:style w:type="character" w:styleId="Odwoanieprzypisukocowego">
    <w:name w:val="endnote reference"/>
    <w:basedOn w:val="Domylnaczcionkaakapitu"/>
    <w:unhideWhenUsed/>
    <w:locked/>
    <w:rsid w:val="00630B0E"/>
    <w:rPr>
      <w:rFonts w:ascii="Times New Roman" w:hAnsi="Times New Roman" w:cs="Times New Roman" w:hint="default"/>
      <w:vertAlign w:val="superscript"/>
    </w:rPr>
  </w:style>
  <w:style w:type="character" w:customStyle="1" w:styleId="FontStyle72">
    <w:name w:val="Font Style72"/>
    <w:basedOn w:val="Domylnaczcionkaakapitu"/>
    <w:uiPriority w:val="99"/>
    <w:rsid w:val="00630B0E"/>
    <w:rPr>
      <w:rFonts w:ascii="Times New Roman" w:hAnsi="Times New Roman" w:cs="Times New Roman" w:hint="default"/>
      <w:b/>
      <w:bCs/>
      <w:sz w:val="26"/>
      <w:szCs w:val="26"/>
    </w:rPr>
  </w:style>
  <w:style w:type="character" w:customStyle="1" w:styleId="FontStyle73">
    <w:name w:val="Font Style73"/>
    <w:basedOn w:val="Domylnaczcionkaakapitu"/>
    <w:uiPriority w:val="99"/>
    <w:rsid w:val="00630B0E"/>
    <w:rPr>
      <w:rFonts w:ascii="Times New Roman" w:hAnsi="Times New Roman" w:cs="Times New Roman" w:hint="default"/>
      <w:b/>
      <w:bCs/>
      <w:sz w:val="22"/>
      <w:szCs w:val="22"/>
    </w:rPr>
  </w:style>
  <w:style w:type="character" w:customStyle="1" w:styleId="FontStyle75">
    <w:name w:val="Font Style75"/>
    <w:basedOn w:val="Domylnaczcionkaakapitu"/>
    <w:uiPriority w:val="99"/>
    <w:rsid w:val="00630B0E"/>
    <w:rPr>
      <w:rFonts w:ascii="Times New Roman" w:hAnsi="Times New Roman" w:cs="Times New Roman" w:hint="default"/>
      <w:sz w:val="22"/>
      <w:szCs w:val="22"/>
    </w:rPr>
  </w:style>
  <w:style w:type="character" w:customStyle="1" w:styleId="FontStyle59">
    <w:name w:val="Font Style59"/>
    <w:basedOn w:val="Domylnaczcionkaakapitu"/>
    <w:uiPriority w:val="99"/>
    <w:rsid w:val="00630B0E"/>
    <w:rPr>
      <w:rFonts w:ascii="Times New Roman" w:hAnsi="Times New Roman" w:cs="Times New Roman" w:hint="default"/>
      <w:b/>
      <w:bCs/>
      <w:sz w:val="18"/>
      <w:szCs w:val="18"/>
    </w:rPr>
  </w:style>
  <w:style w:type="character" w:customStyle="1" w:styleId="FontStyle60">
    <w:name w:val="Font Style60"/>
    <w:basedOn w:val="Domylnaczcionkaakapitu"/>
    <w:uiPriority w:val="99"/>
    <w:rsid w:val="00630B0E"/>
    <w:rPr>
      <w:rFonts w:ascii="Times New Roman" w:hAnsi="Times New Roman" w:cs="Times New Roman" w:hint="default"/>
      <w:sz w:val="18"/>
      <w:szCs w:val="18"/>
    </w:rPr>
  </w:style>
  <w:style w:type="character" w:customStyle="1" w:styleId="FontStyle71">
    <w:name w:val="Font Style71"/>
    <w:basedOn w:val="Domylnaczcionkaakapitu"/>
    <w:uiPriority w:val="99"/>
    <w:rsid w:val="00630B0E"/>
    <w:rPr>
      <w:rFonts w:ascii="Times New Roman" w:hAnsi="Times New Roman" w:cs="Times New Roman" w:hint="default"/>
      <w:sz w:val="18"/>
      <w:szCs w:val="18"/>
    </w:rPr>
  </w:style>
  <w:style w:type="character" w:customStyle="1" w:styleId="FontStyle61">
    <w:name w:val="Font Style61"/>
    <w:basedOn w:val="Domylnaczcionkaakapitu"/>
    <w:uiPriority w:val="99"/>
    <w:rsid w:val="00630B0E"/>
    <w:rPr>
      <w:rFonts w:ascii="Times New Roman" w:hAnsi="Times New Roman" w:cs="Times New Roman" w:hint="default"/>
      <w:i/>
      <w:iCs/>
      <w:sz w:val="12"/>
      <w:szCs w:val="12"/>
    </w:rPr>
  </w:style>
  <w:style w:type="character" w:customStyle="1" w:styleId="FontStyle62">
    <w:name w:val="Font Style62"/>
    <w:basedOn w:val="Domylnaczcionkaakapitu"/>
    <w:uiPriority w:val="99"/>
    <w:rsid w:val="00630B0E"/>
    <w:rPr>
      <w:rFonts w:ascii="Times New Roman" w:hAnsi="Times New Roman" w:cs="Times New Roman" w:hint="default"/>
      <w:sz w:val="12"/>
      <w:szCs w:val="12"/>
    </w:rPr>
  </w:style>
  <w:style w:type="character" w:customStyle="1" w:styleId="FontStyle64">
    <w:name w:val="Font Style64"/>
    <w:basedOn w:val="Domylnaczcionkaakapitu"/>
    <w:uiPriority w:val="99"/>
    <w:rsid w:val="00630B0E"/>
    <w:rPr>
      <w:rFonts w:ascii="Times New Roman" w:hAnsi="Times New Roman" w:cs="Times New Roman" w:hint="default"/>
      <w:i/>
      <w:iCs/>
      <w:sz w:val="18"/>
      <w:szCs w:val="18"/>
    </w:rPr>
  </w:style>
  <w:style w:type="character" w:customStyle="1" w:styleId="FontStyle65">
    <w:name w:val="Font Style65"/>
    <w:basedOn w:val="Domylnaczcionkaakapitu"/>
    <w:uiPriority w:val="99"/>
    <w:rsid w:val="00630B0E"/>
    <w:rPr>
      <w:rFonts w:ascii="Times New Roman" w:hAnsi="Times New Roman" w:cs="Times New Roman" w:hint="default"/>
      <w:smallCaps/>
      <w:sz w:val="18"/>
      <w:szCs w:val="18"/>
    </w:rPr>
  </w:style>
  <w:style w:type="character" w:customStyle="1" w:styleId="FontStyle66">
    <w:name w:val="Font Style66"/>
    <w:basedOn w:val="Domylnaczcionkaakapitu"/>
    <w:uiPriority w:val="99"/>
    <w:rsid w:val="00630B0E"/>
    <w:rPr>
      <w:rFonts w:ascii="Times New Roman" w:hAnsi="Times New Roman" w:cs="Times New Roman" w:hint="default"/>
      <w:sz w:val="12"/>
      <w:szCs w:val="12"/>
    </w:rPr>
  </w:style>
  <w:style w:type="character" w:customStyle="1" w:styleId="FontStyle63">
    <w:name w:val="Font Style63"/>
    <w:basedOn w:val="Domylnaczcionkaakapitu"/>
    <w:uiPriority w:val="99"/>
    <w:rsid w:val="00630B0E"/>
    <w:rPr>
      <w:rFonts w:ascii="Times New Roman" w:hAnsi="Times New Roman" w:cs="Times New Roman" w:hint="default"/>
      <w:i/>
      <w:iCs/>
      <w:sz w:val="12"/>
      <w:szCs w:val="12"/>
    </w:rPr>
  </w:style>
  <w:style w:type="character" w:customStyle="1" w:styleId="FontStyle67">
    <w:name w:val="Font Style67"/>
    <w:basedOn w:val="Domylnaczcionkaakapitu"/>
    <w:uiPriority w:val="99"/>
    <w:rsid w:val="00630B0E"/>
    <w:rPr>
      <w:rFonts w:ascii="Times New Roman" w:hAnsi="Times New Roman" w:cs="Times New Roman" w:hint="default"/>
      <w:smallCaps/>
      <w:sz w:val="12"/>
      <w:szCs w:val="12"/>
    </w:rPr>
  </w:style>
  <w:style w:type="character" w:customStyle="1" w:styleId="FontStyle69">
    <w:name w:val="Font Style69"/>
    <w:basedOn w:val="Domylnaczcionkaakapitu"/>
    <w:uiPriority w:val="99"/>
    <w:rsid w:val="00630B0E"/>
    <w:rPr>
      <w:rFonts w:ascii="Aharoni" w:hAnsi="Aharoni" w:cs="Aharoni" w:hint="default"/>
      <w:sz w:val="16"/>
      <w:szCs w:val="16"/>
    </w:rPr>
  </w:style>
  <w:style w:type="character" w:customStyle="1" w:styleId="FontStyle70">
    <w:name w:val="Font Style70"/>
    <w:basedOn w:val="Domylnaczcionkaakapitu"/>
    <w:uiPriority w:val="99"/>
    <w:rsid w:val="00630B0E"/>
    <w:rPr>
      <w:rFonts w:ascii="Times New Roman" w:hAnsi="Times New Roman" w:cs="Times New Roman" w:hint="default"/>
      <w:spacing w:val="10"/>
      <w:sz w:val="14"/>
      <w:szCs w:val="14"/>
    </w:rPr>
  </w:style>
  <w:style w:type="character" w:customStyle="1" w:styleId="FontStyle74">
    <w:name w:val="Font Style74"/>
    <w:basedOn w:val="Domylnaczcionkaakapitu"/>
    <w:uiPriority w:val="99"/>
    <w:rsid w:val="00630B0E"/>
    <w:rPr>
      <w:rFonts w:ascii="Times New Roman" w:hAnsi="Times New Roman" w:cs="Times New Roman" w:hint="default"/>
      <w:i/>
      <w:iCs/>
      <w:sz w:val="24"/>
      <w:szCs w:val="24"/>
    </w:rPr>
  </w:style>
  <w:style w:type="character" w:customStyle="1" w:styleId="WW8Num1z0">
    <w:name w:val="WW8Num1z0"/>
    <w:rsid w:val="00630B0E"/>
    <w:rPr>
      <w:rFonts w:ascii="Symbol" w:hAnsi="Symbol" w:hint="default"/>
    </w:rPr>
  </w:style>
  <w:style w:type="character" w:customStyle="1" w:styleId="WW8Num1z2">
    <w:name w:val="WW8Num1z2"/>
    <w:rsid w:val="00630B0E"/>
    <w:rPr>
      <w:rFonts w:ascii="Wingdings" w:hAnsi="Wingdings" w:hint="default"/>
    </w:rPr>
  </w:style>
  <w:style w:type="character" w:customStyle="1" w:styleId="WW8Num1z4">
    <w:name w:val="WW8Num1z4"/>
    <w:rsid w:val="00630B0E"/>
    <w:rPr>
      <w:rFonts w:ascii="Courier New" w:hAnsi="Courier New" w:cs="Courier New" w:hint="default"/>
    </w:rPr>
  </w:style>
  <w:style w:type="character" w:customStyle="1" w:styleId="WW8Num2z0">
    <w:name w:val="WW8Num2z0"/>
    <w:rsid w:val="00630B0E"/>
    <w:rPr>
      <w:rFonts w:ascii="Times New Roman" w:hAnsi="Times New Roman" w:cs="Times New Roman" w:hint="default"/>
    </w:rPr>
  </w:style>
  <w:style w:type="character" w:customStyle="1" w:styleId="WW8Num2z1">
    <w:name w:val="WW8Num2z1"/>
    <w:rsid w:val="00630B0E"/>
    <w:rPr>
      <w:rFonts w:ascii="Courier New" w:hAnsi="Courier New" w:cs="Courier New" w:hint="default"/>
    </w:rPr>
  </w:style>
  <w:style w:type="character" w:customStyle="1" w:styleId="WW8Num2z2">
    <w:name w:val="WW8Num2z2"/>
    <w:rsid w:val="00630B0E"/>
    <w:rPr>
      <w:rFonts w:ascii="Wingdings" w:hAnsi="Wingdings" w:hint="default"/>
    </w:rPr>
  </w:style>
  <w:style w:type="character" w:customStyle="1" w:styleId="WW8Num2z3">
    <w:name w:val="WW8Num2z3"/>
    <w:rsid w:val="00630B0E"/>
    <w:rPr>
      <w:rFonts w:ascii="Symbol" w:hAnsi="Symbol" w:hint="default"/>
    </w:rPr>
  </w:style>
  <w:style w:type="character" w:customStyle="1" w:styleId="WW8Num3z0">
    <w:name w:val="WW8Num3z0"/>
    <w:rsid w:val="00630B0E"/>
    <w:rPr>
      <w:rFonts w:ascii="Symbol" w:hAnsi="Symbol" w:hint="default"/>
    </w:rPr>
  </w:style>
  <w:style w:type="character" w:customStyle="1" w:styleId="WW8Num3z2">
    <w:name w:val="WW8Num3z2"/>
    <w:rsid w:val="00630B0E"/>
    <w:rPr>
      <w:rFonts w:ascii="Wingdings" w:hAnsi="Wingdings" w:hint="default"/>
    </w:rPr>
  </w:style>
  <w:style w:type="character" w:customStyle="1" w:styleId="WW8Num3z4">
    <w:name w:val="WW8Num3z4"/>
    <w:rsid w:val="00630B0E"/>
    <w:rPr>
      <w:rFonts w:ascii="Courier New" w:hAnsi="Courier New" w:cs="Courier New" w:hint="default"/>
    </w:rPr>
  </w:style>
  <w:style w:type="character" w:customStyle="1" w:styleId="WW8Num4z0">
    <w:name w:val="WW8Num4z0"/>
    <w:rsid w:val="00630B0E"/>
    <w:rPr>
      <w:rFonts w:ascii="Wingdings" w:hAnsi="Wingdings" w:hint="default"/>
      <w:color w:val="auto"/>
    </w:rPr>
  </w:style>
  <w:style w:type="character" w:customStyle="1" w:styleId="WW8Num4z1">
    <w:name w:val="WW8Num4z1"/>
    <w:rsid w:val="00630B0E"/>
    <w:rPr>
      <w:rFonts w:ascii="Times New Roman" w:hAnsi="Times New Roman" w:cs="Times New Roman" w:hint="default"/>
    </w:rPr>
  </w:style>
  <w:style w:type="character" w:customStyle="1" w:styleId="WW8Num4z2">
    <w:name w:val="WW8Num4z2"/>
    <w:rsid w:val="00630B0E"/>
    <w:rPr>
      <w:rFonts w:ascii="Wingdings" w:hAnsi="Wingdings" w:hint="default"/>
    </w:rPr>
  </w:style>
  <w:style w:type="character" w:customStyle="1" w:styleId="WW8Num4z3">
    <w:name w:val="WW8Num4z3"/>
    <w:rsid w:val="00630B0E"/>
    <w:rPr>
      <w:rFonts w:ascii="Symbol" w:hAnsi="Symbol" w:hint="default"/>
    </w:rPr>
  </w:style>
  <w:style w:type="character" w:customStyle="1" w:styleId="WW8Num4z4">
    <w:name w:val="WW8Num4z4"/>
    <w:rsid w:val="00630B0E"/>
    <w:rPr>
      <w:rFonts w:ascii="Courier New" w:hAnsi="Courier New" w:cs="Courier New" w:hint="default"/>
    </w:rPr>
  </w:style>
  <w:style w:type="character" w:customStyle="1" w:styleId="WW8Num5z0">
    <w:name w:val="WW8Num5z0"/>
    <w:rsid w:val="00630B0E"/>
    <w:rPr>
      <w:rFonts w:ascii="Times New Roman" w:hAnsi="Times New Roman" w:cs="Times New Roman" w:hint="default"/>
    </w:rPr>
  </w:style>
  <w:style w:type="character" w:customStyle="1" w:styleId="WW8Num5z1">
    <w:name w:val="WW8Num5z1"/>
    <w:rsid w:val="00630B0E"/>
    <w:rPr>
      <w:rFonts w:ascii="Courier New" w:hAnsi="Courier New" w:cs="Courier New" w:hint="default"/>
    </w:rPr>
  </w:style>
  <w:style w:type="character" w:customStyle="1" w:styleId="WW8Num5z2">
    <w:name w:val="WW8Num5z2"/>
    <w:rsid w:val="00630B0E"/>
    <w:rPr>
      <w:rFonts w:ascii="Wingdings" w:hAnsi="Wingdings" w:hint="default"/>
    </w:rPr>
  </w:style>
  <w:style w:type="character" w:customStyle="1" w:styleId="WW8Num5z3">
    <w:name w:val="WW8Num5z3"/>
    <w:rsid w:val="00630B0E"/>
    <w:rPr>
      <w:rFonts w:ascii="Symbol" w:hAnsi="Symbol" w:hint="default"/>
    </w:rPr>
  </w:style>
  <w:style w:type="character" w:customStyle="1" w:styleId="WW8Num6z0">
    <w:name w:val="WW8Num6z0"/>
    <w:rsid w:val="00630B0E"/>
    <w:rPr>
      <w:rFonts w:ascii="Times New Roman" w:hAnsi="Times New Roman" w:cs="Times New Roman" w:hint="default"/>
    </w:rPr>
  </w:style>
  <w:style w:type="character" w:customStyle="1" w:styleId="WW8Num6z1">
    <w:name w:val="WW8Num6z1"/>
    <w:rsid w:val="00630B0E"/>
    <w:rPr>
      <w:rFonts w:ascii="Courier New" w:hAnsi="Courier New" w:cs="Courier New" w:hint="default"/>
    </w:rPr>
  </w:style>
  <w:style w:type="character" w:customStyle="1" w:styleId="WW8Num6z2">
    <w:name w:val="WW8Num6z2"/>
    <w:rsid w:val="00630B0E"/>
    <w:rPr>
      <w:rFonts w:ascii="Wingdings" w:hAnsi="Wingdings" w:hint="default"/>
    </w:rPr>
  </w:style>
  <w:style w:type="character" w:customStyle="1" w:styleId="WW8Num6z3">
    <w:name w:val="WW8Num6z3"/>
    <w:rsid w:val="00630B0E"/>
    <w:rPr>
      <w:rFonts w:ascii="Symbol" w:hAnsi="Symbol" w:hint="default"/>
    </w:rPr>
  </w:style>
  <w:style w:type="character" w:customStyle="1" w:styleId="WW8Num8z0">
    <w:name w:val="WW8Num8z0"/>
    <w:rsid w:val="00630B0E"/>
    <w:rPr>
      <w:rFonts w:ascii="Times New Roman" w:hAnsi="Times New Roman" w:cs="Times New Roman" w:hint="default"/>
    </w:rPr>
  </w:style>
  <w:style w:type="character" w:customStyle="1" w:styleId="WW8Num8z1">
    <w:name w:val="WW8Num8z1"/>
    <w:rsid w:val="00630B0E"/>
    <w:rPr>
      <w:rFonts w:ascii="Courier New" w:hAnsi="Courier New" w:cs="Courier New" w:hint="default"/>
    </w:rPr>
  </w:style>
  <w:style w:type="character" w:customStyle="1" w:styleId="WW8Num8z2">
    <w:name w:val="WW8Num8z2"/>
    <w:rsid w:val="00630B0E"/>
    <w:rPr>
      <w:rFonts w:ascii="Wingdings" w:hAnsi="Wingdings" w:hint="default"/>
    </w:rPr>
  </w:style>
  <w:style w:type="character" w:customStyle="1" w:styleId="WW8Num8z3">
    <w:name w:val="WW8Num8z3"/>
    <w:rsid w:val="00630B0E"/>
    <w:rPr>
      <w:rFonts w:ascii="Symbol" w:hAnsi="Symbol" w:hint="default"/>
    </w:rPr>
  </w:style>
  <w:style w:type="character" w:customStyle="1" w:styleId="WW8Num9z0">
    <w:name w:val="WW8Num9z0"/>
    <w:rsid w:val="00630B0E"/>
    <w:rPr>
      <w:rFonts w:ascii="Times New Roman" w:hAnsi="Times New Roman" w:cs="Times New Roman" w:hint="default"/>
    </w:rPr>
  </w:style>
  <w:style w:type="character" w:customStyle="1" w:styleId="WW8Num9z1">
    <w:name w:val="WW8Num9z1"/>
    <w:rsid w:val="00630B0E"/>
    <w:rPr>
      <w:rFonts w:ascii="Courier New" w:hAnsi="Courier New" w:cs="Courier New" w:hint="default"/>
    </w:rPr>
  </w:style>
  <w:style w:type="character" w:customStyle="1" w:styleId="WW8Num9z2">
    <w:name w:val="WW8Num9z2"/>
    <w:rsid w:val="00630B0E"/>
    <w:rPr>
      <w:rFonts w:ascii="Wingdings" w:hAnsi="Wingdings" w:hint="default"/>
    </w:rPr>
  </w:style>
  <w:style w:type="character" w:customStyle="1" w:styleId="WW8Num9z3">
    <w:name w:val="WW8Num9z3"/>
    <w:rsid w:val="00630B0E"/>
    <w:rPr>
      <w:rFonts w:ascii="Symbol" w:hAnsi="Symbol" w:hint="default"/>
    </w:rPr>
  </w:style>
  <w:style w:type="character" w:customStyle="1" w:styleId="WW8Num10z1">
    <w:name w:val="WW8Num10z1"/>
    <w:rsid w:val="00630B0E"/>
    <w:rPr>
      <w:rFonts w:ascii="Times New Roman" w:hAnsi="Times New Roman" w:cs="Times New Roman" w:hint="default"/>
    </w:rPr>
  </w:style>
  <w:style w:type="character" w:customStyle="1" w:styleId="WW8Num12z0">
    <w:name w:val="WW8Num12z0"/>
    <w:rsid w:val="00630B0E"/>
    <w:rPr>
      <w:rFonts w:ascii="Symbol" w:hAnsi="Symbol" w:hint="default"/>
    </w:rPr>
  </w:style>
  <w:style w:type="character" w:customStyle="1" w:styleId="WW8Num12z2">
    <w:name w:val="WW8Num12z2"/>
    <w:rsid w:val="00630B0E"/>
    <w:rPr>
      <w:rFonts w:ascii="Wingdings" w:hAnsi="Wingdings" w:hint="default"/>
    </w:rPr>
  </w:style>
  <w:style w:type="character" w:customStyle="1" w:styleId="WW8Num12z4">
    <w:name w:val="WW8Num12z4"/>
    <w:rsid w:val="00630B0E"/>
    <w:rPr>
      <w:rFonts w:ascii="Courier New" w:hAnsi="Courier New" w:cs="Courier New" w:hint="default"/>
    </w:rPr>
  </w:style>
  <w:style w:type="character" w:customStyle="1" w:styleId="WW8Num13z0">
    <w:name w:val="WW8Num13z0"/>
    <w:rsid w:val="00630B0E"/>
    <w:rPr>
      <w:rFonts w:ascii="Wingdings" w:hAnsi="Wingdings" w:hint="default"/>
    </w:rPr>
  </w:style>
  <w:style w:type="character" w:customStyle="1" w:styleId="WW8Num13z1">
    <w:name w:val="WW8Num13z1"/>
    <w:rsid w:val="00630B0E"/>
    <w:rPr>
      <w:rFonts w:ascii="Courier New" w:hAnsi="Courier New" w:cs="Courier New" w:hint="default"/>
    </w:rPr>
  </w:style>
  <w:style w:type="character" w:customStyle="1" w:styleId="WW8Num13z2">
    <w:name w:val="WW8Num13z2"/>
    <w:rsid w:val="00630B0E"/>
    <w:rPr>
      <w:rFonts w:ascii="Times New Roman" w:hAnsi="Times New Roman" w:cs="Times New Roman" w:hint="default"/>
    </w:rPr>
  </w:style>
  <w:style w:type="character" w:customStyle="1" w:styleId="WW8Num13z3">
    <w:name w:val="WW8Num13z3"/>
    <w:rsid w:val="00630B0E"/>
    <w:rPr>
      <w:rFonts w:ascii="Symbol" w:hAnsi="Symbol" w:hint="default"/>
    </w:rPr>
  </w:style>
  <w:style w:type="character" w:customStyle="1" w:styleId="WW8Num14z1">
    <w:name w:val="WW8Num14z1"/>
    <w:rsid w:val="00630B0E"/>
    <w:rPr>
      <w:rFonts w:ascii="Times New Roman" w:hAnsi="Times New Roman" w:cs="Times New Roman" w:hint="default"/>
    </w:rPr>
  </w:style>
  <w:style w:type="character" w:customStyle="1" w:styleId="WW8Num15z0">
    <w:name w:val="WW8Num15z0"/>
    <w:rsid w:val="00630B0E"/>
    <w:rPr>
      <w:rFonts w:ascii="Symbol" w:hAnsi="Symbol" w:hint="default"/>
    </w:rPr>
  </w:style>
  <w:style w:type="character" w:customStyle="1" w:styleId="WW8Num15z1">
    <w:name w:val="WW8Num15z1"/>
    <w:rsid w:val="00630B0E"/>
    <w:rPr>
      <w:rFonts w:ascii="Courier New" w:hAnsi="Courier New" w:cs="Courier New" w:hint="default"/>
    </w:rPr>
  </w:style>
  <w:style w:type="character" w:customStyle="1" w:styleId="WW8Num15z2">
    <w:name w:val="WW8Num15z2"/>
    <w:rsid w:val="00630B0E"/>
    <w:rPr>
      <w:rFonts w:ascii="Wingdings" w:hAnsi="Wingdings" w:hint="default"/>
    </w:rPr>
  </w:style>
  <w:style w:type="character" w:customStyle="1" w:styleId="WW8Num16z0">
    <w:name w:val="WW8Num16z0"/>
    <w:rsid w:val="00630B0E"/>
    <w:rPr>
      <w:rFonts w:ascii="Times New Roman" w:hAnsi="Times New Roman" w:cs="Times New Roman" w:hint="default"/>
      <w:b/>
      <w:bCs w:val="0"/>
      <w:sz w:val="28"/>
      <w:u w:val="single"/>
    </w:rPr>
  </w:style>
  <w:style w:type="character" w:customStyle="1" w:styleId="WW8Num16z1">
    <w:name w:val="WW8Num16z1"/>
    <w:rsid w:val="00630B0E"/>
    <w:rPr>
      <w:rFonts w:ascii="Times New Roman" w:hAnsi="Times New Roman" w:cs="Times New Roman" w:hint="default"/>
      <w:b/>
      <w:bCs w:val="0"/>
      <w:strike w:val="0"/>
      <w:dstrike w:val="0"/>
      <w:sz w:val="30"/>
      <w:u w:val="none"/>
      <w:effect w:val="none"/>
    </w:rPr>
  </w:style>
  <w:style w:type="character" w:customStyle="1" w:styleId="WW8Num16z2">
    <w:name w:val="WW8Num16z2"/>
    <w:rsid w:val="00630B0E"/>
    <w:rPr>
      <w:rFonts w:ascii="Times New Roman" w:hAnsi="Times New Roman" w:cs="Times New Roman" w:hint="default"/>
      <w:b/>
      <w:bCs w:val="0"/>
      <w:sz w:val="26"/>
    </w:rPr>
  </w:style>
  <w:style w:type="character" w:customStyle="1" w:styleId="WW8Num16z3">
    <w:name w:val="WW8Num16z3"/>
    <w:rsid w:val="00630B0E"/>
    <w:rPr>
      <w:rFonts w:ascii="Times New Roman" w:hAnsi="Times New Roman" w:cs="Times New Roman" w:hint="default"/>
      <w:b/>
      <w:bCs w:val="0"/>
      <w:i/>
      <w:iCs w:val="0"/>
      <w:sz w:val="26"/>
    </w:rPr>
  </w:style>
  <w:style w:type="character" w:customStyle="1" w:styleId="WW8Num17z0">
    <w:name w:val="WW8Num17z0"/>
    <w:rsid w:val="00630B0E"/>
  </w:style>
  <w:style w:type="character" w:customStyle="1" w:styleId="WW8Num18z0">
    <w:name w:val="WW8Num18z0"/>
    <w:rsid w:val="00630B0E"/>
    <w:rPr>
      <w:rFonts w:ascii="Symbol" w:hAnsi="Symbol" w:hint="default"/>
    </w:rPr>
  </w:style>
  <w:style w:type="character" w:customStyle="1" w:styleId="WW8Num18z2">
    <w:name w:val="WW8Num18z2"/>
    <w:rsid w:val="00630B0E"/>
    <w:rPr>
      <w:rFonts w:ascii="Wingdings" w:hAnsi="Wingdings" w:hint="default"/>
    </w:rPr>
  </w:style>
  <w:style w:type="character" w:customStyle="1" w:styleId="WW8Num18z4">
    <w:name w:val="WW8Num18z4"/>
    <w:rsid w:val="00630B0E"/>
    <w:rPr>
      <w:rFonts w:ascii="Courier New" w:hAnsi="Courier New" w:cs="Courier New" w:hint="default"/>
    </w:rPr>
  </w:style>
  <w:style w:type="character" w:customStyle="1" w:styleId="WW8Num19z1">
    <w:name w:val="WW8Num19z1"/>
    <w:rsid w:val="00630B0E"/>
    <w:rPr>
      <w:rFonts w:ascii="Courier New" w:hAnsi="Courier New" w:cs="Courier New" w:hint="default"/>
    </w:rPr>
  </w:style>
  <w:style w:type="character" w:customStyle="1" w:styleId="WW8Num19z2">
    <w:name w:val="WW8Num19z2"/>
    <w:rsid w:val="00630B0E"/>
    <w:rPr>
      <w:rFonts w:ascii="Wingdings" w:hAnsi="Wingdings" w:hint="default"/>
    </w:rPr>
  </w:style>
  <w:style w:type="character" w:customStyle="1" w:styleId="WW8Num19z3">
    <w:name w:val="WW8Num19z3"/>
    <w:rsid w:val="00630B0E"/>
    <w:rPr>
      <w:rFonts w:ascii="Symbol" w:hAnsi="Symbol" w:hint="default"/>
    </w:rPr>
  </w:style>
  <w:style w:type="character" w:customStyle="1" w:styleId="Domylnaczcionkaakapitu1">
    <w:name w:val="Domyślna czcionka akapitu1"/>
    <w:rsid w:val="00630B0E"/>
  </w:style>
  <w:style w:type="character" w:customStyle="1" w:styleId="Znakiprzypiswkocowych">
    <w:name w:val="Znaki przypisów końcowych"/>
    <w:basedOn w:val="Domylnaczcionkaakapitu1"/>
    <w:rsid w:val="00630B0E"/>
    <w:rPr>
      <w:rFonts w:ascii="Times New Roman" w:hAnsi="Times New Roman" w:cs="Times New Roman" w:hint="default"/>
      <w:vertAlign w:val="superscript"/>
    </w:rPr>
  </w:style>
  <w:style w:type="character" w:customStyle="1" w:styleId="FontStyle22">
    <w:name w:val="Font Style22"/>
    <w:basedOn w:val="Domylnaczcionkaakapitu"/>
    <w:rsid w:val="00630B0E"/>
    <w:rPr>
      <w:rFonts w:ascii="Times New Roman" w:hAnsi="Times New Roman" w:cs="Times New Roman" w:hint="default"/>
      <w:sz w:val="22"/>
      <w:szCs w:val="22"/>
    </w:rPr>
  </w:style>
  <w:style w:type="character" w:customStyle="1" w:styleId="Tekstzastpczy1">
    <w:name w:val="Tekst zastępczy1"/>
    <w:basedOn w:val="Domylnaczcionkaakapitu"/>
    <w:semiHidden/>
    <w:rsid w:val="00630B0E"/>
    <w:rPr>
      <w:rFonts w:ascii="Times New Roman" w:hAnsi="Times New Roman" w:cs="Times New Roman" w:hint="default"/>
      <w:color w:val="808080"/>
    </w:rPr>
  </w:style>
  <w:style w:type="character" w:customStyle="1" w:styleId="FontStyle46">
    <w:name w:val="Font Style46"/>
    <w:basedOn w:val="Domylnaczcionkaakapitu"/>
    <w:uiPriority w:val="99"/>
    <w:rsid w:val="00630B0E"/>
    <w:rPr>
      <w:rFonts w:ascii="Verdana" w:hAnsi="Verdana" w:cs="Verdana" w:hint="default"/>
      <w:smallCaps/>
      <w:sz w:val="16"/>
      <w:szCs w:val="16"/>
    </w:rPr>
  </w:style>
  <w:style w:type="character" w:customStyle="1" w:styleId="FontStyle50">
    <w:name w:val="Font Style50"/>
    <w:basedOn w:val="Domylnaczcionkaakapitu"/>
    <w:uiPriority w:val="99"/>
    <w:rsid w:val="00630B0E"/>
    <w:rPr>
      <w:rFonts w:ascii="Verdana" w:hAnsi="Verdana" w:cs="Verdana" w:hint="default"/>
      <w:smallCaps/>
      <w:sz w:val="18"/>
      <w:szCs w:val="18"/>
    </w:rPr>
  </w:style>
  <w:style w:type="character" w:customStyle="1" w:styleId="FontStyle52">
    <w:name w:val="Font Style52"/>
    <w:basedOn w:val="Domylnaczcionkaakapitu"/>
    <w:uiPriority w:val="99"/>
    <w:rsid w:val="00630B0E"/>
    <w:rPr>
      <w:rFonts w:ascii="Verdana" w:hAnsi="Verdana" w:cs="Verdana" w:hint="default"/>
      <w:i/>
      <w:iCs/>
      <w:sz w:val="12"/>
      <w:szCs w:val="12"/>
    </w:rPr>
  </w:style>
  <w:style w:type="character" w:customStyle="1" w:styleId="FontStyle56">
    <w:name w:val="Font Style56"/>
    <w:basedOn w:val="Domylnaczcionkaakapitu"/>
    <w:uiPriority w:val="99"/>
    <w:rsid w:val="00630B0E"/>
    <w:rPr>
      <w:rFonts w:ascii="Verdana" w:hAnsi="Verdana" w:cs="Verdana" w:hint="default"/>
      <w:sz w:val="12"/>
      <w:szCs w:val="12"/>
    </w:rPr>
  </w:style>
  <w:style w:type="character" w:customStyle="1" w:styleId="FontStyle57">
    <w:name w:val="Font Style57"/>
    <w:basedOn w:val="Domylnaczcionkaakapitu"/>
    <w:uiPriority w:val="99"/>
    <w:rsid w:val="00630B0E"/>
    <w:rPr>
      <w:rFonts w:ascii="Verdana" w:hAnsi="Verdana" w:cs="Verdana" w:hint="default"/>
      <w:spacing w:val="-10"/>
      <w:sz w:val="16"/>
      <w:szCs w:val="16"/>
    </w:rPr>
  </w:style>
  <w:style w:type="character" w:customStyle="1" w:styleId="FontStyle55">
    <w:name w:val="Font Style55"/>
    <w:basedOn w:val="Domylnaczcionkaakapitu"/>
    <w:uiPriority w:val="99"/>
    <w:rsid w:val="00630B0E"/>
    <w:rPr>
      <w:rFonts w:ascii="Verdana" w:hAnsi="Verdana" w:cs="Verdana" w:hint="default"/>
      <w:i/>
      <w:iCs/>
      <w:spacing w:val="20"/>
      <w:sz w:val="16"/>
      <w:szCs w:val="16"/>
    </w:rPr>
  </w:style>
  <w:style w:type="character" w:customStyle="1" w:styleId="FontStyle58">
    <w:name w:val="Font Style58"/>
    <w:basedOn w:val="Domylnaczcionkaakapitu"/>
    <w:uiPriority w:val="99"/>
    <w:rsid w:val="00630B0E"/>
    <w:rPr>
      <w:rFonts w:ascii="Verdana" w:hAnsi="Verdana" w:cs="Verdana" w:hint="default"/>
      <w:sz w:val="16"/>
      <w:szCs w:val="16"/>
    </w:rPr>
  </w:style>
  <w:style w:type="character" w:customStyle="1" w:styleId="FontStyle48">
    <w:name w:val="Font Style48"/>
    <w:basedOn w:val="Domylnaczcionkaakapitu"/>
    <w:uiPriority w:val="99"/>
    <w:rsid w:val="00630B0E"/>
    <w:rPr>
      <w:rFonts w:ascii="Verdana" w:hAnsi="Verdana" w:cs="Verdana" w:hint="default"/>
      <w:i/>
      <w:iCs/>
      <w:smallCaps/>
      <w:sz w:val="16"/>
      <w:szCs w:val="16"/>
    </w:rPr>
  </w:style>
  <w:style w:type="character" w:customStyle="1" w:styleId="FontStyle119">
    <w:name w:val="Font Style119"/>
    <w:basedOn w:val="Domylnaczcionkaakapitu"/>
    <w:uiPriority w:val="99"/>
    <w:rsid w:val="00630B0E"/>
    <w:rPr>
      <w:rFonts w:ascii="MS Reference Sans Serif" w:hAnsi="MS Reference Sans Serif" w:cs="MS Reference Sans Serif" w:hint="default"/>
      <w:b/>
      <w:bCs/>
      <w:sz w:val="14"/>
      <w:szCs w:val="14"/>
    </w:rPr>
  </w:style>
  <w:style w:type="character" w:customStyle="1" w:styleId="FontStyle123">
    <w:name w:val="Font Style123"/>
    <w:basedOn w:val="Domylnaczcionkaakapitu"/>
    <w:uiPriority w:val="99"/>
    <w:rsid w:val="00630B0E"/>
    <w:rPr>
      <w:rFonts w:ascii="MS Reference Sans Serif" w:hAnsi="MS Reference Sans Serif" w:cs="MS Reference Sans Serif" w:hint="default"/>
      <w:b/>
      <w:bCs/>
      <w:sz w:val="16"/>
      <w:szCs w:val="16"/>
    </w:rPr>
  </w:style>
  <w:style w:type="character" w:customStyle="1" w:styleId="FontStyle124">
    <w:name w:val="Font Style124"/>
    <w:basedOn w:val="Domylnaczcionkaakapitu"/>
    <w:uiPriority w:val="99"/>
    <w:rsid w:val="00630B0E"/>
    <w:rPr>
      <w:rFonts w:ascii="Franklin Gothic Demi" w:hAnsi="Franklin Gothic Demi" w:cs="Franklin Gothic Demi" w:hint="default"/>
      <w:sz w:val="20"/>
      <w:szCs w:val="20"/>
    </w:rPr>
  </w:style>
  <w:style w:type="character" w:customStyle="1" w:styleId="FontStyle125">
    <w:name w:val="Font Style125"/>
    <w:basedOn w:val="Domylnaczcionkaakapitu"/>
    <w:uiPriority w:val="99"/>
    <w:rsid w:val="00630B0E"/>
    <w:rPr>
      <w:rFonts w:ascii="Verdana" w:hAnsi="Verdana" w:cs="Verdana" w:hint="default"/>
      <w:b/>
      <w:bCs/>
      <w:sz w:val="14"/>
      <w:szCs w:val="14"/>
    </w:rPr>
  </w:style>
  <w:style w:type="character" w:customStyle="1" w:styleId="FontStyle126">
    <w:name w:val="Font Style126"/>
    <w:basedOn w:val="Domylnaczcionkaakapitu"/>
    <w:uiPriority w:val="99"/>
    <w:rsid w:val="00630B0E"/>
    <w:rPr>
      <w:rFonts w:ascii="MS Reference Sans Serif" w:hAnsi="MS Reference Sans Serif" w:cs="MS Reference Sans Serif" w:hint="default"/>
      <w:b/>
      <w:bCs/>
      <w:i/>
      <w:iCs/>
      <w:sz w:val="10"/>
      <w:szCs w:val="10"/>
    </w:rPr>
  </w:style>
  <w:style w:type="character" w:customStyle="1" w:styleId="FontStyle133">
    <w:name w:val="Font Style133"/>
    <w:basedOn w:val="Domylnaczcionkaakapitu"/>
    <w:uiPriority w:val="99"/>
    <w:rsid w:val="00630B0E"/>
    <w:rPr>
      <w:rFonts w:ascii="MS Reference Sans Serif" w:hAnsi="MS Reference Sans Serif" w:cs="MS Reference Sans Serif" w:hint="default"/>
      <w:b/>
      <w:bCs/>
      <w:i/>
      <w:iCs/>
      <w:sz w:val="12"/>
      <w:szCs w:val="12"/>
    </w:rPr>
  </w:style>
  <w:style w:type="character" w:customStyle="1" w:styleId="FontStyle134">
    <w:name w:val="Font Style134"/>
    <w:basedOn w:val="Domylnaczcionkaakapitu"/>
    <w:uiPriority w:val="99"/>
    <w:rsid w:val="00630B0E"/>
    <w:rPr>
      <w:rFonts w:ascii="MS Reference Sans Serif" w:hAnsi="MS Reference Sans Serif" w:cs="MS Reference Sans Serif" w:hint="default"/>
      <w:b/>
      <w:bCs/>
      <w:sz w:val="12"/>
      <w:szCs w:val="12"/>
    </w:rPr>
  </w:style>
  <w:style w:type="character" w:customStyle="1" w:styleId="FontStyle127">
    <w:name w:val="Font Style127"/>
    <w:basedOn w:val="Domylnaczcionkaakapitu"/>
    <w:uiPriority w:val="99"/>
    <w:rsid w:val="00630B0E"/>
    <w:rPr>
      <w:rFonts w:ascii="MS Reference Sans Serif" w:hAnsi="MS Reference Sans Serif" w:cs="MS Reference Sans Serif" w:hint="default"/>
      <w:b/>
      <w:bCs/>
      <w:i/>
      <w:iCs/>
      <w:smallCaps/>
      <w:sz w:val="14"/>
      <w:szCs w:val="14"/>
    </w:rPr>
  </w:style>
  <w:style w:type="character" w:customStyle="1" w:styleId="FontStyle141">
    <w:name w:val="Font Style141"/>
    <w:basedOn w:val="Domylnaczcionkaakapitu"/>
    <w:uiPriority w:val="99"/>
    <w:rsid w:val="00630B0E"/>
    <w:rPr>
      <w:rFonts w:ascii="Corbel" w:hAnsi="Corbel" w:cs="Corbel" w:hint="default"/>
      <w:b/>
      <w:bCs/>
      <w:sz w:val="12"/>
      <w:szCs w:val="12"/>
    </w:rPr>
  </w:style>
  <w:style w:type="character" w:customStyle="1" w:styleId="FontStyle148">
    <w:name w:val="Font Style148"/>
    <w:basedOn w:val="Domylnaczcionkaakapitu"/>
    <w:uiPriority w:val="99"/>
    <w:rsid w:val="00630B0E"/>
    <w:rPr>
      <w:rFonts w:ascii="Verdana" w:hAnsi="Verdana" w:cs="Verdana" w:hint="default"/>
      <w:i/>
      <w:iCs/>
      <w:smallCaps/>
      <w:sz w:val="16"/>
      <w:szCs w:val="16"/>
    </w:rPr>
  </w:style>
  <w:style w:type="character" w:customStyle="1" w:styleId="FontStyle53">
    <w:name w:val="Font Style53"/>
    <w:basedOn w:val="Domylnaczcionkaakapitu"/>
    <w:uiPriority w:val="99"/>
    <w:rsid w:val="00630B0E"/>
    <w:rPr>
      <w:rFonts w:ascii="Verdana" w:hAnsi="Verdana" w:cs="Verdana" w:hint="default"/>
      <w:i/>
      <w:iCs/>
      <w:sz w:val="10"/>
      <w:szCs w:val="10"/>
    </w:rPr>
  </w:style>
  <w:style w:type="character" w:customStyle="1" w:styleId="FontStyle114">
    <w:name w:val="Font Style114"/>
    <w:basedOn w:val="Domylnaczcionkaakapitu"/>
    <w:uiPriority w:val="99"/>
    <w:rsid w:val="00630B0E"/>
    <w:rPr>
      <w:rFonts w:ascii="MS Reference Sans Serif" w:hAnsi="MS Reference Sans Serif" w:cs="MS Reference Sans Serif" w:hint="default"/>
      <w:b/>
      <w:bCs/>
      <w:sz w:val="18"/>
      <w:szCs w:val="18"/>
    </w:rPr>
  </w:style>
  <w:style w:type="character" w:customStyle="1" w:styleId="FontStyle128">
    <w:name w:val="Font Style128"/>
    <w:basedOn w:val="Domylnaczcionkaakapitu"/>
    <w:uiPriority w:val="99"/>
    <w:rsid w:val="00630B0E"/>
    <w:rPr>
      <w:rFonts w:ascii="Corbel" w:hAnsi="Corbel" w:cs="Corbel" w:hint="default"/>
      <w:sz w:val="24"/>
      <w:szCs w:val="24"/>
    </w:rPr>
  </w:style>
  <w:style w:type="character" w:customStyle="1" w:styleId="FontStyle129">
    <w:name w:val="Font Style129"/>
    <w:basedOn w:val="Domylnaczcionkaakapitu"/>
    <w:uiPriority w:val="99"/>
    <w:rsid w:val="00630B0E"/>
    <w:rPr>
      <w:rFonts w:ascii="MS Reference Sans Serif" w:hAnsi="MS Reference Sans Serif" w:cs="MS Reference Sans Serif" w:hint="default"/>
      <w:b/>
      <w:bCs/>
      <w:sz w:val="14"/>
      <w:szCs w:val="14"/>
    </w:rPr>
  </w:style>
  <w:style w:type="character" w:customStyle="1" w:styleId="FontStyle130">
    <w:name w:val="Font Style130"/>
    <w:basedOn w:val="Domylnaczcionkaakapitu"/>
    <w:uiPriority w:val="99"/>
    <w:rsid w:val="00630B0E"/>
    <w:rPr>
      <w:rFonts w:ascii="Tahoma" w:hAnsi="Tahoma" w:cs="Tahoma" w:hint="default"/>
      <w:b/>
      <w:bCs/>
      <w:sz w:val="16"/>
      <w:szCs w:val="16"/>
    </w:rPr>
  </w:style>
  <w:style w:type="character" w:customStyle="1" w:styleId="FontStyle135">
    <w:name w:val="Font Style135"/>
    <w:basedOn w:val="Domylnaczcionkaakapitu"/>
    <w:uiPriority w:val="99"/>
    <w:rsid w:val="00630B0E"/>
    <w:rPr>
      <w:rFonts w:ascii="MS Reference Sans Serif" w:hAnsi="MS Reference Sans Serif" w:cs="MS Reference Sans Serif" w:hint="default"/>
      <w:smallCaps/>
      <w:spacing w:val="-10"/>
      <w:sz w:val="10"/>
      <w:szCs w:val="10"/>
    </w:rPr>
  </w:style>
  <w:style w:type="character" w:customStyle="1" w:styleId="FontStyle131">
    <w:name w:val="Font Style131"/>
    <w:basedOn w:val="Domylnaczcionkaakapitu"/>
    <w:uiPriority w:val="99"/>
    <w:rsid w:val="00630B0E"/>
    <w:rPr>
      <w:rFonts w:ascii="Consolas" w:hAnsi="Consolas" w:cs="Consolas" w:hint="default"/>
      <w:b/>
      <w:bCs/>
      <w:sz w:val="12"/>
      <w:szCs w:val="12"/>
    </w:rPr>
  </w:style>
  <w:style w:type="character" w:customStyle="1" w:styleId="FontStyle132">
    <w:name w:val="Font Style132"/>
    <w:basedOn w:val="Domylnaczcionkaakapitu"/>
    <w:uiPriority w:val="99"/>
    <w:rsid w:val="00630B0E"/>
    <w:rPr>
      <w:rFonts w:ascii="Consolas" w:hAnsi="Consolas" w:cs="Consolas" w:hint="default"/>
      <w:b/>
      <w:bCs/>
      <w:i/>
      <w:iCs/>
      <w:sz w:val="10"/>
      <w:szCs w:val="10"/>
    </w:rPr>
  </w:style>
  <w:style w:type="character" w:customStyle="1" w:styleId="FontStyle143">
    <w:name w:val="Font Style143"/>
    <w:basedOn w:val="Domylnaczcionkaakapitu"/>
    <w:uiPriority w:val="99"/>
    <w:rsid w:val="00630B0E"/>
    <w:rPr>
      <w:rFonts w:ascii="MS Reference Sans Serif" w:hAnsi="MS Reference Sans Serif" w:cs="MS Reference Sans Serif" w:hint="default"/>
      <w:b/>
      <w:bCs/>
      <w:smallCaps/>
      <w:sz w:val="14"/>
      <w:szCs w:val="14"/>
    </w:rPr>
  </w:style>
  <w:style w:type="character" w:customStyle="1" w:styleId="FontStyle149">
    <w:name w:val="Font Style149"/>
    <w:basedOn w:val="Domylnaczcionkaakapitu"/>
    <w:uiPriority w:val="99"/>
    <w:rsid w:val="00630B0E"/>
    <w:rPr>
      <w:rFonts w:ascii="Franklin Gothic Demi" w:hAnsi="Franklin Gothic Demi" w:cs="Franklin Gothic Demi" w:hint="default"/>
      <w:sz w:val="20"/>
      <w:szCs w:val="20"/>
    </w:rPr>
  </w:style>
  <w:style w:type="character" w:customStyle="1" w:styleId="FontStyle150">
    <w:name w:val="Font Style150"/>
    <w:basedOn w:val="Domylnaczcionkaakapitu"/>
    <w:uiPriority w:val="99"/>
    <w:rsid w:val="00630B0E"/>
    <w:rPr>
      <w:rFonts w:ascii="Arial Narrow" w:hAnsi="Arial Narrow" w:cs="Arial Narrow" w:hint="default"/>
      <w:sz w:val="22"/>
      <w:szCs w:val="22"/>
    </w:rPr>
  </w:style>
  <w:style w:type="character" w:customStyle="1" w:styleId="FontStyle151">
    <w:name w:val="Font Style151"/>
    <w:basedOn w:val="Domylnaczcionkaakapitu"/>
    <w:uiPriority w:val="99"/>
    <w:rsid w:val="00630B0E"/>
    <w:rPr>
      <w:rFonts w:ascii="MS Reference Sans Serif" w:hAnsi="MS Reference Sans Serif" w:cs="MS Reference Sans Serif" w:hint="default"/>
      <w:sz w:val="16"/>
      <w:szCs w:val="16"/>
    </w:rPr>
  </w:style>
  <w:style w:type="character" w:customStyle="1" w:styleId="FontStyle154">
    <w:name w:val="Font Style154"/>
    <w:basedOn w:val="Domylnaczcionkaakapitu"/>
    <w:uiPriority w:val="99"/>
    <w:rsid w:val="00630B0E"/>
    <w:rPr>
      <w:rFonts w:ascii="MS Reference Sans Serif" w:hAnsi="MS Reference Sans Serif" w:cs="MS Reference Sans Serif" w:hint="default"/>
      <w:sz w:val="16"/>
      <w:szCs w:val="16"/>
    </w:rPr>
  </w:style>
  <w:style w:type="character" w:customStyle="1" w:styleId="FontStyle155">
    <w:name w:val="Font Style155"/>
    <w:basedOn w:val="Domylnaczcionkaakapitu"/>
    <w:uiPriority w:val="99"/>
    <w:rsid w:val="00630B0E"/>
    <w:rPr>
      <w:rFonts w:ascii="Corbel" w:hAnsi="Corbel" w:cs="Corbel" w:hint="default"/>
      <w:b/>
      <w:bCs/>
      <w:i/>
      <w:iCs/>
      <w:sz w:val="16"/>
      <w:szCs w:val="16"/>
    </w:rPr>
  </w:style>
  <w:style w:type="character" w:customStyle="1" w:styleId="FontStyle158">
    <w:name w:val="Font Style158"/>
    <w:basedOn w:val="Domylnaczcionkaakapitu"/>
    <w:uiPriority w:val="99"/>
    <w:rsid w:val="00630B0E"/>
    <w:rPr>
      <w:rFonts w:ascii="MS Reference Sans Serif" w:hAnsi="MS Reference Sans Serif" w:cs="MS Reference Sans Serif" w:hint="default"/>
      <w:b/>
      <w:bCs/>
      <w:i/>
      <w:iCs/>
      <w:sz w:val="8"/>
      <w:szCs w:val="8"/>
    </w:rPr>
  </w:style>
  <w:style w:type="numbering" w:customStyle="1" w:styleId="Styl2">
    <w:name w:val="Styl2"/>
    <w:rsid w:val="00630B0E"/>
    <w:pPr>
      <w:numPr>
        <w:numId w:val="37"/>
      </w:numPr>
    </w:pPr>
  </w:style>
  <w:style w:type="numbering" w:customStyle="1" w:styleId="Styl5">
    <w:name w:val="Styl5"/>
    <w:rsid w:val="00630B0E"/>
    <w:pPr>
      <w:numPr>
        <w:numId w:val="215"/>
      </w:numPr>
    </w:pPr>
  </w:style>
  <w:style w:type="numbering" w:customStyle="1" w:styleId="Styl3">
    <w:name w:val="Styl3"/>
    <w:rsid w:val="00630B0E"/>
    <w:pPr>
      <w:numPr>
        <w:numId w:val="39"/>
      </w:numPr>
    </w:pPr>
  </w:style>
  <w:style w:type="numbering" w:customStyle="1" w:styleId="StylStylStylKonspektynumerowaneKonspektynumerowane12pt">
    <w:name w:val="Styl Styl Styl Konspekty numerowane + Konspekty numerowane 12 pt +..."/>
    <w:rsid w:val="00630B0E"/>
    <w:pPr>
      <w:numPr>
        <w:numId w:val="216"/>
      </w:numPr>
    </w:pPr>
  </w:style>
  <w:style w:type="numbering" w:customStyle="1" w:styleId="Styl1">
    <w:name w:val="Styl1"/>
    <w:uiPriority w:val="99"/>
    <w:rsid w:val="00630B0E"/>
    <w:pPr>
      <w:numPr>
        <w:numId w:val="41"/>
      </w:numPr>
    </w:pPr>
  </w:style>
  <w:style w:type="numbering" w:customStyle="1" w:styleId="Styl4">
    <w:name w:val="Styl4"/>
    <w:rsid w:val="00630B0E"/>
    <w:pPr>
      <w:numPr>
        <w:numId w:val="42"/>
      </w:numPr>
    </w:pPr>
  </w:style>
  <w:style w:type="numbering" w:styleId="111111">
    <w:name w:val="Outline List 2"/>
    <w:basedOn w:val="Bezlisty"/>
    <w:unhideWhenUsed/>
    <w:locked/>
    <w:rsid w:val="00630B0E"/>
    <w:pPr>
      <w:numPr>
        <w:numId w:val="43"/>
      </w:numPr>
    </w:pPr>
  </w:style>
  <w:style w:type="paragraph" w:customStyle="1" w:styleId="Teksttreci1">
    <w:name w:val="Tekst treści1"/>
    <w:basedOn w:val="Normalny"/>
    <w:uiPriority w:val="99"/>
    <w:rsid w:val="00A92803"/>
    <w:pPr>
      <w:shd w:val="clear" w:color="auto" w:fill="FFFFFF"/>
      <w:overflowPunct/>
      <w:autoSpaceDE/>
      <w:autoSpaceDN/>
      <w:adjustRightInd/>
      <w:spacing w:before="180" w:after="180" w:line="235" w:lineRule="exact"/>
      <w:ind w:hanging="1760"/>
      <w:textAlignment w:val="auto"/>
    </w:pPr>
    <w:rPr>
      <w:rFonts w:eastAsia="Arial Unicode MS"/>
    </w:rPr>
  </w:style>
  <w:style w:type="character" w:customStyle="1" w:styleId="Teksttreci2Tahoma">
    <w:name w:val="Tekst treści (2) + Tahoma"/>
    <w:aliases w:val="10,5 pt,Kursywa,Odstępy -1 pt,Tekst treści + Batang,Tekst treści + 11,Tekst treści + Palatino Linotype,Tekst treści + 12 pt,Tekst treści + 9,Tekst treści + AngsanaUPC,7,Bez pogrubienia,15 pt,Tekst treści + Trebuchet MS,9 pt,14"/>
    <w:rsid w:val="00975CF7"/>
    <w:rPr>
      <w:rFonts w:ascii="Tahoma" w:eastAsia="Tahoma" w:hAnsi="Tahoma" w:cs="Tahoma" w:hint="default"/>
      <w:b w:val="0"/>
      <w:bCs w:val="0"/>
      <w:i/>
      <w:iCs/>
      <w:smallCaps w:val="0"/>
      <w:strike w:val="0"/>
      <w:dstrike w:val="0"/>
      <w:color w:val="000000"/>
      <w:spacing w:val="-20"/>
      <w:w w:val="100"/>
      <w:position w:val="0"/>
      <w:sz w:val="21"/>
      <w:szCs w:val="21"/>
      <w:u w:val="none"/>
      <w:effect w:val="none"/>
      <w:lang w:val="pl-PL"/>
    </w:rPr>
  </w:style>
  <w:style w:type="character" w:customStyle="1" w:styleId="TeksttreciOdstpy0pt">
    <w:name w:val="Tekst treści + Odstępy 0 pt"/>
    <w:rsid w:val="00975CF7"/>
    <w:rPr>
      <w:rFonts w:ascii="Times New Roman" w:eastAsia="Times New Roman" w:hAnsi="Times New Roman" w:cs="Times New Roman" w:hint="default"/>
      <w:b w:val="0"/>
      <w:bCs w:val="0"/>
      <w:i w:val="0"/>
      <w:iCs w:val="0"/>
      <w:smallCaps w:val="0"/>
      <w:strike w:val="0"/>
      <w:dstrike w:val="0"/>
      <w:color w:val="000000"/>
      <w:spacing w:val="-10"/>
      <w:w w:val="100"/>
      <w:position w:val="0"/>
      <w:sz w:val="21"/>
      <w:szCs w:val="21"/>
      <w:u w:val="none"/>
      <w:effect w:val="none"/>
      <w:lang w:val="pl-PL"/>
    </w:rPr>
  </w:style>
  <w:style w:type="character" w:customStyle="1" w:styleId="Teksttreci2">
    <w:name w:val="Tekst treści (2)_"/>
    <w:link w:val="Teksttreci20"/>
    <w:locked/>
    <w:rsid w:val="00975CF7"/>
    <w:rPr>
      <w:rFonts w:ascii="Times New Roman" w:eastAsia="Times New Roman" w:hAnsi="Times New Roman"/>
      <w:spacing w:val="-10"/>
      <w:shd w:val="clear" w:color="auto" w:fill="FFFFFF"/>
    </w:rPr>
  </w:style>
  <w:style w:type="paragraph" w:customStyle="1" w:styleId="Teksttreci20">
    <w:name w:val="Tekst treści (2)"/>
    <w:basedOn w:val="Normalny"/>
    <w:link w:val="Teksttreci2"/>
    <w:rsid w:val="00975CF7"/>
    <w:pPr>
      <w:widowControl w:val="0"/>
      <w:shd w:val="clear" w:color="auto" w:fill="FFFFFF"/>
      <w:overflowPunct/>
      <w:autoSpaceDE/>
      <w:autoSpaceDN/>
      <w:adjustRightInd/>
      <w:spacing w:before="120" w:after="120" w:line="0" w:lineRule="atLeast"/>
      <w:textAlignment w:val="auto"/>
    </w:pPr>
    <w:rPr>
      <w:spacing w:val="-10"/>
      <w:sz w:val="22"/>
      <w:szCs w:val="22"/>
    </w:rPr>
  </w:style>
  <w:style w:type="character" w:customStyle="1" w:styleId="Teksttreci11pt">
    <w:name w:val="Tekst treści + 11 pt"/>
    <w:rsid w:val="00975CF7"/>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rPr>
  </w:style>
  <w:style w:type="paragraph" w:customStyle="1" w:styleId="Robert">
    <w:name w:val="Robert"/>
    <w:basedOn w:val="Nagwek1"/>
    <w:next w:val="Zwykytekst1"/>
    <w:link w:val="RobertZnak"/>
    <w:rsid w:val="00975CF7"/>
    <w:pPr>
      <w:autoSpaceDN/>
      <w:adjustRightInd/>
    </w:pPr>
    <w:rPr>
      <w:rFonts w:ascii="Arial" w:hAnsi="Arial"/>
      <w:bCs w:val="0"/>
      <w:kern w:val="1"/>
      <w:lang w:eastAsia="ar-SA"/>
    </w:rPr>
  </w:style>
  <w:style w:type="paragraph" w:customStyle="1" w:styleId="Nagowek1">
    <w:name w:val="Nagłowek 1."/>
    <w:basedOn w:val="Nagwek1"/>
    <w:qFormat/>
    <w:rsid w:val="007E255D"/>
    <w:pPr>
      <w:shd w:val="clear" w:color="auto" w:fill="FFFFFF" w:themeFill="background1"/>
      <w:tabs>
        <w:tab w:val="left" w:pos="0"/>
      </w:tabs>
      <w:autoSpaceDN/>
      <w:adjustRightInd/>
      <w:spacing w:before="289" w:after="119"/>
      <w:ind w:right="-12"/>
    </w:pPr>
    <w:rPr>
      <w:rFonts w:ascii="Calibri" w:hAnsi="Calibri"/>
      <w:bCs w:val="0"/>
      <w:kern w:val="20"/>
      <w:sz w:val="22"/>
      <w:szCs w:val="20"/>
      <w:lang w:eastAsia="ar-SA"/>
    </w:rPr>
  </w:style>
  <w:style w:type="paragraph" w:customStyle="1" w:styleId="Nagwek111">
    <w:name w:val="Nagłówek 1.1."/>
    <w:basedOn w:val="Nagwek2"/>
    <w:rsid w:val="00975CF7"/>
    <w:pPr>
      <w:pageBreakBefore w:val="0"/>
      <w:tabs>
        <w:tab w:val="left" w:pos="0"/>
      </w:tabs>
      <w:suppressAutoHyphens/>
      <w:autoSpaceDN/>
      <w:adjustRightInd/>
      <w:spacing w:before="170" w:after="57"/>
      <w:jc w:val="both"/>
    </w:pPr>
    <w:rPr>
      <w:bCs w:val="0"/>
      <w:sz w:val="16"/>
      <w:szCs w:val="16"/>
      <w:lang w:eastAsia="ar-SA"/>
    </w:rPr>
  </w:style>
  <w:style w:type="paragraph" w:customStyle="1" w:styleId="tre0">
    <w:name w:val="treść"/>
    <w:basedOn w:val="tekstost"/>
    <w:rsid w:val="00975CF7"/>
    <w:pPr>
      <w:suppressAutoHyphens/>
      <w:autoSpaceDN/>
      <w:adjustRightInd/>
      <w:spacing w:after="120"/>
    </w:pPr>
    <w:rPr>
      <w:sz w:val="16"/>
      <w:szCs w:val="16"/>
      <w:lang w:eastAsia="ar-SA"/>
    </w:rPr>
  </w:style>
  <w:style w:type="character" w:customStyle="1" w:styleId="RobertZnak">
    <w:name w:val="Robert Znak"/>
    <w:link w:val="Robert"/>
    <w:rsid w:val="00975CF7"/>
    <w:rPr>
      <w:rFonts w:ascii="Arial" w:eastAsia="Times New Roman" w:hAnsi="Arial"/>
      <w:b/>
      <w:caps/>
      <w:kern w:val="1"/>
      <w:sz w:val="28"/>
      <w:szCs w:val="28"/>
      <w:lang w:eastAsia="ar-SA"/>
    </w:rPr>
  </w:style>
  <w:style w:type="character" w:customStyle="1" w:styleId="Teksttreci9ptOdstpy0pt">
    <w:name w:val="Tekst treści + 9 pt;Odstępy 0 pt"/>
    <w:basedOn w:val="Teksttreci"/>
    <w:rsid w:val="00975CF7"/>
    <w:rPr>
      <w:rFonts w:ascii="Times New Roman" w:eastAsia="Times New Roman" w:hAnsi="Times New Roman" w:cs="Times New Roman"/>
      <w:color w:val="000000"/>
      <w:spacing w:val="-1"/>
      <w:w w:val="100"/>
      <w:position w:val="0"/>
      <w:sz w:val="18"/>
      <w:szCs w:val="18"/>
      <w:shd w:val="clear" w:color="auto" w:fill="FFFFFF"/>
      <w:lang w:val="pl-PL"/>
    </w:rPr>
  </w:style>
  <w:style w:type="paragraph" w:styleId="Bezodstpw">
    <w:name w:val="No Spacing"/>
    <w:link w:val="BezodstpwZnak"/>
    <w:uiPriority w:val="1"/>
    <w:qFormat/>
    <w:rsid w:val="00975CF7"/>
    <w:pPr>
      <w:widowControl w:val="0"/>
      <w:autoSpaceDE w:val="0"/>
      <w:autoSpaceDN w:val="0"/>
      <w:adjustRightInd w:val="0"/>
    </w:pPr>
    <w:rPr>
      <w:rFonts w:ascii="Times New Roman" w:eastAsia="Times New Roman" w:hAnsi="Times New Roman"/>
      <w:sz w:val="20"/>
      <w:szCs w:val="20"/>
      <w:lang w:val="en-US"/>
    </w:rPr>
  </w:style>
  <w:style w:type="character" w:customStyle="1" w:styleId="apple-style-span">
    <w:name w:val="apple-style-span"/>
    <w:basedOn w:val="Domylnaczcionkaakapitu"/>
    <w:rsid w:val="00975CF7"/>
  </w:style>
  <w:style w:type="paragraph" w:customStyle="1" w:styleId="Contents1">
    <w:name w:val="Contents 1"/>
    <w:basedOn w:val="Standard"/>
    <w:next w:val="Standard"/>
    <w:rsid w:val="00975CF7"/>
    <w:pPr>
      <w:tabs>
        <w:tab w:val="right" w:leader="dot" w:pos="7371"/>
      </w:tabs>
      <w:autoSpaceDE/>
      <w:autoSpaceDN w:val="0"/>
      <w:spacing w:before="120" w:after="120"/>
      <w:textAlignment w:val="baseline"/>
    </w:pPr>
    <w:rPr>
      <w:rFonts w:eastAsia="Lucida Sans Unicode" w:cs="Mangal"/>
      <w:b/>
      <w:caps/>
      <w:kern w:val="3"/>
      <w:lang w:eastAsia="zh-CN" w:bidi="hi-IN"/>
    </w:rPr>
  </w:style>
  <w:style w:type="numbering" w:customStyle="1" w:styleId="WW8Num2">
    <w:name w:val="WW8Num2"/>
    <w:basedOn w:val="Bezlisty"/>
    <w:rsid w:val="00975CF7"/>
    <w:pPr>
      <w:numPr>
        <w:numId w:val="192"/>
      </w:numPr>
    </w:pPr>
  </w:style>
  <w:style w:type="numbering" w:customStyle="1" w:styleId="WW8Num3">
    <w:name w:val="WW8Num3"/>
    <w:basedOn w:val="Bezlisty"/>
    <w:rsid w:val="00975CF7"/>
    <w:pPr>
      <w:numPr>
        <w:numId w:val="193"/>
      </w:numPr>
    </w:pPr>
  </w:style>
  <w:style w:type="numbering" w:customStyle="1" w:styleId="WW8Num4">
    <w:name w:val="WW8Num4"/>
    <w:basedOn w:val="Bezlisty"/>
    <w:rsid w:val="00975CF7"/>
    <w:pPr>
      <w:numPr>
        <w:numId w:val="188"/>
      </w:numPr>
    </w:pPr>
  </w:style>
  <w:style w:type="numbering" w:customStyle="1" w:styleId="WW8Num5">
    <w:name w:val="WW8Num5"/>
    <w:basedOn w:val="Bezlisty"/>
    <w:rsid w:val="00975CF7"/>
    <w:pPr>
      <w:numPr>
        <w:numId w:val="191"/>
      </w:numPr>
    </w:pPr>
  </w:style>
  <w:style w:type="numbering" w:customStyle="1" w:styleId="WW8Num6">
    <w:name w:val="WW8Num6"/>
    <w:basedOn w:val="Bezlisty"/>
    <w:rsid w:val="00975CF7"/>
    <w:pPr>
      <w:numPr>
        <w:numId w:val="187"/>
      </w:numPr>
    </w:pPr>
  </w:style>
  <w:style w:type="numbering" w:customStyle="1" w:styleId="WW8Num7">
    <w:name w:val="WW8Num7"/>
    <w:basedOn w:val="Bezlisty"/>
    <w:rsid w:val="00975CF7"/>
    <w:pPr>
      <w:numPr>
        <w:numId w:val="189"/>
      </w:numPr>
    </w:pPr>
  </w:style>
  <w:style w:type="numbering" w:customStyle="1" w:styleId="WW8Num8">
    <w:name w:val="WW8Num8"/>
    <w:basedOn w:val="Bezlisty"/>
    <w:rsid w:val="00975CF7"/>
    <w:pPr>
      <w:numPr>
        <w:numId w:val="194"/>
      </w:numPr>
    </w:pPr>
  </w:style>
  <w:style w:type="numbering" w:customStyle="1" w:styleId="WW8Num9">
    <w:name w:val="WW8Num9"/>
    <w:basedOn w:val="Bezlisty"/>
    <w:rsid w:val="00975CF7"/>
    <w:pPr>
      <w:numPr>
        <w:numId w:val="195"/>
      </w:numPr>
    </w:pPr>
  </w:style>
  <w:style w:type="numbering" w:customStyle="1" w:styleId="WW8Num10">
    <w:name w:val="WW8Num10"/>
    <w:basedOn w:val="Bezlisty"/>
    <w:rsid w:val="00975CF7"/>
    <w:pPr>
      <w:numPr>
        <w:numId w:val="190"/>
      </w:numPr>
    </w:pPr>
  </w:style>
  <w:style w:type="character" w:customStyle="1" w:styleId="apple-converted-space">
    <w:name w:val="apple-converted-space"/>
    <w:basedOn w:val="Domylnaczcionkaakapitu"/>
    <w:rsid w:val="00975CF7"/>
  </w:style>
  <w:style w:type="character" w:customStyle="1" w:styleId="FontStyle27">
    <w:name w:val="Font Style27"/>
    <w:basedOn w:val="Domylnaczcionkaakapitu"/>
    <w:uiPriority w:val="99"/>
    <w:rsid w:val="00975CF7"/>
    <w:rPr>
      <w:rFonts w:ascii="Times New Roman" w:hAnsi="Times New Roman" w:cs="Times New Roman"/>
      <w:b/>
      <w:bCs/>
      <w:i/>
      <w:iCs/>
      <w:sz w:val="22"/>
      <w:szCs w:val="22"/>
    </w:rPr>
  </w:style>
  <w:style w:type="character" w:customStyle="1" w:styleId="NagwekZnak1">
    <w:name w:val="Nagłówek Znak1"/>
    <w:basedOn w:val="Domylnaczcionkaakapitu"/>
    <w:uiPriority w:val="99"/>
    <w:semiHidden/>
    <w:rsid w:val="00975CF7"/>
    <w:rPr>
      <w:rFonts w:ascii="Times New Roman" w:hAnsi="Times New Roman"/>
      <w:lang w:eastAsia="ar-SA"/>
    </w:rPr>
  </w:style>
  <w:style w:type="character" w:customStyle="1" w:styleId="BezodstpwZnak">
    <w:name w:val="Bez odstępów Znak"/>
    <w:basedOn w:val="Domylnaczcionkaakapitu"/>
    <w:link w:val="Bezodstpw"/>
    <w:uiPriority w:val="1"/>
    <w:rsid w:val="003B234D"/>
    <w:rPr>
      <w:rFonts w:ascii="Times New Roman" w:eastAsia="Times New Roman" w:hAnsi="Times New Roman"/>
      <w:sz w:val="20"/>
      <w:szCs w:val="20"/>
      <w:lang w:val="en-US"/>
    </w:rPr>
  </w:style>
  <w:style w:type="paragraph" w:customStyle="1" w:styleId="Heading">
    <w:name w:val="Heading"/>
    <w:basedOn w:val="Normalny"/>
    <w:rsid w:val="00E533B3"/>
    <w:pPr>
      <w:tabs>
        <w:tab w:val="center" w:pos="4536"/>
        <w:tab w:val="right" w:pos="9072"/>
      </w:tabs>
      <w:suppressAutoHyphens/>
      <w:adjustRightInd/>
      <w:jc w:val="left"/>
    </w:pPr>
    <w:rPr>
      <w:rFonts w:eastAsia="Calibri"/>
      <w:lang w:eastAsia="ar-SA"/>
    </w:rPr>
  </w:style>
  <w:style w:type="paragraph" w:customStyle="1" w:styleId="Textbody">
    <w:name w:val="Text body"/>
    <w:basedOn w:val="Standard"/>
    <w:rsid w:val="00E533B3"/>
    <w:pPr>
      <w:widowControl/>
      <w:suppressAutoHyphens w:val="0"/>
      <w:autoSpaceDE/>
      <w:autoSpaceDN w:val="0"/>
      <w:spacing w:after="120"/>
      <w:textAlignment w:val="baseline"/>
    </w:pPr>
    <w:rPr>
      <w:rFonts w:ascii="Calibri" w:eastAsia="Calibri" w:hAnsi="Calibri"/>
      <w:sz w:val="20"/>
      <w:szCs w:val="20"/>
      <w:lang w:eastAsia="pl-PL"/>
    </w:rPr>
  </w:style>
  <w:style w:type="paragraph" w:customStyle="1" w:styleId="Nagwek31">
    <w:name w:val="Nagłówek 31"/>
    <w:basedOn w:val="Normalny"/>
    <w:next w:val="Normalny"/>
    <w:uiPriority w:val="1"/>
    <w:qFormat/>
    <w:rsid w:val="00E533B3"/>
    <w:pPr>
      <w:keepNext/>
      <w:keepLines/>
      <w:suppressAutoHyphens/>
      <w:adjustRightInd/>
      <w:spacing w:before="200"/>
      <w:jc w:val="left"/>
      <w:outlineLvl w:val="2"/>
    </w:pPr>
    <w:rPr>
      <w:rFonts w:ascii="Cambria" w:eastAsia="Calibri" w:hAnsi="Cambria"/>
      <w:b/>
      <w:bCs/>
      <w:color w:val="4F81BD"/>
      <w:lang w:eastAsia="ar-SA"/>
    </w:rPr>
  </w:style>
  <w:style w:type="paragraph" w:customStyle="1" w:styleId="Index">
    <w:name w:val="Index"/>
    <w:basedOn w:val="Standard"/>
    <w:rsid w:val="00E533B3"/>
    <w:pPr>
      <w:widowControl/>
      <w:suppressLineNumbers/>
      <w:suppressAutoHyphens w:val="0"/>
      <w:autoSpaceDE/>
      <w:autoSpaceDN w:val="0"/>
      <w:textAlignment w:val="baseline"/>
    </w:pPr>
    <w:rPr>
      <w:rFonts w:ascii="Calibri" w:eastAsia="Calibri" w:hAnsi="Calibri"/>
      <w:sz w:val="20"/>
      <w:szCs w:val="20"/>
      <w:lang w:eastAsia="pl-PL"/>
    </w:rPr>
  </w:style>
  <w:style w:type="paragraph" w:customStyle="1" w:styleId="Contents2">
    <w:name w:val="Contents 2"/>
    <w:basedOn w:val="Normalny"/>
    <w:next w:val="Normalny"/>
    <w:autoRedefine/>
    <w:rsid w:val="00E533B3"/>
    <w:pPr>
      <w:suppressAutoHyphens/>
      <w:adjustRightInd/>
      <w:spacing w:after="100"/>
      <w:ind w:left="200"/>
      <w:jc w:val="left"/>
    </w:pPr>
    <w:rPr>
      <w:rFonts w:eastAsia="Calibri"/>
      <w:lang w:eastAsia="ar-SA"/>
    </w:rPr>
  </w:style>
  <w:style w:type="paragraph" w:customStyle="1" w:styleId="Contents3">
    <w:name w:val="Contents 3"/>
    <w:basedOn w:val="Normalny"/>
    <w:next w:val="Normalny"/>
    <w:autoRedefine/>
    <w:rsid w:val="00E533B3"/>
    <w:pPr>
      <w:suppressAutoHyphens/>
      <w:adjustRightInd/>
      <w:spacing w:after="100"/>
      <w:ind w:left="400"/>
      <w:jc w:val="left"/>
    </w:pPr>
    <w:rPr>
      <w:rFonts w:eastAsia="Calibri"/>
      <w:lang w:eastAsia="ar-SA"/>
    </w:rPr>
  </w:style>
  <w:style w:type="paragraph" w:customStyle="1" w:styleId="TableContents">
    <w:name w:val="Table Contents"/>
    <w:basedOn w:val="Standard"/>
    <w:rsid w:val="00E533B3"/>
    <w:pPr>
      <w:widowControl/>
      <w:suppressLineNumbers/>
      <w:suppressAutoHyphens w:val="0"/>
      <w:autoSpaceDE/>
      <w:autoSpaceDN w:val="0"/>
      <w:textAlignment w:val="baseline"/>
    </w:pPr>
    <w:rPr>
      <w:rFonts w:ascii="Calibri" w:eastAsia="Calibri" w:hAnsi="Calibri"/>
      <w:sz w:val="20"/>
      <w:szCs w:val="20"/>
      <w:lang w:eastAsia="pl-PL"/>
    </w:rPr>
  </w:style>
  <w:style w:type="paragraph" w:customStyle="1" w:styleId="TableHeading">
    <w:name w:val="Table Heading"/>
    <w:basedOn w:val="TableContents"/>
    <w:rsid w:val="00E533B3"/>
    <w:pPr>
      <w:jc w:val="center"/>
    </w:pPr>
    <w:rPr>
      <w:b/>
      <w:bCs/>
    </w:rPr>
  </w:style>
  <w:style w:type="paragraph" w:customStyle="1" w:styleId="ContentsHeading">
    <w:name w:val="Contents Heading"/>
    <w:basedOn w:val="Heading"/>
    <w:rsid w:val="00E533B3"/>
    <w:pPr>
      <w:suppressLineNumbers/>
    </w:pPr>
    <w:rPr>
      <w:b/>
      <w:bCs/>
      <w:sz w:val="32"/>
      <w:szCs w:val="32"/>
    </w:rPr>
  </w:style>
  <w:style w:type="character" w:customStyle="1" w:styleId="Nagwek2Znak1">
    <w:name w:val="Nagłówek 2 Znak1"/>
    <w:basedOn w:val="Domylnaczcionkaakapitu"/>
    <w:uiPriority w:val="9"/>
    <w:rsid w:val="00E533B3"/>
    <w:rPr>
      <w:rFonts w:asciiTheme="majorHAnsi" w:eastAsiaTheme="majorEastAsia" w:hAnsiTheme="majorHAnsi" w:cstheme="majorBidi"/>
      <w:b/>
      <w:bCs/>
      <w:color w:val="4F81BD" w:themeColor="accent1"/>
      <w:sz w:val="26"/>
      <w:szCs w:val="26"/>
      <w:lang w:eastAsia="ar-SA"/>
    </w:rPr>
  </w:style>
  <w:style w:type="character" w:customStyle="1" w:styleId="Nagwek3Znak1">
    <w:name w:val="Nagłówek 3 Znak1"/>
    <w:basedOn w:val="Domylnaczcionkaakapitu"/>
    <w:uiPriority w:val="9"/>
    <w:rsid w:val="00E533B3"/>
    <w:rPr>
      <w:rFonts w:asciiTheme="majorHAnsi" w:eastAsiaTheme="majorEastAsia" w:hAnsiTheme="majorHAnsi" w:cstheme="majorBidi"/>
      <w:b/>
      <w:bCs/>
      <w:color w:val="4F81BD" w:themeColor="accent1"/>
      <w:lang w:eastAsia="ar-SA"/>
    </w:rPr>
  </w:style>
  <w:style w:type="character" w:customStyle="1" w:styleId="FootnoteSymbol">
    <w:name w:val="Footnote Symbol"/>
    <w:rsid w:val="00E533B3"/>
  </w:style>
  <w:style w:type="character" w:customStyle="1" w:styleId="EndnoteSymbol">
    <w:name w:val="Endnote Symbol"/>
    <w:rsid w:val="00E533B3"/>
  </w:style>
  <w:style w:type="character" w:customStyle="1" w:styleId="Internetlink">
    <w:name w:val="Internet link"/>
    <w:rsid w:val="00E533B3"/>
    <w:rPr>
      <w:color w:val="000080"/>
      <w:u w:val="single"/>
    </w:rPr>
  </w:style>
  <w:style w:type="character" w:customStyle="1" w:styleId="StopkaZnak1">
    <w:name w:val="Stopka Znak1"/>
    <w:basedOn w:val="Domylnaczcionkaakapitu"/>
    <w:uiPriority w:val="99"/>
    <w:rsid w:val="00E533B3"/>
    <w:rPr>
      <w:rFonts w:ascii="Times New Roman" w:hAnsi="Times New Roman"/>
      <w:lang w:eastAsia="ar-SA"/>
    </w:rPr>
  </w:style>
  <w:style w:type="paragraph" w:styleId="Poprawka">
    <w:name w:val="Revision"/>
    <w:hidden/>
    <w:uiPriority w:val="99"/>
    <w:semiHidden/>
    <w:rsid w:val="00E533B3"/>
    <w:rPr>
      <w:rFonts w:ascii="Times New Roman" w:hAnsi="Times New Roman"/>
      <w:sz w:val="20"/>
      <w:szCs w:val="20"/>
      <w:lang w:eastAsia="ar-SA"/>
    </w:rPr>
  </w:style>
  <w:style w:type="paragraph" w:customStyle="1" w:styleId="Standardowy1">
    <w:name w:val="Standardowy1"/>
    <w:basedOn w:val="Normalny"/>
    <w:rsid w:val="00E533B3"/>
    <w:pPr>
      <w:overflowPunct/>
      <w:autoSpaceDE/>
      <w:autoSpaceDN/>
      <w:adjustRightInd/>
      <w:spacing w:before="60" w:after="60"/>
      <w:jc w:val="left"/>
      <w:textAlignment w:val="auto"/>
    </w:pPr>
    <w:rPr>
      <w:sz w:val="24"/>
    </w:rPr>
  </w:style>
  <w:style w:type="character" w:customStyle="1" w:styleId="Nagwek1Znak1">
    <w:name w:val="Nagłówek 1 Znak1"/>
    <w:basedOn w:val="Domylnaczcionkaakapitu"/>
    <w:uiPriority w:val="9"/>
    <w:rsid w:val="00E533B3"/>
    <w:rPr>
      <w:rFonts w:asciiTheme="majorHAnsi" w:eastAsiaTheme="majorEastAsia" w:hAnsiTheme="majorHAnsi" w:cstheme="majorBidi"/>
      <w:b/>
      <w:bCs/>
      <w:color w:val="365F91" w:themeColor="accent1" w:themeShade="BF"/>
      <w:sz w:val="28"/>
      <w:szCs w:val="28"/>
      <w:lang w:eastAsia="ar-SA"/>
    </w:rPr>
  </w:style>
  <w:style w:type="character" w:customStyle="1" w:styleId="biggertext">
    <w:name w:val="biggertext"/>
    <w:basedOn w:val="Domylnaczcionkaakapitu"/>
    <w:rsid w:val="00E533B3"/>
  </w:style>
  <w:style w:type="paragraph" w:customStyle="1" w:styleId="normalnypunkt">
    <w:name w:val="normalny punkt"/>
    <w:basedOn w:val="Normalny"/>
    <w:rsid w:val="00E533B3"/>
    <w:pPr>
      <w:tabs>
        <w:tab w:val="num" w:pos="1505"/>
      </w:tabs>
      <w:overflowPunct/>
      <w:autoSpaceDE/>
      <w:autoSpaceDN/>
      <w:adjustRightInd/>
      <w:spacing w:before="40"/>
      <w:ind w:left="1505" w:hanging="425"/>
      <w:textAlignment w:val="auto"/>
    </w:pPr>
    <w:rPr>
      <w:rFonts w:ascii="Arial" w:hAnsi="Arial" w:cs="Arial"/>
      <w:bCs/>
      <w:iCs/>
    </w:rPr>
  </w:style>
  <w:style w:type="paragraph" w:customStyle="1" w:styleId="StylNagwek3NiePogrubieniePrzed12pt">
    <w:name w:val="Styl Nagłówek 3 + Nie Pogrubienie Przed:  12 pt"/>
    <w:basedOn w:val="Nagwek3"/>
    <w:rsid w:val="00E533B3"/>
    <w:pPr>
      <w:overflowPunct/>
      <w:autoSpaceDE/>
      <w:autoSpaceDN/>
      <w:adjustRightInd/>
      <w:spacing w:before="60" w:after="0"/>
      <w:ind w:left="283" w:hanging="283"/>
      <w:textAlignment w:val="auto"/>
    </w:pPr>
    <w:rPr>
      <w:rFonts w:ascii="Arial" w:hAnsi="Arial"/>
      <w:b w:val="0"/>
      <w:bCs w:val="0"/>
      <w:caps w:val="0"/>
    </w:rPr>
  </w:style>
  <w:style w:type="paragraph" w:customStyle="1" w:styleId="normalny3">
    <w:name w:val="normalny 3"/>
    <w:basedOn w:val="Normalny"/>
    <w:link w:val="normalny3Znak"/>
    <w:rsid w:val="00E533B3"/>
    <w:pPr>
      <w:overflowPunct/>
      <w:autoSpaceDE/>
      <w:autoSpaceDN/>
      <w:adjustRightInd/>
      <w:spacing w:before="60"/>
      <w:textAlignment w:val="auto"/>
    </w:pPr>
    <w:rPr>
      <w:rFonts w:ascii="Arial" w:hAnsi="Arial" w:cs="Arial"/>
      <w:bCs/>
      <w:iCs/>
      <w:szCs w:val="24"/>
    </w:rPr>
  </w:style>
  <w:style w:type="paragraph" w:customStyle="1" w:styleId="Tabela">
    <w:name w:val="Tabela"/>
    <w:basedOn w:val="Normalny"/>
    <w:link w:val="TabelaZnak"/>
    <w:rsid w:val="00E533B3"/>
    <w:pPr>
      <w:overflowPunct/>
      <w:autoSpaceDE/>
      <w:autoSpaceDN/>
      <w:adjustRightInd/>
      <w:jc w:val="center"/>
      <w:textAlignment w:val="auto"/>
    </w:pPr>
    <w:rPr>
      <w:rFonts w:ascii="Arial" w:hAnsi="Arial" w:cs="Arial"/>
      <w:bCs/>
      <w:iCs/>
      <w:szCs w:val="24"/>
    </w:rPr>
  </w:style>
  <w:style w:type="character" w:customStyle="1" w:styleId="normalny3Znak">
    <w:name w:val="normalny 3 Znak"/>
    <w:link w:val="normalny3"/>
    <w:rsid w:val="00E533B3"/>
    <w:rPr>
      <w:rFonts w:ascii="Arial" w:eastAsia="Times New Roman" w:hAnsi="Arial" w:cs="Arial"/>
      <w:bCs/>
      <w:iCs/>
      <w:sz w:val="20"/>
      <w:szCs w:val="24"/>
    </w:rPr>
  </w:style>
  <w:style w:type="character" w:customStyle="1" w:styleId="TabelaZnak">
    <w:name w:val="Tabela Znak"/>
    <w:link w:val="Tabela"/>
    <w:rsid w:val="00E533B3"/>
    <w:rPr>
      <w:rFonts w:ascii="Arial" w:eastAsia="Times New Roman" w:hAnsi="Arial" w:cs="Arial"/>
      <w:bCs/>
      <w:iCs/>
      <w:sz w:val="20"/>
      <w:szCs w:val="24"/>
    </w:rPr>
  </w:style>
  <w:style w:type="character" w:customStyle="1" w:styleId="Nagwek13">
    <w:name w:val="Nagłówek #1_"/>
    <w:basedOn w:val="Domylnaczcionkaakapitu"/>
    <w:link w:val="Nagwek14"/>
    <w:rsid w:val="00E45D0F"/>
    <w:rPr>
      <w:rFonts w:ascii="Times New Roman" w:eastAsia="Times New Roman" w:hAnsi="Times New Roman"/>
      <w:b/>
      <w:bCs/>
      <w:sz w:val="27"/>
      <w:szCs w:val="27"/>
      <w:shd w:val="clear" w:color="auto" w:fill="FFFFFF"/>
    </w:rPr>
  </w:style>
  <w:style w:type="character" w:customStyle="1" w:styleId="Nagwek110pt">
    <w:name w:val="Nagłówek #1 + 10 pt"/>
    <w:basedOn w:val="Nagwek13"/>
    <w:rsid w:val="00E45D0F"/>
    <w:rPr>
      <w:rFonts w:ascii="Times New Roman" w:eastAsia="Times New Roman" w:hAnsi="Times New Roman"/>
      <w:b/>
      <w:bCs/>
      <w:color w:val="000000"/>
      <w:spacing w:val="0"/>
      <w:w w:val="100"/>
      <w:position w:val="0"/>
      <w:sz w:val="20"/>
      <w:szCs w:val="20"/>
      <w:shd w:val="clear" w:color="auto" w:fill="FFFFFF"/>
      <w:lang w:val="pl-PL"/>
    </w:rPr>
  </w:style>
  <w:style w:type="character" w:customStyle="1" w:styleId="Nagwek20">
    <w:name w:val="Nagłówek #2_"/>
    <w:basedOn w:val="Domylnaczcionkaakapitu"/>
    <w:link w:val="Nagwek22"/>
    <w:rsid w:val="00E45D0F"/>
    <w:rPr>
      <w:rFonts w:ascii="Times New Roman" w:eastAsia="Times New Roman" w:hAnsi="Times New Roman"/>
      <w:b/>
      <w:bCs/>
      <w:sz w:val="20"/>
      <w:szCs w:val="20"/>
      <w:shd w:val="clear" w:color="auto" w:fill="FFFFFF"/>
    </w:rPr>
  </w:style>
  <w:style w:type="paragraph" w:customStyle="1" w:styleId="Nagwek14">
    <w:name w:val="Nagłówek #1"/>
    <w:basedOn w:val="Normalny"/>
    <w:link w:val="Nagwek13"/>
    <w:rsid w:val="00E45D0F"/>
    <w:pPr>
      <w:widowControl w:val="0"/>
      <w:shd w:val="clear" w:color="auto" w:fill="FFFFFF"/>
      <w:overflowPunct/>
      <w:autoSpaceDE/>
      <w:autoSpaceDN/>
      <w:adjustRightInd/>
      <w:spacing w:after="60" w:line="0" w:lineRule="atLeast"/>
      <w:jc w:val="left"/>
      <w:textAlignment w:val="auto"/>
      <w:outlineLvl w:val="0"/>
    </w:pPr>
    <w:rPr>
      <w:b/>
      <w:bCs/>
      <w:sz w:val="27"/>
      <w:szCs w:val="27"/>
    </w:rPr>
  </w:style>
  <w:style w:type="paragraph" w:customStyle="1" w:styleId="Nagwek22">
    <w:name w:val="Nagłówek #2"/>
    <w:basedOn w:val="Normalny"/>
    <w:link w:val="Nagwek20"/>
    <w:rsid w:val="00E45D0F"/>
    <w:pPr>
      <w:widowControl w:val="0"/>
      <w:shd w:val="clear" w:color="auto" w:fill="FFFFFF"/>
      <w:overflowPunct/>
      <w:autoSpaceDE/>
      <w:autoSpaceDN/>
      <w:adjustRightInd/>
      <w:spacing w:line="274" w:lineRule="exact"/>
      <w:jc w:val="left"/>
      <w:textAlignment w:val="auto"/>
      <w:outlineLvl w:val="1"/>
    </w:pPr>
    <w:rPr>
      <w:b/>
      <w:bCs/>
    </w:rPr>
  </w:style>
  <w:style w:type="paragraph" w:customStyle="1" w:styleId="Nagwek120">
    <w:name w:val="Nagłówek 12"/>
    <w:basedOn w:val="Standard"/>
    <w:next w:val="Standard"/>
    <w:rsid w:val="00BF0323"/>
    <w:pPr>
      <w:keepNext/>
      <w:keepLines/>
      <w:autoSpaceDE/>
      <w:autoSpaceDN w:val="0"/>
      <w:spacing w:before="120" w:after="120"/>
      <w:textAlignment w:val="baseline"/>
      <w:outlineLvl w:val="0"/>
    </w:pPr>
    <w:rPr>
      <w:rFonts w:eastAsia="Lucida Sans Unicode" w:cs="Mangal"/>
      <w:b/>
      <w:caps/>
      <w:kern w:val="3"/>
      <w:lang w:eastAsia="zh-CN" w:bidi="hi-IN"/>
    </w:rPr>
  </w:style>
  <w:style w:type="paragraph" w:customStyle="1" w:styleId="Nagwek220">
    <w:name w:val="Nagłówek 22"/>
    <w:basedOn w:val="Standard"/>
    <w:next w:val="Standard"/>
    <w:rsid w:val="00BF0323"/>
    <w:pPr>
      <w:keepNext/>
      <w:autoSpaceDE/>
      <w:autoSpaceDN w:val="0"/>
      <w:spacing w:before="120" w:after="120"/>
      <w:textAlignment w:val="baseline"/>
      <w:outlineLvl w:val="1"/>
    </w:pPr>
    <w:rPr>
      <w:rFonts w:eastAsia="Lucida Sans Unicode" w:cs="Mangal"/>
      <w:b/>
      <w:kern w:val="3"/>
      <w:lang w:eastAsia="zh-CN" w:bidi="hi-IN"/>
    </w:rPr>
  </w:style>
  <w:style w:type="paragraph" w:customStyle="1" w:styleId="Stopka2">
    <w:name w:val="Stopka2"/>
    <w:basedOn w:val="Standard"/>
    <w:rsid w:val="00BF0323"/>
    <w:pPr>
      <w:suppressLineNumbers/>
      <w:tabs>
        <w:tab w:val="center" w:pos="4819"/>
        <w:tab w:val="right" w:pos="9638"/>
      </w:tabs>
      <w:autoSpaceDE/>
      <w:autoSpaceDN w:val="0"/>
      <w:textAlignment w:val="baseline"/>
    </w:pPr>
    <w:rPr>
      <w:rFonts w:eastAsia="Lucida Sans Unicode" w:cs="Mangal"/>
      <w:kern w:val="3"/>
      <w:lang w:eastAsia="zh-CN" w:bidi="hi-IN"/>
    </w:rPr>
  </w:style>
  <w:style w:type="paragraph" w:customStyle="1" w:styleId="msonormal0">
    <w:name w:val="msonormal"/>
    <w:basedOn w:val="Normalny"/>
    <w:rsid w:val="00176FF9"/>
    <w:pPr>
      <w:overflowPunct/>
      <w:autoSpaceDE/>
      <w:autoSpaceDN/>
      <w:adjustRightInd/>
      <w:spacing w:before="100" w:beforeAutospacing="1" w:after="100" w:afterAutospacing="1"/>
      <w:jc w:val="left"/>
      <w:textAlignment w:val="auto"/>
    </w:pPr>
    <w:rPr>
      <w:sz w:val="24"/>
      <w:szCs w:val="24"/>
    </w:rPr>
  </w:style>
  <w:style w:type="paragraph" w:customStyle="1" w:styleId="TableParagraph">
    <w:name w:val="Table Paragraph"/>
    <w:basedOn w:val="Normalny"/>
    <w:uiPriority w:val="1"/>
    <w:qFormat/>
    <w:rsid w:val="00176FF9"/>
    <w:pPr>
      <w:widowControl w:val="0"/>
      <w:overflowPunct/>
      <w:adjustRightInd/>
      <w:jc w:val="left"/>
      <w:textAlignment w:val="auto"/>
    </w:pPr>
    <w:rPr>
      <w:sz w:val="22"/>
      <w:szCs w:val="22"/>
      <w:lang w:eastAsia="en-US"/>
    </w:rPr>
  </w:style>
  <w:style w:type="table" w:customStyle="1" w:styleId="TableNormal">
    <w:name w:val="Table Normal"/>
    <w:uiPriority w:val="2"/>
    <w:semiHidden/>
    <w:qFormat/>
    <w:rsid w:val="00176FF9"/>
    <w:pPr>
      <w:widowControl w:val="0"/>
      <w:autoSpaceDE w:val="0"/>
      <w:autoSpaceDN w:val="0"/>
    </w:pPr>
    <w:rPr>
      <w:rFonts w:asciiTheme="minorHAnsi" w:eastAsiaTheme="minorHAnsi" w:hAnsiTheme="minorHAnsi" w:cstheme="minorBidi"/>
      <w:lang w:val="en-US" w:eastAsia="en-US"/>
    </w:rPr>
    <w:tblPr>
      <w:tblCellMar>
        <w:top w:w="0" w:type="dxa"/>
        <w:left w:w="0" w:type="dxa"/>
        <w:bottom w:w="0" w:type="dxa"/>
        <w:right w:w="0" w:type="dxa"/>
      </w:tblCellMar>
    </w:tblPr>
  </w:style>
  <w:style w:type="paragraph" w:customStyle="1" w:styleId="Nagwek130">
    <w:name w:val="Nagłówek 13"/>
    <w:basedOn w:val="Normalny"/>
    <w:uiPriority w:val="1"/>
    <w:qFormat/>
    <w:rsid w:val="0063470B"/>
    <w:pPr>
      <w:widowControl w:val="0"/>
      <w:overflowPunct/>
      <w:adjustRightInd/>
      <w:spacing w:before="125"/>
      <w:ind w:left="664" w:hanging="353"/>
      <w:jc w:val="left"/>
      <w:textAlignment w:val="auto"/>
      <w:outlineLvl w:val="1"/>
    </w:pPr>
    <w:rPr>
      <w:b/>
      <w:bCs/>
      <w:lang w:eastAsia="en-US"/>
    </w:rPr>
  </w:style>
  <w:style w:type="character" w:customStyle="1" w:styleId="SSTnag1Znak">
    <w:name w:val="SST nagł 1 Znak"/>
    <w:link w:val="SSTnag1"/>
    <w:locked/>
    <w:rsid w:val="003E320E"/>
    <w:rPr>
      <w:rFonts w:cs="Calibri"/>
      <w:b/>
      <w:bCs/>
      <w:caps/>
      <w:noProof/>
      <w:kern w:val="28"/>
    </w:rPr>
  </w:style>
  <w:style w:type="paragraph" w:customStyle="1" w:styleId="SSTnag1">
    <w:name w:val="SST nagł 1"/>
    <w:basedOn w:val="Nagwek1"/>
    <w:link w:val="SSTnag1Znak"/>
    <w:autoRedefine/>
    <w:rsid w:val="003E320E"/>
    <w:pPr>
      <w:keepNext w:val="0"/>
      <w:keepLines w:val="0"/>
      <w:tabs>
        <w:tab w:val="left" w:pos="1701"/>
      </w:tabs>
      <w:overflowPunct/>
      <w:autoSpaceDE/>
      <w:autoSpaceDN/>
      <w:adjustRightInd/>
      <w:spacing w:before="0" w:after="60" w:line="360" w:lineRule="auto"/>
      <w:textAlignment w:val="auto"/>
    </w:pPr>
    <w:rPr>
      <w:rFonts w:ascii="Calibri" w:eastAsia="Calibri" w:hAnsi="Calibri" w:cs="Calibri"/>
      <w:noProof/>
      <w:sz w:val="22"/>
      <w:szCs w:val="22"/>
    </w:rPr>
  </w:style>
  <w:style w:type="paragraph" w:customStyle="1" w:styleId="SSTnagowek2">
    <w:name w:val="SST nagłowek 2"/>
    <w:basedOn w:val="Nagwek2"/>
    <w:autoRedefine/>
    <w:qFormat/>
    <w:rsid w:val="003E320E"/>
    <w:pPr>
      <w:pageBreakBefore w:val="0"/>
      <w:tabs>
        <w:tab w:val="num" w:pos="1440"/>
      </w:tabs>
      <w:overflowPunct/>
      <w:autoSpaceDE/>
      <w:autoSpaceDN/>
      <w:adjustRightInd/>
      <w:spacing w:before="240" w:after="60"/>
      <w:ind w:left="1440" w:hanging="720"/>
      <w:jc w:val="left"/>
      <w:textAlignment w:val="auto"/>
    </w:pPr>
    <w:rPr>
      <w:rFonts w:ascii="Calibri" w:hAnsi="Calibri"/>
      <w:bCs w:val="0"/>
      <w:caps/>
      <w:sz w:val="18"/>
      <w:szCs w:val="18"/>
    </w:rPr>
  </w:style>
  <w:style w:type="character" w:customStyle="1" w:styleId="SSTnag3ZnakZnak">
    <w:name w:val="SST nagł 3 Znak Znak"/>
    <w:link w:val="SSTnag3"/>
    <w:locked/>
    <w:rsid w:val="00E0711A"/>
    <w:rPr>
      <w:rFonts w:asciiTheme="minorHAnsi" w:hAnsiTheme="minorHAnsi" w:cstheme="minorHAnsi"/>
      <w:b/>
      <w:sz w:val="20"/>
      <w:szCs w:val="20"/>
    </w:rPr>
  </w:style>
  <w:style w:type="paragraph" w:customStyle="1" w:styleId="SSTnag3">
    <w:name w:val="SST nagł 3"/>
    <w:basedOn w:val="SSTnagowek2"/>
    <w:link w:val="SSTnag3ZnakZnak"/>
    <w:autoRedefine/>
    <w:rsid w:val="00E0711A"/>
    <w:pPr>
      <w:keepNext w:val="0"/>
      <w:tabs>
        <w:tab w:val="clear" w:pos="1440"/>
      </w:tabs>
      <w:spacing w:before="60" w:line="264" w:lineRule="auto"/>
      <w:ind w:left="0" w:right="637" w:firstLine="0"/>
      <w:jc w:val="both"/>
      <w:outlineLvl w:val="9"/>
    </w:pPr>
    <w:rPr>
      <w:rFonts w:asciiTheme="minorHAnsi" w:eastAsia="Calibri" w:hAnsiTheme="minorHAnsi" w:cstheme="minorHAnsi"/>
      <w:caps w:val="0"/>
      <w:sz w:val="20"/>
      <w:szCs w:val="20"/>
    </w:rPr>
  </w:style>
  <w:style w:type="character" w:customStyle="1" w:styleId="sstnromalnyZnak">
    <w:name w:val="sst nromalny Znak"/>
    <w:link w:val="sstnromalny"/>
    <w:locked/>
    <w:rsid w:val="003E320E"/>
    <w:rPr>
      <w:rFonts w:cs="Calibri"/>
    </w:rPr>
  </w:style>
  <w:style w:type="paragraph" w:customStyle="1" w:styleId="sstnromalny">
    <w:name w:val="sst nromalny"/>
    <w:basedOn w:val="Normalny"/>
    <w:link w:val="sstnromalnyZnak"/>
    <w:rsid w:val="003E320E"/>
    <w:pPr>
      <w:keepLines/>
      <w:overflowPunct/>
      <w:autoSpaceDE/>
      <w:autoSpaceDN/>
      <w:adjustRightInd/>
      <w:ind w:firstLine="709"/>
      <w:textAlignment w:val="auto"/>
    </w:pPr>
    <w:rPr>
      <w:rFonts w:ascii="Calibri" w:eastAsia="Calibri" w:hAnsi="Calibri" w:cs="Calibri"/>
      <w:sz w:val="22"/>
      <w:szCs w:val="22"/>
    </w:rPr>
  </w:style>
  <w:style w:type="paragraph" w:customStyle="1" w:styleId="sstnag4">
    <w:name w:val="sst nagł4"/>
    <w:basedOn w:val="sstnromalny"/>
    <w:rsid w:val="003E320E"/>
    <w:pPr>
      <w:keepLines w:val="0"/>
      <w:tabs>
        <w:tab w:val="num" w:pos="2880"/>
      </w:tabs>
      <w:spacing w:before="60" w:after="60"/>
      <w:ind w:left="2880" w:firstLine="0"/>
      <w:outlineLvl w:val="3"/>
    </w:pPr>
    <w:rPr>
      <w:b/>
    </w:rPr>
  </w:style>
  <w:style w:type="paragraph" w:customStyle="1" w:styleId="StylSSTnagowek2Dolewej">
    <w:name w:val="Styl SST nagłowek 2 + Do lewej"/>
    <w:basedOn w:val="SSTnagowek2"/>
    <w:rsid w:val="003E320E"/>
    <w:pPr>
      <w:spacing w:line="264" w:lineRule="auto"/>
    </w:pPr>
    <w:rPr>
      <w:bCs/>
    </w:rPr>
  </w:style>
  <w:style w:type="paragraph" w:customStyle="1" w:styleId="Normalny2">
    <w:name w:val="Normalny2"/>
    <w:rsid w:val="00FE03C5"/>
    <w:rPr>
      <w:rFonts w:cs="Calibri"/>
      <w:sz w:val="20"/>
      <w:szCs w:val="20"/>
    </w:rPr>
  </w:style>
  <w:style w:type="character" w:customStyle="1" w:styleId="tekstZnak">
    <w:name w:val="tekst Znak"/>
    <w:uiPriority w:val="99"/>
    <w:locked/>
    <w:rsid w:val="00E0280B"/>
    <w:rPr>
      <w:rFonts w:ascii="Times New Roman" w:hAnsi="Times New Roman"/>
      <w:sz w:val="24"/>
      <w:szCs w:val="24"/>
    </w:rPr>
  </w:style>
  <w:style w:type="paragraph" w:customStyle="1" w:styleId="Normalny1">
    <w:name w:val="Normalny1"/>
    <w:rsid w:val="00E0280B"/>
    <w:pPr>
      <w:suppressAutoHyphens/>
    </w:pPr>
    <w:rPr>
      <w:rFonts w:ascii="Times New Roman" w:eastAsia="Times New Roman" w:hAnsi="Times New Roman"/>
      <w:sz w:val="20"/>
      <w:szCs w:val="20"/>
      <w:lang w:eastAsia="ar-SA"/>
    </w:rPr>
  </w:style>
  <w:style w:type="paragraph" w:styleId="Tekstblokowy">
    <w:name w:val="Block Text"/>
    <w:basedOn w:val="Normalny"/>
    <w:locked/>
    <w:rsid w:val="00E0280B"/>
    <w:pPr>
      <w:overflowPunct/>
      <w:autoSpaceDE/>
      <w:autoSpaceDN/>
      <w:adjustRightInd/>
      <w:ind w:left="465" w:right="-993"/>
      <w:textAlignment w:val="auto"/>
    </w:pPr>
    <w:rPr>
      <w:rFonts w:ascii="Arial" w:hAnsi="Arial"/>
    </w:rPr>
  </w:style>
  <w:style w:type="paragraph" w:customStyle="1" w:styleId="WW-Zwykytekst">
    <w:name w:val="WW-Zwyk?y tekst"/>
    <w:basedOn w:val="Normalny"/>
    <w:rsid w:val="00E0280B"/>
    <w:pPr>
      <w:overflowPunct/>
      <w:jc w:val="left"/>
      <w:textAlignment w:val="auto"/>
    </w:pPr>
    <w:rPr>
      <w:rFonts w:ascii="Courier New" w:hAnsi="Courier New" w:cs="Courier New"/>
      <w:szCs w:val="24"/>
    </w:rPr>
  </w:style>
  <w:style w:type="paragraph" w:customStyle="1" w:styleId="AAAAA">
    <w:name w:val="AAAAA"/>
    <w:rsid w:val="00E0280B"/>
    <w:pPr>
      <w:jc w:val="both"/>
    </w:pPr>
    <w:rPr>
      <w:rFonts w:ascii="Times New Roman" w:eastAsia="Times New Roman" w:hAnsi="Times New Roman"/>
      <w:sz w:val="20"/>
      <w:szCs w:val="20"/>
    </w:rPr>
  </w:style>
  <w:style w:type="paragraph" w:styleId="Listanumerowana2">
    <w:name w:val="List Number 2"/>
    <w:basedOn w:val="Normalny"/>
    <w:locked/>
    <w:rsid w:val="00E0280B"/>
    <w:pPr>
      <w:widowControl w:val="0"/>
      <w:overflowPunct/>
      <w:adjustRightInd/>
      <w:spacing w:line="360" w:lineRule="auto"/>
      <w:ind w:left="619" w:hanging="283"/>
      <w:textAlignment w:val="auto"/>
    </w:pPr>
    <w:rPr>
      <w:rFonts w:ascii="Arial" w:hAnsi="Arial"/>
    </w:rPr>
  </w:style>
  <w:style w:type="paragraph" w:customStyle="1" w:styleId="styliwony0">
    <w:name w:val="styliwony"/>
    <w:basedOn w:val="Normalny"/>
    <w:rsid w:val="00E0280B"/>
    <w:pPr>
      <w:overflowPunct/>
      <w:autoSpaceDE/>
      <w:autoSpaceDN/>
      <w:adjustRightInd/>
      <w:spacing w:before="100" w:beforeAutospacing="1" w:after="100" w:afterAutospacing="1"/>
      <w:jc w:val="left"/>
      <w:textAlignment w:val="auto"/>
    </w:pPr>
    <w:rPr>
      <w:rFonts w:ascii="Arial Unicode MS" w:eastAsia="Arial Unicode MS" w:hAnsi="Arial Unicode MS" w:cs="Arial Unicode MS"/>
      <w:sz w:val="24"/>
      <w:szCs w:val="24"/>
    </w:rPr>
  </w:style>
  <w:style w:type="paragraph" w:customStyle="1" w:styleId="StylPunktowaniePrzedAutomatycznaPoAutomatyczna">
    <w:name w:val="Styl Punktowanie + Przed:  Automatyczna Po:  Automatyczna"/>
    <w:basedOn w:val="Normalny"/>
    <w:rsid w:val="00E0280B"/>
    <w:pPr>
      <w:overflowPunct/>
      <w:autoSpaceDE/>
      <w:autoSpaceDN/>
      <w:adjustRightInd/>
      <w:spacing w:before="100" w:beforeAutospacing="1" w:after="100" w:afterAutospacing="1"/>
      <w:ind w:left="567" w:hanging="283"/>
      <w:jc w:val="left"/>
      <w:textAlignment w:val="auto"/>
    </w:pPr>
    <w:rPr>
      <w:rFonts w:ascii="Arial" w:hAnsi="Arial" w:cs="Arial"/>
      <w:szCs w:val="24"/>
    </w:rPr>
  </w:style>
  <w:style w:type="paragraph" w:customStyle="1" w:styleId="Pa4">
    <w:name w:val="Pa4"/>
    <w:basedOn w:val="Normalny"/>
    <w:next w:val="Normalny"/>
    <w:rsid w:val="00E0280B"/>
    <w:pPr>
      <w:overflowPunct/>
      <w:autoSpaceDE/>
      <w:autoSpaceDN/>
      <w:adjustRightInd/>
      <w:jc w:val="left"/>
      <w:textAlignment w:val="auto"/>
    </w:pPr>
    <w:rPr>
      <w:sz w:val="24"/>
      <w:szCs w:val="24"/>
    </w:rPr>
  </w:style>
  <w:style w:type="character" w:styleId="Uwydatnienie">
    <w:name w:val="Emphasis"/>
    <w:qFormat/>
    <w:locked/>
    <w:rsid w:val="00E0280B"/>
    <w:rPr>
      <w:i/>
      <w:iCs/>
    </w:rPr>
  </w:style>
  <w:style w:type="paragraph" w:styleId="Wcicienormalne">
    <w:name w:val="Normal Indent"/>
    <w:basedOn w:val="Normalny"/>
    <w:unhideWhenUsed/>
    <w:locked/>
    <w:rsid w:val="00E0280B"/>
    <w:pPr>
      <w:overflowPunct/>
      <w:autoSpaceDE/>
      <w:autoSpaceDN/>
      <w:adjustRightInd/>
      <w:spacing w:before="120"/>
      <w:ind w:left="708"/>
      <w:textAlignment w:val="auto"/>
    </w:pPr>
    <w:rPr>
      <w:rFonts w:ascii="PL Times New Roman" w:hAnsi="PL Times New Roman"/>
    </w:rPr>
  </w:style>
  <w:style w:type="paragraph" w:customStyle="1" w:styleId="StylTytuPrzedAutomatyczna">
    <w:name w:val="Styl Tytuł + Przed:  Automatyczna"/>
    <w:basedOn w:val="Tytu"/>
    <w:rsid w:val="00E0280B"/>
    <w:pPr>
      <w:overflowPunct/>
      <w:autoSpaceDE/>
      <w:autoSpaceDN/>
      <w:adjustRightInd/>
      <w:spacing w:before="5040" w:after="100" w:afterAutospacing="1"/>
      <w:textAlignment w:val="auto"/>
    </w:pPr>
    <w:rPr>
      <w:rFonts w:ascii="Arial" w:hAnsi="Arial"/>
      <w:b/>
      <w:bCs/>
      <w:sz w:val="40"/>
      <w:szCs w:val="20"/>
    </w:rPr>
  </w:style>
  <w:style w:type="paragraph" w:customStyle="1" w:styleId="Punktowanie">
    <w:name w:val="Punktowanie"/>
    <w:basedOn w:val="Normalny"/>
    <w:rsid w:val="00E0280B"/>
    <w:pPr>
      <w:overflowPunct/>
      <w:autoSpaceDE/>
      <w:autoSpaceDN/>
      <w:adjustRightInd/>
      <w:spacing w:before="100" w:beforeAutospacing="1" w:after="100" w:afterAutospacing="1"/>
      <w:jc w:val="left"/>
      <w:textAlignment w:val="auto"/>
    </w:pPr>
    <w:rPr>
      <w:rFonts w:ascii="Arial" w:hAnsi="Arial"/>
    </w:rPr>
  </w:style>
  <w:style w:type="paragraph" w:customStyle="1" w:styleId="styl">
    <w:name w:val="styl"/>
    <w:basedOn w:val="Normalny"/>
    <w:rsid w:val="00E0280B"/>
    <w:pPr>
      <w:overflowPunct/>
      <w:autoSpaceDE/>
      <w:autoSpaceDN/>
      <w:adjustRightInd/>
      <w:spacing w:line="360" w:lineRule="auto"/>
      <w:textAlignment w:val="auto"/>
    </w:pPr>
    <w:rPr>
      <w:sz w:val="24"/>
    </w:rPr>
  </w:style>
  <w:style w:type="paragraph" w:customStyle="1" w:styleId="stand3">
    <w:name w:val="stand 3"/>
    <w:basedOn w:val="Normalny"/>
    <w:rsid w:val="00E0280B"/>
    <w:pPr>
      <w:overflowPunct/>
      <w:autoSpaceDE/>
      <w:autoSpaceDN/>
      <w:adjustRightInd/>
      <w:textAlignment w:val="auto"/>
    </w:pPr>
    <w:rPr>
      <w:sz w:val="22"/>
    </w:rPr>
  </w:style>
  <w:style w:type="paragraph" w:customStyle="1" w:styleId="Style2">
    <w:name w:val="Style2"/>
    <w:basedOn w:val="Normalny"/>
    <w:rsid w:val="00E0280B"/>
    <w:pPr>
      <w:overflowPunct/>
      <w:adjustRightInd/>
      <w:spacing w:line="360" w:lineRule="auto"/>
      <w:ind w:left="357"/>
      <w:textAlignment w:val="auto"/>
    </w:pPr>
    <w:rPr>
      <w:rFonts w:ascii="Arial" w:hAnsi="Arial"/>
    </w:rPr>
  </w:style>
  <w:style w:type="paragraph" w:customStyle="1" w:styleId="podstawowy0">
    <w:name w:val="podstawowy"/>
    <w:basedOn w:val="Normalny"/>
    <w:rsid w:val="00E0280B"/>
    <w:pPr>
      <w:numPr>
        <w:numId w:val="156"/>
      </w:numPr>
      <w:tabs>
        <w:tab w:val="clear" w:pos="1380"/>
      </w:tabs>
      <w:overflowPunct/>
      <w:autoSpaceDE/>
      <w:autoSpaceDN/>
      <w:adjustRightInd/>
      <w:ind w:left="284" w:firstLine="0"/>
      <w:jc w:val="left"/>
      <w:textAlignment w:val="auto"/>
    </w:pPr>
    <w:rPr>
      <w:rFonts w:ascii="Arial Unicode MS" w:hAnsi="Arial Unicode MS"/>
      <w:sz w:val="22"/>
      <w:szCs w:val="22"/>
    </w:rPr>
  </w:style>
  <w:style w:type="paragraph" w:customStyle="1" w:styleId="13-poj">
    <w:name w:val="13-poj"/>
    <w:basedOn w:val="Normalny"/>
    <w:rsid w:val="00E0280B"/>
    <w:pPr>
      <w:numPr>
        <w:numId w:val="157"/>
      </w:numPr>
      <w:tabs>
        <w:tab w:val="clear" w:pos="1440"/>
      </w:tabs>
      <w:overflowPunct/>
      <w:autoSpaceDE/>
      <w:autoSpaceDN/>
      <w:adjustRightInd/>
      <w:ind w:left="0" w:firstLine="0"/>
      <w:textAlignment w:val="auto"/>
    </w:pPr>
    <w:rPr>
      <w:sz w:val="24"/>
    </w:rPr>
  </w:style>
  <w:style w:type="paragraph" w:customStyle="1" w:styleId="Tekstpodstawowywcity33">
    <w:name w:val="Tekst podstawowy wcięty 33"/>
    <w:basedOn w:val="Normalny"/>
    <w:rsid w:val="00E0280B"/>
    <w:pPr>
      <w:ind w:left="360" w:hanging="360"/>
    </w:pPr>
    <w:rPr>
      <w:sz w:val="24"/>
    </w:rPr>
  </w:style>
  <w:style w:type="paragraph" w:customStyle="1" w:styleId="WW-Tekstpodstawowy2">
    <w:name w:val="WW-Tekst podstawowy 2"/>
    <w:basedOn w:val="Normalny"/>
    <w:rsid w:val="00E0280B"/>
    <w:pPr>
      <w:numPr>
        <w:ilvl w:val="12"/>
      </w:numPr>
      <w:overflowPunct/>
      <w:autoSpaceDE/>
      <w:autoSpaceDN/>
      <w:adjustRightInd/>
      <w:spacing w:before="100" w:beforeAutospacing="1" w:after="100" w:afterAutospacing="1"/>
      <w:jc w:val="left"/>
      <w:textAlignment w:val="auto"/>
    </w:pPr>
    <w:rPr>
      <w:rFonts w:ascii="Arial" w:hAnsi="Arial"/>
      <w:sz w:val="24"/>
      <w:szCs w:val="24"/>
    </w:rPr>
  </w:style>
  <w:style w:type="paragraph" w:customStyle="1" w:styleId="BodyTextTekstpodstawowyZnakTekstpodstawowyZnakZnakOdstpanita1anita1Znak">
    <w:name w:val="Body Text.Tekst podstawowy Znak.Tekst podstawowy Znak Znak.Odstęp.anita1.anita1 Znak"/>
    <w:basedOn w:val="Normalny"/>
    <w:rsid w:val="00E0280B"/>
    <w:pPr>
      <w:overflowPunct/>
      <w:autoSpaceDE/>
      <w:autoSpaceDN/>
      <w:adjustRightInd/>
      <w:spacing w:after="120"/>
      <w:textAlignment w:val="auto"/>
    </w:pPr>
    <w:rPr>
      <w:rFonts w:ascii="Arial" w:hAnsi="Arial"/>
      <w:lang w:eastAsia="en-US"/>
    </w:rPr>
  </w:style>
  <w:style w:type="paragraph" w:customStyle="1" w:styleId="Style1a">
    <w:name w:val="Style 1"/>
    <w:rsid w:val="00E0280B"/>
    <w:pPr>
      <w:widowControl w:val="0"/>
      <w:autoSpaceDE w:val="0"/>
      <w:autoSpaceDN w:val="0"/>
      <w:adjustRightInd w:val="0"/>
    </w:pPr>
    <w:rPr>
      <w:rFonts w:ascii="Times New Roman" w:eastAsia="Times New Roman" w:hAnsi="Times New Roman"/>
      <w:sz w:val="20"/>
      <w:szCs w:val="20"/>
    </w:rPr>
  </w:style>
  <w:style w:type="paragraph" w:customStyle="1" w:styleId="StylPierwszywiersz125cm">
    <w:name w:val="Styl Pierwszy wiersz:  125 cm"/>
    <w:basedOn w:val="Normalny"/>
    <w:rsid w:val="00E0280B"/>
    <w:pPr>
      <w:overflowPunct/>
      <w:autoSpaceDE/>
      <w:autoSpaceDN/>
      <w:adjustRightInd/>
      <w:spacing w:line="360" w:lineRule="auto"/>
      <w:ind w:firstLine="567"/>
      <w:textAlignment w:val="auto"/>
    </w:pPr>
    <w:rPr>
      <w:rFonts w:ascii="Arial" w:hAnsi="Arial"/>
    </w:rPr>
  </w:style>
  <w:style w:type="paragraph" w:customStyle="1" w:styleId="tekscior">
    <w:name w:val="tekscior"/>
    <w:basedOn w:val="Normalny"/>
    <w:rsid w:val="00E0280B"/>
    <w:pPr>
      <w:overflowPunct/>
      <w:autoSpaceDE/>
      <w:autoSpaceDN/>
      <w:adjustRightInd/>
      <w:spacing w:line="360" w:lineRule="auto"/>
      <w:jc w:val="left"/>
      <w:textAlignment w:val="auto"/>
    </w:pPr>
    <w:rPr>
      <w:bCs/>
      <w:sz w:val="24"/>
    </w:rPr>
  </w:style>
  <w:style w:type="paragraph" w:styleId="Listanumerowana">
    <w:name w:val="List Number"/>
    <w:basedOn w:val="Normalny"/>
    <w:locked/>
    <w:rsid w:val="00E0280B"/>
    <w:pPr>
      <w:widowControl w:val="0"/>
      <w:numPr>
        <w:numId w:val="158"/>
      </w:numPr>
      <w:tabs>
        <w:tab w:val="clear" w:pos="926"/>
        <w:tab w:val="num" w:pos="360"/>
      </w:tabs>
      <w:overflowPunct/>
      <w:adjustRightInd/>
      <w:spacing w:line="360" w:lineRule="auto"/>
      <w:ind w:left="360"/>
      <w:textAlignment w:val="auto"/>
    </w:pPr>
    <w:rPr>
      <w:rFonts w:ascii="Arial" w:hAnsi="Arial"/>
    </w:rPr>
  </w:style>
  <w:style w:type="paragraph" w:customStyle="1" w:styleId="WW-Tekstpodstawowywcity2">
    <w:name w:val="WW-Tekst podstawowy wcięty 2"/>
    <w:basedOn w:val="Normalny"/>
    <w:rsid w:val="00E0280B"/>
    <w:pPr>
      <w:shd w:val="clear" w:color="auto" w:fill="FFFFFF"/>
      <w:suppressAutoHyphens/>
      <w:overflowPunct/>
      <w:autoSpaceDN/>
      <w:adjustRightInd/>
      <w:ind w:left="720"/>
      <w:jc w:val="left"/>
      <w:textAlignment w:val="auto"/>
    </w:pPr>
    <w:rPr>
      <w:color w:val="000000"/>
      <w:sz w:val="24"/>
      <w:szCs w:val="18"/>
      <w:lang w:eastAsia="ar-SA"/>
    </w:rPr>
  </w:style>
  <w:style w:type="paragraph" w:styleId="NormalnyWeb">
    <w:name w:val="Normal (Web)"/>
    <w:basedOn w:val="Normalny"/>
    <w:locked/>
    <w:rsid w:val="00E0280B"/>
    <w:pPr>
      <w:overflowPunct/>
      <w:autoSpaceDE/>
      <w:autoSpaceDN/>
      <w:adjustRightInd/>
      <w:spacing w:before="100" w:beforeAutospacing="1" w:after="100" w:afterAutospacing="1"/>
      <w:jc w:val="left"/>
      <w:textAlignment w:val="auto"/>
    </w:pPr>
    <w:rPr>
      <w:rFonts w:ascii="Arial Unicode MS" w:eastAsia="Arial Unicode MS" w:hAnsi="Arial Unicode MS" w:cs="Arial Unicode MS"/>
      <w:sz w:val="24"/>
      <w:szCs w:val="24"/>
    </w:rPr>
  </w:style>
  <w:style w:type="paragraph" w:customStyle="1" w:styleId="StylStylPunktowaniePrzedAutomatycznaPoAutomatycznaP">
    <w:name w:val="Styl Styl Punktowanie + Przed:  Automatyczna Po:  Automatyczna + P..."/>
    <w:basedOn w:val="Normalny"/>
    <w:rsid w:val="00E0280B"/>
    <w:pPr>
      <w:overflowPunct/>
      <w:autoSpaceDE/>
      <w:autoSpaceDN/>
      <w:adjustRightInd/>
      <w:ind w:left="283" w:hanging="283"/>
      <w:jc w:val="left"/>
      <w:textAlignment w:val="auto"/>
    </w:pPr>
    <w:rPr>
      <w:rFonts w:ascii="Arial" w:hAnsi="Arial"/>
    </w:rPr>
  </w:style>
  <w:style w:type="paragraph" w:customStyle="1" w:styleId="TRE">
    <w:name w:val="TREŚĆ"/>
    <w:basedOn w:val="Normalny"/>
    <w:rsid w:val="00E0280B"/>
    <w:pPr>
      <w:widowControl w:val="0"/>
      <w:numPr>
        <w:numId w:val="159"/>
      </w:numPr>
      <w:tabs>
        <w:tab w:val="clear" w:pos="360"/>
      </w:tabs>
      <w:overflowPunct/>
      <w:autoSpaceDE/>
      <w:autoSpaceDN/>
      <w:adjustRightInd/>
      <w:ind w:left="709" w:firstLine="0"/>
      <w:textAlignment w:val="auto"/>
    </w:pPr>
    <w:rPr>
      <w:rFonts w:ascii="Arial" w:hAnsi="Arial"/>
      <w:kern w:val="24"/>
      <w:sz w:val="24"/>
    </w:rPr>
  </w:style>
  <w:style w:type="paragraph" w:customStyle="1" w:styleId="Tekstpodstawowy27">
    <w:name w:val="Tekst podstawowy 27"/>
    <w:basedOn w:val="Normalny"/>
    <w:rsid w:val="00E0280B"/>
    <w:pPr>
      <w:widowControl w:val="0"/>
      <w:overflowPunct/>
      <w:autoSpaceDE/>
      <w:autoSpaceDN/>
      <w:adjustRightInd/>
      <w:ind w:left="360"/>
      <w:jc w:val="left"/>
      <w:textAlignment w:val="auto"/>
    </w:pPr>
    <w:rPr>
      <w:sz w:val="24"/>
    </w:rPr>
  </w:style>
  <w:style w:type="paragraph" w:customStyle="1" w:styleId="StylInterlinia15wiersza">
    <w:name w:val="Styl Interlinia:  15 wiersza"/>
    <w:basedOn w:val="Normalny"/>
    <w:autoRedefine/>
    <w:rsid w:val="00E0280B"/>
    <w:pPr>
      <w:overflowPunct/>
      <w:autoSpaceDE/>
      <w:autoSpaceDN/>
      <w:adjustRightInd/>
      <w:spacing w:before="120" w:after="120"/>
      <w:ind w:left="283" w:hanging="283"/>
      <w:jc w:val="left"/>
      <w:textAlignment w:val="auto"/>
    </w:pPr>
    <w:rPr>
      <w:rFonts w:ascii="Arial" w:hAnsi="Arial"/>
    </w:rPr>
  </w:style>
  <w:style w:type="paragraph" w:customStyle="1" w:styleId="1">
    <w:name w:val="1"/>
    <w:basedOn w:val="Branze"/>
    <w:autoRedefine/>
    <w:qFormat/>
    <w:rsid w:val="00D424B0"/>
    <w:pPr>
      <w:numPr>
        <w:numId w:val="0"/>
      </w:numPr>
      <w:tabs>
        <w:tab w:val="clear" w:pos="4536"/>
        <w:tab w:val="clear" w:pos="9072"/>
      </w:tabs>
      <w:ind w:left="700"/>
      <w:outlineLvl w:val="0"/>
    </w:pPr>
    <w:rPr>
      <w:rFonts w:ascii="Calibri" w:hAnsi="Calibri" w:cs="Calibri"/>
      <w:szCs w:val="20"/>
    </w:rPr>
  </w:style>
  <w:style w:type="paragraph" w:customStyle="1" w:styleId="Branze">
    <w:name w:val="Branze"/>
    <w:basedOn w:val="Nagwek"/>
    <w:rsid w:val="00E0280B"/>
    <w:pPr>
      <w:numPr>
        <w:numId w:val="162"/>
      </w:numPr>
      <w:overflowPunct/>
      <w:autoSpaceDE/>
      <w:autoSpaceDN/>
      <w:adjustRightInd/>
      <w:spacing w:before="120" w:after="120"/>
      <w:jc w:val="both"/>
      <w:textAlignment w:val="auto"/>
    </w:pPr>
    <w:rPr>
      <w:rFonts w:ascii="Arial" w:hAnsi="Arial" w:cs="Times New Roman"/>
      <w:sz w:val="20"/>
    </w:rPr>
  </w:style>
  <w:style w:type="paragraph" w:customStyle="1" w:styleId="Podstawowy">
    <w:name w:val="Podstawowy"/>
    <w:basedOn w:val="Normalny"/>
    <w:rsid w:val="00E0280B"/>
    <w:pPr>
      <w:numPr>
        <w:numId w:val="161"/>
      </w:numPr>
      <w:suppressAutoHyphens/>
      <w:overflowPunct/>
      <w:autoSpaceDE/>
      <w:autoSpaceDN/>
      <w:adjustRightInd/>
      <w:ind w:left="0" w:firstLine="0"/>
      <w:jc w:val="left"/>
      <w:textAlignment w:val="auto"/>
    </w:pPr>
    <w:rPr>
      <w:rFonts w:ascii="Arial" w:hAnsi="Arial"/>
      <w:szCs w:val="24"/>
      <w:lang w:eastAsia="ar-SA"/>
    </w:rPr>
  </w:style>
  <w:style w:type="paragraph" w:customStyle="1" w:styleId="LEVEL3">
    <w:name w:val="LEVEL 3"/>
    <w:basedOn w:val="Normalny"/>
    <w:qFormat/>
    <w:rsid w:val="00E0280B"/>
    <w:pPr>
      <w:overflowPunct/>
      <w:autoSpaceDE/>
      <w:autoSpaceDN/>
      <w:adjustRightInd/>
      <w:spacing w:before="60" w:after="60"/>
      <w:jc w:val="left"/>
      <w:textAlignment w:val="auto"/>
      <w:outlineLvl w:val="2"/>
    </w:pPr>
    <w:rPr>
      <w:rFonts w:ascii="Arial" w:hAnsi="Arial"/>
      <w:b/>
      <w:szCs w:val="24"/>
    </w:rPr>
  </w:style>
  <w:style w:type="paragraph" w:customStyle="1" w:styleId="StylWyjustowanyZagszczoneo015ptInterliniaWielokrotne1">
    <w:name w:val="Styl Wyjustowany Zagęszczone o  015 pt Interlinia:  Wielokrotne...1"/>
    <w:basedOn w:val="Normalny"/>
    <w:rsid w:val="00E0280B"/>
    <w:pPr>
      <w:overflowPunct/>
      <w:autoSpaceDE/>
      <w:autoSpaceDN/>
      <w:adjustRightInd/>
      <w:spacing w:line="360" w:lineRule="auto"/>
      <w:textAlignment w:val="auto"/>
    </w:pPr>
    <w:rPr>
      <w:rFonts w:ascii="Arial" w:hAnsi="Arial"/>
      <w:spacing w:val="-3"/>
    </w:rPr>
  </w:style>
  <w:style w:type="paragraph" w:styleId="Indeks1">
    <w:name w:val="index 1"/>
    <w:basedOn w:val="Normalny"/>
    <w:next w:val="Normalny"/>
    <w:autoRedefine/>
    <w:uiPriority w:val="99"/>
    <w:unhideWhenUsed/>
    <w:locked/>
    <w:rsid w:val="00E0280B"/>
    <w:pPr>
      <w:overflowPunct/>
      <w:autoSpaceDE/>
      <w:autoSpaceDN/>
      <w:adjustRightInd/>
      <w:spacing w:after="200" w:line="276" w:lineRule="auto"/>
      <w:ind w:left="220" w:hanging="220"/>
      <w:jc w:val="left"/>
      <w:textAlignment w:val="auto"/>
    </w:pPr>
    <w:rPr>
      <w:rFonts w:ascii="Calibri" w:eastAsia="Calibri" w:hAnsi="Calibri"/>
      <w:sz w:val="22"/>
      <w:szCs w:val="22"/>
      <w:lang w:eastAsia="en-US"/>
    </w:rPr>
  </w:style>
  <w:style w:type="paragraph" w:styleId="Nagwekindeksu">
    <w:name w:val="index heading"/>
    <w:basedOn w:val="Normalny"/>
    <w:next w:val="Indeks1"/>
    <w:uiPriority w:val="99"/>
    <w:locked/>
    <w:rsid w:val="00E0280B"/>
    <w:pPr>
      <w:overflowPunct/>
      <w:autoSpaceDE/>
      <w:autoSpaceDN/>
      <w:adjustRightInd/>
      <w:jc w:val="left"/>
      <w:textAlignment w:val="auto"/>
    </w:pPr>
    <w:rPr>
      <w:sz w:val="24"/>
      <w:szCs w:val="24"/>
    </w:rPr>
  </w:style>
  <w:style w:type="paragraph" w:customStyle="1" w:styleId="PREDOMTekstpodstawowy">
    <w:name w:val="PREDOM Tekst podstawowy"/>
    <w:basedOn w:val="Normalny"/>
    <w:rsid w:val="00E0280B"/>
    <w:pPr>
      <w:overflowPunct/>
      <w:autoSpaceDE/>
      <w:autoSpaceDN/>
      <w:adjustRightInd/>
      <w:spacing w:after="120"/>
      <w:textAlignment w:val="auto"/>
    </w:pPr>
    <w:rPr>
      <w:rFonts w:ascii="Arial" w:hAnsi="Arial"/>
      <w:lang w:eastAsia="en-US"/>
    </w:rPr>
  </w:style>
  <w:style w:type="character" w:customStyle="1" w:styleId="WW8Num7z0">
    <w:name w:val="WW8Num7z0"/>
    <w:rsid w:val="00E0280B"/>
    <w:rPr>
      <w:rFonts w:ascii="Times New Roman" w:hAnsi="Times New Roman" w:cs="Times New Roman"/>
    </w:rPr>
  </w:style>
  <w:style w:type="character" w:customStyle="1" w:styleId="WW8Num10z0">
    <w:name w:val="WW8Num10z0"/>
    <w:rsid w:val="00E0280B"/>
    <w:rPr>
      <w:rFonts w:ascii="Times New Roman" w:hAnsi="Times New Roman"/>
      <w:b w:val="0"/>
      <w:i w:val="0"/>
      <w:sz w:val="20"/>
      <w:szCs w:val="20"/>
    </w:rPr>
  </w:style>
  <w:style w:type="character" w:customStyle="1" w:styleId="WW8Num11z0">
    <w:name w:val="WW8Num11z0"/>
    <w:rsid w:val="00E0280B"/>
    <w:rPr>
      <w:rFonts w:ascii="Symbol" w:hAnsi="Symbol"/>
    </w:rPr>
  </w:style>
  <w:style w:type="character" w:customStyle="1" w:styleId="Absatz-Standardschriftart">
    <w:name w:val="Absatz-Standardschriftart"/>
    <w:rsid w:val="00E0280B"/>
  </w:style>
  <w:style w:type="character" w:customStyle="1" w:styleId="WW-Absatz-Standardschriftart">
    <w:name w:val="WW-Absatz-Standardschriftart"/>
    <w:rsid w:val="00E0280B"/>
  </w:style>
  <w:style w:type="character" w:customStyle="1" w:styleId="WW-Absatz-Standardschriftart1">
    <w:name w:val="WW-Absatz-Standardschriftart1"/>
    <w:rsid w:val="00E0280B"/>
  </w:style>
  <w:style w:type="character" w:customStyle="1" w:styleId="WW8Num7z1">
    <w:name w:val="WW8Num7z1"/>
    <w:rsid w:val="00E0280B"/>
    <w:rPr>
      <w:rFonts w:ascii="Courier New" w:hAnsi="Courier New" w:cs="Courier New"/>
    </w:rPr>
  </w:style>
  <w:style w:type="character" w:customStyle="1" w:styleId="WW8Num7z2">
    <w:name w:val="WW8Num7z2"/>
    <w:rsid w:val="00E0280B"/>
    <w:rPr>
      <w:rFonts w:ascii="Wingdings" w:hAnsi="Wingdings"/>
    </w:rPr>
  </w:style>
  <w:style w:type="character" w:customStyle="1" w:styleId="WW8Num7z3">
    <w:name w:val="WW8Num7z3"/>
    <w:rsid w:val="00E0280B"/>
    <w:rPr>
      <w:rFonts w:ascii="Symbol" w:hAnsi="Symbol"/>
    </w:rPr>
  </w:style>
  <w:style w:type="character" w:customStyle="1" w:styleId="WW8Num11z2">
    <w:name w:val="WW8Num11z2"/>
    <w:rsid w:val="00E0280B"/>
    <w:rPr>
      <w:rFonts w:ascii="Wingdings" w:hAnsi="Wingdings"/>
    </w:rPr>
  </w:style>
  <w:style w:type="character" w:customStyle="1" w:styleId="WW8Num11z4">
    <w:name w:val="WW8Num11z4"/>
    <w:rsid w:val="00E0280B"/>
    <w:rPr>
      <w:rFonts w:ascii="Courier New" w:hAnsi="Courier New" w:cs="Courier New"/>
    </w:rPr>
  </w:style>
  <w:style w:type="character" w:customStyle="1" w:styleId="WW8Num12z1">
    <w:name w:val="WW8Num12z1"/>
    <w:rsid w:val="00E0280B"/>
    <w:rPr>
      <w:rFonts w:ascii="Courier New" w:hAnsi="Courier New" w:cs="Courier New"/>
    </w:rPr>
  </w:style>
  <w:style w:type="character" w:customStyle="1" w:styleId="WW8Num12z3">
    <w:name w:val="WW8Num12z3"/>
    <w:rsid w:val="00E0280B"/>
    <w:rPr>
      <w:rFonts w:ascii="Symbol" w:hAnsi="Symbol"/>
    </w:rPr>
  </w:style>
  <w:style w:type="character" w:customStyle="1" w:styleId="WW8Num14z0">
    <w:name w:val="WW8Num14z0"/>
    <w:rsid w:val="00E0280B"/>
    <w:rPr>
      <w:rFonts w:ascii="Times New Roman" w:hAnsi="Times New Roman" w:cs="Times New Roman"/>
    </w:rPr>
  </w:style>
  <w:style w:type="character" w:customStyle="1" w:styleId="WW8Num14z2">
    <w:name w:val="WW8Num14z2"/>
    <w:rsid w:val="00E0280B"/>
    <w:rPr>
      <w:rFonts w:ascii="Wingdings" w:hAnsi="Wingdings"/>
    </w:rPr>
  </w:style>
  <w:style w:type="character" w:customStyle="1" w:styleId="WW8Num14z3">
    <w:name w:val="WW8Num14z3"/>
    <w:rsid w:val="00E0280B"/>
    <w:rPr>
      <w:rFonts w:ascii="Symbol" w:hAnsi="Symbol"/>
    </w:rPr>
  </w:style>
  <w:style w:type="character" w:customStyle="1" w:styleId="WW8Num15z3">
    <w:name w:val="WW8Num15z3"/>
    <w:rsid w:val="00E0280B"/>
    <w:rPr>
      <w:rFonts w:ascii="Symbol" w:hAnsi="Symbol"/>
    </w:rPr>
  </w:style>
  <w:style w:type="character" w:customStyle="1" w:styleId="WW8Num18z1">
    <w:name w:val="WW8Num18z1"/>
    <w:rsid w:val="00E0280B"/>
    <w:rPr>
      <w:rFonts w:ascii="Courier New" w:hAnsi="Courier New" w:cs="Courier New"/>
    </w:rPr>
  </w:style>
  <w:style w:type="character" w:customStyle="1" w:styleId="WW8Num18z3">
    <w:name w:val="WW8Num18z3"/>
    <w:rsid w:val="00E0280B"/>
    <w:rPr>
      <w:rFonts w:ascii="Symbol" w:hAnsi="Symbol"/>
    </w:rPr>
  </w:style>
  <w:style w:type="character" w:customStyle="1" w:styleId="WW8Num19z0">
    <w:name w:val="WW8Num19z0"/>
    <w:rsid w:val="00E0280B"/>
    <w:rPr>
      <w:rFonts w:ascii="Times New Roman" w:hAnsi="Times New Roman"/>
      <w:b w:val="0"/>
      <w:i w:val="0"/>
      <w:sz w:val="20"/>
      <w:szCs w:val="20"/>
    </w:rPr>
  </w:style>
  <w:style w:type="character" w:customStyle="1" w:styleId="WW8Num20z0">
    <w:name w:val="WW8Num20z0"/>
    <w:rsid w:val="00E0280B"/>
    <w:rPr>
      <w:rFonts w:ascii="Times New Roman" w:hAnsi="Times New Roman" w:cs="Times New Roman"/>
    </w:rPr>
  </w:style>
  <w:style w:type="character" w:customStyle="1" w:styleId="WW8Num20z1">
    <w:name w:val="WW8Num20z1"/>
    <w:rsid w:val="00E0280B"/>
    <w:rPr>
      <w:rFonts w:ascii="Courier New" w:hAnsi="Courier New" w:cs="Courier New"/>
    </w:rPr>
  </w:style>
  <w:style w:type="character" w:customStyle="1" w:styleId="WW8Num20z2">
    <w:name w:val="WW8Num20z2"/>
    <w:rsid w:val="00E0280B"/>
    <w:rPr>
      <w:rFonts w:ascii="Wingdings" w:hAnsi="Wingdings"/>
    </w:rPr>
  </w:style>
  <w:style w:type="character" w:customStyle="1" w:styleId="WW8Num20z3">
    <w:name w:val="WW8Num20z3"/>
    <w:rsid w:val="00E0280B"/>
    <w:rPr>
      <w:rFonts w:ascii="Symbol" w:hAnsi="Symbol"/>
    </w:rPr>
  </w:style>
  <w:style w:type="character" w:customStyle="1" w:styleId="WW8Num23z0">
    <w:name w:val="WW8Num23z0"/>
    <w:rsid w:val="00E0280B"/>
    <w:rPr>
      <w:rFonts w:ascii="Times New Roman" w:hAnsi="Times New Roman" w:cs="Times New Roman"/>
      <w:sz w:val="16"/>
    </w:rPr>
  </w:style>
  <w:style w:type="character" w:customStyle="1" w:styleId="WW8Num23z1">
    <w:name w:val="WW8Num23z1"/>
    <w:rsid w:val="00E0280B"/>
    <w:rPr>
      <w:rFonts w:ascii="Courier New" w:hAnsi="Courier New" w:cs="Courier New"/>
    </w:rPr>
  </w:style>
  <w:style w:type="character" w:customStyle="1" w:styleId="WW8Num23z2">
    <w:name w:val="WW8Num23z2"/>
    <w:rsid w:val="00E0280B"/>
    <w:rPr>
      <w:rFonts w:ascii="Wingdings" w:hAnsi="Wingdings"/>
    </w:rPr>
  </w:style>
  <w:style w:type="character" w:customStyle="1" w:styleId="WW8Num23z3">
    <w:name w:val="WW8Num23z3"/>
    <w:rsid w:val="00E0280B"/>
    <w:rPr>
      <w:rFonts w:ascii="Symbol" w:hAnsi="Symbol"/>
    </w:rPr>
  </w:style>
  <w:style w:type="character" w:customStyle="1" w:styleId="WW8Num24z0">
    <w:name w:val="WW8Num24z0"/>
    <w:rsid w:val="00E0280B"/>
    <w:rPr>
      <w:rFonts w:ascii="Times New Roman" w:hAnsi="Times New Roman" w:cs="Times New Roman"/>
    </w:rPr>
  </w:style>
  <w:style w:type="character" w:customStyle="1" w:styleId="WW8Num24z1">
    <w:name w:val="WW8Num24z1"/>
    <w:rsid w:val="00E0280B"/>
    <w:rPr>
      <w:rFonts w:ascii="Courier New" w:hAnsi="Courier New" w:cs="Courier New"/>
    </w:rPr>
  </w:style>
  <w:style w:type="character" w:customStyle="1" w:styleId="WW8Num24z2">
    <w:name w:val="WW8Num24z2"/>
    <w:rsid w:val="00E0280B"/>
    <w:rPr>
      <w:rFonts w:ascii="Wingdings" w:hAnsi="Wingdings"/>
    </w:rPr>
  </w:style>
  <w:style w:type="character" w:customStyle="1" w:styleId="WW8Num24z3">
    <w:name w:val="WW8Num24z3"/>
    <w:rsid w:val="00E0280B"/>
    <w:rPr>
      <w:rFonts w:ascii="Symbol" w:hAnsi="Symbol"/>
    </w:rPr>
  </w:style>
  <w:style w:type="character" w:customStyle="1" w:styleId="WW8Num25z0">
    <w:name w:val="WW8Num25z0"/>
    <w:rsid w:val="00E0280B"/>
    <w:rPr>
      <w:rFonts w:ascii="Times New Roman" w:hAnsi="Times New Roman" w:cs="Times New Roman"/>
    </w:rPr>
  </w:style>
  <w:style w:type="character" w:customStyle="1" w:styleId="WW8Num25z1">
    <w:name w:val="WW8Num25z1"/>
    <w:rsid w:val="00E0280B"/>
    <w:rPr>
      <w:rFonts w:ascii="Courier New" w:hAnsi="Courier New" w:cs="Courier New"/>
    </w:rPr>
  </w:style>
  <w:style w:type="character" w:customStyle="1" w:styleId="WW8Num25z2">
    <w:name w:val="WW8Num25z2"/>
    <w:rsid w:val="00E0280B"/>
    <w:rPr>
      <w:rFonts w:ascii="Wingdings" w:hAnsi="Wingdings"/>
    </w:rPr>
  </w:style>
  <w:style w:type="character" w:customStyle="1" w:styleId="WW8Num25z3">
    <w:name w:val="WW8Num25z3"/>
    <w:rsid w:val="00E0280B"/>
    <w:rPr>
      <w:rFonts w:ascii="Symbol" w:hAnsi="Symbol"/>
    </w:rPr>
  </w:style>
  <w:style w:type="character" w:customStyle="1" w:styleId="WW8Num26z0">
    <w:name w:val="WW8Num26z0"/>
    <w:rsid w:val="00E0280B"/>
    <w:rPr>
      <w:rFonts w:ascii="Times New Roman" w:hAnsi="Times New Roman" w:cs="Times New Roman"/>
    </w:rPr>
  </w:style>
  <w:style w:type="character" w:customStyle="1" w:styleId="WW8Num26z1">
    <w:name w:val="WW8Num26z1"/>
    <w:rsid w:val="00E0280B"/>
    <w:rPr>
      <w:rFonts w:ascii="Courier New" w:hAnsi="Courier New" w:cs="Courier New"/>
    </w:rPr>
  </w:style>
  <w:style w:type="character" w:customStyle="1" w:styleId="WW8Num26z2">
    <w:name w:val="WW8Num26z2"/>
    <w:rsid w:val="00E0280B"/>
    <w:rPr>
      <w:rFonts w:ascii="Wingdings" w:hAnsi="Wingdings"/>
    </w:rPr>
  </w:style>
  <w:style w:type="character" w:customStyle="1" w:styleId="WW8Num26z3">
    <w:name w:val="WW8Num26z3"/>
    <w:rsid w:val="00E0280B"/>
    <w:rPr>
      <w:rFonts w:ascii="Symbol" w:hAnsi="Symbol"/>
    </w:rPr>
  </w:style>
  <w:style w:type="character" w:customStyle="1" w:styleId="WW8Num27z0">
    <w:name w:val="WW8Num27z0"/>
    <w:rsid w:val="00E0280B"/>
    <w:rPr>
      <w:rFonts w:ascii="Times New Roman" w:hAnsi="Times New Roman"/>
      <w:b w:val="0"/>
      <w:i w:val="0"/>
      <w:sz w:val="20"/>
      <w:szCs w:val="20"/>
    </w:rPr>
  </w:style>
  <w:style w:type="character" w:customStyle="1" w:styleId="WW8Num28z0">
    <w:name w:val="WW8Num28z0"/>
    <w:rsid w:val="00E0280B"/>
    <w:rPr>
      <w:rFonts w:ascii="Times New Roman" w:hAnsi="Times New Roman" w:cs="Times New Roman"/>
      <w:sz w:val="16"/>
    </w:rPr>
  </w:style>
  <w:style w:type="character" w:customStyle="1" w:styleId="WW8Num28z1">
    <w:name w:val="WW8Num28z1"/>
    <w:rsid w:val="00E0280B"/>
    <w:rPr>
      <w:rFonts w:ascii="Courier New" w:hAnsi="Courier New" w:cs="Courier New"/>
    </w:rPr>
  </w:style>
  <w:style w:type="character" w:customStyle="1" w:styleId="WW8Num28z2">
    <w:name w:val="WW8Num28z2"/>
    <w:rsid w:val="00E0280B"/>
    <w:rPr>
      <w:rFonts w:ascii="Wingdings" w:hAnsi="Wingdings"/>
    </w:rPr>
  </w:style>
  <w:style w:type="character" w:customStyle="1" w:styleId="WW8Num28z3">
    <w:name w:val="WW8Num28z3"/>
    <w:rsid w:val="00E0280B"/>
    <w:rPr>
      <w:rFonts w:ascii="Symbol" w:hAnsi="Symbol"/>
    </w:rPr>
  </w:style>
  <w:style w:type="character" w:customStyle="1" w:styleId="WW8Num29z0">
    <w:name w:val="WW8Num29z0"/>
    <w:rsid w:val="00E0280B"/>
    <w:rPr>
      <w:rFonts w:ascii="Times New Roman" w:hAnsi="Times New Roman" w:cs="Times New Roman"/>
    </w:rPr>
  </w:style>
  <w:style w:type="character" w:customStyle="1" w:styleId="WW8Num29z1">
    <w:name w:val="WW8Num29z1"/>
    <w:rsid w:val="00E0280B"/>
    <w:rPr>
      <w:rFonts w:ascii="Courier New" w:hAnsi="Courier New" w:cs="Courier New"/>
    </w:rPr>
  </w:style>
  <w:style w:type="character" w:customStyle="1" w:styleId="WW8Num29z2">
    <w:name w:val="WW8Num29z2"/>
    <w:rsid w:val="00E0280B"/>
    <w:rPr>
      <w:rFonts w:ascii="Wingdings" w:hAnsi="Wingdings"/>
    </w:rPr>
  </w:style>
  <w:style w:type="character" w:customStyle="1" w:styleId="WW8Num29z3">
    <w:name w:val="WW8Num29z3"/>
    <w:rsid w:val="00E0280B"/>
    <w:rPr>
      <w:rFonts w:ascii="Symbol" w:hAnsi="Symbol"/>
    </w:rPr>
  </w:style>
  <w:style w:type="character" w:customStyle="1" w:styleId="WW8Num30z0">
    <w:name w:val="WW8Num30z0"/>
    <w:rsid w:val="00E0280B"/>
    <w:rPr>
      <w:rFonts w:ascii="Times New Roman" w:hAnsi="Times New Roman" w:cs="Times New Roman"/>
    </w:rPr>
  </w:style>
  <w:style w:type="character" w:customStyle="1" w:styleId="WW8Num30z1">
    <w:name w:val="WW8Num30z1"/>
    <w:rsid w:val="00E0280B"/>
    <w:rPr>
      <w:rFonts w:ascii="Courier New" w:hAnsi="Courier New" w:cs="Courier New"/>
    </w:rPr>
  </w:style>
  <w:style w:type="character" w:customStyle="1" w:styleId="WW8Num30z2">
    <w:name w:val="WW8Num30z2"/>
    <w:rsid w:val="00E0280B"/>
    <w:rPr>
      <w:rFonts w:ascii="Wingdings" w:hAnsi="Wingdings"/>
    </w:rPr>
  </w:style>
  <w:style w:type="character" w:customStyle="1" w:styleId="WW8Num30z3">
    <w:name w:val="WW8Num30z3"/>
    <w:rsid w:val="00E0280B"/>
    <w:rPr>
      <w:rFonts w:ascii="Symbol" w:hAnsi="Symbol"/>
    </w:rPr>
  </w:style>
  <w:style w:type="character" w:customStyle="1" w:styleId="WW8Num31z0">
    <w:name w:val="WW8Num31z0"/>
    <w:rsid w:val="00E0280B"/>
    <w:rPr>
      <w:rFonts w:ascii="Times New Roman" w:hAnsi="Times New Roman" w:cs="Times New Roman"/>
    </w:rPr>
  </w:style>
  <w:style w:type="character" w:customStyle="1" w:styleId="WW8Num31z1">
    <w:name w:val="WW8Num31z1"/>
    <w:rsid w:val="00E0280B"/>
    <w:rPr>
      <w:rFonts w:ascii="Courier New" w:hAnsi="Courier New" w:cs="Courier New"/>
    </w:rPr>
  </w:style>
  <w:style w:type="character" w:customStyle="1" w:styleId="WW8Num31z2">
    <w:name w:val="WW8Num31z2"/>
    <w:rsid w:val="00E0280B"/>
    <w:rPr>
      <w:rFonts w:ascii="Wingdings" w:hAnsi="Wingdings"/>
    </w:rPr>
  </w:style>
  <w:style w:type="character" w:customStyle="1" w:styleId="WW8Num31z3">
    <w:name w:val="WW8Num31z3"/>
    <w:rsid w:val="00E0280B"/>
    <w:rPr>
      <w:rFonts w:ascii="Symbol" w:hAnsi="Symbol"/>
    </w:rPr>
  </w:style>
  <w:style w:type="character" w:customStyle="1" w:styleId="WW8Num33z0">
    <w:name w:val="WW8Num33z0"/>
    <w:rsid w:val="00E0280B"/>
    <w:rPr>
      <w:rFonts w:ascii="Times New Roman" w:hAnsi="Times New Roman"/>
      <w:b w:val="0"/>
      <w:i w:val="0"/>
      <w:sz w:val="20"/>
      <w:szCs w:val="20"/>
    </w:rPr>
  </w:style>
  <w:style w:type="character" w:customStyle="1" w:styleId="WW8NumSt23z0">
    <w:name w:val="WW8NumSt23z0"/>
    <w:rsid w:val="00E0280B"/>
    <w:rPr>
      <w:rFonts w:ascii="Symbol" w:hAnsi="Symbol"/>
      <w:sz w:val="20"/>
    </w:rPr>
  </w:style>
  <w:style w:type="paragraph" w:customStyle="1" w:styleId="Zawartoramki">
    <w:name w:val="Zawartość ramki"/>
    <w:basedOn w:val="Tekstpodstawowy"/>
    <w:rsid w:val="00E0280B"/>
    <w:pPr>
      <w:suppressAutoHyphens/>
      <w:autoSpaceDN/>
      <w:adjustRightInd/>
      <w:spacing w:after="120" w:line="240" w:lineRule="auto"/>
      <w:jc w:val="both"/>
    </w:pPr>
    <w:rPr>
      <w:sz w:val="20"/>
      <w:szCs w:val="20"/>
      <w:lang w:eastAsia="ar-SA"/>
    </w:rPr>
  </w:style>
  <w:style w:type="paragraph" w:customStyle="1" w:styleId="Spistreci10">
    <w:name w:val="Spis treści 10"/>
    <w:basedOn w:val="Indeks"/>
    <w:rsid w:val="00E0280B"/>
    <w:pPr>
      <w:tabs>
        <w:tab w:val="right" w:leader="dot" w:pos="17278"/>
      </w:tabs>
      <w:ind w:left="2547"/>
      <w:jc w:val="both"/>
      <w:textAlignment w:val="baseline"/>
    </w:pPr>
  </w:style>
  <w:style w:type="character" w:customStyle="1" w:styleId="AkapitzlistZnak">
    <w:name w:val="Akapit z listą Znak"/>
    <w:aliases w:val="x. Znak,Oświetlenie Znak,TABELA Znak,Nagłowek 3 Znak"/>
    <w:link w:val="Akapitzlist"/>
    <w:locked/>
    <w:rsid w:val="00C36810"/>
    <w:rPr>
      <w:rFonts w:ascii="Times New Roman" w:eastAsia="Times New Roman" w:hAnsi="Times New Roman"/>
      <w:sz w:val="20"/>
      <w:szCs w:val="20"/>
    </w:rPr>
  </w:style>
  <w:style w:type="paragraph" w:customStyle="1" w:styleId="Style148">
    <w:name w:val="Style148"/>
    <w:basedOn w:val="Normalny"/>
    <w:rsid w:val="008831F9"/>
    <w:pPr>
      <w:overflowPunct/>
      <w:autoSpaceDE/>
      <w:autoSpaceDN/>
      <w:adjustRightInd/>
      <w:spacing w:line="259" w:lineRule="exact"/>
      <w:jc w:val="left"/>
      <w:textAlignment w:val="auto"/>
    </w:pPr>
    <w:rPr>
      <w:rFonts w:ascii="Calibri" w:eastAsia="Calibri" w:hAnsi="Calibri" w:cs="Calibri"/>
    </w:rPr>
  </w:style>
  <w:style w:type="paragraph" w:customStyle="1" w:styleId="Style142">
    <w:name w:val="Style142"/>
    <w:basedOn w:val="Normalny"/>
    <w:rsid w:val="008831F9"/>
    <w:pPr>
      <w:overflowPunct/>
      <w:autoSpaceDE/>
      <w:autoSpaceDN/>
      <w:adjustRightInd/>
      <w:spacing w:line="230" w:lineRule="exact"/>
      <w:jc w:val="left"/>
      <w:textAlignment w:val="auto"/>
    </w:pPr>
    <w:rPr>
      <w:rFonts w:ascii="Calibri" w:eastAsia="Calibri" w:hAnsi="Calibri" w:cs="Calibri"/>
    </w:rPr>
  </w:style>
  <w:style w:type="character" w:customStyle="1" w:styleId="CharStyle44">
    <w:name w:val="CharStyle44"/>
    <w:basedOn w:val="Domylnaczcionkaakapitu"/>
    <w:rsid w:val="008831F9"/>
    <w:rPr>
      <w:rFonts w:ascii="Times New Roman" w:eastAsia="Times New Roman" w:hAnsi="Times New Roman" w:cs="Times New Roman"/>
      <w:b w:val="0"/>
      <w:bCs w:val="0"/>
      <w:i w:val="0"/>
      <w:iCs w:val="0"/>
      <w:smallCaps w:val="0"/>
      <w:sz w:val="18"/>
      <w:szCs w:val="18"/>
    </w:rPr>
  </w:style>
  <w:style w:type="character" w:customStyle="1" w:styleId="WW8Num99z0">
    <w:name w:val="WW8Num99z0"/>
    <w:rsid w:val="008831F9"/>
    <w:rPr>
      <w:rFonts w:ascii="Symbol" w:hAnsi="Symbol"/>
    </w:rPr>
  </w:style>
  <w:style w:type="paragraph" w:customStyle="1" w:styleId="CM17">
    <w:name w:val="CM17"/>
    <w:basedOn w:val="Default"/>
    <w:next w:val="Default"/>
    <w:uiPriority w:val="99"/>
    <w:rsid w:val="008831F9"/>
    <w:pPr>
      <w:jc w:val="left"/>
    </w:pPr>
    <w:rPr>
      <w:color w:val="auto"/>
    </w:rPr>
  </w:style>
  <w:style w:type="paragraph" w:customStyle="1" w:styleId="Textbodyindent">
    <w:name w:val="Text body indent"/>
    <w:basedOn w:val="Standard"/>
    <w:rsid w:val="008831F9"/>
    <w:pPr>
      <w:widowControl/>
      <w:autoSpaceDE/>
      <w:autoSpaceDN w:val="0"/>
      <w:spacing w:after="120"/>
      <w:ind w:left="283"/>
      <w:jc w:val="both"/>
      <w:textAlignment w:val="baseline"/>
    </w:pPr>
    <w:rPr>
      <w:rFonts w:ascii="Arial" w:hAnsi="Arial" w:cs="Calibri"/>
      <w:kern w:val="3"/>
      <w:lang w:eastAsia="zh-CN"/>
    </w:rPr>
  </w:style>
  <w:style w:type="paragraph" w:customStyle="1" w:styleId="Normal2">
    <w:name w:val="Normal2"/>
    <w:rsid w:val="008831F9"/>
    <w:pPr>
      <w:spacing w:before="100" w:beforeAutospacing="1" w:after="100" w:afterAutospacing="1" w:line="273" w:lineRule="auto"/>
    </w:pPr>
    <w:rPr>
      <w:rFonts w:eastAsia="SimSun"/>
      <w:sz w:val="24"/>
      <w:szCs w:val="24"/>
    </w:rPr>
  </w:style>
  <w:style w:type="paragraph" w:customStyle="1" w:styleId="BodyTextIndent1">
    <w:name w:val="Body Text Indent1"/>
    <w:basedOn w:val="Normalny"/>
    <w:semiHidden/>
    <w:rsid w:val="008831F9"/>
    <w:pPr>
      <w:overflowPunct/>
      <w:autoSpaceDE/>
      <w:autoSpaceDN/>
      <w:adjustRightInd/>
      <w:spacing w:before="100" w:beforeAutospacing="1" w:after="100" w:afterAutospacing="1" w:line="273" w:lineRule="auto"/>
      <w:jc w:val="left"/>
      <w:textAlignment w:val="auto"/>
    </w:pPr>
    <w:rPr>
      <w:rFonts w:ascii="Arial" w:hAnsi="Arial"/>
      <w:sz w:val="24"/>
      <w:szCs w:val="24"/>
    </w:rPr>
  </w:style>
  <w:style w:type="character" w:customStyle="1" w:styleId="Nagweklubstopka">
    <w:name w:val="Nagłówek lub stopka_"/>
    <w:rsid w:val="008831F9"/>
    <w:rPr>
      <w:rFonts w:ascii="Times New Roman" w:eastAsia="Times New Roman" w:hAnsi="Times New Roman" w:cs="Times New Roman"/>
      <w:b w:val="0"/>
      <w:bCs w:val="0"/>
      <w:i/>
      <w:iCs/>
      <w:smallCaps w:val="0"/>
      <w:strike w:val="0"/>
      <w:spacing w:val="-20"/>
      <w:sz w:val="20"/>
      <w:szCs w:val="20"/>
      <w:u w:val="none"/>
    </w:rPr>
  </w:style>
  <w:style w:type="character" w:customStyle="1" w:styleId="Nagweklubstopka95ptOdstpy0pt">
    <w:name w:val="Nagłówek lub stopka + 9;5 pt;Odstępy 0 pt"/>
    <w:rsid w:val="008831F9"/>
    <w:rPr>
      <w:rFonts w:ascii="Times New Roman" w:eastAsia="Times New Roman" w:hAnsi="Times New Roman" w:cs="Times New Roman"/>
      <w:b w:val="0"/>
      <w:bCs w:val="0"/>
      <w:i/>
      <w:iCs/>
      <w:smallCaps w:val="0"/>
      <w:strike w:val="0"/>
      <w:color w:val="000000"/>
      <w:spacing w:val="-10"/>
      <w:w w:val="100"/>
      <w:position w:val="0"/>
      <w:sz w:val="19"/>
      <w:szCs w:val="19"/>
      <w:u w:val="none"/>
      <w:lang w:val="pl-PL"/>
    </w:rPr>
  </w:style>
  <w:style w:type="character" w:customStyle="1" w:styleId="Nagweklubstopka0">
    <w:name w:val="Nagłówek lub stopka"/>
    <w:rsid w:val="008831F9"/>
    <w:rPr>
      <w:rFonts w:ascii="Times New Roman" w:eastAsia="Times New Roman" w:hAnsi="Times New Roman" w:cs="Times New Roman"/>
      <w:b w:val="0"/>
      <w:bCs w:val="0"/>
      <w:i/>
      <w:iCs/>
      <w:smallCaps w:val="0"/>
      <w:strike w:val="0"/>
      <w:color w:val="000000"/>
      <w:spacing w:val="-20"/>
      <w:w w:val="100"/>
      <w:position w:val="0"/>
      <w:sz w:val="20"/>
      <w:szCs w:val="20"/>
      <w:u w:val="none"/>
      <w:lang w:val="pl-PL"/>
    </w:rPr>
  </w:style>
  <w:style w:type="character" w:customStyle="1" w:styleId="NagweklubstopkaBatang95ptBezkursywyOdstpy0pt">
    <w:name w:val="Nagłówek lub stopka + Batang;9;5 pt;Bez kursywy;Odstępy 0 pt"/>
    <w:rsid w:val="008831F9"/>
    <w:rPr>
      <w:rFonts w:ascii="Batang" w:eastAsia="Batang" w:hAnsi="Batang" w:cs="Batang"/>
      <w:b w:val="0"/>
      <w:bCs w:val="0"/>
      <w:i/>
      <w:iCs/>
      <w:smallCaps w:val="0"/>
      <w:strike w:val="0"/>
      <w:color w:val="000000"/>
      <w:spacing w:val="0"/>
      <w:w w:val="100"/>
      <w:position w:val="0"/>
      <w:sz w:val="19"/>
      <w:szCs w:val="19"/>
      <w:u w:val="none"/>
    </w:rPr>
  </w:style>
  <w:style w:type="character" w:customStyle="1" w:styleId="TeksttreciArialNarrowBezpogrubieniaKursywaOdstpy0pt">
    <w:name w:val="Tekst treści + Arial Narrow;Bez pogrubienia;Kursywa;Odstępy 0 pt"/>
    <w:rsid w:val="008831F9"/>
    <w:rPr>
      <w:rFonts w:ascii="Arial Narrow" w:eastAsia="Arial Narrow" w:hAnsi="Arial Narrow" w:cs="Arial Narrow"/>
      <w:b/>
      <w:bCs/>
      <w:i/>
      <w:iCs/>
      <w:smallCaps w:val="0"/>
      <w:strike w:val="0"/>
      <w:color w:val="000000"/>
      <w:spacing w:val="0"/>
      <w:w w:val="100"/>
      <w:position w:val="0"/>
      <w:sz w:val="20"/>
      <w:szCs w:val="20"/>
      <w:u w:val="none"/>
    </w:rPr>
  </w:style>
  <w:style w:type="character" w:customStyle="1" w:styleId="Teksttreci3">
    <w:name w:val="Tekst treści (3)_"/>
    <w:link w:val="Teksttreci30"/>
    <w:rsid w:val="008831F9"/>
    <w:rPr>
      <w:rFonts w:ascii="Palatino Linotype" w:eastAsia="Palatino Linotype" w:hAnsi="Palatino Linotype" w:cs="Palatino Linotype"/>
      <w:sz w:val="20"/>
      <w:szCs w:val="20"/>
      <w:shd w:val="clear" w:color="auto" w:fill="FFFFFF"/>
    </w:rPr>
  </w:style>
  <w:style w:type="character" w:customStyle="1" w:styleId="TeksttreciGeorgia95ptBezpogrubieniaOdstpy0pt">
    <w:name w:val="Tekst treści + Georgia;9;5 pt;Bez pogrubienia;Odstępy 0 pt"/>
    <w:rsid w:val="008831F9"/>
    <w:rPr>
      <w:rFonts w:ascii="Georgia" w:eastAsia="Georgia" w:hAnsi="Georgia" w:cs="Georgia"/>
      <w:b/>
      <w:bCs/>
      <w:i w:val="0"/>
      <w:iCs w:val="0"/>
      <w:smallCaps w:val="0"/>
      <w:strike w:val="0"/>
      <w:color w:val="000000"/>
      <w:spacing w:val="0"/>
      <w:w w:val="100"/>
      <w:position w:val="0"/>
      <w:sz w:val="19"/>
      <w:szCs w:val="19"/>
      <w:u w:val="none"/>
    </w:rPr>
  </w:style>
  <w:style w:type="character" w:customStyle="1" w:styleId="Teksttreci9ptBezpogrubieniaOdstpy0pt">
    <w:name w:val="Tekst treści + 9 pt;Bez pogrubienia;Odstępy 0 pt"/>
    <w:rsid w:val="008831F9"/>
    <w:rPr>
      <w:rFonts w:ascii="Times New Roman" w:eastAsia="Times New Roman" w:hAnsi="Times New Roman" w:cs="Times New Roman"/>
      <w:b/>
      <w:bCs/>
      <w:i w:val="0"/>
      <w:iCs w:val="0"/>
      <w:smallCaps w:val="0"/>
      <w:strike w:val="0"/>
      <w:color w:val="000000"/>
      <w:spacing w:val="0"/>
      <w:w w:val="100"/>
      <w:position w:val="0"/>
      <w:sz w:val="18"/>
      <w:szCs w:val="18"/>
      <w:u w:val="none"/>
      <w:lang w:val="pl-PL"/>
    </w:rPr>
  </w:style>
  <w:style w:type="paragraph" w:customStyle="1" w:styleId="Teksttreci30">
    <w:name w:val="Tekst treści (3)"/>
    <w:basedOn w:val="Normalny"/>
    <w:link w:val="Teksttreci3"/>
    <w:rsid w:val="008831F9"/>
    <w:pPr>
      <w:widowControl w:val="0"/>
      <w:shd w:val="clear" w:color="auto" w:fill="FFFFFF"/>
      <w:overflowPunct/>
      <w:autoSpaceDE/>
      <w:autoSpaceDN/>
      <w:adjustRightInd/>
      <w:spacing w:before="120" w:after="120" w:line="0" w:lineRule="atLeast"/>
      <w:textAlignment w:val="auto"/>
    </w:pPr>
    <w:rPr>
      <w:rFonts w:ascii="Palatino Linotype" w:eastAsia="Palatino Linotype" w:hAnsi="Palatino Linotype" w:cs="Palatino Linotype"/>
    </w:rPr>
  </w:style>
  <w:style w:type="character" w:customStyle="1" w:styleId="Teksttreci2Tahoma105ptKursywaOdstpy-1pt">
    <w:name w:val="Tekst treści (2) + Tahoma;10;5 pt;Kursywa;Odstępy -1 pt"/>
    <w:rsid w:val="008831F9"/>
    <w:rPr>
      <w:rFonts w:ascii="Tahoma" w:eastAsia="Tahoma" w:hAnsi="Tahoma" w:cs="Tahoma"/>
      <w:b w:val="0"/>
      <w:bCs w:val="0"/>
      <w:i/>
      <w:iCs/>
      <w:smallCaps w:val="0"/>
      <w:strike w:val="0"/>
      <w:color w:val="000000"/>
      <w:spacing w:val="-20"/>
      <w:w w:val="100"/>
      <w:position w:val="0"/>
      <w:sz w:val="21"/>
      <w:szCs w:val="21"/>
      <w:u w:val="none"/>
      <w:lang w:val="pl-PL"/>
    </w:rPr>
  </w:style>
  <w:style w:type="character" w:customStyle="1" w:styleId="TeksttreciBatangKursywa">
    <w:name w:val="Tekst treści + Batang;Kursywa"/>
    <w:rsid w:val="008831F9"/>
    <w:rPr>
      <w:rFonts w:ascii="Batang" w:eastAsia="Batang" w:hAnsi="Batang" w:cs="Batang"/>
      <w:b w:val="0"/>
      <w:bCs w:val="0"/>
      <w:i/>
      <w:iCs/>
      <w:smallCaps w:val="0"/>
      <w:strike w:val="0"/>
      <w:color w:val="000000"/>
      <w:spacing w:val="0"/>
      <w:w w:val="100"/>
      <w:position w:val="0"/>
      <w:sz w:val="21"/>
      <w:szCs w:val="21"/>
      <w:u w:val="none"/>
    </w:rPr>
  </w:style>
  <w:style w:type="character" w:customStyle="1" w:styleId="Teksttreci115pt">
    <w:name w:val="Tekst treści + 11;5 pt"/>
    <w:rsid w:val="008831F9"/>
    <w:rPr>
      <w:rFonts w:ascii="Times New Roman" w:eastAsia="Times New Roman" w:hAnsi="Times New Roman" w:cs="Times New Roman"/>
      <w:b w:val="0"/>
      <w:bCs w:val="0"/>
      <w:i w:val="0"/>
      <w:iCs w:val="0"/>
      <w:smallCaps w:val="0"/>
      <w:strike w:val="0"/>
      <w:color w:val="000000"/>
      <w:spacing w:val="0"/>
      <w:w w:val="100"/>
      <w:position w:val="0"/>
      <w:sz w:val="23"/>
      <w:szCs w:val="23"/>
      <w:u w:val="none"/>
    </w:rPr>
  </w:style>
  <w:style w:type="character" w:customStyle="1" w:styleId="TeksttreciCalibri115ptKursywa">
    <w:name w:val="Tekst treści + Calibri;11;5 pt;Kursywa"/>
    <w:rsid w:val="008831F9"/>
    <w:rPr>
      <w:rFonts w:ascii="Calibri" w:eastAsia="Calibri" w:hAnsi="Calibri" w:cs="Calibri"/>
      <w:b w:val="0"/>
      <w:bCs w:val="0"/>
      <w:i/>
      <w:iCs/>
      <w:smallCaps w:val="0"/>
      <w:strike w:val="0"/>
      <w:color w:val="000000"/>
      <w:spacing w:val="0"/>
      <w:w w:val="100"/>
      <w:position w:val="0"/>
      <w:sz w:val="23"/>
      <w:szCs w:val="23"/>
      <w:u w:val="none"/>
    </w:rPr>
  </w:style>
  <w:style w:type="character" w:customStyle="1" w:styleId="TeksttreciPogrubienie">
    <w:name w:val="Tekst treści + Pogrubienie"/>
    <w:rsid w:val="008831F9"/>
    <w:rPr>
      <w:rFonts w:ascii="Times New Roman" w:eastAsia="Times New Roman" w:hAnsi="Times New Roman" w:cs="Times New Roman"/>
      <w:b/>
      <w:bCs/>
      <w:i w:val="0"/>
      <w:iCs w:val="0"/>
      <w:smallCaps w:val="0"/>
      <w:strike w:val="0"/>
      <w:color w:val="000000"/>
      <w:spacing w:val="0"/>
      <w:w w:val="100"/>
      <w:position w:val="0"/>
      <w:sz w:val="21"/>
      <w:szCs w:val="21"/>
      <w:u w:val="none"/>
      <w:lang w:val="pl-PL"/>
    </w:rPr>
  </w:style>
  <w:style w:type="character" w:customStyle="1" w:styleId="TeksttreciImpact135pt">
    <w:name w:val="Tekst treści + Impact;13;5 pt"/>
    <w:rsid w:val="008831F9"/>
    <w:rPr>
      <w:rFonts w:ascii="Impact" w:eastAsia="Impact" w:hAnsi="Impact" w:cs="Impact"/>
      <w:b w:val="0"/>
      <w:bCs w:val="0"/>
      <w:i w:val="0"/>
      <w:iCs w:val="0"/>
      <w:smallCaps w:val="0"/>
      <w:strike w:val="0"/>
      <w:color w:val="000000"/>
      <w:spacing w:val="0"/>
      <w:w w:val="100"/>
      <w:position w:val="0"/>
      <w:sz w:val="27"/>
      <w:szCs w:val="27"/>
      <w:u w:val="none"/>
      <w:lang w:val="pl-PL"/>
    </w:rPr>
  </w:style>
  <w:style w:type="character" w:customStyle="1" w:styleId="Teksttreci210ptBezpogrubienia">
    <w:name w:val="Tekst treści (2) + 10 pt;Bez pogrubienia"/>
    <w:rsid w:val="008831F9"/>
    <w:rPr>
      <w:rFonts w:ascii="Times New Roman" w:eastAsia="Times New Roman" w:hAnsi="Times New Roman" w:cs="Times New Roman"/>
      <w:b/>
      <w:bCs/>
      <w:i w:val="0"/>
      <w:iCs w:val="0"/>
      <w:smallCaps w:val="0"/>
      <w:strike w:val="0"/>
      <w:color w:val="000000"/>
      <w:spacing w:val="0"/>
      <w:w w:val="100"/>
      <w:position w:val="0"/>
      <w:sz w:val="20"/>
      <w:szCs w:val="20"/>
      <w:u w:val="none"/>
      <w:lang w:val="pl-PL"/>
    </w:rPr>
  </w:style>
  <w:style w:type="character" w:customStyle="1" w:styleId="Teksttreci8pt">
    <w:name w:val="Tekst treści + 8 pt"/>
    <w:rsid w:val="008831F9"/>
    <w:rPr>
      <w:rFonts w:ascii="Times New Roman" w:eastAsia="Times New Roman" w:hAnsi="Times New Roman" w:cs="Times New Roman"/>
      <w:b w:val="0"/>
      <w:bCs w:val="0"/>
      <w:i w:val="0"/>
      <w:iCs w:val="0"/>
      <w:smallCaps w:val="0"/>
      <w:strike w:val="0"/>
      <w:color w:val="000000"/>
      <w:spacing w:val="0"/>
      <w:w w:val="100"/>
      <w:position w:val="0"/>
      <w:sz w:val="16"/>
      <w:szCs w:val="16"/>
      <w:u w:val="none"/>
    </w:rPr>
  </w:style>
  <w:style w:type="character" w:customStyle="1" w:styleId="Nagwek1PalatinoLinotypeKursywa">
    <w:name w:val="Nagłówek #1 + Palatino Linotype;Kursywa"/>
    <w:rsid w:val="008831F9"/>
    <w:rPr>
      <w:rFonts w:ascii="Palatino Linotype" w:eastAsia="Palatino Linotype" w:hAnsi="Palatino Linotype" w:cs="Palatino Linotype"/>
      <w:i/>
      <w:iCs/>
      <w:color w:val="000000"/>
      <w:spacing w:val="0"/>
      <w:w w:val="100"/>
      <w:position w:val="0"/>
      <w:sz w:val="21"/>
      <w:szCs w:val="21"/>
      <w:shd w:val="clear" w:color="auto" w:fill="FFFFFF"/>
      <w:lang w:val="pl-PL"/>
    </w:rPr>
  </w:style>
  <w:style w:type="character" w:customStyle="1" w:styleId="TeksttreciPalatinoLinotypeKursywa">
    <w:name w:val="Tekst treści + Palatino Linotype;Kursywa"/>
    <w:rsid w:val="008831F9"/>
    <w:rPr>
      <w:rFonts w:ascii="Palatino Linotype" w:eastAsia="Palatino Linotype" w:hAnsi="Palatino Linotype" w:cs="Palatino Linotype"/>
      <w:b w:val="0"/>
      <w:bCs w:val="0"/>
      <w:i/>
      <w:iCs/>
      <w:smallCaps w:val="0"/>
      <w:strike w:val="0"/>
      <w:color w:val="000000"/>
      <w:spacing w:val="0"/>
      <w:w w:val="100"/>
      <w:position w:val="0"/>
      <w:sz w:val="21"/>
      <w:szCs w:val="21"/>
      <w:u w:val="none"/>
      <w:lang w:val="pl-PL"/>
    </w:rPr>
  </w:style>
  <w:style w:type="character" w:customStyle="1" w:styleId="Teksttreci2105ptOdstpy0pt">
    <w:name w:val="Tekst treści (2) + 10;5 pt;Odstępy 0 pt"/>
    <w:rsid w:val="008831F9"/>
    <w:rPr>
      <w:rFonts w:ascii="Times New Roman" w:eastAsia="Times New Roman" w:hAnsi="Times New Roman" w:cs="Times New Roman"/>
      <w:b w:val="0"/>
      <w:bCs w:val="0"/>
      <w:i w:val="0"/>
      <w:iCs w:val="0"/>
      <w:smallCaps w:val="0"/>
      <w:strike w:val="0"/>
      <w:color w:val="000000"/>
      <w:spacing w:val="0"/>
      <w:w w:val="100"/>
      <w:position w:val="0"/>
      <w:sz w:val="21"/>
      <w:szCs w:val="21"/>
      <w:u w:val="none"/>
      <w:lang w:val="pl-PL"/>
    </w:rPr>
  </w:style>
  <w:style w:type="character" w:customStyle="1" w:styleId="Teksttreci311pt">
    <w:name w:val="Tekst treści (3) + 11 pt"/>
    <w:rsid w:val="008831F9"/>
    <w:rPr>
      <w:rFonts w:ascii="Times New Roman" w:eastAsia="Times New Roman" w:hAnsi="Times New Roman" w:cs="Times New Roman"/>
      <w:b w:val="0"/>
      <w:bCs w:val="0"/>
      <w:i w:val="0"/>
      <w:iCs w:val="0"/>
      <w:smallCaps w:val="0"/>
      <w:strike w:val="0"/>
      <w:color w:val="000000"/>
      <w:spacing w:val="0"/>
      <w:w w:val="100"/>
      <w:position w:val="0"/>
      <w:sz w:val="22"/>
      <w:szCs w:val="22"/>
      <w:u w:val="none"/>
      <w:lang w:val="pl-PL"/>
    </w:rPr>
  </w:style>
  <w:style w:type="character" w:customStyle="1" w:styleId="Teksttreci10pt">
    <w:name w:val="Tekst treści + 10 pt"/>
    <w:rsid w:val="008831F9"/>
    <w:rPr>
      <w:rFonts w:ascii="Times New Roman" w:eastAsia="Times New Roman" w:hAnsi="Times New Roman" w:cs="Times New Roman"/>
      <w:b w:val="0"/>
      <w:bCs w:val="0"/>
      <w:i w:val="0"/>
      <w:iCs w:val="0"/>
      <w:smallCaps w:val="0"/>
      <w:strike w:val="0"/>
      <w:color w:val="000000"/>
      <w:spacing w:val="0"/>
      <w:w w:val="100"/>
      <w:position w:val="0"/>
      <w:sz w:val="20"/>
      <w:szCs w:val="20"/>
      <w:u w:val="none"/>
      <w:lang w:val="pl-PL"/>
    </w:rPr>
  </w:style>
  <w:style w:type="character" w:customStyle="1" w:styleId="Teksttreci12ptKursywa">
    <w:name w:val="Tekst treści + 12 pt;Kursywa"/>
    <w:rsid w:val="008831F9"/>
    <w:rPr>
      <w:rFonts w:ascii="Times New Roman" w:eastAsia="Times New Roman" w:hAnsi="Times New Roman" w:cs="Times New Roman"/>
      <w:b w:val="0"/>
      <w:bCs w:val="0"/>
      <w:i/>
      <w:iCs/>
      <w:smallCaps w:val="0"/>
      <w:strike w:val="0"/>
      <w:color w:val="000000"/>
      <w:spacing w:val="0"/>
      <w:w w:val="100"/>
      <w:position w:val="0"/>
      <w:sz w:val="24"/>
      <w:szCs w:val="24"/>
      <w:u w:val="none"/>
      <w:lang w:val="pl-PL"/>
    </w:rPr>
  </w:style>
  <w:style w:type="character" w:customStyle="1" w:styleId="Teksttreci4">
    <w:name w:val="Tekst treści (4)_"/>
    <w:rsid w:val="008831F9"/>
    <w:rPr>
      <w:rFonts w:ascii="Times New Roman" w:eastAsia="Times New Roman" w:hAnsi="Times New Roman" w:cs="Times New Roman"/>
      <w:b w:val="0"/>
      <w:bCs w:val="0"/>
      <w:i w:val="0"/>
      <w:iCs w:val="0"/>
      <w:smallCaps w:val="0"/>
      <w:strike w:val="0"/>
      <w:sz w:val="21"/>
      <w:szCs w:val="21"/>
      <w:u w:val="none"/>
    </w:rPr>
  </w:style>
  <w:style w:type="character" w:customStyle="1" w:styleId="Teksttreci40">
    <w:name w:val="Tekst treści (4)"/>
    <w:rsid w:val="008831F9"/>
    <w:rPr>
      <w:rFonts w:ascii="Times New Roman" w:eastAsia="Times New Roman" w:hAnsi="Times New Roman" w:cs="Times New Roman"/>
      <w:b w:val="0"/>
      <w:bCs w:val="0"/>
      <w:i w:val="0"/>
      <w:iCs w:val="0"/>
      <w:smallCaps w:val="0"/>
      <w:strike w:val="0"/>
      <w:color w:val="000000"/>
      <w:spacing w:val="0"/>
      <w:w w:val="100"/>
      <w:position w:val="0"/>
      <w:sz w:val="21"/>
      <w:szCs w:val="21"/>
      <w:u w:val="none"/>
      <w:lang w:val="pl-PL"/>
    </w:rPr>
  </w:style>
  <w:style w:type="character" w:customStyle="1" w:styleId="Nagwek1105ptKursywa">
    <w:name w:val="Nagłówek #1 + 10;5 pt;Kursywa"/>
    <w:rsid w:val="008831F9"/>
    <w:rPr>
      <w:rFonts w:ascii="Times New Roman" w:eastAsia="Times New Roman" w:hAnsi="Times New Roman" w:cs="Times New Roman"/>
      <w:b w:val="0"/>
      <w:bCs w:val="0"/>
      <w:i/>
      <w:iCs/>
      <w:smallCaps w:val="0"/>
      <w:strike w:val="0"/>
      <w:color w:val="000000"/>
      <w:spacing w:val="0"/>
      <w:w w:val="100"/>
      <w:position w:val="0"/>
      <w:sz w:val="21"/>
      <w:szCs w:val="21"/>
      <w:u w:val="none"/>
      <w:shd w:val="clear" w:color="auto" w:fill="FFFFFF"/>
    </w:rPr>
  </w:style>
  <w:style w:type="character" w:customStyle="1" w:styleId="Nagwek1MSReferenceSansSerifKursywa">
    <w:name w:val="Nagłówek #1 + MS Reference Sans Serif;Kursywa"/>
    <w:rsid w:val="008831F9"/>
    <w:rPr>
      <w:rFonts w:ascii="MS Reference Sans Serif" w:eastAsia="MS Reference Sans Serif" w:hAnsi="MS Reference Sans Serif" w:cs="MS Reference Sans Serif"/>
      <w:b w:val="0"/>
      <w:bCs w:val="0"/>
      <w:i/>
      <w:iCs/>
      <w:smallCaps w:val="0"/>
      <w:strike w:val="0"/>
      <w:color w:val="000000"/>
      <w:spacing w:val="0"/>
      <w:w w:val="100"/>
      <w:position w:val="0"/>
      <w:sz w:val="23"/>
      <w:szCs w:val="23"/>
      <w:u w:val="none"/>
      <w:shd w:val="clear" w:color="auto" w:fill="FFFFFF"/>
    </w:rPr>
  </w:style>
  <w:style w:type="character" w:customStyle="1" w:styleId="Teksttreci2BezpogrubieniaOdstpy0pt">
    <w:name w:val="Tekst treści (2) + Bez pogrubienia;Odstępy 0 pt"/>
    <w:rsid w:val="008831F9"/>
    <w:rPr>
      <w:rFonts w:ascii="Times New Roman" w:eastAsia="Times New Roman" w:hAnsi="Times New Roman" w:cs="Times New Roman"/>
      <w:b/>
      <w:bCs/>
      <w:i w:val="0"/>
      <w:iCs w:val="0"/>
      <w:smallCaps w:val="0"/>
      <w:strike w:val="0"/>
      <w:color w:val="000000"/>
      <w:spacing w:val="0"/>
      <w:w w:val="100"/>
      <w:position w:val="0"/>
      <w:sz w:val="20"/>
      <w:szCs w:val="20"/>
      <w:u w:val="none"/>
      <w:lang w:val="pl-PL"/>
    </w:rPr>
  </w:style>
  <w:style w:type="character" w:customStyle="1" w:styleId="Teksttreci3TrebuchetMS9ptKursywa">
    <w:name w:val="Tekst treści (3) + Trebuchet MS;9 pt;Kursywa"/>
    <w:rsid w:val="008831F9"/>
    <w:rPr>
      <w:rFonts w:ascii="Trebuchet MS" w:eastAsia="Trebuchet MS" w:hAnsi="Trebuchet MS" w:cs="Trebuchet MS"/>
      <w:b w:val="0"/>
      <w:bCs w:val="0"/>
      <w:i/>
      <w:iCs/>
      <w:smallCaps w:val="0"/>
      <w:strike w:val="0"/>
      <w:color w:val="000000"/>
      <w:spacing w:val="0"/>
      <w:w w:val="100"/>
      <w:position w:val="0"/>
      <w:sz w:val="18"/>
      <w:szCs w:val="18"/>
      <w:u w:val="none"/>
    </w:rPr>
  </w:style>
  <w:style w:type="character" w:customStyle="1" w:styleId="Teksttreci105ptKursywa">
    <w:name w:val="Tekst treści + 10;5 pt;Kursywa"/>
    <w:rsid w:val="008831F9"/>
    <w:rPr>
      <w:rFonts w:ascii="Times New Roman" w:eastAsia="Times New Roman" w:hAnsi="Times New Roman" w:cs="Times New Roman"/>
      <w:b w:val="0"/>
      <w:bCs w:val="0"/>
      <w:i/>
      <w:iCs/>
      <w:smallCaps w:val="0"/>
      <w:strike w:val="0"/>
      <w:color w:val="000000"/>
      <w:spacing w:val="0"/>
      <w:w w:val="100"/>
      <w:position w:val="0"/>
      <w:sz w:val="21"/>
      <w:szCs w:val="21"/>
      <w:u w:val="none"/>
      <w:lang w:val="pl-PL"/>
    </w:rPr>
  </w:style>
  <w:style w:type="character" w:customStyle="1" w:styleId="Teksttreci11ptSkala80">
    <w:name w:val="Tekst treści + 11 pt;Skala 80%"/>
    <w:rsid w:val="008831F9"/>
    <w:rPr>
      <w:rFonts w:ascii="Times New Roman" w:eastAsia="Times New Roman" w:hAnsi="Times New Roman" w:cs="Times New Roman"/>
      <w:b w:val="0"/>
      <w:bCs w:val="0"/>
      <w:i w:val="0"/>
      <w:iCs w:val="0"/>
      <w:smallCaps w:val="0"/>
      <w:strike w:val="0"/>
      <w:color w:val="000000"/>
      <w:spacing w:val="0"/>
      <w:w w:val="80"/>
      <w:position w:val="0"/>
      <w:sz w:val="22"/>
      <w:szCs w:val="22"/>
      <w:u w:val="none"/>
      <w:lang w:val="pl-PL"/>
    </w:rPr>
  </w:style>
  <w:style w:type="character" w:customStyle="1" w:styleId="Teksttreci95pt">
    <w:name w:val="Tekst treści + 9;5 pt"/>
    <w:rsid w:val="008831F9"/>
    <w:rPr>
      <w:rFonts w:ascii="Times New Roman" w:eastAsia="Times New Roman" w:hAnsi="Times New Roman" w:cs="Times New Roman"/>
      <w:b w:val="0"/>
      <w:bCs w:val="0"/>
      <w:i w:val="0"/>
      <w:iCs w:val="0"/>
      <w:smallCaps w:val="0"/>
      <w:strike w:val="0"/>
      <w:color w:val="000000"/>
      <w:spacing w:val="0"/>
      <w:w w:val="100"/>
      <w:position w:val="0"/>
      <w:sz w:val="19"/>
      <w:szCs w:val="19"/>
      <w:u w:val="none"/>
      <w:lang w:val="pl-PL"/>
    </w:rPr>
  </w:style>
  <w:style w:type="character" w:customStyle="1" w:styleId="TeksttreciTrebuchetMS9ptKursywa">
    <w:name w:val="Tekst treści + Trebuchet MS;9 pt;Kursywa"/>
    <w:rsid w:val="008831F9"/>
    <w:rPr>
      <w:rFonts w:ascii="Trebuchet MS" w:eastAsia="Trebuchet MS" w:hAnsi="Trebuchet MS" w:cs="Trebuchet MS"/>
      <w:b w:val="0"/>
      <w:bCs w:val="0"/>
      <w:i/>
      <w:iCs/>
      <w:smallCaps w:val="0"/>
      <w:strike w:val="0"/>
      <w:color w:val="000000"/>
      <w:spacing w:val="0"/>
      <w:w w:val="100"/>
      <w:position w:val="0"/>
      <w:sz w:val="18"/>
      <w:szCs w:val="18"/>
      <w:u w:val="none"/>
    </w:rPr>
  </w:style>
  <w:style w:type="character" w:customStyle="1" w:styleId="PogrubienieTeksttreciTrebuchetMS105ptOdstpy0pt">
    <w:name w:val="Pogrubienie;Tekst treści + Trebuchet MS;10;5 pt;Odstępy 0 pt"/>
    <w:rsid w:val="008831F9"/>
    <w:rPr>
      <w:rFonts w:ascii="Trebuchet MS" w:eastAsia="Trebuchet MS" w:hAnsi="Trebuchet MS" w:cs="Trebuchet MS"/>
      <w:b/>
      <w:bCs/>
      <w:i w:val="0"/>
      <w:iCs w:val="0"/>
      <w:smallCaps w:val="0"/>
      <w:strike w:val="0"/>
      <w:color w:val="000000"/>
      <w:spacing w:val="-10"/>
      <w:w w:val="100"/>
      <w:position w:val="0"/>
      <w:sz w:val="21"/>
      <w:szCs w:val="21"/>
      <w:u w:val="none"/>
      <w:lang w:val="pl-PL"/>
    </w:rPr>
  </w:style>
  <w:style w:type="character" w:customStyle="1" w:styleId="TeksttreciGeorgia9ptBezpogrubieniaOdstpy-1pt">
    <w:name w:val="Tekst treści + Georgia;9 pt;Bez pogrubienia;Odstępy -1 pt"/>
    <w:rsid w:val="008831F9"/>
    <w:rPr>
      <w:rFonts w:ascii="Georgia" w:eastAsia="Georgia" w:hAnsi="Georgia" w:cs="Georgia"/>
      <w:b/>
      <w:bCs/>
      <w:i w:val="0"/>
      <w:iCs w:val="0"/>
      <w:smallCaps w:val="0"/>
      <w:strike w:val="0"/>
      <w:color w:val="000000"/>
      <w:spacing w:val="-20"/>
      <w:w w:val="100"/>
      <w:position w:val="0"/>
      <w:sz w:val="18"/>
      <w:szCs w:val="18"/>
      <w:u w:val="none"/>
      <w:lang w:val="pl-PL"/>
    </w:rPr>
  </w:style>
  <w:style w:type="character" w:customStyle="1" w:styleId="TeksttreciAngsanaUPC15ptBezpogrubieniaKursywaOdstpy0pt">
    <w:name w:val="Tekst treści + AngsanaUPC;15 pt;Bez pogrubienia;Kursywa;Odstępy 0 pt"/>
    <w:rsid w:val="008831F9"/>
    <w:rPr>
      <w:rFonts w:ascii="AngsanaUPC" w:eastAsia="AngsanaUPC" w:hAnsi="AngsanaUPC" w:cs="AngsanaUPC"/>
      <w:b/>
      <w:bCs/>
      <w:i/>
      <w:iCs/>
      <w:smallCaps w:val="0"/>
      <w:strike w:val="0"/>
      <w:color w:val="000000"/>
      <w:spacing w:val="0"/>
      <w:w w:val="100"/>
      <w:position w:val="0"/>
      <w:sz w:val="30"/>
      <w:szCs w:val="30"/>
      <w:u w:val="none"/>
      <w:lang w:val="pl-PL"/>
    </w:rPr>
  </w:style>
  <w:style w:type="character" w:customStyle="1" w:styleId="TeksttreciBookmanOldStyle75ptBezpogrubieniaKursywaOdstpy0pt">
    <w:name w:val="Tekst treści + Bookman Old Style;7;5 pt;Bez pogrubienia;Kursywa;Odstępy 0 pt"/>
    <w:rsid w:val="008831F9"/>
    <w:rPr>
      <w:rFonts w:ascii="Bookman Old Style" w:eastAsia="Bookman Old Style" w:hAnsi="Bookman Old Style" w:cs="Bookman Old Style"/>
      <w:b/>
      <w:bCs/>
      <w:i/>
      <w:iCs/>
      <w:smallCaps w:val="0"/>
      <w:strike w:val="0"/>
      <w:color w:val="000000"/>
      <w:spacing w:val="0"/>
      <w:w w:val="100"/>
      <w:position w:val="0"/>
      <w:sz w:val="15"/>
      <w:szCs w:val="15"/>
      <w:u w:val="none"/>
    </w:rPr>
  </w:style>
  <w:style w:type="character" w:customStyle="1" w:styleId="TeksttreciAngsanaUPC75ptKursywaOdstpy0pt">
    <w:name w:val="Tekst treści + AngsanaUPC;7;5 pt;Kursywa;Odstępy 0 pt"/>
    <w:rsid w:val="008831F9"/>
    <w:rPr>
      <w:rFonts w:ascii="AngsanaUPC" w:eastAsia="AngsanaUPC" w:hAnsi="AngsanaUPC" w:cs="AngsanaUPC"/>
      <w:b/>
      <w:bCs/>
      <w:i/>
      <w:iCs/>
      <w:smallCaps w:val="0"/>
      <w:strike w:val="0"/>
      <w:color w:val="000000"/>
      <w:spacing w:val="0"/>
      <w:w w:val="100"/>
      <w:position w:val="0"/>
      <w:sz w:val="15"/>
      <w:szCs w:val="15"/>
      <w:u w:val="none"/>
    </w:rPr>
  </w:style>
  <w:style w:type="character" w:customStyle="1" w:styleId="TeksttreciAngsanaUPC75ptBezpogrubieniaOdstpy0pt">
    <w:name w:val="Tekst treści + AngsanaUPC;7;5 pt;Bez pogrubienia;Odstępy 0 pt"/>
    <w:rsid w:val="008831F9"/>
    <w:rPr>
      <w:rFonts w:ascii="AngsanaUPC" w:eastAsia="AngsanaUPC" w:hAnsi="AngsanaUPC" w:cs="AngsanaUPC"/>
      <w:b/>
      <w:bCs/>
      <w:i w:val="0"/>
      <w:iCs w:val="0"/>
      <w:smallCaps w:val="0"/>
      <w:strike w:val="0"/>
      <w:color w:val="000000"/>
      <w:spacing w:val="0"/>
      <w:w w:val="100"/>
      <w:position w:val="0"/>
      <w:sz w:val="15"/>
      <w:szCs w:val="15"/>
      <w:u w:val="none"/>
    </w:rPr>
  </w:style>
  <w:style w:type="character" w:customStyle="1" w:styleId="TeksttreciAngsanaUPC15ptBezpogrubieniaOdstpy0pt">
    <w:name w:val="Tekst treści + AngsanaUPC;15 pt;Bez pogrubienia;Odstępy 0 pt"/>
    <w:rsid w:val="008831F9"/>
    <w:rPr>
      <w:rFonts w:ascii="AngsanaUPC" w:eastAsia="AngsanaUPC" w:hAnsi="AngsanaUPC" w:cs="AngsanaUPC"/>
      <w:b/>
      <w:bCs/>
      <w:i w:val="0"/>
      <w:iCs w:val="0"/>
      <w:smallCaps w:val="0"/>
      <w:strike w:val="0"/>
      <w:color w:val="000000"/>
      <w:spacing w:val="0"/>
      <w:w w:val="100"/>
      <w:position w:val="0"/>
      <w:sz w:val="30"/>
      <w:szCs w:val="30"/>
      <w:u w:val="none"/>
      <w:lang w:val="pl-PL"/>
    </w:rPr>
  </w:style>
  <w:style w:type="character" w:customStyle="1" w:styleId="Teksttreci10ptBezpogrubienia">
    <w:name w:val="Tekst treści + 10 pt;Bez pogrubienia"/>
    <w:rsid w:val="008831F9"/>
    <w:rPr>
      <w:rFonts w:ascii="Times New Roman" w:eastAsia="Times New Roman" w:hAnsi="Times New Roman" w:cs="Times New Roman"/>
      <w:b/>
      <w:bCs/>
      <w:i w:val="0"/>
      <w:iCs w:val="0"/>
      <w:smallCaps w:val="0"/>
      <w:strike w:val="0"/>
      <w:color w:val="000000"/>
      <w:spacing w:val="-10"/>
      <w:w w:val="100"/>
      <w:position w:val="0"/>
      <w:sz w:val="20"/>
      <w:szCs w:val="20"/>
      <w:u w:val="none"/>
      <w:lang w:val="pl-PL"/>
    </w:rPr>
  </w:style>
  <w:style w:type="character" w:customStyle="1" w:styleId="TeksttreciPogrubienieOdstpy0pt">
    <w:name w:val="Tekst treści + Pogrubienie;Odstępy 0 pt"/>
    <w:rsid w:val="008831F9"/>
    <w:rPr>
      <w:rFonts w:ascii="Times New Roman" w:eastAsia="Times New Roman" w:hAnsi="Times New Roman" w:cs="Times New Roman"/>
      <w:b/>
      <w:bCs/>
      <w:i w:val="0"/>
      <w:iCs w:val="0"/>
      <w:smallCaps w:val="0"/>
      <w:strike w:val="0"/>
      <w:color w:val="000000"/>
      <w:spacing w:val="-10"/>
      <w:w w:val="100"/>
      <w:position w:val="0"/>
      <w:sz w:val="20"/>
      <w:szCs w:val="20"/>
      <w:u w:val="none"/>
      <w:lang w:val="pl-PL"/>
    </w:rPr>
  </w:style>
  <w:style w:type="character" w:customStyle="1" w:styleId="TeksttreciKursywaOdstpy0pt">
    <w:name w:val="Tekst treści + Kursywa;Odstępy 0 pt"/>
    <w:rsid w:val="008831F9"/>
    <w:rPr>
      <w:rFonts w:ascii="Times New Roman" w:eastAsia="Times New Roman" w:hAnsi="Times New Roman" w:cs="Times New Roman"/>
      <w:b w:val="0"/>
      <w:bCs w:val="0"/>
      <w:i/>
      <w:iCs/>
      <w:smallCaps w:val="0"/>
      <w:strike w:val="0"/>
      <w:color w:val="000000"/>
      <w:spacing w:val="-10"/>
      <w:w w:val="100"/>
      <w:position w:val="0"/>
      <w:sz w:val="20"/>
      <w:szCs w:val="20"/>
      <w:u w:val="none"/>
      <w:lang w:val="pl-PL"/>
    </w:rPr>
  </w:style>
  <w:style w:type="character" w:customStyle="1" w:styleId="TeksttreciCordiaNew145ptKursywa">
    <w:name w:val="Tekst treści + Cordia New;14;5 pt;Kursywa"/>
    <w:rsid w:val="008831F9"/>
    <w:rPr>
      <w:rFonts w:ascii="Cordia New" w:eastAsia="Cordia New" w:hAnsi="Cordia New" w:cs="Cordia New"/>
      <w:b w:val="0"/>
      <w:bCs w:val="0"/>
      <w:i/>
      <w:iCs/>
      <w:smallCaps w:val="0"/>
      <w:strike w:val="0"/>
      <w:color w:val="000000"/>
      <w:spacing w:val="0"/>
      <w:w w:val="100"/>
      <w:position w:val="0"/>
      <w:sz w:val="29"/>
      <w:szCs w:val="29"/>
      <w:u w:val="none"/>
    </w:rPr>
  </w:style>
  <w:style w:type="character" w:customStyle="1" w:styleId="Teksttreci4125ptKursywa">
    <w:name w:val="Tekst treści (4) + 12;5 pt;Kursywa"/>
    <w:rsid w:val="008831F9"/>
    <w:rPr>
      <w:rFonts w:ascii="Times New Roman" w:eastAsia="Times New Roman" w:hAnsi="Times New Roman" w:cs="Times New Roman"/>
      <w:b w:val="0"/>
      <w:bCs w:val="0"/>
      <w:i/>
      <w:iCs/>
      <w:smallCaps w:val="0"/>
      <w:strike w:val="0"/>
      <w:color w:val="000000"/>
      <w:spacing w:val="0"/>
      <w:w w:val="100"/>
      <w:position w:val="0"/>
      <w:sz w:val="25"/>
      <w:szCs w:val="25"/>
      <w:u w:val="none"/>
      <w:lang w:val="pl-PL"/>
    </w:rPr>
  </w:style>
  <w:style w:type="character" w:customStyle="1" w:styleId="TeksttreciMaelitery">
    <w:name w:val="Tekst treści + Małe litery"/>
    <w:rsid w:val="008831F9"/>
    <w:rPr>
      <w:rFonts w:ascii="Times New Roman" w:eastAsia="Times New Roman" w:hAnsi="Times New Roman" w:cs="Times New Roman"/>
      <w:b w:val="0"/>
      <w:bCs w:val="0"/>
      <w:i w:val="0"/>
      <w:iCs w:val="0"/>
      <w:smallCaps/>
      <w:strike w:val="0"/>
      <w:color w:val="000000"/>
      <w:spacing w:val="-10"/>
      <w:w w:val="100"/>
      <w:position w:val="0"/>
      <w:sz w:val="21"/>
      <w:szCs w:val="21"/>
      <w:u w:val="none"/>
      <w:lang w:val="pl-PL"/>
    </w:rPr>
  </w:style>
  <w:style w:type="character" w:customStyle="1" w:styleId="TeksttreciKursywaOdstpy-1pt">
    <w:name w:val="Tekst treści + Kursywa;Odstępy -1 pt"/>
    <w:rsid w:val="008831F9"/>
    <w:rPr>
      <w:rFonts w:ascii="Times New Roman" w:eastAsia="Times New Roman" w:hAnsi="Times New Roman" w:cs="Times New Roman"/>
      <w:b w:val="0"/>
      <w:bCs w:val="0"/>
      <w:i/>
      <w:iCs/>
      <w:smallCaps w:val="0"/>
      <w:strike w:val="0"/>
      <w:color w:val="000000"/>
      <w:spacing w:val="-20"/>
      <w:w w:val="100"/>
      <w:position w:val="0"/>
      <w:sz w:val="21"/>
      <w:szCs w:val="21"/>
      <w:u w:val="none"/>
      <w:lang w:val="pl-PL"/>
    </w:rPr>
  </w:style>
  <w:style w:type="character" w:customStyle="1" w:styleId="Nagwek121">
    <w:name w:val="Nagłówek #1 (2)_"/>
    <w:link w:val="Nagwek122"/>
    <w:rsid w:val="008831F9"/>
    <w:rPr>
      <w:rFonts w:ascii="Times New Roman" w:eastAsia="Times New Roman" w:hAnsi="Times New Roman"/>
      <w:spacing w:val="-10"/>
      <w:sz w:val="21"/>
      <w:szCs w:val="21"/>
      <w:shd w:val="clear" w:color="auto" w:fill="FFFFFF"/>
    </w:rPr>
  </w:style>
  <w:style w:type="character" w:customStyle="1" w:styleId="Teksttreci5Odstpy0pt">
    <w:name w:val="Tekst treści (5) + Odstępy 0 pt"/>
    <w:rsid w:val="008831F9"/>
    <w:rPr>
      <w:rFonts w:ascii="Times New Roman" w:eastAsia="Times New Roman" w:hAnsi="Times New Roman" w:cs="Times New Roman"/>
      <w:b w:val="0"/>
      <w:bCs w:val="0"/>
      <w:i w:val="0"/>
      <w:iCs w:val="0"/>
      <w:smallCaps w:val="0"/>
      <w:strike w:val="0"/>
      <w:color w:val="000000"/>
      <w:spacing w:val="-10"/>
      <w:w w:val="100"/>
      <w:position w:val="0"/>
      <w:sz w:val="21"/>
      <w:szCs w:val="21"/>
      <w:u w:val="none"/>
      <w:shd w:val="clear" w:color="auto" w:fill="FFFFFF"/>
      <w:lang w:val="pl-PL"/>
    </w:rPr>
  </w:style>
  <w:style w:type="paragraph" w:customStyle="1" w:styleId="Nagwek122">
    <w:name w:val="Nagłówek #1 (2)"/>
    <w:basedOn w:val="Normalny"/>
    <w:link w:val="Nagwek121"/>
    <w:rsid w:val="008831F9"/>
    <w:pPr>
      <w:widowControl w:val="0"/>
      <w:shd w:val="clear" w:color="auto" w:fill="FFFFFF"/>
      <w:overflowPunct/>
      <w:autoSpaceDE/>
      <w:autoSpaceDN/>
      <w:adjustRightInd/>
      <w:spacing w:line="248" w:lineRule="exact"/>
      <w:jc w:val="left"/>
      <w:textAlignment w:val="auto"/>
      <w:outlineLvl w:val="0"/>
    </w:pPr>
    <w:rPr>
      <w:spacing w:val="-10"/>
      <w:sz w:val="21"/>
      <w:szCs w:val="21"/>
    </w:rPr>
  </w:style>
  <w:style w:type="character" w:customStyle="1" w:styleId="Teksttreci11ptKursywa">
    <w:name w:val="Tekst treści + 11 pt;Kursywa"/>
    <w:rsid w:val="008831F9"/>
    <w:rPr>
      <w:rFonts w:ascii="Times New Roman" w:eastAsia="Times New Roman" w:hAnsi="Times New Roman" w:cs="Times New Roman"/>
      <w:b w:val="0"/>
      <w:bCs w:val="0"/>
      <w:i/>
      <w:iCs/>
      <w:smallCaps w:val="0"/>
      <w:strike w:val="0"/>
      <w:color w:val="000000"/>
      <w:spacing w:val="0"/>
      <w:w w:val="100"/>
      <w:position w:val="0"/>
      <w:sz w:val="22"/>
      <w:szCs w:val="22"/>
      <w:u w:val="none"/>
      <w:lang w:val="pl-PL"/>
    </w:rPr>
  </w:style>
  <w:style w:type="character" w:customStyle="1" w:styleId="Teksttreci2105pt">
    <w:name w:val="Tekst treści (2) + 10;5 pt"/>
    <w:rsid w:val="008831F9"/>
    <w:rPr>
      <w:rFonts w:ascii="Times New Roman" w:eastAsia="Times New Roman" w:hAnsi="Times New Roman" w:cs="Times New Roman"/>
      <w:b w:val="0"/>
      <w:bCs w:val="0"/>
      <w:i w:val="0"/>
      <w:iCs w:val="0"/>
      <w:smallCaps w:val="0"/>
      <w:strike w:val="0"/>
      <w:color w:val="000000"/>
      <w:spacing w:val="0"/>
      <w:w w:val="100"/>
      <w:position w:val="0"/>
      <w:sz w:val="21"/>
      <w:szCs w:val="21"/>
      <w:u w:val="none"/>
      <w:lang w:val="pl-PL"/>
    </w:rPr>
  </w:style>
  <w:style w:type="character" w:customStyle="1" w:styleId="Teksttreci2SegoeUI105ptKursywaOdstpy1pt">
    <w:name w:val="Tekst treści (2) + Segoe UI;10;5 pt;Kursywa;Odstępy 1 pt"/>
    <w:rsid w:val="008831F9"/>
    <w:rPr>
      <w:rFonts w:ascii="Segoe UI" w:eastAsia="Segoe UI" w:hAnsi="Segoe UI" w:cs="Segoe UI"/>
      <w:b w:val="0"/>
      <w:bCs w:val="0"/>
      <w:i/>
      <w:iCs/>
      <w:smallCaps w:val="0"/>
      <w:strike w:val="0"/>
      <w:color w:val="000000"/>
      <w:spacing w:val="30"/>
      <w:w w:val="100"/>
      <w:position w:val="0"/>
      <w:sz w:val="21"/>
      <w:szCs w:val="21"/>
      <w:u w:val="none"/>
      <w:lang w:val="pl-PL"/>
    </w:rPr>
  </w:style>
  <w:style w:type="character" w:customStyle="1" w:styleId="Teksttreci3TrebuchetMS95ptKursywa">
    <w:name w:val="Tekst treści (3) + Trebuchet MS;9;5 pt;Kursywa"/>
    <w:rsid w:val="008831F9"/>
    <w:rPr>
      <w:rFonts w:ascii="Trebuchet MS" w:eastAsia="Trebuchet MS" w:hAnsi="Trebuchet MS" w:cs="Trebuchet MS"/>
      <w:b w:val="0"/>
      <w:bCs w:val="0"/>
      <w:i/>
      <w:iCs/>
      <w:smallCaps w:val="0"/>
      <w:strike w:val="0"/>
      <w:color w:val="000000"/>
      <w:spacing w:val="0"/>
      <w:w w:val="100"/>
      <w:position w:val="0"/>
      <w:sz w:val="19"/>
      <w:szCs w:val="19"/>
      <w:u w:val="none"/>
      <w:lang w:val="pl-PL"/>
    </w:rPr>
  </w:style>
  <w:style w:type="character" w:customStyle="1" w:styleId="TeksttreciOdstpy1pt">
    <w:name w:val="Tekst treści + Odstępy 1 pt"/>
    <w:rsid w:val="008831F9"/>
    <w:rPr>
      <w:rFonts w:ascii="Times New Roman" w:eastAsia="Times New Roman" w:hAnsi="Times New Roman" w:cs="Times New Roman"/>
      <w:b w:val="0"/>
      <w:bCs w:val="0"/>
      <w:i w:val="0"/>
      <w:iCs w:val="0"/>
      <w:smallCaps w:val="0"/>
      <w:strike w:val="0"/>
      <w:color w:val="000000"/>
      <w:spacing w:val="20"/>
      <w:w w:val="100"/>
      <w:position w:val="0"/>
      <w:sz w:val="21"/>
      <w:szCs w:val="21"/>
      <w:u w:val="none"/>
      <w:lang w:val="pl-PL"/>
    </w:rPr>
  </w:style>
  <w:style w:type="character" w:customStyle="1" w:styleId="Teksttreci4Kursywa">
    <w:name w:val="Tekst treści (4) + Kursywa"/>
    <w:rsid w:val="008831F9"/>
    <w:rPr>
      <w:rFonts w:ascii="Times New Roman" w:eastAsia="Times New Roman" w:hAnsi="Times New Roman" w:cs="Times New Roman"/>
      <w:b w:val="0"/>
      <w:bCs w:val="0"/>
      <w:i/>
      <w:iCs/>
      <w:smallCaps w:val="0"/>
      <w:strike w:val="0"/>
      <w:color w:val="000000"/>
      <w:spacing w:val="0"/>
      <w:w w:val="100"/>
      <w:position w:val="0"/>
      <w:sz w:val="21"/>
      <w:szCs w:val="21"/>
      <w:u w:val="none"/>
    </w:rPr>
  </w:style>
  <w:style w:type="character" w:customStyle="1" w:styleId="Teksttreci105pt">
    <w:name w:val="Tekst treści + 10;5 pt"/>
    <w:rsid w:val="008831F9"/>
    <w:rPr>
      <w:rFonts w:ascii="Times New Roman" w:eastAsia="Times New Roman" w:hAnsi="Times New Roman" w:cs="Times New Roman"/>
      <w:b w:val="0"/>
      <w:bCs w:val="0"/>
      <w:i w:val="0"/>
      <w:iCs w:val="0"/>
      <w:smallCaps w:val="0"/>
      <w:strike w:val="0"/>
      <w:color w:val="000000"/>
      <w:spacing w:val="0"/>
      <w:w w:val="100"/>
      <w:position w:val="0"/>
      <w:sz w:val="21"/>
      <w:szCs w:val="21"/>
      <w:u w:val="none"/>
      <w:lang w:val="pl-PL"/>
    </w:rPr>
  </w:style>
  <w:style w:type="character" w:customStyle="1" w:styleId="Teksttreci115ptOdstpy0pt">
    <w:name w:val="Tekst treści + 11;5 pt;Odstępy 0 pt"/>
    <w:rsid w:val="008831F9"/>
    <w:rPr>
      <w:rFonts w:ascii="Times New Roman" w:eastAsia="Times New Roman" w:hAnsi="Times New Roman" w:cs="Times New Roman"/>
      <w:b w:val="0"/>
      <w:bCs w:val="0"/>
      <w:i w:val="0"/>
      <w:iCs w:val="0"/>
      <w:smallCaps w:val="0"/>
      <w:strike w:val="0"/>
      <w:color w:val="000000"/>
      <w:spacing w:val="-10"/>
      <w:w w:val="100"/>
      <w:position w:val="0"/>
      <w:sz w:val="23"/>
      <w:szCs w:val="23"/>
      <w:u w:val="none"/>
      <w:lang w:val="pl-PL"/>
    </w:rPr>
  </w:style>
  <w:style w:type="character" w:customStyle="1" w:styleId="TeksttreciTahoma105ptKursywa">
    <w:name w:val="Tekst treści + Tahoma;10;5 pt;Kursywa"/>
    <w:rsid w:val="008831F9"/>
    <w:rPr>
      <w:rFonts w:ascii="Tahoma" w:eastAsia="Tahoma" w:hAnsi="Tahoma" w:cs="Tahoma"/>
      <w:b w:val="0"/>
      <w:bCs w:val="0"/>
      <w:i/>
      <w:iCs/>
      <w:smallCaps w:val="0"/>
      <w:strike w:val="0"/>
      <w:color w:val="000000"/>
      <w:spacing w:val="0"/>
      <w:w w:val="100"/>
      <w:position w:val="0"/>
      <w:sz w:val="21"/>
      <w:szCs w:val="21"/>
      <w:u w:val="none"/>
    </w:rPr>
  </w:style>
  <w:style w:type="character" w:customStyle="1" w:styleId="Teksttreci115ptKursywa">
    <w:name w:val="Tekst treści + 11;5 pt;Kursywa"/>
    <w:rsid w:val="008831F9"/>
    <w:rPr>
      <w:rFonts w:ascii="Times New Roman" w:eastAsia="Times New Roman" w:hAnsi="Times New Roman" w:cs="Times New Roman"/>
      <w:b w:val="0"/>
      <w:bCs w:val="0"/>
      <w:i/>
      <w:iCs/>
      <w:smallCaps w:val="0"/>
      <w:strike w:val="0"/>
      <w:color w:val="000000"/>
      <w:spacing w:val="0"/>
      <w:w w:val="100"/>
      <w:position w:val="0"/>
      <w:sz w:val="23"/>
      <w:szCs w:val="23"/>
      <w:u w:val="none"/>
    </w:rPr>
  </w:style>
  <w:style w:type="character" w:customStyle="1" w:styleId="Teksttreci105ptOdstpy0pt">
    <w:name w:val="Tekst treści + 10;5 pt;Odstępy 0 pt"/>
    <w:rsid w:val="008831F9"/>
    <w:rPr>
      <w:rFonts w:ascii="Times New Roman" w:eastAsia="Times New Roman" w:hAnsi="Times New Roman" w:cs="Times New Roman"/>
      <w:b w:val="0"/>
      <w:bCs w:val="0"/>
      <w:i w:val="0"/>
      <w:iCs w:val="0"/>
      <w:smallCaps w:val="0"/>
      <w:strike w:val="0"/>
      <w:color w:val="000000"/>
      <w:spacing w:val="-10"/>
      <w:w w:val="100"/>
      <w:position w:val="0"/>
      <w:sz w:val="21"/>
      <w:szCs w:val="21"/>
      <w:u w:val="none"/>
      <w:lang w:val="pl-PL"/>
    </w:rPr>
  </w:style>
  <w:style w:type="character" w:customStyle="1" w:styleId="Teksttreci125pt">
    <w:name w:val="Tekst treści + 12;5 pt"/>
    <w:rsid w:val="008831F9"/>
    <w:rPr>
      <w:rFonts w:ascii="Times New Roman" w:eastAsia="Times New Roman" w:hAnsi="Times New Roman" w:cs="Times New Roman"/>
      <w:b w:val="0"/>
      <w:bCs w:val="0"/>
      <w:i w:val="0"/>
      <w:iCs w:val="0"/>
      <w:smallCaps w:val="0"/>
      <w:strike w:val="0"/>
      <w:color w:val="000000"/>
      <w:spacing w:val="0"/>
      <w:w w:val="100"/>
      <w:position w:val="0"/>
      <w:sz w:val="25"/>
      <w:szCs w:val="25"/>
      <w:u w:val="none"/>
    </w:rPr>
  </w:style>
  <w:style w:type="character" w:customStyle="1" w:styleId="Teksttreci10ptOdstpy0pt">
    <w:name w:val="Tekst treści + 10 pt;Odstępy 0 pt"/>
    <w:rsid w:val="008831F9"/>
    <w:rPr>
      <w:rFonts w:ascii="Times New Roman" w:eastAsia="Times New Roman" w:hAnsi="Times New Roman" w:cs="Times New Roman"/>
      <w:b w:val="0"/>
      <w:bCs w:val="0"/>
      <w:i w:val="0"/>
      <w:iCs w:val="0"/>
      <w:smallCaps w:val="0"/>
      <w:strike w:val="0"/>
      <w:color w:val="000000"/>
      <w:spacing w:val="-10"/>
      <w:w w:val="100"/>
      <w:position w:val="0"/>
      <w:sz w:val="20"/>
      <w:szCs w:val="20"/>
      <w:u w:val="none"/>
      <w:lang w:val="pl-PL"/>
    </w:rPr>
  </w:style>
  <w:style w:type="character" w:customStyle="1" w:styleId="Teksttreci12ptOdstpy-1pt">
    <w:name w:val="Tekst treści + 12 pt;Odstępy -1 pt"/>
    <w:rsid w:val="008831F9"/>
    <w:rPr>
      <w:rFonts w:ascii="Times New Roman" w:eastAsia="Times New Roman" w:hAnsi="Times New Roman" w:cs="Times New Roman"/>
      <w:b w:val="0"/>
      <w:bCs w:val="0"/>
      <w:i w:val="0"/>
      <w:iCs w:val="0"/>
      <w:smallCaps w:val="0"/>
      <w:strike w:val="0"/>
      <w:color w:val="000000"/>
      <w:spacing w:val="-20"/>
      <w:w w:val="100"/>
      <w:position w:val="0"/>
      <w:sz w:val="24"/>
      <w:szCs w:val="24"/>
      <w:u w:val="none"/>
      <w:lang w:val="pl-PL"/>
    </w:rPr>
  </w:style>
  <w:style w:type="character" w:customStyle="1" w:styleId="Teksttreci125ptKursywaOdstpy-1pt">
    <w:name w:val="Tekst treści + 12;5 pt;Kursywa;Odstępy -1 pt"/>
    <w:rsid w:val="008831F9"/>
    <w:rPr>
      <w:rFonts w:ascii="Times New Roman" w:eastAsia="Times New Roman" w:hAnsi="Times New Roman" w:cs="Times New Roman"/>
      <w:b w:val="0"/>
      <w:bCs w:val="0"/>
      <w:i/>
      <w:iCs/>
      <w:smallCaps w:val="0"/>
      <w:strike w:val="0"/>
      <w:color w:val="000000"/>
      <w:spacing w:val="-20"/>
      <w:w w:val="100"/>
      <w:position w:val="0"/>
      <w:sz w:val="25"/>
      <w:szCs w:val="25"/>
      <w:u w:val="none"/>
      <w:lang w:val="pl-PL"/>
    </w:rPr>
  </w:style>
  <w:style w:type="character" w:customStyle="1" w:styleId="TeksttreciOdstpy-1pt">
    <w:name w:val="Tekst treści + Odstępy -1 pt"/>
    <w:rsid w:val="008831F9"/>
    <w:rPr>
      <w:rFonts w:ascii="Times New Roman" w:eastAsia="Times New Roman" w:hAnsi="Times New Roman" w:cs="Times New Roman"/>
      <w:b w:val="0"/>
      <w:bCs w:val="0"/>
      <w:i w:val="0"/>
      <w:iCs w:val="0"/>
      <w:smallCaps w:val="0"/>
      <w:strike w:val="0"/>
      <w:color w:val="000000"/>
      <w:spacing w:val="-30"/>
      <w:w w:val="100"/>
      <w:position w:val="0"/>
      <w:sz w:val="22"/>
      <w:szCs w:val="22"/>
      <w:u w:val="none"/>
      <w:lang w:val="pl-PL"/>
    </w:rPr>
  </w:style>
  <w:style w:type="character" w:customStyle="1" w:styleId="Teksttreci4MSGothicKursywa">
    <w:name w:val="Tekst treści (4) + MS Gothic;Kursywa"/>
    <w:rsid w:val="008831F9"/>
    <w:rPr>
      <w:rFonts w:ascii="MS Gothic" w:eastAsia="MS Gothic" w:hAnsi="MS Gothic" w:cs="MS Gothic"/>
      <w:b w:val="0"/>
      <w:bCs w:val="0"/>
      <w:i/>
      <w:iCs/>
      <w:smallCaps w:val="0"/>
      <w:strike w:val="0"/>
      <w:color w:val="000000"/>
      <w:spacing w:val="0"/>
      <w:w w:val="100"/>
      <w:position w:val="0"/>
      <w:sz w:val="22"/>
      <w:szCs w:val="22"/>
      <w:u w:val="none"/>
    </w:rPr>
  </w:style>
  <w:style w:type="character" w:customStyle="1" w:styleId="TeksttreciCandaraOdstpy-1pt">
    <w:name w:val="Tekst treści + Candara;Odstępy -1 pt"/>
    <w:rsid w:val="008831F9"/>
    <w:rPr>
      <w:rFonts w:ascii="Candara" w:eastAsia="Candara" w:hAnsi="Candara" w:cs="Candara"/>
      <w:b w:val="0"/>
      <w:bCs w:val="0"/>
      <w:i w:val="0"/>
      <w:iCs w:val="0"/>
      <w:smallCaps w:val="0"/>
      <w:strike w:val="0"/>
      <w:color w:val="000000"/>
      <w:spacing w:val="-30"/>
      <w:w w:val="100"/>
      <w:position w:val="0"/>
      <w:sz w:val="21"/>
      <w:szCs w:val="21"/>
      <w:u w:val="none"/>
      <w:lang w:val="pl-PL"/>
    </w:rPr>
  </w:style>
  <w:style w:type="character" w:customStyle="1" w:styleId="Teksttreci2KursywaOdstpy0pt">
    <w:name w:val="Tekst treści (2) + Kursywa;Odstępy 0 pt"/>
    <w:rsid w:val="008831F9"/>
    <w:rPr>
      <w:rFonts w:ascii="Times New Roman" w:eastAsia="Times New Roman" w:hAnsi="Times New Roman" w:cs="Times New Roman"/>
      <w:b w:val="0"/>
      <w:bCs w:val="0"/>
      <w:i/>
      <w:iCs/>
      <w:smallCaps w:val="0"/>
      <w:strike w:val="0"/>
      <w:color w:val="000000"/>
      <w:spacing w:val="0"/>
      <w:w w:val="100"/>
      <w:position w:val="0"/>
      <w:sz w:val="21"/>
      <w:szCs w:val="21"/>
      <w:u w:val="none"/>
    </w:rPr>
  </w:style>
  <w:style w:type="character" w:customStyle="1" w:styleId="PogrubienieTeksttreci275ptKursywaOdstpy0pt">
    <w:name w:val="Pogrubienie;Tekst treści (2) + 7;5 pt;Kursywa;Odstępy 0 pt"/>
    <w:rsid w:val="008831F9"/>
    <w:rPr>
      <w:rFonts w:ascii="Times New Roman" w:eastAsia="Times New Roman" w:hAnsi="Times New Roman" w:cs="Times New Roman"/>
      <w:b/>
      <w:bCs/>
      <w:i/>
      <w:iCs/>
      <w:smallCaps w:val="0"/>
      <w:strike w:val="0"/>
      <w:color w:val="000000"/>
      <w:spacing w:val="0"/>
      <w:w w:val="100"/>
      <w:position w:val="0"/>
      <w:sz w:val="15"/>
      <w:szCs w:val="15"/>
      <w:u w:val="none"/>
    </w:rPr>
  </w:style>
  <w:style w:type="character" w:customStyle="1" w:styleId="Teksttreci3125ptKursywaOdstpy-1pt">
    <w:name w:val="Tekst treści (3) + 12;5 pt;Kursywa;Odstępy -1 pt"/>
    <w:rsid w:val="008831F9"/>
    <w:rPr>
      <w:rFonts w:ascii="Times New Roman" w:eastAsia="Times New Roman" w:hAnsi="Times New Roman" w:cs="Times New Roman"/>
      <w:b w:val="0"/>
      <w:bCs w:val="0"/>
      <w:i/>
      <w:iCs/>
      <w:smallCaps w:val="0"/>
      <w:strike w:val="0"/>
      <w:color w:val="000000"/>
      <w:spacing w:val="-20"/>
      <w:w w:val="100"/>
      <w:position w:val="0"/>
      <w:sz w:val="25"/>
      <w:szCs w:val="25"/>
      <w:u w:val="none"/>
      <w:lang w:val="pl-PL"/>
    </w:rPr>
  </w:style>
  <w:style w:type="character" w:customStyle="1" w:styleId="TeksttreciArial85ptKursywaOdstpy0pt">
    <w:name w:val="Tekst treści + Arial;8;5 pt;Kursywa;Odstępy 0 pt"/>
    <w:rsid w:val="008831F9"/>
    <w:rPr>
      <w:rFonts w:ascii="Arial" w:eastAsia="Arial" w:hAnsi="Arial" w:cs="Arial"/>
      <w:b w:val="0"/>
      <w:bCs w:val="0"/>
      <w:i/>
      <w:iCs/>
      <w:smallCaps w:val="0"/>
      <w:strike w:val="0"/>
      <w:color w:val="000000"/>
      <w:spacing w:val="-10"/>
      <w:w w:val="100"/>
      <w:position w:val="0"/>
      <w:sz w:val="17"/>
      <w:szCs w:val="17"/>
      <w:u w:val="none"/>
      <w:lang w:val="pl-PL"/>
    </w:rPr>
  </w:style>
  <w:style w:type="character" w:customStyle="1" w:styleId="oryg1">
    <w:name w:val="oryg1"/>
    <w:rsid w:val="008831F9"/>
    <w:rPr>
      <w:b/>
      <w:bCs/>
      <w:i/>
      <w:iCs/>
      <w:color w:val="FF0000"/>
    </w:rPr>
  </w:style>
  <w:style w:type="character" w:styleId="Pogrubienie">
    <w:name w:val="Strong"/>
    <w:basedOn w:val="Domylnaczcionkaakapitu"/>
    <w:uiPriority w:val="22"/>
    <w:qFormat/>
    <w:locked/>
    <w:rsid w:val="008831F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07582">
      <w:bodyDiv w:val="1"/>
      <w:marLeft w:val="0"/>
      <w:marRight w:val="0"/>
      <w:marTop w:val="0"/>
      <w:marBottom w:val="0"/>
      <w:divBdr>
        <w:top w:val="none" w:sz="0" w:space="0" w:color="auto"/>
        <w:left w:val="none" w:sz="0" w:space="0" w:color="auto"/>
        <w:bottom w:val="none" w:sz="0" w:space="0" w:color="auto"/>
        <w:right w:val="none" w:sz="0" w:space="0" w:color="auto"/>
      </w:divBdr>
    </w:div>
    <w:div w:id="49500004">
      <w:bodyDiv w:val="1"/>
      <w:marLeft w:val="0"/>
      <w:marRight w:val="0"/>
      <w:marTop w:val="0"/>
      <w:marBottom w:val="0"/>
      <w:divBdr>
        <w:top w:val="none" w:sz="0" w:space="0" w:color="auto"/>
        <w:left w:val="none" w:sz="0" w:space="0" w:color="auto"/>
        <w:bottom w:val="none" w:sz="0" w:space="0" w:color="auto"/>
        <w:right w:val="none" w:sz="0" w:space="0" w:color="auto"/>
      </w:divBdr>
    </w:div>
    <w:div w:id="59982480">
      <w:bodyDiv w:val="1"/>
      <w:marLeft w:val="0"/>
      <w:marRight w:val="0"/>
      <w:marTop w:val="0"/>
      <w:marBottom w:val="0"/>
      <w:divBdr>
        <w:top w:val="none" w:sz="0" w:space="0" w:color="auto"/>
        <w:left w:val="none" w:sz="0" w:space="0" w:color="auto"/>
        <w:bottom w:val="none" w:sz="0" w:space="0" w:color="auto"/>
        <w:right w:val="none" w:sz="0" w:space="0" w:color="auto"/>
      </w:divBdr>
    </w:div>
    <w:div w:id="65223866">
      <w:bodyDiv w:val="1"/>
      <w:marLeft w:val="0"/>
      <w:marRight w:val="0"/>
      <w:marTop w:val="0"/>
      <w:marBottom w:val="0"/>
      <w:divBdr>
        <w:top w:val="none" w:sz="0" w:space="0" w:color="auto"/>
        <w:left w:val="none" w:sz="0" w:space="0" w:color="auto"/>
        <w:bottom w:val="none" w:sz="0" w:space="0" w:color="auto"/>
        <w:right w:val="none" w:sz="0" w:space="0" w:color="auto"/>
      </w:divBdr>
    </w:div>
    <w:div w:id="82651466">
      <w:bodyDiv w:val="1"/>
      <w:marLeft w:val="0"/>
      <w:marRight w:val="0"/>
      <w:marTop w:val="0"/>
      <w:marBottom w:val="0"/>
      <w:divBdr>
        <w:top w:val="none" w:sz="0" w:space="0" w:color="auto"/>
        <w:left w:val="none" w:sz="0" w:space="0" w:color="auto"/>
        <w:bottom w:val="none" w:sz="0" w:space="0" w:color="auto"/>
        <w:right w:val="none" w:sz="0" w:space="0" w:color="auto"/>
      </w:divBdr>
    </w:div>
    <w:div w:id="148323972">
      <w:bodyDiv w:val="1"/>
      <w:marLeft w:val="0"/>
      <w:marRight w:val="0"/>
      <w:marTop w:val="0"/>
      <w:marBottom w:val="0"/>
      <w:divBdr>
        <w:top w:val="none" w:sz="0" w:space="0" w:color="auto"/>
        <w:left w:val="none" w:sz="0" w:space="0" w:color="auto"/>
        <w:bottom w:val="none" w:sz="0" w:space="0" w:color="auto"/>
        <w:right w:val="none" w:sz="0" w:space="0" w:color="auto"/>
      </w:divBdr>
    </w:div>
    <w:div w:id="180709055">
      <w:bodyDiv w:val="1"/>
      <w:marLeft w:val="0"/>
      <w:marRight w:val="0"/>
      <w:marTop w:val="0"/>
      <w:marBottom w:val="0"/>
      <w:divBdr>
        <w:top w:val="none" w:sz="0" w:space="0" w:color="auto"/>
        <w:left w:val="none" w:sz="0" w:space="0" w:color="auto"/>
        <w:bottom w:val="none" w:sz="0" w:space="0" w:color="auto"/>
        <w:right w:val="none" w:sz="0" w:space="0" w:color="auto"/>
      </w:divBdr>
      <w:divsChild>
        <w:div w:id="429013083">
          <w:marLeft w:val="0"/>
          <w:marRight w:val="0"/>
          <w:marTop w:val="0"/>
          <w:marBottom w:val="0"/>
          <w:divBdr>
            <w:top w:val="none" w:sz="0" w:space="0" w:color="auto"/>
            <w:left w:val="none" w:sz="0" w:space="0" w:color="auto"/>
            <w:bottom w:val="none" w:sz="0" w:space="0" w:color="auto"/>
            <w:right w:val="none" w:sz="0" w:space="0" w:color="auto"/>
          </w:divBdr>
        </w:div>
        <w:div w:id="286350897">
          <w:marLeft w:val="0"/>
          <w:marRight w:val="0"/>
          <w:marTop w:val="0"/>
          <w:marBottom w:val="0"/>
          <w:divBdr>
            <w:top w:val="none" w:sz="0" w:space="0" w:color="auto"/>
            <w:left w:val="none" w:sz="0" w:space="0" w:color="auto"/>
            <w:bottom w:val="none" w:sz="0" w:space="0" w:color="auto"/>
            <w:right w:val="none" w:sz="0" w:space="0" w:color="auto"/>
          </w:divBdr>
        </w:div>
        <w:div w:id="850922021">
          <w:marLeft w:val="0"/>
          <w:marRight w:val="0"/>
          <w:marTop w:val="0"/>
          <w:marBottom w:val="0"/>
          <w:divBdr>
            <w:top w:val="none" w:sz="0" w:space="0" w:color="auto"/>
            <w:left w:val="none" w:sz="0" w:space="0" w:color="auto"/>
            <w:bottom w:val="none" w:sz="0" w:space="0" w:color="auto"/>
            <w:right w:val="none" w:sz="0" w:space="0" w:color="auto"/>
          </w:divBdr>
        </w:div>
        <w:div w:id="1094596289">
          <w:marLeft w:val="0"/>
          <w:marRight w:val="0"/>
          <w:marTop w:val="0"/>
          <w:marBottom w:val="0"/>
          <w:divBdr>
            <w:top w:val="none" w:sz="0" w:space="0" w:color="auto"/>
            <w:left w:val="none" w:sz="0" w:space="0" w:color="auto"/>
            <w:bottom w:val="none" w:sz="0" w:space="0" w:color="auto"/>
            <w:right w:val="none" w:sz="0" w:space="0" w:color="auto"/>
          </w:divBdr>
        </w:div>
        <w:div w:id="277614324">
          <w:marLeft w:val="0"/>
          <w:marRight w:val="0"/>
          <w:marTop w:val="0"/>
          <w:marBottom w:val="0"/>
          <w:divBdr>
            <w:top w:val="none" w:sz="0" w:space="0" w:color="auto"/>
            <w:left w:val="none" w:sz="0" w:space="0" w:color="auto"/>
            <w:bottom w:val="none" w:sz="0" w:space="0" w:color="auto"/>
            <w:right w:val="none" w:sz="0" w:space="0" w:color="auto"/>
          </w:divBdr>
        </w:div>
        <w:div w:id="1146892010">
          <w:marLeft w:val="0"/>
          <w:marRight w:val="0"/>
          <w:marTop w:val="0"/>
          <w:marBottom w:val="0"/>
          <w:divBdr>
            <w:top w:val="none" w:sz="0" w:space="0" w:color="auto"/>
            <w:left w:val="none" w:sz="0" w:space="0" w:color="auto"/>
            <w:bottom w:val="none" w:sz="0" w:space="0" w:color="auto"/>
            <w:right w:val="none" w:sz="0" w:space="0" w:color="auto"/>
          </w:divBdr>
        </w:div>
        <w:div w:id="1644046215">
          <w:marLeft w:val="0"/>
          <w:marRight w:val="0"/>
          <w:marTop w:val="0"/>
          <w:marBottom w:val="0"/>
          <w:divBdr>
            <w:top w:val="none" w:sz="0" w:space="0" w:color="auto"/>
            <w:left w:val="none" w:sz="0" w:space="0" w:color="auto"/>
            <w:bottom w:val="none" w:sz="0" w:space="0" w:color="auto"/>
            <w:right w:val="none" w:sz="0" w:space="0" w:color="auto"/>
          </w:divBdr>
        </w:div>
        <w:div w:id="89933419">
          <w:marLeft w:val="0"/>
          <w:marRight w:val="0"/>
          <w:marTop w:val="0"/>
          <w:marBottom w:val="0"/>
          <w:divBdr>
            <w:top w:val="none" w:sz="0" w:space="0" w:color="auto"/>
            <w:left w:val="none" w:sz="0" w:space="0" w:color="auto"/>
            <w:bottom w:val="none" w:sz="0" w:space="0" w:color="auto"/>
            <w:right w:val="none" w:sz="0" w:space="0" w:color="auto"/>
          </w:divBdr>
        </w:div>
      </w:divsChild>
    </w:div>
    <w:div w:id="216859748">
      <w:bodyDiv w:val="1"/>
      <w:marLeft w:val="0"/>
      <w:marRight w:val="0"/>
      <w:marTop w:val="0"/>
      <w:marBottom w:val="0"/>
      <w:divBdr>
        <w:top w:val="none" w:sz="0" w:space="0" w:color="auto"/>
        <w:left w:val="none" w:sz="0" w:space="0" w:color="auto"/>
        <w:bottom w:val="none" w:sz="0" w:space="0" w:color="auto"/>
        <w:right w:val="none" w:sz="0" w:space="0" w:color="auto"/>
      </w:divBdr>
    </w:div>
    <w:div w:id="288055106">
      <w:bodyDiv w:val="1"/>
      <w:marLeft w:val="0"/>
      <w:marRight w:val="0"/>
      <w:marTop w:val="0"/>
      <w:marBottom w:val="0"/>
      <w:divBdr>
        <w:top w:val="none" w:sz="0" w:space="0" w:color="auto"/>
        <w:left w:val="none" w:sz="0" w:space="0" w:color="auto"/>
        <w:bottom w:val="none" w:sz="0" w:space="0" w:color="auto"/>
        <w:right w:val="none" w:sz="0" w:space="0" w:color="auto"/>
      </w:divBdr>
    </w:div>
    <w:div w:id="312179312">
      <w:bodyDiv w:val="1"/>
      <w:marLeft w:val="0"/>
      <w:marRight w:val="0"/>
      <w:marTop w:val="0"/>
      <w:marBottom w:val="0"/>
      <w:divBdr>
        <w:top w:val="none" w:sz="0" w:space="0" w:color="auto"/>
        <w:left w:val="none" w:sz="0" w:space="0" w:color="auto"/>
        <w:bottom w:val="none" w:sz="0" w:space="0" w:color="auto"/>
        <w:right w:val="none" w:sz="0" w:space="0" w:color="auto"/>
      </w:divBdr>
    </w:div>
    <w:div w:id="392849974">
      <w:bodyDiv w:val="1"/>
      <w:marLeft w:val="0"/>
      <w:marRight w:val="0"/>
      <w:marTop w:val="0"/>
      <w:marBottom w:val="0"/>
      <w:divBdr>
        <w:top w:val="none" w:sz="0" w:space="0" w:color="auto"/>
        <w:left w:val="none" w:sz="0" w:space="0" w:color="auto"/>
        <w:bottom w:val="none" w:sz="0" w:space="0" w:color="auto"/>
        <w:right w:val="none" w:sz="0" w:space="0" w:color="auto"/>
      </w:divBdr>
    </w:div>
    <w:div w:id="393309441">
      <w:bodyDiv w:val="1"/>
      <w:marLeft w:val="0"/>
      <w:marRight w:val="0"/>
      <w:marTop w:val="0"/>
      <w:marBottom w:val="0"/>
      <w:divBdr>
        <w:top w:val="none" w:sz="0" w:space="0" w:color="auto"/>
        <w:left w:val="none" w:sz="0" w:space="0" w:color="auto"/>
        <w:bottom w:val="none" w:sz="0" w:space="0" w:color="auto"/>
        <w:right w:val="none" w:sz="0" w:space="0" w:color="auto"/>
      </w:divBdr>
    </w:div>
    <w:div w:id="405763691">
      <w:bodyDiv w:val="1"/>
      <w:marLeft w:val="0"/>
      <w:marRight w:val="0"/>
      <w:marTop w:val="0"/>
      <w:marBottom w:val="0"/>
      <w:divBdr>
        <w:top w:val="none" w:sz="0" w:space="0" w:color="auto"/>
        <w:left w:val="none" w:sz="0" w:space="0" w:color="auto"/>
        <w:bottom w:val="none" w:sz="0" w:space="0" w:color="auto"/>
        <w:right w:val="none" w:sz="0" w:space="0" w:color="auto"/>
      </w:divBdr>
    </w:div>
    <w:div w:id="446243635">
      <w:bodyDiv w:val="1"/>
      <w:marLeft w:val="0"/>
      <w:marRight w:val="0"/>
      <w:marTop w:val="0"/>
      <w:marBottom w:val="0"/>
      <w:divBdr>
        <w:top w:val="none" w:sz="0" w:space="0" w:color="auto"/>
        <w:left w:val="none" w:sz="0" w:space="0" w:color="auto"/>
        <w:bottom w:val="none" w:sz="0" w:space="0" w:color="auto"/>
        <w:right w:val="none" w:sz="0" w:space="0" w:color="auto"/>
      </w:divBdr>
      <w:divsChild>
        <w:div w:id="533999232">
          <w:marLeft w:val="0"/>
          <w:marRight w:val="0"/>
          <w:marTop w:val="0"/>
          <w:marBottom w:val="0"/>
          <w:divBdr>
            <w:top w:val="none" w:sz="0" w:space="0" w:color="auto"/>
            <w:left w:val="none" w:sz="0" w:space="0" w:color="auto"/>
            <w:bottom w:val="none" w:sz="0" w:space="0" w:color="auto"/>
            <w:right w:val="none" w:sz="0" w:space="0" w:color="auto"/>
          </w:divBdr>
        </w:div>
        <w:div w:id="2106801867">
          <w:marLeft w:val="0"/>
          <w:marRight w:val="0"/>
          <w:marTop w:val="0"/>
          <w:marBottom w:val="0"/>
          <w:divBdr>
            <w:top w:val="none" w:sz="0" w:space="0" w:color="auto"/>
            <w:left w:val="none" w:sz="0" w:space="0" w:color="auto"/>
            <w:bottom w:val="none" w:sz="0" w:space="0" w:color="auto"/>
            <w:right w:val="none" w:sz="0" w:space="0" w:color="auto"/>
          </w:divBdr>
        </w:div>
        <w:div w:id="476413455">
          <w:marLeft w:val="0"/>
          <w:marRight w:val="0"/>
          <w:marTop w:val="0"/>
          <w:marBottom w:val="0"/>
          <w:divBdr>
            <w:top w:val="none" w:sz="0" w:space="0" w:color="auto"/>
            <w:left w:val="none" w:sz="0" w:space="0" w:color="auto"/>
            <w:bottom w:val="none" w:sz="0" w:space="0" w:color="auto"/>
            <w:right w:val="none" w:sz="0" w:space="0" w:color="auto"/>
          </w:divBdr>
        </w:div>
        <w:div w:id="737947702">
          <w:marLeft w:val="0"/>
          <w:marRight w:val="0"/>
          <w:marTop w:val="0"/>
          <w:marBottom w:val="0"/>
          <w:divBdr>
            <w:top w:val="none" w:sz="0" w:space="0" w:color="auto"/>
            <w:left w:val="none" w:sz="0" w:space="0" w:color="auto"/>
            <w:bottom w:val="none" w:sz="0" w:space="0" w:color="auto"/>
            <w:right w:val="none" w:sz="0" w:space="0" w:color="auto"/>
          </w:divBdr>
        </w:div>
        <w:div w:id="684475185">
          <w:marLeft w:val="0"/>
          <w:marRight w:val="0"/>
          <w:marTop w:val="0"/>
          <w:marBottom w:val="0"/>
          <w:divBdr>
            <w:top w:val="none" w:sz="0" w:space="0" w:color="auto"/>
            <w:left w:val="none" w:sz="0" w:space="0" w:color="auto"/>
            <w:bottom w:val="none" w:sz="0" w:space="0" w:color="auto"/>
            <w:right w:val="none" w:sz="0" w:space="0" w:color="auto"/>
          </w:divBdr>
        </w:div>
        <w:div w:id="1412696932">
          <w:marLeft w:val="0"/>
          <w:marRight w:val="0"/>
          <w:marTop w:val="0"/>
          <w:marBottom w:val="0"/>
          <w:divBdr>
            <w:top w:val="none" w:sz="0" w:space="0" w:color="auto"/>
            <w:left w:val="none" w:sz="0" w:space="0" w:color="auto"/>
            <w:bottom w:val="none" w:sz="0" w:space="0" w:color="auto"/>
            <w:right w:val="none" w:sz="0" w:space="0" w:color="auto"/>
          </w:divBdr>
        </w:div>
        <w:div w:id="2101634667">
          <w:marLeft w:val="0"/>
          <w:marRight w:val="0"/>
          <w:marTop w:val="0"/>
          <w:marBottom w:val="0"/>
          <w:divBdr>
            <w:top w:val="none" w:sz="0" w:space="0" w:color="auto"/>
            <w:left w:val="none" w:sz="0" w:space="0" w:color="auto"/>
            <w:bottom w:val="none" w:sz="0" w:space="0" w:color="auto"/>
            <w:right w:val="none" w:sz="0" w:space="0" w:color="auto"/>
          </w:divBdr>
        </w:div>
        <w:div w:id="1273396565">
          <w:marLeft w:val="0"/>
          <w:marRight w:val="0"/>
          <w:marTop w:val="0"/>
          <w:marBottom w:val="0"/>
          <w:divBdr>
            <w:top w:val="none" w:sz="0" w:space="0" w:color="auto"/>
            <w:left w:val="none" w:sz="0" w:space="0" w:color="auto"/>
            <w:bottom w:val="none" w:sz="0" w:space="0" w:color="auto"/>
            <w:right w:val="none" w:sz="0" w:space="0" w:color="auto"/>
          </w:divBdr>
        </w:div>
        <w:div w:id="1267351688">
          <w:marLeft w:val="0"/>
          <w:marRight w:val="0"/>
          <w:marTop w:val="0"/>
          <w:marBottom w:val="0"/>
          <w:divBdr>
            <w:top w:val="none" w:sz="0" w:space="0" w:color="auto"/>
            <w:left w:val="none" w:sz="0" w:space="0" w:color="auto"/>
            <w:bottom w:val="none" w:sz="0" w:space="0" w:color="auto"/>
            <w:right w:val="none" w:sz="0" w:space="0" w:color="auto"/>
          </w:divBdr>
        </w:div>
        <w:div w:id="708454655">
          <w:marLeft w:val="0"/>
          <w:marRight w:val="0"/>
          <w:marTop w:val="0"/>
          <w:marBottom w:val="0"/>
          <w:divBdr>
            <w:top w:val="none" w:sz="0" w:space="0" w:color="auto"/>
            <w:left w:val="none" w:sz="0" w:space="0" w:color="auto"/>
            <w:bottom w:val="none" w:sz="0" w:space="0" w:color="auto"/>
            <w:right w:val="none" w:sz="0" w:space="0" w:color="auto"/>
          </w:divBdr>
        </w:div>
        <w:div w:id="1503933500">
          <w:marLeft w:val="0"/>
          <w:marRight w:val="0"/>
          <w:marTop w:val="0"/>
          <w:marBottom w:val="0"/>
          <w:divBdr>
            <w:top w:val="none" w:sz="0" w:space="0" w:color="auto"/>
            <w:left w:val="none" w:sz="0" w:space="0" w:color="auto"/>
            <w:bottom w:val="none" w:sz="0" w:space="0" w:color="auto"/>
            <w:right w:val="none" w:sz="0" w:space="0" w:color="auto"/>
          </w:divBdr>
        </w:div>
        <w:div w:id="116341365">
          <w:marLeft w:val="0"/>
          <w:marRight w:val="0"/>
          <w:marTop w:val="0"/>
          <w:marBottom w:val="0"/>
          <w:divBdr>
            <w:top w:val="none" w:sz="0" w:space="0" w:color="auto"/>
            <w:left w:val="none" w:sz="0" w:space="0" w:color="auto"/>
            <w:bottom w:val="none" w:sz="0" w:space="0" w:color="auto"/>
            <w:right w:val="none" w:sz="0" w:space="0" w:color="auto"/>
          </w:divBdr>
        </w:div>
        <w:div w:id="578059123">
          <w:marLeft w:val="0"/>
          <w:marRight w:val="0"/>
          <w:marTop w:val="0"/>
          <w:marBottom w:val="0"/>
          <w:divBdr>
            <w:top w:val="none" w:sz="0" w:space="0" w:color="auto"/>
            <w:left w:val="none" w:sz="0" w:space="0" w:color="auto"/>
            <w:bottom w:val="none" w:sz="0" w:space="0" w:color="auto"/>
            <w:right w:val="none" w:sz="0" w:space="0" w:color="auto"/>
          </w:divBdr>
        </w:div>
        <w:div w:id="563487454">
          <w:marLeft w:val="0"/>
          <w:marRight w:val="0"/>
          <w:marTop w:val="0"/>
          <w:marBottom w:val="0"/>
          <w:divBdr>
            <w:top w:val="none" w:sz="0" w:space="0" w:color="auto"/>
            <w:left w:val="none" w:sz="0" w:space="0" w:color="auto"/>
            <w:bottom w:val="none" w:sz="0" w:space="0" w:color="auto"/>
            <w:right w:val="none" w:sz="0" w:space="0" w:color="auto"/>
          </w:divBdr>
        </w:div>
        <w:div w:id="537351266">
          <w:marLeft w:val="0"/>
          <w:marRight w:val="0"/>
          <w:marTop w:val="0"/>
          <w:marBottom w:val="0"/>
          <w:divBdr>
            <w:top w:val="none" w:sz="0" w:space="0" w:color="auto"/>
            <w:left w:val="none" w:sz="0" w:space="0" w:color="auto"/>
            <w:bottom w:val="none" w:sz="0" w:space="0" w:color="auto"/>
            <w:right w:val="none" w:sz="0" w:space="0" w:color="auto"/>
          </w:divBdr>
        </w:div>
        <w:div w:id="1579288998">
          <w:marLeft w:val="0"/>
          <w:marRight w:val="0"/>
          <w:marTop w:val="0"/>
          <w:marBottom w:val="0"/>
          <w:divBdr>
            <w:top w:val="none" w:sz="0" w:space="0" w:color="auto"/>
            <w:left w:val="none" w:sz="0" w:space="0" w:color="auto"/>
            <w:bottom w:val="none" w:sz="0" w:space="0" w:color="auto"/>
            <w:right w:val="none" w:sz="0" w:space="0" w:color="auto"/>
          </w:divBdr>
        </w:div>
        <w:div w:id="563419989">
          <w:marLeft w:val="0"/>
          <w:marRight w:val="0"/>
          <w:marTop w:val="0"/>
          <w:marBottom w:val="0"/>
          <w:divBdr>
            <w:top w:val="none" w:sz="0" w:space="0" w:color="auto"/>
            <w:left w:val="none" w:sz="0" w:space="0" w:color="auto"/>
            <w:bottom w:val="none" w:sz="0" w:space="0" w:color="auto"/>
            <w:right w:val="none" w:sz="0" w:space="0" w:color="auto"/>
          </w:divBdr>
        </w:div>
        <w:div w:id="336231021">
          <w:marLeft w:val="0"/>
          <w:marRight w:val="0"/>
          <w:marTop w:val="0"/>
          <w:marBottom w:val="0"/>
          <w:divBdr>
            <w:top w:val="none" w:sz="0" w:space="0" w:color="auto"/>
            <w:left w:val="none" w:sz="0" w:space="0" w:color="auto"/>
            <w:bottom w:val="none" w:sz="0" w:space="0" w:color="auto"/>
            <w:right w:val="none" w:sz="0" w:space="0" w:color="auto"/>
          </w:divBdr>
        </w:div>
        <w:div w:id="1538423761">
          <w:marLeft w:val="0"/>
          <w:marRight w:val="0"/>
          <w:marTop w:val="0"/>
          <w:marBottom w:val="0"/>
          <w:divBdr>
            <w:top w:val="none" w:sz="0" w:space="0" w:color="auto"/>
            <w:left w:val="none" w:sz="0" w:space="0" w:color="auto"/>
            <w:bottom w:val="none" w:sz="0" w:space="0" w:color="auto"/>
            <w:right w:val="none" w:sz="0" w:space="0" w:color="auto"/>
          </w:divBdr>
        </w:div>
        <w:div w:id="461122176">
          <w:marLeft w:val="0"/>
          <w:marRight w:val="0"/>
          <w:marTop w:val="0"/>
          <w:marBottom w:val="0"/>
          <w:divBdr>
            <w:top w:val="none" w:sz="0" w:space="0" w:color="auto"/>
            <w:left w:val="none" w:sz="0" w:space="0" w:color="auto"/>
            <w:bottom w:val="none" w:sz="0" w:space="0" w:color="auto"/>
            <w:right w:val="none" w:sz="0" w:space="0" w:color="auto"/>
          </w:divBdr>
        </w:div>
        <w:div w:id="40063241">
          <w:marLeft w:val="0"/>
          <w:marRight w:val="0"/>
          <w:marTop w:val="0"/>
          <w:marBottom w:val="0"/>
          <w:divBdr>
            <w:top w:val="none" w:sz="0" w:space="0" w:color="auto"/>
            <w:left w:val="none" w:sz="0" w:space="0" w:color="auto"/>
            <w:bottom w:val="none" w:sz="0" w:space="0" w:color="auto"/>
            <w:right w:val="none" w:sz="0" w:space="0" w:color="auto"/>
          </w:divBdr>
        </w:div>
        <w:div w:id="1769350147">
          <w:marLeft w:val="0"/>
          <w:marRight w:val="0"/>
          <w:marTop w:val="0"/>
          <w:marBottom w:val="0"/>
          <w:divBdr>
            <w:top w:val="none" w:sz="0" w:space="0" w:color="auto"/>
            <w:left w:val="none" w:sz="0" w:space="0" w:color="auto"/>
            <w:bottom w:val="none" w:sz="0" w:space="0" w:color="auto"/>
            <w:right w:val="none" w:sz="0" w:space="0" w:color="auto"/>
          </w:divBdr>
        </w:div>
        <w:div w:id="710962078">
          <w:marLeft w:val="0"/>
          <w:marRight w:val="0"/>
          <w:marTop w:val="0"/>
          <w:marBottom w:val="0"/>
          <w:divBdr>
            <w:top w:val="none" w:sz="0" w:space="0" w:color="auto"/>
            <w:left w:val="none" w:sz="0" w:space="0" w:color="auto"/>
            <w:bottom w:val="none" w:sz="0" w:space="0" w:color="auto"/>
            <w:right w:val="none" w:sz="0" w:space="0" w:color="auto"/>
          </w:divBdr>
        </w:div>
        <w:div w:id="661200454">
          <w:marLeft w:val="0"/>
          <w:marRight w:val="0"/>
          <w:marTop w:val="0"/>
          <w:marBottom w:val="0"/>
          <w:divBdr>
            <w:top w:val="none" w:sz="0" w:space="0" w:color="auto"/>
            <w:left w:val="none" w:sz="0" w:space="0" w:color="auto"/>
            <w:bottom w:val="none" w:sz="0" w:space="0" w:color="auto"/>
            <w:right w:val="none" w:sz="0" w:space="0" w:color="auto"/>
          </w:divBdr>
        </w:div>
        <w:div w:id="45154438">
          <w:marLeft w:val="0"/>
          <w:marRight w:val="0"/>
          <w:marTop w:val="0"/>
          <w:marBottom w:val="0"/>
          <w:divBdr>
            <w:top w:val="none" w:sz="0" w:space="0" w:color="auto"/>
            <w:left w:val="none" w:sz="0" w:space="0" w:color="auto"/>
            <w:bottom w:val="none" w:sz="0" w:space="0" w:color="auto"/>
            <w:right w:val="none" w:sz="0" w:space="0" w:color="auto"/>
          </w:divBdr>
        </w:div>
        <w:div w:id="763767526">
          <w:marLeft w:val="0"/>
          <w:marRight w:val="0"/>
          <w:marTop w:val="0"/>
          <w:marBottom w:val="0"/>
          <w:divBdr>
            <w:top w:val="none" w:sz="0" w:space="0" w:color="auto"/>
            <w:left w:val="none" w:sz="0" w:space="0" w:color="auto"/>
            <w:bottom w:val="none" w:sz="0" w:space="0" w:color="auto"/>
            <w:right w:val="none" w:sz="0" w:space="0" w:color="auto"/>
          </w:divBdr>
        </w:div>
        <w:div w:id="1244291899">
          <w:marLeft w:val="0"/>
          <w:marRight w:val="0"/>
          <w:marTop w:val="0"/>
          <w:marBottom w:val="0"/>
          <w:divBdr>
            <w:top w:val="none" w:sz="0" w:space="0" w:color="auto"/>
            <w:left w:val="none" w:sz="0" w:space="0" w:color="auto"/>
            <w:bottom w:val="none" w:sz="0" w:space="0" w:color="auto"/>
            <w:right w:val="none" w:sz="0" w:space="0" w:color="auto"/>
          </w:divBdr>
        </w:div>
        <w:div w:id="56364237">
          <w:marLeft w:val="0"/>
          <w:marRight w:val="0"/>
          <w:marTop w:val="0"/>
          <w:marBottom w:val="0"/>
          <w:divBdr>
            <w:top w:val="none" w:sz="0" w:space="0" w:color="auto"/>
            <w:left w:val="none" w:sz="0" w:space="0" w:color="auto"/>
            <w:bottom w:val="none" w:sz="0" w:space="0" w:color="auto"/>
            <w:right w:val="none" w:sz="0" w:space="0" w:color="auto"/>
          </w:divBdr>
        </w:div>
        <w:div w:id="292297677">
          <w:marLeft w:val="0"/>
          <w:marRight w:val="0"/>
          <w:marTop w:val="0"/>
          <w:marBottom w:val="0"/>
          <w:divBdr>
            <w:top w:val="none" w:sz="0" w:space="0" w:color="auto"/>
            <w:left w:val="none" w:sz="0" w:space="0" w:color="auto"/>
            <w:bottom w:val="none" w:sz="0" w:space="0" w:color="auto"/>
            <w:right w:val="none" w:sz="0" w:space="0" w:color="auto"/>
          </w:divBdr>
        </w:div>
        <w:div w:id="331377463">
          <w:marLeft w:val="0"/>
          <w:marRight w:val="0"/>
          <w:marTop w:val="0"/>
          <w:marBottom w:val="0"/>
          <w:divBdr>
            <w:top w:val="none" w:sz="0" w:space="0" w:color="auto"/>
            <w:left w:val="none" w:sz="0" w:space="0" w:color="auto"/>
            <w:bottom w:val="none" w:sz="0" w:space="0" w:color="auto"/>
            <w:right w:val="none" w:sz="0" w:space="0" w:color="auto"/>
          </w:divBdr>
        </w:div>
        <w:div w:id="1331828754">
          <w:marLeft w:val="0"/>
          <w:marRight w:val="0"/>
          <w:marTop w:val="0"/>
          <w:marBottom w:val="0"/>
          <w:divBdr>
            <w:top w:val="none" w:sz="0" w:space="0" w:color="auto"/>
            <w:left w:val="none" w:sz="0" w:space="0" w:color="auto"/>
            <w:bottom w:val="none" w:sz="0" w:space="0" w:color="auto"/>
            <w:right w:val="none" w:sz="0" w:space="0" w:color="auto"/>
          </w:divBdr>
        </w:div>
        <w:div w:id="125927304">
          <w:marLeft w:val="0"/>
          <w:marRight w:val="0"/>
          <w:marTop w:val="0"/>
          <w:marBottom w:val="0"/>
          <w:divBdr>
            <w:top w:val="none" w:sz="0" w:space="0" w:color="auto"/>
            <w:left w:val="none" w:sz="0" w:space="0" w:color="auto"/>
            <w:bottom w:val="none" w:sz="0" w:space="0" w:color="auto"/>
            <w:right w:val="none" w:sz="0" w:space="0" w:color="auto"/>
          </w:divBdr>
        </w:div>
        <w:div w:id="1037663589">
          <w:marLeft w:val="0"/>
          <w:marRight w:val="0"/>
          <w:marTop w:val="0"/>
          <w:marBottom w:val="0"/>
          <w:divBdr>
            <w:top w:val="none" w:sz="0" w:space="0" w:color="auto"/>
            <w:left w:val="none" w:sz="0" w:space="0" w:color="auto"/>
            <w:bottom w:val="none" w:sz="0" w:space="0" w:color="auto"/>
            <w:right w:val="none" w:sz="0" w:space="0" w:color="auto"/>
          </w:divBdr>
        </w:div>
        <w:div w:id="1217358830">
          <w:marLeft w:val="0"/>
          <w:marRight w:val="0"/>
          <w:marTop w:val="0"/>
          <w:marBottom w:val="0"/>
          <w:divBdr>
            <w:top w:val="none" w:sz="0" w:space="0" w:color="auto"/>
            <w:left w:val="none" w:sz="0" w:space="0" w:color="auto"/>
            <w:bottom w:val="none" w:sz="0" w:space="0" w:color="auto"/>
            <w:right w:val="none" w:sz="0" w:space="0" w:color="auto"/>
          </w:divBdr>
        </w:div>
        <w:div w:id="1028063267">
          <w:marLeft w:val="0"/>
          <w:marRight w:val="0"/>
          <w:marTop w:val="0"/>
          <w:marBottom w:val="0"/>
          <w:divBdr>
            <w:top w:val="none" w:sz="0" w:space="0" w:color="auto"/>
            <w:left w:val="none" w:sz="0" w:space="0" w:color="auto"/>
            <w:bottom w:val="none" w:sz="0" w:space="0" w:color="auto"/>
            <w:right w:val="none" w:sz="0" w:space="0" w:color="auto"/>
          </w:divBdr>
        </w:div>
        <w:div w:id="1399936223">
          <w:marLeft w:val="0"/>
          <w:marRight w:val="0"/>
          <w:marTop w:val="0"/>
          <w:marBottom w:val="0"/>
          <w:divBdr>
            <w:top w:val="none" w:sz="0" w:space="0" w:color="auto"/>
            <w:left w:val="none" w:sz="0" w:space="0" w:color="auto"/>
            <w:bottom w:val="none" w:sz="0" w:space="0" w:color="auto"/>
            <w:right w:val="none" w:sz="0" w:space="0" w:color="auto"/>
          </w:divBdr>
        </w:div>
        <w:div w:id="178469808">
          <w:marLeft w:val="0"/>
          <w:marRight w:val="0"/>
          <w:marTop w:val="0"/>
          <w:marBottom w:val="0"/>
          <w:divBdr>
            <w:top w:val="none" w:sz="0" w:space="0" w:color="auto"/>
            <w:left w:val="none" w:sz="0" w:space="0" w:color="auto"/>
            <w:bottom w:val="none" w:sz="0" w:space="0" w:color="auto"/>
            <w:right w:val="none" w:sz="0" w:space="0" w:color="auto"/>
          </w:divBdr>
        </w:div>
        <w:div w:id="1445268839">
          <w:marLeft w:val="0"/>
          <w:marRight w:val="0"/>
          <w:marTop w:val="0"/>
          <w:marBottom w:val="0"/>
          <w:divBdr>
            <w:top w:val="none" w:sz="0" w:space="0" w:color="auto"/>
            <w:left w:val="none" w:sz="0" w:space="0" w:color="auto"/>
            <w:bottom w:val="none" w:sz="0" w:space="0" w:color="auto"/>
            <w:right w:val="none" w:sz="0" w:space="0" w:color="auto"/>
          </w:divBdr>
        </w:div>
        <w:div w:id="1101989996">
          <w:marLeft w:val="0"/>
          <w:marRight w:val="0"/>
          <w:marTop w:val="0"/>
          <w:marBottom w:val="0"/>
          <w:divBdr>
            <w:top w:val="none" w:sz="0" w:space="0" w:color="auto"/>
            <w:left w:val="none" w:sz="0" w:space="0" w:color="auto"/>
            <w:bottom w:val="none" w:sz="0" w:space="0" w:color="auto"/>
            <w:right w:val="none" w:sz="0" w:space="0" w:color="auto"/>
          </w:divBdr>
        </w:div>
        <w:div w:id="355891839">
          <w:marLeft w:val="0"/>
          <w:marRight w:val="0"/>
          <w:marTop w:val="0"/>
          <w:marBottom w:val="0"/>
          <w:divBdr>
            <w:top w:val="none" w:sz="0" w:space="0" w:color="auto"/>
            <w:left w:val="none" w:sz="0" w:space="0" w:color="auto"/>
            <w:bottom w:val="none" w:sz="0" w:space="0" w:color="auto"/>
            <w:right w:val="none" w:sz="0" w:space="0" w:color="auto"/>
          </w:divBdr>
        </w:div>
        <w:div w:id="2013683680">
          <w:marLeft w:val="0"/>
          <w:marRight w:val="0"/>
          <w:marTop w:val="0"/>
          <w:marBottom w:val="0"/>
          <w:divBdr>
            <w:top w:val="none" w:sz="0" w:space="0" w:color="auto"/>
            <w:left w:val="none" w:sz="0" w:space="0" w:color="auto"/>
            <w:bottom w:val="none" w:sz="0" w:space="0" w:color="auto"/>
            <w:right w:val="none" w:sz="0" w:space="0" w:color="auto"/>
          </w:divBdr>
        </w:div>
        <w:div w:id="1269852325">
          <w:marLeft w:val="0"/>
          <w:marRight w:val="0"/>
          <w:marTop w:val="0"/>
          <w:marBottom w:val="0"/>
          <w:divBdr>
            <w:top w:val="none" w:sz="0" w:space="0" w:color="auto"/>
            <w:left w:val="none" w:sz="0" w:space="0" w:color="auto"/>
            <w:bottom w:val="none" w:sz="0" w:space="0" w:color="auto"/>
            <w:right w:val="none" w:sz="0" w:space="0" w:color="auto"/>
          </w:divBdr>
        </w:div>
      </w:divsChild>
    </w:div>
    <w:div w:id="447161876">
      <w:bodyDiv w:val="1"/>
      <w:marLeft w:val="0"/>
      <w:marRight w:val="0"/>
      <w:marTop w:val="0"/>
      <w:marBottom w:val="0"/>
      <w:divBdr>
        <w:top w:val="none" w:sz="0" w:space="0" w:color="auto"/>
        <w:left w:val="none" w:sz="0" w:space="0" w:color="auto"/>
        <w:bottom w:val="none" w:sz="0" w:space="0" w:color="auto"/>
        <w:right w:val="none" w:sz="0" w:space="0" w:color="auto"/>
      </w:divBdr>
    </w:div>
    <w:div w:id="453332375">
      <w:bodyDiv w:val="1"/>
      <w:marLeft w:val="0"/>
      <w:marRight w:val="0"/>
      <w:marTop w:val="0"/>
      <w:marBottom w:val="0"/>
      <w:divBdr>
        <w:top w:val="none" w:sz="0" w:space="0" w:color="auto"/>
        <w:left w:val="none" w:sz="0" w:space="0" w:color="auto"/>
        <w:bottom w:val="none" w:sz="0" w:space="0" w:color="auto"/>
        <w:right w:val="none" w:sz="0" w:space="0" w:color="auto"/>
      </w:divBdr>
    </w:div>
    <w:div w:id="481192099">
      <w:bodyDiv w:val="1"/>
      <w:marLeft w:val="0"/>
      <w:marRight w:val="0"/>
      <w:marTop w:val="0"/>
      <w:marBottom w:val="0"/>
      <w:divBdr>
        <w:top w:val="none" w:sz="0" w:space="0" w:color="auto"/>
        <w:left w:val="none" w:sz="0" w:space="0" w:color="auto"/>
        <w:bottom w:val="none" w:sz="0" w:space="0" w:color="auto"/>
        <w:right w:val="none" w:sz="0" w:space="0" w:color="auto"/>
      </w:divBdr>
    </w:div>
    <w:div w:id="555625721">
      <w:bodyDiv w:val="1"/>
      <w:marLeft w:val="0"/>
      <w:marRight w:val="0"/>
      <w:marTop w:val="0"/>
      <w:marBottom w:val="0"/>
      <w:divBdr>
        <w:top w:val="none" w:sz="0" w:space="0" w:color="auto"/>
        <w:left w:val="none" w:sz="0" w:space="0" w:color="auto"/>
        <w:bottom w:val="none" w:sz="0" w:space="0" w:color="auto"/>
        <w:right w:val="none" w:sz="0" w:space="0" w:color="auto"/>
      </w:divBdr>
    </w:div>
    <w:div w:id="565645494">
      <w:bodyDiv w:val="1"/>
      <w:marLeft w:val="0"/>
      <w:marRight w:val="0"/>
      <w:marTop w:val="0"/>
      <w:marBottom w:val="0"/>
      <w:divBdr>
        <w:top w:val="none" w:sz="0" w:space="0" w:color="auto"/>
        <w:left w:val="none" w:sz="0" w:space="0" w:color="auto"/>
        <w:bottom w:val="none" w:sz="0" w:space="0" w:color="auto"/>
        <w:right w:val="none" w:sz="0" w:space="0" w:color="auto"/>
      </w:divBdr>
    </w:div>
    <w:div w:id="635915562">
      <w:bodyDiv w:val="1"/>
      <w:marLeft w:val="0"/>
      <w:marRight w:val="0"/>
      <w:marTop w:val="0"/>
      <w:marBottom w:val="0"/>
      <w:divBdr>
        <w:top w:val="none" w:sz="0" w:space="0" w:color="auto"/>
        <w:left w:val="none" w:sz="0" w:space="0" w:color="auto"/>
        <w:bottom w:val="none" w:sz="0" w:space="0" w:color="auto"/>
        <w:right w:val="none" w:sz="0" w:space="0" w:color="auto"/>
      </w:divBdr>
    </w:div>
    <w:div w:id="666054823">
      <w:bodyDiv w:val="1"/>
      <w:marLeft w:val="0"/>
      <w:marRight w:val="0"/>
      <w:marTop w:val="0"/>
      <w:marBottom w:val="0"/>
      <w:divBdr>
        <w:top w:val="none" w:sz="0" w:space="0" w:color="auto"/>
        <w:left w:val="none" w:sz="0" w:space="0" w:color="auto"/>
        <w:bottom w:val="none" w:sz="0" w:space="0" w:color="auto"/>
        <w:right w:val="none" w:sz="0" w:space="0" w:color="auto"/>
      </w:divBdr>
      <w:divsChild>
        <w:div w:id="1177117378">
          <w:marLeft w:val="0"/>
          <w:marRight w:val="0"/>
          <w:marTop w:val="0"/>
          <w:marBottom w:val="0"/>
          <w:divBdr>
            <w:top w:val="none" w:sz="0" w:space="0" w:color="auto"/>
            <w:left w:val="none" w:sz="0" w:space="0" w:color="auto"/>
            <w:bottom w:val="none" w:sz="0" w:space="0" w:color="auto"/>
            <w:right w:val="none" w:sz="0" w:space="0" w:color="auto"/>
          </w:divBdr>
        </w:div>
        <w:div w:id="1635870200">
          <w:marLeft w:val="0"/>
          <w:marRight w:val="0"/>
          <w:marTop w:val="0"/>
          <w:marBottom w:val="0"/>
          <w:divBdr>
            <w:top w:val="none" w:sz="0" w:space="0" w:color="auto"/>
            <w:left w:val="none" w:sz="0" w:space="0" w:color="auto"/>
            <w:bottom w:val="none" w:sz="0" w:space="0" w:color="auto"/>
            <w:right w:val="none" w:sz="0" w:space="0" w:color="auto"/>
          </w:divBdr>
        </w:div>
        <w:div w:id="29036391">
          <w:marLeft w:val="0"/>
          <w:marRight w:val="0"/>
          <w:marTop w:val="0"/>
          <w:marBottom w:val="0"/>
          <w:divBdr>
            <w:top w:val="none" w:sz="0" w:space="0" w:color="auto"/>
            <w:left w:val="none" w:sz="0" w:space="0" w:color="auto"/>
            <w:bottom w:val="none" w:sz="0" w:space="0" w:color="auto"/>
            <w:right w:val="none" w:sz="0" w:space="0" w:color="auto"/>
          </w:divBdr>
        </w:div>
        <w:div w:id="1720205664">
          <w:marLeft w:val="0"/>
          <w:marRight w:val="0"/>
          <w:marTop w:val="0"/>
          <w:marBottom w:val="0"/>
          <w:divBdr>
            <w:top w:val="none" w:sz="0" w:space="0" w:color="auto"/>
            <w:left w:val="none" w:sz="0" w:space="0" w:color="auto"/>
            <w:bottom w:val="none" w:sz="0" w:space="0" w:color="auto"/>
            <w:right w:val="none" w:sz="0" w:space="0" w:color="auto"/>
          </w:divBdr>
        </w:div>
        <w:div w:id="388305011">
          <w:marLeft w:val="0"/>
          <w:marRight w:val="0"/>
          <w:marTop w:val="0"/>
          <w:marBottom w:val="0"/>
          <w:divBdr>
            <w:top w:val="none" w:sz="0" w:space="0" w:color="auto"/>
            <w:left w:val="none" w:sz="0" w:space="0" w:color="auto"/>
            <w:bottom w:val="none" w:sz="0" w:space="0" w:color="auto"/>
            <w:right w:val="none" w:sz="0" w:space="0" w:color="auto"/>
          </w:divBdr>
        </w:div>
        <w:div w:id="138808087">
          <w:marLeft w:val="0"/>
          <w:marRight w:val="0"/>
          <w:marTop w:val="0"/>
          <w:marBottom w:val="0"/>
          <w:divBdr>
            <w:top w:val="none" w:sz="0" w:space="0" w:color="auto"/>
            <w:left w:val="none" w:sz="0" w:space="0" w:color="auto"/>
            <w:bottom w:val="none" w:sz="0" w:space="0" w:color="auto"/>
            <w:right w:val="none" w:sz="0" w:space="0" w:color="auto"/>
          </w:divBdr>
        </w:div>
        <w:div w:id="1789854906">
          <w:marLeft w:val="0"/>
          <w:marRight w:val="0"/>
          <w:marTop w:val="0"/>
          <w:marBottom w:val="0"/>
          <w:divBdr>
            <w:top w:val="none" w:sz="0" w:space="0" w:color="auto"/>
            <w:left w:val="none" w:sz="0" w:space="0" w:color="auto"/>
            <w:bottom w:val="none" w:sz="0" w:space="0" w:color="auto"/>
            <w:right w:val="none" w:sz="0" w:space="0" w:color="auto"/>
          </w:divBdr>
        </w:div>
        <w:div w:id="1248609786">
          <w:marLeft w:val="0"/>
          <w:marRight w:val="0"/>
          <w:marTop w:val="0"/>
          <w:marBottom w:val="0"/>
          <w:divBdr>
            <w:top w:val="none" w:sz="0" w:space="0" w:color="auto"/>
            <w:left w:val="none" w:sz="0" w:space="0" w:color="auto"/>
            <w:bottom w:val="none" w:sz="0" w:space="0" w:color="auto"/>
            <w:right w:val="none" w:sz="0" w:space="0" w:color="auto"/>
          </w:divBdr>
        </w:div>
        <w:div w:id="588587558">
          <w:marLeft w:val="0"/>
          <w:marRight w:val="0"/>
          <w:marTop w:val="0"/>
          <w:marBottom w:val="0"/>
          <w:divBdr>
            <w:top w:val="none" w:sz="0" w:space="0" w:color="auto"/>
            <w:left w:val="none" w:sz="0" w:space="0" w:color="auto"/>
            <w:bottom w:val="none" w:sz="0" w:space="0" w:color="auto"/>
            <w:right w:val="none" w:sz="0" w:space="0" w:color="auto"/>
          </w:divBdr>
        </w:div>
        <w:div w:id="650866790">
          <w:marLeft w:val="0"/>
          <w:marRight w:val="0"/>
          <w:marTop w:val="0"/>
          <w:marBottom w:val="0"/>
          <w:divBdr>
            <w:top w:val="none" w:sz="0" w:space="0" w:color="auto"/>
            <w:left w:val="none" w:sz="0" w:space="0" w:color="auto"/>
            <w:bottom w:val="none" w:sz="0" w:space="0" w:color="auto"/>
            <w:right w:val="none" w:sz="0" w:space="0" w:color="auto"/>
          </w:divBdr>
        </w:div>
        <w:div w:id="489761212">
          <w:marLeft w:val="0"/>
          <w:marRight w:val="0"/>
          <w:marTop w:val="0"/>
          <w:marBottom w:val="0"/>
          <w:divBdr>
            <w:top w:val="none" w:sz="0" w:space="0" w:color="auto"/>
            <w:left w:val="none" w:sz="0" w:space="0" w:color="auto"/>
            <w:bottom w:val="none" w:sz="0" w:space="0" w:color="auto"/>
            <w:right w:val="none" w:sz="0" w:space="0" w:color="auto"/>
          </w:divBdr>
        </w:div>
        <w:div w:id="669214758">
          <w:marLeft w:val="0"/>
          <w:marRight w:val="0"/>
          <w:marTop w:val="0"/>
          <w:marBottom w:val="0"/>
          <w:divBdr>
            <w:top w:val="none" w:sz="0" w:space="0" w:color="auto"/>
            <w:left w:val="none" w:sz="0" w:space="0" w:color="auto"/>
            <w:bottom w:val="none" w:sz="0" w:space="0" w:color="auto"/>
            <w:right w:val="none" w:sz="0" w:space="0" w:color="auto"/>
          </w:divBdr>
        </w:div>
      </w:divsChild>
    </w:div>
    <w:div w:id="724716564">
      <w:bodyDiv w:val="1"/>
      <w:marLeft w:val="0"/>
      <w:marRight w:val="0"/>
      <w:marTop w:val="0"/>
      <w:marBottom w:val="0"/>
      <w:divBdr>
        <w:top w:val="none" w:sz="0" w:space="0" w:color="auto"/>
        <w:left w:val="none" w:sz="0" w:space="0" w:color="auto"/>
        <w:bottom w:val="none" w:sz="0" w:space="0" w:color="auto"/>
        <w:right w:val="none" w:sz="0" w:space="0" w:color="auto"/>
      </w:divBdr>
    </w:div>
    <w:div w:id="784425591">
      <w:bodyDiv w:val="1"/>
      <w:marLeft w:val="0"/>
      <w:marRight w:val="0"/>
      <w:marTop w:val="0"/>
      <w:marBottom w:val="0"/>
      <w:divBdr>
        <w:top w:val="none" w:sz="0" w:space="0" w:color="auto"/>
        <w:left w:val="none" w:sz="0" w:space="0" w:color="auto"/>
        <w:bottom w:val="none" w:sz="0" w:space="0" w:color="auto"/>
        <w:right w:val="none" w:sz="0" w:space="0" w:color="auto"/>
      </w:divBdr>
    </w:div>
    <w:div w:id="841163726">
      <w:bodyDiv w:val="1"/>
      <w:marLeft w:val="0"/>
      <w:marRight w:val="0"/>
      <w:marTop w:val="0"/>
      <w:marBottom w:val="0"/>
      <w:divBdr>
        <w:top w:val="none" w:sz="0" w:space="0" w:color="auto"/>
        <w:left w:val="none" w:sz="0" w:space="0" w:color="auto"/>
        <w:bottom w:val="none" w:sz="0" w:space="0" w:color="auto"/>
        <w:right w:val="none" w:sz="0" w:space="0" w:color="auto"/>
      </w:divBdr>
    </w:div>
    <w:div w:id="852836547">
      <w:bodyDiv w:val="1"/>
      <w:marLeft w:val="0"/>
      <w:marRight w:val="0"/>
      <w:marTop w:val="0"/>
      <w:marBottom w:val="0"/>
      <w:divBdr>
        <w:top w:val="none" w:sz="0" w:space="0" w:color="auto"/>
        <w:left w:val="none" w:sz="0" w:space="0" w:color="auto"/>
        <w:bottom w:val="none" w:sz="0" w:space="0" w:color="auto"/>
        <w:right w:val="none" w:sz="0" w:space="0" w:color="auto"/>
      </w:divBdr>
    </w:div>
    <w:div w:id="889925122">
      <w:bodyDiv w:val="1"/>
      <w:marLeft w:val="0"/>
      <w:marRight w:val="0"/>
      <w:marTop w:val="0"/>
      <w:marBottom w:val="0"/>
      <w:divBdr>
        <w:top w:val="none" w:sz="0" w:space="0" w:color="auto"/>
        <w:left w:val="none" w:sz="0" w:space="0" w:color="auto"/>
        <w:bottom w:val="none" w:sz="0" w:space="0" w:color="auto"/>
        <w:right w:val="none" w:sz="0" w:space="0" w:color="auto"/>
      </w:divBdr>
    </w:div>
    <w:div w:id="907615867">
      <w:bodyDiv w:val="1"/>
      <w:marLeft w:val="0"/>
      <w:marRight w:val="0"/>
      <w:marTop w:val="0"/>
      <w:marBottom w:val="0"/>
      <w:divBdr>
        <w:top w:val="none" w:sz="0" w:space="0" w:color="auto"/>
        <w:left w:val="none" w:sz="0" w:space="0" w:color="auto"/>
        <w:bottom w:val="none" w:sz="0" w:space="0" w:color="auto"/>
        <w:right w:val="none" w:sz="0" w:space="0" w:color="auto"/>
      </w:divBdr>
    </w:div>
    <w:div w:id="978993410">
      <w:bodyDiv w:val="1"/>
      <w:marLeft w:val="0"/>
      <w:marRight w:val="0"/>
      <w:marTop w:val="0"/>
      <w:marBottom w:val="0"/>
      <w:divBdr>
        <w:top w:val="none" w:sz="0" w:space="0" w:color="auto"/>
        <w:left w:val="none" w:sz="0" w:space="0" w:color="auto"/>
        <w:bottom w:val="none" w:sz="0" w:space="0" w:color="auto"/>
        <w:right w:val="none" w:sz="0" w:space="0" w:color="auto"/>
      </w:divBdr>
    </w:div>
    <w:div w:id="979264056">
      <w:bodyDiv w:val="1"/>
      <w:marLeft w:val="0"/>
      <w:marRight w:val="0"/>
      <w:marTop w:val="0"/>
      <w:marBottom w:val="0"/>
      <w:divBdr>
        <w:top w:val="none" w:sz="0" w:space="0" w:color="auto"/>
        <w:left w:val="none" w:sz="0" w:space="0" w:color="auto"/>
        <w:bottom w:val="none" w:sz="0" w:space="0" w:color="auto"/>
        <w:right w:val="none" w:sz="0" w:space="0" w:color="auto"/>
      </w:divBdr>
    </w:div>
    <w:div w:id="1039360663">
      <w:bodyDiv w:val="1"/>
      <w:marLeft w:val="0"/>
      <w:marRight w:val="0"/>
      <w:marTop w:val="0"/>
      <w:marBottom w:val="0"/>
      <w:divBdr>
        <w:top w:val="none" w:sz="0" w:space="0" w:color="auto"/>
        <w:left w:val="none" w:sz="0" w:space="0" w:color="auto"/>
        <w:bottom w:val="none" w:sz="0" w:space="0" w:color="auto"/>
        <w:right w:val="none" w:sz="0" w:space="0" w:color="auto"/>
      </w:divBdr>
    </w:div>
    <w:div w:id="1062099758">
      <w:bodyDiv w:val="1"/>
      <w:marLeft w:val="0"/>
      <w:marRight w:val="0"/>
      <w:marTop w:val="0"/>
      <w:marBottom w:val="0"/>
      <w:divBdr>
        <w:top w:val="none" w:sz="0" w:space="0" w:color="auto"/>
        <w:left w:val="none" w:sz="0" w:space="0" w:color="auto"/>
        <w:bottom w:val="none" w:sz="0" w:space="0" w:color="auto"/>
        <w:right w:val="none" w:sz="0" w:space="0" w:color="auto"/>
      </w:divBdr>
    </w:div>
    <w:div w:id="1192649366">
      <w:bodyDiv w:val="1"/>
      <w:marLeft w:val="0"/>
      <w:marRight w:val="0"/>
      <w:marTop w:val="0"/>
      <w:marBottom w:val="0"/>
      <w:divBdr>
        <w:top w:val="none" w:sz="0" w:space="0" w:color="auto"/>
        <w:left w:val="none" w:sz="0" w:space="0" w:color="auto"/>
        <w:bottom w:val="none" w:sz="0" w:space="0" w:color="auto"/>
        <w:right w:val="none" w:sz="0" w:space="0" w:color="auto"/>
      </w:divBdr>
    </w:div>
    <w:div w:id="1196190276">
      <w:bodyDiv w:val="1"/>
      <w:marLeft w:val="0"/>
      <w:marRight w:val="0"/>
      <w:marTop w:val="0"/>
      <w:marBottom w:val="0"/>
      <w:divBdr>
        <w:top w:val="none" w:sz="0" w:space="0" w:color="auto"/>
        <w:left w:val="none" w:sz="0" w:space="0" w:color="auto"/>
        <w:bottom w:val="none" w:sz="0" w:space="0" w:color="auto"/>
        <w:right w:val="none" w:sz="0" w:space="0" w:color="auto"/>
      </w:divBdr>
    </w:div>
    <w:div w:id="1226180628">
      <w:bodyDiv w:val="1"/>
      <w:marLeft w:val="0"/>
      <w:marRight w:val="0"/>
      <w:marTop w:val="0"/>
      <w:marBottom w:val="0"/>
      <w:divBdr>
        <w:top w:val="none" w:sz="0" w:space="0" w:color="auto"/>
        <w:left w:val="none" w:sz="0" w:space="0" w:color="auto"/>
        <w:bottom w:val="none" w:sz="0" w:space="0" w:color="auto"/>
        <w:right w:val="none" w:sz="0" w:space="0" w:color="auto"/>
      </w:divBdr>
    </w:div>
    <w:div w:id="1255288883">
      <w:bodyDiv w:val="1"/>
      <w:marLeft w:val="0"/>
      <w:marRight w:val="0"/>
      <w:marTop w:val="0"/>
      <w:marBottom w:val="0"/>
      <w:divBdr>
        <w:top w:val="none" w:sz="0" w:space="0" w:color="auto"/>
        <w:left w:val="none" w:sz="0" w:space="0" w:color="auto"/>
        <w:bottom w:val="none" w:sz="0" w:space="0" w:color="auto"/>
        <w:right w:val="none" w:sz="0" w:space="0" w:color="auto"/>
      </w:divBdr>
    </w:div>
    <w:div w:id="1436707372">
      <w:bodyDiv w:val="1"/>
      <w:marLeft w:val="0"/>
      <w:marRight w:val="0"/>
      <w:marTop w:val="0"/>
      <w:marBottom w:val="0"/>
      <w:divBdr>
        <w:top w:val="none" w:sz="0" w:space="0" w:color="auto"/>
        <w:left w:val="none" w:sz="0" w:space="0" w:color="auto"/>
        <w:bottom w:val="none" w:sz="0" w:space="0" w:color="auto"/>
        <w:right w:val="none" w:sz="0" w:space="0" w:color="auto"/>
      </w:divBdr>
    </w:div>
    <w:div w:id="1460687687">
      <w:marLeft w:val="0"/>
      <w:marRight w:val="0"/>
      <w:marTop w:val="0"/>
      <w:marBottom w:val="0"/>
      <w:divBdr>
        <w:top w:val="none" w:sz="0" w:space="0" w:color="auto"/>
        <w:left w:val="none" w:sz="0" w:space="0" w:color="auto"/>
        <w:bottom w:val="none" w:sz="0" w:space="0" w:color="auto"/>
        <w:right w:val="none" w:sz="0" w:space="0" w:color="auto"/>
      </w:divBdr>
      <w:divsChild>
        <w:div w:id="1460687688">
          <w:marLeft w:val="0"/>
          <w:marRight w:val="0"/>
          <w:marTop w:val="0"/>
          <w:marBottom w:val="0"/>
          <w:divBdr>
            <w:top w:val="none" w:sz="0" w:space="0" w:color="auto"/>
            <w:left w:val="none" w:sz="0" w:space="0" w:color="auto"/>
            <w:bottom w:val="none" w:sz="0" w:space="0" w:color="auto"/>
            <w:right w:val="none" w:sz="0" w:space="0" w:color="auto"/>
          </w:divBdr>
          <w:divsChild>
            <w:div w:id="1460687691">
              <w:marLeft w:val="0"/>
              <w:marRight w:val="0"/>
              <w:marTop w:val="0"/>
              <w:marBottom w:val="0"/>
              <w:divBdr>
                <w:top w:val="none" w:sz="0" w:space="0" w:color="auto"/>
                <w:left w:val="none" w:sz="0" w:space="0" w:color="auto"/>
                <w:bottom w:val="none" w:sz="0" w:space="0" w:color="auto"/>
                <w:right w:val="none" w:sz="0" w:space="0" w:color="auto"/>
              </w:divBdr>
              <w:divsChild>
                <w:div w:id="1460687690">
                  <w:marLeft w:val="-15"/>
                  <w:marRight w:val="0"/>
                  <w:marTop w:val="0"/>
                  <w:marBottom w:val="0"/>
                  <w:divBdr>
                    <w:top w:val="none" w:sz="0" w:space="0" w:color="auto"/>
                    <w:left w:val="none" w:sz="0" w:space="0" w:color="auto"/>
                    <w:bottom w:val="none" w:sz="0" w:space="0" w:color="auto"/>
                    <w:right w:val="none" w:sz="0" w:space="0" w:color="auto"/>
                  </w:divBdr>
                  <w:divsChild>
                    <w:div w:id="1460687686">
                      <w:marLeft w:val="0"/>
                      <w:marRight w:val="0"/>
                      <w:marTop w:val="0"/>
                      <w:marBottom w:val="0"/>
                      <w:divBdr>
                        <w:top w:val="none" w:sz="0" w:space="0" w:color="auto"/>
                        <w:left w:val="none" w:sz="0" w:space="0" w:color="auto"/>
                        <w:bottom w:val="none" w:sz="0" w:space="0" w:color="auto"/>
                        <w:right w:val="none" w:sz="0" w:space="0" w:color="auto"/>
                      </w:divBdr>
                      <w:divsChild>
                        <w:div w:id="1460687694">
                          <w:marLeft w:val="0"/>
                          <w:marRight w:val="-15"/>
                          <w:marTop w:val="0"/>
                          <w:marBottom w:val="0"/>
                          <w:divBdr>
                            <w:top w:val="none" w:sz="0" w:space="0" w:color="auto"/>
                            <w:left w:val="none" w:sz="0" w:space="0" w:color="auto"/>
                            <w:bottom w:val="none" w:sz="0" w:space="0" w:color="auto"/>
                            <w:right w:val="none" w:sz="0" w:space="0" w:color="auto"/>
                          </w:divBdr>
                          <w:divsChild>
                            <w:div w:id="1460687689">
                              <w:marLeft w:val="0"/>
                              <w:marRight w:val="0"/>
                              <w:marTop w:val="0"/>
                              <w:marBottom w:val="0"/>
                              <w:divBdr>
                                <w:top w:val="none" w:sz="0" w:space="0" w:color="auto"/>
                                <w:left w:val="none" w:sz="0" w:space="0" w:color="auto"/>
                                <w:bottom w:val="none" w:sz="0" w:space="0" w:color="auto"/>
                                <w:right w:val="none" w:sz="0" w:space="0" w:color="auto"/>
                              </w:divBdr>
                              <w:divsChild>
                                <w:div w:id="1460687685">
                                  <w:marLeft w:val="0"/>
                                  <w:marRight w:val="0"/>
                                  <w:marTop w:val="0"/>
                                  <w:marBottom w:val="30"/>
                                  <w:divBdr>
                                    <w:top w:val="none" w:sz="0" w:space="0" w:color="auto"/>
                                    <w:left w:val="none" w:sz="0" w:space="0" w:color="auto"/>
                                    <w:bottom w:val="none" w:sz="0" w:space="0" w:color="auto"/>
                                    <w:right w:val="none" w:sz="0" w:space="0" w:color="auto"/>
                                  </w:divBdr>
                                  <w:divsChild>
                                    <w:div w:id="1460687684">
                                      <w:marLeft w:val="0"/>
                                      <w:marRight w:val="0"/>
                                      <w:marTop w:val="0"/>
                                      <w:marBottom w:val="0"/>
                                      <w:divBdr>
                                        <w:top w:val="none" w:sz="0" w:space="0" w:color="auto"/>
                                        <w:left w:val="none" w:sz="0" w:space="0" w:color="auto"/>
                                        <w:bottom w:val="none" w:sz="0" w:space="0" w:color="auto"/>
                                        <w:right w:val="none" w:sz="0" w:space="0" w:color="auto"/>
                                      </w:divBdr>
                                      <w:divsChild>
                                        <w:div w:id="1460687693">
                                          <w:marLeft w:val="0"/>
                                          <w:marRight w:val="0"/>
                                          <w:marTop w:val="0"/>
                                          <w:marBottom w:val="0"/>
                                          <w:divBdr>
                                            <w:top w:val="none" w:sz="0" w:space="0" w:color="auto"/>
                                            <w:left w:val="none" w:sz="0" w:space="0" w:color="auto"/>
                                            <w:bottom w:val="none" w:sz="0" w:space="0" w:color="auto"/>
                                            <w:right w:val="none" w:sz="0" w:space="0" w:color="auto"/>
                                          </w:divBdr>
                                          <w:divsChild>
                                            <w:div w:id="146068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87673286">
      <w:bodyDiv w:val="1"/>
      <w:marLeft w:val="0"/>
      <w:marRight w:val="0"/>
      <w:marTop w:val="0"/>
      <w:marBottom w:val="0"/>
      <w:divBdr>
        <w:top w:val="none" w:sz="0" w:space="0" w:color="auto"/>
        <w:left w:val="none" w:sz="0" w:space="0" w:color="auto"/>
        <w:bottom w:val="none" w:sz="0" w:space="0" w:color="auto"/>
        <w:right w:val="none" w:sz="0" w:space="0" w:color="auto"/>
      </w:divBdr>
    </w:div>
    <w:div w:id="1521822539">
      <w:bodyDiv w:val="1"/>
      <w:marLeft w:val="0"/>
      <w:marRight w:val="0"/>
      <w:marTop w:val="0"/>
      <w:marBottom w:val="0"/>
      <w:divBdr>
        <w:top w:val="none" w:sz="0" w:space="0" w:color="auto"/>
        <w:left w:val="none" w:sz="0" w:space="0" w:color="auto"/>
        <w:bottom w:val="none" w:sz="0" w:space="0" w:color="auto"/>
        <w:right w:val="none" w:sz="0" w:space="0" w:color="auto"/>
      </w:divBdr>
    </w:div>
    <w:div w:id="1529483574">
      <w:bodyDiv w:val="1"/>
      <w:marLeft w:val="0"/>
      <w:marRight w:val="0"/>
      <w:marTop w:val="0"/>
      <w:marBottom w:val="0"/>
      <w:divBdr>
        <w:top w:val="none" w:sz="0" w:space="0" w:color="auto"/>
        <w:left w:val="none" w:sz="0" w:space="0" w:color="auto"/>
        <w:bottom w:val="none" w:sz="0" w:space="0" w:color="auto"/>
        <w:right w:val="none" w:sz="0" w:space="0" w:color="auto"/>
      </w:divBdr>
    </w:div>
    <w:div w:id="1571647034">
      <w:bodyDiv w:val="1"/>
      <w:marLeft w:val="0"/>
      <w:marRight w:val="0"/>
      <w:marTop w:val="0"/>
      <w:marBottom w:val="0"/>
      <w:divBdr>
        <w:top w:val="none" w:sz="0" w:space="0" w:color="auto"/>
        <w:left w:val="none" w:sz="0" w:space="0" w:color="auto"/>
        <w:bottom w:val="none" w:sz="0" w:space="0" w:color="auto"/>
        <w:right w:val="none" w:sz="0" w:space="0" w:color="auto"/>
      </w:divBdr>
    </w:div>
    <w:div w:id="1624075279">
      <w:bodyDiv w:val="1"/>
      <w:marLeft w:val="0"/>
      <w:marRight w:val="0"/>
      <w:marTop w:val="0"/>
      <w:marBottom w:val="0"/>
      <w:divBdr>
        <w:top w:val="none" w:sz="0" w:space="0" w:color="auto"/>
        <w:left w:val="none" w:sz="0" w:space="0" w:color="auto"/>
        <w:bottom w:val="none" w:sz="0" w:space="0" w:color="auto"/>
        <w:right w:val="none" w:sz="0" w:space="0" w:color="auto"/>
      </w:divBdr>
    </w:div>
    <w:div w:id="1631477938">
      <w:bodyDiv w:val="1"/>
      <w:marLeft w:val="0"/>
      <w:marRight w:val="0"/>
      <w:marTop w:val="0"/>
      <w:marBottom w:val="0"/>
      <w:divBdr>
        <w:top w:val="none" w:sz="0" w:space="0" w:color="auto"/>
        <w:left w:val="none" w:sz="0" w:space="0" w:color="auto"/>
        <w:bottom w:val="none" w:sz="0" w:space="0" w:color="auto"/>
        <w:right w:val="none" w:sz="0" w:space="0" w:color="auto"/>
      </w:divBdr>
    </w:div>
    <w:div w:id="1638871040">
      <w:bodyDiv w:val="1"/>
      <w:marLeft w:val="0"/>
      <w:marRight w:val="0"/>
      <w:marTop w:val="0"/>
      <w:marBottom w:val="0"/>
      <w:divBdr>
        <w:top w:val="none" w:sz="0" w:space="0" w:color="auto"/>
        <w:left w:val="none" w:sz="0" w:space="0" w:color="auto"/>
        <w:bottom w:val="none" w:sz="0" w:space="0" w:color="auto"/>
        <w:right w:val="none" w:sz="0" w:space="0" w:color="auto"/>
      </w:divBdr>
    </w:div>
    <w:div w:id="1641230017">
      <w:bodyDiv w:val="1"/>
      <w:marLeft w:val="0"/>
      <w:marRight w:val="0"/>
      <w:marTop w:val="0"/>
      <w:marBottom w:val="0"/>
      <w:divBdr>
        <w:top w:val="none" w:sz="0" w:space="0" w:color="auto"/>
        <w:left w:val="none" w:sz="0" w:space="0" w:color="auto"/>
        <w:bottom w:val="none" w:sz="0" w:space="0" w:color="auto"/>
        <w:right w:val="none" w:sz="0" w:space="0" w:color="auto"/>
      </w:divBdr>
    </w:div>
    <w:div w:id="1651445096">
      <w:bodyDiv w:val="1"/>
      <w:marLeft w:val="0"/>
      <w:marRight w:val="0"/>
      <w:marTop w:val="0"/>
      <w:marBottom w:val="0"/>
      <w:divBdr>
        <w:top w:val="none" w:sz="0" w:space="0" w:color="auto"/>
        <w:left w:val="none" w:sz="0" w:space="0" w:color="auto"/>
        <w:bottom w:val="none" w:sz="0" w:space="0" w:color="auto"/>
        <w:right w:val="none" w:sz="0" w:space="0" w:color="auto"/>
      </w:divBdr>
    </w:div>
    <w:div w:id="1680160167">
      <w:bodyDiv w:val="1"/>
      <w:marLeft w:val="0"/>
      <w:marRight w:val="0"/>
      <w:marTop w:val="0"/>
      <w:marBottom w:val="0"/>
      <w:divBdr>
        <w:top w:val="none" w:sz="0" w:space="0" w:color="auto"/>
        <w:left w:val="none" w:sz="0" w:space="0" w:color="auto"/>
        <w:bottom w:val="none" w:sz="0" w:space="0" w:color="auto"/>
        <w:right w:val="none" w:sz="0" w:space="0" w:color="auto"/>
      </w:divBdr>
      <w:divsChild>
        <w:div w:id="1541166395">
          <w:marLeft w:val="0"/>
          <w:marRight w:val="0"/>
          <w:marTop w:val="0"/>
          <w:marBottom w:val="0"/>
          <w:divBdr>
            <w:top w:val="none" w:sz="0" w:space="0" w:color="auto"/>
            <w:left w:val="none" w:sz="0" w:space="0" w:color="auto"/>
            <w:bottom w:val="none" w:sz="0" w:space="0" w:color="auto"/>
            <w:right w:val="none" w:sz="0" w:space="0" w:color="auto"/>
          </w:divBdr>
        </w:div>
        <w:div w:id="1687251781">
          <w:marLeft w:val="0"/>
          <w:marRight w:val="0"/>
          <w:marTop w:val="0"/>
          <w:marBottom w:val="0"/>
          <w:divBdr>
            <w:top w:val="none" w:sz="0" w:space="0" w:color="auto"/>
            <w:left w:val="none" w:sz="0" w:space="0" w:color="auto"/>
            <w:bottom w:val="none" w:sz="0" w:space="0" w:color="auto"/>
            <w:right w:val="none" w:sz="0" w:space="0" w:color="auto"/>
          </w:divBdr>
        </w:div>
        <w:div w:id="1609585266">
          <w:marLeft w:val="0"/>
          <w:marRight w:val="0"/>
          <w:marTop w:val="0"/>
          <w:marBottom w:val="0"/>
          <w:divBdr>
            <w:top w:val="none" w:sz="0" w:space="0" w:color="auto"/>
            <w:left w:val="none" w:sz="0" w:space="0" w:color="auto"/>
            <w:bottom w:val="none" w:sz="0" w:space="0" w:color="auto"/>
            <w:right w:val="none" w:sz="0" w:space="0" w:color="auto"/>
          </w:divBdr>
        </w:div>
        <w:div w:id="1850677555">
          <w:marLeft w:val="0"/>
          <w:marRight w:val="0"/>
          <w:marTop w:val="0"/>
          <w:marBottom w:val="0"/>
          <w:divBdr>
            <w:top w:val="none" w:sz="0" w:space="0" w:color="auto"/>
            <w:left w:val="none" w:sz="0" w:space="0" w:color="auto"/>
            <w:bottom w:val="none" w:sz="0" w:space="0" w:color="auto"/>
            <w:right w:val="none" w:sz="0" w:space="0" w:color="auto"/>
          </w:divBdr>
        </w:div>
        <w:div w:id="1457875181">
          <w:marLeft w:val="0"/>
          <w:marRight w:val="0"/>
          <w:marTop w:val="0"/>
          <w:marBottom w:val="0"/>
          <w:divBdr>
            <w:top w:val="none" w:sz="0" w:space="0" w:color="auto"/>
            <w:left w:val="none" w:sz="0" w:space="0" w:color="auto"/>
            <w:bottom w:val="none" w:sz="0" w:space="0" w:color="auto"/>
            <w:right w:val="none" w:sz="0" w:space="0" w:color="auto"/>
          </w:divBdr>
        </w:div>
        <w:div w:id="1909000386">
          <w:marLeft w:val="0"/>
          <w:marRight w:val="0"/>
          <w:marTop w:val="0"/>
          <w:marBottom w:val="0"/>
          <w:divBdr>
            <w:top w:val="none" w:sz="0" w:space="0" w:color="auto"/>
            <w:left w:val="none" w:sz="0" w:space="0" w:color="auto"/>
            <w:bottom w:val="none" w:sz="0" w:space="0" w:color="auto"/>
            <w:right w:val="none" w:sz="0" w:space="0" w:color="auto"/>
          </w:divBdr>
        </w:div>
        <w:div w:id="53743402">
          <w:marLeft w:val="0"/>
          <w:marRight w:val="0"/>
          <w:marTop w:val="0"/>
          <w:marBottom w:val="0"/>
          <w:divBdr>
            <w:top w:val="none" w:sz="0" w:space="0" w:color="auto"/>
            <w:left w:val="none" w:sz="0" w:space="0" w:color="auto"/>
            <w:bottom w:val="none" w:sz="0" w:space="0" w:color="auto"/>
            <w:right w:val="none" w:sz="0" w:space="0" w:color="auto"/>
          </w:divBdr>
        </w:div>
        <w:div w:id="1457794368">
          <w:marLeft w:val="0"/>
          <w:marRight w:val="0"/>
          <w:marTop w:val="0"/>
          <w:marBottom w:val="0"/>
          <w:divBdr>
            <w:top w:val="none" w:sz="0" w:space="0" w:color="auto"/>
            <w:left w:val="none" w:sz="0" w:space="0" w:color="auto"/>
            <w:bottom w:val="none" w:sz="0" w:space="0" w:color="auto"/>
            <w:right w:val="none" w:sz="0" w:space="0" w:color="auto"/>
          </w:divBdr>
        </w:div>
        <w:div w:id="2004039626">
          <w:marLeft w:val="0"/>
          <w:marRight w:val="0"/>
          <w:marTop w:val="0"/>
          <w:marBottom w:val="0"/>
          <w:divBdr>
            <w:top w:val="none" w:sz="0" w:space="0" w:color="auto"/>
            <w:left w:val="none" w:sz="0" w:space="0" w:color="auto"/>
            <w:bottom w:val="none" w:sz="0" w:space="0" w:color="auto"/>
            <w:right w:val="none" w:sz="0" w:space="0" w:color="auto"/>
          </w:divBdr>
        </w:div>
        <w:div w:id="1236747183">
          <w:marLeft w:val="0"/>
          <w:marRight w:val="0"/>
          <w:marTop w:val="0"/>
          <w:marBottom w:val="0"/>
          <w:divBdr>
            <w:top w:val="none" w:sz="0" w:space="0" w:color="auto"/>
            <w:left w:val="none" w:sz="0" w:space="0" w:color="auto"/>
            <w:bottom w:val="none" w:sz="0" w:space="0" w:color="auto"/>
            <w:right w:val="none" w:sz="0" w:space="0" w:color="auto"/>
          </w:divBdr>
        </w:div>
        <w:div w:id="729498189">
          <w:marLeft w:val="0"/>
          <w:marRight w:val="0"/>
          <w:marTop w:val="0"/>
          <w:marBottom w:val="0"/>
          <w:divBdr>
            <w:top w:val="none" w:sz="0" w:space="0" w:color="auto"/>
            <w:left w:val="none" w:sz="0" w:space="0" w:color="auto"/>
            <w:bottom w:val="none" w:sz="0" w:space="0" w:color="auto"/>
            <w:right w:val="none" w:sz="0" w:space="0" w:color="auto"/>
          </w:divBdr>
        </w:div>
        <w:div w:id="407533909">
          <w:marLeft w:val="0"/>
          <w:marRight w:val="0"/>
          <w:marTop w:val="0"/>
          <w:marBottom w:val="0"/>
          <w:divBdr>
            <w:top w:val="none" w:sz="0" w:space="0" w:color="auto"/>
            <w:left w:val="none" w:sz="0" w:space="0" w:color="auto"/>
            <w:bottom w:val="none" w:sz="0" w:space="0" w:color="auto"/>
            <w:right w:val="none" w:sz="0" w:space="0" w:color="auto"/>
          </w:divBdr>
        </w:div>
        <w:div w:id="1796408118">
          <w:marLeft w:val="0"/>
          <w:marRight w:val="0"/>
          <w:marTop w:val="0"/>
          <w:marBottom w:val="0"/>
          <w:divBdr>
            <w:top w:val="none" w:sz="0" w:space="0" w:color="auto"/>
            <w:left w:val="none" w:sz="0" w:space="0" w:color="auto"/>
            <w:bottom w:val="none" w:sz="0" w:space="0" w:color="auto"/>
            <w:right w:val="none" w:sz="0" w:space="0" w:color="auto"/>
          </w:divBdr>
        </w:div>
        <w:div w:id="1194808583">
          <w:marLeft w:val="0"/>
          <w:marRight w:val="0"/>
          <w:marTop w:val="0"/>
          <w:marBottom w:val="0"/>
          <w:divBdr>
            <w:top w:val="none" w:sz="0" w:space="0" w:color="auto"/>
            <w:left w:val="none" w:sz="0" w:space="0" w:color="auto"/>
            <w:bottom w:val="none" w:sz="0" w:space="0" w:color="auto"/>
            <w:right w:val="none" w:sz="0" w:space="0" w:color="auto"/>
          </w:divBdr>
        </w:div>
        <w:div w:id="358820035">
          <w:marLeft w:val="0"/>
          <w:marRight w:val="0"/>
          <w:marTop w:val="0"/>
          <w:marBottom w:val="0"/>
          <w:divBdr>
            <w:top w:val="none" w:sz="0" w:space="0" w:color="auto"/>
            <w:left w:val="none" w:sz="0" w:space="0" w:color="auto"/>
            <w:bottom w:val="none" w:sz="0" w:space="0" w:color="auto"/>
            <w:right w:val="none" w:sz="0" w:space="0" w:color="auto"/>
          </w:divBdr>
        </w:div>
        <w:div w:id="1110392515">
          <w:marLeft w:val="0"/>
          <w:marRight w:val="0"/>
          <w:marTop w:val="0"/>
          <w:marBottom w:val="0"/>
          <w:divBdr>
            <w:top w:val="none" w:sz="0" w:space="0" w:color="auto"/>
            <w:left w:val="none" w:sz="0" w:space="0" w:color="auto"/>
            <w:bottom w:val="none" w:sz="0" w:space="0" w:color="auto"/>
            <w:right w:val="none" w:sz="0" w:space="0" w:color="auto"/>
          </w:divBdr>
        </w:div>
        <w:div w:id="1594707978">
          <w:marLeft w:val="0"/>
          <w:marRight w:val="0"/>
          <w:marTop w:val="0"/>
          <w:marBottom w:val="0"/>
          <w:divBdr>
            <w:top w:val="none" w:sz="0" w:space="0" w:color="auto"/>
            <w:left w:val="none" w:sz="0" w:space="0" w:color="auto"/>
            <w:bottom w:val="none" w:sz="0" w:space="0" w:color="auto"/>
            <w:right w:val="none" w:sz="0" w:space="0" w:color="auto"/>
          </w:divBdr>
        </w:div>
        <w:div w:id="1103265404">
          <w:marLeft w:val="0"/>
          <w:marRight w:val="0"/>
          <w:marTop w:val="0"/>
          <w:marBottom w:val="0"/>
          <w:divBdr>
            <w:top w:val="none" w:sz="0" w:space="0" w:color="auto"/>
            <w:left w:val="none" w:sz="0" w:space="0" w:color="auto"/>
            <w:bottom w:val="none" w:sz="0" w:space="0" w:color="auto"/>
            <w:right w:val="none" w:sz="0" w:space="0" w:color="auto"/>
          </w:divBdr>
        </w:div>
        <w:div w:id="120878569">
          <w:marLeft w:val="0"/>
          <w:marRight w:val="0"/>
          <w:marTop w:val="0"/>
          <w:marBottom w:val="0"/>
          <w:divBdr>
            <w:top w:val="none" w:sz="0" w:space="0" w:color="auto"/>
            <w:left w:val="none" w:sz="0" w:space="0" w:color="auto"/>
            <w:bottom w:val="none" w:sz="0" w:space="0" w:color="auto"/>
            <w:right w:val="none" w:sz="0" w:space="0" w:color="auto"/>
          </w:divBdr>
        </w:div>
        <w:div w:id="518275403">
          <w:marLeft w:val="0"/>
          <w:marRight w:val="0"/>
          <w:marTop w:val="0"/>
          <w:marBottom w:val="0"/>
          <w:divBdr>
            <w:top w:val="none" w:sz="0" w:space="0" w:color="auto"/>
            <w:left w:val="none" w:sz="0" w:space="0" w:color="auto"/>
            <w:bottom w:val="none" w:sz="0" w:space="0" w:color="auto"/>
            <w:right w:val="none" w:sz="0" w:space="0" w:color="auto"/>
          </w:divBdr>
        </w:div>
        <w:div w:id="1942108324">
          <w:marLeft w:val="0"/>
          <w:marRight w:val="0"/>
          <w:marTop w:val="0"/>
          <w:marBottom w:val="0"/>
          <w:divBdr>
            <w:top w:val="none" w:sz="0" w:space="0" w:color="auto"/>
            <w:left w:val="none" w:sz="0" w:space="0" w:color="auto"/>
            <w:bottom w:val="none" w:sz="0" w:space="0" w:color="auto"/>
            <w:right w:val="none" w:sz="0" w:space="0" w:color="auto"/>
          </w:divBdr>
        </w:div>
        <w:div w:id="249897305">
          <w:marLeft w:val="0"/>
          <w:marRight w:val="0"/>
          <w:marTop w:val="0"/>
          <w:marBottom w:val="0"/>
          <w:divBdr>
            <w:top w:val="none" w:sz="0" w:space="0" w:color="auto"/>
            <w:left w:val="none" w:sz="0" w:space="0" w:color="auto"/>
            <w:bottom w:val="none" w:sz="0" w:space="0" w:color="auto"/>
            <w:right w:val="none" w:sz="0" w:space="0" w:color="auto"/>
          </w:divBdr>
        </w:div>
        <w:div w:id="2017488507">
          <w:marLeft w:val="0"/>
          <w:marRight w:val="0"/>
          <w:marTop w:val="0"/>
          <w:marBottom w:val="0"/>
          <w:divBdr>
            <w:top w:val="none" w:sz="0" w:space="0" w:color="auto"/>
            <w:left w:val="none" w:sz="0" w:space="0" w:color="auto"/>
            <w:bottom w:val="none" w:sz="0" w:space="0" w:color="auto"/>
            <w:right w:val="none" w:sz="0" w:space="0" w:color="auto"/>
          </w:divBdr>
        </w:div>
        <w:div w:id="73362585">
          <w:marLeft w:val="0"/>
          <w:marRight w:val="0"/>
          <w:marTop w:val="0"/>
          <w:marBottom w:val="0"/>
          <w:divBdr>
            <w:top w:val="none" w:sz="0" w:space="0" w:color="auto"/>
            <w:left w:val="none" w:sz="0" w:space="0" w:color="auto"/>
            <w:bottom w:val="none" w:sz="0" w:space="0" w:color="auto"/>
            <w:right w:val="none" w:sz="0" w:space="0" w:color="auto"/>
          </w:divBdr>
        </w:div>
        <w:div w:id="1068071786">
          <w:marLeft w:val="0"/>
          <w:marRight w:val="0"/>
          <w:marTop w:val="0"/>
          <w:marBottom w:val="0"/>
          <w:divBdr>
            <w:top w:val="none" w:sz="0" w:space="0" w:color="auto"/>
            <w:left w:val="none" w:sz="0" w:space="0" w:color="auto"/>
            <w:bottom w:val="none" w:sz="0" w:space="0" w:color="auto"/>
            <w:right w:val="none" w:sz="0" w:space="0" w:color="auto"/>
          </w:divBdr>
        </w:div>
        <w:div w:id="1096484012">
          <w:marLeft w:val="0"/>
          <w:marRight w:val="0"/>
          <w:marTop w:val="0"/>
          <w:marBottom w:val="0"/>
          <w:divBdr>
            <w:top w:val="none" w:sz="0" w:space="0" w:color="auto"/>
            <w:left w:val="none" w:sz="0" w:space="0" w:color="auto"/>
            <w:bottom w:val="none" w:sz="0" w:space="0" w:color="auto"/>
            <w:right w:val="none" w:sz="0" w:space="0" w:color="auto"/>
          </w:divBdr>
        </w:div>
        <w:div w:id="1222323037">
          <w:marLeft w:val="0"/>
          <w:marRight w:val="0"/>
          <w:marTop w:val="0"/>
          <w:marBottom w:val="0"/>
          <w:divBdr>
            <w:top w:val="none" w:sz="0" w:space="0" w:color="auto"/>
            <w:left w:val="none" w:sz="0" w:space="0" w:color="auto"/>
            <w:bottom w:val="none" w:sz="0" w:space="0" w:color="auto"/>
            <w:right w:val="none" w:sz="0" w:space="0" w:color="auto"/>
          </w:divBdr>
        </w:div>
        <w:div w:id="569925787">
          <w:marLeft w:val="0"/>
          <w:marRight w:val="0"/>
          <w:marTop w:val="0"/>
          <w:marBottom w:val="0"/>
          <w:divBdr>
            <w:top w:val="none" w:sz="0" w:space="0" w:color="auto"/>
            <w:left w:val="none" w:sz="0" w:space="0" w:color="auto"/>
            <w:bottom w:val="none" w:sz="0" w:space="0" w:color="auto"/>
            <w:right w:val="none" w:sz="0" w:space="0" w:color="auto"/>
          </w:divBdr>
        </w:div>
        <w:div w:id="748430736">
          <w:marLeft w:val="0"/>
          <w:marRight w:val="0"/>
          <w:marTop w:val="0"/>
          <w:marBottom w:val="0"/>
          <w:divBdr>
            <w:top w:val="none" w:sz="0" w:space="0" w:color="auto"/>
            <w:left w:val="none" w:sz="0" w:space="0" w:color="auto"/>
            <w:bottom w:val="none" w:sz="0" w:space="0" w:color="auto"/>
            <w:right w:val="none" w:sz="0" w:space="0" w:color="auto"/>
          </w:divBdr>
        </w:div>
        <w:div w:id="481848318">
          <w:marLeft w:val="0"/>
          <w:marRight w:val="0"/>
          <w:marTop w:val="0"/>
          <w:marBottom w:val="0"/>
          <w:divBdr>
            <w:top w:val="none" w:sz="0" w:space="0" w:color="auto"/>
            <w:left w:val="none" w:sz="0" w:space="0" w:color="auto"/>
            <w:bottom w:val="none" w:sz="0" w:space="0" w:color="auto"/>
            <w:right w:val="none" w:sz="0" w:space="0" w:color="auto"/>
          </w:divBdr>
        </w:div>
        <w:div w:id="190732209">
          <w:marLeft w:val="0"/>
          <w:marRight w:val="0"/>
          <w:marTop w:val="0"/>
          <w:marBottom w:val="0"/>
          <w:divBdr>
            <w:top w:val="none" w:sz="0" w:space="0" w:color="auto"/>
            <w:left w:val="none" w:sz="0" w:space="0" w:color="auto"/>
            <w:bottom w:val="none" w:sz="0" w:space="0" w:color="auto"/>
            <w:right w:val="none" w:sz="0" w:space="0" w:color="auto"/>
          </w:divBdr>
        </w:div>
        <w:div w:id="1412045170">
          <w:marLeft w:val="0"/>
          <w:marRight w:val="0"/>
          <w:marTop w:val="0"/>
          <w:marBottom w:val="0"/>
          <w:divBdr>
            <w:top w:val="none" w:sz="0" w:space="0" w:color="auto"/>
            <w:left w:val="none" w:sz="0" w:space="0" w:color="auto"/>
            <w:bottom w:val="none" w:sz="0" w:space="0" w:color="auto"/>
            <w:right w:val="none" w:sz="0" w:space="0" w:color="auto"/>
          </w:divBdr>
        </w:div>
        <w:div w:id="1132988363">
          <w:marLeft w:val="0"/>
          <w:marRight w:val="0"/>
          <w:marTop w:val="0"/>
          <w:marBottom w:val="0"/>
          <w:divBdr>
            <w:top w:val="none" w:sz="0" w:space="0" w:color="auto"/>
            <w:left w:val="none" w:sz="0" w:space="0" w:color="auto"/>
            <w:bottom w:val="none" w:sz="0" w:space="0" w:color="auto"/>
            <w:right w:val="none" w:sz="0" w:space="0" w:color="auto"/>
          </w:divBdr>
        </w:div>
        <w:div w:id="2124840527">
          <w:marLeft w:val="0"/>
          <w:marRight w:val="0"/>
          <w:marTop w:val="0"/>
          <w:marBottom w:val="0"/>
          <w:divBdr>
            <w:top w:val="none" w:sz="0" w:space="0" w:color="auto"/>
            <w:left w:val="none" w:sz="0" w:space="0" w:color="auto"/>
            <w:bottom w:val="none" w:sz="0" w:space="0" w:color="auto"/>
            <w:right w:val="none" w:sz="0" w:space="0" w:color="auto"/>
          </w:divBdr>
        </w:div>
        <w:div w:id="1144127963">
          <w:marLeft w:val="0"/>
          <w:marRight w:val="0"/>
          <w:marTop w:val="0"/>
          <w:marBottom w:val="0"/>
          <w:divBdr>
            <w:top w:val="none" w:sz="0" w:space="0" w:color="auto"/>
            <w:left w:val="none" w:sz="0" w:space="0" w:color="auto"/>
            <w:bottom w:val="none" w:sz="0" w:space="0" w:color="auto"/>
            <w:right w:val="none" w:sz="0" w:space="0" w:color="auto"/>
          </w:divBdr>
        </w:div>
        <w:div w:id="896280671">
          <w:marLeft w:val="0"/>
          <w:marRight w:val="0"/>
          <w:marTop w:val="0"/>
          <w:marBottom w:val="0"/>
          <w:divBdr>
            <w:top w:val="none" w:sz="0" w:space="0" w:color="auto"/>
            <w:left w:val="none" w:sz="0" w:space="0" w:color="auto"/>
            <w:bottom w:val="none" w:sz="0" w:space="0" w:color="auto"/>
            <w:right w:val="none" w:sz="0" w:space="0" w:color="auto"/>
          </w:divBdr>
        </w:div>
        <w:div w:id="1360664420">
          <w:marLeft w:val="0"/>
          <w:marRight w:val="0"/>
          <w:marTop w:val="0"/>
          <w:marBottom w:val="0"/>
          <w:divBdr>
            <w:top w:val="none" w:sz="0" w:space="0" w:color="auto"/>
            <w:left w:val="none" w:sz="0" w:space="0" w:color="auto"/>
            <w:bottom w:val="none" w:sz="0" w:space="0" w:color="auto"/>
            <w:right w:val="none" w:sz="0" w:space="0" w:color="auto"/>
          </w:divBdr>
        </w:div>
        <w:div w:id="1991401220">
          <w:marLeft w:val="0"/>
          <w:marRight w:val="0"/>
          <w:marTop w:val="0"/>
          <w:marBottom w:val="0"/>
          <w:divBdr>
            <w:top w:val="none" w:sz="0" w:space="0" w:color="auto"/>
            <w:left w:val="none" w:sz="0" w:space="0" w:color="auto"/>
            <w:bottom w:val="none" w:sz="0" w:space="0" w:color="auto"/>
            <w:right w:val="none" w:sz="0" w:space="0" w:color="auto"/>
          </w:divBdr>
        </w:div>
        <w:div w:id="1130703596">
          <w:marLeft w:val="0"/>
          <w:marRight w:val="0"/>
          <w:marTop w:val="0"/>
          <w:marBottom w:val="0"/>
          <w:divBdr>
            <w:top w:val="none" w:sz="0" w:space="0" w:color="auto"/>
            <w:left w:val="none" w:sz="0" w:space="0" w:color="auto"/>
            <w:bottom w:val="none" w:sz="0" w:space="0" w:color="auto"/>
            <w:right w:val="none" w:sz="0" w:space="0" w:color="auto"/>
          </w:divBdr>
        </w:div>
        <w:div w:id="783691112">
          <w:marLeft w:val="0"/>
          <w:marRight w:val="0"/>
          <w:marTop w:val="0"/>
          <w:marBottom w:val="0"/>
          <w:divBdr>
            <w:top w:val="none" w:sz="0" w:space="0" w:color="auto"/>
            <w:left w:val="none" w:sz="0" w:space="0" w:color="auto"/>
            <w:bottom w:val="none" w:sz="0" w:space="0" w:color="auto"/>
            <w:right w:val="none" w:sz="0" w:space="0" w:color="auto"/>
          </w:divBdr>
        </w:div>
        <w:div w:id="1935235895">
          <w:marLeft w:val="0"/>
          <w:marRight w:val="0"/>
          <w:marTop w:val="0"/>
          <w:marBottom w:val="0"/>
          <w:divBdr>
            <w:top w:val="none" w:sz="0" w:space="0" w:color="auto"/>
            <w:left w:val="none" w:sz="0" w:space="0" w:color="auto"/>
            <w:bottom w:val="none" w:sz="0" w:space="0" w:color="auto"/>
            <w:right w:val="none" w:sz="0" w:space="0" w:color="auto"/>
          </w:divBdr>
        </w:div>
        <w:div w:id="1986469338">
          <w:marLeft w:val="0"/>
          <w:marRight w:val="0"/>
          <w:marTop w:val="0"/>
          <w:marBottom w:val="0"/>
          <w:divBdr>
            <w:top w:val="none" w:sz="0" w:space="0" w:color="auto"/>
            <w:left w:val="none" w:sz="0" w:space="0" w:color="auto"/>
            <w:bottom w:val="none" w:sz="0" w:space="0" w:color="auto"/>
            <w:right w:val="none" w:sz="0" w:space="0" w:color="auto"/>
          </w:divBdr>
        </w:div>
        <w:div w:id="862520843">
          <w:marLeft w:val="0"/>
          <w:marRight w:val="0"/>
          <w:marTop w:val="0"/>
          <w:marBottom w:val="0"/>
          <w:divBdr>
            <w:top w:val="none" w:sz="0" w:space="0" w:color="auto"/>
            <w:left w:val="none" w:sz="0" w:space="0" w:color="auto"/>
            <w:bottom w:val="none" w:sz="0" w:space="0" w:color="auto"/>
            <w:right w:val="none" w:sz="0" w:space="0" w:color="auto"/>
          </w:divBdr>
        </w:div>
        <w:div w:id="1710299722">
          <w:marLeft w:val="0"/>
          <w:marRight w:val="0"/>
          <w:marTop w:val="0"/>
          <w:marBottom w:val="0"/>
          <w:divBdr>
            <w:top w:val="none" w:sz="0" w:space="0" w:color="auto"/>
            <w:left w:val="none" w:sz="0" w:space="0" w:color="auto"/>
            <w:bottom w:val="none" w:sz="0" w:space="0" w:color="auto"/>
            <w:right w:val="none" w:sz="0" w:space="0" w:color="auto"/>
          </w:divBdr>
        </w:div>
        <w:div w:id="581913332">
          <w:marLeft w:val="0"/>
          <w:marRight w:val="0"/>
          <w:marTop w:val="0"/>
          <w:marBottom w:val="0"/>
          <w:divBdr>
            <w:top w:val="none" w:sz="0" w:space="0" w:color="auto"/>
            <w:left w:val="none" w:sz="0" w:space="0" w:color="auto"/>
            <w:bottom w:val="none" w:sz="0" w:space="0" w:color="auto"/>
            <w:right w:val="none" w:sz="0" w:space="0" w:color="auto"/>
          </w:divBdr>
        </w:div>
        <w:div w:id="8878356">
          <w:marLeft w:val="0"/>
          <w:marRight w:val="0"/>
          <w:marTop w:val="0"/>
          <w:marBottom w:val="0"/>
          <w:divBdr>
            <w:top w:val="none" w:sz="0" w:space="0" w:color="auto"/>
            <w:left w:val="none" w:sz="0" w:space="0" w:color="auto"/>
            <w:bottom w:val="none" w:sz="0" w:space="0" w:color="auto"/>
            <w:right w:val="none" w:sz="0" w:space="0" w:color="auto"/>
          </w:divBdr>
        </w:div>
        <w:div w:id="509947667">
          <w:marLeft w:val="0"/>
          <w:marRight w:val="0"/>
          <w:marTop w:val="0"/>
          <w:marBottom w:val="0"/>
          <w:divBdr>
            <w:top w:val="none" w:sz="0" w:space="0" w:color="auto"/>
            <w:left w:val="none" w:sz="0" w:space="0" w:color="auto"/>
            <w:bottom w:val="none" w:sz="0" w:space="0" w:color="auto"/>
            <w:right w:val="none" w:sz="0" w:space="0" w:color="auto"/>
          </w:divBdr>
        </w:div>
        <w:div w:id="313876604">
          <w:marLeft w:val="0"/>
          <w:marRight w:val="0"/>
          <w:marTop w:val="0"/>
          <w:marBottom w:val="0"/>
          <w:divBdr>
            <w:top w:val="none" w:sz="0" w:space="0" w:color="auto"/>
            <w:left w:val="none" w:sz="0" w:space="0" w:color="auto"/>
            <w:bottom w:val="none" w:sz="0" w:space="0" w:color="auto"/>
            <w:right w:val="none" w:sz="0" w:space="0" w:color="auto"/>
          </w:divBdr>
        </w:div>
        <w:div w:id="413355204">
          <w:marLeft w:val="0"/>
          <w:marRight w:val="0"/>
          <w:marTop w:val="0"/>
          <w:marBottom w:val="0"/>
          <w:divBdr>
            <w:top w:val="none" w:sz="0" w:space="0" w:color="auto"/>
            <w:left w:val="none" w:sz="0" w:space="0" w:color="auto"/>
            <w:bottom w:val="none" w:sz="0" w:space="0" w:color="auto"/>
            <w:right w:val="none" w:sz="0" w:space="0" w:color="auto"/>
          </w:divBdr>
        </w:div>
        <w:div w:id="469709000">
          <w:marLeft w:val="0"/>
          <w:marRight w:val="0"/>
          <w:marTop w:val="0"/>
          <w:marBottom w:val="0"/>
          <w:divBdr>
            <w:top w:val="none" w:sz="0" w:space="0" w:color="auto"/>
            <w:left w:val="none" w:sz="0" w:space="0" w:color="auto"/>
            <w:bottom w:val="none" w:sz="0" w:space="0" w:color="auto"/>
            <w:right w:val="none" w:sz="0" w:space="0" w:color="auto"/>
          </w:divBdr>
        </w:div>
        <w:div w:id="1920479754">
          <w:marLeft w:val="0"/>
          <w:marRight w:val="0"/>
          <w:marTop w:val="0"/>
          <w:marBottom w:val="0"/>
          <w:divBdr>
            <w:top w:val="none" w:sz="0" w:space="0" w:color="auto"/>
            <w:left w:val="none" w:sz="0" w:space="0" w:color="auto"/>
            <w:bottom w:val="none" w:sz="0" w:space="0" w:color="auto"/>
            <w:right w:val="none" w:sz="0" w:space="0" w:color="auto"/>
          </w:divBdr>
        </w:div>
        <w:div w:id="1044721508">
          <w:marLeft w:val="0"/>
          <w:marRight w:val="0"/>
          <w:marTop w:val="0"/>
          <w:marBottom w:val="0"/>
          <w:divBdr>
            <w:top w:val="none" w:sz="0" w:space="0" w:color="auto"/>
            <w:left w:val="none" w:sz="0" w:space="0" w:color="auto"/>
            <w:bottom w:val="none" w:sz="0" w:space="0" w:color="auto"/>
            <w:right w:val="none" w:sz="0" w:space="0" w:color="auto"/>
          </w:divBdr>
        </w:div>
        <w:div w:id="363750839">
          <w:marLeft w:val="0"/>
          <w:marRight w:val="0"/>
          <w:marTop w:val="0"/>
          <w:marBottom w:val="0"/>
          <w:divBdr>
            <w:top w:val="none" w:sz="0" w:space="0" w:color="auto"/>
            <w:left w:val="none" w:sz="0" w:space="0" w:color="auto"/>
            <w:bottom w:val="none" w:sz="0" w:space="0" w:color="auto"/>
            <w:right w:val="none" w:sz="0" w:space="0" w:color="auto"/>
          </w:divBdr>
        </w:div>
        <w:div w:id="1367872344">
          <w:marLeft w:val="0"/>
          <w:marRight w:val="0"/>
          <w:marTop w:val="0"/>
          <w:marBottom w:val="0"/>
          <w:divBdr>
            <w:top w:val="none" w:sz="0" w:space="0" w:color="auto"/>
            <w:left w:val="none" w:sz="0" w:space="0" w:color="auto"/>
            <w:bottom w:val="none" w:sz="0" w:space="0" w:color="auto"/>
            <w:right w:val="none" w:sz="0" w:space="0" w:color="auto"/>
          </w:divBdr>
        </w:div>
        <w:div w:id="908883353">
          <w:marLeft w:val="0"/>
          <w:marRight w:val="0"/>
          <w:marTop w:val="0"/>
          <w:marBottom w:val="0"/>
          <w:divBdr>
            <w:top w:val="none" w:sz="0" w:space="0" w:color="auto"/>
            <w:left w:val="none" w:sz="0" w:space="0" w:color="auto"/>
            <w:bottom w:val="none" w:sz="0" w:space="0" w:color="auto"/>
            <w:right w:val="none" w:sz="0" w:space="0" w:color="auto"/>
          </w:divBdr>
        </w:div>
        <w:div w:id="634456635">
          <w:marLeft w:val="0"/>
          <w:marRight w:val="0"/>
          <w:marTop w:val="0"/>
          <w:marBottom w:val="0"/>
          <w:divBdr>
            <w:top w:val="none" w:sz="0" w:space="0" w:color="auto"/>
            <w:left w:val="none" w:sz="0" w:space="0" w:color="auto"/>
            <w:bottom w:val="none" w:sz="0" w:space="0" w:color="auto"/>
            <w:right w:val="none" w:sz="0" w:space="0" w:color="auto"/>
          </w:divBdr>
        </w:div>
        <w:div w:id="225191175">
          <w:marLeft w:val="0"/>
          <w:marRight w:val="0"/>
          <w:marTop w:val="0"/>
          <w:marBottom w:val="0"/>
          <w:divBdr>
            <w:top w:val="none" w:sz="0" w:space="0" w:color="auto"/>
            <w:left w:val="none" w:sz="0" w:space="0" w:color="auto"/>
            <w:bottom w:val="none" w:sz="0" w:space="0" w:color="auto"/>
            <w:right w:val="none" w:sz="0" w:space="0" w:color="auto"/>
          </w:divBdr>
        </w:div>
        <w:div w:id="457187775">
          <w:marLeft w:val="0"/>
          <w:marRight w:val="0"/>
          <w:marTop w:val="0"/>
          <w:marBottom w:val="0"/>
          <w:divBdr>
            <w:top w:val="none" w:sz="0" w:space="0" w:color="auto"/>
            <w:left w:val="none" w:sz="0" w:space="0" w:color="auto"/>
            <w:bottom w:val="none" w:sz="0" w:space="0" w:color="auto"/>
            <w:right w:val="none" w:sz="0" w:space="0" w:color="auto"/>
          </w:divBdr>
        </w:div>
        <w:div w:id="673529634">
          <w:marLeft w:val="0"/>
          <w:marRight w:val="0"/>
          <w:marTop w:val="0"/>
          <w:marBottom w:val="0"/>
          <w:divBdr>
            <w:top w:val="none" w:sz="0" w:space="0" w:color="auto"/>
            <w:left w:val="none" w:sz="0" w:space="0" w:color="auto"/>
            <w:bottom w:val="none" w:sz="0" w:space="0" w:color="auto"/>
            <w:right w:val="none" w:sz="0" w:space="0" w:color="auto"/>
          </w:divBdr>
        </w:div>
        <w:div w:id="382798782">
          <w:marLeft w:val="0"/>
          <w:marRight w:val="0"/>
          <w:marTop w:val="0"/>
          <w:marBottom w:val="0"/>
          <w:divBdr>
            <w:top w:val="none" w:sz="0" w:space="0" w:color="auto"/>
            <w:left w:val="none" w:sz="0" w:space="0" w:color="auto"/>
            <w:bottom w:val="none" w:sz="0" w:space="0" w:color="auto"/>
            <w:right w:val="none" w:sz="0" w:space="0" w:color="auto"/>
          </w:divBdr>
        </w:div>
        <w:div w:id="196554400">
          <w:marLeft w:val="0"/>
          <w:marRight w:val="0"/>
          <w:marTop w:val="0"/>
          <w:marBottom w:val="0"/>
          <w:divBdr>
            <w:top w:val="none" w:sz="0" w:space="0" w:color="auto"/>
            <w:left w:val="none" w:sz="0" w:space="0" w:color="auto"/>
            <w:bottom w:val="none" w:sz="0" w:space="0" w:color="auto"/>
            <w:right w:val="none" w:sz="0" w:space="0" w:color="auto"/>
          </w:divBdr>
        </w:div>
        <w:div w:id="1234900605">
          <w:marLeft w:val="0"/>
          <w:marRight w:val="0"/>
          <w:marTop w:val="0"/>
          <w:marBottom w:val="0"/>
          <w:divBdr>
            <w:top w:val="none" w:sz="0" w:space="0" w:color="auto"/>
            <w:left w:val="none" w:sz="0" w:space="0" w:color="auto"/>
            <w:bottom w:val="none" w:sz="0" w:space="0" w:color="auto"/>
            <w:right w:val="none" w:sz="0" w:space="0" w:color="auto"/>
          </w:divBdr>
        </w:div>
        <w:div w:id="1341541081">
          <w:marLeft w:val="0"/>
          <w:marRight w:val="0"/>
          <w:marTop w:val="0"/>
          <w:marBottom w:val="0"/>
          <w:divBdr>
            <w:top w:val="none" w:sz="0" w:space="0" w:color="auto"/>
            <w:left w:val="none" w:sz="0" w:space="0" w:color="auto"/>
            <w:bottom w:val="none" w:sz="0" w:space="0" w:color="auto"/>
            <w:right w:val="none" w:sz="0" w:space="0" w:color="auto"/>
          </w:divBdr>
        </w:div>
        <w:div w:id="302122515">
          <w:marLeft w:val="0"/>
          <w:marRight w:val="0"/>
          <w:marTop w:val="0"/>
          <w:marBottom w:val="0"/>
          <w:divBdr>
            <w:top w:val="none" w:sz="0" w:space="0" w:color="auto"/>
            <w:left w:val="none" w:sz="0" w:space="0" w:color="auto"/>
            <w:bottom w:val="none" w:sz="0" w:space="0" w:color="auto"/>
            <w:right w:val="none" w:sz="0" w:space="0" w:color="auto"/>
          </w:divBdr>
        </w:div>
        <w:div w:id="193881454">
          <w:marLeft w:val="0"/>
          <w:marRight w:val="0"/>
          <w:marTop w:val="0"/>
          <w:marBottom w:val="0"/>
          <w:divBdr>
            <w:top w:val="none" w:sz="0" w:space="0" w:color="auto"/>
            <w:left w:val="none" w:sz="0" w:space="0" w:color="auto"/>
            <w:bottom w:val="none" w:sz="0" w:space="0" w:color="auto"/>
            <w:right w:val="none" w:sz="0" w:space="0" w:color="auto"/>
          </w:divBdr>
        </w:div>
        <w:div w:id="1642074134">
          <w:marLeft w:val="0"/>
          <w:marRight w:val="0"/>
          <w:marTop w:val="0"/>
          <w:marBottom w:val="0"/>
          <w:divBdr>
            <w:top w:val="none" w:sz="0" w:space="0" w:color="auto"/>
            <w:left w:val="none" w:sz="0" w:space="0" w:color="auto"/>
            <w:bottom w:val="none" w:sz="0" w:space="0" w:color="auto"/>
            <w:right w:val="none" w:sz="0" w:space="0" w:color="auto"/>
          </w:divBdr>
        </w:div>
        <w:div w:id="398022991">
          <w:marLeft w:val="0"/>
          <w:marRight w:val="0"/>
          <w:marTop w:val="0"/>
          <w:marBottom w:val="0"/>
          <w:divBdr>
            <w:top w:val="none" w:sz="0" w:space="0" w:color="auto"/>
            <w:left w:val="none" w:sz="0" w:space="0" w:color="auto"/>
            <w:bottom w:val="none" w:sz="0" w:space="0" w:color="auto"/>
            <w:right w:val="none" w:sz="0" w:space="0" w:color="auto"/>
          </w:divBdr>
        </w:div>
        <w:div w:id="1590041273">
          <w:marLeft w:val="0"/>
          <w:marRight w:val="0"/>
          <w:marTop w:val="0"/>
          <w:marBottom w:val="0"/>
          <w:divBdr>
            <w:top w:val="none" w:sz="0" w:space="0" w:color="auto"/>
            <w:left w:val="none" w:sz="0" w:space="0" w:color="auto"/>
            <w:bottom w:val="none" w:sz="0" w:space="0" w:color="auto"/>
            <w:right w:val="none" w:sz="0" w:space="0" w:color="auto"/>
          </w:divBdr>
        </w:div>
        <w:div w:id="733821147">
          <w:marLeft w:val="0"/>
          <w:marRight w:val="0"/>
          <w:marTop w:val="0"/>
          <w:marBottom w:val="0"/>
          <w:divBdr>
            <w:top w:val="none" w:sz="0" w:space="0" w:color="auto"/>
            <w:left w:val="none" w:sz="0" w:space="0" w:color="auto"/>
            <w:bottom w:val="none" w:sz="0" w:space="0" w:color="auto"/>
            <w:right w:val="none" w:sz="0" w:space="0" w:color="auto"/>
          </w:divBdr>
        </w:div>
        <w:div w:id="1012029359">
          <w:marLeft w:val="0"/>
          <w:marRight w:val="0"/>
          <w:marTop w:val="0"/>
          <w:marBottom w:val="0"/>
          <w:divBdr>
            <w:top w:val="none" w:sz="0" w:space="0" w:color="auto"/>
            <w:left w:val="none" w:sz="0" w:space="0" w:color="auto"/>
            <w:bottom w:val="none" w:sz="0" w:space="0" w:color="auto"/>
            <w:right w:val="none" w:sz="0" w:space="0" w:color="auto"/>
          </w:divBdr>
        </w:div>
        <w:div w:id="80686014">
          <w:marLeft w:val="0"/>
          <w:marRight w:val="0"/>
          <w:marTop w:val="0"/>
          <w:marBottom w:val="0"/>
          <w:divBdr>
            <w:top w:val="none" w:sz="0" w:space="0" w:color="auto"/>
            <w:left w:val="none" w:sz="0" w:space="0" w:color="auto"/>
            <w:bottom w:val="none" w:sz="0" w:space="0" w:color="auto"/>
            <w:right w:val="none" w:sz="0" w:space="0" w:color="auto"/>
          </w:divBdr>
        </w:div>
        <w:div w:id="443961942">
          <w:marLeft w:val="0"/>
          <w:marRight w:val="0"/>
          <w:marTop w:val="0"/>
          <w:marBottom w:val="0"/>
          <w:divBdr>
            <w:top w:val="none" w:sz="0" w:space="0" w:color="auto"/>
            <w:left w:val="none" w:sz="0" w:space="0" w:color="auto"/>
            <w:bottom w:val="none" w:sz="0" w:space="0" w:color="auto"/>
            <w:right w:val="none" w:sz="0" w:space="0" w:color="auto"/>
          </w:divBdr>
        </w:div>
        <w:div w:id="1036352862">
          <w:marLeft w:val="0"/>
          <w:marRight w:val="0"/>
          <w:marTop w:val="0"/>
          <w:marBottom w:val="0"/>
          <w:divBdr>
            <w:top w:val="none" w:sz="0" w:space="0" w:color="auto"/>
            <w:left w:val="none" w:sz="0" w:space="0" w:color="auto"/>
            <w:bottom w:val="none" w:sz="0" w:space="0" w:color="auto"/>
            <w:right w:val="none" w:sz="0" w:space="0" w:color="auto"/>
          </w:divBdr>
        </w:div>
        <w:div w:id="755446191">
          <w:marLeft w:val="0"/>
          <w:marRight w:val="0"/>
          <w:marTop w:val="0"/>
          <w:marBottom w:val="0"/>
          <w:divBdr>
            <w:top w:val="none" w:sz="0" w:space="0" w:color="auto"/>
            <w:left w:val="none" w:sz="0" w:space="0" w:color="auto"/>
            <w:bottom w:val="none" w:sz="0" w:space="0" w:color="auto"/>
            <w:right w:val="none" w:sz="0" w:space="0" w:color="auto"/>
          </w:divBdr>
        </w:div>
        <w:div w:id="713696077">
          <w:marLeft w:val="0"/>
          <w:marRight w:val="0"/>
          <w:marTop w:val="0"/>
          <w:marBottom w:val="0"/>
          <w:divBdr>
            <w:top w:val="none" w:sz="0" w:space="0" w:color="auto"/>
            <w:left w:val="none" w:sz="0" w:space="0" w:color="auto"/>
            <w:bottom w:val="none" w:sz="0" w:space="0" w:color="auto"/>
            <w:right w:val="none" w:sz="0" w:space="0" w:color="auto"/>
          </w:divBdr>
        </w:div>
        <w:div w:id="1178038084">
          <w:marLeft w:val="0"/>
          <w:marRight w:val="0"/>
          <w:marTop w:val="0"/>
          <w:marBottom w:val="0"/>
          <w:divBdr>
            <w:top w:val="none" w:sz="0" w:space="0" w:color="auto"/>
            <w:left w:val="none" w:sz="0" w:space="0" w:color="auto"/>
            <w:bottom w:val="none" w:sz="0" w:space="0" w:color="auto"/>
            <w:right w:val="none" w:sz="0" w:space="0" w:color="auto"/>
          </w:divBdr>
        </w:div>
        <w:div w:id="779491590">
          <w:marLeft w:val="0"/>
          <w:marRight w:val="0"/>
          <w:marTop w:val="0"/>
          <w:marBottom w:val="0"/>
          <w:divBdr>
            <w:top w:val="none" w:sz="0" w:space="0" w:color="auto"/>
            <w:left w:val="none" w:sz="0" w:space="0" w:color="auto"/>
            <w:bottom w:val="none" w:sz="0" w:space="0" w:color="auto"/>
            <w:right w:val="none" w:sz="0" w:space="0" w:color="auto"/>
          </w:divBdr>
        </w:div>
        <w:div w:id="2122531881">
          <w:marLeft w:val="0"/>
          <w:marRight w:val="0"/>
          <w:marTop w:val="0"/>
          <w:marBottom w:val="0"/>
          <w:divBdr>
            <w:top w:val="none" w:sz="0" w:space="0" w:color="auto"/>
            <w:left w:val="none" w:sz="0" w:space="0" w:color="auto"/>
            <w:bottom w:val="none" w:sz="0" w:space="0" w:color="auto"/>
            <w:right w:val="none" w:sz="0" w:space="0" w:color="auto"/>
          </w:divBdr>
        </w:div>
        <w:div w:id="1645114972">
          <w:marLeft w:val="0"/>
          <w:marRight w:val="0"/>
          <w:marTop w:val="0"/>
          <w:marBottom w:val="0"/>
          <w:divBdr>
            <w:top w:val="none" w:sz="0" w:space="0" w:color="auto"/>
            <w:left w:val="none" w:sz="0" w:space="0" w:color="auto"/>
            <w:bottom w:val="none" w:sz="0" w:space="0" w:color="auto"/>
            <w:right w:val="none" w:sz="0" w:space="0" w:color="auto"/>
          </w:divBdr>
        </w:div>
        <w:div w:id="1187133234">
          <w:marLeft w:val="0"/>
          <w:marRight w:val="0"/>
          <w:marTop w:val="0"/>
          <w:marBottom w:val="0"/>
          <w:divBdr>
            <w:top w:val="none" w:sz="0" w:space="0" w:color="auto"/>
            <w:left w:val="none" w:sz="0" w:space="0" w:color="auto"/>
            <w:bottom w:val="none" w:sz="0" w:space="0" w:color="auto"/>
            <w:right w:val="none" w:sz="0" w:space="0" w:color="auto"/>
          </w:divBdr>
        </w:div>
        <w:div w:id="307906310">
          <w:marLeft w:val="0"/>
          <w:marRight w:val="0"/>
          <w:marTop w:val="0"/>
          <w:marBottom w:val="0"/>
          <w:divBdr>
            <w:top w:val="none" w:sz="0" w:space="0" w:color="auto"/>
            <w:left w:val="none" w:sz="0" w:space="0" w:color="auto"/>
            <w:bottom w:val="none" w:sz="0" w:space="0" w:color="auto"/>
            <w:right w:val="none" w:sz="0" w:space="0" w:color="auto"/>
          </w:divBdr>
        </w:div>
        <w:div w:id="1510870807">
          <w:marLeft w:val="0"/>
          <w:marRight w:val="0"/>
          <w:marTop w:val="0"/>
          <w:marBottom w:val="0"/>
          <w:divBdr>
            <w:top w:val="none" w:sz="0" w:space="0" w:color="auto"/>
            <w:left w:val="none" w:sz="0" w:space="0" w:color="auto"/>
            <w:bottom w:val="none" w:sz="0" w:space="0" w:color="auto"/>
            <w:right w:val="none" w:sz="0" w:space="0" w:color="auto"/>
          </w:divBdr>
        </w:div>
        <w:div w:id="1734621238">
          <w:marLeft w:val="0"/>
          <w:marRight w:val="0"/>
          <w:marTop w:val="0"/>
          <w:marBottom w:val="0"/>
          <w:divBdr>
            <w:top w:val="none" w:sz="0" w:space="0" w:color="auto"/>
            <w:left w:val="none" w:sz="0" w:space="0" w:color="auto"/>
            <w:bottom w:val="none" w:sz="0" w:space="0" w:color="auto"/>
            <w:right w:val="none" w:sz="0" w:space="0" w:color="auto"/>
          </w:divBdr>
        </w:div>
        <w:div w:id="236861994">
          <w:marLeft w:val="0"/>
          <w:marRight w:val="0"/>
          <w:marTop w:val="0"/>
          <w:marBottom w:val="0"/>
          <w:divBdr>
            <w:top w:val="none" w:sz="0" w:space="0" w:color="auto"/>
            <w:left w:val="none" w:sz="0" w:space="0" w:color="auto"/>
            <w:bottom w:val="none" w:sz="0" w:space="0" w:color="auto"/>
            <w:right w:val="none" w:sz="0" w:space="0" w:color="auto"/>
          </w:divBdr>
        </w:div>
      </w:divsChild>
    </w:div>
    <w:div w:id="1695379003">
      <w:bodyDiv w:val="1"/>
      <w:marLeft w:val="0"/>
      <w:marRight w:val="0"/>
      <w:marTop w:val="0"/>
      <w:marBottom w:val="0"/>
      <w:divBdr>
        <w:top w:val="none" w:sz="0" w:space="0" w:color="auto"/>
        <w:left w:val="none" w:sz="0" w:space="0" w:color="auto"/>
        <w:bottom w:val="none" w:sz="0" w:space="0" w:color="auto"/>
        <w:right w:val="none" w:sz="0" w:space="0" w:color="auto"/>
      </w:divBdr>
    </w:div>
    <w:div w:id="1699618602">
      <w:bodyDiv w:val="1"/>
      <w:marLeft w:val="0"/>
      <w:marRight w:val="0"/>
      <w:marTop w:val="0"/>
      <w:marBottom w:val="0"/>
      <w:divBdr>
        <w:top w:val="none" w:sz="0" w:space="0" w:color="auto"/>
        <w:left w:val="none" w:sz="0" w:space="0" w:color="auto"/>
        <w:bottom w:val="none" w:sz="0" w:space="0" w:color="auto"/>
        <w:right w:val="none" w:sz="0" w:space="0" w:color="auto"/>
      </w:divBdr>
    </w:div>
    <w:div w:id="1731273037">
      <w:bodyDiv w:val="1"/>
      <w:marLeft w:val="0"/>
      <w:marRight w:val="0"/>
      <w:marTop w:val="0"/>
      <w:marBottom w:val="0"/>
      <w:divBdr>
        <w:top w:val="none" w:sz="0" w:space="0" w:color="auto"/>
        <w:left w:val="none" w:sz="0" w:space="0" w:color="auto"/>
        <w:bottom w:val="none" w:sz="0" w:space="0" w:color="auto"/>
        <w:right w:val="none" w:sz="0" w:space="0" w:color="auto"/>
      </w:divBdr>
    </w:div>
    <w:div w:id="1788549545">
      <w:bodyDiv w:val="1"/>
      <w:marLeft w:val="0"/>
      <w:marRight w:val="0"/>
      <w:marTop w:val="0"/>
      <w:marBottom w:val="0"/>
      <w:divBdr>
        <w:top w:val="none" w:sz="0" w:space="0" w:color="auto"/>
        <w:left w:val="none" w:sz="0" w:space="0" w:color="auto"/>
        <w:bottom w:val="none" w:sz="0" w:space="0" w:color="auto"/>
        <w:right w:val="none" w:sz="0" w:space="0" w:color="auto"/>
      </w:divBdr>
    </w:div>
    <w:div w:id="1869249604">
      <w:bodyDiv w:val="1"/>
      <w:marLeft w:val="0"/>
      <w:marRight w:val="0"/>
      <w:marTop w:val="0"/>
      <w:marBottom w:val="0"/>
      <w:divBdr>
        <w:top w:val="none" w:sz="0" w:space="0" w:color="auto"/>
        <w:left w:val="none" w:sz="0" w:space="0" w:color="auto"/>
        <w:bottom w:val="none" w:sz="0" w:space="0" w:color="auto"/>
        <w:right w:val="none" w:sz="0" w:space="0" w:color="auto"/>
      </w:divBdr>
    </w:div>
    <w:div w:id="1910068912">
      <w:bodyDiv w:val="1"/>
      <w:marLeft w:val="0"/>
      <w:marRight w:val="0"/>
      <w:marTop w:val="0"/>
      <w:marBottom w:val="0"/>
      <w:divBdr>
        <w:top w:val="none" w:sz="0" w:space="0" w:color="auto"/>
        <w:left w:val="none" w:sz="0" w:space="0" w:color="auto"/>
        <w:bottom w:val="none" w:sz="0" w:space="0" w:color="auto"/>
        <w:right w:val="none" w:sz="0" w:space="0" w:color="auto"/>
      </w:divBdr>
    </w:div>
    <w:div w:id="1914271359">
      <w:bodyDiv w:val="1"/>
      <w:marLeft w:val="0"/>
      <w:marRight w:val="0"/>
      <w:marTop w:val="0"/>
      <w:marBottom w:val="0"/>
      <w:divBdr>
        <w:top w:val="none" w:sz="0" w:space="0" w:color="auto"/>
        <w:left w:val="none" w:sz="0" w:space="0" w:color="auto"/>
        <w:bottom w:val="none" w:sz="0" w:space="0" w:color="auto"/>
        <w:right w:val="none" w:sz="0" w:space="0" w:color="auto"/>
      </w:divBdr>
    </w:div>
    <w:div w:id="2029210620">
      <w:bodyDiv w:val="1"/>
      <w:marLeft w:val="0"/>
      <w:marRight w:val="0"/>
      <w:marTop w:val="0"/>
      <w:marBottom w:val="0"/>
      <w:divBdr>
        <w:top w:val="none" w:sz="0" w:space="0" w:color="auto"/>
        <w:left w:val="none" w:sz="0" w:space="0" w:color="auto"/>
        <w:bottom w:val="none" w:sz="0" w:space="0" w:color="auto"/>
        <w:right w:val="none" w:sz="0" w:space="0" w:color="auto"/>
      </w:divBdr>
    </w:div>
    <w:div w:id="2061973546">
      <w:bodyDiv w:val="1"/>
      <w:marLeft w:val="0"/>
      <w:marRight w:val="0"/>
      <w:marTop w:val="0"/>
      <w:marBottom w:val="0"/>
      <w:divBdr>
        <w:top w:val="none" w:sz="0" w:space="0" w:color="auto"/>
        <w:left w:val="none" w:sz="0" w:space="0" w:color="auto"/>
        <w:bottom w:val="none" w:sz="0" w:space="0" w:color="auto"/>
        <w:right w:val="none" w:sz="0" w:space="0" w:color="auto"/>
      </w:divBdr>
    </w:div>
    <w:div w:id="2084446740">
      <w:bodyDiv w:val="1"/>
      <w:marLeft w:val="0"/>
      <w:marRight w:val="0"/>
      <w:marTop w:val="0"/>
      <w:marBottom w:val="0"/>
      <w:divBdr>
        <w:top w:val="none" w:sz="0" w:space="0" w:color="auto"/>
        <w:left w:val="none" w:sz="0" w:space="0" w:color="auto"/>
        <w:bottom w:val="none" w:sz="0" w:space="0" w:color="auto"/>
        <w:right w:val="none" w:sz="0" w:space="0" w:color="auto"/>
      </w:divBdr>
    </w:div>
    <w:div w:id="2089961681">
      <w:bodyDiv w:val="1"/>
      <w:marLeft w:val="0"/>
      <w:marRight w:val="0"/>
      <w:marTop w:val="0"/>
      <w:marBottom w:val="0"/>
      <w:divBdr>
        <w:top w:val="none" w:sz="0" w:space="0" w:color="auto"/>
        <w:left w:val="none" w:sz="0" w:space="0" w:color="auto"/>
        <w:bottom w:val="none" w:sz="0" w:space="0" w:color="auto"/>
        <w:right w:val="none" w:sz="0" w:space="0" w:color="auto"/>
      </w:divBdr>
    </w:div>
    <w:div w:id="2140226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2.bin"/><Relationship Id="rId18" Type="http://schemas.openxmlformats.org/officeDocument/2006/relationships/oleObject" Target="embeddings/oleObject6.bin"/><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image" Target="media/image7.wmf"/><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oleObject" Target="embeddings/oleObject5.bin"/><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7.bin"/><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image" Target="media/image8.png"/><Relationship Id="rId28" Type="http://schemas.openxmlformats.org/officeDocument/2006/relationships/header" Target="header3.xml"/><Relationship Id="rId10" Type="http://schemas.openxmlformats.org/officeDocument/2006/relationships/image" Target="media/image3.wmf"/><Relationship Id="rId19" Type="http://schemas.openxmlformats.org/officeDocument/2006/relationships/image" Target="media/image6.wmf"/><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5.wmf"/><Relationship Id="rId22" Type="http://schemas.openxmlformats.org/officeDocument/2006/relationships/oleObject" Target="embeddings/oleObject8.bin"/><Relationship Id="rId27" Type="http://schemas.openxmlformats.org/officeDocument/2006/relationships/footer" Target="footer2.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C0C4117-18BB-4955-BF0C-0715E93A23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58</Pages>
  <Words>122444</Words>
  <Characters>734666</Characters>
  <Application>Microsoft Office Word</Application>
  <DocSecurity>0</DocSecurity>
  <Lines>6122</Lines>
  <Paragraphs>1710</Paragraphs>
  <ScaleCrop>false</ScaleCrop>
  <HeadingPairs>
    <vt:vector size="2" baseType="variant">
      <vt:variant>
        <vt:lpstr>Tytuł</vt:lpstr>
      </vt:variant>
      <vt:variant>
        <vt:i4>1</vt:i4>
      </vt:variant>
    </vt:vector>
  </HeadingPairs>
  <TitlesOfParts>
    <vt:vector size="1" baseType="lpstr">
      <vt:lpstr>TOM IV</vt:lpstr>
    </vt:vector>
  </TitlesOfParts>
  <Company>bitrakt</Company>
  <LinksUpToDate>false</LinksUpToDate>
  <CharactersWithSpaces>855400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TOM IV</dc:title>
  <dc:creator>jkaczorowska</dc:creator>
  <cp:lastModifiedBy>Grzegorz Lewowski</cp:lastModifiedBy>
  <cp:revision>9</cp:revision>
  <cp:lastPrinted>2025-09-10T07:40:00Z</cp:lastPrinted>
  <dcterms:created xsi:type="dcterms:W3CDTF">2025-08-21T09:06:00Z</dcterms:created>
  <dcterms:modified xsi:type="dcterms:W3CDTF">2025-09-10T07:43:00Z</dcterms:modified>
</cp:coreProperties>
</file>